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A226C35" w14:textId="64F1F700" w:rsidR="00D75644" w:rsidRPr="00CE6AE7" w:rsidRDefault="00206584" w:rsidP="00F37D7B">
      <w:pPr>
        <w:pStyle w:val="af7"/>
        <w:rPr>
          <w:rFonts w:ascii="Times New Roman"/>
          <w:sz w:val="20"/>
        </w:rPr>
      </w:pPr>
      <w:r w:rsidRPr="00CE6AE7">
        <w:rPr>
          <w:rFonts w:ascii="Times New Roman"/>
        </w:rPr>
        <w:t>調查報告</w:t>
      </w:r>
    </w:p>
    <w:p w14:paraId="7ABD25E5" w14:textId="01512B08" w:rsidR="008A6978" w:rsidRPr="00CE6AE7" w:rsidRDefault="008A6978" w:rsidP="00AE5B5D">
      <w:pPr>
        <w:pStyle w:val="1"/>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E6AE7">
        <w:rPr>
          <w:rFonts w:ascii="Times New Roman" w:hAnsi="Times New Roman"/>
        </w:rPr>
        <w:t>案　　由：</w:t>
      </w:r>
      <w:bookmarkStart w:id="25" w:name="_Hlk23077291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77216" w:rsidRPr="00907371">
        <w:rPr>
          <w:rFonts w:ascii="Times New Roman" w:hAnsi="Times New Roman"/>
          <w:spacing w:val="-6"/>
        </w:rPr>
        <w:t>據悉，全民健康保險</w:t>
      </w:r>
      <w:r w:rsidR="005A3D00" w:rsidRPr="00907371">
        <w:rPr>
          <w:rFonts w:ascii="Times New Roman" w:hAnsi="Times New Roman"/>
          <w:spacing w:val="-6"/>
        </w:rPr>
        <w:t>（</w:t>
      </w:r>
      <w:r w:rsidR="00277216" w:rsidRPr="00907371">
        <w:rPr>
          <w:rFonts w:ascii="Times New Roman" w:hAnsi="Times New Roman"/>
          <w:spacing w:val="-6"/>
        </w:rPr>
        <w:t>下稱健保</w:t>
      </w:r>
      <w:r w:rsidR="005A3D00" w:rsidRPr="00907371">
        <w:rPr>
          <w:rFonts w:ascii="Times New Roman" w:hAnsi="Times New Roman"/>
          <w:spacing w:val="-6"/>
        </w:rPr>
        <w:t>）</w:t>
      </w:r>
      <w:r w:rsidR="00277216" w:rsidRPr="00907371">
        <w:rPr>
          <w:rFonts w:ascii="Times New Roman" w:hAnsi="Times New Roman"/>
          <w:spacing w:val="-6"/>
        </w:rPr>
        <w:t>自民國（下同）</w:t>
      </w:r>
      <w:r w:rsidR="00277216" w:rsidRPr="00907371">
        <w:rPr>
          <w:rFonts w:ascii="Times New Roman" w:hAnsi="Times New Roman"/>
          <w:spacing w:val="-6"/>
        </w:rPr>
        <w:t>84</w:t>
      </w:r>
      <w:r w:rsidR="00277216" w:rsidRPr="00907371">
        <w:rPr>
          <w:rFonts w:ascii="Times New Roman" w:hAnsi="Times New Roman"/>
          <w:spacing w:val="-6"/>
        </w:rPr>
        <w:t>年</w:t>
      </w:r>
      <w:r w:rsidR="0030084F" w:rsidRPr="00907371">
        <w:rPr>
          <w:rFonts w:ascii="Times New Roman" w:hAnsi="Times New Roman"/>
          <w:spacing w:val="-6"/>
        </w:rPr>
        <w:t>實施</w:t>
      </w:r>
      <w:r w:rsidR="00277216" w:rsidRPr="00907371">
        <w:rPr>
          <w:rFonts w:ascii="Times New Roman" w:hAnsi="Times New Roman"/>
          <w:spacing w:val="-6"/>
        </w:rPr>
        <w:t>，</w:t>
      </w:r>
      <w:r w:rsidR="0030084F" w:rsidRPr="00907371">
        <w:rPr>
          <w:rFonts w:ascii="Times New Roman" w:hAnsi="Times New Roman"/>
          <w:spacing w:val="-6"/>
        </w:rPr>
        <w:t>並訂定健保醫療服務給付項目及支付標準（下稱健保支付標準），為減少醫療院所之衝擊，開辦初期支付標準</w:t>
      </w:r>
      <w:r w:rsidR="00277216" w:rsidRPr="00907371">
        <w:rPr>
          <w:rFonts w:ascii="Times New Roman" w:hAnsi="Times New Roman"/>
          <w:spacing w:val="-6"/>
        </w:rPr>
        <w:t>主要</w:t>
      </w:r>
      <w:r w:rsidR="00224CC9" w:rsidRPr="00907371">
        <w:rPr>
          <w:rFonts w:ascii="Times New Roman" w:hAnsi="Times New Roman"/>
          <w:spacing w:val="-6"/>
        </w:rPr>
        <w:t>承襲</w:t>
      </w:r>
      <w:r w:rsidR="00277216" w:rsidRPr="00907371">
        <w:rPr>
          <w:rFonts w:ascii="Times New Roman" w:hAnsi="Times New Roman"/>
          <w:spacing w:val="-6"/>
        </w:rPr>
        <w:t>「勞工保險診療費用支付標準表」（下稱勞保甲乙丙表），</w:t>
      </w:r>
      <w:r w:rsidR="00224CC9" w:rsidRPr="00907371">
        <w:rPr>
          <w:rFonts w:ascii="Times New Roman" w:hAnsi="Times New Roman"/>
          <w:spacing w:val="-6"/>
        </w:rPr>
        <w:t>沿用</w:t>
      </w:r>
      <w:r w:rsidR="0030084F" w:rsidRPr="00907371">
        <w:rPr>
          <w:rFonts w:ascii="Times New Roman" w:hAnsi="Times New Roman"/>
          <w:spacing w:val="-6"/>
        </w:rPr>
        <w:t>迄今已逾</w:t>
      </w:r>
      <w:r w:rsidR="0030084F" w:rsidRPr="00907371">
        <w:rPr>
          <w:rFonts w:ascii="Times New Roman" w:hAnsi="Times New Roman"/>
          <w:spacing w:val="-6"/>
        </w:rPr>
        <w:t>31</w:t>
      </w:r>
      <w:r w:rsidR="0030084F" w:rsidRPr="00907371">
        <w:rPr>
          <w:rFonts w:ascii="Times New Roman" w:hAnsi="Times New Roman"/>
          <w:spacing w:val="-6"/>
        </w:rPr>
        <w:t>年，</w:t>
      </w:r>
      <w:r w:rsidR="00277216" w:rsidRPr="00907371">
        <w:rPr>
          <w:rFonts w:ascii="Times New Roman" w:hAnsi="Times New Roman"/>
          <w:spacing w:val="-6"/>
        </w:rPr>
        <w:t>涵蓋診療項目自初期</w:t>
      </w:r>
      <w:r w:rsidR="00277216" w:rsidRPr="00907371">
        <w:rPr>
          <w:rFonts w:ascii="Times New Roman" w:hAnsi="Times New Roman"/>
          <w:spacing w:val="-6"/>
        </w:rPr>
        <w:t>3</w:t>
      </w:r>
      <w:r w:rsidR="00277216" w:rsidRPr="00907371">
        <w:rPr>
          <w:rFonts w:ascii="Times New Roman" w:hAnsi="Times New Roman"/>
          <w:spacing w:val="-6"/>
        </w:rPr>
        <w:t>千餘項，今已收載逾</w:t>
      </w:r>
      <w:r w:rsidR="00277216" w:rsidRPr="00907371">
        <w:rPr>
          <w:rFonts w:ascii="Times New Roman" w:hAnsi="Times New Roman"/>
          <w:spacing w:val="-6"/>
        </w:rPr>
        <w:t>6</w:t>
      </w:r>
      <w:r w:rsidR="00277216" w:rsidRPr="00907371">
        <w:rPr>
          <w:rFonts w:ascii="Times New Roman" w:hAnsi="Times New Roman"/>
          <w:spacing w:val="-6"/>
        </w:rPr>
        <w:t>千餘項，</w:t>
      </w:r>
      <w:r w:rsidR="00224CC9" w:rsidRPr="00907371">
        <w:rPr>
          <w:rFonts w:ascii="Times New Roman" w:hAnsi="Times New Roman"/>
          <w:spacing w:val="-6"/>
        </w:rPr>
        <w:t>究</w:t>
      </w:r>
      <w:r w:rsidR="005A3D00" w:rsidRPr="00907371">
        <w:rPr>
          <w:rFonts w:ascii="Times New Roman" w:hAnsi="Times New Roman"/>
          <w:spacing w:val="-6"/>
        </w:rPr>
        <w:t>健保</w:t>
      </w:r>
      <w:r w:rsidR="00277216" w:rsidRPr="00907371">
        <w:rPr>
          <w:rFonts w:ascii="Times New Roman" w:hAnsi="Times New Roman"/>
          <w:spacing w:val="-6"/>
        </w:rPr>
        <w:t>支付</w:t>
      </w:r>
      <w:r w:rsidR="00224CC9" w:rsidRPr="00907371">
        <w:rPr>
          <w:rFonts w:ascii="Times New Roman" w:hAnsi="Times New Roman"/>
          <w:spacing w:val="-6"/>
        </w:rPr>
        <w:t>標準</w:t>
      </w:r>
      <w:r w:rsidR="005A3D00" w:rsidRPr="00907371">
        <w:rPr>
          <w:rFonts w:ascii="Times New Roman" w:hAnsi="Times New Roman"/>
          <w:spacing w:val="-6"/>
        </w:rPr>
        <w:t>是否有切實符合臨床實務</w:t>
      </w:r>
      <w:r w:rsidR="00277216" w:rsidRPr="00907371">
        <w:rPr>
          <w:rFonts w:ascii="Times New Roman" w:hAnsi="Times New Roman"/>
          <w:spacing w:val="-6"/>
        </w:rPr>
        <w:t>？是否</w:t>
      </w:r>
      <w:r w:rsidR="005A3D00" w:rsidRPr="00907371">
        <w:rPr>
          <w:rFonts w:ascii="Times New Roman" w:hAnsi="Times New Roman"/>
          <w:spacing w:val="-6"/>
        </w:rPr>
        <w:t>有效</w:t>
      </w:r>
      <w:r w:rsidR="00277216" w:rsidRPr="00907371">
        <w:rPr>
          <w:rFonts w:ascii="Times New Roman" w:hAnsi="Times New Roman"/>
          <w:spacing w:val="-6"/>
        </w:rPr>
        <w:t>反映醫療專業、風險及人力投入？又</w:t>
      </w:r>
      <w:r w:rsidR="005A3D00" w:rsidRPr="00907371">
        <w:rPr>
          <w:rFonts w:ascii="Times New Roman" w:hAnsi="Times New Roman"/>
          <w:spacing w:val="-6"/>
        </w:rPr>
        <w:t>，</w:t>
      </w:r>
      <w:r w:rsidR="005A3D00" w:rsidRPr="00907371">
        <w:rPr>
          <w:rFonts w:ascii="Times New Roman" w:hAnsi="Times New Roman"/>
          <w:spacing w:val="-6"/>
        </w:rPr>
        <w:t>114</w:t>
      </w:r>
      <w:r w:rsidR="005A3D00" w:rsidRPr="00907371">
        <w:rPr>
          <w:rFonts w:ascii="Times New Roman" w:hAnsi="Times New Roman"/>
          <w:spacing w:val="-6"/>
        </w:rPr>
        <w:t>年</w:t>
      </w:r>
      <w:r w:rsidR="005A3D00" w:rsidRPr="00907371">
        <w:rPr>
          <w:rFonts w:ascii="Times New Roman" w:hAnsi="Times New Roman"/>
          <w:spacing w:val="-6"/>
        </w:rPr>
        <w:t>12</w:t>
      </w:r>
      <w:r w:rsidR="005A3D00" w:rsidRPr="00907371">
        <w:rPr>
          <w:rFonts w:ascii="Times New Roman" w:hAnsi="Times New Roman"/>
          <w:spacing w:val="-6"/>
        </w:rPr>
        <w:t>月</w:t>
      </w:r>
      <w:r w:rsidR="005A3D00" w:rsidRPr="00907371">
        <w:rPr>
          <w:rFonts w:ascii="Times New Roman" w:hAnsi="Times New Roman"/>
          <w:spacing w:val="-6"/>
        </w:rPr>
        <w:t>1</w:t>
      </w:r>
      <w:r w:rsidR="005A3D00" w:rsidRPr="00907371">
        <w:rPr>
          <w:rFonts w:ascii="Times New Roman" w:hAnsi="Times New Roman"/>
          <w:spacing w:val="-6"/>
        </w:rPr>
        <w:t>日</w:t>
      </w:r>
      <w:r w:rsidR="003842EC" w:rsidRPr="00907371">
        <w:rPr>
          <w:rFonts w:ascii="Times New Roman" w:hAnsi="Times New Roman"/>
          <w:spacing w:val="-6"/>
        </w:rPr>
        <w:t>衛生福利部</w:t>
      </w:r>
      <w:r w:rsidR="00907371" w:rsidRPr="00907371">
        <w:rPr>
          <w:rFonts w:ascii="Times New Roman"/>
          <w:spacing w:val="-6"/>
        </w:rPr>
        <w:t>（下稱衛福部）</w:t>
      </w:r>
      <w:r w:rsidR="003842EC" w:rsidRPr="00907371">
        <w:rPr>
          <w:rFonts w:ascii="Times New Roman" w:hAnsi="Times New Roman"/>
          <w:spacing w:val="-6"/>
        </w:rPr>
        <w:t>中央健康保險署</w:t>
      </w:r>
      <w:r w:rsidR="00907371" w:rsidRPr="00907371">
        <w:rPr>
          <w:rFonts w:ascii="Times New Roman"/>
          <w:spacing w:val="-6"/>
        </w:rPr>
        <w:t>（下稱</w:t>
      </w:r>
      <w:r w:rsidR="00907371" w:rsidRPr="00907371">
        <w:rPr>
          <w:rFonts w:ascii="Times New Roman" w:hint="eastAsia"/>
          <w:spacing w:val="-6"/>
        </w:rPr>
        <w:t>健保署</w:t>
      </w:r>
      <w:r w:rsidR="00907371" w:rsidRPr="00907371">
        <w:rPr>
          <w:rFonts w:ascii="Times New Roman"/>
          <w:spacing w:val="-6"/>
        </w:rPr>
        <w:t>）</w:t>
      </w:r>
      <w:r w:rsidR="005A3D00" w:rsidRPr="00907371">
        <w:rPr>
          <w:rFonts w:ascii="Times New Roman" w:hAnsi="Times New Roman"/>
          <w:spacing w:val="-6"/>
        </w:rPr>
        <w:t>將單劑要價近新臺幣（下同）</w:t>
      </w:r>
      <w:r w:rsidR="005A3D00" w:rsidRPr="00907371">
        <w:rPr>
          <w:rFonts w:ascii="Times New Roman" w:hAnsi="Times New Roman"/>
          <w:spacing w:val="-6"/>
        </w:rPr>
        <w:t>1</w:t>
      </w:r>
      <w:r w:rsidR="005A3D00" w:rsidRPr="00907371">
        <w:rPr>
          <w:rFonts w:ascii="Times New Roman" w:hAnsi="Times New Roman"/>
          <w:spacing w:val="-6"/>
        </w:rPr>
        <w:t>億元之基因治療藥品納入給付，創下健保給付藥物單價最高紀錄，</w:t>
      </w:r>
      <w:r w:rsidR="00277216" w:rsidRPr="00907371">
        <w:rPr>
          <w:rFonts w:ascii="Times New Roman" w:hAnsi="Times New Roman"/>
          <w:spacing w:val="-6"/>
        </w:rPr>
        <w:t>115</w:t>
      </w:r>
      <w:r w:rsidR="00277216" w:rsidRPr="00907371">
        <w:rPr>
          <w:rFonts w:ascii="Times New Roman" w:hAnsi="Times New Roman"/>
          <w:spacing w:val="-6"/>
        </w:rPr>
        <w:t>年健保預算總額更達</w:t>
      </w:r>
      <w:r w:rsidR="00277216" w:rsidRPr="00907371">
        <w:rPr>
          <w:rFonts w:ascii="Times New Roman" w:hAnsi="Times New Roman"/>
          <w:spacing w:val="-6"/>
        </w:rPr>
        <w:t>9,883.35</w:t>
      </w:r>
      <w:r w:rsidR="00277216" w:rsidRPr="00907371">
        <w:rPr>
          <w:rFonts w:ascii="Times New Roman" w:hAnsi="Times New Roman"/>
          <w:spacing w:val="-6"/>
        </w:rPr>
        <w:t>億元，金額龐大</w:t>
      </w:r>
      <w:r w:rsidR="00224CC9" w:rsidRPr="00907371">
        <w:rPr>
          <w:rFonts w:ascii="Times New Roman" w:hAnsi="Times New Roman"/>
          <w:spacing w:val="-6"/>
        </w:rPr>
        <w:t>，</w:t>
      </w:r>
      <w:r w:rsidR="00277216" w:rsidRPr="00907371">
        <w:rPr>
          <w:rFonts w:ascii="Times New Roman" w:hAnsi="Times New Roman"/>
          <w:spacing w:val="-6"/>
        </w:rPr>
        <w:t>現行健保給付審議程序得否合理分配健保資源？均有深入瞭解之必要案</w:t>
      </w:r>
      <w:bookmarkEnd w:id="25"/>
      <w:r w:rsidRPr="00907371">
        <w:rPr>
          <w:rFonts w:ascii="Times New Roman" w:hAnsi="Times New Roman"/>
          <w:spacing w:val="-6"/>
        </w:rPr>
        <w:t>。</w:t>
      </w:r>
    </w:p>
    <w:p w14:paraId="2590727F" w14:textId="03FBF319" w:rsidR="00C44797" w:rsidRPr="00CE6AE7" w:rsidRDefault="00206584" w:rsidP="00206584">
      <w:pPr>
        <w:pStyle w:val="1"/>
        <w:rPr>
          <w:rFonts w:ascii="Times New Roman" w:hAnsi="Times New Roman"/>
        </w:rPr>
      </w:pPr>
      <w:r w:rsidRPr="00CE6AE7">
        <w:rPr>
          <w:rFonts w:ascii="Times New Roman" w:hAnsi="Times New Roman"/>
        </w:rPr>
        <w:t>調查意見</w:t>
      </w:r>
    </w:p>
    <w:p w14:paraId="7D62E657" w14:textId="77777777" w:rsidR="003C4813" w:rsidRPr="00CE6AE7" w:rsidRDefault="003C4813" w:rsidP="003C4813">
      <w:pPr>
        <w:ind w:leftChars="208" w:left="708" w:firstLineChars="167" w:firstLine="568"/>
        <w:rPr>
          <w:rFonts w:ascii="Times New Roman"/>
        </w:rPr>
      </w:pPr>
      <w:bookmarkStart w:id="26" w:name="_Hlk233839879"/>
      <w:r w:rsidRPr="00CE6AE7">
        <w:rPr>
          <w:rFonts w:ascii="Times New Roman"/>
        </w:rPr>
        <w:t>本案緣為衛生福利部（下稱衛福部）於民國（下同）</w:t>
      </w:r>
      <w:r w:rsidRPr="00CE6AE7">
        <w:rPr>
          <w:rFonts w:ascii="Times New Roman"/>
        </w:rPr>
        <w:t>114</w:t>
      </w:r>
      <w:r w:rsidRPr="00CE6AE7">
        <w:rPr>
          <w:rFonts w:ascii="Times New Roman"/>
        </w:rPr>
        <w:t>年</w:t>
      </w:r>
      <w:r w:rsidRPr="00CE6AE7">
        <w:rPr>
          <w:rFonts w:ascii="Times New Roman"/>
        </w:rPr>
        <w:t>12</w:t>
      </w:r>
      <w:r w:rsidRPr="00CE6AE7">
        <w:rPr>
          <w:rFonts w:ascii="Times New Roman"/>
        </w:rPr>
        <w:t>月</w:t>
      </w:r>
      <w:r w:rsidRPr="00CE6AE7">
        <w:rPr>
          <w:rFonts w:ascii="Times New Roman"/>
        </w:rPr>
        <w:t>1</w:t>
      </w:r>
      <w:r w:rsidRPr="00CE6AE7">
        <w:rPr>
          <w:rFonts w:ascii="Times New Roman"/>
        </w:rPr>
        <w:t>日公告將單劑要價近新臺幣（下同）</w:t>
      </w:r>
      <w:r w:rsidRPr="00CE6AE7">
        <w:rPr>
          <w:rFonts w:ascii="Times New Roman"/>
        </w:rPr>
        <w:t>1</w:t>
      </w:r>
      <w:r w:rsidRPr="00CE6AE7">
        <w:rPr>
          <w:rFonts w:ascii="Times New Roman"/>
        </w:rPr>
        <w:t>億元之罕見疾病（下稱罕病）芳香族</w:t>
      </w:r>
      <w:r w:rsidRPr="00CE6AE7">
        <w:rPr>
          <w:rFonts w:ascii="Times New Roman"/>
        </w:rPr>
        <w:t>L-</w:t>
      </w:r>
      <w:r w:rsidRPr="00CE6AE7">
        <w:rPr>
          <w:rFonts w:ascii="Times New Roman"/>
        </w:rPr>
        <w:t>胺基酸類脫羧基酶缺乏症（</w:t>
      </w:r>
      <w:r w:rsidRPr="00CE6AE7">
        <w:rPr>
          <w:rFonts w:ascii="Times New Roman"/>
        </w:rPr>
        <w:t>Aromatic L-amino Acid Decarboxylase Deficiency</w:t>
      </w:r>
      <w:r w:rsidRPr="00CE6AE7">
        <w:rPr>
          <w:rFonts w:ascii="Times New Roman"/>
        </w:rPr>
        <w:t>，下稱</w:t>
      </w:r>
      <w:r w:rsidRPr="00CE6AE7">
        <w:rPr>
          <w:rFonts w:ascii="Times New Roman"/>
        </w:rPr>
        <w:t>AADC</w:t>
      </w:r>
      <w:r w:rsidRPr="00CE6AE7">
        <w:rPr>
          <w:rFonts w:ascii="Times New Roman"/>
        </w:rPr>
        <w:t>缺乏症）之基因治療藥品「</w:t>
      </w:r>
      <w:r w:rsidRPr="00CE6AE7">
        <w:rPr>
          <w:rFonts w:ascii="Times New Roman"/>
        </w:rPr>
        <w:t>Upstaza</w:t>
      </w:r>
      <w:r w:rsidRPr="00CE6AE7">
        <w:rPr>
          <w:rFonts w:ascii="Times New Roman"/>
        </w:rPr>
        <w:t>」納入全民健康保險（下稱健保）給付，創下健保給付藥物</w:t>
      </w:r>
      <w:r w:rsidRPr="00CE6AE7">
        <w:rPr>
          <w:rStyle w:val="aff6"/>
          <w:rFonts w:ascii="Times New Roman"/>
        </w:rPr>
        <w:footnoteReference w:id="1"/>
      </w:r>
      <w:r w:rsidRPr="00CE6AE7">
        <w:rPr>
          <w:rFonts w:ascii="Times New Roman"/>
        </w:rPr>
        <w:t>單價最高紀錄。本院旋於同年月</w:t>
      </w:r>
      <w:r w:rsidRPr="00CE6AE7">
        <w:rPr>
          <w:rFonts w:ascii="Times New Roman"/>
        </w:rPr>
        <w:t>10</w:t>
      </w:r>
      <w:r w:rsidRPr="00CE6AE7">
        <w:rPr>
          <w:rFonts w:ascii="Times New Roman"/>
        </w:rPr>
        <w:t>日就該藥之審議程序、療效及經濟效益評估結果，函詢衛福部，並經該部</w:t>
      </w:r>
      <w:r w:rsidRPr="00CE6AE7">
        <w:rPr>
          <w:rFonts w:ascii="Times New Roman"/>
        </w:rPr>
        <w:t>115</w:t>
      </w:r>
      <w:r w:rsidRPr="00CE6AE7">
        <w:rPr>
          <w:rFonts w:ascii="Times New Roman"/>
        </w:rPr>
        <w:t>年</w:t>
      </w:r>
      <w:r w:rsidRPr="00CE6AE7">
        <w:rPr>
          <w:rFonts w:ascii="Times New Roman"/>
        </w:rPr>
        <w:t>1</w:t>
      </w:r>
      <w:r w:rsidRPr="00CE6AE7">
        <w:rPr>
          <w:rFonts w:ascii="Times New Roman"/>
        </w:rPr>
        <w:t>月</w:t>
      </w:r>
      <w:r w:rsidRPr="00CE6AE7">
        <w:rPr>
          <w:rFonts w:ascii="Times New Roman"/>
        </w:rPr>
        <w:t>23</w:t>
      </w:r>
      <w:r w:rsidRPr="00CE6AE7">
        <w:rPr>
          <w:rFonts w:ascii="Times New Roman"/>
        </w:rPr>
        <w:t>日函復到院</w:t>
      </w:r>
      <w:r w:rsidRPr="00CE6AE7">
        <w:rPr>
          <w:rStyle w:val="aff6"/>
          <w:rFonts w:ascii="Times New Roman"/>
        </w:rPr>
        <w:footnoteReference w:id="2"/>
      </w:r>
      <w:r w:rsidRPr="00CE6AE7">
        <w:rPr>
          <w:rFonts w:ascii="Times New Roman"/>
        </w:rPr>
        <w:t>，說明該藥受限於試驗人數，成本效益分</w:t>
      </w:r>
      <w:r w:rsidRPr="00CE6AE7">
        <w:rPr>
          <w:rFonts w:ascii="Times New Roman"/>
        </w:rPr>
        <w:lastRenderedPageBreak/>
        <w:t>析結果有相當大的不確定性，</w:t>
      </w:r>
      <w:r w:rsidRPr="00CE6AE7">
        <w:rPr>
          <w:rFonts w:ascii="Times New Roman" w:hint="eastAsia"/>
        </w:rPr>
        <w:t>並</w:t>
      </w:r>
      <w:r w:rsidRPr="00CE6AE7">
        <w:rPr>
          <w:rFonts w:ascii="Times New Roman"/>
        </w:rPr>
        <w:t>缺乏長期臨床試驗療效證據，惟考量</w:t>
      </w:r>
      <w:r w:rsidRPr="00CE6AE7">
        <w:rPr>
          <w:rFonts w:ascii="Times New Roman"/>
        </w:rPr>
        <w:t>AADC</w:t>
      </w:r>
      <w:r w:rsidRPr="00CE6AE7">
        <w:rPr>
          <w:rFonts w:ascii="Times New Roman"/>
        </w:rPr>
        <w:t>缺乏症除該藥外尚無其他治療藥品，故</w:t>
      </w:r>
      <w:r w:rsidRPr="00CE6AE7">
        <w:rPr>
          <w:rFonts w:ascii="Times New Roman" w:hint="eastAsia"/>
        </w:rPr>
        <w:t>衛福部</w:t>
      </w:r>
      <w:r w:rsidRPr="00CE6AE7">
        <w:rPr>
          <w:rFonts w:ascii="Times New Roman"/>
        </w:rPr>
        <w:t>中央健康保險署（</w:t>
      </w:r>
      <w:r w:rsidRPr="00CE6AE7">
        <w:rPr>
          <w:rFonts w:ascii="Times New Roman" w:hint="eastAsia"/>
        </w:rPr>
        <w:t>下稱</w:t>
      </w:r>
      <w:r w:rsidRPr="00CE6AE7">
        <w:rPr>
          <w:rFonts w:ascii="Times New Roman"/>
        </w:rPr>
        <w:t>健保署）仍決定將其納入健保給付，並規劃於</w:t>
      </w:r>
      <w:r w:rsidRPr="00CE6AE7">
        <w:rPr>
          <w:rFonts w:ascii="Times New Roman"/>
        </w:rPr>
        <w:t>3</w:t>
      </w:r>
      <w:r w:rsidRPr="00CE6AE7">
        <w:rPr>
          <w:rFonts w:ascii="Times New Roman"/>
        </w:rPr>
        <w:t>年後重新檢討支付價格與給付條件。</w:t>
      </w:r>
      <w:r w:rsidRPr="00CE6AE7">
        <w:rPr>
          <w:rFonts w:ascii="Times New Roman" w:hint="eastAsia"/>
        </w:rPr>
        <w:t>又</w:t>
      </w:r>
      <w:r w:rsidRPr="00CE6AE7">
        <w:rPr>
          <w:rFonts w:ascii="Times New Roman"/>
        </w:rPr>
        <w:t>依該藥品醫療科技評估（</w:t>
      </w:r>
      <w:r w:rsidRPr="00CE6AE7">
        <w:rPr>
          <w:rFonts w:ascii="Times New Roman"/>
        </w:rPr>
        <w:t>Health Technology Assessment</w:t>
      </w:r>
      <w:r w:rsidRPr="00CE6AE7">
        <w:rPr>
          <w:rFonts w:ascii="Times New Roman"/>
        </w:rPr>
        <w:t>，下稱</w:t>
      </w:r>
      <w:r w:rsidRPr="00CE6AE7">
        <w:rPr>
          <w:rFonts w:ascii="Times New Roman"/>
        </w:rPr>
        <w:t>HTA</w:t>
      </w:r>
      <w:r w:rsidRPr="00CE6AE7">
        <w:rPr>
          <w:rFonts w:ascii="Times New Roman"/>
        </w:rPr>
        <w:t>）報告</w:t>
      </w:r>
      <w:r w:rsidRPr="00CE6AE7">
        <w:rPr>
          <w:rFonts w:ascii="Times New Roman" w:hint="eastAsia"/>
        </w:rPr>
        <w:t>指出</w:t>
      </w:r>
      <w:r w:rsidRPr="00CE6AE7">
        <w:rPr>
          <w:rFonts w:ascii="Times New Roman"/>
        </w:rPr>
        <w:t>，若加計手術、醫療特殊器材（下稱特材）及其他醫療費用，第</w:t>
      </w:r>
      <w:r w:rsidRPr="00CE6AE7">
        <w:rPr>
          <w:rFonts w:ascii="Times New Roman"/>
        </w:rPr>
        <w:t>1</w:t>
      </w:r>
      <w:r w:rsidRPr="00CE6AE7">
        <w:rPr>
          <w:rFonts w:ascii="Times New Roman"/>
        </w:rPr>
        <w:t>年預計之財務影響約</w:t>
      </w:r>
      <w:r w:rsidRPr="00CE6AE7">
        <w:rPr>
          <w:rFonts w:ascii="Times New Roman"/>
        </w:rPr>
        <w:t>11.91</w:t>
      </w:r>
      <w:r w:rsidRPr="00CE6AE7">
        <w:rPr>
          <w:rFonts w:ascii="Times New Roman"/>
        </w:rPr>
        <w:t>億元，金額龐大。</w:t>
      </w:r>
    </w:p>
    <w:p w14:paraId="562B9BDA" w14:textId="5109A679" w:rsidR="003C4813" w:rsidRPr="00CE6AE7" w:rsidRDefault="003C4813" w:rsidP="003C4813">
      <w:pPr>
        <w:ind w:leftChars="208" w:left="708" w:firstLineChars="167" w:firstLine="568"/>
        <w:rPr>
          <w:rFonts w:ascii="Times New Roman"/>
        </w:rPr>
      </w:pPr>
      <w:r w:rsidRPr="00CE6AE7">
        <w:rPr>
          <w:rFonts w:ascii="Times New Roman"/>
        </w:rPr>
        <w:t>基於我國人口結構快速老化，慢性病及重症照護需求提升，加上新興藥品、特材及醫療服務項目之快速發展，醫療費用急遽成長，健保自</w:t>
      </w:r>
      <w:r w:rsidRPr="00CE6AE7">
        <w:rPr>
          <w:rFonts w:ascii="Times New Roman"/>
        </w:rPr>
        <w:t>84</w:t>
      </w:r>
      <w:r w:rsidRPr="00CE6AE7">
        <w:rPr>
          <w:rFonts w:ascii="Times New Roman"/>
        </w:rPr>
        <w:t>年開辦迄今，支出總額已由</w:t>
      </w:r>
      <w:r w:rsidRPr="00CE6AE7">
        <w:rPr>
          <w:rFonts w:ascii="Times New Roman"/>
        </w:rPr>
        <w:t>1,573.6</w:t>
      </w:r>
      <w:r w:rsidRPr="00CE6AE7">
        <w:rPr>
          <w:rFonts w:ascii="Times New Roman"/>
        </w:rPr>
        <w:t>億元，至</w:t>
      </w:r>
      <w:r w:rsidRPr="00CE6AE7">
        <w:rPr>
          <w:rFonts w:ascii="Times New Roman"/>
        </w:rPr>
        <w:t>114</w:t>
      </w:r>
      <w:r w:rsidRPr="00CE6AE7">
        <w:rPr>
          <w:rFonts w:ascii="Times New Roman"/>
        </w:rPr>
        <w:t>年達</w:t>
      </w:r>
      <w:r w:rsidRPr="00CE6AE7">
        <w:rPr>
          <w:rFonts w:ascii="Times New Roman"/>
        </w:rPr>
        <w:t>8,385.4</w:t>
      </w:r>
      <w:r w:rsidRPr="00CE6AE7">
        <w:rPr>
          <w:rFonts w:ascii="Times New Roman"/>
        </w:rPr>
        <w:t>億元。健保醫療服務給付項目及支付標準（下稱健保支付標準）涵蓋診療項目，也自開辦初期</w:t>
      </w:r>
      <w:r w:rsidRPr="00CE6AE7">
        <w:rPr>
          <w:rFonts w:ascii="Times New Roman"/>
        </w:rPr>
        <w:t>3</w:t>
      </w:r>
      <w:r w:rsidRPr="00CE6AE7">
        <w:rPr>
          <w:rFonts w:ascii="Times New Roman"/>
        </w:rPr>
        <w:t>千餘項增加至目前逾</w:t>
      </w:r>
      <w:r w:rsidRPr="00CE6AE7">
        <w:rPr>
          <w:rFonts w:ascii="Times New Roman"/>
        </w:rPr>
        <w:t>6</w:t>
      </w:r>
      <w:r w:rsidRPr="00CE6AE7">
        <w:rPr>
          <w:rFonts w:ascii="Times New Roman"/>
        </w:rPr>
        <w:t>千餘項。</w:t>
      </w:r>
      <w:r w:rsidRPr="00CE6AE7">
        <w:rPr>
          <w:rFonts w:ascii="Times New Roman" w:hint="eastAsia"/>
        </w:rPr>
        <w:t>復就</w:t>
      </w:r>
      <w:r w:rsidRPr="00CE6AE7">
        <w:rPr>
          <w:rFonts w:ascii="Times New Roman"/>
        </w:rPr>
        <w:t>健保開辦初期，為減少醫療院所之衝擊，所訂定之健保支付標準，主要承襲</w:t>
      </w:r>
      <w:r w:rsidR="00C443FC" w:rsidRPr="00CE6AE7">
        <w:rPr>
          <w:rFonts w:ascii="Times New Roman" w:hint="eastAsia"/>
        </w:rPr>
        <w:t>臺閩地區勞工保險局（下稱</w:t>
      </w:r>
      <w:r w:rsidR="00171F38" w:rsidRPr="00CE6AE7">
        <w:rPr>
          <w:rFonts w:ascii="Times New Roman"/>
        </w:rPr>
        <w:t>原勞保局</w:t>
      </w:r>
      <w:r w:rsidR="00C443FC" w:rsidRPr="00CE6AE7">
        <w:rPr>
          <w:rFonts w:ascii="Times New Roman" w:hint="eastAsia"/>
        </w:rPr>
        <w:t>）</w:t>
      </w:r>
      <w:r w:rsidR="00171F38" w:rsidRPr="00CE6AE7">
        <w:rPr>
          <w:rStyle w:val="aff6"/>
          <w:rFonts w:ascii="Times New Roman"/>
        </w:rPr>
        <w:footnoteReference w:id="3"/>
      </w:r>
      <w:r w:rsidR="00171F38" w:rsidRPr="00CE6AE7">
        <w:rPr>
          <w:rFonts w:ascii="Times New Roman" w:hint="eastAsia"/>
        </w:rPr>
        <w:t>訂定之</w:t>
      </w:r>
      <w:r w:rsidRPr="00CE6AE7">
        <w:rPr>
          <w:rFonts w:ascii="Times New Roman"/>
        </w:rPr>
        <w:t>「勞工保險診療費用支付標準表」（下稱勞保甲乙丙表），沿用迄今已逾</w:t>
      </w:r>
      <w:r w:rsidRPr="00CE6AE7">
        <w:rPr>
          <w:rFonts w:ascii="Times New Roman"/>
        </w:rPr>
        <w:t>31</w:t>
      </w:r>
      <w:r w:rsidRPr="00CE6AE7">
        <w:rPr>
          <w:rFonts w:ascii="Times New Roman"/>
        </w:rPr>
        <w:t>年，究現行健保給付審議程序得否合理分配健保資源、</w:t>
      </w:r>
      <w:r w:rsidRPr="00CE6AE7">
        <w:rPr>
          <w:rFonts w:ascii="Times New Roman"/>
        </w:rPr>
        <w:t>HTA</w:t>
      </w:r>
      <w:r w:rsidRPr="00CE6AE7">
        <w:rPr>
          <w:rFonts w:ascii="Times New Roman"/>
        </w:rPr>
        <w:t>機制是否發揮評估實益，及健保支付標準是否符合臨床實務需求，均有深入調查之必要。</w:t>
      </w:r>
    </w:p>
    <w:p w14:paraId="6206EAF6" w14:textId="338AEF73" w:rsidR="003C4813" w:rsidRPr="00CE6AE7" w:rsidRDefault="003C4813" w:rsidP="003C4813">
      <w:pPr>
        <w:ind w:leftChars="208" w:left="708" w:firstLineChars="167" w:firstLine="568"/>
        <w:rPr>
          <w:rFonts w:ascii="Times New Roman"/>
        </w:rPr>
      </w:pPr>
      <w:r w:rsidRPr="00CE6AE7">
        <w:rPr>
          <w:rFonts w:ascii="Times New Roman"/>
        </w:rPr>
        <w:t>案經本院</w:t>
      </w:r>
      <w:r w:rsidRPr="00CE6AE7">
        <w:rPr>
          <w:rFonts w:ascii="Times New Roman"/>
        </w:rPr>
        <w:t>115</w:t>
      </w:r>
      <w:r w:rsidRPr="00CE6AE7">
        <w:rPr>
          <w:rFonts w:ascii="Times New Roman"/>
        </w:rPr>
        <w:t>年</w:t>
      </w:r>
      <w:r w:rsidRPr="00CE6AE7">
        <w:rPr>
          <w:rFonts w:ascii="Times New Roman"/>
        </w:rPr>
        <w:t>3</w:t>
      </w:r>
      <w:r w:rsidRPr="00CE6AE7">
        <w:rPr>
          <w:rFonts w:ascii="Times New Roman"/>
        </w:rPr>
        <w:t>月派查，針對健保支付標準擬訂程序、健保總額分配及納入健保給付評估機制等健康照護資源分配議題，向健保署及審計部調取卷證資料</w:t>
      </w:r>
      <w:r w:rsidRPr="00CE6AE7">
        <w:rPr>
          <w:rStyle w:val="aff6"/>
          <w:rFonts w:ascii="Times New Roman"/>
        </w:rPr>
        <w:footnoteReference w:id="4"/>
      </w:r>
      <w:r w:rsidRPr="00CE6AE7">
        <w:rPr>
          <w:rFonts w:ascii="Times New Roman"/>
        </w:rPr>
        <w:t>，並於</w:t>
      </w:r>
      <w:r w:rsidRPr="00CE6AE7">
        <w:rPr>
          <w:rFonts w:ascii="Times New Roman"/>
        </w:rPr>
        <w:t>115</w:t>
      </w:r>
      <w:r w:rsidRPr="00CE6AE7">
        <w:rPr>
          <w:rFonts w:ascii="Times New Roman"/>
        </w:rPr>
        <w:t>年</w:t>
      </w:r>
      <w:r w:rsidRPr="00CE6AE7">
        <w:rPr>
          <w:rFonts w:ascii="Times New Roman"/>
        </w:rPr>
        <w:t>4</w:t>
      </w:r>
      <w:r w:rsidRPr="00CE6AE7">
        <w:rPr>
          <w:rFonts w:ascii="Times New Roman"/>
        </w:rPr>
        <w:t>月</w:t>
      </w:r>
      <w:r w:rsidRPr="00CE6AE7">
        <w:rPr>
          <w:rFonts w:ascii="Times New Roman"/>
        </w:rPr>
        <w:t>30</w:t>
      </w:r>
      <w:r w:rsidRPr="00CE6AE7">
        <w:rPr>
          <w:rFonts w:ascii="Times New Roman"/>
        </w:rPr>
        <w:t>日就健保給付制度及資源配置現況等情形，與健保署進行簡報座談</w:t>
      </w:r>
      <w:r w:rsidRPr="00CE6AE7">
        <w:rPr>
          <w:rStyle w:val="aff6"/>
          <w:rFonts w:ascii="Times New Roman"/>
        </w:rPr>
        <w:footnoteReference w:id="5"/>
      </w:r>
      <w:r w:rsidRPr="00CE6AE7">
        <w:rPr>
          <w:rFonts w:ascii="Times New Roman"/>
        </w:rPr>
        <w:t>。</w:t>
      </w:r>
    </w:p>
    <w:p w14:paraId="57341F42" w14:textId="3421C941" w:rsidR="003B45F0" w:rsidRPr="00CE6AE7" w:rsidRDefault="003C4813" w:rsidP="003C4813">
      <w:pPr>
        <w:ind w:leftChars="208" w:left="708" w:firstLineChars="167" w:firstLine="568"/>
        <w:rPr>
          <w:rFonts w:ascii="Times New Roman"/>
        </w:rPr>
      </w:pPr>
      <w:r w:rsidRPr="00CE6AE7">
        <w:rPr>
          <w:rFonts w:ascii="Times New Roman"/>
        </w:rPr>
        <w:lastRenderedPageBreak/>
        <w:t>依據上述卷證，復於</w:t>
      </w:r>
      <w:r w:rsidRPr="00CE6AE7">
        <w:rPr>
          <w:rFonts w:ascii="Times New Roman"/>
        </w:rPr>
        <w:t>115</w:t>
      </w:r>
      <w:r w:rsidRPr="00CE6AE7">
        <w:rPr>
          <w:rFonts w:ascii="Times New Roman"/>
        </w:rPr>
        <w:t>年</w:t>
      </w:r>
      <w:r w:rsidRPr="00CE6AE7">
        <w:rPr>
          <w:rFonts w:ascii="Times New Roman"/>
        </w:rPr>
        <w:t>5</w:t>
      </w:r>
      <w:r w:rsidRPr="00CE6AE7">
        <w:rPr>
          <w:rFonts w:ascii="Times New Roman"/>
        </w:rPr>
        <w:t>月</w:t>
      </w:r>
      <w:r w:rsidRPr="00CE6AE7">
        <w:rPr>
          <w:rFonts w:ascii="Times New Roman"/>
        </w:rPr>
        <w:t>28</w:t>
      </w:r>
      <w:r w:rsidRPr="00CE6AE7">
        <w:rPr>
          <w:rFonts w:ascii="Times New Roman"/>
        </w:rPr>
        <w:t>日詢問</w:t>
      </w:r>
      <w:r w:rsidRPr="00CE6AE7">
        <w:rPr>
          <w:rFonts w:ascii="Times New Roman"/>
        </w:rPr>
        <w:tab/>
      </w:r>
      <w:r w:rsidR="00F63DE1" w:rsidRPr="00CE6AE7">
        <w:rPr>
          <w:rFonts w:ascii="Times New Roman"/>
        </w:rPr>
        <w:t>衛福部及健保署等機關業務主管及</w:t>
      </w:r>
      <w:r w:rsidR="00F63DE1" w:rsidRPr="00CE6AE7">
        <w:rPr>
          <w:rFonts w:ascii="Times New Roman" w:hint="eastAsia"/>
        </w:rPr>
        <w:t>承辦</w:t>
      </w:r>
      <w:r w:rsidR="00F63DE1" w:rsidRPr="00CE6AE7">
        <w:rPr>
          <w:rFonts w:ascii="Times New Roman"/>
        </w:rPr>
        <w:t>人員</w:t>
      </w:r>
      <w:r w:rsidRPr="00CE6AE7">
        <w:rPr>
          <w:rStyle w:val="aff6"/>
          <w:rFonts w:ascii="Times New Roman"/>
        </w:rPr>
        <w:footnoteReference w:id="6"/>
      </w:r>
      <w:r w:rsidRPr="00CE6AE7">
        <w:rPr>
          <w:rFonts w:ascii="Times New Roman"/>
        </w:rPr>
        <w:t>，再卷析</w:t>
      </w:r>
      <w:r w:rsidRPr="00CE6AE7">
        <w:rPr>
          <w:rFonts w:ascii="Times New Roman"/>
        </w:rPr>
        <w:t>115</w:t>
      </w:r>
      <w:r w:rsidRPr="00CE6AE7">
        <w:rPr>
          <w:rFonts w:ascii="Times New Roman"/>
        </w:rPr>
        <w:t>年</w:t>
      </w:r>
      <w:r w:rsidRPr="00CE6AE7">
        <w:rPr>
          <w:rFonts w:ascii="Times New Roman"/>
        </w:rPr>
        <w:t>6</w:t>
      </w:r>
      <w:r w:rsidRPr="00CE6AE7">
        <w:rPr>
          <w:rFonts w:ascii="Times New Roman"/>
        </w:rPr>
        <w:t>月</w:t>
      </w:r>
      <w:r w:rsidRPr="00CE6AE7">
        <w:rPr>
          <w:rFonts w:ascii="Times New Roman"/>
        </w:rPr>
        <w:t>11</w:t>
      </w:r>
      <w:r w:rsidRPr="000C420B">
        <w:rPr>
          <w:rFonts w:ascii="Times New Roman"/>
          <w:spacing w:val="-8"/>
        </w:rPr>
        <w:t>日健保署及衛福部國民健康署（下稱國健署）補充資料</w:t>
      </w:r>
      <w:r w:rsidRPr="000C420B">
        <w:rPr>
          <w:rStyle w:val="aff6"/>
          <w:rFonts w:ascii="Times New Roman"/>
          <w:spacing w:val="-8"/>
        </w:rPr>
        <w:footnoteReference w:id="7"/>
      </w:r>
      <w:r w:rsidRPr="00CE6AE7">
        <w:rPr>
          <w:rFonts w:ascii="Times New Roman"/>
        </w:rPr>
        <w:t>，</w:t>
      </w:r>
      <w:r w:rsidRPr="00CE6AE7">
        <w:rPr>
          <w:rFonts w:ascii="Times New Roman"/>
          <w:lang w:eastAsia="zh-HK"/>
        </w:rPr>
        <w:t>已完成</w:t>
      </w:r>
      <w:r w:rsidRPr="00CE6AE7">
        <w:rPr>
          <w:rFonts w:ascii="Times New Roman"/>
        </w:rPr>
        <w:t>調查</w:t>
      </w:r>
      <w:r w:rsidR="00AB654E" w:rsidRPr="00CE6AE7">
        <w:rPr>
          <w:rFonts w:ascii="Times New Roman"/>
        </w:rPr>
        <w:t>，</w:t>
      </w:r>
      <w:r w:rsidR="00206584" w:rsidRPr="00CE6AE7">
        <w:rPr>
          <w:rFonts w:ascii="Times New Roman"/>
        </w:rPr>
        <w:t>提出</w:t>
      </w:r>
      <w:r w:rsidR="00206584" w:rsidRPr="00CE6AE7">
        <w:rPr>
          <w:rFonts w:ascii="Times New Roman"/>
          <w:lang w:eastAsia="zh-HK"/>
        </w:rPr>
        <w:t>調查意見</w:t>
      </w:r>
      <w:r w:rsidR="00206584" w:rsidRPr="00CE6AE7">
        <w:rPr>
          <w:rFonts w:ascii="Times New Roman"/>
        </w:rPr>
        <w:t>如後</w:t>
      </w:r>
      <w:bookmarkEnd w:id="26"/>
      <w:r w:rsidR="00206584" w:rsidRPr="00CE6AE7">
        <w:rPr>
          <w:rFonts w:ascii="Times New Roman"/>
        </w:rPr>
        <w:t>：</w:t>
      </w:r>
    </w:p>
    <w:p w14:paraId="384DA21F" w14:textId="7F1D0136" w:rsidR="00C07C74" w:rsidRPr="00CE6AE7" w:rsidRDefault="007901F0" w:rsidP="00D00D24">
      <w:pPr>
        <w:pStyle w:val="2"/>
        <w:rPr>
          <w:rFonts w:ascii="Times New Roman" w:hAnsi="Times New Roman"/>
          <w:b/>
          <w:bCs w:val="0"/>
        </w:rPr>
      </w:pPr>
      <w:bookmarkStart w:id="27" w:name="_Hlk233838422"/>
      <w:bookmarkStart w:id="28" w:name="_Hlk231216168"/>
      <w:r w:rsidRPr="00CE6AE7">
        <w:rPr>
          <w:rFonts w:ascii="Times New Roman" w:hAnsi="Times New Roman"/>
          <w:b/>
          <w:bCs w:val="0"/>
        </w:rPr>
        <w:t>我國</w:t>
      </w:r>
      <w:r w:rsidR="00A53C11" w:rsidRPr="00CE6AE7">
        <w:rPr>
          <w:rFonts w:ascii="Times New Roman" w:hAnsi="Times New Roman"/>
          <w:b/>
          <w:bCs w:val="0"/>
        </w:rPr>
        <w:t>健保</w:t>
      </w:r>
      <w:r w:rsidR="00D72308" w:rsidRPr="00CE6AE7">
        <w:rPr>
          <w:rFonts w:ascii="Times New Roman" w:hAnsi="Times New Roman"/>
          <w:b/>
          <w:bCs w:val="0"/>
        </w:rPr>
        <w:t>採強制納保</w:t>
      </w:r>
      <w:r w:rsidR="00FC1FCC" w:rsidRPr="00CE6AE7">
        <w:rPr>
          <w:rFonts w:ascii="Times New Roman" w:hAnsi="Times New Roman"/>
          <w:b/>
          <w:bCs w:val="0"/>
        </w:rPr>
        <w:t>，</w:t>
      </w:r>
      <w:r w:rsidR="00F167FE" w:rsidRPr="00CE6AE7">
        <w:rPr>
          <w:rFonts w:ascii="Times New Roman" w:hAnsi="Times New Roman"/>
          <w:b/>
          <w:bCs w:val="0"/>
        </w:rPr>
        <w:t>且</w:t>
      </w:r>
      <w:r w:rsidR="00A53C11" w:rsidRPr="00CE6AE7">
        <w:rPr>
          <w:rFonts w:ascii="Times New Roman" w:hAnsi="Times New Roman"/>
          <w:b/>
          <w:bCs w:val="0"/>
        </w:rPr>
        <w:t>為</w:t>
      </w:r>
      <w:r w:rsidRPr="00CE6AE7">
        <w:rPr>
          <w:rFonts w:ascii="Times New Roman" w:hAnsi="Times New Roman"/>
          <w:b/>
          <w:bCs w:val="0"/>
        </w:rPr>
        <w:t>單一保險人制度，特約醫療院所占全國醫療</w:t>
      </w:r>
      <w:r w:rsidR="001A2FF5" w:rsidRPr="00CE6AE7">
        <w:rPr>
          <w:rFonts w:ascii="Times New Roman" w:hAnsi="Times New Roman"/>
          <w:b/>
          <w:bCs w:val="0"/>
        </w:rPr>
        <w:t>機構</w:t>
      </w:r>
      <w:r w:rsidRPr="00CE6AE7">
        <w:rPr>
          <w:rFonts w:ascii="Times New Roman" w:hAnsi="Times New Roman"/>
          <w:b/>
          <w:bCs w:val="0"/>
        </w:rPr>
        <w:t>總數</w:t>
      </w:r>
      <w:r w:rsidRPr="00CE6AE7">
        <w:rPr>
          <w:rFonts w:ascii="Times New Roman" w:hAnsi="Times New Roman"/>
          <w:b/>
          <w:bCs w:val="0"/>
        </w:rPr>
        <w:t>9</w:t>
      </w:r>
      <w:r w:rsidRPr="00CE6AE7">
        <w:rPr>
          <w:rFonts w:ascii="Times New Roman" w:hAnsi="Times New Roman"/>
          <w:b/>
          <w:bCs w:val="0"/>
        </w:rPr>
        <w:t>成以上</w:t>
      </w:r>
      <w:r w:rsidR="00F167FE" w:rsidRPr="00CE6AE7">
        <w:rPr>
          <w:rFonts w:ascii="Times New Roman" w:hAnsi="Times New Roman"/>
          <w:b/>
          <w:bCs w:val="0"/>
        </w:rPr>
        <w:t>。</w:t>
      </w:r>
      <w:r w:rsidRPr="00CE6AE7">
        <w:rPr>
          <w:rFonts w:ascii="Times New Roman" w:hAnsi="Times New Roman"/>
          <w:b/>
          <w:bCs w:val="0"/>
        </w:rPr>
        <w:t>健保支付標準非僅為醫療服務之計價基準，更影響醫療資源配置及</w:t>
      </w:r>
      <w:r w:rsidR="00AC1FC5" w:rsidRPr="00CE6AE7">
        <w:rPr>
          <w:rFonts w:ascii="Times New Roman" w:hAnsi="Times New Roman"/>
          <w:b/>
          <w:bCs w:val="0"/>
        </w:rPr>
        <w:t>健康</w:t>
      </w:r>
      <w:r w:rsidRPr="00CE6AE7">
        <w:rPr>
          <w:rFonts w:ascii="Times New Roman" w:hAnsi="Times New Roman"/>
          <w:b/>
          <w:bCs w:val="0"/>
        </w:rPr>
        <w:t>體系發展。惟至</w:t>
      </w:r>
      <w:r w:rsidR="00D72308" w:rsidRPr="00CE6AE7">
        <w:rPr>
          <w:rFonts w:ascii="Times New Roman" w:hAnsi="Times New Roman"/>
          <w:b/>
          <w:bCs w:val="0"/>
        </w:rPr>
        <w:t>健保</w:t>
      </w:r>
      <w:r w:rsidRPr="00CE6AE7">
        <w:rPr>
          <w:rFonts w:ascii="Times New Roman" w:hAnsi="Times New Roman"/>
          <w:b/>
          <w:bCs w:val="0"/>
        </w:rPr>
        <w:t>開辦前夕，逾</w:t>
      </w:r>
      <w:r w:rsidRPr="00CE6AE7">
        <w:rPr>
          <w:rFonts w:ascii="Times New Roman" w:hAnsi="Times New Roman"/>
          <w:b/>
          <w:bCs w:val="0"/>
        </w:rPr>
        <w:t>3</w:t>
      </w:r>
      <w:r w:rsidR="006D6BA6" w:rsidRPr="00CE6AE7">
        <w:rPr>
          <w:rFonts w:ascii="Times New Roman" w:hAnsi="Times New Roman"/>
          <w:b/>
          <w:bCs w:val="0"/>
        </w:rPr>
        <w:t>千</w:t>
      </w:r>
      <w:r w:rsidRPr="00CE6AE7">
        <w:rPr>
          <w:rFonts w:ascii="Times New Roman" w:hAnsi="Times New Roman"/>
          <w:b/>
          <w:bCs w:val="0"/>
        </w:rPr>
        <w:t>項醫療費用支付標準尚未與醫界完成</w:t>
      </w:r>
      <w:r w:rsidR="006E2435" w:rsidRPr="00CE6AE7">
        <w:rPr>
          <w:rFonts w:ascii="Times New Roman" w:hAnsi="Times New Roman"/>
          <w:b/>
          <w:bCs w:val="0"/>
        </w:rPr>
        <w:t>議定</w:t>
      </w:r>
      <w:r w:rsidRPr="00CE6AE7">
        <w:rPr>
          <w:rFonts w:ascii="Times New Roman" w:hAnsi="Times New Roman"/>
          <w:b/>
          <w:bCs w:val="0"/>
        </w:rPr>
        <w:t>，致健保支付標準多承襲勞保甲乙丙表，</w:t>
      </w:r>
      <w:bookmarkStart w:id="29" w:name="_Hlk234095968"/>
      <w:r w:rsidR="007935BB" w:rsidRPr="00CE6AE7">
        <w:rPr>
          <w:rFonts w:ascii="Times New Roman" w:hAnsi="Times New Roman"/>
          <w:b/>
          <w:bCs w:val="0"/>
        </w:rPr>
        <w:t>然該表不但未有成本分析基礎，甚有以各大醫院與原勞保局個別洽定之最低值作為標準沿用之情，且該表於增刪費用項目、調整給付涵蓋範圍乃至採用論量或定額支付方式皆缺乏客觀修正原則而備受批評</w:t>
      </w:r>
      <w:r w:rsidRPr="00CE6AE7">
        <w:rPr>
          <w:rFonts w:ascii="Times New Roman" w:hAnsi="Times New Roman"/>
          <w:b/>
          <w:bCs w:val="0"/>
        </w:rPr>
        <w:t>，</w:t>
      </w:r>
      <w:r w:rsidR="007935BB" w:rsidRPr="00CE6AE7">
        <w:rPr>
          <w:rFonts w:ascii="Times New Roman" w:hAnsi="Times New Roman"/>
          <w:b/>
          <w:bCs w:val="0"/>
        </w:rPr>
        <w:t>此均</w:t>
      </w:r>
      <w:bookmarkEnd w:id="29"/>
      <w:r w:rsidRPr="00CE6AE7">
        <w:rPr>
          <w:rFonts w:ascii="Times New Roman" w:hAnsi="Times New Roman"/>
          <w:b/>
          <w:bCs w:val="0"/>
        </w:rPr>
        <w:t>造就現行健保給付不合理之根源</w:t>
      </w:r>
      <w:r w:rsidR="00AC11B3" w:rsidRPr="00CE6AE7">
        <w:rPr>
          <w:rFonts w:ascii="Times New Roman" w:hAnsi="Times New Roman"/>
          <w:b/>
          <w:bCs w:val="0"/>
        </w:rPr>
        <w:t>。</w:t>
      </w:r>
      <w:bookmarkStart w:id="30" w:name="_Hlk233963458"/>
      <w:r w:rsidR="00F167FE" w:rsidRPr="00CE6AE7">
        <w:rPr>
          <w:rFonts w:ascii="Times New Roman" w:hAnsi="Times New Roman"/>
          <w:b/>
          <w:bCs w:val="0"/>
        </w:rPr>
        <w:t>嗣後</w:t>
      </w:r>
      <w:r w:rsidR="00F33552" w:rsidRPr="00CE6AE7">
        <w:rPr>
          <w:rFonts w:ascii="Times New Roman" w:hAnsi="Times New Roman" w:hint="eastAsia"/>
          <w:b/>
          <w:bCs w:val="0"/>
        </w:rPr>
        <w:t>健保署</w:t>
      </w:r>
      <w:r w:rsidR="00D72308" w:rsidRPr="00CE6AE7">
        <w:rPr>
          <w:rFonts w:ascii="Times New Roman" w:hAnsi="Times New Roman"/>
          <w:b/>
          <w:bCs w:val="0"/>
        </w:rPr>
        <w:t>雖</w:t>
      </w:r>
      <w:r w:rsidR="00D5064B" w:rsidRPr="00CE6AE7">
        <w:rPr>
          <w:rFonts w:ascii="Times New Roman" w:hAnsi="Times New Roman"/>
          <w:b/>
          <w:bCs w:val="0"/>
        </w:rPr>
        <w:t>於</w:t>
      </w:r>
      <w:r w:rsidR="00FC1FCC" w:rsidRPr="00CE6AE7">
        <w:rPr>
          <w:rFonts w:ascii="Times New Roman" w:hAnsi="Times New Roman"/>
          <w:b/>
          <w:bCs w:val="0"/>
        </w:rPr>
        <w:t>90</w:t>
      </w:r>
      <w:r w:rsidR="00D72308" w:rsidRPr="00CE6AE7">
        <w:rPr>
          <w:rFonts w:ascii="Times New Roman" w:hAnsi="Times New Roman"/>
          <w:b/>
          <w:bCs w:val="0"/>
        </w:rPr>
        <w:t>年</w:t>
      </w:r>
      <w:r w:rsidR="00FC1FCC" w:rsidRPr="00CE6AE7">
        <w:rPr>
          <w:rFonts w:ascii="Times New Roman" w:hAnsi="Times New Roman"/>
          <w:b/>
          <w:bCs w:val="0"/>
        </w:rPr>
        <w:t>起</w:t>
      </w:r>
      <w:r w:rsidR="00AC1FC5" w:rsidRPr="00CE6AE7">
        <w:rPr>
          <w:rFonts w:ascii="Times New Roman" w:hAnsi="Times New Roman"/>
          <w:b/>
          <w:bCs w:val="0"/>
        </w:rPr>
        <w:t>規劃</w:t>
      </w:r>
      <w:r w:rsidR="00FC1FCC" w:rsidRPr="00CE6AE7">
        <w:rPr>
          <w:rFonts w:ascii="Times New Roman" w:hAnsi="Times New Roman"/>
          <w:b/>
          <w:bCs w:val="0"/>
        </w:rPr>
        <w:t>導入</w:t>
      </w:r>
      <w:r w:rsidR="00D72308" w:rsidRPr="00CE6AE7">
        <w:rPr>
          <w:rFonts w:ascii="Times New Roman" w:hAnsi="Times New Roman"/>
          <w:b/>
          <w:bCs w:val="0"/>
        </w:rPr>
        <w:t>支付標準資源基準相對評價表，</w:t>
      </w:r>
      <w:r w:rsidR="00D5064B" w:rsidRPr="00CE6AE7">
        <w:rPr>
          <w:rFonts w:ascii="Times New Roman" w:hAnsi="Times New Roman"/>
          <w:b/>
          <w:bCs w:val="0"/>
        </w:rPr>
        <w:t>然適用科別</w:t>
      </w:r>
      <w:r w:rsidR="00FC1FCC" w:rsidRPr="00CE6AE7">
        <w:rPr>
          <w:rFonts w:ascii="Times New Roman" w:hAnsi="Times New Roman"/>
          <w:b/>
          <w:bCs w:val="0"/>
        </w:rPr>
        <w:t>有限</w:t>
      </w:r>
      <w:r w:rsidR="00F167FE" w:rsidRPr="00CE6AE7">
        <w:rPr>
          <w:rFonts w:ascii="Times New Roman" w:hAnsi="Times New Roman"/>
          <w:b/>
          <w:bCs w:val="0"/>
        </w:rPr>
        <w:t>，</w:t>
      </w:r>
      <w:r w:rsidR="00AC1FC5" w:rsidRPr="00CE6AE7">
        <w:rPr>
          <w:rFonts w:ascii="Times New Roman" w:hAnsi="Times New Roman"/>
          <w:b/>
          <w:bCs w:val="0"/>
        </w:rPr>
        <w:t>終</w:t>
      </w:r>
      <w:r w:rsidR="001A2FF5" w:rsidRPr="00CE6AE7">
        <w:rPr>
          <w:rFonts w:ascii="Times New Roman" w:hAnsi="Times New Roman"/>
          <w:b/>
          <w:bCs w:val="0"/>
        </w:rPr>
        <w:t>未能全</w:t>
      </w:r>
      <w:r w:rsidR="00AC1FC5" w:rsidRPr="00CE6AE7">
        <w:rPr>
          <w:rFonts w:ascii="Times New Roman" w:hAnsi="Times New Roman"/>
          <w:b/>
          <w:bCs w:val="0"/>
        </w:rPr>
        <w:t>盤檢討</w:t>
      </w:r>
      <w:bookmarkEnd w:id="30"/>
      <w:r w:rsidR="00D5064B" w:rsidRPr="00CE6AE7">
        <w:rPr>
          <w:rFonts w:ascii="Times New Roman" w:hAnsi="Times New Roman"/>
          <w:b/>
          <w:bCs w:val="0"/>
        </w:rPr>
        <w:t>。</w:t>
      </w:r>
      <w:r w:rsidR="00AC11B3" w:rsidRPr="00CE6AE7">
        <w:rPr>
          <w:rFonts w:ascii="Times New Roman" w:hAnsi="Times New Roman"/>
          <w:b/>
          <w:bCs w:val="0"/>
        </w:rPr>
        <w:t>又</w:t>
      </w:r>
      <w:r w:rsidR="00D5064B" w:rsidRPr="00CE6AE7">
        <w:rPr>
          <w:rFonts w:ascii="Times New Roman" w:hAnsi="Times New Roman"/>
          <w:b/>
          <w:bCs w:val="0"/>
        </w:rPr>
        <w:t>自</w:t>
      </w:r>
      <w:r w:rsidR="00D5064B" w:rsidRPr="00CE6AE7">
        <w:rPr>
          <w:rFonts w:ascii="Times New Roman" w:hAnsi="Times New Roman"/>
          <w:b/>
          <w:bCs w:val="0"/>
        </w:rPr>
        <w:t>84</w:t>
      </w:r>
      <w:r w:rsidR="00D5064B" w:rsidRPr="00CE6AE7">
        <w:rPr>
          <w:rFonts w:ascii="Times New Roman" w:hAnsi="Times New Roman"/>
          <w:b/>
          <w:bCs w:val="0"/>
        </w:rPr>
        <w:t>年</w:t>
      </w:r>
      <w:r w:rsidR="00D5064B" w:rsidRPr="00CE6AE7">
        <w:rPr>
          <w:rFonts w:ascii="Times New Roman" w:hAnsi="Times New Roman"/>
          <w:b/>
          <w:bCs w:val="0"/>
        </w:rPr>
        <w:t>3</w:t>
      </w:r>
      <w:r w:rsidR="00D5064B" w:rsidRPr="00CE6AE7">
        <w:rPr>
          <w:rFonts w:ascii="Times New Roman" w:hAnsi="Times New Roman"/>
          <w:b/>
          <w:bCs w:val="0"/>
        </w:rPr>
        <w:t>月</w:t>
      </w:r>
      <w:r w:rsidR="00C07C74" w:rsidRPr="00CE6AE7">
        <w:rPr>
          <w:rFonts w:ascii="Times New Roman" w:hAnsi="Times New Roman"/>
          <w:b/>
          <w:bCs w:val="0"/>
        </w:rPr>
        <w:t>健保</w:t>
      </w:r>
      <w:r w:rsidR="00D5064B" w:rsidRPr="00CE6AE7">
        <w:rPr>
          <w:rFonts w:ascii="Times New Roman" w:hAnsi="Times New Roman"/>
          <w:b/>
          <w:bCs w:val="0"/>
        </w:rPr>
        <w:t>開辦</w:t>
      </w:r>
      <w:r w:rsidR="00A07D59" w:rsidRPr="00CE6AE7">
        <w:rPr>
          <w:rFonts w:ascii="Times New Roman" w:hAnsi="Times New Roman"/>
          <w:b/>
          <w:bCs w:val="0"/>
        </w:rPr>
        <w:t>迄今</w:t>
      </w:r>
      <w:r w:rsidR="00D5064B" w:rsidRPr="00CE6AE7">
        <w:rPr>
          <w:rFonts w:ascii="Times New Roman" w:hAnsi="Times New Roman"/>
          <w:b/>
          <w:bCs w:val="0"/>
        </w:rPr>
        <w:t>，</w:t>
      </w:r>
      <w:r w:rsidR="00AC1FC5" w:rsidRPr="00CE6AE7">
        <w:rPr>
          <w:rFonts w:ascii="Times New Roman" w:hAnsi="Times New Roman"/>
          <w:b/>
          <w:bCs w:val="0"/>
        </w:rPr>
        <w:t>仍</w:t>
      </w:r>
      <w:r w:rsidR="00D5064B" w:rsidRPr="00CE6AE7">
        <w:rPr>
          <w:rFonts w:ascii="Times New Roman" w:hAnsi="Times New Roman"/>
          <w:b/>
          <w:bCs w:val="0"/>
        </w:rPr>
        <w:t>逾</w:t>
      </w:r>
      <w:r w:rsidR="00D5064B" w:rsidRPr="00CE6AE7">
        <w:rPr>
          <w:rFonts w:ascii="Times New Roman" w:hAnsi="Times New Roman"/>
          <w:b/>
          <w:bCs w:val="0"/>
        </w:rPr>
        <w:t>5</w:t>
      </w:r>
      <w:r w:rsidR="00D5064B" w:rsidRPr="00CE6AE7">
        <w:rPr>
          <w:rFonts w:ascii="Times New Roman" w:hAnsi="Times New Roman"/>
          <w:b/>
          <w:bCs w:val="0"/>
        </w:rPr>
        <w:t>百項診療項目支付標準</w:t>
      </w:r>
      <w:r w:rsidR="006E2435" w:rsidRPr="00CE6AE7">
        <w:rPr>
          <w:rFonts w:ascii="Times New Roman" w:hAnsi="Times New Roman"/>
          <w:b/>
          <w:bCs w:val="0"/>
        </w:rPr>
        <w:t>從</w:t>
      </w:r>
      <w:r w:rsidR="00D5064B" w:rsidRPr="00CE6AE7">
        <w:rPr>
          <w:rFonts w:ascii="Times New Roman" w:hAnsi="Times New Roman"/>
          <w:b/>
          <w:bCs w:val="0"/>
        </w:rPr>
        <w:t>未調整，</w:t>
      </w:r>
      <w:r w:rsidR="00AC11B3" w:rsidRPr="00CE6AE7">
        <w:rPr>
          <w:rFonts w:ascii="Times New Roman" w:hAnsi="Times New Roman"/>
          <w:b/>
          <w:bCs w:val="0"/>
        </w:rPr>
        <w:t>並</w:t>
      </w:r>
      <w:r w:rsidR="00D72308" w:rsidRPr="00CE6AE7">
        <w:rPr>
          <w:rFonts w:ascii="Times New Roman" w:hAnsi="Times New Roman"/>
          <w:b/>
          <w:bCs w:val="0"/>
        </w:rPr>
        <w:t>存有處置與手術界定未妥、</w:t>
      </w:r>
      <w:r w:rsidR="006D6BA6" w:rsidRPr="00CE6AE7">
        <w:rPr>
          <w:rFonts w:ascii="Times New Roman" w:hAnsi="Times New Roman"/>
          <w:b/>
          <w:bCs w:val="0"/>
        </w:rPr>
        <w:t>部分</w:t>
      </w:r>
      <w:r w:rsidR="00AC11B3" w:rsidRPr="00CE6AE7">
        <w:rPr>
          <w:rFonts w:ascii="Times New Roman" w:hAnsi="Times New Roman"/>
          <w:b/>
          <w:bCs w:val="0"/>
        </w:rPr>
        <w:t>術式定義不清，抑或</w:t>
      </w:r>
      <w:r w:rsidR="006D6BA6" w:rsidRPr="00CE6AE7">
        <w:rPr>
          <w:rFonts w:ascii="Times New Roman" w:hAnsi="Times New Roman"/>
          <w:b/>
          <w:bCs w:val="0"/>
        </w:rPr>
        <w:t>支付點數偏低之情形</w:t>
      </w:r>
      <w:r w:rsidR="00AC11B3" w:rsidRPr="00CE6AE7">
        <w:rPr>
          <w:rFonts w:ascii="Times New Roman" w:hAnsi="Times New Roman"/>
          <w:b/>
          <w:bCs w:val="0"/>
        </w:rPr>
        <w:t>。</w:t>
      </w:r>
      <w:r w:rsidR="00CF5E5A" w:rsidRPr="00CE6AE7">
        <w:rPr>
          <w:rFonts w:ascii="Times New Roman" w:hAnsi="Times New Roman"/>
          <w:b/>
          <w:bCs w:val="0"/>
        </w:rPr>
        <w:t>就</w:t>
      </w:r>
      <w:r w:rsidR="00394A04" w:rsidRPr="00CE6AE7">
        <w:rPr>
          <w:rFonts w:ascii="Times New Roman" w:hAnsi="Times New Roman"/>
          <w:b/>
          <w:bCs w:val="0"/>
        </w:rPr>
        <w:t>過往</w:t>
      </w:r>
      <w:r w:rsidR="00CF5E5A" w:rsidRPr="00CE6AE7">
        <w:rPr>
          <w:rFonts w:ascii="Times New Roman" w:hAnsi="Times New Roman"/>
          <w:b/>
          <w:bCs w:val="0"/>
        </w:rPr>
        <w:t>沿用勞保而既存之</w:t>
      </w:r>
      <w:r w:rsidR="00C07C74" w:rsidRPr="00CE6AE7">
        <w:rPr>
          <w:rFonts w:ascii="Times New Roman" w:hAnsi="Times New Roman"/>
          <w:b/>
          <w:bCs w:val="0"/>
        </w:rPr>
        <w:t>支付標準</w:t>
      </w:r>
      <w:r w:rsidR="00CF5E5A" w:rsidRPr="00CE6AE7">
        <w:rPr>
          <w:rFonts w:ascii="Times New Roman" w:hAnsi="Times New Roman"/>
          <w:b/>
          <w:bCs w:val="0"/>
        </w:rPr>
        <w:t>問題</w:t>
      </w:r>
      <w:r w:rsidR="001A7125" w:rsidRPr="00CE6AE7">
        <w:rPr>
          <w:rFonts w:ascii="Times New Roman" w:hAnsi="Times New Roman"/>
          <w:b/>
          <w:bCs w:val="0"/>
        </w:rPr>
        <w:t>，</w:t>
      </w:r>
      <w:r w:rsidR="00F167FE" w:rsidRPr="00CE6AE7">
        <w:rPr>
          <w:rFonts w:ascii="Times New Roman" w:hAnsi="Times New Roman"/>
          <w:b/>
          <w:bCs w:val="0"/>
        </w:rPr>
        <w:t>健保署</w:t>
      </w:r>
      <w:r w:rsidR="00C61381" w:rsidRPr="00CE6AE7">
        <w:rPr>
          <w:rFonts w:ascii="Times New Roman" w:hAnsi="Times New Roman"/>
          <w:b/>
          <w:bCs w:val="0"/>
        </w:rPr>
        <w:t>多迨至</w:t>
      </w:r>
      <w:r w:rsidR="00CF5E5A" w:rsidRPr="00CE6AE7">
        <w:rPr>
          <w:rFonts w:ascii="Times New Roman" w:hAnsi="Times New Roman"/>
          <w:b/>
          <w:bCs w:val="0"/>
        </w:rPr>
        <w:t>相關學</w:t>
      </w:r>
      <w:r w:rsidR="007935BB" w:rsidRPr="00CE6AE7">
        <w:rPr>
          <w:rFonts w:ascii="Times New Roman" w:hAnsi="Times New Roman"/>
          <w:b/>
          <w:bCs w:val="0"/>
        </w:rPr>
        <w:t>會</w:t>
      </w:r>
      <w:r w:rsidR="00CF5E5A" w:rsidRPr="00CE6AE7">
        <w:rPr>
          <w:rFonts w:ascii="Times New Roman" w:hAnsi="Times New Roman"/>
          <w:b/>
          <w:bCs w:val="0"/>
        </w:rPr>
        <w:t>、公會或醫療院所提案，或</w:t>
      </w:r>
      <w:r w:rsidR="00C61381" w:rsidRPr="00CE6AE7">
        <w:rPr>
          <w:rFonts w:ascii="Times New Roman" w:hAnsi="Times New Roman"/>
          <w:b/>
          <w:bCs w:val="0"/>
        </w:rPr>
        <w:t>有</w:t>
      </w:r>
      <w:r w:rsidR="00CF5E5A" w:rsidRPr="00CE6AE7">
        <w:rPr>
          <w:rFonts w:ascii="Times New Roman" w:hAnsi="Times New Roman"/>
          <w:b/>
          <w:bCs w:val="0"/>
        </w:rPr>
        <w:t>異常申報紀錄</w:t>
      </w:r>
      <w:r w:rsidR="00C61381" w:rsidRPr="00CE6AE7">
        <w:rPr>
          <w:rFonts w:ascii="Times New Roman" w:hAnsi="Times New Roman"/>
          <w:b/>
          <w:bCs w:val="0"/>
        </w:rPr>
        <w:t>始</w:t>
      </w:r>
      <w:r w:rsidR="00CF5E5A" w:rsidRPr="00CE6AE7">
        <w:rPr>
          <w:rFonts w:ascii="Times New Roman" w:hAnsi="Times New Roman"/>
          <w:b/>
          <w:bCs w:val="0"/>
        </w:rPr>
        <w:t>事後</w:t>
      </w:r>
      <w:r w:rsidR="00C61381" w:rsidRPr="00CE6AE7">
        <w:rPr>
          <w:rFonts w:ascii="Times New Roman" w:hAnsi="Times New Roman"/>
          <w:b/>
          <w:bCs w:val="0"/>
        </w:rPr>
        <w:t>查</w:t>
      </w:r>
      <w:r w:rsidR="00CF5E5A" w:rsidRPr="00CE6AE7">
        <w:rPr>
          <w:rFonts w:ascii="Times New Roman" w:hAnsi="Times New Roman"/>
          <w:b/>
          <w:bCs w:val="0"/>
        </w:rPr>
        <w:t>核，欠缺主動、全面性及系統性檢討作為，</w:t>
      </w:r>
      <w:bookmarkStart w:id="31" w:name="_Hlk233963382"/>
      <w:r w:rsidR="006E2435" w:rsidRPr="00CE6AE7">
        <w:rPr>
          <w:rFonts w:ascii="Times New Roman" w:hAnsi="Times New Roman"/>
          <w:b/>
          <w:bCs w:val="0"/>
        </w:rPr>
        <w:t>致</w:t>
      </w:r>
      <w:r w:rsidR="00394A04" w:rsidRPr="00CE6AE7">
        <w:rPr>
          <w:rFonts w:ascii="Times New Roman" w:hAnsi="Times New Roman"/>
          <w:b/>
          <w:bCs w:val="0"/>
        </w:rPr>
        <w:t>健保</w:t>
      </w:r>
      <w:r w:rsidR="006E2435" w:rsidRPr="00CE6AE7">
        <w:rPr>
          <w:rFonts w:ascii="Times New Roman" w:hAnsi="Times New Roman"/>
          <w:b/>
          <w:bCs w:val="0"/>
        </w:rPr>
        <w:t>支付標準積弊未除，未能合理反映醫療成本及醫療專業價值</w:t>
      </w:r>
      <w:bookmarkEnd w:id="31"/>
      <w:r w:rsidR="006E2435" w:rsidRPr="00CE6AE7">
        <w:rPr>
          <w:rFonts w:ascii="Times New Roman" w:hAnsi="Times New Roman"/>
          <w:b/>
          <w:bCs w:val="0"/>
        </w:rPr>
        <w:t>，</w:t>
      </w:r>
      <w:bookmarkEnd w:id="27"/>
      <w:r w:rsidR="004B2D51">
        <w:rPr>
          <w:rFonts w:ascii="Times New Roman" w:hAnsi="Times New Roman" w:hint="eastAsia"/>
          <w:b/>
          <w:bCs w:val="0"/>
        </w:rPr>
        <w:t>核有怠失</w:t>
      </w:r>
      <w:r w:rsidR="00C07C74" w:rsidRPr="00CE6AE7">
        <w:rPr>
          <w:rFonts w:ascii="Times New Roman" w:hAnsi="Times New Roman"/>
          <w:b/>
          <w:bCs w:val="0"/>
        </w:rPr>
        <w:t>。</w:t>
      </w:r>
    </w:p>
    <w:p w14:paraId="5673342F" w14:textId="5026421C" w:rsidR="00FC11A6" w:rsidRPr="00CE6AE7" w:rsidRDefault="007901F0" w:rsidP="00A44D68">
      <w:pPr>
        <w:pStyle w:val="3"/>
        <w:rPr>
          <w:rFonts w:ascii="Times New Roman" w:hAnsi="Times New Roman"/>
        </w:rPr>
      </w:pPr>
      <w:bookmarkStart w:id="32" w:name="_Hlk233839490"/>
      <w:r w:rsidRPr="00CE6AE7">
        <w:rPr>
          <w:rFonts w:ascii="Times New Roman" w:hAnsi="Times New Roman"/>
        </w:rPr>
        <w:t>醫療費用支付標準</w:t>
      </w:r>
      <w:r w:rsidR="004F7CC7" w:rsidRPr="00CE6AE7">
        <w:rPr>
          <w:rFonts w:ascii="Times New Roman" w:hAnsi="Times New Roman"/>
        </w:rPr>
        <w:t>，</w:t>
      </w:r>
      <w:r w:rsidRPr="00CE6AE7">
        <w:rPr>
          <w:rFonts w:ascii="Times New Roman" w:hAnsi="Times New Roman"/>
        </w:rPr>
        <w:t>係保險人為給付醫療院所及醫事人員所提供之服務，</w:t>
      </w:r>
      <w:r w:rsidR="00097E91" w:rsidRPr="00CE6AE7">
        <w:rPr>
          <w:rFonts w:ascii="Times New Roman" w:hAnsi="Times New Roman"/>
        </w:rPr>
        <w:t>就</w:t>
      </w:r>
      <w:r w:rsidRPr="00CE6AE7">
        <w:rPr>
          <w:rFonts w:ascii="Times New Roman" w:hAnsi="Times New Roman"/>
        </w:rPr>
        <w:t>各項醫療行為訂定不同給付準則</w:t>
      </w:r>
      <w:r w:rsidR="00097E91" w:rsidRPr="00CE6AE7">
        <w:rPr>
          <w:rFonts w:ascii="Times New Roman" w:hAnsi="Times New Roman"/>
        </w:rPr>
        <w:t>而</w:t>
      </w:r>
      <w:r w:rsidRPr="00CE6AE7">
        <w:rPr>
          <w:rFonts w:ascii="Times New Roman" w:hAnsi="Times New Roman"/>
        </w:rPr>
        <w:t>為支付依據。其訂定牽涉合理醫療服務成本、</w:t>
      </w:r>
      <w:r w:rsidR="00097E91" w:rsidRPr="00CE6AE7">
        <w:rPr>
          <w:rFonts w:ascii="Times New Roman" w:hAnsi="Times New Roman"/>
        </w:rPr>
        <w:t>照護</w:t>
      </w:r>
      <w:r w:rsidRPr="00CE6AE7">
        <w:rPr>
          <w:rFonts w:ascii="Times New Roman" w:hAnsi="Times New Roman"/>
        </w:rPr>
        <w:t>品質與量能、保</w:t>
      </w:r>
      <w:r w:rsidR="00097E91" w:rsidRPr="00CE6AE7">
        <w:rPr>
          <w:rFonts w:ascii="Times New Roman" w:hAnsi="Times New Roman"/>
        </w:rPr>
        <w:t>險</w:t>
      </w:r>
      <w:r w:rsidRPr="00CE6AE7">
        <w:rPr>
          <w:rFonts w:ascii="Times New Roman" w:hAnsi="Times New Roman"/>
        </w:rPr>
        <w:t>財務之收支平衡及醫療</w:t>
      </w:r>
      <w:r w:rsidRPr="00CE6AE7">
        <w:rPr>
          <w:rFonts w:ascii="Times New Roman" w:hAnsi="Times New Roman"/>
        </w:rPr>
        <w:lastRenderedPageBreak/>
        <w:t>資源配置，尤為健康</w:t>
      </w:r>
      <w:r w:rsidR="004F7CC7" w:rsidRPr="00CE6AE7">
        <w:rPr>
          <w:rFonts w:ascii="Times New Roman" w:hAnsi="Times New Roman"/>
        </w:rPr>
        <w:t>照護</w:t>
      </w:r>
      <w:r w:rsidRPr="00CE6AE7">
        <w:rPr>
          <w:rFonts w:ascii="Times New Roman" w:hAnsi="Times New Roman"/>
        </w:rPr>
        <w:t>體系之核心制度。</w:t>
      </w:r>
      <w:r w:rsidR="00097E91" w:rsidRPr="00CE6AE7">
        <w:rPr>
          <w:rFonts w:ascii="Times New Roman" w:hAnsi="Times New Roman"/>
        </w:rPr>
        <w:t>我國健保於</w:t>
      </w:r>
      <w:r w:rsidR="00097E91" w:rsidRPr="00CE6AE7">
        <w:rPr>
          <w:rFonts w:ascii="Times New Roman" w:hAnsi="Times New Roman"/>
        </w:rPr>
        <w:t>84</w:t>
      </w:r>
      <w:r w:rsidR="00097E91" w:rsidRPr="00CE6AE7">
        <w:rPr>
          <w:rFonts w:ascii="Times New Roman" w:hAnsi="Times New Roman"/>
        </w:rPr>
        <w:t>年</w:t>
      </w:r>
      <w:r w:rsidR="00097E91" w:rsidRPr="00CE6AE7">
        <w:rPr>
          <w:rFonts w:ascii="Times New Roman" w:hAnsi="Times New Roman"/>
        </w:rPr>
        <w:t>3</w:t>
      </w:r>
      <w:r w:rsidR="00097E91" w:rsidRPr="00CE6AE7">
        <w:rPr>
          <w:rFonts w:ascii="Times New Roman" w:hAnsi="Times New Roman"/>
        </w:rPr>
        <w:t>月</w:t>
      </w:r>
      <w:r w:rsidR="00097E91" w:rsidRPr="00CE6AE7">
        <w:rPr>
          <w:rFonts w:ascii="Times New Roman" w:hAnsi="Times New Roman"/>
        </w:rPr>
        <w:t>1</w:t>
      </w:r>
      <w:r w:rsidR="00097E91" w:rsidRPr="00CE6AE7">
        <w:rPr>
          <w:rFonts w:ascii="Times New Roman" w:hAnsi="Times New Roman"/>
        </w:rPr>
        <w:t>日正式開辦，</w:t>
      </w:r>
      <w:r w:rsidR="00A53C11" w:rsidRPr="00CE6AE7">
        <w:rPr>
          <w:rFonts w:ascii="Times New Roman" w:hAnsi="Times New Roman"/>
        </w:rPr>
        <w:t>並</w:t>
      </w:r>
      <w:r w:rsidRPr="00CE6AE7">
        <w:rPr>
          <w:rFonts w:ascii="Times New Roman" w:hAnsi="Times New Roman"/>
        </w:rPr>
        <w:t>為發揮保險之大數法則，</w:t>
      </w:r>
      <w:r w:rsidR="00610FC9" w:rsidRPr="00CE6AE7">
        <w:rPr>
          <w:rFonts w:ascii="Times New Roman" w:hAnsi="Times New Roman"/>
        </w:rPr>
        <w:t>採行強制納保</w:t>
      </w:r>
      <w:r w:rsidRPr="00CE6AE7">
        <w:rPr>
          <w:rFonts w:ascii="Times New Roman" w:hAnsi="Times New Roman"/>
        </w:rPr>
        <w:t>制度</w:t>
      </w:r>
      <w:r w:rsidR="00610FC9" w:rsidRPr="00CE6AE7">
        <w:rPr>
          <w:rFonts w:ascii="Times New Roman" w:hAnsi="Times New Roman"/>
        </w:rPr>
        <w:t>，</w:t>
      </w:r>
      <w:r w:rsidR="00A53C11" w:rsidRPr="00CE6AE7">
        <w:rPr>
          <w:rFonts w:ascii="Times New Roman" w:hAnsi="Times New Roman"/>
        </w:rPr>
        <w:t>施行單一保險人制度，</w:t>
      </w:r>
      <w:r w:rsidR="00FC11A6" w:rsidRPr="00CE6AE7">
        <w:rPr>
          <w:rFonts w:ascii="Times New Roman" w:hAnsi="Times New Roman"/>
        </w:rPr>
        <w:t>截至</w:t>
      </w:r>
      <w:r w:rsidR="00FC11A6" w:rsidRPr="00CE6AE7">
        <w:rPr>
          <w:rFonts w:ascii="Times New Roman" w:hAnsi="Times New Roman"/>
        </w:rPr>
        <w:t>113</w:t>
      </w:r>
      <w:r w:rsidR="00FC11A6" w:rsidRPr="00CE6AE7">
        <w:rPr>
          <w:rFonts w:ascii="Times New Roman" w:hAnsi="Times New Roman"/>
        </w:rPr>
        <w:t>年</w:t>
      </w:r>
      <w:r w:rsidR="00FC11A6" w:rsidRPr="00CE6AE7">
        <w:rPr>
          <w:rFonts w:ascii="Times New Roman" w:hAnsi="Times New Roman"/>
        </w:rPr>
        <w:t>12</w:t>
      </w:r>
      <w:r w:rsidR="00FC11A6" w:rsidRPr="00CE6AE7">
        <w:rPr>
          <w:rFonts w:ascii="Times New Roman" w:hAnsi="Times New Roman"/>
        </w:rPr>
        <w:t>月底止，健保特約醫療院所合計達</w:t>
      </w:r>
      <w:r w:rsidR="00FC11A6" w:rsidRPr="00CE6AE7">
        <w:rPr>
          <w:rFonts w:ascii="Times New Roman" w:hAnsi="Times New Roman"/>
        </w:rPr>
        <w:t>2</w:t>
      </w:r>
      <w:r w:rsidR="00FC11A6" w:rsidRPr="00CE6AE7">
        <w:rPr>
          <w:rFonts w:ascii="Times New Roman" w:hAnsi="Times New Roman"/>
        </w:rPr>
        <w:t>萬</w:t>
      </w:r>
      <w:r w:rsidR="00FC11A6" w:rsidRPr="00CE6AE7">
        <w:rPr>
          <w:rFonts w:ascii="Times New Roman" w:hAnsi="Times New Roman"/>
        </w:rPr>
        <w:t>2,352</w:t>
      </w:r>
      <w:r w:rsidR="00FC11A6" w:rsidRPr="00CE6AE7">
        <w:rPr>
          <w:rFonts w:ascii="Times New Roman" w:hAnsi="Times New Roman"/>
        </w:rPr>
        <w:t>家，占全國所有醫療院所總數</w:t>
      </w:r>
      <w:r w:rsidR="00FC11A6" w:rsidRPr="00CE6AE7">
        <w:rPr>
          <w:rFonts w:ascii="Times New Roman" w:hAnsi="Times New Roman"/>
        </w:rPr>
        <w:t>91.01</w:t>
      </w:r>
      <w:r w:rsidR="00FC11A6" w:rsidRPr="00CE6AE7">
        <w:rPr>
          <w:rFonts w:ascii="Times New Roman" w:hAnsi="Times New Roman"/>
        </w:rPr>
        <w:t>％</w:t>
      </w:r>
      <w:r w:rsidR="00A53C11" w:rsidRPr="00CE6AE7">
        <w:rPr>
          <w:rFonts w:ascii="Times New Roman" w:hAnsi="Times New Roman"/>
        </w:rPr>
        <w:t>。</w:t>
      </w:r>
      <w:r w:rsidR="00097E91" w:rsidRPr="00CE6AE7">
        <w:rPr>
          <w:rFonts w:ascii="Times New Roman" w:hAnsi="Times New Roman"/>
        </w:rPr>
        <w:t>是以，我國</w:t>
      </w:r>
      <w:r w:rsidR="00394A04" w:rsidRPr="00CE6AE7">
        <w:rPr>
          <w:rFonts w:ascii="Times New Roman" w:hAnsi="Times New Roman"/>
        </w:rPr>
        <w:t>醫療體系發展乃至</w:t>
      </w:r>
      <w:r w:rsidR="00097E91" w:rsidRPr="00CE6AE7">
        <w:rPr>
          <w:rFonts w:ascii="Times New Roman" w:hAnsi="Times New Roman"/>
        </w:rPr>
        <w:t>各項醫療照護資源之分配，</w:t>
      </w:r>
      <w:r w:rsidR="00F402B6" w:rsidRPr="00CE6AE7">
        <w:rPr>
          <w:rFonts w:ascii="Times New Roman" w:hAnsi="Times New Roman"/>
        </w:rPr>
        <w:t>係</w:t>
      </w:r>
      <w:r w:rsidR="00097E91" w:rsidRPr="00CE6AE7">
        <w:rPr>
          <w:rFonts w:ascii="Times New Roman" w:hAnsi="Times New Roman"/>
        </w:rPr>
        <w:t>與</w:t>
      </w:r>
      <w:r w:rsidR="00F402B6" w:rsidRPr="00CE6AE7">
        <w:rPr>
          <w:rFonts w:ascii="Times New Roman" w:hAnsi="Times New Roman"/>
        </w:rPr>
        <w:t>健保給付情形</w:t>
      </w:r>
      <w:r w:rsidR="00097E91" w:rsidRPr="00CE6AE7">
        <w:rPr>
          <w:rFonts w:ascii="Times New Roman" w:hAnsi="Times New Roman"/>
        </w:rPr>
        <w:t>密切相關。</w:t>
      </w:r>
    </w:p>
    <w:p w14:paraId="7B0AC3D9" w14:textId="569085B4" w:rsidR="005C6714" w:rsidRPr="00CE6AE7" w:rsidRDefault="00394A04" w:rsidP="005C6714">
      <w:pPr>
        <w:pStyle w:val="3"/>
        <w:rPr>
          <w:rFonts w:ascii="Times New Roman" w:hAnsi="Times New Roman"/>
        </w:rPr>
      </w:pPr>
      <w:r w:rsidRPr="00CE6AE7">
        <w:rPr>
          <w:rFonts w:ascii="Times New Roman" w:hAnsi="Times New Roman"/>
        </w:rPr>
        <w:t>經查，</w:t>
      </w:r>
      <w:r w:rsidR="00F402B6" w:rsidRPr="00CE6AE7">
        <w:rPr>
          <w:rFonts w:ascii="Times New Roman" w:hAnsi="Times New Roman"/>
        </w:rPr>
        <w:t>健保整合既有勞工保險（下稱勞保）、公務人員暨其相關保險（下稱公保）等公辦醫療保險制度，</w:t>
      </w:r>
      <w:r w:rsidR="00780B49">
        <w:rPr>
          <w:rFonts w:ascii="Times New Roman" w:hAnsi="Times New Roman" w:hint="eastAsia"/>
        </w:rPr>
        <w:t>惟</w:t>
      </w:r>
      <w:r w:rsidR="005C6714" w:rsidRPr="00CE6AE7">
        <w:rPr>
          <w:rFonts w:ascii="Times New Roman" w:hAnsi="Times New Roman"/>
        </w:rPr>
        <w:t>因新制牽涉廣泛，至開辦前夕，包含資訊系統、特約規範及逾</w:t>
      </w:r>
      <w:r w:rsidR="005C6714" w:rsidRPr="00CE6AE7">
        <w:rPr>
          <w:rFonts w:ascii="Times New Roman" w:hAnsi="Times New Roman"/>
        </w:rPr>
        <w:t>3</w:t>
      </w:r>
      <w:r w:rsidR="005C6714" w:rsidRPr="00CE6AE7">
        <w:rPr>
          <w:rFonts w:ascii="Times New Roman" w:hAnsi="Times New Roman"/>
        </w:rPr>
        <w:t>千項醫療費用支付標準等行政配套均尚未整備完成。為避免制度延宕並確保醫療服務不中斷，醫療費用之申報與支付</w:t>
      </w:r>
      <w:r w:rsidR="004B2D51">
        <w:rPr>
          <w:rFonts w:ascii="Times New Roman" w:hAnsi="Times New Roman" w:hint="eastAsia"/>
        </w:rPr>
        <w:t>乃</w:t>
      </w:r>
      <w:r w:rsidR="005C6714" w:rsidRPr="00CE6AE7">
        <w:rPr>
          <w:rFonts w:ascii="Times New Roman" w:hAnsi="Times New Roman"/>
        </w:rPr>
        <w:t>沿用原勞保所定之醫療費用支付標準，即勞保甲乙丙表。勞保未涵蓋項目</w:t>
      </w:r>
      <w:r w:rsidR="00780B49">
        <w:rPr>
          <w:rFonts w:ascii="Times New Roman" w:hAnsi="Times New Roman" w:hint="eastAsia"/>
        </w:rPr>
        <w:t>則</w:t>
      </w:r>
      <w:r w:rsidR="005C6714" w:rsidRPr="00CE6AE7">
        <w:rPr>
          <w:rFonts w:ascii="Times New Roman" w:hAnsi="Times New Roman"/>
        </w:rPr>
        <w:t>輔以公保</w:t>
      </w:r>
      <w:r w:rsidR="003F0D3A" w:rsidRPr="00CE6AE7">
        <w:rPr>
          <w:rFonts w:ascii="Times New Roman" w:hAnsi="Times New Roman"/>
        </w:rPr>
        <w:t>給付內容</w:t>
      </w:r>
      <w:r w:rsidR="005C6714" w:rsidRPr="00CE6AE7">
        <w:rPr>
          <w:rFonts w:ascii="Times New Roman" w:hAnsi="Times New Roman"/>
        </w:rPr>
        <w:t>；若皆無規定，則由</w:t>
      </w:r>
      <w:r w:rsidR="00674AA9" w:rsidRPr="00CE6AE7">
        <w:rPr>
          <w:rFonts w:ascii="Times New Roman" w:hAnsi="Times New Roman"/>
        </w:rPr>
        <w:t>原行政院衛生署中央健康保險局</w:t>
      </w:r>
      <w:r w:rsidR="00674AA9" w:rsidRPr="00CE6AE7">
        <w:rPr>
          <w:rStyle w:val="aff6"/>
          <w:rFonts w:ascii="Times New Roman" w:hAnsi="Times New Roman"/>
        </w:rPr>
        <w:footnoteReference w:id="8"/>
      </w:r>
      <w:r w:rsidR="00674AA9" w:rsidRPr="00CE6AE7">
        <w:rPr>
          <w:rFonts w:ascii="Times New Roman" w:hAnsi="Times New Roman"/>
        </w:rPr>
        <w:t>（下稱原健保局）</w:t>
      </w:r>
      <w:r w:rsidR="005C6714" w:rsidRPr="00CE6AE7">
        <w:rPr>
          <w:rFonts w:ascii="Times New Roman" w:hAnsi="Times New Roman"/>
        </w:rPr>
        <w:t>與醫界共同協議訂定。</w:t>
      </w:r>
    </w:p>
    <w:p w14:paraId="0F5D0E3A" w14:textId="269E4C02" w:rsidR="005C6714" w:rsidRPr="00CE6AE7" w:rsidRDefault="005C6714" w:rsidP="00B32819">
      <w:pPr>
        <w:pStyle w:val="3"/>
        <w:rPr>
          <w:rFonts w:ascii="Times New Roman" w:hAnsi="Times New Roman"/>
          <w:b/>
          <w:bCs w:val="0"/>
        </w:rPr>
      </w:pPr>
      <w:r w:rsidRPr="00CE6AE7">
        <w:rPr>
          <w:rFonts w:ascii="Times New Roman" w:hAnsi="Times New Roman"/>
          <w:b/>
          <w:bCs w:val="0"/>
        </w:rPr>
        <w:t>惟查，</w:t>
      </w:r>
      <w:r w:rsidR="00232B85" w:rsidRPr="00CE6AE7">
        <w:rPr>
          <w:rFonts w:ascii="Times New Roman" w:hAnsi="Times New Roman"/>
          <w:b/>
          <w:bCs w:val="0"/>
        </w:rPr>
        <w:t>勞保甲乙丙表受限於過往個別協商訂定之方式，致使長期缺乏客觀合理的成本分析基礎，部分項目更係以各級醫院最低值作為參考標準，未能真實反</w:t>
      </w:r>
      <w:r w:rsidR="00EE3CE0" w:rsidRPr="00CE6AE7">
        <w:rPr>
          <w:rFonts w:ascii="Times New Roman" w:hAnsi="Times New Roman"/>
          <w:b/>
          <w:bCs w:val="0"/>
        </w:rPr>
        <w:t>映</w:t>
      </w:r>
      <w:r w:rsidR="00232B85" w:rsidRPr="00CE6AE7">
        <w:rPr>
          <w:rFonts w:ascii="Times New Roman" w:hAnsi="Times New Roman"/>
          <w:b/>
          <w:bCs w:val="0"/>
        </w:rPr>
        <w:t>服務項目之醫療資源實際耗用量</w:t>
      </w:r>
      <w:r w:rsidR="003D52BC" w:rsidRPr="00CE6AE7">
        <w:rPr>
          <w:rFonts w:ascii="Times New Roman" w:hAnsi="Times New Roman"/>
          <w:b/>
          <w:bCs w:val="0"/>
        </w:rPr>
        <w:t>。</w:t>
      </w:r>
      <w:r w:rsidR="000829FD" w:rsidRPr="00CE6AE7">
        <w:rPr>
          <w:rFonts w:ascii="Times New Roman" w:hAnsi="Times New Roman"/>
          <w:b/>
          <w:bCs w:val="0"/>
        </w:rPr>
        <w:t>又其協商議定之形式，不但易有人為操作之可能，亦影響醫療資源分配之合理性</w:t>
      </w:r>
      <w:bookmarkStart w:id="33" w:name="_Hlk234096000"/>
      <w:r w:rsidR="000829FD" w:rsidRPr="00CE6AE7">
        <w:rPr>
          <w:rFonts w:ascii="Times New Roman" w:hAnsi="Times New Roman"/>
          <w:b/>
          <w:bCs w:val="0"/>
        </w:rPr>
        <w:t>。且勞保支付標準於增刪費用項目、調整給付涵蓋範圍及採用論量或定額支付方式</w:t>
      </w:r>
      <w:r w:rsidR="00DE76F9" w:rsidRPr="00CE6AE7">
        <w:rPr>
          <w:rFonts w:ascii="Times New Roman" w:hAnsi="Times New Roman"/>
          <w:b/>
          <w:bCs w:val="0"/>
        </w:rPr>
        <w:t>皆</w:t>
      </w:r>
      <w:r w:rsidR="000829FD" w:rsidRPr="00CE6AE7">
        <w:rPr>
          <w:rFonts w:ascii="Times New Roman" w:hAnsi="Times New Roman"/>
          <w:b/>
          <w:bCs w:val="0"/>
        </w:rPr>
        <w:t>缺乏一致且客觀之修正原則，均</w:t>
      </w:r>
      <w:r w:rsidR="00DE76F9" w:rsidRPr="00CE6AE7">
        <w:rPr>
          <w:rFonts w:ascii="Times New Roman" w:hAnsi="Times New Roman"/>
          <w:b/>
          <w:bCs w:val="0"/>
        </w:rPr>
        <w:t>讓勞保甲乙丙表備受批評</w:t>
      </w:r>
      <w:bookmarkEnd w:id="33"/>
      <w:r w:rsidR="00232B85" w:rsidRPr="00CE6AE7">
        <w:rPr>
          <w:rFonts w:ascii="Times New Roman" w:hAnsi="Times New Roman"/>
          <w:b/>
          <w:bCs w:val="0"/>
        </w:rPr>
        <w:t>：</w:t>
      </w:r>
    </w:p>
    <w:p w14:paraId="67BF5964" w14:textId="70B8314C" w:rsidR="009B4A77" w:rsidRPr="00CE6AE7" w:rsidRDefault="009B4A77" w:rsidP="009B4A77">
      <w:pPr>
        <w:pStyle w:val="4"/>
        <w:rPr>
          <w:rFonts w:ascii="Times New Roman" w:hAnsi="Times New Roman"/>
          <w:bCs/>
        </w:rPr>
      </w:pPr>
      <w:bookmarkStart w:id="34" w:name="_Hlk234096028"/>
      <w:r w:rsidRPr="00CE6AE7">
        <w:rPr>
          <w:rFonts w:ascii="Times New Roman" w:hAnsi="Times New Roman"/>
        </w:rPr>
        <w:t>勞保甲乙丙表，合計收載</w:t>
      </w:r>
      <w:r w:rsidRPr="00CE6AE7">
        <w:rPr>
          <w:rFonts w:ascii="Times New Roman" w:hAnsi="Times New Roman"/>
        </w:rPr>
        <w:t>3</w:t>
      </w:r>
      <w:r w:rsidRPr="00CE6AE7">
        <w:rPr>
          <w:rFonts w:ascii="Times New Roman" w:hAnsi="Times New Roman"/>
        </w:rPr>
        <w:t>千餘診療項目</w:t>
      </w:r>
      <w:r w:rsidR="006D3096" w:rsidRPr="00CE6AE7">
        <w:rPr>
          <w:rFonts w:ascii="Times New Roman" w:hAnsi="Times New Roman"/>
        </w:rPr>
        <w:t>，</w:t>
      </w:r>
      <w:r w:rsidRPr="00CE6AE7">
        <w:rPr>
          <w:rFonts w:ascii="Times New Roman" w:hAnsi="Times New Roman"/>
        </w:rPr>
        <w:t>各項支付標準訂定，係參考歷年各醫療院所申報資料，並依器官部位分類。</w:t>
      </w:r>
      <w:r w:rsidR="0084741C" w:rsidRPr="00CE6AE7">
        <w:rPr>
          <w:rFonts w:ascii="Times New Roman" w:hAnsi="Times New Roman"/>
        </w:rPr>
        <w:t>囿於</w:t>
      </w:r>
      <w:r w:rsidRPr="00CE6AE7">
        <w:rPr>
          <w:rFonts w:ascii="Times New Roman" w:hAnsi="Times New Roman"/>
        </w:rPr>
        <w:t>同級醫療院所間申報價</w:t>
      </w:r>
      <w:r w:rsidRPr="00CE6AE7">
        <w:rPr>
          <w:rFonts w:ascii="Times New Roman" w:hAnsi="Times New Roman"/>
        </w:rPr>
        <w:lastRenderedPageBreak/>
        <w:t>格差異甚大，</w:t>
      </w:r>
      <w:r w:rsidR="0084741C" w:rsidRPr="00CE6AE7">
        <w:rPr>
          <w:rFonts w:ascii="Times New Roman" w:hAnsi="Times New Roman"/>
        </w:rPr>
        <w:t>故</w:t>
      </w:r>
      <w:r w:rsidRPr="00CE6AE7">
        <w:rPr>
          <w:rFonts w:ascii="Times New Roman" w:hAnsi="Times New Roman"/>
        </w:rPr>
        <w:t>以同級醫院最低申報價格作為訂價基礎，如遇有不同意見，再由原行政院勞工委員會</w:t>
      </w:r>
      <w:r w:rsidRPr="00CE6AE7">
        <w:rPr>
          <w:rStyle w:val="aff6"/>
          <w:rFonts w:ascii="Times New Roman" w:hAnsi="Times New Roman"/>
        </w:rPr>
        <w:footnoteReference w:id="9"/>
      </w:r>
      <w:r w:rsidRPr="00CE6AE7">
        <w:rPr>
          <w:rFonts w:ascii="Times New Roman" w:hAnsi="Times New Roman"/>
        </w:rPr>
        <w:t>（下稱原勞委會）、原行政院衛生署</w:t>
      </w:r>
      <w:r w:rsidR="004B2D51">
        <w:rPr>
          <w:rStyle w:val="aff6"/>
          <w:rFonts w:ascii="Times New Roman" w:hAnsi="Times New Roman"/>
        </w:rPr>
        <w:footnoteReference w:id="10"/>
      </w:r>
      <w:r w:rsidRPr="00CE6AE7">
        <w:rPr>
          <w:rFonts w:ascii="Times New Roman" w:hAnsi="Times New Roman"/>
        </w:rPr>
        <w:t>及醫界研商議定。</w:t>
      </w:r>
    </w:p>
    <w:p w14:paraId="5004A05E" w14:textId="22B7BFBD" w:rsidR="008C6898" w:rsidRPr="00CE6AE7" w:rsidRDefault="006C00A6" w:rsidP="00AB5042">
      <w:pPr>
        <w:pStyle w:val="4"/>
        <w:rPr>
          <w:rFonts w:ascii="Times New Roman" w:hAnsi="Times New Roman"/>
          <w:bCs/>
        </w:rPr>
      </w:pPr>
      <w:r w:rsidRPr="00CE6AE7">
        <w:rPr>
          <w:rFonts w:ascii="Times New Roman" w:hAnsi="Times New Roman"/>
          <w:bCs/>
        </w:rPr>
        <w:t>然查</w:t>
      </w:r>
      <w:r w:rsidR="006D3096" w:rsidRPr="00CE6AE7">
        <w:rPr>
          <w:rFonts w:ascii="Times New Roman" w:hAnsi="Times New Roman"/>
          <w:bCs/>
        </w:rPr>
        <w:t>，</w:t>
      </w:r>
      <w:r w:rsidR="008C6898" w:rsidRPr="00CE6AE7">
        <w:rPr>
          <w:rFonts w:ascii="Times New Roman" w:hAnsi="Times New Roman"/>
          <w:bCs/>
        </w:rPr>
        <w:t>勞保</w:t>
      </w:r>
      <w:r w:rsidR="00214179" w:rsidRPr="00CE6AE7">
        <w:rPr>
          <w:rFonts w:ascii="Times New Roman" w:hAnsi="Times New Roman"/>
          <w:bCs/>
        </w:rPr>
        <w:t>支付標準訂定</w:t>
      </w:r>
      <w:r w:rsidR="008C6898" w:rsidRPr="00CE6AE7">
        <w:rPr>
          <w:rFonts w:ascii="Times New Roman" w:hAnsi="Times New Roman"/>
          <w:bCs/>
        </w:rPr>
        <w:t>初期，大型醫院的支付標準係為個別洽定，</w:t>
      </w:r>
      <w:r w:rsidR="006D3096" w:rsidRPr="00CE6AE7">
        <w:rPr>
          <w:rFonts w:ascii="Times New Roman" w:hAnsi="Times New Roman"/>
          <w:bCs/>
        </w:rPr>
        <w:t>致使</w:t>
      </w:r>
      <w:r w:rsidR="0084741C" w:rsidRPr="00CE6AE7">
        <w:rPr>
          <w:rFonts w:ascii="Times New Roman" w:hAnsi="Times New Roman"/>
          <w:bCs/>
        </w:rPr>
        <w:t>當時</w:t>
      </w:r>
      <w:r w:rsidR="006D3096" w:rsidRPr="00CE6AE7">
        <w:rPr>
          <w:rFonts w:ascii="Times New Roman" w:hAnsi="Times New Roman"/>
          <w:bCs/>
        </w:rPr>
        <w:t>大型醫院</w:t>
      </w:r>
      <w:r w:rsidR="008C6898" w:rsidRPr="00CE6AE7">
        <w:rPr>
          <w:rFonts w:ascii="Times New Roman" w:hAnsi="Times New Roman"/>
          <w:bCs/>
        </w:rPr>
        <w:t>與中小型醫院標準差異懸殊，如同為大腿骨手術，在中小型醫院只有</w:t>
      </w:r>
      <w:r w:rsidR="008C6898" w:rsidRPr="00CE6AE7">
        <w:rPr>
          <w:rFonts w:ascii="Times New Roman" w:hAnsi="Times New Roman"/>
          <w:bCs/>
        </w:rPr>
        <w:t>1</w:t>
      </w:r>
      <w:r w:rsidR="008C6898" w:rsidRPr="00CE6AE7">
        <w:rPr>
          <w:rFonts w:ascii="Times New Roman" w:hAnsi="Times New Roman"/>
          <w:bCs/>
        </w:rPr>
        <w:t>萬多元的給付，若在大型醫院卻可申請至</w:t>
      </w:r>
      <w:r w:rsidR="008C6898" w:rsidRPr="00CE6AE7">
        <w:rPr>
          <w:rFonts w:ascii="Times New Roman" w:hAnsi="Times New Roman"/>
          <w:bCs/>
        </w:rPr>
        <w:t>7</w:t>
      </w:r>
      <w:r w:rsidR="008C6898" w:rsidRPr="00CE6AE7">
        <w:rPr>
          <w:rFonts w:ascii="Times New Roman" w:hAnsi="Times New Roman"/>
          <w:bCs/>
        </w:rPr>
        <w:t>萬元之手術給付；同為手臂骨折手術，在中小型醫院手術費約</w:t>
      </w:r>
      <w:r w:rsidR="008C6898" w:rsidRPr="00CE6AE7">
        <w:rPr>
          <w:rFonts w:ascii="Times New Roman" w:hAnsi="Times New Roman"/>
          <w:bCs/>
        </w:rPr>
        <w:t>1,200</w:t>
      </w:r>
      <w:r w:rsidR="008C6898" w:rsidRPr="00CE6AE7">
        <w:rPr>
          <w:rFonts w:ascii="Times New Roman" w:hAnsi="Times New Roman"/>
          <w:bCs/>
        </w:rPr>
        <w:t>元，大醫院則要</w:t>
      </w:r>
      <w:r w:rsidR="008C6898" w:rsidRPr="00CE6AE7">
        <w:rPr>
          <w:rFonts w:ascii="Times New Roman" w:hAnsi="Times New Roman"/>
          <w:bCs/>
        </w:rPr>
        <w:t>12,000</w:t>
      </w:r>
      <w:r w:rsidR="008C6898" w:rsidRPr="00CE6AE7">
        <w:rPr>
          <w:rFonts w:ascii="Times New Roman" w:hAnsi="Times New Roman"/>
          <w:bCs/>
        </w:rPr>
        <w:t>元，差距</w:t>
      </w:r>
      <w:r w:rsidR="008C6898" w:rsidRPr="00CE6AE7">
        <w:rPr>
          <w:rFonts w:ascii="Times New Roman" w:hAnsi="Times New Roman"/>
          <w:bCs/>
        </w:rPr>
        <w:t>10</w:t>
      </w:r>
      <w:r w:rsidR="008C6898" w:rsidRPr="00CE6AE7">
        <w:rPr>
          <w:rFonts w:ascii="Times New Roman" w:hAnsi="Times New Roman"/>
          <w:bCs/>
        </w:rPr>
        <w:t>倍。</w:t>
      </w:r>
      <w:r w:rsidR="00214179" w:rsidRPr="00CE6AE7">
        <w:rPr>
          <w:rFonts w:ascii="Times New Roman" w:hAnsi="Times New Roman"/>
          <w:bCs/>
        </w:rPr>
        <w:t>其後所訂定之勞保甲乙丙表雖消除個別洽定之缺失與弊端，</w:t>
      </w:r>
      <w:r w:rsidR="006D3096" w:rsidRPr="00CE6AE7">
        <w:rPr>
          <w:rFonts w:ascii="Times New Roman" w:hAnsi="Times New Roman"/>
          <w:bCs/>
        </w:rPr>
        <w:t>然其</w:t>
      </w:r>
      <w:r w:rsidR="009D1BA2">
        <w:rPr>
          <w:rFonts w:ascii="Times New Roman" w:hAnsi="Times New Roman" w:hint="eastAsia"/>
          <w:bCs/>
        </w:rPr>
        <w:t>透過</w:t>
      </w:r>
      <w:r w:rsidR="00214179" w:rsidRPr="00CE6AE7">
        <w:rPr>
          <w:rFonts w:ascii="Times New Roman" w:hAnsi="Times New Roman"/>
          <w:bCs/>
        </w:rPr>
        <w:t>拼湊各大醫院</w:t>
      </w:r>
      <w:r w:rsidR="009D1BA2" w:rsidRPr="009D1BA2">
        <w:rPr>
          <w:rFonts w:ascii="Times New Roman" w:hAnsi="Times New Roman"/>
          <w:bCs/>
        </w:rPr>
        <w:t>之支付</w:t>
      </w:r>
      <w:r w:rsidR="009D1BA2">
        <w:rPr>
          <w:rFonts w:ascii="Times New Roman" w:hAnsi="Times New Roman" w:hint="eastAsia"/>
          <w:bCs/>
        </w:rPr>
        <w:t>標準項目</w:t>
      </w:r>
      <w:r w:rsidR="00214179" w:rsidRPr="00CE6AE7">
        <w:rPr>
          <w:rFonts w:ascii="Times New Roman" w:hAnsi="Times New Roman"/>
          <w:bCs/>
        </w:rPr>
        <w:t>，</w:t>
      </w:r>
      <w:r w:rsidR="000B50DC">
        <w:rPr>
          <w:rFonts w:ascii="Times New Roman" w:hAnsi="Times New Roman" w:hint="eastAsia"/>
          <w:bCs/>
        </w:rPr>
        <w:t>又</w:t>
      </w:r>
      <w:r w:rsidR="009D1BA2">
        <w:rPr>
          <w:rFonts w:ascii="Times New Roman" w:hAnsi="Times New Roman" w:hint="eastAsia"/>
          <w:bCs/>
        </w:rPr>
        <w:t>僅於</w:t>
      </w:r>
      <w:r w:rsidR="00214179" w:rsidRPr="00CE6AE7">
        <w:rPr>
          <w:rFonts w:ascii="Times New Roman" w:hAnsi="Times New Roman"/>
          <w:bCs/>
        </w:rPr>
        <w:t>2</w:t>
      </w:r>
      <w:r w:rsidR="00214179" w:rsidRPr="00CE6AE7">
        <w:rPr>
          <w:rFonts w:ascii="Times New Roman" w:hAnsi="Times New Roman"/>
          <w:bCs/>
        </w:rPr>
        <w:t>年內</w:t>
      </w:r>
      <w:r w:rsidR="009D1BA2">
        <w:rPr>
          <w:rFonts w:ascii="Times New Roman" w:hAnsi="Times New Roman" w:hint="eastAsia"/>
          <w:bCs/>
        </w:rPr>
        <w:t>倉促研擬</w:t>
      </w:r>
      <w:r w:rsidR="00214179" w:rsidRPr="00CE6AE7">
        <w:rPr>
          <w:rFonts w:ascii="Times New Roman" w:hAnsi="Times New Roman"/>
          <w:bCs/>
        </w:rPr>
        <w:t>而成，致使</w:t>
      </w:r>
      <w:r w:rsidR="002A06CC" w:rsidRPr="00CE6AE7">
        <w:rPr>
          <w:rFonts w:ascii="Times New Roman" w:hAnsi="Times New Roman"/>
          <w:bCs/>
        </w:rPr>
        <w:t>其多</w:t>
      </w:r>
      <w:r w:rsidR="00214179" w:rsidRPr="00CE6AE7">
        <w:rPr>
          <w:rFonts w:ascii="Times New Roman" w:hAnsi="Times New Roman"/>
          <w:bCs/>
        </w:rPr>
        <w:t>存有支付項目名稱錯誤、重複</w:t>
      </w:r>
      <w:r w:rsidR="009D1BA2">
        <w:rPr>
          <w:rFonts w:ascii="Times New Roman" w:hAnsi="Times New Roman" w:hint="eastAsia"/>
          <w:bCs/>
        </w:rPr>
        <w:t>，或</w:t>
      </w:r>
      <w:r w:rsidR="00214179" w:rsidRPr="00CE6AE7">
        <w:rPr>
          <w:rFonts w:ascii="Times New Roman" w:hAnsi="Times New Roman"/>
          <w:bCs/>
        </w:rPr>
        <w:t>實質醫療服務內容相同</w:t>
      </w:r>
      <w:r w:rsidR="009D1BA2">
        <w:rPr>
          <w:rFonts w:ascii="Times New Roman" w:hAnsi="Times New Roman" w:hint="eastAsia"/>
          <w:bCs/>
        </w:rPr>
        <w:t>而</w:t>
      </w:r>
      <w:r w:rsidR="00214179" w:rsidRPr="00CE6AE7">
        <w:rPr>
          <w:rFonts w:ascii="Times New Roman" w:hAnsi="Times New Roman"/>
          <w:bCs/>
        </w:rPr>
        <w:t>名稱卻相異等謬誤之處。</w:t>
      </w:r>
      <w:r w:rsidR="002A06CC" w:rsidRPr="00CE6AE7">
        <w:rPr>
          <w:rFonts w:ascii="Times New Roman" w:hAnsi="Times New Roman"/>
          <w:bCs/>
        </w:rPr>
        <w:t>且前開</w:t>
      </w:r>
      <w:r w:rsidR="0084741C" w:rsidRPr="00CE6AE7">
        <w:rPr>
          <w:rFonts w:ascii="Times New Roman" w:hAnsi="Times New Roman"/>
        </w:rPr>
        <w:t>綜整各家醫院支付標準，並就有疑慮之處，予以調整之作法，雖能</w:t>
      </w:r>
      <w:r w:rsidR="005F0CE7" w:rsidRPr="00CE6AE7">
        <w:rPr>
          <w:rFonts w:ascii="Times New Roman" w:hAnsi="Times New Roman"/>
        </w:rPr>
        <w:t>讓</w:t>
      </w:r>
      <w:r w:rsidR="0084741C" w:rsidRPr="00CE6AE7">
        <w:rPr>
          <w:rFonts w:ascii="Times New Roman" w:hAnsi="Times New Roman"/>
        </w:rPr>
        <w:t>標準迅速擬訂並取得共識，然</w:t>
      </w:r>
      <w:r w:rsidR="005F0CE7" w:rsidRPr="00CE6AE7">
        <w:rPr>
          <w:rFonts w:ascii="Times New Roman" w:hAnsi="Times New Roman"/>
        </w:rPr>
        <w:t>亦使</w:t>
      </w:r>
      <w:r w:rsidR="0084741C" w:rsidRPr="00CE6AE7">
        <w:rPr>
          <w:rFonts w:ascii="Times New Roman" w:hAnsi="Times New Roman"/>
        </w:rPr>
        <w:t>研訂過程欠缺客觀之基礎成本分析及資源耗用評估機制，復因各專科醫療團體影響力不同，而</w:t>
      </w:r>
      <w:r w:rsidR="005F0CE7" w:rsidRPr="00CE6AE7">
        <w:rPr>
          <w:rFonts w:ascii="Times New Roman" w:hAnsi="Times New Roman"/>
        </w:rPr>
        <w:t>導</w:t>
      </w:r>
      <w:r w:rsidR="0084741C" w:rsidRPr="00CE6AE7">
        <w:rPr>
          <w:rFonts w:ascii="Times New Roman" w:hAnsi="Times New Roman"/>
        </w:rPr>
        <w:t>致支付標準寬緊不一、科別間支付不平衡及各科盈虧差距頗大，並造成不同科別醫師間勞逸不均。部分診療項目亦曾因首長建議，而提高支付額度，研訂過程存有人為操作空間。</w:t>
      </w:r>
    </w:p>
    <w:p w14:paraId="39E77A20" w14:textId="037257FE" w:rsidR="009B4A77" w:rsidRPr="00CE6AE7" w:rsidRDefault="009B4A77" w:rsidP="009B4A77">
      <w:pPr>
        <w:pStyle w:val="4"/>
        <w:rPr>
          <w:rFonts w:ascii="Times New Roman" w:hAnsi="Times New Roman"/>
          <w:bCs/>
        </w:rPr>
      </w:pPr>
      <w:r w:rsidRPr="00CE6AE7">
        <w:rPr>
          <w:rFonts w:ascii="Times New Roman" w:hAnsi="Times New Roman"/>
          <w:bCs/>
        </w:rPr>
        <w:t>又</w:t>
      </w:r>
      <w:r w:rsidR="006D3096" w:rsidRPr="00CE6AE7">
        <w:rPr>
          <w:rFonts w:ascii="Times New Roman" w:hAnsi="Times New Roman"/>
          <w:bCs/>
        </w:rPr>
        <w:t>查，</w:t>
      </w:r>
      <w:r w:rsidRPr="00CE6AE7">
        <w:rPr>
          <w:rFonts w:ascii="Times New Roman" w:hAnsi="Times New Roman"/>
          <w:bCs/>
        </w:rPr>
        <w:t>勞保支付標準表訂定時之原意，乃將</w:t>
      </w:r>
      <w:r w:rsidR="005F0CE7" w:rsidRPr="00CE6AE7">
        <w:rPr>
          <w:rFonts w:ascii="Times New Roman" w:hAnsi="Times New Roman"/>
          <w:bCs/>
        </w:rPr>
        <w:t>支付</w:t>
      </w:r>
      <w:r w:rsidRPr="00CE6AE7">
        <w:rPr>
          <w:rFonts w:ascii="Times New Roman" w:hAnsi="Times New Roman"/>
          <w:bCs/>
        </w:rPr>
        <w:t>點數固定不變，而僅調整每點單價，惟實施後即常面對醫療院所以不符成本為由，要求增加支付點數</w:t>
      </w:r>
      <w:r w:rsidR="0084741C" w:rsidRPr="00CE6AE7">
        <w:rPr>
          <w:rFonts w:ascii="Times New Roman" w:hAnsi="Times New Roman"/>
          <w:bCs/>
        </w:rPr>
        <w:t>的</w:t>
      </w:r>
      <w:r w:rsidRPr="00CE6AE7">
        <w:rPr>
          <w:rFonts w:ascii="Times New Roman" w:hAnsi="Times New Roman"/>
          <w:bCs/>
        </w:rPr>
        <w:t>壓力，每次</w:t>
      </w:r>
      <w:r w:rsidR="0084741C" w:rsidRPr="00CE6AE7">
        <w:rPr>
          <w:rFonts w:ascii="Times New Roman" w:hAnsi="Times New Roman"/>
          <w:bCs/>
        </w:rPr>
        <w:t>調整</w:t>
      </w:r>
      <w:r w:rsidRPr="00CE6AE7">
        <w:rPr>
          <w:rFonts w:ascii="Times New Roman" w:hAnsi="Times New Roman"/>
          <w:bCs/>
        </w:rPr>
        <w:t>時，均因牽涉到診療行為的增減和費用結構的改變，而重新調整點數，未</w:t>
      </w:r>
      <w:r w:rsidRPr="00CE6AE7">
        <w:rPr>
          <w:rFonts w:ascii="Times New Roman" w:hAnsi="Times New Roman"/>
          <w:bCs/>
        </w:rPr>
        <w:lastRenderedPageBreak/>
        <w:t>能充分發揮相對點數表之長處。</w:t>
      </w:r>
    </w:p>
    <w:p w14:paraId="052073C3" w14:textId="4BFADE89" w:rsidR="005C6714" w:rsidRPr="00CE6AE7" w:rsidRDefault="009B4A77" w:rsidP="006C00A6">
      <w:pPr>
        <w:pStyle w:val="4"/>
        <w:rPr>
          <w:rFonts w:ascii="Times New Roman" w:hAnsi="Times New Roman"/>
          <w:bCs/>
        </w:rPr>
      </w:pPr>
      <w:r w:rsidRPr="00CE6AE7">
        <w:rPr>
          <w:rFonts w:ascii="Times New Roman" w:hAnsi="Times New Roman"/>
          <w:bCs/>
        </w:rPr>
        <w:t>除支付金額訂定之問題外，</w:t>
      </w:r>
      <w:r w:rsidR="00214179" w:rsidRPr="00CE6AE7">
        <w:rPr>
          <w:rFonts w:ascii="Times New Roman" w:hAnsi="Times New Roman"/>
          <w:bCs/>
        </w:rPr>
        <w:t>勞保支付標準於增刪費用</w:t>
      </w:r>
      <w:r w:rsidR="006D3096" w:rsidRPr="00CE6AE7">
        <w:rPr>
          <w:rFonts w:ascii="Times New Roman" w:hAnsi="Times New Roman"/>
          <w:bCs/>
        </w:rPr>
        <w:t>項目</w:t>
      </w:r>
      <w:r w:rsidRPr="00CE6AE7">
        <w:rPr>
          <w:rFonts w:ascii="Times New Roman" w:hAnsi="Times New Roman"/>
          <w:bCs/>
        </w:rPr>
        <w:t>及</w:t>
      </w:r>
      <w:r w:rsidR="006D3096" w:rsidRPr="00CE6AE7">
        <w:rPr>
          <w:rFonts w:ascii="Times New Roman" w:hAnsi="Times New Roman"/>
          <w:bCs/>
        </w:rPr>
        <w:t>調整</w:t>
      </w:r>
      <w:r w:rsidRPr="00CE6AE7">
        <w:rPr>
          <w:rFonts w:ascii="Times New Roman" w:hAnsi="Times New Roman"/>
          <w:bCs/>
        </w:rPr>
        <w:t>給付涵蓋範圍亦缺乏</w:t>
      </w:r>
      <w:r w:rsidR="005F0CE7" w:rsidRPr="00CE6AE7">
        <w:rPr>
          <w:rFonts w:ascii="Times New Roman" w:hAnsi="Times New Roman"/>
          <w:bCs/>
        </w:rPr>
        <w:t>合理</w:t>
      </w:r>
      <w:r w:rsidR="000829FD" w:rsidRPr="00CE6AE7">
        <w:rPr>
          <w:rFonts w:ascii="Times New Roman" w:hAnsi="Times New Roman"/>
          <w:bCs/>
        </w:rPr>
        <w:t>修正</w:t>
      </w:r>
      <w:r w:rsidR="00214179" w:rsidRPr="00CE6AE7">
        <w:rPr>
          <w:rFonts w:ascii="Times New Roman" w:hAnsi="Times New Roman"/>
          <w:bCs/>
        </w:rPr>
        <w:t>依據，</w:t>
      </w:r>
      <w:r w:rsidR="006D3096" w:rsidRPr="00CE6AE7">
        <w:rPr>
          <w:rFonts w:ascii="Times New Roman" w:hAnsi="Times New Roman"/>
          <w:bCs/>
        </w:rPr>
        <w:t>於</w:t>
      </w:r>
      <w:r w:rsidRPr="00CE6AE7">
        <w:rPr>
          <w:rFonts w:ascii="Times New Roman" w:hAnsi="Times New Roman"/>
          <w:bCs/>
        </w:rPr>
        <w:t>護理服務費、藥事服務費及基本診療費等服務項目</w:t>
      </w:r>
      <w:r w:rsidR="00214179" w:rsidRPr="00CE6AE7">
        <w:rPr>
          <w:rFonts w:ascii="Times New Roman" w:hAnsi="Times New Roman"/>
          <w:bCs/>
        </w:rPr>
        <w:t>間之涵蓋與拆分變動頻繁，</w:t>
      </w:r>
      <w:r w:rsidRPr="00CE6AE7">
        <w:rPr>
          <w:rFonts w:ascii="Times New Roman" w:hAnsi="Times New Roman"/>
          <w:bCs/>
        </w:rPr>
        <w:t>乃至</w:t>
      </w:r>
      <w:r w:rsidR="00214179" w:rsidRPr="00CE6AE7">
        <w:rPr>
          <w:rFonts w:ascii="Times New Roman" w:hAnsi="Times New Roman"/>
          <w:bCs/>
        </w:rPr>
        <w:t>醫療過程所使用之基本醫療耗材</w:t>
      </w:r>
      <w:r w:rsidRPr="00CE6AE7">
        <w:rPr>
          <w:rFonts w:ascii="Times New Roman" w:hAnsi="Times New Roman"/>
          <w:bCs/>
        </w:rPr>
        <w:t>，及</w:t>
      </w:r>
      <w:r w:rsidR="00214179" w:rsidRPr="00CE6AE7">
        <w:rPr>
          <w:rFonts w:ascii="Times New Roman" w:hAnsi="Times New Roman"/>
          <w:bCs/>
        </w:rPr>
        <w:t>檢驗檢查所需之材料</w:t>
      </w:r>
      <w:r w:rsidRPr="00CE6AE7">
        <w:rPr>
          <w:rFonts w:ascii="Times New Roman" w:hAnsi="Times New Roman"/>
          <w:bCs/>
        </w:rPr>
        <w:t>與</w:t>
      </w:r>
      <w:r w:rsidR="00214179" w:rsidRPr="00CE6AE7">
        <w:rPr>
          <w:rFonts w:ascii="Times New Roman" w:hAnsi="Times New Roman"/>
          <w:bCs/>
        </w:rPr>
        <w:t>儀器設備</w:t>
      </w:r>
      <w:r w:rsidR="005F0CE7" w:rsidRPr="00CE6AE7">
        <w:rPr>
          <w:rFonts w:ascii="Times New Roman" w:hAnsi="Times New Roman"/>
          <w:bCs/>
        </w:rPr>
        <w:t>等</w:t>
      </w:r>
      <w:r w:rsidR="00214179" w:rsidRPr="00CE6AE7">
        <w:rPr>
          <w:rFonts w:ascii="Times New Roman" w:hAnsi="Times New Roman"/>
          <w:bCs/>
        </w:rPr>
        <w:t>作業成本，究</w:t>
      </w:r>
      <w:r w:rsidRPr="00CE6AE7">
        <w:rPr>
          <w:rFonts w:ascii="Times New Roman" w:hAnsi="Times New Roman"/>
          <w:bCs/>
        </w:rPr>
        <w:t>應內含於各診療項目</w:t>
      </w:r>
      <w:r w:rsidR="005F0CE7" w:rsidRPr="00CE6AE7">
        <w:rPr>
          <w:rFonts w:ascii="Times New Roman" w:hAnsi="Times New Roman"/>
          <w:bCs/>
        </w:rPr>
        <w:t>費用</w:t>
      </w:r>
      <w:r w:rsidRPr="00CE6AE7">
        <w:rPr>
          <w:rFonts w:ascii="Times New Roman" w:hAnsi="Times New Roman"/>
          <w:bCs/>
        </w:rPr>
        <w:t>中，</w:t>
      </w:r>
      <w:r w:rsidR="00214179" w:rsidRPr="00CE6AE7">
        <w:rPr>
          <w:rFonts w:ascii="Times New Roman" w:hAnsi="Times New Roman"/>
          <w:bCs/>
        </w:rPr>
        <w:t>或採獨立項目加計</w:t>
      </w:r>
      <w:r w:rsidRPr="00CE6AE7">
        <w:rPr>
          <w:rFonts w:ascii="Times New Roman" w:hAnsi="Times New Roman"/>
          <w:bCs/>
        </w:rPr>
        <w:t>核</w:t>
      </w:r>
      <w:r w:rsidR="00214179" w:rsidRPr="00CE6AE7">
        <w:rPr>
          <w:rFonts w:ascii="Times New Roman" w:hAnsi="Times New Roman"/>
          <w:bCs/>
        </w:rPr>
        <w:t>付，欠缺一致且客觀之判定原則。</w:t>
      </w:r>
      <w:r w:rsidR="006D3096" w:rsidRPr="00CE6AE7">
        <w:rPr>
          <w:rFonts w:ascii="Times New Roman" w:hAnsi="Times New Roman"/>
          <w:bCs/>
        </w:rPr>
        <w:t>又</w:t>
      </w:r>
      <w:r w:rsidRPr="00CE6AE7">
        <w:rPr>
          <w:rFonts w:ascii="Times New Roman" w:hAnsi="Times New Roman"/>
          <w:bCs/>
        </w:rPr>
        <w:t>其</w:t>
      </w:r>
      <w:r w:rsidR="006D3096" w:rsidRPr="00CE6AE7">
        <w:rPr>
          <w:rFonts w:ascii="Times New Roman" w:hAnsi="Times New Roman"/>
          <w:bCs/>
        </w:rPr>
        <w:t>醫療服務費用</w:t>
      </w:r>
      <w:r w:rsidRPr="00CE6AE7">
        <w:rPr>
          <w:rFonts w:ascii="Times New Roman" w:hAnsi="Times New Roman"/>
          <w:bCs/>
        </w:rPr>
        <w:t>支付方式</w:t>
      </w:r>
      <w:r w:rsidR="006D3096" w:rsidRPr="00CE6AE7">
        <w:rPr>
          <w:rFonts w:ascii="Times New Roman" w:hAnsi="Times New Roman"/>
          <w:bCs/>
        </w:rPr>
        <w:t>，究應按服務項目數量</w:t>
      </w:r>
      <w:r w:rsidR="006C00A6" w:rsidRPr="00CE6AE7">
        <w:rPr>
          <w:rFonts w:ascii="Times New Roman" w:hAnsi="Times New Roman"/>
          <w:bCs/>
        </w:rPr>
        <w:t>來</w:t>
      </w:r>
      <w:r w:rsidR="006D3096" w:rsidRPr="00CE6AE7">
        <w:rPr>
          <w:rFonts w:ascii="Times New Roman" w:hAnsi="Times New Roman"/>
          <w:bCs/>
        </w:rPr>
        <w:t>論量給付或包裹式論次定額給付</w:t>
      </w:r>
      <w:r w:rsidR="00DE76F9" w:rsidRPr="00CE6AE7">
        <w:rPr>
          <w:rFonts w:ascii="Times New Roman" w:hAnsi="Times New Roman"/>
          <w:bCs/>
        </w:rPr>
        <w:t>，</w:t>
      </w:r>
      <w:r w:rsidRPr="00CE6AE7">
        <w:rPr>
          <w:rFonts w:ascii="Times New Roman" w:hAnsi="Times New Roman"/>
          <w:bCs/>
        </w:rPr>
        <w:t>也</w:t>
      </w:r>
      <w:r w:rsidR="006D3096" w:rsidRPr="00CE6AE7">
        <w:rPr>
          <w:rFonts w:ascii="Times New Roman" w:hAnsi="Times New Roman"/>
          <w:bCs/>
        </w:rPr>
        <w:t>無</w:t>
      </w:r>
      <w:r w:rsidRPr="00CE6AE7">
        <w:rPr>
          <w:rFonts w:ascii="Times New Roman" w:hAnsi="Times New Roman"/>
          <w:bCs/>
        </w:rPr>
        <w:t>明確採用</w:t>
      </w:r>
      <w:r w:rsidR="006D3096" w:rsidRPr="00CE6AE7">
        <w:rPr>
          <w:rFonts w:ascii="Times New Roman" w:hAnsi="Times New Roman"/>
          <w:bCs/>
        </w:rPr>
        <w:t>依據</w:t>
      </w:r>
      <w:r w:rsidR="00DE76F9" w:rsidRPr="00CE6AE7">
        <w:rPr>
          <w:rFonts w:ascii="Times New Roman" w:hAnsi="Times New Roman"/>
          <w:bCs/>
        </w:rPr>
        <w:t>，</w:t>
      </w:r>
      <w:r w:rsidR="00B200F9" w:rsidRPr="00CE6AE7">
        <w:rPr>
          <w:rFonts w:ascii="Times New Roman" w:hAnsi="Times New Roman"/>
          <w:bCs/>
        </w:rPr>
        <w:t>此</w:t>
      </w:r>
      <w:r w:rsidR="00DE76F9" w:rsidRPr="00CE6AE7">
        <w:rPr>
          <w:rFonts w:ascii="Times New Roman" w:hAnsi="Times New Roman"/>
          <w:bCs/>
        </w:rPr>
        <w:t>均讓勞保甲乙丙表備受批評。</w:t>
      </w:r>
    </w:p>
    <w:bookmarkEnd w:id="34"/>
    <w:p w14:paraId="0EB52430" w14:textId="127CC2E1" w:rsidR="00A07D59" w:rsidRPr="00CE6AE7" w:rsidRDefault="00A07D59" w:rsidP="006E085A">
      <w:pPr>
        <w:pStyle w:val="3"/>
        <w:rPr>
          <w:rFonts w:ascii="Times New Roman" w:hAnsi="Times New Roman"/>
        </w:rPr>
      </w:pPr>
      <w:r w:rsidRPr="00CE6AE7">
        <w:rPr>
          <w:rFonts w:ascii="Times New Roman" w:hAnsi="Times New Roman"/>
          <w:b/>
          <w:bCs w:val="0"/>
        </w:rPr>
        <w:t>嗣後</w:t>
      </w:r>
      <w:bookmarkStart w:id="35" w:name="_Hlk233963493"/>
      <w:r w:rsidR="00780B49">
        <w:rPr>
          <w:rFonts w:ascii="Times New Roman" w:hAnsi="Times New Roman" w:hint="eastAsia"/>
          <w:b/>
          <w:bCs w:val="0"/>
        </w:rPr>
        <w:t>健保署</w:t>
      </w:r>
      <w:r w:rsidRPr="00CE6AE7">
        <w:rPr>
          <w:rFonts w:ascii="Times New Roman" w:hAnsi="Times New Roman"/>
          <w:b/>
          <w:bCs w:val="0"/>
        </w:rPr>
        <w:t>雖於</w:t>
      </w:r>
      <w:r w:rsidR="00FC1FCC" w:rsidRPr="00CE6AE7">
        <w:rPr>
          <w:rFonts w:ascii="Times New Roman" w:hAnsi="Times New Roman"/>
          <w:b/>
          <w:bCs w:val="0"/>
        </w:rPr>
        <w:t>90</w:t>
      </w:r>
      <w:r w:rsidRPr="00CE6AE7">
        <w:rPr>
          <w:rFonts w:ascii="Times New Roman" w:hAnsi="Times New Roman"/>
          <w:b/>
          <w:bCs w:val="0"/>
        </w:rPr>
        <w:t>年</w:t>
      </w:r>
      <w:r w:rsidR="00FC1FCC" w:rsidRPr="00CE6AE7">
        <w:rPr>
          <w:rFonts w:ascii="Times New Roman" w:hAnsi="Times New Roman"/>
          <w:b/>
          <w:bCs w:val="0"/>
        </w:rPr>
        <w:t>起導入</w:t>
      </w:r>
      <w:r w:rsidRPr="00CE6AE7">
        <w:rPr>
          <w:rFonts w:ascii="Times New Roman" w:hAnsi="Times New Roman"/>
          <w:b/>
          <w:bCs w:val="0"/>
        </w:rPr>
        <w:t>支付標準資源基準相對評價表，</w:t>
      </w:r>
      <w:r w:rsidR="00780B49">
        <w:rPr>
          <w:rFonts w:ascii="Times New Roman" w:hAnsi="Times New Roman" w:hint="eastAsia"/>
          <w:b/>
          <w:bCs w:val="0"/>
        </w:rPr>
        <w:t>然</w:t>
      </w:r>
      <w:r w:rsidR="00FC1FCC" w:rsidRPr="00CE6AE7">
        <w:rPr>
          <w:rFonts w:ascii="Times New Roman" w:hAnsi="Times New Roman"/>
          <w:b/>
          <w:bCs w:val="0"/>
        </w:rPr>
        <w:t>適用</w:t>
      </w:r>
      <w:r w:rsidRPr="00CE6AE7">
        <w:rPr>
          <w:rFonts w:ascii="Times New Roman" w:hAnsi="Times New Roman"/>
          <w:b/>
          <w:bCs w:val="0"/>
        </w:rPr>
        <w:t>科別</w:t>
      </w:r>
      <w:r w:rsidR="00FC1FCC" w:rsidRPr="00CE6AE7">
        <w:rPr>
          <w:rFonts w:ascii="Times New Roman" w:hAnsi="Times New Roman"/>
          <w:b/>
          <w:bCs w:val="0"/>
        </w:rPr>
        <w:t>有限</w:t>
      </w:r>
      <w:r w:rsidRPr="00CE6AE7">
        <w:rPr>
          <w:rFonts w:ascii="Times New Roman" w:hAnsi="Times New Roman"/>
          <w:b/>
          <w:bCs w:val="0"/>
        </w:rPr>
        <w:t>，</w:t>
      </w:r>
      <w:r w:rsidR="00AC1FC5" w:rsidRPr="00CE6AE7">
        <w:rPr>
          <w:rFonts w:ascii="Times New Roman" w:hAnsi="Times New Roman"/>
          <w:b/>
          <w:bCs w:val="0"/>
        </w:rPr>
        <w:t>終</w:t>
      </w:r>
      <w:r w:rsidR="001A2FF5" w:rsidRPr="00CE6AE7">
        <w:rPr>
          <w:rFonts w:ascii="Times New Roman" w:hAnsi="Times New Roman"/>
          <w:b/>
          <w:bCs w:val="0"/>
        </w:rPr>
        <w:t>未能全</w:t>
      </w:r>
      <w:r w:rsidR="003E7323" w:rsidRPr="00CE6AE7">
        <w:rPr>
          <w:rFonts w:ascii="Times New Roman" w:hAnsi="Times New Roman"/>
          <w:b/>
          <w:bCs w:val="0"/>
        </w:rPr>
        <w:t>盤檢討</w:t>
      </w:r>
      <w:bookmarkEnd w:id="35"/>
      <w:r w:rsidRPr="00CE6AE7">
        <w:rPr>
          <w:rFonts w:ascii="Times New Roman" w:hAnsi="Times New Roman"/>
          <w:b/>
          <w:bCs w:val="0"/>
        </w:rPr>
        <w:t>：</w:t>
      </w:r>
    </w:p>
    <w:p w14:paraId="6F6CB1FA" w14:textId="367BE094" w:rsidR="003D52BC" w:rsidRPr="00CE6AE7" w:rsidRDefault="00E96F1E" w:rsidP="00FC34F6">
      <w:pPr>
        <w:pStyle w:val="4"/>
        <w:rPr>
          <w:rFonts w:ascii="Times New Roman" w:hAnsi="Times New Roman"/>
        </w:rPr>
      </w:pPr>
      <w:bookmarkStart w:id="36" w:name="_Toc108542121"/>
      <w:bookmarkStart w:id="37" w:name="_Toc108789382"/>
      <w:bookmarkStart w:id="38" w:name="_Toc108790890"/>
      <w:bookmarkStart w:id="39" w:name="_Toc108791188"/>
      <w:r w:rsidRPr="00CE6AE7">
        <w:rPr>
          <w:rFonts w:ascii="Times New Roman" w:hAnsi="Times New Roman"/>
        </w:rPr>
        <w:t>原健保局為建立以醫療資源耗用為基礎之支付標準，於</w:t>
      </w:r>
      <w:r w:rsidRPr="00CE6AE7">
        <w:rPr>
          <w:rFonts w:ascii="Times New Roman" w:hAnsi="Times New Roman"/>
        </w:rPr>
        <w:t>90</w:t>
      </w:r>
      <w:r w:rsidRPr="00CE6AE7">
        <w:rPr>
          <w:rFonts w:ascii="Times New Roman" w:hAnsi="Times New Roman"/>
        </w:rPr>
        <w:t>至</w:t>
      </w:r>
      <w:r w:rsidRPr="00CE6AE7">
        <w:rPr>
          <w:rFonts w:ascii="Times New Roman" w:hAnsi="Times New Roman"/>
        </w:rPr>
        <w:t>91</w:t>
      </w:r>
      <w:r w:rsidRPr="00CE6AE7">
        <w:rPr>
          <w:rFonts w:ascii="Times New Roman" w:hAnsi="Times New Roman"/>
        </w:rPr>
        <w:t>年間規劃導入「臺灣版資源耗用為基礎之相對值表」（</w:t>
      </w:r>
      <w:r w:rsidRPr="00CE6AE7">
        <w:rPr>
          <w:rFonts w:ascii="Times New Roman" w:hAnsi="Times New Roman"/>
        </w:rPr>
        <w:t>Resources-based Relative Value Scales</w:t>
      </w:r>
      <w:r w:rsidRPr="00CE6AE7">
        <w:rPr>
          <w:rFonts w:ascii="Times New Roman" w:hAnsi="Times New Roman"/>
        </w:rPr>
        <w:t>，</w:t>
      </w:r>
      <w:r w:rsidR="00674AA9" w:rsidRPr="00CE6AE7">
        <w:rPr>
          <w:rFonts w:ascii="Times New Roman" w:hAnsi="Times New Roman"/>
        </w:rPr>
        <w:t>下稱</w:t>
      </w:r>
      <w:r w:rsidRPr="00CE6AE7">
        <w:rPr>
          <w:rFonts w:ascii="Times New Roman" w:hAnsi="Times New Roman"/>
        </w:rPr>
        <w:t>RBRVS</w:t>
      </w:r>
      <w:r w:rsidRPr="00CE6AE7">
        <w:rPr>
          <w:rFonts w:ascii="Times New Roman" w:hAnsi="Times New Roman"/>
        </w:rPr>
        <w:t>），函請各專科醫學會就主要手術章節訂定基準項目，並依醫師投入工作時間、技術困難度及醫療風險等因素建立各診療項目之相對價值，以作為支付點數調整依據。惟各專科醫學會普遍欠缺專責人力及經費，多僅由少數人員辦理，難以逐項評估各診療項目之資源耗用及成本；復因成本分析涉及人事成本、非計價藥材、設備折舊、行政管理及作業費等多項成本要素，多憑經驗估算填報，致蒐集之成本資料準確性及客觀性不足，據以建立之相對價值及支付標準，亦難充分反映實際醫療成本</w:t>
      </w:r>
      <w:r w:rsidR="003D52BC" w:rsidRPr="00CE6AE7">
        <w:rPr>
          <w:rFonts w:ascii="Times New Roman" w:hAnsi="Times New Roman"/>
        </w:rPr>
        <w:t>。</w:t>
      </w:r>
    </w:p>
    <w:p w14:paraId="194CE5D5" w14:textId="7F4CF971" w:rsidR="00A07D59" w:rsidRPr="00CE6AE7" w:rsidRDefault="00FC1FCC" w:rsidP="0009752B">
      <w:pPr>
        <w:pStyle w:val="4"/>
        <w:rPr>
          <w:rFonts w:ascii="Times New Roman" w:hAnsi="Times New Roman"/>
        </w:rPr>
      </w:pPr>
      <w:r w:rsidRPr="00CE6AE7">
        <w:rPr>
          <w:rFonts w:ascii="Times New Roman" w:hAnsi="Times New Roman"/>
        </w:rPr>
        <w:t>又</w:t>
      </w:r>
      <w:r w:rsidR="00E96F1E" w:rsidRPr="00CE6AE7">
        <w:rPr>
          <w:rFonts w:ascii="Times New Roman" w:hAnsi="Times New Roman"/>
        </w:rPr>
        <w:t>RBRVS</w:t>
      </w:r>
      <w:r w:rsidR="00E96F1E" w:rsidRPr="00CE6AE7">
        <w:rPr>
          <w:rFonts w:ascii="Times New Roman" w:hAnsi="Times New Roman"/>
        </w:rPr>
        <w:t>主要適用於可量化醫療資源耗用之診療項目，</w:t>
      </w:r>
      <w:r w:rsidR="00C20B08" w:rsidRPr="00CE6AE7">
        <w:rPr>
          <w:rFonts w:ascii="Times New Roman" w:hAnsi="Times New Roman"/>
        </w:rPr>
        <w:t>不適用於</w:t>
      </w:r>
      <w:r w:rsidR="00E96F1E" w:rsidRPr="00CE6AE7">
        <w:rPr>
          <w:rFonts w:ascii="Times New Roman" w:hAnsi="Times New Roman"/>
        </w:rPr>
        <w:t>內科</w:t>
      </w:r>
      <w:r w:rsidR="00C20B08" w:rsidRPr="00CE6AE7">
        <w:rPr>
          <w:rFonts w:ascii="Times New Roman" w:hAnsi="Times New Roman"/>
        </w:rPr>
        <w:t>等</w:t>
      </w:r>
      <w:r w:rsidR="00E96F1E" w:rsidRPr="00CE6AE7">
        <w:rPr>
          <w:rFonts w:ascii="Times New Roman" w:hAnsi="Times New Roman"/>
        </w:rPr>
        <w:t>工作量及資源投入難以</w:t>
      </w:r>
      <w:r w:rsidR="00E96F1E" w:rsidRPr="00CE6AE7">
        <w:rPr>
          <w:rFonts w:ascii="Times New Roman" w:hAnsi="Times New Roman"/>
        </w:rPr>
        <w:lastRenderedPageBreak/>
        <w:t>客觀衡量</w:t>
      </w:r>
      <w:r w:rsidR="00C20B08" w:rsidRPr="00CE6AE7">
        <w:rPr>
          <w:rFonts w:ascii="Times New Roman" w:hAnsi="Times New Roman"/>
        </w:rPr>
        <w:t>之科別</w:t>
      </w:r>
      <w:r w:rsidR="00E96F1E" w:rsidRPr="00CE6AE7">
        <w:rPr>
          <w:rFonts w:ascii="Times New Roman" w:hAnsi="Times New Roman"/>
        </w:rPr>
        <w:t>，</w:t>
      </w:r>
      <w:r w:rsidR="00C20B08" w:rsidRPr="00CE6AE7">
        <w:rPr>
          <w:rFonts w:ascii="Times New Roman" w:hAnsi="Times New Roman"/>
        </w:rPr>
        <w:t>致使此類支付標準修正調整，僅止於部分科別</w:t>
      </w:r>
      <w:r w:rsidR="00E96F1E" w:rsidRPr="00CE6AE7">
        <w:rPr>
          <w:rFonts w:ascii="Times New Roman" w:hAnsi="Times New Roman"/>
        </w:rPr>
        <w:t>。</w:t>
      </w:r>
      <w:r w:rsidR="00C20B08" w:rsidRPr="00CE6AE7">
        <w:rPr>
          <w:rFonts w:ascii="Times New Roman" w:hAnsi="Times New Roman"/>
        </w:rPr>
        <w:t>且</w:t>
      </w:r>
      <w:r w:rsidR="00A07D59" w:rsidRPr="00CE6AE7">
        <w:rPr>
          <w:rFonts w:ascii="Times New Roman" w:hAnsi="Times New Roman"/>
        </w:rPr>
        <w:t>RBRVS</w:t>
      </w:r>
      <w:r w:rsidR="00F46DEF" w:rsidRPr="00CE6AE7">
        <w:rPr>
          <w:rFonts w:ascii="Times New Roman" w:hAnsi="Times New Roman"/>
        </w:rPr>
        <w:t>採相對價值重分配精神，即某些科別點數提高，代表有科別可能下降</w:t>
      </w:r>
      <w:r w:rsidR="003D52BC" w:rsidRPr="00CE6AE7">
        <w:rPr>
          <w:rFonts w:ascii="Times New Roman" w:hAnsi="Times New Roman"/>
        </w:rPr>
        <w:t>，</w:t>
      </w:r>
      <w:r w:rsidR="00F46DEF" w:rsidRPr="00CE6AE7">
        <w:rPr>
          <w:rFonts w:ascii="Times New Roman" w:hAnsi="Times New Roman"/>
        </w:rPr>
        <w:t>各專科學會及醫療團體意見分歧，具高度社會關注或醫界訴求較強烈之疾病及診療項目較被優先重視，支付標準調整</w:t>
      </w:r>
      <w:r w:rsidR="00C20B08" w:rsidRPr="00CE6AE7">
        <w:rPr>
          <w:rFonts w:ascii="Times New Roman" w:hAnsi="Times New Roman"/>
        </w:rPr>
        <w:t>再次</w:t>
      </w:r>
      <w:r w:rsidR="00F46DEF" w:rsidRPr="00CE6AE7">
        <w:rPr>
          <w:rFonts w:ascii="Times New Roman" w:hAnsi="Times New Roman"/>
        </w:rPr>
        <w:t>傾向議題導向，</w:t>
      </w:r>
      <w:r w:rsidR="00C20B08" w:rsidRPr="00CE6AE7">
        <w:rPr>
          <w:rFonts w:ascii="Times New Roman" w:hAnsi="Times New Roman"/>
        </w:rPr>
        <w:t>影響改革成效</w:t>
      </w:r>
      <w:r w:rsidR="00F46DEF" w:rsidRPr="00CE6AE7">
        <w:rPr>
          <w:rFonts w:ascii="Times New Roman" w:hAnsi="Times New Roman"/>
        </w:rPr>
        <w:t>。</w:t>
      </w:r>
      <w:bookmarkEnd w:id="36"/>
      <w:bookmarkEnd w:id="37"/>
      <w:bookmarkEnd w:id="38"/>
      <w:bookmarkEnd w:id="39"/>
    </w:p>
    <w:p w14:paraId="0A39ED3C" w14:textId="766A522F" w:rsidR="00A07D59" w:rsidRPr="00CE6AE7" w:rsidRDefault="00674AA9" w:rsidP="00D81105">
      <w:pPr>
        <w:pStyle w:val="3"/>
        <w:rPr>
          <w:rFonts w:ascii="Times New Roman" w:hAnsi="Times New Roman"/>
          <w:b/>
          <w:bCs w:val="0"/>
        </w:rPr>
      </w:pPr>
      <w:r w:rsidRPr="00CE6AE7">
        <w:rPr>
          <w:rFonts w:ascii="Times New Roman" w:hAnsi="Times New Roman"/>
          <w:b/>
          <w:bCs w:val="0"/>
        </w:rPr>
        <w:t>又查，</w:t>
      </w:r>
      <w:r w:rsidR="00E96F1E" w:rsidRPr="00CE6AE7">
        <w:rPr>
          <w:rFonts w:ascii="Times New Roman" w:hAnsi="Times New Roman"/>
          <w:b/>
          <w:bCs w:val="0"/>
        </w:rPr>
        <w:t>健保</w:t>
      </w:r>
      <w:r w:rsidR="00736217">
        <w:rPr>
          <w:rFonts w:ascii="Times New Roman" w:hAnsi="Times New Roman" w:hint="eastAsia"/>
          <w:b/>
          <w:bCs w:val="0"/>
        </w:rPr>
        <w:t>署</w:t>
      </w:r>
      <w:r w:rsidR="00E96F1E" w:rsidRPr="00CE6AE7">
        <w:rPr>
          <w:rFonts w:ascii="Times New Roman" w:hAnsi="Times New Roman"/>
          <w:b/>
          <w:bCs w:val="0"/>
        </w:rPr>
        <w:t>雖自</w:t>
      </w:r>
      <w:r w:rsidR="00E96F1E" w:rsidRPr="00CE6AE7">
        <w:rPr>
          <w:rFonts w:ascii="Times New Roman" w:hAnsi="Times New Roman"/>
          <w:b/>
          <w:bCs w:val="0"/>
        </w:rPr>
        <w:t>10</w:t>
      </w:r>
      <w:r w:rsidR="007D1453" w:rsidRPr="00CE6AE7">
        <w:rPr>
          <w:rFonts w:ascii="Times New Roman" w:hAnsi="Times New Roman"/>
          <w:b/>
          <w:bCs w:val="0"/>
        </w:rPr>
        <w:t>2</w:t>
      </w:r>
      <w:r w:rsidR="00E96F1E" w:rsidRPr="00CE6AE7">
        <w:rPr>
          <w:rFonts w:ascii="Times New Roman" w:hAnsi="Times New Roman"/>
          <w:b/>
          <w:bCs w:val="0"/>
        </w:rPr>
        <w:t>年起，</w:t>
      </w:r>
      <w:r w:rsidR="007D1453" w:rsidRPr="00CE6AE7">
        <w:rPr>
          <w:rFonts w:ascii="Times New Roman" w:hAnsi="Times New Roman"/>
          <w:b/>
          <w:bCs w:val="0"/>
        </w:rPr>
        <w:t>將</w:t>
      </w:r>
      <w:r w:rsidR="00D20B61" w:rsidRPr="00CE6AE7">
        <w:rPr>
          <w:rFonts w:ascii="Times New Roman" w:hAnsi="Times New Roman"/>
          <w:b/>
          <w:bCs w:val="0"/>
        </w:rPr>
        <w:t>具實證基礎之</w:t>
      </w:r>
      <w:r w:rsidR="007D1453" w:rsidRPr="00CE6AE7">
        <w:rPr>
          <w:rFonts w:ascii="Times New Roman" w:hAnsi="Times New Roman"/>
          <w:b/>
          <w:bCs w:val="0"/>
        </w:rPr>
        <w:t>HTA</w:t>
      </w:r>
      <w:r w:rsidR="007D1453" w:rsidRPr="00CE6AE7">
        <w:rPr>
          <w:rFonts w:ascii="Times New Roman" w:hAnsi="Times New Roman"/>
          <w:b/>
          <w:bCs w:val="0"/>
        </w:rPr>
        <w:t>機制，明定於支付標準擬訂程序中</w:t>
      </w:r>
      <w:r w:rsidR="00E96F1E" w:rsidRPr="00CE6AE7">
        <w:rPr>
          <w:rFonts w:ascii="Times New Roman" w:hAnsi="Times New Roman"/>
          <w:b/>
          <w:bCs w:val="0"/>
        </w:rPr>
        <w:t>，惟</w:t>
      </w:r>
      <w:r w:rsidR="007D1453" w:rsidRPr="00CE6AE7">
        <w:rPr>
          <w:rFonts w:ascii="Times New Roman" w:hAnsi="Times New Roman"/>
          <w:b/>
          <w:bCs w:val="0"/>
        </w:rPr>
        <w:t>實務上，仍僅</w:t>
      </w:r>
      <w:r w:rsidR="00E96F1E" w:rsidRPr="00CE6AE7">
        <w:rPr>
          <w:rFonts w:ascii="Times New Roman" w:hAnsi="Times New Roman"/>
          <w:b/>
          <w:bCs w:val="0"/>
        </w:rPr>
        <w:t>應用於新擬訂之支付標準，舊有標準則仍待相關</w:t>
      </w:r>
      <w:r w:rsidR="007935BB" w:rsidRPr="00CE6AE7">
        <w:rPr>
          <w:rFonts w:ascii="Times New Roman" w:hAnsi="Times New Roman"/>
          <w:b/>
          <w:bCs w:val="0"/>
        </w:rPr>
        <w:t>學會、公會</w:t>
      </w:r>
      <w:r w:rsidR="00E96F1E" w:rsidRPr="00CE6AE7">
        <w:rPr>
          <w:rFonts w:ascii="Times New Roman" w:hAnsi="Times New Roman"/>
          <w:b/>
          <w:bCs w:val="0"/>
        </w:rPr>
        <w:t>或醫療院所向</w:t>
      </w:r>
      <w:r w:rsidR="00736217">
        <w:rPr>
          <w:rFonts w:ascii="Times New Roman" w:hAnsi="Times New Roman" w:hint="eastAsia"/>
          <w:b/>
          <w:bCs w:val="0"/>
        </w:rPr>
        <w:t>該</w:t>
      </w:r>
      <w:r w:rsidR="00E96F1E" w:rsidRPr="00CE6AE7">
        <w:rPr>
          <w:rFonts w:ascii="Times New Roman" w:hAnsi="Times New Roman"/>
          <w:b/>
          <w:bCs w:val="0"/>
        </w:rPr>
        <w:t>署提出</w:t>
      </w:r>
      <w:r w:rsidR="007D1453" w:rsidRPr="00CE6AE7">
        <w:rPr>
          <w:rFonts w:ascii="Times New Roman" w:hAnsi="Times New Roman"/>
          <w:b/>
          <w:bCs w:val="0"/>
        </w:rPr>
        <w:t>修正</w:t>
      </w:r>
      <w:r w:rsidR="00E96F1E" w:rsidRPr="00CE6AE7">
        <w:rPr>
          <w:rFonts w:ascii="Times New Roman" w:hAnsi="Times New Roman"/>
          <w:b/>
          <w:bCs w:val="0"/>
        </w:rPr>
        <w:t>申請，或發現異常申報紀錄時再進行調查調整，</w:t>
      </w:r>
      <w:r w:rsidR="007D1453" w:rsidRPr="00CE6AE7">
        <w:rPr>
          <w:rFonts w:ascii="Times New Roman" w:hAnsi="Times New Roman"/>
          <w:b/>
          <w:bCs w:val="0"/>
        </w:rPr>
        <w:t>欠缺</w:t>
      </w:r>
      <w:r w:rsidR="00E96F1E" w:rsidRPr="00CE6AE7">
        <w:rPr>
          <w:rFonts w:ascii="Times New Roman" w:hAnsi="Times New Roman"/>
          <w:b/>
          <w:bCs w:val="0"/>
        </w:rPr>
        <w:t>全盤檢討之機制：</w:t>
      </w:r>
    </w:p>
    <w:p w14:paraId="6C36AF85" w14:textId="1806C9B6" w:rsidR="00E96F1E" w:rsidRPr="00CE6AE7" w:rsidRDefault="007D1453" w:rsidP="00D6121A">
      <w:pPr>
        <w:pStyle w:val="4"/>
        <w:rPr>
          <w:rFonts w:ascii="Times New Roman" w:hAnsi="Times New Roman"/>
        </w:rPr>
      </w:pPr>
      <w:r w:rsidRPr="00CE6AE7">
        <w:rPr>
          <w:rFonts w:ascii="Times New Roman" w:hAnsi="Times New Roman"/>
        </w:rPr>
        <w:tab/>
      </w:r>
      <w:r w:rsidRPr="00CE6AE7">
        <w:rPr>
          <w:rFonts w:ascii="Times New Roman" w:hAnsi="Times New Roman"/>
        </w:rPr>
        <w:t>全民健康保險法（下稱健保法）於</w:t>
      </w:r>
      <w:r w:rsidR="00E96F1E" w:rsidRPr="00CE6AE7">
        <w:rPr>
          <w:rFonts w:ascii="Times New Roman" w:hAnsi="Times New Roman"/>
        </w:rPr>
        <w:t>100</w:t>
      </w:r>
      <w:r w:rsidR="00E96F1E" w:rsidRPr="00CE6AE7">
        <w:rPr>
          <w:rFonts w:ascii="Times New Roman" w:hAnsi="Times New Roman"/>
        </w:rPr>
        <w:t>年</w:t>
      </w:r>
      <w:r w:rsidR="00E96F1E" w:rsidRPr="00CE6AE7">
        <w:rPr>
          <w:rFonts w:ascii="Times New Roman" w:hAnsi="Times New Roman"/>
        </w:rPr>
        <w:t>1</w:t>
      </w:r>
      <w:r w:rsidR="00E96F1E" w:rsidRPr="00CE6AE7">
        <w:rPr>
          <w:rFonts w:ascii="Times New Roman" w:hAnsi="Times New Roman"/>
        </w:rPr>
        <w:t>月</w:t>
      </w:r>
      <w:r w:rsidR="00E96F1E" w:rsidRPr="00CE6AE7">
        <w:rPr>
          <w:rFonts w:ascii="Times New Roman" w:hAnsi="Times New Roman"/>
        </w:rPr>
        <w:t>4</w:t>
      </w:r>
      <w:r w:rsidR="00E96F1E" w:rsidRPr="00CE6AE7">
        <w:rPr>
          <w:rFonts w:ascii="Times New Roman" w:hAnsi="Times New Roman"/>
        </w:rPr>
        <w:t>日修正全文，</w:t>
      </w:r>
      <w:r w:rsidR="004B11F2" w:rsidRPr="00CE6AE7">
        <w:rPr>
          <w:rFonts w:ascii="Times New Roman" w:hAnsi="Times New Roman"/>
        </w:rPr>
        <w:t>同法第</w:t>
      </w:r>
      <w:r w:rsidR="004B11F2" w:rsidRPr="00CE6AE7">
        <w:rPr>
          <w:rFonts w:ascii="Times New Roman" w:hAnsi="Times New Roman"/>
        </w:rPr>
        <w:t>41</w:t>
      </w:r>
      <w:r w:rsidR="004B11F2" w:rsidRPr="00CE6AE7">
        <w:rPr>
          <w:rFonts w:ascii="Times New Roman" w:hAnsi="Times New Roman"/>
        </w:rPr>
        <w:t>條第</w:t>
      </w:r>
      <w:r w:rsidR="004B11F2" w:rsidRPr="00CE6AE7">
        <w:rPr>
          <w:rFonts w:ascii="Times New Roman" w:hAnsi="Times New Roman"/>
        </w:rPr>
        <w:t>1</w:t>
      </w:r>
      <w:r w:rsidR="004B11F2" w:rsidRPr="00CE6AE7">
        <w:rPr>
          <w:rFonts w:ascii="Times New Roman" w:hAnsi="Times New Roman"/>
        </w:rPr>
        <w:t>項規定，醫療服務給付項目及支付標準，由保險人與相關機關、專家學者、被保險人、雇主及保險醫事服務提供者等代表</w:t>
      </w:r>
      <w:r w:rsidR="004B11F2" w:rsidRPr="00736217">
        <w:rPr>
          <w:rFonts w:ascii="Times New Roman" w:hAnsi="Times New Roman"/>
        </w:rPr>
        <w:t>共同擬訂</w:t>
      </w:r>
      <w:r w:rsidR="004B11F2" w:rsidRPr="00CE6AE7">
        <w:rPr>
          <w:rFonts w:ascii="Times New Roman" w:hAnsi="Times New Roman"/>
        </w:rPr>
        <w:t>，報主管機關核定發布。復依同法</w:t>
      </w:r>
      <w:r w:rsidR="00E96F1E" w:rsidRPr="00CE6AE7">
        <w:rPr>
          <w:rFonts w:ascii="Times New Roman" w:hAnsi="Times New Roman"/>
        </w:rPr>
        <w:t>第</w:t>
      </w:r>
      <w:r w:rsidR="00E96F1E" w:rsidRPr="00CE6AE7">
        <w:rPr>
          <w:rFonts w:ascii="Times New Roman" w:hAnsi="Times New Roman"/>
        </w:rPr>
        <w:t>42</w:t>
      </w:r>
      <w:r w:rsidR="00E96F1E" w:rsidRPr="00CE6AE7">
        <w:rPr>
          <w:rFonts w:ascii="Times New Roman" w:hAnsi="Times New Roman"/>
        </w:rPr>
        <w:t>條第</w:t>
      </w:r>
      <w:r w:rsidR="00E96F1E" w:rsidRPr="00CE6AE7">
        <w:rPr>
          <w:rFonts w:ascii="Times New Roman" w:hAnsi="Times New Roman"/>
        </w:rPr>
        <w:t>2</w:t>
      </w:r>
      <w:r w:rsidR="00E96F1E" w:rsidRPr="00CE6AE7">
        <w:rPr>
          <w:rFonts w:ascii="Times New Roman" w:hAnsi="Times New Roman"/>
        </w:rPr>
        <w:t>項規定，醫療服務給付項目及支付標準的訂定，保險人得先辦理</w:t>
      </w:r>
      <w:r w:rsidR="008325EE" w:rsidRPr="00CE6AE7">
        <w:rPr>
          <w:rFonts w:ascii="Times New Roman" w:hAnsi="Times New Roman"/>
        </w:rPr>
        <w:t>HTA</w:t>
      </w:r>
      <w:r w:rsidR="008325EE" w:rsidRPr="00CE6AE7">
        <w:rPr>
          <w:rFonts w:ascii="Times New Roman" w:hAnsi="Times New Roman"/>
        </w:rPr>
        <w:t>作業</w:t>
      </w:r>
      <w:r w:rsidR="00E96F1E" w:rsidRPr="00CE6AE7">
        <w:rPr>
          <w:rFonts w:ascii="Times New Roman" w:hAnsi="Times New Roman"/>
        </w:rPr>
        <w:t>，並應考量人體健康、醫療倫理、醫療成本效益及本保險財務；藥物給付項目及支付標準之訂定，亦同。</w:t>
      </w:r>
      <w:r w:rsidR="004B11F2" w:rsidRPr="00CE6AE7">
        <w:rPr>
          <w:rFonts w:ascii="Times New Roman" w:hAnsi="Times New Roman"/>
        </w:rPr>
        <w:t>據此，後續</w:t>
      </w:r>
      <w:r w:rsidR="009C64AE" w:rsidRPr="00CE6AE7">
        <w:rPr>
          <w:rFonts w:ascii="Times New Roman" w:hAnsi="Times New Roman"/>
        </w:rPr>
        <w:t>訂定之</w:t>
      </w:r>
      <w:r w:rsidR="004B11F2" w:rsidRPr="00CE6AE7">
        <w:rPr>
          <w:rFonts w:ascii="Times New Roman" w:hAnsi="Times New Roman"/>
        </w:rPr>
        <w:t>健保支付標準始有</w:t>
      </w:r>
      <w:r w:rsidR="00D20B61" w:rsidRPr="00CE6AE7">
        <w:rPr>
          <w:rFonts w:ascii="Times New Roman" w:hAnsi="Times New Roman"/>
        </w:rPr>
        <w:t>實證評估機制及</w:t>
      </w:r>
      <w:r w:rsidR="004B11F2" w:rsidRPr="00736217">
        <w:rPr>
          <w:rFonts w:ascii="Times New Roman" w:hAnsi="Times New Roman"/>
        </w:rPr>
        <w:t>法制化</w:t>
      </w:r>
      <w:r w:rsidR="009C64AE" w:rsidRPr="00736217">
        <w:rPr>
          <w:rFonts w:ascii="Times New Roman" w:hAnsi="Times New Roman"/>
        </w:rPr>
        <w:t>程序</w:t>
      </w:r>
      <w:r w:rsidR="004B11F2" w:rsidRPr="00736217">
        <w:rPr>
          <w:rFonts w:ascii="Times New Roman" w:hAnsi="Times New Roman"/>
        </w:rPr>
        <w:t>基礎</w:t>
      </w:r>
      <w:r w:rsidR="004B11F2" w:rsidRPr="00CE6AE7">
        <w:rPr>
          <w:rFonts w:ascii="Times New Roman" w:hAnsi="Times New Roman"/>
        </w:rPr>
        <w:t>。</w:t>
      </w:r>
    </w:p>
    <w:p w14:paraId="456FA7F6" w14:textId="23079160" w:rsidR="00A740B1" w:rsidRPr="00CE6AE7" w:rsidRDefault="00D20B61" w:rsidP="0054366A">
      <w:pPr>
        <w:pStyle w:val="4"/>
        <w:rPr>
          <w:rFonts w:ascii="Times New Roman" w:hAnsi="Times New Roman"/>
        </w:rPr>
      </w:pPr>
      <w:r w:rsidRPr="00CE6AE7">
        <w:rPr>
          <w:rFonts w:ascii="Times New Roman" w:hAnsi="Times New Roman"/>
        </w:rPr>
        <w:t>然查，</w:t>
      </w:r>
      <w:r w:rsidR="0054366A" w:rsidRPr="00CE6AE7">
        <w:rPr>
          <w:rFonts w:ascii="Times New Roman" w:hAnsi="Times New Roman"/>
        </w:rPr>
        <w:t>就</w:t>
      </w:r>
      <w:r w:rsidR="00644A36" w:rsidRPr="00CE6AE7">
        <w:rPr>
          <w:rFonts w:ascii="Times New Roman" w:hAnsi="Times New Roman"/>
        </w:rPr>
        <w:t>現行</w:t>
      </w:r>
      <w:r w:rsidRPr="00CE6AE7">
        <w:rPr>
          <w:rFonts w:ascii="Times New Roman" w:hAnsi="Times New Roman"/>
        </w:rPr>
        <w:t>健保</w:t>
      </w:r>
      <w:r w:rsidR="00644A36" w:rsidRPr="00CE6AE7">
        <w:rPr>
          <w:rFonts w:ascii="Times New Roman" w:hAnsi="Times New Roman"/>
        </w:rPr>
        <w:t>支付</w:t>
      </w:r>
      <w:r w:rsidR="009C64AE" w:rsidRPr="00CE6AE7">
        <w:rPr>
          <w:rFonts w:ascii="Times New Roman" w:hAnsi="Times New Roman"/>
        </w:rPr>
        <w:t>標準</w:t>
      </w:r>
      <w:r w:rsidR="00644A36" w:rsidRPr="00CE6AE7">
        <w:rPr>
          <w:rFonts w:ascii="Times New Roman" w:hAnsi="Times New Roman"/>
        </w:rPr>
        <w:t>之新增或修正</w:t>
      </w:r>
      <w:r w:rsidR="009C64AE" w:rsidRPr="00CE6AE7">
        <w:rPr>
          <w:rFonts w:ascii="Times New Roman" w:hAnsi="Times New Roman"/>
        </w:rPr>
        <w:t>，多</w:t>
      </w:r>
      <w:r w:rsidRPr="00CE6AE7">
        <w:rPr>
          <w:rFonts w:ascii="Times New Roman" w:hAnsi="Times New Roman"/>
        </w:rPr>
        <w:t>係由</w:t>
      </w:r>
      <w:r w:rsidR="001D6246" w:rsidRPr="00CE6AE7">
        <w:rPr>
          <w:rFonts w:ascii="Times New Roman" w:hAnsi="Times New Roman"/>
        </w:rPr>
        <w:t>健保</w:t>
      </w:r>
      <w:r w:rsidR="00AF5D3A" w:rsidRPr="00CE6AE7">
        <w:rPr>
          <w:rFonts w:ascii="Times New Roman" w:hAnsi="Times New Roman"/>
        </w:rPr>
        <w:t>特約醫事機構</w:t>
      </w:r>
      <w:r w:rsidR="009C64AE" w:rsidRPr="00CE6AE7">
        <w:rPr>
          <w:rFonts w:ascii="Times New Roman" w:hAnsi="Times New Roman"/>
        </w:rPr>
        <w:t>、相關公會或專科醫學會提出，藥品及特材</w:t>
      </w:r>
      <w:r w:rsidRPr="00CE6AE7">
        <w:rPr>
          <w:rFonts w:ascii="Times New Roman" w:hAnsi="Times New Roman"/>
        </w:rPr>
        <w:t>另</w:t>
      </w:r>
      <w:r w:rsidR="009C64AE" w:rsidRPr="00CE6AE7">
        <w:rPr>
          <w:rFonts w:ascii="Times New Roman" w:hAnsi="Times New Roman"/>
        </w:rPr>
        <w:t>由</w:t>
      </w:r>
      <w:r w:rsidR="001D6246" w:rsidRPr="00CE6AE7">
        <w:rPr>
          <w:rFonts w:ascii="Times New Roman" w:hAnsi="Times New Roman"/>
        </w:rPr>
        <w:t>健保</w:t>
      </w:r>
      <w:r w:rsidR="00AF5D3A" w:rsidRPr="00CE6AE7">
        <w:rPr>
          <w:rFonts w:ascii="Times New Roman" w:hAnsi="Times New Roman"/>
        </w:rPr>
        <w:t>特約醫事機構</w:t>
      </w:r>
      <w:r w:rsidR="009C64AE" w:rsidRPr="00CE6AE7">
        <w:rPr>
          <w:rFonts w:ascii="Times New Roman" w:hAnsi="Times New Roman"/>
        </w:rPr>
        <w:t>或取得主管機關核發之「藥物許可證」或「查驗登記技術與行政資料審核通過核准函」之藥商、醫療器材商提出。而健保署</w:t>
      </w:r>
      <w:r w:rsidR="004B2D51">
        <w:rPr>
          <w:rFonts w:ascii="Times New Roman" w:hAnsi="Times New Roman" w:hint="eastAsia"/>
        </w:rPr>
        <w:t>係</w:t>
      </w:r>
      <w:r w:rsidR="009C64AE" w:rsidRPr="00CE6AE7">
        <w:rPr>
          <w:rFonts w:ascii="Times New Roman" w:hAnsi="Times New Roman"/>
        </w:rPr>
        <w:t>於</w:t>
      </w:r>
      <w:r w:rsidR="009C64AE" w:rsidRPr="00736217">
        <w:rPr>
          <w:rFonts w:ascii="Times New Roman" w:hAnsi="Times New Roman"/>
        </w:rPr>
        <w:t>查有異常特殊申報情形及</w:t>
      </w:r>
      <w:r w:rsidR="009C64AE" w:rsidRPr="00736217">
        <w:rPr>
          <w:rFonts w:ascii="Times New Roman" w:hAnsi="Times New Roman"/>
        </w:rPr>
        <w:lastRenderedPageBreak/>
        <w:t>涉及支付標準釋示或</w:t>
      </w:r>
      <w:r w:rsidR="0084741C" w:rsidRPr="00736217">
        <w:rPr>
          <w:rFonts w:ascii="Times New Roman" w:hAnsi="Times New Roman"/>
        </w:rPr>
        <w:t>調整</w:t>
      </w:r>
      <w:r w:rsidR="009C64AE" w:rsidRPr="00736217">
        <w:rPr>
          <w:rFonts w:ascii="Times New Roman" w:hAnsi="Times New Roman"/>
        </w:rPr>
        <w:t>建議</w:t>
      </w:r>
      <w:r w:rsidR="009C64AE" w:rsidRPr="00CE6AE7">
        <w:rPr>
          <w:rFonts w:ascii="Times New Roman" w:hAnsi="Times New Roman"/>
        </w:rPr>
        <w:t>時，</w:t>
      </w:r>
      <w:r w:rsidR="004B2D51">
        <w:rPr>
          <w:rFonts w:ascii="Times New Roman" w:hAnsi="Times New Roman" w:hint="eastAsia"/>
        </w:rPr>
        <w:t>始</w:t>
      </w:r>
      <w:r w:rsidR="00977756" w:rsidRPr="00CE6AE7">
        <w:rPr>
          <w:rFonts w:ascii="Times New Roman" w:hAnsi="Times New Roman"/>
        </w:rPr>
        <w:t>發起修正</w:t>
      </w:r>
      <w:r w:rsidR="00A740B1" w:rsidRPr="00CE6AE7">
        <w:rPr>
          <w:rFonts w:ascii="Times New Roman" w:hAnsi="Times New Roman"/>
        </w:rPr>
        <w:t>，該</w:t>
      </w:r>
      <w:r w:rsidR="009C64AE" w:rsidRPr="00CE6AE7">
        <w:rPr>
          <w:rFonts w:ascii="Times New Roman" w:hAnsi="Times New Roman"/>
        </w:rPr>
        <w:t>署</w:t>
      </w:r>
      <w:r w:rsidR="00644A36" w:rsidRPr="00CE6AE7">
        <w:rPr>
          <w:rFonts w:ascii="Times New Roman" w:hAnsi="Times New Roman"/>
        </w:rPr>
        <w:t>再</w:t>
      </w:r>
      <w:r w:rsidR="009C64AE" w:rsidRPr="00CE6AE7">
        <w:rPr>
          <w:rFonts w:ascii="Times New Roman" w:hAnsi="Times New Roman"/>
        </w:rPr>
        <w:t>定期監測</w:t>
      </w:r>
      <w:r w:rsidR="00A740B1" w:rsidRPr="00CE6AE7">
        <w:rPr>
          <w:rFonts w:ascii="Times New Roman" w:hAnsi="Times New Roman"/>
        </w:rPr>
        <w:t>5</w:t>
      </w:r>
      <w:r w:rsidR="009C64AE" w:rsidRPr="00CE6AE7">
        <w:rPr>
          <w:rFonts w:ascii="Times New Roman" w:hAnsi="Times New Roman"/>
        </w:rPr>
        <w:t>年內新增及修</w:t>
      </w:r>
      <w:r w:rsidR="00644A36" w:rsidRPr="00CE6AE7">
        <w:rPr>
          <w:rFonts w:ascii="Times New Roman" w:hAnsi="Times New Roman"/>
        </w:rPr>
        <w:t>正</w:t>
      </w:r>
      <w:r w:rsidR="009C64AE" w:rsidRPr="00CE6AE7">
        <w:rPr>
          <w:rFonts w:ascii="Times New Roman" w:hAnsi="Times New Roman"/>
        </w:rPr>
        <w:t>之診療項目費用申報情形，如有申報情形超出先前預估之財務衝擊者，</w:t>
      </w:r>
      <w:r w:rsidR="004B2D51">
        <w:rPr>
          <w:rFonts w:ascii="Times New Roman" w:hAnsi="Times New Roman" w:hint="eastAsia"/>
        </w:rPr>
        <w:t>則</w:t>
      </w:r>
      <w:r w:rsidR="009C64AE" w:rsidRPr="00CE6AE7">
        <w:rPr>
          <w:rFonts w:ascii="Times New Roman" w:hAnsi="Times New Roman"/>
        </w:rPr>
        <w:t>轉請學會研議是否提案修</w:t>
      </w:r>
      <w:r w:rsidR="00644A36" w:rsidRPr="00CE6AE7">
        <w:rPr>
          <w:rFonts w:ascii="Times New Roman" w:hAnsi="Times New Roman"/>
        </w:rPr>
        <w:t>正</w:t>
      </w:r>
      <w:r w:rsidR="009C64AE" w:rsidRPr="00CE6AE7">
        <w:rPr>
          <w:rFonts w:ascii="Times New Roman" w:hAnsi="Times New Roman"/>
        </w:rPr>
        <w:t>診療項目支付規範。</w:t>
      </w:r>
      <w:r w:rsidR="00977756" w:rsidRPr="00736217">
        <w:rPr>
          <w:rFonts w:ascii="Times New Roman" w:hAnsi="Times New Roman"/>
        </w:rPr>
        <w:t>要言之，若無發生異常或無單位申請，健保署並無主動盤點及檢討現行支付標準之機制</w:t>
      </w:r>
      <w:r w:rsidR="00977756" w:rsidRPr="00CE6AE7">
        <w:rPr>
          <w:rFonts w:ascii="Times New Roman" w:hAnsi="Times New Roman"/>
        </w:rPr>
        <w:t>。</w:t>
      </w:r>
    </w:p>
    <w:p w14:paraId="7BBA8728" w14:textId="57EE5798" w:rsidR="00A07D59" w:rsidRPr="00CE6AE7" w:rsidRDefault="00674AA9" w:rsidP="006E085A">
      <w:pPr>
        <w:pStyle w:val="3"/>
        <w:rPr>
          <w:rFonts w:ascii="Times New Roman" w:hAnsi="Times New Roman"/>
        </w:rPr>
      </w:pPr>
      <w:r w:rsidRPr="00CE6AE7">
        <w:rPr>
          <w:rFonts w:ascii="Times New Roman" w:hAnsi="Times New Roman"/>
          <w:b/>
          <w:bCs w:val="0"/>
        </w:rPr>
        <w:t>再查，</w:t>
      </w:r>
      <w:r w:rsidR="0054366A" w:rsidRPr="00CE6AE7">
        <w:rPr>
          <w:rFonts w:ascii="Times New Roman" w:hAnsi="Times New Roman"/>
          <w:b/>
          <w:bCs w:val="0"/>
        </w:rPr>
        <w:t>自</w:t>
      </w:r>
      <w:r w:rsidR="0054366A" w:rsidRPr="00CE6AE7">
        <w:rPr>
          <w:rFonts w:ascii="Times New Roman" w:hAnsi="Times New Roman"/>
          <w:b/>
          <w:bCs w:val="0"/>
        </w:rPr>
        <w:t>84</w:t>
      </w:r>
      <w:r w:rsidR="0054366A" w:rsidRPr="00CE6AE7">
        <w:rPr>
          <w:rFonts w:ascii="Times New Roman" w:hAnsi="Times New Roman"/>
          <w:b/>
          <w:bCs w:val="0"/>
        </w:rPr>
        <w:t>年</w:t>
      </w:r>
      <w:r w:rsidR="0054366A" w:rsidRPr="00CE6AE7">
        <w:rPr>
          <w:rFonts w:ascii="Times New Roman" w:hAnsi="Times New Roman"/>
          <w:b/>
          <w:bCs w:val="0"/>
        </w:rPr>
        <w:t>3</w:t>
      </w:r>
      <w:r w:rsidR="0054366A" w:rsidRPr="00CE6AE7">
        <w:rPr>
          <w:rFonts w:ascii="Times New Roman" w:hAnsi="Times New Roman"/>
          <w:b/>
          <w:bCs w:val="0"/>
        </w:rPr>
        <w:t>月健保開辦迄今，仍有逾</w:t>
      </w:r>
      <w:r w:rsidR="0054366A" w:rsidRPr="00CE6AE7">
        <w:rPr>
          <w:rFonts w:ascii="Times New Roman" w:hAnsi="Times New Roman"/>
          <w:b/>
          <w:bCs w:val="0"/>
        </w:rPr>
        <w:t>5</w:t>
      </w:r>
      <w:r w:rsidR="0054366A" w:rsidRPr="00CE6AE7">
        <w:rPr>
          <w:rFonts w:ascii="Times New Roman" w:hAnsi="Times New Roman"/>
          <w:b/>
          <w:bCs w:val="0"/>
        </w:rPr>
        <w:t>百項診療項目支付標準從未調整，</w:t>
      </w:r>
      <w:r w:rsidR="00157FBA" w:rsidRPr="00CE6AE7">
        <w:rPr>
          <w:rFonts w:ascii="Times New Roman" w:hAnsi="Times New Roman"/>
          <w:b/>
          <w:bCs w:val="0"/>
        </w:rPr>
        <w:t>且現行健保</w:t>
      </w:r>
      <w:r w:rsidR="00977756" w:rsidRPr="00CE6AE7">
        <w:rPr>
          <w:rFonts w:ascii="Times New Roman" w:hAnsi="Times New Roman"/>
          <w:b/>
          <w:bCs w:val="0"/>
        </w:rPr>
        <w:t>支付標準中，更</w:t>
      </w:r>
      <w:r w:rsidR="00A07D59" w:rsidRPr="00CE6AE7">
        <w:rPr>
          <w:rFonts w:ascii="Times New Roman" w:hAnsi="Times New Roman"/>
          <w:b/>
          <w:bCs w:val="0"/>
        </w:rPr>
        <w:t>存有處置與手術界定未妥、部分術式定義不清，抑或支付點數偏低之情形</w:t>
      </w:r>
      <w:r w:rsidR="00D7450E" w:rsidRPr="00CE6AE7">
        <w:rPr>
          <w:rFonts w:ascii="Times New Roman" w:hAnsi="Times New Roman"/>
          <w:b/>
          <w:bCs w:val="0"/>
        </w:rPr>
        <w:t>，致使醫療勞務風險與給付間失衡</w:t>
      </w:r>
      <w:r w:rsidR="00977756" w:rsidRPr="00CE6AE7">
        <w:rPr>
          <w:rFonts w:ascii="Times New Roman" w:hAnsi="Times New Roman"/>
          <w:b/>
          <w:bCs w:val="0"/>
        </w:rPr>
        <w:t>：</w:t>
      </w:r>
    </w:p>
    <w:p w14:paraId="58EC6AB4" w14:textId="582EB368" w:rsidR="00EA6F15" w:rsidRPr="00CE6AE7" w:rsidRDefault="008919DD" w:rsidP="00FC31AB">
      <w:pPr>
        <w:pStyle w:val="4"/>
        <w:rPr>
          <w:rFonts w:ascii="Times New Roman" w:hAnsi="Times New Roman"/>
        </w:rPr>
      </w:pPr>
      <w:r w:rsidRPr="00CE6AE7">
        <w:rPr>
          <w:rFonts w:ascii="Times New Roman" w:hAnsi="Times New Roman"/>
        </w:rPr>
        <w:t>部分具高風險或高侵入性之醫療行為，甚至已有實質替代手術的效果，卻被歸類於處置，</w:t>
      </w:r>
      <w:r w:rsidR="00577C87" w:rsidRPr="00CE6AE7">
        <w:rPr>
          <w:rFonts w:ascii="Times New Roman" w:hAnsi="Times New Roman"/>
        </w:rPr>
        <w:t>影響醫療院所申報</w:t>
      </w:r>
      <w:r w:rsidRPr="00CE6AE7">
        <w:rPr>
          <w:rFonts w:ascii="Times New Roman" w:hAnsi="Times New Roman"/>
        </w:rPr>
        <w:t>材料費之</w:t>
      </w:r>
      <w:r w:rsidR="00577C87" w:rsidRPr="00CE6AE7">
        <w:rPr>
          <w:rFonts w:ascii="Times New Roman" w:hAnsi="Times New Roman"/>
        </w:rPr>
        <w:t>加成</w:t>
      </w:r>
      <w:r w:rsidR="00EA6F15" w:rsidRPr="00CE6AE7">
        <w:rPr>
          <w:rFonts w:ascii="Times New Roman" w:hAnsi="Times New Roman"/>
        </w:rPr>
        <w:t>：</w:t>
      </w:r>
    </w:p>
    <w:p w14:paraId="3B839458" w14:textId="47D75E1C" w:rsidR="007E7577" w:rsidRPr="00CE6AE7" w:rsidRDefault="007E7577" w:rsidP="007E7577">
      <w:pPr>
        <w:pStyle w:val="5"/>
        <w:rPr>
          <w:rFonts w:ascii="Times New Roman" w:hAnsi="Times New Roman"/>
        </w:rPr>
      </w:pPr>
      <w:r w:rsidRPr="00CE6AE7">
        <w:rPr>
          <w:rFonts w:ascii="Times New Roman" w:hAnsi="Times New Roman"/>
        </w:rPr>
        <w:t>按全民健康保險醫療服務給付項目及支付標準第</w:t>
      </w:r>
      <w:r w:rsidRPr="00CE6AE7">
        <w:rPr>
          <w:rFonts w:ascii="Times New Roman" w:hAnsi="Times New Roman"/>
        </w:rPr>
        <w:t>2</w:t>
      </w:r>
      <w:r w:rsidRPr="00CE6AE7">
        <w:rPr>
          <w:rFonts w:ascii="Times New Roman" w:hAnsi="Times New Roman"/>
        </w:rPr>
        <w:t>部第</w:t>
      </w:r>
      <w:r w:rsidRPr="00CE6AE7">
        <w:rPr>
          <w:rFonts w:ascii="Times New Roman" w:hAnsi="Times New Roman"/>
        </w:rPr>
        <w:t>2</w:t>
      </w:r>
      <w:r w:rsidRPr="00CE6AE7">
        <w:rPr>
          <w:rFonts w:ascii="Times New Roman" w:hAnsi="Times New Roman"/>
        </w:rPr>
        <w:t>章第</w:t>
      </w:r>
      <w:r w:rsidRPr="00CE6AE7">
        <w:rPr>
          <w:rFonts w:ascii="Times New Roman" w:hAnsi="Times New Roman"/>
        </w:rPr>
        <w:t>6</w:t>
      </w:r>
      <w:r w:rsidRPr="00CE6AE7">
        <w:rPr>
          <w:rFonts w:ascii="Times New Roman" w:hAnsi="Times New Roman"/>
        </w:rPr>
        <w:t>節及第</w:t>
      </w:r>
      <w:r w:rsidRPr="00CE6AE7">
        <w:rPr>
          <w:rFonts w:ascii="Times New Roman" w:hAnsi="Times New Roman"/>
        </w:rPr>
        <w:t>7</w:t>
      </w:r>
      <w:r w:rsidRPr="00CE6AE7">
        <w:rPr>
          <w:rFonts w:ascii="Times New Roman" w:hAnsi="Times New Roman"/>
        </w:rPr>
        <w:t>節之規定，歸類於手術之診療項目，其所需之一般材料費及過程面特材費，得依所定點數及表列加計比率計算</w:t>
      </w:r>
      <w:r w:rsidR="00CF5E5A" w:rsidRPr="00CE6AE7">
        <w:rPr>
          <w:rFonts w:ascii="Times New Roman" w:hAnsi="Times New Roman"/>
        </w:rPr>
        <w:t>，</w:t>
      </w:r>
      <w:r w:rsidRPr="00CE6AE7">
        <w:rPr>
          <w:rFonts w:ascii="Times New Roman" w:hAnsi="Times New Roman"/>
        </w:rPr>
        <w:t>未表列者，</w:t>
      </w:r>
      <w:r w:rsidR="00CF5E5A" w:rsidRPr="00CE6AE7">
        <w:rPr>
          <w:rFonts w:ascii="Times New Roman" w:hAnsi="Times New Roman"/>
        </w:rPr>
        <w:t>則</w:t>
      </w:r>
      <w:r w:rsidRPr="00CE6AE7">
        <w:rPr>
          <w:rFonts w:ascii="Times New Roman" w:hAnsi="Times New Roman"/>
        </w:rPr>
        <w:t>依所定點數之</w:t>
      </w:r>
      <w:r w:rsidRPr="00CE6AE7">
        <w:rPr>
          <w:rFonts w:ascii="Times New Roman" w:hAnsi="Times New Roman"/>
        </w:rPr>
        <w:t>53%</w:t>
      </w:r>
      <w:r w:rsidRPr="00CE6AE7">
        <w:rPr>
          <w:rFonts w:ascii="Times New Roman" w:hAnsi="Times New Roman"/>
        </w:rPr>
        <w:t>計算之。而歸類於處置之診療項目，如需用到特材、特殊藥劑或其他麻醉時得另加算其費用，</w:t>
      </w:r>
      <w:r w:rsidR="00643242" w:rsidRPr="00CE6AE7">
        <w:rPr>
          <w:rFonts w:ascii="Times New Roman" w:hAnsi="Times New Roman"/>
        </w:rPr>
        <w:t>惟</w:t>
      </w:r>
      <w:r w:rsidRPr="00CE6AE7">
        <w:rPr>
          <w:rFonts w:ascii="Times New Roman" w:hAnsi="Times New Roman"/>
        </w:rPr>
        <w:t>原則上不另給付一般材料</w:t>
      </w:r>
      <w:r w:rsidR="00674AA9" w:rsidRPr="00CE6AE7">
        <w:rPr>
          <w:rFonts w:ascii="Times New Roman" w:hAnsi="Times New Roman"/>
        </w:rPr>
        <w:t>、</w:t>
      </w:r>
      <w:r w:rsidRPr="00CE6AE7">
        <w:rPr>
          <w:rFonts w:ascii="Times New Roman" w:hAnsi="Times New Roman"/>
        </w:rPr>
        <w:t>表面麻醉、浸潤麻醉及簡單之傳導麻醉等費用。</w:t>
      </w:r>
    </w:p>
    <w:p w14:paraId="271494A0" w14:textId="28AFCC38" w:rsidR="007E7577" w:rsidRPr="00CE6AE7" w:rsidRDefault="00643242" w:rsidP="00674AA9">
      <w:pPr>
        <w:pStyle w:val="5"/>
        <w:wordWrap w:val="0"/>
        <w:ind w:left="2042" w:hanging="851"/>
        <w:rPr>
          <w:rFonts w:ascii="Times New Roman" w:hAnsi="Times New Roman"/>
        </w:rPr>
      </w:pPr>
      <w:r w:rsidRPr="00CE6AE7">
        <w:rPr>
          <w:rFonts w:ascii="Times New Roman" w:hAnsi="Times New Roman"/>
        </w:rPr>
        <w:t>經</w:t>
      </w:r>
      <w:r w:rsidR="007E7577" w:rsidRPr="00CE6AE7">
        <w:rPr>
          <w:rFonts w:ascii="Times New Roman" w:hAnsi="Times New Roman"/>
        </w:rPr>
        <w:t>查</w:t>
      </w:r>
      <w:r w:rsidRPr="00CE6AE7">
        <w:rPr>
          <w:rFonts w:ascii="Times New Roman" w:hAnsi="Times New Roman"/>
        </w:rPr>
        <w:t>，部分</w:t>
      </w:r>
      <w:r w:rsidR="007E7577" w:rsidRPr="00CE6AE7">
        <w:rPr>
          <w:rFonts w:ascii="Times New Roman" w:hAnsi="Times New Roman"/>
        </w:rPr>
        <w:t>處置所含診療項目，</w:t>
      </w:r>
      <w:r w:rsidRPr="00CE6AE7">
        <w:rPr>
          <w:rFonts w:ascii="Times New Roman" w:hAnsi="Times New Roman"/>
        </w:rPr>
        <w:t>如息肉切除術（</w:t>
      </w:r>
      <w:r w:rsidRPr="00CE6AE7">
        <w:rPr>
          <w:rFonts w:ascii="Times New Roman" w:hAnsi="Times New Roman"/>
        </w:rPr>
        <w:t>Polypectomy</w:t>
      </w:r>
      <w:r w:rsidRPr="00CE6AE7">
        <w:rPr>
          <w:rFonts w:ascii="Times New Roman" w:hAnsi="Times New Roman"/>
        </w:rPr>
        <w:t>）及</w:t>
      </w:r>
      <w:r w:rsidRPr="00736217">
        <w:rPr>
          <w:rFonts w:ascii="Times New Roman" w:hAnsi="Times New Roman"/>
          <w:spacing w:val="-10"/>
        </w:rPr>
        <w:t>眼科雷射治療（</w:t>
      </w:r>
      <w:r w:rsidRPr="00736217">
        <w:rPr>
          <w:rFonts w:ascii="Times New Roman" w:hAnsi="Times New Roman"/>
          <w:spacing w:val="-10"/>
        </w:rPr>
        <w:t xml:space="preserve">Ocular Laser </w:t>
      </w:r>
      <w:r w:rsidRPr="00CE6AE7">
        <w:rPr>
          <w:rFonts w:ascii="Times New Roman" w:hAnsi="Times New Roman"/>
        </w:rPr>
        <w:t>Therapy</w:t>
      </w:r>
      <w:r w:rsidRPr="00CE6AE7">
        <w:rPr>
          <w:rFonts w:ascii="Times New Roman" w:hAnsi="Times New Roman"/>
        </w:rPr>
        <w:t>）已具實質替代手術效果，然仍</w:t>
      </w:r>
      <w:r w:rsidR="00674AA9" w:rsidRPr="00CE6AE7">
        <w:rPr>
          <w:rFonts w:ascii="Times New Roman" w:hAnsi="Times New Roman"/>
        </w:rPr>
        <w:t>歸類於</w:t>
      </w:r>
      <w:r w:rsidRPr="00CE6AE7">
        <w:rPr>
          <w:rFonts w:ascii="Times New Roman" w:hAnsi="Times New Roman"/>
        </w:rPr>
        <w:t>處置</w:t>
      </w:r>
      <w:r w:rsidR="00157FBA" w:rsidRPr="00CE6AE7">
        <w:rPr>
          <w:rFonts w:ascii="Times New Roman" w:hAnsi="Times New Roman"/>
        </w:rPr>
        <w:t>；</w:t>
      </w:r>
      <w:r w:rsidRPr="00CE6AE7">
        <w:rPr>
          <w:rFonts w:ascii="Times New Roman" w:hAnsi="Times New Roman"/>
        </w:rPr>
        <w:t>又</w:t>
      </w:r>
      <w:r w:rsidR="007E7577" w:rsidRPr="00CE6AE7">
        <w:rPr>
          <w:rFonts w:ascii="Times New Roman" w:hAnsi="Times New Roman"/>
        </w:rPr>
        <w:t>如</w:t>
      </w:r>
      <w:r w:rsidR="008919DD" w:rsidRPr="00CE6AE7">
        <w:rPr>
          <w:rFonts w:ascii="Times New Roman" w:hAnsi="Times New Roman"/>
        </w:rPr>
        <w:t>氣管切開造口術（</w:t>
      </w:r>
      <w:r w:rsidR="008919DD" w:rsidRPr="00CE6AE7">
        <w:rPr>
          <w:rFonts w:ascii="Times New Roman" w:hAnsi="Times New Roman"/>
        </w:rPr>
        <w:t>Tracheostomy</w:t>
      </w:r>
      <w:r w:rsidR="008919DD" w:rsidRPr="00CE6AE7">
        <w:rPr>
          <w:rFonts w:ascii="Times New Roman" w:hAnsi="Times New Roman"/>
        </w:rPr>
        <w:t>）、氣管內</w:t>
      </w:r>
      <w:r w:rsidRPr="00CE6AE7">
        <w:rPr>
          <w:rFonts w:ascii="Times New Roman" w:hAnsi="Times New Roman"/>
        </w:rPr>
        <w:t>管</w:t>
      </w:r>
      <w:r w:rsidR="008919DD" w:rsidRPr="00CE6AE7">
        <w:rPr>
          <w:rFonts w:ascii="Times New Roman" w:hAnsi="Times New Roman"/>
        </w:rPr>
        <w:t>插管（</w:t>
      </w:r>
      <w:r w:rsidR="008919DD" w:rsidRPr="00CE6AE7">
        <w:rPr>
          <w:rFonts w:ascii="Times New Roman" w:hAnsi="Times New Roman"/>
        </w:rPr>
        <w:t>Endotracheal tube insertion</w:t>
      </w:r>
      <w:r w:rsidR="008919DD" w:rsidRPr="00CE6AE7">
        <w:rPr>
          <w:rFonts w:ascii="Times New Roman" w:hAnsi="Times New Roman"/>
        </w:rPr>
        <w:t>）、胸腔引流（</w:t>
      </w:r>
      <w:r w:rsidR="00007D1E">
        <w:rPr>
          <w:rFonts w:ascii="Times New Roman" w:hAnsi="Times New Roman" w:hint="eastAsia"/>
        </w:rPr>
        <w:t>C</w:t>
      </w:r>
      <w:r w:rsidR="008919DD" w:rsidRPr="00CE6AE7">
        <w:rPr>
          <w:rFonts w:ascii="Times New Roman" w:hAnsi="Times New Roman"/>
        </w:rPr>
        <w:t>hest drainage</w:t>
      </w:r>
      <w:r w:rsidR="008919DD" w:rsidRPr="00CE6AE7">
        <w:rPr>
          <w:rFonts w:ascii="Times New Roman" w:hAnsi="Times New Roman"/>
        </w:rPr>
        <w:t>）</w:t>
      </w:r>
      <w:r w:rsidR="007E7577" w:rsidRPr="00CE6AE7">
        <w:rPr>
          <w:rFonts w:ascii="Times New Roman" w:hAnsi="Times New Roman"/>
        </w:rPr>
        <w:t>及深部複雜創傷處</w:t>
      </w:r>
      <w:r w:rsidR="007E7577" w:rsidRPr="00CE6AE7">
        <w:rPr>
          <w:rFonts w:ascii="Times New Roman" w:hAnsi="Times New Roman"/>
        </w:rPr>
        <w:lastRenderedPageBreak/>
        <w:t>理（</w:t>
      </w:r>
      <w:r w:rsidR="007E7577" w:rsidRPr="00CE6AE7">
        <w:rPr>
          <w:rFonts w:ascii="Times New Roman" w:hAnsi="Times New Roman"/>
        </w:rPr>
        <w:t>Debridement</w:t>
      </w:r>
      <w:r w:rsidR="007E7577" w:rsidRPr="00CE6AE7">
        <w:rPr>
          <w:rFonts w:ascii="Times New Roman" w:hAnsi="Times New Roman"/>
        </w:rPr>
        <w:t>）</w:t>
      </w:r>
      <w:r w:rsidR="008919DD" w:rsidRPr="00CE6AE7">
        <w:rPr>
          <w:rFonts w:ascii="Times New Roman" w:hAnsi="Times New Roman"/>
        </w:rPr>
        <w:t>等</w:t>
      </w:r>
      <w:r w:rsidRPr="00CE6AE7">
        <w:rPr>
          <w:rFonts w:ascii="Times New Roman" w:hAnsi="Times New Roman"/>
        </w:rPr>
        <w:t>，</w:t>
      </w:r>
      <w:r w:rsidR="00F9205F" w:rsidRPr="00CE6AE7">
        <w:rPr>
          <w:rFonts w:ascii="Times New Roman" w:hAnsi="Times New Roman"/>
        </w:rPr>
        <w:t>皆為急重症常見、具高度感染與出血風險之侵入性處置，</w:t>
      </w:r>
      <w:r w:rsidR="00157FBA" w:rsidRPr="00CE6AE7">
        <w:rPr>
          <w:rFonts w:ascii="Times New Roman" w:hAnsi="Times New Roman"/>
        </w:rPr>
        <w:t>施行</w:t>
      </w:r>
      <w:r w:rsidR="00F9205F" w:rsidRPr="00CE6AE7">
        <w:rPr>
          <w:rFonts w:ascii="Times New Roman" w:hAnsi="Times New Roman"/>
        </w:rPr>
        <w:t>風險並不亞於小型手術，惟卻被歸類為處置</w:t>
      </w:r>
      <w:r w:rsidRPr="00CE6AE7">
        <w:rPr>
          <w:rFonts w:ascii="Times New Roman" w:hAnsi="Times New Roman"/>
        </w:rPr>
        <w:t>，不適用手術加成費用，</w:t>
      </w:r>
      <w:r w:rsidR="008325EE" w:rsidRPr="00CE6AE7">
        <w:rPr>
          <w:rFonts w:ascii="Times New Roman" w:hAnsi="Times New Roman"/>
        </w:rPr>
        <w:t>使</w:t>
      </w:r>
      <w:r w:rsidRPr="00CE6AE7">
        <w:rPr>
          <w:rFonts w:ascii="Times New Roman" w:hAnsi="Times New Roman"/>
        </w:rPr>
        <w:t>醫療勞務風險</w:t>
      </w:r>
      <w:r w:rsidR="00157FBA" w:rsidRPr="00CE6AE7">
        <w:rPr>
          <w:rFonts w:ascii="Times New Roman" w:hAnsi="Times New Roman"/>
        </w:rPr>
        <w:t>與</w:t>
      </w:r>
      <w:r w:rsidR="008325EE" w:rsidRPr="00CE6AE7">
        <w:rPr>
          <w:rFonts w:ascii="Times New Roman" w:hAnsi="Times New Roman"/>
        </w:rPr>
        <w:t>健保</w:t>
      </w:r>
      <w:r w:rsidRPr="00CE6AE7">
        <w:rPr>
          <w:rFonts w:ascii="Times New Roman" w:hAnsi="Times New Roman"/>
        </w:rPr>
        <w:t>給付</w:t>
      </w:r>
      <w:r w:rsidR="008325EE" w:rsidRPr="00CE6AE7">
        <w:rPr>
          <w:rFonts w:ascii="Times New Roman" w:hAnsi="Times New Roman"/>
        </w:rPr>
        <w:t>間</w:t>
      </w:r>
      <w:r w:rsidR="00157FBA" w:rsidRPr="00CE6AE7">
        <w:rPr>
          <w:rFonts w:ascii="Times New Roman" w:hAnsi="Times New Roman"/>
        </w:rPr>
        <w:t>失衡</w:t>
      </w:r>
      <w:r w:rsidRPr="00CE6AE7">
        <w:rPr>
          <w:rFonts w:ascii="Times New Roman" w:hAnsi="Times New Roman"/>
        </w:rPr>
        <w:t>。</w:t>
      </w:r>
    </w:p>
    <w:p w14:paraId="1F88EFED" w14:textId="0E6AF48C" w:rsidR="000F6AC1" w:rsidRPr="00CE6AE7" w:rsidRDefault="008325EE" w:rsidP="001079EC">
      <w:pPr>
        <w:pStyle w:val="4"/>
        <w:wordWrap w:val="0"/>
        <w:rPr>
          <w:rFonts w:ascii="Times New Roman" w:hAnsi="Times New Roman"/>
        </w:rPr>
      </w:pPr>
      <w:r w:rsidRPr="00CE6AE7">
        <w:rPr>
          <w:rFonts w:ascii="Times New Roman" w:hAnsi="Times New Roman"/>
        </w:rPr>
        <w:t>其餘支付標準問題還包含：部分</w:t>
      </w:r>
      <w:r w:rsidR="00157FBA" w:rsidRPr="00CE6AE7">
        <w:rPr>
          <w:rFonts w:ascii="Times New Roman" w:hAnsi="Times New Roman"/>
        </w:rPr>
        <w:t>手術項目仍沿用早期命名方式</w:t>
      </w:r>
      <w:r w:rsidR="0054366A" w:rsidRPr="00CE6AE7">
        <w:rPr>
          <w:rFonts w:ascii="Times New Roman" w:hAnsi="Times New Roman"/>
        </w:rPr>
        <w:t>或</w:t>
      </w:r>
      <w:r w:rsidR="00157FBA" w:rsidRPr="00CE6AE7">
        <w:rPr>
          <w:rFonts w:ascii="Times New Roman" w:hAnsi="Times New Roman"/>
        </w:rPr>
        <w:t>英文名稱未能明確代表手術內容，術式名稱亦與國際普遍使用標準有異。</w:t>
      </w:r>
      <w:r w:rsidR="007F2AA1" w:rsidRPr="00CE6AE7">
        <w:rPr>
          <w:rFonts w:ascii="Times New Roman" w:hAnsi="Times New Roman"/>
        </w:rPr>
        <w:t>如多竇副鼻竇手術（</w:t>
      </w:r>
      <w:r w:rsidR="007F2AA1" w:rsidRPr="00CE6AE7">
        <w:rPr>
          <w:rFonts w:ascii="Times New Roman" w:hAnsi="Times New Roman"/>
        </w:rPr>
        <w:t>Multiple sinusectomy</w:t>
      </w:r>
      <w:r w:rsidR="007F2AA1" w:rsidRPr="00CE6AE7">
        <w:rPr>
          <w:rFonts w:ascii="Times New Roman" w:hAnsi="Times New Roman"/>
        </w:rPr>
        <w:t>）及鼻中膈鼻道成形術（</w:t>
      </w:r>
      <w:r w:rsidR="007F2AA1" w:rsidRPr="00CE6AE7">
        <w:rPr>
          <w:rFonts w:ascii="Times New Roman" w:hAnsi="Times New Roman"/>
        </w:rPr>
        <w:t>Septomeatal plasty</w:t>
      </w:r>
      <w:r w:rsidR="007F2AA1" w:rsidRPr="00CE6AE7">
        <w:rPr>
          <w:rFonts w:ascii="Times New Roman" w:hAnsi="Times New Roman"/>
        </w:rPr>
        <w:t>）等。</w:t>
      </w:r>
      <w:r w:rsidRPr="00CE6AE7">
        <w:rPr>
          <w:rFonts w:ascii="Times New Roman" w:hAnsi="Times New Roman"/>
        </w:rPr>
        <w:t>亦有</w:t>
      </w:r>
      <w:r w:rsidR="0054366A" w:rsidRPr="00CE6AE7">
        <w:rPr>
          <w:rFonts w:ascii="Times New Roman" w:hAnsi="Times New Roman"/>
        </w:rPr>
        <w:t>診療項目</w:t>
      </w:r>
      <w:r w:rsidRPr="00CE6AE7">
        <w:rPr>
          <w:rFonts w:ascii="Times New Roman" w:hAnsi="Times New Roman"/>
        </w:rPr>
        <w:t>之</w:t>
      </w:r>
      <w:r w:rsidR="000F6AC1" w:rsidRPr="00CE6AE7">
        <w:rPr>
          <w:rFonts w:ascii="Times New Roman" w:hAnsi="Times New Roman"/>
        </w:rPr>
        <w:t>支付</w:t>
      </w:r>
      <w:r w:rsidR="00EC3DF4" w:rsidRPr="00CE6AE7">
        <w:rPr>
          <w:rFonts w:ascii="Times New Roman" w:hAnsi="Times New Roman"/>
        </w:rPr>
        <w:t>點數</w:t>
      </w:r>
      <w:r w:rsidR="000E1107" w:rsidRPr="00CE6AE7">
        <w:rPr>
          <w:rFonts w:ascii="Times New Roman" w:hAnsi="Times New Roman"/>
        </w:rPr>
        <w:t>偏低</w:t>
      </w:r>
      <w:r w:rsidR="0054366A" w:rsidRPr="00CE6AE7">
        <w:rPr>
          <w:rFonts w:ascii="Times New Roman" w:hAnsi="Times New Roman"/>
        </w:rPr>
        <w:t>，給付</w:t>
      </w:r>
      <w:r w:rsidRPr="00CE6AE7">
        <w:rPr>
          <w:rFonts w:ascii="Times New Roman" w:hAnsi="Times New Roman"/>
        </w:rPr>
        <w:t>點數</w:t>
      </w:r>
      <w:r w:rsidR="0054366A" w:rsidRPr="00CE6AE7">
        <w:rPr>
          <w:rFonts w:ascii="Times New Roman" w:hAnsi="Times New Roman"/>
        </w:rPr>
        <w:t>未能充分</w:t>
      </w:r>
      <w:r w:rsidR="006C00A6" w:rsidRPr="00CE6AE7">
        <w:rPr>
          <w:rFonts w:ascii="Times New Roman" w:hAnsi="Times New Roman"/>
        </w:rPr>
        <w:t>呈現</w:t>
      </w:r>
      <w:r w:rsidR="0054366A" w:rsidRPr="00CE6AE7">
        <w:rPr>
          <w:rFonts w:ascii="Times New Roman" w:hAnsi="Times New Roman"/>
        </w:rPr>
        <w:t>執行處置所需之醫療人力技術、感染管制要求、耗材成本及時間投入，</w:t>
      </w:r>
      <w:r w:rsidR="006946C4" w:rsidRPr="00CE6AE7">
        <w:rPr>
          <w:rFonts w:ascii="Times New Roman" w:hAnsi="Times New Roman"/>
        </w:rPr>
        <w:t>如具侵入性之動脈注射或鼻胃管置放等</w:t>
      </w:r>
      <w:r w:rsidR="0054366A" w:rsidRPr="00CE6AE7">
        <w:rPr>
          <w:rFonts w:ascii="Times New Roman" w:hAnsi="Times New Roman"/>
        </w:rPr>
        <w:t>。</w:t>
      </w:r>
      <w:r w:rsidRPr="00CE6AE7">
        <w:rPr>
          <w:rFonts w:ascii="Times New Roman" w:hAnsi="Times New Roman"/>
        </w:rPr>
        <w:t>又，</w:t>
      </w:r>
      <w:r w:rsidR="000F6AC1" w:rsidRPr="00CE6AE7">
        <w:rPr>
          <w:rFonts w:ascii="Times New Roman" w:hAnsi="Times New Roman"/>
        </w:rPr>
        <w:t>部分支付項目仍</w:t>
      </w:r>
      <w:r w:rsidR="000E1107" w:rsidRPr="00CE6AE7">
        <w:rPr>
          <w:rFonts w:ascii="Times New Roman" w:hAnsi="Times New Roman"/>
        </w:rPr>
        <w:t>保留早期</w:t>
      </w:r>
      <w:r w:rsidR="000F6AC1" w:rsidRPr="00CE6AE7">
        <w:rPr>
          <w:rFonts w:ascii="Times New Roman" w:hAnsi="Times New Roman"/>
        </w:rPr>
        <w:t>以單</w:t>
      </w:r>
      <w:r w:rsidR="000E1107" w:rsidRPr="00CE6AE7">
        <w:rPr>
          <w:rFonts w:ascii="Times New Roman" w:hAnsi="Times New Roman"/>
        </w:rPr>
        <w:t>次</w:t>
      </w:r>
      <w:r w:rsidR="000F6AC1" w:rsidRPr="00CE6AE7">
        <w:rPr>
          <w:rFonts w:ascii="Times New Roman" w:hAnsi="Times New Roman"/>
        </w:rPr>
        <w:t>操作</w:t>
      </w:r>
      <w:r w:rsidR="000E1107" w:rsidRPr="00CE6AE7">
        <w:rPr>
          <w:rFonts w:ascii="Times New Roman" w:hAnsi="Times New Roman"/>
        </w:rPr>
        <w:t>即</w:t>
      </w:r>
      <w:r w:rsidR="006946C4" w:rsidRPr="00CE6AE7">
        <w:rPr>
          <w:rFonts w:ascii="Times New Roman" w:hAnsi="Times New Roman"/>
        </w:rPr>
        <w:t>給付</w:t>
      </w:r>
      <w:r w:rsidR="000F6AC1" w:rsidRPr="00CE6AE7">
        <w:rPr>
          <w:rFonts w:ascii="Times New Roman" w:hAnsi="Times New Roman"/>
        </w:rPr>
        <w:t>之設計</w:t>
      </w:r>
      <w:r w:rsidR="00644A36" w:rsidRPr="00CE6AE7">
        <w:rPr>
          <w:rFonts w:ascii="Times New Roman" w:hAnsi="Times New Roman"/>
        </w:rPr>
        <w:t>，</w:t>
      </w:r>
      <w:r w:rsidR="006946C4" w:rsidRPr="00CE6AE7">
        <w:rPr>
          <w:rFonts w:ascii="Times New Roman" w:hAnsi="Times New Roman"/>
        </w:rPr>
        <w:t>如動脈注射、單項血液檢查等</w:t>
      </w:r>
      <w:r w:rsidR="000F6AC1" w:rsidRPr="00CE6AE7">
        <w:rPr>
          <w:rFonts w:ascii="Times New Roman" w:hAnsi="Times New Roman"/>
        </w:rPr>
        <w:t>，</w:t>
      </w:r>
      <w:r w:rsidR="000E1107" w:rsidRPr="00CE6AE7">
        <w:rPr>
          <w:rFonts w:ascii="Times New Roman" w:hAnsi="Times New Roman"/>
        </w:rPr>
        <w:t>惟</w:t>
      </w:r>
      <w:r w:rsidR="000F6AC1" w:rsidRPr="00CE6AE7">
        <w:rPr>
          <w:rFonts w:ascii="Times New Roman" w:hAnsi="Times New Roman"/>
        </w:rPr>
        <w:t>現</w:t>
      </w:r>
      <w:r w:rsidR="000E1107" w:rsidRPr="00CE6AE7">
        <w:rPr>
          <w:rFonts w:ascii="Times New Roman" w:hAnsi="Times New Roman"/>
        </w:rPr>
        <w:t>行診療過程</w:t>
      </w:r>
      <w:r w:rsidR="000F6AC1" w:rsidRPr="00CE6AE7">
        <w:rPr>
          <w:rFonts w:ascii="Times New Roman" w:hAnsi="Times New Roman"/>
        </w:rPr>
        <w:t>多</w:t>
      </w:r>
      <w:r w:rsidR="000E1107" w:rsidRPr="00CE6AE7">
        <w:rPr>
          <w:rFonts w:ascii="Times New Roman" w:hAnsi="Times New Roman"/>
        </w:rPr>
        <w:t>為包裹式服務</w:t>
      </w:r>
      <w:r w:rsidR="000F6AC1" w:rsidRPr="00CE6AE7">
        <w:rPr>
          <w:rFonts w:ascii="Times New Roman" w:hAnsi="Times New Roman"/>
        </w:rPr>
        <w:t>，許多基礎操作已成為完成</w:t>
      </w:r>
      <w:r w:rsidR="000E1107" w:rsidRPr="00CE6AE7">
        <w:rPr>
          <w:rFonts w:ascii="Times New Roman" w:hAnsi="Times New Roman"/>
        </w:rPr>
        <w:t>療程</w:t>
      </w:r>
      <w:r w:rsidR="000F6AC1" w:rsidRPr="00CE6AE7">
        <w:rPr>
          <w:rFonts w:ascii="Times New Roman" w:hAnsi="Times New Roman"/>
        </w:rPr>
        <w:t>之必要步驟</w:t>
      </w:r>
      <w:r w:rsidR="006946C4" w:rsidRPr="00CE6AE7">
        <w:rPr>
          <w:rFonts w:ascii="Times New Roman" w:hAnsi="Times New Roman"/>
        </w:rPr>
        <w:t>或為套組檢查</w:t>
      </w:r>
      <w:r w:rsidR="00644A36" w:rsidRPr="00CE6AE7">
        <w:rPr>
          <w:rFonts w:ascii="Times New Roman" w:hAnsi="Times New Roman"/>
        </w:rPr>
        <w:t>，鮮有該診療項目代碼適用情形</w:t>
      </w:r>
      <w:r w:rsidR="006946C4" w:rsidRPr="00CE6AE7">
        <w:rPr>
          <w:rFonts w:ascii="Times New Roman" w:hAnsi="Times New Roman"/>
        </w:rPr>
        <w:t>。</w:t>
      </w:r>
    </w:p>
    <w:p w14:paraId="5D5FE5B4" w14:textId="74462C93" w:rsidR="0054366A" w:rsidRPr="00CE6AE7" w:rsidRDefault="008325EE" w:rsidP="005E756D">
      <w:pPr>
        <w:pStyle w:val="4"/>
        <w:rPr>
          <w:rFonts w:ascii="Times New Roman" w:hAnsi="Times New Roman"/>
        </w:rPr>
      </w:pPr>
      <w:r w:rsidRPr="00CE6AE7">
        <w:rPr>
          <w:rFonts w:ascii="Times New Roman" w:hAnsi="Times New Roman"/>
        </w:rPr>
        <w:t>又</w:t>
      </w:r>
      <w:r w:rsidR="00CF5E5A" w:rsidRPr="00CE6AE7">
        <w:rPr>
          <w:rFonts w:ascii="Times New Roman" w:hAnsi="Times New Roman"/>
        </w:rPr>
        <w:t>依</w:t>
      </w:r>
      <w:r w:rsidR="00CF5E5A" w:rsidRPr="00CE6AE7">
        <w:rPr>
          <w:rFonts w:ascii="Times New Roman" w:hAnsi="Times New Roman"/>
        </w:rPr>
        <w:t>115</w:t>
      </w:r>
      <w:r w:rsidR="00CF5E5A" w:rsidRPr="00CE6AE7">
        <w:rPr>
          <w:rFonts w:ascii="Times New Roman" w:hAnsi="Times New Roman"/>
        </w:rPr>
        <w:t>年</w:t>
      </w:r>
      <w:r w:rsidR="00CF5E5A" w:rsidRPr="00CE6AE7">
        <w:rPr>
          <w:rFonts w:ascii="Times New Roman" w:hAnsi="Times New Roman"/>
        </w:rPr>
        <w:t>6</w:t>
      </w:r>
      <w:r w:rsidR="00CF5E5A" w:rsidRPr="00CE6AE7">
        <w:rPr>
          <w:rFonts w:ascii="Times New Roman" w:hAnsi="Times New Roman"/>
        </w:rPr>
        <w:t>月</w:t>
      </w:r>
      <w:r w:rsidR="00CF5E5A" w:rsidRPr="00CE6AE7">
        <w:rPr>
          <w:rFonts w:ascii="Times New Roman" w:hAnsi="Times New Roman"/>
        </w:rPr>
        <w:t>29</w:t>
      </w:r>
      <w:r w:rsidR="00CF5E5A" w:rsidRPr="00CE6AE7">
        <w:rPr>
          <w:rFonts w:ascii="Times New Roman" w:hAnsi="Times New Roman"/>
        </w:rPr>
        <w:t>日發布更新之「醫療服務給付項目及支付標準」，仍有</w:t>
      </w:r>
      <w:r w:rsidR="00CF5E5A" w:rsidRPr="00CE6AE7">
        <w:rPr>
          <w:rFonts w:ascii="Times New Roman" w:hAnsi="Times New Roman"/>
        </w:rPr>
        <w:t>5</w:t>
      </w:r>
      <w:r w:rsidR="00CF5E5A" w:rsidRPr="00CE6AE7">
        <w:rPr>
          <w:rFonts w:ascii="Times New Roman" w:hAnsi="Times New Roman"/>
        </w:rPr>
        <w:t>百餘項診療項目，自</w:t>
      </w:r>
      <w:r w:rsidR="00CF5E5A" w:rsidRPr="00CE6AE7">
        <w:rPr>
          <w:rFonts w:ascii="Times New Roman" w:hAnsi="Times New Roman"/>
        </w:rPr>
        <w:t>84</w:t>
      </w:r>
      <w:r w:rsidR="00CF5E5A" w:rsidRPr="00CE6AE7">
        <w:rPr>
          <w:rFonts w:ascii="Times New Roman" w:hAnsi="Times New Roman"/>
        </w:rPr>
        <w:t>年</w:t>
      </w:r>
      <w:r w:rsidR="00CF5E5A" w:rsidRPr="00CE6AE7">
        <w:rPr>
          <w:rFonts w:ascii="Times New Roman" w:hAnsi="Times New Roman"/>
        </w:rPr>
        <w:t>3</w:t>
      </w:r>
      <w:r w:rsidR="00CF5E5A" w:rsidRPr="00CE6AE7">
        <w:rPr>
          <w:rFonts w:ascii="Times New Roman" w:hAnsi="Times New Roman"/>
        </w:rPr>
        <w:t>月</w:t>
      </w:r>
      <w:r w:rsidR="00CF5E5A" w:rsidRPr="00CE6AE7">
        <w:rPr>
          <w:rFonts w:ascii="Times New Roman" w:hAnsi="Times New Roman"/>
        </w:rPr>
        <w:t>1</w:t>
      </w:r>
      <w:r w:rsidR="00CF5E5A" w:rsidRPr="00CE6AE7">
        <w:rPr>
          <w:rFonts w:ascii="Times New Roman" w:hAnsi="Times New Roman"/>
        </w:rPr>
        <w:t>日開辦以來，未曾修正或調整，</w:t>
      </w:r>
      <w:r w:rsidR="00CF5E5A" w:rsidRPr="00CE6AE7">
        <w:rPr>
          <w:rFonts w:ascii="Times New Roman" w:hAnsi="Times New Roman"/>
        </w:rPr>
        <w:t>30</w:t>
      </w:r>
      <w:r w:rsidR="00CF5E5A" w:rsidRPr="00CE6AE7">
        <w:rPr>
          <w:rFonts w:ascii="Times New Roman" w:hAnsi="Times New Roman"/>
        </w:rPr>
        <w:t>年餘來均給付同樣點數。</w:t>
      </w:r>
      <w:r w:rsidR="00644A36" w:rsidRPr="00CE6AE7">
        <w:rPr>
          <w:rFonts w:ascii="Times New Roman" w:hAnsi="Times New Roman"/>
        </w:rPr>
        <w:t>此均</w:t>
      </w:r>
      <w:r w:rsidR="00CF5E5A" w:rsidRPr="00CE6AE7">
        <w:rPr>
          <w:rFonts w:ascii="Times New Roman" w:hAnsi="Times New Roman"/>
        </w:rPr>
        <w:t>見</w:t>
      </w:r>
      <w:r w:rsidR="0054366A" w:rsidRPr="00CE6AE7">
        <w:rPr>
          <w:rFonts w:ascii="Times New Roman" w:hAnsi="Times New Roman"/>
        </w:rPr>
        <w:t>現行評估</w:t>
      </w:r>
      <w:r w:rsidR="00644A36" w:rsidRPr="00CE6AE7">
        <w:rPr>
          <w:rFonts w:ascii="Times New Roman" w:hAnsi="Times New Roman"/>
        </w:rPr>
        <w:t>及修正</w:t>
      </w:r>
      <w:r w:rsidR="0054366A" w:rsidRPr="00CE6AE7">
        <w:rPr>
          <w:rFonts w:ascii="Times New Roman" w:hAnsi="Times New Roman"/>
        </w:rPr>
        <w:t>機制</w:t>
      </w:r>
      <w:r w:rsidR="00644A36" w:rsidRPr="00CE6AE7">
        <w:rPr>
          <w:rFonts w:ascii="Times New Roman" w:hAnsi="Times New Roman"/>
        </w:rPr>
        <w:t>，</w:t>
      </w:r>
      <w:r w:rsidR="0054366A" w:rsidRPr="00CE6AE7">
        <w:rPr>
          <w:rFonts w:ascii="Times New Roman" w:hAnsi="Times New Roman"/>
        </w:rPr>
        <w:t>顯難落實於舊有既存標準，欠缺系統性檢討機制</w:t>
      </w:r>
      <w:r w:rsidR="00CF5E5A" w:rsidRPr="00CE6AE7">
        <w:rPr>
          <w:rFonts w:ascii="Times New Roman" w:hAnsi="Times New Roman"/>
          <w:bCs/>
        </w:rPr>
        <w:t>。</w:t>
      </w:r>
    </w:p>
    <w:p w14:paraId="7F4DA209" w14:textId="7ECE541C" w:rsidR="00D7450E" w:rsidRPr="00CE6AE7" w:rsidRDefault="00D7450E" w:rsidP="006E085A">
      <w:pPr>
        <w:pStyle w:val="3"/>
        <w:rPr>
          <w:rFonts w:ascii="Times New Roman" w:hAnsi="Times New Roman"/>
        </w:rPr>
      </w:pPr>
      <w:r w:rsidRPr="00CE6AE7">
        <w:rPr>
          <w:rFonts w:ascii="Times New Roman" w:hAnsi="Times New Roman"/>
        </w:rPr>
        <w:t>綜上，</w:t>
      </w:r>
      <w:bookmarkEnd w:id="32"/>
      <w:r w:rsidR="003E7323" w:rsidRPr="00CE6AE7">
        <w:rPr>
          <w:rFonts w:ascii="Times New Roman" w:hAnsi="Times New Roman"/>
        </w:rPr>
        <w:t>我國健保採強制納保，且為單一保險人制度，特約醫療院所占全國醫療機構總數</w:t>
      </w:r>
      <w:r w:rsidR="003E7323" w:rsidRPr="00CE6AE7">
        <w:rPr>
          <w:rFonts w:ascii="Times New Roman" w:hAnsi="Times New Roman"/>
        </w:rPr>
        <w:t>9</w:t>
      </w:r>
      <w:r w:rsidR="003E7323" w:rsidRPr="00CE6AE7">
        <w:rPr>
          <w:rFonts w:ascii="Times New Roman" w:hAnsi="Times New Roman"/>
        </w:rPr>
        <w:t>成以上。健保支付標準非僅為醫療服務之計價基準，更影響醫療資源配置及健康體系發展。</w:t>
      </w:r>
      <w:bookmarkStart w:id="40" w:name="_Hlk234096272"/>
      <w:r w:rsidR="003E7323" w:rsidRPr="00CE6AE7">
        <w:rPr>
          <w:rFonts w:ascii="Times New Roman" w:hAnsi="Times New Roman"/>
        </w:rPr>
        <w:t>惟至健保開辦前夕，逾</w:t>
      </w:r>
      <w:r w:rsidR="003E7323" w:rsidRPr="00CE6AE7">
        <w:rPr>
          <w:rFonts w:ascii="Times New Roman" w:hAnsi="Times New Roman"/>
        </w:rPr>
        <w:t>3</w:t>
      </w:r>
      <w:r w:rsidR="003E7323" w:rsidRPr="00CE6AE7">
        <w:rPr>
          <w:rFonts w:ascii="Times New Roman" w:hAnsi="Times New Roman"/>
        </w:rPr>
        <w:t>千項醫療費用支付標準尚未與醫界完成議定，致健保支付標準</w:t>
      </w:r>
      <w:r w:rsidR="00DE76F9" w:rsidRPr="00CE6AE7">
        <w:rPr>
          <w:rFonts w:ascii="Times New Roman" w:hAnsi="Times New Roman"/>
        </w:rPr>
        <w:t>多</w:t>
      </w:r>
      <w:r w:rsidR="003E7323" w:rsidRPr="00CE6AE7">
        <w:rPr>
          <w:rFonts w:ascii="Times New Roman" w:hAnsi="Times New Roman"/>
        </w:rPr>
        <w:t>承襲</w:t>
      </w:r>
      <w:r w:rsidR="00DE76F9" w:rsidRPr="00CE6AE7">
        <w:rPr>
          <w:rFonts w:ascii="Times New Roman" w:hAnsi="Times New Roman"/>
        </w:rPr>
        <w:t>勞保甲乙丙表，然該表不但</w:t>
      </w:r>
      <w:r w:rsidR="003E7323" w:rsidRPr="00CE6AE7">
        <w:rPr>
          <w:rFonts w:ascii="Times New Roman" w:hAnsi="Times New Roman"/>
        </w:rPr>
        <w:t>未有成本分析基礎</w:t>
      </w:r>
      <w:r w:rsidR="005F0CE7" w:rsidRPr="00CE6AE7">
        <w:rPr>
          <w:rFonts w:ascii="Times New Roman" w:hAnsi="Times New Roman"/>
        </w:rPr>
        <w:t>，</w:t>
      </w:r>
      <w:r w:rsidR="000829FD" w:rsidRPr="00CE6AE7">
        <w:rPr>
          <w:rFonts w:ascii="Times New Roman" w:hAnsi="Times New Roman"/>
        </w:rPr>
        <w:t>甚有以各大醫院與原勞保局個別</w:t>
      </w:r>
      <w:r w:rsidR="000829FD" w:rsidRPr="00CE6AE7">
        <w:rPr>
          <w:rFonts w:ascii="Times New Roman" w:hAnsi="Times New Roman"/>
        </w:rPr>
        <w:lastRenderedPageBreak/>
        <w:t>洽定之最低值作為標準沿用</w:t>
      </w:r>
      <w:r w:rsidR="00DE76F9" w:rsidRPr="00CE6AE7">
        <w:rPr>
          <w:rFonts w:ascii="Times New Roman" w:hAnsi="Times New Roman"/>
        </w:rPr>
        <w:t>之情</w:t>
      </w:r>
      <w:r w:rsidR="003E7323" w:rsidRPr="00CE6AE7">
        <w:rPr>
          <w:rFonts w:ascii="Times New Roman" w:hAnsi="Times New Roman"/>
        </w:rPr>
        <w:t>，</w:t>
      </w:r>
      <w:r w:rsidR="00DE76F9" w:rsidRPr="00CE6AE7">
        <w:rPr>
          <w:rFonts w:ascii="Times New Roman" w:hAnsi="Times New Roman"/>
        </w:rPr>
        <w:t>且該表於增刪費用項目、調整給付涵蓋範圍乃至採用論量或定額支付方式皆缺乏客觀修正原則而備受批評，此均</w:t>
      </w:r>
      <w:r w:rsidR="003E7323" w:rsidRPr="00CE6AE7">
        <w:rPr>
          <w:rFonts w:ascii="Times New Roman" w:hAnsi="Times New Roman"/>
        </w:rPr>
        <w:t>造就現行健保給付不合理之根源。</w:t>
      </w:r>
      <w:bookmarkEnd w:id="40"/>
      <w:r w:rsidR="003E7323" w:rsidRPr="00CE6AE7">
        <w:rPr>
          <w:rFonts w:ascii="Times New Roman" w:hAnsi="Times New Roman"/>
        </w:rPr>
        <w:t>嗣後</w:t>
      </w:r>
      <w:r w:rsidR="00DE76F9" w:rsidRPr="00CE6AE7">
        <w:rPr>
          <w:rFonts w:ascii="Times New Roman" w:hAnsi="Times New Roman"/>
        </w:rPr>
        <w:t>健保署</w:t>
      </w:r>
      <w:r w:rsidR="003E7323" w:rsidRPr="00CE6AE7">
        <w:rPr>
          <w:rFonts w:ascii="Times New Roman" w:hAnsi="Times New Roman"/>
        </w:rPr>
        <w:t>雖於</w:t>
      </w:r>
      <w:r w:rsidR="003E7323" w:rsidRPr="00CE6AE7">
        <w:rPr>
          <w:rFonts w:ascii="Times New Roman" w:hAnsi="Times New Roman"/>
        </w:rPr>
        <w:t>90</w:t>
      </w:r>
      <w:r w:rsidR="003E7323" w:rsidRPr="00CE6AE7">
        <w:rPr>
          <w:rFonts w:ascii="Times New Roman" w:hAnsi="Times New Roman"/>
        </w:rPr>
        <w:t>年起規劃導入支付標準資源基準相對評價表，然適用科別有限，終未能全盤檢討。又自</w:t>
      </w:r>
      <w:r w:rsidR="003E7323" w:rsidRPr="00CE6AE7">
        <w:rPr>
          <w:rFonts w:ascii="Times New Roman" w:hAnsi="Times New Roman"/>
        </w:rPr>
        <w:t>84</w:t>
      </w:r>
      <w:r w:rsidR="003E7323" w:rsidRPr="00CE6AE7">
        <w:rPr>
          <w:rFonts w:ascii="Times New Roman" w:hAnsi="Times New Roman"/>
        </w:rPr>
        <w:t>年</w:t>
      </w:r>
      <w:r w:rsidR="003E7323" w:rsidRPr="00CE6AE7">
        <w:rPr>
          <w:rFonts w:ascii="Times New Roman" w:hAnsi="Times New Roman"/>
        </w:rPr>
        <w:t>3</w:t>
      </w:r>
      <w:r w:rsidR="003E7323" w:rsidRPr="00CE6AE7">
        <w:rPr>
          <w:rFonts w:ascii="Times New Roman" w:hAnsi="Times New Roman"/>
        </w:rPr>
        <w:t>月健保開辦迄今，仍逾</w:t>
      </w:r>
      <w:r w:rsidR="003E7323" w:rsidRPr="00CE6AE7">
        <w:rPr>
          <w:rFonts w:ascii="Times New Roman" w:hAnsi="Times New Roman"/>
        </w:rPr>
        <w:t>5</w:t>
      </w:r>
      <w:r w:rsidR="003E7323" w:rsidRPr="00CE6AE7">
        <w:rPr>
          <w:rFonts w:ascii="Times New Roman" w:hAnsi="Times New Roman"/>
        </w:rPr>
        <w:t>百項診療項目支付標準從未調整，並存有處置與手術界定未妥、部分術式定義不清，抑或支付點數偏低之情形。就過往沿用勞保而既存之支付標準問題，健保署多迨至相關學</w:t>
      </w:r>
      <w:r w:rsidR="007935BB" w:rsidRPr="00CE6AE7">
        <w:rPr>
          <w:rFonts w:ascii="Times New Roman" w:hAnsi="Times New Roman"/>
        </w:rPr>
        <w:t>會</w:t>
      </w:r>
      <w:r w:rsidR="003E7323" w:rsidRPr="00CE6AE7">
        <w:rPr>
          <w:rFonts w:ascii="Times New Roman" w:hAnsi="Times New Roman"/>
        </w:rPr>
        <w:t>、公會或醫療院所提案，或有異常申報紀錄始事後查核，欠缺主動、全面性及系統性檢討作為，致健保支付標準積弊未除，未能合理反映醫療成本及醫療專業價值，</w:t>
      </w:r>
      <w:r w:rsidR="004B2D51">
        <w:rPr>
          <w:rFonts w:ascii="Times New Roman" w:hAnsi="Times New Roman" w:hint="eastAsia"/>
        </w:rPr>
        <w:t>核有怠失</w:t>
      </w:r>
      <w:r w:rsidRPr="00CE6AE7">
        <w:rPr>
          <w:rFonts w:ascii="Times New Roman" w:hAnsi="Times New Roman"/>
        </w:rPr>
        <w:t>。</w:t>
      </w:r>
    </w:p>
    <w:p w14:paraId="07F8846F" w14:textId="60372911" w:rsidR="001C6043" w:rsidRPr="00CE6AE7" w:rsidRDefault="001C6043" w:rsidP="001C6043">
      <w:pPr>
        <w:pStyle w:val="2"/>
        <w:spacing w:beforeLines="50" w:before="228"/>
        <w:ind w:left="1020" w:hanging="680"/>
        <w:rPr>
          <w:rFonts w:ascii="Times New Roman" w:hAnsi="Times New Roman"/>
          <w:b/>
          <w:bCs w:val="0"/>
        </w:rPr>
      </w:pPr>
      <w:bookmarkStart w:id="41" w:name="_Hlk230632961"/>
      <w:r w:rsidRPr="00CE6AE7">
        <w:rPr>
          <w:rFonts w:ascii="Times New Roman" w:hAnsi="Times New Roman"/>
          <w:b/>
          <w:bCs w:val="0"/>
        </w:rPr>
        <w:t>健保資源配置應兼顧藥品、特材及醫療專業服務之均衡發展，以健全醫療體系並確保照護品質。然</w:t>
      </w:r>
      <w:r w:rsidR="00A1242C" w:rsidRPr="00CE6AE7">
        <w:rPr>
          <w:rFonts w:ascii="Times New Roman" w:hAnsi="Times New Roman" w:hint="eastAsia"/>
          <w:b/>
          <w:bCs w:val="0"/>
        </w:rPr>
        <w:t>近年來</w:t>
      </w:r>
      <w:r w:rsidRPr="00CE6AE7">
        <w:rPr>
          <w:rFonts w:ascii="Times New Roman" w:hAnsi="Times New Roman"/>
          <w:b/>
          <w:bCs w:val="0"/>
        </w:rPr>
        <w:t>，我國藥品及特材費用占健保支出比重持續攀升，相較健保開辦初期，藥費占比自</w:t>
      </w:r>
      <w:r w:rsidRPr="00CE6AE7">
        <w:rPr>
          <w:rFonts w:ascii="Times New Roman" w:hAnsi="Times New Roman"/>
          <w:b/>
          <w:bCs w:val="0"/>
        </w:rPr>
        <w:t>24%</w:t>
      </w:r>
      <w:r w:rsidRPr="00CE6AE7">
        <w:rPr>
          <w:rFonts w:ascii="Times New Roman" w:hAnsi="Times New Roman"/>
          <w:b/>
          <w:bCs w:val="0"/>
        </w:rPr>
        <w:t>上升至</w:t>
      </w:r>
      <w:r w:rsidRPr="00CE6AE7">
        <w:rPr>
          <w:rFonts w:ascii="Times New Roman" w:hAnsi="Times New Roman"/>
          <w:b/>
          <w:bCs w:val="0"/>
        </w:rPr>
        <w:t>114</w:t>
      </w:r>
      <w:r w:rsidRPr="00CE6AE7">
        <w:rPr>
          <w:rFonts w:ascii="Times New Roman" w:hAnsi="Times New Roman"/>
          <w:b/>
          <w:bCs w:val="0"/>
        </w:rPr>
        <w:t>年</w:t>
      </w:r>
      <w:r w:rsidRPr="00CE6AE7">
        <w:rPr>
          <w:rFonts w:ascii="Times New Roman" w:hAnsi="Times New Roman"/>
          <w:b/>
          <w:bCs w:val="0"/>
        </w:rPr>
        <w:t>28%</w:t>
      </w:r>
      <w:r w:rsidRPr="00CE6AE7">
        <w:rPr>
          <w:rFonts w:ascii="Times New Roman" w:hAnsi="Times New Roman"/>
          <w:b/>
          <w:bCs w:val="0"/>
        </w:rPr>
        <w:t>，特材費用亦由</w:t>
      </w:r>
      <w:r w:rsidRPr="00CE6AE7">
        <w:rPr>
          <w:rFonts w:ascii="Times New Roman" w:hAnsi="Times New Roman"/>
          <w:b/>
          <w:bCs w:val="0"/>
        </w:rPr>
        <w:t>2%</w:t>
      </w:r>
      <w:r w:rsidRPr="00CE6AE7">
        <w:rPr>
          <w:rFonts w:ascii="Times New Roman" w:hAnsi="Times New Roman"/>
          <w:b/>
          <w:bCs w:val="0"/>
        </w:rPr>
        <w:t>增至</w:t>
      </w:r>
      <w:r w:rsidRPr="00CE6AE7">
        <w:rPr>
          <w:rFonts w:ascii="Times New Roman" w:hAnsi="Times New Roman"/>
          <w:b/>
          <w:bCs w:val="0"/>
        </w:rPr>
        <w:t>4.6%</w:t>
      </w:r>
      <w:r w:rsidRPr="00CE6AE7">
        <w:rPr>
          <w:rFonts w:ascii="Times New Roman" w:hAnsi="Times New Roman"/>
          <w:b/>
          <w:bCs w:val="0"/>
        </w:rPr>
        <w:t>，醫療服務費用占比卻逐年下降，由</w:t>
      </w:r>
      <w:r w:rsidRPr="00CE6AE7">
        <w:rPr>
          <w:rFonts w:ascii="Times New Roman" w:hAnsi="Times New Roman"/>
          <w:b/>
          <w:bCs w:val="0"/>
        </w:rPr>
        <w:t>73.3%</w:t>
      </w:r>
      <w:r w:rsidRPr="00CE6AE7">
        <w:rPr>
          <w:rFonts w:ascii="Times New Roman" w:hAnsi="Times New Roman"/>
          <w:b/>
          <w:bCs w:val="0"/>
        </w:rPr>
        <w:t>降至</w:t>
      </w:r>
      <w:r w:rsidRPr="00CE6AE7">
        <w:rPr>
          <w:rFonts w:ascii="Times New Roman" w:hAnsi="Times New Roman"/>
          <w:b/>
          <w:bCs w:val="0"/>
        </w:rPr>
        <w:t>66.9%</w:t>
      </w:r>
      <w:r w:rsidRPr="00CE6AE7">
        <w:rPr>
          <w:rFonts w:ascii="Times New Roman" w:hAnsi="Times New Roman"/>
          <w:b/>
          <w:bCs w:val="0"/>
        </w:rPr>
        <w:t>。又與國際趨勢相較，我國醫療照護支出占醫療保健總額之下降幅度，亦較日本及韓國明顯。可見健保資源配置有逐漸偏重藥品及</w:t>
      </w:r>
      <w:r w:rsidR="00E910BA" w:rsidRPr="00CE6AE7">
        <w:rPr>
          <w:rFonts w:ascii="Times New Roman" w:hAnsi="Times New Roman" w:hint="eastAsia"/>
          <w:b/>
          <w:bCs w:val="0"/>
        </w:rPr>
        <w:t>特</w:t>
      </w:r>
      <w:r w:rsidRPr="00CE6AE7">
        <w:rPr>
          <w:rFonts w:ascii="Times New Roman" w:hAnsi="Times New Roman"/>
          <w:b/>
          <w:bCs w:val="0"/>
        </w:rPr>
        <w:t>材，相對輕忽醫療專業服務之虞，長期均不利於醫療人力留任，進而影響照護品質，</w:t>
      </w:r>
      <w:r w:rsidR="004B630D">
        <w:rPr>
          <w:rFonts w:ascii="Times New Roman" w:hAnsi="Times New Roman" w:hint="eastAsia"/>
          <w:b/>
          <w:bCs w:val="0"/>
        </w:rPr>
        <w:t>亟</w:t>
      </w:r>
      <w:r w:rsidRPr="00CE6AE7">
        <w:rPr>
          <w:rFonts w:ascii="Times New Roman" w:hAnsi="Times New Roman"/>
          <w:b/>
          <w:bCs w:val="0"/>
        </w:rPr>
        <w:t>待衛福部確實檢討改進。</w:t>
      </w:r>
    </w:p>
    <w:p w14:paraId="63FD53FD" w14:textId="3F06FC68" w:rsidR="001C6043" w:rsidRPr="00CE6AE7" w:rsidRDefault="001C6043" w:rsidP="001C6043">
      <w:pPr>
        <w:pStyle w:val="3"/>
        <w:rPr>
          <w:rFonts w:ascii="Times New Roman" w:hAnsi="Times New Roman"/>
          <w:spacing w:val="-6"/>
        </w:rPr>
      </w:pPr>
      <w:r w:rsidRPr="004B2D51">
        <w:rPr>
          <w:rFonts w:ascii="Times New Roman" w:hAnsi="Times New Roman"/>
          <w:spacing w:val="-18"/>
        </w:rPr>
        <w:t>世界衛生組織（</w:t>
      </w:r>
      <w:r w:rsidRPr="004B2D51">
        <w:rPr>
          <w:rFonts w:ascii="Times New Roman" w:hAnsi="Times New Roman"/>
          <w:spacing w:val="-18"/>
        </w:rPr>
        <w:t>World Health Organization</w:t>
      </w:r>
      <w:r w:rsidR="004B2D51" w:rsidRPr="004B2D51">
        <w:rPr>
          <w:rFonts w:ascii="Times New Roman" w:hAnsi="Times New Roman" w:hint="eastAsia"/>
          <w:spacing w:val="-18"/>
        </w:rPr>
        <w:t>，下稱</w:t>
      </w:r>
      <w:r w:rsidRPr="004B2D51">
        <w:rPr>
          <w:rFonts w:ascii="Times New Roman" w:hAnsi="Times New Roman"/>
          <w:spacing w:val="-18"/>
        </w:rPr>
        <w:t>WHO</w:t>
      </w:r>
      <w:r w:rsidRPr="004B2D51">
        <w:rPr>
          <w:rFonts w:ascii="Times New Roman" w:hAnsi="Times New Roman"/>
          <w:spacing w:val="-18"/>
        </w:rPr>
        <w:t>）</w:t>
      </w:r>
      <w:r w:rsidRPr="004B2D51">
        <w:rPr>
          <w:rStyle w:val="aff6"/>
          <w:rFonts w:ascii="Times New Roman" w:hAnsi="Times New Roman"/>
          <w:spacing w:val="-18"/>
        </w:rPr>
        <w:footnoteReference w:id="11"/>
      </w:r>
      <w:r w:rsidRPr="00CE6AE7">
        <w:rPr>
          <w:rFonts w:ascii="Times New Roman" w:hAnsi="Times New Roman"/>
          <w:spacing w:val="-6"/>
        </w:rPr>
        <w:t>揭示，健全之健康體系須具備充足之醫療物資及醫護人力，兩者均為維持醫療品質不可或缺之重要基石。</w:t>
      </w:r>
      <w:r w:rsidRPr="00CE6AE7">
        <w:rPr>
          <w:rFonts w:ascii="Times New Roman" w:hAnsi="Times New Roman"/>
          <w:spacing w:val="-6"/>
        </w:rPr>
        <w:lastRenderedPageBreak/>
        <w:t>又據</w:t>
      </w:r>
      <w:r w:rsidRPr="00CE6AE7">
        <w:rPr>
          <w:rFonts w:ascii="Times New Roman" w:hAnsi="Times New Roman"/>
          <w:spacing w:val="-6"/>
        </w:rPr>
        <w:t>Michael Porter</w:t>
      </w:r>
      <w:r w:rsidRPr="00CE6AE7">
        <w:rPr>
          <w:rFonts w:ascii="Times New Roman" w:hAnsi="Times New Roman"/>
          <w:spacing w:val="-6"/>
        </w:rPr>
        <w:t>等學者</w:t>
      </w:r>
      <w:r w:rsidRPr="00CE6AE7">
        <w:rPr>
          <w:rStyle w:val="aff6"/>
          <w:rFonts w:ascii="Times New Roman" w:hAnsi="Times New Roman"/>
          <w:spacing w:val="-6"/>
        </w:rPr>
        <w:footnoteReference w:id="12"/>
      </w:r>
      <w:r w:rsidRPr="00CE6AE7">
        <w:rPr>
          <w:rFonts w:ascii="Times New Roman" w:hAnsi="Times New Roman"/>
          <w:spacing w:val="-6"/>
        </w:rPr>
        <w:t>提倡之「價值導向醫療（</w:t>
      </w:r>
      <w:r w:rsidRPr="00CE6AE7">
        <w:rPr>
          <w:rFonts w:ascii="Times New Roman" w:hAnsi="Times New Roman"/>
          <w:spacing w:val="-6"/>
        </w:rPr>
        <w:t>Value-Based Health Care</w:t>
      </w:r>
      <w:r w:rsidRPr="00CE6AE7">
        <w:rPr>
          <w:rFonts w:ascii="Times New Roman" w:hAnsi="Times New Roman"/>
          <w:spacing w:val="-6"/>
        </w:rPr>
        <w:t>）」理論，醫療資源之投入，應以極大化病患健康結果為目標，給付資源應導引醫療團隊於診斷、治療與照護過程中創造最佳照護效益。若僅側重藥品或特材之給付，卻未合理反映醫療專業判斷及照護服務之價值，</w:t>
      </w:r>
      <w:r w:rsidR="005137B0" w:rsidRPr="00CE6AE7">
        <w:rPr>
          <w:rFonts w:ascii="Times New Roman" w:hAnsi="Times New Roman" w:hint="eastAsia"/>
          <w:spacing w:val="-6"/>
        </w:rPr>
        <w:t>易</w:t>
      </w:r>
      <w:r w:rsidRPr="00CE6AE7">
        <w:rPr>
          <w:rFonts w:ascii="Times New Roman" w:hAnsi="Times New Roman"/>
          <w:spacing w:val="-6"/>
        </w:rPr>
        <w:t>誘發過度開立藥品</w:t>
      </w:r>
      <w:r w:rsidR="005137B0" w:rsidRPr="00CE6AE7">
        <w:rPr>
          <w:rFonts w:ascii="Times New Roman" w:hAnsi="Times New Roman" w:hint="eastAsia"/>
          <w:spacing w:val="-6"/>
        </w:rPr>
        <w:t>、</w:t>
      </w:r>
      <w:r w:rsidR="00770C7B" w:rsidRPr="00CE6AE7">
        <w:rPr>
          <w:rFonts w:ascii="Times New Roman" w:hAnsi="Times New Roman" w:hint="eastAsia"/>
          <w:spacing w:val="-6"/>
        </w:rPr>
        <w:t>頻繁</w:t>
      </w:r>
      <w:r w:rsidRPr="00CE6AE7">
        <w:rPr>
          <w:rFonts w:ascii="Times New Roman" w:hAnsi="Times New Roman"/>
          <w:spacing w:val="-6"/>
        </w:rPr>
        <w:t>進行檢驗檢查之醫療行為，無益於照護品質提升。是以，我國健保資源配置應兼顧</w:t>
      </w:r>
      <w:r w:rsidR="00770C7B" w:rsidRPr="00CE6AE7">
        <w:rPr>
          <w:rFonts w:ascii="Times New Roman" w:hAnsi="Times New Roman" w:hint="eastAsia"/>
          <w:spacing w:val="-6"/>
        </w:rPr>
        <w:t>醫療物資</w:t>
      </w:r>
      <w:r w:rsidRPr="00CE6AE7">
        <w:rPr>
          <w:rFonts w:ascii="Times New Roman" w:hAnsi="Times New Roman"/>
          <w:spacing w:val="-6"/>
        </w:rPr>
        <w:t>及診療照護之均衡發展，以健全醫療體系。</w:t>
      </w:r>
    </w:p>
    <w:p w14:paraId="088BFD8F" w14:textId="77777777" w:rsidR="001C6043" w:rsidRPr="00CE6AE7" w:rsidRDefault="001C6043" w:rsidP="001C6043">
      <w:pPr>
        <w:pStyle w:val="3"/>
        <w:rPr>
          <w:rFonts w:ascii="Times New Roman" w:hAnsi="Times New Roman"/>
        </w:rPr>
      </w:pPr>
      <w:r w:rsidRPr="00CE6AE7">
        <w:rPr>
          <w:rFonts w:ascii="Times New Roman" w:hAnsi="Times New Roman"/>
          <w:b/>
          <w:bCs w:val="0"/>
        </w:rPr>
        <w:t>惟查，我國藥品及特材費用占健保支出比重持續攀升，醫療服務費用占比卻逐年下降：</w:t>
      </w:r>
    </w:p>
    <w:p w14:paraId="7D8B18F5" w14:textId="77777777" w:rsidR="001C6043" w:rsidRPr="00CE6AE7" w:rsidRDefault="001C6043" w:rsidP="001C6043">
      <w:pPr>
        <w:pStyle w:val="4"/>
        <w:rPr>
          <w:rFonts w:ascii="Times New Roman" w:hAnsi="Times New Roman"/>
        </w:rPr>
      </w:pPr>
      <w:r w:rsidRPr="00CE6AE7">
        <w:rPr>
          <w:rFonts w:ascii="Times New Roman" w:hAnsi="Times New Roman"/>
        </w:rPr>
        <w:t>依</w:t>
      </w:r>
      <w:r w:rsidRPr="00CE6AE7">
        <w:rPr>
          <w:rFonts w:ascii="Times New Roman" w:hAnsi="Times New Roman"/>
        </w:rPr>
        <w:t>92</w:t>
      </w:r>
      <w:r w:rsidRPr="00CE6AE7">
        <w:rPr>
          <w:rFonts w:ascii="Times New Roman" w:hAnsi="Times New Roman"/>
        </w:rPr>
        <w:t>至</w:t>
      </w:r>
      <w:r w:rsidRPr="00CE6AE7">
        <w:rPr>
          <w:rFonts w:ascii="Times New Roman" w:hAnsi="Times New Roman"/>
        </w:rPr>
        <w:t>114</w:t>
      </w:r>
      <w:r w:rsidRPr="00CE6AE7">
        <w:rPr>
          <w:rFonts w:ascii="Times New Roman" w:hAnsi="Times New Roman"/>
        </w:rPr>
        <w:t>年藥品、特材及醫療服務費用於健保醫療點數之占比（詳如下表），顯示相較健保開辦初期，藥費占比自</w:t>
      </w:r>
      <w:r w:rsidRPr="00CE6AE7">
        <w:rPr>
          <w:rFonts w:ascii="Times New Roman" w:hAnsi="Times New Roman"/>
        </w:rPr>
        <w:t>92</w:t>
      </w:r>
      <w:r w:rsidRPr="00CE6AE7">
        <w:rPr>
          <w:rFonts w:ascii="Times New Roman" w:hAnsi="Times New Roman"/>
        </w:rPr>
        <w:t>年約</w:t>
      </w:r>
      <w:r w:rsidRPr="00CE6AE7">
        <w:rPr>
          <w:rFonts w:ascii="Times New Roman" w:hAnsi="Times New Roman"/>
        </w:rPr>
        <w:t>24.7%</w:t>
      </w:r>
      <w:r w:rsidRPr="00CE6AE7">
        <w:rPr>
          <w:rFonts w:ascii="Times New Roman" w:hAnsi="Times New Roman"/>
        </w:rPr>
        <w:t>，至</w:t>
      </w:r>
      <w:r w:rsidRPr="00CE6AE7">
        <w:rPr>
          <w:rFonts w:ascii="Times New Roman" w:hAnsi="Times New Roman"/>
        </w:rPr>
        <w:t>102</w:t>
      </w:r>
      <w:r w:rsidRPr="00CE6AE7">
        <w:rPr>
          <w:rFonts w:ascii="Times New Roman" w:hAnsi="Times New Roman"/>
        </w:rPr>
        <w:t>年增長至</w:t>
      </w:r>
      <w:r w:rsidRPr="00CE6AE7">
        <w:rPr>
          <w:rFonts w:ascii="Times New Roman" w:hAnsi="Times New Roman"/>
        </w:rPr>
        <w:t>26.1%</w:t>
      </w:r>
      <w:r w:rsidRPr="00CE6AE7">
        <w:rPr>
          <w:rFonts w:ascii="Times New Roman" w:hAnsi="Times New Roman"/>
        </w:rPr>
        <w:t>，</w:t>
      </w:r>
      <w:r w:rsidRPr="00CE6AE7">
        <w:rPr>
          <w:rFonts w:ascii="Times New Roman" w:hAnsi="Times New Roman"/>
        </w:rPr>
        <w:t>114</w:t>
      </w:r>
      <w:r w:rsidRPr="00CE6AE7">
        <w:rPr>
          <w:rFonts w:ascii="Times New Roman" w:hAnsi="Times New Roman"/>
        </w:rPr>
        <w:t>年上升至</w:t>
      </w:r>
      <w:r w:rsidRPr="00CE6AE7">
        <w:rPr>
          <w:rFonts w:ascii="Times New Roman" w:hAnsi="Times New Roman"/>
        </w:rPr>
        <w:t>28.5%</w:t>
      </w:r>
      <w:r w:rsidRPr="00CE6AE7">
        <w:rPr>
          <w:rFonts w:ascii="Times New Roman" w:hAnsi="Times New Roman"/>
        </w:rPr>
        <w:t>，占比上升</w:t>
      </w:r>
      <w:r w:rsidRPr="00CE6AE7">
        <w:rPr>
          <w:rFonts w:ascii="Times New Roman" w:hAnsi="Times New Roman"/>
        </w:rPr>
        <w:t>3.8%</w:t>
      </w:r>
      <w:r w:rsidRPr="00CE6AE7">
        <w:rPr>
          <w:rFonts w:ascii="Times New Roman" w:hAnsi="Times New Roman"/>
        </w:rPr>
        <w:t>。</w:t>
      </w:r>
    </w:p>
    <w:p w14:paraId="5C49702E" w14:textId="77777777" w:rsidR="001C6043" w:rsidRPr="00CE6AE7" w:rsidRDefault="001C6043" w:rsidP="001C6043">
      <w:pPr>
        <w:pStyle w:val="4"/>
        <w:rPr>
          <w:rFonts w:ascii="Times New Roman" w:hAnsi="Times New Roman"/>
        </w:rPr>
      </w:pPr>
      <w:r w:rsidRPr="00CE6AE7">
        <w:rPr>
          <w:rFonts w:ascii="Times New Roman" w:hAnsi="Times New Roman"/>
        </w:rPr>
        <w:t>特材費用則由</w:t>
      </w:r>
      <w:r w:rsidRPr="00CE6AE7">
        <w:rPr>
          <w:rFonts w:ascii="Times New Roman" w:hAnsi="Times New Roman"/>
        </w:rPr>
        <w:t>92</w:t>
      </w:r>
      <w:r w:rsidRPr="00CE6AE7">
        <w:rPr>
          <w:rFonts w:ascii="Times New Roman" w:hAnsi="Times New Roman"/>
        </w:rPr>
        <w:t>年約</w:t>
      </w:r>
      <w:r w:rsidRPr="00CE6AE7">
        <w:rPr>
          <w:rFonts w:ascii="Times New Roman" w:hAnsi="Times New Roman"/>
        </w:rPr>
        <w:t>2%</w:t>
      </w:r>
      <w:r w:rsidRPr="00CE6AE7">
        <w:rPr>
          <w:rFonts w:ascii="Times New Roman" w:hAnsi="Times New Roman"/>
        </w:rPr>
        <w:t>，</w:t>
      </w:r>
      <w:r w:rsidRPr="00CE6AE7">
        <w:rPr>
          <w:rFonts w:ascii="Times New Roman" w:hAnsi="Times New Roman"/>
        </w:rPr>
        <w:t>102</w:t>
      </w:r>
      <w:r w:rsidRPr="00CE6AE7">
        <w:rPr>
          <w:rFonts w:ascii="Times New Roman" w:hAnsi="Times New Roman"/>
        </w:rPr>
        <w:t>年為</w:t>
      </w:r>
      <w:r w:rsidRPr="00CE6AE7">
        <w:rPr>
          <w:rFonts w:ascii="Times New Roman" w:hAnsi="Times New Roman"/>
        </w:rPr>
        <w:t>3%</w:t>
      </w:r>
      <w:r w:rsidRPr="00CE6AE7">
        <w:rPr>
          <w:rFonts w:ascii="Times New Roman" w:hAnsi="Times New Roman"/>
        </w:rPr>
        <w:t>，</w:t>
      </w:r>
      <w:r w:rsidRPr="00CE6AE7">
        <w:rPr>
          <w:rFonts w:ascii="Times New Roman" w:hAnsi="Times New Roman"/>
        </w:rPr>
        <w:t>114</w:t>
      </w:r>
      <w:r w:rsidRPr="00CE6AE7">
        <w:rPr>
          <w:rFonts w:ascii="Times New Roman" w:hAnsi="Times New Roman"/>
        </w:rPr>
        <w:t>年增至</w:t>
      </w:r>
      <w:r w:rsidRPr="00CE6AE7">
        <w:rPr>
          <w:rFonts w:ascii="Times New Roman" w:hAnsi="Times New Roman"/>
        </w:rPr>
        <w:t>4.6%</w:t>
      </w:r>
      <w:r w:rsidRPr="00CE6AE7">
        <w:rPr>
          <w:rFonts w:ascii="Times New Roman" w:hAnsi="Times New Roman"/>
        </w:rPr>
        <w:t>，占比上升</w:t>
      </w:r>
      <w:r w:rsidRPr="00CE6AE7">
        <w:rPr>
          <w:rFonts w:ascii="Times New Roman" w:hAnsi="Times New Roman"/>
        </w:rPr>
        <w:t>2%</w:t>
      </w:r>
      <w:r w:rsidRPr="00CE6AE7">
        <w:rPr>
          <w:rFonts w:ascii="Times New Roman" w:hAnsi="Times New Roman"/>
        </w:rPr>
        <w:t>。</w:t>
      </w:r>
    </w:p>
    <w:p w14:paraId="08617440" w14:textId="77777777" w:rsidR="001C6043" w:rsidRPr="00CE6AE7" w:rsidRDefault="001C6043" w:rsidP="001C6043">
      <w:pPr>
        <w:pStyle w:val="4"/>
        <w:rPr>
          <w:rFonts w:ascii="Times New Roman" w:hAnsi="Times New Roman"/>
          <w:spacing w:val="-8"/>
        </w:rPr>
      </w:pPr>
      <w:r w:rsidRPr="00CE6AE7">
        <w:rPr>
          <w:rFonts w:ascii="Times New Roman" w:hAnsi="Times New Roman"/>
          <w:spacing w:val="-8"/>
        </w:rPr>
        <w:t>醫療服務費用占比卻逐年下降，由</w:t>
      </w:r>
      <w:r w:rsidRPr="00CE6AE7">
        <w:rPr>
          <w:rFonts w:ascii="Times New Roman" w:hAnsi="Times New Roman"/>
          <w:spacing w:val="-8"/>
        </w:rPr>
        <w:t>92</w:t>
      </w:r>
      <w:r w:rsidRPr="00CE6AE7">
        <w:rPr>
          <w:rFonts w:ascii="Times New Roman" w:hAnsi="Times New Roman"/>
          <w:spacing w:val="-8"/>
        </w:rPr>
        <w:t>年約</w:t>
      </w:r>
      <w:r w:rsidRPr="00CE6AE7">
        <w:rPr>
          <w:rFonts w:ascii="Times New Roman" w:hAnsi="Times New Roman"/>
          <w:spacing w:val="-8"/>
        </w:rPr>
        <w:t>73.3%</w:t>
      </w:r>
      <w:r w:rsidRPr="00CE6AE7">
        <w:rPr>
          <w:rFonts w:ascii="Times New Roman" w:hAnsi="Times New Roman"/>
          <w:spacing w:val="-8"/>
        </w:rPr>
        <w:t>，</w:t>
      </w:r>
      <w:r w:rsidRPr="00CE6AE7">
        <w:rPr>
          <w:rFonts w:ascii="Times New Roman" w:hAnsi="Times New Roman"/>
          <w:spacing w:val="-8"/>
        </w:rPr>
        <w:t>102</w:t>
      </w:r>
      <w:r w:rsidRPr="00CE6AE7">
        <w:rPr>
          <w:rFonts w:ascii="Times New Roman" w:hAnsi="Times New Roman"/>
          <w:spacing w:val="-8"/>
        </w:rPr>
        <w:t>年為</w:t>
      </w:r>
      <w:r w:rsidRPr="00CE6AE7">
        <w:rPr>
          <w:rFonts w:ascii="Times New Roman" w:hAnsi="Times New Roman"/>
          <w:spacing w:val="-8"/>
        </w:rPr>
        <w:t>70.06%</w:t>
      </w:r>
      <w:r w:rsidRPr="00CE6AE7">
        <w:rPr>
          <w:rFonts w:ascii="Times New Roman" w:hAnsi="Times New Roman"/>
          <w:spacing w:val="-8"/>
        </w:rPr>
        <w:t>，</w:t>
      </w:r>
      <w:r w:rsidRPr="00CE6AE7">
        <w:rPr>
          <w:rFonts w:ascii="Times New Roman" w:hAnsi="Times New Roman"/>
          <w:spacing w:val="-8"/>
        </w:rPr>
        <w:t>114</w:t>
      </w:r>
      <w:r w:rsidRPr="00CE6AE7">
        <w:rPr>
          <w:rFonts w:ascii="Times New Roman" w:hAnsi="Times New Roman"/>
          <w:spacing w:val="-8"/>
        </w:rPr>
        <w:t>年降至</w:t>
      </w:r>
      <w:r w:rsidRPr="00CE6AE7">
        <w:rPr>
          <w:rFonts w:ascii="Times New Roman" w:hAnsi="Times New Roman"/>
          <w:spacing w:val="-8"/>
        </w:rPr>
        <w:t>66.9%</w:t>
      </w:r>
      <w:r w:rsidRPr="00CE6AE7">
        <w:rPr>
          <w:rFonts w:ascii="Times New Roman" w:hAnsi="Times New Roman"/>
          <w:spacing w:val="-8"/>
        </w:rPr>
        <w:t>，占比下降</w:t>
      </w:r>
      <w:r w:rsidRPr="00CE6AE7">
        <w:rPr>
          <w:rFonts w:ascii="Times New Roman" w:hAnsi="Times New Roman"/>
          <w:spacing w:val="-8"/>
        </w:rPr>
        <w:t>6.4%</w:t>
      </w:r>
      <w:r w:rsidRPr="00CE6AE7">
        <w:rPr>
          <w:rFonts w:ascii="Times New Roman" w:hAnsi="Times New Roman"/>
          <w:spacing w:val="-8"/>
        </w:rPr>
        <w:t>。</w:t>
      </w:r>
    </w:p>
    <w:p w14:paraId="0D7C8D30" w14:textId="77777777" w:rsidR="00CF233F" w:rsidRPr="00CE6AE7" w:rsidRDefault="00CF233F" w:rsidP="00CF233F">
      <w:pPr>
        <w:pStyle w:val="a4"/>
        <w:spacing w:before="60" w:after="0"/>
        <w:ind w:left="1276" w:firstLine="0"/>
        <w:jc w:val="left"/>
        <w:rPr>
          <w:rFonts w:ascii="Times New Roman" w:hAnsi="Times New Roman"/>
        </w:rPr>
      </w:pPr>
      <w:r w:rsidRPr="00CE6AE7">
        <w:rPr>
          <w:rFonts w:ascii="Times New Roman" w:hAnsi="Times New Roman"/>
        </w:rPr>
        <w:t>92</w:t>
      </w:r>
      <w:r w:rsidRPr="00CE6AE7">
        <w:rPr>
          <w:rFonts w:ascii="Times New Roman" w:hAnsi="Times New Roman"/>
        </w:rPr>
        <w:t>至</w:t>
      </w:r>
      <w:r w:rsidRPr="00CE6AE7">
        <w:rPr>
          <w:rFonts w:ascii="Times New Roman" w:hAnsi="Times New Roman"/>
        </w:rPr>
        <w:t>114</w:t>
      </w:r>
      <w:r w:rsidRPr="00CE6AE7">
        <w:rPr>
          <w:rFonts w:ascii="Times New Roman" w:hAnsi="Times New Roman"/>
        </w:rPr>
        <w:t>年藥品、特材及醫療服務費用占比</w:t>
      </w:r>
    </w:p>
    <w:p w14:paraId="7E41342A" w14:textId="77777777" w:rsidR="00CF233F" w:rsidRPr="00CE6AE7" w:rsidRDefault="00CF233F" w:rsidP="00CF233F">
      <w:pPr>
        <w:pStyle w:val="a4"/>
        <w:numPr>
          <w:ilvl w:val="0"/>
          <w:numId w:val="0"/>
        </w:numPr>
        <w:spacing w:before="60" w:after="0" w:line="240" w:lineRule="exact"/>
        <w:ind w:left="1276" w:rightChars="57" w:right="194"/>
        <w:jc w:val="right"/>
        <w:rPr>
          <w:rFonts w:ascii="Times New Roman" w:hAnsi="Times New Roman"/>
          <w:sz w:val="24"/>
          <w:szCs w:val="24"/>
        </w:rPr>
      </w:pPr>
      <w:r w:rsidRPr="00CE6AE7">
        <w:rPr>
          <w:rFonts w:ascii="Times New Roman" w:hAnsi="Times New Roman" w:hint="eastAsia"/>
          <w:sz w:val="24"/>
          <w:szCs w:val="24"/>
        </w:rPr>
        <w:t>單位：年、億點、</w:t>
      </w:r>
      <w:r w:rsidRPr="00CE6AE7">
        <w:rPr>
          <w:rFonts w:ascii="Times New Roman" w:hAnsi="Times New Roman" w:hint="eastAsia"/>
          <w:sz w:val="24"/>
          <w:szCs w:val="24"/>
        </w:rPr>
        <w:t>%</w:t>
      </w:r>
    </w:p>
    <w:tbl>
      <w:tblPr>
        <w:tblW w:w="7371"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691"/>
        <w:gridCol w:w="1230"/>
        <w:gridCol w:w="1035"/>
        <w:gridCol w:w="826"/>
        <w:gridCol w:w="835"/>
        <w:gridCol w:w="816"/>
        <w:gridCol w:w="985"/>
        <w:gridCol w:w="953"/>
      </w:tblGrid>
      <w:tr w:rsidR="00CE6AE7" w:rsidRPr="00CE6AE7" w14:paraId="3CC2D957" w14:textId="77777777" w:rsidTr="00D2313E">
        <w:trPr>
          <w:trHeight w:val="260"/>
          <w:tblHeader/>
        </w:trPr>
        <w:tc>
          <w:tcPr>
            <w:tcW w:w="709" w:type="dxa"/>
            <w:vMerge w:val="restart"/>
            <w:shd w:val="clear" w:color="auto" w:fill="D9D9D9" w:themeFill="background1" w:themeFillShade="D9"/>
            <w:vAlign w:val="center"/>
          </w:tcPr>
          <w:p w14:paraId="267B2546" w14:textId="77777777" w:rsidR="00CF233F" w:rsidRPr="00CE6AE7" w:rsidRDefault="00CF233F" w:rsidP="00D2313E">
            <w:pPr>
              <w:kinsoku w:val="0"/>
              <w:spacing w:line="260" w:lineRule="exact"/>
              <w:jc w:val="center"/>
              <w:rPr>
                <w:rFonts w:ascii="Times New Roman"/>
                <w:b/>
                <w:sz w:val="24"/>
                <w:szCs w:val="24"/>
              </w:rPr>
            </w:pPr>
            <w:r w:rsidRPr="00CE6AE7">
              <w:rPr>
                <w:rFonts w:ascii="Times New Roman"/>
                <w:spacing w:val="-8"/>
                <w:sz w:val="24"/>
                <w:szCs w:val="24"/>
              </w:rPr>
              <w:t>年度</w:t>
            </w:r>
          </w:p>
        </w:tc>
        <w:tc>
          <w:tcPr>
            <w:tcW w:w="1254" w:type="dxa"/>
            <w:vMerge w:val="restart"/>
            <w:shd w:val="clear" w:color="auto" w:fill="D9D9D9" w:themeFill="background1" w:themeFillShade="D9"/>
            <w:vAlign w:val="center"/>
          </w:tcPr>
          <w:p w14:paraId="5D51A533" w14:textId="77777777" w:rsidR="00CF233F" w:rsidRPr="00CE6AE7" w:rsidRDefault="00CF233F" w:rsidP="00D2313E">
            <w:pPr>
              <w:kinsoku w:val="0"/>
              <w:spacing w:line="260" w:lineRule="exact"/>
              <w:jc w:val="center"/>
              <w:rPr>
                <w:rFonts w:ascii="Times New Roman"/>
                <w:bCs/>
                <w:sz w:val="24"/>
                <w:szCs w:val="24"/>
              </w:rPr>
            </w:pPr>
            <w:r w:rsidRPr="00CE6AE7">
              <w:rPr>
                <w:rFonts w:ascii="Times New Roman"/>
                <w:bCs/>
                <w:sz w:val="24"/>
                <w:szCs w:val="24"/>
              </w:rPr>
              <w:t>健保醫療點數</w:t>
            </w:r>
          </w:p>
        </w:tc>
        <w:tc>
          <w:tcPr>
            <w:tcW w:w="1864" w:type="dxa"/>
            <w:gridSpan w:val="2"/>
            <w:shd w:val="clear" w:color="auto" w:fill="D9D9D9" w:themeFill="background1" w:themeFillShade="D9"/>
            <w:vAlign w:val="center"/>
          </w:tcPr>
          <w:p w14:paraId="203B8D44" w14:textId="77777777" w:rsidR="00CF233F" w:rsidRPr="00CE6AE7" w:rsidRDefault="00CF233F" w:rsidP="00D2313E">
            <w:pPr>
              <w:kinsoku w:val="0"/>
              <w:spacing w:line="260" w:lineRule="exact"/>
              <w:jc w:val="center"/>
              <w:rPr>
                <w:rFonts w:ascii="Times New Roman"/>
                <w:bCs/>
                <w:sz w:val="24"/>
                <w:szCs w:val="24"/>
              </w:rPr>
            </w:pPr>
            <w:r w:rsidRPr="00CE6AE7">
              <w:rPr>
                <w:rFonts w:ascii="Times New Roman"/>
                <w:bCs/>
                <w:sz w:val="24"/>
                <w:szCs w:val="24"/>
              </w:rPr>
              <w:t>藥品費用</w:t>
            </w:r>
          </w:p>
        </w:tc>
        <w:tc>
          <w:tcPr>
            <w:tcW w:w="1560" w:type="dxa"/>
            <w:gridSpan w:val="2"/>
            <w:shd w:val="clear" w:color="auto" w:fill="D9D9D9" w:themeFill="background1" w:themeFillShade="D9"/>
            <w:vAlign w:val="center"/>
          </w:tcPr>
          <w:p w14:paraId="27A72739" w14:textId="77777777" w:rsidR="00CF233F" w:rsidRPr="00CE6AE7" w:rsidRDefault="00CF233F" w:rsidP="00D2313E">
            <w:pPr>
              <w:kinsoku w:val="0"/>
              <w:spacing w:line="260" w:lineRule="exact"/>
              <w:jc w:val="center"/>
              <w:rPr>
                <w:rFonts w:ascii="Times New Roman"/>
                <w:bCs/>
                <w:sz w:val="24"/>
                <w:szCs w:val="24"/>
              </w:rPr>
            </w:pPr>
            <w:r w:rsidRPr="00CE6AE7">
              <w:rPr>
                <w:rFonts w:ascii="Times New Roman"/>
                <w:bCs/>
                <w:sz w:val="24"/>
                <w:szCs w:val="24"/>
              </w:rPr>
              <w:t>特材費用</w:t>
            </w:r>
          </w:p>
        </w:tc>
        <w:tc>
          <w:tcPr>
            <w:tcW w:w="1984" w:type="dxa"/>
            <w:gridSpan w:val="2"/>
            <w:shd w:val="clear" w:color="auto" w:fill="D9D9D9" w:themeFill="background1" w:themeFillShade="D9"/>
            <w:vAlign w:val="center"/>
          </w:tcPr>
          <w:p w14:paraId="52986E0D" w14:textId="77777777" w:rsidR="00CF233F" w:rsidRPr="00CE6AE7" w:rsidRDefault="00CF233F" w:rsidP="00D2313E">
            <w:pPr>
              <w:kinsoku w:val="0"/>
              <w:spacing w:line="260" w:lineRule="exact"/>
              <w:jc w:val="center"/>
              <w:rPr>
                <w:rFonts w:ascii="Times New Roman"/>
                <w:bCs/>
                <w:sz w:val="24"/>
                <w:szCs w:val="24"/>
              </w:rPr>
            </w:pPr>
            <w:r w:rsidRPr="00CE6AE7">
              <w:rPr>
                <w:rFonts w:ascii="Times New Roman"/>
                <w:bCs/>
                <w:sz w:val="24"/>
                <w:szCs w:val="24"/>
              </w:rPr>
              <w:t>醫療服務費用及其他醫療點數</w:t>
            </w:r>
          </w:p>
        </w:tc>
      </w:tr>
      <w:tr w:rsidR="00CE6AE7" w:rsidRPr="00CE6AE7" w14:paraId="58360F67" w14:textId="77777777" w:rsidTr="00D2313E">
        <w:trPr>
          <w:trHeight w:val="20"/>
        </w:trPr>
        <w:tc>
          <w:tcPr>
            <w:tcW w:w="709" w:type="dxa"/>
            <w:vMerge/>
            <w:shd w:val="clear" w:color="auto" w:fill="D9D9D9" w:themeFill="background1" w:themeFillShade="D9"/>
            <w:vAlign w:val="center"/>
          </w:tcPr>
          <w:p w14:paraId="1A18B8AC" w14:textId="77777777" w:rsidR="00CF233F" w:rsidRPr="00CE6AE7" w:rsidRDefault="00CF233F" w:rsidP="00D2313E">
            <w:pPr>
              <w:kinsoku w:val="0"/>
              <w:spacing w:line="260" w:lineRule="exact"/>
              <w:jc w:val="center"/>
              <w:rPr>
                <w:rFonts w:ascii="Times New Roman"/>
                <w:sz w:val="24"/>
                <w:szCs w:val="24"/>
              </w:rPr>
            </w:pPr>
          </w:p>
        </w:tc>
        <w:tc>
          <w:tcPr>
            <w:tcW w:w="1254" w:type="dxa"/>
            <w:vMerge/>
            <w:shd w:val="clear" w:color="auto" w:fill="D9D9D9" w:themeFill="background1" w:themeFillShade="D9"/>
            <w:vAlign w:val="center"/>
          </w:tcPr>
          <w:p w14:paraId="41715EB3" w14:textId="77777777" w:rsidR="00CF233F" w:rsidRPr="00CE6AE7" w:rsidRDefault="00CF233F" w:rsidP="00D2313E">
            <w:pPr>
              <w:kinsoku w:val="0"/>
              <w:spacing w:line="260" w:lineRule="exact"/>
              <w:jc w:val="center"/>
              <w:rPr>
                <w:rFonts w:ascii="Times New Roman"/>
                <w:sz w:val="24"/>
                <w:szCs w:val="24"/>
              </w:rPr>
            </w:pPr>
          </w:p>
        </w:tc>
        <w:tc>
          <w:tcPr>
            <w:tcW w:w="1014" w:type="dxa"/>
            <w:shd w:val="clear" w:color="auto" w:fill="D9D9D9" w:themeFill="background1" w:themeFillShade="D9"/>
            <w:vAlign w:val="center"/>
          </w:tcPr>
          <w:p w14:paraId="354AC60E" w14:textId="77777777" w:rsidR="00CF233F" w:rsidRPr="00CE6AE7" w:rsidRDefault="00CF233F" w:rsidP="00D2313E">
            <w:pPr>
              <w:kinsoku w:val="0"/>
              <w:spacing w:line="260" w:lineRule="exact"/>
              <w:jc w:val="center"/>
              <w:rPr>
                <w:rFonts w:ascii="Times New Roman"/>
                <w:sz w:val="24"/>
                <w:szCs w:val="24"/>
              </w:rPr>
            </w:pPr>
            <w:r w:rsidRPr="00CE6AE7">
              <w:rPr>
                <w:rFonts w:ascii="Times New Roman" w:hint="eastAsia"/>
                <w:sz w:val="24"/>
                <w:szCs w:val="24"/>
              </w:rPr>
              <w:t>點數</w:t>
            </w:r>
          </w:p>
        </w:tc>
        <w:tc>
          <w:tcPr>
            <w:tcW w:w="850" w:type="dxa"/>
            <w:shd w:val="clear" w:color="auto" w:fill="D9D9D9" w:themeFill="background1" w:themeFillShade="D9"/>
            <w:vAlign w:val="center"/>
          </w:tcPr>
          <w:p w14:paraId="109CD670" w14:textId="77777777" w:rsidR="00CF233F" w:rsidRPr="00CE6AE7" w:rsidRDefault="00CF233F" w:rsidP="00D2313E">
            <w:pPr>
              <w:kinsoku w:val="0"/>
              <w:spacing w:line="260" w:lineRule="exact"/>
              <w:jc w:val="center"/>
              <w:rPr>
                <w:rFonts w:ascii="Times New Roman"/>
                <w:sz w:val="24"/>
                <w:szCs w:val="24"/>
              </w:rPr>
            </w:pPr>
            <w:r w:rsidRPr="00CE6AE7">
              <w:rPr>
                <w:rFonts w:ascii="Times New Roman" w:hint="eastAsia"/>
                <w:sz w:val="24"/>
                <w:szCs w:val="24"/>
              </w:rPr>
              <w:t>%</w:t>
            </w:r>
          </w:p>
        </w:tc>
        <w:tc>
          <w:tcPr>
            <w:tcW w:w="709" w:type="dxa"/>
            <w:shd w:val="clear" w:color="auto" w:fill="D9D9D9" w:themeFill="background1" w:themeFillShade="D9"/>
            <w:vAlign w:val="center"/>
          </w:tcPr>
          <w:p w14:paraId="6BDB47DF" w14:textId="77777777" w:rsidR="00CF233F" w:rsidRPr="00CE6AE7" w:rsidRDefault="00CF233F" w:rsidP="00D2313E">
            <w:pPr>
              <w:kinsoku w:val="0"/>
              <w:spacing w:line="260" w:lineRule="exact"/>
              <w:jc w:val="center"/>
              <w:rPr>
                <w:rFonts w:ascii="Times New Roman"/>
                <w:sz w:val="24"/>
                <w:szCs w:val="24"/>
              </w:rPr>
            </w:pPr>
            <w:r w:rsidRPr="00CE6AE7">
              <w:rPr>
                <w:rFonts w:ascii="Times New Roman" w:hint="eastAsia"/>
                <w:sz w:val="24"/>
                <w:szCs w:val="24"/>
              </w:rPr>
              <w:t>點數</w:t>
            </w:r>
          </w:p>
        </w:tc>
        <w:tc>
          <w:tcPr>
            <w:tcW w:w="851" w:type="dxa"/>
            <w:shd w:val="clear" w:color="auto" w:fill="D9D9D9" w:themeFill="background1" w:themeFillShade="D9"/>
            <w:vAlign w:val="center"/>
          </w:tcPr>
          <w:p w14:paraId="56613743" w14:textId="77777777" w:rsidR="00CF233F" w:rsidRPr="00CE6AE7" w:rsidRDefault="00CF233F" w:rsidP="00D2313E">
            <w:pPr>
              <w:kinsoku w:val="0"/>
              <w:spacing w:line="260" w:lineRule="exact"/>
              <w:jc w:val="center"/>
              <w:rPr>
                <w:rFonts w:ascii="Times New Roman"/>
                <w:sz w:val="24"/>
                <w:szCs w:val="24"/>
              </w:rPr>
            </w:pPr>
            <w:r w:rsidRPr="00CE6AE7">
              <w:rPr>
                <w:rFonts w:ascii="Times New Roman" w:hint="eastAsia"/>
                <w:sz w:val="24"/>
                <w:szCs w:val="24"/>
              </w:rPr>
              <w:t>%</w:t>
            </w:r>
          </w:p>
        </w:tc>
        <w:tc>
          <w:tcPr>
            <w:tcW w:w="992" w:type="dxa"/>
            <w:shd w:val="clear" w:color="auto" w:fill="D9D9D9" w:themeFill="background1" w:themeFillShade="D9"/>
            <w:vAlign w:val="center"/>
          </w:tcPr>
          <w:p w14:paraId="6A91EBEA" w14:textId="77777777" w:rsidR="00CF233F" w:rsidRPr="00CE6AE7" w:rsidRDefault="00CF233F" w:rsidP="00D2313E">
            <w:pPr>
              <w:kinsoku w:val="0"/>
              <w:spacing w:line="260" w:lineRule="exact"/>
              <w:jc w:val="center"/>
              <w:rPr>
                <w:rFonts w:ascii="Times New Roman"/>
                <w:sz w:val="24"/>
                <w:szCs w:val="24"/>
              </w:rPr>
            </w:pPr>
            <w:r w:rsidRPr="00CE6AE7">
              <w:rPr>
                <w:rFonts w:ascii="Times New Roman" w:hint="eastAsia"/>
                <w:sz w:val="24"/>
                <w:szCs w:val="24"/>
              </w:rPr>
              <w:t>點數</w:t>
            </w:r>
          </w:p>
        </w:tc>
        <w:tc>
          <w:tcPr>
            <w:tcW w:w="992" w:type="dxa"/>
            <w:shd w:val="clear" w:color="auto" w:fill="D9D9D9" w:themeFill="background1" w:themeFillShade="D9"/>
            <w:vAlign w:val="center"/>
          </w:tcPr>
          <w:p w14:paraId="7B146365" w14:textId="77777777" w:rsidR="00CF233F" w:rsidRPr="00CE6AE7" w:rsidRDefault="00CF233F" w:rsidP="00D2313E">
            <w:pPr>
              <w:kinsoku w:val="0"/>
              <w:spacing w:line="260" w:lineRule="exact"/>
              <w:jc w:val="center"/>
              <w:rPr>
                <w:rFonts w:ascii="Times New Roman"/>
                <w:sz w:val="24"/>
                <w:szCs w:val="24"/>
              </w:rPr>
            </w:pPr>
            <w:r w:rsidRPr="00CE6AE7">
              <w:rPr>
                <w:rFonts w:ascii="Times New Roman" w:hint="eastAsia"/>
                <w:sz w:val="24"/>
                <w:szCs w:val="24"/>
              </w:rPr>
              <w:t>%</w:t>
            </w:r>
          </w:p>
        </w:tc>
      </w:tr>
      <w:tr w:rsidR="00CE6AE7" w:rsidRPr="00CE6AE7" w14:paraId="533BBED3" w14:textId="77777777" w:rsidTr="00D2313E">
        <w:trPr>
          <w:trHeight w:val="20"/>
        </w:trPr>
        <w:tc>
          <w:tcPr>
            <w:tcW w:w="709" w:type="dxa"/>
            <w:vAlign w:val="center"/>
          </w:tcPr>
          <w:p w14:paraId="2CF9CA0C" w14:textId="77777777" w:rsidR="00CF233F" w:rsidRPr="00CE6AE7" w:rsidRDefault="00CF233F" w:rsidP="00D2313E">
            <w:pPr>
              <w:kinsoku w:val="0"/>
              <w:spacing w:line="260" w:lineRule="exact"/>
              <w:jc w:val="center"/>
              <w:rPr>
                <w:rFonts w:ascii="Times New Roman"/>
                <w:sz w:val="24"/>
                <w:szCs w:val="24"/>
              </w:rPr>
            </w:pPr>
            <w:r w:rsidRPr="00CE6AE7">
              <w:rPr>
                <w:rFonts w:ascii="Times New Roman"/>
                <w:sz w:val="24"/>
                <w:szCs w:val="24"/>
              </w:rPr>
              <w:t>92</w:t>
            </w:r>
          </w:p>
        </w:tc>
        <w:tc>
          <w:tcPr>
            <w:tcW w:w="1254" w:type="dxa"/>
            <w:vAlign w:val="center"/>
          </w:tcPr>
          <w:p w14:paraId="05C8E9DB"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3,819.55</w:t>
            </w:r>
          </w:p>
        </w:tc>
        <w:tc>
          <w:tcPr>
            <w:tcW w:w="1014" w:type="dxa"/>
            <w:vAlign w:val="center"/>
          </w:tcPr>
          <w:p w14:paraId="07C03294"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943.24</w:t>
            </w:r>
          </w:p>
        </w:tc>
        <w:tc>
          <w:tcPr>
            <w:tcW w:w="850" w:type="dxa"/>
            <w:vAlign w:val="center"/>
          </w:tcPr>
          <w:p w14:paraId="73611E32"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24.7</w:t>
            </w:r>
          </w:p>
        </w:tc>
        <w:tc>
          <w:tcPr>
            <w:tcW w:w="709" w:type="dxa"/>
            <w:vAlign w:val="center"/>
          </w:tcPr>
          <w:p w14:paraId="6FD05A79"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75.22</w:t>
            </w:r>
          </w:p>
        </w:tc>
        <w:tc>
          <w:tcPr>
            <w:tcW w:w="851" w:type="dxa"/>
            <w:vAlign w:val="center"/>
          </w:tcPr>
          <w:p w14:paraId="272BCCF8"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2.0</w:t>
            </w:r>
          </w:p>
        </w:tc>
        <w:tc>
          <w:tcPr>
            <w:tcW w:w="992" w:type="dxa"/>
            <w:vAlign w:val="center"/>
          </w:tcPr>
          <w:p w14:paraId="5663070E"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2801.09</w:t>
            </w:r>
          </w:p>
        </w:tc>
        <w:tc>
          <w:tcPr>
            <w:tcW w:w="992" w:type="dxa"/>
            <w:vAlign w:val="center"/>
          </w:tcPr>
          <w:p w14:paraId="3012906F"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73.3</w:t>
            </w:r>
          </w:p>
        </w:tc>
      </w:tr>
      <w:tr w:rsidR="00CE6AE7" w:rsidRPr="00CE6AE7" w14:paraId="124A3274" w14:textId="77777777" w:rsidTr="00D2313E">
        <w:trPr>
          <w:trHeight w:val="20"/>
        </w:trPr>
        <w:tc>
          <w:tcPr>
            <w:tcW w:w="709" w:type="dxa"/>
            <w:vAlign w:val="center"/>
          </w:tcPr>
          <w:p w14:paraId="36148FF3" w14:textId="77777777" w:rsidR="00CF233F" w:rsidRPr="00CE6AE7" w:rsidRDefault="00CF233F" w:rsidP="00D2313E">
            <w:pPr>
              <w:kinsoku w:val="0"/>
              <w:spacing w:line="260" w:lineRule="exact"/>
              <w:jc w:val="center"/>
              <w:rPr>
                <w:rFonts w:ascii="Times New Roman"/>
                <w:sz w:val="24"/>
                <w:szCs w:val="24"/>
              </w:rPr>
            </w:pPr>
            <w:r w:rsidRPr="00CE6AE7">
              <w:rPr>
                <w:rFonts w:ascii="Times New Roman"/>
                <w:sz w:val="24"/>
                <w:szCs w:val="24"/>
              </w:rPr>
              <w:t>93</w:t>
            </w:r>
          </w:p>
        </w:tc>
        <w:tc>
          <w:tcPr>
            <w:tcW w:w="1254" w:type="dxa"/>
            <w:vAlign w:val="center"/>
          </w:tcPr>
          <w:p w14:paraId="4DE33B50"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4,369.32</w:t>
            </w:r>
          </w:p>
        </w:tc>
        <w:tc>
          <w:tcPr>
            <w:tcW w:w="1014" w:type="dxa"/>
            <w:vAlign w:val="center"/>
          </w:tcPr>
          <w:p w14:paraId="21674455"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1,092.02</w:t>
            </w:r>
          </w:p>
        </w:tc>
        <w:tc>
          <w:tcPr>
            <w:tcW w:w="850" w:type="dxa"/>
            <w:vAlign w:val="center"/>
          </w:tcPr>
          <w:p w14:paraId="11B5234F"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25.0</w:t>
            </w:r>
          </w:p>
        </w:tc>
        <w:tc>
          <w:tcPr>
            <w:tcW w:w="709" w:type="dxa"/>
            <w:vAlign w:val="center"/>
          </w:tcPr>
          <w:p w14:paraId="6D184A8A"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90.44</w:t>
            </w:r>
          </w:p>
        </w:tc>
        <w:tc>
          <w:tcPr>
            <w:tcW w:w="851" w:type="dxa"/>
            <w:vAlign w:val="center"/>
          </w:tcPr>
          <w:p w14:paraId="57F07CDA"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2.1</w:t>
            </w:r>
          </w:p>
        </w:tc>
        <w:tc>
          <w:tcPr>
            <w:tcW w:w="992" w:type="dxa"/>
            <w:vAlign w:val="center"/>
          </w:tcPr>
          <w:p w14:paraId="3FF2A69D"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3186.86</w:t>
            </w:r>
          </w:p>
        </w:tc>
        <w:tc>
          <w:tcPr>
            <w:tcW w:w="992" w:type="dxa"/>
            <w:vAlign w:val="center"/>
          </w:tcPr>
          <w:p w14:paraId="5AEEB2B2"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72.9</w:t>
            </w:r>
          </w:p>
        </w:tc>
      </w:tr>
      <w:tr w:rsidR="00CE6AE7" w:rsidRPr="00CE6AE7" w14:paraId="7CC26005" w14:textId="77777777" w:rsidTr="00D2313E">
        <w:trPr>
          <w:trHeight w:val="20"/>
        </w:trPr>
        <w:tc>
          <w:tcPr>
            <w:tcW w:w="709" w:type="dxa"/>
            <w:vAlign w:val="center"/>
          </w:tcPr>
          <w:p w14:paraId="437E532C" w14:textId="77777777" w:rsidR="00CF233F" w:rsidRPr="00CE6AE7" w:rsidRDefault="00CF233F" w:rsidP="00D2313E">
            <w:pPr>
              <w:kinsoku w:val="0"/>
              <w:spacing w:line="260" w:lineRule="exact"/>
              <w:jc w:val="center"/>
              <w:rPr>
                <w:rFonts w:ascii="Times New Roman"/>
                <w:sz w:val="24"/>
                <w:szCs w:val="24"/>
              </w:rPr>
            </w:pPr>
            <w:r w:rsidRPr="00CE6AE7">
              <w:rPr>
                <w:rFonts w:ascii="Times New Roman"/>
                <w:sz w:val="24"/>
                <w:szCs w:val="24"/>
              </w:rPr>
              <w:t>94</w:t>
            </w:r>
          </w:p>
        </w:tc>
        <w:tc>
          <w:tcPr>
            <w:tcW w:w="1254" w:type="dxa"/>
            <w:vAlign w:val="center"/>
          </w:tcPr>
          <w:p w14:paraId="6049A051"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4,503.53</w:t>
            </w:r>
          </w:p>
        </w:tc>
        <w:tc>
          <w:tcPr>
            <w:tcW w:w="1014" w:type="dxa"/>
            <w:vAlign w:val="center"/>
          </w:tcPr>
          <w:p w14:paraId="03981B65"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1,119.68</w:t>
            </w:r>
          </w:p>
        </w:tc>
        <w:tc>
          <w:tcPr>
            <w:tcW w:w="850" w:type="dxa"/>
            <w:vAlign w:val="center"/>
          </w:tcPr>
          <w:p w14:paraId="7D5FAE9B"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24.9</w:t>
            </w:r>
          </w:p>
        </w:tc>
        <w:tc>
          <w:tcPr>
            <w:tcW w:w="709" w:type="dxa"/>
            <w:vAlign w:val="center"/>
          </w:tcPr>
          <w:p w14:paraId="5ABA63FF"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96.46</w:t>
            </w:r>
          </w:p>
        </w:tc>
        <w:tc>
          <w:tcPr>
            <w:tcW w:w="851" w:type="dxa"/>
            <w:vAlign w:val="center"/>
          </w:tcPr>
          <w:p w14:paraId="3B9B18DC"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2.1</w:t>
            </w:r>
          </w:p>
        </w:tc>
        <w:tc>
          <w:tcPr>
            <w:tcW w:w="992" w:type="dxa"/>
            <w:vAlign w:val="center"/>
          </w:tcPr>
          <w:p w14:paraId="481586FD"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3287.39</w:t>
            </w:r>
          </w:p>
        </w:tc>
        <w:tc>
          <w:tcPr>
            <w:tcW w:w="992" w:type="dxa"/>
            <w:vAlign w:val="center"/>
          </w:tcPr>
          <w:p w14:paraId="7CE8744B"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73</w:t>
            </w:r>
          </w:p>
        </w:tc>
      </w:tr>
      <w:tr w:rsidR="00CE6AE7" w:rsidRPr="00CE6AE7" w14:paraId="05DA718A" w14:textId="77777777" w:rsidTr="00D2313E">
        <w:trPr>
          <w:trHeight w:val="20"/>
        </w:trPr>
        <w:tc>
          <w:tcPr>
            <w:tcW w:w="709" w:type="dxa"/>
            <w:vAlign w:val="center"/>
          </w:tcPr>
          <w:p w14:paraId="47EAACE8" w14:textId="77777777" w:rsidR="00CF233F" w:rsidRPr="00CE6AE7" w:rsidRDefault="00CF233F" w:rsidP="00D2313E">
            <w:pPr>
              <w:kinsoku w:val="0"/>
              <w:spacing w:line="260" w:lineRule="exact"/>
              <w:jc w:val="center"/>
              <w:rPr>
                <w:rFonts w:ascii="Times New Roman"/>
                <w:sz w:val="24"/>
                <w:szCs w:val="24"/>
              </w:rPr>
            </w:pPr>
            <w:r w:rsidRPr="00CE6AE7">
              <w:rPr>
                <w:rFonts w:ascii="Times New Roman"/>
                <w:sz w:val="24"/>
                <w:szCs w:val="24"/>
              </w:rPr>
              <w:t>95</w:t>
            </w:r>
          </w:p>
        </w:tc>
        <w:tc>
          <w:tcPr>
            <w:tcW w:w="1254" w:type="dxa"/>
            <w:vAlign w:val="center"/>
          </w:tcPr>
          <w:p w14:paraId="10F81B53"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4,510.76</w:t>
            </w:r>
          </w:p>
        </w:tc>
        <w:tc>
          <w:tcPr>
            <w:tcW w:w="1014" w:type="dxa"/>
            <w:tcBorders>
              <w:bottom w:val="single" w:sz="4" w:space="0" w:color="auto"/>
            </w:tcBorders>
            <w:vAlign w:val="center"/>
          </w:tcPr>
          <w:p w14:paraId="193CE6DE"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1,129.18</w:t>
            </w:r>
          </w:p>
        </w:tc>
        <w:tc>
          <w:tcPr>
            <w:tcW w:w="850" w:type="dxa"/>
            <w:tcBorders>
              <w:bottom w:val="single" w:sz="4" w:space="0" w:color="auto"/>
            </w:tcBorders>
            <w:vAlign w:val="center"/>
          </w:tcPr>
          <w:p w14:paraId="50719077"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25.0</w:t>
            </w:r>
          </w:p>
        </w:tc>
        <w:tc>
          <w:tcPr>
            <w:tcW w:w="709" w:type="dxa"/>
            <w:tcBorders>
              <w:bottom w:val="single" w:sz="4" w:space="0" w:color="auto"/>
            </w:tcBorders>
            <w:vAlign w:val="center"/>
          </w:tcPr>
          <w:p w14:paraId="2FBFF974"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99.33</w:t>
            </w:r>
          </w:p>
        </w:tc>
        <w:tc>
          <w:tcPr>
            <w:tcW w:w="851" w:type="dxa"/>
            <w:tcBorders>
              <w:bottom w:val="single" w:sz="4" w:space="0" w:color="auto"/>
            </w:tcBorders>
            <w:vAlign w:val="center"/>
          </w:tcPr>
          <w:p w14:paraId="72D190E8"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2.2</w:t>
            </w:r>
          </w:p>
        </w:tc>
        <w:tc>
          <w:tcPr>
            <w:tcW w:w="992" w:type="dxa"/>
            <w:vAlign w:val="center"/>
          </w:tcPr>
          <w:p w14:paraId="6CB11634"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3282.25</w:t>
            </w:r>
          </w:p>
        </w:tc>
        <w:tc>
          <w:tcPr>
            <w:tcW w:w="992" w:type="dxa"/>
            <w:vAlign w:val="center"/>
          </w:tcPr>
          <w:p w14:paraId="60ADC7E4"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72.8</w:t>
            </w:r>
          </w:p>
        </w:tc>
      </w:tr>
      <w:tr w:rsidR="00CE6AE7" w:rsidRPr="00CE6AE7" w14:paraId="2EF0347E" w14:textId="77777777" w:rsidTr="00D2313E">
        <w:trPr>
          <w:trHeight w:val="20"/>
        </w:trPr>
        <w:tc>
          <w:tcPr>
            <w:tcW w:w="709" w:type="dxa"/>
            <w:vAlign w:val="center"/>
          </w:tcPr>
          <w:p w14:paraId="28426A57" w14:textId="77777777" w:rsidR="00CF233F" w:rsidRPr="00CE6AE7" w:rsidRDefault="00CF233F" w:rsidP="00D2313E">
            <w:pPr>
              <w:kinsoku w:val="0"/>
              <w:spacing w:line="260" w:lineRule="exact"/>
              <w:jc w:val="center"/>
              <w:rPr>
                <w:rFonts w:ascii="Times New Roman"/>
                <w:sz w:val="24"/>
                <w:szCs w:val="24"/>
              </w:rPr>
            </w:pPr>
            <w:r w:rsidRPr="00CE6AE7">
              <w:rPr>
                <w:rFonts w:ascii="Times New Roman"/>
                <w:sz w:val="24"/>
                <w:szCs w:val="24"/>
              </w:rPr>
              <w:t>96</w:t>
            </w:r>
          </w:p>
        </w:tc>
        <w:tc>
          <w:tcPr>
            <w:tcW w:w="1254" w:type="dxa"/>
            <w:vAlign w:val="center"/>
          </w:tcPr>
          <w:p w14:paraId="16F64FB8"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4,667.67</w:t>
            </w:r>
          </w:p>
        </w:tc>
        <w:tc>
          <w:tcPr>
            <w:tcW w:w="1014" w:type="dxa"/>
            <w:tcBorders>
              <w:top w:val="single" w:sz="4" w:space="0" w:color="auto"/>
              <w:left w:val="nil"/>
              <w:bottom w:val="single" w:sz="4" w:space="0" w:color="auto"/>
              <w:right w:val="single" w:sz="4" w:space="0" w:color="auto"/>
            </w:tcBorders>
            <w:vAlign w:val="center"/>
          </w:tcPr>
          <w:p w14:paraId="025CFD98"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1,155.50</w:t>
            </w:r>
          </w:p>
        </w:tc>
        <w:tc>
          <w:tcPr>
            <w:tcW w:w="850" w:type="dxa"/>
            <w:tcBorders>
              <w:top w:val="single" w:sz="4" w:space="0" w:color="auto"/>
              <w:left w:val="single" w:sz="4" w:space="0" w:color="auto"/>
              <w:bottom w:val="single" w:sz="4" w:space="0" w:color="auto"/>
              <w:right w:val="nil"/>
            </w:tcBorders>
            <w:vAlign w:val="center"/>
          </w:tcPr>
          <w:p w14:paraId="44796917"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24.8</w:t>
            </w:r>
          </w:p>
        </w:tc>
        <w:tc>
          <w:tcPr>
            <w:tcW w:w="709" w:type="dxa"/>
            <w:tcBorders>
              <w:top w:val="single" w:sz="4" w:space="0" w:color="auto"/>
              <w:bottom w:val="single" w:sz="4" w:space="0" w:color="auto"/>
            </w:tcBorders>
            <w:vAlign w:val="center"/>
          </w:tcPr>
          <w:p w14:paraId="00C16C08"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108.81</w:t>
            </w:r>
          </w:p>
        </w:tc>
        <w:tc>
          <w:tcPr>
            <w:tcW w:w="851" w:type="dxa"/>
            <w:tcBorders>
              <w:top w:val="single" w:sz="4" w:space="0" w:color="auto"/>
              <w:bottom w:val="single" w:sz="4" w:space="0" w:color="auto"/>
            </w:tcBorders>
            <w:vAlign w:val="center"/>
          </w:tcPr>
          <w:p w14:paraId="175A1CC4"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2.3</w:t>
            </w:r>
          </w:p>
        </w:tc>
        <w:tc>
          <w:tcPr>
            <w:tcW w:w="992" w:type="dxa"/>
            <w:vAlign w:val="center"/>
          </w:tcPr>
          <w:p w14:paraId="770E44F9"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3403.36</w:t>
            </w:r>
          </w:p>
        </w:tc>
        <w:tc>
          <w:tcPr>
            <w:tcW w:w="992" w:type="dxa"/>
            <w:vAlign w:val="center"/>
          </w:tcPr>
          <w:p w14:paraId="7978EB85"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72.9</w:t>
            </w:r>
          </w:p>
        </w:tc>
      </w:tr>
      <w:tr w:rsidR="00CE6AE7" w:rsidRPr="00CE6AE7" w14:paraId="2C8D2593" w14:textId="77777777" w:rsidTr="00D2313E">
        <w:trPr>
          <w:trHeight w:val="20"/>
        </w:trPr>
        <w:tc>
          <w:tcPr>
            <w:tcW w:w="709" w:type="dxa"/>
            <w:vAlign w:val="center"/>
          </w:tcPr>
          <w:p w14:paraId="501AA442" w14:textId="77777777" w:rsidR="00CF233F" w:rsidRPr="00CE6AE7" w:rsidRDefault="00CF233F" w:rsidP="00D2313E">
            <w:pPr>
              <w:kinsoku w:val="0"/>
              <w:spacing w:line="260" w:lineRule="exact"/>
              <w:jc w:val="center"/>
              <w:rPr>
                <w:rFonts w:ascii="Times New Roman"/>
                <w:sz w:val="24"/>
                <w:szCs w:val="24"/>
              </w:rPr>
            </w:pPr>
            <w:r w:rsidRPr="00CE6AE7">
              <w:rPr>
                <w:rFonts w:ascii="Times New Roman"/>
                <w:sz w:val="24"/>
                <w:szCs w:val="24"/>
              </w:rPr>
              <w:t>97</w:t>
            </w:r>
          </w:p>
        </w:tc>
        <w:tc>
          <w:tcPr>
            <w:tcW w:w="1254" w:type="dxa"/>
            <w:vAlign w:val="center"/>
          </w:tcPr>
          <w:p w14:paraId="291C53B1"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4,897.11</w:t>
            </w:r>
          </w:p>
        </w:tc>
        <w:tc>
          <w:tcPr>
            <w:tcW w:w="1014" w:type="dxa"/>
            <w:tcBorders>
              <w:top w:val="single" w:sz="4" w:space="0" w:color="auto"/>
              <w:left w:val="nil"/>
              <w:bottom w:val="single" w:sz="4" w:space="0" w:color="auto"/>
              <w:right w:val="single" w:sz="4" w:space="0" w:color="auto"/>
            </w:tcBorders>
            <w:vAlign w:val="center"/>
          </w:tcPr>
          <w:p w14:paraId="3EC36D5D"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1,235.08</w:t>
            </w:r>
          </w:p>
        </w:tc>
        <w:tc>
          <w:tcPr>
            <w:tcW w:w="850" w:type="dxa"/>
            <w:tcBorders>
              <w:top w:val="single" w:sz="4" w:space="0" w:color="auto"/>
              <w:left w:val="single" w:sz="4" w:space="0" w:color="auto"/>
              <w:bottom w:val="single" w:sz="4" w:space="0" w:color="auto"/>
              <w:right w:val="nil"/>
            </w:tcBorders>
            <w:vAlign w:val="center"/>
          </w:tcPr>
          <w:p w14:paraId="6A476E3C"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25.2</w:t>
            </w:r>
          </w:p>
        </w:tc>
        <w:tc>
          <w:tcPr>
            <w:tcW w:w="709" w:type="dxa"/>
            <w:tcBorders>
              <w:top w:val="single" w:sz="4" w:space="0" w:color="auto"/>
              <w:bottom w:val="single" w:sz="4" w:space="0" w:color="auto"/>
            </w:tcBorders>
            <w:vAlign w:val="center"/>
          </w:tcPr>
          <w:p w14:paraId="515CF1C0"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119.44</w:t>
            </w:r>
          </w:p>
        </w:tc>
        <w:tc>
          <w:tcPr>
            <w:tcW w:w="851" w:type="dxa"/>
            <w:tcBorders>
              <w:top w:val="single" w:sz="4" w:space="0" w:color="auto"/>
              <w:bottom w:val="single" w:sz="4" w:space="0" w:color="auto"/>
            </w:tcBorders>
            <w:vAlign w:val="center"/>
          </w:tcPr>
          <w:p w14:paraId="75B3398C"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2.4</w:t>
            </w:r>
          </w:p>
        </w:tc>
        <w:tc>
          <w:tcPr>
            <w:tcW w:w="992" w:type="dxa"/>
            <w:vAlign w:val="center"/>
          </w:tcPr>
          <w:p w14:paraId="77B3B827"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3542.59</w:t>
            </w:r>
          </w:p>
        </w:tc>
        <w:tc>
          <w:tcPr>
            <w:tcW w:w="992" w:type="dxa"/>
            <w:vAlign w:val="center"/>
          </w:tcPr>
          <w:p w14:paraId="44AC9998"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72.4</w:t>
            </w:r>
          </w:p>
        </w:tc>
      </w:tr>
      <w:tr w:rsidR="00CE6AE7" w:rsidRPr="00CE6AE7" w14:paraId="31CCC0C8" w14:textId="77777777" w:rsidTr="00D2313E">
        <w:trPr>
          <w:trHeight w:val="20"/>
        </w:trPr>
        <w:tc>
          <w:tcPr>
            <w:tcW w:w="709" w:type="dxa"/>
            <w:vAlign w:val="center"/>
          </w:tcPr>
          <w:p w14:paraId="3DE74B93" w14:textId="77777777" w:rsidR="00CF233F" w:rsidRPr="00CE6AE7" w:rsidRDefault="00CF233F" w:rsidP="00D2313E">
            <w:pPr>
              <w:kinsoku w:val="0"/>
              <w:spacing w:line="260" w:lineRule="exact"/>
              <w:jc w:val="center"/>
              <w:rPr>
                <w:rFonts w:ascii="Times New Roman"/>
                <w:sz w:val="24"/>
                <w:szCs w:val="24"/>
              </w:rPr>
            </w:pPr>
            <w:r w:rsidRPr="00CE6AE7">
              <w:rPr>
                <w:rFonts w:ascii="Times New Roman"/>
                <w:sz w:val="24"/>
                <w:szCs w:val="24"/>
              </w:rPr>
              <w:t>98</w:t>
            </w:r>
          </w:p>
        </w:tc>
        <w:tc>
          <w:tcPr>
            <w:tcW w:w="1254" w:type="dxa"/>
            <w:vAlign w:val="center"/>
          </w:tcPr>
          <w:p w14:paraId="6D4B11B4"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5,127.11</w:t>
            </w:r>
          </w:p>
        </w:tc>
        <w:tc>
          <w:tcPr>
            <w:tcW w:w="1014" w:type="dxa"/>
            <w:vAlign w:val="center"/>
          </w:tcPr>
          <w:p w14:paraId="73F31548"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1,300.37</w:t>
            </w:r>
          </w:p>
        </w:tc>
        <w:tc>
          <w:tcPr>
            <w:tcW w:w="850" w:type="dxa"/>
            <w:vAlign w:val="center"/>
          </w:tcPr>
          <w:p w14:paraId="4F8464C4"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25.4</w:t>
            </w:r>
          </w:p>
        </w:tc>
        <w:tc>
          <w:tcPr>
            <w:tcW w:w="709" w:type="dxa"/>
            <w:vAlign w:val="center"/>
          </w:tcPr>
          <w:p w14:paraId="251A858D"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124.17</w:t>
            </w:r>
          </w:p>
        </w:tc>
        <w:tc>
          <w:tcPr>
            <w:tcW w:w="851" w:type="dxa"/>
            <w:vAlign w:val="center"/>
          </w:tcPr>
          <w:p w14:paraId="05823D9B"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2.4</w:t>
            </w:r>
          </w:p>
        </w:tc>
        <w:tc>
          <w:tcPr>
            <w:tcW w:w="992" w:type="dxa"/>
            <w:vAlign w:val="center"/>
          </w:tcPr>
          <w:p w14:paraId="70820C71"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3702.57</w:t>
            </w:r>
          </w:p>
        </w:tc>
        <w:tc>
          <w:tcPr>
            <w:tcW w:w="992" w:type="dxa"/>
            <w:vAlign w:val="center"/>
          </w:tcPr>
          <w:p w14:paraId="4824408A"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72.2</w:t>
            </w:r>
          </w:p>
        </w:tc>
      </w:tr>
      <w:tr w:rsidR="00CE6AE7" w:rsidRPr="00CE6AE7" w14:paraId="26DE239F" w14:textId="77777777" w:rsidTr="00D2313E">
        <w:trPr>
          <w:trHeight w:val="20"/>
        </w:trPr>
        <w:tc>
          <w:tcPr>
            <w:tcW w:w="709" w:type="dxa"/>
            <w:vAlign w:val="center"/>
          </w:tcPr>
          <w:p w14:paraId="170C798C" w14:textId="77777777" w:rsidR="00CF233F" w:rsidRPr="00CE6AE7" w:rsidRDefault="00CF233F" w:rsidP="00D2313E">
            <w:pPr>
              <w:kinsoku w:val="0"/>
              <w:spacing w:line="260" w:lineRule="exact"/>
              <w:jc w:val="center"/>
              <w:rPr>
                <w:rFonts w:ascii="Times New Roman"/>
                <w:sz w:val="24"/>
                <w:szCs w:val="24"/>
              </w:rPr>
            </w:pPr>
            <w:r w:rsidRPr="00CE6AE7">
              <w:rPr>
                <w:rFonts w:ascii="Times New Roman"/>
                <w:sz w:val="24"/>
                <w:szCs w:val="24"/>
              </w:rPr>
              <w:t>99</w:t>
            </w:r>
          </w:p>
        </w:tc>
        <w:tc>
          <w:tcPr>
            <w:tcW w:w="1254" w:type="dxa"/>
            <w:vAlign w:val="center"/>
          </w:tcPr>
          <w:p w14:paraId="549FAEE0"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5,257.63</w:t>
            </w:r>
          </w:p>
        </w:tc>
        <w:tc>
          <w:tcPr>
            <w:tcW w:w="1014" w:type="dxa"/>
            <w:vAlign w:val="center"/>
          </w:tcPr>
          <w:p w14:paraId="0D049800"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1,311.09</w:t>
            </w:r>
          </w:p>
        </w:tc>
        <w:tc>
          <w:tcPr>
            <w:tcW w:w="850" w:type="dxa"/>
            <w:vAlign w:val="center"/>
          </w:tcPr>
          <w:p w14:paraId="0447FC90"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24.9</w:t>
            </w:r>
          </w:p>
        </w:tc>
        <w:tc>
          <w:tcPr>
            <w:tcW w:w="709" w:type="dxa"/>
            <w:vAlign w:val="center"/>
          </w:tcPr>
          <w:p w14:paraId="58B0DB81"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130.19</w:t>
            </w:r>
          </w:p>
        </w:tc>
        <w:tc>
          <w:tcPr>
            <w:tcW w:w="851" w:type="dxa"/>
            <w:vAlign w:val="center"/>
          </w:tcPr>
          <w:p w14:paraId="13E1D0BD"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2.5</w:t>
            </w:r>
          </w:p>
        </w:tc>
        <w:tc>
          <w:tcPr>
            <w:tcW w:w="992" w:type="dxa"/>
            <w:vAlign w:val="center"/>
          </w:tcPr>
          <w:p w14:paraId="59119336"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3816.35</w:t>
            </w:r>
          </w:p>
        </w:tc>
        <w:tc>
          <w:tcPr>
            <w:tcW w:w="992" w:type="dxa"/>
            <w:vAlign w:val="center"/>
          </w:tcPr>
          <w:p w14:paraId="1249736F"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72.6</w:t>
            </w:r>
          </w:p>
        </w:tc>
      </w:tr>
      <w:tr w:rsidR="00CE6AE7" w:rsidRPr="00CE6AE7" w14:paraId="445CE31D" w14:textId="77777777" w:rsidTr="00D2313E">
        <w:trPr>
          <w:trHeight w:val="20"/>
        </w:trPr>
        <w:tc>
          <w:tcPr>
            <w:tcW w:w="709" w:type="dxa"/>
            <w:vAlign w:val="center"/>
          </w:tcPr>
          <w:p w14:paraId="33094A61" w14:textId="77777777" w:rsidR="00CF233F" w:rsidRPr="00CE6AE7" w:rsidRDefault="00CF233F" w:rsidP="00D2313E">
            <w:pPr>
              <w:kinsoku w:val="0"/>
              <w:spacing w:line="260" w:lineRule="exact"/>
              <w:jc w:val="center"/>
              <w:rPr>
                <w:rFonts w:ascii="Times New Roman"/>
                <w:sz w:val="24"/>
                <w:szCs w:val="24"/>
              </w:rPr>
            </w:pPr>
            <w:r w:rsidRPr="00CE6AE7">
              <w:rPr>
                <w:rFonts w:ascii="Times New Roman"/>
                <w:sz w:val="24"/>
                <w:szCs w:val="24"/>
              </w:rPr>
              <w:lastRenderedPageBreak/>
              <w:t>100</w:t>
            </w:r>
          </w:p>
        </w:tc>
        <w:tc>
          <w:tcPr>
            <w:tcW w:w="1254" w:type="dxa"/>
            <w:vAlign w:val="center"/>
          </w:tcPr>
          <w:p w14:paraId="067726E3"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5,518.59</w:t>
            </w:r>
          </w:p>
        </w:tc>
        <w:tc>
          <w:tcPr>
            <w:tcW w:w="1014" w:type="dxa"/>
            <w:vAlign w:val="center"/>
          </w:tcPr>
          <w:p w14:paraId="241B760F"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1,422.25</w:t>
            </w:r>
          </w:p>
        </w:tc>
        <w:tc>
          <w:tcPr>
            <w:tcW w:w="850" w:type="dxa"/>
            <w:vAlign w:val="center"/>
          </w:tcPr>
          <w:p w14:paraId="4C8CDBA4"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25.8</w:t>
            </w:r>
          </w:p>
        </w:tc>
        <w:tc>
          <w:tcPr>
            <w:tcW w:w="709" w:type="dxa"/>
            <w:vAlign w:val="center"/>
          </w:tcPr>
          <w:p w14:paraId="52D2F346"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139.36</w:t>
            </w:r>
          </w:p>
        </w:tc>
        <w:tc>
          <w:tcPr>
            <w:tcW w:w="851" w:type="dxa"/>
            <w:vAlign w:val="center"/>
          </w:tcPr>
          <w:p w14:paraId="01CBB653"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2.5</w:t>
            </w:r>
          </w:p>
        </w:tc>
        <w:tc>
          <w:tcPr>
            <w:tcW w:w="992" w:type="dxa"/>
            <w:vAlign w:val="center"/>
          </w:tcPr>
          <w:p w14:paraId="7F1E4539"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3956.98</w:t>
            </w:r>
          </w:p>
        </w:tc>
        <w:tc>
          <w:tcPr>
            <w:tcW w:w="992" w:type="dxa"/>
            <w:vAlign w:val="center"/>
          </w:tcPr>
          <w:p w14:paraId="475288F4"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71.7</w:t>
            </w:r>
          </w:p>
        </w:tc>
      </w:tr>
      <w:tr w:rsidR="00CE6AE7" w:rsidRPr="00CE6AE7" w14:paraId="0F8E7447" w14:textId="77777777" w:rsidTr="00D2313E">
        <w:trPr>
          <w:trHeight w:val="20"/>
        </w:trPr>
        <w:tc>
          <w:tcPr>
            <w:tcW w:w="709" w:type="dxa"/>
            <w:vAlign w:val="center"/>
          </w:tcPr>
          <w:p w14:paraId="3A81ADA5" w14:textId="77777777" w:rsidR="00CF233F" w:rsidRPr="00CE6AE7" w:rsidRDefault="00CF233F" w:rsidP="00D2313E">
            <w:pPr>
              <w:kinsoku w:val="0"/>
              <w:spacing w:line="260" w:lineRule="exact"/>
              <w:jc w:val="center"/>
              <w:rPr>
                <w:rFonts w:ascii="Times New Roman"/>
                <w:sz w:val="24"/>
                <w:szCs w:val="24"/>
              </w:rPr>
            </w:pPr>
            <w:r w:rsidRPr="00CE6AE7">
              <w:rPr>
                <w:rFonts w:ascii="Times New Roman"/>
                <w:sz w:val="24"/>
                <w:szCs w:val="24"/>
              </w:rPr>
              <w:t>101</w:t>
            </w:r>
          </w:p>
        </w:tc>
        <w:tc>
          <w:tcPr>
            <w:tcW w:w="1254" w:type="dxa"/>
            <w:vAlign w:val="center"/>
          </w:tcPr>
          <w:p w14:paraId="1BEF722E"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5,652.35</w:t>
            </w:r>
          </w:p>
        </w:tc>
        <w:tc>
          <w:tcPr>
            <w:tcW w:w="1014" w:type="dxa"/>
            <w:tcBorders>
              <w:top w:val="single" w:sz="4" w:space="0" w:color="auto"/>
              <w:left w:val="nil"/>
              <w:bottom w:val="single" w:sz="4" w:space="0" w:color="auto"/>
              <w:right w:val="single" w:sz="4" w:space="0" w:color="auto"/>
            </w:tcBorders>
            <w:vAlign w:val="center"/>
          </w:tcPr>
          <w:p w14:paraId="4BFBFD04"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1,418.30</w:t>
            </w:r>
          </w:p>
        </w:tc>
        <w:tc>
          <w:tcPr>
            <w:tcW w:w="850" w:type="dxa"/>
            <w:tcBorders>
              <w:top w:val="single" w:sz="4" w:space="0" w:color="auto"/>
              <w:left w:val="single" w:sz="4" w:space="0" w:color="auto"/>
              <w:bottom w:val="single" w:sz="4" w:space="0" w:color="auto"/>
              <w:right w:val="single" w:sz="4" w:space="0" w:color="auto"/>
            </w:tcBorders>
            <w:vAlign w:val="center"/>
          </w:tcPr>
          <w:p w14:paraId="1D266609"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25.1</w:t>
            </w:r>
          </w:p>
        </w:tc>
        <w:tc>
          <w:tcPr>
            <w:tcW w:w="709" w:type="dxa"/>
            <w:tcBorders>
              <w:top w:val="single" w:sz="4" w:space="0" w:color="auto"/>
              <w:left w:val="single" w:sz="4" w:space="0" w:color="auto"/>
              <w:bottom w:val="single" w:sz="4" w:space="0" w:color="auto"/>
              <w:right w:val="single" w:sz="4" w:space="0" w:color="auto"/>
            </w:tcBorders>
            <w:vAlign w:val="center"/>
          </w:tcPr>
          <w:p w14:paraId="65252A1B"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162.74</w:t>
            </w:r>
          </w:p>
        </w:tc>
        <w:tc>
          <w:tcPr>
            <w:tcW w:w="851" w:type="dxa"/>
            <w:tcBorders>
              <w:top w:val="single" w:sz="4" w:space="0" w:color="auto"/>
              <w:left w:val="single" w:sz="4" w:space="0" w:color="auto"/>
              <w:bottom w:val="single" w:sz="4" w:space="0" w:color="auto"/>
            </w:tcBorders>
            <w:vAlign w:val="center"/>
          </w:tcPr>
          <w:p w14:paraId="5DCD288C"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2.9</w:t>
            </w:r>
          </w:p>
        </w:tc>
        <w:tc>
          <w:tcPr>
            <w:tcW w:w="992" w:type="dxa"/>
            <w:vAlign w:val="center"/>
          </w:tcPr>
          <w:p w14:paraId="22995B6D"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4071.31</w:t>
            </w:r>
          </w:p>
        </w:tc>
        <w:tc>
          <w:tcPr>
            <w:tcW w:w="992" w:type="dxa"/>
            <w:vAlign w:val="center"/>
          </w:tcPr>
          <w:p w14:paraId="705532E5"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72</w:t>
            </w:r>
          </w:p>
        </w:tc>
      </w:tr>
      <w:tr w:rsidR="00CE6AE7" w:rsidRPr="00CE6AE7" w14:paraId="677AABD3" w14:textId="77777777" w:rsidTr="00D2313E">
        <w:trPr>
          <w:trHeight w:val="20"/>
        </w:trPr>
        <w:tc>
          <w:tcPr>
            <w:tcW w:w="709" w:type="dxa"/>
            <w:vAlign w:val="center"/>
          </w:tcPr>
          <w:p w14:paraId="670F8FA6" w14:textId="77777777" w:rsidR="00CF233F" w:rsidRPr="00CE6AE7" w:rsidRDefault="00CF233F" w:rsidP="00D2313E">
            <w:pPr>
              <w:kinsoku w:val="0"/>
              <w:spacing w:line="260" w:lineRule="exact"/>
              <w:jc w:val="center"/>
              <w:rPr>
                <w:rFonts w:ascii="Times New Roman"/>
                <w:sz w:val="24"/>
                <w:szCs w:val="24"/>
              </w:rPr>
            </w:pPr>
            <w:r w:rsidRPr="00CE6AE7">
              <w:rPr>
                <w:rFonts w:ascii="Times New Roman"/>
                <w:sz w:val="24"/>
                <w:szCs w:val="24"/>
              </w:rPr>
              <w:t>102</w:t>
            </w:r>
          </w:p>
        </w:tc>
        <w:tc>
          <w:tcPr>
            <w:tcW w:w="1254" w:type="dxa"/>
            <w:vAlign w:val="center"/>
          </w:tcPr>
          <w:p w14:paraId="5B06B48F"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5,892.69</w:t>
            </w:r>
          </w:p>
        </w:tc>
        <w:tc>
          <w:tcPr>
            <w:tcW w:w="1014" w:type="dxa"/>
            <w:tcBorders>
              <w:top w:val="single" w:sz="4" w:space="0" w:color="auto"/>
              <w:left w:val="nil"/>
              <w:bottom w:val="single" w:sz="4" w:space="0" w:color="auto"/>
              <w:right w:val="single" w:sz="4" w:space="0" w:color="auto"/>
            </w:tcBorders>
            <w:vAlign w:val="center"/>
          </w:tcPr>
          <w:p w14:paraId="2B49C950"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1,539.56</w:t>
            </w:r>
          </w:p>
        </w:tc>
        <w:tc>
          <w:tcPr>
            <w:tcW w:w="850" w:type="dxa"/>
            <w:tcBorders>
              <w:top w:val="single" w:sz="4" w:space="0" w:color="auto"/>
              <w:left w:val="single" w:sz="4" w:space="0" w:color="auto"/>
              <w:bottom w:val="single" w:sz="4" w:space="0" w:color="auto"/>
              <w:right w:val="single" w:sz="4" w:space="0" w:color="auto"/>
            </w:tcBorders>
            <w:vAlign w:val="center"/>
          </w:tcPr>
          <w:p w14:paraId="48BCC31A"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26.1</w:t>
            </w:r>
          </w:p>
        </w:tc>
        <w:tc>
          <w:tcPr>
            <w:tcW w:w="709" w:type="dxa"/>
            <w:tcBorders>
              <w:top w:val="single" w:sz="4" w:space="0" w:color="auto"/>
              <w:left w:val="single" w:sz="4" w:space="0" w:color="auto"/>
              <w:bottom w:val="single" w:sz="4" w:space="0" w:color="auto"/>
              <w:right w:val="single" w:sz="4" w:space="0" w:color="auto"/>
            </w:tcBorders>
            <w:vAlign w:val="center"/>
          </w:tcPr>
          <w:p w14:paraId="0C958966"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192.58</w:t>
            </w:r>
          </w:p>
        </w:tc>
        <w:tc>
          <w:tcPr>
            <w:tcW w:w="851" w:type="dxa"/>
            <w:tcBorders>
              <w:top w:val="single" w:sz="4" w:space="0" w:color="auto"/>
              <w:left w:val="single" w:sz="4" w:space="0" w:color="auto"/>
              <w:bottom w:val="single" w:sz="4" w:space="0" w:color="auto"/>
            </w:tcBorders>
            <w:vAlign w:val="center"/>
          </w:tcPr>
          <w:p w14:paraId="5FC4D66F"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3.3</w:t>
            </w:r>
          </w:p>
        </w:tc>
        <w:tc>
          <w:tcPr>
            <w:tcW w:w="992" w:type="dxa"/>
            <w:vAlign w:val="center"/>
          </w:tcPr>
          <w:p w14:paraId="1D634C00"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4160.55</w:t>
            </w:r>
          </w:p>
        </w:tc>
        <w:tc>
          <w:tcPr>
            <w:tcW w:w="992" w:type="dxa"/>
            <w:vAlign w:val="center"/>
          </w:tcPr>
          <w:p w14:paraId="05675027"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70.6</w:t>
            </w:r>
          </w:p>
        </w:tc>
      </w:tr>
      <w:tr w:rsidR="00CE6AE7" w:rsidRPr="00CE6AE7" w14:paraId="4EDF7E15" w14:textId="77777777" w:rsidTr="00D2313E">
        <w:trPr>
          <w:trHeight w:val="20"/>
        </w:trPr>
        <w:tc>
          <w:tcPr>
            <w:tcW w:w="709" w:type="dxa"/>
            <w:vAlign w:val="center"/>
          </w:tcPr>
          <w:p w14:paraId="681EBEAD" w14:textId="77777777" w:rsidR="00CF233F" w:rsidRPr="00CE6AE7" w:rsidRDefault="00CF233F" w:rsidP="00D2313E">
            <w:pPr>
              <w:kinsoku w:val="0"/>
              <w:spacing w:line="260" w:lineRule="exact"/>
              <w:jc w:val="center"/>
              <w:rPr>
                <w:rFonts w:ascii="Times New Roman"/>
                <w:sz w:val="24"/>
                <w:szCs w:val="24"/>
              </w:rPr>
            </w:pPr>
            <w:r w:rsidRPr="00CE6AE7">
              <w:rPr>
                <w:rFonts w:ascii="Times New Roman"/>
                <w:sz w:val="24"/>
                <w:szCs w:val="24"/>
              </w:rPr>
              <w:t>103</w:t>
            </w:r>
          </w:p>
        </w:tc>
        <w:tc>
          <w:tcPr>
            <w:tcW w:w="1254" w:type="dxa"/>
            <w:vAlign w:val="center"/>
          </w:tcPr>
          <w:p w14:paraId="7E85EACE"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6,152.59</w:t>
            </w:r>
          </w:p>
        </w:tc>
        <w:tc>
          <w:tcPr>
            <w:tcW w:w="1014" w:type="dxa"/>
            <w:vAlign w:val="center"/>
          </w:tcPr>
          <w:p w14:paraId="728DD99E"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1,605.82</w:t>
            </w:r>
          </w:p>
        </w:tc>
        <w:tc>
          <w:tcPr>
            <w:tcW w:w="850" w:type="dxa"/>
            <w:vAlign w:val="center"/>
          </w:tcPr>
          <w:p w14:paraId="46E27B1C"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26.1</w:t>
            </w:r>
          </w:p>
        </w:tc>
        <w:tc>
          <w:tcPr>
            <w:tcW w:w="709" w:type="dxa"/>
            <w:vAlign w:val="center"/>
          </w:tcPr>
          <w:p w14:paraId="7999AC9F"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204.46</w:t>
            </w:r>
          </w:p>
        </w:tc>
        <w:tc>
          <w:tcPr>
            <w:tcW w:w="851" w:type="dxa"/>
            <w:vAlign w:val="center"/>
          </w:tcPr>
          <w:p w14:paraId="17804C98"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3.3</w:t>
            </w:r>
          </w:p>
        </w:tc>
        <w:tc>
          <w:tcPr>
            <w:tcW w:w="992" w:type="dxa"/>
            <w:vAlign w:val="center"/>
          </w:tcPr>
          <w:p w14:paraId="30072E60"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4342.31</w:t>
            </w:r>
          </w:p>
        </w:tc>
        <w:tc>
          <w:tcPr>
            <w:tcW w:w="992" w:type="dxa"/>
            <w:vAlign w:val="center"/>
          </w:tcPr>
          <w:p w14:paraId="1E8AD379"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70.6</w:t>
            </w:r>
          </w:p>
        </w:tc>
      </w:tr>
      <w:tr w:rsidR="00CE6AE7" w:rsidRPr="00CE6AE7" w14:paraId="561D517D" w14:textId="77777777" w:rsidTr="00D2313E">
        <w:trPr>
          <w:trHeight w:val="20"/>
        </w:trPr>
        <w:tc>
          <w:tcPr>
            <w:tcW w:w="709" w:type="dxa"/>
            <w:vAlign w:val="center"/>
          </w:tcPr>
          <w:p w14:paraId="6EF4BD26" w14:textId="77777777" w:rsidR="00CF233F" w:rsidRPr="00CE6AE7" w:rsidRDefault="00CF233F" w:rsidP="00D2313E">
            <w:pPr>
              <w:kinsoku w:val="0"/>
              <w:spacing w:line="260" w:lineRule="exact"/>
              <w:jc w:val="center"/>
              <w:rPr>
                <w:rFonts w:ascii="Times New Roman"/>
                <w:sz w:val="24"/>
                <w:szCs w:val="24"/>
              </w:rPr>
            </w:pPr>
            <w:r w:rsidRPr="00CE6AE7">
              <w:rPr>
                <w:rFonts w:ascii="Times New Roman"/>
                <w:sz w:val="24"/>
                <w:szCs w:val="24"/>
              </w:rPr>
              <w:t>104</w:t>
            </w:r>
          </w:p>
        </w:tc>
        <w:tc>
          <w:tcPr>
            <w:tcW w:w="1254" w:type="dxa"/>
            <w:vAlign w:val="center"/>
          </w:tcPr>
          <w:p w14:paraId="3E094C9F"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6,303.85</w:t>
            </w:r>
          </w:p>
        </w:tc>
        <w:tc>
          <w:tcPr>
            <w:tcW w:w="1014" w:type="dxa"/>
            <w:vAlign w:val="center"/>
          </w:tcPr>
          <w:p w14:paraId="05CD464F"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1,622.43</w:t>
            </w:r>
          </w:p>
        </w:tc>
        <w:tc>
          <w:tcPr>
            <w:tcW w:w="850" w:type="dxa"/>
            <w:vAlign w:val="center"/>
          </w:tcPr>
          <w:p w14:paraId="2F0EF04F"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25.7</w:t>
            </w:r>
          </w:p>
        </w:tc>
        <w:tc>
          <w:tcPr>
            <w:tcW w:w="709" w:type="dxa"/>
            <w:vAlign w:val="center"/>
          </w:tcPr>
          <w:p w14:paraId="6B25D599"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215.71</w:t>
            </w:r>
          </w:p>
        </w:tc>
        <w:tc>
          <w:tcPr>
            <w:tcW w:w="851" w:type="dxa"/>
            <w:vAlign w:val="center"/>
          </w:tcPr>
          <w:p w14:paraId="258032B0"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3.4</w:t>
            </w:r>
          </w:p>
        </w:tc>
        <w:tc>
          <w:tcPr>
            <w:tcW w:w="992" w:type="dxa"/>
            <w:vAlign w:val="center"/>
          </w:tcPr>
          <w:p w14:paraId="42255730"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4465.71</w:t>
            </w:r>
          </w:p>
        </w:tc>
        <w:tc>
          <w:tcPr>
            <w:tcW w:w="992" w:type="dxa"/>
            <w:vAlign w:val="center"/>
          </w:tcPr>
          <w:p w14:paraId="2D8EB0B1"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70.9</w:t>
            </w:r>
          </w:p>
        </w:tc>
      </w:tr>
      <w:tr w:rsidR="00CE6AE7" w:rsidRPr="00CE6AE7" w14:paraId="380436D0" w14:textId="77777777" w:rsidTr="00D2313E">
        <w:trPr>
          <w:trHeight w:val="20"/>
        </w:trPr>
        <w:tc>
          <w:tcPr>
            <w:tcW w:w="709" w:type="dxa"/>
            <w:vAlign w:val="center"/>
          </w:tcPr>
          <w:p w14:paraId="3DCC046C" w14:textId="77777777" w:rsidR="00CF233F" w:rsidRPr="00CE6AE7" w:rsidRDefault="00CF233F" w:rsidP="00D2313E">
            <w:pPr>
              <w:kinsoku w:val="0"/>
              <w:spacing w:line="260" w:lineRule="exact"/>
              <w:jc w:val="center"/>
              <w:rPr>
                <w:rFonts w:ascii="Times New Roman"/>
                <w:sz w:val="24"/>
                <w:szCs w:val="24"/>
              </w:rPr>
            </w:pPr>
            <w:r w:rsidRPr="00CE6AE7">
              <w:rPr>
                <w:rFonts w:ascii="Times New Roman"/>
                <w:sz w:val="24"/>
                <w:szCs w:val="24"/>
              </w:rPr>
              <w:t>105</w:t>
            </w:r>
          </w:p>
        </w:tc>
        <w:tc>
          <w:tcPr>
            <w:tcW w:w="1254" w:type="dxa"/>
            <w:vAlign w:val="center"/>
          </w:tcPr>
          <w:p w14:paraId="56D27F2C"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6,618.79</w:t>
            </w:r>
          </w:p>
        </w:tc>
        <w:tc>
          <w:tcPr>
            <w:tcW w:w="1014" w:type="dxa"/>
            <w:vAlign w:val="center"/>
          </w:tcPr>
          <w:p w14:paraId="64658FF3"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1,702.94</w:t>
            </w:r>
          </w:p>
        </w:tc>
        <w:tc>
          <w:tcPr>
            <w:tcW w:w="850" w:type="dxa"/>
            <w:vAlign w:val="center"/>
          </w:tcPr>
          <w:p w14:paraId="27505CBB"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25.7</w:t>
            </w:r>
          </w:p>
        </w:tc>
        <w:tc>
          <w:tcPr>
            <w:tcW w:w="709" w:type="dxa"/>
            <w:vAlign w:val="center"/>
          </w:tcPr>
          <w:p w14:paraId="51024AA6"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233.37</w:t>
            </w:r>
          </w:p>
        </w:tc>
        <w:tc>
          <w:tcPr>
            <w:tcW w:w="851" w:type="dxa"/>
            <w:vAlign w:val="center"/>
          </w:tcPr>
          <w:p w14:paraId="5FF69E8A"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3.5</w:t>
            </w:r>
          </w:p>
        </w:tc>
        <w:tc>
          <w:tcPr>
            <w:tcW w:w="992" w:type="dxa"/>
            <w:vAlign w:val="center"/>
          </w:tcPr>
          <w:p w14:paraId="132D04FA"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4682.48</w:t>
            </w:r>
          </w:p>
        </w:tc>
        <w:tc>
          <w:tcPr>
            <w:tcW w:w="992" w:type="dxa"/>
            <w:vAlign w:val="center"/>
          </w:tcPr>
          <w:p w14:paraId="4124B36D"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70.8</w:t>
            </w:r>
          </w:p>
        </w:tc>
      </w:tr>
      <w:tr w:rsidR="00CE6AE7" w:rsidRPr="00CE6AE7" w14:paraId="569A7560" w14:textId="77777777" w:rsidTr="00D2313E">
        <w:trPr>
          <w:trHeight w:val="20"/>
        </w:trPr>
        <w:tc>
          <w:tcPr>
            <w:tcW w:w="709" w:type="dxa"/>
            <w:vAlign w:val="center"/>
          </w:tcPr>
          <w:p w14:paraId="14B797B7" w14:textId="77777777" w:rsidR="00CF233F" w:rsidRPr="00CE6AE7" w:rsidRDefault="00CF233F" w:rsidP="00D2313E">
            <w:pPr>
              <w:kinsoku w:val="0"/>
              <w:spacing w:line="260" w:lineRule="exact"/>
              <w:jc w:val="center"/>
              <w:rPr>
                <w:rFonts w:ascii="Times New Roman"/>
                <w:sz w:val="24"/>
                <w:szCs w:val="24"/>
              </w:rPr>
            </w:pPr>
            <w:r w:rsidRPr="00CE6AE7">
              <w:rPr>
                <w:rFonts w:ascii="Times New Roman"/>
                <w:sz w:val="24"/>
                <w:szCs w:val="24"/>
              </w:rPr>
              <w:t>106</w:t>
            </w:r>
          </w:p>
        </w:tc>
        <w:tc>
          <w:tcPr>
            <w:tcW w:w="1254" w:type="dxa"/>
            <w:vAlign w:val="center"/>
          </w:tcPr>
          <w:p w14:paraId="62440C43"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7,008.71</w:t>
            </w:r>
          </w:p>
        </w:tc>
        <w:tc>
          <w:tcPr>
            <w:tcW w:w="1014" w:type="dxa"/>
            <w:tcBorders>
              <w:top w:val="single" w:sz="4" w:space="0" w:color="auto"/>
              <w:left w:val="nil"/>
              <w:bottom w:val="single" w:sz="4" w:space="0" w:color="auto"/>
              <w:right w:val="single" w:sz="4" w:space="0" w:color="auto"/>
            </w:tcBorders>
            <w:vAlign w:val="center"/>
          </w:tcPr>
          <w:p w14:paraId="67975CCD"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1,835.36</w:t>
            </w:r>
          </w:p>
        </w:tc>
        <w:tc>
          <w:tcPr>
            <w:tcW w:w="850" w:type="dxa"/>
            <w:tcBorders>
              <w:top w:val="single" w:sz="4" w:space="0" w:color="auto"/>
              <w:left w:val="single" w:sz="4" w:space="0" w:color="auto"/>
              <w:bottom w:val="single" w:sz="4" w:space="0" w:color="auto"/>
              <w:right w:val="single" w:sz="4" w:space="0" w:color="auto"/>
            </w:tcBorders>
            <w:vAlign w:val="center"/>
          </w:tcPr>
          <w:p w14:paraId="34D004FB"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26.2</w:t>
            </w:r>
          </w:p>
        </w:tc>
        <w:tc>
          <w:tcPr>
            <w:tcW w:w="709" w:type="dxa"/>
            <w:tcBorders>
              <w:top w:val="single" w:sz="4" w:space="0" w:color="auto"/>
              <w:left w:val="single" w:sz="4" w:space="0" w:color="auto"/>
              <w:bottom w:val="single" w:sz="4" w:space="0" w:color="auto"/>
              <w:right w:val="single" w:sz="4" w:space="0" w:color="auto"/>
            </w:tcBorders>
            <w:vAlign w:val="center"/>
          </w:tcPr>
          <w:p w14:paraId="2B5BE93A"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255.98</w:t>
            </w:r>
          </w:p>
        </w:tc>
        <w:tc>
          <w:tcPr>
            <w:tcW w:w="851" w:type="dxa"/>
            <w:tcBorders>
              <w:top w:val="single" w:sz="4" w:space="0" w:color="auto"/>
              <w:left w:val="single" w:sz="4" w:space="0" w:color="auto"/>
              <w:bottom w:val="single" w:sz="4" w:space="0" w:color="auto"/>
            </w:tcBorders>
            <w:vAlign w:val="center"/>
          </w:tcPr>
          <w:p w14:paraId="000F19F6"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3.7</w:t>
            </w:r>
          </w:p>
        </w:tc>
        <w:tc>
          <w:tcPr>
            <w:tcW w:w="992" w:type="dxa"/>
            <w:vAlign w:val="center"/>
          </w:tcPr>
          <w:p w14:paraId="5E639535"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4917.37</w:t>
            </w:r>
          </w:p>
        </w:tc>
        <w:tc>
          <w:tcPr>
            <w:tcW w:w="992" w:type="dxa"/>
            <w:vAlign w:val="center"/>
          </w:tcPr>
          <w:p w14:paraId="2D5FFDDB"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70.1</w:t>
            </w:r>
          </w:p>
        </w:tc>
      </w:tr>
      <w:tr w:rsidR="00CE6AE7" w:rsidRPr="00CE6AE7" w14:paraId="20376DD1" w14:textId="77777777" w:rsidTr="00D2313E">
        <w:trPr>
          <w:trHeight w:val="20"/>
        </w:trPr>
        <w:tc>
          <w:tcPr>
            <w:tcW w:w="709" w:type="dxa"/>
            <w:vAlign w:val="center"/>
          </w:tcPr>
          <w:p w14:paraId="7E95D444" w14:textId="77777777" w:rsidR="00CF233F" w:rsidRPr="00CE6AE7" w:rsidRDefault="00CF233F" w:rsidP="00D2313E">
            <w:pPr>
              <w:kinsoku w:val="0"/>
              <w:spacing w:line="260" w:lineRule="exact"/>
              <w:jc w:val="center"/>
              <w:rPr>
                <w:rFonts w:ascii="Times New Roman"/>
                <w:sz w:val="24"/>
                <w:szCs w:val="24"/>
              </w:rPr>
            </w:pPr>
            <w:r w:rsidRPr="00CE6AE7">
              <w:rPr>
                <w:rFonts w:ascii="Times New Roman"/>
                <w:sz w:val="24"/>
                <w:szCs w:val="24"/>
              </w:rPr>
              <w:t>107</w:t>
            </w:r>
          </w:p>
        </w:tc>
        <w:tc>
          <w:tcPr>
            <w:tcW w:w="1254" w:type="dxa"/>
            <w:vAlign w:val="center"/>
          </w:tcPr>
          <w:p w14:paraId="54FD2039"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7,384.22</w:t>
            </w:r>
          </w:p>
        </w:tc>
        <w:tc>
          <w:tcPr>
            <w:tcW w:w="1014" w:type="dxa"/>
            <w:tcBorders>
              <w:top w:val="single" w:sz="4" w:space="0" w:color="auto"/>
              <w:left w:val="nil"/>
              <w:bottom w:val="single" w:sz="4" w:space="0" w:color="auto"/>
              <w:right w:val="single" w:sz="4" w:space="0" w:color="auto"/>
            </w:tcBorders>
            <w:vAlign w:val="center"/>
          </w:tcPr>
          <w:p w14:paraId="0DCA1DBA"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1,957.05</w:t>
            </w:r>
          </w:p>
        </w:tc>
        <w:tc>
          <w:tcPr>
            <w:tcW w:w="850" w:type="dxa"/>
            <w:tcBorders>
              <w:top w:val="single" w:sz="4" w:space="0" w:color="auto"/>
              <w:left w:val="single" w:sz="4" w:space="0" w:color="auto"/>
              <w:bottom w:val="single" w:sz="4" w:space="0" w:color="auto"/>
              <w:right w:val="single" w:sz="4" w:space="0" w:color="auto"/>
            </w:tcBorders>
            <w:vAlign w:val="center"/>
          </w:tcPr>
          <w:p w14:paraId="1DE31515"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26.5</w:t>
            </w:r>
          </w:p>
        </w:tc>
        <w:tc>
          <w:tcPr>
            <w:tcW w:w="709" w:type="dxa"/>
            <w:tcBorders>
              <w:top w:val="single" w:sz="4" w:space="0" w:color="auto"/>
              <w:left w:val="single" w:sz="4" w:space="0" w:color="auto"/>
              <w:bottom w:val="single" w:sz="4" w:space="0" w:color="auto"/>
              <w:right w:val="single" w:sz="4" w:space="0" w:color="auto"/>
            </w:tcBorders>
            <w:vAlign w:val="center"/>
          </w:tcPr>
          <w:p w14:paraId="2BAC760F"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275.64</w:t>
            </w:r>
          </w:p>
        </w:tc>
        <w:tc>
          <w:tcPr>
            <w:tcW w:w="851" w:type="dxa"/>
            <w:tcBorders>
              <w:top w:val="single" w:sz="4" w:space="0" w:color="auto"/>
              <w:left w:val="single" w:sz="4" w:space="0" w:color="auto"/>
              <w:bottom w:val="single" w:sz="4" w:space="0" w:color="auto"/>
            </w:tcBorders>
            <w:vAlign w:val="center"/>
          </w:tcPr>
          <w:p w14:paraId="1239F678"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3.7</w:t>
            </w:r>
          </w:p>
        </w:tc>
        <w:tc>
          <w:tcPr>
            <w:tcW w:w="992" w:type="dxa"/>
            <w:vAlign w:val="center"/>
          </w:tcPr>
          <w:p w14:paraId="54B104FA"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5151.53</w:t>
            </w:r>
          </w:p>
        </w:tc>
        <w:tc>
          <w:tcPr>
            <w:tcW w:w="992" w:type="dxa"/>
            <w:vAlign w:val="center"/>
          </w:tcPr>
          <w:p w14:paraId="2618CB2E"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69.8</w:t>
            </w:r>
          </w:p>
        </w:tc>
      </w:tr>
      <w:tr w:rsidR="00CE6AE7" w:rsidRPr="00CE6AE7" w14:paraId="047C1CF2" w14:textId="77777777" w:rsidTr="00D2313E">
        <w:trPr>
          <w:trHeight w:val="20"/>
        </w:trPr>
        <w:tc>
          <w:tcPr>
            <w:tcW w:w="709" w:type="dxa"/>
            <w:vAlign w:val="center"/>
          </w:tcPr>
          <w:p w14:paraId="097CB70E" w14:textId="77777777" w:rsidR="00CF233F" w:rsidRPr="00CE6AE7" w:rsidRDefault="00CF233F" w:rsidP="00D2313E">
            <w:pPr>
              <w:kinsoku w:val="0"/>
              <w:spacing w:line="260" w:lineRule="exact"/>
              <w:jc w:val="center"/>
              <w:rPr>
                <w:rFonts w:ascii="Times New Roman"/>
                <w:sz w:val="24"/>
                <w:szCs w:val="24"/>
              </w:rPr>
            </w:pPr>
            <w:r w:rsidRPr="00CE6AE7">
              <w:rPr>
                <w:rFonts w:ascii="Times New Roman"/>
                <w:sz w:val="24"/>
                <w:szCs w:val="24"/>
              </w:rPr>
              <w:t>108</w:t>
            </w:r>
          </w:p>
        </w:tc>
        <w:tc>
          <w:tcPr>
            <w:tcW w:w="1254" w:type="dxa"/>
            <w:vAlign w:val="center"/>
          </w:tcPr>
          <w:p w14:paraId="10875C8B"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7,731.69</w:t>
            </w:r>
          </w:p>
        </w:tc>
        <w:tc>
          <w:tcPr>
            <w:tcW w:w="1014" w:type="dxa"/>
            <w:vAlign w:val="center"/>
          </w:tcPr>
          <w:p w14:paraId="33F60CC6"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2,082.70</w:t>
            </w:r>
          </w:p>
        </w:tc>
        <w:tc>
          <w:tcPr>
            <w:tcW w:w="850" w:type="dxa"/>
            <w:vAlign w:val="center"/>
          </w:tcPr>
          <w:p w14:paraId="0154DE53"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26.9</w:t>
            </w:r>
          </w:p>
        </w:tc>
        <w:tc>
          <w:tcPr>
            <w:tcW w:w="709" w:type="dxa"/>
            <w:vAlign w:val="center"/>
          </w:tcPr>
          <w:p w14:paraId="2FE1DA30"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295.04</w:t>
            </w:r>
          </w:p>
        </w:tc>
        <w:tc>
          <w:tcPr>
            <w:tcW w:w="851" w:type="dxa"/>
            <w:vAlign w:val="center"/>
          </w:tcPr>
          <w:p w14:paraId="067C3A96"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3.8</w:t>
            </w:r>
          </w:p>
        </w:tc>
        <w:tc>
          <w:tcPr>
            <w:tcW w:w="992" w:type="dxa"/>
            <w:vAlign w:val="center"/>
          </w:tcPr>
          <w:p w14:paraId="66E02E9F"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5353.95</w:t>
            </w:r>
          </w:p>
        </w:tc>
        <w:tc>
          <w:tcPr>
            <w:tcW w:w="992" w:type="dxa"/>
            <w:vAlign w:val="center"/>
          </w:tcPr>
          <w:p w14:paraId="41696CB4"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69.3</w:t>
            </w:r>
          </w:p>
        </w:tc>
      </w:tr>
      <w:tr w:rsidR="00CE6AE7" w:rsidRPr="00CE6AE7" w14:paraId="63F147AF" w14:textId="77777777" w:rsidTr="00D2313E">
        <w:trPr>
          <w:trHeight w:val="20"/>
        </w:trPr>
        <w:tc>
          <w:tcPr>
            <w:tcW w:w="709" w:type="dxa"/>
            <w:vAlign w:val="center"/>
          </w:tcPr>
          <w:p w14:paraId="286F2471" w14:textId="77777777" w:rsidR="00CF233F" w:rsidRPr="00CE6AE7" w:rsidRDefault="00CF233F" w:rsidP="00D2313E">
            <w:pPr>
              <w:kinsoku w:val="0"/>
              <w:spacing w:line="260" w:lineRule="exact"/>
              <w:jc w:val="center"/>
              <w:rPr>
                <w:rFonts w:ascii="Times New Roman"/>
                <w:sz w:val="24"/>
                <w:szCs w:val="24"/>
              </w:rPr>
            </w:pPr>
            <w:r w:rsidRPr="00CE6AE7">
              <w:rPr>
                <w:rFonts w:ascii="Times New Roman"/>
                <w:sz w:val="24"/>
                <w:szCs w:val="24"/>
              </w:rPr>
              <w:t>109</w:t>
            </w:r>
          </w:p>
        </w:tc>
        <w:tc>
          <w:tcPr>
            <w:tcW w:w="1254" w:type="dxa"/>
            <w:vAlign w:val="center"/>
          </w:tcPr>
          <w:p w14:paraId="4AD5C330"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7,803.82</w:t>
            </w:r>
          </w:p>
        </w:tc>
        <w:tc>
          <w:tcPr>
            <w:tcW w:w="1014" w:type="dxa"/>
            <w:vAlign w:val="center"/>
          </w:tcPr>
          <w:p w14:paraId="05ADF4DD"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2,175.24</w:t>
            </w:r>
          </w:p>
        </w:tc>
        <w:tc>
          <w:tcPr>
            <w:tcW w:w="850" w:type="dxa"/>
            <w:vAlign w:val="center"/>
          </w:tcPr>
          <w:p w14:paraId="7D976F63"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27.9</w:t>
            </w:r>
          </w:p>
        </w:tc>
        <w:tc>
          <w:tcPr>
            <w:tcW w:w="709" w:type="dxa"/>
            <w:vAlign w:val="center"/>
          </w:tcPr>
          <w:p w14:paraId="35993681"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306.33</w:t>
            </w:r>
          </w:p>
        </w:tc>
        <w:tc>
          <w:tcPr>
            <w:tcW w:w="851" w:type="dxa"/>
            <w:vAlign w:val="center"/>
          </w:tcPr>
          <w:p w14:paraId="51CCD159"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3.9</w:t>
            </w:r>
          </w:p>
        </w:tc>
        <w:tc>
          <w:tcPr>
            <w:tcW w:w="992" w:type="dxa"/>
            <w:vAlign w:val="center"/>
          </w:tcPr>
          <w:p w14:paraId="39881F0C"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5322.25</w:t>
            </w:r>
          </w:p>
        </w:tc>
        <w:tc>
          <w:tcPr>
            <w:tcW w:w="992" w:type="dxa"/>
            <w:vAlign w:val="center"/>
          </w:tcPr>
          <w:p w14:paraId="361BCF6D"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68.2</w:t>
            </w:r>
          </w:p>
        </w:tc>
      </w:tr>
      <w:tr w:rsidR="00CE6AE7" w:rsidRPr="00CE6AE7" w14:paraId="4AB9BFA4" w14:textId="77777777" w:rsidTr="00D2313E">
        <w:trPr>
          <w:trHeight w:val="20"/>
        </w:trPr>
        <w:tc>
          <w:tcPr>
            <w:tcW w:w="709" w:type="dxa"/>
            <w:vAlign w:val="center"/>
          </w:tcPr>
          <w:p w14:paraId="3A580288" w14:textId="77777777" w:rsidR="00CF233F" w:rsidRPr="00CE6AE7" w:rsidRDefault="00CF233F" w:rsidP="00D2313E">
            <w:pPr>
              <w:kinsoku w:val="0"/>
              <w:spacing w:line="260" w:lineRule="exact"/>
              <w:jc w:val="center"/>
              <w:rPr>
                <w:rFonts w:ascii="Times New Roman"/>
                <w:sz w:val="24"/>
                <w:szCs w:val="24"/>
              </w:rPr>
            </w:pPr>
            <w:r w:rsidRPr="00CE6AE7">
              <w:rPr>
                <w:rFonts w:ascii="Times New Roman"/>
                <w:sz w:val="24"/>
                <w:szCs w:val="24"/>
              </w:rPr>
              <w:t>110</w:t>
            </w:r>
          </w:p>
        </w:tc>
        <w:tc>
          <w:tcPr>
            <w:tcW w:w="1254" w:type="dxa"/>
            <w:vAlign w:val="center"/>
          </w:tcPr>
          <w:p w14:paraId="5D65DBD8"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7,842.53</w:t>
            </w:r>
          </w:p>
        </w:tc>
        <w:tc>
          <w:tcPr>
            <w:tcW w:w="1014" w:type="dxa"/>
            <w:vAlign w:val="center"/>
          </w:tcPr>
          <w:p w14:paraId="27AFCF67"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2,246.81</w:t>
            </w:r>
          </w:p>
        </w:tc>
        <w:tc>
          <w:tcPr>
            <w:tcW w:w="850" w:type="dxa"/>
            <w:vAlign w:val="center"/>
          </w:tcPr>
          <w:p w14:paraId="1EB46568"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28.6</w:t>
            </w:r>
          </w:p>
        </w:tc>
        <w:tc>
          <w:tcPr>
            <w:tcW w:w="709" w:type="dxa"/>
            <w:vAlign w:val="center"/>
          </w:tcPr>
          <w:p w14:paraId="09A30919"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320.26</w:t>
            </w:r>
          </w:p>
        </w:tc>
        <w:tc>
          <w:tcPr>
            <w:tcW w:w="851" w:type="dxa"/>
            <w:vAlign w:val="center"/>
          </w:tcPr>
          <w:p w14:paraId="4EA0AE0B"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4.1</w:t>
            </w:r>
          </w:p>
        </w:tc>
        <w:tc>
          <w:tcPr>
            <w:tcW w:w="992" w:type="dxa"/>
            <w:vAlign w:val="center"/>
          </w:tcPr>
          <w:p w14:paraId="0541AB0D"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5275.46</w:t>
            </w:r>
          </w:p>
        </w:tc>
        <w:tc>
          <w:tcPr>
            <w:tcW w:w="992" w:type="dxa"/>
            <w:vAlign w:val="center"/>
          </w:tcPr>
          <w:p w14:paraId="434BB709"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67.3</w:t>
            </w:r>
          </w:p>
        </w:tc>
      </w:tr>
      <w:tr w:rsidR="00CE6AE7" w:rsidRPr="00CE6AE7" w14:paraId="7D45DFAA" w14:textId="77777777" w:rsidTr="00D2313E">
        <w:trPr>
          <w:trHeight w:val="20"/>
        </w:trPr>
        <w:tc>
          <w:tcPr>
            <w:tcW w:w="709" w:type="dxa"/>
            <w:vAlign w:val="center"/>
          </w:tcPr>
          <w:p w14:paraId="52F9DB95" w14:textId="77777777" w:rsidR="00CF233F" w:rsidRPr="00CE6AE7" w:rsidRDefault="00CF233F" w:rsidP="00D2313E">
            <w:pPr>
              <w:kinsoku w:val="0"/>
              <w:spacing w:line="260" w:lineRule="exact"/>
              <w:jc w:val="center"/>
              <w:rPr>
                <w:rFonts w:ascii="Times New Roman"/>
                <w:sz w:val="24"/>
                <w:szCs w:val="24"/>
              </w:rPr>
            </w:pPr>
            <w:r w:rsidRPr="00CE6AE7">
              <w:rPr>
                <w:rFonts w:ascii="Times New Roman"/>
                <w:sz w:val="24"/>
                <w:szCs w:val="24"/>
              </w:rPr>
              <w:t>111</w:t>
            </w:r>
          </w:p>
        </w:tc>
        <w:tc>
          <w:tcPr>
            <w:tcW w:w="1254" w:type="dxa"/>
            <w:vAlign w:val="center"/>
          </w:tcPr>
          <w:p w14:paraId="5669B746"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8,227.55</w:t>
            </w:r>
          </w:p>
        </w:tc>
        <w:tc>
          <w:tcPr>
            <w:tcW w:w="1014" w:type="dxa"/>
            <w:tcBorders>
              <w:top w:val="single" w:sz="4" w:space="0" w:color="auto"/>
              <w:left w:val="nil"/>
              <w:bottom w:val="single" w:sz="4" w:space="0" w:color="auto"/>
              <w:right w:val="single" w:sz="4" w:space="0" w:color="auto"/>
            </w:tcBorders>
            <w:vAlign w:val="center"/>
          </w:tcPr>
          <w:p w14:paraId="30A8D198"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2,308.32</w:t>
            </w:r>
          </w:p>
        </w:tc>
        <w:tc>
          <w:tcPr>
            <w:tcW w:w="850" w:type="dxa"/>
            <w:tcBorders>
              <w:top w:val="single" w:sz="4" w:space="0" w:color="auto"/>
              <w:left w:val="single" w:sz="4" w:space="0" w:color="auto"/>
              <w:bottom w:val="single" w:sz="4" w:space="0" w:color="auto"/>
              <w:right w:val="single" w:sz="4" w:space="0" w:color="auto"/>
            </w:tcBorders>
            <w:vAlign w:val="center"/>
          </w:tcPr>
          <w:p w14:paraId="577D93E7"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28.1</w:t>
            </w:r>
          </w:p>
        </w:tc>
        <w:tc>
          <w:tcPr>
            <w:tcW w:w="709" w:type="dxa"/>
            <w:tcBorders>
              <w:top w:val="single" w:sz="4" w:space="0" w:color="auto"/>
              <w:left w:val="single" w:sz="4" w:space="0" w:color="auto"/>
              <w:bottom w:val="single" w:sz="4" w:space="0" w:color="auto"/>
              <w:right w:val="single" w:sz="4" w:space="0" w:color="auto"/>
            </w:tcBorders>
            <w:vAlign w:val="center"/>
          </w:tcPr>
          <w:p w14:paraId="079FDD0A"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351.07</w:t>
            </w:r>
          </w:p>
        </w:tc>
        <w:tc>
          <w:tcPr>
            <w:tcW w:w="851" w:type="dxa"/>
            <w:tcBorders>
              <w:top w:val="single" w:sz="4" w:space="0" w:color="auto"/>
              <w:left w:val="single" w:sz="4" w:space="0" w:color="auto"/>
              <w:bottom w:val="single" w:sz="4" w:space="0" w:color="auto"/>
            </w:tcBorders>
            <w:vAlign w:val="center"/>
          </w:tcPr>
          <w:p w14:paraId="1AEF6D20"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4.3</w:t>
            </w:r>
          </w:p>
        </w:tc>
        <w:tc>
          <w:tcPr>
            <w:tcW w:w="992" w:type="dxa"/>
            <w:vAlign w:val="center"/>
          </w:tcPr>
          <w:p w14:paraId="6E3A29B5"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5568.16</w:t>
            </w:r>
          </w:p>
        </w:tc>
        <w:tc>
          <w:tcPr>
            <w:tcW w:w="992" w:type="dxa"/>
            <w:vAlign w:val="center"/>
          </w:tcPr>
          <w:p w14:paraId="485EF0BA"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67.6</w:t>
            </w:r>
          </w:p>
        </w:tc>
      </w:tr>
      <w:tr w:rsidR="00CE6AE7" w:rsidRPr="00CE6AE7" w14:paraId="53A8DA8A" w14:textId="77777777" w:rsidTr="00D2313E">
        <w:trPr>
          <w:trHeight w:val="20"/>
        </w:trPr>
        <w:tc>
          <w:tcPr>
            <w:tcW w:w="709" w:type="dxa"/>
            <w:vAlign w:val="center"/>
          </w:tcPr>
          <w:p w14:paraId="7CA283A0" w14:textId="77777777" w:rsidR="00CF233F" w:rsidRPr="00CE6AE7" w:rsidRDefault="00CF233F" w:rsidP="00D2313E">
            <w:pPr>
              <w:kinsoku w:val="0"/>
              <w:spacing w:line="260" w:lineRule="exact"/>
              <w:jc w:val="center"/>
              <w:rPr>
                <w:rFonts w:ascii="Times New Roman"/>
                <w:sz w:val="24"/>
                <w:szCs w:val="24"/>
              </w:rPr>
            </w:pPr>
            <w:r w:rsidRPr="00CE6AE7">
              <w:rPr>
                <w:rFonts w:ascii="Times New Roman"/>
                <w:sz w:val="24"/>
                <w:szCs w:val="24"/>
              </w:rPr>
              <w:t>112</w:t>
            </w:r>
          </w:p>
        </w:tc>
        <w:tc>
          <w:tcPr>
            <w:tcW w:w="1254" w:type="dxa"/>
            <w:vAlign w:val="center"/>
          </w:tcPr>
          <w:p w14:paraId="01A08F88"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8,860.13</w:t>
            </w:r>
          </w:p>
        </w:tc>
        <w:tc>
          <w:tcPr>
            <w:tcW w:w="1014" w:type="dxa"/>
            <w:tcBorders>
              <w:top w:val="single" w:sz="4" w:space="0" w:color="auto"/>
              <w:left w:val="nil"/>
              <w:bottom w:val="single" w:sz="4" w:space="0" w:color="auto"/>
              <w:right w:val="single" w:sz="4" w:space="0" w:color="auto"/>
            </w:tcBorders>
            <w:vAlign w:val="center"/>
          </w:tcPr>
          <w:p w14:paraId="07AF185F"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2,430.91</w:t>
            </w:r>
          </w:p>
        </w:tc>
        <w:tc>
          <w:tcPr>
            <w:tcW w:w="850" w:type="dxa"/>
            <w:tcBorders>
              <w:top w:val="single" w:sz="4" w:space="0" w:color="auto"/>
              <w:left w:val="single" w:sz="4" w:space="0" w:color="auto"/>
              <w:bottom w:val="single" w:sz="4" w:space="0" w:color="auto"/>
              <w:right w:val="single" w:sz="4" w:space="0" w:color="auto"/>
            </w:tcBorders>
            <w:vAlign w:val="center"/>
          </w:tcPr>
          <w:p w14:paraId="63469E52"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27.4</w:t>
            </w:r>
          </w:p>
        </w:tc>
        <w:tc>
          <w:tcPr>
            <w:tcW w:w="709" w:type="dxa"/>
            <w:tcBorders>
              <w:top w:val="single" w:sz="4" w:space="0" w:color="auto"/>
              <w:left w:val="single" w:sz="4" w:space="0" w:color="auto"/>
              <w:bottom w:val="single" w:sz="4" w:space="0" w:color="auto"/>
              <w:right w:val="single" w:sz="4" w:space="0" w:color="auto"/>
            </w:tcBorders>
            <w:vAlign w:val="center"/>
          </w:tcPr>
          <w:p w14:paraId="2734A2C5"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386.60</w:t>
            </w:r>
          </w:p>
        </w:tc>
        <w:tc>
          <w:tcPr>
            <w:tcW w:w="851" w:type="dxa"/>
            <w:tcBorders>
              <w:top w:val="single" w:sz="4" w:space="0" w:color="auto"/>
              <w:left w:val="single" w:sz="4" w:space="0" w:color="auto"/>
              <w:bottom w:val="single" w:sz="4" w:space="0" w:color="auto"/>
            </w:tcBorders>
            <w:vAlign w:val="center"/>
          </w:tcPr>
          <w:p w14:paraId="29551BCF"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4.4</w:t>
            </w:r>
          </w:p>
        </w:tc>
        <w:tc>
          <w:tcPr>
            <w:tcW w:w="992" w:type="dxa"/>
            <w:vAlign w:val="center"/>
          </w:tcPr>
          <w:p w14:paraId="4118AF89"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6042.62</w:t>
            </w:r>
          </w:p>
        </w:tc>
        <w:tc>
          <w:tcPr>
            <w:tcW w:w="992" w:type="dxa"/>
            <w:vAlign w:val="center"/>
          </w:tcPr>
          <w:p w14:paraId="6B1304B7"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68.2</w:t>
            </w:r>
          </w:p>
        </w:tc>
      </w:tr>
      <w:tr w:rsidR="00CE6AE7" w:rsidRPr="00CE6AE7" w14:paraId="531C9BD8" w14:textId="77777777" w:rsidTr="00D2313E">
        <w:trPr>
          <w:trHeight w:val="20"/>
        </w:trPr>
        <w:tc>
          <w:tcPr>
            <w:tcW w:w="709" w:type="dxa"/>
            <w:vAlign w:val="center"/>
          </w:tcPr>
          <w:p w14:paraId="0FD4B5EE" w14:textId="77777777" w:rsidR="00CF233F" w:rsidRPr="00CE6AE7" w:rsidRDefault="00CF233F" w:rsidP="00D2313E">
            <w:pPr>
              <w:kinsoku w:val="0"/>
              <w:spacing w:line="260" w:lineRule="exact"/>
              <w:jc w:val="center"/>
              <w:rPr>
                <w:rFonts w:ascii="Times New Roman"/>
                <w:sz w:val="24"/>
                <w:szCs w:val="24"/>
              </w:rPr>
            </w:pPr>
            <w:r w:rsidRPr="00CE6AE7">
              <w:rPr>
                <w:rFonts w:ascii="Times New Roman"/>
                <w:sz w:val="24"/>
                <w:szCs w:val="24"/>
              </w:rPr>
              <w:t>113</w:t>
            </w:r>
          </w:p>
        </w:tc>
        <w:tc>
          <w:tcPr>
            <w:tcW w:w="1254" w:type="dxa"/>
            <w:vAlign w:val="center"/>
          </w:tcPr>
          <w:p w14:paraId="6E541E1C"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9,154.40</w:t>
            </w:r>
          </w:p>
        </w:tc>
        <w:tc>
          <w:tcPr>
            <w:tcW w:w="1014" w:type="dxa"/>
            <w:vAlign w:val="center"/>
          </w:tcPr>
          <w:p w14:paraId="2C141049"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2,536.80</w:t>
            </w:r>
          </w:p>
        </w:tc>
        <w:tc>
          <w:tcPr>
            <w:tcW w:w="850" w:type="dxa"/>
            <w:vAlign w:val="center"/>
          </w:tcPr>
          <w:p w14:paraId="18C17A97"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27.7</w:t>
            </w:r>
          </w:p>
        </w:tc>
        <w:tc>
          <w:tcPr>
            <w:tcW w:w="709" w:type="dxa"/>
            <w:vAlign w:val="center"/>
          </w:tcPr>
          <w:p w14:paraId="5188C3ED"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408.51</w:t>
            </w:r>
          </w:p>
        </w:tc>
        <w:tc>
          <w:tcPr>
            <w:tcW w:w="851" w:type="dxa"/>
            <w:vAlign w:val="center"/>
          </w:tcPr>
          <w:p w14:paraId="06D14979"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4.5</w:t>
            </w:r>
          </w:p>
        </w:tc>
        <w:tc>
          <w:tcPr>
            <w:tcW w:w="992" w:type="dxa"/>
            <w:vAlign w:val="center"/>
          </w:tcPr>
          <w:p w14:paraId="25FC496D"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6209.09</w:t>
            </w:r>
          </w:p>
        </w:tc>
        <w:tc>
          <w:tcPr>
            <w:tcW w:w="992" w:type="dxa"/>
            <w:vAlign w:val="center"/>
          </w:tcPr>
          <w:p w14:paraId="5A99A35A"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67.8</w:t>
            </w:r>
          </w:p>
        </w:tc>
      </w:tr>
      <w:tr w:rsidR="00CE6AE7" w:rsidRPr="00CE6AE7" w14:paraId="34B95760" w14:textId="77777777" w:rsidTr="00D2313E">
        <w:trPr>
          <w:trHeight w:val="20"/>
        </w:trPr>
        <w:tc>
          <w:tcPr>
            <w:tcW w:w="709" w:type="dxa"/>
            <w:vAlign w:val="center"/>
          </w:tcPr>
          <w:p w14:paraId="0B9399BE" w14:textId="77777777" w:rsidR="00CF233F" w:rsidRPr="00CE6AE7" w:rsidRDefault="00CF233F" w:rsidP="00D2313E">
            <w:pPr>
              <w:kinsoku w:val="0"/>
              <w:spacing w:line="260" w:lineRule="exact"/>
              <w:jc w:val="center"/>
              <w:rPr>
                <w:rFonts w:ascii="Times New Roman"/>
                <w:sz w:val="24"/>
                <w:szCs w:val="24"/>
              </w:rPr>
            </w:pPr>
            <w:r w:rsidRPr="00CE6AE7">
              <w:rPr>
                <w:rFonts w:ascii="Times New Roman"/>
                <w:sz w:val="24"/>
                <w:szCs w:val="24"/>
              </w:rPr>
              <w:t>114</w:t>
            </w:r>
          </w:p>
        </w:tc>
        <w:tc>
          <w:tcPr>
            <w:tcW w:w="1254" w:type="dxa"/>
            <w:vAlign w:val="center"/>
          </w:tcPr>
          <w:p w14:paraId="387DD38F"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9,388.21</w:t>
            </w:r>
          </w:p>
        </w:tc>
        <w:tc>
          <w:tcPr>
            <w:tcW w:w="1014" w:type="dxa"/>
            <w:tcBorders>
              <w:top w:val="single" w:sz="4" w:space="0" w:color="auto"/>
              <w:left w:val="nil"/>
              <w:bottom w:val="single" w:sz="4" w:space="0" w:color="auto"/>
              <w:right w:val="single" w:sz="4" w:space="0" w:color="auto"/>
            </w:tcBorders>
            <w:vAlign w:val="center"/>
          </w:tcPr>
          <w:p w14:paraId="4E29DE01"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2,677.93</w:t>
            </w:r>
          </w:p>
        </w:tc>
        <w:tc>
          <w:tcPr>
            <w:tcW w:w="850" w:type="dxa"/>
            <w:tcBorders>
              <w:top w:val="single" w:sz="4" w:space="0" w:color="auto"/>
              <w:left w:val="single" w:sz="4" w:space="0" w:color="auto"/>
              <w:bottom w:val="single" w:sz="4" w:space="0" w:color="auto"/>
              <w:right w:val="single" w:sz="4" w:space="0" w:color="auto"/>
            </w:tcBorders>
            <w:vAlign w:val="center"/>
          </w:tcPr>
          <w:p w14:paraId="3736AA06"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28.5</w:t>
            </w:r>
          </w:p>
        </w:tc>
        <w:tc>
          <w:tcPr>
            <w:tcW w:w="709" w:type="dxa"/>
            <w:tcBorders>
              <w:top w:val="single" w:sz="4" w:space="0" w:color="auto"/>
              <w:left w:val="single" w:sz="4" w:space="0" w:color="auto"/>
              <w:bottom w:val="single" w:sz="4" w:space="0" w:color="auto"/>
              <w:right w:val="single" w:sz="4" w:space="0" w:color="auto"/>
            </w:tcBorders>
            <w:vAlign w:val="center"/>
          </w:tcPr>
          <w:p w14:paraId="472583F7"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429.22</w:t>
            </w:r>
          </w:p>
        </w:tc>
        <w:tc>
          <w:tcPr>
            <w:tcW w:w="851" w:type="dxa"/>
            <w:tcBorders>
              <w:top w:val="single" w:sz="4" w:space="0" w:color="auto"/>
              <w:left w:val="single" w:sz="4" w:space="0" w:color="auto"/>
              <w:bottom w:val="single" w:sz="4" w:space="0" w:color="auto"/>
            </w:tcBorders>
            <w:vAlign w:val="center"/>
          </w:tcPr>
          <w:p w14:paraId="05448821"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z w:val="24"/>
                <w:szCs w:val="24"/>
              </w:rPr>
              <w:t>4.6</w:t>
            </w:r>
          </w:p>
        </w:tc>
        <w:tc>
          <w:tcPr>
            <w:tcW w:w="992" w:type="dxa"/>
            <w:vAlign w:val="center"/>
          </w:tcPr>
          <w:p w14:paraId="312714F5"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6281.06</w:t>
            </w:r>
          </w:p>
        </w:tc>
        <w:tc>
          <w:tcPr>
            <w:tcW w:w="992" w:type="dxa"/>
            <w:vAlign w:val="center"/>
          </w:tcPr>
          <w:p w14:paraId="435BD2F8" w14:textId="77777777" w:rsidR="00CF233F" w:rsidRPr="00CE6AE7" w:rsidRDefault="00CF233F" w:rsidP="00D2313E">
            <w:pPr>
              <w:kinsoku w:val="0"/>
              <w:spacing w:line="260" w:lineRule="exact"/>
              <w:jc w:val="right"/>
              <w:rPr>
                <w:rFonts w:ascii="Times New Roman"/>
                <w:sz w:val="24"/>
                <w:szCs w:val="24"/>
              </w:rPr>
            </w:pPr>
            <w:r w:rsidRPr="00CE6AE7">
              <w:rPr>
                <w:rFonts w:ascii="Times New Roman"/>
                <w:spacing w:val="-8"/>
                <w:sz w:val="24"/>
                <w:szCs w:val="24"/>
              </w:rPr>
              <w:t>66.9</w:t>
            </w:r>
          </w:p>
        </w:tc>
      </w:tr>
    </w:tbl>
    <w:p w14:paraId="4559CB33" w14:textId="77777777" w:rsidR="00CF233F" w:rsidRPr="00CE6AE7" w:rsidRDefault="00CF233F" w:rsidP="00CF233F">
      <w:pPr>
        <w:pStyle w:val="afc"/>
        <w:spacing w:before="0" w:afterLines="50" w:after="228" w:line="320" w:lineRule="exact"/>
        <w:ind w:leftChars="375" w:left="1276" w:rightChars="-13" w:right="-44"/>
        <w:rPr>
          <w:rFonts w:ascii="Times New Roman"/>
          <w:spacing w:val="-20"/>
          <w:sz w:val="24"/>
          <w:szCs w:val="24"/>
        </w:rPr>
      </w:pPr>
      <w:r w:rsidRPr="00CE6AE7">
        <w:rPr>
          <w:rFonts w:ascii="Times New Roman"/>
          <w:spacing w:val="-20"/>
          <w:sz w:val="24"/>
          <w:szCs w:val="24"/>
        </w:rPr>
        <w:t>資料來源：健保署。</w:t>
      </w:r>
    </w:p>
    <w:p w14:paraId="56744C1A" w14:textId="77777777" w:rsidR="001C6043" w:rsidRPr="00CE6AE7" w:rsidRDefault="001C6043" w:rsidP="001C6043">
      <w:pPr>
        <w:pStyle w:val="3"/>
        <w:rPr>
          <w:rFonts w:ascii="Times New Roman" w:hAnsi="Times New Roman"/>
        </w:rPr>
      </w:pPr>
      <w:r w:rsidRPr="00CE6AE7">
        <w:rPr>
          <w:rFonts w:ascii="Times New Roman" w:hAnsi="Times New Roman"/>
          <w:b/>
          <w:bCs w:val="0"/>
        </w:rPr>
        <w:t>又與國際趨勢相較，我國醫療照護支出占醫療保健總額之下降幅度，亦較日本及韓國明顯：</w:t>
      </w:r>
    </w:p>
    <w:p w14:paraId="46986F24" w14:textId="0C1ACBB3" w:rsidR="001C6043" w:rsidRPr="00CE6AE7" w:rsidRDefault="001C6043" w:rsidP="001C6043">
      <w:pPr>
        <w:pStyle w:val="4"/>
        <w:rPr>
          <w:rFonts w:ascii="Times New Roman" w:hAnsi="Times New Roman"/>
          <w:spacing w:val="-10"/>
        </w:rPr>
      </w:pPr>
      <w:r w:rsidRPr="00CE6AE7">
        <w:rPr>
          <w:rFonts w:ascii="Times New Roman" w:hAnsi="Times New Roman"/>
          <w:spacing w:val="-10"/>
        </w:rPr>
        <w:t>為確保國際比較之客觀性及可比較性，以經濟合作暨發展組織（</w:t>
      </w:r>
      <w:r w:rsidRPr="00CE6AE7">
        <w:rPr>
          <w:rFonts w:ascii="Times New Roman" w:hAnsi="Times New Roman"/>
          <w:spacing w:val="-10"/>
        </w:rPr>
        <w:t>Organisation for Economic Co-operation and Development</w:t>
      </w:r>
      <w:r w:rsidRPr="00CE6AE7">
        <w:rPr>
          <w:rFonts w:ascii="Times New Roman" w:hAnsi="Times New Roman"/>
          <w:spacing w:val="-10"/>
        </w:rPr>
        <w:t>，下稱</w:t>
      </w:r>
      <w:r w:rsidRPr="00CE6AE7">
        <w:rPr>
          <w:rFonts w:ascii="Times New Roman" w:hAnsi="Times New Roman"/>
          <w:spacing w:val="-10"/>
        </w:rPr>
        <w:t>OECD</w:t>
      </w:r>
      <w:r w:rsidRPr="00CE6AE7">
        <w:rPr>
          <w:rFonts w:ascii="Times New Roman" w:hAnsi="Times New Roman"/>
          <w:spacing w:val="-10"/>
        </w:rPr>
        <w:t>）與</w:t>
      </w:r>
      <w:r w:rsidRPr="00CE6AE7">
        <w:rPr>
          <w:rFonts w:ascii="Times New Roman" w:hAnsi="Times New Roman"/>
          <w:spacing w:val="-10"/>
        </w:rPr>
        <w:t>WHO</w:t>
      </w:r>
      <w:r w:rsidRPr="00CE6AE7">
        <w:rPr>
          <w:rFonts w:ascii="Times New Roman" w:hAnsi="Times New Roman"/>
          <w:spacing w:val="-10"/>
        </w:rPr>
        <w:t>共同制定之國際健康帳</w:t>
      </w:r>
      <w:r w:rsidR="00770C7B" w:rsidRPr="00CE6AE7">
        <w:rPr>
          <w:rFonts w:ascii="Times New Roman" w:hAnsi="Times New Roman" w:hint="eastAsia"/>
          <w:spacing w:val="-10"/>
        </w:rPr>
        <w:t>（</w:t>
      </w:r>
      <w:r w:rsidRPr="00CE6AE7">
        <w:rPr>
          <w:rFonts w:ascii="Times New Roman" w:hAnsi="Times New Roman"/>
          <w:spacing w:val="-10"/>
        </w:rPr>
        <w:t>A System of Health Accounts</w:t>
      </w:r>
      <w:r w:rsidRPr="00CE6AE7">
        <w:rPr>
          <w:rFonts w:ascii="Times New Roman" w:hAnsi="Times New Roman"/>
          <w:spacing w:val="-10"/>
        </w:rPr>
        <w:t>，下稱</w:t>
      </w:r>
      <w:r w:rsidRPr="00CE6AE7">
        <w:rPr>
          <w:rFonts w:ascii="Times New Roman" w:hAnsi="Times New Roman"/>
          <w:spacing w:val="-10"/>
        </w:rPr>
        <w:t>SHA</w:t>
      </w:r>
      <w:r w:rsidR="00770C7B" w:rsidRPr="00CE6AE7">
        <w:rPr>
          <w:rFonts w:ascii="Times New Roman" w:hAnsi="Times New Roman" w:hint="eastAsia"/>
          <w:spacing w:val="-10"/>
        </w:rPr>
        <w:t>）</w:t>
      </w:r>
      <w:r w:rsidRPr="00CE6AE7">
        <w:rPr>
          <w:rFonts w:ascii="Times New Roman" w:hAnsi="Times New Roman"/>
          <w:spacing w:val="-10"/>
        </w:rPr>
        <w:t>分類架構進行評估。依</w:t>
      </w:r>
      <w:r w:rsidRPr="00CE6AE7">
        <w:rPr>
          <w:rFonts w:ascii="Times New Roman" w:hAnsi="Times New Roman"/>
          <w:spacing w:val="-10"/>
        </w:rPr>
        <w:t>SHA</w:t>
      </w:r>
      <w:r w:rsidRPr="00CE6AE7">
        <w:rPr>
          <w:rFonts w:ascii="Times New Roman" w:hAnsi="Times New Roman"/>
          <w:spacing w:val="-10"/>
        </w:rPr>
        <w:t>功能別分類，特材項目</w:t>
      </w:r>
      <w:r w:rsidR="00770C7B" w:rsidRPr="00CE6AE7">
        <w:rPr>
          <w:rFonts w:ascii="Times New Roman" w:hAnsi="Times New Roman" w:hint="eastAsia"/>
          <w:spacing w:val="-10"/>
        </w:rPr>
        <w:t>無單獨列舉，</w:t>
      </w:r>
      <w:r w:rsidRPr="00CE6AE7">
        <w:rPr>
          <w:rFonts w:ascii="Times New Roman" w:hAnsi="Times New Roman"/>
          <w:spacing w:val="-10"/>
        </w:rPr>
        <w:t>多以包裹於醫療服務方式支付。又部分國家無醫療資本支出資料，故以不含資本支出之經常性醫療保健支出（</w:t>
      </w:r>
      <w:r w:rsidRPr="00CE6AE7">
        <w:rPr>
          <w:rFonts w:ascii="Times New Roman" w:hAnsi="Times New Roman"/>
          <w:spacing w:val="-10"/>
        </w:rPr>
        <w:t>CurrentHealth Expenditure</w:t>
      </w:r>
      <w:r w:rsidRPr="00CE6AE7">
        <w:rPr>
          <w:rFonts w:ascii="Times New Roman" w:hAnsi="Times New Roman"/>
          <w:spacing w:val="-10"/>
        </w:rPr>
        <w:t>，下稱</w:t>
      </w:r>
      <w:r w:rsidRPr="00CE6AE7">
        <w:rPr>
          <w:rFonts w:ascii="Times New Roman" w:hAnsi="Times New Roman"/>
          <w:spacing w:val="-10"/>
        </w:rPr>
        <w:t>CHE</w:t>
      </w:r>
      <w:r w:rsidRPr="00CE6AE7">
        <w:rPr>
          <w:rFonts w:ascii="Times New Roman" w:hAnsi="Times New Roman"/>
          <w:spacing w:val="-10"/>
        </w:rPr>
        <w:t>）作為比較基準。</w:t>
      </w:r>
    </w:p>
    <w:p w14:paraId="60EC8EEB" w14:textId="13E9278D" w:rsidR="001C6043" w:rsidRDefault="001C6043" w:rsidP="001C6043">
      <w:pPr>
        <w:pStyle w:val="4"/>
        <w:rPr>
          <w:rFonts w:ascii="Times New Roman" w:hAnsi="Times New Roman"/>
        </w:rPr>
      </w:pPr>
      <w:r w:rsidRPr="00CE6AE7">
        <w:rPr>
          <w:rFonts w:ascii="Times New Roman" w:hAnsi="Times New Roman"/>
        </w:rPr>
        <w:t>依長期趨勢而言，我國醫療照護</w:t>
      </w:r>
      <w:r w:rsidR="00770C7B" w:rsidRPr="00CE6AE7">
        <w:rPr>
          <w:rFonts w:ascii="Times New Roman" w:hAnsi="Times New Roman" w:hint="eastAsia"/>
        </w:rPr>
        <w:t>支出</w:t>
      </w:r>
      <w:r w:rsidRPr="00CE6AE7">
        <w:rPr>
          <w:rFonts w:ascii="Times New Roman" w:hAnsi="Times New Roman"/>
        </w:rPr>
        <w:t>於</w:t>
      </w:r>
      <w:r w:rsidRPr="00CE6AE7">
        <w:rPr>
          <w:rFonts w:ascii="Times New Roman" w:hAnsi="Times New Roman"/>
        </w:rPr>
        <w:t>CHE</w:t>
      </w:r>
      <w:r w:rsidRPr="00CE6AE7">
        <w:rPr>
          <w:rFonts w:ascii="Times New Roman" w:hAnsi="Times New Roman"/>
        </w:rPr>
        <w:t>占率，自西元</w:t>
      </w:r>
      <w:r w:rsidRPr="00CE6AE7">
        <w:rPr>
          <w:rFonts w:ascii="Times New Roman" w:hAnsi="Times New Roman"/>
        </w:rPr>
        <w:t>2015</w:t>
      </w:r>
      <w:r w:rsidRPr="00CE6AE7">
        <w:rPr>
          <w:rFonts w:ascii="Times New Roman" w:hAnsi="Times New Roman"/>
        </w:rPr>
        <w:t>年（涉及國際年份以西元表示之，下同）</w:t>
      </w:r>
      <w:r w:rsidRPr="00CE6AE7">
        <w:rPr>
          <w:rFonts w:ascii="Times New Roman" w:hAnsi="Times New Roman"/>
        </w:rPr>
        <w:t>55.41%</w:t>
      </w:r>
      <w:r w:rsidRPr="00CE6AE7">
        <w:rPr>
          <w:rFonts w:ascii="Times New Roman" w:hAnsi="Times New Roman"/>
        </w:rPr>
        <w:t>，至</w:t>
      </w:r>
      <w:r w:rsidRPr="00CE6AE7">
        <w:rPr>
          <w:rFonts w:ascii="Times New Roman" w:hAnsi="Times New Roman"/>
        </w:rPr>
        <w:t>2019</w:t>
      </w:r>
      <w:r w:rsidRPr="00CE6AE7">
        <w:rPr>
          <w:rFonts w:ascii="Times New Roman" w:hAnsi="Times New Roman"/>
        </w:rPr>
        <w:t>年下降為</w:t>
      </w:r>
      <w:r w:rsidRPr="00CE6AE7">
        <w:rPr>
          <w:rFonts w:ascii="Times New Roman" w:hAnsi="Times New Roman"/>
        </w:rPr>
        <w:t>53.05%</w:t>
      </w:r>
      <w:r w:rsidRPr="00CE6AE7">
        <w:rPr>
          <w:rFonts w:ascii="Times New Roman" w:hAnsi="Times New Roman"/>
        </w:rPr>
        <w:t>，</w:t>
      </w:r>
      <w:r w:rsidRPr="00CE6AE7">
        <w:rPr>
          <w:rFonts w:ascii="Times New Roman" w:hAnsi="Times New Roman"/>
        </w:rPr>
        <w:t>2023</w:t>
      </w:r>
      <w:r w:rsidRPr="00CE6AE7">
        <w:rPr>
          <w:rFonts w:ascii="Times New Roman" w:hAnsi="Times New Roman"/>
        </w:rPr>
        <w:t>年下降為</w:t>
      </w:r>
      <w:r w:rsidRPr="00CE6AE7">
        <w:rPr>
          <w:rFonts w:ascii="Times New Roman" w:hAnsi="Times New Roman"/>
        </w:rPr>
        <w:t>48.75%</w:t>
      </w:r>
      <w:r w:rsidRPr="00CE6AE7">
        <w:rPr>
          <w:rFonts w:ascii="Times New Roman" w:hAnsi="Times New Roman"/>
        </w:rPr>
        <w:t>，</w:t>
      </w:r>
      <w:r w:rsidRPr="00CE6AE7">
        <w:rPr>
          <w:rFonts w:ascii="Times New Roman" w:hAnsi="Times New Roman"/>
          <w:b/>
          <w:bCs/>
          <w:u w:val="single"/>
        </w:rPr>
        <w:t>9</w:t>
      </w:r>
      <w:r w:rsidRPr="00CE6AE7">
        <w:rPr>
          <w:rFonts w:ascii="Times New Roman" w:hAnsi="Times New Roman"/>
          <w:b/>
          <w:bCs/>
          <w:u w:val="single"/>
        </w:rPr>
        <w:t>年間約下降</w:t>
      </w:r>
      <w:r w:rsidRPr="00CE6AE7">
        <w:rPr>
          <w:rFonts w:ascii="Times New Roman" w:hAnsi="Times New Roman"/>
          <w:b/>
          <w:bCs/>
          <w:u w:val="single"/>
        </w:rPr>
        <w:t>7%</w:t>
      </w:r>
      <w:r w:rsidRPr="00CE6AE7">
        <w:rPr>
          <w:rFonts w:ascii="Times New Roman" w:hAnsi="Times New Roman"/>
        </w:rPr>
        <w:t>；日本於</w:t>
      </w:r>
      <w:r w:rsidRPr="00CE6AE7">
        <w:rPr>
          <w:rFonts w:ascii="Times New Roman" w:hAnsi="Times New Roman"/>
        </w:rPr>
        <w:t>2015</w:t>
      </w:r>
      <w:r w:rsidRPr="00CE6AE7">
        <w:rPr>
          <w:rFonts w:ascii="Times New Roman" w:hAnsi="Times New Roman"/>
        </w:rPr>
        <w:t>年</w:t>
      </w:r>
      <w:r w:rsidRPr="00CE6AE7">
        <w:rPr>
          <w:rFonts w:ascii="Times New Roman" w:hAnsi="Times New Roman"/>
        </w:rPr>
        <w:t>55.45%</w:t>
      </w:r>
      <w:r w:rsidRPr="00CE6AE7">
        <w:rPr>
          <w:rFonts w:ascii="Times New Roman" w:hAnsi="Times New Roman"/>
        </w:rPr>
        <w:t>，至</w:t>
      </w:r>
      <w:r w:rsidRPr="00CE6AE7">
        <w:rPr>
          <w:rFonts w:ascii="Times New Roman" w:hAnsi="Times New Roman"/>
        </w:rPr>
        <w:t>2019</w:t>
      </w:r>
      <w:r w:rsidRPr="00CE6AE7">
        <w:rPr>
          <w:rFonts w:ascii="Times New Roman" w:hAnsi="Times New Roman"/>
        </w:rPr>
        <w:t>年增為</w:t>
      </w:r>
      <w:r w:rsidRPr="00CE6AE7">
        <w:rPr>
          <w:rFonts w:ascii="Times New Roman" w:hAnsi="Times New Roman"/>
        </w:rPr>
        <w:t>56.58%</w:t>
      </w:r>
      <w:r w:rsidRPr="00CE6AE7">
        <w:rPr>
          <w:rFonts w:ascii="Times New Roman" w:hAnsi="Times New Roman"/>
        </w:rPr>
        <w:t>，</w:t>
      </w:r>
      <w:r w:rsidRPr="00CE6AE7">
        <w:rPr>
          <w:rFonts w:ascii="Times New Roman" w:hAnsi="Times New Roman"/>
        </w:rPr>
        <w:t>2023</w:t>
      </w:r>
      <w:r w:rsidRPr="00CE6AE7">
        <w:rPr>
          <w:rFonts w:ascii="Times New Roman" w:hAnsi="Times New Roman"/>
        </w:rPr>
        <w:t>年增至</w:t>
      </w:r>
      <w:r w:rsidRPr="00CE6AE7">
        <w:rPr>
          <w:rFonts w:ascii="Times New Roman" w:hAnsi="Times New Roman"/>
        </w:rPr>
        <w:lastRenderedPageBreak/>
        <w:t>57.98%</w:t>
      </w:r>
      <w:r w:rsidRPr="00CE6AE7">
        <w:rPr>
          <w:rFonts w:ascii="Times New Roman" w:hAnsi="Times New Roman"/>
        </w:rPr>
        <w:t>，</w:t>
      </w:r>
      <w:r w:rsidRPr="00CE6AE7">
        <w:rPr>
          <w:rFonts w:ascii="Times New Roman" w:hAnsi="Times New Roman"/>
          <w:b/>
          <w:bCs/>
          <w:u w:val="single"/>
        </w:rPr>
        <w:t>9</w:t>
      </w:r>
      <w:r w:rsidRPr="00CE6AE7">
        <w:rPr>
          <w:rFonts w:ascii="Times New Roman" w:hAnsi="Times New Roman"/>
          <w:b/>
          <w:bCs/>
          <w:u w:val="single"/>
        </w:rPr>
        <w:t>年間約上升</w:t>
      </w:r>
      <w:r w:rsidRPr="00CE6AE7">
        <w:rPr>
          <w:rFonts w:ascii="Times New Roman" w:hAnsi="Times New Roman"/>
          <w:b/>
          <w:bCs/>
          <w:u w:val="single"/>
        </w:rPr>
        <w:t>2.5%</w:t>
      </w:r>
      <w:r w:rsidRPr="00CE6AE7">
        <w:rPr>
          <w:rFonts w:ascii="Times New Roman" w:hAnsi="Times New Roman"/>
        </w:rPr>
        <w:t>；韓國則於</w:t>
      </w:r>
      <w:r w:rsidRPr="00CE6AE7">
        <w:rPr>
          <w:rFonts w:ascii="Times New Roman" w:hAnsi="Times New Roman"/>
        </w:rPr>
        <w:t>2015</w:t>
      </w:r>
      <w:r w:rsidRPr="00CE6AE7">
        <w:rPr>
          <w:rFonts w:ascii="Times New Roman" w:hAnsi="Times New Roman"/>
        </w:rPr>
        <w:t>年</w:t>
      </w:r>
      <w:r w:rsidRPr="00CE6AE7">
        <w:rPr>
          <w:rFonts w:ascii="Times New Roman" w:hAnsi="Times New Roman"/>
        </w:rPr>
        <w:t>59.35%</w:t>
      </w:r>
      <w:r w:rsidRPr="00CE6AE7">
        <w:rPr>
          <w:rFonts w:ascii="Times New Roman" w:hAnsi="Times New Roman"/>
        </w:rPr>
        <w:t>，至</w:t>
      </w:r>
      <w:r w:rsidRPr="00CE6AE7">
        <w:rPr>
          <w:rFonts w:ascii="Times New Roman" w:hAnsi="Times New Roman"/>
        </w:rPr>
        <w:t>2019</w:t>
      </w:r>
      <w:r w:rsidRPr="00CE6AE7">
        <w:rPr>
          <w:rFonts w:ascii="Times New Roman" w:hAnsi="Times New Roman"/>
        </w:rPr>
        <w:t>年降為</w:t>
      </w:r>
      <w:r w:rsidRPr="00CE6AE7">
        <w:rPr>
          <w:rFonts w:ascii="Times New Roman" w:hAnsi="Times New Roman"/>
        </w:rPr>
        <w:t>58.27%</w:t>
      </w:r>
      <w:r w:rsidRPr="00CE6AE7">
        <w:rPr>
          <w:rFonts w:ascii="Times New Roman" w:hAnsi="Times New Roman"/>
        </w:rPr>
        <w:t>，</w:t>
      </w:r>
      <w:r w:rsidRPr="00CE6AE7">
        <w:rPr>
          <w:rFonts w:ascii="Times New Roman" w:hAnsi="Times New Roman"/>
        </w:rPr>
        <w:t>2023</w:t>
      </w:r>
      <w:r w:rsidRPr="00CE6AE7">
        <w:rPr>
          <w:rFonts w:ascii="Times New Roman" w:hAnsi="Times New Roman"/>
        </w:rPr>
        <w:t>年降至</w:t>
      </w:r>
      <w:r w:rsidRPr="00CE6AE7">
        <w:rPr>
          <w:rFonts w:ascii="Times New Roman" w:hAnsi="Times New Roman"/>
        </w:rPr>
        <w:t>56.94%</w:t>
      </w:r>
      <w:r w:rsidRPr="00CE6AE7">
        <w:rPr>
          <w:rFonts w:ascii="Times New Roman" w:hAnsi="Times New Roman"/>
        </w:rPr>
        <w:t>，</w:t>
      </w:r>
      <w:r w:rsidRPr="00CE6AE7">
        <w:rPr>
          <w:rFonts w:ascii="Times New Roman" w:hAnsi="Times New Roman"/>
          <w:b/>
          <w:bCs/>
          <w:u w:val="single"/>
        </w:rPr>
        <w:t>9</w:t>
      </w:r>
      <w:r w:rsidRPr="00CE6AE7">
        <w:rPr>
          <w:rFonts w:ascii="Times New Roman" w:hAnsi="Times New Roman"/>
          <w:b/>
          <w:bCs/>
          <w:u w:val="single"/>
        </w:rPr>
        <w:t>年間約下降</w:t>
      </w:r>
      <w:r w:rsidRPr="00CE6AE7">
        <w:rPr>
          <w:rFonts w:ascii="Times New Roman" w:hAnsi="Times New Roman"/>
          <w:b/>
          <w:bCs/>
          <w:u w:val="single"/>
        </w:rPr>
        <w:t>2%</w:t>
      </w:r>
      <w:r w:rsidRPr="00CE6AE7">
        <w:rPr>
          <w:rFonts w:ascii="Times New Roman" w:hAnsi="Times New Roman"/>
        </w:rPr>
        <w:t>，美國則均</w:t>
      </w:r>
      <w:r w:rsidR="00433F65">
        <w:rPr>
          <w:rFonts w:ascii="Times New Roman" w:hAnsi="Times New Roman" w:hint="eastAsia"/>
        </w:rPr>
        <w:t>約</w:t>
      </w:r>
      <w:r w:rsidRPr="00CE6AE7">
        <w:rPr>
          <w:rFonts w:ascii="Times New Roman" w:hAnsi="Times New Roman"/>
        </w:rPr>
        <w:t>66%</w:t>
      </w:r>
      <w:r w:rsidRPr="00CE6AE7">
        <w:rPr>
          <w:rFonts w:ascii="Times New Roman" w:hAnsi="Times New Roman"/>
        </w:rPr>
        <w:t>。</w:t>
      </w:r>
    </w:p>
    <w:p w14:paraId="76AF39C3" w14:textId="5C8966B6" w:rsidR="00433F65" w:rsidRPr="00433F65" w:rsidRDefault="00433F65" w:rsidP="001C6043">
      <w:pPr>
        <w:pStyle w:val="4"/>
        <w:rPr>
          <w:rFonts w:ascii="Times New Roman" w:hAnsi="Times New Roman"/>
          <w:bCs/>
        </w:rPr>
      </w:pPr>
      <w:r w:rsidRPr="00433F65">
        <w:rPr>
          <w:rFonts w:ascii="Times New Roman" w:hAnsi="Times New Roman"/>
          <w:bCs/>
        </w:rPr>
        <w:t>我國醫療照護支出占醫療保健總額之下降幅度，</w:t>
      </w:r>
      <w:r>
        <w:rPr>
          <w:rFonts w:ascii="Times New Roman" w:hAnsi="Times New Roman" w:hint="eastAsia"/>
          <w:bCs/>
        </w:rPr>
        <w:t>顯</w:t>
      </w:r>
      <w:r w:rsidRPr="00433F65">
        <w:rPr>
          <w:rFonts w:ascii="Times New Roman" w:hAnsi="Times New Roman"/>
          <w:bCs/>
        </w:rPr>
        <w:t>較日本及韓國明顯</w:t>
      </w:r>
      <w:r>
        <w:rPr>
          <w:rFonts w:ascii="Times New Roman" w:hAnsi="Times New Roman" w:hint="eastAsia"/>
          <w:bCs/>
        </w:rPr>
        <w:t>，詳如下表。</w:t>
      </w:r>
    </w:p>
    <w:p w14:paraId="6E33BB37" w14:textId="77777777" w:rsidR="001C6043" w:rsidRPr="00CE6AE7" w:rsidRDefault="001C6043" w:rsidP="001C6043">
      <w:pPr>
        <w:pStyle w:val="a4"/>
        <w:spacing w:before="60" w:after="0"/>
        <w:ind w:leftChars="292" w:left="993" w:firstLine="0"/>
        <w:jc w:val="left"/>
        <w:rPr>
          <w:rFonts w:ascii="Times New Roman" w:hAnsi="Times New Roman"/>
        </w:rPr>
      </w:pPr>
      <w:r w:rsidRPr="00CE6AE7">
        <w:rPr>
          <w:rFonts w:ascii="Times New Roman" w:hAnsi="Times New Roman"/>
        </w:rPr>
        <w:t>我國與先進國家之醫療照護及藥品於</w:t>
      </w:r>
      <w:r w:rsidRPr="00CE6AE7">
        <w:rPr>
          <w:rFonts w:ascii="Times New Roman" w:hAnsi="Times New Roman"/>
        </w:rPr>
        <w:t>CHE</w:t>
      </w:r>
      <w:r w:rsidRPr="00CE6AE7">
        <w:rPr>
          <w:rFonts w:ascii="Times New Roman" w:hAnsi="Times New Roman"/>
        </w:rPr>
        <w:t>之占比</w:t>
      </w:r>
    </w:p>
    <w:p w14:paraId="51A211C2" w14:textId="77777777" w:rsidR="001C6043" w:rsidRPr="00CE6AE7" w:rsidRDefault="001C6043" w:rsidP="001C6043">
      <w:pPr>
        <w:pStyle w:val="a4"/>
        <w:numPr>
          <w:ilvl w:val="0"/>
          <w:numId w:val="0"/>
        </w:numPr>
        <w:spacing w:before="0" w:after="0" w:line="240" w:lineRule="exact"/>
        <w:ind w:left="992" w:rightChars="-233" w:right="-793"/>
        <w:jc w:val="right"/>
        <w:rPr>
          <w:rFonts w:ascii="Times New Roman" w:hAnsi="Times New Roman"/>
          <w:sz w:val="24"/>
          <w:szCs w:val="24"/>
        </w:rPr>
      </w:pPr>
      <w:r w:rsidRPr="00CE6AE7">
        <w:rPr>
          <w:rFonts w:ascii="Times New Roman" w:hAnsi="Times New Roman"/>
          <w:sz w:val="24"/>
          <w:szCs w:val="24"/>
        </w:rPr>
        <w:t>單位：年、</w:t>
      </w:r>
      <w:r w:rsidRPr="00CE6AE7">
        <w:rPr>
          <w:rFonts w:ascii="Times New Roman" w:hAnsi="Times New Roman"/>
          <w:sz w:val="24"/>
          <w:szCs w:val="24"/>
        </w:rPr>
        <w:t>%</w:t>
      </w:r>
    </w:p>
    <w:tbl>
      <w:tblPr>
        <w:tblW w:w="8652"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884"/>
        <w:gridCol w:w="970"/>
        <w:gridCol w:w="970"/>
        <w:gridCol w:w="970"/>
        <w:gridCol w:w="971"/>
        <w:gridCol w:w="970"/>
        <w:gridCol w:w="970"/>
        <w:gridCol w:w="970"/>
        <w:gridCol w:w="971"/>
        <w:gridCol w:w="6"/>
      </w:tblGrid>
      <w:tr w:rsidR="00CE6AE7" w:rsidRPr="00CE6AE7" w14:paraId="27862C36" w14:textId="77777777" w:rsidTr="00D55ECD">
        <w:trPr>
          <w:trHeight w:val="20"/>
          <w:tblHeader/>
        </w:trPr>
        <w:tc>
          <w:tcPr>
            <w:tcW w:w="884" w:type="dxa"/>
            <w:vMerge w:val="restart"/>
            <w:shd w:val="clear" w:color="auto" w:fill="D9D9D9" w:themeFill="background1" w:themeFillShade="D9"/>
            <w:vAlign w:val="center"/>
          </w:tcPr>
          <w:p w14:paraId="51902527" w14:textId="77777777" w:rsidR="001C6043" w:rsidRPr="00CE6AE7" w:rsidRDefault="001C6043" w:rsidP="00D55ECD">
            <w:pPr>
              <w:jc w:val="center"/>
              <w:rPr>
                <w:rFonts w:ascii="Times New Roman"/>
                <w:spacing w:val="-8"/>
                <w:sz w:val="28"/>
                <w:szCs w:val="28"/>
              </w:rPr>
            </w:pPr>
            <w:r w:rsidRPr="00CE6AE7">
              <w:rPr>
                <w:rFonts w:ascii="Times New Roman"/>
                <w:spacing w:val="-20"/>
                <w:sz w:val="28"/>
                <w:szCs w:val="28"/>
              </w:rPr>
              <w:t>年度</w:t>
            </w:r>
          </w:p>
        </w:tc>
        <w:tc>
          <w:tcPr>
            <w:tcW w:w="1940" w:type="dxa"/>
            <w:gridSpan w:val="2"/>
            <w:shd w:val="clear" w:color="auto" w:fill="D9D9D9" w:themeFill="background1" w:themeFillShade="D9"/>
            <w:vAlign w:val="center"/>
          </w:tcPr>
          <w:p w14:paraId="21EE35AB" w14:textId="77777777" w:rsidR="001C6043" w:rsidRPr="00CE6AE7" w:rsidRDefault="001C6043" w:rsidP="00D55ECD">
            <w:pPr>
              <w:jc w:val="center"/>
              <w:rPr>
                <w:rFonts w:ascii="Times New Roman"/>
                <w:spacing w:val="-8"/>
                <w:sz w:val="28"/>
                <w:szCs w:val="28"/>
              </w:rPr>
            </w:pPr>
            <w:r w:rsidRPr="00CE6AE7">
              <w:rPr>
                <w:rFonts w:ascii="Times New Roman"/>
                <w:spacing w:val="-8"/>
                <w:sz w:val="28"/>
                <w:szCs w:val="28"/>
              </w:rPr>
              <w:t>我國</w:t>
            </w:r>
          </w:p>
        </w:tc>
        <w:tc>
          <w:tcPr>
            <w:tcW w:w="1941" w:type="dxa"/>
            <w:gridSpan w:val="2"/>
            <w:shd w:val="clear" w:color="auto" w:fill="D9D9D9" w:themeFill="background1" w:themeFillShade="D9"/>
            <w:vAlign w:val="center"/>
          </w:tcPr>
          <w:p w14:paraId="4A8D9532" w14:textId="77777777" w:rsidR="001C6043" w:rsidRPr="00CE6AE7" w:rsidRDefault="001C6043" w:rsidP="00D55ECD">
            <w:pPr>
              <w:jc w:val="center"/>
              <w:rPr>
                <w:rFonts w:ascii="Times New Roman"/>
                <w:spacing w:val="-8"/>
                <w:sz w:val="28"/>
                <w:szCs w:val="28"/>
              </w:rPr>
            </w:pPr>
            <w:r w:rsidRPr="00CE6AE7">
              <w:rPr>
                <w:rFonts w:ascii="Times New Roman"/>
                <w:spacing w:val="-8"/>
                <w:sz w:val="28"/>
                <w:szCs w:val="28"/>
              </w:rPr>
              <w:t>日本</w:t>
            </w:r>
          </w:p>
        </w:tc>
        <w:tc>
          <w:tcPr>
            <w:tcW w:w="1940" w:type="dxa"/>
            <w:gridSpan w:val="2"/>
            <w:shd w:val="clear" w:color="auto" w:fill="D9D9D9" w:themeFill="background1" w:themeFillShade="D9"/>
            <w:vAlign w:val="center"/>
          </w:tcPr>
          <w:p w14:paraId="34A18238" w14:textId="77777777" w:rsidR="001C6043" w:rsidRPr="00CE6AE7" w:rsidRDefault="001C6043" w:rsidP="00D55ECD">
            <w:pPr>
              <w:jc w:val="center"/>
              <w:rPr>
                <w:rFonts w:ascii="Times New Roman"/>
                <w:spacing w:val="-8"/>
                <w:sz w:val="28"/>
                <w:szCs w:val="28"/>
              </w:rPr>
            </w:pPr>
            <w:r w:rsidRPr="00CE6AE7">
              <w:rPr>
                <w:rFonts w:ascii="Times New Roman"/>
                <w:spacing w:val="-8"/>
                <w:sz w:val="28"/>
                <w:szCs w:val="28"/>
              </w:rPr>
              <w:t>韓國</w:t>
            </w:r>
          </w:p>
        </w:tc>
        <w:tc>
          <w:tcPr>
            <w:tcW w:w="1947" w:type="dxa"/>
            <w:gridSpan w:val="3"/>
            <w:shd w:val="clear" w:color="auto" w:fill="D9D9D9" w:themeFill="background1" w:themeFillShade="D9"/>
            <w:vAlign w:val="center"/>
          </w:tcPr>
          <w:p w14:paraId="330D7D21" w14:textId="77777777" w:rsidR="001C6043" w:rsidRPr="00CE6AE7" w:rsidRDefault="001C6043" w:rsidP="00D55ECD">
            <w:pPr>
              <w:jc w:val="center"/>
              <w:rPr>
                <w:rFonts w:ascii="Times New Roman"/>
                <w:spacing w:val="-8"/>
                <w:sz w:val="28"/>
                <w:szCs w:val="28"/>
              </w:rPr>
            </w:pPr>
            <w:r w:rsidRPr="00CE6AE7">
              <w:rPr>
                <w:rFonts w:ascii="Times New Roman"/>
                <w:spacing w:val="-8"/>
                <w:sz w:val="28"/>
                <w:szCs w:val="28"/>
              </w:rPr>
              <w:t>美國</w:t>
            </w:r>
          </w:p>
        </w:tc>
      </w:tr>
      <w:tr w:rsidR="00CE6AE7" w:rsidRPr="00CE6AE7" w14:paraId="09E1B7B6" w14:textId="77777777" w:rsidTr="00D55ECD">
        <w:trPr>
          <w:gridAfter w:val="1"/>
          <w:wAfter w:w="6" w:type="dxa"/>
          <w:trHeight w:val="20"/>
          <w:tblHeader/>
        </w:trPr>
        <w:tc>
          <w:tcPr>
            <w:tcW w:w="884" w:type="dxa"/>
            <w:vMerge/>
            <w:shd w:val="clear" w:color="auto" w:fill="D9D9D9" w:themeFill="background1" w:themeFillShade="D9"/>
            <w:vAlign w:val="center"/>
          </w:tcPr>
          <w:p w14:paraId="615AE98F" w14:textId="77777777" w:rsidR="001C6043" w:rsidRPr="00CE6AE7" w:rsidRDefault="001C6043" w:rsidP="00D55ECD">
            <w:pPr>
              <w:jc w:val="center"/>
              <w:rPr>
                <w:rFonts w:ascii="Times New Roman"/>
                <w:spacing w:val="-20"/>
                <w:sz w:val="28"/>
                <w:szCs w:val="28"/>
              </w:rPr>
            </w:pPr>
          </w:p>
        </w:tc>
        <w:tc>
          <w:tcPr>
            <w:tcW w:w="970" w:type="dxa"/>
            <w:shd w:val="clear" w:color="auto" w:fill="D9D9D9" w:themeFill="background1" w:themeFillShade="D9"/>
            <w:vAlign w:val="center"/>
          </w:tcPr>
          <w:p w14:paraId="77BEF9E6" w14:textId="77777777" w:rsidR="001C6043" w:rsidRPr="00CE6AE7" w:rsidRDefault="001C6043" w:rsidP="00D55ECD">
            <w:pPr>
              <w:jc w:val="center"/>
              <w:rPr>
                <w:rFonts w:ascii="Times New Roman"/>
                <w:spacing w:val="-20"/>
                <w:sz w:val="28"/>
                <w:szCs w:val="28"/>
              </w:rPr>
            </w:pPr>
            <w:r w:rsidRPr="00CE6AE7">
              <w:rPr>
                <w:rFonts w:ascii="Times New Roman"/>
                <w:spacing w:val="-20"/>
                <w:sz w:val="28"/>
                <w:szCs w:val="28"/>
              </w:rPr>
              <w:t>醫療</w:t>
            </w:r>
          </w:p>
          <w:p w14:paraId="7485DC6B" w14:textId="77777777" w:rsidR="001C6043" w:rsidRPr="00CE6AE7" w:rsidRDefault="001C6043" w:rsidP="00D55ECD">
            <w:pPr>
              <w:jc w:val="center"/>
              <w:rPr>
                <w:rFonts w:ascii="Times New Roman"/>
                <w:spacing w:val="-20"/>
                <w:sz w:val="28"/>
                <w:szCs w:val="28"/>
              </w:rPr>
            </w:pPr>
            <w:r w:rsidRPr="00CE6AE7">
              <w:rPr>
                <w:rFonts w:ascii="Times New Roman"/>
                <w:spacing w:val="-20"/>
                <w:sz w:val="28"/>
                <w:szCs w:val="28"/>
              </w:rPr>
              <w:t>照護</w:t>
            </w:r>
          </w:p>
        </w:tc>
        <w:tc>
          <w:tcPr>
            <w:tcW w:w="970" w:type="dxa"/>
            <w:shd w:val="clear" w:color="auto" w:fill="D9D9D9" w:themeFill="background1" w:themeFillShade="D9"/>
            <w:vAlign w:val="center"/>
          </w:tcPr>
          <w:p w14:paraId="4E65FC6A" w14:textId="77777777" w:rsidR="001C6043" w:rsidRPr="00CE6AE7" w:rsidRDefault="001C6043" w:rsidP="00D55ECD">
            <w:pPr>
              <w:jc w:val="center"/>
              <w:rPr>
                <w:rFonts w:ascii="Times New Roman"/>
                <w:spacing w:val="-20"/>
                <w:sz w:val="28"/>
                <w:szCs w:val="28"/>
              </w:rPr>
            </w:pPr>
            <w:r w:rsidRPr="00CE6AE7">
              <w:rPr>
                <w:rFonts w:ascii="Times New Roman"/>
                <w:spacing w:val="-20"/>
                <w:sz w:val="28"/>
                <w:szCs w:val="28"/>
              </w:rPr>
              <w:t>藥品</w:t>
            </w:r>
          </w:p>
        </w:tc>
        <w:tc>
          <w:tcPr>
            <w:tcW w:w="970" w:type="dxa"/>
            <w:shd w:val="clear" w:color="auto" w:fill="D9D9D9" w:themeFill="background1" w:themeFillShade="D9"/>
            <w:vAlign w:val="center"/>
          </w:tcPr>
          <w:p w14:paraId="39915EFA" w14:textId="77777777" w:rsidR="001C6043" w:rsidRPr="00CE6AE7" w:rsidRDefault="001C6043" w:rsidP="00D55ECD">
            <w:pPr>
              <w:jc w:val="center"/>
              <w:rPr>
                <w:rFonts w:ascii="Times New Roman"/>
                <w:spacing w:val="-20"/>
                <w:sz w:val="28"/>
                <w:szCs w:val="28"/>
              </w:rPr>
            </w:pPr>
            <w:r w:rsidRPr="00CE6AE7">
              <w:rPr>
                <w:rFonts w:ascii="Times New Roman"/>
                <w:spacing w:val="-20"/>
                <w:sz w:val="28"/>
                <w:szCs w:val="28"/>
              </w:rPr>
              <w:t>醫療</w:t>
            </w:r>
          </w:p>
          <w:p w14:paraId="18F568F3" w14:textId="77777777" w:rsidR="001C6043" w:rsidRPr="00CE6AE7" w:rsidRDefault="001C6043" w:rsidP="00D55ECD">
            <w:pPr>
              <w:jc w:val="center"/>
              <w:rPr>
                <w:rFonts w:ascii="Times New Roman"/>
                <w:spacing w:val="-20"/>
                <w:sz w:val="28"/>
                <w:szCs w:val="28"/>
              </w:rPr>
            </w:pPr>
            <w:r w:rsidRPr="00CE6AE7">
              <w:rPr>
                <w:rFonts w:ascii="Times New Roman"/>
                <w:spacing w:val="-20"/>
                <w:sz w:val="28"/>
                <w:szCs w:val="28"/>
              </w:rPr>
              <w:t>照護</w:t>
            </w:r>
          </w:p>
        </w:tc>
        <w:tc>
          <w:tcPr>
            <w:tcW w:w="971" w:type="dxa"/>
            <w:shd w:val="clear" w:color="auto" w:fill="D9D9D9" w:themeFill="background1" w:themeFillShade="D9"/>
            <w:vAlign w:val="center"/>
          </w:tcPr>
          <w:p w14:paraId="19C7FABC" w14:textId="77777777" w:rsidR="001C6043" w:rsidRPr="00CE6AE7" w:rsidRDefault="001C6043" w:rsidP="00D55ECD">
            <w:pPr>
              <w:jc w:val="center"/>
              <w:rPr>
                <w:rFonts w:ascii="Times New Roman"/>
                <w:spacing w:val="-20"/>
                <w:sz w:val="28"/>
                <w:szCs w:val="28"/>
              </w:rPr>
            </w:pPr>
            <w:r w:rsidRPr="00CE6AE7">
              <w:rPr>
                <w:rFonts w:ascii="Times New Roman"/>
                <w:spacing w:val="-20"/>
                <w:sz w:val="28"/>
                <w:szCs w:val="28"/>
              </w:rPr>
              <w:t>藥品</w:t>
            </w:r>
          </w:p>
        </w:tc>
        <w:tc>
          <w:tcPr>
            <w:tcW w:w="970" w:type="dxa"/>
            <w:shd w:val="clear" w:color="auto" w:fill="D9D9D9" w:themeFill="background1" w:themeFillShade="D9"/>
            <w:vAlign w:val="center"/>
          </w:tcPr>
          <w:p w14:paraId="27EACA93" w14:textId="77777777" w:rsidR="001C6043" w:rsidRPr="00CE6AE7" w:rsidRDefault="001C6043" w:rsidP="00D55ECD">
            <w:pPr>
              <w:jc w:val="center"/>
              <w:rPr>
                <w:rFonts w:ascii="Times New Roman"/>
                <w:spacing w:val="-20"/>
                <w:sz w:val="28"/>
                <w:szCs w:val="28"/>
              </w:rPr>
            </w:pPr>
            <w:r w:rsidRPr="00CE6AE7">
              <w:rPr>
                <w:rFonts w:ascii="Times New Roman"/>
                <w:spacing w:val="-20"/>
                <w:sz w:val="28"/>
                <w:szCs w:val="28"/>
              </w:rPr>
              <w:t>醫療</w:t>
            </w:r>
          </w:p>
          <w:p w14:paraId="756A3FCB" w14:textId="77777777" w:rsidR="001C6043" w:rsidRPr="00CE6AE7" w:rsidRDefault="001C6043" w:rsidP="00D55ECD">
            <w:pPr>
              <w:jc w:val="center"/>
              <w:rPr>
                <w:rFonts w:ascii="Times New Roman"/>
                <w:spacing w:val="-20"/>
                <w:sz w:val="28"/>
                <w:szCs w:val="28"/>
              </w:rPr>
            </w:pPr>
            <w:r w:rsidRPr="00CE6AE7">
              <w:rPr>
                <w:rFonts w:ascii="Times New Roman"/>
                <w:spacing w:val="-20"/>
                <w:sz w:val="28"/>
                <w:szCs w:val="28"/>
              </w:rPr>
              <w:t>照護</w:t>
            </w:r>
          </w:p>
        </w:tc>
        <w:tc>
          <w:tcPr>
            <w:tcW w:w="970" w:type="dxa"/>
            <w:shd w:val="clear" w:color="auto" w:fill="D9D9D9" w:themeFill="background1" w:themeFillShade="D9"/>
            <w:vAlign w:val="center"/>
          </w:tcPr>
          <w:p w14:paraId="081E3926" w14:textId="77777777" w:rsidR="001C6043" w:rsidRPr="00CE6AE7" w:rsidRDefault="001C6043" w:rsidP="00D55ECD">
            <w:pPr>
              <w:jc w:val="center"/>
              <w:rPr>
                <w:rFonts w:ascii="Times New Roman"/>
                <w:spacing w:val="-20"/>
                <w:sz w:val="28"/>
                <w:szCs w:val="28"/>
              </w:rPr>
            </w:pPr>
            <w:r w:rsidRPr="00CE6AE7">
              <w:rPr>
                <w:rFonts w:ascii="Times New Roman"/>
                <w:spacing w:val="-20"/>
                <w:sz w:val="28"/>
                <w:szCs w:val="28"/>
              </w:rPr>
              <w:t>藥品</w:t>
            </w:r>
          </w:p>
        </w:tc>
        <w:tc>
          <w:tcPr>
            <w:tcW w:w="970" w:type="dxa"/>
            <w:shd w:val="clear" w:color="auto" w:fill="D9D9D9" w:themeFill="background1" w:themeFillShade="D9"/>
            <w:vAlign w:val="center"/>
          </w:tcPr>
          <w:p w14:paraId="0A831796" w14:textId="77777777" w:rsidR="001C6043" w:rsidRPr="00CE6AE7" w:rsidRDefault="001C6043" w:rsidP="00D55ECD">
            <w:pPr>
              <w:jc w:val="center"/>
              <w:rPr>
                <w:rFonts w:ascii="Times New Roman"/>
                <w:spacing w:val="-20"/>
                <w:sz w:val="28"/>
                <w:szCs w:val="28"/>
              </w:rPr>
            </w:pPr>
            <w:r w:rsidRPr="00CE6AE7">
              <w:rPr>
                <w:rFonts w:ascii="Times New Roman"/>
                <w:spacing w:val="-20"/>
                <w:sz w:val="28"/>
                <w:szCs w:val="28"/>
              </w:rPr>
              <w:t>醫療</w:t>
            </w:r>
          </w:p>
          <w:p w14:paraId="622C927B" w14:textId="77777777" w:rsidR="001C6043" w:rsidRPr="00CE6AE7" w:rsidRDefault="001C6043" w:rsidP="00D55ECD">
            <w:pPr>
              <w:jc w:val="center"/>
              <w:rPr>
                <w:rFonts w:ascii="Times New Roman"/>
                <w:spacing w:val="-20"/>
                <w:sz w:val="28"/>
                <w:szCs w:val="28"/>
              </w:rPr>
            </w:pPr>
            <w:r w:rsidRPr="00CE6AE7">
              <w:rPr>
                <w:rFonts w:ascii="Times New Roman"/>
                <w:spacing w:val="-20"/>
                <w:sz w:val="28"/>
                <w:szCs w:val="28"/>
              </w:rPr>
              <w:t>照護</w:t>
            </w:r>
          </w:p>
        </w:tc>
        <w:tc>
          <w:tcPr>
            <w:tcW w:w="971" w:type="dxa"/>
            <w:shd w:val="clear" w:color="auto" w:fill="D9D9D9" w:themeFill="background1" w:themeFillShade="D9"/>
            <w:vAlign w:val="center"/>
          </w:tcPr>
          <w:p w14:paraId="62FC7357" w14:textId="77777777" w:rsidR="001C6043" w:rsidRPr="00CE6AE7" w:rsidRDefault="001C6043" w:rsidP="00D55ECD">
            <w:pPr>
              <w:jc w:val="center"/>
              <w:rPr>
                <w:rFonts w:ascii="Times New Roman"/>
                <w:spacing w:val="-20"/>
                <w:sz w:val="28"/>
                <w:szCs w:val="28"/>
              </w:rPr>
            </w:pPr>
            <w:r w:rsidRPr="00CE6AE7">
              <w:rPr>
                <w:rFonts w:ascii="Times New Roman"/>
                <w:spacing w:val="-20"/>
                <w:sz w:val="28"/>
                <w:szCs w:val="28"/>
              </w:rPr>
              <w:t>藥品</w:t>
            </w:r>
          </w:p>
        </w:tc>
      </w:tr>
      <w:tr w:rsidR="00CE6AE7" w:rsidRPr="00CE6AE7" w14:paraId="59735D92" w14:textId="77777777" w:rsidTr="00D55ECD">
        <w:trPr>
          <w:gridAfter w:val="1"/>
          <w:wAfter w:w="6" w:type="dxa"/>
          <w:trHeight w:val="20"/>
        </w:trPr>
        <w:tc>
          <w:tcPr>
            <w:tcW w:w="884" w:type="dxa"/>
            <w:vAlign w:val="center"/>
          </w:tcPr>
          <w:p w14:paraId="33517232" w14:textId="77777777" w:rsidR="001C6043" w:rsidRPr="00CE6AE7" w:rsidRDefault="001C6043" w:rsidP="00D55ECD">
            <w:pPr>
              <w:jc w:val="center"/>
              <w:rPr>
                <w:rFonts w:ascii="Times New Roman"/>
                <w:b/>
                <w:bCs/>
                <w:spacing w:val="-8"/>
                <w:sz w:val="28"/>
                <w:szCs w:val="28"/>
              </w:rPr>
            </w:pPr>
            <w:r w:rsidRPr="00CE6AE7">
              <w:rPr>
                <w:rFonts w:ascii="Times New Roman"/>
                <w:b/>
                <w:bCs/>
                <w:spacing w:val="-8"/>
                <w:sz w:val="28"/>
                <w:szCs w:val="28"/>
              </w:rPr>
              <w:t>2015</w:t>
            </w:r>
          </w:p>
        </w:tc>
        <w:tc>
          <w:tcPr>
            <w:tcW w:w="970" w:type="dxa"/>
            <w:shd w:val="clear" w:color="auto" w:fill="FDE9D9" w:themeFill="accent6" w:themeFillTint="33"/>
            <w:vAlign w:val="center"/>
          </w:tcPr>
          <w:p w14:paraId="5696C107" w14:textId="77777777" w:rsidR="001C6043" w:rsidRPr="00CE6AE7" w:rsidRDefault="001C6043" w:rsidP="00D55ECD">
            <w:pPr>
              <w:jc w:val="right"/>
              <w:rPr>
                <w:rFonts w:ascii="Times New Roman"/>
                <w:b/>
                <w:bCs/>
                <w:spacing w:val="-8"/>
                <w:sz w:val="28"/>
                <w:szCs w:val="28"/>
              </w:rPr>
            </w:pPr>
            <w:r w:rsidRPr="00CE6AE7">
              <w:rPr>
                <w:rFonts w:ascii="Times New Roman"/>
                <w:b/>
                <w:bCs/>
                <w:spacing w:val="-8"/>
                <w:sz w:val="28"/>
                <w:szCs w:val="28"/>
              </w:rPr>
              <w:t>55.41</w:t>
            </w:r>
          </w:p>
        </w:tc>
        <w:tc>
          <w:tcPr>
            <w:tcW w:w="970" w:type="dxa"/>
            <w:vAlign w:val="center"/>
          </w:tcPr>
          <w:p w14:paraId="707813B7"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17.50</w:t>
            </w:r>
          </w:p>
        </w:tc>
        <w:tc>
          <w:tcPr>
            <w:tcW w:w="970" w:type="dxa"/>
            <w:shd w:val="clear" w:color="auto" w:fill="FDE9D9" w:themeFill="accent6" w:themeFillTint="33"/>
            <w:vAlign w:val="center"/>
          </w:tcPr>
          <w:p w14:paraId="49993C15" w14:textId="77777777" w:rsidR="001C6043" w:rsidRPr="00CE6AE7" w:rsidRDefault="001C6043" w:rsidP="00D55ECD">
            <w:pPr>
              <w:jc w:val="right"/>
              <w:rPr>
                <w:rFonts w:ascii="Times New Roman"/>
                <w:b/>
                <w:bCs/>
                <w:spacing w:val="-8"/>
                <w:sz w:val="28"/>
                <w:szCs w:val="28"/>
              </w:rPr>
            </w:pPr>
            <w:r w:rsidRPr="00CE6AE7">
              <w:rPr>
                <w:rFonts w:ascii="Times New Roman"/>
                <w:b/>
                <w:bCs/>
                <w:spacing w:val="-8"/>
                <w:sz w:val="28"/>
                <w:szCs w:val="28"/>
              </w:rPr>
              <w:t>55.45</w:t>
            </w:r>
          </w:p>
        </w:tc>
        <w:tc>
          <w:tcPr>
            <w:tcW w:w="971" w:type="dxa"/>
            <w:vAlign w:val="center"/>
          </w:tcPr>
          <w:p w14:paraId="16A2BAFD"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19.51</w:t>
            </w:r>
          </w:p>
        </w:tc>
        <w:tc>
          <w:tcPr>
            <w:tcW w:w="970" w:type="dxa"/>
            <w:shd w:val="clear" w:color="auto" w:fill="FDE9D9" w:themeFill="accent6" w:themeFillTint="33"/>
            <w:vAlign w:val="center"/>
          </w:tcPr>
          <w:p w14:paraId="7BEC28B7" w14:textId="77777777" w:rsidR="001C6043" w:rsidRPr="00CE6AE7" w:rsidRDefault="001C6043" w:rsidP="00D55ECD">
            <w:pPr>
              <w:jc w:val="right"/>
              <w:rPr>
                <w:rFonts w:ascii="Times New Roman"/>
                <w:b/>
                <w:bCs/>
                <w:spacing w:val="-8"/>
                <w:sz w:val="28"/>
                <w:szCs w:val="28"/>
              </w:rPr>
            </w:pPr>
            <w:r w:rsidRPr="00CE6AE7">
              <w:rPr>
                <w:rFonts w:ascii="Times New Roman"/>
                <w:b/>
                <w:bCs/>
                <w:spacing w:val="-8"/>
                <w:sz w:val="28"/>
                <w:szCs w:val="28"/>
              </w:rPr>
              <w:t>59.35</w:t>
            </w:r>
          </w:p>
        </w:tc>
        <w:tc>
          <w:tcPr>
            <w:tcW w:w="970" w:type="dxa"/>
            <w:vAlign w:val="center"/>
          </w:tcPr>
          <w:p w14:paraId="2DE2E626"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18.84</w:t>
            </w:r>
          </w:p>
        </w:tc>
        <w:tc>
          <w:tcPr>
            <w:tcW w:w="970" w:type="dxa"/>
            <w:shd w:val="clear" w:color="auto" w:fill="FDE9D9" w:themeFill="accent6" w:themeFillTint="33"/>
            <w:vAlign w:val="center"/>
          </w:tcPr>
          <w:p w14:paraId="74A40868" w14:textId="77777777" w:rsidR="001C6043" w:rsidRPr="00CE6AE7" w:rsidRDefault="001C6043" w:rsidP="00D55ECD">
            <w:pPr>
              <w:jc w:val="right"/>
              <w:rPr>
                <w:rFonts w:ascii="Times New Roman"/>
                <w:b/>
                <w:bCs/>
                <w:spacing w:val="-8"/>
                <w:sz w:val="28"/>
                <w:szCs w:val="28"/>
              </w:rPr>
            </w:pPr>
            <w:r w:rsidRPr="00CE6AE7">
              <w:rPr>
                <w:rFonts w:ascii="Times New Roman"/>
                <w:b/>
                <w:bCs/>
                <w:spacing w:val="-8"/>
                <w:sz w:val="28"/>
                <w:szCs w:val="28"/>
              </w:rPr>
              <w:t>66.39</w:t>
            </w:r>
          </w:p>
        </w:tc>
        <w:tc>
          <w:tcPr>
            <w:tcW w:w="971" w:type="dxa"/>
            <w:vAlign w:val="center"/>
          </w:tcPr>
          <w:p w14:paraId="53E37E5B"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12.75</w:t>
            </w:r>
          </w:p>
        </w:tc>
      </w:tr>
      <w:tr w:rsidR="00CE6AE7" w:rsidRPr="00CE6AE7" w14:paraId="1B64B34F" w14:textId="77777777" w:rsidTr="00D55ECD">
        <w:trPr>
          <w:gridAfter w:val="1"/>
          <w:wAfter w:w="6" w:type="dxa"/>
          <w:trHeight w:val="20"/>
        </w:trPr>
        <w:tc>
          <w:tcPr>
            <w:tcW w:w="884" w:type="dxa"/>
            <w:vAlign w:val="center"/>
          </w:tcPr>
          <w:p w14:paraId="39D99530" w14:textId="77777777" w:rsidR="001C6043" w:rsidRPr="00CE6AE7" w:rsidRDefault="001C6043" w:rsidP="00D55ECD">
            <w:pPr>
              <w:jc w:val="center"/>
              <w:rPr>
                <w:rFonts w:ascii="Times New Roman"/>
                <w:spacing w:val="-8"/>
                <w:sz w:val="28"/>
                <w:szCs w:val="28"/>
              </w:rPr>
            </w:pPr>
            <w:r w:rsidRPr="00CE6AE7">
              <w:rPr>
                <w:rFonts w:ascii="Times New Roman"/>
                <w:spacing w:val="-8"/>
                <w:sz w:val="28"/>
                <w:szCs w:val="28"/>
              </w:rPr>
              <w:t>2016</w:t>
            </w:r>
          </w:p>
        </w:tc>
        <w:tc>
          <w:tcPr>
            <w:tcW w:w="970" w:type="dxa"/>
            <w:vAlign w:val="center"/>
          </w:tcPr>
          <w:p w14:paraId="6B3D2289"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55.53</w:t>
            </w:r>
          </w:p>
        </w:tc>
        <w:tc>
          <w:tcPr>
            <w:tcW w:w="970" w:type="dxa"/>
            <w:tcBorders>
              <w:bottom w:val="single" w:sz="4" w:space="0" w:color="auto"/>
            </w:tcBorders>
            <w:vAlign w:val="center"/>
          </w:tcPr>
          <w:p w14:paraId="2362C247"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17.48</w:t>
            </w:r>
          </w:p>
        </w:tc>
        <w:tc>
          <w:tcPr>
            <w:tcW w:w="970" w:type="dxa"/>
            <w:tcBorders>
              <w:bottom w:val="single" w:sz="4" w:space="0" w:color="auto"/>
            </w:tcBorders>
            <w:vAlign w:val="center"/>
          </w:tcPr>
          <w:p w14:paraId="1EC3F5D6"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56.10</w:t>
            </w:r>
          </w:p>
        </w:tc>
        <w:tc>
          <w:tcPr>
            <w:tcW w:w="971" w:type="dxa"/>
            <w:tcBorders>
              <w:bottom w:val="single" w:sz="4" w:space="0" w:color="auto"/>
            </w:tcBorders>
            <w:vAlign w:val="center"/>
          </w:tcPr>
          <w:p w14:paraId="5EBAD6A0"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18.40</w:t>
            </w:r>
          </w:p>
        </w:tc>
        <w:tc>
          <w:tcPr>
            <w:tcW w:w="970" w:type="dxa"/>
            <w:tcBorders>
              <w:bottom w:val="single" w:sz="4" w:space="0" w:color="auto"/>
            </w:tcBorders>
            <w:vAlign w:val="center"/>
          </w:tcPr>
          <w:p w14:paraId="40C8A7B2"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58.76</w:t>
            </w:r>
          </w:p>
        </w:tc>
        <w:tc>
          <w:tcPr>
            <w:tcW w:w="970" w:type="dxa"/>
            <w:vAlign w:val="center"/>
          </w:tcPr>
          <w:p w14:paraId="6CD61CE5"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19.09</w:t>
            </w:r>
          </w:p>
        </w:tc>
        <w:tc>
          <w:tcPr>
            <w:tcW w:w="970" w:type="dxa"/>
            <w:vAlign w:val="center"/>
          </w:tcPr>
          <w:p w14:paraId="6D1F7719"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66.86</w:t>
            </w:r>
          </w:p>
        </w:tc>
        <w:tc>
          <w:tcPr>
            <w:tcW w:w="971" w:type="dxa"/>
            <w:vAlign w:val="center"/>
          </w:tcPr>
          <w:p w14:paraId="6B28E84D"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12.32</w:t>
            </w:r>
          </w:p>
        </w:tc>
      </w:tr>
      <w:tr w:rsidR="00CE6AE7" w:rsidRPr="00CE6AE7" w14:paraId="6240CAEA" w14:textId="77777777" w:rsidTr="00D55ECD">
        <w:trPr>
          <w:gridAfter w:val="1"/>
          <w:wAfter w:w="6" w:type="dxa"/>
          <w:trHeight w:val="20"/>
        </w:trPr>
        <w:tc>
          <w:tcPr>
            <w:tcW w:w="884" w:type="dxa"/>
            <w:vAlign w:val="center"/>
          </w:tcPr>
          <w:p w14:paraId="013F8F61" w14:textId="77777777" w:rsidR="001C6043" w:rsidRPr="00CE6AE7" w:rsidRDefault="001C6043" w:rsidP="00D55ECD">
            <w:pPr>
              <w:jc w:val="center"/>
              <w:rPr>
                <w:rFonts w:ascii="Times New Roman"/>
                <w:spacing w:val="-8"/>
                <w:sz w:val="28"/>
                <w:szCs w:val="28"/>
              </w:rPr>
            </w:pPr>
            <w:r w:rsidRPr="00CE6AE7">
              <w:rPr>
                <w:rFonts w:ascii="Times New Roman"/>
                <w:spacing w:val="-8"/>
                <w:sz w:val="28"/>
                <w:szCs w:val="28"/>
              </w:rPr>
              <w:t>2017</w:t>
            </w:r>
          </w:p>
        </w:tc>
        <w:tc>
          <w:tcPr>
            <w:tcW w:w="970" w:type="dxa"/>
            <w:vAlign w:val="center"/>
          </w:tcPr>
          <w:p w14:paraId="7E6C401F"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54.62</w:t>
            </w:r>
          </w:p>
        </w:tc>
        <w:tc>
          <w:tcPr>
            <w:tcW w:w="970" w:type="dxa"/>
            <w:tcBorders>
              <w:top w:val="single" w:sz="4" w:space="0" w:color="auto"/>
              <w:left w:val="nil"/>
              <w:bottom w:val="single" w:sz="4" w:space="0" w:color="auto"/>
              <w:right w:val="single" w:sz="4" w:space="0" w:color="auto"/>
            </w:tcBorders>
            <w:vAlign w:val="center"/>
          </w:tcPr>
          <w:p w14:paraId="19E4D4D5"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17.55</w:t>
            </w:r>
          </w:p>
        </w:tc>
        <w:tc>
          <w:tcPr>
            <w:tcW w:w="970" w:type="dxa"/>
            <w:tcBorders>
              <w:top w:val="single" w:sz="4" w:space="0" w:color="auto"/>
              <w:left w:val="single" w:sz="4" w:space="0" w:color="auto"/>
              <w:bottom w:val="single" w:sz="4" w:space="0" w:color="auto"/>
              <w:right w:val="nil"/>
            </w:tcBorders>
            <w:vAlign w:val="center"/>
          </w:tcPr>
          <w:p w14:paraId="7AC5C039"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56.51</w:t>
            </w:r>
          </w:p>
        </w:tc>
        <w:tc>
          <w:tcPr>
            <w:tcW w:w="971" w:type="dxa"/>
            <w:tcBorders>
              <w:top w:val="single" w:sz="4" w:space="0" w:color="auto"/>
              <w:bottom w:val="single" w:sz="4" w:space="0" w:color="auto"/>
            </w:tcBorders>
            <w:vAlign w:val="center"/>
          </w:tcPr>
          <w:p w14:paraId="0F6C4A8A"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18.12</w:t>
            </w:r>
          </w:p>
        </w:tc>
        <w:tc>
          <w:tcPr>
            <w:tcW w:w="970" w:type="dxa"/>
            <w:tcBorders>
              <w:top w:val="single" w:sz="4" w:space="0" w:color="auto"/>
              <w:bottom w:val="single" w:sz="4" w:space="0" w:color="auto"/>
            </w:tcBorders>
            <w:vAlign w:val="center"/>
          </w:tcPr>
          <w:p w14:paraId="48743F1D"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58.48</w:t>
            </w:r>
          </w:p>
        </w:tc>
        <w:tc>
          <w:tcPr>
            <w:tcW w:w="970" w:type="dxa"/>
            <w:vAlign w:val="center"/>
          </w:tcPr>
          <w:p w14:paraId="2EA6111B"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18.80</w:t>
            </w:r>
          </w:p>
        </w:tc>
        <w:tc>
          <w:tcPr>
            <w:tcW w:w="970" w:type="dxa"/>
            <w:vAlign w:val="center"/>
          </w:tcPr>
          <w:p w14:paraId="33EAFCEB"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67.20</w:t>
            </w:r>
          </w:p>
        </w:tc>
        <w:tc>
          <w:tcPr>
            <w:tcW w:w="971" w:type="dxa"/>
            <w:vAlign w:val="center"/>
          </w:tcPr>
          <w:p w14:paraId="58F5A17B"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12.01</w:t>
            </w:r>
          </w:p>
        </w:tc>
      </w:tr>
      <w:tr w:rsidR="00CE6AE7" w:rsidRPr="00CE6AE7" w14:paraId="3CB3893D" w14:textId="77777777" w:rsidTr="00D55ECD">
        <w:trPr>
          <w:gridAfter w:val="1"/>
          <w:wAfter w:w="6" w:type="dxa"/>
          <w:trHeight w:val="20"/>
        </w:trPr>
        <w:tc>
          <w:tcPr>
            <w:tcW w:w="884" w:type="dxa"/>
            <w:vAlign w:val="center"/>
          </w:tcPr>
          <w:p w14:paraId="6AB56E0A" w14:textId="77777777" w:rsidR="001C6043" w:rsidRPr="00CE6AE7" w:rsidRDefault="001C6043" w:rsidP="00D55ECD">
            <w:pPr>
              <w:jc w:val="center"/>
              <w:rPr>
                <w:rFonts w:ascii="Times New Roman"/>
                <w:spacing w:val="-8"/>
                <w:sz w:val="28"/>
                <w:szCs w:val="28"/>
              </w:rPr>
            </w:pPr>
            <w:r w:rsidRPr="00CE6AE7">
              <w:rPr>
                <w:rFonts w:ascii="Times New Roman"/>
                <w:spacing w:val="-8"/>
                <w:sz w:val="28"/>
                <w:szCs w:val="28"/>
              </w:rPr>
              <w:t>2018</w:t>
            </w:r>
          </w:p>
        </w:tc>
        <w:tc>
          <w:tcPr>
            <w:tcW w:w="970" w:type="dxa"/>
            <w:vAlign w:val="center"/>
          </w:tcPr>
          <w:p w14:paraId="4D4B5936"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54.34</w:t>
            </w:r>
          </w:p>
        </w:tc>
        <w:tc>
          <w:tcPr>
            <w:tcW w:w="970" w:type="dxa"/>
            <w:tcBorders>
              <w:top w:val="single" w:sz="4" w:space="0" w:color="auto"/>
              <w:left w:val="nil"/>
              <w:bottom w:val="single" w:sz="4" w:space="0" w:color="auto"/>
              <w:right w:val="single" w:sz="4" w:space="0" w:color="auto"/>
            </w:tcBorders>
            <w:vAlign w:val="center"/>
          </w:tcPr>
          <w:p w14:paraId="5EAA55D1"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17.49</w:t>
            </w:r>
          </w:p>
        </w:tc>
        <w:tc>
          <w:tcPr>
            <w:tcW w:w="970" w:type="dxa"/>
            <w:tcBorders>
              <w:top w:val="single" w:sz="4" w:space="0" w:color="auto"/>
              <w:left w:val="single" w:sz="4" w:space="0" w:color="auto"/>
              <w:bottom w:val="single" w:sz="4" w:space="0" w:color="auto"/>
              <w:right w:val="nil"/>
            </w:tcBorders>
            <w:vAlign w:val="center"/>
          </w:tcPr>
          <w:p w14:paraId="47AB0DAA"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56.48</w:t>
            </w:r>
          </w:p>
        </w:tc>
        <w:tc>
          <w:tcPr>
            <w:tcW w:w="971" w:type="dxa"/>
            <w:tcBorders>
              <w:top w:val="single" w:sz="4" w:space="0" w:color="auto"/>
              <w:bottom w:val="single" w:sz="4" w:space="0" w:color="auto"/>
            </w:tcBorders>
            <w:vAlign w:val="center"/>
          </w:tcPr>
          <w:p w14:paraId="08380B54"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17.61</w:t>
            </w:r>
          </w:p>
        </w:tc>
        <w:tc>
          <w:tcPr>
            <w:tcW w:w="970" w:type="dxa"/>
            <w:tcBorders>
              <w:top w:val="single" w:sz="4" w:space="0" w:color="auto"/>
              <w:bottom w:val="single" w:sz="4" w:space="0" w:color="auto"/>
            </w:tcBorders>
            <w:vAlign w:val="center"/>
          </w:tcPr>
          <w:p w14:paraId="69173D73"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58.56</w:t>
            </w:r>
          </w:p>
        </w:tc>
        <w:tc>
          <w:tcPr>
            <w:tcW w:w="970" w:type="dxa"/>
            <w:vAlign w:val="center"/>
          </w:tcPr>
          <w:p w14:paraId="3B9D5DDD"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18.56</w:t>
            </w:r>
          </w:p>
        </w:tc>
        <w:tc>
          <w:tcPr>
            <w:tcW w:w="970" w:type="dxa"/>
            <w:vAlign w:val="center"/>
          </w:tcPr>
          <w:p w14:paraId="1F26AF25"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66.95</w:t>
            </w:r>
          </w:p>
        </w:tc>
        <w:tc>
          <w:tcPr>
            <w:tcW w:w="971" w:type="dxa"/>
            <w:vAlign w:val="center"/>
          </w:tcPr>
          <w:p w14:paraId="2A19D956"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11.83</w:t>
            </w:r>
          </w:p>
        </w:tc>
      </w:tr>
      <w:tr w:rsidR="00CE6AE7" w:rsidRPr="00CE6AE7" w14:paraId="63C11DB9" w14:textId="77777777" w:rsidTr="00D55ECD">
        <w:trPr>
          <w:gridAfter w:val="1"/>
          <w:wAfter w:w="6" w:type="dxa"/>
          <w:trHeight w:val="20"/>
        </w:trPr>
        <w:tc>
          <w:tcPr>
            <w:tcW w:w="884" w:type="dxa"/>
            <w:vAlign w:val="center"/>
          </w:tcPr>
          <w:p w14:paraId="4EA4D090" w14:textId="77777777" w:rsidR="001C6043" w:rsidRPr="00CE6AE7" w:rsidRDefault="001C6043" w:rsidP="00D55ECD">
            <w:pPr>
              <w:jc w:val="center"/>
              <w:rPr>
                <w:rFonts w:ascii="Times New Roman"/>
                <w:b/>
                <w:bCs/>
                <w:spacing w:val="-8"/>
                <w:sz w:val="28"/>
                <w:szCs w:val="28"/>
              </w:rPr>
            </w:pPr>
            <w:r w:rsidRPr="00CE6AE7">
              <w:rPr>
                <w:rFonts w:ascii="Times New Roman"/>
                <w:b/>
                <w:bCs/>
                <w:spacing w:val="-8"/>
                <w:sz w:val="28"/>
                <w:szCs w:val="28"/>
              </w:rPr>
              <w:t>2019</w:t>
            </w:r>
          </w:p>
        </w:tc>
        <w:tc>
          <w:tcPr>
            <w:tcW w:w="970" w:type="dxa"/>
            <w:vAlign w:val="center"/>
          </w:tcPr>
          <w:p w14:paraId="23E1F144" w14:textId="77777777" w:rsidR="001C6043" w:rsidRPr="00CE6AE7" w:rsidRDefault="001C6043" w:rsidP="00D55ECD">
            <w:pPr>
              <w:jc w:val="right"/>
              <w:rPr>
                <w:rFonts w:ascii="Times New Roman"/>
                <w:b/>
                <w:bCs/>
                <w:spacing w:val="-8"/>
                <w:sz w:val="28"/>
                <w:szCs w:val="28"/>
              </w:rPr>
            </w:pPr>
            <w:r w:rsidRPr="00CE6AE7">
              <w:rPr>
                <w:rFonts w:ascii="Times New Roman"/>
                <w:b/>
                <w:bCs/>
                <w:spacing w:val="-8"/>
                <w:sz w:val="28"/>
                <w:szCs w:val="28"/>
              </w:rPr>
              <w:t>53.05</w:t>
            </w:r>
          </w:p>
        </w:tc>
        <w:tc>
          <w:tcPr>
            <w:tcW w:w="970" w:type="dxa"/>
            <w:vAlign w:val="center"/>
          </w:tcPr>
          <w:p w14:paraId="2DF18616"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17.57</w:t>
            </w:r>
          </w:p>
        </w:tc>
        <w:tc>
          <w:tcPr>
            <w:tcW w:w="970" w:type="dxa"/>
            <w:vAlign w:val="center"/>
          </w:tcPr>
          <w:p w14:paraId="25B1BF4E" w14:textId="77777777" w:rsidR="001C6043" w:rsidRPr="00CE6AE7" w:rsidRDefault="001C6043" w:rsidP="00D55ECD">
            <w:pPr>
              <w:jc w:val="right"/>
              <w:rPr>
                <w:rFonts w:ascii="Times New Roman"/>
                <w:b/>
                <w:bCs/>
                <w:spacing w:val="-8"/>
                <w:sz w:val="28"/>
                <w:szCs w:val="28"/>
              </w:rPr>
            </w:pPr>
            <w:r w:rsidRPr="00CE6AE7">
              <w:rPr>
                <w:rFonts w:ascii="Times New Roman"/>
                <w:b/>
                <w:bCs/>
                <w:spacing w:val="-8"/>
                <w:sz w:val="28"/>
                <w:szCs w:val="28"/>
              </w:rPr>
              <w:t>56.58</w:t>
            </w:r>
          </w:p>
        </w:tc>
        <w:tc>
          <w:tcPr>
            <w:tcW w:w="971" w:type="dxa"/>
            <w:vAlign w:val="center"/>
          </w:tcPr>
          <w:p w14:paraId="2F04C77D"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17.78</w:t>
            </w:r>
          </w:p>
        </w:tc>
        <w:tc>
          <w:tcPr>
            <w:tcW w:w="970" w:type="dxa"/>
            <w:vAlign w:val="center"/>
          </w:tcPr>
          <w:p w14:paraId="6565CA12" w14:textId="77777777" w:rsidR="001C6043" w:rsidRPr="00CE6AE7" w:rsidRDefault="001C6043" w:rsidP="00D55ECD">
            <w:pPr>
              <w:jc w:val="right"/>
              <w:rPr>
                <w:rFonts w:ascii="Times New Roman"/>
                <w:b/>
                <w:bCs/>
                <w:spacing w:val="-8"/>
                <w:sz w:val="28"/>
                <w:szCs w:val="28"/>
              </w:rPr>
            </w:pPr>
            <w:r w:rsidRPr="00CE6AE7">
              <w:rPr>
                <w:rFonts w:ascii="Times New Roman"/>
                <w:b/>
                <w:bCs/>
                <w:spacing w:val="-8"/>
                <w:sz w:val="28"/>
                <w:szCs w:val="28"/>
              </w:rPr>
              <w:t>58.27</w:t>
            </w:r>
          </w:p>
        </w:tc>
        <w:tc>
          <w:tcPr>
            <w:tcW w:w="970" w:type="dxa"/>
            <w:vAlign w:val="center"/>
          </w:tcPr>
          <w:p w14:paraId="0D05EF35"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18.37</w:t>
            </w:r>
          </w:p>
        </w:tc>
        <w:tc>
          <w:tcPr>
            <w:tcW w:w="970" w:type="dxa"/>
            <w:vAlign w:val="center"/>
          </w:tcPr>
          <w:p w14:paraId="37B66F7D" w14:textId="77777777" w:rsidR="001C6043" w:rsidRPr="00CE6AE7" w:rsidRDefault="001C6043" w:rsidP="00D55ECD">
            <w:pPr>
              <w:jc w:val="right"/>
              <w:rPr>
                <w:rFonts w:ascii="Times New Roman"/>
                <w:b/>
                <w:bCs/>
                <w:spacing w:val="-8"/>
                <w:sz w:val="28"/>
                <w:szCs w:val="28"/>
              </w:rPr>
            </w:pPr>
            <w:r w:rsidRPr="00CE6AE7">
              <w:rPr>
                <w:rFonts w:ascii="Times New Roman"/>
                <w:b/>
                <w:bCs/>
                <w:spacing w:val="-8"/>
                <w:sz w:val="28"/>
                <w:szCs w:val="28"/>
              </w:rPr>
              <w:t>67.45</w:t>
            </w:r>
          </w:p>
        </w:tc>
        <w:tc>
          <w:tcPr>
            <w:tcW w:w="971" w:type="dxa"/>
            <w:vAlign w:val="center"/>
          </w:tcPr>
          <w:p w14:paraId="6CDFE0D4"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11.85</w:t>
            </w:r>
          </w:p>
        </w:tc>
      </w:tr>
      <w:tr w:rsidR="00CE6AE7" w:rsidRPr="00CE6AE7" w14:paraId="0919CA1E" w14:textId="77777777" w:rsidTr="00D55ECD">
        <w:trPr>
          <w:gridAfter w:val="1"/>
          <w:wAfter w:w="6" w:type="dxa"/>
          <w:trHeight w:val="20"/>
        </w:trPr>
        <w:tc>
          <w:tcPr>
            <w:tcW w:w="884" w:type="dxa"/>
            <w:vAlign w:val="center"/>
          </w:tcPr>
          <w:p w14:paraId="029E3407" w14:textId="77777777" w:rsidR="001C6043" w:rsidRPr="00CE6AE7" w:rsidRDefault="001C6043" w:rsidP="00D55ECD">
            <w:pPr>
              <w:jc w:val="center"/>
              <w:rPr>
                <w:rFonts w:ascii="Times New Roman"/>
                <w:spacing w:val="-8"/>
                <w:sz w:val="28"/>
                <w:szCs w:val="28"/>
              </w:rPr>
            </w:pPr>
            <w:r w:rsidRPr="00CE6AE7">
              <w:rPr>
                <w:rFonts w:ascii="Times New Roman"/>
                <w:spacing w:val="-8"/>
                <w:sz w:val="28"/>
                <w:szCs w:val="28"/>
              </w:rPr>
              <w:t>2020</w:t>
            </w:r>
          </w:p>
        </w:tc>
        <w:tc>
          <w:tcPr>
            <w:tcW w:w="970" w:type="dxa"/>
            <w:vAlign w:val="center"/>
          </w:tcPr>
          <w:p w14:paraId="0A3EA0A7"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50.72</w:t>
            </w:r>
          </w:p>
        </w:tc>
        <w:tc>
          <w:tcPr>
            <w:tcW w:w="970" w:type="dxa"/>
            <w:vAlign w:val="center"/>
          </w:tcPr>
          <w:p w14:paraId="1FA5CB50"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17.53</w:t>
            </w:r>
          </w:p>
        </w:tc>
        <w:tc>
          <w:tcPr>
            <w:tcW w:w="970" w:type="dxa"/>
            <w:vAlign w:val="center"/>
          </w:tcPr>
          <w:p w14:paraId="36757FB7"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53.52</w:t>
            </w:r>
          </w:p>
        </w:tc>
        <w:tc>
          <w:tcPr>
            <w:tcW w:w="971" w:type="dxa"/>
            <w:vAlign w:val="center"/>
          </w:tcPr>
          <w:p w14:paraId="54B15AE5"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17.31</w:t>
            </w:r>
          </w:p>
        </w:tc>
        <w:tc>
          <w:tcPr>
            <w:tcW w:w="970" w:type="dxa"/>
            <w:vAlign w:val="center"/>
          </w:tcPr>
          <w:p w14:paraId="32F8E965"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56.20</w:t>
            </w:r>
          </w:p>
        </w:tc>
        <w:tc>
          <w:tcPr>
            <w:tcW w:w="970" w:type="dxa"/>
            <w:vAlign w:val="center"/>
          </w:tcPr>
          <w:p w14:paraId="121E983E"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17.85</w:t>
            </w:r>
          </w:p>
        </w:tc>
        <w:tc>
          <w:tcPr>
            <w:tcW w:w="970" w:type="dxa"/>
            <w:vAlign w:val="center"/>
          </w:tcPr>
          <w:p w14:paraId="3AC3401D"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64.29</w:t>
            </w:r>
          </w:p>
        </w:tc>
        <w:tc>
          <w:tcPr>
            <w:tcW w:w="971" w:type="dxa"/>
            <w:vAlign w:val="center"/>
          </w:tcPr>
          <w:p w14:paraId="6F7F7E36"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11.27</w:t>
            </w:r>
          </w:p>
        </w:tc>
      </w:tr>
      <w:tr w:rsidR="00CE6AE7" w:rsidRPr="00CE6AE7" w14:paraId="396BE1C0" w14:textId="77777777" w:rsidTr="00D55ECD">
        <w:trPr>
          <w:gridAfter w:val="1"/>
          <w:wAfter w:w="6" w:type="dxa"/>
          <w:trHeight w:val="20"/>
        </w:trPr>
        <w:tc>
          <w:tcPr>
            <w:tcW w:w="884" w:type="dxa"/>
            <w:vAlign w:val="center"/>
          </w:tcPr>
          <w:p w14:paraId="3D6B94F9" w14:textId="77777777" w:rsidR="001C6043" w:rsidRPr="00CE6AE7" w:rsidRDefault="001C6043" w:rsidP="00D55ECD">
            <w:pPr>
              <w:jc w:val="center"/>
              <w:rPr>
                <w:rFonts w:ascii="Times New Roman"/>
                <w:spacing w:val="-8"/>
                <w:sz w:val="28"/>
                <w:szCs w:val="28"/>
              </w:rPr>
            </w:pPr>
            <w:r w:rsidRPr="00CE6AE7">
              <w:rPr>
                <w:rFonts w:ascii="Times New Roman"/>
                <w:spacing w:val="-8"/>
                <w:sz w:val="28"/>
                <w:szCs w:val="28"/>
              </w:rPr>
              <w:t>2021</w:t>
            </w:r>
          </w:p>
        </w:tc>
        <w:tc>
          <w:tcPr>
            <w:tcW w:w="970" w:type="dxa"/>
            <w:vAlign w:val="center"/>
          </w:tcPr>
          <w:p w14:paraId="633EF783"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50.88</w:t>
            </w:r>
          </w:p>
        </w:tc>
        <w:tc>
          <w:tcPr>
            <w:tcW w:w="970" w:type="dxa"/>
            <w:vAlign w:val="center"/>
          </w:tcPr>
          <w:p w14:paraId="01AA3B61"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17.45</w:t>
            </w:r>
          </w:p>
        </w:tc>
        <w:tc>
          <w:tcPr>
            <w:tcW w:w="970" w:type="dxa"/>
            <w:vAlign w:val="center"/>
          </w:tcPr>
          <w:p w14:paraId="7AB4A318"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51.64</w:t>
            </w:r>
          </w:p>
        </w:tc>
        <w:tc>
          <w:tcPr>
            <w:tcW w:w="971" w:type="dxa"/>
            <w:vAlign w:val="center"/>
          </w:tcPr>
          <w:p w14:paraId="7EE1CC06"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16.31</w:t>
            </w:r>
          </w:p>
        </w:tc>
        <w:tc>
          <w:tcPr>
            <w:tcW w:w="970" w:type="dxa"/>
            <w:vAlign w:val="center"/>
          </w:tcPr>
          <w:p w14:paraId="375CF4BF"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55.89</w:t>
            </w:r>
          </w:p>
        </w:tc>
        <w:tc>
          <w:tcPr>
            <w:tcW w:w="970" w:type="dxa"/>
            <w:vAlign w:val="center"/>
          </w:tcPr>
          <w:p w14:paraId="042612E4"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17.04</w:t>
            </w:r>
          </w:p>
        </w:tc>
        <w:tc>
          <w:tcPr>
            <w:tcW w:w="970" w:type="dxa"/>
            <w:vAlign w:val="center"/>
          </w:tcPr>
          <w:p w14:paraId="43AF5D97"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66.23</w:t>
            </w:r>
          </w:p>
        </w:tc>
        <w:tc>
          <w:tcPr>
            <w:tcW w:w="971" w:type="dxa"/>
            <w:vAlign w:val="center"/>
          </w:tcPr>
          <w:p w14:paraId="39A63C81"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11.70</w:t>
            </w:r>
          </w:p>
        </w:tc>
      </w:tr>
      <w:tr w:rsidR="00CE6AE7" w:rsidRPr="00CE6AE7" w14:paraId="7200F35C" w14:textId="77777777" w:rsidTr="00D55ECD">
        <w:trPr>
          <w:gridAfter w:val="1"/>
          <w:wAfter w:w="6" w:type="dxa"/>
          <w:trHeight w:val="20"/>
        </w:trPr>
        <w:tc>
          <w:tcPr>
            <w:tcW w:w="884" w:type="dxa"/>
            <w:vAlign w:val="center"/>
          </w:tcPr>
          <w:p w14:paraId="7AC06820" w14:textId="77777777" w:rsidR="001C6043" w:rsidRPr="00CE6AE7" w:rsidRDefault="001C6043" w:rsidP="00D55ECD">
            <w:pPr>
              <w:jc w:val="center"/>
              <w:rPr>
                <w:rFonts w:ascii="Times New Roman"/>
                <w:spacing w:val="-8"/>
                <w:sz w:val="28"/>
                <w:szCs w:val="28"/>
              </w:rPr>
            </w:pPr>
            <w:r w:rsidRPr="00CE6AE7">
              <w:rPr>
                <w:rFonts w:ascii="Times New Roman"/>
                <w:spacing w:val="-8"/>
                <w:sz w:val="28"/>
                <w:szCs w:val="28"/>
              </w:rPr>
              <w:t>2022</w:t>
            </w:r>
          </w:p>
        </w:tc>
        <w:tc>
          <w:tcPr>
            <w:tcW w:w="970" w:type="dxa"/>
            <w:vAlign w:val="center"/>
          </w:tcPr>
          <w:p w14:paraId="42678A9C"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47.39</w:t>
            </w:r>
          </w:p>
        </w:tc>
        <w:tc>
          <w:tcPr>
            <w:tcW w:w="970" w:type="dxa"/>
            <w:tcBorders>
              <w:top w:val="single" w:sz="4" w:space="0" w:color="auto"/>
              <w:left w:val="nil"/>
              <w:bottom w:val="single" w:sz="4" w:space="0" w:color="auto"/>
              <w:right w:val="single" w:sz="4" w:space="0" w:color="auto"/>
            </w:tcBorders>
            <w:vAlign w:val="center"/>
          </w:tcPr>
          <w:p w14:paraId="193D6D99"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17.84</w:t>
            </w:r>
          </w:p>
        </w:tc>
        <w:tc>
          <w:tcPr>
            <w:tcW w:w="970" w:type="dxa"/>
            <w:tcBorders>
              <w:top w:val="single" w:sz="4" w:space="0" w:color="auto"/>
              <w:left w:val="single" w:sz="4" w:space="0" w:color="auto"/>
              <w:bottom w:val="single" w:sz="4" w:space="0" w:color="auto"/>
              <w:right w:val="single" w:sz="4" w:space="0" w:color="auto"/>
            </w:tcBorders>
            <w:vAlign w:val="center"/>
          </w:tcPr>
          <w:p w14:paraId="64A241C6"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53.10</w:t>
            </w:r>
          </w:p>
        </w:tc>
        <w:tc>
          <w:tcPr>
            <w:tcW w:w="971" w:type="dxa"/>
            <w:tcBorders>
              <w:top w:val="single" w:sz="4" w:space="0" w:color="auto"/>
              <w:left w:val="single" w:sz="4" w:space="0" w:color="auto"/>
              <w:bottom w:val="single" w:sz="4" w:space="0" w:color="auto"/>
              <w:right w:val="single" w:sz="4" w:space="0" w:color="auto"/>
            </w:tcBorders>
            <w:vAlign w:val="center"/>
          </w:tcPr>
          <w:p w14:paraId="3FC235CD"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15.76</w:t>
            </w:r>
          </w:p>
        </w:tc>
        <w:tc>
          <w:tcPr>
            <w:tcW w:w="970" w:type="dxa"/>
            <w:tcBorders>
              <w:top w:val="single" w:sz="4" w:space="0" w:color="auto"/>
              <w:left w:val="single" w:sz="4" w:space="0" w:color="auto"/>
              <w:bottom w:val="single" w:sz="4" w:space="0" w:color="auto"/>
            </w:tcBorders>
            <w:vAlign w:val="center"/>
          </w:tcPr>
          <w:p w14:paraId="1896D064"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55.54</w:t>
            </w:r>
          </w:p>
        </w:tc>
        <w:tc>
          <w:tcPr>
            <w:tcW w:w="970" w:type="dxa"/>
            <w:vAlign w:val="center"/>
          </w:tcPr>
          <w:p w14:paraId="6CC55AC7"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16.98</w:t>
            </w:r>
          </w:p>
        </w:tc>
        <w:tc>
          <w:tcPr>
            <w:tcW w:w="970" w:type="dxa"/>
            <w:vAlign w:val="center"/>
          </w:tcPr>
          <w:p w14:paraId="6A3864F3"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65.90</w:t>
            </w:r>
          </w:p>
        </w:tc>
        <w:tc>
          <w:tcPr>
            <w:tcW w:w="971" w:type="dxa"/>
            <w:vAlign w:val="center"/>
          </w:tcPr>
          <w:p w14:paraId="1085A468"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12.08</w:t>
            </w:r>
          </w:p>
        </w:tc>
      </w:tr>
      <w:tr w:rsidR="00CE6AE7" w:rsidRPr="00CE6AE7" w14:paraId="0B226A6D" w14:textId="77777777" w:rsidTr="00D55ECD">
        <w:trPr>
          <w:gridAfter w:val="1"/>
          <w:wAfter w:w="6" w:type="dxa"/>
          <w:trHeight w:val="20"/>
        </w:trPr>
        <w:tc>
          <w:tcPr>
            <w:tcW w:w="884" w:type="dxa"/>
            <w:vAlign w:val="center"/>
          </w:tcPr>
          <w:p w14:paraId="2984F880" w14:textId="77777777" w:rsidR="001C6043" w:rsidRPr="00CE6AE7" w:rsidRDefault="001C6043" w:rsidP="00D55ECD">
            <w:pPr>
              <w:jc w:val="center"/>
              <w:rPr>
                <w:rFonts w:ascii="Times New Roman"/>
                <w:b/>
                <w:bCs/>
                <w:spacing w:val="-8"/>
                <w:sz w:val="28"/>
                <w:szCs w:val="28"/>
              </w:rPr>
            </w:pPr>
            <w:r w:rsidRPr="00CE6AE7">
              <w:rPr>
                <w:rFonts w:ascii="Times New Roman"/>
                <w:b/>
                <w:bCs/>
                <w:spacing w:val="-8"/>
                <w:sz w:val="28"/>
                <w:szCs w:val="28"/>
              </w:rPr>
              <w:t>2023</w:t>
            </w:r>
          </w:p>
        </w:tc>
        <w:tc>
          <w:tcPr>
            <w:tcW w:w="970" w:type="dxa"/>
            <w:shd w:val="clear" w:color="auto" w:fill="EAF1DD" w:themeFill="accent3" w:themeFillTint="33"/>
            <w:vAlign w:val="center"/>
          </w:tcPr>
          <w:p w14:paraId="6D3E0583" w14:textId="77777777" w:rsidR="001C6043" w:rsidRPr="00CE6AE7" w:rsidRDefault="001C6043" w:rsidP="00D55ECD">
            <w:pPr>
              <w:jc w:val="right"/>
              <w:rPr>
                <w:rFonts w:ascii="Times New Roman"/>
                <w:b/>
                <w:bCs/>
                <w:spacing w:val="-8"/>
                <w:sz w:val="28"/>
                <w:szCs w:val="28"/>
              </w:rPr>
            </w:pPr>
            <w:r w:rsidRPr="00CE6AE7">
              <w:rPr>
                <w:rFonts w:ascii="Times New Roman"/>
                <w:b/>
                <w:bCs/>
                <w:spacing w:val="-8"/>
                <w:sz w:val="28"/>
                <w:szCs w:val="28"/>
              </w:rPr>
              <w:t>48.75</w:t>
            </w:r>
          </w:p>
        </w:tc>
        <w:tc>
          <w:tcPr>
            <w:tcW w:w="970" w:type="dxa"/>
            <w:tcBorders>
              <w:top w:val="single" w:sz="4" w:space="0" w:color="auto"/>
              <w:left w:val="nil"/>
              <w:bottom w:val="single" w:sz="4" w:space="0" w:color="auto"/>
              <w:right w:val="single" w:sz="4" w:space="0" w:color="auto"/>
            </w:tcBorders>
            <w:vAlign w:val="center"/>
          </w:tcPr>
          <w:p w14:paraId="7F666993"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16.11</w:t>
            </w:r>
          </w:p>
        </w:tc>
        <w:tc>
          <w:tcPr>
            <w:tcW w:w="97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6ED1754" w14:textId="77777777" w:rsidR="001C6043" w:rsidRPr="00CE6AE7" w:rsidRDefault="001C6043" w:rsidP="00D55ECD">
            <w:pPr>
              <w:jc w:val="right"/>
              <w:rPr>
                <w:rFonts w:ascii="Times New Roman"/>
                <w:b/>
                <w:bCs/>
                <w:spacing w:val="-8"/>
                <w:sz w:val="28"/>
                <w:szCs w:val="28"/>
              </w:rPr>
            </w:pPr>
            <w:r w:rsidRPr="00CE6AE7">
              <w:rPr>
                <w:rFonts w:ascii="Times New Roman"/>
                <w:b/>
                <w:bCs/>
                <w:spacing w:val="-8"/>
                <w:sz w:val="28"/>
                <w:szCs w:val="28"/>
              </w:rPr>
              <w:t>57.98</w:t>
            </w:r>
          </w:p>
        </w:tc>
        <w:tc>
          <w:tcPr>
            <w:tcW w:w="971" w:type="dxa"/>
            <w:tcBorders>
              <w:top w:val="single" w:sz="4" w:space="0" w:color="auto"/>
              <w:left w:val="single" w:sz="4" w:space="0" w:color="auto"/>
              <w:bottom w:val="single" w:sz="4" w:space="0" w:color="auto"/>
              <w:right w:val="single" w:sz="4" w:space="0" w:color="auto"/>
            </w:tcBorders>
            <w:vAlign w:val="center"/>
          </w:tcPr>
          <w:p w14:paraId="20A4ACC9"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17.49</w:t>
            </w:r>
          </w:p>
        </w:tc>
        <w:tc>
          <w:tcPr>
            <w:tcW w:w="970" w:type="dxa"/>
            <w:tcBorders>
              <w:top w:val="single" w:sz="4" w:space="0" w:color="auto"/>
              <w:left w:val="single" w:sz="4" w:space="0" w:color="auto"/>
              <w:bottom w:val="single" w:sz="4" w:space="0" w:color="auto"/>
            </w:tcBorders>
            <w:shd w:val="clear" w:color="auto" w:fill="EAF1DD" w:themeFill="accent3" w:themeFillTint="33"/>
            <w:vAlign w:val="center"/>
          </w:tcPr>
          <w:p w14:paraId="6885687E" w14:textId="77777777" w:rsidR="001C6043" w:rsidRPr="00CE6AE7" w:rsidRDefault="001C6043" w:rsidP="00D55ECD">
            <w:pPr>
              <w:jc w:val="right"/>
              <w:rPr>
                <w:rFonts w:ascii="Times New Roman"/>
                <w:b/>
                <w:bCs/>
                <w:spacing w:val="-8"/>
                <w:sz w:val="28"/>
                <w:szCs w:val="28"/>
              </w:rPr>
            </w:pPr>
            <w:r w:rsidRPr="00CE6AE7">
              <w:rPr>
                <w:rFonts w:ascii="Times New Roman"/>
                <w:b/>
                <w:bCs/>
                <w:spacing w:val="-8"/>
                <w:sz w:val="28"/>
                <w:szCs w:val="28"/>
              </w:rPr>
              <w:t>56.94</w:t>
            </w:r>
          </w:p>
        </w:tc>
        <w:tc>
          <w:tcPr>
            <w:tcW w:w="970" w:type="dxa"/>
            <w:vAlign w:val="center"/>
          </w:tcPr>
          <w:p w14:paraId="6106A2EE"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18.55</w:t>
            </w:r>
          </w:p>
        </w:tc>
        <w:tc>
          <w:tcPr>
            <w:tcW w:w="970" w:type="dxa"/>
            <w:shd w:val="clear" w:color="auto" w:fill="FDE9D9" w:themeFill="accent6" w:themeFillTint="33"/>
            <w:vAlign w:val="center"/>
          </w:tcPr>
          <w:p w14:paraId="56A579A6" w14:textId="77777777" w:rsidR="001C6043" w:rsidRPr="00CE6AE7" w:rsidRDefault="001C6043" w:rsidP="00D55ECD">
            <w:pPr>
              <w:jc w:val="right"/>
              <w:rPr>
                <w:rFonts w:ascii="Times New Roman"/>
                <w:b/>
                <w:bCs/>
                <w:spacing w:val="-8"/>
                <w:sz w:val="28"/>
                <w:szCs w:val="28"/>
              </w:rPr>
            </w:pPr>
            <w:r w:rsidRPr="00CE6AE7">
              <w:rPr>
                <w:rFonts w:ascii="Times New Roman"/>
                <w:b/>
                <w:bCs/>
                <w:spacing w:val="-8"/>
                <w:sz w:val="28"/>
                <w:szCs w:val="28"/>
              </w:rPr>
              <w:t>66.84</w:t>
            </w:r>
          </w:p>
        </w:tc>
        <w:tc>
          <w:tcPr>
            <w:tcW w:w="971" w:type="dxa"/>
            <w:vAlign w:val="center"/>
          </w:tcPr>
          <w:p w14:paraId="2538B271" w14:textId="77777777" w:rsidR="001C6043" w:rsidRPr="00CE6AE7" w:rsidRDefault="001C6043" w:rsidP="00D55ECD">
            <w:pPr>
              <w:jc w:val="right"/>
              <w:rPr>
                <w:rFonts w:ascii="Times New Roman"/>
                <w:spacing w:val="-8"/>
                <w:sz w:val="28"/>
                <w:szCs w:val="28"/>
              </w:rPr>
            </w:pPr>
            <w:r w:rsidRPr="00CE6AE7">
              <w:rPr>
                <w:rFonts w:ascii="Times New Roman"/>
                <w:spacing w:val="-8"/>
                <w:sz w:val="28"/>
                <w:szCs w:val="28"/>
              </w:rPr>
              <w:t>12.40</w:t>
            </w:r>
          </w:p>
        </w:tc>
      </w:tr>
    </w:tbl>
    <w:p w14:paraId="4259951D" w14:textId="77777777" w:rsidR="001C6043" w:rsidRPr="00CE6AE7" w:rsidRDefault="001C6043" w:rsidP="001C6043">
      <w:pPr>
        <w:pStyle w:val="afc"/>
        <w:spacing w:after="0" w:line="320" w:lineRule="exact"/>
        <w:ind w:leftChars="292" w:left="993" w:rightChars="-233" w:right="-793"/>
        <w:rPr>
          <w:rFonts w:ascii="Times New Roman"/>
          <w:spacing w:val="-20"/>
          <w:sz w:val="24"/>
          <w:szCs w:val="24"/>
        </w:rPr>
      </w:pPr>
      <w:r w:rsidRPr="00CE6AE7">
        <w:rPr>
          <w:rFonts w:ascii="Times New Roman"/>
          <w:spacing w:val="-20"/>
          <w:sz w:val="24"/>
          <w:szCs w:val="24"/>
        </w:rPr>
        <w:t>註：日本、韓國之醫療照護項目支出含部分長期照護；美國藥品支出含部分醫療用品。</w:t>
      </w:r>
    </w:p>
    <w:p w14:paraId="01BA5840" w14:textId="77777777" w:rsidR="001C6043" w:rsidRPr="00CE6AE7" w:rsidRDefault="001C6043" w:rsidP="005B337E">
      <w:pPr>
        <w:pStyle w:val="afc"/>
        <w:spacing w:before="0" w:afterLines="50" w:after="228" w:line="320" w:lineRule="exact"/>
        <w:ind w:leftChars="292" w:left="993" w:rightChars="-13" w:right="-44"/>
        <w:rPr>
          <w:rFonts w:ascii="Times New Roman"/>
          <w:spacing w:val="-20"/>
          <w:sz w:val="24"/>
          <w:szCs w:val="24"/>
        </w:rPr>
      </w:pPr>
      <w:r w:rsidRPr="00CE6AE7">
        <w:rPr>
          <w:rFonts w:ascii="Times New Roman"/>
          <w:spacing w:val="-20"/>
          <w:sz w:val="24"/>
          <w:szCs w:val="24"/>
        </w:rPr>
        <w:t>資料來源：健保署。</w:t>
      </w:r>
    </w:p>
    <w:p w14:paraId="27749751" w14:textId="645E29B4" w:rsidR="001C6043" w:rsidRPr="00CE6AE7" w:rsidRDefault="001C6043" w:rsidP="001C6043">
      <w:pPr>
        <w:pStyle w:val="3"/>
        <w:rPr>
          <w:rFonts w:ascii="Times New Roman" w:hAnsi="Times New Roman"/>
        </w:rPr>
      </w:pPr>
      <w:r w:rsidRPr="00CE6AE7">
        <w:rPr>
          <w:rFonts w:ascii="Times New Roman" w:hAnsi="Times New Roman"/>
        </w:rPr>
        <w:t>綜上，</w:t>
      </w:r>
      <w:r w:rsidR="00770C7B" w:rsidRPr="00CE6AE7">
        <w:rPr>
          <w:rFonts w:ascii="Times New Roman" w:hAnsi="Times New Roman"/>
        </w:rPr>
        <w:t>健保資源配置應兼顧藥品、特材及醫療專業服務之均衡發展，以健全醫療體系並確保照護品質。然</w:t>
      </w:r>
      <w:r w:rsidR="00770C7B" w:rsidRPr="00CE6AE7">
        <w:rPr>
          <w:rFonts w:ascii="Times New Roman" w:hAnsi="Times New Roman" w:hint="eastAsia"/>
        </w:rPr>
        <w:t>近年來</w:t>
      </w:r>
      <w:r w:rsidR="00770C7B" w:rsidRPr="00CE6AE7">
        <w:rPr>
          <w:rFonts w:ascii="Times New Roman" w:hAnsi="Times New Roman"/>
        </w:rPr>
        <w:t>，我國藥品及特材費用占健保支出比重持續攀升，相較健保開辦初期，藥費占比自</w:t>
      </w:r>
      <w:r w:rsidR="00770C7B" w:rsidRPr="00CE6AE7">
        <w:rPr>
          <w:rFonts w:ascii="Times New Roman" w:hAnsi="Times New Roman"/>
        </w:rPr>
        <w:t>24%</w:t>
      </w:r>
      <w:r w:rsidR="00770C7B" w:rsidRPr="00CE6AE7">
        <w:rPr>
          <w:rFonts w:ascii="Times New Roman" w:hAnsi="Times New Roman"/>
        </w:rPr>
        <w:t>上升至</w:t>
      </w:r>
      <w:r w:rsidR="00770C7B" w:rsidRPr="00CE6AE7">
        <w:rPr>
          <w:rFonts w:ascii="Times New Roman" w:hAnsi="Times New Roman"/>
        </w:rPr>
        <w:t>114</w:t>
      </w:r>
      <w:r w:rsidR="00770C7B" w:rsidRPr="00CE6AE7">
        <w:rPr>
          <w:rFonts w:ascii="Times New Roman" w:hAnsi="Times New Roman"/>
        </w:rPr>
        <w:t>年</w:t>
      </w:r>
      <w:r w:rsidR="00770C7B" w:rsidRPr="00CE6AE7">
        <w:rPr>
          <w:rFonts w:ascii="Times New Roman" w:hAnsi="Times New Roman"/>
        </w:rPr>
        <w:t>28%</w:t>
      </w:r>
      <w:r w:rsidR="00770C7B" w:rsidRPr="00CE6AE7">
        <w:rPr>
          <w:rFonts w:ascii="Times New Roman" w:hAnsi="Times New Roman"/>
        </w:rPr>
        <w:t>，特材費用亦由</w:t>
      </w:r>
      <w:r w:rsidR="00770C7B" w:rsidRPr="00CE6AE7">
        <w:rPr>
          <w:rFonts w:ascii="Times New Roman" w:hAnsi="Times New Roman"/>
        </w:rPr>
        <w:t>2%</w:t>
      </w:r>
      <w:r w:rsidR="00770C7B" w:rsidRPr="00CE6AE7">
        <w:rPr>
          <w:rFonts w:ascii="Times New Roman" w:hAnsi="Times New Roman"/>
        </w:rPr>
        <w:t>增至</w:t>
      </w:r>
      <w:r w:rsidR="00770C7B" w:rsidRPr="00CE6AE7">
        <w:rPr>
          <w:rFonts w:ascii="Times New Roman" w:hAnsi="Times New Roman"/>
        </w:rPr>
        <w:t>4.6%</w:t>
      </w:r>
      <w:r w:rsidR="00770C7B" w:rsidRPr="00CE6AE7">
        <w:rPr>
          <w:rFonts w:ascii="Times New Roman" w:hAnsi="Times New Roman"/>
        </w:rPr>
        <w:t>，醫療服務費用占比卻逐年下降，由</w:t>
      </w:r>
      <w:r w:rsidR="00770C7B" w:rsidRPr="00CE6AE7">
        <w:rPr>
          <w:rFonts w:ascii="Times New Roman" w:hAnsi="Times New Roman"/>
        </w:rPr>
        <w:t>73.3%</w:t>
      </w:r>
      <w:r w:rsidR="00770C7B" w:rsidRPr="00CE6AE7">
        <w:rPr>
          <w:rFonts w:ascii="Times New Roman" w:hAnsi="Times New Roman"/>
        </w:rPr>
        <w:t>降至</w:t>
      </w:r>
      <w:r w:rsidR="00770C7B" w:rsidRPr="00CE6AE7">
        <w:rPr>
          <w:rFonts w:ascii="Times New Roman" w:hAnsi="Times New Roman"/>
        </w:rPr>
        <w:t>66.9%</w:t>
      </w:r>
      <w:r w:rsidR="00770C7B" w:rsidRPr="00CE6AE7">
        <w:rPr>
          <w:rFonts w:ascii="Times New Roman" w:hAnsi="Times New Roman"/>
        </w:rPr>
        <w:t>。又與國際趨勢相較，我國醫療照護支出占醫療保健總額之下降幅度，亦較日本及韓國明顯。可見健保資源配置有逐漸偏重藥品及</w:t>
      </w:r>
      <w:r w:rsidR="00E910BA" w:rsidRPr="00CE6AE7">
        <w:rPr>
          <w:rFonts w:ascii="Times New Roman" w:hAnsi="Times New Roman" w:hint="eastAsia"/>
        </w:rPr>
        <w:t>特</w:t>
      </w:r>
      <w:r w:rsidR="00770C7B" w:rsidRPr="00CE6AE7">
        <w:rPr>
          <w:rFonts w:ascii="Times New Roman" w:hAnsi="Times New Roman"/>
        </w:rPr>
        <w:t>材，相對輕忽醫療專業服務之虞，長期均不利於醫療人力留任，進而影響照護品質，</w:t>
      </w:r>
      <w:r w:rsidR="004B630D">
        <w:rPr>
          <w:rFonts w:ascii="Times New Roman" w:hAnsi="Times New Roman" w:hint="eastAsia"/>
        </w:rPr>
        <w:t>亟</w:t>
      </w:r>
      <w:r w:rsidR="00770C7B" w:rsidRPr="00CE6AE7">
        <w:rPr>
          <w:rFonts w:ascii="Times New Roman" w:hAnsi="Times New Roman"/>
        </w:rPr>
        <w:t>待衛福部確實檢討改進</w:t>
      </w:r>
      <w:r w:rsidRPr="00CE6AE7">
        <w:rPr>
          <w:rFonts w:ascii="Times New Roman" w:hAnsi="Times New Roman"/>
        </w:rPr>
        <w:t>。</w:t>
      </w:r>
    </w:p>
    <w:p w14:paraId="62B32EBE" w14:textId="3C286578" w:rsidR="008325EE" w:rsidRPr="00CE6AE7" w:rsidRDefault="008325EE" w:rsidP="00C44E0F">
      <w:pPr>
        <w:pStyle w:val="2"/>
        <w:wordWrap w:val="0"/>
        <w:spacing w:beforeLines="50" w:before="228"/>
        <w:ind w:left="1020" w:hanging="680"/>
        <w:rPr>
          <w:rFonts w:ascii="Times New Roman" w:hAnsi="Times New Roman"/>
          <w:b/>
          <w:bCs w:val="0"/>
        </w:rPr>
      </w:pPr>
      <w:r w:rsidRPr="00CE6AE7">
        <w:rPr>
          <w:rFonts w:ascii="Times New Roman" w:hAnsi="Times New Roman"/>
          <w:b/>
          <w:bCs w:val="0"/>
        </w:rPr>
        <w:lastRenderedPageBreak/>
        <w:t>為確保醫療給付之合理性及醫療服務品質，健保法自</w:t>
      </w:r>
      <w:r w:rsidRPr="00CE6AE7">
        <w:rPr>
          <w:rFonts w:ascii="Times New Roman" w:hAnsi="Times New Roman"/>
          <w:b/>
          <w:bCs w:val="0"/>
        </w:rPr>
        <w:t>102</w:t>
      </w:r>
      <w:r w:rsidRPr="00CE6AE7">
        <w:rPr>
          <w:rFonts w:ascii="Times New Roman" w:hAnsi="Times New Roman"/>
          <w:b/>
          <w:bCs w:val="0"/>
        </w:rPr>
        <w:t>年起明定，醫療服務給付項目及支付標準之訂定，得施行</w:t>
      </w:r>
      <w:r w:rsidRPr="00CE6AE7">
        <w:rPr>
          <w:rFonts w:ascii="Times New Roman" w:hAnsi="Times New Roman"/>
          <w:b/>
          <w:bCs w:val="0"/>
        </w:rPr>
        <w:t>HTA</w:t>
      </w:r>
      <w:r w:rsidRPr="00CE6AE7">
        <w:rPr>
          <w:rFonts w:ascii="Times New Roman" w:hAnsi="Times New Roman"/>
          <w:b/>
          <w:bCs w:val="0"/>
        </w:rPr>
        <w:t>制度，藉由醫學實證資料進行相對療效、成本效益及財務衝擊評估，作為健保收載及給付之參據。惟相較國際</w:t>
      </w:r>
      <w:r w:rsidR="00A83258" w:rsidRPr="00CE6AE7">
        <w:rPr>
          <w:rFonts w:ascii="Times New Roman" w:hAnsi="Times New Roman"/>
          <w:b/>
          <w:bCs w:val="0"/>
        </w:rPr>
        <w:t>HTA</w:t>
      </w:r>
      <w:r w:rsidR="00A83258" w:rsidRPr="00CE6AE7">
        <w:rPr>
          <w:rFonts w:ascii="Times New Roman" w:hAnsi="Times New Roman"/>
          <w:b/>
          <w:bCs w:val="0"/>
        </w:rPr>
        <w:t>組織已</w:t>
      </w:r>
      <w:r w:rsidRPr="00CE6AE7">
        <w:rPr>
          <w:rFonts w:ascii="Times New Roman" w:hAnsi="Times New Roman"/>
          <w:b/>
          <w:bCs w:val="0"/>
        </w:rPr>
        <w:t>建立明確</w:t>
      </w:r>
      <w:r w:rsidR="00F013C7" w:rsidRPr="00CE6AE7">
        <w:rPr>
          <w:rFonts w:ascii="Times New Roman" w:hAnsi="Times New Roman"/>
          <w:b/>
          <w:bCs w:val="0"/>
        </w:rPr>
        <w:t>收載標準門檻</w:t>
      </w:r>
      <w:r w:rsidRPr="00CE6AE7">
        <w:rPr>
          <w:rFonts w:ascii="Times New Roman" w:hAnsi="Times New Roman"/>
          <w:b/>
          <w:bCs w:val="0"/>
        </w:rPr>
        <w:t>，我國現行給付決策仍多依個案裁量及協商合議，缺乏客觀給付判斷基準，影響決策之一致性與透明度。適逢</w:t>
      </w:r>
      <w:r w:rsidRPr="00CE6AE7">
        <w:rPr>
          <w:rFonts w:ascii="Times New Roman" w:hAnsi="Times New Roman"/>
          <w:b/>
          <w:bCs w:val="0"/>
        </w:rPr>
        <w:t>HTA</w:t>
      </w:r>
      <w:r w:rsidRPr="00CE6AE7">
        <w:rPr>
          <w:rFonts w:ascii="Times New Roman" w:hAnsi="Times New Roman"/>
          <w:b/>
          <w:bCs w:val="0"/>
        </w:rPr>
        <w:t>制度擴張之際，衛福部允宜參酌國際經驗，建立</w:t>
      </w:r>
      <w:r w:rsidR="00C1302E" w:rsidRPr="00CE6AE7">
        <w:rPr>
          <w:rFonts w:ascii="Times New Roman" w:hAnsi="Times New Roman" w:hint="eastAsia"/>
          <w:b/>
          <w:bCs w:val="0"/>
        </w:rPr>
        <w:t>客觀</w:t>
      </w:r>
      <w:r w:rsidR="00E15C34" w:rsidRPr="00CE6AE7">
        <w:rPr>
          <w:rFonts w:ascii="Times New Roman" w:hAnsi="Times New Roman" w:hint="eastAsia"/>
          <w:b/>
          <w:bCs w:val="0"/>
        </w:rPr>
        <w:t>、明確且公開之</w:t>
      </w:r>
      <w:r w:rsidR="00770C7B" w:rsidRPr="00CE6AE7">
        <w:rPr>
          <w:rFonts w:ascii="Times New Roman" w:hAnsi="Times New Roman" w:hint="eastAsia"/>
          <w:b/>
          <w:bCs w:val="0"/>
        </w:rPr>
        <w:t>收載</w:t>
      </w:r>
      <w:r w:rsidR="00C1302E" w:rsidRPr="00CE6AE7">
        <w:rPr>
          <w:rFonts w:ascii="Times New Roman" w:hAnsi="Times New Roman" w:hint="eastAsia"/>
          <w:b/>
          <w:bCs w:val="0"/>
        </w:rPr>
        <w:t>門檻</w:t>
      </w:r>
      <w:r w:rsidRPr="00CE6AE7">
        <w:rPr>
          <w:rFonts w:ascii="Times New Roman" w:hAnsi="Times New Roman"/>
          <w:b/>
          <w:bCs w:val="0"/>
        </w:rPr>
        <w:t>，俾強化健保給付決策依據。</w:t>
      </w:r>
    </w:p>
    <w:p w14:paraId="0F150A97" w14:textId="7DA937C5" w:rsidR="008325EE" w:rsidRPr="00CE6AE7" w:rsidRDefault="008325EE" w:rsidP="008325EE">
      <w:pPr>
        <w:pStyle w:val="3"/>
        <w:rPr>
          <w:rFonts w:ascii="Times New Roman" w:hAnsi="Times New Roman"/>
        </w:rPr>
      </w:pPr>
      <w:r w:rsidRPr="00CE6AE7">
        <w:rPr>
          <w:rFonts w:ascii="Times New Roman" w:hAnsi="Times New Roman"/>
        </w:rPr>
        <w:t>按健保法第</w:t>
      </w:r>
      <w:r w:rsidRPr="00CE6AE7">
        <w:rPr>
          <w:rFonts w:ascii="Times New Roman" w:hAnsi="Times New Roman"/>
        </w:rPr>
        <w:t>42</w:t>
      </w:r>
      <w:r w:rsidRPr="00CE6AE7">
        <w:rPr>
          <w:rFonts w:ascii="Times New Roman" w:hAnsi="Times New Roman"/>
        </w:rPr>
        <w:t>條第</w:t>
      </w:r>
      <w:r w:rsidRPr="00CE6AE7">
        <w:rPr>
          <w:rFonts w:ascii="Times New Roman" w:hAnsi="Times New Roman"/>
        </w:rPr>
        <w:t>2</w:t>
      </w:r>
      <w:r w:rsidRPr="00CE6AE7">
        <w:rPr>
          <w:rFonts w:ascii="Times New Roman" w:hAnsi="Times New Roman"/>
        </w:rPr>
        <w:t>項規定，醫療服務給付項目及支付標準的訂定，保險人得先辦理</w:t>
      </w:r>
      <w:r w:rsidRPr="00CE6AE7">
        <w:rPr>
          <w:rFonts w:ascii="Times New Roman" w:hAnsi="Times New Roman"/>
        </w:rPr>
        <w:t>HTA</w:t>
      </w:r>
      <w:r w:rsidRPr="00CE6AE7">
        <w:rPr>
          <w:rFonts w:ascii="Times New Roman" w:hAnsi="Times New Roman"/>
        </w:rPr>
        <w:t>作業，並應考量人體健康、醫療倫理、醫療成本效益及保險財務；藥物給付項目及支付標準之訂定，亦同。</w:t>
      </w:r>
      <w:r w:rsidRPr="00CE6AE7">
        <w:rPr>
          <w:rFonts w:ascii="Times New Roman" w:hAnsi="Times New Roman"/>
        </w:rPr>
        <w:t>HTA</w:t>
      </w:r>
      <w:r w:rsidRPr="00CE6AE7">
        <w:rPr>
          <w:rFonts w:ascii="Times New Roman" w:hAnsi="Times New Roman"/>
        </w:rPr>
        <w:t>制度旨在建立客觀科學證據，作為健保收載及給付決策之重要參據。</w:t>
      </w:r>
    </w:p>
    <w:p w14:paraId="3543F4FC" w14:textId="5AD1EBC2" w:rsidR="008325EE" w:rsidRPr="00CE6AE7" w:rsidRDefault="008325EE" w:rsidP="008325EE">
      <w:pPr>
        <w:pStyle w:val="3"/>
        <w:rPr>
          <w:rFonts w:ascii="Times New Roman" w:hAnsi="Times New Roman"/>
        </w:rPr>
      </w:pPr>
      <w:r w:rsidRPr="00CE6AE7">
        <w:rPr>
          <w:rFonts w:ascii="Times New Roman" w:hAnsi="Times New Roman"/>
        </w:rPr>
        <w:t>現行</w:t>
      </w:r>
      <w:r w:rsidRPr="00CE6AE7">
        <w:rPr>
          <w:rFonts w:ascii="Times New Roman" w:hAnsi="Times New Roman"/>
        </w:rPr>
        <w:t>HTA</w:t>
      </w:r>
      <w:r w:rsidRPr="00CE6AE7">
        <w:rPr>
          <w:rFonts w:ascii="Times New Roman" w:hAnsi="Times New Roman"/>
        </w:rPr>
        <w:t>作業，均委由財團法人醫藥品查驗中心（</w:t>
      </w:r>
      <w:r w:rsidRPr="00CE6AE7">
        <w:rPr>
          <w:rFonts w:ascii="Times New Roman" w:hAnsi="Times New Roman"/>
        </w:rPr>
        <w:t>Center for Drug Evaluation</w:t>
      </w:r>
      <w:r w:rsidRPr="00CE6AE7">
        <w:rPr>
          <w:rFonts w:ascii="Times New Roman" w:hAnsi="Times New Roman"/>
        </w:rPr>
        <w:t>，下稱</w:t>
      </w:r>
      <w:r w:rsidRPr="00CE6AE7">
        <w:rPr>
          <w:rFonts w:ascii="Times New Roman" w:hAnsi="Times New Roman"/>
        </w:rPr>
        <w:t>CDE</w:t>
      </w:r>
      <w:r w:rsidRPr="00CE6AE7">
        <w:rPr>
          <w:rFonts w:ascii="Times New Roman" w:hAnsi="Times New Roman"/>
        </w:rPr>
        <w:t>）辦理，復為強化評估量能，我國刻正推動設置行政法人「國家醫療科技評估中心」：</w:t>
      </w:r>
    </w:p>
    <w:p w14:paraId="0B1A2EE2" w14:textId="784E1854" w:rsidR="008325EE" w:rsidRPr="00CE6AE7" w:rsidRDefault="008325EE" w:rsidP="008325EE">
      <w:pPr>
        <w:pStyle w:val="4"/>
        <w:rPr>
          <w:rFonts w:ascii="Times New Roman" w:hAnsi="Times New Roman"/>
        </w:rPr>
      </w:pPr>
      <w:r w:rsidRPr="00CE6AE7">
        <w:rPr>
          <w:rFonts w:ascii="Times New Roman" w:hAnsi="Times New Roman"/>
        </w:rPr>
        <w:t>我國最早於</w:t>
      </w:r>
      <w:r w:rsidRPr="00CE6AE7">
        <w:rPr>
          <w:rFonts w:ascii="Times New Roman" w:hAnsi="Times New Roman"/>
        </w:rPr>
        <w:t>97</w:t>
      </w:r>
      <w:r w:rsidRPr="00CE6AE7">
        <w:rPr>
          <w:rFonts w:ascii="Times New Roman" w:hAnsi="Times New Roman"/>
        </w:rPr>
        <w:t>年運用</w:t>
      </w:r>
      <w:r w:rsidRPr="00CE6AE7">
        <w:rPr>
          <w:rFonts w:ascii="Times New Roman" w:hAnsi="Times New Roman"/>
        </w:rPr>
        <w:t>HTA</w:t>
      </w:r>
      <w:r w:rsidRPr="00CE6AE7">
        <w:rPr>
          <w:rFonts w:ascii="Times New Roman" w:hAnsi="Times New Roman"/>
        </w:rPr>
        <w:t>機制於健保新藥給付，透過系統性的實證科學作為給付決策參採依據。因</w:t>
      </w:r>
      <w:r w:rsidRPr="00CE6AE7">
        <w:rPr>
          <w:rFonts w:ascii="Times New Roman" w:hAnsi="Times New Roman"/>
        </w:rPr>
        <w:t>HTA</w:t>
      </w:r>
      <w:r w:rsidRPr="00CE6AE7">
        <w:rPr>
          <w:rFonts w:ascii="Times New Roman" w:hAnsi="Times New Roman"/>
        </w:rPr>
        <w:t>作業涉及臨床醫學、藥物經濟學與統計分析等高度跨領域專業整合，</w:t>
      </w:r>
      <w:r w:rsidR="00D20B61" w:rsidRPr="00CE6AE7">
        <w:rPr>
          <w:rFonts w:ascii="Times New Roman" w:hAnsi="Times New Roman"/>
        </w:rPr>
        <w:t>基於</w:t>
      </w:r>
      <w:r w:rsidRPr="00CE6AE7">
        <w:rPr>
          <w:rFonts w:ascii="Times New Roman" w:hAnsi="Times New Roman"/>
        </w:rPr>
        <w:t>專業、中立與行政彈性考量，故</w:t>
      </w:r>
      <w:r w:rsidR="00D20B61" w:rsidRPr="00CE6AE7">
        <w:rPr>
          <w:rFonts w:ascii="Times New Roman" w:hAnsi="Times New Roman"/>
        </w:rPr>
        <w:t>HTA</w:t>
      </w:r>
      <w:r w:rsidR="00D20B61" w:rsidRPr="00CE6AE7">
        <w:rPr>
          <w:rFonts w:ascii="Times New Roman" w:hAnsi="Times New Roman"/>
        </w:rPr>
        <w:t>業務均</w:t>
      </w:r>
      <w:r w:rsidRPr="00CE6AE7">
        <w:rPr>
          <w:rFonts w:ascii="Times New Roman" w:hAnsi="Times New Roman"/>
        </w:rPr>
        <w:t>由</w:t>
      </w:r>
      <w:r w:rsidRPr="00CE6AE7">
        <w:rPr>
          <w:rFonts w:ascii="Times New Roman" w:hAnsi="Times New Roman"/>
        </w:rPr>
        <w:t>CDE</w:t>
      </w:r>
      <w:r w:rsidRPr="00CE6AE7">
        <w:rPr>
          <w:rFonts w:ascii="Times New Roman" w:hAnsi="Times New Roman"/>
        </w:rPr>
        <w:t>設立</w:t>
      </w:r>
      <w:r w:rsidR="00644A36" w:rsidRPr="00CE6AE7">
        <w:rPr>
          <w:rFonts w:ascii="Times New Roman" w:hAnsi="Times New Roman"/>
        </w:rPr>
        <w:t>之</w:t>
      </w:r>
      <w:r w:rsidRPr="00CE6AE7">
        <w:rPr>
          <w:rFonts w:ascii="Times New Roman" w:hAnsi="Times New Roman"/>
        </w:rPr>
        <w:t>「醫藥科技評估組」專責辦理</w:t>
      </w:r>
      <w:r w:rsidR="00D20B61" w:rsidRPr="00CE6AE7">
        <w:rPr>
          <w:rFonts w:ascii="Times New Roman" w:hAnsi="Times New Roman"/>
        </w:rPr>
        <w:t>。</w:t>
      </w:r>
      <w:r w:rsidRPr="00CE6AE7">
        <w:rPr>
          <w:rFonts w:ascii="Times New Roman" w:hAnsi="Times New Roman"/>
        </w:rPr>
        <w:t>評估範圍於</w:t>
      </w:r>
      <w:r w:rsidRPr="00CE6AE7">
        <w:rPr>
          <w:rFonts w:ascii="Times New Roman" w:hAnsi="Times New Roman"/>
        </w:rPr>
        <w:t>110</w:t>
      </w:r>
      <w:r w:rsidRPr="00CE6AE7">
        <w:rPr>
          <w:rFonts w:ascii="Times New Roman" w:hAnsi="Times New Roman"/>
        </w:rPr>
        <w:t>年擴增至</w:t>
      </w:r>
      <w:r w:rsidR="00D20B61" w:rsidRPr="00CE6AE7">
        <w:rPr>
          <w:rFonts w:ascii="Times New Roman" w:hAnsi="Times New Roman"/>
        </w:rPr>
        <w:t>新</w:t>
      </w:r>
      <w:r w:rsidRPr="00CE6AE7">
        <w:rPr>
          <w:rFonts w:ascii="Times New Roman" w:hAnsi="Times New Roman"/>
        </w:rPr>
        <w:t>特材</w:t>
      </w:r>
      <w:r w:rsidR="00D20B61" w:rsidRPr="00CE6AE7">
        <w:rPr>
          <w:rFonts w:ascii="Times New Roman" w:hAnsi="Times New Roman"/>
        </w:rPr>
        <w:t>收載</w:t>
      </w:r>
      <w:r w:rsidRPr="00CE6AE7">
        <w:rPr>
          <w:rFonts w:ascii="Times New Roman" w:hAnsi="Times New Roman"/>
        </w:rPr>
        <w:t>，</w:t>
      </w:r>
      <w:r w:rsidRPr="00CE6AE7">
        <w:rPr>
          <w:rFonts w:ascii="Times New Roman" w:hAnsi="Times New Roman"/>
        </w:rPr>
        <w:t>113</w:t>
      </w:r>
      <w:r w:rsidRPr="00CE6AE7">
        <w:rPr>
          <w:rFonts w:ascii="Times New Roman" w:hAnsi="Times New Roman"/>
        </w:rPr>
        <w:t>年擴增至</w:t>
      </w:r>
      <w:r w:rsidR="00D20B61" w:rsidRPr="00CE6AE7">
        <w:rPr>
          <w:rFonts w:ascii="Times New Roman" w:hAnsi="Times New Roman"/>
        </w:rPr>
        <w:t>新</w:t>
      </w:r>
      <w:r w:rsidRPr="00CE6AE7">
        <w:rPr>
          <w:rFonts w:ascii="Times New Roman" w:hAnsi="Times New Roman"/>
        </w:rPr>
        <w:t>醫療服務項目。評估方法包含彙整國際</w:t>
      </w:r>
      <w:r w:rsidRPr="00CE6AE7">
        <w:rPr>
          <w:rFonts w:ascii="Times New Roman" w:hAnsi="Times New Roman"/>
        </w:rPr>
        <w:t>HTA</w:t>
      </w:r>
      <w:r w:rsidRPr="00CE6AE7">
        <w:rPr>
          <w:rFonts w:ascii="Times New Roman" w:hAnsi="Times New Roman"/>
        </w:rPr>
        <w:t>組織評估結果及各國給付相關資料，推估對我國健保之財務衝擊，並提出具體給付建議報告，作為後續專家諮詢及</w:t>
      </w:r>
      <w:r w:rsidR="00566F65" w:rsidRPr="00CE6AE7">
        <w:rPr>
          <w:rFonts w:ascii="Times New Roman" w:hAnsi="Times New Roman"/>
        </w:rPr>
        <w:t>共擬會</w:t>
      </w:r>
      <w:r w:rsidR="00566F65" w:rsidRPr="00CE6AE7">
        <w:rPr>
          <w:rFonts w:ascii="Times New Roman" w:hAnsi="Times New Roman"/>
        </w:rPr>
        <w:lastRenderedPageBreak/>
        <w:t>議</w:t>
      </w:r>
      <w:r w:rsidRPr="00CE6AE7">
        <w:rPr>
          <w:rFonts w:ascii="Times New Roman" w:hAnsi="Times New Roman"/>
        </w:rPr>
        <w:t>審議之重要依據。</w:t>
      </w:r>
    </w:p>
    <w:p w14:paraId="06854496" w14:textId="049A87CA" w:rsidR="008325EE" w:rsidRPr="00CE6AE7" w:rsidRDefault="00A83258" w:rsidP="008325EE">
      <w:pPr>
        <w:pStyle w:val="4"/>
        <w:rPr>
          <w:rFonts w:ascii="Times New Roman" w:hAnsi="Times New Roman"/>
        </w:rPr>
      </w:pPr>
      <w:r w:rsidRPr="00CE6AE7">
        <w:rPr>
          <w:rFonts w:ascii="Times New Roman" w:hAnsi="Times New Roman"/>
        </w:rPr>
        <w:t>衛福部</w:t>
      </w:r>
      <w:r w:rsidR="008325EE" w:rsidRPr="00CE6AE7">
        <w:rPr>
          <w:rFonts w:ascii="Times New Roman" w:hAnsi="Times New Roman"/>
        </w:rPr>
        <w:t>為進一步擴大推動</w:t>
      </w:r>
      <w:r w:rsidR="008325EE" w:rsidRPr="00CE6AE7">
        <w:rPr>
          <w:rFonts w:ascii="Times New Roman" w:hAnsi="Times New Roman"/>
        </w:rPr>
        <w:t>HTA</w:t>
      </w:r>
      <w:r w:rsidR="008325EE" w:rsidRPr="00CE6AE7">
        <w:rPr>
          <w:rFonts w:ascii="Times New Roman" w:hAnsi="Times New Roman"/>
        </w:rPr>
        <w:t>技術之發展應用、</w:t>
      </w:r>
      <w:r w:rsidRPr="00CE6AE7">
        <w:rPr>
          <w:rFonts w:ascii="Times New Roman" w:hAnsi="Times New Roman"/>
        </w:rPr>
        <w:t>進行</w:t>
      </w:r>
      <w:r w:rsidR="008325EE" w:rsidRPr="00CE6AE7">
        <w:rPr>
          <w:rFonts w:ascii="Times New Roman" w:hAnsi="Times New Roman"/>
        </w:rPr>
        <w:t>具科學實證之健康政策評估研究、培育專業人才及提升國際影響力，擬</w:t>
      </w:r>
      <w:r w:rsidRPr="00CE6AE7">
        <w:rPr>
          <w:rFonts w:ascii="Times New Roman" w:hAnsi="Times New Roman"/>
        </w:rPr>
        <w:t>將</w:t>
      </w:r>
      <w:r w:rsidRPr="00CE6AE7">
        <w:rPr>
          <w:rFonts w:ascii="Times New Roman" w:hAnsi="Times New Roman"/>
        </w:rPr>
        <w:t>HTA</w:t>
      </w:r>
      <w:r w:rsidRPr="00CE6AE7">
        <w:rPr>
          <w:rFonts w:ascii="Times New Roman" w:hAnsi="Times New Roman"/>
        </w:rPr>
        <w:t>業務改由行政法人辦理</w:t>
      </w:r>
      <w:r w:rsidR="00C1302E" w:rsidRPr="00CE6AE7">
        <w:rPr>
          <w:rFonts w:ascii="Times New Roman" w:hAnsi="Times New Roman"/>
        </w:rPr>
        <w:t>，</w:t>
      </w:r>
      <w:r w:rsidRPr="00CE6AE7">
        <w:rPr>
          <w:rFonts w:ascii="Times New Roman" w:hAnsi="Times New Roman"/>
        </w:rPr>
        <w:t>研議設置國家醫療科技評估中心，強化</w:t>
      </w:r>
      <w:r w:rsidRPr="00CE6AE7">
        <w:rPr>
          <w:rFonts w:ascii="Times New Roman" w:hAnsi="Times New Roman"/>
        </w:rPr>
        <w:t>HTA</w:t>
      </w:r>
      <w:r w:rsidRPr="00CE6AE7">
        <w:rPr>
          <w:rFonts w:ascii="Times New Roman" w:hAnsi="Times New Roman"/>
        </w:rPr>
        <w:t>辦理效能。其設置草案（</w:t>
      </w:r>
      <w:r w:rsidR="008325EE" w:rsidRPr="00CE6AE7">
        <w:rPr>
          <w:rFonts w:ascii="Times New Roman" w:hAnsi="Times New Roman"/>
        </w:rPr>
        <w:t>國家醫療科技評估中心設置條例</w:t>
      </w:r>
      <w:r w:rsidRPr="00CE6AE7">
        <w:rPr>
          <w:rFonts w:ascii="Times New Roman" w:hAnsi="Times New Roman"/>
        </w:rPr>
        <w:t>）</w:t>
      </w:r>
      <w:r w:rsidR="008325EE" w:rsidRPr="00CE6AE7">
        <w:rPr>
          <w:rFonts w:ascii="Times New Roman" w:hAnsi="Times New Roman"/>
        </w:rPr>
        <w:t>，業經衛福部於</w:t>
      </w:r>
      <w:r w:rsidR="008325EE" w:rsidRPr="00CE6AE7">
        <w:rPr>
          <w:rFonts w:ascii="Times New Roman" w:hAnsi="Times New Roman"/>
        </w:rPr>
        <w:t>113</w:t>
      </w:r>
      <w:r w:rsidR="008325EE" w:rsidRPr="00CE6AE7">
        <w:rPr>
          <w:rFonts w:ascii="Times New Roman" w:hAnsi="Times New Roman"/>
        </w:rPr>
        <w:t>年</w:t>
      </w:r>
      <w:r w:rsidR="008325EE" w:rsidRPr="00CE6AE7">
        <w:rPr>
          <w:rFonts w:ascii="Times New Roman" w:hAnsi="Times New Roman"/>
        </w:rPr>
        <w:t>8</w:t>
      </w:r>
      <w:r w:rsidR="008325EE" w:rsidRPr="00CE6AE7">
        <w:rPr>
          <w:rFonts w:ascii="Times New Roman" w:hAnsi="Times New Roman"/>
        </w:rPr>
        <w:t>月</w:t>
      </w:r>
      <w:r w:rsidR="008325EE" w:rsidRPr="00CE6AE7">
        <w:rPr>
          <w:rFonts w:ascii="Times New Roman" w:hAnsi="Times New Roman"/>
        </w:rPr>
        <w:t>13</w:t>
      </w:r>
      <w:r w:rsidR="008325EE" w:rsidRPr="00CE6AE7">
        <w:rPr>
          <w:rFonts w:ascii="Times New Roman" w:hAnsi="Times New Roman"/>
        </w:rPr>
        <w:t>日函報行政院，行政院並於</w:t>
      </w:r>
      <w:r w:rsidR="008325EE" w:rsidRPr="00CE6AE7">
        <w:rPr>
          <w:rFonts w:ascii="Times New Roman" w:hAnsi="Times New Roman"/>
        </w:rPr>
        <w:t>114</w:t>
      </w:r>
      <w:r w:rsidR="008325EE" w:rsidRPr="00CE6AE7">
        <w:rPr>
          <w:rFonts w:ascii="Times New Roman" w:hAnsi="Times New Roman"/>
        </w:rPr>
        <w:t>年</w:t>
      </w:r>
      <w:r w:rsidR="008325EE" w:rsidRPr="00CE6AE7">
        <w:rPr>
          <w:rFonts w:ascii="Times New Roman" w:hAnsi="Times New Roman"/>
        </w:rPr>
        <w:t>12</w:t>
      </w:r>
      <w:r w:rsidR="008325EE" w:rsidRPr="00CE6AE7">
        <w:rPr>
          <w:rFonts w:ascii="Times New Roman" w:hAnsi="Times New Roman"/>
        </w:rPr>
        <w:t>月</w:t>
      </w:r>
      <w:r w:rsidR="008325EE" w:rsidRPr="00CE6AE7">
        <w:rPr>
          <w:rFonts w:ascii="Times New Roman" w:hAnsi="Times New Roman"/>
        </w:rPr>
        <w:t>11</w:t>
      </w:r>
      <w:r w:rsidR="008325EE" w:rsidRPr="00CE6AE7">
        <w:rPr>
          <w:rFonts w:ascii="Times New Roman" w:hAnsi="Times New Roman"/>
        </w:rPr>
        <w:t>日通過，目前已報請立法院審議。</w:t>
      </w:r>
    </w:p>
    <w:p w14:paraId="41A4CF9C" w14:textId="7F85BF54" w:rsidR="008325EE" w:rsidRPr="00CE6AE7" w:rsidRDefault="008325EE" w:rsidP="00A83258">
      <w:pPr>
        <w:pStyle w:val="3"/>
        <w:wordWrap w:val="0"/>
        <w:ind w:left="1360" w:hanging="680"/>
        <w:rPr>
          <w:rFonts w:ascii="Times New Roman" w:hAnsi="Times New Roman"/>
          <w:b/>
          <w:bCs w:val="0"/>
        </w:rPr>
      </w:pPr>
      <w:r w:rsidRPr="00CE6AE7">
        <w:rPr>
          <w:rFonts w:ascii="Times New Roman" w:hAnsi="Times New Roman"/>
          <w:b/>
          <w:bCs w:val="0"/>
        </w:rPr>
        <w:t>惟查，相較國際</w:t>
      </w:r>
      <w:r w:rsidR="00A83258" w:rsidRPr="00CE6AE7">
        <w:rPr>
          <w:rFonts w:ascii="Times New Roman" w:hAnsi="Times New Roman"/>
          <w:b/>
          <w:bCs w:val="0"/>
        </w:rPr>
        <w:t>HTA</w:t>
      </w:r>
      <w:r w:rsidR="00A83258" w:rsidRPr="00CE6AE7">
        <w:rPr>
          <w:rFonts w:ascii="Times New Roman" w:hAnsi="Times New Roman"/>
          <w:b/>
          <w:bCs w:val="0"/>
        </w:rPr>
        <w:t>組織</w:t>
      </w:r>
      <w:r w:rsidRPr="00CE6AE7">
        <w:rPr>
          <w:rFonts w:ascii="Times New Roman" w:hAnsi="Times New Roman"/>
          <w:b/>
          <w:bCs w:val="0"/>
        </w:rPr>
        <w:t>已建立明確願意支付門檻（</w:t>
      </w:r>
      <w:r w:rsidRPr="00CE6AE7">
        <w:rPr>
          <w:rFonts w:ascii="Times New Roman" w:hAnsi="Times New Roman"/>
          <w:b/>
          <w:bCs w:val="0"/>
        </w:rPr>
        <w:t>Willingness-to-Pay</w:t>
      </w:r>
      <w:r w:rsidRPr="00CE6AE7">
        <w:rPr>
          <w:rFonts w:ascii="Times New Roman" w:hAnsi="Times New Roman"/>
          <w:b/>
          <w:bCs w:val="0"/>
        </w:rPr>
        <w:t>，</w:t>
      </w:r>
      <w:r w:rsidR="00433F65">
        <w:rPr>
          <w:rFonts w:ascii="Times New Roman" w:hAnsi="Times New Roman" w:hint="eastAsia"/>
          <w:b/>
          <w:bCs w:val="0"/>
        </w:rPr>
        <w:t>下</w:t>
      </w:r>
      <w:r w:rsidR="00F013C7" w:rsidRPr="00CE6AE7">
        <w:rPr>
          <w:rFonts w:ascii="Times New Roman" w:hAnsi="Times New Roman"/>
          <w:b/>
          <w:bCs w:val="0"/>
        </w:rPr>
        <w:t>稱</w:t>
      </w:r>
      <w:r w:rsidRPr="00CE6AE7">
        <w:rPr>
          <w:rFonts w:ascii="Times New Roman" w:hAnsi="Times New Roman"/>
          <w:b/>
          <w:bCs w:val="0"/>
        </w:rPr>
        <w:t>WTP</w:t>
      </w:r>
      <w:r w:rsidRPr="00CE6AE7">
        <w:rPr>
          <w:rFonts w:ascii="Times New Roman" w:hAnsi="Times New Roman"/>
          <w:b/>
          <w:bCs w:val="0"/>
        </w:rPr>
        <w:t>），我國現行給付決策仍多依個案裁量及協商合議，缺乏客觀給付判斷基準，進而影響決策之一致性與透明度：</w:t>
      </w:r>
    </w:p>
    <w:p w14:paraId="6ABD7873" w14:textId="305BFFE8" w:rsidR="008325EE" w:rsidRPr="00CE6AE7" w:rsidRDefault="008325EE" w:rsidP="008325EE">
      <w:pPr>
        <w:pStyle w:val="4"/>
        <w:rPr>
          <w:rFonts w:ascii="Times New Roman" w:hAnsi="Times New Roman"/>
        </w:rPr>
      </w:pPr>
      <w:r w:rsidRPr="00CE6AE7">
        <w:rPr>
          <w:rFonts w:ascii="Times New Roman" w:hAnsi="Times New Roman"/>
        </w:rPr>
        <w:t>以</w:t>
      </w:r>
      <w:r w:rsidRPr="00CE6AE7">
        <w:rPr>
          <w:rFonts w:ascii="Times New Roman" w:hAnsi="Times New Roman"/>
          <w:bCs/>
        </w:rPr>
        <w:t>單劑</w:t>
      </w:r>
      <w:r w:rsidRPr="00CE6AE7">
        <w:rPr>
          <w:rFonts w:ascii="Times New Roman" w:hAnsi="Times New Roman"/>
        </w:rPr>
        <w:t>藥價</w:t>
      </w:r>
      <w:r w:rsidRPr="00CE6AE7">
        <w:rPr>
          <w:rFonts w:ascii="Times New Roman" w:hAnsi="Times New Roman"/>
        </w:rPr>
        <w:t>9,999</w:t>
      </w:r>
      <w:r w:rsidRPr="00CE6AE7">
        <w:rPr>
          <w:rFonts w:ascii="Times New Roman" w:hAnsi="Times New Roman"/>
        </w:rPr>
        <w:t>萬元的</w:t>
      </w:r>
      <w:r w:rsidR="0018574C" w:rsidRPr="00CE6AE7">
        <w:rPr>
          <w:rFonts w:ascii="Times New Roman" w:hAnsi="Times New Roman"/>
        </w:rPr>
        <w:t>罕病</w:t>
      </w:r>
      <w:r w:rsidRPr="00CE6AE7">
        <w:rPr>
          <w:rFonts w:ascii="Times New Roman" w:hAnsi="Times New Roman"/>
        </w:rPr>
        <w:t>基因療法新藥「</w:t>
      </w:r>
      <w:r w:rsidRPr="00CE6AE7">
        <w:rPr>
          <w:rFonts w:ascii="Times New Roman" w:hAnsi="Times New Roman"/>
        </w:rPr>
        <w:t>Upstaza</w:t>
      </w:r>
      <w:r w:rsidRPr="00CE6AE7">
        <w:rPr>
          <w:rFonts w:ascii="Times New Roman" w:hAnsi="Times New Roman"/>
        </w:rPr>
        <w:t>」</w:t>
      </w:r>
      <w:r w:rsidRPr="00CE6AE7">
        <w:rPr>
          <w:rStyle w:val="aff6"/>
          <w:rFonts w:ascii="Times New Roman" w:hAnsi="Times New Roman"/>
        </w:rPr>
        <w:footnoteReference w:id="13"/>
      </w:r>
      <w:r w:rsidRPr="00CE6AE7">
        <w:rPr>
          <w:rFonts w:ascii="Times New Roman" w:hAnsi="Times New Roman"/>
        </w:rPr>
        <w:t>為例，</w:t>
      </w:r>
      <w:r w:rsidRPr="00CE6AE7">
        <w:rPr>
          <w:rFonts w:ascii="Times New Roman" w:hAnsi="Times New Roman"/>
        </w:rPr>
        <w:t>HTA</w:t>
      </w:r>
      <w:r w:rsidRPr="00CE6AE7">
        <w:rPr>
          <w:rFonts w:ascii="Times New Roman" w:hAnsi="Times New Roman"/>
        </w:rPr>
        <w:t>報告</w:t>
      </w:r>
      <w:r w:rsidR="000C495A" w:rsidRPr="00CE6AE7">
        <w:rPr>
          <w:rFonts w:ascii="Times New Roman" w:hAnsi="Times New Roman"/>
        </w:rPr>
        <w:t>彙整</w:t>
      </w:r>
      <w:r w:rsidRPr="00CE6AE7">
        <w:rPr>
          <w:rFonts w:ascii="Times New Roman" w:hAnsi="Times New Roman"/>
        </w:rPr>
        <w:t>疾病治療現況、臨床療效、成本效果及財務衝擊等</w:t>
      </w:r>
      <w:r w:rsidR="00A83258" w:rsidRPr="00CE6AE7">
        <w:rPr>
          <w:rFonts w:ascii="Times New Roman" w:hAnsi="Times New Roman"/>
        </w:rPr>
        <w:t>資料</w:t>
      </w:r>
      <w:r w:rsidRPr="00CE6AE7">
        <w:rPr>
          <w:rFonts w:ascii="Times New Roman" w:hAnsi="Times New Roman"/>
        </w:rPr>
        <w:t>，</w:t>
      </w:r>
      <w:r w:rsidRPr="00433F65">
        <w:rPr>
          <w:rFonts w:ascii="Times New Roman" w:hAnsi="Times New Roman"/>
        </w:rPr>
        <w:t>惟</w:t>
      </w:r>
      <w:r w:rsidR="00A83258" w:rsidRPr="00433F65">
        <w:rPr>
          <w:rFonts w:ascii="Times New Roman" w:hAnsi="Times New Roman"/>
        </w:rPr>
        <w:t>並未提供量化判斷指標</w:t>
      </w:r>
      <w:r w:rsidR="00A83258" w:rsidRPr="00CE6AE7">
        <w:rPr>
          <w:rFonts w:ascii="Times New Roman" w:hAnsi="Times New Roman"/>
        </w:rPr>
        <w:t>，</w:t>
      </w:r>
      <w:r w:rsidR="000C495A" w:rsidRPr="00CE6AE7">
        <w:rPr>
          <w:rFonts w:ascii="Times New Roman" w:hAnsi="Times New Roman"/>
        </w:rPr>
        <w:t>後依</w:t>
      </w:r>
      <w:r w:rsidRPr="00CE6AE7">
        <w:rPr>
          <w:rFonts w:ascii="Times New Roman" w:hAnsi="Times New Roman"/>
        </w:rPr>
        <w:t>歷次專家諮詢及共擬會議紀錄所載，</w:t>
      </w:r>
      <w:r w:rsidR="000C495A" w:rsidRPr="00CE6AE7">
        <w:rPr>
          <w:rFonts w:ascii="Times New Roman" w:hAnsi="Times New Roman"/>
        </w:rPr>
        <w:t>結論雖均提及</w:t>
      </w:r>
      <w:r w:rsidRPr="00CE6AE7">
        <w:rPr>
          <w:rFonts w:ascii="Times New Roman" w:hAnsi="Times New Roman"/>
        </w:rPr>
        <w:t>該藥</w:t>
      </w:r>
      <w:r w:rsidRPr="00433F65">
        <w:rPr>
          <w:rFonts w:ascii="Times New Roman" w:hAnsi="Times New Roman"/>
        </w:rPr>
        <w:t>長期療效及財務影響具高度不確定性，且支付價格高昂</w:t>
      </w:r>
      <w:r w:rsidRPr="00CE6AE7">
        <w:rPr>
          <w:rFonts w:ascii="Times New Roman" w:hAnsi="Times New Roman"/>
        </w:rPr>
        <w:t>，</w:t>
      </w:r>
      <w:r w:rsidR="000C495A" w:rsidRPr="00CE6AE7">
        <w:rPr>
          <w:rFonts w:ascii="Times New Roman" w:hAnsi="Times New Roman"/>
        </w:rPr>
        <w:t>然</w:t>
      </w:r>
      <w:r w:rsidRPr="00CE6AE7">
        <w:rPr>
          <w:rFonts w:ascii="Times New Roman" w:hAnsi="Times New Roman"/>
        </w:rPr>
        <w:t>考量</w:t>
      </w:r>
      <w:r w:rsidRPr="00CE6AE7">
        <w:rPr>
          <w:rFonts w:ascii="Times New Roman" w:hAnsi="Times New Roman"/>
        </w:rPr>
        <w:t>AADC</w:t>
      </w:r>
      <w:r w:rsidRPr="00CE6AE7">
        <w:rPr>
          <w:rFonts w:ascii="Times New Roman" w:hAnsi="Times New Roman"/>
        </w:rPr>
        <w:t>缺乏症尚無其他治療藥物，</w:t>
      </w:r>
      <w:r w:rsidR="000C495A" w:rsidRPr="00CE6AE7">
        <w:rPr>
          <w:rFonts w:ascii="Times New Roman" w:hAnsi="Times New Roman"/>
        </w:rPr>
        <w:t>屬於</w:t>
      </w:r>
      <w:r w:rsidRPr="00433F65">
        <w:rPr>
          <w:rFonts w:ascii="Times New Roman" w:hAnsi="Times New Roman"/>
        </w:rPr>
        <w:t>醫療迫切需求</w:t>
      </w:r>
      <w:r w:rsidRPr="00CE6AE7">
        <w:rPr>
          <w:rFonts w:ascii="Times New Roman" w:hAnsi="Times New Roman"/>
        </w:rPr>
        <w:t>（</w:t>
      </w:r>
      <w:r w:rsidRPr="00CE6AE7">
        <w:rPr>
          <w:rFonts w:ascii="Times New Roman" w:hAnsi="Times New Roman"/>
        </w:rPr>
        <w:t>unmet medical need</w:t>
      </w:r>
      <w:r w:rsidRPr="00CE6AE7">
        <w:rPr>
          <w:rFonts w:ascii="Times New Roman" w:hAnsi="Times New Roman"/>
        </w:rPr>
        <w:t>），最終仍決議以暫時性支付方式納入健保給付，並採</w:t>
      </w:r>
      <w:r w:rsidRPr="00CE6AE7">
        <w:rPr>
          <w:rFonts w:ascii="Times New Roman" w:hAnsi="Times New Roman"/>
        </w:rPr>
        <w:t>3</w:t>
      </w:r>
      <w:r w:rsidRPr="00CE6AE7">
        <w:rPr>
          <w:rFonts w:ascii="Times New Roman" w:hAnsi="Times New Roman"/>
        </w:rPr>
        <w:t>年後重新評估療效及價格之機制。</w:t>
      </w:r>
      <w:r w:rsidR="000C495A" w:rsidRPr="00CE6AE7">
        <w:rPr>
          <w:rFonts w:ascii="Times New Roman" w:hAnsi="Times New Roman"/>
        </w:rPr>
        <w:t>是以，</w:t>
      </w:r>
      <w:r w:rsidRPr="00CE6AE7">
        <w:rPr>
          <w:rFonts w:ascii="Times New Roman" w:hAnsi="Times New Roman"/>
        </w:rPr>
        <w:t>臨床醫療需求</w:t>
      </w:r>
      <w:r w:rsidR="000C495A" w:rsidRPr="00CE6AE7">
        <w:rPr>
          <w:rFonts w:ascii="Times New Roman" w:hAnsi="Times New Roman"/>
        </w:rPr>
        <w:t>固</w:t>
      </w:r>
      <w:r w:rsidRPr="00CE6AE7">
        <w:rPr>
          <w:rFonts w:ascii="Times New Roman" w:hAnsi="Times New Roman"/>
        </w:rPr>
        <w:t>為重要考量因素，</w:t>
      </w:r>
      <w:r w:rsidR="000C495A" w:rsidRPr="00CE6AE7">
        <w:rPr>
          <w:rFonts w:ascii="Times New Roman" w:hAnsi="Times New Roman"/>
        </w:rPr>
        <w:t>然就</w:t>
      </w:r>
      <w:r w:rsidRPr="00CE6AE7">
        <w:rPr>
          <w:rFonts w:ascii="Times New Roman" w:hAnsi="Times New Roman"/>
        </w:rPr>
        <w:t>實證基礎、財務影響</w:t>
      </w:r>
      <w:r w:rsidR="00E15C34" w:rsidRPr="00CE6AE7">
        <w:rPr>
          <w:rFonts w:ascii="Times New Roman" w:hAnsi="Times New Roman" w:hint="eastAsia"/>
        </w:rPr>
        <w:t>、</w:t>
      </w:r>
      <w:r w:rsidRPr="00CE6AE7">
        <w:rPr>
          <w:rFonts w:ascii="Times New Roman" w:hAnsi="Times New Roman"/>
        </w:rPr>
        <w:t>成本效益</w:t>
      </w:r>
      <w:r w:rsidR="00E15C34" w:rsidRPr="00CE6AE7">
        <w:rPr>
          <w:rFonts w:ascii="Times New Roman" w:hAnsi="Times New Roman" w:hint="eastAsia"/>
        </w:rPr>
        <w:t>及</w:t>
      </w:r>
      <w:r w:rsidR="00E15C34" w:rsidRPr="00CE6AE7">
        <w:rPr>
          <w:rFonts w:ascii="Times New Roman" w:hAnsi="Times New Roman"/>
        </w:rPr>
        <w:t>臨床需求</w:t>
      </w:r>
      <w:r w:rsidRPr="00CE6AE7">
        <w:rPr>
          <w:rFonts w:ascii="Times New Roman" w:hAnsi="Times New Roman"/>
        </w:rPr>
        <w:t>等</w:t>
      </w:r>
      <w:r w:rsidR="000C495A" w:rsidRPr="00CE6AE7">
        <w:rPr>
          <w:rFonts w:ascii="Times New Roman" w:hAnsi="Times New Roman"/>
        </w:rPr>
        <w:t>個別</w:t>
      </w:r>
      <w:r w:rsidRPr="00CE6AE7">
        <w:rPr>
          <w:rFonts w:ascii="Times New Roman" w:hAnsi="Times New Roman"/>
        </w:rPr>
        <w:t>因素間，未有確切判定權重及量化評估指標。</w:t>
      </w:r>
    </w:p>
    <w:p w14:paraId="01C2B962" w14:textId="3E1B3491" w:rsidR="008325EE" w:rsidRPr="00CE6AE7" w:rsidRDefault="008325EE" w:rsidP="008325EE">
      <w:pPr>
        <w:pStyle w:val="4"/>
        <w:rPr>
          <w:rFonts w:ascii="Times New Roman" w:hAnsi="Times New Roman"/>
        </w:rPr>
      </w:pPr>
      <w:r w:rsidRPr="00CE6AE7">
        <w:rPr>
          <w:rFonts w:ascii="Times New Roman" w:hAnsi="Times New Roman"/>
        </w:rPr>
        <w:lastRenderedPageBreak/>
        <w:t>再以國產糖尿病足新藥「</w:t>
      </w:r>
      <w:r w:rsidRPr="00CE6AE7">
        <w:rPr>
          <w:rFonts w:ascii="Times New Roman" w:hAnsi="Times New Roman"/>
        </w:rPr>
        <w:t>Fespixon cream</w:t>
      </w:r>
      <w:r w:rsidRPr="00CE6AE7">
        <w:rPr>
          <w:rFonts w:ascii="Times New Roman" w:hAnsi="Times New Roman"/>
        </w:rPr>
        <w:t>」</w:t>
      </w:r>
      <w:r w:rsidRPr="00CE6AE7">
        <w:rPr>
          <w:rStyle w:val="aff6"/>
          <w:rFonts w:ascii="Times New Roman" w:hAnsi="Times New Roman"/>
        </w:rPr>
        <w:footnoteReference w:id="14"/>
      </w:r>
      <w:r w:rsidRPr="00CE6AE7">
        <w:rPr>
          <w:rFonts w:ascii="Times New Roman" w:hAnsi="Times New Roman"/>
        </w:rPr>
        <w:t>為例，該藥品於</w:t>
      </w:r>
      <w:r w:rsidRPr="00CE6AE7">
        <w:rPr>
          <w:rFonts w:ascii="Times New Roman" w:hAnsi="Times New Roman"/>
        </w:rPr>
        <w:t>112</w:t>
      </w:r>
      <w:r w:rsidRPr="00CE6AE7">
        <w:rPr>
          <w:rFonts w:ascii="Times New Roman" w:hAnsi="Times New Roman"/>
        </w:rPr>
        <w:t>年納入健保給付時，因臨床試驗尚未完成，即以給付協議方式先予收載，並要求廠商於</w:t>
      </w:r>
      <w:r w:rsidRPr="00CE6AE7">
        <w:rPr>
          <w:rFonts w:ascii="Times New Roman" w:hAnsi="Times New Roman"/>
        </w:rPr>
        <w:t>2</w:t>
      </w:r>
      <w:r w:rsidRPr="00CE6AE7">
        <w:rPr>
          <w:rFonts w:ascii="Times New Roman" w:hAnsi="Times New Roman"/>
        </w:rPr>
        <w:t>年內補充美國臨床試驗結果，作為後續檢討依據。惟廠商屆期仍未提出完整實證資料，共擬會議多次重新檢討，最終決議調降支付價格再續簽給付協議，該藥品自每支</w:t>
      </w:r>
      <w:r w:rsidRPr="00CE6AE7">
        <w:rPr>
          <w:rFonts w:ascii="Times New Roman" w:hAnsi="Times New Roman"/>
        </w:rPr>
        <w:t>9,795</w:t>
      </w:r>
      <w:r w:rsidRPr="00CE6AE7">
        <w:rPr>
          <w:rFonts w:ascii="Times New Roman" w:hAnsi="Times New Roman"/>
        </w:rPr>
        <w:t>元，調整為每支</w:t>
      </w:r>
      <w:r w:rsidRPr="00CE6AE7">
        <w:rPr>
          <w:rFonts w:ascii="Times New Roman" w:hAnsi="Times New Roman"/>
        </w:rPr>
        <w:t>9,512</w:t>
      </w:r>
      <w:r w:rsidRPr="00CE6AE7">
        <w:rPr>
          <w:rFonts w:ascii="Times New Roman" w:hAnsi="Times New Roman"/>
        </w:rPr>
        <w:t>元。</w:t>
      </w:r>
      <w:r w:rsidR="000C495A" w:rsidRPr="00CE6AE7">
        <w:rPr>
          <w:rFonts w:ascii="Times New Roman" w:hAnsi="Times New Roman"/>
        </w:rPr>
        <w:t>惟</w:t>
      </w:r>
      <w:r w:rsidRPr="00CE6AE7">
        <w:rPr>
          <w:rFonts w:ascii="Times New Roman" w:hAnsi="Times New Roman"/>
        </w:rPr>
        <w:t>就其支付價格調整幅度</w:t>
      </w:r>
      <w:r w:rsidR="000C495A" w:rsidRPr="00CE6AE7">
        <w:rPr>
          <w:rFonts w:ascii="Times New Roman" w:hAnsi="Times New Roman"/>
        </w:rPr>
        <w:t>、合理價格基準</w:t>
      </w:r>
      <w:r w:rsidRPr="00CE6AE7">
        <w:rPr>
          <w:rFonts w:ascii="Times New Roman" w:hAnsi="Times New Roman"/>
        </w:rPr>
        <w:t>及協商依據，均未得而知。</w:t>
      </w:r>
    </w:p>
    <w:p w14:paraId="264EA3C5" w14:textId="17508A79" w:rsidR="008325EE" w:rsidRPr="00CE6AE7" w:rsidRDefault="008325EE" w:rsidP="008325EE">
      <w:pPr>
        <w:pStyle w:val="4"/>
        <w:rPr>
          <w:rFonts w:ascii="Times New Roman" w:hAnsi="Times New Roman"/>
        </w:rPr>
      </w:pPr>
      <w:r w:rsidRPr="00CE6AE7">
        <w:rPr>
          <w:rFonts w:ascii="Times New Roman" w:hAnsi="Times New Roman"/>
        </w:rPr>
        <w:t>要言之，我國雖已建立</w:t>
      </w:r>
      <w:r w:rsidRPr="00CE6AE7">
        <w:rPr>
          <w:rFonts w:ascii="Times New Roman" w:hAnsi="Times New Roman"/>
        </w:rPr>
        <w:t>HTA</w:t>
      </w:r>
      <w:r w:rsidRPr="00CE6AE7">
        <w:rPr>
          <w:rFonts w:ascii="Times New Roman" w:hAnsi="Times New Roman"/>
        </w:rPr>
        <w:t>制度，惟最終給付決策仍仰賴共擬會議合議協商結果，不同案件雖均權衡療效證據、財務衝擊及臨床需求等因素，惟各因素權重分配及決策依據未明，致外界難以預期相似案件之審查結果，亦不利於納入給付標準之透明性及一致性。</w:t>
      </w:r>
    </w:p>
    <w:p w14:paraId="31ED74C4" w14:textId="2F4FA16B" w:rsidR="008325EE" w:rsidRPr="00CE6AE7" w:rsidRDefault="008325EE" w:rsidP="00BE11D1">
      <w:pPr>
        <w:pStyle w:val="3"/>
        <w:ind w:left="1360" w:hanging="680"/>
        <w:rPr>
          <w:rFonts w:ascii="Times New Roman" w:hAnsi="Times New Roman"/>
          <w:spacing w:val="-6"/>
        </w:rPr>
      </w:pPr>
      <w:r w:rsidRPr="00CE6AE7">
        <w:rPr>
          <w:rFonts w:ascii="Times New Roman" w:hAnsi="Times New Roman"/>
          <w:spacing w:val="-6"/>
        </w:rPr>
        <w:t>徵諸各國</w:t>
      </w:r>
      <w:r w:rsidRPr="00CE6AE7">
        <w:rPr>
          <w:rFonts w:ascii="Times New Roman" w:hAnsi="Times New Roman"/>
          <w:spacing w:val="-6"/>
        </w:rPr>
        <w:t>HTA</w:t>
      </w:r>
      <w:r w:rsidRPr="00CE6AE7">
        <w:rPr>
          <w:rFonts w:ascii="Times New Roman" w:hAnsi="Times New Roman"/>
          <w:spacing w:val="-6"/>
        </w:rPr>
        <w:t>制度，部分國家已有明定或發展出具參考</w:t>
      </w:r>
      <w:r w:rsidR="00F013C7" w:rsidRPr="00CE6AE7">
        <w:rPr>
          <w:rFonts w:ascii="Times New Roman" w:hAnsi="Times New Roman"/>
          <w:spacing w:val="-6"/>
        </w:rPr>
        <w:t>性</w:t>
      </w:r>
      <w:r w:rsidRPr="00CE6AE7">
        <w:rPr>
          <w:rFonts w:ascii="Times New Roman" w:hAnsi="Times New Roman"/>
          <w:spacing w:val="-6"/>
        </w:rPr>
        <w:t>之</w:t>
      </w:r>
      <w:r w:rsidR="00F013C7" w:rsidRPr="00CE6AE7">
        <w:rPr>
          <w:rFonts w:ascii="Times New Roman" w:hAnsi="Times New Roman"/>
          <w:spacing w:val="-6"/>
        </w:rPr>
        <w:t>WTP</w:t>
      </w:r>
      <w:r w:rsidRPr="00CE6AE7">
        <w:rPr>
          <w:rFonts w:ascii="Times New Roman" w:hAnsi="Times New Roman"/>
          <w:spacing w:val="-6"/>
        </w:rPr>
        <w:t>，即醫療保險制度對於增加</w:t>
      </w:r>
      <w:r w:rsidRPr="00CE6AE7">
        <w:rPr>
          <w:rFonts w:ascii="Times New Roman" w:hAnsi="Times New Roman"/>
          <w:spacing w:val="-6"/>
        </w:rPr>
        <w:t>1</w:t>
      </w:r>
      <w:r w:rsidRPr="00CE6AE7">
        <w:rPr>
          <w:rFonts w:ascii="Times New Roman" w:hAnsi="Times New Roman"/>
          <w:spacing w:val="-6"/>
        </w:rPr>
        <w:t>單位健康效益所願意支付之最高成本，以每增加</w:t>
      </w:r>
      <w:r w:rsidRPr="00CE6AE7">
        <w:rPr>
          <w:rFonts w:ascii="Times New Roman" w:hAnsi="Times New Roman"/>
          <w:spacing w:val="-6"/>
        </w:rPr>
        <w:t>1</w:t>
      </w:r>
      <w:r w:rsidRPr="00CE6AE7">
        <w:rPr>
          <w:rFonts w:ascii="Times New Roman" w:hAnsi="Times New Roman"/>
          <w:spacing w:val="-6"/>
        </w:rPr>
        <w:t>個生活品質校正生命年</w:t>
      </w:r>
      <w:r w:rsidRPr="007C7141">
        <w:rPr>
          <w:rFonts w:ascii="Times New Roman" w:hAnsi="Times New Roman"/>
          <w:spacing w:val="-14"/>
        </w:rPr>
        <w:t>（</w:t>
      </w:r>
      <w:r w:rsidRPr="007C7141">
        <w:rPr>
          <w:rFonts w:ascii="Times New Roman" w:hAnsi="Times New Roman"/>
          <w:spacing w:val="-14"/>
        </w:rPr>
        <w:t>Quality-Adjusted</w:t>
      </w:r>
      <w:r w:rsidR="00F013C7" w:rsidRPr="007C7141">
        <w:rPr>
          <w:rFonts w:ascii="Times New Roman" w:hAnsi="Times New Roman"/>
          <w:spacing w:val="-14"/>
        </w:rPr>
        <w:t xml:space="preserve"> </w:t>
      </w:r>
      <w:r w:rsidRPr="007C7141">
        <w:rPr>
          <w:rFonts w:ascii="Times New Roman" w:hAnsi="Times New Roman"/>
          <w:spacing w:val="-14"/>
        </w:rPr>
        <w:t>Life</w:t>
      </w:r>
      <w:r w:rsidR="00F013C7" w:rsidRPr="007C7141">
        <w:rPr>
          <w:rFonts w:ascii="Times New Roman" w:hAnsi="Times New Roman"/>
          <w:spacing w:val="-14"/>
        </w:rPr>
        <w:t xml:space="preserve"> </w:t>
      </w:r>
      <w:r w:rsidRPr="007C7141">
        <w:rPr>
          <w:rFonts w:ascii="Times New Roman" w:hAnsi="Times New Roman"/>
          <w:spacing w:val="-14"/>
        </w:rPr>
        <w:t>Year</w:t>
      </w:r>
      <w:r w:rsidR="006861E2" w:rsidRPr="007C7141">
        <w:rPr>
          <w:rFonts w:ascii="Times New Roman" w:hAnsi="Times New Roman"/>
          <w:spacing w:val="-14"/>
        </w:rPr>
        <w:t>，下稱</w:t>
      </w:r>
      <w:r w:rsidRPr="007C7141">
        <w:rPr>
          <w:rFonts w:ascii="Times New Roman" w:hAnsi="Times New Roman"/>
          <w:spacing w:val="-14"/>
        </w:rPr>
        <w:t>QALY</w:t>
      </w:r>
      <w:r w:rsidRPr="007C7141">
        <w:rPr>
          <w:rFonts w:ascii="Times New Roman" w:hAnsi="Times New Roman"/>
          <w:spacing w:val="-14"/>
        </w:rPr>
        <w:t>）</w:t>
      </w:r>
      <w:r w:rsidRPr="007C7141">
        <w:rPr>
          <w:rStyle w:val="aff6"/>
          <w:rFonts w:ascii="Times New Roman" w:hAnsi="Times New Roman"/>
          <w:spacing w:val="-14"/>
        </w:rPr>
        <w:footnoteReference w:id="15"/>
      </w:r>
      <w:r w:rsidRPr="00CE6AE7">
        <w:rPr>
          <w:rFonts w:ascii="Times New Roman" w:hAnsi="Times New Roman"/>
          <w:spacing w:val="-6"/>
        </w:rPr>
        <w:t>所願意支付的金額表示。藉此建立客觀之評估指標，據以判斷新醫療科技是否具成本效益及納入給付之合理性。例如：英國國家健康照顧卓越研究院（</w:t>
      </w:r>
      <w:r w:rsidRPr="00CE6AE7">
        <w:rPr>
          <w:rFonts w:ascii="Times New Roman" w:hAnsi="Times New Roman"/>
          <w:spacing w:val="-6"/>
        </w:rPr>
        <w:t>National Institute for Health and Care Excellence</w:t>
      </w:r>
      <w:r w:rsidRPr="00CE6AE7">
        <w:rPr>
          <w:rFonts w:ascii="Times New Roman" w:hAnsi="Times New Roman"/>
          <w:spacing w:val="-6"/>
        </w:rPr>
        <w:t>）設置</w:t>
      </w:r>
      <w:r w:rsidR="007C7141" w:rsidRPr="00CE6AE7">
        <w:rPr>
          <w:rFonts w:ascii="Times New Roman" w:hAnsi="Times New Roman"/>
          <w:spacing w:val="-6"/>
        </w:rPr>
        <w:t>WTP</w:t>
      </w:r>
      <w:r w:rsidRPr="00CE6AE7">
        <w:rPr>
          <w:rFonts w:ascii="Times New Roman" w:hAnsi="Times New Roman"/>
          <w:spacing w:val="-6"/>
        </w:rPr>
        <w:t>標準為每增加</w:t>
      </w:r>
      <w:r w:rsidRPr="00CE6AE7">
        <w:rPr>
          <w:rFonts w:ascii="Times New Roman" w:hAnsi="Times New Roman"/>
          <w:spacing w:val="-6"/>
        </w:rPr>
        <w:t>1</w:t>
      </w:r>
      <w:r w:rsidRPr="00CE6AE7">
        <w:rPr>
          <w:rFonts w:ascii="Times New Roman" w:hAnsi="Times New Roman"/>
          <w:spacing w:val="-6"/>
        </w:rPr>
        <w:t>個</w:t>
      </w:r>
      <w:r w:rsidRPr="00CE6AE7">
        <w:rPr>
          <w:rFonts w:ascii="Times New Roman" w:hAnsi="Times New Roman"/>
          <w:spacing w:val="-6"/>
        </w:rPr>
        <w:t>QALY</w:t>
      </w:r>
      <w:r w:rsidRPr="00CE6AE7">
        <w:rPr>
          <w:rFonts w:ascii="Times New Roman" w:hAnsi="Times New Roman"/>
          <w:spacing w:val="-6"/>
        </w:rPr>
        <w:t>，願意支付上限為</w:t>
      </w:r>
      <w:r w:rsidRPr="00CE6AE7">
        <w:rPr>
          <w:rFonts w:ascii="Times New Roman" w:hAnsi="Times New Roman"/>
          <w:spacing w:val="-6"/>
        </w:rPr>
        <w:t>2</w:t>
      </w:r>
      <w:r w:rsidR="00F013C7" w:rsidRPr="00CE6AE7">
        <w:rPr>
          <w:rFonts w:ascii="Times New Roman" w:hAnsi="Times New Roman"/>
          <w:spacing w:val="-6"/>
        </w:rPr>
        <w:t>萬</w:t>
      </w:r>
      <w:r w:rsidRPr="00CE6AE7">
        <w:rPr>
          <w:rFonts w:ascii="Times New Roman" w:hAnsi="Times New Roman"/>
          <w:spacing w:val="-6"/>
        </w:rPr>
        <w:t>至</w:t>
      </w:r>
      <w:r w:rsidRPr="00CE6AE7">
        <w:rPr>
          <w:rFonts w:ascii="Times New Roman" w:hAnsi="Times New Roman"/>
          <w:spacing w:val="-6"/>
        </w:rPr>
        <w:t>3</w:t>
      </w:r>
      <w:r w:rsidRPr="00CE6AE7">
        <w:rPr>
          <w:rFonts w:ascii="Times New Roman" w:hAnsi="Times New Roman"/>
          <w:spacing w:val="-6"/>
        </w:rPr>
        <w:t>萬英鎊，作為成本效果評估的重要參考，針對癌症可放寬至</w:t>
      </w:r>
      <w:r w:rsidRPr="00CE6AE7">
        <w:rPr>
          <w:rFonts w:ascii="Times New Roman" w:hAnsi="Times New Roman"/>
          <w:spacing w:val="-6"/>
        </w:rPr>
        <w:t>5</w:t>
      </w:r>
      <w:r w:rsidRPr="00CE6AE7">
        <w:rPr>
          <w:rFonts w:ascii="Times New Roman" w:hAnsi="Times New Roman"/>
          <w:spacing w:val="-6"/>
        </w:rPr>
        <w:t>萬英鎊，針對</w:t>
      </w:r>
      <w:r w:rsidR="0018574C" w:rsidRPr="00CE6AE7">
        <w:rPr>
          <w:rFonts w:ascii="Times New Roman" w:hAnsi="Times New Roman"/>
          <w:spacing w:val="-6"/>
        </w:rPr>
        <w:t>罕病</w:t>
      </w:r>
      <w:r w:rsidRPr="00CE6AE7">
        <w:rPr>
          <w:rFonts w:ascii="Times New Roman" w:hAnsi="Times New Roman"/>
          <w:spacing w:val="-6"/>
        </w:rPr>
        <w:t>門檻則大幅放寬</w:t>
      </w:r>
      <w:r w:rsidR="00F013C7" w:rsidRPr="00CE6AE7">
        <w:rPr>
          <w:rFonts w:ascii="Times New Roman" w:hAnsi="Times New Roman"/>
          <w:spacing w:val="-6"/>
        </w:rPr>
        <w:t>為</w:t>
      </w:r>
      <w:r w:rsidRPr="00CE6AE7">
        <w:rPr>
          <w:rFonts w:ascii="Times New Roman" w:hAnsi="Times New Roman"/>
          <w:spacing w:val="-6"/>
        </w:rPr>
        <w:t>10</w:t>
      </w:r>
      <w:r w:rsidR="00F013C7" w:rsidRPr="00CE6AE7">
        <w:rPr>
          <w:rFonts w:ascii="Times New Roman" w:hAnsi="Times New Roman"/>
          <w:spacing w:val="-6"/>
        </w:rPr>
        <w:t>萬</w:t>
      </w:r>
      <w:r w:rsidRPr="00CE6AE7">
        <w:rPr>
          <w:rFonts w:ascii="Times New Roman" w:hAnsi="Times New Roman"/>
          <w:spacing w:val="-6"/>
        </w:rPr>
        <w:t>至</w:t>
      </w:r>
      <w:r w:rsidRPr="00CE6AE7">
        <w:rPr>
          <w:rFonts w:ascii="Times New Roman" w:hAnsi="Times New Roman"/>
          <w:spacing w:val="-6"/>
        </w:rPr>
        <w:t>30</w:t>
      </w:r>
      <w:r w:rsidRPr="00CE6AE7">
        <w:rPr>
          <w:rFonts w:ascii="Times New Roman" w:hAnsi="Times New Roman"/>
          <w:spacing w:val="-6"/>
        </w:rPr>
        <w:t>萬英</w:t>
      </w:r>
      <w:r w:rsidRPr="00CE6AE7">
        <w:rPr>
          <w:rFonts w:ascii="Times New Roman" w:hAnsi="Times New Roman"/>
          <w:spacing w:val="-6"/>
        </w:rPr>
        <w:lastRenderedPageBreak/>
        <w:t>鎊。</w:t>
      </w:r>
      <w:r w:rsidRPr="00BE11D1">
        <w:rPr>
          <w:rFonts w:ascii="Times New Roman" w:hAnsi="Times New Roman"/>
        </w:rPr>
        <w:t>加拿大</w:t>
      </w:r>
      <w:r w:rsidR="006861E2" w:rsidRPr="00BE11D1">
        <w:rPr>
          <w:rFonts w:ascii="Times New Roman" w:hAnsi="Times New Roman"/>
        </w:rPr>
        <w:t>藥物管理局</w:t>
      </w:r>
      <w:r w:rsidR="00CF233F" w:rsidRPr="00BE11D1">
        <w:rPr>
          <w:rFonts w:ascii="Times New Roman" w:hAnsi="Times New Roman" w:hint="eastAsia"/>
        </w:rPr>
        <w:t>（</w:t>
      </w:r>
      <w:r w:rsidRPr="00BE11D1">
        <w:rPr>
          <w:rFonts w:ascii="Times New Roman" w:hAnsi="Times New Roman"/>
        </w:rPr>
        <w:t>Canada's Drug Agency</w:t>
      </w:r>
      <w:r w:rsidR="00CF233F" w:rsidRPr="00BE11D1">
        <w:rPr>
          <w:rFonts w:ascii="Times New Roman" w:hAnsi="Times New Roman" w:hint="eastAsia"/>
        </w:rPr>
        <w:t>）</w:t>
      </w:r>
      <w:r w:rsidRPr="00BE11D1">
        <w:rPr>
          <w:rStyle w:val="aff6"/>
          <w:rFonts w:ascii="Times New Roman" w:hAnsi="Times New Roman"/>
        </w:rPr>
        <w:footnoteReference w:id="16"/>
      </w:r>
      <w:r w:rsidRPr="00CE6AE7">
        <w:rPr>
          <w:rFonts w:ascii="Times New Roman" w:hAnsi="Times New Roman"/>
          <w:spacing w:val="-6"/>
        </w:rPr>
        <w:t>雖無絕對限制，惟實務上，多以</w:t>
      </w:r>
      <w:r w:rsidRPr="00CE6AE7">
        <w:rPr>
          <w:rFonts w:ascii="Times New Roman" w:hAnsi="Times New Roman"/>
          <w:spacing w:val="-6"/>
        </w:rPr>
        <w:t>5</w:t>
      </w:r>
      <w:r w:rsidRPr="00CE6AE7">
        <w:rPr>
          <w:rFonts w:ascii="Times New Roman" w:hAnsi="Times New Roman"/>
          <w:spacing w:val="-6"/>
        </w:rPr>
        <w:t>萬加幣作為</w:t>
      </w:r>
      <w:r w:rsidR="007C7141" w:rsidRPr="00CE6AE7">
        <w:rPr>
          <w:rFonts w:ascii="Times New Roman" w:hAnsi="Times New Roman"/>
          <w:spacing w:val="-6"/>
        </w:rPr>
        <w:t>WTP</w:t>
      </w:r>
      <w:r w:rsidRPr="00CE6AE7">
        <w:rPr>
          <w:rFonts w:ascii="Times New Roman" w:hAnsi="Times New Roman"/>
          <w:spacing w:val="-6"/>
        </w:rPr>
        <w:t>標準。倘高於此標準之新藥，則會要求廠商依此門檻進行降價協商。爰各國雖非採取絕對固定門檻，惟多已建立具參考性之客觀判斷基準，作為價格協商及給付決策之依循。</w:t>
      </w:r>
    </w:p>
    <w:p w14:paraId="7DA55685" w14:textId="3681C716" w:rsidR="008325EE" w:rsidRPr="00CE6AE7" w:rsidRDefault="008325EE" w:rsidP="008325EE">
      <w:pPr>
        <w:pStyle w:val="3"/>
        <w:rPr>
          <w:rFonts w:ascii="Times New Roman" w:hAnsi="Times New Roman"/>
        </w:rPr>
      </w:pPr>
      <w:r w:rsidRPr="00CE6AE7">
        <w:rPr>
          <w:rFonts w:ascii="Times New Roman" w:hAnsi="Times New Roman"/>
        </w:rPr>
        <w:t>綜上，</w:t>
      </w:r>
      <w:r w:rsidR="00E15C34" w:rsidRPr="00CE6AE7">
        <w:rPr>
          <w:rFonts w:ascii="Times New Roman" w:hAnsi="Times New Roman"/>
        </w:rPr>
        <w:t>為確保醫療給付之合理性及醫療服務品質，健保法自</w:t>
      </w:r>
      <w:r w:rsidR="00E15C34" w:rsidRPr="00CE6AE7">
        <w:rPr>
          <w:rFonts w:ascii="Times New Roman" w:hAnsi="Times New Roman"/>
        </w:rPr>
        <w:t>102</w:t>
      </w:r>
      <w:r w:rsidR="00E15C34" w:rsidRPr="00CE6AE7">
        <w:rPr>
          <w:rFonts w:ascii="Times New Roman" w:hAnsi="Times New Roman"/>
        </w:rPr>
        <w:t>年起明定，醫療服務給付項目及支付標準之訂定，得施行</w:t>
      </w:r>
      <w:r w:rsidR="00E15C34" w:rsidRPr="00CE6AE7">
        <w:rPr>
          <w:rFonts w:ascii="Times New Roman" w:hAnsi="Times New Roman"/>
        </w:rPr>
        <w:t>HTA</w:t>
      </w:r>
      <w:r w:rsidR="00E15C34" w:rsidRPr="00CE6AE7">
        <w:rPr>
          <w:rFonts w:ascii="Times New Roman" w:hAnsi="Times New Roman"/>
        </w:rPr>
        <w:t>制度，藉由醫學實證資料進行相對療效、成本效益及財務衝擊評估，作為健保收載及給付之參據。惟相較國際</w:t>
      </w:r>
      <w:r w:rsidR="00E15C34" w:rsidRPr="00CE6AE7">
        <w:rPr>
          <w:rFonts w:ascii="Times New Roman" w:hAnsi="Times New Roman"/>
        </w:rPr>
        <w:t>HTA</w:t>
      </w:r>
      <w:r w:rsidR="00E15C34" w:rsidRPr="00CE6AE7">
        <w:rPr>
          <w:rFonts w:ascii="Times New Roman" w:hAnsi="Times New Roman"/>
        </w:rPr>
        <w:t>組織已建立明確收載標準門檻，我國現行給付決策仍多依個案裁量及協商合議，缺乏客觀給付判斷基準，影響決策之一致性與透明度。適逢</w:t>
      </w:r>
      <w:r w:rsidR="00E15C34" w:rsidRPr="00CE6AE7">
        <w:rPr>
          <w:rFonts w:ascii="Times New Roman" w:hAnsi="Times New Roman"/>
        </w:rPr>
        <w:t>HTA</w:t>
      </w:r>
      <w:r w:rsidR="00E15C34" w:rsidRPr="00CE6AE7">
        <w:rPr>
          <w:rFonts w:ascii="Times New Roman" w:hAnsi="Times New Roman"/>
        </w:rPr>
        <w:t>制度擴張之際，衛福部允宜參酌國際經驗，建立</w:t>
      </w:r>
      <w:r w:rsidR="00E15C34" w:rsidRPr="00CE6AE7">
        <w:rPr>
          <w:rFonts w:ascii="Times New Roman" w:hAnsi="Times New Roman" w:hint="eastAsia"/>
        </w:rPr>
        <w:t>客觀、明確且公開之收載門檻</w:t>
      </w:r>
      <w:r w:rsidR="00E15C34" w:rsidRPr="00CE6AE7">
        <w:rPr>
          <w:rFonts w:ascii="Times New Roman" w:hAnsi="Times New Roman"/>
        </w:rPr>
        <w:t>，俾強化健保給付決策依據</w:t>
      </w:r>
      <w:r w:rsidRPr="00CE6AE7">
        <w:rPr>
          <w:rFonts w:ascii="Times New Roman" w:hAnsi="Times New Roman"/>
        </w:rPr>
        <w:t>。</w:t>
      </w:r>
    </w:p>
    <w:bookmarkEnd w:id="41"/>
    <w:p w14:paraId="00A985A9" w14:textId="694D8857" w:rsidR="008325EE" w:rsidRPr="00CE6AE7" w:rsidRDefault="008325EE" w:rsidP="00C44E0F">
      <w:pPr>
        <w:pStyle w:val="2"/>
        <w:spacing w:beforeLines="50" w:before="228"/>
        <w:ind w:left="1020" w:hanging="680"/>
        <w:rPr>
          <w:rFonts w:ascii="Times New Roman" w:hAnsi="Times New Roman"/>
          <w:b/>
          <w:bCs w:val="0"/>
        </w:rPr>
      </w:pPr>
      <w:r w:rsidRPr="00CE6AE7">
        <w:rPr>
          <w:rFonts w:ascii="Times New Roman" w:hAnsi="Times New Roman"/>
          <w:b/>
          <w:bCs w:val="0"/>
        </w:rPr>
        <w:t>我國為強化罕病照護，訂定</w:t>
      </w:r>
      <w:r w:rsidR="00F013C7" w:rsidRPr="00CE6AE7">
        <w:rPr>
          <w:rFonts w:ascii="Times New Roman" w:hAnsi="Times New Roman"/>
          <w:b/>
          <w:bCs w:val="0"/>
        </w:rPr>
        <w:t>罕病</w:t>
      </w:r>
      <w:r w:rsidRPr="00CE6AE7">
        <w:rPr>
          <w:rFonts w:ascii="Times New Roman" w:hAnsi="Times New Roman"/>
          <w:b/>
          <w:bCs w:val="0"/>
        </w:rPr>
        <w:t>防治及藥物法（下稱罕病防治法），採「健保給付」及「</w:t>
      </w:r>
      <w:r w:rsidR="00117310" w:rsidRPr="00CE6AE7">
        <w:rPr>
          <w:rFonts w:ascii="Times New Roman" w:hAnsi="Times New Roman"/>
          <w:b/>
          <w:bCs w:val="0"/>
        </w:rPr>
        <w:t>罕病防治法</w:t>
      </w:r>
      <w:r w:rsidRPr="00CE6AE7">
        <w:rPr>
          <w:rFonts w:ascii="Times New Roman" w:hAnsi="Times New Roman"/>
          <w:b/>
          <w:bCs w:val="0"/>
        </w:rPr>
        <w:t>補助」雙軌並行</w:t>
      </w:r>
      <w:r w:rsidR="00F647EA" w:rsidRPr="00CE6AE7">
        <w:rPr>
          <w:rFonts w:ascii="Times New Roman" w:hAnsi="Times New Roman"/>
          <w:b/>
          <w:bCs w:val="0"/>
        </w:rPr>
        <w:t>，</w:t>
      </w:r>
      <w:r w:rsidRPr="00CE6AE7">
        <w:rPr>
          <w:rFonts w:ascii="Times New Roman" w:hAnsi="Times New Roman"/>
          <w:b/>
          <w:bCs w:val="0"/>
        </w:rPr>
        <w:t>健保</w:t>
      </w:r>
      <w:r w:rsidR="00060BB4" w:rsidRPr="00CE6AE7">
        <w:rPr>
          <w:rFonts w:ascii="Times New Roman" w:hAnsi="Times New Roman" w:hint="eastAsia"/>
          <w:b/>
          <w:bCs w:val="0"/>
        </w:rPr>
        <w:t>設有專款項目支應罕病治療所需之藥品及特材，</w:t>
      </w:r>
      <w:r w:rsidRPr="00CE6AE7">
        <w:rPr>
          <w:rFonts w:ascii="Times New Roman" w:hAnsi="Times New Roman"/>
          <w:b/>
          <w:bCs w:val="0"/>
        </w:rPr>
        <w:t>國健署則依罕病防治法，就尚未納入健保給付或不符給付條件者，提供</w:t>
      </w:r>
      <w:r w:rsidR="008E13A0" w:rsidRPr="00CE6AE7">
        <w:rPr>
          <w:rFonts w:ascii="Times New Roman" w:hAnsi="Times New Roman" w:hint="eastAsia"/>
          <w:b/>
          <w:bCs w:val="0"/>
        </w:rPr>
        <w:t>資源</w:t>
      </w:r>
      <w:r w:rsidRPr="00CE6AE7">
        <w:rPr>
          <w:rFonts w:ascii="Times New Roman" w:hAnsi="Times New Roman"/>
          <w:b/>
          <w:bCs w:val="0"/>
        </w:rPr>
        <w:t>補助。惟兩者對罕病</w:t>
      </w:r>
      <w:r w:rsidR="00E968DA" w:rsidRPr="00CE6AE7">
        <w:rPr>
          <w:rFonts w:ascii="Times New Roman" w:hAnsi="Times New Roman" w:hint="eastAsia"/>
          <w:b/>
          <w:bCs w:val="0"/>
        </w:rPr>
        <w:t>照護</w:t>
      </w:r>
      <w:r w:rsidRPr="00CE6AE7">
        <w:rPr>
          <w:rFonts w:ascii="Times New Roman" w:hAnsi="Times New Roman"/>
          <w:b/>
          <w:bCs w:val="0"/>
        </w:rPr>
        <w:t>之財務負擔能力差異甚大，</w:t>
      </w:r>
      <w:r w:rsidR="00E968DA" w:rsidRPr="00CE6AE7">
        <w:rPr>
          <w:rFonts w:ascii="Times New Roman" w:hAnsi="Times New Roman" w:hint="eastAsia"/>
          <w:b/>
          <w:bCs w:val="0"/>
        </w:rPr>
        <w:t>以罕病藥費為例，</w:t>
      </w:r>
      <w:r w:rsidRPr="00CE6AE7">
        <w:rPr>
          <w:rFonts w:ascii="Times New Roman" w:hAnsi="Times New Roman"/>
          <w:b/>
          <w:bCs w:val="0"/>
        </w:rPr>
        <w:t>113</w:t>
      </w:r>
      <w:r w:rsidRPr="00CE6AE7">
        <w:rPr>
          <w:rFonts w:ascii="Times New Roman" w:hAnsi="Times New Roman"/>
          <w:b/>
          <w:bCs w:val="0"/>
        </w:rPr>
        <w:t>年健保罕病藥費專款費用執行總額為</w:t>
      </w:r>
      <w:r w:rsidRPr="00CE6AE7">
        <w:rPr>
          <w:rFonts w:ascii="Times New Roman" w:hAnsi="Times New Roman"/>
          <w:b/>
          <w:bCs w:val="0"/>
        </w:rPr>
        <w:t>109</w:t>
      </w:r>
      <w:r w:rsidRPr="00CE6AE7">
        <w:rPr>
          <w:rFonts w:ascii="Times New Roman" w:hAnsi="Times New Roman"/>
          <w:b/>
          <w:bCs w:val="0"/>
        </w:rPr>
        <w:t>億餘元，</w:t>
      </w:r>
      <w:r w:rsidR="00117310" w:rsidRPr="00CE6AE7">
        <w:rPr>
          <w:rFonts w:ascii="Times New Roman" w:hAnsi="Times New Roman" w:hint="eastAsia"/>
          <w:b/>
          <w:bCs w:val="0"/>
        </w:rPr>
        <w:t>由</w:t>
      </w:r>
      <w:r w:rsidRPr="00CE6AE7">
        <w:rPr>
          <w:rFonts w:ascii="Times New Roman" w:hAnsi="Times New Roman"/>
          <w:b/>
          <w:bCs w:val="0"/>
        </w:rPr>
        <w:t>罕病防治法實際補助藥費僅為</w:t>
      </w:r>
      <w:r w:rsidRPr="00CE6AE7">
        <w:rPr>
          <w:rFonts w:ascii="Times New Roman" w:hAnsi="Times New Roman"/>
          <w:b/>
          <w:bCs w:val="0"/>
        </w:rPr>
        <w:t>2</w:t>
      </w:r>
      <w:r w:rsidRPr="00CE6AE7">
        <w:rPr>
          <w:rFonts w:ascii="Times New Roman" w:hAnsi="Times New Roman"/>
          <w:b/>
          <w:bCs w:val="0"/>
        </w:rPr>
        <w:t>千</w:t>
      </w:r>
      <w:r w:rsidRPr="00CE6AE7">
        <w:rPr>
          <w:rFonts w:ascii="Times New Roman" w:hAnsi="Times New Roman"/>
          <w:b/>
          <w:bCs w:val="0"/>
        </w:rPr>
        <w:t>5</w:t>
      </w:r>
      <w:r w:rsidRPr="00CE6AE7">
        <w:rPr>
          <w:rFonts w:ascii="Times New Roman" w:hAnsi="Times New Roman"/>
          <w:b/>
          <w:bCs w:val="0"/>
        </w:rPr>
        <w:t>百萬餘元；健保可給付單劑藥價近</w:t>
      </w:r>
      <w:r w:rsidRPr="00CE6AE7">
        <w:rPr>
          <w:rFonts w:ascii="Times New Roman" w:hAnsi="Times New Roman"/>
          <w:b/>
          <w:bCs w:val="0"/>
        </w:rPr>
        <w:t>1</w:t>
      </w:r>
      <w:r w:rsidRPr="00CE6AE7">
        <w:rPr>
          <w:rFonts w:ascii="Times New Roman" w:hAnsi="Times New Roman"/>
          <w:b/>
          <w:bCs w:val="0"/>
        </w:rPr>
        <w:t>億元之罕病藥品，</w:t>
      </w:r>
      <w:r w:rsidR="00117310" w:rsidRPr="00CE6AE7">
        <w:rPr>
          <w:rFonts w:ascii="Times New Roman" w:hAnsi="Times New Roman" w:hint="eastAsia"/>
          <w:b/>
          <w:bCs w:val="0"/>
        </w:rPr>
        <w:t>依</w:t>
      </w:r>
      <w:r w:rsidR="00117310" w:rsidRPr="00CE6AE7">
        <w:rPr>
          <w:rFonts w:ascii="Times New Roman" w:hAnsi="Times New Roman"/>
          <w:b/>
          <w:bCs w:val="0"/>
        </w:rPr>
        <w:t>罕病防治法</w:t>
      </w:r>
      <w:r w:rsidRPr="00CE6AE7">
        <w:rPr>
          <w:rFonts w:ascii="Times New Roman" w:hAnsi="Times New Roman"/>
          <w:b/>
          <w:bCs w:val="0"/>
        </w:rPr>
        <w:t>可補助罕病藥物費用上限，每月僅</w:t>
      </w:r>
      <w:r w:rsidRPr="00CE6AE7">
        <w:rPr>
          <w:rFonts w:ascii="Times New Roman" w:hAnsi="Times New Roman"/>
          <w:b/>
          <w:bCs w:val="0"/>
        </w:rPr>
        <w:t>50</w:t>
      </w:r>
      <w:r w:rsidRPr="00CE6AE7">
        <w:rPr>
          <w:rFonts w:ascii="Times New Roman" w:hAnsi="Times New Roman"/>
          <w:b/>
          <w:bCs w:val="0"/>
        </w:rPr>
        <w:t>萬元，若為符合特定條件之個案，最高曾補助至</w:t>
      </w:r>
      <w:r w:rsidRPr="00CE6AE7">
        <w:rPr>
          <w:rFonts w:ascii="Times New Roman" w:hAnsi="Times New Roman"/>
          <w:b/>
          <w:bCs w:val="0"/>
        </w:rPr>
        <w:t>163</w:t>
      </w:r>
      <w:r w:rsidRPr="00CE6AE7">
        <w:rPr>
          <w:rFonts w:ascii="Times New Roman" w:hAnsi="Times New Roman"/>
          <w:b/>
          <w:bCs w:val="0"/>
        </w:rPr>
        <w:t>萬元，兩項</w:t>
      </w:r>
      <w:r w:rsidR="00117310" w:rsidRPr="00CE6AE7">
        <w:rPr>
          <w:rFonts w:ascii="Times New Roman" w:hAnsi="Times New Roman" w:hint="eastAsia"/>
          <w:b/>
          <w:bCs w:val="0"/>
        </w:rPr>
        <w:t>給付</w:t>
      </w:r>
      <w:r w:rsidRPr="00CE6AE7">
        <w:rPr>
          <w:rFonts w:ascii="Times New Roman" w:hAnsi="Times New Roman"/>
          <w:b/>
          <w:bCs w:val="0"/>
        </w:rPr>
        <w:t>規模顯有落差，倘罕病藥物未納入健保給付，現行政府</w:t>
      </w:r>
      <w:r w:rsidRPr="00CE6AE7">
        <w:rPr>
          <w:rFonts w:ascii="Times New Roman" w:hAnsi="Times New Roman"/>
          <w:b/>
          <w:bCs w:val="0"/>
        </w:rPr>
        <w:lastRenderedPageBreak/>
        <w:t>補助機制即難以提供實質保障。鑑於近年醫療科技快速發展，高價罕病藥物日益增加，衛福部允宜強化健保體系外之財務支持量能，</w:t>
      </w:r>
      <w:r w:rsidR="00117310" w:rsidRPr="00CE6AE7">
        <w:rPr>
          <w:rFonts w:ascii="Times New Roman" w:hAnsi="Times New Roman" w:hint="eastAsia"/>
          <w:b/>
          <w:bCs w:val="0"/>
        </w:rPr>
        <w:t>俾以兼顧罕病病患照護</w:t>
      </w:r>
      <w:r w:rsidRPr="00CE6AE7">
        <w:rPr>
          <w:rFonts w:ascii="Times New Roman" w:hAnsi="Times New Roman"/>
          <w:b/>
          <w:bCs w:val="0"/>
        </w:rPr>
        <w:t>權益、健保資源合理配置及制度永續發展</w:t>
      </w:r>
      <w:r w:rsidR="001C6043" w:rsidRPr="00CE6AE7">
        <w:rPr>
          <w:rFonts w:ascii="Times New Roman" w:hAnsi="Times New Roman"/>
          <w:b/>
          <w:bCs w:val="0"/>
        </w:rPr>
        <w:t>。</w:t>
      </w:r>
    </w:p>
    <w:p w14:paraId="4266CA04" w14:textId="4391248A" w:rsidR="00EB24B5" w:rsidRPr="00BE11D1" w:rsidRDefault="0062063B" w:rsidP="00E67112">
      <w:pPr>
        <w:pStyle w:val="3"/>
        <w:rPr>
          <w:rFonts w:ascii="Times New Roman" w:hAnsi="Times New Roman"/>
          <w:spacing w:val="-4"/>
        </w:rPr>
      </w:pPr>
      <w:r w:rsidRPr="00BE11D1">
        <w:rPr>
          <w:rFonts w:ascii="Times New Roman" w:hAnsi="Times New Roman" w:hint="eastAsia"/>
          <w:spacing w:val="-4"/>
        </w:rPr>
        <w:t>起因</w:t>
      </w:r>
      <w:r w:rsidR="008E13A0" w:rsidRPr="00BE11D1">
        <w:rPr>
          <w:rFonts w:ascii="Times New Roman" w:hAnsi="Times New Roman" w:hint="eastAsia"/>
          <w:spacing w:val="-4"/>
        </w:rPr>
        <w:t>於罕病病患治療成本高昂、病患人數稀少及醫療資源公平性，健保</w:t>
      </w:r>
      <w:r w:rsidR="00060BB4" w:rsidRPr="00BE11D1">
        <w:rPr>
          <w:rFonts w:ascii="Times New Roman" w:hAnsi="Times New Roman" w:hint="eastAsia"/>
          <w:spacing w:val="-4"/>
        </w:rPr>
        <w:t>設有</w:t>
      </w:r>
      <w:r w:rsidR="008E13A0" w:rsidRPr="00BE11D1">
        <w:rPr>
          <w:rFonts w:ascii="Times New Roman" w:hAnsi="Times New Roman" w:hint="eastAsia"/>
          <w:spacing w:val="-4"/>
        </w:rPr>
        <w:t>罕病</w:t>
      </w:r>
      <w:r w:rsidR="00060BB4" w:rsidRPr="00BE11D1">
        <w:rPr>
          <w:rFonts w:ascii="Times New Roman" w:hAnsi="Times New Roman" w:hint="eastAsia"/>
          <w:spacing w:val="-4"/>
        </w:rPr>
        <w:t>專款項目</w:t>
      </w:r>
      <w:r w:rsidR="008E13A0" w:rsidRPr="00BE11D1">
        <w:rPr>
          <w:rFonts w:ascii="Times New Roman" w:hAnsi="Times New Roman" w:hint="eastAsia"/>
          <w:spacing w:val="-4"/>
        </w:rPr>
        <w:t>，</w:t>
      </w:r>
      <w:r w:rsidRPr="00BE11D1">
        <w:rPr>
          <w:rFonts w:ascii="Times New Roman" w:hAnsi="Times New Roman" w:hint="eastAsia"/>
          <w:spacing w:val="-4"/>
        </w:rPr>
        <w:t>來</w:t>
      </w:r>
      <w:r w:rsidR="008E13A0" w:rsidRPr="00BE11D1">
        <w:rPr>
          <w:rFonts w:ascii="Times New Roman" w:hAnsi="Times New Roman" w:hint="eastAsia"/>
          <w:spacing w:val="-4"/>
        </w:rPr>
        <w:t>保障罕病</w:t>
      </w:r>
      <w:r w:rsidRPr="00BE11D1">
        <w:rPr>
          <w:rFonts w:ascii="Times New Roman" w:hAnsi="Times New Roman" w:hint="eastAsia"/>
          <w:spacing w:val="-4"/>
        </w:rPr>
        <w:t>之醫療</w:t>
      </w:r>
      <w:r w:rsidR="008E13A0" w:rsidRPr="00BE11D1">
        <w:rPr>
          <w:rFonts w:ascii="Times New Roman" w:hAnsi="Times New Roman" w:hint="eastAsia"/>
          <w:spacing w:val="-4"/>
        </w:rPr>
        <w:t>照護</w:t>
      </w:r>
      <w:r w:rsidR="00117310" w:rsidRPr="00BE11D1">
        <w:rPr>
          <w:rFonts w:ascii="Times New Roman" w:hAnsi="Times New Roman" w:hint="eastAsia"/>
          <w:spacing w:val="-4"/>
        </w:rPr>
        <w:t>。</w:t>
      </w:r>
      <w:r w:rsidRPr="00BE11D1">
        <w:rPr>
          <w:rFonts w:ascii="Times New Roman" w:hAnsi="Times New Roman" w:hint="eastAsia"/>
          <w:spacing w:val="-4"/>
        </w:rPr>
        <w:t>惟仍有</w:t>
      </w:r>
      <w:r w:rsidR="006668FE" w:rsidRPr="00BE11D1">
        <w:rPr>
          <w:rFonts w:ascii="Times New Roman" w:hAnsi="Times New Roman"/>
          <w:spacing w:val="-4"/>
        </w:rPr>
        <w:t>部分</w:t>
      </w:r>
      <w:r w:rsidR="00225DAD" w:rsidRPr="00BE11D1">
        <w:rPr>
          <w:rFonts w:ascii="Times New Roman" w:hAnsi="Times New Roman"/>
          <w:spacing w:val="-4"/>
        </w:rPr>
        <w:t>罕病</w:t>
      </w:r>
      <w:r w:rsidR="00EB24B5" w:rsidRPr="00BE11D1">
        <w:rPr>
          <w:rFonts w:ascii="Times New Roman" w:hAnsi="Times New Roman"/>
          <w:spacing w:val="-4"/>
        </w:rPr>
        <w:t>之用藥</w:t>
      </w:r>
      <w:r w:rsidR="006668FE" w:rsidRPr="00BE11D1">
        <w:rPr>
          <w:rFonts w:ascii="Times New Roman" w:hAnsi="Times New Roman"/>
          <w:spacing w:val="-4"/>
        </w:rPr>
        <w:t>及治療方法</w:t>
      </w:r>
      <w:r w:rsidR="00A4578B" w:rsidRPr="00BE11D1">
        <w:rPr>
          <w:rFonts w:ascii="Times New Roman" w:hAnsi="Times New Roman"/>
          <w:spacing w:val="-4"/>
        </w:rPr>
        <w:t>尚</w:t>
      </w:r>
      <w:r w:rsidR="004E3A87" w:rsidRPr="00BE11D1">
        <w:rPr>
          <w:rFonts w:ascii="Times New Roman" w:hAnsi="Times New Roman"/>
          <w:spacing w:val="-4"/>
        </w:rPr>
        <w:t>未</w:t>
      </w:r>
      <w:r w:rsidR="00A4578B" w:rsidRPr="00BE11D1">
        <w:rPr>
          <w:rFonts w:ascii="Times New Roman" w:hAnsi="Times New Roman"/>
          <w:spacing w:val="-4"/>
        </w:rPr>
        <w:t>納入</w:t>
      </w:r>
      <w:r w:rsidR="004E3A87" w:rsidRPr="00BE11D1">
        <w:rPr>
          <w:rFonts w:ascii="Times New Roman" w:hAnsi="Times New Roman"/>
          <w:spacing w:val="-4"/>
        </w:rPr>
        <w:t>健保</w:t>
      </w:r>
      <w:r w:rsidR="00A4578B" w:rsidRPr="00BE11D1">
        <w:rPr>
          <w:rFonts w:ascii="Times New Roman" w:hAnsi="Times New Roman"/>
          <w:spacing w:val="-4"/>
        </w:rPr>
        <w:t>給付</w:t>
      </w:r>
      <w:r w:rsidR="00225DAD" w:rsidRPr="00BE11D1">
        <w:rPr>
          <w:rFonts w:ascii="Times New Roman" w:hAnsi="Times New Roman"/>
          <w:spacing w:val="-4"/>
        </w:rPr>
        <w:t>，</w:t>
      </w:r>
      <w:r w:rsidR="004E3A87" w:rsidRPr="00BE11D1">
        <w:rPr>
          <w:rFonts w:ascii="Times New Roman" w:hAnsi="Times New Roman"/>
          <w:spacing w:val="-4"/>
        </w:rPr>
        <w:t>或病患</w:t>
      </w:r>
      <w:r w:rsidR="00EB24B5" w:rsidRPr="00BE11D1">
        <w:rPr>
          <w:rFonts w:ascii="Times New Roman" w:hAnsi="Times New Roman"/>
          <w:spacing w:val="-4"/>
        </w:rPr>
        <w:t>因</w:t>
      </w:r>
      <w:r w:rsidR="004E3A87" w:rsidRPr="00BE11D1">
        <w:rPr>
          <w:rFonts w:ascii="Times New Roman" w:hAnsi="Times New Roman"/>
          <w:spacing w:val="-4"/>
        </w:rPr>
        <w:t>條件</w:t>
      </w:r>
      <w:r w:rsidR="00A4578B" w:rsidRPr="00BE11D1">
        <w:rPr>
          <w:rFonts w:ascii="Times New Roman" w:hAnsi="Times New Roman"/>
          <w:spacing w:val="-4"/>
        </w:rPr>
        <w:t>不符</w:t>
      </w:r>
      <w:r w:rsidR="00060BB4" w:rsidRPr="00BE11D1">
        <w:rPr>
          <w:rFonts w:ascii="Times New Roman" w:hAnsi="Times New Roman" w:hint="eastAsia"/>
          <w:spacing w:val="-4"/>
        </w:rPr>
        <w:t>，</w:t>
      </w:r>
      <w:r w:rsidR="00EB24B5" w:rsidRPr="00BE11D1">
        <w:rPr>
          <w:rFonts w:ascii="Times New Roman" w:hAnsi="Times New Roman"/>
          <w:spacing w:val="-4"/>
        </w:rPr>
        <w:t>而</w:t>
      </w:r>
      <w:r w:rsidR="00A4578B" w:rsidRPr="00BE11D1">
        <w:rPr>
          <w:rFonts w:ascii="Times New Roman" w:hAnsi="Times New Roman"/>
          <w:spacing w:val="-4"/>
        </w:rPr>
        <w:t>無法由健保取得所需照護</w:t>
      </w:r>
      <w:r w:rsidR="006668FE" w:rsidRPr="00BE11D1">
        <w:rPr>
          <w:rFonts w:ascii="Times New Roman" w:hAnsi="Times New Roman"/>
          <w:spacing w:val="-4"/>
        </w:rPr>
        <w:t>。</w:t>
      </w:r>
      <w:r w:rsidR="00B949E4" w:rsidRPr="00BE11D1">
        <w:rPr>
          <w:rFonts w:ascii="Times New Roman" w:hAnsi="Times New Roman"/>
          <w:spacing w:val="-4"/>
        </w:rPr>
        <w:t>截至</w:t>
      </w:r>
      <w:r w:rsidR="00B949E4" w:rsidRPr="00BE11D1">
        <w:rPr>
          <w:rFonts w:ascii="Times New Roman" w:hAnsi="Times New Roman"/>
          <w:spacing w:val="-4"/>
        </w:rPr>
        <w:t>114</w:t>
      </w:r>
      <w:r w:rsidR="00B949E4" w:rsidRPr="00BE11D1">
        <w:rPr>
          <w:rFonts w:ascii="Times New Roman" w:hAnsi="Times New Roman"/>
          <w:spacing w:val="-4"/>
        </w:rPr>
        <w:t>年</w:t>
      </w:r>
      <w:r w:rsidR="00B949E4" w:rsidRPr="00BE11D1">
        <w:rPr>
          <w:rFonts w:ascii="Times New Roman" w:hAnsi="Times New Roman"/>
          <w:spacing w:val="-4"/>
        </w:rPr>
        <w:t>12</w:t>
      </w:r>
      <w:r w:rsidR="00B949E4" w:rsidRPr="00BE11D1">
        <w:rPr>
          <w:rFonts w:ascii="Times New Roman" w:hAnsi="Times New Roman"/>
          <w:spacing w:val="-4"/>
        </w:rPr>
        <w:t>月底，衛福部公告罕病計</w:t>
      </w:r>
      <w:r w:rsidR="00B949E4" w:rsidRPr="00BE11D1">
        <w:rPr>
          <w:rFonts w:ascii="Times New Roman" w:hAnsi="Times New Roman"/>
          <w:spacing w:val="-4"/>
        </w:rPr>
        <w:t>247</w:t>
      </w:r>
      <w:r w:rsidR="00B949E4" w:rsidRPr="00BE11D1">
        <w:rPr>
          <w:rFonts w:ascii="Times New Roman" w:hAnsi="Times New Roman"/>
          <w:spacing w:val="-4"/>
        </w:rPr>
        <w:t>種，</w:t>
      </w:r>
      <w:r w:rsidR="006668FE" w:rsidRPr="00BE11D1">
        <w:rPr>
          <w:rFonts w:ascii="Times New Roman" w:hAnsi="Times New Roman"/>
          <w:spacing w:val="-4"/>
        </w:rPr>
        <w:t>其中</w:t>
      </w:r>
      <w:r w:rsidR="00A4578B" w:rsidRPr="00BE11D1">
        <w:rPr>
          <w:rFonts w:ascii="Times New Roman" w:hAnsi="Times New Roman"/>
          <w:spacing w:val="-4"/>
        </w:rPr>
        <w:t>僅</w:t>
      </w:r>
      <w:r w:rsidR="00A4578B" w:rsidRPr="00BE11D1">
        <w:rPr>
          <w:rFonts w:ascii="Times New Roman" w:hAnsi="Times New Roman"/>
          <w:spacing w:val="-4"/>
        </w:rPr>
        <w:t>60</w:t>
      </w:r>
      <w:r w:rsidR="00A4578B" w:rsidRPr="00BE11D1">
        <w:rPr>
          <w:rFonts w:ascii="Times New Roman" w:hAnsi="Times New Roman"/>
          <w:spacing w:val="-4"/>
        </w:rPr>
        <w:t>種（</w:t>
      </w:r>
      <w:r w:rsidR="00A4578B" w:rsidRPr="00BE11D1">
        <w:rPr>
          <w:rFonts w:ascii="Times New Roman" w:hAnsi="Times New Roman"/>
          <w:spacing w:val="-4"/>
        </w:rPr>
        <w:t>24.3%</w:t>
      </w:r>
      <w:r w:rsidR="00A4578B" w:rsidRPr="00BE11D1">
        <w:rPr>
          <w:rFonts w:ascii="Times New Roman" w:hAnsi="Times New Roman"/>
          <w:spacing w:val="-4"/>
        </w:rPr>
        <w:t>）</w:t>
      </w:r>
      <w:r w:rsidR="006668FE" w:rsidRPr="00BE11D1">
        <w:rPr>
          <w:rFonts w:ascii="Times New Roman" w:hAnsi="Times New Roman"/>
          <w:spacing w:val="-4"/>
        </w:rPr>
        <w:t>有</w:t>
      </w:r>
      <w:r w:rsidR="00A4578B" w:rsidRPr="00BE11D1">
        <w:rPr>
          <w:rFonts w:ascii="Times New Roman" w:hAnsi="Times New Roman"/>
          <w:spacing w:val="-4"/>
        </w:rPr>
        <w:t>經</w:t>
      </w:r>
      <w:r w:rsidR="00007D1E" w:rsidRPr="00BE11D1">
        <w:rPr>
          <w:rFonts w:ascii="Times New Roman" w:hAnsi="Times New Roman" w:hint="eastAsia"/>
          <w:spacing w:val="-4"/>
        </w:rPr>
        <w:t>衛福部食品藥物管理署</w:t>
      </w:r>
      <w:r w:rsidR="00A4578B" w:rsidRPr="00BE11D1">
        <w:rPr>
          <w:rFonts w:ascii="Times New Roman" w:hAnsi="Times New Roman"/>
          <w:spacing w:val="-4"/>
        </w:rPr>
        <w:t>公告認定之罕病藥物可治療</w:t>
      </w:r>
      <w:r w:rsidR="00B949E4" w:rsidRPr="00BE11D1">
        <w:rPr>
          <w:rFonts w:ascii="Times New Roman" w:hAnsi="Times New Roman"/>
          <w:spacing w:val="-4"/>
        </w:rPr>
        <w:t>，</w:t>
      </w:r>
      <w:r w:rsidR="00A4578B" w:rsidRPr="00BE11D1">
        <w:rPr>
          <w:rFonts w:ascii="Times New Roman" w:hAnsi="Times New Roman"/>
          <w:spacing w:val="-4"/>
        </w:rPr>
        <w:t>其餘</w:t>
      </w:r>
      <w:r w:rsidR="00B949E4" w:rsidRPr="00BE11D1">
        <w:rPr>
          <w:rFonts w:ascii="Times New Roman" w:hAnsi="Times New Roman"/>
          <w:spacing w:val="-4"/>
        </w:rPr>
        <w:t>187</w:t>
      </w:r>
      <w:r w:rsidR="00B949E4" w:rsidRPr="00BE11D1">
        <w:rPr>
          <w:rFonts w:ascii="Times New Roman" w:hAnsi="Times New Roman"/>
          <w:spacing w:val="-4"/>
        </w:rPr>
        <w:t>種（</w:t>
      </w:r>
      <w:r w:rsidR="00B949E4" w:rsidRPr="00BE11D1">
        <w:rPr>
          <w:rFonts w:ascii="Times New Roman" w:hAnsi="Times New Roman"/>
          <w:spacing w:val="-4"/>
        </w:rPr>
        <w:t>75.7%</w:t>
      </w:r>
      <w:r w:rsidR="00B949E4" w:rsidRPr="00BE11D1">
        <w:rPr>
          <w:rFonts w:ascii="Times New Roman" w:hAnsi="Times New Roman"/>
          <w:spacing w:val="-4"/>
        </w:rPr>
        <w:t>）</w:t>
      </w:r>
      <w:r w:rsidR="00A4578B" w:rsidRPr="00BE11D1">
        <w:rPr>
          <w:rFonts w:ascii="Times New Roman" w:hAnsi="Times New Roman"/>
          <w:spacing w:val="-4"/>
        </w:rPr>
        <w:t>則</w:t>
      </w:r>
      <w:r w:rsidR="006668FE" w:rsidRPr="00BE11D1">
        <w:rPr>
          <w:rFonts w:ascii="Times New Roman" w:hAnsi="Times New Roman"/>
          <w:spacing w:val="-4"/>
        </w:rPr>
        <w:t>無</w:t>
      </w:r>
      <w:r w:rsidR="00A4578B" w:rsidRPr="00BE11D1">
        <w:rPr>
          <w:rFonts w:ascii="Times New Roman" w:hAnsi="Times New Roman"/>
          <w:spacing w:val="-4"/>
        </w:rPr>
        <w:t>可用</w:t>
      </w:r>
      <w:r w:rsidR="006668FE" w:rsidRPr="00BE11D1">
        <w:rPr>
          <w:rFonts w:ascii="Times New Roman" w:hAnsi="Times New Roman"/>
          <w:spacing w:val="-4"/>
        </w:rPr>
        <w:t>藥</w:t>
      </w:r>
      <w:r w:rsidR="00A4578B" w:rsidRPr="00BE11D1">
        <w:rPr>
          <w:rFonts w:ascii="Times New Roman" w:hAnsi="Times New Roman"/>
          <w:spacing w:val="-4"/>
        </w:rPr>
        <w:t>物</w:t>
      </w:r>
      <w:r w:rsidR="006668FE" w:rsidRPr="00BE11D1">
        <w:rPr>
          <w:rFonts w:ascii="Times New Roman" w:hAnsi="Times New Roman"/>
          <w:spacing w:val="-4"/>
        </w:rPr>
        <w:t>，病患須</w:t>
      </w:r>
      <w:r w:rsidR="00B949E4" w:rsidRPr="00BE11D1">
        <w:rPr>
          <w:rFonts w:ascii="Times New Roman" w:hAnsi="Times New Roman"/>
          <w:spacing w:val="-4"/>
        </w:rPr>
        <w:t>仰賴</w:t>
      </w:r>
      <w:r w:rsidR="006668FE" w:rsidRPr="00BE11D1">
        <w:rPr>
          <w:rFonts w:ascii="Times New Roman" w:hAnsi="Times New Roman"/>
          <w:spacing w:val="-4"/>
        </w:rPr>
        <w:t>其他</w:t>
      </w:r>
      <w:r w:rsidR="00B949E4" w:rsidRPr="00BE11D1">
        <w:rPr>
          <w:rFonts w:ascii="Times New Roman" w:hAnsi="Times New Roman"/>
          <w:spacing w:val="-4"/>
        </w:rPr>
        <w:t>支持性照護</w:t>
      </w:r>
      <w:r w:rsidR="009120E4" w:rsidRPr="00BE11D1">
        <w:rPr>
          <w:rFonts w:ascii="Times New Roman" w:hAnsi="Times New Roman"/>
          <w:spacing w:val="-4"/>
        </w:rPr>
        <w:t>；又</w:t>
      </w:r>
      <w:r w:rsidR="00B949E4" w:rsidRPr="00BE11D1">
        <w:rPr>
          <w:rFonts w:ascii="Times New Roman" w:hAnsi="Times New Roman"/>
          <w:spacing w:val="-4"/>
        </w:rPr>
        <w:t>60</w:t>
      </w:r>
      <w:r w:rsidR="00B949E4" w:rsidRPr="00BE11D1">
        <w:rPr>
          <w:rFonts w:ascii="Times New Roman" w:hAnsi="Times New Roman"/>
          <w:spacing w:val="-4"/>
        </w:rPr>
        <w:t>種</w:t>
      </w:r>
      <w:r w:rsidR="009120E4" w:rsidRPr="00BE11D1">
        <w:rPr>
          <w:rFonts w:ascii="Times New Roman" w:hAnsi="Times New Roman"/>
          <w:spacing w:val="-4"/>
        </w:rPr>
        <w:t>有藥</w:t>
      </w:r>
      <w:r w:rsidR="00B949E4" w:rsidRPr="00BE11D1">
        <w:rPr>
          <w:rFonts w:ascii="Times New Roman" w:hAnsi="Times New Roman"/>
          <w:spacing w:val="-4"/>
        </w:rPr>
        <w:t>可</w:t>
      </w:r>
      <w:r w:rsidR="009120E4" w:rsidRPr="00BE11D1">
        <w:rPr>
          <w:rFonts w:ascii="Times New Roman" w:hAnsi="Times New Roman"/>
          <w:spacing w:val="-4"/>
        </w:rPr>
        <w:t>醫</w:t>
      </w:r>
      <w:r w:rsidR="00B949E4" w:rsidRPr="00BE11D1">
        <w:rPr>
          <w:rFonts w:ascii="Times New Roman" w:hAnsi="Times New Roman"/>
          <w:spacing w:val="-4"/>
        </w:rPr>
        <w:t>之罕病中，僅</w:t>
      </w:r>
      <w:r w:rsidR="00B949E4" w:rsidRPr="00BE11D1">
        <w:rPr>
          <w:rFonts w:ascii="Times New Roman" w:hAnsi="Times New Roman"/>
          <w:spacing w:val="-4"/>
        </w:rPr>
        <w:t>44</w:t>
      </w:r>
      <w:r w:rsidR="00B949E4" w:rsidRPr="00BE11D1">
        <w:rPr>
          <w:rFonts w:ascii="Times New Roman" w:hAnsi="Times New Roman"/>
          <w:spacing w:val="-4"/>
        </w:rPr>
        <w:t>種（</w:t>
      </w:r>
      <w:r w:rsidR="00B949E4" w:rsidRPr="00BE11D1">
        <w:rPr>
          <w:rFonts w:ascii="Times New Roman" w:hAnsi="Times New Roman"/>
          <w:spacing w:val="-4"/>
        </w:rPr>
        <w:t>73.3%</w:t>
      </w:r>
      <w:r w:rsidR="00B949E4" w:rsidRPr="00BE11D1">
        <w:rPr>
          <w:rFonts w:ascii="Times New Roman" w:hAnsi="Times New Roman"/>
          <w:spacing w:val="-4"/>
        </w:rPr>
        <w:t>）</w:t>
      </w:r>
      <w:r w:rsidR="00A4578B" w:rsidRPr="00BE11D1">
        <w:rPr>
          <w:rFonts w:ascii="Times New Roman" w:hAnsi="Times New Roman"/>
          <w:spacing w:val="-4"/>
        </w:rPr>
        <w:t>已納入</w:t>
      </w:r>
      <w:r w:rsidR="00B949E4" w:rsidRPr="00BE11D1">
        <w:rPr>
          <w:rFonts w:ascii="Times New Roman" w:hAnsi="Times New Roman"/>
          <w:spacing w:val="-4"/>
        </w:rPr>
        <w:t>健保給付，仍有</w:t>
      </w:r>
      <w:r w:rsidR="00B949E4" w:rsidRPr="00BE11D1">
        <w:rPr>
          <w:rFonts w:ascii="Times New Roman" w:hAnsi="Times New Roman"/>
          <w:spacing w:val="-4"/>
        </w:rPr>
        <w:t>16</w:t>
      </w:r>
      <w:r w:rsidR="00B949E4" w:rsidRPr="00BE11D1">
        <w:rPr>
          <w:rFonts w:ascii="Times New Roman" w:hAnsi="Times New Roman"/>
          <w:spacing w:val="-4"/>
        </w:rPr>
        <w:t>種（</w:t>
      </w:r>
      <w:r w:rsidR="00B949E4" w:rsidRPr="00BE11D1">
        <w:rPr>
          <w:rFonts w:ascii="Times New Roman" w:hAnsi="Times New Roman"/>
          <w:spacing w:val="-4"/>
        </w:rPr>
        <w:t>26.7%</w:t>
      </w:r>
      <w:r w:rsidR="00B949E4" w:rsidRPr="00BE11D1">
        <w:rPr>
          <w:rFonts w:ascii="Times New Roman" w:hAnsi="Times New Roman"/>
          <w:spacing w:val="-4"/>
        </w:rPr>
        <w:t>）</w:t>
      </w:r>
      <w:r w:rsidR="00A4578B" w:rsidRPr="00BE11D1">
        <w:rPr>
          <w:rFonts w:ascii="Times New Roman" w:hAnsi="Times New Roman"/>
          <w:spacing w:val="-4"/>
        </w:rPr>
        <w:t>所需藥物未被健保收載</w:t>
      </w:r>
      <w:r w:rsidR="00B949E4" w:rsidRPr="00BE11D1">
        <w:rPr>
          <w:rFonts w:ascii="Times New Roman" w:hAnsi="Times New Roman"/>
          <w:spacing w:val="-4"/>
        </w:rPr>
        <w:t>，</w:t>
      </w:r>
      <w:r w:rsidR="00A4578B" w:rsidRPr="00BE11D1">
        <w:rPr>
          <w:rFonts w:ascii="Times New Roman" w:hAnsi="Times New Roman"/>
          <w:spacing w:val="-4"/>
        </w:rPr>
        <w:t>顯示健保對罕病照護仍有</w:t>
      </w:r>
      <w:r w:rsidRPr="00BE11D1">
        <w:rPr>
          <w:rFonts w:ascii="Times New Roman" w:hAnsi="Times New Roman" w:hint="eastAsia"/>
          <w:spacing w:val="-4"/>
        </w:rPr>
        <w:t>未及</w:t>
      </w:r>
      <w:r w:rsidR="006668FE" w:rsidRPr="00BE11D1">
        <w:rPr>
          <w:rFonts w:ascii="Times New Roman" w:hAnsi="Times New Roman"/>
          <w:spacing w:val="-4"/>
        </w:rPr>
        <w:t>。</w:t>
      </w:r>
    </w:p>
    <w:p w14:paraId="5BFB0472" w14:textId="4F70AFBC" w:rsidR="00225DAD" w:rsidRPr="00CE6AE7" w:rsidRDefault="009120E4" w:rsidP="0062063B">
      <w:pPr>
        <w:pStyle w:val="3"/>
        <w:rPr>
          <w:rFonts w:ascii="Times New Roman" w:hAnsi="Times New Roman"/>
        </w:rPr>
      </w:pPr>
      <w:r w:rsidRPr="00CE6AE7">
        <w:rPr>
          <w:rFonts w:ascii="Times New Roman" w:hAnsi="Times New Roman"/>
        </w:rPr>
        <w:t>緣為</w:t>
      </w:r>
      <w:r w:rsidR="004E3A87" w:rsidRPr="00CE6AE7">
        <w:rPr>
          <w:rFonts w:ascii="Times New Roman" w:hAnsi="Times New Roman"/>
        </w:rPr>
        <w:t>強化罕病之防治與照護，</w:t>
      </w:r>
      <w:r w:rsidR="00225DAD" w:rsidRPr="00CE6AE7">
        <w:rPr>
          <w:rFonts w:ascii="Times New Roman" w:hAnsi="Times New Roman"/>
        </w:rPr>
        <w:t>我國制定</w:t>
      </w:r>
      <w:r w:rsidR="004E3A87" w:rsidRPr="00CE6AE7">
        <w:rPr>
          <w:rFonts w:ascii="Times New Roman" w:hAnsi="Times New Roman"/>
        </w:rPr>
        <w:t>罕病防治法</w:t>
      </w:r>
      <w:r w:rsidR="00225DAD" w:rsidRPr="00CE6AE7">
        <w:rPr>
          <w:rFonts w:ascii="Times New Roman" w:hAnsi="Times New Roman"/>
        </w:rPr>
        <w:t>，建立健保以外之保障機制。</w:t>
      </w:r>
      <w:r w:rsidR="004E3A87" w:rsidRPr="00CE6AE7">
        <w:rPr>
          <w:rFonts w:ascii="Times New Roman" w:hAnsi="Times New Roman"/>
        </w:rPr>
        <w:t>按罕病防治法第</w:t>
      </w:r>
      <w:r w:rsidR="004E3A87" w:rsidRPr="00CE6AE7">
        <w:rPr>
          <w:rFonts w:ascii="Times New Roman" w:hAnsi="Times New Roman"/>
        </w:rPr>
        <w:t>33</w:t>
      </w:r>
      <w:r w:rsidR="004E3A87" w:rsidRPr="00CE6AE7">
        <w:rPr>
          <w:rFonts w:ascii="Times New Roman" w:hAnsi="Times New Roman"/>
        </w:rPr>
        <w:t>條規定，中央主管機關應編列預算，補助依健保法未能給付之罕病診斷、治療、藥物、支持性與緩和性照護，及維持生命所需之特殊營養食品、居家醫療照護器材費用。</w:t>
      </w:r>
      <w:r w:rsidRPr="00CE6AE7">
        <w:rPr>
          <w:rFonts w:ascii="Times New Roman" w:hAnsi="Times New Roman"/>
        </w:rPr>
        <w:t>故就尚未納入健保給付之醫療服務或不符健保給付條件之罕疾病患，</w:t>
      </w:r>
      <w:r w:rsidR="00A4578B" w:rsidRPr="00CE6AE7">
        <w:rPr>
          <w:rFonts w:ascii="Times New Roman" w:hAnsi="Times New Roman"/>
        </w:rPr>
        <w:t>係</w:t>
      </w:r>
      <w:r w:rsidRPr="00CE6AE7">
        <w:rPr>
          <w:rFonts w:ascii="Times New Roman" w:hAnsi="Times New Roman"/>
        </w:rPr>
        <w:t>由國健署依罕病防治法提供照護，形成「健保給付」與「政府補助」之雙軌照護機制。</w:t>
      </w:r>
    </w:p>
    <w:p w14:paraId="45361B2F" w14:textId="453F2301" w:rsidR="008325EE" w:rsidRPr="00CE6AE7" w:rsidRDefault="008325EE" w:rsidP="008325EE">
      <w:pPr>
        <w:pStyle w:val="3"/>
        <w:rPr>
          <w:rFonts w:ascii="Times New Roman" w:hAnsi="Times New Roman"/>
        </w:rPr>
      </w:pPr>
      <w:r w:rsidRPr="00CE6AE7">
        <w:rPr>
          <w:rFonts w:ascii="Times New Roman" w:hAnsi="Times New Roman"/>
        </w:rPr>
        <w:t>惟查，兩者之財務承擔能力差異甚大</w:t>
      </w:r>
      <w:r w:rsidR="00E968DA" w:rsidRPr="00CE6AE7">
        <w:rPr>
          <w:rFonts w:ascii="Times New Roman" w:hAnsi="Times New Roman" w:hint="eastAsia"/>
        </w:rPr>
        <w:t>，以罕病藥費為例</w:t>
      </w:r>
      <w:r w:rsidRPr="00CE6AE7">
        <w:rPr>
          <w:rFonts w:ascii="Times New Roman" w:hAnsi="Times New Roman"/>
        </w:rPr>
        <w:t>：</w:t>
      </w:r>
    </w:p>
    <w:p w14:paraId="47BDC32C" w14:textId="091974C6" w:rsidR="008325EE" w:rsidRPr="00CE6AE7" w:rsidRDefault="008325EE" w:rsidP="008325EE">
      <w:pPr>
        <w:pStyle w:val="4"/>
        <w:rPr>
          <w:rFonts w:ascii="Times New Roman" w:hAnsi="Times New Roman"/>
        </w:rPr>
      </w:pPr>
      <w:r w:rsidRPr="00CE6AE7">
        <w:rPr>
          <w:rFonts w:ascii="Times New Roman" w:hAnsi="Times New Roman"/>
        </w:rPr>
        <w:t>健保罕病藥費專款項目</w:t>
      </w:r>
      <w:r w:rsidRPr="00CE6AE7">
        <w:rPr>
          <w:rFonts w:ascii="Times New Roman" w:hAnsi="Times New Roman"/>
        </w:rPr>
        <w:t>113</w:t>
      </w:r>
      <w:r w:rsidRPr="00CE6AE7">
        <w:rPr>
          <w:rFonts w:ascii="Times New Roman" w:hAnsi="Times New Roman"/>
        </w:rPr>
        <w:t>年實際執行總額為</w:t>
      </w:r>
      <w:r w:rsidRPr="00CE6AE7">
        <w:rPr>
          <w:rFonts w:ascii="Times New Roman" w:hAnsi="Times New Roman"/>
        </w:rPr>
        <w:t>109</w:t>
      </w:r>
      <w:r w:rsidRPr="00CE6AE7">
        <w:rPr>
          <w:rFonts w:ascii="Times New Roman" w:hAnsi="Times New Roman"/>
        </w:rPr>
        <w:t>億元，同年政府依罕病防治法實際補助之罕疾照護費用總額為</w:t>
      </w:r>
      <w:r w:rsidRPr="00CE6AE7">
        <w:rPr>
          <w:rFonts w:ascii="Times New Roman" w:hAnsi="Times New Roman"/>
        </w:rPr>
        <w:t>2</w:t>
      </w:r>
      <w:r w:rsidRPr="00CE6AE7">
        <w:rPr>
          <w:rFonts w:ascii="Times New Roman" w:hAnsi="Times New Roman"/>
        </w:rPr>
        <w:t>千</w:t>
      </w:r>
      <w:r w:rsidRPr="00CE6AE7">
        <w:rPr>
          <w:rFonts w:ascii="Times New Roman" w:hAnsi="Times New Roman"/>
        </w:rPr>
        <w:t>5</w:t>
      </w:r>
      <w:r w:rsidRPr="00CE6AE7">
        <w:rPr>
          <w:rFonts w:ascii="Times New Roman" w:hAnsi="Times New Roman"/>
        </w:rPr>
        <w:t>百萬餘元，歷年實際</w:t>
      </w:r>
      <w:r w:rsidR="008A5774" w:rsidRPr="00CE6AE7">
        <w:rPr>
          <w:rFonts w:ascii="Times New Roman" w:hAnsi="Times New Roman"/>
        </w:rPr>
        <w:t>支應</w:t>
      </w:r>
      <w:r w:rsidRPr="00CE6AE7">
        <w:rPr>
          <w:rFonts w:ascii="Times New Roman" w:hAnsi="Times New Roman"/>
        </w:rPr>
        <w:t>金額差距</w:t>
      </w:r>
      <w:r w:rsidRPr="00CE6AE7">
        <w:rPr>
          <w:rFonts w:ascii="Times New Roman" w:hAnsi="Times New Roman"/>
        </w:rPr>
        <w:t>2</w:t>
      </w:r>
      <w:r w:rsidRPr="00CE6AE7">
        <w:rPr>
          <w:rFonts w:ascii="Times New Roman" w:hAnsi="Times New Roman"/>
        </w:rPr>
        <w:t>百至</w:t>
      </w:r>
      <w:r w:rsidRPr="00CE6AE7">
        <w:rPr>
          <w:rFonts w:ascii="Times New Roman" w:hAnsi="Times New Roman"/>
        </w:rPr>
        <w:t>4</w:t>
      </w:r>
      <w:r w:rsidRPr="00CE6AE7">
        <w:rPr>
          <w:rFonts w:ascii="Times New Roman" w:hAnsi="Times New Roman"/>
        </w:rPr>
        <w:t>百餘倍（詳如下表）。</w:t>
      </w:r>
    </w:p>
    <w:p w14:paraId="55F53B56" w14:textId="4E7FC7F5" w:rsidR="008325EE" w:rsidRPr="00CE6AE7" w:rsidRDefault="008325EE" w:rsidP="00EB24B5">
      <w:pPr>
        <w:pStyle w:val="a4"/>
        <w:spacing w:before="60" w:after="0"/>
        <w:ind w:left="1360" w:hanging="84"/>
        <w:jc w:val="left"/>
        <w:rPr>
          <w:rFonts w:ascii="Times New Roman" w:hAnsi="Times New Roman"/>
        </w:rPr>
      </w:pPr>
      <w:r w:rsidRPr="00CE6AE7">
        <w:rPr>
          <w:rFonts w:ascii="Times New Roman" w:hAnsi="Times New Roman"/>
        </w:rPr>
        <w:lastRenderedPageBreak/>
        <w:t>110</w:t>
      </w:r>
      <w:r w:rsidRPr="00CE6AE7">
        <w:rPr>
          <w:rFonts w:ascii="Times New Roman" w:hAnsi="Times New Roman"/>
        </w:rPr>
        <w:t>至</w:t>
      </w:r>
      <w:r w:rsidRPr="00CE6AE7">
        <w:rPr>
          <w:rFonts w:ascii="Times New Roman" w:hAnsi="Times New Roman"/>
        </w:rPr>
        <w:t>113</w:t>
      </w:r>
      <w:r w:rsidRPr="00CE6AE7">
        <w:rPr>
          <w:rFonts w:ascii="Times New Roman" w:hAnsi="Times New Roman"/>
        </w:rPr>
        <w:t>年健保罕病藥費及</w:t>
      </w:r>
      <w:r w:rsidR="0018574C" w:rsidRPr="00CE6AE7">
        <w:rPr>
          <w:rFonts w:ascii="Times New Roman" w:hAnsi="Times New Roman"/>
        </w:rPr>
        <w:t>罕病防治法</w:t>
      </w:r>
      <w:r w:rsidRPr="00CE6AE7">
        <w:rPr>
          <w:rFonts w:ascii="Times New Roman" w:hAnsi="Times New Roman"/>
        </w:rPr>
        <w:t>補助費用</w:t>
      </w:r>
      <w:r w:rsidR="008A5774" w:rsidRPr="00CE6AE7">
        <w:rPr>
          <w:rFonts w:ascii="Times New Roman" w:hAnsi="Times New Roman"/>
        </w:rPr>
        <w:t>情形</w:t>
      </w:r>
    </w:p>
    <w:p w14:paraId="3BF22F9A" w14:textId="77777777" w:rsidR="008325EE" w:rsidRPr="00CE6AE7" w:rsidRDefault="008325EE" w:rsidP="008325EE">
      <w:pPr>
        <w:spacing w:line="240" w:lineRule="exact"/>
        <w:jc w:val="right"/>
        <w:rPr>
          <w:rFonts w:ascii="Times New Roman"/>
          <w:sz w:val="24"/>
          <w:szCs w:val="24"/>
        </w:rPr>
      </w:pPr>
      <w:r w:rsidRPr="00CE6AE7">
        <w:rPr>
          <w:rFonts w:ascii="Times New Roman"/>
          <w:sz w:val="24"/>
          <w:szCs w:val="24"/>
        </w:rPr>
        <w:t>單位：萬元</w:t>
      </w:r>
    </w:p>
    <w:tbl>
      <w:tblPr>
        <w:tblW w:w="7513"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701"/>
        <w:gridCol w:w="2410"/>
        <w:gridCol w:w="3402"/>
      </w:tblGrid>
      <w:tr w:rsidR="00CE6AE7" w:rsidRPr="00CE6AE7" w14:paraId="3D6E4930" w14:textId="77777777" w:rsidTr="00F8454B">
        <w:trPr>
          <w:trHeight w:val="20"/>
          <w:tblHeader/>
        </w:trPr>
        <w:tc>
          <w:tcPr>
            <w:tcW w:w="1701" w:type="dxa"/>
            <w:shd w:val="clear" w:color="auto" w:fill="D9D9D9" w:themeFill="background1" w:themeFillShade="D9"/>
            <w:vAlign w:val="center"/>
          </w:tcPr>
          <w:p w14:paraId="55190D39" w14:textId="77777777" w:rsidR="008325EE" w:rsidRPr="00CE6AE7" w:rsidRDefault="008325EE" w:rsidP="00F8454B">
            <w:pPr>
              <w:kinsoku w:val="0"/>
              <w:spacing w:line="260" w:lineRule="exact"/>
              <w:jc w:val="center"/>
              <w:rPr>
                <w:rFonts w:ascii="Times New Roman"/>
                <w:sz w:val="28"/>
                <w:szCs w:val="28"/>
              </w:rPr>
            </w:pPr>
            <w:r w:rsidRPr="00CE6AE7">
              <w:rPr>
                <w:rFonts w:ascii="Times New Roman"/>
                <w:sz w:val="28"/>
                <w:szCs w:val="28"/>
              </w:rPr>
              <w:t>年度</w:t>
            </w:r>
          </w:p>
        </w:tc>
        <w:tc>
          <w:tcPr>
            <w:tcW w:w="2410" w:type="dxa"/>
            <w:shd w:val="clear" w:color="auto" w:fill="D9D9D9" w:themeFill="background1" w:themeFillShade="D9"/>
            <w:vAlign w:val="center"/>
          </w:tcPr>
          <w:p w14:paraId="3D1D1B39" w14:textId="77777777" w:rsidR="008325EE" w:rsidRPr="00CE6AE7" w:rsidRDefault="008325EE" w:rsidP="00F8454B">
            <w:pPr>
              <w:kinsoku w:val="0"/>
              <w:spacing w:line="260" w:lineRule="exact"/>
              <w:jc w:val="center"/>
              <w:rPr>
                <w:rFonts w:ascii="Times New Roman"/>
                <w:sz w:val="28"/>
                <w:szCs w:val="28"/>
              </w:rPr>
            </w:pPr>
            <w:r w:rsidRPr="00CE6AE7">
              <w:rPr>
                <w:rFonts w:ascii="Times New Roman"/>
                <w:sz w:val="28"/>
                <w:szCs w:val="28"/>
              </w:rPr>
              <w:t>健保罕病藥費</w:t>
            </w:r>
          </w:p>
        </w:tc>
        <w:tc>
          <w:tcPr>
            <w:tcW w:w="3402" w:type="dxa"/>
            <w:shd w:val="clear" w:color="auto" w:fill="D9D9D9" w:themeFill="background1" w:themeFillShade="D9"/>
            <w:vAlign w:val="center"/>
          </w:tcPr>
          <w:p w14:paraId="20AA398B" w14:textId="77777777" w:rsidR="008325EE" w:rsidRPr="00CE6AE7" w:rsidRDefault="008325EE" w:rsidP="00F8454B">
            <w:pPr>
              <w:kinsoku w:val="0"/>
              <w:spacing w:line="260" w:lineRule="exact"/>
              <w:jc w:val="center"/>
              <w:rPr>
                <w:rFonts w:ascii="Times New Roman"/>
                <w:spacing w:val="-8"/>
                <w:sz w:val="28"/>
                <w:szCs w:val="28"/>
              </w:rPr>
            </w:pPr>
            <w:r w:rsidRPr="00CE6AE7">
              <w:rPr>
                <w:rFonts w:ascii="Times New Roman"/>
                <w:spacing w:val="-8"/>
                <w:sz w:val="28"/>
                <w:szCs w:val="28"/>
              </w:rPr>
              <w:t>依罕病防治法補助藥費</w:t>
            </w:r>
          </w:p>
        </w:tc>
      </w:tr>
      <w:tr w:rsidR="00CE6AE7" w:rsidRPr="00CE6AE7" w14:paraId="4DE56621" w14:textId="77777777" w:rsidTr="00F8454B">
        <w:trPr>
          <w:trHeight w:val="20"/>
        </w:trPr>
        <w:tc>
          <w:tcPr>
            <w:tcW w:w="1701" w:type="dxa"/>
            <w:vAlign w:val="center"/>
          </w:tcPr>
          <w:p w14:paraId="4AFA790C" w14:textId="77777777" w:rsidR="008325EE" w:rsidRPr="00CE6AE7" w:rsidRDefault="008325EE" w:rsidP="00F8454B">
            <w:pPr>
              <w:kinsoku w:val="0"/>
              <w:spacing w:line="260" w:lineRule="exact"/>
              <w:jc w:val="center"/>
              <w:rPr>
                <w:rFonts w:ascii="Times New Roman"/>
                <w:sz w:val="28"/>
                <w:szCs w:val="28"/>
              </w:rPr>
            </w:pPr>
            <w:r w:rsidRPr="00CE6AE7">
              <w:rPr>
                <w:rFonts w:ascii="Times New Roman"/>
                <w:sz w:val="28"/>
                <w:szCs w:val="28"/>
              </w:rPr>
              <w:t>110</w:t>
            </w:r>
          </w:p>
        </w:tc>
        <w:tc>
          <w:tcPr>
            <w:tcW w:w="2410" w:type="dxa"/>
            <w:tcBorders>
              <w:top w:val="single" w:sz="4" w:space="0" w:color="auto"/>
              <w:left w:val="single" w:sz="4" w:space="0" w:color="auto"/>
              <w:bottom w:val="single" w:sz="4" w:space="0" w:color="auto"/>
              <w:right w:val="single" w:sz="4" w:space="0" w:color="auto"/>
            </w:tcBorders>
            <w:vAlign w:val="center"/>
          </w:tcPr>
          <w:p w14:paraId="0602AD8F" w14:textId="77777777" w:rsidR="008325EE" w:rsidRPr="00CE6AE7" w:rsidRDefault="008325EE" w:rsidP="00F8454B">
            <w:pPr>
              <w:kinsoku w:val="0"/>
              <w:spacing w:line="260" w:lineRule="exact"/>
              <w:jc w:val="right"/>
              <w:rPr>
                <w:rFonts w:ascii="Times New Roman"/>
                <w:sz w:val="28"/>
                <w:szCs w:val="28"/>
              </w:rPr>
            </w:pPr>
            <w:r w:rsidRPr="00CE6AE7">
              <w:rPr>
                <w:rFonts w:ascii="Times New Roman"/>
                <w:kern w:val="0"/>
                <w:sz w:val="28"/>
                <w:szCs w:val="28"/>
              </w:rPr>
              <w:t>730,500</w:t>
            </w:r>
          </w:p>
        </w:tc>
        <w:tc>
          <w:tcPr>
            <w:tcW w:w="3402" w:type="dxa"/>
            <w:vAlign w:val="center"/>
          </w:tcPr>
          <w:p w14:paraId="2FC90584" w14:textId="77777777" w:rsidR="008325EE" w:rsidRPr="00CE6AE7" w:rsidRDefault="008325EE" w:rsidP="00F8454B">
            <w:pPr>
              <w:kinsoku w:val="0"/>
              <w:spacing w:line="260" w:lineRule="exact"/>
              <w:jc w:val="right"/>
              <w:rPr>
                <w:rFonts w:ascii="Times New Roman"/>
                <w:spacing w:val="-8"/>
                <w:sz w:val="28"/>
                <w:szCs w:val="28"/>
              </w:rPr>
            </w:pPr>
            <w:r w:rsidRPr="00CE6AE7">
              <w:rPr>
                <w:rFonts w:ascii="Times New Roman"/>
                <w:spacing w:val="-8"/>
                <w:sz w:val="28"/>
                <w:szCs w:val="28"/>
              </w:rPr>
              <w:t>2,840</w:t>
            </w:r>
          </w:p>
        </w:tc>
      </w:tr>
      <w:tr w:rsidR="00CE6AE7" w:rsidRPr="00CE6AE7" w14:paraId="70888611" w14:textId="77777777" w:rsidTr="00F8454B">
        <w:trPr>
          <w:trHeight w:val="20"/>
        </w:trPr>
        <w:tc>
          <w:tcPr>
            <w:tcW w:w="1701" w:type="dxa"/>
            <w:vAlign w:val="center"/>
          </w:tcPr>
          <w:p w14:paraId="748BDD45" w14:textId="77777777" w:rsidR="008325EE" w:rsidRPr="00CE6AE7" w:rsidRDefault="008325EE" w:rsidP="00F8454B">
            <w:pPr>
              <w:kinsoku w:val="0"/>
              <w:spacing w:line="260" w:lineRule="exact"/>
              <w:jc w:val="center"/>
              <w:rPr>
                <w:rFonts w:ascii="Times New Roman"/>
                <w:sz w:val="28"/>
                <w:szCs w:val="28"/>
              </w:rPr>
            </w:pPr>
            <w:r w:rsidRPr="00CE6AE7">
              <w:rPr>
                <w:rFonts w:ascii="Times New Roman"/>
                <w:sz w:val="28"/>
                <w:szCs w:val="28"/>
              </w:rPr>
              <w:t>111</w:t>
            </w:r>
          </w:p>
        </w:tc>
        <w:tc>
          <w:tcPr>
            <w:tcW w:w="2410" w:type="dxa"/>
            <w:tcBorders>
              <w:top w:val="single" w:sz="4" w:space="0" w:color="auto"/>
              <w:left w:val="single" w:sz="4" w:space="0" w:color="auto"/>
              <w:bottom w:val="single" w:sz="4" w:space="0" w:color="auto"/>
              <w:right w:val="single" w:sz="4" w:space="0" w:color="auto"/>
            </w:tcBorders>
            <w:vAlign w:val="center"/>
          </w:tcPr>
          <w:p w14:paraId="34B4A5BD" w14:textId="77777777" w:rsidR="008325EE" w:rsidRPr="00CE6AE7" w:rsidRDefault="008325EE" w:rsidP="00F8454B">
            <w:pPr>
              <w:jc w:val="right"/>
              <w:rPr>
                <w:rFonts w:ascii="Times New Roman"/>
                <w:sz w:val="28"/>
                <w:szCs w:val="28"/>
              </w:rPr>
            </w:pPr>
            <w:r w:rsidRPr="00CE6AE7">
              <w:rPr>
                <w:rFonts w:ascii="Times New Roman"/>
                <w:kern w:val="0"/>
                <w:sz w:val="28"/>
                <w:szCs w:val="28"/>
              </w:rPr>
              <w:t>767,900</w:t>
            </w:r>
          </w:p>
        </w:tc>
        <w:tc>
          <w:tcPr>
            <w:tcW w:w="3402" w:type="dxa"/>
            <w:vAlign w:val="center"/>
          </w:tcPr>
          <w:p w14:paraId="11471F4D" w14:textId="77777777" w:rsidR="008325EE" w:rsidRPr="00CE6AE7" w:rsidRDefault="008325EE" w:rsidP="00F8454B">
            <w:pPr>
              <w:kinsoku w:val="0"/>
              <w:spacing w:line="260" w:lineRule="exact"/>
              <w:jc w:val="right"/>
              <w:rPr>
                <w:rFonts w:ascii="Times New Roman"/>
                <w:spacing w:val="-8"/>
                <w:sz w:val="28"/>
                <w:szCs w:val="28"/>
              </w:rPr>
            </w:pPr>
            <w:r w:rsidRPr="00CE6AE7">
              <w:rPr>
                <w:rFonts w:ascii="Times New Roman"/>
                <w:spacing w:val="-8"/>
                <w:sz w:val="28"/>
                <w:szCs w:val="28"/>
              </w:rPr>
              <w:t>2,619</w:t>
            </w:r>
          </w:p>
        </w:tc>
      </w:tr>
      <w:tr w:rsidR="00CE6AE7" w:rsidRPr="00CE6AE7" w14:paraId="5AB8F426" w14:textId="77777777" w:rsidTr="00F8454B">
        <w:trPr>
          <w:trHeight w:val="20"/>
        </w:trPr>
        <w:tc>
          <w:tcPr>
            <w:tcW w:w="1701" w:type="dxa"/>
            <w:vAlign w:val="center"/>
          </w:tcPr>
          <w:p w14:paraId="408C23C0" w14:textId="77777777" w:rsidR="008325EE" w:rsidRPr="00CE6AE7" w:rsidRDefault="008325EE" w:rsidP="00F8454B">
            <w:pPr>
              <w:kinsoku w:val="0"/>
              <w:spacing w:line="260" w:lineRule="exact"/>
              <w:jc w:val="center"/>
              <w:rPr>
                <w:rFonts w:ascii="Times New Roman"/>
                <w:sz w:val="28"/>
                <w:szCs w:val="28"/>
              </w:rPr>
            </w:pPr>
            <w:r w:rsidRPr="00CE6AE7">
              <w:rPr>
                <w:rFonts w:ascii="Times New Roman"/>
                <w:sz w:val="28"/>
                <w:szCs w:val="28"/>
              </w:rPr>
              <w:t>112</w:t>
            </w:r>
          </w:p>
        </w:tc>
        <w:tc>
          <w:tcPr>
            <w:tcW w:w="2410" w:type="dxa"/>
            <w:tcBorders>
              <w:top w:val="single" w:sz="4" w:space="0" w:color="auto"/>
              <w:left w:val="single" w:sz="4" w:space="0" w:color="auto"/>
              <w:bottom w:val="single" w:sz="4" w:space="0" w:color="auto"/>
              <w:right w:val="single" w:sz="4" w:space="0" w:color="auto"/>
            </w:tcBorders>
            <w:vAlign w:val="center"/>
          </w:tcPr>
          <w:p w14:paraId="5B44540A" w14:textId="77777777" w:rsidR="008325EE" w:rsidRPr="00CE6AE7" w:rsidRDefault="008325EE" w:rsidP="00F8454B">
            <w:pPr>
              <w:kinsoku w:val="0"/>
              <w:spacing w:line="260" w:lineRule="exact"/>
              <w:jc w:val="right"/>
              <w:rPr>
                <w:rFonts w:ascii="Times New Roman"/>
                <w:sz w:val="28"/>
                <w:szCs w:val="28"/>
              </w:rPr>
            </w:pPr>
            <w:r w:rsidRPr="00CE6AE7">
              <w:rPr>
                <w:rFonts w:ascii="Times New Roman"/>
                <w:kern w:val="0"/>
                <w:sz w:val="28"/>
                <w:szCs w:val="28"/>
              </w:rPr>
              <w:t>957,700</w:t>
            </w:r>
          </w:p>
        </w:tc>
        <w:tc>
          <w:tcPr>
            <w:tcW w:w="3402" w:type="dxa"/>
            <w:vAlign w:val="center"/>
          </w:tcPr>
          <w:p w14:paraId="6758F4EC" w14:textId="77777777" w:rsidR="008325EE" w:rsidRPr="00CE6AE7" w:rsidRDefault="008325EE" w:rsidP="00F8454B">
            <w:pPr>
              <w:kinsoku w:val="0"/>
              <w:spacing w:line="260" w:lineRule="exact"/>
              <w:jc w:val="right"/>
              <w:rPr>
                <w:rFonts w:ascii="Times New Roman"/>
                <w:spacing w:val="-8"/>
                <w:sz w:val="28"/>
                <w:szCs w:val="28"/>
              </w:rPr>
            </w:pPr>
            <w:r w:rsidRPr="00CE6AE7">
              <w:rPr>
                <w:rFonts w:ascii="Times New Roman"/>
                <w:spacing w:val="-8"/>
                <w:sz w:val="28"/>
                <w:szCs w:val="28"/>
              </w:rPr>
              <w:t>2,639</w:t>
            </w:r>
          </w:p>
        </w:tc>
      </w:tr>
      <w:tr w:rsidR="00CE6AE7" w:rsidRPr="00CE6AE7" w14:paraId="138BA7BE" w14:textId="77777777" w:rsidTr="00F8454B">
        <w:trPr>
          <w:trHeight w:val="20"/>
        </w:trPr>
        <w:tc>
          <w:tcPr>
            <w:tcW w:w="1701" w:type="dxa"/>
            <w:vAlign w:val="center"/>
          </w:tcPr>
          <w:p w14:paraId="047B3DA9" w14:textId="77777777" w:rsidR="008325EE" w:rsidRPr="00CE6AE7" w:rsidRDefault="008325EE" w:rsidP="00F8454B">
            <w:pPr>
              <w:kinsoku w:val="0"/>
              <w:spacing w:line="260" w:lineRule="exact"/>
              <w:jc w:val="center"/>
              <w:rPr>
                <w:rFonts w:ascii="Times New Roman"/>
                <w:sz w:val="28"/>
                <w:szCs w:val="28"/>
              </w:rPr>
            </w:pPr>
            <w:r w:rsidRPr="00CE6AE7">
              <w:rPr>
                <w:rFonts w:ascii="Times New Roman"/>
                <w:sz w:val="28"/>
                <w:szCs w:val="28"/>
              </w:rPr>
              <w:t>113</w:t>
            </w:r>
          </w:p>
        </w:tc>
        <w:tc>
          <w:tcPr>
            <w:tcW w:w="2410" w:type="dxa"/>
            <w:tcBorders>
              <w:top w:val="single" w:sz="4" w:space="0" w:color="auto"/>
              <w:left w:val="single" w:sz="4" w:space="0" w:color="auto"/>
              <w:bottom w:val="single" w:sz="4" w:space="0" w:color="auto"/>
              <w:right w:val="single" w:sz="4" w:space="0" w:color="auto"/>
            </w:tcBorders>
            <w:vAlign w:val="center"/>
          </w:tcPr>
          <w:p w14:paraId="06F9266F" w14:textId="77777777" w:rsidR="008325EE" w:rsidRPr="00CE6AE7" w:rsidRDefault="008325EE" w:rsidP="00F8454B">
            <w:pPr>
              <w:kinsoku w:val="0"/>
              <w:spacing w:line="260" w:lineRule="exact"/>
              <w:jc w:val="right"/>
              <w:rPr>
                <w:rFonts w:ascii="Times New Roman"/>
                <w:sz w:val="28"/>
                <w:szCs w:val="28"/>
              </w:rPr>
            </w:pPr>
            <w:r w:rsidRPr="00CE6AE7">
              <w:rPr>
                <w:rFonts w:ascii="Times New Roman"/>
                <w:kern w:val="0"/>
                <w:sz w:val="28"/>
                <w:szCs w:val="28"/>
              </w:rPr>
              <w:t>1,090,900</w:t>
            </w:r>
          </w:p>
        </w:tc>
        <w:tc>
          <w:tcPr>
            <w:tcW w:w="3402" w:type="dxa"/>
            <w:vAlign w:val="center"/>
          </w:tcPr>
          <w:p w14:paraId="1F441FFB" w14:textId="77777777" w:rsidR="008325EE" w:rsidRPr="00CE6AE7" w:rsidRDefault="008325EE" w:rsidP="00F8454B">
            <w:pPr>
              <w:kinsoku w:val="0"/>
              <w:spacing w:line="260" w:lineRule="exact"/>
              <w:jc w:val="right"/>
              <w:rPr>
                <w:rFonts w:ascii="Times New Roman"/>
                <w:spacing w:val="-8"/>
                <w:sz w:val="28"/>
                <w:szCs w:val="28"/>
              </w:rPr>
            </w:pPr>
            <w:r w:rsidRPr="00CE6AE7">
              <w:rPr>
                <w:rFonts w:ascii="Times New Roman"/>
                <w:spacing w:val="-8"/>
                <w:sz w:val="28"/>
                <w:szCs w:val="28"/>
              </w:rPr>
              <w:t>2,514</w:t>
            </w:r>
          </w:p>
        </w:tc>
      </w:tr>
    </w:tbl>
    <w:p w14:paraId="6FAEE968" w14:textId="61036EA9" w:rsidR="008325EE" w:rsidRPr="00CE6AE7" w:rsidRDefault="008325EE" w:rsidP="008325EE">
      <w:pPr>
        <w:pStyle w:val="afc"/>
        <w:spacing w:before="0" w:afterLines="50" w:after="228" w:line="320" w:lineRule="exact"/>
        <w:ind w:leftChars="375" w:left="1716" w:rightChars="-13" w:right="-44" w:hanging="440"/>
        <w:rPr>
          <w:rFonts w:ascii="Times New Roman"/>
          <w:spacing w:val="-20"/>
          <w:sz w:val="24"/>
          <w:szCs w:val="24"/>
        </w:rPr>
      </w:pPr>
      <w:r w:rsidRPr="00CE6AE7">
        <w:rPr>
          <w:rFonts w:ascii="Times New Roman"/>
          <w:spacing w:val="-20"/>
          <w:sz w:val="24"/>
          <w:szCs w:val="24"/>
        </w:rPr>
        <w:t>資料來源：健保署、國健署。</w:t>
      </w:r>
    </w:p>
    <w:p w14:paraId="57721C51" w14:textId="3869534D" w:rsidR="008325EE" w:rsidRPr="00CE6AE7" w:rsidRDefault="00EB24B5" w:rsidP="009E34CD">
      <w:pPr>
        <w:pStyle w:val="4"/>
        <w:rPr>
          <w:rFonts w:ascii="Times New Roman" w:hAnsi="Times New Roman"/>
        </w:rPr>
      </w:pPr>
      <w:r w:rsidRPr="00CE6AE7">
        <w:rPr>
          <w:rFonts w:ascii="Times New Roman" w:hAnsi="Times New Roman"/>
        </w:rPr>
        <w:t>又</w:t>
      </w:r>
      <w:r w:rsidR="008325EE" w:rsidRPr="00CE6AE7">
        <w:rPr>
          <w:rFonts w:ascii="Times New Roman" w:hAnsi="Times New Roman"/>
        </w:rPr>
        <w:t>依</w:t>
      </w:r>
      <w:r w:rsidR="008325EE" w:rsidRPr="00CE6AE7">
        <w:rPr>
          <w:rFonts w:ascii="Times New Roman" w:hAnsi="Times New Roman"/>
          <w:bCs/>
        </w:rPr>
        <w:t>「</w:t>
      </w:r>
      <w:r w:rsidR="008325EE" w:rsidRPr="00CE6AE7">
        <w:rPr>
          <w:rFonts w:ascii="Times New Roman" w:hAnsi="Times New Roman"/>
        </w:rPr>
        <w:t>罕病醫療照護費用補助辦法</w:t>
      </w:r>
      <w:r w:rsidR="008325EE" w:rsidRPr="00CE6AE7">
        <w:rPr>
          <w:rFonts w:ascii="Times New Roman" w:hAnsi="Times New Roman"/>
          <w:bCs/>
        </w:rPr>
        <w:t>」（下稱罕病補助辦法）</w:t>
      </w:r>
      <w:r w:rsidR="00573D94" w:rsidRPr="00CE6AE7">
        <w:rPr>
          <w:rFonts w:ascii="Times New Roman" w:hAnsi="Times New Roman"/>
          <w:bCs/>
        </w:rPr>
        <w:t>規定</w:t>
      </w:r>
      <w:r w:rsidR="008325EE" w:rsidRPr="00CE6AE7">
        <w:rPr>
          <w:rFonts w:ascii="Times New Roman" w:hAnsi="Times New Roman"/>
        </w:rPr>
        <w:t>，罕病藥物補助上限僅每月</w:t>
      </w:r>
      <w:r w:rsidR="008325EE" w:rsidRPr="00CE6AE7">
        <w:rPr>
          <w:rFonts w:ascii="Times New Roman" w:hAnsi="Times New Roman"/>
        </w:rPr>
        <w:t>50</w:t>
      </w:r>
      <w:r w:rsidR="008325EE" w:rsidRPr="00CE6AE7">
        <w:rPr>
          <w:rFonts w:ascii="Times New Roman" w:hAnsi="Times New Roman"/>
        </w:rPr>
        <w:t>萬元，</w:t>
      </w:r>
      <w:r w:rsidR="00573D94" w:rsidRPr="00CE6AE7">
        <w:rPr>
          <w:rFonts w:ascii="Times New Roman" w:hAnsi="Times New Roman"/>
        </w:rPr>
        <w:t>即使符合特定條件，歷年</w:t>
      </w:r>
      <w:r w:rsidR="008325EE" w:rsidRPr="00CE6AE7">
        <w:rPr>
          <w:rFonts w:ascii="Times New Roman" w:hAnsi="Times New Roman"/>
        </w:rPr>
        <w:t>案最高補助</w:t>
      </w:r>
      <w:r w:rsidR="00573D94" w:rsidRPr="00CE6AE7">
        <w:rPr>
          <w:rFonts w:ascii="Times New Roman" w:hAnsi="Times New Roman"/>
        </w:rPr>
        <w:t>金額仍僅</w:t>
      </w:r>
      <w:r w:rsidR="008325EE" w:rsidRPr="00CE6AE7">
        <w:rPr>
          <w:rFonts w:ascii="Times New Roman" w:hAnsi="Times New Roman"/>
        </w:rPr>
        <w:t>163</w:t>
      </w:r>
      <w:r w:rsidR="008325EE" w:rsidRPr="00CE6AE7">
        <w:rPr>
          <w:rFonts w:ascii="Times New Roman" w:hAnsi="Times New Roman"/>
        </w:rPr>
        <w:t>萬元：</w:t>
      </w:r>
    </w:p>
    <w:p w14:paraId="4FB5316E" w14:textId="50514728" w:rsidR="008325EE" w:rsidRPr="00CE6AE7" w:rsidRDefault="008325EE" w:rsidP="008325EE">
      <w:pPr>
        <w:pStyle w:val="5"/>
        <w:rPr>
          <w:rFonts w:ascii="Times New Roman" w:hAnsi="Times New Roman"/>
        </w:rPr>
      </w:pPr>
      <w:r w:rsidRPr="00CE6AE7">
        <w:rPr>
          <w:rFonts w:ascii="Times New Roman" w:hAnsi="Times New Roman"/>
        </w:rPr>
        <w:t>按</w:t>
      </w:r>
      <w:r w:rsidRPr="00CE6AE7">
        <w:rPr>
          <w:rFonts w:ascii="Times New Roman" w:hAnsi="Times New Roman"/>
          <w:bCs w:val="0"/>
        </w:rPr>
        <w:t>罕病補助辦法</w:t>
      </w:r>
      <w:r w:rsidRPr="00CE6AE7">
        <w:rPr>
          <w:rFonts w:ascii="Times New Roman" w:hAnsi="Times New Roman"/>
        </w:rPr>
        <w:t>第</w:t>
      </w:r>
      <w:r w:rsidRPr="00CE6AE7">
        <w:rPr>
          <w:rFonts w:ascii="Times New Roman" w:hAnsi="Times New Roman"/>
        </w:rPr>
        <w:t>7</w:t>
      </w:r>
      <w:r w:rsidRPr="00CE6AE7">
        <w:rPr>
          <w:rFonts w:ascii="Times New Roman" w:hAnsi="Times New Roman"/>
        </w:rPr>
        <w:t>條第</w:t>
      </w:r>
      <w:r w:rsidRPr="00CE6AE7">
        <w:rPr>
          <w:rFonts w:ascii="Times New Roman" w:hAnsi="Times New Roman"/>
        </w:rPr>
        <w:t>1</w:t>
      </w:r>
      <w:r w:rsidRPr="00CE6AE7">
        <w:rPr>
          <w:rFonts w:ascii="Times New Roman" w:hAnsi="Times New Roman"/>
        </w:rPr>
        <w:t>項第</w:t>
      </w:r>
      <w:r w:rsidRPr="00CE6AE7">
        <w:rPr>
          <w:rFonts w:ascii="Times New Roman" w:hAnsi="Times New Roman"/>
        </w:rPr>
        <w:t>3</w:t>
      </w:r>
      <w:r w:rsidRPr="00CE6AE7">
        <w:rPr>
          <w:rFonts w:ascii="Times New Roman" w:hAnsi="Times New Roman"/>
        </w:rPr>
        <w:t>款規定，依起算年期及申請資料繳交狀態，藥物費用補助比率</w:t>
      </w:r>
      <w:r w:rsidR="00573D94" w:rsidRPr="00CE6AE7">
        <w:rPr>
          <w:rFonts w:ascii="Times New Roman" w:hAnsi="Times New Roman"/>
        </w:rPr>
        <w:t>落於</w:t>
      </w:r>
      <w:r w:rsidRPr="00CE6AE7">
        <w:rPr>
          <w:rFonts w:ascii="Times New Roman" w:hAnsi="Times New Roman"/>
        </w:rPr>
        <w:t>10%</w:t>
      </w:r>
      <w:r w:rsidRPr="00CE6AE7">
        <w:rPr>
          <w:rFonts w:ascii="Times New Roman" w:hAnsi="Times New Roman"/>
        </w:rPr>
        <w:t>至</w:t>
      </w:r>
      <w:r w:rsidRPr="00CE6AE7">
        <w:rPr>
          <w:rFonts w:ascii="Times New Roman" w:hAnsi="Times New Roman"/>
        </w:rPr>
        <w:t>80%</w:t>
      </w:r>
      <w:r w:rsidRPr="00CE6AE7">
        <w:rPr>
          <w:rFonts w:ascii="Times New Roman" w:hAnsi="Times New Roman"/>
        </w:rPr>
        <w:t>間，最高每月補助上限為</w:t>
      </w:r>
      <w:r w:rsidRPr="00CE6AE7">
        <w:rPr>
          <w:rFonts w:ascii="Times New Roman" w:hAnsi="Times New Roman"/>
        </w:rPr>
        <w:t>50</w:t>
      </w:r>
      <w:r w:rsidRPr="00CE6AE7">
        <w:rPr>
          <w:rFonts w:ascii="Times New Roman" w:hAnsi="Times New Roman"/>
        </w:rPr>
        <w:t>萬元。</w:t>
      </w:r>
    </w:p>
    <w:p w14:paraId="75363947" w14:textId="394D347B" w:rsidR="008325EE" w:rsidRPr="00CE6AE7" w:rsidRDefault="008325EE" w:rsidP="008325EE">
      <w:pPr>
        <w:pStyle w:val="5"/>
        <w:rPr>
          <w:rFonts w:ascii="Times New Roman" w:hAnsi="Times New Roman"/>
        </w:rPr>
      </w:pPr>
      <w:r w:rsidRPr="00CE6AE7">
        <w:rPr>
          <w:rFonts w:ascii="Times New Roman" w:hAnsi="Times New Roman"/>
        </w:rPr>
        <w:t>若藥物費用超過最高每月補助上限</w:t>
      </w:r>
      <w:r w:rsidRPr="00CE6AE7">
        <w:rPr>
          <w:rFonts w:ascii="Times New Roman" w:hAnsi="Times New Roman"/>
        </w:rPr>
        <w:t>50</w:t>
      </w:r>
      <w:r w:rsidRPr="00CE6AE7">
        <w:rPr>
          <w:rFonts w:ascii="Times New Roman" w:hAnsi="Times New Roman"/>
        </w:rPr>
        <w:t>萬元，則由診療團隊以恩慈治療方法，或透過國健署罕病照護服務計畫，轉介社會資源及民間機構或團體提供</w:t>
      </w:r>
      <w:r w:rsidR="00573D94" w:rsidRPr="00CE6AE7">
        <w:rPr>
          <w:rFonts w:ascii="Times New Roman" w:hAnsi="Times New Roman"/>
        </w:rPr>
        <w:t>協助</w:t>
      </w:r>
      <w:r w:rsidRPr="00CE6AE7">
        <w:rPr>
          <w:rFonts w:ascii="Times New Roman" w:hAnsi="Times New Roman"/>
        </w:rPr>
        <w:t>。</w:t>
      </w:r>
    </w:p>
    <w:p w14:paraId="1FD9CC64" w14:textId="07374D16" w:rsidR="000D064F" w:rsidRPr="00CE6AE7" w:rsidRDefault="008325EE" w:rsidP="000E05E1">
      <w:pPr>
        <w:pStyle w:val="5"/>
        <w:rPr>
          <w:rFonts w:ascii="Times New Roman" w:hAnsi="Times New Roman"/>
        </w:rPr>
      </w:pPr>
      <w:r w:rsidRPr="00CE6AE7">
        <w:rPr>
          <w:rFonts w:ascii="Times New Roman" w:hAnsi="Times New Roman"/>
        </w:rPr>
        <w:t>若為符合</w:t>
      </w:r>
      <w:r w:rsidRPr="00CE6AE7">
        <w:rPr>
          <w:rFonts w:ascii="Times New Roman" w:hAnsi="Times New Roman"/>
          <w:bCs w:val="0"/>
        </w:rPr>
        <w:t>罕病補助辦法</w:t>
      </w:r>
      <w:r w:rsidRPr="00CE6AE7">
        <w:rPr>
          <w:rFonts w:ascii="Times New Roman" w:hAnsi="Times New Roman"/>
        </w:rPr>
        <w:t>第</w:t>
      </w:r>
      <w:r w:rsidRPr="00CE6AE7">
        <w:rPr>
          <w:rFonts w:ascii="Times New Roman" w:hAnsi="Times New Roman"/>
        </w:rPr>
        <w:t>8</w:t>
      </w:r>
      <w:r w:rsidRPr="00CE6AE7">
        <w:rPr>
          <w:rFonts w:ascii="Times New Roman" w:hAnsi="Times New Roman"/>
        </w:rPr>
        <w:t>條第</w:t>
      </w:r>
      <w:r w:rsidRPr="00CE6AE7">
        <w:rPr>
          <w:rFonts w:ascii="Times New Roman" w:hAnsi="Times New Roman"/>
        </w:rPr>
        <w:t>1</w:t>
      </w:r>
      <w:r w:rsidRPr="00CE6AE7">
        <w:rPr>
          <w:rFonts w:ascii="Times New Roman" w:hAnsi="Times New Roman"/>
        </w:rPr>
        <w:t>項規定之「低收入戶及中低收入戶</w:t>
      </w:r>
      <w:r w:rsidR="00117310" w:rsidRPr="00CE6AE7">
        <w:rPr>
          <w:rFonts w:ascii="Times New Roman" w:hAnsi="Times New Roman"/>
        </w:rPr>
        <w:t>病患</w:t>
      </w:r>
      <w:r w:rsidRPr="00CE6AE7">
        <w:rPr>
          <w:rFonts w:ascii="Times New Roman" w:hAnsi="Times New Roman"/>
        </w:rPr>
        <w:t>之醫療照護費用」者，則不受所定補助金額及比率之限制。</w:t>
      </w:r>
      <w:r w:rsidR="00573D94" w:rsidRPr="00CE6AE7">
        <w:rPr>
          <w:rFonts w:ascii="Times New Roman" w:hAnsi="Times New Roman"/>
        </w:rPr>
        <w:t>若</w:t>
      </w:r>
      <w:r w:rsidRPr="00CE6AE7">
        <w:rPr>
          <w:rFonts w:ascii="Times New Roman" w:hAnsi="Times New Roman"/>
        </w:rPr>
        <w:t>為同項第</w:t>
      </w:r>
      <w:r w:rsidRPr="00CE6AE7">
        <w:rPr>
          <w:rFonts w:ascii="Times New Roman" w:hAnsi="Times New Roman"/>
        </w:rPr>
        <w:t>2</w:t>
      </w:r>
      <w:r w:rsidRPr="00CE6AE7">
        <w:rPr>
          <w:rFonts w:ascii="Times New Roman" w:hAnsi="Times New Roman"/>
        </w:rPr>
        <w:t>款所定「維持生命所需之緊急醫療照護費用」，</w:t>
      </w:r>
      <w:r w:rsidR="00573D94" w:rsidRPr="00CE6AE7">
        <w:rPr>
          <w:rFonts w:ascii="Times New Roman" w:hAnsi="Times New Roman"/>
        </w:rPr>
        <w:t>則由</w:t>
      </w:r>
      <w:r w:rsidRPr="00CE6AE7">
        <w:rPr>
          <w:rFonts w:ascii="Times New Roman" w:hAnsi="Times New Roman"/>
        </w:rPr>
        <w:t>診療團隊提出資料向國健署申請，送</w:t>
      </w:r>
      <w:r w:rsidR="000D064F" w:rsidRPr="00CE6AE7">
        <w:rPr>
          <w:rFonts w:ascii="Times New Roman" w:hAnsi="Times New Roman"/>
        </w:rPr>
        <w:t>至</w:t>
      </w:r>
      <w:r w:rsidR="0018574C" w:rsidRPr="00CE6AE7">
        <w:rPr>
          <w:rFonts w:ascii="Times New Roman" w:hAnsi="Times New Roman"/>
        </w:rPr>
        <w:t>罕病</w:t>
      </w:r>
      <w:r w:rsidRPr="00CE6AE7">
        <w:rPr>
          <w:rFonts w:ascii="Times New Roman" w:hAnsi="Times New Roman"/>
        </w:rPr>
        <w:t>及藥物審議會討論及審議，</w:t>
      </w:r>
      <w:r w:rsidR="000D064F" w:rsidRPr="00CE6AE7">
        <w:rPr>
          <w:rFonts w:ascii="Times New Roman" w:hAnsi="Times New Roman"/>
        </w:rPr>
        <w:t>並</w:t>
      </w:r>
      <w:r w:rsidRPr="00CE6AE7">
        <w:rPr>
          <w:rFonts w:ascii="Times New Roman" w:hAnsi="Times New Roman"/>
        </w:rPr>
        <w:t>依其專業審議通過後予以全額補助</w:t>
      </w:r>
      <w:r w:rsidR="000D064F" w:rsidRPr="00CE6AE7">
        <w:rPr>
          <w:rFonts w:ascii="Times New Roman" w:hAnsi="Times New Roman"/>
        </w:rPr>
        <w:t>，</w:t>
      </w:r>
      <w:r w:rsidRPr="00CE6AE7">
        <w:rPr>
          <w:rFonts w:ascii="Times New Roman" w:hAnsi="Times New Roman"/>
        </w:rPr>
        <w:t>目前</w:t>
      </w:r>
      <w:r w:rsidR="00573D94" w:rsidRPr="00CE6AE7">
        <w:rPr>
          <w:rFonts w:ascii="Times New Roman" w:hAnsi="Times New Roman"/>
        </w:rPr>
        <w:t>個別</w:t>
      </w:r>
      <w:r w:rsidR="00117310" w:rsidRPr="00CE6AE7">
        <w:rPr>
          <w:rFonts w:ascii="Times New Roman" w:hAnsi="Times New Roman"/>
        </w:rPr>
        <w:t>病患</w:t>
      </w:r>
      <w:r w:rsidR="000D064F" w:rsidRPr="00CE6AE7">
        <w:rPr>
          <w:rFonts w:ascii="Times New Roman" w:hAnsi="Times New Roman"/>
        </w:rPr>
        <w:t>最高補助費用為</w:t>
      </w:r>
      <w:r w:rsidR="000D064F" w:rsidRPr="00CE6AE7">
        <w:rPr>
          <w:rFonts w:ascii="Times New Roman" w:hAnsi="Times New Roman"/>
        </w:rPr>
        <w:t>136</w:t>
      </w:r>
      <w:r w:rsidR="000D064F" w:rsidRPr="00CE6AE7">
        <w:rPr>
          <w:rFonts w:ascii="Times New Roman" w:hAnsi="Times New Roman"/>
        </w:rPr>
        <w:t>萬及</w:t>
      </w:r>
      <w:r w:rsidR="000D064F" w:rsidRPr="00CE6AE7">
        <w:rPr>
          <w:rFonts w:ascii="Times New Roman" w:hAnsi="Times New Roman"/>
        </w:rPr>
        <w:t>163</w:t>
      </w:r>
      <w:r w:rsidR="000D064F" w:rsidRPr="00CE6AE7">
        <w:rPr>
          <w:rFonts w:ascii="Times New Roman" w:hAnsi="Times New Roman"/>
        </w:rPr>
        <w:t>萬元：</w:t>
      </w:r>
    </w:p>
    <w:p w14:paraId="50DD70AB" w14:textId="0EBD50D3" w:rsidR="000D064F" w:rsidRPr="00CE6AE7" w:rsidRDefault="00573D94" w:rsidP="000D064F">
      <w:pPr>
        <w:pStyle w:val="6"/>
        <w:rPr>
          <w:rFonts w:ascii="Times New Roman" w:hAnsi="Times New Roman"/>
        </w:rPr>
      </w:pPr>
      <w:r w:rsidRPr="00CE6AE7">
        <w:rPr>
          <w:rFonts w:ascii="Times New Roman" w:hAnsi="Times New Roman"/>
        </w:rPr>
        <w:t>適用罕病補助辦法第</w:t>
      </w:r>
      <w:r w:rsidRPr="00CE6AE7">
        <w:rPr>
          <w:rFonts w:ascii="Times New Roman" w:hAnsi="Times New Roman"/>
        </w:rPr>
        <w:t>8</w:t>
      </w:r>
      <w:r w:rsidRPr="00CE6AE7">
        <w:rPr>
          <w:rFonts w:ascii="Times New Roman" w:hAnsi="Times New Roman"/>
        </w:rPr>
        <w:t>條第</w:t>
      </w:r>
      <w:r w:rsidRPr="00CE6AE7">
        <w:rPr>
          <w:rFonts w:ascii="Times New Roman" w:hAnsi="Times New Roman"/>
        </w:rPr>
        <w:t>1</w:t>
      </w:r>
      <w:r w:rsidRPr="00CE6AE7">
        <w:rPr>
          <w:rFonts w:ascii="Times New Roman" w:hAnsi="Times New Roman"/>
        </w:rPr>
        <w:t>項第</w:t>
      </w:r>
      <w:r w:rsidRPr="00CE6AE7">
        <w:rPr>
          <w:rFonts w:ascii="Times New Roman" w:hAnsi="Times New Roman"/>
        </w:rPr>
        <w:t>1</w:t>
      </w:r>
      <w:r w:rsidRPr="00CE6AE7">
        <w:rPr>
          <w:rFonts w:ascii="Times New Roman" w:hAnsi="Times New Roman"/>
        </w:rPr>
        <w:t>款者，</w:t>
      </w:r>
      <w:r w:rsidR="000D064F" w:rsidRPr="00CE6AE7">
        <w:rPr>
          <w:rFonts w:ascii="Times New Roman" w:hAnsi="Times New Roman"/>
        </w:rPr>
        <w:t>為</w:t>
      </w:r>
      <w:r w:rsidRPr="00CE6AE7">
        <w:rPr>
          <w:rFonts w:ascii="Times New Roman" w:hAnsi="Times New Roman"/>
        </w:rPr>
        <w:t>補助其用於維持生命所需特殊營養食品之費用，補助金額約</w:t>
      </w:r>
      <w:r w:rsidRPr="00CE6AE7">
        <w:rPr>
          <w:rFonts w:ascii="Times New Roman" w:hAnsi="Times New Roman"/>
        </w:rPr>
        <w:t>136</w:t>
      </w:r>
      <w:r w:rsidRPr="00CE6AE7">
        <w:rPr>
          <w:rFonts w:ascii="Times New Roman" w:hAnsi="Times New Roman"/>
        </w:rPr>
        <w:t>萬元</w:t>
      </w:r>
      <w:r w:rsidR="008325EE" w:rsidRPr="00CE6AE7">
        <w:rPr>
          <w:rFonts w:ascii="Times New Roman" w:hAnsi="Times New Roman"/>
        </w:rPr>
        <w:t>。</w:t>
      </w:r>
    </w:p>
    <w:p w14:paraId="077E502F" w14:textId="38059B93" w:rsidR="008325EE" w:rsidRPr="00CE6AE7" w:rsidRDefault="008325EE" w:rsidP="000D064F">
      <w:pPr>
        <w:pStyle w:val="6"/>
        <w:rPr>
          <w:rFonts w:ascii="Times New Roman" w:hAnsi="Times New Roman"/>
        </w:rPr>
      </w:pPr>
      <w:r w:rsidRPr="00CE6AE7">
        <w:rPr>
          <w:rFonts w:ascii="Times New Roman" w:hAnsi="Times New Roman"/>
        </w:rPr>
        <w:t>適用同條項第</w:t>
      </w:r>
      <w:r w:rsidRPr="00CE6AE7">
        <w:rPr>
          <w:rFonts w:ascii="Times New Roman" w:hAnsi="Times New Roman"/>
        </w:rPr>
        <w:t>2</w:t>
      </w:r>
      <w:r w:rsidRPr="00CE6AE7">
        <w:rPr>
          <w:rFonts w:ascii="Times New Roman" w:hAnsi="Times New Roman"/>
        </w:rPr>
        <w:t>款者，</w:t>
      </w:r>
      <w:r w:rsidR="000D064F" w:rsidRPr="00CE6AE7">
        <w:rPr>
          <w:rFonts w:ascii="Times New Roman" w:hAnsi="Times New Roman"/>
        </w:rPr>
        <w:t>為</w:t>
      </w:r>
      <w:r w:rsidRPr="00CE6AE7">
        <w:rPr>
          <w:rFonts w:ascii="Times New Roman" w:hAnsi="Times New Roman"/>
        </w:rPr>
        <w:t>補助</w:t>
      </w:r>
      <w:r w:rsidR="00573D94" w:rsidRPr="00CE6AE7">
        <w:rPr>
          <w:rFonts w:ascii="Times New Roman" w:hAnsi="Times New Roman"/>
        </w:rPr>
        <w:t>其緊急需用藥</w:t>
      </w:r>
      <w:r w:rsidR="00573D94" w:rsidRPr="00CE6AE7">
        <w:rPr>
          <w:rFonts w:ascii="Times New Roman" w:hAnsi="Times New Roman"/>
        </w:rPr>
        <w:lastRenderedPageBreak/>
        <w:t>物，</w:t>
      </w:r>
      <w:r w:rsidR="000D064F" w:rsidRPr="00CE6AE7">
        <w:rPr>
          <w:rFonts w:ascii="Times New Roman" w:hAnsi="Times New Roman"/>
        </w:rPr>
        <w:t>補助</w:t>
      </w:r>
      <w:r w:rsidRPr="00CE6AE7">
        <w:rPr>
          <w:rFonts w:ascii="Times New Roman" w:hAnsi="Times New Roman"/>
        </w:rPr>
        <w:t>金額約</w:t>
      </w:r>
      <w:r w:rsidRPr="00CE6AE7">
        <w:rPr>
          <w:rFonts w:ascii="Times New Roman" w:hAnsi="Times New Roman"/>
        </w:rPr>
        <w:t>163</w:t>
      </w:r>
      <w:r w:rsidRPr="00CE6AE7">
        <w:rPr>
          <w:rFonts w:ascii="Times New Roman" w:hAnsi="Times New Roman"/>
        </w:rPr>
        <w:t>萬元。</w:t>
      </w:r>
    </w:p>
    <w:p w14:paraId="32B0698B" w14:textId="41AA517C" w:rsidR="008325EE" w:rsidRPr="00CE6AE7" w:rsidRDefault="000D064F" w:rsidP="00302BFA">
      <w:pPr>
        <w:pStyle w:val="4"/>
        <w:rPr>
          <w:rFonts w:ascii="Times New Roman" w:hAnsi="Times New Roman"/>
        </w:rPr>
      </w:pPr>
      <w:r w:rsidRPr="00CE6AE7">
        <w:rPr>
          <w:rFonts w:ascii="Times New Roman" w:hAnsi="Times New Roman"/>
        </w:rPr>
        <w:t>若與</w:t>
      </w:r>
      <w:r w:rsidR="00573D94" w:rsidRPr="00CE6AE7">
        <w:rPr>
          <w:rFonts w:ascii="Times New Roman" w:hAnsi="Times New Roman"/>
        </w:rPr>
        <w:t>衛福部</w:t>
      </w:r>
      <w:r w:rsidR="00573D94" w:rsidRPr="00CE6AE7">
        <w:rPr>
          <w:rFonts w:ascii="Times New Roman" w:hAnsi="Times New Roman"/>
        </w:rPr>
        <w:t>114</w:t>
      </w:r>
      <w:r w:rsidR="00573D94" w:rsidRPr="00CE6AE7">
        <w:rPr>
          <w:rFonts w:ascii="Times New Roman" w:hAnsi="Times New Roman"/>
        </w:rPr>
        <w:t>年</w:t>
      </w:r>
      <w:r w:rsidR="00573D94" w:rsidRPr="00CE6AE7">
        <w:rPr>
          <w:rFonts w:ascii="Times New Roman" w:hAnsi="Times New Roman"/>
        </w:rPr>
        <w:t>12</w:t>
      </w:r>
      <w:r w:rsidR="00573D94" w:rsidRPr="00CE6AE7">
        <w:rPr>
          <w:rFonts w:ascii="Times New Roman" w:hAnsi="Times New Roman"/>
        </w:rPr>
        <w:t>月</w:t>
      </w:r>
      <w:r w:rsidR="00573D94" w:rsidRPr="00CE6AE7">
        <w:rPr>
          <w:rFonts w:ascii="Times New Roman" w:hAnsi="Times New Roman"/>
        </w:rPr>
        <w:t>1</w:t>
      </w:r>
      <w:r w:rsidR="00573D94" w:rsidRPr="00CE6AE7">
        <w:rPr>
          <w:rFonts w:ascii="Times New Roman" w:hAnsi="Times New Roman"/>
        </w:rPr>
        <w:t>日納入近</w:t>
      </w:r>
      <w:r w:rsidR="00573D94" w:rsidRPr="00CE6AE7">
        <w:rPr>
          <w:rFonts w:ascii="Times New Roman" w:hAnsi="Times New Roman"/>
        </w:rPr>
        <w:t>1</w:t>
      </w:r>
      <w:r w:rsidR="00573D94" w:rsidRPr="00CE6AE7">
        <w:rPr>
          <w:rFonts w:ascii="Times New Roman" w:hAnsi="Times New Roman"/>
        </w:rPr>
        <w:t>億元</w:t>
      </w:r>
      <w:r w:rsidRPr="00CE6AE7">
        <w:rPr>
          <w:rFonts w:ascii="Times New Roman" w:hAnsi="Times New Roman"/>
        </w:rPr>
        <w:t>之</w:t>
      </w:r>
      <w:r w:rsidR="00573D94" w:rsidRPr="00CE6AE7">
        <w:rPr>
          <w:rFonts w:ascii="Times New Roman" w:hAnsi="Times New Roman"/>
        </w:rPr>
        <w:t>罕病基因治療藥品</w:t>
      </w:r>
      <w:r w:rsidRPr="00CE6AE7">
        <w:rPr>
          <w:rFonts w:ascii="Times New Roman" w:hAnsi="Times New Roman"/>
        </w:rPr>
        <w:t>相比</w:t>
      </w:r>
      <w:r w:rsidR="00573D94" w:rsidRPr="00CE6AE7">
        <w:rPr>
          <w:rFonts w:ascii="Times New Roman" w:hAnsi="Times New Roman"/>
        </w:rPr>
        <w:t>，</w:t>
      </w:r>
      <w:r w:rsidR="0018574C" w:rsidRPr="00CE6AE7">
        <w:rPr>
          <w:rFonts w:ascii="Times New Roman" w:hAnsi="Times New Roman"/>
        </w:rPr>
        <w:t>罕病防治法</w:t>
      </w:r>
      <w:r w:rsidRPr="00CE6AE7">
        <w:rPr>
          <w:rFonts w:ascii="Times New Roman" w:hAnsi="Times New Roman"/>
        </w:rPr>
        <w:t>補助最高金額僅</w:t>
      </w:r>
      <w:r w:rsidRPr="00CE6AE7">
        <w:rPr>
          <w:rFonts w:ascii="Times New Roman" w:hAnsi="Times New Roman"/>
        </w:rPr>
        <w:t>163</w:t>
      </w:r>
      <w:r w:rsidRPr="00CE6AE7">
        <w:rPr>
          <w:rFonts w:ascii="Times New Roman" w:hAnsi="Times New Roman"/>
        </w:rPr>
        <w:t>萬元</w:t>
      </w:r>
      <w:r w:rsidR="008325EE" w:rsidRPr="00CE6AE7">
        <w:rPr>
          <w:rFonts w:ascii="Times New Roman" w:hAnsi="Times New Roman"/>
          <w:bCs/>
        </w:rPr>
        <w:t>，</w:t>
      </w:r>
      <w:r w:rsidR="008325EE" w:rsidRPr="00CE6AE7">
        <w:rPr>
          <w:rFonts w:ascii="Times New Roman" w:hAnsi="Times New Roman"/>
        </w:rPr>
        <w:t>相差</w:t>
      </w:r>
      <w:r w:rsidR="008325EE" w:rsidRPr="00CE6AE7">
        <w:rPr>
          <w:rFonts w:ascii="Times New Roman" w:hAnsi="Times New Roman"/>
          <w:bCs/>
        </w:rPr>
        <w:t>約</w:t>
      </w:r>
      <w:r w:rsidR="008325EE" w:rsidRPr="00CE6AE7">
        <w:rPr>
          <w:rFonts w:ascii="Times New Roman" w:hAnsi="Times New Roman"/>
        </w:rPr>
        <w:t>60</w:t>
      </w:r>
      <w:r w:rsidR="008325EE" w:rsidRPr="00CE6AE7">
        <w:rPr>
          <w:rFonts w:ascii="Times New Roman" w:hAnsi="Times New Roman"/>
        </w:rPr>
        <w:t>倍</w:t>
      </w:r>
      <w:r w:rsidR="0062063B" w:rsidRPr="00CE6AE7">
        <w:rPr>
          <w:rFonts w:ascii="Times New Roman" w:hAnsi="Times New Roman" w:hint="eastAsia"/>
        </w:rPr>
        <w:t>，</w:t>
      </w:r>
      <w:r w:rsidR="008325EE" w:rsidRPr="00CE6AE7">
        <w:rPr>
          <w:rFonts w:ascii="Times New Roman" w:hAnsi="Times New Roman"/>
          <w:bCs/>
        </w:rPr>
        <w:t>倘此類高價</w:t>
      </w:r>
      <w:r w:rsidR="008325EE" w:rsidRPr="00CE6AE7">
        <w:rPr>
          <w:rFonts w:ascii="Times New Roman" w:hAnsi="Times New Roman"/>
        </w:rPr>
        <w:t>藥品未</w:t>
      </w:r>
      <w:r w:rsidR="008325EE" w:rsidRPr="00CE6AE7">
        <w:rPr>
          <w:rFonts w:ascii="Times New Roman" w:hAnsi="Times New Roman"/>
          <w:bCs/>
        </w:rPr>
        <w:t>納</w:t>
      </w:r>
      <w:r w:rsidR="008325EE" w:rsidRPr="00CE6AE7">
        <w:rPr>
          <w:rFonts w:ascii="Times New Roman" w:hAnsi="Times New Roman"/>
        </w:rPr>
        <w:t>入健保給付，現行政府補助機制</w:t>
      </w:r>
      <w:r w:rsidRPr="00CE6AE7">
        <w:rPr>
          <w:rFonts w:ascii="Times New Roman" w:hAnsi="Times New Roman"/>
        </w:rPr>
        <w:t>即</w:t>
      </w:r>
      <w:r w:rsidR="008325EE" w:rsidRPr="00CE6AE7">
        <w:rPr>
          <w:rFonts w:ascii="Times New Roman" w:hAnsi="Times New Roman"/>
        </w:rPr>
        <w:t>難</w:t>
      </w:r>
      <w:r w:rsidRPr="00CE6AE7">
        <w:rPr>
          <w:rFonts w:ascii="Times New Roman" w:hAnsi="Times New Roman"/>
        </w:rPr>
        <w:t>以</w:t>
      </w:r>
      <w:r w:rsidR="008325EE" w:rsidRPr="00CE6AE7">
        <w:rPr>
          <w:rFonts w:ascii="Times New Roman" w:hAnsi="Times New Roman"/>
          <w:bCs/>
        </w:rPr>
        <w:t>提供</w:t>
      </w:r>
      <w:r w:rsidR="0062063B" w:rsidRPr="00CE6AE7">
        <w:rPr>
          <w:rFonts w:ascii="Times New Roman" w:hAnsi="Times New Roman" w:hint="eastAsia"/>
          <w:bCs/>
        </w:rPr>
        <w:t>罕病病患</w:t>
      </w:r>
      <w:r w:rsidR="008325EE" w:rsidRPr="00CE6AE7">
        <w:rPr>
          <w:rFonts w:ascii="Times New Roman" w:hAnsi="Times New Roman"/>
        </w:rPr>
        <w:t>實質</w:t>
      </w:r>
      <w:r w:rsidR="008325EE" w:rsidRPr="00CE6AE7">
        <w:rPr>
          <w:rFonts w:ascii="Times New Roman" w:hAnsi="Times New Roman"/>
          <w:bCs/>
        </w:rPr>
        <w:t>保障。</w:t>
      </w:r>
    </w:p>
    <w:p w14:paraId="34CDC121" w14:textId="2E3FE1F0" w:rsidR="008325EE" w:rsidRPr="00CE6AE7" w:rsidRDefault="008325EE" w:rsidP="00F013C7">
      <w:pPr>
        <w:pStyle w:val="3"/>
        <w:rPr>
          <w:rFonts w:ascii="Times New Roman" w:hAnsi="Times New Roman"/>
        </w:rPr>
      </w:pPr>
      <w:r w:rsidRPr="00CE6AE7">
        <w:rPr>
          <w:rFonts w:ascii="Times New Roman" w:hAnsi="Times New Roman"/>
        </w:rPr>
        <w:t>綜上，</w:t>
      </w:r>
      <w:r w:rsidR="00E968DA" w:rsidRPr="00CE6AE7">
        <w:rPr>
          <w:rFonts w:ascii="Times New Roman" w:hAnsi="Times New Roman"/>
        </w:rPr>
        <w:t>我國為強化罕病照護，訂定罕病防治法，採「健保給付」及「罕病防治法補助」雙軌並行，健保</w:t>
      </w:r>
      <w:r w:rsidR="00E968DA" w:rsidRPr="00CE6AE7">
        <w:rPr>
          <w:rFonts w:ascii="Times New Roman" w:hAnsi="Times New Roman" w:hint="eastAsia"/>
        </w:rPr>
        <w:t>設有專款項目支應罕病治療所需之藥品及特材，</w:t>
      </w:r>
      <w:r w:rsidR="00E968DA" w:rsidRPr="00CE6AE7">
        <w:rPr>
          <w:rFonts w:ascii="Times New Roman" w:hAnsi="Times New Roman"/>
        </w:rPr>
        <w:t>國健署則依罕病防治法，就尚未納入健保給付或不符給付條件者，提供</w:t>
      </w:r>
      <w:r w:rsidR="00E968DA" w:rsidRPr="00CE6AE7">
        <w:rPr>
          <w:rFonts w:ascii="Times New Roman" w:hAnsi="Times New Roman" w:hint="eastAsia"/>
        </w:rPr>
        <w:t>資源</w:t>
      </w:r>
      <w:r w:rsidR="00E968DA" w:rsidRPr="00CE6AE7">
        <w:rPr>
          <w:rFonts w:ascii="Times New Roman" w:hAnsi="Times New Roman"/>
        </w:rPr>
        <w:t>補助。惟兩者對罕病</w:t>
      </w:r>
      <w:r w:rsidR="00E968DA" w:rsidRPr="00CE6AE7">
        <w:rPr>
          <w:rFonts w:ascii="Times New Roman" w:hAnsi="Times New Roman" w:hint="eastAsia"/>
        </w:rPr>
        <w:t>照護</w:t>
      </w:r>
      <w:r w:rsidR="00E968DA" w:rsidRPr="00CE6AE7">
        <w:rPr>
          <w:rFonts w:ascii="Times New Roman" w:hAnsi="Times New Roman"/>
        </w:rPr>
        <w:t>之財務負擔能力差異甚大，</w:t>
      </w:r>
      <w:r w:rsidR="00E968DA" w:rsidRPr="00CE6AE7">
        <w:rPr>
          <w:rFonts w:ascii="Times New Roman" w:hAnsi="Times New Roman" w:hint="eastAsia"/>
        </w:rPr>
        <w:t>以罕病藥費為例，</w:t>
      </w:r>
      <w:r w:rsidR="00E968DA" w:rsidRPr="00CE6AE7">
        <w:rPr>
          <w:rFonts w:ascii="Times New Roman" w:hAnsi="Times New Roman"/>
        </w:rPr>
        <w:t>113</w:t>
      </w:r>
      <w:r w:rsidR="00E968DA" w:rsidRPr="00CE6AE7">
        <w:rPr>
          <w:rFonts w:ascii="Times New Roman" w:hAnsi="Times New Roman"/>
        </w:rPr>
        <w:t>年健保罕病藥費專款費用執行總額為</w:t>
      </w:r>
      <w:r w:rsidR="00E968DA" w:rsidRPr="00CE6AE7">
        <w:rPr>
          <w:rFonts w:ascii="Times New Roman" w:hAnsi="Times New Roman"/>
        </w:rPr>
        <w:t>109</w:t>
      </w:r>
      <w:r w:rsidR="00E968DA" w:rsidRPr="00CE6AE7">
        <w:rPr>
          <w:rFonts w:ascii="Times New Roman" w:hAnsi="Times New Roman"/>
        </w:rPr>
        <w:t>億餘元，</w:t>
      </w:r>
      <w:r w:rsidR="00E968DA" w:rsidRPr="00CE6AE7">
        <w:rPr>
          <w:rFonts w:ascii="Times New Roman" w:hAnsi="Times New Roman" w:hint="eastAsia"/>
        </w:rPr>
        <w:t>由</w:t>
      </w:r>
      <w:r w:rsidR="00E968DA" w:rsidRPr="00CE6AE7">
        <w:rPr>
          <w:rFonts w:ascii="Times New Roman" w:hAnsi="Times New Roman"/>
        </w:rPr>
        <w:t>罕病防治法實際補助藥費僅為</w:t>
      </w:r>
      <w:r w:rsidR="00E968DA" w:rsidRPr="00CE6AE7">
        <w:rPr>
          <w:rFonts w:ascii="Times New Roman" w:hAnsi="Times New Roman"/>
        </w:rPr>
        <w:t>2</w:t>
      </w:r>
      <w:r w:rsidR="00E968DA" w:rsidRPr="00CE6AE7">
        <w:rPr>
          <w:rFonts w:ascii="Times New Roman" w:hAnsi="Times New Roman"/>
        </w:rPr>
        <w:t>千</w:t>
      </w:r>
      <w:r w:rsidR="00E968DA" w:rsidRPr="00CE6AE7">
        <w:rPr>
          <w:rFonts w:ascii="Times New Roman" w:hAnsi="Times New Roman"/>
        </w:rPr>
        <w:t>5</w:t>
      </w:r>
      <w:r w:rsidR="00E968DA" w:rsidRPr="00CE6AE7">
        <w:rPr>
          <w:rFonts w:ascii="Times New Roman" w:hAnsi="Times New Roman"/>
        </w:rPr>
        <w:t>百萬餘元；健保可給付單劑藥價近</w:t>
      </w:r>
      <w:r w:rsidR="00E968DA" w:rsidRPr="00CE6AE7">
        <w:rPr>
          <w:rFonts w:ascii="Times New Roman" w:hAnsi="Times New Roman"/>
        </w:rPr>
        <w:t>1</w:t>
      </w:r>
      <w:r w:rsidR="00E968DA" w:rsidRPr="00CE6AE7">
        <w:rPr>
          <w:rFonts w:ascii="Times New Roman" w:hAnsi="Times New Roman"/>
        </w:rPr>
        <w:t>億元之罕病藥品，</w:t>
      </w:r>
      <w:r w:rsidR="00E968DA" w:rsidRPr="00CE6AE7">
        <w:rPr>
          <w:rFonts w:ascii="Times New Roman" w:hAnsi="Times New Roman" w:hint="eastAsia"/>
        </w:rPr>
        <w:t>依</w:t>
      </w:r>
      <w:r w:rsidR="00E968DA" w:rsidRPr="00CE6AE7">
        <w:rPr>
          <w:rFonts w:ascii="Times New Roman" w:hAnsi="Times New Roman"/>
        </w:rPr>
        <w:t>罕病防治法可補助罕病藥物費用上限，每月僅</w:t>
      </w:r>
      <w:r w:rsidR="00E968DA" w:rsidRPr="00CE6AE7">
        <w:rPr>
          <w:rFonts w:ascii="Times New Roman" w:hAnsi="Times New Roman"/>
        </w:rPr>
        <w:t>50</w:t>
      </w:r>
      <w:r w:rsidR="00E968DA" w:rsidRPr="00CE6AE7">
        <w:rPr>
          <w:rFonts w:ascii="Times New Roman" w:hAnsi="Times New Roman"/>
        </w:rPr>
        <w:t>萬元，若為符合特定條件之個案，最高曾補助至</w:t>
      </w:r>
      <w:r w:rsidR="00E968DA" w:rsidRPr="00CE6AE7">
        <w:rPr>
          <w:rFonts w:ascii="Times New Roman" w:hAnsi="Times New Roman"/>
        </w:rPr>
        <w:t>163</w:t>
      </w:r>
      <w:r w:rsidR="00E968DA" w:rsidRPr="00CE6AE7">
        <w:rPr>
          <w:rFonts w:ascii="Times New Roman" w:hAnsi="Times New Roman"/>
        </w:rPr>
        <w:t>萬元，兩項</w:t>
      </w:r>
      <w:r w:rsidR="00E968DA" w:rsidRPr="00CE6AE7">
        <w:rPr>
          <w:rFonts w:ascii="Times New Roman" w:hAnsi="Times New Roman" w:hint="eastAsia"/>
        </w:rPr>
        <w:t>給付</w:t>
      </w:r>
      <w:r w:rsidR="00E968DA" w:rsidRPr="00CE6AE7">
        <w:rPr>
          <w:rFonts w:ascii="Times New Roman" w:hAnsi="Times New Roman"/>
        </w:rPr>
        <w:t>規模顯有落差，倘罕病藥物未納入健保給付，現行政府補助機制即難以提供實質保障。鑑於近年醫療科技快速發展，高價罕病藥物日益增加，衛福部允宜強化健保體系外之財務支持量能，</w:t>
      </w:r>
      <w:r w:rsidR="00E968DA" w:rsidRPr="00CE6AE7">
        <w:rPr>
          <w:rFonts w:ascii="Times New Roman" w:hAnsi="Times New Roman" w:hint="eastAsia"/>
        </w:rPr>
        <w:t>俾以兼顧罕病病患照護</w:t>
      </w:r>
      <w:r w:rsidR="00E968DA" w:rsidRPr="00CE6AE7">
        <w:rPr>
          <w:rFonts w:ascii="Times New Roman" w:hAnsi="Times New Roman"/>
        </w:rPr>
        <w:t>權益、健保資源合理配置及制度永續發展</w:t>
      </w:r>
      <w:r w:rsidR="00F013C7" w:rsidRPr="00CE6AE7">
        <w:rPr>
          <w:rFonts w:ascii="Times New Roman" w:hAnsi="Times New Roman"/>
        </w:rPr>
        <w:t>。</w:t>
      </w:r>
    </w:p>
    <w:p w14:paraId="0BA9272B" w14:textId="77777777" w:rsidR="00206584" w:rsidRPr="00CE6AE7" w:rsidRDefault="00206584" w:rsidP="00ED0E14">
      <w:pPr>
        <w:pStyle w:val="1"/>
        <w:tabs>
          <w:tab w:val="num" w:pos="1440"/>
        </w:tabs>
        <w:kinsoku w:val="0"/>
        <w:spacing w:beforeLines="50" w:before="228"/>
        <w:ind w:left="2381"/>
        <w:rPr>
          <w:rFonts w:ascii="Times New Roman" w:hAnsi="Times New Roman"/>
        </w:rPr>
      </w:pPr>
      <w:bookmarkStart w:id="42" w:name="_Toc182481478"/>
      <w:bookmarkEnd w:id="28"/>
      <w:r w:rsidRPr="00CE6AE7">
        <w:rPr>
          <w:rFonts w:ascii="Times New Roman" w:hAnsi="Times New Roman"/>
        </w:rPr>
        <w:t>處理辦法：</w:t>
      </w:r>
      <w:bookmarkEnd w:id="42"/>
    </w:p>
    <w:p w14:paraId="6957752F" w14:textId="649E476E" w:rsidR="00206584" w:rsidRPr="00CE6AE7" w:rsidRDefault="00206584" w:rsidP="00206584">
      <w:pPr>
        <w:pStyle w:val="2"/>
        <w:tabs>
          <w:tab w:val="num" w:pos="960"/>
        </w:tabs>
        <w:kinsoku w:val="0"/>
        <w:spacing w:line="460" w:lineRule="exact"/>
        <w:ind w:left="1020" w:hanging="680"/>
        <w:rPr>
          <w:rFonts w:ascii="Times New Roman" w:hAnsi="Times New Roman"/>
          <w:spacing w:val="-2"/>
        </w:rPr>
      </w:pPr>
      <w:bookmarkStart w:id="43" w:name="_Toc179358645"/>
      <w:bookmarkStart w:id="44" w:name="_Toc180688738"/>
      <w:bookmarkStart w:id="45" w:name="_Toc181026606"/>
      <w:bookmarkStart w:id="46" w:name="_Toc182407467"/>
      <w:bookmarkStart w:id="47" w:name="_Toc182481479"/>
      <w:r w:rsidRPr="00CE6AE7">
        <w:rPr>
          <w:rFonts w:ascii="Times New Roman" w:hAnsi="Times New Roman"/>
          <w:spacing w:val="-2"/>
        </w:rPr>
        <w:t>調查意見</w:t>
      </w:r>
      <w:r w:rsidR="00F23767" w:rsidRPr="00CE6AE7">
        <w:rPr>
          <w:rFonts w:ascii="Times New Roman" w:hAnsi="Times New Roman"/>
          <w:spacing w:val="-2"/>
        </w:rPr>
        <w:t>一</w:t>
      </w:r>
      <w:r w:rsidRPr="00CE6AE7">
        <w:rPr>
          <w:rFonts w:ascii="Times New Roman" w:hAnsi="Times New Roman"/>
          <w:spacing w:val="-2"/>
        </w:rPr>
        <w:t>，</w:t>
      </w:r>
      <w:r w:rsidR="00D81F12" w:rsidRPr="00CE6AE7">
        <w:rPr>
          <w:rFonts w:ascii="Times New Roman" w:hAnsi="Times New Roman"/>
          <w:spacing w:val="-2"/>
        </w:rPr>
        <w:t>提案</w:t>
      </w:r>
      <w:r w:rsidR="001C6043" w:rsidRPr="00CE6AE7">
        <w:rPr>
          <w:rFonts w:ascii="Times New Roman" w:hAnsi="Times New Roman"/>
          <w:spacing w:val="-2"/>
        </w:rPr>
        <w:t>糾正</w:t>
      </w:r>
      <w:r w:rsidRPr="00CE6AE7">
        <w:rPr>
          <w:rFonts w:ascii="Times New Roman" w:hAnsi="Times New Roman"/>
          <w:spacing w:val="-2"/>
        </w:rPr>
        <w:t>衛生福利部</w:t>
      </w:r>
      <w:r w:rsidR="001C6043" w:rsidRPr="00CE6AE7">
        <w:rPr>
          <w:rFonts w:ascii="Times New Roman" w:hAnsi="Times New Roman"/>
          <w:spacing w:val="-2"/>
        </w:rPr>
        <w:t>中央健康保險署</w:t>
      </w:r>
      <w:r w:rsidRPr="00CE6AE7">
        <w:rPr>
          <w:rFonts w:ascii="Times New Roman" w:hAnsi="Times New Roman"/>
          <w:spacing w:val="-2"/>
        </w:rPr>
        <w:t>。</w:t>
      </w:r>
      <w:bookmarkStart w:id="48" w:name="_Toc179358647"/>
      <w:bookmarkStart w:id="49" w:name="_Toc180688740"/>
      <w:bookmarkStart w:id="50" w:name="_Toc181026608"/>
      <w:bookmarkStart w:id="51" w:name="_Toc182407469"/>
      <w:bookmarkStart w:id="52" w:name="_Toc182481481"/>
      <w:bookmarkEnd w:id="43"/>
      <w:bookmarkEnd w:id="44"/>
      <w:bookmarkEnd w:id="45"/>
      <w:bookmarkEnd w:id="46"/>
      <w:bookmarkEnd w:id="47"/>
    </w:p>
    <w:p w14:paraId="42CD47D1" w14:textId="1AD47CB0" w:rsidR="00F23767" w:rsidRPr="00CE6AE7" w:rsidRDefault="00F23767" w:rsidP="00206584">
      <w:pPr>
        <w:pStyle w:val="2"/>
        <w:tabs>
          <w:tab w:val="num" w:pos="960"/>
        </w:tabs>
        <w:kinsoku w:val="0"/>
        <w:spacing w:line="460" w:lineRule="exact"/>
        <w:ind w:left="1020" w:hanging="680"/>
        <w:rPr>
          <w:rFonts w:ascii="Times New Roman" w:hAnsi="Times New Roman"/>
          <w:spacing w:val="-2"/>
        </w:rPr>
      </w:pPr>
      <w:r w:rsidRPr="00CE6AE7">
        <w:rPr>
          <w:rFonts w:ascii="Times New Roman" w:hAnsi="Times New Roman"/>
          <w:spacing w:val="-2"/>
        </w:rPr>
        <w:t>調查意見</w:t>
      </w:r>
      <w:r w:rsidR="007F3A0E" w:rsidRPr="00CE6AE7">
        <w:rPr>
          <w:rFonts w:ascii="Times New Roman" w:hAnsi="Times New Roman" w:hint="eastAsia"/>
          <w:spacing w:val="-2"/>
        </w:rPr>
        <w:t>一至四</w:t>
      </w:r>
      <w:r w:rsidRPr="00CE6AE7">
        <w:rPr>
          <w:rFonts w:ascii="Times New Roman" w:hAnsi="Times New Roman"/>
          <w:spacing w:val="-2"/>
        </w:rPr>
        <w:t>，</w:t>
      </w:r>
      <w:r w:rsidR="00D81F12" w:rsidRPr="00CE6AE7">
        <w:rPr>
          <w:rFonts w:ascii="Times New Roman" w:hAnsi="Times New Roman"/>
          <w:spacing w:val="-2"/>
        </w:rPr>
        <w:t>函請衛生福利部督同所屬檢討改進見復</w:t>
      </w:r>
      <w:r w:rsidRPr="00CE6AE7">
        <w:rPr>
          <w:rFonts w:ascii="Times New Roman" w:hAnsi="Times New Roman"/>
          <w:spacing w:val="-2"/>
        </w:rPr>
        <w:t>。</w:t>
      </w:r>
    </w:p>
    <w:p w14:paraId="5B378AC7" w14:textId="3A59689A" w:rsidR="00206584" w:rsidRPr="00CE6AE7" w:rsidRDefault="00206584" w:rsidP="00206584">
      <w:pPr>
        <w:pStyle w:val="2"/>
        <w:tabs>
          <w:tab w:val="num" w:pos="960"/>
        </w:tabs>
        <w:kinsoku w:val="0"/>
        <w:spacing w:line="460" w:lineRule="exact"/>
        <w:ind w:left="1020" w:hanging="680"/>
        <w:rPr>
          <w:rFonts w:ascii="Times New Roman" w:hAnsi="Times New Roman"/>
          <w:spacing w:val="-2"/>
        </w:rPr>
      </w:pPr>
      <w:r w:rsidRPr="00CE6AE7">
        <w:rPr>
          <w:rFonts w:ascii="Times New Roman" w:hAnsi="Times New Roman"/>
          <w:spacing w:val="-2"/>
        </w:rPr>
        <w:t>調查</w:t>
      </w:r>
      <w:r w:rsidR="008F6FF9" w:rsidRPr="00CE6AE7">
        <w:rPr>
          <w:rFonts w:ascii="Times New Roman" w:hAnsi="Times New Roman" w:hint="eastAsia"/>
          <w:spacing w:val="-2"/>
        </w:rPr>
        <w:t>報告</w:t>
      </w:r>
      <w:r w:rsidRPr="00CE6AE7">
        <w:rPr>
          <w:rFonts w:ascii="Times New Roman" w:hAnsi="Times New Roman"/>
          <w:spacing w:val="-2"/>
        </w:rPr>
        <w:t>，經委員會討論通過、遮隱個資後上網公布。</w:t>
      </w:r>
      <w:bookmarkEnd w:id="48"/>
      <w:bookmarkEnd w:id="49"/>
      <w:bookmarkEnd w:id="50"/>
      <w:bookmarkEnd w:id="51"/>
      <w:bookmarkEnd w:id="52"/>
    </w:p>
    <w:p w14:paraId="10C9B84C" w14:textId="0733C192" w:rsidR="00206584" w:rsidRPr="00CE6AE7" w:rsidRDefault="00206584" w:rsidP="00206584">
      <w:pPr>
        <w:pStyle w:val="ab"/>
        <w:kinsoku w:val="0"/>
        <w:spacing w:beforeLines="50" w:before="228" w:afterLines="100" w:after="457"/>
        <w:ind w:leftChars="1100" w:left="4630" w:right="340" w:hanging="888"/>
        <w:rPr>
          <w:rFonts w:ascii="Times New Roman"/>
          <w:b/>
          <w:spacing w:val="12"/>
          <w:kern w:val="0"/>
          <w:sz w:val="40"/>
        </w:rPr>
      </w:pPr>
      <w:r w:rsidRPr="00CE6AE7">
        <w:rPr>
          <w:rFonts w:ascii="Times New Roman"/>
          <w:spacing w:val="12"/>
          <w:kern w:val="0"/>
          <w:sz w:val="40"/>
        </w:rPr>
        <w:t>調查委員：</w:t>
      </w:r>
      <w:r w:rsidR="00B52314" w:rsidRPr="00B52314">
        <w:rPr>
          <w:rFonts w:ascii="Times New Roman" w:hint="eastAsia"/>
          <w:spacing w:val="12"/>
          <w:kern w:val="0"/>
          <w:sz w:val="40"/>
        </w:rPr>
        <w:t>蕭自佑、賴鼎銘</w:t>
      </w:r>
    </w:p>
    <w:sectPr w:rsidR="00206584" w:rsidRPr="00CE6AE7" w:rsidSect="008A6978">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29DB0" w14:textId="77777777" w:rsidR="00BF4A8F" w:rsidRDefault="00BF4A8F">
      <w:r>
        <w:separator/>
      </w:r>
    </w:p>
  </w:endnote>
  <w:endnote w:type="continuationSeparator" w:id="0">
    <w:p w14:paraId="63FBF808" w14:textId="77777777" w:rsidR="00BF4A8F" w:rsidRDefault="00BF4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C7590" w14:textId="77777777" w:rsidR="00BF4A8F" w:rsidRDefault="00BF4A8F">
      <w:r>
        <w:separator/>
      </w:r>
    </w:p>
  </w:footnote>
  <w:footnote w:type="continuationSeparator" w:id="0">
    <w:p w14:paraId="1E413C87" w14:textId="77777777" w:rsidR="00BF4A8F" w:rsidRDefault="00BF4A8F">
      <w:r>
        <w:continuationSeparator/>
      </w:r>
    </w:p>
  </w:footnote>
  <w:footnote w:id="1">
    <w:p w14:paraId="079D3F7D" w14:textId="77777777" w:rsidR="003C4813" w:rsidRPr="00FD4DA5" w:rsidRDefault="003C4813" w:rsidP="00E13341">
      <w:pPr>
        <w:pStyle w:val="aff4"/>
        <w:wordWrap w:val="0"/>
        <w:jc w:val="both"/>
        <w:rPr>
          <w:rFonts w:ascii="Times New Roman"/>
        </w:rPr>
      </w:pPr>
      <w:r w:rsidRPr="00FD4DA5">
        <w:rPr>
          <w:rStyle w:val="aff6"/>
          <w:rFonts w:ascii="Times New Roman"/>
        </w:rPr>
        <w:footnoteRef/>
      </w:r>
      <w:r w:rsidRPr="00FD4DA5">
        <w:rPr>
          <w:rFonts w:ascii="Times New Roman"/>
        </w:rPr>
        <w:t>依藥事法第</w:t>
      </w:r>
      <w:r w:rsidRPr="00FD4DA5">
        <w:rPr>
          <w:rFonts w:ascii="Times New Roman"/>
        </w:rPr>
        <w:t>4</w:t>
      </w:r>
      <w:r w:rsidRPr="00FD4DA5">
        <w:rPr>
          <w:rFonts w:ascii="Times New Roman"/>
        </w:rPr>
        <w:t>條規定，藥物係指藥品及醫療器材。</w:t>
      </w:r>
    </w:p>
  </w:footnote>
  <w:footnote w:id="2">
    <w:p w14:paraId="369945D3" w14:textId="77777777" w:rsidR="003C4813" w:rsidRPr="00FD4DA5" w:rsidRDefault="003C4813" w:rsidP="00E13341">
      <w:pPr>
        <w:pStyle w:val="aff4"/>
        <w:wordWrap w:val="0"/>
        <w:jc w:val="both"/>
        <w:rPr>
          <w:rFonts w:ascii="Times New Roman"/>
        </w:rPr>
      </w:pPr>
      <w:r w:rsidRPr="00FD4DA5">
        <w:rPr>
          <w:rStyle w:val="aff6"/>
          <w:rFonts w:ascii="Times New Roman"/>
        </w:rPr>
        <w:footnoteRef/>
      </w:r>
      <w:r w:rsidRPr="00FD4DA5">
        <w:rPr>
          <w:rFonts w:ascii="Times New Roman"/>
        </w:rPr>
        <w:t>衛福部</w:t>
      </w:r>
      <w:r w:rsidRPr="00FD4DA5">
        <w:rPr>
          <w:rFonts w:ascii="Times New Roman"/>
        </w:rPr>
        <w:t>115</w:t>
      </w:r>
      <w:r w:rsidRPr="00FD4DA5">
        <w:rPr>
          <w:rFonts w:ascii="Times New Roman"/>
        </w:rPr>
        <w:t>年</w:t>
      </w:r>
      <w:r w:rsidRPr="00FD4DA5">
        <w:rPr>
          <w:rFonts w:ascii="Times New Roman"/>
        </w:rPr>
        <w:t>1</w:t>
      </w:r>
      <w:r w:rsidRPr="00FD4DA5">
        <w:rPr>
          <w:rFonts w:ascii="Times New Roman"/>
        </w:rPr>
        <w:t>月</w:t>
      </w:r>
      <w:r w:rsidRPr="00FD4DA5">
        <w:rPr>
          <w:rFonts w:ascii="Times New Roman"/>
        </w:rPr>
        <w:t>23</w:t>
      </w:r>
      <w:r w:rsidRPr="00FD4DA5">
        <w:rPr>
          <w:rFonts w:ascii="Times New Roman"/>
        </w:rPr>
        <w:t>日衛授保字第</w:t>
      </w:r>
      <w:r w:rsidRPr="00FD4DA5">
        <w:rPr>
          <w:rFonts w:ascii="Times New Roman"/>
        </w:rPr>
        <w:t>1150100603</w:t>
      </w:r>
      <w:r w:rsidRPr="00FD4DA5">
        <w:rPr>
          <w:rFonts w:ascii="Times New Roman"/>
        </w:rPr>
        <w:t>號函。</w:t>
      </w:r>
    </w:p>
  </w:footnote>
  <w:footnote w:id="3">
    <w:p w14:paraId="49F7241E" w14:textId="77777777" w:rsidR="00171F38" w:rsidRPr="00FD4DA5" w:rsidRDefault="00171F38" w:rsidP="00171F38">
      <w:pPr>
        <w:pStyle w:val="aff4"/>
        <w:wordWrap w:val="0"/>
        <w:jc w:val="both"/>
        <w:rPr>
          <w:rFonts w:ascii="Times New Roman"/>
        </w:rPr>
      </w:pPr>
      <w:r w:rsidRPr="00FD4DA5">
        <w:rPr>
          <w:rStyle w:val="aff6"/>
          <w:rFonts w:ascii="Times New Roman"/>
        </w:rPr>
        <w:footnoteRef/>
      </w:r>
      <w:r w:rsidRPr="00FD4DA5">
        <w:rPr>
          <w:rFonts w:ascii="Times New Roman"/>
        </w:rPr>
        <w:t>49</w:t>
      </w:r>
      <w:r w:rsidRPr="00FD4DA5">
        <w:rPr>
          <w:rFonts w:ascii="Times New Roman"/>
        </w:rPr>
        <w:t>年</w:t>
      </w:r>
      <w:r w:rsidRPr="00FD4DA5">
        <w:rPr>
          <w:rFonts w:ascii="Times New Roman"/>
        </w:rPr>
        <w:t>4</w:t>
      </w:r>
      <w:r w:rsidRPr="00FD4DA5">
        <w:rPr>
          <w:rFonts w:ascii="Times New Roman"/>
        </w:rPr>
        <w:t>月</w:t>
      </w:r>
      <w:r w:rsidRPr="00FD4DA5">
        <w:rPr>
          <w:rFonts w:ascii="Times New Roman"/>
        </w:rPr>
        <w:t>16</w:t>
      </w:r>
      <w:r w:rsidRPr="00FD4DA5">
        <w:rPr>
          <w:rFonts w:ascii="Times New Roman"/>
        </w:rPr>
        <w:t>日成立臺灣省勞工保險局，</w:t>
      </w:r>
      <w:r w:rsidRPr="00FD4DA5">
        <w:rPr>
          <w:rFonts w:ascii="Times New Roman"/>
        </w:rPr>
        <w:t>59</w:t>
      </w:r>
      <w:r w:rsidRPr="00FD4DA5">
        <w:rPr>
          <w:rFonts w:ascii="Times New Roman"/>
        </w:rPr>
        <w:t>年更名為臺閩地區勞工保險局，</w:t>
      </w:r>
      <w:r w:rsidRPr="00FD4DA5">
        <w:rPr>
          <w:rFonts w:ascii="Times New Roman"/>
        </w:rPr>
        <w:t>85</w:t>
      </w:r>
      <w:r w:rsidRPr="00FD4DA5">
        <w:rPr>
          <w:rFonts w:ascii="Times New Roman"/>
        </w:rPr>
        <w:t>年</w:t>
      </w:r>
      <w:r w:rsidRPr="00FD4DA5">
        <w:rPr>
          <w:rFonts w:ascii="Times New Roman"/>
        </w:rPr>
        <w:t>7</w:t>
      </w:r>
      <w:r w:rsidRPr="00FD4DA5">
        <w:rPr>
          <w:rFonts w:ascii="Times New Roman"/>
        </w:rPr>
        <w:t>月</w:t>
      </w:r>
      <w:r w:rsidRPr="00FD4DA5">
        <w:rPr>
          <w:rFonts w:ascii="Times New Roman"/>
        </w:rPr>
        <w:t>1</w:t>
      </w:r>
      <w:r w:rsidRPr="00FD4DA5">
        <w:rPr>
          <w:rFonts w:ascii="Times New Roman"/>
        </w:rPr>
        <w:t>日更名為勞工保險局，</w:t>
      </w:r>
      <w:r w:rsidRPr="00FD4DA5">
        <w:rPr>
          <w:rFonts w:ascii="Times New Roman"/>
        </w:rPr>
        <w:t>103</w:t>
      </w:r>
      <w:r w:rsidRPr="00FD4DA5">
        <w:rPr>
          <w:rFonts w:ascii="Times New Roman"/>
        </w:rPr>
        <w:t>年</w:t>
      </w:r>
      <w:r w:rsidRPr="00FD4DA5">
        <w:rPr>
          <w:rFonts w:ascii="Times New Roman"/>
        </w:rPr>
        <w:t>1</w:t>
      </w:r>
      <w:r w:rsidRPr="00FD4DA5">
        <w:rPr>
          <w:rFonts w:ascii="Times New Roman"/>
        </w:rPr>
        <w:t>月</w:t>
      </w:r>
      <w:r w:rsidRPr="00FD4DA5">
        <w:rPr>
          <w:rFonts w:ascii="Times New Roman"/>
        </w:rPr>
        <w:t>9</w:t>
      </w:r>
      <w:r w:rsidRPr="00FD4DA5">
        <w:rPr>
          <w:rFonts w:ascii="Times New Roman"/>
        </w:rPr>
        <w:t>日更名為勞動部勞工保險局，下同。</w:t>
      </w:r>
    </w:p>
  </w:footnote>
  <w:footnote w:id="4">
    <w:p w14:paraId="311877F6" w14:textId="77777777" w:rsidR="003C4813" w:rsidRPr="00FD4DA5" w:rsidRDefault="003C4813" w:rsidP="00E13341">
      <w:pPr>
        <w:pStyle w:val="aff4"/>
        <w:wordWrap w:val="0"/>
        <w:jc w:val="both"/>
        <w:rPr>
          <w:rFonts w:ascii="Times New Roman"/>
        </w:rPr>
      </w:pPr>
      <w:r w:rsidRPr="00FD4DA5">
        <w:rPr>
          <w:rStyle w:val="aff6"/>
          <w:rFonts w:ascii="Times New Roman"/>
        </w:rPr>
        <w:footnoteRef/>
      </w:r>
      <w:r w:rsidRPr="00FD4DA5">
        <w:rPr>
          <w:rFonts w:ascii="Times New Roman"/>
        </w:rPr>
        <w:t>審計部</w:t>
      </w:r>
      <w:r w:rsidRPr="00FD4DA5">
        <w:rPr>
          <w:rFonts w:ascii="Times New Roman"/>
        </w:rPr>
        <w:t>115</w:t>
      </w:r>
      <w:r w:rsidRPr="00FD4DA5">
        <w:rPr>
          <w:rFonts w:ascii="Times New Roman"/>
        </w:rPr>
        <w:t>年</w:t>
      </w:r>
      <w:r w:rsidRPr="00FD4DA5">
        <w:rPr>
          <w:rFonts w:ascii="Times New Roman"/>
        </w:rPr>
        <w:t>3</w:t>
      </w:r>
      <w:r w:rsidRPr="00FD4DA5">
        <w:rPr>
          <w:rFonts w:ascii="Times New Roman"/>
        </w:rPr>
        <w:t>月</w:t>
      </w:r>
      <w:r w:rsidRPr="00FD4DA5">
        <w:rPr>
          <w:rFonts w:ascii="Times New Roman"/>
        </w:rPr>
        <w:t>23</w:t>
      </w:r>
      <w:r w:rsidRPr="00FD4DA5">
        <w:rPr>
          <w:rFonts w:ascii="Times New Roman"/>
        </w:rPr>
        <w:t>日台審部三字第</w:t>
      </w:r>
      <w:r w:rsidRPr="00FD4DA5">
        <w:rPr>
          <w:rFonts w:ascii="Times New Roman"/>
        </w:rPr>
        <w:t>1150011247</w:t>
      </w:r>
      <w:r w:rsidRPr="00FD4DA5">
        <w:rPr>
          <w:rFonts w:ascii="Times New Roman"/>
        </w:rPr>
        <w:t>號函、衛福部</w:t>
      </w:r>
      <w:r w:rsidRPr="00FD4DA5">
        <w:rPr>
          <w:rFonts w:ascii="Times New Roman"/>
        </w:rPr>
        <w:t>115</w:t>
      </w:r>
      <w:r w:rsidRPr="00FD4DA5">
        <w:rPr>
          <w:rFonts w:ascii="Times New Roman"/>
        </w:rPr>
        <w:t>年</w:t>
      </w:r>
      <w:r w:rsidRPr="00FD4DA5">
        <w:rPr>
          <w:rFonts w:ascii="Times New Roman"/>
        </w:rPr>
        <w:t>4</w:t>
      </w:r>
      <w:r w:rsidRPr="00FD4DA5">
        <w:rPr>
          <w:rFonts w:ascii="Times New Roman"/>
        </w:rPr>
        <w:t>月</w:t>
      </w:r>
      <w:r w:rsidRPr="00FD4DA5">
        <w:rPr>
          <w:rFonts w:ascii="Times New Roman"/>
        </w:rPr>
        <w:t>17</w:t>
      </w:r>
      <w:r w:rsidRPr="00FD4DA5">
        <w:rPr>
          <w:rFonts w:ascii="Times New Roman"/>
        </w:rPr>
        <w:t>日衛授保字第</w:t>
      </w:r>
      <w:r w:rsidRPr="00FD4DA5">
        <w:rPr>
          <w:rFonts w:ascii="Times New Roman"/>
        </w:rPr>
        <w:t>1150104774</w:t>
      </w:r>
      <w:r w:rsidRPr="00FD4DA5">
        <w:rPr>
          <w:rFonts w:ascii="Times New Roman"/>
        </w:rPr>
        <w:t>號函及該部同年月</w:t>
      </w:r>
      <w:r w:rsidRPr="00FD4DA5">
        <w:rPr>
          <w:rFonts w:ascii="Times New Roman"/>
        </w:rPr>
        <w:t>21</w:t>
      </w:r>
      <w:r w:rsidRPr="00FD4DA5">
        <w:rPr>
          <w:rFonts w:ascii="Times New Roman"/>
        </w:rPr>
        <w:t>日同字第</w:t>
      </w:r>
      <w:r w:rsidRPr="00FD4DA5">
        <w:rPr>
          <w:rFonts w:ascii="Times New Roman"/>
        </w:rPr>
        <w:t>1150680853</w:t>
      </w:r>
      <w:r w:rsidRPr="00FD4DA5">
        <w:rPr>
          <w:rFonts w:ascii="Times New Roman"/>
        </w:rPr>
        <w:t>號函。</w:t>
      </w:r>
    </w:p>
  </w:footnote>
  <w:footnote w:id="5">
    <w:p w14:paraId="12BED6B6" w14:textId="77777777" w:rsidR="003C4813" w:rsidRPr="00FD4DA5" w:rsidRDefault="003C4813" w:rsidP="00E13341">
      <w:pPr>
        <w:pStyle w:val="aff4"/>
        <w:wordWrap w:val="0"/>
        <w:jc w:val="both"/>
        <w:rPr>
          <w:rFonts w:ascii="Times New Roman"/>
        </w:rPr>
      </w:pPr>
      <w:r w:rsidRPr="00FD4DA5">
        <w:rPr>
          <w:rStyle w:val="aff6"/>
          <w:rFonts w:ascii="Times New Roman"/>
        </w:rPr>
        <w:footnoteRef/>
      </w:r>
      <w:r w:rsidRPr="00FD4DA5">
        <w:rPr>
          <w:rFonts w:ascii="Times New Roman"/>
        </w:rPr>
        <w:t>衛福部</w:t>
      </w:r>
      <w:r w:rsidRPr="00FD4DA5">
        <w:rPr>
          <w:rFonts w:ascii="Times New Roman"/>
        </w:rPr>
        <w:t>115</w:t>
      </w:r>
      <w:r w:rsidRPr="00FD4DA5">
        <w:rPr>
          <w:rFonts w:ascii="Times New Roman"/>
        </w:rPr>
        <w:t>年</w:t>
      </w:r>
      <w:r w:rsidRPr="00FD4DA5">
        <w:rPr>
          <w:rFonts w:ascii="Times New Roman"/>
        </w:rPr>
        <w:t>4</w:t>
      </w:r>
      <w:r w:rsidRPr="00FD4DA5">
        <w:rPr>
          <w:rFonts w:ascii="Times New Roman"/>
        </w:rPr>
        <w:t>月</w:t>
      </w:r>
      <w:r w:rsidRPr="00FD4DA5">
        <w:rPr>
          <w:rFonts w:ascii="Times New Roman"/>
        </w:rPr>
        <w:t>24</w:t>
      </w:r>
      <w:r w:rsidRPr="00FD4DA5">
        <w:rPr>
          <w:rFonts w:ascii="Times New Roman"/>
        </w:rPr>
        <w:t>日衛授保字第</w:t>
      </w:r>
      <w:r w:rsidRPr="00FD4DA5">
        <w:rPr>
          <w:rFonts w:ascii="Times New Roman"/>
        </w:rPr>
        <w:t>1150680917</w:t>
      </w:r>
      <w:r w:rsidRPr="00FD4DA5">
        <w:rPr>
          <w:rFonts w:ascii="Times New Roman"/>
        </w:rPr>
        <w:t>號函。</w:t>
      </w:r>
    </w:p>
  </w:footnote>
  <w:footnote w:id="6">
    <w:p w14:paraId="3E3FBC64" w14:textId="77777777" w:rsidR="003C4813" w:rsidRPr="00FD4DA5" w:rsidRDefault="003C4813" w:rsidP="00E13341">
      <w:pPr>
        <w:pStyle w:val="aff4"/>
        <w:wordWrap w:val="0"/>
        <w:jc w:val="both"/>
        <w:rPr>
          <w:rFonts w:ascii="Times New Roman"/>
        </w:rPr>
      </w:pPr>
      <w:r w:rsidRPr="00FD4DA5">
        <w:rPr>
          <w:rStyle w:val="aff6"/>
          <w:rFonts w:ascii="Times New Roman"/>
        </w:rPr>
        <w:footnoteRef/>
      </w:r>
      <w:r w:rsidRPr="00FD4DA5">
        <w:rPr>
          <w:rFonts w:ascii="Times New Roman"/>
        </w:rPr>
        <w:t>衛福部</w:t>
      </w:r>
      <w:r w:rsidRPr="00FD4DA5">
        <w:rPr>
          <w:rFonts w:ascii="Times New Roman"/>
        </w:rPr>
        <w:t>115</w:t>
      </w:r>
      <w:r w:rsidRPr="00FD4DA5">
        <w:rPr>
          <w:rFonts w:ascii="Times New Roman"/>
        </w:rPr>
        <w:t>年</w:t>
      </w:r>
      <w:r w:rsidRPr="00FD4DA5">
        <w:rPr>
          <w:rFonts w:ascii="Times New Roman"/>
        </w:rPr>
        <w:t>5</w:t>
      </w:r>
      <w:r w:rsidRPr="00FD4DA5">
        <w:rPr>
          <w:rFonts w:ascii="Times New Roman"/>
        </w:rPr>
        <w:t>月</w:t>
      </w:r>
      <w:r w:rsidRPr="00FD4DA5">
        <w:rPr>
          <w:rFonts w:ascii="Times New Roman"/>
        </w:rPr>
        <w:t>27</w:t>
      </w:r>
      <w:r w:rsidRPr="00FD4DA5">
        <w:rPr>
          <w:rFonts w:ascii="Times New Roman"/>
        </w:rPr>
        <w:t>日衛授保字第</w:t>
      </w:r>
      <w:r w:rsidRPr="00FD4DA5">
        <w:rPr>
          <w:rFonts w:ascii="Times New Roman"/>
        </w:rPr>
        <w:t>1150681111</w:t>
      </w:r>
      <w:r w:rsidRPr="00FD4DA5">
        <w:rPr>
          <w:rFonts w:ascii="Times New Roman"/>
        </w:rPr>
        <w:t>號函。</w:t>
      </w:r>
    </w:p>
  </w:footnote>
  <w:footnote w:id="7">
    <w:p w14:paraId="2E2B0B9D" w14:textId="77777777" w:rsidR="003C4813" w:rsidRPr="00FD4DA5" w:rsidRDefault="003C4813" w:rsidP="00E13341">
      <w:pPr>
        <w:pStyle w:val="aff4"/>
        <w:wordWrap w:val="0"/>
        <w:jc w:val="both"/>
        <w:rPr>
          <w:rFonts w:ascii="Times New Roman"/>
        </w:rPr>
      </w:pPr>
      <w:r w:rsidRPr="00FD4DA5">
        <w:rPr>
          <w:rStyle w:val="aff6"/>
          <w:rFonts w:ascii="Times New Roman"/>
        </w:rPr>
        <w:footnoteRef/>
      </w:r>
      <w:r w:rsidRPr="00FD4DA5">
        <w:rPr>
          <w:rFonts w:ascii="Times New Roman"/>
        </w:rPr>
        <w:t>健保署承辦人</w:t>
      </w:r>
      <w:r w:rsidRPr="00FD4DA5">
        <w:rPr>
          <w:rFonts w:ascii="Times New Roman"/>
          <w:spacing w:val="-6"/>
        </w:rPr>
        <w:t>115</w:t>
      </w:r>
      <w:r w:rsidRPr="00FD4DA5">
        <w:rPr>
          <w:rFonts w:ascii="Times New Roman"/>
          <w:spacing w:val="-6"/>
        </w:rPr>
        <w:t>年</w:t>
      </w:r>
      <w:r w:rsidRPr="00FD4DA5">
        <w:rPr>
          <w:rFonts w:ascii="Times New Roman"/>
          <w:spacing w:val="-6"/>
        </w:rPr>
        <w:t>6</w:t>
      </w:r>
      <w:r w:rsidRPr="00FD4DA5">
        <w:rPr>
          <w:rFonts w:ascii="Times New Roman"/>
          <w:spacing w:val="-6"/>
        </w:rPr>
        <w:t>月</w:t>
      </w:r>
      <w:r w:rsidRPr="00FD4DA5">
        <w:rPr>
          <w:rFonts w:ascii="Times New Roman"/>
          <w:spacing w:val="-6"/>
        </w:rPr>
        <w:t>9</w:t>
      </w:r>
      <w:r w:rsidRPr="00FD4DA5">
        <w:rPr>
          <w:rFonts w:ascii="Times New Roman"/>
          <w:spacing w:val="-6"/>
        </w:rPr>
        <w:t>日電子郵件寄送、</w:t>
      </w:r>
      <w:r w:rsidRPr="00FD4DA5">
        <w:rPr>
          <w:rFonts w:ascii="Times New Roman"/>
        </w:rPr>
        <w:t>國健署</w:t>
      </w:r>
      <w:r w:rsidRPr="00FD4DA5">
        <w:rPr>
          <w:rFonts w:ascii="Times New Roman"/>
        </w:rPr>
        <w:t>115</w:t>
      </w:r>
      <w:r w:rsidRPr="00FD4DA5">
        <w:rPr>
          <w:rFonts w:ascii="Times New Roman"/>
        </w:rPr>
        <w:t>年</w:t>
      </w:r>
      <w:r w:rsidRPr="00FD4DA5">
        <w:rPr>
          <w:rFonts w:ascii="Times New Roman"/>
        </w:rPr>
        <w:t>6</w:t>
      </w:r>
      <w:r w:rsidRPr="00FD4DA5">
        <w:rPr>
          <w:rFonts w:ascii="Times New Roman"/>
        </w:rPr>
        <w:t>月</w:t>
      </w:r>
      <w:r w:rsidRPr="00FD4DA5">
        <w:rPr>
          <w:rFonts w:ascii="Times New Roman"/>
        </w:rPr>
        <w:t>11</w:t>
      </w:r>
      <w:r w:rsidRPr="00FD4DA5">
        <w:rPr>
          <w:rFonts w:ascii="Times New Roman"/>
        </w:rPr>
        <w:t>日國健婦字第</w:t>
      </w:r>
      <w:r w:rsidRPr="00FD4DA5">
        <w:rPr>
          <w:rFonts w:ascii="Times New Roman"/>
        </w:rPr>
        <w:t>1150105011</w:t>
      </w:r>
      <w:r w:rsidRPr="00FD4DA5">
        <w:rPr>
          <w:rFonts w:ascii="Times New Roman"/>
        </w:rPr>
        <w:t>號函。</w:t>
      </w:r>
    </w:p>
  </w:footnote>
  <w:footnote w:id="8">
    <w:p w14:paraId="1D831BAA" w14:textId="10AB59D8" w:rsidR="00674AA9" w:rsidRPr="00FD4DA5" w:rsidRDefault="00674AA9" w:rsidP="00E13341">
      <w:pPr>
        <w:pStyle w:val="aff4"/>
        <w:wordWrap w:val="0"/>
        <w:jc w:val="both"/>
        <w:rPr>
          <w:rFonts w:ascii="Times New Roman"/>
        </w:rPr>
      </w:pPr>
      <w:r w:rsidRPr="00FD4DA5">
        <w:rPr>
          <w:rStyle w:val="aff6"/>
          <w:rFonts w:ascii="Times New Roman"/>
        </w:rPr>
        <w:footnoteRef/>
      </w:r>
      <w:r w:rsidRPr="00FD4DA5">
        <w:rPr>
          <w:rFonts w:ascii="Times New Roman"/>
        </w:rPr>
        <w:t>行政院衛生署中央健康保險局於</w:t>
      </w:r>
      <w:r w:rsidRPr="00FD4DA5">
        <w:rPr>
          <w:rFonts w:ascii="Times New Roman"/>
        </w:rPr>
        <w:t>102</w:t>
      </w:r>
      <w:r w:rsidRPr="00FD4DA5">
        <w:rPr>
          <w:rFonts w:ascii="Times New Roman"/>
        </w:rPr>
        <w:t>年</w:t>
      </w:r>
      <w:r w:rsidRPr="00FD4DA5">
        <w:rPr>
          <w:rFonts w:ascii="Times New Roman"/>
        </w:rPr>
        <w:t>7</w:t>
      </w:r>
      <w:r w:rsidRPr="00FD4DA5">
        <w:rPr>
          <w:rFonts w:ascii="Times New Roman"/>
        </w:rPr>
        <w:t>月</w:t>
      </w:r>
      <w:r w:rsidRPr="00FD4DA5">
        <w:rPr>
          <w:rFonts w:ascii="Times New Roman"/>
        </w:rPr>
        <w:t>23</w:t>
      </w:r>
      <w:r w:rsidRPr="00FD4DA5">
        <w:rPr>
          <w:rFonts w:ascii="Times New Roman"/>
        </w:rPr>
        <w:t>日改制為健保署，下同。</w:t>
      </w:r>
    </w:p>
  </w:footnote>
  <w:footnote w:id="9">
    <w:p w14:paraId="32D54073" w14:textId="5F3FC037" w:rsidR="009B4A77" w:rsidRPr="00FD4DA5" w:rsidRDefault="009B4A77" w:rsidP="009B4A77">
      <w:pPr>
        <w:pStyle w:val="aff4"/>
        <w:wordWrap w:val="0"/>
        <w:jc w:val="both"/>
        <w:rPr>
          <w:rFonts w:ascii="Times New Roman"/>
        </w:rPr>
      </w:pPr>
      <w:r w:rsidRPr="00FD4DA5">
        <w:rPr>
          <w:rStyle w:val="aff6"/>
          <w:rFonts w:ascii="Times New Roman"/>
        </w:rPr>
        <w:footnoteRef/>
      </w:r>
      <w:r w:rsidRPr="00FD4DA5">
        <w:rPr>
          <w:rFonts w:ascii="Times New Roman"/>
        </w:rPr>
        <w:t>行政院勞工委員會已於</w:t>
      </w:r>
      <w:r w:rsidRPr="00FD4DA5">
        <w:rPr>
          <w:rFonts w:ascii="Times New Roman"/>
        </w:rPr>
        <w:t>103</w:t>
      </w:r>
      <w:r w:rsidRPr="00FD4DA5">
        <w:rPr>
          <w:rFonts w:ascii="Times New Roman"/>
        </w:rPr>
        <w:t>年</w:t>
      </w:r>
      <w:r w:rsidRPr="00FD4DA5">
        <w:rPr>
          <w:rFonts w:ascii="Times New Roman"/>
        </w:rPr>
        <w:t>2</w:t>
      </w:r>
      <w:r w:rsidRPr="00FD4DA5">
        <w:rPr>
          <w:rFonts w:ascii="Times New Roman"/>
        </w:rPr>
        <w:t>月</w:t>
      </w:r>
      <w:r w:rsidRPr="00FD4DA5">
        <w:rPr>
          <w:rFonts w:ascii="Times New Roman"/>
        </w:rPr>
        <w:t>17</w:t>
      </w:r>
      <w:r w:rsidRPr="00FD4DA5">
        <w:rPr>
          <w:rFonts w:ascii="Times New Roman"/>
        </w:rPr>
        <w:t>日改制為勞動部，下同。</w:t>
      </w:r>
    </w:p>
  </w:footnote>
  <w:footnote w:id="10">
    <w:p w14:paraId="65482EB6" w14:textId="3051F214" w:rsidR="004B2D51" w:rsidRPr="004B2D51" w:rsidRDefault="004B2D51">
      <w:pPr>
        <w:pStyle w:val="aff4"/>
        <w:rPr>
          <w:b/>
          <w:bCs/>
        </w:rPr>
      </w:pPr>
      <w:r>
        <w:rPr>
          <w:rStyle w:val="aff6"/>
        </w:rPr>
        <w:footnoteRef/>
      </w:r>
      <w:r w:rsidRPr="00FD4DA5">
        <w:rPr>
          <w:rFonts w:ascii="Times New Roman"/>
        </w:rPr>
        <w:t>行政院衛生署於</w:t>
      </w:r>
      <w:r w:rsidRPr="00FD4DA5">
        <w:rPr>
          <w:rFonts w:ascii="Times New Roman"/>
        </w:rPr>
        <w:t>102</w:t>
      </w:r>
      <w:r w:rsidRPr="00FD4DA5">
        <w:rPr>
          <w:rFonts w:ascii="Times New Roman"/>
        </w:rPr>
        <w:t>年</w:t>
      </w:r>
      <w:r w:rsidRPr="00FD4DA5">
        <w:rPr>
          <w:rFonts w:ascii="Times New Roman"/>
        </w:rPr>
        <w:t>7</w:t>
      </w:r>
      <w:r w:rsidRPr="00FD4DA5">
        <w:rPr>
          <w:rFonts w:ascii="Times New Roman"/>
        </w:rPr>
        <w:t>月</w:t>
      </w:r>
      <w:r w:rsidRPr="00FD4DA5">
        <w:rPr>
          <w:rFonts w:ascii="Times New Roman"/>
        </w:rPr>
        <w:t>23</w:t>
      </w:r>
      <w:r w:rsidRPr="00FD4DA5">
        <w:rPr>
          <w:rFonts w:ascii="Times New Roman"/>
        </w:rPr>
        <w:t>日改制為</w:t>
      </w:r>
      <w:r>
        <w:rPr>
          <w:rFonts w:ascii="Times New Roman" w:hint="eastAsia"/>
        </w:rPr>
        <w:t>衛福部</w:t>
      </w:r>
      <w:r w:rsidRPr="00FD4DA5">
        <w:rPr>
          <w:rFonts w:ascii="Times New Roman"/>
        </w:rPr>
        <w:t>，下同。</w:t>
      </w:r>
    </w:p>
  </w:footnote>
  <w:footnote w:id="11">
    <w:p w14:paraId="3EDDB8B8" w14:textId="77777777" w:rsidR="001C6043" w:rsidRPr="00FD4DA5" w:rsidRDefault="001C6043" w:rsidP="00E13341">
      <w:pPr>
        <w:pStyle w:val="aff4"/>
        <w:wordWrap w:val="0"/>
        <w:jc w:val="both"/>
        <w:rPr>
          <w:rFonts w:ascii="Times New Roman"/>
        </w:rPr>
      </w:pPr>
      <w:r w:rsidRPr="00FD4DA5">
        <w:rPr>
          <w:rStyle w:val="aff6"/>
          <w:rFonts w:ascii="Times New Roman"/>
        </w:rPr>
        <w:footnoteRef/>
      </w:r>
      <w:r w:rsidRPr="00FD4DA5">
        <w:rPr>
          <w:rFonts w:ascii="Times New Roman"/>
        </w:rPr>
        <w:t>World Health Organization. (2010). </w:t>
      </w:r>
      <w:r w:rsidRPr="00FD4DA5">
        <w:rPr>
          <w:rFonts w:ascii="Times New Roman"/>
          <w:i/>
          <w:iCs/>
        </w:rPr>
        <w:t>Monitoring the building blocks of health systems: a handbook of indicators and their measurement strategies</w:t>
      </w:r>
      <w:r w:rsidRPr="00FD4DA5">
        <w:rPr>
          <w:rFonts w:ascii="Times New Roman"/>
        </w:rPr>
        <w:t>. World Health Organization.</w:t>
      </w:r>
    </w:p>
  </w:footnote>
  <w:footnote w:id="12">
    <w:p w14:paraId="5B0450D2" w14:textId="77777777" w:rsidR="001C6043" w:rsidRPr="00FD4DA5" w:rsidRDefault="001C6043" w:rsidP="00E13341">
      <w:pPr>
        <w:pStyle w:val="aff4"/>
        <w:wordWrap w:val="0"/>
        <w:jc w:val="both"/>
        <w:rPr>
          <w:rFonts w:ascii="Times New Roman"/>
        </w:rPr>
      </w:pPr>
      <w:r w:rsidRPr="00FD4DA5">
        <w:rPr>
          <w:rStyle w:val="aff6"/>
          <w:rFonts w:ascii="Times New Roman"/>
        </w:rPr>
        <w:footnoteRef/>
      </w:r>
      <w:r w:rsidRPr="00FD4DA5">
        <w:rPr>
          <w:rFonts w:ascii="Times New Roman"/>
        </w:rPr>
        <w:t>Porter, M. E. (2010). What is value in health care?. </w:t>
      </w:r>
      <w:r w:rsidRPr="00FD4DA5">
        <w:rPr>
          <w:rFonts w:ascii="Times New Roman"/>
          <w:i/>
          <w:iCs/>
        </w:rPr>
        <w:t>New England Journal of Medicine</w:t>
      </w:r>
      <w:r w:rsidRPr="00FD4DA5">
        <w:rPr>
          <w:rFonts w:ascii="Times New Roman"/>
        </w:rPr>
        <w:t>, </w:t>
      </w:r>
      <w:r w:rsidRPr="00FD4DA5">
        <w:rPr>
          <w:rFonts w:ascii="Times New Roman"/>
          <w:i/>
          <w:iCs/>
        </w:rPr>
        <w:t>363</w:t>
      </w:r>
      <w:r w:rsidRPr="00FD4DA5">
        <w:rPr>
          <w:rFonts w:ascii="Times New Roman"/>
        </w:rPr>
        <w:t>(26), 2477-2481.</w:t>
      </w:r>
    </w:p>
  </w:footnote>
  <w:footnote w:id="13">
    <w:p w14:paraId="4AF52BEB" w14:textId="3305F295" w:rsidR="008325EE" w:rsidRPr="00FD4DA5" w:rsidRDefault="008325EE" w:rsidP="00E13341">
      <w:pPr>
        <w:pStyle w:val="aff4"/>
        <w:wordWrap w:val="0"/>
        <w:jc w:val="both"/>
        <w:rPr>
          <w:rFonts w:ascii="Times New Roman"/>
        </w:rPr>
      </w:pPr>
      <w:r w:rsidRPr="00FD4DA5">
        <w:rPr>
          <w:rStyle w:val="aff6"/>
          <w:rFonts w:ascii="Times New Roman"/>
        </w:rPr>
        <w:footnoteRef/>
      </w:r>
      <w:r w:rsidRPr="00FD4DA5">
        <w:rPr>
          <w:rFonts w:ascii="Times New Roman"/>
        </w:rPr>
        <w:t>Upstaza</w:t>
      </w:r>
      <w:r w:rsidRPr="00FD4DA5">
        <w:rPr>
          <w:rFonts w:ascii="Times New Roman"/>
        </w:rPr>
        <w:t>（展世達輸注溶液）為</w:t>
      </w:r>
      <w:r w:rsidRPr="00FD4DA5">
        <w:rPr>
          <w:rFonts w:ascii="Times New Roman"/>
        </w:rPr>
        <w:t>AADC</w:t>
      </w:r>
      <w:r w:rsidRPr="00FD4DA5">
        <w:rPr>
          <w:rFonts w:ascii="Times New Roman"/>
        </w:rPr>
        <w:t>缺乏症之基因治療藥品，</w:t>
      </w:r>
      <w:r w:rsidRPr="00FD4DA5">
        <w:rPr>
          <w:rFonts w:ascii="Times New Roman"/>
        </w:rPr>
        <w:t>AADC</w:t>
      </w:r>
      <w:r w:rsidRPr="00FD4DA5">
        <w:rPr>
          <w:rFonts w:ascii="Times New Roman"/>
        </w:rPr>
        <w:t>缺乏症為體染色體隱性遺傳神經代謝疾病，由</w:t>
      </w:r>
      <w:r w:rsidRPr="00FD4DA5">
        <w:rPr>
          <w:rFonts w:ascii="Times New Roman"/>
        </w:rPr>
        <w:t>DDC</w:t>
      </w:r>
      <w:r w:rsidRPr="00FD4DA5">
        <w:rPr>
          <w:rFonts w:ascii="Times New Roman"/>
        </w:rPr>
        <w:t>基因突變引起，導致神經傳導物質合成障礙，身體</w:t>
      </w:r>
      <w:r w:rsidR="001D009B" w:rsidRPr="00FD4DA5">
        <w:rPr>
          <w:rFonts w:ascii="Times New Roman"/>
        </w:rPr>
        <w:t>缺乏</w:t>
      </w:r>
      <w:r w:rsidRPr="00FD4DA5">
        <w:rPr>
          <w:rFonts w:ascii="Times New Roman"/>
        </w:rPr>
        <w:t>多巴胺與血清素，造成眼動危象、嚴重的運動發展遲緩及自律神經系統功能失調（如發汗、體溫不穩、吞嚥困難）。病患通常在嬰兒早期發病，並有早夭風險。</w:t>
      </w:r>
      <w:r w:rsidR="00E635F8" w:rsidRPr="00FD4DA5">
        <w:rPr>
          <w:rFonts w:ascii="Times New Roman"/>
        </w:rPr>
        <w:t>AADC</w:t>
      </w:r>
      <w:r w:rsidR="00E635F8" w:rsidRPr="00FD4DA5">
        <w:rPr>
          <w:rFonts w:ascii="Times New Roman"/>
        </w:rPr>
        <w:t>缺乏症為罕病，我國估計盛行率約為</w:t>
      </w:r>
      <w:r w:rsidR="00E635F8" w:rsidRPr="00FD4DA5">
        <w:rPr>
          <w:rFonts w:ascii="Times New Roman"/>
        </w:rPr>
        <w:t>1</w:t>
      </w:r>
      <w:r w:rsidR="00E635F8" w:rsidRPr="00FD4DA5">
        <w:rPr>
          <w:rFonts w:ascii="Times New Roman"/>
        </w:rPr>
        <w:t>：</w:t>
      </w:r>
      <w:r w:rsidR="00E635F8" w:rsidRPr="00FD4DA5">
        <w:rPr>
          <w:rFonts w:ascii="Times New Roman"/>
        </w:rPr>
        <w:t>32,000</w:t>
      </w:r>
      <w:r w:rsidR="00E635F8" w:rsidRPr="00FD4DA5">
        <w:rPr>
          <w:rFonts w:ascii="Times New Roman"/>
        </w:rPr>
        <w:t>至</w:t>
      </w:r>
      <w:r w:rsidR="00E635F8" w:rsidRPr="00FD4DA5">
        <w:rPr>
          <w:rFonts w:ascii="Times New Roman"/>
        </w:rPr>
        <w:t>1</w:t>
      </w:r>
      <w:r w:rsidR="00E635F8" w:rsidRPr="00FD4DA5">
        <w:rPr>
          <w:rFonts w:ascii="Times New Roman"/>
        </w:rPr>
        <w:t>：</w:t>
      </w:r>
      <w:r w:rsidR="00E635F8" w:rsidRPr="00FD4DA5">
        <w:rPr>
          <w:rFonts w:ascii="Times New Roman"/>
        </w:rPr>
        <w:t>26,000</w:t>
      </w:r>
      <w:r w:rsidR="00E635F8" w:rsidRPr="00FD4DA5">
        <w:rPr>
          <w:rFonts w:ascii="Times New Roman"/>
        </w:rPr>
        <w:t>，在我國及日本最常見</w:t>
      </w:r>
      <w:r w:rsidRPr="00FD4DA5">
        <w:rPr>
          <w:rFonts w:ascii="Times New Roman"/>
        </w:rPr>
        <w:t>。</w:t>
      </w:r>
    </w:p>
  </w:footnote>
  <w:footnote w:id="14">
    <w:p w14:paraId="3AA2BD19" w14:textId="5F3BCAB0" w:rsidR="008325EE" w:rsidRPr="00FD4DA5" w:rsidRDefault="008325EE" w:rsidP="00E13341">
      <w:pPr>
        <w:pStyle w:val="aff4"/>
        <w:wordWrap w:val="0"/>
        <w:jc w:val="both"/>
        <w:rPr>
          <w:rFonts w:ascii="Times New Roman"/>
        </w:rPr>
      </w:pPr>
      <w:r w:rsidRPr="00FD4DA5">
        <w:rPr>
          <w:rStyle w:val="aff6"/>
          <w:rFonts w:ascii="Times New Roman"/>
        </w:rPr>
        <w:footnoteRef/>
      </w:r>
      <w:r w:rsidRPr="00FD4DA5">
        <w:rPr>
          <w:rFonts w:ascii="Times New Roman"/>
        </w:rPr>
        <w:t>Fespixon cream</w:t>
      </w:r>
      <w:r w:rsidRPr="00FD4DA5">
        <w:rPr>
          <w:rFonts w:ascii="Times New Roman"/>
        </w:rPr>
        <w:t>（到手香萃取物及積雪草萃取物，又稱速必一），用於治療糖尿病足傷口潰瘍之我國研發新藥，健保給付適應症限用於較小且較深之糖尿病足傷口，必須是使用一般敷料或藥膏治療仍癒合不佳的</w:t>
      </w:r>
      <w:r w:rsidR="00206F92">
        <w:rPr>
          <w:rFonts w:ascii="Times New Roman" w:hint="eastAsia"/>
        </w:rPr>
        <w:t>病</w:t>
      </w:r>
      <w:r w:rsidRPr="00FD4DA5">
        <w:rPr>
          <w:rFonts w:ascii="Times New Roman"/>
        </w:rPr>
        <w:t>患，</w:t>
      </w:r>
      <w:r w:rsidR="00206F92">
        <w:rPr>
          <w:rFonts w:ascii="Times New Roman" w:hint="eastAsia"/>
        </w:rPr>
        <w:t>且</w:t>
      </w:r>
      <w:r w:rsidRPr="00FD4DA5">
        <w:rPr>
          <w:rFonts w:ascii="Times New Roman"/>
        </w:rPr>
        <w:t>須具備良好的血糖控制狀況。</w:t>
      </w:r>
    </w:p>
  </w:footnote>
  <w:footnote w:id="15">
    <w:p w14:paraId="103D430C" w14:textId="77777777" w:rsidR="008325EE" w:rsidRPr="00FD4DA5" w:rsidRDefault="008325EE" w:rsidP="00E13341">
      <w:pPr>
        <w:pStyle w:val="aff4"/>
        <w:wordWrap w:val="0"/>
        <w:jc w:val="both"/>
        <w:rPr>
          <w:rFonts w:ascii="Times New Roman"/>
        </w:rPr>
      </w:pPr>
      <w:r w:rsidRPr="00FD4DA5">
        <w:rPr>
          <w:rStyle w:val="aff6"/>
          <w:rFonts w:ascii="Times New Roman"/>
        </w:rPr>
        <w:footnoteRef/>
      </w:r>
      <w:r w:rsidRPr="00FD4DA5">
        <w:rPr>
          <w:rFonts w:ascii="Times New Roman"/>
        </w:rPr>
        <w:t>QALY</w:t>
      </w:r>
      <w:r w:rsidRPr="00FD4DA5">
        <w:rPr>
          <w:rFonts w:ascii="Times New Roman"/>
        </w:rPr>
        <w:t>係同時衡量存活時間與健康生活品質之指標，</w:t>
      </w:r>
      <w:r w:rsidRPr="00FD4DA5">
        <w:rPr>
          <w:rFonts w:ascii="Times New Roman"/>
        </w:rPr>
        <w:t>1QALY</w:t>
      </w:r>
      <w:r w:rsidRPr="00FD4DA5">
        <w:rPr>
          <w:rFonts w:ascii="Times New Roman"/>
        </w:rPr>
        <w:t>代表增加</w:t>
      </w:r>
      <w:r w:rsidRPr="00FD4DA5">
        <w:rPr>
          <w:rFonts w:ascii="Times New Roman"/>
        </w:rPr>
        <w:t>1</w:t>
      </w:r>
      <w:r w:rsidRPr="00FD4DA5">
        <w:rPr>
          <w:rFonts w:ascii="Times New Roman"/>
        </w:rPr>
        <w:t>年完全健康之生活。</w:t>
      </w:r>
    </w:p>
  </w:footnote>
  <w:footnote w:id="16">
    <w:p w14:paraId="1941EA78" w14:textId="77777777" w:rsidR="008325EE" w:rsidRPr="00FD4DA5" w:rsidRDefault="008325EE" w:rsidP="00E13341">
      <w:pPr>
        <w:pStyle w:val="aff4"/>
        <w:wordWrap w:val="0"/>
        <w:jc w:val="both"/>
        <w:rPr>
          <w:rFonts w:ascii="Times New Roman"/>
        </w:rPr>
      </w:pPr>
      <w:r w:rsidRPr="00FD4DA5">
        <w:rPr>
          <w:rStyle w:val="aff6"/>
          <w:rFonts w:ascii="Times New Roman"/>
        </w:rPr>
        <w:footnoteRef/>
      </w:r>
      <w:r w:rsidRPr="00FD4DA5">
        <w:rPr>
          <w:rFonts w:ascii="Times New Roman"/>
        </w:rPr>
        <w:t>原稱為</w:t>
      </w:r>
      <w:r w:rsidRPr="00FD4DA5">
        <w:rPr>
          <w:rFonts w:ascii="Times New Roman"/>
        </w:rPr>
        <w:t>Canadian Agency for Drugs and Technologies in Health</w:t>
      </w:r>
      <w:r w:rsidRPr="00FD4DA5">
        <w:rPr>
          <w:rFonts w:ascii="Times New Roman"/>
        </w:rPr>
        <w:t>（</w:t>
      </w:r>
      <w:r w:rsidRPr="00FD4DA5">
        <w:rPr>
          <w:rFonts w:ascii="Times New Roman"/>
        </w:rPr>
        <w:t>CADTH</w:t>
      </w:r>
      <w:r w:rsidRPr="00FD4DA5">
        <w:rPr>
          <w:rFonts w:ascii="Times New Roman"/>
        </w:rPr>
        <w:t>），已於西元</w:t>
      </w:r>
      <w:r w:rsidRPr="00FD4DA5">
        <w:rPr>
          <w:rFonts w:ascii="Times New Roman"/>
        </w:rPr>
        <w:t>2024</w:t>
      </w:r>
      <w:r w:rsidRPr="00FD4DA5">
        <w:rPr>
          <w:rFonts w:ascii="Times New Roman"/>
        </w:rPr>
        <w:t>年改名。</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75218"/>
    <w:multiLevelType w:val="hybridMultilevel"/>
    <w:tmpl w:val="A4444034"/>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4502CA7"/>
    <w:multiLevelType w:val="hybridMultilevel"/>
    <w:tmpl w:val="A4444034"/>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5278423E"/>
    <w:lvl w:ilvl="0">
      <w:start w:val="1"/>
      <w:numFmt w:val="ideographLegalTraditional"/>
      <w:pStyle w:val="1"/>
      <w:suff w:val="nothing"/>
      <w:lvlText w:val="%1、"/>
      <w:lvlJc w:val="left"/>
      <w:pPr>
        <w:ind w:left="2523" w:hanging="2381"/>
      </w:pPr>
      <w:rPr>
        <w:rFonts w:ascii="標楷體" w:eastAsia="標楷體" w:hint="eastAsia"/>
        <w:b w:val="0"/>
        <w:i w:val="0"/>
        <w:snapToGrid/>
        <w:color w:val="auto"/>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color w:val="auto"/>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9EC176A"/>
    <w:multiLevelType w:val="hybridMultilevel"/>
    <w:tmpl w:val="A4444034"/>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2F505F81"/>
    <w:multiLevelType w:val="hybridMultilevel"/>
    <w:tmpl w:val="A4444034"/>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3BDD52C7"/>
    <w:multiLevelType w:val="hybridMultilevel"/>
    <w:tmpl w:val="9D264800"/>
    <w:lvl w:ilvl="0" w:tplc="7FA08054">
      <w:start w:val="1"/>
      <w:numFmt w:val="decimal"/>
      <w:pStyle w:val="a1"/>
      <w:lvlText w:val="表%1、"/>
      <w:lvlJc w:val="left"/>
      <w:pPr>
        <w:ind w:left="906" w:hanging="480"/>
      </w:p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8" w15:restartNumberingAfterBreak="0">
    <w:nsid w:val="3CFE143F"/>
    <w:multiLevelType w:val="hybridMultilevel"/>
    <w:tmpl w:val="9CA63D92"/>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7FC2A6B6"/>
    <w:lvl w:ilvl="0" w:tplc="22B6EE46">
      <w:start w:val="1"/>
      <w:numFmt w:val="taiwaneseCountingThousand"/>
      <w:pStyle w:val="a3"/>
      <w:lvlText w:val="附件%1、"/>
      <w:lvlJc w:val="left"/>
      <w:pPr>
        <w:ind w:left="480" w:hanging="480"/>
      </w:pPr>
      <w:rPr>
        <w:rFonts w:ascii="標楷體" w:eastAsia="標楷體" w:hint="eastAsia"/>
        <w:b/>
        <w:bCs/>
        <w:i w:val="0"/>
        <w:caps w:val="0"/>
        <w:strike w:val="0"/>
        <w:dstrike w:val="0"/>
        <w:snapToGrid/>
        <w:vanish w:val="0"/>
        <w:color w:val="auto"/>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77C2C60"/>
    <w:multiLevelType w:val="hybridMultilevel"/>
    <w:tmpl w:val="A4444034"/>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4A5F5684"/>
    <w:multiLevelType w:val="hybridMultilevel"/>
    <w:tmpl w:val="69BA5D40"/>
    <w:lvl w:ilvl="0" w:tplc="C8586310">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BCD3C04"/>
    <w:multiLevelType w:val="hybridMultilevel"/>
    <w:tmpl w:val="A4444034"/>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4FAB062D"/>
    <w:multiLevelType w:val="hybridMultilevel"/>
    <w:tmpl w:val="A4444034"/>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2F84245"/>
    <w:multiLevelType w:val="hybridMultilevel"/>
    <w:tmpl w:val="A4444034"/>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33E7CD0"/>
    <w:multiLevelType w:val="hybridMultilevel"/>
    <w:tmpl w:val="A4444034"/>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6FFF4C93"/>
    <w:multiLevelType w:val="hybridMultilevel"/>
    <w:tmpl w:val="A4444034"/>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786D326F"/>
    <w:multiLevelType w:val="hybridMultilevel"/>
    <w:tmpl w:val="A4444034"/>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0" w15:restartNumberingAfterBreak="0">
    <w:nsid w:val="7FAF1F94"/>
    <w:multiLevelType w:val="hybridMultilevel"/>
    <w:tmpl w:val="A4444034"/>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256408911">
    <w:abstractNumId w:val="4"/>
  </w:num>
  <w:num w:numId="2" w16cid:durableId="1197743378">
    <w:abstractNumId w:val="2"/>
  </w:num>
  <w:num w:numId="3" w16cid:durableId="1256406269">
    <w:abstractNumId w:val="11"/>
  </w:num>
  <w:num w:numId="4" w16cid:durableId="854998020">
    <w:abstractNumId w:val="8"/>
  </w:num>
  <w:num w:numId="5" w16cid:durableId="268243816">
    <w:abstractNumId w:val="14"/>
  </w:num>
  <w:num w:numId="6" w16cid:durableId="1168131465">
    <w:abstractNumId w:val="3"/>
  </w:num>
  <w:num w:numId="7" w16cid:durableId="703477646">
    <w:abstractNumId w:val="16"/>
  </w:num>
  <w:num w:numId="8" w16cid:durableId="1419520749">
    <w:abstractNumId w:val="9"/>
  </w:num>
  <w:num w:numId="9" w16cid:durableId="250704343">
    <w:abstractNumId w:val="7"/>
  </w:num>
  <w:num w:numId="10" w16cid:durableId="808016587">
    <w:abstractNumId w:val="1"/>
  </w:num>
  <w:num w:numId="11" w16cid:durableId="518543223">
    <w:abstractNumId w:val="12"/>
  </w:num>
  <w:num w:numId="12" w16cid:durableId="244998606">
    <w:abstractNumId w:val="19"/>
  </w:num>
  <w:num w:numId="13" w16cid:durableId="1686982402">
    <w:abstractNumId w:val="18"/>
  </w:num>
  <w:num w:numId="14" w16cid:durableId="271131402">
    <w:abstractNumId w:val="6"/>
  </w:num>
  <w:num w:numId="15" w16cid:durableId="622426797">
    <w:abstractNumId w:val="10"/>
  </w:num>
  <w:num w:numId="16" w16cid:durableId="740955209">
    <w:abstractNumId w:val="20"/>
  </w:num>
  <w:num w:numId="17" w16cid:durableId="114713687">
    <w:abstractNumId w:val="17"/>
  </w:num>
  <w:num w:numId="18" w16cid:durableId="1811746935">
    <w:abstractNumId w:val="5"/>
  </w:num>
  <w:num w:numId="19" w16cid:durableId="211430048">
    <w:abstractNumId w:val="15"/>
  </w:num>
  <w:num w:numId="20" w16cid:durableId="273053133">
    <w:abstractNumId w:val="13"/>
  </w:num>
  <w:num w:numId="21" w16cid:durableId="381827452">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B3E"/>
    <w:rsid w:val="00001B78"/>
    <w:rsid w:val="00002739"/>
    <w:rsid w:val="00002BB0"/>
    <w:rsid w:val="00002EF1"/>
    <w:rsid w:val="00002F78"/>
    <w:rsid w:val="000031FA"/>
    <w:rsid w:val="00003E1C"/>
    <w:rsid w:val="00004155"/>
    <w:rsid w:val="00004E0C"/>
    <w:rsid w:val="00005FFF"/>
    <w:rsid w:val="00006961"/>
    <w:rsid w:val="00007D1E"/>
    <w:rsid w:val="000112BF"/>
    <w:rsid w:val="00012233"/>
    <w:rsid w:val="00012D1D"/>
    <w:rsid w:val="00013722"/>
    <w:rsid w:val="0001561A"/>
    <w:rsid w:val="000171B8"/>
    <w:rsid w:val="0001722D"/>
    <w:rsid w:val="00017318"/>
    <w:rsid w:val="00020BED"/>
    <w:rsid w:val="00022D93"/>
    <w:rsid w:val="0002430F"/>
    <w:rsid w:val="00024451"/>
    <w:rsid w:val="00024684"/>
    <w:rsid w:val="000246F7"/>
    <w:rsid w:val="00025E5A"/>
    <w:rsid w:val="00026467"/>
    <w:rsid w:val="0002678F"/>
    <w:rsid w:val="00026B88"/>
    <w:rsid w:val="000275D5"/>
    <w:rsid w:val="0003114D"/>
    <w:rsid w:val="0003136D"/>
    <w:rsid w:val="00031DF7"/>
    <w:rsid w:val="0003241B"/>
    <w:rsid w:val="000325C6"/>
    <w:rsid w:val="0003366D"/>
    <w:rsid w:val="000347BB"/>
    <w:rsid w:val="00034DFB"/>
    <w:rsid w:val="00035CA5"/>
    <w:rsid w:val="00036D76"/>
    <w:rsid w:val="00036FC5"/>
    <w:rsid w:val="00037842"/>
    <w:rsid w:val="000402A3"/>
    <w:rsid w:val="00040F8B"/>
    <w:rsid w:val="00042488"/>
    <w:rsid w:val="00042513"/>
    <w:rsid w:val="00043C99"/>
    <w:rsid w:val="00046CBF"/>
    <w:rsid w:val="00047317"/>
    <w:rsid w:val="0004739B"/>
    <w:rsid w:val="00050076"/>
    <w:rsid w:val="00050FF7"/>
    <w:rsid w:val="00051AEB"/>
    <w:rsid w:val="00051F40"/>
    <w:rsid w:val="00053892"/>
    <w:rsid w:val="00055DC8"/>
    <w:rsid w:val="00057F32"/>
    <w:rsid w:val="00060BB4"/>
    <w:rsid w:val="00061083"/>
    <w:rsid w:val="00062A25"/>
    <w:rsid w:val="00064EE9"/>
    <w:rsid w:val="00065224"/>
    <w:rsid w:val="000652F2"/>
    <w:rsid w:val="00067A3C"/>
    <w:rsid w:val="0007008F"/>
    <w:rsid w:val="00070C72"/>
    <w:rsid w:val="00071F6C"/>
    <w:rsid w:val="000734D9"/>
    <w:rsid w:val="00073625"/>
    <w:rsid w:val="00073930"/>
    <w:rsid w:val="00073CB5"/>
    <w:rsid w:val="0007425C"/>
    <w:rsid w:val="00074F88"/>
    <w:rsid w:val="0007533B"/>
    <w:rsid w:val="00076AC6"/>
    <w:rsid w:val="00076DF2"/>
    <w:rsid w:val="00077553"/>
    <w:rsid w:val="00080B7B"/>
    <w:rsid w:val="0008212A"/>
    <w:rsid w:val="000829FD"/>
    <w:rsid w:val="00082D1A"/>
    <w:rsid w:val="00083394"/>
    <w:rsid w:val="0008487B"/>
    <w:rsid w:val="000848CE"/>
    <w:rsid w:val="000851A2"/>
    <w:rsid w:val="00085576"/>
    <w:rsid w:val="0008740D"/>
    <w:rsid w:val="000900D4"/>
    <w:rsid w:val="0009050E"/>
    <w:rsid w:val="0009352E"/>
    <w:rsid w:val="00096418"/>
    <w:rsid w:val="00096747"/>
    <w:rsid w:val="00096AA1"/>
    <w:rsid w:val="00096B96"/>
    <w:rsid w:val="00096DBD"/>
    <w:rsid w:val="0009755E"/>
    <w:rsid w:val="00097602"/>
    <w:rsid w:val="00097608"/>
    <w:rsid w:val="00097B32"/>
    <w:rsid w:val="00097E91"/>
    <w:rsid w:val="000A0B5F"/>
    <w:rsid w:val="000A2140"/>
    <w:rsid w:val="000A2D61"/>
    <w:rsid w:val="000A2F3F"/>
    <w:rsid w:val="000A7D52"/>
    <w:rsid w:val="000B0B4A"/>
    <w:rsid w:val="000B279A"/>
    <w:rsid w:val="000B293D"/>
    <w:rsid w:val="000B50DC"/>
    <w:rsid w:val="000B61D2"/>
    <w:rsid w:val="000B70A7"/>
    <w:rsid w:val="000B711D"/>
    <w:rsid w:val="000B7492"/>
    <w:rsid w:val="000C1FA2"/>
    <w:rsid w:val="000C2BCE"/>
    <w:rsid w:val="000C305D"/>
    <w:rsid w:val="000C3434"/>
    <w:rsid w:val="000C420B"/>
    <w:rsid w:val="000C495A"/>
    <w:rsid w:val="000C495F"/>
    <w:rsid w:val="000C6340"/>
    <w:rsid w:val="000C650A"/>
    <w:rsid w:val="000C666A"/>
    <w:rsid w:val="000C6CEB"/>
    <w:rsid w:val="000C7CA4"/>
    <w:rsid w:val="000D064F"/>
    <w:rsid w:val="000D0E2E"/>
    <w:rsid w:val="000D194D"/>
    <w:rsid w:val="000D1A7C"/>
    <w:rsid w:val="000D2F69"/>
    <w:rsid w:val="000D40C8"/>
    <w:rsid w:val="000D517D"/>
    <w:rsid w:val="000D539C"/>
    <w:rsid w:val="000D5B1B"/>
    <w:rsid w:val="000D76D5"/>
    <w:rsid w:val="000E016E"/>
    <w:rsid w:val="000E0F77"/>
    <w:rsid w:val="000E1107"/>
    <w:rsid w:val="000E3254"/>
    <w:rsid w:val="000E43F0"/>
    <w:rsid w:val="000E4494"/>
    <w:rsid w:val="000E6431"/>
    <w:rsid w:val="000E735D"/>
    <w:rsid w:val="000F06F0"/>
    <w:rsid w:val="000F1100"/>
    <w:rsid w:val="000F18ED"/>
    <w:rsid w:val="000F21A5"/>
    <w:rsid w:val="000F25A8"/>
    <w:rsid w:val="000F3409"/>
    <w:rsid w:val="000F36C6"/>
    <w:rsid w:val="000F3CD2"/>
    <w:rsid w:val="000F47AC"/>
    <w:rsid w:val="000F5D92"/>
    <w:rsid w:val="000F66A8"/>
    <w:rsid w:val="000F6AC1"/>
    <w:rsid w:val="000F6AEC"/>
    <w:rsid w:val="000F75FE"/>
    <w:rsid w:val="000F767D"/>
    <w:rsid w:val="000F7F20"/>
    <w:rsid w:val="00101267"/>
    <w:rsid w:val="00102B9F"/>
    <w:rsid w:val="00104269"/>
    <w:rsid w:val="001044C3"/>
    <w:rsid w:val="001054FE"/>
    <w:rsid w:val="00106BFB"/>
    <w:rsid w:val="00106F02"/>
    <w:rsid w:val="00107032"/>
    <w:rsid w:val="0010778E"/>
    <w:rsid w:val="00107AC1"/>
    <w:rsid w:val="00107B47"/>
    <w:rsid w:val="00110135"/>
    <w:rsid w:val="00111CFF"/>
    <w:rsid w:val="00112637"/>
    <w:rsid w:val="00112ABC"/>
    <w:rsid w:val="00113D29"/>
    <w:rsid w:val="00114700"/>
    <w:rsid w:val="00114753"/>
    <w:rsid w:val="001152C4"/>
    <w:rsid w:val="0011630C"/>
    <w:rsid w:val="00116E26"/>
    <w:rsid w:val="00117310"/>
    <w:rsid w:val="0011731B"/>
    <w:rsid w:val="00117D64"/>
    <w:rsid w:val="0012001E"/>
    <w:rsid w:val="001239E4"/>
    <w:rsid w:val="00123B53"/>
    <w:rsid w:val="001240CB"/>
    <w:rsid w:val="00125FD5"/>
    <w:rsid w:val="00126A55"/>
    <w:rsid w:val="00126D11"/>
    <w:rsid w:val="00130A4F"/>
    <w:rsid w:val="0013305E"/>
    <w:rsid w:val="00133F08"/>
    <w:rsid w:val="001345C5"/>
    <w:rsid w:val="001345E6"/>
    <w:rsid w:val="00134F6B"/>
    <w:rsid w:val="0013533F"/>
    <w:rsid w:val="00136340"/>
    <w:rsid w:val="00136B71"/>
    <w:rsid w:val="00136FCB"/>
    <w:rsid w:val="001378B0"/>
    <w:rsid w:val="00140889"/>
    <w:rsid w:val="00140907"/>
    <w:rsid w:val="00140A39"/>
    <w:rsid w:val="0014193A"/>
    <w:rsid w:val="001419C4"/>
    <w:rsid w:val="00142E00"/>
    <w:rsid w:val="00144C79"/>
    <w:rsid w:val="00144EE8"/>
    <w:rsid w:val="00147013"/>
    <w:rsid w:val="00151EEC"/>
    <w:rsid w:val="00152793"/>
    <w:rsid w:val="00152A65"/>
    <w:rsid w:val="0015348D"/>
    <w:rsid w:val="00153B7E"/>
    <w:rsid w:val="00153F27"/>
    <w:rsid w:val="001545A9"/>
    <w:rsid w:val="001558F6"/>
    <w:rsid w:val="00156E5F"/>
    <w:rsid w:val="001571CC"/>
    <w:rsid w:val="00157488"/>
    <w:rsid w:val="00157732"/>
    <w:rsid w:val="00157FBA"/>
    <w:rsid w:val="0016102D"/>
    <w:rsid w:val="0016181C"/>
    <w:rsid w:val="00161E14"/>
    <w:rsid w:val="00161FAF"/>
    <w:rsid w:val="0016274B"/>
    <w:rsid w:val="00162B29"/>
    <w:rsid w:val="001637C7"/>
    <w:rsid w:val="001638A9"/>
    <w:rsid w:val="00164162"/>
    <w:rsid w:val="0016480E"/>
    <w:rsid w:val="001648A0"/>
    <w:rsid w:val="00165672"/>
    <w:rsid w:val="00165F45"/>
    <w:rsid w:val="0016794F"/>
    <w:rsid w:val="00171F38"/>
    <w:rsid w:val="00171F50"/>
    <w:rsid w:val="00172688"/>
    <w:rsid w:val="001740EE"/>
    <w:rsid w:val="00174297"/>
    <w:rsid w:val="00174B3F"/>
    <w:rsid w:val="00175F05"/>
    <w:rsid w:val="00176F06"/>
    <w:rsid w:val="001776A3"/>
    <w:rsid w:val="00180E06"/>
    <w:rsid w:val="001817B3"/>
    <w:rsid w:val="00182591"/>
    <w:rsid w:val="00183014"/>
    <w:rsid w:val="00185646"/>
    <w:rsid w:val="0018574C"/>
    <w:rsid w:val="00185C65"/>
    <w:rsid w:val="00187AAC"/>
    <w:rsid w:val="00190A7D"/>
    <w:rsid w:val="00190B21"/>
    <w:rsid w:val="00191426"/>
    <w:rsid w:val="00191D2B"/>
    <w:rsid w:val="00191F49"/>
    <w:rsid w:val="0019329B"/>
    <w:rsid w:val="001936BE"/>
    <w:rsid w:val="001937F5"/>
    <w:rsid w:val="00195256"/>
    <w:rsid w:val="001959C2"/>
    <w:rsid w:val="00196D74"/>
    <w:rsid w:val="00197D6F"/>
    <w:rsid w:val="001A012E"/>
    <w:rsid w:val="001A0579"/>
    <w:rsid w:val="001A07AE"/>
    <w:rsid w:val="001A0847"/>
    <w:rsid w:val="001A1098"/>
    <w:rsid w:val="001A1652"/>
    <w:rsid w:val="001A1D8E"/>
    <w:rsid w:val="001A2769"/>
    <w:rsid w:val="001A27D3"/>
    <w:rsid w:val="001A2FF5"/>
    <w:rsid w:val="001A3103"/>
    <w:rsid w:val="001A4BE1"/>
    <w:rsid w:val="001A4C85"/>
    <w:rsid w:val="001A4D70"/>
    <w:rsid w:val="001A51E3"/>
    <w:rsid w:val="001A7125"/>
    <w:rsid w:val="001A78E4"/>
    <w:rsid w:val="001A7968"/>
    <w:rsid w:val="001B1E68"/>
    <w:rsid w:val="001B2104"/>
    <w:rsid w:val="001B2694"/>
    <w:rsid w:val="001B2E98"/>
    <w:rsid w:val="001B3435"/>
    <w:rsid w:val="001B3483"/>
    <w:rsid w:val="001B3C1E"/>
    <w:rsid w:val="001B4494"/>
    <w:rsid w:val="001B53D6"/>
    <w:rsid w:val="001B58D7"/>
    <w:rsid w:val="001B66C0"/>
    <w:rsid w:val="001B7349"/>
    <w:rsid w:val="001B7AC3"/>
    <w:rsid w:val="001C0D8B"/>
    <w:rsid w:val="001C0DA8"/>
    <w:rsid w:val="001C0FBF"/>
    <w:rsid w:val="001C1C31"/>
    <w:rsid w:val="001C1D3C"/>
    <w:rsid w:val="001C1FEB"/>
    <w:rsid w:val="001C3C25"/>
    <w:rsid w:val="001C3C47"/>
    <w:rsid w:val="001C3F03"/>
    <w:rsid w:val="001C4CEC"/>
    <w:rsid w:val="001C6043"/>
    <w:rsid w:val="001D009B"/>
    <w:rsid w:val="001D0342"/>
    <w:rsid w:val="001D05C3"/>
    <w:rsid w:val="001D0A7E"/>
    <w:rsid w:val="001D18CC"/>
    <w:rsid w:val="001D1AA3"/>
    <w:rsid w:val="001D6246"/>
    <w:rsid w:val="001D783F"/>
    <w:rsid w:val="001E0D8A"/>
    <w:rsid w:val="001E100A"/>
    <w:rsid w:val="001E236D"/>
    <w:rsid w:val="001E4853"/>
    <w:rsid w:val="001E5F23"/>
    <w:rsid w:val="001E67BA"/>
    <w:rsid w:val="001E6A50"/>
    <w:rsid w:val="001E6BA6"/>
    <w:rsid w:val="001E7021"/>
    <w:rsid w:val="001E74C2"/>
    <w:rsid w:val="001F1E48"/>
    <w:rsid w:val="001F317C"/>
    <w:rsid w:val="001F5A48"/>
    <w:rsid w:val="001F5C29"/>
    <w:rsid w:val="001F6065"/>
    <w:rsid w:val="001F6260"/>
    <w:rsid w:val="001F6BED"/>
    <w:rsid w:val="001F6EA8"/>
    <w:rsid w:val="00200007"/>
    <w:rsid w:val="00202455"/>
    <w:rsid w:val="00202A5F"/>
    <w:rsid w:val="00202ED0"/>
    <w:rsid w:val="002030A5"/>
    <w:rsid w:val="00203131"/>
    <w:rsid w:val="00203829"/>
    <w:rsid w:val="00204B9E"/>
    <w:rsid w:val="00204FB9"/>
    <w:rsid w:val="00205155"/>
    <w:rsid w:val="00205CFD"/>
    <w:rsid w:val="00205E58"/>
    <w:rsid w:val="00206584"/>
    <w:rsid w:val="00206F92"/>
    <w:rsid w:val="0020712B"/>
    <w:rsid w:val="0020795E"/>
    <w:rsid w:val="002111E4"/>
    <w:rsid w:val="00212E2A"/>
    <w:rsid w:val="00212E88"/>
    <w:rsid w:val="00212EE4"/>
    <w:rsid w:val="00213A8C"/>
    <w:rsid w:val="00213C9C"/>
    <w:rsid w:val="00214179"/>
    <w:rsid w:val="002141AC"/>
    <w:rsid w:val="00214363"/>
    <w:rsid w:val="00214EEE"/>
    <w:rsid w:val="00215018"/>
    <w:rsid w:val="00217AED"/>
    <w:rsid w:val="00217C18"/>
    <w:rsid w:val="0022009E"/>
    <w:rsid w:val="00220622"/>
    <w:rsid w:val="00220AE8"/>
    <w:rsid w:val="00221B28"/>
    <w:rsid w:val="00223241"/>
    <w:rsid w:val="00223463"/>
    <w:rsid w:val="002238AD"/>
    <w:rsid w:val="0022425C"/>
    <w:rsid w:val="002246DE"/>
    <w:rsid w:val="00224CC9"/>
    <w:rsid w:val="002256C6"/>
    <w:rsid w:val="00225DAD"/>
    <w:rsid w:val="0022712B"/>
    <w:rsid w:val="002304CE"/>
    <w:rsid w:val="00230786"/>
    <w:rsid w:val="00231138"/>
    <w:rsid w:val="0023279C"/>
    <w:rsid w:val="00232B85"/>
    <w:rsid w:val="00232FCC"/>
    <w:rsid w:val="0023345F"/>
    <w:rsid w:val="00233A32"/>
    <w:rsid w:val="00234606"/>
    <w:rsid w:val="00234D86"/>
    <w:rsid w:val="00236591"/>
    <w:rsid w:val="00240801"/>
    <w:rsid w:val="00241EF0"/>
    <w:rsid w:val="00242EB6"/>
    <w:rsid w:val="00243EE5"/>
    <w:rsid w:val="00244358"/>
    <w:rsid w:val="002459BB"/>
    <w:rsid w:val="00246689"/>
    <w:rsid w:val="00246DE6"/>
    <w:rsid w:val="00246EAF"/>
    <w:rsid w:val="002473EE"/>
    <w:rsid w:val="00252BC4"/>
    <w:rsid w:val="00253C22"/>
    <w:rsid w:val="00254014"/>
    <w:rsid w:val="00254D94"/>
    <w:rsid w:val="00256511"/>
    <w:rsid w:val="002600F7"/>
    <w:rsid w:val="002603B9"/>
    <w:rsid w:val="0026250E"/>
    <w:rsid w:val="00263740"/>
    <w:rsid w:val="00263F82"/>
    <w:rsid w:val="00264E82"/>
    <w:rsid w:val="0026504D"/>
    <w:rsid w:val="0026532F"/>
    <w:rsid w:val="002653CE"/>
    <w:rsid w:val="00265477"/>
    <w:rsid w:val="00266D6D"/>
    <w:rsid w:val="002679E0"/>
    <w:rsid w:val="00271A4E"/>
    <w:rsid w:val="0027271C"/>
    <w:rsid w:val="00273A2F"/>
    <w:rsid w:val="00274285"/>
    <w:rsid w:val="0027556F"/>
    <w:rsid w:val="00276966"/>
    <w:rsid w:val="00276CA0"/>
    <w:rsid w:val="00277216"/>
    <w:rsid w:val="00280918"/>
    <w:rsid w:val="00280986"/>
    <w:rsid w:val="00281897"/>
    <w:rsid w:val="00281ECE"/>
    <w:rsid w:val="002831C7"/>
    <w:rsid w:val="002831E5"/>
    <w:rsid w:val="002837F0"/>
    <w:rsid w:val="002840C6"/>
    <w:rsid w:val="00284EE6"/>
    <w:rsid w:val="00285164"/>
    <w:rsid w:val="002858D6"/>
    <w:rsid w:val="0028656E"/>
    <w:rsid w:val="00286BB7"/>
    <w:rsid w:val="00286CD1"/>
    <w:rsid w:val="002906DD"/>
    <w:rsid w:val="00290712"/>
    <w:rsid w:val="00291CCF"/>
    <w:rsid w:val="002924C6"/>
    <w:rsid w:val="00292D85"/>
    <w:rsid w:val="0029361F"/>
    <w:rsid w:val="00293EA7"/>
    <w:rsid w:val="002948A3"/>
    <w:rsid w:val="00295174"/>
    <w:rsid w:val="00296172"/>
    <w:rsid w:val="0029673A"/>
    <w:rsid w:val="00296B92"/>
    <w:rsid w:val="00296BF5"/>
    <w:rsid w:val="0029749E"/>
    <w:rsid w:val="00297B9A"/>
    <w:rsid w:val="002A06CC"/>
    <w:rsid w:val="002A1D8E"/>
    <w:rsid w:val="002A1FB7"/>
    <w:rsid w:val="002A2C22"/>
    <w:rsid w:val="002A30AD"/>
    <w:rsid w:val="002A355B"/>
    <w:rsid w:val="002A4115"/>
    <w:rsid w:val="002A5B45"/>
    <w:rsid w:val="002A5C7D"/>
    <w:rsid w:val="002A64DD"/>
    <w:rsid w:val="002B02EB"/>
    <w:rsid w:val="002B0F7A"/>
    <w:rsid w:val="002B228A"/>
    <w:rsid w:val="002B35ED"/>
    <w:rsid w:val="002B4848"/>
    <w:rsid w:val="002B746B"/>
    <w:rsid w:val="002C0602"/>
    <w:rsid w:val="002C0D5E"/>
    <w:rsid w:val="002C3E96"/>
    <w:rsid w:val="002C4A4C"/>
    <w:rsid w:val="002C62F6"/>
    <w:rsid w:val="002C77FF"/>
    <w:rsid w:val="002D0652"/>
    <w:rsid w:val="002D33E2"/>
    <w:rsid w:val="002D3DE8"/>
    <w:rsid w:val="002D46CE"/>
    <w:rsid w:val="002D4B15"/>
    <w:rsid w:val="002D56CF"/>
    <w:rsid w:val="002D5C16"/>
    <w:rsid w:val="002D62B9"/>
    <w:rsid w:val="002D6A28"/>
    <w:rsid w:val="002E05E5"/>
    <w:rsid w:val="002E2AE5"/>
    <w:rsid w:val="002E3F42"/>
    <w:rsid w:val="002E57FF"/>
    <w:rsid w:val="002E5FA2"/>
    <w:rsid w:val="002E679F"/>
    <w:rsid w:val="002E680B"/>
    <w:rsid w:val="002E6CD5"/>
    <w:rsid w:val="002E78B4"/>
    <w:rsid w:val="002F0BAF"/>
    <w:rsid w:val="002F2C47"/>
    <w:rsid w:val="002F3DFF"/>
    <w:rsid w:val="002F40CB"/>
    <w:rsid w:val="002F45A6"/>
    <w:rsid w:val="002F5E05"/>
    <w:rsid w:val="002F7706"/>
    <w:rsid w:val="00300075"/>
    <w:rsid w:val="00300609"/>
    <w:rsid w:val="0030084F"/>
    <w:rsid w:val="0030100D"/>
    <w:rsid w:val="003010D3"/>
    <w:rsid w:val="003014FE"/>
    <w:rsid w:val="00301787"/>
    <w:rsid w:val="0030396A"/>
    <w:rsid w:val="00304A60"/>
    <w:rsid w:val="003052DD"/>
    <w:rsid w:val="003058C2"/>
    <w:rsid w:val="00306D85"/>
    <w:rsid w:val="003108A0"/>
    <w:rsid w:val="00310F03"/>
    <w:rsid w:val="00311286"/>
    <w:rsid w:val="00311837"/>
    <w:rsid w:val="00311CCF"/>
    <w:rsid w:val="00313523"/>
    <w:rsid w:val="003135FD"/>
    <w:rsid w:val="003148E8"/>
    <w:rsid w:val="003158EF"/>
    <w:rsid w:val="00315A16"/>
    <w:rsid w:val="00315F4E"/>
    <w:rsid w:val="003162C1"/>
    <w:rsid w:val="003169C7"/>
    <w:rsid w:val="00317053"/>
    <w:rsid w:val="0032109C"/>
    <w:rsid w:val="00322636"/>
    <w:rsid w:val="0032274A"/>
    <w:rsid w:val="00322B45"/>
    <w:rsid w:val="00323236"/>
    <w:rsid w:val="00323809"/>
    <w:rsid w:val="00323D41"/>
    <w:rsid w:val="00323D96"/>
    <w:rsid w:val="00325414"/>
    <w:rsid w:val="00325943"/>
    <w:rsid w:val="00326F6F"/>
    <w:rsid w:val="003271C1"/>
    <w:rsid w:val="003275F9"/>
    <w:rsid w:val="00327D86"/>
    <w:rsid w:val="00327F46"/>
    <w:rsid w:val="003302F1"/>
    <w:rsid w:val="00330DBD"/>
    <w:rsid w:val="00330E34"/>
    <w:rsid w:val="00331275"/>
    <w:rsid w:val="003323D2"/>
    <w:rsid w:val="00332BB5"/>
    <w:rsid w:val="00334261"/>
    <w:rsid w:val="003344BB"/>
    <w:rsid w:val="00335FAE"/>
    <w:rsid w:val="00336B41"/>
    <w:rsid w:val="00340F13"/>
    <w:rsid w:val="00343B53"/>
    <w:rsid w:val="0034470E"/>
    <w:rsid w:val="00345055"/>
    <w:rsid w:val="00345D6E"/>
    <w:rsid w:val="003478F4"/>
    <w:rsid w:val="00350C00"/>
    <w:rsid w:val="00352DB0"/>
    <w:rsid w:val="00352EA2"/>
    <w:rsid w:val="00354956"/>
    <w:rsid w:val="00354CFB"/>
    <w:rsid w:val="003552BC"/>
    <w:rsid w:val="0035569E"/>
    <w:rsid w:val="00356209"/>
    <w:rsid w:val="003564B6"/>
    <w:rsid w:val="00361063"/>
    <w:rsid w:val="0036263D"/>
    <w:rsid w:val="00363AF4"/>
    <w:rsid w:val="0036452F"/>
    <w:rsid w:val="00364B01"/>
    <w:rsid w:val="003656AD"/>
    <w:rsid w:val="00365AD1"/>
    <w:rsid w:val="00365EB3"/>
    <w:rsid w:val="00366000"/>
    <w:rsid w:val="00366DF4"/>
    <w:rsid w:val="003670A1"/>
    <w:rsid w:val="0036719A"/>
    <w:rsid w:val="003701CC"/>
    <w:rsid w:val="0037094A"/>
    <w:rsid w:val="0037111D"/>
    <w:rsid w:val="00371A6C"/>
    <w:rsid w:val="00371B93"/>
    <w:rsid w:val="00371CED"/>
    <w:rsid w:val="00371D56"/>
    <w:rsid w:val="00371ED3"/>
    <w:rsid w:val="0037239F"/>
    <w:rsid w:val="0037243E"/>
    <w:rsid w:val="00372FFC"/>
    <w:rsid w:val="00373DB6"/>
    <w:rsid w:val="00376ACD"/>
    <w:rsid w:val="0037728A"/>
    <w:rsid w:val="0037785B"/>
    <w:rsid w:val="003807AB"/>
    <w:rsid w:val="00380B7D"/>
    <w:rsid w:val="0038124C"/>
    <w:rsid w:val="00381312"/>
    <w:rsid w:val="00381593"/>
    <w:rsid w:val="003816CD"/>
    <w:rsid w:val="00381A99"/>
    <w:rsid w:val="003829C2"/>
    <w:rsid w:val="003830B2"/>
    <w:rsid w:val="003830B8"/>
    <w:rsid w:val="00383639"/>
    <w:rsid w:val="003842EC"/>
    <w:rsid w:val="00384563"/>
    <w:rsid w:val="003846BC"/>
    <w:rsid w:val="00384724"/>
    <w:rsid w:val="003863E9"/>
    <w:rsid w:val="00390BF7"/>
    <w:rsid w:val="0039156C"/>
    <w:rsid w:val="003916DF"/>
    <w:rsid w:val="003919B7"/>
    <w:rsid w:val="00391D57"/>
    <w:rsid w:val="00392292"/>
    <w:rsid w:val="00393660"/>
    <w:rsid w:val="00394A04"/>
    <w:rsid w:val="00394D1C"/>
    <w:rsid w:val="00394F3D"/>
    <w:rsid w:val="00394F85"/>
    <w:rsid w:val="00395004"/>
    <w:rsid w:val="00395E5A"/>
    <w:rsid w:val="003971C9"/>
    <w:rsid w:val="00397FD0"/>
    <w:rsid w:val="003A0E98"/>
    <w:rsid w:val="003A2407"/>
    <w:rsid w:val="003A2481"/>
    <w:rsid w:val="003A36A0"/>
    <w:rsid w:val="003A54D4"/>
    <w:rsid w:val="003A700D"/>
    <w:rsid w:val="003A7BDE"/>
    <w:rsid w:val="003B1017"/>
    <w:rsid w:val="003B1FBC"/>
    <w:rsid w:val="003B2C55"/>
    <w:rsid w:val="003B31AF"/>
    <w:rsid w:val="003B3C07"/>
    <w:rsid w:val="003B3E4E"/>
    <w:rsid w:val="003B4395"/>
    <w:rsid w:val="003B45F0"/>
    <w:rsid w:val="003B4A3D"/>
    <w:rsid w:val="003B4BF7"/>
    <w:rsid w:val="003B59F3"/>
    <w:rsid w:val="003B5E11"/>
    <w:rsid w:val="003B5E4A"/>
    <w:rsid w:val="003B5F27"/>
    <w:rsid w:val="003B6775"/>
    <w:rsid w:val="003B69F4"/>
    <w:rsid w:val="003C056B"/>
    <w:rsid w:val="003C163B"/>
    <w:rsid w:val="003C2551"/>
    <w:rsid w:val="003C41A6"/>
    <w:rsid w:val="003C4813"/>
    <w:rsid w:val="003C4A47"/>
    <w:rsid w:val="003C550A"/>
    <w:rsid w:val="003C562C"/>
    <w:rsid w:val="003C5FE2"/>
    <w:rsid w:val="003D05FB"/>
    <w:rsid w:val="003D1B16"/>
    <w:rsid w:val="003D246C"/>
    <w:rsid w:val="003D45BF"/>
    <w:rsid w:val="003D468F"/>
    <w:rsid w:val="003D480B"/>
    <w:rsid w:val="003D4C25"/>
    <w:rsid w:val="003D508A"/>
    <w:rsid w:val="003D52BC"/>
    <w:rsid w:val="003D537F"/>
    <w:rsid w:val="003D6095"/>
    <w:rsid w:val="003D6460"/>
    <w:rsid w:val="003D6DF1"/>
    <w:rsid w:val="003D772A"/>
    <w:rsid w:val="003D7B75"/>
    <w:rsid w:val="003D7CF9"/>
    <w:rsid w:val="003E0208"/>
    <w:rsid w:val="003E4007"/>
    <w:rsid w:val="003E4B57"/>
    <w:rsid w:val="003E5C77"/>
    <w:rsid w:val="003E5F88"/>
    <w:rsid w:val="003E6739"/>
    <w:rsid w:val="003E6D9E"/>
    <w:rsid w:val="003E7323"/>
    <w:rsid w:val="003E795E"/>
    <w:rsid w:val="003F0469"/>
    <w:rsid w:val="003F0D3A"/>
    <w:rsid w:val="003F1B0C"/>
    <w:rsid w:val="003F27E1"/>
    <w:rsid w:val="003F28C7"/>
    <w:rsid w:val="003F2E4F"/>
    <w:rsid w:val="003F3F6C"/>
    <w:rsid w:val="003F437A"/>
    <w:rsid w:val="003F4788"/>
    <w:rsid w:val="003F486C"/>
    <w:rsid w:val="003F4C38"/>
    <w:rsid w:val="003F52FC"/>
    <w:rsid w:val="003F5AB8"/>
    <w:rsid w:val="003F5BDA"/>
    <w:rsid w:val="003F5C2B"/>
    <w:rsid w:val="003F6E77"/>
    <w:rsid w:val="003F7630"/>
    <w:rsid w:val="003F78ED"/>
    <w:rsid w:val="003F7987"/>
    <w:rsid w:val="004009C3"/>
    <w:rsid w:val="00400E83"/>
    <w:rsid w:val="00401049"/>
    <w:rsid w:val="004020D0"/>
    <w:rsid w:val="004023E9"/>
    <w:rsid w:val="00402FBC"/>
    <w:rsid w:val="0040454A"/>
    <w:rsid w:val="004045F7"/>
    <w:rsid w:val="004054FD"/>
    <w:rsid w:val="004057B3"/>
    <w:rsid w:val="00405ABC"/>
    <w:rsid w:val="00406983"/>
    <w:rsid w:val="004069DF"/>
    <w:rsid w:val="00406AD9"/>
    <w:rsid w:val="0041019A"/>
    <w:rsid w:val="00413A3C"/>
    <w:rsid w:val="00413F83"/>
    <w:rsid w:val="0041490C"/>
    <w:rsid w:val="00415400"/>
    <w:rsid w:val="0041558B"/>
    <w:rsid w:val="00416191"/>
    <w:rsid w:val="00416721"/>
    <w:rsid w:val="00416B9F"/>
    <w:rsid w:val="00417609"/>
    <w:rsid w:val="004176F3"/>
    <w:rsid w:val="004214C2"/>
    <w:rsid w:val="00421EF0"/>
    <w:rsid w:val="004224FA"/>
    <w:rsid w:val="00422ADE"/>
    <w:rsid w:val="00423D07"/>
    <w:rsid w:val="004249AC"/>
    <w:rsid w:val="0042660D"/>
    <w:rsid w:val="004313E8"/>
    <w:rsid w:val="0043354A"/>
    <w:rsid w:val="00433F65"/>
    <w:rsid w:val="0043560A"/>
    <w:rsid w:val="00435867"/>
    <w:rsid w:val="00436A6B"/>
    <w:rsid w:val="00437196"/>
    <w:rsid w:val="00437BF6"/>
    <w:rsid w:val="004406E8"/>
    <w:rsid w:val="0044193A"/>
    <w:rsid w:val="00441F09"/>
    <w:rsid w:val="00441FE5"/>
    <w:rsid w:val="0044346F"/>
    <w:rsid w:val="00445BDB"/>
    <w:rsid w:val="00446A55"/>
    <w:rsid w:val="00447022"/>
    <w:rsid w:val="0044788F"/>
    <w:rsid w:val="004479AE"/>
    <w:rsid w:val="00450B1A"/>
    <w:rsid w:val="00451086"/>
    <w:rsid w:val="00452161"/>
    <w:rsid w:val="00452BBD"/>
    <w:rsid w:val="00452DE8"/>
    <w:rsid w:val="00452DEB"/>
    <w:rsid w:val="0045337F"/>
    <w:rsid w:val="00453BD8"/>
    <w:rsid w:val="00453D32"/>
    <w:rsid w:val="004541E8"/>
    <w:rsid w:val="00454998"/>
    <w:rsid w:val="00454CEA"/>
    <w:rsid w:val="004551E9"/>
    <w:rsid w:val="00457544"/>
    <w:rsid w:val="00460205"/>
    <w:rsid w:val="004607CB"/>
    <w:rsid w:val="00464203"/>
    <w:rsid w:val="004649D4"/>
    <w:rsid w:val="0046520A"/>
    <w:rsid w:val="004652B8"/>
    <w:rsid w:val="00465F13"/>
    <w:rsid w:val="00466157"/>
    <w:rsid w:val="004672AB"/>
    <w:rsid w:val="00467C95"/>
    <w:rsid w:val="00470C9F"/>
    <w:rsid w:val="004714FE"/>
    <w:rsid w:val="0047193B"/>
    <w:rsid w:val="00472BF3"/>
    <w:rsid w:val="004737D4"/>
    <w:rsid w:val="00473F48"/>
    <w:rsid w:val="00474559"/>
    <w:rsid w:val="00475867"/>
    <w:rsid w:val="00475ED9"/>
    <w:rsid w:val="00476ECE"/>
    <w:rsid w:val="004778E0"/>
    <w:rsid w:val="00477BAA"/>
    <w:rsid w:val="004801DD"/>
    <w:rsid w:val="004801E9"/>
    <w:rsid w:val="004804A3"/>
    <w:rsid w:val="004808C1"/>
    <w:rsid w:val="00480DA7"/>
    <w:rsid w:val="00481947"/>
    <w:rsid w:val="004824BA"/>
    <w:rsid w:val="00484571"/>
    <w:rsid w:val="00484640"/>
    <w:rsid w:val="00485794"/>
    <w:rsid w:val="00485B44"/>
    <w:rsid w:val="00486546"/>
    <w:rsid w:val="004878ED"/>
    <w:rsid w:val="00487A42"/>
    <w:rsid w:val="00490F27"/>
    <w:rsid w:val="0049195E"/>
    <w:rsid w:val="00493202"/>
    <w:rsid w:val="0049357A"/>
    <w:rsid w:val="00495053"/>
    <w:rsid w:val="00495C86"/>
    <w:rsid w:val="00495D0A"/>
    <w:rsid w:val="004A02F6"/>
    <w:rsid w:val="004A0B03"/>
    <w:rsid w:val="004A1945"/>
    <w:rsid w:val="004A1B6D"/>
    <w:rsid w:val="004A1D99"/>
    <w:rsid w:val="004A1F59"/>
    <w:rsid w:val="004A1F5C"/>
    <w:rsid w:val="004A1FEA"/>
    <w:rsid w:val="004A26E1"/>
    <w:rsid w:val="004A29BE"/>
    <w:rsid w:val="004A3225"/>
    <w:rsid w:val="004A33EE"/>
    <w:rsid w:val="004A3AA8"/>
    <w:rsid w:val="004A3B8E"/>
    <w:rsid w:val="004A5980"/>
    <w:rsid w:val="004A6069"/>
    <w:rsid w:val="004B01A4"/>
    <w:rsid w:val="004B08C0"/>
    <w:rsid w:val="004B11F2"/>
    <w:rsid w:val="004B13C7"/>
    <w:rsid w:val="004B1AA5"/>
    <w:rsid w:val="004B24CE"/>
    <w:rsid w:val="004B2D51"/>
    <w:rsid w:val="004B3B7F"/>
    <w:rsid w:val="004B410E"/>
    <w:rsid w:val="004B4941"/>
    <w:rsid w:val="004B4B24"/>
    <w:rsid w:val="004B4E51"/>
    <w:rsid w:val="004B4F4F"/>
    <w:rsid w:val="004B630D"/>
    <w:rsid w:val="004B767B"/>
    <w:rsid w:val="004B778F"/>
    <w:rsid w:val="004C2A09"/>
    <w:rsid w:val="004C37B2"/>
    <w:rsid w:val="004C3E45"/>
    <w:rsid w:val="004C40C0"/>
    <w:rsid w:val="004C42D9"/>
    <w:rsid w:val="004C48B6"/>
    <w:rsid w:val="004C4FAC"/>
    <w:rsid w:val="004C5C3E"/>
    <w:rsid w:val="004D0EB9"/>
    <w:rsid w:val="004D141F"/>
    <w:rsid w:val="004D1F20"/>
    <w:rsid w:val="004D2742"/>
    <w:rsid w:val="004D2B20"/>
    <w:rsid w:val="004D378A"/>
    <w:rsid w:val="004D3905"/>
    <w:rsid w:val="004D5709"/>
    <w:rsid w:val="004D6310"/>
    <w:rsid w:val="004D6FE3"/>
    <w:rsid w:val="004D75A5"/>
    <w:rsid w:val="004D7734"/>
    <w:rsid w:val="004E0062"/>
    <w:rsid w:val="004E05A1"/>
    <w:rsid w:val="004E1909"/>
    <w:rsid w:val="004E2A98"/>
    <w:rsid w:val="004E2F4B"/>
    <w:rsid w:val="004E2FD7"/>
    <w:rsid w:val="004E343A"/>
    <w:rsid w:val="004E351F"/>
    <w:rsid w:val="004E3A87"/>
    <w:rsid w:val="004E3C80"/>
    <w:rsid w:val="004E47E4"/>
    <w:rsid w:val="004E4E1B"/>
    <w:rsid w:val="004E5883"/>
    <w:rsid w:val="004E7A6B"/>
    <w:rsid w:val="004E7CB5"/>
    <w:rsid w:val="004F015A"/>
    <w:rsid w:val="004F1759"/>
    <w:rsid w:val="004F1CF0"/>
    <w:rsid w:val="004F24A0"/>
    <w:rsid w:val="004F283D"/>
    <w:rsid w:val="004F36A1"/>
    <w:rsid w:val="004F4E16"/>
    <w:rsid w:val="004F5E57"/>
    <w:rsid w:val="004F6312"/>
    <w:rsid w:val="004F6355"/>
    <w:rsid w:val="004F6710"/>
    <w:rsid w:val="004F776B"/>
    <w:rsid w:val="004F7CC7"/>
    <w:rsid w:val="00500508"/>
    <w:rsid w:val="00500565"/>
    <w:rsid w:val="0050095B"/>
    <w:rsid w:val="00500C3E"/>
    <w:rsid w:val="00500E79"/>
    <w:rsid w:val="00501162"/>
    <w:rsid w:val="00501497"/>
    <w:rsid w:val="005017B5"/>
    <w:rsid w:val="00502849"/>
    <w:rsid w:val="00503A04"/>
    <w:rsid w:val="00504334"/>
    <w:rsid w:val="00505CE7"/>
    <w:rsid w:val="00505D75"/>
    <w:rsid w:val="005071FB"/>
    <w:rsid w:val="0051028F"/>
    <w:rsid w:val="005104D7"/>
    <w:rsid w:val="00510B9E"/>
    <w:rsid w:val="00511217"/>
    <w:rsid w:val="00511B05"/>
    <w:rsid w:val="00511CFE"/>
    <w:rsid w:val="005137B0"/>
    <w:rsid w:val="00513CBE"/>
    <w:rsid w:val="00514168"/>
    <w:rsid w:val="00514A1C"/>
    <w:rsid w:val="00514A93"/>
    <w:rsid w:val="00516868"/>
    <w:rsid w:val="005168BD"/>
    <w:rsid w:val="005178EC"/>
    <w:rsid w:val="00517FC0"/>
    <w:rsid w:val="005211AD"/>
    <w:rsid w:val="0052176E"/>
    <w:rsid w:val="00522394"/>
    <w:rsid w:val="005224AA"/>
    <w:rsid w:val="00522616"/>
    <w:rsid w:val="00522ED6"/>
    <w:rsid w:val="00523D28"/>
    <w:rsid w:val="00526689"/>
    <w:rsid w:val="00526C5E"/>
    <w:rsid w:val="00526E66"/>
    <w:rsid w:val="00527EC9"/>
    <w:rsid w:val="00530B2E"/>
    <w:rsid w:val="005313EB"/>
    <w:rsid w:val="00532FB3"/>
    <w:rsid w:val="005340B9"/>
    <w:rsid w:val="00534711"/>
    <w:rsid w:val="005358CB"/>
    <w:rsid w:val="00536BC2"/>
    <w:rsid w:val="005404A2"/>
    <w:rsid w:val="00541265"/>
    <w:rsid w:val="00541830"/>
    <w:rsid w:val="005425E1"/>
    <w:rsid w:val="005427C5"/>
    <w:rsid w:val="00542AFE"/>
    <w:rsid w:val="00542CF6"/>
    <w:rsid w:val="00542EC8"/>
    <w:rsid w:val="0054366A"/>
    <w:rsid w:val="00545B6D"/>
    <w:rsid w:val="0054631D"/>
    <w:rsid w:val="00546938"/>
    <w:rsid w:val="00547AB7"/>
    <w:rsid w:val="00550C63"/>
    <w:rsid w:val="005531DA"/>
    <w:rsid w:val="0055344A"/>
    <w:rsid w:val="00553C03"/>
    <w:rsid w:val="00555800"/>
    <w:rsid w:val="00556AC4"/>
    <w:rsid w:val="0055778F"/>
    <w:rsid w:val="00561A7A"/>
    <w:rsid w:val="00562EF1"/>
    <w:rsid w:val="00563060"/>
    <w:rsid w:val="00563692"/>
    <w:rsid w:val="00564526"/>
    <w:rsid w:val="00564613"/>
    <w:rsid w:val="00564A01"/>
    <w:rsid w:val="005657D0"/>
    <w:rsid w:val="00565A18"/>
    <w:rsid w:val="00566F65"/>
    <w:rsid w:val="0057060F"/>
    <w:rsid w:val="00570E05"/>
    <w:rsid w:val="0057142D"/>
    <w:rsid w:val="00571679"/>
    <w:rsid w:val="00571F25"/>
    <w:rsid w:val="005739F1"/>
    <w:rsid w:val="00573D94"/>
    <w:rsid w:val="00575781"/>
    <w:rsid w:val="00575AB6"/>
    <w:rsid w:val="00576027"/>
    <w:rsid w:val="00577C87"/>
    <w:rsid w:val="005844E7"/>
    <w:rsid w:val="005846ED"/>
    <w:rsid w:val="00584D0A"/>
    <w:rsid w:val="005853B7"/>
    <w:rsid w:val="005874E0"/>
    <w:rsid w:val="005908B8"/>
    <w:rsid w:val="00590A51"/>
    <w:rsid w:val="005913A4"/>
    <w:rsid w:val="0059413A"/>
    <w:rsid w:val="00594857"/>
    <w:rsid w:val="0059512E"/>
    <w:rsid w:val="00596198"/>
    <w:rsid w:val="00596653"/>
    <w:rsid w:val="0059688F"/>
    <w:rsid w:val="00596DDC"/>
    <w:rsid w:val="005A0019"/>
    <w:rsid w:val="005A1EF8"/>
    <w:rsid w:val="005A20ED"/>
    <w:rsid w:val="005A278D"/>
    <w:rsid w:val="005A3D00"/>
    <w:rsid w:val="005A5574"/>
    <w:rsid w:val="005A5E7B"/>
    <w:rsid w:val="005A686A"/>
    <w:rsid w:val="005A694F"/>
    <w:rsid w:val="005A6B8E"/>
    <w:rsid w:val="005A6DD2"/>
    <w:rsid w:val="005B041A"/>
    <w:rsid w:val="005B0722"/>
    <w:rsid w:val="005B2914"/>
    <w:rsid w:val="005B337E"/>
    <w:rsid w:val="005B3DAC"/>
    <w:rsid w:val="005B40AB"/>
    <w:rsid w:val="005B6064"/>
    <w:rsid w:val="005B789F"/>
    <w:rsid w:val="005B7B32"/>
    <w:rsid w:val="005C0A2A"/>
    <w:rsid w:val="005C1DF7"/>
    <w:rsid w:val="005C23B2"/>
    <w:rsid w:val="005C2661"/>
    <w:rsid w:val="005C33AA"/>
    <w:rsid w:val="005C37B0"/>
    <w:rsid w:val="005C385D"/>
    <w:rsid w:val="005C3A80"/>
    <w:rsid w:val="005C56D9"/>
    <w:rsid w:val="005C6714"/>
    <w:rsid w:val="005D002E"/>
    <w:rsid w:val="005D1A96"/>
    <w:rsid w:val="005D1EEE"/>
    <w:rsid w:val="005D2631"/>
    <w:rsid w:val="005D2955"/>
    <w:rsid w:val="005D2B28"/>
    <w:rsid w:val="005D2C3F"/>
    <w:rsid w:val="005D3525"/>
    <w:rsid w:val="005D3B20"/>
    <w:rsid w:val="005D3C08"/>
    <w:rsid w:val="005D5175"/>
    <w:rsid w:val="005D5417"/>
    <w:rsid w:val="005D7A36"/>
    <w:rsid w:val="005E0137"/>
    <w:rsid w:val="005E035C"/>
    <w:rsid w:val="005E0A19"/>
    <w:rsid w:val="005E0C6E"/>
    <w:rsid w:val="005E1511"/>
    <w:rsid w:val="005E21B9"/>
    <w:rsid w:val="005E29E9"/>
    <w:rsid w:val="005E2E99"/>
    <w:rsid w:val="005E39DD"/>
    <w:rsid w:val="005E3DBE"/>
    <w:rsid w:val="005E4102"/>
    <w:rsid w:val="005E449D"/>
    <w:rsid w:val="005E4723"/>
    <w:rsid w:val="005E4759"/>
    <w:rsid w:val="005E57E8"/>
    <w:rsid w:val="005E5A3A"/>
    <w:rsid w:val="005E5C68"/>
    <w:rsid w:val="005E65C0"/>
    <w:rsid w:val="005F01A2"/>
    <w:rsid w:val="005F0390"/>
    <w:rsid w:val="005F0B90"/>
    <w:rsid w:val="005F0CE7"/>
    <w:rsid w:val="005F15B0"/>
    <w:rsid w:val="005F22CF"/>
    <w:rsid w:val="005F27DA"/>
    <w:rsid w:val="005F370D"/>
    <w:rsid w:val="005F5167"/>
    <w:rsid w:val="005F5241"/>
    <w:rsid w:val="005F5390"/>
    <w:rsid w:val="0060074C"/>
    <w:rsid w:val="00603C21"/>
    <w:rsid w:val="006041AB"/>
    <w:rsid w:val="0060455F"/>
    <w:rsid w:val="006047F2"/>
    <w:rsid w:val="006048D1"/>
    <w:rsid w:val="006053BF"/>
    <w:rsid w:val="00606EAC"/>
    <w:rsid w:val="00607119"/>
    <w:rsid w:val="006074A8"/>
    <w:rsid w:val="006074EA"/>
    <w:rsid w:val="00607CBA"/>
    <w:rsid w:val="00610FC9"/>
    <w:rsid w:val="00611AF1"/>
    <w:rsid w:val="00612023"/>
    <w:rsid w:val="006121CF"/>
    <w:rsid w:val="006122EB"/>
    <w:rsid w:val="00613A32"/>
    <w:rsid w:val="00614190"/>
    <w:rsid w:val="00616658"/>
    <w:rsid w:val="0061773B"/>
    <w:rsid w:val="0062063B"/>
    <w:rsid w:val="006215A7"/>
    <w:rsid w:val="00621704"/>
    <w:rsid w:val="00622A99"/>
    <w:rsid w:val="00622E67"/>
    <w:rsid w:val="0062430B"/>
    <w:rsid w:val="00625CCB"/>
    <w:rsid w:val="00626B7F"/>
    <w:rsid w:val="00626C7A"/>
    <w:rsid w:val="00626EDC"/>
    <w:rsid w:val="00626FFC"/>
    <w:rsid w:val="0062746F"/>
    <w:rsid w:val="00631919"/>
    <w:rsid w:val="00632798"/>
    <w:rsid w:val="0063481C"/>
    <w:rsid w:val="00635F02"/>
    <w:rsid w:val="00636DA9"/>
    <w:rsid w:val="006376D2"/>
    <w:rsid w:val="00641B86"/>
    <w:rsid w:val="00642D41"/>
    <w:rsid w:val="00643242"/>
    <w:rsid w:val="006444CE"/>
    <w:rsid w:val="00644A36"/>
    <w:rsid w:val="00645A79"/>
    <w:rsid w:val="006461F5"/>
    <w:rsid w:val="006470EC"/>
    <w:rsid w:val="006500C2"/>
    <w:rsid w:val="006502B5"/>
    <w:rsid w:val="0065120F"/>
    <w:rsid w:val="00651583"/>
    <w:rsid w:val="00652A15"/>
    <w:rsid w:val="00653F82"/>
    <w:rsid w:val="00654129"/>
    <w:rsid w:val="00654189"/>
    <w:rsid w:val="0065467F"/>
    <w:rsid w:val="006549E9"/>
    <w:rsid w:val="0065598E"/>
    <w:rsid w:val="00655AF2"/>
    <w:rsid w:val="00655BC5"/>
    <w:rsid w:val="00655BE2"/>
    <w:rsid w:val="00656135"/>
    <w:rsid w:val="006568BE"/>
    <w:rsid w:val="00656E4C"/>
    <w:rsid w:val="00657D0F"/>
    <w:rsid w:val="00657FF2"/>
    <w:rsid w:val="0066025D"/>
    <w:rsid w:val="0066091A"/>
    <w:rsid w:val="00661194"/>
    <w:rsid w:val="00661977"/>
    <w:rsid w:val="00661EEB"/>
    <w:rsid w:val="00662542"/>
    <w:rsid w:val="00663C17"/>
    <w:rsid w:val="00663C70"/>
    <w:rsid w:val="00664621"/>
    <w:rsid w:val="00666343"/>
    <w:rsid w:val="00666586"/>
    <w:rsid w:val="006668FE"/>
    <w:rsid w:val="00666B67"/>
    <w:rsid w:val="00667414"/>
    <w:rsid w:val="00667D61"/>
    <w:rsid w:val="0067431A"/>
    <w:rsid w:val="00674AA9"/>
    <w:rsid w:val="00675286"/>
    <w:rsid w:val="006773EC"/>
    <w:rsid w:val="0067742B"/>
    <w:rsid w:val="00677E7B"/>
    <w:rsid w:val="00677ED6"/>
    <w:rsid w:val="00680504"/>
    <w:rsid w:val="00680548"/>
    <w:rsid w:val="0068198C"/>
    <w:rsid w:val="00681CD9"/>
    <w:rsid w:val="0068222B"/>
    <w:rsid w:val="00682BD7"/>
    <w:rsid w:val="00683E30"/>
    <w:rsid w:val="0068410F"/>
    <w:rsid w:val="0068548C"/>
    <w:rsid w:val="006861E2"/>
    <w:rsid w:val="00686C91"/>
    <w:rsid w:val="00687024"/>
    <w:rsid w:val="0069054E"/>
    <w:rsid w:val="00690F87"/>
    <w:rsid w:val="006931D3"/>
    <w:rsid w:val="00693636"/>
    <w:rsid w:val="00694292"/>
    <w:rsid w:val="006946C4"/>
    <w:rsid w:val="00695052"/>
    <w:rsid w:val="00695D1A"/>
    <w:rsid w:val="00695E22"/>
    <w:rsid w:val="00697F21"/>
    <w:rsid w:val="006A0A23"/>
    <w:rsid w:val="006A0BF4"/>
    <w:rsid w:val="006A184A"/>
    <w:rsid w:val="006A1E3C"/>
    <w:rsid w:val="006A3C40"/>
    <w:rsid w:val="006A3D2C"/>
    <w:rsid w:val="006A3F9F"/>
    <w:rsid w:val="006A4ACB"/>
    <w:rsid w:val="006A4E1E"/>
    <w:rsid w:val="006A5DAC"/>
    <w:rsid w:val="006A6440"/>
    <w:rsid w:val="006A6579"/>
    <w:rsid w:val="006A6989"/>
    <w:rsid w:val="006A7D45"/>
    <w:rsid w:val="006B0B26"/>
    <w:rsid w:val="006B19B6"/>
    <w:rsid w:val="006B1A13"/>
    <w:rsid w:val="006B1DCF"/>
    <w:rsid w:val="006B2B9B"/>
    <w:rsid w:val="006B4329"/>
    <w:rsid w:val="006B5BFB"/>
    <w:rsid w:val="006B5FC7"/>
    <w:rsid w:val="006B7093"/>
    <w:rsid w:val="006B70C7"/>
    <w:rsid w:val="006B7E7A"/>
    <w:rsid w:val="006C00A6"/>
    <w:rsid w:val="006C238B"/>
    <w:rsid w:val="006C2C36"/>
    <w:rsid w:val="006C2C67"/>
    <w:rsid w:val="006C3493"/>
    <w:rsid w:val="006C42BA"/>
    <w:rsid w:val="006C7444"/>
    <w:rsid w:val="006D0905"/>
    <w:rsid w:val="006D13A4"/>
    <w:rsid w:val="006D1A40"/>
    <w:rsid w:val="006D1CAF"/>
    <w:rsid w:val="006D2079"/>
    <w:rsid w:val="006D29DB"/>
    <w:rsid w:val="006D3096"/>
    <w:rsid w:val="006D3691"/>
    <w:rsid w:val="006D441D"/>
    <w:rsid w:val="006D4861"/>
    <w:rsid w:val="006D4D40"/>
    <w:rsid w:val="006D511B"/>
    <w:rsid w:val="006D5C31"/>
    <w:rsid w:val="006D69E0"/>
    <w:rsid w:val="006D6BA6"/>
    <w:rsid w:val="006D6C2F"/>
    <w:rsid w:val="006E07E1"/>
    <w:rsid w:val="006E085A"/>
    <w:rsid w:val="006E14EB"/>
    <w:rsid w:val="006E2435"/>
    <w:rsid w:val="006E313E"/>
    <w:rsid w:val="006E399B"/>
    <w:rsid w:val="006E4DAA"/>
    <w:rsid w:val="006E5583"/>
    <w:rsid w:val="006E5EF0"/>
    <w:rsid w:val="006E6654"/>
    <w:rsid w:val="006E6C1A"/>
    <w:rsid w:val="006E6E52"/>
    <w:rsid w:val="006E74AA"/>
    <w:rsid w:val="006F0E5B"/>
    <w:rsid w:val="006F15CB"/>
    <w:rsid w:val="006F1620"/>
    <w:rsid w:val="006F1AEF"/>
    <w:rsid w:val="006F24A7"/>
    <w:rsid w:val="006F2F75"/>
    <w:rsid w:val="006F3563"/>
    <w:rsid w:val="006F36C2"/>
    <w:rsid w:val="006F36C9"/>
    <w:rsid w:val="006F3F3A"/>
    <w:rsid w:val="006F4265"/>
    <w:rsid w:val="006F42B9"/>
    <w:rsid w:val="006F4577"/>
    <w:rsid w:val="006F4D56"/>
    <w:rsid w:val="006F5995"/>
    <w:rsid w:val="006F60C5"/>
    <w:rsid w:val="006F6103"/>
    <w:rsid w:val="006F6E97"/>
    <w:rsid w:val="007001E0"/>
    <w:rsid w:val="007005BB"/>
    <w:rsid w:val="00701C4A"/>
    <w:rsid w:val="00701E5A"/>
    <w:rsid w:val="0070269A"/>
    <w:rsid w:val="00704579"/>
    <w:rsid w:val="00704643"/>
    <w:rsid w:val="00704951"/>
    <w:rsid w:val="007049E2"/>
    <w:rsid w:val="00704E00"/>
    <w:rsid w:val="007061CA"/>
    <w:rsid w:val="00707263"/>
    <w:rsid w:val="0070776E"/>
    <w:rsid w:val="007079D8"/>
    <w:rsid w:val="00710747"/>
    <w:rsid w:val="00711941"/>
    <w:rsid w:val="007129E1"/>
    <w:rsid w:val="0071318B"/>
    <w:rsid w:val="00716911"/>
    <w:rsid w:val="0071697D"/>
    <w:rsid w:val="007209E7"/>
    <w:rsid w:val="007221A5"/>
    <w:rsid w:val="007226D6"/>
    <w:rsid w:val="007235B3"/>
    <w:rsid w:val="00723BDE"/>
    <w:rsid w:val="00723C62"/>
    <w:rsid w:val="00725138"/>
    <w:rsid w:val="0072593C"/>
    <w:rsid w:val="00725DC0"/>
    <w:rsid w:val="00726182"/>
    <w:rsid w:val="00726D2A"/>
    <w:rsid w:val="00727344"/>
    <w:rsid w:val="00727635"/>
    <w:rsid w:val="00730425"/>
    <w:rsid w:val="00730D09"/>
    <w:rsid w:val="00732011"/>
    <w:rsid w:val="00732329"/>
    <w:rsid w:val="007323FD"/>
    <w:rsid w:val="007337CA"/>
    <w:rsid w:val="00734CE4"/>
    <w:rsid w:val="00735123"/>
    <w:rsid w:val="00736217"/>
    <w:rsid w:val="00736738"/>
    <w:rsid w:val="0073693E"/>
    <w:rsid w:val="00736A02"/>
    <w:rsid w:val="0073758A"/>
    <w:rsid w:val="0073797D"/>
    <w:rsid w:val="00741837"/>
    <w:rsid w:val="00742B21"/>
    <w:rsid w:val="0074305F"/>
    <w:rsid w:val="00744623"/>
    <w:rsid w:val="00744A14"/>
    <w:rsid w:val="00744B5A"/>
    <w:rsid w:val="00744C14"/>
    <w:rsid w:val="007453E6"/>
    <w:rsid w:val="0074541E"/>
    <w:rsid w:val="007456FD"/>
    <w:rsid w:val="00745ECB"/>
    <w:rsid w:val="0074702A"/>
    <w:rsid w:val="00747B5E"/>
    <w:rsid w:val="00747F0F"/>
    <w:rsid w:val="00750625"/>
    <w:rsid w:val="00752670"/>
    <w:rsid w:val="00752B19"/>
    <w:rsid w:val="00753542"/>
    <w:rsid w:val="007549EB"/>
    <w:rsid w:val="00754D40"/>
    <w:rsid w:val="00754E8F"/>
    <w:rsid w:val="00756772"/>
    <w:rsid w:val="00756DF0"/>
    <w:rsid w:val="007570AF"/>
    <w:rsid w:val="00757FA9"/>
    <w:rsid w:val="00760D1E"/>
    <w:rsid w:val="00761E33"/>
    <w:rsid w:val="007622BE"/>
    <w:rsid w:val="00762F4B"/>
    <w:rsid w:val="0076344E"/>
    <w:rsid w:val="007641B7"/>
    <w:rsid w:val="007644EF"/>
    <w:rsid w:val="00764B7C"/>
    <w:rsid w:val="00766660"/>
    <w:rsid w:val="00767DC1"/>
    <w:rsid w:val="0077041C"/>
    <w:rsid w:val="00770A05"/>
    <w:rsid w:val="00770C7B"/>
    <w:rsid w:val="00771674"/>
    <w:rsid w:val="0077309D"/>
    <w:rsid w:val="00774B66"/>
    <w:rsid w:val="00775E6A"/>
    <w:rsid w:val="00776511"/>
    <w:rsid w:val="007774EE"/>
    <w:rsid w:val="00780B49"/>
    <w:rsid w:val="00780E25"/>
    <w:rsid w:val="00781822"/>
    <w:rsid w:val="007818DA"/>
    <w:rsid w:val="00781E34"/>
    <w:rsid w:val="00782765"/>
    <w:rsid w:val="00782C25"/>
    <w:rsid w:val="00782E7C"/>
    <w:rsid w:val="0078302A"/>
    <w:rsid w:val="00783F21"/>
    <w:rsid w:val="007848E3"/>
    <w:rsid w:val="00785080"/>
    <w:rsid w:val="00785AB6"/>
    <w:rsid w:val="00786337"/>
    <w:rsid w:val="00786599"/>
    <w:rsid w:val="00787159"/>
    <w:rsid w:val="0078758D"/>
    <w:rsid w:val="007901F0"/>
    <w:rsid w:val="00790AFD"/>
    <w:rsid w:val="00791668"/>
    <w:rsid w:val="00791AA1"/>
    <w:rsid w:val="00792452"/>
    <w:rsid w:val="00792936"/>
    <w:rsid w:val="00792A8C"/>
    <w:rsid w:val="007932AC"/>
    <w:rsid w:val="007932EF"/>
    <w:rsid w:val="0079331E"/>
    <w:rsid w:val="0079336C"/>
    <w:rsid w:val="007935BB"/>
    <w:rsid w:val="00793C88"/>
    <w:rsid w:val="00793FC3"/>
    <w:rsid w:val="0079561E"/>
    <w:rsid w:val="0079692F"/>
    <w:rsid w:val="007A202F"/>
    <w:rsid w:val="007A3793"/>
    <w:rsid w:val="007A4EAF"/>
    <w:rsid w:val="007A53AA"/>
    <w:rsid w:val="007A6D70"/>
    <w:rsid w:val="007A7499"/>
    <w:rsid w:val="007A78B8"/>
    <w:rsid w:val="007A7B7F"/>
    <w:rsid w:val="007B0E0A"/>
    <w:rsid w:val="007B1D71"/>
    <w:rsid w:val="007B2EE1"/>
    <w:rsid w:val="007B30E5"/>
    <w:rsid w:val="007B389D"/>
    <w:rsid w:val="007B4241"/>
    <w:rsid w:val="007B506A"/>
    <w:rsid w:val="007B7CA3"/>
    <w:rsid w:val="007C0DE2"/>
    <w:rsid w:val="007C1BA2"/>
    <w:rsid w:val="007C2B48"/>
    <w:rsid w:val="007C49DB"/>
    <w:rsid w:val="007C51E5"/>
    <w:rsid w:val="007C69B4"/>
    <w:rsid w:val="007C6E5C"/>
    <w:rsid w:val="007C7141"/>
    <w:rsid w:val="007C73BC"/>
    <w:rsid w:val="007C7DF2"/>
    <w:rsid w:val="007D05C7"/>
    <w:rsid w:val="007D082A"/>
    <w:rsid w:val="007D1453"/>
    <w:rsid w:val="007D20E9"/>
    <w:rsid w:val="007D4D85"/>
    <w:rsid w:val="007D536C"/>
    <w:rsid w:val="007D5D1B"/>
    <w:rsid w:val="007D5EB7"/>
    <w:rsid w:val="007D60A4"/>
    <w:rsid w:val="007D66AC"/>
    <w:rsid w:val="007D67F9"/>
    <w:rsid w:val="007D7881"/>
    <w:rsid w:val="007D7E3A"/>
    <w:rsid w:val="007E0E10"/>
    <w:rsid w:val="007E14B6"/>
    <w:rsid w:val="007E3898"/>
    <w:rsid w:val="007E4500"/>
    <w:rsid w:val="007E4768"/>
    <w:rsid w:val="007E49DB"/>
    <w:rsid w:val="007E539B"/>
    <w:rsid w:val="007E55D1"/>
    <w:rsid w:val="007E6C1F"/>
    <w:rsid w:val="007E6CEF"/>
    <w:rsid w:val="007E7577"/>
    <w:rsid w:val="007E777B"/>
    <w:rsid w:val="007F2070"/>
    <w:rsid w:val="007F2376"/>
    <w:rsid w:val="007F2AA1"/>
    <w:rsid w:val="007F30DA"/>
    <w:rsid w:val="007F3A0E"/>
    <w:rsid w:val="007F455D"/>
    <w:rsid w:val="007F4754"/>
    <w:rsid w:val="007F49BF"/>
    <w:rsid w:val="007F77D8"/>
    <w:rsid w:val="00801897"/>
    <w:rsid w:val="00801E6C"/>
    <w:rsid w:val="008023BA"/>
    <w:rsid w:val="0080348D"/>
    <w:rsid w:val="008053F5"/>
    <w:rsid w:val="008069BE"/>
    <w:rsid w:val="00806A2D"/>
    <w:rsid w:val="00807714"/>
    <w:rsid w:val="00807AF7"/>
    <w:rsid w:val="00810198"/>
    <w:rsid w:val="008102CE"/>
    <w:rsid w:val="00811856"/>
    <w:rsid w:val="00811D61"/>
    <w:rsid w:val="00812093"/>
    <w:rsid w:val="008125B7"/>
    <w:rsid w:val="00813BC3"/>
    <w:rsid w:val="00813ED5"/>
    <w:rsid w:val="00814CB1"/>
    <w:rsid w:val="00815642"/>
    <w:rsid w:val="00815DA8"/>
    <w:rsid w:val="00816F87"/>
    <w:rsid w:val="008208DC"/>
    <w:rsid w:val="00820B54"/>
    <w:rsid w:val="0082194D"/>
    <w:rsid w:val="00821C6F"/>
    <w:rsid w:val="00822DFB"/>
    <w:rsid w:val="00823D1F"/>
    <w:rsid w:val="00824C7D"/>
    <w:rsid w:val="00826EF5"/>
    <w:rsid w:val="00827437"/>
    <w:rsid w:val="00830A24"/>
    <w:rsid w:val="008313EE"/>
    <w:rsid w:val="00831693"/>
    <w:rsid w:val="0083209B"/>
    <w:rsid w:val="008325EE"/>
    <w:rsid w:val="0083331E"/>
    <w:rsid w:val="0083546A"/>
    <w:rsid w:val="0083682C"/>
    <w:rsid w:val="008375A8"/>
    <w:rsid w:val="00837A24"/>
    <w:rsid w:val="00840104"/>
    <w:rsid w:val="00840C1F"/>
    <w:rsid w:val="00840DD1"/>
    <w:rsid w:val="00840FD3"/>
    <w:rsid w:val="0084186F"/>
    <w:rsid w:val="00841DA7"/>
    <w:rsid w:val="00841E01"/>
    <w:rsid w:val="00841FC5"/>
    <w:rsid w:val="0084232D"/>
    <w:rsid w:val="008424CE"/>
    <w:rsid w:val="00845709"/>
    <w:rsid w:val="008469E1"/>
    <w:rsid w:val="008470CE"/>
    <w:rsid w:val="008470D8"/>
    <w:rsid w:val="0084741C"/>
    <w:rsid w:val="00850534"/>
    <w:rsid w:val="008515AB"/>
    <w:rsid w:val="00851EB9"/>
    <w:rsid w:val="00851F56"/>
    <w:rsid w:val="00852298"/>
    <w:rsid w:val="0085261A"/>
    <w:rsid w:val="00853047"/>
    <w:rsid w:val="008535D7"/>
    <w:rsid w:val="00853CC2"/>
    <w:rsid w:val="008542CD"/>
    <w:rsid w:val="0085473C"/>
    <w:rsid w:val="00856448"/>
    <w:rsid w:val="008567D9"/>
    <w:rsid w:val="008576BD"/>
    <w:rsid w:val="008603C2"/>
    <w:rsid w:val="00860463"/>
    <w:rsid w:val="00860768"/>
    <w:rsid w:val="008611D6"/>
    <w:rsid w:val="0086205E"/>
    <w:rsid w:val="008633A1"/>
    <w:rsid w:val="00863C77"/>
    <w:rsid w:val="008660F4"/>
    <w:rsid w:val="008669D3"/>
    <w:rsid w:val="00867873"/>
    <w:rsid w:val="0087007F"/>
    <w:rsid w:val="0087100F"/>
    <w:rsid w:val="00871422"/>
    <w:rsid w:val="00872392"/>
    <w:rsid w:val="008733DA"/>
    <w:rsid w:val="00873882"/>
    <w:rsid w:val="0087585D"/>
    <w:rsid w:val="00875DA0"/>
    <w:rsid w:val="00875E91"/>
    <w:rsid w:val="00876D6F"/>
    <w:rsid w:val="00881D44"/>
    <w:rsid w:val="00882BA6"/>
    <w:rsid w:val="00882C71"/>
    <w:rsid w:val="00883907"/>
    <w:rsid w:val="008843B4"/>
    <w:rsid w:val="008850E4"/>
    <w:rsid w:val="00885FAC"/>
    <w:rsid w:val="00890446"/>
    <w:rsid w:val="0089138A"/>
    <w:rsid w:val="0089193E"/>
    <w:rsid w:val="008919DD"/>
    <w:rsid w:val="00892BF6"/>
    <w:rsid w:val="008939AB"/>
    <w:rsid w:val="00894743"/>
    <w:rsid w:val="008A0B39"/>
    <w:rsid w:val="008A12F5"/>
    <w:rsid w:val="008A26DE"/>
    <w:rsid w:val="008A2F05"/>
    <w:rsid w:val="008A385D"/>
    <w:rsid w:val="008A3AA6"/>
    <w:rsid w:val="008A5273"/>
    <w:rsid w:val="008A5774"/>
    <w:rsid w:val="008A5BA3"/>
    <w:rsid w:val="008A616F"/>
    <w:rsid w:val="008A6978"/>
    <w:rsid w:val="008A7D87"/>
    <w:rsid w:val="008B05AE"/>
    <w:rsid w:val="008B1587"/>
    <w:rsid w:val="008B1B01"/>
    <w:rsid w:val="008B2354"/>
    <w:rsid w:val="008B2C5C"/>
    <w:rsid w:val="008B3BCD"/>
    <w:rsid w:val="008B3BF7"/>
    <w:rsid w:val="008B46CA"/>
    <w:rsid w:val="008B6796"/>
    <w:rsid w:val="008B6A3D"/>
    <w:rsid w:val="008B6DF8"/>
    <w:rsid w:val="008B6E9F"/>
    <w:rsid w:val="008B7931"/>
    <w:rsid w:val="008C106C"/>
    <w:rsid w:val="008C10F1"/>
    <w:rsid w:val="008C17BE"/>
    <w:rsid w:val="008C1926"/>
    <w:rsid w:val="008C19A8"/>
    <w:rsid w:val="008C1E99"/>
    <w:rsid w:val="008C23C3"/>
    <w:rsid w:val="008C3BA4"/>
    <w:rsid w:val="008C4243"/>
    <w:rsid w:val="008C6898"/>
    <w:rsid w:val="008C7023"/>
    <w:rsid w:val="008D05A4"/>
    <w:rsid w:val="008D0B29"/>
    <w:rsid w:val="008D0B7B"/>
    <w:rsid w:val="008D10C3"/>
    <w:rsid w:val="008D1459"/>
    <w:rsid w:val="008D1FC1"/>
    <w:rsid w:val="008D20B1"/>
    <w:rsid w:val="008D27D3"/>
    <w:rsid w:val="008D3427"/>
    <w:rsid w:val="008D4819"/>
    <w:rsid w:val="008D53C9"/>
    <w:rsid w:val="008D6E56"/>
    <w:rsid w:val="008E0085"/>
    <w:rsid w:val="008E13A0"/>
    <w:rsid w:val="008E2AA6"/>
    <w:rsid w:val="008E311B"/>
    <w:rsid w:val="008E48E6"/>
    <w:rsid w:val="008E51BE"/>
    <w:rsid w:val="008E547B"/>
    <w:rsid w:val="008E6299"/>
    <w:rsid w:val="008E6507"/>
    <w:rsid w:val="008E66D2"/>
    <w:rsid w:val="008E6CCA"/>
    <w:rsid w:val="008E7052"/>
    <w:rsid w:val="008E7716"/>
    <w:rsid w:val="008F06B5"/>
    <w:rsid w:val="008F124D"/>
    <w:rsid w:val="008F129B"/>
    <w:rsid w:val="008F13BD"/>
    <w:rsid w:val="008F2650"/>
    <w:rsid w:val="008F3531"/>
    <w:rsid w:val="008F46E7"/>
    <w:rsid w:val="008F46F4"/>
    <w:rsid w:val="008F5BFC"/>
    <w:rsid w:val="008F676A"/>
    <w:rsid w:val="008F6F0B"/>
    <w:rsid w:val="008F6FF9"/>
    <w:rsid w:val="008F7270"/>
    <w:rsid w:val="008F79ED"/>
    <w:rsid w:val="008F7C57"/>
    <w:rsid w:val="009005A2"/>
    <w:rsid w:val="0090102D"/>
    <w:rsid w:val="00901A07"/>
    <w:rsid w:val="00901BC2"/>
    <w:rsid w:val="00903D41"/>
    <w:rsid w:val="00904CE0"/>
    <w:rsid w:val="00904FA3"/>
    <w:rsid w:val="00905767"/>
    <w:rsid w:val="0090637E"/>
    <w:rsid w:val="00907371"/>
    <w:rsid w:val="00907BA7"/>
    <w:rsid w:val="00910306"/>
    <w:rsid w:val="0091064E"/>
    <w:rsid w:val="0091196F"/>
    <w:rsid w:val="00911FC5"/>
    <w:rsid w:val="00912018"/>
    <w:rsid w:val="009120E4"/>
    <w:rsid w:val="00912664"/>
    <w:rsid w:val="00913013"/>
    <w:rsid w:val="00916ADA"/>
    <w:rsid w:val="00917FAE"/>
    <w:rsid w:val="00920CDB"/>
    <w:rsid w:val="00922A7B"/>
    <w:rsid w:val="0092324A"/>
    <w:rsid w:val="0092529B"/>
    <w:rsid w:val="009255FF"/>
    <w:rsid w:val="00925CFA"/>
    <w:rsid w:val="00926208"/>
    <w:rsid w:val="00926258"/>
    <w:rsid w:val="00926CB6"/>
    <w:rsid w:val="00926CE0"/>
    <w:rsid w:val="0092724E"/>
    <w:rsid w:val="0092767A"/>
    <w:rsid w:val="00927945"/>
    <w:rsid w:val="00930512"/>
    <w:rsid w:val="00931137"/>
    <w:rsid w:val="00931A10"/>
    <w:rsid w:val="009322E9"/>
    <w:rsid w:val="00932C98"/>
    <w:rsid w:val="009330A7"/>
    <w:rsid w:val="009338DB"/>
    <w:rsid w:val="009372F0"/>
    <w:rsid w:val="0094143B"/>
    <w:rsid w:val="00941C61"/>
    <w:rsid w:val="00941C8C"/>
    <w:rsid w:val="00943F5F"/>
    <w:rsid w:val="0094421D"/>
    <w:rsid w:val="00945046"/>
    <w:rsid w:val="00945893"/>
    <w:rsid w:val="0094634C"/>
    <w:rsid w:val="009467A0"/>
    <w:rsid w:val="00946E65"/>
    <w:rsid w:val="00947967"/>
    <w:rsid w:val="00950516"/>
    <w:rsid w:val="009529AD"/>
    <w:rsid w:val="00953017"/>
    <w:rsid w:val="0095414D"/>
    <w:rsid w:val="009548A8"/>
    <w:rsid w:val="00955201"/>
    <w:rsid w:val="00955C7F"/>
    <w:rsid w:val="00956ACC"/>
    <w:rsid w:val="00960659"/>
    <w:rsid w:val="009608C3"/>
    <w:rsid w:val="009608CD"/>
    <w:rsid w:val="009624FE"/>
    <w:rsid w:val="00962836"/>
    <w:rsid w:val="00962A82"/>
    <w:rsid w:val="00963F15"/>
    <w:rsid w:val="00964423"/>
    <w:rsid w:val="00965200"/>
    <w:rsid w:val="00966459"/>
    <w:rsid w:val="00966505"/>
    <w:rsid w:val="009668B3"/>
    <w:rsid w:val="00967596"/>
    <w:rsid w:val="00967D92"/>
    <w:rsid w:val="0097022F"/>
    <w:rsid w:val="009706CC"/>
    <w:rsid w:val="00970CA7"/>
    <w:rsid w:val="00971471"/>
    <w:rsid w:val="0097262B"/>
    <w:rsid w:val="00972D58"/>
    <w:rsid w:val="009738CD"/>
    <w:rsid w:val="00975392"/>
    <w:rsid w:val="00975C31"/>
    <w:rsid w:val="00977756"/>
    <w:rsid w:val="00977C1B"/>
    <w:rsid w:val="00980603"/>
    <w:rsid w:val="00980BB7"/>
    <w:rsid w:val="00980DBE"/>
    <w:rsid w:val="00984153"/>
    <w:rsid w:val="00984630"/>
    <w:rsid w:val="009849C2"/>
    <w:rsid w:val="00984D24"/>
    <w:rsid w:val="00985148"/>
    <w:rsid w:val="009855B8"/>
    <w:rsid w:val="009858EB"/>
    <w:rsid w:val="009859F5"/>
    <w:rsid w:val="0098633B"/>
    <w:rsid w:val="00990111"/>
    <w:rsid w:val="00991F3A"/>
    <w:rsid w:val="009924CE"/>
    <w:rsid w:val="00992B83"/>
    <w:rsid w:val="00992C7B"/>
    <w:rsid w:val="00994BE2"/>
    <w:rsid w:val="00995718"/>
    <w:rsid w:val="009964FC"/>
    <w:rsid w:val="00996808"/>
    <w:rsid w:val="009971F5"/>
    <w:rsid w:val="009972F3"/>
    <w:rsid w:val="009976DD"/>
    <w:rsid w:val="009A004E"/>
    <w:rsid w:val="009A0898"/>
    <w:rsid w:val="009A0C7F"/>
    <w:rsid w:val="009A0D38"/>
    <w:rsid w:val="009A1A84"/>
    <w:rsid w:val="009A2432"/>
    <w:rsid w:val="009A28C0"/>
    <w:rsid w:val="009A30F9"/>
    <w:rsid w:val="009A3B18"/>
    <w:rsid w:val="009A6D1E"/>
    <w:rsid w:val="009B0046"/>
    <w:rsid w:val="009B0BC2"/>
    <w:rsid w:val="009B2275"/>
    <w:rsid w:val="009B3629"/>
    <w:rsid w:val="009B3926"/>
    <w:rsid w:val="009B4A77"/>
    <w:rsid w:val="009B5741"/>
    <w:rsid w:val="009B6666"/>
    <w:rsid w:val="009B6950"/>
    <w:rsid w:val="009B6ADB"/>
    <w:rsid w:val="009C1440"/>
    <w:rsid w:val="009C2107"/>
    <w:rsid w:val="009C2B91"/>
    <w:rsid w:val="009C3988"/>
    <w:rsid w:val="009C3BD7"/>
    <w:rsid w:val="009C4CF3"/>
    <w:rsid w:val="009C520A"/>
    <w:rsid w:val="009C5D9E"/>
    <w:rsid w:val="009C6360"/>
    <w:rsid w:val="009C64AE"/>
    <w:rsid w:val="009C6917"/>
    <w:rsid w:val="009C775F"/>
    <w:rsid w:val="009D08F5"/>
    <w:rsid w:val="009D0DF3"/>
    <w:rsid w:val="009D1353"/>
    <w:rsid w:val="009D164B"/>
    <w:rsid w:val="009D1BA2"/>
    <w:rsid w:val="009D267F"/>
    <w:rsid w:val="009D2C3E"/>
    <w:rsid w:val="009D5844"/>
    <w:rsid w:val="009D5B11"/>
    <w:rsid w:val="009D5EBC"/>
    <w:rsid w:val="009D6DC6"/>
    <w:rsid w:val="009E0625"/>
    <w:rsid w:val="009E1D95"/>
    <w:rsid w:val="009E2877"/>
    <w:rsid w:val="009E2BEA"/>
    <w:rsid w:val="009E3034"/>
    <w:rsid w:val="009E30C6"/>
    <w:rsid w:val="009E32AC"/>
    <w:rsid w:val="009E4005"/>
    <w:rsid w:val="009E40FE"/>
    <w:rsid w:val="009E417C"/>
    <w:rsid w:val="009E549F"/>
    <w:rsid w:val="009E6290"/>
    <w:rsid w:val="009E692A"/>
    <w:rsid w:val="009E6BAB"/>
    <w:rsid w:val="009E74AB"/>
    <w:rsid w:val="009F0087"/>
    <w:rsid w:val="009F12EE"/>
    <w:rsid w:val="009F1CB8"/>
    <w:rsid w:val="009F28A8"/>
    <w:rsid w:val="009F2AF8"/>
    <w:rsid w:val="009F473E"/>
    <w:rsid w:val="009F5EAF"/>
    <w:rsid w:val="009F682A"/>
    <w:rsid w:val="009F6AD1"/>
    <w:rsid w:val="009F78EE"/>
    <w:rsid w:val="00A000E7"/>
    <w:rsid w:val="00A00F7A"/>
    <w:rsid w:val="00A01F7F"/>
    <w:rsid w:val="00A022BE"/>
    <w:rsid w:val="00A04A3A"/>
    <w:rsid w:val="00A04D29"/>
    <w:rsid w:val="00A06023"/>
    <w:rsid w:val="00A063A9"/>
    <w:rsid w:val="00A07883"/>
    <w:rsid w:val="00A079B0"/>
    <w:rsid w:val="00A07D59"/>
    <w:rsid w:val="00A1109E"/>
    <w:rsid w:val="00A1242C"/>
    <w:rsid w:val="00A12708"/>
    <w:rsid w:val="00A12F2D"/>
    <w:rsid w:val="00A13D09"/>
    <w:rsid w:val="00A13E77"/>
    <w:rsid w:val="00A14068"/>
    <w:rsid w:val="00A14092"/>
    <w:rsid w:val="00A15006"/>
    <w:rsid w:val="00A15FB3"/>
    <w:rsid w:val="00A218A8"/>
    <w:rsid w:val="00A21DB2"/>
    <w:rsid w:val="00A21E7D"/>
    <w:rsid w:val="00A241C3"/>
    <w:rsid w:val="00A243A7"/>
    <w:rsid w:val="00A24C95"/>
    <w:rsid w:val="00A25664"/>
    <w:rsid w:val="00A2599A"/>
    <w:rsid w:val="00A25ECA"/>
    <w:rsid w:val="00A26094"/>
    <w:rsid w:val="00A27EA7"/>
    <w:rsid w:val="00A301BF"/>
    <w:rsid w:val="00A302B2"/>
    <w:rsid w:val="00A30AE7"/>
    <w:rsid w:val="00A310DD"/>
    <w:rsid w:val="00A31CA7"/>
    <w:rsid w:val="00A32D7E"/>
    <w:rsid w:val="00A331B4"/>
    <w:rsid w:val="00A33C1F"/>
    <w:rsid w:val="00A33D50"/>
    <w:rsid w:val="00A3484E"/>
    <w:rsid w:val="00A35645"/>
    <w:rsid w:val="00A356D3"/>
    <w:rsid w:val="00A368AE"/>
    <w:rsid w:val="00A36ADA"/>
    <w:rsid w:val="00A36C50"/>
    <w:rsid w:val="00A40ECD"/>
    <w:rsid w:val="00A42A3C"/>
    <w:rsid w:val="00A42CF9"/>
    <w:rsid w:val="00A438D8"/>
    <w:rsid w:val="00A43BF1"/>
    <w:rsid w:val="00A45072"/>
    <w:rsid w:val="00A45322"/>
    <w:rsid w:val="00A453EB"/>
    <w:rsid w:val="00A4578B"/>
    <w:rsid w:val="00A46025"/>
    <w:rsid w:val="00A46886"/>
    <w:rsid w:val="00A46D00"/>
    <w:rsid w:val="00A473F5"/>
    <w:rsid w:val="00A476C3"/>
    <w:rsid w:val="00A47DD2"/>
    <w:rsid w:val="00A50415"/>
    <w:rsid w:val="00A50A04"/>
    <w:rsid w:val="00A512AF"/>
    <w:rsid w:val="00A51F9D"/>
    <w:rsid w:val="00A523E8"/>
    <w:rsid w:val="00A52779"/>
    <w:rsid w:val="00A528F6"/>
    <w:rsid w:val="00A52F81"/>
    <w:rsid w:val="00A53396"/>
    <w:rsid w:val="00A5370B"/>
    <w:rsid w:val="00A53C11"/>
    <w:rsid w:val="00A5416A"/>
    <w:rsid w:val="00A568E3"/>
    <w:rsid w:val="00A56BCC"/>
    <w:rsid w:val="00A601BA"/>
    <w:rsid w:val="00A6137A"/>
    <w:rsid w:val="00A61C6C"/>
    <w:rsid w:val="00A61DCA"/>
    <w:rsid w:val="00A62928"/>
    <w:rsid w:val="00A639F4"/>
    <w:rsid w:val="00A64770"/>
    <w:rsid w:val="00A66B5C"/>
    <w:rsid w:val="00A71940"/>
    <w:rsid w:val="00A7260C"/>
    <w:rsid w:val="00A731D1"/>
    <w:rsid w:val="00A740B1"/>
    <w:rsid w:val="00A74609"/>
    <w:rsid w:val="00A74934"/>
    <w:rsid w:val="00A74DB5"/>
    <w:rsid w:val="00A75874"/>
    <w:rsid w:val="00A763CB"/>
    <w:rsid w:val="00A80BE0"/>
    <w:rsid w:val="00A80EF7"/>
    <w:rsid w:val="00A81A32"/>
    <w:rsid w:val="00A81A7A"/>
    <w:rsid w:val="00A82F84"/>
    <w:rsid w:val="00A83258"/>
    <w:rsid w:val="00A835BD"/>
    <w:rsid w:val="00A839B2"/>
    <w:rsid w:val="00A84772"/>
    <w:rsid w:val="00A84877"/>
    <w:rsid w:val="00A8668E"/>
    <w:rsid w:val="00A86F6F"/>
    <w:rsid w:val="00A9045F"/>
    <w:rsid w:val="00A90810"/>
    <w:rsid w:val="00A91594"/>
    <w:rsid w:val="00A91F6A"/>
    <w:rsid w:val="00A92A57"/>
    <w:rsid w:val="00A92C6C"/>
    <w:rsid w:val="00A932D0"/>
    <w:rsid w:val="00A93B95"/>
    <w:rsid w:val="00A962C0"/>
    <w:rsid w:val="00A96337"/>
    <w:rsid w:val="00A97B15"/>
    <w:rsid w:val="00A97CA0"/>
    <w:rsid w:val="00A97D4E"/>
    <w:rsid w:val="00AA0342"/>
    <w:rsid w:val="00AA04B8"/>
    <w:rsid w:val="00AA42D5"/>
    <w:rsid w:val="00AA4EB0"/>
    <w:rsid w:val="00AA604C"/>
    <w:rsid w:val="00AA6372"/>
    <w:rsid w:val="00AA6D23"/>
    <w:rsid w:val="00AA6D95"/>
    <w:rsid w:val="00AA7240"/>
    <w:rsid w:val="00AA732C"/>
    <w:rsid w:val="00AA73F6"/>
    <w:rsid w:val="00AB0908"/>
    <w:rsid w:val="00AB0C62"/>
    <w:rsid w:val="00AB114D"/>
    <w:rsid w:val="00AB1372"/>
    <w:rsid w:val="00AB1685"/>
    <w:rsid w:val="00AB2324"/>
    <w:rsid w:val="00AB26BF"/>
    <w:rsid w:val="00AB2B58"/>
    <w:rsid w:val="00AB2FAB"/>
    <w:rsid w:val="00AB540D"/>
    <w:rsid w:val="00AB5B27"/>
    <w:rsid w:val="00AB5C14"/>
    <w:rsid w:val="00AB621F"/>
    <w:rsid w:val="00AB654E"/>
    <w:rsid w:val="00AB6F02"/>
    <w:rsid w:val="00AB7023"/>
    <w:rsid w:val="00AC1183"/>
    <w:rsid w:val="00AC11B3"/>
    <w:rsid w:val="00AC1AE9"/>
    <w:rsid w:val="00AC1BCC"/>
    <w:rsid w:val="00AC1EE7"/>
    <w:rsid w:val="00AC1FC5"/>
    <w:rsid w:val="00AC333F"/>
    <w:rsid w:val="00AC350F"/>
    <w:rsid w:val="00AC45B6"/>
    <w:rsid w:val="00AC52A8"/>
    <w:rsid w:val="00AC585C"/>
    <w:rsid w:val="00AC66BF"/>
    <w:rsid w:val="00AC6A4E"/>
    <w:rsid w:val="00AC7373"/>
    <w:rsid w:val="00AD0481"/>
    <w:rsid w:val="00AD0D2A"/>
    <w:rsid w:val="00AD0D79"/>
    <w:rsid w:val="00AD0EE7"/>
    <w:rsid w:val="00AD1925"/>
    <w:rsid w:val="00AD21F5"/>
    <w:rsid w:val="00AD2DC8"/>
    <w:rsid w:val="00AD666F"/>
    <w:rsid w:val="00AD79FA"/>
    <w:rsid w:val="00AE0042"/>
    <w:rsid w:val="00AE067D"/>
    <w:rsid w:val="00AE0DA3"/>
    <w:rsid w:val="00AE13B7"/>
    <w:rsid w:val="00AE2055"/>
    <w:rsid w:val="00AE2490"/>
    <w:rsid w:val="00AE2892"/>
    <w:rsid w:val="00AE2C74"/>
    <w:rsid w:val="00AE2FAA"/>
    <w:rsid w:val="00AE3E80"/>
    <w:rsid w:val="00AE3FA2"/>
    <w:rsid w:val="00AE4CE9"/>
    <w:rsid w:val="00AE57A4"/>
    <w:rsid w:val="00AE7FF4"/>
    <w:rsid w:val="00AF01B7"/>
    <w:rsid w:val="00AF05B0"/>
    <w:rsid w:val="00AF1077"/>
    <w:rsid w:val="00AF1181"/>
    <w:rsid w:val="00AF1E92"/>
    <w:rsid w:val="00AF2550"/>
    <w:rsid w:val="00AF2F79"/>
    <w:rsid w:val="00AF364E"/>
    <w:rsid w:val="00AF36A8"/>
    <w:rsid w:val="00AF3DE5"/>
    <w:rsid w:val="00AF4556"/>
    <w:rsid w:val="00AF4653"/>
    <w:rsid w:val="00AF47D8"/>
    <w:rsid w:val="00AF5625"/>
    <w:rsid w:val="00AF574F"/>
    <w:rsid w:val="00AF5964"/>
    <w:rsid w:val="00AF5990"/>
    <w:rsid w:val="00AF5D3A"/>
    <w:rsid w:val="00AF7DB7"/>
    <w:rsid w:val="00B0025D"/>
    <w:rsid w:val="00B00269"/>
    <w:rsid w:val="00B00821"/>
    <w:rsid w:val="00B021B3"/>
    <w:rsid w:val="00B02507"/>
    <w:rsid w:val="00B05808"/>
    <w:rsid w:val="00B05D0D"/>
    <w:rsid w:val="00B0623C"/>
    <w:rsid w:val="00B075A6"/>
    <w:rsid w:val="00B10067"/>
    <w:rsid w:val="00B10423"/>
    <w:rsid w:val="00B10811"/>
    <w:rsid w:val="00B10A42"/>
    <w:rsid w:val="00B117DA"/>
    <w:rsid w:val="00B11BC5"/>
    <w:rsid w:val="00B125E6"/>
    <w:rsid w:val="00B12C05"/>
    <w:rsid w:val="00B13C97"/>
    <w:rsid w:val="00B13D71"/>
    <w:rsid w:val="00B162DC"/>
    <w:rsid w:val="00B162FC"/>
    <w:rsid w:val="00B200F9"/>
    <w:rsid w:val="00B201E2"/>
    <w:rsid w:val="00B21512"/>
    <w:rsid w:val="00B21766"/>
    <w:rsid w:val="00B21A76"/>
    <w:rsid w:val="00B21C7D"/>
    <w:rsid w:val="00B22235"/>
    <w:rsid w:val="00B23183"/>
    <w:rsid w:val="00B23242"/>
    <w:rsid w:val="00B233C4"/>
    <w:rsid w:val="00B23548"/>
    <w:rsid w:val="00B23573"/>
    <w:rsid w:val="00B23974"/>
    <w:rsid w:val="00B25A41"/>
    <w:rsid w:val="00B267CB"/>
    <w:rsid w:val="00B2695F"/>
    <w:rsid w:val="00B27565"/>
    <w:rsid w:val="00B27BD5"/>
    <w:rsid w:val="00B30529"/>
    <w:rsid w:val="00B32819"/>
    <w:rsid w:val="00B3284A"/>
    <w:rsid w:val="00B34AA2"/>
    <w:rsid w:val="00B35484"/>
    <w:rsid w:val="00B36284"/>
    <w:rsid w:val="00B372BD"/>
    <w:rsid w:val="00B37811"/>
    <w:rsid w:val="00B40FED"/>
    <w:rsid w:val="00B41C64"/>
    <w:rsid w:val="00B4225F"/>
    <w:rsid w:val="00B4243F"/>
    <w:rsid w:val="00B42FD7"/>
    <w:rsid w:val="00B43BB1"/>
    <w:rsid w:val="00B443E4"/>
    <w:rsid w:val="00B45397"/>
    <w:rsid w:val="00B45B45"/>
    <w:rsid w:val="00B4634E"/>
    <w:rsid w:val="00B506FE"/>
    <w:rsid w:val="00B52314"/>
    <w:rsid w:val="00B52780"/>
    <w:rsid w:val="00B53019"/>
    <w:rsid w:val="00B5308C"/>
    <w:rsid w:val="00B54372"/>
    <w:rsid w:val="00B563EA"/>
    <w:rsid w:val="00B565C8"/>
    <w:rsid w:val="00B56961"/>
    <w:rsid w:val="00B56A82"/>
    <w:rsid w:val="00B603FD"/>
    <w:rsid w:val="00B606F4"/>
    <w:rsid w:val="00B60E51"/>
    <w:rsid w:val="00B62DC4"/>
    <w:rsid w:val="00B63A54"/>
    <w:rsid w:val="00B63B55"/>
    <w:rsid w:val="00B67E40"/>
    <w:rsid w:val="00B7031E"/>
    <w:rsid w:val="00B70D65"/>
    <w:rsid w:val="00B728BA"/>
    <w:rsid w:val="00B731A0"/>
    <w:rsid w:val="00B73F19"/>
    <w:rsid w:val="00B741EC"/>
    <w:rsid w:val="00B7539E"/>
    <w:rsid w:val="00B75ADD"/>
    <w:rsid w:val="00B76871"/>
    <w:rsid w:val="00B76AA8"/>
    <w:rsid w:val="00B76E53"/>
    <w:rsid w:val="00B770E5"/>
    <w:rsid w:val="00B77D18"/>
    <w:rsid w:val="00B8052B"/>
    <w:rsid w:val="00B814B1"/>
    <w:rsid w:val="00B81653"/>
    <w:rsid w:val="00B82A48"/>
    <w:rsid w:val="00B8313A"/>
    <w:rsid w:val="00B83766"/>
    <w:rsid w:val="00B83BEA"/>
    <w:rsid w:val="00B869B8"/>
    <w:rsid w:val="00B871FC"/>
    <w:rsid w:val="00B87612"/>
    <w:rsid w:val="00B87E3D"/>
    <w:rsid w:val="00B93503"/>
    <w:rsid w:val="00B9410B"/>
    <w:rsid w:val="00B9420B"/>
    <w:rsid w:val="00B949E4"/>
    <w:rsid w:val="00B966AC"/>
    <w:rsid w:val="00B96C70"/>
    <w:rsid w:val="00BA052F"/>
    <w:rsid w:val="00BA150B"/>
    <w:rsid w:val="00BA2224"/>
    <w:rsid w:val="00BA31E8"/>
    <w:rsid w:val="00BA40BB"/>
    <w:rsid w:val="00BA55E0"/>
    <w:rsid w:val="00BA6029"/>
    <w:rsid w:val="00BA63D6"/>
    <w:rsid w:val="00BA664F"/>
    <w:rsid w:val="00BA6BD4"/>
    <w:rsid w:val="00BA6C7A"/>
    <w:rsid w:val="00BB1274"/>
    <w:rsid w:val="00BB1393"/>
    <w:rsid w:val="00BB2000"/>
    <w:rsid w:val="00BB209F"/>
    <w:rsid w:val="00BB2662"/>
    <w:rsid w:val="00BB2897"/>
    <w:rsid w:val="00BB30F6"/>
    <w:rsid w:val="00BB3752"/>
    <w:rsid w:val="00BB38DF"/>
    <w:rsid w:val="00BB3E4F"/>
    <w:rsid w:val="00BB4F25"/>
    <w:rsid w:val="00BB52BD"/>
    <w:rsid w:val="00BB6688"/>
    <w:rsid w:val="00BC0ADA"/>
    <w:rsid w:val="00BC26D4"/>
    <w:rsid w:val="00BC2968"/>
    <w:rsid w:val="00BC2A6E"/>
    <w:rsid w:val="00BC30A4"/>
    <w:rsid w:val="00BC5AB7"/>
    <w:rsid w:val="00BC5AE9"/>
    <w:rsid w:val="00BC5F9E"/>
    <w:rsid w:val="00BD06A3"/>
    <w:rsid w:val="00BD1307"/>
    <w:rsid w:val="00BD137E"/>
    <w:rsid w:val="00BD1928"/>
    <w:rsid w:val="00BD193D"/>
    <w:rsid w:val="00BD1A2A"/>
    <w:rsid w:val="00BD1DC0"/>
    <w:rsid w:val="00BD4E4E"/>
    <w:rsid w:val="00BD5340"/>
    <w:rsid w:val="00BD5793"/>
    <w:rsid w:val="00BD5E07"/>
    <w:rsid w:val="00BD6259"/>
    <w:rsid w:val="00BD675E"/>
    <w:rsid w:val="00BD76FD"/>
    <w:rsid w:val="00BD7D4A"/>
    <w:rsid w:val="00BE0C80"/>
    <w:rsid w:val="00BE11D1"/>
    <w:rsid w:val="00BE35DD"/>
    <w:rsid w:val="00BE660D"/>
    <w:rsid w:val="00BE7615"/>
    <w:rsid w:val="00BF0066"/>
    <w:rsid w:val="00BF1ED8"/>
    <w:rsid w:val="00BF1F25"/>
    <w:rsid w:val="00BF29B1"/>
    <w:rsid w:val="00BF2A42"/>
    <w:rsid w:val="00BF438B"/>
    <w:rsid w:val="00BF43FB"/>
    <w:rsid w:val="00BF4A8F"/>
    <w:rsid w:val="00BF4FA8"/>
    <w:rsid w:val="00BF5DAD"/>
    <w:rsid w:val="00BF679E"/>
    <w:rsid w:val="00C0039B"/>
    <w:rsid w:val="00C010C0"/>
    <w:rsid w:val="00C01630"/>
    <w:rsid w:val="00C01E27"/>
    <w:rsid w:val="00C01EE8"/>
    <w:rsid w:val="00C01F8B"/>
    <w:rsid w:val="00C02C63"/>
    <w:rsid w:val="00C03D8C"/>
    <w:rsid w:val="00C055EC"/>
    <w:rsid w:val="00C0608E"/>
    <w:rsid w:val="00C06402"/>
    <w:rsid w:val="00C066E2"/>
    <w:rsid w:val="00C07C74"/>
    <w:rsid w:val="00C07C90"/>
    <w:rsid w:val="00C07F4E"/>
    <w:rsid w:val="00C10DC9"/>
    <w:rsid w:val="00C12FB3"/>
    <w:rsid w:val="00C13022"/>
    <w:rsid w:val="00C1302E"/>
    <w:rsid w:val="00C13A6D"/>
    <w:rsid w:val="00C14051"/>
    <w:rsid w:val="00C155C5"/>
    <w:rsid w:val="00C15EEB"/>
    <w:rsid w:val="00C1673B"/>
    <w:rsid w:val="00C16D47"/>
    <w:rsid w:val="00C17341"/>
    <w:rsid w:val="00C20ACB"/>
    <w:rsid w:val="00C20B08"/>
    <w:rsid w:val="00C21CDC"/>
    <w:rsid w:val="00C2267E"/>
    <w:rsid w:val="00C227E2"/>
    <w:rsid w:val="00C240DD"/>
    <w:rsid w:val="00C2410D"/>
    <w:rsid w:val="00C2418D"/>
    <w:rsid w:val="00C24EEF"/>
    <w:rsid w:val="00C2516E"/>
    <w:rsid w:val="00C2587B"/>
    <w:rsid w:val="00C258D8"/>
    <w:rsid w:val="00C25CF6"/>
    <w:rsid w:val="00C260E2"/>
    <w:rsid w:val="00C26C36"/>
    <w:rsid w:val="00C27D79"/>
    <w:rsid w:val="00C300A3"/>
    <w:rsid w:val="00C3024E"/>
    <w:rsid w:val="00C3027F"/>
    <w:rsid w:val="00C30389"/>
    <w:rsid w:val="00C32768"/>
    <w:rsid w:val="00C32FDF"/>
    <w:rsid w:val="00C33BA5"/>
    <w:rsid w:val="00C34BAD"/>
    <w:rsid w:val="00C378A1"/>
    <w:rsid w:val="00C379C8"/>
    <w:rsid w:val="00C40FCB"/>
    <w:rsid w:val="00C41176"/>
    <w:rsid w:val="00C4146B"/>
    <w:rsid w:val="00C4197D"/>
    <w:rsid w:val="00C41FA0"/>
    <w:rsid w:val="00C42D14"/>
    <w:rsid w:val="00C42FB1"/>
    <w:rsid w:val="00C431DF"/>
    <w:rsid w:val="00C4417C"/>
    <w:rsid w:val="00C443FC"/>
    <w:rsid w:val="00C44797"/>
    <w:rsid w:val="00C44E0F"/>
    <w:rsid w:val="00C450CD"/>
    <w:rsid w:val="00C452B7"/>
    <w:rsid w:val="00C456BD"/>
    <w:rsid w:val="00C45BB0"/>
    <w:rsid w:val="00C461EF"/>
    <w:rsid w:val="00C4629B"/>
    <w:rsid w:val="00C46723"/>
    <w:rsid w:val="00C46E6F"/>
    <w:rsid w:val="00C46FD6"/>
    <w:rsid w:val="00C50AA2"/>
    <w:rsid w:val="00C50FCC"/>
    <w:rsid w:val="00C510F7"/>
    <w:rsid w:val="00C52168"/>
    <w:rsid w:val="00C529AB"/>
    <w:rsid w:val="00C52A3A"/>
    <w:rsid w:val="00C530DC"/>
    <w:rsid w:val="00C5350D"/>
    <w:rsid w:val="00C54C69"/>
    <w:rsid w:val="00C55C05"/>
    <w:rsid w:val="00C55C2D"/>
    <w:rsid w:val="00C563DF"/>
    <w:rsid w:val="00C564D5"/>
    <w:rsid w:val="00C56676"/>
    <w:rsid w:val="00C57EAC"/>
    <w:rsid w:val="00C6099C"/>
    <w:rsid w:val="00C6123C"/>
    <w:rsid w:val="00C61381"/>
    <w:rsid w:val="00C62607"/>
    <w:rsid w:val="00C6311A"/>
    <w:rsid w:val="00C64247"/>
    <w:rsid w:val="00C6431B"/>
    <w:rsid w:val="00C643AF"/>
    <w:rsid w:val="00C65F5E"/>
    <w:rsid w:val="00C666FA"/>
    <w:rsid w:val="00C668CF"/>
    <w:rsid w:val="00C66D14"/>
    <w:rsid w:val="00C66E21"/>
    <w:rsid w:val="00C67D78"/>
    <w:rsid w:val="00C701DC"/>
    <w:rsid w:val="00C7084D"/>
    <w:rsid w:val="00C70B83"/>
    <w:rsid w:val="00C7249B"/>
    <w:rsid w:val="00C7249E"/>
    <w:rsid w:val="00C72F3D"/>
    <w:rsid w:val="00C7315E"/>
    <w:rsid w:val="00C73CDA"/>
    <w:rsid w:val="00C7422F"/>
    <w:rsid w:val="00C74F3D"/>
    <w:rsid w:val="00C7507B"/>
    <w:rsid w:val="00C752F8"/>
    <w:rsid w:val="00C75895"/>
    <w:rsid w:val="00C75947"/>
    <w:rsid w:val="00C75E84"/>
    <w:rsid w:val="00C774D9"/>
    <w:rsid w:val="00C80C72"/>
    <w:rsid w:val="00C818ED"/>
    <w:rsid w:val="00C83513"/>
    <w:rsid w:val="00C83A78"/>
    <w:rsid w:val="00C83C9F"/>
    <w:rsid w:val="00C9156B"/>
    <w:rsid w:val="00C9264B"/>
    <w:rsid w:val="00C94840"/>
    <w:rsid w:val="00C96282"/>
    <w:rsid w:val="00C96CED"/>
    <w:rsid w:val="00CA030B"/>
    <w:rsid w:val="00CA082E"/>
    <w:rsid w:val="00CA22CA"/>
    <w:rsid w:val="00CA2A82"/>
    <w:rsid w:val="00CA2DC4"/>
    <w:rsid w:val="00CA30A6"/>
    <w:rsid w:val="00CA3683"/>
    <w:rsid w:val="00CA41E8"/>
    <w:rsid w:val="00CA4B3F"/>
    <w:rsid w:val="00CA4EE3"/>
    <w:rsid w:val="00CA5C11"/>
    <w:rsid w:val="00CA781C"/>
    <w:rsid w:val="00CB027F"/>
    <w:rsid w:val="00CB0D15"/>
    <w:rsid w:val="00CB1099"/>
    <w:rsid w:val="00CB1636"/>
    <w:rsid w:val="00CB16CC"/>
    <w:rsid w:val="00CB5E7A"/>
    <w:rsid w:val="00CB72D4"/>
    <w:rsid w:val="00CB7963"/>
    <w:rsid w:val="00CC096B"/>
    <w:rsid w:val="00CC0E3C"/>
    <w:rsid w:val="00CC0EBB"/>
    <w:rsid w:val="00CC58D6"/>
    <w:rsid w:val="00CC6297"/>
    <w:rsid w:val="00CC7690"/>
    <w:rsid w:val="00CC7CEB"/>
    <w:rsid w:val="00CD00AC"/>
    <w:rsid w:val="00CD0AFD"/>
    <w:rsid w:val="00CD1033"/>
    <w:rsid w:val="00CD150A"/>
    <w:rsid w:val="00CD1986"/>
    <w:rsid w:val="00CD30A9"/>
    <w:rsid w:val="00CD54BF"/>
    <w:rsid w:val="00CD67EB"/>
    <w:rsid w:val="00CD726C"/>
    <w:rsid w:val="00CD74BE"/>
    <w:rsid w:val="00CE391F"/>
    <w:rsid w:val="00CE40CA"/>
    <w:rsid w:val="00CE4345"/>
    <w:rsid w:val="00CE4D5C"/>
    <w:rsid w:val="00CE5628"/>
    <w:rsid w:val="00CE6AE7"/>
    <w:rsid w:val="00CE7E0D"/>
    <w:rsid w:val="00CF0584"/>
    <w:rsid w:val="00CF05DA"/>
    <w:rsid w:val="00CF10D9"/>
    <w:rsid w:val="00CF233F"/>
    <w:rsid w:val="00CF23D5"/>
    <w:rsid w:val="00CF262A"/>
    <w:rsid w:val="00CF2989"/>
    <w:rsid w:val="00CF2C0A"/>
    <w:rsid w:val="00CF305D"/>
    <w:rsid w:val="00CF3D66"/>
    <w:rsid w:val="00CF400E"/>
    <w:rsid w:val="00CF4B99"/>
    <w:rsid w:val="00CF58EB"/>
    <w:rsid w:val="00CF5AEF"/>
    <w:rsid w:val="00CF5E5A"/>
    <w:rsid w:val="00CF6361"/>
    <w:rsid w:val="00CF6FEC"/>
    <w:rsid w:val="00CF7852"/>
    <w:rsid w:val="00D005A5"/>
    <w:rsid w:val="00D00BD6"/>
    <w:rsid w:val="00D00EA0"/>
    <w:rsid w:val="00D0106E"/>
    <w:rsid w:val="00D04C96"/>
    <w:rsid w:val="00D06383"/>
    <w:rsid w:val="00D06E71"/>
    <w:rsid w:val="00D07421"/>
    <w:rsid w:val="00D103DF"/>
    <w:rsid w:val="00D115F3"/>
    <w:rsid w:val="00D122C6"/>
    <w:rsid w:val="00D137FA"/>
    <w:rsid w:val="00D13D9B"/>
    <w:rsid w:val="00D14C0F"/>
    <w:rsid w:val="00D157AC"/>
    <w:rsid w:val="00D1583D"/>
    <w:rsid w:val="00D16372"/>
    <w:rsid w:val="00D20B61"/>
    <w:rsid w:val="00D20E85"/>
    <w:rsid w:val="00D22FD5"/>
    <w:rsid w:val="00D23A9F"/>
    <w:rsid w:val="00D24615"/>
    <w:rsid w:val="00D24FED"/>
    <w:rsid w:val="00D26B7B"/>
    <w:rsid w:val="00D30787"/>
    <w:rsid w:val="00D30A81"/>
    <w:rsid w:val="00D30FFA"/>
    <w:rsid w:val="00D310D3"/>
    <w:rsid w:val="00D3154F"/>
    <w:rsid w:val="00D317B4"/>
    <w:rsid w:val="00D32AFC"/>
    <w:rsid w:val="00D32F7A"/>
    <w:rsid w:val="00D36469"/>
    <w:rsid w:val="00D36A34"/>
    <w:rsid w:val="00D37842"/>
    <w:rsid w:val="00D37CF7"/>
    <w:rsid w:val="00D40775"/>
    <w:rsid w:val="00D40E66"/>
    <w:rsid w:val="00D414B9"/>
    <w:rsid w:val="00D42DC2"/>
    <w:rsid w:val="00D42E51"/>
    <w:rsid w:val="00D439A2"/>
    <w:rsid w:val="00D43CC4"/>
    <w:rsid w:val="00D44A5A"/>
    <w:rsid w:val="00D44AE1"/>
    <w:rsid w:val="00D47E69"/>
    <w:rsid w:val="00D503F1"/>
    <w:rsid w:val="00D5064B"/>
    <w:rsid w:val="00D52AA7"/>
    <w:rsid w:val="00D52C18"/>
    <w:rsid w:val="00D537E1"/>
    <w:rsid w:val="00D54843"/>
    <w:rsid w:val="00D5519C"/>
    <w:rsid w:val="00D55B63"/>
    <w:rsid w:val="00D55BB2"/>
    <w:rsid w:val="00D56198"/>
    <w:rsid w:val="00D6091A"/>
    <w:rsid w:val="00D61E93"/>
    <w:rsid w:val="00D621DA"/>
    <w:rsid w:val="00D6395F"/>
    <w:rsid w:val="00D6605A"/>
    <w:rsid w:val="00D6695F"/>
    <w:rsid w:val="00D673D1"/>
    <w:rsid w:val="00D70348"/>
    <w:rsid w:val="00D7152F"/>
    <w:rsid w:val="00D72308"/>
    <w:rsid w:val="00D72916"/>
    <w:rsid w:val="00D734C4"/>
    <w:rsid w:val="00D73705"/>
    <w:rsid w:val="00D7450E"/>
    <w:rsid w:val="00D751EB"/>
    <w:rsid w:val="00D7522F"/>
    <w:rsid w:val="00D75392"/>
    <w:rsid w:val="00D75644"/>
    <w:rsid w:val="00D77841"/>
    <w:rsid w:val="00D77DD7"/>
    <w:rsid w:val="00D80F96"/>
    <w:rsid w:val="00D80FD2"/>
    <w:rsid w:val="00D810E2"/>
    <w:rsid w:val="00D81656"/>
    <w:rsid w:val="00D81DCC"/>
    <w:rsid w:val="00D81F12"/>
    <w:rsid w:val="00D83D87"/>
    <w:rsid w:val="00D84A6D"/>
    <w:rsid w:val="00D8507E"/>
    <w:rsid w:val="00D860DD"/>
    <w:rsid w:val="00D8616A"/>
    <w:rsid w:val="00D86A30"/>
    <w:rsid w:val="00D86D24"/>
    <w:rsid w:val="00D9074F"/>
    <w:rsid w:val="00D90F82"/>
    <w:rsid w:val="00D911BF"/>
    <w:rsid w:val="00D91232"/>
    <w:rsid w:val="00D93AAE"/>
    <w:rsid w:val="00D940F5"/>
    <w:rsid w:val="00D94266"/>
    <w:rsid w:val="00D95DD3"/>
    <w:rsid w:val="00D973AB"/>
    <w:rsid w:val="00D97CB4"/>
    <w:rsid w:val="00D97DD4"/>
    <w:rsid w:val="00DA0A1E"/>
    <w:rsid w:val="00DA0FE1"/>
    <w:rsid w:val="00DA1396"/>
    <w:rsid w:val="00DA281D"/>
    <w:rsid w:val="00DA36EF"/>
    <w:rsid w:val="00DA3ABF"/>
    <w:rsid w:val="00DA46E6"/>
    <w:rsid w:val="00DA58E4"/>
    <w:rsid w:val="00DA5A8A"/>
    <w:rsid w:val="00DA75C4"/>
    <w:rsid w:val="00DA7B20"/>
    <w:rsid w:val="00DB02FE"/>
    <w:rsid w:val="00DB0D99"/>
    <w:rsid w:val="00DB12DE"/>
    <w:rsid w:val="00DB22A9"/>
    <w:rsid w:val="00DB231B"/>
    <w:rsid w:val="00DB26CD"/>
    <w:rsid w:val="00DB32E4"/>
    <w:rsid w:val="00DB441C"/>
    <w:rsid w:val="00DB44AF"/>
    <w:rsid w:val="00DB44D0"/>
    <w:rsid w:val="00DC1F58"/>
    <w:rsid w:val="00DC2776"/>
    <w:rsid w:val="00DC2F1D"/>
    <w:rsid w:val="00DC31D5"/>
    <w:rsid w:val="00DC339B"/>
    <w:rsid w:val="00DC4574"/>
    <w:rsid w:val="00DC50C1"/>
    <w:rsid w:val="00DC51AB"/>
    <w:rsid w:val="00DC5D40"/>
    <w:rsid w:val="00DC69A7"/>
    <w:rsid w:val="00DC6E67"/>
    <w:rsid w:val="00DD0791"/>
    <w:rsid w:val="00DD14C9"/>
    <w:rsid w:val="00DD30E9"/>
    <w:rsid w:val="00DD494D"/>
    <w:rsid w:val="00DD4F47"/>
    <w:rsid w:val="00DD5482"/>
    <w:rsid w:val="00DD5767"/>
    <w:rsid w:val="00DD629C"/>
    <w:rsid w:val="00DD7FBB"/>
    <w:rsid w:val="00DE0A50"/>
    <w:rsid w:val="00DE0B9F"/>
    <w:rsid w:val="00DE100B"/>
    <w:rsid w:val="00DE2F0F"/>
    <w:rsid w:val="00DE35B2"/>
    <w:rsid w:val="00DE3D9E"/>
    <w:rsid w:val="00DE3F9C"/>
    <w:rsid w:val="00DE4238"/>
    <w:rsid w:val="00DE48E8"/>
    <w:rsid w:val="00DE5821"/>
    <w:rsid w:val="00DE657F"/>
    <w:rsid w:val="00DE76F9"/>
    <w:rsid w:val="00DF0C96"/>
    <w:rsid w:val="00DF0F53"/>
    <w:rsid w:val="00DF0FDE"/>
    <w:rsid w:val="00DF1218"/>
    <w:rsid w:val="00DF2ADE"/>
    <w:rsid w:val="00DF33F7"/>
    <w:rsid w:val="00DF3873"/>
    <w:rsid w:val="00DF3B8F"/>
    <w:rsid w:val="00DF475C"/>
    <w:rsid w:val="00DF50CA"/>
    <w:rsid w:val="00DF5B99"/>
    <w:rsid w:val="00DF6462"/>
    <w:rsid w:val="00DF6B98"/>
    <w:rsid w:val="00E00406"/>
    <w:rsid w:val="00E02FA0"/>
    <w:rsid w:val="00E030E8"/>
    <w:rsid w:val="00E036DC"/>
    <w:rsid w:val="00E05266"/>
    <w:rsid w:val="00E07556"/>
    <w:rsid w:val="00E10454"/>
    <w:rsid w:val="00E10C40"/>
    <w:rsid w:val="00E112E5"/>
    <w:rsid w:val="00E12075"/>
    <w:rsid w:val="00E12CC8"/>
    <w:rsid w:val="00E13341"/>
    <w:rsid w:val="00E13AEE"/>
    <w:rsid w:val="00E13D8E"/>
    <w:rsid w:val="00E144BC"/>
    <w:rsid w:val="00E15C34"/>
    <w:rsid w:val="00E15E04"/>
    <w:rsid w:val="00E17577"/>
    <w:rsid w:val="00E1784C"/>
    <w:rsid w:val="00E204A3"/>
    <w:rsid w:val="00E210EF"/>
    <w:rsid w:val="00E21625"/>
    <w:rsid w:val="00E21C79"/>
    <w:rsid w:val="00E21CC7"/>
    <w:rsid w:val="00E21DE1"/>
    <w:rsid w:val="00E22E62"/>
    <w:rsid w:val="00E2351C"/>
    <w:rsid w:val="00E236FC"/>
    <w:rsid w:val="00E23C5A"/>
    <w:rsid w:val="00E243D1"/>
    <w:rsid w:val="00E24C3A"/>
    <w:rsid w:val="00E24D9E"/>
    <w:rsid w:val="00E25849"/>
    <w:rsid w:val="00E265D7"/>
    <w:rsid w:val="00E26E2B"/>
    <w:rsid w:val="00E30C6F"/>
    <w:rsid w:val="00E31140"/>
    <w:rsid w:val="00E3197E"/>
    <w:rsid w:val="00E3246D"/>
    <w:rsid w:val="00E33A88"/>
    <w:rsid w:val="00E342F8"/>
    <w:rsid w:val="00E351ED"/>
    <w:rsid w:val="00E353D0"/>
    <w:rsid w:val="00E35617"/>
    <w:rsid w:val="00E35F91"/>
    <w:rsid w:val="00E36CAD"/>
    <w:rsid w:val="00E37127"/>
    <w:rsid w:val="00E37A96"/>
    <w:rsid w:val="00E37DB5"/>
    <w:rsid w:val="00E421C4"/>
    <w:rsid w:val="00E43886"/>
    <w:rsid w:val="00E439FD"/>
    <w:rsid w:val="00E440C5"/>
    <w:rsid w:val="00E442C5"/>
    <w:rsid w:val="00E4461A"/>
    <w:rsid w:val="00E447EE"/>
    <w:rsid w:val="00E4562D"/>
    <w:rsid w:val="00E459B8"/>
    <w:rsid w:val="00E464DA"/>
    <w:rsid w:val="00E467B6"/>
    <w:rsid w:val="00E46AC6"/>
    <w:rsid w:val="00E46F69"/>
    <w:rsid w:val="00E501FC"/>
    <w:rsid w:val="00E504BD"/>
    <w:rsid w:val="00E53269"/>
    <w:rsid w:val="00E53F92"/>
    <w:rsid w:val="00E544DA"/>
    <w:rsid w:val="00E566BD"/>
    <w:rsid w:val="00E56EE5"/>
    <w:rsid w:val="00E57208"/>
    <w:rsid w:val="00E5797A"/>
    <w:rsid w:val="00E6034B"/>
    <w:rsid w:val="00E606E1"/>
    <w:rsid w:val="00E61982"/>
    <w:rsid w:val="00E622BD"/>
    <w:rsid w:val="00E62358"/>
    <w:rsid w:val="00E62948"/>
    <w:rsid w:val="00E635F8"/>
    <w:rsid w:val="00E63F6E"/>
    <w:rsid w:val="00E640A4"/>
    <w:rsid w:val="00E6452C"/>
    <w:rsid w:val="00E649BC"/>
    <w:rsid w:val="00E6509F"/>
    <w:rsid w:val="00E6549E"/>
    <w:rsid w:val="00E65EDE"/>
    <w:rsid w:val="00E65F79"/>
    <w:rsid w:val="00E66C58"/>
    <w:rsid w:val="00E70425"/>
    <w:rsid w:val="00E70F81"/>
    <w:rsid w:val="00E72D4C"/>
    <w:rsid w:val="00E73DFB"/>
    <w:rsid w:val="00E74772"/>
    <w:rsid w:val="00E74B21"/>
    <w:rsid w:val="00E75829"/>
    <w:rsid w:val="00E75C67"/>
    <w:rsid w:val="00E77055"/>
    <w:rsid w:val="00E77460"/>
    <w:rsid w:val="00E81EB4"/>
    <w:rsid w:val="00E82AD7"/>
    <w:rsid w:val="00E82E76"/>
    <w:rsid w:val="00E838FD"/>
    <w:rsid w:val="00E83ABC"/>
    <w:rsid w:val="00E844F2"/>
    <w:rsid w:val="00E85973"/>
    <w:rsid w:val="00E863BB"/>
    <w:rsid w:val="00E877D9"/>
    <w:rsid w:val="00E90AD0"/>
    <w:rsid w:val="00E90EE2"/>
    <w:rsid w:val="00E910BA"/>
    <w:rsid w:val="00E920BA"/>
    <w:rsid w:val="00E92819"/>
    <w:rsid w:val="00E92FCB"/>
    <w:rsid w:val="00E9468F"/>
    <w:rsid w:val="00E94729"/>
    <w:rsid w:val="00E94AB4"/>
    <w:rsid w:val="00E94AFB"/>
    <w:rsid w:val="00E94F68"/>
    <w:rsid w:val="00E968DA"/>
    <w:rsid w:val="00E96F1E"/>
    <w:rsid w:val="00E970B6"/>
    <w:rsid w:val="00E97DF4"/>
    <w:rsid w:val="00EA147F"/>
    <w:rsid w:val="00EA425B"/>
    <w:rsid w:val="00EA46F5"/>
    <w:rsid w:val="00EA4A27"/>
    <w:rsid w:val="00EA4FA6"/>
    <w:rsid w:val="00EA6F15"/>
    <w:rsid w:val="00EA700F"/>
    <w:rsid w:val="00EB063C"/>
    <w:rsid w:val="00EB0D10"/>
    <w:rsid w:val="00EB0E4D"/>
    <w:rsid w:val="00EB145D"/>
    <w:rsid w:val="00EB15FE"/>
    <w:rsid w:val="00EB1A25"/>
    <w:rsid w:val="00EB1B42"/>
    <w:rsid w:val="00EB24B5"/>
    <w:rsid w:val="00EB30B2"/>
    <w:rsid w:val="00EB4710"/>
    <w:rsid w:val="00EB4A93"/>
    <w:rsid w:val="00EB56B8"/>
    <w:rsid w:val="00EB6E52"/>
    <w:rsid w:val="00EC05E8"/>
    <w:rsid w:val="00EC0673"/>
    <w:rsid w:val="00EC1531"/>
    <w:rsid w:val="00EC317A"/>
    <w:rsid w:val="00EC334F"/>
    <w:rsid w:val="00EC3DF4"/>
    <w:rsid w:val="00EC4DBB"/>
    <w:rsid w:val="00EC5602"/>
    <w:rsid w:val="00EC66E6"/>
    <w:rsid w:val="00EC7D0B"/>
    <w:rsid w:val="00ED0143"/>
    <w:rsid w:val="00ED03AB"/>
    <w:rsid w:val="00ED0E14"/>
    <w:rsid w:val="00ED1277"/>
    <w:rsid w:val="00ED1CD4"/>
    <w:rsid w:val="00ED1CFF"/>
    <w:rsid w:val="00ED1D2B"/>
    <w:rsid w:val="00ED2B3B"/>
    <w:rsid w:val="00ED2D6F"/>
    <w:rsid w:val="00ED6178"/>
    <w:rsid w:val="00ED64B5"/>
    <w:rsid w:val="00ED76D5"/>
    <w:rsid w:val="00EE27BD"/>
    <w:rsid w:val="00EE2CF3"/>
    <w:rsid w:val="00EE369E"/>
    <w:rsid w:val="00EE3CE0"/>
    <w:rsid w:val="00EE5650"/>
    <w:rsid w:val="00EE73A2"/>
    <w:rsid w:val="00EE7926"/>
    <w:rsid w:val="00EE7CCA"/>
    <w:rsid w:val="00EF3BD0"/>
    <w:rsid w:val="00EF5619"/>
    <w:rsid w:val="00EF580F"/>
    <w:rsid w:val="00EF5AFA"/>
    <w:rsid w:val="00EF6F20"/>
    <w:rsid w:val="00EF7ED3"/>
    <w:rsid w:val="00F012DC"/>
    <w:rsid w:val="00F013C7"/>
    <w:rsid w:val="00F03FF7"/>
    <w:rsid w:val="00F04969"/>
    <w:rsid w:val="00F0657F"/>
    <w:rsid w:val="00F06AB7"/>
    <w:rsid w:val="00F07318"/>
    <w:rsid w:val="00F10A29"/>
    <w:rsid w:val="00F10BA7"/>
    <w:rsid w:val="00F11BC1"/>
    <w:rsid w:val="00F13E01"/>
    <w:rsid w:val="00F13E21"/>
    <w:rsid w:val="00F14433"/>
    <w:rsid w:val="00F14F69"/>
    <w:rsid w:val="00F152DE"/>
    <w:rsid w:val="00F1598B"/>
    <w:rsid w:val="00F15D68"/>
    <w:rsid w:val="00F16709"/>
    <w:rsid w:val="00F167FE"/>
    <w:rsid w:val="00F16A14"/>
    <w:rsid w:val="00F16D42"/>
    <w:rsid w:val="00F17B1E"/>
    <w:rsid w:val="00F21548"/>
    <w:rsid w:val="00F21A51"/>
    <w:rsid w:val="00F22429"/>
    <w:rsid w:val="00F224C6"/>
    <w:rsid w:val="00F2312C"/>
    <w:rsid w:val="00F23767"/>
    <w:rsid w:val="00F24179"/>
    <w:rsid w:val="00F2442E"/>
    <w:rsid w:val="00F26BD9"/>
    <w:rsid w:val="00F27C1E"/>
    <w:rsid w:val="00F27F9E"/>
    <w:rsid w:val="00F30B62"/>
    <w:rsid w:val="00F30EA8"/>
    <w:rsid w:val="00F31C81"/>
    <w:rsid w:val="00F3263F"/>
    <w:rsid w:val="00F33552"/>
    <w:rsid w:val="00F33E1B"/>
    <w:rsid w:val="00F349A1"/>
    <w:rsid w:val="00F35D60"/>
    <w:rsid w:val="00F35DC1"/>
    <w:rsid w:val="00F362D7"/>
    <w:rsid w:val="00F36BD3"/>
    <w:rsid w:val="00F36CD7"/>
    <w:rsid w:val="00F37D7B"/>
    <w:rsid w:val="00F402B6"/>
    <w:rsid w:val="00F4283B"/>
    <w:rsid w:val="00F4378C"/>
    <w:rsid w:val="00F45259"/>
    <w:rsid w:val="00F460AB"/>
    <w:rsid w:val="00F46DEF"/>
    <w:rsid w:val="00F46E99"/>
    <w:rsid w:val="00F473AB"/>
    <w:rsid w:val="00F5119C"/>
    <w:rsid w:val="00F51B98"/>
    <w:rsid w:val="00F51D3E"/>
    <w:rsid w:val="00F51D68"/>
    <w:rsid w:val="00F52062"/>
    <w:rsid w:val="00F52B6E"/>
    <w:rsid w:val="00F5314C"/>
    <w:rsid w:val="00F533A8"/>
    <w:rsid w:val="00F53C7B"/>
    <w:rsid w:val="00F53D8D"/>
    <w:rsid w:val="00F547DC"/>
    <w:rsid w:val="00F5688C"/>
    <w:rsid w:val="00F56FD1"/>
    <w:rsid w:val="00F57379"/>
    <w:rsid w:val="00F60B09"/>
    <w:rsid w:val="00F612CE"/>
    <w:rsid w:val="00F635DD"/>
    <w:rsid w:val="00F63DE1"/>
    <w:rsid w:val="00F647EA"/>
    <w:rsid w:val="00F65083"/>
    <w:rsid w:val="00F65F9A"/>
    <w:rsid w:val="00F6627B"/>
    <w:rsid w:val="00F6782A"/>
    <w:rsid w:val="00F67D4F"/>
    <w:rsid w:val="00F67E18"/>
    <w:rsid w:val="00F70980"/>
    <w:rsid w:val="00F715C4"/>
    <w:rsid w:val="00F715F4"/>
    <w:rsid w:val="00F72329"/>
    <w:rsid w:val="00F7336E"/>
    <w:rsid w:val="00F734F2"/>
    <w:rsid w:val="00F74D09"/>
    <w:rsid w:val="00F74DE6"/>
    <w:rsid w:val="00F75052"/>
    <w:rsid w:val="00F774C0"/>
    <w:rsid w:val="00F77DC8"/>
    <w:rsid w:val="00F804D3"/>
    <w:rsid w:val="00F80C13"/>
    <w:rsid w:val="00F81655"/>
    <w:rsid w:val="00F81CD2"/>
    <w:rsid w:val="00F82641"/>
    <w:rsid w:val="00F831D5"/>
    <w:rsid w:val="00F85B2E"/>
    <w:rsid w:val="00F87505"/>
    <w:rsid w:val="00F9007B"/>
    <w:rsid w:val="00F905F2"/>
    <w:rsid w:val="00F90862"/>
    <w:rsid w:val="00F90F18"/>
    <w:rsid w:val="00F90F69"/>
    <w:rsid w:val="00F916BE"/>
    <w:rsid w:val="00F9205F"/>
    <w:rsid w:val="00F921F8"/>
    <w:rsid w:val="00F93047"/>
    <w:rsid w:val="00F937E4"/>
    <w:rsid w:val="00F93D8E"/>
    <w:rsid w:val="00F95EE7"/>
    <w:rsid w:val="00F97309"/>
    <w:rsid w:val="00FA0A87"/>
    <w:rsid w:val="00FA0CCD"/>
    <w:rsid w:val="00FA39E6"/>
    <w:rsid w:val="00FA4701"/>
    <w:rsid w:val="00FA4A0C"/>
    <w:rsid w:val="00FA4CCE"/>
    <w:rsid w:val="00FA676B"/>
    <w:rsid w:val="00FA7BC9"/>
    <w:rsid w:val="00FB05DF"/>
    <w:rsid w:val="00FB1E49"/>
    <w:rsid w:val="00FB28D0"/>
    <w:rsid w:val="00FB2F66"/>
    <w:rsid w:val="00FB378E"/>
    <w:rsid w:val="00FB37F1"/>
    <w:rsid w:val="00FB41E4"/>
    <w:rsid w:val="00FB46CA"/>
    <w:rsid w:val="00FB479B"/>
    <w:rsid w:val="00FB47C0"/>
    <w:rsid w:val="00FB4C5D"/>
    <w:rsid w:val="00FB501B"/>
    <w:rsid w:val="00FB6BB5"/>
    <w:rsid w:val="00FB6BD2"/>
    <w:rsid w:val="00FB7121"/>
    <w:rsid w:val="00FB7770"/>
    <w:rsid w:val="00FB7EFF"/>
    <w:rsid w:val="00FC0283"/>
    <w:rsid w:val="00FC0CB2"/>
    <w:rsid w:val="00FC1108"/>
    <w:rsid w:val="00FC11A6"/>
    <w:rsid w:val="00FC1FC3"/>
    <w:rsid w:val="00FC1FCC"/>
    <w:rsid w:val="00FC3E5E"/>
    <w:rsid w:val="00FC40C0"/>
    <w:rsid w:val="00FC456F"/>
    <w:rsid w:val="00FC4CF3"/>
    <w:rsid w:val="00FC64E9"/>
    <w:rsid w:val="00FC6F48"/>
    <w:rsid w:val="00FD02C4"/>
    <w:rsid w:val="00FD0684"/>
    <w:rsid w:val="00FD0AB9"/>
    <w:rsid w:val="00FD266B"/>
    <w:rsid w:val="00FD2C3A"/>
    <w:rsid w:val="00FD2E7F"/>
    <w:rsid w:val="00FD3B91"/>
    <w:rsid w:val="00FD46D9"/>
    <w:rsid w:val="00FD4DA5"/>
    <w:rsid w:val="00FD576B"/>
    <w:rsid w:val="00FD579E"/>
    <w:rsid w:val="00FD6845"/>
    <w:rsid w:val="00FD6AE3"/>
    <w:rsid w:val="00FD73FA"/>
    <w:rsid w:val="00FD7559"/>
    <w:rsid w:val="00FE006F"/>
    <w:rsid w:val="00FE07E9"/>
    <w:rsid w:val="00FE098E"/>
    <w:rsid w:val="00FE1DBD"/>
    <w:rsid w:val="00FE2449"/>
    <w:rsid w:val="00FE32E0"/>
    <w:rsid w:val="00FE3535"/>
    <w:rsid w:val="00FE3A9C"/>
    <w:rsid w:val="00FE3D25"/>
    <w:rsid w:val="00FE44AA"/>
    <w:rsid w:val="00FE4516"/>
    <w:rsid w:val="00FE50E7"/>
    <w:rsid w:val="00FE5AE1"/>
    <w:rsid w:val="00FE5BF5"/>
    <w:rsid w:val="00FE64C8"/>
    <w:rsid w:val="00FF0543"/>
    <w:rsid w:val="00FF10B1"/>
    <w:rsid w:val="00FF2B2A"/>
    <w:rsid w:val="00FF3E87"/>
    <w:rsid w:val="00FF56C9"/>
    <w:rsid w:val="00FF589A"/>
    <w:rsid w:val="00FF6540"/>
    <w:rsid w:val="00FF6648"/>
    <w:rsid w:val="00FF71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0C78D4"/>
  <w15:docId w15:val="{3D3244DD-5A82-42B0-B43D-4A6E991F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B73F19"/>
    <w:pPr>
      <w:widowControl w:val="0"/>
      <w:overflowPunct w:val="0"/>
      <w:autoSpaceDE w:val="0"/>
      <w:autoSpaceDN w:val="0"/>
      <w:jc w:val="both"/>
    </w:pPr>
    <w:rPr>
      <w:rFonts w:ascii="標楷體" w:eastAsia="標楷體"/>
      <w:kern w:val="2"/>
      <w:sz w:val="32"/>
    </w:rPr>
  </w:style>
  <w:style w:type="paragraph" w:styleId="1">
    <w:name w:val="heading 1"/>
    <w:aliases w:val="題號1,壹,1_標題,標題 1章名,章,章名,標題 1附件"/>
    <w:basedOn w:val="a7"/>
    <w:link w:val="10"/>
    <w:qFormat/>
    <w:rsid w:val="004F5E57"/>
    <w:pPr>
      <w:numPr>
        <w:numId w:val="6"/>
      </w:numPr>
      <w:outlineLvl w:val="0"/>
    </w:pPr>
    <w:rPr>
      <w:rFonts w:hAnsi="Arial"/>
      <w:bCs/>
      <w:kern w:val="32"/>
      <w:szCs w:val="52"/>
    </w:rPr>
  </w:style>
  <w:style w:type="paragraph" w:styleId="2">
    <w:name w:val="heading 2"/>
    <w:aliases w:val="標題110/111,節,節1,標題110/111 + 內文,標題110/111 字元,一.,2_標題,標題 2節名"/>
    <w:basedOn w:val="a7"/>
    <w:link w:val="20"/>
    <w:qFormat/>
    <w:rsid w:val="004F5E57"/>
    <w:pPr>
      <w:numPr>
        <w:ilvl w:val="1"/>
        <w:numId w:val="6"/>
      </w:numPr>
      <w:outlineLvl w:val="1"/>
    </w:pPr>
    <w:rPr>
      <w:rFonts w:hAnsi="Arial"/>
      <w:bCs/>
      <w:kern w:val="32"/>
      <w:szCs w:val="48"/>
    </w:rPr>
  </w:style>
  <w:style w:type="paragraph" w:styleId="3">
    <w:name w:val="heading 3"/>
    <w:aliases w:val="3_標題,小節標題,sub pro,--1.1.1.,1.1.1,標題 3 字元 字元,標題 3(非粗體)"/>
    <w:basedOn w:val="a7"/>
    <w:link w:val="30"/>
    <w:qFormat/>
    <w:rsid w:val="004F5E57"/>
    <w:pPr>
      <w:numPr>
        <w:ilvl w:val="2"/>
        <w:numId w:val="6"/>
      </w:numPr>
      <w:outlineLvl w:val="2"/>
    </w:pPr>
    <w:rPr>
      <w:rFonts w:hAnsi="Arial"/>
      <w:bCs/>
      <w:kern w:val="32"/>
      <w:szCs w:val="36"/>
    </w:rPr>
  </w:style>
  <w:style w:type="paragraph" w:styleId="4">
    <w:name w:val="heading 4"/>
    <w:aliases w:val="表格,一,1.,4_標題,一、,H4,--1.,--1,1.1.1.1,標題 4(粗體)"/>
    <w:basedOn w:val="a7"/>
    <w:link w:val="40"/>
    <w:qFormat/>
    <w:rsid w:val="004F5E57"/>
    <w:pPr>
      <w:numPr>
        <w:ilvl w:val="3"/>
        <w:numId w:val="6"/>
      </w:numPr>
      <w:outlineLvl w:val="3"/>
    </w:pPr>
    <w:rPr>
      <w:rFonts w:hAnsi="Arial"/>
      <w:kern w:val="32"/>
      <w:szCs w:val="36"/>
    </w:rPr>
  </w:style>
  <w:style w:type="paragraph" w:styleId="5">
    <w:name w:val="heading 5"/>
    <w:aliases w:val="(一),5_標題,（一）標題 5,--(1)1,--(1),COA標題 5,A.,H5,12345,h5,l5,hm,[ (1). ],Level 3 - i,標題 5(粗體)"/>
    <w:basedOn w:val="a7"/>
    <w:link w:val="50"/>
    <w:qFormat/>
    <w:rsid w:val="004F5E57"/>
    <w:pPr>
      <w:numPr>
        <w:ilvl w:val="4"/>
        <w:numId w:val="6"/>
      </w:numPr>
      <w:outlineLvl w:val="4"/>
    </w:pPr>
    <w:rPr>
      <w:rFonts w:hAnsi="Arial"/>
      <w:bCs/>
      <w:kern w:val="32"/>
      <w:szCs w:val="36"/>
    </w:rPr>
  </w:style>
  <w:style w:type="paragraph" w:styleId="6">
    <w:name w:val="heading 6"/>
    <w:aliases w:val="1,6_標題,參考文獻,ref-items,A,--A,ISO標題 6,標題 6 參考文獻,標題 6 標題 6"/>
    <w:basedOn w:val="a7"/>
    <w:link w:val="60"/>
    <w:qFormat/>
    <w:rsid w:val="004F5E57"/>
    <w:pPr>
      <w:numPr>
        <w:ilvl w:val="5"/>
        <w:numId w:val="6"/>
      </w:numPr>
      <w:tabs>
        <w:tab w:val="left" w:pos="2094"/>
      </w:tabs>
      <w:outlineLvl w:val="5"/>
    </w:pPr>
    <w:rPr>
      <w:rFonts w:hAnsi="Arial"/>
      <w:kern w:val="32"/>
      <w:szCs w:val="36"/>
    </w:rPr>
  </w:style>
  <w:style w:type="paragraph" w:styleId="7">
    <w:name w:val="heading 7"/>
    <w:aliases w:val="(1),(A),--(a),--a,標題 7-(a),標題 7 標題 7"/>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aliases w:val=" 字元"/>
    <w:basedOn w:val="a7"/>
    <w:link w:val="ac"/>
    <w:qFormat/>
    <w:rsid w:val="00B869B8"/>
    <w:pPr>
      <w:spacing w:before="720" w:after="720"/>
      <w:ind w:left="7371"/>
    </w:pPr>
    <w:rPr>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0">
    <w:name w:val="header"/>
    <w:basedOn w:val="a7"/>
    <w:link w:val="af1"/>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63C70"/>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8">
    <w:name w:val="footer"/>
    <w:basedOn w:val="a7"/>
    <w:link w:val="af9"/>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663C70"/>
    <w:pPr>
      <w:keepNext/>
      <w:adjustRightInd w:val="0"/>
      <w:snapToGrid w:val="0"/>
      <w:spacing w:before="40" w:after="40" w:line="320" w:lineRule="exact"/>
      <w:jc w:val="center"/>
    </w:pPr>
    <w:rPr>
      <w:snapToGrid w:val="0"/>
      <w:spacing w:val="-10"/>
      <w:kern w:val="0"/>
      <w:sz w:val="28"/>
    </w:rPr>
  </w:style>
  <w:style w:type="paragraph" w:customStyle="1" w:styleId="a4">
    <w:name w:val="表標題"/>
    <w:link w:val="afb"/>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c">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d">
    <w:name w:val="Table Grid"/>
    <w:basedOn w:val="a9"/>
    <w:uiPriority w:val="3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663C70"/>
    <w:pPr>
      <w:spacing w:line="300" w:lineRule="exact"/>
    </w:pPr>
    <w:rPr>
      <w:sz w:val="24"/>
      <w:szCs w:val="24"/>
    </w:rPr>
  </w:style>
  <w:style w:type="paragraph" w:customStyle="1" w:styleId="121">
    <w:name w:val="表格12"/>
    <w:basedOn w:val="14"/>
    <w:rsid w:val="00663C70"/>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e">
    <w:name w:val="List Paragraph"/>
    <w:aliases w:val="表格清單,表內文,本文註腳,(1)標題 (期中),(二),表名,(1)括號數字標,標題(一),卑南壹,圖標號,01章名,樣式A,圖標,1-標題2,numbered,Paragraphe de liste1,Bulletr List Paragraph,Bullet List,FooterText,List Paragraph1,List Paragraph21,List Paragraph11,Parágrafo da Lista1,リスト段落1,Listeafsnit1,リスト段落,Pla"/>
    <w:basedOn w:val="a7"/>
    <w:link w:val="aff"/>
    <w:uiPriority w:val="34"/>
    <w:qFormat/>
    <w:rsid w:val="00687024"/>
    <w:pPr>
      <w:ind w:leftChars="200" w:left="480"/>
    </w:pPr>
  </w:style>
  <w:style w:type="paragraph" w:styleId="aff0">
    <w:name w:val="Balloon Text"/>
    <w:basedOn w:val="a7"/>
    <w:link w:val="aff1"/>
    <w:uiPriority w:val="99"/>
    <w:semiHidden/>
    <w:unhideWhenUsed/>
    <w:rsid w:val="00C530DC"/>
    <w:rPr>
      <w:rFonts w:asciiTheme="majorHAnsi" w:eastAsiaTheme="majorEastAsia" w:hAnsiTheme="majorHAnsi" w:cstheme="majorBidi"/>
      <w:sz w:val="18"/>
      <w:szCs w:val="18"/>
    </w:rPr>
  </w:style>
  <w:style w:type="character" w:customStyle="1" w:styleId="aff1">
    <w:name w:val="註解方塊文字 字元"/>
    <w:basedOn w:val="a8"/>
    <w:link w:val="aff0"/>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customStyle="1" w:styleId="aff2">
    <w:name w:val="調查委員"/>
    <w:basedOn w:val="ab"/>
    <w:qFormat/>
    <w:rsid w:val="00352EA2"/>
    <w:pPr>
      <w:spacing w:before="0" w:after="0"/>
      <w:ind w:left="0"/>
      <w:jc w:val="left"/>
    </w:pPr>
    <w:rPr>
      <w:b/>
      <w:bCs/>
      <w:szCs w:val="28"/>
    </w:rPr>
  </w:style>
  <w:style w:type="paragraph" w:customStyle="1" w:styleId="aff3">
    <w:name w:val="協查人員"/>
    <w:basedOn w:val="ab"/>
    <w:qFormat/>
    <w:rsid w:val="00A62928"/>
    <w:pPr>
      <w:spacing w:beforeLines="50" w:before="228" w:after="0"/>
      <w:ind w:leftChars="1100" w:left="3742"/>
      <w:jc w:val="left"/>
    </w:pPr>
    <w:rPr>
      <w:bCs/>
      <w:snapToGrid/>
      <w:kern w:val="0"/>
      <w:szCs w:val="36"/>
    </w:rPr>
  </w:style>
  <w:style w:type="paragraph" w:styleId="aff4">
    <w:name w:val="footnote text"/>
    <w:aliases w:val="註腳文字 字元 字元,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7"/>
    <w:link w:val="aff5"/>
    <w:uiPriority w:val="99"/>
    <w:unhideWhenUsed/>
    <w:qFormat/>
    <w:rsid w:val="0027556F"/>
    <w:pPr>
      <w:snapToGrid w:val="0"/>
      <w:jc w:val="left"/>
    </w:pPr>
    <w:rPr>
      <w:sz w:val="20"/>
    </w:rPr>
  </w:style>
  <w:style w:type="character" w:customStyle="1" w:styleId="aff5">
    <w:name w:val="註腳文字 字元"/>
    <w:aliases w:val="註腳文字 字元 字元 字元,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ftx 字元"/>
    <w:basedOn w:val="a8"/>
    <w:link w:val="aff4"/>
    <w:uiPriority w:val="99"/>
    <w:qFormat/>
    <w:rsid w:val="0027556F"/>
    <w:rPr>
      <w:rFonts w:ascii="標楷體" w:eastAsia="標楷體"/>
      <w:kern w:val="2"/>
    </w:rPr>
  </w:style>
  <w:style w:type="character" w:styleId="aff6">
    <w:name w:val="footnote reference"/>
    <w:aliases w:val="FR,Ref,de nota al pie,註腳內容,Error-Fußnotenzeichen5,Error-Fußnotenzeichen6,Error-Fußnotenzeichen3"/>
    <w:basedOn w:val="a8"/>
    <w:uiPriority w:val="99"/>
    <w:unhideWhenUsed/>
    <w:qFormat/>
    <w:rsid w:val="0027556F"/>
    <w:rPr>
      <w:vertAlign w:val="superscript"/>
    </w:rPr>
  </w:style>
  <w:style w:type="character" w:customStyle="1" w:styleId="af9">
    <w:name w:val="頁尾 字元"/>
    <w:basedOn w:val="a8"/>
    <w:link w:val="af8"/>
    <w:rsid w:val="003F4C38"/>
    <w:rPr>
      <w:rFonts w:ascii="標楷體" w:eastAsia="標楷體"/>
      <w:kern w:val="2"/>
    </w:rPr>
  </w:style>
  <w:style w:type="paragraph" w:customStyle="1" w:styleId="aff7">
    <w:name w:val="主旨"/>
    <w:basedOn w:val="a7"/>
    <w:rsid w:val="003F4C38"/>
    <w:pPr>
      <w:overflowPunct/>
      <w:autoSpaceDE/>
      <w:autoSpaceDN/>
      <w:snapToGrid w:val="0"/>
      <w:ind w:left="964" w:hanging="964"/>
      <w:jc w:val="left"/>
    </w:pPr>
    <w:rPr>
      <w:rFonts w:ascii="Times New Roman"/>
    </w:rPr>
  </w:style>
  <w:style w:type="paragraph" w:customStyle="1" w:styleId="aff8">
    <w:name w:val="敬陳"/>
    <w:basedOn w:val="a7"/>
    <w:rsid w:val="003F4C38"/>
    <w:pPr>
      <w:overflowPunct/>
      <w:autoSpaceDE/>
      <w:autoSpaceDN/>
      <w:snapToGrid w:val="0"/>
      <w:ind w:left="1917" w:hanging="964"/>
      <w:jc w:val="left"/>
    </w:pPr>
    <w:rPr>
      <w:rFonts w:ascii="Times New Roman"/>
    </w:rPr>
  </w:style>
  <w:style w:type="paragraph" w:customStyle="1" w:styleId="Default">
    <w:name w:val="Default"/>
    <w:rsid w:val="00271A4E"/>
    <w:pPr>
      <w:widowControl w:val="0"/>
      <w:autoSpaceDE w:val="0"/>
      <w:autoSpaceDN w:val="0"/>
      <w:adjustRightInd w:val="0"/>
    </w:pPr>
    <w:rPr>
      <w:color w:val="000000"/>
      <w:sz w:val="24"/>
      <w:szCs w:val="24"/>
    </w:rPr>
  </w:style>
  <w:style w:type="character" w:styleId="aff9">
    <w:name w:val="Strong"/>
    <w:basedOn w:val="a8"/>
    <w:uiPriority w:val="22"/>
    <w:qFormat/>
    <w:rsid w:val="0090102D"/>
    <w:rPr>
      <w:b/>
      <w:bCs/>
    </w:rPr>
  </w:style>
  <w:style w:type="character" w:styleId="affa">
    <w:name w:val="Unresolved Mention"/>
    <w:basedOn w:val="a8"/>
    <w:uiPriority w:val="99"/>
    <w:semiHidden/>
    <w:unhideWhenUsed/>
    <w:rsid w:val="00F90F69"/>
    <w:rPr>
      <w:color w:val="605E5C"/>
      <w:shd w:val="clear" w:color="auto" w:fill="E1DFDD"/>
    </w:rPr>
  </w:style>
  <w:style w:type="paragraph" w:styleId="Web">
    <w:name w:val="Normal (Web)"/>
    <w:basedOn w:val="a7"/>
    <w:uiPriority w:val="99"/>
    <w:unhideWhenUsed/>
    <w:rsid w:val="00F15D6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aliases w:val="3_標題 字元,小節標題 字元,sub pro 字元,--1.1.1. 字元,1.1.1 字元,標題 3 字元 字元 字元,標題 3(非粗體) 字元"/>
    <w:link w:val="3"/>
    <w:rsid w:val="008669D3"/>
    <w:rPr>
      <w:rFonts w:ascii="標楷體" w:eastAsia="標楷體" w:hAnsi="Arial"/>
      <w:bCs/>
      <w:kern w:val="32"/>
      <w:sz w:val="32"/>
      <w:szCs w:val="36"/>
    </w:rPr>
  </w:style>
  <w:style w:type="character" w:customStyle="1" w:styleId="40">
    <w:name w:val="標題 4 字元"/>
    <w:aliases w:val="表格 字元,一 字元,1. 字元,4_標題 字元,一、 字元,H4 字元,--1. 字元,--1 字元,1.1.1.1 字元,標題 4(粗體) 字元"/>
    <w:link w:val="4"/>
    <w:rsid w:val="008669D3"/>
    <w:rPr>
      <w:rFonts w:ascii="標楷體" w:eastAsia="標楷體" w:hAnsi="Arial"/>
      <w:kern w:val="32"/>
      <w:sz w:val="32"/>
      <w:szCs w:val="36"/>
    </w:rPr>
  </w:style>
  <w:style w:type="character" w:customStyle="1" w:styleId="20">
    <w:name w:val="標題 2 字元"/>
    <w:aliases w:val="標題110/111 字元1,節 字元,節1 字元,標題110/111 + 內文 字元,標題110/111 字元 字元,一. 字元,2_標題 字元,標題 2節名 字元"/>
    <w:basedOn w:val="a8"/>
    <w:link w:val="2"/>
    <w:rsid w:val="00CD74BE"/>
    <w:rPr>
      <w:rFonts w:ascii="標楷體" w:eastAsia="標楷體" w:hAnsi="Arial"/>
      <w:bCs/>
      <w:kern w:val="32"/>
      <w:sz w:val="32"/>
      <w:szCs w:val="48"/>
    </w:rPr>
  </w:style>
  <w:style w:type="character" w:styleId="affb">
    <w:name w:val="annotation reference"/>
    <w:uiPriority w:val="99"/>
    <w:semiHidden/>
    <w:unhideWhenUsed/>
    <w:rsid w:val="00F51D3E"/>
    <w:rPr>
      <w:sz w:val="18"/>
      <w:szCs w:val="18"/>
    </w:rPr>
  </w:style>
  <w:style w:type="character" w:customStyle="1" w:styleId="hzn33d">
    <w:name w:val="hzn33d"/>
    <w:basedOn w:val="a8"/>
    <w:rsid w:val="00AB1685"/>
  </w:style>
  <w:style w:type="character" w:styleId="affc">
    <w:name w:val="Emphasis"/>
    <w:basedOn w:val="a8"/>
    <w:uiPriority w:val="20"/>
    <w:qFormat/>
    <w:rsid w:val="009D1353"/>
    <w:rPr>
      <w:i/>
      <w:iCs/>
    </w:rPr>
  </w:style>
  <w:style w:type="character" w:customStyle="1" w:styleId="authors-list-item">
    <w:name w:val="authors-list-item"/>
    <w:basedOn w:val="a8"/>
    <w:rsid w:val="00B37811"/>
  </w:style>
  <w:style w:type="character" w:customStyle="1" w:styleId="author-sup-separator">
    <w:name w:val="author-sup-separator"/>
    <w:basedOn w:val="a8"/>
    <w:rsid w:val="00B37811"/>
  </w:style>
  <w:style w:type="character" w:customStyle="1" w:styleId="comma">
    <w:name w:val="comma"/>
    <w:basedOn w:val="a8"/>
    <w:rsid w:val="00B37811"/>
  </w:style>
  <w:style w:type="character" w:styleId="affd">
    <w:name w:val="FollowedHyperlink"/>
    <w:basedOn w:val="a8"/>
    <w:uiPriority w:val="99"/>
    <w:semiHidden/>
    <w:unhideWhenUsed/>
    <w:rsid w:val="00B37811"/>
    <w:rPr>
      <w:color w:val="800080" w:themeColor="followedHyperlink"/>
      <w:u w:val="single"/>
    </w:rPr>
  </w:style>
  <w:style w:type="character" w:customStyle="1" w:styleId="period">
    <w:name w:val="period"/>
    <w:basedOn w:val="a8"/>
    <w:rsid w:val="00B37811"/>
  </w:style>
  <w:style w:type="character" w:customStyle="1" w:styleId="cit">
    <w:name w:val="cit"/>
    <w:basedOn w:val="a8"/>
    <w:rsid w:val="00B37811"/>
  </w:style>
  <w:style w:type="character" w:customStyle="1" w:styleId="ac">
    <w:name w:val="簽名 字元"/>
    <w:aliases w:val=" 字元 字元"/>
    <w:link w:val="ab"/>
    <w:rsid w:val="004B4B24"/>
    <w:rPr>
      <w:rFonts w:ascii="標楷體" w:eastAsia="標楷體"/>
      <w:snapToGrid w:val="0"/>
      <w:spacing w:val="10"/>
      <w:kern w:val="2"/>
      <w:sz w:val="36"/>
    </w:rPr>
  </w:style>
  <w:style w:type="paragraph" w:styleId="affe">
    <w:name w:val="Revision"/>
    <w:hidden/>
    <w:uiPriority w:val="99"/>
    <w:semiHidden/>
    <w:rsid w:val="00DA36EF"/>
    <w:rPr>
      <w:rFonts w:ascii="標楷體" w:eastAsia="標楷體"/>
      <w:kern w:val="2"/>
      <w:sz w:val="32"/>
    </w:rPr>
  </w:style>
  <w:style w:type="character" w:customStyle="1" w:styleId="50">
    <w:name w:val="標題 5 字元"/>
    <w:aliases w:val="(一) 字元,5_標題 字元,（一）標題 5 字元,--(1)1 字元,--(1) 字元,COA標題 5 字元,A. 字元,H5 字元,12345 字元,h5 字元,l5 字元,hm 字元,[ (1). ] 字元,Level 3 - i 字元,標題 5(粗體) 字元"/>
    <w:link w:val="5"/>
    <w:rsid w:val="00C50FCC"/>
    <w:rPr>
      <w:rFonts w:ascii="標楷體" w:eastAsia="標楷體" w:hAnsi="Arial"/>
      <w:bCs/>
      <w:kern w:val="32"/>
      <w:sz w:val="32"/>
      <w:szCs w:val="36"/>
    </w:rPr>
  </w:style>
  <w:style w:type="paragraph" w:customStyle="1" w:styleId="msonormal0">
    <w:name w:val="msonormal"/>
    <w:basedOn w:val="a7"/>
    <w:rsid w:val="0052668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4">
    <w:name w:val="xl64"/>
    <w:basedOn w:val="a7"/>
    <w:rsid w:val="00526689"/>
    <w:pPr>
      <w:widowControl/>
      <w:overflowPunct/>
      <w:autoSpaceDE/>
      <w:autoSpaceDN/>
      <w:spacing w:before="100" w:beforeAutospacing="1" w:after="100" w:afterAutospacing="1"/>
      <w:jc w:val="left"/>
      <w:textAlignment w:val="center"/>
    </w:pPr>
    <w:rPr>
      <w:rFonts w:ascii="新細明體" w:eastAsia="新細明體" w:hAnsi="新細明體" w:cs="新細明體"/>
      <w:color w:val="000000"/>
      <w:kern w:val="0"/>
      <w:sz w:val="24"/>
      <w:szCs w:val="24"/>
    </w:rPr>
  </w:style>
  <w:style w:type="paragraph" w:customStyle="1" w:styleId="xl65">
    <w:name w:val="xl65"/>
    <w:basedOn w:val="a7"/>
    <w:rsid w:val="00526689"/>
    <w:pPr>
      <w:widowControl/>
      <w:overflowPunct/>
      <w:autoSpaceDE/>
      <w:autoSpaceDN/>
      <w:spacing w:before="100" w:beforeAutospacing="1" w:after="100" w:afterAutospacing="1"/>
      <w:jc w:val="left"/>
      <w:textAlignment w:val="center"/>
    </w:pPr>
    <w:rPr>
      <w:rFonts w:ascii="新細明體" w:eastAsia="新細明體" w:hAnsi="新細明體" w:cs="新細明體"/>
      <w:color w:val="000000"/>
      <w:kern w:val="0"/>
      <w:sz w:val="24"/>
      <w:szCs w:val="24"/>
    </w:rPr>
  </w:style>
  <w:style w:type="paragraph" w:customStyle="1" w:styleId="xl66">
    <w:name w:val="xl66"/>
    <w:basedOn w:val="a7"/>
    <w:rsid w:val="0052668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新細明體" w:eastAsia="新細明體" w:hAnsi="新細明體" w:cs="新細明體"/>
      <w:color w:val="000000"/>
      <w:kern w:val="0"/>
      <w:sz w:val="24"/>
      <w:szCs w:val="24"/>
    </w:rPr>
  </w:style>
  <w:style w:type="paragraph" w:customStyle="1" w:styleId="xl67">
    <w:name w:val="xl67"/>
    <w:basedOn w:val="a7"/>
    <w:rsid w:val="00526689"/>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新細明體" w:eastAsia="新細明體" w:hAnsi="新細明體" w:cs="新細明體"/>
      <w:color w:val="000000"/>
      <w:kern w:val="0"/>
      <w:sz w:val="24"/>
      <w:szCs w:val="24"/>
    </w:rPr>
  </w:style>
  <w:style w:type="paragraph" w:customStyle="1" w:styleId="xl68">
    <w:name w:val="xl68"/>
    <w:basedOn w:val="a7"/>
    <w:rsid w:val="00526689"/>
    <w:pPr>
      <w:widowControl/>
      <w:pBdr>
        <w:top w:val="single" w:sz="4" w:space="0" w:color="auto"/>
        <w:left w:val="single" w:sz="4" w:space="0" w:color="auto"/>
        <w:bottom w:val="single" w:sz="4" w:space="0" w:color="auto"/>
        <w:right w:val="single" w:sz="4" w:space="0" w:color="auto"/>
      </w:pBdr>
      <w:shd w:val="clear" w:color="000000" w:fill="D0D0D0"/>
      <w:overflowPunct/>
      <w:autoSpaceDE/>
      <w:autoSpaceDN/>
      <w:spacing w:before="100" w:beforeAutospacing="1" w:after="100" w:afterAutospacing="1"/>
      <w:jc w:val="left"/>
      <w:textAlignment w:val="center"/>
    </w:pPr>
    <w:rPr>
      <w:rFonts w:ascii="新細明體" w:eastAsia="新細明體" w:hAnsi="新細明體" w:cs="新細明體"/>
      <w:color w:val="000000"/>
      <w:kern w:val="0"/>
      <w:sz w:val="24"/>
      <w:szCs w:val="24"/>
    </w:rPr>
  </w:style>
  <w:style w:type="paragraph" w:customStyle="1" w:styleId="xl69">
    <w:name w:val="xl69"/>
    <w:basedOn w:val="a7"/>
    <w:rsid w:val="00526689"/>
    <w:pPr>
      <w:widowControl/>
      <w:pBdr>
        <w:top w:val="single" w:sz="4" w:space="0" w:color="auto"/>
        <w:left w:val="single" w:sz="4" w:space="0" w:color="auto"/>
        <w:bottom w:val="single" w:sz="4" w:space="0" w:color="auto"/>
        <w:right w:val="single" w:sz="4" w:space="0" w:color="auto"/>
      </w:pBdr>
      <w:shd w:val="clear" w:color="000000" w:fill="D0D0D0"/>
      <w:overflowPunct/>
      <w:autoSpaceDE/>
      <w:autoSpaceDN/>
      <w:spacing w:before="100" w:beforeAutospacing="1" w:after="100" w:afterAutospacing="1"/>
      <w:jc w:val="left"/>
      <w:textAlignment w:val="center"/>
    </w:pPr>
    <w:rPr>
      <w:rFonts w:ascii="新細明體" w:eastAsia="新細明體" w:hAnsi="新細明體" w:cs="新細明體"/>
      <w:color w:val="000000"/>
      <w:kern w:val="0"/>
      <w:sz w:val="24"/>
      <w:szCs w:val="24"/>
    </w:rPr>
  </w:style>
  <w:style w:type="character" w:customStyle="1" w:styleId="afb">
    <w:name w:val="表標題 字元"/>
    <w:basedOn w:val="a8"/>
    <w:link w:val="a4"/>
    <w:rsid w:val="00A15FB3"/>
    <w:rPr>
      <w:rFonts w:ascii="標楷體" w:eastAsia="標楷體" w:hAnsi="華康楷書體W5(P)"/>
      <w:bCs/>
      <w:spacing w:val="-10"/>
      <w:kern w:val="28"/>
      <w:sz w:val="28"/>
      <w:szCs w:val="28"/>
    </w:rPr>
  </w:style>
  <w:style w:type="character" w:customStyle="1" w:styleId="aff">
    <w:name w:val="清單段落 字元"/>
    <w:aliases w:val="表格清單 字元,表內文 字元,本文註腳 字元,(1)標題 (期中) 字元,(二) 字元,表名 字元,(1)括號數字標 字元,標題(一) 字元,卑南壹 字元,圖標號 字元,01章名 字元,樣式A 字元,圖標 字元,1-標題2 字元,numbered 字元,Paragraphe de liste1 字元,Bulletr List Paragraph 字元,Bullet List 字元,FooterText 字元,List Paragraph1 字元,List Paragraph21 字元"/>
    <w:link w:val="afe"/>
    <w:uiPriority w:val="34"/>
    <w:qFormat/>
    <w:rsid w:val="00A063A9"/>
    <w:rPr>
      <w:rFonts w:ascii="標楷體" w:eastAsia="標楷體"/>
      <w:kern w:val="2"/>
      <w:sz w:val="32"/>
    </w:rPr>
  </w:style>
  <w:style w:type="paragraph" w:customStyle="1" w:styleId="font5">
    <w:name w:val="font5"/>
    <w:basedOn w:val="a7"/>
    <w:rsid w:val="00F67D4F"/>
    <w:pPr>
      <w:widowControl/>
      <w:overflowPunct/>
      <w:autoSpaceDE/>
      <w:autoSpaceDN/>
      <w:spacing w:before="100" w:beforeAutospacing="1" w:after="100" w:afterAutospacing="1"/>
      <w:jc w:val="left"/>
    </w:pPr>
    <w:rPr>
      <w:rFonts w:ascii="細明體" w:eastAsia="細明體" w:hAnsi="細明體" w:cs="新細明體"/>
      <w:kern w:val="0"/>
      <w:sz w:val="18"/>
      <w:szCs w:val="18"/>
    </w:rPr>
  </w:style>
  <w:style w:type="paragraph" w:customStyle="1" w:styleId="font6">
    <w:name w:val="font6"/>
    <w:basedOn w:val="a7"/>
    <w:rsid w:val="00F67D4F"/>
    <w:pPr>
      <w:widowControl/>
      <w:overflowPunct/>
      <w:autoSpaceDE/>
      <w:autoSpaceDN/>
      <w:spacing w:before="100" w:beforeAutospacing="1" w:after="100" w:afterAutospacing="1"/>
      <w:jc w:val="left"/>
    </w:pPr>
    <w:rPr>
      <w:rFonts w:hAnsi="標楷體" w:cs="新細明體"/>
      <w:color w:val="231F1F"/>
      <w:kern w:val="0"/>
      <w:sz w:val="24"/>
      <w:szCs w:val="24"/>
    </w:rPr>
  </w:style>
  <w:style w:type="paragraph" w:customStyle="1" w:styleId="xl70">
    <w:name w:val="xl70"/>
    <w:basedOn w:val="a7"/>
    <w:rsid w:val="00F67D4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1">
    <w:name w:val="xl71"/>
    <w:basedOn w:val="a7"/>
    <w:rsid w:val="00F67D4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color w:val="231F1F"/>
      <w:kern w:val="0"/>
      <w:sz w:val="24"/>
      <w:szCs w:val="24"/>
    </w:rPr>
  </w:style>
  <w:style w:type="paragraph" w:customStyle="1" w:styleId="xl72">
    <w:name w:val="xl72"/>
    <w:basedOn w:val="a7"/>
    <w:rsid w:val="00F67D4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kern w:val="0"/>
      <w:sz w:val="24"/>
      <w:szCs w:val="24"/>
    </w:rPr>
  </w:style>
  <w:style w:type="paragraph" w:customStyle="1" w:styleId="xl73">
    <w:name w:val="xl73"/>
    <w:basedOn w:val="a7"/>
    <w:rsid w:val="00F67D4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color w:val="231F1F"/>
      <w:kern w:val="0"/>
      <w:sz w:val="24"/>
      <w:szCs w:val="24"/>
    </w:rPr>
  </w:style>
  <w:style w:type="paragraph" w:customStyle="1" w:styleId="xl74">
    <w:name w:val="xl74"/>
    <w:basedOn w:val="a7"/>
    <w:rsid w:val="00F67D4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color w:val="231F1F"/>
      <w:kern w:val="0"/>
      <w:sz w:val="24"/>
      <w:szCs w:val="24"/>
    </w:rPr>
  </w:style>
  <w:style w:type="paragraph" w:customStyle="1" w:styleId="xl75">
    <w:name w:val="xl75"/>
    <w:basedOn w:val="a7"/>
    <w:rsid w:val="00F67D4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color w:val="231F1F"/>
      <w:kern w:val="0"/>
      <w:sz w:val="24"/>
      <w:szCs w:val="24"/>
    </w:rPr>
  </w:style>
  <w:style w:type="paragraph" w:customStyle="1" w:styleId="xl76">
    <w:name w:val="xl76"/>
    <w:basedOn w:val="a7"/>
    <w:rsid w:val="00F67D4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7">
    <w:name w:val="xl77"/>
    <w:basedOn w:val="a7"/>
    <w:rsid w:val="00F67D4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color w:val="000064"/>
      <w:kern w:val="0"/>
      <w:sz w:val="24"/>
      <w:szCs w:val="24"/>
    </w:rPr>
  </w:style>
  <w:style w:type="paragraph" w:customStyle="1" w:styleId="xl78">
    <w:name w:val="xl78"/>
    <w:basedOn w:val="a7"/>
    <w:rsid w:val="00F67D4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color w:val="231F1F"/>
      <w:kern w:val="0"/>
      <w:sz w:val="24"/>
      <w:szCs w:val="24"/>
    </w:rPr>
  </w:style>
  <w:style w:type="paragraph" w:customStyle="1" w:styleId="xl79">
    <w:name w:val="xl79"/>
    <w:basedOn w:val="a7"/>
    <w:rsid w:val="00F67D4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color w:val="231F1F"/>
      <w:kern w:val="0"/>
      <w:sz w:val="24"/>
      <w:szCs w:val="24"/>
    </w:rPr>
  </w:style>
  <w:style w:type="paragraph" w:customStyle="1" w:styleId="xl80">
    <w:name w:val="xl80"/>
    <w:basedOn w:val="a7"/>
    <w:rsid w:val="00F67D4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color w:val="231F1F"/>
      <w:kern w:val="0"/>
      <w:sz w:val="24"/>
      <w:szCs w:val="24"/>
    </w:rPr>
  </w:style>
  <w:style w:type="paragraph" w:customStyle="1" w:styleId="xl81">
    <w:name w:val="xl81"/>
    <w:basedOn w:val="a7"/>
    <w:rsid w:val="00F67D4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82">
    <w:name w:val="xl82"/>
    <w:basedOn w:val="a7"/>
    <w:rsid w:val="00F67D4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231F1F"/>
      <w:kern w:val="0"/>
      <w:sz w:val="24"/>
      <w:szCs w:val="24"/>
    </w:rPr>
  </w:style>
  <w:style w:type="paragraph" w:customStyle="1" w:styleId="xl83">
    <w:name w:val="xl83"/>
    <w:basedOn w:val="a7"/>
    <w:rsid w:val="00F67D4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新細明體"/>
      <w:color w:val="231F1F"/>
      <w:kern w:val="0"/>
      <w:sz w:val="24"/>
      <w:szCs w:val="24"/>
    </w:rPr>
  </w:style>
  <w:style w:type="paragraph" w:customStyle="1" w:styleId="a1">
    <w:name w:val="表"/>
    <w:qFormat/>
    <w:rsid w:val="004B4F4F"/>
    <w:pPr>
      <w:keepNext/>
      <w:widowControl w:val="0"/>
      <w:numPr>
        <w:numId w:val="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table" w:customStyle="1" w:styleId="TableNormal">
    <w:name w:val="Table Normal"/>
    <w:uiPriority w:val="2"/>
    <w:semiHidden/>
    <w:unhideWhenUsed/>
    <w:qFormat/>
    <w:rsid w:val="00D61E93"/>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7"/>
    <w:uiPriority w:val="1"/>
    <w:qFormat/>
    <w:rsid w:val="00D61E93"/>
    <w:pPr>
      <w:overflowPunct/>
      <w:jc w:val="left"/>
    </w:pPr>
    <w:rPr>
      <w:rFonts w:ascii="新細明體" w:eastAsia="新細明體" w:hAnsi="新細明體" w:cs="新細明體"/>
      <w:kern w:val="0"/>
      <w:sz w:val="22"/>
      <w:szCs w:val="22"/>
      <w:lang w:eastAsia="en-US"/>
    </w:rPr>
  </w:style>
  <w:style w:type="character" w:customStyle="1" w:styleId="60">
    <w:name w:val="標題 6 字元"/>
    <w:aliases w:val="1 字元,6_標題 字元,參考文獻 字元,ref-items 字元,A 字元,--A 字元,ISO標題 6 字元,標題 6 參考文獻 字元,標題 6 標題 6 字元"/>
    <w:basedOn w:val="a8"/>
    <w:link w:val="6"/>
    <w:rsid w:val="001D6246"/>
    <w:rPr>
      <w:rFonts w:ascii="標楷體" w:eastAsia="標楷體" w:hAnsi="Arial"/>
      <w:kern w:val="32"/>
      <w:sz w:val="32"/>
      <w:szCs w:val="36"/>
    </w:rPr>
  </w:style>
  <w:style w:type="character" w:customStyle="1" w:styleId="10">
    <w:name w:val="標題 1 字元"/>
    <w:aliases w:val="題號1 字元,壹 字元,1_標題 字元,標題 1章名 字元,章 字元,章名 字元,標題 1附件 字元"/>
    <w:basedOn w:val="a8"/>
    <w:link w:val="1"/>
    <w:rsid w:val="001C6043"/>
    <w:rPr>
      <w:rFonts w:ascii="標楷體" w:eastAsia="標楷體" w:hAnsi="Arial"/>
      <w:bCs/>
      <w:kern w:val="32"/>
      <w:sz w:val="32"/>
      <w:szCs w:val="52"/>
    </w:rPr>
  </w:style>
  <w:style w:type="character" w:customStyle="1" w:styleId="70">
    <w:name w:val="標題 7 字元"/>
    <w:aliases w:val="(1) 字元,(A) 字元,--(a) 字元,--a 字元,標題 7-(a) 字元,標題 7 標題 7 字元"/>
    <w:basedOn w:val="a8"/>
    <w:link w:val="7"/>
    <w:rsid w:val="001C6043"/>
    <w:rPr>
      <w:rFonts w:ascii="標楷體" w:eastAsia="標楷體" w:hAnsi="Arial"/>
      <w:bCs/>
      <w:kern w:val="32"/>
      <w:sz w:val="32"/>
      <w:szCs w:val="36"/>
    </w:rPr>
  </w:style>
  <w:style w:type="character" w:customStyle="1" w:styleId="80">
    <w:name w:val="標題 8 字元"/>
    <w:basedOn w:val="a8"/>
    <w:link w:val="8"/>
    <w:rsid w:val="001C6043"/>
    <w:rPr>
      <w:rFonts w:ascii="標楷體" w:eastAsia="標楷體" w:hAnsi="Arial"/>
      <w:kern w:val="32"/>
      <w:sz w:val="32"/>
      <w:szCs w:val="36"/>
    </w:rPr>
  </w:style>
  <w:style w:type="character" w:customStyle="1" w:styleId="ae">
    <w:name w:val="章節附註文字 字元"/>
    <w:basedOn w:val="a8"/>
    <w:link w:val="ad"/>
    <w:semiHidden/>
    <w:rsid w:val="001C6043"/>
    <w:rPr>
      <w:rFonts w:ascii="標楷體" w:eastAsia="標楷體"/>
      <w:snapToGrid w:val="0"/>
      <w:spacing w:val="10"/>
      <w:kern w:val="2"/>
      <w:sz w:val="32"/>
    </w:rPr>
  </w:style>
  <w:style w:type="character" w:customStyle="1" w:styleId="af1">
    <w:name w:val="頁首 字元"/>
    <w:basedOn w:val="a8"/>
    <w:link w:val="af0"/>
    <w:semiHidden/>
    <w:rsid w:val="001C6043"/>
    <w:rPr>
      <w:rFonts w:ascii="標楷體" w:eastAsia="標楷體"/>
      <w:kern w:val="2"/>
    </w:rPr>
  </w:style>
  <w:style w:type="character" w:customStyle="1" w:styleId="af6">
    <w:name w:val="本文縮排 字元"/>
    <w:basedOn w:val="a8"/>
    <w:link w:val="af5"/>
    <w:semiHidden/>
    <w:rsid w:val="001C6043"/>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1419">
      <w:bodyDiv w:val="1"/>
      <w:marLeft w:val="0"/>
      <w:marRight w:val="0"/>
      <w:marTop w:val="0"/>
      <w:marBottom w:val="0"/>
      <w:divBdr>
        <w:top w:val="none" w:sz="0" w:space="0" w:color="auto"/>
        <w:left w:val="none" w:sz="0" w:space="0" w:color="auto"/>
        <w:bottom w:val="none" w:sz="0" w:space="0" w:color="auto"/>
        <w:right w:val="none" w:sz="0" w:space="0" w:color="auto"/>
      </w:divBdr>
    </w:div>
    <w:div w:id="59330408">
      <w:bodyDiv w:val="1"/>
      <w:marLeft w:val="0"/>
      <w:marRight w:val="0"/>
      <w:marTop w:val="0"/>
      <w:marBottom w:val="0"/>
      <w:divBdr>
        <w:top w:val="none" w:sz="0" w:space="0" w:color="auto"/>
        <w:left w:val="none" w:sz="0" w:space="0" w:color="auto"/>
        <w:bottom w:val="none" w:sz="0" w:space="0" w:color="auto"/>
        <w:right w:val="none" w:sz="0" w:space="0" w:color="auto"/>
      </w:divBdr>
    </w:div>
    <w:div w:id="61294543">
      <w:bodyDiv w:val="1"/>
      <w:marLeft w:val="0"/>
      <w:marRight w:val="0"/>
      <w:marTop w:val="0"/>
      <w:marBottom w:val="0"/>
      <w:divBdr>
        <w:top w:val="none" w:sz="0" w:space="0" w:color="auto"/>
        <w:left w:val="none" w:sz="0" w:space="0" w:color="auto"/>
        <w:bottom w:val="none" w:sz="0" w:space="0" w:color="auto"/>
        <w:right w:val="none" w:sz="0" w:space="0" w:color="auto"/>
      </w:divBdr>
    </w:div>
    <w:div w:id="84498412">
      <w:bodyDiv w:val="1"/>
      <w:marLeft w:val="0"/>
      <w:marRight w:val="0"/>
      <w:marTop w:val="0"/>
      <w:marBottom w:val="0"/>
      <w:divBdr>
        <w:top w:val="none" w:sz="0" w:space="0" w:color="auto"/>
        <w:left w:val="none" w:sz="0" w:space="0" w:color="auto"/>
        <w:bottom w:val="none" w:sz="0" w:space="0" w:color="auto"/>
        <w:right w:val="none" w:sz="0" w:space="0" w:color="auto"/>
      </w:divBdr>
    </w:div>
    <w:div w:id="112865530">
      <w:bodyDiv w:val="1"/>
      <w:marLeft w:val="0"/>
      <w:marRight w:val="0"/>
      <w:marTop w:val="0"/>
      <w:marBottom w:val="0"/>
      <w:divBdr>
        <w:top w:val="none" w:sz="0" w:space="0" w:color="auto"/>
        <w:left w:val="none" w:sz="0" w:space="0" w:color="auto"/>
        <w:bottom w:val="none" w:sz="0" w:space="0" w:color="auto"/>
        <w:right w:val="none" w:sz="0" w:space="0" w:color="auto"/>
      </w:divBdr>
    </w:div>
    <w:div w:id="126169494">
      <w:bodyDiv w:val="1"/>
      <w:marLeft w:val="0"/>
      <w:marRight w:val="0"/>
      <w:marTop w:val="0"/>
      <w:marBottom w:val="0"/>
      <w:divBdr>
        <w:top w:val="none" w:sz="0" w:space="0" w:color="auto"/>
        <w:left w:val="none" w:sz="0" w:space="0" w:color="auto"/>
        <w:bottom w:val="none" w:sz="0" w:space="0" w:color="auto"/>
        <w:right w:val="none" w:sz="0" w:space="0" w:color="auto"/>
      </w:divBdr>
    </w:div>
    <w:div w:id="151334072">
      <w:bodyDiv w:val="1"/>
      <w:marLeft w:val="0"/>
      <w:marRight w:val="0"/>
      <w:marTop w:val="0"/>
      <w:marBottom w:val="0"/>
      <w:divBdr>
        <w:top w:val="none" w:sz="0" w:space="0" w:color="auto"/>
        <w:left w:val="none" w:sz="0" w:space="0" w:color="auto"/>
        <w:bottom w:val="none" w:sz="0" w:space="0" w:color="auto"/>
        <w:right w:val="none" w:sz="0" w:space="0" w:color="auto"/>
      </w:divBdr>
    </w:div>
    <w:div w:id="235675066">
      <w:bodyDiv w:val="1"/>
      <w:marLeft w:val="0"/>
      <w:marRight w:val="0"/>
      <w:marTop w:val="0"/>
      <w:marBottom w:val="0"/>
      <w:divBdr>
        <w:top w:val="none" w:sz="0" w:space="0" w:color="auto"/>
        <w:left w:val="none" w:sz="0" w:space="0" w:color="auto"/>
        <w:bottom w:val="none" w:sz="0" w:space="0" w:color="auto"/>
        <w:right w:val="none" w:sz="0" w:space="0" w:color="auto"/>
      </w:divBdr>
    </w:div>
    <w:div w:id="239293156">
      <w:bodyDiv w:val="1"/>
      <w:marLeft w:val="0"/>
      <w:marRight w:val="0"/>
      <w:marTop w:val="0"/>
      <w:marBottom w:val="0"/>
      <w:divBdr>
        <w:top w:val="none" w:sz="0" w:space="0" w:color="auto"/>
        <w:left w:val="none" w:sz="0" w:space="0" w:color="auto"/>
        <w:bottom w:val="none" w:sz="0" w:space="0" w:color="auto"/>
        <w:right w:val="none" w:sz="0" w:space="0" w:color="auto"/>
      </w:divBdr>
    </w:div>
    <w:div w:id="286008706">
      <w:bodyDiv w:val="1"/>
      <w:marLeft w:val="0"/>
      <w:marRight w:val="0"/>
      <w:marTop w:val="0"/>
      <w:marBottom w:val="0"/>
      <w:divBdr>
        <w:top w:val="none" w:sz="0" w:space="0" w:color="auto"/>
        <w:left w:val="none" w:sz="0" w:space="0" w:color="auto"/>
        <w:bottom w:val="none" w:sz="0" w:space="0" w:color="auto"/>
        <w:right w:val="none" w:sz="0" w:space="0" w:color="auto"/>
      </w:divBdr>
    </w:div>
    <w:div w:id="297731605">
      <w:bodyDiv w:val="1"/>
      <w:marLeft w:val="0"/>
      <w:marRight w:val="0"/>
      <w:marTop w:val="0"/>
      <w:marBottom w:val="0"/>
      <w:divBdr>
        <w:top w:val="none" w:sz="0" w:space="0" w:color="auto"/>
        <w:left w:val="none" w:sz="0" w:space="0" w:color="auto"/>
        <w:bottom w:val="none" w:sz="0" w:space="0" w:color="auto"/>
        <w:right w:val="none" w:sz="0" w:space="0" w:color="auto"/>
      </w:divBdr>
    </w:div>
    <w:div w:id="345713179">
      <w:bodyDiv w:val="1"/>
      <w:marLeft w:val="0"/>
      <w:marRight w:val="0"/>
      <w:marTop w:val="0"/>
      <w:marBottom w:val="0"/>
      <w:divBdr>
        <w:top w:val="none" w:sz="0" w:space="0" w:color="auto"/>
        <w:left w:val="none" w:sz="0" w:space="0" w:color="auto"/>
        <w:bottom w:val="none" w:sz="0" w:space="0" w:color="auto"/>
        <w:right w:val="none" w:sz="0" w:space="0" w:color="auto"/>
      </w:divBdr>
    </w:div>
    <w:div w:id="442961163">
      <w:bodyDiv w:val="1"/>
      <w:marLeft w:val="0"/>
      <w:marRight w:val="0"/>
      <w:marTop w:val="0"/>
      <w:marBottom w:val="0"/>
      <w:divBdr>
        <w:top w:val="none" w:sz="0" w:space="0" w:color="auto"/>
        <w:left w:val="none" w:sz="0" w:space="0" w:color="auto"/>
        <w:bottom w:val="none" w:sz="0" w:space="0" w:color="auto"/>
        <w:right w:val="none" w:sz="0" w:space="0" w:color="auto"/>
      </w:divBdr>
      <w:divsChild>
        <w:div w:id="381250563">
          <w:marLeft w:val="0"/>
          <w:marRight w:val="0"/>
          <w:marTop w:val="0"/>
          <w:marBottom w:val="0"/>
          <w:divBdr>
            <w:top w:val="none" w:sz="0" w:space="0" w:color="auto"/>
            <w:left w:val="none" w:sz="0" w:space="0" w:color="auto"/>
            <w:bottom w:val="none" w:sz="0" w:space="0" w:color="auto"/>
            <w:right w:val="none" w:sz="0" w:space="0" w:color="auto"/>
          </w:divBdr>
          <w:divsChild>
            <w:div w:id="1415475061">
              <w:marLeft w:val="0"/>
              <w:marRight w:val="0"/>
              <w:marTop w:val="0"/>
              <w:marBottom w:val="0"/>
              <w:divBdr>
                <w:top w:val="none" w:sz="0" w:space="0" w:color="auto"/>
                <w:left w:val="none" w:sz="0" w:space="0" w:color="auto"/>
                <w:bottom w:val="none" w:sz="0" w:space="0" w:color="auto"/>
                <w:right w:val="none" w:sz="0" w:space="0" w:color="auto"/>
              </w:divBdr>
              <w:divsChild>
                <w:div w:id="42411428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402797305">
          <w:marLeft w:val="0"/>
          <w:marRight w:val="0"/>
          <w:marTop w:val="0"/>
          <w:marBottom w:val="0"/>
          <w:divBdr>
            <w:top w:val="none" w:sz="0" w:space="0" w:color="auto"/>
            <w:left w:val="none" w:sz="0" w:space="0" w:color="auto"/>
            <w:bottom w:val="none" w:sz="0" w:space="0" w:color="auto"/>
            <w:right w:val="none" w:sz="0" w:space="0" w:color="auto"/>
          </w:divBdr>
          <w:divsChild>
            <w:div w:id="2109421229">
              <w:marLeft w:val="0"/>
              <w:marRight w:val="0"/>
              <w:marTop w:val="0"/>
              <w:marBottom w:val="0"/>
              <w:divBdr>
                <w:top w:val="none" w:sz="0" w:space="0" w:color="auto"/>
                <w:left w:val="none" w:sz="0" w:space="0" w:color="auto"/>
                <w:bottom w:val="none" w:sz="0" w:space="0" w:color="auto"/>
                <w:right w:val="none" w:sz="0" w:space="0" w:color="auto"/>
              </w:divBdr>
            </w:div>
          </w:divsChild>
        </w:div>
        <w:div w:id="833640294">
          <w:marLeft w:val="0"/>
          <w:marRight w:val="0"/>
          <w:marTop w:val="0"/>
          <w:marBottom w:val="0"/>
          <w:divBdr>
            <w:top w:val="none" w:sz="0" w:space="0" w:color="auto"/>
            <w:left w:val="none" w:sz="0" w:space="0" w:color="auto"/>
            <w:bottom w:val="none" w:sz="0" w:space="0" w:color="auto"/>
            <w:right w:val="none" w:sz="0" w:space="0" w:color="auto"/>
          </w:divBdr>
          <w:divsChild>
            <w:div w:id="1644046470">
              <w:marLeft w:val="0"/>
              <w:marRight w:val="0"/>
              <w:marTop w:val="0"/>
              <w:marBottom w:val="0"/>
              <w:divBdr>
                <w:top w:val="none" w:sz="0" w:space="0" w:color="auto"/>
                <w:left w:val="none" w:sz="0" w:space="0" w:color="auto"/>
                <w:bottom w:val="none" w:sz="0" w:space="0" w:color="auto"/>
                <w:right w:val="none" w:sz="0" w:space="0" w:color="auto"/>
              </w:divBdr>
              <w:divsChild>
                <w:div w:id="151152483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847716319">
          <w:marLeft w:val="0"/>
          <w:marRight w:val="0"/>
          <w:marTop w:val="0"/>
          <w:marBottom w:val="0"/>
          <w:divBdr>
            <w:top w:val="none" w:sz="0" w:space="0" w:color="auto"/>
            <w:left w:val="none" w:sz="0" w:space="0" w:color="auto"/>
            <w:bottom w:val="none" w:sz="0" w:space="0" w:color="auto"/>
            <w:right w:val="none" w:sz="0" w:space="0" w:color="auto"/>
          </w:divBdr>
          <w:divsChild>
            <w:div w:id="1185441497">
              <w:marLeft w:val="0"/>
              <w:marRight w:val="0"/>
              <w:marTop w:val="0"/>
              <w:marBottom w:val="0"/>
              <w:divBdr>
                <w:top w:val="none" w:sz="0" w:space="0" w:color="auto"/>
                <w:left w:val="none" w:sz="0" w:space="0" w:color="auto"/>
                <w:bottom w:val="none" w:sz="0" w:space="0" w:color="auto"/>
                <w:right w:val="none" w:sz="0" w:space="0" w:color="auto"/>
              </w:divBdr>
              <w:divsChild>
                <w:div w:id="248851507">
                  <w:marLeft w:val="0"/>
                  <w:marRight w:val="0"/>
                  <w:marTop w:val="0"/>
                  <w:marBottom w:val="0"/>
                  <w:divBdr>
                    <w:top w:val="none" w:sz="0" w:space="0" w:color="auto"/>
                    <w:left w:val="none" w:sz="0" w:space="0" w:color="auto"/>
                    <w:bottom w:val="none" w:sz="0" w:space="0" w:color="auto"/>
                    <w:right w:val="none" w:sz="0" w:space="0" w:color="auto"/>
                  </w:divBdr>
                  <w:divsChild>
                    <w:div w:id="930968431">
                      <w:marLeft w:val="0"/>
                      <w:marRight w:val="0"/>
                      <w:marTop w:val="0"/>
                      <w:marBottom w:val="0"/>
                      <w:divBdr>
                        <w:top w:val="none" w:sz="0" w:space="0" w:color="auto"/>
                        <w:left w:val="none" w:sz="0" w:space="0" w:color="auto"/>
                        <w:bottom w:val="none" w:sz="0" w:space="0" w:color="auto"/>
                        <w:right w:val="none" w:sz="0" w:space="0" w:color="auto"/>
                      </w:divBdr>
                      <w:divsChild>
                        <w:div w:id="1813016425">
                          <w:marLeft w:val="0"/>
                          <w:marRight w:val="0"/>
                          <w:marTop w:val="0"/>
                          <w:marBottom w:val="0"/>
                          <w:divBdr>
                            <w:top w:val="none" w:sz="0" w:space="0" w:color="auto"/>
                            <w:left w:val="none" w:sz="0" w:space="0" w:color="auto"/>
                            <w:bottom w:val="none" w:sz="0" w:space="0" w:color="auto"/>
                            <w:right w:val="none" w:sz="0" w:space="0" w:color="auto"/>
                          </w:divBdr>
                          <w:divsChild>
                            <w:div w:id="776097522">
                              <w:marLeft w:val="0"/>
                              <w:marRight w:val="0"/>
                              <w:marTop w:val="0"/>
                              <w:marBottom w:val="0"/>
                              <w:divBdr>
                                <w:top w:val="none" w:sz="0" w:space="0" w:color="auto"/>
                                <w:left w:val="none" w:sz="0" w:space="0" w:color="auto"/>
                                <w:bottom w:val="none" w:sz="0" w:space="0" w:color="auto"/>
                                <w:right w:val="none" w:sz="0" w:space="0" w:color="auto"/>
                              </w:divBdr>
                            </w:div>
                            <w:div w:id="126781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086213">
                  <w:marLeft w:val="0"/>
                  <w:marRight w:val="0"/>
                  <w:marTop w:val="0"/>
                  <w:marBottom w:val="0"/>
                  <w:divBdr>
                    <w:top w:val="none" w:sz="0" w:space="0" w:color="auto"/>
                    <w:left w:val="none" w:sz="0" w:space="0" w:color="auto"/>
                    <w:bottom w:val="none" w:sz="0" w:space="0" w:color="auto"/>
                    <w:right w:val="none" w:sz="0" w:space="0" w:color="auto"/>
                  </w:divBdr>
                  <w:divsChild>
                    <w:div w:id="280692314">
                      <w:marLeft w:val="0"/>
                      <w:marRight w:val="0"/>
                      <w:marTop w:val="0"/>
                      <w:marBottom w:val="0"/>
                      <w:divBdr>
                        <w:top w:val="none" w:sz="0" w:space="0" w:color="auto"/>
                        <w:left w:val="none" w:sz="0" w:space="0" w:color="auto"/>
                        <w:bottom w:val="none" w:sz="0" w:space="0" w:color="auto"/>
                        <w:right w:val="none" w:sz="0" w:space="0" w:color="auto"/>
                      </w:divBdr>
                      <w:divsChild>
                        <w:div w:id="1530335697">
                          <w:marLeft w:val="0"/>
                          <w:marRight w:val="0"/>
                          <w:marTop w:val="0"/>
                          <w:marBottom w:val="0"/>
                          <w:divBdr>
                            <w:top w:val="none" w:sz="0" w:space="0" w:color="auto"/>
                            <w:left w:val="none" w:sz="0" w:space="0" w:color="auto"/>
                            <w:bottom w:val="none" w:sz="0" w:space="0" w:color="auto"/>
                            <w:right w:val="none" w:sz="0" w:space="0" w:color="auto"/>
                          </w:divBdr>
                          <w:divsChild>
                            <w:div w:id="623463228">
                              <w:marLeft w:val="0"/>
                              <w:marRight w:val="0"/>
                              <w:marTop w:val="0"/>
                              <w:marBottom w:val="0"/>
                              <w:divBdr>
                                <w:top w:val="none" w:sz="0" w:space="0" w:color="auto"/>
                                <w:left w:val="none" w:sz="0" w:space="0" w:color="auto"/>
                                <w:bottom w:val="none" w:sz="0" w:space="0" w:color="auto"/>
                                <w:right w:val="none" w:sz="0" w:space="0" w:color="auto"/>
                              </w:divBdr>
                            </w:div>
                            <w:div w:id="168971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072375">
          <w:marLeft w:val="0"/>
          <w:marRight w:val="0"/>
          <w:marTop w:val="0"/>
          <w:marBottom w:val="0"/>
          <w:divBdr>
            <w:top w:val="none" w:sz="0" w:space="0" w:color="auto"/>
            <w:left w:val="none" w:sz="0" w:space="0" w:color="auto"/>
            <w:bottom w:val="none" w:sz="0" w:space="0" w:color="auto"/>
            <w:right w:val="none" w:sz="0" w:space="0" w:color="auto"/>
          </w:divBdr>
          <w:divsChild>
            <w:div w:id="1534800961">
              <w:marLeft w:val="0"/>
              <w:marRight w:val="0"/>
              <w:marTop w:val="0"/>
              <w:marBottom w:val="0"/>
              <w:divBdr>
                <w:top w:val="none" w:sz="0" w:space="0" w:color="auto"/>
                <w:left w:val="none" w:sz="0" w:space="0" w:color="auto"/>
                <w:bottom w:val="none" w:sz="0" w:space="0" w:color="auto"/>
                <w:right w:val="none" w:sz="0" w:space="0" w:color="auto"/>
              </w:divBdr>
              <w:divsChild>
                <w:div w:id="2891665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928346146">
          <w:marLeft w:val="0"/>
          <w:marRight w:val="0"/>
          <w:marTop w:val="0"/>
          <w:marBottom w:val="0"/>
          <w:divBdr>
            <w:top w:val="none" w:sz="0" w:space="0" w:color="auto"/>
            <w:left w:val="none" w:sz="0" w:space="0" w:color="auto"/>
            <w:bottom w:val="none" w:sz="0" w:space="0" w:color="auto"/>
            <w:right w:val="none" w:sz="0" w:space="0" w:color="auto"/>
          </w:divBdr>
          <w:divsChild>
            <w:div w:id="969213807">
              <w:marLeft w:val="0"/>
              <w:marRight w:val="0"/>
              <w:marTop w:val="0"/>
              <w:marBottom w:val="0"/>
              <w:divBdr>
                <w:top w:val="none" w:sz="0" w:space="0" w:color="auto"/>
                <w:left w:val="none" w:sz="0" w:space="0" w:color="auto"/>
                <w:bottom w:val="none" w:sz="0" w:space="0" w:color="auto"/>
                <w:right w:val="none" w:sz="0" w:space="0" w:color="auto"/>
              </w:divBdr>
              <w:divsChild>
                <w:div w:id="80728740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139303330">
          <w:marLeft w:val="0"/>
          <w:marRight w:val="0"/>
          <w:marTop w:val="0"/>
          <w:marBottom w:val="0"/>
          <w:divBdr>
            <w:top w:val="none" w:sz="0" w:space="0" w:color="auto"/>
            <w:left w:val="none" w:sz="0" w:space="0" w:color="auto"/>
            <w:bottom w:val="none" w:sz="0" w:space="0" w:color="auto"/>
            <w:right w:val="none" w:sz="0" w:space="0" w:color="auto"/>
          </w:divBdr>
          <w:divsChild>
            <w:div w:id="1146819931">
              <w:marLeft w:val="0"/>
              <w:marRight w:val="0"/>
              <w:marTop w:val="0"/>
              <w:marBottom w:val="0"/>
              <w:divBdr>
                <w:top w:val="none" w:sz="0" w:space="0" w:color="auto"/>
                <w:left w:val="none" w:sz="0" w:space="0" w:color="auto"/>
                <w:bottom w:val="none" w:sz="0" w:space="0" w:color="auto"/>
                <w:right w:val="none" w:sz="0" w:space="0" w:color="auto"/>
              </w:divBdr>
              <w:divsChild>
                <w:div w:id="9337096">
                  <w:marLeft w:val="0"/>
                  <w:marRight w:val="0"/>
                  <w:marTop w:val="0"/>
                  <w:marBottom w:val="0"/>
                  <w:divBdr>
                    <w:top w:val="none" w:sz="0" w:space="0" w:color="auto"/>
                    <w:left w:val="none" w:sz="0" w:space="0" w:color="auto"/>
                    <w:bottom w:val="none" w:sz="0" w:space="0" w:color="auto"/>
                    <w:right w:val="none" w:sz="0" w:space="0" w:color="auto"/>
                  </w:divBdr>
                  <w:divsChild>
                    <w:div w:id="254287394">
                      <w:marLeft w:val="0"/>
                      <w:marRight w:val="0"/>
                      <w:marTop w:val="0"/>
                      <w:marBottom w:val="0"/>
                      <w:divBdr>
                        <w:top w:val="none" w:sz="0" w:space="0" w:color="auto"/>
                        <w:left w:val="none" w:sz="0" w:space="0" w:color="auto"/>
                        <w:bottom w:val="none" w:sz="0" w:space="0" w:color="auto"/>
                        <w:right w:val="none" w:sz="0" w:space="0" w:color="auto"/>
                      </w:divBdr>
                      <w:divsChild>
                        <w:div w:id="1091731128">
                          <w:marLeft w:val="0"/>
                          <w:marRight w:val="0"/>
                          <w:marTop w:val="0"/>
                          <w:marBottom w:val="0"/>
                          <w:divBdr>
                            <w:top w:val="none" w:sz="0" w:space="0" w:color="auto"/>
                            <w:left w:val="none" w:sz="0" w:space="0" w:color="auto"/>
                            <w:bottom w:val="none" w:sz="0" w:space="0" w:color="auto"/>
                            <w:right w:val="none" w:sz="0" w:space="0" w:color="auto"/>
                          </w:divBdr>
                          <w:divsChild>
                            <w:div w:id="272832436">
                              <w:marLeft w:val="0"/>
                              <w:marRight w:val="0"/>
                              <w:marTop w:val="0"/>
                              <w:marBottom w:val="0"/>
                              <w:divBdr>
                                <w:top w:val="none" w:sz="0" w:space="0" w:color="auto"/>
                                <w:left w:val="none" w:sz="0" w:space="0" w:color="auto"/>
                                <w:bottom w:val="none" w:sz="0" w:space="0" w:color="auto"/>
                                <w:right w:val="none" w:sz="0" w:space="0" w:color="auto"/>
                              </w:divBdr>
                            </w:div>
                            <w:div w:id="13926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546871">
                  <w:marLeft w:val="0"/>
                  <w:marRight w:val="0"/>
                  <w:marTop w:val="0"/>
                  <w:marBottom w:val="0"/>
                  <w:divBdr>
                    <w:top w:val="none" w:sz="0" w:space="0" w:color="auto"/>
                    <w:left w:val="none" w:sz="0" w:space="0" w:color="auto"/>
                    <w:bottom w:val="none" w:sz="0" w:space="0" w:color="auto"/>
                    <w:right w:val="none" w:sz="0" w:space="0" w:color="auto"/>
                  </w:divBdr>
                  <w:divsChild>
                    <w:div w:id="1304500450">
                      <w:marLeft w:val="0"/>
                      <w:marRight w:val="0"/>
                      <w:marTop w:val="0"/>
                      <w:marBottom w:val="0"/>
                      <w:divBdr>
                        <w:top w:val="none" w:sz="0" w:space="0" w:color="auto"/>
                        <w:left w:val="none" w:sz="0" w:space="0" w:color="auto"/>
                        <w:bottom w:val="none" w:sz="0" w:space="0" w:color="auto"/>
                        <w:right w:val="none" w:sz="0" w:space="0" w:color="auto"/>
                      </w:divBdr>
                      <w:divsChild>
                        <w:div w:id="1672416699">
                          <w:marLeft w:val="0"/>
                          <w:marRight w:val="0"/>
                          <w:marTop w:val="0"/>
                          <w:marBottom w:val="0"/>
                          <w:divBdr>
                            <w:top w:val="none" w:sz="0" w:space="0" w:color="auto"/>
                            <w:left w:val="none" w:sz="0" w:space="0" w:color="auto"/>
                            <w:bottom w:val="none" w:sz="0" w:space="0" w:color="auto"/>
                            <w:right w:val="none" w:sz="0" w:space="0" w:color="auto"/>
                          </w:divBdr>
                          <w:divsChild>
                            <w:div w:id="332874603">
                              <w:marLeft w:val="0"/>
                              <w:marRight w:val="0"/>
                              <w:marTop w:val="0"/>
                              <w:marBottom w:val="0"/>
                              <w:divBdr>
                                <w:top w:val="none" w:sz="0" w:space="0" w:color="auto"/>
                                <w:left w:val="none" w:sz="0" w:space="0" w:color="auto"/>
                                <w:bottom w:val="none" w:sz="0" w:space="0" w:color="auto"/>
                                <w:right w:val="none" w:sz="0" w:space="0" w:color="auto"/>
                              </w:divBdr>
                            </w:div>
                            <w:div w:id="180495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67285">
                  <w:marLeft w:val="0"/>
                  <w:marRight w:val="0"/>
                  <w:marTop w:val="0"/>
                  <w:marBottom w:val="0"/>
                  <w:divBdr>
                    <w:top w:val="none" w:sz="0" w:space="0" w:color="auto"/>
                    <w:left w:val="none" w:sz="0" w:space="0" w:color="auto"/>
                    <w:bottom w:val="none" w:sz="0" w:space="0" w:color="auto"/>
                    <w:right w:val="none" w:sz="0" w:space="0" w:color="auto"/>
                  </w:divBdr>
                  <w:divsChild>
                    <w:div w:id="1196040229">
                      <w:marLeft w:val="0"/>
                      <w:marRight w:val="0"/>
                      <w:marTop w:val="0"/>
                      <w:marBottom w:val="0"/>
                      <w:divBdr>
                        <w:top w:val="none" w:sz="0" w:space="0" w:color="auto"/>
                        <w:left w:val="none" w:sz="0" w:space="0" w:color="auto"/>
                        <w:bottom w:val="none" w:sz="0" w:space="0" w:color="auto"/>
                        <w:right w:val="none" w:sz="0" w:space="0" w:color="auto"/>
                      </w:divBdr>
                      <w:divsChild>
                        <w:div w:id="959578924">
                          <w:marLeft w:val="0"/>
                          <w:marRight w:val="0"/>
                          <w:marTop w:val="0"/>
                          <w:marBottom w:val="0"/>
                          <w:divBdr>
                            <w:top w:val="none" w:sz="0" w:space="0" w:color="auto"/>
                            <w:left w:val="none" w:sz="0" w:space="0" w:color="auto"/>
                            <w:bottom w:val="none" w:sz="0" w:space="0" w:color="auto"/>
                            <w:right w:val="none" w:sz="0" w:space="0" w:color="auto"/>
                          </w:divBdr>
                          <w:divsChild>
                            <w:div w:id="104037486">
                              <w:marLeft w:val="0"/>
                              <w:marRight w:val="0"/>
                              <w:marTop w:val="0"/>
                              <w:marBottom w:val="0"/>
                              <w:divBdr>
                                <w:top w:val="none" w:sz="0" w:space="0" w:color="auto"/>
                                <w:left w:val="none" w:sz="0" w:space="0" w:color="auto"/>
                                <w:bottom w:val="none" w:sz="0" w:space="0" w:color="auto"/>
                                <w:right w:val="none" w:sz="0" w:space="0" w:color="auto"/>
                              </w:divBdr>
                            </w:div>
                            <w:div w:id="88548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534329">
                  <w:marLeft w:val="0"/>
                  <w:marRight w:val="0"/>
                  <w:marTop w:val="0"/>
                  <w:marBottom w:val="0"/>
                  <w:divBdr>
                    <w:top w:val="none" w:sz="0" w:space="0" w:color="auto"/>
                    <w:left w:val="none" w:sz="0" w:space="0" w:color="auto"/>
                    <w:bottom w:val="none" w:sz="0" w:space="0" w:color="auto"/>
                    <w:right w:val="none" w:sz="0" w:space="0" w:color="auto"/>
                  </w:divBdr>
                  <w:divsChild>
                    <w:div w:id="1168131833">
                      <w:marLeft w:val="0"/>
                      <w:marRight w:val="0"/>
                      <w:marTop w:val="0"/>
                      <w:marBottom w:val="0"/>
                      <w:divBdr>
                        <w:top w:val="none" w:sz="0" w:space="0" w:color="auto"/>
                        <w:left w:val="none" w:sz="0" w:space="0" w:color="auto"/>
                        <w:bottom w:val="none" w:sz="0" w:space="0" w:color="auto"/>
                        <w:right w:val="none" w:sz="0" w:space="0" w:color="auto"/>
                      </w:divBdr>
                      <w:divsChild>
                        <w:div w:id="1018434036">
                          <w:marLeft w:val="0"/>
                          <w:marRight w:val="0"/>
                          <w:marTop w:val="0"/>
                          <w:marBottom w:val="0"/>
                          <w:divBdr>
                            <w:top w:val="none" w:sz="0" w:space="0" w:color="auto"/>
                            <w:left w:val="none" w:sz="0" w:space="0" w:color="auto"/>
                            <w:bottom w:val="none" w:sz="0" w:space="0" w:color="auto"/>
                            <w:right w:val="none" w:sz="0" w:space="0" w:color="auto"/>
                          </w:divBdr>
                          <w:divsChild>
                            <w:div w:id="121387284">
                              <w:marLeft w:val="0"/>
                              <w:marRight w:val="0"/>
                              <w:marTop w:val="0"/>
                              <w:marBottom w:val="0"/>
                              <w:divBdr>
                                <w:top w:val="none" w:sz="0" w:space="0" w:color="auto"/>
                                <w:left w:val="none" w:sz="0" w:space="0" w:color="auto"/>
                                <w:bottom w:val="none" w:sz="0" w:space="0" w:color="auto"/>
                                <w:right w:val="none" w:sz="0" w:space="0" w:color="auto"/>
                              </w:divBdr>
                            </w:div>
                            <w:div w:id="194904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9329001">
          <w:marLeft w:val="0"/>
          <w:marRight w:val="0"/>
          <w:marTop w:val="0"/>
          <w:marBottom w:val="0"/>
          <w:divBdr>
            <w:top w:val="none" w:sz="0" w:space="0" w:color="auto"/>
            <w:left w:val="none" w:sz="0" w:space="0" w:color="auto"/>
            <w:bottom w:val="none" w:sz="0" w:space="0" w:color="auto"/>
            <w:right w:val="none" w:sz="0" w:space="0" w:color="auto"/>
          </w:divBdr>
          <w:divsChild>
            <w:div w:id="1190608903">
              <w:marLeft w:val="0"/>
              <w:marRight w:val="0"/>
              <w:marTop w:val="0"/>
              <w:marBottom w:val="0"/>
              <w:divBdr>
                <w:top w:val="none" w:sz="0" w:space="0" w:color="auto"/>
                <w:left w:val="none" w:sz="0" w:space="0" w:color="auto"/>
                <w:bottom w:val="none" w:sz="0" w:space="0" w:color="auto"/>
                <w:right w:val="none" w:sz="0" w:space="0" w:color="auto"/>
              </w:divBdr>
              <w:divsChild>
                <w:div w:id="8728388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98663685">
      <w:bodyDiv w:val="1"/>
      <w:marLeft w:val="0"/>
      <w:marRight w:val="0"/>
      <w:marTop w:val="0"/>
      <w:marBottom w:val="0"/>
      <w:divBdr>
        <w:top w:val="none" w:sz="0" w:space="0" w:color="auto"/>
        <w:left w:val="none" w:sz="0" w:space="0" w:color="auto"/>
        <w:bottom w:val="none" w:sz="0" w:space="0" w:color="auto"/>
        <w:right w:val="none" w:sz="0" w:space="0" w:color="auto"/>
      </w:divBdr>
    </w:div>
    <w:div w:id="515844785">
      <w:bodyDiv w:val="1"/>
      <w:marLeft w:val="0"/>
      <w:marRight w:val="0"/>
      <w:marTop w:val="0"/>
      <w:marBottom w:val="0"/>
      <w:divBdr>
        <w:top w:val="none" w:sz="0" w:space="0" w:color="auto"/>
        <w:left w:val="none" w:sz="0" w:space="0" w:color="auto"/>
        <w:bottom w:val="none" w:sz="0" w:space="0" w:color="auto"/>
        <w:right w:val="none" w:sz="0" w:space="0" w:color="auto"/>
      </w:divBdr>
    </w:div>
    <w:div w:id="545065524">
      <w:bodyDiv w:val="1"/>
      <w:marLeft w:val="0"/>
      <w:marRight w:val="0"/>
      <w:marTop w:val="0"/>
      <w:marBottom w:val="0"/>
      <w:divBdr>
        <w:top w:val="none" w:sz="0" w:space="0" w:color="auto"/>
        <w:left w:val="none" w:sz="0" w:space="0" w:color="auto"/>
        <w:bottom w:val="none" w:sz="0" w:space="0" w:color="auto"/>
        <w:right w:val="none" w:sz="0" w:space="0" w:color="auto"/>
      </w:divBdr>
    </w:div>
    <w:div w:id="562757722">
      <w:bodyDiv w:val="1"/>
      <w:marLeft w:val="0"/>
      <w:marRight w:val="0"/>
      <w:marTop w:val="0"/>
      <w:marBottom w:val="0"/>
      <w:divBdr>
        <w:top w:val="none" w:sz="0" w:space="0" w:color="auto"/>
        <w:left w:val="none" w:sz="0" w:space="0" w:color="auto"/>
        <w:bottom w:val="none" w:sz="0" w:space="0" w:color="auto"/>
        <w:right w:val="none" w:sz="0" w:space="0" w:color="auto"/>
      </w:divBdr>
    </w:div>
    <w:div w:id="565265712">
      <w:bodyDiv w:val="1"/>
      <w:marLeft w:val="0"/>
      <w:marRight w:val="0"/>
      <w:marTop w:val="0"/>
      <w:marBottom w:val="0"/>
      <w:divBdr>
        <w:top w:val="none" w:sz="0" w:space="0" w:color="auto"/>
        <w:left w:val="none" w:sz="0" w:space="0" w:color="auto"/>
        <w:bottom w:val="none" w:sz="0" w:space="0" w:color="auto"/>
        <w:right w:val="none" w:sz="0" w:space="0" w:color="auto"/>
      </w:divBdr>
    </w:div>
    <w:div w:id="570388400">
      <w:bodyDiv w:val="1"/>
      <w:marLeft w:val="0"/>
      <w:marRight w:val="0"/>
      <w:marTop w:val="0"/>
      <w:marBottom w:val="0"/>
      <w:divBdr>
        <w:top w:val="none" w:sz="0" w:space="0" w:color="auto"/>
        <w:left w:val="none" w:sz="0" w:space="0" w:color="auto"/>
        <w:bottom w:val="none" w:sz="0" w:space="0" w:color="auto"/>
        <w:right w:val="none" w:sz="0" w:space="0" w:color="auto"/>
      </w:divBdr>
    </w:div>
    <w:div w:id="592202273">
      <w:bodyDiv w:val="1"/>
      <w:marLeft w:val="0"/>
      <w:marRight w:val="0"/>
      <w:marTop w:val="0"/>
      <w:marBottom w:val="0"/>
      <w:divBdr>
        <w:top w:val="none" w:sz="0" w:space="0" w:color="auto"/>
        <w:left w:val="none" w:sz="0" w:space="0" w:color="auto"/>
        <w:bottom w:val="none" w:sz="0" w:space="0" w:color="auto"/>
        <w:right w:val="none" w:sz="0" w:space="0" w:color="auto"/>
      </w:divBdr>
    </w:div>
    <w:div w:id="638850810">
      <w:bodyDiv w:val="1"/>
      <w:marLeft w:val="0"/>
      <w:marRight w:val="0"/>
      <w:marTop w:val="0"/>
      <w:marBottom w:val="0"/>
      <w:divBdr>
        <w:top w:val="none" w:sz="0" w:space="0" w:color="auto"/>
        <w:left w:val="none" w:sz="0" w:space="0" w:color="auto"/>
        <w:bottom w:val="none" w:sz="0" w:space="0" w:color="auto"/>
        <w:right w:val="none" w:sz="0" w:space="0" w:color="auto"/>
      </w:divBdr>
    </w:div>
    <w:div w:id="704138115">
      <w:bodyDiv w:val="1"/>
      <w:marLeft w:val="0"/>
      <w:marRight w:val="0"/>
      <w:marTop w:val="0"/>
      <w:marBottom w:val="0"/>
      <w:divBdr>
        <w:top w:val="none" w:sz="0" w:space="0" w:color="auto"/>
        <w:left w:val="none" w:sz="0" w:space="0" w:color="auto"/>
        <w:bottom w:val="none" w:sz="0" w:space="0" w:color="auto"/>
        <w:right w:val="none" w:sz="0" w:space="0" w:color="auto"/>
      </w:divBdr>
    </w:div>
    <w:div w:id="837159320">
      <w:bodyDiv w:val="1"/>
      <w:marLeft w:val="0"/>
      <w:marRight w:val="0"/>
      <w:marTop w:val="0"/>
      <w:marBottom w:val="0"/>
      <w:divBdr>
        <w:top w:val="none" w:sz="0" w:space="0" w:color="auto"/>
        <w:left w:val="none" w:sz="0" w:space="0" w:color="auto"/>
        <w:bottom w:val="none" w:sz="0" w:space="0" w:color="auto"/>
        <w:right w:val="none" w:sz="0" w:space="0" w:color="auto"/>
      </w:divBdr>
    </w:div>
    <w:div w:id="859127051">
      <w:bodyDiv w:val="1"/>
      <w:marLeft w:val="0"/>
      <w:marRight w:val="0"/>
      <w:marTop w:val="0"/>
      <w:marBottom w:val="0"/>
      <w:divBdr>
        <w:top w:val="none" w:sz="0" w:space="0" w:color="auto"/>
        <w:left w:val="none" w:sz="0" w:space="0" w:color="auto"/>
        <w:bottom w:val="none" w:sz="0" w:space="0" w:color="auto"/>
        <w:right w:val="none" w:sz="0" w:space="0" w:color="auto"/>
      </w:divBdr>
    </w:div>
    <w:div w:id="862743460">
      <w:bodyDiv w:val="1"/>
      <w:marLeft w:val="0"/>
      <w:marRight w:val="0"/>
      <w:marTop w:val="0"/>
      <w:marBottom w:val="0"/>
      <w:divBdr>
        <w:top w:val="none" w:sz="0" w:space="0" w:color="auto"/>
        <w:left w:val="none" w:sz="0" w:space="0" w:color="auto"/>
        <w:bottom w:val="none" w:sz="0" w:space="0" w:color="auto"/>
        <w:right w:val="none" w:sz="0" w:space="0" w:color="auto"/>
      </w:divBdr>
    </w:div>
    <w:div w:id="931397685">
      <w:bodyDiv w:val="1"/>
      <w:marLeft w:val="0"/>
      <w:marRight w:val="0"/>
      <w:marTop w:val="0"/>
      <w:marBottom w:val="0"/>
      <w:divBdr>
        <w:top w:val="none" w:sz="0" w:space="0" w:color="auto"/>
        <w:left w:val="none" w:sz="0" w:space="0" w:color="auto"/>
        <w:bottom w:val="none" w:sz="0" w:space="0" w:color="auto"/>
        <w:right w:val="none" w:sz="0" w:space="0" w:color="auto"/>
      </w:divBdr>
    </w:div>
    <w:div w:id="1069034967">
      <w:bodyDiv w:val="1"/>
      <w:marLeft w:val="0"/>
      <w:marRight w:val="0"/>
      <w:marTop w:val="0"/>
      <w:marBottom w:val="0"/>
      <w:divBdr>
        <w:top w:val="none" w:sz="0" w:space="0" w:color="auto"/>
        <w:left w:val="none" w:sz="0" w:space="0" w:color="auto"/>
        <w:bottom w:val="none" w:sz="0" w:space="0" w:color="auto"/>
        <w:right w:val="none" w:sz="0" w:space="0" w:color="auto"/>
      </w:divBdr>
    </w:div>
    <w:div w:id="1080524390">
      <w:bodyDiv w:val="1"/>
      <w:marLeft w:val="0"/>
      <w:marRight w:val="0"/>
      <w:marTop w:val="0"/>
      <w:marBottom w:val="0"/>
      <w:divBdr>
        <w:top w:val="none" w:sz="0" w:space="0" w:color="auto"/>
        <w:left w:val="none" w:sz="0" w:space="0" w:color="auto"/>
        <w:bottom w:val="none" w:sz="0" w:space="0" w:color="auto"/>
        <w:right w:val="none" w:sz="0" w:space="0" w:color="auto"/>
      </w:divBdr>
      <w:divsChild>
        <w:div w:id="1836064658">
          <w:marLeft w:val="0"/>
          <w:marRight w:val="0"/>
          <w:marTop w:val="0"/>
          <w:marBottom w:val="0"/>
          <w:divBdr>
            <w:top w:val="none" w:sz="0" w:space="0" w:color="auto"/>
            <w:left w:val="none" w:sz="0" w:space="0" w:color="auto"/>
            <w:bottom w:val="none" w:sz="0" w:space="0" w:color="auto"/>
            <w:right w:val="none" w:sz="0" w:space="0" w:color="auto"/>
          </w:divBdr>
        </w:div>
      </w:divsChild>
    </w:div>
    <w:div w:id="1097017622">
      <w:bodyDiv w:val="1"/>
      <w:marLeft w:val="0"/>
      <w:marRight w:val="0"/>
      <w:marTop w:val="0"/>
      <w:marBottom w:val="0"/>
      <w:divBdr>
        <w:top w:val="none" w:sz="0" w:space="0" w:color="auto"/>
        <w:left w:val="none" w:sz="0" w:space="0" w:color="auto"/>
        <w:bottom w:val="none" w:sz="0" w:space="0" w:color="auto"/>
        <w:right w:val="none" w:sz="0" w:space="0" w:color="auto"/>
      </w:divBdr>
    </w:div>
    <w:div w:id="1128232793">
      <w:bodyDiv w:val="1"/>
      <w:marLeft w:val="0"/>
      <w:marRight w:val="0"/>
      <w:marTop w:val="0"/>
      <w:marBottom w:val="0"/>
      <w:divBdr>
        <w:top w:val="none" w:sz="0" w:space="0" w:color="auto"/>
        <w:left w:val="none" w:sz="0" w:space="0" w:color="auto"/>
        <w:bottom w:val="none" w:sz="0" w:space="0" w:color="auto"/>
        <w:right w:val="none" w:sz="0" w:space="0" w:color="auto"/>
      </w:divBdr>
    </w:div>
    <w:div w:id="1201816323">
      <w:bodyDiv w:val="1"/>
      <w:marLeft w:val="0"/>
      <w:marRight w:val="0"/>
      <w:marTop w:val="0"/>
      <w:marBottom w:val="0"/>
      <w:divBdr>
        <w:top w:val="none" w:sz="0" w:space="0" w:color="auto"/>
        <w:left w:val="none" w:sz="0" w:space="0" w:color="auto"/>
        <w:bottom w:val="none" w:sz="0" w:space="0" w:color="auto"/>
        <w:right w:val="none" w:sz="0" w:space="0" w:color="auto"/>
      </w:divBdr>
    </w:div>
    <w:div w:id="1270435213">
      <w:bodyDiv w:val="1"/>
      <w:marLeft w:val="0"/>
      <w:marRight w:val="0"/>
      <w:marTop w:val="0"/>
      <w:marBottom w:val="0"/>
      <w:divBdr>
        <w:top w:val="none" w:sz="0" w:space="0" w:color="auto"/>
        <w:left w:val="none" w:sz="0" w:space="0" w:color="auto"/>
        <w:bottom w:val="none" w:sz="0" w:space="0" w:color="auto"/>
        <w:right w:val="none" w:sz="0" w:space="0" w:color="auto"/>
      </w:divBdr>
    </w:div>
    <w:div w:id="1285499887">
      <w:bodyDiv w:val="1"/>
      <w:marLeft w:val="0"/>
      <w:marRight w:val="0"/>
      <w:marTop w:val="0"/>
      <w:marBottom w:val="0"/>
      <w:divBdr>
        <w:top w:val="none" w:sz="0" w:space="0" w:color="auto"/>
        <w:left w:val="none" w:sz="0" w:space="0" w:color="auto"/>
        <w:bottom w:val="none" w:sz="0" w:space="0" w:color="auto"/>
        <w:right w:val="none" w:sz="0" w:space="0" w:color="auto"/>
      </w:divBdr>
    </w:div>
    <w:div w:id="1352950203">
      <w:bodyDiv w:val="1"/>
      <w:marLeft w:val="0"/>
      <w:marRight w:val="0"/>
      <w:marTop w:val="0"/>
      <w:marBottom w:val="0"/>
      <w:divBdr>
        <w:top w:val="none" w:sz="0" w:space="0" w:color="auto"/>
        <w:left w:val="none" w:sz="0" w:space="0" w:color="auto"/>
        <w:bottom w:val="none" w:sz="0" w:space="0" w:color="auto"/>
        <w:right w:val="none" w:sz="0" w:space="0" w:color="auto"/>
      </w:divBdr>
    </w:div>
    <w:div w:id="1379620580">
      <w:bodyDiv w:val="1"/>
      <w:marLeft w:val="0"/>
      <w:marRight w:val="0"/>
      <w:marTop w:val="0"/>
      <w:marBottom w:val="0"/>
      <w:divBdr>
        <w:top w:val="none" w:sz="0" w:space="0" w:color="auto"/>
        <w:left w:val="none" w:sz="0" w:space="0" w:color="auto"/>
        <w:bottom w:val="none" w:sz="0" w:space="0" w:color="auto"/>
        <w:right w:val="none" w:sz="0" w:space="0" w:color="auto"/>
      </w:divBdr>
      <w:divsChild>
        <w:div w:id="289433132">
          <w:marLeft w:val="0"/>
          <w:marRight w:val="0"/>
          <w:marTop w:val="0"/>
          <w:marBottom w:val="0"/>
          <w:divBdr>
            <w:top w:val="none" w:sz="0" w:space="0" w:color="auto"/>
            <w:left w:val="none" w:sz="0" w:space="0" w:color="auto"/>
            <w:bottom w:val="none" w:sz="0" w:space="0" w:color="auto"/>
            <w:right w:val="none" w:sz="0" w:space="0" w:color="auto"/>
          </w:divBdr>
          <w:divsChild>
            <w:div w:id="157465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71026">
      <w:bodyDiv w:val="1"/>
      <w:marLeft w:val="0"/>
      <w:marRight w:val="0"/>
      <w:marTop w:val="0"/>
      <w:marBottom w:val="0"/>
      <w:divBdr>
        <w:top w:val="none" w:sz="0" w:space="0" w:color="auto"/>
        <w:left w:val="none" w:sz="0" w:space="0" w:color="auto"/>
        <w:bottom w:val="none" w:sz="0" w:space="0" w:color="auto"/>
        <w:right w:val="none" w:sz="0" w:space="0" w:color="auto"/>
      </w:divBdr>
    </w:div>
    <w:div w:id="1496149323">
      <w:bodyDiv w:val="1"/>
      <w:marLeft w:val="0"/>
      <w:marRight w:val="0"/>
      <w:marTop w:val="0"/>
      <w:marBottom w:val="0"/>
      <w:divBdr>
        <w:top w:val="none" w:sz="0" w:space="0" w:color="auto"/>
        <w:left w:val="none" w:sz="0" w:space="0" w:color="auto"/>
        <w:bottom w:val="none" w:sz="0" w:space="0" w:color="auto"/>
        <w:right w:val="none" w:sz="0" w:space="0" w:color="auto"/>
      </w:divBdr>
    </w:div>
    <w:div w:id="1574194516">
      <w:bodyDiv w:val="1"/>
      <w:marLeft w:val="0"/>
      <w:marRight w:val="0"/>
      <w:marTop w:val="0"/>
      <w:marBottom w:val="0"/>
      <w:divBdr>
        <w:top w:val="none" w:sz="0" w:space="0" w:color="auto"/>
        <w:left w:val="none" w:sz="0" w:space="0" w:color="auto"/>
        <w:bottom w:val="none" w:sz="0" w:space="0" w:color="auto"/>
        <w:right w:val="none" w:sz="0" w:space="0" w:color="auto"/>
      </w:divBdr>
    </w:div>
    <w:div w:id="1647782805">
      <w:bodyDiv w:val="1"/>
      <w:marLeft w:val="0"/>
      <w:marRight w:val="0"/>
      <w:marTop w:val="0"/>
      <w:marBottom w:val="0"/>
      <w:divBdr>
        <w:top w:val="none" w:sz="0" w:space="0" w:color="auto"/>
        <w:left w:val="none" w:sz="0" w:space="0" w:color="auto"/>
        <w:bottom w:val="none" w:sz="0" w:space="0" w:color="auto"/>
        <w:right w:val="none" w:sz="0" w:space="0" w:color="auto"/>
      </w:divBdr>
    </w:div>
    <w:div w:id="1666469772">
      <w:bodyDiv w:val="1"/>
      <w:marLeft w:val="0"/>
      <w:marRight w:val="0"/>
      <w:marTop w:val="0"/>
      <w:marBottom w:val="0"/>
      <w:divBdr>
        <w:top w:val="none" w:sz="0" w:space="0" w:color="auto"/>
        <w:left w:val="none" w:sz="0" w:space="0" w:color="auto"/>
        <w:bottom w:val="none" w:sz="0" w:space="0" w:color="auto"/>
        <w:right w:val="none" w:sz="0" w:space="0" w:color="auto"/>
      </w:divBdr>
    </w:div>
    <w:div w:id="1685354235">
      <w:bodyDiv w:val="1"/>
      <w:marLeft w:val="0"/>
      <w:marRight w:val="0"/>
      <w:marTop w:val="0"/>
      <w:marBottom w:val="0"/>
      <w:divBdr>
        <w:top w:val="none" w:sz="0" w:space="0" w:color="auto"/>
        <w:left w:val="none" w:sz="0" w:space="0" w:color="auto"/>
        <w:bottom w:val="none" w:sz="0" w:space="0" w:color="auto"/>
        <w:right w:val="none" w:sz="0" w:space="0" w:color="auto"/>
      </w:divBdr>
    </w:div>
    <w:div w:id="1686251333">
      <w:bodyDiv w:val="1"/>
      <w:marLeft w:val="0"/>
      <w:marRight w:val="0"/>
      <w:marTop w:val="0"/>
      <w:marBottom w:val="0"/>
      <w:divBdr>
        <w:top w:val="none" w:sz="0" w:space="0" w:color="auto"/>
        <w:left w:val="none" w:sz="0" w:space="0" w:color="auto"/>
        <w:bottom w:val="none" w:sz="0" w:space="0" w:color="auto"/>
        <w:right w:val="none" w:sz="0" w:space="0" w:color="auto"/>
      </w:divBdr>
      <w:divsChild>
        <w:div w:id="1655256534">
          <w:marLeft w:val="0"/>
          <w:marRight w:val="0"/>
          <w:marTop w:val="0"/>
          <w:marBottom w:val="0"/>
          <w:divBdr>
            <w:top w:val="none" w:sz="0" w:space="0" w:color="auto"/>
            <w:left w:val="none" w:sz="0" w:space="0" w:color="auto"/>
            <w:bottom w:val="none" w:sz="0" w:space="0" w:color="auto"/>
            <w:right w:val="none" w:sz="0" w:space="0" w:color="auto"/>
          </w:divBdr>
        </w:div>
      </w:divsChild>
    </w:div>
    <w:div w:id="1782021267">
      <w:bodyDiv w:val="1"/>
      <w:marLeft w:val="0"/>
      <w:marRight w:val="0"/>
      <w:marTop w:val="0"/>
      <w:marBottom w:val="0"/>
      <w:divBdr>
        <w:top w:val="none" w:sz="0" w:space="0" w:color="auto"/>
        <w:left w:val="none" w:sz="0" w:space="0" w:color="auto"/>
        <w:bottom w:val="none" w:sz="0" w:space="0" w:color="auto"/>
        <w:right w:val="none" w:sz="0" w:space="0" w:color="auto"/>
      </w:divBdr>
    </w:div>
    <w:div w:id="1849439431">
      <w:bodyDiv w:val="1"/>
      <w:marLeft w:val="0"/>
      <w:marRight w:val="0"/>
      <w:marTop w:val="0"/>
      <w:marBottom w:val="0"/>
      <w:divBdr>
        <w:top w:val="none" w:sz="0" w:space="0" w:color="auto"/>
        <w:left w:val="none" w:sz="0" w:space="0" w:color="auto"/>
        <w:bottom w:val="none" w:sz="0" w:space="0" w:color="auto"/>
        <w:right w:val="none" w:sz="0" w:space="0" w:color="auto"/>
      </w:divBdr>
    </w:div>
    <w:div w:id="1939872792">
      <w:bodyDiv w:val="1"/>
      <w:marLeft w:val="0"/>
      <w:marRight w:val="0"/>
      <w:marTop w:val="0"/>
      <w:marBottom w:val="0"/>
      <w:divBdr>
        <w:top w:val="none" w:sz="0" w:space="0" w:color="auto"/>
        <w:left w:val="none" w:sz="0" w:space="0" w:color="auto"/>
        <w:bottom w:val="none" w:sz="0" w:space="0" w:color="auto"/>
        <w:right w:val="none" w:sz="0" w:space="0" w:color="auto"/>
      </w:divBdr>
    </w:div>
    <w:div w:id="1942177529">
      <w:bodyDiv w:val="1"/>
      <w:marLeft w:val="0"/>
      <w:marRight w:val="0"/>
      <w:marTop w:val="0"/>
      <w:marBottom w:val="0"/>
      <w:divBdr>
        <w:top w:val="none" w:sz="0" w:space="0" w:color="auto"/>
        <w:left w:val="none" w:sz="0" w:space="0" w:color="auto"/>
        <w:bottom w:val="none" w:sz="0" w:space="0" w:color="auto"/>
        <w:right w:val="none" w:sz="0" w:space="0" w:color="auto"/>
      </w:divBdr>
    </w:div>
    <w:div w:id="1971087348">
      <w:bodyDiv w:val="1"/>
      <w:marLeft w:val="0"/>
      <w:marRight w:val="0"/>
      <w:marTop w:val="0"/>
      <w:marBottom w:val="0"/>
      <w:divBdr>
        <w:top w:val="none" w:sz="0" w:space="0" w:color="auto"/>
        <w:left w:val="none" w:sz="0" w:space="0" w:color="auto"/>
        <w:bottom w:val="none" w:sz="0" w:space="0" w:color="auto"/>
        <w:right w:val="none" w:sz="0" w:space="0" w:color="auto"/>
      </w:divBdr>
      <w:divsChild>
        <w:div w:id="566694324">
          <w:marLeft w:val="0"/>
          <w:marRight w:val="0"/>
          <w:marTop w:val="0"/>
          <w:marBottom w:val="0"/>
          <w:divBdr>
            <w:top w:val="none" w:sz="0" w:space="0" w:color="auto"/>
            <w:left w:val="none" w:sz="0" w:space="0" w:color="auto"/>
            <w:bottom w:val="none" w:sz="0" w:space="0" w:color="auto"/>
            <w:right w:val="none" w:sz="0" w:space="0" w:color="auto"/>
          </w:divBdr>
          <w:divsChild>
            <w:div w:id="596405496">
              <w:marLeft w:val="0"/>
              <w:marRight w:val="0"/>
              <w:marTop w:val="0"/>
              <w:marBottom w:val="0"/>
              <w:divBdr>
                <w:top w:val="none" w:sz="0" w:space="0" w:color="auto"/>
                <w:left w:val="none" w:sz="0" w:space="0" w:color="auto"/>
                <w:bottom w:val="none" w:sz="0" w:space="0" w:color="auto"/>
                <w:right w:val="none" w:sz="0" w:space="0" w:color="auto"/>
              </w:divBdr>
              <w:divsChild>
                <w:div w:id="179328224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765076412">
          <w:marLeft w:val="0"/>
          <w:marRight w:val="0"/>
          <w:marTop w:val="0"/>
          <w:marBottom w:val="0"/>
          <w:divBdr>
            <w:top w:val="none" w:sz="0" w:space="0" w:color="auto"/>
            <w:left w:val="none" w:sz="0" w:space="0" w:color="auto"/>
            <w:bottom w:val="none" w:sz="0" w:space="0" w:color="auto"/>
            <w:right w:val="none" w:sz="0" w:space="0" w:color="auto"/>
          </w:divBdr>
          <w:divsChild>
            <w:div w:id="1514610604">
              <w:marLeft w:val="0"/>
              <w:marRight w:val="0"/>
              <w:marTop w:val="0"/>
              <w:marBottom w:val="0"/>
              <w:divBdr>
                <w:top w:val="none" w:sz="0" w:space="0" w:color="auto"/>
                <w:left w:val="none" w:sz="0" w:space="0" w:color="auto"/>
                <w:bottom w:val="none" w:sz="0" w:space="0" w:color="auto"/>
                <w:right w:val="none" w:sz="0" w:space="0" w:color="auto"/>
              </w:divBdr>
              <w:divsChild>
                <w:div w:id="75736254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863710195">
          <w:marLeft w:val="0"/>
          <w:marRight w:val="0"/>
          <w:marTop w:val="0"/>
          <w:marBottom w:val="0"/>
          <w:divBdr>
            <w:top w:val="none" w:sz="0" w:space="0" w:color="auto"/>
            <w:left w:val="none" w:sz="0" w:space="0" w:color="auto"/>
            <w:bottom w:val="none" w:sz="0" w:space="0" w:color="auto"/>
            <w:right w:val="none" w:sz="0" w:space="0" w:color="auto"/>
          </w:divBdr>
          <w:divsChild>
            <w:div w:id="1770465090">
              <w:marLeft w:val="0"/>
              <w:marRight w:val="0"/>
              <w:marTop w:val="0"/>
              <w:marBottom w:val="0"/>
              <w:divBdr>
                <w:top w:val="none" w:sz="0" w:space="0" w:color="auto"/>
                <w:left w:val="none" w:sz="0" w:space="0" w:color="auto"/>
                <w:bottom w:val="none" w:sz="0" w:space="0" w:color="auto"/>
                <w:right w:val="none" w:sz="0" w:space="0" w:color="auto"/>
              </w:divBdr>
              <w:divsChild>
                <w:div w:id="56831766">
                  <w:marLeft w:val="0"/>
                  <w:marRight w:val="0"/>
                  <w:marTop w:val="0"/>
                  <w:marBottom w:val="0"/>
                  <w:divBdr>
                    <w:top w:val="none" w:sz="0" w:space="0" w:color="auto"/>
                    <w:left w:val="none" w:sz="0" w:space="0" w:color="auto"/>
                    <w:bottom w:val="none" w:sz="0" w:space="0" w:color="auto"/>
                    <w:right w:val="none" w:sz="0" w:space="0" w:color="auto"/>
                  </w:divBdr>
                  <w:divsChild>
                    <w:div w:id="221063551">
                      <w:marLeft w:val="0"/>
                      <w:marRight w:val="0"/>
                      <w:marTop w:val="0"/>
                      <w:marBottom w:val="0"/>
                      <w:divBdr>
                        <w:top w:val="none" w:sz="0" w:space="0" w:color="auto"/>
                        <w:left w:val="none" w:sz="0" w:space="0" w:color="auto"/>
                        <w:bottom w:val="none" w:sz="0" w:space="0" w:color="auto"/>
                        <w:right w:val="none" w:sz="0" w:space="0" w:color="auto"/>
                      </w:divBdr>
                      <w:divsChild>
                        <w:div w:id="1451432435">
                          <w:marLeft w:val="0"/>
                          <w:marRight w:val="0"/>
                          <w:marTop w:val="0"/>
                          <w:marBottom w:val="0"/>
                          <w:divBdr>
                            <w:top w:val="none" w:sz="0" w:space="0" w:color="auto"/>
                            <w:left w:val="none" w:sz="0" w:space="0" w:color="auto"/>
                            <w:bottom w:val="none" w:sz="0" w:space="0" w:color="auto"/>
                            <w:right w:val="none" w:sz="0" w:space="0" w:color="auto"/>
                          </w:divBdr>
                          <w:divsChild>
                            <w:div w:id="344138493">
                              <w:marLeft w:val="0"/>
                              <w:marRight w:val="0"/>
                              <w:marTop w:val="0"/>
                              <w:marBottom w:val="0"/>
                              <w:divBdr>
                                <w:top w:val="none" w:sz="0" w:space="0" w:color="auto"/>
                                <w:left w:val="none" w:sz="0" w:space="0" w:color="auto"/>
                                <w:bottom w:val="none" w:sz="0" w:space="0" w:color="auto"/>
                                <w:right w:val="none" w:sz="0" w:space="0" w:color="auto"/>
                              </w:divBdr>
                            </w:div>
                            <w:div w:id="171129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115328">
                  <w:marLeft w:val="0"/>
                  <w:marRight w:val="0"/>
                  <w:marTop w:val="0"/>
                  <w:marBottom w:val="0"/>
                  <w:divBdr>
                    <w:top w:val="none" w:sz="0" w:space="0" w:color="auto"/>
                    <w:left w:val="none" w:sz="0" w:space="0" w:color="auto"/>
                    <w:bottom w:val="none" w:sz="0" w:space="0" w:color="auto"/>
                    <w:right w:val="none" w:sz="0" w:space="0" w:color="auto"/>
                  </w:divBdr>
                  <w:divsChild>
                    <w:div w:id="48960495">
                      <w:marLeft w:val="0"/>
                      <w:marRight w:val="0"/>
                      <w:marTop w:val="0"/>
                      <w:marBottom w:val="0"/>
                      <w:divBdr>
                        <w:top w:val="none" w:sz="0" w:space="0" w:color="auto"/>
                        <w:left w:val="none" w:sz="0" w:space="0" w:color="auto"/>
                        <w:bottom w:val="none" w:sz="0" w:space="0" w:color="auto"/>
                        <w:right w:val="none" w:sz="0" w:space="0" w:color="auto"/>
                      </w:divBdr>
                      <w:divsChild>
                        <w:div w:id="1823959831">
                          <w:marLeft w:val="0"/>
                          <w:marRight w:val="0"/>
                          <w:marTop w:val="0"/>
                          <w:marBottom w:val="0"/>
                          <w:divBdr>
                            <w:top w:val="none" w:sz="0" w:space="0" w:color="auto"/>
                            <w:left w:val="none" w:sz="0" w:space="0" w:color="auto"/>
                            <w:bottom w:val="none" w:sz="0" w:space="0" w:color="auto"/>
                            <w:right w:val="none" w:sz="0" w:space="0" w:color="auto"/>
                          </w:divBdr>
                          <w:divsChild>
                            <w:div w:id="976835639">
                              <w:marLeft w:val="0"/>
                              <w:marRight w:val="0"/>
                              <w:marTop w:val="0"/>
                              <w:marBottom w:val="0"/>
                              <w:divBdr>
                                <w:top w:val="none" w:sz="0" w:space="0" w:color="auto"/>
                                <w:left w:val="none" w:sz="0" w:space="0" w:color="auto"/>
                                <w:bottom w:val="none" w:sz="0" w:space="0" w:color="auto"/>
                                <w:right w:val="none" w:sz="0" w:space="0" w:color="auto"/>
                              </w:divBdr>
                            </w:div>
                            <w:div w:id="164967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627046">
                  <w:marLeft w:val="0"/>
                  <w:marRight w:val="0"/>
                  <w:marTop w:val="0"/>
                  <w:marBottom w:val="0"/>
                  <w:divBdr>
                    <w:top w:val="none" w:sz="0" w:space="0" w:color="auto"/>
                    <w:left w:val="none" w:sz="0" w:space="0" w:color="auto"/>
                    <w:bottom w:val="none" w:sz="0" w:space="0" w:color="auto"/>
                    <w:right w:val="none" w:sz="0" w:space="0" w:color="auto"/>
                  </w:divBdr>
                  <w:divsChild>
                    <w:div w:id="1640961841">
                      <w:marLeft w:val="0"/>
                      <w:marRight w:val="0"/>
                      <w:marTop w:val="0"/>
                      <w:marBottom w:val="0"/>
                      <w:divBdr>
                        <w:top w:val="none" w:sz="0" w:space="0" w:color="auto"/>
                        <w:left w:val="none" w:sz="0" w:space="0" w:color="auto"/>
                        <w:bottom w:val="none" w:sz="0" w:space="0" w:color="auto"/>
                        <w:right w:val="none" w:sz="0" w:space="0" w:color="auto"/>
                      </w:divBdr>
                      <w:divsChild>
                        <w:div w:id="1487361639">
                          <w:marLeft w:val="0"/>
                          <w:marRight w:val="0"/>
                          <w:marTop w:val="0"/>
                          <w:marBottom w:val="0"/>
                          <w:divBdr>
                            <w:top w:val="none" w:sz="0" w:space="0" w:color="auto"/>
                            <w:left w:val="none" w:sz="0" w:space="0" w:color="auto"/>
                            <w:bottom w:val="none" w:sz="0" w:space="0" w:color="auto"/>
                            <w:right w:val="none" w:sz="0" w:space="0" w:color="auto"/>
                          </w:divBdr>
                          <w:divsChild>
                            <w:div w:id="1085879202">
                              <w:marLeft w:val="0"/>
                              <w:marRight w:val="0"/>
                              <w:marTop w:val="0"/>
                              <w:marBottom w:val="0"/>
                              <w:divBdr>
                                <w:top w:val="none" w:sz="0" w:space="0" w:color="auto"/>
                                <w:left w:val="none" w:sz="0" w:space="0" w:color="auto"/>
                                <w:bottom w:val="none" w:sz="0" w:space="0" w:color="auto"/>
                                <w:right w:val="none" w:sz="0" w:space="0" w:color="auto"/>
                              </w:divBdr>
                            </w:div>
                            <w:div w:id="168709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047600">
                  <w:marLeft w:val="0"/>
                  <w:marRight w:val="0"/>
                  <w:marTop w:val="0"/>
                  <w:marBottom w:val="0"/>
                  <w:divBdr>
                    <w:top w:val="none" w:sz="0" w:space="0" w:color="auto"/>
                    <w:left w:val="none" w:sz="0" w:space="0" w:color="auto"/>
                    <w:bottom w:val="none" w:sz="0" w:space="0" w:color="auto"/>
                    <w:right w:val="none" w:sz="0" w:space="0" w:color="auto"/>
                  </w:divBdr>
                  <w:divsChild>
                    <w:div w:id="1392147410">
                      <w:marLeft w:val="0"/>
                      <w:marRight w:val="0"/>
                      <w:marTop w:val="0"/>
                      <w:marBottom w:val="0"/>
                      <w:divBdr>
                        <w:top w:val="none" w:sz="0" w:space="0" w:color="auto"/>
                        <w:left w:val="none" w:sz="0" w:space="0" w:color="auto"/>
                        <w:bottom w:val="none" w:sz="0" w:space="0" w:color="auto"/>
                        <w:right w:val="none" w:sz="0" w:space="0" w:color="auto"/>
                      </w:divBdr>
                      <w:divsChild>
                        <w:div w:id="1578830437">
                          <w:marLeft w:val="0"/>
                          <w:marRight w:val="0"/>
                          <w:marTop w:val="0"/>
                          <w:marBottom w:val="0"/>
                          <w:divBdr>
                            <w:top w:val="none" w:sz="0" w:space="0" w:color="auto"/>
                            <w:left w:val="none" w:sz="0" w:space="0" w:color="auto"/>
                            <w:bottom w:val="none" w:sz="0" w:space="0" w:color="auto"/>
                            <w:right w:val="none" w:sz="0" w:space="0" w:color="auto"/>
                          </w:divBdr>
                          <w:divsChild>
                            <w:div w:id="727220108">
                              <w:marLeft w:val="0"/>
                              <w:marRight w:val="0"/>
                              <w:marTop w:val="0"/>
                              <w:marBottom w:val="0"/>
                              <w:divBdr>
                                <w:top w:val="none" w:sz="0" w:space="0" w:color="auto"/>
                                <w:left w:val="none" w:sz="0" w:space="0" w:color="auto"/>
                                <w:bottom w:val="none" w:sz="0" w:space="0" w:color="auto"/>
                                <w:right w:val="none" w:sz="0" w:space="0" w:color="auto"/>
                              </w:divBdr>
                            </w:div>
                            <w:div w:id="187264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117373">
          <w:marLeft w:val="0"/>
          <w:marRight w:val="0"/>
          <w:marTop w:val="0"/>
          <w:marBottom w:val="0"/>
          <w:divBdr>
            <w:top w:val="none" w:sz="0" w:space="0" w:color="auto"/>
            <w:left w:val="none" w:sz="0" w:space="0" w:color="auto"/>
            <w:bottom w:val="none" w:sz="0" w:space="0" w:color="auto"/>
            <w:right w:val="none" w:sz="0" w:space="0" w:color="auto"/>
          </w:divBdr>
          <w:divsChild>
            <w:div w:id="297489986">
              <w:marLeft w:val="0"/>
              <w:marRight w:val="0"/>
              <w:marTop w:val="0"/>
              <w:marBottom w:val="0"/>
              <w:divBdr>
                <w:top w:val="none" w:sz="0" w:space="0" w:color="auto"/>
                <w:left w:val="none" w:sz="0" w:space="0" w:color="auto"/>
                <w:bottom w:val="none" w:sz="0" w:space="0" w:color="auto"/>
                <w:right w:val="none" w:sz="0" w:space="0" w:color="auto"/>
              </w:divBdr>
              <w:divsChild>
                <w:div w:id="951788754">
                  <w:marLeft w:val="0"/>
                  <w:marRight w:val="0"/>
                  <w:marTop w:val="0"/>
                  <w:marBottom w:val="0"/>
                  <w:divBdr>
                    <w:top w:val="none" w:sz="0" w:space="0" w:color="auto"/>
                    <w:left w:val="none" w:sz="0" w:space="0" w:color="auto"/>
                    <w:bottom w:val="none" w:sz="0" w:space="0" w:color="auto"/>
                    <w:right w:val="none" w:sz="0" w:space="0" w:color="auto"/>
                  </w:divBdr>
                  <w:divsChild>
                    <w:div w:id="1385594867">
                      <w:marLeft w:val="0"/>
                      <w:marRight w:val="0"/>
                      <w:marTop w:val="0"/>
                      <w:marBottom w:val="0"/>
                      <w:divBdr>
                        <w:top w:val="none" w:sz="0" w:space="0" w:color="auto"/>
                        <w:left w:val="none" w:sz="0" w:space="0" w:color="auto"/>
                        <w:bottom w:val="none" w:sz="0" w:space="0" w:color="auto"/>
                        <w:right w:val="none" w:sz="0" w:space="0" w:color="auto"/>
                      </w:divBdr>
                      <w:divsChild>
                        <w:div w:id="2021465172">
                          <w:marLeft w:val="0"/>
                          <w:marRight w:val="0"/>
                          <w:marTop w:val="0"/>
                          <w:marBottom w:val="0"/>
                          <w:divBdr>
                            <w:top w:val="none" w:sz="0" w:space="0" w:color="auto"/>
                            <w:left w:val="none" w:sz="0" w:space="0" w:color="auto"/>
                            <w:bottom w:val="none" w:sz="0" w:space="0" w:color="auto"/>
                            <w:right w:val="none" w:sz="0" w:space="0" w:color="auto"/>
                          </w:divBdr>
                          <w:divsChild>
                            <w:div w:id="700783661">
                              <w:marLeft w:val="0"/>
                              <w:marRight w:val="0"/>
                              <w:marTop w:val="0"/>
                              <w:marBottom w:val="0"/>
                              <w:divBdr>
                                <w:top w:val="none" w:sz="0" w:space="0" w:color="auto"/>
                                <w:left w:val="none" w:sz="0" w:space="0" w:color="auto"/>
                                <w:bottom w:val="none" w:sz="0" w:space="0" w:color="auto"/>
                                <w:right w:val="none" w:sz="0" w:space="0" w:color="auto"/>
                              </w:divBdr>
                            </w:div>
                            <w:div w:id="179713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356726">
                  <w:marLeft w:val="0"/>
                  <w:marRight w:val="0"/>
                  <w:marTop w:val="0"/>
                  <w:marBottom w:val="0"/>
                  <w:divBdr>
                    <w:top w:val="none" w:sz="0" w:space="0" w:color="auto"/>
                    <w:left w:val="none" w:sz="0" w:space="0" w:color="auto"/>
                    <w:bottom w:val="none" w:sz="0" w:space="0" w:color="auto"/>
                    <w:right w:val="none" w:sz="0" w:space="0" w:color="auto"/>
                  </w:divBdr>
                  <w:divsChild>
                    <w:div w:id="1755317744">
                      <w:marLeft w:val="0"/>
                      <w:marRight w:val="0"/>
                      <w:marTop w:val="0"/>
                      <w:marBottom w:val="0"/>
                      <w:divBdr>
                        <w:top w:val="none" w:sz="0" w:space="0" w:color="auto"/>
                        <w:left w:val="none" w:sz="0" w:space="0" w:color="auto"/>
                        <w:bottom w:val="none" w:sz="0" w:space="0" w:color="auto"/>
                        <w:right w:val="none" w:sz="0" w:space="0" w:color="auto"/>
                      </w:divBdr>
                      <w:divsChild>
                        <w:div w:id="1833519609">
                          <w:marLeft w:val="0"/>
                          <w:marRight w:val="0"/>
                          <w:marTop w:val="0"/>
                          <w:marBottom w:val="0"/>
                          <w:divBdr>
                            <w:top w:val="none" w:sz="0" w:space="0" w:color="auto"/>
                            <w:left w:val="none" w:sz="0" w:space="0" w:color="auto"/>
                            <w:bottom w:val="none" w:sz="0" w:space="0" w:color="auto"/>
                            <w:right w:val="none" w:sz="0" w:space="0" w:color="auto"/>
                          </w:divBdr>
                          <w:divsChild>
                            <w:div w:id="548147553">
                              <w:marLeft w:val="0"/>
                              <w:marRight w:val="0"/>
                              <w:marTop w:val="0"/>
                              <w:marBottom w:val="0"/>
                              <w:divBdr>
                                <w:top w:val="none" w:sz="0" w:space="0" w:color="auto"/>
                                <w:left w:val="none" w:sz="0" w:space="0" w:color="auto"/>
                                <w:bottom w:val="none" w:sz="0" w:space="0" w:color="auto"/>
                                <w:right w:val="none" w:sz="0" w:space="0" w:color="auto"/>
                              </w:divBdr>
                            </w:div>
                            <w:div w:id="1247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6058078">
          <w:marLeft w:val="0"/>
          <w:marRight w:val="0"/>
          <w:marTop w:val="0"/>
          <w:marBottom w:val="0"/>
          <w:divBdr>
            <w:top w:val="none" w:sz="0" w:space="0" w:color="auto"/>
            <w:left w:val="none" w:sz="0" w:space="0" w:color="auto"/>
            <w:bottom w:val="none" w:sz="0" w:space="0" w:color="auto"/>
            <w:right w:val="none" w:sz="0" w:space="0" w:color="auto"/>
          </w:divBdr>
          <w:divsChild>
            <w:div w:id="1553925645">
              <w:marLeft w:val="0"/>
              <w:marRight w:val="0"/>
              <w:marTop w:val="0"/>
              <w:marBottom w:val="0"/>
              <w:divBdr>
                <w:top w:val="none" w:sz="0" w:space="0" w:color="auto"/>
                <w:left w:val="none" w:sz="0" w:space="0" w:color="auto"/>
                <w:bottom w:val="none" w:sz="0" w:space="0" w:color="auto"/>
                <w:right w:val="none" w:sz="0" w:space="0" w:color="auto"/>
              </w:divBdr>
              <w:divsChild>
                <w:div w:id="1679102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15740447">
          <w:marLeft w:val="0"/>
          <w:marRight w:val="0"/>
          <w:marTop w:val="0"/>
          <w:marBottom w:val="0"/>
          <w:divBdr>
            <w:top w:val="none" w:sz="0" w:space="0" w:color="auto"/>
            <w:left w:val="none" w:sz="0" w:space="0" w:color="auto"/>
            <w:bottom w:val="none" w:sz="0" w:space="0" w:color="auto"/>
            <w:right w:val="none" w:sz="0" w:space="0" w:color="auto"/>
          </w:divBdr>
          <w:divsChild>
            <w:div w:id="1420981495">
              <w:marLeft w:val="0"/>
              <w:marRight w:val="0"/>
              <w:marTop w:val="0"/>
              <w:marBottom w:val="0"/>
              <w:divBdr>
                <w:top w:val="none" w:sz="0" w:space="0" w:color="auto"/>
                <w:left w:val="none" w:sz="0" w:space="0" w:color="auto"/>
                <w:bottom w:val="none" w:sz="0" w:space="0" w:color="auto"/>
                <w:right w:val="none" w:sz="0" w:space="0" w:color="auto"/>
              </w:divBdr>
            </w:div>
          </w:divsChild>
        </w:div>
        <w:div w:id="1427383141">
          <w:marLeft w:val="0"/>
          <w:marRight w:val="0"/>
          <w:marTop w:val="0"/>
          <w:marBottom w:val="0"/>
          <w:divBdr>
            <w:top w:val="none" w:sz="0" w:space="0" w:color="auto"/>
            <w:left w:val="none" w:sz="0" w:space="0" w:color="auto"/>
            <w:bottom w:val="none" w:sz="0" w:space="0" w:color="auto"/>
            <w:right w:val="none" w:sz="0" w:space="0" w:color="auto"/>
          </w:divBdr>
          <w:divsChild>
            <w:div w:id="26806868">
              <w:marLeft w:val="0"/>
              <w:marRight w:val="0"/>
              <w:marTop w:val="0"/>
              <w:marBottom w:val="0"/>
              <w:divBdr>
                <w:top w:val="none" w:sz="0" w:space="0" w:color="auto"/>
                <w:left w:val="none" w:sz="0" w:space="0" w:color="auto"/>
                <w:bottom w:val="none" w:sz="0" w:space="0" w:color="auto"/>
                <w:right w:val="none" w:sz="0" w:space="0" w:color="auto"/>
              </w:divBdr>
              <w:divsChild>
                <w:div w:id="142996241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707290854">
          <w:marLeft w:val="0"/>
          <w:marRight w:val="0"/>
          <w:marTop w:val="0"/>
          <w:marBottom w:val="0"/>
          <w:divBdr>
            <w:top w:val="none" w:sz="0" w:space="0" w:color="auto"/>
            <w:left w:val="none" w:sz="0" w:space="0" w:color="auto"/>
            <w:bottom w:val="none" w:sz="0" w:space="0" w:color="auto"/>
            <w:right w:val="none" w:sz="0" w:space="0" w:color="auto"/>
          </w:divBdr>
          <w:divsChild>
            <w:div w:id="481040265">
              <w:marLeft w:val="0"/>
              <w:marRight w:val="0"/>
              <w:marTop w:val="0"/>
              <w:marBottom w:val="0"/>
              <w:divBdr>
                <w:top w:val="none" w:sz="0" w:space="0" w:color="auto"/>
                <w:left w:val="none" w:sz="0" w:space="0" w:color="auto"/>
                <w:bottom w:val="none" w:sz="0" w:space="0" w:color="auto"/>
                <w:right w:val="none" w:sz="0" w:space="0" w:color="auto"/>
              </w:divBdr>
              <w:divsChild>
                <w:div w:id="145077580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2055153309">
      <w:bodyDiv w:val="1"/>
      <w:marLeft w:val="0"/>
      <w:marRight w:val="0"/>
      <w:marTop w:val="0"/>
      <w:marBottom w:val="0"/>
      <w:divBdr>
        <w:top w:val="none" w:sz="0" w:space="0" w:color="auto"/>
        <w:left w:val="none" w:sz="0" w:space="0" w:color="auto"/>
        <w:bottom w:val="none" w:sz="0" w:space="0" w:color="auto"/>
        <w:right w:val="none" w:sz="0" w:space="0" w:color="auto"/>
      </w:divBdr>
      <w:divsChild>
        <w:div w:id="33583091">
          <w:marLeft w:val="720"/>
          <w:marRight w:val="0"/>
          <w:marTop w:val="0"/>
          <w:marBottom w:val="120"/>
          <w:divBdr>
            <w:top w:val="none" w:sz="0" w:space="0" w:color="auto"/>
            <w:left w:val="none" w:sz="0" w:space="0" w:color="auto"/>
            <w:bottom w:val="none" w:sz="0" w:space="0" w:color="auto"/>
            <w:right w:val="none" w:sz="0" w:space="0" w:color="auto"/>
          </w:divBdr>
        </w:div>
        <w:div w:id="300038464">
          <w:marLeft w:val="240"/>
          <w:marRight w:val="0"/>
          <w:marTop w:val="0"/>
          <w:marBottom w:val="120"/>
          <w:divBdr>
            <w:top w:val="none" w:sz="0" w:space="0" w:color="auto"/>
            <w:left w:val="none" w:sz="0" w:space="0" w:color="auto"/>
            <w:bottom w:val="none" w:sz="0" w:space="0" w:color="auto"/>
            <w:right w:val="none" w:sz="0" w:space="0" w:color="auto"/>
          </w:divBdr>
        </w:div>
        <w:div w:id="375856376">
          <w:marLeft w:val="720"/>
          <w:marRight w:val="0"/>
          <w:marTop w:val="0"/>
          <w:marBottom w:val="120"/>
          <w:divBdr>
            <w:top w:val="none" w:sz="0" w:space="0" w:color="auto"/>
            <w:left w:val="none" w:sz="0" w:space="0" w:color="auto"/>
            <w:bottom w:val="none" w:sz="0" w:space="0" w:color="auto"/>
            <w:right w:val="none" w:sz="0" w:space="0" w:color="auto"/>
          </w:divBdr>
        </w:div>
        <w:div w:id="405805974">
          <w:marLeft w:val="240"/>
          <w:marRight w:val="0"/>
          <w:marTop w:val="0"/>
          <w:marBottom w:val="120"/>
          <w:divBdr>
            <w:top w:val="none" w:sz="0" w:space="0" w:color="auto"/>
            <w:left w:val="none" w:sz="0" w:space="0" w:color="auto"/>
            <w:bottom w:val="none" w:sz="0" w:space="0" w:color="auto"/>
            <w:right w:val="none" w:sz="0" w:space="0" w:color="auto"/>
          </w:divBdr>
        </w:div>
        <w:div w:id="933440769">
          <w:marLeft w:val="720"/>
          <w:marRight w:val="0"/>
          <w:marTop w:val="0"/>
          <w:marBottom w:val="120"/>
          <w:divBdr>
            <w:top w:val="none" w:sz="0" w:space="0" w:color="auto"/>
            <w:left w:val="none" w:sz="0" w:space="0" w:color="auto"/>
            <w:bottom w:val="none" w:sz="0" w:space="0" w:color="auto"/>
            <w:right w:val="none" w:sz="0" w:space="0" w:color="auto"/>
          </w:divBdr>
        </w:div>
        <w:div w:id="1044599197">
          <w:marLeft w:val="720"/>
          <w:marRight w:val="0"/>
          <w:marTop w:val="0"/>
          <w:marBottom w:val="120"/>
          <w:divBdr>
            <w:top w:val="none" w:sz="0" w:space="0" w:color="auto"/>
            <w:left w:val="none" w:sz="0" w:space="0" w:color="auto"/>
            <w:bottom w:val="none" w:sz="0" w:space="0" w:color="auto"/>
            <w:right w:val="none" w:sz="0" w:space="0" w:color="auto"/>
          </w:divBdr>
        </w:div>
        <w:div w:id="1482425826">
          <w:marLeft w:val="720"/>
          <w:marRight w:val="0"/>
          <w:marTop w:val="0"/>
          <w:marBottom w:val="120"/>
          <w:divBdr>
            <w:top w:val="none" w:sz="0" w:space="0" w:color="auto"/>
            <w:left w:val="none" w:sz="0" w:space="0" w:color="auto"/>
            <w:bottom w:val="none" w:sz="0" w:space="0" w:color="auto"/>
            <w:right w:val="none" w:sz="0" w:space="0" w:color="auto"/>
          </w:divBdr>
        </w:div>
        <w:div w:id="1545828314">
          <w:marLeft w:val="720"/>
          <w:marRight w:val="0"/>
          <w:marTop w:val="0"/>
          <w:marBottom w:val="120"/>
          <w:divBdr>
            <w:top w:val="none" w:sz="0" w:space="0" w:color="auto"/>
            <w:left w:val="none" w:sz="0" w:space="0" w:color="auto"/>
            <w:bottom w:val="none" w:sz="0" w:space="0" w:color="auto"/>
            <w:right w:val="none" w:sz="0" w:space="0" w:color="auto"/>
          </w:divBdr>
        </w:div>
        <w:div w:id="1587224581">
          <w:marLeft w:val="240"/>
          <w:marRight w:val="0"/>
          <w:marTop w:val="0"/>
          <w:marBottom w:val="120"/>
          <w:divBdr>
            <w:top w:val="none" w:sz="0" w:space="0" w:color="auto"/>
            <w:left w:val="none" w:sz="0" w:space="0" w:color="auto"/>
            <w:bottom w:val="none" w:sz="0" w:space="0" w:color="auto"/>
            <w:right w:val="none" w:sz="0" w:space="0" w:color="auto"/>
          </w:divBdr>
        </w:div>
        <w:div w:id="1695107510">
          <w:marLeft w:val="240"/>
          <w:marRight w:val="0"/>
          <w:marTop w:val="0"/>
          <w:marBottom w:val="120"/>
          <w:divBdr>
            <w:top w:val="none" w:sz="0" w:space="0" w:color="auto"/>
            <w:left w:val="none" w:sz="0" w:space="0" w:color="auto"/>
            <w:bottom w:val="none" w:sz="0" w:space="0" w:color="auto"/>
            <w:right w:val="none" w:sz="0" w:space="0" w:color="auto"/>
          </w:divBdr>
        </w:div>
        <w:div w:id="1718316301">
          <w:marLeft w:val="720"/>
          <w:marRight w:val="0"/>
          <w:marTop w:val="0"/>
          <w:marBottom w:val="120"/>
          <w:divBdr>
            <w:top w:val="none" w:sz="0" w:space="0" w:color="auto"/>
            <w:left w:val="none" w:sz="0" w:space="0" w:color="auto"/>
            <w:bottom w:val="none" w:sz="0" w:space="0" w:color="auto"/>
            <w:right w:val="none" w:sz="0" w:space="0" w:color="auto"/>
          </w:divBdr>
        </w:div>
        <w:div w:id="1932665285">
          <w:marLeft w:val="720"/>
          <w:marRight w:val="0"/>
          <w:marTop w:val="0"/>
          <w:marBottom w:val="120"/>
          <w:divBdr>
            <w:top w:val="none" w:sz="0" w:space="0" w:color="auto"/>
            <w:left w:val="none" w:sz="0" w:space="0" w:color="auto"/>
            <w:bottom w:val="none" w:sz="0" w:space="0" w:color="auto"/>
            <w:right w:val="none" w:sz="0" w:space="0" w:color="auto"/>
          </w:divBdr>
        </w:div>
        <w:div w:id="1963489748">
          <w:marLeft w:val="720"/>
          <w:marRight w:val="0"/>
          <w:marTop w:val="0"/>
          <w:marBottom w:val="120"/>
          <w:divBdr>
            <w:top w:val="none" w:sz="0" w:space="0" w:color="auto"/>
            <w:left w:val="none" w:sz="0" w:space="0" w:color="auto"/>
            <w:bottom w:val="none" w:sz="0" w:space="0" w:color="auto"/>
            <w:right w:val="none" w:sz="0" w:space="0" w:color="auto"/>
          </w:divBdr>
        </w:div>
        <w:div w:id="2137024582">
          <w:marLeft w:val="720"/>
          <w:marRight w:val="0"/>
          <w:marTop w:val="0"/>
          <w:marBottom w:val="120"/>
          <w:divBdr>
            <w:top w:val="none" w:sz="0" w:space="0" w:color="auto"/>
            <w:left w:val="none" w:sz="0" w:space="0" w:color="auto"/>
            <w:bottom w:val="none" w:sz="0" w:space="0" w:color="auto"/>
            <w:right w:val="none" w:sz="0" w:space="0" w:color="auto"/>
          </w:divBdr>
        </w:div>
      </w:divsChild>
    </w:div>
    <w:div w:id="207719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01693-C8E3-4508-AFF7-931D03B6F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20</Pages>
  <Words>2029</Words>
  <Characters>11567</Characters>
  <Application>Microsoft Office Word</Application>
  <DocSecurity>0</DocSecurity>
  <Lines>96</Lines>
  <Paragraphs>27</Paragraphs>
  <ScaleCrop>false</ScaleCrop>
  <Company>cy</Company>
  <LinksUpToDate>false</LinksUpToDate>
  <CharactersWithSpaces>13569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subject/>
  <dc:creator>林冠伶</dc:creator>
  <cp:keywords/>
  <dc:description/>
  <cp:lastModifiedBy>林秀珍</cp:lastModifiedBy>
  <cp:revision>7</cp:revision>
  <cp:lastPrinted>2026-07-08T02:28:00Z</cp:lastPrinted>
  <dcterms:created xsi:type="dcterms:W3CDTF">2026-07-24T01:25:00Z</dcterms:created>
  <dcterms:modified xsi:type="dcterms:W3CDTF">2026-07-24T01:32:00Z</dcterms:modified>
</cp:coreProperties>
</file>