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E9AF" w14:textId="3D0D01E1" w:rsidR="005E7603" w:rsidRPr="009822AB" w:rsidRDefault="009822AB" w:rsidP="005E7603">
      <w:pPr>
        <w:pStyle w:val="af2"/>
      </w:pPr>
      <w:bookmarkStart w:id="0" w:name="_Toc279682971"/>
      <w:bookmarkStart w:id="1" w:name="_Toc280712884"/>
      <w:bookmarkStart w:id="2" w:name="_Toc525070834"/>
      <w:bookmarkStart w:id="3" w:name="_Toc525938374"/>
      <w:bookmarkStart w:id="4" w:name="_Toc525939222"/>
      <w:bookmarkStart w:id="5" w:name="_Toc525939727"/>
      <w:bookmarkStart w:id="6" w:name="_Toc525066144"/>
      <w:bookmarkStart w:id="7" w:name="_Toc524892372"/>
      <w:r w:rsidRPr="009822AB">
        <w:rPr>
          <w:rFonts w:hint="eastAsia"/>
        </w:rPr>
        <w:t xml:space="preserve"> </w:t>
      </w:r>
      <w:r w:rsidR="005E7603" w:rsidRPr="009822AB">
        <w:rPr>
          <w:rFonts w:hint="eastAsia"/>
        </w:rPr>
        <w:t>調查報告</w:t>
      </w:r>
      <w:r w:rsidRPr="009822AB">
        <w:rPr>
          <w:rFonts w:hAnsi="標楷體" w:hint="eastAsia"/>
          <w:spacing w:val="0"/>
        </w:rPr>
        <w:t>(公布版)</w:t>
      </w:r>
    </w:p>
    <w:p w14:paraId="4E74AFA4" w14:textId="01562C10" w:rsidR="005E7603" w:rsidRPr="009822AB" w:rsidRDefault="005E7603" w:rsidP="005E7603">
      <w:pPr>
        <w:pStyle w:val="1"/>
        <w:ind w:left="2380" w:hanging="2380"/>
      </w:pPr>
      <w:bookmarkStart w:id="8" w:name="_Toc524892368"/>
      <w:bookmarkStart w:id="9" w:name="_Toc524895638"/>
      <w:bookmarkStart w:id="10" w:name="_Toc524896184"/>
      <w:bookmarkStart w:id="11" w:name="_Toc524896214"/>
      <w:bookmarkStart w:id="12" w:name="_Toc524902720"/>
      <w:bookmarkStart w:id="13" w:name="_Toc525066139"/>
      <w:bookmarkStart w:id="14" w:name="_Toc525070829"/>
      <w:bookmarkStart w:id="15" w:name="_Toc525938369"/>
      <w:bookmarkStart w:id="16" w:name="_Toc525939217"/>
      <w:bookmarkStart w:id="17" w:name="_Toc525939722"/>
      <w:bookmarkStart w:id="18" w:name="_Toc421794865"/>
      <w:bookmarkStart w:id="19" w:name="_Toc422834150"/>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r w:rsidRPr="009822AB">
        <w:rPr>
          <w:rFonts w:hint="eastAsia"/>
        </w:rPr>
        <w:t>案　　由：</w:t>
      </w:r>
      <w:bookmarkStart w:id="33" w:name="_Hlk22413442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9822AB">
        <w:rPr>
          <w:rFonts w:hint="eastAsia"/>
        </w:rPr>
        <w:t>據訴，臺灣高雄地方檢察署黃姓檢察官偵辦114年度他字第5510號背信案件，疑妨礙其選任辯護人權、在場權與受告知權等訴訟上權利，違背檢察官客觀性義務及正當法律程序等情案。</w:t>
      </w:r>
      <w:bookmarkEnd w:id="33"/>
    </w:p>
    <w:p w14:paraId="1030A581" w14:textId="50BABB37" w:rsidR="00C42BD7" w:rsidRPr="009822AB" w:rsidRDefault="00C42BD7" w:rsidP="00F37CD4">
      <w:pPr>
        <w:pStyle w:val="1"/>
        <w:spacing w:line="450" w:lineRule="exact"/>
        <w:ind w:left="2380" w:hanging="2380"/>
      </w:pPr>
      <w:bookmarkStart w:id="34" w:name="_Toc524895646"/>
      <w:bookmarkStart w:id="35" w:name="_Toc524896192"/>
      <w:bookmarkStart w:id="36" w:name="_Toc524896222"/>
      <w:bookmarkStart w:id="37" w:name="_Toc524902729"/>
      <w:bookmarkStart w:id="38" w:name="_Toc525066145"/>
      <w:bookmarkStart w:id="39" w:name="_Toc525070836"/>
      <w:bookmarkStart w:id="40" w:name="_Toc525938376"/>
      <w:bookmarkStart w:id="41" w:name="_Toc525939224"/>
      <w:bookmarkStart w:id="42" w:name="_Toc525939729"/>
      <w:bookmarkStart w:id="43" w:name="_Toc529218269"/>
      <w:bookmarkStart w:id="44" w:name="_Toc529222686"/>
      <w:bookmarkStart w:id="45" w:name="_Toc529223108"/>
      <w:bookmarkStart w:id="46" w:name="_Toc529223859"/>
      <w:bookmarkStart w:id="47" w:name="_Toc529228262"/>
      <w:bookmarkStart w:id="48" w:name="_Toc2400392"/>
      <w:bookmarkStart w:id="49" w:name="_Toc4316186"/>
      <w:bookmarkStart w:id="50" w:name="_Toc4473327"/>
      <w:bookmarkStart w:id="51" w:name="_Toc69556894"/>
      <w:bookmarkStart w:id="52" w:name="_Toc69556943"/>
      <w:bookmarkStart w:id="53" w:name="_Toc69609817"/>
      <w:bookmarkStart w:id="54" w:name="_Toc70241813"/>
      <w:bookmarkStart w:id="55" w:name="_Toc70242202"/>
      <w:bookmarkStart w:id="56" w:name="_Toc421794872"/>
      <w:bookmarkStart w:id="57" w:name="_Toc422834157"/>
      <w:bookmarkEnd w:id="0"/>
      <w:bookmarkEnd w:id="1"/>
      <w:bookmarkEnd w:id="2"/>
      <w:bookmarkEnd w:id="3"/>
      <w:bookmarkEnd w:id="4"/>
      <w:bookmarkEnd w:id="5"/>
      <w:bookmarkEnd w:id="6"/>
      <w:bookmarkEnd w:id="7"/>
      <w:r w:rsidRPr="009822AB">
        <w:rPr>
          <w:rFonts w:hint="eastAsia"/>
        </w:rPr>
        <w:t>調查意見：</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549FB83" w14:textId="35B74157" w:rsidR="00C42BD7" w:rsidRPr="009822AB" w:rsidRDefault="00C42BD7" w:rsidP="00F37CD4">
      <w:pPr>
        <w:tabs>
          <w:tab w:val="left" w:pos="567"/>
        </w:tabs>
        <w:spacing w:line="450" w:lineRule="exact"/>
        <w:ind w:leftChars="200" w:left="680" w:firstLineChars="200" w:firstLine="680"/>
        <w:rPr>
          <w:kern w:val="32"/>
        </w:rPr>
      </w:pPr>
      <w:r w:rsidRPr="009822AB">
        <w:rPr>
          <w:rFonts w:hAnsi="標楷體" w:hint="eastAsia"/>
          <w:kern w:val="32"/>
        </w:rPr>
        <w:t>本案</w:t>
      </w:r>
      <w:r w:rsidRPr="009822AB">
        <w:rPr>
          <w:rFonts w:hint="eastAsia"/>
          <w:kern w:val="32"/>
        </w:rPr>
        <w:t>經調閱臺灣高雄地方法院（下稱高雄地院）</w:t>
      </w:r>
      <w:r w:rsidR="00031BC9" w:rsidRPr="009822AB">
        <w:rPr>
          <w:rFonts w:hint="eastAsia"/>
          <w:kern w:val="32"/>
        </w:rPr>
        <w:t>民國（下同）</w:t>
      </w:r>
      <w:r w:rsidRPr="009822AB">
        <w:rPr>
          <w:rFonts w:hint="eastAsia"/>
          <w:kern w:val="32"/>
        </w:rPr>
        <w:t>114年度訴字第301號偵查全卷、臺灣高雄地方檢察署</w:t>
      </w:r>
      <w:r w:rsidRPr="009822AB">
        <w:rPr>
          <w:rFonts w:hAnsi="標楷體" w:hint="eastAsia"/>
          <w:kern w:val="32"/>
        </w:rPr>
        <w:t>（下稱高雄地檢署）</w:t>
      </w:r>
      <w:r w:rsidRPr="009822AB">
        <w:rPr>
          <w:rFonts w:hint="eastAsia"/>
          <w:kern w:val="32"/>
        </w:rPr>
        <w:t>114年度他字第5510號偵查全卷、高雄地院114年度警聲搜字第1749號偵查全卷（下稱系爭搜索扣押），函請法務部調</w:t>
      </w:r>
      <w:r w:rsidR="00C01FE9" w:rsidRPr="009822AB">
        <w:rPr>
          <w:rFonts w:hint="eastAsia"/>
          <w:kern w:val="32"/>
        </w:rPr>
        <w:t>查</w:t>
      </w:r>
      <w:r w:rsidRPr="009822AB">
        <w:rPr>
          <w:rFonts w:hint="eastAsia"/>
          <w:kern w:val="32"/>
        </w:rPr>
        <w:t>局</w:t>
      </w:r>
      <w:r w:rsidR="00031BC9" w:rsidRPr="009822AB">
        <w:rPr>
          <w:rFonts w:hint="eastAsia"/>
          <w:kern w:val="32"/>
        </w:rPr>
        <w:t>（下稱調查局）</w:t>
      </w:r>
      <w:r w:rsidRPr="009822AB">
        <w:rPr>
          <w:rFonts w:hint="eastAsia"/>
          <w:kern w:val="32"/>
        </w:rPr>
        <w:t>查復相關事項，並於115年6月12日約詢法務部檢察司張曉雯司長、調部辦事黃嘉妮主任檢察官，已調查竣事，茲臚列調查意見如下：</w:t>
      </w:r>
    </w:p>
    <w:p w14:paraId="7242AC86" w14:textId="7AC1916F" w:rsidR="00C42BD7" w:rsidRPr="009822AB" w:rsidRDefault="00C42BD7" w:rsidP="00F37CD4">
      <w:pPr>
        <w:numPr>
          <w:ilvl w:val="1"/>
          <w:numId w:val="6"/>
        </w:numPr>
        <w:spacing w:line="450" w:lineRule="exact"/>
        <w:outlineLvl w:val="1"/>
        <w:rPr>
          <w:rFonts w:hAnsi="Arial"/>
          <w:b/>
          <w:bCs/>
          <w:kern w:val="32"/>
          <w:szCs w:val="48"/>
        </w:rPr>
      </w:pPr>
      <w:r w:rsidRPr="009822AB">
        <w:rPr>
          <w:rFonts w:hAnsi="Arial" w:hint="eastAsia"/>
          <w:b/>
          <w:bCs/>
          <w:kern w:val="32"/>
          <w:szCs w:val="48"/>
        </w:rPr>
        <w:t>高雄地院114年度訴字第301號刑事案件（下稱本案訴訟）之犯罪事實，係被告林○○等涉犯詐領立法委員公費助理薪資及加班費等公益侵占等罪；高雄地檢署114年度他字第5510</w:t>
      </w:r>
      <w:r w:rsidR="00735E18" w:rsidRPr="009822AB">
        <w:rPr>
          <w:rFonts w:hAnsi="Arial" w:hint="eastAsia"/>
          <w:b/>
          <w:bCs/>
          <w:kern w:val="32"/>
          <w:szCs w:val="48"/>
        </w:rPr>
        <w:t>號</w:t>
      </w:r>
      <w:r w:rsidRPr="009822AB">
        <w:rPr>
          <w:rFonts w:hAnsi="Arial" w:hint="eastAsia"/>
          <w:b/>
          <w:bCs/>
          <w:kern w:val="32"/>
          <w:szCs w:val="48"/>
        </w:rPr>
        <w:t>背信案（下稱本件他案）係檢察官主動簽分，指稱百春陽</w:t>
      </w:r>
      <w:r w:rsidR="006F15B1" w:rsidRPr="009822AB">
        <w:rPr>
          <w:rFonts w:hAnsi="Arial" w:hint="eastAsia"/>
          <w:b/>
          <w:bCs/>
          <w:kern w:val="32"/>
          <w:szCs w:val="48"/>
        </w:rPr>
        <w:t>建設股份有限</w:t>
      </w:r>
      <w:r w:rsidRPr="009822AB">
        <w:rPr>
          <w:rFonts w:hAnsi="Arial" w:hint="eastAsia"/>
          <w:b/>
          <w:bCs/>
          <w:kern w:val="32"/>
          <w:szCs w:val="48"/>
        </w:rPr>
        <w:t>公司</w:t>
      </w:r>
      <w:r w:rsidR="00541578" w:rsidRPr="009822AB">
        <w:rPr>
          <w:rFonts w:hAnsi="Arial" w:hint="eastAsia"/>
          <w:b/>
          <w:bCs/>
          <w:kern w:val="32"/>
          <w:szCs w:val="48"/>
        </w:rPr>
        <w:t>（下稱百春陽公司）</w:t>
      </w:r>
      <w:r w:rsidRPr="009822AB">
        <w:rPr>
          <w:rFonts w:hAnsi="Arial" w:hint="eastAsia"/>
          <w:b/>
          <w:bCs/>
          <w:kern w:val="32"/>
          <w:szCs w:val="48"/>
        </w:rPr>
        <w:t>負責人吳○○出售土地予通法寺（住持洪○○）涉有背信等罪。經查，本案訴訟在高雄地院審理期間，調查局南部地區機動工作站（下稱南機站）以吳○○及通法寺涉嫌背信等案，經高雄地檢署許可後，向高雄地院聲請核發搜索票</w:t>
      </w:r>
      <w:r w:rsidR="00C01FE9" w:rsidRPr="009822AB">
        <w:rPr>
          <w:rFonts w:hAnsi="Arial" w:hint="eastAsia"/>
          <w:b/>
          <w:bCs/>
          <w:kern w:val="32"/>
          <w:szCs w:val="48"/>
        </w:rPr>
        <w:t>獲准</w:t>
      </w:r>
      <w:r w:rsidRPr="009822AB">
        <w:rPr>
          <w:rFonts w:hAnsi="Arial" w:hint="eastAsia"/>
          <w:b/>
          <w:bCs/>
          <w:kern w:val="32"/>
          <w:szCs w:val="48"/>
        </w:rPr>
        <w:t>，於114年9月18日針對百春陽公司及其負責人住所、通法寺等地執行搜索、扣押及傳訊相關人員。依卷內搜索票聲請書、釋明書、搜索扣押筆錄及訊（詢）問筆錄內容，並未涉及本</w:t>
      </w:r>
      <w:r w:rsidR="00031BC9" w:rsidRPr="009822AB">
        <w:rPr>
          <w:rFonts w:hAnsi="Arial" w:hint="eastAsia"/>
          <w:b/>
          <w:bCs/>
          <w:kern w:val="32"/>
          <w:szCs w:val="48"/>
        </w:rPr>
        <w:t>案</w:t>
      </w:r>
      <w:r w:rsidRPr="009822AB">
        <w:rPr>
          <w:rFonts w:hAnsi="Arial" w:hint="eastAsia"/>
          <w:b/>
          <w:bCs/>
          <w:kern w:val="32"/>
          <w:szCs w:val="48"/>
        </w:rPr>
        <w:t>訴訟之犯罪事實，難認檢調假藉本件他案之</w:t>
      </w:r>
      <w:r w:rsidRPr="009822AB">
        <w:rPr>
          <w:rFonts w:hAnsi="Arial" w:hint="eastAsia"/>
          <w:b/>
          <w:bCs/>
          <w:kern w:val="32"/>
          <w:szCs w:val="48"/>
        </w:rPr>
        <w:lastRenderedPageBreak/>
        <w:t>強制處分，蒐集審判中本件訴訟不利於被告事證等情事。又刑事訴訟法未賦予偵查中之選任辯護人於搜索時之在場權，檢察官於執行系爭搜索時，排除本案訴訟及本件他案之委任律師在場，亦難謂有何違失。惟系爭搜索之對象為「背信案」之相關人，搜索票之案由卻記載「侵占」，其後傳訊相關人之案由又記載「背信」或「侵占」，致</w:t>
      </w:r>
      <w:r w:rsidRPr="009822AB">
        <w:rPr>
          <w:rFonts w:hAnsi="Arial"/>
          <w:b/>
          <w:bCs/>
          <w:kern w:val="32"/>
          <w:szCs w:val="48"/>
        </w:rPr>
        <w:t>搜索票所載之案由與實際搜索相對應之案件產生疑義，不利於被告辯護權之行使，</w:t>
      </w:r>
      <w:r w:rsidRPr="009822AB">
        <w:rPr>
          <w:rFonts w:hAnsi="Arial" w:hint="eastAsia"/>
          <w:b/>
          <w:bCs/>
          <w:kern w:val="32"/>
          <w:szCs w:val="48"/>
        </w:rPr>
        <w:t>非無檢討之空間。</w:t>
      </w:r>
    </w:p>
    <w:p w14:paraId="02E18C04" w14:textId="0914B1C2"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陳訴人指稱，高雄地檢署檢察官為蒐集審理中之高雄地院</w:t>
      </w:r>
      <w:r w:rsidRPr="009822AB">
        <w:rPr>
          <w:rFonts w:hAnsi="Arial"/>
          <w:bCs/>
          <w:kern w:val="32"/>
          <w:szCs w:val="36"/>
        </w:rPr>
        <w:t>114</w:t>
      </w:r>
      <w:r w:rsidRPr="009822AB">
        <w:rPr>
          <w:rFonts w:hAnsi="Arial" w:hint="eastAsia"/>
          <w:bCs/>
          <w:kern w:val="32"/>
          <w:szCs w:val="36"/>
        </w:rPr>
        <w:t>年度訴字第</w:t>
      </w:r>
      <w:r w:rsidRPr="009822AB">
        <w:rPr>
          <w:rFonts w:hAnsi="Arial"/>
          <w:bCs/>
          <w:kern w:val="32"/>
          <w:szCs w:val="36"/>
        </w:rPr>
        <w:t>301</w:t>
      </w:r>
      <w:r w:rsidRPr="009822AB">
        <w:rPr>
          <w:rFonts w:hAnsi="Arial" w:hint="eastAsia"/>
          <w:bCs/>
          <w:kern w:val="32"/>
          <w:szCs w:val="36"/>
        </w:rPr>
        <w:t>號刑事案件之事證，為避免本案訴訟承審法院認無搜索必要而否准搜索，竟另行簽分該署</w:t>
      </w:r>
      <w:r w:rsidRPr="009822AB">
        <w:rPr>
          <w:rFonts w:hAnsi="Arial"/>
          <w:bCs/>
          <w:kern w:val="32"/>
          <w:szCs w:val="36"/>
        </w:rPr>
        <w:t>114</w:t>
      </w:r>
      <w:r w:rsidRPr="009822AB">
        <w:rPr>
          <w:rFonts w:hAnsi="Arial" w:hint="eastAsia"/>
          <w:bCs/>
          <w:kern w:val="32"/>
          <w:szCs w:val="36"/>
        </w:rPr>
        <w:t>年度他字第</w:t>
      </w:r>
      <w:r w:rsidRPr="009822AB">
        <w:rPr>
          <w:rFonts w:hAnsi="Arial"/>
          <w:bCs/>
          <w:kern w:val="32"/>
          <w:szCs w:val="36"/>
        </w:rPr>
        <w:t>5510</w:t>
      </w:r>
      <w:r w:rsidR="00735E18" w:rsidRPr="009822AB">
        <w:rPr>
          <w:rFonts w:hAnsi="Arial" w:hint="eastAsia"/>
          <w:bCs/>
          <w:kern w:val="32"/>
          <w:szCs w:val="36"/>
        </w:rPr>
        <w:t>號</w:t>
      </w:r>
      <w:r w:rsidRPr="009822AB">
        <w:rPr>
          <w:rFonts w:hAnsi="Arial" w:hint="eastAsia"/>
          <w:bCs/>
          <w:kern w:val="32"/>
          <w:szCs w:val="36"/>
        </w:rPr>
        <w:t>背信案，向法院聲請核發搜索票，於114年9月18日對百春陽</w:t>
      </w:r>
      <w:r w:rsidR="00B40D0F" w:rsidRPr="009822AB">
        <w:rPr>
          <w:rFonts w:hAnsi="Arial" w:hint="eastAsia"/>
          <w:bCs/>
          <w:kern w:val="32"/>
          <w:szCs w:val="36"/>
        </w:rPr>
        <w:t>公司</w:t>
      </w:r>
      <w:r w:rsidRPr="009822AB">
        <w:rPr>
          <w:rFonts w:hAnsi="Arial" w:hint="eastAsia"/>
          <w:bCs/>
          <w:kern w:val="32"/>
          <w:szCs w:val="36"/>
        </w:rPr>
        <w:t>、負責</w:t>
      </w:r>
      <w:r w:rsidR="00B40D0F" w:rsidRPr="009822AB">
        <w:rPr>
          <w:rFonts w:hAnsi="Arial" w:hint="eastAsia"/>
          <w:bCs/>
          <w:kern w:val="32"/>
          <w:szCs w:val="36"/>
        </w:rPr>
        <w:t>人</w:t>
      </w:r>
      <w:r w:rsidRPr="009822AB">
        <w:rPr>
          <w:rFonts w:hAnsi="Arial" w:hint="eastAsia"/>
          <w:bCs/>
          <w:kern w:val="32"/>
          <w:szCs w:val="36"/>
        </w:rPr>
        <w:t>吳○○住家及通法寺等地實施搜索、扣押及現場詢問，過程中惡意排除本案訴訟及本件他案委任之律師在場，其後將本件他案犯罪嫌疑人及證人移送南機站詢問及檢察官複訊時，主要詢問之內容係本案訴訟之內容，涉有違法偵查、不當侵害被告獲辯護權等情。</w:t>
      </w:r>
    </w:p>
    <w:p w14:paraId="21C52855" w14:textId="0D65981F"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按</w:t>
      </w:r>
      <w:r w:rsidRPr="009822AB">
        <w:rPr>
          <w:rFonts w:hAnsi="Arial"/>
          <w:bCs/>
          <w:kern w:val="32"/>
          <w:szCs w:val="36"/>
        </w:rPr>
        <w:t>刑事訴訟法</w:t>
      </w:r>
      <w:r w:rsidRPr="009822AB">
        <w:rPr>
          <w:rFonts w:hAnsi="Arial" w:hint="eastAsia"/>
          <w:bCs/>
          <w:kern w:val="32"/>
          <w:szCs w:val="36"/>
        </w:rPr>
        <w:t>第128條第2項第1款、第2款規定，搜索票，應記載案由、應搜索之被告、犯罪嫌疑人或應扣押之物等。同法</w:t>
      </w:r>
      <w:r w:rsidRPr="009822AB">
        <w:rPr>
          <w:rFonts w:hAnsi="Arial"/>
          <w:bCs/>
          <w:kern w:val="32"/>
          <w:szCs w:val="36"/>
        </w:rPr>
        <w:t>第150條第1項前段及同條第3項雖規定當事人及審判中之辯護人得於搜索或扣押時在場；行搜索或扣押之日、時及處所，除有急迫情形外，應通知得在場之人。然該法並未賦予偵查中之選任辯護人於搜索時之在場權。</w:t>
      </w:r>
      <w:r w:rsidRPr="009822AB">
        <w:rPr>
          <w:rFonts w:hAnsi="Arial" w:hint="eastAsia"/>
          <w:bCs/>
          <w:kern w:val="32"/>
          <w:szCs w:val="36"/>
        </w:rPr>
        <w:t>又同法第152條規定，實施搜索或扣押時，發現另案應扣押之物，亦得扣押之，分別送交該管法院或檢察官。綜據上開規定，搜索票上「案由」配合「應搜索之被</w:t>
      </w:r>
      <w:r w:rsidRPr="009822AB">
        <w:rPr>
          <w:rFonts w:hAnsi="Arial" w:hint="eastAsia"/>
          <w:bCs/>
          <w:kern w:val="32"/>
          <w:szCs w:val="36"/>
        </w:rPr>
        <w:lastRenderedPageBreak/>
        <w:t>告、犯罪嫌疑人或應扣押之物」之記載，需足以特定相對應之案件，據以認定扣押之物為本案或另案所扣押，以識別其執行手段之適正性。此外，辯護人於行搜索扣押時得否在場，及執行機關應否事前通知相關人，取決於搜索相對應之案件係偵查中案件或審判中案件，如係偵查中案件，辯護人無在場權，執行機關亦無事前通知辯護人在場之義務。</w:t>
      </w:r>
    </w:p>
    <w:p w14:paraId="23A9052C" w14:textId="77777777"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經查：</w:t>
      </w:r>
    </w:p>
    <w:p w14:paraId="26382D9F" w14:textId="68340E14" w:rsidR="00C42BD7" w:rsidRPr="009822AB" w:rsidRDefault="00C01FE9" w:rsidP="00F37CD4">
      <w:pPr>
        <w:numPr>
          <w:ilvl w:val="3"/>
          <w:numId w:val="6"/>
        </w:numPr>
        <w:spacing w:line="450" w:lineRule="exact"/>
        <w:outlineLvl w:val="3"/>
        <w:rPr>
          <w:rFonts w:hAnsi="Arial"/>
          <w:kern w:val="32"/>
          <w:szCs w:val="36"/>
        </w:rPr>
      </w:pPr>
      <w:r w:rsidRPr="009822AB">
        <w:rPr>
          <w:rFonts w:hAnsi="Arial" w:hint="eastAsia"/>
          <w:kern w:val="32"/>
          <w:szCs w:val="36"/>
        </w:rPr>
        <w:t>「</w:t>
      </w:r>
      <w:r w:rsidR="00C42BD7" w:rsidRPr="009822AB">
        <w:rPr>
          <w:rFonts w:hAnsi="Arial" w:hint="eastAsia"/>
          <w:kern w:val="32"/>
          <w:szCs w:val="36"/>
        </w:rPr>
        <w:t>本案訴訟</w:t>
      </w:r>
      <w:r w:rsidRPr="009822AB">
        <w:rPr>
          <w:rFonts w:hAnsi="Arial" w:hint="eastAsia"/>
          <w:kern w:val="32"/>
          <w:szCs w:val="36"/>
        </w:rPr>
        <w:t>」</w:t>
      </w:r>
      <w:r w:rsidR="00C42BD7" w:rsidRPr="009822AB">
        <w:rPr>
          <w:rFonts w:hAnsi="Arial" w:hint="eastAsia"/>
          <w:kern w:val="32"/>
          <w:szCs w:val="36"/>
        </w:rPr>
        <w:t>為被告林○○等10人涉嫌詐領立法委員公費助理薪資及公益侵占等罪，業經高雄地檢署於114年6月23日提起公訴</w:t>
      </w:r>
      <w:r w:rsidR="00C42BD7" w:rsidRPr="009822AB">
        <w:rPr>
          <w:rFonts w:hAnsi="Arial"/>
          <w:kern w:val="32"/>
          <w:szCs w:val="36"/>
          <w:vertAlign w:val="superscript"/>
        </w:rPr>
        <w:footnoteReference w:id="1"/>
      </w:r>
      <w:r w:rsidR="00C42BD7" w:rsidRPr="009822AB">
        <w:rPr>
          <w:rFonts w:hAnsi="Arial" w:hint="eastAsia"/>
          <w:kern w:val="32"/>
          <w:szCs w:val="36"/>
        </w:rPr>
        <w:t>，起訴書記載之犯罪事實略以：一、被告林○○等人涉嫌於擔任立法委員任期內，利用人頭助理，詐領立法委員公費助理酬金，加班費及年終獎金。二、被告洪○○等人涉嫌偽作設立文件，取得「林三郎覺教基金會」設立許可</w:t>
      </w:r>
      <w:r w:rsidRPr="009822AB">
        <w:rPr>
          <w:rFonts w:hAnsi="Arial" w:hint="eastAsia"/>
          <w:kern w:val="32"/>
          <w:szCs w:val="36"/>
        </w:rPr>
        <w:t>及</w:t>
      </w:r>
      <w:r w:rsidR="00C42BD7" w:rsidRPr="009822AB">
        <w:rPr>
          <w:rFonts w:hAnsi="Arial" w:hint="eastAsia"/>
          <w:kern w:val="32"/>
          <w:szCs w:val="36"/>
        </w:rPr>
        <w:t>法人登記證書，涉有行使偽造文書及使公務員登載不實等罪嫌。</w:t>
      </w:r>
      <w:r w:rsidRPr="009822AB">
        <w:rPr>
          <w:rFonts w:hAnsi="Arial" w:hint="eastAsia"/>
          <w:kern w:val="32"/>
          <w:szCs w:val="36"/>
        </w:rPr>
        <w:t>又該基金會</w:t>
      </w:r>
      <w:r w:rsidR="00C42BD7" w:rsidRPr="009822AB">
        <w:rPr>
          <w:rFonts w:hAnsi="Arial" w:hint="eastAsia"/>
          <w:kern w:val="32"/>
          <w:szCs w:val="36"/>
        </w:rPr>
        <w:t>違背捐助章程，從事協助林○○</w:t>
      </w:r>
      <w:r w:rsidRPr="009822AB">
        <w:rPr>
          <w:rFonts w:hAnsi="Arial" w:hint="eastAsia"/>
          <w:kern w:val="32"/>
          <w:szCs w:val="36"/>
        </w:rPr>
        <w:t>競選</w:t>
      </w:r>
      <w:r w:rsidR="00C42BD7" w:rsidRPr="009822AB">
        <w:rPr>
          <w:rFonts w:hAnsi="Arial" w:hint="eastAsia"/>
          <w:kern w:val="32"/>
          <w:szCs w:val="36"/>
        </w:rPr>
        <w:t>高雄市長的選</w:t>
      </w:r>
      <w:r w:rsidR="001A47DF" w:rsidRPr="009822AB">
        <w:rPr>
          <w:rFonts w:hAnsi="Arial" w:hint="eastAsia"/>
          <w:kern w:val="32"/>
          <w:szCs w:val="36"/>
        </w:rPr>
        <w:t>舉事</w:t>
      </w:r>
      <w:r w:rsidR="00C42BD7" w:rsidRPr="009822AB">
        <w:rPr>
          <w:rFonts w:hAnsi="Arial" w:hint="eastAsia"/>
          <w:kern w:val="32"/>
          <w:szCs w:val="36"/>
        </w:rPr>
        <w:t>務，涉犯背信及公益侵占等罪嫌。</w:t>
      </w:r>
    </w:p>
    <w:p w14:paraId="543AEEEC" w14:textId="4E22BB73" w:rsidR="00C42BD7" w:rsidRPr="009822AB" w:rsidRDefault="00C42BD7" w:rsidP="00F37CD4">
      <w:pPr>
        <w:numPr>
          <w:ilvl w:val="3"/>
          <w:numId w:val="6"/>
        </w:numPr>
        <w:spacing w:line="450" w:lineRule="exact"/>
        <w:outlineLvl w:val="3"/>
        <w:rPr>
          <w:rFonts w:hAnsi="Arial"/>
          <w:kern w:val="32"/>
          <w:szCs w:val="36"/>
        </w:rPr>
      </w:pPr>
      <w:r w:rsidRPr="009822AB">
        <w:rPr>
          <w:rFonts w:hAnsi="Arial" w:hint="eastAsia"/>
          <w:kern w:val="32"/>
          <w:szCs w:val="36"/>
        </w:rPr>
        <w:t>「本件他案」依卷內本件他案之簽分理由，係以百春陽公司負責人吳○○將高雄市仁武區仁○段○號等7筆土地售予通法寺住持洪○○，涉犯背信罪嫌等情，經檢察官於114年9月8日依調度司法警察條例第7條規定，核發偵查指揮書予南機站。</w:t>
      </w:r>
      <w:r w:rsidR="00C01FE9" w:rsidRPr="009822AB">
        <w:rPr>
          <w:rFonts w:hAnsi="Arial"/>
          <w:kern w:val="32"/>
          <w:szCs w:val="36"/>
        </w:rPr>
        <w:t>115</w:t>
      </w:r>
      <w:r w:rsidR="00C01FE9" w:rsidRPr="009822AB">
        <w:rPr>
          <w:rFonts w:hAnsi="Arial" w:hint="eastAsia"/>
          <w:kern w:val="32"/>
          <w:szCs w:val="36"/>
        </w:rPr>
        <w:t>年</w:t>
      </w:r>
      <w:r w:rsidR="00C01FE9" w:rsidRPr="009822AB">
        <w:rPr>
          <w:rFonts w:hAnsi="Arial"/>
          <w:kern w:val="32"/>
          <w:szCs w:val="36"/>
        </w:rPr>
        <w:t>1</w:t>
      </w:r>
      <w:r w:rsidR="00C01FE9" w:rsidRPr="009822AB">
        <w:rPr>
          <w:rFonts w:hAnsi="Arial" w:hint="eastAsia"/>
          <w:kern w:val="32"/>
          <w:szCs w:val="36"/>
        </w:rPr>
        <w:t>月</w:t>
      </w:r>
      <w:r w:rsidR="00C01FE9" w:rsidRPr="009822AB">
        <w:rPr>
          <w:rFonts w:hAnsi="Arial"/>
          <w:kern w:val="32"/>
          <w:szCs w:val="36"/>
        </w:rPr>
        <w:t>4</w:t>
      </w:r>
      <w:r w:rsidR="00C01FE9" w:rsidRPr="009822AB">
        <w:rPr>
          <w:rFonts w:hAnsi="Arial" w:hint="eastAsia"/>
          <w:kern w:val="32"/>
          <w:szCs w:val="36"/>
        </w:rPr>
        <w:t>日</w:t>
      </w:r>
      <w:r w:rsidRPr="009822AB">
        <w:rPr>
          <w:rFonts w:hAnsi="Arial" w:hint="eastAsia"/>
          <w:kern w:val="32"/>
          <w:szCs w:val="36"/>
        </w:rPr>
        <w:t>檢察官以百春陽公司負責人決定將本件土地轉售與洪○○前，業經董監事會議決議通過，難認有何未盡善良管理人注意義務或違背商業判斷法則，致使百春陽公司受有損害</w:t>
      </w:r>
      <w:r w:rsidRPr="009822AB">
        <w:rPr>
          <w:rFonts w:hAnsi="Arial" w:hint="eastAsia"/>
          <w:kern w:val="32"/>
          <w:szCs w:val="36"/>
        </w:rPr>
        <w:lastRenderedPageBreak/>
        <w:t>等情，簽請逕予報結。</w:t>
      </w:r>
    </w:p>
    <w:p w14:paraId="73ECBC7B" w14:textId="4325F761" w:rsidR="00C42BD7" w:rsidRPr="009822AB" w:rsidRDefault="00C42BD7" w:rsidP="00F37CD4">
      <w:pPr>
        <w:numPr>
          <w:ilvl w:val="3"/>
          <w:numId w:val="6"/>
        </w:numPr>
        <w:spacing w:line="450" w:lineRule="exact"/>
        <w:outlineLvl w:val="3"/>
        <w:rPr>
          <w:rFonts w:hAnsi="Arial"/>
          <w:kern w:val="32"/>
          <w:szCs w:val="36"/>
        </w:rPr>
      </w:pPr>
      <w:r w:rsidRPr="009822AB">
        <w:rPr>
          <w:rFonts w:hAnsi="Arial" w:hint="eastAsia"/>
          <w:kern w:val="32"/>
          <w:szCs w:val="36"/>
        </w:rPr>
        <w:t>「系爭搜索扣押」，經調閱高雄地院114年度警聲搜字第1749號偵查全卷，係南機站另案主動發掘，釋明書記載之涉嫌內容分為「</w:t>
      </w:r>
      <w:r w:rsidR="008F32C4" w:rsidRPr="009822AB">
        <w:rPr>
          <w:rFonts w:hAnsi="Arial" w:hint="eastAsia"/>
          <w:kern w:val="32"/>
          <w:szCs w:val="36"/>
        </w:rPr>
        <w:t>○</w:t>
      </w:r>
      <w:r w:rsidRPr="009822AB">
        <w:rPr>
          <w:rFonts w:hAnsi="Arial" w:hint="eastAsia"/>
          <w:kern w:val="32"/>
          <w:szCs w:val="36"/>
        </w:rPr>
        <w:t>○○</w:t>
      </w:r>
      <w:r w:rsidR="00C01FE9" w:rsidRPr="009822AB">
        <w:rPr>
          <w:rFonts w:hAnsi="Arial" w:hint="eastAsia"/>
          <w:kern w:val="32"/>
          <w:szCs w:val="36"/>
        </w:rPr>
        <w:t>涉嫌</w:t>
      </w:r>
      <w:r w:rsidR="008F32C4" w:rsidRPr="009822AB">
        <w:rPr>
          <w:rFonts w:hAnsi="Arial" w:hint="eastAsia"/>
          <w:kern w:val="32"/>
          <w:szCs w:val="36"/>
        </w:rPr>
        <w:t>公益侵占</w:t>
      </w:r>
      <w:r w:rsidRPr="009822AB">
        <w:rPr>
          <w:rFonts w:hAnsi="Arial" w:hint="eastAsia"/>
          <w:kern w:val="32"/>
          <w:szCs w:val="36"/>
        </w:rPr>
        <w:t>案」及「吳○○涉嫌背信案」二部分</w:t>
      </w:r>
      <w:r w:rsidR="00C01FE9" w:rsidRPr="009822AB">
        <w:rPr>
          <w:rFonts w:hAnsi="Arial" w:hint="eastAsia"/>
          <w:kern w:val="32"/>
          <w:szCs w:val="36"/>
        </w:rPr>
        <w:t>。</w:t>
      </w:r>
      <w:r w:rsidRPr="009822AB">
        <w:rPr>
          <w:rFonts w:hAnsi="Arial" w:hint="eastAsia"/>
          <w:kern w:val="32"/>
          <w:szCs w:val="36"/>
        </w:rPr>
        <w:t>詢據調查局表示，</w:t>
      </w:r>
      <w:r w:rsidR="00570732" w:rsidRPr="009822AB">
        <w:rPr>
          <w:rFonts w:hAnsi="Arial" w:hint="eastAsia"/>
          <w:kern w:val="32"/>
          <w:szCs w:val="36"/>
        </w:rPr>
        <w:t>該二部分涉嫌內容均為新事實，</w:t>
      </w:r>
      <w:r w:rsidRPr="009822AB">
        <w:rPr>
          <w:rFonts w:hAnsi="Arial" w:hint="eastAsia"/>
          <w:kern w:val="32"/>
          <w:szCs w:val="36"/>
        </w:rPr>
        <w:t>南機站因偵辦系爭搜索扣押之案件，於114年9月16日報請檢察官許可後，向高雄地院核發114年度警聲搜字第1749號搜索票，114年9月18日搜索、扣押及傳訊之偵辦範圍均不涉及高雄地院審理中之114年</w:t>
      </w:r>
      <w:r w:rsidR="00541578" w:rsidRPr="009822AB">
        <w:rPr>
          <w:rFonts w:hAnsi="Arial" w:hint="eastAsia"/>
          <w:kern w:val="32"/>
          <w:szCs w:val="36"/>
        </w:rPr>
        <w:t>度</w:t>
      </w:r>
      <w:r w:rsidRPr="009822AB">
        <w:rPr>
          <w:rFonts w:hAnsi="Arial" w:hint="eastAsia"/>
          <w:kern w:val="32"/>
          <w:szCs w:val="36"/>
        </w:rPr>
        <w:t>訴字第301號，故114年度警聲搜字第1749號之偵辦範圍即本件他案偵辦範圍等語。</w:t>
      </w:r>
    </w:p>
    <w:p w14:paraId="5C07B856" w14:textId="77777777"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本院審酌認為：</w:t>
      </w:r>
    </w:p>
    <w:p w14:paraId="2F37AC9C" w14:textId="3E83787B" w:rsidR="00C42BD7" w:rsidRPr="009822AB" w:rsidRDefault="00C42BD7" w:rsidP="00F37CD4">
      <w:pPr>
        <w:numPr>
          <w:ilvl w:val="3"/>
          <w:numId w:val="6"/>
        </w:numPr>
        <w:spacing w:line="450" w:lineRule="exact"/>
        <w:outlineLvl w:val="3"/>
        <w:rPr>
          <w:rFonts w:hAnsi="Arial"/>
          <w:kern w:val="32"/>
          <w:szCs w:val="36"/>
        </w:rPr>
      </w:pPr>
      <w:r w:rsidRPr="009822AB">
        <w:rPr>
          <w:rFonts w:hAnsi="Arial" w:hint="eastAsia"/>
          <w:kern w:val="32"/>
          <w:szCs w:val="36"/>
        </w:rPr>
        <w:t>經查</w:t>
      </w:r>
      <w:r w:rsidRPr="009822AB">
        <w:rPr>
          <w:rFonts w:hAnsi="Arial"/>
          <w:kern w:val="32"/>
          <w:szCs w:val="36"/>
        </w:rPr>
        <w:t>114年9月18日</w:t>
      </w:r>
      <w:r w:rsidRPr="009822AB">
        <w:rPr>
          <w:rFonts w:hAnsi="Arial" w:hint="eastAsia"/>
          <w:kern w:val="32"/>
          <w:szCs w:val="36"/>
        </w:rPr>
        <w:t>搜索之搜索票聲請書、釋明書、調查筆錄及檢察官訊問筆錄內容，並未涉及本</w:t>
      </w:r>
      <w:r w:rsidR="00541578" w:rsidRPr="009822AB">
        <w:rPr>
          <w:rFonts w:hAnsi="Arial" w:hint="eastAsia"/>
          <w:kern w:val="32"/>
          <w:szCs w:val="36"/>
        </w:rPr>
        <w:t>案</w:t>
      </w:r>
      <w:r w:rsidRPr="009822AB">
        <w:rPr>
          <w:rFonts w:hAnsi="Arial" w:hint="eastAsia"/>
          <w:kern w:val="32"/>
          <w:szCs w:val="36"/>
        </w:rPr>
        <w:t>訴訟之犯罪事實，尚難認定檢調假藉偵查中之強制處分，蒐集法院審理中不利於被告事證等情事。又刑事訴訟法未賦予偵查中之選任辯護人於搜索時之在場權，本件檢察官於執行搜索時，已告知搜索扣押為新犯罪事實為新案，排除涉嫌人委任律師在場，亦難謂有何違失。</w:t>
      </w:r>
    </w:p>
    <w:p w14:paraId="05E5AFB2" w14:textId="3754003D" w:rsidR="00C42BD7" w:rsidRPr="009822AB" w:rsidRDefault="00C42BD7" w:rsidP="00F37CD4">
      <w:pPr>
        <w:numPr>
          <w:ilvl w:val="3"/>
          <w:numId w:val="6"/>
        </w:numPr>
        <w:spacing w:line="450" w:lineRule="exact"/>
        <w:outlineLvl w:val="3"/>
        <w:rPr>
          <w:rFonts w:hAnsi="Arial"/>
          <w:kern w:val="32"/>
          <w:szCs w:val="36"/>
        </w:rPr>
      </w:pPr>
      <w:r w:rsidRPr="009822AB">
        <w:rPr>
          <w:rFonts w:hAnsi="Arial" w:hint="eastAsia"/>
          <w:kern w:val="32"/>
          <w:szCs w:val="36"/>
        </w:rPr>
        <w:t>調查局</w:t>
      </w:r>
      <w:r w:rsidR="00C01FE9" w:rsidRPr="009822AB">
        <w:rPr>
          <w:rFonts w:hAnsi="Arial" w:hint="eastAsia"/>
          <w:kern w:val="32"/>
          <w:szCs w:val="36"/>
        </w:rPr>
        <w:t>雖</w:t>
      </w:r>
      <w:r w:rsidRPr="009822AB">
        <w:rPr>
          <w:rFonts w:hAnsi="Arial" w:hint="eastAsia"/>
          <w:kern w:val="32"/>
          <w:szCs w:val="36"/>
        </w:rPr>
        <w:t>表示</w:t>
      </w:r>
      <w:r w:rsidR="008F32C4" w:rsidRPr="009822AB">
        <w:rPr>
          <w:rFonts w:hAnsi="Arial" w:hint="eastAsia"/>
          <w:kern w:val="32"/>
          <w:szCs w:val="36"/>
        </w:rPr>
        <w:t>「</w:t>
      </w:r>
      <w:r w:rsidRPr="009822AB">
        <w:rPr>
          <w:rFonts w:hAnsi="Arial" w:hint="eastAsia"/>
          <w:kern w:val="32"/>
          <w:szCs w:val="36"/>
        </w:rPr>
        <w:t>系爭搜索扣押</w:t>
      </w:r>
      <w:r w:rsidR="008F32C4" w:rsidRPr="009822AB">
        <w:rPr>
          <w:rFonts w:hAnsi="Arial" w:hint="eastAsia"/>
          <w:kern w:val="32"/>
          <w:szCs w:val="36"/>
        </w:rPr>
        <w:t>」</w:t>
      </w:r>
      <w:r w:rsidRPr="009822AB">
        <w:rPr>
          <w:rFonts w:hAnsi="Arial"/>
          <w:kern w:val="32"/>
          <w:szCs w:val="36"/>
        </w:rPr>
        <w:t>之偵辦範圍即</w:t>
      </w:r>
      <w:r w:rsidRPr="009822AB">
        <w:rPr>
          <w:rFonts w:hAnsi="Arial" w:hint="eastAsia"/>
          <w:kern w:val="32"/>
          <w:szCs w:val="36"/>
        </w:rPr>
        <w:t>「</w:t>
      </w:r>
      <w:r w:rsidRPr="009822AB">
        <w:rPr>
          <w:rFonts w:hAnsi="Arial"/>
          <w:kern w:val="32"/>
          <w:szCs w:val="36"/>
        </w:rPr>
        <w:t>本件他案</w:t>
      </w:r>
      <w:r w:rsidRPr="009822AB">
        <w:rPr>
          <w:rFonts w:hAnsi="Arial" w:hint="eastAsia"/>
          <w:kern w:val="32"/>
          <w:szCs w:val="36"/>
        </w:rPr>
        <w:t>」（即背信案）之</w:t>
      </w:r>
      <w:r w:rsidRPr="009822AB">
        <w:rPr>
          <w:rFonts w:hAnsi="Arial"/>
          <w:kern w:val="32"/>
          <w:szCs w:val="36"/>
        </w:rPr>
        <w:t>偵辦範圍</w:t>
      </w:r>
      <w:r w:rsidR="0048371E" w:rsidRPr="009822AB">
        <w:rPr>
          <w:rFonts w:hAnsi="Arial" w:hint="eastAsia"/>
          <w:kern w:val="32"/>
          <w:szCs w:val="36"/>
        </w:rPr>
        <w:t>，相關搜索扣押之合理性及必要性業由高雄地院審認等語</w:t>
      </w:r>
      <w:r w:rsidR="003D37A0" w:rsidRPr="009822AB">
        <w:rPr>
          <w:rFonts w:hAnsi="Arial" w:hint="eastAsia"/>
          <w:kern w:val="32"/>
          <w:szCs w:val="36"/>
        </w:rPr>
        <w:t>。</w:t>
      </w:r>
      <w:r w:rsidRPr="009822AB">
        <w:rPr>
          <w:rFonts w:hAnsi="Arial" w:hint="eastAsia"/>
          <w:kern w:val="32"/>
          <w:szCs w:val="36"/>
        </w:rPr>
        <w:t>惟</w:t>
      </w:r>
      <w:r w:rsidR="003D37A0" w:rsidRPr="009822AB">
        <w:rPr>
          <w:rFonts w:hAnsi="Arial" w:hint="eastAsia"/>
          <w:kern w:val="32"/>
          <w:szCs w:val="36"/>
        </w:rPr>
        <w:t>查，</w:t>
      </w:r>
      <w:r w:rsidRPr="009822AB">
        <w:rPr>
          <w:rFonts w:hAnsi="Arial" w:hint="eastAsia"/>
          <w:kern w:val="32"/>
          <w:szCs w:val="36"/>
        </w:rPr>
        <w:t>114年9月18日檢調搜索通法寺、百春陽公司及吳</w:t>
      </w:r>
      <w:r w:rsidR="008F32C4" w:rsidRPr="009822AB">
        <w:rPr>
          <w:rFonts w:hAnsi="Arial" w:hint="eastAsia"/>
          <w:kern w:val="32"/>
          <w:szCs w:val="36"/>
        </w:rPr>
        <w:t>○○</w:t>
      </w:r>
      <w:r w:rsidRPr="009822AB">
        <w:rPr>
          <w:rFonts w:hAnsi="Arial" w:hint="eastAsia"/>
          <w:kern w:val="32"/>
          <w:szCs w:val="36"/>
        </w:rPr>
        <w:t>住家，係由南機站</w:t>
      </w:r>
      <w:r w:rsidRPr="009822AB">
        <w:rPr>
          <w:rFonts w:hAnsi="Arial"/>
          <w:kern w:val="32"/>
          <w:szCs w:val="36"/>
        </w:rPr>
        <w:t>於114年9月16日</w:t>
      </w:r>
      <w:r w:rsidR="008F32C4" w:rsidRPr="009822AB">
        <w:rPr>
          <w:rFonts w:hAnsi="Arial" w:hint="eastAsia"/>
          <w:kern w:val="32"/>
          <w:szCs w:val="36"/>
        </w:rPr>
        <w:t>檢附</w:t>
      </w:r>
      <w:r w:rsidRPr="009822AB">
        <w:rPr>
          <w:rFonts w:hAnsi="Arial"/>
          <w:kern w:val="32"/>
          <w:szCs w:val="36"/>
        </w:rPr>
        <w:t>搜索票聲請書，</w:t>
      </w:r>
      <w:r w:rsidRPr="009822AB">
        <w:rPr>
          <w:rFonts w:hAnsi="Arial" w:hint="eastAsia"/>
          <w:kern w:val="32"/>
          <w:szCs w:val="36"/>
        </w:rPr>
        <w:t>報請檢察官許可後，向高雄地院聲請搜索票</w:t>
      </w:r>
      <w:r w:rsidR="003D37A0" w:rsidRPr="009822AB">
        <w:rPr>
          <w:rFonts w:hAnsi="Arial" w:hint="eastAsia"/>
          <w:kern w:val="32"/>
          <w:szCs w:val="36"/>
        </w:rPr>
        <w:t>，</w:t>
      </w:r>
      <w:r w:rsidR="008F32C4" w:rsidRPr="009822AB">
        <w:rPr>
          <w:rFonts w:hAnsi="Arial" w:hint="eastAsia"/>
          <w:kern w:val="32"/>
          <w:szCs w:val="36"/>
        </w:rPr>
        <w:t>搜索票聲請書之案由記載「○○○等涉嫌公益侵占案」</w:t>
      </w:r>
      <w:r w:rsidR="004377E2" w:rsidRPr="009822AB">
        <w:rPr>
          <w:rFonts w:hAnsi="Arial" w:hint="eastAsia"/>
          <w:kern w:val="32"/>
          <w:szCs w:val="36"/>
        </w:rPr>
        <w:t>，但受搜索人卻為背信罪之犯罪嫌疑人吳○○、通法寺（代表人洪○○）及</w:t>
      </w:r>
      <w:r w:rsidR="004377E2" w:rsidRPr="009822AB">
        <w:rPr>
          <w:rFonts w:hAnsi="Arial" w:hint="eastAsia"/>
          <w:kern w:val="32"/>
          <w:szCs w:val="36"/>
        </w:rPr>
        <w:lastRenderedPageBreak/>
        <w:t>第三人百春陽公司（搜索扣押筆錄亦為相同之記載）</w:t>
      </w:r>
      <w:r w:rsidR="008F32C4" w:rsidRPr="009822AB">
        <w:rPr>
          <w:rFonts w:hAnsi="Arial" w:hint="eastAsia"/>
          <w:kern w:val="32"/>
          <w:szCs w:val="36"/>
        </w:rPr>
        <w:t>，釋明書記載之涉嫌內容則包括「本件他案」及「○○○涉嫌公益侵占案」，</w:t>
      </w:r>
      <w:r w:rsidRPr="009822AB">
        <w:rPr>
          <w:rFonts w:hAnsi="Arial" w:hint="eastAsia"/>
          <w:kern w:val="32"/>
          <w:szCs w:val="36"/>
        </w:rPr>
        <w:t>法院核發之搜索票案由</w:t>
      </w:r>
      <w:r w:rsidR="004377E2" w:rsidRPr="009822AB">
        <w:rPr>
          <w:rFonts w:hAnsi="Arial" w:hint="eastAsia"/>
          <w:kern w:val="32"/>
          <w:szCs w:val="36"/>
        </w:rPr>
        <w:t>均</w:t>
      </w:r>
      <w:r w:rsidRPr="009822AB">
        <w:rPr>
          <w:rFonts w:hAnsi="Arial" w:hint="eastAsia"/>
          <w:kern w:val="32"/>
          <w:szCs w:val="36"/>
        </w:rPr>
        <w:t>記載「侵占」</w:t>
      </w:r>
      <w:r w:rsidR="004377E2" w:rsidRPr="009822AB">
        <w:rPr>
          <w:rFonts w:hAnsi="Arial" w:hint="eastAsia"/>
          <w:kern w:val="32"/>
          <w:szCs w:val="36"/>
        </w:rPr>
        <w:t>，</w:t>
      </w:r>
      <w:r w:rsidRPr="009822AB">
        <w:rPr>
          <w:rFonts w:hAnsi="Arial" w:hint="eastAsia"/>
          <w:kern w:val="32"/>
          <w:szCs w:val="36"/>
        </w:rPr>
        <w:t>其後檢調傳訊犯罪嫌疑人及相關證人之案由為「背信」或「侵占」</w:t>
      </w:r>
      <w:r w:rsidRPr="009822AB">
        <w:rPr>
          <w:rFonts w:hAnsi="Arial"/>
          <w:kern w:val="32"/>
          <w:szCs w:val="36"/>
          <w:vertAlign w:val="superscript"/>
        </w:rPr>
        <w:footnoteReference w:id="2"/>
      </w:r>
      <w:r w:rsidR="0048371E" w:rsidRPr="009822AB">
        <w:rPr>
          <w:rFonts w:hAnsi="Arial" w:hint="eastAsia"/>
          <w:kern w:val="32"/>
          <w:szCs w:val="36"/>
        </w:rPr>
        <w:t>。又系爭扣押物</w:t>
      </w:r>
      <w:r w:rsidR="00541578" w:rsidRPr="009822AB">
        <w:rPr>
          <w:rFonts w:hAnsi="Arial" w:hint="eastAsia"/>
          <w:kern w:val="32"/>
          <w:szCs w:val="36"/>
        </w:rPr>
        <w:t>〔</w:t>
      </w:r>
      <w:r w:rsidR="0048371E" w:rsidRPr="009822AB">
        <w:rPr>
          <w:rFonts w:hAnsi="Arial" w:hint="eastAsia"/>
          <w:kern w:val="32"/>
          <w:szCs w:val="36"/>
        </w:rPr>
        <w:t>通法寺現金</w:t>
      </w:r>
      <w:r w:rsidR="00541578" w:rsidRPr="009822AB">
        <w:rPr>
          <w:rFonts w:hint="eastAsia"/>
        </w:rPr>
        <w:t>新臺幣（下同）</w:t>
      </w:r>
      <w:r w:rsidR="0048371E" w:rsidRPr="009822AB">
        <w:rPr>
          <w:rFonts w:hAnsi="Arial" w:hint="eastAsia"/>
          <w:kern w:val="32"/>
          <w:szCs w:val="36"/>
        </w:rPr>
        <w:t>50萬元及NAS硬碟</w:t>
      </w:r>
      <w:r w:rsidR="00541578" w:rsidRPr="009822AB">
        <w:rPr>
          <w:rFonts w:hAnsi="Arial" w:hint="eastAsia"/>
          <w:kern w:val="32"/>
          <w:szCs w:val="36"/>
        </w:rPr>
        <w:t>〕</w:t>
      </w:r>
      <w:r w:rsidR="0048371E" w:rsidRPr="009822AB">
        <w:rPr>
          <w:rFonts w:hAnsi="Arial" w:hint="eastAsia"/>
          <w:kern w:val="32"/>
          <w:szCs w:val="36"/>
        </w:rPr>
        <w:t>與本件他案欠缺關聯性一節，詢據調查局表示，係現場帶隊檢察官認定與釋明書之「○○○涉嫌公益侵占」相關</w:t>
      </w:r>
      <w:r w:rsidR="00E07414" w:rsidRPr="009822AB">
        <w:rPr>
          <w:rFonts w:hAnsi="Arial" w:hint="eastAsia"/>
          <w:kern w:val="32"/>
          <w:szCs w:val="36"/>
        </w:rPr>
        <w:t>，有調查必要</w:t>
      </w:r>
      <w:r w:rsidR="0048371E" w:rsidRPr="009822AB">
        <w:rPr>
          <w:rFonts w:hAnsi="Arial" w:hint="eastAsia"/>
          <w:kern w:val="32"/>
          <w:szCs w:val="36"/>
        </w:rPr>
        <w:t>而指示扣押等語。足認</w:t>
      </w:r>
      <w:r w:rsidR="008F32C4" w:rsidRPr="009822AB">
        <w:rPr>
          <w:rFonts w:hAnsi="Arial" w:hint="eastAsia"/>
          <w:kern w:val="32"/>
          <w:szCs w:val="36"/>
        </w:rPr>
        <w:t>系爭</w:t>
      </w:r>
      <w:r w:rsidRPr="009822AB">
        <w:rPr>
          <w:rFonts w:hAnsi="Arial" w:hint="eastAsia"/>
          <w:kern w:val="32"/>
          <w:szCs w:val="36"/>
        </w:rPr>
        <w:t>搜索</w:t>
      </w:r>
      <w:r w:rsidR="003D37A0" w:rsidRPr="009822AB">
        <w:rPr>
          <w:rFonts w:hAnsi="Arial" w:hint="eastAsia"/>
          <w:kern w:val="32"/>
          <w:szCs w:val="36"/>
        </w:rPr>
        <w:t>、</w:t>
      </w:r>
      <w:r w:rsidRPr="009822AB">
        <w:rPr>
          <w:rFonts w:hAnsi="Arial" w:hint="eastAsia"/>
          <w:kern w:val="32"/>
          <w:szCs w:val="36"/>
        </w:rPr>
        <w:t>扣押</w:t>
      </w:r>
      <w:r w:rsidR="0016349B" w:rsidRPr="009822AB">
        <w:rPr>
          <w:rFonts w:hAnsi="Arial" w:hint="eastAsia"/>
          <w:kern w:val="32"/>
          <w:szCs w:val="36"/>
        </w:rPr>
        <w:t>及</w:t>
      </w:r>
      <w:r w:rsidR="00A44FEA" w:rsidRPr="009822AB">
        <w:rPr>
          <w:rFonts w:hAnsi="Arial" w:hint="eastAsia"/>
          <w:kern w:val="32"/>
          <w:szCs w:val="36"/>
        </w:rPr>
        <w:t>傳</w:t>
      </w:r>
      <w:r w:rsidR="00E07414" w:rsidRPr="009822AB">
        <w:rPr>
          <w:rFonts w:hAnsi="Arial" w:hint="eastAsia"/>
          <w:kern w:val="32"/>
          <w:szCs w:val="36"/>
        </w:rPr>
        <w:t>喚</w:t>
      </w:r>
      <w:r w:rsidR="008F32C4" w:rsidRPr="009822AB">
        <w:rPr>
          <w:rFonts w:hAnsi="Arial" w:hint="eastAsia"/>
          <w:kern w:val="32"/>
          <w:szCs w:val="36"/>
        </w:rPr>
        <w:t>之</w:t>
      </w:r>
      <w:r w:rsidRPr="009822AB">
        <w:rPr>
          <w:rFonts w:hAnsi="Arial" w:hint="eastAsia"/>
          <w:kern w:val="32"/>
          <w:szCs w:val="36"/>
        </w:rPr>
        <w:t>案由，難以對應實際</w:t>
      </w:r>
      <w:r w:rsidR="0016349B" w:rsidRPr="009822AB">
        <w:rPr>
          <w:rFonts w:hAnsi="Arial" w:hint="eastAsia"/>
          <w:kern w:val="32"/>
          <w:szCs w:val="36"/>
        </w:rPr>
        <w:t>偵辦</w:t>
      </w:r>
      <w:r w:rsidRPr="009822AB">
        <w:rPr>
          <w:rFonts w:hAnsi="Arial" w:hint="eastAsia"/>
          <w:kern w:val="32"/>
          <w:szCs w:val="36"/>
        </w:rPr>
        <w:t>之案件</w:t>
      </w:r>
      <w:r w:rsidR="00C01FE9" w:rsidRPr="009822AB">
        <w:rPr>
          <w:rFonts w:hAnsi="Arial" w:hint="eastAsia"/>
          <w:kern w:val="32"/>
          <w:szCs w:val="36"/>
        </w:rPr>
        <w:t>，</w:t>
      </w:r>
      <w:r w:rsidR="006101FF" w:rsidRPr="009822AB">
        <w:rPr>
          <w:rFonts w:hAnsi="Arial" w:hint="eastAsia"/>
          <w:kern w:val="32"/>
          <w:szCs w:val="36"/>
        </w:rPr>
        <w:t>對於</w:t>
      </w:r>
      <w:r w:rsidR="003D37A0" w:rsidRPr="009822AB">
        <w:rPr>
          <w:rFonts w:hAnsi="Arial" w:hint="eastAsia"/>
          <w:kern w:val="32"/>
          <w:szCs w:val="36"/>
        </w:rPr>
        <w:t>相對人</w:t>
      </w:r>
      <w:r w:rsidR="006101FF" w:rsidRPr="009822AB">
        <w:rPr>
          <w:rFonts w:hAnsi="Arial" w:hint="eastAsia"/>
          <w:kern w:val="32"/>
          <w:szCs w:val="36"/>
        </w:rPr>
        <w:t>訴訟上受告知權</w:t>
      </w:r>
      <w:r w:rsidR="004377E2" w:rsidRPr="009822AB">
        <w:rPr>
          <w:rFonts w:hAnsi="Arial" w:hint="eastAsia"/>
          <w:kern w:val="32"/>
          <w:szCs w:val="36"/>
        </w:rPr>
        <w:t>之保護欠周</w:t>
      </w:r>
      <w:r w:rsidRPr="009822AB">
        <w:rPr>
          <w:rFonts w:hAnsi="Arial" w:hint="eastAsia"/>
          <w:kern w:val="32"/>
          <w:szCs w:val="36"/>
        </w:rPr>
        <w:t>，非無檢討之空間。</w:t>
      </w:r>
    </w:p>
    <w:p w14:paraId="5791FD07" w14:textId="68795938" w:rsidR="00C42BD7" w:rsidRPr="009822AB" w:rsidRDefault="00C42BD7" w:rsidP="00F37CD4">
      <w:pPr>
        <w:numPr>
          <w:ilvl w:val="1"/>
          <w:numId w:val="6"/>
        </w:numPr>
        <w:spacing w:line="450" w:lineRule="exact"/>
        <w:outlineLvl w:val="1"/>
        <w:rPr>
          <w:rFonts w:hAnsi="Arial"/>
          <w:b/>
          <w:kern w:val="32"/>
          <w:szCs w:val="48"/>
        </w:rPr>
      </w:pPr>
      <w:r w:rsidRPr="009822AB">
        <w:rPr>
          <w:rFonts w:hAnsi="Arial" w:hint="eastAsia"/>
          <w:b/>
          <w:kern w:val="32"/>
          <w:szCs w:val="48"/>
        </w:rPr>
        <w:t>「本件他案」之被告受</w:t>
      </w:r>
      <w:bookmarkStart w:id="58" w:name="_Hlk232419925"/>
      <w:r w:rsidRPr="009822AB">
        <w:rPr>
          <w:rFonts w:hAnsi="Arial" w:hint="eastAsia"/>
          <w:b/>
          <w:kern w:val="32"/>
          <w:szCs w:val="48"/>
        </w:rPr>
        <w:t>檢調搜索、扣押、傳喚等強制處分</w:t>
      </w:r>
      <w:bookmarkEnd w:id="58"/>
      <w:r w:rsidRPr="009822AB">
        <w:rPr>
          <w:rFonts w:hAnsi="Arial" w:hint="eastAsia"/>
          <w:b/>
          <w:kern w:val="32"/>
          <w:szCs w:val="48"/>
        </w:rPr>
        <w:t>，</w:t>
      </w:r>
      <w:bookmarkStart w:id="59" w:name="_Hlk232426891"/>
      <w:r w:rsidRPr="009822AB">
        <w:rPr>
          <w:rFonts w:hAnsi="Arial" w:hint="eastAsia"/>
          <w:b/>
          <w:kern w:val="32"/>
          <w:szCs w:val="48"/>
        </w:rPr>
        <w:t>高雄地檢署於查無犯罪嫌疑後，未改分「偵」案製作不起訴處分書說明理由，逕予簽結且僅函知</w:t>
      </w:r>
      <w:r w:rsidR="00C01FE9" w:rsidRPr="009822AB">
        <w:rPr>
          <w:rFonts w:hAnsi="Arial" w:hint="eastAsia"/>
          <w:b/>
          <w:kern w:val="32"/>
          <w:szCs w:val="48"/>
        </w:rPr>
        <w:t>被告</w:t>
      </w:r>
      <w:r w:rsidRPr="009822AB">
        <w:rPr>
          <w:rFonts w:hAnsi="Arial" w:hint="eastAsia"/>
          <w:b/>
          <w:kern w:val="32"/>
          <w:szCs w:val="48"/>
        </w:rPr>
        <w:t>「查無犯罪事證」，與「臺灣高等檢察署所屬各地方檢察署及其檢察分署辦理他案應行注意事項」（下稱「辦理他案應行注意事項」），容有未合。</w:t>
      </w:r>
      <w:bookmarkEnd w:id="59"/>
      <w:r w:rsidRPr="009822AB">
        <w:rPr>
          <w:rFonts w:hAnsi="Arial" w:hint="eastAsia"/>
          <w:b/>
          <w:kern w:val="32"/>
          <w:szCs w:val="48"/>
        </w:rPr>
        <w:t>另鑑於行政簽結無實質確定力，檢察機關對於被告業經搜索扣押等強制處分，經調查無犯罪嫌疑者，若仍以</w:t>
      </w:r>
      <w:r w:rsidR="00C01FE9" w:rsidRPr="009822AB">
        <w:rPr>
          <w:rFonts w:hAnsi="Arial" w:hint="eastAsia"/>
          <w:b/>
          <w:kern w:val="32"/>
          <w:szCs w:val="48"/>
        </w:rPr>
        <w:t>「</w:t>
      </w:r>
      <w:r w:rsidRPr="009822AB">
        <w:rPr>
          <w:rFonts w:hAnsi="Arial" w:hint="eastAsia"/>
          <w:b/>
          <w:kern w:val="32"/>
          <w:szCs w:val="48"/>
        </w:rPr>
        <w:t>他</w:t>
      </w:r>
      <w:r w:rsidR="00C01FE9" w:rsidRPr="009822AB">
        <w:rPr>
          <w:rFonts w:hAnsi="Arial" w:hint="eastAsia"/>
          <w:b/>
          <w:kern w:val="32"/>
          <w:szCs w:val="48"/>
        </w:rPr>
        <w:t>」</w:t>
      </w:r>
      <w:r w:rsidRPr="009822AB">
        <w:rPr>
          <w:rFonts w:hAnsi="Arial" w:hint="eastAsia"/>
          <w:b/>
          <w:kern w:val="32"/>
          <w:szCs w:val="48"/>
        </w:rPr>
        <w:t>案</w:t>
      </w:r>
      <w:r w:rsidR="00C01FE9" w:rsidRPr="009822AB">
        <w:rPr>
          <w:rFonts w:hAnsi="Arial" w:hint="eastAsia"/>
          <w:b/>
          <w:kern w:val="32"/>
          <w:szCs w:val="48"/>
        </w:rPr>
        <w:t>行政</w:t>
      </w:r>
      <w:r w:rsidRPr="009822AB">
        <w:rPr>
          <w:rFonts w:hAnsi="Arial" w:hint="eastAsia"/>
          <w:b/>
          <w:kern w:val="32"/>
          <w:szCs w:val="48"/>
        </w:rPr>
        <w:t>簽結，將使其處於隨時被追訴的不安狀態，對其訴訟權利保障顯有不周，</w:t>
      </w:r>
      <w:r w:rsidR="00767E0A" w:rsidRPr="009822AB">
        <w:rPr>
          <w:rFonts w:hAnsi="Arial" w:hint="eastAsia"/>
          <w:b/>
          <w:kern w:val="32"/>
          <w:szCs w:val="48"/>
        </w:rPr>
        <w:t>宜</w:t>
      </w:r>
      <w:r w:rsidRPr="009822AB">
        <w:rPr>
          <w:rFonts w:hAnsi="Arial" w:hint="eastAsia"/>
          <w:b/>
          <w:kern w:val="32"/>
          <w:szCs w:val="48"/>
        </w:rPr>
        <w:t>檢討改進。</w:t>
      </w:r>
    </w:p>
    <w:p w14:paraId="16A4ECAF" w14:textId="69AA7502"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本院於107年12月12日以檢察機關偵查「他」字案件欠缺法源依據等情，提案糾正法務部（本院107</w:t>
      </w:r>
      <w:r w:rsidRPr="009822AB">
        <w:rPr>
          <w:rFonts w:hAnsi="Arial"/>
          <w:bCs/>
          <w:kern w:val="32"/>
          <w:szCs w:val="36"/>
        </w:rPr>
        <w:t>司正</w:t>
      </w:r>
      <w:r w:rsidRPr="009822AB">
        <w:rPr>
          <w:rFonts w:hAnsi="Arial" w:hint="eastAsia"/>
          <w:bCs/>
          <w:kern w:val="32"/>
          <w:szCs w:val="36"/>
        </w:rPr>
        <w:t>8）</w:t>
      </w:r>
      <w:r w:rsidRPr="009822AB">
        <w:rPr>
          <w:rFonts w:hAnsi="Arial"/>
          <w:bCs/>
          <w:kern w:val="32"/>
          <w:szCs w:val="36"/>
          <w:vertAlign w:val="superscript"/>
        </w:rPr>
        <w:footnoteReference w:id="3"/>
      </w:r>
      <w:r w:rsidRPr="009822AB">
        <w:rPr>
          <w:rFonts w:hAnsi="Arial" w:hint="eastAsia"/>
          <w:bCs/>
          <w:kern w:val="32"/>
          <w:szCs w:val="36"/>
        </w:rPr>
        <w:t>。</w:t>
      </w:r>
      <w:r w:rsidRPr="009822AB">
        <w:rPr>
          <w:rFonts w:hAnsi="Arial"/>
          <w:bCs/>
          <w:kern w:val="32"/>
          <w:szCs w:val="36"/>
        </w:rPr>
        <w:t>108年</w:t>
      </w:r>
      <w:r w:rsidR="00BF6A5C" w:rsidRPr="009822AB">
        <w:rPr>
          <w:rFonts w:hAnsi="Arial" w:hint="eastAsia"/>
          <w:bCs/>
          <w:kern w:val="32"/>
          <w:szCs w:val="36"/>
        </w:rPr>
        <w:t>法</w:t>
      </w:r>
      <w:r w:rsidRPr="009822AB">
        <w:rPr>
          <w:rFonts w:hAnsi="Arial"/>
          <w:bCs/>
          <w:kern w:val="32"/>
          <w:szCs w:val="36"/>
        </w:rPr>
        <w:t>司改</w:t>
      </w:r>
      <w:r w:rsidR="00BF6A5C" w:rsidRPr="009822AB">
        <w:rPr>
          <w:rFonts w:hAnsi="Arial" w:hint="eastAsia"/>
          <w:bCs/>
          <w:kern w:val="32"/>
          <w:szCs w:val="36"/>
        </w:rPr>
        <w:t>革</w:t>
      </w:r>
      <w:r w:rsidRPr="009822AB">
        <w:rPr>
          <w:rFonts w:hAnsi="Arial"/>
          <w:bCs/>
          <w:kern w:val="32"/>
          <w:szCs w:val="36"/>
        </w:rPr>
        <w:t>國是會議亦</w:t>
      </w:r>
      <w:r w:rsidRPr="009822AB">
        <w:rPr>
          <w:rFonts w:hAnsi="Arial" w:hint="eastAsia"/>
          <w:bCs/>
          <w:kern w:val="32"/>
          <w:szCs w:val="36"/>
        </w:rPr>
        <w:t>決議：為取得法律</w:t>
      </w:r>
      <w:r w:rsidRPr="009822AB">
        <w:rPr>
          <w:rFonts w:hAnsi="Arial" w:hint="eastAsia"/>
          <w:bCs/>
          <w:kern w:val="32"/>
          <w:szCs w:val="36"/>
        </w:rPr>
        <w:lastRenderedPageBreak/>
        <w:t>授權依據，並避免檢察體系可能濫用於本應依法起訴、不起訴或緩起訴處分結案的案件，行政簽結制度應予以明文化（</w:t>
      </w:r>
      <w:r w:rsidR="00A75238" w:rsidRPr="009822AB">
        <w:rPr>
          <w:rFonts w:hAnsi="Arial" w:hint="eastAsia"/>
          <w:bCs/>
          <w:kern w:val="32"/>
          <w:szCs w:val="36"/>
        </w:rPr>
        <w:t>決議</w:t>
      </w:r>
      <w:r w:rsidRPr="009822AB">
        <w:rPr>
          <w:rFonts w:hAnsi="Arial" w:hint="eastAsia"/>
          <w:bCs/>
          <w:kern w:val="32"/>
          <w:szCs w:val="36"/>
        </w:rPr>
        <w:t>序號第38-6）。相關修法情形，詢據法務部表示，該部已研擬增設「中止偵查」及「逕予終結偵查」制度取代簽結，作為檢察官將案件起訴、不起訴或緩起訴以外之結案方式之一，並於111年11月28日提出刑事訴訟法相關條文修正草案(新增條文第261條之1、第262</w:t>
      </w:r>
      <w:r w:rsidRPr="009822AB">
        <w:rPr>
          <w:rFonts w:hAnsi="Arial"/>
          <w:bCs/>
          <w:kern w:val="32"/>
          <w:szCs w:val="36"/>
        </w:rPr>
        <w:t>條</w:t>
      </w:r>
      <w:r w:rsidRPr="009822AB">
        <w:rPr>
          <w:rFonts w:hAnsi="Arial" w:hint="eastAsia"/>
          <w:bCs/>
          <w:kern w:val="32"/>
          <w:szCs w:val="36"/>
        </w:rPr>
        <w:t>)。該建議草案送司法院後，刻由該院研議中。又修法完成前，</w:t>
      </w:r>
      <w:r w:rsidRPr="009822AB">
        <w:rPr>
          <w:rFonts w:hAnsi="Arial"/>
          <w:bCs/>
          <w:kern w:val="32"/>
          <w:szCs w:val="36"/>
        </w:rPr>
        <w:t>「</w:t>
      </w:r>
      <w:r w:rsidRPr="009822AB">
        <w:rPr>
          <w:rFonts w:hAnsi="Arial" w:hint="eastAsia"/>
          <w:bCs/>
          <w:kern w:val="32"/>
          <w:szCs w:val="36"/>
        </w:rPr>
        <w:t>辦理他案應行注意事項」並未針對現行簽結制度之分案或結案方式進行修正</w:t>
      </w:r>
      <w:r w:rsidR="00767E0A" w:rsidRPr="009822AB">
        <w:rPr>
          <w:rFonts w:hAnsi="Arial" w:hint="eastAsia"/>
          <w:bCs/>
          <w:kern w:val="32"/>
          <w:szCs w:val="36"/>
        </w:rPr>
        <w:t>等語</w:t>
      </w:r>
      <w:r w:rsidRPr="009822AB">
        <w:rPr>
          <w:rFonts w:hAnsi="Arial" w:hint="eastAsia"/>
          <w:bCs/>
          <w:kern w:val="32"/>
          <w:szCs w:val="36"/>
        </w:rPr>
        <w:t>。</w:t>
      </w:r>
    </w:p>
    <w:p w14:paraId="5018A1B5" w14:textId="2E79C28E" w:rsidR="00C42BD7" w:rsidRPr="009822AB" w:rsidRDefault="00767E0A" w:rsidP="00F37CD4">
      <w:pPr>
        <w:numPr>
          <w:ilvl w:val="2"/>
          <w:numId w:val="6"/>
        </w:numPr>
        <w:spacing w:line="450" w:lineRule="exact"/>
        <w:outlineLvl w:val="2"/>
        <w:rPr>
          <w:rFonts w:hAnsi="Arial"/>
          <w:bCs/>
          <w:kern w:val="32"/>
          <w:szCs w:val="36"/>
        </w:rPr>
      </w:pPr>
      <w:r w:rsidRPr="009822AB">
        <w:rPr>
          <w:rFonts w:hAnsi="Arial" w:hint="eastAsia"/>
          <w:bCs/>
          <w:kern w:val="32"/>
          <w:szCs w:val="36"/>
        </w:rPr>
        <w:t>經查，</w:t>
      </w:r>
      <w:r w:rsidR="00C42BD7" w:rsidRPr="009822AB">
        <w:rPr>
          <w:rFonts w:hAnsi="Arial" w:hint="eastAsia"/>
          <w:bCs/>
          <w:kern w:val="32"/>
          <w:szCs w:val="36"/>
        </w:rPr>
        <w:t>本件他案嫌疑人因背信罪</w:t>
      </w:r>
      <w:r w:rsidRPr="009822AB">
        <w:rPr>
          <w:rFonts w:hAnsi="Arial" w:hint="eastAsia"/>
          <w:bCs/>
          <w:kern w:val="32"/>
          <w:szCs w:val="36"/>
        </w:rPr>
        <w:t>於114年9月18日</w:t>
      </w:r>
      <w:r w:rsidR="00C42BD7" w:rsidRPr="009822AB">
        <w:rPr>
          <w:rFonts w:hAnsi="Arial" w:hint="eastAsia"/>
          <w:bCs/>
          <w:kern w:val="32"/>
          <w:szCs w:val="36"/>
        </w:rPr>
        <w:t>受檢調搜索、扣押、傳喚等強制處分，高雄地檢署逕予簽結後，於115</w:t>
      </w:r>
      <w:r w:rsidR="00C42BD7" w:rsidRPr="009822AB">
        <w:rPr>
          <w:rFonts w:hAnsi="Arial"/>
          <w:bCs/>
          <w:kern w:val="32"/>
          <w:szCs w:val="36"/>
        </w:rPr>
        <w:t>年</w:t>
      </w:r>
      <w:r w:rsidR="00C42BD7" w:rsidRPr="009822AB">
        <w:rPr>
          <w:rFonts w:hAnsi="Arial" w:hint="eastAsia"/>
          <w:bCs/>
          <w:kern w:val="32"/>
          <w:szCs w:val="36"/>
        </w:rPr>
        <w:t>1</w:t>
      </w:r>
      <w:r w:rsidR="00C42BD7" w:rsidRPr="009822AB">
        <w:rPr>
          <w:rFonts w:hAnsi="Arial"/>
          <w:bCs/>
          <w:kern w:val="32"/>
          <w:szCs w:val="36"/>
        </w:rPr>
        <w:t>月</w:t>
      </w:r>
      <w:r w:rsidR="00C42BD7" w:rsidRPr="009822AB">
        <w:rPr>
          <w:rFonts w:hAnsi="Arial" w:hint="eastAsia"/>
          <w:bCs/>
          <w:kern w:val="32"/>
          <w:szCs w:val="36"/>
        </w:rPr>
        <w:t>29</w:t>
      </w:r>
      <w:r w:rsidR="00C42BD7" w:rsidRPr="009822AB">
        <w:rPr>
          <w:rFonts w:hAnsi="Arial"/>
          <w:bCs/>
          <w:kern w:val="32"/>
          <w:szCs w:val="36"/>
        </w:rPr>
        <w:t>日函知</w:t>
      </w:r>
      <w:r w:rsidRPr="009822AB">
        <w:rPr>
          <w:rFonts w:hAnsi="Arial" w:hint="eastAsia"/>
          <w:bCs/>
          <w:kern w:val="32"/>
          <w:szCs w:val="36"/>
        </w:rPr>
        <w:t>犯罪嫌疑人</w:t>
      </w:r>
      <w:r w:rsidR="00C42BD7" w:rsidRPr="009822AB">
        <w:rPr>
          <w:rFonts w:hAnsi="Arial"/>
          <w:bCs/>
          <w:kern w:val="32"/>
          <w:szCs w:val="36"/>
        </w:rPr>
        <w:t>吳</w:t>
      </w:r>
      <w:r w:rsidR="00C42BD7" w:rsidRPr="009822AB">
        <w:rPr>
          <w:rFonts w:hAnsi="Arial" w:hint="eastAsia"/>
          <w:bCs/>
          <w:kern w:val="32"/>
          <w:szCs w:val="36"/>
        </w:rPr>
        <w:t>○○、洪○○及辯護律師</w:t>
      </w:r>
      <w:r w:rsidRPr="009822AB">
        <w:rPr>
          <w:rFonts w:hAnsi="Arial" w:hint="eastAsia"/>
          <w:bCs/>
          <w:kern w:val="32"/>
          <w:szCs w:val="36"/>
        </w:rPr>
        <w:t>稱</w:t>
      </w:r>
      <w:r w:rsidR="00C42BD7" w:rsidRPr="009822AB">
        <w:rPr>
          <w:rFonts w:hAnsi="Arial" w:hint="eastAsia"/>
          <w:bCs/>
          <w:kern w:val="32"/>
          <w:szCs w:val="36"/>
        </w:rPr>
        <w:t>本件他案因「查無犯罪事證，已予結案」</w:t>
      </w:r>
      <w:r w:rsidR="00C42BD7" w:rsidRPr="009822AB">
        <w:rPr>
          <w:rFonts w:hAnsi="Arial"/>
          <w:bCs/>
          <w:kern w:val="32"/>
          <w:szCs w:val="36"/>
          <w:vertAlign w:val="superscript"/>
        </w:rPr>
        <w:footnoteReference w:id="4"/>
      </w:r>
      <w:r w:rsidR="00C42BD7" w:rsidRPr="009822AB">
        <w:rPr>
          <w:rFonts w:hAnsi="Arial" w:hint="eastAsia"/>
          <w:bCs/>
          <w:kern w:val="32"/>
          <w:szCs w:val="36"/>
        </w:rPr>
        <w:t>。對此，詢據法務部表示，現行實務有「他」字案、「偵」字案之案號區別，主要是依案件的嫌疑人是否特定、嫌疑事實是否具體而定，與犯罪嫌疑的高低並無直接關係。檢察官對「他」案犯罪嫌疑人命具保、責付、限制住居或聲請法院裁定許可羈押者，應即改分「偵」案辦理，但若為傳喚、拘提、監聽、搜索扣押，查無犯罪嫌疑，亦無「辦理他案應行注意事項」第4點規定應簽分偵案情形，則得予簽結存查。現行簽結制度已然兼顧人權保障與當事人之訴訟權益等語。</w:t>
      </w:r>
    </w:p>
    <w:p w14:paraId="5C007611" w14:textId="2D1EB0B5"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惟依法務部擬具之刑事訴訟法修正草案第261條之1</w:t>
      </w:r>
      <w:r w:rsidRPr="009822AB">
        <w:rPr>
          <w:rFonts w:hAnsi="Arial" w:hint="eastAsia"/>
          <w:bCs/>
          <w:kern w:val="32"/>
          <w:szCs w:val="36"/>
        </w:rPr>
        <w:lastRenderedPageBreak/>
        <w:t>規定，檢察官偵查後認「查無特定人涉有犯罪嫌疑者」，始得中止偵查。該條立法說明</w:t>
      </w:r>
      <w:r w:rsidR="00767E0A" w:rsidRPr="009822AB">
        <w:rPr>
          <w:rFonts w:hAnsi="Arial" w:hint="eastAsia"/>
          <w:bCs/>
          <w:kern w:val="32"/>
          <w:szCs w:val="36"/>
        </w:rPr>
        <w:t>指出：</w:t>
      </w:r>
      <w:r w:rsidRPr="009822AB">
        <w:rPr>
          <w:rFonts w:hAnsi="Arial" w:hint="eastAsia"/>
          <w:bCs/>
          <w:kern w:val="32"/>
          <w:szCs w:val="36"/>
        </w:rPr>
        <w:t>「……案件極盡偵查之能事，仍無法判明特定人涉有特定犯罪事實者，無從續行訴追程序。針對此類有犯罪存在之嫌，然因偵查障礙未能查有特定人涉有犯罪者，過去實務上以簽報暫結之方式解決案件久懸未結之問題……」。又「辦理他案應行注意事項」第10</w:t>
      </w:r>
      <w:r w:rsidRPr="009822AB">
        <w:rPr>
          <w:rFonts w:hAnsi="Arial"/>
          <w:bCs/>
          <w:kern w:val="32"/>
          <w:szCs w:val="36"/>
        </w:rPr>
        <w:t>點</w:t>
      </w:r>
      <w:r w:rsidRPr="009822AB">
        <w:rPr>
          <w:rFonts w:hAnsi="Arial" w:hint="eastAsia"/>
          <w:bCs/>
          <w:kern w:val="32"/>
          <w:szCs w:val="36"/>
        </w:rPr>
        <w:t>亦</w:t>
      </w:r>
      <w:r w:rsidRPr="009822AB">
        <w:rPr>
          <w:rFonts w:hAnsi="Arial"/>
          <w:bCs/>
          <w:kern w:val="32"/>
          <w:szCs w:val="36"/>
        </w:rPr>
        <w:t>規定</w:t>
      </w:r>
      <w:r w:rsidRPr="009822AB">
        <w:rPr>
          <w:rFonts w:hAnsi="Arial" w:hint="eastAsia"/>
          <w:bCs/>
          <w:kern w:val="32"/>
          <w:szCs w:val="36"/>
        </w:rPr>
        <w:t>，「他」字案除依第3</w:t>
      </w:r>
      <w:r w:rsidRPr="009822AB">
        <w:rPr>
          <w:rFonts w:hAnsi="Arial"/>
          <w:bCs/>
          <w:kern w:val="32"/>
          <w:szCs w:val="36"/>
        </w:rPr>
        <w:t>點</w:t>
      </w:r>
      <w:r w:rsidR="00767E0A" w:rsidRPr="009822AB">
        <w:rPr>
          <w:rFonts w:hAnsi="Arial"/>
          <w:bCs/>
          <w:kern w:val="32"/>
          <w:szCs w:val="36"/>
          <w:vertAlign w:val="superscript"/>
        </w:rPr>
        <w:footnoteReference w:id="5"/>
      </w:r>
      <w:r w:rsidRPr="009822AB">
        <w:rPr>
          <w:rFonts w:hAnsi="Arial"/>
          <w:bCs/>
          <w:kern w:val="32"/>
          <w:szCs w:val="36"/>
        </w:rPr>
        <w:t>（</w:t>
      </w:r>
      <w:r w:rsidRPr="009822AB">
        <w:rPr>
          <w:rFonts w:hAnsi="Arial" w:hint="eastAsia"/>
          <w:bCs/>
          <w:kern w:val="32"/>
          <w:szCs w:val="36"/>
        </w:rPr>
        <w:t>修正草案第262</w:t>
      </w:r>
      <w:r w:rsidRPr="009822AB">
        <w:rPr>
          <w:rFonts w:hAnsi="Arial"/>
          <w:bCs/>
          <w:kern w:val="32"/>
          <w:szCs w:val="36"/>
        </w:rPr>
        <w:t>條</w:t>
      </w:r>
      <w:r w:rsidR="00767E0A" w:rsidRPr="009822AB">
        <w:rPr>
          <w:rFonts w:hAnsi="Arial" w:hint="eastAsia"/>
          <w:bCs/>
          <w:kern w:val="32"/>
          <w:szCs w:val="36"/>
        </w:rPr>
        <w:t>「</w:t>
      </w:r>
      <w:r w:rsidRPr="009822AB">
        <w:rPr>
          <w:rFonts w:hAnsi="Arial" w:hint="eastAsia"/>
          <w:bCs/>
          <w:kern w:val="32"/>
          <w:szCs w:val="36"/>
        </w:rPr>
        <w:t>逕予終結偵查</w:t>
      </w:r>
      <w:r w:rsidR="00767E0A" w:rsidRPr="009822AB">
        <w:rPr>
          <w:rFonts w:hAnsi="Arial" w:hint="eastAsia"/>
          <w:bCs/>
          <w:kern w:val="32"/>
          <w:szCs w:val="36"/>
        </w:rPr>
        <w:t>」與之</w:t>
      </w:r>
      <w:r w:rsidRPr="009822AB">
        <w:rPr>
          <w:rFonts w:hAnsi="Arial" w:hint="eastAsia"/>
          <w:bCs/>
          <w:kern w:val="32"/>
          <w:szCs w:val="36"/>
        </w:rPr>
        <w:t>略</w:t>
      </w:r>
      <w:r w:rsidRPr="009822AB">
        <w:rPr>
          <w:rFonts w:hAnsi="Arial"/>
          <w:bCs/>
          <w:kern w:val="32"/>
          <w:szCs w:val="36"/>
        </w:rPr>
        <w:t>同）</w:t>
      </w:r>
      <w:r w:rsidR="006101FF" w:rsidRPr="009822AB">
        <w:rPr>
          <w:rFonts w:hAnsi="Arial" w:hint="eastAsia"/>
          <w:bCs/>
          <w:kern w:val="32"/>
          <w:szCs w:val="36"/>
        </w:rPr>
        <w:t>簽請報結外</w:t>
      </w:r>
      <w:r w:rsidRPr="009822AB">
        <w:rPr>
          <w:rFonts w:hAnsi="Arial" w:hint="eastAsia"/>
          <w:bCs/>
          <w:kern w:val="32"/>
          <w:szCs w:val="36"/>
        </w:rPr>
        <w:t>，限於「尚無特定人涉有犯罪嫌疑」，始得簽請報結，並應依第11</w:t>
      </w:r>
      <w:r w:rsidRPr="009822AB">
        <w:rPr>
          <w:rFonts w:hAnsi="Arial"/>
          <w:bCs/>
          <w:kern w:val="32"/>
          <w:szCs w:val="36"/>
        </w:rPr>
        <w:t>點規定，</w:t>
      </w:r>
      <w:r w:rsidRPr="009822AB">
        <w:rPr>
          <w:rFonts w:hAnsi="Arial" w:hint="eastAsia"/>
          <w:bCs/>
          <w:kern w:val="32"/>
          <w:szCs w:val="36"/>
        </w:rPr>
        <w:t>將法律上之原因通知犯罪嫌疑人及其選任辯護人等人，不得用「本案簽結」作復。</w:t>
      </w:r>
    </w:p>
    <w:p w14:paraId="18BE57CC" w14:textId="27D5DA52"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經查，「本件他案」係高雄地檢署檢察官於114</w:t>
      </w:r>
      <w:r w:rsidRPr="009822AB">
        <w:rPr>
          <w:rFonts w:hAnsi="Arial"/>
          <w:bCs/>
          <w:kern w:val="32"/>
          <w:szCs w:val="36"/>
        </w:rPr>
        <w:t>年</w:t>
      </w:r>
      <w:r w:rsidRPr="009822AB">
        <w:rPr>
          <w:rFonts w:hAnsi="Arial" w:hint="eastAsia"/>
          <w:bCs/>
          <w:kern w:val="32"/>
          <w:szCs w:val="36"/>
        </w:rPr>
        <w:t>8</w:t>
      </w:r>
      <w:r w:rsidRPr="009822AB">
        <w:rPr>
          <w:rFonts w:hAnsi="Arial"/>
          <w:bCs/>
          <w:kern w:val="32"/>
          <w:szCs w:val="36"/>
        </w:rPr>
        <w:t>月</w:t>
      </w:r>
      <w:r w:rsidRPr="009822AB">
        <w:rPr>
          <w:rFonts w:hAnsi="Arial" w:hint="eastAsia"/>
          <w:bCs/>
          <w:kern w:val="32"/>
          <w:szCs w:val="36"/>
        </w:rPr>
        <w:t>21</w:t>
      </w:r>
      <w:r w:rsidRPr="009822AB">
        <w:rPr>
          <w:rFonts w:hAnsi="Arial"/>
          <w:bCs/>
          <w:kern w:val="32"/>
          <w:szCs w:val="36"/>
        </w:rPr>
        <w:t>日</w:t>
      </w:r>
      <w:r w:rsidRPr="009822AB">
        <w:rPr>
          <w:rFonts w:hAnsi="Arial" w:hint="eastAsia"/>
          <w:bCs/>
          <w:kern w:val="32"/>
          <w:szCs w:val="36"/>
        </w:rPr>
        <w:t>主動簽分，其簽分之理由略以：吳○○將百春陽公司土地售予洪○○，僅獲利4千餘萬元，較原計劃興建住宅預估獲利短少約5</w:t>
      </w:r>
      <w:r w:rsidRPr="009822AB">
        <w:rPr>
          <w:rFonts w:hAnsi="Arial"/>
          <w:bCs/>
          <w:kern w:val="32"/>
          <w:szCs w:val="36"/>
        </w:rPr>
        <w:t>千</w:t>
      </w:r>
      <w:r w:rsidRPr="009822AB">
        <w:rPr>
          <w:rFonts w:hAnsi="Arial" w:hint="eastAsia"/>
          <w:bCs/>
          <w:kern w:val="32"/>
          <w:szCs w:val="36"/>
        </w:rPr>
        <w:t>餘萬元，涉有背信罪嫌；嗣檢察官於115</w:t>
      </w:r>
      <w:r w:rsidRPr="009822AB">
        <w:rPr>
          <w:rFonts w:hAnsi="Arial"/>
          <w:bCs/>
          <w:kern w:val="32"/>
          <w:szCs w:val="36"/>
        </w:rPr>
        <w:t>年</w:t>
      </w:r>
      <w:r w:rsidRPr="009822AB">
        <w:rPr>
          <w:rFonts w:hAnsi="Arial" w:hint="eastAsia"/>
          <w:bCs/>
          <w:kern w:val="32"/>
          <w:szCs w:val="36"/>
        </w:rPr>
        <w:t>1</w:t>
      </w:r>
      <w:r w:rsidRPr="009822AB">
        <w:rPr>
          <w:rFonts w:hAnsi="Arial"/>
          <w:bCs/>
          <w:kern w:val="32"/>
          <w:szCs w:val="36"/>
        </w:rPr>
        <w:t>月</w:t>
      </w:r>
      <w:r w:rsidRPr="009822AB">
        <w:rPr>
          <w:rFonts w:hAnsi="Arial" w:hint="eastAsia"/>
          <w:bCs/>
          <w:kern w:val="32"/>
          <w:szCs w:val="36"/>
        </w:rPr>
        <w:t>4</w:t>
      </w:r>
      <w:r w:rsidRPr="009822AB">
        <w:rPr>
          <w:rFonts w:hAnsi="Arial"/>
          <w:bCs/>
          <w:kern w:val="32"/>
          <w:szCs w:val="36"/>
        </w:rPr>
        <w:t>日</w:t>
      </w:r>
      <w:r w:rsidRPr="009822AB">
        <w:rPr>
          <w:rFonts w:hAnsi="Arial" w:hint="eastAsia"/>
          <w:bCs/>
          <w:kern w:val="32"/>
          <w:szCs w:val="36"/>
        </w:rPr>
        <w:t>簽請報結之理由略以：百春陽公司決定將土地轉售與洪○○，係經公司内部召集之董監事會議決議通過，且建案興建過程與事後銷售，均存有高度不確定因素，從而認定被告吳○○未有違反善良管理人注意義務或違背商業判斷法則，致使百春陽公司受有損害等語。足認該案經檢察官調查，已確認特定人無犯罪嫌疑，不但無涉「辦理他案應行注意事項」第3</w:t>
      </w:r>
      <w:r w:rsidRPr="009822AB">
        <w:rPr>
          <w:rFonts w:hAnsi="Arial"/>
          <w:bCs/>
          <w:kern w:val="32"/>
          <w:szCs w:val="36"/>
        </w:rPr>
        <w:t>點</w:t>
      </w:r>
      <w:r w:rsidRPr="009822AB">
        <w:rPr>
          <w:rFonts w:hAnsi="Arial" w:hint="eastAsia"/>
          <w:bCs/>
          <w:kern w:val="32"/>
          <w:szCs w:val="36"/>
        </w:rPr>
        <w:t>（或修正草案第262</w:t>
      </w:r>
      <w:r w:rsidRPr="009822AB">
        <w:rPr>
          <w:rFonts w:hAnsi="Arial"/>
          <w:bCs/>
          <w:kern w:val="32"/>
          <w:szCs w:val="36"/>
        </w:rPr>
        <w:t>條</w:t>
      </w:r>
      <w:r w:rsidRPr="009822AB">
        <w:rPr>
          <w:rFonts w:hAnsi="Arial" w:hint="eastAsia"/>
          <w:bCs/>
          <w:kern w:val="32"/>
          <w:szCs w:val="36"/>
        </w:rPr>
        <w:t>）得逕行簽請報結之情形，亦不符合「辦理他案應行注意事項」第10點（或修正草案第261</w:t>
      </w:r>
      <w:r w:rsidRPr="009822AB">
        <w:rPr>
          <w:rFonts w:hAnsi="Arial"/>
          <w:bCs/>
          <w:kern w:val="32"/>
          <w:szCs w:val="36"/>
        </w:rPr>
        <w:lastRenderedPageBreak/>
        <w:t>條之</w:t>
      </w:r>
      <w:r w:rsidRPr="009822AB">
        <w:rPr>
          <w:rFonts w:hAnsi="Arial" w:hint="eastAsia"/>
          <w:bCs/>
          <w:kern w:val="32"/>
          <w:szCs w:val="36"/>
        </w:rPr>
        <w:t>1）「無特定人涉有犯罪嫌疑」之規定。本件他案既經檢察官指揮南機站對犯罪嫌疑人實施搜索、扣押、傳喚等強制處分，調查後又已確認被告無犯罪嫌疑，自宜改分「偵」案，以製作不起訴處分書說明理由之法定偵查終結方式為之，然高雄地檢署未改分「偵」案，逕予</w:t>
      </w:r>
      <w:r w:rsidR="00767E0A" w:rsidRPr="009822AB">
        <w:rPr>
          <w:rFonts w:hAnsi="Arial" w:hint="eastAsia"/>
          <w:bCs/>
          <w:kern w:val="32"/>
          <w:szCs w:val="36"/>
        </w:rPr>
        <w:t>行政</w:t>
      </w:r>
      <w:r w:rsidRPr="009822AB">
        <w:rPr>
          <w:rFonts w:hAnsi="Arial" w:hint="eastAsia"/>
          <w:bCs/>
          <w:kern w:val="32"/>
          <w:szCs w:val="36"/>
        </w:rPr>
        <w:t>簽結，僅函知被告「</w:t>
      </w:r>
      <w:r w:rsidR="006C157B" w:rsidRPr="009822AB">
        <w:rPr>
          <w:rFonts w:hAnsi="Arial"/>
          <w:bCs/>
          <w:kern w:val="32"/>
          <w:szCs w:val="36"/>
        </w:rPr>
        <w:t>本署114年度他字第5510號案，因查無犯罪事證，已予結案</w:t>
      </w:r>
      <w:r w:rsidRPr="009822AB">
        <w:rPr>
          <w:rFonts w:hAnsi="Arial" w:hint="eastAsia"/>
          <w:bCs/>
          <w:kern w:val="32"/>
          <w:szCs w:val="36"/>
        </w:rPr>
        <w:t>」，</w:t>
      </w:r>
      <w:r w:rsidR="00E07414" w:rsidRPr="009822AB">
        <w:rPr>
          <w:rFonts w:hAnsi="Arial" w:hint="eastAsia"/>
          <w:bCs/>
          <w:kern w:val="32"/>
          <w:szCs w:val="36"/>
        </w:rPr>
        <w:t>難謂</w:t>
      </w:r>
      <w:r w:rsidR="00615F9F" w:rsidRPr="009822AB">
        <w:rPr>
          <w:rFonts w:hAnsi="Arial" w:hint="eastAsia"/>
          <w:bCs/>
          <w:kern w:val="32"/>
          <w:szCs w:val="36"/>
        </w:rPr>
        <w:t>已</w:t>
      </w:r>
      <w:r w:rsidR="00E07414" w:rsidRPr="009822AB">
        <w:rPr>
          <w:rFonts w:hAnsi="Arial" w:hint="eastAsia"/>
          <w:bCs/>
          <w:kern w:val="32"/>
          <w:szCs w:val="36"/>
        </w:rPr>
        <w:t>善盡</w:t>
      </w:r>
      <w:r w:rsidR="006C157B" w:rsidRPr="009822AB">
        <w:rPr>
          <w:rFonts w:hAnsi="Arial" w:hint="eastAsia"/>
          <w:bCs/>
          <w:kern w:val="32"/>
          <w:szCs w:val="36"/>
        </w:rPr>
        <w:t>訴訟</w:t>
      </w:r>
      <w:r w:rsidR="00A9339D" w:rsidRPr="009822AB">
        <w:rPr>
          <w:rFonts w:hAnsi="Arial" w:hint="eastAsia"/>
          <w:bCs/>
          <w:kern w:val="32"/>
          <w:szCs w:val="36"/>
        </w:rPr>
        <w:t>上告知</w:t>
      </w:r>
      <w:r w:rsidR="00E07414" w:rsidRPr="009822AB">
        <w:rPr>
          <w:rFonts w:hAnsi="Arial" w:hint="eastAsia"/>
          <w:bCs/>
          <w:kern w:val="32"/>
          <w:szCs w:val="36"/>
        </w:rPr>
        <w:t>義務</w:t>
      </w:r>
      <w:r w:rsidRPr="009822AB">
        <w:rPr>
          <w:rFonts w:hAnsi="Arial" w:hint="eastAsia"/>
          <w:bCs/>
          <w:kern w:val="32"/>
          <w:szCs w:val="36"/>
        </w:rPr>
        <w:t>。</w:t>
      </w:r>
    </w:p>
    <w:p w14:paraId="593AFCFB" w14:textId="5C9B2666" w:rsidR="00C42BD7" w:rsidRPr="009822AB" w:rsidRDefault="00C42BD7" w:rsidP="00F37CD4">
      <w:pPr>
        <w:numPr>
          <w:ilvl w:val="2"/>
          <w:numId w:val="6"/>
        </w:numPr>
        <w:spacing w:line="450" w:lineRule="exact"/>
        <w:outlineLvl w:val="2"/>
        <w:rPr>
          <w:rFonts w:hAnsi="Arial"/>
          <w:bCs/>
          <w:kern w:val="32"/>
          <w:szCs w:val="36"/>
        </w:rPr>
      </w:pPr>
      <w:r w:rsidRPr="009822AB">
        <w:rPr>
          <w:rFonts w:hAnsi="Arial"/>
          <w:bCs/>
          <w:kern w:val="32"/>
          <w:szCs w:val="36"/>
        </w:rPr>
        <w:t>又</w:t>
      </w:r>
      <w:r w:rsidRPr="009822AB">
        <w:rPr>
          <w:rFonts w:hAnsi="Arial" w:hint="eastAsia"/>
          <w:bCs/>
          <w:kern w:val="32"/>
          <w:szCs w:val="36"/>
        </w:rPr>
        <w:t>「辦理他案應行注意事項」第4</w:t>
      </w:r>
      <w:r w:rsidRPr="009822AB">
        <w:rPr>
          <w:rFonts w:hAnsi="Arial"/>
          <w:bCs/>
          <w:kern w:val="32"/>
          <w:szCs w:val="36"/>
        </w:rPr>
        <w:t>點第</w:t>
      </w:r>
      <w:r w:rsidRPr="009822AB">
        <w:rPr>
          <w:rFonts w:hAnsi="Arial" w:hint="eastAsia"/>
          <w:bCs/>
          <w:kern w:val="32"/>
          <w:szCs w:val="36"/>
        </w:rPr>
        <w:t>4</w:t>
      </w:r>
      <w:r w:rsidRPr="009822AB">
        <w:rPr>
          <w:rFonts w:hAnsi="Arial"/>
          <w:bCs/>
          <w:kern w:val="32"/>
          <w:szCs w:val="36"/>
        </w:rPr>
        <w:t>款</w:t>
      </w:r>
      <w:r w:rsidR="00A9339D" w:rsidRPr="009822AB">
        <w:rPr>
          <w:rFonts w:hAnsi="Arial" w:hint="eastAsia"/>
          <w:bCs/>
          <w:kern w:val="32"/>
          <w:szCs w:val="36"/>
        </w:rPr>
        <w:t>雖規定</w:t>
      </w:r>
      <w:r w:rsidR="00615F9F" w:rsidRPr="009822AB">
        <w:rPr>
          <w:rFonts w:hAnsi="Arial" w:hint="eastAsia"/>
          <w:bCs/>
          <w:kern w:val="32"/>
          <w:szCs w:val="36"/>
        </w:rPr>
        <w:t>對於犯罪嫌疑人命</w:t>
      </w:r>
      <w:r w:rsidRPr="009822AB">
        <w:rPr>
          <w:rFonts w:hAnsi="Arial" w:hint="eastAsia"/>
          <w:bCs/>
          <w:kern w:val="32"/>
          <w:szCs w:val="36"/>
        </w:rPr>
        <w:t>具保、責付、限制住居或聲請法院裁定許可羈押</w:t>
      </w:r>
      <w:r w:rsidR="00A9339D" w:rsidRPr="009822AB">
        <w:rPr>
          <w:rFonts w:hAnsi="Arial" w:hint="eastAsia"/>
          <w:bCs/>
          <w:kern w:val="32"/>
          <w:szCs w:val="36"/>
        </w:rPr>
        <w:t>等對人之強制處分，</w:t>
      </w:r>
      <w:r w:rsidR="00767E0A" w:rsidRPr="009822AB">
        <w:rPr>
          <w:rFonts w:hAnsi="Arial" w:hint="eastAsia"/>
          <w:bCs/>
          <w:kern w:val="32"/>
          <w:szCs w:val="36"/>
        </w:rPr>
        <w:t>應改分「偵」案</w:t>
      </w:r>
      <w:r w:rsidR="00A9339D" w:rsidRPr="009822AB">
        <w:rPr>
          <w:rFonts w:hAnsi="Arial" w:hint="eastAsia"/>
          <w:bCs/>
          <w:kern w:val="32"/>
          <w:szCs w:val="36"/>
        </w:rPr>
        <w:t>。惟</w:t>
      </w:r>
      <w:r w:rsidRPr="009822AB">
        <w:rPr>
          <w:rFonts w:hAnsi="Arial" w:hint="eastAsia"/>
          <w:bCs/>
          <w:kern w:val="32"/>
          <w:szCs w:val="36"/>
        </w:rPr>
        <w:t>搜索、扣押等強制處分亦屬對</w:t>
      </w:r>
      <w:r w:rsidR="00A9339D" w:rsidRPr="009822AB">
        <w:rPr>
          <w:rFonts w:hAnsi="Arial" w:hint="eastAsia"/>
          <w:bCs/>
          <w:kern w:val="32"/>
          <w:szCs w:val="36"/>
        </w:rPr>
        <w:t>人民隱私權、財產權及居住自由等基本</w:t>
      </w:r>
      <w:r w:rsidRPr="009822AB">
        <w:rPr>
          <w:rFonts w:hAnsi="Arial" w:hint="eastAsia"/>
          <w:bCs/>
          <w:kern w:val="32"/>
          <w:szCs w:val="36"/>
        </w:rPr>
        <w:t>權利</w:t>
      </w:r>
      <w:r w:rsidR="00A9339D" w:rsidRPr="009822AB">
        <w:rPr>
          <w:rFonts w:hAnsi="Arial" w:hint="eastAsia"/>
          <w:bCs/>
          <w:kern w:val="32"/>
          <w:szCs w:val="36"/>
        </w:rPr>
        <w:t>之</w:t>
      </w:r>
      <w:r w:rsidRPr="009822AB">
        <w:rPr>
          <w:rFonts w:hAnsi="Arial" w:hint="eastAsia"/>
          <w:bCs/>
          <w:kern w:val="32"/>
          <w:szCs w:val="36"/>
        </w:rPr>
        <w:t>重大限制，且「他」案簽結並不具備如同不起訴處分之實質確定力，嗣後檢察官可隨時重啟偵查，</w:t>
      </w:r>
      <w:r w:rsidR="00A9339D" w:rsidRPr="009822AB">
        <w:rPr>
          <w:rFonts w:hAnsi="Arial" w:hint="eastAsia"/>
          <w:bCs/>
          <w:kern w:val="32"/>
          <w:szCs w:val="36"/>
        </w:rPr>
        <w:t>被告或犯罪嫌疑人</w:t>
      </w:r>
      <w:r w:rsidRPr="009822AB">
        <w:rPr>
          <w:rFonts w:hAnsi="Arial" w:hint="eastAsia"/>
          <w:bCs/>
          <w:kern w:val="32"/>
          <w:szCs w:val="36"/>
        </w:rPr>
        <w:t>處於隨時被追訴的不確定狀態，法務部有必要審酌</w:t>
      </w:r>
      <w:r w:rsidR="00A9339D" w:rsidRPr="009822AB">
        <w:rPr>
          <w:rFonts w:hAnsi="Arial" w:hint="eastAsia"/>
          <w:bCs/>
          <w:kern w:val="32"/>
          <w:szCs w:val="36"/>
        </w:rPr>
        <w:t>人民</w:t>
      </w:r>
      <w:r w:rsidRPr="009822AB">
        <w:rPr>
          <w:rFonts w:hAnsi="Arial" w:hint="eastAsia"/>
          <w:bCs/>
          <w:kern w:val="32"/>
          <w:szCs w:val="36"/>
        </w:rPr>
        <w:t>訴訟權利保障及偵查權適正行使，妥適劃分逕以「他」案簽結之</w:t>
      </w:r>
      <w:r w:rsidR="00615F9F" w:rsidRPr="009822AB">
        <w:rPr>
          <w:rFonts w:hAnsi="Arial" w:hint="eastAsia"/>
          <w:bCs/>
          <w:kern w:val="32"/>
          <w:szCs w:val="36"/>
        </w:rPr>
        <w:t>案件</w:t>
      </w:r>
      <w:r w:rsidRPr="009822AB">
        <w:rPr>
          <w:rFonts w:hAnsi="Arial" w:hint="eastAsia"/>
          <w:bCs/>
          <w:kern w:val="32"/>
          <w:szCs w:val="36"/>
        </w:rPr>
        <w:t>範疇。</w:t>
      </w:r>
    </w:p>
    <w:p w14:paraId="47081B26" w14:textId="33B9DF77" w:rsidR="00C42BD7" w:rsidRPr="009822AB" w:rsidRDefault="00C42BD7" w:rsidP="00F37CD4">
      <w:pPr>
        <w:numPr>
          <w:ilvl w:val="1"/>
          <w:numId w:val="6"/>
        </w:numPr>
        <w:spacing w:line="450" w:lineRule="exact"/>
        <w:outlineLvl w:val="1"/>
        <w:rPr>
          <w:rFonts w:hAnsi="Arial"/>
          <w:b/>
          <w:kern w:val="32"/>
          <w:szCs w:val="48"/>
        </w:rPr>
      </w:pPr>
      <w:r w:rsidRPr="009822AB">
        <w:rPr>
          <w:rFonts w:hAnsi="Arial" w:hint="eastAsia"/>
          <w:b/>
          <w:kern w:val="32"/>
          <w:szCs w:val="48"/>
        </w:rPr>
        <w:t>有關檢調於114年9月18日搜索、扣押及傳訊相關人員之偵辦內容是否逾越必要範圍，因涉及偵查中案件，尚非本院調查權</w:t>
      </w:r>
      <w:r w:rsidR="00A9339D" w:rsidRPr="009822AB">
        <w:rPr>
          <w:rFonts w:hAnsi="Arial" w:hint="eastAsia"/>
          <w:b/>
          <w:kern w:val="32"/>
          <w:szCs w:val="48"/>
        </w:rPr>
        <w:t>行使</w:t>
      </w:r>
      <w:r w:rsidRPr="009822AB">
        <w:rPr>
          <w:rFonts w:hAnsi="Arial" w:hint="eastAsia"/>
          <w:b/>
          <w:kern w:val="32"/>
          <w:szCs w:val="48"/>
        </w:rPr>
        <w:t>範圍。又陳訴人指訴其羈押禁見期間，遭</w:t>
      </w:r>
      <w:r w:rsidR="002808D2" w:rsidRPr="009822AB">
        <w:rPr>
          <w:rFonts w:hAnsi="Arial" w:hint="eastAsia"/>
          <w:b/>
          <w:kern w:val="32"/>
          <w:szCs w:val="48"/>
        </w:rPr>
        <w:t>法務部矯正署</w:t>
      </w:r>
      <w:r w:rsidRPr="009822AB">
        <w:rPr>
          <w:rFonts w:hAnsi="Arial" w:hint="eastAsia"/>
          <w:b/>
          <w:kern w:val="32"/>
          <w:szCs w:val="48"/>
        </w:rPr>
        <w:t>高雄看守所不當對待等情，尚乏具體事證可資證明。</w:t>
      </w:r>
    </w:p>
    <w:p w14:paraId="1D066536" w14:textId="1C324097"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陳訴人雖指稱，檢察官為蒐集本件訴訟不利於被告之事證（藏匿現金），於</w:t>
      </w:r>
      <w:r w:rsidRPr="009822AB">
        <w:rPr>
          <w:rFonts w:hAnsi="Arial"/>
          <w:bCs/>
          <w:kern w:val="32"/>
          <w:szCs w:val="36"/>
        </w:rPr>
        <w:t>114年9月18日動員約30多名調查局、警方人員突襲通法寺實施搜索、扣押時，</w:t>
      </w:r>
      <w:r w:rsidRPr="009822AB">
        <w:rPr>
          <w:rFonts w:hAnsi="Arial" w:hint="eastAsia"/>
          <w:bCs/>
          <w:kern w:val="32"/>
          <w:szCs w:val="36"/>
        </w:rPr>
        <w:t>指揮執行人員打開並翻找通法寺受信眾委託保管放置先人遺骸之骨灰罐，逾越本件他案背信罪之搜索範圍。又被告於羈押禁見期間，遭</w:t>
      </w:r>
      <w:r w:rsidR="002808D2" w:rsidRPr="009822AB">
        <w:rPr>
          <w:rFonts w:hAnsi="Arial" w:hint="eastAsia"/>
          <w:bCs/>
          <w:kern w:val="32"/>
          <w:szCs w:val="48"/>
        </w:rPr>
        <w:t>法務部矯正署高雄看守所</w:t>
      </w:r>
      <w:r w:rsidR="002808D2" w:rsidRPr="009822AB">
        <w:rPr>
          <w:rFonts w:hAnsi="Arial" w:hint="eastAsia"/>
          <w:bCs/>
          <w:kern w:val="32"/>
          <w:szCs w:val="36"/>
        </w:rPr>
        <w:t>（下稱</w:t>
      </w:r>
      <w:r w:rsidR="002808D2" w:rsidRPr="009822AB">
        <w:rPr>
          <w:rFonts w:hAnsi="Arial" w:hint="eastAsia"/>
          <w:bCs/>
          <w:kern w:val="32"/>
          <w:szCs w:val="48"/>
        </w:rPr>
        <w:t>高雄看守所</w:t>
      </w:r>
      <w:r w:rsidR="002808D2" w:rsidRPr="009822AB">
        <w:rPr>
          <w:rFonts w:hAnsi="Arial" w:hint="eastAsia"/>
          <w:bCs/>
          <w:kern w:val="32"/>
          <w:szCs w:val="36"/>
        </w:rPr>
        <w:t>）</w:t>
      </w:r>
      <w:r w:rsidRPr="009822AB">
        <w:rPr>
          <w:rFonts w:hAnsi="Arial" w:hint="eastAsia"/>
          <w:bCs/>
          <w:kern w:val="32"/>
          <w:szCs w:val="36"/>
        </w:rPr>
        <w:t>獄警呂○○、賴○</w:t>
      </w:r>
      <w:r w:rsidRPr="009822AB">
        <w:rPr>
          <w:rFonts w:hAnsi="Arial" w:hint="eastAsia"/>
          <w:bCs/>
          <w:kern w:val="32"/>
          <w:szCs w:val="36"/>
        </w:rPr>
        <w:lastRenderedPageBreak/>
        <w:t>○、陳○○等人以毆打、強光照眼等方式刑求，涉有違失等情。</w:t>
      </w:r>
    </w:p>
    <w:p w14:paraId="19658B62" w14:textId="77777777"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按監察法施行細則第27</w:t>
      </w:r>
      <w:r w:rsidRPr="009822AB">
        <w:rPr>
          <w:rFonts w:hAnsi="Arial"/>
          <w:bCs/>
          <w:kern w:val="32"/>
          <w:szCs w:val="36"/>
        </w:rPr>
        <w:t>條</w:t>
      </w:r>
      <w:r w:rsidRPr="009822AB">
        <w:rPr>
          <w:rFonts w:hAnsi="Arial" w:hint="eastAsia"/>
          <w:bCs/>
          <w:kern w:val="32"/>
          <w:szCs w:val="36"/>
        </w:rPr>
        <w:t>第2</w:t>
      </w:r>
      <w:r w:rsidRPr="009822AB">
        <w:rPr>
          <w:rFonts w:hAnsi="Arial"/>
          <w:bCs/>
          <w:kern w:val="32"/>
          <w:szCs w:val="36"/>
        </w:rPr>
        <w:t>項</w:t>
      </w:r>
      <w:r w:rsidRPr="009822AB">
        <w:rPr>
          <w:rFonts w:hAnsi="Arial" w:hint="eastAsia"/>
          <w:bCs/>
          <w:kern w:val="32"/>
          <w:szCs w:val="36"/>
        </w:rPr>
        <w:t>規定，監察院對於偵查或審判中案件承辦人員，與該承辦案件有關事項，在承辦期間，應盡量避免實施調查；監察院收受人民書狀及處理辦法第12</w:t>
      </w:r>
      <w:r w:rsidRPr="009822AB">
        <w:rPr>
          <w:rFonts w:hAnsi="Arial"/>
          <w:bCs/>
          <w:kern w:val="32"/>
          <w:szCs w:val="36"/>
        </w:rPr>
        <w:t>條規定</w:t>
      </w:r>
      <w:r w:rsidRPr="009822AB">
        <w:rPr>
          <w:rFonts w:hAnsi="Arial" w:hint="eastAsia"/>
          <w:bCs/>
          <w:kern w:val="32"/>
          <w:szCs w:val="36"/>
        </w:rPr>
        <w:t>，已進入行政救濟、司法或軍法偵審程序者，除非被訴人有瀆職或重大違法失職嫌疑，需要即予調查者外，應為不予調查之處理。又依司法院釋字第325</w:t>
      </w:r>
      <w:r w:rsidRPr="009822AB">
        <w:rPr>
          <w:rFonts w:hAnsi="Arial"/>
          <w:bCs/>
          <w:kern w:val="32"/>
          <w:szCs w:val="36"/>
        </w:rPr>
        <w:t>號解釋，</w:t>
      </w:r>
      <w:r w:rsidRPr="009822AB">
        <w:rPr>
          <w:rFonts w:hAnsi="Arial" w:hint="eastAsia"/>
          <w:bCs/>
          <w:kern w:val="32"/>
          <w:szCs w:val="36"/>
        </w:rPr>
        <w:t>監察院</w:t>
      </w:r>
      <w:r w:rsidRPr="009822AB">
        <w:rPr>
          <w:rFonts w:hAnsi="Arial"/>
          <w:bCs/>
          <w:kern w:val="32"/>
          <w:szCs w:val="36"/>
        </w:rPr>
        <w:t>對於</w:t>
      </w:r>
      <w:r w:rsidRPr="009822AB">
        <w:rPr>
          <w:rFonts w:hAnsi="Arial" w:hint="eastAsia"/>
          <w:bCs/>
          <w:kern w:val="32"/>
          <w:szCs w:val="36"/>
        </w:rPr>
        <w:t>法院審理案件所表示的法律見解、裁判確定前就偵查、審判所為之處置及其卷證，本院行使調查權受有限制。故有關檢調於114年9月18日搜索、扣押及傳訊相關人員之偵辦內容是否逾越必要範圍，因涉及偵查中案件，尚非本案調查之範圍。</w:t>
      </w:r>
    </w:p>
    <w:p w14:paraId="67A0DC02" w14:textId="6F848334" w:rsidR="00C42BD7" w:rsidRPr="009822AB" w:rsidRDefault="00C42BD7" w:rsidP="00F37CD4">
      <w:pPr>
        <w:numPr>
          <w:ilvl w:val="2"/>
          <w:numId w:val="6"/>
        </w:numPr>
        <w:spacing w:line="450" w:lineRule="exact"/>
        <w:outlineLvl w:val="2"/>
        <w:rPr>
          <w:rFonts w:hAnsi="Arial"/>
          <w:bCs/>
          <w:kern w:val="32"/>
          <w:szCs w:val="36"/>
        </w:rPr>
      </w:pPr>
      <w:r w:rsidRPr="009822AB">
        <w:rPr>
          <w:rFonts w:hAnsi="Arial" w:hint="eastAsia"/>
          <w:bCs/>
          <w:kern w:val="32"/>
          <w:szCs w:val="36"/>
        </w:rPr>
        <w:t>有關陳訴人指訴遭受刑求等節，經函請法務部提供陳訴人羈押期間是否提出申訴、處理情形及舍房監視錄影光碟等卷證，據該部查復略以：陳訴人於羈押期間，未曾依羈押法相關規定提起陳情或申訴、未與看守所職員發生衝突或遭不當對待之情事，該所對陳訴人之生活管理，均依羈押法及相關規定辦理。且因陳訴人業於114年6月23日出所，其在所期間未有依法提出陳情、申訴或訴訟，故高雄看守所未就其舍房監視錄影畫面另行複製保存，相關監視錄影畫面業已覆蓋。此外，陳訴人雖曾於114年3月17日具狀向高雄地檢署聲請准予由家屬寄送藥品入所，及聲請發還保管物中之軟墊，經該所審酌陳訴人申請由外界送入外用藥膏及中藥粉，不符114年9月19日修正前外界對受刑人及被告送入金錢與飲食及必需物品辦法之規定；陳訴人申請使用之軟墊得以</w:t>
      </w:r>
      <w:r w:rsidR="00735E18" w:rsidRPr="009822AB">
        <w:rPr>
          <w:rFonts w:hAnsi="Arial" w:hint="eastAsia"/>
          <w:bCs/>
          <w:kern w:val="32"/>
          <w:szCs w:val="36"/>
        </w:rPr>
        <w:t>棉</w:t>
      </w:r>
      <w:r w:rsidRPr="009822AB">
        <w:rPr>
          <w:rFonts w:hAnsi="Arial" w:hint="eastAsia"/>
          <w:bCs/>
          <w:kern w:val="32"/>
          <w:szCs w:val="36"/>
        </w:rPr>
        <w:t>被或毛毯等方式達成相同效果，基於維持</w:t>
      </w:r>
      <w:r w:rsidRPr="009822AB">
        <w:rPr>
          <w:rFonts w:hAnsi="Arial" w:hint="eastAsia"/>
          <w:bCs/>
          <w:kern w:val="32"/>
          <w:szCs w:val="36"/>
        </w:rPr>
        <w:lastRenderedPageBreak/>
        <w:t>押所秩序及管理，而未予核准等語。綜上所述，陳訴人指訴其於羈押禁見期間遭高雄看守所獄警刑求等節，尚乏具體事證可資證明。</w:t>
      </w:r>
    </w:p>
    <w:p w14:paraId="093EC824" w14:textId="0F245480" w:rsidR="00C42BD7" w:rsidRPr="009822AB" w:rsidRDefault="00C42BD7" w:rsidP="009822AB">
      <w:pPr>
        <w:numPr>
          <w:ilvl w:val="0"/>
          <w:numId w:val="6"/>
        </w:numPr>
        <w:spacing w:beforeLines="100" w:before="457"/>
        <w:outlineLvl w:val="0"/>
        <w:rPr>
          <w:rFonts w:hAnsi="Arial"/>
          <w:bCs/>
          <w:kern w:val="32"/>
          <w:szCs w:val="52"/>
        </w:rPr>
      </w:pP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822AB">
        <w:rPr>
          <w:rFonts w:hAnsi="Arial" w:hint="eastAsia"/>
          <w:bCs/>
          <w:kern w:val="32"/>
          <w:szCs w:val="52"/>
        </w:rPr>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890C619" w14:textId="54288C61" w:rsidR="00C42BD7" w:rsidRPr="009822AB" w:rsidRDefault="00C42BD7" w:rsidP="00A02010">
      <w:pPr>
        <w:numPr>
          <w:ilvl w:val="1"/>
          <w:numId w:val="6"/>
        </w:numPr>
        <w:spacing w:beforeLines="25" w:before="114"/>
        <w:ind w:left="1020" w:hanging="680"/>
        <w:outlineLvl w:val="1"/>
        <w:rPr>
          <w:rFonts w:hAnsi="Arial"/>
          <w:bCs/>
          <w:kern w:val="32"/>
          <w:szCs w:val="48"/>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9822AB">
        <w:rPr>
          <w:rFonts w:hAnsi="Arial" w:hint="eastAsia"/>
          <w:bCs/>
          <w:kern w:val="32"/>
          <w:szCs w:val="48"/>
        </w:rPr>
        <w:t>調查意見一、二，函請法務部檢討改進</w:t>
      </w:r>
      <w:r w:rsidR="00167BF8" w:rsidRPr="009822AB">
        <w:rPr>
          <w:rFonts w:hAnsi="Arial" w:hint="eastAsia"/>
          <w:bCs/>
          <w:kern w:val="32"/>
          <w:szCs w:val="48"/>
        </w:rPr>
        <w:t>見復</w:t>
      </w:r>
      <w:r w:rsidRPr="009822AB">
        <w:rPr>
          <w:rFonts w:hAnsi="標楷體" w:hint="eastAsia"/>
          <w:bCs/>
          <w:kern w:val="32"/>
          <w:szCs w:val="48"/>
        </w:rPr>
        <w:t>。</w:t>
      </w:r>
      <w:bookmarkEnd w:id="77"/>
      <w:bookmarkEnd w:id="78"/>
      <w:bookmarkEnd w:id="79"/>
      <w:bookmarkEnd w:id="80"/>
      <w:bookmarkEnd w:id="81"/>
      <w:bookmarkEnd w:id="82"/>
      <w:bookmarkEnd w:id="83"/>
    </w:p>
    <w:p w14:paraId="750C8FAF" w14:textId="77777777" w:rsidR="00C42BD7" w:rsidRPr="009822AB" w:rsidRDefault="00C42BD7" w:rsidP="00A02010">
      <w:pPr>
        <w:numPr>
          <w:ilvl w:val="1"/>
          <w:numId w:val="6"/>
        </w:numPr>
        <w:outlineLvl w:val="1"/>
        <w:rPr>
          <w:rFonts w:hAnsi="Arial"/>
          <w:bCs/>
          <w:kern w:val="32"/>
          <w:szCs w:val="48"/>
        </w:rPr>
      </w:pPr>
      <w:bookmarkStart w:id="103" w:name="_Toc421794877"/>
      <w:bookmarkStart w:id="104" w:name="_Toc421795443"/>
      <w:bookmarkStart w:id="105" w:name="_Toc421796024"/>
      <w:bookmarkStart w:id="106" w:name="_Toc422728959"/>
      <w:bookmarkStart w:id="107" w:name="_Toc422834162"/>
      <w:r w:rsidRPr="009822AB">
        <w:rPr>
          <w:rFonts w:hAnsi="Arial" w:hint="eastAsia"/>
          <w:bCs/>
          <w:kern w:val="32"/>
          <w:szCs w:val="48"/>
        </w:rPr>
        <w:t>調查意見</w:t>
      </w: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End w:id="84"/>
      <w:bookmarkEnd w:id="85"/>
      <w:bookmarkEnd w:id="86"/>
      <w:bookmarkEnd w:id="87"/>
      <w:bookmarkEnd w:id="88"/>
      <w:bookmarkEnd w:id="89"/>
      <w:bookmarkEnd w:id="90"/>
      <w:bookmarkEnd w:id="91"/>
      <w:bookmarkEnd w:id="103"/>
      <w:bookmarkEnd w:id="104"/>
      <w:bookmarkEnd w:id="105"/>
      <w:bookmarkEnd w:id="106"/>
      <w:bookmarkEnd w:id="107"/>
      <w:r w:rsidRPr="009822AB">
        <w:rPr>
          <w:rFonts w:hAnsi="Arial" w:hint="eastAsia"/>
          <w:bCs/>
          <w:kern w:val="32"/>
          <w:szCs w:val="48"/>
        </w:rPr>
        <w:t>，函復陳訴人。</w:t>
      </w:r>
      <w:bookmarkEnd w:id="108"/>
      <w:bookmarkEnd w:id="109"/>
      <w:bookmarkEnd w:id="110"/>
      <w:bookmarkEnd w:id="111"/>
      <w:bookmarkEnd w:id="112"/>
      <w:bookmarkEnd w:id="113"/>
      <w:bookmarkEnd w:id="114"/>
    </w:p>
    <w:p w14:paraId="7DF12E46" w14:textId="48335C01" w:rsidR="00C42BD7" w:rsidRPr="009822AB" w:rsidRDefault="00167728" w:rsidP="00A02010">
      <w:pPr>
        <w:numPr>
          <w:ilvl w:val="1"/>
          <w:numId w:val="6"/>
        </w:numPr>
        <w:outlineLvl w:val="1"/>
        <w:rPr>
          <w:rFonts w:hAnsi="Arial"/>
          <w:bCs/>
          <w:kern w:val="32"/>
          <w:szCs w:val="48"/>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2"/>
      <w:bookmarkEnd w:id="93"/>
      <w:bookmarkEnd w:id="94"/>
      <w:bookmarkEnd w:id="95"/>
      <w:bookmarkEnd w:id="96"/>
      <w:bookmarkEnd w:id="97"/>
      <w:bookmarkEnd w:id="98"/>
      <w:bookmarkEnd w:id="99"/>
      <w:bookmarkEnd w:id="100"/>
      <w:bookmarkEnd w:id="101"/>
      <w:bookmarkEnd w:id="102"/>
      <w:bookmarkEnd w:id="115"/>
      <w:bookmarkEnd w:id="116"/>
      <w:r w:rsidRPr="00167728">
        <w:rPr>
          <w:rFonts w:hAnsi="Arial" w:hint="eastAsia"/>
          <w:bCs/>
          <w:kern w:val="32"/>
          <w:szCs w:val="48"/>
        </w:rPr>
        <w:t>調查意見(含案由、處理辦法、調查委員姓名)，遮隱個資，上網公布</w:t>
      </w:r>
      <w:r w:rsidR="00C42BD7" w:rsidRPr="009822AB">
        <w:rPr>
          <w:rFonts w:hAnsi="Arial" w:hint="eastAsia"/>
          <w:bCs/>
          <w:kern w:val="32"/>
          <w:szCs w:val="48"/>
        </w:rPr>
        <w:t>。</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8891D74" w14:textId="77777777" w:rsidR="00C42BD7" w:rsidRPr="009822AB" w:rsidRDefault="00C42BD7" w:rsidP="00C42BD7">
      <w:pPr>
        <w:spacing w:beforeLines="50" w:before="228" w:afterLines="100" w:after="457"/>
        <w:ind w:leftChars="1100" w:left="3742"/>
        <w:rPr>
          <w:bCs/>
          <w:spacing w:val="12"/>
          <w:kern w:val="0"/>
          <w:sz w:val="40"/>
        </w:rPr>
      </w:pPr>
    </w:p>
    <w:p w14:paraId="2F3BC5E1" w14:textId="4FC7B7DC" w:rsidR="00C42BD7" w:rsidRDefault="00C42BD7" w:rsidP="00C42BD7">
      <w:pPr>
        <w:spacing w:beforeLines="50" w:before="228" w:afterLines="100" w:after="457"/>
        <w:ind w:leftChars="1100" w:left="3742"/>
        <w:rPr>
          <w:bCs/>
          <w:spacing w:val="12"/>
          <w:kern w:val="0"/>
          <w:sz w:val="40"/>
        </w:rPr>
      </w:pPr>
      <w:r w:rsidRPr="009822AB">
        <w:rPr>
          <w:rFonts w:hint="eastAsia"/>
          <w:bCs/>
          <w:spacing w:val="12"/>
          <w:kern w:val="0"/>
          <w:sz w:val="40"/>
        </w:rPr>
        <w:t>調查委員：</w:t>
      </w:r>
      <w:r w:rsidR="009822AB">
        <w:rPr>
          <w:rFonts w:hint="eastAsia"/>
          <w:bCs/>
          <w:spacing w:val="12"/>
          <w:kern w:val="0"/>
          <w:sz w:val="40"/>
        </w:rPr>
        <w:t>王幼玲</w:t>
      </w:r>
    </w:p>
    <w:p w14:paraId="66E9C492" w14:textId="65B3DEFA" w:rsidR="009822AB" w:rsidRPr="009822AB" w:rsidRDefault="009822AB" w:rsidP="009822AB">
      <w:pPr>
        <w:spacing w:beforeLines="50" w:before="228" w:afterLines="100" w:after="457"/>
        <w:ind w:leftChars="1070" w:left="3738" w:hangingChars="22" w:hanging="98"/>
        <w:rPr>
          <w:rFonts w:hint="eastAsia"/>
          <w:bCs/>
          <w:spacing w:val="12"/>
          <w:kern w:val="0"/>
          <w:sz w:val="40"/>
        </w:rPr>
      </w:pPr>
      <w:r>
        <w:rPr>
          <w:rFonts w:hint="eastAsia"/>
          <w:bCs/>
          <w:spacing w:val="12"/>
          <w:kern w:val="0"/>
          <w:sz w:val="40"/>
        </w:rPr>
        <w:t xml:space="preserve">          高涌誠</w:t>
      </w:r>
    </w:p>
    <w:sectPr w:rsidR="009822AB" w:rsidRPr="009822AB"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19E8" w14:textId="77777777" w:rsidR="004454C5" w:rsidRDefault="004454C5">
      <w:r>
        <w:separator/>
      </w:r>
    </w:p>
  </w:endnote>
  <w:endnote w:type="continuationSeparator" w:id="0">
    <w:p w14:paraId="38E479AF" w14:textId="77777777" w:rsidR="004454C5" w:rsidRDefault="0044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5EB8" w14:textId="77777777" w:rsidR="004454C5" w:rsidRDefault="004454C5">
      <w:r>
        <w:separator/>
      </w:r>
    </w:p>
  </w:footnote>
  <w:footnote w:type="continuationSeparator" w:id="0">
    <w:p w14:paraId="24A063FE" w14:textId="77777777" w:rsidR="004454C5" w:rsidRDefault="004454C5">
      <w:r>
        <w:continuationSeparator/>
      </w:r>
    </w:p>
  </w:footnote>
  <w:footnote w:id="1">
    <w:p w14:paraId="60DCE625" w14:textId="04C78FBC" w:rsidR="00C42BD7" w:rsidRDefault="00C42BD7" w:rsidP="00C42BD7">
      <w:pPr>
        <w:pStyle w:val="afc"/>
      </w:pPr>
      <w:r>
        <w:rPr>
          <w:rStyle w:val="afe"/>
        </w:rPr>
        <w:footnoteRef/>
      </w:r>
      <w:r>
        <w:t xml:space="preserve"> </w:t>
      </w:r>
      <w:r w:rsidRPr="00972701">
        <w:rPr>
          <w:rFonts w:hint="eastAsia"/>
        </w:rPr>
        <w:t>該署114年度偵字第8004、8008、8473、12854、14929、14930、20641號，高雄地院114年度</w:t>
      </w:r>
      <w:r w:rsidR="00F525FE">
        <w:rPr>
          <w:rFonts w:hint="eastAsia"/>
          <w:color w:val="00B050"/>
        </w:rPr>
        <w:t>訴字第</w:t>
      </w:r>
      <w:r w:rsidRPr="00972701">
        <w:rPr>
          <w:rFonts w:hint="eastAsia"/>
        </w:rPr>
        <w:t>301號</w:t>
      </w:r>
      <w:r>
        <w:rPr>
          <w:rFonts w:hint="eastAsia"/>
        </w:rPr>
        <w:t>。</w:t>
      </w:r>
    </w:p>
  </w:footnote>
  <w:footnote w:id="2">
    <w:p w14:paraId="157613CD" w14:textId="593C8DB5" w:rsidR="00C42BD7" w:rsidRDefault="00C42BD7" w:rsidP="00C42BD7">
      <w:pPr>
        <w:pStyle w:val="afc"/>
      </w:pPr>
      <w:r>
        <w:rPr>
          <w:rStyle w:val="afe"/>
        </w:rPr>
        <w:footnoteRef/>
      </w:r>
      <w:r>
        <w:t xml:space="preserve"> </w:t>
      </w:r>
      <w:r>
        <w:rPr>
          <w:rFonts w:hint="eastAsia"/>
        </w:rPr>
        <w:t>吳○○檢調訊（</w:t>
      </w:r>
      <w:r w:rsidRPr="00912A92">
        <w:rPr>
          <w:rFonts w:hint="eastAsia"/>
        </w:rPr>
        <w:t>詢</w:t>
      </w:r>
      <w:r>
        <w:rPr>
          <w:rFonts w:hint="eastAsia"/>
        </w:rPr>
        <w:t>）</w:t>
      </w:r>
      <w:r w:rsidRPr="00912A92">
        <w:rPr>
          <w:rFonts w:hint="eastAsia"/>
        </w:rPr>
        <w:t>問</w:t>
      </w:r>
      <w:r>
        <w:rPr>
          <w:rFonts w:hint="eastAsia"/>
        </w:rPr>
        <w:t>之</w:t>
      </w:r>
      <w:r w:rsidRPr="00912A92">
        <w:rPr>
          <w:rFonts w:hint="eastAsia"/>
        </w:rPr>
        <w:t>案由為「</w:t>
      </w:r>
      <w:r>
        <w:rPr>
          <w:rFonts w:hint="eastAsia"/>
        </w:rPr>
        <w:t>背信</w:t>
      </w:r>
      <w:r w:rsidRPr="00912A92">
        <w:rPr>
          <w:rFonts w:hint="eastAsia"/>
        </w:rPr>
        <w:t>」</w:t>
      </w:r>
      <w:r>
        <w:rPr>
          <w:rFonts w:hint="eastAsia"/>
        </w:rPr>
        <w:t>；洪○○南機站詢問之案由為「公益侵占」、檢察官訊問案由為「背信」；</w:t>
      </w:r>
      <w:r w:rsidR="0016349B">
        <w:rPr>
          <w:rFonts w:hint="eastAsia"/>
        </w:rPr>
        <w:t>調查局詢問</w:t>
      </w:r>
      <w:r>
        <w:rPr>
          <w:rFonts w:hint="eastAsia"/>
        </w:rPr>
        <w:t>證人之案由為「侵占」或「背信」不一。</w:t>
      </w:r>
    </w:p>
  </w:footnote>
  <w:footnote w:id="3">
    <w:p w14:paraId="6DE26AB3" w14:textId="77777777" w:rsidR="00C42BD7" w:rsidRDefault="00C42BD7" w:rsidP="00C42BD7">
      <w:pPr>
        <w:pStyle w:val="afc"/>
      </w:pPr>
      <w:r>
        <w:rPr>
          <w:rStyle w:val="afe"/>
        </w:rPr>
        <w:footnoteRef/>
      </w:r>
      <w:r>
        <w:t xml:space="preserve"> </w:t>
      </w:r>
      <w:r>
        <w:rPr>
          <w:rFonts w:hint="eastAsia"/>
        </w:rPr>
        <w:t>本院</w:t>
      </w:r>
      <w:r w:rsidRPr="00606B37">
        <w:rPr>
          <w:rFonts w:hint="eastAsia"/>
        </w:rPr>
        <w:t>107司正8</w:t>
      </w:r>
      <w:r>
        <w:rPr>
          <w:rFonts w:hint="eastAsia"/>
        </w:rPr>
        <w:t>之糾正事由為：</w:t>
      </w:r>
      <w:r w:rsidRPr="00606B37">
        <w:rPr>
          <w:rFonts w:hint="eastAsia"/>
        </w:rPr>
        <w:t>檢察機關偵查「他」字案件之法源依據均為行政規則，規避偵查法定原則之基本拘束，除侵害當事人訴訟基本權，有違公平法院原則外，並背離依法行政原則；現行實務變相採用「他」字案件之方式，被傳喚者之法律地位，實質上究為「被告」抑或「證人」或「關係人」，操諸於檢察機關；又其於第三人（「證人」）搜索時，得於搜索前預先開立拘票，如拒絕到場，立即拘提，形同逮捕被告之手段；同時將「證人」視有犯罪嫌疑拘提到場後，不受憲法第8條所定24小時人身自由保障之限制，均除逸脫刑事訴訟法外，顯已違反法治國基本原則與正當法律程序，嚴重侵害基本人權，顯有違法</w:t>
      </w:r>
      <w:r>
        <w:rPr>
          <w:rFonts w:hint="eastAsia"/>
        </w:rPr>
        <w:t>。</w:t>
      </w:r>
    </w:p>
  </w:footnote>
  <w:footnote w:id="4">
    <w:p w14:paraId="22243CF4" w14:textId="77777777" w:rsidR="00C42BD7" w:rsidRDefault="00C42BD7" w:rsidP="00C42BD7">
      <w:pPr>
        <w:pStyle w:val="afc"/>
      </w:pPr>
      <w:r>
        <w:rPr>
          <w:rStyle w:val="afe"/>
        </w:rPr>
        <w:footnoteRef/>
      </w:r>
      <w:r>
        <w:t xml:space="preserve"> </w:t>
      </w:r>
      <w:r>
        <w:rPr>
          <w:rFonts w:hint="eastAsia"/>
        </w:rPr>
        <w:t>高雄地檢署115年1月29日雄檢冠道114他5510字第1159008774號函內容為</w:t>
      </w:r>
      <w:r w:rsidRPr="002314AF">
        <w:rPr>
          <w:rFonts w:hint="eastAsia"/>
        </w:rPr>
        <w:t>「主旨：本署114年度他字第5510號案，因查無犯罪事證，已予結案，請查照。說明：本案經傳喚相關人並調取相關事證，查無不法。」</w:t>
      </w:r>
    </w:p>
  </w:footnote>
  <w:footnote w:id="5">
    <w:p w14:paraId="1B123531" w14:textId="77777777" w:rsidR="00767E0A" w:rsidRDefault="00767E0A" w:rsidP="00767E0A">
      <w:pPr>
        <w:pStyle w:val="afc"/>
      </w:pPr>
      <w:r>
        <w:rPr>
          <w:rStyle w:val="afe"/>
        </w:rPr>
        <w:footnoteRef/>
      </w:r>
      <w:r>
        <w:t xml:space="preserve"> </w:t>
      </w:r>
      <w:r w:rsidRPr="000F3B19">
        <w:rPr>
          <w:rFonts w:hint="eastAsia"/>
        </w:rPr>
        <w:t>「辦理他案應行注意事項」第3點</w:t>
      </w:r>
      <w:r>
        <w:rPr>
          <w:rFonts w:hint="eastAsia"/>
        </w:rPr>
        <w:t>：「他案有下列情形之一者，檢察官得逕行簽請報結：（一）匿名告發且告發內容空泛。（二）就已分案或結案之同一事實再重複告發。（三）依陳述事實或告發內容，顯與犯罪無關。（四）陳述事實或告發內容係虛擬或經驗上不可能。（五）對公務員依法執行公務不服而申告，但對構成刑責之要件嫌疑事實未有任何具體指摘，或提出相關事證或指出涉案事證所在。（六）經常提出申告之人，所告案件均查非事實或已判決無罪或不起訴處分確定，復再申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FD2FEE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2682620">
    <w:abstractNumId w:val="2"/>
  </w:num>
  <w:num w:numId="2" w16cid:durableId="2078555219">
    <w:abstractNumId w:val="0"/>
  </w:num>
  <w:num w:numId="3" w16cid:durableId="758256762">
    <w:abstractNumId w:val="5"/>
  </w:num>
  <w:num w:numId="4" w16cid:durableId="1070537949">
    <w:abstractNumId w:val="3"/>
  </w:num>
  <w:num w:numId="5" w16cid:durableId="1664700336">
    <w:abstractNumId w:val="6"/>
  </w:num>
  <w:num w:numId="6" w16cid:durableId="1481389400">
    <w:abstractNumId w:val="1"/>
  </w:num>
  <w:num w:numId="7" w16cid:durableId="1598440368">
    <w:abstractNumId w:val="7"/>
  </w:num>
  <w:num w:numId="8" w16cid:durableId="1751611214">
    <w:abstractNumId w:val="4"/>
  </w:num>
  <w:num w:numId="9" w16cid:durableId="250504698">
    <w:abstractNumId w:val="1"/>
  </w:num>
  <w:num w:numId="10" w16cid:durableId="1763841882">
    <w:abstractNumId w:val="1"/>
  </w:num>
  <w:num w:numId="11" w16cid:durableId="285773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AE7"/>
    <w:rsid w:val="00006961"/>
    <w:rsid w:val="00007534"/>
    <w:rsid w:val="000112BF"/>
    <w:rsid w:val="00012233"/>
    <w:rsid w:val="00014981"/>
    <w:rsid w:val="00017318"/>
    <w:rsid w:val="00017AAE"/>
    <w:rsid w:val="000229AD"/>
    <w:rsid w:val="000241DB"/>
    <w:rsid w:val="000246F7"/>
    <w:rsid w:val="00027F45"/>
    <w:rsid w:val="0003114D"/>
    <w:rsid w:val="00031BC9"/>
    <w:rsid w:val="00036D76"/>
    <w:rsid w:val="000550B9"/>
    <w:rsid w:val="00057F32"/>
    <w:rsid w:val="00062A25"/>
    <w:rsid w:val="000730B0"/>
    <w:rsid w:val="00073CB5"/>
    <w:rsid w:val="0007425C"/>
    <w:rsid w:val="00077553"/>
    <w:rsid w:val="00080E6D"/>
    <w:rsid w:val="000851A2"/>
    <w:rsid w:val="0008557F"/>
    <w:rsid w:val="000879F4"/>
    <w:rsid w:val="0009254D"/>
    <w:rsid w:val="0009352E"/>
    <w:rsid w:val="00093903"/>
    <w:rsid w:val="00095AEE"/>
    <w:rsid w:val="00096B96"/>
    <w:rsid w:val="000A0012"/>
    <w:rsid w:val="000A2F3F"/>
    <w:rsid w:val="000A487F"/>
    <w:rsid w:val="000B0B4A"/>
    <w:rsid w:val="000B279A"/>
    <w:rsid w:val="000B61D2"/>
    <w:rsid w:val="000B70A7"/>
    <w:rsid w:val="000B73DD"/>
    <w:rsid w:val="000C0EA7"/>
    <w:rsid w:val="000C19F5"/>
    <w:rsid w:val="000C3F5C"/>
    <w:rsid w:val="000C495F"/>
    <w:rsid w:val="000D66D9"/>
    <w:rsid w:val="000D6EA4"/>
    <w:rsid w:val="000E6431"/>
    <w:rsid w:val="000E6805"/>
    <w:rsid w:val="000F21A5"/>
    <w:rsid w:val="001001C5"/>
    <w:rsid w:val="00101F6A"/>
    <w:rsid w:val="00102B9F"/>
    <w:rsid w:val="00112637"/>
    <w:rsid w:val="00112ABC"/>
    <w:rsid w:val="0012001E"/>
    <w:rsid w:val="00123FCA"/>
    <w:rsid w:val="00126A55"/>
    <w:rsid w:val="00133F08"/>
    <w:rsid w:val="001345E6"/>
    <w:rsid w:val="001378B0"/>
    <w:rsid w:val="00142E00"/>
    <w:rsid w:val="00143A04"/>
    <w:rsid w:val="00152793"/>
    <w:rsid w:val="00153B7E"/>
    <w:rsid w:val="001545A9"/>
    <w:rsid w:val="00162B56"/>
    <w:rsid w:val="0016349B"/>
    <w:rsid w:val="001637C7"/>
    <w:rsid w:val="00163DAE"/>
    <w:rsid w:val="0016480E"/>
    <w:rsid w:val="00167728"/>
    <w:rsid w:val="001677F2"/>
    <w:rsid w:val="00167BF8"/>
    <w:rsid w:val="0017309E"/>
    <w:rsid w:val="001734C5"/>
    <w:rsid w:val="00174297"/>
    <w:rsid w:val="0017701D"/>
    <w:rsid w:val="00180E06"/>
    <w:rsid w:val="001817B3"/>
    <w:rsid w:val="00183014"/>
    <w:rsid w:val="00194CCF"/>
    <w:rsid w:val="001959C2"/>
    <w:rsid w:val="001A47DF"/>
    <w:rsid w:val="001A51E3"/>
    <w:rsid w:val="001A7968"/>
    <w:rsid w:val="001B02A1"/>
    <w:rsid w:val="001B2E98"/>
    <w:rsid w:val="001B3483"/>
    <w:rsid w:val="001B3C1E"/>
    <w:rsid w:val="001B4494"/>
    <w:rsid w:val="001B5A5A"/>
    <w:rsid w:val="001C0D8B"/>
    <w:rsid w:val="001C0DA8"/>
    <w:rsid w:val="001C3C02"/>
    <w:rsid w:val="001D2716"/>
    <w:rsid w:val="001D4AD7"/>
    <w:rsid w:val="001E0D8A"/>
    <w:rsid w:val="001E67BA"/>
    <w:rsid w:val="001E74C2"/>
    <w:rsid w:val="001F4F82"/>
    <w:rsid w:val="001F5A48"/>
    <w:rsid w:val="001F6260"/>
    <w:rsid w:val="00200007"/>
    <w:rsid w:val="002030A5"/>
    <w:rsid w:val="00203131"/>
    <w:rsid w:val="0020411C"/>
    <w:rsid w:val="00205614"/>
    <w:rsid w:val="00212E88"/>
    <w:rsid w:val="00213C9C"/>
    <w:rsid w:val="0022009E"/>
    <w:rsid w:val="00223241"/>
    <w:rsid w:val="0022425C"/>
    <w:rsid w:val="002246DE"/>
    <w:rsid w:val="0023311E"/>
    <w:rsid w:val="00233548"/>
    <w:rsid w:val="002429E2"/>
    <w:rsid w:val="00244D87"/>
    <w:rsid w:val="00244E1A"/>
    <w:rsid w:val="00252BC4"/>
    <w:rsid w:val="00254014"/>
    <w:rsid w:val="00254B39"/>
    <w:rsid w:val="00261522"/>
    <w:rsid w:val="00263044"/>
    <w:rsid w:val="0026504D"/>
    <w:rsid w:val="00271229"/>
    <w:rsid w:val="00271DAE"/>
    <w:rsid w:val="00273A2F"/>
    <w:rsid w:val="002808D2"/>
    <w:rsid w:val="00280986"/>
    <w:rsid w:val="00281ECE"/>
    <w:rsid w:val="002831C7"/>
    <w:rsid w:val="002840C6"/>
    <w:rsid w:val="00287220"/>
    <w:rsid w:val="00295174"/>
    <w:rsid w:val="00296172"/>
    <w:rsid w:val="00296B92"/>
    <w:rsid w:val="002A2C22"/>
    <w:rsid w:val="002B02EB"/>
    <w:rsid w:val="002B0E9D"/>
    <w:rsid w:val="002C0602"/>
    <w:rsid w:val="002C38B0"/>
    <w:rsid w:val="002C6AF8"/>
    <w:rsid w:val="002D5897"/>
    <w:rsid w:val="002D5C16"/>
    <w:rsid w:val="002D7512"/>
    <w:rsid w:val="002F2476"/>
    <w:rsid w:val="002F3DFF"/>
    <w:rsid w:val="002F5188"/>
    <w:rsid w:val="002F5E05"/>
    <w:rsid w:val="002F617E"/>
    <w:rsid w:val="00305587"/>
    <w:rsid w:val="00307A76"/>
    <w:rsid w:val="003105AA"/>
    <w:rsid w:val="00313617"/>
    <w:rsid w:val="0031455E"/>
    <w:rsid w:val="00315A16"/>
    <w:rsid w:val="003164AE"/>
    <w:rsid w:val="00317053"/>
    <w:rsid w:val="0032109C"/>
    <w:rsid w:val="00321740"/>
    <w:rsid w:val="00322B45"/>
    <w:rsid w:val="00323809"/>
    <w:rsid w:val="00323D41"/>
    <w:rsid w:val="00325414"/>
    <w:rsid w:val="003302F1"/>
    <w:rsid w:val="00334C16"/>
    <w:rsid w:val="003445B5"/>
    <w:rsid w:val="0034470E"/>
    <w:rsid w:val="00346D38"/>
    <w:rsid w:val="00352DB0"/>
    <w:rsid w:val="00354AE9"/>
    <w:rsid w:val="00357717"/>
    <w:rsid w:val="00361063"/>
    <w:rsid w:val="00364E2E"/>
    <w:rsid w:val="0037094A"/>
    <w:rsid w:val="00371ED3"/>
    <w:rsid w:val="00372659"/>
    <w:rsid w:val="00372FFC"/>
    <w:rsid w:val="0037728A"/>
    <w:rsid w:val="0037756B"/>
    <w:rsid w:val="00377769"/>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2D7D"/>
    <w:rsid w:val="003D37A0"/>
    <w:rsid w:val="003D403F"/>
    <w:rsid w:val="003D45BF"/>
    <w:rsid w:val="003D508A"/>
    <w:rsid w:val="003D537F"/>
    <w:rsid w:val="003D78DB"/>
    <w:rsid w:val="003D7B75"/>
    <w:rsid w:val="003E0208"/>
    <w:rsid w:val="003E0718"/>
    <w:rsid w:val="003E0FDF"/>
    <w:rsid w:val="003E1800"/>
    <w:rsid w:val="003E30C0"/>
    <w:rsid w:val="003E4B57"/>
    <w:rsid w:val="003F0822"/>
    <w:rsid w:val="003F1867"/>
    <w:rsid w:val="003F27E1"/>
    <w:rsid w:val="003F437A"/>
    <w:rsid w:val="003F4BD8"/>
    <w:rsid w:val="003F5645"/>
    <w:rsid w:val="003F5C2B"/>
    <w:rsid w:val="003F71FD"/>
    <w:rsid w:val="00402240"/>
    <w:rsid w:val="004023E9"/>
    <w:rsid w:val="0040454A"/>
    <w:rsid w:val="004115EA"/>
    <w:rsid w:val="00413F83"/>
    <w:rsid w:val="0041490C"/>
    <w:rsid w:val="00416191"/>
    <w:rsid w:val="00416721"/>
    <w:rsid w:val="00421EF0"/>
    <w:rsid w:val="004224FA"/>
    <w:rsid w:val="00423D07"/>
    <w:rsid w:val="00427936"/>
    <w:rsid w:val="0043403D"/>
    <w:rsid w:val="004377E2"/>
    <w:rsid w:val="004408EA"/>
    <w:rsid w:val="0044346F"/>
    <w:rsid w:val="004454C5"/>
    <w:rsid w:val="004462DE"/>
    <w:rsid w:val="0044673B"/>
    <w:rsid w:val="00453FF6"/>
    <w:rsid w:val="00455A9C"/>
    <w:rsid w:val="00456FC5"/>
    <w:rsid w:val="0046005C"/>
    <w:rsid w:val="00462194"/>
    <w:rsid w:val="0046520A"/>
    <w:rsid w:val="004671C7"/>
    <w:rsid w:val="004672AB"/>
    <w:rsid w:val="004714FE"/>
    <w:rsid w:val="0047755D"/>
    <w:rsid w:val="00477BAA"/>
    <w:rsid w:val="0048371E"/>
    <w:rsid w:val="00485D47"/>
    <w:rsid w:val="00487998"/>
    <w:rsid w:val="00495053"/>
    <w:rsid w:val="00495E9A"/>
    <w:rsid w:val="004A1F59"/>
    <w:rsid w:val="004A29BE"/>
    <w:rsid w:val="004A3225"/>
    <w:rsid w:val="004A33EE"/>
    <w:rsid w:val="004A3AA8"/>
    <w:rsid w:val="004A79B2"/>
    <w:rsid w:val="004B13C7"/>
    <w:rsid w:val="004B778F"/>
    <w:rsid w:val="004C0609"/>
    <w:rsid w:val="004C639F"/>
    <w:rsid w:val="004D141F"/>
    <w:rsid w:val="004D1F0B"/>
    <w:rsid w:val="004D2742"/>
    <w:rsid w:val="004D6310"/>
    <w:rsid w:val="004E0062"/>
    <w:rsid w:val="004E05A1"/>
    <w:rsid w:val="004E7849"/>
    <w:rsid w:val="004E7F21"/>
    <w:rsid w:val="004F472A"/>
    <w:rsid w:val="004F5E57"/>
    <w:rsid w:val="004F6710"/>
    <w:rsid w:val="004F6B58"/>
    <w:rsid w:val="00500C3E"/>
    <w:rsid w:val="00502849"/>
    <w:rsid w:val="00502939"/>
    <w:rsid w:val="00504334"/>
    <w:rsid w:val="0050498D"/>
    <w:rsid w:val="0050565D"/>
    <w:rsid w:val="00505EFD"/>
    <w:rsid w:val="005104D7"/>
    <w:rsid w:val="00510B9E"/>
    <w:rsid w:val="005346D2"/>
    <w:rsid w:val="00536BC2"/>
    <w:rsid w:val="00541578"/>
    <w:rsid w:val="005425E1"/>
    <w:rsid w:val="005427C5"/>
    <w:rsid w:val="00542CF6"/>
    <w:rsid w:val="00553C03"/>
    <w:rsid w:val="005548E7"/>
    <w:rsid w:val="00560DDA"/>
    <w:rsid w:val="00563692"/>
    <w:rsid w:val="00570732"/>
    <w:rsid w:val="00571679"/>
    <w:rsid w:val="00572794"/>
    <w:rsid w:val="005750E6"/>
    <w:rsid w:val="00584235"/>
    <w:rsid w:val="005844E7"/>
    <w:rsid w:val="005908B8"/>
    <w:rsid w:val="0059512E"/>
    <w:rsid w:val="005A173B"/>
    <w:rsid w:val="005A6DD2"/>
    <w:rsid w:val="005B11B9"/>
    <w:rsid w:val="005B5723"/>
    <w:rsid w:val="005C03BE"/>
    <w:rsid w:val="005C2419"/>
    <w:rsid w:val="005C385D"/>
    <w:rsid w:val="005D1BE4"/>
    <w:rsid w:val="005D3B20"/>
    <w:rsid w:val="005D71B7"/>
    <w:rsid w:val="005E2D96"/>
    <w:rsid w:val="005E4759"/>
    <w:rsid w:val="005E5C68"/>
    <w:rsid w:val="005E65C0"/>
    <w:rsid w:val="005E7603"/>
    <w:rsid w:val="005F0390"/>
    <w:rsid w:val="005F2CA7"/>
    <w:rsid w:val="005F3A86"/>
    <w:rsid w:val="00601F04"/>
    <w:rsid w:val="00603CE9"/>
    <w:rsid w:val="006072CD"/>
    <w:rsid w:val="00607D11"/>
    <w:rsid w:val="006101FF"/>
    <w:rsid w:val="00612023"/>
    <w:rsid w:val="00614190"/>
    <w:rsid w:val="00614EAB"/>
    <w:rsid w:val="00615F9F"/>
    <w:rsid w:val="00622A99"/>
    <w:rsid w:val="00622E67"/>
    <w:rsid w:val="00626B57"/>
    <w:rsid w:val="00626EDC"/>
    <w:rsid w:val="006452D3"/>
    <w:rsid w:val="00646711"/>
    <w:rsid w:val="006470EC"/>
    <w:rsid w:val="00653C6A"/>
    <w:rsid w:val="006542D6"/>
    <w:rsid w:val="0065598E"/>
    <w:rsid w:val="00655AF2"/>
    <w:rsid w:val="00655BC5"/>
    <w:rsid w:val="00655D4C"/>
    <w:rsid w:val="006568BE"/>
    <w:rsid w:val="0066025D"/>
    <w:rsid w:val="0066039D"/>
    <w:rsid w:val="0066091A"/>
    <w:rsid w:val="006719B2"/>
    <w:rsid w:val="006746D1"/>
    <w:rsid w:val="006773EC"/>
    <w:rsid w:val="00680504"/>
    <w:rsid w:val="00681CD9"/>
    <w:rsid w:val="0068347B"/>
    <w:rsid w:val="00683E30"/>
    <w:rsid w:val="00687024"/>
    <w:rsid w:val="006941EB"/>
    <w:rsid w:val="00695B53"/>
    <w:rsid w:val="00695E22"/>
    <w:rsid w:val="006A131F"/>
    <w:rsid w:val="006A2A8C"/>
    <w:rsid w:val="006B32A4"/>
    <w:rsid w:val="006B7093"/>
    <w:rsid w:val="006B7417"/>
    <w:rsid w:val="006C157B"/>
    <w:rsid w:val="006C7B3E"/>
    <w:rsid w:val="006D31F9"/>
    <w:rsid w:val="006D3691"/>
    <w:rsid w:val="006D5497"/>
    <w:rsid w:val="006D6C3A"/>
    <w:rsid w:val="006E5EF0"/>
    <w:rsid w:val="006F15B1"/>
    <w:rsid w:val="006F3117"/>
    <w:rsid w:val="006F3563"/>
    <w:rsid w:val="006F42B9"/>
    <w:rsid w:val="006F6103"/>
    <w:rsid w:val="006F7A92"/>
    <w:rsid w:val="00704B9C"/>
    <w:rsid w:val="00704E00"/>
    <w:rsid w:val="00706AC6"/>
    <w:rsid w:val="00713144"/>
    <w:rsid w:val="007209E7"/>
    <w:rsid w:val="00726182"/>
    <w:rsid w:val="00727635"/>
    <w:rsid w:val="00732329"/>
    <w:rsid w:val="007337CA"/>
    <w:rsid w:val="00734CE4"/>
    <w:rsid w:val="00735123"/>
    <w:rsid w:val="00735E18"/>
    <w:rsid w:val="00736AE1"/>
    <w:rsid w:val="00741837"/>
    <w:rsid w:val="0074218F"/>
    <w:rsid w:val="007453E6"/>
    <w:rsid w:val="00754789"/>
    <w:rsid w:val="00756509"/>
    <w:rsid w:val="00762048"/>
    <w:rsid w:val="007642E1"/>
    <w:rsid w:val="00764828"/>
    <w:rsid w:val="00765A68"/>
    <w:rsid w:val="00767E0A"/>
    <w:rsid w:val="00770453"/>
    <w:rsid w:val="0077309D"/>
    <w:rsid w:val="007774EE"/>
    <w:rsid w:val="00781822"/>
    <w:rsid w:val="00783F21"/>
    <w:rsid w:val="00786AE0"/>
    <w:rsid w:val="00787159"/>
    <w:rsid w:val="0079043A"/>
    <w:rsid w:val="00791668"/>
    <w:rsid w:val="00791AA1"/>
    <w:rsid w:val="007A0BE8"/>
    <w:rsid w:val="007A2AE5"/>
    <w:rsid w:val="007A3793"/>
    <w:rsid w:val="007A39AA"/>
    <w:rsid w:val="007A6E57"/>
    <w:rsid w:val="007B014D"/>
    <w:rsid w:val="007B6B26"/>
    <w:rsid w:val="007C1BA2"/>
    <w:rsid w:val="007C2B48"/>
    <w:rsid w:val="007C51A3"/>
    <w:rsid w:val="007D20E9"/>
    <w:rsid w:val="007D363D"/>
    <w:rsid w:val="007D4E5B"/>
    <w:rsid w:val="007D567A"/>
    <w:rsid w:val="007D59F3"/>
    <w:rsid w:val="007D5E31"/>
    <w:rsid w:val="007D6AC6"/>
    <w:rsid w:val="007D7881"/>
    <w:rsid w:val="007D7E3A"/>
    <w:rsid w:val="007E0E10"/>
    <w:rsid w:val="007E10CF"/>
    <w:rsid w:val="007E4768"/>
    <w:rsid w:val="007E777B"/>
    <w:rsid w:val="007F2070"/>
    <w:rsid w:val="007F63C1"/>
    <w:rsid w:val="00804B45"/>
    <w:rsid w:val="008053F5"/>
    <w:rsid w:val="00807AF7"/>
    <w:rsid w:val="00810198"/>
    <w:rsid w:val="00815DA8"/>
    <w:rsid w:val="0082194D"/>
    <w:rsid w:val="008221F9"/>
    <w:rsid w:val="00826EF5"/>
    <w:rsid w:val="00831693"/>
    <w:rsid w:val="00831E61"/>
    <w:rsid w:val="00840104"/>
    <w:rsid w:val="00840C1F"/>
    <w:rsid w:val="008411C9"/>
    <w:rsid w:val="00841BFA"/>
    <w:rsid w:val="00841FC5"/>
    <w:rsid w:val="0084293C"/>
    <w:rsid w:val="00843D0F"/>
    <w:rsid w:val="00845709"/>
    <w:rsid w:val="008478E2"/>
    <w:rsid w:val="008576BD"/>
    <w:rsid w:val="00860463"/>
    <w:rsid w:val="00872E93"/>
    <w:rsid w:val="008733DA"/>
    <w:rsid w:val="008850E4"/>
    <w:rsid w:val="00887FA1"/>
    <w:rsid w:val="008939AB"/>
    <w:rsid w:val="008946AD"/>
    <w:rsid w:val="008A12F5"/>
    <w:rsid w:val="008A3371"/>
    <w:rsid w:val="008B1587"/>
    <w:rsid w:val="008B1B01"/>
    <w:rsid w:val="008B3BCD"/>
    <w:rsid w:val="008B6DF8"/>
    <w:rsid w:val="008C106C"/>
    <w:rsid w:val="008C10F1"/>
    <w:rsid w:val="008C1926"/>
    <w:rsid w:val="008C1E99"/>
    <w:rsid w:val="008D04C7"/>
    <w:rsid w:val="008E0085"/>
    <w:rsid w:val="008E2AA6"/>
    <w:rsid w:val="008E311B"/>
    <w:rsid w:val="008E660A"/>
    <w:rsid w:val="008F32C4"/>
    <w:rsid w:val="008F46E7"/>
    <w:rsid w:val="008F64CA"/>
    <w:rsid w:val="008F6F0B"/>
    <w:rsid w:val="008F7E4B"/>
    <w:rsid w:val="00907BA7"/>
    <w:rsid w:val="0091023D"/>
    <w:rsid w:val="0091064E"/>
    <w:rsid w:val="00911FC5"/>
    <w:rsid w:val="00914F4D"/>
    <w:rsid w:val="00915EE3"/>
    <w:rsid w:val="00922728"/>
    <w:rsid w:val="00925AEC"/>
    <w:rsid w:val="00927E02"/>
    <w:rsid w:val="00931A10"/>
    <w:rsid w:val="00943707"/>
    <w:rsid w:val="00945B49"/>
    <w:rsid w:val="009465F6"/>
    <w:rsid w:val="00947967"/>
    <w:rsid w:val="00955201"/>
    <w:rsid w:val="00956B5D"/>
    <w:rsid w:val="00965200"/>
    <w:rsid w:val="009668B3"/>
    <w:rsid w:val="00971096"/>
    <w:rsid w:val="00971471"/>
    <w:rsid w:val="00973FCC"/>
    <w:rsid w:val="00980210"/>
    <w:rsid w:val="009822AB"/>
    <w:rsid w:val="009845B6"/>
    <w:rsid w:val="009849C2"/>
    <w:rsid w:val="00984D24"/>
    <w:rsid w:val="009858EB"/>
    <w:rsid w:val="00985D35"/>
    <w:rsid w:val="009960C3"/>
    <w:rsid w:val="009A3F47"/>
    <w:rsid w:val="009B0046"/>
    <w:rsid w:val="009B2A33"/>
    <w:rsid w:val="009B2B64"/>
    <w:rsid w:val="009B3D4E"/>
    <w:rsid w:val="009C05B2"/>
    <w:rsid w:val="009C1440"/>
    <w:rsid w:val="009C2107"/>
    <w:rsid w:val="009C5D9E"/>
    <w:rsid w:val="009D2C3E"/>
    <w:rsid w:val="009E0625"/>
    <w:rsid w:val="009E3034"/>
    <w:rsid w:val="009E4C4A"/>
    <w:rsid w:val="009E549F"/>
    <w:rsid w:val="009F2196"/>
    <w:rsid w:val="009F28A8"/>
    <w:rsid w:val="009F473E"/>
    <w:rsid w:val="009F474D"/>
    <w:rsid w:val="009F5247"/>
    <w:rsid w:val="009F682A"/>
    <w:rsid w:val="009F6D2B"/>
    <w:rsid w:val="00A02010"/>
    <w:rsid w:val="00A022BE"/>
    <w:rsid w:val="00A037BF"/>
    <w:rsid w:val="00A038C1"/>
    <w:rsid w:val="00A0543A"/>
    <w:rsid w:val="00A07B4B"/>
    <w:rsid w:val="00A14C5E"/>
    <w:rsid w:val="00A21877"/>
    <w:rsid w:val="00A24C95"/>
    <w:rsid w:val="00A2599A"/>
    <w:rsid w:val="00A25C66"/>
    <w:rsid w:val="00A26094"/>
    <w:rsid w:val="00A27927"/>
    <w:rsid w:val="00A301BF"/>
    <w:rsid w:val="00A302B2"/>
    <w:rsid w:val="00A331B4"/>
    <w:rsid w:val="00A3484E"/>
    <w:rsid w:val="00A356D3"/>
    <w:rsid w:val="00A36ADA"/>
    <w:rsid w:val="00A36D9A"/>
    <w:rsid w:val="00A37C4D"/>
    <w:rsid w:val="00A438D8"/>
    <w:rsid w:val="00A44FEA"/>
    <w:rsid w:val="00A473F5"/>
    <w:rsid w:val="00A51F9D"/>
    <w:rsid w:val="00A5416A"/>
    <w:rsid w:val="00A639F4"/>
    <w:rsid w:val="00A65864"/>
    <w:rsid w:val="00A65FAE"/>
    <w:rsid w:val="00A73DE3"/>
    <w:rsid w:val="00A75238"/>
    <w:rsid w:val="00A77801"/>
    <w:rsid w:val="00A81A32"/>
    <w:rsid w:val="00A835BD"/>
    <w:rsid w:val="00A90AE1"/>
    <w:rsid w:val="00A9218D"/>
    <w:rsid w:val="00A9339D"/>
    <w:rsid w:val="00A94187"/>
    <w:rsid w:val="00A97B15"/>
    <w:rsid w:val="00AA272A"/>
    <w:rsid w:val="00AA287D"/>
    <w:rsid w:val="00AA42D5"/>
    <w:rsid w:val="00AA45C1"/>
    <w:rsid w:val="00AB2FAB"/>
    <w:rsid w:val="00AB5C14"/>
    <w:rsid w:val="00AC1EE7"/>
    <w:rsid w:val="00AC333F"/>
    <w:rsid w:val="00AC5239"/>
    <w:rsid w:val="00AC585C"/>
    <w:rsid w:val="00AD1925"/>
    <w:rsid w:val="00AD2943"/>
    <w:rsid w:val="00AE067D"/>
    <w:rsid w:val="00AE4E27"/>
    <w:rsid w:val="00AF1181"/>
    <w:rsid w:val="00AF2F79"/>
    <w:rsid w:val="00AF4653"/>
    <w:rsid w:val="00AF7DB7"/>
    <w:rsid w:val="00B02117"/>
    <w:rsid w:val="00B05E47"/>
    <w:rsid w:val="00B10D02"/>
    <w:rsid w:val="00B15908"/>
    <w:rsid w:val="00B179B3"/>
    <w:rsid w:val="00B201E2"/>
    <w:rsid w:val="00B2176A"/>
    <w:rsid w:val="00B33324"/>
    <w:rsid w:val="00B40D0F"/>
    <w:rsid w:val="00B443E4"/>
    <w:rsid w:val="00B5484D"/>
    <w:rsid w:val="00B563EA"/>
    <w:rsid w:val="00B56CDF"/>
    <w:rsid w:val="00B60E51"/>
    <w:rsid w:val="00B63A54"/>
    <w:rsid w:val="00B667A1"/>
    <w:rsid w:val="00B77D18"/>
    <w:rsid w:val="00B8313A"/>
    <w:rsid w:val="00B906E9"/>
    <w:rsid w:val="00B93503"/>
    <w:rsid w:val="00B9368E"/>
    <w:rsid w:val="00BA16EF"/>
    <w:rsid w:val="00BA31E8"/>
    <w:rsid w:val="00BA55E0"/>
    <w:rsid w:val="00BA6BD4"/>
    <w:rsid w:val="00BA6C7A"/>
    <w:rsid w:val="00BB17D1"/>
    <w:rsid w:val="00BB3752"/>
    <w:rsid w:val="00BB6688"/>
    <w:rsid w:val="00BC1DC0"/>
    <w:rsid w:val="00BC26D4"/>
    <w:rsid w:val="00BC3EE0"/>
    <w:rsid w:val="00BC567B"/>
    <w:rsid w:val="00BD01C0"/>
    <w:rsid w:val="00BE0C80"/>
    <w:rsid w:val="00BF286A"/>
    <w:rsid w:val="00BF2A42"/>
    <w:rsid w:val="00BF6A5C"/>
    <w:rsid w:val="00C01FE9"/>
    <w:rsid w:val="00C03C1C"/>
    <w:rsid w:val="00C03D8C"/>
    <w:rsid w:val="00C055EC"/>
    <w:rsid w:val="00C07432"/>
    <w:rsid w:val="00C07923"/>
    <w:rsid w:val="00C10DC9"/>
    <w:rsid w:val="00C12FB3"/>
    <w:rsid w:val="00C13F0D"/>
    <w:rsid w:val="00C17341"/>
    <w:rsid w:val="00C22500"/>
    <w:rsid w:val="00C24EEF"/>
    <w:rsid w:val="00C25CF6"/>
    <w:rsid w:val="00C26C36"/>
    <w:rsid w:val="00C30534"/>
    <w:rsid w:val="00C30644"/>
    <w:rsid w:val="00C32768"/>
    <w:rsid w:val="00C35EB9"/>
    <w:rsid w:val="00C42BD7"/>
    <w:rsid w:val="00C431DF"/>
    <w:rsid w:val="00C456BD"/>
    <w:rsid w:val="00C460B3"/>
    <w:rsid w:val="00C530DC"/>
    <w:rsid w:val="00C5350D"/>
    <w:rsid w:val="00C60995"/>
    <w:rsid w:val="00C6123C"/>
    <w:rsid w:val="00C621BB"/>
    <w:rsid w:val="00C6311A"/>
    <w:rsid w:val="00C64C44"/>
    <w:rsid w:val="00C7084D"/>
    <w:rsid w:val="00C723E1"/>
    <w:rsid w:val="00C7315E"/>
    <w:rsid w:val="00C7556B"/>
    <w:rsid w:val="00C75895"/>
    <w:rsid w:val="00C83C9F"/>
    <w:rsid w:val="00C94519"/>
    <w:rsid w:val="00C94840"/>
    <w:rsid w:val="00CA4EE3"/>
    <w:rsid w:val="00CA5048"/>
    <w:rsid w:val="00CA76A8"/>
    <w:rsid w:val="00CB027F"/>
    <w:rsid w:val="00CB2133"/>
    <w:rsid w:val="00CC0EBB"/>
    <w:rsid w:val="00CC6297"/>
    <w:rsid w:val="00CC7690"/>
    <w:rsid w:val="00CD1986"/>
    <w:rsid w:val="00CD54BF"/>
    <w:rsid w:val="00CD5FF4"/>
    <w:rsid w:val="00CE4D5C"/>
    <w:rsid w:val="00CE6051"/>
    <w:rsid w:val="00CF05DA"/>
    <w:rsid w:val="00CF062B"/>
    <w:rsid w:val="00CF54C2"/>
    <w:rsid w:val="00CF58EB"/>
    <w:rsid w:val="00CF6FEC"/>
    <w:rsid w:val="00D0106E"/>
    <w:rsid w:val="00D021F5"/>
    <w:rsid w:val="00D06383"/>
    <w:rsid w:val="00D07EA1"/>
    <w:rsid w:val="00D148C9"/>
    <w:rsid w:val="00D20D26"/>
    <w:rsid w:val="00D20E85"/>
    <w:rsid w:val="00D243C0"/>
    <w:rsid w:val="00D24615"/>
    <w:rsid w:val="00D3263E"/>
    <w:rsid w:val="00D36C85"/>
    <w:rsid w:val="00D37385"/>
    <w:rsid w:val="00D3775D"/>
    <w:rsid w:val="00D37842"/>
    <w:rsid w:val="00D42B0B"/>
    <w:rsid w:val="00D42DC2"/>
    <w:rsid w:val="00D4302B"/>
    <w:rsid w:val="00D45FA4"/>
    <w:rsid w:val="00D50CC1"/>
    <w:rsid w:val="00D537E1"/>
    <w:rsid w:val="00D5457A"/>
    <w:rsid w:val="00D55BB2"/>
    <w:rsid w:val="00D6091A"/>
    <w:rsid w:val="00D65DB9"/>
    <w:rsid w:val="00D6605A"/>
    <w:rsid w:val="00D6695F"/>
    <w:rsid w:val="00D75644"/>
    <w:rsid w:val="00D80F89"/>
    <w:rsid w:val="00D81656"/>
    <w:rsid w:val="00D83D87"/>
    <w:rsid w:val="00D846D0"/>
    <w:rsid w:val="00D84A6D"/>
    <w:rsid w:val="00D85B6E"/>
    <w:rsid w:val="00D86A30"/>
    <w:rsid w:val="00D91A8C"/>
    <w:rsid w:val="00D94CA9"/>
    <w:rsid w:val="00D963CD"/>
    <w:rsid w:val="00D97CB4"/>
    <w:rsid w:val="00D97DD4"/>
    <w:rsid w:val="00DA5A8A"/>
    <w:rsid w:val="00DB1170"/>
    <w:rsid w:val="00DB26CD"/>
    <w:rsid w:val="00DB441C"/>
    <w:rsid w:val="00DB44AF"/>
    <w:rsid w:val="00DC1C4E"/>
    <w:rsid w:val="00DC1F58"/>
    <w:rsid w:val="00DC339B"/>
    <w:rsid w:val="00DC5D40"/>
    <w:rsid w:val="00DC69A7"/>
    <w:rsid w:val="00DC6E34"/>
    <w:rsid w:val="00DD2A10"/>
    <w:rsid w:val="00DD30E9"/>
    <w:rsid w:val="00DD4F47"/>
    <w:rsid w:val="00DD72E6"/>
    <w:rsid w:val="00DD7FBB"/>
    <w:rsid w:val="00DE0B9F"/>
    <w:rsid w:val="00DE1D46"/>
    <w:rsid w:val="00DE2A9E"/>
    <w:rsid w:val="00DE3195"/>
    <w:rsid w:val="00DE4238"/>
    <w:rsid w:val="00DE6208"/>
    <w:rsid w:val="00DE657F"/>
    <w:rsid w:val="00DF1218"/>
    <w:rsid w:val="00DF6462"/>
    <w:rsid w:val="00E02FA0"/>
    <w:rsid w:val="00E036DC"/>
    <w:rsid w:val="00E04CE0"/>
    <w:rsid w:val="00E07414"/>
    <w:rsid w:val="00E10454"/>
    <w:rsid w:val="00E112E5"/>
    <w:rsid w:val="00E122D8"/>
    <w:rsid w:val="00E12CC8"/>
    <w:rsid w:val="00E13115"/>
    <w:rsid w:val="00E15352"/>
    <w:rsid w:val="00E21CC7"/>
    <w:rsid w:val="00E247A5"/>
    <w:rsid w:val="00E24D9E"/>
    <w:rsid w:val="00E25849"/>
    <w:rsid w:val="00E270F3"/>
    <w:rsid w:val="00E27E94"/>
    <w:rsid w:val="00E3197E"/>
    <w:rsid w:val="00E3365E"/>
    <w:rsid w:val="00E342F8"/>
    <w:rsid w:val="00E351ED"/>
    <w:rsid w:val="00E42B19"/>
    <w:rsid w:val="00E47B01"/>
    <w:rsid w:val="00E51CB2"/>
    <w:rsid w:val="00E6034B"/>
    <w:rsid w:val="00E6549E"/>
    <w:rsid w:val="00E65EDE"/>
    <w:rsid w:val="00E70F81"/>
    <w:rsid w:val="00E7263B"/>
    <w:rsid w:val="00E77055"/>
    <w:rsid w:val="00E77460"/>
    <w:rsid w:val="00E80C9D"/>
    <w:rsid w:val="00E80FF3"/>
    <w:rsid w:val="00E83ABC"/>
    <w:rsid w:val="00E83B7A"/>
    <w:rsid w:val="00E844F2"/>
    <w:rsid w:val="00E90AD0"/>
    <w:rsid w:val="00E92FBA"/>
    <w:rsid w:val="00E92FCB"/>
    <w:rsid w:val="00E94FA6"/>
    <w:rsid w:val="00EA147F"/>
    <w:rsid w:val="00EA2C5C"/>
    <w:rsid w:val="00EA3FB9"/>
    <w:rsid w:val="00EA4A27"/>
    <w:rsid w:val="00EA4FA6"/>
    <w:rsid w:val="00EB1A25"/>
    <w:rsid w:val="00EB3BE3"/>
    <w:rsid w:val="00EB3E67"/>
    <w:rsid w:val="00EC5FB3"/>
    <w:rsid w:val="00EC7363"/>
    <w:rsid w:val="00ED03AB"/>
    <w:rsid w:val="00ED16AB"/>
    <w:rsid w:val="00ED1963"/>
    <w:rsid w:val="00ED1CD4"/>
    <w:rsid w:val="00ED1D2B"/>
    <w:rsid w:val="00ED32C7"/>
    <w:rsid w:val="00ED64B5"/>
    <w:rsid w:val="00EE2DFA"/>
    <w:rsid w:val="00EE7CCA"/>
    <w:rsid w:val="00EF1138"/>
    <w:rsid w:val="00F06E53"/>
    <w:rsid w:val="00F07F82"/>
    <w:rsid w:val="00F11E8C"/>
    <w:rsid w:val="00F16A14"/>
    <w:rsid w:val="00F16F7C"/>
    <w:rsid w:val="00F2444B"/>
    <w:rsid w:val="00F31F40"/>
    <w:rsid w:val="00F362D7"/>
    <w:rsid w:val="00F37CD4"/>
    <w:rsid w:val="00F37D7B"/>
    <w:rsid w:val="00F47FE3"/>
    <w:rsid w:val="00F51617"/>
    <w:rsid w:val="00F525FE"/>
    <w:rsid w:val="00F5314C"/>
    <w:rsid w:val="00F54A69"/>
    <w:rsid w:val="00F5688C"/>
    <w:rsid w:val="00F60048"/>
    <w:rsid w:val="00F635DD"/>
    <w:rsid w:val="00F6627B"/>
    <w:rsid w:val="00F7336E"/>
    <w:rsid w:val="00F734F2"/>
    <w:rsid w:val="00F75052"/>
    <w:rsid w:val="00F804D3"/>
    <w:rsid w:val="00F816CB"/>
    <w:rsid w:val="00F81CD2"/>
    <w:rsid w:val="00F82641"/>
    <w:rsid w:val="00F85EB9"/>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D7756"/>
    <w:rsid w:val="00FE4516"/>
    <w:rsid w:val="00FE4918"/>
    <w:rsid w:val="00FE64C8"/>
    <w:rsid w:val="00FE69A9"/>
    <w:rsid w:val="00FF502B"/>
    <w:rsid w:val="00FF7A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001C5"/>
    <w:pPr>
      <w:snapToGrid w:val="0"/>
      <w:jc w:val="left"/>
    </w:pPr>
    <w:rPr>
      <w:sz w:val="20"/>
    </w:rPr>
  </w:style>
  <w:style w:type="character" w:customStyle="1" w:styleId="afd">
    <w:name w:val="註腳文字 字元"/>
    <w:basedOn w:val="a7"/>
    <w:link w:val="afc"/>
    <w:uiPriority w:val="99"/>
    <w:semiHidden/>
    <w:rsid w:val="001001C5"/>
    <w:rPr>
      <w:rFonts w:ascii="標楷體" w:eastAsia="標楷體"/>
      <w:kern w:val="2"/>
    </w:rPr>
  </w:style>
  <w:style w:type="character" w:styleId="afe">
    <w:name w:val="footnote reference"/>
    <w:basedOn w:val="a7"/>
    <w:uiPriority w:val="99"/>
    <w:semiHidden/>
    <w:unhideWhenUsed/>
    <w:rsid w:val="001001C5"/>
    <w:rPr>
      <w:vertAlign w:val="superscript"/>
    </w:rPr>
  </w:style>
  <w:style w:type="character" w:customStyle="1" w:styleId="30">
    <w:name w:val="標題 3 字元"/>
    <w:basedOn w:val="a7"/>
    <w:link w:val="3"/>
    <w:rsid w:val="00E27E94"/>
    <w:rPr>
      <w:rFonts w:ascii="標楷體" w:eastAsia="標楷體" w:hAnsi="Arial"/>
      <w:bCs/>
      <w:kern w:val="32"/>
      <w:sz w:val="32"/>
      <w:szCs w:val="36"/>
    </w:rPr>
  </w:style>
  <w:style w:type="character" w:customStyle="1" w:styleId="40">
    <w:name w:val="標題 4 字元"/>
    <w:basedOn w:val="a7"/>
    <w:link w:val="4"/>
    <w:rsid w:val="00E27E9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512616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2026-07-23T03:12:00Z</dcterms:created>
  <dcterms:modified xsi:type="dcterms:W3CDTF">2026-07-23T03:15:00Z</dcterms:modified>
  <cp:contentStatus/>
</cp:coreProperties>
</file>