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562F4" w14:textId="23A86306" w:rsidR="00D75644" w:rsidRPr="00080040" w:rsidRDefault="00A83773" w:rsidP="00F37D7B">
      <w:pPr>
        <w:pStyle w:val="af2"/>
      </w:pPr>
      <w:r>
        <w:rPr>
          <w:rFonts w:hint="eastAsia"/>
        </w:rPr>
        <w:t xml:space="preserve"> </w:t>
      </w:r>
      <w:r w:rsidR="0025106C" w:rsidRPr="00080040">
        <w:rPr>
          <w:rFonts w:hint="eastAsia"/>
        </w:rPr>
        <w:t>糾正案文</w:t>
      </w:r>
    </w:p>
    <w:p w14:paraId="0F41F57F" w14:textId="0DEB971A" w:rsidR="00E25849" w:rsidRDefault="0025106C" w:rsidP="00F231DC">
      <w:pPr>
        <w:pStyle w:val="1"/>
      </w:pPr>
      <w:r>
        <w:rPr>
          <w:rFonts w:hint="eastAsia"/>
        </w:rPr>
        <w:t>被糾正機關：</w:t>
      </w:r>
      <w:r w:rsidR="00681A7B">
        <w:rPr>
          <w:rFonts w:hAnsi="標楷體" w:hint="eastAsia"/>
        </w:rPr>
        <w:t>法務部</w:t>
      </w:r>
    </w:p>
    <w:p w14:paraId="7073CE38" w14:textId="3A3CB00A" w:rsidR="00E25849" w:rsidRDefault="0025106C" w:rsidP="00DE42B9">
      <w:pPr>
        <w:pStyle w:val="1"/>
      </w:pPr>
      <w:r>
        <w:rPr>
          <w:rFonts w:hint="eastAsia"/>
        </w:rPr>
        <w:t>案　　　由：</w:t>
      </w:r>
      <w:r w:rsidR="003433A5" w:rsidRPr="003433A5">
        <w:rPr>
          <w:rFonts w:hAnsi="標楷體" w:hint="eastAsia"/>
        </w:rPr>
        <w:t>臺灣高等檢察署及所屬各級檢察署等機關設置「偵查庭」進行訊問，其席位配置嚴重阻礙辯護人實施即時、有效之辯護權</w:t>
      </w:r>
      <w:r w:rsidR="003433A5">
        <w:rPr>
          <w:rFonts w:hAnsi="標楷體" w:hint="eastAsia"/>
        </w:rPr>
        <w:t>，</w:t>
      </w:r>
      <w:r w:rsidR="003433A5" w:rsidRPr="003433A5">
        <w:rPr>
          <w:rFonts w:hAnsi="標楷體" w:hint="eastAsia"/>
        </w:rPr>
        <w:t>且該配置僅以行政規則為據，實質限制人身自由，核有違反法律保留原則。</w:t>
      </w:r>
      <w:r w:rsidR="003433A5">
        <w:rPr>
          <w:rFonts w:hAnsi="標楷體" w:hint="eastAsia"/>
        </w:rPr>
        <w:t>又</w:t>
      </w:r>
      <w:r w:rsidR="003433A5" w:rsidRPr="003433A5">
        <w:rPr>
          <w:rFonts w:hAnsi="標楷體" w:hint="eastAsia"/>
        </w:rPr>
        <w:t>法務部於本院行文督促改善後，非但未積極作為，反屢以「法經濟分析」或「成本效益」等說詞推諉，</w:t>
      </w:r>
      <w:r w:rsidR="003433A5">
        <w:rPr>
          <w:rFonts w:hAnsi="標楷體" w:hint="eastAsia"/>
        </w:rPr>
        <w:t>僅</w:t>
      </w:r>
      <w:r w:rsidR="003433A5" w:rsidRPr="003433A5">
        <w:rPr>
          <w:rFonts w:hAnsi="標楷體" w:hint="eastAsia"/>
        </w:rPr>
        <w:t>發布空泛函釋搪塞，致使相關改善進度嚴重稽延、無實質成效，</w:t>
      </w:r>
      <w:r w:rsidR="007E2C79">
        <w:rPr>
          <w:rFonts w:hAnsi="標楷體" w:hint="eastAsia"/>
        </w:rPr>
        <w:t>確有怠失</w:t>
      </w:r>
      <w:r w:rsidR="00E0737D" w:rsidRPr="00E0737D">
        <w:rPr>
          <w:rFonts w:hAnsi="標楷體" w:hint="eastAsia"/>
        </w:rPr>
        <w:t>，爰依法提案糾正。</w:t>
      </w:r>
    </w:p>
    <w:p w14:paraId="25BB2651" w14:textId="1AF93EDB"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C421230" w14:textId="7536E972" w:rsidR="00B83C6B" w:rsidRDefault="007E2C79" w:rsidP="007E2C79">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於陳訴人反映檢察機關設置偵查庭進行訊問疑無法律依據且違反多項憲法原則。經本院調閱法務部機關卷證，並於民國（下同）113年7月18日及9月12日諮詢專家學者，又於113年8月26日現場履勘臺灣宜蘭地方檢察署（下稱宜蘭地檢署）及詢問案關人員。另經本院司法及獄政委員會第6屆第67次會議決議，授權調查委員於115年4月13日邀集法務部機關首長辦理詢問，以釐清改善進度。惟經本院屢次核簽促請改善及詢問修正相關規定進度後發現，法務部就偵查庭之設置與管理確有以下違失，應予糾正促其注意改善：</w:t>
      </w:r>
    </w:p>
    <w:p w14:paraId="1DC0937B" w14:textId="5BCB9F1A" w:rsidR="00C7084D" w:rsidRPr="00BD7D5D" w:rsidRDefault="00DC1A02" w:rsidP="00097136">
      <w:pPr>
        <w:pStyle w:val="2"/>
      </w:pPr>
      <w:r w:rsidRPr="00DC1A02">
        <w:rPr>
          <w:rFonts w:hint="eastAsia"/>
        </w:rPr>
        <w:t>偵查庭席位配置剝奪被告受律師協助權利，法務部於本院指正後仍執迷於成本效益而屢次不改</w:t>
      </w:r>
      <w:r w:rsidR="00133EA9">
        <w:rPr>
          <w:rFonts w:hint="eastAsia"/>
        </w:rPr>
        <w:t>。</w:t>
      </w:r>
    </w:p>
    <w:p w14:paraId="695B149E" w14:textId="0E280648" w:rsidR="00DC1A02" w:rsidRDefault="00DC1A02" w:rsidP="00DC1A02">
      <w:pPr>
        <w:pStyle w:val="20"/>
        <w:ind w:left="1020" w:firstLine="680"/>
      </w:pPr>
      <w:r>
        <w:rPr>
          <w:rFonts w:hint="eastAsia"/>
        </w:rPr>
        <w:t>本案經本院於114年1月15日函請法務部確實檢討改善，然法務部竟於114年7月2日辦理之座談會中，諮詢學者以「法經濟分析」角度，認調整席位將增加「行政成本」及「位置調整成本」而無顯著效益，主張無</w:t>
      </w:r>
      <w:r>
        <w:rPr>
          <w:rFonts w:hint="eastAsia"/>
        </w:rPr>
        <w:lastRenderedPageBreak/>
        <w:t>需更動。此舉顯然將國家行政成本置於憲法保障之人民訴訟權與辯護權之上。本院核提意見嚴正指出，我國檢察官實質掌握拘提、通緝、具結、限制出境等多項強制處分權，實質地位接近「預審法官」，其偵查庭配置即應遵守聯合國公民及政治權利國際公約第14條之平等對待原則。法務部無視本院對「武器平等原則」之要求，一再以成本理由拒絕修正辯護人席位，顯有違失</w:t>
      </w:r>
      <w:r w:rsidR="007E2C79">
        <w:rPr>
          <w:rFonts w:hint="eastAsia"/>
        </w:rPr>
        <w:t>。</w:t>
      </w:r>
    </w:p>
    <w:p w14:paraId="7FE69991" w14:textId="70156B5A" w:rsidR="00B443E4" w:rsidRDefault="00DC1A02" w:rsidP="00DC1A02">
      <w:pPr>
        <w:pStyle w:val="2"/>
      </w:pPr>
      <w:r w:rsidRPr="00DC1A02">
        <w:rPr>
          <w:rFonts w:hint="eastAsia"/>
        </w:rPr>
        <w:t>偵查庭管理規範法源位階低落且侵犯基本權，法務部怠於完善法制，嚴重斲傷民主憲政基礎</w:t>
      </w:r>
      <w:r>
        <w:rPr>
          <w:rFonts w:hint="eastAsia"/>
        </w:rPr>
        <w:t>。</w:t>
      </w:r>
    </w:p>
    <w:p w14:paraId="4C9E3F3E" w14:textId="72ED17DE" w:rsidR="003B3C07" w:rsidRDefault="00DC1A02" w:rsidP="00DC1A02">
      <w:pPr>
        <w:pStyle w:val="20"/>
        <w:ind w:left="1020" w:firstLine="680"/>
      </w:pPr>
      <w:r>
        <w:rPr>
          <w:rFonts w:hint="eastAsia"/>
        </w:rPr>
        <w:t>目前規範偵查庭之「臺灣高等檢察署及所屬各級檢察署偵查庭管理要點」僅屬行政規則位階，卻包含禁止錄音錄影、安全檢查、命退出偵查庭等涉及人身及言論自由之限制規定，顯已違反憲法第23條法律保留原則及司法院釋字第443號解釋。本院調查意見早已指明應提升其法源位階，然法務部至今仍未見具體修法動作，持續以權宜之行政規則主宰偵查程序，縱使本院多次督促，法務部仍不思法制健全之作為，實屬失職。</w:t>
      </w:r>
    </w:p>
    <w:p w14:paraId="3B66C079" w14:textId="05AECC5F" w:rsidR="00DC1A02" w:rsidRDefault="00DC1A02" w:rsidP="00DC1A02">
      <w:pPr>
        <w:pStyle w:val="2"/>
      </w:pPr>
      <w:r w:rsidRPr="00DC1A02">
        <w:rPr>
          <w:rFonts w:hint="eastAsia"/>
        </w:rPr>
        <w:t>宜蘭地檢署偵查主體誤認問題未見澈底根除，相關處置措施欠缺一致標準且遲誤見復</w:t>
      </w:r>
      <w:r>
        <w:rPr>
          <w:rFonts w:hint="eastAsia"/>
        </w:rPr>
        <w:t>。</w:t>
      </w:r>
    </w:p>
    <w:p w14:paraId="262410FB" w14:textId="06094D9B" w:rsidR="00DC1A02" w:rsidRDefault="00DC1A02" w:rsidP="00DC1A02">
      <w:pPr>
        <w:pStyle w:val="20"/>
        <w:ind w:left="1020" w:firstLine="680"/>
      </w:pPr>
      <w:r>
        <w:rPr>
          <w:rFonts w:hint="eastAsia"/>
        </w:rPr>
        <w:t>關於宜蘭地檢署檢察事務官坐於檢察官席詢問致生誤認一事，雖該署聲稱已有所改善，然經本院履勘發現，其所謂「個案調整」機制缺乏全國統一之執行標準。法務部雖於115年4月2日行文各級檢察機關要求「視個案調整」，卻未明定具體標準，亦未通知全國各律師公會相關配套措施，導致實務落實恐生落差。且本院前次核簽原定法務部應於115年1月底辦理見復，該部卻無故遲誤，足見其對本院監督建議採取消極應對態度，漠視人民權益之保障。</w:t>
      </w:r>
    </w:p>
    <w:p w14:paraId="2B46EF76" w14:textId="6BC6B84F" w:rsidR="00DC1A02" w:rsidRDefault="00DC1A02" w:rsidP="00DC1A02">
      <w:pPr>
        <w:pStyle w:val="2"/>
      </w:pPr>
      <w:r w:rsidRPr="00DC1A02">
        <w:rPr>
          <w:rFonts w:hint="eastAsia"/>
        </w:rPr>
        <w:lastRenderedPageBreak/>
        <w:t>法務部對偵查環境改善敷衍塞責，相關配套流於形式，難謂已盡監督職責</w:t>
      </w:r>
      <w:r>
        <w:rPr>
          <w:rFonts w:hint="eastAsia"/>
        </w:rPr>
        <w:t>。</w:t>
      </w:r>
    </w:p>
    <w:p w14:paraId="3B76981A" w14:textId="1EEF4235" w:rsidR="00DC1A02" w:rsidRPr="00C7084D" w:rsidRDefault="00DC1A02" w:rsidP="00DC1A02">
      <w:pPr>
        <w:pStyle w:val="20"/>
        <w:ind w:left="1020" w:firstLine="680"/>
      </w:pPr>
      <w:r>
        <w:rPr>
          <w:rFonts w:hint="eastAsia"/>
        </w:rPr>
        <w:t>法務部雖於115年4月函復稱已函知各機關落實程序保障及賦予陳述意見權，惟查該函內容多屬重複現行注意事項之空泛宣示，對於如何將辯護人席位調整至被告身旁、如何落實受辯護權等關鍵核心問題，仍委由各地檢署「彈性處理」。法務部身為最高檢察行政機關，對本院指出之冤案風險（如蘇建和、江國慶案等均始於偵查階段違失）視而不見，對於改善偵查環境之進度嚴重推拖，顯見其監督不</w:t>
      </w:r>
      <w:r w:rsidR="00133EA9">
        <w:rPr>
          <w:rFonts w:hint="eastAsia"/>
        </w:rPr>
        <w:t>周</w:t>
      </w:r>
      <w:r>
        <w:rPr>
          <w:rFonts w:hint="eastAsia"/>
        </w:rPr>
        <w:t>，確有重大違失。</w:t>
      </w:r>
    </w:p>
    <w:p w14:paraId="63975B6B" w14:textId="77777777" w:rsidR="003433A5" w:rsidRPr="00CC263F" w:rsidRDefault="003433A5" w:rsidP="00C86866">
      <w:pPr>
        <w:pStyle w:val="10"/>
        <w:ind w:left="680" w:firstLine="680"/>
      </w:pPr>
      <w:bookmarkStart w:id="41" w:name="_Toc524902730"/>
      <w:bookmarkEnd w:id="35"/>
      <w:bookmarkEnd w:id="36"/>
      <w:bookmarkEnd w:id="37"/>
      <w:bookmarkEnd w:id="38"/>
      <w:bookmarkEnd w:id="39"/>
      <w:bookmarkEnd w:id="40"/>
    </w:p>
    <w:p w14:paraId="42996E26" w14:textId="3B23B303" w:rsidR="00286B1B" w:rsidRDefault="000512D1" w:rsidP="00C86866">
      <w:pPr>
        <w:pStyle w:val="10"/>
        <w:ind w:left="680" w:firstLine="680"/>
      </w:pPr>
      <w:r>
        <w:rPr>
          <w:rFonts w:hint="eastAsia"/>
        </w:rPr>
        <w:t>綜上所述，</w:t>
      </w:r>
      <w:r w:rsidR="00DC1A02" w:rsidRPr="00DC1A02">
        <w:rPr>
          <w:rFonts w:hint="eastAsia"/>
        </w:rPr>
        <w:t>法務部對於所屬檢察機關偵查庭之法律規範、席位配置及實體改善進度，經本院多次行文指正後，仍多方推諉、屢次不改，核有違失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7E2C79">
        <w:rPr>
          <w:rFonts w:hint="eastAsia"/>
        </w:rPr>
        <w:t>行政院</w:t>
      </w:r>
      <w:r>
        <w:rPr>
          <w:rFonts w:hint="eastAsia"/>
        </w:rPr>
        <w:t>轉飭所屬確實檢討改善見復</w:t>
      </w:r>
      <w:r w:rsidR="00286B1B">
        <w:rPr>
          <w:rFonts w:hint="eastAsia"/>
        </w:rPr>
        <w:t>。</w:t>
      </w:r>
    </w:p>
    <w:p w14:paraId="13237EF3" w14:textId="33594469" w:rsidR="00286B1B" w:rsidRDefault="00286B1B" w:rsidP="005F250D">
      <w:pPr>
        <w:pStyle w:val="aa"/>
        <w:spacing w:beforeLines="150" w:before="685" w:after="0" w:line="460" w:lineRule="exact"/>
        <w:ind w:leftChars="1100" w:left="3742"/>
        <w:rPr>
          <w:b w:val="0"/>
          <w:bCs/>
          <w:snapToGrid/>
          <w:spacing w:val="12"/>
          <w:kern w:val="0"/>
          <w:sz w:val="40"/>
        </w:rPr>
      </w:pPr>
      <w:r w:rsidRPr="006D0935">
        <w:rPr>
          <w:rFonts w:hint="eastAsia"/>
          <w:b w:val="0"/>
          <w:bCs/>
          <w:snapToGrid/>
          <w:spacing w:val="12"/>
          <w:kern w:val="0"/>
          <w:sz w:val="40"/>
        </w:rPr>
        <w:t>提案委員：</w:t>
      </w:r>
      <w:r w:rsidR="002A6741">
        <w:rPr>
          <w:rFonts w:hint="eastAsia"/>
          <w:b w:val="0"/>
          <w:bCs/>
          <w:snapToGrid/>
          <w:spacing w:val="12"/>
          <w:kern w:val="0"/>
          <w:sz w:val="40"/>
        </w:rPr>
        <w:t>高涌誠</w:t>
      </w:r>
    </w:p>
    <w:p w14:paraId="6E94BB60" w14:textId="47D38101" w:rsidR="005F250D" w:rsidRDefault="005F250D" w:rsidP="005F250D">
      <w:pPr>
        <w:pStyle w:val="aa"/>
        <w:spacing w:beforeLines="150" w:before="685" w:after="0" w:line="460" w:lineRule="exact"/>
        <w:ind w:leftChars="1150" w:left="3912"/>
        <w:rPr>
          <w:b w:val="0"/>
          <w:bCs/>
          <w:snapToGrid/>
          <w:spacing w:val="12"/>
          <w:kern w:val="0"/>
          <w:sz w:val="40"/>
        </w:rPr>
      </w:pPr>
      <w:r>
        <w:rPr>
          <w:rFonts w:hint="eastAsia"/>
          <w:b w:val="0"/>
          <w:bCs/>
          <w:snapToGrid/>
          <w:spacing w:val="12"/>
          <w:kern w:val="0"/>
          <w:sz w:val="40"/>
        </w:rPr>
        <w:t xml:space="preserve">         </w:t>
      </w:r>
      <w:r>
        <w:rPr>
          <w:b w:val="0"/>
          <w:bCs/>
          <w:snapToGrid/>
          <w:spacing w:val="12"/>
          <w:kern w:val="0"/>
          <w:sz w:val="40"/>
        </w:rPr>
        <w:t>林郁容</w:t>
      </w:r>
    </w:p>
    <w:p w14:paraId="4ECC3585" w14:textId="77777777" w:rsidR="007E2C79" w:rsidRDefault="007E2C79" w:rsidP="008A288A">
      <w:pPr>
        <w:pStyle w:val="aa"/>
        <w:spacing w:beforeLines="150" w:before="685" w:after="0"/>
        <w:ind w:leftChars="1100" w:left="3742"/>
        <w:rPr>
          <w:b w:val="0"/>
          <w:bCs/>
          <w:snapToGrid/>
          <w:spacing w:val="12"/>
          <w:kern w:val="0"/>
          <w:sz w:val="40"/>
        </w:rPr>
      </w:pPr>
    </w:p>
    <w:p w14:paraId="00AC0F00" w14:textId="77777777" w:rsidR="007E2C79" w:rsidRPr="006D0935" w:rsidRDefault="007E2C79" w:rsidP="008A288A">
      <w:pPr>
        <w:pStyle w:val="aa"/>
        <w:spacing w:beforeLines="150" w:before="685" w:after="0"/>
        <w:ind w:leftChars="1100" w:left="3742"/>
        <w:rPr>
          <w:b w:val="0"/>
          <w:bCs/>
          <w:snapToGrid/>
          <w:spacing w:val="12"/>
          <w:kern w:val="0"/>
          <w:sz w:val="40"/>
        </w:rPr>
      </w:pPr>
    </w:p>
    <w:bookmarkEnd w:id="41"/>
    <w:p w14:paraId="53C9ED45" w14:textId="42F9952D" w:rsidR="00E0634A" w:rsidRPr="00B427FC" w:rsidRDefault="00E0634A" w:rsidP="00E0634A">
      <w:pPr>
        <w:pStyle w:val="aa"/>
        <w:spacing w:before="0" w:after="0"/>
        <w:ind w:leftChars="-12" w:left="879" w:hangingChars="287" w:hanging="920"/>
        <w:rPr>
          <w:bCs/>
          <w:snapToGrid/>
          <w:spacing w:val="0"/>
          <w:kern w:val="0"/>
          <w:sz w:val="30"/>
          <w:szCs w:val="30"/>
          <w:highlight w:val="yellow"/>
        </w:rPr>
      </w:pPr>
    </w:p>
    <w:sectPr w:rsidR="00E0634A" w:rsidRPr="00B427F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E7CCC" w14:textId="77777777" w:rsidR="00263D79" w:rsidRDefault="00263D79">
      <w:r>
        <w:separator/>
      </w:r>
    </w:p>
  </w:endnote>
  <w:endnote w:type="continuationSeparator" w:id="0">
    <w:p w14:paraId="5871251A" w14:textId="77777777" w:rsidR="00263D79" w:rsidRDefault="00263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9CD3"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1CA1A9B"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75382" w14:textId="77777777" w:rsidR="00263D79" w:rsidRDefault="00263D79">
      <w:r>
        <w:separator/>
      </w:r>
    </w:p>
  </w:footnote>
  <w:footnote w:type="continuationSeparator" w:id="0">
    <w:p w14:paraId="4A98DEDF" w14:textId="77777777" w:rsidR="00263D79" w:rsidRDefault="00263D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608B3A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560701445">
    <w:abstractNumId w:val="2"/>
  </w:num>
  <w:num w:numId="2" w16cid:durableId="1323121697">
    <w:abstractNumId w:val="3"/>
  </w:num>
  <w:num w:numId="3" w16cid:durableId="225456572">
    <w:abstractNumId w:val="1"/>
  </w:num>
  <w:num w:numId="4" w16cid:durableId="1957759666">
    <w:abstractNumId w:val="2"/>
  </w:num>
  <w:num w:numId="5" w16cid:durableId="1036005807">
    <w:abstractNumId w:val="2"/>
  </w:num>
  <w:num w:numId="6" w16cid:durableId="1235432906">
    <w:abstractNumId w:val="2"/>
  </w:num>
  <w:num w:numId="7" w16cid:durableId="1196387659">
    <w:abstractNumId w:val="2"/>
  </w:num>
  <w:num w:numId="8" w16cid:durableId="1768230805">
    <w:abstractNumId w:val="2"/>
  </w:num>
  <w:num w:numId="9" w16cid:durableId="114371953">
    <w:abstractNumId w:val="2"/>
  </w:num>
  <w:num w:numId="10" w16cid:durableId="1091127134">
    <w:abstractNumId w:val="2"/>
  </w:num>
  <w:num w:numId="11" w16cid:durableId="2017421908">
    <w:abstractNumId w:val="2"/>
  </w:num>
  <w:num w:numId="12" w16cid:durableId="1228611365">
    <w:abstractNumId w:val="2"/>
  </w:num>
  <w:num w:numId="13" w16cid:durableId="160049526">
    <w:abstractNumId w:val="2"/>
  </w:num>
  <w:num w:numId="14" w16cid:durableId="1187790999">
    <w:abstractNumId w:val="2"/>
  </w:num>
  <w:num w:numId="15" w16cid:durableId="1164395135">
    <w:abstractNumId w:val="2"/>
  </w:num>
  <w:num w:numId="16" w16cid:durableId="58358939">
    <w:abstractNumId w:val="2"/>
  </w:num>
  <w:num w:numId="17" w16cid:durableId="584608261">
    <w:abstractNumId w:val="2"/>
  </w:num>
  <w:num w:numId="18" w16cid:durableId="1547795737">
    <w:abstractNumId w:val="3"/>
  </w:num>
  <w:num w:numId="19" w16cid:durableId="1121805617">
    <w:abstractNumId w:val="3"/>
    <w:lvlOverride w:ilvl="0">
      <w:startOverride w:val="1"/>
    </w:lvlOverride>
  </w:num>
  <w:num w:numId="20" w16cid:durableId="977494056">
    <w:abstractNumId w:val="2"/>
  </w:num>
  <w:num w:numId="21" w16cid:durableId="1132476617">
    <w:abstractNumId w:val="3"/>
  </w:num>
  <w:num w:numId="22" w16cid:durableId="1494371434">
    <w:abstractNumId w:val="9"/>
  </w:num>
  <w:num w:numId="23" w16cid:durableId="1889029755">
    <w:abstractNumId w:val="7"/>
  </w:num>
  <w:num w:numId="24" w16cid:durableId="1920409451">
    <w:abstractNumId w:val="12"/>
  </w:num>
  <w:num w:numId="25" w16cid:durableId="1824161142">
    <w:abstractNumId w:val="2"/>
  </w:num>
  <w:num w:numId="26" w16cid:durableId="19223738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3597112">
    <w:abstractNumId w:val="2"/>
  </w:num>
  <w:num w:numId="28" w16cid:durableId="2081513418">
    <w:abstractNumId w:val="13"/>
  </w:num>
  <w:num w:numId="29" w16cid:durableId="476260565">
    <w:abstractNumId w:val="13"/>
  </w:num>
  <w:num w:numId="30" w16cid:durableId="734356780">
    <w:abstractNumId w:val="8"/>
  </w:num>
  <w:num w:numId="31" w16cid:durableId="1017929396">
    <w:abstractNumId w:val="8"/>
  </w:num>
  <w:num w:numId="32" w16cid:durableId="1405447065">
    <w:abstractNumId w:val="2"/>
  </w:num>
  <w:num w:numId="33" w16cid:durableId="422845469">
    <w:abstractNumId w:val="2"/>
  </w:num>
  <w:num w:numId="34" w16cid:durableId="794371777">
    <w:abstractNumId w:val="2"/>
  </w:num>
  <w:num w:numId="35" w16cid:durableId="1753427147">
    <w:abstractNumId w:val="6"/>
  </w:num>
  <w:num w:numId="36" w16cid:durableId="2010058950">
    <w:abstractNumId w:val="10"/>
  </w:num>
  <w:num w:numId="37" w16cid:durableId="1787698677">
    <w:abstractNumId w:val="4"/>
  </w:num>
  <w:num w:numId="38" w16cid:durableId="1428890834">
    <w:abstractNumId w:val="0"/>
  </w:num>
  <w:num w:numId="39" w16cid:durableId="352221272">
    <w:abstractNumId w:val="11"/>
  </w:num>
  <w:num w:numId="40" w16cid:durableId="430973907">
    <w:abstractNumId w:val="14"/>
  </w:num>
  <w:num w:numId="41" w16cid:durableId="1473133581">
    <w:abstractNumId w:val="5"/>
  </w:num>
  <w:num w:numId="42" w16cid:durableId="1580480669">
    <w:abstractNumId w:val="2"/>
  </w:num>
  <w:num w:numId="43" w16cid:durableId="844903247">
    <w:abstractNumId w:val="2"/>
  </w:num>
  <w:num w:numId="44" w16cid:durableId="173003223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50778"/>
    <w:rsid w:val="000512D1"/>
    <w:rsid w:val="00057F32"/>
    <w:rsid w:val="00057F34"/>
    <w:rsid w:val="00062A25"/>
    <w:rsid w:val="00073CB5"/>
    <w:rsid w:val="0007425C"/>
    <w:rsid w:val="00075ABC"/>
    <w:rsid w:val="00077553"/>
    <w:rsid w:val="00080040"/>
    <w:rsid w:val="000851A2"/>
    <w:rsid w:val="0008772B"/>
    <w:rsid w:val="0009352E"/>
    <w:rsid w:val="00096B96"/>
    <w:rsid w:val="00097136"/>
    <w:rsid w:val="000A2F3F"/>
    <w:rsid w:val="000B0B4A"/>
    <w:rsid w:val="000B279A"/>
    <w:rsid w:val="000B61D2"/>
    <w:rsid w:val="000B70A7"/>
    <w:rsid w:val="000C495F"/>
    <w:rsid w:val="000E6431"/>
    <w:rsid w:val="000F0D35"/>
    <w:rsid w:val="000F1ED3"/>
    <w:rsid w:val="000F21A5"/>
    <w:rsid w:val="000F4099"/>
    <w:rsid w:val="00102B9F"/>
    <w:rsid w:val="00111CC9"/>
    <w:rsid w:val="00112637"/>
    <w:rsid w:val="0012001E"/>
    <w:rsid w:val="00126A55"/>
    <w:rsid w:val="00133AA2"/>
    <w:rsid w:val="00133EA9"/>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D35E5"/>
    <w:rsid w:val="001D7E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2BC4"/>
    <w:rsid w:val="00254014"/>
    <w:rsid w:val="00255EAC"/>
    <w:rsid w:val="00263D79"/>
    <w:rsid w:val="0026504D"/>
    <w:rsid w:val="0026547E"/>
    <w:rsid w:val="00273A2F"/>
    <w:rsid w:val="00280986"/>
    <w:rsid w:val="00281ECE"/>
    <w:rsid w:val="002831C7"/>
    <w:rsid w:val="002840C6"/>
    <w:rsid w:val="00286B1B"/>
    <w:rsid w:val="00295174"/>
    <w:rsid w:val="00296172"/>
    <w:rsid w:val="00296B92"/>
    <w:rsid w:val="002A2C22"/>
    <w:rsid w:val="002A6741"/>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33A5"/>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4346F"/>
    <w:rsid w:val="00451E78"/>
    <w:rsid w:val="0046520A"/>
    <w:rsid w:val="004672AB"/>
    <w:rsid w:val="004714FE"/>
    <w:rsid w:val="00485CDE"/>
    <w:rsid w:val="00486DBF"/>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F5E57"/>
    <w:rsid w:val="004F6710"/>
    <w:rsid w:val="00502849"/>
    <w:rsid w:val="00504334"/>
    <w:rsid w:val="005104D7"/>
    <w:rsid w:val="00510B9E"/>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D0B13"/>
    <w:rsid w:val="005D1B85"/>
    <w:rsid w:val="005D3B20"/>
    <w:rsid w:val="005E5C68"/>
    <w:rsid w:val="005E65C0"/>
    <w:rsid w:val="005F0390"/>
    <w:rsid w:val="005F250D"/>
    <w:rsid w:val="00612023"/>
    <w:rsid w:val="00614190"/>
    <w:rsid w:val="00622A99"/>
    <w:rsid w:val="00622E67"/>
    <w:rsid w:val="00626EDC"/>
    <w:rsid w:val="006470EC"/>
    <w:rsid w:val="0065598E"/>
    <w:rsid w:val="00655AF2"/>
    <w:rsid w:val="006568BE"/>
    <w:rsid w:val="0066025D"/>
    <w:rsid w:val="006773EC"/>
    <w:rsid w:val="00680504"/>
    <w:rsid w:val="00681A7B"/>
    <w:rsid w:val="00681CD9"/>
    <w:rsid w:val="00683E30"/>
    <w:rsid w:val="00687024"/>
    <w:rsid w:val="00696415"/>
    <w:rsid w:val="006B341F"/>
    <w:rsid w:val="006D3691"/>
    <w:rsid w:val="006E2DCE"/>
    <w:rsid w:val="006E6A40"/>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926BF"/>
    <w:rsid w:val="007A3793"/>
    <w:rsid w:val="007C1BA2"/>
    <w:rsid w:val="007C5BEE"/>
    <w:rsid w:val="007C6943"/>
    <w:rsid w:val="007D20E9"/>
    <w:rsid w:val="007D7881"/>
    <w:rsid w:val="007D7E3A"/>
    <w:rsid w:val="007E0E10"/>
    <w:rsid w:val="007E2C79"/>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1771B"/>
    <w:rsid w:val="00A231D3"/>
    <w:rsid w:val="00A24C95"/>
    <w:rsid w:val="00A26094"/>
    <w:rsid w:val="00A301BF"/>
    <w:rsid w:val="00A302B2"/>
    <w:rsid w:val="00A331B4"/>
    <w:rsid w:val="00A3484E"/>
    <w:rsid w:val="00A36ADA"/>
    <w:rsid w:val="00A438D8"/>
    <w:rsid w:val="00A473F5"/>
    <w:rsid w:val="00A51F9D"/>
    <w:rsid w:val="00A5416A"/>
    <w:rsid w:val="00A639F4"/>
    <w:rsid w:val="00A641CB"/>
    <w:rsid w:val="00A81A32"/>
    <w:rsid w:val="00A835BD"/>
    <w:rsid w:val="00A83773"/>
    <w:rsid w:val="00A87CC3"/>
    <w:rsid w:val="00A97B15"/>
    <w:rsid w:val="00AA42D5"/>
    <w:rsid w:val="00AA68C1"/>
    <w:rsid w:val="00AB2FAB"/>
    <w:rsid w:val="00AB5C14"/>
    <w:rsid w:val="00AC1E04"/>
    <w:rsid w:val="00AC1EE7"/>
    <w:rsid w:val="00AC333F"/>
    <w:rsid w:val="00AC585C"/>
    <w:rsid w:val="00AD1925"/>
    <w:rsid w:val="00AE067D"/>
    <w:rsid w:val="00AE1257"/>
    <w:rsid w:val="00AF1181"/>
    <w:rsid w:val="00AF2F79"/>
    <w:rsid w:val="00AF4653"/>
    <w:rsid w:val="00AF7DB7"/>
    <w:rsid w:val="00B34587"/>
    <w:rsid w:val="00B427FC"/>
    <w:rsid w:val="00B443E4"/>
    <w:rsid w:val="00B45AD8"/>
    <w:rsid w:val="00B46990"/>
    <w:rsid w:val="00B563EA"/>
    <w:rsid w:val="00B60E51"/>
    <w:rsid w:val="00B63A54"/>
    <w:rsid w:val="00B77D18"/>
    <w:rsid w:val="00B8313A"/>
    <w:rsid w:val="00B83C6B"/>
    <w:rsid w:val="00B91DCF"/>
    <w:rsid w:val="00B93503"/>
    <w:rsid w:val="00B93D9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7448"/>
    <w:rsid w:val="00CB027F"/>
    <w:rsid w:val="00CB75BD"/>
    <w:rsid w:val="00CC263F"/>
    <w:rsid w:val="00CC6297"/>
    <w:rsid w:val="00CC7690"/>
    <w:rsid w:val="00CD03D5"/>
    <w:rsid w:val="00CD1986"/>
    <w:rsid w:val="00CE4D5C"/>
    <w:rsid w:val="00CF05DA"/>
    <w:rsid w:val="00CF58EB"/>
    <w:rsid w:val="00D0106E"/>
    <w:rsid w:val="00D06383"/>
    <w:rsid w:val="00D161E2"/>
    <w:rsid w:val="00D20E85"/>
    <w:rsid w:val="00D24615"/>
    <w:rsid w:val="00D24CCB"/>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A02"/>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0737D"/>
    <w:rsid w:val="00E10454"/>
    <w:rsid w:val="00E112E5"/>
    <w:rsid w:val="00E12E74"/>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BBEDC"/>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Pages>
  <Words>236</Words>
  <Characters>1350</Characters>
  <Application>Microsoft Office Word</Application>
  <DocSecurity>0</DocSecurity>
  <Lines>11</Lines>
  <Paragraphs>3</Paragraphs>
  <ScaleCrop>false</ScaleCrop>
  <Company>cy</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賴淑玲</cp:lastModifiedBy>
  <cp:revision>2</cp:revision>
  <cp:lastPrinted>2026-06-23T01:58:00Z</cp:lastPrinted>
  <dcterms:created xsi:type="dcterms:W3CDTF">2026-07-21T06:55:00Z</dcterms:created>
  <dcterms:modified xsi:type="dcterms:W3CDTF">2026-07-21T06:55:00Z</dcterms:modified>
</cp:coreProperties>
</file>