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A40E" w14:textId="77777777" w:rsidR="00D75644" w:rsidRPr="007849A5" w:rsidRDefault="00D20D26" w:rsidP="00F37D7B">
      <w:pPr>
        <w:pStyle w:val="af2"/>
        <w:rPr>
          <w:color w:val="000000" w:themeColor="text1"/>
        </w:rPr>
      </w:pPr>
      <w:r w:rsidRPr="007849A5">
        <w:rPr>
          <w:rFonts w:hint="eastAsia"/>
          <w:color w:val="000000" w:themeColor="text1"/>
        </w:rPr>
        <w:t>調查報告</w:t>
      </w:r>
    </w:p>
    <w:p w14:paraId="04EB3BCD" w14:textId="2EAC1E41" w:rsidR="00E25849" w:rsidRPr="007849A5" w:rsidRDefault="00E25849" w:rsidP="004E05A1">
      <w:pPr>
        <w:pStyle w:val="1"/>
        <w:ind w:left="2380" w:hanging="2380"/>
        <w:rPr>
          <w:color w:val="000000" w:themeColor="text1"/>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1794865"/>
      <w:bookmarkStart w:id="11" w:name="_Toc422834150"/>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7849A5">
        <w:rPr>
          <w:rFonts w:hint="eastAsia"/>
          <w:color w:val="000000" w:themeColor="text1"/>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8E41FE" w:rsidRPr="007849A5">
        <w:rPr>
          <w:rFonts w:hint="eastAsia"/>
          <w:color w:val="000000" w:themeColor="text1"/>
        </w:rPr>
        <w:t>據訴，臺灣高等法院臺中分院審理98年度上重更(七)字第5號渠被訴強制性交殺人案件，疑就檢警不正訊問共同正犯、現場蒐證涉有疑慮等情事未予詳查，率判處死刑；嗣提起上訴，最高法院仍以98年度台上字第3507號判決駁回等情。究本案確定</w:t>
      </w:r>
      <w:r w:rsidR="00056745" w:rsidRPr="007849A5">
        <w:rPr>
          <w:rFonts w:hint="eastAsia"/>
          <w:color w:val="000000" w:themeColor="text1"/>
        </w:rPr>
        <w:t>終局</w:t>
      </w:r>
      <w:r w:rsidR="008E41FE" w:rsidRPr="007849A5">
        <w:rPr>
          <w:rFonts w:hint="eastAsia"/>
          <w:color w:val="000000" w:themeColor="text1"/>
        </w:rPr>
        <w:t>判決有無應調查證據而未予調查等判決違背法令情事？是否有提起非常上訴或再審事由？又案內權責機關是否不當處理相關事證？均有深入瞭解之必要案。</w:t>
      </w:r>
    </w:p>
    <w:p w14:paraId="38053FD5" w14:textId="77777777" w:rsidR="00E25849" w:rsidRPr="007849A5" w:rsidRDefault="00E25849" w:rsidP="004E05A1">
      <w:pPr>
        <w:pStyle w:val="1"/>
        <w:ind w:left="2380" w:hanging="2380"/>
        <w:rPr>
          <w:color w:val="000000" w:themeColor="text1"/>
        </w:rPr>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r w:rsidRPr="007849A5">
        <w:rPr>
          <w:rFonts w:hint="eastAsia"/>
          <w:color w:val="000000" w:themeColor="text1"/>
        </w:rPr>
        <w:t>調查意見：</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C6EAF90" w14:textId="71635E15" w:rsidR="004F6710" w:rsidRPr="007849A5" w:rsidRDefault="00A4591D" w:rsidP="00A639F4">
      <w:pPr>
        <w:pStyle w:val="10"/>
        <w:ind w:left="680" w:firstLine="680"/>
        <w:rPr>
          <w:color w:val="000000" w:themeColor="text1"/>
        </w:rPr>
      </w:pPr>
      <w:bookmarkStart w:id="49" w:name="_Toc524902730"/>
      <w:r w:rsidRPr="007849A5">
        <w:rPr>
          <w:rFonts w:hint="eastAsia"/>
          <w:color w:val="000000" w:themeColor="text1"/>
        </w:rPr>
        <w:t>本案經調閱法務部</w:t>
      </w:r>
      <w:r w:rsidRPr="007849A5">
        <w:rPr>
          <w:rStyle w:val="afe"/>
          <w:color w:val="000000" w:themeColor="text1"/>
        </w:rPr>
        <w:footnoteReference w:id="1"/>
      </w:r>
      <w:r w:rsidRPr="007849A5">
        <w:rPr>
          <w:rFonts w:hint="eastAsia"/>
          <w:color w:val="000000" w:themeColor="text1"/>
        </w:rPr>
        <w:t>、臺灣彰化地方檢察署</w:t>
      </w:r>
      <w:r w:rsidRPr="007849A5">
        <w:rPr>
          <w:rStyle w:val="afe"/>
          <w:color w:val="000000" w:themeColor="text1"/>
        </w:rPr>
        <w:footnoteReference w:id="2"/>
      </w:r>
      <w:r w:rsidRPr="007849A5">
        <w:rPr>
          <w:rFonts w:hint="eastAsia"/>
          <w:color w:val="000000" w:themeColor="text1"/>
        </w:rPr>
        <w:t>(下稱彰化地檢署)、內政部</w:t>
      </w:r>
      <w:r w:rsidRPr="007849A5">
        <w:rPr>
          <w:rStyle w:val="afe"/>
          <w:color w:val="000000" w:themeColor="text1"/>
        </w:rPr>
        <w:footnoteReference w:id="3"/>
      </w:r>
      <w:r w:rsidRPr="007849A5">
        <w:rPr>
          <w:rFonts w:hint="eastAsia"/>
          <w:color w:val="000000" w:themeColor="text1"/>
        </w:rPr>
        <w:t>、內政部警政署</w:t>
      </w:r>
      <w:r w:rsidRPr="007849A5">
        <w:rPr>
          <w:rStyle w:val="afe"/>
          <w:color w:val="000000" w:themeColor="text1"/>
        </w:rPr>
        <w:footnoteReference w:id="4"/>
      </w:r>
      <w:r w:rsidRPr="007849A5">
        <w:rPr>
          <w:rFonts w:hint="eastAsia"/>
          <w:color w:val="000000" w:themeColor="text1"/>
        </w:rPr>
        <w:t>(下稱警政署)、臺灣高等檢察署臺中分署</w:t>
      </w:r>
      <w:r w:rsidRPr="007849A5">
        <w:rPr>
          <w:rStyle w:val="afe"/>
          <w:color w:val="000000" w:themeColor="text1"/>
        </w:rPr>
        <w:footnoteReference w:id="5"/>
      </w:r>
      <w:r w:rsidR="00E97C45" w:rsidRPr="007849A5">
        <w:rPr>
          <w:rFonts w:hint="eastAsia"/>
          <w:color w:val="000000" w:themeColor="text1"/>
        </w:rPr>
        <w:t>(下稱臺中高分檢)</w:t>
      </w:r>
      <w:r w:rsidRPr="007849A5">
        <w:rPr>
          <w:rFonts w:hint="eastAsia"/>
          <w:color w:val="000000" w:themeColor="text1"/>
        </w:rPr>
        <w:t>、彰化縣警察局</w:t>
      </w:r>
      <w:r w:rsidRPr="007849A5">
        <w:rPr>
          <w:rStyle w:val="afe"/>
          <w:color w:val="000000" w:themeColor="text1"/>
        </w:rPr>
        <w:footnoteReference w:id="6"/>
      </w:r>
      <w:r w:rsidRPr="007849A5">
        <w:rPr>
          <w:rFonts w:hint="eastAsia"/>
          <w:color w:val="000000" w:themeColor="text1"/>
        </w:rPr>
        <w:t>、臺中市政府警察局</w:t>
      </w:r>
      <w:r w:rsidRPr="007849A5">
        <w:rPr>
          <w:rStyle w:val="afe"/>
          <w:color w:val="000000" w:themeColor="text1"/>
        </w:rPr>
        <w:footnoteReference w:id="7"/>
      </w:r>
      <w:r w:rsidRPr="007849A5">
        <w:rPr>
          <w:rFonts w:hint="eastAsia"/>
          <w:color w:val="000000" w:themeColor="text1"/>
        </w:rPr>
        <w:t>、嘉義縣警察局</w:t>
      </w:r>
      <w:r w:rsidRPr="007849A5">
        <w:rPr>
          <w:rStyle w:val="afe"/>
          <w:color w:val="000000" w:themeColor="text1"/>
        </w:rPr>
        <w:footnoteReference w:id="8"/>
      </w:r>
      <w:r w:rsidRPr="007849A5">
        <w:rPr>
          <w:rFonts w:hint="eastAsia"/>
          <w:color w:val="000000" w:themeColor="text1"/>
        </w:rPr>
        <w:t>、雲林縣警察局</w:t>
      </w:r>
      <w:r w:rsidRPr="007849A5">
        <w:rPr>
          <w:rStyle w:val="afe"/>
          <w:color w:val="000000" w:themeColor="text1"/>
        </w:rPr>
        <w:footnoteReference w:id="9"/>
      </w:r>
      <w:r w:rsidRPr="007849A5">
        <w:rPr>
          <w:rFonts w:hint="eastAsia"/>
          <w:color w:val="000000" w:themeColor="text1"/>
        </w:rPr>
        <w:t>、雲林縣警察局斗南分局</w:t>
      </w:r>
      <w:r w:rsidRPr="007849A5">
        <w:rPr>
          <w:rStyle w:val="afe"/>
          <w:color w:val="000000" w:themeColor="text1"/>
        </w:rPr>
        <w:footnoteReference w:id="10"/>
      </w:r>
      <w:r w:rsidRPr="007849A5">
        <w:rPr>
          <w:rFonts w:hint="eastAsia"/>
          <w:color w:val="000000" w:themeColor="text1"/>
        </w:rPr>
        <w:t>等機關卷證資料，並於民國(下同)</w:t>
      </w:r>
      <w:r w:rsidRPr="007849A5">
        <w:rPr>
          <w:color w:val="000000" w:themeColor="text1"/>
        </w:rPr>
        <w:t>113年7月22日</w:t>
      </w:r>
      <w:r w:rsidRPr="007849A5">
        <w:rPr>
          <w:rFonts w:hint="eastAsia"/>
          <w:color w:val="000000" w:themeColor="text1"/>
        </w:rPr>
        <w:t>赴</w:t>
      </w:r>
      <w:r w:rsidRPr="007849A5">
        <w:rPr>
          <w:color w:val="000000" w:themeColor="text1"/>
        </w:rPr>
        <w:t>彰化縣警察局芳苑分局草湖派出所</w:t>
      </w:r>
      <w:r w:rsidRPr="007849A5">
        <w:rPr>
          <w:rFonts w:hint="eastAsia"/>
          <w:color w:val="000000" w:themeColor="text1"/>
        </w:rPr>
        <w:t>詢問陳</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color w:val="000000" w:themeColor="text1"/>
        </w:rPr>
        <w:t>實業股份有限公司</w:t>
      </w:r>
      <w:r w:rsidRPr="007849A5">
        <w:rPr>
          <w:rStyle w:val="afe"/>
          <w:color w:val="000000" w:themeColor="text1"/>
        </w:rPr>
        <w:footnoteReference w:id="11"/>
      </w:r>
      <w:r w:rsidRPr="007849A5">
        <w:rPr>
          <w:rFonts w:hAnsi="標楷體" w:hint="eastAsia"/>
          <w:color w:val="000000" w:themeColor="text1"/>
        </w:rPr>
        <w:t>【下稱</w:t>
      </w:r>
      <w:r w:rsidR="008B3794">
        <w:rPr>
          <w:rFonts w:hAnsi="標楷體" w:hint="eastAsia"/>
          <w:color w:val="000000" w:themeColor="text1"/>
        </w:rPr>
        <w:t>○○</w:t>
      </w:r>
      <w:r w:rsidRPr="007849A5">
        <w:rPr>
          <w:color w:val="000000" w:themeColor="text1"/>
        </w:rPr>
        <w:lastRenderedPageBreak/>
        <w:t>公司</w:t>
      </w:r>
      <w:r w:rsidRPr="007849A5">
        <w:rPr>
          <w:rFonts w:hAnsi="標楷體" w:hint="eastAsia"/>
          <w:color w:val="000000" w:themeColor="text1"/>
        </w:rPr>
        <w:t>】</w:t>
      </w:r>
      <w:r w:rsidRPr="007849A5">
        <w:rPr>
          <w:color w:val="000000" w:themeColor="text1"/>
        </w:rPr>
        <w:t>警衛</w:t>
      </w:r>
      <w:r w:rsidRPr="007849A5">
        <w:rPr>
          <w:rFonts w:hint="eastAsia"/>
          <w:color w:val="000000" w:themeColor="text1"/>
        </w:rPr>
        <w:t>)、陳</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rFonts w:hint="eastAsia"/>
          <w:color w:val="000000" w:themeColor="text1"/>
        </w:rPr>
        <w:t>公司打包工)、</w:t>
      </w:r>
      <w:r w:rsidRPr="007849A5">
        <w:rPr>
          <w:color w:val="000000" w:themeColor="text1"/>
        </w:rPr>
        <w:t>陳</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color w:val="000000" w:themeColor="text1"/>
        </w:rPr>
        <w:t>公司外包</w:t>
      </w:r>
      <w:r w:rsidRPr="007849A5">
        <w:rPr>
          <w:rFonts w:hint="eastAsia"/>
          <w:color w:val="000000" w:themeColor="text1"/>
        </w:rPr>
        <w:t>)；</w:t>
      </w:r>
      <w:r w:rsidRPr="007849A5">
        <w:rPr>
          <w:color w:val="000000" w:themeColor="text1"/>
        </w:rPr>
        <w:t>114年9月25日</w:t>
      </w:r>
      <w:r w:rsidRPr="007849A5">
        <w:rPr>
          <w:rFonts w:hint="eastAsia"/>
          <w:color w:val="000000" w:themeColor="text1"/>
        </w:rPr>
        <w:t>赴</w:t>
      </w:r>
      <w:r w:rsidRPr="007849A5">
        <w:rPr>
          <w:rFonts w:hAnsi="標楷體" w:hint="eastAsia"/>
          <w:color w:val="000000" w:themeColor="text1"/>
          <w:szCs w:val="32"/>
        </w:rPr>
        <w:t>臺中市政府警察局第一分局民權派出所詢問</w:t>
      </w:r>
      <w:r w:rsidRPr="007849A5">
        <w:rPr>
          <w:color w:val="000000" w:themeColor="text1"/>
        </w:rPr>
        <w:t>謝</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color w:val="000000" w:themeColor="text1"/>
        </w:rPr>
        <w:t>公司課長</w:t>
      </w:r>
      <w:r w:rsidRPr="007849A5">
        <w:rPr>
          <w:rFonts w:hint="eastAsia"/>
          <w:color w:val="000000" w:themeColor="text1"/>
        </w:rPr>
        <w:t>)；</w:t>
      </w:r>
      <w:r w:rsidRPr="007849A5">
        <w:rPr>
          <w:rFonts w:hAnsi="標楷體"/>
          <w:color w:val="000000" w:themeColor="text1"/>
          <w:szCs w:val="32"/>
        </w:rPr>
        <w:t>11</w:t>
      </w:r>
      <w:r w:rsidRPr="007849A5">
        <w:rPr>
          <w:rFonts w:hAnsi="標楷體" w:hint="eastAsia"/>
          <w:color w:val="000000" w:themeColor="text1"/>
          <w:szCs w:val="32"/>
        </w:rPr>
        <w:t>4年10月13日赴</w:t>
      </w:r>
      <w:r w:rsidRPr="007849A5">
        <w:rPr>
          <w:rFonts w:hAnsi="標楷體"/>
          <w:color w:val="000000" w:themeColor="text1"/>
          <w:szCs w:val="32"/>
        </w:rPr>
        <w:t>彰化縣警察局芳苑分局</w:t>
      </w:r>
      <w:r w:rsidRPr="007849A5">
        <w:rPr>
          <w:rFonts w:hAnsi="標楷體" w:hint="eastAsia"/>
          <w:color w:val="000000" w:themeColor="text1"/>
          <w:szCs w:val="32"/>
        </w:rPr>
        <w:t>詢問</w:t>
      </w:r>
      <w:r w:rsidRPr="007849A5">
        <w:rPr>
          <w:color w:val="000000" w:themeColor="text1"/>
        </w:rPr>
        <w:t>陳</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color w:val="000000" w:themeColor="text1"/>
        </w:rPr>
        <w:t>公司管制室組長</w:t>
      </w:r>
      <w:r w:rsidRPr="007849A5">
        <w:rPr>
          <w:rFonts w:hint="eastAsia"/>
          <w:color w:val="000000" w:themeColor="text1"/>
        </w:rPr>
        <w:t>)；同日赴</w:t>
      </w:r>
      <w:r w:rsidRPr="007849A5">
        <w:rPr>
          <w:rFonts w:hAnsi="標楷體" w:hint="eastAsia"/>
          <w:color w:val="000000" w:themeColor="text1"/>
          <w:szCs w:val="32"/>
        </w:rPr>
        <w:t>彰化縣警察局芳苑分局王功派出所詢問</w:t>
      </w:r>
      <w:r w:rsidRPr="007849A5">
        <w:rPr>
          <w:color w:val="000000" w:themeColor="text1"/>
        </w:rPr>
        <w:t>林</w:t>
      </w:r>
      <w:r w:rsidR="008B3794">
        <w:rPr>
          <w:rFonts w:hint="eastAsia"/>
          <w:color w:val="000000" w:themeColor="text1"/>
        </w:rPr>
        <w:t>○○</w:t>
      </w:r>
      <w:r w:rsidRPr="007849A5">
        <w:rPr>
          <w:rFonts w:hint="eastAsia"/>
          <w:color w:val="000000" w:themeColor="text1"/>
        </w:rPr>
        <w:t>(時任</w:t>
      </w:r>
      <w:r w:rsidR="008B3794">
        <w:rPr>
          <w:rFonts w:hint="eastAsia"/>
          <w:color w:val="000000" w:themeColor="text1"/>
        </w:rPr>
        <w:t>○○</w:t>
      </w:r>
      <w:r w:rsidRPr="007849A5">
        <w:rPr>
          <w:color w:val="000000" w:themeColor="text1"/>
        </w:rPr>
        <w:t>公司</w:t>
      </w:r>
      <w:r w:rsidR="000F7FF6" w:rsidRPr="007849A5">
        <w:rPr>
          <w:rFonts w:hint="eastAsia"/>
          <w:color w:val="000000" w:themeColor="text1"/>
        </w:rPr>
        <w:t>負責管物料之員工</w:t>
      </w:r>
      <w:r w:rsidRPr="007849A5">
        <w:rPr>
          <w:rFonts w:hint="eastAsia"/>
          <w:color w:val="000000" w:themeColor="text1"/>
        </w:rPr>
        <w:t>)等人員</w:t>
      </w:r>
      <w:r w:rsidR="007B3124" w:rsidRPr="007849A5">
        <w:rPr>
          <w:rFonts w:hint="eastAsia"/>
          <w:color w:val="000000" w:themeColor="text1"/>
        </w:rPr>
        <w:t>，</w:t>
      </w:r>
      <w:r w:rsidR="00FB501B" w:rsidRPr="007849A5">
        <w:rPr>
          <w:rFonts w:hint="eastAsia"/>
          <w:color w:val="000000" w:themeColor="text1"/>
        </w:rPr>
        <w:t>已調查竣</w:t>
      </w:r>
      <w:r w:rsidR="00307A76" w:rsidRPr="007849A5">
        <w:rPr>
          <w:rFonts w:hint="eastAsia"/>
          <w:color w:val="000000" w:themeColor="text1"/>
        </w:rPr>
        <w:t>事</w:t>
      </w:r>
      <w:r w:rsidR="00FB501B" w:rsidRPr="007849A5">
        <w:rPr>
          <w:rFonts w:hint="eastAsia"/>
          <w:color w:val="000000" w:themeColor="text1"/>
        </w:rPr>
        <w:t>，</w:t>
      </w:r>
      <w:r w:rsidR="00307A76" w:rsidRPr="007849A5">
        <w:rPr>
          <w:rFonts w:hint="eastAsia"/>
          <w:color w:val="000000" w:themeColor="text1"/>
        </w:rPr>
        <w:t>茲臚</w:t>
      </w:r>
      <w:r w:rsidR="00FB501B" w:rsidRPr="007849A5">
        <w:rPr>
          <w:rFonts w:hint="eastAsia"/>
          <w:color w:val="000000" w:themeColor="text1"/>
        </w:rPr>
        <w:t>列調查意見如下：</w:t>
      </w:r>
    </w:p>
    <w:p w14:paraId="1D72B4ED" w14:textId="3975FE67" w:rsidR="004E031A" w:rsidRPr="007849A5" w:rsidRDefault="00AD0F47" w:rsidP="00081CF9">
      <w:pPr>
        <w:pStyle w:val="2"/>
        <w:rPr>
          <w:b/>
          <w:color w:val="000000" w:themeColor="text1"/>
        </w:rPr>
      </w:pPr>
      <w:bookmarkStart w:id="50" w:name="_Toc421794873"/>
      <w:bookmarkStart w:id="51" w:name="_Toc422834158"/>
      <w:r w:rsidRPr="007849A5">
        <w:rPr>
          <w:rFonts w:hAnsi="標楷體" w:hint="eastAsia"/>
          <w:b/>
          <w:color w:val="000000" w:themeColor="text1"/>
        </w:rPr>
        <w:t>各共同被告於審判中，既然認定尚有未經緝獲之本案被告，卻未盡可能地延後審判或執行，致本案被告</w:t>
      </w:r>
      <w:r w:rsidR="00DC06C1">
        <w:rPr>
          <w:rFonts w:hAnsi="標楷體" w:hint="eastAsia"/>
          <w:b/>
          <w:color w:val="000000" w:themeColor="text1"/>
        </w:rPr>
        <w:t>沈○霖</w:t>
      </w:r>
      <w:r w:rsidRPr="007849A5">
        <w:rPr>
          <w:rFonts w:hAnsi="標楷體" w:hint="eastAsia"/>
          <w:b/>
          <w:color w:val="000000" w:themeColor="text1"/>
        </w:rPr>
        <w:t>對質詰問之防禦權遭受剝奪，而仍以各死亡之共同被告之陳述為不利認定之證據，自有牴觸憲法第16條之訴訟權及第8條正當法律程序</w:t>
      </w:r>
      <w:r w:rsidR="00A51362">
        <w:rPr>
          <w:rFonts w:hAnsi="標楷體" w:hint="eastAsia"/>
          <w:b/>
          <w:color w:val="000000" w:themeColor="text1"/>
        </w:rPr>
        <w:t>保障</w:t>
      </w:r>
      <w:r w:rsidRPr="007849A5">
        <w:rPr>
          <w:rFonts w:hAnsi="標楷體" w:hint="eastAsia"/>
          <w:b/>
          <w:color w:val="000000" w:themeColor="text1"/>
        </w:rPr>
        <w:t>之問題，恐有判決違背法令(傳聞法則)之違誤：</w:t>
      </w:r>
    </w:p>
    <w:p w14:paraId="220433B8" w14:textId="5797B189" w:rsidR="004E031A" w:rsidRPr="007849A5" w:rsidRDefault="0050289C" w:rsidP="004E031A">
      <w:pPr>
        <w:pStyle w:val="3"/>
        <w:rPr>
          <w:color w:val="000000" w:themeColor="text1"/>
        </w:rPr>
      </w:pPr>
      <w:r w:rsidRPr="007849A5">
        <w:rPr>
          <w:rFonts w:hAnsi="標楷體" w:hint="eastAsia"/>
          <w:color w:val="000000" w:themeColor="text1"/>
          <w:szCs w:val="32"/>
        </w:rPr>
        <w:t>依憲法第16條保障人民訴訟權之意旨，刑事被告對於證人（含共同被告）享有對質及詰問之權利，此乃正當法律程序之核心內涵，亦為確保司法審判發現真實與維護公平審判之基石。參照司法院釋字第582號解釋，共同被告於審判外之陳述，本質上屬於傳聞證據，若欲採為不利於被告之證據，須符合傳聞例外之規定。</w:t>
      </w:r>
      <w:r w:rsidRPr="007849A5">
        <w:rPr>
          <w:rFonts w:hAnsi="標楷體" w:hint="eastAsia"/>
          <w:color w:val="000000" w:themeColor="text1"/>
        </w:rPr>
        <w:tab/>
      </w:r>
      <w:r w:rsidR="004E031A" w:rsidRPr="007849A5">
        <w:rPr>
          <w:color w:val="000000" w:themeColor="text1"/>
        </w:rPr>
        <w:t>刑事訴訟法第</w:t>
      </w:r>
      <w:r w:rsidR="004E031A" w:rsidRPr="007849A5">
        <w:rPr>
          <w:rFonts w:hint="eastAsia"/>
          <w:color w:val="000000" w:themeColor="text1"/>
        </w:rPr>
        <w:t>159</w:t>
      </w:r>
      <w:r w:rsidR="004E031A" w:rsidRPr="007849A5">
        <w:rPr>
          <w:color w:val="000000" w:themeColor="text1"/>
        </w:rPr>
        <w:t>條</w:t>
      </w:r>
      <w:r w:rsidR="004E031A" w:rsidRPr="007849A5">
        <w:rPr>
          <w:rFonts w:hint="eastAsia"/>
          <w:color w:val="000000" w:themeColor="text1"/>
        </w:rPr>
        <w:t>第1項規定</w:t>
      </w:r>
      <w:r w:rsidR="004E031A" w:rsidRPr="007849A5">
        <w:rPr>
          <w:rFonts w:hAnsi="標楷體" w:hint="eastAsia"/>
          <w:color w:val="000000" w:themeColor="text1"/>
        </w:rPr>
        <w:t>(傳聞法則原則)</w:t>
      </w:r>
      <w:r w:rsidR="004E031A" w:rsidRPr="007849A5">
        <w:rPr>
          <w:rFonts w:hint="eastAsia"/>
          <w:color w:val="000000" w:themeColor="text1"/>
        </w:rPr>
        <w:t>：「被告以外之人於審判外之言詞或書面陳述，除法律有規定者外，不得作為證據。」</w:t>
      </w:r>
      <w:r w:rsidR="004E031A" w:rsidRPr="007849A5">
        <w:rPr>
          <w:color w:val="000000" w:themeColor="text1"/>
        </w:rPr>
        <w:t>第</w:t>
      </w:r>
      <w:r w:rsidR="004E031A" w:rsidRPr="007849A5">
        <w:rPr>
          <w:rFonts w:hint="eastAsia"/>
          <w:color w:val="000000" w:themeColor="text1"/>
        </w:rPr>
        <w:t>159</w:t>
      </w:r>
      <w:r w:rsidR="004E031A" w:rsidRPr="007849A5">
        <w:rPr>
          <w:color w:val="000000" w:themeColor="text1"/>
        </w:rPr>
        <w:t>條</w:t>
      </w:r>
      <w:r w:rsidR="004E031A" w:rsidRPr="007849A5">
        <w:rPr>
          <w:rFonts w:hAnsi="標楷體" w:hint="eastAsia"/>
          <w:color w:val="000000" w:themeColor="text1"/>
        </w:rPr>
        <w:t>之3第1款</w:t>
      </w:r>
      <w:r w:rsidR="004E031A" w:rsidRPr="007849A5">
        <w:rPr>
          <w:rFonts w:hint="eastAsia"/>
          <w:color w:val="000000" w:themeColor="text1"/>
        </w:rPr>
        <w:t>規定(傳聞法則例外之一)：「被告以外之人於審判中有下列情形之一，其於檢察事務官、司法警察官或司法警察調查中所為之陳述，經證明具有可信之特別情況，且為證明犯罪事實之存否所必要者，得為證據：一、死亡者。</w:t>
      </w:r>
      <w:r w:rsidR="004E031A" w:rsidRPr="007849A5">
        <w:rPr>
          <w:rFonts w:hAnsi="標楷體" w:hint="eastAsia"/>
          <w:color w:val="000000" w:themeColor="text1"/>
        </w:rPr>
        <w:t>……</w:t>
      </w:r>
      <w:r w:rsidR="004E031A" w:rsidRPr="007849A5">
        <w:rPr>
          <w:rFonts w:hint="eastAsia"/>
          <w:color w:val="000000" w:themeColor="text1"/>
        </w:rPr>
        <w:t>」第378條</w:t>
      </w:r>
      <w:r w:rsidR="004E031A" w:rsidRPr="007849A5">
        <w:rPr>
          <w:rFonts w:hint="eastAsia"/>
          <w:color w:val="000000" w:themeColor="text1"/>
        </w:rPr>
        <w:lastRenderedPageBreak/>
        <w:t>規定：「判決不適用法則或適用不當者，為違背法令。」第441條</w:t>
      </w:r>
      <w:r w:rsidR="008156A6" w:rsidRPr="007849A5">
        <w:rPr>
          <w:rFonts w:hint="eastAsia"/>
          <w:color w:val="000000" w:themeColor="text1"/>
        </w:rPr>
        <w:t>規定</w:t>
      </w:r>
      <w:r w:rsidR="004E031A" w:rsidRPr="007849A5">
        <w:rPr>
          <w:rFonts w:hint="eastAsia"/>
          <w:color w:val="000000" w:themeColor="text1"/>
        </w:rPr>
        <w:t>：「判決確定後，發見該案件之審判係違背法令者，</w:t>
      </w:r>
      <w:bookmarkStart w:id="52" w:name="_Hlk230164702"/>
      <w:r w:rsidR="004E031A" w:rsidRPr="007849A5">
        <w:rPr>
          <w:rFonts w:hint="eastAsia"/>
          <w:color w:val="000000" w:themeColor="text1"/>
        </w:rPr>
        <w:t>最高檢察署</w:t>
      </w:r>
      <w:bookmarkEnd w:id="52"/>
      <w:r w:rsidR="004E031A" w:rsidRPr="007849A5">
        <w:rPr>
          <w:rFonts w:hint="eastAsia"/>
          <w:color w:val="000000" w:themeColor="text1"/>
        </w:rPr>
        <w:t>檢察總長得向最高法院提起非常上訴。」</w:t>
      </w:r>
    </w:p>
    <w:p w14:paraId="545B075D" w14:textId="651208BC" w:rsidR="008156A6" w:rsidRPr="007849A5" w:rsidRDefault="008156A6" w:rsidP="004E031A">
      <w:pPr>
        <w:pStyle w:val="3"/>
        <w:rPr>
          <w:rFonts w:hAnsi="標楷體"/>
          <w:color w:val="000000" w:themeColor="text1"/>
        </w:rPr>
      </w:pPr>
      <w:r w:rsidRPr="007849A5">
        <w:rPr>
          <w:rFonts w:hAnsi="標楷體"/>
          <w:color w:val="000000" w:themeColor="text1"/>
        </w:rPr>
        <w:t>查</w:t>
      </w:r>
      <w:r w:rsidR="00DC06C1">
        <w:rPr>
          <w:rFonts w:hAnsi="標楷體" w:hint="eastAsia"/>
          <w:color w:val="000000" w:themeColor="text1"/>
        </w:rPr>
        <w:t>沈○霖</w:t>
      </w:r>
      <w:r w:rsidRPr="007849A5">
        <w:rPr>
          <w:rFonts w:hAnsi="標楷體" w:hint="eastAsia"/>
          <w:color w:val="000000" w:themeColor="text1"/>
        </w:rPr>
        <w:t>所涉強制性交殺人案件</w:t>
      </w:r>
      <w:r w:rsidRPr="007849A5">
        <w:rPr>
          <w:rFonts w:hAnsi="標楷體"/>
          <w:color w:val="000000" w:themeColor="text1"/>
        </w:rPr>
        <w:t>發生於78年9月，案發後共同正犯</w:t>
      </w:r>
      <w:r w:rsidR="00DC06C1">
        <w:rPr>
          <w:rFonts w:hAnsi="標楷體"/>
          <w:color w:val="000000" w:themeColor="text1"/>
        </w:rPr>
        <w:t>黃○任</w:t>
      </w:r>
      <w:r w:rsidRPr="007849A5">
        <w:rPr>
          <w:rFonts w:hAnsi="標楷體"/>
          <w:color w:val="000000" w:themeColor="text1"/>
        </w:rPr>
        <w:t>、</w:t>
      </w:r>
      <w:r w:rsidR="00DC06C1">
        <w:rPr>
          <w:rFonts w:hAnsi="標楷體"/>
          <w:color w:val="000000" w:themeColor="text1"/>
        </w:rPr>
        <w:t>黃○雄</w:t>
      </w:r>
      <w:r w:rsidRPr="007849A5">
        <w:rPr>
          <w:rFonts w:hAnsi="標楷體"/>
          <w:color w:val="000000" w:themeColor="text1"/>
        </w:rPr>
        <w:t>旋即落網，並於警詢及偵查中為不利於</w:t>
      </w:r>
      <w:r w:rsidR="00DC06C1">
        <w:rPr>
          <w:rFonts w:hAnsi="標楷體"/>
          <w:color w:val="000000" w:themeColor="text1"/>
        </w:rPr>
        <w:t>沈○霖</w:t>
      </w:r>
      <w:r w:rsidRPr="007849A5">
        <w:rPr>
          <w:rFonts w:hAnsi="標楷體"/>
          <w:color w:val="000000" w:themeColor="text1"/>
        </w:rPr>
        <w:t>之供述。在</w:t>
      </w:r>
      <w:r w:rsidR="00DC06C1">
        <w:rPr>
          <w:rFonts w:hAnsi="標楷體"/>
          <w:color w:val="000000" w:themeColor="text1"/>
        </w:rPr>
        <w:t>沈○霖</w:t>
      </w:r>
      <w:r w:rsidRPr="007849A5">
        <w:rPr>
          <w:rFonts w:hAnsi="標楷體"/>
          <w:color w:val="000000" w:themeColor="text1"/>
        </w:rPr>
        <w:t>仍在逃亡、未及到案接受審判之際，國家公權力即以極快之速度將該</w:t>
      </w:r>
      <w:r w:rsidRPr="007849A5">
        <w:rPr>
          <w:rFonts w:hAnsi="標楷體" w:hint="eastAsia"/>
          <w:color w:val="000000" w:themeColor="text1"/>
        </w:rPr>
        <w:t>兩</w:t>
      </w:r>
      <w:r w:rsidRPr="007849A5">
        <w:rPr>
          <w:rFonts w:hAnsi="標楷體"/>
          <w:color w:val="000000" w:themeColor="text1"/>
        </w:rPr>
        <w:t>名共</w:t>
      </w:r>
      <w:r w:rsidRPr="007849A5">
        <w:rPr>
          <w:rFonts w:hAnsi="標楷體" w:hint="eastAsia"/>
          <w:color w:val="000000" w:themeColor="text1"/>
        </w:rPr>
        <w:t>同正</w:t>
      </w:r>
      <w:r w:rsidRPr="007849A5">
        <w:rPr>
          <w:rFonts w:hAnsi="標楷體"/>
          <w:color w:val="000000" w:themeColor="text1"/>
        </w:rPr>
        <w:t>犯判處死刑定讞，</w:t>
      </w:r>
      <w:r w:rsidR="00DC06C1">
        <w:rPr>
          <w:rFonts w:hAnsi="標楷體"/>
          <w:color w:val="000000" w:themeColor="text1"/>
        </w:rPr>
        <w:t>黃○任</w:t>
      </w:r>
      <w:r w:rsidRPr="007849A5">
        <w:rPr>
          <w:rFonts w:hAnsi="標楷體"/>
          <w:color w:val="000000" w:themeColor="text1"/>
        </w:rPr>
        <w:t>於79年6月2日執行槍決，</w:t>
      </w:r>
      <w:r w:rsidR="00DC06C1">
        <w:rPr>
          <w:rFonts w:hAnsi="標楷體"/>
          <w:color w:val="000000" w:themeColor="text1"/>
        </w:rPr>
        <w:t>黃○雄</w:t>
      </w:r>
      <w:r w:rsidRPr="007849A5">
        <w:rPr>
          <w:rFonts w:hAnsi="標楷體"/>
          <w:color w:val="000000" w:themeColor="text1"/>
        </w:rPr>
        <w:t>則於80年8月21日伏法執行完畢。</w:t>
      </w:r>
      <w:r w:rsidR="00DC06C1">
        <w:rPr>
          <w:rFonts w:hAnsi="標楷體"/>
          <w:color w:val="000000" w:themeColor="text1"/>
        </w:rPr>
        <w:t>沈○霖</w:t>
      </w:r>
      <w:r w:rsidRPr="007849A5">
        <w:rPr>
          <w:rFonts w:hAnsi="標楷體"/>
          <w:color w:val="000000" w:themeColor="text1"/>
        </w:rPr>
        <w:t>遲至92年3月方遭緝獲歸案，此時指控其涉案之兩名最關鍵證人早已死亡。此一「證人死亡」之狀態，並非出於自然原因或不可抗力，而係「國家公權力主動介入之死刑處決」。</w:t>
      </w:r>
      <w:r w:rsidR="00871E93" w:rsidRPr="007849A5">
        <w:rPr>
          <w:rFonts w:hAnsi="標楷體"/>
          <w:color w:val="000000" w:themeColor="text1"/>
        </w:rPr>
        <w:t>國家機關作為追訴犯罪之一方，在未能確保未到案被告未來有對質詰問機會之前，即迅速處決共犯；嗣後又於審判</w:t>
      </w:r>
      <w:r w:rsidR="00DC06C1">
        <w:rPr>
          <w:rFonts w:hAnsi="標楷體"/>
          <w:color w:val="000000" w:themeColor="text1"/>
        </w:rPr>
        <w:t>沈○霖</w:t>
      </w:r>
      <w:r w:rsidR="00871E93" w:rsidRPr="007849A5">
        <w:rPr>
          <w:rFonts w:hAnsi="標楷體"/>
          <w:color w:val="000000" w:themeColor="text1"/>
        </w:rPr>
        <w:t>時，寬鬆適用刑事訴訟法傳聞法則之例外（即第159條之3第1款），以該死者之警詢與偵查陳述作為有罪證據。此種作法等同剝奪</w:t>
      </w:r>
      <w:r w:rsidR="00DC06C1">
        <w:rPr>
          <w:rFonts w:hAnsi="標楷體" w:hint="eastAsia"/>
          <w:color w:val="000000" w:themeColor="text1"/>
        </w:rPr>
        <w:t>沈○霖</w:t>
      </w:r>
      <w:r w:rsidR="00871E93" w:rsidRPr="007849A5">
        <w:rPr>
          <w:rFonts w:hAnsi="標楷體"/>
          <w:color w:val="000000" w:themeColor="text1"/>
        </w:rPr>
        <w:t>當庭對質</w:t>
      </w:r>
      <w:r w:rsidR="007923FE" w:rsidRPr="007849A5">
        <w:rPr>
          <w:rFonts w:hAnsi="標楷體"/>
          <w:color w:val="000000" w:themeColor="text1"/>
        </w:rPr>
        <w:t>詰問</w:t>
      </w:r>
      <w:r w:rsidR="00871E93" w:rsidRPr="007849A5">
        <w:rPr>
          <w:rFonts w:hAnsi="標楷體"/>
          <w:color w:val="000000" w:themeColor="text1"/>
        </w:rPr>
        <w:t>之防禦機會。</w:t>
      </w:r>
    </w:p>
    <w:p w14:paraId="502E27A8" w14:textId="3EE92A93" w:rsidR="004E031A" w:rsidRPr="007849A5" w:rsidRDefault="004E031A" w:rsidP="004E031A">
      <w:pPr>
        <w:pStyle w:val="3"/>
        <w:rPr>
          <w:color w:val="000000" w:themeColor="text1"/>
        </w:rPr>
      </w:pPr>
      <w:r w:rsidRPr="007849A5">
        <w:rPr>
          <w:rFonts w:hint="eastAsia"/>
          <w:color w:val="000000" w:themeColor="text1"/>
        </w:rPr>
        <w:t>本案</w:t>
      </w:r>
      <w:r w:rsidR="00DC06C1">
        <w:rPr>
          <w:rFonts w:hint="eastAsia"/>
          <w:color w:val="000000" w:themeColor="text1"/>
        </w:rPr>
        <w:t>沈○霖</w:t>
      </w:r>
      <w:r w:rsidRPr="007849A5">
        <w:rPr>
          <w:rFonts w:hint="eastAsia"/>
          <w:color w:val="000000" w:themeColor="text1"/>
        </w:rPr>
        <w:t>以確定終局判決所適用之刑事訴訟法第159條之3第1款規定為標的</w:t>
      </w:r>
      <w:r w:rsidR="008156A6" w:rsidRPr="007849A5">
        <w:rPr>
          <w:rFonts w:hint="eastAsia"/>
          <w:color w:val="000000" w:themeColor="text1"/>
        </w:rPr>
        <w:t>，</w:t>
      </w:r>
      <w:r w:rsidRPr="007849A5">
        <w:rPr>
          <w:rFonts w:hint="eastAsia"/>
          <w:color w:val="000000" w:themeColor="text1"/>
        </w:rPr>
        <w:t>聲請</w:t>
      </w:r>
      <w:r w:rsidR="009E53C1" w:rsidRPr="007849A5">
        <w:rPr>
          <w:rFonts w:hint="eastAsia"/>
          <w:color w:val="000000" w:themeColor="text1"/>
        </w:rPr>
        <w:t>法規範憲法審查</w:t>
      </w:r>
      <w:r w:rsidRPr="007849A5">
        <w:rPr>
          <w:rFonts w:hint="eastAsia"/>
          <w:color w:val="000000" w:themeColor="text1"/>
        </w:rPr>
        <w:t>之憲法法庭112年憲判字第12號判決主文第1項︰「刑事訴訟法第159條之3第1款及第3款規定……係刑事訴訟上為追求發現真實而將未到庭證人之法庭外陳述採為證據，致減損被告防禦權之例外規定。法院於適用上開規定時，除應</w:t>
      </w:r>
      <w:r w:rsidRPr="007849A5">
        <w:rPr>
          <w:rFonts w:hint="eastAsia"/>
          <w:b/>
          <w:color w:val="000000" w:themeColor="text1"/>
        </w:rPr>
        <w:t>從嚴審認法定要件</w:t>
      </w:r>
      <w:r w:rsidRPr="007849A5">
        <w:rPr>
          <w:rFonts w:hint="eastAsia"/>
          <w:color w:val="000000" w:themeColor="text1"/>
        </w:rPr>
        <w:t>外，並應</w:t>
      </w:r>
      <w:r w:rsidRPr="007849A5">
        <w:rPr>
          <w:rFonts w:hint="eastAsia"/>
          <w:b/>
          <w:color w:val="000000" w:themeColor="text1"/>
        </w:rPr>
        <w:t>確保被告於訴訟程序上獲得相當之防禦權補償</w:t>
      </w:r>
      <w:r w:rsidRPr="007849A5">
        <w:rPr>
          <w:rFonts w:hint="eastAsia"/>
          <w:color w:val="000000" w:themeColor="text1"/>
        </w:rPr>
        <w:t>，使被告於訴訟程序整體而言，仍享有充分防禦權之保障</w:t>
      </w:r>
      <w:r w:rsidR="00871E93" w:rsidRPr="007849A5">
        <w:rPr>
          <w:rFonts w:hint="eastAsia"/>
          <w:color w:val="000000" w:themeColor="text1"/>
        </w:rPr>
        <w:t>……。</w:t>
      </w:r>
      <w:r w:rsidRPr="007849A5">
        <w:rPr>
          <w:rFonts w:hint="eastAsia"/>
          <w:color w:val="000000" w:themeColor="text1"/>
        </w:rPr>
        <w:t>」另於上開憲法訴訟案件中</w:t>
      </w:r>
      <w:r w:rsidRPr="007849A5">
        <w:rPr>
          <w:rFonts w:hAnsi="標楷體" w:hint="eastAsia"/>
          <w:color w:val="000000" w:themeColor="text1"/>
        </w:rPr>
        <w:t>，黃</w:t>
      </w:r>
      <w:r w:rsidRPr="007849A5">
        <w:rPr>
          <w:rFonts w:hAnsi="標楷體" w:hint="eastAsia"/>
          <w:color w:val="000000" w:themeColor="text1"/>
        </w:rPr>
        <w:lastRenderedPageBreak/>
        <w:t>昭元大法官提出、謝銘洋大法官加入之不同意見書第13、14段明確指出：「刑事共同被告對於其他共同被告之不利陳述，性質上雖亦屬證言，而有與證人對質、詰問證人權之適用，此亦為</w:t>
      </w:r>
      <w:r w:rsidR="004B12B3" w:rsidRPr="007849A5">
        <w:rPr>
          <w:rFonts w:hAnsi="標楷體" w:hint="eastAsia"/>
          <w:color w:val="000000" w:themeColor="text1"/>
        </w:rPr>
        <w:t>司法院</w:t>
      </w:r>
      <w:r w:rsidRPr="007849A5">
        <w:rPr>
          <w:rFonts w:hAnsi="標楷體" w:hint="eastAsia"/>
          <w:color w:val="000000" w:themeColor="text1"/>
        </w:rPr>
        <w:t>釋字第582號解釋所強調並確立者。然在</w:t>
      </w:r>
      <w:r w:rsidRPr="007849A5">
        <w:rPr>
          <w:rFonts w:hAnsi="標楷體" w:hint="eastAsia"/>
          <w:b/>
          <w:color w:val="000000" w:themeColor="text1"/>
        </w:rPr>
        <w:t>共同被告於陳述後死亡</w:t>
      </w:r>
      <w:r w:rsidRPr="007849A5">
        <w:rPr>
          <w:rFonts w:hAnsi="標楷體" w:hint="eastAsia"/>
          <w:color w:val="000000" w:themeColor="text1"/>
        </w:rPr>
        <w:t>或因所在不明而無法傳喚或傳喚不到之情形，上述</w:t>
      </w:r>
      <w:r w:rsidRPr="007849A5">
        <w:rPr>
          <w:rFonts w:hAnsi="標楷體" w:hint="eastAsia"/>
          <w:b/>
          <w:color w:val="000000" w:themeColor="text1"/>
        </w:rPr>
        <w:t>對質、詰問權已經落空，而難以有效補償</w:t>
      </w:r>
      <w:r w:rsidRPr="007849A5">
        <w:rPr>
          <w:rFonts w:hAnsi="標楷體" w:hint="eastAsia"/>
          <w:color w:val="000000" w:themeColor="text1"/>
        </w:rPr>
        <w:t>。然在實務上，刑事共同被告為求卸責、拖延偵查及審判、挾怨報復、甚至由於執法者之不當或非法影響（例如刑求），致蓄意錯誤陳述、指認之情形，時有所聞。換言之，</w:t>
      </w:r>
      <w:r w:rsidRPr="007849A5">
        <w:rPr>
          <w:rFonts w:hAnsi="標楷體" w:hint="eastAsia"/>
          <w:b/>
          <w:color w:val="000000" w:themeColor="text1"/>
        </w:rPr>
        <w:t>就共同被告不利於其他共同被告之警詢陳述，常有其特殊的虛偽風險</w:t>
      </w:r>
      <w:r w:rsidRPr="007849A5">
        <w:rPr>
          <w:rFonts w:hAnsi="標楷體" w:hint="eastAsia"/>
          <w:color w:val="000000" w:themeColor="text1"/>
        </w:rPr>
        <w:t>，故就其證據能力之特別可信性，是否應（或仍）繼續採取一樣寬鬆的標準，而承認其證據能力，恐怕有更</w:t>
      </w:r>
      <w:r w:rsidR="0046251C">
        <w:rPr>
          <w:rFonts w:hAnsi="標楷體" w:hint="eastAsia"/>
          <w:color w:val="000000" w:themeColor="text1"/>
        </w:rPr>
        <w:t>澈底</w:t>
      </w:r>
      <w:r w:rsidRPr="007849A5">
        <w:rPr>
          <w:rFonts w:hAnsi="標楷體" w:hint="eastAsia"/>
          <w:color w:val="000000" w:themeColor="text1"/>
        </w:rPr>
        <w:t>檢討並修正的必要。」、「尤其是法定刑</w:t>
      </w:r>
      <w:r w:rsidRPr="007849A5">
        <w:rPr>
          <w:rFonts w:hAnsi="標楷體" w:hint="eastAsia"/>
          <w:b/>
          <w:color w:val="000000" w:themeColor="text1"/>
        </w:rPr>
        <w:t>包括死刑的重大案件，就其訴訟程序（包括偵查及審判）所適用的正當程序要求，實應更為嚴密</w:t>
      </w:r>
      <w:r w:rsidRPr="007849A5">
        <w:rPr>
          <w:rFonts w:hAnsi="標楷體" w:hint="eastAsia"/>
          <w:color w:val="000000" w:themeColor="text1"/>
        </w:rPr>
        <w:t>。……是就系爭規定之合憲限縮解釋而言，</w:t>
      </w:r>
      <w:r w:rsidRPr="007849A5">
        <w:rPr>
          <w:rFonts w:hAnsi="標楷體" w:hint="eastAsia"/>
          <w:b/>
          <w:color w:val="000000" w:themeColor="text1"/>
        </w:rPr>
        <w:t>限縮的方向應該是排除或限制此等傳聞證據於死刑案件之適用</w:t>
      </w:r>
      <w:r w:rsidR="008156A6" w:rsidRPr="007849A5">
        <w:rPr>
          <w:rFonts w:hAnsi="標楷體" w:hint="eastAsia"/>
          <w:color w:val="000000" w:themeColor="text1"/>
        </w:rPr>
        <w:t>。</w:t>
      </w:r>
      <w:r w:rsidRPr="007849A5">
        <w:rPr>
          <w:rFonts w:hAnsi="標楷體" w:hint="eastAsia"/>
          <w:color w:val="000000" w:themeColor="text1"/>
        </w:rPr>
        <w:t>」</w:t>
      </w:r>
    </w:p>
    <w:p w14:paraId="15B43F6F" w14:textId="77777777" w:rsidR="004E031A" w:rsidRPr="007849A5" w:rsidRDefault="004E031A" w:rsidP="004E031A">
      <w:pPr>
        <w:pStyle w:val="3"/>
        <w:rPr>
          <w:color w:val="000000" w:themeColor="text1"/>
        </w:rPr>
      </w:pPr>
      <w:r w:rsidRPr="007849A5">
        <w:rPr>
          <w:rFonts w:hAnsi="標楷體" w:hint="eastAsia"/>
          <w:color w:val="000000" w:themeColor="text1"/>
        </w:rPr>
        <w:t>於上開憲法訴訟案件中，詹森林大法官提出、林俊益大法官加入之協同意見書</w:t>
      </w:r>
      <w:r w:rsidRPr="007849A5">
        <w:rPr>
          <w:rFonts w:hAnsi="標楷體" w:hint="eastAsia"/>
          <w:bCs w:val="0"/>
          <w:color w:val="000000" w:themeColor="text1"/>
        </w:rPr>
        <w:t>亦指出</w:t>
      </w:r>
      <w:r w:rsidRPr="007849A5">
        <w:rPr>
          <w:rFonts w:hAnsi="標楷體" w:hint="eastAsia"/>
          <w:color w:val="000000" w:themeColor="text1"/>
        </w:rPr>
        <w:t>：「按，系爭規定二所稱『被告以外之人死亡』，一般情形，</w:t>
      </w:r>
      <w:r w:rsidRPr="007849A5">
        <w:rPr>
          <w:rFonts w:hAnsi="標楷體" w:hint="eastAsia"/>
          <w:b/>
          <w:color w:val="000000" w:themeColor="text1"/>
        </w:rPr>
        <w:t>當然係指其死亡與國家權力之介入無關</w:t>
      </w:r>
      <w:r w:rsidRPr="007849A5">
        <w:rPr>
          <w:rFonts w:hAnsi="標楷體" w:hint="eastAsia"/>
          <w:color w:val="000000" w:themeColor="text1"/>
        </w:rPr>
        <w:t>。蓋國家如一方面以其公權力造成系爭規定二所稱『被告以外之人死亡』，他方面寬鬆地適用系爭規定二，以該死者之警詢陳述作為證據，從而剝奪被告對質及詰問之權利，不啻國家可利用其公權力決定是否給予被告對質詰問機會，</w:t>
      </w:r>
      <w:r w:rsidRPr="007849A5">
        <w:rPr>
          <w:rFonts w:hAnsi="標楷體" w:hint="eastAsia"/>
          <w:bCs w:val="0"/>
          <w:color w:val="000000" w:themeColor="text1"/>
        </w:rPr>
        <w:t>……</w:t>
      </w:r>
      <w:r w:rsidRPr="007849A5">
        <w:rPr>
          <w:rFonts w:hAnsi="標楷體" w:hint="eastAsia"/>
          <w:color w:val="000000" w:themeColor="text1"/>
        </w:rPr>
        <w:t>因此，被告以外之人被判處死刑時，不論其與被告之間，有無同案共同被告關係，為保障被告針對該人之警詢陳述行使憲法保障之詰</w:t>
      </w:r>
      <w:r w:rsidRPr="007849A5">
        <w:rPr>
          <w:rFonts w:hAnsi="標楷體" w:hint="eastAsia"/>
          <w:color w:val="000000" w:themeColor="text1"/>
        </w:rPr>
        <w:lastRenderedPageBreak/>
        <w:t>問權，</w:t>
      </w:r>
      <w:r w:rsidRPr="007849A5">
        <w:rPr>
          <w:rFonts w:hAnsi="標楷體" w:hint="eastAsia"/>
          <w:b/>
          <w:color w:val="000000" w:themeColor="text1"/>
        </w:rPr>
        <w:t>法院在判處死刑及法務部在執行死刑之前，應盡可能確保被告就該警詢陳述有對質及詰問之機會</w:t>
      </w:r>
      <w:r w:rsidRPr="007849A5">
        <w:rPr>
          <w:rFonts w:hAnsi="標楷體" w:hint="eastAsia"/>
          <w:color w:val="000000" w:themeColor="text1"/>
        </w:rPr>
        <w:t>。</w:t>
      </w:r>
      <w:r w:rsidRPr="007849A5">
        <w:rPr>
          <w:rFonts w:hAnsi="標楷體" w:hint="eastAsia"/>
          <w:bCs w:val="0"/>
          <w:color w:val="000000" w:themeColor="text1"/>
        </w:rPr>
        <w:t>……</w:t>
      </w:r>
      <w:r w:rsidRPr="007849A5">
        <w:rPr>
          <w:rFonts w:hAnsi="標楷體" w:hint="eastAsia"/>
          <w:color w:val="000000" w:themeColor="text1"/>
        </w:rPr>
        <w:t>若檢察官、法院、死刑執行機關，未採取前述侵害被告對質詰問權較小之手段，則於被告以外之人被執行死刑後，審理被告案件之法院，即不得率然適用系爭規定二，逕以該死者之警詢筆錄，為不利於被告認定之證據；否則，即屬牴觸憲法第16條之訴訟權及第8條正當法律程序之意旨。」</w:t>
      </w:r>
    </w:p>
    <w:p w14:paraId="247ECBE3" w14:textId="357FC8C6" w:rsidR="004E031A" w:rsidRPr="007849A5" w:rsidRDefault="004E031A" w:rsidP="004E031A">
      <w:pPr>
        <w:pStyle w:val="3"/>
        <w:rPr>
          <w:color w:val="000000" w:themeColor="text1"/>
        </w:rPr>
      </w:pPr>
      <w:r w:rsidRPr="007849A5">
        <w:rPr>
          <w:rFonts w:hint="eastAsia"/>
          <w:color w:val="000000" w:themeColor="text1"/>
        </w:rPr>
        <w:t>綜上，法院於適用傳聞法則例外規定時，除應從嚴審認法定要件外，並應確保被告於訴訟程序上獲得相當之防禦權補償</w:t>
      </w:r>
      <w:r w:rsidRPr="007849A5">
        <w:rPr>
          <w:rFonts w:hAnsi="標楷體" w:hint="eastAsia"/>
          <w:color w:val="000000" w:themeColor="text1"/>
        </w:rPr>
        <w:t>，</w:t>
      </w:r>
      <w:r w:rsidRPr="007849A5">
        <w:rPr>
          <w:rFonts w:hint="eastAsia"/>
          <w:color w:val="000000" w:themeColor="text1"/>
        </w:rPr>
        <w:t>憲法法庭112年憲判字第12號判決業已明文揭示</w:t>
      </w:r>
      <w:r w:rsidRPr="007849A5">
        <w:rPr>
          <w:rFonts w:hAnsi="標楷體" w:hint="eastAsia"/>
          <w:color w:val="000000" w:themeColor="text1"/>
        </w:rPr>
        <w:t>。</w:t>
      </w:r>
      <w:r w:rsidRPr="007849A5">
        <w:rPr>
          <w:rFonts w:hint="eastAsia"/>
          <w:color w:val="000000" w:themeColor="text1"/>
        </w:rPr>
        <w:t>然在共同被告於陳述後死亡之情形</w:t>
      </w:r>
      <w:r w:rsidRPr="007849A5">
        <w:rPr>
          <w:rFonts w:hAnsi="標楷體" w:hint="eastAsia"/>
          <w:color w:val="000000" w:themeColor="text1"/>
        </w:rPr>
        <w:t>，</w:t>
      </w:r>
      <w:r w:rsidRPr="007849A5">
        <w:rPr>
          <w:rFonts w:hint="eastAsia"/>
          <w:color w:val="000000" w:themeColor="text1"/>
        </w:rPr>
        <w:t>上述對質、詰問權已經落空，而難以有效補償。共同被告不利於其他共同被告之警詢陳述，常有其特殊的虛偽風險。死刑的重大案件，就其訴訟程序（包括偵查及審判）所適用的正當程序要求，也應更為嚴密</w:t>
      </w:r>
      <w:r w:rsidRPr="007849A5">
        <w:rPr>
          <w:rFonts w:hAnsi="標楷體" w:hint="eastAsia"/>
          <w:color w:val="000000" w:themeColor="text1"/>
        </w:rPr>
        <w:t>，從而應排除或限制此等傳聞證據於死刑案件之適用。再者，刑事訴訟法159條之3第1款規定所稱</w:t>
      </w:r>
      <w:r w:rsidR="00871E93" w:rsidRPr="007849A5">
        <w:rPr>
          <w:rFonts w:hAnsi="標楷體" w:hint="eastAsia"/>
          <w:color w:val="000000" w:themeColor="text1"/>
        </w:rPr>
        <w:t>「</w:t>
      </w:r>
      <w:r w:rsidRPr="007849A5">
        <w:rPr>
          <w:rFonts w:hAnsi="標楷體" w:hint="eastAsia"/>
          <w:color w:val="000000" w:themeColor="text1"/>
        </w:rPr>
        <w:t>被告以外之人死亡</w:t>
      </w:r>
      <w:r w:rsidR="00871E93" w:rsidRPr="007849A5">
        <w:rPr>
          <w:rFonts w:hAnsi="標楷體" w:hint="eastAsia"/>
          <w:color w:val="000000" w:themeColor="text1"/>
        </w:rPr>
        <w:t>」</w:t>
      </w:r>
      <w:r w:rsidRPr="007849A5">
        <w:rPr>
          <w:rFonts w:hAnsi="標楷體" w:hint="eastAsia"/>
          <w:color w:val="000000" w:themeColor="text1"/>
        </w:rPr>
        <w:t>，一般情形，係指其死亡與國家權力之介入無關。法院在判處死刑及法務部在執行死刑之前，應盡可能確保被告就該警詢陳述有對質及詰問之機會。惟</w:t>
      </w:r>
      <w:r w:rsidR="00DC06C1">
        <w:rPr>
          <w:rFonts w:hAnsi="標楷體" w:hint="eastAsia"/>
          <w:color w:val="000000" w:themeColor="text1"/>
        </w:rPr>
        <w:t>沈○霖</w:t>
      </w:r>
      <w:r w:rsidR="00871E93" w:rsidRPr="007849A5">
        <w:rPr>
          <w:rFonts w:hAnsi="標楷體" w:hint="eastAsia"/>
          <w:color w:val="000000" w:themeColor="text1"/>
        </w:rPr>
        <w:t>所涉強制性交殺人案件，</w:t>
      </w:r>
      <w:r w:rsidR="00DC06C1">
        <w:rPr>
          <w:rFonts w:hAnsi="標楷體"/>
          <w:color w:val="000000" w:themeColor="text1"/>
        </w:rPr>
        <w:t>黃○任</w:t>
      </w:r>
      <w:r w:rsidR="00CF6123" w:rsidRPr="007849A5">
        <w:rPr>
          <w:rFonts w:hAnsi="標楷體"/>
          <w:color w:val="000000" w:themeColor="text1"/>
        </w:rPr>
        <w:t>、</w:t>
      </w:r>
      <w:r w:rsidR="00DC06C1">
        <w:rPr>
          <w:rFonts w:hAnsi="標楷體"/>
          <w:color w:val="000000" w:themeColor="text1"/>
        </w:rPr>
        <w:t>黃○雄</w:t>
      </w:r>
      <w:r w:rsidR="00871E93" w:rsidRPr="007849A5">
        <w:rPr>
          <w:rFonts w:hAnsi="標楷體" w:hint="eastAsia"/>
          <w:color w:val="000000" w:themeColor="text1"/>
        </w:rPr>
        <w:t>等</w:t>
      </w:r>
      <w:r w:rsidRPr="007849A5">
        <w:rPr>
          <w:rFonts w:hAnsi="標楷體" w:hint="eastAsia"/>
          <w:color w:val="000000" w:themeColor="text1"/>
        </w:rPr>
        <w:t>共同被告於</w:t>
      </w:r>
      <w:r w:rsidR="00DC06C1">
        <w:rPr>
          <w:rFonts w:hAnsi="標楷體" w:hint="eastAsia"/>
          <w:color w:val="000000" w:themeColor="text1"/>
        </w:rPr>
        <w:t>沈○霖</w:t>
      </w:r>
      <w:r w:rsidRPr="007849A5">
        <w:rPr>
          <w:rFonts w:hAnsi="標楷體" w:hint="eastAsia"/>
          <w:color w:val="000000" w:themeColor="text1"/>
        </w:rPr>
        <w:t>經緝獲前，即迅遭審判、執行死刑，致</w:t>
      </w:r>
      <w:r w:rsidR="00DC06C1">
        <w:rPr>
          <w:rFonts w:hAnsi="標楷體" w:hint="eastAsia"/>
          <w:color w:val="000000" w:themeColor="text1"/>
        </w:rPr>
        <w:t>沈○霖</w:t>
      </w:r>
      <w:r w:rsidRPr="007849A5">
        <w:rPr>
          <w:rFonts w:hAnsi="標楷體" w:hint="eastAsia"/>
          <w:color w:val="000000" w:themeColor="text1"/>
        </w:rPr>
        <w:t>對質詰問之防禦權遭受剝奪，而</w:t>
      </w:r>
      <w:r w:rsidR="00CF6123" w:rsidRPr="007849A5">
        <w:rPr>
          <w:rFonts w:hAnsi="標楷體" w:hint="eastAsia"/>
          <w:color w:val="000000" w:themeColor="text1"/>
        </w:rPr>
        <w:t>法院</w:t>
      </w:r>
      <w:r w:rsidRPr="007849A5">
        <w:rPr>
          <w:rFonts w:hAnsi="標楷體" w:hint="eastAsia"/>
          <w:color w:val="000000" w:themeColor="text1"/>
        </w:rPr>
        <w:t>仍以</w:t>
      </w:r>
      <w:r w:rsidR="00CF6123" w:rsidRPr="007849A5">
        <w:rPr>
          <w:rFonts w:hAnsi="標楷體" w:hint="eastAsia"/>
          <w:color w:val="000000" w:themeColor="text1"/>
        </w:rPr>
        <w:t>該</w:t>
      </w:r>
      <w:r w:rsidR="00C1487A" w:rsidRPr="007849A5">
        <w:rPr>
          <w:rFonts w:hAnsi="標楷體" w:hint="eastAsia"/>
          <w:color w:val="000000" w:themeColor="text1"/>
        </w:rPr>
        <w:t>已</w:t>
      </w:r>
      <w:r w:rsidRPr="007849A5">
        <w:rPr>
          <w:rFonts w:hAnsi="標楷體" w:hint="eastAsia"/>
          <w:color w:val="000000" w:themeColor="text1"/>
        </w:rPr>
        <w:t>死亡</w:t>
      </w:r>
      <w:r w:rsidR="00CF6123" w:rsidRPr="007849A5">
        <w:rPr>
          <w:rFonts w:hAnsi="標楷體" w:hint="eastAsia"/>
          <w:color w:val="000000" w:themeColor="text1"/>
        </w:rPr>
        <w:t>之</w:t>
      </w:r>
      <w:r w:rsidRPr="007849A5">
        <w:rPr>
          <w:rFonts w:hAnsi="標楷體" w:hint="eastAsia"/>
          <w:color w:val="000000" w:themeColor="text1"/>
        </w:rPr>
        <w:t>共同被告之傳聞證據為不利之認定，牴觸憲法第16條之訴訟權及第8條正當法律程序</w:t>
      </w:r>
      <w:r w:rsidR="00A51362">
        <w:rPr>
          <w:rFonts w:hAnsi="標楷體" w:hint="eastAsia"/>
          <w:color w:val="000000" w:themeColor="text1"/>
        </w:rPr>
        <w:t>保障</w:t>
      </w:r>
      <w:r w:rsidRPr="007849A5">
        <w:rPr>
          <w:rFonts w:hAnsi="標楷體" w:hint="eastAsia"/>
          <w:color w:val="000000" w:themeColor="text1"/>
        </w:rPr>
        <w:t>之意旨，恐有判決違背傳聞法則之違誤。</w:t>
      </w:r>
    </w:p>
    <w:p w14:paraId="5532F226" w14:textId="7A8167FE" w:rsidR="004E031A" w:rsidRPr="007849A5" w:rsidRDefault="00DC06C1" w:rsidP="00081CF9">
      <w:pPr>
        <w:pStyle w:val="2"/>
        <w:rPr>
          <w:b/>
          <w:color w:val="000000" w:themeColor="text1"/>
        </w:rPr>
      </w:pPr>
      <w:bookmarkStart w:id="53" w:name="_Hlk229666340"/>
      <w:bookmarkStart w:id="54" w:name="_Hlk229659833"/>
      <w:r>
        <w:rPr>
          <w:rFonts w:hint="eastAsia"/>
          <w:b/>
          <w:color w:val="000000" w:themeColor="text1"/>
        </w:rPr>
        <w:t>沈○霖</w:t>
      </w:r>
      <w:r w:rsidR="00CD7821" w:rsidRPr="007849A5">
        <w:rPr>
          <w:rFonts w:hint="eastAsia"/>
          <w:b/>
          <w:color w:val="000000" w:themeColor="text1"/>
        </w:rPr>
        <w:t>所涉強制性交殺人案件中</w:t>
      </w:r>
      <w:r w:rsidR="001E49BC" w:rsidRPr="007849A5">
        <w:rPr>
          <w:rFonts w:hint="eastAsia"/>
          <w:b/>
          <w:color w:val="000000" w:themeColor="text1"/>
        </w:rPr>
        <w:t>，</w:t>
      </w:r>
      <w:r w:rsidR="004E031A" w:rsidRPr="007849A5">
        <w:rPr>
          <w:rFonts w:hint="eastAsia"/>
          <w:b/>
          <w:color w:val="000000" w:themeColor="text1"/>
        </w:rPr>
        <w:t>角木、衣物</w:t>
      </w:r>
      <w:r w:rsidR="00CF01FA" w:rsidRPr="007849A5">
        <w:rPr>
          <w:rFonts w:hint="eastAsia"/>
          <w:b/>
          <w:color w:val="000000" w:themeColor="text1"/>
        </w:rPr>
        <w:t>、膠片指紋</w:t>
      </w:r>
      <w:r w:rsidR="004E031A" w:rsidRPr="007849A5">
        <w:rPr>
          <w:rFonts w:hint="eastAsia"/>
          <w:b/>
          <w:color w:val="000000" w:themeColor="text1"/>
        </w:rPr>
        <w:t>等證物</w:t>
      </w:r>
      <w:bookmarkEnd w:id="53"/>
      <w:r w:rsidR="004E031A" w:rsidRPr="007849A5">
        <w:rPr>
          <w:rFonts w:hint="eastAsia"/>
          <w:b/>
          <w:color w:val="000000" w:themeColor="text1"/>
        </w:rPr>
        <w:t>因</w:t>
      </w:r>
      <w:r w:rsidR="00AE1B4D" w:rsidRPr="007849A5">
        <w:rPr>
          <w:rFonts w:hint="eastAsia"/>
          <w:b/>
          <w:color w:val="000000" w:themeColor="text1"/>
        </w:rPr>
        <w:t>國家保存不當而</w:t>
      </w:r>
      <w:r w:rsidR="004E031A" w:rsidRPr="007849A5">
        <w:rPr>
          <w:rFonts w:hint="eastAsia"/>
          <w:b/>
          <w:color w:val="000000" w:themeColor="text1"/>
        </w:rPr>
        <w:t>遺失</w:t>
      </w:r>
      <w:r w:rsidR="00AE1B4D" w:rsidRPr="007849A5">
        <w:rPr>
          <w:rFonts w:hint="eastAsia"/>
          <w:b/>
          <w:color w:val="000000" w:themeColor="text1"/>
        </w:rPr>
        <w:t>或下落不明</w:t>
      </w:r>
      <w:r w:rsidR="004E031A" w:rsidRPr="007849A5">
        <w:rPr>
          <w:rFonts w:hint="eastAsia"/>
          <w:b/>
          <w:color w:val="000000" w:themeColor="text1"/>
        </w:rPr>
        <w:t>，致無</w:t>
      </w:r>
      <w:r w:rsidR="004E031A" w:rsidRPr="007849A5">
        <w:rPr>
          <w:rFonts w:hint="eastAsia"/>
          <w:b/>
          <w:color w:val="000000" w:themeColor="text1"/>
        </w:rPr>
        <w:lastRenderedPageBreak/>
        <w:t>從對該等證物進行有無</w:t>
      </w:r>
      <w:r>
        <w:rPr>
          <w:rFonts w:hint="eastAsia"/>
          <w:b/>
          <w:color w:val="000000" w:themeColor="text1"/>
        </w:rPr>
        <w:t>沈○霖</w:t>
      </w:r>
      <w:r w:rsidR="004E031A" w:rsidRPr="007849A5">
        <w:rPr>
          <w:rFonts w:hint="eastAsia"/>
          <w:b/>
          <w:color w:val="000000" w:themeColor="text1"/>
        </w:rPr>
        <w:t>生物跡證等影響其犯行認定之調查，嚴重</w:t>
      </w:r>
      <w:r w:rsidR="004E031A" w:rsidRPr="007849A5">
        <w:rPr>
          <w:rFonts w:hAnsi="標楷體" w:hint="eastAsia"/>
          <w:b/>
          <w:color w:val="000000" w:themeColor="text1"/>
        </w:rPr>
        <w:t>影響其訴訟上防禦權之行使，</w:t>
      </w:r>
      <w:r w:rsidR="004E031A" w:rsidRPr="007849A5">
        <w:rPr>
          <w:rFonts w:hint="eastAsia"/>
          <w:b/>
          <w:color w:val="000000" w:themeColor="text1"/>
        </w:rPr>
        <w:t>不符最嚴密之正當法律程序要求</w:t>
      </w:r>
      <w:bookmarkEnd w:id="54"/>
      <w:r w:rsidR="004E031A" w:rsidRPr="007849A5">
        <w:rPr>
          <w:rFonts w:hAnsi="標楷體" w:hint="eastAsia"/>
          <w:b/>
          <w:color w:val="000000" w:themeColor="text1"/>
        </w:rPr>
        <w:t>；又</w:t>
      </w:r>
      <w:r w:rsidR="004E031A" w:rsidRPr="007849A5">
        <w:rPr>
          <w:rFonts w:hint="eastAsia"/>
          <w:b/>
          <w:color w:val="000000" w:themeColor="text1"/>
        </w:rPr>
        <w:t>經78年鑑定與</w:t>
      </w:r>
      <w:r>
        <w:rPr>
          <w:rFonts w:hint="eastAsia"/>
          <w:b/>
          <w:color w:val="000000" w:themeColor="text1"/>
        </w:rPr>
        <w:t>沈○霖</w:t>
      </w:r>
      <w:r w:rsidR="004E031A" w:rsidRPr="007849A5">
        <w:rPr>
          <w:rFonts w:hint="eastAsia"/>
          <w:b/>
          <w:color w:val="000000" w:themeColor="text1"/>
        </w:rPr>
        <w:t>右中指指紋相符之膠片指紋</w:t>
      </w:r>
      <w:r w:rsidR="004E031A" w:rsidRPr="007849A5">
        <w:rPr>
          <w:rFonts w:hAnsi="標楷體" w:hint="eastAsia"/>
          <w:b/>
          <w:color w:val="000000" w:themeColor="text1"/>
        </w:rPr>
        <w:t>，</w:t>
      </w:r>
      <w:r w:rsidR="004E031A" w:rsidRPr="007849A5">
        <w:rPr>
          <w:rFonts w:hint="eastAsia"/>
          <w:b/>
          <w:color w:val="000000" w:themeColor="text1"/>
        </w:rPr>
        <w:t>於80年及95年送鑑驗時，該膠片指紋竟因不明原因無法一併檢送鑑定，致該膠片指紋是否確與</w:t>
      </w:r>
      <w:r>
        <w:rPr>
          <w:rFonts w:hint="eastAsia"/>
          <w:b/>
          <w:color w:val="000000" w:themeColor="text1"/>
        </w:rPr>
        <w:t>沈○霖</w:t>
      </w:r>
      <w:r w:rsidR="004E031A" w:rsidRPr="007849A5">
        <w:rPr>
          <w:rFonts w:hint="eastAsia"/>
          <w:b/>
          <w:color w:val="000000" w:themeColor="text1"/>
        </w:rPr>
        <w:t>右中指指紋相符產生疑義，原確定</w:t>
      </w:r>
      <w:r w:rsidR="00056745" w:rsidRPr="007849A5">
        <w:rPr>
          <w:rFonts w:hint="eastAsia"/>
          <w:b/>
          <w:color w:val="000000" w:themeColor="text1"/>
        </w:rPr>
        <w:t>終局</w:t>
      </w:r>
      <w:r w:rsidR="004E031A" w:rsidRPr="007849A5">
        <w:rPr>
          <w:rFonts w:hint="eastAsia"/>
          <w:b/>
          <w:color w:val="000000" w:themeColor="text1"/>
        </w:rPr>
        <w:t>判決在鑑定存在疑義且標的不一致之情況下，仍逕予採納78年之鑑定結論，採證</w:t>
      </w:r>
      <w:r w:rsidR="004E031A" w:rsidRPr="007849A5">
        <w:rPr>
          <w:rFonts w:hAnsi="標楷體" w:hint="eastAsia"/>
          <w:b/>
          <w:color w:val="000000" w:themeColor="text1"/>
        </w:rPr>
        <w:t>涉有違反</w:t>
      </w:r>
      <w:r w:rsidR="004E031A" w:rsidRPr="007849A5">
        <w:rPr>
          <w:rFonts w:hint="eastAsia"/>
          <w:b/>
          <w:color w:val="000000" w:themeColor="text1"/>
        </w:rPr>
        <w:t>論理法則之違誤</w:t>
      </w:r>
      <w:r w:rsidR="00EB7E4E" w:rsidRPr="007849A5">
        <w:rPr>
          <w:rFonts w:hint="eastAsia"/>
          <w:b/>
          <w:color w:val="000000" w:themeColor="text1"/>
        </w:rPr>
        <w:t>：</w:t>
      </w:r>
    </w:p>
    <w:p w14:paraId="0C994987" w14:textId="78882FD8" w:rsidR="004E031A" w:rsidRPr="007849A5" w:rsidRDefault="004E031A" w:rsidP="004E031A">
      <w:pPr>
        <w:pStyle w:val="3"/>
        <w:rPr>
          <w:color w:val="000000" w:themeColor="text1"/>
        </w:rPr>
      </w:pPr>
      <w:r w:rsidRPr="007849A5">
        <w:rPr>
          <w:rFonts w:hint="eastAsia"/>
          <w:color w:val="000000" w:themeColor="text1"/>
        </w:rPr>
        <w:t>憲法法庭113年憲判字第8號判決主文第1項後段指出：「所處罰之故意殺人罪係侵害生命權之最嚴重犯罪類型，其中以死刑為最重本刑部分，僅得適用於個案犯罪情節屬</w:t>
      </w:r>
      <w:r w:rsidRPr="007849A5">
        <w:rPr>
          <w:rFonts w:hint="eastAsia"/>
          <w:b/>
          <w:bCs w:val="0"/>
          <w:color w:val="000000" w:themeColor="text1"/>
        </w:rPr>
        <w:t>最嚴重</w:t>
      </w:r>
      <w:r w:rsidRPr="007849A5">
        <w:rPr>
          <w:rFonts w:hint="eastAsia"/>
          <w:color w:val="000000" w:themeColor="text1"/>
        </w:rPr>
        <w:t>，且其</w:t>
      </w:r>
      <w:r w:rsidRPr="007849A5">
        <w:rPr>
          <w:rFonts w:hint="eastAsia"/>
          <w:b/>
          <w:color w:val="000000" w:themeColor="text1"/>
        </w:rPr>
        <w:t>刑事程序符合憲法最嚴密之正當法律程序要求</w:t>
      </w:r>
      <w:r w:rsidRPr="007849A5">
        <w:rPr>
          <w:rFonts w:hint="eastAsia"/>
          <w:color w:val="000000" w:themeColor="text1"/>
        </w:rPr>
        <w:t>之情形。於此範圍內，與憲法保障人民生命權之意旨尚屬無違。</w:t>
      </w:r>
      <w:r w:rsidRPr="007849A5">
        <w:rPr>
          <w:rFonts w:hAnsi="標楷體" w:hint="eastAsia"/>
          <w:color w:val="000000" w:themeColor="text1"/>
        </w:rPr>
        <w:t>」前開</w:t>
      </w:r>
      <w:r w:rsidRPr="007849A5">
        <w:rPr>
          <w:rFonts w:hint="eastAsia"/>
          <w:color w:val="000000" w:themeColor="text1"/>
        </w:rPr>
        <w:t>判決理由第90段前段</w:t>
      </w:r>
      <w:r w:rsidR="00A51362">
        <w:rPr>
          <w:rFonts w:hint="eastAsia"/>
          <w:color w:val="000000" w:themeColor="text1"/>
        </w:rPr>
        <w:t>並</w:t>
      </w:r>
      <w:r w:rsidRPr="007849A5">
        <w:rPr>
          <w:rFonts w:hint="eastAsia"/>
          <w:color w:val="000000" w:themeColor="text1"/>
        </w:rPr>
        <w:t>指出：「生命權受憲法保障，非依最嚴密之正當法律程序，不得任意侵害。為避免錯誤冤抑，並力求法院所為死刑判決之事實認定確無合理懷疑，其法律理由充分、正當，從而確保死刑之科處於個案確為符合罪責原則之最後必要手段，</w:t>
      </w:r>
      <w:r w:rsidRPr="007849A5">
        <w:rPr>
          <w:rFonts w:hint="eastAsia"/>
          <w:b/>
          <w:color w:val="000000" w:themeColor="text1"/>
        </w:rPr>
        <w:t>尤應保障死刑案件之被告於刑事調查、偵查及審判程序，均得有效行使其訴訟上防禦權</w:t>
      </w:r>
      <w:r w:rsidRPr="007849A5">
        <w:rPr>
          <w:rFonts w:hint="eastAsia"/>
          <w:color w:val="000000" w:themeColor="text1"/>
        </w:rPr>
        <w:t>」。據此，死刑判決於刑事程序上</w:t>
      </w:r>
      <w:r w:rsidRPr="007849A5">
        <w:rPr>
          <w:rFonts w:hAnsi="標楷體" w:hint="eastAsia"/>
          <w:color w:val="000000" w:themeColor="text1"/>
        </w:rPr>
        <w:t>，</w:t>
      </w:r>
      <w:r w:rsidRPr="007849A5">
        <w:rPr>
          <w:rFonts w:hint="eastAsia"/>
          <w:color w:val="000000" w:themeColor="text1"/>
        </w:rPr>
        <w:t>應依最嚴密之正當法律程序為之</w:t>
      </w:r>
      <w:r w:rsidRPr="007849A5">
        <w:rPr>
          <w:rFonts w:hAnsi="標楷體" w:hint="eastAsia"/>
          <w:color w:val="000000" w:themeColor="text1"/>
        </w:rPr>
        <w:t>，</w:t>
      </w:r>
      <w:r w:rsidRPr="007849A5">
        <w:rPr>
          <w:rFonts w:hint="eastAsia"/>
          <w:color w:val="000000" w:themeColor="text1"/>
        </w:rPr>
        <w:t>尤應保障死刑案件之被告得有效行使其訴訟上防禦權。</w:t>
      </w:r>
    </w:p>
    <w:p w14:paraId="3EDF0A25" w14:textId="05882606" w:rsidR="00AC2E7B" w:rsidRPr="007849A5" w:rsidRDefault="00AC2E7B" w:rsidP="00AC2E7B">
      <w:pPr>
        <w:pStyle w:val="3"/>
        <w:rPr>
          <w:color w:val="000000" w:themeColor="text1"/>
        </w:rPr>
      </w:pPr>
      <w:r w:rsidRPr="007849A5">
        <w:rPr>
          <w:rFonts w:hint="eastAsia"/>
          <w:color w:val="000000" w:themeColor="text1"/>
        </w:rPr>
        <w:t>角木、衣物等證物於機關間運送途中遺失</w:t>
      </w:r>
      <w:r w:rsidR="00EC2B78" w:rsidRPr="007849A5">
        <w:rPr>
          <w:rFonts w:hint="eastAsia"/>
          <w:color w:val="000000" w:themeColor="text1"/>
        </w:rPr>
        <w:t>：</w:t>
      </w:r>
    </w:p>
    <w:p w14:paraId="0D94FC0B" w14:textId="30A7E9D9" w:rsidR="00AC2E7B" w:rsidRPr="007849A5" w:rsidRDefault="00AC2E7B" w:rsidP="00AC2E7B">
      <w:pPr>
        <w:pStyle w:val="4"/>
        <w:rPr>
          <w:color w:val="000000" w:themeColor="text1"/>
        </w:rPr>
      </w:pPr>
      <w:r w:rsidRPr="007849A5">
        <w:rPr>
          <w:color w:val="000000" w:themeColor="text1"/>
        </w:rPr>
        <w:t>本案據以論罪之關鍵實體證物，包含疑似作為兇器之角木1支、衣物3件等物品，於同案共犯</w:t>
      </w:r>
      <w:r w:rsidR="00DC06C1">
        <w:rPr>
          <w:color w:val="000000" w:themeColor="text1"/>
        </w:rPr>
        <w:t>黃</w:t>
      </w:r>
      <w:r w:rsidR="00DC06C1">
        <w:rPr>
          <w:color w:val="000000" w:themeColor="text1"/>
        </w:rPr>
        <w:t>○</w:t>
      </w:r>
      <w:r w:rsidR="00DC06C1">
        <w:rPr>
          <w:color w:val="000000" w:themeColor="text1"/>
        </w:rPr>
        <w:t>雄</w:t>
      </w:r>
      <w:r w:rsidRPr="007849A5">
        <w:rPr>
          <w:color w:val="000000" w:themeColor="text1"/>
        </w:rPr>
        <w:t>判決確定送執行之際，經臺</w:t>
      </w:r>
      <w:r w:rsidRPr="007849A5">
        <w:rPr>
          <w:rFonts w:hint="eastAsia"/>
          <w:color w:val="000000" w:themeColor="text1"/>
        </w:rPr>
        <w:t>中</w:t>
      </w:r>
      <w:r w:rsidRPr="007849A5">
        <w:rPr>
          <w:color w:val="000000" w:themeColor="text1"/>
        </w:rPr>
        <w:t>高分檢於82年間，託運至彰化地檢署執行。然於託運過程中，該批</w:t>
      </w:r>
      <w:r w:rsidRPr="007849A5">
        <w:rPr>
          <w:color w:val="000000" w:themeColor="text1"/>
        </w:rPr>
        <w:lastRenderedPageBreak/>
        <w:t>關鍵證物竟不慎遺失，且因時間久遠，事後已無法查明該等物品之下落。</w:t>
      </w:r>
    </w:p>
    <w:p w14:paraId="6DFC12E5" w14:textId="79B64AF9" w:rsidR="00AC2E7B" w:rsidRPr="007849A5" w:rsidRDefault="00AC2E7B" w:rsidP="000D7DFB">
      <w:pPr>
        <w:pStyle w:val="4"/>
        <w:rPr>
          <w:color w:val="000000" w:themeColor="text1"/>
        </w:rPr>
      </w:pPr>
      <w:r w:rsidRPr="007849A5">
        <w:rPr>
          <w:rFonts w:hint="eastAsia"/>
          <w:color w:val="000000" w:themeColor="text1"/>
        </w:rPr>
        <w:t>經本院函詢彰化地檢署，該署函復檢附79年度保管字第634號（查扣衣物3件）及80年度保管字第234號（查扣角木1支）扣押物品清單影本各1件，並稱上開贓證物已於</w:t>
      </w:r>
      <w:r w:rsidRPr="007849A5">
        <w:rPr>
          <w:color w:val="000000" w:themeColor="text1"/>
        </w:rPr>
        <w:t>80</w:t>
      </w:r>
      <w:r w:rsidRPr="007849A5">
        <w:rPr>
          <w:rFonts w:hint="eastAsia"/>
          <w:color w:val="000000" w:themeColor="text1"/>
        </w:rPr>
        <w:t>年</w:t>
      </w:r>
      <w:r w:rsidRPr="007849A5">
        <w:rPr>
          <w:color w:val="000000" w:themeColor="text1"/>
        </w:rPr>
        <w:t>6</w:t>
      </w:r>
      <w:r w:rsidRPr="007849A5">
        <w:rPr>
          <w:rFonts w:hint="eastAsia"/>
          <w:color w:val="000000" w:themeColor="text1"/>
        </w:rPr>
        <w:t>月間送上訴。另函詢法務部，該部復以：經聯繫臺中高分院贓物庫、彰化地檢署贓物庫人員，經分別回復：「本院贓物庫目前查無該名被告之贓證物在庫，電腦系統登錄該案（92年度上重訴50號案）曾有79年保字第1321號、80年保字第2460號，惟上開保號之贓證物均已不在庫。」</w:t>
      </w:r>
      <w:r w:rsidR="00CF01FA" w:rsidRPr="007849A5">
        <w:rPr>
          <w:rFonts w:hint="eastAsia"/>
          <w:color w:val="000000" w:themeColor="text1"/>
        </w:rPr>
        <w:t>、</w:t>
      </w:r>
      <w:r w:rsidRPr="007849A5">
        <w:rPr>
          <w:rFonts w:hint="eastAsia"/>
          <w:color w:val="000000" w:themeColor="text1"/>
        </w:rPr>
        <w:t>「本署贓物庫目前78年度保字號，僅餘1件，係相案無名屍永久保存，與上開相關案件無關。上開相關案件於電腦系統登錄有78年保字第1359號、78年保字第1512號，惟上開保號之贓證物均已不在庫。」再經檢視旨揭案卷影像，並未發現該案贓證物現在何處。</w:t>
      </w:r>
    </w:p>
    <w:p w14:paraId="274D8FF4" w14:textId="1F2FFFCE" w:rsidR="004E031A" w:rsidRPr="007849A5" w:rsidRDefault="004E031A" w:rsidP="004E031A">
      <w:pPr>
        <w:pStyle w:val="3"/>
        <w:rPr>
          <w:color w:val="000000" w:themeColor="text1"/>
        </w:rPr>
      </w:pPr>
      <w:r w:rsidRPr="007849A5">
        <w:rPr>
          <w:rFonts w:hAnsi="標楷體" w:hint="eastAsia"/>
          <w:color w:val="000000" w:themeColor="text1"/>
        </w:rPr>
        <w:t>原確定</w:t>
      </w:r>
      <w:r w:rsidR="00056745" w:rsidRPr="007849A5">
        <w:rPr>
          <w:rFonts w:hint="eastAsia"/>
          <w:bCs w:val="0"/>
          <w:color w:val="000000" w:themeColor="text1"/>
        </w:rPr>
        <w:t>終局</w:t>
      </w:r>
      <w:r w:rsidRPr="007849A5">
        <w:rPr>
          <w:rFonts w:hAnsi="標楷體" w:hint="eastAsia"/>
          <w:color w:val="000000" w:themeColor="text1"/>
        </w:rPr>
        <w:t>判決關於角木、衣物等證物遺失，不影響</w:t>
      </w:r>
      <w:r w:rsidR="00DC06C1">
        <w:rPr>
          <w:rFonts w:hint="eastAsia"/>
          <w:color w:val="000000" w:themeColor="text1"/>
        </w:rPr>
        <w:t>沈○霖</w:t>
      </w:r>
      <w:r w:rsidRPr="007849A5">
        <w:rPr>
          <w:rFonts w:hAnsi="標楷體" w:hint="eastAsia"/>
          <w:color w:val="000000" w:themeColor="text1"/>
        </w:rPr>
        <w:t>犯行認定之判決違背法令</w:t>
      </w:r>
    </w:p>
    <w:p w14:paraId="42D7A535" w14:textId="4EFB0FCE" w:rsidR="001F61E9" w:rsidRPr="007849A5" w:rsidRDefault="001F61E9" w:rsidP="001F61E9">
      <w:pPr>
        <w:pStyle w:val="4"/>
        <w:rPr>
          <w:color w:val="000000" w:themeColor="text1"/>
        </w:rPr>
      </w:pPr>
      <w:r w:rsidRPr="007849A5">
        <w:rPr>
          <w:rFonts w:hint="eastAsia"/>
          <w:color w:val="000000" w:themeColor="text1"/>
        </w:rPr>
        <w:t>刑事訴訟法第164條第1項</w:t>
      </w:r>
      <w:r w:rsidR="00A51362">
        <w:rPr>
          <w:rFonts w:hint="eastAsia"/>
          <w:color w:val="000000" w:themeColor="text1"/>
        </w:rPr>
        <w:t>規定</w:t>
      </w:r>
      <w:r w:rsidRPr="007849A5">
        <w:rPr>
          <w:rFonts w:hAnsi="標楷體" w:hint="eastAsia"/>
          <w:color w:val="000000" w:themeColor="text1"/>
        </w:rPr>
        <w:t>︰</w:t>
      </w:r>
      <w:r w:rsidRPr="007849A5">
        <w:rPr>
          <w:rFonts w:hint="eastAsia"/>
          <w:color w:val="000000" w:themeColor="text1"/>
        </w:rPr>
        <w:t>「</w:t>
      </w:r>
      <w:r w:rsidRPr="007849A5">
        <w:rPr>
          <w:rFonts w:hAnsi="標楷體" w:hint="eastAsia"/>
          <w:color w:val="000000" w:themeColor="text1"/>
        </w:rPr>
        <w:t>審判長應將證物提示當事人、代理人、辯護人或輔佐人，使其辨認。</w:t>
      </w:r>
      <w:r w:rsidRPr="007849A5">
        <w:rPr>
          <w:rFonts w:hint="eastAsia"/>
          <w:color w:val="000000" w:themeColor="text1"/>
        </w:rPr>
        <w:t>」</w:t>
      </w:r>
    </w:p>
    <w:p w14:paraId="116F457F" w14:textId="35B06ED8" w:rsidR="004E031A" w:rsidRPr="007849A5" w:rsidRDefault="001F61E9" w:rsidP="0007134C">
      <w:pPr>
        <w:pStyle w:val="4"/>
        <w:rPr>
          <w:color w:val="000000" w:themeColor="text1"/>
        </w:rPr>
      </w:pPr>
      <w:r w:rsidRPr="007849A5">
        <w:rPr>
          <w:rFonts w:hint="eastAsia"/>
          <w:color w:val="000000" w:themeColor="text1"/>
        </w:rPr>
        <w:t>原確定</w:t>
      </w:r>
      <w:r w:rsidR="00056745" w:rsidRPr="007849A5">
        <w:rPr>
          <w:rFonts w:hint="eastAsia"/>
          <w:bCs/>
          <w:color w:val="000000" w:themeColor="text1"/>
        </w:rPr>
        <w:t>終局</w:t>
      </w:r>
      <w:r w:rsidRPr="007849A5">
        <w:rPr>
          <w:rFonts w:hint="eastAsia"/>
          <w:color w:val="000000" w:themeColor="text1"/>
        </w:rPr>
        <w:t>判決稱</w:t>
      </w:r>
      <w:r w:rsidR="00D8107F" w:rsidRPr="007849A5">
        <w:rPr>
          <w:rFonts w:hint="eastAsia"/>
          <w:color w:val="000000" w:themeColor="text1"/>
        </w:rPr>
        <w:t>，</w:t>
      </w:r>
      <w:r w:rsidRPr="007849A5">
        <w:rPr>
          <w:rFonts w:hint="eastAsia"/>
          <w:color w:val="000000" w:themeColor="text1"/>
        </w:rPr>
        <w:t>本案原扣案之證物角木1支、衣物3件等物，雖於同案正犯</w:t>
      </w:r>
      <w:r w:rsidR="00DC06C1">
        <w:rPr>
          <w:rFonts w:hint="eastAsia"/>
          <w:color w:val="000000" w:themeColor="text1"/>
        </w:rPr>
        <w:t>黃○雄</w:t>
      </w:r>
      <w:r w:rsidRPr="007849A5">
        <w:rPr>
          <w:rFonts w:hint="eastAsia"/>
          <w:color w:val="000000" w:themeColor="text1"/>
        </w:rPr>
        <w:t>判決確定送執行之際，經</w:t>
      </w:r>
      <w:r w:rsidR="00D8107F" w:rsidRPr="007849A5">
        <w:rPr>
          <w:rFonts w:hint="eastAsia"/>
          <w:color w:val="000000" w:themeColor="text1"/>
        </w:rPr>
        <w:t>臺</w:t>
      </w:r>
      <w:r w:rsidRPr="007849A5">
        <w:rPr>
          <w:rFonts w:hint="eastAsia"/>
          <w:color w:val="000000" w:themeColor="text1"/>
        </w:rPr>
        <w:t>中</w:t>
      </w:r>
      <w:r w:rsidR="00D8107F" w:rsidRPr="007849A5">
        <w:rPr>
          <w:rFonts w:hint="eastAsia"/>
          <w:color w:val="000000" w:themeColor="text1"/>
        </w:rPr>
        <w:t>高分檢</w:t>
      </w:r>
      <w:r w:rsidRPr="007849A5">
        <w:rPr>
          <w:rFonts w:hint="eastAsia"/>
          <w:color w:val="000000" w:themeColor="text1"/>
        </w:rPr>
        <w:t>於82年間託運至彰化地檢署執行，而於託運過程中遺失，且因時間久遠，致無法查明該等物品之下落，致法院於調查、審理時，事實上無法調取並提示該等扣案證物，</w:t>
      </w:r>
      <w:r w:rsidRPr="007849A5">
        <w:rPr>
          <w:rFonts w:hAnsi="標楷體" w:hint="eastAsia"/>
          <w:color w:val="000000" w:themeColor="text1"/>
        </w:rPr>
        <w:t>然此並不影響上訴人</w:t>
      </w:r>
      <w:r w:rsidR="00D8107F" w:rsidRPr="007849A5">
        <w:rPr>
          <w:rFonts w:hAnsi="標楷體" w:hint="eastAsia"/>
          <w:color w:val="000000" w:themeColor="text1"/>
        </w:rPr>
        <w:t>(</w:t>
      </w:r>
      <w:r w:rsidR="00DC06C1">
        <w:rPr>
          <w:rFonts w:hAnsi="標楷體" w:hint="eastAsia"/>
          <w:color w:val="000000" w:themeColor="text1"/>
        </w:rPr>
        <w:t>沈○霖</w:t>
      </w:r>
      <w:r w:rsidR="00D8107F" w:rsidRPr="007849A5">
        <w:rPr>
          <w:rFonts w:hAnsi="標楷體" w:hint="eastAsia"/>
          <w:color w:val="000000" w:themeColor="text1"/>
        </w:rPr>
        <w:t>)</w:t>
      </w:r>
      <w:r w:rsidRPr="007849A5">
        <w:rPr>
          <w:rFonts w:hAnsi="標楷體" w:hint="eastAsia"/>
          <w:color w:val="000000" w:themeColor="text1"/>
        </w:rPr>
        <w:t>前揭強制性交而故意殺人犯行之認定</w:t>
      </w:r>
      <w:r w:rsidR="00CF01FA" w:rsidRPr="007849A5">
        <w:rPr>
          <w:rFonts w:hAnsi="標楷體" w:hint="eastAsia"/>
          <w:color w:val="000000" w:themeColor="text1"/>
        </w:rPr>
        <w:t>云云</w:t>
      </w:r>
      <w:r w:rsidRPr="007849A5">
        <w:rPr>
          <w:rFonts w:hAnsi="標楷體" w:hint="eastAsia"/>
          <w:color w:val="000000" w:themeColor="text1"/>
        </w:rPr>
        <w:t>。</w:t>
      </w:r>
      <w:r w:rsidRPr="007849A5">
        <w:rPr>
          <w:rFonts w:hint="eastAsia"/>
          <w:color w:val="000000" w:themeColor="text1"/>
        </w:rPr>
        <w:t>惟</w:t>
      </w:r>
      <w:r w:rsidRPr="007849A5">
        <w:rPr>
          <w:rFonts w:hint="eastAsia"/>
          <w:bCs/>
          <w:color w:val="000000" w:themeColor="text1"/>
        </w:rPr>
        <w:t>角木、衣物等證物</w:t>
      </w:r>
      <w:r w:rsidRPr="007849A5">
        <w:rPr>
          <w:rFonts w:hint="eastAsia"/>
          <w:bCs/>
          <w:color w:val="000000" w:themeColor="text1"/>
        </w:rPr>
        <w:lastRenderedPageBreak/>
        <w:t>因</w:t>
      </w:r>
      <w:r w:rsidR="000E4D2F" w:rsidRPr="007849A5">
        <w:rPr>
          <w:rFonts w:hint="eastAsia"/>
          <w:bCs/>
          <w:color w:val="000000" w:themeColor="text1"/>
        </w:rPr>
        <w:t>國家證物保存不當</w:t>
      </w:r>
      <w:r w:rsidR="00A51362">
        <w:rPr>
          <w:rFonts w:hint="eastAsia"/>
          <w:bCs/>
          <w:color w:val="000000" w:themeColor="text1"/>
        </w:rPr>
        <w:t>而</w:t>
      </w:r>
      <w:r w:rsidRPr="007849A5">
        <w:rPr>
          <w:rFonts w:hint="eastAsia"/>
          <w:bCs/>
          <w:color w:val="000000" w:themeColor="text1"/>
        </w:rPr>
        <w:t>遺失，致無從對該等證物進行有無</w:t>
      </w:r>
      <w:r w:rsidR="00DC06C1">
        <w:rPr>
          <w:rFonts w:hAnsi="標楷體" w:hint="eastAsia"/>
          <w:color w:val="000000" w:themeColor="text1"/>
        </w:rPr>
        <w:t>沈○霖</w:t>
      </w:r>
      <w:r w:rsidRPr="007849A5">
        <w:rPr>
          <w:rFonts w:hint="eastAsia"/>
          <w:bCs/>
          <w:color w:val="000000" w:themeColor="text1"/>
        </w:rPr>
        <w:t>生物跡證等影響其犯行認定之調查，嚴重</w:t>
      </w:r>
      <w:r w:rsidRPr="007849A5">
        <w:rPr>
          <w:rFonts w:hAnsi="標楷體" w:hint="eastAsia"/>
          <w:bCs/>
          <w:color w:val="000000" w:themeColor="text1"/>
        </w:rPr>
        <w:t>影響其訴訟上防禦權之行使，</w:t>
      </w:r>
      <w:r w:rsidRPr="007849A5">
        <w:rPr>
          <w:rFonts w:hint="eastAsia"/>
          <w:bCs/>
          <w:color w:val="000000" w:themeColor="text1"/>
        </w:rPr>
        <w:t>不符最嚴密之正當法律程序要求</w:t>
      </w:r>
      <w:r w:rsidRPr="007849A5">
        <w:rPr>
          <w:rFonts w:hint="eastAsia"/>
          <w:color w:val="000000" w:themeColor="text1"/>
        </w:rPr>
        <w:t>。</w:t>
      </w:r>
    </w:p>
    <w:p w14:paraId="5F4A6EEB" w14:textId="26A042E0" w:rsidR="0051548F" w:rsidRPr="007849A5" w:rsidRDefault="0051548F" w:rsidP="0051548F">
      <w:pPr>
        <w:pStyle w:val="3"/>
        <w:rPr>
          <w:color w:val="000000" w:themeColor="text1"/>
        </w:rPr>
      </w:pPr>
      <w:r w:rsidRPr="007849A5">
        <w:rPr>
          <w:rFonts w:hint="eastAsia"/>
          <w:color w:val="000000" w:themeColor="text1"/>
        </w:rPr>
        <w:t>「膠片指紋」下落不明，且原始採證檔案遭銷毀，</w:t>
      </w:r>
      <w:r w:rsidR="00A51362">
        <w:rPr>
          <w:rFonts w:hint="eastAsia"/>
          <w:color w:val="000000" w:themeColor="text1"/>
        </w:rPr>
        <w:t>致</w:t>
      </w:r>
      <w:r w:rsidRPr="007849A5">
        <w:rPr>
          <w:rFonts w:hint="eastAsia"/>
          <w:color w:val="000000" w:themeColor="text1"/>
        </w:rPr>
        <w:t>無從確認採集位置：</w:t>
      </w:r>
    </w:p>
    <w:p w14:paraId="458E10BA" w14:textId="021F7E68" w:rsidR="0051548F" w:rsidRPr="007849A5" w:rsidRDefault="0051548F" w:rsidP="0051548F">
      <w:pPr>
        <w:pStyle w:val="4"/>
        <w:rPr>
          <w:color w:val="000000" w:themeColor="text1"/>
        </w:rPr>
      </w:pPr>
      <w:r w:rsidRPr="007849A5">
        <w:rPr>
          <w:color w:val="000000" w:themeColor="text1"/>
        </w:rPr>
        <w:t>案發現場採集到10枚指紋送驗，依據</w:t>
      </w:r>
      <w:r w:rsidR="00A51362" w:rsidRPr="007849A5">
        <w:rPr>
          <w:rFonts w:hint="eastAsia"/>
          <w:color w:val="000000" w:themeColor="text1"/>
        </w:rPr>
        <w:t>內政部警政署刑事警察局(下稱刑事局)</w:t>
      </w:r>
      <w:r w:rsidRPr="007849A5">
        <w:rPr>
          <w:color w:val="000000" w:themeColor="text1"/>
        </w:rPr>
        <w:t>78年9月23日局紋字第153號鑑定書，其中1枚以粉末法顯現再使用透明膠帶採取之「膠片指紋」，與</w:t>
      </w:r>
      <w:r w:rsidR="00DC06C1">
        <w:rPr>
          <w:color w:val="000000" w:themeColor="text1"/>
        </w:rPr>
        <w:t>沈</w:t>
      </w:r>
      <w:r w:rsidR="00DC06C1">
        <w:rPr>
          <w:rFonts w:hint="eastAsia"/>
          <w:color w:val="000000" w:themeColor="text1"/>
        </w:rPr>
        <w:t>○</w:t>
      </w:r>
      <w:r w:rsidR="00DC06C1">
        <w:rPr>
          <w:color w:val="000000" w:themeColor="text1"/>
        </w:rPr>
        <w:t>霖</w:t>
      </w:r>
      <w:r w:rsidRPr="007849A5">
        <w:rPr>
          <w:color w:val="000000" w:themeColor="text1"/>
        </w:rPr>
        <w:t>之右中指指紋相符</w:t>
      </w:r>
      <w:r w:rsidRPr="007849A5">
        <w:rPr>
          <w:rFonts w:hint="eastAsia"/>
          <w:color w:val="000000" w:themeColor="text1"/>
        </w:rPr>
        <w:t>；法院</w:t>
      </w:r>
      <w:r w:rsidRPr="007849A5">
        <w:rPr>
          <w:color w:val="000000" w:themeColor="text1"/>
        </w:rPr>
        <w:t>於80年及95年再次函請刑事局鑑定時，僅檢送「相片指紋」，而未附上該枚「膠片指紋」。刑事局函復指出，送鑑之現場指紋相片因紋線模糊不清且特徵點不足，致無法比對。該枚作為唯一定罪基礎之實體膠片指紋，在後續程序中下落不明。</w:t>
      </w:r>
    </w:p>
    <w:p w14:paraId="02AB7B06" w14:textId="6BE06A2D" w:rsidR="0051548F" w:rsidRPr="007849A5" w:rsidRDefault="0051548F" w:rsidP="000D7DFB">
      <w:pPr>
        <w:pStyle w:val="4"/>
        <w:rPr>
          <w:color w:val="000000" w:themeColor="text1"/>
        </w:rPr>
      </w:pPr>
      <w:r w:rsidRPr="007849A5">
        <w:rPr>
          <w:rFonts w:hint="eastAsia"/>
          <w:color w:val="000000" w:themeColor="text1"/>
        </w:rPr>
        <w:t>而前開</w:t>
      </w:r>
      <w:r w:rsidRPr="007849A5">
        <w:rPr>
          <w:color w:val="000000" w:themeColor="text1"/>
        </w:rPr>
        <w:t>該枚指紋究</w:t>
      </w:r>
      <w:r w:rsidRPr="007849A5">
        <w:rPr>
          <w:rFonts w:hint="eastAsia"/>
          <w:color w:val="000000" w:themeColor="text1"/>
        </w:rPr>
        <w:t>係</w:t>
      </w:r>
      <w:r w:rsidRPr="007849A5">
        <w:rPr>
          <w:color w:val="000000" w:themeColor="text1"/>
        </w:rPr>
        <w:t>在命案現場之房間內，抑或大樓之交誼廳等公共空間採集，攸關其是否能證明</w:t>
      </w:r>
      <w:r w:rsidR="00DC06C1">
        <w:rPr>
          <w:rFonts w:hint="eastAsia"/>
          <w:color w:val="000000" w:themeColor="text1"/>
        </w:rPr>
        <w:t>沈○霖</w:t>
      </w:r>
      <w:r w:rsidRPr="007849A5">
        <w:rPr>
          <w:color w:val="000000" w:themeColor="text1"/>
        </w:rPr>
        <w:t>確在命案現場。然彰化縣警察局二林分局函復法院表示，現場所採集指紋之位置及指紋檔案資料，因年限已久，相關卷宗檔案已逾公文保存期限且均已銷毀，致無法提供。案發後負責採證之人員於法院作證時，亦無法確切記憶該指紋採集之具體位置與來源。</w:t>
      </w:r>
    </w:p>
    <w:p w14:paraId="3538AFCB" w14:textId="6078503F" w:rsidR="001F61E9" w:rsidRPr="007849A5" w:rsidRDefault="001F61E9" w:rsidP="001F61E9">
      <w:pPr>
        <w:pStyle w:val="3"/>
        <w:rPr>
          <w:color w:val="000000" w:themeColor="text1"/>
        </w:rPr>
      </w:pPr>
      <w:r w:rsidRPr="007849A5">
        <w:rPr>
          <w:rFonts w:hAnsi="標楷體" w:hint="eastAsia"/>
          <w:color w:val="000000" w:themeColor="text1"/>
        </w:rPr>
        <w:t>原確定</w:t>
      </w:r>
      <w:r w:rsidR="00056745" w:rsidRPr="007849A5">
        <w:rPr>
          <w:rFonts w:hint="eastAsia"/>
          <w:bCs w:val="0"/>
          <w:color w:val="000000" w:themeColor="text1"/>
        </w:rPr>
        <w:t>終局</w:t>
      </w:r>
      <w:r w:rsidRPr="007849A5">
        <w:rPr>
          <w:rFonts w:hAnsi="標楷體" w:hint="eastAsia"/>
          <w:color w:val="000000" w:themeColor="text1"/>
        </w:rPr>
        <w:t>判決關於採納78年指紋鑑定結論為犯罪證據之判決違背法令</w:t>
      </w:r>
    </w:p>
    <w:p w14:paraId="1FF2408A" w14:textId="2BE783A2" w:rsidR="001F61E9" w:rsidRPr="007849A5" w:rsidRDefault="001F61E9" w:rsidP="001F61E9">
      <w:pPr>
        <w:pStyle w:val="4"/>
        <w:rPr>
          <w:color w:val="000000" w:themeColor="text1"/>
        </w:rPr>
      </w:pPr>
      <w:r w:rsidRPr="007849A5">
        <w:rPr>
          <w:rFonts w:hint="eastAsia"/>
          <w:color w:val="000000" w:themeColor="text1"/>
        </w:rPr>
        <w:t>刑事訴訟法第207條</w:t>
      </w:r>
      <w:r w:rsidR="0046251C">
        <w:rPr>
          <w:rFonts w:hint="eastAsia"/>
          <w:color w:val="000000" w:themeColor="text1"/>
        </w:rPr>
        <w:t>規定</w:t>
      </w:r>
      <w:r w:rsidRPr="007849A5">
        <w:rPr>
          <w:rFonts w:hAnsi="標楷體" w:hint="eastAsia"/>
          <w:color w:val="000000" w:themeColor="text1"/>
        </w:rPr>
        <w:t>︰</w:t>
      </w:r>
      <w:r w:rsidRPr="007849A5">
        <w:rPr>
          <w:rFonts w:hint="eastAsia"/>
          <w:color w:val="000000" w:themeColor="text1"/>
        </w:rPr>
        <w:t>「鑑定有不完備者，得命增加人數或命他人繼續或另行鑑定。」</w:t>
      </w:r>
    </w:p>
    <w:p w14:paraId="2BA2C0EE" w14:textId="55D5D896" w:rsidR="001F61E9" w:rsidRPr="007849A5" w:rsidRDefault="001F61E9" w:rsidP="001F61E9">
      <w:pPr>
        <w:pStyle w:val="4"/>
        <w:rPr>
          <w:color w:val="000000" w:themeColor="text1"/>
        </w:rPr>
      </w:pPr>
      <w:r w:rsidRPr="007849A5">
        <w:rPr>
          <w:rFonts w:hint="eastAsia"/>
          <w:color w:val="000000" w:themeColor="text1"/>
        </w:rPr>
        <w:t>查</w:t>
      </w:r>
      <w:r w:rsidR="00DC06C1">
        <w:rPr>
          <w:rFonts w:hint="eastAsia"/>
          <w:color w:val="000000" w:themeColor="text1"/>
        </w:rPr>
        <w:t>沈○霖</w:t>
      </w:r>
      <w:r w:rsidRPr="007849A5">
        <w:rPr>
          <w:rFonts w:hint="eastAsia"/>
          <w:color w:val="000000" w:themeColor="text1"/>
        </w:rPr>
        <w:t>之指紋係法院認定犯罪事實之證據，原確定</w:t>
      </w:r>
      <w:r w:rsidR="00056745" w:rsidRPr="007849A5">
        <w:rPr>
          <w:rFonts w:hint="eastAsia"/>
          <w:bCs/>
          <w:color w:val="000000" w:themeColor="text1"/>
        </w:rPr>
        <w:t>終局</w:t>
      </w:r>
      <w:r w:rsidRPr="007849A5">
        <w:rPr>
          <w:rFonts w:hint="eastAsia"/>
          <w:color w:val="000000" w:themeColor="text1"/>
        </w:rPr>
        <w:t>判決稱</w:t>
      </w:r>
      <w:r w:rsidR="00313A66" w:rsidRPr="007849A5">
        <w:rPr>
          <w:rFonts w:hint="eastAsia"/>
          <w:color w:val="000000" w:themeColor="text1"/>
        </w:rPr>
        <w:t>，</w:t>
      </w:r>
      <w:r w:rsidRPr="007849A5">
        <w:rPr>
          <w:rFonts w:hint="eastAsia"/>
          <w:color w:val="000000" w:themeColor="text1"/>
        </w:rPr>
        <w:t>本案於78年9月15日案發後，彰</w:t>
      </w:r>
      <w:r w:rsidRPr="007849A5">
        <w:rPr>
          <w:rFonts w:hint="eastAsia"/>
          <w:color w:val="000000" w:themeColor="text1"/>
        </w:rPr>
        <w:lastRenderedPageBreak/>
        <w:t>化縣警察局</w:t>
      </w:r>
      <w:r w:rsidR="00313A66" w:rsidRPr="007849A5">
        <w:rPr>
          <w:rFonts w:hint="eastAsia"/>
          <w:color w:val="000000" w:themeColor="text1"/>
        </w:rPr>
        <w:t>於</w:t>
      </w:r>
      <w:r w:rsidRPr="007849A5">
        <w:rPr>
          <w:rFonts w:hint="eastAsia"/>
          <w:color w:val="000000" w:themeColor="text1"/>
        </w:rPr>
        <w:t>78年9月19日檢送案發現場膠片指紋、照片指紋及</w:t>
      </w:r>
      <w:r w:rsidR="00DC06C1">
        <w:rPr>
          <w:rFonts w:hint="eastAsia"/>
          <w:color w:val="000000" w:themeColor="text1"/>
        </w:rPr>
        <w:t>沈○霖</w:t>
      </w:r>
      <w:r w:rsidRPr="007849A5">
        <w:rPr>
          <w:rFonts w:hint="eastAsia"/>
          <w:color w:val="000000" w:themeColor="text1"/>
        </w:rPr>
        <w:t>、</w:t>
      </w:r>
      <w:r w:rsidR="00DC06C1">
        <w:rPr>
          <w:rFonts w:hint="eastAsia"/>
          <w:color w:val="000000" w:themeColor="text1"/>
        </w:rPr>
        <w:t>黃○雄</w:t>
      </w:r>
      <w:r w:rsidRPr="007849A5">
        <w:rPr>
          <w:rFonts w:hint="eastAsia"/>
          <w:color w:val="000000" w:themeColor="text1"/>
        </w:rPr>
        <w:t>、</w:t>
      </w:r>
      <w:r w:rsidR="00DC06C1">
        <w:rPr>
          <w:rFonts w:hint="eastAsia"/>
          <w:color w:val="000000" w:themeColor="text1"/>
        </w:rPr>
        <w:t>黃○任</w:t>
      </w:r>
      <w:r w:rsidRPr="007849A5">
        <w:rPr>
          <w:rFonts w:hint="eastAsia"/>
          <w:color w:val="000000" w:themeColor="text1"/>
        </w:rPr>
        <w:t>等人之役男指紋，供</w:t>
      </w:r>
      <w:r w:rsidR="0046251C" w:rsidRPr="0046251C">
        <w:rPr>
          <w:rFonts w:hint="eastAsia"/>
          <w:color w:val="000000" w:themeColor="text1"/>
        </w:rPr>
        <w:t>刑事局</w:t>
      </w:r>
      <w:r w:rsidRPr="007849A5">
        <w:rPr>
          <w:rFonts w:hint="eastAsia"/>
          <w:color w:val="000000" w:themeColor="text1"/>
        </w:rPr>
        <w:t>鑑驗，經鑑定結果，其中1枚膠片指紋與</w:t>
      </w:r>
      <w:r w:rsidR="00DC06C1">
        <w:rPr>
          <w:rFonts w:hint="eastAsia"/>
          <w:color w:val="000000" w:themeColor="text1"/>
        </w:rPr>
        <w:t>沈○霖</w:t>
      </w:r>
      <w:r w:rsidRPr="007849A5">
        <w:rPr>
          <w:rFonts w:hint="eastAsia"/>
          <w:color w:val="000000" w:themeColor="text1"/>
        </w:rPr>
        <w:t>右中指指紋相符。至80年及95年則只鑑定相片指紋，鑑定對象分別為</w:t>
      </w:r>
      <w:r w:rsidR="00DC06C1">
        <w:rPr>
          <w:rFonts w:hint="eastAsia"/>
          <w:color w:val="000000" w:themeColor="text1"/>
        </w:rPr>
        <w:t>黃○雄</w:t>
      </w:r>
      <w:r w:rsidRPr="007849A5">
        <w:rPr>
          <w:rFonts w:hint="eastAsia"/>
          <w:color w:val="000000" w:themeColor="text1"/>
        </w:rPr>
        <w:t>或</w:t>
      </w:r>
      <w:r w:rsidR="00DC06C1">
        <w:rPr>
          <w:rFonts w:hint="eastAsia"/>
          <w:color w:val="000000" w:themeColor="text1"/>
        </w:rPr>
        <w:t>沈○霖</w:t>
      </w:r>
      <w:r w:rsidRPr="007849A5">
        <w:rPr>
          <w:rFonts w:hint="eastAsia"/>
          <w:color w:val="000000" w:themeColor="text1"/>
        </w:rPr>
        <w:t>人，均因送鑑指紋紋線欠明晰或模糊不清且特徵點不足，致無法比對。三者鑑定標的不一，故鑑定結果尚非一致。縱令於78年鑑驗出與</w:t>
      </w:r>
      <w:r w:rsidR="00DC06C1">
        <w:rPr>
          <w:rFonts w:hint="eastAsia"/>
          <w:color w:val="000000" w:themeColor="text1"/>
        </w:rPr>
        <w:t>沈○霖</w:t>
      </w:r>
      <w:r w:rsidRPr="007849A5">
        <w:rPr>
          <w:rFonts w:hint="eastAsia"/>
          <w:color w:val="000000" w:themeColor="text1"/>
        </w:rPr>
        <w:t>右中指指紋相符之膠片指紋，至80年及95年送鑑驗時，該膠片指紋已因不明原因無法一併檢送鑑定，然此並不能推翻警方於兇案現場所採得之指紋中，其中1枚膠片指紋與</w:t>
      </w:r>
      <w:r w:rsidR="00DC06C1">
        <w:rPr>
          <w:rFonts w:hint="eastAsia"/>
          <w:color w:val="000000" w:themeColor="text1"/>
        </w:rPr>
        <w:t>沈○霖</w:t>
      </w:r>
      <w:r w:rsidRPr="007849A5">
        <w:rPr>
          <w:rFonts w:hint="eastAsia"/>
          <w:color w:val="000000" w:themeColor="text1"/>
        </w:rPr>
        <w:t>右中指指紋相符之事實</w:t>
      </w:r>
      <w:r w:rsidRPr="007849A5">
        <w:rPr>
          <w:rFonts w:hAnsi="標楷體" w:hint="eastAsia"/>
          <w:color w:val="000000" w:themeColor="text1"/>
        </w:rPr>
        <w:t>。</w:t>
      </w:r>
    </w:p>
    <w:p w14:paraId="7A9565BE" w14:textId="623357D2" w:rsidR="001F61E9" w:rsidRPr="007849A5" w:rsidRDefault="001F61E9" w:rsidP="001F61E9">
      <w:pPr>
        <w:pStyle w:val="4"/>
        <w:rPr>
          <w:color w:val="000000" w:themeColor="text1"/>
        </w:rPr>
      </w:pPr>
      <w:r w:rsidRPr="007849A5">
        <w:rPr>
          <w:rFonts w:hint="eastAsia"/>
          <w:color w:val="000000" w:themeColor="text1"/>
        </w:rPr>
        <w:t>惟本案指紋證據於78年經刑事局鑑定後</w:t>
      </w:r>
      <w:r w:rsidRPr="007849A5">
        <w:rPr>
          <w:rFonts w:hAnsi="標楷體" w:hint="eastAsia"/>
          <w:color w:val="000000" w:themeColor="text1"/>
        </w:rPr>
        <w:t>，復於80年及95年送鑑定，顯見</w:t>
      </w:r>
      <w:r w:rsidRPr="007849A5">
        <w:rPr>
          <w:rFonts w:hint="eastAsia"/>
          <w:color w:val="000000" w:themeColor="text1"/>
        </w:rPr>
        <w:t>78年所為鑑定有不完備，為釋其疑義</w:t>
      </w:r>
      <w:r w:rsidRPr="007849A5">
        <w:rPr>
          <w:rFonts w:hAnsi="標楷體" w:hint="eastAsia"/>
          <w:color w:val="000000" w:themeColor="text1"/>
        </w:rPr>
        <w:t>，始</w:t>
      </w:r>
      <w:r w:rsidRPr="007849A5">
        <w:rPr>
          <w:rFonts w:hint="eastAsia"/>
          <w:color w:val="000000" w:themeColor="text1"/>
        </w:rPr>
        <w:t>另行鑑定</w:t>
      </w:r>
      <w:r w:rsidRPr="007849A5">
        <w:rPr>
          <w:rFonts w:hAnsi="標楷體" w:hint="eastAsia"/>
          <w:color w:val="000000" w:themeColor="text1"/>
        </w:rPr>
        <w:t>。</w:t>
      </w:r>
      <w:r w:rsidRPr="007849A5">
        <w:rPr>
          <w:rFonts w:hint="eastAsia"/>
          <w:color w:val="000000" w:themeColor="text1"/>
        </w:rPr>
        <w:t>然經78年鑑定與</w:t>
      </w:r>
      <w:r w:rsidR="00DC06C1">
        <w:rPr>
          <w:rFonts w:hint="eastAsia"/>
          <w:color w:val="000000" w:themeColor="text1"/>
        </w:rPr>
        <w:t>沈○霖</w:t>
      </w:r>
      <w:r w:rsidRPr="007849A5">
        <w:rPr>
          <w:rFonts w:hint="eastAsia"/>
          <w:color w:val="000000" w:themeColor="text1"/>
        </w:rPr>
        <w:t>右中指指紋相符之膠片指紋</w:t>
      </w:r>
      <w:r w:rsidRPr="007849A5">
        <w:rPr>
          <w:rFonts w:hAnsi="標楷體" w:hint="eastAsia"/>
          <w:color w:val="000000" w:themeColor="text1"/>
        </w:rPr>
        <w:t>，</w:t>
      </w:r>
      <w:r w:rsidRPr="007849A5">
        <w:rPr>
          <w:rFonts w:hint="eastAsia"/>
          <w:color w:val="000000" w:themeColor="text1"/>
        </w:rPr>
        <w:t>於80年及95年送鑑驗時，該膠片指紋竟因不明原因無法一併檢送鑑定，致該膠片指紋是否確與</w:t>
      </w:r>
      <w:r w:rsidR="00DC06C1">
        <w:rPr>
          <w:rFonts w:hint="eastAsia"/>
          <w:color w:val="000000" w:themeColor="text1"/>
        </w:rPr>
        <w:t>沈○霖</w:t>
      </w:r>
      <w:r w:rsidRPr="007849A5">
        <w:rPr>
          <w:rFonts w:hint="eastAsia"/>
          <w:color w:val="000000" w:themeColor="text1"/>
        </w:rPr>
        <w:t>右中指指紋相符產生疑義，原確定</w:t>
      </w:r>
      <w:r w:rsidR="00056745" w:rsidRPr="007849A5">
        <w:rPr>
          <w:rFonts w:hint="eastAsia"/>
          <w:bCs/>
          <w:color w:val="000000" w:themeColor="text1"/>
        </w:rPr>
        <w:t>終局</w:t>
      </w:r>
      <w:r w:rsidRPr="007849A5">
        <w:rPr>
          <w:rFonts w:hint="eastAsia"/>
          <w:color w:val="000000" w:themeColor="text1"/>
        </w:rPr>
        <w:t>判決在鑑定存在疑義且標的不一致之情況下，仍逕予採納78年之鑑定結論，採證恐有違背論理法則</w:t>
      </w:r>
      <w:r w:rsidRPr="007849A5">
        <w:rPr>
          <w:rFonts w:hAnsi="標楷體" w:hint="eastAsia"/>
          <w:color w:val="000000" w:themeColor="text1"/>
        </w:rPr>
        <w:t>。</w:t>
      </w:r>
    </w:p>
    <w:p w14:paraId="434188A6" w14:textId="0BF28A62" w:rsidR="001F61E9" w:rsidRPr="007849A5" w:rsidRDefault="001F61E9" w:rsidP="001F61E9">
      <w:pPr>
        <w:pStyle w:val="3"/>
        <w:rPr>
          <w:color w:val="000000" w:themeColor="text1"/>
        </w:rPr>
      </w:pPr>
      <w:r w:rsidRPr="007849A5">
        <w:rPr>
          <w:rFonts w:hint="eastAsia"/>
          <w:color w:val="000000" w:themeColor="text1"/>
        </w:rPr>
        <w:t>綜上，角木、衣物</w:t>
      </w:r>
      <w:r w:rsidR="00CF01FA" w:rsidRPr="007849A5">
        <w:rPr>
          <w:rFonts w:hint="eastAsia"/>
          <w:color w:val="000000" w:themeColor="text1"/>
        </w:rPr>
        <w:t>、膠片指紋</w:t>
      </w:r>
      <w:r w:rsidRPr="007849A5">
        <w:rPr>
          <w:rFonts w:hint="eastAsia"/>
          <w:color w:val="000000" w:themeColor="text1"/>
        </w:rPr>
        <w:t>等證物因</w:t>
      </w:r>
      <w:r w:rsidR="000E4D2F" w:rsidRPr="007849A5">
        <w:rPr>
          <w:rFonts w:hint="eastAsia"/>
          <w:bCs w:val="0"/>
          <w:color w:val="000000" w:themeColor="text1"/>
        </w:rPr>
        <w:t>國家保存不當而遺失或下落不明</w:t>
      </w:r>
      <w:r w:rsidRPr="007849A5">
        <w:rPr>
          <w:rFonts w:hint="eastAsia"/>
          <w:color w:val="000000" w:themeColor="text1"/>
        </w:rPr>
        <w:t>，致無從對該等證物進行有無</w:t>
      </w:r>
      <w:r w:rsidR="00DC06C1">
        <w:rPr>
          <w:rFonts w:hint="eastAsia"/>
          <w:color w:val="000000" w:themeColor="text1"/>
        </w:rPr>
        <w:t>沈○霖</w:t>
      </w:r>
      <w:r w:rsidRPr="007849A5">
        <w:rPr>
          <w:rFonts w:hint="eastAsia"/>
          <w:color w:val="000000" w:themeColor="text1"/>
        </w:rPr>
        <w:t>生物跡證等影響其犯行認定之調查，嚴重影響其訴訟上防禦權之行使，不符最嚴密之正當法律程序要求；又經78年鑑定與</w:t>
      </w:r>
      <w:r w:rsidR="00DC06C1">
        <w:rPr>
          <w:rFonts w:hint="eastAsia"/>
          <w:color w:val="000000" w:themeColor="text1"/>
        </w:rPr>
        <w:t>沈○霖</w:t>
      </w:r>
      <w:r w:rsidRPr="007849A5">
        <w:rPr>
          <w:rFonts w:hint="eastAsia"/>
          <w:color w:val="000000" w:themeColor="text1"/>
        </w:rPr>
        <w:t>右中指指紋相符之膠片指紋，於80年及95年送鑑驗時，該膠片指紋竟因不明原因無法一併檢送鑑定，致該膠片指紋是否確與</w:t>
      </w:r>
      <w:r w:rsidR="00DC06C1">
        <w:rPr>
          <w:rFonts w:hint="eastAsia"/>
          <w:color w:val="000000" w:themeColor="text1"/>
        </w:rPr>
        <w:t>沈○霖</w:t>
      </w:r>
      <w:r w:rsidRPr="007849A5">
        <w:rPr>
          <w:rFonts w:hint="eastAsia"/>
          <w:color w:val="000000" w:themeColor="text1"/>
        </w:rPr>
        <w:t>右中指指紋相符產生疑義，原確定</w:t>
      </w:r>
      <w:r w:rsidR="00056745" w:rsidRPr="007849A5">
        <w:rPr>
          <w:rFonts w:hint="eastAsia"/>
          <w:bCs w:val="0"/>
          <w:color w:val="000000" w:themeColor="text1"/>
        </w:rPr>
        <w:t>終</w:t>
      </w:r>
      <w:r w:rsidR="00056745" w:rsidRPr="007849A5">
        <w:rPr>
          <w:rFonts w:hint="eastAsia"/>
          <w:bCs w:val="0"/>
          <w:color w:val="000000" w:themeColor="text1"/>
        </w:rPr>
        <w:lastRenderedPageBreak/>
        <w:t>局</w:t>
      </w:r>
      <w:r w:rsidRPr="007849A5">
        <w:rPr>
          <w:rFonts w:hint="eastAsia"/>
          <w:color w:val="000000" w:themeColor="text1"/>
        </w:rPr>
        <w:t>判決在鑑定存在疑義且標的不一致之情況下，仍逕予採納78年之鑑定結論，採證涉有違反論理法則之違誤</w:t>
      </w:r>
      <w:r w:rsidRPr="007849A5">
        <w:rPr>
          <w:rFonts w:hAnsi="標楷體" w:hint="eastAsia"/>
          <w:color w:val="000000" w:themeColor="text1"/>
        </w:rPr>
        <w:t>。</w:t>
      </w:r>
    </w:p>
    <w:p w14:paraId="0B6F4491" w14:textId="6B1C4C69" w:rsidR="001F61E9" w:rsidRPr="007849A5" w:rsidRDefault="001F61E9" w:rsidP="001F61E9">
      <w:pPr>
        <w:pStyle w:val="2"/>
        <w:rPr>
          <w:color w:val="000000" w:themeColor="text1"/>
        </w:rPr>
      </w:pPr>
      <w:r w:rsidRPr="007849A5">
        <w:rPr>
          <w:rFonts w:hAnsi="標楷體" w:hint="eastAsia"/>
          <w:b/>
          <w:bCs w:val="0"/>
          <w:color w:val="000000" w:themeColor="text1"/>
        </w:rPr>
        <w:t>經福馬林浸泡過之被害人身體組織得否以鑑識新科技進行DNA鑑定，依法務部法醫研究所之研究，或有其可能性，而有助於</w:t>
      </w:r>
      <w:r w:rsidR="00B45436" w:rsidRPr="007849A5">
        <w:rPr>
          <w:rFonts w:hAnsi="標楷體" w:hint="eastAsia"/>
          <w:b/>
          <w:bCs w:val="0"/>
          <w:color w:val="000000" w:themeColor="text1"/>
        </w:rPr>
        <w:t>釐清</w:t>
      </w:r>
      <w:r w:rsidR="00DC06C1">
        <w:rPr>
          <w:rFonts w:hAnsi="標楷體" w:hint="eastAsia"/>
          <w:b/>
          <w:bCs w:val="0"/>
          <w:color w:val="000000" w:themeColor="text1"/>
        </w:rPr>
        <w:t>沈○霖</w:t>
      </w:r>
      <w:r w:rsidR="00B45436" w:rsidRPr="007849A5">
        <w:rPr>
          <w:rFonts w:hAnsi="標楷體" w:hint="eastAsia"/>
          <w:b/>
          <w:bCs w:val="0"/>
          <w:color w:val="000000" w:themeColor="text1"/>
        </w:rPr>
        <w:t>是否強</w:t>
      </w:r>
      <w:r w:rsidR="005E6328" w:rsidRPr="007849A5">
        <w:rPr>
          <w:rFonts w:hAnsi="標楷體" w:hint="eastAsia"/>
          <w:b/>
          <w:bCs w:val="0"/>
          <w:color w:val="000000" w:themeColor="text1"/>
        </w:rPr>
        <w:t>制性交</w:t>
      </w:r>
      <w:r w:rsidR="00B45436" w:rsidRPr="007849A5">
        <w:rPr>
          <w:rFonts w:hAnsi="標楷體" w:hint="eastAsia"/>
          <w:b/>
          <w:bCs w:val="0"/>
          <w:color w:val="000000" w:themeColor="text1"/>
        </w:rPr>
        <w:t>被害人</w:t>
      </w:r>
      <w:r w:rsidRPr="007849A5">
        <w:rPr>
          <w:rFonts w:hAnsi="標楷體" w:hint="eastAsia"/>
          <w:b/>
          <w:bCs w:val="0"/>
          <w:color w:val="000000" w:themeColor="text1"/>
        </w:rPr>
        <w:t>。因此，依</w:t>
      </w:r>
      <w:r w:rsidR="00B66DF7" w:rsidRPr="007849A5">
        <w:rPr>
          <w:rFonts w:hAnsi="標楷體" w:hint="eastAsia"/>
          <w:b/>
          <w:bCs w:val="0"/>
          <w:color w:val="000000" w:themeColor="text1"/>
        </w:rPr>
        <w:t>「公民與政治權利國際公約」</w:t>
      </w:r>
      <w:r w:rsidRPr="007849A5">
        <w:rPr>
          <w:rFonts w:hAnsi="標楷體" w:hint="eastAsia"/>
          <w:b/>
          <w:bCs w:val="0"/>
          <w:color w:val="000000" w:themeColor="text1"/>
        </w:rPr>
        <w:t>第6條第1項規定及</w:t>
      </w:r>
      <w:r w:rsidR="00B66DF7" w:rsidRPr="007849A5">
        <w:rPr>
          <w:rFonts w:hAnsi="標楷體" w:hint="eastAsia"/>
          <w:b/>
          <w:bCs w:val="0"/>
          <w:color w:val="000000" w:themeColor="text1"/>
        </w:rPr>
        <w:t>該</w:t>
      </w:r>
      <w:r w:rsidRPr="007849A5">
        <w:rPr>
          <w:rFonts w:hAnsi="標楷體" w:hint="eastAsia"/>
          <w:b/>
          <w:bCs w:val="0"/>
          <w:color w:val="000000" w:themeColor="text1"/>
        </w:rPr>
        <w:t>公約第36號一般性意見，必須採取一切可行措施，包括新的DNA鑑定證據，重新審查過往的定罪，以避免死刑案件中的錯誤定罪。惟本案確定</w:t>
      </w:r>
      <w:r w:rsidR="00056745" w:rsidRPr="007849A5">
        <w:rPr>
          <w:rFonts w:hint="eastAsia"/>
          <w:b/>
          <w:color w:val="000000" w:themeColor="text1"/>
        </w:rPr>
        <w:t>終局</w:t>
      </w:r>
      <w:r w:rsidRPr="007849A5">
        <w:rPr>
          <w:rFonts w:hAnsi="標楷體" w:hint="eastAsia"/>
          <w:b/>
          <w:bCs w:val="0"/>
          <w:color w:val="000000" w:themeColor="text1"/>
        </w:rPr>
        <w:t>判決未就得否以鑑識新科技進行DNA鑑定進行調查，涉有違反刑事訴訟法第163條第2項規定，就發見真實與公平正義之維護或對被告之利益有重大關係事項</w:t>
      </w:r>
      <w:r w:rsidR="00CC53BD">
        <w:rPr>
          <w:rFonts w:hAnsi="標楷體" w:hint="eastAsia"/>
          <w:b/>
          <w:bCs w:val="0"/>
          <w:color w:val="000000" w:themeColor="text1"/>
        </w:rPr>
        <w:t>未</w:t>
      </w:r>
      <w:r w:rsidRPr="007849A5">
        <w:rPr>
          <w:rFonts w:hAnsi="標楷體" w:hint="eastAsia"/>
          <w:b/>
          <w:bCs w:val="0"/>
          <w:color w:val="000000" w:themeColor="text1"/>
        </w:rPr>
        <w:t>為職權調查之違誤</w:t>
      </w:r>
      <w:r w:rsidR="00EB7E4E" w:rsidRPr="007849A5">
        <w:rPr>
          <w:rFonts w:hAnsi="標楷體" w:hint="eastAsia"/>
          <w:b/>
          <w:bCs w:val="0"/>
          <w:color w:val="000000" w:themeColor="text1"/>
        </w:rPr>
        <w:t>：</w:t>
      </w:r>
    </w:p>
    <w:p w14:paraId="14F5732E" w14:textId="00C534BA" w:rsidR="001F61E9" w:rsidRPr="007849A5" w:rsidRDefault="001F61E9" w:rsidP="001F61E9">
      <w:pPr>
        <w:pStyle w:val="3"/>
        <w:rPr>
          <w:color w:val="000000" w:themeColor="text1"/>
        </w:rPr>
      </w:pPr>
      <w:r w:rsidRPr="007849A5">
        <w:rPr>
          <w:rFonts w:hint="eastAsia"/>
          <w:color w:val="000000" w:themeColor="text1"/>
        </w:rPr>
        <w:t>我國於98年3月31日經立法院審議通過公民與政治權利國際公約及經濟社會文化權利國際公約（下稱兩公約）及「兩公約施行法」，同年4月22日，總統公布「兩公約施行法」，</w:t>
      </w:r>
      <w:r w:rsidR="0046251C" w:rsidRPr="007849A5">
        <w:rPr>
          <w:rFonts w:hint="eastAsia"/>
          <w:color w:val="000000" w:themeColor="text1"/>
        </w:rPr>
        <w:t>行政院</w:t>
      </w:r>
      <w:r w:rsidR="0046251C">
        <w:rPr>
          <w:rFonts w:hint="eastAsia"/>
          <w:color w:val="000000" w:themeColor="text1"/>
        </w:rPr>
        <w:t>定自</w:t>
      </w:r>
      <w:r w:rsidRPr="007849A5">
        <w:rPr>
          <w:rFonts w:hint="eastAsia"/>
          <w:color w:val="000000" w:themeColor="text1"/>
        </w:rPr>
        <w:t>同年12月10日（世界人權日）施行。兩公約施行法第2條規定：「</w:t>
      </w:r>
      <w:r w:rsidRPr="007849A5">
        <w:rPr>
          <w:rFonts w:hint="eastAsia"/>
          <w:color w:val="000000" w:themeColor="text1"/>
          <w:szCs w:val="48"/>
        </w:rPr>
        <w:t>兩公約所揭示保障人權之規定，具有國內法律之效力。</w:t>
      </w:r>
      <w:r w:rsidRPr="007849A5">
        <w:rPr>
          <w:rFonts w:hint="eastAsia"/>
          <w:color w:val="000000" w:themeColor="text1"/>
        </w:rPr>
        <w:t>」第3條規定：「適用兩公約規定，應參照其立法意旨及兩公約人權事務委員會之解釋。」第4條規定：</w:t>
      </w:r>
      <w:r w:rsidRPr="007849A5">
        <w:rPr>
          <w:rFonts w:hAnsi="標楷體" w:hint="eastAsia"/>
          <w:color w:val="000000" w:themeColor="text1"/>
        </w:rPr>
        <w:t>「各級政府機關行使其職權，應符合兩公約有關人權保障之規定，避免侵害人權，保護人民不受他人侵害，並應積極促進各項人權之實現。」</w:t>
      </w:r>
      <w:r w:rsidRPr="007849A5">
        <w:rPr>
          <w:rFonts w:hint="eastAsia"/>
          <w:color w:val="000000" w:themeColor="text1"/>
        </w:rPr>
        <w:t>據此，兩公約已內國法化，政府之法令及相關作為，當須與兩公約與人權事務委員會解釋所揭櫫有關人權保障之標準一致。</w:t>
      </w:r>
    </w:p>
    <w:p w14:paraId="2750608A" w14:textId="73A4E32C" w:rsidR="001F61E9" w:rsidRPr="007849A5" w:rsidRDefault="001F61E9" w:rsidP="001F61E9">
      <w:pPr>
        <w:pStyle w:val="3"/>
        <w:rPr>
          <w:color w:val="000000" w:themeColor="text1"/>
        </w:rPr>
      </w:pPr>
      <w:r w:rsidRPr="007849A5">
        <w:rPr>
          <w:rFonts w:hint="eastAsia"/>
          <w:color w:val="000000" w:themeColor="text1"/>
        </w:rPr>
        <w:tab/>
        <w:t>公民與政治權利國際公約（下稱公政公約）第6條第1項規定</w:t>
      </w:r>
      <w:r w:rsidRPr="007849A5">
        <w:rPr>
          <w:rFonts w:hAnsi="標楷體" w:hint="eastAsia"/>
          <w:color w:val="000000" w:themeColor="text1"/>
        </w:rPr>
        <w:t>︰「人人皆有天賦之生存權。此種權利應受</w:t>
      </w:r>
      <w:r w:rsidRPr="007849A5">
        <w:rPr>
          <w:rFonts w:hAnsi="標楷體" w:hint="eastAsia"/>
          <w:color w:val="000000" w:themeColor="text1"/>
        </w:rPr>
        <w:lastRenderedPageBreak/>
        <w:t>法律保障。任何人之生命不得無理剝奪。」</w:t>
      </w:r>
      <w:r w:rsidRPr="007849A5">
        <w:rPr>
          <w:rFonts w:hAnsi="標楷體" w:hint="eastAsia"/>
          <w:color w:val="000000" w:themeColor="text1"/>
          <w:szCs w:val="48"/>
        </w:rPr>
        <w:t>人權事務委員會第124屆會議（</w:t>
      </w:r>
      <w:r w:rsidR="0046251C">
        <w:rPr>
          <w:rFonts w:hAnsi="標楷體" w:hint="eastAsia"/>
          <w:color w:val="000000" w:themeColor="text1"/>
          <w:szCs w:val="48"/>
        </w:rPr>
        <w:t>西元</w:t>
      </w:r>
      <w:r w:rsidRPr="007849A5">
        <w:rPr>
          <w:rFonts w:hAnsi="標楷體" w:hint="eastAsia"/>
          <w:color w:val="000000" w:themeColor="text1"/>
          <w:szCs w:val="48"/>
        </w:rPr>
        <w:t>2018年）通過的公政公約第36號一般性意見</w:t>
      </w:r>
      <w:r w:rsidR="0046251C">
        <w:rPr>
          <w:rFonts w:hAnsi="標楷體" w:hint="eastAsia"/>
          <w:color w:val="000000" w:themeColor="text1"/>
          <w:szCs w:val="48"/>
        </w:rPr>
        <w:t>第</w:t>
      </w:r>
      <w:r w:rsidRPr="007849A5">
        <w:rPr>
          <w:rFonts w:hint="eastAsia"/>
          <w:color w:val="000000" w:themeColor="text1"/>
        </w:rPr>
        <w:t>43段指出：「在未排除合理懷疑的情況下確定其罪責的被判刑者受到處決，也構成任意剝奪生命。因此，締約國必須採取一切可行措施，以避免死刑案件中的錯誤定罪，審查定罪再審的程序障礙，與</w:t>
      </w:r>
      <w:r w:rsidRPr="007849A5">
        <w:rPr>
          <w:rFonts w:hint="eastAsia"/>
          <w:b/>
          <w:color w:val="000000" w:themeColor="text1"/>
        </w:rPr>
        <w:t>根據新的證據，包括新的DNA證據重新審查之前的定罪</w:t>
      </w:r>
      <w:r w:rsidRPr="007849A5">
        <w:rPr>
          <w:rFonts w:hint="eastAsia"/>
          <w:color w:val="000000" w:themeColor="text1"/>
        </w:rPr>
        <w:t>。締約國還應考慮新的可靠研究報告對評估死刑案件中提出的證據產生的影響，包括指出普遍存在虛假供述和目擊者證詞不可靠的研究報告。」</w:t>
      </w:r>
    </w:p>
    <w:p w14:paraId="519443C8" w14:textId="752EF261" w:rsidR="001F61E9" w:rsidRPr="007849A5" w:rsidRDefault="001F61E9" w:rsidP="001F61E9">
      <w:pPr>
        <w:pStyle w:val="3"/>
        <w:rPr>
          <w:color w:val="000000" w:themeColor="text1"/>
        </w:rPr>
      </w:pPr>
      <w:r w:rsidRPr="007849A5">
        <w:rPr>
          <w:rFonts w:hint="eastAsia"/>
          <w:color w:val="000000" w:themeColor="text1"/>
        </w:rPr>
        <w:tab/>
        <w:t>刑事訴訟法第163條第2項</w:t>
      </w:r>
      <w:r w:rsidR="0046251C">
        <w:rPr>
          <w:rFonts w:hint="eastAsia"/>
          <w:color w:val="000000" w:themeColor="text1"/>
        </w:rPr>
        <w:t>規定</w:t>
      </w:r>
      <w:r w:rsidRPr="007849A5">
        <w:rPr>
          <w:rFonts w:hAnsi="標楷體" w:hint="eastAsia"/>
          <w:color w:val="000000" w:themeColor="text1"/>
        </w:rPr>
        <w:t>︰</w:t>
      </w:r>
      <w:r w:rsidRPr="007849A5">
        <w:rPr>
          <w:rFonts w:hint="eastAsia"/>
          <w:color w:val="000000" w:themeColor="text1"/>
        </w:rPr>
        <w:t>「法院為發見真實，得依職權調查證據。但於公平正義之維護或對被告之利益有重大關係事項，法院應依職權調查之。」</w:t>
      </w:r>
    </w:p>
    <w:p w14:paraId="0AB9DFEC" w14:textId="347DBCD8" w:rsidR="0086695B" w:rsidRPr="007849A5" w:rsidRDefault="0086695B" w:rsidP="003A0932">
      <w:pPr>
        <w:pStyle w:val="3"/>
        <w:rPr>
          <w:color w:val="000000" w:themeColor="text1"/>
        </w:rPr>
      </w:pPr>
      <w:r w:rsidRPr="007849A5">
        <w:rPr>
          <w:rFonts w:hint="eastAsia"/>
          <w:color w:val="000000" w:themeColor="text1"/>
        </w:rPr>
        <w:t>被害人關鍵生物檢體因「浸泡福馬林」致無法</w:t>
      </w:r>
      <w:r w:rsidR="00B45436" w:rsidRPr="007849A5">
        <w:rPr>
          <w:rFonts w:hint="eastAsia"/>
          <w:color w:val="000000" w:themeColor="text1"/>
        </w:rPr>
        <w:t>化驗精液反應</w:t>
      </w:r>
    </w:p>
    <w:p w14:paraId="3FF92B98" w14:textId="22E08A19" w:rsidR="001F61E9" w:rsidRPr="007849A5" w:rsidRDefault="001F61E9" w:rsidP="0046251C">
      <w:pPr>
        <w:pStyle w:val="3"/>
        <w:numPr>
          <w:ilvl w:val="0"/>
          <w:numId w:val="0"/>
        </w:numPr>
        <w:ind w:left="1361" w:firstLineChars="183" w:firstLine="622"/>
        <w:rPr>
          <w:color w:val="000000" w:themeColor="text1"/>
        </w:rPr>
      </w:pPr>
      <w:r w:rsidRPr="007849A5">
        <w:rPr>
          <w:rFonts w:hint="eastAsia"/>
          <w:color w:val="000000" w:themeColor="text1"/>
        </w:rPr>
        <w:t>本案</w:t>
      </w:r>
      <w:r w:rsidRPr="007849A5">
        <w:rPr>
          <w:rFonts w:hAnsi="標楷體" w:hint="eastAsia"/>
          <w:color w:val="000000" w:themeColor="text1"/>
        </w:rPr>
        <w:t>經法醫高大成於</w:t>
      </w:r>
      <w:r w:rsidRPr="007849A5">
        <w:rPr>
          <w:rFonts w:hAnsi="標楷體"/>
          <w:color w:val="000000" w:themeColor="text1"/>
        </w:rPr>
        <w:t>78</w:t>
      </w:r>
      <w:r w:rsidRPr="007849A5">
        <w:rPr>
          <w:rFonts w:hAnsi="標楷體" w:hint="eastAsia"/>
          <w:color w:val="000000" w:themeColor="text1"/>
        </w:rPr>
        <w:t>年</w:t>
      </w:r>
      <w:r w:rsidRPr="007849A5">
        <w:rPr>
          <w:rFonts w:hAnsi="標楷體"/>
          <w:color w:val="000000" w:themeColor="text1"/>
        </w:rPr>
        <w:t>9</w:t>
      </w:r>
      <w:r w:rsidRPr="007849A5">
        <w:rPr>
          <w:rFonts w:hAnsi="標楷體" w:hint="eastAsia"/>
          <w:color w:val="000000" w:themeColor="text1"/>
        </w:rPr>
        <w:t>月</w:t>
      </w:r>
      <w:r w:rsidRPr="007849A5">
        <w:rPr>
          <w:rFonts w:hAnsi="標楷體"/>
          <w:color w:val="000000" w:themeColor="text1"/>
        </w:rPr>
        <w:t>21</w:t>
      </w:r>
      <w:r w:rsidRPr="007849A5">
        <w:rPr>
          <w:rFonts w:hAnsi="標楷體" w:hint="eastAsia"/>
          <w:color w:val="000000" w:themeColor="text1"/>
        </w:rPr>
        <w:t>日在臺中市殯儀館對被害人解剖鑑驗，雖取出其等之子宮、陰部送驗，但因浸泡於福馬林液內，致無法化驗精液反應，有刑事局</w:t>
      </w:r>
      <w:r w:rsidRPr="007849A5">
        <w:rPr>
          <w:rFonts w:hAnsi="標楷體"/>
          <w:color w:val="000000" w:themeColor="text1"/>
        </w:rPr>
        <w:t>78</w:t>
      </w:r>
      <w:r w:rsidRPr="007849A5">
        <w:rPr>
          <w:rFonts w:hAnsi="標楷體" w:hint="eastAsia"/>
          <w:color w:val="000000" w:themeColor="text1"/>
        </w:rPr>
        <w:t>年</w:t>
      </w:r>
      <w:r w:rsidRPr="007849A5">
        <w:rPr>
          <w:rFonts w:hAnsi="標楷體"/>
          <w:color w:val="000000" w:themeColor="text1"/>
        </w:rPr>
        <w:t>11</w:t>
      </w:r>
      <w:r w:rsidRPr="007849A5">
        <w:rPr>
          <w:rFonts w:hAnsi="標楷體" w:hint="eastAsia"/>
          <w:color w:val="000000" w:themeColor="text1"/>
        </w:rPr>
        <w:t>月</w:t>
      </w:r>
      <w:r w:rsidRPr="007849A5">
        <w:rPr>
          <w:rFonts w:hAnsi="標楷體"/>
          <w:color w:val="000000" w:themeColor="text1"/>
        </w:rPr>
        <w:t>29</w:t>
      </w:r>
      <w:r w:rsidRPr="007849A5">
        <w:rPr>
          <w:rFonts w:hAnsi="標楷體" w:hint="eastAsia"/>
          <w:color w:val="000000" w:themeColor="text1"/>
        </w:rPr>
        <w:t>日第</w:t>
      </w:r>
      <w:r w:rsidRPr="007849A5">
        <w:rPr>
          <w:rFonts w:hAnsi="標楷體"/>
          <w:color w:val="000000" w:themeColor="text1"/>
        </w:rPr>
        <w:t>42923</w:t>
      </w:r>
      <w:r w:rsidRPr="007849A5">
        <w:rPr>
          <w:rFonts w:hAnsi="標楷體" w:hint="eastAsia"/>
          <w:color w:val="000000" w:themeColor="text1"/>
        </w:rPr>
        <w:t>號鑑驗書可按，並經證人即法醫高大成於臺灣高等法院臺中分院</w:t>
      </w:r>
      <w:r w:rsidR="00B66DF7" w:rsidRPr="007849A5">
        <w:rPr>
          <w:rFonts w:hAnsi="標楷體" w:hint="eastAsia"/>
          <w:color w:val="000000" w:themeColor="text1"/>
        </w:rPr>
        <w:t>(下稱臺中高分院)</w:t>
      </w:r>
      <w:r w:rsidRPr="007849A5">
        <w:rPr>
          <w:rFonts w:hAnsi="標楷體" w:hint="eastAsia"/>
          <w:color w:val="000000" w:themeColor="text1"/>
        </w:rPr>
        <w:t>更二審證稱屬實。</w:t>
      </w:r>
    </w:p>
    <w:p w14:paraId="550A3B30" w14:textId="77777777" w:rsidR="001F61E9" w:rsidRPr="007849A5" w:rsidRDefault="001F61E9" w:rsidP="001F61E9">
      <w:pPr>
        <w:pStyle w:val="3"/>
        <w:rPr>
          <w:color w:val="000000" w:themeColor="text1"/>
        </w:rPr>
      </w:pPr>
      <w:r w:rsidRPr="007849A5">
        <w:rPr>
          <w:rFonts w:hint="eastAsia"/>
          <w:color w:val="000000" w:themeColor="text1"/>
        </w:rPr>
        <w:t>惟查，依</w:t>
      </w:r>
      <w:r w:rsidRPr="007849A5">
        <w:rPr>
          <w:rFonts w:hAnsi="標楷體" w:hint="eastAsia"/>
          <w:color w:val="000000" w:themeColor="text1"/>
        </w:rPr>
        <w:t>法務部法醫研究所於99年之研究</w:t>
      </w:r>
      <w:r w:rsidRPr="007849A5">
        <w:rPr>
          <w:rFonts w:hint="eastAsia"/>
          <w:color w:val="000000" w:themeColor="text1"/>
        </w:rPr>
        <w:t>結果發現：福馬林固定愈久，DNA裂解愈嚴重，DNA含量減少，影響STR型別檢出率。經福馬林固定及石蠟包埋之蠟塊組織是可供人身鑑定及DNA鑑定選擇之檢體。因此，福馬林固定過之組織標本仍是可供DNA鑑定</w:t>
      </w:r>
      <w:r w:rsidRPr="007849A5">
        <w:rPr>
          <w:rFonts w:hint="eastAsia"/>
          <w:color w:val="000000" w:themeColor="text1"/>
        </w:rPr>
        <w:lastRenderedPageBreak/>
        <w:t>之檢體</w:t>
      </w:r>
      <w:r w:rsidRPr="007849A5">
        <w:rPr>
          <w:rStyle w:val="afe"/>
          <w:rFonts w:hAnsi="標楷體"/>
          <w:color w:val="000000" w:themeColor="text1"/>
        </w:rPr>
        <w:footnoteReference w:id="12"/>
      </w:r>
      <w:r w:rsidRPr="007849A5">
        <w:rPr>
          <w:rFonts w:hint="eastAsia"/>
          <w:color w:val="000000" w:themeColor="text1"/>
        </w:rPr>
        <w:t>。</w:t>
      </w:r>
    </w:p>
    <w:p w14:paraId="6C109657" w14:textId="67FFF483" w:rsidR="001F61E9" w:rsidRPr="007849A5" w:rsidRDefault="001F61E9" w:rsidP="001F61E9">
      <w:pPr>
        <w:pStyle w:val="3"/>
        <w:rPr>
          <w:color w:val="000000" w:themeColor="text1"/>
        </w:rPr>
      </w:pPr>
      <w:r w:rsidRPr="007849A5">
        <w:rPr>
          <w:rFonts w:hint="eastAsia"/>
          <w:color w:val="000000" w:themeColor="text1"/>
        </w:rPr>
        <w:t>綜上，經福馬林浸泡過之被害人身體組織得否以鑑識新科技進行DNA鑑定，依前揭</w:t>
      </w:r>
      <w:r w:rsidRPr="007849A5">
        <w:rPr>
          <w:rFonts w:hAnsi="標楷體" w:hint="eastAsia"/>
          <w:color w:val="000000" w:themeColor="text1"/>
        </w:rPr>
        <w:t>法務部法醫研究所之研究，</w:t>
      </w:r>
      <w:r w:rsidRPr="007849A5">
        <w:rPr>
          <w:rFonts w:hint="eastAsia"/>
          <w:color w:val="000000" w:themeColor="text1"/>
        </w:rPr>
        <w:t>或有其可能性</w:t>
      </w:r>
      <w:r w:rsidRPr="007849A5">
        <w:rPr>
          <w:rFonts w:hAnsi="標楷體" w:hint="eastAsia"/>
          <w:color w:val="000000" w:themeColor="text1"/>
        </w:rPr>
        <w:t>，</w:t>
      </w:r>
      <w:r w:rsidRPr="007849A5">
        <w:rPr>
          <w:rFonts w:hint="eastAsia"/>
          <w:color w:val="000000" w:themeColor="text1"/>
        </w:rPr>
        <w:t>而有助於釐清</w:t>
      </w:r>
      <w:r w:rsidR="00DC06C1">
        <w:rPr>
          <w:rFonts w:hint="eastAsia"/>
          <w:color w:val="000000" w:themeColor="text1"/>
        </w:rPr>
        <w:t>沈○霖</w:t>
      </w:r>
      <w:r w:rsidR="005E6328" w:rsidRPr="007849A5">
        <w:rPr>
          <w:rFonts w:hint="eastAsia"/>
          <w:color w:val="000000" w:themeColor="text1"/>
        </w:rPr>
        <w:t>是否強制性交被害人</w:t>
      </w:r>
      <w:r w:rsidRPr="007849A5">
        <w:rPr>
          <w:rFonts w:hint="eastAsia"/>
          <w:color w:val="000000" w:themeColor="text1"/>
        </w:rPr>
        <w:t>。因此，依前揭公政公約第6條第1項規定及</w:t>
      </w:r>
      <w:r w:rsidR="00B66DF7" w:rsidRPr="007849A5">
        <w:rPr>
          <w:rFonts w:hint="eastAsia"/>
          <w:color w:val="000000" w:themeColor="text1"/>
        </w:rPr>
        <w:t>該</w:t>
      </w:r>
      <w:r w:rsidRPr="007849A5">
        <w:rPr>
          <w:rFonts w:hAnsi="標楷體" w:hint="eastAsia"/>
          <w:color w:val="000000" w:themeColor="text1"/>
          <w:szCs w:val="48"/>
        </w:rPr>
        <w:t>公約第36號一般性意見，</w:t>
      </w:r>
      <w:r w:rsidRPr="007849A5">
        <w:rPr>
          <w:rFonts w:hint="eastAsia"/>
          <w:color w:val="000000" w:themeColor="text1"/>
        </w:rPr>
        <w:t>必須採取一切可行措施，包括新的DNA鑑定證據</w:t>
      </w:r>
      <w:r w:rsidRPr="007849A5">
        <w:rPr>
          <w:rFonts w:hAnsi="標楷體" w:hint="eastAsia"/>
          <w:color w:val="000000" w:themeColor="text1"/>
        </w:rPr>
        <w:t>，</w:t>
      </w:r>
      <w:r w:rsidRPr="007849A5">
        <w:rPr>
          <w:rFonts w:hint="eastAsia"/>
          <w:color w:val="000000" w:themeColor="text1"/>
        </w:rPr>
        <w:t>重新審查過往的定罪</w:t>
      </w:r>
      <w:r w:rsidRPr="007849A5">
        <w:rPr>
          <w:rFonts w:hAnsi="標楷體" w:hint="eastAsia"/>
          <w:color w:val="000000" w:themeColor="text1"/>
        </w:rPr>
        <w:t>，</w:t>
      </w:r>
      <w:r w:rsidRPr="007849A5">
        <w:rPr>
          <w:rFonts w:hint="eastAsia"/>
          <w:color w:val="000000" w:themeColor="text1"/>
        </w:rPr>
        <w:t>以避免死刑案件中的錯誤定罪。惟本案確定</w:t>
      </w:r>
      <w:r w:rsidR="00056745" w:rsidRPr="007849A5">
        <w:rPr>
          <w:rFonts w:hint="eastAsia"/>
          <w:bCs w:val="0"/>
          <w:color w:val="000000" w:themeColor="text1"/>
        </w:rPr>
        <w:t>終局</w:t>
      </w:r>
      <w:r w:rsidRPr="007849A5">
        <w:rPr>
          <w:rFonts w:hint="eastAsia"/>
          <w:color w:val="000000" w:themeColor="text1"/>
        </w:rPr>
        <w:t>判決未就得否以鑑識新科技進行DNA鑑定進行調查</w:t>
      </w:r>
      <w:r w:rsidRPr="007849A5">
        <w:rPr>
          <w:rFonts w:hAnsi="標楷體" w:hint="eastAsia"/>
          <w:color w:val="000000" w:themeColor="text1"/>
        </w:rPr>
        <w:t>，涉有違反刑事訴訟法第163條第2項規定，就發見真實與公平正義之維護或對被告之利益有重大關係事</w:t>
      </w:r>
      <w:r w:rsidR="00B66DF7" w:rsidRPr="007849A5">
        <w:rPr>
          <w:rFonts w:hAnsi="標楷體" w:hint="eastAsia"/>
          <w:color w:val="000000" w:themeColor="text1"/>
        </w:rPr>
        <w:t>項未</w:t>
      </w:r>
      <w:r w:rsidRPr="007849A5">
        <w:rPr>
          <w:rFonts w:hAnsi="標楷體" w:hint="eastAsia"/>
          <w:color w:val="000000" w:themeColor="text1"/>
        </w:rPr>
        <w:t>為職權調查之違誤。</w:t>
      </w:r>
    </w:p>
    <w:p w14:paraId="5B71D382" w14:textId="75CCA7B3" w:rsidR="007A3D6F" w:rsidRPr="007849A5" w:rsidRDefault="007A3D6F" w:rsidP="00081CF9">
      <w:pPr>
        <w:pStyle w:val="2"/>
        <w:rPr>
          <w:b/>
          <w:color w:val="000000" w:themeColor="text1"/>
        </w:rPr>
      </w:pPr>
      <w:r w:rsidRPr="007849A5">
        <w:rPr>
          <w:b/>
          <w:color w:val="000000" w:themeColor="text1"/>
        </w:rPr>
        <w:t>本件確定終局判決對</w:t>
      </w:r>
      <w:r w:rsidR="00DC06C1">
        <w:rPr>
          <w:rFonts w:hint="eastAsia"/>
          <w:b/>
          <w:color w:val="000000" w:themeColor="text1"/>
        </w:rPr>
        <w:t>沈○霖</w:t>
      </w:r>
      <w:r w:rsidRPr="007849A5">
        <w:rPr>
          <w:b/>
          <w:color w:val="000000" w:themeColor="text1"/>
        </w:rPr>
        <w:t>科處死刑，然經查</w:t>
      </w:r>
      <w:r w:rsidR="0054309A" w:rsidRPr="007849A5">
        <w:rPr>
          <w:rFonts w:hint="eastAsia"/>
          <w:b/>
          <w:color w:val="000000" w:themeColor="text1"/>
        </w:rPr>
        <w:t>該判決</w:t>
      </w:r>
      <w:r w:rsidRPr="007849A5">
        <w:rPr>
          <w:b/>
          <w:color w:val="000000" w:themeColor="text1"/>
        </w:rPr>
        <w:t>所認定之殺人犯罪情節實具偶發性而非具計畫性，</w:t>
      </w:r>
      <w:r w:rsidR="00DC06C1">
        <w:rPr>
          <w:rFonts w:hint="eastAsia"/>
          <w:b/>
          <w:color w:val="000000" w:themeColor="text1"/>
        </w:rPr>
        <w:t>沈○霖</w:t>
      </w:r>
      <w:r w:rsidRPr="007849A5">
        <w:rPr>
          <w:b/>
          <w:color w:val="000000" w:themeColor="text1"/>
        </w:rPr>
        <w:t>既非現場提議施加暴力強制性交者，亦未親自下手實施殺人核心行為，更未對被害人施以顯不人道、有辱人格或極端凌虐之殘忍手段，其惡性與非難評價尚非屬憲法法庭所指「最嚴重之犯罪情節」，遽處極刑實有違比例原則；復查本案之第三審訴訟程序，原確定終局判決逕行適用刑事訴訟法第389條第1項規定，未經當庭之言詞辯論即為死刑之裁判，嚴重限縮被告之訴訟防禦權，且其依當時法院組織法相關規定所為之合議庭法官評議，</w:t>
      </w:r>
      <w:r w:rsidR="00E96EC4" w:rsidRPr="007849A5">
        <w:rPr>
          <w:rFonts w:hint="eastAsia"/>
          <w:b/>
          <w:color w:val="000000" w:themeColor="text1"/>
        </w:rPr>
        <w:t>如</w:t>
      </w:r>
      <w:r w:rsidRPr="007849A5">
        <w:rPr>
          <w:b/>
          <w:color w:val="000000" w:themeColor="text1"/>
        </w:rPr>
        <w:t>因欠缺相關卷證而未有確切證據足資證明該科處死刑之判決確係以「一致決」作成，此等未經辯論且欠缺一致決擔保之審理，顯然不符憲法對於剝奪人民生命權必須踐行「最嚴密之正當法律程序」之要求。綜上實體與程序之重大瑕疵，本件</w:t>
      </w:r>
      <w:r w:rsidRPr="007849A5">
        <w:rPr>
          <w:b/>
          <w:color w:val="000000" w:themeColor="text1"/>
        </w:rPr>
        <w:lastRenderedPageBreak/>
        <w:t>死刑判決已牴觸憲法</w:t>
      </w:r>
      <w:r w:rsidR="0054309A" w:rsidRPr="007849A5">
        <w:rPr>
          <w:b/>
          <w:color w:val="000000" w:themeColor="text1"/>
        </w:rPr>
        <w:t>生命權與訴訟權</w:t>
      </w:r>
      <w:r w:rsidRPr="007849A5">
        <w:rPr>
          <w:b/>
          <w:color w:val="000000" w:themeColor="text1"/>
        </w:rPr>
        <w:t>保障意旨，為匡正國家刑罰權行使之違誤，洵得依據憲法法庭113年憲判字第8號判決主文第10項、第12項及第13項之意旨，合併提起非常上訴，由最高法院重為妥適之審查與救濟</w:t>
      </w:r>
      <w:r w:rsidR="00EB7E4E" w:rsidRPr="007849A5">
        <w:rPr>
          <w:rFonts w:hint="eastAsia"/>
          <w:b/>
          <w:color w:val="000000" w:themeColor="text1"/>
        </w:rPr>
        <w:t>：</w:t>
      </w:r>
    </w:p>
    <w:p w14:paraId="6F86F02C" w14:textId="0BCBBDF2" w:rsidR="007A3D6F" w:rsidRPr="007849A5" w:rsidRDefault="00CB5564" w:rsidP="007A3D6F">
      <w:pPr>
        <w:pStyle w:val="3"/>
        <w:rPr>
          <w:b/>
          <w:bCs w:val="0"/>
          <w:color w:val="000000" w:themeColor="text1"/>
        </w:rPr>
      </w:pPr>
      <w:r w:rsidRPr="007849A5">
        <w:rPr>
          <w:rFonts w:hint="eastAsia"/>
          <w:b/>
          <w:bCs w:val="0"/>
          <w:color w:val="000000" w:themeColor="text1"/>
        </w:rPr>
        <w:t>查本案確定終局判決所認定之殺人犯罪情節，係屬偶發性質，並無預謀計畫之情形；再</w:t>
      </w:r>
      <w:r w:rsidR="00B41FE5" w:rsidRPr="007849A5">
        <w:rPr>
          <w:rFonts w:hint="eastAsia"/>
          <w:b/>
          <w:bCs w:val="0"/>
          <w:color w:val="000000" w:themeColor="text1"/>
        </w:rPr>
        <w:t>者，</w:t>
      </w:r>
      <w:r w:rsidR="00DC06C1">
        <w:rPr>
          <w:rFonts w:hint="eastAsia"/>
          <w:b/>
          <w:bCs w:val="0"/>
          <w:color w:val="000000" w:themeColor="text1"/>
        </w:rPr>
        <w:t>沈○霖</w:t>
      </w:r>
      <w:r w:rsidRPr="007849A5">
        <w:rPr>
          <w:rFonts w:hint="eastAsia"/>
          <w:b/>
          <w:bCs w:val="0"/>
          <w:color w:val="000000" w:themeColor="text1"/>
        </w:rPr>
        <w:t>於案發現場既非提議施以暴力強制性交之發起者，亦未親自下手實施殺人行為，且對被害人所採取之手段，尚未達顯不人道、有辱人格或極端凌虐等殘忍程度，綜觀全案情節，應非屬最嚴重之犯罪類型，惟法院仍對</w:t>
      </w:r>
      <w:r w:rsidR="00B41FE5" w:rsidRPr="007849A5">
        <w:rPr>
          <w:rFonts w:hint="eastAsia"/>
          <w:b/>
          <w:bCs w:val="0"/>
          <w:color w:val="000000" w:themeColor="text1"/>
        </w:rPr>
        <w:t>其</w:t>
      </w:r>
      <w:r w:rsidRPr="007849A5">
        <w:rPr>
          <w:rFonts w:hint="eastAsia"/>
          <w:b/>
          <w:bCs w:val="0"/>
          <w:color w:val="000000" w:themeColor="text1"/>
        </w:rPr>
        <w:t>諭知死刑之判決，是否妥適，非無疑義</w:t>
      </w:r>
      <w:r w:rsidR="00EB7E4E" w:rsidRPr="007849A5">
        <w:rPr>
          <w:rFonts w:hint="eastAsia"/>
          <w:b/>
          <w:bCs w:val="0"/>
          <w:color w:val="000000" w:themeColor="text1"/>
        </w:rPr>
        <w:t>：</w:t>
      </w:r>
    </w:p>
    <w:p w14:paraId="1818C6A8" w14:textId="3A371E4C" w:rsidR="008D1D9F" w:rsidRPr="007849A5" w:rsidRDefault="008D1D9F" w:rsidP="00CB5564">
      <w:pPr>
        <w:pStyle w:val="4"/>
        <w:rPr>
          <w:color w:val="000000" w:themeColor="text1"/>
        </w:rPr>
      </w:pPr>
      <w:r w:rsidRPr="007849A5">
        <w:rPr>
          <w:color w:val="000000" w:themeColor="text1"/>
        </w:rPr>
        <w:t>憲法法庭113年憲判字第8號判決主文第1項已確立：包含刑法第226條之1前段在內之故意殺人罪，其以死刑為最重本刑部分，「僅得適用於個案犯罪情節屬最嚴重」之情形。該判決主文第10項更進一步明定救濟途徑：「本件各聲請人據以聲請之各該確定終局判決所認定之個案犯罪情節如非屬最嚴重，而仍判處死刑者，即與本判決主文</w:t>
      </w:r>
      <w:r w:rsidR="005D473A" w:rsidRPr="007849A5">
        <w:rPr>
          <w:color w:val="000000" w:themeColor="text1"/>
        </w:rPr>
        <w:t>第1項</w:t>
      </w:r>
      <w:r w:rsidRPr="007849A5">
        <w:rPr>
          <w:color w:val="000000" w:themeColor="text1"/>
        </w:rPr>
        <w:t>意旨不符。各聲請人如認有上開情形，得請求檢察總長提起非常上訴；檢察總長亦得依職權就各該確定終局判決認定是否有上開情形，而決定是否提起非常上訴」。</w:t>
      </w:r>
    </w:p>
    <w:p w14:paraId="14041CDC" w14:textId="09F3F3F8" w:rsidR="00CB5564" w:rsidRPr="007849A5" w:rsidRDefault="00CB5564" w:rsidP="00CB5564">
      <w:pPr>
        <w:pStyle w:val="4"/>
        <w:rPr>
          <w:color w:val="000000" w:themeColor="text1"/>
        </w:rPr>
      </w:pPr>
      <w:r w:rsidRPr="007849A5">
        <w:rPr>
          <w:color w:val="000000" w:themeColor="text1"/>
        </w:rPr>
        <w:t>依據原確定</w:t>
      </w:r>
      <w:r w:rsidR="00AD0F47" w:rsidRPr="007849A5">
        <w:rPr>
          <w:rFonts w:hint="eastAsia"/>
          <w:bCs/>
          <w:color w:val="000000" w:themeColor="text1"/>
        </w:rPr>
        <w:t>終局</w:t>
      </w:r>
      <w:r w:rsidRPr="007849A5">
        <w:rPr>
          <w:color w:val="000000" w:themeColor="text1"/>
        </w:rPr>
        <w:t>判決（最高法院98年度台上字第3507號）所認定之犯罪事實，案發當日</w:t>
      </w:r>
      <w:r w:rsidR="00DC06C1">
        <w:rPr>
          <w:color w:val="000000" w:themeColor="text1"/>
        </w:rPr>
        <w:t>沈</w:t>
      </w:r>
      <w:bookmarkStart w:id="55" w:name="_Hlk235456147"/>
      <w:r w:rsidR="00DC06C1">
        <w:rPr>
          <w:rFonts w:hint="eastAsia"/>
          <w:color w:val="000000" w:themeColor="text1"/>
        </w:rPr>
        <w:t>○</w:t>
      </w:r>
      <w:bookmarkEnd w:id="55"/>
      <w:r w:rsidR="00DC06C1">
        <w:rPr>
          <w:color w:val="000000" w:themeColor="text1"/>
        </w:rPr>
        <w:t>霖</w:t>
      </w:r>
      <w:r w:rsidRPr="007849A5">
        <w:rPr>
          <w:color w:val="000000" w:themeColor="text1"/>
        </w:rPr>
        <w:t>與</w:t>
      </w:r>
      <w:r w:rsidR="00DC06C1">
        <w:rPr>
          <w:color w:val="000000" w:themeColor="text1"/>
        </w:rPr>
        <w:t>黃</w:t>
      </w:r>
      <w:r w:rsidR="00DC06C1">
        <w:rPr>
          <w:rFonts w:hint="eastAsia"/>
          <w:color w:val="000000" w:themeColor="text1"/>
        </w:rPr>
        <w:t>○</w:t>
      </w:r>
      <w:r w:rsidR="00DC06C1">
        <w:rPr>
          <w:color w:val="000000" w:themeColor="text1"/>
        </w:rPr>
        <w:t>任</w:t>
      </w:r>
      <w:r w:rsidRPr="007849A5">
        <w:rPr>
          <w:color w:val="000000" w:themeColor="text1"/>
        </w:rPr>
        <w:t>、</w:t>
      </w:r>
      <w:r w:rsidR="00DC06C1">
        <w:rPr>
          <w:color w:val="000000" w:themeColor="text1"/>
        </w:rPr>
        <w:t>黃</w:t>
      </w:r>
      <w:r w:rsidR="00DC06C1">
        <w:rPr>
          <w:rFonts w:hint="eastAsia"/>
          <w:color w:val="000000" w:themeColor="text1"/>
        </w:rPr>
        <w:t>○</w:t>
      </w:r>
      <w:r w:rsidR="00DC06C1">
        <w:rPr>
          <w:color w:val="000000" w:themeColor="text1"/>
        </w:rPr>
        <w:t>雄</w:t>
      </w:r>
      <w:r w:rsidR="00E2111D" w:rsidRPr="007849A5">
        <w:rPr>
          <w:rFonts w:hint="eastAsia"/>
          <w:color w:val="000000" w:themeColor="text1"/>
        </w:rPr>
        <w:t>3</w:t>
      </w:r>
      <w:r w:rsidRPr="007849A5">
        <w:rPr>
          <w:color w:val="000000" w:themeColor="text1"/>
        </w:rPr>
        <w:t>人係因搬運貨櫃完畢後，由</w:t>
      </w:r>
      <w:r w:rsidR="00DC06C1">
        <w:rPr>
          <w:color w:val="000000" w:themeColor="text1"/>
        </w:rPr>
        <w:t>沈</w:t>
      </w:r>
      <w:r w:rsidR="0078675D" w:rsidRPr="0078675D">
        <w:rPr>
          <w:rFonts w:hint="eastAsia"/>
          <w:color w:val="000000" w:themeColor="text1"/>
        </w:rPr>
        <w:t>○</w:t>
      </w:r>
      <w:r w:rsidR="00DC06C1">
        <w:rPr>
          <w:color w:val="000000" w:themeColor="text1"/>
        </w:rPr>
        <w:t>霖</w:t>
      </w:r>
      <w:r w:rsidRPr="007849A5">
        <w:rPr>
          <w:color w:val="000000" w:themeColor="text1"/>
        </w:rPr>
        <w:t>提議「等工作完帶你們去看</w:t>
      </w:r>
      <w:r w:rsidR="00E2111D" w:rsidRPr="007849A5">
        <w:rPr>
          <w:rFonts w:hint="eastAsia"/>
          <w:color w:val="000000" w:themeColor="text1"/>
        </w:rPr>
        <w:t>1</w:t>
      </w:r>
      <w:r w:rsidRPr="007849A5">
        <w:rPr>
          <w:color w:val="000000" w:themeColor="text1"/>
        </w:rPr>
        <w:t>個</w:t>
      </w:r>
      <w:r w:rsidR="00E2111D" w:rsidRPr="007849A5">
        <w:rPr>
          <w:rFonts w:hint="eastAsia"/>
          <w:color w:val="000000" w:themeColor="text1"/>
        </w:rPr>
        <w:t>小姐</w:t>
      </w:r>
      <w:r w:rsidRPr="007849A5">
        <w:rPr>
          <w:color w:val="000000" w:themeColor="text1"/>
        </w:rPr>
        <w:t>」而翻牆潛入</w:t>
      </w:r>
      <w:r w:rsidR="0078675D" w:rsidRPr="0078675D">
        <w:rPr>
          <w:rFonts w:hint="eastAsia"/>
          <w:color w:val="000000" w:themeColor="text1"/>
        </w:rPr>
        <w:t>○○</w:t>
      </w:r>
      <w:r w:rsidRPr="007849A5">
        <w:rPr>
          <w:color w:val="000000" w:themeColor="text1"/>
        </w:rPr>
        <w:t>公司之女工宿舍。</w:t>
      </w:r>
      <w:r w:rsidR="00D8046A" w:rsidRPr="007849A5">
        <w:rPr>
          <w:rFonts w:hint="eastAsia"/>
          <w:color w:val="000000" w:themeColor="text1"/>
        </w:rPr>
        <w:t>3</w:t>
      </w:r>
      <w:r w:rsidRPr="007849A5">
        <w:rPr>
          <w:color w:val="000000" w:themeColor="text1"/>
        </w:rPr>
        <w:t>人侵入宿舍交誼廳後，最初僅是由</w:t>
      </w:r>
      <w:r w:rsidR="00DC06C1">
        <w:rPr>
          <w:color w:val="000000" w:themeColor="text1"/>
        </w:rPr>
        <w:t>黃</w:t>
      </w:r>
      <w:r w:rsidR="0078675D" w:rsidRPr="0078675D">
        <w:rPr>
          <w:rFonts w:hint="eastAsia"/>
          <w:color w:val="000000" w:themeColor="text1"/>
        </w:rPr>
        <w:t>○</w:t>
      </w:r>
      <w:r w:rsidR="00DC06C1">
        <w:rPr>
          <w:color w:val="000000" w:themeColor="text1"/>
        </w:rPr>
        <w:t>任</w:t>
      </w:r>
      <w:r w:rsidRPr="007849A5">
        <w:rPr>
          <w:color w:val="000000" w:themeColor="text1"/>
        </w:rPr>
        <w:t>坐於被害人王女身邊並出言</w:t>
      </w:r>
      <w:r w:rsidRPr="007849A5">
        <w:rPr>
          <w:color w:val="000000" w:themeColor="text1"/>
        </w:rPr>
        <w:lastRenderedPageBreak/>
        <w:t>挑逗，因王女極力掙扎抗拒並抓傷</w:t>
      </w:r>
      <w:r w:rsidR="00DC06C1">
        <w:rPr>
          <w:color w:val="000000" w:themeColor="text1"/>
        </w:rPr>
        <w:t>黃</w:t>
      </w:r>
      <w:r w:rsidR="0078675D" w:rsidRPr="0078675D">
        <w:rPr>
          <w:rFonts w:hint="eastAsia"/>
          <w:color w:val="000000" w:themeColor="text1"/>
        </w:rPr>
        <w:t>○</w:t>
      </w:r>
      <w:r w:rsidR="00DC06C1">
        <w:rPr>
          <w:color w:val="000000" w:themeColor="text1"/>
        </w:rPr>
        <w:t>任</w:t>
      </w:r>
      <w:r w:rsidRPr="007849A5">
        <w:rPr>
          <w:color w:val="000000" w:themeColor="text1"/>
        </w:rPr>
        <w:t>之左前胸，</w:t>
      </w:r>
      <w:r w:rsidR="00DC06C1">
        <w:rPr>
          <w:color w:val="000000" w:themeColor="text1"/>
        </w:rPr>
        <w:t>黃</w:t>
      </w:r>
      <w:r w:rsidR="0078675D" w:rsidRPr="0078675D">
        <w:rPr>
          <w:rFonts w:hint="eastAsia"/>
          <w:color w:val="000000" w:themeColor="text1"/>
        </w:rPr>
        <w:t>○</w:t>
      </w:r>
      <w:r w:rsidR="00DC06C1">
        <w:rPr>
          <w:color w:val="000000" w:themeColor="text1"/>
        </w:rPr>
        <w:t>任</w:t>
      </w:r>
      <w:r w:rsidRPr="007849A5">
        <w:rPr>
          <w:color w:val="000000" w:themeColor="text1"/>
        </w:rPr>
        <w:t>一時惱怒而動手毆打王女，進而引發後續之連串暴力犯行。此一客觀過程充分顯示，</w:t>
      </w:r>
      <w:r w:rsidR="008D1D9F" w:rsidRPr="007849A5">
        <w:rPr>
          <w:rFonts w:hint="eastAsia"/>
          <w:color w:val="000000" w:themeColor="text1"/>
        </w:rPr>
        <w:t>3</w:t>
      </w:r>
      <w:r w:rsidRPr="007849A5">
        <w:rPr>
          <w:color w:val="000000" w:themeColor="text1"/>
        </w:rPr>
        <w:t>人侵入宿舍之初，主觀上並未具備殺人甚至強制性交之預謀，殺機乃肇因於犯行曝光、恐被被害人認出而生之「滅口」動機，純屬臨時起意。按憲法法庭113年憲判字第8號判決理由明確揭示，判斷個案是否屬「最嚴重」情節，就犯罪動機與目的而言，應考量行為人「是否係出於預謀之蓄意連續殺人或恣意無差別殺人等惡性重大之動機」。本件因屬偶發性之衝突與滅口，</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參與殺人之情節具偶發性而非計畫性，難認具備前揭憲法法庭所指之預謀與惡性重大要件。</w:t>
      </w:r>
    </w:p>
    <w:p w14:paraId="70E220BF" w14:textId="40929662" w:rsidR="00CB5564" w:rsidRPr="007849A5" w:rsidRDefault="00CB5564" w:rsidP="00CB5564">
      <w:pPr>
        <w:pStyle w:val="4"/>
        <w:rPr>
          <w:color w:val="000000" w:themeColor="text1"/>
        </w:rPr>
      </w:pPr>
      <w:r w:rsidRPr="007849A5">
        <w:rPr>
          <w:color w:val="000000" w:themeColor="text1"/>
        </w:rPr>
        <w:t>細究判決與相關卷證所載之行為分擔，現場提議施加暴力並輪流強制性交者為</w:t>
      </w:r>
      <w:r w:rsidR="00DC06C1">
        <w:rPr>
          <w:color w:val="000000" w:themeColor="text1"/>
        </w:rPr>
        <w:t>黃</w:t>
      </w:r>
      <w:r w:rsidR="00960A8E">
        <w:rPr>
          <w:rFonts w:hint="eastAsia"/>
          <w:color w:val="000000" w:themeColor="text1"/>
        </w:rPr>
        <w:t>○</w:t>
      </w:r>
      <w:r w:rsidR="00DC06C1">
        <w:rPr>
          <w:color w:val="000000" w:themeColor="text1"/>
        </w:rPr>
        <w:t>雄</w:t>
      </w:r>
      <w:r w:rsidRPr="007849A5">
        <w:rPr>
          <w:color w:val="000000" w:themeColor="text1"/>
        </w:rPr>
        <w:t>（「</w:t>
      </w:r>
      <w:r w:rsidR="00DC06C1">
        <w:rPr>
          <w:color w:val="000000" w:themeColor="text1"/>
        </w:rPr>
        <w:t>黃</w:t>
      </w:r>
      <w:r w:rsidR="00960A8E">
        <w:rPr>
          <w:rFonts w:hint="eastAsia"/>
          <w:color w:val="000000" w:themeColor="text1"/>
        </w:rPr>
        <w:t>○</w:t>
      </w:r>
      <w:r w:rsidR="00DC06C1">
        <w:rPr>
          <w:color w:val="000000" w:themeColor="text1"/>
        </w:rPr>
        <w:t>雄</w:t>
      </w:r>
      <w:r w:rsidRPr="007849A5">
        <w:rPr>
          <w:color w:val="000000" w:themeColor="text1"/>
        </w:rPr>
        <w:t>遂提議施加暴力，對王女輪流強制性交」），</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與</w:t>
      </w:r>
      <w:r w:rsidR="00DC06C1">
        <w:rPr>
          <w:color w:val="000000" w:themeColor="text1"/>
        </w:rPr>
        <w:t>黃</w:t>
      </w:r>
      <w:r w:rsidR="00960A8E">
        <w:rPr>
          <w:rFonts w:hint="eastAsia"/>
          <w:color w:val="000000" w:themeColor="text1"/>
        </w:rPr>
        <w:t>○</w:t>
      </w:r>
      <w:r w:rsidR="00DC06C1">
        <w:rPr>
          <w:color w:val="000000" w:themeColor="text1"/>
        </w:rPr>
        <w:t>任</w:t>
      </w:r>
      <w:r w:rsidRPr="007849A5">
        <w:rPr>
          <w:color w:val="000000" w:themeColor="text1"/>
        </w:rPr>
        <w:t>僅係附和贊同。在剝奪被害人生命之核心殺害行為部分，對於被害人王女，係由</w:t>
      </w:r>
      <w:r w:rsidR="00DC06C1">
        <w:rPr>
          <w:color w:val="000000" w:themeColor="text1"/>
        </w:rPr>
        <w:t>黃</w:t>
      </w:r>
      <w:r w:rsidR="00960A8E">
        <w:rPr>
          <w:rFonts w:hint="eastAsia"/>
          <w:color w:val="000000" w:themeColor="text1"/>
        </w:rPr>
        <w:t>○</w:t>
      </w:r>
      <w:r w:rsidR="00DC06C1">
        <w:rPr>
          <w:color w:val="000000" w:themeColor="text1"/>
        </w:rPr>
        <w:t>雄</w:t>
      </w:r>
      <w:r w:rsidRPr="007849A5">
        <w:rPr>
          <w:color w:val="000000" w:themeColor="text1"/>
        </w:rPr>
        <w:t>持瓷質煙灰缸、</w:t>
      </w:r>
      <w:r w:rsidR="00DC06C1">
        <w:rPr>
          <w:color w:val="000000" w:themeColor="text1"/>
        </w:rPr>
        <w:t>黃</w:t>
      </w:r>
      <w:r w:rsidR="00960A8E">
        <w:rPr>
          <w:rFonts w:hint="eastAsia"/>
          <w:color w:val="000000" w:themeColor="text1"/>
        </w:rPr>
        <w:t>○</w:t>
      </w:r>
      <w:r w:rsidR="00DC06C1">
        <w:rPr>
          <w:color w:val="000000" w:themeColor="text1"/>
        </w:rPr>
        <w:t>任</w:t>
      </w:r>
      <w:r w:rsidRPr="007849A5">
        <w:rPr>
          <w:color w:val="000000" w:themeColor="text1"/>
        </w:rPr>
        <w:t>持角木猛擊其頭部與臉部；另對被害人陳女，亦是由</w:t>
      </w:r>
      <w:r w:rsidR="00DC06C1">
        <w:rPr>
          <w:color w:val="000000" w:themeColor="text1"/>
        </w:rPr>
        <w:t>黃</w:t>
      </w:r>
      <w:r w:rsidR="00960A8E">
        <w:rPr>
          <w:rFonts w:hint="eastAsia"/>
          <w:color w:val="000000" w:themeColor="text1"/>
        </w:rPr>
        <w:t>○</w:t>
      </w:r>
      <w:r w:rsidR="00DC06C1">
        <w:rPr>
          <w:color w:val="000000" w:themeColor="text1"/>
        </w:rPr>
        <w:t>任</w:t>
      </w:r>
      <w:r w:rsidRPr="007849A5">
        <w:rPr>
          <w:color w:val="000000" w:themeColor="text1"/>
        </w:rPr>
        <w:t>以角木猛擊使其昏倒後，再由</w:t>
      </w:r>
      <w:r w:rsidR="00DC06C1">
        <w:rPr>
          <w:color w:val="000000" w:themeColor="text1"/>
        </w:rPr>
        <w:t>黃</w:t>
      </w:r>
      <w:r w:rsidR="00960A8E">
        <w:rPr>
          <w:rFonts w:hint="eastAsia"/>
          <w:color w:val="000000" w:themeColor="text1"/>
        </w:rPr>
        <w:t>○</w:t>
      </w:r>
      <w:r w:rsidR="00DC06C1">
        <w:rPr>
          <w:color w:val="000000" w:themeColor="text1"/>
        </w:rPr>
        <w:t>雄</w:t>
      </w:r>
      <w:r w:rsidRPr="007849A5">
        <w:rPr>
          <w:color w:val="000000" w:themeColor="text1"/>
        </w:rPr>
        <w:t>猛抓陳女頭部撞擊地上之煙灰缸致死。歷審法院之判決理由均</w:t>
      </w:r>
      <w:r w:rsidR="008D1D9F" w:rsidRPr="007849A5">
        <w:rPr>
          <w:rFonts w:hint="eastAsia"/>
          <w:color w:val="000000" w:themeColor="text1"/>
        </w:rPr>
        <w:t>載以</w:t>
      </w:r>
      <w:r w:rsidRPr="007849A5">
        <w:rPr>
          <w:color w:val="000000" w:themeColor="text1"/>
        </w:rPr>
        <w:t>，</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w:t>
      </w:r>
      <w:r w:rsidR="008D1D9F" w:rsidRPr="007849A5">
        <w:rPr>
          <w:rFonts w:hint="eastAsia"/>
          <w:color w:val="000000" w:themeColor="text1"/>
        </w:rPr>
        <w:t>……</w:t>
      </w:r>
      <w:r w:rsidRPr="007849A5">
        <w:rPr>
          <w:color w:val="000000" w:themeColor="text1"/>
        </w:rPr>
        <w:t>雖未親自下手（殺害）」。依據113年憲判字第8號判決之審查基準，判斷個案情節是否最嚴重，須考量「共同正犯之成員對於犯罪之掌控程度或實際參與程度、其各自行為對被害人死亡結果之原因力強弱等」。</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並非現場提議暴力行為的人，且未親自下手實施殺人行為，其對於殺人結果之原因力與犯罪掌控程度顯然弱於直接持兇器行兇之共犯。</w:t>
      </w:r>
      <w:r w:rsidR="008D1D9F" w:rsidRPr="007849A5">
        <w:rPr>
          <w:rFonts w:hint="eastAsia"/>
          <w:color w:val="000000" w:themeColor="text1"/>
        </w:rPr>
        <w:t>依</w:t>
      </w:r>
      <w:r w:rsidRPr="007849A5">
        <w:rPr>
          <w:color w:val="000000" w:themeColor="text1"/>
        </w:rPr>
        <w:t>刑罰罪責原則，其</w:t>
      </w:r>
      <w:r w:rsidRPr="007849A5">
        <w:rPr>
          <w:color w:val="000000" w:themeColor="text1"/>
        </w:rPr>
        <w:lastRenderedPageBreak/>
        <w:t>參與程度實難與直接下手之共犯等量齊觀，</w:t>
      </w:r>
      <w:r w:rsidR="008D1D9F" w:rsidRPr="007849A5">
        <w:rPr>
          <w:rFonts w:hint="eastAsia"/>
          <w:color w:val="000000" w:themeColor="text1"/>
        </w:rPr>
        <w:t>不得</w:t>
      </w:r>
      <w:r w:rsidRPr="007849A5">
        <w:rPr>
          <w:color w:val="000000" w:themeColor="text1"/>
        </w:rPr>
        <w:t>遽予評價為「最嚴重之情節」。</w:t>
      </w:r>
    </w:p>
    <w:p w14:paraId="4CEBEDA0" w14:textId="6DB8314D" w:rsidR="00CB5564" w:rsidRPr="007849A5" w:rsidRDefault="00CB5564" w:rsidP="00CB5564">
      <w:pPr>
        <w:pStyle w:val="4"/>
        <w:rPr>
          <w:color w:val="000000" w:themeColor="text1"/>
        </w:rPr>
      </w:pPr>
      <w:r w:rsidRPr="007849A5">
        <w:rPr>
          <w:color w:val="000000" w:themeColor="text1"/>
        </w:rPr>
        <w:t>113年憲判字第8號判決例示，犯罪手段是否特別殘酷而該當死刑，應審酌「是否使用足以造成多人死亡之武器或爆裂物、生物化學製品、毒藥等；是否對被害人施加明顯不人道、有辱人格、極端凌虐之殘忍手段」。本案共同正犯殺害被害人之手段，係隨手持現場取得之角木與煙灰缸重擊被害人頭臉部要害以達滅口目的。此等手段固屬兇殘且泯滅人性，然核其客觀情狀，並未使用大規模或特殊殺傷性武器，且被害人亦未遭受顯不人道、有辱人格或極端凌虐之殘忍手段。故在憲法比例原則與最嚴格審查標準下，此等手段是否已達「最嚴重」之犯罪情節門檻，顯非無疑。</w:t>
      </w:r>
    </w:p>
    <w:p w14:paraId="4FA7B977" w14:textId="58A5F4E0" w:rsidR="00CB5564" w:rsidRPr="007849A5" w:rsidRDefault="00CB5564" w:rsidP="00CB5564">
      <w:pPr>
        <w:pStyle w:val="4"/>
        <w:rPr>
          <w:color w:val="000000" w:themeColor="text1"/>
        </w:rPr>
      </w:pPr>
      <w:r w:rsidRPr="007849A5">
        <w:rPr>
          <w:color w:val="000000" w:themeColor="text1"/>
        </w:rPr>
        <w:t>綜上，</w:t>
      </w:r>
      <w:r w:rsidR="00DF715B" w:rsidRPr="007849A5">
        <w:rPr>
          <w:rFonts w:hint="eastAsia"/>
          <w:color w:val="000000" w:themeColor="text1"/>
        </w:rPr>
        <w:t>本件確定終局判決所認定之殺人犯罪情節具偶發性而非具計畫性</w:t>
      </w:r>
      <w:r w:rsidRPr="007849A5">
        <w:rPr>
          <w:color w:val="000000" w:themeColor="text1"/>
        </w:rPr>
        <w:t>，</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本人既非現場提議施加暴力者，亦未親自下手實施殺人行為，其行為對死亡結果之原因力較低，且共同正犯之犯罪手段亦未達極端凌虐之殘酷程度。從而，其個案犯罪情節依據憲法法庭確立之標準，尚難謂屬「最嚴重」之層級。原確定</w:t>
      </w:r>
      <w:r w:rsidR="00AD0F47" w:rsidRPr="007849A5">
        <w:rPr>
          <w:rFonts w:hint="eastAsia"/>
          <w:bCs/>
          <w:color w:val="000000" w:themeColor="text1"/>
        </w:rPr>
        <w:t>終局</w:t>
      </w:r>
      <w:r w:rsidRPr="007849A5">
        <w:rPr>
          <w:color w:val="000000" w:themeColor="text1"/>
        </w:rPr>
        <w:t>判決未察及此，對其科處極刑，核與113年憲判字第8號判決保障生命權及罪責比例原則之憲法意旨不符。</w:t>
      </w:r>
    </w:p>
    <w:p w14:paraId="217C914E" w14:textId="622870D3" w:rsidR="00CB5564" w:rsidRPr="007849A5" w:rsidRDefault="002F074B" w:rsidP="00CB5564">
      <w:pPr>
        <w:pStyle w:val="3"/>
        <w:rPr>
          <w:b/>
          <w:bCs w:val="0"/>
          <w:color w:val="000000" w:themeColor="text1"/>
        </w:rPr>
      </w:pPr>
      <w:r w:rsidRPr="007849A5">
        <w:rPr>
          <w:b/>
          <w:bCs w:val="0"/>
          <w:color w:val="000000" w:themeColor="text1"/>
        </w:rPr>
        <w:t>本案確定終局判決適用刑事訴訟法第389條第1項規定，未經言詞辯論程序即逕行裁判，核與憲法法庭113年憲判字第8號判決主文第5項所揭示之正當法律程序意旨不符，該確定</w:t>
      </w:r>
      <w:r w:rsidR="00AD0F47" w:rsidRPr="007849A5">
        <w:rPr>
          <w:rFonts w:hint="eastAsia"/>
          <w:b/>
          <w:bCs w:val="0"/>
          <w:color w:val="000000" w:themeColor="text1"/>
        </w:rPr>
        <w:t>終局</w:t>
      </w:r>
      <w:r w:rsidRPr="007849A5">
        <w:rPr>
          <w:b/>
          <w:bCs w:val="0"/>
          <w:color w:val="000000" w:themeColor="text1"/>
        </w:rPr>
        <w:t>判決之訴訟程序是否合於憲法保障人民訴訟權之要求，顯有疑義</w:t>
      </w:r>
      <w:r w:rsidR="009917B0" w:rsidRPr="007849A5">
        <w:rPr>
          <w:rFonts w:hint="eastAsia"/>
          <w:b/>
          <w:bCs w:val="0"/>
          <w:color w:val="000000" w:themeColor="text1"/>
        </w:rPr>
        <w:t>：</w:t>
      </w:r>
    </w:p>
    <w:p w14:paraId="44078EC7" w14:textId="7C358C15" w:rsidR="00B769BF" w:rsidRPr="007849A5" w:rsidRDefault="00B769BF" w:rsidP="00B769BF">
      <w:pPr>
        <w:pStyle w:val="4"/>
        <w:rPr>
          <w:color w:val="000000" w:themeColor="text1"/>
        </w:rPr>
      </w:pPr>
      <w:r w:rsidRPr="007849A5">
        <w:rPr>
          <w:color w:val="000000" w:themeColor="text1"/>
        </w:rPr>
        <w:t>憲法法庭113年憲判字第8號判決主文第5項明確揭示，關於死刑案件，於第三審審判時，應經言</w:t>
      </w:r>
      <w:r w:rsidRPr="007849A5">
        <w:rPr>
          <w:color w:val="000000" w:themeColor="text1"/>
        </w:rPr>
        <w:lastRenderedPageBreak/>
        <w:t>詞辯論始得諭知死刑或維持下級審諭知死刑之判決。現行刑事訴訟法第389條第1項固規定：「第三審法院之判決，不經言詞辯論為之。但法院認為有必要者，得命辯論。」然該規定未明文要求第三審法院就死刑案件必須經言詞辯論，始得自為或維持死刑之諭知判決，憲法法庭宣告該規定於此範圍內，與憲法保障人民生命權、被告之訴訟上防禦權及正當法律程序原則之意旨有違。死刑案件因涉及被告生命之終極剝奪，其程序保障密度本應高於非死刑案件；尤其檢視個案犯罪情節是否已達「最嚴重」之程度而得科處死刑時，實有舉行言詞辯論之必要，俾使法官得當場直接聽取被告辯護人及檢察官之意見陳述並進行詢問，進而形成更為審慎、妥當之心證。</w:t>
      </w:r>
    </w:p>
    <w:p w14:paraId="21782CFE" w14:textId="16850E47" w:rsidR="00B769BF" w:rsidRPr="007849A5" w:rsidRDefault="00B769BF" w:rsidP="00B769BF">
      <w:pPr>
        <w:pStyle w:val="4"/>
        <w:rPr>
          <w:color w:val="000000" w:themeColor="text1"/>
        </w:rPr>
      </w:pPr>
      <w:r w:rsidRPr="007849A5">
        <w:rPr>
          <w:color w:val="000000" w:themeColor="text1"/>
        </w:rPr>
        <w:t>查</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涉犯強制性交而故意殺人案件，歷經多年審理，最終由最高法院以98年度台上字第3507號判決維持死刑定讞。然檢視該第三審之審判程序，原確定終局判決係逕行適用上開有違憲疑義之刑事訴訟法第389條第1項規定，在未經過言詞辯論之情形下，即作出維持死刑之裁判。此一未經言詞辯論之書面審理模式，</w:t>
      </w:r>
      <w:r w:rsidR="00E47B97" w:rsidRPr="007849A5">
        <w:rPr>
          <w:rFonts w:hint="eastAsia"/>
          <w:color w:val="000000" w:themeColor="text1"/>
        </w:rPr>
        <w:t>已</w:t>
      </w:r>
      <w:r w:rsidRPr="007849A5">
        <w:rPr>
          <w:color w:val="000000" w:themeColor="text1"/>
        </w:rPr>
        <w:t>剝奪</w:t>
      </w:r>
      <w:r w:rsidR="00DC06C1">
        <w:rPr>
          <w:color w:val="000000" w:themeColor="text1"/>
        </w:rPr>
        <w:t>沈</w:t>
      </w:r>
      <w:r w:rsidR="00960A8E">
        <w:rPr>
          <w:rFonts w:hint="eastAsia"/>
          <w:color w:val="000000" w:themeColor="text1"/>
        </w:rPr>
        <w:t>○</w:t>
      </w:r>
      <w:r w:rsidR="00DC06C1">
        <w:rPr>
          <w:color w:val="000000" w:themeColor="text1"/>
        </w:rPr>
        <w:t>霖</w:t>
      </w:r>
      <w:r w:rsidRPr="007849A5">
        <w:rPr>
          <w:color w:val="000000" w:themeColor="text1"/>
        </w:rPr>
        <w:t>於終審法院當庭言詞陳述、辯明生死交關之量刑理由</w:t>
      </w:r>
      <w:r w:rsidR="009917B0" w:rsidRPr="007849A5">
        <w:rPr>
          <w:rFonts w:hint="eastAsia"/>
          <w:color w:val="000000" w:themeColor="text1"/>
        </w:rPr>
        <w:t>之</w:t>
      </w:r>
      <w:r w:rsidRPr="007849A5">
        <w:rPr>
          <w:color w:val="000000" w:themeColor="text1"/>
        </w:rPr>
        <w:t>機會，導致死刑宣告之程序未達憲法所要求之「最嚴密之正當法律程序」標準。此等未經辯論即定人生死之程序瑕疵，實已對</w:t>
      </w:r>
      <w:r w:rsidR="00DC06C1">
        <w:rPr>
          <w:rFonts w:hint="eastAsia"/>
          <w:color w:val="000000" w:themeColor="text1"/>
        </w:rPr>
        <w:t>沈○霖</w:t>
      </w:r>
      <w:r w:rsidRPr="007849A5">
        <w:rPr>
          <w:color w:val="000000" w:themeColor="text1"/>
        </w:rPr>
        <w:t>受憲法保障之生命權與訴訟權構成嚴重侵害，並符合提起非常上訴之要件。</w:t>
      </w:r>
    </w:p>
    <w:p w14:paraId="19CA9E3C" w14:textId="0F6878C5" w:rsidR="00B769BF" w:rsidRPr="007849A5" w:rsidRDefault="00B769BF" w:rsidP="00CB5564">
      <w:pPr>
        <w:pStyle w:val="3"/>
        <w:rPr>
          <w:b/>
          <w:bCs w:val="0"/>
          <w:color w:val="000000" w:themeColor="text1"/>
        </w:rPr>
      </w:pPr>
      <w:r w:rsidRPr="007849A5">
        <w:rPr>
          <w:b/>
          <w:bCs w:val="0"/>
          <w:color w:val="000000" w:themeColor="text1"/>
        </w:rPr>
        <w:t>本案確定終局判決依法院組織法相關規定所為之合議庭評議程序，如卷內事證未能證明該判決係以全體成員一致決之方式作成，則其評議程序及判決</w:t>
      </w:r>
      <w:r w:rsidRPr="007849A5">
        <w:rPr>
          <w:b/>
          <w:bCs w:val="0"/>
          <w:color w:val="000000" w:themeColor="text1"/>
        </w:rPr>
        <w:lastRenderedPageBreak/>
        <w:t>結果核與憲法法庭113年憲判字第8號判決主文第6項所揭示之意旨不符，該確定</w:t>
      </w:r>
      <w:r w:rsidR="00AD0F47" w:rsidRPr="007849A5">
        <w:rPr>
          <w:rFonts w:hint="eastAsia"/>
          <w:b/>
          <w:bCs w:val="0"/>
          <w:color w:val="000000" w:themeColor="text1"/>
        </w:rPr>
        <w:t>終局</w:t>
      </w:r>
      <w:r w:rsidRPr="007849A5">
        <w:rPr>
          <w:b/>
          <w:bCs w:val="0"/>
          <w:color w:val="000000" w:themeColor="text1"/>
        </w:rPr>
        <w:t>判決所踐行之評議程序是否符合憲法對死刑案件正當法律程序之要求，顯有疑義</w:t>
      </w:r>
      <w:r w:rsidR="005D473A" w:rsidRPr="007849A5">
        <w:rPr>
          <w:rFonts w:hint="eastAsia"/>
          <w:b/>
          <w:bCs w:val="0"/>
          <w:color w:val="000000" w:themeColor="text1"/>
        </w:rPr>
        <w:t>：</w:t>
      </w:r>
    </w:p>
    <w:p w14:paraId="09384E5B" w14:textId="35EDD0F8" w:rsidR="0004012C" w:rsidRPr="007849A5" w:rsidRDefault="00B769BF" w:rsidP="0004012C">
      <w:pPr>
        <w:pStyle w:val="4"/>
        <w:rPr>
          <w:color w:val="000000" w:themeColor="text1"/>
        </w:rPr>
      </w:pPr>
      <w:r w:rsidRPr="007849A5">
        <w:rPr>
          <w:color w:val="000000" w:themeColor="text1"/>
        </w:rPr>
        <w:t>憲法法庭113年憲判字第8號判決主文第6項已明確宣示：「科處死刑之判決，應經各級法院合議庭法官之一致決。法院組織法就主文</w:t>
      </w:r>
      <w:r w:rsidR="005D473A" w:rsidRPr="007849A5">
        <w:rPr>
          <w:color w:val="000000" w:themeColor="text1"/>
        </w:rPr>
        <w:t>第1項</w:t>
      </w:r>
      <w:r w:rsidRPr="007849A5">
        <w:rPr>
          <w:color w:val="000000" w:themeColor="text1"/>
        </w:rPr>
        <w:t>案件，未明定應經合議庭法官之一致決始得科處死刑，與憲法保障人民生命權及正當法律程序原則之意旨有違」。死刑案件涉及對刑事被告生命權之終極剝奪，倘有錯誤冤抑必將產生不可回復之損失，故要求法官於評議時必須達成全體一致之確信，方能擔保科處死刑之加重量刑因子確無任何合理懷疑，進而避免量刑之適用偏差與專斷。此一「一致決」標準，已成為國家行使極刑時，不容妥協之憲法底線。</w:t>
      </w:r>
    </w:p>
    <w:p w14:paraId="7F8CD632" w14:textId="1568D017" w:rsidR="00B769BF" w:rsidRPr="007849A5" w:rsidRDefault="00B769BF" w:rsidP="0004012C">
      <w:pPr>
        <w:pStyle w:val="4"/>
        <w:rPr>
          <w:color w:val="000000" w:themeColor="text1"/>
        </w:rPr>
      </w:pPr>
      <w:r w:rsidRPr="007849A5">
        <w:rPr>
          <w:color w:val="000000" w:themeColor="text1"/>
        </w:rPr>
        <w:t>查本件</w:t>
      </w:r>
      <w:r w:rsidR="00DC06C1">
        <w:rPr>
          <w:color w:val="000000" w:themeColor="text1"/>
        </w:rPr>
        <w:t>沈</w:t>
      </w:r>
      <w:r w:rsidR="00DC06C1">
        <w:rPr>
          <w:color w:val="000000" w:themeColor="text1"/>
        </w:rPr>
        <w:t>○</w:t>
      </w:r>
      <w:r w:rsidR="00DC06C1">
        <w:rPr>
          <w:color w:val="000000" w:themeColor="text1"/>
        </w:rPr>
        <w:t>霖</w:t>
      </w:r>
      <w:r w:rsidRPr="007849A5">
        <w:rPr>
          <w:color w:val="000000" w:themeColor="text1"/>
        </w:rPr>
        <w:t>涉案部分，係經最高法院以98年度台上字第3507號刑事判決維持死刑定讞。依據當時適用之法院組織法第105條第1項相關規定，合議庭之評議僅</w:t>
      </w:r>
      <w:r w:rsidR="00E96EC4" w:rsidRPr="007849A5">
        <w:rPr>
          <w:rFonts w:hint="eastAsia"/>
          <w:color w:val="000000" w:themeColor="text1"/>
        </w:rPr>
        <w:t>須</w:t>
      </w:r>
      <w:r w:rsidRPr="007849A5">
        <w:rPr>
          <w:color w:val="000000" w:themeColor="text1"/>
        </w:rPr>
        <w:t>「以過半數之意見決定之」。因此，在未有強制一致決法源依據之歷史時空下，本案歷審法院於科處並維持死刑之評議過程中，是否確實達成法官意見之「一致決」，實有高度之疑義。進一步而言，依據司法院相關之檔案保存規範（如廢止前之</w:t>
      </w:r>
      <w:r w:rsidR="000E6FF0" w:rsidRPr="007849A5">
        <w:rPr>
          <w:rFonts w:hint="eastAsia"/>
          <w:color w:val="000000" w:themeColor="text1"/>
        </w:rPr>
        <w:t>「</w:t>
      </w:r>
      <w:r w:rsidRPr="007849A5">
        <w:rPr>
          <w:color w:val="000000" w:themeColor="text1"/>
        </w:rPr>
        <w:t>司法院暨所屬法院文卷保存期限實施要點</w:t>
      </w:r>
      <w:r w:rsidR="000E6FF0" w:rsidRPr="007849A5">
        <w:rPr>
          <w:rFonts w:hint="eastAsia"/>
          <w:color w:val="000000" w:themeColor="text1"/>
        </w:rPr>
        <w:t>」</w:t>
      </w:r>
      <w:r w:rsidRPr="007849A5">
        <w:rPr>
          <w:color w:val="000000" w:themeColor="text1"/>
        </w:rPr>
        <w:t>及現行</w:t>
      </w:r>
      <w:r w:rsidR="000E6FF0" w:rsidRPr="007849A5">
        <w:rPr>
          <w:rFonts w:hint="eastAsia"/>
          <w:color w:val="000000" w:themeColor="text1"/>
        </w:rPr>
        <w:t>「</w:t>
      </w:r>
      <w:r w:rsidRPr="007849A5">
        <w:rPr>
          <w:color w:val="000000" w:themeColor="text1"/>
        </w:rPr>
        <w:t>機關共通性檔案保存年限基準</w:t>
      </w:r>
      <w:r w:rsidR="000E6FF0" w:rsidRPr="007849A5">
        <w:rPr>
          <w:rFonts w:hint="eastAsia"/>
          <w:color w:val="000000" w:themeColor="text1"/>
        </w:rPr>
        <w:t>」</w:t>
      </w:r>
      <w:r w:rsidRPr="007849A5">
        <w:rPr>
          <w:color w:val="000000" w:themeColor="text1"/>
        </w:rPr>
        <w:t>），法院評議簿之保存年限僅為10年。本件確定終局判決作成於98年，迄今早已逾越10年之保存期限，相關評議紀錄極</w:t>
      </w:r>
      <w:r w:rsidR="00E96EC4" w:rsidRPr="007849A5">
        <w:rPr>
          <w:rFonts w:hint="eastAsia"/>
          <w:color w:val="000000" w:themeColor="text1"/>
        </w:rPr>
        <w:t>有</w:t>
      </w:r>
      <w:r w:rsidRPr="007849A5">
        <w:rPr>
          <w:color w:val="000000" w:themeColor="text1"/>
        </w:rPr>
        <w:t>可能已遭銷毀而無從查考。在國家機關無法提出確切證據（即評議</w:t>
      </w:r>
      <w:r w:rsidRPr="007849A5">
        <w:rPr>
          <w:color w:val="000000" w:themeColor="text1"/>
        </w:rPr>
        <w:lastRenderedPageBreak/>
        <w:t>紀錄正本）以積極證明當時合議庭法官確係以「一致決」對</w:t>
      </w:r>
      <w:r w:rsidR="00DC06C1">
        <w:rPr>
          <w:rFonts w:hint="eastAsia"/>
          <w:color w:val="000000" w:themeColor="text1"/>
        </w:rPr>
        <w:t>沈○霖</w:t>
      </w:r>
      <w:r w:rsidRPr="007849A5">
        <w:rPr>
          <w:color w:val="000000" w:themeColor="text1"/>
        </w:rPr>
        <w:t>作成死刑裁判之情況下，自不能將此等程序證據滅失之風險與不利益</w:t>
      </w:r>
      <w:r w:rsidR="00E96EC4" w:rsidRPr="007849A5">
        <w:rPr>
          <w:rFonts w:hint="eastAsia"/>
          <w:color w:val="000000" w:themeColor="text1"/>
        </w:rPr>
        <w:t>由</w:t>
      </w:r>
      <w:r w:rsidRPr="007849A5">
        <w:rPr>
          <w:color w:val="000000" w:themeColor="text1"/>
        </w:rPr>
        <w:t>受判決人承擔。是以，客觀上</w:t>
      </w:r>
      <w:r w:rsidR="00E96EC4" w:rsidRPr="007849A5">
        <w:rPr>
          <w:rFonts w:hint="eastAsia"/>
          <w:color w:val="000000" w:themeColor="text1"/>
        </w:rPr>
        <w:t>如</w:t>
      </w:r>
      <w:r w:rsidRPr="007849A5">
        <w:rPr>
          <w:color w:val="000000" w:themeColor="text1"/>
        </w:rPr>
        <w:t>無證據證明該確定終局判決係以一致決作成，即與</w:t>
      </w:r>
      <w:r w:rsidR="0046251C" w:rsidRPr="007849A5">
        <w:rPr>
          <w:color w:val="000000" w:themeColor="text1"/>
        </w:rPr>
        <w:t>憲法法庭113年憲判字第8號</w:t>
      </w:r>
      <w:r w:rsidRPr="007849A5">
        <w:rPr>
          <w:color w:val="000000" w:themeColor="text1"/>
        </w:rPr>
        <w:t>主文第6項所確立之憲法要求不符。</w:t>
      </w:r>
    </w:p>
    <w:p w14:paraId="0336C0EB" w14:textId="244F2E12" w:rsidR="00B769BF" w:rsidRPr="007849A5" w:rsidRDefault="00B769BF" w:rsidP="0004012C">
      <w:pPr>
        <w:pStyle w:val="4"/>
        <w:rPr>
          <w:color w:val="000000" w:themeColor="text1"/>
        </w:rPr>
      </w:pPr>
      <w:r w:rsidRPr="007849A5">
        <w:rPr>
          <w:color w:val="000000" w:themeColor="text1"/>
        </w:rPr>
        <w:t>綜上所述，</w:t>
      </w:r>
      <w:r w:rsidR="00DC06C1">
        <w:rPr>
          <w:color w:val="000000" w:themeColor="text1"/>
        </w:rPr>
        <w:t>沈</w:t>
      </w:r>
      <w:r w:rsidR="00DC06C1">
        <w:rPr>
          <w:color w:val="000000" w:themeColor="text1"/>
        </w:rPr>
        <w:t>○</w:t>
      </w:r>
      <w:r w:rsidR="00DC06C1">
        <w:rPr>
          <w:color w:val="000000" w:themeColor="text1"/>
        </w:rPr>
        <w:t>霖</w:t>
      </w:r>
      <w:r w:rsidRPr="007849A5">
        <w:rPr>
          <w:color w:val="000000" w:themeColor="text1"/>
        </w:rPr>
        <w:t>案之最高法院98年度台上字第3507號確定終局判決，其作成時所依據之法院組織法僅要求過半數決，且因年代久遠、卷證保存期限等客觀因素，</w:t>
      </w:r>
      <w:r w:rsidR="00EF4D18" w:rsidRPr="007849A5">
        <w:rPr>
          <w:rFonts w:hint="eastAsia"/>
          <w:color w:val="000000" w:themeColor="text1"/>
        </w:rPr>
        <w:t>如</w:t>
      </w:r>
      <w:r w:rsidRPr="007849A5">
        <w:rPr>
          <w:color w:val="000000" w:themeColor="text1"/>
        </w:rPr>
        <w:t>目前顯然未有證據足資證明該死刑判決係以「一致決」作成。此一評議程序之重大瑕疵，</w:t>
      </w:r>
      <w:r w:rsidR="00EF4D18" w:rsidRPr="007849A5">
        <w:rPr>
          <w:rFonts w:hint="eastAsia"/>
          <w:color w:val="000000" w:themeColor="text1"/>
        </w:rPr>
        <w:t>即</w:t>
      </w:r>
      <w:r w:rsidRPr="007849A5">
        <w:rPr>
          <w:color w:val="000000" w:themeColor="text1"/>
        </w:rPr>
        <w:t>嚴重侵害</w:t>
      </w:r>
      <w:r w:rsidR="00DC06C1">
        <w:rPr>
          <w:rFonts w:hint="eastAsia"/>
          <w:color w:val="000000" w:themeColor="text1"/>
        </w:rPr>
        <w:t>沈○霖</w:t>
      </w:r>
      <w:r w:rsidRPr="007849A5">
        <w:rPr>
          <w:color w:val="000000" w:themeColor="text1"/>
        </w:rPr>
        <w:t>受憲法保障之生命權及最嚴密之正當法律程序防禦權。</w:t>
      </w:r>
    </w:p>
    <w:p w14:paraId="51849FEE" w14:textId="04ECF478" w:rsidR="002F074B" w:rsidRPr="007849A5" w:rsidRDefault="00EF4D18" w:rsidP="0004012C">
      <w:pPr>
        <w:pStyle w:val="3"/>
        <w:rPr>
          <w:color w:val="000000" w:themeColor="text1"/>
        </w:rPr>
      </w:pPr>
      <w:r w:rsidRPr="007849A5">
        <w:rPr>
          <w:rFonts w:hint="eastAsia"/>
          <w:color w:val="000000" w:themeColor="text1"/>
        </w:rPr>
        <w:t>據上論結</w:t>
      </w:r>
      <w:r w:rsidR="006D6E7B" w:rsidRPr="007849A5">
        <w:rPr>
          <w:rFonts w:hint="eastAsia"/>
          <w:color w:val="000000" w:themeColor="text1"/>
        </w:rPr>
        <w:t>，</w:t>
      </w:r>
      <w:r w:rsidR="00B6610F" w:rsidRPr="007849A5">
        <w:rPr>
          <w:rFonts w:hint="eastAsia"/>
          <w:color w:val="000000" w:themeColor="text1"/>
        </w:rPr>
        <w:t>本件確定終局判決所認定之殺人犯罪情節實具偶發性而非具計畫性，</w:t>
      </w:r>
      <w:r w:rsidR="00DC06C1">
        <w:rPr>
          <w:rFonts w:hint="eastAsia"/>
          <w:color w:val="000000" w:themeColor="text1"/>
        </w:rPr>
        <w:t>沈○霖</w:t>
      </w:r>
      <w:r w:rsidR="00B6610F" w:rsidRPr="007849A5">
        <w:rPr>
          <w:rFonts w:hint="eastAsia"/>
          <w:color w:val="000000" w:themeColor="text1"/>
        </w:rPr>
        <w:t>既非現場提議施加暴力強制性交者，亦未親自下手實施殺人核心行為，且共同正犯更未對被害人施以顯不人道、有辱人格或極端凌虐之殘忍手段，其惡性與非難評價尚非屬憲法法庭所指「最嚴重之犯罪情節」，遽處極刑實有違比例原則；復查本案之第三審訴訟程序，原確定終局判決逕行適用刑事訴訟法第389條第1項規定，未經當庭之言詞辯論即為死刑之裁判，嚴重限縮被告之訴訟防禦權，且其依當時法院組織法相關規定所為之合議庭法官評議，</w:t>
      </w:r>
      <w:r w:rsidRPr="007849A5">
        <w:rPr>
          <w:rFonts w:hint="eastAsia"/>
          <w:color w:val="000000" w:themeColor="text1"/>
        </w:rPr>
        <w:t>如</w:t>
      </w:r>
      <w:r w:rsidR="00B6610F" w:rsidRPr="007849A5">
        <w:rPr>
          <w:rFonts w:hint="eastAsia"/>
          <w:color w:val="000000" w:themeColor="text1"/>
        </w:rPr>
        <w:t>因欠缺相關卷證而未有確切證據足資證明該科處死刑之判決確係以「一致決」作成，此等未經辯論且欠缺一致決擔保之審理模式，顯然不符憲法對於剝奪人民生命權必須踐行「最嚴密之正當法律程序」之最高要求。</w:t>
      </w:r>
      <w:r w:rsidRPr="007849A5">
        <w:rPr>
          <w:rFonts w:hint="eastAsia"/>
          <w:color w:val="000000" w:themeColor="text1"/>
        </w:rPr>
        <w:t>前述</w:t>
      </w:r>
      <w:r w:rsidR="00B6610F" w:rsidRPr="007849A5">
        <w:rPr>
          <w:rFonts w:hint="eastAsia"/>
          <w:color w:val="000000" w:themeColor="text1"/>
        </w:rPr>
        <w:t>實體與程序之多重重大瑕疵，本件死刑判決已牴觸憲法生命權與訴訟權保障意旨，為匡正國家</w:t>
      </w:r>
      <w:r w:rsidR="00B6610F" w:rsidRPr="007849A5">
        <w:rPr>
          <w:rFonts w:hint="eastAsia"/>
          <w:color w:val="000000" w:themeColor="text1"/>
        </w:rPr>
        <w:lastRenderedPageBreak/>
        <w:t>刑罰權行使之違誤，洵得依據憲法法庭113年憲判字第8號判決主文第10項、第12項及第13項之意旨，合併提起非常上訴，由最高法院重為妥適之審查與救濟。</w:t>
      </w:r>
    </w:p>
    <w:p w14:paraId="5D5F1EC7" w14:textId="5E83DE05" w:rsidR="00BA6111" w:rsidRPr="007849A5" w:rsidRDefault="00BA6111" w:rsidP="00081CF9">
      <w:pPr>
        <w:pStyle w:val="2"/>
        <w:rPr>
          <w:b/>
          <w:color w:val="000000" w:themeColor="text1"/>
        </w:rPr>
      </w:pPr>
      <w:r w:rsidRPr="007849A5">
        <w:rPr>
          <w:b/>
          <w:color w:val="000000" w:themeColor="text1"/>
        </w:rPr>
        <w:t>本案屬面臨極刑之重大刑事案件，因</w:t>
      </w:r>
      <w:r w:rsidR="00DC06C1">
        <w:rPr>
          <w:rFonts w:hint="eastAsia"/>
          <w:b/>
          <w:color w:val="000000" w:themeColor="text1"/>
        </w:rPr>
        <w:t>沈○霖</w:t>
      </w:r>
      <w:r w:rsidRPr="007849A5">
        <w:rPr>
          <w:b/>
          <w:color w:val="000000" w:themeColor="text1"/>
        </w:rPr>
        <w:t>逃亡及歷審訴訟致司法程序歷時甚長。然國家機關</w:t>
      </w:r>
      <w:r w:rsidR="00AD2068" w:rsidRPr="007849A5">
        <w:rPr>
          <w:rFonts w:hint="eastAsia"/>
          <w:b/>
          <w:color w:val="000000" w:themeColor="text1"/>
        </w:rPr>
        <w:t>於</w:t>
      </w:r>
      <w:r w:rsidRPr="007849A5">
        <w:rPr>
          <w:b/>
          <w:color w:val="000000" w:themeColor="text1"/>
        </w:rPr>
        <w:t>偵查、審判及後續執行程序間之證物保存與銜接機制存有重大疏漏，關鍵證物於機關移交時遺失，且</w:t>
      </w:r>
      <w:r w:rsidR="0048143E" w:rsidRPr="007849A5">
        <w:rPr>
          <w:rFonts w:hint="eastAsia"/>
          <w:b/>
          <w:color w:val="000000" w:themeColor="text1"/>
        </w:rPr>
        <w:t>採集指紋之關鍵檔案</w:t>
      </w:r>
      <w:r w:rsidR="0046251C">
        <w:rPr>
          <w:rFonts w:hint="eastAsia"/>
          <w:b/>
          <w:color w:val="000000" w:themeColor="text1"/>
        </w:rPr>
        <w:t>，</w:t>
      </w:r>
      <w:r w:rsidR="0048143E" w:rsidRPr="007849A5">
        <w:rPr>
          <w:rFonts w:hint="eastAsia"/>
          <w:b/>
          <w:color w:val="000000" w:themeColor="text1"/>
        </w:rPr>
        <w:t>警察機關竟依一般公文年限逕行銷毀採證紀錄</w:t>
      </w:r>
      <w:r w:rsidRPr="007849A5">
        <w:rPr>
          <w:b/>
          <w:color w:val="000000" w:themeColor="text1"/>
        </w:rPr>
        <w:t>，客觀科學證據之「保管鏈」</w:t>
      </w:r>
      <w:r w:rsidR="0046251C">
        <w:rPr>
          <w:b/>
          <w:color w:val="000000" w:themeColor="text1"/>
        </w:rPr>
        <w:t>澈底</w:t>
      </w:r>
      <w:r w:rsidRPr="007849A5">
        <w:rPr>
          <w:b/>
          <w:color w:val="000000" w:themeColor="text1"/>
        </w:rPr>
        <w:t>斷裂，嚴重侵害</w:t>
      </w:r>
      <w:r w:rsidR="009A4155" w:rsidRPr="007849A5">
        <w:rPr>
          <w:rFonts w:hint="eastAsia"/>
          <w:b/>
          <w:color w:val="000000" w:themeColor="text1"/>
        </w:rPr>
        <w:t>本案</w:t>
      </w:r>
      <w:r w:rsidR="00017E78" w:rsidRPr="007849A5">
        <w:rPr>
          <w:rFonts w:hint="eastAsia"/>
          <w:b/>
          <w:color w:val="000000" w:themeColor="text1"/>
        </w:rPr>
        <w:t>被告</w:t>
      </w:r>
      <w:r w:rsidR="00AD2068" w:rsidRPr="007849A5">
        <w:rPr>
          <w:rFonts w:hint="eastAsia"/>
          <w:b/>
          <w:color w:val="000000" w:themeColor="text1"/>
        </w:rPr>
        <w:t>之</w:t>
      </w:r>
      <w:r w:rsidRPr="007849A5">
        <w:rPr>
          <w:b/>
          <w:color w:val="000000" w:themeColor="text1"/>
        </w:rPr>
        <w:t>訴訟防禦權。法務部等相關權責機關</w:t>
      </w:r>
      <w:r w:rsidR="00D66789" w:rsidRPr="007849A5">
        <w:rPr>
          <w:rFonts w:hint="eastAsia"/>
          <w:b/>
          <w:color w:val="000000" w:themeColor="text1"/>
        </w:rPr>
        <w:t>允</w:t>
      </w:r>
      <w:r w:rsidRPr="007849A5">
        <w:rPr>
          <w:b/>
          <w:color w:val="000000" w:themeColor="text1"/>
        </w:rPr>
        <w:t>應</w:t>
      </w:r>
      <w:r w:rsidR="00D66789" w:rsidRPr="007849A5">
        <w:rPr>
          <w:rFonts w:hint="eastAsia"/>
          <w:b/>
          <w:color w:val="000000" w:themeColor="text1"/>
        </w:rPr>
        <w:t>審慎研議如何</w:t>
      </w:r>
      <w:r w:rsidRPr="007849A5">
        <w:rPr>
          <w:b/>
          <w:color w:val="000000" w:themeColor="text1"/>
        </w:rPr>
        <w:t>建立</w:t>
      </w:r>
      <w:r w:rsidR="00FD543C" w:rsidRPr="007849A5">
        <w:rPr>
          <w:rFonts w:hint="eastAsia"/>
          <w:b/>
          <w:color w:val="000000" w:themeColor="text1"/>
        </w:rPr>
        <w:t>有</w:t>
      </w:r>
      <w:r w:rsidRPr="007849A5">
        <w:rPr>
          <w:b/>
          <w:color w:val="000000" w:themeColor="text1"/>
        </w:rPr>
        <w:t>效且嚴密之證物保管與移交機制</w:t>
      </w:r>
      <w:r w:rsidR="00E7298D" w:rsidRPr="007849A5">
        <w:rPr>
          <w:b/>
          <w:color w:val="000000" w:themeColor="text1"/>
        </w:rPr>
        <w:t>，以維護司法公信力及落實人權保障</w:t>
      </w:r>
      <w:r w:rsidR="00E7298D" w:rsidRPr="007849A5">
        <w:rPr>
          <w:rFonts w:hint="eastAsia"/>
          <w:b/>
          <w:color w:val="000000" w:themeColor="text1"/>
        </w:rPr>
        <w:t>。</w:t>
      </w:r>
    </w:p>
    <w:p w14:paraId="48F90D71" w14:textId="2669DFA3" w:rsidR="00BA6111" w:rsidRPr="007849A5" w:rsidRDefault="00AD2068" w:rsidP="002C5549">
      <w:pPr>
        <w:pStyle w:val="3"/>
        <w:rPr>
          <w:color w:val="000000" w:themeColor="text1"/>
        </w:rPr>
      </w:pPr>
      <w:r w:rsidRPr="007849A5">
        <w:rPr>
          <w:rFonts w:hint="eastAsia"/>
          <w:color w:val="000000" w:themeColor="text1"/>
        </w:rPr>
        <w:t>按</w:t>
      </w:r>
      <w:r w:rsidR="00BA6111" w:rsidRPr="007849A5">
        <w:rPr>
          <w:rFonts w:hint="eastAsia"/>
          <w:color w:val="000000" w:themeColor="text1"/>
        </w:rPr>
        <w:t>重大刑事案件之司法程序往往歷時長久，國家機關對於客觀證據之長效保存與跨機關銜接，</w:t>
      </w:r>
      <w:r w:rsidR="00726650" w:rsidRPr="007849A5">
        <w:rPr>
          <w:rFonts w:hint="eastAsia"/>
          <w:color w:val="000000" w:themeColor="text1"/>
        </w:rPr>
        <w:t>更</w:t>
      </w:r>
      <w:r w:rsidR="00BA6111" w:rsidRPr="007849A5">
        <w:rPr>
          <w:rFonts w:hint="eastAsia"/>
          <w:color w:val="000000" w:themeColor="text1"/>
        </w:rPr>
        <w:t>應負有</w:t>
      </w:r>
      <w:r w:rsidR="0047290B" w:rsidRPr="007849A5">
        <w:rPr>
          <w:rFonts w:hint="eastAsia"/>
          <w:color w:val="000000" w:themeColor="text1"/>
        </w:rPr>
        <w:t>落實</w:t>
      </w:r>
      <w:r w:rsidR="00BA6111" w:rsidRPr="007849A5">
        <w:rPr>
          <w:rFonts w:hint="eastAsia"/>
          <w:color w:val="000000" w:themeColor="text1"/>
        </w:rPr>
        <w:t>正當法律程序義務，而</w:t>
      </w:r>
      <w:r w:rsidR="00BA6111" w:rsidRPr="007849A5">
        <w:rPr>
          <w:color w:val="000000" w:themeColor="text1"/>
        </w:rPr>
        <w:t>死刑案件作為剝奪人民生命權之極刑，具有絕對之不可逆性，為避免錯誤冤抑，並確保死刑判決之正確</w:t>
      </w:r>
      <w:r w:rsidRPr="007849A5">
        <w:rPr>
          <w:rFonts w:hint="eastAsia"/>
          <w:color w:val="000000" w:themeColor="text1"/>
        </w:rPr>
        <w:t>性</w:t>
      </w:r>
      <w:r w:rsidR="00BA6111" w:rsidRPr="007849A5">
        <w:rPr>
          <w:color w:val="000000" w:themeColor="text1"/>
        </w:rPr>
        <w:t>及正當</w:t>
      </w:r>
      <w:r w:rsidRPr="007849A5">
        <w:rPr>
          <w:rFonts w:hint="eastAsia"/>
          <w:color w:val="000000" w:themeColor="text1"/>
        </w:rPr>
        <w:t>性</w:t>
      </w:r>
      <w:r w:rsidR="00BA6111" w:rsidRPr="007849A5">
        <w:rPr>
          <w:color w:val="000000" w:themeColor="text1"/>
        </w:rPr>
        <w:t>，國家科處死刑之刑事調查、偵查、審判及執行程序，均應踐行最嚴密之正當法律程序。</w:t>
      </w:r>
      <w:r w:rsidRPr="007849A5">
        <w:rPr>
          <w:rFonts w:hint="eastAsia"/>
          <w:color w:val="000000" w:themeColor="text1"/>
        </w:rPr>
        <w:t>於</w:t>
      </w:r>
      <w:r w:rsidR="00BA6111" w:rsidRPr="007849A5">
        <w:rPr>
          <w:color w:val="000000" w:themeColor="text1"/>
        </w:rPr>
        <w:t>重大刑事案件中，若缺乏堅實、客觀科學物證作為補強證據，僅依賴隨時間流逝而可能產生記憶衰退或具虛偽風險之人證（如共同被告自白），極易產生冤錯案之風險。本案發生於78年，</w:t>
      </w:r>
      <w:r w:rsidR="00DC06C1">
        <w:rPr>
          <w:rFonts w:hint="eastAsia"/>
          <w:color w:val="000000" w:themeColor="text1"/>
        </w:rPr>
        <w:t>沈○霖</w:t>
      </w:r>
      <w:r w:rsidR="00BA6111" w:rsidRPr="007849A5">
        <w:rPr>
          <w:color w:val="000000" w:themeColor="text1"/>
        </w:rPr>
        <w:t>於案發後逃亡，遲至</w:t>
      </w:r>
      <w:r w:rsidR="00726650" w:rsidRPr="007849A5">
        <w:rPr>
          <w:rFonts w:hint="eastAsia"/>
          <w:color w:val="000000" w:themeColor="text1"/>
        </w:rPr>
        <w:t>約</w:t>
      </w:r>
      <w:r w:rsidR="00BA6111" w:rsidRPr="007849A5">
        <w:rPr>
          <w:color w:val="000000" w:themeColor="text1"/>
        </w:rPr>
        <w:t>1</w:t>
      </w:r>
      <w:r w:rsidR="0047290B" w:rsidRPr="007849A5">
        <w:rPr>
          <w:rFonts w:hint="eastAsia"/>
          <w:color w:val="000000" w:themeColor="text1"/>
        </w:rPr>
        <w:t>4</w:t>
      </w:r>
      <w:r w:rsidR="00BA6111" w:rsidRPr="007849A5">
        <w:rPr>
          <w:color w:val="000000" w:themeColor="text1"/>
        </w:rPr>
        <w:t>年後之92年始遭警緝獲歸案。自其落網後，案件又經歷多次發回更審，迄至98年最高法院始判決死刑定讞。在長達20年之追訴與審判過程中，司法系統如何在漫長的歲月中，確保</w:t>
      </w:r>
      <w:r w:rsidR="0047290B" w:rsidRPr="007849A5">
        <w:rPr>
          <w:rFonts w:hint="eastAsia"/>
          <w:color w:val="000000" w:themeColor="text1"/>
        </w:rPr>
        <w:t>於案件發生初始，乃至於</w:t>
      </w:r>
      <w:r w:rsidR="00BA6111" w:rsidRPr="007849A5">
        <w:rPr>
          <w:color w:val="000000" w:themeColor="text1"/>
        </w:rPr>
        <w:t>偵查階段所採集之證據</w:t>
      </w:r>
      <w:r w:rsidR="0047290B" w:rsidRPr="007849A5">
        <w:rPr>
          <w:rFonts w:hint="eastAsia"/>
          <w:color w:val="000000" w:themeColor="text1"/>
        </w:rPr>
        <w:t>得以</w:t>
      </w:r>
      <w:r w:rsidR="00BA6111" w:rsidRPr="007849A5">
        <w:rPr>
          <w:color w:val="000000" w:themeColor="text1"/>
        </w:rPr>
        <w:t>完好無缺</w:t>
      </w:r>
      <w:r w:rsidR="0047290B" w:rsidRPr="007849A5">
        <w:rPr>
          <w:rFonts w:hint="eastAsia"/>
          <w:color w:val="000000" w:themeColor="text1"/>
        </w:rPr>
        <w:t>的</w:t>
      </w:r>
      <w:r w:rsidR="00BA6111" w:rsidRPr="007849A5">
        <w:rPr>
          <w:color w:val="000000" w:themeColor="text1"/>
        </w:rPr>
        <w:t>保全至審判終結，甚至保留至判決確定後供非常救濟程</w:t>
      </w:r>
      <w:r w:rsidR="00BA6111" w:rsidRPr="007849A5">
        <w:rPr>
          <w:color w:val="000000" w:themeColor="text1"/>
        </w:rPr>
        <w:lastRenderedPageBreak/>
        <w:t>序檢驗，實為維繫司法正義之關鍵。</w:t>
      </w:r>
    </w:p>
    <w:p w14:paraId="4FB91D5A" w14:textId="3FACCA61" w:rsidR="00BA6111" w:rsidRPr="007849A5" w:rsidRDefault="00BA6111" w:rsidP="00BA6111">
      <w:pPr>
        <w:pStyle w:val="3"/>
        <w:rPr>
          <w:color w:val="000000" w:themeColor="text1"/>
        </w:rPr>
      </w:pPr>
      <w:r w:rsidRPr="007849A5">
        <w:rPr>
          <w:rFonts w:hint="eastAsia"/>
          <w:color w:val="000000" w:themeColor="text1"/>
        </w:rPr>
        <w:t>本案偵查、審判至執行程序之移交銜接過程中，發生實體物證遺失、檔案銷毀與保存不當等嚴重違失，致使科學證據「保管鏈」</w:t>
      </w:r>
      <w:r w:rsidR="0046251C">
        <w:rPr>
          <w:rFonts w:hint="eastAsia"/>
          <w:color w:val="000000" w:themeColor="text1"/>
        </w:rPr>
        <w:t>澈底</w:t>
      </w:r>
      <w:r w:rsidRPr="007849A5">
        <w:rPr>
          <w:rFonts w:hint="eastAsia"/>
          <w:color w:val="000000" w:themeColor="text1"/>
        </w:rPr>
        <w:t>斷裂</w:t>
      </w:r>
      <w:r w:rsidR="00AD2068" w:rsidRPr="007849A5">
        <w:rPr>
          <w:rFonts w:hint="eastAsia"/>
          <w:color w:val="000000" w:themeColor="text1"/>
        </w:rPr>
        <w:t>。</w:t>
      </w:r>
    </w:p>
    <w:p w14:paraId="1F165F00" w14:textId="4917D77D" w:rsidR="00707EDA" w:rsidRPr="007849A5" w:rsidRDefault="00707EDA" w:rsidP="00707EDA">
      <w:pPr>
        <w:pStyle w:val="4"/>
        <w:rPr>
          <w:color w:val="000000" w:themeColor="text1"/>
        </w:rPr>
      </w:pPr>
      <w:r w:rsidRPr="007849A5">
        <w:rPr>
          <w:color w:val="000000" w:themeColor="text1"/>
        </w:rPr>
        <w:t>本案據以論罪之關鍵實體證物，包含作為兇器之角木1支及衣物3件等物品，於同案共犯黃啓雄判決確定送執行之際，經臺</w:t>
      </w:r>
      <w:r w:rsidR="00AD2068" w:rsidRPr="007849A5">
        <w:rPr>
          <w:rFonts w:hint="eastAsia"/>
          <w:color w:val="000000" w:themeColor="text1"/>
        </w:rPr>
        <w:t>中</w:t>
      </w:r>
      <w:r w:rsidRPr="007849A5">
        <w:rPr>
          <w:color w:val="000000" w:themeColor="text1"/>
        </w:rPr>
        <w:t>高</w:t>
      </w:r>
      <w:r w:rsidR="00AD2068" w:rsidRPr="007849A5">
        <w:rPr>
          <w:rFonts w:hint="eastAsia"/>
          <w:color w:val="000000" w:themeColor="text1"/>
        </w:rPr>
        <w:t>分</w:t>
      </w:r>
      <w:r w:rsidRPr="007849A5">
        <w:rPr>
          <w:color w:val="000000" w:themeColor="text1"/>
        </w:rPr>
        <w:t>檢於82年間託運至彰化地檢署執行，然於託運過程中竟不慎遺失，且因時間久遠，致無法查明該物品之下落。此等國家機關在偵審及執行程序交接證物時的重大行政疏失，導致法院與被告皆永久喪失透過現代DNA科學技術，重新檢驗兇器或衣物上是否確有被告生物跡證之機會。</w:t>
      </w:r>
    </w:p>
    <w:p w14:paraId="0AB0719D" w14:textId="2FB3BD21" w:rsidR="00707EDA" w:rsidRPr="007849A5" w:rsidRDefault="00707EDA" w:rsidP="00707EDA">
      <w:pPr>
        <w:pStyle w:val="4"/>
        <w:rPr>
          <w:color w:val="000000" w:themeColor="text1"/>
        </w:rPr>
      </w:pPr>
      <w:r w:rsidRPr="007849A5">
        <w:rPr>
          <w:color w:val="000000" w:themeColor="text1"/>
        </w:rPr>
        <w:t>警方原稱於現場採集到10枚指紋，其中1枚「膠片指紋」經鑑定與</w:t>
      </w:r>
      <w:r w:rsidR="00DC06C1">
        <w:rPr>
          <w:rFonts w:hint="eastAsia"/>
          <w:color w:val="000000" w:themeColor="text1"/>
        </w:rPr>
        <w:t>沈○霖</w:t>
      </w:r>
      <w:r w:rsidRPr="007849A5">
        <w:rPr>
          <w:color w:val="000000" w:themeColor="text1"/>
        </w:rPr>
        <w:t>相符。然而，該枚關鍵膠片指紋於80年及95年法院再次函請刑事局鑑定時，竟未隨同附送且離奇下落不明。此外，攸關該枚指紋究竟於命案現場何處採集之關鍵檔案，彰化縣警察局二林分局竟</w:t>
      </w:r>
      <w:r w:rsidR="00B00B53" w:rsidRPr="007849A5">
        <w:rPr>
          <w:color w:val="000000" w:themeColor="text1"/>
        </w:rPr>
        <w:t>函復</w:t>
      </w:r>
      <w:r w:rsidRPr="007849A5">
        <w:rPr>
          <w:color w:val="000000" w:themeColor="text1"/>
        </w:rPr>
        <w:t>稱</w:t>
      </w:r>
      <w:r w:rsidR="0047290B" w:rsidRPr="007849A5">
        <w:rPr>
          <w:rFonts w:hint="eastAsia"/>
          <w:color w:val="000000" w:themeColor="text1"/>
        </w:rPr>
        <w:t>，</w:t>
      </w:r>
      <w:r w:rsidRPr="007849A5">
        <w:rPr>
          <w:color w:val="000000" w:themeColor="text1"/>
        </w:rPr>
        <w:t>因年限已久，相關卷宗檔案已逾公文保存期限且均已銷毀，致無法提供</w:t>
      </w:r>
      <w:r w:rsidR="0047290B" w:rsidRPr="007849A5">
        <w:rPr>
          <w:rFonts w:hint="eastAsia"/>
          <w:color w:val="000000" w:themeColor="text1"/>
        </w:rPr>
        <w:t>云云</w:t>
      </w:r>
      <w:r w:rsidRPr="007849A5">
        <w:rPr>
          <w:color w:val="000000" w:themeColor="text1"/>
        </w:rPr>
        <w:t>。在司法程序尚未終結之重大死刑案件中，警察機關竟依一般公文年限逕行銷毀採證紀錄，顯見早期機關在證據保管與案件審理進度之橫向聯繫上嚴重脫節。</w:t>
      </w:r>
    </w:p>
    <w:p w14:paraId="782549B7" w14:textId="381B26F6" w:rsidR="00707EDA" w:rsidRPr="007849A5" w:rsidRDefault="00707EDA" w:rsidP="00707EDA">
      <w:pPr>
        <w:pStyle w:val="4"/>
        <w:rPr>
          <w:color w:val="000000" w:themeColor="text1"/>
        </w:rPr>
      </w:pPr>
      <w:r w:rsidRPr="007849A5">
        <w:rPr>
          <w:color w:val="000000" w:themeColor="text1"/>
        </w:rPr>
        <w:t>本案</w:t>
      </w:r>
      <w:r w:rsidR="00A1019E" w:rsidRPr="007849A5">
        <w:rPr>
          <w:rFonts w:hint="eastAsia"/>
          <w:color w:val="000000" w:themeColor="text1"/>
        </w:rPr>
        <w:t>為</w:t>
      </w:r>
      <w:r w:rsidRPr="007849A5">
        <w:rPr>
          <w:rFonts w:hint="eastAsia"/>
          <w:color w:val="000000" w:themeColor="text1"/>
        </w:rPr>
        <w:t>性侵殺人案，理應存在加害者之生物跡證。然法醫於相驗時，竟將被害人之子宮、陰道等關鍵器官全數放入福馬林液體中保存，導致細胞遭破壞，無法化驗精液反應或進行DNA比對</w:t>
      </w:r>
      <w:r w:rsidR="004C0FEC" w:rsidRPr="007849A5">
        <w:rPr>
          <w:rFonts w:hint="eastAsia"/>
          <w:color w:val="000000" w:themeColor="text1"/>
        </w:rPr>
        <w:t>，</w:t>
      </w:r>
      <w:r w:rsidRPr="007849A5">
        <w:rPr>
          <w:rFonts w:hint="eastAsia"/>
          <w:color w:val="000000" w:themeColor="text1"/>
        </w:rPr>
        <w:t>此一最初相驗階段的處理</w:t>
      </w:r>
      <w:r w:rsidR="00E3063A" w:rsidRPr="007849A5">
        <w:rPr>
          <w:rFonts w:hint="eastAsia"/>
          <w:color w:val="000000" w:themeColor="text1"/>
        </w:rPr>
        <w:t>顯有不</w:t>
      </w:r>
      <w:r w:rsidRPr="007849A5">
        <w:rPr>
          <w:rFonts w:hint="eastAsia"/>
          <w:color w:val="000000" w:themeColor="text1"/>
        </w:rPr>
        <w:t>當。</w:t>
      </w:r>
    </w:p>
    <w:p w14:paraId="3D15159D" w14:textId="4FE69157" w:rsidR="00707EDA" w:rsidRPr="007849A5" w:rsidRDefault="00707EDA" w:rsidP="00707EDA">
      <w:pPr>
        <w:pStyle w:val="3"/>
        <w:rPr>
          <w:color w:val="000000" w:themeColor="text1"/>
        </w:rPr>
      </w:pPr>
      <w:r w:rsidRPr="007849A5">
        <w:rPr>
          <w:rFonts w:hint="eastAsia"/>
          <w:color w:val="000000" w:themeColor="text1"/>
        </w:rPr>
        <w:t>法務部允應深切檢討並重構偵審與執行程序間之證</w:t>
      </w:r>
      <w:r w:rsidRPr="007849A5">
        <w:rPr>
          <w:rFonts w:hint="eastAsia"/>
          <w:color w:val="000000" w:themeColor="text1"/>
        </w:rPr>
        <w:lastRenderedPageBreak/>
        <w:t>物保存與銜接機制</w:t>
      </w:r>
      <w:r w:rsidR="00E3063A" w:rsidRPr="007849A5">
        <w:rPr>
          <w:rFonts w:hint="eastAsia"/>
          <w:color w:val="000000" w:themeColor="text1"/>
        </w:rPr>
        <w:t>：</w:t>
      </w:r>
    </w:p>
    <w:p w14:paraId="38CCC8BE" w14:textId="046A8281" w:rsidR="00707EDA" w:rsidRPr="007849A5" w:rsidRDefault="008679CF" w:rsidP="00707EDA">
      <w:pPr>
        <w:pStyle w:val="4"/>
        <w:rPr>
          <w:color w:val="000000" w:themeColor="text1"/>
        </w:rPr>
      </w:pPr>
      <w:r w:rsidRPr="007849A5">
        <w:rPr>
          <w:rFonts w:hint="eastAsia"/>
          <w:color w:val="000000" w:themeColor="text1"/>
        </w:rPr>
        <w:t>按</w:t>
      </w:r>
      <w:r w:rsidR="00707EDA" w:rsidRPr="007849A5">
        <w:rPr>
          <w:color w:val="000000" w:themeColor="text1"/>
        </w:rPr>
        <w:t>證據「保管鏈」</w:t>
      </w:r>
      <w:r w:rsidRPr="007849A5">
        <w:rPr>
          <w:rFonts w:hint="eastAsia"/>
          <w:color w:val="000000" w:themeColor="text1"/>
        </w:rPr>
        <w:t>係</w:t>
      </w:r>
      <w:r w:rsidR="00707EDA" w:rsidRPr="007849A5">
        <w:rPr>
          <w:color w:val="000000" w:themeColor="text1"/>
        </w:rPr>
        <w:t>確保物理證據同一性與真實性的絕對基礎。當國家執法與司法機關因自身過失與行政怠惰，遺失關鍵實體物證，且銷毀採證檔案，實質上係將國家機關保存證據不力、遺失物證之風險與不利益全部轉嫁由被告承擔，此舉嚴重掏空憲法所保障之訴訟防禦權與公平審判原則。</w:t>
      </w:r>
    </w:p>
    <w:p w14:paraId="4DD09CA4" w14:textId="4B577C40" w:rsidR="00707EDA" w:rsidRPr="007849A5" w:rsidRDefault="00707EDA" w:rsidP="00707EDA">
      <w:pPr>
        <w:pStyle w:val="4"/>
        <w:rPr>
          <w:color w:val="000000" w:themeColor="text1"/>
        </w:rPr>
      </w:pPr>
      <w:r w:rsidRPr="007849A5">
        <w:rPr>
          <w:color w:val="000000" w:themeColor="text1"/>
        </w:rPr>
        <w:t>法務部作為各級檢察機關之最高主管機關，對於扣案證物，從警</w:t>
      </w:r>
      <w:r w:rsidR="0047290B" w:rsidRPr="007849A5">
        <w:rPr>
          <w:rFonts w:hint="eastAsia"/>
          <w:color w:val="000000" w:themeColor="text1"/>
        </w:rPr>
        <w:t>方</w:t>
      </w:r>
      <w:r w:rsidRPr="007849A5">
        <w:rPr>
          <w:color w:val="000000" w:themeColor="text1"/>
        </w:rPr>
        <w:t>採證、地</w:t>
      </w:r>
      <w:r w:rsidR="001F4241" w:rsidRPr="007849A5">
        <w:rPr>
          <w:rFonts w:hint="eastAsia"/>
          <w:color w:val="000000" w:themeColor="text1"/>
        </w:rPr>
        <w:t>方</w:t>
      </w:r>
      <w:r w:rsidRPr="007849A5">
        <w:rPr>
          <w:color w:val="000000" w:themeColor="text1"/>
        </w:rPr>
        <w:t>檢</w:t>
      </w:r>
      <w:r w:rsidR="001F4241" w:rsidRPr="007849A5">
        <w:rPr>
          <w:rFonts w:hint="eastAsia"/>
          <w:color w:val="000000" w:themeColor="text1"/>
        </w:rPr>
        <w:t>察</w:t>
      </w:r>
      <w:r w:rsidRPr="007849A5">
        <w:rPr>
          <w:color w:val="000000" w:themeColor="text1"/>
        </w:rPr>
        <w:t>署偵查、法院歷審審判，乃至於同案其他共犯先予判決定讞而移交執行之各個環節，理應具備嚴謹、獨立且長</w:t>
      </w:r>
      <w:r w:rsidR="0047290B" w:rsidRPr="007849A5">
        <w:rPr>
          <w:rFonts w:hint="eastAsia"/>
          <w:color w:val="000000" w:themeColor="text1"/>
        </w:rPr>
        <w:t>期有</w:t>
      </w:r>
      <w:r w:rsidRPr="007849A5">
        <w:rPr>
          <w:color w:val="000000" w:themeColor="text1"/>
        </w:rPr>
        <w:t>效之跨機關移轉與點交流程</w:t>
      </w:r>
      <w:r w:rsidR="001F4241" w:rsidRPr="007849A5">
        <w:rPr>
          <w:rFonts w:hint="eastAsia"/>
          <w:color w:val="000000" w:themeColor="text1"/>
        </w:rPr>
        <w:t>，並</w:t>
      </w:r>
      <w:r w:rsidR="00E7298D" w:rsidRPr="007849A5">
        <w:rPr>
          <w:rFonts w:hint="eastAsia"/>
          <w:color w:val="000000" w:themeColor="text1"/>
        </w:rPr>
        <w:t>應針對證物保管、借提與跨機關移交機制進行全面盤點，建立更為嚴密之現代化追蹤管控（如數位化憑證與永久保存機制），並協調警政署檢討採證卷宗之保存期限規定，防杜類此因「時間久遠」、「公文逾期」或「託運遺失」致使科學證據保管鏈斷裂之荒謬情事再度發生，以落實最嚴密正當法律程序之要求。</w:t>
      </w:r>
    </w:p>
    <w:p w14:paraId="597938A1" w14:textId="4A536402" w:rsidR="00E7298D" w:rsidRPr="007849A5" w:rsidRDefault="00E7298D" w:rsidP="00E7298D">
      <w:pPr>
        <w:pStyle w:val="3"/>
        <w:rPr>
          <w:color w:val="000000" w:themeColor="text1"/>
        </w:rPr>
      </w:pPr>
      <w:r w:rsidRPr="007849A5">
        <w:rPr>
          <w:rFonts w:hint="eastAsia"/>
          <w:color w:val="000000" w:themeColor="text1"/>
        </w:rPr>
        <w:t>綜上，</w:t>
      </w:r>
      <w:r w:rsidR="008679CF" w:rsidRPr="007849A5">
        <w:rPr>
          <w:rFonts w:hint="eastAsia"/>
          <w:color w:val="000000" w:themeColor="text1"/>
        </w:rPr>
        <w:t>本案屬面臨極刑之重大刑事案件，因被告逃亡及歷審訴訟致司法程序歷時甚長。然國家機關於偵查、審判及後續執行程序間之證物保存與銜接機制存有疏漏，關鍵證物於機關移交時遺失，且</w:t>
      </w:r>
      <w:r w:rsidR="001F4241" w:rsidRPr="007849A5">
        <w:rPr>
          <w:rFonts w:hint="eastAsia"/>
          <w:color w:val="000000" w:themeColor="text1"/>
        </w:rPr>
        <w:t>採集指紋之關鍵檔案</w:t>
      </w:r>
      <w:r w:rsidR="0046251C">
        <w:rPr>
          <w:rFonts w:hint="eastAsia"/>
          <w:color w:val="000000" w:themeColor="text1"/>
        </w:rPr>
        <w:t>，</w:t>
      </w:r>
      <w:r w:rsidR="001F4241" w:rsidRPr="007849A5">
        <w:rPr>
          <w:rFonts w:hint="eastAsia"/>
          <w:color w:val="000000" w:themeColor="text1"/>
        </w:rPr>
        <w:t>警察機關竟依一般公文年限逕行銷毀採證紀錄</w:t>
      </w:r>
      <w:r w:rsidR="008679CF" w:rsidRPr="007849A5">
        <w:rPr>
          <w:rFonts w:hint="eastAsia"/>
          <w:color w:val="000000" w:themeColor="text1"/>
        </w:rPr>
        <w:t>，客觀科學證據之「保管鏈」</w:t>
      </w:r>
      <w:r w:rsidR="0046251C">
        <w:rPr>
          <w:rFonts w:hint="eastAsia"/>
          <w:color w:val="000000" w:themeColor="text1"/>
        </w:rPr>
        <w:t>澈底</w:t>
      </w:r>
      <w:r w:rsidR="008679CF" w:rsidRPr="007849A5">
        <w:rPr>
          <w:rFonts w:hint="eastAsia"/>
          <w:color w:val="000000" w:themeColor="text1"/>
        </w:rPr>
        <w:t>斷裂，嚴重侵害</w:t>
      </w:r>
      <w:r w:rsidR="009A4155" w:rsidRPr="007849A5">
        <w:rPr>
          <w:rFonts w:hint="eastAsia"/>
          <w:color w:val="000000" w:themeColor="text1"/>
        </w:rPr>
        <w:t>本案</w:t>
      </w:r>
      <w:r w:rsidR="001F4241" w:rsidRPr="007849A5">
        <w:rPr>
          <w:rFonts w:hint="eastAsia"/>
          <w:color w:val="000000" w:themeColor="text1"/>
        </w:rPr>
        <w:t>被告</w:t>
      </w:r>
      <w:r w:rsidR="008679CF" w:rsidRPr="007849A5">
        <w:rPr>
          <w:rFonts w:hint="eastAsia"/>
          <w:color w:val="000000" w:themeColor="text1"/>
        </w:rPr>
        <w:t>之訴訟防禦權。法務部等相關權責機關</w:t>
      </w:r>
      <w:r w:rsidR="001F4241" w:rsidRPr="007849A5">
        <w:rPr>
          <w:rFonts w:hint="eastAsia"/>
          <w:color w:val="000000" w:themeColor="text1"/>
        </w:rPr>
        <w:t>允應審慎研議如何建立有效且嚴密之證物保管與移交機制，以維護司法公信力及落實人權保障。</w:t>
      </w:r>
    </w:p>
    <w:p w14:paraId="121D3106" w14:textId="1C72DAB4" w:rsidR="00E25849" w:rsidRPr="007849A5" w:rsidRDefault="00E25849" w:rsidP="004E05A1">
      <w:pPr>
        <w:pStyle w:val="1"/>
        <w:ind w:left="2380" w:hanging="2380"/>
        <w:rPr>
          <w:color w:val="000000" w:themeColor="text1"/>
        </w:rPr>
      </w:pPr>
      <w:bookmarkStart w:id="56" w:name="_Toc524895648"/>
      <w:bookmarkStart w:id="57" w:name="_Toc524896194"/>
      <w:bookmarkStart w:id="58" w:name="_Toc524896224"/>
      <w:bookmarkStart w:id="59" w:name="_Toc524902734"/>
      <w:bookmarkStart w:id="60" w:name="_Toc525066148"/>
      <w:bookmarkStart w:id="61" w:name="_Toc525070839"/>
      <w:bookmarkStart w:id="62" w:name="_Toc525938379"/>
      <w:bookmarkStart w:id="63" w:name="_Toc525939227"/>
      <w:bookmarkStart w:id="64" w:name="_Toc525939732"/>
      <w:bookmarkStart w:id="65" w:name="_Toc529218272"/>
      <w:bookmarkEnd w:id="49"/>
      <w:bookmarkEnd w:id="50"/>
      <w:bookmarkEnd w:id="51"/>
      <w:r w:rsidRPr="007849A5">
        <w:rPr>
          <w:color w:val="000000" w:themeColor="text1"/>
        </w:rPr>
        <w:br w:type="page"/>
      </w:r>
      <w:bookmarkStart w:id="66" w:name="_Toc529222689"/>
      <w:bookmarkStart w:id="67" w:name="_Toc529223111"/>
      <w:bookmarkStart w:id="68" w:name="_Toc529223862"/>
      <w:bookmarkStart w:id="69" w:name="_Toc529228265"/>
      <w:bookmarkStart w:id="70" w:name="_Toc2400395"/>
      <w:bookmarkStart w:id="71" w:name="_Toc4316189"/>
      <w:bookmarkStart w:id="72" w:name="_Toc4473330"/>
      <w:bookmarkStart w:id="73" w:name="_Toc69556897"/>
      <w:bookmarkStart w:id="74" w:name="_Toc69556946"/>
      <w:bookmarkStart w:id="75" w:name="_Toc69609820"/>
      <w:bookmarkStart w:id="76" w:name="_Toc70241816"/>
      <w:bookmarkStart w:id="77" w:name="_Toc70242205"/>
      <w:bookmarkStart w:id="78" w:name="_Toc421794875"/>
      <w:bookmarkStart w:id="79" w:name="_Toc422834160"/>
      <w:r w:rsidRPr="007849A5">
        <w:rPr>
          <w:rFonts w:hint="eastAsia"/>
          <w:color w:val="000000" w:themeColor="text1"/>
        </w:rPr>
        <w:lastRenderedPageBreak/>
        <w:t>處理辦法</w:t>
      </w:r>
      <w:r w:rsidRPr="007849A5">
        <w:rPr>
          <w:rFonts w:hint="eastAsia"/>
          <w:color w:val="000000" w:themeColor="text1"/>
          <w:sz w:val="36"/>
          <w:szCs w:val="36"/>
        </w:rPr>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04A6F52E" w14:textId="6D1E9AF9" w:rsidR="001956C0" w:rsidRPr="007849A5" w:rsidRDefault="001956C0">
      <w:pPr>
        <w:pStyle w:val="2"/>
        <w:rPr>
          <w:color w:val="000000" w:themeColor="text1"/>
        </w:rPr>
      </w:pPr>
      <w:bookmarkStart w:id="80" w:name="_Toc524895649"/>
      <w:bookmarkStart w:id="81" w:name="_Toc524896195"/>
      <w:bookmarkStart w:id="82" w:name="_Toc524896225"/>
      <w:bookmarkStart w:id="83" w:name="_Toc2400396"/>
      <w:bookmarkStart w:id="84" w:name="_Toc4316190"/>
      <w:bookmarkStart w:id="85" w:name="_Toc4473331"/>
      <w:bookmarkStart w:id="86" w:name="_Toc69556898"/>
      <w:bookmarkStart w:id="87" w:name="_Toc69556947"/>
      <w:bookmarkStart w:id="88" w:name="_Toc69609821"/>
      <w:bookmarkStart w:id="89" w:name="_Toc70241817"/>
      <w:bookmarkStart w:id="90" w:name="_Toc70242206"/>
      <w:bookmarkStart w:id="91" w:name="_Toc421794877"/>
      <w:bookmarkStart w:id="92" w:name="_Toc421795443"/>
      <w:bookmarkStart w:id="93" w:name="_Toc421796024"/>
      <w:bookmarkStart w:id="94" w:name="_Toc422728959"/>
      <w:bookmarkStart w:id="95" w:name="_Toc422834162"/>
      <w:bookmarkStart w:id="96" w:name="_Toc524902735"/>
      <w:bookmarkStart w:id="97" w:name="_Toc525066149"/>
      <w:bookmarkStart w:id="98" w:name="_Toc525070840"/>
      <w:bookmarkStart w:id="99" w:name="_Toc525938380"/>
      <w:bookmarkStart w:id="100" w:name="_Toc525939228"/>
      <w:bookmarkStart w:id="101" w:name="_Toc525939733"/>
      <w:bookmarkStart w:id="102" w:name="_Toc529218273"/>
      <w:bookmarkStart w:id="103" w:name="_Toc529222690"/>
      <w:bookmarkStart w:id="104" w:name="_Toc529223112"/>
      <w:bookmarkStart w:id="105" w:name="_Toc529223863"/>
      <w:bookmarkStart w:id="106" w:name="_Toc529228266"/>
      <w:bookmarkEnd w:id="80"/>
      <w:bookmarkEnd w:id="81"/>
      <w:bookmarkEnd w:id="82"/>
      <w:r w:rsidRPr="007849A5">
        <w:rPr>
          <w:rFonts w:hint="eastAsia"/>
          <w:color w:val="000000" w:themeColor="text1"/>
        </w:rPr>
        <w:t>調查意見一至四，建議函請法務部轉最高檢察署檢察總長研提非常上訴。</w:t>
      </w:r>
    </w:p>
    <w:p w14:paraId="22A3FFDB" w14:textId="60AAF296" w:rsidR="00A8552D" w:rsidRPr="007849A5" w:rsidRDefault="00A8552D">
      <w:pPr>
        <w:pStyle w:val="2"/>
        <w:rPr>
          <w:color w:val="000000" w:themeColor="text1"/>
        </w:rPr>
      </w:pPr>
      <w:r w:rsidRPr="007849A5">
        <w:rPr>
          <w:rFonts w:hint="eastAsia"/>
          <w:color w:val="000000" w:themeColor="text1"/>
        </w:rPr>
        <w:t>調查意見一至四，移請本院國家人權委員會參處。</w:t>
      </w:r>
    </w:p>
    <w:p w14:paraId="4C37E66C" w14:textId="42BB3318" w:rsidR="00E25849" w:rsidRPr="007849A5" w:rsidRDefault="00E25849">
      <w:pPr>
        <w:pStyle w:val="2"/>
        <w:rPr>
          <w:color w:val="000000" w:themeColor="text1"/>
        </w:rPr>
      </w:pPr>
      <w:r w:rsidRPr="007849A5">
        <w:rPr>
          <w:rFonts w:hint="eastAsia"/>
          <w:color w:val="000000" w:themeColor="text1"/>
        </w:rPr>
        <w:t>調查意見</w:t>
      </w:r>
      <w:r w:rsidR="001956C0" w:rsidRPr="007849A5">
        <w:rPr>
          <w:rFonts w:hint="eastAsia"/>
          <w:color w:val="000000" w:themeColor="text1"/>
        </w:rPr>
        <w:t>五</w:t>
      </w:r>
      <w:r w:rsidRPr="007849A5">
        <w:rPr>
          <w:rFonts w:hint="eastAsia"/>
          <w:color w:val="000000" w:themeColor="text1"/>
        </w:rPr>
        <w:t>，函請</w:t>
      </w:r>
      <w:r w:rsidR="001956C0" w:rsidRPr="007849A5">
        <w:rPr>
          <w:rFonts w:hint="eastAsia"/>
          <w:color w:val="000000" w:themeColor="text1"/>
        </w:rPr>
        <w:t>法務部</w:t>
      </w:r>
      <w:r w:rsidR="003438D8" w:rsidRPr="007849A5">
        <w:rPr>
          <w:rFonts w:hint="eastAsia"/>
          <w:color w:val="000000" w:themeColor="text1"/>
        </w:rPr>
        <w:t>、內政部警政署</w:t>
      </w:r>
      <w:r w:rsidRPr="007849A5">
        <w:rPr>
          <w:rFonts w:hint="eastAsia"/>
          <w:color w:val="000000" w:themeColor="text1"/>
        </w:rPr>
        <w:t>檢討改進見復。</w:t>
      </w:r>
      <w:bookmarkEnd w:id="83"/>
      <w:bookmarkEnd w:id="84"/>
      <w:bookmarkEnd w:id="85"/>
      <w:bookmarkEnd w:id="86"/>
      <w:bookmarkEnd w:id="87"/>
      <w:bookmarkEnd w:id="88"/>
      <w:bookmarkEnd w:id="89"/>
      <w:bookmarkEnd w:id="90"/>
      <w:bookmarkEnd w:id="91"/>
      <w:bookmarkEnd w:id="92"/>
      <w:bookmarkEnd w:id="93"/>
      <w:bookmarkEnd w:id="94"/>
      <w:bookmarkEnd w:id="95"/>
    </w:p>
    <w:p w14:paraId="253CBB14" w14:textId="4E192022" w:rsidR="00560DDA" w:rsidRPr="007849A5" w:rsidRDefault="00560DDA" w:rsidP="00560DDA">
      <w:pPr>
        <w:pStyle w:val="2"/>
        <w:rPr>
          <w:color w:val="000000" w:themeColor="text1"/>
        </w:rPr>
      </w:pPr>
      <w:bookmarkStart w:id="107" w:name="_Toc70241819"/>
      <w:bookmarkStart w:id="108" w:name="_Toc70242208"/>
      <w:bookmarkStart w:id="109" w:name="_Toc421794878"/>
      <w:bookmarkStart w:id="110" w:name="_Toc421795444"/>
      <w:bookmarkStart w:id="111" w:name="_Toc421796025"/>
      <w:bookmarkStart w:id="112" w:name="_Toc422728960"/>
      <w:bookmarkStart w:id="113" w:name="_Toc422834163"/>
      <w:bookmarkStart w:id="114" w:name="_Toc70241818"/>
      <w:bookmarkStart w:id="115" w:name="_Toc70242207"/>
      <w:r w:rsidRPr="007849A5">
        <w:rPr>
          <w:rFonts w:hint="eastAsia"/>
          <w:color w:val="000000" w:themeColor="text1"/>
        </w:rPr>
        <w:t>調查意見，函復陳訴人。</w:t>
      </w:r>
      <w:bookmarkEnd w:id="107"/>
      <w:bookmarkEnd w:id="108"/>
      <w:bookmarkEnd w:id="109"/>
      <w:bookmarkEnd w:id="110"/>
      <w:bookmarkEnd w:id="111"/>
      <w:bookmarkEnd w:id="112"/>
      <w:bookmarkEnd w:id="113"/>
    </w:p>
    <w:p w14:paraId="6F7778CC" w14:textId="793F6E3C" w:rsidR="00560DDA" w:rsidRPr="007849A5" w:rsidRDefault="00843D0F" w:rsidP="009A429D">
      <w:pPr>
        <w:pStyle w:val="2"/>
        <w:rPr>
          <w:color w:val="000000" w:themeColor="text1"/>
        </w:rPr>
      </w:pPr>
      <w:bookmarkStart w:id="116" w:name="_Toc69556899"/>
      <w:bookmarkStart w:id="117" w:name="_Toc69556948"/>
      <w:bookmarkStart w:id="118" w:name="_Toc69609822"/>
      <w:bookmarkEnd w:id="114"/>
      <w:bookmarkEnd w:id="115"/>
      <w:r w:rsidRPr="007849A5">
        <w:rPr>
          <w:rFonts w:hint="eastAsia"/>
          <w:color w:val="000000" w:themeColor="text1"/>
        </w:rPr>
        <w:tab/>
      </w:r>
      <w:bookmarkStart w:id="119" w:name="_Toc2400397"/>
      <w:bookmarkStart w:id="120" w:name="_Toc4316191"/>
      <w:bookmarkStart w:id="121" w:name="_Toc4473332"/>
      <w:bookmarkStart w:id="122" w:name="_Toc69556901"/>
      <w:bookmarkStart w:id="123" w:name="_Toc69556950"/>
      <w:bookmarkStart w:id="124" w:name="_Toc69609824"/>
      <w:bookmarkStart w:id="125" w:name="_Toc70241822"/>
      <w:bookmarkStart w:id="126" w:name="_Toc70242211"/>
      <w:bookmarkStart w:id="127" w:name="_Toc421794881"/>
      <w:bookmarkStart w:id="128" w:name="_Toc421795447"/>
      <w:bookmarkStart w:id="129" w:name="_Toc421796028"/>
      <w:bookmarkStart w:id="130" w:name="_Toc422728963"/>
      <w:bookmarkStart w:id="131" w:name="_Toc422834166"/>
      <w:bookmarkEnd w:id="96"/>
      <w:bookmarkEnd w:id="97"/>
      <w:bookmarkEnd w:id="98"/>
      <w:bookmarkEnd w:id="99"/>
      <w:bookmarkEnd w:id="100"/>
      <w:bookmarkEnd w:id="101"/>
      <w:bookmarkEnd w:id="102"/>
      <w:bookmarkEnd w:id="103"/>
      <w:bookmarkEnd w:id="104"/>
      <w:bookmarkEnd w:id="105"/>
      <w:bookmarkEnd w:id="106"/>
      <w:bookmarkEnd w:id="116"/>
      <w:bookmarkEnd w:id="117"/>
      <w:bookmarkEnd w:id="118"/>
      <w:r w:rsidR="001956C0" w:rsidRPr="007849A5">
        <w:rPr>
          <w:rFonts w:hAnsi="Times New Roman" w:hint="eastAsia"/>
          <w:color w:val="000000" w:themeColor="text1"/>
          <w:kern w:val="0"/>
          <w:szCs w:val="32"/>
        </w:rPr>
        <w:t>調查意見</w:t>
      </w:r>
      <w:r w:rsidR="00A1153F" w:rsidRPr="007849A5">
        <w:rPr>
          <w:rFonts w:hAnsi="Times New Roman" w:hint="eastAsia"/>
          <w:color w:val="000000" w:themeColor="text1"/>
          <w:kern w:val="0"/>
          <w:szCs w:val="32"/>
        </w:rPr>
        <w:t>，</w:t>
      </w:r>
      <w:r w:rsidR="001956C0" w:rsidRPr="007849A5">
        <w:rPr>
          <w:rFonts w:hint="eastAsia"/>
          <w:color w:val="000000" w:themeColor="text1"/>
        </w:rPr>
        <w:t>經委員會討論通過</w:t>
      </w:r>
      <w:r w:rsidR="00A8552D" w:rsidRPr="007849A5">
        <w:rPr>
          <w:rFonts w:hint="eastAsia"/>
          <w:color w:val="000000" w:themeColor="text1"/>
        </w:rPr>
        <w:t>並</w:t>
      </w:r>
      <w:r w:rsidR="00A8552D" w:rsidRPr="007849A5">
        <w:rPr>
          <w:rFonts w:hAnsi="Times New Roman" w:hint="eastAsia"/>
          <w:color w:val="000000" w:themeColor="text1"/>
          <w:kern w:val="0"/>
          <w:szCs w:val="32"/>
        </w:rPr>
        <w:t>隱匿個資</w:t>
      </w:r>
      <w:r w:rsidR="001956C0" w:rsidRPr="007849A5">
        <w:rPr>
          <w:rFonts w:hint="eastAsia"/>
          <w:color w:val="000000" w:themeColor="text1"/>
        </w:rPr>
        <w:t>後公布。</w:t>
      </w:r>
    </w:p>
    <w:bookmarkEnd w:id="119"/>
    <w:bookmarkEnd w:id="120"/>
    <w:bookmarkEnd w:id="121"/>
    <w:bookmarkEnd w:id="122"/>
    <w:bookmarkEnd w:id="123"/>
    <w:bookmarkEnd w:id="124"/>
    <w:bookmarkEnd w:id="125"/>
    <w:bookmarkEnd w:id="126"/>
    <w:bookmarkEnd w:id="127"/>
    <w:bookmarkEnd w:id="128"/>
    <w:bookmarkEnd w:id="129"/>
    <w:bookmarkEnd w:id="130"/>
    <w:bookmarkEnd w:id="131"/>
    <w:p w14:paraId="2D3867D9" w14:textId="549644CC" w:rsidR="00770453" w:rsidRPr="007849A5" w:rsidRDefault="00770453" w:rsidP="00CC351F">
      <w:pPr>
        <w:pStyle w:val="aa"/>
        <w:spacing w:before="0" w:after="0"/>
        <w:ind w:leftChars="500" w:left="5192" w:hangingChars="786" w:hanging="3491"/>
        <w:rPr>
          <w:b w:val="0"/>
          <w:bCs/>
          <w:snapToGrid/>
          <w:color w:val="000000" w:themeColor="text1"/>
          <w:spacing w:val="12"/>
          <w:kern w:val="0"/>
          <w:sz w:val="40"/>
        </w:rPr>
      </w:pPr>
    </w:p>
    <w:p w14:paraId="67F4C9E5" w14:textId="47EFA8FC" w:rsidR="00E25849" w:rsidRPr="007849A5" w:rsidRDefault="00E25849" w:rsidP="00770453">
      <w:pPr>
        <w:pStyle w:val="aa"/>
        <w:spacing w:beforeLines="50" w:before="228" w:afterLines="100" w:after="457"/>
        <w:ind w:leftChars="1100" w:left="3742"/>
        <w:rPr>
          <w:b w:val="0"/>
          <w:bCs/>
          <w:snapToGrid/>
          <w:color w:val="000000" w:themeColor="text1"/>
          <w:spacing w:val="12"/>
          <w:kern w:val="0"/>
          <w:sz w:val="40"/>
        </w:rPr>
      </w:pPr>
      <w:r w:rsidRPr="007849A5">
        <w:rPr>
          <w:rFonts w:hint="eastAsia"/>
          <w:b w:val="0"/>
          <w:bCs/>
          <w:snapToGrid/>
          <w:color w:val="000000" w:themeColor="text1"/>
          <w:spacing w:val="12"/>
          <w:kern w:val="0"/>
          <w:sz w:val="40"/>
        </w:rPr>
        <w:t>調查委員：</w:t>
      </w:r>
      <w:r w:rsidR="008B3794">
        <w:rPr>
          <w:rFonts w:hint="eastAsia"/>
          <w:b w:val="0"/>
          <w:bCs/>
          <w:snapToGrid/>
          <w:color w:val="000000" w:themeColor="text1"/>
          <w:spacing w:val="12"/>
          <w:kern w:val="0"/>
          <w:sz w:val="40"/>
        </w:rPr>
        <w:t>高涌誠</w:t>
      </w:r>
    </w:p>
    <w:p w14:paraId="34F23CC5" w14:textId="63D75188" w:rsidR="00770453" w:rsidRPr="007849A5" w:rsidRDefault="00770453" w:rsidP="00770453">
      <w:pPr>
        <w:pStyle w:val="aa"/>
        <w:spacing w:before="0" w:after="0"/>
        <w:ind w:leftChars="1100" w:left="3742"/>
        <w:rPr>
          <w:rFonts w:ascii="Times New Roman"/>
          <w:b w:val="0"/>
          <w:bCs/>
          <w:snapToGrid/>
          <w:color w:val="000000" w:themeColor="text1"/>
          <w:spacing w:val="0"/>
          <w:kern w:val="0"/>
          <w:sz w:val="40"/>
        </w:rPr>
      </w:pPr>
    </w:p>
    <w:p w14:paraId="24098F43" w14:textId="77777777" w:rsidR="00387DC5" w:rsidRPr="007849A5" w:rsidRDefault="00387DC5" w:rsidP="00770453">
      <w:pPr>
        <w:pStyle w:val="aa"/>
        <w:spacing w:before="0" w:after="0"/>
        <w:ind w:leftChars="1100" w:left="3742"/>
        <w:rPr>
          <w:rFonts w:ascii="Times New Roman"/>
          <w:b w:val="0"/>
          <w:bCs/>
          <w:snapToGrid/>
          <w:color w:val="000000" w:themeColor="text1"/>
          <w:spacing w:val="0"/>
          <w:kern w:val="0"/>
          <w:sz w:val="40"/>
        </w:rPr>
      </w:pPr>
    </w:p>
    <w:p w14:paraId="61204A9A" w14:textId="0C0505DD" w:rsidR="00387DC5" w:rsidRDefault="00387DC5" w:rsidP="00770453">
      <w:pPr>
        <w:pStyle w:val="aa"/>
        <w:spacing w:before="0" w:after="0"/>
        <w:ind w:leftChars="1100" w:left="3742"/>
        <w:rPr>
          <w:rFonts w:ascii="Times New Roman"/>
          <w:b w:val="0"/>
          <w:bCs/>
          <w:snapToGrid/>
          <w:color w:val="000000" w:themeColor="text1"/>
          <w:spacing w:val="0"/>
          <w:kern w:val="0"/>
          <w:sz w:val="40"/>
        </w:rPr>
      </w:pPr>
    </w:p>
    <w:p w14:paraId="294E4F4E" w14:textId="77777777" w:rsidR="008B3794" w:rsidRDefault="008B3794" w:rsidP="00770453">
      <w:pPr>
        <w:pStyle w:val="aa"/>
        <w:spacing w:before="0" w:after="0"/>
        <w:ind w:leftChars="1100" w:left="3742"/>
        <w:rPr>
          <w:rFonts w:ascii="Times New Roman"/>
          <w:b w:val="0"/>
          <w:bCs/>
          <w:snapToGrid/>
          <w:color w:val="000000" w:themeColor="text1"/>
          <w:spacing w:val="0"/>
          <w:kern w:val="0"/>
          <w:sz w:val="40"/>
        </w:rPr>
      </w:pPr>
    </w:p>
    <w:p w14:paraId="43AB22AA" w14:textId="77777777" w:rsidR="008B3794" w:rsidRDefault="008B3794" w:rsidP="00770453">
      <w:pPr>
        <w:pStyle w:val="aa"/>
        <w:spacing w:before="0" w:after="0"/>
        <w:ind w:leftChars="1100" w:left="3742"/>
        <w:rPr>
          <w:rFonts w:ascii="Times New Roman"/>
          <w:b w:val="0"/>
          <w:bCs/>
          <w:snapToGrid/>
          <w:color w:val="000000" w:themeColor="text1"/>
          <w:spacing w:val="0"/>
          <w:kern w:val="0"/>
          <w:sz w:val="40"/>
        </w:rPr>
      </w:pPr>
    </w:p>
    <w:p w14:paraId="7D6CB42F" w14:textId="77777777" w:rsidR="008B3794" w:rsidRPr="007849A5" w:rsidRDefault="008B3794" w:rsidP="00770453">
      <w:pPr>
        <w:pStyle w:val="aa"/>
        <w:spacing w:before="0" w:after="0"/>
        <w:ind w:leftChars="1100" w:left="3742"/>
        <w:rPr>
          <w:rFonts w:ascii="Times New Roman"/>
          <w:b w:val="0"/>
          <w:bCs/>
          <w:snapToGrid/>
          <w:color w:val="000000" w:themeColor="text1"/>
          <w:spacing w:val="0"/>
          <w:kern w:val="0"/>
          <w:sz w:val="40"/>
        </w:rPr>
      </w:pPr>
    </w:p>
    <w:sectPr w:rsidR="008B3794" w:rsidRPr="007849A5" w:rsidSect="000730B0">
      <w:footerReference w:type="default" r:id="rId9"/>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B91C2" w14:textId="77777777" w:rsidR="0070662C" w:rsidRDefault="0070662C">
      <w:r>
        <w:separator/>
      </w:r>
    </w:p>
  </w:endnote>
  <w:endnote w:type="continuationSeparator" w:id="0">
    <w:p w14:paraId="5CA01D59" w14:textId="77777777" w:rsidR="0070662C" w:rsidRDefault="0070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script"/>
    <w:pitch w:val="variable"/>
    <w:sig w:usb0="800002E3"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68347B" w:rsidRDefault="0068347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6B637AFF" w14:textId="77777777" w:rsidR="0068347B" w:rsidRDefault="0068347B">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21A66" w14:textId="77777777" w:rsidR="0070662C" w:rsidRDefault="0070662C">
      <w:r>
        <w:separator/>
      </w:r>
    </w:p>
  </w:footnote>
  <w:footnote w:type="continuationSeparator" w:id="0">
    <w:p w14:paraId="0A4E33BB" w14:textId="77777777" w:rsidR="0070662C" w:rsidRDefault="0070662C">
      <w:r>
        <w:continuationSeparator/>
      </w:r>
    </w:p>
  </w:footnote>
  <w:footnote w:id="1">
    <w:p w14:paraId="62A12727" w14:textId="77777777" w:rsidR="00A4591D" w:rsidRDefault="00A4591D" w:rsidP="00A4591D">
      <w:pPr>
        <w:pStyle w:val="afc"/>
        <w:jc w:val="both"/>
      </w:pPr>
      <w:r>
        <w:rPr>
          <w:rStyle w:val="afe"/>
        </w:rPr>
        <w:footnoteRef/>
      </w:r>
      <w:r>
        <w:t xml:space="preserve"> </w:t>
      </w:r>
      <w:r>
        <w:rPr>
          <w:rFonts w:hint="eastAsia"/>
        </w:rPr>
        <w:t>法務部112年10月5日法檢字第11200614520號函、112年11月3日法檢字第11204536660號函、113年3月5日法檢字第11304501000號函、113年6月7日法檢字第11300559930號函、113年6月27日法檢字第11300569440號函、113年7月12日法檢決字第11300159680號函。</w:t>
      </w:r>
    </w:p>
  </w:footnote>
  <w:footnote w:id="2">
    <w:p w14:paraId="5B67E6BF" w14:textId="77777777" w:rsidR="00A4591D" w:rsidRDefault="00A4591D" w:rsidP="00A4591D">
      <w:pPr>
        <w:pStyle w:val="afc"/>
        <w:jc w:val="both"/>
      </w:pPr>
      <w:r>
        <w:rPr>
          <w:rStyle w:val="afe"/>
        </w:rPr>
        <w:footnoteRef/>
      </w:r>
      <w:r>
        <w:t xml:space="preserve"> </w:t>
      </w:r>
      <w:r>
        <w:rPr>
          <w:rFonts w:hint="eastAsia"/>
        </w:rPr>
        <w:t>彰化地檢署113年5月27日彰檢曉總字第11309001780號函、113年8月2日彰檢曉檔字第11325004200號函。</w:t>
      </w:r>
    </w:p>
  </w:footnote>
  <w:footnote w:id="3">
    <w:p w14:paraId="3C0C1696" w14:textId="77777777" w:rsidR="00A4591D" w:rsidRDefault="00A4591D" w:rsidP="00A4591D">
      <w:pPr>
        <w:pStyle w:val="afc"/>
        <w:jc w:val="both"/>
      </w:pPr>
      <w:r>
        <w:rPr>
          <w:rStyle w:val="afe"/>
        </w:rPr>
        <w:footnoteRef/>
      </w:r>
      <w:r>
        <w:t xml:space="preserve"> </w:t>
      </w:r>
      <w:r>
        <w:rPr>
          <w:rFonts w:hint="eastAsia"/>
        </w:rPr>
        <w:t>內政部113年5月16日台內密昌戶字第1130241678號函。</w:t>
      </w:r>
    </w:p>
  </w:footnote>
  <w:footnote w:id="4">
    <w:p w14:paraId="36CB533B" w14:textId="77777777" w:rsidR="00A4591D" w:rsidRDefault="00A4591D" w:rsidP="00A4591D">
      <w:pPr>
        <w:pStyle w:val="afc"/>
        <w:jc w:val="both"/>
      </w:pPr>
      <w:r>
        <w:rPr>
          <w:rStyle w:val="afe"/>
        </w:rPr>
        <w:footnoteRef/>
      </w:r>
      <w:r>
        <w:t xml:space="preserve"> </w:t>
      </w:r>
      <w:r>
        <w:rPr>
          <w:rFonts w:hint="eastAsia"/>
        </w:rPr>
        <w:t>警政署113年5月21日警署防字第1130103305號函。</w:t>
      </w:r>
    </w:p>
  </w:footnote>
  <w:footnote w:id="5">
    <w:p w14:paraId="3144D700" w14:textId="7DFEB471" w:rsidR="00A4591D" w:rsidRDefault="00A4591D" w:rsidP="00A4591D">
      <w:pPr>
        <w:pStyle w:val="afc"/>
        <w:jc w:val="both"/>
      </w:pPr>
      <w:r>
        <w:rPr>
          <w:rStyle w:val="afe"/>
        </w:rPr>
        <w:footnoteRef/>
      </w:r>
      <w:r>
        <w:t xml:space="preserve"> </w:t>
      </w:r>
      <w:r>
        <w:rPr>
          <w:rFonts w:hint="eastAsia"/>
        </w:rPr>
        <w:t>臺中</w:t>
      </w:r>
      <w:r w:rsidR="00E97C45">
        <w:rPr>
          <w:rFonts w:hint="eastAsia"/>
        </w:rPr>
        <w:t>高分檢</w:t>
      </w:r>
      <w:r>
        <w:rPr>
          <w:rFonts w:hint="eastAsia"/>
        </w:rPr>
        <w:t>113年6月19日中分檢錦戊100他33字第1139012158號函。</w:t>
      </w:r>
    </w:p>
  </w:footnote>
  <w:footnote w:id="6">
    <w:p w14:paraId="38F8E94D" w14:textId="77777777" w:rsidR="00A4591D" w:rsidRDefault="00A4591D" w:rsidP="00A4591D">
      <w:pPr>
        <w:pStyle w:val="afc"/>
        <w:jc w:val="both"/>
      </w:pPr>
      <w:r>
        <w:rPr>
          <w:rStyle w:val="afe"/>
        </w:rPr>
        <w:footnoteRef/>
      </w:r>
      <w:r>
        <w:t xml:space="preserve"> </w:t>
      </w:r>
      <w:r>
        <w:rPr>
          <w:rFonts w:hint="eastAsia"/>
        </w:rPr>
        <w:t>彰化縣警察局113年6月21日彰警刑字第1130047252號函、114年8月15日彰警刑字第1140065769號函。</w:t>
      </w:r>
    </w:p>
  </w:footnote>
  <w:footnote w:id="7">
    <w:p w14:paraId="401B01B2" w14:textId="77777777" w:rsidR="00A4591D" w:rsidRDefault="00A4591D" w:rsidP="00A4591D">
      <w:pPr>
        <w:pStyle w:val="afc"/>
        <w:jc w:val="both"/>
      </w:pPr>
      <w:r>
        <w:rPr>
          <w:rStyle w:val="afe"/>
        </w:rPr>
        <w:footnoteRef/>
      </w:r>
      <w:r>
        <w:t xml:space="preserve"> </w:t>
      </w:r>
      <w:r>
        <w:rPr>
          <w:rFonts w:hint="eastAsia"/>
        </w:rPr>
        <w:t>臺中市政府警察局114年8月4日中市警防字第1140069635號函。</w:t>
      </w:r>
    </w:p>
  </w:footnote>
  <w:footnote w:id="8">
    <w:p w14:paraId="671CD185" w14:textId="77777777" w:rsidR="00A4591D" w:rsidRDefault="00A4591D" w:rsidP="00A4591D">
      <w:pPr>
        <w:pStyle w:val="afc"/>
        <w:jc w:val="both"/>
      </w:pPr>
      <w:r>
        <w:rPr>
          <w:rStyle w:val="afe"/>
        </w:rPr>
        <w:footnoteRef/>
      </w:r>
      <w:r>
        <w:t xml:space="preserve"> </w:t>
      </w:r>
      <w:r>
        <w:rPr>
          <w:rFonts w:hint="eastAsia"/>
        </w:rPr>
        <w:t>嘉義縣警察局114年8月12日嘉縣警防字第1140048663號函。</w:t>
      </w:r>
    </w:p>
  </w:footnote>
  <w:footnote w:id="9">
    <w:p w14:paraId="579EBC92" w14:textId="77777777" w:rsidR="00A4591D" w:rsidRPr="001E094A" w:rsidRDefault="00A4591D" w:rsidP="00A4591D">
      <w:pPr>
        <w:pStyle w:val="afc"/>
        <w:jc w:val="both"/>
      </w:pPr>
      <w:r>
        <w:rPr>
          <w:rStyle w:val="afe"/>
        </w:rPr>
        <w:footnoteRef/>
      </w:r>
      <w:r>
        <w:t xml:space="preserve"> </w:t>
      </w:r>
      <w:r>
        <w:rPr>
          <w:rFonts w:hint="eastAsia"/>
        </w:rPr>
        <w:t>雲林縣警察局114年8月20日雲警刑一字第1140037373號函。</w:t>
      </w:r>
    </w:p>
  </w:footnote>
  <w:footnote w:id="10">
    <w:p w14:paraId="7FB52465" w14:textId="77777777" w:rsidR="00A4591D" w:rsidRDefault="00A4591D" w:rsidP="00A4591D">
      <w:pPr>
        <w:pStyle w:val="afc"/>
        <w:jc w:val="both"/>
      </w:pPr>
      <w:r>
        <w:rPr>
          <w:rStyle w:val="afe"/>
        </w:rPr>
        <w:footnoteRef/>
      </w:r>
      <w:r>
        <w:t xml:space="preserve"> </w:t>
      </w:r>
      <w:r>
        <w:rPr>
          <w:rFonts w:hint="eastAsia"/>
        </w:rPr>
        <w:t>雲林縣警察局斗南分局114年8月14日雲警南偵字第1141002469號函。</w:t>
      </w:r>
    </w:p>
  </w:footnote>
  <w:footnote w:id="11">
    <w:p w14:paraId="63424474" w14:textId="2D06F391" w:rsidR="00A4591D" w:rsidRPr="00EB0A0B" w:rsidRDefault="00A4591D" w:rsidP="00A4591D">
      <w:pPr>
        <w:pStyle w:val="afc"/>
        <w:jc w:val="both"/>
      </w:pPr>
      <w:r>
        <w:rPr>
          <w:rStyle w:val="afe"/>
        </w:rPr>
        <w:footnoteRef/>
      </w:r>
      <w:r>
        <w:t xml:space="preserve"> </w:t>
      </w:r>
      <w:r w:rsidRPr="00EB0A0B">
        <w:t>公司總部登記地址為臺中縣豐原市東北街3號，而本命案發生所在地之工廠（即</w:t>
      </w:r>
      <w:r w:rsidR="00DC06C1">
        <w:rPr>
          <w:rFonts w:hint="eastAsia"/>
        </w:rPr>
        <w:t>○○</w:t>
      </w:r>
      <w:r w:rsidRPr="00EB0A0B">
        <w:t>公司廠區），則設於彰化縣芳苑鄉新生村</w:t>
      </w:r>
      <w:r w:rsidR="00DC06C1">
        <w:rPr>
          <w:rFonts w:hint="eastAsia"/>
        </w:rPr>
        <w:t>○○</w:t>
      </w:r>
      <w:r w:rsidRPr="00EB0A0B">
        <w:t>路</w:t>
      </w:r>
      <w:r w:rsidR="00DC06C1">
        <w:rPr>
          <w:rFonts w:hint="eastAsia"/>
        </w:rPr>
        <w:t>○</w:t>
      </w:r>
      <w:r w:rsidRPr="00EB0A0B">
        <w:t>號。</w:t>
      </w:r>
      <w:r w:rsidR="00DC06C1">
        <w:rPr>
          <w:rFonts w:hint="eastAsia"/>
        </w:rPr>
        <w:t>○○</w:t>
      </w:r>
      <w:r w:rsidRPr="00EB0A0B">
        <w:t>公司因故已倒閉結束營業，其位於彰化縣芳苑鄉之廠區原址已遭拆除，地上現已無任何建築物存在，當年留存之案發現場空間格局已不復見。</w:t>
      </w:r>
    </w:p>
  </w:footnote>
  <w:footnote w:id="12">
    <w:p w14:paraId="427C08C2" w14:textId="52B04BA0" w:rsidR="001F61E9" w:rsidRPr="00B66DF7" w:rsidRDefault="001F61E9" w:rsidP="00B66DF7">
      <w:pPr>
        <w:pStyle w:val="afc"/>
        <w:ind w:left="141" w:hangingChars="64" w:hanging="141"/>
        <w:jc w:val="both"/>
        <w:rPr>
          <w:color w:val="FF0000"/>
        </w:rPr>
      </w:pPr>
      <w:r>
        <w:rPr>
          <w:rStyle w:val="afe"/>
        </w:rPr>
        <w:footnoteRef/>
      </w:r>
      <w:r w:rsidR="00B66DF7">
        <w:rPr>
          <w:rFonts w:hint="eastAsia"/>
        </w:rPr>
        <w:t xml:space="preserve"> </w:t>
      </w:r>
      <w:r w:rsidRPr="00FA514F">
        <w:rPr>
          <w:rFonts w:hint="eastAsia"/>
          <w:color w:val="000000" w:themeColor="text1"/>
        </w:rPr>
        <w:t>黃純英</w:t>
      </w:r>
      <w:r w:rsidR="00FC0199" w:rsidRPr="00FA514F">
        <w:rPr>
          <w:rFonts w:hint="eastAsia"/>
          <w:color w:val="000000" w:themeColor="text1"/>
        </w:rPr>
        <w:t>、</w:t>
      </w:r>
      <w:r w:rsidRPr="00FA514F">
        <w:rPr>
          <w:rFonts w:hint="eastAsia"/>
          <w:color w:val="000000" w:themeColor="text1"/>
        </w:rPr>
        <w:t>黎瑞明</w:t>
      </w:r>
      <w:r w:rsidR="00FC0199" w:rsidRPr="00FA514F">
        <w:rPr>
          <w:rFonts w:hint="eastAsia"/>
          <w:color w:val="000000" w:themeColor="text1"/>
        </w:rPr>
        <w:t>、</w:t>
      </w:r>
      <w:r w:rsidRPr="00FA514F">
        <w:rPr>
          <w:rFonts w:hint="eastAsia"/>
          <w:color w:val="000000" w:themeColor="text1"/>
        </w:rPr>
        <w:t>李宜芳</w:t>
      </w:r>
      <w:r w:rsidR="00FC0199" w:rsidRPr="00FA514F">
        <w:rPr>
          <w:rFonts w:hint="eastAsia"/>
          <w:color w:val="000000" w:themeColor="text1"/>
        </w:rPr>
        <w:t>、</w:t>
      </w:r>
      <w:r w:rsidRPr="00FA514F">
        <w:rPr>
          <w:rFonts w:hint="eastAsia"/>
          <w:color w:val="000000" w:themeColor="text1"/>
        </w:rPr>
        <w:t>陳亮如</w:t>
      </w:r>
      <w:r w:rsidR="00FC0199" w:rsidRPr="00FA514F">
        <w:rPr>
          <w:rFonts w:hint="eastAsia"/>
          <w:color w:val="000000" w:themeColor="text1"/>
        </w:rPr>
        <w:t>、</w:t>
      </w:r>
      <w:r w:rsidRPr="00FA514F">
        <w:rPr>
          <w:rFonts w:hint="eastAsia"/>
          <w:color w:val="000000" w:themeColor="text1"/>
        </w:rPr>
        <w:t>蔡華生</w:t>
      </w:r>
      <w:r w:rsidR="00FC0199" w:rsidRPr="00FA514F">
        <w:rPr>
          <w:rFonts w:hint="eastAsia"/>
          <w:color w:val="000000" w:themeColor="text1"/>
        </w:rPr>
        <w:t>、</w:t>
      </w:r>
      <w:r w:rsidRPr="00FA514F">
        <w:rPr>
          <w:rFonts w:hint="eastAsia"/>
          <w:color w:val="000000" w:themeColor="text1"/>
        </w:rPr>
        <w:t>張瓅</w:t>
      </w:r>
      <w:r w:rsidR="00FC0199" w:rsidRPr="00FA514F">
        <w:rPr>
          <w:rFonts w:hint="eastAsia"/>
          <w:color w:val="000000" w:themeColor="text1"/>
        </w:rPr>
        <w:t>、</w:t>
      </w:r>
      <w:r w:rsidRPr="00FA514F">
        <w:rPr>
          <w:rFonts w:hint="eastAsia"/>
          <w:color w:val="000000" w:themeColor="text1"/>
        </w:rPr>
        <w:t>林俊彥</w:t>
      </w:r>
      <w:r w:rsidR="00FA514F" w:rsidRPr="00FA514F">
        <w:rPr>
          <w:rFonts w:hint="eastAsia"/>
          <w:color w:val="000000" w:themeColor="text1"/>
        </w:rPr>
        <w:t>(2010)</w:t>
      </w:r>
      <w:r w:rsidRPr="00FA514F">
        <w:rPr>
          <w:rFonts w:hAnsi="標楷體" w:hint="eastAsia"/>
          <w:color w:val="000000" w:themeColor="text1"/>
        </w:rPr>
        <w:t>，</w:t>
      </w:r>
      <w:r w:rsidR="00FA514F" w:rsidRPr="00FA514F">
        <w:rPr>
          <w:rFonts w:hAnsi="標楷體" w:hint="eastAsia"/>
          <w:color w:val="000000" w:themeColor="text1"/>
        </w:rPr>
        <w:t>〈</w:t>
      </w:r>
      <w:r w:rsidRPr="00FA514F">
        <w:rPr>
          <w:rFonts w:hAnsi="標楷體" w:hint="eastAsia"/>
          <w:color w:val="000000" w:themeColor="text1"/>
        </w:rPr>
        <w:t>福馬林對DNA鑑定之影響評估</w:t>
      </w:r>
      <w:r w:rsidR="00FA514F" w:rsidRPr="00FA514F">
        <w:rPr>
          <w:rFonts w:hAnsi="標楷體" w:hint="eastAsia"/>
          <w:color w:val="000000" w:themeColor="text1"/>
        </w:rPr>
        <w:t>〉</w:t>
      </w:r>
      <w:r w:rsidRPr="00FA514F">
        <w:rPr>
          <w:rFonts w:hAnsi="標楷體" w:hint="eastAsia"/>
          <w:color w:val="000000" w:themeColor="text1"/>
        </w:rPr>
        <w:t>，</w:t>
      </w:r>
      <w:r w:rsidR="00FA514F" w:rsidRPr="00FA514F">
        <w:rPr>
          <w:rFonts w:hAnsi="標楷體" w:hint="eastAsia"/>
          <w:color w:val="000000" w:themeColor="text1"/>
        </w:rPr>
        <w:t>《</w:t>
      </w:r>
      <w:r w:rsidRPr="00FA514F">
        <w:rPr>
          <w:rFonts w:hAnsi="標楷體" w:hint="eastAsia"/>
          <w:color w:val="000000" w:themeColor="text1"/>
        </w:rPr>
        <w:t>台灣法醫學誌</w:t>
      </w:r>
      <w:r w:rsidR="00FA514F" w:rsidRPr="00FA514F">
        <w:rPr>
          <w:rFonts w:hAnsi="標楷體" w:hint="eastAsia"/>
          <w:color w:val="000000" w:themeColor="text1"/>
        </w:rPr>
        <w:t>》，</w:t>
      </w:r>
      <w:r w:rsidRPr="00FA514F">
        <w:rPr>
          <w:rFonts w:hAnsi="標楷體" w:hint="eastAsia"/>
          <w:color w:val="000000" w:themeColor="text1"/>
        </w:rPr>
        <w:t>2</w:t>
      </w:r>
      <w:r w:rsidR="00FA514F" w:rsidRPr="00FA514F">
        <w:rPr>
          <w:rFonts w:hAnsi="標楷體" w:hint="eastAsia"/>
          <w:color w:val="000000" w:themeColor="text1"/>
        </w:rPr>
        <w:t>卷</w:t>
      </w:r>
      <w:r w:rsidRPr="00FA514F">
        <w:rPr>
          <w:rFonts w:hAnsi="標楷體" w:hint="eastAsia"/>
          <w:color w:val="000000" w:themeColor="text1"/>
        </w:rPr>
        <w:t>1</w:t>
      </w:r>
      <w:r w:rsidR="00FA514F" w:rsidRPr="00FA514F">
        <w:rPr>
          <w:rFonts w:hAnsi="標楷體" w:hint="eastAsia"/>
          <w:color w:val="000000" w:themeColor="text1"/>
        </w:rPr>
        <w:t>期，</w:t>
      </w:r>
      <w:r w:rsidRPr="00FA514F">
        <w:rPr>
          <w:rFonts w:hAnsi="標楷體" w:hint="eastAsia"/>
          <w:color w:val="000000" w:themeColor="text1"/>
        </w:rPr>
        <w:t>頁51。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6A2A50D8"/>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823"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5F5684"/>
    <w:multiLevelType w:val="hybridMultilevel"/>
    <w:tmpl w:val="15E8C1C8"/>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5C6FA2"/>
    <w:multiLevelType w:val="hybridMultilevel"/>
    <w:tmpl w:val="C194D550"/>
    <w:lvl w:ilvl="0" w:tplc="A20AE952">
      <w:start w:val="1"/>
      <w:numFmt w:val="decimal"/>
      <w:lvlText w:val="（%1）"/>
      <w:lvlJc w:val="left"/>
      <w:pPr>
        <w:ind w:left="204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42682620">
    <w:abstractNumId w:val="2"/>
  </w:num>
  <w:num w:numId="2" w16cid:durableId="2078555219">
    <w:abstractNumId w:val="0"/>
  </w:num>
  <w:num w:numId="3" w16cid:durableId="891036273">
    <w:abstractNumId w:val="2"/>
    <w:lvlOverride w:ilvl="0">
      <w:startOverride w:val="1"/>
    </w:lvlOverride>
  </w:num>
  <w:num w:numId="4" w16cid:durableId="758256762">
    <w:abstractNumId w:val="5"/>
  </w:num>
  <w:num w:numId="5" w16cid:durableId="1070537949">
    <w:abstractNumId w:val="3"/>
  </w:num>
  <w:num w:numId="6" w16cid:durableId="1664700336">
    <w:abstractNumId w:val="6"/>
  </w:num>
  <w:num w:numId="7" w16cid:durableId="1481389400">
    <w:abstractNumId w:val="1"/>
  </w:num>
  <w:num w:numId="8" w16cid:durableId="1598440368">
    <w:abstractNumId w:val="7"/>
  </w:num>
  <w:num w:numId="9" w16cid:durableId="1751611214">
    <w:abstractNumId w:val="4"/>
  </w:num>
  <w:num w:numId="10" w16cid:durableId="1504011596">
    <w:abstractNumId w:val="8"/>
  </w:num>
  <w:num w:numId="11" w16cid:durableId="1417744439">
    <w:abstractNumId w:val="1"/>
  </w:num>
  <w:num w:numId="12" w16cid:durableId="1077676539">
    <w:abstractNumId w:val="1"/>
  </w:num>
  <w:num w:numId="13" w16cid:durableId="1161653199">
    <w:abstractNumId w:val="1"/>
  </w:num>
  <w:num w:numId="14" w16cid:durableId="1572539903">
    <w:abstractNumId w:val="1"/>
  </w:num>
  <w:num w:numId="15" w16cid:durableId="1705785125">
    <w:abstractNumId w:val="1"/>
  </w:num>
  <w:num w:numId="16" w16cid:durableId="1398747767">
    <w:abstractNumId w:val="1"/>
  </w:num>
  <w:num w:numId="17" w16cid:durableId="916207307">
    <w:abstractNumId w:val="1"/>
  </w:num>
  <w:num w:numId="18" w16cid:durableId="378210556">
    <w:abstractNumId w:val="1"/>
  </w:num>
  <w:num w:numId="19" w16cid:durableId="579365591">
    <w:abstractNumId w:val="1"/>
  </w:num>
  <w:num w:numId="20" w16cid:durableId="73551381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6961"/>
    <w:rsid w:val="000112BF"/>
    <w:rsid w:val="00012233"/>
    <w:rsid w:val="00017318"/>
    <w:rsid w:val="0001761F"/>
    <w:rsid w:val="00017E78"/>
    <w:rsid w:val="0002289D"/>
    <w:rsid w:val="000229AD"/>
    <w:rsid w:val="000246F7"/>
    <w:rsid w:val="0003114D"/>
    <w:rsid w:val="00036D76"/>
    <w:rsid w:val="0004012C"/>
    <w:rsid w:val="00053FC5"/>
    <w:rsid w:val="00056745"/>
    <w:rsid w:val="00057F32"/>
    <w:rsid w:val="00062A25"/>
    <w:rsid w:val="000730B0"/>
    <w:rsid w:val="00073CB5"/>
    <w:rsid w:val="0007425C"/>
    <w:rsid w:val="00077553"/>
    <w:rsid w:val="00081CF9"/>
    <w:rsid w:val="000851A2"/>
    <w:rsid w:val="00086634"/>
    <w:rsid w:val="0009352E"/>
    <w:rsid w:val="00096B96"/>
    <w:rsid w:val="000A2F3F"/>
    <w:rsid w:val="000A31C4"/>
    <w:rsid w:val="000A6DF3"/>
    <w:rsid w:val="000B0B4A"/>
    <w:rsid w:val="000B279A"/>
    <w:rsid w:val="000B317F"/>
    <w:rsid w:val="000B61D2"/>
    <w:rsid w:val="000B70A7"/>
    <w:rsid w:val="000B73DD"/>
    <w:rsid w:val="000B75BB"/>
    <w:rsid w:val="000C495F"/>
    <w:rsid w:val="000D0963"/>
    <w:rsid w:val="000D66D9"/>
    <w:rsid w:val="000D6E60"/>
    <w:rsid w:val="000D6EA4"/>
    <w:rsid w:val="000D7DFB"/>
    <w:rsid w:val="000E1FEA"/>
    <w:rsid w:val="000E4D2F"/>
    <w:rsid w:val="000E6431"/>
    <w:rsid w:val="000E6FF0"/>
    <w:rsid w:val="000F0649"/>
    <w:rsid w:val="000F21A5"/>
    <w:rsid w:val="000F2203"/>
    <w:rsid w:val="000F7FF6"/>
    <w:rsid w:val="00102B9F"/>
    <w:rsid w:val="00112637"/>
    <w:rsid w:val="00112ABC"/>
    <w:rsid w:val="00113315"/>
    <w:rsid w:val="0012001E"/>
    <w:rsid w:val="001252F1"/>
    <w:rsid w:val="00126A55"/>
    <w:rsid w:val="00133F08"/>
    <w:rsid w:val="001345E6"/>
    <w:rsid w:val="00134A49"/>
    <w:rsid w:val="001378B0"/>
    <w:rsid w:val="00142E00"/>
    <w:rsid w:val="001430FC"/>
    <w:rsid w:val="00152793"/>
    <w:rsid w:val="00153B7E"/>
    <w:rsid w:val="001545A9"/>
    <w:rsid w:val="001553C1"/>
    <w:rsid w:val="001637C7"/>
    <w:rsid w:val="0016480E"/>
    <w:rsid w:val="00174297"/>
    <w:rsid w:val="00175B50"/>
    <w:rsid w:val="00180E06"/>
    <w:rsid w:val="001817B3"/>
    <w:rsid w:val="00183014"/>
    <w:rsid w:val="00184DF0"/>
    <w:rsid w:val="001950EC"/>
    <w:rsid w:val="001956C0"/>
    <w:rsid w:val="001959C2"/>
    <w:rsid w:val="001A0F65"/>
    <w:rsid w:val="001A51E3"/>
    <w:rsid w:val="001A65A7"/>
    <w:rsid w:val="001A7968"/>
    <w:rsid w:val="001B02A1"/>
    <w:rsid w:val="001B145D"/>
    <w:rsid w:val="001B2E98"/>
    <w:rsid w:val="001B3483"/>
    <w:rsid w:val="001B3C1E"/>
    <w:rsid w:val="001B4494"/>
    <w:rsid w:val="001B7A05"/>
    <w:rsid w:val="001C0D8B"/>
    <w:rsid w:val="001C0DA8"/>
    <w:rsid w:val="001C3C02"/>
    <w:rsid w:val="001C4E81"/>
    <w:rsid w:val="001D4AD7"/>
    <w:rsid w:val="001D7CC0"/>
    <w:rsid w:val="001E094A"/>
    <w:rsid w:val="001E0B63"/>
    <w:rsid w:val="001E0D8A"/>
    <w:rsid w:val="001E49BC"/>
    <w:rsid w:val="001E4DFD"/>
    <w:rsid w:val="001E67BA"/>
    <w:rsid w:val="001E74C2"/>
    <w:rsid w:val="001F4241"/>
    <w:rsid w:val="001F4F82"/>
    <w:rsid w:val="001F5A48"/>
    <w:rsid w:val="001F61E9"/>
    <w:rsid w:val="001F6260"/>
    <w:rsid w:val="001F75B0"/>
    <w:rsid w:val="001F7852"/>
    <w:rsid w:val="00200007"/>
    <w:rsid w:val="002030A5"/>
    <w:rsid w:val="00203131"/>
    <w:rsid w:val="002077E9"/>
    <w:rsid w:val="00211DA0"/>
    <w:rsid w:val="00212E88"/>
    <w:rsid w:val="00213C9C"/>
    <w:rsid w:val="0022009E"/>
    <w:rsid w:val="00223241"/>
    <w:rsid w:val="0022425C"/>
    <w:rsid w:val="002246DE"/>
    <w:rsid w:val="002429E2"/>
    <w:rsid w:val="00252BC4"/>
    <w:rsid w:val="00254014"/>
    <w:rsid w:val="00254B39"/>
    <w:rsid w:val="0026504D"/>
    <w:rsid w:val="002679E6"/>
    <w:rsid w:val="0027062C"/>
    <w:rsid w:val="00272543"/>
    <w:rsid w:val="00273A2F"/>
    <w:rsid w:val="00280986"/>
    <w:rsid w:val="00281ECE"/>
    <w:rsid w:val="00282AD2"/>
    <w:rsid w:val="002831C7"/>
    <w:rsid w:val="002840C6"/>
    <w:rsid w:val="002935D2"/>
    <w:rsid w:val="002949F6"/>
    <w:rsid w:val="00295174"/>
    <w:rsid w:val="00296172"/>
    <w:rsid w:val="00296B92"/>
    <w:rsid w:val="002A2C22"/>
    <w:rsid w:val="002B02EB"/>
    <w:rsid w:val="002C0602"/>
    <w:rsid w:val="002C3A97"/>
    <w:rsid w:val="002C6299"/>
    <w:rsid w:val="002D5C16"/>
    <w:rsid w:val="002E7A1C"/>
    <w:rsid w:val="002F074B"/>
    <w:rsid w:val="002F07F5"/>
    <w:rsid w:val="002F0A7F"/>
    <w:rsid w:val="002F2476"/>
    <w:rsid w:val="002F3DFF"/>
    <w:rsid w:val="002F5E05"/>
    <w:rsid w:val="00307A76"/>
    <w:rsid w:val="00313A66"/>
    <w:rsid w:val="0031455E"/>
    <w:rsid w:val="00315A16"/>
    <w:rsid w:val="00317053"/>
    <w:rsid w:val="0032109C"/>
    <w:rsid w:val="003214BE"/>
    <w:rsid w:val="00322B45"/>
    <w:rsid w:val="00323809"/>
    <w:rsid w:val="00323D41"/>
    <w:rsid w:val="00325414"/>
    <w:rsid w:val="003302F1"/>
    <w:rsid w:val="003330D5"/>
    <w:rsid w:val="00340F5A"/>
    <w:rsid w:val="003438D8"/>
    <w:rsid w:val="0034470E"/>
    <w:rsid w:val="00352DB0"/>
    <w:rsid w:val="00361063"/>
    <w:rsid w:val="0037094A"/>
    <w:rsid w:val="00371ED3"/>
    <w:rsid w:val="00372659"/>
    <w:rsid w:val="00372FFC"/>
    <w:rsid w:val="00373EA0"/>
    <w:rsid w:val="0037420A"/>
    <w:rsid w:val="0037728A"/>
    <w:rsid w:val="00380B7D"/>
    <w:rsid w:val="00381A99"/>
    <w:rsid w:val="00381C83"/>
    <w:rsid w:val="003829C2"/>
    <w:rsid w:val="003830B2"/>
    <w:rsid w:val="00384724"/>
    <w:rsid w:val="00387DC5"/>
    <w:rsid w:val="00391382"/>
    <w:rsid w:val="003919B7"/>
    <w:rsid w:val="00391D57"/>
    <w:rsid w:val="00392292"/>
    <w:rsid w:val="00394F45"/>
    <w:rsid w:val="003A0932"/>
    <w:rsid w:val="003A5927"/>
    <w:rsid w:val="003B1017"/>
    <w:rsid w:val="003B3C07"/>
    <w:rsid w:val="003B6081"/>
    <w:rsid w:val="003B6775"/>
    <w:rsid w:val="003C5FE2"/>
    <w:rsid w:val="003D05FB"/>
    <w:rsid w:val="003D06D9"/>
    <w:rsid w:val="003D1B16"/>
    <w:rsid w:val="003D45BF"/>
    <w:rsid w:val="003D508A"/>
    <w:rsid w:val="003D537F"/>
    <w:rsid w:val="003D7B75"/>
    <w:rsid w:val="003E0208"/>
    <w:rsid w:val="003E2FFB"/>
    <w:rsid w:val="003E4B57"/>
    <w:rsid w:val="003F27E1"/>
    <w:rsid w:val="003F30EA"/>
    <w:rsid w:val="003F31C5"/>
    <w:rsid w:val="003F437A"/>
    <w:rsid w:val="003F4D62"/>
    <w:rsid w:val="003F5C2B"/>
    <w:rsid w:val="00402240"/>
    <w:rsid w:val="004023E9"/>
    <w:rsid w:val="0040454A"/>
    <w:rsid w:val="00413F83"/>
    <w:rsid w:val="00414768"/>
    <w:rsid w:val="0041490C"/>
    <w:rsid w:val="00416191"/>
    <w:rsid w:val="00416721"/>
    <w:rsid w:val="00421EF0"/>
    <w:rsid w:val="004224FA"/>
    <w:rsid w:val="00423D07"/>
    <w:rsid w:val="00427936"/>
    <w:rsid w:val="004400F4"/>
    <w:rsid w:val="004408EA"/>
    <w:rsid w:val="0044346F"/>
    <w:rsid w:val="00444063"/>
    <w:rsid w:val="00453E16"/>
    <w:rsid w:val="00453FF6"/>
    <w:rsid w:val="0046005C"/>
    <w:rsid w:val="0046251C"/>
    <w:rsid w:val="0046520A"/>
    <w:rsid w:val="004671C7"/>
    <w:rsid w:val="004672AB"/>
    <w:rsid w:val="004714FE"/>
    <w:rsid w:val="0047290B"/>
    <w:rsid w:val="00477BAA"/>
    <w:rsid w:val="0048143E"/>
    <w:rsid w:val="00481F87"/>
    <w:rsid w:val="00495053"/>
    <w:rsid w:val="004A1F59"/>
    <w:rsid w:val="004A29BE"/>
    <w:rsid w:val="004A3225"/>
    <w:rsid w:val="004A33EE"/>
    <w:rsid w:val="004A3AA8"/>
    <w:rsid w:val="004A4BB5"/>
    <w:rsid w:val="004B0961"/>
    <w:rsid w:val="004B12B3"/>
    <w:rsid w:val="004B13C7"/>
    <w:rsid w:val="004B5B63"/>
    <w:rsid w:val="004B778F"/>
    <w:rsid w:val="004C0609"/>
    <w:rsid w:val="004C0FEC"/>
    <w:rsid w:val="004C639F"/>
    <w:rsid w:val="004D141F"/>
    <w:rsid w:val="004D2742"/>
    <w:rsid w:val="004D6310"/>
    <w:rsid w:val="004E0062"/>
    <w:rsid w:val="004E031A"/>
    <w:rsid w:val="004E05A1"/>
    <w:rsid w:val="004E7F21"/>
    <w:rsid w:val="004F10E2"/>
    <w:rsid w:val="004F472A"/>
    <w:rsid w:val="004F5E57"/>
    <w:rsid w:val="004F6710"/>
    <w:rsid w:val="00500C3E"/>
    <w:rsid w:val="00500D84"/>
    <w:rsid w:val="00501DE9"/>
    <w:rsid w:val="00502222"/>
    <w:rsid w:val="00502849"/>
    <w:rsid w:val="0050289C"/>
    <w:rsid w:val="00504334"/>
    <w:rsid w:val="005044B8"/>
    <w:rsid w:val="0050498D"/>
    <w:rsid w:val="005104D7"/>
    <w:rsid w:val="00510B9E"/>
    <w:rsid w:val="0051548F"/>
    <w:rsid w:val="005241B3"/>
    <w:rsid w:val="00536BC2"/>
    <w:rsid w:val="005425E1"/>
    <w:rsid w:val="005427C5"/>
    <w:rsid w:val="00542CF6"/>
    <w:rsid w:val="0054309A"/>
    <w:rsid w:val="00553C03"/>
    <w:rsid w:val="005548E7"/>
    <w:rsid w:val="00557559"/>
    <w:rsid w:val="00560DDA"/>
    <w:rsid w:val="00561CD4"/>
    <w:rsid w:val="00563692"/>
    <w:rsid w:val="00571679"/>
    <w:rsid w:val="00572794"/>
    <w:rsid w:val="00584235"/>
    <w:rsid w:val="005844E7"/>
    <w:rsid w:val="005846BF"/>
    <w:rsid w:val="005850D1"/>
    <w:rsid w:val="005908B8"/>
    <w:rsid w:val="0059512E"/>
    <w:rsid w:val="005A291C"/>
    <w:rsid w:val="005A2B2B"/>
    <w:rsid w:val="005A32F8"/>
    <w:rsid w:val="005A6DD2"/>
    <w:rsid w:val="005C385D"/>
    <w:rsid w:val="005D3B20"/>
    <w:rsid w:val="005D473A"/>
    <w:rsid w:val="005D618F"/>
    <w:rsid w:val="005D71B7"/>
    <w:rsid w:val="005E4759"/>
    <w:rsid w:val="005E5C68"/>
    <w:rsid w:val="005E6328"/>
    <w:rsid w:val="005E6368"/>
    <w:rsid w:val="005E65C0"/>
    <w:rsid w:val="005E66C8"/>
    <w:rsid w:val="005F0390"/>
    <w:rsid w:val="00606F6F"/>
    <w:rsid w:val="006072CD"/>
    <w:rsid w:val="00612023"/>
    <w:rsid w:val="00614190"/>
    <w:rsid w:val="006154CC"/>
    <w:rsid w:val="00622A99"/>
    <w:rsid w:val="00622E67"/>
    <w:rsid w:val="00622F97"/>
    <w:rsid w:val="00623AE4"/>
    <w:rsid w:val="00626B57"/>
    <w:rsid w:val="00626EDC"/>
    <w:rsid w:val="00626F93"/>
    <w:rsid w:val="00636302"/>
    <w:rsid w:val="006373BD"/>
    <w:rsid w:val="00643B52"/>
    <w:rsid w:val="006452D3"/>
    <w:rsid w:val="006470EC"/>
    <w:rsid w:val="006542D6"/>
    <w:rsid w:val="0065598E"/>
    <w:rsid w:val="00655AF2"/>
    <w:rsid w:val="00655BC5"/>
    <w:rsid w:val="006568BE"/>
    <w:rsid w:val="0066025D"/>
    <w:rsid w:val="0066091A"/>
    <w:rsid w:val="00665B6B"/>
    <w:rsid w:val="006677FD"/>
    <w:rsid w:val="00670A79"/>
    <w:rsid w:val="006773EC"/>
    <w:rsid w:val="00680504"/>
    <w:rsid w:val="00681CD9"/>
    <w:rsid w:val="0068347B"/>
    <w:rsid w:val="00683E30"/>
    <w:rsid w:val="00687024"/>
    <w:rsid w:val="00695E22"/>
    <w:rsid w:val="006A63CF"/>
    <w:rsid w:val="006B3D95"/>
    <w:rsid w:val="006B7093"/>
    <w:rsid w:val="006B7417"/>
    <w:rsid w:val="006C11A7"/>
    <w:rsid w:val="006D31F9"/>
    <w:rsid w:val="006D3691"/>
    <w:rsid w:val="006D5B7E"/>
    <w:rsid w:val="006D6E7B"/>
    <w:rsid w:val="006E5EF0"/>
    <w:rsid w:val="006E6444"/>
    <w:rsid w:val="006F3117"/>
    <w:rsid w:val="006F3563"/>
    <w:rsid w:val="006F42B9"/>
    <w:rsid w:val="006F6103"/>
    <w:rsid w:val="00704B9C"/>
    <w:rsid w:val="00704E00"/>
    <w:rsid w:val="0070662C"/>
    <w:rsid w:val="00707EDA"/>
    <w:rsid w:val="00720832"/>
    <w:rsid w:val="007209E7"/>
    <w:rsid w:val="007249F6"/>
    <w:rsid w:val="00726182"/>
    <w:rsid w:val="00726650"/>
    <w:rsid w:val="00727635"/>
    <w:rsid w:val="00732329"/>
    <w:rsid w:val="007337CA"/>
    <w:rsid w:val="00734CE4"/>
    <w:rsid w:val="00735123"/>
    <w:rsid w:val="00741837"/>
    <w:rsid w:val="007453E6"/>
    <w:rsid w:val="00754789"/>
    <w:rsid w:val="00770453"/>
    <w:rsid w:val="0077309D"/>
    <w:rsid w:val="007774EE"/>
    <w:rsid w:val="00781822"/>
    <w:rsid w:val="007820FF"/>
    <w:rsid w:val="00783F21"/>
    <w:rsid w:val="007849A5"/>
    <w:rsid w:val="007858E8"/>
    <w:rsid w:val="0078675D"/>
    <w:rsid w:val="00786AE0"/>
    <w:rsid w:val="00787159"/>
    <w:rsid w:val="0079043A"/>
    <w:rsid w:val="00791668"/>
    <w:rsid w:val="00791AA1"/>
    <w:rsid w:val="007923FE"/>
    <w:rsid w:val="007A3793"/>
    <w:rsid w:val="007A3D6F"/>
    <w:rsid w:val="007B3124"/>
    <w:rsid w:val="007C1BA2"/>
    <w:rsid w:val="007C2B48"/>
    <w:rsid w:val="007D20E9"/>
    <w:rsid w:val="007D363D"/>
    <w:rsid w:val="007D7881"/>
    <w:rsid w:val="007D7E3A"/>
    <w:rsid w:val="007E0E10"/>
    <w:rsid w:val="007E4768"/>
    <w:rsid w:val="007E777B"/>
    <w:rsid w:val="007F2070"/>
    <w:rsid w:val="007F63C1"/>
    <w:rsid w:val="007F6F48"/>
    <w:rsid w:val="008053F5"/>
    <w:rsid w:val="008065CA"/>
    <w:rsid w:val="00807AF7"/>
    <w:rsid w:val="00810198"/>
    <w:rsid w:val="008156A6"/>
    <w:rsid w:val="00815DA8"/>
    <w:rsid w:val="0082194D"/>
    <w:rsid w:val="008221F9"/>
    <w:rsid w:val="008228DB"/>
    <w:rsid w:val="00823312"/>
    <w:rsid w:val="00826EF5"/>
    <w:rsid w:val="00831693"/>
    <w:rsid w:val="00833C4D"/>
    <w:rsid w:val="008361A7"/>
    <w:rsid w:val="00840104"/>
    <w:rsid w:val="00840C1F"/>
    <w:rsid w:val="00840FB3"/>
    <w:rsid w:val="008411C9"/>
    <w:rsid w:val="00841FC5"/>
    <w:rsid w:val="0084293C"/>
    <w:rsid w:val="00843D0F"/>
    <w:rsid w:val="00844714"/>
    <w:rsid w:val="00845709"/>
    <w:rsid w:val="00847B4C"/>
    <w:rsid w:val="008576BD"/>
    <w:rsid w:val="00860463"/>
    <w:rsid w:val="008634A4"/>
    <w:rsid w:val="0086695B"/>
    <w:rsid w:val="008679CF"/>
    <w:rsid w:val="00871E93"/>
    <w:rsid w:val="00872E93"/>
    <w:rsid w:val="008733DA"/>
    <w:rsid w:val="008850E4"/>
    <w:rsid w:val="008928B7"/>
    <w:rsid w:val="008939AB"/>
    <w:rsid w:val="008946AD"/>
    <w:rsid w:val="00897AF0"/>
    <w:rsid w:val="008A12F5"/>
    <w:rsid w:val="008B12DE"/>
    <w:rsid w:val="008B1587"/>
    <w:rsid w:val="008B1B01"/>
    <w:rsid w:val="008B1CC2"/>
    <w:rsid w:val="008B3794"/>
    <w:rsid w:val="008B3BCD"/>
    <w:rsid w:val="008B6DF8"/>
    <w:rsid w:val="008C106C"/>
    <w:rsid w:val="008C10F1"/>
    <w:rsid w:val="008C1926"/>
    <w:rsid w:val="008C1E99"/>
    <w:rsid w:val="008D1D9F"/>
    <w:rsid w:val="008E0085"/>
    <w:rsid w:val="008E0B04"/>
    <w:rsid w:val="008E2AA6"/>
    <w:rsid w:val="008E311B"/>
    <w:rsid w:val="008E41FE"/>
    <w:rsid w:val="008F42CF"/>
    <w:rsid w:val="008F46E7"/>
    <w:rsid w:val="008F64CA"/>
    <w:rsid w:val="008F6F0B"/>
    <w:rsid w:val="008F7E4B"/>
    <w:rsid w:val="00900C39"/>
    <w:rsid w:val="00907BA7"/>
    <w:rsid w:val="0091064E"/>
    <w:rsid w:val="00911191"/>
    <w:rsid w:val="00911FC5"/>
    <w:rsid w:val="009215F6"/>
    <w:rsid w:val="009222DE"/>
    <w:rsid w:val="00924929"/>
    <w:rsid w:val="00931464"/>
    <w:rsid w:val="00931A10"/>
    <w:rsid w:val="00934818"/>
    <w:rsid w:val="00941264"/>
    <w:rsid w:val="00947967"/>
    <w:rsid w:val="00955201"/>
    <w:rsid w:val="00960A8E"/>
    <w:rsid w:val="00965200"/>
    <w:rsid w:val="009668B3"/>
    <w:rsid w:val="00971471"/>
    <w:rsid w:val="00973FCC"/>
    <w:rsid w:val="0097713F"/>
    <w:rsid w:val="009845B6"/>
    <w:rsid w:val="009849C2"/>
    <w:rsid w:val="00984D24"/>
    <w:rsid w:val="009858EB"/>
    <w:rsid w:val="009917B0"/>
    <w:rsid w:val="009A118D"/>
    <w:rsid w:val="009A1D79"/>
    <w:rsid w:val="009A3F47"/>
    <w:rsid w:val="009A4155"/>
    <w:rsid w:val="009B0046"/>
    <w:rsid w:val="009B2427"/>
    <w:rsid w:val="009C1440"/>
    <w:rsid w:val="009C2107"/>
    <w:rsid w:val="009C5D9E"/>
    <w:rsid w:val="009D1B8C"/>
    <w:rsid w:val="009D2C3E"/>
    <w:rsid w:val="009D4EA0"/>
    <w:rsid w:val="009E0625"/>
    <w:rsid w:val="009E2F6E"/>
    <w:rsid w:val="009E3034"/>
    <w:rsid w:val="009E53C1"/>
    <w:rsid w:val="009E549F"/>
    <w:rsid w:val="009F28A8"/>
    <w:rsid w:val="009F473E"/>
    <w:rsid w:val="009F489E"/>
    <w:rsid w:val="009F4F32"/>
    <w:rsid w:val="009F5247"/>
    <w:rsid w:val="009F682A"/>
    <w:rsid w:val="009F7A1A"/>
    <w:rsid w:val="00A022BE"/>
    <w:rsid w:val="00A07B4B"/>
    <w:rsid w:val="00A1019E"/>
    <w:rsid w:val="00A1153F"/>
    <w:rsid w:val="00A2420F"/>
    <w:rsid w:val="00A24C95"/>
    <w:rsid w:val="00A25061"/>
    <w:rsid w:val="00A2599A"/>
    <w:rsid w:val="00A26094"/>
    <w:rsid w:val="00A301BF"/>
    <w:rsid w:val="00A302B2"/>
    <w:rsid w:val="00A329AE"/>
    <w:rsid w:val="00A32D1E"/>
    <w:rsid w:val="00A331B4"/>
    <w:rsid w:val="00A3484E"/>
    <w:rsid w:val="00A356D3"/>
    <w:rsid w:val="00A36ADA"/>
    <w:rsid w:val="00A37C4D"/>
    <w:rsid w:val="00A40D86"/>
    <w:rsid w:val="00A438D8"/>
    <w:rsid w:val="00A4591D"/>
    <w:rsid w:val="00A473F5"/>
    <w:rsid w:val="00A50AB8"/>
    <w:rsid w:val="00A51362"/>
    <w:rsid w:val="00A51F9D"/>
    <w:rsid w:val="00A5416A"/>
    <w:rsid w:val="00A639F4"/>
    <w:rsid w:val="00A65864"/>
    <w:rsid w:val="00A65FAE"/>
    <w:rsid w:val="00A72901"/>
    <w:rsid w:val="00A80183"/>
    <w:rsid w:val="00A81A32"/>
    <w:rsid w:val="00A835BD"/>
    <w:rsid w:val="00A8552D"/>
    <w:rsid w:val="00A97B15"/>
    <w:rsid w:val="00AA42D5"/>
    <w:rsid w:val="00AB2FAB"/>
    <w:rsid w:val="00AB5C14"/>
    <w:rsid w:val="00AC1355"/>
    <w:rsid w:val="00AC1EE7"/>
    <w:rsid w:val="00AC2E7B"/>
    <w:rsid w:val="00AC333F"/>
    <w:rsid w:val="00AC585C"/>
    <w:rsid w:val="00AD0F47"/>
    <w:rsid w:val="00AD1925"/>
    <w:rsid w:val="00AD2068"/>
    <w:rsid w:val="00AE067D"/>
    <w:rsid w:val="00AE1B4D"/>
    <w:rsid w:val="00AF1181"/>
    <w:rsid w:val="00AF2F79"/>
    <w:rsid w:val="00AF4653"/>
    <w:rsid w:val="00AF7DB7"/>
    <w:rsid w:val="00B00B53"/>
    <w:rsid w:val="00B10D02"/>
    <w:rsid w:val="00B10D16"/>
    <w:rsid w:val="00B1384F"/>
    <w:rsid w:val="00B14276"/>
    <w:rsid w:val="00B168C8"/>
    <w:rsid w:val="00B201E2"/>
    <w:rsid w:val="00B20AE0"/>
    <w:rsid w:val="00B31188"/>
    <w:rsid w:val="00B33324"/>
    <w:rsid w:val="00B34828"/>
    <w:rsid w:val="00B408EF"/>
    <w:rsid w:val="00B41FE5"/>
    <w:rsid w:val="00B443E4"/>
    <w:rsid w:val="00B4470B"/>
    <w:rsid w:val="00B45436"/>
    <w:rsid w:val="00B50DB2"/>
    <w:rsid w:val="00B5484D"/>
    <w:rsid w:val="00B55BF6"/>
    <w:rsid w:val="00B563EA"/>
    <w:rsid w:val="00B56CDF"/>
    <w:rsid w:val="00B60E51"/>
    <w:rsid w:val="00B63A54"/>
    <w:rsid w:val="00B6610F"/>
    <w:rsid w:val="00B66DF7"/>
    <w:rsid w:val="00B769BF"/>
    <w:rsid w:val="00B76ECE"/>
    <w:rsid w:val="00B77D18"/>
    <w:rsid w:val="00B8313A"/>
    <w:rsid w:val="00B93503"/>
    <w:rsid w:val="00BA0F6A"/>
    <w:rsid w:val="00BA1C3C"/>
    <w:rsid w:val="00BA31E8"/>
    <w:rsid w:val="00BA55E0"/>
    <w:rsid w:val="00BA6111"/>
    <w:rsid w:val="00BA6BD4"/>
    <w:rsid w:val="00BA6C7A"/>
    <w:rsid w:val="00BB17D1"/>
    <w:rsid w:val="00BB3752"/>
    <w:rsid w:val="00BB6688"/>
    <w:rsid w:val="00BC26D4"/>
    <w:rsid w:val="00BC3EE0"/>
    <w:rsid w:val="00BC42FF"/>
    <w:rsid w:val="00BC567B"/>
    <w:rsid w:val="00BD229F"/>
    <w:rsid w:val="00BD57CE"/>
    <w:rsid w:val="00BE0C80"/>
    <w:rsid w:val="00BF2A42"/>
    <w:rsid w:val="00BF2FC7"/>
    <w:rsid w:val="00C03D8C"/>
    <w:rsid w:val="00C055EC"/>
    <w:rsid w:val="00C05E92"/>
    <w:rsid w:val="00C10DC9"/>
    <w:rsid w:val="00C12FB3"/>
    <w:rsid w:val="00C13F0D"/>
    <w:rsid w:val="00C1487A"/>
    <w:rsid w:val="00C17341"/>
    <w:rsid w:val="00C21D69"/>
    <w:rsid w:val="00C22500"/>
    <w:rsid w:val="00C235F9"/>
    <w:rsid w:val="00C23D9A"/>
    <w:rsid w:val="00C24EEF"/>
    <w:rsid w:val="00C25CF6"/>
    <w:rsid w:val="00C26C36"/>
    <w:rsid w:val="00C2704C"/>
    <w:rsid w:val="00C32768"/>
    <w:rsid w:val="00C32CC0"/>
    <w:rsid w:val="00C34B77"/>
    <w:rsid w:val="00C431DF"/>
    <w:rsid w:val="00C4407E"/>
    <w:rsid w:val="00C447DF"/>
    <w:rsid w:val="00C456BD"/>
    <w:rsid w:val="00C460B3"/>
    <w:rsid w:val="00C47963"/>
    <w:rsid w:val="00C530DC"/>
    <w:rsid w:val="00C5350D"/>
    <w:rsid w:val="00C6123C"/>
    <w:rsid w:val="00C62C00"/>
    <w:rsid w:val="00C6311A"/>
    <w:rsid w:val="00C64BDB"/>
    <w:rsid w:val="00C7084D"/>
    <w:rsid w:val="00C7315E"/>
    <w:rsid w:val="00C736EE"/>
    <w:rsid w:val="00C75895"/>
    <w:rsid w:val="00C83C9F"/>
    <w:rsid w:val="00C90026"/>
    <w:rsid w:val="00C92BE6"/>
    <w:rsid w:val="00C93886"/>
    <w:rsid w:val="00C94519"/>
    <w:rsid w:val="00C94840"/>
    <w:rsid w:val="00CA1C03"/>
    <w:rsid w:val="00CA4EE3"/>
    <w:rsid w:val="00CA530A"/>
    <w:rsid w:val="00CB027F"/>
    <w:rsid w:val="00CB5564"/>
    <w:rsid w:val="00CC0EBB"/>
    <w:rsid w:val="00CC351F"/>
    <w:rsid w:val="00CC53BD"/>
    <w:rsid w:val="00CC584C"/>
    <w:rsid w:val="00CC6297"/>
    <w:rsid w:val="00CC7690"/>
    <w:rsid w:val="00CD15CD"/>
    <w:rsid w:val="00CD1986"/>
    <w:rsid w:val="00CD450C"/>
    <w:rsid w:val="00CD54BF"/>
    <w:rsid w:val="00CD7821"/>
    <w:rsid w:val="00CE3626"/>
    <w:rsid w:val="00CE4D5C"/>
    <w:rsid w:val="00CF01FA"/>
    <w:rsid w:val="00CF05DA"/>
    <w:rsid w:val="00CF58EB"/>
    <w:rsid w:val="00CF6123"/>
    <w:rsid w:val="00CF6FEC"/>
    <w:rsid w:val="00D0106E"/>
    <w:rsid w:val="00D0128A"/>
    <w:rsid w:val="00D06383"/>
    <w:rsid w:val="00D1051B"/>
    <w:rsid w:val="00D161E2"/>
    <w:rsid w:val="00D20D26"/>
    <w:rsid w:val="00D20E85"/>
    <w:rsid w:val="00D21F98"/>
    <w:rsid w:val="00D241F5"/>
    <w:rsid w:val="00D24615"/>
    <w:rsid w:val="00D35E69"/>
    <w:rsid w:val="00D36C85"/>
    <w:rsid w:val="00D37842"/>
    <w:rsid w:val="00D40FDE"/>
    <w:rsid w:val="00D41DDE"/>
    <w:rsid w:val="00D42DC2"/>
    <w:rsid w:val="00D4302B"/>
    <w:rsid w:val="00D537E1"/>
    <w:rsid w:val="00D55BB2"/>
    <w:rsid w:val="00D6091A"/>
    <w:rsid w:val="00D65DB9"/>
    <w:rsid w:val="00D6605A"/>
    <w:rsid w:val="00D66789"/>
    <w:rsid w:val="00D6695F"/>
    <w:rsid w:val="00D75644"/>
    <w:rsid w:val="00D8046A"/>
    <w:rsid w:val="00D8107F"/>
    <w:rsid w:val="00D81656"/>
    <w:rsid w:val="00D83D87"/>
    <w:rsid w:val="00D846D0"/>
    <w:rsid w:val="00D84A6D"/>
    <w:rsid w:val="00D86A30"/>
    <w:rsid w:val="00D87192"/>
    <w:rsid w:val="00D97CB4"/>
    <w:rsid w:val="00D97DD4"/>
    <w:rsid w:val="00DA5A8A"/>
    <w:rsid w:val="00DA664B"/>
    <w:rsid w:val="00DB1170"/>
    <w:rsid w:val="00DB26CD"/>
    <w:rsid w:val="00DB441C"/>
    <w:rsid w:val="00DB44AF"/>
    <w:rsid w:val="00DC06C1"/>
    <w:rsid w:val="00DC1F58"/>
    <w:rsid w:val="00DC339B"/>
    <w:rsid w:val="00DC5D40"/>
    <w:rsid w:val="00DC69A7"/>
    <w:rsid w:val="00DD30E9"/>
    <w:rsid w:val="00DD4F47"/>
    <w:rsid w:val="00DD5117"/>
    <w:rsid w:val="00DD6558"/>
    <w:rsid w:val="00DD7FBB"/>
    <w:rsid w:val="00DE0B9F"/>
    <w:rsid w:val="00DE2A9E"/>
    <w:rsid w:val="00DE4238"/>
    <w:rsid w:val="00DE657F"/>
    <w:rsid w:val="00DF1218"/>
    <w:rsid w:val="00DF5822"/>
    <w:rsid w:val="00DF6462"/>
    <w:rsid w:val="00DF715B"/>
    <w:rsid w:val="00E02FA0"/>
    <w:rsid w:val="00E036DC"/>
    <w:rsid w:val="00E10454"/>
    <w:rsid w:val="00E112E5"/>
    <w:rsid w:val="00E122D8"/>
    <w:rsid w:val="00E12CC8"/>
    <w:rsid w:val="00E148E1"/>
    <w:rsid w:val="00E15352"/>
    <w:rsid w:val="00E2111D"/>
    <w:rsid w:val="00E21CC7"/>
    <w:rsid w:val="00E24D9E"/>
    <w:rsid w:val="00E25642"/>
    <w:rsid w:val="00E25849"/>
    <w:rsid w:val="00E25AF3"/>
    <w:rsid w:val="00E3063A"/>
    <w:rsid w:val="00E3197E"/>
    <w:rsid w:val="00E342F8"/>
    <w:rsid w:val="00E351ED"/>
    <w:rsid w:val="00E42B19"/>
    <w:rsid w:val="00E47A62"/>
    <w:rsid w:val="00E47B97"/>
    <w:rsid w:val="00E50327"/>
    <w:rsid w:val="00E6034B"/>
    <w:rsid w:val="00E6549E"/>
    <w:rsid w:val="00E65EDE"/>
    <w:rsid w:val="00E70F81"/>
    <w:rsid w:val="00E7298D"/>
    <w:rsid w:val="00E77055"/>
    <w:rsid w:val="00E77460"/>
    <w:rsid w:val="00E83ABC"/>
    <w:rsid w:val="00E844F2"/>
    <w:rsid w:val="00E90AD0"/>
    <w:rsid w:val="00E92FCB"/>
    <w:rsid w:val="00E94FA6"/>
    <w:rsid w:val="00E96EC4"/>
    <w:rsid w:val="00E97C45"/>
    <w:rsid w:val="00EA147F"/>
    <w:rsid w:val="00EA4A27"/>
    <w:rsid w:val="00EA4FA6"/>
    <w:rsid w:val="00EB09FB"/>
    <w:rsid w:val="00EB0A0B"/>
    <w:rsid w:val="00EB1A25"/>
    <w:rsid w:val="00EB3C76"/>
    <w:rsid w:val="00EB7E4E"/>
    <w:rsid w:val="00EC2B78"/>
    <w:rsid w:val="00EC7363"/>
    <w:rsid w:val="00ED03AB"/>
    <w:rsid w:val="00ED1963"/>
    <w:rsid w:val="00ED1CD4"/>
    <w:rsid w:val="00ED1D2B"/>
    <w:rsid w:val="00ED64B5"/>
    <w:rsid w:val="00EE35D8"/>
    <w:rsid w:val="00EE7CCA"/>
    <w:rsid w:val="00EF4D18"/>
    <w:rsid w:val="00F06E53"/>
    <w:rsid w:val="00F07F82"/>
    <w:rsid w:val="00F16A14"/>
    <w:rsid w:val="00F25DCA"/>
    <w:rsid w:val="00F362D7"/>
    <w:rsid w:val="00F37D7B"/>
    <w:rsid w:val="00F42783"/>
    <w:rsid w:val="00F5314C"/>
    <w:rsid w:val="00F5688C"/>
    <w:rsid w:val="00F56F0F"/>
    <w:rsid w:val="00F60048"/>
    <w:rsid w:val="00F635DD"/>
    <w:rsid w:val="00F6627B"/>
    <w:rsid w:val="00F7336E"/>
    <w:rsid w:val="00F734F2"/>
    <w:rsid w:val="00F748FF"/>
    <w:rsid w:val="00F75052"/>
    <w:rsid w:val="00F804D3"/>
    <w:rsid w:val="00F816CB"/>
    <w:rsid w:val="00F81CD2"/>
    <w:rsid w:val="00F82641"/>
    <w:rsid w:val="00F8685A"/>
    <w:rsid w:val="00F9084E"/>
    <w:rsid w:val="00F90F18"/>
    <w:rsid w:val="00F937E4"/>
    <w:rsid w:val="00F9506B"/>
    <w:rsid w:val="00F95EE7"/>
    <w:rsid w:val="00FA39E6"/>
    <w:rsid w:val="00FA514F"/>
    <w:rsid w:val="00FA7BC9"/>
    <w:rsid w:val="00FB1FB8"/>
    <w:rsid w:val="00FB378E"/>
    <w:rsid w:val="00FB37F1"/>
    <w:rsid w:val="00FB47C0"/>
    <w:rsid w:val="00FB501B"/>
    <w:rsid w:val="00FB719A"/>
    <w:rsid w:val="00FB7770"/>
    <w:rsid w:val="00FC0199"/>
    <w:rsid w:val="00FC0C15"/>
    <w:rsid w:val="00FD3B91"/>
    <w:rsid w:val="00FD5015"/>
    <w:rsid w:val="00FD543C"/>
    <w:rsid w:val="00FD576B"/>
    <w:rsid w:val="00FD579E"/>
    <w:rsid w:val="00FD6845"/>
    <w:rsid w:val="00FE3F28"/>
    <w:rsid w:val="00FE4516"/>
    <w:rsid w:val="00FE53EA"/>
    <w:rsid w:val="00FE64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15:docId w15:val="{9B41A693-C4FB-419C-B1AA-750FC27FC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aliases w:val="題號1,壹"/>
    <w:basedOn w:val="a6"/>
    <w:qFormat/>
    <w:rsid w:val="004F5E57"/>
    <w:pPr>
      <w:numPr>
        <w:numId w:val="7"/>
      </w:numPr>
      <w:outlineLvl w:val="0"/>
    </w:pPr>
    <w:rPr>
      <w:rFonts w:hAnsi="Arial"/>
      <w:bCs/>
      <w:kern w:val="32"/>
      <w:szCs w:val="52"/>
    </w:rPr>
  </w:style>
  <w:style w:type="paragraph" w:styleId="2">
    <w:name w:val="heading 2"/>
    <w:aliases w:val="標題110/111,節,節1,標題110/111 + 內文,一.,標題 2 一、"/>
    <w:basedOn w:val="a6"/>
    <w:link w:val="20"/>
    <w:qFormat/>
    <w:rsid w:val="004F5E57"/>
    <w:pPr>
      <w:numPr>
        <w:ilvl w:val="1"/>
        <w:numId w:val="7"/>
      </w:numPr>
      <w:ind w:left="1021"/>
      <w:outlineLvl w:val="1"/>
    </w:pPr>
    <w:rPr>
      <w:rFonts w:hAnsi="Arial"/>
      <w:bCs/>
      <w:kern w:val="32"/>
      <w:szCs w:val="48"/>
    </w:rPr>
  </w:style>
  <w:style w:type="paragraph" w:styleId="3">
    <w:name w:val="heading 3"/>
    <w:aliases w:val="(一)"/>
    <w:basedOn w:val="a6"/>
    <w:link w:val="30"/>
    <w:qFormat/>
    <w:rsid w:val="004F5E57"/>
    <w:pPr>
      <w:numPr>
        <w:ilvl w:val="2"/>
        <w:numId w:val="7"/>
      </w:numPr>
      <w:outlineLvl w:val="2"/>
    </w:pPr>
    <w:rPr>
      <w:rFonts w:hAnsi="Arial"/>
      <w:bCs/>
      <w:kern w:val="32"/>
      <w:szCs w:val="36"/>
    </w:rPr>
  </w:style>
  <w:style w:type="paragraph" w:styleId="4">
    <w:name w:val="heading 4"/>
    <w:aliases w:val="表格,一,1、,1."/>
    <w:basedOn w:val="a6"/>
    <w:link w:val="40"/>
    <w:qFormat/>
    <w:rsid w:val="004F5E57"/>
    <w:pPr>
      <w:numPr>
        <w:ilvl w:val="3"/>
        <w:numId w:val="7"/>
      </w:numPr>
      <w:outlineLvl w:val="3"/>
    </w:pPr>
    <w:rPr>
      <w:rFonts w:hAnsi="Arial"/>
      <w:kern w:val="32"/>
      <w:szCs w:val="36"/>
    </w:rPr>
  </w:style>
  <w:style w:type="paragraph" w:styleId="5">
    <w:name w:val="heading 5"/>
    <w:aliases w:val="標題 5 （1）"/>
    <w:basedOn w:val="a6"/>
    <w:link w:val="50"/>
    <w:qFormat/>
    <w:rsid w:val="004F5E57"/>
    <w:pPr>
      <w:numPr>
        <w:ilvl w:val="4"/>
        <w:numId w:val="7"/>
      </w:numPr>
      <w:outlineLvl w:val="4"/>
    </w:pPr>
    <w:rPr>
      <w:rFonts w:hAnsi="Arial"/>
      <w:bCs/>
      <w:kern w:val="32"/>
      <w:szCs w:val="36"/>
    </w:rPr>
  </w:style>
  <w:style w:type="paragraph" w:styleId="6">
    <w:name w:val="heading 6"/>
    <w:aliases w:val="1"/>
    <w:basedOn w:val="a6"/>
    <w:qFormat/>
    <w:rsid w:val="004F5E57"/>
    <w:pPr>
      <w:numPr>
        <w:ilvl w:val="5"/>
        <w:numId w:val="7"/>
      </w:numPr>
      <w:tabs>
        <w:tab w:val="left" w:pos="2094"/>
      </w:tabs>
      <w:outlineLvl w:val="5"/>
    </w:pPr>
    <w:rPr>
      <w:rFonts w:hAnsi="Arial"/>
      <w:kern w:val="32"/>
      <w:szCs w:val="36"/>
    </w:rPr>
  </w:style>
  <w:style w:type="paragraph" w:styleId="7">
    <w:name w:val="heading 7"/>
    <w:aliases w:val="(1)"/>
    <w:basedOn w:val="a6"/>
    <w:link w:val="70"/>
    <w:qFormat/>
    <w:rsid w:val="004F5E57"/>
    <w:pPr>
      <w:numPr>
        <w:ilvl w:val="6"/>
        <w:numId w:val="7"/>
      </w:numPr>
      <w:outlineLvl w:val="6"/>
    </w:pPr>
    <w:rPr>
      <w:rFonts w:hAnsi="Arial"/>
      <w:bCs/>
      <w:kern w:val="32"/>
      <w:szCs w:val="36"/>
    </w:rPr>
  </w:style>
  <w:style w:type="paragraph" w:styleId="8">
    <w:name w:val="heading 8"/>
    <w:basedOn w:val="a6"/>
    <w:qFormat/>
    <w:rsid w:val="004F5E57"/>
    <w:pPr>
      <w:numPr>
        <w:ilvl w:val="7"/>
        <w:numId w:val="7"/>
      </w:numPr>
      <w:outlineLvl w:val="7"/>
    </w:pPr>
    <w:rPr>
      <w:rFonts w:hAnsi="Arial"/>
      <w:kern w:val="32"/>
      <w:szCs w:val="36"/>
    </w:rPr>
  </w:style>
  <w:style w:type="paragraph" w:styleId="9">
    <w:name w:val="heading 9"/>
    <w:basedOn w:val="a6"/>
    <w:link w:val="90"/>
    <w:unhideWhenUsed/>
    <w:qFormat/>
    <w:rsid w:val="00C055EC"/>
    <w:pPr>
      <w:numPr>
        <w:ilvl w:val="8"/>
        <w:numId w:val="7"/>
      </w:numPr>
      <w:ind w:left="3403" w:hanging="851"/>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autoSpaceDE/>
      <w:spacing w:before="240"/>
      <w:ind w:left="1021" w:hanging="1021"/>
    </w:pPr>
    <w:rPr>
      <w:snapToGrid w:val="0"/>
      <w:spacing w:val="10"/>
    </w:rPr>
  </w:style>
  <w:style w:type="paragraph" w:styleId="51">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ind w:leftChars="100" w:left="1020" w:rightChars="100" w:right="340" w:hangingChars="200" w:hanging="680"/>
    </w:pPr>
    <w:rPr>
      <w:noProof/>
    </w:rPr>
  </w:style>
  <w:style w:type="paragraph" w:styleId="31">
    <w:name w:val="toc 3"/>
    <w:basedOn w:val="a6"/>
    <w:next w:val="a6"/>
    <w:autoRedefine/>
    <w:uiPriority w:val="39"/>
    <w:rsid w:val="00CC7690"/>
    <w:pPr>
      <w:tabs>
        <w:tab w:val="right" w:leader="hyphen" w:pos="8834"/>
      </w:tabs>
      <w:ind w:leftChars="200" w:left="1360" w:rightChars="100" w:right="340" w:hangingChars="200" w:hanging="680"/>
    </w:pPr>
    <w:rPr>
      <w:noProof/>
    </w:rPr>
  </w:style>
  <w:style w:type="paragraph" w:styleId="41">
    <w:name w:val="toc 4"/>
    <w:basedOn w:val="a6"/>
    <w:next w:val="a6"/>
    <w:autoRedefine/>
    <w:semiHidden/>
    <w:rsid w:val="004E0062"/>
    <w:pPr>
      <w:ind w:leftChars="300" w:left="500" w:rightChars="200" w:right="200" w:hangingChars="200" w:hanging="200"/>
    </w:pPr>
  </w:style>
  <w:style w:type="paragraph" w:styleId="71">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2">
    <w:name w:val="段落樣式5"/>
    <w:basedOn w:val="42"/>
    <w:qFormat/>
    <w:rsid w:val="004F5E57"/>
    <w:pPr>
      <w:ind w:leftChars="600" w:left="600"/>
    </w:pPr>
  </w:style>
  <w:style w:type="paragraph" w:customStyle="1" w:styleId="61">
    <w:name w:val="段落樣式6"/>
    <w:basedOn w:val="52"/>
    <w:qFormat/>
    <w:rsid w:val="004F5E57"/>
    <w:pPr>
      <w:ind w:leftChars="700" w:left="700"/>
    </w:pPr>
  </w:style>
  <w:style w:type="paragraph" w:customStyle="1" w:styleId="72">
    <w:name w:val="段落樣式7"/>
    <w:basedOn w:val="61"/>
    <w:qFormat/>
    <w:rsid w:val="004F5E57"/>
    <w:pPr>
      <w:ind w:leftChars="800" w:left="800"/>
    </w:pPr>
  </w:style>
  <w:style w:type="paragraph" w:customStyle="1" w:styleId="81">
    <w:name w:val="段落樣式8"/>
    <w:basedOn w:val="72"/>
    <w:qFormat/>
    <w:rsid w:val="004F5E57"/>
    <w:pPr>
      <w:ind w:leftChars="900" w:left="900"/>
    </w:pPr>
  </w:style>
  <w:style w:type="paragraph" w:customStyle="1" w:styleId="a0">
    <w:name w:val="附表樣式"/>
    <w:basedOn w:val="a6"/>
    <w:qFormat/>
    <w:rsid w:val="00B77D18"/>
    <w:pPr>
      <w:keepNext/>
      <w:numPr>
        <w:numId w:val="1"/>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2"/>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4"/>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5"/>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6"/>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9"/>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rsid w:val="004F472A"/>
    <w:rPr>
      <w:rFonts w:ascii="Calibri" w:eastAsia="標楷體" w:hAnsi="Courier New" w:cs="Courier New"/>
      <w:color w:val="244061" w:themeColor="accent1" w:themeShade="80"/>
      <w:sz w:val="28"/>
      <w:szCs w:val="24"/>
    </w:rPr>
  </w:style>
  <w:style w:type="character" w:customStyle="1" w:styleId="20">
    <w:name w:val="標題 2 字元"/>
    <w:aliases w:val="標題110/111 字元,節 字元,節1 字元,標題110/111 + 內文 字元,一. 字元,標題 2 一、 字元"/>
    <w:basedOn w:val="a7"/>
    <w:link w:val="2"/>
    <w:rsid w:val="0031455E"/>
    <w:rPr>
      <w:rFonts w:ascii="標楷體" w:eastAsia="標楷體" w:hAnsi="Arial"/>
      <w:bCs/>
      <w:kern w:val="32"/>
      <w:sz w:val="32"/>
      <w:szCs w:val="48"/>
    </w:rPr>
  </w:style>
  <w:style w:type="paragraph" w:styleId="afc">
    <w:name w:val="footnote text"/>
    <w:aliases w:val="字元,註腳文字 字元 字元 字元,註腳文字 字元 字元"/>
    <w:basedOn w:val="a6"/>
    <w:link w:val="afd"/>
    <w:uiPriority w:val="99"/>
    <w:unhideWhenUsed/>
    <w:rsid w:val="00211DA0"/>
    <w:pPr>
      <w:snapToGrid w:val="0"/>
      <w:jc w:val="left"/>
    </w:pPr>
    <w:rPr>
      <w:sz w:val="20"/>
    </w:rPr>
  </w:style>
  <w:style w:type="character" w:customStyle="1" w:styleId="afd">
    <w:name w:val="註腳文字 字元"/>
    <w:aliases w:val="字元 字元,註腳文字 字元 字元 字元 字元,註腳文字 字元 字元 字元1"/>
    <w:basedOn w:val="a7"/>
    <w:link w:val="afc"/>
    <w:uiPriority w:val="99"/>
    <w:rsid w:val="00211DA0"/>
    <w:rPr>
      <w:rFonts w:ascii="標楷體" w:eastAsia="標楷體"/>
      <w:kern w:val="2"/>
    </w:rPr>
  </w:style>
  <w:style w:type="character" w:styleId="afe">
    <w:name w:val="footnote reference"/>
    <w:aliases w:val="FR,Ref,de nota al pie,註腳內容,Error-Fußnotenzeichen5,Error-Fußnotenzeichen6,Error-Fußnotenzeichen3"/>
    <w:basedOn w:val="a7"/>
    <w:uiPriority w:val="99"/>
    <w:unhideWhenUsed/>
    <w:rsid w:val="00211DA0"/>
    <w:rPr>
      <w:vertAlign w:val="superscript"/>
    </w:rPr>
  </w:style>
  <w:style w:type="character" w:customStyle="1" w:styleId="50">
    <w:name w:val="標題 5 字元"/>
    <w:aliases w:val="標題 5 （1） 字元"/>
    <w:basedOn w:val="a7"/>
    <w:link w:val="5"/>
    <w:rsid w:val="005E6368"/>
    <w:rPr>
      <w:rFonts w:ascii="標楷體" w:eastAsia="標楷體" w:hAnsi="Arial"/>
      <w:bCs/>
      <w:kern w:val="32"/>
      <w:sz w:val="32"/>
      <w:szCs w:val="36"/>
    </w:rPr>
  </w:style>
  <w:style w:type="character" w:customStyle="1" w:styleId="70">
    <w:name w:val="標題 7 字元"/>
    <w:aliases w:val="(1) 字元"/>
    <w:basedOn w:val="a7"/>
    <w:link w:val="7"/>
    <w:rsid w:val="00F9084E"/>
    <w:rPr>
      <w:rFonts w:ascii="標楷體" w:eastAsia="標楷體" w:hAnsi="Arial"/>
      <w:bCs/>
      <w:kern w:val="32"/>
      <w:sz w:val="32"/>
      <w:szCs w:val="36"/>
    </w:rPr>
  </w:style>
  <w:style w:type="character" w:customStyle="1" w:styleId="30">
    <w:name w:val="標題 3 字元"/>
    <w:aliases w:val="(一) 字元"/>
    <w:basedOn w:val="a7"/>
    <w:link w:val="3"/>
    <w:rsid w:val="004E031A"/>
    <w:rPr>
      <w:rFonts w:ascii="標楷體" w:eastAsia="標楷體" w:hAnsi="Arial"/>
      <w:bCs/>
      <w:kern w:val="32"/>
      <w:sz w:val="32"/>
      <w:szCs w:val="36"/>
    </w:rPr>
  </w:style>
  <w:style w:type="character" w:customStyle="1" w:styleId="40">
    <w:name w:val="標題 4 字元"/>
    <w:aliases w:val="表格 字元,一 字元,1、 字元,1. 字元"/>
    <w:basedOn w:val="a7"/>
    <w:link w:val="4"/>
    <w:rsid w:val="001F61E9"/>
    <w:rPr>
      <w:rFonts w:ascii="標楷體" w:eastAsia="標楷體" w:hAnsi="Arial"/>
      <w:kern w:val="32"/>
      <w:sz w:val="32"/>
      <w:szCs w:val="36"/>
    </w:rPr>
  </w:style>
  <w:style w:type="paragraph" w:styleId="aff">
    <w:name w:val="Revision"/>
    <w:hidden/>
    <w:uiPriority w:val="99"/>
    <w:semiHidden/>
    <w:rsid w:val="00F9506B"/>
    <w:rPr>
      <w:rFonts w:ascii="標楷體" w:eastAsia="標楷體"/>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1284918038">
      <w:bodyDiv w:val="1"/>
      <w:marLeft w:val="0"/>
      <w:marRight w:val="0"/>
      <w:marTop w:val="0"/>
      <w:marBottom w:val="0"/>
      <w:divBdr>
        <w:top w:val="none" w:sz="0" w:space="0" w:color="auto"/>
        <w:left w:val="none" w:sz="0" w:space="0" w:color="auto"/>
        <w:bottom w:val="none" w:sz="0" w:space="0" w:color="auto"/>
        <w:right w:val="none" w:sz="0" w:space="0" w:color="auto"/>
      </w:divBdr>
      <w:divsChild>
        <w:div w:id="47606326">
          <w:marLeft w:val="0"/>
          <w:marRight w:val="0"/>
          <w:marTop w:val="0"/>
          <w:marBottom w:val="0"/>
          <w:divBdr>
            <w:top w:val="none" w:sz="0" w:space="0" w:color="auto"/>
            <w:left w:val="none" w:sz="0" w:space="0" w:color="auto"/>
            <w:bottom w:val="none" w:sz="0" w:space="0" w:color="auto"/>
            <w:right w:val="none" w:sz="0" w:space="0" w:color="auto"/>
          </w:divBdr>
          <w:divsChild>
            <w:div w:id="710425734">
              <w:marLeft w:val="0"/>
              <w:marRight w:val="0"/>
              <w:marTop w:val="0"/>
              <w:marBottom w:val="0"/>
              <w:divBdr>
                <w:top w:val="none" w:sz="0" w:space="0" w:color="auto"/>
                <w:left w:val="none" w:sz="0" w:space="0" w:color="auto"/>
                <w:bottom w:val="none" w:sz="0" w:space="0" w:color="auto"/>
                <w:right w:val="none" w:sz="0" w:space="0" w:color="auto"/>
              </w:divBdr>
              <w:divsChild>
                <w:div w:id="2080127765">
                  <w:marLeft w:val="0"/>
                  <w:marRight w:val="0"/>
                  <w:marTop w:val="0"/>
                  <w:marBottom w:val="450"/>
                  <w:divBdr>
                    <w:top w:val="none" w:sz="0" w:space="0" w:color="auto"/>
                    <w:left w:val="none" w:sz="0" w:space="0" w:color="auto"/>
                    <w:bottom w:val="none" w:sz="0" w:space="0" w:color="auto"/>
                    <w:right w:val="none" w:sz="0" w:space="0" w:color="auto"/>
                  </w:divBdr>
                  <w:divsChild>
                    <w:div w:id="701056652">
                      <w:marLeft w:val="0"/>
                      <w:marRight w:val="0"/>
                      <w:marTop w:val="0"/>
                      <w:marBottom w:val="0"/>
                      <w:divBdr>
                        <w:top w:val="none" w:sz="0" w:space="0" w:color="auto"/>
                        <w:left w:val="none" w:sz="0" w:space="0" w:color="auto"/>
                        <w:bottom w:val="none" w:sz="0" w:space="0" w:color="auto"/>
                        <w:right w:val="none" w:sz="0" w:space="0" w:color="auto"/>
                      </w:divBdr>
                      <w:divsChild>
                        <w:div w:id="206649506">
                          <w:marLeft w:val="0"/>
                          <w:marRight w:val="0"/>
                          <w:marTop w:val="0"/>
                          <w:marBottom w:val="0"/>
                          <w:divBdr>
                            <w:top w:val="none" w:sz="0" w:space="0" w:color="auto"/>
                            <w:left w:val="none" w:sz="0" w:space="0" w:color="auto"/>
                            <w:bottom w:val="none" w:sz="0" w:space="0" w:color="auto"/>
                            <w:right w:val="none" w:sz="0" w:space="0" w:color="auto"/>
                          </w:divBdr>
                          <w:divsChild>
                            <w:div w:id="16100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763257">
      <w:bodyDiv w:val="1"/>
      <w:marLeft w:val="0"/>
      <w:marRight w:val="0"/>
      <w:marTop w:val="0"/>
      <w:marBottom w:val="0"/>
      <w:divBdr>
        <w:top w:val="none" w:sz="0" w:space="0" w:color="auto"/>
        <w:left w:val="none" w:sz="0" w:space="0" w:color="auto"/>
        <w:bottom w:val="none" w:sz="0" w:space="0" w:color="auto"/>
        <w:right w:val="none" w:sz="0" w:space="0" w:color="auto"/>
      </w:divBdr>
      <w:divsChild>
        <w:div w:id="715011828">
          <w:marLeft w:val="0"/>
          <w:marRight w:val="0"/>
          <w:marTop w:val="0"/>
          <w:marBottom w:val="0"/>
          <w:divBdr>
            <w:top w:val="none" w:sz="0" w:space="0" w:color="auto"/>
            <w:left w:val="none" w:sz="0" w:space="0" w:color="auto"/>
            <w:bottom w:val="none" w:sz="0" w:space="0" w:color="auto"/>
            <w:right w:val="none" w:sz="0" w:space="0" w:color="auto"/>
          </w:divBdr>
          <w:divsChild>
            <w:div w:id="2114205077">
              <w:marLeft w:val="0"/>
              <w:marRight w:val="0"/>
              <w:marTop w:val="0"/>
              <w:marBottom w:val="0"/>
              <w:divBdr>
                <w:top w:val="none" w:sz="0" w:space="0" w:color="auto"/>
                <w:left w:val="none" w:sz="0" w:space="0" w:color="auto"/>
                <w:bottom w:val="none" w:sz="0" w:space="0" w:color="auto"/>
                <w:right w:val="none" w:sz="0" w:space="0" w:color="auto"/>
              </w:divBdr>
              <w:divsChild>
                <w:div w:id="484857789">
                  <w:marLeft w:val="0"/>
                  <w:marRight w:val="0"/>
                  <w:marTop w:val="0"/>
                  <w:marBottom w:val="450"/>
                  <w:divBdr>
                    <w:top w:val="none" w:sz="0" w:space="0" w:color="auto"/>
                    <w:left w:val="none" w:sz="0" w:space="0" w:color="auto"/>
                    <w:bottom w:val="none" w:sz="0" w:space="0" w:color="auto"/>
                    <w:right w:val="none" w:sz="0" w:space="0" w:color="auto"/>
                  </w:divBdr>
                  <w:divsChild>
                    <w:div w:id="1634434828">
                      <w:marLeft w:val="0"/>
                      <w:marRight w:val="0"/>
                      <w:marTop w:val="0"/>
                      <w:marBottom w:val="0"/>
                      <w:divBdr>
                        <w:top w:val="none" w:sz="0" w:space="0" w:color="auto"/>
                        <w:left w:val="none" w:sz="0" w:space="0" w:color="auto"/>
                        <w:bottom w:val="none" w:sz="0" w:space="0" w:color="auto"/>
                        <w:right w:val="none" w:sz="0" w:space="0" w:color="auto"/>
                      </w:divBdr>
                      <w:divsChild>
                        <w:div w:id="848760902">
                          <w:marLeft w:val="0"/>
                          <w:marRight w:val="0"/>
                          <w:marTop w:val="0"/>
                          <w:marBottom w:val="0"/>
                          <w:divBdr>
                            <w:top w:val="none" w:sz="0" w:space="0" w:color="auto"/>
                            <w:left w:val="none" w:sz="0" w:space="0" w:color="auto"/>
                            <w:bottom w:val="none" w:sz="0" w:space="0" w:color="auto"/>
                            <w:right w:val="none" w:sz="0" w:space="0" w:color="auto"/>
                          </w:divBdr>
                          <w:divsChild>
                            <w:div w:id="7356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49C7E-8844-4BBD-91EC-6C1DE0CF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1954</Words>
  <Characters>11140</Characters>
  <Application>Microsoft Office Word</Application>
  <DocSecurity>0</DocSecurity>
  <Lines>92</Lines>
  <Paragraphs>26</Paragraphs>
  <ScaleCrop>false</ScaleCrop>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張瓊惠</dc:creator>
  <cp:keywords/>
  <cp:lastModifiedBy>賴淑玲</cp:lastModifiedBy>
  <cp:revision>2</cp:revision>
  <dcterms:created xsi:type="dcterms:W3CDTF">2026-07-20T08:12:00Z</dcterms:created>
  <dcterms:modified xsi:type="dcterms:W3CDTF">2026-07-20T08:12:00Z</dcterms:modified>
  <cp:contentStatus/>
</cp:coreProperties>
</file>