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rsidP="0008246C">
      <w:pPr>
        <w:pStyle w:val="a7"/>
        <w:kinsoku w:val="0"/>
        <w:spacing w:before="0"/>
        <w:ind w:leftChars="700" w:left="2381" w:firstLineChars="50" w:firstLine="410"/>
        <w:rPr>
          <w:bCs/>
          <w:snapToGrid/>
          <w:kern w:val="0"/>
          <w:sz w:val="40"/>
        </w:rPr>
      </w:pPr>
      <w:r>
        <w:rPr>
          <w:rFonts w:hint="eastAsia"/>
          <w:bCs/>
          <w:snapToGrid/>
          <w:spacing w:val="200"/>
          <w:kern w:val="0"/>
          <w:sz w:val="40"/>
        </w:rPr>
        <w:t>糾正案文</w:t>
      </w:r>
    </w:p>
    <w:p w:rsidR="008A4910" w:rsidRDefault="00B34457" w:rsidP="00F50630">
      <w:pPr>
        <w:pStyle w:val="1"/>
        <w:kinsoku/>
        <w:ind w:left="2722" w:hanging="2722"/>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D034E" w:rsidRPr="00B365F4">
        <w:rPr>
          <w:rFonts w:hint="eastAsia"/>
          <w:color w:val="000000"/>
        </w:rPr>
        <w:t>行政院原子能委員會</w:t>
      </w:r>
      <w:r w:rsidR="000D034E" w:rsidRPr="000D034E">
        <w:rPr>
          <w:rFonts w:hint="eastAsia"/>
          <w:color w:val="000000"/>
        </w:rPr>
        <w:t>、台灣電力股份有限公司</w:t>
      </w:r>
      <w:r w:rsidR="00AD0491" w:rsidRPr="000D034E">
        <w:rPr>
          <w:rFonts w:hint="eastAsia"/>
          <w:color w:val="000000"/>
        </w:rPr>
        <w:t>、</w:t>
      </w:r>
      <w:r w:rsidR="00AD0491" w:rsidRPr="00AD0491">
        <w:rPr>
          <w:rFonts w:hint="eastAsia"/>
          <w:szCs w:val="32"/>
        </w:rPr>
        <w:t>墾丁國家公園管理處</w:t>
      </w:r>
      <w:r w:rsidRPr="00FB15E9">
        <w:rPr>
          <w:rFonts w:hint="eastAsia"/>
        </w:rPr>
        <w:t>。</w:t>
      </w:r>
    </w:p>
    <w:p w:rsidR="00994DC6" w:rsidRPr="00AD0491" w:rsidRDefault="00B34457" w:rsidP="003E7A7D">
      <w:pPr>
        <w:pStyle w:val="1"/>
        <w:ind w:leftChars="-13" w:left="2575" w:hangingChars="770" w:hanging="2619"/>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6E53F5" w:rsidRPr="00B365F4">
        <w:rPr>
          <w:rFonts w:hint="eastAsia"/>
          <w:color w:val="000000"/>
        </w:rPr>
        <w:t>行政院原子能委員會</w:t>
      </w:r>
      <w:r w:rsidR="006E53F5">
        <w:rPr>
          <w:rFonts w:hint="eastAsia"/>
          <w:color w:val="000000"/>
        </w:rPr>
        <w:t>委請</w:t>
      </w:r>
      <w:r w:rsidR="006E53F5" w:rsidRPr="006E53F5">
        <w:rPr>
          <w:color w:val="000000"/>
        </w:rPr>
        <w:t>經濟合作暨發展組織</w:t>
      </w:r>
      <w:r w:rsidR="006E53F5" w:rsidRPr="006E53F5">
        <w:rPr>
          <w:rFonts w:hint="eastAsia"/>
          <w:color w:val="000000"/>
        </w:rPr>
        <w:t>所屬</w:t>
      </w:r>
      <w:r w:rsidR="006E53F5" w:rsidRPr="006E53F5">
        <w:rPr>
          <w:color w:val="000000"/>
        </w:rPr>
        <w:t>核能署</w:t>
      </w:r>
      <w:r w:rsidR="006E53F5" w:rsidRPr="006E53F5">
        <w:rPr>
          <w:rFonts w:hint="eastAsia"/>
          <w:color w:val="000000"/>
        </w:rPr>
        <w:t>進行</w:t>
      </w:r>
      <w:r w:rsidR="006E53F5" w:rsidRPr="006E53F5">
        <w:rPr>
          <w:color w:val="000000"/>
        </w:rPr>
        <w:t>壓力測試獨立</w:t>
      </w:r>
      <w:r w:rsidR="006E53F5" w:rsidRPr="006E53F5">
        <w:rPr>
          <w:rFonts w:hint="eastAsia"/>
          <w:color w:val="000000"/>
        </w:rPr>
        <w:t>同行審查</w:t>
      </w:r>
      <w:r w:rsidR="006E53F5" w:rsidRPr="006E53F5">
        <w:rPr>
          <w:color w:val="000000"/>
        </w:rPr>
        <w:t>之</w:t>
      </w:r>
      <w:r w:rsidR="006E53F5" w:rsidRPr="006E53F5">
        <w:rPr>
          <w:rFonts w:hint="eastAsia"/>
          <w:color w:val="000000"/>
        </w:rPr>
        <w:t>審查小組成員中，竟有1人為我國人</w:t>
      </w:r>
      <w:r w:rsidR="006E53F5">
        <w:rPr>
          <w:rFonts w:hint="eastAsia"/>
          <w:color w:val="000000"/>
        </w:rPr>
        <w:t>；</w:t>
      </w:r>
      <w:proofErr w:type="gramStart"/>
      <w:r w:rsidR="006E53F5">
        <w:rPr>
          <w:rFonts w:hint="eastAsia"/>
          <w:color w:val="000000"/>
        </w:rPr>
        <w:t>嗣</w:t>
      </w:r>
      <w:proofErr w:type="gramEnd"/>
      <w:r w:rsidR="006E53F5" w:rsidRPr="006E53F5">
        <w:rPr>
          <w:rFonts w:hint="eastAsia"/>
          <w:color w:val="000000"/>
        </w:rPr>
        <w:t>請</w:t>
      </w:r>
      <w:r w:rsidR="006E53F5" w:rsidRPr="000D35BC">
        <w:rPr>
          <w:rFonts w:hint="eastAsia"/>
          <w:color w:val="000000"/>
        </w:rPr>
        <w:t>歐盟執委會</w:t>
      </w:r>
      <w:r w:rsidR="006F1DE3" w:rsidRPr="000D35BC">
        <w:rPr>
          <w:rFonts w:hint="eastAsia"/>
          <w:color w:val="000000"/>
        </w:rPr>
        <w:t>/歐洲核能安全管制者組織</w:t>
      </w:r>
      <w:r w:rsidR="006E53F5">
        <w:rPr>
          <w:rFonts w:hint="eastAsia"/>
          <w:color w:val="000000"/>
        </w:rPr>
        <w:t>執</w:t>
      </w:r>
      <w:r w:rsidR="006E53F5" w:rsidRPr="006E53F5">
        <w:rPr>
          <w:rFonts w:hint="eastAsia"/>
          <w:color w:val="000000"/>
        </w:rPr>
        <w:t>行獨立同行審查</w:t>
      </w:r>
      <w:r w:rsidR="006E53F5">
        <w:rPr>
          <w:rFonts w:hint="eastAsia"/>
          <w:color w:val="000000"/>
        </w:rPr>
        <w:t>之</w:t>
      </w:r>
      <w:r w:rsidR="006E53F5" w:rsidRPr="006E53F5">
        <w:rPr>
          <w:rFonts w:hint="eastAsia"/>
          <w:color w:val="000000"/>
        </w:rPr>
        <w:t>審查報告，原能會未在國內與歐洲舉辦公開研討會，</w:t>
      </w:r>
      <w:proofErr w:type="gramStart"/>
      <w:r w:rsidR="006E53F5" w:rsidRPr="006E53F5">
        <w:rPr>
          <w:rFonts w:hint="eastAsia"/>
          <w:color w:val="000000"/>
        </w:rPr>
        <w:t>均</w:t>
      </w:r>
      <w:r w:rsidR="006E53F5">
        <w:rPr>
          <w:rFonts w:hint="eastAsia"/>
          <w:color w:val="000000"/>
        </w:rPr>
        <w:t>有違</w:t>
      </w:r>
      <w:proofErr w:type="gramEnd"/>
      <w:r w:rsidR="006E53F5" w:rsidRPr="006E53F5">
        <w:rPr>
          <w:rFonts w:hint="eastAsia"/>
          <w:color w:val="000000"/>
        </w:rPr>
        <w:t>歐盟壓力測試</w:t>
      </w:r>
      <w:r w:rsidR="006E53F5">
        <w:rPr>
          <w:rFonts w:hint="eastAsia"/>
          <w:color w:val="000000"/>
        </w:rPr>
        <w:t>之相關</w:t>
      </w:r>
      <w:r w:rsidR="006E53F5" w:rsidRPr="006E53F5">
        <w:rPr>
          <w:rFonts w:hint="eastAsia"/>
          <w:color w:val="000000"/>
        </w:rPr>
        <w:t>規範</w:t>
      </w:r>
      <w:r w:rsidR="006E53F5">
        <w:rPr>
          <w:rFonts w:hint="eastAsia"/>
          <w:color w:val="000000"/>
        </w:rPr>
        <w:t>；又</w:t>
      </w:r>
      <w:r w:rsidR="006E53F5" w:rsidRPr="000D034E">
        <w:rPr>
          <w:rFonts w:hint="eastAsia"/>
          <w:color w:val="000000"/>
        </w:rPr>
        <w:t>台灣電力股份有限公司</w:t>
      </w:r>
      <w:r w:rsidR="006E53F5" w:rsidRPr="006E53F5">
        <w:rPr>
          <w:rFonts w:hint="eastAsia"/>
          <w:color w:val="000000"/>
        </w:rPr>
        <w:t>運轉中之三座核電廠近年之違規案件及</w:t>
      </w:r>
      <w:r w:rsidR="00AB0903">
        <w:rPr>
          <w:rFonts w:hint="eastAsia"/>
          <w:color w:val="000000"/>
        </w:rPr>
        <w:t>注意改進</w:t>
      </w:r>
      <w:r w:rsidR="006E53F5" w:rsidRPr="006E53F5">
        <w:rPr>
          <w:rFonts w:hint="eastAsia"/>
          <w:color w:val="000000"/>
        </w:rPr>
        <w:t>事項日益增多</w:t>
      </w:r>
      <w:r w:rsidR="00DB7222" w:rsidRPr="00DB7222">
        <w:rPr>
          <w:rFonts w:hint="eastAsia"/>
          <w:color w:val="0000FF"/>
        </w:rPr>
        <w:t>，</w:t>
      </w:r>
      <w:r w:rsidR="006E53F5" w:rsidRPr="006E53F5">
        <w:rPr>
          <w:rFonts w:hint="eastAsia"/>
          <w:color w:val="000000"/>
        </w:rPr>
        <w:t>顯示各廠近年違反相關法令事件頻繁</w:t>
      </w:r>
      <w:r w:rsidR="00AD0491">
        <w:rPr>
          <w:rFonts w:hint="eastAsia"/>
          <w:color w:val="000000"/>
        </w:rPr>
        <w:t>；另</w:t>
      </w:r>
      <w:r w:rsidR="00AD0491" w:rsidRPr="00AD0491">
        <w:rPr>
          <w:rFonts w:hint="eastAsia"/>
          <w:szCs w:val="32"/>
        </w:rPr>
        <w:t>墾丁國家公園管理處</w:t>
      </w:r>
      <w:r w:rsidR="00AD0491">
        <w:rPr>
          <w:rFonts w:hint="eastAsia"/>
          <w:szCs w:val="32"/>
        </w:rPr>
        <w:t>對於</w:t>
      </w:r>
      <w:r w:rsidR="00AD0491" w:rsidRPr="00AD0491">
        <w:rPr>
          <w:rFonts w:hint="eastAsia"/>
          <w:szCs w:val="32"/>
        </w:rPr>
        <w:t>核三廠附近之違章建築</w:t>
      </w:r>
      <w:r w:rsidR="00AD0491" w:rsidRPr="00AD0491">
        <w:rPr>
          <w:rFonts w:hint="eastAsia"/>
        </w:rPr>
        <w:t>未</w:t>
      </w:r>
      <w:r w:rsidR="00AD0491" w:rsidRPr="00AD0491">
        <w:rPr>
          <w:rFonts w:hint="eastAsia"/>
          <w:szCs w:val="32"/>
        </w:rPr>
        <w:t>能儘速</w:t>
      </w:r>
      <w:r w:rsidR="00AD0491" w:rsidRPr="00AD0491">
        <w:rPr>
          <w:rFonts w:hint="eastAsia"/>
        </w:rPr>
        <w:t>拆除</w:t>
      </w:r>
      <w:r w:rsidR="00DE5245" w:rsidRPr="00DE5245">
        <w:rPr>
          <w:rFonts w:hint="eastAsia"/>
        </w:rPr>
        <w:t>，</w:t>
      </w:r>
      <w:r w:rsidR="00AD0491" w:rsidRPr="00AD0491">
        <w:rPr>
          <w:rFonts w:hint="eastAsia"/>
        </w:rPr>
        <w:t>有礙公共安全</w:t>
      </w:r>
      <w:r w:rsidR="00AD0491">
        <w:rPr>
          <w:rFonts w:hint="eastAsia"/>
        </w:rPr>
        <w:t>，</w:t>
      </w:r>
      <w:proofErr w:type="gramStart"/>
      <w:r w:rsidR="00DE5245" w:rsidRPr="00DE5245">
        <w:rPr>
          <w:rFonts w:hint="eastAsia"/>
        </w:rPr>
        <w:t>均核有</w:t>
      </w:r>
      <w:proofErr w:type="gramEnd"/>
      <w:r w:rsidR="00DE5245" w:rsidRPr="00DE5245">
        <w:rPr>
          <w:rFonts w:hint="eastAsia"/>
        </w:rPr>
        <w:t>違失，</w:t>
      </w:r>
      <w:proofErr w:type="gramStart"/>
      <w:r w:rsidR="00DE5245" w:rsidRPr="00DE5245">
        <w:rPr>
          <w:rFonts w:hint="eastAsia"/>
        </w:rPr>
        <w:t>爰</w:t>
      </w:r>
      <w:proofErr w:type="gramEnd"/>
      <w:r w:rsidR="00DE5245" w:rsidRPr="00DE5245">
        <w:rPr>
          <w:rFonts w:hint="eastAsia"/>
        </w:rPr>
        <w:t>依法提案糾正</w:t>
      </w:r>
      <w:r w:rsidR="00D96D80">
        <w:rPr>
          <w:rFonts w:hint="eastAsia"/>
        </w:rPr>
        <w:t>。</w:t>
      </w:r>
    </w:p>
    <w:p w:rsidR="008A4910" w:rsidRDefault="00B34457" w:rsidP="001014D7">
      <w:pPr>
        <w:pStyle w:val="1"/>
        <w:spacing w:beforeLines="20"/>
        <w:ind w:left="2381" w:hangingChars="700" w:hanging="2381"/>
        <w:rPr>
          <w:color w:val="000000"/>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r w:rsidR="006E53F5">
        <w:rPr>
          <w:rFonts w:hint="eastAsia"/>
          <w:color w:val="000000"/>
        </w:rPr>
        <w:t xml:space="preserve"> </w:t>
      </w:r>
    </w:p>
    <w:p w:rsidR="00271BE3" w:rsidRPr="005C1E4B" w:rsidRDefault="000D034E" w:rsidP="001014D7">
      <w:pPr>
        <w:pStyle w:val="12"/>
        <w:spacing w:beforeLines="20"/>
        <w:ind w:left="680" w:firstLine="680"/>
      </w:pPr>
      <w:r w:rsidRPr="00B365F4">
        <w:rPr>
          <w:rFonts w:hint="eastAsia"/>
          <w:color w:val="000000"/>
        </w:rPr>
        <w:t>日本東北海域</w:t>
      </w:r>
      <w:r>
        <w:rPr>
          <w:rFonts w:hint="eastAsia"/>
          <w:color w:val="000000"/>
        </w:rPr>
        <w:t>於民國(下同)</w:t>
      </w:r>
      <w:r w:rsidRPr="00B365F4">
        <w:rPr>
          <w:rFonts w:hint="eastAsia"/>
          <w:color w:val="000000"/>
        </w:rPr>
        <w:t>100年</w:t>
      </w:r>
      <w:r w:rsidRPr="00B365F4">
        <w:rPr>
          <w:color w:val="000000"/>
        </w:rPr>
        <w:t>3</w:t>
      </w:r>
      <w:r w:rsidRPr="00B365F4">
        <w:rPr>
          <w:rFonts w:hint="eastAsia"/>
          <w:color w:val="000000"/>
        </w:rPr>
        <w:t>月</w:t>
      </w:r>
      <w:r w:rsidRPr="00B365F4">
        <w:rPr>
          <w:color w:val="000000"/>
        </w:rPr>
        <w:t>11</w:t>
      </w:r>
      <w:r w:rsidRPr="00B365F4">
        <w:rPr>
          <w:rFonts w:hint="eastAsia"/>
          <w:color w:val="000000"/>
        </w:rPr>
        <w:t>日發生芮氏規模9.0超強地震，引發超過10公尺高海嘯侵襲福島縣等地區，造成</w:t>
      </w:r>
      <w:r w:rsidRPr="00B365F4">
        <w:rPr>
          <w:rFonts w:hAnsi="標楷體"/>
          <w:color w:val="000000"/>
          <w:szCs w:val="32"/>
        </w:rPr>
        <w:t>福島縣第一核</w:t>
      </w:r>
      <w:r w:rsidRPr="00B365F4">
        <w:rPr>
          <w:rFonts w:hAnsi="標楷體" w:hint="eastAsia"/>
          <w:color w:val="000000"/>
          <w:szCs w:val="32"/>
        </w:rPr>
        <w:t>能發</w:t>
      </w:r>
      <w:r w:rsidRPr="00B365F4">
        <w:rPr>
          <w:rFonts w:hAnsi="標楷體"/>
          <w:color w:val="000000"/>
          <w:szCs w:val="32"/>
        </w:rPr>
        <w:t>電廠</w:t>
      </w:r>
      <w:r w:rsidRPr="00B365F4">
        <w:rPr>
          <w:rFonts w:hint="eastAsia"/>
          <w:color w:val="000000"/>
        </w:rPr>
        <w:t>（下稱福島核一廠）</w:t>
      </w:r>
      <w:r>
        <w:rPr>
          <w:rFonts w:hint="eastAsia"/>
          <w:color w:val="000000"/>
        </w:rPr>
        <w:t>發生重大核災</w:t>
      </w:r>
      <w:r w:rsidRPr="00E260DB">
        <w:rPr>
          <w:rFonts w:hint="eastAsia"/>
        </w:rPr>
        <w:t>事故(下稱311福島事故)，本院為瞭解</w:t>
      </w:r>
      <w:r w:rsidRPr="00E260DB">
        <w:rPr>
          <w:rFonts w:hAnsi="標楷體" w:hint="eastAsia"/>
          <w:noProof/>
          <w:szCs w:val="32"/>
        </w:rPr>
        <w:t>台灣電力股份有限公司</w:t>
      </w:r>
      <w:r w:rsidRPr="00B365F4">
        <w:rPr>
          <w:rFonts w:hint="eastAsia"/>
          <w:color w:val="000000"/>
        </w:rPr>
        <w:t>(下稱</w:t>
      </w:r>
      <w:r>
        <w:rPr>
          <w:rFonts w:hAnsi="標楷體" w:hint="eastAsia"/>
          <w:color w:val="000000"/>
          <w:szCs w:val="32"/>
        </w:rPr>
        <w:t>台電</w:t>
      </w:r>
      <w:r w:rsidRPr="00B365F4">
        <w:rPr>
          <w:rFonts w:hAnsi="標楷體" w:hint="eastAsia"/>
          <w:color w:val="000000"/>
          <w:szCs w:val="32"/>
        </w:rPr>
        <w:t>公司</w:t>
      </w:r>
      <w:r w:rsidRPr="00B365F4">
        <w:rPr>
          <w:rFonts w:hint="eastAsia"/>
          <w:color w:val="000000"/>
        </w:rPr>
        <w:t>)</w:t>
      </w:r>
      <w:r>
        <w:rPr>
          <w:rFonts w:hint="eastAsia"/>
          <w:color w:val="000000"/>
        </w:rPr>
        <w:t>、</w:t>
      </w:r>
      <w:r w:rsidRPr="00B365F4">
        <w:rPr>
          <w:rFonts w:hint="eastAsia"/>
          <w:color w:val="000000"/>
        </w:rPr>
        <w:t>行政院原子能委員會(下稱原能會)及經濟部</w:t>
      </w:r>
      <w:r>
        <w:rPr>
          <w:rFonts w:hint="eastAsia"/>
          <w:color w:val="000000"/>
        </w:rPr>
        <w:t>等</w:t>
      </w:r>
      <w:r w:rsidRPr="00B365F4">
        <w:rPr>
          <w:rFonts w:hint="eastAsia"/>
          <w:color w:val="000000"/>
        </w:rPr>
        <w:t>權責機關</w:t>
      </w:r>
      <w:r>
        <w:rPr>
          <w:rFonts w:hint="eastAsia"/>
          <w:color w:val="000000"/>
        </w:rPr>
        <w:t>，</w:t>
      </w:r>
      <w:r w:rsidRPr="00B365F4">
        <w:rPr>
          <w:rFonts w:hint="eastAsia"/>
          <w:color w:val="000000"/>
        </w:rPr>
        <w:t>對於</w:t>
      </w:r>
      <w:r>
        <w:rPr>
          <w:rFonts w:hint="eastAsia"/>
          <w:color w:val="000000"/>
        </w:rPr>
        <w:t>國內運轉中之</w:t>
      </w:r>
      <w:r w:rsidRPr="00B365F4">
        <w:rPr>
          <w:rFonts w:hAnsi="標楷體"/>
          <w:color w:val="000000"/>
          <w:szCs w:val="32"/>
        </w:rPr>
        <w:t>第一</w:t>
      </w:r>
      <w:r>
        <w:rPr>
          <w:rFonts w:hAnsi="標楷體" w:hint="eastAsia"/>
          <w:color w:val="000000"/>
          <w:szCs w:val="32"/>
        </w:rPr>
        <w:t>、</w:t>
      </w:r>
      <w:r w:rsidRPr="00B365F4">
        <w:rPr>
          <w:rFonts w:hAnsi="標楷體"/>
          <w:color w:val="000000"/>
          <w:szCs w:val="32"/>
        </w:rPr>
        <w:t>第</w:t>
      </w:r>
      <w:r>
        <w:rPr>
          <w:rFonts w:hAnsi="標楷體" w:hint="eastAsia"/>
          <w:color w:val="000000"/>
          <w:szCs w:val="32"/>
        </w:rPr>
        <w:t>二、</w:t>
      </w:r>
      <w:r>
        <w:rPr>
          <w:rFonts w:hAnsi="標楷體"/>
          <w:color w:val="000000"/>
          <w:szCs w:val="32"/>
        </w:rPr>
        <w:t>第</w:t>
      </w:r>
      <w:r>
        <w:rPr>
          <w:rFonts w:hAnsi="標楷體" w:hint="eastAsia"/>
          <w:color w:val="000000"/>
          <w:szCs w:val="32"/>
        </w:rPr>
        <w:t>三</w:t>
      </w:r>
      <w:r w:rsidRPr="00B365F4">
        <w:rPr>
          <w:rFonts w:hAnsi="標楷體"/>
          <w:color w:val="000000"/>
          <w:szCs w:val="32"/>
        </w:rPr>
        <w:t>核</w:t>
      </w:r>
      <w:r w:rsidRPr="00B365F4">
        <w:rPr>
          <w:rFonts w:hAnsi="標楷體" w:hint="eastAsia"/>
          <w:color w:val="000000"/>
          <w:szCs w:val="32"/>
        </w:rPr>
        <w:t>能發</w:t>
      </w:r>
      <w:r w:rsidRPr="00B365F4">
        <w:rPr>
          <w:rFonts w:hAnsi="標楷體"/>
          <w:color w:val="000000"/>
          <w:szCs w:val="32"/>
        </w:rPr>
        <w:t>電廠</w:t>
      </w:r>
      <w:r>
        <w:rPr>
          <w:rFonts w:hAnsi="標楷體" w:hint="eastAsia"/>
          <w:color w:val="000000"/>
          <w:szCs w:val="32"/>
        </w:rPr>
        <w:t>（</w:t>
      </w:r>
      <w:r w:rsidRPr="00B365F4">
        <w:rPr>
          <w:rFonts w:hint="eastAsia"/>
          <w:color w:val="000000"/>
        </w:rPr>
        <w:t>下稱核一廠</w:t>
      </w:r>
      <w:r>
        <w:rPr>
          <w:rFonts w:hint="eastAsia"/>
          <w:color w:val="000000"/>
        </w:rPr>
        <w:t>、</w:t>
      </w:r>
      <w:r w:rsidRPr="00B365F4">
        <w:rPr>
          <w:rFonts w:hint="eastAsia"/>
          <w:color w:val="000000"/>
        </w:rPr>
        <w:t>核</w:t>
      </w:r>
      <w:r>
        <w:rPr>
          <w:rFonts w:hAnsi="標楷體" w:hint="eastAsia"/>
          <w:color w:val="000000"/>
          <w:szCs w:val="32"/>
        </w:rPr>
        <w:t>二</w:t>
      </w:r>
      <w:r w:rsidRPr="00B365F4">
        <w:rPr>
          <w:rFonts w:hint="eastAsia"/>
          <w:color w:val="000000"/>
        </w:rPr>
        <w:t>廠</w:t>
      </w:r>
      <w:r>
        <w:rPr>
          <w:rFonts w:hint="eastAsia"/>
          <w:color w:val="000000"/>
        </w:rPr>
        <w:t>、</w:t>
      </w:r>
      <w:r w:rsidRPr="00B365F4">
        <w:rPr>
          <w:rFonts w:hint="eastAsia"/>
          <w:color w:val="000000"/>
        </w:rPr>
        <w:t>核</w:t>
      </w:r>
      <w:r>
        <w:rPr>
          <w:rFonts w:hAnsi="標楷體" w:hint="eastAsia"/>
          <w:color w:val="000000"/>
          <w:szCs w:val="32"/>
        </w:rPr>
        <w:t>三</w:t>
      </w:r>
      <w:r w:rsidRPr="00B365F4">
        <w:rPr>
          <w:rFonts w:hint="eastAsia"/>
          <w:color w:val="000000"/>
        </w:rPr>
        <w:t>廠</w:t>
      </w:r>
      <w:r>
        <w:rPr>
          <w:rFonts w:hAnsi="標楷體" w:hint="eastAsia"/>
          <w:color w:val="000000"/>
          <w:szCs w:val="32"/>
        </w:rPr>
        <w:t>）</w:t>
      </w:r>
      <w:r w:rsidRPr="00B365F4">
        <w:rPr>
          <w:rFonts w:hint="eastAsia"/>
          <w:color w:val="000000"/>
        </w:rPr>
        <w:t>之因應</w:t>
      </w:r>
      <w:r>
        <w:rPr>
          <w:rFonts w:hint="eastAsia"/>
          <w:color w:val="000000"/>
        </w:rPr>
        <w:t>改善</w:t>
      </w:r>
      <w:r w:rsidRPr="00B365F4">
        <w:rPr>
          <w:rFonts w:hint="eastAsia"/>
          <w:color w:val="000000"/>
        </w:rPr>
        <w:t>作為</w:t>
      </w:r>
      <w:r>
        <w:rPr>
          <w:rFonts w:hint="eastAsia"/>
          <w:color w:val="000000"/>
        </w:rPr>
        <w:t>，除向台電</w:t>
      </w:r>
      <w:r w:rsidRPr="00B365F4">
        <w:rPr>
          <w:rFonts w:hint="eastAsia"/>
          <w:color w:val="000000"/>
        </w:rPr>
        <w:t>公司</w:t>
      </w:r>
      <w:r>
        <w:rPr>
          <w:rFonts w:hint="eastAsia"/>
          <w:color w:val="000000"/>
        </w:rPr>
        <w:t>、</w:t>
      </w:r>
      <w:r w:rsidRPr="00B365F4">
        <w:rPr>
          <w:rFonts w:hint="eastAsia"/>
          <w:color w:val="000000"/>
        </w:rPr>
        <w:t>原能會</w:t>
      </w:r>
      <w:r>
        <w:rPr>
          <w:rFonts w:hint="eastAsia"/>
          <w:color w:val="000000"/>
        </w:rPr>
        <w:t>等機關</w:t>
      </w:r>
      <w:r w:rsidRPr="00BC5086">
        <w:rPr>
          <w:rFonts w:hint="eastAsia"/>
          <w:color w:val="000000"/>
        </w:rPr>
        <w:t>調閱相關</w:t>
      </w:r>
      <w:proofErr w:type="gramStart"/>
      <w:r w:rsidRPr="00BC5086">
        <w:rPr>
          <w:rFonts w:hint="eastAsia"/>
          <w:color w:val="000000"/>
        </w:rPr>
        <w:t>卷證</w:t>
      </w:r>
      <w:r w:rsidR="00DB7222">
        <w:rPr>
          <w:rFonts w:hint="eastAsia"/>
          <w:color w:val="000000"/>
        </w:rPr>
        <w:t>外</w:t>
      </w:r>
      <w:proofErr w:type="gramEnd"/>
      <w:r>
        <w:rPr>
          <w:rFonts w:hint="eastAsia"/>
          <w:color w:val="000000"/>
        </w:rPr>
        <w:t>，並</w:t>
      </w:r>
      <w:r w:rsidR="00DB7222">
        <w:rPr>
          <w:rFonts w:hint="eastAsia"/>
          <w:color w:val="000000"/>
        </w:rPr>
        <w:t>諮詢地震、海嘯、核能等領域之學者專家，</w:t>
      </w:r>
      <w:r w:rsidRPr="00B365F4">
        <w:rPr>
          <w:rFonts w:hint="eastAsia"/>
          <w:color w:val="000000"/>
        </w:rPr>
        <w:t>邀</w:t>
      </w:r>
      <w:r w:rsidRPr="00334604">
        <w:rPr>
          <w:rFonts w:hint="eastAsia"/>
        </w:rPr>
        <w:t>請</w:t>
      </w:r>
      <w:r w:rsidR="00DB7222">
        <w:rPr>
          <w:rFonts w:hint="eastAsia"/>
        </w:rPr>
        <w:t>其</w:t>
      </w:r>
      <w:r w:rsidRPr="00334604">
        <w:rPr>
          <w:rFonts w:hint="eastAsia"/>
        </w:rPr>
        <w:t>赴核一、二</w:t>
      </w:r>
      <w:r>
        <w:rPr>
          <w:rFonts w:hint="eastAsia"/>
          <w:color w:val="000000"/>
        </w:rPr>
        <w:t>、三</w:t>
      </w:r>
      <w:r w:rsidRPr="00334604">
        <w:rPr>
          <w:rFonts w:hint="eastAsia"/>
        </w:rPr>
        <w:t>廠現地履</w:t>
      </w:r>
      <w:proofErr w:type="gramStart"/>
      <w:r w:rsidRPr="00334604">
        <w:rPr>
          <w:rFonts w:hint="eastAsia"/>
        </w:rPr>
        <w:t>勘</w:t>
      </w:r>
      <w:proofErr w:type="gramEnd"/>
      <w:r w:rsidRPr="00334604">
        <w:rPr>
          <w:rFonts w:hint="eastAsia"/>
        </w:rPr>
        <w:t>，</w:t>
      </w:r>
      <w:r>
        <w:rPr>
          <w:rFonts w:hint="eastAsia"/>
        </w:rPr>
        <w:t>約</w:t>
      </w:r>
      <w:proofErr w:type="gramStart"/>
      <w:r>
        <w:rPr>
          <w:rFonts w:hint="eastAsia"/>
        </w:rPr>
        <w:t>詢</w:t>
      </w:r>
      <w:proofErr w:type="gramEnd"/>
      <w:r>
        <w:rPr>
          <w:rFonts w:hint="eastAsia"/>
          <w:color w:val="000000"/>
        </w:rPr>
        <w:t>台電</w:t>
      </w:r>
      <w:r w:rsidRPr="00B365F4">
        <w:rPr>
          <w:rFonts w:hint="eastAsia"/>
          <w:color w:val="000000"/>
        </w:rPr>
        <w:t>公司</w:t>
      </w:r>
      <w:r>
        <w:rPr>
          <w:rFonts w:hint="eastAsia"/>
          <w:color w:val="000000"/>
        </w:rPr>
        <w:t>、</w:t>
      </w:r>
      <w:r w:rsidRPr="00B365F4">
        <w:rPr>
          <w:rFonts w:hint="eastAsia"/>
          <w:color w:val="000000"/>
        </w:rPr>
        <w:t>原能會</w:t>
      </w:r>
      <w:r>
        <w:rPr>
          <w:rFonts w:hint="eastAsia"/>
          <w:color w:val="000000"/>
        </w:rPr>
        <w:t>、</w:t>
      </w:r>
      <w:r w:rsidRPr="00BC5086">
        <w:rPr>
          <w:rFonts w:hint="eastAsia"/>
          <w:color w:val="000000"/>
        </w:rPr>
        <w:t>經</w:t>
      </w:r>
      <w:r w:rsidRPr="00BC5086">
        <w:rPr>
          <w:rFonts w:hint="eastAsia"/>
          <w:color w:val="000000"/>
        </w:rPr>
        <w:lastRenderedPageBreak/>
        <w:t>濟部</w:t>
      </w:r>
      <w:r w:rsidRPr="00B365F4">
        <w:rPr>
          <w:rFonts w:hint="eastAsia"/>
          <w:color w:val="000000"/>
        </w:rPr>
        <w:t>國營事業委員會</w:t>
      </w:r>
      <w:r>
        <w:rPr>
          <w:rFonts w:hint="eastAsia"/>
          <w:color w:val="000000"/>
        </w:rPr>
        <w:t>等有關人員</w:t>
      </w:r>
      <w:r w:rsidR="00043701">
        <w:rPr>
          <w:rFonts w:hint="eastAsia"/>
          <w:color w:val="000000"/>
        </w:rPr>
        <w:t>後</w:t>
      </w:r>
      <w:r w:rsidRPr="005C1E4B">
        <w:rPr>
          <w:rFonts w:hAnsi="Arial" w:hint="eastAsia"/>
          <w:bCs/>
          <w:color w:val="000000"/>
          <w:szCs w:val="52"/>
        </w:rPr>
        <w:t>，業已</w:t>
      </w:r>
      <w:proofErr w:type="gramStart"/>
      <w:r w:rsidRPr="005C1E4B">
        <w:rPr>
          <w:rFonts w:hAnsi="Arial" w:hint="eastAsia"/>
          <w:bCs/>
          <w:color w:val="000000"/>
          <w:szCs w:val="52"/>
        </w:rPr>
        <w:t>調查竣事</w:t>
      </w:r>
      <w:proofErr w:type="gramEnd"/>
      <w:r w:rsidRPr="005C1E4B">
        <w:rPr>
          <w:rFonts w:hAnsi="Arial" w:hint="eastAsia"/>
          <w:bCs/>
          <w:color w:val="000000"/>
          <w:szCs w:val="52"/>
        </w:rPr>
        <w:t>，</w:t>
      </w:r>
      <w:r w:rsidR="00271BE3" w:rsidRPr="00914453">
        <w:rPr>
          <w:rFonts w:ascii="Times New Roman"/>
        </w:rPr>
        <w:t>茲</w:t>
      </w:r>
      <w:proofErr w:type="gramStart"/>
      <w:r w:rsidR="00271BE3" w:rsidRPr="00914453">
        <w:rPr>
          <w:rFonts w:hint="eastAsia"/>
          <w:bCs/>
        </w:rPr>
        <w:t>臚</w:t>
      </w:r>
      <w:proofErr w:type="gramEnd"/>
      <w:r w:rsidR="00271BE3" w:rsidRPr="00914453">
        <w:rPr>
          <w:rFonts w:hint="eastAsia"/>
          <w:bCs/>
        </w:rPr>
        <w:t>列糾正</w:t>
      </w:r>
      <w:r w:rsidR="00271BE3" w:rsidRPr="00914453">
        <w:rPr>
          <w:rFonts w:hint="eastAsia"/>
        </w:rPr>
        <w:t>事實與理由</w:t>
      </w:r>
      <w:r w:rsidR="00271BE3">
        <w:rPr>
          <w:rFonts w:hint="eastAsia"/>
          <w:bCs/>
        </w:rPr>
        <w:t>如</w:t>
      </w:r>
      <w:r w:rsidR="00271BE3">
        <w:rPr>
          <w:rFonts w:hint="eastAsia"/>
        </w:rPr>
        <w:t>次</w:t>
      </w:r>
      <w:r w:rsidR="00271BE3" w:rsidRPr="005C1E4B">
        <w:rPr>
          <w:rFonts w:hint="eastAsia"/>
        </w:rPr>
        <w:t>：</w:t>
      </w:r>
    </w:p>
    <w:p w:rsidR="000D034E" w:rsidRPr="00665B1D" w:rsidRDefault="007D7404" w:rsidP="001014D7">
      <w:pPr>
        <w:pStyle w:val="2"/>
        <w:spacing w:beforeLines="20"/>
        <w:ind w:left="1020" w:hanging="680"/>
        <w:rPr>
          <w:b/>
        </w:rPr>
      </w:pPr>
      <w:bookmarkStart w:id="33" w:name="_Toc388364694"/>
      <w:bookmarkStart w:id="34" w:name="_Toc391458553"/>
      <w:bookmarkStart w:id="35" w:name="_Toc391458556"/>
      <w:bookmarkStart w:id="36" w:name="_Toc391458558"/>
      <w:bookmarkStart w:id="37" w:name="_Toc524895648"/>
      <w:bookmarkStart w:id="38" w:name="_Toc524896194"/>
      <w:bookmarkStart w:id="39" w:name="_Toc524896224"/>
      <w:bookmarkStart w:id="40" w:name="_Toc524902734"/>
      <w:bookmarkStart w:id="41" w:name="_Toc525066148"/>
      <w:bookmarkStart w:id="42" w:name="_Toc525070839"/>
      <w:bookmarkStart w:id="43" w:name="_Toc525938379"/>
      <w:bookmarkStart w:id="44" w:name="_Toc525939227"/>
      <w:bookmarkStart w:id="45" w:name="_Toc525939732"/>
      <w:bookmarkStart w:id="46" w:name="_Toc529218272"/>
      <w:bookmarkStart w:id="47" w:name="_Toc529222689"/>
      <w:bookmarkStart w:id="48" w:name="_Toc529223111"/>
      <w:bookmarkStart w:id="49" w:name="_Toc529223862"/>
      <w:bookmarkStart w:id="50" w:name="_Toc529228265"/>
      <w:r w:rsidRPr="00665B1D">
        <w:rPr>
          <w:rFonts w:hint="eastAsia"/>
          <w:b/>
        </w:rPr>
        <w:t>原能會為執行國內運轉中核電廠之壓力測試，於100年11月1日請</w:t>
      </w:r>
      <w:r w:rsidRPr="00665B1D">
        <w:rPr>
          <w:b/>
        </w:rPr>
        <w:t>經濟合作暨發展組織</w:t>
      </w:r>
      <w:r w:rsidRPr="00665B1D">
        <w:rPr>
          <w:rFonts w:hint="eastAsia"/>
          <w:b/>
        </w:rPr>
        <w:t>所屬</w:t>
      </w:r>
      <w:r w:rsidRPr="00665B1D">
        <w:rPr>
          <w:b/>
        </w:rPr>
        <w:t>核能署</w:t>
      </w:r>
      <w:r w:rsidRPr="00665B1D">
        <w:rPr>
          <w:rFonts w:hint="eastAsia"/>
          <w:b/>
        </w:rPr>
        <w:t>進行</w:t>
      </w:r>
      <w:r w:rsidRPr="00665B1D">
        <w:rPr>
          <w:b/>
        </w:rPr>
        <w:t>壓力測試之獨立</w:t>
      </w:r>
      <w:r w:rsidRPr="00665B1D">
        <w:rPr>
          <w:rFonts w:hint="eastAsia"/>
          <w:b/>
        </w:rPr>
        <w:t>同行審查(</w:t>
      </w:r>
      <w:r w:rsidRPr="00665B1D">
        <w:rPr>
          <w:b/>
        </w:rPr>
        <w:t>Peer Review</w:t>
      </w:r>
      <w:r w:rsidRPr="00665B1D">
        <w:rPr>
          <w:rFonts w:hint="eastAsia"/>
          <w:b/>
        </w:rPr>
        <w:t>)</w:t>
      </w:r>
      <w:r w:rsidR="000D034E" w:rsidRPr="00665B1D">
        <w:rPr>
          <w:rFonts w:hint="eastAsia"/>
          <w:b/>
        </w:rPr>
        <w:t>，雖於102年4月23日公布同行審查報告，惟同行審查小組成員7人中有1人為我國人，違背歐盟壓力測試規範關於小組成員應迴避所屬國審查之規定；原能會另於102年4月3日請歐盟執委會對國內的壓力測試進行獨立同行審查，歐盟執委會於102年11月間提出壓力測試歐盟同行審查報告，並將此報告公布於歐盟壓力測試同行審查專案計畫網站，惟原能會未在國內與歐洲舉辦公開研討會，並邀請來自非核能界、非政府組織等利害關係人參加，有違歐盟壓力測試規範關於透明度之規定，遭受外界質疑及批評，核有違失。</w:t>
      </w:r>
      <w:bookmarkEnd w:id="33"/>
      <w:bookmarkEnd w:id="34"/>
    </w:p>
    <w:p w:rsidR="000D034E" w:rsidRPr="00D43B3C" w:rsidRDefault="000D034E" w:rsidP="000D034E">
      <w:pPr>
        <w:pStyle w:val="3"/>
        <w:kinsoku w:val="0"/>
        <w:ind w:left="1360" w:hanging="680"/>
      </w:pPr>
      <w:r>
        <w:rPr>
          <w:rFonts w:hint="eastAsia"/>
        </w:rPr>
        <w:t>查日本東北地區外海100年3月11日當地時間14時46分發生規模9.0大地震，後續並引發大海嘯，造成福島核一廠機組</w:t>
      </w:r>
      <w:r w:rsidRPr="00D43B3C">
        <w:rPr>
          <w:rFonts w:hint="eastAsia"/>
        </w:rPr>
        <w:t>因廠區電源喪失及失去補水能力，導致爐心</w:t>
      </w:r>
      <w:proofErr w:type="gramStart"/>
      <w:r w:rsidRPr="00D43B3C">
        <w:rPr>
          <w:rFonts w:hint="eastAsia"/>
        </w:rPr>
        <w:t>燃料熔毀及</w:t>
      </w:r>
      <w:proofErr w:type="gramEnd"/>
      <w:r w:rsidRPr="00D43B3C">
        <w:rPr>
          <w:rFonts w:hint="eastAsia"/>
        </w:rPr>
        <w:t>放射性物質</w:t>
      </w:r>
      <w:proofErr w:type="gramStart"/>
      <w:r w:rsidRPr="00D43B3C">
        <w:rPr>
          <w:rFonts w:hint="eastAsia"/>
        </w:rPr>
        <w:t>外釋等核災</w:t>
      </w:r>
      <w:proofErr w:type="gramEnd"/>
      <w:r w:rsidRPr="00D43B3C">
        <w:rPr>
          <w:rFonts w:hint="eastAsia"/>
        </w:rPr>
        <w:t>事故。原能會依據總統於國家安全會議311專案第5次會議裁示：「三座運轉中核電廠及一座興建中核電廠，應再予以總體檢」，於同年月24日及28日兩度邀集經濟部、台電公司及該會所屬放射性物料管理局、核能研究所等單位共同檢討現有核能機組因應事故之能力以及天災發生之後</w:t>
      </w:r>
      <w:r>
        <w:rPr>
          <w:rFonts w:hint="eastAsia"/>
        </w:rPr>
        <w:t>救災過程中，潛在可能發生設備喪失功能的危險要項，並參酌國際組織及世界核能先進國家對現有機組所採行的改善措施，研提「</w:t>
      </w:r>
      <w:r w:rsidRPr="005D36BB">
        <w:rPr>
          <w:rFonts w:hint="eastAsia"/>
        </w:rPr>
        <w:t>國內</w:t>
      </w:r>
      <w:r>
        <w:rPr>
          <w:rFonts w:hint="eastAsia"/>
        </w:rPr>
        <w:t>核電廠</w:t>
      </w:r>
      <w:r w:rsidRPr="005D36BB">
        <w:rPr>
          <w:rFonts w:hint="eastAsia"/>
        </w:rPr>
        <w:t>現有安全防護體制全面體檢方案</w:t>
      </w:r>
      <w:r>
        <w:rPr>
          <w:rFonts w:hint="eastAsia"/>
        </w:rPr>
        <w:t>」，內容</w:t>
      </w:r>
      <w:r>
        <w:rPr>
          <w:rFonts w:hint="eastAsia"/>
        </w:rPr>
        <w:lastRenderedPageBreak/>
        <w:t>分為「核能安全防護措施」與「輻射防護及緊急應變機制」兩部分。其中「核能安全防護措施」部分，首先由原能會要求台電公司針對現有應變機制、程序與設計能力，分近期11項（</w:t>
      </w:r>
      <w:r>
        <w:t>100</w:t>
      </w:r>
      <w:r>
        <w:rPr>
          <w:rFonts w:hint="eastAsia"/>
        </w:rPr>
        <w:t>年</w:t>
      </w:r>
      <w:r>
        <w:t>6</w:t>
      </w:r>
      <w:r>
        <w:rPr>
          <w:rFonts w:hint="eastAsia"/>
        </w:rPr>
        <w:t>月底前完成）與中程（提前執行10年整體安全評估，</w:t>
      </w:r>
      <w:r>
        <w:t>100</w:t>
      </w:r>
      <w:r>
        <w:rPr>
          <w:rFonts w:hint="eastAsia"/>
        </w:rPr>
        <w:t>年</w:t>
      </w:r>
      <w:r>
        <w:t>12</w:t>
      </w:r>
      <w:r>
        <w:rPr>
          <w:rFonts w:hint="eastAsia"/>
        </w:rPr>
        <w:t>月底前完成）兩階段檢討，其中第一階段安全評估報告經行政院</w:t>
      </w:r>
      <w:r>
        <w:t>100</w:t>
      </w:r>
      <w:r>
        <w:rPr>
          <w:rFonts w:hint="eastAsia"/>
        </w:rPr>
        <w:t>年</w:t>
      </w:r>
      <w:r>
        <w:t>10</w:t>
      </w:r>
      <w:r>
        <w:rPr>
          <w:rFonts w:hint="eastAsia"/>
        </w:rPr>
        <w:t>月</w:t>
      </w:r>
      <w:r>
        <w:t>7</w:t>
      </w:r>
      <w:r>
        <w:rPr>
          <w:rFonts w:hint="eastAsia"/>
        </w:rPr>
        <w:t>日核備後於原能會網站對外公布。第二階段報告（國內核電廠現有安全防護體制全面體檢方案總檢討報告）經行政院</w:t>
      </w:r>
      <w:r w:rsidRPr="003F7548">
        <w:t>101</w:t>
      </w:r>
      <w:r w:rsidRPr="003F7548">
        <w:rPr>
          <w:rFonts w:hint="eastAsia"/>
        </w:rPr>
        <w:t>年</w:t>
      </w:r>
      <w:r w:rsidRPr="003F7548">
        <w:t>8</w:t>
      </w:r>
      <w:r w:rsidRPr="003F7548">
        <w:rPr>
          <w:rFonts w:hint="eastAsia"/>
        </w:rPr>
        <w:t>月</w:t>
      </w:r>
      <w:r w:rsidRPr="003F7548">
        <w:t>3</w:t>
      </w:r>
      <w:r w:rsidRPr="003F7548">
        <w:rPr>
          <w:rFonts w:hint="eastAsia"/>
        </w:rPr>
        <w:t>日院臺科字第</w:t>
      </w:r>
      <w:r w:rsidRPr="003F7548">
        <w:t>1010041863</w:t>
      </w:r>
      <w:r w:rsidRPr="003F7548">
        <w:rPr>
          <w:rFonts w:hint="eastAsia"/>
        </w:rPr>
        <w:t>號函備查</w:t>
      </w:r>
      <w:r>
        <w:rPr>
          <w:rFonts w:hint="eastAsia"/>
        </w:rPr>
        <w:t>後公布在案</w:t>
      </w:r>
      <w:r w:rsidRPr="00F80592">
        <w:rPr>
          <w:rFonts w:hint="eastAsia"/>
        </w:rPr>
        <w:t>，其中有關核能電廠安全防護部分，原能會要求台電公司實施歐盟之壓力測試規範，以及</w:t>
      </w:r>
      <w:r w:rsidRPr="00F80592">
        <w:t>重</w:t>
      </w:r>
      <w:r w:rsidRPr="00D43B3C">
        <w:t>新評估地震</w:t>
      </w:r>
      <w:r w:rsidRPr="00D43B3C">
        <w:rPr>
          <w:rFonts w:hint="eastAsia"/>
        </w:rPr>
        <w:t>及</w:t>
      </w:r>
      <w:r w:rsidRPr="00D43B3C">
        <w:t>水災</w:t>
      </w:r>
      <w:r w:rsidRPr="00D43B3C">
        <w:rPr>
          <w:rFonts w:hint="eastAsia"/>
        </w:rPr>
        <w:t>與</w:t>
      </w:r>
      <w:r w:rsidRPr="00D43B3C">
        <w:t>其他廠外危害</w:t>
      </w:r>
      <w:r w:rsidRPr="00D43B3C">
        <w:rPr>
          <w:rFonts w:hint="eastAsia"/>
        </w:rPr>
        <w:t>、</w:t>
      </w:r>
      <w:r w:rsidRPr="00D43B3C">
        <w:t>電廠全黑之管制措施提昇</w:t>
      </w:r>
      <w:r w:rsidRPr="00D43B3C">
        <w:rPr>
          <w:rFonts w:hint="eastAsia"/>
        </w:rPr>
        <w:t>等強化措施。</w:t>
      </w:r>
    </w:p>
    <w:p w:rsidR="000D034E" w:rsidRDefault="000D034E" w:rsidP="000D034E">
      <w:pPr>
        <w:pStyle w:val="3"/>
        <w:kinsoku w:val="0"/>
        <w:ind w:left="1360" w:hanging="680"/>
      </w:pPr>
      <w:r w:rsidRPr="00D43B3C">
        <w:rPr>
          <w:rFonts w:hint="eastAsia"/>
        </w:rPr>
        <w:t>次查日本311福島事故之後，歐盟理事會（European Council）於2011年3</w:t>
      </w:r>
      <w:r>
        <w:rPr>
          <w:rFonts w:hint="eastAsia"/>
        </w:rPr>
        <w:t>月24-25日的會議中，交辦一個明確的任務給歐盟執委會（European Commission）及其所屬核安諮議團體之一的</w:t>
      </w:r>
      <w:r w:rsidRPr="00125327">
        <w:rPr>
          <w:rFonts w:hint="eastAsia"/>
        </w:rPr>
        <w:t>歐洲核能安全管制者組織（European Nuclear Safety Regulatory Group,</w:t>
      </w:r>
      <w:r>
        <w:rPr>
          <w:rFonts w:hint="eastAsia"/>
        </w:rPr>
        <w:t>簡稱</w:t>
      </w:r>
      <w:r w:rsidRPr="00125327">
        <w:rPr>
          <w:rFonts w:hint="eastAsia"/>
        </w:rPr>
        <w:t xml:space="preserve"> ENSREG），</w:t>
      </w:r>
      <w:r>
        <w:rPr>
          <w:rFonts w:hint="eastAsia"/>
        </w:rPr>
        <w:t>從2011年開始針對所有歐盟國家的核電廠進行全面的風險與安全評估工作，即壓力測試（Stress Test）。</w:t>
      </w:r>
      <w:r w:rsidRPr="00F82DEF">
        <w:rPr>
          <w:rFonts w:hint="eastAsia"/>
        </w:rPr>
        <w:t>歐盟執委會及</w:t>
      </w:r>
      <w:r w:rsidRPr="00125327">
        <w:rPr>
          <w:rFonts w:hint="eastAsia"/>
        </w:rPr>
        <w:t>ENSREG</w:t>
      </w:r>
      <w:r w:rsidRPr="00F82DEF">
        <w:rPr>
          <w:rFonts w:hint="eastAsia"/>
        </w:rPr>
        <w:t>在西歐核能</w:t>
      </w:r>
      <w:r>
        <w:rPr>
          <w:rFonts w:hint="eastAsia"/>
        </w:rPr>
        <w:t>管制者協會（</w:t>
      </w:r>
      <w:r w:rsidRPr="00F82DEF">
        <w:t>Western European Nuclear Regulators' Association ，</w:t>
      </w:r>
      <w:r w:rsidRPr="00F82DEF">
        <w:rPr>
          <w:rFonts w:hint="eastAsia"/>
        </w:rPr>
        <w:t>簡稱</w:t>
      </w:r>
      <w:r>
        <w:rPr>
          <w:rFonts w:hint="eastAsia"/>
        </w:rPr>
        <w:t xml:space="preserve"> WENRA）協助下擬定壓力測試的範疇與方式，並於2011年5月24日達成共識的規範，即所謂歐盟壓力測試規範(</w:t>
      </w:r>
      <w:r w:rsidRPr="003340A8">
        <w:t xml:space="preserve">EU Stress </w:t>
      </w:r>
      <w:r w:rsidR="00F619E6">
        <w:rPr>
          <w:rFonts w:hint="eastAsia"/>
        </w:rPr>
        <w:t>T</w:t>
      </w:r>
      <w:r w:rsidRPr="003340A8">
        <w:t xml:space="preserve">ests </w:t>
      </w:r>
      <w:r w:rsidR="00F619E6">
        <w:rPr>
          <w:rFonts w:hint="eastAsia"/>
        </w:rPr>
        <w:t>S</w:t>
      </w:r>
      <w:r w:rsidRPr="003340A8">
        <w:t>pecifications</w:t>
      </w:r>
      <w:r>
        <w:rPr>
          <w:rFonts w:hint="eastAsia"/>
        </w:rPr>
        <w:t>)</w:t>
      </w:r>
      <w:r w:rsidRPr="003340A8">
        <w:rPr>
          <w:rStyle w:val="af6"/>
        </w:rPr>
        <w:t xml:space="preserve"> </w:t>
      </w:r>
      <w:r>
        <w:rPr>
          <w:rStyle w:val="af6"/>
        </w:rPr>
        <w:footnoteReference w:id="1"/>
      </w:r>
      <w:r>
        <w:rPr>
          <w:rFonts w:hint="eastAsia"/>
        </w:rPr>
        <w:t>。</w:t>
      </w:r>
      <w:r w:rsidRPr="00C87ECE">
        <w:rPr>
          <w:rFonts w:hint="eastAsia"/>
        </w:rPr>
        <w:t>歐盟</w:t>
      </w:r>
      <w:r w:rsidRPr="00C87ECE">
        <w:rPr>
          <w:rFonts w:hint="eastAsia"/>
        </w:rPr>
        <w:lastRenderedPageBreak/>
        <w:t>理事會對於壓力測試的要求，係先由各國執行自我評估，然後再由歐盟獨立</w:t>
      </w:r>
      <w:r w:rsidR="00F619E6" w:rsidRPr="00C87ECE">
        <w:rPr>
          <w:rFonts w:hint="eastAsia"/>
        </w:rPr>
        <w:t>同行</w:t>
      </w:r>
      <w:r w:rsidR="00F619E6">
        <w:rPr>
          <w:rFonts w:hint="eastAsia"/>
        </w:rPr>
        <w:t>專家</w:t>
      </w:r>
      <w:r w:rsidR="00F619E6" w:rsidRPr="00C87ECE">
        <w:rPr>
          <w:rFonts w:hint="eastAsia"/>
        </w:rPr>
        <w:t>審查</w:t>
      </w:r>
      <w:r w:rsidR="00F619E6" w:rsidRPr="00C87ECE">
        <w:rPr>
          <w:rFonts w:hAnsi="標楷體" w:hint="eastAsia"/>
          <w:bCs w:val="0"/>
          <w:szCs w:val="32"/>
        </w:rPr>
        <w:t>(</w:t>
      </w:r>
      <w:r w:rsidR="00F619E6">
        <w:rPr>
          <w:rFonts w:hAnsi="標楷體" w:hint="eastAsia"/>
          <w:bCs w:val="0"/>
          <w:szCs w:val="32"/>
        </w:rPr>
        <w:t>下稱</w:t>
      </w:r>
      <w:r w:rsidR="00F619E6" w:rsidRPr="00C87ECE">
        <w:rPr>
          <w:rFonts w:hint="eastAsia"/>
        </w:rPr>
        <w:t>同行審查</w:t>
      </w:r>
      <w:r w:rsidR="00F619E6">
        <w:rPr>
          <w:rFonts w:hint="eastAsia"/>
        </w:rPr>
        <w:t>，</w:t>
      </w:r>
      <w:r w:rsidR="00F619E6" w:rsidRPr="00C87ECE">
        <w:t>Peer Review</w:t>
      </w:r>
      <w:r w:rsidR="00F619E6" w:rsidRPr="00C87ECE">
        <w:rPr>
          <w:rFonts w:hAnsi="標楷體" w:hint="eastAsia"/>
          <w:bCs w:val="0"/>
          <w:szCs w:val="32"/>
        </w:rPr>
        <w:t>)</w:t>
      </w:r>
      <w:r w:rsidRPr="00C87ECE">
        <w:rPr>
          <w:rFonts w:hint="eastAsia"/>
        </w:rPr>
        <w:t>。</w:t>
      </w:r>
      <w:r>
        <w:rPr>
          <w:rFonts w:hint="eastAsia"/>
        </w:rPr>
        <w:t>由於我</w:t>
      </w:r>
      <w:r w:rsidRPr="00C87ECE">
        <w:rPr>
          <w:rFonts w:hint="eastAsia"/>
        </w:rPr>
        <w:t>國並非歐盟成員，故</w:t>
      </w:r>
      <w:proofErr w:type="gramStart"/>
      <w:r w:rsidRPr="00C87ECE">
        <w:rPr>
          <w:rFonts w:hint="eastAsia"/>
        </w:rPr>
        <w:t>採</w:t>
      </w:r>
      <w:proofErr w:type="gramEnd"/>
      <w:r w:rsidRPr="00C87ECE">
        <w:rPr>
          <w:rFonts w:hint="eastAsia"/>
        </w:rPr>
        <w:t>捐款</w:t>
      </w:r>
      <w:r w:rsidRPr="00C87ECE">
        <w:t>12</w:t>
      </w:r>
      <w:r w:rsidRPr="00C87ECE">
        <w:rPr>
          <w:rFonts w:hint="eastAsia"/>
        </w:rPr>
        <w:t>萬歐元方式，參與</w:t>
      </w:r>
      <w:r w:rsidRPr="00C87ECE">
        <w:t>經濟合</w:t>
      </w:r>
      <w:r w:rsidRPr="00C87ECE">
        <w:rPr>
          <w:rFonts w:hAnsi="標楷體"/>
          <w:bCs w:val="0"/>
          <w:szCs w:val="32"/>
        </w:rPr>
        <w:t>作暨發展組織</w:t>
      </w:r>
      <w:r w:rsidRPr="00F82DEF">
        <w:rPr>
          <w:rFonts w:hint="eastAsia"/>
        </w:rPr>
        <w:t>(O</w:t>
      </w:r>
      <w:r w:rsidRPr="00F82DEF">
        <w:t>rganization for Economic Cooperation and Development，簡稱OECD</w:t>
      </w:r>
      <w:r w:rsidRPr="00F82DEF">
        <w:rPr>
          <w:rFonts w:hint="eastAsia"/>
        </w:rPr>
        <w:t>)</w:t>
      </w:r>
      <w:r w:rsidRPr="00C87ECE">
        <w:rPr>
          <w:rFonts w:hAnsi="標楷體" w:hint="eastAsia"/>
          <w:bCs w:val="0"/>
          <w:szCs w:val="32"/>
        </w:rPr>
        <w:t>所屬</w:t>
      </w:r>
      <w:r w:rsidRPr="00C87ECE">
        <w:rPr>
          <w:rFonts w:hAnsi="標楷體"/>
          <w:szCs w:val="32"/>
        </w:rPr>
        <w:t>核能署</w:t>
      </w:r>
      <w:r w:rsidRPr="00F82DEF">
        <w:rPr>
          <w:rStyle w:val="st1"/>
          <w:rFonts w:ascii="Arial" w:cs="Arial"/>
          <w:color w:val="545454"/>
        </w:rPr>
        <w:t>(</w:t>
      </w:r>
      <w:r w:rsidRPr="00F82DEF">
        <w:t>Nuclear Energy Agency，</w:t>
      </w:r>
      <w:r w:rsidRPr="00F82DEF">
        <w:rPr>
          <w:rFonts w:hint="eastAsia"/>
        </w:rPr>
        <w:t>簡稱</w:t>
      </w:r>
      <w:r>
        <w:t>NEA)</w:t>
      </w:r>
      <w:r w:rsidRPr="00F82DEF">
        <w:rPr>
          <w:rFonts w:hint="eastAsia"/>
        </w:rPr>
        <w:t>之</w:t>
      </w:r>
      <w:r w:rsidRPr="00C87ECE">
        <w:rPr>
          <w:rFonts w:hint="eastAsia"/>
        </w:rPr>
        <w:t>福島事故後補</w:t>
      </w:r>
      <w:proofErr w:type="gramStart"/>
      <w:r w:rsidRPr="00C87ECE">
        <w:rPr>
          <w:rFonts w:hint="eastAsia"/>
        </w:rPr>
        <w:t>強</w:t>
      </w:r>
      <w:proofErr w:type="gramEnd"/>
      <w:r w:rsidRPr="00C87ECE">
        <w:rPr>
          <w:rFonts w:hint="eastAsia"/>
        </w:rPr>
        <w:t>改善措施專案</w:t>
      </w:r>
      <w:r>
        <w:rPr>
          <w:rStyle w:val="af6"/>
        </w:rPr>
        <w:footnoteReference w:id="2"/>
      </w:r>
      <w:r w:rsidRPr="00C87ECE">
        <w:rPr>
          <w:rFonts w:hint="eastAsia"/>
        </w:rPr>
        <w:t>，協助籌組獨立專家小組執行我壓力測試國家報告之同行審查</w:t>
      </w:r>
      <w:r>
        <w:rPr>
          <w:rFonts w:hAnsi="標楷體" w:hint="eastAsia"/>
          <w:bCs w:val="0"/>
          <w:szCs w:val="32"/>
        </w:rPr>
        <w:t>。</w:t>
      </w:r>
      <w:r>
        <w:t>NEA</w:t>
      </w:r>
      <w:r>
        <w:rPr>
          <w:rFonts w:hint="eastAsia"/>
        </w:rPr>
        <w:t>籌組獨立審查小組執行我國是項同行審查，所邀請之技術專家係基於歐盟壓力測試技術規範三個領域需求，以及考量我國特定環境所組成之審查小組，毋須經歐盟ENSREG認可</w:t>
      </w:r>
      <w:r w:rsidRPr="00D43B3C">
        <w:rPr>
          <w:rFonts w:hint="eastAsia"/>
        </w:rPr>
        <w:t>授權。國內壓力測試工作始於100年8月5日，原能會100年</w:t>
      </w:r>
      <w:r>
        <w:rPr>
          <w:rFonts w:hint="eastAsia"/>
        </w:rPr>
        <w:t>11月1日請求NEA進行同行審查，NEA於102年1月接獲3份國家報告及由中文翻譯為英文之台電公司壓力測試報告，並開始審查，</w:t>
      </w:r>
      <w:r w:rsidRPr="00C87ECE">
        <w:rPr>
          <w:rFonts w:hint="eastAsia"/>
        </w:rPr>
        <w:t>迄102年4月23日完成工作並發布同行審查報告－</w:t>
      </w:r>
      <w:r w:rsidRPr="00C87ECE">
        <w:t>「臺灣運轉中核電廠壓力測試國家報告」</w:t>
      </w:r>
      <w:r>
        <w:rPr>
          <w:rFonts w:hint="eastAsia"/>
        </w:rPr>
        <w:t>(下稱</w:t>
      </w:r>
      <w:r w:rsidRPr="00C87ECE">
        <w:rPr>
          <w:rFonts w:hint="eastAsia"/>
        </w:rPr>
        <w:t>102年4月23日</w:t>
      </w:r>
      <w:r w:rsidRPr="00C87ECE">
        <w:t>壓力測試國家報告</w:t>
      </w:r>
      <w:r>
        <w:rPr>
          <w:rFonts w:hint="eastAsia"/>
        </w:rPr>
        <w:t>)。</w:t>
      </w:r>
    </w:p>
    <w:p w:rsidR="000D034E" w:rsidRDefault="000D034E" w:rsidP="000D034E">
      <w:pPr>
        <w:pStyle w:val="3"/>
        <w:kinsoku w:val="0"/>
        <w:ind w:left="1360" w:hanging="680"/>
      </w:pPr>
      <w:r>
        <w:rPr>
          <w:rFonts w:hint="eastAsia"/>
        </w:rPr>
        <w:t>按歐盟壓力測試規範於「同行審查程序」(Peer Review Process)「小組組成」(Team Composition)中規定，獨立同行審查小組由7人組成，成員應迴避所屬國家</w:t>
      </w:r>
      <w:r w:rsidRPr="009C246E">
        <w:rPr>
          <w:rFonts w:hint="eastAsia"/>
        </w:rPr>
        <w:t>設施</w:t>
      </w:r>
      <w:r>
        <w:rPr>
          <w:rFonts w:hint="eastAsia"/>
        </w:rPr>
        <w:t>之審查(</w:t>
      </w:r>
      <w:r>
        <w:t>M</w:t>
      </w:r>
      <w:r>
        <w:rPr>
          <w:rFonts w:hint="eastAsia"/>
        </w:rPr>
        <w:t xml:space="preserve">embers of the team whose </w:t>
      </w:r>
      <w:r>
        <w:t>nation</w:t>
      </w:r>
      <w:r>
        <w:rPr>
          <w:rFonts w:hint="eastAsia"/>
        </w:rPr>
        <w:t xml:space="preserve">al </w:t>
      </w:r>
      <w:r>
        <w:t>facil</w:t>
      </w:r>
      <w:r>
        <w:rPr>
          <w:rFonts w:hint="eastAsia"/>
        </w:rPr>
        <w:t xml:space="preserve">ities are under review </w:t>
      </w:r>
      <w:r>
        <w:rPr>
          <w:rFonts w:hint="eastAsia"/>
        </w:rPr>
        <w:lastRenderedPageBreak/>
        <w:t>will not be part of t</w:t>
      </w:r>
      <w:r w:rsidRPr="00D43B3C">
        <w:rPr>
          <w:rFonts w:hint="eastAsia"/>
        </w:rPr>
        <w:t>hat specific review.)。再者，依歐盟公布之歐盟獨立同行審查名單，各國壓力測試獨立同行小組均由7名</w:t>
      </w:r>
      <w:r w:rsidRPr="00F80592">
        <w:rPr>
          <w:rFonts w:hint="eastAsia"/>
        </w:rPr>
        <w:t>成員</w:t>
      </w:r>
      <w:r w:rsidRPr="00D4074D">
        <w:rPr>
          <w:rFonts w:hint="eastAsia"/>
        </w:rPr>
        <w:t>組成（含1名歐盟理事會的代表），加</w:t>
      </w:r>
      <w:r>
        <w:rPr>
          <w:rFonts w:hint="eastAsia"/>
        </w:rPr>
        <w:t>1名</w:t>
      </w:r>
      <w:r w:rsidRPr="00D4074D">
        <w:rPr>
          <w:rFonts w:hint="eastAsia"/>
        </w:rPr>
        <w:t>秘書共8人</w:t>
      </w:r>
      <w:r>
        <w:rPr>
          <w:rFonts w:hint="eastAsia"/>
        </w:rPr>
        <w:t>，成員均非測試國家之所屬國人，詳</w:t>
      </w:r>
      <w:r w:rsidRPr="00D4074D">
        <w:rPr>
          <w:rFonts w:hint="eastAsia"/>
        </w:rPr>
        <w:t>如附錄</w:t>
      </w:r>
      <w:r>
        <w:rPr>
          <w:rFonts w:hint="eastAsia"/>
        </w:rPr>
        <w:t>所示</w:t>
      </w:r>
      <w:r>
        <w:rPr>
          <w:rStyle w:val="af6"/>
        </w:rPr>
        <w:footnoteReference w:id="3"/>
      </w:r>
      <w:r>
        <w:rPr>
          <w:rFonts w:hint="eastAsia"/>
        </w:rPr>
        <w:t>。此外，原能會102年5月7日「</w:t>
      </w:r>
      <w:r>
        <w:t>OECD</w:t>
      </w:r>
      <w:r>
        <w:rPr>
          <w:rFonts w:hint="eastAsia"/>
        </w:rPr>
        <w:t>專家執行核電廠壓力測試同行審查報告之說明」亦稱：「歐盟理事會要求國家報告須由他國執行同行審查程序，</w:t>
      </w:r>
      <w:r w:rsidRPr="00D4074D">
        <w:rPr>
          <w:rFonts w:hint="eastAsia"/>
        </w:rPr>
        <w:t>同行審查小組由7名成員組成，</w:t>
      </w:r>
      <w:r>
        <w:rPr>
          <w:rFonts w:hint="eastAsia"/>
        </w:rPr>
        <w:t>包括1名歐盟理事會的代表、6名成員</w:t>
      </w:r>
      <w:r>
        <w:t>(</w:t>
      </w:r>
      <w:r>
        <w:rPr>
          <w:rFonts w:hint="eastAsia"/>
        </w:rPr>
        <w:t>由</w:t>
      </w:r>
      <w:r>
        <w:t>2</w:t>
      </w:r>
      <w:r w:rsidRPr="00F80592">
        <w:t>7</w:t>
      </w:r>
      <w:r w:rsidRPr="00F80592">
        <w:rPr>
          <w:rFonts w:hint="eastAsia"/>
        </w:rPr>
        <w:t>個</w:t>
      </w:r>
      <w:r w:rsidRPr="00F80592">
        <w:rPr>
          <w:bCs w:val="0"/>
          <w:szCs w:val="48"/>
        </w:rPr>
        <w:t>EC/</w:t>
      </w:r>
      <w:r w:rsidRPr="00F80592">
        <w:rPr>
          <w:rFonts w:hint="eastAsia"/>
        </w:rPr>
        <w:t>ENSR</w:t>
      </w:r>
      <w:r>
        <w:rPr>
          <w:rFonts w:hint="eastAsia"/>
        </w:rPr>
        <w:t>EG的管制單位派出)，另有1位秘書，成員應迴避所屬國家報告之審查」等語</w:t>
      </w:r>
      <w:r>
        <w:rPr>
          <w:rStyle w:val="af6"/>
        </w:rPr>
        <w:footnoteReference w:id="4"/>
      </w:r>
      <w:r>
        <w:rPr>
          <w:rFonts w:hint="eastAsia"/>
        </w:rPr>
        <w:t>。惟查</w:t>
      </w:r>
      <w:r w:rsidRPr="00C87ECE">
        <w:rPr>
          <w:rFonts w:hint="eastAsia"/>
        </w:rPr>
        <w:t>102年4月23日</w:t>
      </w:r>
      <w:r w:rsidRPr="00C87ECE">
        <w:t>壓力測試國家報告</w:t>
      </w:r>
      <w:r>
        <w:rPr>
          <w:rFonts w:hint="eastAsia"/>
        </w:rPr>
        <w:t>雖於第一章1.1揭示：「原能會採用歐盟核准之</w:t>
      </w:r>
      <w:r w:rsidRPr="00F80592">
        <w:rPr>
          <w:rFonts w:hint="eastAsia"/>
        </w:rPr>
        <w:t>歐洲核安管制組織（</w:t>
      </w:r>
      <w:r w:rsidRPr="00F80592">
        <w:t>ENSREG</w:t>
      </w:r>
      <w:r w:rsidRPr="00F80592">
        <w:rPr>
          <w:rFonts w:hint="eastAsia"/>
        </w:rPr>
        <w:t>）</w:t>
      </w:r>
      <w:r>
        <w:rPr>
          <w:rFonts w:hint="eastAsia"/>
        </w:rPr>
        <w:t>發展之標準，壓力測試與國家報告係採取與該標準</w:t>
      </w:r>
      <w:r w:rsidRPr="00D43B3C">
        <w:rPr>
          <w:rFonts w:hint="eastAsia"/>
        </w:rPr>
        <w:t>一致的作法」，但於第八章列載之「獨立同行審查小組」之7位成員中，卻有1人為我國人</w:t>
      </w:r>
      <w:r w:rsidRPr="00D43B3C">
        <w:rPr>
          <w:rFonts w:hint="eastAsia"/>
          <w:szCs w:val="32"/>
        </w:rPr>
        <w:t>(</w:t>
      </w:r>
      <w:r w:rsidRPr="00D43B3C">
        <w:rPr>
          <w:rFonts w:hint="eastAsia"/>
        </w:rPr>
        <w:t>原能會派駐法國</w:t>
      </w:r>
      <w:r w:rsidRPr="00D43B3C">
        <w:t>OECD/NEA</w:t>
      </w:r>
      <w:r w:rsidRPr="00D43B3C">
        <w:rPr>
          <w:rFonts w:ascii="新細明體" w:hAnsi="新細明體" w:hint="eastAsia"/>
        </w:rPr>
        <w:t>有關部門之</w:t>
      </w:r>
      <w:r w:rsidRPr="00D43B3C">
        <w:rPr>
          <w:rFonts w:hint="eastAsia"/>
        </w:rPr>
        <w:t>一等秘書)</w:t>
      </w:r>
      <w:r w:rsidRPr="00D43B3C">
        <w:rPr>
          <w:rStyle w:val="af6"/>
        </w:rPr>
        <w:footnoteReference w:id="5"/>
      </w:r>
      <w:r w:rsidRPr="00D43B3C">
        <w:rPr>
          <w:rFonts w:hint="eastAsia"/>
        </w:rPr>
        <w:t>，職司</w:t>
      </w:r>
      <w:r>
        <w:rPr>
          <w:rFonts w:hint="eastAsia"/>
        </w:rPr>
        <w:t>與原能會連繫事宜。</w:t>
      </w:r>
      <w:r w:rsidRPr="00503167">
        <w:rPr>
          <w:rFonts w:hint="eastAsia"/>
        </w:rPr>
        <w:t>該會雖稱：</w:t>
      </w:r>
      <w:r>
        <w:rPr>
          <w:rFonts w:hint="eastAsia"/>
        </w:rPr>
        <w:t>「歷次新聞稿均陳述</w:t>
      </w:r>
      <w:r>
        <w:t>6</w:t>
      </w:r>
      <w:r>
        <w:rPr>
          <w:rFonts w:hint="eastAsia"/>
        </w:rPr>
        <w:t>人之專家小組，</w:t>
      </w:r>
      <w:r w:rsidRPr="00C87ECE">
        <w:rPr>
          <w:rFonts w:hint="eastAsia"/>
        </w:rPr>
        <w:t>而原能會</w:t>
      </w:r>
      <w:r>
        <w:rPr>
          <w:rFonts w:hint="eastAsia"/>
        </w:rPr>
        <w:t>人員主要負責行政、後勤協調及連繫工作，未參與或實質負責任何技術審查工作」等語，惟同行審查報告第八章已將該員列為獨立同行審查小組7位成員之一，</w:t>
      </w:r>
      <w:r w:rsidRPr="00D43B3C">
        <w:rPr>
          <w:rFonts w:hint="eastAsia"/>
        </w:rPr>
        <w:t>且該會102年5月7日「</w:t>
      </w:r>
      <w:r w:rsidRPr="00D43B3C">
        <w:t>OECD</w:t>
      </w:r>
      <w:r w:rsidRPr="00D43B3C">
        <w:rPr>
          <w:rFonts w:hint="eastAsia"/>
        </w:rPr>
        <w:t>專家執行核電廠壓力測試同行審查報告之說明」</w:t>
      </w:r>
      <w:r>
        <w:rPr>
          <w:rFonts w:hint="eastAsia"/>
        </w:rPr>
        <w:t>亦將該員納為「獨立專家小組成員」，故縱認原能會所稱</w:t>
      </w:r>
      <w:r>
        <w:rPr>
          <w:rFonts w:hint="eastAsia"/>
        </w:rPr>
        <w:lastRenderedPageBreak/>
        <w:t>該員未參與或實質負責任何技術審查工作屬實，亦因獨立同行審查小組成員未依法</w:t>
      </w:r>
      <w:r w:rsidRPr="00863B47">
        <w:rPr>
          <w:rFonts w:hint="eastAsia"/>
        </w:rPr>
        <w:t>迴避</w:t>
      </w:r>
      <w:r>
        <w:rPr>
          <w:rFonts w:hint="eastAsia"/>
        </w:rPr>
        <w:t>而遭受外界質疑及批評，允宜檢討。</w:t>
      </w:r>
    </w:p>
    <w:p w:rsidR="000D034E" w:rsidRDefault="000D034E" w:rsidP="001014D7">
      <w:pPr>
        <w:pStyle w:val="3"/>
        <w:kinsoku w:val="0"/>
        <w:spacing w:beforeLines="20"/>
        <w:ind w:leftChars="100" w:left="1020" w:hangingChars="200" w:hanging="680"/>
      </w:pPr>
      <w:r w:rsidRPr="00F80592">
        <w:t>ENSREG</w:t>
      </w:r>
      <w:r>
        <w:rPr>
          <w:rFonts w:hint="eastAsia"/>
        </w:rPr>
        <w:t>為提升核能管制機構之開放與透明度，於2011年2月1日擬定</w:t>
      </w:r>
      <w:r w:rsidRPr="00D43B3C">
        <w:rPr>
          <w:rFonts w:hint="eastAsia"/>
        </w:rPr>
        <w:t>「國家管制機構準則」(</w:t>
      </w:r>
      <w:r w:rsidRPr="00D43B3C">
        <w:t>Guidance for National Regulatory Organi</w:t>
      </w:r>
      <w:r w:rsidRPr="00D43B3C">
        <w:rPr>
          <w:rFonts w:hint="eastAsia"/>
        </w:rPr>
        <w:t>z</w:t>
      </w:r>
      <w:r w:rsidRPr="00D43B3C">
        <w:t>ations</w:t>
      </w:r>
      <w:r w:rsidRPr="00D43B3C">
        <w:rPr>
          <w:rFonts w:hint="eastAsia"/>
        </w:rPr>
        <w:t>)，案經歐盟委員會（European Commission）通過，要求國家管制機構必須遵照「開放與透明原則(</w:t>
      </w:r>
      <w:r w:rsidRPr="00D43B3C">
        <w:t>Principles for Openness and Transparenc</w:t>
      </w:r>
      <w:r w:rsidRPr="00D43B3C">
        <w:rPr>
          <w:rFonts w:hint="eastAsia"/>
        </w:rPr>
        <w:t>y）」，包括建立溝通策略、即時資訊揭露、建立公開網站</w:t>
      </w:r>
      <w:r>
        <w:rPr>
          <w:rFonts w:hint="eastAsia"/>
        </w:rPr>
        <w:t>、提出年度報告、文件製作先考量資訊可能具有敏感性、主動接觸利害關係人、主動與媒體建立關係、提昇機關內部開放與透明文化、提供白話易懂的資訊、衡量公開與透明的有效性等。此開放與透明原則嗣納入歐盟壓力測試規範，此規範於「透明度」(</w:t>
      </w:r>
      <w:r w:rsidRPr="00F80592">
        <w:t>Transparenc</w:t>
      </w:r>
      <w:r w:rsidRPr="00F80592">
        <w:rPr>
          <w:rFonts w:hint="eastAsia"/>
        </w:rPr>
        <w:t>y</w:t>
      </w:r>
      <w:r>
        <w:rPr>
          <w:rFonts w:hint="eastAsia"/>
        </w:rPr>
        <w:t>)中規定：「同行審查結果應公開，並應在國內及歐洲之公開研討會中討論，研討會應邀請其他非核能界、非政府組織等利害關係人(</w:t>
      </w:r>
      <w:r w:rsidRPr="00F80592">
        <w:t>stake</w:t>
      </w:r>
      <w:r w:rsidRPr="00D43B3C">
        <w:t>holders</w:t>
      </w:r>
      <w:r w:rsidRPr="00D43B3C">
        <w:rPr>
          <w:rFonts w:hint="eastAsia"/>
        </w:rPr>
        <w:t>)參加。」查原能會除請NEA進行同行審查並完成上開102年4月23日</w:t>
      </w:r>
      <w:r w:rsidRPr="00D43B3C">
        <w:t>壓力測試國家報告</w:t>
      </w:r>
      <w:r w:rsidRPr="00D43B3C">
        <w:rPr>
          <w:rFonts w:hint="eastAsia"/>
        </w:rPr>
        <w:t>外，另於同年月3日正式邀請歐盟執委會進行同行審查，歐盟執委會於102年11月間提出「台灣核能電廠壓力測試之歐盟同行審查報告」(下稱102年11月歐盟同行審查報告)，並將此報告發布於歐盟壓力測試同行審查專案計畫網站，惟原能會未在國內與歐洲舉辦公開研討會，並公邀請來自非核能界、非政府組織等利害關係人參加，與壓</w:t>
      </w:r>
      <w:r>
        <w:rPr>
          <w:rFonts w:hint="eastAsia"/>
        </w:rPr>
        <w:t>力測試規範之上開規定不符。</w:t>
      </w:r>
    </w:p>
    <w:p w:rsidR="000D034E" w:rsidRPr="00152663" w:rsidRDefault="000D034E" w:rsidP="001014D7">
      <w:pPr>
        <w:pStyle w:val="3"/>
        <w:kinsoku w:val="0"/>
        <w:spacing w:beforeLines="20"/>
        <w:ind w:leftChars="100" w:left="1020" w:hangingChars="200" w:hanging="680"/>
      </w:pPr>
      <w:r>
        <w:rPr>
          <w:rFonts w:hint="eastAsia"/>
        </w:rPr>
        <w:t>綜上，</w:t>
      </w:r>
      <w:r w:rsidRPr="00152663">
        <w:rPr>
          <w:rFonts w:hint="eastAsia"/>
        </w:rPr>
        <w:t>原能會為執行</w:t>
      </w:r>
      <w:r w:rsidR="007D7404" w:rsidRPr="007D7404">
        <w:rPr>
          <w:rFonts w:hint="eastAsia"/>
        </w:rPr>
        <w:t>國內</w:t>
      </w:r>
      <w:r w:rsidRPr="00152663">
        <w:rPr>
          <w:rFonts w:hint="eastAsia"/>
        </w:rPr>
        <w:t>運轉中核電廠壓力測試之獨立同行審查，以捐款方式參與經濟合作暨發展組</w:t>
      </w:r>
      <w:r w:rsidRPr="00152663">
        <w:rPr>
          <w:rFonts w:hint="eastAsia"/>
        </w:rPr>
        <w:lastRenderedPageBreak/>
        <w:t>織核能署</w:t>
      </w:r>
      <w:r w:rsidRPr="00D43B3C">
        <w:rPr>
          <w:rFonts w:hint="eastAsia"/>
        </w:rPr>
        <w:t>311</w:t>
      </w:r>
      <w:r w:rsidRPr="00152663">
        <w:rPr>
          <w:rFonts w:hint="eastAsia"/>
        </w:rPr>
        <w:t>福島事故後補</w:t>
      </w:r>
      <w:proofErr w:type="gramStart"/>
      <w:r w:rsidRPr="00152663">
        <w:rPr>
          <w:rFonts w:hint="eastAsia"/>
        </w:rPr>
        <w:t>強</w:t>
      </w:r>
      <w:proofErr w:type="gramEnd"/>
      <w:r w:rsidRPr="00152663">
        <w:rPr>
          <w:rFonts w:hint="eastAsia"/>
        </w:rPr>
        <w:t>改善措施專案，</w:t>
      </w:r>
      <w:r>
        <w:rPr>
          <w:rFonts w:hint="eastAsia"/>
        </w:rPr>
        <w:t>原能會於100年11月1日請求NEA進行同行審查，於</w:t>
      </w:r>
      <w:r w:rsidRPr="00C87ECE">
        <w:rPr>
          <w:rFonts w:hint="eastAsia"/>
        </w:rPr>
        <w:t>102年4月23日完成工作並發布同行審查報告</w:t>
      </w:r>
      <w:r>
        <w:rPr>
          <w:rFonts w:hint="eastAsia"/>
        </w:rPr>
        <w:t>，</w:t>
      </w:r>
      <w:r w:rsidRPr="006547FC">
        <w:rPr>
          <w:rFonts w:hint="eastAsia"/>
        </w:rPr>
        <w:t>依</w:t>
      </w:r>
      <w:r>
        <w:rPr>
          <w:rFonts w:hint="eastAsia"/>
        </w:rPr>
        <w:t>歐盟壓力測試規範規定，獨立同行審查小組由7人組成，成員應迴避所屬國</w:t>
      </w:r>
      <w:r w:rsidRPr="006547FC">
        <w:rPr>
          <w:rFonts w:hint="eastAsia"/>
        </w:rPr>
        <w:t>家設施之審查，惟</w:t>
      </w:r>
      <w:r w:rsidRPr="00152663">
        <w:rPr>
          <w:rFonts w:hint="eastAsia"/>
        </w:rPr>
        <w:t>獨立同行審查小組成員7人中有1人為</w:t>
      </w:r>
      <w:r w:rsidRPr="00D43B3C">
        <w:rPr>
          <w:rFonts w:hint="eastAsia"/>
        </w:rPr>
        <w:t>我國人</w:t>
      </w:r>
      <w:r w:rsidRPr="00152663">
        <w:rPr>
          <w:rFonts w:hint="eastAsia"/>
        </w:rPr>
        <w:t>，與歐盟壓力測試規範關於小組成員應迴避所屬國</w:t>
      </w:r>
      <w:r w:rsidRPr="006547FC">
        <w:rPr>
          <w:rFonts w:hint="eastAsia"/>
        </w:rPr>
        <w:t>家設施審查之</w:t>
      </w:r>
      <w:r w:rsidRPr="00152663">
        <w:rPr>
          <w:rFonts w:hint="eastAsia"/>
        </w:rPr>
        <w:t>規定不符。原</w:t>
      </w:r>
      <w:r>
        <w:rPr>
          <w:rFonts w:hint="eastAsia"/>
        </w:rPr>
        <w:t>能會另於</w:t>
      </w:r>
      <w:r w:rsidRPr="00D43B3C">
        <w:rPr>
          <w:rFonts w:hint="eastAsia"/>
        </w:rPr>
        <w:t>102</w:t>
      </w:r>
      <w:r w:rsidRPr="00F80592">
        <w:rPr>
          <w:rFonts w:hint="eastAsia"/>
        </w:rPr>
        <w:t>年4月</w:t>
      </w:r>
      <w:r w:rsidRPr="00D43B3C">
        <w:rPr>
          <w:rFonts w:hint="eastAsia"/>
        </w:rPr>
        <w:t>3</w:t>
      </w:r>
      <w:r w:rsidRPr="00F80592">
        <w:rPr>
          <w:rFonts w:hint="eastAsia"/>
        </w:rPr>
        <w:t>日正式邀請歐盟執委會</w:t>
      </w:r>
      <w:r w:rsidRPr="00D43B3C">
        <w:rPr>
          <w:rFonts w:hint="eastAsia"/>
        </w:rPr>
        <w:t>對國內的壓力測試進行獨立同行審查</w:t>
      </w:r>
      <w:r>
        <w:rPr>
          <w:rFonts w:hint="eastAsia"/>
        </w:rPr>
        <w:t>，</w:t>
      </w:r>
      <w:r w:rsidRPr="00F80592">
        <w:rPr>
          <w:rFonts w:hint="eastAsia"/>
        </w:rPr>
        <w:t>歐盟執委會</w:t>
      </w:r>
      <w:r w:rsidRPr="006547FC">
        <w:rPr>
          <w:rFonts w:hint="eastAsia"/>
        </w:rPr>
        <w:t>於102年</w:t>
      </w:r>
      <w:r w:rsidRPr="00D43B3C">
        <w:rPr>
          <w:rFonts w:hint="eastAsia"/>
        </w:rPr>
        <w:t>11</w:t>
      </w:r>
      <w:r w:rsidRPr="006547FC">
        <w:rPr>
          <w:rFonts w:hint="eastAsia"/>
        </w:rPr>
        <w:t>月</w:t>
      </w:r>
      <w:r w:rsidRPr="00D43B3C">
        <w:rPr>
          <w:rFonts w:hint="eastAsia"/>
        </w:rPr>
        <w:t>間</w:t>
      </w:r>
      <w:r>
        <w:rPr>
          <w:rFonts w:hint="eastAsia"/>
        </w:rPr>
        <w:t>提出「台灣核能電廠壓力測試之</w:t>
      </w:r>
      <w:r w:rsidRPr="00D43B3C">
        <w:rPr>
          <w:rFonts w:hint="eastAsia"/>
        </w:rPr>
        <w:t>歐盟</w:t>
      </w:r>
      <w:r>
        <w:rPr>
          <w:rFonts w:hint="eastAsia"/>
        </w:rPr>
        <w:t>同行審查報告」</w:t>
      </w:r>
      <w:r w:rsidRPr="00F16362">
        <w:rPr>
          <w:rFonts w:hint="eastAsia"/>
        </w:rPr>
        <w:t>，</w:t>
      </w:r>
      <w:r w:rsidRPr="00D43B3C">
        <w:rPr>
          <w:rFonts w:hint="eastAsia"/>
        </w:rPr>
        <w:t>並</w:t>
      </w:r>
      <w:r w:rsidRPr="006547FC">
        <w:rPr>
          <w:rFonts w:hint="eastAsia"/>
        </w:rPr>
        <w:t>將此報告</w:t>
      </w:r>
      <w:r w:rsidRPr="00F16362">
        <w:rPr>
          <w:rFonts w:hint="eastAsia"/>
        </w:rPr>
        <w:t>發布於歐盟壓力測試同行審查專案計畫網站</w:t>
      </w:r>
      <w:r>
        <w:rPr>
          <w:rFonts w:hint="eastAsia"/>
        </w:rPr>
        <w:t>，惟</w:t>
      </w:r>
      <w:r w:rsidRPr="00D43B3C">
        <w:rPr>
          <w:rFonts w:hint="eastAsia"/>
        </w:rPr>
        <w:t>原能會</w:t>
      </w:r>
      <w:r>
        <w:rPr>
          <w:rFonts w:hint="eastAsia"/>
        </w:rPr>
        <w:t>未在國內與歐洲舉辦公開研討會，並邀請來自非核能界、非政府組織等利害關係人參加，有違歐盟壓力測試規範關於透明度之規定，</w:t>
      </w:r>
      <w:r w:rsidRPr="00152663">
        <w:rPr>
          <w:rFonts w:hint="eastAsia"/>
        </w:rPr>
        <w:t>遭受外界質疑及批評，核有</w:t>
      </w:r>
      <w:r>
        <w:rPr>
          <w:rFonts w:hint="eastAsia"/>
        </w:rPr>
        <w:t>違失</w:t>
      </w:r>
      <w:r w:rsidRPr="00152663">
        <w:rPr>
          <w:rFonts w:hint="eastAsia"/>
        </w:rPr>
        <w:t>。</w:t>
      </w:r>
    </w:p>
    <w:bookmarkEnd w:id="35"/>
    <w:p w:rsidR="000D034E" w:rsidRPr="00665B1D" w:rsidRDefault="000D034E" w:rsidP="000D034E">
      <w:pPr>
        <w:pStyle w:val="2"/>
        <w:rPr>
          <w:b/>
        </w:rPr>
      </w:pPr>
      <w:r w:rsidRPr="00665B1D">
        <w:rPr>
          <w:rFonts w:hint="eastAsia"/>
          <w:b/>
        </w:rPr>
        <w:t>依據原能會之統計資料顯示，</w:t>
      </w:r>
      <w:r w:rsidR="006E53F5" w:rsidRPr="00665B1D">
        <w:rPr>
          <w:rFonts w:hint="eastAsia"/>
          <w:b/>
        </w:rPr>
        <w:t>台電公司運轉中之</w:t>
      </w:r>
      <w:r w:rsidRPr="00665B1D">
        <w:rPr>
          <w:rFonts w:hint="eastAsia"/>
          <w:b/>
        </w:rPr>
        <w:t>三座核電廠自93至102年間共發生異常事件87件，違規案件60件，</w:t>
      </w:r>
      <w:r w:rsidR="00AB0903" w:rsidRPr="00665B1D">
        <w:rPr>
          <w:rFonts w:hint="eastAsia"/>
          <w:b/>
        </w:rPr>
        <w:t>注意改進</w:t>
      </w:r>
      <w:r w:rsidRPr="00665B1D">
        <w:rPr>
          <w:rFonts w:hint="eastAsia"/>
          <w:b/>
        </w:rPr>
        <w:t>高達553件，違規案件於100至102年間最多，</w:t>
      </w:r>
      <w:r w:rsidR="00AB0903" w:rsidRPr="00665B1D">
        <w:rPr>
          <w:rFonts w:hint="eastAsia"/>
          <w:b/>
        </w:rPr>
        <w:t>注意改進</w:t>
      </w:r>
      <w:r w:rsidR="006E53F5" w:rsidRPr="00665B1D">
        <w:rPr>
          <w:rFonts w:hint="eastAsia"/>
          <w:b/>
        </w:rPr>
        <w:t>事項</w:t>
      </w:r>
      <w:r w:rsidRPr="00665B1D">
        <w:rPr>
          <w:rFonts w:hint="eastAsia"/>
          <w:b/>
        </w:rPr>
        <w:t>於101至102年間最多，顯示各廠近年違反相關法令事件頻繁，</w:t>
      </w:r>
      <w:r w:rsidR="00736408" w:rsidRPr="00665B1D">
        <w:rPr>
          <w:rFonts w:hint="eastAsia"/>
          <w:b/>
        </w:rPr>
        <w:t>尤其近年來</w:t>
      </w:r>
      <w:r w:rsidRPr="00665B1D">
        <w:rPr>
          <w:rFonts w:hint="eastAsia"/>
          <w:b/>
        </w:rPr>
        <w:t>有增加之趨勢，核有未當。</w:t>
      </w:r>
      <w:bookmarkEnd w:id="36"/>
    </w:p>
    <w:p w:rsidR="000D034E" w:rsidRPr="00B86680" w:rsidRDefault="000D034E" w:rsidP="000D034E">
      <w:pPr>
        <w:pStyle w:val="3"/>
        <w:widowControl/>
        <w:numPr>
          <w:ilvl w:val="2"/>
          <w:numId w:val="5"/>
        </w:numPr>
        <w:rPr>
          <w:color w:val="000000" w:themeColor="text1"/>
        </w:rPr>
      </w:pPr>
      <w:r w:rsidRPr="00AD0491">
        <w:rPr>
          <w:rFonts w:hint="eastAsia"/>
        </w:rPr>
        <w:t>國際原子能總署(IAEA)及經濟合作開發組織核能署(OECD/NEA)於</w:t>
      </w:r>
      <w:r w:rsidRPr="00AD0491">
        <w:t>1989</w:t>
      </w:r>
      <w:r w:rsidRPr="007738D8">
        <w:rPr>
          <w:rFonts w:hint="eastAsia"/>
        </w:rPr>
        <w:t>年訂定「國際核能事件分級制度(</w:t>
      </w:r>
      <w:r w:rsidRPr="007738D8">
        <w:t>The Inte</w:t>
      </w:r>
      <w:r w:rsidRPr="00B86680">
        <w:rPr>
          <w:color w:val="000000" w:themeColor="text1"/>
        </w:rPr>
        <w:t>rnational Nuclear and Radiological Event Scale</w:t>
      </w:r>
      <w:r w:rsidRPr="00B86680">
        <w:rPr>
          <w:rFonts w:hint="eastAsia"/>
          <w:color w:val="000000" w:themeColor="text1"/>
        </w:rPr>
        <w:t>, INES)」</w:t>
      </w:r>
      <w:r>
        <w:rPr>
          <w:rFonts w:hint="eastAsia"/>
          <w:color w:val="000000" w:themeColor="text1"/>
        </w:rPr>
        <w:t>，將</w:t>
      </w:r>
      <w:r w:rsidRPr="00B86680">
        <w:rPr>
          <w:rFonts w:hint="eastAsia"/>
          <w:color w:val="000000" w:themeColor="text1"/>
        </w:rPr>
        <w:t>核能事件</w:t>
      </w:r>
      <w:r>
        <w:rPr>
          <w:rFonts w:hint="eastAsia"/>
          <w:color w:val="000000" w:themeColor="text1"/>
        </w:rPr>
        <w:t>依嚴重性</w:t>
      </w:r>
      <w:r w:rsidRPr="00B86680">
        <w:rPr>
          <w:rFonts w:hint="eastAsia"/>
          <w:color w:val="000000" w:themeColor="text1"/>
        </w:rPr>
        <w:t>分成7個等級，並按</w:t>
      </w:r>
      <w:r>
        <w:rPr>
          <w:rFonts w:hint="eastAsia"/>
          <w:color w:val="000000" w:themeColor="text1"/>
        </w:rPr>
        <w:t>3</w:t>
      </w:r>
      <w:r w:rsidRPr="00B86680">
        <w:rPr>
          <w:rFonts w:hint="eastAsia"/>
          <w:color w:val="000000" w:themeColor="text1"/>
        </w:rPr>
        <w:t>種不同準則（</w:t>
      </w:r>
      <w:r>
        <w:rPr>
          <w:rFonts w:hint="eastAsia"/>
          <w:color w:val="000000" w:themeColor="text1"/>
        </w:rPr>
        <w:t>C</w:t>
      </w:r>
      <w:r w:rsidRPr="00B86680">
        <w:rPr>
          <w:color w:val="000000" w:themeColor="text1"/>
        </w:rPr>
        <w:t>riteria</w:t>
      </w:r>
      <w:r w:rsidRPr="00B86680">
        <w:rPr>
          <w:rFonts w:hint="eastAsia"/>
          <w:color w:val="000000" w:themeColor="text1"/>
        </w:rPr>
        <w:t>）來劃分事件的等級</w:t>
      </w:r>
      <w:r>
        <w:rPr>
          <w:rFonts w:hint="eastAsia"/>
          <w:color w:val="000000" w:themeColor="text1"/>
        </w:rPr>
        <w:t>。</w:t>
      </w:r>
      <w:r w:rsidRPr="00EC48F7">
        <w:rPr>
          <w:rFonts w:hint="eastAsia"/>
          <w:color w:val="000000" w:themeColor="text1"/>
        </w:rPr>
        <w:t>第</w:t>
      </w:r>
      <w:r>
        <w:rPr>
          <w:rFonts w:hAnsi="標楷體" w:cs="標楷體" w:hint="eastAsia"/>
          <w:color w:val="000000" w:themeColor="text1"/>
        </w:rPr>
        <w:t>1</w:t>
      </w:r>
      <w:r w:rsidRPr="00B86680">
        <w:rPr>
          <w:rFonts w:hAnsi="標楷體" w:cs="標楷體" w:hint="eastAsia"/>
          <w:color w:val="000000" w:themeColor="text1"/>
        </w:rPr>
        <w:t>種「廠外衝擊」準則會對民眾有直接的影響</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2</w:t>
      </w:r>
      <w:r w:rsidRPr="00B86680">
        <w:rPr>
          <w:rFonts w:hAnsi="標楷體" w:cs="標楷體" w:hint="eastAsia"/>
          <w:color w:val="000000" w:themeColor="text1"/>
        </w:rPr>
        <w:t>種「廠內衝擊」準則以事件發生後對核子設施廠內的影</w:t>
      </w:r>
      <w:r w:rsidRPr="00B86680">
        <w:rPr>
          <w:rFonts w:hAnsi="標楷體" w:cs="標楷體" w:hint="eastAsia"/>
          <w:color w:val="000000" w:themeColor="text1"/>
        </w:rPr>
        <w:lastRenderedPageBreak/>
        <w:t>響程度來劃分</w:t>
      </w:r>
      <w:r w:rsidRPr="00EB44C2">
        <w:rPr>
          <w:rFonts w:hint="eastAsia"/>
        </w:rPr>
        <w:t>等級</w:t>
      </w:r>
      <w:r w:rsidRPr="00B86680">
        <w:rPr>
          <w:rFonts w:hAnsi="標楷體" w:cs="標楷體" w:hint="eastAsia"/>
          <w:color w:val="000000" w:themeColor="text1"/>
        </w:rPr>
        <w:t>，第</w:t>
      </w:r>
      <w:r>
        <w:rPr>
          <w:rFonts w:hAnsi="標楷體" w:cs="標楷體" w:hint="eastAsia"/>
          <w:color w:val="000000" w:themeColor="text1"/>
        </w:rPr>
        <w:t>3</w:t>
      </w:r>
      <w:r w:rsidRPr="00B86680">
        <w:rPr>
          <w:rFonts w:hAnsi="標楷體" w:cs="標楷體" w:hint="eastAsia"/>
          <w:color w:val="000000" w:themeColor="text1"/>
        </w:rPr>
        <w:t>種「深度防禦」準則以安全系統</w:t>
      </w:r>
      <w:r w:rsidRPr="00651EB3">
        <w:rPr>
          <w:rFonts w:hAnsi="標楷體" w:cs="標楷體" w:hint="eastAsia"/>
          <w:color w:val="000000" w:themeColor="text1"/>
        </w:rPr>
        <w:t>受損程度來判別其級數</w:t>
      </w:r>
      <w:r w:rsidRPr="006E1454">
        <w:rPr>
          <w:rFonts w:hAnsi="標楷體" w:cs="標楷體" w:hint="eastAsia"/>
          <w:color w:val="000000" w:themeColor="text1"/>
        </w:rPr>
        <w:t>。</w:t>
      </w:r>
      <w:r w:rsidRPr="00B86680">
        <w:rPr>
          <w:rFonts w:hint="eastAsia"/>
          <w:color w:val="000000" w:themeColor="text1"/>
        </w:rPr>
        <w:t>核能事件</w:t>
      </w:r>
      <w:r w:rsidRPr="006E1454">
        <w:rPr>
          <w:rFonts w:hAnsi="標楷體" w:hint="eastAsia"/>
          <w:color w:val="000000" w:themeColor="text1"/>
        </w:rPr>
        <w:t>的</w:t>
      </w:r>
      <w:r w:rsidRPr="00B86680">
        <w:rPr>
          <w:rFonts w:hint="eastAsia"/>
          <w:color w:val="000000" w:themeColor="text1"/>
        </w:rPr>
        <w:t>7個等級</w:t>
      </w:r>
      <w:r>
        <w:rPr>
          <w:rFonts w:hint="eastAsia"/>
          <w:color w:val="000000" w:themeColor="text1"/>
        </w:rPr>
        <w:t>中</w:t>
      </w:r>
      <w:r w:rsidRPr="00B86680">
        <w:rPr>
          <w:rFonts w:hint="eastAsia"/>
          <w:color w:val="000000" w:themeColor="text1"/>
        </w:rPr>
        <w:t>，</w:t>
      </w:r>
      <w:r w:rsidRPr="006E1454">
        <w:rPr>
          <w:rFonts w:hAnsi="標楷體" w:hint="eastAsia"/>
          <w:color w:val="000000" w:themeColor="text1"/>
        </w:rPr>
        <w:t>較低的1至3級總稱為異常事件（</w:t>
      </w:r>
      <w:r w:rsidRPr="006E1454">
        <w:rPr>
          <w:rFonts w:hAnsi="標楷體"/>
          <w:color w:val="000000" w:themeColor="text1"/>
        </w:rPr>
        <w:t>I</w:t>
      </w:r>
      <w:r>
        <w:rPr>
          <w:rFonts w:hAnsi="標楷體" w:hint="eastAsia"/>
          <w:color w:val="000000" w:themeColor="text1"/>
        </w:rPr>
        <w:t>ncidents</w:t>
      </w:r>
      <w:r w:rsidRPr="006E1454">
        <w:rPr>
          <w:rFonts w:hAnsi="標楷體" w:hint="eastAsia"/>
          <w:color w:val="000000" w:themeColor="text1"/>
        </w:rPr>
        <w:t>）</w:t>
      </w:r>
      <w:r w:rsidRPr="006E1454">
        <w:rPr>
          <w:rStyle w:val="af6"/>
          <w:rFonts w:hAnsi="標楷體"/>
          <w:color w:val="000000" w:themeColor="text1"/>
        </w:rPr>
        <w:footnoteReference w:id="6"/>
      </w:r>
      <w:r w:rsidRPr="006E1454">
        <w:rPr>
          <w:rFonts w:hAnsi="標楷體" w:hint="eastAsia"/>
          <w:color w:val="000000" w:themeColor="text1"/>
        </w:rPr>
        <w:t>，較高</w:t>
      </w:r>
      <w:r w:rsidRPr="00B86680">
        <w:rPr>
          <w:rFonts w:hint="eastAsia"/>
          <w:color w:val="000000" w:themeColor="text1"/>
        </w:rPr>
        <w:t>的4至7級則稱為核子事故（</w:t>
      </w:r>
      <w:r w:rsidRPr="00B86680">
        <w:rPr>
          <w:color w:val="000000" w:themeColor="text1"/>
        </w:rPr>
        <w:t>A</w:t>
      </w:r>
      <w:r>
        <w:rPr>
          <w:rFonts w:hint="eastAsia"/>
          <w:color w:val="000000" w:themeColor="text1"/>
        </w:rPr>
        <w:t>ccidents</w:t>
      </w:r>
      <w:r w:rsidRPr="00B86680">
        <w:rPr>
          <w:rFonts w:hint="eastAsia"/>
          <w:color w:val="000000" w:themeColor="text1"/>
        </w:rPr>
        <w:t>）</w:t>
      </w:r>
      <w:r w:rsidRPr="00B86680">
        <w:rPr>
          <w:rStyle w:val="af6"/>
          <w:color w:val="000000" w:themeColor="text1"/>
        </w:rPr>
        <w:footnoteReference w:id="7"/>
      </w:r>
      <w:r>
        <w:rPr>
          <w:rFonts w:hint="eastAsia"/>
          <w:color w:val="000000" w:themeColor="text1"/>
        </w:rPr>
        <w:t>，而</w:t>
      </w:r>
      <w:r w:rsidRPr="00B86680">
        <w:rPr>
          <w:rFonts w:hint="eastAsia"/>
          <w:color w:val="000000" w:themeColor="text1"/>
        </w:rPr>
        <w:t>若干事件如無安全的顧慮</w:t>
      </w:r>
      <w:r>
        <w:rPr>
          <w:rFonts w:hint="eastAsia"/>
          <w:color w:val="000000" w:themeColor="text1"/>
        </w:rPr>
        <w:t>者，</w:t>
      </w:r>
      <w:r w:rsidRPr="00B86680">
        <w:rPr>
          <w:rFonts w:hint="eastAsia"/>
          <w:color w:val="000000" w:themeColor="text1"/>
        </w:rPr>
        <w:t>則將之劃分成0級(或稱未達級數)。</w:t>
      </w:r>
      <w:r w:rsidRPr="00B86680">
        <w:rPr>
          <w:rFonts w:hAnsi="標楷體" w:cs="標楷體" w:hint="eastAsia"/>
          <w:color w:val="000000" w:themeColor="text1"/>
        </w:rPr>
        <w:t>當</w:t>
      </w:r>
      <w:proofErr w:type="gramStart"/>
      <w:r w:rsidRPr="00B86680">
        <w:rPr>
          <w:rFonts w:hAnsi="標楷體" w:cs="標楷體" w:hint="eastAsia"/>
          <w:color w:val="000000" w:themeColor="text1"/>
        </w:rPr>
        <w:t>一</w:t>
      </w:r>
      <w:proofErr w:type="gramEnd"/>
      <w:r w:rsidRPr="00B86680">
        <w:rPr>
          <w:rFonts w:hAnsi="標楷體" w:cs="標楷體" w:hint="eastAsia"/>
          <w:color w:val="000000" w:themeColor="text1"/>
        </w:rPr>
        <w:t>核能事件發生後，即以</w:t>
      </w:r>
      <w:r w:rsidRPr="000D35BC">
        <w:rPr>
          <w:rFonts w:hAnsi="標楷體" w:cs="標楷體" w:hint="eastAsia"/>
        </w:rPr>
        <w:t>上述</w:t>
      </w:r>
      <w:proofErr w:type="gramStart"/>
      <w:r w:rsidRPr="000D35BC">
        <w:rPr>
          <w:rFonts w:hAnsi="標楷體" w:cs="標楷體" w:hint="eastAsia"/>
        </w:rPr>
        <w:t>三</w:t>
      </w:r>
      <w:proofErr w:type="gramEnd"/>
      <w:r w:rsidRPr="00B86680">
        <w:rPr>
          <w:rFonts w:hAnsi="標楷體" w:cs="標楷體" w:hint="eastAsia"/>
          <w:color w:val="000000" w:themeColor="text1"/>
        </w:rPr>
        <w:t>準則分別評估事件等級，再選擇其中級別最高</w:t>
      </w:r>
      <w:r>
        <w:rPr>
          <w:rFonts w:hAnsi="標楷體" w:cs="標楷體" w:hint="eastAsia"/>
          <w:color w:val="000000" w:themeColor="text1"/>
        </w:rPr>
        <w:t>者</w:t>
      </w:r>
      <w:r w:rsidRPr="00B86680">
        <w:rPr>
          <w:rFonts w:hAnsi="標楷體" w:cs="標楷體" w:hint="eastAsia"/>
          <w:color w:val="000000" w:themeColor="text1"/>
        </w:rPr>
        <w:t>為事件等級</w:t>
      </w:r>
      <w:r>
        <w:rPr>
          <w:rFonts w:hAnsi="標楷體" w:cs="標楷體" w:hint="eastAsia"/>
          <w:color w:val="000000" w:themeColor="text1"/>
        </w:rPr>
        <w:t>，例如日本福島311核災事件，被歸類為第7級</w:t>
      </w:r>
      <w:r w:rsidRPr="00B86680">
        <w:rPr>
          <w:rFonts w:hAnsi="標楷體" w:cs="標楷體" w:hint="eastAsia"/>
          <w:color w:val="000000" w:themeColor="text1"/>
        </w:rPr>
        <w:t>。原能會在對外界公布</w:t>
      </w:r>
      <w:r>
        <w:rPr>
          <w:rFonts w:hAnsi="標楷體" w:cs="標楷體" w:hint="eastAsia"/>
          <w:color w:val="000000" w:themeColor="text1"/>
        </w:rPr>
        <w:t>「</w:t>
      </w:r>
      <w:r w:rsidRPr="00B86680">
        <w:rPr>
          <w:rFonts w:hAnsi="標楷體" w:cs="標楷體" w:hint="eastAsia"/>
          <w:color w:val="000000" w:themeColor="text1"/>
        </w:rPr>
        <w:t>異常事件</w:t>
      </w:r>
      <w:r>
        <w:rPr>
          <w:rFonts w:hAnsi="標楷體" w:cs="標楷體" w:hint="eastAsia"/>
          <w:color w:val="000000" w:themeColor="text1"/>
        </w:rPr>
        <w:t>」</w:t>
      </w:r>
      <w:r w:rsidRPr="00B86680">
        <w:rPr>
          <w:rFonts w:hAnsi="標楷體" w:cs="標楷體" w:hint="eastAsia"/>
          <w:color w:val="000000" w:themeColor="text1"/>
        </w:rPr>
        <w:t>資料時，仿照氣象單位</w:t>
      </w:r>
      <w:r>
        <w:rPr>
          <w:rFonts w:hAnsi="標楷體" w:cs="標楷體" w:hint="eastAsia"/>
          <w:color w:val="000000" w:themeColor="text1"/>
        </w:rPr>
        <w:t>將</w:t>
      </w:r>
      <w:r w:rsidRPr="00B86680">
        <w:rPr>
          <w:rFonts w:hAnsi="標楷體" w:cs="標楷體" w:hint="eastAsia"/>
          <w:color w:val="000000" w:themeColor="text1"/>
        </w:rPr>
        <w:t>颱風區分為輕度、中度、強烈之方式，將第0級事件稱為</w:t>
      </w:r>
      <w:r>
        <w:rPr>
          <w:rFonts w:hAnsi="標楷體" w:cs="標楷體" w:hint="eastAsia"/>
          <w:color w:val="000000" w:themeColor="text1"/>
        </w:rPr>
        <w:t>「</w:t>
      </w:r>
      <w:r w:rsidRPr="00B86680">
        <w:rPr>
          <w:rFonts w:hAnsi="標楷體" w:cs="標楷體" w:hint="eastAsia"/>
          <w:color w:val="000000" w:themeColor="text1"/>
        </w:rPr>
        <w:t>未達級數事件</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1</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異常警示事件</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2</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偶發事件</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3</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嚴重事件</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4</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廠區意外事故</w:t>
      </w:r>
      <w:r>
        <w:rPr>
          <w:rFonts w:hAnsi="標楷體" w:cs="標楷體" w:hint="eastAsia"/>
          <w:color w:val="000000" w:themeColor="text1"/>
        </w:rPr>
        <w:t>」</w:t>
      </w:r>
      <w:r w:rsidRPr="00B86680">
        <w:rPr>
          <w:rFonts w:hAnsi="標楷體" w:cs="標楷體" w:hint="eastAsia"/>
          <w:color w:val="000000" w:themeColor="text1"/>
        </w:rPr>
        <w:t>，第</w:t>
      </w:r>
      <w:r>
        <w:rPr>
          <w:rFonts w:hAnsi="標楷體" w:cs="標楷體" w:hint="eastAsia"/>
          <w:color w:val="000000" w:themeColor="text1"/>
        </w:rPr>
        <w:t>5</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廠外意外事故</w:t>
      </w:r>
      <w:r>
        <w:rPr>
          <w:rFonts w:hAnsi="標楷體" w:cs="標楷體" w:hint="eastAsia"/>
          <w:color w:val="000000" w:themeColor="text1"/>
        </w:rPr>
        <w:t>」</w:t>
      </w:r>
      <w:r w:rsidRPr="00B86680">
        <w:rPr>
          <w:rFonts w:hAnsi="標楷體" w:cs="標楷體" w:hint="eastAsia"/>
          <w:color w:val="000000" w:themeColor="text1"/>
        </w:rPr>
        <w:t>，第</w:t>
      </w:r>
      <w:r>
        <w:rPr>
          <w:rFonts w:ascii="MS Mincho" w:eastAsiaTheme="minorEastAsia" w:hAnsi="標楷體" w:cs="標楷體" w:hint="eastAsia"/>
          <w:color w:val="000000" w:themeColor="text1"/>
        </w:rPr>
        <w:t>6</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嚴重意外事故</w:t>
      </w:r>
      <w:r>
        <w:rPr>
          <w:rFonts w:hAnsi="標楷體" w:cs="標楷體" w:hint="eastAsia"/>
          <w:color w:val="000000" w:themeColor="text1"/>
        </w:rPr>
        <w:t>」</w:t>
      </w:r>
      <w:r w:rsidRPr="00B86680">
        <w:rPr>
          <w:rFonts w:hAnsi="標楷體" w:cs="標楷體" w:hint="eastAsia"/>
          <w:color w:val="000000" w:themeColor="text1"/>
        </w:rPr>
        <w:t>，第</w:t>
      </w:r>
      <w:r>
        <w:rPr>
          <w:rFonts w:ascii="MS Mincho" w:eastAsiaTheme="minorEastAsia" w:hAnsi="標楷體" w:cs="標楷體" w:hint="eastAsia"/>
          <w:color w:val="000000" w:themeColor="text1"/>
        </w:rPr>
        <w:t>7</w:t>
      </w:r>
      <w:r w:rsidRPr="00B86680">
        <w:rPr>
          <w:rFonts w:hAnsi="標楷體" w:cs="標楷體" w:hint="eastAsia"/>
          <w:color w:val="000000" w:themeColor="text1"/>
        </w:rPr>
        <w:t>級稱為</w:t>
      </w:r>
      <w:r>
        <w:rPr>
          <w:rFonts w:hAnsi="標楷體" w:cs="標楷體" w:hint="eastAsia"/>
          <w:color w:val="000000" w:themeColor="text1"/>
        </w:rPr>
        <w:t>「</w:t>
      </w:r>
      <w:r w:rsidRPr="00B86680">
        <w:rPr>
          <w:rFonts w:hAnsi="標楷體" w:cs="標楷體" w:hint="eastAsia"/>
          <w:color w:val="000000" w:themeColor="text1"/>
        </w:rPr>
        <w:t>最嚴重意外事故</w:t>
      </w:r>
      <w:r>
        <w:rPr>
          <w:rFonts w:hAnsi="標楷體" w:cs="標楷體" w:hint="eastAsia"/>
          <w:color w:val="000000" w:themeColor="text1"/>
        </w:rPr>
        <w:t>」</w:t>
      </w:r>
      <w:r w:rsidRPr="00B86680">
        <w:rPr>
          <w:rFonts w:hAnsi="標楷體" w:cs="標楷體" w:hint="eastAsia"/>
          <w:color w:val="000000" w:themeColor="text1"/>
        </w:rPr>
        <w:t>。</w:t>
      </w:r>
    </w:p>
    <w:p w:rsidR="000D034E" w:rsidRDefault="000D034E" w:rsidP="000D034E">
      <w:pPr>
        <w:pStyle w:val="3"/>
        <w:widowControl/>
        <w:numPr>
          <w:ilvl w:val="2"/>
          <w:numId w:val="5"/>
        </w:numPr>
        <w:rPr>
          <w:color w:val="000000" w:themeColor="text1"/>
        </w:rPr>
      </w:pPr>
      <w:r w:rsidRPr="00651EB3">
        <w:rPr>
          <w:rFonts w:hint="eastAsia"/>
          <w:color w:val="000000" w:themeColor="text1"/>
        </w:rPr>
        <w:t>原能會</w:t>
      </w:r>
      <w:r>
        <w:rPr>
          <w:rFonts w:hint="eastAsia"/>
          <w:color w:val="000000" w:themeColor="text1"/>
        </w:rPr>
        <w:t>訂定</w:t>
      </w:r>
      <w:r w:rsidRPr="00651EB3">
        <w:rPr>
          <w:rFonts w:hAnsi="標楷體" w:cs="標楷體" w:hint="eastAsia"/>
          <w:color w:val="000000" w:themeColor="text1"/>
        </w:rPr>
        <w:t>「核子反應器設施異常事件報告及立即通報作業辦法」</w:t>
      </w:r>
      <w:r>
        <w:rPr>
          <w:rFonts w:hAnsi="標楷體" w:cs="標楷體" w:hint="eastAsia"/>
          <w:color w:val="000000" w:themeColor="text1"/>
        </w:rPr>
        <w:t>(下稱</w:t>
      </w:r>
      <w:r w:rsidRPr="00651EB3">
        <w:rPr>
          <w:rFonts w:hAnsi="標楷體" w:cs="標楷體" w:hint="eastAsia"/>
          <w:color w:val="000000" w:themeColor="text1"/>
        </w:rPr>
        <w:t>通報作業辦法</w:t>
      </w:r>
      <w:r>
        <w:rPr>
          <w:rFonts w:hAnsi="標楷體" w:cs="標楷體" w:hint="eastAsia"/>
          <w:color w:val="000000" w:themeColor="text1"/>
        </w:rPr>
        <w:t>)</w:t>
      </w:r>
      <w:r w:rsidRPr="00651EB3">
        <w:rPr>
          <w:rFonts w:hAnsi="標楷體" w:cs="標楷體" w:hint="eastAsia"/>
          <w:color w:val="000000" w:themeColor="text1"/>
        </w:rPr>
        <w:t>，</w:t>
      </w:r>
      <w:r>
        <w:rPr>
          <w:rFonts w:hAnsi="標楷體" w:cs="標楷體" w:hint="eastAsia"/>
          <w:color w:val="000000" w:themeColor="text1"/>
        </w:rPr>
        <w:t>依</w:t>
      </w:r>
      <w:r w:rsidRPr="00651EB3">
        <w:rPr>
          <w:rFonts w:hAnsi="標楷體" w:cs="標楷體" w:hint="eastAsia"/>
          <w:color w:val="000000" w:themeColor="text1"/>
        </w:rPr>
        <w:t>事件類別訂有應於</w:t>
      </w:r>
      <w:r>
        <w:rPr>
          <w:rFonts w:hAnsi="標楷體" w:cs="標楷體" w:hint="eastAsia"/>
          <w:color w:val="000000" w:themeColor="text1"/>
        </w:rPr>
        <w:t>1</w:t>
      </w:r>
      <w:r w:rsidRPr="00651EB3">
        <w:rPr>
          <w:rFonts w:hAnsi="標楷體" w:cs="標楷體" w:hint="eastAsia"/>
          <w:color w:val="000000" w:themeColor="text1"/>
        </w:rPr>
        <w:t>小時內、</w:t>
      </w:r>
      <w:r>
        <w:rPr>
          <w:rFonts w:hAnsi="標楷體" w:cs="標楷體" w:hint="eastAsia"/>
          <w:color w:val="000000" w:themeColor="text1"/>
        </w:rPr>
        <w:t>2</w:t>
      </w:r>
      <w:r w:rsidRPr="00651EB3">
        <w:rPr>
          <w:rFonts w:hAnsi="標楷體" w:cs="標楷體" w:hint="eastAsia"/>
          <w:color w:val="000000" w:themeColor="text1"/>
        </w:rPr>
        <w:t>小時內或書面報告之規定，其中應書面報告之異常事件</w:t>
      </w:r>
      <w:r w:rsidRPr="00651EB3">
        <w:rPr>
          <w:rFonts w:hint="eastAsia"/>
          <w:color w:val="000000" w:themeColor="text1"/>
        </w:rPr>
        <w:t>（</w:t>
      </w:r>
      <w:r w:rsidRPr="00651EB3">
        <w:rPr>
          <w:color w:val="000000" w:themeColor="text1"/>
        </w:rPr>
        <w:t>Reportable Event Reports, RE</w:t>
      </w:r>
      <w:r w:rsidRPr="00651EB3">
        <w:rPr>
          <w:rFonts w:hAnsi="標楷體" w:cs="標楷體"/>
          <w:color w:val="000000" w:themeColor="text1"/>
        </w:rPr>
        <w:t>R</w:t>
      </w:r>
      <w:r w:rsidRPr="00651EB3">
        <w:rPr>
          <w:rFonts w:hAnsi="標楷體" w:cs="標楷體" w:hint="eastAsia"/>
          <w:color w:val="000000" w:themeColor="text1"/>
        </w:rPr>
        <w:t>，</w:t>
      </w:r>
      <w:r w:rsidRPr="00651EB3">
        <w:rPr>
          <w:rFonts w:hint="eastAsia"/>
          <w:color w:val="000000" w:themeColor="text1"/>
        </w:rPr>
        <w:t>含急停事件</w:t>
      </w:r>
      <w:r w:rsidRPr="00651EB3">
        <w:rPr>
          <w:rFonts w:hAnsi="標楷體" w:cs="標楷體"/>
          <w:color w:val="000000" w:themeColor="text1"/>
        </w:rPr>
        <w:t>)</w:t>
      </w:r>
      <w:r w:rsidRPr="00651EB3">
        <w:rPr>
          <w:rFonts w:hAnsi="標楷體" w:cs="標楷體" w:hint="eastAsia"/>
          <w:color w:val="000000" w:themeColor="text1"/>
        </w:rPr>
        <w:t>方屬該會</w:t>
      </w:r>
      <w:r w:rsidRPr="00651EB3">
        <w:rPr>
          <w:rFonts w:hint="eastAsia"/>
          <w:color w:val="000000" w:themeColor="text1"/>
        </w:rPr>
        <w:t>網站所稱異常事件</w:t>
      </w:r>
      <w:r>
        <w:rPr>
          <w:rFonts w:hint="eastAsia"/>
          <w:color w:val="000000" w:themeColor="text1"/>
        </w:rPr>
        <w:t>(</w:t>
      </w:r>
      <w:r w:rsidRPr="00651EB3">
        <w:rPr>
          <w:rFonts w:hint="eastAsia"/>
          <w:color w:val="000000" w:themeColor="text1"/>
        </w:rPr>
        <w:t>RER</w:t>
      </w:r>
      <w:r>
        <w:rPr>
          <w:rFonts w:hint="eastAsia"/>
          <w:color w:val="000000" w:themeColor="text1"/>
        </w:rPr>
        <w:t>)</w:t>
      </w:r>
      <w:r w:rsidRPr="00651EB3">
        <w:rPr>
          <w:rFonts w:hint="eastAsia"/>
          <w:color w:val="000000" w:themeColor="text1"/>
        </w:rPr>
        <w:t>，包含：違反運轉規範之安全限值</w:t>
      </w:r>
      <w:r>
        <w:rPr>
          <w:rFonts w:hint="eastAsia"/>
          <w:color w:val="000000" w:themeColor="text1"/>
        </w:rPr>
        <w:t>；</w:t>
      </w:r>
      <w:r w:rsidRPr="00651EB3">
        <w:rPr>
          <w:rFonts w:hint="eastAsia"/>
          <w:color w:val="000000" w:themeColor="text1"/>
        </w:rPr>
        <w:t>任何天然災害或其他因素，對核子反應器設施運轉安全構成實質威脅或嚴重阻礙核子反應器設施人員執行安全運轉</w:t>
      </w:r>
      <w:r>
        <w:rPr>
          <w:rFonts w:hint="eastAsia"/>
          <w:color w:val="000000" w:themeColor="text1"/>
        </w:rPr>
        <w:t>；</w:t>
      </w:r>
      <w:r w:rsidRPr="00651EB3">
        <w:rPr>
          <w:rFonts w:hint="eastAsia"/>
          <w:color w:val="000000" w:themeColor="text1"/>
        </w:rPr>
        <w:t>任何事件導致明顯影響電廠處理核子事故能力者</w:t>
      </w:r>
      <w:r>
        <w:rPr>
          <w:rFonts w:hint="eastAsia"/>
          <w:color w:val="000000" w:themeColor="text1"/>
        </w:rPr>
        <w:t>；</w:t>
      </w:r>
      <w:r w:rsidRPr="00651EB3">
        <w:rPr>
          <w:rFonts w:hint="eastAsia"/>
          <w:color w:val="000000" w:themeColor="text1"/>
        </w:rPr>
        <w:t>依運轉規範之規定，須將機組置於停機狀態者</w:t>
      </w:r>
      <w:r>
        <w:rPr>
          <w:rFonts w:hint="eastAsia"/>
          <w:color w:val="000000" w:themeColor="text1"/>
        </w:rPr>
        <w:t>；</w:t>
      </w:r>
      <w:r w:rsidRPr="00651EB3">
        <w:rPr>
          <w:rFonts w:hint="eastAsia"/>
          <w:color w:val="000000" w:themeColor="text1"/>
        </w:rPr>
        <w:t>運轉規範所</w:t>
      </w:r>
      <w:r w:rsidRPr="00651EB3">
        <w:rPr>
          <w:rFonts w:hint="eastAsia"/>
          <w:color w:val="000000" w:themeColor="text1"/>
        </w:rPr>
        <w:lastRenderedPageBreak/>
        <w:t>禁止之運轉或狀況</w:t>
      </w:r>
      <w:r>
        <w:rPr>
          <w:rFonts w:hint="eastAsia"/>
          <w:color w:val="000000" w:themeColor="text1"/>
        </w:rPr>
        <w:t>；</w:t>
      </w:r>
      <w:r w:rsidRPr="00651EB3">
        <w:rPr>
          <w:rFonts w:hint="eastAsia"/>
          <w:color w:val="000000" w:themeColor="text1"/>
        </w:rPr>
        <w:t>機組有導致分裂產物障壁嚴重劣化或進入未經分析且嚴重影響機組安全之情事</w:t>
      </w:r>
      <w:r>
        <w:rPr>
          <w:rFonts w:hint="eastAsia"/>
          <w:color w:val="000000" w:themeColor="text1"/>
        </w:rPr>
        <w:t>；</w:t>
      </w:r>
      <w:r w:rsidRPr="00651EB3">
        <w:rPr>
          <w:rFonts w:hint="eastAsia"/>
          <w:color w:val="000000" w:themeColor="text1"/>
        </w:rPr>
        <w:t>導致特殊安全設施或反應器保護系統自動</w:t>
      </w:r>
      <w:r w:rsidRPr="007738D8">
        <w:rPr>
          <w:rFonts w:hint="eastAsia"/>
        </w:rPr>
        <w:t>或手動引動之情事等。各該異常事件報告，均公布於該會網站首頁/核能安全/運轉中電廠管制/管制報告之「異常</w:t>
      </w:r>
      <w:r w:rsidRPr="00651EB3">
        <w:rPr>
          <w:rFonts w:hint="eastAsia"/>
          <w:color w:val="000000" w:themeColor="text1"/>
        </w:rPr>
        <w:t>事件報告」項下</w:t>
      </w:r>
      <w:r>
        <w:rPr>
          <w:rFonts w:hint="eastAsia"/>
          <w:color w:val="000000" w:themeColor="text1"/>
        </w:rPr>
        <w:t>，並判定其</w:t>
      </w:r>
      <w:r w:rsidRPr="00B86680">
        <w:rPr>
          <w:rFonts w:hint="eastAsia"/>
          <w:color w:val="000000" w:themeColor="text1"/>
        </w:rPr>
        <w:t>「國際核能事件分級制度」</w:t>
      </w:r>
      <w:r>
        <w:rPr>
          <w:rFonts w:hint="eastAsia"/>
          <w:color w:val="000000" w:themeColor="text1"/>
        </w:rPr>
        <w:t>等級</w:t>
      </w:r>
      <w:r w:rsidRPr="00651EB3">
        <w:rPr>
          <w:rFonts w:hint="eastAsia"/>
          <w:color w:val="000000" w:themeColor="text1"/>
        </w:rPr>
        <w:t>。</w:t>
      </w:r>
    </w:p>
    <w:p w:rsidR="000D034E" w:rsidRPr="007738D8" w:rsidRDefault="000D034E" w:rsidP="000D034E">
      <w:pPr>
        <w:pStyle w:val="3"/>
        <w:widowControl/>
        <w:numPr>
          <w:ilvl w:val="2"/>
          <w:numId w:val="5"/>
        </w:numPr>
      </w:pPr>
      <w:r w:rsidRPr="00B86680">
        <w:rPr>
          <w:rFonts w:hint="eastAsia"/>
          <w:color w:val="000000" w:themeColor="text1"/>
        </w:rPr>
        <w:t>原能會訂定「核子設施違規事項處理作業要點」，</w:t>
      </w:r>
      <w:r>
        <w:rPr>
          <w:rFonts w:hint="eastAsia"/>
          <w:color w:val="000000" w:themeColor="text1"/>
        </w:rPr>
        <w:t>將</w:t>
      </w:r>
      <w:r w:rsidRPr="00B86680">
        <w:rPr>
          <w:rFonts w:hint="eastAsia"/>
          <w:color w:val="000000" w:themeColor="text1"/>
        </w:rPr>
        <w:t>違規事項依作業性質之不同</w:t>
      </w:r>
      <w:r>
        <w:rPr>
          <w:rFonts w:hint="eastAsia"/>
          <w:color w:val="000000" w:themeColor="text1"/>
        </w:rPr>
        <w:t>，</w:t>
      </w:r>
      <w:r w:rsidRPr="00B86680">
        <w:rPr>
          <w:rFonts w:hint="eastAsia"/>
          <w:color w:val="000000" w:themeColor="text1"/>
        </w:rPr>
        <w:t>分為反應器運轉、核子反應器設施建造、核子保防與保安、輻射防護、放射性物料管理、緊急應變及其他事項等</w:t>
      </w:r>
      <w:r>
        <w:rPr>
          <w:rFonts w:hint="eastAsia"/>
          <w:color w:val="000000" w:themeColor="text1"/>
        </w:rPr>
        <w:t>7</w:t>
      </w:r>
      <w:r w:rsidRPr="00B86680">
        <w:rPr>
          <w:rFonts w:hint="eastAsia"/>
          <w:color w:val="000000" w:themeColor="text1"/>
        </w:rPr>
        <w:t>類</w:t>
      </w:r>
      <w:r>
        <w:rPr>
          <w:rFonts w:hint="eastAsia"/>
          <w:color w:val="000000" w:themeColor="text1"/>
        </w:rPr>
        <w:t>；</w:t>
      </w:r>
      <w:r w:rsidRPr="00B86680">
        <w:rPr>
          <w:rFonts w:hint="eastAsia"/>
          <w:color w:val="000000" w:themeColor="text1"/>
        </w:rPr>
        <w:t>各類復視其違反原子能相關法律、法規命令、行政規則、行政命令及執照文件之規定</w:t>
      </w:r>
      <w:r w:rsidRPr="00EC48F7">
        <w:rPr>
          <w:rFonts w:hint="eastAsia"/>
          <w:color w:val="000000" w:themeColor="text1"/>
        </w:rPr>
        <w:t>情節輕重及影響程度</w:t>
      </w:r>
      <w:r w:rsidRPr="00B86680">
        <w:rPr>
          <w:rFonts w:hint="eastAsia"/>
          <w:color w:val="000000" w:themeColor="text1"/>
        </w:rPr>
        <w:t>之不同，由重至輕依序分為</w:t>
      </w:r>
      <w:r>
        <w:rPr>
          <w:rFonts w:hint="eastAsia"/>
          <w:color w:val="000000" w:themeColor="text1"/>
        </w:rPr>
        <w:t>1</w:t>
      </w:r>
      <w:r w:rsidRPr="00B86680">
        <w:rPr>
          <w:rFonts w:hint="eastAsia"/>
          <w:color w:val="000000" w:themeColor="text1"/>
        </w:rPr>
        <w:t>級違規、</w:t>
      </w:r>
      <w:r>
        <w:rPr>
          <w:rFonts w:hint="eastAsia"/>
          <w:color w:val="000000" w:themeColor="text1"/>
        </w:rPr>
        <w:t>2</w:t>
      </w:r>
      <w:r w:rsidRPr="00B86680">
        <w:rPr>
          <w:rFonts w:hint="eastAsia"/>
          <w:color w:val="000000" w:themeColor="text1"/>
        </w:rPr>
        <w:t>級違規、</w:t>
      </w:r>
      <w:r>
        <w:rPr>
          <w:rFonts w:hint="eastAsia"/>
          <w:color w:val="000000" w:themeColor="text1"/>
        </w:rPr>
        <w:t>3</w:t>
      </w:r>
      <w:r w:rsidRPr="00B86680">
        <w:rPr>
          <w:rFonts w:hint="eastAsia"/>
          <w:color w:val="000000" w:themeColor="text1"/>
        </w:rPr>
        <w:t>級違規、</w:t>
      </w:r>
      <w:r>
        <w:rPr>
          <w:rFonts w:hint="eastAsia"/>
          <w:color w:val="000000" w:themeColor="text1"/>
        </w:rPr>
        <w:t>4</w:t>
      </w:r>
      <w:r w:rsidRPr="00B86680">
        <w:rPr>
          <w:rFonts w:hint="eastAsia"/>
          <w:color w:val="000000" w:themeColor="text1"/>
        </w:rPr>
        <w:t>級違規、</w:t>
      </w:r>
      <w:r>
        <w:rPr>
          <w:rFonts w:hint="eastAsia"/>
          <w:color w:val="000000" w:themeColor="text1"/>
        </w:rPr>
        <w:t>5</w:t>
      </w:r>
      <w:r w:rsidRPr="00B86680">
        <w:rPr>
          <w:rFonts w:hint="eastAsia"/>
          <w:color w:val="000000" w:themeColor="text1"/>
        </w:rPr>
        <w:t>級違規，無安全顧慮且未達</w:t>
      </w:r>
      <w:r>
        <w:rPr>
          <w:rFonts w:hint="eastAsia"/>
          <w:color w:val="000000" w:themeColor="text1"/>
        </w:rPr>
        <w:t>5</w:t>
      </w:r>
      <w:r w:rsidRPr="00B86680">
        <w:rPr>
          <w:rFonts w:hint="eastAsia"/>
          <w:color w:val="000000" w:themeColor="text1"/>
        </w:rPr>
        <w:t>級違規之事項</w:t>
      </w:r>
      <w:r>
        <w:rPr>
          <w:rFonts w:hint="eastAsia"/>
          <w:color w:val="000000" w:themeColor="text1"/>
        </w:rPr>
        <w:t>，則</w:t>
      </w:r>
      <w:r w:rsidRPr="00B86680">
        <w:rPr>
          <w:rFonts w:hint="eastAsia"/>
          <w:color w:val="000000" w:themeColor="text1"/>
        </w:rPr>
        <w:t>列為注意改進事項。以「反應器運轉」為例，四級違規</w:t>
      </w:r>
      <w:r>
        <w:rPr>
          <w:rFonts w:hint="eastAsia"/>
          <w:color w:val="000000" w:themeColor="text1"/>
        </w:rPr>
        <w:t>包括：</w:t>
      </w:r>
      <w:r w:rsidRPr="00B86680">
        <w:rPr>
          <w:rFonts w:hint="eastAsia"/>
          <w:color w:val="000000" w:themeColor="text1"/>
        </w:rPr>
        <w:t>逾越運轉規範的運轉限制條件，且未依規定時限採取行動</w:t>
      </w:r>
      <w:r>
        <w:rPr>
          <w:rFonts w:hint="eastAsia"/>
          <w:color w:val="000000" w:themeColor="text1"/>
        </w:rPr>
        <w:t>；</w:t>
      </w:r>
      <w:r w:rsidRPr="00B86680">
        <w:rPr>
          <w:rFonts w:hint="eastAsia"/>
          <w:color w:val="000000" w:themeColor="text1"/>
        </w:rPr>
        <w:t>未依程序規定執行作業，而對安全或環境上有不良影響</w:t>
      </w:r>
      <w:r>
        <w:rPr>
          <w:rFonts w:hint="eastAsia"/>
          <w:color w:val="000000" w:themeColor="text1"/>
        </w:rPr>
        <w:t>；</w:t>
      </w:r>
      <w:r w:rsidRPr="00B86680">
        <w:rPr>
          <w:rFonts w:hint="eastAsia"/>
          <w:color w:val="000000" w:themeColor="text1"/>
        </w:rPr>
        <w:t>未依</w:t>
      </w:r>
      <w:r>
        <w:rPr>
          <w:rFonts w:hint="eastAsia"/>
          <w:color w:val="000000" w:themeColor="text1"/>
        </w:rPr>
        <w:t>上開通報作業辦法規定陳報立即通報等。五</w:t>
      </w:r>
      <w:r w:rsidRPr="00B86680">
        <w:rPr>
          <w:rFonts w:hint="eastAsia"/>
          <w:color w:val="000000" w:themeColor="text1"/>
        </w:rPr>
        <w:t>級違規</w:t>
      </w:r>
      <w:r>
        <w:rPr>
          <w:rFonts w:hint="eastAsia"/>
          <w:color w:val="000000" w:themeColor="text1"/>
        </w:rPr>
        <w:t>包括：</w:t>
      </w:r>
      <w:r w:rsidRPr="00B86680">
        <w:rPr>
          <w:rFonts w:hint="eastAsia"/>
          <w:color w:val="000000" w:themeColor="text1"/>
        </w:rPr>
        <w:t>未於運轉規範規定之偵測試驗期限內完成測試</w:t>
      </w:r>
      <w:r>
        <w:rPr>
          <w:rFonts w:hint="eastAsia"/>
          <w:color w:val="000000" w:themeColor="text1"/>
        </w:rPr>
        <w:t>；</w:t>
      </w:r>
      <w:r w:rsidRPr="00B86680">
        <w:rPr>
          <w:rFonts w:hint="eastAsia"/>
          <w:color w:val="000000" w:themeColor="text1"/>
        </w:rPr>
        <w:t>未依規定程序執行作業，而對安全或環境上有輕微影</w:t>
      </w:r>
      <w:r w:rsidRPr="007738D8">
        <w:rPr>
          <w:rFonts w:hint="eastAsia"/>
        </w:rPr>
        <w:t>響；未依上開通報作業辦法規定陳報書面通報等。</w:t>
      </w:r>
    </w:p>
    <w:p w:rsidR="000D034E" w:rsidRPr="007738D8" w:rsidRDefault="000D034E" w:rsidP="000D034E">
      <w:pPr>
        <w:pStyle w:val="3"/>
        <w:widowControl/>
        <w:numPr>
          <w:ilvl w:val="2"/>
          <w:numId w:val="5"/>
        </w:numPr>
      </w:pPr>
      <w:r w:rsidRPr="007738D8">
        <w:rPr>
          <w:rFonts w:hint="eastAsia"/>
        </w:rPr>
        <w:t>台電公司103年1月9日電核發字第1038001915號函送之93~102年異常事件(</w:t>
      </w:r>
      <w:r w:rsidRPr="007738D8">
        <w:t>RER</w:t>
      </w:r>
      <w:r w:rsidRPr="007738D8">
        <w:rPr>
          <w:rFonts w:hint="eastAsia"/>
        </w:rPr>
        <w:t>，須提書面報告者</w:t>
      </w:r>
      <w:r w:rsidRPr="007738D8">
        <w:t>)</w:t>
      </w:r>
      <w:r w:rsidRPr="007738D8">
        <w:rPr>
          <w:rFonts w:hint="eastAsia"/>
        </w:rPr>
        <w:t>統計資料顯示，核一、二、三廠自93至102年間共發生87件異常事件，其中「設備故障」58件(占67％)，「人員作業疏失」23件(占26％)，餘6件(占7％)屬「廠外因素」。該公司雖</w:t>
      </w:r>
      <w:r w:rsidRPr="007738D8">
        <w:rPr>
          <w:rFonts w:hint="eastAsia"/>
        </w:rPr>
        <w:lastRenderedPageBreak/>
        <w:t>稱：上開87件異常事件中，僅核三廠1件依「國際核能事件分級制度」標準判定為為1級，其餘異常事件均屬0級(無安全顧慮)等語。</w:t>
      </w:r>
      <w:proofErr w:type="gramStart"/>
      <w:r w:rsidRPr="007738D8">
        <w:rPr>
          <w:rFonts w:hint="eastAsia"/>
        </w:rPr>
        <w:t>惟</w:t>
      </w:r>
      <w:proofErr w:type="gramEnd"/>
      <w:r w:rsidRPr="007738D8">
        <w:rPr>
          <w:rFonts w:hint="eastAsia"/>
        </w:rPr>
        <w:t>原能會之統計資料顯示，93至102年間核一、二、三廠之異常事件為87件，違規案件共60件(其中五級違規37件、四級違規23件)，</w:t>
      </w:r>
      <w:r w:rsidR="00AB0903">
        <w:rPr>
          <w:rFonts w:hint="eastAsia"/>
        </w:rPr>
        <w:t>注意改進</w:t>
      </w:r>
      <w:r w:rsidRPr="007738D8">
        <w:rPr>
          <w:rFonts w:hint="eastAsia"/>
        </w:rPr>
        <w:t>高達553件，違規案件於100至102年間為最多，</w:t>
      </w:r>
      <w:r w:rsidR="00AB0903">
        <w:rPr>
          <w:rFonts w:hint="eastAsia"/>
        </w:rPr>
        <w:t>注意改進</w:t>
      </w:r>
      <w:r w:rsidRPr="007738D8">
        <w:rPr>
          <w:rFonts w:hint="eastAsia"/>
        </w:rPr>
        <w:t>於100至102年間為最多，詳如下表所示</w:t>
      </w:r>
      <w:r w:rsidRPr="007738D8">
        <w:rPr>
          <w:rStyle w:val="af6"/>
        </w:rPr>
        <w:footnoteReference w:id="8"/>
      </w:r>
      <w:r w:rsidRPr="007738D8">
        <w:rPr>
          <w:rFonts w:hint="eastAsia"/>
        </w:rPr>
        <w:t>，顯示各廠近年核子設施之作業事項違反原子能相關法律、法規命令、行政規則、行政命令及執照文件之規定頻繁。</w:t>
      </w:r>
    </w:p>
    <w:tbl>
      <w:tblPr>
        <w:tblStyle w:val="af7"/>
        <w:tblW w:w="7938" w:type="dxa"/>
        <w:jc w:val="right"/>
        <w:tblLayout w:type="fixed"/>
        <w:tblCellMar>
          <w:left w:w="0" w:type="dxa"/>
          <w:right w:w="0" w:type="dxa"/>
        </w:tblCellMar>
        <w:tblLook w:val="04A0"/>
      </w:tblPr>
      <w:tblGrid>
        <w:gridCol w:w="750"/>
        <w:gridCol w:w="587"/>
        <w:gridCol w:w="587"/>
        <w:gridCol w:w="587"/>
        <w:gridCol w:w="588"/>
        <w:gridCol w:w="587"/>
        <w:gridCol w:w="587"/>
        <w:gridCol w:w="587"/>
        <w:gridCol w:w="588"/>
        <w:gridCol w:w="587"/>
        <w:gridCol w:w="587"/>
        <w:gridCol w:w="587"/>
        <w:gridCol w:w="729"/>
      </w:tblGrid>
      <w:tr w:rsidR="000D034E" w:rsidRPr="00D4074D" w:rsidTr="00641FBD">
        <w:trPr>
          <w:jc w:val="right"/>
        </w:trPr>
        <w:tc>
          <w:tcPr>
            <w:tcW w:w="750" w:type="dxa"/>
            <w:vMerge w:val="restart"/>
            <w:tcBorders>
              <w:tl2br w:val="single" w:sz="4" w:space="0" w:color="auto"/>
            </w:tcBorders>
            <w:vAlign w:val="center"/>
          </w:tcPr>
          <w:p w:rsidR="000D034E" w:rsidRPr="00D4074D" w:rsidRDefault="000D034E" w:rsidP="00641FBD">
            <w:pPr>
              <w:jc w:val="right"/>
              <w:rPr>
                <w:rFonts w:ascii="標楷體" w:hAnsi="標楷體"/>
                <w:sz w:val="28"/>
                <w:szCs w:val="28"/>
              </w:rPr>
            </w:pPr>
            <w:r w:rsidRPr="00D4074D">
              <w:rPr>
                <w:rFonts w:ascii="標楷體" w:hAnsi="標楷體" w:hint="eastAsia"/>
                <w:sz w:val="28"/>
                <w:szCs w:val="28"/>
              </w:rPr>
              <w:t>廠</w:t>
            </w:r>
          </w:p>
          <w:p w:rsidR="000D034E" w:rsidRPr="00D4074D" w:rsidRDefault="000D034E" w:rsidP="00641FBD">
            <w:pPr>
              <w:jc w:val="right"/>
              <w:rPr>
                <w:rFonts w:ascii="標楷體" w:hAnsi="標楷體"/>
                <w:sz w:val="28"/>
                <w:szCs w:val="28"/>
              </w:rPr>
            </w:pPr>
            <w:r w:rsidRPr="00D4074D">
              <w:rPr>
                <w:rFonts w:ascii="標楷體" w:hAnsi="標楷體" w:hint="eastAsia"/>
                <w:sz w:val="28"/>
                <w:szCs w:val="28"/>
              </w:rPr>
              <w:t>別</w:t>
            </w:r>
          </w:p>
          <w:p w:rsidR="000D034E" w:rsidRPr="00D4074D" w:rsidRDefault="000D034E" w:rsidP="00641FBD">
            <w:pPr>
              <w:rPr>
                <w:rFonts w:ascii="標楷體" w:hAnsi="標楷體"/>
                <w:sz w:val="28"/>
                <w:szCs w:val="28"/>
              </w:rPr>
            </w:pPr>
            <w:r w:rsidRPr="00D4074D">
              <w:rPr>
                <w:rFonts w:ascii="標楷體" w:hAnsi="標楷體" w:hint="eastAsia"/>
                <w:sz w:val="28"/>
                <w:szCs w:val="28"/>
              </w:rPr>
              <w:t>年</w:t>
            </w:r>
          </w:p>
          <w:p w:rsidR="000D034E" w:rsidRPr="00D4074D" w:rsidRDefault="000D034E" w:rsidP="00641FBD">
            <w:pPr>
              <w:rPr>
                <w:rFonts w:ascii="標楷體" w:hAnsi="標楷體"/>
                <w:sz w:val="28"/>
                <w:szCs w:val="28"/>
              </w:rPr>
            </w:pPr>
            <w:r w:rsidRPr="00D4074D">
              <w:rPr>
                <w:rFonts w:ascii="標楷體" w:hAnsi="標楷體" w:hint="eastAsia"/>
                <w:sz w:val="28"/>
                <w:szCs w:val="28"/>
              </w:rPr>
              <w:t>度</w:t>
            </w:r>
          </w:p>
        </w:tc>
        <w:tc>
          <w:tcPr>
            <w:tcW w:w="1761" w:type="dxa"/>
            <w:gridSpan w:val="3"/>
            <w:vAlign w:val="center"/>
          </w:tcPr>
          <w:p w:rsidR="000D034E" w:rsidRPr="00D4074D" w:rsidRDefault="000D034E" w:rsidP="00641FBD">
            <w:pPr>
              <w:jc w:val="center"/>
              <w:rPr>
                <w:rFonts w:ascii="標楷體" w:hAnsi="標楷體" w:cs="新細明體"/>
                <w:sz w:val="28"/>
                <w:szCs w:val="28"/>
              </w:rPr>
            </w:pPr>
            <w:r w:rsidRPr="00D4074D">
              <w:rPr>
                <w:rFonts w:ascii="標楷體" w:hAnsi="標楷體" w:cs="新細明體" w:hint="eastAsia"/>
                <w:sz w:val="28"/>
                <w:szCs w:val="28"/>
              </w:rPr>
              <w:t>核一廠</w:t>
            </w:r>
          </w:p>
        </w:tc>
        <w:tc>
          <w:tcPr>
            <w:tcW w:w="1762" w:type="dxa"/>
            <w:gridSpan w:val="3"/>
            <w:vAlign w:val="center"/>
          </w:tcPr>
          <w:p w:rsidR="000D034E" w:rsidRPr="00D4074D" w:rsidRDefault="000D034E" w:rsidP="00641FBD">
            <w:pPr>
              <w:jc w:val="center"/>
              <w:rPr>
                <w:rFonts w:ascii="標楷體" w:hAnsi="標楷體" w:cs="新細明體"/>
                <w:sz w:val="28"/>
                <w:szCs w:val="28"/>
              </w:rPr>
            </w:pPr>
            <w:r w:rsidRPr="00D4074D">
              <w:rPr>
                <w:rFonts w:ascii="標楷體" w:hAnsi="標楷體" w:cs="新細明體" w:hint="eastAsia"/>
                <w:sz w:val="28"/>
                <w:szCs w:val="28"/>
              </w:rPr>
              <w:t>核二廠</w:t>
            </w:r>
          </w:p>
        </w:tc>
        <w:tc>
          <w:tcPr>
            <w:tcW w:w="1762" w:type="dxa"/>
            <w:gridSpan w:val="3"/>
            <w:vAlign w:val="center"/>
          </w:tcPr>
          <w:p w:rsidR="000D034E" w:rsidRPr="00D4074D" w:rsidRDefault="000D034E" w:rsidP="00641FBD">
            <w:pPr>
              <w:jc w:val="center"/>
              <w:rPr>
                <w:rFonts w:ascii="標楷體" w:hAnsi="標楷體" w:cs="新細明體"/>
                <w:sz w:val="28"/>
                <w:szCs w:val="28"/>
              </w:rPr>
            </w:pPr>
            <w:r w:rsidRPr="00D4074D">
              <w:rPr>
                <w:rFonts w:ascii="標楷體" w:hAnsi="標楷體" w:cs="新細明體" w:hint="eastAsia"/>
                <w:sz w:val="28"/>
                <w:szCs w:val="28"/>
              </w:rPr>
              <w:t>核三廠</w:t>
            </w:r>
          </w:p>
        </w:tc>
        <w:tc>
          <w:tcPr>
            <w:tcW w:w="1903" w:type="dxa"/>
            <w:gridSpan w:val="3"/>
            <w:vAlign w:val="center"/>
          </w:tcPr>
          <w:p w:rsidR="000D034E" w:rsidRPr="00D4074D" w:rsidRDefault="000D034E" w:rsidP="00641FBD">
            <w:pPr>
              <w:ind w:leftChars="-23" w:left="21" w:rightChars="-20" w:right="-68" w:hangingChars="33" w:hanging="99"/>
              <w:jc w:val="center"/>
              <w:rPr>
                <w:rFonts w:ascii="標楷體" w:hAnsi="標楷體" w:cs="新細明體"/>
                <w:sz w:val="28"/>
                <w:szCs w:val="28"/>
              </w:rPr>
            </w:pPr>
            <w:r w:rsidRPr="00D4074D">
              <w:rPr>
                <w:rFonts w:ascii="標楷體" w:hAnsi="標楷體" w:cs="新細明體" w:hint="eastAsia"/>
                <w:sz w:val="28"/>
                <w:szCs w:val="28"/>
              </w:rPr>
              <w:t>合計</w:t>
            </w:r>
          </w:p>
        </w:tc>
      </w:tr>
      <w:tr w:rsidR="000D034E" w:rsidRPr="00D4074D" w:rsidTr="00641FBD">
        <w:trPr>
          <w:jc w:val="right"/>
        </w:trPr>
        <w:tc>
          <w:tcPr>
            <w:tcW w:w="750" w:type="dxa"/>
            <w:vMerge/>
            <w:vAlign w:val="center"/>
          </w:tcPr>
          <w:p w:rsidR="000D034E" w:rsidRPr="00D4074D" w:rsidRDefault="000D034E" w:rsidP="00641FBD">
            <w:pPr>
              <w:jc w:val="center"/>
              <w:rPr>
                <w:rFonts w:ascii="標楷體" w:hAnsi="標楷體"/>
                <w:sz w:val="28"/>
                <w:szCs w:val="28"/>
              </w:rPr>
            </w:pPr>
          </w:p>
        </w:tc>
        <w:tc>
          <w:tcPr>
            <w:tcW w:w="587" w:type="dxa"/>
            <w:vAlign w:val="center"/>
          </w:tcPr>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異常事件</w:t>
            </w:r>
          </w:p>
        </w:tc>
        <w:tc>
          <w:tcPr>
            <w:tcW w:w="587" w:type="dxa"/>
            <w:vAlign w:val="center"/>
          </w:tcPr>
          <w:p w:rsidR="000D034E" w:rsidRPr="00D4074D" w:rsidRDefault="000D034E" w:rsidP="00641FBD">
            <w:pPr>
              <w:spacing w:line="320" w:lineRule="exact"/>
              <w:jc w:val="center"/>
              <w:rPr>
                <w:rFonts w:ascii="標楷體" w:hAnsi="標楷體"/>
                <w:sz w:val="28"/>
                <w:szCs w:val="28"/>
                <w:highlight w:val="lightGray"/>
              </w:rPr>
            </w:pPr>
            <w:r w:rsidRPr="00D4074D">
              <w:rPr>
                <w:rFonts w:ascii="標楷體" w:hAnsi="標楷體" w:hint="eastAsia"/>
                <w:sz w:val="28"/>
                <w:szCs w:val="28"/>
                <w:highlight w:val="lightGray"/>
              </w:rPr>
              <w:t>違規案件</w:t>
            </w:r>
          </w:p>
        </w:tc>
        <w:tc>
          <w:tcPr>
            <w:tcW w:w="587" w:type="dxa"/>
            <w:vAlign w:val="center"/>
          </w:tcPr>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注意改進</w:t>
            </w:r>
          </w:p>
        </w:tc>
        <w:tc>
          <w:tcPr>
            <w:tcW w:w="588" w:type="dxa"/>
            <w:vAlign w:val="center"/>
          </w:tcPr>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異常事件</w:t>
            </w:r>
          </w:p>
        </w:tc>
        <w:tc>
          <w:tcPr>
            <w:tcW w:w="587" w:type="dxa"/>
            <w:vAlign w:val="center"/>
          </w:tcPr>
          <w:p w:rsidR="000D034E" w:rsidRPr="00D4074D" w:rsidRDefault="000D034E" w:rsidP="00641FBD">
            <w:pPr>
              <w:spacing w:line="320" w:lineRule="exact"/>
              <w:jc w:val="center"/>
              <w:rPr>
                <w:rFonts w:ascii="標楷體" w:hAnsi="標楷體"/>
                <w:sz w:val="28"/>
                <w:szCs w:val="28"/>
                <w:shd w:val="pct15" w:color="auto" w:fill="FFFFFF"/>
              </w:rPr>
            </w:pPr>
            <w:r w:rsidRPr="00D4074D">
              <w:rPr>
                <w:rFonts w:ascii="標楷體" w:hAnsi="標楷體" w:hint="eastAsia"/>
                <w:sz w:val="28"/>
                <w:szCs w:val="28"/>
                <w:shd w:val="pct15" w:color="auto" w:fill="FFFFFF"/>
              </w:rPr>
              <w:t>違規案件</w:t>
            </w:r>
          </w:p>
        </w:tc>
        <w:tc>
          <w:tcPr>
            <w:tcW w:w="587" w:type="dxa"/>
            <w:vAlign w:val="center"/>
          </w:tcPr>
          <w:p w:rsidR="000D034E" w:rsidRPr="00D4074D" w:rsidRDefault="00AB0903" w:rsidP="00641FBD">
            <w:pPr>
              <w:spacing w:line="320" w:lineRule="exact"/>
              <w:jc w:val="center"/>
              <w:rPr>
                <w:rFonts w:ascii="標楷體" w:hAnsi="標楷體"/>
                <w:sz w:val="28"/>
                <w:szCs w:val="28"/>
              </w:rPr>
            </w:pPr>
            <w:r>
              <w:rPr>
                <w:rFonts w:ascii="標楷體" w:hAnsi="標楷體" w:hint="eastAsia"/>
                <w:sz w:val="28"/>
                <w:szCs w:val="28"/>
              </w:rPr>
              <w:t>注意改進</w:t>
            </w:r>
          </w:p>
        </w:tc>
        <w:tc>
          <w:tcPr>
            <w:tcW w:w="587" w:type="dxa"/>
            <w:vAlign w:val="center"/>
          </w:tcPr>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異常事件</w:t>
            </w:r>
          </w:p>
        </w:tc>
        <w:tc>
          <w:tcPr>
            <w:tcW w:w="588" w:type="dxa"/>
            <w:vAlign w:val="center"/>
          </w:tcPr>
          <w:p w:rsidR="000D034E" w:rsidRPr="00D4074D" w:rsidRDefault="000D034E" w:rsidP="00641FBD">
            <w:pPr>
              <w:spacing w:line="320" w:lineRule="exact"/>
              <w:jc w:val="center"/>
              <w:rPr>
                <w:rFonts w:ascii="標楷體" w:hAnsi="標楷體"/>
                <w:sz w:val="28"/>
                <w:szCs w:val="28"/>
                <w:shd w:val="pct15" w:color="auto" w:fill="FFFFFF"/>
              </w:rPr>
            </w:pPr>
            <w:r w:rsidRPr="00D4074D">
              <w:rPr>
                <w:rFonts w:ascii="標楷體" w:hAnsi="標楷體" w:hint="eastAsia"/>
                <w:sz w:val="28"/>
                <w:szCs w:val="28"/>
                <w:shd w:val="pct15" w:color="auto" w:fill="FFFFFF"/>
              </w:rPr>
              <w:t>違規案件</w:t>
            </w:r>
          </w:p>
        </w:tc>
        <w:tc>
          <w:tcPr>
            <w:tcW w:w="587" w:type="dxa"/>
            <w:vAlign w:val="center"/>
          </w:tcPr>
          <w:p w:rsidR="000D034E" w:rsidRPr="00D4074D" w:rsidRDefault="00AB0903" w:rsidP="00641FBD">
            <w:pPr>
              <w:spacing w:line="320" w:lineRule="exact"/>
              <w:jc w:val="center"/>
              <w:rPr>
                <w:rFonts w:ascii="標楷體" w:hAnsi="標楷體"/>
                <w:sz w:val="28"/>
                <w:szCs w:val="28"/>
              </w:rPr>
            </w:pPr>
            <w:r>
              <w:rPr>
                <w:rFonts w:ascii="標楷體" w:hAnsi="標楷體" w:hint="eastAsia"/>
                <w:sz w:val="28"/>
                <w:szCs w:val="28"/>
              </w:rPr>
              <w:t>注意改進</w:t>
            </w:r>
          </w:p>
        </w:tc>
        <w:tc>
          <w:tcPr>
            <w:tcW w:w="587" w:type="dxa"/>
            <w:vAlign w:val="center"/>
          </w:tcPr>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異常事件</w:t>
            </w:r>
          </w:p>
        </w:tc>
        <w:tc>
          <w:tcPr>
            <w:tcW w:w="587" w:type="dxa"/>
            <w:vAlign w:val="center"/>
          </w:tcPr>
          <w:p w:rsidR="000D034E" w:rsidRPr="00D4074D" w:rsidRDefault="000D034E" w:rsidP="00641FBD">
            <w:pPr>
              <w:spacing w:line="320" w:lineRule="exact"/>
              <w:jc w:val="center"/>
              <w:rPr>
                <w:rFonts w:ascii="標楷體" w:hAnsi="標楷體"/>
                <w:sz w:val="28"/>
                <w:szCs w:val="28"/>
                <w:shd w:val="pct15" w:color="auto" w:fill="FFFFFF"/>
              </w:rPr>
            </w:pPr>
            <w:r w:rsidRPr="00D4074D">
              <w:rPr>
                <w:rFonts w:ascii="標楷體" w:hAnsi="標楷體" w:hint="eastAsia"/>
                <w:sz w:val="28"/>
                <w:szCs w:val="28"/>
                <w:shd w:val="pct15" w:color="auto" w:fill="FFFFFF"/>
              </w:rPr>
              <w:t>違規案件</w:t>
            </w:r>
          </w:p>
        </w:tc>
        <w:tc>
          <w:tcPr>
            <w:tcW w:w="729" w:type="dxa"/>
            <w:vAlign w:val="center"/>
          </w:tcPr>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注</w:t>
            </w:r>
          </w:p>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意</w:t>
            </w:r>
          </w:p>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改</w:t>
            </w:r>
          </w:p>
          <w:p w:rsidR="000D034E" w:rsidRPr="00D4074D" w:rsidRDefault="000D034E" w:rsidP="00641FBD">
            <w:pPr>
              <w:spacing w:line="320" w:lineRule="exact"/>
              <w:jc w:val="center"/>
              <w:rPr>
                <w:rFonts w:ascii="標楷體" w:hAnsi="標楷體"/>
                <w:sz w:val="28"/>
                <w:szCs w:val="28"/>
              </w:rPr>
            </w:pPr>
            <w:r w:rsidRPr="00D4074D">
              <w:rPr>
                <w:rFonts w:ascii="標楷體" w:hAnsi="標楷體" w:hint="eastAsia"/>
                <w:sz w:val="28"/>
                <w:szCs w:val="28"/>
              </w:rPr>
              <w:t>善</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5</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18</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7</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3</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34</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94</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3</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2</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13</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14</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4</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8</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7</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36</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95</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10</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15</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12</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7</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45</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96</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2</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15</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14</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14</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5</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49</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97</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8</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21</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8</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13</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42</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98</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21</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2</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14</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0</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2</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28</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8</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4</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63</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99</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3</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4</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20</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0</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5</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5</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43</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100</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24</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3</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12</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6</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6</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10</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49</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101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5</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8</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40</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24</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27</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9</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10</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91</w:t>
            </w:r>
          </w:p>
        </w:tc>
      </w:tr>
      <w:tr w:rsidR="000D034E" w:rsidRPr="00D4074D" w:rsidTr="00641FBD">
        <w:trPr>
          <w:jc w:val="right"/>
        </w:trPr>
        <w:tc>
          <w:tcPr>
            <w:tcW w:w="750"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102</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31</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4</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27</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5</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8</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81</w:t>
            </w:r>
          </w:p>
        </w:tc>
      </w:tr>
      <w:tr w:rsidR="000D034E" w:rsidRPr="00D4074D" w:rsidTr="00641FBD">
        <w:trPr>
          <w:jc w:val="right"/>
        </w:trPr>
        <w:tc>
          <w:tcPr>
            <w:tcW w:w="750" w:type="dxa"/>
            <w:vAlign w:val="center"/>
          </w:tcPr>
          <w:p w:rsidR="000D034E" w:rsidRPr="00D4074D" w:rsidRDefault="000D034E" w:rsidP="00641FBD">
            <w:pPr>
              <w:ind w:leftChars="-22" w:left="15" w:rightChars="-31" w:right="-105" w:hangingChars="30" w:hanging="90"/>
              <w:jc w:val="center"/>
              <w:rPr>
                <w:rFonts w:ascii="標楷體" w:hAnsi="標楷體" w:cs="新細明體"/>
                <w:sz w:val="28"/>
                <w:szCs w:val="28"/>
              </w:rPr>
            </w:pPr>
            <w:r w:rsidRPr="00D4074D">
              <w:rPr>
                <w:rFonts w:ascii="標楷體" w:hAnsi="標楷體" w:hint="eastAsia"/>
                <w:sz w:val="28"/>
                <w:szCs w:val="28"/>
              </w:rPr>
              <w:t>合計</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37</w:t>
            </w:r>
          </w:p>
        </w:tc>
        <w:tc>
          <w:tcPr>
            <w:tcW w:w="587" w:type="dxa"/>
            <w:vAlign w:val="center"/>
          </w:tcPr>
          <w:p w:rsidR="000D034E" w:rsidRPr="00D4074D" w:rsidRDefault="000D034E" w:rsidP="00641FBD">
            <w:pPr>
              <w:jc w:val="center"/>
              <w:rPr>
                <w:rFonts w:ascii="標楷體" w:hAnsi="標楷體" w:cs="新細明體"/>
                <w:sz w:val="28"/>
                <w:szCs w:val="28"/>
                <w:highlight w:val="lightGray"/>
              </w:rPr>
            </w:pPr>
            <w:r w:rsidRPr="00D4074D">
              <w:rPr>
                <w:rFonts w:ascii="標楷體" w:hAnsi="標楷體" w:hint="eastAsia"/>
                <w:sz w:val="28"/>
                <w:szCs w:val="28"/>
                <w:highlight w:val="lightGray"/>
              </w:rPr>
              <w:t>25</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200</w:t>
            </w:r>
          </w:p>
        </w:tc>
        <w:tc>
          <w:tcPr>
            <w:tcW w:w="588"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34</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13</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158</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16</w:t>
            </w:r>
          </w:p>
        </w:tc>
        <w:tc>
          <w:tcPr>
            <w:tcW w:w="588"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22</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175</w:t>
            </w:r>
          </w:p>
        </w:tc>
        <w:tc>
          <w:tcPr>
            <w:tcW w:w="587" w:type="dxa"/>
            <w:vAlign w:val="center"/>
          </w:tcPr>
          <w:p w:rsidR="000D034E" w:rsidRPr="00D4074D" w:rsidRDefault="000D034E" w:rsidP="00641FBD">
            <w:pPr>
              <w:jc w:val="center"/>
              <w:rPr>
                <w:rFonts w:ascii="標楷體" w:hAnsi="標楷體" w:cs="新細明體"/>
                <w:sz w:val="28"/>
                <w:szCs w:val="28"/>
              </w:rPr>
            </w:pPr>
            <w:r w:rsidRPr="00D4074D">
              <w:rPr>
                <w:rFonts w:ascii="標楷體" w:hAnsi="標楷體" w:hint="eastAsia"/>
                <w:sz w:val="28"/>
                <w:szCs w:val="28"/>
              </w:rPr>
              <w:t>87</w:t>
            </w:r>
          </w:p>
        </w:tc>
        <w:tc>
          <w:tcPr>
            <w:tcW w:w="587" w:type="dxa"/>
            <w:vAlign w:val="center"/>
          </w:tcPr>
          <w:p w:rsidR="000D034E" w:rsidRPr="00D4074D" w:rsidRDefault="000D034E" w:rsidP="00641FBD">
            <w:pPr>
              <w:jc w:val="center"/>
              <w:rPr>
                <w:rFonts w:ascii="標楷體" w:hAnsi="標楷體" w:cs="新細明體"/>
                <w:sz w:val="28"/>
                <w:szCs w:val="28"/>
                <w:shd w:val="pct15" w:color="auto" w:fill="FFFFFF"/>
              </w:rPr>
            </w:pPr>
            <w:r w:rsidRPr="00D4074D">
              <w:rPr>
                <w:rFonts w:ascii="標楷體" w:hAnsi="標楷體" w:hint="eastAsia"/>
                <w:sz w:val="28"/>
                <w:szCs w:val="28"/>
                <w:shd w:val="pct15" w:color="auto" w:fill="FFFFFF"/>
              </w:rPr>
              <w:t>60</w:t>
            </w:r>
          </w:p>
        </w:tc>
        <w:tc>
          <w:tcPr>
            <w:tcW w:w="729" w:type="dxa"/>
            <w:vAlign w:val="center"/>
          </w:tcPr>
          <w:p w:rsidR="000D034E" w:rsidRPr="00D4074D" w:rsidRDefault="000D034E" w:rsidP="00641FBD">
            <w:pPr>
              <w:jc w:val="center"/>
              <w:rPr>
                <w:rFonts w:ascii="新細明體" w:eastAsia="新細明體" w:hAnsi="新細明體" w:cs="新細明體"/>
                <w:sz w:val="28"/>
                <w:szCs w:val="28"/>
              </w:rPr>
            </w:pPr>
            <w:r w:rsidRPr="00D4074D">
              <w:rPr>
                <w:rFonts w:hint="eastAsia"/>
                <w:sz w:val="28"/>
                <w:szCs w:val="28"/>
              </w:rPr>
              <w:t>533</w:t>
            </w:r>
          </w:p>
        </w:tc>
      </w:tr>
    </w:tbl>
    <w:p w:rsidR="006E53F5" w:rsidRDefault="006E53F5" w:rsidP="006E53F5">
      <w:pPr>
        <w:pStyle w:val="3"/>
        <w:numPr>
          <w:ilvl w:val="0"/>
          <w:numId w:val="0"/>
        </w:numPr>
        <w:kinsoku w:val="0"/>
        <w:spacing w:line="240" w:lineRule="exact"/>
        <w:ind w:left="1395"/>
      </w:pPr>
    </w:p>
    <w:p w:rsidR="000D034E" w:rsidRPr="00AD0491" w:rsidRDefault="000D034E" w:rsidP="000D034E">
      <w:pPr>
        <w:pStyle w:val="3"/>
        <w:kinsoku w:val="0"/>
      </w:pPr>
      <w:r w:rsidRPr="00D4074D">
        <w:rPr>
          <w:rFonts w:hint="eastAsia"/>
        </w:rPr>
        <w:t>綜</w:t>
      </w:r>
      <w:r w:rsidRPr="00AD0491">
        <w:rPr>
          <w:rFonts w:hint="eastAsia"/>
        </w:rPr>
        <w:t>上，依據原能會之統計資料顯示，</w:t>
      </w:r>
      <w:r w:rsidR="006E53F5" w:rsidRPr="00AD0491">
        <w:rPr>
          <w:rFonts w:hint="eastAsia"/>
        </w:rPr>
        <w:t>台電公司運轉中之</w:t>
      </w:r>
      <w:r w:rsidRPr="00AD0491">
        <w:rPr>
          <w:rFonts w:hint="eastAsia"/>
        </w:rPr>
        <w:t>三座核電廠自93至102年間共發生87件異常事件，違規案件共60件(其中五級違規37件、四級違規23件)，</w:t>
      </w:r>
      <w:r w:rsidR="00AB0903" w:rsidRPr="00AD0491">
        <w:rPr>
          <w:rFonts w:hint="eastAsia"/>
        </w:rPr>
        <w:t>注意改進</w:t>
      </w:r>
      <w:r w:rsidRPr="00AD0491">
        <w:rPr>
          <w:rFonts w:hint="eastAsia"/>
        </w:rPr>
        <w:t>高達553件，違</w:t>
      </w:r>
      <w:r w:rsidRPr="00AD0491">
        <w:rPr>
          <w:rFonts w:hint="eastAsia"/>
        </w:rPr>
        <w:lastRenderedPageBreak/>
        <w:t>規案件於100至102年間最多，</w:t>
      </w:r>
      <w:r w:rsidR="00AB0903" w:rsidRPr="00AD0491">
        <w:rPr>
          <w:rFonts w:hint="eastAsia"/>
        </w:rPr>
        <w:t>注意改進</w:t>
      </w:r>
      <w:r w:rsidR="006E53F5" w:rsidRPr="00AD0491">
        <w:rPr>
          <w:rFonts w:hint="eastAsia"/>
        </w:rPr>
        <w:t>事項</w:t>
      </w:r>
      <w:r w:rsidRPr="00AD0491">
        <w:rPr>
          <w:rFonts w:hint="eastAsia"/>
        </w:rPr>
        <w:t>於101至102年間最多，顯示各廠近年違反相關法令事件頻繁，</w:t>
      </w:r>
      <w:r w:rsidR="00736408" w:rsidRPr="004C76F0">
        <w:rPr>
          <w:rFonts w:hint="eastAsia"/>
        </w:rPr>
        <w:t>尤其近年來</w:t>
      </w:r>
      <w:r w:rsidRPr="00AD0491">
        <w:rPr>
          <w:rFonts w:hint="eastAsia"/>
        </w:rPr>
        <w:t>有增加之趨勢，核有未當。</w:t>
      </w:r>
    </w:p>
    <w:p w:rsidR="00AD0491" w:rsidRPr="00665B1D" w:rsidRDefault="0058733B" w:rsidP="001014D7">
      <w:pPr>
        <w:pStyle w:val="2"/>
        <w:spacing w:beforeLines="20"/>
        <w:ind w:left="1043"/>
        <w:rPr>
          <w:rFonts w:hAnsi="標楷體"/>
          <w:b/>
          <w:szCs w:val="32"/>
        </w:rPr>
      </w:pPr>
      <w:bookmarkStart w:id="51" w:name="_Toc391538033"/>
      <w:r w:rsidRPr="00665B1D">
        <w:rPr>
          <w:rFonts w:hAnsi="標楷體" w:hint="eastAsia"/>
          <w:b/>
          <w:szCs w:val="32"/>
        </w:rPr>
        <w:t>核三廠附近之違章建築對於災難發生後之疏散作業及效率產生重大妨礙，墾丁國家公園園區內之違章建築自82年至103年5月底</w:t>
      </w:r>
      <w:proofErr w:type="gramStart"/>
      <w:r w:rsidRPr="00665B1D">
        <w:rPr>
          <w:rFonts w:hAnsi="標楷體" w:hint="eastAsia"/>
          <w:b/>
          <w:szCs w:val="32"/>
        </w:rPr>
        <w:t>止</w:t>
      </w:r>
      <w:proofErr w:type="gramEnd"/>
      <w:r w:rsidRPr="00665B1D">
        <w:rPr>
          <w:rFonts w:hAnsi="標楷體" w:hint="eastAsia"/>
          <w:b/>
          <w:szCs w:val="32"/>
        </w:rPr>
        <w:t>總計160件，其中126件係墾丁國家公園管理處於91年7月接管建築管理業務後所查報，該處雖已拆除78件，惟仍有82件未拆除，其未能儘速拆除違章建築，亦未積極與相關機關共同擬定有效防止新蓋違建之對策，致違建越來越多，嚴重妨礙公共安全，核有違失</w:t>
      </w:r>
      <w:r w:rsidR="00AD0491" w:rsidRPr="00665B1D">
        <w:rPr>
          <w:rFonts w:hAnsi="標楷體" w:hint="eastAsia"/>
          <w:b/>
          <w:szCs w:val="32"/>
        </w:rPr>
        <w:t>。</w:t>
      </w:r>
      <w:bookmarkEnd w:id="51"/>
    </w:p>
    <w:p w:rsidR="00AD0491" w:rsidRPr="007B6A99" w:rsidRDefault="00AD0491" w:rsidP="00AD0491">
      <w:pPr>
        <w:pStyle w:val="3"/>
        <w:ind w:left="1394"/>
        <w:rPr>
          <w:rFonts w:hAnsi="標楷體"/>
          <w:szCs w:val="32"/>
        </w:rPr>
      </w:pPr>
      <w:r w:rsidRPr="005630EE">
        <w:rPr>
          <w:rFonts w:hint="eastAsia"/>
          <w:szCs w:val="32"/>
        </w:rPr>
        <w:t>按</w:t>
      </w:r>
      <w:r w:rsidRPr="005630EE">
        <w:rPr>
          <w:rFonts w:hAnsi="標楷體" w:hint="eastAsia"/>
          <w:szCs w:val="32"/>
        </w:rPr>
        <w:t>65年12月7日發布之「原子能法施行細則」第8條規定：「核子設施之周圍地區，應按核子事故發生時可能導致損</w:t>
      </w:r>
      <w:r w:rsidRPr="007B6A99">
        <w:rPr>
          <w:rFonts w:hAnsi="標楷體" w:hint="eastAsia"/>
          <w:szCs w:val="32"/>
        </w:rPr>
        <w:t>害之程度，劃分左列兩區：一、禁建區：係核子事故發生後，於其邊界上之人在2小時內，接受來自體外分裂產物之全身劑量不超過25</w:t>
      </w:r>
      <w:proofErr w:type="gramStart"/>
      <w:r w:rsidRPr="007B6A99">
        <w:rPr>
          <w:rFonts w:hAnsi="標楷體" w:hint="eastAsia"/>
          <w:szCs w:val="32"/>
        </w:rPr>
        <w:t>侖</w:t>
      </w:r>
      <w:proofErr w:type="gramEnd"/>
      <w:r w:rsidRPr="007B6A99">
        <w:rPr>
          <w:rFonts w:hAnsi="標楷體" w:hint="eastAsia"/>
          <w:szCs w:val="32"/>
        </w:rPr>
        <w:t>目，或來自碘之甲狀腺劑量不超過300</w:t>
      </w:r>
      <w:proofErr w:type="gramStart"/>
      <w:r w:rsidRPr="007B6A99">
        <w:rPr>
          <w:rFonts w:hAnsi="標楷體" w:hint="eastAsia"/>
          <w:szCs w:val="32"/>
        </w:rPr>
        <w:t>侖</w:t>
      </w:r>
      <w:proofErr w:type="gramEnd"/>
      <w:r w:rsidRPr="007B6A99">
        <w:rPr>
          <w:rFonts w:hAnsi="標楷體" w:hint="eastAsia"/>
          <w:szCs w:val="32"/>
        </w:rPr>
        <w:t>目之緊接核子設施地區。二、低密度人口區：係核子事故發生後，於其邊界上之人自放射性雲到達時起至全部通過時止，所接受來自體外分裂產物之全身劑量不超過25</w:t>
      </w:r>
      <w:proofErr w:type="gramStart"/>
      <w:r w:rsidRPr="007B6A99">
        <w:rPr>
          <w:rFonts w:hAnsi="標楷體" w:hint="eastAsia"/>
          <w:szCs w:val="32"/>
        </w:rPr>
        <w:t>侖</w:t>
      </w:r>
      <w:proofErr w:type="gramEnd"/>
      <w:r w:rsidRPr="007B6A99">
        <w:rPr>
          <w:rFonts w:hAnsi="標楷體" w:hint="eastAsia"/>
          <w:szCs w:val="32"/>
        </w:rPr>
        <w:t>目，或來自碘之甲狀腺劑量不超過300</w:t>
      </w:r>
      <w:proofErr w:type="gramStart"/>
      <w:r w:rsidRPr="007B6A99">
        <w:rPr>
          <w:rFonts w:hAnsi="標楷體" w:hint="eastAsia"/>
          <w:szCs w:val="32"/>
        </w:rPr>
        <w:t>侖</w:t>
      </w:r>
      <w:proofErr w:type="gramEnd"/>
      <w:r w:rsidRPr="007B6A99">
        <w:rPr>
          <w:rFonts w:hAnsi="標楷體" w:hint="eastAsia"/>
          <w:szCs w:val="32"/>
        </w:rPr>
        <w:t>目之緊接禁建區之地區。」</w:t>
      </w:r>
      <w:r>
        <w:rPr>
          <w:rFonts w:hAnsi="標楷體" w:hint="eastAsia"/>
          <w:szCs w:val="32"/>
        </w:rPr>
        <w:t>又92</w:t>
      </w:r>
      <w:r w:rsidRPr="007B6A99">
        <w:rPr>
          <w:rFonts w:hAnsi="標楷體" w:hint="eastAsia"/>
          <w:szCs w:val="32"/>
        </w:rPr>
        <w:t>年</w:t>
      </w:r>
      <w:r>
        <w:rPr>
          <w:rFonts w:hAnsi="標楷體" w:hint="eastAsia"/>
          <w:szCs w:val="32"/>
        </w:rPr>
        <w:t>1</w:t>
      </w:r>
      <w:r w:rsidRPr="007B6A99">
        <w:rPr>
          <w:rFonts w:hAnsi="標楷體" w:hint="eastAsia"/>
          <w:szCs w:val="32"/>
        </w:rPr>
        <w:t>月</w:t>
      </w:r>
      <w:r>
        <w:rPr>
          <w:rFonts w:hAnsi="標楷體" w:hint="eastAsia"/>
          <w:szCs w:val="32"/>
        </w:rPr>
        <w:t>15</w:t>
      </w:r>
      <w:r w:rsidRPr="007B6A99">
        <w:rPr>
          <w:rFonts w:hAnsi="標楷體" w:hint="eastAsia"/>
          <w:szCs w:val="32"/>
        </w:rPr>
        <w:t>日公布之「核子反應器設施管制法」第4條第1項前段規定：「</w:t>
      </w:r>
      <w:r w:rsidRPr="007B6A99">
        <w:rPr>
          <w:rFonts w:hAnsi="標楷體"/>
          <w:szCs w:val="32"/>
        </w:rPr>
        <w:t>經營者應按核子事故發生時可能導致民眾接受輻射劑量之程度，擬訂計畫，報請主管機關會商內政部、直轄市、縣(市</w:t>
      </w:r>
      <w:r>
        <w:rPr>
          <w:rFonts w:hAnsi="標楷體"/>
          <w:szCs w:val="32"/>
        </w:rPr>
        <w:t>)</w:t>
      </w:r>
      <w:r w:rsidRPr="007B6A99">
        <w:rPr>
          <w:rFonts w:hAnsi="標楷體"/>
          <w:szCs w:val="32"/>
        </w:rPr>
        <w:t>政府及有關機關劃定禁制區及低密度人口區，經行政院核定後，由直轄市、縣(市)</w:t>
      </w:r>
      <w:r w:rsidRPr="007B6A99">
        <w:rPr>
          <w:rFonts w:hAnsi="標楷體"/>
          <w:szCs w:val="32"/>
        </w:rPr>
        <w:lastRenderedPageBreak/>
        <w:t>政府公告實施</w:t>
      </w:r>
      <w:r>
        <w:rPr>
          <w:rFonts w:hAnsi="標楷體"/>
          <w:szCs w:val="32"/>
        </w:rPr>
        <w:t>…</w:t>
      </w:r>
      <w:r w:rsidRPr="007B6A99">
        <w:rPr>
          <w:rFonts w:hAnsi="標楷體"/>
          <w:szCs w:val="32"/>
        </w:rPr>
        <w:t>。</w:t>
      </w:r>
      <w:r w:rsidRPr="00892862">
        <w:rPr>
          <w:rFonts w:hAnsi="標楷體" w:hint="eastAsia"/>
          <w:szCs w:val="32"/>
        </w:rPr>
        <w:t>」同法</w:t>
      </w:r>
      <w:r w:rsidRPr="007B6A99">
        <w:rPr>
          <w:rFonts w:hAnsi="標楷體" w:hint="eastAsia"/>
          <w:szCs w:val="32"/>
        </w:rPr>
        <w:t>第2條第1項第7、第8款規定：「</w:t>
      </w:r>
      <w:r w:rsidRPr="007B6A99">
        <w:rPr>
          <w:rFonts w:hAnsi="標楷體"/>
          <w:szCs w:val="32"/>
        </w:rPr>
        <w:t>禁制區：指緊接核子反應器設施之地區，可確保在其邊界上</w:t>
      </w:r>
      <w:r w:rsidRPr="007B6A99">
        <w:rPr>
          <w:rFonts w:hAnsi="標楷體" w:hint="eastAsia"/>
          <w:szCs w:val="32"/>
        </w:rPr>
        <w:t>之人於核</w:t>
      </w:r>
      <w:r w:rsidRPr="007B6A99">
        <w:rPr>
          <w:rFonts w:hAnsi="標楷體"/>
          <w:szCs w:val="32"/>
        </w:rPr>
        <w:t>子事故發生後</w:t>
      </w:r>
      <w:r w:rsidRPr="007B6A99">
        <w:rPr>
          <w:rFonts w:hAnsi="標楷體" w:hint="eastAsia"/>
          <w:szCs w:val="32"/>
        </w:rPr>
        <w:t>2</w:t>
      </w:r>
      <w:r w:rsidRPr="007B6A99">
        <w:rPr>
          <w:rFonts w:hAnsi="標楷體"/>
          <w:szCs w:val="32"/>
        </w:rPr>
        <w:t>小時內，所接受之輻射劑量小於主管機關</w:t>
      </w:r>
      <w:r w:rsidRPr="007B6A99">
        <w:rPr>
          <w:rFonts w:hAnsi="標楷體" w:hint="eastAsia"/>
          <w:szCs w:val="32"/>
        </w:rPr>
        <w:t>規定之</w:t>
      </w:r>
      <w:proofErr w:type="gramStart"/>
      <w:r w:rsidRPr="007B6A99">
        <w:rPr>
          <w:rFonts w:hAnsi="標楷體" w:hint="eastAsia"/>
          <w:szCs w:val="32"/>
        </w:rPr>
        <w:t>限值者</w:t>
      </w:r>
      <w:proofErr w:type="gramEnd"/>
      <w:r w:rsidRPr="007B6A99">
        <w:rPr>
          <w:rFonts w:hAnsi="標楷體" w:hint="eastAsia"/>
          <w:szCs w:val="32"/>
        </w:rPr>
        <w:t>。」</w:t>
      </w:r>
      <w:r>
        <w:rPr>
          <w:rFonts w:hAnsi="標楷體" w:hint="eastAsia"/>
          <w:szCs w:val="32"/>
        </w:rPr>
        <w:t>、</w:t>
      </w:r>
      <w:r w:rsidRPr="007B6A99">
        <w:rPr>
          <w:rFonts w:hAnsi="標楷體" w:hint="eastAsia"/>
          <w:szCs w:val="32"/>
        </w:rPr>
        <w:t>「</w:t>
      </w:r>
      <w:r w:rsidRPr="007B6A99">
        <w:rPr>
          <w:rFonts w:hAnsi="標楷體"/>
          <w:szCs w:val="32"/>
        </w:rPr>
        <w:t>低密度人口區：指緊接禁制區之地區，可確保在其邊界上之</w:t>
      </w:r>
      <w:r w:rsidRPr="007B6A99">
        <w:rPr>
          <w:rFonts w:hAnsi="標楷體" w:hint="eastAsia"/>
          <w:szCs w:val="32"/>
        </w:rPr>
        <w:t>人於核子</w:t>
      </w:r>
      <w:r w:rsidRPr="007B6A99">
        <w:rPr>
          <w:rFonts w:hAnsi="標楷體"/>
          <w:szCs w:val="32"/>
        </w:rPr>
        <w:t>事故發生後，所接受之輻射劑量小於主管機關規定之</w:t>
      </w:r>
      <w:proofErr w:type="gramStart"/>
      <w:r w:rsidRPr="007B6A99">
        <w:rPr>
          <w:rFonts w:hAnsi="標楷體"/>
          <w:szCs w:val="32"/>
        </w:rPr>
        <w:t>限值</w:t>
      </w:r>
      <w:r w:rsidRPr="007B6A99">
        <w:rPr>
          <w:rFonts w:hAnsi="標楷體" w:hint="eastAsia"/>
          <w:szCs w:val="32"/>
        </w:rPr>
        <w:t>者</w:t>
      </w:r>
      <w:proofErr w:type="gramEnd"/>
      <w:r w:rsidRPr="007B6A99">
        <w:rPr>
          <w:rFonts w:hAnsi="標楷體" w:hint="eastAsia"/>
          <w:szCs w:val="32"/>
        </w:rPr>
        <w:t>。」</w:t>
      </w:r>
      <w:r>
        <w:rPr>
          <w:rStyle w:val="style161"/>
        </w:rPr>
        <w:t>目前國內運轉中</w:t>
      </w:r>
      <w:r>
        <w:rPr>
          <w:rStyle w:val="style161"/>
          <w:rFonts w:hint="eastAsia"/>
        </w:rPr>
        <w:t>3</w:t>
      </w:r>
      <w:r>
        <w:rPr>
          <w:rStyle w:val="style161"/>
        </w:rPr>
        <w:t>座核電廠之</w:t>
      </w:r>
      <w:r>
        <w:rPr>
          <w:rStyle w:val="style11"/>
        </w:rPr>
        <w:t>低密度人口區</w:t>
      </w:r>
      <w:r>
        <w:rPr>
          <w:rStyle w:val="style11"/>
          <w:rFonts w:hint="eastAsia"/>
        </w:rPr>
        <w:t>，</w:t>
      </w:r>
      <w:r>
        <w:rPr>
          <w:rStyle w:val="style11"/>
        </w:rPr>
        <w:t>係以該廠核子反應器為中心，半徑2.5公里範圍之區域</w:t>
      </w:r>
      <w:r>
        <w:rPr>
          <w:rStyle w:val="style11"/>
          <w:rFonts w:hint="eastAsia"/>
        </w:rPr>
        <w:t>，</w:t>
      </w:r>
      <w:r>
        <w:rPr>
          <w:rStyle w:val="style11"/>
        </w:rPr>
        <w:t>區</w:t>
      </w:r>
      <w:r w:rsidR="00F619E6">
        <w:rPr>
          <w:rStyle w:val="style11"/>
          <w:rFonts w:hint="eastAsia"/>
        </w:rPr>
        <w:t>內</w:t>
      </w:r>
      <w:r>
        <w:rPr>
          <w:rStyle w:val="style11"/>
        </w:rPr>
        <w:t>除核電廠外</w:t>
      </w:r>
      <w:r w:rsidR="00F619E6">
        <w:rPr>
          <w:rStyle w:val="style11"/>
          <w:rFonts w:hint="eastAsia"/>
        </w:rPr>
        <w:t>，尚</w:t>
      </w:r>
      <w:r>
        <w:rPr>
          <w:rStyle w:val="style11"/>
        </w:rPr>
        <w:t>有私人土地</w:t>
      </w:r>
      <w:r>
        <w:rPr>
          <w:rStyle w:val="af6"/>
        </w:rPr>
        <w:footnoteReference w:id="9"/>
      </w:r>
      <w:r>
        <w:rPr>
          <w:rStyle w:val="style11"/>
        </w:rPr>
        <w:t>。</w:t>
      </w:r>
    </w:p>
    <w:p w:rsidR="00AD0491" w:rsidRPr="00681132" w:rsidRDefault="00AD0491" w:rsidP="00AD0491">
      <w:pPr>
        <w:pStyle w:val="3"/>
        <w:ind w:left="1394"/>
      </w:pPr>
      <w:r w:rsidRPr="004B6A4C">
        <w:rPr>
          <w:rFonts w:hint="eastAsia"/>
        </w:rPr>
        <w:t>墾丁國家公園管理處陳稱：</w:t>
      </w:r>
      <w:r>
        <w:rPr>
          <w:rFonts w:hint="eastAsia"/>
        </w:rPr>
        <w:t>其</w:t>
      </w:r>
      <w:r w:rsidRPr="00172DE4">
        <w:rPr>
          <w:rFonts w:hint="eastAsia"/>
        </w:rPr>
        <w:t>自</w:t>
      </w:r>
      <w:smartTag w:uri="urn:schemas-microsoft-com:office:smarttags" w:element="chsdate">
        <w:smartTagPr>
          <w:attr w:name="IsROCDate" w:val="False"/>
          <w:attr w:name="IsLunarDate" w:val="False"/>
          <w:attr w:name="Day" w:val="1"/>
          <w:attr w:name="Month" w:val="7"/>
          <w:attr w:name="Year" w:val="1991"/>
        </w:smartTagPr>
        <w:r w:rsidRPr="00172DE4">
          <w:rPr>
            <w:rFonts w:hint="eastAsia"/>
          </w:rPr>
          <w:t>91年7月1日</w:t>
        </w:r>
      </w:smartTag>
      <w:r w:rsidRPr="00172DE4">
        <w:rPr>
          <w:rFonts w:hint="eastAsia"/>
        </w:rPr>
        <w:t>起自屏東縣政府接管</w:t>
      </w:r>
      <w:r>
        <w:rPr>
          <w:rFonts w:hint="eastAsia"/>
        </w:rPr>
        <w:t>建築管理</w:t>
      </w:r>
      <w:r w:rsidRPr="00172DE4">
        <w:rPr>
          <w:rFonts w:hint="eastAsia"/>
        </w:rPr>
        <w:t>業務，統一</w:t>
      </w:r>
      <w:r w:rsidRPr="003050FB">
        <w:rPr>
          <w:rFonts w:hint="eastAsia"/>
        </w:rPr>
        <w:t>管理園區內之建物</w:t>
      </w:r>
      <w:r>
        <w:rPr>
          <w:rFonts w:hint="eastAsia"/>
        </w:rPr>
        <w:t>，</w:t>
      </w:r>
      <w:r w:rsidRPr="003050FB">
        <w:rPr>
          <w:rFonts w:hint="eastAsia"/>
        </w:rPr>
        <w:t>自82年至91</w:t>
      </w:r>
      <w:r w:rsidRPr="00EA3934">
        <w:rPr>
          <w:rFonts w:hint="eastAsia"/>
        </w:rPr>
        <w:t>年7月1日違章建築</w:t>
      </w:r>
      <w:proofErr w:type="gramStart"/>
      <w:r w:rsidRPr="00EA3934">
        <w:rPr>
          <w:rFonts w:hint="eastAsia"/>
        </w:rPr>
        <w:t>查報錄案者</w:t>
      </w:r>
      <w:proofErr w:type="gramEnd"/>
      <w:r w:rsidRPr="00EA3934">
        <w:rPr>
          <w:rFonts w:hint="eastAsia"/>
        </w:rPr>
        <w:t>計34件</w:t>
      </w:r>
      <w:r>
        <w:rPr>
          <w:rFonts w:hint="eastAsia"/>
        </w:rPr>
        <w:t>，</w:t>
      </w:r>
      <w:r>
        <w:rPr>
          <w:rFonts w:hAnsi="標楷體" w:hint="eastAsia"/>
          <w:szCs w:val="32"/>
        </w:rPr>
        <w:t>91</w:t>
      </w:r>
      <w:r>
        <w:rPr>
          <w:rFonts w:hint="eastAsia"/>
          <w:szCs w:val="32"/>
        </w:rPr>
        <w:t>年至</w:t>
      </w:r>
      <w:r>
        <w:rPr>
          <w:rFonts w:hAnsi="標楷體" w:hint="eastAsia"/>
          <w:szCs w:val="32"/>
        </w:rPr>
        <w:t>103</w:t>
      </w:r>
      <w:r>
        <w:rPr>
          <w:rFonts w:hint="eastAsia"/>
          <w:szCs w:val="32"/>
        </w:rPr>
        <w:t>年</w:t>
      </w:r>
      <w:r w:rsidRPr="008262CC">
        <w:rPr>
          <w:rFonts w:hint="eastAsia"/>
        </w:rPr>
        <w:t>5月底</w:t>
      </w:r>
      <w:proofErr w:type="gramStart"/>
      <w:r w:rsidRPr="008262CC">
        <w:rPr>
          <w:rFonts w:hint="eastAsia"/>
        </w:rPr>
        <w:t>止</w:t>
      </w:r>
      <w:proofErr w:type="gramEnd"/>
      <w:r>
        <w:rPr>
          <w:rFonts w:hint="eastAsia"/>
          <w:szCs w:val="32"/>
        </w:rPr>
        <w:t>違章</w:t>
      </w:r>
      <w:r w:rsidRPr="00EA3934">
        <w:rPr>
          <w:rFonts w:hint="eastAsia"/>
        </w:rPr>
        <w:t>建築</w:t>
      </w:r>
      <w:proofErr w:type="gramStart"/>
      <w:r>
        <w:rPr>
          <w:rFonts w:hint="eastAsia"/>
          <w:szCs w:val="32"/>
        </w:rPr>
        <w:t>查報錄案計</w:t>
      </w:r>
      <w:proofErr w:type="gramEnd"/>
      <w:r>
        <w:rPr>
          <w:rFonts w:hAnsi="標楷體" w:hint="eastAsia"/>
          <w:szCs w:val="32"/>
        </w:rPr>
        <w:t>126</w:t>
      </w:r>
      <w:r>
        <w:rPr>
          <w:rFonts w:hint="eastAsia"/>
          <w:szCs w:val="32"/>
        </w:rPr>
        <w:t>件，總計</w:t>
      </w:r>
      <w:r>
        <w:rPr>
          <w:rFonts w:hAnsi="標楷體" w:hint="eastAsia"/>
          <w:szCs w:val="32"/>
        </w:rPr>
        <w:t>160</w:t>
      </w:r>
      <w:r>
        <w:rPr>
          <w:rFonts w:hint="eastAsia"/>
          <w:szCs w:val="32"/>
        </w:rPr>
        <w:t>件違章建築數，計已拆除78件。</w:t>
      </w:r>
      <w:r w:rsidRPr="00681132">
        <w:rPr>
          <w:rFonts w:hint="eastAsia"/>
        </w:rPr>
        <w:t>鑒於複合式災變所引發</w:t>
      </w:r>
      <w:r>
        <w:rPr>
          <w:rFonts w:hint="eastAsia"/>
        </w:rPr>
        <w:t>的</w:t>
      </w:r>
      <w:r w:rsidRPr="00681132">
        <w:rPr>
          <w:rFonts w:hint="eastAsia"/>
        </w:rPr>
        <w:t>日本福島核</w:t>
      </w:r>
      <w:r>
        <w:rPr>
          <w:rFonts w:hint="eastAsia"/>
        </w:rPr>
        <w:t>災</w:t>
      </w:r>
      <w:r w:rsidRPr="00681132">
        <w:rPr>
          <w:rFonts w:hint="eastAsia"/>
        </w:rPr>
        <w:t>，違章建築</w:t>
      </w:r>
      <w:r>
        <w:rPr>
          <w:rFonts w:hint="eastAsia"/>
        </w:rPr>
        <w:t>對</w:t>
      </w:r>
      <w:r w:rsidRPr="00681132">
        <w:rPr>
          <w:rFonts w:hint="eastAsia"/>
        </w:rPr>
        <w:t>於災難發生後之緊急疏散，確實妨礙疏散作業及效率，影響</w:t>
      </w:r>
      <w:proofErr w:type="gramStart"/>
      <w:r w:rsidRPr="00681132">
        <w:rPr>
          <w:rFonts w:hint="eastAsia"/>
        </w:rPr>
        <w:t>所及甚為</w:t>
      </w:r>
      <w:proofErr w:type="gramEnd"/>
      <w:r w:rsidRPr="00681132">
        <w:rPr>
          <w:rFonts w:hint="eastAsia"/>
        </w:rPr>
        <w:t>巨大。因限於人力及經費考量，擬先就當年度新</w:t>
      </w:r>
      <w:r>
        <w:rPr>
          <w:rFonts w:hint="eastAsia"/>
        </w:rPr>
        <w:t>違章建築</w:t>
      </w:r>
      <w:r w:rsidRPr="00681132">
        <w:rPr>
          <w:rFonts w:hint="eastAsia"/>
        </w:rPr>
        <w:t>及影響公共安全既存之</w:t>
      </w:r>
      <w:r>
        <w:rPr>
          <w:rFonts w:hint="eastAsia"/>
        </w:rPr>
        <w:t>違章建築</w:t>
      </w:r>
      <w:r w:rsidRPr="00681132">
        <w:rPr>
          <w:rFonts w:hint="eastAsia"/>
        </w:rPr>
        <w:t>優先處置，</w:t>
      </w:r>
      <w:proofErr w:type="gramStart"/>
      <w:r w:rsidRPr="00681132">
        <w:rPr>
          <w:rFonts w:hint="eastAsia"/>
        </w:rPr>
        <w:t>餘視情節</w:t>
      </w:r>
      <w:proofErr w:type="gramEnd"/>
      <w:r w:rsidRPr="00681132">
        <w:rPr>
          <w:rFonts w:hint="eastAsia"/>
        </w:rPr>
        <w:t>輕重逐年分期排拆，</w:t>
      </w:r>
      <w:proofErr w:type="gramStart"/>
      <w:r w:rsidRPr="00681132">
        <w:rPr>
          <w:rFonts w:hint="eastAsia"/>
        </w:rPr>
        <w:t>以達斷源</w:t>
      </w:r>
      <w:proofErr w:type="gramEnd"/>
      <w:r w:rsidRPr="00681132">
        <w:rPr>
          <w:rFonts w:hint="eastAsia"/>
        </w:rPr>
        <w:t>並逐步降低園區內</w:t>
      </w:r>
      <w:r>
        <w:rPr>
          <w:rFonts w:hint="eastAsia"/>
        </w:rPr>
        <w:t>違章建築</w:t>
      </w:r>
      <w:r w:rsidRPr="00681132">
        <w:rPr>
          <w:rFonts w:hint="eastAsia"/>
        </w:rPr>
        <w:t>數量</w:t>
      </w:r>
      <w:r>
        <w:rPr>
          <w:rFonts w:hint="eastAsia"/>
        </w:rPr>
        <w:t>等語。</w:t>
      </w:r>
    </w:p>
    <w:p w:rsidR="00AD0491" w:rsidRPr="00AD0491" w:rsidRDefault="008C791F" w:rsidP="00AD0491">
      <w:pPr>
        <w:pStyle w:val="3"/>
        <w:kinsoku w:val="0"/>
      </w:pPr>
      <w:r w:rsidRPr="00681132">
        <w:rPr>
          <w:rFonts w:hint="eastAsia"/>
          <w:szCs w:val="32"/>
        </w:rPr>
        <w:t>綜上，</w:t>
      </w:r>
      <w:r w:rsidRPr="00275C27">
        <w:rPr>
          <w:rFonts w:hint="eastAsia"/>
          <w:szCs w:val="32"/>
        </w:rPr>
        <w:t>核三廠附近之違章建築對於災難發生後之疏散作業及效率</w:t>
      </w:r>
      <w:r w:rsidRPr="008F7AAE">
        <w:rPr>
          <w:rFonts w:hint="eastAsia"/>
          <w:szCs w:val="32"/>
        </w:rPr>
        <w:t>會產生重大妨礙，墾丁國家公園園區內之違章建築自82年至103年5月底</w:t>
      </w:r>
      <w:proofErr w:type="gramStart"/>
      <w:r w:rsidRPr="008F7AAE">
        <w:rPr>
          <w:rFonts w:hint="eastAsia"/>
          <w:szCs w:val="32"/>
        </w:rPr>
        <w:t>止</w:t>
      </w:r>
      <w:proofErr w:type="gramEnd"/>
      <w:r w:rsidRPr="008F7AAE">
        <w:rPr>
          <w:rFonts w:hint="eastAsia"/>
          <w:szCs w:val="32"/>
        </w:rPr>
        <w:t>總計160件，其中126件係墾丁國家公園管理處於91年7月接管建築管理業務後所查報，其違章建築數日益增多，該處雖已拆除78件，惟尚有82</w:t>
      </w:r>
      <w:r w:rsidRPr="008F7AAE">
        <w:rPr>
          <w:rFonts w:hint="eastAsia"/>
          <w:szCs w:val="32"/>
        </w:rPr>
        <w:lastRenderedPageBreak/>
        <w:t>件未拆除，墾丁國家公園管理處未能儘速拆除違章建築，</w:t>
      </w:r>
      <w:r>
        <w:rPr>
          <w:rFonts w:hint="eastAsia"/>
          <w:szCs w:val="32"/>
        </w:rPr>
        <w:t>亦未積極</w:t>
      </w:r>
      <w:r w:rsidRPr="008F7AAE">
        <w:rPr>
          <w:rFonts w:hint="eastAsia"/>
          <w:szCs w:val="32"/>
        </w:rPr>
        <w:t>與相關機關共同擬定有效防止新蓋違章建築之對策，</w:t>
      </w:r>
      <w:r w:rsidRPr="008F7AAE">
        <w:rPr>
          <w:rFonts w:hint="eastAsia"/>
        </w:rPr>
        <w:t>致違建越來越多，嚴重妨礙公共安全</w:t>
      </w:r>
      <w:r w:rsidRPr="008F7AAE">
        <w:rPr>
          <w:rFonts w:hint="eastAsia"/>
          <w:szCs w:val="32"/>
        </w:rPr>
        <w:t>，核有違失</w:t>
      </w:r>
      <w:r w:rsidR="00AD0491" w:rsidRPr="00AD0491">
        <w:rPr>
          <w:rFonts w:hint="eastAsia"/>
          <w:szCs w:val="32"/>
        </w:rPr>
        <w:t>。</w:t>
      </w:r>
    </w:p>
    <w:p w:rsidR="00AD0491" w:rsidRPr="000D034E" w:rsidRDefault="00AD0491" w:rsidP="00F619E6">
      <w:pPr>
        <w:pStyle w:val="2"/>
        <w:numPr>
          <w:ilvl w:val="0"/>
          <w:numId w:val="0"/>
        </w:numPr>
        <w:spacing w:line="240" w:lineRule="exact"/>
        <w:ind w:left="1043"/>
      </w:pPr>
    </w:p>
    <w:p w:rsidR="00967E4F" w:rsidRDefault="0078607C" w:rsidP="001014D7">
      <w:pPr>
        <w:pStyle w:val="12"/>
        <w:kinsoku/>
        <w:spacing w:beforeLines="50"/>
        <w:ind w:left="680" w:firstLine="680"/>
        <w:rPr>
          <w:bCs/>
        </w:rPr>
      </w:pPr>
      <w:r>
        <w:rPr>
          <w:rFonts w:hint="eastAsia"/>
          <w:bCs/>
        </w:rPr>
        <w:t>據</w:t>
      </w:r>
      <w:r w:rsidR="00B34457">
        <w:rPr>
          <w:rFonts w:hint="eastAsia"/>
          <w:bCs/>
        </w:rPr>
        <w:t>上所述，</w:t>
      </w:r>
      <w:r w:rsidR="006E53F5" w:rsidRPr="00152663">
        <w:rPr>
          <w:rFonts w:hint="eastAsia"/>
        </w:rPr>
        <w:t>原能會為執行我運轉中核電廠壓力測試之獨立同行審查，</w:t>
      </w:r>
      <w:r w:rsidR="006E53F5">
        <w:rPr>
          <w:rFonts w:hint="eastAsia"/>
        </w:rPr>
        <w:t>請求NEA進行同行審查</w:t>
      </w:r>
      <w:r w:rsidR="006E53F5" w:rsidRPr="00C87ECE">
        <w:rPr>
          <w:rFonts w:hint="eastAsia"/>
        </w:rPr>
        <w:t>並發布同行審查報告</w:t>
      </w:r>
      <w:r w:rsidR="006E53F5">
        <w:rPr>
          <w:rFonts w:hint="eastAsia"/>
        </w:rPr>
        <w:t>，</w:t>
      </w:r>
      <w:r w:rsidR="006E53F5" w:rsidRPr="006547FC">
        <w:rPr>
          <w:rFonts w:hint="eastAsia"/>
        </w:rPr>
        <w:t>依</w:t>
      </w:r>
      <w:r w:rsidR="006E53F5">
        <w:rPr>
          <w:rFonts w:hint="eastAsia"/>
        </w:rPr>
        <w:t>歐盟壓力測試規範規定，獨立同行審查小組由7人組成，成員應迴避所屬國</w:t>
      </w:r>
      <w:r w:rsidR="006E53F5" w:rsidRPr="006547FC">
        <w:rPr>
          <w:rFonts w:hint="eastAsia"/>
        </w:rPr>
        <w:t>家設施之審查，惟</w:t>
      </w:r>
      <w:r w:rsidR="006E53F5" w:rsidRPr="00152663">
        <w:rPr>
          <w:rFonts w:hint="eastAsia"/>
        </w:rPr>
        <w:t>獨立同行審查小組成員7人中有1人為</w:t>
      </w:r>
      <w:r w:rsidR="006E53F5" w:rsidRPr="00D43B3C">
        <w:rPr>
          <w:rFonts w:hint="eastAsia"/>
        </w:rPr>
        <w:t>我國人</w:t>
      </w:r>
      <w:r w:rsidR="006E53F5" w:rsidRPr="00152663">
        <w:rPr>
          <w:rFonts w:hint="eastAsia"/>
        </w:rPr>
        <w:t>，與歐盟壓力測試規範關於小組成員應迴避所屬國</w:t>
      </w:r>
      <w:r w:rsidR="006E53F5" w:rsidRPr="006547FC">
        <w:rPr>
          <w:rFonts w:hint="eastAsia"/>
        </w:rPr>
        <w:t>家設施審查之</w:t>
      </w:r>
      <w:r w:rsidR="006E53F5" w:rsidRPr="00152663">
        <w:rPr>
          <w:rFonts w:hint="eastAsia"/>
        </w:rPr>
        <w:t>規定不符。原</w:t>
      </w:r>
      <w:r w:rsidR="006E53F5">
        <w:rPr>
          <w:rFonts w:hint="eastAsia"/>
        </w:rPr>
        <w:t>能會</w:t>
      </w:r>
      <w:proofErr w:type="gramStart"/>
      <w:r w:rsidR="006E53F5">
        <w:rPr>
          <w:rFonts w:hint="eastAsia"/>
        </w:rPr>
        <w:t>嗣</w:t>
      </w:r>
      <w:proofErr w:type="gramEnd"/>
      <w:r w:rsidR="006E53F5" w:rsidRPr="00F80592">
        <w:rPr>
          <w:rFonts w:hint="eastAsia"/>
        </w:rPr>
        <w:t>請</w:t>
      </w:r>
      <w:r w:rsidR="000D35BC" w:rsidRPr="000D35BC">
        <w:rPr>
          <w:rFonts w:hint="eastAsia"/>
          <w:color w:val="000000"/>
        </w:rPr>
        <w:t>歐盟執委會/歐洲核能安全管制者組織</w:t>
      </w:r>
      <w:r w:rsidR="006E53F5" w:rsidRPr="00D43B3C">
        <w:rPr>
          <w:rFonts w:hint="eastAsia"/>
        </w:rPr>
        <w:t>對國內的壓力測試進行獨立同行審查</w:t>
      </w:r>
      <w:r w:rsidR="006E53F5">
        <w:rPr>
          <w:rFonts w:hint="eastAsia"/>
        </w:rPr>
        <w:t>，</w:t>
      </w:r>
      <w:r w:rsidR="006E53F5" w:rsidRPr="00D43B3C">
        <w:rPr>
          <w:rFonts w:hint="eastAsia"/>
        </w:rPr>
        <w:t>並</w:t>
      </w:r>
      <w:r w:rsidR="006E53F5" w:rsidRPr="006547FC">
        <w:rPr>
          <w:rFonts w:hint="eastAsia"/>
        </w:rPr>
        <w:t>將</w:t>
      </w:r>
      <w:r w:rsidR="006E53F5">
        <w:rPr>
          <w:rFonts w:hint="eastAsia"/>
        </w:rPr>
        <w:t>審查報告</w:t>
      </w:r>
      <w:r w:rsidR="006E53F5" w:rsidRPr="00F16362">
        <w:rPr>
          <w:rFonts w:hint="eastAsia"/>
        </w:rPr>
        <w:t>發布於歐盟壓力測試同行審查專案計畫網站</w:t>
      </w:r>
      <w:r w:rsidR="006E53F5">
        <w:rPr>
          <w:rFonts w:hint="eastAsia"/>
        </w:rPr>
        <w:t>，惟</w:t>
      </w:r>
      <w:r w:rsidR="006E53F5" w:rsidRPr="00D43B3C">
        <w:rPr>
          <w:rFonts w:hint="eastAsia"/>
        </w:rPr>
        <w:t>原能會</w:t>
      </w:r>
      <w:r w:rsidR="006E53F5">
        <w:rPr>
          <w:rFonts w:hint="eastAsia"/>
        </w:rPr>
        <w:t>未在國內與歐洲舉辦公開研討會，並邀請相關利害關係人參加，有違歐盟壓力測試規範關於透明度之規定，</w:t>
      </w:r>
      <w:r w:rsidR="006E53F5" w:rsidRPr="00152663">
        <w:rPr>
          <w:rFonts w:hint="eastAsia"/>
        </w:rPr>
        <w:t>遭受外界質疑及批評。</w:t>
      </w:r>
      <w:r w:rsidR="006E53F5">
        <w:rPr>
          <w:rFonts w:hint="eastAsia"/>
        </w:rPr>
        <w:t>又</w:t>
      </w:r>
      <w:r w:rsidR="006E53F5" w:rsidRPr="006E53F5">
        <w:rPr>
          <w:rFonts w:hint="eastAsia"/>
        </w:rPr>
        <w:t>台電公司運轉中之</w:t>
      </w:r>
      <w:r w:rsidR="006E53F5" w:rsidRPr="007738D8">
        <w:rPr>
          <w:rFonts w:hint="eastAsia"/>
        </w:rPr>
        <w:t>三座核電廠自93至102年間共發生87件異常事件，違規案件共60件(其中五級違規37件、四級違規23件)，</w:t>
      </w:r>
      <w:r w:rsidR="00AB0903">
        <w:rPr>
          <w:rFonts w:hint="eastAsia"/>
        </w:rPr>
        <w:t>注意改進</w:t>
      </w:r>
      <w:r w:rsidR="006E53F5" w:rsidRPr="007738D8">
        <w:rPr>
          <w:rFonts w:hint="eastAsia"/>
        </w:rPr>
        <w:t>高達553件，違規案件於100至102年間最多，</w:t>
      </w:r>
      <w:r w:rsidR="00AB0903">
        <w:rPr>
          <w:rFonts w:hint="eastAsia"/>
        </w:rPr>
        <w:t>注意改進</w:t>
      </w:r>
      <w:r w:rsidR="006E53F5" w:rsidRPr="006E53F5">
        <w:rPr>
          <w:rFonts w:hint="eastAsia"/>
        </w:rPr>
        <w:t>事項</w:t>
      </w:r>
      <w:r w:rsidR="006E53F5" w:rsidRPr="007738D8">
        <w:rPr>
          <w:rFonts w:hint="eastAsia"/>
        </w:rPr>
        <w:t>於101至102年間最多，顯示各廠近年違反相關法令事件頻繁，</w:t>
      </w:r>
      <w:r w:rsidR="006E53F5" w:rsidRPr="006E53F5">
        <w:rPr>
          <w:rFonts w:hint="eastAsia"/>
        </w:rPr>
        <w:t>且有增加之趨勢</w:t>
      </w:r>
      <w:r w:rsidR="006E53F5" w:rsidRPr="007738D8">
        <w:rPr>
          <w:rFonts w:hint="eastAsia"/>
          <w:color w:val="000000" w:themeColor="text1"/>
        </w:rPr>
        <w:t>。</w:t>
      </w:r>
      <w:r w:rsidR="00AD0491">
        <w:rPr>
          <w:rFonts w:hint="eastAsia"/>
          <w:color w:val="000000" w:themeColor="text1"/>
        </w:rPr>
        <w:t>另</w:t>
      </w:r>
      <w:r w:rsidR="00AD0491" w:rsidRPr="00AD0491">
        <w:rPr>
          <w:rFonts w:hint="eastAsia"/>
          <w:szCs w:val="32"/>
        </w:rPr>
        <w:t>墾丁國家公園管理處</w:t>
      </w:r>
      <w:r w:rsidR="00AD0491">
        <w:rPr>
          <w:rFonts w:hint="eastAsia"/>
          <w:szCs w:val="32"/>
        </w:rPr>
        <w:t>坦承</w:t>
      </w:r>
      <w:r w:rsidR="00AD0491" w:rsidRPr="00275C27">
        <w:rPr>
          <w:rFonts w:hint="eastAsia"/>
          <w:szCs w:val="32"/>
        </w:rPr>
        <w:t>核</w:t>
      </w:r>
      <w:r w:rsidR="00AD0491" w:rsidRPr="00AD0491">
        <w:rPr>
          <w:rFonts w:hint="eastAsia"/>
          <w:szCs w:val="32"/>
        </w:rPr>
        <w:t>三廠附近之違章建築</w:t>
      </w:r>
      <w:r w:rsidR="00AD0491">
        <w:rPr>
          <w:rFonts w:hint="eastAsia"/>
          <w:szCs w:val="32"/>
        </w:rPr>
        <w:t>，</w:t>
      </w:r>
      <w:r w:rsidR="00AD0491" w:rsidRPr="00AD0491">
        <w:rPr>
          <w:rFonts w:hint="eastAsia"/>
          <w:szCs w:val="32"/>
        </w:rPr>
        <w:t>對於</w:t>
      </w:r>
      <w:r w:rsidR="00AD0491" w:rsidRPr="00275C27">
        <w:rPr>
          <w:rFonts w:hint="eastAsia"/>
          <w:szCs w:val="32"/>
        </w:rPr>
        <w:t>核</w:t>
      </w:r>
      <w:r w:rsidR="00AD0491" w:rsidRPr="00AD0491">
        <w:rPr>
          <w:rFonts w:hint="eastAsia"/>
          <w:szCs w:val="32"/>
        </w:rPr>
        <w:t>災發生後之疏散作業及效率會產生重大妨礙，墾丁國家公園園區內之違章建築自82年至103年5月底</w:t>
      </w:r>
      <w:proofErr w:type="gramStart"/>
      <w:r w:rsidR="00AD0491" w:rsidRPr="00AD0491">
        <w:rPr>
          <w:rFonts w:hint="eastAsia"/>
          <w:szCs w:val="32"/>
        </w:rPr>
        <w:t>止</w:t>
      </w:r>
      <w:proofErr w:type="gramEnd"/>
      <w:r w:rsidR="00AD0491" w:rsidRPr="00AD0491">
        <w:rPr>
          <w:rFonts w:hint="eastAsia"/>
          <w:szCs w:val="32"/>
        </w:rPr>
        <w:t>總計160件，其中126件係墾丁國家公園管理處於91年7月接管建築管理業務後所查報，其違章建築數日益增多，該處未能儘速拆除違章建築，</w:t>
      </w:r>
      <w:r w:rsidR="008C791F">
        <w:rPr>
          <w:rFonts w:hint="eastAsia"/>
          <w:szCs w:val="32"/>
        </w:rPr>
        <w:t>亦未積極與相關機關共同擬定有效防止新蓋違建</w:t>
      </w:r>
      <w:r w:rsidR="00AD0491" w:rsidRPr="00AD0491">
        <w:rPr>
          <w:rFonts w:hint="eastAsia"/>
          <w:szCs w:val="32"/>
        </w:rPr>
        <w:t>之對策，</w:t>
      </w:r>
      <w:r w:rsidR="008C791F" w:rsidRPr="008F7AAE">
        <w:rPr>
          <w:rFonts w:hint="eastAsia"/>
        </w:rPr>
        <w:t>致違建越來越多，嚴重</w:t>
      </w:r>
      <w:r w:rsidR="008C791F">
        <w:rPr>
          <w:rFonts w:hint="eastAsia"/>
          <w:szCs w:val="32"/>
        </w:rPr>
        <w:t>妨礙</w:t>
      </w:r>
      <w:r w:rsidR="00AD0491" w:rsidRPr="00AD0491">
        <w:rPr>
          <w:rFonts w:hint="eastAsia"/>
          <w:szCs w:val="32"/>
        </w:rPr>
        <w:t>公共安全</w:t>
      </w:r>
      <w:r w:rsidR="00AD0491">
        <w:rPr>
          <w:rFonts w:hint="eastAsia"/>
          <w:szCs w:val="32"/>
        </w:rPr>
        <w:t>。</w:t>
      </w:r>
      <w:r w:rsidR="006E53F5">
        <w:rPr>
          <w:rFonts w:hint="eastAsia"/>
          <w:color w:val="000000" w:themeColor="text1"/>
        </w:rPr>
        <w:t>原能會</w:t>
      </w:r>
      <w:r w:rsidR="00AD0491">
        <w:rPr>
          <w:rFonts w:hint="eastAsia"/>
          <w:color w:val="000000" w:themeColor="text1"/>
        </w:rPr>
        <w:t>、</w:t>
      </w:r>
      <w:r w:rsidR="006E53F5" w:rsidRPr="006E53F5">
        <w:rPr>
          <w:rFonts w:hint="eastAsia"/>
        </w:rPr>
        <w:lastRenderedPageBreak/>
        <w:t>台</w:t>
      </w:r>
      <w:r w:rsidR="006E53F5" w:rsidRPr="000D35BC">
        <w:rPr>
          <w:rFonts w:hint="eastAsia"/>
        </w:rPr>
        <w:t>電公司</w:t>
      </w:r>
      <w:r w:rsidR="00AD0491" w:rsidRPr="006E53F5">
        <w:rPr>
          <w:rFonts w:hint="eastAsia"/>
        </w:rPr>
        <w:t>及</w:t>
      </w:r>
      <w:r w:rsidR="00AD0491" w:rsidRPr="00AD0491">
        <w:rPr>
          <w:rFonts w:hint="eastAsia"/>
          <w:szCs w:val="32"/>
        </w:rPr>
        <w:t>墾丁國家公園管理處</w:t>
      </w:r>
      <w:r w:rsidR="006E53F5" w:rsidRPr="000D35BC">
        <w:rPr>
          <w:rFonts w:hint="eastAsia"/>
        </w:rPr>
        <w:t>對於前開</w:t>
      </w:r>
      <w:r w:rsidR="000D35BC">
        <w:rPr>
          <w:rFonts w:hint="eastAsia"/>
        </w:rPr>
        <w:t>措施</w:t>
      </w:r>
      <w:r w:rsidR="004F6E49" w:rsidRPr="000D35BC">
        <w:rPr>
          <w:rFonts w:hint="eastAsia"/>
        </w:rPr>
        <w:t>，</w:t>
      </w:r>
      <w:proofErr w:type="gramStart"/>
      <w:r w:rsidR="00195EE3" w:rsidRPr="006E53F5">
        <w:rPr>
          <w:rFonts w:hint="eastAsia"/>
        </w:rPr>
        <w:t>均核</w:t>
      </w:r>
      <w:r w:rsidR="004F6E49" w:rsidRPr="006E53F5">
        <w:rPr>
          <w:rFonts w:hint="eastAsia"/>
        </w:rPr>
        <w:t>有</w:t>
      </w:r>
      <w:proofErr w:type="gramEnd"/>
      <w:r w:rsidR="004F6E49" w:rsidRPr="006E53F5">
        <w:rPr>
          <w:rFonts w:hint="eastAsia"/>
          <w:lang w:val="zh-TW"/>
        </w:rPr>
        <w:t>違失</w:t>
      </w:r>
      <w:r w:rsidR="00FF644E" w:rsidRPr="006E53F5">
        <w:rPr>
          <w:rFonts w:hAnsi="標楷體" w:cs="Helvetica" w:hint="eastAsia"/>
          <w:szCs w:val="32"/>
        </w:rPr>
        <w:t>，</w:t>
      </w:r>
      <w:proofErr w:type="gramStart"/>
      <w:r w:rsidR="00FF644E" w:rsidRPr="006E53F5">
        <w:rPr>
          <w:rFonts w:hAnsi="標楷體" w:cs="Helvetica" w:hint="eastAsia"/>
          <w:szCs w:val="32"/>
        </w:rPr>
        <w:t>爰</w:t>
      </w:r>
      <w:proofErr w:type="gramEnd"/>
      <w:r w:rsidR="00FF644E" w:rsidRPr="006E53F5">
        <w:rPr>
          <w:rFonts w:hAnsi="標楷體" w:cs="Helvetica" w:hint="eastAsia"/>
          <w:szCs w:val="32"/>
        </w:rPr>
        <w:t>依監察法第24條提</w:t>
      </w:r>
      <w:r w:rsidR="00FF644E">
        <w:rPr>
          <w:rFonts w:hAnsi="標楷體" w:cs="Helvetica" w:hint="eastAsia"/>
          <w:color w:val="000000"/>
          <w:szCs w:val="32"/>
        </w:rPr>
        <w:t>案糾正，移送行政院並轉</w:t>
      </w:r>
      <w:proofErr w:type="gramStart"/>
      <w:r w:rsidR="00FF644E">
        <w:rPr>
          <w:rFonts w:hAnsi="標楷體" w:cs="Helvetica" w:hint="eastAsia"/>
          <w:color w:val="000000"/>
          <w:szCs w:val="32"/>
        </w:rPr>
        <w:t>飭</w:t>
      </w:r>
      <w:proofErr w:type="gramEnd"/>
      <w:r w:rsidR="00FF644E">
        <w:rPr>
          <w:rFonts w:hAnsi="標楷體" w:cs="Helvetica" w:hint="eastAsia"/>
          <w:color w:val="000000"/>
          <w:szCs w:val="32"/>
        </w:rPr>
        <w:t>所屬確實檢討改善</w:t>
      </w:r>
      <w:proofErr w:type="gramStart"/>
      <w:r w:rsidR="00FF644E">
        <w:rPr>
          <w:rFonts w:hAnsi="標楷體" w:cs="Helvetica" w:hint="eastAsia"/>
          <w:color w:val="000000"/>
          <w:szCs w:val="32"/>
        </w:rPr>
        <w:t>見復</w:t>
      </w:r>
      <w:r w:rsidR="00FF644E">
        <w:rPr>
          <w:rFonts w:hint="eastAsia"/>
          <w:bCs/>
        </w:rPr>
        <w:t>。</w:t>
      </w:r>
      <w:proofErr w:type="gramEnd"/>
    </w:p>
    <w:p w:rsidR="001C72BF" w:rsidRDefault="001C72BF">
      <w:pPr>
        <w:widowControl/>
        <w:rPr>
          <w:rFonts w:ascii="標楷體"/>
          <w:bCs/>
          <w:spacing w:val="12"/>
          <w:kern w:val="0"/>
          <w:sz w:val="40"/>
        </w:rPr>
      </w:pPr>
      <w:bookmarkStart w:id="52" w:name="_Toc524895649"/>
      <w:bookmarkStart w:id="53" w:name="_Toc524896195"/>
      <w:bookmarkStart w:id="54" w:name="_Toc524896225"/>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2"/>
      <w:bookmarkEnd w:id="53"/>
      <w:bookmarkEnd w:id="54"/>
    </w:p>
    <w:p w:rsidR="008C791F" w:rsidRPr="001C72BF" w:rsidRDefault="008C791F">
      <w:pPr>
        <w:widowControl/>
        <w:rPr>
          <w:rFonts w:ascii="標楷體"/>
          <w:bCs/>
          <w:spacing w:val="12"/>
          <w:kern w:val="0"/>
          <w:sz w:val="40"/>
        </w:rPr>
      </w:pPr>
    </w:p>
    <w:p w:rsidR="008A4910" w:rsidRDefault="00B34457" w:rsidP="001014D7">
      <w:pPr>
        <w:pStyle w:val="a6"/>
        <w:spacing w:before="0" w:after="0"/>
        <w:ind w:leftChars="750" w:left="4821" w:hangingChars="511" w:hanging="2270"/>
        <w:jc w:val="both"/>
        <w:rPr>
          <w:b w:val="0"/>
          <w:bCs/>
          <w:snapToGrid/>
          <w:spacing w:val="0"/>
          <w:kern w:val="0"/>
          <w:sz w:val="40"/>
        </w:rPr>
      </w:pPr>
      <w:r>
        <w:rPr>
          <w:rFonts w:hint="eastAsia"/>
          <w:b w:val="0"/>
          <w:bCs/>
          <w:snapToGrid/>
          <w:spacing w:val="12"/>
          <w:kern w:val="0"/>
          <w:sz w:val="40"/>
        </w:rPr>
        <w:t>提案委員：</w:t>
      </w:r>
      <w:r w:rsidR="001014D7">
        <w:rPr>
          <w:rFonts w:hint="eastAsia"/>
          <w:b w:val="0"/>
          <w:bCs/>
          <w:snapToGrid/>
          <w:spacing w:val="12"/>
          <w:kern w:val="0"/>
          <w:sz w:val="40"/>
        </w:rPr>
        <w:t>高鳳仙、趙昌平、陳永祥</w:t>
      </w:r>
    </w:p>
    <w:p w:rsidR="009C17E5" w:rsidRDefault="009C17E5" w:rsidP="009C17E5">
      <w:pPr>
        <w:pStyle w:val="a6"/>
        <w:spacing w:before="0" w:after="0" w:line="240" w:lineRule="exact"/>
        <w:ind w:leftChars="1100" w:left="3742" w:firstLineChars="500" w:firstLine="1901"/>
        <w:jc w:val="both"/>
        <w:rPr>
          <w:b w:val="0"/>
          <w:bCs/>
          <w:snapToGrid/>
          <w:spacing w:val="0"/>
          <w:kern w:val="0"/>
        </w:rPr>
      </w:pPr>
    </w:p>
    <w:p w:rsidR="009C17E5" w:rsidRDefault="009C17E5" w:rsidP="009C17E5">
      <w:pPr>
        <w:pStyle w:val="a6"/>
        <w:spacing w:before="0" w:after="0" w:line="240" w:lineRule="exact"/>
        <w:ind w:leftChars="1100" w:left="3742" w:firstLineChars="500" w:firstLine="1901"/>
        <w:jc w:val="both"/>
        <w:rPr>
          <w:b w:val="0"/>
          <w:bCs/>
          <w:snapToGrid/>
          <w:spacing w:val="0"/>
          <w:kern w:val="0"/>
        </w:rPr>
      </w:pPr>
    </w:p>
    <w:p w:rsidR="008B2737" w:rsidRDefault="008B2737" w:rsidP="009C17E5">
      <w:pPr>
        <w:pStyle w:val="a6"/>
        <w:spacing w:before="0" w:after="0" w:line="240" w:lineRule="exact"/>
        <w:ind w:leftChars="1100" w:left="3742" w:firstLineChars="500" w:firstLine="1901"/>
        <w:jc w:val="both"/>
        <w:rPr>
          <w:b w:val="0"/>
          <w:bCs/>
          <w:snapToGrid/>
          <w:spacing w:val="0"/>
          <w:kern w:val="0"/>
        </w:rPr>
      </w:pPr>
    </w:p>
    <w:p w:rsidR="008B2737" w:rsidRDefault="008B2737" w:rsidP="009C17E5">
      <w:pPr>
        <w:pStyle w:val="a6"/>
        <w:spacing w:before="0" w:after="0" w:line="240" w:lineRule="exact"/>
        <w:ind w:leftChars="1100" w:left="3742" w:firstLineChars="500" w:firstLine="1901"/>
        <w:jc w:val="both"/>
        <w:rPr>
          <w:b w:val="0"/>
          <w:bCs/>
          <w:snapToGrid/>
          <w:spacing w:val="0"/>
          <w:kern w:val="0"/>
        </w:rPr>
      </w:pPr>
    </w:p>
    <w:p w:rsidR="000D35BC" w:rsidRDefault="000D35BC" w:rsidP="009C17E5">
      <w:pPr>
        <w:pStyle w:val="a6"/>
        <w:spacing w:before="0" w:after="0" w:line="240" w:lineRule="exact"/>
        <w:ind w:leftChars="1100" w:left="3742" w:firstLineChars="500" w:firstLine="1901"/>
        <w:jc w:val="both"/>
        <w:rPr>
          <w:b w:val="0"/>
          <w:bCs/>
          <w:snapToGrid/>
          <w:spacing w:val="0"/>
          <w:kern w:val="0"/>
        </w:rPr>
      </w:pPr>
    </w:p>
    <w:p w:rsidR="009C17E5" w:rsidRDefault="009C17E5" w:rsidP="009C17E5">
      <w:pPr>
        <w:pStyle w:val="a6"/>
        <w:spacing w:before="0" w:after="0" w:line="240" w:lineRule="exact"/>
        <w:ind w:leftChars="1100" w:left="3742" w:firstLineChars="500" w:firstLine="1901"/>
        <w:jc w:val="both"/>
        <w:rPr>
          <w:b w:val="0"/>
          <w:bCs/>
          <w:snapToGrid/>
          <w:spacing w:val="0"/>
          <w:kern w:val="0"/>
        </w:rPr>
      </w:pPr>
    </w:p>
    <w:p w:rsidR="009C17E5" w:rsidRDefault="009C17E5" w:rsidP="009C17E5">
      <w:pPr>
        <w:pStyle w:val="a6"/>
        <w:spacing w:before="0" w:after="0" w:line="240" w:lineRule="exact"/>
        <w:ind w:leftChars="1100" w:left="3742" w:firstLineChars="500" w:firstLine="1901"/>
        <w:jc w:val="both"/>
        <w:rPr>
          <w:b w:val="0"/>
          <w:bCs/>
          <w:snapToGrid/>
          <w:spacing w:val="0"/>
          <w:kern w:val="0"/>
        </w:rPr>
      </w:pPr>
    </w:p>
    <w:p w:rsidR="009C17E5" w:rsidRDefault="009C17E5" w:rsidP="009C17E5">
      <w:pPr>
        <w:pStyle w:val="a6"/>
        <w:spacing w:before="0" w:after="0" w:line="240" w:lineRule="exact"/>
        <w:ind w:leftChars="1100" w:left="3742" w:firstLineChars="500" w:firstLine="1901"/>
        <w:jc w:val="both"/>
        <w:rPr>
          <w:b w:val="0"/>
          <w:bCs/>
          <w:snapToGrid/>
          <w:spacing w:val="0"/>
          <w:kern w:val="0"/>
        </w:rPr>
      </w:pPr>
    </w:p>
    <w:p w:rsidR="009C17E5" w:rsidRDefault="009C17E5" w:rsidP="009C17E5">
      <w:pPr>
        <w:pStyle w:val="a6"/>
        <w:spacing w:before="0" w:after="0" w:line="240" w:lineRule="exact"/>
        <w:ind w:leftChars="1100" w:left="3742" w:firstLineChars="500" w:firstLine="1901"/>
        <w:jc w:val="both"/>
        <w:rPr>
          <w:b w:val="0"/>
          <w:bCs/>
          <w:snapToGrid/>
          <w:spacing w:val="0"/>
          <w:kern w:val="0"/>
        </w:rPr>
      </w:pPr>
    </w:p>
    <w:p w:rsidR="001D42B9" w:rsidRDefault="00B34457" w:rsidP="005A6476">
      <w:pPr>
        <w:pStyle w:val="ae"/>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233027">
        <w:rPr>
          <w:rFonts w:hint="eastAsia"/>
          <w:bCs/>
        </w:rPr>
        <w:t xml:space="preserve">  10</w:t>
      </w:r>
      <w:r w:rsidR="00271BE3">
        <w:rPr>
          <w:rFonts w:hint="eastAsia"/>
          <w:bCs/>
        </w:rPr>
        <w:t>3</w:t>
      </w:r>
      <w:r>
        <w:rPr>
          <w:rFonts w:hint="eastAsia"/>
          <w:bCs/>
        </w:rPr>
        <w:t xml:space="preserve">   </w:t>
      </w:r>
      <w:r>
        <w:rPr>
          <w:rFonts w:hint="eastAsia"/>
          <w:bCs/>
        </w:rPr>
        <w:t>年</w:t>
      </w:r>
      <w:r w:rsidR="00134D7B">
        <w:rPr>
          <w:rFonts w:hint="eastAsia"/>
          <w:bCs/>
        </w:rPr>
        <w:t xml:space="preserve">  </w:t>
      </w:r>
      <w:r w:rsidR="00271BE3">
        <w:rPr>
          <w:rFonts w:hint="eastAsia"/>
          <w:bCs/>
        </w:rPr>
        <w:t xml:space="preserve"> </w:t>
      </w:r>
      <w:r w:rsidR="001014D7">
        <w:rPr>
          <w:rFonts w:hint="eastAsia"/>
          <w:bCs/>
        </w:rPr>
        <w:t>7</w:t>
      </w:r>
      <w:r>
        <w:rPr>
          <w:rFonts w:hint="eastAsia"/>
          <w:bCs/>
        </w:rPr>
        <w:t xml:space="preserve"> </w:t>
      </w:r>
      <w:r>
        <w:rPr>
          <w:rFonts w:hint="eastAsia"/>
          <w:bCs/>
        </w:rPr>
        <w:t>月</w:t>
      </w:r>
      <w:r>
        <w:rPr>
          <w:rFonts w:hint="eastAsia"/>
          <w:bCs/>
        </w:rPr>
        <w:t xml:space="preserve">  </w:t>
      </w:r>
      <w:r w:rsidR="001014D7">
        <w:rPr>
          <w:rFonts w:hint="eastAsia"/>
          <w:bCs/>
        </w:rPr>
        <w:t>22</w:t>
      </w:r>
      <w:r>
        <w:rPr>
          <w:rFonts w:hint="eastAsia"/>
          <w:bCs/>
        </w:rPr>
        <w:t xml:space="preserve">   </w:t>
      </w:r>
      <w:r>
        <w:rPr>
          <w:rFonts w:hint="eastAsia"/>
          <w:bCs/>
        </w:rPr>
        <w:t>日</w:t>
      </w:r>
    </w:p>
    <w:p w:rsidR="00514FC4" w:rsidRDefault="00514FC4" w:rsidP="005A6476">
      <w:pPr>
        <w:pStyle w:val="ae"/>
        <w:rPr>
          <w:bCs/>
        </w:rPr>
      </w:pPr>
    </w:p>
    <w:p w:rsidR="00514FC4" w:rsidRDefault="00514FC4">
      <w:pPr>
        <w:widowControl/>
        <w:rPr>
          <w:bCs/>
          <w:kern w:val="0"/>
        </w:rPr>
      </w:pPr>
      <w:r>
        <w:rPr>
          <w:bCs/>
        </w:rPr>
        <w:br w:type="page"/>
      </w:r>
    </w:p>
    <w:p w:rsidR="00514FC4" w:rsidRDefault="00514FC4" w:rsidP="00514FC4">
      <w:pPr>
        <w:pStyle w:val="1"/>
        <w:numPr>
          <w:ilvl w:val="0"/>
          <w:numId w:val="0"/>
        </w:numPr>
        <w:ind w:left="699" w:hanging="699"/>
      </w:pPr>
      <w:bookmarkStart w:id="55" w:name="_Toc391538045"/>
      <w:r>
        <w:rPr>
          <w:rFonts w:hint="eastAsia"/>
        </w:rPr>
        <w:lastRenderedPageBreak/>
        <w:t>附錄-歐</w:t>
      </w:r>
      <w:r w:rsidRPr="00514FC4">
        <w:rPr>
          <w:rFonts w:hint="eastAsia"/>
        </w:rPr>
        <w:t>盟</w:t>
      </w:r>
      <w:r w:rsidRPr="00514FC4">
        <w:t>執委會ENSREG</w:t>
      </w:r>
      <w:r w:rsidRPr="00514FC4">
        <w:rPr>
          <w:rFonts w:hint="eastAsia"/>
        </w:rPr>
        <w:t>獨立</w:t>
      </w:r>
      <w:r>
        <w:rPr>
          <w:rFonts w:hint="eastAsia"/>
        </w:rPr>
        <w:t>同行審查委員名單</w:t>
      </w:r>
      <w:bookmarkEnd w:id="55"/>
    </w:p>
    <w:p w:rsidR="00514FC4" w:rsidRPr="00121C9B" w:rsidRDefault="00514FC4" w:rsidP="00514FC4">
      <w:pPr>
        <w:pStyle w:val="afa"/>
        <w:snapToGrid w:val="0"/>
        <w:spacing w:line="360" w:lineRule="auto"/>
        <w:ind w:leftChars="0" w:left="0"/>
        <w:jc w:val="center"/>
        <w:rPr>
          <w:szCs w:val="32"/>
        </w:rPr>
      </w:pPr>
      <w:r>
        <w:rPr>
          <w:noProof/>
          <w:szCs w:val="32"/>
        </w:rPr>
        <w:drawing>
          <wp:inline distT="0" distB="0" distL="0" distR="0">
            <wp:extent cx="5756910" cy="8205470"/>
            <wp:effectExtent l="19050" t="0" r="0" b="0"/>
            <wp:docPr id="6" name="圖片 1" descr="Country Review Teams_頁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ry Review Teams_頁面_1"/>
                    <pic:cNvPicPr>
                      <a:picLocks noChangeAspect="1" noChangeArrowheads="1"/>
                    </pic:cNvPicPr>
                  </pic:nvPicPr>
                  <pic:blipFill>
                    <a:blip r:embed="rId8" cstate="print"/>
                    <a:srcRect l="5684" t="3749" r="6284" b="3941"/>
                    <a:stretch>
                      <a:fillRect/>
                    </a:stretch>
                  </pic:blipFill>
                  <pic:spPr bwMode="auto">
                    <a:xfrm>
                      <a:off x="0" y="0"/>
                      <a:ext cx="5756910" cy="8205470"/>
                    </a:xfrm>
                    <a:prstGeom prst="rect">
                      <a:avLst/>
                    </a:prstGeom>
                    <a:noFill/>
                    <a:ln w="9525">
                      <a:noFill/>
                      <a:miter lim="800000"/>
                      <a:headEnd/>
                      <a:tailEnd/>
                    </a:ln>
                  </pic:spPr>
                </pic:pic>
              </a:graphicData>
            </a:graphic>
          </wp:inline>
        </w:drawing>
      </w:r>
    </w:p>
    <w:p w:rsidR="00514FC4" w:rsidRDefault="00514FC4" w:rsidP="00514FC4">
      <w:pPr>
        <w:pStyle w:val="afa"/>
        <w:snapToGrid w:val="0"/>
        <w:spacing w:line="360" w:lineRule="auto"/>
        <w:ind w:leftChars="0" w:left="680" w:hangingChars="200" w:hanging="680"/>
        <w:jc w:val="center"/>
      </w:pPr>
      <w:r>
        <w:rPr>
          <w:noProof/>
          <w:szCs w:val="32"/>
        </w:rPr>
        <w:lastRenderedPageBreak/>
        <w:drawing>
          <wp:inline distT="0" distB="0" distL="0" distR="0">
            <wp:extent cx="5558223" cy="8722581"/>
            <wp:effectExtent l="19050" t="0" r="4377" b="0"/>
            <wp:docPr id="5" name="圖片 2" descr="Country Review Teams_頁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ry Review Teams_頁面_2"/>
                    <pic:cNvPicPr>
                      <a:picLocks noChangeAspect="1" noChangeArrowheads="1"/>
                    </pic:cNvPicPr>
                  </pic:nvPicPr>
                  <pic:blipFill>
                    <a:blip r:embed="rId9" cstate="print"/>
                    <a:srcRect l="6425" t="4060" r="7104" b="4509"/>
                    <a:stretch>
                      <a:fillRect/>
                    </a:stretch>
                  </pic:blipFill>
                  <pic:spPr bwMode="auto">
                    <a:xfrm>
                      <a:off x="0" y="0"/>
                      <a:ext cx="5558155" cy="8722474"/>
                    </a:xfrm>
                    <a:prstGeom prst="rect">
                      <a:avLst/>
                    </a:prstGeom>
                    <a:noFill/>
                    <a:ln w="9525">
                      <a:noFill/>
                      <a:miter lim="800000"/>
                      <a:headEnd/>
                      <a:tailEnd/>
                    </a:ln>
                  </pic:spPr>
                </pic:pic>
              </a:graphicData>
            </a:graphic>
          </wp:inline>
        </w:drawing>
      </w:r>
    </w:p>
    <w:sectPr w:rsidR="00514FC4" w:rsidSect="00A91E37">
      <w:footerReference w:type="even" r:id="rId10"/>
      <w:footerReference w:type="default" r:id="rId11"/>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F83" w:rsidRDefault="00683F83" w:rsidP="00F77505">
      <w:r>
        <w:separator/>
      </w:r>
    </w:p>
  </w:endnote>
  <w:endnote w:type="continuationSeparator" w:id="0">
    <w:p w:rsidR="00683F83" w:rsidRDefault="00683F83"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華康楷書體W3">
    <w:altName w:val="新細明體"/>
    <w:charset w:val="01"/>
    <w:family w:val="roman"/>
    <w:pitch w:val="variable"/>
    <w:sig w:usb0="20003A87" w:usb1="00000000"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зũ">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366A47">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366A47">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1014D7">
      <w:rPr>
        <w:rStyle w:val="a8"/>
        <w:noProof/>
        <w:sz w:val="24"/>
      </w:rPr>
      <w:t>16</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F83" w:rsidRDefault="00683F83" w:rsidP="00F77505">
      <w:r>
        <w:separator/>
      </w:r>
    </w:p>
  </w:footnote>
  <w:footnote w:type="continuationSeparator" w:id="0">
    <w:p w:rsidR="00683F83" w:rsidRDefault="00683F83" w:rsidP="00F77505">
      <w:r>
        <w:continuationSeparator/>
      </w:r>
    </w:p>
  </w:footnote>
  <w:footnote w:id="1">
    <w:p w:rsidR="000D034E" w:rsidRPr="00D43B3C" w:rsidRDefault="000D034E" w:rsidP="000D034E">
      <w:pPr>
        <w:pStyle w:val="af4"/>
      </w:pPr>
      <w:r>
        <w:rPr>
          <w:rStyle w:val="af6"/>
        </w:rPr>
        <w:footnoteRef/>
      </w:r>
      <w:r>
        <w:t xml:space="preserve"> </w:t>
      </w:r>
      <w:r>
        <w:rPr>
          <w:rFonts w:hint="eastAsia"/>
        </w:rPr>
        <w:t>歐盟壓力</w:t>
      </w:r>
      <w:r w:rsidRPr="00D43B3C">
        <w:rPr>
          <w:rFonts w:hint="eastAsia"/>
        </w:rPr>
        <w:t>測試規範，參</w:t>
      </w:r>
      <w:r w:rsidRPr="000D034E">
        <w:rPr>
          <w:rFonts w:hint="eastAsia"/>
        </w:rPr>
        <w:t>見</w:t>
      </w:r>
      <w:hyperlink r:id="rId1" w:history="1">
        <w:r w:rsidRPr="000D034E">
          <w:rPr>
            <w:rStyle w:val="a9"/>
            <w:color w:val="auto"/>
          </w:rPr>
          <w:t>http://www.ensreg.eu/node/286</w:t>
        </w:r>
      </w:hyperlink>
      <w:r w:rsidRPr="000D034E">
        <w:rPr>
          <w:rFonts w:hint="eastAsia"/>
        </w:rPr>
        <w:t xml:space="preserve"> </w:t>
      </w:r>
      <w:hyperlink r:id="rId2" w:history="1">
        <w:r w:rsidRPr="000D034E">
          <w:rPr>
            <w:rStyle w:val="a9"/>
            <w:color w:val="auto"/>
          </w:rPr>
          <w:t>EU Stress tests specifications.pdf</w:t>
        </w:r>
      </w:hyperlink>
      <w:r w:rsidRPr="00D43B3C">
        <w:rPr>
          <w:rFonts w:hint="eastAsia"/>
        </w:rPr>
        <w:t xml:space="preserve"> .</w:t>
      </w:r>
    </w:p>
  </w:footnote>
  <w:footnote w:id="2">
    <w:p w:rsidR="000D034E" w:rsidRPr="00D43B3C" w:rsidRDefault="000D034E" w:rsidP="000D034E">
      <w:pPr>
        <w:autoSpaceDE w:val="0"/>
        <w:autoSpaceDN w:val="0"/>
        <w:adjustRightInd w:val="0"/>
        <w:spacing w:line="240" w:lineRule="exact"/>
        <w:ind w:left="110" w:hangingChars="50" w:hanging="110"/>
        <w:rPr>
          <w:rFonts w:ascii="標楷體" w:hAnsi="標楷體" w:cs="標楷體"/>
          <w:kern w:val="0"/>
          <w:sz w:val="20"/>
        </w:rPr>
      </w:pPr>
      <w:r w:rsidRPr="00D43B3C">
        <w:rPr>
          <w:rStyle w:val="af6"/>
          <w:sz w:val="20"/>
        </w:rPr>
        <w:footnoteRef/>
      </w:r>
      <w:r w:rsidRPr="00D43B3C">
        <w:rPr>
          <w:rFonts w:ascii="標楷體" w:hAnsi="標楷體"/>
          <w:sz w:val="20"/>
        </w:rPr>
        <w:t>經濟合作暨發展組織</w:t>
      </w:r>
      <w:r w:rsidRPr="00D43B3C">
        <w:rPr>
          <w:rFonts w:ascii="標楷體" w:hAnsi="標楷體" w:hint="eastAsia"/>
          <w:sz w:val="20"/>
        </w:rPr>
        <w:t>(</w:t>
      </w:r>
      <w:r w:rsidRPr="00D43B3C">
        <w:rPr>
          <w:rFonts w:ascii="標楷體" w:hAnsi="標楷體"/>
          <w:kern w:val="0"/>
          <w:sz w:val="20"/>
        </w:rPr>
        <w:t>OECD</w:t>
      </w:r>
      <w:r w:rsidRPr="00D43B3C">
        <w:rPr>
          <w:rFonts w:ascii="標楷體" w:hAnsi="標楷體" w:hint="eastAsia"/>
          <w:kern w:val="0"/>
          <w:sz w:val="20"/>
        </w:rPr>
        <w:t>)</w:t>
      </w:r>
      <w:r w:rsidRPr="00D43B3C">
        <w:rPr>
          <w:rFonts w:ascii="標楷體" w:hAnsi="標楷體" w:cs="標楷體" w:hint="eastAsia"/>
          <w:kern w:val="0"/>
          <w:sz w:val="20"/>
        </w:rPr>
        <w:t>成立於</w:t>
      </w:r>
      <w:r w:rsidRPr="00D43B3C">
        <w:rPr>
          <w:rFonts w:ascii="標楷體" w:hAnsi="標楷體"/>
          <w:kern w:val="0"/>
          <w:sz w:val="20"/>
        </w:rPr>
        <w:t>1961</w:t>
      </w:r>
      <w:r w:rsidRPr="00D43B3C">
        <w:rPr>
          <w:rFonts w:ascii="標楷體" w:hAnsi="標楷體" w:cs="標楷體" w:hint="eastAsia"/>
          <w:kern w:val="0"/>
          <w:sz w:val="20"/>
        </w:rPr>
        <w:t>年，其前身為歐洲經濟合作組織(</w:t>
      </w:r>
      <w:r w:rsidRPr="00D43B3C">
        <w:rPr>
          <w:rFonts w:ascii="標楷體" w:hAnsi="標楷體"/>
          <w:kern w:val="0"/>
          <w:sz w:val="20"/>
        </w:rPr>
        <w:t>Organisation for</w:t>
      </w:r>
      <w:r w:rsidRPr="00D43B3C">
        <w:rPr>
          <w:rFonts w:ascii="標楷體" w:hAnsi="標楷體" w:hint="eastAsia"/>
          <w:kern w:val="0"/>
          <w:sz w:val="20"/>
        </w:rPr>
        <w:t xml:space="preserve"> </w:t>
      </w:r>
      <w:r w:rsidRPr="00D43B3C">
        <w:rPr>
          <w:rFonts w:ascii="標楷體" w:hAnsi="標楷體"/>
          <w:kern w:val="0"/>
          <w:sz w:val="20"/>
        </w:rPr>
        <w:t>European Economic Co-operation</w:t>
      </w:r>
      <w:r w:rsidRPr="00D43B3C">
        <w:rPr>
          <w:rFonts w:ascii="標楷體" w:hAnsi="標楷體" w:hint="eastAsia"/>
          <w:kern w:val="0"/>
          <w:sz w:val="20"/>
        </w:rPr>
        <w:t xml:space="preserve"> ,</w:t>
      </w:r>
      <w:r w:rsidRPr="00D43B3C">
        <w:rPr>
          <w:rFonts w:ascii="標楷體" w:hAnsi="標楷體"/>
          <w:kern w:val="0"/>
          <w:sz w:val="20"/>
        </w:rPr>
        <w:t>OEEC)</w:t>
      </w:r>
      <w:r w:rsidRPr="00D43B3C">
        <w:rPr>
          <w:rFonts w:ascii="標楷體" w:hAnsi="標楷體" w:cs="標楷體" w:hint="eastAsia"/>
          <w:kern w:val="0"/>
          <w:sz w:val="20"/>
        </w:rPr>
        <w:t>，核能署</w:t>
      </w:r>
      <w:r w:rsidRPr="00D43B3C">
        <w:rPr>
          <w:rFonts w:ascii="標楷體" w:hAnsi="標楷體"/>
          <w:kern w:val="0"/>
          <w:sz w:val="20"/>
        </w:rPr>
        <w:t>(NEA)</w:t>
      </w:r>
      <w:r w:rsidRPr="00D43B3C">
        <w:rPr>
          <w:rFonts w:ascii="標楷體" w:hAnsi="標楷體" w:cs="標楷體" w:hint="eastAsia"/>
          <w:kern w:val="0"/>
          <w:sz w:val="20"/>
        </w:rPr>
        <w:t>係</w:t>
      </w:r>
      <w:r w:rsidRPr="00D43B3C">
        <w:rPr>
          <w:rFonts w:ascii="標楷體" w:hAnsi="標楷體"/>
          <w:kern w:val="0"/>
          <w:sz w:val="20"/>
        </w:rPr>
        <w:t>OECD</w:t>
      </w:r>
      <w:r w:rsidRPr="00D43B3C">
        <w:rPr>
          <w:rFonts w:ascii="標楷體" w:hAnsi="標楷體" w:cs="標楷體" w:hint="eastAsia"/>
          <w:kern w:val="0"/>
          <w:sz w:val="20"/>
        </w:rPr>
        <w:t>之專業組織，</w:t>
      </w:r>
      <w:r w:rsidRPr="00D43B3C">
        <w:rPr>
          <w:rFonts w:ascii="標楷體" w:hAnsi="標楷體"/>
          <w:kern w:val="0"/>
          <w:sz w:val="20"/>
        </w:rPr>
        <w:t>NEA</w:t>
      </w:r>
      <w:r w:rsidRPr="00D43B3C">
        <w:rPr>
          <w:rFonts w:ascii="標楷體" w:hAnsi="標楷體" w:cs="標楷體" w:hint="eastAsia"/>
          <w:kern w:val="0"/>
          <w:sz w:val="20"/>
        </w:rPr>
        <w:t>依工作性質在指導委員會(</w:t>
      </w:r>
      <w:r w:rsidRPr="00D43B3C">
        <w:rPr>
          <w:rFonts w:ascii="標楷體" w:hAnsi="標楷體"/>
          <w:kern w:val="0"/>
          <w:sz w:val="20"/>
        </w:rPr>
        <w:t>Steering Committee</w:t>
      </w:r>
      <w:r w:rsidRPr="00D43B3C">
        <w:rPr>
          <w:rFonts w:ascii="標楷體" w:hAnsi="標楷體" w:hint="eastAsia"/>
          <w:kern w:val="0"/>
          <w:sz w:val="20"/>
        </w:rPr>
        <w:t>)</w:t>
      </w:r>
      <w:r w:rsidRPr="00D43B3C">
        <w:rPr>
          <w:rFonts w:ascii="標楷體" w:hAnsi="標楷體" w:cs="標楷體" w:hint="eastAsia"/>
          <w:kern w:val="0"/>
          <w:sz w:val="20"/>
        </w:rPr>
        <w:t>下設許多專業委員會，如：放射性廢棄物管理委員會</w:t>
      </w:r>
      <w:r w:rsidRPr="00D43B3C">
        <w:rPr>
          <w:rFonts w:ascii="標楷體" w:hAnsi="標楷體"/>
          <w:kern w:val="0"/>
          <w:sz w:val="20"/>
        </w:rPr>
        <w:t>(RWMC)</w:t>
      </w:r>
      <w:r w:rsidRPr="00D43B3C">
        <w:rPr>
          <w:rFonts w:ascii="標楷體" w:hAnsi="標楷體" w:cs="標楷體" w:hint="eastAsia"/>
          <w:kern w:val="0"/>
          <w:sz w:val="20"/>
        </w:rPr>
        <w:t>、輻射防護與公共衛生委員會</w:t>
      </w:r>
      <w:r w:rsidRPr="00D43B3C">
        <w:rPr>
          <w:rFonts w:ascii="標楷體" w:hAnsi="標楷體"/>
          <w:kern w:val="0"/>
          <w:sz w:val="20"/>
        </w:rPr>
        <w:t>(CRPPH)</w:t>
      </w:r>
      <w:r w:rsidRPr="00D43B3C">
        <w:rPr>
          <w:rFonts w:ascii="標楷體" w:hAnsi="標楷體" w:cs="標楷體" w:hint="eastAsia"/>
          <w:kern w:val="0"/>
          <w:sz w:val="20"/>
        </w:rPr>
        <w:t>、核能安全委員會</w:t>
      </w:r>
      <w:r w:rsidRPr="00D43B3C">
        <w:rPr>
          <w:rFonts w:ascii="標楷體" w:hAnsi="標楷體"/>
          <w:kern w:val="0"/>
          <w:sz w:val="20"/>
        </w:rPr>
        <w:t>(CSNI)</w:t>
      </w:r>
      <w:r w:rsidRPr="00D43B3C">
        <w:rPr>
          <w:rFonts w:ascii="標楷體" w:hAnsi="標楷體" w:cs="標楷體" w:hint="eastAsia"/>
          <w:kern w:val="0"/>
          <w:sz w:val="20"/>
        </w:rPr>
        <w:t>、核能管制委員會</w:t>
      </w:r>
      <w:r w:rsidRPr="00D43B3C">
        <w:rPr>
          <w:rFonts w:ascii="標楷體" w:hAnsi="標楷體"/>
          <w:kern w:val="0"/>
          <w:sz w:val="20"/>
        </w:rPr>
        <w:t>(CNRA)</w:t>
      </w:r>
      <w:r w:rsidRPr="00D43B3C">
        <w:rPr>
          <w:rFonts w:ascii="標楷體" w:hAnsi="標楷體" w:cs="標楷體" w:hint="eastAsia"/>
          <w:kern w:val="0"/>
          <w:sz w:val="20"/>
        </w:rPr>
        <w:t>、核能與核燃料循環技術與經濟發展委員會</w:t>
      </w:r>
      <w:r w:rsidRPr="00D43B3C">
        <w:rPr>
          <w:rFonts w:ascii="標楷體" w:hAnsi="標楷體"/>
          <w:kern w:val="0"/>
          <w:sz w:val="20"/>
        </w:rPr>
        <w:t>(NDC)</w:t>
      </w:r>
      <w:r w:rsidRPr="00D43B3C">
        <w:rPr>
          <w:rFonts w:ascii="標楷體" w:hAnsi="標楷體" w:cs="標楷體" w:hint="eastAsia"/>
          <w:kern w:val="0"/>
          <w:sz w:val="20"/>
        </w:rPr>
        <w:t>、核能法規委員會</w:t>
      </w:r>
      <w:r w:rsidRPr="00D43B3C">
        <w:rPr>
          <w:rFonts w:ascii="標楷體" w:hAnsi="標楷體"/>
          <w:kern w:val="0"/>
          <w:sz w:val="20"/>
        </w:rPr>
        <w:t>(NLC)</w:t>
      </w:r>
      <w:r w:rsidRPr="00D43B3C">
        <w:rPr>
          <w:rFonts w:ascii="標楷體" w:hAnsi="標楷體" w:cs="標楷體" w:hint="eastAsia"/>
          <w:kern w:val="0"/>
          <w:sz w:val="20"/>
        </w:rPr>
        <w:t>、核子科學委員會</w:t>
      </w:r>
      <w:r w:rsidRPr="00D43B3C">
        <w:rPr>
          <w:rFonts w:ascii="標楷體" w:hAnsi="標楷體"/>
          <w:kern w:val="0"/>
          <w:sz w:val="20"/>
        </w:rPr>
        <w:t>(NSC)</w:t>
      </w:r>
      <w:r w:rsidRPr="00D43B3C">
        <w:rPr>
          <w:rFonts w:ascii="標楷體" w:hAnsi="標楷體" w:hint="eastAsia"/>
          <w:kern w:val="0"/>
          <w:sz w:val="20"/>
        </w:rPr>
        <w:t>、</w:t>
      </w:r>
      <w:r w:rsidRPr="00D43B3C">
        <w:rPr>
          <w:rFonts w:ascii="標楷體" w:hAnsi="標楷體" w:cs="標楷體" w:hint="eastAsia"/>
          <w:kern w:val="0"/>
          <w:sz w:val="20"/>
        </w:rPr>
        <w:t>資料庫執行團</w:t>
      </w:r>
      <w:r w:rsidRPr="00D43B3C">
        <w:rPr>
          <w:rFonts w:ascii="標楷體" w:hAnsi="標楷體"/>
          <w:kern w:val="0"/>
          <w:sz w:val="20"/>
        </w:rPr>
        <w:t>(DBE</w:t>
      </w:r>
      <w:r w:rsidRPr="00D43B3C">
        <w:rPr>
          <w:rFonts w:ascii="標楷體" w:hAnsi="標楷體" w:cs="標楷體"/>
          <w:kern w:val="0"/>
          <w:sz w:val="20"/>
        </w:rPr>
        <w:t>G)</w:t>
      </w:r>
      <w:r w:rsidRPr="00D43B3C">
        <w:rPr>
          <w:rFonts w:ascii="標楷體" w:hAnsi="標楷體" w:cs="標楷體" w:hint="eastAsia"/>
          <w:kern w:val="0"/>
          <w:sz w:val="20"/>
        </w:rPr>
        <w:t>。</w:t>
      </w:r>
      <w:r w:rsidRPr="00D43B3C">
        <w:rPr>
          <w:rFonts w:ascii="標楷體" w:hAnsi="標楷體" w:cs="標楷體"/>
          <w:kern w:val="0"/>
          <w:sz w:val="20"/>
        </w:rPr>
        <w:t>NEA是目前世界上推動國際核能安全合作與交流的重要單位，該署於每年</w:t>
      </w:r>
      <w:r w:rsidRPr="00D43B3C">
        <w:rPr>
          <w:rFonts w:ascii="標楷體" w:hAnsi="標楷體" w:cs="標楷體" w:hint="eastAsia"/>
          <w:kern w:val="0"/>
          <w:sz w:val="20"/>
        </w:rPr>
        <w:t>6</w:t>
      </w:r>
      <w:r w:rsidRPr="00D43B3C">
        <w:rPr>
          <w:rFonts w:ascii="標楷體" w:hAnsi="標楷體" w:cs="標楷體"/>
          <w:kern w:val="0"/>
          <w:sz w:val="20"/>
        </w:rPr>
        <w:t>月在法國召開的年會中，OECD會員國</w:t>
      </w:r>
      <w:r w:rsidRPr="00D43B3C">
        <w:rPr>
          <w:rFonts w:ascii="標楷體" w:hAnsi="標楷體" w:cs="標楷體" w:hint="eastAsia"/>
          <w:kern w:val="0"/>
          <w:sz w:val="20"/>
        </w:rPr>
        <w:t>的</w:t>
      </w:r>
      <w:r w:rsidRPr="00D43B3C">
        <w:rPr>
          <w:rFonts w:ascii="標楷體" w:hAnsi="標楷體" w:cs="標楷體"/>
          <w:kern w:val="0"/>
          <w:sz w:val="20"/>
        </w:rPr>
        <w:t>核能管制單位負責人幾乎都會</w:t>
      </w:r>
      <w:r w:rsidRPr="00D43B3C">
        <w:rPr>
          <w:rFonts w:ascii="標楷體" w:hAnsi="標楷體" w:cs="標楷體" w:hint="eastAsia"/>
          <w:kern w:val="0"/>
          <w:sz w:val="20"/>
        </w:rPr>
        <w:t>與會，</w:t>
      </w:r>
      <w:r w:rsidRPr="00D43B3C">
        <w:rPr>
          <w:rFonts w:ascii="標楷體" w:hAnsi="標楷體" w:cs="標楷體"/>
          <w:kern w:val="0"/>
          <w:sz w:val="20"/>
        </w:rPr>
        <w:t>儼然成為主要核能工業國家一個重要的溝通平台</w:t>
      </w:r>
      <w:r w:rsidRPr="00D43B3C">
        <w:rPr>
          <w:rFonts w:ascii="標楷體" w:hAnsi="標楷體" w:cs="標楷體" w:hint="eastAsia"/>
          <w:kern w:val="0"/>
          <w:sz w:val="20"/>
        </w:rPr>
        <w:t>。</w:t>
      </w:r>
    </w:p>
  </w:footnote>
  <w:footnote w:id="3">
    <w:p w:rsidR="000D034E" w:rsidRPr="009E3982" w:rsidRDefault="000D034E" w:rsidP="000D034E">
      <w:pPr>
        <w:pStyle w:val="af4"/>
      </w:pPr>
      <w:r>
        <w:rPr>
          <w:rStyle w:val="af6"/>
        </w:rPr>
        <w:footnoteRef/>
      </w:r>
      <w:r>
        <w:rPr>
          <w:rFonts w:hint="eastAsia"/>
        </w:rPr>
        <w:t>參據歐盟公布</w:t>
      </w:r>
      <w:r w:rsidRPr="00F80592">
        <w:rPr>
          <w:rFonts w:hint="eastAsia"/>
        </w:rPr>
        <w:t>之之各國壓力測試獨立同行審查委員名單</w:t>
      </w:r>
      <w:r w:rsidRPr="00F80592">
        <w:rPr>
          <w:rFonts w:hint="eastAsia"/>
        </w:rPr>
        <w:t>(</w:t>
      </w:r>
      <w:hyperlink r:id="rId3" w:history="1">
        <w:r w:rsidRPr="00F80592">
          <w:t>Country Review Teams.pdf</w:t>
        </w:r>
      </w:hyperlink>
      <w:r>
        <w:rPr>
          <w:rFonts w:hint="eastAsia"/>
        </w:rPr>
        <w:t>)</w:t>
      </w:r>
    </w:p>
  </w:footnote>
  <w:footnote w:id="4">
    <w:p w:rsidR="000D034E" w:rsidRPr="00D43B3C" w:rsidRDefault="000D034E" w:rsidP="000D034E">
      <w:pPr>
        <w:pStyle w:val="af4"/>
        <w:ind w:left="110" w:hangingChars="50" w:hanging="110"/>
      </w:pPr>
      <w:r>
        <w:rPr>
          <w:rStyle w:val="af6"/>
        </w:rPr>
        <w:footnoteRef/>
      </w:r>
      <w:r>
        <w:rPr>
          <w:rFonts w:hint="eastAsia"/>
        </w:rPr>
        <w:t>資料來源：原能會網頁</w:t>
      </w:r>
      <w:r w:rsidRPr="00280855">
        <w:rPr>
          <w:rFonts w:hint="eastAsia"/>
        </w:rPr>
        <w:t>http://www.aec.</w:t>
      </w:r>
      <w:r w:rsidRPr="00D43B3C">
        <w:rPr>
          <w:rFonts w:hint="eastAsia"/>
        </w:rPr>
        <w:t>gov.tw/</w:t>
      </w:r>
      <w:r w:rsidRPr="00D43B3C">
        <w:rPr>
          <w:rFonts w:hint="eastAsia"/>
        </w:rPr>
        <w:t>焦點專區</w:t>
      </w:r>
      <w:r w:rsidRPr="00D43B3C">
        <w:rPr>
          <w:rFonts w:hint="eastAsia"/>
        </w:rPr>
        <w:t>/</w:t>
      </w:r>
      <w:r w:rsidRPr="00D43B3C">
        <w:rPr>
          <w:rFonts w:hint="eastAsia"/>
        </w:rPr>
        <w:t>核能總體檢</w:t>
      </w:r>
      <w:r w:rsidRPr="00D43B3C">
        <w:rPr>
          <w:rFonts w:hint="eastAsia"/>
        </w:rPr>
        <w:t>/</w:t>
      </w:r>
      <w:r w:rsidRPr="00D43B3C">
        <w:rPr>
          <w:rFonts w:hint="eastAsia"/>
        </w:rPr>
        <w:t>壓力測試報告</w:t>
      </w:r>
      <w:r w:rsidRPr="00D43B3C">
        <w:rPr>
          <w:rFonts w:hint="eastAsia"/>
        </w:rPr>
        <w:t>/</w:t>
      </w:r>
      <w:r w:rsidRPr="00D43B3C">
        <w:rPr>
          <w:rFonts w:hint="eastAsia"/>
        </w:rPr>
        <w:t>壓力測試國家報告</w:t>
      </w:r>
      <w:r w:rsidRPr="00D43B3C">
        <w:rPr>
          <w:rFonts w:hint="eastAsia"/>
        </w:rPr>
        <w:t>-</w:t>
      </w:r>
      <w:r w:rsidRPr="00D43B3C">
        <w:rPr>
          <w:rFonts w:hint="eastAsia"/>
        </w:rPr>
        <w:t>經濟合作暨發展組織核能署獨立同行審查完成報告</w:t>
      </w:r>
      <w:r w:rsidRPr="00D43B3C">
        <w:rPr>
          <w:rFonts w:hint="eastAsia"/>
        </w:rPr>
        <w:t>--218_222_2062_2105.html</w:t>
      </w:r>
    </w:p>
  </w:footnote>
  <w:footnote w:id="5">
    <w:p w:rsidR="000D034E" w:rsidRPr="00D43B3C" w:rsidRDefault="000D034E" w:rsidP="000D034E">
      <w:pPr>
        <w:pStyle w:val="af4"/>
        <w:ind w:left="110" w:hangingChars="50" w:hanging="110"/>
      </w:pPr>
      <w:r w:rsidRPr="00D43B3C">
        <w:rPr>
          <w:rStyle w:val="af6"/>
        </w:rPr>
        <w:footnoteRef/>
      </w:r>
      <w:r w:rsidRPr="00D43B3C">
        <w:rPr>
          <w:rFonts w:hint="eastAsia"/>
        </w:rPr>
        <w:t>原能會派駐法國</w:t>
      </w:r>
      <w:r w:rsidRPr="00D43B3C">
        <w:t>OECD/NEA</w:t>
      </w:r>
      <w:r w:rsidRPr="00D43B3C">
        <w:rPr>
          <w:rFonts w:hint="eastAsia"/>
        </w:rPr>
        <w:t>放射性廢棄物管理委員會</w:t>
      </w:r>
      <w:r w:rsidRPr="00D43B3C">
        <w:rPr>
          <w:rFonts w:hint="eastAsia"/>
        </w:rPr>
        <w:t>(</w:t>
      </w:r>
      <w:r w:rsidRPr="00D43B3C">
        <w:t>RWMC</w:t>
      </w:r>
      <w:r w:rsidRPr="00D43B3C">
        <w:rPr>
          <w:rFonts w:hint="eastAsia"/>
        </w:rPr>
        <w:t>)</w:t>
      </w:r>
      <w:r w:rsidRPr="00D43B3C">
        <w:rPr>
          <w:rFonts w:hint="eastAsia"/>
        </w:rPr>
        <w:t>、輻射防護與</w:t>
      </w:r>
      <w:r w:rsidRPr="00D43B3C">
        <w:t>公眾健康委員會</w:t>
      </w:r>
      <w:r w:rsidRPr="00D43B3C">
        <w:rPr>
          <w:rFonts w:hint="eastAsia"/>
        </w:rPr>
        <w:t>(</w:t>
      </w:r>
      <w:r w:rsidRPr="00D43B3C">
        <w:t>CRPPH</w:t>
      </w:r>
      <w:r w:rsidRPr="00D43B3C">
        <w:rPr>
          <w:rFonts w:hint="eastAsia"/>
        </w:rPr>
        <w:t>)</w:t>
      </w:r>
      <w:r w:rsidRPr="00D43B3C">
        <w:rPr>
          <w:rFonts w:hint="eastAsia"/>
        </w:rPr>
        <w:t>一等秘書羅○○，現任原能會核能研究所綜合計畫組副研究員。</w:t>
      </w:r>
    </w:p>
  </w:footnote>
  <w:footnote w:id="6">
    <w:p w:rsidR="000D034E" w:rsidRPr="0073774C" w:rsidRDefault="000D034E" w:rsidP="000D034E">
      <w:pPr>
        <w:pStyle w:val="af4"/>
        <w:rPr>
          <w:rFonts w:ascii="標楷體" w:hAnsi="標楷體"/>
        </w:rPr>
      </w:pPr>
      <w:r>
        <w:rPr>
          <w:rStyle w:val="af6"/>
        </w:rPr>
        <w:footnoteRef/>
      </w:r>
      <w:r w:rsidRPr="0073774C">
        <w:rPr>
          <w:rFonts w:ascii="標楷體" w:hAnsi="標楷體" w:hint="eastAsia"/>
        </w:rPr>
        <w:t>LEVEL 1:ANOMALY，LEVEL 2：INCCIENT，LEVEL 3：SERIOUS INCIDENT</w:t>
      </w:r>
      <w:r>
        <w:rPr>
          <w:rFonts w:ascii="標楷體" w:hAnsi="標楷體" w:hint="eastAsia"/>
        </w:rPr>
        <w:t>.</w:t>
      </w:r>
    </w:p>
  </w:footnote>
  <w:footnote w:id="7">
    <w:p w:rsidR="000D034E" w:rsidRPr="0073774C" w:rsidRDefault="000D034E" w:rsidP="000D034E">
      <w:pPr>
        <w:pStyle w:val="af4"/>
        <w:ind w:left="110" w:hangingChars="50" w:hanging="110"/>
        <w:rPr>
          <w:rFonts w:ascii="標楷體" w:hAnsi="標楷體"/>
        </w:rPr>
      </w:pPr>
      <w:r w:rsidRPr="0073774C">
        <w:rPr>
          <w:rStyle w:val="af6"/>
          <w:rFonts w:ascii="標楷體" w:hAnsi="標楷體"/>
        </w:rPr>
        <w:footnoteRef/>
      </w:r>
      <w:r w:rsidRPr="0073774C">
        <w:rPr>
          <w:rFonts w:ascii="標楷體" w:hAnsi="標楷體" w:hint="eastAsia"/>
        </w:rPr>
        <w:t>LEVEL 4：ACCIDENT WITH LOCAL CONSEQUENCES， LEVEL 5：ACCIDENT WITH WIDER CONSEQUENCES， LEVEL 6：SERIOUS ACCIDENT， LEVEL7：MAJOR ACCIDENT</w:t>
      </w:r>
      <w:r>
        <w:rPr>
          <w:rFonts w:ascii="標楷體" w:hAnsi="標楷體" w:hint="eastAsia"/>
        </w:rPr>
        <w:t>.</w:t>
      </w:r>
    </w:p>
  </w:footnote>
  <w:footnote w:id="8">
    <w:p w:rsidR="000D034E" w:rsidRPr="00D4074D" w:rsidRDefault="000D034E" w:rsidP="000D034E">
      <w:pPr>
        <w:pStyle w:val="af4"/>
        <w:ind w:left="110" w:hangingChars="50" w:hanging="110"/>
      </w:pPr>
      <w:r>
        <w:rPr>
          <w:rStyle w:val="af6"/>
        </w:rPr>
        <w:footnoteRef/>
      </w:r>
      <w:r w:rsidRPr="00D4074D">
        <w:rPr>
          <w:rFonts w:hint="eastAsia"/>
        </w:rPr>
        <w:t>資料來源：原能會網站之首頁</w:t>
      </w:r>
      <w:r w:rsidRPr="00D4074D">
        <w:rPr>
          <w:rFonts w:hint="eastAsia"/>
        </w:rPr>
        <w:t>/</w:t>
      </w:r>
      <w:r w:rsidRPr="00D4074D">
        <w:rPr>
          <w:rFonts w:hint="eastAsia"/>
        </w:rPr>
        <w:t>核能安全</w:t>
      </w:r>
      <w:r w:rsidRPr="00D4074D">
        <w:rPr>
          <w:rFonts w:hint="eastAsia"/>
        </w:rPr>
        <w:t>/</w:t>
      </w:r>
      <w:r w:rsidRPr="00D4074D">
        <w:rPr>
          <w:rFonts w:hint="eastAsia"/>
        </w:rPr>
        <w:t>電廠違規處罰案件</w:t>
      </w:r>
      <w:r w:rsidRPr="00D4074D">
        <w:rPr>
          <w:rFonts w:hint="eastAsia"/>
        </w:rPr>
        <w:t>/</w:t>
      </w:r>
      <w:r w:rsidRPr="00D4074D">
        <w:rPr>
          <w:rFonts w:hint="eastAsia"/>
        </w:rPr>
        <w:t>核子設施違規事項查詢、核子設施注意改進事項查詢。</w:t>
      </w:r>
    </w:p>
  </w:footnote>
  <w:footnote w:id="9">
    <w:p w:rsidR="00AD0491" w:rsidRPr="00892862" w:rsidRDefault="00AD0491" w:rsidP="00AD0491">
      <w:pPr>
        <w:pStyle w:val="af4"/>
        <w:ind w:left="110" w:hangingChars="50" w:hanging="110"/>
        <w:rPr>
          <w:rFonts w:ascii="標楷體" w:hAnsi="標楷體"/>
        </w:rPr>
      </w:pPr>
      <w:r>
        <w:rPr>
          <w:rStyle w:val="af6"/>
        </w:rPr>
        <w:footnoteRef/>
      </w:r>
      <w:proofErr w:type="gramStart"/>
      <w:r w:rsidRPr="00892862">
        <w:rPr>
          <w:rFonts w:hint="eastAsia"/>
        </w:rPr>
        <w:t>參據原能會</w:t>
      </w:r>
      <w:proofErr w:type="gramEnd"/>
      <w:r w:rsidRPr="00892862">
        <w:rPr>
          <w:rFonts w:hint="eastAsia"/>
        </w:rPr>
        <w:t>網站，</w:t>
      </w:r>
      <w:r w:rsidRPr="00892862">
        <w:rPr>
          <w:rFonts w:ascii="標楷體" w:hAnsi="標楷體" w:hint="eastAsia"/>
        </w:rPr>
        <w:t>http://www.aec.gov.tw/便民專區/輻射安全FAQ/核能電廠安全管制/其他--220_237_2271_2282.html#4-12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4E029C1"/>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DB6143"/>
    <w:multiLevelType w:val="hybridMultilevel"/>
    <w:tmpl w:val="17A6A836"/>
    <w:lvl w:ilvl="0" w:tplc="A240ED16">
      <w:start w:val="1"/>
      <w:numFmt w:val="bullet"/>
      <w:lvlText w:val=""/>
      <w:lvlJc w:val="left"/>
      <w:pPr>
        <w:tabs>
          <w:tab w:val="num" w:pos="720"/>
        </w:tabs>
        <w:ind w:left="720" w:hanging="360"/>
      </w:pPr>
      <w:rPr>
        <w:rFonts w:ascii="Wingdings" w:hAnsi="Wingdings" w:hint="default"/>
      </w:rPr>
    </w:lvl>
    <w:lvl w:ilvl="1" w:tplc="F6AE3C64" w:tentative="1">
      <w:start w:val="1"/>
      <w:numFmt w:val="bullet"/>
      <w:lvlText w:val=""/>
      <w:lvlJc w:val="left"/>
      <w:pPr>
        <w:tabs>
          <w:tab w:val="num" w:pos="1440"/>
        </w:tabs>
        <w:ind w:left="1440" w:hanging="360"/>
      </w:pPr>
      <w:rPr>
        <w:rFonts w:ascii="Wingdings" w:hAnsi="Wingdings" w:hint="default"/>
      </w:rPr>
    </w:lvl>
    <w:lvl w:ilvl="2" w:tplc="57EA0160" w:tentative="1">
      <w:start w:val="1"/>
      <w:numFmt w:val="bullet"/>
      <w:lvlText w:val=""/>
      <w:lvlJc w:val="left"/>
      <w:pPr>
        <w:tabs>
          <w:tab w:val="num" w:pos="2160"/>
        </w:tabs>
        <w:ind w:left="2160" w:hanging="360"/>
      </w:pPr>
      <w:rPr>
        <w:rFonts w:ascii="Wingdings" w:hAnsi="Wingdings" w:hint="default"/>
      </w:rPr>
    </w:lvl>
    <w:lvl w:ilvl="3" w:tplc="FE5814E4" w:tentative="1">
      <w:start w:val="1"/>
      <w:numFmt w:val="bullet"/>
      <w:lvlText w:val=""/>
      <w:lvlJc w:val="left"/>
      <w:pPr>
        <w:tabs>
          <w:tab w:val="num" w:pos="2880"/>
        </w:tabs>
        <w:ind w:left="2880" w:hanging="360"/>
      </w:pPr>
      <w:rPr>
        <w:rFonts w:ascii="Wingdings" w:hAnsi="Wingdings" w:hint="default"/>
      </w:rPr>
    </w:lvl>
    <w:lvl w:ilvl="4" w:tplc="B55612B4" w:tentative="1">
      <w:start w:val="1"/>
      <w:numFmt w:val="bullet"/>
      <w:lvlText w:val=""/>
      <w:lvlJc w:val="left"/>
      <w:pPr>
        <w:tabs>
          <w:tab w:val="num" w:pos="3600"/>
        </w:tabs>
        <w:ind w:left="3600" w:hanging="360"/>
      </w:pPr>
      <w:rPr>
        <w:rFonts w:ascii="Wingdings" w:hAnsi="Wingdings" w:hint="default"/>
      </w:rPr>
    </w:lvl>
    <w:lvl w:ilvl="5" w:tplc="F364F490" w:tentative="1">
      <w:start w:val="1"/>
      <w:numFmt w:val="bullet"/>
      <w:lvlText w:val=""/>
      <w:lvlJc w:val="left"/>
      <w:pPr>
        <w:tabs>
          <w:tab w:val="num" w:pos="4320"/>
        </w:tabs>
        <w:ind w:left="4320" w:hanging="360"/>
      </w:pPr>
      <w:rPr>
        <w:rFonts w:ascii="Wingdings" w:hAnsi="Wingdings" w:hint="default"/>
      </w:rPr>
    </w:lvl>
    <w:lvl w:ilvl="6" w:tplc="CDA84A12" w:tentative="1">
      <w:start w:val="1"/>
      <w:numFmt w:val="bullet"/>
      <w:lvlText w:val=""/>
      <w:lvlJc w:val="left"/>
      <w:pPr>
        <w:tabs>
          <w:tab w:val="num" w:pos="5040"/>
        </w:tabs>
        <w:ind w:left="5040" w:hanging="360"/>
      </w:pPr>
      <w:rPr>
        <w:rFonts w:ascii="Wingdings" w:hAnsi="Wingdings" w:hint="default"/>
      </w:rPr>
    </w:lvl>
    <w:lvl w:ilvl="7" w:tplc="19BEF43E" w:tentative="1">
      <w:start w:val="1"/>
      <w:numFmt w:val="bullet"/>
      <w:lvlText w:val=""/>
      <w:lvlJc w:val="left"/>
      <w:pPr>
        <w:tabs>
          <w:tab w:val="num" w:pos="5760"/>
        </w:tabs>
        <w:ind w:left="5760" w:hanging="360"/>
      </w:pPr>
      <w:rPr>
        <w:rFonts w:ascii="Wingdings" w:hAnsi="Wingdings" w:hint="default"/>
      </w:rPr>
    </w:lvl>
    <w:lvl w:ilvl="8" w:tplc="94121BEE" w:tentative="1">
      <w:start w:val="1"/>
      <w:numFmt w:val="bullet"/>
      <w:lvlText w:val=""/>
      <w:lvlJc w:val="left"/>
      <w:pPr>
        <w:tabs>
          <w:tab w:val="num" w:pos="6480"/>
        </w:tabs>
        <w:ind w:left="6480" w:hanging="360"/>
      </w:pPr>
      <w:rPr>
        <w:rFonts w:ascii="Wingdings" w:hAnsi="Wingdings" w:hint="default"/>
      </w:r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F9167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611DCF"/>
    <w:multiLevelType w:val="hybridMultilevel"/>
    <w:tmpl w:val="E71CA73E"/>
    <w:lvl w:ilvl="0" w:tplc="35D478F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4BD3F41"/>
    <w:multiLevelType w:val="multilevel"/>
    <w:tmpl w:val="CBA2BA62"/>
    <w:lvl w:ilvl="0">
      <w:start w:val="1"/>
      <w:numFmt w:val="decimal"/>
      <w:lvlText w:val="%1.0"/>
      <w:lvlJc w:val="left"/>
      <w:pPr>
        <w:tabs>
          <w:tab w:val="num" w:pos="851"/>
        </w:tabs>
        <w:ind w:left="851" w:hanging="851"/>
      </w:pPr>
      <w:rPr>
        <w:rFonts w:ascii="Times New Roman" w:eastAsia="標楷體" w:hAnsi="Times New Roman" w:hint="default"/>
        <w:b/>
        <w:i w:val="0"/>
        <w:sz w:val="24"/>
      </w:rPr>
    </w:lvl>
    <w:lvl w:ilvl="1">
      <w:start w:val="1"/>
      <w:numFmt w:val="decimal"/>
      <w:pStyle w:val="HSR2"/>
      <w:lvlText w:val="%1.%2"/>
      <w:lvlJc w:val="left"/>
      <w:pPr>
        <w:tabs>
          <w:tab w:val="num" w:pos="851"/>
        </w:tabs>
        <w:ind w:left="851" w:hanging="851"/>
      </w:pPr>
      <w:rPr>
        <w:rFonts w:ascii="Times New Roman" w:eastAsia="標楷體" w:hAnsi="Times New Roman" w:hint="default"/>
        <w:b w:val="0"/>
        <w:i w:val="0"/>
        <w:sz w:val="24"/>
      </w:rPr>
    </w:lvl>
    <w:lvl w:ilvl="2">
      <w:start w:val="1"/>
      <w:numFmt w:val="decimal"/>
      <w:lvlText w:val="%1.%2.%3"/>
      <w:lvlJc w:val="left"/>
      <w:pPr>
        <w:tabs>
          <w:tab w:val="num" w:pos="851"/>
        </w:tabs>
        <w:ind w:left="851" w:hanging="851"/>
      </w:pPr>
      <w:rPr>
        <w:rFonts w:ascii="Times New Roman" w:eastAsia="標楷體" w:hAnsi="Times New Roman" w:hint="default"/>
        <w:b w:val="0"/>
        <w:i w:val="0"/>
        <w:sz w:val="24"/>
      </w:rPr>
    </w:lvl>
    <w:lvl w:ilvl="3">
      <w:start w:val="1"/>
      <w:numFmt w:val="decimal"/>
      <w:lvlText w:val="%1.%2.%3.%4"/>
      <w:lvlJc w:val="left"/>
      <w:pPr>
        <w:tabs>
          <w:tab w:val="num" w:pos="851"/>
        </w:tabs>
        <w:ind w:left="851" w:hanging="851"/>
      </w:pPr>
      <w:rPr>
        <w:rFonts w:ascii="Times New Roman" w:eastAsia="標楷體" w:hAnsi="Times New Roman" w:hint="default"/>
        <w:b w:val="0"/>
        <w:i w:val="0"/>
        <w:color w:val="auto"/>
        <w:sz w:val="24"/>
      </w:rPr>
    </w:lvl>
    <w:lvl w:ilvl="4">
      <w:start w:val="1"/>
      <w:numFmt w:val="lowerLetter"/>
      <w:lvlText w:val="%5)"/>
      <w:lvlJc w:val="left"/>
      <w:pPr>
        <w:tabs>
          <w:tab w:val="num" w:pos="1276"/>
        </w:tabs>
        <w:ind w:left="1276" w:hanging="425"/>
      </w:pPr>
      <w:rPr>
        <w:rFonts w:ascii="Times New Roman" w:eastAsia="標楷體" w:hAnsi="Times New Roman" w:hint="default"/>
        <w:b w:val="0"/>
        <w:i w:val="0"/>
        <w:color w:val="auto"/>
        <w:sz w:val="24"/>
      </w:rPr>
    </w:lvl>
    <w:lvl w:ilvl="5">
      <w:start w:val="1"/>
      <w:numFmt w:val="lowerRoman"/>
      <w:lvlText w:val="%6)"/>
      <w:lvlJc w:val="left"/>
      <w:pPr>
        <w:tabs>
          <w:tab w:val="num" w:pos="1985"/>
        </w:tabs>
        <w:ind w:left="1985" w:hanging="709"/>
      </w:pPr>
      <w:rPr>
        <w:rFonts w:hint="default"/>
        <w:b w:val="0"/>
        <w:i w:val="0"/>
        <w:sz w:val="24"/>
      </w:rPr>
    </w:lvl>
    <w:lvl w:ilvl="6">
      <w:start w:val="1"/>
      <w:numFmt w:val="decimal"/>
      <w:lvlText w:val="(%7)"/>
      <w:lvlJc w:val="left"/>
      <w:pPr>
        <w:tabs>
          <w:tab w:val="num" w:pos="2410"/>
        </w:tabs>
        <w:ind w:left="2410" w:hanging="425"/>
      </w:pPr>
      <w:rPr>
        <w:rFonts w:ascii="Times New Roman" w:eastAsia="標楷體" w:hAnsi="Times New Roman" w:hint="default"/>
      </w:rPr>
    </w:lvl>
    <w:lvl w:ilvl="7">
      <w:start w:val="1"/>
      <w:numFmt w:val="bullet"/>
      <w:lvlText w:val=""/>
      <w:lvlJc w:val="left"/>
      <w:pPr>
        <w:tabs>
          <w:tab w:val="num" w:pos="2835"/>
        </w:tabs>
        <w:ind w:left="2835" w:hanging="425"/>
      </w:pPr>
      <w:rPr>
        <w:rFonts w:ascii="Symbol" w:hAnsi="Symbol" w:hint="default"/>
        <w:color w:val="auto"/>
      </w:rPr>
    </w:lvl>
    <w:lvl w:ilvl="8">
      <w:start w:val="1"/>
      <w:numFmt w:val="none"/>
      <w:lvlText w:val=""/>
      <w:lvlJc w:val="left"/>
      <w:pPr>
        <w:tabs>
          <w:tab w:val="num" w:pos="2770"/>
        </w:tabs>
        <w:ind w:left="2410" w:firstLine="0"/>
      </w:pPr>
      <w:rPr>
        <w:rFonts w:ascii="Wingdings" w:hAnsi="Wingdings" w:hint="default"/>
      </w:rPr>
    </w:lvl>
  </w:abstractNum>
  <w:abstractNum w:abstractNumId="8">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nsid w:val="1F27476D"/>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0D76CD9"/>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3294DD3"/>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5C54C34"/>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3FA5CE1"/>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4F16675"/>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C2C533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C2D7CA9"/>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EAC4143"/>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378355E"/>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43A3E78"/>
    <w:multiLevelType w:val="hybridMultilevel"/>
    <w:tmpl w:val="9C3E6A8C"/>
    <w:lvl w:ilvl="0" w:tplc="151ADC78">
      <w:start w:val="1"/>
      <w:numFmt w:val="bullet"/>
      <w:lvlText w:val="–"/>
      <w:lvlJc w:val="left"/>
      <w:pPr>
        <w:tabs>
          <w:tab w:val="num" w:pos="720"/>
        </w:tabs>
        <w:ind w:left="720" w:hanging="360"/>
      </w:pPr>
      <w:rPr>
        <w:rFonts w:ascii="新細明體" w:hAnsi="新細明體" w:hint="default"/>
      </w:rPr>
    </w:lvl>
    <w:lvl w:ilvl="1" w:tplc="A90CB8DE">
      <w:start w:val="1"/>
      <w:numFmt w:val="bullet"/>
      <w:lvlText w:val="–"/>
      <w:lvlJc w:val="left"/>
      <w:pPr>
        <w:tabs>
          <w:tab w:val="num" w:pos="1440"/>
        </w:tabs>
        <w:ind w:left="1440" w:hanging="360"/>
      </w:pPr>
      <w:rPr>
        <w:rFonts w:ascii="新細明體" w:hAnsi="新細明體" w:hint="default"/>
      </w:rPr>
    </w:lvl>
    <w:lvl w:ilvl="2" w:tplc="9252C826" w:tentative="1">
      <w:start w:val="1"/>
      <w:numFmt w:val="bullet"/>
      <w:lvlText w:val="–"/>
      <w:lvlJc w:val="left"/>
      <w:pPr>
        <w:tabs>
          <w:tab w:val="num" w:pos="2160"/>
        </w:tabs>
        <w:ind w:left="2160" w:hanging="360"/>
      </w:pPr>
      <w:rPr>
        <w:rFonts w:ascii="新細明體" w:hAnsi="新細明體" w:hint="default"/>
      </w:rPr>
    </w:lvl>
    <w:lvl w:ilvl="3" w:tplc="D5F84D96" w:tentative="1">
      <w:start w:val="1"/>
      <w:numFmt w:val="bullet"/>
      <w:lvlText w:val="–"/>
      <w:lvlJc w:val="left"/>
      <w:pPr>
        <w:tabs>
          <w:tab w:val="num" w:pos="2880"/>
        </w:tabs>
        <w:ind w:left="2880" w:hanging="360"/>
      </w:pPr>
      <w:rPr>
        <w:rFonts w:ascii="新細明體" w:hAnsi="新細明體" w:hint="default"/>
      </w:rPr>
    </w:lvl>
    <w:lvl w:ilvl="4" w:tplc="D7E636CA" w:tentative="1">
      <w:start w:val="1"/>
      <w:numFmt w:val="bullet"/>
      <w:lvlText w:val="–"/>
      <w:lvlJc w:val="left"/>
      <w:pPr>
        <w:tabs>
          <w:tab w:val="num" w:pos="3600"/>
        </w:tabs>
        <w:ind w:left="3600" w:hanging="360"/>
      </w:pPr>
      <w:rPr>
        <w:rFonts w:ascii="新細明體" w:hAnsi="新細明體" w:hint="default"/>
      </w:rPr>
    </w:lvl>
    <w:lvl w:ilvl="5" w:tplc="4C32AF84" w:tentative="1">
      <w:start w:val="1"/>
      <w:numFmt w:val="bullet"/>
      <w:lvlText w:val="–"/>
      <w:lvlJc w:val="left"/>
      <w:pPr>
        <w:tabs>
          <w:tab w:val="num" w:pos="4320"/>
        </w:tabs>
        <w:ind w:left="4320" w:hanging="360"/>
      </w:pPr>
      <w:rPr>
        <w:rFonts w:ascii="新細明體" w:hAnsi="新細明體" w:hint="default"/>
      </w:rPr>
    </w:lvl>
    <w:lvl w:ilvl="6" w:tplc="E06ACE58" w:tentative="1">
      <w:start w:val="1"/>
      <w:numFmt w:val="bullet"/>
      <w:lvlText w:val="–"/>
      <w:lvlJc w:val="left"/>
      <w:pPr>
        <w:tabs>
          <w:tab w:val="num" w:pos="5040"/>
        </w:tabs>
        <w:ind w:left="5040" w:hanging="360"/>
      </w:pPr>
      <w:rPr>
        <w:rFonts w:ascii="新細明體" w:hAnsi="新細明體" w:hint="default"/>
      </w:rPr>
    </w:lvl>
    <w:lvl w:ilvl="7" w:tplc="C42410B6" w:tentative="1">
      <w:start w:val="1"/>
      <w:numFmt w:val="bullet"/>
      <w:lvlText w:val="–"/>
      <w:lvlJc w:val="left"/>
      <w:pPr>
        <w:tabs>
          <w:tab w:val="num" w:pos="5760"/>
        </w:tabs>
        <w:ind w:left="5760" w:hanging="360"/>
      </w:pPr>
      <w:rPr>
        <w:rFonts w:ascii="新細明體" w:hAnsi="新細明體" w:hint="default"/>
      </w:rPr>
    </w:lvl>
    <w:lvl w:ilvl="8" w:tplc="9742608E" w:tentative="1">
      <w:start w:val="1"/>
      <w:numFmt w:val="bullet"/>
      <w:lvlText w:val="–"/>
      <w:lvlJc w:val="left"/>
      <w:pPr>
        <w:tabs>
          <w:tab w:val="num" w:pos="6480"/>
        </w:tabs>
        <w:ind w:left="6480" w:hanging="360"/>
      </w:pPr>
      <w:rPr>
        <w:rFonts w:ascii="新細明體" w:hAnsi="新細明體" w:hint="default"/>
      </w:rPr>
    </w:lvl>
  </w:abstractNum>
  <w:abstractNum w:abstractNumId="22">
    <w:nsid w:val="644C773B"/>
    <w:multiLevelType w:val="hybridMultilevel"/>
    <w:tmpl w:val="E88E283C"/>
    <w:lvl w:ilvl="0" w:tplc="037C0C2E">
      <w:start w:val="1"/>
      <w:numFmt w:val="bullet"/>
      <w:lvlText w:val="•"/>
      <w:lvlJc w:val="left"/>
      <w:pPr>
        <w:tabs>
          <w:tab w:val="num" w:pos="720"/>
        </w:tabs>
        <w:ind w:left="720" w:hanging="360"/>
      </w:pPr>
      <w:rPr>
        <w:rFonts w:ascii="新細明體" w:hAnsi="新細明體" w:hint="default"/>
      </w:rPr>
    </w:lvl>
    <w:lvl w:ilvl="1" w:tplc="80302E48" w:tentative="1">
      <w:start w:val="1"/>
      <w:numFmt w:val="bullet"/>
      <w:lvlText w:val="•"/>
      <w:lvlJc w:val="left"/>
      <w:pPr>
        <w:tabs>
          <w:tab w:val="num" w:pos="1440"/>
        </w:tabs>
        <w:ind w:left="1440" w:hanging="360"/>
      </w:pPr>
      <w:rPr>
        <w:rFonts w:ascii="新細明體" w:hAnsi="新細明體" w:hint="default"/>
      </w:rPr>
    </w:lvl>
    <w:lvl w:ilvl="2" w:tplc="D63C5D06" w:tentative="1">
      <w:start w:val="1"/>
      <w:numFmt w:val="bullet"/>
      <w:lvlText w:val="•"/>
      <w:lvlJc w:val="left"/>
      <w:pPr>
        <w:tabs>
          <w:tab w:val="num" w:pos="2160"/>
        </w:tabs>
        <w:ind w:left="2160" w:hanging="360"/>
      </w:pPr>
      <w:rPr>
        <w:rFonts w:ascii="新細明體" w:hAnsi="新細明體" w:hint="default"/>
      </w:rPr>
    </w:lvl>
    <w:lvl w:ilvl="3" w:tplc="11B6E3F8" w:tentative="1">
      <w:start w:val="1"/>
      <w:numFmt w:val="bullet"/>
      <w:lvlText w:val="•"/>
      <w:lvlJc w:val="left"/>
      <w:pPr>
        <w:tabs>
          <w:tab w:val="num" w:pos="2880"/>
        </w:tabs>
        <w:ind w:left="2880" w:hanging="360"/>
      </w:pPr>
      <w:rPr>
        <w:rFonts w:ascii="新細明體" w:hAnsi="新細明體" w:hint="default"/>
      </w:rPr>
    </w:lvl>
    <w:lvl w:ilvl="4" w:tplc="28325D52" w:tentative="1">
      <w:start w:val="1"/>
      <w:numFmt w:val="bullet"/>
      <w:lvlText w:val="•"/>
      <w:lvlJc w:val="left"/>
      <w:pPr>
        <w:tabs>
          <w:tab w:val="num" w:pos="3600"/>
        </w:tabs>
        <w:ind w:left="3600" w:hanging="360"/>
      </w:pPr>
      <w:rPr>
        <w:rFonts w:ascii="新細明體" w:hAnsi="新細明體" w:hint="default"/>
      </w:rPr>
    </w:lvl>
    <w:lvl w:ilvl="5" w:tplc="959C00B8" w:tentative="1">
      <w:start w:val="1"/>
      <w:numFmt w:val="bullet"/>
      <w:lvlText w:val="•"/>
      <w:lvlJc w:val="left"/>
      <w:pPr>
        <w:tabs>
          <w:tab w:val="num" w:pos="4320"/>
        </w:tabs>
        <w:ind w:left="4320" w:hanging="360"/>
      </w:pPr>
      <w:rPr>
        <w:rFonts w:ascii="新細明體" w:hAnsi="新細明體" w:hint="default"/>
      </w:rPr>
    </w:lvl>
    <w:lvl w:ilvl="6" w:tplc="CE88D684" w:tentative="1">
      <w:start w:val="1"/>
      <w:numFmt w:val="bullet"/>
      <w:lvlText w:val="•"/>
      <w:lvlJc w:val="left"/>
      <w:pPr>
        <w:tabs>
          <w:tab w:val="num" w:pos="5040"/>
        </w:tabs>
        <w:ind w:left="5040" w:hanging="360"/>
      </w:pPr>
      <w:rPr>
        <w:rFonts w:ascii="新細明體" w:hAnsi="新細明體" w:hint="default"/>
      </w:rPr>
    </w:lvl>
    <w:lvl w:ilvl="7" w:tplc="1EF040AC" w:tentative="1">
      <w:start w:val="1"/>
      <w:numFmt w:val="bullet"/>
      <w:lvlText w:val="•"/>
      <w:lvlJc w:val="left"/>
      <w:pPr>
        <w:tabs>
          <w:tab w:val="num" w:pos="5760"/>
        </w:tabs>
        <w:ind w:left="5760" w:hanging="360"/>
      </w:pPr>
      <w:rPr>
        <w:rFonts w:ascii="新細明體" w:hAnsi="新細明體" w:hint="default"/>
      </w:rPr>
    </w:lvl>
    <w:lvl w:ilvl="8" w:tplc="6654437C" w:tentative="1">
      <w:start w:val="1"/>
      <w:numFmt w:val="bullet"/>
      <w:lvlText w:val="•"/>
      <w:lvlJc w:val="left"/>
      <w:pPr>
        <w:tabs>
          <w:tab w:val="num" w:pos="6480"/>
        </w:tabs>
        <w:ind w:left="6480" w:hanging="360"/>
      </w:pPr>
      <w:rPr>
        <w:rFonts w:ascii="新細明體" w:hAnsi="新細明體" w:hint="default"/>
      </w:rPr>
    </w:lvl>
  </w:abstractNum>
  <w:abstractNum w:abstractNumId="23">
    <w:nsid w:val="65BC24F2"/>
    <w:multiLevelType w:val="hybridMultilevel"/>
    <w:tmpl w:val="538469A4"/>
    <w:lvl w:ilvl="0" w:tplc="397CA9BC">
      <w:start w:val="1"/>
      <w:numFmt w:val="bullet"/>
      <w:lvlText w:val=""/>
      <w:lvlJc w:val="left"/>
      <w:pPr>
        <w:tabs>
          <w:tab w:val="num" w:pos="720"/>
        </w:tabs>
        <w:ind w:left="720" w:hanging="360"/>
      </w:pPr>
      <w:rPr>
        <w:rFonts w:ascii="Wingdings" w:hAnsi="Wingdings" w:hint="default"/>
      </w:rPr>
    </w:lvl>
    <w:lvl w:ilvl="1" w:tplc="3C2CB7D6" w:tentative="1">
      <w:start w:val="1"/>
      <w:numFmt w:val="bullet"/>
      <w:lvlText w:val=""/>
      <w:lvlJc w:val="left"/>
      <w:pPr>
        <w:tabs>
          <w:tab w:val="num" w:pos="1440"/>
        </w:tabs>
        <w:ind w:left="1440" w:hanging="360"/>
      </w:pPr>
      <w:rPr>
        <w:rFonts w:ascii="Wingdings" w:hAnsi="Wingdings" w:hint="default"/>
      </w:rPr>
    </w:lvl>
    <w:lvl w:ilvl="2" w:tplc="3544FA2A" w:tentative="1">
      <w:start w:val="1"/>
      <w:numFmt w:val="bullet"/>
      <w:lvlText w:val=""/>
      <w:lvlJc w:val="left"/>
      <w:pPr>
        <w:tabs>
          <w:tab w:val="num" w:pos="2160"/>
        </w:tabs>
        <w:ind w:left="2160" w:hanging="360"/>
      </w:pPr>
      <w:rPr>
        <w:rFonts w:ascii="Wingdings" w:hAnsi="Wingdings" w:hint="default"/>
      </w:rPr>
    </w:lvl>
    <w:lvl w:ilvl="3" w:tplc="CCC63C78" w:tentative="1">
      <w:start w:val="1"/>
      <w:numFmt w:val="bullet"/>
      <w:lvlText w:val=""/>
      <w:lvlJc w:val="left"/>
      <w:pPr>
        <w:tabs>
          <w:tab w:val="num" w:pos="2880"/>
        </w:tabs>
        <w:ind w:left="2880" w:hanging="360"/>
      </w:pPr>
      <w:rPr>
        <w:rFonts w:ascii="Wingdings" w:hAnsi="Wingdings" w:hint="default"/>
      </w:rPr>
    </w:lvl>
    <w:lvl w:ilvl="4" w:tplc="4B9625C2" w:tentative="1">
      <w:start w:val="1"/>
      <w:numFmt w:val="bullet"/>
      <w:lvlText w:val=""/>
      <w:lvlJc w:val="left"/>
      <w:pPr>
        <w:tabs>
          <w:tab w:val="num" w:pos="3600"/>
        </w:tabs>
        <w:ind w:left="3600" w:hanging="360"/>
      </w:pPr>
      <w:rPr>
        <w:rFonts w:ascii="Wingdings" w:hAnsi="Wingdings" w:hint="default"/>
      </w:rPr>
    </w:lvl>
    <w:lvl w:ilvl="5" w:tplc="FA7AC96C" w:tentative="1">
      <w:start w:val="1"/>
      <w:numFmt w:val="bullet"/>
      <w:lvlText w:val=""/>
      <w:lvlJc w:val="left"/>
      <w:pPr>
        <w:tabs>
          <w:tab w:val="num" w:pos="4320"/>
        </w:tabs>
        <w:ind w:left="4320" w:hanging="360"/>
      </w:pPr>
      <w:rPr>
        <w:rFonts w:ascii="Wingdings" w:hAnsi="Wingdings" w:hint="default"/>
      </w:rPr>
    </w:lvl>
    <w:lvl w:ilvl="6" w:tplc="D77A0814" w:tentative="1">
      <w:start w:val="1"/>
      <w:numFmt w:val="bullet"/>
      <w:lvlText w:val=""/>
      <w:lvlJc w:val="left"/>
      <w:pPr>
        <w:tabs>
          <w:tab w:val="num" w:pos="5040"/>
        </w:tabs>
        <w:ind w:left="5040" w:hanging="360"/>
      </w:pPr>
      <w:rPr>
        <w:rFonts w:ascii="Wingdings" w:hAnsi="Wingdings" w:hint="default"/>
      </w:rPr>
    </w:lvl>
    <w:lvl w:ilvl="7" w:tplc="67B4C61A" w:tentative="1">
      <w:start w:val="1"/>
      <w:numFmt w:val="bullet"/>
      <w:lvlText w:val=""/>
      <w:lvlJc w:val="left"/>
      <w:pPr>
        <w:tabs>
          <w:tab w:val="num" w:pos="5760"/>
        </w:tabs>
        <w:ind w:left="5760" w:hanging="360"/>
      </w:pPr>
      <w:rPr>
        <w:rFonts w:ascii="Wingdings" w:hAnsi="Wingdings" w:hint="default"/>
      </w:rPr>
    </w:lvl>
    <w:lvl w:ilvl="8" w:tplc="6C3A70D0" w:tentative="1">
      <w:start w:val="1"/>
      <w:numFmt w:val="bullet"/>
      <w:lvlText w:val=""/>
      <w:lvlJc w:val="left"/>
      <w:pPr>
        <w:tabs>
          <w:tab w:val="num" w:pos="6480"/>
        </w:tabs>
        <w:ind w:left="6480" w:hanging="360"/>
      </w:pPr>
      <w:rPr>
        <w:rFonts w:ascii="Wingdings" w:hAnsi="Wingdings" w:hint="default"/>
      </w:rPr>
    </w:lvl>
  </w:abstractNum>
  <w:abstractNum w:abstractNumId="24">
    <w:nsid w:val="735D7DE6"/>
    <w:multiLevelType w:val="hybridMultilevel"/>
    <w:tmpl w:val="5470DC0A"/>
    <w:lvl w:ilvl="0" w:tplc="05B8A116">
      <w:start w:val="1"/>
      <w:numFmt w:val="bullet"/>
      <w:lvlText w:val="•"/>
      <w:lvlJc w:val="left"/>
      <w:pPr>
        <w:tabs>
          <w:tab w:val="num" w:pos="720"/>
        </w:tabs>
        <w:ind w:left="720" w:hanging="360"/>
      </w:pPr>
      <w:rPr>
        <w:rFonts w:ascii="新細明體" w:hAnsi="新細明體" w:hint="default"/>
      </w:rPr>
    </w:lvl>
    <w:lvl w:ilvl="1" w:tplc="6208427C" w:tentative="1">
      <w:start w:val="1"/>
      <w:numFmt w:val="bullet"/>
      <w:lvlText w:val="•"/>
      <w:lvlJc w:val="left"/>
      <w:pPr>
        <w:tabs>
          <w:tab w:val="num" w:pos="1440"/>
        </w:tabs>
        <w:ind w:left="1440" w:hanging="360"/>
      </w:pPr>
      <w:rPr>
        <w:rFonts w:ascii="新細明體" w:hAnsi="新細明體" w:hint="default"/>
      </w:rPr>
    </w:lvl>
    <w:lvl w:ilvl="2" w:tplc="09D0DEC2" w:tentative="1">
      <w:start w:val="1"/>
      <w:numFmt w:val="bullet"/>
      <w:lvlText w:val="•"/>
      <w:lvlJc w:val="left"/>
      <w:pPr>
        <w:tabs>
          <w:tab w:val="num" w:pos="2160"/>
        </w:tabs>
        <w:ind w:left="2160" w:hanging="360"/>
      </w:pPr>
      <w:rPr>
        <w:rFonts w:ascii="新細明體" w:hAnsi="新細明體" w:hint="default"/>
      </w:rPr>
    </w:lvl>
    <w:lvl w:ilvl="3" w:tplc="4148FBB0" w:tentative="1">
      <w:start w:val="1"/>
      <w:numFmt w:val="bullet"/>
      <w:lvlText w:val="•"/>
      <w:lvlJc w:val="left"/>
      <w:pPr>
        <w:tabs>
          <w:tab w:val="num" w:pos="2880"/>
        </w:tabs>
        <w:ind w:left="2880" w:hanging="360"/>
      </w:pPr>
      <w:rPr>
        <w:rFonts w:ascii="新細明體" w:hAnsi="新細明體" w:hint="default"/>
      </w:rPr>
    </w:lvl>
    <w:lvl w:ilvl="4" w:tplc="2CCABE54" w:tentative="1">
      <w:start w:val="1"/>
      <w:numFmt w:val="bullet"/>
      <w:lvlText w:val="•"/>
      <w:lvlJc w:val="left"/>
      <w:pPr>
        <w:tabs>
          <w:tab w:val="num" w:pos="3600"/>
        </w:tabs>
        <w:ind w:left="3600" w:hanging="360"/>
      </w:pPr>
      <w:rPr>
        <w:rFonts w:ascii="新細明體" w:hAnsi="新細明體" w:hint="default"/>
      </w:rPr>
    </w:lvl>
    <w:lvl w:ilvl="5" w:tplc="2CDC641E" w:tentative="1">
      <w:start w:val="1"/>
      <w:numFmt w:val="bullet"/>
      <w:lvlText w:val="•"/>
      <w:lvlJc w:val="left"/>
      <w:pPr>
        <w:tabs>
          <w:tab w:val="num" w:pos="4320"/>
        </w:tabs>
        <w:ind w:left="4320" w:hanging="360"/>
      </w:pPr>
      <w:rPr>
        <w:rFonts w:ascii="新細明體" w:hAnsi="新細明體" w:hint="default"/>
      </w:rPr>
    </w:lvl>
    <w:lvl w:ilvl="6" w:tplc="2C38C21E" w:tentative="1">
      <w:start w:val="1"/>
      <w:numFmt w:val="bullet"/>
      <w:lvlText w:val="•"/>
      <w:lvlJc w:val="left"/>
      <w:pPr>
        <w:tabs>
          <w:tab w:val="num" w:pos="5040"/>
        </w:tabs>
        <w:ind w:left="5040" w:hanging="360"/>
      </w:pPr>
      <w:rPr>
        <w:rFonts w:ascii="新細明體" w:hAnsi="新細明體" w:hint="default"/>
      </w:rPr>
    </w:lvl>
    <w:lvl w:ilvl="7" w:tplc="B2D40B6A" w:tentative="1">
      <w:start w:val="1"/>
      <w:numFmt w:val="bullet"/>
      <w:lvlText w:val="•"/>
      <w:lvlJc w:val="left"/>
      <w:pPr>
        <w:tabs>
          <w:tab w:val="num" w:pos="5760"/>
        </w:tabs>
        <w:ind w:left="5760" w:hanging="360"/>
      </w:pPr>
      <w:rPr>
        <w:rFonts w:ascii="新細明體" w:hAnsi="新細明體" w:hint="default"/>
      </w:rPr>
    </w:lvl>
    <w:lvl w:ilvl="8" w:tplc="3D540F10" w:tentative="1">
      <w:start w:val="1"/>
      <w:numFmt w:val="bullet"/>
      <w:lvlText w:val="•"/>
      <w:lvlJc w:val="left"/>
      <w:pPr>
        <w:tabs>
          <w:tab w:val="num" w:pos="6480"/>
        </w:tabs>
        <w:ind w:left="6480" w:hanging="360"/>
      </w:pPr>
      <w:rPr>
        <w:rFonts w:ascii="新細明體" w:hAnsi="新細明體" w:hint="default"/>
      </w:rPr>
    </w:lvl>
  </w:abstractNum>
  <w:abstractNum w:abstractNumId="25">
    <w:nsid w:val="74104F62"/>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64C22EC"/>
    <w:multiLevelType w:val="hybridMultilevel"/>
    <w:tmpl w:val="5CB4C22E"/>
    <w:lvl w:ilvl="0" w:tplc="0DF610CC">
      <w:start w:val="1"/>
      <w:numFmt w:val="decimal"/>
      <w:lvlText w:val="%1."/>
      <w:lvlJc w:val="left"/>
      <w:pPr>
        <w:tabs>
          <w:tab w:val="num" w:pos="1700"/>
        </w:tabs>
        <w:ind w:left="1700" w:hanging="720"/>
      </w:pPr>
      <w:rPr>
        <w:rFonts w:hint="eastAsia"/>
        <w:caps w:val="0"/>
        <w:strike w:val="0"/>
        <w:dstrike w:val="0"/>
        <w:shadow w:val="0"/>
        <w:emboss w:val="0"/>
        <w:imprint w:val="0"/>
        <w:vanish w:val="0"/>
        <w:sz w:val="28"/>
        <w:vertAlign w:val="baseline"/>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27">
    <w:nsid w:val="76CF311C"/>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3"/>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23"/>
  </w:num>
  <w:num w:numId="10">
    <w:abstractNumId w:val="2"/>
  </w:num>
  <w:num w:numId="11">
    <w:abstractNumId w:val="7"/>
  </w:num>
  <w:num w:numId="12">
    <w:abstractNumId w:val="5"/>
  </w:num>
  <w:num w:numId="13">
    <w:abstractNumId w:val="16"/>
  </w:num>
  <w:num w:numId="14">
    <w:abstractNumId w:val="17"/>
  </w:num>
  <w:num w:numId="15">
    <w:abstractNumId w:val="27"/>
  </w:num>
  <w:num w:numId="16">
    <w:abstractNumId w:val="19"/>
  </w:num>
  <w:num w:numId="17">
    <w:abstractNumId w:val="11"/>
  </w:num>
  <w:num w:numId="18">
    <w:abstractNumId w:val="25"/>
  </w:num>
  <w:num w:numId="19">
    <w:abstractNumId w:val="1"/>
  </w:num>
  <w:num w:numId="20">
    <w:abstractNumId w:val="26"/>
  </w:num>
  <w:num w:numId="21">
    <w:abstractNumId w:val="21"/>
  </w:num>
  <w:num w:numId="22">
    <w:abstractNumId w:val="24"/>
  </w:num>
  <w:num w:numId="23">
    <w:abstractNumId w:val="22"/>
  </w:num>
  <w:num w:numId="24">
    <w:abstractNumId w:val="13"/>
  </w:num>
  <w:num w:numId="25">
    <w:abstractNumId w:val="20"/>
  </w:num>
  <w:num w:numId="26">
    <w:abstractNumId w:val="4"/>
  </w:num>
  <w:num w:numId="27">
    <w:abstractNumId w:val="15"/>
  </w:num>
  <w:num w:numId="28">
    <w:abstractNumId w:val="18"/>
  </w:num>
  <w:num w:numId="29">
    <w:abstractNumId w:val="14"/>
  </w:num>
  <w:num w:numId="30">
    <w:abstractNumId w:val="10"/>
  </w:num>
  <w:num w:numId="31">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587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448C"/>
    <w:rsid w:val="000079A4"/>
    <w:rsid w:val="00011CE0"/>
    <w:rsid w:val="0002643F"/>
    <w:rsid w:val="00027086"/>
    <w:rsid w:val="00031AC5"/>
    <w:rsid w:val="00032356"/>
    <w:rsid w:val="00043701"/>
    <w:rsid w:val="00053AC5"/>
    <w:rsid w:val="00057583"/>
    <w:rsid w:val="000618AF"/>
    <w:rsid w:val="0008246C"/>
    <w:rsid w:val="0008265D"/>
    <w:rsid w:val="00083C9B"/>
    <w:rsid w:val="000846BA"/>
    <w:rsid w:val="000B65C1"/>
    <w:rsid w:val="000C6EF8"/>
    <w:rsid w:val="000D034E"/>
    <w:rsid w:val="000D35BC"/>
    <w:rsid w:val="000E7AE2"/>
    <w:rsid w:val="000F19F2"/>
    <w:rsid w:val="001014D7"/>
    <w:rsid w:val="0011494F"/>
    <w:rsid w:val="001275BE"/>
    <w:rsid w:val="0013345D"/>
    <w:rsid w:val="00134D7B"/>
    <w:rsid w:val="00134E94"/>
    <w:rsid w:val="001539EA"/>
    <w:rsid w:val="00154160"/>
    <w:rsid w:val="00155B70"/>
    <w:rsid w:val="00162DD6"/>
    <w:rsid w:val="00163AC7"/>
    <w:rsid w:val="0016725E"/>
    <w:rsid w:val="00171277"/>
    <w:rsid w:val="00171BE2"/>
    <w:rsid w:val="00171E16"/>
    <w:rsid w:val="00191F16"/>
    <w:rsid w:val="00195EE3"/>
    <w:rsid w:val="0019735E"/>
    <w:rsid w:val="001A246F"/>
    <w:rsid w:val="001B75EE"/>
    <w:rsid w:val="001C72BF"/>
    <w:rsid w:val="001D42B9"/>
    <w:rsid w:val="001D5C89"/>
    <w:rsid w:val="001E7863"/>
    <w:rsid w:val="001F1792"/>
    <w:rsid w:val="001F670F"/>
    <w:rsid w:val="0021052B"/>
    <w:rsid w:val="00215D5A"/>
    <w:rsid w:val="00220C64"/>
    <w:rsid w:val="00224DE0"/>
    <w:rsid w:val="00233027"/>
    <w:rsid w:val="00233ACA"/>
    <w:rsid w:val="00271BE3"/>
    <w:rsid w:val="00276269"/>
    <w:rsid w:val="00277656"/>
    <w:rsid w:val="00283D1A"/>
    <w:rsid w:val="00295C63"/>
    <w:rsid w:val="002A39C7"/>
    <w:rsid w:val="002A5CCB"/>
    <w:rsid w:val="002B3A3D"/>
    <w:rsid w:val="002D0766"/>
    <w:rsid w:val="002E5261"/>
    <w:rsid w:val="003015C1"/>
    <w:rsid w:val="00302E29"/>
    <w:rsid w:val="00303455"/>
    <w:rsid w:val="0033342B"/>
    <w:rsid w:val="00333F1A"/>
    <w:rsid w:val="00337FE3"/>
    <w:rsid w:val="00350F85"/>
    <w:rsid w:val="003552C5"/>
    <w:rsid w:val="00366A47"/>
    <w:rsid w:val="00385967"/>
    <w:rsid w:val="003931D1"/>
    <w:rsid w:val="00393B88"/>
    <w:rsid w:val="003978F1"/>
    <w:rsid w:val="003B3B29"/>
    <w:rsid w:val="003B4B98"/>
    <w:rsid w:val="003C767A"/>
    <w:rsid w:val="003E4550"/>
    <w:rsid w:val="003E7A7D"/>
    <w:rsid w:val="003F46B7"/>
    <w:rsid w:val="00404168"/>
    <w:rsid w:val="004053EB"/>
    <w:rsid w:val="00426E7C"/>
    <w:rsid w:val="0043248C"/>
    <w:rsid w:val="00477498"/>
    <w:rsid w:val="0049102E"/>
    <w:rsid w:val="004952D9"/>
    <w:rsid w:val="004C3C89"/>
    <w:rsid w:val="004D5C25"/>
    <w:rsid w:val="004D5CC5"/>
    <w:rsid w:val="004D613C"/>
    <w:rsid w:val="004F6E49"/>
    <w:rsid w:val="00504C74"/>
    <w:rsid w:val="00514FC4"/>
    <w:rsid w:val="00526B3D"/>
    <w:rsid w:val="00532C48"/>
    <w:rsid w:val="00533C95"/>
    <w:rsid w:val="00536F4F"/>
    <w:rsid w:val="00546734"/>
    <w:rsid w:val="00550ADE"/>
    <w:rsid w:val="00553F69"/>
    <w:rsid w:val="00557134"/>
    <w:rsid w:val="00560A63"/>
    <w:rsid w:val="0056516B"/>
    <w:rsid w:val="005673DB"/>
    <w:rsid w:val="00576B8D"/>
    <w:rsid w:val="0058733B"/>
    <w:rsid w:val="005922CA"/>
    <w:rsid w:val="005A6476"/>
    <w:rsid w:val="005E19DD"/>
    <w:rsid w:val="00600583"/>
    <w:rsid w:val="00613C69"/>
    <w:rsid w:val="00623D8A"/>
    <w:rsid w:val="00624250"/>
    <w:rsid w:val="00637FF4"/>
    <w:rsid w:val="00643639"/>
    <w:rsid w:val="00645A0F"/>
    <w:rsid w:val="00652B0F"/>
    <w:rsid w:val="006605A5"/>
    <w:rsid w:val="00665B1D"/>
    <w:rsid w:val="00680206"/>
    <w:rsid w:val="00683F83"/>
    <w:rsid w:val="006928E2"/>
    <w:rsid w:val="00692EAC"/>
    <w:rsid w:val="00696FAD"/>
    <w:rsid w:val="006B044B"/>
    <w:rsid w:val="006B1988"/>
    <w:rsid w:val="006C1298"/>
    <w:rsid w:val="006E53F5"/>
    <w:rsid w:val="006E59CE"/>
    <w:rsid w:val="006F1DE3"/>
    <w:rsid w:val="006F4607"/>
    <w:rsid w:val="007019A7"/>
    <w:rsid w:val="00710A90"/>
    <w:rsid w:val="00711B51"/>
    <w:rsid w:val="007127CF"/>
    <w:rsid w:val="0071516D"/>
    <w:rsid w:val="00716FC7"/>
    <w:rsid w:val="00724833"/>
    <w:rsid w:val="00725CEC"/>
    <w:rsid w:val="0073019F"/>
    <w:rsid w:val="00734E43"/>
    <w:rsid w:val="00736408"/>
    <w:rsid w:val="007430BA"/>
    <w:rsid w:val="00745C63"/>
    <w:rsid w:val="0075491B"/>
    <w:rsid w:val="007624BD"/>
    <w:rsid w:val="00767A02"/>
    <w:rsid w:val="00770E4E"/>
    <w:rsid w:val="007741BB"/>
    <w:rsid w:val="007809D4"/>
    <w:rsid w:val="0078223F"/>
    <w:rsid w:val="0078372F"/>
    <w:rsid w:val="0078607C"/>
    <w:rsid w:val="00790287"/>
    <w:rsid w:val="00796212"/>
    <w:rsid w:val="007A4A21"/>
    <w:rsid w:val="007B38C2"/>
    <w:rsid w:val="007B4710"/>
    <w:rsid w:val="007C206B"/>
    <w:rsid w:val="007C485F"/>
    <w:rsid w:val="007D7404"/>
    <w:rsid w:val="007F48C3"/>
    <w:rsid w:val="008067BA"/>
    <w:rsid w:val="00821392"/>
    <w:rsid w:val="008222B1"/>
    <w:rsid w:val="00826FB5"/>
    <w:rsid w:val="00831B41"/>
    <w:rsid w:val="00851745"/>
    <w:rsid w:val="00852A32"/>
    <w:rsid w:val="00877E11"/>
    <w:rsid w:val="00880F16"/>
    <w:rsid w:val="008919E3"/>
    <w:rsid w:val="0089320F"/>
    <w:rsid w:val="008972AA"/>
    <w:rsid w:val="008A4910"/>
    <w:rsid w:val="008B2737"/>
    <w:rsid w:val="008C791F"/>
    <w:rsid w:val="008D687C"/>
    <w:rsid w:val="008F7350"/>
    <w:rsid w:val="008F7BC3"/>
    <w:rsid w:val="009116E1"/>
    <w:rsid w:val="00914210"/>
    <w:rsid w:val="00914453"/>
    <w:rsid w:val="00922E5B"/>
    <w:rsid w:val="00924A8B"/>
    <w:rsid w:val="009310D7"/>
    <w:rsid w:val="009354F1"/>
    <w:rsid w:val="009377BE"/>
    <w:rsid w:val="00952310"/>
    <w:rsid w:val="00967E4F"/>
    <w:rsid w:val="009778A7"/>
    <w:rsid w:val="00994DC6"/>
    <w:rsid w:val="009A4BE0"/>
    <w:rsid w:val="009A5248"/>
    <w:rsid w:val="009A57DA"/>
    <w:rsid w:val="009A6B97"/>
    <w:rsid w:val="009C17E5"/>
    <w:rsid w:val="009C4CCE"/>
    <w:rsid w:val="009D1F93"/>
    <w:rsid w:val="009E2334"/>
    <w:rsid w:val="009F6C96"/>
    <w:rsid w:val="00A06B11"/>
    <w:rsid w:val="00A10E62"/>
    <w:rsid w:val="00A1504A"/>
    <w:rsid w:val="00A207AB"/>
    <w:rsid w:val="00A35D6C"/>
    <w:rsid w:val="00A3609B"/>
    <w:rsid w:val="00A445A0"/>
    <w:rsid w:val="00A5267F"/>
    <w:rsid w:val="00A91E37"/>
    <w:rsid w:val="00A9287E"/>
    <w:rsid w:val="00AA10EF"/>
    <w:rsid w:val="00AB0903"/>
    <w:rsid w:val="00AC09C7"/>
    <w:rsid w:val="00AD0491"/>
    <w:rsid w:val="00AD103B"/>
    <w:rsid w:val="00AE1A87"/>
    <w:rsid w:val="00AF7F00"/>
    <w:rsid w:val="00B25A17"/>
    <w:rsid w:val="00B30155"/>
    <w:rsid w:val="00B34457"/>
    <w:rsid w:val="00B47230"/>
    <w:rsid w:val="00B47299"/>
    <w:rsid w:val="00B557B0"/>
    <w:rsid w:val="00B5792D"/>
    <w:rsid w:val="00B65A44"/>
    <w:rsid w:val="00B7432C"/>
    <w:rsid w:val="00B85955"/>
    <w:rsid w:val="00B96E55"/>
    <w:rsid w:val="00BA30C8"/>
    <w:rsid w:val="00BA340E"/>
    <w:rsid w:val="00BA5355"/>
    <w:rsid w:val="00BC6267"/>
    <w:rsid w:val="00BE08FE"/>
    <w:rsid w:val="00BF4583"/>
    <w:rsid w:val="00C0298D"/>
    <w:rsid w:val="00C115E5"/>
    <w:rsid w:val="00C11A0D"/>
    <w:rsid w:val="00C352F9"/>
    <w:rsid w:val="00C44794"/>
    <w:rsid w:val="00C574DB"/>
    <w:rsid w:val="00C61DDD"/>
    <w:rsid w:val="00C6240E"/>
    <w:rsid w:val="00C6618D"/>
    <w:rsid w:val="00C67B96"/>
    <w:rsid w:val="00C75AE4"/>
    <w:rsid w:val="00C828FF"/>
    <w:rsid w:val="00C915E8"/>
    <w:rsid w:val="00C95301"/>
    <w:rsid w:val="00CA0F62"/>
    <w:rsid w:val="00CA3E46"/>
    <w:rsid w:val="00CB17C4"/>
    <w:rsid w:val="00CC07E1"/>
    <w:rsid w:val="00CE2053"/>
    <w:rsid w:val="00CE4DF2"/>
    <w:rsid w:val="00D00C28"/>
    <w:rsid w:val="00D01AD2"/>
    <w:rsid w:val="00D04FD8"/>
    <w:rsid w:val="00D15015"/>
    <w:rsid w:val="00D34F6E"/>
    <w:rsid w:val="00D452CE"/>
    <w:rsid w:val="00D45508"/>
    <w:rsid w:val="00D46CC3"/>
    <w:rsid w:val="00D500B8"/>
    <w:rsid w:val="00D749D8"/>
    <w:rsid w:val="00D76874"/>
    <w:rsid w:val="00D96D80"/>
    <w:rsid w:val="00DB5439"/>
    <w:rsid w:val="00DB7222"/>
    <w:rsid w:val="00DC2BF1"/>
    <w:rsid w:val="00DD08B4"/>
    <w:rsid w:val="00DE5245"/>
    <w:rsid w:val="00DE71D8"/>
    <w:rsid w:val="00E07A39"/>
    <w:rsid w:val="00E20938"/>
    <w:rsid w:val="00E410BD"/>
    <w:rsid w:val="00E44FDE"/>
    <w:rsid w:val="00E51B85"/>
    <w:rsid w:val="00E74F4F"/>
    <w:rsid w:val="00E851C5"/>
    <w:rsid w:val="00E90848"/>
    <w:rsid w:val="00EB548C"/>
    <w:rsid w:val="00EE0A82"/>
    <w:rsid w:val="00EE618D"/>
    <w:rsid w:val="00EE630F"/>
    <w:rsid w:val="00EF4312"/>
    <w:rsid w:val="00EF444E"/>
    <w:rsid w:val="00EF615B"/>
    <w:rsid w:val="00F1614F"/>
    <w:rsid w:val="00F20E45"/>
    <w:rsid w:val="00F23B72"/>
    <w:rsid w:val="00F50630"/>
    <w:rsid w:val="00F52A42"/>
    <w:rsid w:val="00F542F8"/>
    <w:rsid w:val="00F619E6"/>
    <w:rsid w:val="00F62A42"/>
    <w:rsid w:val="00F65E68"/>
    <w:rsid w:val="00F6698B"/>
    <w:rsid w:val="00F74708"/>
    <w:rsid w:val="00F812AA"/>
    <w:rsid w:val="00F82FA0"/>
    <w:rsid w:val="00FB15E9"/>
    <w:rsid w:val="00FB194E"/>
    <w:rsid w:val="00FB3840"/>
    <w:rsid w:val="00FC57BD"/>
    <w:rsid w:val="00FD0321"/>
    <w:rsid w:val="00FD431B"/>
    <w:rsid w:val="00FD791F"/>
    <w:rsid w:val="00FF3C17"/>
    <w:rsid w:val="00FF644E"/>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qFormat/>
    <w:rsid w:val="008A4910"/>
    <w:pPr>
      <w:numPr>
        <w:numId w:val="1"/>
      </w:numPr>
      <w:kinsoku w:val="0"/>
      <w:jc w:val="both"/>
      <w:outlineLvl w:val="0"/>
    </w:pPr>
    <w:rPr>
      <w:rFonts w:ascii="標楷體" w:hAnsi="Arial"/>
      <w:bCs/>
      <w:kern w:val="0"/>
      <w:szCs w:val="52"/>
    </w:rPr>
  </w:style>
  <w:style w:type="paragraph" w:styleId="2">
    <w:name w:val="heading 2"/>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4">
    <w:name w:val="footnote text"/>
    <w:basedOn w:val="a2"/>
    <w:link w:val="af5"/>
    <w:uiPriority w:val="99"/>
    <w:unhideWhenUsed/>
    <w:rsid w:val="002E5261"/>
    <w:pPr>
      <w:snapToGrid w:val="0"/>
    </w:pPr>
    <w:rPr>
      <w:sz w:val="20"/>
    </w:rPr>
  </w:style>
  <w:style w:type="character" w:customStyle="1" w:styleId="af5">
    <w:name w:val="註腳文字 字元"/>
    <w:basedOn w:val="a3"/>
    <w:link w:val="af4"/>
    <w:uiPriority w:val="99"/>
    <w:rsid w:val="002E5261"/>
    <w:rPr>
      <w:rFonts w:eastAsia="標楷體"/>
      <w:kern w:val="2"/>
    </w:rPr>
  </w:style>
  <w:style w:type="character" w:styleId="af6">
    <w:name w:val="footnote reference"/>
    <w:basedOn w:val="a3"/>
    <w:uiPriority w:val="99"/>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uiPriority w:val="59"/>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basedOn w:val="a3"/>
    <w:link w:val="1"/>
    <w:uiPriority w:val="9"/>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uiPriority w:val="99"/>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 w:type="character" w:customStyle="1" w:styleId="firstword1">
    <w:name w:val="firstword1"/>
    <w:basedOn w:val="a3"/>
    <w:rsid w:val="009A4BE0"/>
    <w:rPr>
      <w:rFonts w:ascii="зũ" w:hAnsi="зũ" w:hint="default"/>
      <w:color w:val="0000FF"/>
      <w:sz w:val="25"/>
      <w:szCs w:val="25"/>
    </w:rPr>
  </w:style>
  <w:style w:type="paragraph" w:customStyle="1" w:styleId="HSR2">
    <w:name w:val="HSR.標題.2"/>
    <w:basedOn w:val="2"/>
    <w:rsid w:val="009A4BE0"/>
    <w:pPr>
      <w:numPr>
        <w:numId w:val="11"/>
      </w:numPr>
      <w:adjustRightInd w:val="0"/>
      <w:spacing w:before="120" w:after="120"/>
      <w:textAlignment w:val="baseline"/>
    </w:pPr>
    <w:rPr>
      <w:rFonts w:ascii="Times New Roman" w:hAnsi="Times New Roman"/>
      <w:bCs w:val="0"/>
      <w:kern w:val="52"/>
      <w:sz w:val="24"/>
      <w:szCs w:val="20"/>
    </w:rPr>
  </w:style>
  <w:style w:type="paragraph" w:customStyle="1" w:styleId="16">
    <w:name w:val="清單段落1"/>
    <w:basedOn w:val="a2"/>
    <w:rsid w:val="009A4BE0"/>
    <w:pPr>
      <w:ind w:leftChars="200" w:left="480"/>
    </w:pPr>
    <w:rPr>
      <w:rFonts w:ascii="Calibri" w:eastAsia="新細明體" w:hAnsi="Calibri"/>
      <w:sz w:val="24"/>
      <w:szCs w:val="22"/>
    </w:rPr>
  </w:style>
  <w:style w:type="paragraph" w:customStyle="1" w:styleId="affc">
    <w:name w:val="表內文"/>
    <w:basedOn w:val="a2"/>
    <w:rsid w:val="009A4BE0"/>
    <w:pPr>
      <w:framePr w:hSpace="180" w:wrap="around" w:vAnchor="text" w:hAnchor="margin" w:xAlign="center" w:y="402"/>
      <w:jc w:val="both"/>
    </w:pPr>
    <w:rPr>
      <w:rFonts w:ascii="Arial" w:hAnsi="Arial" w:cs="Arial"/>
      <w:sz w:val="28"/>
      <w:szCs w:val="28"/>
    </w:rPr>
  </w:style>
  <w:style w:type="character" w:customStyle="1" w:styleId="langwithname">
    <w:name w:val="langwithname"/>
    <w:basedOn w:val="a3"/>
    <w:rsid w:val="009A4BE0"/>
  </w:style>
  <w:style w:type="paragraph" w:customStyle="1" w:styleId="25">
    <w:name w:val="清單段落2"/>
    <w:basedOn w:val="a2"/>
    <w:rsid w:val="00DB5439"/>
    <w:pPr>
      <w:ind w:leftChars="200" w:left="480"/>
    </w:pPr>
    <w:rPr>
      <w:rFonts w:ascii="Calibri" w:eastAsia="新細明體" w:hAnsi="Calibri"/>
      <w:sz w:val="24"/>
      <w:szCs w:val="22"/>
    </w:rPr>
  </w:style>
  <w:style w:type="character" w:customStyle="1" w:styleId="bk15">
    <w:name w:val="bk15"/>
    <w:basedOn w:val="a3"/>
    <w:rsid w:val="00DB5439"/>
  </w:style>
  <w:style w:type="character" w:customStyle="1" w:styleId="style11">
    <w:name w:val="style11"/>
    <w:basedOn w:val="a3"/>
    <w:rsid w:val="000D034E"/>
  </w:style>
  <w:style w:type="character" w:customStyle="1" w:styleId="style161">
    <w:name w:val="style161"/>
    <w:basedOn w:val="a3"/>
    <w:rsid w:val="000D034E"/>
    <w:rPr>
      <w:color w:val="333333"/>
    </w:rPr>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file:///D:\&#35519;&#26597;&#26696;&#20214;100\&#26680;&#38651;&#24288;\Country%20Review%20Teams.pdf" TargetMode="External"/><Relationship Id="rId2" Type="http://schemas.openxmlformats.org/officeDocument/2006/relationships/hyperlink" Target="http://www.ensreg.eu/sites/default/files/EU%20Stress%20tests%20specifications_0.pdf" TargetMode="External"/><Relationship Id="rId1" Type="http://schemas.openxmlformats.org/officeDocument/2006/relationships/hyperlink" Target="http://www.ensreg.eu/node/2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ECD5D-C590-45A2-9989-DA7859105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16</Pages>
  <Words>1280</Words>
  <Characters>7300</Characters>
  <Application>Microsoft Office Word</Application>
  <DocSecurity>0</DocSecurity>
  <Lines>60</Lines>
  <Paragraphs>17</Paragraphs>
  <ScaleCrop>false</ScaleCrop>
  <Company>cy</Company>
  <LinksUpToDate>false</LinksUpToDate>
  <CharactersWithSpaces>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2014-07-07T01:37:00Z</cp:lastPrinted>
  <dcterms:created xsi:type="dcterms:W3CDTF">2014-07-24T05:37:00Z</dcterms:created>
  <dcterms:modified xsi:type="dcterms:W3CDTF">2014-07-24T05:37:00Z</dcterms:modified>
</cp:coreProperties>
</file>