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DD2" w:rsidRDefault="00D72F75">
      <w:pPr>
        <w:pStyle w:val="a4"/>
        <w:kinsoku w:val="0"/>
        <w:spacing w:before="0"/>
        <w:ind w:leftChars="700" w:left="2381" w:firstLine="0"/>
        <w:rPr>
          <w:bCs/>
          <w:snapToGrid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糾正案文</w:t>
      </w:r>
    </w:p>
    <w:p w:rsidR="005D6DD2" w:rsidRDefault="00D72F75">
      <w:pPr>
        <w:pStyle w:val="1"/>
        <w:ind w:left="2721" w:hanging="2721"/>
      </w:pPr>
      <w:bookmarkStart w:id="0" w:name="_Toc529218254"/>
      <w:bookmarkStart w:id="1" w:name="_Toc529222677"/>
      <w:bookmarkStart w:id="2" w:name="_Toc529223099"/>
      <w:bookmarkStart w:id="3" w:name="_Toc529223850"/>
      <w:bookmarkStart w:id="4" w:name="_Toc529228246"/>
      <w:bookmarkStart w:id="5" w:name="_Toc524895636"/>
      <w:bookmarkStart w:id="6" w:name="_Toc524896182"/>
      <w:bookmarkStart w:id="7" w:name="_Toc524896212"/>
      <w:bookmarkStart w:id="8" w:name="_Toc524902718"/>
      <w:bookmarkStart w:id="9" w:name="_Toc525066137"/>
      <w:bookmarkStart w:id="10" w:name="_Toc525070827"/>
      <w:bookmarkStart w:id="11" w:name="_Toc525938367"/>
      <w:bookmarkStart w:id="12" w:name="_Toc525939215"/>
      <w:bookmarkStart w:id="13" w:name="_Toc525939720"/>
      <w:r>
        <w:rPr>
          <w:rFonts w:hint="eastAsia"/>
        </w:rPr>
        <w:t>被糾正機關：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786129">
        <w:rPr>
          <w:rFonts w:hint="eastAsia"/>
        </w:rPr>
        <w:t>法務部</w:t>
      </w:r>
      <w:r>
        <w:rPr>
          <w:rFonts w:hint="eastAsia"/>
        </w:rPr>
        <w:t>。</w:t>
      </w:r>
    </w:p>
    <w:p w:rsidR="005D6DD2" w:rsidRDefault="00D72F75">
      <w:pPr>
        <w:pStyle w:val="1"/>
        <w:ind w:left="2721" w:hanging="2721"/>
      </w:pPr>
      <w:bookmarkStart w:id="14" w:name="_Toc529218255"/>
      <w:bookmarkStart w:id="15" w:name="_Toc529222678"/>
      <w:bookmarkStart w:id="16" w:name="_Toc529223100"/>
      <w:bookmarkStart w:id="17" w:name="_Toc529223851"/>
      <w:bookmarkStart w:id="18" w:name="_Toc529228247"/>
      <w:r>
        <w:rPr>
          <w:rFonts w:hint="eastAsia"/>
        </w:rPr>
        <w:t>案　　　由：</w:t>
      </w:r>
      <w:r w:rsidR="00786129" w:rsidRPr="00786129">
        <w:rPr>
          <w:rFonts w:hint="eastAsia"/>
        </w:rPr>
        <w:t>法務部所屬</w:t>
      </w:r>
      <w:r w:rsidR="00E92663">
        <w:rPr>
          <w:rFonts w:hint="eastAsia"/>
        </w:rPr>
        <w:t>檢察機關</w:t>
      </w:r>
      <w:r w:rsidR="00786129" w:rsidRPr="00786129">
        <w:rPr>
          <w:rFonts w:hint="eastAsia"/>
        </w:rPr>
        <w:t>執行貪污犯罪案件</w:t>
      </w:r>
      <w:r w:rsidR="00D562EC">
        <w:rPr>
          <w:rFonts w:hint="eastAsia"/>
        </w:rPr>
        <w:t>沒收</w:t>
      </w:r>
      <w:r w:rsidR="00D562EC" w:rsidRPr="00263DFE">
        <w:rPr>
          <w:rFonts w:hint="eastAsia"/>
        </w:rPr>
        <w:t>、追徵、追繳、抵償</w:t>
      </w:r>
      <w:r w:rsidR="00D562EC">
        <w:rPr>
          <w:rFonts w:hint="eastAsia"/>
        </w:rPr>
        <w:t>所得回收金額</w:t>
      </w:r>
      <w:r w:rsidR="00786129" w:rsidRPr="00786129">
        <w:rPr>
          <w:rFonts w:hint="eastAsia"/>
        </w:rPr>
        <w:t>未達</w:t>
      </w:r>
      <w:proofErr w:type="gramStart"/>
      <w:r w:rsidR="00786129" w:rsidRPr="00786129">
        <w:rPr>
          <w:rFonts w:hint="eastAsia"/>
        </w:rPr>
        <w:t>3成</w:t>
      </w:r>
      <w:proofErr w:type="gramEnd"/>
      <w:r w:rsidR="00786129" w:rsidRPr="00786129">
        <w:rPr>
          <w:rFonts w:hint="eastAsia"/>
        </w:rPr>
        <w:t>，</w:t>
      </w:r>
      <w:r w:rsidR="00B7640C">
        <w:rPr>
          <w:rFonts w:hint="eastAsia"/>
        </w:rPr>
        <w:t>且</w:t>
      </w:r>
      <w:r w:rsidR="00786129" w:rsidRPr="00786129">
        <w:rPr>
          <w:rFonts w:hint="eastAsia"/>
        </w:rPr>
        <w:t>偵查中查扣犯罪所得之</w:t>
      </w:r>
      <w:r w:rsidR="002A408F">
        <w:rPr>
          <w:rFonts w:hint="eastAsia"/>
        </w:rPr>
        <w:t>成效不佳</w:t>
      </w:r>
      <w:r w:rsidR="00786129" w:rsidRPr="00786129">
        <w:rPr>
          <w:rFonts w:hint="eastAsia"/>
        </w:rPr>
        <w:t>，</w:t>
      </w:r>
      <w:r w:rsidR="00E92663" w:rsidRPr="00066935">
        <w:rPr>
          <w:rFonts w:hint="eastAsia"/>
        </w:rPr>
        <w:t>查扣犯罪所得</w:t>
      </w:r>
      <w:r w:rsidR="00786129" w:rsidRPr="00066935">
        <w:rPr>
          <w:rFonts w:hint="eastAsia"/>
        </w:rPr>
        <w:t>專責小組之功能</w:t>
      </w:r>
      <w:r w:rsidR="00B7640C" w:rsidRPr="00066935">
        <w:rPr>
          <w:rFonts w:hint="eastAsia"/>
        </w:rPr>
        <w:t>有待</w:t>
      </w:r>
      <w:r w:rsidR="002A408F" w:rsidRPr="00066935">
        <w:rPr>
          <w:rFonts w:hint="eastAsia"/>
        </w:rPr>
        <w:t>加</w:t>
      </w:r>
      <w:r w:rsidR="00B7640C" w:rsidRPr="00066935">
        <w:rPr>
          <w:rFonts w:hint="eastAsia"/>
        </w:rPr>
        <w:t>強，</w:t>
      </w:r>
      <w:proofErr w:type="gramStart"/>
      <w:r w:rsidR="0088287B" w:rsidRPr="00066935">
        <w:rPr>
          <w:rFonts w:hint="eastAsia"/>
        </w:rPr>
        <w:t>洵</w:t>
      </w:r>
      <w:proofErr w:type="gramEnd"/>
      <w:r w:rsidR="00E92663" w:rsidRPr="00066935">
        <w:rPr>
          <w:rFonts w:hint="eastAsia"/>
        </w:rPr>
        <w:t>有違失</w:t>
      </w:r>
      <w:r w:rsidRPr="00066935">
        <w:rPr>
          <w:rFonts w:hint="eastAsia"/>
        </w:rPr>
        <w:t>。</w:t>
      </w:r>
      <w:bookmarkEnd w:id="14"/>
      <w:bookmarkEnd w:id="15"/>
      <w:bookmarkEnd w:id="16"/>
      <w:bookmarkEnd w:id="17"/>
      <w:bookmarkEnd w:id="18"/>
    </w:p>
    <w:p w:rsidR="005D6DD2" w:rsidRDefault="00D72F75">
      <w:pPr>
        <w:pStyle w:val="1"/>
        <w:ind w:left="2381" w:hangingChars="700" w:hanging="2381"/>
      </w:pPr>
      <w:bookmarkStart w:id="19" w:name="_Toc524895646"/>
      <w:bookmarkStart w:id="20" w:name="_Toc524896192"/>
      <w:bookmarkStart w:id="21" w:name="_Toc524896222"/>
      <w:bookmarkStart w:id="22" w:name="_Toc524902729"/>
      <w:bookmarkStart w:id="23" w:name="_Toc525066145"/>
      <w:bookmarkStart w:id="24" w:name="_Toc525070836"/>
      <w:bookmarkStart w:id="25" w:name="_Toc525938376"/>
      <w:bookmarkStart w:id="26" w:name="_Toc525939224"/>
      <w:bookmarkStart w:id="27" w:name="_Toc525939729"/>
      <w:bookmarkStart w:id="28" w:name="_Toc529218269"/>
      <w:bookmarkStart w:id="29" w:name="_Toc529222686"/>
      <w:bookmarkStart w:id="30" w:name="_Toc529223108"/>
      <w:bookmarkStart w:id="31" w:name="_Toc529223859"/>
      <w:bookmarkStart w:id="32" w:name="_Toc529228262"/>
      <w:r>
        <w:rPr>
          <w:rFonts w:hint="eastAsia"/>
        </w:rPr>
        <w:t>事實與理由：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786129" w:rsidRDefault="00786129" w:rsidP="00786129">
      <w:pPr>
        <w:pStyle w:val="2"/>
        <w:numPr>
          <w:ilvl w:val="0"/>
          <w:numId w:val="0"/>
        </w:numPr>
        <w:ind w:leftChars="202" w:left="687" w:firstLineChars="200" w:firstLine="680"/>
        <w:rPr>
          <w:b/>
        </w:rPr>
      </w:pPr>
      <w:bookmarkStart w:id="33" w:name="_Toc524895648"/>
      <w:bookmarkStart w:id="34" w:name="_Toc524896194"/>
      <w:bookmarkStart w:id="35" w:name="_Toc524896224"/>
      <w:bookmarkStart w:id="36" w:name="_Toc524902734"/>
      <w:bookmarkStart w:id="37" w:name="_Toc525066148"/>
      <w:bookmarkStart w:id="38" w:name="_Toc525070839"/>
      <w:bookmarkStart w:id="39" w:name="_Toc525938379"/>
      <w:bookmarkStart w:id="40" w:name="_Toc525939227"/>
      <w:bookmarkStart w:id="41" w:name="_Toc525939732"/>
      <w:bookmarkStart w:id="42" w:name="_Toc529218272"/>
      <w:r>
        <w:rPr>
          <w:rFonts w:hint="eastAsia"/>
        </w:rPr>
        <w:t>整</w:t>
      </w:r>
      <w:r w:rsidR="00D562EC">
        <w:rPr>
          <w:rFonts w:hint="eastAsia"/>
        </w:rPr>
        <w:t>飭</w:t>
      </w:r>
      <w:r>
        <w:rPr>
          <w:rFonts w:hint="eastAsia"/>
        </w:rPr>
        <w:t>官</w:t>
      </w:r>
      <w:proofErr w:type="gramStart"/>
      <w:r>
        <w:rPr>
          <w:rFonts w:hint="eastAsia"/>
        </w:rPr>
        <w:t>箴</w:t>
      </w:r>
      <w:proofErr w:type="gramEnd"/>
      <w:r>
        <w:rPr>
          <w:rFonts w:hint="eastAsia"/>
        </w:rPr>
        <w:t>，</w:t>
      </w:r>
      <w:r w:rsidRPr="00263DFE">
        <w:rPr>
          <w:rFonts w:hint="eastAsia"/>
        </w:rPr>
        <w:t>防制貪污，建立公務員廉潔形象，為政府一貫堅定的政策</w:t>
      </w:r>
      <w:r>
        <w:rPr>
          <w:rFonts w:hint="eastAsia"/>
        </w:rPr>
        <w:t>。然檢察機關執行貪污犯罪沒收</w:t>
      </w:r>
      <w:r w:rsidRPr="00263DFE">
        <w:rPr>
          <w:rFonts w:hint="eastAsia"/>
        </w:rPr>
        <w:t>、追徵、追繳、抵償</w:t>
      </w:r>
      <w:r w:rsidRPr="00352451">
        <w:rPr>
          <w:rFonts w:hint="eastAsia"/>
        </w:rPr>
        <w:t>（以下稱追繳）</w:t>
      </w:r>
      <w:r>
        <w:rPr>
          <w:rFonts w:hint="eastAsia"/>
        </w:rPr>
        <w:t>之成效過低，貪污被告縱被繩之以法，</w:t>
      </w:r>
      <w:r w:rsidR="00D562EC">
        <w:rPr>
          <w:rFonts w:hint="eastAsia"/>
        </w:rPr>
        <w:t>如</w:t>
      </w:r>
      <w:r>
        <w:rPr>
          <w:rFonts w:hint="eastAsia"/>
        </w:rPr>
        <w:t>其本人或家屬仍得以坐享犯罪利益，有違公平正義，難以杜絕貪污誘因。又法務部雖</w:t>
      </w:r>
      <w:r w:rsidRPr="00352451">
        <w:rPr>
          <w:rFonts w:hint="eastAsia"/>
        </w:rPr>
        <w:t>於97年8月</w:t>
      </w:r>
      <w:r>
        <w:rPr>
          <w:rFonts w:hint="eastAsia"/>
        </w:rPr>
        <w:t>報奉</w:t>
      </w:r>
      <w:r w:rsidRPr="00352451">
        <w:rPr>
          <w:rFonts w:hint="eastAsia"/>
        </w:rPr>
        <w:t>行政院</w:t>
      </w:r>
      <w:r>
        <w:rPr>
          <w:rFonts w:hint="eastAsia"/>
        </w:rPr>
        <w:t>核定</w:t>
      </w:r>
      <w:r w:rsidRPr="00352451">
        <w:rPr>
          <w:rFonts w:hint="eastAsia"/>
        </w:rPr>
        <w:t>將「加強查扣貪瀆、重大經濟犯罪、毒品等案件犯罪所得」列為</w:t>
      </w:r>
      <w:r>
        <w:rPr>
          <w:rFonts w:hint="eastAsia"/>
        </w:rPr>
        <w:t>98至101年度</w:t>
      </w:r>
      <w:r w:rsidRPr="00352451">
        <w:rPr>
          <w:rFonts w:hint="eastAsia"/>
        </w:rPr>
        <w:t>中程施政計畫</w:t>
      </w:r>
      <w:r>
        <w:rPr>
          <w:rFonts w:hint="eastAsia"/>
        </w:rPr>
        <w:t>，建置查扣犯罪所得專責機制、從刑控管系統、訂定扣押物及時變價規定等，惟實施以來，仍未有效提升追繳及查扣貪污犯罪所得，茲分述如下：</w:t>
      </w:r>
    </w:p>
    <w:p w:rsidR="00F24081" w:rsidRPr="00FB680C" w:rsidRDefault="00F24081" w:rsidP="00F24081">
      <w:pPr>
        <w:pStyle w:val="2"/>
        <w:kinsoku w:val="0"/>
        <w:rPr>
          <w:b/>
        </w:rPr>
      </w:pPr>
      <w:r w:rsidRPr="00FB680C">
        <w:rPr>
          <w:rFonts w:hint="eastAsia"/>
          <w:b/>
        </w:rPr>
        <w:t>法務部</w:t>
      </w:r>
      <w:r w:rsidR="00FB680C" w:rsidRPr="00C70F7E">
        <w:rPr>
          <w:rFonts w:hint="eastAsia"/>
          <w:b/>
        </w:rPr>
        <w:t>對於</w:t>
      </w:r>
      <w:r w:rsidRPr="00C70F7E">
        <w:rPr>
          <w:rFonts w:hint="eastAsia"/>
          <w:b/>
        </w:rPr>
        <w:t>所</w:t>
      </w:r>
      <w:r w:rsidRPr="00FB680C">
        <w:rPr>
          <w:rFonts w:hint="eastAsia"/>
          <w:b/>
        </w:rPr>
        <w:t>屬檢察機關執行貪污犯罪案件沒收、追徵、追繳、抵償，回收之金額比率迄未達</w:t>
      </w:r>
      <w:proofErr w:type="gramStart"/>
      <w:r w:rsidRPr="00FB680C">
        <w:rPr>
          <w:rFonts w:hint="eastAsia"/>
          <w:b/>
        </w:rPr>
        <w:t>3成</w:t>
      </w:r>
      <w:proofErr w:type="gramEnd"/>
      <w:r w:rsidRPr="00FB680C">
        <w:rPr>
          <w:rFonts w:hint="eastAsia"/>
          <w:b/>
        </w:rPr>
        <w:t>，</w:t>
      </w:r>
      <w:proofErr w:type="gramStart"/>
      <w:r w:rsidRPr="00FB680C">
        <w:rPr>
          <w:rFonts w:hint="eastAsia"/>
          <w:b/>
        </w:rPr>
        <w:t>併</w:t>
      </w:r>
      <w:proofErr w:type="gramEnd"/>
      <w:r w:rsidRPr="00FB680C">
        <w:rPr>
          <w:rFonts w:hint="eastAsia"/>
          <w:b/>
        </w:rPr>
        <w:t>科罰金之執行成效未達</w:t>
      </w:r>
      <w:proofErr w:type="gramStart"/>
      <w:r w:rsidRPr="00FB680C">
        <w:rPr>
          <w:rFonts w:hint="eastAsia"/>
          <w:b/>
        </w:rPr>
        <w:t>2成</w:t>
      </w:r>
      <w:proofErr w:type="gramEnd"/>
      <w:r w:rsidRPr="00FB680C">
        <w:rPr>
          <w:rFonts w:hint="eastAsia"/>
          <w:b/>
        </w:rPr>
        <w:t>，</w:t>
      </w:r>
      <w:r w:rsidR="00FB680C" w:rsidRPr="00C70F7E">
        <w:rPr>
          <w:rFonts w:hint="eastAsia"/>
          <w:b/>
        </w:rPr>
        <w:t>顯屬督導不</w:t>
      </w:r>
      <w:r w:rsidR="006E6B60">
        <w:rPr>
          <w:rFonts w:hint="eastAsia"/>
          <w:b/>
        </w:rPr>
        <w:t>力</w:t>
      </w:r>
      <w:r w:rsidR="00FB680C" w:rsidRPr="00C70F7E">
        <w:rPr>
          <w:rFonts w:hint="eastAsia"/>
          <w:b/>
        </w:rPr>
        <w:t>，</w:t>
      </w:r>
      <w:r w:rsidRPr="00FB680C">
        <w:rPr>
          <w:rFonts w:hint="eastAsia"/>
          <w:b/>
        </w:rPr>
        <w:t>核有違失。</w:t>
      </w:r>
    </w:p>
    <w:p w:rsidR="00F24081" w:rsidRDefault="00F24081" w:rsidP="00F24081">
      <w:pPr>
        <w:pStyle w:val="3"/>
        <w:kinsoku w:val="0"/>
        <w:ind w:left="1360" w:hanging="680"/>
      </w:pPr>
      <w:r>
        <w:rPr>
          <w:rFonts w:hint="eastAsia"/>
        </w:rPr>
        <w:t>按</w:t>
      </w:r>
      <w:r w:rsidRPr="00CC6F7B">
        <w:rPr>
          <w:rFonts w:hint="eastAsia"/>
        </w:rPr>
        <w:t>貪污治罪條例第10條規定：「犯第四條至第六條之罪者，其所得財物，應予追繳，並依其情節分別沒收或發還被害人。（第一項）犯第四條至第六條之罪者，本人及其配偶、未成年子女自犯罪時及其後</w:t>
      </w:r>
      <w:proofErr w:type="gramStart"/>
      <w:r w:rsidRPr="00CC6F7B">
        <w:rPr>
          <w:rFonts w:hint="eastAsia"/>
        </w:rPr>
        <w:t>三</w:t>
      </w:r>
      <w:proofErr w:type="gramEnd"/>
      <w:r w:rsidRPr="00CC6F7B">
        <w:rPr>
          <w:rFonts w:hint="eastAsia"/>
        </w:rPr>
        <w:t>年內取得之來源可疑財物，經檢察官或法院於偵查、審判</w:t>
      </w:r>
      <w:proofErr w:type="gramStart"/>
      <w:r w:rsidRPr="00CC6F7B">
        <w:rPr>
          <w:rFonts w:hint="eastAsia"/>
        </w:rPr>
        <w:t>程序中命本人</w:t>
      </w:r>
      <w:proofErr w:type="gramEnd"/>
      <w:r w:rsidRPr="00CC6F7B">
        <w:rPr>
          <w:rFonts w:hint="eastAsia"/>
        </w:rPr>
        <w:t>證明來源合法而未能證明者，視為其所得財物。（第二項）前二項財物之全</w:t>
      </w:r>
      <w:r w:rsidRPr="00CC6F7B">
        <w:rPr>
          <w:rFonts w:hint="eastAsia"/>
        </w:rPr>
        <w:lastRenderedPageBreak/>
        <w:t>部或一部無法追繳時，應追徵其價額，或以其財產抵償之。（第三項）為保全前三項財物之追繳、價額之追徵或財產之抵償，必要時得酌量扣押其財產。（第四項）」。</w:t>
      </w:r>
    </w:p>
    <w:p w:rsidR="00F24081" w:rsidRDefault="00F24081" w:rsidP="00F24081">
      <w:pPr>
        <w:pStyle w:val="3"/>
        <w:kinsoku w:val="0"/>
      </w:pPr>
      <w:r>
        <w:rPr>
          <w:rFonts w:hint="eastAsia"/>
        </w:rPr>
        <w:t>法務部為推動查扣犯罪所得，雖於97年8月將查扣貪瀆案件犯罪所得列為中程施政計畫，於100年5月建置查扣犯罪所得專責機制，建立跨部會聯繫窗口，另於檢察官辦案系統內建置「從刑控管機制」，控管回溯自89年7月行政院實施掃除黑金行動方案起，追討公務員貪瀆犯罪所得之案件。然相關措施實施以來，</w:t>
      </w:r>
      <w:r w:rsidRPr="00633D8A">
        <w:rPr>
          <w:rFonts w:hint="eastAsia"/>
        </w:rPr>
        <w:t>貪污犯罪案件</w:t>
      </w:r>
      <w:r>
        <w:rPr>
          <w:rFonts w:hint="eastAsia"/>
        </w:rPr>
        <w:t>追繳</w:t>
      </w:r>
      <w:r w:rsidRPr="00633D8A">
        <w:rPr>
          <w:rFonts w:hint="eastAsia"/>
        </w:rPr>
        <w:t>及</w:t>
      </w:r>
      <w:proofErr w:type="gramStart"/>
      <w:r w:rsidRPr="00633D8A">
        <w:rPr>
          <w:rFonts w:hint="eastAsia"/>
        </w:rPr>
        <w:t>併</w:t>
      </w:r>
      <w:proofErr w:type="gramEnd"/>
      <w:r w:rsidRPr="00633D8A">
        <w:rPr>
          <w:rFonts w:hint="eastAsia"/>
        </w:rPr>
        <w:t>科罰金之</w:t>
      </w:r>
      <w:r>
        <w:rPr>
          <w:rFonts w:hint="eastAsia"/>
        </w:rPr>
        <w:t>執行</w:t>
      </w:r>
      <w:r w:rsidRPr="00633D8A">
        <w:rPr>
          <w:rFonts w:hint="eastAsia"/>
        </w:rPr>
        <w:t>成效</w:t>
      </w:r>
      <w:r>
        <w:rPr>
          <w:rFonts w:hint="eastAsia"/>
        </w:rPr>
        <w:t>並未顯著提升</w:t>
      </w:r>
      <w:r w:rsidRPr="00352451">
        <w:rPr>
          <w:rFonts w:hint="eastAsia"/>
        </w:rPr>
        <w:t>。</w:t>
      </w:r>
      <w:r w:rsidRPr="004F394F">
        <w:rPr>
          <w:rFonts w:hint="eastAsia"/>
        </w:rPr>
        <w:t>追繳</w:t>
      </w:r>
      <w:r>
        <w:rPr>
          <w:rFonts w:hint="eastAsia"/>
        </w:rPr>
        <w:t>回收金額</w:t>
      </w:r>
      <w:r w:rsidRPr="004F394F">
        <w:rPr>
          <w:rFonts w:hint="eastAsia"/>
        </w:rPr>
        <w:t>之</w:t>
      </w:r>
      <w:r>
        <w:rPr>
          <w:rFonts w:hint="eastAsia"/>
        </w:rPr>
        <w:t>比率迄未達</w:t>
      </w:r>
      <w:proofErr w:type="gramStart"/>
      <w:r>
        <w:rPr>
          <w:rFonts w:hint="eastAsia"/>
        </w:rPr>
        <w:t>3成</w:t>
      </w:r>
      <w:proofErr w:type="gramEnd"/>
      <w:r>
        <w:rPr>
          <w:rFonts w:hint="eastAsia"/>
        </w:rPr>
        <w:t>（98年度為15.55％、99年度為19.13％、</w:t>
      </w:r>
      <w:proofErr w:type="gramStart"/>
      <w:r>
        <w:rPr>
          <w:rFonts w:hint="eastAsia"/>
        </w:rPr>
        <w:t>100</w:t>
      </w:r>
      <w:proofErr w:type="gramEnd"/>
      <w:r>
        <w:rPr>
          <w:rFonts w:hint="eastAsia"/>
        </w:rPr>
        <w:t>年度為8.56％、</w:t>
      </w:r>
      <w:proofErr w:type="gramStart"/>
      <w:r>
        <w:rPr>
          <w:rFonts w:hint="eastAsia"/>
        </w:rPr>
        <w:t>101</w:t>
      </w:r>
      <w:proofErr w:type="gramEnd"/>
      <w:r>
        <w:rPr>
          <w:rFonts w:hint="eastAsia"/>
        </w:rPr>
        <w:t>年度為24.09％、</w:t>
      </w:r>
      <w:proofErr w:type="gramStart"/>
      <w:r>
        <w:rPr>
          <w:rFonts w:hint="eastAsia"/>
        </w:rPr>
        <w:t>102</w:t>
      </w:r>
      <w:proofErr w:type="gramEnd"/>
      <w:r>
        <w:rPr>
          <w:rFonts w:hint="eastAsia"/>
        </w:rPr>
        <w:t>年度為25.16％）。</w:t>
      </w:r>
      <w:r w:rsidR="00FB680C" w:rsidRPr="00066935">
        <w:rPr>
          <w:rFonts w:hint="eastAsia"/>
        </w:rPr>
        <w:t>其中部分地檢署執行貪污案件所得追繳之成效明顯過低。</w:t>
      </w:r>
      <w:proofErr w:type="gramStart"/>
      <w:r w:rsidR="00FB680C" w:rsidRPr="00066935">
        <w:rPr>
          <w:rFonts w:hint="eastAsia"/>
        </w:rPr>
        <w:t>臺</w:t>
      </w:r>
      <w:proofErr w:type="gramEnd"/>
      <w:r w:rsidR="00FB680C" w:rsidRPr="00066935">
        <w:rPr>
          <w:rFonts w:hint="eastAsia"/>
        </w:rPr>
        <w:t>北地檢署98年度及</w:t>
      </w:r>
      <w:proofErr w:type="gramStart"/>
      <w:r w:rsidR="00FB680C" w:rsidRPr="00066935">
        <w:rPr>
          <w:rFonts w:hint="eastAsia"/>
        </w:rPr>
        <w:t>100</w:t>
      </w:r>
      <w:proofErr w:type="gramEnd"/>
      <w:r w:rsidR="00FB680C" w:rsidRPr="00066935">
        <w:rPr>
          <w:rFonts w:hint="eastAsia"/>
        </w:rPr>
        <w:t>年度之執行比率僅分別為2.72％、3.29％；嘉義地檢署連續多年執行比率偏低，近三年度（100、101、102年）之執行比率分別僅有0.63％、0.38％、4.18％；其他如屏東地檢署</w:t>
      </w:r>
      <w:proofErr w:type="gramStart"/>
      <w:r w:rsidR="00FB680C" w:rsidRPr="00066935">
        <w:rPr>
          <w:rFonts w:hint="eastAsia"/>
        </w:rPr>
        <w:t>102</w:t>
      </w:r>
      <w:proofErr w:type="gramEnd"/>
      <w:r w:rsidR="00FB680C" w:rsidRPr="00066935">
        <w:rPr>
          <w:rFonts w:hint="eastAsia"/>
        </w:rPr>
        <w:t>年度執行比率僅0.74％、基隆地檢署</w:t>
      </w:r>
      <w:proofErr w:type="gramStart"/>
      <w:r w:rsidR="00FB680C" w:rsidRPr="00066935">
        <w:rPr>
          <w:rFonts w:hint="eastAsia"/>
        </w:rPr>
        <w:t>102</w:t>
      </w:r>
      <w:proofErr w:type="gramEnd"/>
      <w:r w:rsidR="00FB680C" w:rsidRPr="00066935">
        <w:rPr>
          <w:rFonts w:hint="eastAsia"/>
        </w:rPr>
        <w:t>年度執行比率僅3.04％、高雄地檢署</w:t>
      </w:r>
      <w:proofErr w:type="gramStart"/>
      <w:r w:rsidR="00FB680C" w:rsidRPr="00066935">
        <w:rPr>
          <w:rFonts w:hint="eastAsia"/>
        </w:rPr>
        <w:t>101</w:t>
      </w:r>
      <w:proofErr w:type="gramEnd"/>
      <w:r w:rsidR="00FB680C" w:rsidRPr="00066935">
        <w:rPr>
          <w:rFonts w:hint="eastAsia"/>
        </w:rPr>
        <w:t>年度執行比率僅2.87％、新北地檢署</w:t>
      </w:r>
      <w:proofErr w:type="gramStart"/>
      <w:r w:rsidR="00FB680C" w:rsidRPr="00066935">
        <w:rPr>
          <w:rFonts w:hint="eastAsia"/>
        </w:rPr>
        <w:t>101</w:t>
      </w:r>
      <w:proofErr w:type="gramEnd"/>
      <w:r w:rsidR="00FB680C" w:rsidRPr="00066935">
        <w:rPr>
          <w:rFonts w:hint="eastAsia"/>
        </w:rPr>
        <w:t>年度執行比率僅6.27％等。</w:t>
      </w:r>
      <w:r>
        <w:rPr>
          <w:rFonts w:hint="eastAsia"/>
        </w:rPr>
        <w:t>而</w:t>
      </w:r>
      <w:r w:rsidRPr="001808CA">
        <w:rPr>
          <w:rFonts w:hint="eastAsia"/>
        </w:rPr>
        <w:t>貪污犯罪</w:t>
      </w:r>
      <w:proofErr w:type="gramStart"/>
      <w:r w:rsidRPr="001808CA">
        <w:rPr>
          <w:rFonts w:hint="eastAsia"/>
        </w:rPr>
        <w:t>併</w:t>
      </w:r>
      <w:proofErr w:type="gramEnd"/>
      <w:r w:rsidRPr="001808CA">
        <w:rPr>
          <w:rFonts w:hint="eastAsia"/>
        </w:rPr>
        <w:t>科罰金</w:t>
      </w:r>
      <w:r>
        <w:rPr>
          <w:rFonts w:hint="eastAsia"/>
        </w:rPr>
        <w:t>之執行成效，更低於貪污所得之回收率（</w:t>
      </w:r>
      <w:r w:rsidRPr="001808CA">
        <w:rPr>
          <w:rFonts w:hint="eastAsia"/>
        </w:rPr>
        <w:t>101年1月</w:t>
      </w:r>
      <w:proofErr w:type="gramStart"/>
      <w:r w:rsidRPr="001808CA">
        <w:rPr>
          <w:rFonts w:hint="eastAsia"/>
        </w:rPr>
        <w:t>迄</w:t>
      </w:r>
      <w:proofErr w:type="gramEnd"/>
      <w:r w:rsidRPr="001808CA">
        <w:rPr>
          <w:rFonts w:hint="eastAsia"/>
        </w:rPr>
        <w:t>103年4月，應收罰金金額為新臺幣(下同)2億3,885萬元，已收金額為4,685萬</w:t>
      </w:r>
      <w:r>
        <w:rPr>
          <w:rFonts w:hint="eastAsia"/>
        </w:rPr>
        <w:t>餘</w:t>
      </w:r>
      <w:r w:rsidRPr="001808CA">
        <w:rPr>
          <w:rFonts w:hint="eastAsia"/>
        </w:rPr>
        <w:t>元，已收率</w:t>
      </w:r>
      <w:r>
        <w:rPr>
          <w:rFonts w:hint="eastAsia"/>
        </w:rPr>
        <w:t>僅</w:t>
      </w:r>
      <w:r w:rsidRPr="001808CA">
        <w:rPr>
          <w:rFonts w:hint="eastAsia"/>
        </w:rPr>
        <w:t>19.62％</w:t>
      </w:r>
      <w:r>
        <w:rPr>
          <w:rFonts w:hint="eastAsia"/>
        </w:rPr>
        <w:t>）</w:t>
      </w:r>
      <w:r w:rsidRPr="001808CA">
        <w:rPr>
          <w:rFonts w:hint="eastAsia"/>
        </w:rPr>
        <w:t>。</w:t>
      </w:r>
    </w:p>
    <w:p w:rsidR="00F24081" w:rsidRDefault="00F24081" w:rsidP="00F24081">
      <w:pPr>
        <w:pStyle w:val="3"/>
        <w:kinsoku w:val="0"/>
      </w:pP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據</w:t>
      </w:r>
      <w:r w:rsidRPr="004F394F">
        <w:rPr>
          <w:rFonts w:hint="eastAsia"/>
        </w:rPr>
        <w:t>法務部表示，貪污犯罪所得回</w:t>
      </w:r>
      <w:r>
        <w:rPr>
          <w:rFonts w:hint="eastAsia"/>
        </w:rPr>
        <w:t>收</w:t>
      </w:r>
      <w:r w:rsidRPr="004F394F">
        <w:rPr>
          <w:rFonts w:hint="eastAsia"/>
        </w:rPr>
        <w:t>金額偏低之原因，係少許個案判決沒收金額</w:t>
      </w:r>
      <w:proofErr w:type="gramStart"/>
      <w:r w:rsidRPr="004F394F">
        <w:rPr>
          <w:rFonts w:hint="eastAsia"/>
        </w:rPr>
        <w:t>鉅大致使</w:t>
      </w:r>
      <w:proofErr w:type="gramEnd"/>
      <w:r w:rsidRPr="004F394F">
        <w:rPr>
          <w:rFonts w:hint="eastAsia"/>
        </w:rPr>
        <w:t>多數執行成效難以彰顯，另刑罰執行實務上常見查無財產、或</w:t>
      </w:r>
      <w:r w:rsidRPr="004F394F">
        <w:rPr>
          <w:rFonts w:hint="eastAsia"/>
        </w:rPr>
        <w:lastRenderedPageBreak/>
        <w:t>查扣在監受刑人保管金、勞作金所收金額偏低、或囑託法院強制執行財產無著之困難，非檢察機關未積極進行追繳等作為，而係某些案件無法避免之結果等語。</w:t>
      </w:r>
      <w:r>
        <w:rPr>
          <w:rFonts w:hint="eastAsia"/>
        </w:rPr>
        <w:t>惟依法務部資料，</w:t>
      </w:r>
      <w:r w:rsidRPr="00352451">
        <w:rPr>
          <w:rFonts w:hint="eastAsia"/>
        </w:rPr>
        <w:t>98</w:t>
      </w:r>
      <w:r>
        <w:rPr>
          <w:rFonts w:hint="eastAsia"/>
        </w:rPr>
        <w:t>至</w:t>
      </w:r>
      <w:r w:rsidRPr="00352451">
        <w:rPr>
          <w:rFonts w:hint="eastAsia"/>
        </w:rPr>
        <w:t>102年</w:t>
      </w:r>
      <w:r>
        <w:rPr>
          <w:rFonts w:hint="eastAsia"/>
        </w:rPr>
        <w:t>度</w:t>
      </w:r>
      <w:r w:rsidRPr="00352451">
        <w:rPr>
          <w:rFonts w:hint="eastAsia"/>
        </w:rPr>
        <w:t>貪污案件追繳</w:t>
      </w:r>
      <w:r>
        <w:rPr>
          <w:rFonts w:hint="eastAsia"/>
        </w:rPr>
        <w:t>之應收金額已逐年大幅下降（98年度為5億8,007萬餘元、99年度為5億2,989萬餘元、</w:t>
      </w:r>
      <w:proofErr w:type="gramStart"/>
      <w:r>
        <w:rPr>
          <w:rFonts w:hint="eastAsia"/>
        </w:rPr>
        <w:t>100</w:t>
      </w:r>
      <w:proofErr w:type="gramEnd"/>
      <w:r>
        <w:rPr>
          <w:rFonts w:hint="eastAsia"/>
        </w:rPr>
        <w:t>年度為3億6,763萬餘元、</w:t>
      </w:r>
      <w:proofErr w:type="gramStart"/>
      <w:r>
        <w:rPr>
          <w:rFonts w:hint="eastAsia"/>
        </w:rPr>
        <w:t>101</w:t>
      </w:r>
      <w:proofErr w:type="gramEnd"/>
      <w:r>
        <w:rPr>
          <w:rFonts w:hint="eastAsia"/>
        </w:rPr>
        <w:t>年度為3億1,655萬餘元、</w:t>
      </w:r>
      <w:proofErr w:type="gramStart"/>
      <w:r>
        <w:rPr>
          <w:rFonts w:hint="eastAsia"/>
        </w:rPr>
        <w:t>102</w:t>
      </w:r>
      <w:proofErr w:type="gramEnd"/>
      <w:r>
        <w:rPr>
          <w:rFonts w:hint="eastAsia"/>
        </w:rPr>
        <w:t>年度為1億9,275萬餘元），且貪污案件之查扣、追繳、變價，非無相關機制可供遵循，上揭</w:t>
      </w:r>
      <w:r w:rsidRPr="00385A96">
        <w:rPr>
          <w:rFonts w:hint="eastAsia"/>
        </w:rPr>
        <w:t>理由</w:t>
      </w:r>
      <w:r w:rsidRPr="008D090D">
        <w:rPr>
          <w:rFonts w:hint="eastAsia"/>
        </w:rPr>
        <w:t>尚難以</w:t>
      </w:r>
      <w:r w:rsidRPr="00385A96">
        <w:rPr>
          <w:rFonts w:hint="eastAsia"/>
        </w:rPr>
        <w:t>作為</w:t>
      </w:r>
      <w:r>
        <w:rPr>
          <w:rFonts w:hint="eastAsia"/>
        </w:rPr>
        <w:t>績</w:t>
      </w:r>
      <w:r w:rsidRPr="0026792C">
        <w:rPr>
          <w:rFonts w:hint="eastAsia"/>
        </w:rPr>
        <w:t>效</w:t>
      </w:r>
      <w:r>
        <w:rPr>
          <w:rFonts w:hint="eastAsia"/>
        </w:rPr>
        <w:t>欠</w:t>
      </w:r>
      <w:r w:rsidRPr="0026792C">
        <w:rPr>
          <w:rFonts w:hint="eastAsia"/>
        </w:rPr>
        <w:t>佳</w:t>
      </w:r>
      <w:r w:rsidRPr="00385A96">
        <w:rPr>
          <w:rFonts w:hint="eastAsia"/>
        </w:rPr>
        <w:t>之理由</w:t>
      </w:r>
      <w:r w:rsidR="00FB680C" w:rsidRPr="00066935">
        <w:rPr>
          <w:rFonts w:hint="eastAsia"/>
        </w:rPr>
        <w:t>，顯屬督導不力。</w:t>
      </w:r>
      <w:proofErr w:type="gramStart"/>
      <w:r w:rsidRPr="008D090D">
        <w:rPr>
          <w:rFonts w:hint="eastAsia"/>
        </w:rPr>
        <w:t>鑑</w:t>
      </w:r>
      <w:proofErr w:type="gramEnd"/>
      <w:r w:rsidRPr="008D090D">
        <w:rPr>
          <w:rFonts w:hint="eastAsia"/>
        </w:rPr>
        <w:t>於有效</w:t>
      </w:r>
      <w:r w:rsidRPr="0026792C">
        <w:rPr>
          <w:rFonts w:hint="eastAsia"/>
        </w:rPr>
        <w:t>剝奪貪污不法所得</w:t>
      </w:r>
      <w:r>
        <w:rPr>
          <w:rFonts w:hint="eastAsia"/>
        </w:rPr>
        <w:t>，</w:t>
      </w:r>
      <w:r w:rsidRPr="008D090D">
        <w:rPr>
          <w:rFonts w:hint="eastAsia"/>
        </w:rPr>
        <w:t>乃遏阻貪瀆犯罪之</w:t>
      </w:r>
      <w:r>
        <w:rPr>
          <w:rFonts w:hint="eastAsia"/>
        </w:rPr>
        <w:t>關</w:t>
      </w:r>
      <w:r w:rsidRPr="008D090D">
        <w:rPr>
          <w:rFonts w:hint="eastAsia"/>
        </w:rPr>
        <w:t>鍵</w:t>
      </w:r>
      <w:r w:rsidRPr="00066935">
        <w:rPr>
          <w:rFonts w:hint="eastAsia"/>
        </w:rPr>
        <w:t>，法務部允應儘速檢討改進。</w:t>
      </w:r>
    </w:p>
    <w:p w:rsidR="00F24081" w:rsidRPr="00066935" w:rsidRDefault="00FB680C" w:rsidP="00F24081">
      <w:pPr>
        <w:pStyle w:val="2"/>
        <w:kinsoku w:val="0"/>
      </w:pPr>
      <w:r w:rsidRPr="00066935">
        <w:rPr>
          <w:rFonts w:hint="eastAsia"/>
          <w:b/>
        </w:rPr>
        <w:t>法務部為</w:t>
      </w:r>
      <w:r w:rsidR="00F24081" w:rsidRPr="00066935">
        <w:rPr>
          <w:rFonts w:hint="eastAsia"/>
          <w:b/>
        </w:rPr>
        <w:t>實施查扣犯罪所得</w:t>
      </w:r>
      <w:r w:rsidRPr="00066935">
        <w:rPr>
          <w:rFonts w:hint="eastAsia"/>
          <w:b/>
        </w:rPr>
        <w:t>建立</w:t>
      </w:r>
      <w:r w:rsidR="00F24081" w:rsidRPr="00066935">
        <w:rPr>
          <w:rFonts w:hint="eastAsia"/>
          <w:b/>
        </w:rPr>
        <w:t>專責機制，但專責小組僅就犯罪所得1</w:t>
      </w:r>
      <w:proofErr w:type="gramStart"/>
      <w:r w:rsidR="00F24081" w:rsidRPr="00066935">
        <w:rPr>
          <w:rFonts w:hint="eastAsia"/>
          <w:b/>
        </w:rPr>
        <w:t>千萬</w:t>
      </w:r>
      <w:proofErr w:type="gramEnd"/>
      <w:r w:rsidR="00F24081" w:rsidRPr="00066935">
        <w:rPr>
          <w:rFonts w:hint="eastAsia"/>
          <w:b/>
        </w:rPr>
        <w:t>元以上案件提供各地檢署檢察官諮詢協助，其功能</w:t>
      </w:r>
      <w:r w:rsidRPr="00066935">
        <w:rPr>
          <w:rFonts w:hint="eastAsia"/>
          <w:b/>
        </w:rPr>
        <w:t>如何發揮，宜即檢討改進</w:t>
      </w:r>
      <w:r w:rsidR="00F24081" w:rsidRPr="00066935">
        <w:rPr>
          <w:rFonts w:hint="eastAsia"/>
          <w:b/>
        </w:rPr>
        <w:t>。</w:t>
      </w:r>
    </w:p>
    <w:p w:rsidR="00F24081" w:rsidRDefault="00F24081" w:rsidP="00F24081">
      <w:pPr>
        <w:pStyle w:val="3"/>
        <w:kinsoku w:val="0"/>
      </w:pPr>
      <w:r>
        <w:rPr>
          <w:rFonts w:hint="eastAsia"/>
        </w:rPr>
        <w:t>法務部為推動查扣犯罪所得之相關政策，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於</w:t>
      </w:r>
      <w:r w:rsidRPr="00107523">
        <w:rPr>
          <w:rFonts w:hint="eastAsia"/>
        </w:rPr>
        <w:t>重大</w:t>
      </w:r>
      <w:r>
        <w:rPr>
          <w:rFonts w:hint="eastAsia"/>
        </w:rPr>
        <w:t>犯罪</w:t>
      </w:r>
      <w:r w:rsidRPr="000B4BAC">
        <w:rPr>
          <w:rFonts w:hint="eastAsia"/>
        </w:rPr>
        <w:t>案情繁雜，及查扣犯罪所得時機稍縱即逝，檢察官難有餘力同時處理案件偵查與犯罪所得之查扣，</w:t>
      </w:r>
      <w:r w:rsidRPr="00107523">
        <w:rPr>
          <w:rFonts w:hint="eastAsia"/>
        </w:rPr>
        <w:t>及</w:t>
      </w:r>
      <w:r>
        <w:rPr>
          <w:rFonts w:hint="eastAsia"/>
        </w:rPr>
        <w:t>查扣貪污犯罪所得須具有高度專業及技巧，借鏡美、英等國均設有專責進行查扣犯罪所得機構，</w:t>
      </w:r>
      <w:r w:rsidRPr="000B4BAC">
        <w:rPr>
          <w:rFonts w:hint="eastAsia"/>
        </w:rPr>
        <w:t>於100年5月19日訂頒「檢察機關查扣犯罪所得專責機制試行要點」</w:t>
      </w:r>
      <w:r>
        <w:rPr>
          <w:rFonts w:hint="eastAsia"/>
        </w:rPr>
        <w:t>（下稱試行要點）</w:t>
      </w:r>
      <w:r w:rsidRPr="000B4BAC">
        <w:rPr>
          <w:rFonts w:hint="eastAsia"/>
        </w:rPr>
        <w:t>，同年6月實施查扣犯罪所得專責機制</w:t>
      </w:r>
      <w:r>
        <w:rPr>
          <w:rFonts w:hint="eastAsia"/>
        </w:rPr>
        <w:t>，分別由</w:t>
      </w:r>
      <w:r w:rsidRPr="00651638">
        <w:rPr>
          <w:rFonts w:hint="eastAsia"/>
        </w:rPr>
        <w:t>最高</w:t>
      </w:r>
      <w:r>
        <w:rPr>
          <w:rFonts w:hint="eastAsia"/>
        </w:rPr>
        <w:t>法院</w:t>
      </w:r>
      <w:r w:rsidRPr="00651638">
        <w:rPr>
          <w:rFonts w:hint="eastAsia"/>
        </w:rPr>
        <w:t>檢察署特</w:t>
      </w:r>
      <w:r>
        <w:rPr>
          <w:rFonts w:hint="eastAsia"/>
        </w:rPr>
        <w:t>別</w:t>
      </w:r>
      <w:r w:rsidRPr="00651638">
        <w:rPr>
          <w:rFonts w:hint="eastAsia"/>
        </w:rPr>
        <w:t>偵</w:t>
      </w:r>
      <w:r>
        <w:rPr>
          <w:rFonts w:hint="eastAsia"/>
        </w:rPr>
        <w:t>查</w:t>
      </w:r>
      <w:r w:rsidRPr="00651638">
        <w:rPr>
          <w:rFonts w:hint="eastAsia"/>
        </w:rPr>
        <w:t>組</w:t>
      </w:r>
      <w:r>
        <w:rPr>
          <w:rFonts w:hint="eastAsia"/>
        </w:rPr>
        <w:t>、臺灣高等法院檢察署</w:t>
      </w:r>
      <w:r w:rsidRPr="00651638">
        <w:rPr>
          <w:rFonts w:hint="eastAsia"/>
        </w:rPr>
        <w:t>、</w:t>
      </w:r>
      <w:proofErr w:type="gramStart"/>
      <w:r w:rsidRPr="00651638">
        <w:rPr>
          <w:rFonts w:hint="eastAsia"/>
        </w:rPr>
        <w:t>臺</w:t>
      </w:r>
      <w:proofErr w:type="gramEnd"/>
      <w:r w:rsidRPr="00651638">
        <w:rPr>
          <w:rFonts w:hint="eastAsia"/>
        </w:rPr>
        <w:t>北</w:t>
      </w:r>
      <w:r>
        <w:rPr>
          <w:rFonts w:hint="eastAsia"/>
        </w:rPr>
        <w:t>、</w:t>
      </w:r>
      <w:proofErr w:type="gramStart"/>
      <w:r w:rsidRPr="00651638">
        <w:rPr>
          <w:rFonts w:hint="eastAsia"/>
        </w:rPr>
        <w:t>臺</w:t>
      </w:r>
      <w:proofErr w:type="gramEnd"/>
      <w:r w:rsidRPr="00651638">
        <w:rPr>
          <w:rFonts w:hint="eastAsia"/>
        </w:rPr>
        <w:t>中</w:t>
      </w:r>
      <w:r>
        <w:rPr>
          <w:rFonts w:hint="eastAsia"/>
        </w:rPr>
        <w:t>、</w:t>
      </w:r>
      <w:r w:rsidRPr="00651638">
        <w:rPr>
          <w:rFonts w:hint="eastAsia"/>
        </w:rPr>
        <w:t>高雄地</w:t>
      </w:r>
      <w:r>
        <w:rPr>
          <w:rFonts w:hint="eastAsia"/>
        </w:rPr>
        <w:t>方法院</w:t>
      </w:r>
      <w:r w:rsidRPr="00651638">
        <w:rPr>
          <w:rFonts w:hint="eastAsia"/>
        </w:rPr>
        <w:t>檢</w:t>
      </w:r>
      <w:r>
        <w:rPr>
          <w:rFonts w:hint="eastAsia"/>
        </w:rPr>
        <w:t>察</w:t>
      </w:r>
      <w:r w:rsidRPr="00651638">
        <w:rPr>
          <w:rFonts w:hint="eastAsia"/>
        </w:rPr>
        <w:t>署</w:t>
      </w:r>
      <w:r>
        <w:rPr>
          <w:rFonts w:hint="eastAsia"/>
        </w:rPr>
        <w:t>成立</w:t>
      </w:r>
      <w:r w:rsidRPr="00651638">
        <w:rPr>
          <w:rFonts w:hint="eastAsia"/>
        </w:rPr>
        <w:t>查扣犯罪所得專責小組</w:t>
      </w:r>
      <w:r>
        <w:rPr>
          <w:rFonts w:hint="eastAsia"/>
        </w:rPr>
        <w:t>，並建置檢察機關查扣犯罪的聯繫窗口。然</w:t>
      </w:r>
      <w:proofErr w:type="gramStart"/>
      <w:r>
        <w:rPr>
          <w:rFonts w:hint="eastAsia"/>
        </w:rPr>
        <w:t>詢</w:t>
      </w:r>
      <w:proofErr w:type="gramEnd"/>
      <w:r>
        <w:rPr>
          <w:rFonts w:hint="eastAsia"/>
        </w:rPr>
        <w:t>據法務部表示，因該機制仍在試辦階段，故專責小組檢察官除辦理協助查扣業務，尚須辦理一般刑事案件。為合理限制其處理案件量，試行要點明定需犯罪所得達1</w:t>
      </w:r>
      <w:proofErr w:type="gramStart"/>
      <w:r>
        <w:rPr>
          <w:rFonts w:hint="eastAsia"/>
        </w:rPr>
        <w:t>千萬</w:t>
      </w:r>
      <w:proofErr w:type="gramEnd"/>
      <w:r>
        <w:rPr>
          <w:rFonts w:hint="eastAsia"/>
        </w:rPr>
        <w:t>元者，始可簽請專責小組協助辦理</w:t>
      </w:r>
      <w:r>
        <w:rPr>
          <w:rFonts w:hint="eastAsia"/>
        </w:rPr>
        <w:lastRenderedPageBreak/>
        <w:t>相關事宜。且因刑事案件之偵查主體為各該案件之承辦檢察官，有關該案之相關資產</w:t>
      </w:r>
      <w:proofErr w:type="gramStart"/>
      <w:r>
        <w:rPr>
          <w:rFonts w:hint="eastAsia"/>
        </w:rPr>
        <w:t>查扣等強制處分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均應由</w:t>
      </w:r>
      <w:proofErr w:type="gramEnd"/>
      <w:r>
        <w:rPr>
          <w:rFonts w:hint="eastAsia"/>
        </w:rPr>
        <w:t>承辦檢察官為之，查扣犯罪專責小組檢察官僅能提供各地檢署檢察官諮詢協助等語。</w:t>
      </w:r>
    </w:p>
    <w:p w:rsidR="00F24081" w:rsidRDefault="00FB680C" w:rsidP="00F24081">
      <w:pPr>
        <w:pStyle w:val="3"/>
        <w:kinsoku w:val="0"/>
      </w:pPr>
      <w:r w:rsidRPr="00066935">
        <w:rPr>
          <w:rFonts w:hint="eastAsia"/>
        </w:rPr>
        <w:t>再</w:t>
      </w:r>
      <w:r w:rsidR="00F24081" w:rsidRPr="00066935">
        <w:rPr>
          <w:rFonts w:hint="eastAsia"/>
        </w:rPr>
        <w:t>觀法務部推動</w:t>
      </w:r>
      <w:r w:rsidR="00F24081">
        <w:rPr>
          <w:rFonts w:hint="eastAsia"/>
        </w:rPr>
        <w:t>之查扣犯罪專責機制，依試行要點規定，查扣犯罪小組係由特</w:t>
      </w:r>
      <w:proofErr w:type="gramStart"/>
      <w:r w:rsidR="00F24081">
        <w:rPr>
          <w:rFonts w:hint="eastAsia"/>
        </w:rPr>
        <w:t>偵</w:t>
      </w:r>
      <w:proofErr w:type="gramEnd"/>
      <w:r w:rsidR="00F24081">
        <w:rPr>
          <w:rFonts w:hint="eastAsia"/>
        </w:rPr>
        <w:t>組主任或檢察長指派之主任檢察官任召集人，</w:t>
      </w:r>
      <w:proofErr w:type="gramStart"/>
      <w:r w:rsidR="00F24081">
        <w:rPr>
          <w:rFonts w:hint="eastAsia"/>
        </w:rPr>
        <w:t>下轄數檢察官</w:t>
      </w:r>
      <w:proofErr w:type="gramEnd"/>
      <w:r w:rsidR="00F24081">
        <w:rPr>
          <w:rFonts w:hint="eastAsia"/>
        </w:rPr>
        <w:t>及檢察事務官，採取兼辦模式，小組成員尚須辦理其他刑事案件。且因重大貪污犯罪所得之追查涉及資金流向之</w:t>
      </w:r>
      <w:proofErr w:type="gramStart"/>
      <w:r w:rsidR="00F24081">
        <w:rPr>
          <w:rFonts w:hint="eastAsia"/>
        </w:rPr>
        <w:t>釐</w:t>
      </w:r>
      <w:proofErr w:type="gramEnd"/>
      <w:r w:rsidR="00F24081">
        <w:rPr>
          <w:rFonts w:hint="eastAsia"/>
        </w:rPr>
        <w:t>清及請求司法互助等面向，需有高度專業並投注相當之時間精力。在資源分配有限的前提下，能否賦予該小組足夠之辦案決心及動機，實令人質疑。加以各地檢署限於偵辦犯罪所得達1</w:t>
      </w:r>
      <w:proofErr w:type="gramStart"/>
      <w:r w:rsidR="00F24081">
        <w:rPr>
          <w:rFonts w:hint="eastAsia"/>
        </w:rPr>
        <w:t>千萬</w:t>
      </w:r>
      <w:proofErr w:type="gramEnd"/>
      <w:r w:rsidR="00F24081">
        <w:rPr>
          <w:rFonts w:hint="eastAsia"/>
        </w:rPr>
        <w:t>元以上之案件，始能簽請檢察長核定請求專責小組提供諮詢協助，在</w:t>
      </w:r>
      <w:proofErr w:type="gramStart"/>
      <w:r w:rsidR="00F24081">
        <w:rPr>
          <w:rFonts w:hint="eastAsia"/>
        </w:rPr>
        <w:t>在</w:t>
      </w:r>
      <w:proofErr w:type="gramEnd"/>
      <w:r w:rsidR="00F24081">
        <w:rPr>
          <w:rFonts w:hint="eastAsia"/>
        </w:rPr>
        <w:t>限制其功能之發揮</w:t>
      </w:r>
      <w:r w:rsidRPr="00066935">
        <w:rPr>
          <w:rFonts w:hint="eastAsia"/>
        </w:rPr>
        <w:t>，已</w:t>
      </w:r>
      <w:proofErr w:type="gramStart"/>
      <w:r w:rsidRPr="00066935">
        <w:rPr>
          <w:rFonts w:hint="eastAsia"/>
        </w:rPr>
        <w:t>可概見</w:t>
      </w:r>
      <w:proofErr w:type="gramEnd"/>
      <w:r w:rsidR="00F24081" w:rsidRPr="00066935">
        <w:rPr>
          <w:rFonts w:hint="eastAsia"/>
        </w:rPr>
        <w:t>。</w:t>
      </w:r>
    </w:p>
    <w:p w:rsidR="00786129" w:rsidRPr="00B42D12" w:rsidRDefault="00786129" w:rsidP="00786129">
      <w:pPr>
        <w:pStyle w:val="2"/>
        <w:numPr>
          <w:ilvl w:val="0"/>
          <w:numId w:val="0"/>
        </w:numPr>
        <w:ind w:leftChars="202" w:left="687" w:firstLineChars="200" w:firstLine="680"/>
      </w:pPr>
      <w:r>
        <w:rPr>
          <w:rFonts w:hint="eastAsia"/>
        </w:rPr>
        <w:t>綜上所述，法務部</w:t>
      </w:r>
      <w:r w:rsidR="00A761EF" w:rsidRPr="00066935">
        <w:rPr>
          <w:rFonts w:hint="eastAsia"/>
        </w:rPr>
        <w:t>對於</w:t>
      </w:r>
      <w:r w:rsidRPr="00B42D12">
        <w:rPr>
          <w:rFonts w:hint="eastAsia"/>
        </w:rPr>
        <w:t>所屬各地檢署執行貪污犯罪案件</w:t>
      </w:r>
      <w:r w:rsidR="00F23212">
        <w:rPr>
          <w:rFonts w:hint="eastAsia"/>
        </w:rPr>
        <w:t>沒收、追徵、追繳、抵償所得回收</w:t>
      </w:r>
      <w:r w:rsidR="00F23212" w:rsidRPr="00B42D12">
        <w:rPr>
          <w:rFonts w:hint="eastAsia"/>
        </w:rPr>
        <w:t>之</w:t>
      </w:r>
      <w:r w:rsidR="00F23212">
        <w:rPr>
          <w:rFonts w:hint="eastAsia"/>
        </w:rPr>
        <w:t>金額</w:t>
      </w:r>
      <w:r w:rsidRPr="00B42D12">
        <w:rPr>
          <w:rFonts w:hint="eastAsia"/>
        </w:rPr>
        <w:t>迄未達</w:t>
      </w:r>
      <w:proofErr w:type="gramStart"/>
      <w:r w:rsidRPr="00B42D12">
        <w:t>3</w:t>
      </w:r>
      <w:r w:rsidRPr="00B42D12">
        <w:rPr>
          <w:rFonts w:hint="eastAsia"/>
        </w:rPr>
        <w:t>成</w:t>
      </w:r>
      <w:proofErr w:type="gramEnd"/>
      <w:r w:rsidRPr="00B42D12">
        <w:rPr>
          <w:rFonts w:hint="eastAsia"/>
        </w:rPr>
        <w:t>，</w:t>
      </w:r>
      <w:r w:rsidR="00A761EF" w:rsidRPr="00066935">
        <w:rPr>
          <w:rFonts w:hint="eastAsia"/>
        </w:rPr>
        <w:t>顯然督導不力，核有違失；而</w:t>
      </w:r>
      <w:r w:rsidR="00171BEF" w:rsidRPr="00066935">
        <w:rPr>
          <w:rFonts w:hint="eastAsia"/>
        </w:rPr>
        <w:t>查扣犯罪所得</w:t>
      </w:r>
      <w:r w:rsidRPr="00066935">
        <w:rPr>
          <w:rFonts w:hint="eastAsia"/>
        </w:rPr>
        <w:t>專責小組之功能</w:t>
      </w:r>
      <w:r w:rsidR="00A761EF" w:rsidRPr="00066935">
        <w:rPr>
          <w:rFonts w:hint="eastAsia"/>
        </w:rPr>
        <w:t>多有限制，宜即檢討改進</w:t>
      </w:r>
      <w:r w:rsidRPr="00066935">
        <w:rPr>
          <w:rFonts w:hint="eastAsia"/>
        </w:rPr>
        <w:t>，</w:t>
      </w:r>
      <w:bookmarkStart w:id="43" w:name="_Toc529222689"/>
      <w:bookmarkStart w:id="44" w:name="_Toc529223111"/>
      <w:bookmarkStart w:id="45" w:name="_Toc529223862"/>
      <w:bookmarkStart w:id="46" w:name="_Toc529228265"/>
      <w:proofErr w:type="gramStart"/>
      <w:r w:rsidRPr="00066935">
        <w:rPr>
          <w:rFonts w:hint="eastAsia"/>
        </w:rPr>
        <w:t>爰</w:t>
      </w:r>
      <w:proofErr w:type="gramEnd"/>
      <w:r w:rsidRPr="00066935">
        <w:rPr>
          <w:rFonts w:hint="eastAsia"/>
        </w:rPr>
        <w:t>依監察法第24條提案糾正，移送行政院轉</w:t>
      </w:r>
      <w:proofErr w:type="gramStart"/>
      <w:r w:rsidRPr="00066935">
        <w:rPr>
          <w:rFonts w:hint="eastAsia"/>
        </w:rPr>
        <w:t>飭</w:t>
      </w:r>
      <w:proofErr w:type="gramEnd"/>
      <w:r w:rsidR="00A761EF" w:rsidRPr="00066935">
        <w:rPr>
          <w:rFonts w:hint="eastAsia"/>
        </w:rPr>
        <w:t>法務部</w:t>
      </w:r>
      <w:r w:rsidRPr="00066935">
        <w:rPr>
          <w:rFonts w:hint="eastAsia"/>
        </w:rPr>
        <w:t>確實檢討改善</w:t>
      </w:r>
      <w:proofErr w:type="gramStart"/>
      <w:r w:rsidRPr="00066935">
        <w:rPr>
          <w:rFonts w:hint="eastAsia"/>
        </w:rPr>
        <w:t>見復。</w:t>
      </w:r>
      <w:bookmarkEnd w:id="43"/>
      <w:bookmarkEnd w:id="44"/>
      <w:bookmarkEnd w:id="45"/>
      <w:bookmarkEnd w:id="46"/>
      <w:proofErr w:type="gramEnd"/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:rsidR="005D6DD2" w:rsidRDefault="00786129">
      <w:pPr>
        <w:pStyle w:val="11"/>
        <w:ind w:left="680" w:firstLine="680"/>
        <w:rPr>
          <w:bCs/>
        </w:rPr>
      </w:pPr>
      <w:r>
        <w:rPr>
          <w:rFonts w:hint="eastAsia"/>
          <w:bCs/>
        </w:rPr>
        <w:t xml:space="preserve"> </w:t>
      </w:r>
    </w:p>
    <w:p w:rsidR="005D6DD2" w:rsidRDefault="005D6DD2">
      <w:pPr>
        <w:ind w:leftChars="200" w:left="680" w:firstLineChars="200" w:firstLine="680"/>
        <w:rPr>
          <w:rFonts w:ascii="標楷體"/>
          <w:bCs/>
          <w:kern w:val="0"/>
        </w:rPr>
      </w:pPr>
    </w:p>
    <w:p w:rsidR="005D6DD2" w:rsidRDefault="00D72F75">
      <w:pPr>
        <w:pStyle w:val="a3"/>
        <w:spacing w:before="0" w:after="0"/>
        <w:ind w:leftChars="1100" w:left="3742"/>
        <w:jc w:val="both"/>
        <w:rPr>
          <w:b w:val="0"/>
          <w:bCs/>
          <w:snapToGrid/>
          <w:spacing w:val="0"/>
          <w:kern w:val="0"/>
          <w:sz w:val="40"/>
        </w:rPr>
      </w:pPr>
      <w:bookmarkStart w:id="47" w:name="_Toc524895649"/>
      <w:bookmarkStart w:id="48" w:name="_Toc524896195"/>
      <w:bookmarkStart w:id="49" w:name="_Toc524896225"/>
      <w:bookmarkEnd w:id="47"/>
      <w:bookmarkEnd w:id="48"/>
      <w:bookmarkEnd w:id="49"/>
      <w:r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792611">
        <w:rPr>
          <w:rFonts w:hint="eastAsia"/>
          <w:b w:val="0"/>
          <w:bCs/>
          <w:snapToGrid/>
          <w:spacing w:val="12"/>
          <w:kern w:val="0"/>
          <w:sz w:val="40"/>
        </w:rPr>
        <w:t>陳健民</w:t>
      </w:r>
    </w:p>
    <w:p w:rsidR="005D6DD2" w:rsidRDefault="005D6DD2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5D6DD2" w:rsidRDefault="005D6DD2">
      <w:pPr>
        <w:pStyle w:val="a3"/>
        <w:spacing w:before="0" w:after="0"/>
        <w:ind w:leftChars="1100" w:left="3742" w:firstLineChars="500" w:firstLine="1901"/>
        <w:jc w:val="both"/>
        <w:rPr>
          <w:b w:val="0"/>
          <w:bCs/>
          <w:snapToGrid/>
          <w:spacing w:val="0"/>
          <w:kern w:val="0"/>
        </w:rPr>
      </w:pPr>
    </w:p>
    <w:p w:rsidR="00786129" w:rsidRDefault="00786129">
      <w:pPr>
        <w:jc w:val="distribute"/>
        <w:rPr>
          <w:kern w:val="0"/>
        </w:rPr>
      </w:pPr>
    </w:p>
    <w:sectPr w:rsidR="00786129" w:rsidSect="005D6DD2">
      <w:footerReference w:type="even" r:id="rId7"/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804" w:rsidRDefault="00E04804" w:rsidP="00A43D9C">
      <w:r>
        <w:separator/>
      </w:r>
    </w:p>
  </w:endnote>
  <w:endnote w:type="continuationSeparator" w:id="0">
    <w:p w:rsidR="00E04804" w:rsidRDefault="00E04804" w:rsidP="00A43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2" w:rsidRDefault="00B07AB0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 w:rsidR="00D72F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2F75">
      <w:rPr>
        <w:rStyle w:val="a5"/>
        <w:noProof/>
      </w:rPr>
      <w:t>3</w:t>
    </w:r>
    <w:r>
      <w:rPr>
        <w:rStyle w:val="a5"/>
      </w:rPr>
      <w:fldChar w:fldCharType="end"/>
    </w:r>
  </w:p>
  <w:p w:rsidR="005D6DD2" w:rsidRDefault="005D6DD2">
    <w:pPr>
      <w:ind w:left="768" w:right="360" w:hanging="44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DD2" w:rsidRDefault="00B07AB0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D72F75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3F451D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5D6DD2" w:rsidRDefault="005D6DD2">
    <w:pPr>
      <w:ind w:left="640" w:right="360" w:firstLine="4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804" w:rsidRDefault="00E04804" w:rsidP="00A43D9C">
      <w:r>
        <w:separator/>
      </w:r>
    </w:p>
  </w:footnote>
  <w:footnote w:type="continuationSeparator" w:id="0">
    <w:p w:rsidR="00E04804" w:rsidRDefault="00E04804" w:rsidP="00A43D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DD3256F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92663"/>
    <w:rsid w:val="00066935"/>
    <w:rsid w:val="0011126D"/>
    <w:rsid w:val="00171BEF"/>
    <w:rsid w:val="002A408F"/>
    <w:rsid w:val="003F451D"/>
    <w:rsid w:val="005579FD"/>
    <w:rsid w:val="005D6DD2"/>
    <w:rsid w:val="006715DD"/>
    <w:rsid w:val="006C5D66"/>
    <w:rsid w:val="006E6B60"/>
    <w:rsid w:val="0072256C"/>
    <w:rsid w:val="007279F9"/>
    <w:rsid w:val="00786129"/>
    <w:rsid w:val="00792611"/>
    <w:rsid w:val="007A065A"/>
    <w:rsid w:val="007E3C8C"/>
    <w:rsid w:val="0088287B"/>
    <w:rsid w:val="009D620F"/>
    <w:rsid w:val="009E18A1"/>
    <w:rsid w:val="00A761EF"/>
    <w:rsid w:val="00B07AB0"/>
    <w:rsid w:val="00B7640C"/>
    <w:rsid w:val="00C70F7E"/>
    <w:rsid w:val="00D562EC"/>
    <w:rsid w:val="00D66F7F"/>
    <w:rsid w:val="00D72F75"/>
    <w:rsid w:val="00E04804"/>
    <w:rsid w:val="00E73614"/>
    <w:rsid w:val="00E92663"/>
    <w:rsid w:val="00F23212"/>
    <w:rsid w:val="00F24081"/>
    <w:rsid w:val="00F474C9"/>
    <w:rsid w:val="00FB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DD2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rsid w:val="005D6DD2"/>
    <w:pPr>
      <w:numPr>
        <w:numId w:val="1"/>
      </w:numPr>
      <w:kinsoku w:val="0"/>
      <w:ind w:left="800" w:hangingChars="800" w:hanging="80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qFormat/>
    <w:rsid w:val="005D6DD2"/>
    <w:pPr>
      <w:numPr>
        <w:ilvl w:val="1"/>
        <w:numId w:val="1"/>
      </w:numPr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rsid w:val="005D6DD2"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"/>
    <w:qFormat/>
    <w:rsid w:val="005D6DD2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rsid w:val="005D6DD2"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rsid w:val="005D6DD2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rsid w:val="005D6DD2"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rsid w:val="005D6DD2"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0"/>
    <w:rsid w:val="005D6DD2"/>
    <w:pPr>
      <w:ind w:leftChars="400" w:left="400"/>
    </w:pPr>
  </w:style>
  <w:style w:type="paragraph" w:customStyle="1" w:styleId="20">
    <w:name w:val="段落樣式2"/>
    <w:basedOn w:val="a"/>
    <w:rsid w:val="005D6DD2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rsid w:val="005D6DD2"/>
    <w:pPr>
      <w:ind w:leftChars="500" w:left="500"/>
    </w:pPr>
  </w:style>
  <w:style w:type="paragraph" w:customStyle="1" w:styleId="50">
    <w:name w:val="段落樣式5"/>
    <w:basedOn w:val="40"/>
    <w:rsid w:val="005D6DD2"/>
    <w:pPr>
      <w:ind w:leftChars="600" w:left="600"/>
    </w:pPr>
  </w:style>
  <w:style w:type="paragraph" w:customStyle="1" w:styleId="60">
    <w:name w:val="段落樣式6"/>
    <w:basedOn w:val="50"/>
    <w:rsid w:val="005D6DD2"/>
    <w:pPr>
      <w:ind w:leftChars="700" w:left="700"/>
    </w:pPr>
  </w:style>
  <w:style w:type="paragraph" w:customStyle="1" w:styleId="70">
    <w:name w:val="段落樣式7"/>
    <w:basedOn w:val="60"/>
    <w:rsid w:val="005D6DD2"/>
  </w:style>
  <w:style w:type="paragraph" w:customStyle="1" w:styleId="80">
    <w:name w:val="段落樣式8"/>
    <w:basedOn w:val="70"/>
    <w:rsid w:val="005D6DD2"/>
    <w:pPr>
      <w:ind w:leftChars="800" w:left="800"/>
    </w:pPr>
  </w:style>
  <w:style w:type="paragraph" w:styleId="a3">
    <w:name w:val="Signature"/>
    <w:basedOn w:val="a"/>
    <w:semiHidden/>
    <w:rsid w:val="005D6DD2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rsid w:val="005D6DD2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sid w:val="005D6DD2"/>
    <w:rPr>
      <w:rFonts w:ascii="標楷體" w:eastAsia="標楷體"/>
      <w:sz w:val="20"/>
    </w:rPr>
  </w:style>
  <w:style w:type="paragraph" w:styleId="10">
    <w:name w:val="toc 1"/>
    <w:basedOn w:val="a"/>
    <w:next w:val="a"/>
    <w:semiHidden/>
    <w:rsid w:val="005D6DD2"/>
    <w:pPr>
      <w:ind w:left="200" w:hangingChars="200" w:hanging="200"/>
      <w:jc w:val="both"/>
    </w:pPr>
    <w:rPr>
      <w:rFonts w:ascii="標楷體"/>
    </w:rPr>
  </w:style>
  <w:style w:type="paragraph" w:styleId="21">
    <w:name w:val="toc 2"/>
    <w:basedOn w:val="a"/>
    <w:next w:val="a"/>
    <w:autoRedefine/>
    <w:semiHidden/>
    <w:rsid w:val="005D6DD2"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rsid w:val="005D6DD2"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rsid w:val="005D6DD2"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rsid w:val="005D6DD2"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rsid w:val="005D6DD2"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rsid w:val="005D6DD2"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rsid w:val="005D6DD2"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rsid w:val="005D6DD2"/>
    <w:pPr>
      <w:ind w:leftChars="1600" w:left="3840"/>
    </w:pPr>
  </w:style>
  <w:style w:type="character" w:styleId="a6">
    <w:name w:val="Hyperlink"/>
    <w:basedOn w:val="a0"/>
    <w:semiHidden/>
    <w:rsid w:val="005D6DD2"/>
    <w:rPr>
      <w:color w:val="0000FF"/>
      <w:u w:val="single"/>
    </w:rPr>
  </w:style>
  <w:style w:type="paragraph" w:customStyle="1" w:styleId="11">
    <w:name w:val="段落樣式1"/>
    <w:basedOn w:val="a"/>
    <w:rsid w:val="005D6DD2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0"/>
    <w:rsid w:val="005D6DD2"/>
    <w:pPr>
      <w:ind w:leftChars="200" w:left="200" w:firstLineChars="0" w:firstLine="0"/>
    </w:pPr>
  </w:style>
  <w:style w:type="paragraph" w:styleId="a7">
    <w:name w:val="header"/>
    <w:basedOn w:val="a"/>
    <w:semiHidden/>
    <w:rsid w:val="005D6DD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rsid w:val="005D6DD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rsid w:val="005D6DD2"/>
    <w:pPr>
      <w:kinsoku w:val="0"/>
      <w:jc w:val="distribute"/>
    </w:pPr>
    <w:rPr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F24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40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yem\AppData\Roaming\Microsoft\Templates\&#27243;&#24335;&#35519;&#26597;&#34920;&#21934;\C031&#31998;&#27491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C031糾正案文格式體例(橫式)</Template>
  <TotalTime>49</TotalTime>
  <Pages>4</Pages>
  <Words>356</Words>
  <Characters>2035</Characters>
  <Application>Microsoft Office Word</Application>
  <DocSecurity>0</DocSecurity>
  <Lines>16</Lines>
  <Paragraphs>4</Paragraphs>
  <ScaleCrop>false</ScaleCrop>
  <Company>cy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admin</dc:creator>
  <cp:lastModifiedBy>user</cp:lastModifiedBy>
  <cp:revision>8</cp:revision>
  <cp:lastPrinted>2014-06-13T07:23:00Z</cp:lastPrinted>
  <dcterms:created xsi:type="dcterms:W3CDTF">2014-06-13T01:52:00Z</dcterms:created>
  <dcterms:modified xsi:type="dcterms:W3CDTF">2014-07-09T06:23:00Z</dcterms:modified>
</cp:coreProperties>
</file>