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583155" w14:textId="17F7779A" w:rsidR="00FC7D44" w:rsidRPr="002A4102" w:rsidRDefault="006070A2" w:rsidP="003213CB">
      <w:pPr>
        <w:spacing w:beforeLines="15" w:before="36" w:afterLines="15" w:after="36" w:line="440" w:lineRule="exact"/>
        <w:ind w:right="-4"/>
        <w:jc w:val="both"/>
        <w:rPr>
          <w:rFonts w:ascii="標楷體" w:eastAsia="標楷體" w:hAnsi="標楷體"/>
          <w:sz w:val="40"/>
        </w:rPr>
      </w:pPr>
      <w:r w:rsidRPr="006070A2">
        <w:rPr>
          <w:rFonts w:ascii="標楷體" w:hAnsi="標楷體"/>
          <w:noProof/>
          <w:spacing w:val="-18"/>
          <w:sz w:val="44"/>
          <w:szCs w:val="44"/>
        </w:rPr>
        <mc:AlternateContent>
          <mc:Choice Requires="wps">
            <w:drawing>
              <wp:anchor distT="45720" distB="45720" distL="114300" distR="114300" simplePos="0" relativeHeight="251659264" behindDoc="1" locked="0" layoutInCell="1" allowOverlap="1" wp14:anchorId="6B09B41E" wp14:editId="6D10DD57">
                <wp:simplePos x="0" y="0"/>
                <wp:positionH relativeFrom="column">
                  <wp:posOffset>5325110</wp:posOffset>
                </wp:positionH>
                <wp:positionV relativeFrom="paragraph">
                  <wp:posOffset>-504190</wp:posOffset>
                </wp:positionV>
                <wp:extent cx="1043940" cy="434340"/>
                <wp:effectExtent l="0" t="0" r="0" b="3810"/>
                <wp:wrapNone/>
                <wp:docPr id="21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3940" cy="434340"/>
                        </a:xfrm>
                        <a:prstGeom prst="rect">
                          <a:avLst/>
                        </a:prstGeom>
                        <a:noFill/>
                        <a:ln w="9525">
                          <a:noFill/>
                          <a:miter lim="800000"/>
                          <a:headEnd/>
                          <a:tailEnd/>
                        </a:ln>
                      </wps:spPr>
                      <wps:txbx>
                        <w:txbxContent>
                          <w:p w14:paraId="3E503C60" w14:textId="6F199895" w:rsidR="006070A2" w:rsidRPr="006070A2" w:rsidRDefault="006070A2" w:rsidP="006070A2">
                            <w:pPr>
                              <w:jc w:val="center"/>
                              <w:rPr>
                                <w:rFonts w:ascii="標楷體" w:eastAsia="標楷體" w:hAnsi="標楷體"/>
                                <w:sz w:val="36"/>
                                <w:szCs w:val="28"/>
                              </w:rPr>
                            </w:pPr>
                            <w:r w:rsidRPr="006070A2">
                              <w:rPr>
                                <w:rFonts w:ascii="標楷體" w:eastAsia="標楷體" w:hAnsi="標楷體" w:hint="eastAsia"/>
                                <w:sz w:val="36"/>
                                <w:szCs w:val="28"/>
                              </w:rPr>
                              <w:t>附件</w:t>
                            </w:r>
                            <w:r w:rsidR="00F4483A">
                              <w:rPr>
                                <w:rFonts w:ascii="標楷體" w:eastAsia="標楷體" w:hAnsi="標楷體" w:hint="eastAsia"/>
                                <w:sz w:val="36"/>
                                <w:szCs w:val="28"/>
                              </w:rPr>
                              <w:t>二</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B09B41E" id="_x0000_t202" coordsize="21600,21600" o:spt="202" path="m,l,21600r21600,l21600,xe">
                <v:stroke joinstyle="miter"/>
                <v:path gradientshapeok="t" o:connecttype="rect"/>
              </v:shapetype>
              <v:shape id="文字方塊 2" o:spid="_x0000_s1026" type="#_x0000_t202" style="position:absolute;left:0;text-align:left;margin-left:419.3pt;margin-top:-39.7pt;width:82.2pt;height:34.2pt;z-index:-251657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" filled="f" stroked="f">
                <v:textbox>
                  <w:txbxContent>
                    <w:p w14:paraId="3E503C60" w14:textId="6F199895" w:rsidR="006070A2" w:rsidRPr="006070A2" w:rsidRDefault="006070A2" w:rsidP="006070A2">
                      <w:pPr>
                        <w:jc w:val="center"/>
                        <w:rPr>
                          <w:rFonts w:ascii="標楷體" w:eastAsia="標楷體" w:hAnsi="標楷體"/>
                          <w:sz w:val="36"/>
                          <w:szCs w:val="28"/>
                        </w:rPr>
                      </w:pPr>
                      <w:r w:rsidRPr="006070A2">
                        <w:rPr>
                          <w:rFonts w:ascii="標楷體" w:eastAsia="標楷體" w:hAnsi="標楷體" w:hint="eastAsia"/>
                          <w:sz w:val="36"/>
                          <w:szCs w:val="28"/>
                        </w:rPr>
                        <w:t>附件</w:t>
                      </w:r>
                      <w:r w:rsidR="00F4483A">
                        <w:rPr>
                          <w:rFonts w:ascii="標楷體" w:eastAsia="標楷體" w:hAnsi="標楷體" w:hint="eastAsia"/>
                          <w:sz w:val="36"/>
                          <w:szCs w:val="28"/>
                        </w:rPr>
                        <w:t>二</w:t>
                      </w:r>
                    </w:p>
                  </w:txbxContent>
                </v:textbox>
              </v:shape>
            </w:pict>
          </mc:Fallback>
        </mc:AlternateContent>
      </w:r>
    </w:p>
    <w:p w14:paraId="14C7B6AD" w14:textId="17D58FED" w:rsidR="00FC7D44" w:rsidRPr="002A4102" w:rsidRDefault="00FC7D44" w:rsidP="003213CB">
      <w:pPr>
        <w:tabs>
          <w:tab w:val="left" w:pos="2280"/>
        </w:tabs>
        <w:spacing w:beforeLines="15" w:before="36" w:afterLines="15" w:after="36" w:line="440" w:lineRule="exact"/>
        <w:ind w:right="-981"/>
        <w:jc w:val="both"/>
        <w:rPr>
          <w:rFonts w:ascii="標楷體" w:eastAsia="標楷體" w:hAnsi="標楷體"/>
          <w:sz w:val="32"/>
        </w:rPr>
      </w:pPr>
    </w:p>
    <w:p w14:paraId="22B8861E" w14:textId="33B092AB" w:rsidR="00093803" w:rsidRDefault="00093803" w:rsidP="003213CB">
      <w:pPr>
        <w:pStyle w:val="32"/>
        <w:spacing w:beforeLines="15" w:before="36" w:afterLines="15" w:after="36" w:line="240" w:lineRule="auto"/>
        <w:ind w:right="-51"/>
        <w:jc w:val="both"/>
        <w:rPr>
          <w:rFonts w:ascii="標楷體" w:hAnsi="標楷體"/>
          <w:spacing w:val="-18"/>
          <w:sz w:val="44"/>
          <w:szCs w:val="44"/>
        </w:rPr>
      </w:pPr>
      <w:r w:rsidRPr="002A4102">
        <w:rPr>
          <w:rFonts w:ascii="標楷體" w:hAnsi="標楷體" w:hint="eastAsia"/>
          <w:spacing w:val="-18"/>
          <w:sz w:val="44"/>
          <w:szCs w:val="44"/>
        </w:rPr>
        <w:t>核能電廠除役、轉型與核能安全專業人才確保及運用</w:t>
      </w:r>
    </w:p>
    <w:p w14:paraId="4FEC3EEC" w14:textId="77777777" w:rsidR="00421211" w:rsidRPr="00421211" w:rsidRDefault="00421211" w:rsidP="003213CB">
      <w:pPr>
        <w:pStyle w:val="32"/>
        <w:spacing w:beforeLines="15" w:before="36" w:afterLines="15" w:after="36" w:line="240" w:lineRule="auto"/>
        <w:ind w:right="-51"/>
        <w:jc w:val="both"/>
        <w:rPr>
          <w:rFonts w:ascii="標楷體" w:hAnsi="標楷體"/>
          <w:spacing w:val="-18"/>
          <w:sz w:val="44"/>
          <w:szCs w:val="44"/>
        </w:rPr>
      </w:pPr>
    </w:p>
    <w:p w14:paraId="758D146D" w14:textId="438651E3" w:rsidR="000B2D13" w:rsidRPr="00F00750" w:rsidRDefault="00093803" w:rsidP="003213CB">
      <w:pPr>
        <w:pStyle w:val="32"/>
        <w:spacing w:beforeLines="15" w:before="36" w:afterLines="15" w:after="36" w:line="240" w:lineRule="auto"/>
        <w:ind w:right="-51"/>
        <w:jc w:val="both"/>
        <w:rPr>
          <w:rFonts w:ascii="標楷體" w:hAnsi="標楷體"/>
          <w:bCs/>
          <w:spacing w:val="2"/>
          <w:sz w:val="96"/>
          <w:szCs w:val="28"/>
        </w:rPr>
      </w:pPr>
      <w:r w:rsidRPr="00F00750">
        <w:rPr>
          <w:rFonts w:ascii="標楷體" w:hAnsi="標楷體" w:hint="eastAsia"/>
          <w:spacing w:val="2"/>
          <w:sz w:val="44"/>
          <w:szCs w:val="44"/>
        </w:rPr>
        <w:t>小型模組化反應器(SMR)新世代能源評估及運用</w:t>
      </w:r>
    </w:p>
    <w:p w14:paraId="7777AA5C" w14:textId="77777777" w:rsidR="00093803" w:rsidRPr="002A4102" w:rsidRDefault="00093803" w:rsidP="003213CB">
      <w:pPr>
        <w:pStyle w:val="32"/>
        <w:spacing w:beforeLines="15" w:before="36" w:afterLines="15" w:after="36" w:line="440" w:lineRule="exact"/>
        <w:jc w:val="both"/>
        <w:rPr>
          <w:rFonts w:ascii="標楷體" w:hAnsi="標楷體"/>
          <w:bCs/>
        </w:rPr>
      </w:pPr>
    </w:p>
    <w:p w14:paraId="11F0A5B8" w14:textId="77777777" w:rsidR="00421211" w:rsidRDefault="00421211" w:rsidP="003213CB">
      <w:pPr>
        <w:pStyle w:val="32"/>
        <w:spacing w:beforeLines="15" w:before="36" w:afterLines="15" w:after="36" w:line="240" w:lineRule="auto"/>
        <w:ind w:right="-51"/>
        <w:rPr>
          <w:rFonts w:ascii="標楷體" w:hAnsi="標楷體"/>
          <w:bCs/>
          <w:spacing w:val="300"/>
        </w:rPr>
      </w:pPr>
    </w:p>
    <w:p w14:paraId="1297651C" w14:textId="77777777" w:rsidR="00421211" w:rsidRDefault="00421211" w:rsidP="003213CB">
      <w:pPr>
        <w:pStyle w:val="32"/>
        <w:spacing w:beforeLines="15" w:before="36" w:afterLines="15" w:after="36" w:line="240" w:lineRule="auto"/>
        <w:ind w:right="-51"/>
        <w:rPr>
          <w:rFonts w:ascii="標楷體" w:hAnsi="標楷體"/>
          <w:bCs/>
          <w:spacing w:val="300"/>
        </w:rPr>
      </w:pPr>
    </w:p>
    <w:p w14:paraId="2B48F4E4" w14:textId="77777777" w:rsidR="00421211" w:rsidRDefault="00421211" w:rsidP="003213CB">
      <w:pPr>
        <w:pStyle w:val="32"/>
        <w:spacing w:beforeLines="15" w:before="36" w:afterLines="15" w:after="36" w:line="240" w:lineRule="auto"/>
        <w:ind w:right="-51"/>
        <w:rPr>
          <w:rFonts w:ascii="標楷體" w:hAnsi="標楷體"/>
          <w:bCs/>
          <w:spacing w:val="300"/>
        </w:rPr>
      </w:pPr>
    </w:p>
    <w:p w14:paraId="405583FF" w14:textId="378F5D07" w:rsidR="00FC7D44" w:rsidRPr="00E00B39" w:rsidRDefault="00824E7B" w:rsidP="00E00B39">
      <w:pPr>
        <w:pStyle w:val="32"/>
        <w:spacing w:beforeLines="15" w:before="36" w:afterLines="15" w:after="36" w:line="240" w:lineRule="auto"/>
        <w:ind w:leftChars="800" w:left="1920" w:rightChars="800" w:right="1920"/>
        <w:jc w:val="distribute"/>
        <w:rPr>
          <w:rFonts w:ascii="標楷體" w:hAnsi="標楷體"/>
          <w:bCs/>
        </w:rPr>
      </w:pPr>
      <w:r w:rsidRPr="00E00B39">
        <w:rPr>
          <w:rFonts w:ascii="標楷體" w:hAnsi="標楷體" w:hint="eastAsia"/>
          <w:bCs/>
        </w:rPr>
        <w:t>考察</w:t>
      </w:r>
      <w:r w:rsidR="00FC7D44" w:rsidRPr="00E00B39">
        <w:rPr>
          <w:rFonts w:ascii="標楷體" w:hAnsi="標楷體" w:hint="eastAsia"/>
          <w:bCs/>
        </w:rPr>
        <w:t>報告</w:t>
      </w:r>
    </w:p>
    <w:p w14:paraId="2BB5A4C8" w14:textId="77777777" w:rsidR="00FC7D44" w:rsidRPr="002A4102" w:rsidRDefault="00FC7D44" w:rsidP="003213CB">
      <w:pPr>
        <w:tabs>
          <w:tab w:val="left" w:pos="2280"/>
        </w:tabs>
        <w:spacing w:beforeLines="15" w:before="36" w:afterLines="15" w:after="36" w:line="440" w:lineRule="exact"/>
        <w:ind w:right="-981"/>
        <w:jc w:val="both"/>
        <w:rPr>
          <w:rFonts w:ascii="標楷體" w:eastAsia="標楷體" w:hAnsi="標楷體"/>
          <w:sz w:val="32"/>
        </w:rPr>
      </w:pPr>
    </w:p>
    <w:p w14:paraId="727F49A5" w14:textId="77777777" w:rsidR="00FC7D44" w:rsidRPr="002A4102" w:rsidRDefault="00FC7D44" w:rsidP="003213CB">
      <w:pPr>
        <w:tabs>
          <w:tab w:val="left" w:pos="2280"/>
        </w:tabs>
        <w:spacing w:beforeLines="15" w:before="36" w:afterLines="15" w:after="36" w:line="440" w:lineRule="exact"/>
        <w:ind w:right="-981"/>
        <w:jc w:val="both"/>
        <w:rPr>
          <w:rFonts w:ascii="標楷體" w:eastAsia="標楷體" w:hAnsi="標楷體"/>
          <w:sz w:val="32"/>
        </w:rPr>
      </w:pPr>
    </w:p>
    <w:p w14:paraId="1839399A" w14:textId="77777777" w:rsidR="00FC7D44" w:rsidRPr="002A4102" w:rsidRDefault="00FC7D44" w:rsidP="003213CB">
      <w:pPr>
        <w:tabs>
          <w:tab w:val="left" w:pos="2280"/>
        </w:tabs>
        <w:spacing w:beforeLines="15" w:before="36" w:afterLines="15" w:after="36" w:line="440" w:lineRule="exact"/>
        <w:ind w:right="-981"/>
        <w:jc w:val="both"/>
        <w:rPr>
          <w:rFonts w:ascii="標楷體" w:eastAsia="標楷體" w:hAnsi="標楷體"/>
          <w:sz w:val="32"/>
        </w:rPr>
      </w:pPr>
    </w:p>
    <w:p w14:paraId="666389C2" w14:textId="77777777" w:rsidR="00FC7D44" w:rsidRPr="002A4102" w:rsidRDefault="00FC7D44" w:rsidP="003213CB">
      <w:pPr>
        <w:tabs>
          <w:tab w:val="left" w:pos="2280"/>
        </w:tabs>
        <w:spacing w:beforeLines="15" w:before="36" w:afterLines="15" w:after="36" w:line="440" w:lineRule="exact"/>
        <w:ind w:right="-981"/>
        <w:jc w:val="both"/>
        <w:rPr>
          <w:rFonts w:ascii="標楷體" w:eastAsia="標楷體" w:hAnsi="標楷體"/>
          <w:sz w:val="32"/>
        </w:rPr>
      </w:pPr>
    </w:p>
    <w:p w14:paraId="13A8B5E4" w14:textId="77777777" w:rsidR="00FC7D44" w:rsidRPr="002A4102" w:rsidRDefault="00FC7D44" w:rsidP="003213CB">
      <w:pPr>
        <w:tabs>
          <w:tab w:val="left" w:pos="2280"/>
        </w:tabs>
        <w:spacing w:beforeLines="15" w:before="36" w:afterLines="15" w:after="36" w:line="440" w:lineRule="exact"/>
        <w:ind w:right="-981"/>
        <w:jc w:val="both"/>
        <w:rPr>
          <w:rFonts w:ascii="標楷體" w:eastAsia="標楷體" w:hAnsi="標楷體"/>
          <w:sz w:val="32"/>
        </w:rPr>
      </w:pPr>
    </w:p>
    <w:p w14:paraId="7766CDCD" w14:textId="77777777" w:rsidR="00FC7D44" w:rsidRPr="002A4102" w:rsidRDefault="00FC7D44" w:rsidP="003213CB">
      <w:pPr>
        <w:tabs>
          <w:tab w:val="left" w:pos="2280"/>
        </w:tabs>
        <w:spacing w:beforeLines="15" w:before="36" w:afterLines="15" w:after="36" w:line="440" w:lineRule="exact"/>
        <w:ind w:right="-981"/>
        <w:jc w:val="both"/>
        <w:rPr>
          <w:rFonts w:ascii="標楷體" w:eastAsia="標楷體" w:hAnsi="標楷體"/>
          <w:sz w:val="32"/>
        </w:rPr>
      </w:pPr>
    </w:p>
    <w:p w14:paraId="3DF2168D" w14:textId="70A135BA" w:rsidR="00FC7D44" w:rsidRPr="00E00B39" w:rsidRDefault="007017AD" w:rsidP="003213CB">
      <w:pPr>
        <w:adjustRightInd w:val="0"/>
        <w:snapToGrid w:val="0"/>
        <w:spacing w:beforeLines="15" w:before="36" w:afterLines="15" w:after="36" w:line="600" w:lineRule="exact"/>
        <w:ind w:left="720" w:right="-981" w:firstLine="1080"/>
        <w:jc w:val="both"/>
        <w:rPr>
          <w:rFonts w:ascii="標楷體" w:eastAsia="標楷體" w:hAnsi="標楷體"/>
          <w:sz w:val="36"/>
          <w:szCs w:val="36"/>
        </w:rPr>
      </w:pPr>
      <w:r w:rsidRPr="00E00B39">
        <w:rPr>
          <w:rFonts w:ascii="標楷體" w:eastAsia="標楷體" w:hAnsi="標楷體" w:hint="eastAsia"/>
          <w:sz w:val="36"/>
          <w:szCs w:val="36"/>
        </w:rPr>
        <w:t>服務機關：監察院</w:t>
      </w:r>
    </w:p>
    <w:p w14:paraId="621F746F" w14:textId="57D6F3A6" w:rsidR="00F00750" w:rsidRPr="00E00B39" w:rsidRDefault="007017AD" w:rsidP="00566602">
      <w:pPr>
        <w:tabs>
          <w:tab w:val="left" w:pos="-2880"/>
          <w:tab w:val="left" w:pos="6240"/>
        </w:tabs>
        <w:adjustRightInd w:val="0"/>
        <w:snapToGrid w:val="0"/>
        <w:spacing w:beforeLines="25" w:before="60" w:afterLines="25" w:after="60" w:line="600" w:lineRule="exact"/>
        <w:ind w:left="1797" w:right="-981"/>
        <w:jc w:val="both"/>
        <w:rPr>
          <w:rFonts w:eastAsia="標楷體"/>
          <w:sz w:val="36"/>
          <w:szCs w:val="36"/>
        </w:rPr>
      </w:pPr>
      <w:r w:rsidRPr="00E00B39">
        <w:rPr>
          <w:rFonts w:ascii="標楷體" w:eastAsia="標楷體" w:hAnsi="標楷體" w:hint="eastAsia"/>
          <w:sz w:val="36"/>
          <w:szCs w:val="36"/>
        </w:rPr>
        <w:t>姓名</w:t>
      </w:r>
      <w:r w:rsidR="00FC7D44" w:rsidRPr="00E00B39">
        <w:rPr>
          <w:rFonts w:ascii="標楷體" w:eastAsia="標楷體" w:hAnsi="標楷體" w:hint="eastAsia"/>
          <w:sz w:val="36"/>
          <w:szCs w:val="36"/>
        </w:rPr>
        <w:t>職稱：</w:t>
      </w:r>
      <w:r w:rsidR="00F00750" w:rsidRPr="00E00B39">
        <w:rPr>
          <w:rFonts w:eastAsia="標楷體"/>
          <w:sz w:val="36"/>
          <w:szCs w:val="36"/>
        </w:rPr>
        <w:t>監察委員</w:t>
      </w:r>
      <w:r w:rsidR="00F00750" w:rsidRPr="00E00B39">
        <w:rPr>
          <w:rFonts w:eastAsia="標楷體"/>
          <w:sz w:val="36"/>
          <w:szCs w:val="36"/>
        </w:rPr>
        <w:t xml:space="preserve">  </w:t>
      </w:r>
      <w:r w:rsidR="00F00750" w:rsidRPr="00E00B39">
        <w:rPr>
          <w:rFonts w:eastAsia="標楷體"/>
          <w:sz w:val="36"/>
          <w:szCs w:val="36"/>
        </w:rPr>
        <w:t>鴻義章</w:t>
      </w:r>
    </w:p>
    <w:p w14:paraId="6BC2B42B" w14:textId="539D6275" w:rsidR="00F00750" w:rsidRPr="00E00B39" w:rsidRDefault="00F00750" w:rsidP="00566602">
      <w:pPr>
        <w:tabs>
          <w:tab w:val="left" w:pos="-2880"/>
          <w:tab w:val="left" w:pos="6240"/>
        </w:tabs>
        <w:adjustRightInd w:val="0"/>
        <w:snapToGrid w:val="0"/>
        <w:spacing w:beforeLines="25" w:before="60" w:afterLines="25" w:after="60" w:line="600" w:lineRule="exact"/>
        <w:ind w:left="1797" w:right="-981" w:firstLineChars="500" w:firstLine="1800"/>
        <w:rPr>
          <w:rFonts w:eastAsia="標楷體"/>
          <w:sz w:val="36"/>
          <w:szCs w:val="36"/>
        </w:rPr>
      </w:pPr>
      <w:r w:rsidRPr="00E00B39">
        <w:rPr>
          <w:rFonts w:eastAsia="標楷體"/>
          <w:sz w:val="36"/>
          <w:szCs w:val="36"/>
        </w:rPr>
        <w:t>監察委員</w:t>
      </w:r>
      <w:r w:rsidRPr="00E00B39">
        <w:rPr>
          <w:rFonts w:eastAsia="標楷體"/>
          <w:sz w:val="36"/>
          <w:szCs w:val="36"/>
        </w:rPr>
        <w:t xml:space="preserve">  </w:t>
      </w:r>
      <w:r w:rsidRPr="00E00B39">
        <w:rPr>
          <w:rFonts w:eastAsia="標楷體" w:hint="eastAsia"/>
          <w:sz w:val="36"/>
          <w:szCs w:val="36"/>
        </w:rPr>
        <w:t>范巽綠</w:t>
      </w:r>
    </w:p>
    <w:p w14:paraId="2786BA67" w14:textId="78A7ACCE" w:rsidR="00F00750" w:rsidRPr="00E00B39" w:rsidRDefault="00F00750" w:rsidP="00566602">
      <w:pPr>
        <w:tabs>
          <w:tab w:val="left" w:pos="-2880"/>
          <w:tab w:val="left" w:pos="6240"/>
        </w:tabs>
        <w:adjustRightInd w:val="0"/>
        <w:snapToGrid w:val="0"/>
        <w:spacing w:beforeLines="25" w:before="60" w:afterLines="25" w:after="60" w:line="600" w:lineRule="exact"/>
        <w:ind w:left="1797" w:right="-981" w:firstLineChars="500" w:firstLine="1800"/>
        <w:rPr>
          <w:rFonts w:eastAsia="標楷體"/>
          <w:sz w:val="36"/>
          <w:szCs w:val="36"/>
        </w:rPr>
      </w:pPr>
      <w:r w:rsidRPr="00E00B39">
        <w:rPr>
          <w:rFonts w:eastAsia="標楷體"/>
          <w:sz w:val="36"/>
          <w:szCs w:val="36"/>
        </w:rPr>
        <w:t>監察委員</w:t>
      </w:r>
      <w:r w:rsidRPr="00E00B39">
        <w:rPr>
          <w:rFonts w:eastAsia="標楷體" w:hint="eastAsia"/>
          <w:sz w:val="36"/>
          <w:szCs w:val="36"/>
        </w:rPr>
        <w:t xml:space="preserve">  </w:t>
      </w:r>
      <w:r w:rsidRPr="00E00B39">
        <w:rPr>
          <w:rFonts w:eastAsia="標楷體" w:hint="eastAsia"/>
          <w:sz w:val="36"/>
          <w:szCs w:val="36"/>
        </w:rPr>
        <w:t>賴振昌</w:t>
      </w:r>
    </w:p>
    <w:p w14:paraId="14AB5C79" w14:textId="77777777" w:rsidR="00FC7D44" w:rsidRPr="00F00750" w:rsidRDefault="00FC7D44" w:rsidP="003213CB">
      <w:pPr>
        <w:tabs>
          <w:tab w:val="left" w:pos="720"/>
          <w:tab w:val="left" w:pos="2400"/>
          <w:tab w:val="left" w:pos="6240"/>
        </w:tabs>
        <w:adjustRightInd w:val="0"/>
        <w:snapToGrid w:val="0"/>
        <w:spacing w:beforeLines="15" w:before="36" w:afterLines="15" w:after="36" w:line="600" w:lineRule="exact"/>
        <w:ind w:left="720" w:right="-981" w:firstLineChars="385" w:firstLine="1232"/>
        <w:jc w:val="both"/>
        <w:rPr>
          <w:rFonts w:ascii="標楷體" w:eastAsia="標楷體" w:hAnsi="標楷體"/>
          <w:sz w:val="32"/>
          <w:szCs w:val="32"/>
        </w:rPr>
      </w:pPr>
      <w:r w:rsidRPr="00F00750">
        <w:rPr>
          <w:rFonts w:ascii="標楷體" w:eastAsia="標楷體" w:hAnsi="標楷體" w:hint="eastAsia"/>
          <w:sz w:val="32"/>
          <w:szCs w:val="32"/>
        </w:rPr>
        <w:t>派赴國家：</w:t>
      </w:r>
      <w:r w:rsidR="00824E7B" w:rsidRPr="00F00750">
        <w:rPr>
          <w:rFonts w:ascii="標楷體" w:eastAsia="標楷體" w:hAnsi="標楷體" w:hint="eastAsia"/>
          <w:sz w:val="32"/>
          <w:szCs w:val="32"/>
        </w:rPr>
        <w:t>日本</w:t>
      </w:r>
    </w:p>
    <w:p w14:paraId="0D073C91" w14:textId="68F76729" w:rsidR="00FC7D44" w:rsidRPr="00F00750" w:rsidRDefault="00FC7D44" w:rsidP="003213CB">
      <w:pPr>
        <w:tabs>
          <w:tab w:val="left" w:pos="720"/>
          <w:tab w:val="left" w:pos="2400"/>
          <w:tab w:val="left" w:pos="6240"/>
        </w:tabs>
        <w:adjustRightInd w:val="0"/>
        <w:snapToGrid w:val="0"/>
        <w:spacing w:beforeLines="15" w:before="36" w:afterLines="15" w:after="36" w:line="600" w:lineRule="exact"/>
        <w:ind w:left="720" w:right="-981" w:firstLineChars="385" w:firstLine="1232"/>
        <w:jc w:val="both"/>
        <w:rPr>
          <w:rFonts w:ascii="標楷體" w:eastAsia="標楷體" w:hAnsi="標楷體"/>
          <w:sz w:val="32"/>
          <w:szCs w:val="32"/>
        </w:rPr>
      </w:pPr>
      <w:r w:rsidRPr="00F00750">
        <w:rPr>
          <w:rFonts w:ascii="標楷體" w:eastAsia="標楷體" w:hAnsi="標楷體" w:hint="eastAsia"/>
          <w:sz w:val="32"/>
          <w:szCs w:val="32"/>
        </w:rPr>
        <w:t>出國期間：</w:t>
      </w:r>
      <w:r w:rsidR="000B2D13" w:rsidRPr="00F00750">
        <w:rPr>
          <w:rFonts w:ascii="標楷體" w:eastAsia="標楷體" w:hAnsi="標楷體" w:hint="eastAsia"/>
          <w:sz w:val="32"/>
          <w:szCs w:val="32"/>
        </w:rPr>
        <w:t>11</w:t>
      </w:r>
      <w:r w:rsidR="00093803" w:rsidRPr="00F00750">
        <w:rPr>
          <w:rFonts w:ascii="標楷體" w:eastAsia="標楷體" w:hAnsi="標楷體" w:hint="eastAsia"/>
          <w:sz w:val="32"/>
          <w:szCs w:val="32"/>
        </w:rPr>
        <w:t>3</w:t>
      </w:r>
      <w:r w:rsidRPr="00F00750">
        <w:rPr>
          <w:rFonts w:ascii="標楷體" w:eastAsia="標楷體" w:hAnsi="標楷體" w:hint="eastAsia"/>
          <w:sz w:val="32"/>
          <w:szCs w:val="32"/>
        </w:rPr>
        <w:t>年</w:t>
      </w:r>
      <w:r w:rsidR="00093803" w:rsidRPr="00F00750">
        <w:rPr>
          <w:rFonts w:ascii="標楷體" w:eastAsia="標楷體" w:hAnsi="標楷體" w:hint="eastAsia"/>
          <w:sz w:val="32"/>
          <w:szCs w:val="32"/>
        </w:rPr>
        <w:t>12</w:t>
      </w:r>
      <w:r w:rsidRPr="00F00750">
        <w:rPr>
          <w:rFonts w:ascii="標楷體" w:eastAsia="標楷體" w:hAnsi="標楷體" w:hint="eastAsia"/>
          <w:sz w:val="32"/>
          <w:szCs w:val="32"/>
        </w:rPr>
        <w:t>月</w:t>
      </w:r>
      <w:r w:rsidR="00093803" w:rsidRPr="00F00750">
        <w:rPr>
          <w:rFonts w:ascii="標楷體" w:eastAsia="標楷體" w:hAnsi="標楷體" w:hint="eastAsia"/>
          <w:sz w:val="32"/>
          <w:szCs w:val="32"/>
        </w:rPr>
        <w:t>3</w:t>
      </w:r>
      <w:r w:rsidRPr="00F00750">
        <w:rPr>
          <w:rFonts w:ascii="標楷體" w:eastAsia="標楷體" w:hAnsi="標楷體" w:hint="eastAsia"/>
          <w:sz w:val="32"/>
          <w:szCs w:val="32"/>
        </w:rPr>
        <w:t>日至</w:t>
      </w:r>
      <w:r w:rsidR="00093803" w:rsidRPr="00F00750">
        <w:rPr>
          <w:rFonts w:ascii="標楷體" w:eastAsia="標楷體" w:hAnsi="標楷體" w:hint="eastAsia"/>
          <w:sz w:val="32"/>
          <w:szCs w:val="32"/>
        </w:rPr>
        <w:t>12</w:t>
      </w:r>
      <w:r w:rsidRPr="00F00750">
        <w:rPr>
          <w:rFonts w:ascii="標楷體" w:eastAsia="標楷體" w:hAnsi="標楷體" w:hint="eastAsia"/>
          <w:sz w:val="32"/>
          <w:szCs w:val="32"/>
        </w:rPr>
        <w:t>月</w:t>
      </w:r>
      <w:r w:rsidR="00093803" w:rsidRPr="00F00750">
        <w:rPr>
          <w:rFonts w:ascii="標楷體" w:eastAsia="標楷體" w:hAnsi="標楷體" w:hint="eastAsia"/>
          <w:sz w:val="32"/>
          <w:szCs w:val="32"/>
        </w:rPr>
        <w:t>9</w:t>
      </w:r>
      <w:r w:rsidRPr="00F00750">
        <w:rPr>
          <w:rFonts w:ascii="標楷體" w:eastAsia="標楷體" w:hAnsi="標楷體" w:hint="eastAsia"/>
          <w:sz w:val="32"/>
          <w:szCs w:val="32"/>
        </w:rPr>
        <w:t>日</w:t>
      </w:r>
    </w:p>
    <w:p w14:paraId="69AB3966" w14:textId="7073FFA4" w:rsidR="007017AD" w:rsidRPr="00F00750" w:rsidRDefault="00FC7D44" w:rsidP="003213CB">
      <w:pPr>
        <w:tabs>
          <w:tab w:val="left" w:pos="720"/>
          <w:tab w:val="left" w:pos="2400"/>
          <w:tab w:val="left" w:pos="6240"/>
        </w:tabs>
        <w:adjustRightInd w:val="0"/>
        <w:snapToGrid w:val="0"/>
        <w:spacing w:beforeLines="15" w:before="36" w:afterLines="15" w:after="36" w:line="600" w:lineRule="exact"/>
        <w:ind w:left="720" w:right="-981" w:firstLineChars="385" w:firstLine="1232"/>
        <w:jc w:val="both"/>
        <w:rPr>
          <w:rFonts w:ascii="標楷體" w:eastAsia="標楷體" w:hAnsi="標楷體"/>
          <w:sz w:val="32"/>
          <w:szCs w:val="32"/>
        </w:rPr>
      </w:pPr>
      <w:r w:rsidRPr="00F00750">
        <w:rPr>
          <w:rFonts w:ascii="標楷體" w:eastAsia="標楷體" w:hAnsi="標楷體" w:hint="eastAsia"/>
          <w:sz w:val="32"/>
          <w:szCs w:val="32"/>
        </w:rPr>
        <w:t>報告日期：</w:t>
      </w:r>
      <w:r w:rsidR="000B2D13" w:rsidRPr="00F00750">
        <w:rPr>
          <w:rFonts w:ascii="標楷體" w:eastAsia="標楷體" w:hAnsi="標楷體" w:hint="eastAsia"/>
          <w:sz w:val="32"/>
          <w:szCs w:val="32"/>
        </w:rPr>
        <w:t>11</w:t>
      </w:r>
      <w:r w:rsidR="00BD14E7" w:rsidRPr="00F00750">
        <w:rPr>
          <w:rFonts w:ascii="標楷體" w:eastAsia="標楷體" w:hAnsi="標楷體" w:hint="eastAsia"/>
          <w:sz w:val="32"/>
          <w:szCs w:val="32"/>
        </w:rPr>
        <w:t>3</w:t>
      </w:r>
      <w:r w:rsidRPr="00F00750">
        <w:rPr>
          <w:rFonts w:ascii="標楷體" w:eastAsia="標楷體" w:hAnsi="標楷體" w:hint="eastAsia"/>
          <w:sz w:val="32"/>
          <w:szCs w:val="32"/>
        </w:rPr>
        <w:t>年</w:t>
      </w:r>
      <w:r w:rsidR="007017AD" w:rsidRPr="00F00750">
        <w:rPr>
          <w:rFonts w:ascii="標楷體" w:eastAsia="標楷體" w:hAnsi="標楷體" w:hint="eastAsia"/>
          <w:sz w:val="32"/>
          <w:szCs w:val="32"/>
        </w:rPr>
        <w:t>1</w:t>
      </w:r>
      <w:r w:rsidR="00093803" w:rsidRPr="00F00750">
        <w:rPr>
          <w:rFonts w:ascii="標楷體" w:eastAsia="標楷體" w:hAnsi="標楷體" w:hint="eastAsia"/>
          <w:sz w:val="32"/>
          <w:szCs w:val="32"/>
        </w:rPr>
        <w:t>2</w:t>
      </w:r>
      <w:r w:rsidRPr="00F00750">
        <w:rPr>
          <w:rFonts w:ascii="標楷體" w:eastAsia="標楷體" w:hAnsi="標楷體" w:hint="eastAsia"/>
          <w:sz w:val="32"/>
          <w:szCs w:val="32"/>
        </w:rPr>
        <w:t>月</w:t>
      </w:r>
      <w:r w:rsidR="00650ABC">
        <w:rPr>
          <w:rFonts w:ascii="標楷體" w:eastAsia="標楷體" w:hAnsi="標楷體" w:hint="eastAsia"/>
          <w:sz w:val="32"/>
          <w:szCs w:val="32"/>
        </w:rPr>
        <w:t>20</w:t>
      </w:r>
      <w:r w:rsidRPr="00F00750">
        <w:rPr>
          <w:rFonts w:ascii="標楷體" w:eastAsia="標楷體" w:hAnsi="標楷體" w:hint="eastAsia"/>
          <w:sz w:val="32"/>
          <w:szCs w:val="32"/>
        </w:rPr>
        <w:t>日</w:t>
      </w:r>
    </w:p>
    <w:p w14:paraId="0853DAF0" w14:textId="77777777" w:rsidR="00FC7D44" w:rsidRPr="002A4102" w:rsidRDefault="007017AD" w:rsidP="003213CB">
      <w:pPr>
        <w:tabs>
          <w:tab w:val="left" w:pos="720"/>
          <w:tab w:val="left" w:pos="2400"/>
          <w:tab w:val="left" w:pos="6240"/>
        </w:tabs>
        <w:adjustRightInd w:val="0"/>
        <w:snapToGrid w:val="0"/>
        <w:spacing w:beforeLines="15" w:before="36" w:afterLines="15" w:after="36" w:line="440" w:lineRule="exact"/>
        <w:ind w:left="720" w:right="-981" w:firstLineChars="385" w:firstLine="1232"/>
        <w:jc w:val="both"/>
        <w:rPr>
          <w:rFonts w:ascii="標楷體" w:eastAsia="標楷體" w:hAnsi="標楷體"/>
          <w:sz w:val="32"/>
        </w:rPr>
      </w:pPr>
      <w:r w:rsidRPr="002A4102">
        <w:rPr>
          <w:rFonts w:ascii="標楷體" w:eastAsia="標楷體" w:hAnsi="標楷體"/>
          <w:sz w:val="32"/>
        </w:rPr>
        <w:br w:type="page"/>
      </w:r>
    </w:p>
    <w:p w14:paraId="68C5FD22" w14:textId="77777777" w:rsidR="00FC7D44" w:rsidRPr="002A4102" w:rsidRDefault="00FC7D44" w:rsidP="003213CB">
      <w:pPr>
        <w:tabs>
          <w:tab w:val="left" w:pos="4080"/>
          <w:tab w:val="left" w:pos="5520"/>
        </w:tabs>
        <w:spacing w:beforeLines="15" w:before="36" w:afterLines="15" w:after="36" w:line="440" w:lineRule="exact"/>
        <w:jc w:val="both"/>
        <w:rPr>
          <w:rFonts w:ascii="標楷體" w:eastAsia="標楷體" w:hAnsi="標楷體"/>
          <w:sz w:val="32"/>
        </w:rPr>
        <w:sectPr w:rsidR="00FC7D44" w:rsidRPr="002A4102" w:rsidSect="00E00B39">
          <w:footerReference w:type="even" r:id="rId8"/>
          <w:footerReference w:type="default" r:id="rId9"/>
          <w:pgSz w:w="11907" w:h="16840" w:code="9"/>
          <w:pgMar w:top="1418" w:right="1418" w:bottom="1361" w:left="1418" w:header="720" w:footer="720" w:gutter="0"/>
          <w:cols w:space="496"/>
          <w:titlePg/>
          <w:docGrid w:linePitch="326"/>
        </w:sectPr>
      </w:pPr>
    </w:p>
    <w:p w14:paraId="7B83AA9C" w14:textId="77777777" w:rsidR="00BF53E4" w:rsidRDefault="00BF53E4" w:rsidP="003213CB">
      <w:pPr>
        <w:tabs>
          <w:tab w:val="left" w:pos="4080"/>
          <w:tab w:val="left" w:pos="5520"/>
        </w:tabs>
        <w:spacing w:beforeLines="15" w:before="36" w:afterLines="15" w:after="36" w:line="440" w:lineRule="exact"/>
        <w:jc w:val="center"/>
        <w:rPr>
          <w:rFonts w:ascii="標楷體" w:eastAsia="標楷體" w:hAnsi="標楷體"/>
          <w:bCs/>
          <w:sz w:val="32"/>
        </w:rPr>
      </w:pPr>
    </w:p>
    <w:p w14:paraId="5E30006A" w14:textId="77777777" w:rsidR="009F18B5" w:rsidRDefault="009F18B5" w:rsidP="009F18B5">
      <w:pPr>
        <w:tabs>
          <w:tab w:val="left" w:pos="4080"/>
          <w:tab w:val="left" w:pos="5520"/>
        </w:tabs>
        <w:spacing w:beforeLines="15" w:before="36" w:afterLines="15" w:after="36" w:line="440" w:lineRule="exact"/>
        <w:ind w:rightChars="300" w:right="720"/>
        <w:jc w:val="center"/>
        <w:rPr>
          <w:rFonts w:ascii="標楷體" w:eastAsia="標楷體" w:hAnsi="標楷體"/>
          <w:bCs/>
          <w:sz w:val="32"/>
        </w:rPr>
      </w:pPr>
    </w:p>
    <w:p w14:paraId="49CABFE3" w14:textId="77777777" w:rsidR="00780C7C" w:rsidRDefault="00780C7C" w:rsidP="009F18B5">
      <w:pPr>
        <w:tabs>
          <w:tab w:val="left" w:pos="4080"/>
          <w:tab w:val="left" w:pos="5520"/>
        </w:tabs>
        <w:spacing w:beforeLines="15" w:before="36" w:afterLines="15" w:after="36" w:line="440" w:lineRule="exact"/>
        <w:ind w:rightChars="300" w:right="720"/>
        <w:jc w:val="center"/>
        <w:rPr>
          <w:rFonts w:ascii="標楷體" w:eastAsia="標楷體" w:hAnsi="標楷體"/>
          <w:bCs/>
          <w:sz w:val="32"/>
        </w:rPr>
      </w:pPr>
    </w:p>
    <w:p w14:paraId="1356DBB4" w14:textId="77777777" w:rsidR="00780C7C" w:rsidRDefault="00780C7C" w:rsidP="009F18B5">
      <w:pPr>
        <w:tabs>
          <w:tab w:val="left" w:pos="4080"/>
          <w:tab w:val="left" w:pos="5520"/>
        </w:tabs>
        <w:spacing w:beforeLines="15" w:before="36" w:afterLines="15" w:after="36" w:line="440" w:lineRule="exact"/>
        <w:ind w:rightChars="300" w:right="720"/>
        <w:jc w:val="center"/>
        <w:rPr>
          <w:rFonts w:ascii="標楷體" w:eastAsia="標楷體" w:hAnsi="標楷體"/>
          <w:bCs/>
          <w:sz w:val="32"/>
        </w:rPr>
      </w:pPr>
    </w:p>
    <w:p w14:paraId="13CF107C" w14:textId="77777777" w:rsidR="00780C7C" w:rsidRDefault="00780C7C" w:rsidP="009F18B5">
      <w:pPr>
        <w:tabs>
          <w:tab w:val="left" w:pos="4080"/>
          <w:tab w:val="left" w:pos="5520"/>
        </w:tabs>
        <w:spacing w:beforeLines="15" w:before="36" w:afterLines="15" w:after="36" w:line="440" w:lineRule="exact"/>
        <w:ind w:rightChars="300" w:right="720"/>
        <w:jc w:val="center"/>
        <w:rPr>
          <w:rFonts w:ascii="標楷體" w:eastAsia="標楷體" w:hAnsi="標楷體"/>
          <w:bCs/>
          <w:sz w:val="32"/>
        </w:rPr>
      </w:pPr>
    </w:p>
    <w:p w14:paraId="4BF11619" w14:textId="2A78E8B1" w:rsidR="00B25E55" w:rsidRPr="00E00B39" w:rsidRDefault="00FC7D44" w:rsidP="00C07F84">
      <w:pPr>
        <w:tabs>
          <w:tab w:val="left" w:pos="4080"/>
          <w:tab w:val="left" w:pos="5520"/>
        </w:tabs>
        <w:spacing w:beforeLines="15" w:before="36" w:afterLines="15" w:after="36" w:line="440" w:lineRule="exact"/>
        <w:jc w:val="center"/>
        <w:rPr>
          <w:rFonts w:ascii="標楷體" w:eastAsia="標楷體" w:hAnsi="標楷體"/>
          <w:sz w:val="40"/>
          <w:szCs w:val="24"/>
        </w:rPr>
      </w:pPr>
      <w:r w:rsidRPr="00E00B39">
        <w:rPr>
          <w:rFonts w:ascii="標楷體" w:eastAsia="標楷體" w:hAnsi="標楷體" w:hint="eastAsia"/>
          <w:sz w:val="40"/>
          <w:szCs w:val="24"/>
        </w:rPr>
        <w:t>目　　次</w:t>
      </w:r>
    </w:p>
    <w:p w14:paraId="2EF93D28" w14:textId="77777777" w:rsidR="00BF53E4" w:rsidRDefault="00BF53E4" w:rsidP="003213CB">
      <w:pPr>
        <w:tabs>
          <w:tab w:val="left" w:pos="4080"/>
          <w:tab w:val="left" w:pos="5520"/>
        </w:tabs>
        <w:spacing w:beforeLines="15" w:before="36" w:afterLines="15" w:after="36" w:line="440" w:lineRule="exact"/>
        <w:jc w:val="center"/>
        <w:rPr>
          <w:rFonts w:ascii="標楷體" w:eastAsia="標楷體" w:hAnsi="標楷體"/>
          <w:sz w:val="28"/>
        </w:rPr>
      </w:pPr>
    </w:p>
    <w:p w14:paraId="23C7706A" w14:textId="77777777" w:rsidR="00780C7C" w:rsidRDefault="00780C7C" w:rsidP="003213CB">
      <w:pPr>
        <w:tabs>
          <w:tab w:val="left" w:pos="4080"/>
          <w:tab w:val="left" w:pos="5520"/>
        </w:tabs>
        <w:spacing w:beforeLines="15" w:before="36" w:afterLines="15" w:after="36" w:line="440" w:lineRule="exact"/>
        <w:jc w:val="center"/>
        <w:rPr>
          <w:rFonts w:ascii="標楷體" w:eastAsia="標楷體" w:hAnsi="標楷體"/>
          <w:sz w:val="28"/>
        </w:rPr>
      </w:pPr>
    </w:p>
    <w:p w14:paraId="62772034" w14:textId="32A20ADD" w:rsidR="00780C7C" w:rsidRPr="00780C7C" w:rsidRDefault="00780C7C" w:rsidP="00C07F84">
      <w:pPr>
        <w:pStyle w:val="12"/>
        <w:rPr>
          <w:rStyle w:val="a8"/>
          <w:bCs w:val="0"/>
          <w:color w:val="auto"/>
          <w:u w:val="none"/>
        </w:rPr>
      </w:pPr>
      <w:r w:rsidRPr="00780C7C">
        <w:rPr>
          <w:rStyle w:val="a8"/>
          <w:rFonts w:hint="eastAsia"/>
          <w:bCs w:val="0"/>
          <w:color w:val="auto"/>
          <w:u w:val="none"/>
        </w:rPr>
        <w:t>摘</w:t>
      </w:r>
      <w:r w:rsidR="00E00B39">
        <w:rPr>
          <w:rStyle w:val="a8"/>
          <w:rFonts w:hint="eastAsia"/>
          <w:bCs w:val="0"/>
          <w:color w:val="auto"/>
          <w:u w:val="none"/>
        </w:rPr>
        <w:t xml:space="preserve"> </w:t>
      </w:r>
      <w:r w:rsidRPr="00780C7C">
        <w:rPr>
          <w:rStyle w:val="a8"/>
          <w:rFonts w:hint="eastAsia"/>
          <w:bCs w:val="0"/>
          <w:color w:val="auto"/>
          <w:u w:val="none"/>
        </w:rPr>
        <w:t>要</w:t>
      </w:r>
      <w:r w:rsidR="00E00B39">
        <w:rPr>
          <w:rStyle w:val="a8"/>
          <w:bCs w:val="0"/>
          <w:color w:val="auto"/>
          <w:u w:val="none"/>
        </w:rPr>
        <w:tab/>
      </w:r>
      <w:r w:rsidR="00E00B39">
        <w:rPr>
          <w:rStyle w:val="a8"/>
          <w:bCs w:val="0"/>
          <w:color w:val="auto"/>
          <w:u w:val="none"/>
        </w:rPr>
        <w:tab/>
      </w:r>
      <w:r w:rsidR="00E00B39">
        <w:rPr>
          <w:rStyle w:val="a8"/>
          <w:rFonts w:hint="eastAsia"/>
          <w:bCs w:val="0"/>
          <w:color w:val="auto"/>
          <w:u w:val="none"/>
        </w:rPr>
        <w:t>IV</w:t>
      </w:r>
    </w:p>
    <w:p w14:paraId="1CBC4DA2" w14:textId="3AC18B8B" w:rsidR="00E518CC" w:rsidRDefault="00685740" w:rsidP="00C07F84">
      <w:pPr>
        <w:pStyle w:val="12"/>
        <w:rPr>
          <w:rFonts w:asciiTheme="minorHAnsi" w:eastAsiaTheme="minorEastAsia" w:hAnsiTheme="minorHAnsi" w:cstheme="minorBidi"/>
          <w:b/>
          <w:spacing w:val="0"/>
          <w:sz w:val="24"/>
          <w:szCs w:val="24"/>
          <w14:ligatures w14:val="standardContextual"/>
        </w:rPr>
      </w:pPr>
      <w:r w:rsidRPr="00B329F1">
        <w:rPr>
          <w:b/>
          <w:sz w:val="28"/>
          <w:szCs w:val="28"/>
        </w:rPr>
        <w:fldChar w:fldCharType="begin"/>
      </w:r>
      <w:r w:rsidRPr="00B329F1">
        <w:rPr>
          <w:sz w:val="28"/>
          <w:szCs w:val="28"/>
        </w:rPr>
        <w:instrText xml:space="preserve"> TOC \o "1-1" \h \z \u </w:instrText>
      </w:r>
      <w:r w:rsidRPr="00B329F1">
        <w:rPr>
          <w:b/>
          <w:sz w:val="28"/>
          <w:szCs w:val="28"/>
        </w:rPr>
        <w:fldChar w:fldCharType="separate"/>
      </w:r>
      <w:hyperlink w:anchor="_Toc185605555" w:history="1">
        <w:r w:rsidR="00E518CC" w:rsidRPr="00CB19A3">
          <w:rPr>
            <w:rStyle w:val="a8"/>
            <w:rFonts w:hint="eastAsia"/>
          </w:rPr>
          <w:t>壹、前言</w:t>
        </w:r>
        <w:r w:rsidR="00E518CC">
          <w:rPr>
            <w:webHidden/>
          </w:rPr>
          <w:tab/>
        </w:r>
        <w:r w:rsidR="00E518CC">
          <w:rPr>
            <w:webHidden/>
          </w:rPr>
          <w:fldChar w:fldCharType="begin"/>
        </w:r>
        <w:r w:rsidR="00E518CC">
          <w:rPr>
            <w:webHidden/>
          </w:rPr>
          <w:instrText xml:space="preserve"> PAGEREF _Toc185605555 \h </w:instrText>
        </w:r>
        <w:r w:rsidR="00E518CC">
          <w:rPr>
            <w:webHidden/>
          </w:rPr>
        </w:r>
        <w:r w:rsidR="00E518CC">
          <w:rPr>
            <w:webHidden/>
          </w:rPr>
          <w:fldChar w:fldCharType="separate"/>
        </w:r>
        <w:r w:rsidR="00565286">
          <w:rPr>
            <w:webHidden/>
          </w:rPr>
          <w:t>1</w:t>
        </w:r>
        <w:r w:rsidR="00E518CC">
          <w:rPr>
            <w:webHidden/>
          </w:rPr>
          <w:fldChar w:fldCharType="end"/>
        </w:r>
      </w:hyperlink>
    </w:p>
    <w:p w14:paraId="7EFB1438" w14:textId="6D194468" w:rsidR="00E518CC" w:rsidRDefault="00000000" w:rsidP="00C07F84">
      <w:pPr>
        <w:pStyle w:val="12"/>
        <w:rPr>
          <w:rFonts w:asciiTheme="minorHAnsi" w:eastAsiaTheme="minorEastAsia" w:hAnsiTheme="minorHAnsi" w:cstheme="minorBidi"/>
          <w:b/>
          <w:spacing w:val="0"/>
          <w:sz w:val="24"/>
          <w:szCs w:val="24"/>
          <w14:ligatures w14:val="standardContextual"/>
        </w:rPr>
      </w:pPr>
      <w:hyperlink w:anchor="_Toc185605556" w:history="1">
        <w:r w:rsidR="00E518CC" w:rsidRPr="00CB19A3">
          <w:rPr>
            <w:rStyle w:val="a8"/>
            <w:rFonts w:hint="eastAsia"/>
          </w:rPr>
          <w:t>貳、考察洽公重點與行程</w:t>
        </w:r>
        <w:r w:rsidR="00E518CC">
          <w:rPr>
            <w:webHidden/>
          </w:rPr>
          <w:tab/>
        </w:r>
        <w:r w:rsidR="00E518CC">
          <w:rPr>
            <w:webHidden/>
          </w:rPr>
          <w:fldChar w:fldCharType="begin"/>
        </w:r>
        <w:r w:rsidR="00E518CC">
          <w:rPr>
            <w:webHidden/>
          </w:rPr>
          <w:instrText xml:space="preserve"> PAGEREF _Toc185605556 \h </w:instrText>
        </w:r>
        <w:r w:rsidR="00E518CC">
          <w:rPr>
            <w:webHidden/>
          </w:rPr>
        </w:r>
        <w:r w:rsidR="00E518CC">
          <w:rPr>
            <w:webHidden/>
          </w:rPr>
          <w:fldChar w:fldCharType="separate"/>
        </w:r>
        <w:r w:rsidR="00565286">
          <w:rPr>
            <w:webHidden/>
          </w:rPr>
          <w:t>2</w:t>
        </w:r>
        <w:r w:rsidR="00E518CC">
          <w:rPr>
            <w:webHidden/>
          </w:rPr>
          <w:fldChar w:fldCharType="end"/>
        </w:r>
      </w:hyperlink>
    </w:p>
    <w:p w14:paraId="0143966B" w14:textId="3CA67259" w:rsidR="00E518CC" w:rsidRDefault="00000000" w:rsidP="00C07F84">
      <w:pPr>
        <w:pStyle w:val="12"/>
        <w:rPr>
          <w:rFonts w:asciiTheme="minorHAnsi" w:eastAsiaTheme="minorEastAsia" w:hAnsiTheme="minorHAnsi" w:cstheme="minorBidi"/>
          <w:b/>
          <w:spacing w:val="0"/>
          <w:sz w:val="24"/>
          <w:szCs w:val="24"/>
          <w14:ligatures w14:val="standardContextual"/>
        </w:rPr>
      </w:pPr>
      <w:hyperlink w:anchor="_Toc185605557" w:history="1">
        <w:r w:rsidR="00E518CC" w:rsidRPr="00CB19A3">
          <w:rPr>
            <w:rStyle w:val="a8"/>
            <w:rFonts w:hint="eastAsia"/>
          </w:rPr>
          <w:t>參、考察背景資料</w:t>
        </w:r>
        <w:r w:rsidR="00E518CC">
          <w:rPr>
            <w:webHidden/>
          </w:rPr>
          <w:tab/>
        </w:r>
        <w:r w:rsidR="00E518CC">
          <w:rPr>
            <w:webHidden/>
          </w:rPr>
          <w:fldChar w:fldCharType="begin"/>
        </w:r>
        <w:r w:rsidR="00E518CC">
          <w:rPr>
            <w:webHidden/>
          </w:rPr>
          <w:instrText xml:space="preserve"> PAGEREF _Toc185605557 \h </w:instrText>
        </w:r>
        <w:r w:rsidR="00E518CC">
          <w:rPr>
            <w:webHidden/>
          </w:rPr>
        </w:r>
        <w:r w:rsidR="00E518CC">
          <w:rPr>
            <w:webHidden/>
          </w:rPr>
          <w:fldChar w:fldCharType="separate"/>
        </w:r>
        <w:r w:rsidR="00565286">
          <w:rPr>
            <w:webHidden/>
          </w:rPr>
          <w:t>4</w:t>
        </w:r>
        <w:r w:rsidR="00E518CC">
          <w:rPr>
            <w:webHidden/>
          </w:rPr>
          <w:fldChar w:fldCharType="end"/>
        </w:r>
      </w:hyperlink>
    </w:p>
    <w:p w14:paraId="18EE33E8" w14:textId="66709191" w:rsidR="00E518CC" w:rsidRDefault="00000000" w:rsidP="00C07F84">
      <w:pPr>
        <w:pStyle w:val="12"/>
        <w:rPr>
          <w:rFonts w:asciiTheme="minorHAnsi" w:eastAsiaTheme="minorEastAsia" w:hAnsiTheme="minorHAnsi" w:cstheme="minorBidi"/>
          <w:b/>
          <w:spacing w:val="0"/>
          <w:sz w:val="24"/>
          <w:szCs w:val="24"/>
          <w14:ligatures w14:val="standardContextual"/>
        </w:rPr>
      </w:pPr>
      <w:hyperlink w:anchor="_Toc185605558" w:history="1">
        <w:r w:rsidR="00E518CC" w:rsidRPr="00CB19A3">
          <w:rPr>
            <w:rStyle w:val="a8"/>
            <w:rFonts w:hint="eastAsia"/>
          </w:rPr>
          <w:t>肆、考察事項</w:t>
        </w:r>
        <w:r w:rsidR="00E518CC">
          <w:rPr>
            <w:webHidden/>
          </w:rPr>
          <w:tab/>
        </w:r>
        <w:r w:rsidR="00E518CC">
          <w:rPr>
            <w:webHidden/>
          </w:rPr>
          <w:fldChar w:fldCharType="begin"/>
        </w:r>
        <w:r w:rsidR="00E518CC">
          <w:rPr>
            <w:webHidden/>
          </w:rPr>
          <w:instrText xml:space="preserve"> PAGEREF _Toc185605558 \h </w:instrText>
        </w:r>
        <w:r w:rsidR="00E518CC">
          <w:rPr>
            <w:webHidden/>
          </w:rPr>
        </w:r>
        <w:r w:rsidR="00E518CC">
          <w:rPr>
            <w:webHidden/>
          </w:rPr>
          <w:fldChar w:fldCharType="separate"/>
        </w:r>
        <w:r w:rsidR="00565286">
          <w:rPr>
            <w:webHidden/>
          </w:rPr>
          <w:t>8</w:t>
        </w:r>
        <w:r w:rsidR="00E518CC">
          <w:rPr>
            <w:webHidden/>
          </w:rPr>
          <w:fldChar w:fldCharType="end"/>
        </w:r>
      </w:hyperlink>
    </w:p>
    <w:p w14:paraId="054A0522" w14:textId="54980E46" w:rsidR="00E518CC" w:rsidRDefault="00000000" w:rsidP="00C07F84">
      <w:pPr>
        <w:pStyle w:val="12"/>
        <w:rPr>
          <w:rStyle w:val="a8"/>
        </w:rPr>
      </w:pPr>
      <w:hyperlink w:anchor="_Toc185605559" w:history="1">
        <w:r w:rsidR="00E518CC" w:rsidRPr="00CB19A3">
          <w:rPr>
            <w:rStyle w:val="a8"/>
            <w:rFonts w:hint="eastAsia"/>
          </w:rPr>
          <w:t>伍、考察成果</w:t>
        </w:r>
        <w:r w:rsidR="00E518CC">
          <w:rPr>
            <w:webHidden/>
          </w:rPr>
          <w:tab/>
        </w:r>
        <w:r w:rsidR="00E518CC">
          <w:rPr>
            <w:webHidden/>
          </w:rPr>
          <w:fldChar w:fldCharType="begin"/>
        </w:r>
        <w:r w:rsidR="00E518CC">
          <w:rPr>
            <w:webHidden/>
          </w:rPr>
          <w:instrText xml:space="preserve"> PAGEREF _Toc185605559 \h </w:instrText>
        </w:r>
        <w:r w:rsidR="00E518CC">
          <w:rPr>
            <w:webHidden/>
          </w:rPr>
        </w:r>
        <w:r w:rsidR="00E518CC">
          <w:rPr>
            <w:webHidden/>
          </w:rPr>
          <w:fldChar w:fldCharType="separate"/>
        </w:r>
        <w:r w:rsidR="00565286">
          <w:rPr>
            <w:webHidden/>
          </w:rPr>
          <w:t>46</w:t>
        </w:r>
        <w:r w:rsidR="00E518CC">
          <w:rPr>
            <w:webHidden/>
          </w:rPr>
          <w:fldChar w:fldCharType="end"/>
        </w:r>
      </w:hyperlink>
    </w:p>
    <w:p w14:paraId="39962B8C" w14:textId="22BC0C4B" w:rsidR="00E518CC" w:rsidRDefault="00E518CC" w:rsidP="00E518CC">
      <w:pPr>
        <w:rPr>
          <w:noProof/>
        </w:rPr>
      </w:pPr>
    </w:p>
    <w:p w14:paraId="0F526301" w14:textId="48E111D8" w:rsidR="00E518CC" w:rsidRPr="00E518CC" w:rsidRDefault="00E518CC" w:rsidP="00C07F84">
      <w:pPr>
        <w:pStyle w:val="12"/>
        <w:rPr>
          <w:rStyle w:val="a8"/>
          <w:color w:val="auto"/>
        </w:rPr>
      </w:pPr>
      <w:r w:rsidRPr="00E518CC">
        <w:rPr>
          <w:rStyle w:val="a8"/>
          <w:color w:val="auto"/>
        </w:rPr>
        <w:t>附錄</w:t>
      </w:r>
      <w:r w:rsidRPr="00E518CC">
        <w:rPr>
          <w:rStyle w:val="a8"/>
          <w:color w:val="auto"/>
        </w:rPr>
        <w:tab/>
      </w:r>
      <w:r w:rsidRPr="00E518CC">
        <w:rPr>
          <w:rStyle w:val="a8"/>
          <w:color w:val="auto"/>
        </w:rPr>
        <w:tab/>
      </w:r>
      <w:r w:rsidR="00C07F84">
        <w:rPr>
          <w:rStyle w:val="a8"/>
          <w:color w:val="auto"/>
        </w:rPr>
        <w:tab/>
      </w:r>
      <w:r w:rsidRPr="00E518CC">
        <w:rPr>
          <w:rStyle w:val="a8"/>
          <w:rFonts w:hint="eastAsia"/>
          <w:color w:val="auto"/>
        </w:rPr>
        <w:t>5</w:t>
      </w:r>
      <w:r w:rsidR="00C07F84">
        <w:rPr>
          <w:rStyle w:val="a8"/>
          <w:rFonts w:hint="eastAsia"/>
          <w:color w:val="auto"/>
        </w:rPr>
        <w:t>3</w:t>
      </w:r>
    </w:p>
    <w:p w14:paraId="604EFB2A" w14:textId="03B38AA9" w:rsidR="00FC7D44" w:rsidRPr="002A4102" w:rsidRDefault="00685740" w:rsidP="00235C5E">
      <w:pPr>
        <w:tabs>
          <w:tab w:val="left" w:pos="1276"/>
          <w:tab w:val="right" w:leader="dot" w:pos="9120"/>
        </w:tabs>
        <w:spacing w:beforeLines="100" w:before="240" w:afterLines="100" w:after="240" w:line="480" w:lineRule="auto"/>
        <w:ind w:leftChars="236" w:left="1090" w:hangingChars="187" w:hanging="524"/>
        <w:jc w:val="both"/>
        <w:rPr>
          <w:rFonts w:ascii="標楷體" w:eastAsia="標楷體" w:hAnsi="標楷體"/>
          <w:sz w:val="32"/>
        </w:rPr>
      </w:pPr>
      <w:r w:rsidRPr="00B329F1">
        <w:rPr>
          <w:rFonts w:ascii="標楷體" w:eastAsia="標楷體" w:hAnsi="標楷體"/>
          <w:sz w:val="28"/>
          <w:szCs w:val="18"/>
        </w:rPr>
        <w:fldChar w:fldCharType="end"/>
      </w:r>
    </w:p>
    <w:p w14:paraId="5106573E" w14:textId="6D8C97F7" w:rsidR="00E96C66" w:rsidRDefault="00E96C66">
      <w:pPr>
        <w:widowControl/>
        <w:rPr>
          <w:rFonts w:ascii="標楷體" w:eastAsia="標楷體" w:hAnsi="標楷體"/>
          <w:sz w:val="32"/>
        </w:rPr>
      </w:pPr>
      <w:r>
        <w:rPr>
          <w:rFonts w:ascii="標楷體" w:eastAsia="標楷體" w:hAnsi="標楷體"/>
          <w:sz w:val="32"/>
        </w:rPr>
        <w:br w:type="page"/>
      </w:r>
    </w:p>
    <w:p w14:paraId="2CC6A3D5" w14:textId="77777777" w:rsidR="00E96C66" w:rsidRDefault="00E96C66" w:rsidP="00E96C66">
      <w:pPr>
        <w:tabs>
          <w:tab w:val="right" w:leader="dot" w:pos="9120"/>
        </w:tabs>
        <w:spacing w:beforeLines="15" w:before="36" w:afterLines="15" w:after="36"/>
        <w:jc w:val="center"/>
        <w:rPr>
          <w:rFonts w:ascii="標楷體" w:eastAsia="標楷體" w:hAnsi="標楷體"/>
          <w:sz w:val="36"/>
          <w:szCs w:val="22"/>
        </w:rPr>
      </w:pPr>
    </w:p>
    <w:p w14:paraId="45AEE12E" w14:textId="5B87F16D" w:rsidR="002D5818" w:rsidRDefault="00E96C66" w:rsidP="00235C5E">
      <w:pPr>
        <w:spacing w:beforeLines="15" w:before="36" w:afterLines="15" w:after="36"/>
        <w:ind w:rightChars="295" w:right="708"/>
        <w:jc w:val="center"/>
        <w:rPr>
          <w:rFonts w:ascii="標楷體" w:eastAsia="標楷體" w:hAnsi="標楷體"/>
          <w:sz w:val="36"/>
          <w:szCs w:val="22"/>
        </w:rPr>
      </w:pPr>
      <w:r w:rsidRPr="00E96C66">
        <w:rPr>
          <w:rFonts w:ascii="標楷體" w:eastAsia="標楷體" w:hAnsi="標楷體" w:hint="eastAsia"/>
          <w:sz w:val="36"/>
          <w:szCs w:val="22"/>
        </w:rPr>
        <w:t>圖目錄</w:t>
      </w:r>
    </w:p>
    <w:p w14:paraId="23FC47DF" w14:textId="724E371E" w:rsidR="00E00B39" w:rsidRDefault="00E00B39" w:rsidP="00235C5E">
      <w:pPr>
        <w:spacing w:beforeLines="15" w:before="36" w:afterLines="15" w:after="36"/>
        <w:ind w:rightChars="295" w:right="708"/>
        <w:jc w:val="center"/>
        <w:rPr>
          <w:rFonts w:ascii="標楷體" w:eastAsia="標楷體" w:hAnsi="標楷體"/>
          <w:sz w:val="36"/>
          <w:szCs w:val="22"/>
        </w:rPr>
      </w:pPr>
    </w:p>
    <w:p w14:paraId="243B2AB0" w14:textId="68B7DE53" w:rsidR="00C07F84" w:rsidRPr="00C07F84" w:rsidRDefault="00C07F84">
      <w:pPr>
        <w:pStyle w:val="12"/>
        <w:rPr>
          <w:rFonts w:cstheme="minorBidi"/>
          <w:bCs w:val="0"/>
          <w:caps w:val="0"/>
          <w:spacing w:val="0"/>
          <w:sz w:val="20"/>
          <w:szCs w:val="20"/>
          <w14:ligatures w14:val="standardContextual"/>
        </w:rPr>
      </w:pPr>
      <w:r>
        <w:rPr>
          <w:szCs w:val="22"/>
        </w:rPr>
        <w:fldChar w:fldCharType="begin"/>
      </w:r>
      <w:r>
        <w:rPr>
          <w:szCs w:val="22"/>
        </w:rPr>
        <w:instrText xml:space="preserve"> TOC \h \z \t "圖示,1" </w:instrText>
      </w:r>
      <w:r>
        <w:rPr>
          <w:szCs w:val="22"/>
        </w:rPr>
        <w:fldChar w:fldCharType="separate"/>
      </w:r>
      <w:hyperlink w:anchor="_Toc186029825" w:history="1">
        <w:r w:rsidRPr="00C07F84">
          <w:rPr>
            <w:rStyle w:val="a8"/>
            <w:rFonts w:hint="eastAsia"/>
            <w:sz w:val="28"/>
            <w:szCs w:val="28"/>
          </w:rPr>
          <w:t>圖1</w:t>
        </w:r>
        <w:r w:rsidRPr="00C07F84">
          <w:rPr>
            <w:rFonts w:cstheme="minorBidi"/>
            <w:bCs w:val="0"/>
            <w:caps w:val="0"/>
            <w:spacing w:val="0"/>
            <w:sz w:val="20"/>
            <w:szCs w:val="20"/>
            <w14:ligatures w14:val="standardContextual"/>
          </w:rPr>
          <w:tab/>
        </w:r>
        <w:r w:rsidRPr="00C07F84">
          <w:rPr>
            <w:rStyle w:val="a8"/>
            <w:rFonts w:hint="eastAsia"/>
            <w:sz w:val="28"/>
            <w:szCs w:val="28"/>
          </w:rPr>
          <w:t>日本考察及訪查行程概要圖</w:t>
        </w:r>
        <w:r w:rsidRPr="00C07F84">
          <w:rPr>
            <w:webHidden/>
            <w:sz w:val="28"/>
            <w:szCs w:val="28"/>
          </w:rPr>
          <w:tab/>
        </w:r>
        <w:r w:rsidRPr="00C07F84">
          <w:rPr>
            <w:webHidden/>
            <w:sz w:val="28"/>
            <w:szCs w:val="28"/>
          </w:rPr>
          <w:fldChar w:fldCharType="begin"/>
        </w:r>
        <w:r w:rsidRPr="00C07F84">
          <w:rPr>
            <w:webHidden/>
            <w:sz w:val="28"/>
            <w:szCs w:val="28"/>
          </w:rPr>
          <w:instrText xml:space="preserve"> PAGEREF _Toc186029825 \h </w:instrText>
        </w:r>
        <w:r w:rsidRPr="00C07F84">
          <w:rPr>
            <w:webHidden/>
            <w:sz w:val="28"/>
            <w:szCs w:val="28"/>
          </w:rPr>
        </w:r>
        <w:r w:rsidRPr="00C07F84">
          <w:rPr>
            <w:webHidden/>
            <w:sz w:val="28"/>
            <w:szCs w:val="28"/>
          </w:rPr>
          <w:fldChar w:fldCharType="separate"/>
        </w:r>
        <w:r w:rsidR="00565286">
          <w:rPr>
            <w:webHidden/>
            <w:sz w:val="28"/>
            <w:szCs w:val="28"/>
          </w:rPr>
          <w:t>4</w:t>
        </w:r>
        <w:r w:rsidRPr="00C07F84">
          <w:rPr>
            <w:webHidden/>
            <w:sz w:val="28"/>
            <w:szCs w:val="28"/>
          </w:rPr>
          <w:fldChar w:fldCharType="end"/>
        </w:r>
      </w:hyperlink>
    </w:p>
    <w:p w14:paraId="0CE16454" w14:textId="5144695D" w:rsidR="00C07F84" w:rsidRPr="00C07F84" w:rsidRDefault="00000000">
      <w:pPr>
        <w:pStyle w:val="12"/>
        <w:rPr>
          <w:rFonts w:cstheme="minorBidi"/>
          <w:bCs w:val="0"/>
          <w:caps w:val="0"/>
          <w:spacing w:val="0"/>
          <w:sz w:val="20"/>
          <w:szCs w:val="20"/>
          <w14:ligatures w14:val="standardContextual"/>
        </w:rPr>
      </w:pPr>
      <w:hyperlink w:anchor="_Toc186029826" w:history="1">
        <w:r w:rsidR="00C07F84" w:rsidRPr="00C07F84">
          <w:rPr>
            <w:rStyle w:val="a8"/>
            <w:rFonts w:hint="eastAsia"/>
            <w:sz w:val="28"/>
            <w:szCs w:val="28"/>
          </w:rPr>
          <w:t>圖2</w:t>
        </w:r>
        <w:r w:rsidR="00C07F84" w:rsidRPr="00C07F84">
          <w:rPr>
            <w:rFonts w:cstheme="minorBidi"/>
            <w:bCs w:val="0"/>
            <w:caps w:val="0"/>
            <w:spacing w:val="0"/>
            <w:sz w:val="20"/>
            <w:szCs w:val="20"/>
            <w14:ligatures w14:val="standardContextual"/>
          </w:rPr>
          <w:tab/>
        </w:r>
        <w:r w:rsidR="00C07F84" w:rsidRPr="00C07F84">
          <w:rPr>
            <w:rStyle w:val="a8"/>
            <w:rFonts w:hint="eastAsia"/>
            <w:sz w:val="28"/>
            <w:szCs w:val="28"/>
          </w:rPr>
          <w:t>柏崎刈羽核能發電廠位置示意圖</w:t>
        </w:r>
        <w:r w:rsidR="00C07F84" w:rsidRPr="00C07F84">
          <w:rPr>
            <w:webHidden/>
            <w:sz w:val="28"/>
            <w:szCs w:val="28"/>
          </w:rPr>
          <w:tab/>
        </w:r>
        <w:r w:rsidR="00C07F84" w:rsidRPr="00C07F84">
          <w:rPr>
            <w:webHidden/>
            <w:sz w:val="28"/>
            <w:szCs w:val="28"/>
          </w:rPr>
          <w:fldChar w:fldCharType="begin"/>
        </w:r>
        <w:r w:rsidR="00C07F84" w:rsidRPr="00C07F84">
          <w:rPr>
            <w:webHidden/>
            <w:sz w:val="28"/>
            <w:szCs w:val="28"/>
          </w:rPr>
          <w:instrText xml:space="preserve"> PAGEREF _Toc186029826 \h </w:instrText>
        </w:r>
        <w:r w:rsidR="00C07F84" w:rsidRPr="00C07F84">
          <w:rPr>
            <w:webHidden/>
            <w:sz w:val="28"/>
            <w:szCs w:val="28"/>
          </w:rPr>
        </w:r>
        <w:r w:rsidR="00C07F84" w:rsidRPr="00C07F84">
          <w:rPr>
            <w:webHidden/>
            <w:sz w:val="28"/>
            <w:szCs w:val="28"/>
          </w:rPr>
          <w:fldChar w:fldCharType="separate"/>
        </w:r>
        <w:r w:rsidR="00565286">
          <w:rPr>
            <w:webHidden/>
            <w:sz w:val="28"/>
            <w:szCs w:val="28"/>
          </w:rPr>
          <w:t>9</w:t>
        </w:r>
        <w:r w:rsidR="00C07F84" w:rsidRPr="00C07F84">
          <w:rPr>
            <w:webHidden/>
            <w:sz w:val="28"/>
            <w:szCs w:val="28"/>
          </w:rPr>
          <w:fldChar w:fldCharType="end"/>
        </w:r>
      </w:hyperlink>
    </w:p>
    <w:p w14:paraId="3DD29B72" w14:textId="13BACFC4" w:rsidR="00C07F84" w:rsidRPr="00C07F84" w:rsidRDefault="00000000">
      <w:pPr>
        <w:pStyle w:val="12"/>
        <w:rPr>
          <w:rFonts w:cstheme="minorBidi"/>
          <w:bCs w:val="0"/>
          <w:caps w:val="0"/>
          <w:spacing w:val="0"/>
          <w:sz w:val="20"/>
          <w:szCs w:val="20"/>
          <w14:ligatures w14:val="standardContextual"/>
        </w:rPr>
      </w:pPr>
      <w:hyperlink w:anchor="_Toc186029827" w:history="1">
        <w:r w:rsidR="00C07F84" w:rsidRPr="00C07F84">
          <w:rPr>
            <w:rStyle w:val="a8"/>
            <w:rFonts w:hint="eastAsia"/>
            <w:sz w:val="28"/>
            <w:szCs w:val="28"/>
          </w:rPr>
          <w:t>圖3</w:t>
        </w:r>
        <w:r w:rsidR="00C07F84" w:rsidRPr="00C07F84">
          <w:rPr>
            <w:rFonts w:cstheme="minorBidi"/>
            <w:bCs w:val="0"/>
            <w:caps w:val="0"/>
            <w:spacing w:val="0"/>
            <w:sz w:val="20"/>
            <w:szCs w:val="20"/>
            <w14:ligatures w14:val="standardContextual"/>
          </w:rPr>
          <w:tab/>
        </w:r>
        <w:r w:rsidR="00C07F84" w:rsidRPr="00C07F84">
          <w:rPr>
            <w:rStyle w:val="a8"/>
            <w:rFonts w:hint="eastAsia"/>
            <w:sz w:val="28"/>
            <w:szCs w:val="28"/>
          </w:rPr>
          <w:t>柏崎刈羽核能發電廠</w:t>
        </w:r>
        <w:r w:rsidR="00C07F84" w:rsidRPr="00C07F84">
          <w:rPr>
            <w:rStyle w:val="a8"/>
            <w:sz w:val="28"/>
            <w:szCs w:val="28"/>
          </w:rPr>
          <w:t>1~4</w:t>
        </w:r>
        <w:r w:rsidR="00C07F84" w:rsidRPr="00C07F84">
          <w:rPr>
            <w:rStyle w:val="a8"/>
            <w:rFonts w:hint="eastAsia"/>
            <w:sz w:val="28"/>
            <w:szCs w:val="28"/>
          </w:rPr>
          <w:t>號機</w:t>
        </w:r>
        <w:r w:rsidR="00C07F84" w:rsidRPr="00C07F84">
          <w:rPr>
            <w:webHidden/>
            <w:sz w:val="28"/>
            <w:szCs w:val="28"/>
          </w:rPr>
          <w:tab/>
        </w:r>
        <w:r w:rsidR="00C07F84" w:rsidRPr="00C07F84">
          <w:rPr>
            <w:webHidden/>
            <w:sz w:val="28"/>
            <w:szCs w:val="28"/>
          </w:rPr>
          <w:fldChar w:fldCharType="begin"/>
        </w:r>
        <w:r w:rsidR="00C07F84" w:rsidRPr="00C07F84">
          <w:rPr>
            <w:webHidden/>
            <w:sz w:val="28"/>
            <w:szCs w:val="28"/>
          </w:rPr>
          <w:instrText xml:space="preserve"> PAGEREF _Toc186029827 \h </w:instrText>
        </w:r>
        <w:r w:rsidR="00C07F84" w:rsidRPr="00C07F84">
          <w:rPr>
            <w:webHidden/>
            <w:sz w:val="28"/>
            <w:szCs w:val="28"/>
          </w:rPr>
        </w:r>
        <w:r w:rsidR="00C07F84" w:rsidRPr="00C07F84">
          <w:rPr>
            <w:webHidden/>
            <w:sz w:val="28"/>
            <w:szCs w:val="28"/>
          </w:rPr>
          <w:fldChar w:fldCharType="separate"/>
        </w:r>
        <w:r w:rsidR="00565286">
          <w:rPr>
            <w:webHidden/>
            <w:sz w:val="28"/>
            <w:szCs w:val="28"/>
          </w:rPr>
          <w:t>10</w:t>
        </w:r>
        <w:r w:rsidR="00C07F84" w:rsidRPr="00C07F84">
          <w:rPr>
            <w:webHidden/>
            <w:sz w:val="28"/>
            <w:szCs w:val="28"/>
          </w:rPr>
          <w:fldChar w:fldCharType="end"/>
        </w:r>
      </w:hyperlink>
    </w:p>
    <w:p w14:paraId="53A22F57" w14:textId="14FF0ED4" w:rsidR="00C07F84" w:rsidRPr="00C07F84" w:rsidRDefault="00000000">
      <w:pPr>
        <w:pStyle w:val="12"/>
        <w:rPr>
          <w:rFonts w:cstheme="minorBidi"/>
          <w:bCs w:val="0"/>
          <w:caps w:val="0"/>
          <w:spacing w:val="0"/>
          <w:sz w:val="20"/>
          <w:szCs w:val="20"/>
          <w14:ligatures w14:val="standardContextual"/>
        </w:rPr>
      </w:pPr>
      <w:hyperlink w:anchor="_Toc186029828" w:history="1">
        <w:r w:rsidR="00C07F84" w:rsidRPr="00C07F84">
          <w:rPr>
            <w:rStyle w:val="a8"/>
            <w:rFonts w:hint="eastAsia"/>
            <w:sz w:val="28"/>
            <w:szCs w:val="28"/>
          </w:rPr>
          <w:t>圖4</w:t>
        </w:r>
        <w:r w:rsidR="00C07F84" w:rsidRPr="00C07F84">
          <w:rPr>
            <w:rFonts w:cstheme="minorBidi"/>
            <w:bCs w:val="0"/>
            <w:caps w:val="0"/>
            <w:spacing w:val="0"/>
            <w:sz w:val="20"/>
            <w:szCs w:val="20"/>
            <w14:ligatures w14:val="standardContextual"/>
          </w:rPr>
          <w:tab/>
        </w:r>
        <w:r w:rsidR="00C07F84" w:rsidRPr="00C07F84">
          <w:rPr>
            <w:rStyle w:val="a8"/>
            <w:rFonts w:hint="eastAsia"/>
            <w:sz w:val="28"/>
            <w:szCs w:val="28"/>
          </w:rPr>
          <w:t>柏崎刈羽核能發電廠</w:t>
        </w:r>
        <w:r w:rsidR="00C07F84" w:rsidRPr="00C07F84">
          <w:rPr>
            <w:rStyle w:val="a8"/>
            <w:sz w:val="28"/>
            <w:szCs w:val="28"/>
          </w:rPr>
          <w:t>5-7</w:t>
        </w:r>
        <w:r w:rsidR="00C07F84" w:rsidRPr="00C07F84">
          <w:rPr>
            <w:rStyle w:val="a8"/>
            <w:rFonts w:hint="eastAsia"/>
            <w:sz w:val="28"/>
            <w:szCs w:val="28"/>
          </w:rPr>
          <w:t>號機</w:t>
        </w:r>
        <w:r w:rsidR="00C07F84" w:rsidRPr="00C07F84">
          <w:rPr>
            <w:webHidden/>
            <w:sz w:val="28"/>
            <w:szCs w:val="28"/>
          </w:rPr>
          <w:tab/>
        </w:r>
        <w:r w:rsidR="00C07F84" w:rsidRPr="00C07F84">
          <w:rPr>
            <w:webHidden/>
            <w:sz w:val="28"/>
            <w:szCs w:val="28"/>
          </w:rPr>
          <w:fldChar w:fldCharType="begin"/>
        </w:r>
        <w:r w:rsidR="00C07F84" w:rsidRPr="00C07F84">
          <w:rPr>
            <w:webHidden/>
            <w:sz w:val="28"/>
            <w:szCs w:val="28"/>
          </w:rPr>
          <w:instrText xml:space="preserve"> PAGEREF _Toc186029828 \h </w:instrText>
        </w:r>
        <w:r w:rsidR="00C07F84" w:rsidRPr="00C07F84">
          <w:rPr>
            <w:webHidden/>
            <w:sz w:val="28"/>
            <w:szCs w:val="28"/>
          </w:rPr>
        </w:r>
        <w:r w:rsidR="00C07F84" w:rsidRPr="00C07F84">
          <w:rPr>
            <w:webHidden/>
            <w:sz w:val="28"/>
            <w:szCs w:val="28"/>
          </w:rPr>
          <w:fldChar w:fldCharType="separate"/>
        </w:r>
        <w:r w:rsidR="00565286">
          <w:rPr>
            <w:webHidden/>
            <w:sz w:val="28"/>
            <w:szCs w:val="28"/>
          </w:rPr>
          <w:t>10</w:t>
        </w:r>
        <w:r w:rsidR="00C07F84" w:rsidRPr="00C07F84">
          <w:rPr>
            <w:webHidden/>
            <w:sz w:val="28"/>
            <w:szCs w:val="28"/>
          </w:rPr>
          <w:fldChar w:fldCharType="end"/>
        </w:r>
      </w:hyperlink>
    </w:p>
    <w:p w14:paraId="0FFF0F06" w14:textId="52D430BC" w:rsidR="00C07F84" w:rsidRPr="00C07F84" w:rsidRDefault="00000000">
      <w:pPr>
        <w:pStyle w:val="12"/>
        <w:rPr>
          <w:rFonts w:cstheme="minorBidi"/>
          <w:bCs w:val="0"/>
          <w:caps w:val="0"/>
          <w:spacing w:val="0"/>
          <w:sz w:val="20"/>
          <w:szCs w:val="20"/>
          <w14:ligatures w14:val="standardContextual"/>
        </w:rPr>
      </w:pPr>
      <w:hyperlink w:anchor="_Toc186029829" w:history="1">
        <w:r w:rsidR="00C07F84" w:rsidRPr="00C07F84">
          <w:rPr>
            <w:rStyle w:val="a8"/>
            <w:rFonts w:hint="eastAsia"/>
            <w:sz w:val="28"/>
            <w:szCs w:val="28"/>
          </w:rPr>
          <w:t>圖5</w:t>
        </w:r>
        <w:r w:rsidR="00C07F84" w:rsidRPr="00C07F84">
          <w:rPr>
            <w:rFonts w:cstheme="minorBidi"/>
            <w:bCs w:val="0"/>
            <w:caps w:val="0"/>
            <w:spacing w:val="0"/>
            <w:sz w:val="20"/>
            <w:szCs w:val="20"/>
            <w14:ligatures w14:val="standardContextual"/>
          </w:rPr>
          <w:tab/>
        </w:r>
        <w:r w:rsidR="00C07F84" w:rsidRPr="00C07F84">
          <w:rPr>
            <w:rStyle w:val="a8"/>
            <w:rFonts w:hint="eastAsia"/>
            <w:sz w:val="28"/>
            <w:szCs w:val="28"/>
          </w:rPr>
          <w:t>柏崎刈羽核能發電廠</w:t>
        </w:r>
        <w:r w:rsidR="00C07F84" w:rsidRPr="00C07F84">
          <w:rPr>
            <w:rStyle w:val="a8"/>
            <w:sz w:val="28"/>
            <w:szCs w:val="28"/>
          </w:rPr>
          <w:t>6~7</w:t>
        </w:r>
        <w:r w:rsidR="00C07F84" w:rsidRPr="00C07F84">
          <w:rPr>
            <w:rStyle w:val="a8"/>
            <w:rFonts w:hint="eastAsia"/>
            <w:sz w:val="28"/>
            <w:szCs w:val="28"/>
          </w:rPr>
          <w:t>號機之改良型沸騰水型反應器</w:t>
        </w:r>
        <w:r w:rsidR="00C07F84" w:rsidRPr="00C07F84">
          <w:rPr>
            <w:webHidden/>
            <w:sz w:val="28"/>
            <w:szCs w:val="28"/>
          </w:rPr>
          <w:tab/>
        </w:r>
        <w:r w:rsidR="00C07F84" w:rsidRPr="00C07F84">
          <w:rPr>
            <w:webHidden/>
            <w:sz w:val="28"/>
            <w:szCs w:val="28"/>
          </w:rPr>
          <w:fldChar w:fldCharType="begin"/>
        </w:r>
        <w:r w:rsidR="00C07F84" w:rsidRPr="00C07F84">
          <w:rPr>
            <w:webHidden/>
            <w:sz w:val="28"/>
            <w:szCs w:val="28"/>
          </w:rPr>
          <w:instrText xml:space="preserve"> PAGEREF _Toc186029829 \h </w:instrText>
        </w:r>
        <w:r w:rsidR="00C07F84" w:rsidRPr="00C07F84">
          <w:rPr>
            <w:webHidden/>
            <w:sz w:val="28"/>
            <w:szCs w:val="28"/>
          </w:rPr>
        </w:r>
        <w:r w:rsidR="00C07F84" w:rsidRPr="00C07F84">
          <w:rPr>
            <w:webHidden/>
            <w:sz w:val="28"/>
            <w:szCs w:val="28"/>
          </w:rPr>
          <w:fldChar w:fldCharType="separate"/>
        </w:r>
        <w:r w:rsidR="00565286">
          <w:rPr>
            <w:webHidden/>
            <w:sz w:val="28"/>
            <w:szCs w:val="28"/>
          </w:rPr>
          <w:t>10</w:t>
        </w:r>
        <w:r w:rsidR="00C07F84" w:rsidRPr="00C07F84">
          <w:rPr>
            <w:webHidden/>
            <w:sz w:val="28"/>
            <w:szCs w:val="28"/>
          </w:rPr>
          <w:fldChar w:fldCharType="end"/>
        </w:r>
      </w:hyperlink>
    </w:p>
    <w:p w14:paraId="46F01AAB" w14:textId="1194AB18" w:rsidR="00C07F84" w:rsidRPr="00C07F84" w:rsidRDefault="00000000">
      <w:pPr>
        <w:pStyle w:val="12"/>
        <w:rPr>
          <w:rFonts w:cstheme="minorBidi"/>
          <w:bCs w:val="0"/>
          <w:caps w:val="0"/>
          <w:spacing w:val="0"/>
          <w:sz w:val="20"/>
          <w:szCs w:val="20"/>
          <w14:ligatures w14:val="standardContextual"/>
        </w:rPr>
      </w:pPr>
      <w:hyperlink w:anchor="_Toc186029830" w:history="1">
        <w:r w:rsidR="00C07F84" w:rsidRPr="00C07F84">
          <w:rPr>
            <w:rStyle w:val="a8"/>
            <w:rFonts w:hint="eastAsia"/>
            <w:sz w:val="28"/>
            <w:szCs w:val="28"/>
          </w:rPr>
          <w:t>圖6</w:t>
        </w:r>
        <w:r w:rsidR="00C07F84" w:rsidRPr="00C07F84">
          <w:rPr>
            <w:rFonts w:cstheme="minorBidi"/>
            <w:bCs w:val="0"/>
            <w:caps w:val="0"/>
            <w:spacing w:val="0"/>
            <w:sz w:val="20"/>
            <w:szCs w:val="20"/>
            <w14:ligatures w14:val="standardContextual"/>
          </w:rPr>
          <w:tab/>
        </w:r>
        <w:r w:rsidR="00C07F84" w:rsidRPr="00C07F84">
          <w:rPr>
            <w:rStyle w:val="a8"/>
            <w:rFonts w:hint="eastAsia"/>
            <w:sz w:val="28"/>
            <w:szCs w:val="28"/>
          </w:rPr>
          <w:t>柏崎刈羽核能發電廠主要設備配置圖</w:t>
        </w:r>
        <w:r w:rsidR="00C07F84" w:rsidRPr="00C07F84">
          <w:rPr>
            <w:webHidden/>
            <w:sz w:val="28"/>
            <w:szCs w:val="28"/>
          </w:rPr>
          <w:tab/>
        </w:r>
        <w:r w:rsidR="00C07F84" w:rsidRPr="00C07F84">
          <w:rPr>
            <w:webHidden/>
            <w:sz w:val="28"/>
            <w:szCs w:val="28"/>
          </w:rPr>
          <w:fldChar w:fldCharType="begin"/>
        </w:r>
        <w:r w:rsidR="00C07F84" w:rsidRPr="00C07F84">
          <w:rPr>
            <w:webHidden/>
            <w:sz w:val="28"/>
            <w:szCs w:val="28"/>
          </w:rPr>
          <w:instrText xml:space="preserve"> PAGEREF _Toc186029830 \h </w:instrText>
        </w:r>
        <w:r w:rsidR="00C07F84" w:rsidRPr="00C07F84">
          <w:rPr>
            <w:webHidden/>
            <w:sz w:val="28"/>
            <w:szCs w:val="28"/>
          </w:rPr>
        </w:r>
        <w:r w:rsidR="00C07F84" w:rsidRPr="00C07F84">
          <w:rPr>
            <w:webHidden/>
            <w:sz w:val="28"/>
            <w:szCs w:val="28"/>
          </w:rPr>
          <w:fldChar w:fldCharType="separate"/>
        </w:r>
        <w:r w:rsidR="00565286">
          <w:rPr>
            <w:webHidden/>
            <w:sz w:val="28"/>
            <w:szCs w:val="28"/>
          </w:rPr>
          <w:t>11</w:t>
        </w:r>
        <w:r w:rsidR="00C07F84" w:rsidRPr="00C07F84">
          <w:rPr>
            <w:webHidden/>
            <w:sz w:val="28"/>
            <w:szCs w:val="28"/>
          </w:rPr>
          <w:fldChar w:fldCharType="end"/>
        </w:r>
      </w:hyperlink>
    </w:p>
    <w:p w14:paraId="043BE286" w14:textId="005DED8C" w:rsidR="00C07F84" w:rsidRPr="00C07F84" w:rsidRDefault="00000000">
      <w:pPr>
        <w:pStyle w:val="12"/>
        <w:rPr>
          <w:rFonts w:cstheme="minorBidi"/>
          <w:bCs w:val="0"/>
          <w:caps w:val="0"/>
          <w:spacing w:val="0"/>
          <w:sz w:val="20"/>
          <w:szCs w:val="20"/>
          <w14:ligatures w14:val="standardContextual"/>
        </w:rPr>
      </w:pPr>
      <w:hyperlink w:anchor="_Toc186029831" w:history="1">
        <w:r w:rsidR="00C07F84" w:rsidRPr="00C07F84">
          <w:rPr>
            <w:rStyle w:val="a8"/>
            <w:rFonts w:hint="eastAsia"/>
            <w:sz w:val="28"/>
            <w:szCs w:val="28"/>
          </w:rPr>
          <w:t>圖7</w:t>
        </w:r>
        <w:r w:rsidR="00C07F84" w:rsidRPr="00C07F84">
          <w:rPr>
            <w:rFonts w:cstheme="minorBidi"/>
            <w:bCs w:val="0"/>
            <w:caps w:val="0"/>
            <w:spacing w:val="0"/>
            <w:sz w:val="20"/>
            <w:szCs w:val="20"/>
            <w14:ligatures w14:val="standardContextual"/>
          </w:rPr>
          <w:tab/>
        </w:r>
        <w:r w:rsidR="00C07F84" w:rsidRPr="00C07F84">
          <w:rPr>
            <w:rStyle w:val="a8"/>
            <w:rFonts w:hint="eastAsia"/>
            <w:sz w:val="28"/>
            <w:szCs w:val="28"/>
          </w:rPr>
          <w:t>福島第一核電廠事故的經過與教訓之示意圖</w:t>
        </w:r>
        <w:r w:rsidR="00C07F84" w:rsidRPr="00C07F84">
          <w:rPr>
            <w:webHidden/>
            <w:sz w:val="28"/>
            <w:szCs w:val="28"/>
          </w:rPr>
          <w:tab/>
        </w:r>
        <w:r w:rsidR="00C07F84" w:rsidRPr="00C07F84">
          <w:rPr>
            <w:webHidden/>
            <w:sz w:val="28"/>
            <w:szCs w:val="28"/>
          </w:rPr>
          <w:fldChar w:fldCharType="begin"/>
        </w:r>
        <w:r w:rsidR="00C07F84" w:rsidRPr="00C07F84">
          <w:rPr>
            <w:webHidden/>
            <w:sz w:val="28"/>
            <w:szCs w:val="28"/>
          </w:rPr>
          <w:instrText xml:space="preserve"> PAGEREF _Toc186029831 \h </w:instrText>
        </w:r>
        <w:r w:rsidR="00C07F84" w:rsidRPr="00C07F84">
          <w:rPr>
            <w:webHidden/>
            <w:sz w:val="28"/>
            <w:szCs w:val="28"/>
          </w:rPr>
        </w:r>
        <w:r w:rsidR="00C07F84" w:rsidRPr="00C07F84">
          <w:rPr>
            <w:webHidden/>
            <w:sz w:val="28"/>
            <w:szCs w:val="28"/>
          </w:rPr>
          <w:fldChar w:fldCharType="separate"/>
        </w:r>
        <w:r w:rsidR="00565286">
          <w:rPr>
            <w:webHidden/>
            <w:sz w:val="28"/>
            <w:szCs w:val="28"/>
          </w:rPr>
          <w:t>12</w:t>
        </w:r>
        <w:r w:rsidR="00C07F84" w:rsidRPr="00C07F84">
          <w:rPr>
            <w:webHidden/>
            <w:sz w:val="28"/>
            <w:szCs w:val="28"/>
          </w:rPr>
          <w:fldChar w:fldCharType="end"/>
        </w:r>
      </w:hyperlink>
    </w:p>
    <w:p w14:paraId="086DDE56" w14:textId="6A63859B" w:rsidR="00C07F84" w:rsidRPr="00C07F84" w:rsidRDefault="00000000">
      <w:pPr>
        <w:pStyle w:val="12"/>
        <w:rPr>
          <w:rFonts w:cstheme="minorBidi"/>
          <w:bCs w:val="0"/>
          <w:caps w:val="0"/>
          <w:spacing w:val="0"/>
          <w:sz w:val="20"/>
          <w:szCs w:val="20"/>
          <w14:ligatures w14:val="standardContextual"/>
        </w:rPr>
      </w:pPr>
      <w:hyperlink w:anchor="_Toc186029832" w:history="1">
        <w:r w:rsidR="00C07F84" w:rsidRPr="00C07F84">
          <w:rPr>
            <w:rStyle w:val="a8"/>
            <w:rFonts w:hint="eastAsia"/>
            <w:sz w:val="28"/>
            <w:szCs w:val="28"/>
          </w:rPr>
          <w:t>圖8</w:t>
        </w:r>
        <w:r w:rsidR="00C07F84" w:rsidRPr="00C07F84">
          <w:rPr>
            <w:rFonts w:cstheme="minorBidi"/>
            <w:bCs w:val="0"/>
            <w:caps w:val="0"/>
            <w:spacing w:val="0"/>
            <w:sz w:val="20"/>
            <w:szCs w:val="20"/>
            <w14:ligatures w14:val="standardContextual"/>
          </w:rPr>
          <w:tab/>
        </w:r>
        <w:r w:rsidR="00C07F84" w:rsidRPr="00C07F84">
          <w:rPr>
            <w:rStyle w:val="a8"/>
            <w:rFonts w:hint="eastAsia"/>
            <w:sz w:val="28"/>
            <w:szCs w:val="28"/>
          </w:rPr>
          <w:t>以</w:t>
        </w:r>
        <w:r w:rsidR="00C07F84" w:rsidRPr="00C07F84">
          <w:rPr>
            <w:rStyle w:val="a8"/>
            <w:sz w:val="28"/>
            <w:szCs w:val="28"/>
          </w:rPr>
          <w:t>311</w:t>
        </w:r>
        <w:r w:rsidR="00C07F84" w:rsidRPr="00C07F84">
          <w:rPr>
            <w:rStyle w:val="a8"/>
            <w:rFonts w:hint="eastAsia"/>
            <w:sz w:val="28"/>
            <w:szCs w:val="28"/>
          </w:rPr>
          <w:t>東日本大震災為經驗，爐心損傷後之影響及緩和對策之措施</w:t>
        </w:r>
        <w:r w:rsidR="00C07F84" w:rsidRPr="00C07F84">
          <w:rPr>
            <w:webHidden/>
            <w:sz w:val="28"/>
            <w:szCs w:val="28"/>
          </w:rPr>
          <w:tab/>
        </w:r>
        <w:r w:rsidR="00C07F84" w:rsidRPr="00C07F84">
          <w:rPr>
            <w:webHidden/>
            <w:sz w:val="28"/>
            <w:szCs w:val="28"/>
          </w:rPr>
          <w:fldChar w:fldCharType="begin"/>
        </w:r>
        <w:r w:rsidR="00C07F84" w:rsidRPr="00C07F84">
          <w:rPr>
            <w:webHidden/>
            <w:sz w:val="28"/>
            <w:szCs w:val="28"/>
          </w:rPr>
          <w:instrText xml:space="preserve"> PAGEREF _Toc186029832 \h </w:instrText>
        </w:r>
        <w:r w:rsidR="00C07F84" w:rsidRPr="00C07F84">
          <w:rPr>
            <w:webHidden/>
            <w:sz w:val="28"/>
            <w:szCs w:val="28"/>
          </w:rPr>
        </w:r>
        <w:r w:rsidR="00C07F84" w:rsidRPr="00C07F84">
          <w:rPr>
            <w:webHidden/>
            <w:sz w:val="28"/>
            <w:szCs w:val="28"/>
          </w:rPr>
          <w:fldChar w:fldCharType="separate"/>
        </w:r>
        <w:r w:rsidR="00565286">
          <w:rPr>
            <w:webHidden/>
            <w:sz w:val="28"/>
            <w:szCs w:val="28"/>
          </w:rPr>
          <w:t>19</w:t>
        </w:r>
        <w:r w:rsidR="00C07F84" w:rsidRPr="00C07F84">
          <w:rPr>
            <w:webHidden/>
            <w:sz w:val="28"/>
            <w:szCs w:val="28"/>
          </w:rPr>
          <w:fldChar w:fldCharType="end"/>
        </w:r>
      </w:hyperlink>
    </w:p>
    <w:p w14:paraId="79F750CC" w14:textId="0EFE6E88" w:rsidR="00C07F84" w:rsidRPr="00C07F84" w:rsidRDefault="00000000">
      <w:pPr>
        <w:pStyle w:val="12"/>
        <w:rPr>
          <w:rFonts w:cstheme="minorBidi"/>
          <w:bCs w:val="0"/>
          <w:caps w:val="0"/>
          <w:spacing w:val="0"/>
          <w:sz w:val="20"/>
          <w:szCs w:val="20"/>
          <w14:ligatures w14:val="standardContextual"/>
        </w:rPr>
      </w:pPr>
      <w:hyperlink w:anchor="_Toc186029833" w:history="1">
        <w:r w:rsidR="00C07F84" w:rsidRPr="00C07F84">
          <w:rPr>
            <w:rStyle w:val="a8"/>
            <w:rFonts w:hint="eastAsia"/>
            <w:sz w:val="28"/>
            <w:szCs w:val="28"/>
          </w:rPr>
          <w:t>圖9</w:t>
        </w:r>
        <w:r w:rsidR="00C07F84" w:rsidRPr="00C07F84">
          <w:rPr>
            <w:rFonts w:cstheme="minorBidi"/>
            <w:bCs w:val="0"/>
            <w:caps w:val="0"/>
            <w:spacing w:val="0"/>
            <w:sz w:val="20"/>
            <w:szCs w:val="20"/>
            <w14:ligatures w14:val="standardContextual"/>
          </w:rPr>
          <w:tab/>
        </w:r>
        <w:r w:rsidR="00C07F84" w:rsidRPr="00C07F84">
          <w:rPr>
            <w:rStyle w:val="a8"/>
            <w:rFonts w:hint="eastAsia"/>
            <w:sz w:val="28"/>
            <w:szCs w:val="28"/>
          </w:rPr>
          <w:t>柏崎刈羽核電廠之海嘯防護措施</w:t>
        </w:r>
        <w:r w:rsidR="00C07F84" w:rsidRPr="00C07F84">
          <w:rPr>
            <w:webHidden/>
            <w:sz w:val="28"/>
            <w:szCs w:val="28"/>
          </w:rPr>
          <w:tab/>
        </w:r>
        <w:r w:rsidR="00C07F84" w:rsidRPr="00C07F84">
          <w:rPr>
            <w:webHidden/>
            <w:sz w:val="28"/>
            <w:szCs w:val="28"/>
          </w:rPr>
          <w:fldChar w:fldCharType="begin"/>
        </w:r>
        <w:r w:rsidR="00C07F84" w:rsidRPr="00C07F84">
          <w:rPr>
            <w:webHidden/>
            <w:sz w:val="28"/>
            <w:szCs w:val="28"/>
          </w:rPr>
          <w:instrText xml:space="preserve"> PAGEREF _Toc186029833 \h </w:instrText>
        </w:r>
        <w:r w:rsidR="00C07F84" w:rsidRPr="00C07F84">
          <w:rPr>
            <w:webHidden/>
            <w:sz w:val="28"/>
            <w:szCs w:val="28"/>
          </w:rPr>
        </w:r>
        <w:r w:rsidR="00C07F84" w:rsidRPr="00C07F84">
          <w:rPr>
            <w:webHidden/>
            <w:sz w:val="28"/>
            <w:szCs w:val="28"/>
          </w:rPr>
          <w:fldChar w:fldCharType="separate"/>
        </w:r>
        <w:r w:rsidR="00565286">
          <w:rPr>
            <w:webHidden/>
            <w:sz w:val="28"/>
            <w:szCs w:val="28"/>
          </w:rPr>
          <w:t>20</w:t>
        </w:r>
        <w:r w:rsidR="00C07F84" w:rsidRPr="00C07F84">
          <w:rPr>
            <w:webHidden/>
            <w:sz w:val="28"/>
            <w:szCs w:val="28"/>
          </w:rPr>
          <w:fldChar w:fldCharType="end"/>
        </w:r>
      </w:hyperlink>
    </w:p>
    <w:p w14:paraId="1FE38DDC" w14:textId="0E6A4EAC" w:rsidR="00C07F84" w:rsidRPr="00C07F84" w:rsidRDefault="00000000">
      <w:pPr>
        <w:pStyle w:val="12"/>
        <w:rPr>
          <w:rFonts w:cstheme="minorBidi"/>
          <w:bCs w:val="0"/>
          <w:caps w:val="0"/>
          <w:spacing w:val="0"/>
          <w:sz w:val="20"/>
          <w:szCs w:val="20"/>
          <w14:ligatures w14:val="standardContextual"/>
        </w:rPr>
      </w:pPr>
      <w:hyperlink w:anchor="_Toc186029834" w:history="1">
        <w:r w:rsidR="00C07F84" w:rsidRPr="00C07F84">
          <w:rPr>
            <w:rStyle w:val="a8"/>
            <w:rFonts w:hint="eastAsia"/>
            <w:sz w:val="28"/>
            <w:szCs w:val="28"/>
          </w:rPr>
          <w:t>圖11</w:t>
        </w:r>
        <w:r w:rsidR="00C07F84" w:rsidRPr="00C07F84">
          <w:rPr>
            <w:rFonts w:cstheme="minorBidi"/>
            <w:bCs w:val="0"/>
            <w:caps w:val="0"/>
            <w:spacing w:val="0"/>
            <w:sz w:val="20"/>
            <w:szCs w:val="20"/>
            <w14:ligatures w14:val="standardContextual"/>
          </w:rPr>
          <w:tab/>
        </w:r>
        <w:r w:rsidR="00C07F84" w:rsidRPr="00C07F84">
          <w:rPr>
            <w:rStyle w:val="a8"/>
            <w:rFonts w:hint="eastAsia"/>
            <w:sz w:val="28"/>
            <w:szCs w:val="28"/>
          </w:rPr>
          <w:t>柏崎刈羽核電廠之爐心冷卻系統</w:t>
        </w:r>
        <w:r w:rsidR="00C07F84" w:rsidRPr="00C07F84">
          <w:rPr>
            <w:webHidden/>
            <w:sz w:val="28"/>
            <w:szCs w:val="28"/>
          </w:rPr>
          <w:tab/>
        </w:r>
        <w:r w:rsidR="00C07F84" w:rsidRPr="00C07F84">
          <w:rPr>
            <w:webHidden/>
            <w:sz w:val="28"/>
            <w:szCs w:val="28"/>
          </w:rPr>
          <w:fldChar w:fldCharType="begin"/>
        </w:r>
        <w:r w:rsidR="00C07F84" w:rsidRPr="00C07F84">
          <w:rPr>
            <w:webHidden/>
            <w:sz w:val="28"/>
            <w:szCs w:val="28"/>
          </w:rPr>
          <w:instrText xml:space="preserve"> PAGEREF _Toc186029834 \h </w:instrText>
        </w:r>
        <w:r w:rsidR="00C07F84" w:rsidRPr="00C07F84">
          <w:rPr>
            <w:webHidden/>
            <w:sz w:val="28"/>
            <w:szCs w:val="28"/>
          </w:rPr>
        </w:r>
        <w:r w:rsidR="00C07F84" w:rsidRPr="00C07F84">
          <w:rPr>
            <w:webHidden/>
            <w:sz w:val="28"/>
            <w:szCs w:val="28"/>
          </w:rPr>
          <w:fldChar w:fldCharType="separate"/>
        </w:r>
        <w:r w:rsidR="00565286">
          <w:rPr>
            <w:webHidden/>
            <w:sz w:val="28"/>
            <w:szCs w:val="28"/>
          </w:rPr>
          <w:t>22</w:t>
        </w:r>
        <w:r w:rsidR="00C07F84" w:rsidRPr="00C07F84">
          <w:rPr>
            <w:webHidden/>
            <w:sz w:val="28"/>
            <w:szCs w:val="28"/>
          </w:rPr>
          <w:fldChar w:fldCharType="end"/>
        </w:r>
      </w:hyperlink>
    </w:p>
    <w:p w14:paraId="77C5EC30" w14:textId="2F8A86E2" w:rsidR="00C07F84" w:rsidRPr="00C07F84" w:rsidRDefault="00000000">
      <w:pPr>
        <w:pStyle w:val="12"/>
        <w:rPr>
          <w:rFonts w:cstheme="minorBidi"/>
          <w:bCs w:val="0"/>
          <w:caps w:val="0"/>
          <w:spacing w:val="0"/>
          <w:sz w:val="20"/>
          <w:szCs w:val="20"/>
          <w14:ligatures w14:val="standardContextual"/>
        </w:rPr>
      </w:pPr>
      <w:hyperlink w:anchor="_Toc186029835" w:history="1">
        <w:r w:rsidR="00C07F84" w:rsidRPr="00C07F84">
          <w:rPr>
            <w:rStyle w:val="a8"/>
            <w:rFonts w:hint="eastAsia"/>
            <w:sz w:val="28"/>
            <w:szCs w:val="28"/>
          </w:rPr>
          <w:t>圖12</w:t>
        </w:r>
        <w:r w:rsidR="00C07F84" w:rsidRPr="00C07F84">
          <w:rPr>
            <w:rFonts w:cstheme="minorBidi"/>
            <w:bCs w:val="0"/>
            <w:caps w:val="0"/>
            <w:spacing w:val="0"/>
            <w:sz w:val="20"/>
            <w:szCs w:val="20"/>
            <w14:ligatures w14:val="standardContextual"/>
          </w:rPr>
          <w:tab/>
        </w:r>
        <w:r w:rsidR="00C07F84" w:rsidRPr="00C07F84">
          <w:rPr>
            <w:rStyle w:val="a8"/>
            <w:rFonts w:hint="eastAsia"/>
            <w:sz w:val="28"/>
            <w:szCs w:val="28"/>
          </w:rPr>
          <w:t>柏崎刈羽核電廠之事故應對措施</w:t>
        </w:r>
        <w:r w:rsidR="00C07F84" w:rsidRPr="00C07F84">
          <w:rPr>
            <w:webHidden/>
            <w:sz w:val="28"/>
            <w:szCs w:val="28"/>
          </w:rPr>
          <w:tab/>
        </w:r>
        <w:r w:rsidR="00C07F84" w:rsidRPr="00C07F84">
          <w:rPr>
            <w:webHidden/>
            <w:sz w:val="28"/>
            <w:szCs w:val="28"/>
          </w:rPr>
          <w:fldChar w:fldCharType="begin"/>
        </w:r>
        <w:r w:rsidR="00C07F84" w:rsidRPr="00C07F84">
          <w:rPr>
            <w:webHidden/>
            <w:sz w:val="28"/>
            <w:szCs w:val="28"/>
          </w:rPr>
          <w:instrText xml:space="preserve"> PAGEREF _Toc186029835 \h </w:instrText>
        </w:r>
        <w:r w:rsidR="00C07F84" w:rsidRPr="00C07F84">
          <w:rPr>
            <w:webHidden/>
            <w:sz w:val="28"/>
            <w:szCs w:val="28"/>
          </w:rPr>
        </w:r>
        <w:r w:rsidR="00C07F84" w:rsidRPr="00C07F84">
          <w:rPr>
            <w:webHidden/>
            <w:sz w:val="28"/>
            <w:szCs w:val="28"/>
          </w:rPr>
          <w:fldChar w:fldCharType="separate"/>
        </w:r>
        <w:r w:rsidR="00565286">
          <w:rPr>
            <w:webHidden/>
            <w:sz w:val="28"/>
            <w:szCs w:val="28"/>
          </w:rPr>
          <w:t>23</w:t>
        </w:r>
        <w:r w:rsidR="00C07F84" w:rsidRPr="00C07F84">
          <w:rPr>
            <w:webHidden/>
            <w:sz w:val="28"/>
            <w:szCs w:val="28"/>
          </w:rPr>
          <w:fldChar w:fldCharType="end"/>
        </w:r>
      </w:hyperlink>
    </w:p>
    <w:p w14:paraId="7F02E146" w14:textId="79BD45FC" w:rsidR="00C07F84" w:rsidRPr="00C07F84" w:rsidRDefault="00000000">
      <w:pPr>
        <w:pStyle w:val="12"/>
        <w:rPr>
          <w:rFonts w:cstheme="minorBidi"/>
          <w:bCs w:val="0"/>
          <w:caps w:val="0"/>
          <w:spacing w:val="0"/>
          <w:sz w:val="20"/>
          <w:szCs w:val="20"/>
          <w14:ligatures w14:val="standardContextual"/>
        </w:rPr>
      </w:pPr>
      <w:hyperlink w:anchor="_Toc186029836" w:history="1">
        <w:r w:rsidR="00C07F84" w:rsidRPr="00C07F84">
          <w:rPr>
            <w:rStyle w:val="a8"/>
            <w:rFonts w:hint="eastAsia"/>
            <w:sz w:val="28"/>
            <w:szCs w:val="28"/>
          </w:rPr>
          <w:t>圖13</w:t>
        </w:r>
        <w:r w:rsidR="00C07F84" w:rsidRPr="00C07F84">
          <w:rPr>
            <w:rFonts w:cstheme="minorBidi"/>
            <w:bCs w:val="0"/>
            <w:caps w:val="0"/>
            <w:spacing w:val="0"/>
            <w:sz w:val="20"/>
            <w:szCs w:val="20"/>
            <w14:ligatures w14:val="standardContextual"/>
          </w:rPr>
          <w:tab/>
        </w:r>
        <w:r w:rsidR="00C07F84" w:rsidRPr="00C07F84">
          <w:rPr>
            <w:rStyle w:val="a8"/>
            <w:rFonts w:hint="eastAsia"/>
            <w:sz w:val="28"/>
            <w:szCs w:val="28"/>
          </w:rPr>
          <w:t>監察委員鴻義章考察東京電力公司</w:t>
        </w:r>
        <w:r w:rsidR="00C07F84" w:rsidRPr="00C07F84">
          <w:rPr>
            <w:webHidden/>
            <w:sz w:val="28"/>
            <w:szCs w:val="28"/>
          </w:rPr>
          <w:tab/>
        </w:r>
        <w:r w:rsidR="00C07F84" w:rsidRPr="00C07F84">
          <w:rPr>
            <w:webHidden/>
            <w:sz w:val="28"/>
            <w:szCs w:val="28"/>
          </w:rPr>
          <w:fldChar w:fldCharType="begin"/>
        </w:r>
        <w:r w:rsidR="00C07F84" w:rsidRPr="00C07F84">
          <w:rPr>
            <w:webHidden/>
            <w:sz w:val="28"/>
            <w:szCs w:val="28"/>
          </w:rPr>
          <w:instrText xml:space="preserve"> PAGEREF _Toc186029836 \h </w:instrText>
        </w:r>
        <w:r w:rsidR="00C07F84" w:rsidRPr="00C07F84">
          <w:rPr>
            <w:webHidden/>
            <w:sz w:val="28"/>
            <w:szCs w:val="28"/>
          </w:rPr>
        </w:r>
        <w:r w:rsidR="00C07F84" w:rsidRPr="00C07F84">
          <w:rPr>
            <w:webHidden/>
            <w:sz w:val="28"/>
            <w:szCs w:val="28"/>
          </w:rPr>
          <w:fldChar w:fldCharType="separate"/>
        </w:r>
        <w:r w:rsidR="00565286">
          <w:rPr>
            <w:webHidden/>
            <w:sz w:val="28"/>
            <w:szCs w:val="28"/>
          </w:rPr>
          <w:t>24</w:t>
        </w:r>
        <w:r w:rsidR="00C07F84" w:rsidRPr="00C07F84">
          <w:rPr>
            <w:webHidden/>
            <w:sz w:val="28"/>
            <w:szCs w:val="28"/>
          </w:rPr>
          <w:fldChar w:fldCharType="end"/>
        </w:r>
      </w:hyperlink>
    </w:p>
    <w:p w14:paraId="2C8933BD" w14:textId="4E69C5EA" w:rsidR="00C07F84" w:rsidRPr="00C07F84" w:rsidRDefault="00000000">
      <w:pPr>
        <w:pStyle w:val="12"/>
        <w:rPr>
          <w:rFonts w:cstheme="minorBidi"/>
          <w:bCs w:val="0"/>
          <w:caps w:val="0"/>
          <w:spacing w:val="0"/>
          <w:sz w:val="20"/>
          <w:szCs w:val="20"/>
          <w14:ligatures w14:val="standardContextual"/>
        </w:rPr>
      </w:pPr>
      <w:hyperlink w:anchor="_Toc186029837" w:history="1">
        <w:r w:rsidR="00C07F84" w:rsidRPr="00C07F84">
          <w:rPr>
            <w:rStyle w:val="a8"/>
            <w:rFonts w:hint="eastAsia"/>
            <w:sz w:val="28"/>
            <w:szCs w:val="28"/>
          </w:rPr>
          <w:t>圖14</w:t>
        </w:r>
        <w:r w:rsidR="00C07F84" w:rsidRPr="00C07F84">
          <w:rPr>
            <w:rFonts w:cstheme="minorBidi"/>
            <w:bCs w:val="0"/>
            <w:caps w:val="0"/>
            <w:spacing w:val="0"/>
            <w:sz w:val="20"/>
            <w:szCs w:val="20"/>
            <w14:ligatures w14:val="standardContextual"/>
          </w:rPr>
          <w:tab/>
        </w:r>
        <w:r w:rsidR="00C07F84" w:rsidRPr="00C07F84">
          <w:rPr>
            <w:rStyle w:val="a8"/>
            <w:rFonts w:hint="eastAsia"/>
            <w:sz w:val="28"/>
            <w:szCs w:val="28"/>
          </w:rPr>
          <w:t>東京電力控股株式會社</w:t>
        </w:r>
        <w:r w:rsidR="00C07F84" w:rsidRPr="00C07F84">
          <w:rPr>
            <w:webHidden/>
            <w:sz w:val="28"/>
            <w:szCs w:val="28"/>
          </w:rPr>
          <w:tab/>
        </w:r>
        <w:r w:rsidR="00C07F84" w:rsidRPr="00C07F84">
          <w:rPr>
            <w:webHidden/>
            <w:sz w:val="28"/>
            <w:szCs w:val="28"/>
          </w:rPr>
          <w:fldChar w:fldCharType="begin"/>
        </w:r>
        <w:r w:rsidR="00C07F84" w:rsidRPr="00C07F84">
          <w:rPr>
            <w:webHidden/>
            <w:sz w:val="28"/>
            <w:szCs w:val="28"/>
          </w:rPr>
          <w:instrText xml:space="preserve"> PAGEREF _Toc186029837 \h </w:instrText>
        </w:r>
        <w:r w:rsidR="00C07F84" w:rsidRPr="00C07F84">
          <w:rPr>
            <w:webHidden/>
            <w:sz w:val="28"/>
            <w:szCs w:val="28"/>
          </w:rPr>
        </w:r>
        <w:r w:rsidR="00C07F84" w:rsidRPr="00C07F84">
          <w:rPr>
            <w:webHidden/>
            <w:sz w:val="28"/>
            <w:szCs w:val="28"/>
          </w:rPr>
          <w:fldChar w:fldCharType="separate"/>
        </w:r>
        <w:r w:rsidR="00565286">
          <w:rPr>
            <w:webHidden/>
            <w:sz w:val="28"/>
            <w:szCs w:val="28"/>
          </w:rPr>
          <w:t>24</w:t>
        </w:r>
        <w:r w:rsidR="00C07F84" w:rsidRPr="00C07F84">
          <w:rPr>
            <w:webHidden/>
            <w:sz w:val="28"/>
            <w:szCs w:val="28"/>
          </w:rPr>
          <w:fldChar w:fldCharType="end"/>
        </w:r>
      </w:hyperlink>
    </w:p>
    <w:p w14:paraId="2692B680" w14:textId="3D23EA9B" w:rsidR="00C07F84" w:rsidRPr="00C07F84" w:rsidRDefault="00000000">
      <w:pPr>
        <w:pStyle w:val="12"/>
        <w:rPr>
          <w:rFonts w:cstheme="minorBidi"/>
          <w:bCs w:val="0"/>
          <w:caps w:val="0"/>
          <w:spacing w:val="0"/>
          <w:sz w:val="20"/>
          <w:szCs w:val="20"/>
          <w14:ligatures w14:val="standardContextual"/>
        </w:rPr>
      </w:pPr>
      <w:hyperlink w:anchor="_Toc186029838" w:history="1">
        <w:r w:rsidR="00C07F84" w:rsidRPr="00C07F84">
          <w:rPr>
            <w:rStyle w:val="a8"/>
            <w:rFonts w:hint="eastAsia"/>
            <w:sz w:val="28"/>
            <w:szCs w:val="28"/>
          </w:rPr>
          <w:t>圖15</w:t>
        </w:r>
        <w:r w:rsidR="00C07F84" w:rsidRPr="00C07F84">
          <w:rPr>
            <w:rFonts w:cstheme="minorBidi"/>
            <w:bCs w:val="0"/>
            <w:caps w:val="0"/>
            <w:spacing w:val="0"/>
            <w:sz w:val="20"/>
            <w:szCs w:val="20"/>
            <w14:ligatures w14:val="standardContextual"/>
          </w:rPr>
          <w:tab/>
        </w:r>
        <w:r w:rsidR="00C07F84" w:rsidRPr="00C07F84">
          <w:rPr>
            <w:rStyle w:val="a8"/>
            <w:rFonts w:hint="eastAsia"/>
            <w:sz w:val="28"/>
            <w:szCs w:val="28"/>
          </w:rPr>
          <w:t>東京電力公司廣報部進行柏崎刈羽核電廠之相關簡報</w:t>
        </w:r>
        <w:r w:rsidR="00C07F84" w:rsidRPr="00C07F84">
          <w:rPr>
            <w:webHidden/>
            <w:sz w:val="28"/>
            <w:szCs w:val="28"/>
          </w:rPr>
          <w:tab/>
        </w:r>
        <w:r w:rsidR="00C07F84" w:rsidRPr="00C07F84">
          <w:rPr>
            <w:webHidden/>
            <w:sz w:val="28"/>
            <w:szCs w:val="28"/>
          </w:rPr>
          <w:fldChar w:fldCharType="begin"/>
        </w:r>
        <w:r w:rsidR="00C07F84" w:rsidRPr="00C07F84">
          <w:rPr>
            <w:webHidden/>
            <w:sz w:val="28"/>
            <w:szCs w:val="28"/>
          </w:rPr>
          <w:instrText xml:space="preserve"> PAGEREF _Toc186029838 \h </w:instrText>
        </w:r>
        <w:r w:rsidR="00C07F84" w:rsidRPr="00C07F84">
          <w:rPr>
            <w:webHidden/>
            <w:sz w:val="28"/>
            <w:szCs w:val="28"/>
          </w:rPr>
        </w:r>
        <w:r w:rsidR="00C07F84" w:rsidRPr="00C07F84">
          <w:rPr>
            <w:webHidden/>
            <w:sz w:val="28"/>
            <w:szCs w:val="28"/>
          </w:rPr>
          <w:fldChar w:fldCharType="separate"/>
        </w:r>
        <w:r w:rsidR="00565286">
          <w:rPr>
            <w:webHidden/>
            <w:sz w:val="28"/>
            <w:szCs w:val="28"/>
          </w:rPr>
          <w:t>25</w:t>
        </w:r>
        <w:r w:rsidR="00C07F84" w:rsidRPr="00C07F84">
          <w:rPr>
            <w:webHidden/>
            <w:sz w:val="28"/>
            <w:szCs w:val="28"/>
          </w:rPr>
          <w:fldChar w:fldCharType="end"/>
        </w:r>
      </w:hyperlink>
    </w:p>
    <w:p w14:paraId="657001FF" w14:textId="6B0F5903" w:rsidR="00C07F84" w:rsidRPr="00C07F84" w:rsidRDefault="00000000">
      <w:pPr>
        <w:pStyle w:val="12"/>
        <w:rPr>
          <w:rFonts w:cstheme="minorBidi"/>
          <w:bCs w:val="0"/>
          <w:caps w:val="0"/>
          <w:spacing w:val="0"/>
          <w:sz w:val="20"/>
          <w:szCs w:val="20"/>
          <w14:ligatures w14:val="standardContextual"/>
        </w:rPr>
      </w:pPr>
      <w:hyperlink w:anchor="_Toc186029839" w:history="1">
        <w:r w:rsidR="00C07F84" w:rsidRPr="00C07F84">
          <w:rPr>
            <w:rStyle w:val="a8"/>
            <w:rFonts w:hint="eastAsia"/>
            <w:sz w:val="28"/>
            <w:szCs w:val="28"/>
          </w:rPr>
          <w:t>圖16</w:t>
        </w:r>
        <w:r w:rsidR="00C07F84" w:rsidRPr="00C07F84">
          <w:rPr>
            <w:rFonts w:cstheme="minorBidi"/>
            <w:bCs w:val="0"/>
            <w:caps w:val="0"/>
            <w:spacing w:val="0"/>
            <w:sz w:val="20"/>
            <w:szCs w:val="20"/>
            <w14:ligatures w14:val="standardContextual"/>
          </w:rPr>
          <w:tab/>
        </w:r>
        <w:r w:rsidR="00C07F84" w:rsidRPr="00C07F84">
          <w:rPr>
            <w:rStyle w:val="a8"/>
            <w:rFonts w:hint="eastAsia"/>
            <w:sz w:val="28"/>
            <w:szCs w:val="28"/>
          </w:rPr>
          <w:t>與東京電力公司廣報部同仁進行交流與討論</w:t>
        </w:r>
        <w:r w:rsidR="00C07F84" w:rsidRPr="00C07F84">
          <w:rPr>
            <w:webHidden/>
            <w:sz w:val="28"/>
            <w:szCs w:val="28"/>
          </w:rPr>
          <w:tab/>
        </w:r>
        <w:r w:rsidR="00C07F84" w:rsidRPr="00C07F84">
          <w:rPr>
            <w:webHidden/>
            <w:sz w:val="28"/>
            <w:szCs w:val="28"/>
          </w:rPr>
          <w:fldChar w:fldCharType="begin"/>
        </w:r>
        <w:r w:rsidR="00C07F84" w:rsidRPr="00C07F84">
          <w:rPr>
            <w:webHidden/>
            <w:sz w:val="28"/>
            <w:szCs w:val="28"/>
          </w:rPr>
          <w:instrText xml:space="preserve"> PAGEREF _Toc186029839 \h </w:instrText>
        </w:r>
        <w:r w:rsidR="00C07F84" w:rsidRPr="00C07F84">
          <w:rPr>
            <w:webHidden/>
            <w:sz w:val="28"/>
            <w:szCs w:val="28"/>
          </w:rPr>
        </w:r>
        <w:r w:rsidR="00C07F84" w:rsidRPr="00C07F84">
          <w:rPr>
            <w:webHidden/>
            <w:sz w:val="28"/>
            <w:szCs w:val="28"/>
          </w:rPr>
          <w:fldChar w:fldCharType="separate"/>
        </w:r>
        <w:r w:rsidR="00565286">
          <w:rPr>
            <w:webHidden/>
            <w:sz w:val="28"/>
            <w:szCs w:val="28"/>
          </w:rPr>
          <w:t>25</w:t>
        </w:r>
        <w:r w:rsidR="00C07F84" w:rsidRPr="00C07F84">
          <w:rPr>
            <w:webHidden/>
            <w:sz w:val="28"/>
            <w:szCs w:val="28"/>
          </w:rPr>
          <w:fldChar w:fldCharType="end"/>
        </w:r>
      </w:hyperlink>
    </w:p>
    <w:p w14:paraId="15098801" w14:textId="36285584" w:rsidR="00C07F84" w:rsidRPr="00C07F84" w:rsidRDefault="00000000">
      <w:pPr>
        <w:pStyle w:val="12"/>
        <w:rPr>
          <w:rFonts w:cstheme="minorBidi"/>
          <w:bCs w:val="0"/>
          <w:caps w:val="0"/>
          <w:spacing w:val="0"/>
          <w:sz w:val="20"/>
          <w:szCs w:val="20"/>
          <w14:ligatures w14:val="standardContextual"/>
        </w:rPr>
      </w:pPr>
      <w:hyperlink w:anchor="_Toc186029840" w:history="1">
        <w:r w:rsidR="00C07F84" w:rsidRPr="00C07F84">
          <w:rPr>
            <w:rStyle w:val="a8"/>
            <w:rFonts w:hint="eastAsia"/>
            <w:sz w:val="28"/>
            <w:szCs w:val="28"/>
          </w:rPr>
          <w:t>圖17</w:t>
        </w:r>
        <w:r w:rsidR="00C07F84" w:rsidRPr="00C07F84">
          <w:rPr>
            <w:rFonts w:cstheme="minorBidi"/>
            <w:bCs w:val="0"/>
            <w:caps w:val="0"/>
            <w:spacing w:val="0"/>
            <w:sz w:val="20"/>
            <w:szCs w:val="20"/>
            <w14:ligatures w14:val="standardContextual"/>
          </w:rPr>
          <w:tab/>
        </w:r>
        <w:r w:rsidR="00C07F84" w:rsidRPr="00C07F84">
          <w:rPr>
            <w:rStyle w:val="a8"/>
            <w:rFonts w:hint="eastAsia"/>
            <w:sz w:val="28"/>
            <w:szCs w:val="28"/>
          </w:rPr>
          <w:t>考察團隊拜會駐日代表李逸洋先生意見交流情形</w:t>
        </w:r>
        <w:r w:rsidR="00C07F84" w:rsidRPr="00C07F84">
          <w:rPr>
            <w:webHidden/>
            <w:sz w:val="28"/>
            <w:szCs w:val="28"/>
          </w:rPr>
          <w:tab/>
        </w:r>
        <w:r w:rsidR="00C07F84" w:rsidRPr="00C07F84">
          <w:rPr>
            <w:webHidden/>
            <w:sz w:val="28"/>
            <w:szCs w:val="28"/>
          </w:rPr>
          <w:fldChar w:fldCharType="begin"/>
        </w:r>
        <w:r w:rsidR="00C07F84" w:rsidRPr="00C07F84">
          <w:rPr>
            <w:webHidden/>
            <w:sz w:val="28"/>
            <w:szCs w:val="28"/>
          </w:rPr>
          <w:instrText xml:space="preserve"> PAGEREF _Toc186029840 \h </w:instrText>
        </w:r>
        <w:r w:rsidR="00C07F84" w:rsidRPr="00C07F84">
          <w:rPr>
            <w:webHidden/>
            <w:sz w:val="28"/>
            <w:szCs w:val="28"/>
          </w:rPr>
        </w:r>
        <w:r w:rsidR="00C07F84" w:rsidRPr="00C07F84">
          <w:rPr>
            <w:webHidden/>
            <w:sz w:val="28"/>
            <w:szCs w:val="28"/>
          </w:rPr>
          <w:fldChar w:fldCharType="separate"/>
        </w:r>
        <w:r w:rsidR="00565286">
          <w:rPr>
            <w:webHidden/>
            <w:sz w:val="28"/>
            <w:szCs w:val="28"/>
          </w:rPr>
          <w:t>27</w:t>
        </w:r>
        <w:r w:rsidR="00C07F84" w:rsidRPr="00C07F84">
          <w:rPr>
            <w:webHidden/>
            <w:sz w:val="28"/>
            <w:szCs w:val="28"/>
          </w:rPr>
          <w:fldChar w:fldCharType="end"/>
        </w:r>
      </w:hyperlink>
    </w:p>
    <w:p w14:paraId="29B34536" w14:textId="0297371B" w:rsidR="00C07F84" w:rsidRPr="00C07F84" w:rsidRDefault="00000000">
      <w:pPr>
        <w:pStyle w:val="12"/>
        <w:rPr>
          <w:rFonts w:cstheme="minorBidi"/>
          <w:bCs w:val="0"/>
          <w:caps w:val="0"/>
          <w:spacing w:val="0"/>
          <w:sz w:val="20"/>
          <w:szCs w:val="20"/>
          <w14:ligatures w14:val="standardContextual"/>
        </w:rPr>
      </w:pPr>
      <w:hyperlink w:anchor="_Toc186029841" w:history="1">
        <w:r w:rsidR="00C07F84" w:rsidRPr="00C07F84">
          <w:rPr>
            <w:rStyle w:val="a8"/>
            <w:rFonts w:hint="eastAsia"/>
            <w:sz w:val="28"/>
            <w:szCs w:val="28"/>
          </w:rPr>
          <w:t>圖18</w:t>
        </w:r>
        <w:r w:rsidR="00C07F84" w:rsidRPr="00C07F84">
          <w:rPr>
            <w:rFonts w:cstheme="minorBidi"/>
            <w:bCs w:val="0"/>
            <w:caps w:val="0"/>
            <w:spacing w:val="0"/>
            <w:sz w:val="20"/>
            <w:szCs w:val="20"/>
            <w14:ligatures w14:val="standardContextual"/>
          </w:rPr>
          <w:tab/>
        </w:r>
        <w:r w:rsidR="00C07F84" w:rsidRPr="00C07F84">
          <w:rPr>
            <w:rStyle w:val="a8"/>
            <w:rFonts w:hint="eastAsia"/>
            <w:sz w:val="28"/>
            <w:szCs w:val="28"/>
          </w:rPr>
          <w:t>監察委員鴻義章拜會駐日代表處李逸洋大使</w:t>
        </w:r>
        <w:r w:rsidR="00C07F84" w:rsidRPr="00C07F84">
          <w:rPr>
            <w:webHidden/>
            <w:sz w:val="28"/>
            <w:szCs w:val="28"/>
          </w:rPr>
          <w:tab/>
        </w:r>
        <w:r w:rsidR="00C07F84" w:rsidRPr="00C07F84">
          <w:rPr>
            <w:webHidden/>
            <w:sz w:val="28"/>
            <w:szCs w:val="28"/>
          </w:rPr>
          <w:fldChar w:fldCharType="begin"/>
        </w:r>
        <w:r w:rsidR="00C07F84" w:rsidRPr="00C07F84">
          <w:rPr>
            <w:webHidden/>
            <w:sz w:val="28"/>
            <w:szCs w:val="28"/>
          </w:rPr>
          <w:instrText xml:space="preserve"> PAGEREF _Toc186029841 \h </w:instrText>
        </w:r>
        <w:r w:rsidR="00C07F84" w:rsidRPr="00C07F84">
          <w:rPr>
            <w:webHidden/>
            <w:sz w:val="28"/>
            <w:szCs w:val="28"/>
          </w:rPr>
        </w:r>
        <w:r w:rsidR="00C07F84" w:rsidRPr="00C07F84">
          <w:rPr>
            <w:webHidden/>
            <w:sz w:val="28"/>
            <w:szCs w:val="28"/>
          </w:rPr>
          <w:fldChar w:fldCharType="separate"/>
        </w:r>
        <w:r w:rsidR="00565286">
          <w:rPr>
            <w:webHidden/>
            <w:sz w:val="28"/>
            <w:szCs w:val="28"/>
          </w:rPr>
          <w:t>27</w:t>
        </w:r>
        <w:r w:rsidR="00C07F84" w:rsidRPr="00C07F84">
          <w:rPr>
            <w:webHidden/>
            <w:sz w:val="28"/>
            <w:szCs w:val="28"/>
          </w:rPr>
          <w:fldChar w:fldCharType="end"/>
        </w:r>
      </w:hyperlink>
    </w:p>
    <w:p w14:paraId="5D7300F5" w14:textId="239F9FE4" w:rsidR="00C07F84" w:rsidRPr="00C07F84" w:rsidRDefault="00000000">
      <w:pPr>
        <w:pStyle w:val="12"/>
        <w:rPr>
          <w:rFonts w:cstheme="minorBidi"/>
          <w:bCs w:val="0"/>
          <w:caps w:val="0"/>
          <w:spacing w:val="0"/>
          <w:sz w:val="20"/>
          <w:szCs w:val="20"/>
          <w14:ligatures w14:val="standardContextual"/>
        </w:rPr>
      </w:pPr>
      <w:hyperlink w:anchor="_Toc186029842" w:history="1">
        <w:r w:rsidR="00C07F84" w:rsidRPr="00C07F84">
          <w:rPr>
            <w:rStyle w:val="a8"/>
            <w:rFonts w:hint="eastAsia"/>
            <w:sz w:val="28"/>
            <w:szCs w:val="28"/>
          </w:rPr>
          <w:t>圖19</w:t>
        </w:r>
        <w:r w:rsidR="00C07F84" w:rsidRPr="00C07F84">
          <w:rPr>
            <w:rFonts w:cstheme="minorBidi"/>
            <w:bCs w:val="0"/>
            <w:caps w:val="0"/>
            <w:spacing w:val="0"/>
            <w:sz w:val="20"/>
            <w:szCs w:val="20"/>
            <w14:ligatures w14:val="standardContextual"/>
          </w:rPr>
          <w:tab/>
        </w:r>
        <w:r w:rsidR="00C07F84" w:rsidRPr="00C07F84">
          <w:rPr>
            <w:rStyle w:val="a8"/>
            <w:rFonts w:hint="eastAsia"/>
            <w:sz w:val="28"/>
            <w:szCs w:val="28"/>
          </w:rPr>
          <w:t>拜會東京大學副校長堤伸浩教授</w:t>
        </w:r>
        <w:r w:rsidR="00C07F84" w:rsidRPr="00C07F84">
          <w:rPr>
            <w:webHidden/>
            <w:sz w:val="28"/>
            <w:szCs w:val="28"/>
          </w:rPr>
          <w:tab/>
        </w:r>
        <w:r w:rsidR="00C07F84" w:rsidRPr="00C07F84">
          <w:rPr>
            <w:webHidden/>
            <w:sz w:val="28"/>
            <w:szCs w:val="28"/>
          </w:rPr>
          <w:fldChar w:fldCharType="begin"/>
        </w:r>
        <w:r w:rsidR="00C07F84" w:rsidRPr="00C07F84">
          <w:rPr>
            <w:webHidden/>
            <w:sz w:val="28"/>
            <w:szCs w:val="28"/>
          </w:rPr>
          <w:instrText xml:space="preserve"> PAGEREF _Toc186029842 \h </w:instrText>
        </w:r>
        <w:r w:rsidR="00C07F84" w:rsidRPr="00C07F84">
          <w:rPr>
            <w:webHidden/>
            <w:sz w:val="28"/>
            <w:szCs w:val="28"/>
          </w:rPr>
        </w:r>
        <w:r w:rsidR="00C07F84" w:rsidRPr="00C07F84">
          <w:rPr>
            <w:webHidden/>
            <w:sz w:val="28"/>
            <w:szCs w:val="28"/>
          </w:rPr>
          <w:fldChar w:fldCharType="separate"/>
        </w:r>
        <w:r w:rsidR="00565286">
          <w:rPr>
            <w:webHidden/>
            <w:sz w:val="28"/>
            <w:szCs w:val="28"/>
          </w:rPr>
          <w:t>29</w:t>
        </w:r>
        <w:r w:rsidR="00C07F84" w:rsidRPr="00C07F84">
          <w:rPr>
            <w:webHidden/>
            <w:sz w:val="28"/>
            <w:szCs w:val="28"/>
          </w:rPr>
          <w:fldChar w:fldCharType="end"/>
        </w:r>
      </w:hyperlink>
    </w:p>
    <w:p w14:paraId="1FF896C4" w14:textId="65F18F28" w:rsidR="00C07F84" w:rsidRPr="00C07F84" w:rsidRDefault="00000000">
      <w:pPr>
        <w:pStyle w:val="12"/>
        <w:rPr>
          <w:rFonts w:cstheme="minorBidi"/>
          <w:bCs w:val="0"/>
          <w:caps w:val="0"/>
          <w:spacing w:val="0"/>
          <w:sz w:val="20"/>
          <w:szCs w:val="20"/>
          <w14:ligatures w14:val="standardContextual"/>
        </w:rPr>
      </w:pPr>
      <w:hyperlink w:anchor="_Toc186029843" w:history="1">
        <w:r w:rsidR="00C07F84" w:rsidRPr="00C07F84">
          <w:rPr>
            <w:rStyle w:val="a8"/>
            <w:rFonts w:hint="eastAsia"/>
            <w:sz w:val="28"/>
            <w:szCs w:val="28"/>
          </w:rPr>
          <w:t>圖20</w:t>
        </w:r>
        <w:r w:rsidR="00C07F84" w:rsidRPr="00C07F84">
          <w:rPr>
            <w:rFonts w:cstheme="minorBidi"/>
            <w:bCs w:val="0"/>
            <w:caps w:val="0"/>
            <w:spacing w:val="0"/>
            <w:sz w:val="20"/>
            <w:szCs w:val="20"/>
            <w14:ligatures w14:val="standardContextual"/>
          </w:rPr>
          <w:tab/>
        </w:r>
        <w:r w:rsidR="00C07F84" w:rsidRPr="00C07F84">
          <w:rPr>
            <w:rStyle w:val="a8"/>
            <w:rFonts w:hint="eastAsia"/>
            <w:sz w:val="28"/>
            <w:szCs w:val="28"/>
          </w:rPr>
          <w:t>考察團隊拜會東京大學副校長堤伸浩教授意見交流情形</w:t>
        </w:r>
        <w:r w:rsidR="00C07F84" w:rsidRPr="00C07F84">
          <w:rPr>
            <w:webHidden/>
            <w:sz w:val="28"/>
            <w:szCs w:val="28"/>
          </w:rPr>
          <w:tab/>
        </w:r>
        <w:r w:rsidR="00C07F84" w:rsidRPr="00C07F84">
          <w:rPr>
            <w:webHidden/>
            <w:sz w:val="28"/>
            <w:szCs w:val="28"/>
          </w:rPr>
          <w:fldChar w:fldCharType="begin"/>
        </w:r>
        <w:r w:rsidR="00C07F84" w:rsidRPr="00C07F84">
          <w:rPr>
            <w:webHidden/>
            <w:sz w:val="28"/>
            <w:szCs w:val="28"/>
          </w:rPr>
          <w:instrText xml:space="preserve"> PAGEREF _Toc186029843 \h </w:instrText>
        </w:r>
        <w:r w:rsidR="00C07F84" w:rsidRPr="00C07F84">
          <w:rPr>
            <w:webHidden/>
            <w:sz w:val="28"/>
            <w:szCs w:val="28"/>
          </w:rPr>
        </w:r>
        <w:r w:rsidR="00C07F84" w:rsidRPr="00C07F84">
          <w:rPr>
            <w:webHidden/>
            <w:sz w:val="28"/>
            <w:szCs w:val="28"/>
          </w:rPr>
          <w:fldChar w:fldCharType="separate"/>
        </w:r>
        <w:r w:rsidR="00565286">
          <w:rPr>
            <w:webHidden/>
            <w:sz w:val="28"/>
            <w:szCs w:val="28"/>
          </w:rPr>
          <w:t>29</w:t>
        </w:r>
        <w:r w:rsidR="00C07F84" w:rsidRPr="00C07F84">
          <w:rPr>
            <w:webHidden/>
            <w:sz w:val="28"/>
            <w:szCs w:val="28"/>
          </w:rPr>
          <w:fldChar w:fldCharType="end"/>
        </w:r>
      </w:hyperlink>
    </w:p>
    <w:p w14:paraId="1EBC95ED" w14:textId="50A43D25" w:rsidR="00C07F84" w:rsidRPr="00C07F84" w:rsidRDefault="00000000">
      <w:pPr>
        <w:pStyle w:val="12"/>
        <w:rPr>
          <w:rFonts w:cstheme="minorBidi"/>
          <w:bCs w:val="0"/>
          <w:caps w:val="0"/>
          <w:spacing w:val="0"/>
          <w:sz w:val="20"/>
          <w:szCs w:val="20"/>
          <w14:ligatures w14:val="standardContextual"/>
        </w:rPr>
      </w:pPr>
      <w:hyperlink w:anchor="_Toc186029844" w:history="1">
        <w:r w:rsidR="00C07F84" w:rsidRPr="00C07F84">
          <w:rPr>
            <w:rStyle w:val="a8"/>
            <w:rFonts w:hint="eastAsia"/>
            <w:sz w:val="28"/>
            <w:szCs w:val="28"/>
          </w:rPr>
          <w:t>圖21</w:t>
        </w:r>
        <w:r w:rsidR="00C07F84" w:rsidRPr="00C07F84">
          <w:rPr>
            <w:rFonts w:cstheme="minorBidi"/>
            <w:bCs w:val="0"/>
            <w:caps w:val="0"/>
            <w:spacing w:val="0"/>
            <w:sz w:val="20"/>
            <w:szCs w:val="20"/>
            <w14:ligatures w14:val="standardContextual"/>
          </w:rPr>
          <w:tab/>
        </w:r>
        <w:r w:rsidR="00C07F84" w:rsidRPr="00C07F84">
          <w:rPr>
            <w:rStyle w:val="a8"/>
            <w:rFonts w:hint="eastAsia"/>
            <w:sz w:val="28"/>
            <w:szCs w:val="28"/>
          </w:rPr>
          <w:t>新世代能源反應器設計</w:t>
        </w:r>
        <w:r w:rsidR="00C07F84" w:rsidRPr="00C07F84">
          <w:rPr>
            <w:rStyle w:val="a8"/>
            <w:sz w:val="28"/>
            <w:szCs w:val="28"/>
          </w:rPr>
          <w:t>(</w:t>
        </w:r>
        <w:r w:rsidR="00C07F84" w:rsidRPr="00C07F84">
          <w:rPr>
            <w:rStyle w:val="a8"/>
            <w:rFonts w:hint="eastAsia"/>
            <w:sz w:val="28"/>
            <w:szCs w:val="28"/>
          </w:rPr>
          <w:t>專利</w:t>
        </w:r>
        <w:r w:rsidR="00C07F84" w:rsidRPr="00C07F84">
          <w:rPr>
            <w:rStyle w:val="a8"/>
            <w:sz w:val="28"/>
            <w:szCs w:val="28"/>
          </w:rPr>
          <w:t>5838511</w:t>
        </w:r>
        <w:r w:rsidR="00C07F84" w:rsidRPr="00C07F84">
          <w:rPr>
            <w:rStyle w:val="a8"/>
            <w:rFonts w:hint="eastAsia"/>
            <w:sz w:val="28"/>
            <w:szCs w:val="28"/>
          </w:rPr>
          <w:t>號</w:t>
        </w:r>
        <w:r w:rsidR="00C07F84" w:rsidRPr="00C07F84">
          <w:rPr>
            <w:rStyle w:val="a8"/>
            <w:sz w:val="28"/>
            <w:szCs w:val="28"/>
          </w:rPr>
          <w:t>)</w:t>
        </w:r>
        <w:r w:rsidR="00C07F84" w:rsidRPr="00C07F84">
          <w:rPr>
            <w:rStyle w:val="a8"/>
            <w:rFonts w:hint="eastAsia"/>
            <w:sz w:val="28"/>
            <w:szCs w:val="28"/>
          </w:rPr>
          <w:t>概要圖</w:t>
        </w:r>
        <w:r w:rsidR="00C07F84" w:rsidRPr="00C07F84">
          <w:rPr>
            <w:webHidden/>
            <w:sz w:val="28"/>
            <w:szCs w:val="28"/>
          </w:rPr>
          <w:tab/>
        </w:r>
        <w:r w:rsidR="00C07F84" w:rsidRPr="00C07F84">
          <w:rPr>
            <w:webHidden/>
            <w:sz w:val="28"/>
            <w:szCs w:val="28"/>
          </w:rPr>
          <w:fldChar w:fldCharType="begin"/>
        </w:r>
        <w:r w:rsidR="00C07F84" w:rsidRPr="00C07F84">
          <w:rPr>
            <w:webHidden/>
            <w:sz w:val="28"/>
            <w:szCs w:val="28"/>
          </w:rPr>
          <w:instrText xml:space="preserve"> PAGEREF _Toc186029844 \h </w:instrText>
        </w:r>
        <w:r w:rsidR="00C07F84" w:rsidRPr="00C07F84">
          <w:rPr>
            <w:webHidden/>
            <w:sz w:val="28"/>
            <w:szCs w:val="28"/>
          </w:rPr>
        </w:r>
        <w:r w:rsidR="00C07F84" w:rsidRPr="00C07F84">
          <w:rPr>
            <w:webHidden/>
            <w:sz w:val="28"/>
            <w:szCs w:val="28"/>
          </w:rPr>
          <w:fldChar w:fldCharType="separate"/>
        </w:r>
        <w:r w:rsidR="00565286">
          <w:rPr>
            <w:webHidden/>
            <w:sz w:val="28"/>
            <w:szCs w:val="28"/>
          </w:rPr>
          <w:t>31</w:t>
        </w:r>
        <w:r w:rsidR="00C07F84" w:rsidRPr="00C07F84">
          <w:rPr>
            <w:webHidden/>
            <w:sz w:val="28"/>
            <w:szCs w:val="28"/>
          </w:rPr>
          <w:fldChar w:fldCharType="end"/>
        </w:r>
      </w:hyperlink>
    </w:p>
    <w:p w14:paraId="43D06BD4" w14:textId="449E0557" w:rsidR="00C07F84" w:rsidRPr="00C07F84" w:rsidRDefault="00000000">
      <w:pPr>
        <w:pStyle w:val="12"/>
        <w:rPr>
          <w:rFonts w:cstheme="minorBidi"/>
          <w:bCs w:val="0"/>
          <w:caps w:val="0"/>
          <w:spacing w:val="0"/>
          <w:sz w:val="20"/>
          <w:szCs w:val="20"/>
          <w14:ligatures w14:val="standardContextual"/>
        </w:rPr>
      </w:pPr>
      <w:hyperlink w:anchor="_Toc186029845" w:history="1">
        <w:r w:rsidR="00C07F84" w:rsidRPr="00C07F84">
          <w:rPr>
            <w:rStyle w:val="a8"/>
            <w:rFonts w:hint="eastAsia"/>
            <w:sz w:val="28"/>
            <w:szCs w:val="28"/>
          </w:rPr>
          <w:t>圖22</w:t>
        </w:r>
        <w:r w:rsidR="00C07F84" w:rsidRPr="00C07F84">
          <w:rPr>
            <w:rFonts w:cstheme="minorBidi"/>
            <w:bCs w:val="0"/>
            <w:caps w:val="0"/>
            <w:spacing w:val="0"/>
            <w:sz w:val="20"/>
            <w:szCs w:val="20"/>
            <w14:ligatures w14:val="standardContextual"/>
          </w:rPr>
          <w:tab/>
        </w:r>
        <w:r w:rsidR="00C07F84" w:rsidRPr="00C07F84">
          <w:rPr>
            <w:rStyle w:val="a8"/>
            <w:rFonts w:hint="eastAsia"/>
            <w:sz w:val="28"/>
            <w:szCs w:val="28"/>
          </w:rPr>
          <w:t>先進便攜式小型快速反應器示意圖</w:t>
        </w:r>
        <w:r w:rsidR="00C07F84" w:rsidRPr="00C07F84">
          <w:rPr>
            <w:webHidden/>
            <w:sz w:val="28"/>
            <w:szCs w:val="28"/>
          </w:rPr>
          <w:tab/>
        </w:r>
        <w:r w:rsidR="00C07F84" w:rsidRPr="00C07F84">
          <w:rPr>
            <w:webHidden/>
            <w:sz w:val="28"/>
            <w:szCs w:val="28"/>
          </w:rPr>
          <w:fldChar w:fldCharType="begin"/>
        </w:r>
        <w:r w:rsidR="00C07F84" w:rsidRPr="00C07F84">
          <w:rPr>
            <w:webHidden/>
            <w:sz w:val="28"/>
            <w:szCs w:val="28"/>
          </w:rPr>
          <w:instrText xml:space="preserve"> PAGEREF _Toc186029845 \h </w:instrText>
        </w:r>
        <w:r w:rsidR="00C07F84" w:rsidRPr="00C07F84">
          <w:rPr>
            <w:webHidden/>
            <w:sz w:val="28"/>
            <w:szCs w:val="28"/>
          </w:rPr>
        </w:r>
        <w:r w:rsidR="00C07F84" w:rsidRPr="00C07F84">
          <w:rPr>
            <w:webHidden/>
            <w:sz w:val="28"/>
            <w:szCs w:val="28"/>
          </w:rPr>
          <w:fldChar w:fldCharType="separate"/>
        </w:r>
        <w:r w:rsidR="00565286">
          <w:rPr>
            <w:webHidden/>
            <w:sz w:val="28"/>
            <w:szCs w:val="28"/>
          </w:rPr>
          <w:t>32</w:t>
        </w:r>
        <w:r w:rsidR="00C07F84" w:rsidRPr="00C07F84">
          <w:rPr>
            <w:webHidden/>
            <w:sz w:val="28"/>
            <w:szCs w:val="28"/>
          </w:rPr>
          <w:fldChar w:fldCharType="end"/>
        </w:r>
      </w:hyperlink>
    </w:p>
    <w:p w14:paraId="2DC58FD7" w14:textId="102E08C3" w:rsidR="00C07F84" w:rsidRPr="00C07F84" w:rsidRDefault="00000000">
      <w:pPr>
        <w:pStyle w:val="12"/>
        <w:rPr>
          <w:rFonts w:cstheme="minorBidi"/>
          <w:bCs w:val="0"/>
          <w:caps w:val="0"/>
          <w:spacing w:val="0"/>
          <w:sz w:val="20"/>
          <w:szCs w:val="20"/>
          <w14:ligatures w14:val="standardContextual"/>
        </w:rPr>
      </w:pPr>
      <w:hyperlink w:anchor="_Toc186029846" w:history="1">
        <w:r w:rsidR="00C07F84" w:rsidRPr="00C07F84">
          <w:rPr>
            <w:rStyle w:val="a8"/>
            <w:rFonts w:hint="eastAsia"/>
            <w:sz w:val="28"/>
            <w:szCs w:val="28"/>
          </w:rPr>
          <w:t>圖23</w:t>
        </w:r>
        <w:r w:rsidR="00C07F84" w:rsidRPr="00C07F84">
          <w:rPr>
            <w:rFonts w:cstheme="minorBidi"/>
            <w:bCs w:val="0"/>
            <w:caps w:val="0"/>
            <w:spacing w:val="0"/>
            <w:sz w:val="20"/>
            <w:szCs w:val="20"/>
            <w14:ligatures w14:val="standardContextual"/>
          </w:rPr>
          <w:tab/>
        </w:r>
        <w:r w:rsidR="00C07F84" w:rsidRPr="00C07F84">
          <w:rPr>
            <w:rStyle w:val="a8"/>
            <w:rFonts w:hint="eastAsia"/>
            <w:sz w:val="28"/>
            <w:szCs w:val="28"/>
          </w:rPr>
          <w:t>拜訪日本參議院議員佐藤正久</w:t>
        </w:r>
        <w:r w:rsidR="00C07F84" w:rsidRPr="00C07F84">
          <w:rPr>
            <w:webHidden/>
            <w:sz w:val="28"/>
            <w:szCs w:val="28"/>
          </w:rPr>
          <w:tab/>
        </w:r>
        <w:r w:rsidR="00C07F84" w:rsidRPr="00C07F84">
          <w:rPr>
            <w:webHidden/>
            <w:sz w:val="28"/>
            <w:szCs w:val="28"/>
          </w:rPr>
          <w:fldChar w:fldCharType="begin"/>
        </w:r>
        <w:r w:rsidR="00C07F84" w:rsidRPr="00C07F84">
          <w:rPr>
            <w:webHidden/>
            <w:sz w:val="28"/>
            <w:szCs w:val="28"/>
          </w:rPr>
          <w:instrText xml:space="preserve"> PAGEREF _Toc186029846 \h </w:instrText>
        </w:r>
        <w:r w:rsidR="00C07F84" w:rsidRPr="00C07F84">
          <w:rPr>
            <w:webHidden/>
            <w:sz w:val="28"/>
            <w:szCs w:val="28"/>
          </w:rPr>
        </w:r>
        <w:r w:rsidR="00C07F84" w:rsidRPr="00C07F84">
          <w:rPr>
            <w:webHidden/>
            <w:sz w:val="28"/>
            <w:szCs w:val="28"/>
          </w:rPr>
          <w:fldChar w:fldCharType="separate"/>
        </w:r>
        <w:r w:rsidR="00565286">
          <w:rPr>
            <w:webHidden/>
            <w:sz w:val="28"/>
            <w:szCs w:val="28"/>
          </w:rPr>
          <w:t>33</w:t>
        </w:r>
        <w:r w:rsidR="00C07F84" w:rsidRPr="00C07F84">
          <w:rPr>
            <w:webHidden/>
            <w:sz w:val="28"/>
            <w:szCs w:val="28"/>
          </w:rPr>
          <w:fldChar w:fldCharType="end"/>
        </w:r>
      </w:hyperlink>
    </w:p>
    <w:p w14:paraId="0F2BED32" w14:textId="5AB8757A" w:rsidR="00C07F84" w:rsidRPr="00C07F84" w:rsidRDefault="00000000">
      <w:pPr>
        <w:pStyle w:val="12"/>
        <w:rPr>
          <w:rFonts w:cstheme="minorBidi"/>
          <w:bCs w:val="0"/>
          <w:caps w:val="0"/>
          <w:spacing w:val="0"/>
          <w:sz w:val="20"/>
          <w:szCs w:val="20"/>
          <w14:ligatures w14:val="standardContextual"/>
        </w:rPr>
      </w:pPr>
      <w:hyperlink w:anchor="_Toc186029847" w:history="1">
        <w:r w:rsidR="00C07F84" w:rsidRPr="00C07F84">
          <w:rPr>
            <w:rStyle w:val="a8"/>
            <w:rFonts w:hint="eastAsia"/>
            <w:sz w:val="28"/>
            <w:szCs w:val="28"/>
          </w:rPr>
          <w:t>圖24</w:t>
        </w:r>
        <w:r w:rsidR="00C07F84" w:rsidRPr="00C07F84">
          <w:rPr>
            <w:rFonts w:cstheme="minorBidi"/>
            <w:bCs w:val="0"/>
            <w:caps w:val="0"/>
            <w:spacing w:val="0"/>
            <w:sz w:val="20"/>
            <w:szCs w:val="20"/>
            <w14:ligatures w14:val="standardContextual"/>
          </w:rPr>
          <w:tab/>
        </w:r>
        <w:r w:rsidR="00C07F84" w:rsidRPr="00C07F84">
          <w:rPr>
            <w:rStyle w:val="a8"/>
            <w:rFonts w:hint="eastAsia"/>
            <w:sz w:val="28"/>
            <w:szCs w:val="28"/>
          </w:rPr>
          <w:t>參訪日本參議院與學者專家意見交流情形</w:t>
        </w:r>
        <w:r w:rsidR="00C07F84" w:rsidRPr="00C07F84">
          <w:rPr>
            <w:webHidden/>
            <w:sz w:val="28"/>
            <w:szCs w:val="28"/>
          </w:rPr>
          <w:tab/>
        </w:r>
        <w:r w:rsidR="00C07F84" w:rsidRPr="00C07F84">
          <w:rPr>
            <w:webHidden/>
            <w:sz w:val="28"/>
            <w:szCs w:val="28"/>
          </w:rPr>
          <w:fldChar w:fldCharType="begin"/>
        </w:r>
        <w:r w:rsidR="00C07F84" w:rsidRPr="00C07F84">
          <w:rPr>
            <w:webHidden/>
            <w:sz w:val="28"/>
            <w:szCs w:val="28"/>
          </w:rPr>
          <w:instrText xml:space="preserve"> PAGEREF _Toc186029847 \h </w:instrText>
        </w:r>
        <w:r w:rsidR="00C07F84" w:rsidRPr="00C07F84">
          <w:rPr>
            <w:webHidden/>
            <w:sz w:val="28"/>
            <w:szCs w:val="28"/>
          </w:rPr>
        </w:r>
        <w:r w:rsidR="00C07F84" w:rsidRPr="00C07F84">
          <w:rPr>
            <w:webHidden/>
            <w:sz w:val="28"/>
            <w:szCs w:val="28"/>
          </w:rPr>
          <w:fldChar w:fldCharType="separate"/>
        </w:r>
        <w:r w:rsidR="00565286">
          <w:rPr>
            <w:webHidden/>
            <w:sz w:val="28"/>
            <w:szCs w:val="28"/>
          </w:rPr>
          <w:t>33</w:t>
        </w:r>
        <w:r w:rsidR="00C07F84" w:rsidRPr="00C07F84">
          <w:rPr>
            <w:webHidden/>
            <w:sz w:val="28"/>
            <w:szCs w:val="28"/>
          </w:rPr>
          <w:fldChar w:fldCharType="end"/>
        </w:r>
      </w:hyperlink>
    </w:p>
    <w:p w14:paraId="23375296" w14:textId="48866EDC" w:rsidR="00C07F84" w:rsidRPr="00C07F84" w:rsidRDefault="00000000">
      <w:pPr>
        <w:pStyle w:val="12"/>
        <w:rPr>
          <w:rFonts w:cstheme="minorBidi"/>
          <w:bCs w:val="0"/>
          <w:caps w:val="0"/>
          <w:spacing w:val="0"/>
          <w:sz w:val="20"/>
          <w:szCs w:val="20"/>
          <w14:ligatures w14:val="standardContextual"/>
        </w:rPr>
      </w:pPr>
      <w:hyperlink w:anchor="_Toc186029848" w:history="1">
        <w:r w:rsidR="00C07F84" w:rsidRPr="00C07F84">
          <w:rPr>
            <w:rStyle w:val="a8"/>
            <w:rFonts w:hint="eastAsia"/>
            <w:sz w:val="28"/>
            <w:szCs w:val="28"/>
          </w:rPr>
          <w:t>圖25</w:t>
        </w:r>
        <w:r w:rsidR="00C07F84" w:rsidRPr="00C07F84">
          <w:rPr>
            <w:rFonts w:cstheme="minorBidi"/>
            <w:bCs w:val="0"/>
            <w:caps w:val="0"/>
            <w:spacing w:val="0"/>
            <w:sz w:val="20"/>
            <w:szCs w:val="20"/>
            <w14:ligatures w14:val="standardContextual"/>
          </w:rPr>
          <w:tab/>
        </w:r>
        <w:r w:rsidR="00C07F84" w:rsidRPr="00C07F84">
          <w:rPr>
            <w:rStyle w:val="a8"/>
            <w:rFonts w:hint="eastAsia"/>
            <w:sz w:val="28"/>
            <w:szCs w:val="28"/>
          </w:rPr>
          <w:t>大洗核工程研究所鳥瞰圖</w:t>
        </w:r>
        <w:r w:rsidR="00C07F84" w:rsidRPr="00C07F84">
          <w:rPr>
            <w:webHidden/>
            <w:sz w:val="28"/>
            <w:szCs w:val="28"/>
          </w:rPr>
          <w:tab/>
        </w:r>
        <w:r w:rsidR="00C07F84" w:rsidRPr="00C07F84">
          <w:rPr>
            <w:webHidden/>
            <w:sz w:val="28"/>
            <w:szCs w:val="28"/>
          </w:rPr>
          <w:fldChar w:fldCharType="begin"/>
        </w:r>
        <w:r w:rsidR="00C07F84" w:rsidRPr="00C07F84">
          <w:rPr>
            <w:webHidden/>
            <w:sz w:val="28"/>
            <w:szCs w:val="28"/>
          </w:rPr>
          <w:instrText xml:space="preserve"> PAGEREF _Toc186029848 \h </w:instrText>
        </w:r>
        <w:r w:rsidR="00C07F84" w:rsidRPr="00C07F84">
          <w:rPr>
            <w:webHidden/>
            <w:sz w:val="28"/>
            <w:szCs w:val="28"/>
          </w:rPr>
        </w:r>
        <w:r w:rsidR="00C07F84" w:rsidRPr="00C07F84">
          <w:rPr>
            <w:webHidden/>
            <w:sz w:val="28"/>
            <w:szCs w:val="28"/>
          </w:rPr>
          <w:fldChar w:fldCharType="separate"/>
        </w:r>
        <w:r w:rsidR="00565286">
          <w:rPr>
            <w:webHidden/>
            <w:sz w:val="28"/>
            <w:szCs w:val="28"/>
          </w:rPr>
          <w:t>34</w:t>
        </w:r>
        <w:r w:rsidR="00C07F84" w:rsidRPr="00C07F84">
          <w:rPr>
            <w:webHidden/>
            <w:sz w:val="28"/>
            <w:szCs w:val="28"/>
          </w:rPr>
          <w:fldChar w:fldCharType="end"/>
        </w:r>
      </w:hyperlink>
    </w:p>
    <w:p w14:paraId="1C67F98B" w14:textId="0AF35160" w:rsidR="00C07F84" w:rsidRPr="00C07F84" w:rsidRDefault="00000000">
      <w:pPr>
        <w:pStyle w:val="12"/>
        <w:rPr>
          <w:rFonts w:cstheme="minorBidi"/>
          <w:bCs w:val="0"/>
          <w:caps w:val="0"/>
          <w:spacing w:val="0"/>
          <w:sz w:val="20"/>
          <w:szCs w:val="20"/>
          <w14:ligatures w14:val="standardContextual"/>
        </w:rPr>
      </w:pPr>
      <w:hyperlink w:anchor="_Toc186029849" w:history="1">
        <w:r w:rsidR="00C07F84" w:rsidRPr="00C07F84">
          <w:rPr>
            <w:rStyle w:val="a8"/>
            <w:rFonts w:hint="eastAsia"/>
            <w:sz w:val="28"/>
            <w:szCs w:val="28"/>
          </w:rPr>
          <w:t>圖26</w:t>
        </w:r>
        <w:r w:rsidR="00C07F84" w:rsidRPr="00C07F84">
          <w:rPr>
            <w:rFonts w:cstheme="minorBidi"/>
            <w:bCs w:val="0"/>
            <w:caps w:val="0"/>
            <w:spacing w:val="0"/>
            <w:sz w:val="20"/>
            <w:szCs w:val="20"/>
            <w14:ligatures w14:val="standardContextual"/>
          </w:rPr>
          <w:tab/>
        </w:r>
        <w:r w:rsidR="00C07F84" w:rsidRPr="00C07F84">
          <w:rPr>
            <w:rStyle w:val="a8"/>
            <w:rFonts w:hint="eastAsia"/>
            <w:sz w:val="28"/>
            <w:szCs w:val="28"/>
          </w:rPr>
          <w:t>日本茨城縣內用於監測環境輻射的測量站位置圖</w:t>
        </w:r>
        <w:r w:rsidR="00C07F84" w:rsidRPr="00C07F84">
          <w:rPr>
            <w:webHidden/>
            <w:sz w:val="28"/>
            <w:szCs w:val="28"/>
          </w:rPr>
          <w:tab/>
        </w:r>
        <w:r w:rsidR="00C07F84" w:rsidRPr="00C07F84">
          <w:rPr>
            <w:webHidden/>
            <w:sz w:val="28"/>
            <w:szCs w:val="28"/>
          </w:rPr>
          <w:fldChar w:fldCharType="begin"/>
        </w:r>
        <w:r w:rsidR="00C07F84" w:rsidRPr="00C07F84">
          <w:rPr>
            <w:webHidden/>
            <w:sz w:val="28"/>
            <w:szCs w:val="28"/>
          </w:rPr>
          <w:instrText xml:space="preserve"> PAGEREF _Toc186029849 \h </w:instrText>
        </w:r>
        <w:r w:rsidR="00C07F84" w:rsidRPr="00C07F84">
          <w:rPr>
            <w:webHidden/>
            <w:sz w:val="28"/>
            <w:szCs w:val="28"/>
          </w:rPr>
        </w:r>
        <w:r w:rsidR="00C07F84" w:rsidRPr="00C07F84">
          <w:rPr>
            <w:webHidden/>
            <w:sz w:val="28"/>
            <w:szCs w:val="28"/>
          </w:rPr>
          <w:fldChar w:fldCharType="separate"/>
        </w:r>
        <w:r w:rsidR="00565286">
          <w:rPr>
            <w:webHidden/>
            <w:sz w:val="28"/>
            <w:szCs w:val="28"/>
          </w:rPr>
          <w:t>35</w:t>
        </w:r>
        <w:r w:rsidR="00C07F84" w:rsidRPr="00C07F84">
          <w:rPr>
            <w:webHidden/>
            <w:sz w:val="28"/>
            <w:szCs w:val="28"/>
          </w:rPr>
          <w:fldChar w:fldCharType="end"/>
        </w:r>
      </w:hyperlink>
    </w:p>
    <w:p w14:paraId="5BDD140C" w14:textId="273780E6" w:rsidR="00C07F84" w:rsidRPr="00C07F84" w:rsidRDefault="00000000">
      <w:pPr>
        <w:pStyle w:val="12"/>
        <w:rPr>
          <w:rFonts w:cstheme="minorBidi"/>
          <w:bCs w:val="0"/>
          <w:caps w:val="0"/>
          <w:spacing w:val="0"/>
          <w:sz w:val="20"/>
          <w:szCs w:val="20"/>
          <w14:ligatures w14:val="standardContextual"/>
        </w:rPr>
      </w:pPr>
      <w:hyperlink w:anchor="_Toc186029850" w:history="1">
        <w:r w:rsidR="00C07F84" w:rsidRPr="00C07F84">
          <w:rPr>
            <w:rStyle w:val="a8"/>
            <w:rFonts w:hint="eastAsia"/>
            <w:sz w:val="28"/>
            <w:szCs w:val="28"/>
          </w:rPr>
          <w:t>圖27</w:t>
        </w:r>
        <w:r w:rsidR="00C07F84" w:rsidRPr="00C07F84">
          <w:rPr>
            <w:rFonts w:cstheme="minorBidi"/>
            <w:bCs w:val="0"/>
            <w:caps w:val="0"/>
            <w:spacing w:val="0"/>
            <w:sz w:val="20"/>
            <w:szCs w:val="20"/>
            <w14:ligatures w14:val="standardContextual"/>
          </w:rPr>
          <w:tab/>
        </w:r>
        <w:r w:rsidR="00C07F84" w:rsidRPr="00C07F84">
          <w:rPr>
            <w:rStyle w:val="a8"/>
            <w:rFonts w:hint="eastAsia"/>
            <w:sz w:val="28"/>
            <w:szCs w:val="28"/>
          </w:rPr>
          <w:t>大洗核工程研究所新世代能源開發示意圖</w:t>
        </w:r>
        <w:r w:rsidR="00C07F84" w:rsidRPr="00C07F84">
          <w:rPr>
            <w:webHidden/>
            <w:sz w:val="28"/>
            <w:szCs w:val="28"/>
          </w:rPr>
          <w:tab/>
        </w:r>
        <w:r w:rsidR="00C07F84" w:rsidRPr="00C07F84">
          <w:rPr>
            <w:webHidden/>
            <w:sz w:val="28"/>
            <w:szCs w:val="28"/>
          </w:rPr>
          <w:fldChar w:fldCharType="begin"/>
        </w:r>
        <w:r w:rsidR="00C07F84" w:rsidRPr="00C07F84">
          <w:rPr>
            <w:webHidden/>
            <w:sz w:val="28"/>
            <w:szCs w:val="28"/>
          </w:rPr>
          <w:instrText xml:space="preserve"> PAGEREF _Toc186029850 \h </w:instrText>
        </w:r>
        <w:r w:rsidR="00C07F84" w:rsidRPr="00C07F84">
          <w:rPr>
            <w:webHidden/>
            <w:sz w:val="28"/>
            <w:szCs w:val="28"/>
          </w:rPr>
        </w:r>
        <w:r w:rsidR="00C07F84" w:rsidRPr="00C07F84">
          <w:rPr>
            <w:webHidden/>
            <w:sz w:val="28"/>
            <w:szCs w:val="28"/>
          </w:rPr>
          <w:fldChar w:fldCharType="separate"/>
        </w:r>
        <w:r w:rsidR="00565286">
          <w:rPr>
            <w:webHidden/>
            <w:sz w:val="28"/>
            <w:szCs w:val="28"/>
          </w:rPr>
          <w:t>37</w:t>
        </w:r>
        <w:r w:rsidR="00C07F84" w:rsidRPr="00C07F84">
          <w:rPr>
            <w:webHidden/>
            <w:sz w:val="28"/>
            <w:szCs w:val="28"/>
          </w:rPr>
          <w:fldChar w:fldCharType="end"/>
        </w:r>
      </w:hyperlink>
    </w:p>
    <w:p w14:paraId="4B57064C" w14:textId="43A5758A" w:rsidR="00C07F84" w:rsidRPr="00C07F84" w:rsidRDefault="00000000">
      <w:pPr>
        <w:pStyle w:val="12"/>
        <w:rPr>
          <w:rFonts w:cstheme="minorBidi"/>
          <w:bCs w:val="0"/>
          <w:caps w:val="0"/>
          <w:spacing w:val="0"/>
          <w:sz w:val="20"/>
          <w:szCs w:val="20"/>
          <w14:ligatures w14:val="standardContextual"/>
        </w:rPr>
      </w:pPr>
      <w:hyperlink w:anchor="_Toc186029851" w:history="1">
        <w:r w:rsidR="00C07F84" w:rsidRPr="00C07F84">
          <w:rPr>
            <w:rStyle w:val="a8"/>
            <w:rFonts w:hint="eastAsia"/>
            <w:sz w:val="28"/>
            <w:szCs w:val="28"/>
          </w:rPr>
          <w:t>圖28</w:t>
        </w:r>
        <w:r w:rsidR="00C07F84" w:rsidRPr="00C07F84">
          <w:rPr>
            <w:rFonts w:cstheme="minorBidi"/>
            <w:bCs w:val="0"/>
            <w:caps w:val="0"/>
            <w:spacing w:val="0"/>
            <w:sz w:val="20"/>
            <w:szCs w:val="20"/>
            <w14:ligatures w14:val="standardContextual"/>
          </w:rPr>
          <w:tab/>
        </w:r>
        <w:r w:rsidR="00C07F84" w:rsidRPr="00C07F84">
          <w:rPr>
            <w:rStyle w:val="a8"/>
            <w:rFonts w:hint="eastAsia"/>
            <w:sz w:val="28"/>
            <w:szCs w:val="28"/>
          </w:rPr>
          <w:t>日本核能電廠之分布、類型和發電能力之示意圖</w:t>
        </w:r>
        <w:r w:rsidR="00C07F84" w:rsidRPr="00C07F84">
          <w:rPr>
            <w:webHidden/>
            <w:sz w:val="28"/>
            <w:szCs w:val="28"/>
          </w:rPr>
          <w:tab/>
        </w:r>
        <w:r w:rsidR="00C07F84" w:rsidRPr="00C07F84">
          <w:rPr>
            <w:webHidden/>
            <w:sz w:val="28"/>
            <w:szCs w:val="28"/>
          </w:rPr>
          <w:fldChar w:fldCharType="begin"/>
        </w:r>
        <w:r w:rsidR="00C07F84" w:rsidRPr="00C07F84">
          <w:rPr>
            <w:webHidden/>
            <w:sz w:val="28"/>
            <w:szCs w:val="28"/>
          </w:rPr>
          <w:instrText xml:space="preserve"> PAGEREF _Toc186029851 \h </w:instrText>
        </w:r>
        <w:r w:rsidR="00C07F84" w:rsidRPr="00C07F84">
          <w:rPr>
            <w:webHidden/>
            <w:sz w:val="28"/>
            <w:szCs w:val="28"/>
          </w:rPr>
        </w:r>
        <w:r w:rsidR="00C07F84" w:rsidRPr="00C07F84">
          <w:rPr>
            <w:webHidden/>
            <w:sz w:val="28"/>
            <w:szCs w:val="28"/>
          </w:rPr>
          <w:fldChar w:fldCharType="separate"/>
        </w:r>
        <w:r w:rsidR="00565286">
          <w:rPr>
            <w:webHidden/>
            <w:sz w:val="28"/>
            <w:szCs w:val="28"/>
          </w:rPr>
          <w:t>38</w:t>
        </w:r>
        <w:r w:rsidR="00C07F84" w:rsidRPr="00C07F84">
          <w:rPr>
            <w:webHidden/>
            <w:sz w:val="28"/>
            <w:szCs w:val="28"/>
          </w:rPr>
          <w:fldChar w:fldCharType="end"/>
        </w:r>
      </w:hyperlink>
    </w:p>
    <w:p w14:paraId="649967B3" w14:textId="7E3E5AF0" w:rsidR="00C07F84" w:rsidRPr="00C07F84" w:rsidRDefault="00000000">
      <w:pPr>
        <w:pStyle w:val="12"/>
        <w:rPr>
          <w:rFonts w:cstheme="minorBidi"/>
          <w:bCs w:val="0"/>
          <w:caps w:val="0"/>
          <w:spacing w:val="0"/>
          <w:sz w:val="20"/>
          <w:szCs w:val="20"/>
          <w14:ligatures w14:val="standardContextual"/>
        </w:rPr>
      </w:pPr>
      <w:hyperlink w:anchor="_Toc186029852" w:history="1">
        <w:r w:rsidR="00C07F84" w:rsidRPr="00C07F84">
          <w:rPr>
            <w:rStyle w:val="a8"/>
            <w:rFonts w:hint="eastAsia"/>
            <w:sz w:val="28"/>
            <w:szCs w:val="28"/>
          </w:rPr>
          <w:t>圖29</w:t>
        </w:r>
        <w:r w:rsidR="00C07F84" w:rsidRPr="00C07F84">
          <w:rPr>
            <w:rFonts w:cstheme="minorBidi"/>
            <w:bCs w:val="0"/>
            <w:caps w:val="0"/>
            <w:spacing w:val="0"/>
            <w:sz w:val="20"/>
            <w:szCs w:val="20"/>
            <w14:ligatures w14:val="standardContextual"/>
          </w:rPr>
          <w:tab/>
        </w:r>
        <w:r w:rsidR="00C07F84" w:rsidRPr="00C07F84">
          <w:rPr>
            <w:rStyle w:val="a8"/>
            <w:rFonts w:hint="eastAsia"/>
            <w:sz w:val="28"/>
            <w:szCs w:val="28"/>
          </w:rPr>
          <w:t>日本研究用核能反應器設施分布及運轉狀態之示意圖</w:t>
        </w:r>
        <w:r w:rsidR="00C07F84" w:rsidRPr="00C07F84">
          <w:rPr>
            <w:webHidden/>
            <w:sz w:val="28"/>
            <w:szCs w:val="28"/>
          </w:rPr>
          <w:tab/>
        </w:r>
        <w:r w:rsidR="00C07F84" w:rsidRPr="00C07F84">
          <w:rPr>
            <w:webHidden/>
            <w:sz w:val="28"/>
            <w:szCs w:val="28"/>
          </w:rPr>
          <w:fldChar w:fldCharType="begin"/>
        </w:r>
        <w:r w:rsidR="00C07F84" w:rsidRPr="00C07F84">
          <w:rPr>
            <w:webHidden/>
            <w:sz w:val="28"/>
            <w:szCs w:val="28"/>
          </w:rPr>
          <w:instrText xml:space="preserve"> PAGEREF _Toc186029852 \h </w:instrText>
        </w:r>
        <w:r w:rsidR="00C07F84" w:rsidRPr="00C07F84">
          <w:rPr>
            <w:webHidden/>
            <w:sz w:val="28"/>
            <w:szCs w:val="28"/>
          </w:rPr>
        </w:r>
        <w:r w:rsidR="00C07F84" w:rsidRPr="00C07F84">
          <w:rPr>
            <w:webHidden/>
            <w:sz w:val="28"/>
            <w:szCs w:val="28"/>
          </w:rPr>
          <w:fldChar w:fldCharType="separate"/>
        </w:r>
        <w:r w:rsidR="00565286">
          <w:rPr>
            <w:webHidden/>
            <w:sz w:val="28"/>
            <w:szCs w:val="28"/>
          </w:rPr>
          <w:t>39</w:t>
        </w:r>
        <w:r w:rsidR="00C07F84" w:rsidRPr="00C07F84">
          <w:rPr>
            <w:webHidden/>
            <w:sz w:val="28"/>
            <w:szCs w:val="28"/>
          </w:rPr>
          <w:fldChar w:fldCharType="end"/>
        </w:r>
      </w:hyperlink>
    </w:p>
    <w:p w14:paraId="6C2C32EA" w14:textId="0DB1362F" w:rsidR="00C07F84" w:rsidRPr="00C07F84" w:rsidRDefault="00000000">
      <w:pPr>
        <w:pStyle w:val="12"/>
        <w:rPr>
          <w:rFonts w:cstheme="minorBidi"/>
          <w:bCs w:val="0"/>
          <w:caps w:val="0"/>
          <w:spacing w:val="0"/>
          <w:sz w:val="20"/>
          <w:szCs w:val="20"/>
          <w14:ligatures w14:val="standardContextual"/>
        </w:rPr>
      </w:pPr>
      <w:hyperlink w:anchor="_Toc186029853" w:history="1">
        <w:r w:rsidR="00C07F84" w:rsidRPr="00C07F84">
          <w:rPr>
            <w:rStyle w:val="a8"/>
            <w:rFonts w:hint="eastAsia"/>
            <w:sz w:val="28"/>
            <w:szCs w:val="28"/>
          </w:rPr>
          <w:t>圖30</w:t>
        </w:r>
        <w:r w:rsidR="00C07F84" w:rsidRPr="00C07F84">
          <w:rPr>
            <w:rFonts w:cstheme="minorBidi"/>
            <w:bCs w:val="0"/>
            <w:caps w:val="0"/>
            <w:spacing w:val="0"/>
            <w:sz w:val="20"/>
            <w:szCs w:val="20"/>
            <w14:ligatures w14:val="standardContextual"/>
          </w:rPr>
          <w:tab/>
        </w:r>
        <w:r w:rsidR="00C07F84" w:rsidRPr="00C07F84">
          <w:rPr>
            <w:rStyle w:val="a8"/>
            <w:rFonts w:hint="eastAsia"/>
            <w:sz w:val="28"/>
            <w:szCs w:val="28"/>
          </w:rPr>
          <w:t>日本核燃料循環相關設施地理分布之示意圖</w:t>
        </w:r>
        <w:r w:rsidR="00C07F84" w:rsidRPr="00C07F84">
          <w:rPr>
            <w:webHidden/>
            <w:sz w:val="28"/>
            <w:szCs w:val="28"/>
          </w:rPr>
          <w:tab/>
        </w:r>
        <w:r w:rsidR="00C07F84" w:rsidRPr="00C07F84">
          <w:rPr>
            <w:webHidden/>
            <w:sz w:val="28"/>
            <w:szCs w:val="28"/>
          </w:rPr>
          <w:fldChar w:fldCharType="begin"/>
        </w:r>
        <w:r w:rsidR="00C07F84" w:rsidRPr="00C07F84">
          <w:rPr>
            <w:webHidden/>
            <w:sz w:val="28"/>
            <w:szCs w:val="28"/>
          </w:rPr>
          <w:instrText xml:space="preserve"> PAGEREF _Toc186029853 \h </w:instrText>
        </w:r>
        <w:r w:rsidR="00C07F84" w:rsidRPr="00C07F84">
          <w:rPr>
            <w:webHidden/>
            <w:sz w:val="28"/>
            <w:szCs w:val="28"/>
          </w:rPr>
        </w:r>
        <w:r w:rsidR="00C07F84" w:rsidRPr="00C07F84">
          <w:rPr>
            <w:webHidden/>
            <w:sz w:val="28"/>
            <w:szCs w:val="28"/>
          </w:rPr>
          <w:fldChar w:fldCharType="separate"/>
        </w:r>
        <w:r w:rsidR="00565286">
          <w:rPr>
            <w:webHidden/>
            <w:sz w:val="28"/>
            <w:szCs w:val="28"/>
          </w:rPr>
          <w:t>40</w:t>
        </w:r>
        <w:r w:rsidR="00C07F84" w:rsidRPr="00C07F84">
          <w:rPr>
            <w:webHidden/>
            <w:sz w:val="28"/>
            <w:szCs w:val="28"/>
          </w:rPr>
          <w:fldChar w:fldCharType="end"/>
        </w:r>
      </w:hyperlink>
    </w:p>
    <w:p w14:paraId="76AA22A1" w14:textId="3D108F94" w:rsidR="00C07F84" w:rsidRPr="00C07F84" w:rsidRDefault="00000000">
      <w:pPr>
        <w:pStyle w:val="12"/>
        <w:rPr>
          <w:rFonts w:cstheme="minorBidi"/>
          <w:bCs w:val="0"/>
          <w:caps w:val="0"/>
          <w:spacing w:val="0"/>
          <w:sz w:val="20"/>
          <w:szCs w:val="20"/>
          <w14:ligatures w14:val="standardContextual"/>
        </w:rPr>
      </w:pPr>
      <w:hyperlink w:anchor="_Toc186029854" w:history="1">
        <w:r w:rsidR="00C07F84" w:rsidRPr="00C07F84">
          <w:rPr>
            <w:rStyle w:val="a8"/>
            <w:rFonts w:hint="eastAsia"/>
            <w:sz w:val="28"/>
            <w:szCs w:val="28"/>
          </w:rPr>
          <w:t>圖31</w:t>
        </w:r>
        <w:r w:rsidR="00C07F84" w:rsidRPr="00C07F84">
          <w:rPr>
            <w:rFonts w:cstheme="minorBidi"/>
            <w:bCs w:val="0"/>
            <w:caps w:val="0"/>
            <w:spacing w:val="0"/>
            <w:sz w:val="20"/>
            <w:szCs w:val="20"/>
            <w14:ligatures w14:val="standardContextual"/>
          </w:rPr>
          <w:tab/>
        </w:r>
        <w:r w:rsidR="00C07F84" w:rsidRPr="00C07F84">
          <w:rPr>
            <w:rStyle w:val="a8"/>
            <w:rFonts w:hint="eastAsia"/>
            <w:sz w:val="28"/>
            <w:szCs w:val="28"/>
          </w:rPr>
          <w:t>日本核能人力資源發展架構及網絡</w:t>
        </w:r>
        <w:r w:rsidR="00C07F84" w:rsidRPr="00C07F84">
          <w:rPr>
            <w:webHidden/>
            <w:sz w:val="28"/>
            <w:szCs w:val="28"/>
          </w:rPr>
          <w:tab/>
        </w:r>
        <w:r w:rsidR="00C07F84" w:rsidRPr="00C07F84">
          <w:rPr>
            <w:webHidden/>
            <w:sz w:val="28"/>
            <w:szCs w:val="28"/>
          </w:rPr>
          <w:fldChar w:fldCharType="begin"/>
        </w:r>
        <w:r w:rsidR="00C07F84" w:rsidRPr="00C07F84">
          <w:rPr>
            <w:webHidden/>
            <w:sz w:val="28"/>
            <w:szCs w:val="28"/>
          </w:rPr>
          <w:instrText xml:space="preserve"> PAGEREF _Toc186029854 \h </w:instrText>
        </w:r>
        <w:r w:rsidR="00C07F84" w:rsidRPr="00C07F84">
          <w:rPr>
            <w:webHidden/>
            <w:sz w:val="28"/>
            <w:szCs w:val="28"/>
          </w:rPr>
        </w:r>
        <w:r w:rsidR="00C07F84" w:rsidRPr="00C07F84">
          <w:rPr>
            <w:webHidden/>
            <w:sz w:val="28"/>
            <w:szCs w:val="28"/>
          </w:rPr>
          <w:fldChar w:fldCharType="separate"/>
        </w:r>
        <w:r w:rsidR="00565286">
          <w:rPr>
            <w:webHidden/>
            <w:sz w:val="28"/>
            <w:szCs w:val="28"/>
          </w:rPr>
          <w:t>42</w:t>
        </w:r>
        <w:r w:rsidR="00C07F84" w:rsidRPr="00C07F84">
          <w:rPr>
            <w:webHidden/>
            <w:sz w:val="28"/>
            <w:szCs w:val="28"/>
          </w:rPr>
          <w:fldChar w:fldCharType="end"/>
        </w:r>
      </w:hyperlink>
    </w:p>
    <w:p w14:paraId="77FF82C8" w14:textId="0597C833" w:rsidR="00C07F84" w:rsidRPr="00C07F84" w:rsidRDefault="00000000">
      <w:pPr>
        <w:pStyle w:val="12"/>
        <w:rPr>
          <w:rFonts w:cstheme="minorBidi"/>
          <w:bCs w:val="0"/>
          <w:caps w:val="0"/>
          <w:spacing w:val="0"/>
          <w:sz w:val="20"/>
          <w:szCs w:val="20"/>
          <w14:ligatures w14:val="standardContextual"/>
        </w:rPr>
      </w:pPr>
      <w:hyperlink w:anchor="_Toc186029855" w:history="1">
        <w:r w:rsidR="00C07F84" w:rsidRPr="00C07F84">
          <w:rPr>
            <w:rStyle w:val="a8"/>
            <w:rFonts w:hint="eastAsia"/>
            <w:sz w:val="28"/>
            <w:szCs w:val="28"/>
          </w:rPr>
          <w:t>圖32</w:t>
        </w:r>
        <w:r w:rsidR="00C07F84" w:rsidRPr="00C07F84">
          <w:rPr>
            <w:rFonts w:cstheme="minorBidi"/>
            <w:bCs w:val="0"/>
            <w:caps w:val="0"/>
            <w:spacing w:val="0"/>
            <w:sz w:val="20"/>
            <w:szCs w:val="20"/>
            <w14:ligatures w14:val="standardContextual"/>
          </w:rPr>
          <w:tab/>
        </w:r>
        <w:r w:rsidR="00C07F84" w:rsidRPr="00C07F84">
          <w:rPr>
            <w:rStyle w:val="a8"/>
            <w:rFonts w:hint="eastAsia"/>
            <w:sz w:val="28"/>
            <w:szCs w:val="28"/>
          </w:rPr>
          <w:t>以營火來比喻放射線之示意圖</w:t>
        </w:r>
        <w:r w:rsidR="00C07F84" w:rsidRPr="00C07F84">
          <w:rPr>
            <w:webHidden/>
            <w:sz w:val="28"/>
            <w:szCs w:val="28"/>
          </w:rPr>
          <w:tab/>
        </w:r>
        <w:r w:rsidR="00C07F84" w:rsidRPr="00C07F84">
          <w:rPr>
            <w:webHidden/>
            <w:sz w:val="28"/>
            <w:szCs w:val="28"/>
          </w:rPr>
          <w:fldChar w:fldCharType="begin"/>
        </w:r>
        <w:r w:rsidR="00C07F84" w:rsidRPr="00C07F84">
          <w:rPr>
            <w:webHidden/>
            <w:sz w:val="28"/>
            <w:szCs w:val="28"/>
          </w:rPr>
          <w:instrText xml:space="preserve"> PAGEREF _Toc186029855 \h </w:instrText>
        </w:r>
        <w:r w:rsidR="00C07F84" w:rsidRPr="00C07F84">
          <w:rPr>
            <w:webHidden/>
            <w:sz w:val="28"/>
            <w:szCs w:val="28"/>
          </w:rPr>
        </w:r>
        <w:r w:rsidR="00C07F84" w:rsidRPr="00C07F84">
          <w:rPr>
            <w:webHidden/>
            <w:sz w:val="28"/>
            <w:szCs w:val="28"/>
          </w:rPr>
          <w:fldChar w:fldCharType="separate"/>
        </w:r>
        <w:r w:rsidR="00565286">
          <w:rPr>
            <w:webHidden/>
            <w:sz w:val="28"/>
            <w:szCs w:val="28"/>
          </w:rPr>
          <w:t>54</w:t>
        </w:r>
        <w:r w:rsidR="00C07F84" w:rsidRPr="00C07F84">
          <w:rPr>
            <w:webHidden/>
            <w:sz w:val="28"/>
            <w:szCs w:val="28"/>
          </w:rPr>
          <w:fldChar w:fldCharType="end"/>
        </w:r>
      </w:hyperlink>
    </w:p>
    <w:p w14:paraId="20491C15" w14:textId="240F789C" w:rsidR="00C07F84" w:rsidRPr="00C07F84" w:rsidRDefault="00000000">
      <w:pPr>
        <w:pStyle w:val="12"/>
        <w:rPr>
          <w:rFonts w:cstheme="minorBidi"/>
          <w:bCs w:val="0"/>
          <w:caps w:val="0"/>
          <w:spacing w:val="0"/>
          <w:sz w:val="20"/>
          <w:szCs w:val="20"/>
          <w14:ligatures w14:val="standardContextual"/>
        </w:rPr>
      </w:pPr>
      <w:hyperlink w:anchor="_Toc186029856" w:history="1">
        <w:r w:rsidR="00C07F84" w:rsidRPr="00C07F84">
          <w:rPr>
            <w:rStyle w:val="a8"/>
            <w:rFonts w:hint="eastAsia"/>
            <w:sz w:val="28"/>
            <w:szCs w:val="28"/>
          </w:rPr>
          <w:t>圖33</w:t>
        </w:r>
        <w:r w:rsidR="00C07F84" w:rsidRPr="00C07F84">
          <w:rPr>
            <w:rFonts w:cstheme="minorBidi"/>
            <w:bCs w:val="0"/>
            <w:caps w:val="0"/>
            <w:spacing w:val="0"/>
            <w:sz w:val="20"/>
            <w:szCs w:val="20"/>
            <w14:ligatures w14:val="standardContextual"/>
          </w:rPr>
          <w:tab/>
        </w:r>
        <w:r w:rsidR="00C07F84" w:rsidRPr="00C07F84">
          <w:rPr>
            <w:rStyle w:val="a8"/>
            <w:rFonts w:hint="eastAsia"/>
            <w:sz w:val="28"/>
            <w:szCs w:val="28"/>
          </w:rPr>
          <w:t>放射線的種類與穿透力</w:t>
        </w:r>
        <w:r w:rsidR="00C07F84" w:rsidRPr="00C07F84">
          <w:rPr>
            <w:webHidden/>
            <w:sz w:val="28"/>
            <w:szCs w:val="28"/>
          </w:rPr>
          <w:tab/>
        </w:r>
        <w:r w:rsidR="00C07F84" w:rsidRPr="00C07F84">
          <w:rPr>
            <w:webHidden/>
            <w:sz w:val="28"/>
            <w:szCs w:val="28"/>
          </w:rPr>
          <w:fldChar w:fldCharType="begin"/>
        </w:r>
        <w:r w:rsidR="00C07F84" w:rsidRPr="00C07F84">
          <w:rPr>
            <w:webHidden/>
            <w:sz w:val="28"/>
            <w:szCs w:val="28"/>
          </w:rPr>
          <w:instrText xml:space="preserve"> PAGEREF _Toc186029856 \h </w:instrText>
        </w:r>
        <w:r w:rsidR="00C07F84" w:rsidRPr="00C07F84">
          <w:rPr>
            <w:webHidden/>
            <w:sz w:val="28"/>
            <w:szCs w:val="28"/>
          </w:rPr>
        </w:r>
        <w:r w:rsidR="00C07F84" w:rsidRPr="00C07F84">
          <w:rPr>
            <w:webHidden/>
            <w:sz w:val="28"/>
            <w:szCs w:val="28"/>
          </w:rPr>
          <w:fldChar w:fldCharType="separate"/>
        </w:r>
        <w:r w:rsidR="00565286">
          <w:rPr>
            <w:webHidden/>
            <w:sz w:val="28"/>
            <w:szCs w:val="28"/>
          </w:rPr>
          <w:t>55</w:t>
        </w:r>
        <w:r w:rsidR="00C07F84" w:rsidRPr="00C07F84">
          <w:rPr>
            <w:webHidden/>
            <w:sz w:val="28"/>
            <w:szCs w:val="28"/>
          </w:rPr>
          <w:fldChar w:fldCharType="end"/>
        </w:r>
      </w:hyperlink>
    </w:p>
    <w:p w14:paraId="2FC71AFC" w14:textId="1AF924E5" w:rsidR="00C07F84" w:rsidRPr="00C07F84" w:rsidRDefault="00000000">
      <w:pPr>
        <w:pStyle w:val="12"/>
        <w:rPr>
          <w:rFonts w:cstheme="minorBidi"/>
          <w:bCs w:val="0"/>
          <w:caps w:val="0"/>
          <w:spacing w:val="0"/>
          <w:sz w:val="20"/>
          <w:szCs w:val="20"/>
          <w14:ligatures w14:val="standardContextual"/>
        </w:rPr>
      </w:pPr>
      <w:hyperlink w:anchor="_Toc186029857" w:history="1">
        <w:r w:rsidR="00C07F84" w:rsidRPr="00C07F84">
          <w:rPr>
            <w:rStyle w:val="a8"/>
            <w:rFonts w:hint="eastAsia"/>
            <w:sz w:val="28"/>
            <w:szCs w:val="28"/>
          </w:rPr>
          <w:t>圖34</w:t>
        </w:r>
        <w:r w:rsidR="00C07F84" w:rsidRPr="00C07F84">
          <w:rPr>
            <w:rFonts w:cstheme="minorBidi"/>
            <w:bCs w:val="0"/>
            <w:caps w:val="0"/>
            <w:spacing w:val="0"/>
            <w:sz w:val="20"/>
            <w:szCs w:val="20"/>
            <w14:ligatures w14:val="standardContextual"/>
          </w:rPr>
          <w:tab/>
        </w:r>
        <w:r w:rsidR="00C07F84" w:rsidRPr="00C07F84">
          <w:rPr>
            <w:rStyle w:val="a8"/>
            <w:rFonts w:hint="eastAsia"/>
            <w:sz w:val="28"/>
            <w:szCs w:val="28"/>
          </w:rPr>
          <w:t>人工放射線和自然放射線的來源與劑量大小比較圖</w:t>
        </w:r>
        <w:r w:rsidR="00C07F84" w:rsidRPr="00C07F84">
          <w:rPr>
            <w:webHidden/>
            <w:sz w:val="28"/>
            <w:szCs w:val="28"/>
          </w:rPr>
          <w:tab/>
        </w:r>
        <w:r w:rsidR="00C07F84" w:rsidRPr="00C07F84">
          <w:rPr>
            <w:webHidden/>
            <w:sz w:val="28"/>
            <w:szCs w:val="28"/>
          </w:rPr>
          <w:fldChar w:fldCharType="begin"/>
        </w:r>
        <w:r w:rsidR="00C07F84" w:rsidRPr="00C07F84">
          <w:rPr>
            <w:webHidden/>
            <w:sz w:val="28"/>
            <w:szCs w:val="28"/>
          </w:rPr>
          <w:instrText xml:space="preserve"> PAGEREF _Toc186029857 \h </w:instrText>
        </w:r>
        <w:r w:rsidR="00C07F84" w:rsidRPr="00C07F84">
          <w:rPr>
            <w:webHidden/>
            <w:sz w:val="28"/>
            <w:szCs w:val="28"/>
          </w:rPr>
        </w:r>
        <w:r w:rsidR="00C07F84" w:rsidRPr="00C07F84">
          <w:rPr>
            <w:webHidden/>
            <w:sz w:val="28"/>
            <w:szCs w:val="28"/>
          </w:rPr>
          <w:fldChar w:fldCharType="separate"/>
        </w:r>
        <w:r w:rsidR="00565286">
          <w:rPr>
            <w:webHidden/>
            <w:sz w:val="28"/>
            <w:szCs w:val="28"/>
          </w:rPr>
          <w:t>56</w:t>
        </w:r>
        <w:r w:rsidR="00C07F84" w:rsidRPr="00C07F84">
          <w:rPr>
            <w:webHidden/>
            <w:sz w:val="28"/>
            <w:szCs w:val="28"/>
          </w:rPr>
          <w:fldChar w:fldCharType="end"/>
        </w:r>
      </w:hyperlink>
    </w:p>
    <w:p w14:paraId="046308B9" w14:textId="70E43FB2" w:rsidR="00C07F84" w:rsidRPr="00C07F84" w:rsidRDefault="00000000">
      <w:pPr>
        <w:pStyle w:val="12"/>
        <w:rPr>
          <w:rFonts w:cstheme="minorBidi"/>
          <w:bCs w:val="0"/>
          <w:caps w:val="0"/>
          <w:spacing w:val="0"/>
          <w:sz w:val="20"/>
          <w:szCs w:val="20"/>
          <w14:ligatures w14:val="standardContextual"/>
        </w:rPr>
      </w:pPr>
      <w:hyperlink w:anchor="_Toc186029858" w:history="1">
        <w:r w:rsidR="00C07F84" w:rsidRPr="00C07F84">
          <w:rPr>
            <w:rStyle w:val="a8"/>
            <w:rFonts w:hint="eastAsia"/>
            <w:sz w:val="28"/>
            <w:szCs w:val="28"/>
          </w:rPr>
          <w:t>圖35</w:t>
        </w:r>
        <w:r w:rsidR="00C07F84" w:rsidRPr="00C07F84">
          <w:rPr>
            <w:rFonts w:cstheme="minorBidi"/>
            <w:bCs w:val="0"/>
            <w:caps w:val="0"/>
            <w:spacing w:val="0"/>
            <w:sz w:val="20"/>
            <w:szCs w:val="20"/>
            <w14:ligatures w14:val="standardContextual"/>
          </w:rPr>
          <w:tab/>
        </w:r>
        <w:r w:rsidR="00C07F84" w:rsidRPr="00C07F84">
          <w:rPr>
            <w:rStyle w:val="a8"/>
            <w:rFonts w:hint="eastAsia"/>
            <w:sz w:val="28"/>
            <w:szCs w:val="28"/>
          </w:rPr>
          <w:t>自然輻射來源及輻射劑量率與高度之關係圖</w:t>
        </w:r>
        <w:r w:rsidR="00C07F84" w:rsidRPr="00C07F84">
          <w:rPr>
            <w:webHidden/>
            <w:sz w:val="28"/>
            <w:szCs w:val="28"/>
          </w:rPr>
          <w:tab/>
        </w:r>
        <w:r w:rsidR="00C07F84" w:rsidRPr="00C07F84">
          <w:rPr>
            <w:webHidden/>
            <w:sz w:val="28"/>
            <w:szCs w:val="28"/>
          </w:rPr>
          <w:fldChar w:fldCharType="begin"/>
        </w:r>
        <w:r w:rsidR="00C07F84" w:rsidRPr="00C07F84">
          <w:rPr>
            <w:webHidden/>
            <w:sz w:val="28"/>
            <w:szCs w:val="28"/>
          </w:rPr>
          <w:instrText xml:space="preserve"> PAGEREF _Toc186029858 \h </w:instrText>
        </w:r>
        <w:r w:rsidR="00C07F84" w:rsidRPr="00C07F84">
          <w:rPr>
            <w:webHidden/>
            <w:sz w:val="28"/>
            <w:szCs w:val="28"/>
          </w:rPr>
        </w:r>
        <w:r w:rsidR="00C07F84" w:rsidRPr="00C07F84">
          <w:rPr>
            <w:webHidden/>
            <w:sz w:val="28"/>
            <w:szCs w:val="28"/>
          </w:rPr>
          <w:fldChar w:fldCharType="separate"/>
        </w:r>
        <w:r w:rsidR="00565286">
          <w:rPr>
            <w:webHidden/>
            <w:sz w:val="28"/>
            <w:szCs w:val="28"/>
          </w:rPr>
          <w:t>57</w:t>
        </w:r>
        <w:r w:rsidR="00C07F84" w:rsidRPr="00C07F84">
          <w:rPr>
            <w:webHidden/>
            <w:sz w:val="28"/>
            <w:szCs w:val="28"/>
          </w:rPr>
          <w:fldChar w:fldCharType="end"/>
        </w:r>
      </w:hyperlink>
    </w:p>
    <w:p w14:paraId="66524625" w14:textId="7F938EF3" w:rsidR="00C07F84" w:rsidRPr="00C07F84" w:rsidRDefault="00000000">
      <w:pPr>
        <w:pStyle w:val="12"/>
        <w:rPr>
          <w:rFonts w:cstheme="minorBidi"/>
          <w:bCs w:val="0"/>
          <w:caps w:val="0"/>
          <w:spacing w:val="0"/>
          <w:sz w:val="20"/>
          <w:szCs w:val="20"/>
          <w14:ligatures w14:val="standardContextual"/>
        </w:rPr>
      </w:pPr>
      <w:hyperlink w:anchor="_Toc186029859" w:history="1">
        <w:r w:rsidR="00C07F84" w:rsidRPr="00C07F84">
          <w:rPr>
            <w:rStyle w:val="a8"/>
            <w:rFonts w:hint="eastAsia"/>
            <w:sz w:val="28"/>
            <w:szCs w:val="28"/>
          </w:rPr>
          <w:t>圖36</w:t>
        </w:r>
        <w:r w:rsidR="00C07F84" w:rsidRPr="00C07F84">
          <w:rPr>
            <w:rFonts w:cstheme="minorBidi"/>
            <w:bCs w:val="0"/>
            <w:caps w:val="0"/>
            <w:spacing w:val="0"/>
            <w:sz w:val="20"/>
            <w:szCs w:val="20"/>
            <w14:ligatures w14:val="standardContextual"/>
          </w:rPr>
          <w:tab/>
        </w:r>
        <w:r w:rsidR="00C07F84" w:rsidRPr="00C07F84">
          <w:rPr>
            <w:rStyle w:val="a8"/>
            <w:rFonts w:hint="eastAsia"/>
            <w:sz w:val="28"/>
            <w:szCs w:val="28"/>
          </w:rPr>
          <w:t>核分裂和臨界狀態之機制及鈾</w:t>
        </w:r>
        <w:r w:rsidR="00C07F84" w:rsidRPr="00C07F84">
          <w:rPr>
            <w:rStyle w:val="a8"/>
            <w:sz w:val="28"/>
            <w:szCs w:val="28"/>
          </w:rPr>
          <w:t>235</w:t>
        </w:r>
        <w:r w:rsidR="00C07F84" w:rsidRPr="00C07F84">
          <w:rPr>
            <w:rStyle w:val="a8"/>
            <w:rFonts w:hint="eastAsia"/>
            <w:sz w:val="28"/>
            <w:szCs w:val="28"/>
          </w:rPr>
          <w:t>原子核發生核分裂</w:t>
        </w:r>
        <w:r w:rsidR="00C07F84" w:rsidRPr="00C07F84">
          <w:rPr>
            <w:webHidden/>
            <w:sz w:val="28"/>
            <w:szCs w:val="28"/>
          </w:rPr>
          <w:tab/>
        </w:r>
        <w:r w:rsidR="00C07F84" w:rsidRPr="00C07F84">
          <w:rPr>
            <w:webHidden/>
            <w:sz w:val="28"/>
            <w:szCs w:val="28"/>
          </w:rPr>
          <w:fldChar w:fldCharType="begin"/>
        </w:r>
        <w:r w:rsidR="00C07F84" w:rsidRPr="00C07F84">
          <w:rPr>
            <w:webHidden/>
            <w:sz w:val="28"/>
            <w:szCs w:val="28"/>
          </w:rPr>
          <w:instrText xml:space="preserve"> PAGEREF _Toc186029859 \h </w:instrText>
        </w:r>
        <w:r w:rsidR="00C07F84" w:rsidRPr="00C07F84">
          <w:rPr>
            <w:webHidden/>
            <w:sz w:val="28"/>
            <w:szCs w:val="28"/>
          </w:rPr>
        </w:r>
        <w:r w:rsidR="00C07F84" w:rsidRPr="00C07F84">
          <w:rPr>
            <w:webHidden/>
            <w:sz w:val="28"/>
            <w:szCs w:val="28"/>
          </w:rPr>
          <w:fldChar w:fldCharType="separate"/>
        </w:r>
        <w:r w:rsidR="00565286">
          <w:rPr>
            <w:webHidden/>
            <w:sz w:val="28"/>
            <w:szCs w:val="28"/>
          </w:rPr>
          <w:t>58</w:t>
        </w:r>
        <w:r w:rsidR="00C07F84" w:rsidRPr="00C07F84">
          <w:rPr>
            <w:webHidden/>
            <w:sz w:val="28"/>
            <w:szCs w:val="28"/>
          </w:rPr>
          <w:fldChar w:fldCharType="end"/>
        </w:r>
      </w:hyperlink>
    </w:p>
    <w:p w14:paraId="7D59E855" w14:textId="5FEF2FE0" w:rsidR="00C07F84" w:rsidRPr="00C07F84" w:rsidRDefault="00000000">
      <w:pPr>
        <w:pStyle w:val="12"/>
        <w:rPr>
          <w:rFonts w:cstheme="minorBidi"/>
          <w:bCs w:val="0"/>
          <w:caps w:val="0"/>
          <w:spacing w:val="0"/>
          <w:sz w:val="20"/>
          <w:szCs w:val="20"/>
          <w14:ligatures w14:val="standardContextual"/>
        </w:rPr>
      </w:pPr>
      <w:hyperlink w:anchor="_Toc186029860" w:history="1">
        <w:r w:rsidR="00C07F84" w:rsidRPr="00C07F84">
          <w:rPr>
            <w:rStyle w:val="a8"/>
            <w:rFonts w:hint="eastAsia"/>
            <w:sz w:val="28"/>
            <w:szCs w:val="28"/>
          </w:rPr>
          <w:t>圖37</w:t>
        </w:r>
        <w:r w:rsidR="00C07F84" w:rsidRPr="00C07F84">
          <w:rPr>
            <w:rFonts w:cstheme="minorBidi"/>
            <w:bCs w:val="0"/>
            <w:caps w:val="0"/>
            <w:spacing w:val="0"/>
            <w:sz w:val="20"/>
            <w:szCs w:val="20"/>
            <w14:ligatures w14:val="standardContextual"/>
          </w:rPr>
          <w:tab/>
        </w:r>
        <w:r w:rsidR="00C07F84" w:rsidRPr="00C07F84">
          <w:rPr>
            <w:rStyle w:val="a8"/>
            <w:rFonts w:hint="eastAsia"/>
            <w:sz w:val="28"/>
            <w:szCs w:val="28"/>
          </w:rPr>
          <w:t>天然鈾礦至核電廠使用的鈾燃料的過程圖</w:t>
        </w:r>
        <w:r w:rsidR="00C07F84" w:rsidRPr="00C07F84">
          <w:rPr>
            <w:webHidden/>
            <w:sz w:val="28"/>
            <w:szCs w:val="28"/>
          </w:rPr>
          <w:tab/>
        </w:r>
        <w:r w:rsidR="00C07F84" w:rsidRPr="00C07F84">
          <w:rPr>
            <w:webHidden/>
            <w:sz w:val="28"/>
            <w:szCs w:val="28"/>
          </w:rPr>
          <w:fldChar w:fldCharType="begin"/>
        </w:r>
        <w:r w:rsidR="00C07F84" w:rsidRPr="00C07F84">
          <w:rPr>
            <w:webHidden/>
            <w:sz w:val="28"/>
            <w:szCs w:val="28"/>
          </w:rPr>
          <w:instrText xml:space="preserve"> PAGEREF _Toc186029860 \h </w:instrText>
        </w:r>
        <w:r w:rsidR="00C07F84" w:rsidRPr="00C07F84">
          <w:rPr>
            <w:webHidden/>
            <w:sz w:val="28"/>
            <w:szCs w:val="28"/>
          </w:rPr>
        </w:r>
        <w:r w:rsidR="00C07F84" w:rsidRPr="00C07F84">
          <w:rPr>
            <w:webHidden/>
            <w:sz w:val="28"/>
            <w:szCs w:val="28"/>
          </w:rPr>
          <w:fldChar w:fldCharType="separate"/>
        </w:r>
        <w:r w:rsidR="00565286">
          <w:rPr>
            <w:webHidden/>
            <w:sz w:val="28"/>
            <w:szCs w:val="28"/>
          </w:rPr>
          <w:t>59</w:t>
        </w:r>
        <w:r w:rsidR="00C07F84" w:rsidRPr="00C07F84">
          <w:rPr>
            <w:webHidden/>
            <w:sz w:val="28"/>
            <w:szCs w:val="28"/>
          </w:rPr>
          <w:fldChar w:fldCharType="end"/>
        </w:r>
      </w:hyperlink>
    </w:p>
    <w:p w14:paraId="7D32FE7C" w14:textId="5ABCD9D9" w:rsidR="00C07F84" w:rsidRPr="00C07F84" w:rsidRDefault="00000000">
      <w:pPr>
        <w:pStyle w:val="12"/>
        <w:rPr>
          <w:rFonts w:cstheme="minorBidi"/>
          <w:bCs w:val="0"/>
          <w:caps w:val="0"/>
          <w:spacing w:val="0"/>
          <w:sz w:val="20"/>
          <w:szCs w:val="20"/>
          <w14:ligatures w14:val="standardContextual"/>
        </w:rPr>
      </w:pPr>
      <w:hyperlink w:anchor="_Toc186029861" w:history="1">
        <w:r w:rsidR="00C07F84" w:rsidRPr="00C07F84">
          <w:rPr>
            <w:rStyle w:val="a8"/>
            <w:rFonts w:hint="eastAsia"/>
            <w:sz w:val="28"/>
            <w:szCs w:val="28"/>
          </w:rPr>
          <w:t>圖38</w:t>
        </w:r>
        <w:r w:rsidR="00C07F84" w:rsidRPr="00C07F84">
          <w:rPr>
            <w:rFonts w:cstheme="minorBidi"/>
            <w:bCs w:val="0"/>
            <w:caps w:val="0"/>
            <w:spacing w:val="0"/>
            <w:sz w:val="20"/>
            <w:szCs w:val="20"/>
            <w14:ligatures w14:val="standardContextual"/>
          </w:rPr>
          <w:tab/>
        </w:r>
        <w:r w:rsidR="00C07F84" w:rsidRPr="00C07F84">
          <w:rPr>
            <w:rStyle w:val="a8"/>
            <w:rFonts w:hint="eastAsia"/>
            <w:sz w:val="28"/>
            <w:szCs w:val="28"/>
          </w:rPr>
          <w:t>火力發電和核能發電基本原理之示意圖</w:t>
        </w:r>
        <w:r w:rsidR="00C07F84" w:rsidRPr="00C07F84">
          <w:rPr>
            <w:webHidden/>
            <w:sz w:val="28"/>
            <w:szCs w:val="28"/>
          </w:rPr>
          <w:tab/>
        </w:r>
        <w:r w:rsidR="00C07F84" w:rsidRPr="00C07F84">
          <w:rPr>
            <w:webHidden/>
            <w:sz w:val="28"/>
            <w:szCs w:val="28"/>
          </w:rPr>
          <w:fldChar w:fldCharType="begin"/>
        </w:r>
        <w:r w:rsidR="00C07F84" w:rsidRPr="00C07F84">
          <w:rPr>
            <w:webHidden/>
            <w:sz w:val="28"/>
            <w:szCs w:val="28"/>
          </w:rPr>
          <w:instrText xml:space="preserve"> PAGEREF _Toc186029861 \h </w:instrText>
        </w:r>
        <w:r w:rsidR="00C07F84" w:rsidRPr="00C07F84">
          <w:rPr>
            <w:webHidden/>
            <w:sz w:val="28"/>
            <w:szCs w:val="28"/>
          </w:rPr>
        </w:r>
        <w:r w:rsidR="00C07F84" w:rsidRPr="00C07F84">
          <w:rPr>
            <w:webHidden/>
            <w:sz w:val="28"/>
            <w:szCs w:val="28"/>
          </w:rPr>
          <w:fldChar w:fldCharType="separate"/>
        </w:r>
        <w:r w:rsidR="00565286">
          <w:rPr>
            <w:webHidden/>
            <w:sz w:val="28"/>
            <w:szCs w:val="28"/>
          </w:rPr>
          <w:t>60</w:t>
        </w:r>
        <w:r w:rsidR="00C07F84" w:rsidRPr="00C07F84">
          <w:rPr>
            <w:webHidden/>
            <w:sz w:val="28"/>
            <w:szCs w:val="28"/>
          </w:rPr>
          <w:fldChar w:fldCharType="end"/>
        </w:r>
      </w:hyperlink>
    </w:p>
    <w:p w14:paraId="2859D3C2" w14:textId="4775E624" w:rsidR="00C07F84" w:rsidRDefault="00000000">
      <w:pPr>
        <w:pStyle w:val="12"/>
        <w:rPr>
          <w:rFonts w:asciiTheme="minorHAnsi" w:eastAsiaTheme="minorEastAsia" w:hAnsiTheme="minorHAnsi" w:cstheme="minorBidi"/>
          <w:bCs w:val="0"/>
          <w:caps w:val="0"/>
          <w:spacing w:val="0"/>
          <w:sz w:val="24"/>
          <w:szCs w:val="24"/>
          <w14:ligatures w14:val="standardContextual"/>
        </w:rPr>
      </w:pPr>
      <w:hyperlink w:anchor="_Toc186029862" w:history="1">
        <w:r w:rsidR="00C07F84" w:rsidRPr="00C07F84">
          <w:rPr>
            <w:rStyle w:val="a8"/>
            <w:rFonts w:hint="eastAsia"/>
            <w:sz w:val="28"/>
            <w:szCs w:val="28"/>
          </w:rPr>
          <w:t>圖39</w:t>
        </w:r>
        <w:r w:rsidR="00C07F84" w:rsidRPr="00C07F84">
          <w:rPr>
            <w:rFonts w:cstheme="minorBidi"/>
            <w:bCs w:val="0"/>
            <w:caps w:val="0"/>
            <w:spacing w:val="0"/>
            <w:sz w:val="20"/>
            <w:szCs w:val="20"/>
            <w14:ligatures w14:val="standardContextual"/>
          </w:rPr>
          <w:tab/>
        </w:r>
        <w:r w:rsidR="00C07F84" w:rsidRPr="00C07F84">
          <w:rPr>
            <w:rStyle w:val="a8"/>
            <w:rFonts w:hint="eastAsia"/>
            <w:sz w:val="28"/>
            <w:szCs w:val="28"/>
          </w:rPr>
          <w:t>核燃料循環的流程，從鈾礦開採至最終處置之示意圖</w:t>
        </w:r>
        <w:r w:rsidR="00C07F84" w:rsidRPr="00C07F84">
          <w:rPr>
            <w:webHidden/>
            <w:sz w:val="28"/>
            <w:szCs w:val="28"/>
          </w:rPr>
          <w:tab/>
        </w:r>
        <w:r w:rsidR="00C07F84" w:rsidRPr="00C07F84">
          <w:rPr>
            <w:webHidden/>
            <w:sz w:val="28"/>
            <w:szCs w:val="28"/>
          </w:rPr>
          <w:fldChar w:fldCharType="begin"/>
        </w:r>
        <w:r w:rsidR="00C07F84" w:rsidRPr="00C07F84">
          <w:rPr>
            <w:webHidden/>
            <w:sz w:val="28"/>
            <w:szCs w:val="28"/>
          </w:rPr>
          <w:instrText xml:space="preserve"> PAGEREF _Toc186029862 \h </w:instrText>
        </w:r>
        <w:r w:rsidR="00C07F84" w:rsidRPr="00C07F84">
          <w:rPr>
            <w:webHidden/>
            <w:sz w:val="28"/>
            <w:szCs w:val="28"/>
          </w:rPr>
        </w:r>
        <w:r w:rsidR="00C07F84" w:rsidRPr="00C07F84">
          <w:rPr>
            <w:webHidden/>
            <w:sz w:val="28"/>
            <w:szCs w:val="28"/>
          </w:rPr>
          <w:fldChar w:fldCharType="separate"/>
        </w:r>
        <w:r w:rsidR="00565286">
          <w:rPr>
            <w:webHidden/>
            <w:sz w:val="28"/>
            <w:szCs w:val="28"/>
          </w:rPr>
          <w:t>61</w:t>
        </w:r>
        <w:r w:rsidR="00C07F84" w:rsidRPr="00C07F84">
          <w:rPr>
            <w:webHidden/>
            <w:sz w:val="28"/>
            <w:szCs w:val="28"/>
          </w:rPr>
          <w:fldChar w:fldCharType="end"/>
        </w:r>
      </w:hyperlink>
    </w:p>
    <w:p w14:paraId="6EB61BB2" w14:textId="191D84EF" w:rsidR="00235C5E" w:rsidRDefault="00C07F84" w:rsidP="00E518CC">
      <w:pPr>
        <w:spacing w:beforeLines="15" w:before="36" w:afterLines="15" w:after="36"/>
        <w:ind w:rightChars="295" w:right="708"/>
        <w:jc w:val="center"/>
        <w:rPr>
          <w:rFonts w:ascii="標楷體" w:eastAsia="標楷體" w:hAnsi="標楷體"/>
          <w:sz w:val="36"/>
          <w:szCs w:val="22"/>
        </w:rPr>
      </w:pPr>
      <w:r>
        <w:rPr>
          <w:rFonts w:ascii="標楷體" w:eastAsia="標楷體" w:hAnsi="標楷體"/>
          <w:sz w:val="36"/>
          <w:szCs w:val="22"/>
        </w:rPr>
        <w:fldChar w:fldCharType="end"/>
      </w:r>
    </w:p>
    <w:p w14:paraId="28D77E3F" w14:textId="6CFADEF2" w:rsidR="00235C5E" w:rsidRDefault="00235C5E" w:rsidP="00E96C66">
      <w:pPr>
        <w:tabs>
          <w:tab w:val="right" w:leader="dot" w:pos="9120"/>
        </w:tabs>
        <w:spacing w:beforeLines="15" w:before="36" w:afterLines="15" w:after="36"/>
        <w:jc w:val="center"/>
        <w:rPr>
          <w:rFonts w:ascii="標楷體" w:eastAsia="標楷體" w:hAnsi="標楷體"/>
          <w:sz w:val="36"/>
          <w:szCs w:val="22"/>
        </w:rPr>
      </w:pPr>
    </w:p>
    <w:p w14:paraId="64D2D5F4" w14:textId="5329A805" w:rsidR="00E00B39" w:rsidRDefault="00E00B39" w:rsidP="00E96C66">
      <w:pPr>
        <w:tabs>
          <w:tab w:val="right" w:leader="dot" w:pos="9120"/>
        </w:tabs>
        <w:spacing w:beforeLines="15" w:before="36" w:afterLines="15" w:after="36"/>
        <w:jc w:val="center"/>
        <w:rPr>
          <w:rFonts w:ascii="標楷體" w:eastAsia="標楷體" w:hAnsi="標楷體"/>
          <w:sz w:val="36"/>
          <w:szCs w:val="22"/>
        </w:rPr>
      </w:pPr>
    </w:p>
    <w:p w14:paraId="5A6F2785" w14:textId="69607B95" w:rsidR="00E96C66" w:rsidRDefault="00235C5E" w:rsidP="00235C5E">
      <w:pPr>
        <w:spacing w:beforeLines="15" w:before="36" w:afterLines="15" w:after="36"/>
        <w:ind w:rightChars="295" w:right="708"/>
        <w:jc w:val="center"/>
        <w:rPr>
          <w:rFonts w:ascii="標楷體" w:eastAsia="標楷體" w:hAnsi="標楷體"/>
          <w:sz w:val="36"/>
          <w:szCs w:val="22"/>
        </w:rPr>
      </w:pPr>
      <w:r>
        <w:rPr>
          <w:rFonts w:ascii="標楷體" w:eastAsia="標楷體" w:hAnsi="標楷體" w:hint="eastAsia"/>
          <w:sz w:val="36"/>
          <w:szCs w:val="22"/>
        </w:rPr>
        <w:t>表目錄</w:t>
      </w:r>
    </w:p>
    <w:p w14:paraId="5187C767" w14:textId="3DF6BBF8" w:rsidR="00E00B39" w:rsidRDefault="00E00B39" w:rsidP="00235C5E">
      <w:pPr>
        <w:spacing w:beforeLines="15" w:before="36" w:afterLines="15" w:after="36"/>
        <w:ind w:rightChars="295" w:right="708"/>
        <w:jc w:val="center"/>
        <w:rPr>
          <w:rFonts w:ascii="標楷體" w:eastAsia="標楷體" w:hAnsi="標楷體"/>
          <w:sz w:val="36"/>
          <w:szCs w:val="22"/>
        </w:rPr>
      </w:pPr>
    </w:p>
    <w:p w14:paraId="34A94B07" w14:textId="3F2391CF" w:rsidR="00E518CC" w:rsidRPr="00C07F84" w:rsidRDefault="00E518CC" w:rsidP="00C07F84">
      <w:pPr>
        <w:pStyle w:val="12"/>
        <w:rPr>
          <w:rFonts w:asciiTheme="minorHAnsi" w:eastAsiaTheme="minorEastAsia" w:hAnsiTheme="minorHAnsi" w:cstheme="minorBidi"/>
          <w:spacing w:val="0"/>
          <w:sz w:val="28"/>
          <w:szCs w:val="28"/>
          <w14:ligatures w14:val="standardContextual"/>
        </w:rPr>
      </w:pPr>
      <w:r w:rsidRPr="00E00B39">
        <w:rPr>
          <w:szCs w:val="18"/>
        </w:rPr>
        <w:fldChar w:fldCharType="begin"/>
      </w:r>
      <w:r w:rsidRPr="00E00B39">
        <w:rPr>
          <w:szCs w:val="18"/>
        </w:rPr>
        <w:instrText xml:space="preserve"> TOC \h \z \t "表示,1" </w:instrText>
      </w:r>
      <w:r w:rsidRPr="00E00B39">
        <w:rPr>
          <w:szCs w:val="18"/>
        </w:rPr>
        <w:fldChar w:fldCharType="separate"/>
      </w:r>
      <w:hyperlink w:anchor="_Toc185605751" w:history="1">
        <w:r w:rsidRPr="00C07F84">
          <w:rPr>
            <w:rStyle w:val="a8"/>
            <w:rFonts w:hint="eastAsia"/>
            <w:sz w:val="28"/>
            <w:szCs w:val="28"/>
          </w:rPr>
          <w:t>表1</w:t>
        </w:r>
        <w:r w:rsidRPr="00C07F84">
          <w:rPr>
            <w:rFonts w:asciiTheme="minorHAnsi" w:eastAsiaTheme="minorEastAsia" w:hAnsiTheme="minorHAnsi" w:cstheme="minorBidi"/>
            <w:spacing w:val="0"/>
            <w:sz w:val="28"/>
            <w:szCs w:val="28"/>
            <w14:ligatures w14:val="standardContextual"/>
          </w:rPr>
          <w:tab/>
        </w:r>
        <w:r w:rsidRPr="00C07F84">
          <w:rPr>
            <w:rStyle w:val="a8"/>
            <w:sz w:val="28"/>
            <w:szCs w:val="28"/>
          </w:rPr>
          <w:t>113</w:t>
        </w:r>
        <w:r w:rsidRPr="00C07F84">
          <w:rPr>
            <w:rStyle w:val="a8"/>
            <w:rFonts w:hint="eastAsia"/>
            <w:sz w:val="28"/>
            <w:szCs w:val="28"/>
          </w:rPr>
          <w:t>年</w:t>
        </w:r>
        <w:r w:rsidRPr="00C07F84">
          <w:rPr>
            <w:rStyle w:val="a8"/>
            <w:sz w:val="28"/>
            <w:szCs w:val="28"/>
          </w:rPr>
          <w:t>12</w:t>
        </w:r>
        <w:r w:rsidRPr="00C07F84">
          <w:rPr>
            <w:rStyle w:val="a8"/>
            <w:rFonts w:hint="eastAsia"/>
            <w:sz w:val="28"/>
            <w:szCs w:val="28"/>
          </w:rPr>
          <w:t>月</w:t>
        </w:r>
        <w:r w:rsidRPr="00C07F84">
          <w:rPr>
            <w:rStyle w:val="a8"/>
            <w:sz w:val="28"/>
            <w:szCs w:val="28"/>
          </w:rPr>
          <w:t>3</w:t>
        </w:r>
        <w:r w:rsidRPr="00C07F84">
          <w:rPr>
            <w:rStyle w:val="a8"/>
            <w:rFonts w:hint="eastAsia"/>
            <w:sz w:val="28"/>
            <w:szCs w:val="28"/>
          </w:rPr>
          <w:t>日至</w:t>
        </w:r>
        <w:r w:rsidRPr="00C07F84">
          <w:rPr>
            <w:rStyle w:val="a8"/>
            <w:sz w:val="28"/>
            <w:szCs w:val="28"/>
          </w:rPr>
          <w:t>12</w:t>
        </w:r>
        <w:r w:rsidRPr="00C07F84">
          <w:rPr>
            <w:rStyle w:val="a8"/>
            <w:rFonts w:hint="eastAsia"/>
            <w:sz w:val="28"/>
            <w:szCs w:val="28"/>
          </w:rPr>
          <w:t>月</w:t>
        </w:r>
        <w:r w:rsidRPr="00C07F84">
          <w:rPr>
            <w:rStyle w:val="a8"/>
            <w:sz w:val="28"/>
            <w:szCs w:val="28"/>
          </w:rPr>
          <w:t>9</w:t>
        </w:r>
        <w:r w:rsidRPr="00C07F84">
          <w:rPr>
            <w:rStyle w:val="a8"/>
            <w:rFonts w:hint="eastAsia"/>
            <w:sz w:val="28"/>
            <w:szCs w:val="28"/>
          </w:rPr>
          <w:t>日日本訪查行程表</w:t>
        </w:r>
        <w:r w:rsidRPr="00C07F84">
          <w:rPr>
            <w:webHidden/>
            <w:sz w:val="28"/>
            <w:szCs w:val="28"/>
          </w:rPr>
          <w:tab/>
        </w:r>
        <w:r w:rsidR="007748E4">
          <w:rPr>
            <w:rFonts w:hint="eastAsia"/>
            <w:webHidden/>
            <w:sz w:val="28"/>
            <w:szCs w:val="28"/>
          </w:rPr>
          <w:t>3</w:t>
        </w:r>
      </w:hyperlink>
    </w:p>
    <w:p w14:paraId="5DB00B3B" w14:textId="7E324E69" w:rsidR="00E518CC" w:rsidRPr="00C07F84" w:rsidRDefault="00000000" w:rsidP="00C07F84">
      <w:pPr>
        <w:pStyle w:val="12"/>
        <w:rPr>
          <w:rFonts w:asciiTheme="minorHAnsi" w:eastAsiaTheme="minorEastAsia" w:hAnsiTheme="minorHAnsi" w:cstheme="minorBidi"/>
          <w:spacing w:val="0"/>
          <w:sz w:val="28"/>
          <w:szCs w:val="28"/>
          <w14:ligatures w14:val="standardContextual"/>
        </w:rPr>
      </w:pPr>
      <w:hyperlink w:anchor="_Toc185605752" w:history="1">
        <w:r w:rsidR="00E518CC" w:rsidRPr="00C07F84">
          <w:rPr>
            <w:rStyle w:val="a8"/>
            <w:rFonts w:hint="eastAsia"/>
            <w:sz w:val="28"/>
            <w:szCs w:val="28"/>
          </w:rPr>
          <w:t>表2</w:t>
        </w:r>
        <w:r w:rsidR="00E518CC" w:rsidRPr="00C07F84">
          <w:rPr>
            <w:rFonts w:asciiTheme="minorHAnsi" w:eastAsiaTheme="minorEastAsia" w:hAnsiTheme="minorHAnsi" w:cstheme="minorBidi"/>
            <w:spacing w:val="0"/>
            <w:sz w:val="28"/>
            <w:szCs w:val="28"/>
            <w14:ligatures w14:val="standardContextual"/>
          </w:rPr>
          <w:tab/>
        </w:r>
        <w:r w:rsidR="00E518CC" w:rsidRPr="00C07F84">
          <w:rPr>
            <w:rStyle w:val="a8"/>
            <w:rFonts w:hint="eastAsia"/>
            <w:sz w:val="28"/>
            <w:szCs w:val="28"/>
          </w:rPr>
          <w:t>我國與日本發電組合比較表</w:t>
        </w:r>
        <w:r w:rsidR="00E518CC" w:rsidRPr="00C07F84">
          <w:rPr>
            <w:webHidden/>
            <w:sz w:val="28"/>
            <w:szCs w:val="28"/>
          </w:rPr>
          <w:tab/>
        </w:r>
        <w:r w:rsidR="007748E4">
          <w:rPr>
            <w:rFonts w:hint="eastAsia"/>
            <w:webHidden/>
            <w:sz w:val="28"/>
            <w:szCs w:val="28"/>
          </w:rPr>
          <w:t>5</w:t>
        </w:r>
      </w:hyperlink>
    </w:p>
    <w:p w14:paraId="45ABBF68" w14:textId="209693F7" w:rsidR="00E518CC" w:rsidRPr="00E00B39" w:rsidRDefault="00000000" w:rsidP="00C07F84">
      <w:pPr>
        <w:pStyle w:val="12"/>
        <w:rPr>
          <w:rFonts w:asciiTheme="minorHAnsi" w:eastAsiaTheme="minorEastAsia" w:hAnsiTheme="minorHAnsi" w:cstheme="minorBidi"/>
          <w:spacing w:val="0"/>
          <w:sz w:val="20"/>
          <w:szCs w:val="20"/>
          <w14:ligatures w14:val="standardContextual"/>
        </w:rPr>
      </w:pPr>
      <w:hyperlink w:anchor="_Toc185605753" w:history="1">
        <w:r w:rsidR="00E518CC" w:rsidRPr="00C07F84">
          <w:rPr>
            <w:rStyle w:val="a8"/>
            <w:rFonts w:hint="eastAsia"/>
            <w:sz w:val="28"/>
            <w:szCs w:val="28"/>
          </w:rPr>
          <w:t>表3</w:t>
        </w:r>
        <w:r w:rsidR="00E518CC" w:rsidRPr="00C07F84">
          <w:rPr>
            <w:rFonts w:asciiTheme="minorHAnsi" w:eastAsiaTheme="minorEastAsia" w:hAnsiTheme="minorHAnsi" w:cstheme="minorBidi"/>
            <w:spacing w:val="0"/>
            <w:sz w:val="28"/>
            <w:szCs w:val="28"/>
            <w14:ligatures w14:val="standardContextual"/>
          </w:rPr>
          <w:tab/>
        </w:r>
        <w:r w:rsidR="00E518CC" w:rsidRPr="00C07F84">
          <w:rPr>
            <w:rStyle w:val="a8"/>
            <w:rFonts w:hint="eastAsia"/>
            <w:sz w:val="28"/>
            <w:szCs w:val="28"/>
          </w:rPr>
          <w:t>柏崎刈羽核能發電廠之發電設備概要表</w:t>
        </w:r>
        <w:r w:rsidR="00E518CC" w:rsidRPr="00C07F84">
          <w:rPr>
            <w:webHidden/>
            <w:sz w:val="28"/>
            <w:szCs w:val="28"/>
          </w:rPr>
          <w:tab/>
        </w:r>
        <w:r w:rsidR="007748E4">
          <w:rPr>
            <w:rFonts w:hint="eastAsia"/>
            <w:webHidden/>
            <w:sz w:val="28"/>
            <w:szCs w:val="28"/>
          </w:rPr>
          <w:t>9</w:t>
        </w:r>
      </w:hyperlink>
    </w:p>
    <w:p w14:paraId="2C12E551" w14:textId="68DAE4FA" w:rsidR="00235C5E" w:rsidRDefault="00E518CC" w:rsidP="00235C5E">
      <w:pPr>
        <w:spacing w:beforeLines="15" w:before="36" w:afterLines="15" w:after="36"/>
        <w:ind w:rightChars="295" w:right="708"/>
        <w:jc w:val="center"/>
        <w:rPr>
          <w:rFonts w:ascii="標楷體" w:eastAsia="標楷體" w:hAnsi="標楷體"/>
          <w:sz w:val="36"/>
          <w:szCs w:val="22"/>
        </w:rPr>
      </w:pPr>
      <w:r w:rsidRPr="00E00B39">
        <w:rPr>
          <w:rFonts w:ascii="標楷體" w:eastAsia="標楷體" w:hAnsi="標楷體"/>
          <w:sz w:val="28"/>
          <w:szCs w:val="18"/>
        </w:rPr>
        <w:fldChar w:fldCharType="end"/>
      </w:r>
    </w:p>
    <w:p w14:paraId="6023A428" w14:textId="5B3E8B99" w:rsidR="00235C5E" w:rsidRDefault="00235C5E" w:rsidP="00C07F84">
      <w:pPr>
        <w:pStyle w:val="12"/>
      </w:pPr>
    </w:p>
    <w:p w14:paraId="0F8D28DB" w14:textId="77777777" w:rsidR="00E00B39" w:rsidRDefault="00E00B39" w:rsidP="00E00B39"/>
    <w:p w14:paraId="0266D04A" w14:textId="77777777" w:rsidR="00E00B39" w:rsidRDefault="00E00B39" w:rsidP="00E00B39"/>
    <w:p w14:paraId="73102399" w14:textId="77777777" w:rsidR="00E00B39" w:rsidRDefault="00E00B39" w:rsidP="00E00B39"/>
    <w:p w14:paraId="26C3D490" w14:textId="77777777" w:rsidR="00E00B39" w:rsidRDefault="00E00B39" w:rsidP="00E00B39"/>
    <w:p w14:paraId="421FB47D" w14:textId="77777777" w:rsidR="00E00B39" w:rsidRDefault="00E00B39" w:rsidP="00E00B39"/>
    <w:p w14:paraId="41BB5D59" w14:textId="77777777" w:rsidR="00E00B39" w:rsidRDefault="00E00B39" w:rsidP="00E00B39"/>
    <w:p w14:paraId="2A02F894" w14:textId="77777777" w:rsidR="00E00B39" w:rsidRDefault="00E00B39" w:rsidP="00E00B39"/>
    <w:p w14:paraId="5EFB32FD" w14:textId="77777777" w:rsidR="00E00B39" w:rsidRDefault="00E00B39" w:rsidP="00E00B39"/>
    <w:p w14:paraId="5C853B57" w14:textId="77777777" w:rsidR="00E00B39" w:rsidRDefault="00E00B39" w:rsidP="00E00B39"/>
    <w:p w14:paraId="5421F166" w14:textId="77777777" w:rsidR="00E00B39" w:rsidRPr="00E00B39" w:rsidRDefault="00E00B39" w:rsidP="00E00B39"/>
    <w:p w14:paraId="21A82603" w14:textId="51DA3769" w:rsidR="00E518CC" w:rsidRPr="00780C7C" w:rsidRDefault="00E518CC" w:rsidP="00E00B39">
      <w:pPr>
        <w:tabs>
          <w:tab w:val="right" w:leader="dot" w:pos="9120"/>
        </w:tabs>
        <w:spacing w:beforeLines="15" w:before="36" w:afterLines="50" w:after="120"/>
        <w:jc w:val="center"/>
        <w:rPr>
          <w:rFonts w:ascii="標楷體" w:eastAsia="標楷體" w:hAnsi="標楷體"/>
          <w:sz w:val="40"/>
          <w:szCs w:val="24"/>
        </w:rPr>
      </w:pPr>
      <w:r w:rsidRPr="00780C7C">
        <w:rPr>
          <w:rFonts w:ascii="標楷體" w:eastAsia="標楷體" w:hAnsi="標楷體" w:hint="eastAsia"/>
          <w:sz w:val="40"/>
          <w:szCs w:val="24"/>
        </w:rPr>
        <w:t>摘</w:t>
      </w:r>
      <w:r w:rsidR="00780C7C" w:rsidRPr="00780C7C">
        <w:rPr>
          <w:rFonts w:ascii="標楷體" w:eastAsia="標楷體" w:hAnsi="標楷體" w:hint="eastAsia"/>
          <w:sz w:val="40"/>
          <w:szCs w:val="24"/>
        </w:rPr>
        <w:t xml:space="preserve">  </w:t>
      </w:r>
      <w:r w:rsidRPr="00780C7C">
        <w:rPr>
          <w:rFonts w:ascii="標楷體" w:eastAsia="標楷體" w:hAnsi="標楷體" w:hint="eastAsia"/>
          <w:sz w:val="40"/>
          <w:szCs w:val="24"/>
        </w:rPr>
        <w:t>要</w:t>
      </w:r>
    </w:p>
    <w:p w14:paraId="0A86B74E" w14:textId="5B13406C" w:rsidR="00780C7C" w:rsidRPr="00780C7C" w:rsidRDefault="00780C7C" w:rsidP="00E00B39">
      <w:pPr>
        <w:snapToGrid w:val="0"/>
        <w:spacing w:beforeLines="15" w:before="36" w:afterLines="50" w:after="120" w:line="540" w:lineRule="exact"/>
        <w:ind w:leftChars="100" w:left="240" w:rightChars="100" w:right="240" w:firstLineChars="200" w:firstLine="640"/>
        <w:jc w:val="both"/>
        <w:rPr>
          <w:rFonts w:ascii="標楷體" w:eastAsia="標楷體" w:hAnsi="標楷體"/>
          <w:bCs/>
          <w:color w:val="000000" w:themeColor="text1"/>
          <w:sz w:val="32"/>
          <w:szCs w:val="40"/>
        </w:rPr>
      </w:pPr>
      <w:r w:rsidRPr="00780C7C">
        <w:rPr>
          <w:rFonts w:ascii="標楷體" w:eastAsia="標楷體" w:hAnsi="標楷體"/>
          <w:bCs/>
          <w:color w:val="000000" w:themeColor="text1"/>
          <w:sz w:val="32"/>
          <w:szCs w:val="40"/>
        </w:rPr>
        <w:t>本考察報告係監察院為瞭解國際間核能電廠除役、轉型及新世代能源發展現況，並汲取相關技術發展經驗，爰規劃辦理之赴日考察行程。本次考察團由監察委員鴻義章</w:t>
      </w:r>
      <w:r w:rsidRPr="00780C7C">
        <w:rPr>
          <w:rFonts w:ascii="標楷體" w:eastAsia="標楷體" w:hAnsi="標楷體" w:hint="eastAsia"/>
          <w:bCs/>
          <w:color w:val="000000" w:themeColor="text1"/>
          <w:sz w:val="32"/>
          <w:szCs w:val="40"/>
        </w:rPr>
        <w:t>率團</w:t>
      </w:r>
      <w:r w:rsidRPr="00780C7C">
        <w:rPr>
          <w:rFonts w:ascii="標楷體" w:eastAsia="標楷體" w:hAnsi="標楷體"/>
          <w:bCs/>
          <w:color w:val="000000" w:themeColor="text1"/>
          <w:sz w:val="32"/>
          <w:szCs w:val="40"/>
        </w:rPr>
        <w:t>組成，於民國113年12月3日至9日赴日進行實地考察，並與相關政府機關、研究機構、學術單位及專家進行意見交流。經彙整考察所獲資料及經驗，完成「核能電廠除役、轉型與核能安全專業人才確保及運用</w:t>
      </w:r>
      <w:r w:rsidRPr="00780C7C">
        <w:rPr>
          <w:rFonts w:ascii="標楷體" w:eastAsia="標楷體" w:hAnsi="標楷體" w:hint="eastAsia"/>
          <w:bCs/>
          <w:color w:val="000000" w:themeColor="text1"/>
          <w:sz w:val="32"/>
          <w:szCs w:val="40"/>
        </w:rPr>
        <w:t>」及「</w:t>
      </w:r>
      <w:r w:rsidRPr="00780C7C">
        <w:rPr>
          <w:rFonts w:ascii="標楷體" w:eastAsia="標楷體" w:hAnsi="標楷體"/>
          <w:bCs/>
          <w:color w:val="000000" w:themeColor="text1"/>
          <w:sz w:val="32"/>
          <w:szCs w:val="40"/>
        </w:rPr>
        <w:t>小型模組化反應器(SMR)新世代能源評估及運用」考察報告。報告中提及，日本在核能電廠除役方面，已制定長期設施管理計畫，並成立相關研究機構，在SMR等新世代能源技術方面，亦具備豐富經驗與研發成果。</w:t>
      </w:r>
      <w:r w:rsidR="00C07F84">
        <w:rPr>
          <w:rFonts w:ascii="標楷體" w:eastAsia="標楷體" w:hAnsi="標楷體" w:hint="eastAsia"/>
          <w:bCs/>
          <w:color w:val="000000" w:themeColor="text1"/>
          <w:sz w:val="32"/>
          <w:szCs w:val="40"/>
        </w:rPr>
        <w:t>且</w:t>
      </w:r>
      <w:r w:rsidRPr="00780C7C">
        <w:rPr>
          <w:rFonts w:ascii="標楷體" w:eastAsia="標楷體" w:hAnsi="標楷體"/>
          <w:bCs/>
          <w:color w:val="000000" w:themeColor="text1"/>
          <w:sz w:val="32"/>
          <w:szCs w:val="40"/>
        </w:rPr>
        <w:t>日本政府在淨零路徑規劃中，對能源配比之合理性、電網穩定性及能源安全等因素，均有所考量。本次考察之目的，除瞭解日本在核能安全、技術研發、核廢料處理等面向之具體措施外，亦期能作為我國未來能源政策制定之參考。</w:t>
      </w:r>
    </w:p>
    <w:p w14:paraId="5CA3F62C" w14:textId="7557CACA" w:rsidR="00780C7C" w:rsidRPr="00780C7C" w:rsidRDefault="00780C7C" w:rsidP="00C07F84">
      <w:pPr>
        <w:snapToGrid w:val="0"/>
        <w:spacing w:beforeLines="15" w:before="36" w:afterLines="50" w:after="120" w:line="540" w:lineRule="exact"/>
        <w:ind w:leftChars="100" w:left="240" w:rightChars="100" w:right="240" w:firstLineChars="200" w:firstLine="640"/>
        <w:jc w:val="both"/>
        <w:rPr>
          <w:rFonts w:ascii="標楷體" w:eastAsia="標楷體" w:hAnsi="標楷體"/>
          <w:bCs/>
          <w:color w:val="000000" w:themeColor="text1"/>
          <w:sz w:val="32"/>
          <w:szCs w:val="40"/>
        </w:rPr>
      </w:pPr>
      <w:r w:rsidRPr="00780C7C">
        <w:rPr>
          <w:rFonts w:ascii="標楷體" w:eastAsia="標楷體" w:hAnsi="標楷體"/>
          <w:bCs/>
          <w:color w:val="000000" w:themeColor="text1"/>
          <w:sz w:val="32"/>
          <w:szCs w:val="40"/>
        </w:rPr>
        <w:t>本次考察團深入瞭解日本核能電廠之安全管理現況，並汲取</w:t>
      </w:r>
      <w:r w:rsidRPr="00780C7C">
        <w:rPr>
          <w:rFonts w:ascii="標楷體" w:eastAsia="標楷體" w:hAnsi="標楷體" w:hint="eastAsia"/>
          <w:bCs/>
          <w:color w:val="000000" w:themeColor="text1"/>
          <w:sz w:val="32"/>
          <w:szCs w:val="40"/>
        </w:rPr>
        <w:t>311東日本大震災(</w:t>
      </w:r>
      <w:r w:rsidRPr="00780C7C">
        <w:rPr>
          <w:rFonts w:ascii="標楷體" w:eastAsia="標楷體" w:hAnsi="標楷體"/>
          <w:bCs/>
          <w:color w:val="000000" w:themeColor="text1"/>
          <w:sz w:val="32"/>
          <w:szCs w:val="40"/>
        </w:rPr>
        <w:t>福島核災</w:t>
      </w:r>
      <w:r w:rsidRPr="00780C7C">
        <w:rPr>
          <w:rFonts w:ascii="標楷體" w:eastAsia="標楷體" w:hAnsi="標楷體" w:hint="eastAsia"/>
          <w:bCs/>
          <w:color w:val="000000" w:themeColor="text1"/>
          <w:sz w:val="32"/>
          <w:szCs w:val="40"/>
        </w:rPr>
        <w:t>)</w:t>
      </w:r>
      <w:r w:rsidRPr="00780C7C">
        <w:rPr>
          <w:rFonts w:ascii="標楷體" w:eastAsia="標楷體" w:hAnsi="標楷體"/>
          <w:bCs/>
          <w:color w:val="000000" w:themeColor="text1"/>
          <w:sz w:val="32"/>
          <w:szCs w:val="40"/>
        </w:rPr>
        <w:t>經驗。在核能安全與設施強化方面，日本東京電力公司(TEPCO)針對柏崎刈羽核電廠進行顯著的安全強化措施，包括建置防潮堤、水密門、緊急電源與冷卻系統等，以提升發電廠之防禦能力，並定期舉行演習，加強人員訓練。在核能技術研發與應用方面，日本核能研究開發機構(JAEA)大洗核工程研究所於快速反應器技術、高溫氣體反應器技術及核電廠除役等方面均累積豐富的經驗和成果。同時，日本在淨零路徑規劃中，審慎考量能源配比之合理性、電網穩定性以及能源安全等因素。在核廢料處理方面，日本亦持續推動</w:t>
      </w:r>
      <w:r w:rsidRPr="00780C7C">
        <w:rPr>
          <w:rFonts w:ascii="標楷體" w:eastAsia="標楷體" w:hAnsi="標楷體"/>
          <w:bCs/>
          <w:color w:val="000000" w:themeColor="text1"/>
          <w:sz w:val="32"/>
          <w:szCs w:val="40"/>
        </w:rPr>
        <w:lastRenderedPageBreak/>
        <w:t>核燃料再處理技術，並規劃高放射性廢棄物之地質處置庫。在小型模組化反應器(SMR)技術評估與應用方面，各國對 SMR 技術、安全和監管等方面的投入，可為我國能源發展提供有價值的參考和建議，惟各國技術路線並存，各有優劣。</w:t>
      </w:r>
    </w:p>
    <w:p w14:paraId="2EB1153C" w14:textId="6CF97128" w:rsidR="00780C7C" w:rsidRDefault="00780C7C" w:rsidP="00C07F84">
      <w:pPr>
        <w:snapToGrid w:val="0"/>
        <w:spacing w:beforeLines="15" w:before="36" w:afterLines="50" w:after="120" w:line="540" w:lineRule="exact"/>
        <w:ind w:leftChars="100" w:left="240" w:rightChars="100" w:right="240" w:firstLineChars="200" w:firstLine="640"/>
        <w:jc w:val="both"/>
        <w:rPr>
          <w:rFonts w:ascii="標楷體" w:eastAsia="標楷體" w:hAnsi="標楷體"/>
          <w:bCs/>
          <w:color w:val="000000" w:themeColor="text1"/>
          <w:sz w:val="32"/>
          <w:szCs w:val="40"/>
        </w:rPr>
      </w:pPr>
      <w:r w:rsidRPr="00780C7C">
        <w:rPr>
          <w:rFonts w:ascii="標楷體" w:eastAsia="標楷體" w:hAnsi="標楷體"/>
          <w:bCs/>
          <w:color w:val="000000" w:themeColor="text1"/>
          <w:sz w:val="32"/>
          <w:szCs w:val="40"/>
        </w:rPr>
        <w:t>本考察報告指出，我國應重視核能安全之相關議題，包含核能設施之安全強化、持續加強人員訓練、建立強健的安全文化、持續改進與監督機制，以及與地方居民溝通等。此外，我國亦應重視新世代能源技術之發展，包含參考大洗核工程研究所經驗、關注新世代能源技術發展，加強小型模組化反應器(SMR)研究、加強國際合作</w:t>
      </w:r>
      <w:r w:rsidRPr="00780C7C">
        <w:rPr>
          <w:rFonts w:ascii="標楷體" w:eastAsia="標楷體" w:hAnsi="標楷體" w:hint="eastAsia"/>
          <w:bCs/>
          <w:color w:val="000000" w:themeColor="text1"/>
          <w:sz w:val="32"/>
          <w:szCs w:val="40"/>
        </w:rPr>
        <w:t>,</w:t>
      </w:r>
      <w:r w:rsidRPr="00780C7C">
        <w:rPr>
          <w:rFonts w:ascii="標楷體" w:eastAsia="標楷體" w:hAnsi="標楷體"/>
          <w:bCs/>
          <w:color w:val="000000" w:themeColor="text1"/>
          <w:sz w:val="32"/>
          <w:szCs w:val="40"/>
        </w:rPr>
        <w:t>及研發核廢料處理技術等，並需在淨零路徑中，考量能源配比之合理性、再生能源與核能之互補性，以及借鏡日本經驗，強化國際合作。再者，在核能議題之再思考方面，應加強核能安全教育，使民眾</w:t>
      </w:r>
      <w:r>
        <w:rPr>
          <w:rFonts w:ascii="標楷體" w:eastAsia="標楷體" w:hAnsi="標楷體" w:hint="eastAsia"/>
          <w:bCs/>
          <w:color w:val="000000" w:themeColor="text1"/>
          <w:sz w:val="32"/>
          <w:szCs w:val="40"/>
        </w:rPr>
        <w:t>瞭</w:t>
      </w:r>
      <w:r w:rsidRPr="00780C7C">
        <w:rPr>
          <w:rFonts w:ascii="標楷體" w:eastAsia="標楷體" w:hAnsi="標楷體"/>
          <w:bCs/>
          <w:color w:val="000000" w:themeColor="text1"/>
          <w:sz w:val="32"/>
          <w:szCs w:val="40"/>
        </w:rPr>
        <w:t>解核能發電之原理、風險與安全措施，公開透明核廢料處理資訊，減少恐懼，建立公民參與平台，促進社會共識。我國能源政策之檢討與省思部分，應以務實且開放的態度，面對能源挑戰，並加強國際合作，積極參與國際能源組織。核電廠除役方面，則需建立完善除役制度，以及與日本進行技術交流與人才培育，以確保核電廠除役作業之安全。最後，我國於電力市場應兼顧競爭性與穩定性，並積極與國際接軌。</w:t>
      </w:r>
    </w:p>
    <w:p w14:paraId="7B0DF4C0" w14:textId="77777777" w:rsidR="00780C7C" w:rsidRDefault="00780C7C" w:rsidP="00780C7C">
      <w:pPr>
        <w:snapToGrid w:val="0"/>
        <w:spacing w:beforeLines="15" w:before="36" w:afterLines="50" w:after="120" w:line="540" w:lineRule="exact"/>
        <w:ind w:leftChars="218" w:left="523" w:firstLineChars="200" w:firstLine="640"/>
        <w:jc w:val="both"/>
        <w:rPr>
          <w:rFonts w:ascii="標楷體" w:eastAsia="標楷體" w:hAnsi="標楷體"/>
          <w:bCs/>
          <w:color w:val="000000" w:themeColor="text1"/>
          <w:sz w:val="32"/>
          <w:szCs w:val="40"/>
        </w:rPr>
      </w:pPr>
    </w:p>
    <w:p w14:paraId="246C7F1D" w14:textId="77777777" w:rsidR="00780C7C" w:rsidRPr="00780C7C" w:rsidRDefault="00780C7C" w:rsidP="00780C7C">
      <w:pPr>
        <w:snapToGrid w:val="0"/>
        <w:spacing w:beforeLines="15" w:before="36" w:afterLines="50" w:after="120" w:line="540" w:lineRule="exact"/>
        <w:ind w:leftChars="218" w:left="523" w:firstLineChars="200" w:firstLine="640"/>
        <w:jc w:val="both"/>
        <w:rPr>
          <w:rFonts w:ascii="標楷體" w:eastAsia="標楷體" w:hAnsi="標楷體"/>
          <w:bCs/>
          <w:color w:val="000000" w:themeColor="text1"/>
          <w:sz w:val="32"/>
          <w:szCs w:val="40"/>
        </w:rPr>
      </w:pPr>
    </w:p>
    <w:p w14:paraId="5196C977" w14:textId="40943FC4" w:rsidR="00685740" w:rsidRPr="002A4102" w:rsidRDefault="008A238A" w:rsidP="00685740">
      <w:pPr>
        <w:tabs>
          <w:tab w:val="left" w:pos="4080"/>
          <w:tab w:val="left" w:pos="5520"/>
        </w:tabs>
        <w:spacing w:beforeLines="15" w:before="36" w:afterLines="15" w:after="36" w:line="440" w:lineRule="exact"/>
        <w:jc w:val="center"/>
        <w:rPr>
          <w:rFonts w:ascii="標楷體" w:eastAsia="標楷體" w:hAnsi="標楷體"/>
          <w:sz w:val="32"/>
          <w:szCs w:val="36"/>
        </w:rPr>
      </w:pPr>
      <w:r w:rsidRPr="002A4102">
        <w:rPr>
          <w:rFonts w:ascii="標楷體" w:eastAsia="標楷體" w:hAnsi="標楷體"/>
          <w:sz w:val="32"/>
          <w:szCs w:val="36"/>
        </w:rPr>
        <w:br w:type="page"/>
      </w:r>
    </w:p>
    <w:p w14:paraId="7B4DCF52" w14:textId="6C703770" w:rsidR="00FC7D44" w:rsidRPr="002A4102" w:rsidRDefault="00FC7D44" w:rsidP="003213CB">
      <w:pPr>
        <w:tabs>
          <w:tab w:val="left" w:pos="4080"/>
          <w:tab w:val="left" w:pos="5520"/>
        </w:tabs>
        <w:spacing w:beforeLines="15" w:before="36" w:afterLines="15" w:after="36" w:line="440" w:lineRule="exact"/>
        <w:jc w:val="both"/>
        <w:rPr>
          <w:rFonts w:ascii="標楷體" w:eastAsia="標楷體" w:hAnsi="標楷體"/>
          <w:sz w:val="32"/>
          <w:szCs w:val="36"/>
        </w:rPr>
        <w:sectPr w:rsidR="00FC7D44" w:rsidRPr="002A4102" w:rsidSect="00E00B39">
          <w:pgSz w:w="11907" w:h="16840" w:code="9"/>
          <w:pgMar w:top="1418" w:right="1361" w:bottom="1361" w:left="1361" w:header="720" w:footer="720" w:gutter="0"/>
          <w:pgNumType w:fmt="upperRoman" w:start="1"/>
          <w:cols w:space="496"/>
          <w:titlePg/>
          <w:docGrid w:linePitch="326"/>
        </w:sectPr>
      </w:pPr>
    </w:p>
    <w:p w14:paraId="6A5F830D" w14:textId="320D656D" w:rsidR="002E482A" w:rsidRPr="00DF3DBD" w:rsidRDefault="002E482A" w:rsidP="009C4EE0">
      <w:pPr>
        <w:numPr>
          <w:ilvl w:val="0"/>
          <w:numId w:val="2"/>
        </w:numPr>
        <w:tabs>
          <w:tab w:val="left" w:pos="-1920"/>
        </w:tabs>
        <w:snapToGrid w:val="0"/>
        <w:spacing w:beforeLines="15" w:before="36" w:afterLines="15" w:after="36" w:line="440" w:lineRule="exact"/>
        <w:jc w:val="both"/>
        <w:outlineLvl w:val="0"/>
        <w:rPr>
          <w:rFonts w:ascii="標楷體" w:eastAsia="標楷體" w:hAnsi="標楷體"/>
          <w:bCs/>
          <w:spacing w:val="-10"/>
          <w:sz w:val="28"/>
          <w:szCs w:val="28"/>
        </w:rPr>
      </w:pPr>
      <w:bookmarkStart w:id="0" w:name="_Toc142463760"/>
      <w:bookmarkStart w:id="1" w:name="_Toc185412376"/>
      <w:bookmarkStart w:id="2" w:name="_Toc185605555"/>
      <w:r w:rsidRPr="00DF3DBD">
        <w:rPr>
          <w:rFonts w:ascii="標楷體" w:eastAsia="標楷體" w:hAnsi="標楷體" w:hint="eastAsia"/>
          <w:bCs/>
          <w:spacing w:val="-10"/>
          <w:sz w:val="28"/>
          <w:szCs w:val="28"/>
        </w:rPr>
        <w:lastRenderedPageBreak/>
        <w:t>前言</w:t>
      </w:r>
      <w:bookmarkEnd w:id="0"/>
      <w:bookmarkEnd w:id="1"/>
      <w:bookmarkEnd w:id="2"/>
    </w:p>
    <w:p w14:paraId="1051B23A" w14:textId="77777777" w:rsidR="00FF578C" w:rsidRPr="00FF578C" w:rsidRDefault="00FF578C" w:rsidP="003213CB">
      <w:pPr>
        <w:snapToGrid w:val="0"/>
        <w:spacing w:beforeLines="15" w:before="36" w:afterLines="15" w:after="36" w:line="440" w:lineRule="exact"/>
        <w:ind w:leftChars="218" w:left="523" w:firstLineChars="200" w:firstLine="560"/>
        <w:jc w:val="both"/>
        <w:rPr>
          <w:rFonts w:ascii="標楷體" w:eastAsia="標楷體" w:hAnsi="標楷體"/>
          <w:bCs/>
          <w:color w:val="000000" w:themeColor="text1"/>
          <w:sz w:val="28"/>
          <w:szCs w:val="36"/>
        </w:rPr>
      </w:pPr>
      <w:r w:rsidRPr="00FF578C">
        <w:rPr>
          <w:rFonts w:ascii="標楷體" w:eastAsia="標楷體" w:hAnsi="標楷體"/>
          <w:bCs/>
          <w:color w:val="000000" w:themeColor="text1"/>
          <w:sz w:val="28"/>
          <w:szCs w:val="36"/>
        </w:rPr>
        <w:t>為因應全球氣候變遷帶來的嚴峻挑戰，追求永續發展已成為國際社會之共識。各國紛紛積極擘劃能源轉型藍圖，尋求兼顧經濟發展、環境保護與能源安全之最佳方案。我國亦不例外，正積極推動能源結構轉型，以期達成2050淨零碳排之長遠目標。在此轉型過程中，除積極發展再生能源外，對於既有核能設施之除役規劃，以及新世代能源技術之評估與應用，亦為至關重要之課題。</w:t>
      </w:r>
    </w:p>
    <w:p w14:paraId="6E7CF8E6" w14:textId="2B4834B6" w:rsidR="00FF578C" w:rsidRPr="00FF578C" w:rsidRDefault="00FF578C" w:rsidP="003213CB">
      <w:pPr>
        <w:snapToGrid w:val="0"/>
        <w:spacing w:beforeLines="15" w:before="36" w:afterLines="15" w:after="36" w:line="440" w:lineRule="exact"/>
        <w:ind w:leftChars="218" w:left="523" w:firstLineChars="200" w:firstLine="560"/>
        <w:jc w:val="both"/>
        <w:rPr>
          <w:rFonts w:ascii="標楷體" w:eastAsia="標楷體" w:hAnsi="標楷體"/>
          <w:bCs/>
          <w:color w:val="000000" w:themeColor="text1"/>
          <w:sz w:val="28"/>
          <w:szCs w:val="36"/>
        </w:rPr>
      </w:pPr>
      <w:r w:rsidRPr="00FF578C">
        <w:rPr>
          <w:rFonts w:ascii="標楷體" w:eastAsia="標楷體" w:hAnsi="標楷體"/>
          <w:bCs/>
          <w:color w:val="000000" w:themeColor="text1"/>
          <w:sz w:val="28"/>
          <w:szCs w:val="36"/>
        </w:rPr>
        <w:t>有鑑於此，</w:t>
      </w:r>
      <w:r>
        <w:rPr>
          <w:rFonts w:ascii="標楷體" w:eastAsia="標楷體" w:hAnsi="標楷體" w:hint="eastAsia"/>
          <w:bCs/>
          <w:color w:val="000000" w:themeColor="text1"/>
          <w:sz w:val="28"/>
          <w:szCs w:val="36"/>
        </w:rPr>
        <w:t>監察</w:t>
      </w:r>
      <w:r w:rsidRPr="00FF578C">
        <w:rPr>
          <w:rFonts w:ascii="標楷體" w:eastAsia="標楷體" w:hAnsi="標楷體"/>
          <w:bCs/>
          <w:color w:val="000000" w:themeColor="text1"/>
          <w:sz w:val="28"/>
          <w:szCs w:val="36"/>
        </w:rPr>
        <w:t>院特啟動「核能電廠除役、轉型與核能安全專業人才確保及運用」及「小型模組化反應器(SMR)等新世代能源評估及運用」</w:t>
      </w:r>
      <w:r>
        <w:rPr>
          <w:rFonts w:ascii="標楷體" w:eastAsia="標楷體" w:hAnsi="標楷體" w:hint="eastAsia"/>
          <w:bCs/>
          <w:color w:val="000000" w:themeColor="text1"/>
          <w:sz w:val="28"/>
          <w:szCs w:val="36"/>
        </w:rPr>
        <w:t>調查案，</w:t>
      </w:r>
      <w:r w:rsidRPr="00FF578C">
        <w:rPr>
          <w:rFonts w:ascii="標楷體" w:eastAsia="標楷體" w:hAnsi="標楷體"/>
          <w:bCs/>
          <w:color w:val="000000" w:themeColor="text1"/>
          <w:sz w:val="28"/>
          <w:szCs w:val="36"/>
        </w:rPr>
        <w:t>旨在</w:t>
      </w:r>
      <w:r>
        <w:rPr>
          <w:rFonts w:ascii="標楷體" w:eastAsia="標楷體" w:hAnsi="標楷體" w:hint="eastAsia"/>
          <w:bCs/>
          <w:color w:val="000000" w:themeColor="text1"/>
          <w:sz w:val="28"/>
          <w:szCs w:val="36"/>
        </w:rPr>
        <w:t>檢討</w:t>
      </w:r>
      <w:r w:rsidRPr="00FF578C">
        <w:rPr>
          <w:rFonts w:ascii="標楷體" w:eastAsia="標楷體" w:hAnsi="標楷體"/>
          <w:bCs/>
          <w:color w:val="000000" w:themeColor="text1"/>
          <w:sz w:val="28"/>
          <w:szCs w:val="36"/>
        </w:rPr>
        <w:t>我國能源政策</w:t>
      </w:r>
      <w:r>
        <w:rPr>
          <w:rFonts w:ascii="標楷體" w:eastAsia="標楷體" w:hAnsi="標楷體" w:hint="eastAsia"/>
          <w:bCs/>
          <w:color w:val="000000" w:themeColor="text1"/>
          <w:sz w:val="28"/>
          <w:szCs w:val="36"/>
        </w:rPr>
        <w:t>及執行現況，透過</w:t>
      </w:r>
      <w:r w:rsidRPr="00FF578C">
        <w:rPr>
          <w:rFonts w:ascii="標楷體" w:eastAsia="標楷體" w:hAnsi="標楷體"/>
          <w:bCs/>
          <w:color w:val="000000" w:themeColor="text1"/>
          <w:sz w:val="28"/>
          <w:szCs w:val="36"/>
        </w:rPr>
        <w:t>瞭解國際間核能電廠除役之實務經驗、新世代能源發展之趨勢，並汲取相關技術發展之經驗</w:t>
      </w:r>
      <w:r>
        <w:rPr>
          <w:rFonts w:ascii="標楷體" w:eastAsia="標楷體" w:hAnsi="標楷體" w:hint="eastAsia"/>
          <w:bCs/>
          <w:color w:val="000000" w:themeColor="text1"/>
          <w:sz w:val="28"/>
          <w:szCs w:val="36"/>
        </w:rPr>
        <w:t>。</w:t>
      </w:r>
      <w:r w:rsidRPr="00FF578C">
        <w:rPr>
          <w:rFonts w:ascii="標楷體" w:eastAsia="標楷體" w:hAnsi="標楷體"/>
          <w:bCs/>
          <w:color w:val="000000" w:themeColor="text1"/>
          <w:sz w:val="28"/>
          <w:szCs w:val="36"/>
        </w:rPr>
        <w:t>在「核能電廠除役、轉型與核能安全專業人才確保及運用」案中，</w:t>
      </w:r>
      <w:r>
        <w:rPr>
          <w:rFonts w:ascii="標楷體" w:eastAsia="標楷體" w:hAnsi="標楷體" w:hint="eastAsia"/>
          <w:bCs/>
          <w:color w:val="000000" w:themeColor="text1"/>
          <w:sz w:val="28"/>
          <w:szCs w:val="36"/>
        </w:rPr>
        <w:t>監察院於</w:t>
      </w:r>
      <w:r w:rsidRPr="00FF578C">
        <w:rPr>
          <w:rFonts w:ascii="標楷體" w:eastAsia="標楷體" w:hAnsi="標楷體"/>
          <w:bCs/>
          <w:color w:val="000000" w:themeColor="text1"/>
          <w:sz w:val="28"/>
          <w:szCs w:val="36"/>
        </w:rPr>
        <w:t>113年7月19日函請外交部協助蒐集世界各國核能除役及新世代能源發展之相關資訊，並於同年8月15日函詢相關主管機關，以期掌握第一手資訊。初步調查結果顯示，日本</w:t>
      </w:r>
      <w:r w:rsidR="006A02C0">
        <w:rPr>
          <w:rFonts w:ascii="標楷體" w:eastAsia="標楷體" w:hAnsi="標楷體"/>
          <w:bCs/>
          <w:color w:val="000000" w:themeColor="text1"/>
          <w:sz w:val="28"/>
          <w:szCs w:val="36"/>
        </w:rPr>
        <w:t>核能</w:t>
      </w:r>
      <w:r w:rsidRPr="00FF578C">
        <w:rPr>
          <w:rFonts w:ascii="標楷體" w:eastAsia="標楷體" w:hAnsi="標楷體"/>
          <w:bCs/>
          <w:color w:val="000000" w:themeColor="text1"/>
          <w:sz w:val="28"/>
          <w:szCs w:val="36"/>
        </w:rPr>
        <w:t>規制委員會(Nuclear Regulation Authority, NRA)為該國核能電力之主管機關。西元2011年3月發生東日本大地震，引發福島第一核電廠之嚴重核災事故，日本政府遂下令暫停所有核電廠之運轉。歷經多年之檢視與改善，目前已有部分機組恢復運轉，然仍有部分機組尚在審查及批准程序中，其除役流程大致包含「提出除役計畫」、「取出核燃料」、「汙染調查及除汙」、「拆除</w:t>
      </w:r>
      <w:r w:rsidR="00A95445">
        <w:rPr>
          <w:rFonts w:ascii="標楷體" w:eastAsia="標楷體" w:hAnsi="標楷體"/>
          <w:bCs/>
          <w:color w:val="000000" w:themeColor="text1"/>
          <w:sz w:val="28"/>
          <w:szCs w:val="36"/>
        </w:rPr>
        <w:t>反應器</w:t>
      </w:r>
      <w:r w:rsidRPr="00FF578C">
        <w:rPr>
          <w:rFonts w:ascii="標楷體" w:eastAsia="標楷體" w:hAnsi="標楷體"/>
          <w:bCs/>
          <w:color w:val="000000" w:themeColor="text1"/>
          <w:sz w:val="28"/>
          <w:szCs w:val="36"/>
        </w:rPr>
        <w:t>」及「拆除廠房建築」等階段，整體除役期程預估需時30至40年。為確保除役作業之安全與效率，日本亦制定「長期設施管理計畫」，以每次准許運轉10年為單位進行嚴格管控，並成立日本</w:t>
      </w:r>
      <w:r w:rsidR="006A02C0">
        <w:rPr>
          <w:rFonts w:ascii="標楷體" w:eastAsia="標楷體" w:hAnsi="標楷體"/>
          <w:bCs/>
          <w:color w:val="000000" w:themeColor="text1"/>
          <w:sz w:val="28"/>
          <w:szCs w:val="36"/>
        </w:rPr>
        <w:t>核能</w:t>
      </w:r>
      <w:r w:rsidRPr="00FF578C">
        <w:rPr>
          <w:rFonts w:ascii="標楷體" w:eastAsia="標楷體" w:hAnsi="標楷體"/>
          <w:bCs/>
          <w:color w:val="000000" w:themeColor="text1"/>
          <w:sz w:val="28"/>
          <w:szCs w:val="36"/>
        </w:rPr>
        <w:t>除役研究會(Association for Nuclear Decommissioning Study, ANDES)等相關機構，專責研究與推動除役相關事宜</w:t>
      </w:r>
      <w:r>
        <w:rPr>
          <w:rFonts w:ascii="標楷體" w:eastAsia="標楷體" w:hAnsi="標楷體" w:hint="eastAsia"/>
          <w:bCs/>
          <w:color w:val="000000" w:themeColor="text1"/>
          <w:sz w:val="28"/>
          <w:szCs w:val="36"/>
        </w:rPr>
        <w:t>，</w:t>
      </w:r>
      <w:r w:rsidRPr="00FF578C">
        <w:rPr>
          <w:rFonts w:ascii="標楷體" w:eastAsia="標楷體" w:hAnsi="標楷體"/>
          <w:bCs/>
          <w:color w:val="000000" w:themeColor="text1"/>
          <w:sz w:val="28"/>
          <w:szCs w:val="36"/>
        </w:rPr>
        <w:t>此等經驗與制度，足堪我國</w:t>
      </w:r>
      <w:r w:rsidR="00566602">
        <w:rPr>
          <w:rFonts w:ascii="標楷體" w:eastAsia="標楷體" w:hAnsi="標楷體" w:hint="eastAsia"/>
          <w:bCs/>
          <w:color w:val="000000" w:themeColor="text1"/>
          <w:sz w:val="28"/>
          <w:szCs w:val="36"/>
        </w:rPr>
        <w:t>參酌</w:t>
      </w:r>
      <w:r w:rsidRPr="00FF578C">
        <w:rPr>
          <w:rFonts w:ascii="標楷體" w:eastAsia="標楷體" w:hAnsi="標楷體"/>
          <w:bCs/>
          <w:color w:val="000000" w:themeColor="text1"/>
          <w:sz w:val="28"/>
          <w:szCs w:val="36"/>
        </w:rPr>
        <w:t>。</w:t>
      </w:r>
    </w:p>
    <w:p w14:paraId="0F0CFC79" w14:textId="18FC51D6" w:rsidR="00FF578C" w:rsidRPr="00FF578C" w:rsidRDefault="00FF578C" w:rsidP="003213CB">
      <w:pPr>
        <w:snapToGrid w:val="0"/>
        <w:spacing w:beforeLines="15" w:before="36" w:afterLines="15" w:after="36" w:line="440" w:lineRule="exact"/>
        <w:ind w:leftChars="218" w:left="523" w:firstLineChars="200" w:firstLine="560"/>
        <w:jc w:val="both"/>
        <w:rPr>
          <w:rFonts w:ascii="標楷體" w:eastAsia="標楷體" w:hAnsi="標楷體"/>
          <w:bCs/>
          <w:color w:val="000000" w:themeColor="text1"/>
          <w:sz w:val="28"/>
          <w:szCs w:val="36"/>
        </w:rPr>
      </w:pPr>
      <w:r w:rsidRPr="00FF578C">
        <w:rPr>
          <w:rFonts w:ascii="標楷體" w:eastAsia="標楷體" w:hAnsi="標楷體"/>
          <w:bCs/>
          <w:color w:val="000000" w:themeColor="text1"/>
          <w:sz w:val="28"/>
          <w:szCs w:val="36"/>
        </w:rPr>
        <w:t>另一方面，在「小型模組化反應器(SMR)等新世代能源評估及運用」案中，</w:t>
      </w:r>
      <w:r>
        <w:rPr>
          <w:rFonts w:ascii="標楷體" w:eastAsia="標楷體" w:hAnsi="標楷體" w:hint="eastAsia"/>
          <w:bCs/>
          <w:color w:val="000000" w:themeColor="text1"/>
          <w:sz w:val="28"/>
          <w:szCs w:val="36"/>
        </w:rPr>
        <w:t>監察</w:t>
      </w:r>
      <w:r w:rsidRPr="00FF578C">
        <w:rPr>
          <w:rFonts w:ascii="標楷體" w:eastAsia="標楷體" w:hAnsi="標楷體"/>
          <w:bCs/>
          <w:color w:val="000000" w:themeColor="text1"/>
          <w:sz w:val="28"/>
          <w:szCs w:val="36"/>
        </w:rPr>
        <w:t>院於113年7月26日通知經濟部暨所屬能源署、台灣電力股份有限公司、核能安全委員會、國家原子能科技研究院、國家科學及技術委員會、國家發展委員會等相關機關</w:t>
      </w:r>
      <w:r w:rsidR="00B329F1">
        <w:rPr>
          <w:rFonts w:ascii="標楷體" w:eastAsia="標楷體" w:hAnsi="標楷體" w:hint="eastAsia"/>
          <w:bCs/>
          <w:color w:val="000000" w:themeColor="text1"/>
          <w:sz w:val="28"/>
          <w:szCs w:val="36"/>
        </w:rPr>
        <w:t>到</w:t>
      </w:r>
      <w:r w:rsidRPr="00FF578C">
        <w:rPr>
          <w:rFonts w:ascii="標楷體" w:eastAsia="標楷體" w:hAnsi="標楷體"/>
          <w:bCs/>
          <w:color w:val="000000" w:themeColor="text1"/>
          <w:sz w:val="28"/>
          <w:szCs w:val="36"/>
        </w:rPr>
        <w:t>院進行簡報，並於同年8月28日函詢各該主管機關，以期廣納各方意見。初步調查發現，目前國</w:t>
      </w:r>
      <w:r w:rsidRPr="00FF578C">
        <w:rPr>
          <w:rFonts w:ascii="標楷體" w:eastAsia="標楷體" w:hAnsi="標楷體"/>
          <w:bCs/>
          <w:color w:val="000000" w:themeColor="text1"/>
          <w:sz w:val="28"/>
          <w:szCs w:val="36"/>
        </w:rPr>
        <w:lastRenderedPageBreak/>
        <w:t>際間已有3部</w:t>
      </w:r>
      <w:r w:rsidR="00566602">
        <w:rPr>
          <w:rFonts w:ascii="標楷體" w:eastAsia="標楷體" w:hAnsi="標楷體"/>
          <w:bCs/>
          <w:color w:val="000000" w:themeColor="text1"/>
          <w:sz w:val="28"/>
          <w:szCs w:val="36"/>
        </w:rPr>
        <w:t>小型模組化反應器(SMR)</w:t>
      </w:r>
      <w:r w:rsidRPr="00FF578C">
        <w:rPr>
          <w:rFonts w:ascii="標楷體" w:eastAsia="標楷體" w:hAnsi="標楷體"/>
          <w:bCs/>
          <w:color w:val="000000" w:themeColor="text1"/>
          <w:sz w:val="28"/>
          <w:szCs w:val="36"/>
        </w:rPr>
        <w:t>處於運轉狀態，分別位於日本茨城縣(由日本</w:t>
      </w:r>
      <w:r w:rsidR="006A02C0">
        <w:rPr>
          <w:rFonts w:ascii="標楷體" w:eastAsia="標楷體" w:hAnsi="標楷體"/>
          <w:bCs/>
          <w:color w:val="000000" w:themeColor="text1"/>
          <w:sz w:val="28"/>
          <w:szCs w:val="36"/>
        </w:rPr>
        <w:t>核能</w:t>
      </w:r>
      <w:r w:rsidRPr="00FF578C">
        <w:rPr>
          <w:rFonts w:ascii="標楷體" w:eastAsia="標楷體" w:hAnsi="標楷體"/>
          <w:bCs/>
          <w:color w:val="000000" w:themeColor="text1"/>
          <w:sz w:val="28"/>
          <w:szCs w:val="36"/>
        </w:rPr>
        <w:t>研究開發機構JAEA營運)、中國大陸山東石島灣以及俄羅斯。</w:t>
      </w:r>
      <w:r w:rsidR="00566602">
        <w:rPr>
          <w:rFonts w:ascii="標楷體" w:eastAsia="標楷體" w:hAnsi="標楷體"/>
          <w:bCs/>
          <w:color w:val="000000" w:themeColor="text1"/>
          <w:sz w:val="28"/>
          <w:szCs w:val="36"/>
        </w:rPr>
        <w:t>小型模組化反應器(SMR)</w:t>
      </w:r>
      <w:r w:rsidRPr="00FF578C">
        <w:rPr>
          <w:rFonts w:ascii="標楷體" w:eastAsia="標楷體" w:hAnsi="標楷體"/>
          <w:bCs/>
          <w:color w:val="000000" w:themeColor="text1"/>
          <w:sz w:val="28"/>
          <w:szCs w:val="36"/>
        </w:rPr>
        <w:t>因其模組化、安全性高等特性，被視為未來能源發展之潛力選項之一，其發展動向值得密切關注。考量我國與日本在地理位置上同處環太平洋地震帶，面臨相似之地質風險，且兩國在社經發展特性上亦有諸多共通之處。特別是在推動2050淨零碳排路徑之過程中，再生能源之發展扮演著舉足輕重之角色。如何有效突破新世代能源之技術瓶頸，加速相關技術之發展與應用，實為當務之急。日本在此領域之相關技術、研發成果及發展情形，對於我國而言，具有高度之參考價值與學習意義。</w:t>
      </w:r>
    </w:p>
    <w:p w14:paraId="74CAC9E1" w14:textId="5015DE5C" w:rsidR="00FF578C" w:rsidRDefault="00FF578C" w:rsidP="003213CB">
      <w:pPr>
        <w:snapToGrid w:val="0"/>
        <w:spacing w:beforeLines="15" w:before="36" w:afterLines="15" w:after="36" w:line="440" w:lineRule="exact"/>
        <w:ind w:leftChars="218" w:left="523" w:firstLineChars="200" w:firstLine="560"/>
        <w:jc w:val="both"/>
        <w:rPr>
          <w:rFonts w:ascii="標楷體" w:eastAsia="標楷體" w:hAnsi="標楷體"/>
          <w:bCs/>
          <w:color w:val="000000" w:themeColor="text1"/>
          <w:sz w:val="28"/>
          <w:szCs w:val="36"/>
        </w:rPr>
      </w:pPr>
      <w:r w:rsidRPr="00FF578C">
        <w:rPr>
          <w:rFonts w:ascii="標楷體" w:eastAsia="標楷體" w:hAnsi="標楷體"/>
          <w:bCs/>
          <w:color w:val="000000" w:themeColor="text1"/>
          <w:sz w:val="28"/>
          <w:szCs w:val="36"/>
        </w:rPr>
        <w:t>基於上述考量，本次考察特別選擇前往日本，並安排參訪</w:t>
      </w:r>
      <w:r w:rsidR="00566602">
        <w:rPr>
          <w:rFonts w:ascii="標楷體" w:eastAsia="標楷體" w:hAnsi="標楷體"/>
          <w:bCs/>
          <w:color w:val="000000" w:themeColor="text1"/>
          <w:sz w:val="28"/>
          <w:szCs w:val="36"/>
        </w:rPr>
        <w:t>東京電力公司(TEPCO)</w:t>
      </w:r>
      <w:r>
        <w:rPr>
          <w:rFonts w:ascii="標楷體" w:eastAsia="標楷體" w:hAnsi="標楷體" w:hint="eastAsia"/>
          <w:bCs/>
          <w:color w:val="000000" w:themeColor="text1"/>
          <w:sz w:val="28"/>
          <w:szCs w:val="36"/>
        </w:rPr>
        <w:t>、</w:t>
      </w:r>
      <w:r w:rsidRPr="00FF578C">
        <w:rPr>
          <w:rFonts w:ascii="標楷體" w:eastAsia="標楷體" w:hAnsi="標楷體"/>
          <w:bCs/>
          <w:color w:val="000000" w:themeColor="text1"/>
          <w:sz w:val="28"/>
          <w:szCs w:val="36"/>
        </w:rPr>
        <w:t>日本</w:t>
      </w:r>
      <w:r w:rsidR="006A02C0">
        <w:rPr>
          <w:rFonts w:ascii="標楷體" w:eastAsia="標楷體" w:hAnsi="標楷體"/>
          <w:bCs/>
          <w:color w:val="000000" w:themeColor="text1"/>
          <w:sz w:val="28"/>
          <w:szCs w:val="36"/>
        </w:rPr>
        <w:t>核能</w:t>
      </w:r>
      <w:r w:rsidRPr="00FF578C">
        <w:rPr>
          <w:rFonts w:ascii="標楷體" w:eastAsia="標楷體" w:hAnsi="標楷體"/>
          <w:bCs/>
          <w:color w:val="000000" w:themeColor="text1"/>
          <w:sz w:val="28"/>
          <w:szCs w:val="36"/>
        </w:rPr>
        <w:t>研究開發機構JAEA，期盼透過與專家進行深度之意見交流，汲取其在能源開發技術發展方面之寶貴經驗與回饋，並深入瞭解日本在核能除役方面之具體作法與經驗，以作為</w:t>
      </w:r>
      <w:r>
        <w:rPr>
          <w:rFonts w:ascii="標楷體" w:eastAsia="標楷體" w:hAnsi="標楷體" w:hint="eastAsia"/>
          <w:bCs/>
          <w:color w:val="000000" w:themeColor="text1"/>
          <w:sz w:val="28"/>
          <w:szCs w:val="36"/>
        </w:rPr>
        <w:t>檢視</w:t>
      </w:r>
      <w:r w:rsidRPr="00FF578C">
        <w:rPr>
          <w:rFonts w:ascii="標楷體" w:eastAsia="標楷體" w:hAnsi="標楷體"/>
          <w:bCs/>
          <w:color w:val="000000" w:themeColor="text1"/>
          <w:sz w:val="28"/>
          <w:szCs w:val="36"/>
        </w:rPr>
        <w:t>我國相關政策規劃之重要參考依據。本次考察期間，所參訪之設施及單位主要位於東京都附近，行程安排相當緊湊。在此，謹向中華民國駐日本國</w:t>
      </w:r>
      <w:r>
        <w:rPr>
          <w:rFonts w:ascii="標楷體" w:eastAsia="標楷體" w:hAnsi="標楷體" w:hint="eastAsia"/>
          <w:bCs/>
          <w:color w:val="000000" w:themeColor="text1"/>
          <w:sz w:val="28"/>
          <w:szCs w:val="36"/>
        </w:rPr>
        <w:t>臺</w:t>
      </w:r>
      <w:r w:rsidRPr="00FF578C">
        <w:rPr>
          <w:rFonts w:ascii="標楷體" w:eastAsia="標楷體" w:hAnsi="標楷體"/>
          <w:bCs/>
          <w:color w:val="000000" w:themeColor="text1"/>
          <w:sz w:val="28"/>
          <w:szCs w:val="36"/>
        </w:rPr>
        <w:t>北文化經濟代表處李逸洋大使表達由衷之感謝，感謝大使於考察期間協助安排機場交通接駁等事宜，使本次考察任務得以順利且圓滿完成。</w:t>
      </w:r>
    </w:p>
    <w:p w14:paraId="731768E8" w14:textId="77777777" w:rsidR="00FC7D44" w:rsidRPr="00DF3DBD" w:rsidRDefault="00BD6001" w:rsidP="009C4EE0">
      <w:pPr>
        <w:numPr>
          <w:ilvl w:val="0"/>
          <w:numId w:val="2"/>
        </w:numPr>
        <w:tabs>
          <w:tab w:val="left" w:pos="-1920"/>
        </w:tabs>
        <w:snapToGrid w:val="0"/>
        <w:spacing w:beforeLines="15" w:before="36" w:afterLines="15" w:after="36" w:line="440" w:lineRule="exact"/>
        <w:jc w:val="both"/>
        <w:outlineLvl w:val="0"/>
        <w:rPr>
          <w:rFonts w:ascii="標楷體" w:eastAsia="標楷體" w:hAnsi="標楷體"/>
          <w:bCs/>
          <w:spacing w:val="-10"/>
          <w:sz w:val="28"/>
          <w:szCs w:val="28"/>
        </w:rPr>
      </w:pPr>
      <w:bookmarkStart w:id="3" w:name="_Toc142463761"/>
      <w:bookmarkStart w:id="4" w:name="_Toc185412377"/>
      <w:bookmarkStart w:id="5" w:name="_Toc185605556"/>
      <w:r w:rsidRPr="00DF3DBD">
        <w:rPr>
          <w:rFonts w:ascii="標楷體" w:eastAsia="標楷體" w:hAnsi="標楷體" w:hint="eastAsia"/>
          <w:bCs/>
          <w:spacing w:val="-10"/>
          <w:sz w:val="28"/>
          <w:szCs w:val="28"/>
        </w:rPr>
        <w:t>考察洽公重點</w:t>
      </w:r>
      <w:r w:rsidR="00FC7D44" w:rsidRPr="00DF3DBD">
        <w:rPr>
          <w:rFonts w:ascii="標楷體" w:eastAsia="標楷體" w:hAnsi="標楷體" w:hint="eastAsia"/>
          <w:bCs/>
          <w:spacing w:val="-10"/>
          <w:sz w:val="28"/>
          <w:szCs w:val="28"/>
        </w:rPr>
        <w:t>與行程</w:t>
      </w:r>
      <w:bookmarkEnd w:id="3"/>
      <w:bookmarkEnd w:id="4"/>
      <w:bookmarkEnd w:id="5"/>
    </w:p>
    <w:p w14:paraId="642090AD" w14:textId="77777777" w:rsidR="00BD6001" w:rsidRPr="00DF3DBD" w:rsidRDefault="00BD6001" w:rsidP="009C4EE0">
      <w:pPr>
        <w:numPr>
          <w:ilvl w:val="1"/>
          <w:numId w:val="2"/>
        </w:numPr>
        <w:tabs>
          <w:tab w:val="left" w:pos="-1920"/>
        </w:tabs>
        <w:snapToGrid w:val="0"/>
        <w:spacing w:beforeLines="15" w:before="36" w:afterLines="15" w:after="36" w:line="440" w:lineRule="exact"/>
        <w:ind w:leftChars="100" w:left="807"/>
        <w:jc w:val="both"/>
        <w:outlineLvl w:val="1"/>
        <w:rPr>
          <w:rFonts w:ascii="標楷體" w:eastAsia="標楷體" w:hAnsi="標楷體"/>
          <w:bCs/>
          <w:sz w:val="28"/>
          <w:szCs w:val="28"/>
        </w:rPr>
      </w:pPr>
      <w:bookmarkStart w:id="6" w:name="_Toc142463762"/>
      <w:bookmarkStart w:id="7" w:name="_Toc185412378"/>
      <w:r w:rsidRPr="00DF3DBD">
        <w:rPr>
          <w:rFonts w:ascii="標楷體" w:eastAsia="標楷體" w:hAnsi="標楷體" w:hint="eastAsia"/>
          <w:bCs/>
          <w:sz w:val="28"/>
          <w:szCs w:val="28"/>
        </w:rPr>
        <w:t>考察重點</w:t>
      </w:r>
      <w:bookmarkEnd w:id="6"/>
      <w:bookmarkEnd w:id="7"/>
    </w:p>
    <w:p w14:paraId="5DC53F96" w14:textId="132B3412" w:rsidR="006B22EC" w:rsidRPr="002A4102" w:rsidRDefault="006B22EC" w:rsidP="009C4EE0">
      <w:pPr>
        <w:numPr>
          <w:ilvl w:val="2"/>
          <w:numId w:val="2"/>
        </w:numPr>
        <w:tabs>
          <w:tab w:val="left" w:pos="-1920"/>
        </w:tabs>
        <w:snapToGrid w:val="0"/>
        <w:spacing w:beforeLines="15" w:before="36" w:afterLines="15" w:after="36" w:line="440" w:lineRule="exact"/>
        <w:ind w:left="1162" w:hanging="482"/>
        <w:jc w:val="both"/>
        <w:outlineLvl w:val="2"/>
        <w:rPr>
          <w:rFonts w:ascii="標楷體" w:eastAsia="標楷體" w:hAnsi="標楷體"/>
          <w:bCs/>
          <w:sz w:val="28"/>
          <w:szCs w:val="36"/>
        </w:rPr>
      </w:pPr>
      <w:r w:rsidRPr="002A4102">
        <w:rPr>
          <w:rFonts w:ascii="標楷體" w:eastAsia="標楷體" w:hAnsi="標楷體" w:hint="eastAsia"/>
          <w:bCs/>
          <w:sz w:val="28"/>
          <w:szCs w:val="36"/>
        </w:rPr>
        <w:t>除役之核能人才育成</w:t>
      </w:r>
    </w:p>
    <w:p w14:paraId="50EA68DD" w14:textId="77777777" w:rsidR="00F81A49" w:rsidRPr="002A4102" w:rsidRDefault="00F81A49" w:rsidP="009C4EE0">
      <w:pPr>
        <w:pStyle w:val="af4"/>
        <w:numPr>
          <w:ilvl w:val="3"/>
          <w:numId w:val="2"/>
        </w:numPr>
        <w:tabs>
          <w:tab w:val="left" w:pos="-1920"/>
        </w:tabs>
        <w:snapToGrid w:val="0"/>
        <w:spacing w:beforeLines="15" w:before="36" w:afterLines="15" w:after="36" w:line="440" w:lineRule="exact"/>
        <w:ind w:leftChars="472" w:left="1416" w:hangingChars="101" w:hanging="283"/>
        <w:jc w:val="both"/>
        <w:outlineLvl w:val="2"/>
        <w:rPr>
          <w:rFonts w:ascii="標楷體" w:eastAsia="標楷體" w:hAnsi="標楷體"/>
          <w:bCs/>
          <w:sz w:val="28"/>
          <w:szCs w:val="36"/>
        </w:rPr>
      </w:pPr>
      <w:r w:rsidRPr="002A4102">
        <w:rPr>
          <w:rFonts w:ascii="標楷體" w:eastAsia="標楷體" w:hAnsi="標楷體" w:hint="eastAsia"/>
          <w:bCs/>
          <w:sz w:val="28"/>
          <w:szCs w:val="36"/>
        </w:rPr>
        <w:t>日本核能營運現況</w:t>
      </w:r>
    </w:p>
    <w:p w14:paraId="2671D28E" w14:textId="63CBE4E3" w:rsidR="006B22EC" w:rsidRPr="002A4102" w:rsidRDefault="006B22EC" w:rsidP="009C4EE0">
      <w:pPr>
        <w:pStyle w:val="af4"/>
        <w:numPr>
          <w:ilvl w:val="3"/>
          <w:numId w:val="2"/>
        </w:numPr>
        <w:tabs>
          <w:tab w:val="left" w:pos="-1920"/>
        </w:tabs>
        <w:snapToGrid w:val="0"/>
        <w:spacing w:beforeLines="15" w:before="36" w:afterLines="15" w:after="36" w:line="440" w:lineRule="exact"/>
        <w:ind w:leftChars="472" w:left="1416" w:hangingChars="101" w:hanging="283"/>
        <w:jc w:val="both"/>
        <w:outlineLvl w:val="2"/>
        <w:rPr>
          <w:rFonts w:ascii="標楷體" w:eastAsia="標楷體" w:hAnsi="標楷體"/>
          <w:bCs/>
          <w:sz w:val="28"/>
          <w:szCs w:val="36"/>
        </w:rPr>
      </w:pPr>
      <w:r w:rsidRPr="002A4102">
        <w:rPr>
          <w:rFonts w:ascii="標楷體" w:eastAsia="標楷體" w:hAnsi="標楷體" w:hint="eastAsia"/>
          <w:bCs/>
          <w:sz w:val="28"/>
          <w:szCs w:val="36"/>
        </w:rPr>
        <w:t>日本</w:t>
      </w:r>
      <w:r w:rsidRPr="002A4102">
        <w:rPr>
          <w:rFonts w:ascii="標楷體" w:eastAsia="標楷體" w:hAnsi="標楷體"/>
          <w:bCs/>
          <w:sz w:val="28"/>
          <w:szCs w:val="36"/>
        </w:rPr>
        <w:t>在核電廠陸續除役的情況下</w:t>
      </w:r>
      <w:r w:rsidRPr="002A4102">
        <w:rPr>
          <w:rFonts w:ascii="標楷體" w:eastAsia="標楷體" w:hAnsi="標楷體" w:hint="eastAsia"/>
          <w:bCs/>
          <w:sz w:val="28"/>
          <w:szCs w:val="36"/>
        </w:rPr>
        <w:t>，</w:t>
      </w:r>
      <w:r w:rsidRPr="002A4102">
        <w:rPr>
          <w:rFonts w:ascii="標楷體" w:eastAsia="標楷體" w:hAnsi="標楷體"/>
          <w:bCs/>
          <w:sz w:val="28"/>
          <w:szCs w:val="36"/>
        </w:rPr>
        <w:t>維持核能安全技術量能和人力資源。</w:t>
      </w:r>
    </w:p>
    <w:p w14:paraId="4606A450" w14:textId="77777777" w:rsidR="00F81A49" w:rsidRPr="002A4102" w:rsidRDefault="00F81A49" w:rsidP="009C4EE0">
      <w:pPr>
        <w:pStyle w:val="af4"/>
        <w:numPr>
          <w:ilvl w:val="3"/>
          <w:numId w:val="2"/>
        </w:numPr>
        <w:tabs>
          <w:tab w:val="left" w:pos="-1920"/>
        </w:tabs>
        <w:snapToGrid w:val="0"/>
        <w:spacing w:beforeLines="15" w:before="36" w:afterLines="15" w:after="36" w:line="440" w:lineRule="exact"/>
        <w:ind w:leftChars="472" w:left="1416" w:hangingChars="101" w:hanging="283"/>
        <w:jc w:val="both"/>
        <w:outlineLvl w:val="2"/>
        <w:rPr>
          <w:rFonts w:ascii="標楷體" w:eastAsia="標楷體" w:hAnsi="標楷體"/>
          <w:bCs/>
          <w:sz w:val="28"/>
          <w:szCs w:val="36"/>
        </w:rPr>
      </w:pPr>
      <w:r w:rsidRPr="002A4102">
        <w:rPr>
          <w:rFonts w:ascii="標楷體" w:eastAsia="標楷體" w:hAnsi="標楷體"/>
          <w:bCs/>
          <w:sz w:val="28"/>
          <w:szCs w:val="36"/>
        </w:rPr>
        <w:t>核廢料處理問題。</w:t>
      </w:r>
    </w:p>
    <w:p w14:paraId="2BC5D099" w14:textId="4BC5C6CB" w:rsidR="00F81A49" w:rsidRPr="002A4102" w:rsidRDefault="00F81A49" w:rsidP="009C4EE0">
      <w:pPr>
        <w:pStyle w:val="af4"/>
        <w:numPr>
          <w:ilvl w:val="3"/>
          <w:numId w:val="2"/>
        </w:numPr>
        <w:tabs>
          <w:tab w:val="left" w:pos="-1920"/>
        </w:tabs>
        <w:snapToGrid w:val="0"/>
        <w:spacing w:beforeLines="15" w:before="36" w:afterLines="15" w:after="36" w:line="440" w:lineRule="exact"/>
        <w:ind w:leftChars="472" w:left="1416" w:hangingChars="101" w:hanging="283"/>
        <w:jc w:val="both"/>
        <w:outlineLvl w:val="2"/>
        <w:rPr>
          <w:rFonts w:ascii="標楷體" w:eastAsia="標楷體" w:hAnsi="標楷體"/>
          <w:bCs/>
          <w:sz w:val="28"/>
          <w:szCs w:val="36"/>
        </w:rPr>
      </w:pPr>
      <w:r w:rsidRPr="002A4102">
        <w:rPr>
          <w:rFonts w:ascii="標楷體" w:eastAsia="標楷體" w:hAnsi="標楷體"/>
          <w:bCs/>
          <w:sz w:val="28"/>
          <w:szCs w:val="36"/>
        </w:rPr>
        <w:t>淨零路徑與能源配比</w:t>
      </w:r>
    </w:p>
    <w:p w14:paraId="5EE04690" w14:textId="38E3C281" w:rsidR="00F81A49" w:rsidRPr="002A4102" w:rsidRDefault="00F81A49" w:rsidP="009C4EE0">
      <w:pPr>
        <w:pStyle w:val="af4"/>
        <w:numPr>
          <w:ilvl w:val="4"/>
          <w:numId w:val="2"/>
        </w:numPr>
        <w:tabs>
          <w:tab w:val="left" w:pos="-1920"/>
        </w:tabs>
        <w:snapToGrid w:val="0"/>
        <w:spacing w:beforeLines="15" w:before="36" w:afterLines="15" w:after="36" w:line="440" w:lineRule="exact"/>
        <w:ind w:leftChars="0" w:left="1729" w:hanging="482"/>
        <w:jc w:val="both"/>
        <w:outlineLvl w:val="2"/>
        <w:rPr>
          <w:rFonts w:ascii="標楷體" w:eastAsia="標楷體" w:hAnsi="標楷體"/>
          <w:bCs/>
          <w:sz w:val="28"/>
          <w:szCs w:val="36"/>
        </w:rPr>
      </w:pPr>
      <w:r w:rsidRPr="002A4102">
        <w:rPr>
          <w:rFonts w:ascii="標楷體" w:eastAsia="標楷體" w:hAnsi="標楷體"/>
          <w:bCs/>
          <w:sz w:val="28"/>
          <w:szCs w:val="36"/>
        </w:rPr>
        <w:t>淨零路徑中加入核能的可行性評估。</w:t>
      </w:r>
    </w:p>
    <w:p w14:paraId="5CFFD901" w14:textId="77777777" w:rsidR="00F81A49" w:rsidRPr="002A4102" w:rsidRDefault="00F81A49" w:rsidP="009C4EE0">
      <w:pPr>
        <w:pStyle w:val="af4"/>
        <w:numPr>
          <w:ilvl w:val="4"/>
          <w:numId w:val="2"/>
        </w:numPr>
        <w:tabs>
          <w:tab w:val="left" w:pos="-1920"/>
        </w:tabs>
        <w:snapToGrid w:val="0"/>
        <w:spacing w:beforeLines="15" w:before="36" w:afterLines="15" w:after="36" w:line="440" w:lineRule="exact"/>
        <w:ind w:leftChars="0" w:left="1729" w:hanging="482"/>
        <w:jc w:val="both"/>
        <w:outlineLvl w:val="2"/>
        <w:rPr>
          <w:rFonts w:ascii="標楷體" w:eastAsia="標楷體" w:hAnsi="標楷體"/>
          <w:bCs/>
          <w:sz w:val="28"/>
          <w:szCs w:val="36"/>
        </w:rPr>
      </w:pPr>
      <w:r w:rsidRPr="002A4102">
        <w:rPr>
          <w:rFonts w:ascii="標楷體" w:eastAsia="標楷體" w:hAnsi="標楷體"/>
          <w:bCs/>
          <w:sz w:val="28"/>
          <w:szCs w:val="36"/>
        </w:rPr>
        <w:t>再生能源占比的合理性與電網穩定性評估。</w:t>
      </w:r>
    </w:p>
    <w:p w14:paraId="5E34DB45" w14:textId="77777777" w:rsidR="00F81A49" w:rsidRPr="002A4102" w:rsidRDefault="00F81A49" w:rsidP="009C4EE0">
      <w:pPr>
        <w:pStyle w:val="af4"/>
        <w:numPr>
          <w:ilvl w:val="4"/>
          <w:numId w:val="2"/>
        </w:numPr>
        <w:tabs>
          <w:tab w:val="left" w:pos="-1920"/>
        </w:tabs>
        <w:snapToGrid w:val="0"/>
        <w:spacing w:beforeLines="15" w:before="36" w:afterLines="15" w:after="36" w:line="440" w:lineRule="exact"/>
        <w:ind w:leftChars="0" w:left="1729" w:hanging="482"/>
        <w:jc w:val="both"/>
        <w:outlineLvl w:val="2"/>
        <w:rPr>
          <w:rFonts w:ascii="標楷體" w:eastAsia="標楷體" w:hAnsi="標楷體"/>
          <w:bCs/>
          <w:sz w:val="28"/>
          <w:szCs w:val="36"/>
        </w:rPr>
      </w:pPr>
      <w:r w:rsidRPr="002A4102">
        <w:rPr>
          <w:rFonts w:ascii="標楷體" w:eastAsia="標楷體" w:hAnsi="標楷體"/>
          <w:bCs/>
          <w:sz w:val="28"/>
          <w:szCs w:val="36"/>
        </w:rPr>
        <w:t>高比例再生能源的能源安全風險評估。</w:t>
      </w:r>
    </w:p>
    <w:p w14:paraId="1FA5015F" w14:textId="06D96468" w:rsidR="00F81A49" w:rsidRPr="002A4102" w:rsidRDefault="00F81A49" w:rsidP="009C4EE0">
      <w:pPr>
        <w:pStyle w:val="af4"/>
        <w:numPr>
          <w:ilvl w:val="4"/>
          <w:numId w:val="2"/>
        </w:numPr>
        <w:tabs>
          <w:tab w:val="left" w:pos="-1920"/>
        </w:tabs>
        <w:snapToGrid w:val="0"/>
        <w:spacing w:beforeLines="15" w:before="36" w:afterLines="15" w:after="36" w:line="440" w:lineRule="exact"/>
        <w:ind w:leftChars="0" w:left="1729" w:hanging="482"/>
        <w:jc w:val="both"/>
        <w:outlineLvl w:val="2"/>
        <w:rPr>
          <w:rFonts w:ascii="標楷體" w:eastAsia="標楷體" w:hAnsi="標楷體"/>
          <w:bCs/>
          <w:sz w:val="28"/>
          <w:szCs w:val="36"/>
        </w:rPr>
      </w:pPr>
      <w:r w:rsidRPr="002A4102">
        <w:rPr>
          <w:rFonts w:ascii="標楷體" w:eastAsia="標楷體" w:hAnsi="標楷體"/>
          <w:bCs/>
          <w:sz w:val="28"/>
          <w:szCs w:val="36"/>
        </w:rPr>
        <w:t>核能使用與否對達成淨零目標的影響評估。</w:t>
      </w:r>
    </w:p>
    <w:p w14:paraId="1B4A5ABE" w14:textId="0EB15068" w:rsidR="006B22EC" w:rsidRPr="002A4102" w:rsidRDefault="00566602" w:rsidP="009C4EE0">
      <w:pPr>
        <w:numPr>
          <w:ilvl w:val="2"/>
          <w:numId w:val="2"/>
        </w:numPr>
        <w:tabs>
          <w:tab w:val="left" w:pos="-1920"/>
        </w:tabs>
        <w:snapToGrid w:val="0"/>
        <w:spacing w:beforeLines="15" w:before="36" w:afterLines="15" w:after="36" w:line="440" w:lineRule="exact"/>
        <w:ind w:left="1162" w:hanging="482"/>
        <w:jc w:val="both"/>
        <w:outlineLvl w:val="2"/>
        <w:rPr>
          <w:rFonts w:ascii="標楷體" w:eastAsia="標楷體" w:hAnsi="標楷體"/>
          <w:bCs/>
          <w:sz w:val="28"/>
          <w:szCs w:val="36"/>
        </w:rPr>
      </w:pPr>
      <w:r>
        <w:rPr>
          <w:rFonts w:ascii="標楷體" w:eastAsia="標楷體" w:hAnsi="標楷體"/>
          <w:bCs/>
          <w:sz w:val="28"/>
          <w:szCs w:val="36"/>
        </w:rPr>
        <w:lastRenderedPageBreak/>
        <w:t>小型模組化反應器(SMR)</w:t>
      </w:r>
      <w:r w:rsidR="006B22EC" w:rsidRPr="002A4102">
        <w:rPr>
          <w:rFonts w:ascii="標楷體" w:eastAsia="標楷體" w:hAnsi="標楷體"/>
          <w:bCs/>
          <w:sz w:val="28"/>
          <w:szCs w:val="36"/>
        </w:rPr>
        <w:t>技術評估與應用</w:t>
      </w:r>
    </w:p>
    <w:p w14:paraId="0E87E313" w14:textId="472D99A6" w:rsidR="006B22EC" w:rsidRPr="002A4102" w:rsidRDefault="006B22EC" w:rsidP="009C4EE0">
      <w:pPr>
        <w:pStyle w:val="af4"/>
        <w:numPr>
          <w:ilvl w:val="3"/>
          <w:numId w:val="2"/>
        </w:numPr>
        <w:tabs>
          <w:tab w:val="left" w:pos="-1920"/>
        </w:tabs>
        <w:snapToGrid w:val="0"/>
        <w:spacing w:beforeLines="15" w:before="36" w:afterLines="15" w:after="36" w:line="440" w:lineRule="exact"/>
        <w:ind w:leftChars="472" w:left="1416" w:hangingChars="101" w:hanging="283"/>
        <w:jc w:val="both"/>
        <w:outlineLvl w:val="2"/>
        <w:rPr>
          <w:rFonts w:ascii="標楷體" w:eastAsia="標楷體" w:hAnsi="標楷體"/>
          <w:bCs/>
          <w:sz w:val="28"/>
          <w:szCs w:val="36"/>
        </w:rPr>
      </w:pPr>
      <w:r w:rsidRPr="002A4102">
        <w:rPr>
          <w:rFonts w:ascii="標楷體" w:eastAsia="標楷體" w:hAnsi="標楷體" w:hint="eastAsia"/>
          <w:bCs/>
          <w:sz w:val="28"/>
          <w:szCs w:val="36"/>
        </w:rPr>
        <w:t>日本</w:t>
      </w:r>
      <w:r w:rsidRPr="002A4102">
        <w:rPr>
          <w:rFonts w:ascii="標楷體" w:eastAsia="標楷體" w:hAnsi="標楷體"/>
          <w:bCs/>
          <w:sz w:val="28"/>
          <w:szCs w:val="36"/>
        </w:rPr>
        <w:t>對於</w:t>
      </w:r>
      <w:r w:rsidR="00566602">
        <w:rPr>
          <w:rFonts w:ascii="標楷體" w:eastAsia="標楷體" w:hAnsi="標楷體"/>
          <w:bCs/>
          <w:sz w:val="28"/>
          <w:szCs w:val="36"/>
        </w:rPr>
        <w:t>小型模組化反應器(SMR)</w:t>
      </w:r>
      <w:r w:rsidRPr="002A4102">
        <w:rPr>
          <w:rFonts w:ascii="標楷體" w:eastAsia="標楷體" w:hAnsi="標楷體"/>
          <w:bCs/>
          <w:sz w:val="28"/>
          <w:szCs w:val="36"/>
        </w:rPr>
        <w:t>技術</w:t>
      </w:r>
      <w:r w:rsidRPr="002A4102">
        <w:rPr>
          <w:rFonts w:ascii="標楷體" w:eastAsia="標楷體" w:hAnsi="標楷體" w:hint="eastAsia"/>
          <w:bCs/>
          <w:sz w:val="28"/>
          <w:szCs w:val="36"/>
        </w:rPr>
        <w:t>之</w:t>
      </w:r>
      <w:r w:rsidR="00F81A49" w:rsidRPr="002A4102">
        <w:rPr>
          <w:rFonts w:ascii="標楷體" w:eastAsia="標楷體" w:hAnsi="標楷體" w:hint="eastAsia"/>
          <w:bCs/>
          <w:sz w:val="28"/>
          <w:szCs w:val="36"/>
        </w:rPr>
        <w:t>整體規劃及目標與</w:t>
      </w:r>
      <w:r w:rsidRPr="002A4102">
        <w:rPr>
          <w:rFonts w:ascii="標楷體" w:eastAsia="標楷體" w:hAnsi="標楷體" w:hint="eastAsia"/>
          <w:bCs/>
          <w:sz w:val="28"/>
          <w:szCs w:val="36"/>
        </w:rPr>
        <w:t>研發情形</w:t>
      </w:r>
      <w:r w:rsidRPr="002A4102">
        <w:rPr>
          <w:rFonts w:ascii="標楷體" w:eastAsia="標楷體" w:hAnsi="標楷體"/>
          <w:bCs/>
          <w:sz w:val="28"/>
          <w:szCs w:val="36"/>
        </w:rPr>
        <w:t>。</w:t>
      </w:r>
    </w:p>
    <w:p w14:paraId="0E1EFE49" w14:textId="47BA325E" w:rsidR="006B22EC" w:rsidRPr="002A4102" w:rsidRDefault="006B22EC" w:rsidP="009C4EE0">
      <w:pPr>
        <w:pStyle w:val="af4"/>
        <w:numPr>
          <w:ilvl w:val="3"/>
          <w:numId w:val="2"/>
        </w:numPr>
        <w:tabs>
          <w:tab w:val="left" w:pos="-1920"/>
        </w:tabs>
        <w:snapToGrid w:val="0"/>
        <w:spacing w:beforeLines="15" w:before="36" w:afterLines="15" w:after="36" w:line="440" w:lineRule="exact"/>
        <w:ind w:leftChars="472" w:left="1416" w:hangingChars="101" w:hanging="283"/>
        <w:jc w:val="both"/>
        <w:outlineLvl w:val="2"/>
        <w:rPr>
          <w:rFonts w:ascii="標楷體" w:eastAsia="標楷體" w:hAnsi="標楷體"/>
          <w:bCs/>
          <w:sz w:val="28"/>
          <w:szCs w:val="36"/>
        </w:rPr>
      </w:pPr>
      <w:r w:rsidRPr="002A4102">
        <w:rPr>
          <w:rFonts w:ascii="標楷體" w:eastAsia="標楷體" w:hAnsi="標楷體" w:hint="eastAsia"/>
          <w:bCs/>
          <w:sz w:val="28"/>
          <w:szCs w:val="36"/>
        </w:rPr>
        <w:t>可供我國</w:t>
      </w:r>
      <w:r w:rsidRPr="002A4102">
        <w:rPr>
          <w:rFonts w:ascii="標楷體" w:eastAsia="標楷體" w:hAnsi="標楷體"/>
          <w:bCs/>
          <w:sz w:val="28"/>
          <w:szCs w:val="36"/>
        </w:rPr>
        <w:t>善用既有核能經驗發展</w:t>
      </w:r>
      <w:r w:rsidR="00566602">
        <w:rPr>
          <w:rFonts w:ascii="標楷體" w:eastAsia="標楷體" w:hAnsi="標楷體"/>
          <w:bCs/>
          <w:sz w:val="28"/>
          <w:szCs w:val="36"/>
        </w:rPr>
        <w:t>小型模組化反應器(SMR)</w:t>
      </w:r>
      <w:r w:rsidRPr="002A4102">
        <w:rPr>
          <w:rFonts w:ascii="標楷體" w:eastAsia="標楷體" w:hAnsi="標楷體"/>
          <w:bCs/>
          <w:sz w:val="28"/>
          <w:szCs w:val="36"/>
        </w:rPr>
        <w:t>技術</w:t>
      </w:r>
      <w:r w:rsidRPr="002A4102">
        <w:rPr>
          <w:rFonts w:ascii="標楷體" w:eastAsia="標楷體" w:hAnsi="標楷體" w:hint="eastAsia"/>
          <w:bCs/>
          <w:sz w:val="28"/>
          <w:szCs w:val="36"/>
        </w:rPr>
        <w:t>之</w:t>
      </w:r>
      <w:r w:rsidR="00566602">
        <w:rPr>
          <w:rFonts w:ascii="標楷體" w:eastAsia="標楷體" w:hAnsi="標楷體" w:hint="eastAsia"/>
          <w:bCs/>
          <w:sz w:val="28"/>
          <w:szCs w:val="36"/>
        </w:rPr>
        <w:t>參酌</w:t>
      </w:r>
      <w:r w:rsidRPr="002A4102">
        <w:rPr>
          <w:rFonts w:ascii="標楷體" w:eastAsia="標楷體" w:hAnsi="標楷體"/>
          <w:bCs/>
          <w:sz w:val="28"/>
          <w:szCs w:val="36"/>
        </w:rPr>
        <w:t>。</w:t>
      </w:r>
    </w:p>
    <w:p w14:paraId="560DFAB4" w14:textId="0B2EBDF6" w:rsidR="006B22EC" w:rsidRPr="002A4102" w:rsidRDefault="006B22EC" w:rsidP="009C4EE0">
      <w:pPr>
        <w:pStyle w:val="af4"/>
        <w:numPr>
          <w:ilvl w:val="3"/>
          <w:numId w:val="2"/>
        </w:numPr>
        <w:tabs>
          <w:tab w:val="left" w:pos="-1920"/>
        </w:tabs>
        <w:snapToGrid w:val="0"/>
        <w:spacing w:beforeLines="15" w:before="36" w:afterLines="15" w:after="36" w:line="440" w:lineRule="exact"/>
        <w:ind w:leftChars="472" w:left="1416" w:hangingChars="101" w:hanging="283"/>
        <w:jc w:val="both"/>
        <w:outlineLvl w:val="2"/>
        <w:rPr>
          <w:rFonts w:ascii="標楷體" w:eastAsia="標楷體" w:hAnsi="標楷體"/>
          <w:bCs/>
          <w:sz w:val="28"/>
          <w:szCs w:val="36"/>
        </w:rPr>
      </w:pPr>
      <w:r w:rsidRPr="002A4102">
        <w:rPr>
          <w:rFonts w:ascii="標楷體" w:eastAsia="標楷體" w:hAnsi="標楷體"/>
          <w:bCs/>
          <w:sz w:val="28"/>
          <w:szCs w:val="36"/>
        </w:rPr>
        <w:t>在既有核電廠址增設</w:t>
      </w:r>
      <w:r w:rsidR="00566602">
        <w:rPr>
          <w:rFonts w:ascii="標楷體" w:eastAsia="標楷體" w:hAnsi="標楷體"/>
          <w:bCs/>
          <w:sz w:val="28"/>
          <w:szCs w:val="36"/>
        </w:rPr>
        <w:t>小型模組化反應器(SMR)</w:t>
      </w:r>
      <w:r w:rsidRPr="002A4102">
        <w:rPr>
          <w:rFonts w:ascii="標楷體" w:eastAsia="標楷體" w:hAnsi="標楷體" w:hint="eastAsia"/>
          <w:bCs/>
          <w:sz w:val="28"/>
          <w:szCs w:val="36"/>
        </w:rPr>
        <w:t>之</w:t>
      </w:r>
      <w:r w:rsidRPr="002A4102">
        <w:rPr>
          <w:rFonts w:ascii="標楷體" w:eastAsia="標楷體" w:hAnsi="標楷體"/>
          <w:bCs/>
          <w:sz w:val="28"/>
          <w:szCs w:val="36"/>
        </w:rPr>
        <w:t>可行性。</w:t>
      </w:r>
    </w:p>
    <w:p w14:paraId="7157B077" w14:textId="279A55FE" w:rsidR="006B22EC" w:rsidRPr="002A4102" w:rsidRDefault="006B22EC" w:rsidP="009C4EE0">
      <w:pPr>
        <w:pStyle w:val="af4"/>
        <w:numPr>
          <w:ilvl w:val="3"/>
          <w:numId w:val="2"/>
        </w:numPr>
        <w:tabs>
          <w:tab w:val="left" w:pos="-1920"/>
        </w:tabs>
        <w:snapToGrid w:val="0"/>
        <w:spacing w:beforeLines="15" w:before="36" w:afterLines="15" w:after="36" w:line="440" w:lineRule="exact"/>
        <w:ind w:leftChars="472" w:left="1416" w:hangingChars="101" w:hanging="283"/>
        <w:jc w:val="both"/>
        <w:outlineLvl w:val="2"/>
        <w:rPr>
          <w:rFonts w:ascii="標楷體" w:eastAsia="標楷體" w:hAnsi="標楷體"/>
          <w:bCs/>
          <w:sz w:val="28"/>
          <w:szCs w:val="36"/>
        </w:rPr>
      </w:pPr>
      <w:r w:rsidRPr="002A4102">
        <w:rPr>
          <w:rFonts w:ascii="標楷體" w:eastAsia="標楷體" w:hAnsi="標楷體"/>
          <w:bCs/>
          <w:sz w:val="28"/>
          <w:szCs w:val="36"/>
        </w:rPr>
        <w:t>利用核能產氫或提供工業所需熱能</w:t>
      </w:r>
      <w:r w:rsidRPr="002A4102">
        <w:rPr>
          <w:rFonts w:ascii="標楷體" w:eastAsia="標楷體" w:hAnsi="標楷體" w:hint="eastAsia"/>
          <w:bCs/>
          <w:sz w:val="28"/>
          <w:szCs w:val="36"/>
        </w:rPr>
        <w:t>之</w:t>
      </w:r>
      <w:r w:rsidRPr="002A4102">
        <w:rPr>
          <w:rFonts w:ascii="標楷體" w:eastAsia="標楷體" w:hAnsi="標楷體"/>
          <w:bCs/>
          <w:sz w:val="28"/>
          <w:szCs w:val="36"/>
        </w:rPr>
        <w:t>可行性。</w:t>
      </w:r>
    </w:p>
    <w:p w14:paraId="54BCB6A5" w14:textId="26C682BE" w:rsidR="00F81A49" w:rsidRPr="002A4102" w:rsidRDefault="00F81A49" w:rsidP="009C4EE0">
      <w:pPr>
        <w:pStyle w:val="af4"/>
        <w:numPr>
          <w:ilvl w:val="3"/>
          <w:numId w:val="2"/>
        </w:numPr>
        <w:tabs>
          <w:tab w:val="left" w:pos="-1920"/>
        </w:tabs>
        <w:snapToGrid w:val="0"/>
        <w:spacing w:beforeLines="15" w:before="36" w:afterLines="15" w:after="36" w:line="440" w:lineRule="exact"/>
        <w:ind w:leftChars="472" w:left="1416" w:hangingChars="101" w:hanging="283"/>
        <w:jc w:val="both"/>
        <w:outlineLvl w:val="2"/>
        <w:rPr>
          <w:rFonts w:ascii="標楷體" w:eastAsia="標楷體" w:hAnsi="標楷體"/>
          <w:bCs/>
          <w:sz w:val="28"/>
          <w:szCs w:val="36"/>
        </w:rPr>
      </w:pPr>
      <w:r w:rsidRPr="002A4102">
        <w:rPr>
          <w:rFonts w:ascii="標楷體" w:eastAsia="標楷體" w:hAnsi="標楷體" w:hint="eastAsia"/>
          <w:bCs/>
          <w:sz w:val="28"/>
          <w:szCs w:val="36"/>
        </w:rPr>
        <w:t>日本</w:t>
      </w:r>
      <w:r w:rsidRPr="002A4102">
        <w:rPr>
          <w:rFonts w:ascii="標楷體" w:eastAsia="標楷體" w:hAnsi="標楷體"/>
          <w:bCs/>
          <w:sz w:val="28"/>
          <w:szCs w:val="36"/>
        </w:rPr>
        <w:t>核</w:t>
      </w:r>
      <w:r w:rsidRPr="002A4102">
        <w:rPr>
          <w:rFonts w:ascii="標楷體" w:eastAsia="標楷體" w:hAnsi="標楷體" w:hint="eastAsia"/>
          <w:bCs/>
          <w:sz w:val="28"/>
          <w:szCs w:val="36"/>
        </w:rPr>
        <w:t>能</w:t>
      </w:r>
      <w:r w:rsidRPr="002A4102">
        <w:rPr>
          <w:rFonts w:ascii="標楷體" w:eastAsia="標楷體" w:hAnsi="標楷體"/>
          <w:bCs/>
          <w:sz w:val="28"/>
          <w:szCs w:val="36"/>
        </w:rPr>
        <w:t>安</w:t>
      </w:r>
      <w:r w:rsidRPr="002A4102">
        <w:rPr>
          <w:rFonts w:ascii="標楷體" w:eastAsia="標楷體" w:hAnsi="標楷體" w:hint="eastAsia"/>
          <w:bCs/>
          <w:sz w:val="28"/>
          <w:szCs w:val="36"/>
        </w:rPr>
        <w:t>全制度</w:t>
      </w:r>
      <w:r w:rsidRPr="002A4102">
        <w:rPr>
          <w:rFonts w:ascii="標楷體" w:eastAsia="標楷體" w:hAnsi="標楷體"/>
          <w:bCs/>
          <w:sz w:val="28"/>
          <w:szCs w:val="36"/>
        </w:rPr>
        <w:t>對於</w:t>
      </w:r>
      <w:r w:rsidR="00566602">
        <w:rPr>
          <w:rFonts w:ascii="標楷體" w:eastAsia="標楷體" w:hAnsi="標楷體"/>
          <w:bCs/>
          <w:sz w:val="28"/>
          <w:szCs w:val="36"/>
        </w:rPr>
        <w:t>小型模組化反應器(SMR)</w:t>
      </w:r>
      <w:r w:rsidRPr="002A4102">
        <w:rPr>
          <w:rFonts w:ascii="標楷體" w:eastAsia="標楷體" w:hAnsi="標楷體"/>
          <w:bCs/>
          <w:sz w:val="28"/>
          <w:szCs w:val="36"/>
        </w:rPr>
        <w:t>技術審查</w:t>
      </w:r>
      <w:r w:rsidRPr="002A4102">
        <w:rPr>
          <w:rFonts w:ascii="標楷體" w:eastAsia="標楷體" w:hAnsi="標楷體" w:hint="eastAsia"/>
          <w:bCs/>
          <w:sz w:val="28"/>
          <w:szCs w:val="36"/>
        </w:rPr>
        <w:t>之建立及</w:t>
      </w:r>
      <w:r w:rsidRPr="002A4102">
        <w:rPr>
          <w:rFonts w:ascii="標楷體" w:eastAsia="標楷體" w:hAnsi="標楷體"/>
          <w:bCs/>
          <w:sz w:val="28"/>
          <w:szCs w:val="36"/>
        </w:rPr>
        <w:t>執行方式。</w:t>
      </w:r>
    </w:p>
    <w:p w14:paraId="13E8E2CD" w14:textId="15D472C2" w:rsidR="006B22EC" w:rsidRPr="002A4102" w:rsidRDefault="006B22EC" w:rsidP="009C4EE0">
      <w:pPr>
        <w:pStyle w:val="af4"/>
        <w:numPr>
          <w:ilvl w:val="3"/>
          <w:numId w:val="2"/>
        </w:numPr>
        <w:tabs>
          <w:tab w:val="left" w:pos="-1920"/>
        </w:tabs>
        <w:snapToGrid w:val="0"/>
        <w:spacing w:beforeLines="15" w:before="36" w:afterLines="15" w:after="36" w:line="440" w:lineRule="exact"/>
        <w:ind w:leftChars="472" w:left="1416" w:hangingChars="101" w:hanging="283"/>
        <w:jc w:val="both"/>
        <w:outlineLvl w:val="2"/>
        <w:rPr>
          <w:rFonts w:ascii="標楷體" w:eastAsia="標楷體" w:hAnsi="標楷體"/>
          <w:bCs/>
          <w:sz w:val="28"/>
          <w:szCs w:val="36"/>
        </w:rPr>
      </w:pPr>
      <w:r w:rsidRPr="002A4102">
        <w:rPr>
          <w:rFonts w:ascii="標楷體" w:eastAsia="標楷體" w:hAnsi="標楷體"/>
          <w:bCs/>
          <w:sz w:val="28"/>
          <w:szCs w:val="36"/>
        </w:rPr>
        <w:t>民間業者參與</w:t>
      </w:r>
      <w:r w:rsidR="00566602">
        <w:rPr>
          <w:rFonts w:ascii="標楷體" w:eastAsia="標楷體" w:hAnsi="標楷體"/>
          <w:bCs/>
          <w:sz w:val="28"/>
          <w:szCs w:val="36"/>
        </w:rPr>
        <w:t>小型模組化反應器(SMR)</w:t>
      </w:r>
      <w:r w:rsidRPr="002A4102">
        <w:rPr>
          <w:rFonts w:ascii="標楷體" w:eastAsia="標楷體" w:hAnsi="標楷體"/>
          <w:bCs/>
          <w:sz w:val="28"/>
          <w:szCs w:val="36"/>
        </w:rPr>
        <w:t>建置</w:t>
      </w:r>
      <w:r w:rsidRPr="002A4102">
        <w:rPr>
          <w:rFonts w:ascii="標楷體" w:eastAsia="標楷體" w:hAnsi="標楷體" w:hint="eastAsia"/>
          <w:bCs/>
          <w:sz w:val="28"/>
          <w:szCs w:val="36"/>
        </w:rPr>
        <w:t>之</w:t>
      </w:r>
      <w:r w:rsidRPr="002A4102">
        <w:rPr>
          <w:rFonts w:ascii="標楷體" w:eastAsia="標楷體" w:hAnsi="標楷體"/>
          <w:bCs/>
          <w:sz w:val="28"/>
          <w:szCs w:val="36"/>
        </w:rPr>
        <w:t>可行性與法</w:t>
      </w:r>
      <w:r w:rsidRPr="002A4102">
        <w:rPr>
          <w:rFonts w:ascii="標楷體" w:eastAsia="標楷體" w:hAnsi="標楷體" w:hint="eastAsia"/>
          <w:bCs/>
          <w:sz w:val="28"/>
          <w:szCs w:val="36"/>
        </w:rPr>
        <w:t>制化</w:t>
      </w:r>
      <w:r w:rsidRPr="002A4102">
        <w:rPr>
          <w:rFonts w:ascii="標楷體" w:eastAsia="標楷體" w:hAnsi="標楷體"/>
          <w:bCs/>
          <w:sz w:val="28"/>
          <w:szCs w:val="36"/>
        </w:rPr>
        <w:t>。</w:t>
      </w:r>
    </w:p>
    <w:p w14:paraId="653CBFDA" w14:textId="37CFA716" w:rsidR="00F81A49" w:rsidRPr="002A4102" w:rsidRDefault="00566602" w:rsidP="009C4EE0">
      <w:pPr>
        <w:pStyle w:val="af4"/>
        <w:numPr>
          <w:ilvl w:val="3"/>
          <w:numId w:val="2"/>
        </w:numPr>
        <w:tabs>
          <w:tab w:val="left" w:pos="-1920"/>
        </w:tabs>
        <w:snapToGrid w:val="0"/>
        <w:spacing w:beforeLines="15" w:before="36" w:afterLines="15" w:after="36" w:line="440" w:lineRule="exact"/>
        <w:ind w:leftChars="472" w:left="1416" w:hangingChars="101" w:hanging="283"/>
        <w:jc w:val="both"/>
        <w:outlineLvl w:val="2"/>
        <w:rPr>
          <w:rFonts w:ascii="標楷體" w:eastAsia="標楷體" w:hAnsi="標楷體"/>
          <w:bCs/>
          <w:sz w:val="28"/>
          <w:szCs w:val="36"/>
        </w:rPr>
      </w:pPr>
      <w:r>
        <w:rPr>
          <w:rFonts w:ascii="標楷體" w:eastAsia="標楷體" w:hAnsi="標楷體"/>
          <w:bCs/>
          <w:sz w:val="28"/>
          <w:szCs w:val="36"/>
        </w:rPr>
        <w:t>小型模組化反應器(SMR)</w:t>
      </w:r>
      <w:r w:rsidR="00F81A49" w:rsidRPr="002A4102">
        <w:rPr>
          <w:rFonts w:ascii="標楷體" w:eastAsia="標楷體" w:hAnsi="標楷體"/>
          <w:bCs/>
          <w:sz w:val="28"/>
          <w:szCs w:val="36"/>
        </w:rPr>
        <w:t>技術在達成淨零目標中的角色和適用性評估。</w:t>
      </w:r>
    </w:p>
    <w:p w14:paraId="4BF08DEE" w14:textId="77777777" w:rsidR="00FC7D44" w:rsidRPr="00DF3DBD" w:rsidRDefault="00350B4F" w:rsidP="009C4EE0">
      <w:pPr>
        <w:numPr>
          <w:ilvl w:val="1"/>
          <w:numId w:val="2"/>
        </w:numPr>
        <w:tabs>
          <w:tab w:val="left" w:pos="-1920"/>
        </w:tabs>
        <w:snapToGrid w:val="0"/>
        <w:spacing w:beforeLines="15" w:before="36" w:afterLines="15" w:after="36" w:line="440" w:lineRule="exact"/>
        <w:ind w:leftChars="50" w:left="120" w:firstLine="0"/>
        <w:jc w:val="both"/>
        <w:outlineLvl w:val="1"/>
        <w:rPr>
          <w:rFonts w:ascii="標楷體" w:eastAsia="標楷體" w:hAnsi="標楷體"/>
          <w:bCs/>
          <w:sz w:val="28"/>
          <w:szCs w:val="28"/>
        </w:rPr>
      </w:pPr>
      <w:bookmarkStart w:id="8" w:name="_Toc142463763"/>
      <w:bookmarkStart w:id="9" w:name="_Toc185412379"/>
      <w:r w:rsidRPr="00DF3DBD">
        <w:rPr>
          <w:rFonts w:ascii="標楷體" w:eastAsia="標楷體" w:hAnsi="標楷體" w:hint="eastAsia"/>
          <w:bCs/>
          <w:sz w:val="28"/>
          <w:szCs w:val="28"/>
        </w:rPr>
        <w:t>考察行程</w:t>
      </w:r>
      <w:bookmarkEnd w:id="8"/>
      <w:bookmarkEnd w:id="9"/>
    </w:p>
    <w:p w14:paraId="6681CBE9" w14:textId="3ED99674" w:rsidR="00350B4F" w:rsidRPr="002A4102" w:rsidRDefault="00350B4F" w:rsidP="00BF53E4">
      <w:pPr>
        <w:snapToGrid w:val="0"/>
        <w:spacing w:beforeLines="15" w:before="36" w:afterLines="15" w:after="36" w:line="440" w:lineRule="exact"/>
        <w:ind w:leftChars="225" w:left="540" w:firstLineChars="200" w:firstLine="560"/>
        <w:jc w:val="both"/>
        <w:rPr>
          <w:rFonts w:ascii="標楷體" w:eastAsia="標楷體" w:hAnsi="標楷體"/>
        </w:rPr>
      </w:pPr>
      <w:r w:rsidRPr="002A4102">
        <w:rPr>
          <w:rFonts w:ascii="標楷體" w:eastAsia="標楷體" w:hAnsi="標楷體" w:hint="eastAsia"/>
          <w:bCs/>
          <w:sz w:val="28"/>
          <w:szCs w:val="36"/>
        </w:rPr>
        <w:t>本次赴日訪查行程自11</w:t>
      </w:r>
      <w:r w:rsidR="00BD6BCA" w:rsidRPr="002A4102">
        <w:rPr>
          <w:rFonts w:ascii="標楷體" w:eastAsia="標楷體" w:hAnsi="標楷體" w:hint="eastAsia"/>
          <w:bCs/>
          <w:sz w:val="28"/>
          <w:szCs w:val="36"/>
        </w:rPr>
        <w:t>3</w:t>
      </w:r>
      <w:r w:rsidRPr="002A4102">
        <w:rPr>
          <w:rFonts w:ascii="標楷體" w:eastAsia="標楷體" w:hAnsi="標楷體" w:hint="eastAsia"/>
          <w:bCs/>
          <w:sz w:val="28"/>
          <w:szCs w:val="36"/>
        </w:rPr>
        <w:t>年</w:t>
      </w:r>
      <w:r w:rsidR="00BD6BCA" w:rsidRPr="002A4102">
        <w:rPr>
          <w:rFonts w:ascii="標楷體" w:eastAsia="標楷體" w:hAnsi="標楷體" w:hint="eastAsia"/>
          <w:bCs/>
          <w:sz w:val="28"/>
          <w:szCs w:val="36"/>
        </w:rPr>
        <w:t>12</w:t>
      </w:r>
      <w:r w:rsidRPr="002A4102">
        <w:rPr>
          <w:rFonts w:ascii="標楷體" w:eastAsia="標楷體" w:hAnsi="標楷體" w:hint="eastAsia"/>
          <w:bCs/>
          <w:sz w:val="28"/>
          <w:szCs w:val="36"/>
        </w:rPr>
        <w:t>月</w:t>
      </w:r>
      <w:r w:rsidR="00BD6BCA" w:rsidRPr="002A4102">
        <w:rPr>
          <w:rFonts w:ascii="標楷體" w:eastAsia="標楷體" w:hAnsi="標楷體" w:hint="eastAsia"/>
          <w:bCs/>
          <w:sz w:val="28"/>
          <w:szCs w:val="36"/>
        </w:rPr>
        <w:t>3</w:t>
      </w:r>
      <w:r w:rsidRPr="002A4102">
        <w:rPr>
          <w:rFonts w:ascii="標楷體" w:eastAsia="標楷體" w:hAnsi="標楷體" w:hint="eastAsia"/>
          <w:bCs/>
          <w:sz w:val="28"/>
          <w:szCs w:val="36"/>
        </w:rPr>
        <w:t>日至</w:t>
      </w:r>
      <w:r w:rsidR="00BD6BCA" w:rsidRPr="002A4102">
        <w:rPr>
          <w:rFonts w:ascii="標楷體" w:eastAsia="標楷體" w:hAnsi="標楷體" w:hint="eastAsia"/>
          <w:bCs/>
          <w:sz w:val="28"/>
          <w:szCs w:val="36"/>
        </w:rPr>
        <w:t>9</w:t>
      </w:r>
      <w:r w:rsidRPr="002A4102">
        <w:rPr>
          <w:rFonts w:ascii="標楷體" w:eastAsia="標楷體" w:hAnsi="標楷體" w:hint="eastAsia"/>
          <w:bCs/>
          <w:sz w:val="28"/>
          <w:szCs w:val="36"/>
        </w:rPr>
        <w:t>日</w:t>
      </w:r>
      <w:r w:rsidR="00BD6BCA" w:rsidRPr="002A4102">
        <w:rPr>
          <w:rFonts w:ascii="標楷體" w:eastAsia="標楷體" w:hAnsi="標楷體" w:hint="eastAsia"/>
          <w:bCs/>
          <w:sz w:val="28"/>
          <w:szCs w:val="36"/>
        </w:rPr>
        <w:t>(扣除休假日)，</w:t>
      </w:r>
      <w:r w:rsidRPr="002A4102">
        <w:rPr>
          <w:rFonts w:ascii="標楷體" w:eastAsia="標楷體" w:hAnsi="標楷體" w:hint="eastAsia"/>
          <w:bCs/>
          <w:sz w:val="28"/>
          <w:szCs w:val="36"/>
        </w:rPr>
        <w:t>共計</w:t>
      </w:r>
      <w:r w:rsidR="00BD6BCA" w:rsidRPr="002A4102">
        <w:rPr>
          <w:rFonts w:ascii="標楷體" w:eastAsia="標楷體" w:hAnsi="標楷體" w:hint="eastAsia"/>
          <w:bCs/>
          <w:sz w:val="28"/>
          <w:szCs w:val="36"/>
        </w:rPr>
        <w:t>5</w:t>
      </w:r>
      <w:r w:rsidRPr="002A4102">
        <w:rPr>
          <w:rFonts w:ascii="標楷體" w:eastAsia="標楷體" w:hAnsi="標楷體" w:hint="eastAsia"/>
          <w:bCs/>
          <w:sz w:val="28"/>
          <w:szCs w:val="36"/>
        </w:rPr>
        <w:t>日，除搭機及交通等必要行程，共計拜會、參訪</w:t>
      </w:r>
      <w:r w:rsidR="00BD6BCA" w:rsidRPr="002A4102">
        <w:rPr>
          <w:rFonts w:ascii="標楷體" w:eastAsia="標楷體" w:hAnsi="標楷體" w:hint="eastAsia"/>
          <w:bCs/>
          <w:sz w:val="28"/>
          <w:szCs w:val="36"/>
        </w:rPr>
        <w:t>5</w:t>
      </w:r>
      <w:r w:rsidRPr="002A4102">
        <w:rPr>
          <w:rFonts w:ascii="標楷體" w:eastAsia="標楷體" w:hAnsi="標楷體" w:hint="eastAsia"/>
          <w:bCs/>
          <w:sz w:val="28"/>
          <w:szCs w:val="36"/>
        </w:rPr>
        <w:t>個機構或對象，並分別由駐日代表處周曉萍</w:t>
      </w:r>
      <w:r w:rsidR="00BD6BCA" w:rsidRPr="002A4102">
        <w:rPr>
          <w:rFonts w:ascii="標楷體" w:eastAsia="標楷體" w:hAnsi="標楷體" w:hint="eastAsia"/>
          <w:bCs/>
          <w:sz w:val="28"/>
          <w:szCs w:val="36"/>
        </w:rPr>
        <w:t>課長</w:t>
      </w:r>
      <w:r w:rsidRPr="002A4102">
        <w:rPr>
          <w:rFonts w:ascii="標楷體" w:eastAsia="標楷體" w:hAnsi="標楷體" w:hint="eastAsia"/>
          <w:bCs/>
          <w:sz w:val="28"/>
          <w:szCs w:val="36"/>
        </w:rPr>
        <w:t>陪同前往，茲將行程概要列</w:t>
      </w:r>
      <w:r w:rsidR="00C1026C" w:rsidRPr="002A4102">
        <w:rPr>
          <w:rFonts w:ascii="標楷體" w:eastAsia="標楷體" w:hAnsi="標楷體" w:hint="eastAsia"/>
          <w:bCs/>
          <w:sz w:val="28"/>
          <w:szCs w:val="36"/>
        </w:rPr>
        <w:t>如</w:t>
      </w:r>
      <w:r w:rsidR="00D70792">
        <w:rPr>
          <w:rFonts w:ascii="標楷體" w:eastAsia="標楷體" w:hAnsi="標楷體" w:hint="eastAsia"/>
          <w:bCs/>
          <w:sz w:val="28"/>
          <w:szCs w:val="36"/>
        </w:rPr>
        <w:t>下</w:t>
      </w:r>
      <w:r w:rsidRPr="002A4102">
        <w:rPr>
          <w:rFonts w:ascii="標楷體" w:eastAsia="標楷體" w:hAnsi="標楷體" w:hint="eastAsia"/>
          <w:bCs/>
          <w:sz w:val="28"/>
          <w:szCs w:val="36"/>
        </w:rPr>
        <w:t>表</w:t>
      </w:r>
      <w:r w:rsidR="00D70792">
        <w:rPr>
          <w:rFonts w:ascii="標楷體" w:eastAsia="標楷體" w:hAnsi="標楷體" w:hint="eastAsia"/>
          <w:bCs/>
          <w:sz w:val="28"/>
          <w:szCs w:val="36"/>
        </w:rPr>
        <w:t>。</w:t>
      </w:r>
    </w:p>
    <w:p w14:paraId="1C788B6E" w14:textId="584254DD" w:rsidR="00C1026C" w:rsidRPr="002A4102" w:rsidRDefault="00C1026C" w:rsidP="00235C5E">
      <w:pPr>
        <w:pStyle w:val="a"/>
      </w:pPr>
      <w:bookmarkStart w:id="10" w:name="_Toc185426440"/>
      <w:bookmarkStart w:id="11" w:name="_Toc185605751"/>
      <w:r w:rsidRPr="002A4102">
        <w:t>11</w:t>
      </w:r>
      <w:r w:rsidR="00DF1BAD" w:rsidRPr="002A4102">
        <w:rPr>
          <w:rFonts w:hint="eastAsia"/>
        </w:rPr>
        <w:t>3</w:t>
      </w:r>
      <w:r w:rsidRPr="002A4102">
        <w:rPr>
          <w:rFonts w:hint="eastAsia"/>
        </w:rPr>
        <w:t>年</w:t>
      </w:r>
      <w:r w:rsidR="00DF1BAD" w:rsidRPr="002A4102">
        <w:rPr>
          <w:rFonts w:hint="eastAsia"/>
        </w:rPr>
        <w:t>12</w:t>
      </w:r>
      <w:r w:rsidRPr="002A4102">
        <w:rPr>
          <w:rFonts w:hint="eastAsia"/>
        </w:rPr>
        <w:t>月</w:t>
      </w:r>
      <w:r w:rsidR="00DF1BAD" w:rsidRPr="002A4102">
        <w:rPr>
          <w:rFonts w:hint="eastAsia"/>
        </w:rPr>
        <w:t>3</w:t>
      </w:r>
      <w:r w:rsidRPr="002A4102">
        <w:rPr>
          <w:rFonts w:hint="eastAsia"/>
        </w:rPr>
        <w:t>日至</w:t>
      </w:r>
      <w:r w:rsidR="00DF1BAD" w:rsidRPr="002A4102">
        <w:rPr>
          <w:rFonts w:hint="eastAsia"/>
        </w:rPr>
        <w:t>12</w:t>
      </w:r>
      <w:r w:rsidRPr="002A4102">
        <w:rPr>
          <w:rFonts w:hint="eastAsia"/>
        </w:rPr>
        <w:t>月</w:t>
      </w:r>
      <w:r w:rsidR="00DF1BAD" w:rsidRPr="002A4102">
        <w:rPr>
          <w:rFonts w:hint="eastAsia"/>
        </w:rPr>
        <w:t>9</w:t>
      </w:r>
      <w:r w:rsidRPr="002A4102">
        <w:rPr>
          <w:rFonts w:hint="eastAsia"/>
        </w:rPr>
        <w:t>日日本訪查行程表</w:t>
      </w:r>
      <w:bookmarkEnd w:id="10"/>
      <w:bookmarkEnd w:id="11"/>
    </w:p>
    <w:tbl>
      <w:tblPr>
        <w:tblW w:w="0" w:type="auto"/>
        <w:tblInd w:w="279"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691"/>
        <w:gridCol w:w="3685"/>
        <w:gridCol w:w="3341"/>
      </w:tblGrid>
      <w:tr w:rsidR="00C1026C" w:rsidRPr="002A4102" w14:paraId="67B7B80B" w14:textId="77777777" w:rsidTr="003213CB">
        <w:tc>
          <w:tcPr>
            <w:tcW w:w="1691" w:type="dxa"/>
            <w:shd w:val="clear" w:color="auto" w:fill="auto"/>
            <w:vAlign w:val="center"/>
          </w:tcPr>
          <w:p w14:paraId="5789B002" w14:textId="77777777" w:rsidR="00C1026C" w:rsidRPr="002A4102" w:rsidRDefault="00C1026C" w:rsidP="003213CB">
            <w:pPr>
              <w:snapToGrid w:val="0"/>
              <w:spacing w:beforeLines="15" w:before="36" w:afterLines="15" w:after="36" w:line="440" w:lineRule="exact"/>
              <w:jc w:val="center"/>
              <w:rPr>
                <w:rFonts w:ascii="標楷體" w:eastAsia="標楷體" w:hAnsi="標楷體"/>
                <w:sz w:val="28"/>
              </w:rPr>
            </w:pPr>
            <w:r w:rsidRPr="002A4102">
              <w:rPr>
                <w:rFonts w:ascii="標楷體" w:eastAsia="標楷體" w:hAnsi="標楷體" w:hint="eastAsia"/>
                <w:sz w:val="28"/>
              </w:rPr>
              <w:t>日期</w:t>
            </w:r>
          </w:p>
        </w:tc>
        <w:tc>
          <w:tcPr>
            <w:tcW w:w="3685" w:type="dxa"/>
            <w:shd w:val="clear" w:color="auto" w:fill="auto"/>
            <w:vAlign w:val="center"/>
          </w:tcPr>
          <w:p w14:paraId="58322DA4" w14:textId="77777777" w:rsidR="00C1026C" w:rsidRPr="002A4102" w:rsidRDefault="00C1026C" w:rsidP="003213CB">
            <w:pPr>
              <w:snapToGrid w:val="0"/>
              <w:spacing w:beforeLines="15" w:before="36" w:afterLines="15" w:after="36" w:line="440" w:lineRule="exact"/>
              <w:jc w:val="center"/>
              <w:rPr>
                <w:rFonts w:ascii="標楷體" w:eastAsia="標楷體" w:hAnsi="標楷體"/>
                <w:sz w:val="28"/>
              </w:rPr>
            </w:pPr>
            <w:r w:rsidRPr="002A4102">
              <w:rPr>
                <w:rFonts w:ascii="標楷體" w:eastAsia="標楷體" w:hAnsi="標楷體" w:hint="eastAsia"/>
                <w:sz w:val="28"/>
              </w:rPr>
              <w:t>行程</w:t>
            </w:r>
          </w:p>
        </w:tc>
        <w:tc>
          <w:tcPr>
            <w:tcW w:w="3341" w:type="dxa"/>
            <w:shd w:val="clear" w:color="auto" w:fill="auto"/>
            <w:vAlign w:val="center"/>
          </w:tcPr>
          <w:p w14:paraId="180DE285" w14:textId="77777777" w:rsidR="00C1026C" w:rsidRPr="002A4102" w:rsidRDefault="00C1026C" w:rsidP="003213CB">
            <w:pPr>
              <w:snapToGrid w:val="0"/>
              <w:spacing w:beforeLines="15" w:before="36" w:afterLines="15" w:after="36" w:line="440" w:lineRule="exact"/>
              <w:jc w:val="center"/>
              <w:rPr>
                <w:rFonts w:ascii="標楷體" w:eastAsia="標楷體" w:hAnsi="標楷體"/>
                <w:sz w:val="28"/>
              </w:rPr>
            </w:pPr>
            <w:r w:rsidRPr="002A4102">
              <w:rPr>
                <w:rFonts w:ascii="標楷體" w:eastAsia="標楷體" w:hAnsi="標楷體" w:hint="eastAsia"/>
                <w:sz w:val="28"/>
              </w:rPr>
              <w:t>訪查機構/對象</w:t>
            </w:r>
          </w:p>
        </w:tc>
      </w:tr>
      <w:tr w:rsidR="00C1026C" w:rsidRPr="002A4102" w14:paraId="55593C21" w14:textId="77777777" w:rsidTr="003213CB">
        <w:tc>
          <w:tcPr>
            <w:tcW w:w="1691" w:type="dxa"/>
            <w:shd w:val="clear" w:color="auto" w:fill="auto"/>
            <w:vAlign w:val="center"/>
          </w:tcPr>
          <w:p w14:paraId="0E1C72E3" w14:textId="17F57823" w:rsidR="00C1026C" w:rsidRPr="002A4102" w:rsidRDefault="00DF1BAD" w:rsidP="003213CB">
            <w:pPr>
              <w:snapToGrid w:val="0"/>
              <w:spacing w:beforeLines="15" w:before="36" w:afterLines="15" w:after="36" w:line="440" w:lineRule="exact"/>
              <w:jc w:val="center"/>
              <w:rPr>
                <w:rFonts w:ascii="標楷體" w:eastAsia="標楷體" w:hAnsi="標楷體"/>
                <w:sz w:val="28"/>
              </w:rPr>
            </w:pPr>
            <w:r w:rsidRPr="002A4102">
              <w:rPr>
                <w:rFonts w:ascii="標楷體" w:eastAsia="標楷體" w:hAnsi="標楷體" w:hint="eastAsia"/>
                <w:sz w:val="28"/>
              </w:rPr>
              <w:t>12</w:t>
            </w:r>
            <w:r w:rsidR="00C1026C" w:rsidRPr="002A4102">
              <w:rPr>
                <w:rFonts w:ascii="標楷體" w:eastAsia="標楷體" w:hAnsi="標楷體" w:hint="eastAsia"/>
                <w:sz w:val="28"/>
              </w:rPr>
              <w:t>月</w:t>
            </w:r>
            <w:r w:rsidRPr="002A4102">
              <w:rPr>
                <w:rFonts w:ascii="標楷體" w:eastAsia="標楷體" w:hAnsi="標楷體" w:hint="eastAsia"/>
                <w:sz w:val="28"/>
              </w:rPr>
              <w:t>3</w:t>
            </w:r>
            <w:r w:rsidR="00C1026C" w:rsidRPr="002A4102">
              <w:rPr>
                <w:rFonts w:ascii="標楷體" w:eastAsia="標楷體" w:hAnsi="標楷體" w:hint="eastAsia"/>
                <w:sz w:val="28"/>
              </w:rPr>
              <w:t>日</w:t>
            </w:r>
          </w:p>
        </w:tc>
        <w:tc>
          <w:tcPr>
            <w:tcW w:w="3685" w:type="dxa"/>
            <w:shd w:val="clear" w:color="auto" w:fill="auto"/>
            <w:vAlign w:val="center"/>
          </w:tcPr>
          <w:p w14:paraId="60CC59CC" w14:textId="550267C6" w:rsidR="00DF1BAD" w:rsidRPr="002A4102" w:rsidRDefault="007748E4" w:rsidP="00D70792">
            <w:pPr>
              <w:snapToGrid w:val="0"/>
              <w:spacing w:beforeLines="10" w:before="24" w:afterLines="10" w:after="24" w:line="360" w:lineRule="exact"/>
              <w:jc w:val="both"/>
              <w:rPr>
                <w:rFonts w:ascii="標楷體" w:eastAsia="標楷體" w:hAnsi="標楷體"/>
                <w:sz w:val="28"/>
              </w:rPr>
            </w:pPr>
            <w:r w:rsidRPr="002A4102">
              <w:rPr>
                <w:rFonts w:ascii="標楷體" w:eastAsia="標楷體" w:hAnsi="標楷體" w:hint="eastAsia"/>
                <w:sz w:val="28"/>
              </w:rPr>
              <w:t>臺灣</w:t>
            </w:r>
            <w:r w:rsidR="00135FE7" w:rsidRPr="002A4102">
              <w:rPr>
                <w:rFonts w:ascii="標楷體" w:eastAsia="標楷體" w:hAnsi="標楷體" w:hint="eastAsia"/>
                <w:sz w:val="28"/>
              </w:rPr>
              <w:t>臺</w:t>
            </w:r>
            <w:r w:rsidR="00C1026C" w:rsidRPr="002A4102">
              <w:rPr>
                <w:rFonts w:ascii="標楷體" w:eastAsia="標楷體" w:hAnsi="標楷體" w:hint="eastAsia"/>
                <w:sz w:val="28"/>
              </w:rPr>
              <w:t>北</w:t>
            </w:r>
            <w:r w:rsidR="00DF1BAD" w:rsidRPr="002A4102">
              <w:rPr>
                <w:rFonts w:ascii="標楷體" w:eastAsia="標楷體" w:hAnsi="標楷體" w:hint="eastAsia"/>
                <w:sz w:val="28"/>
              </w:rPr>
              <w:t>→桃園機場</w:t>
            </w:r>
            <w:r w:rsidR="00C1026C" w:rsidRPr="002A4102">
              <w:rPr>
                <w:rFonts w:ascii="標楷體" w:eastAsia="標楷體" w:hAnsi="標楷體" w:hint="eastAsia"/>
                <w:sz w:val="28"/>
              </w:rPr>
              <w:t>→</w:t>
            </w:r>
          </w:p>
          <w:p w14:paraId="74702FB9" w14:textId="39B3704C" w:rsidR="00C1026C" w:rsidRPr="002A4102" w:rsidRDefault="00095FB5" w:rsidP="00D70792">
            <w:pPr>
              <w:snapToGrid w:val="0"/>
              <w:spacing w:beforeLines="10" w:before="24" w:afterLines="10" w:after="24" w:line="360" w:lineRule="exact"/>
              <w:jc w:val="both"/>
              <w:rPr>
                <w:rFonts w:ascii="標楷體" w:eastAsia="標楷體" w:hAnsi="標楷體"/>
                <w:sz w:val="28"/>
              </w:rPr>
            </w:pPr>
            <w:r w:rsidRPr="002A4102">
              <w:rPr>
                <w:rFonts w:ascii="標楷體" w:eastAsia="標楷體" w:hAnsi="標楷體" w:hint="eastAsia"/>
                <w:sz w:val="28"/>
              </w:rPr>
              <w:t>日本</w:t>
            </w:r>
            <w:r w:rsidR="00DF1BAD" w:rsidRPr="002A4102">
              <w:rPr>
                <w:rFonts w:ascii="標楷體" w:eastAsia="標楷體" w:hAnsi="標楷體" w:hint="eastAsia"/>
                <w:sz w:val="28"/>
              </w:rPr>
              <w:t>成田機場→東京</w:t>
            </w:r>
          </w:p>
        </w:tc>
        <w:tc>
          <w:tcPr>
            <w:tcW w:w="3341" w:type="dxa"/>
            <w:shd w:val="clear" w:color="auto" w:fill="auto"/>
            <w:vAlign w:val="center"/>
          </w:tcPr>
          <w:p w14:paraId="0EE3D46E" w14:textId="01F4DA14" w:rsidR="00C1026C" w:rsidRPr="002A4102" w:rsidRDefault="00DF1BAD" w:rsidP="00D70792">
            <w:pPr>
              <w:snapToGrid w:val="0"/>
              <w:spacing w:beforeLines="10" w:before="24" w:afterLines="10" w:after="24" w:line="360" w:lineRule="exact"/>
              <w:jc w:val="both"/>
              <w:rPr>
                <w:rFonts w:ascii="標楷體" w:eastAsia="標楷體" w:hAnsi="標楷體"/>
                <w:sz w:val="28"/>
              </w:rPr>
            </w:pPr>
            <w:r w:rsidRPr="002A4102">
              <w:rPr>
                <w:rFonts w:ascii="標楷體" w:eastAsia="標楷體" w:hAnsi="標楷體" w:hint="eastAsia"/>
                <w:sz w:val="28"/>
              </w:rPr>
              <w:t>去</w:t>
            </w:r>
            <w:r w:rsidR="00794965" w:rsidRPr="002A4102">
              <w:rPr>
                <w:rFonts w:ascii="標楷體" w:eastAsia="標楷體" w:hAnsi="標楷體" w:hint="eastAsia"/>
                <w:sz w:val="28"/>
              </w:rPr>
              <w:t>程</w:t>
            </w:r>
          </w:p>
        </w:tc>
      </w:tr>
      <w:tr w:rsidR="00C1026C" w:rsidRPr="002A4102" w14:paraId="58BAF3F0" w14:textId="77777777" w:rsidTr="003213CB">
        <w:tc>
          <w:tcPr>
            <w:tcW w:w="1691" w:type="dxa"/>
            <w:shd w:val="clear" w:color="auto" w:fill="auto"/>
            <w:vAlign w:val="center"/>
          </w:tcPr>
          <w:p w14:paraId="5B64925B" w14:textId="0785D4C0" w:rsidR="00C1026C" w:rsidRPr="002A4102" w:rsidRDefault="00DF1BAD" w:rsidP="003213CB">
            <w:pPr>
              <w:snapToGrid w:val="0"/>
              <w:spacing w:beforeLines="15" w:before="36" w:afterLines="15" w:after="36" w:line="440" w:lineRule="exact"/>
              <w:jc w:val="center"/>
              <w:rPr>
                <w:rFonts w:ascii="標楷體" w:eastAsia="標楷體" w:hAnsi="標楷體"/>
                <w:sz w:val="28"/>
              </w:rPr>
            </w:pPr>
            <w:r w:rsidRPr="002A4102">
              <w:rPr>
                <w:rFonts w:ascii="標楷體" w:eastAsia="標楷體" w:hAnsi="標楷體" w:hint="eastAsia"/>
                <w:sz w:val="28"/>
              </w:rPr>
              <w:t>12</w:t>
            </w:r>
            <w:r w:rsidR="00C1026C" w:rsidRPr="002A4102">
              <w:rPr>
                <w:rFonts w:ascii="標楷體" w:eastAsia="標楷體" w:hAnsi="標楷體" w:hint="eastAsia"/>
                <w:sz w:val="28"/>
              </w:rPr>
              <w:t>月</w:t>
            </w:r>
            <w:r w:rsidRPr="002A4102">
              <w:rPr>
                <w:rFonts w:ascii="標楷體" w:eastAsia="標楷體" w:hAnsi="標楷體" w:hint="eastAsia"/>
                <w:sz w:val="28"/>
              </w:rPr>
              <w:t>4</w:t>
            </w:r>
            <w:r w:rsidR="00C1026C" w:rsidRPr="002A4102">
              <w:rPr>
                <w:rFonts w:ascii="標楷體" w:eastAsia="標楷體" w:hAnsi="標楷體" w:hint="eastAsia"/>
                <w:sz w:val="28"/>
              </w:rPr>
              <w:t>日</w:t>
            </w:r>
          </w:p>
        </w:tc>
        <w:tc>
          <w:tcPr>
            <w:tcW w:w="3685" w:type="dxa"/>
            <w:shd w:val="clear" w:color="auto" w:fill="auto"/>
            <w:vAlign w:val="center"/>
          </w:tcPr>
          <w:p w14:paraId="3C4F9B21" w14:textId="64D1F7D5" w:rsidR="00C1026C" w:rsidRPr="002A4102" w:rsidRDefault="00135FE7" w:rsidP="00D70792">
            <w:pPr>
              <w:snapToGrid w:val="0"/>
              <w:spacing w:beforeLines="10" w:before="24" w:afterLines="10" w:after="24" w:line="360" w:lineRule="exact"/>
              <w:jc w:val="both"/>
              <w:rPr>
                <w:rFonts w:ascii="標楷體" w:eastAsia="標楷體" w:hAnsi="標楷體"/>
                <w:sz w:val="28"/>
              </w:rPr>
            </w:pPr>
            <w:r w:rsidRPr="002A4102">
              <w:rPr>
                <w:rFonts w:ascii="標楷體" w:eastAsia="標楷體" w:hAnsi="標楷體" w:hint="eastAsia"/>
                <w:sz w:val="28"/>
              </w:rPr>
              <w:t>東京</w:t>
            </w:r>
            <w:r w:rsidR="00C1026C" w:rsidRPr="002A4102">
              <w:rPr>
                <w:rFonts w:ascii="標楷體" w:eastAsia="標楷體" w:hAnsi="標楷體" w:hint="eastAsia"/>
                <w:sz w:val="28"/>
              </w:rPr>
              <w:t>→</w:t>
            </w:r>
            <w:r w:rsidRPr="002A4102">
              <w:rPr>
                <w:rFonts w:ascii="標楷體" w:eastAsia="標楷體" w:hAnsi="標楷體" w:hint="eastAsia"/>
                <w:sz w:val="28"/>
              </w:rPr>
              <w:t>東京電力公司</w:t>
            </w:r>
            <w:r w:rsidR="00C1026C" w:rsidRPr="002A4102">
              <w:rPr>
                <w:rFonts w:ascii="標楷體" w:eastAsia="標楷體" w:hAnsi="標楷體" w:hint="eastAsia"/>
                <w:sz w:val="28"/>
              </w:rPr>
              <w:t>→</w:t>
            </w:r>
            <w:r w:rsidR="00931B5F" w:rsidRPr="00931B5F">
              <w:rPr>
                <w:rFonts w:ascii="標楷體" w:eastAsia="標楷體" w:hAnsi="標楷體" w:hint="eastAsia"/>
                <w:sz w:val="28"/>
              </w:rPr>
              <w:t>臺</w:t>
            </w:r>
            <w:r w:rsidR="00931B5F" w:rsidRPr="00931B5F">
              <w:rPr>
                <w:rFonts w:ascii="標楷體" w:eastAsia="標楷體" w:hAnsi="標楷體"/>
                <w:sz w:val="28"/>
              </w:rPr>
              <w:t>北駐日</w:t>
            </w:r>
            <w:r w:rsidR="00931B5F" w:rsidRPr="00931B5F">
              <w:rPr>
                <w:rFonts w:ascii="標楷體" w:eastAsia="標楷體" w:hAnsi="標楷體" w:hint="eastAsia"/>
                <w:sz w:val="28"/>
              </w:rPr>
              <w:t>經濟</w:t>
            </w:r>
            <w:r w:rsidR="00931B5F" w:rsidRPr="00931B5F">
              <w:rPr>
                <w:rFonts w:ascii="標楷體" w:eastAsia="標楷體" w:hAnsi="標楷體"/>
                <w:sz w:val="28"/>
              </w:rPr>
              <w:t>文化代表處</w:t>
            </w:r>
          </w:p>
        </w:tc>
        <w:tc>
          <w:tcPr>
            <w:tcW w:w="3341" w:type="dxa"/>
            <w:shd w:val="clear" w:color="auto" w:fill="auto"/>
            <w:vAlign w:val="center"/>
          </w:tcPr>
          <w:p w14:paraId="38A4EB62" w14:textId="6499F355" w:rsidR="00C1026C" w:rsidRPr="002A4102" w:rsidRDefault="00DF1BAD" w:rsidP="00D70792">
            <w:pPr>
              <w:snapToGrid w:val="0"/>
              <w:spacing w:beforeLines="10" w:before="24" w:afterLines="10" w:after="24" w:line="360" w:lineRule="exact"/>
              <w:jc w:val="both"/>
              <w:rPr>
                <w:rFonts w:ascii="標楷體" w:eastAsia="標楷體" w:hAnsi="標楷體"/>
                <w:sz w:val="28"/>
              </w:rPr>
            </w:pPr>
            <w:r w:rsidRPr="002A4102">
              <w:rPr>
                <w:rFonts w:ascii="標楷體" w:eastAsia="標楷體" w:hAnsi="標楷體" w:hint="eastAsia"/>
                <w:sz w:val="28"/>
              </w:rPr>
              <w:t>東京電力公司</w:t>
            </w:r>
            <w:r w:rsidR="00931B5F" w:rsidRPr="00931B5F">
              <w:rPr>
                <w:rFonts w:ascii="標楷體" w:eastAsia="標楷體" w:hAnsi="標楷體" w:hint="eastAsia"/>
                <w:sz w:val="28"/>
              </w:rPr>
              <w:t>廣報部</w:t>
            </w:r>
          </w:p>
          <w:p w14:paraId="54FF144F" w14:textId="1721CA71" w:rsidR="00DF1BAD" w:rsidRPr="002A4102" w:rsidRDefault="00931B5F" w:rsidP="00D70792">
            <w:pPr>
              <w:snapToGrid w:val="0"/>
              <w:spacing w:beforeLines="10" w:before="24" w:afterLines="10" w:after="24" w:line="360" w:lineRule="exact"/>
              <w:jc w:val="both"/>
              <w:rPr>
                <w:rFonts w:ascii="標楷體" w:eastAsia="標楷體" w:hAnsi="標楷體"/>
                <w:sz w:val="28"/>
              </w:rPr>
            </w:pPr>
            <w:r w:rsidRPr="00931B5F">
              <w:rPr>
                <w:rFonts w:ascii="標楷體" w:eastAsia="標楷體" w:hAnsi="標楷體" w:hint="eastAsia"/>
                <w:sz w:val="28"/>
              </w:rPr>
              <w:t>臺</w:t>
            </w:r>
            <w:r w:rsidRPr="00931B5F">
              <w:rPr>
                <w:rFonts w:ascii="標楷體" w:eastAsia="標楷體" w:hAnsi="標楷體"/>
                <w:sz w:val="28"/>
              </w:rPr>
              <w:t>北駐日</w:t>
            </w:r>
            <w:r w:rsidRPr="00931B5F">
              <w:rPr>
                <w:rFonts w:ascii="標楷體" w:eastAsia="標楷體" w:hAnsi="標楷體" w:hint="eastAsia"/>
                <w:sz w:val="28"/>
              </w:rPr>
              <w:t>經濟</w:t>
            </w:r>
            <w:r w:rsidRPr="00931B5F">
              <w:rPr>
                <w:rFonts w:ascii="標楷體" w:eastAsia="標楷體" w:hAnsi="標楷體"/>
                <w:sz w:val="28"/>
              </w:rPr>
              <w:t>文化代表處</w:t>
            </w:r>
          </w:p>
        </w:tc>
      </w:tr>
      <w:tr w:rsidR="00C1026C" w:rsidRPr="002A4102" w14:paraId="5A92BE69" w14:textId="77777777" w:rsidTr="003213CB">
        <w:tc>
          <w:tcPr>
            <w:tcW w:w="1691" w:type="dxa"/>
            <w:shd w:val="clear" w:color="auto" w:fill="auto"/>
            <w:vAlign w:val="center"/>
          </w:tcPr>
          <w:p w14:paraId="172D24D8" w14:textId="07CBDB17" w:rsidR="00C1026C" w:rsidRPr="002A4102" w:rsidRDefault="00DF1BAD" w:rsidP="003213CB">
            <w:pPr>
              <w:snapToGrid w:val="0"/>
              <w:spacing w:beforeLines="15" w:before="36" w:afterLines="15" w:after="36" w:line="440" w:lineRule="exact"/>
              <w:jc w:val="center"/>
              <w:rPr>
                <w:rFonts w:ascii="標楷體" w:eastAsia="標楷體" w:hAnsi="標楷體"/>
                <w:sz w:val="28"/>
              </w:rPr>
            </w:pPr>
            <w:r w:rsidRPr="002A4102">
              <w:rPr>
                <w:rFonts w:ascii="標楷體" w:eastAsia="標楷體" w:hAnsi="標楷體" w:hint="eastAsia"/>
                <w:sz w:val="28"/>
              </w:rPr>
              <w:t>12</w:t>
            </w:r>
            <w:r w:rsidR="00C1026C" w:rsidRPr="002A4102">
              <w:rPr>
                <w:rFonts w:ascii="標楷體" w:eastAsia="標楷體" w:hAnsi="標楷體" w:hint="eastAsia"/>
                <w:sz w:val="28"/>
              </w:rPr>
              <w:t>月</w:t>
            </w:r>
            <w:r w:rsidRPr="002A4102">
              <w:rPr>
                <w:rFonts w:ascii="標楷體" w:eastAsia="標楷體" w:hAnsi="標楷體" w:hint="eastAsia"/>
                <w:sz w:val="28"/>
              </w:rPr>
              <w:t>5</w:t>
            </w:r>
            <w:r w:rsidR="00C1026C" w:rsidRPr="002A4102">
              <w:rPr>
                <w:rFonts w:ascii="標楷體" w:eastAsia="標楷體" w:hAnsi="標楷體" w:hint="eastAsia"/>
                <w:sz w:val="28"/>
              </w:rPr>
              <w:t>日</w:t>
            </w:r>
          </w:p>
        </w:tc>
        <w:tc>
          <w:tcPr>
            <w:tcW w:w="3685" w:type="dxa"/>
            <w:shd w:val="clear" w:color="auto" w:fill="auto"/>
            <w:vAlign w:val="center"/>
          </w:tcPr>
          <w:p w14:paraId="39EB201A" w14:textId="37AB313F" w:rsidR="00C1026C" w:rsidRPr="002A4102" w:rsidRDefault="00931B5F" w:rsidP="00D70792">
            <w:pPr>
              <w:snapToGrid w:val="0"/>
              <w:spacing w:beforeLines="10" w:before="24" w:afterLines="10" w:after="24" w:line="360" w:lineRule="exact"/>
              <w:jc w:val="both"/>
              <w:rPr>
                <w:rFonts w:ascii="標楷體" w:eastAsia="標楷體" w:hAnsi="標楷體"/>
                <w:sz w:val="28"/>
              </w:rPr>
            </w:pPr>
            <w:r w:rsidRPr="002A4102">
              <w:rPr>
                <w:rFonts w:ascii="標楷體" w:eastAsia="標楷體" w:hAnsi="標楷體" w:hint="eastAsia"/>
                <w:sz w:val="28"/>
              </w:rPr>
              <w:t>東京→</w:t>
            </w:r>
            <w:r w:rsidRPr="00931B5F">
              <w:rPr>
                <w:rFonts w:ascii="標楷體" w:eastAsia="標楷體" w:hAnsi="標楷體" w:hint="eastAsia"/>
                <w:sz w:val="28"/>
              </w:rPr>
              <w:t>東京大學</w:t>
            </w:r>
            <w:r w:rsidRPr="002A4102">
              <w:rPr>
                <w:rFonts w:ascii="標楷體" w:eastAsia="標楷體" w:hAnsi="標楷體" w:hint="eastAsia"/>
                <w:sz w:val="28"/>
              </w:rPr>
              <w:t>→</w:t>
            </w:r>
            <w:r w:rsidRPr="00931B5F">
              <w:rPr>
                <w:rFonts w:ascii="標楷體" w:eastAsia="標楷體" w:hAnsi="標楷體" w:hint="eastAsia"/>
                <w:sz w:val="28"/>
              </w:rPr>
              <w:t>日本參議院會館</w:t>
            </w:r>
          </w:p>
        </w:tc>
        <w:tc>
          <w:tcPr>
            <w:tcW w:w="3341" w:type="dxa"/>
            <w:shd w:val="clear" w:color="auto" w:fill="auto"/>
            <w:vAlign w:val="center"/>
          </w:tcPr>
          <w:p w14:paraId="6D880531" w14:textId="77777777" w:rsidR="00C1026C" w:rsidRPr="00931B5F" w:rsidRDefault="00931B5F" w:rsidP="00D70792">
            <w:pPr>
              <w:snapToGrid w:val="0"/>
              <w:spacing w:beforeLines="10" w:before="24" w:afterLines="10" w:after="24" w:line="360" w:lineRule="exact"/>
              <w:jc w:val="both"/>
              <w:rPr>
                <w:rFonts w:ascii="標楷體" w:eastAsia="標楷體" w:hAnsi="標楷體"/>
                <w:sz w:val="28"/>
              </w:rPr>
            </w:pPr>
            <w:r w:rsidRPr="00931B5F">
              <w:rPr>
                <w:rFonts w:ascii="標楷體" w:eastAsia="標楷體" w:hAnsi="標楷體" w:hint="eastAsia"/>
                <w:sz w:val="28"/>
              </w:rPr>
              <w:t>東京大學植物分子遺傳學研究室</w:t>
            </w:r>
          </w:p>
          <w:p w14:paraId="0C3B50AD" w14:textId="12FFF813" w:rsidR="00931B5F" w:rsidRPr="002A4102" w:rsidRDefault="00931B5F" w:rsidP="00D70792">
            <w:pPr>
              <w:snapToGrid w:val="0"/>
              <w:spacing w:beforeLines="10" w:before="24" w:afterLines="10" w:after="24" w:line="360" w:lineRule="exact"/>
              <w:jc w:val="both"/>
              <w:rPr>
                <w:rFonts w:ascii="標楷體" w:eastAsia="標楷體" w:hAnsi="標楷體"/>
                <w:sz w:val="28"/>
              </w:rPr>
            </w:pPr>
            <w:r w:rsidRPr="00931B5F">
              <w:rPr>
                <w:rFonts w:ascii="標楷體" w:eastAsia="標楷體" w:hAnsi="標楷體" w:hint="eastAsia"/>
                <w:sz w:val="28"/>
              </w:rPr>
              <w:t>日本</w:t>
            </w:r>
            <w:r w:rsidR="00F3658C">
              <w:rPr>
                <w:rFonts w:ascii="標楷體" w:eastAsia="標楷體" w:hAnsi="標楷體" w:hint="eastAsia"/>
                <w:sz w:val="28"/>
              </w:rPr>
              <w:t>參議院議員</w:t>
            </w:r>
            <w:r w:rsidRPr="00931B5F">
              <w:rPr>
                <w:rFonts w:ascii="標楷體" w:eastAsia="標楷體" w:hAnsi="標楷體" w:hint="eastAsia"/>
                <w:sz w:val="28"/>
              </w:rPr>
              <w:t>佐藤正久</w:t>
            </w:r>
            <w:r w:rsidRPr="002220E8">
              <w:rPr>
                <w:rFonts w:ascii="標楷體" w:eastAsia="標楷體" w:hAnsi="標楷體" w:hint="eastAsia"/>
                <w:szCs w:val="18"/>
              </w:rPr>
              <w:t>(</w:t>
            </w:r>
            <w:r w:rsidRPr="002220E8">
              <w:rPr>
                <w:rFonts w:ascii="標楷體" w:eastAsia="標楷體" w:hAnsi="標楷體"/>
                <w:szCs w:val="18"/>
              </w:rPr>
              <w:t>さとう まさひさ</w:t>
            </w:r>
            <w:r w:rsidRPr="002220E8">
              <w:rPr>
                <w:rFonts w:ascii="標楷體" w:eastAsia="標楷體" w:hAnsi="標楷體" w:hint="eastAsia"/>
                <w:szCs w:val="18"/>
              </w:rPr>
              <w:t>，自由民主黨幹事長)</w:t>
            </w:r>
          </w:p>
        </w:tc>
      </w:tr>
      <w:tr w:rsidR="00C1026C" w:rsidRPr="002A4102" w14:paraId="7105D0D4" w14:textId="77777777" w:rsidTr="003213CB">
        <w:tc>
          <w:tcPr>
            <w:tcW w:w="1691" w:type="dxa"/>
            <w:shd w:val="clear" w:color="auto" w:fill="auto"/>
            <w:vAlign w:val="center"/>
          </w:tcPr>
          <w:p w14:paraId="4A9F9983" w14:textId="70B63B76" w:rsidR="00C1026C" w:rsidRPr="002A4102" w:rsidRDefault="00DF1BAD" w:rsidP="003213CB">
            <w:pPr>
              <w:snapToGrid w:val="0"/>
              <w:spacing w:beforeLines="15" w:before="36" w:afterLines="15" w:after="36" w:line="440" w:lineRule="exact"/>
              <w:jc w:val="center"/>
              <w:rPr>
                <w:rFonts w:ascii="標楷體" w:eastAsia="標楷體" w:hAnsi="標楷體"/>
                <w:sz w:val="28"/>
              </w:rPr>
            </w:pPr>
            <w:r w:rsidRPr="002A4102">
              <w:rPr>
                <w:rFonts w:ascii="標楷體" w:eastAsia="標楷體" w:hAnsi="標楷體" w:hint="eastAsia"/>
                <w:sz w:val="28"/>
              </w:rPr>
              <w:t>12</w:t>
            </w:r>
            <w:r w:rsidR="00C1026C" w:rsidRPr="002A4102">
              <w:rPr>
                <w:rFonts w:ascii="標楷體" w:eastAsia="標楷體" w:hAnsi="標楷體" w:hint="eastAsia"/>
                <w:sz w:val="28"/>
              </w:rPr>
              <w:t>月</w:t>
            </w:r>
            <w:r w:rsidRPr="002A4102">
              <w:rPr>
                <w:rFonts w:ascii="標楷體" w:eastAsia="標楷體" w:hAnsi="標楷體" w:hint="eastAsia"/>
                <w:sz w:val="28"/>
              </w:rPr>
              <w:t>6</w:t>
            </w:r>
            <w:r w:rsidR="00C1026C" w:rsidRPr="002A4102">
              <w:rPr>
                <w:rFonts w:ascii="標楷體" w:eastAsia="標楷體" w:hAnsi="標楷體" w:hint="eastAsia"/>
                <w:sz w:val="28"/>
              </w:rPr>
              <w:t>日</w:t>
            </w:r>
          </w:p>
        </w:tc>
        <w:tc>
          <w:tcPr>
            <w:tcW w:w="3685" w:type="dxa"/>
            <w:shd w:val="clear" w:color="auto" w:fill="auto"/>
            <w:vAlign w:val="center"/>
          </w:tcPr>
          <w:p w14:paraId="67D1087C" w14:textId="6583ECEC" w:rsidR="00C1026C" w:rsidRPr="002A4102" w:rsidRDefault="00931B5F" w:rsidP="00D70792">
            <w:pPr>
              <w:snapToGrid w:val="0"/>
              <w:spacing w:beforeLines="10" w:before="24" w:afterLines="10" w:after="24" w:line="360" w:lineRule="exact"/>
              <w:jc w:val="both"/>
              <w:rPr>
                <w:rFonts w:ascii="標楷體" w:eastAsia="標楷體" w:hAnsi="標楷體"/>
                <w:sz w:val="28"/>
              </w:rPr>
            </w:pPr>
            <w:r w:rsidRPr="002A4102">
              <w:rPr>
                <w:rFonts w:ascii="標楷體" w:eastAsia="標楷體" w:hAnsi="標楷體" w:hint="eastAsia"/>
                <w:sz w:val="28"/>
              </w:rPr>
              <w:t>東京→</w:t>
            </w:r>
            <w:r w:rsidR="00135FE7" w:rsidRPr="002A4102">
              <w:rPr>
                <w:rFonts w:ascii="標楷體" w:eastAsia="標楷體" w:hAnsi="標楷體" w:hint="eastAsia"/>
                <w:sz w:val="28"/>
              </w:rPr>
              <w:t>茨城縣</w:t>
            </w:r>
            <w:r w:rsidRPr="002A4102">
              <w:rPr>
                <w:rFonts w:ascii="標楷體" w:eastAsia="標楷體" w:hAnsi="標楷體" w:hint="eastAsia"/>
                <w:sz w:val="28"/>
              </w:rPr>
              <w:t>→</w:t>
            </w:r>
            <w:r w:rsidRPr="00931B5F">
              <w:rPr>
                <w:rFonts w:ascii="標楷體" w:eastAsia="標楷體" w:hAnsi="標楷體"/>
                <w:sz w:val="28"/>
              </w:rPr>
              <w:t>國立研究開發法人</w:t>
            </w:r>
            <w:r w:rsidRPr="002220E8">
              <w:rPr>
                <w:rFonts w:ascii="標楷體" w:eastAsia="標楷體" w:hAnsi="標楷體"/>
                <w:sz w:val="28"/>
              </w:rPr>
              <w:t>日本原子能研究開發機構</w:t>
            </w:r>
          </w:p>
        </w:tc>
        <w:tc>
          <w:tcPr>
            <w:tcW w:w="3341" w:type="dxa"/>
            <w:shd w:val="clear" w:color="auto" w:fill="auto"/>
            <w:vAlign w:val="center"/>
          </w:tcPr>
          <w:p w14:paraId="593F6B57" w14:textId="259F3632" w:rsidR="00C1026C" w:rsidRPr="002A4102" w:rsidRDefault="00931B5F" w:rsidP="00D70792">
            <w:pPr>
              <w:snapToGrid w:val="0"/>
              <w:spacing w:beforeLines="10" w:before="24" w:afterLines="10" w:after="24" w:line="360" w:lineRule="exact"/>
              <w:jc w:val="both"/>
              <w:rPr>
                <w:rFonts w:ascii="標楷體" w:eastAsia="標楷體" w:hAnsi="標楷體"/>
                <w:sz w:val="28"/>
              </w:rPr>
            </w:pPr>
            <w:r w:rsidRPr="00931B5F">
              <w:rPr>
                <w:rFonts w:ascii="標楷體" w:eastAsia="標楷體" w:hAnsi="標楷體"/>
                <w:sz w:val="28"/>
              </w:rPr>
              <w:t>國立研究開發法人日本原子能研究開發機構</w:t>
            </w:r>
            <w:r w:rsidR="002220E8" w:rsidRPr="003213CB">
              <w:rPr>
                <w:rFonts w:ascii="標楷體" w:eastAsia="標楷體" w:hAnsi="標楷體" w:hint="eastAsia"/>
                <w:szCs w:val="18"/>
              </w:rPr>
              <w:t>(</w:t>
            </w:r>
            <w:r w:rsidR="002220E8" w:rsidRPr="003213CB">
              <w:rPr>
                <w:rFonts w:ascii="標楷體" w:eastAsia="標楷體" w:hAnsi="標楷體"/>
                <w:szCs w:val="18"/>
                <w:lang w:val="en"/>
              </w:rPr>
              <w:t>Japan Atomic Energy Agency</w:t>
            </w:r>
            <w:r w:rsidR="002220E8" w:rsidRPr="003213CB">
              <w:rPr>
                <w:rFonts w:ascii="標楷體" w:eastAsia="標楷體" w:hAnsi="標楷體"/>
                <w:szCs w:val="18"/>
              </w:rPr>
              <w:t>，JAEA</w:t>
            </w:r>
            <w:r w:rsidR="002220E8" w:rsidRPr="003213CB">
              <w:rPr>
                <w:rFonts w:ascii="標楷體" w:eastAsia="標楷體" w:hAnsi="標楷體" w:hint="eastAsia"/>
                <w:szCs w:val="18"/>
              </w:rPr>
              <w:t>)</w:t>
            </w:r>
          </w:p>
        </w:tc>
      </w:tr>
      <w:tr w:rsidR="00C1026C" w:rsidRPr="002A4102" w14:paraId="2581C2DE" w14:textId="77777777" w:rsidTr="003213CB">
        <w:tc>
          <w:tcPr>
            <w:tcW w:w="1691" w:type="dxa"/>
            <w:shd w:val="clear" w:color="auto" w:fill="auto"/>
            <w:vAlign w:val="center"/>
          </w:tcPr>
          <w:p w14:paraId="56C0AB77" w14:textId="1BB05D9A" w:rsidR="00C1026C" w:rsidRPr="002A4102" w:rsidRDefault="00DF1BAD" w:rsidP="003213CB">
            <w:pPr>
              <w:snapToGrid w:val="0"/>
              <w:spacing w:beforeLines="15" w:before="36" w:afterLines="15" w:after="36" w:line="440" w:lineRule="exact"/>
              <w:jc w:val="center"/>
              <w:rPr>
                <w:rFonts w:ascii="標楷體" w:eastAsia="標楷體" w:hAnsi="標楷體"/>
                <w:sz w:val="28"/>
              </w:rPr>
            </w:pPr>
            <w:r w:rsidRPr="002A4102">
              <w:rPr>
                <w:rFonts w:ascii="標楷體" w:eastAsia="標楷體" w:hAnsi="標楷體" w:hint="eastAsia"/>
                <w:sz w:val="28"/>
              </w:rPr>
              <w:t>12</w:t>
            </w:r>
            <w:r w:rsidR="00C1026C" w:rsidRPr="002A4102">
              <w:rPr>
                <w:rFonts w:ascii="標楷體" w:eastAsia="標楷體" w:hAnsi="標楷體" w:hint="eastAsia"/>
                <w:sz w:val="28"/>
              </w:rPr>
              <w:t>月</w:t>
            </w:r>
            <w:r w:rsidRPr="002A4102">
              <w:rPr>
                <w:rFonts w:ascii="標楷體" w:eastAsia="標楷體" w:hAnsi="標楷體" w:hint="eastAsia"/>
                <w:sz w:val="28"/>
              </w:rPr>
              <w:t>9</w:t>
            </w:r>
            <w:r w:rsidR="00C1026C" w:rsidRPr="002A4102">
              <w:rPr>
                <w:rFonts w:ascii="標楷體" w:eastAsia="標楷體" w:hAnsi="標楷體" w:hint="eastAsia"/>
                <w:sz w:val="28"/>
              </w:rPr>
              <w:t>日</w:t>
            </w:r>
          </w:p>
        </w:tc>
        <w:tc>
          <w:tcPr>
            <w:tcW w:w="3685" w:type="dxa"/>
            <w:shd w:val="clear" w:color="auto" w:fill="auto"/>
            <w:vAlign w:val="center"/>
          </w:tcPr>
          <w:p w14:paraId="387ECE5F" w14:textId="7E3AD9CF" w:rsidR="00C1026C" w:rsidRPr="002A4102" w:rsidRDefault="002220E8" w:rsidP="00D70792">
            <w:pPr>
              <w:snapToGrid w:val="0"/>
              <w:spacing w:beforeLines="10" w:before="24" w:afterLines="10" w:after="24" w:line="360" w:lineRule="exact"/>
              <w:jc w:val="both"/>
              <w:rPr>
                <w:rFonts w:ascii="標楷體" w:eastAsia="標楷體" w:hAnsi="標楷體"/>
                <w:sz w:val="28"/>
              </w:rPr>
            </w:pPr>
            <w:r>
              <w:rPr>
                <w:rFonts w:ascii="標楷體" w:eastAsia="標楷體" w:hAnsi="標楷體" w:hint="eastAsia"/>
                <w:sz w:val="28"/>
              </w:rPr>
              <w:t>日本</w:t>
            </w:r>
            <w:r w:rsidRPr="002A4102">
              <w:rPr>
                <w:rFonts w:ascii="標楷體" w:eastAsia="標楷體" w:hAnsi="標楷體" w:hint="eastAsia"/>
                <w:sz w:val="28"/>
              </w:rPr>
              <w:t>東京→</w:t>
            </w:r>
            <w:r w:rsidR="00135FE7" w:rsidRPr="002A4102">
              <w:rPr>
                <w:rFonts w:ascii="標楷體" w:eastAsia="標楷體" w:hAnsi="標楷體" w:hint="eastAsia"/>
                <w:sz w:val="28"/>
              </w:rPr>
              <w:t>成田機場</w:t>
            </w:r>
            <w:r w:rsidR="00095FB5" w:rsidRPr="002A4102">
              <w:rPr>
                <w:rFonts w:ascii="標楷體" w:eastAsia="標楷體" w:hAnsi="標楷體" w:hint="eastAsia"/>
                <w:sz w:val="28"/>
              </w:rPr>
              <w:t>→</w:t>
            </w:r>
            <w:r w:rsidR="00135FE7" w:rsidRPr="002A4102">
              <w:rPr>
                <w:rFonts w:ascii="標楷體" w:eastAsia="標楷體" w:hAnsi="標楷體" w:hint="eastAsia"/>
                <w:sz w:val="28"/>
              </w:rPr>
              <w:t>臺灣桃園機場</w:t>
            </w:r>
            <w:r w:rsidRPr="002A4102">
              <w:rPr>
                <w:rFonts w:ascii="標楷體" w:eastAsia="標楷體" w:hAnsi="標楷體" w:hint="eastAsia"/>
                <w:sz w:val="28"/>
              </w:rPr>
              <w:t>→臺北</w:t>
            </w:r>
          </w:p>
        </w:tc>
        <w:tc>
          <w:tcPr>
            <w:tcW w:w="3341" w:type="dxa"/>
            <w:shd w:val="clear" w:color="auto" w:fill="auto"/>
            <w:vAlign w:val="center"/>
          </w:tcPr>
          <w:p w14:paraId="73BFF0B2" w14:textId="1B0714D0" w:rsidR="00C1026C" w:rsidRPr="002A4102" w:rsidRDefault="002220E8" w:rsidP="00D70792">
            <w:pPr>
              <w:snapToGrid w:val="0"/>
              <w:spacing w:beforeLines="10" w:before="24" w:afterLines="10" w:after="24" w:line="360" w:lineRule="exact"/>
              <w:jc w:val="both"/>
              <w:rPr>
                <w:rFonts w:ascii="標楷體" w:eastAsia="標楷體" w:hAnsi="標楷體"/>
                <w:sz w:val="28"/>
              </w:rPr>
            </w:pPr>
            <w:r>
              <w:rPr>
                <w:rFonts w:ascii="標楷體" w:eastAsia="標楷體" w:hAnsi="標楷體" w:hint="eastAsia"/>
                <w:sz w:val="28"/>
              </w:rPr>
              <w:t>返程</w:t>
            </w:r>
          </w:p>
        </w:tc>
      </w:tr>
    </w:tbl>
    <w:p w14:paraId="630EE2D5" w14:textId="77777777" w:rsidR="00685740" w:rsidRDefault="00BF53E4" w:rsidP="00BF53E4">
      <w:pPr>
        <w:snapToGrid w:val="0"/>
        <w:spacing w:beforeLines="15" w:before="36" w:afterLines="15" w:after="36"/>
        <w:jc w:val="center"/>
        <w:rPr>
          <w:rFonts w:ascii="標楷體" w:eastAsia="標楷體" w:hAnsi="標楷體"/>
          <w:sz w:val="32"/>
          <w:szCs w:val="36"/>
        </w:rPr>
      </w:pPr>
      <w:r>
        <w:rPr>
          <w:rFonts w:ascii="標楷體" w:eastAsia="標楷體" w:hAnsi="標楷體"/>
          <w:noProof/>
          <w:sz w:val="32"/>
          <w:szCs w:val="36"/>
        </w:rPr>
        <w:lastRenderedPageBreak/>
        <w:drawing>
          <wp:inline distT="0" distB="0" distL="0" distR="0" wp14:anchorId="37885273" wp14:editId="3B55F722">
            <wp:extent cx="5760085" cy="3508375"/>
            <wp:effectExtent l="19050" t="19050" r="12065" b="15875"/>
            <wp:docPr id="1715157291" name="圖片 1" descr="一張含有 文字, 地圖, 地圖集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157291" name="圖片 1" descr="一張含有 文字, 地圖, 地圖集 的圖片&#10;&#10;自動產生的描述"/>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0085" cy="3508375"/>
                    </a:xfrm>
                    <a:prstGeom prst="rect">
                      <a:avLst/>
                    </a:prstGeom>
                    <a:ln>
                      <a:solidFill>
                        <a:schemeClr val="accent1"/>
                      </a:solidFill>
                    </a:ln>
                  </pic:spPr>
                </pic:pic>
              </a:graphicData>
            </a:graphic>
          </wp:inline>
        </w:drawing>
      </w:r>
    </w:p>
    <w:p w14:paraId="39724DC1" w14:textId="0A5C7C02" w:rsidR="00BF53E4" w:rsidRPr="002A4102" w:rsidRDefault="00BF53E4" w:rsidP="00E96C66">
      <w:pPr>
        <w:pStyle w:val="a1"/>
      </w:pPr>
      <w:bookmarkStart w:id="12" w:name="_Toc185425882"/>
      <w:bookmarkStart w:id="13" w:name="_Toc185426102"/>
      <w:bookmarkStart w:id="14" w:name="_Toc185605706"/>
      <w:bookmarkStart w:id="15" w:name="_Toc186029825"/>
      <w:r w:rsidRPr="002A4102">
        <w:rPr>
          <w:rFonts w:hint="eastAsia"/>
        </w:rPr>
        <w:t>日本</w:t>
      </w:r>
      <w:r>
        <w:rPr>
          <w:rFonts w:hint="eastAsia"/>
        </w:rPr>
        <w:t>考察及訪</w:t>
      </w:r>
      <w:r w:rsidRPr="002A4102">
        <w:rPr>
          <w:rFonts w:hint="eastAsia"/>
        </w:rPr>
        <w:t>查行程</w:t>
      </w:r>
      <w:r>
        <w:rPr>
          <w:rFonts w:hint="eastAsia"/>
        </w:rPr>
        <w:t>概要圖</w:t>
      </w:r>
      <w:bookmarkEnd w:id="12"/>
      <w:bookmarkEnd w:id="13"/>
      <w:bookmarkEnd w:id="14"/>
      <w:bookmarkEnd w:id="15"/>
    </w:p>
    <w:p w14:paraId="4217E639" w14:textId="70C6FB8B" w:rsidR="007A70CF" w:rsidRPr="00DF3DBD" w:rsidRDefault="007A70CF" w:rsidP="009C4EE0">
      <w:pPr>
        <w:numPr>
          <w:ilvl w:val="0"/>
          <w:numId w:val="2"/>
        </w:numPr>
        <w:tabs>
          <w:tab w:val="left" w:pos="-1920"/>
        </w:tabs>
        <w:snapToGrid w:val="0"/>
        <w:spacing w:beforeLines="15" w:before="36" w:afterLines="15" w:after="36" w:line="440" w:lineRule="exact"/>
        <w:jc w:val="both"/>
        <w:outlineLvl w:val="0"/>
        <w:rPr>
          <w:rFonts w:ascii="標楷體" w:eastAsia="標楷體" w:hAnsi="標楷體"/>
          <w:bCs/>
          <w:spacing w:val="-10"/>
          <w:sz w:val="28"/>
          <w:szCs w:val="28"/>
        </w:rPr>
      </w:pPr>
      <w:bookmarkStart w:id="16" w:name="_Toc185412380"/>
      <w:bookmarkStart w:id="17" w:name="_Toc185605557"/>
      <w:bookmarkStart w:id="18" w:name="_Toc142463764"/>
      <w:r w:rsidRPr="00DF3DBD">
        <w:rPr>
          <w:rFonts w:ascii="標楷體" w:eastAsia="標楷體" w:hAnsi="標楷體" w:hint="eastAsia"/>
          <w:bCs/>
          <w:spacing w:val="-10"/>
          <w:sz w:val="28"/>
          <w:szCs w:val="28"/>
        </w:rPr>
        <w:t>考察背景</w:t>
      </w:r>
      <w:r w:rsidR="000B1B26" w:rsidRPr="00DF3DBD">
        <w:rPr>
          <w:rFonts w:ascii="標楷體" w:eastAsia="標楷體" w:hAnsi="標楷體" w:hint="eastAsia"/>
          <w:bCs/>
          <w:spacing w:val="-10"/>
          <w:sz w:val="28"/>
          <w:szCs w:val="28"/>
        </w:rPr>
        <w:t>資料</w:t>
      </w:r>
      <w:bookmarkEnd w:id="16"/>
      <w:bookmarkEnd w:id="17"/>
    </w:p>
    <w:p w14:paraId="1CDCF9FC" w14:textId="38201889" w:rsidR="002220E8" w:rsidRPr="003213CB" w:rsidRDefault="002220E8" w:rsidP="009C4EE0">
      <w:pPr>
        <w:numPr>
          <w:ilvl w:val="1"/>
          <w:numId w:val="2"/>
        </w:numPr>
        <w:tabs>
          <w:tab w:val="left" w:pos="-1920"/>
        </w:tabs>
        <w:snapToGrid w:val="0"/>
        <w:spacing w:beforeLines="15" w:before="36" w:afterLines="15" w:after="36" w:line="440" w:lineRule="exact"/>
        <w:ind w:left="964" w:hanging="482"/>
        <w:jc w:val="both"/>
        <w:outlineLvl w:val="1"/>
        <w:rPr>
          <w:rFonts w:ascii="標楷體" w:eastAsia="標楷體" w:hAnsi="標楷體"/>
          <w:bCs/>
          <w:sz w:val="28"/>
          <w:szCs w:val="28"/>
        </w:rPr>
      </w:pPr>
      <w:bookmarkStart w:id="19" w:name="_Toc185412381"/>
      <w:r w:rsidRPr="003213CB">
        <w:rPr>
          <w:rFonts w:ascii="標楷體" w:eastAsia="標楷體" w:hAnsi="標楷體" w:hint="eastAsia"/>
          <w:bCs/>
          <w:sz w:val="28"/>
          <w:szCs w:val="28"/>
        </w:rPr>
        <w:t>我國與</w:t>
      </w:r>
      <w:r w:rsidRPr="003213CB">
        <w:rPr>
          <w:rFonts w:ascii="標楷體" w:eastAsia="標楷體" w:hAnsi="標楷體"/>
          <w:bCs/>
          <w:sz w:val="28"/>
          <w:szCs w:val="28"/>
        </w:rPr>
        <w:t>日本核電現況與發展</w:t>
      </w:r>
      <w:r w:rsidRPr="003213CB">
        <w:rPr>
          <w:rFonts w:ascii="標楷體" w:eastAsia="標楷體" w:hAnsi="標楷體" w:hint="eastAsia"/>
          <w:bCs/>
          <w:sz w:val="28"/>
          <w:szCs w:val="28"/>
        </w:rPr>
        <w:t>之</w:t>
      </w:r>
      <w:r w:rsidRPr="003213CB">
        <w:rPr>
          <w:rFonts w:ascii="標楷體" w:eastAsia="標楷體" w:hAnsi="標楷體"/>
          <w:bCs/>
          <w:sz w:val="28"/>
          <w:szCs w:val="28"/>
        </w:rPr>
        <w:t>分析</w:t>
      </w:r>
      <w:r w:rsidRPr="003213CB">
        <w:rPr>
          <w:rStyle w:val="aff9"/>
          <w:rFonts w:ascii="標楷體" w:hAnsi="標楷體"/>
          <w:color w:val="000000" w:themeColor="text1"/>
          <w:sz w:val="28"/>
          <w:szCs w:val="28"/>
        </w:rPr>
        <w:footnoteReference w:id="1"/>
      </w:r>
      <w:bookmarkEnd w:id="19"/>
    </w:p>
    <w:p w14:paraId="26BD5070" w14:textId="77777777" w:rsidR="002220E8" w:rsidRPr="002220E8" w:rsidRDefault="002220E8" w:rsidP="003213CB">
      <w:pPr>
        <w:snapToGrid w:val="0"/>
        <w:spacing w:beforeLines="15" w:before="36" w:afterLines="15" w:after="36" w:line="440" w:lineRule="exact"/>
        <w:ind w:leftChars="418" w:left="1003" w:firstLineChars="200" w:firstLine="560"/>
        <w:jc w:val="both"/>
        <w:rPr>
          <w:rFonts w:ascii="標楷體" w:eastAsia="標楷體" w:hAnsi="標楷體"/>
          <w:bCs/>
          <w:color w:val="000000" w:themeColor="text1"/>
          <w:sz w:val="28"/>
          <w:szCs w:val="36"/>
        </w:rPr>
      </w:pPr>
      <w:r w:rsidRPr="002220E8">
        <w:rPr>
          <w:rFonts w:ascii="標楷體" w:eastAsia="標楷體" w:hAnsi="標楷體" w:hint="eastAsia"/>
          <w:bCs/>
          <w:color w:val="000000" w:themeColor="text1"/>
          <w:sz w:val="28"/>
          <w:szCs w:val="36"/>
        </w:rPr>
        <w:t>我國與</w:t>
      </w:r>
      <w:r w:rsidRPr="002220E8">
        <w:rPr>
          <w:rFonts w:ascii="標楷體" w:eastAsia="標楷體" w:hAnsi="標楷體"/>
          <w:bCs/>
          <w:color w:val="000000" w:themeColor="text1"/>
          <w:sz w:val="28"/>
          <w:szCs w:val="36"/>
        </w:rPr>
        <w:t>日本在核電發展上呈現明顯的對比。日本</w:t>
      </w:r>
      <w:r w:rsidRPr="002220E8">
        <w:rPr>
          <w:rFonts w:ascii="標楷體" w:eastAsia="標楷體" w:hAnsi="標楷體" w:hint="eastAsia"/>
          <w:bCs/>
          <w:color w:val="000000" w:themeColor="text1"/>
          <w:sz w:val="28"/>
          <w:szCs w:val="36"/>
        </w:rPr>
        <w:t>將</w:t>
      </w:r>
      <w:r w:rsidRPr="002220E8">
        <w:rPr>
          <w:rFonts w:ascii="標楷體" w:eastAsia="標楷體" w:hAnsi="標楷體"/>
          <w:bCs/>
          <w:color w:val="000000" w:themeColor="text1"/>
          <w:sz w:val="28"/>
          <w:szCs w:val="36"/>
        </w:rPr>
        <w:t>核能</w:t>
      </w:r>
      <w:r w:rsidRPr="002220E8">
        <w:rPr>
          <w:rFonts w:ascii="標楷體" w:eastAsia="標楷體" w:hAnsi="標楷體" w:hint="eastAsia"/>
          <w:bCs/>
          <w:color w:val="000000" w:themeColor="text1"/>
          <w:sz w:val="28"/>
          <w:szCs w:val="36"/>
        </w:rPr>
        <w:t>發電視</w:t>
      </w:r>
      <w:r w:rsidRPr="002220E8">
        <w:rPr>
          <w:rFonts w:ascii="標楷體" w:eastAsia="標楷體" w:hAnsi="標楷體"/>
          <w:bCs/>
          <w:color w:val="000000" w:themeColor="text1"/>
          <w:sz w:val="28"/>
          <w:szCs w:val="36"/>
        </w:rPr>
        <w:t>為重要的基載電力，積極重啟、新建核電廠，並持續投入核能技術研發。</w:t>
      </w:r>
      <w:r w:rsidRPr="002220E8">
        <w:rPr>
          <w:rFonts w:ascii="標楷體" w:eastAsia="標楷體" w:hAnsi="標楷體" w:hint="eastAsia"/>
          <w:bCs/>
          <w:color w:val="000000" w:themeColor="text1"/>
          <w:sz w:val="28"/>
          <w:szCs w:val="36"/>
        </w:rPr>
        <w:t>我國</w:t>
      </w:r>
      <w:r w:rsidRPr="002220E8">
        <w:rPr>
          <w:rFonts w:ascii="標楷體" w:eastAsia="標楷體" w:hAnsi="標楷體"/>
          <w:bCs/>
          <w:color w:val="000000" w:themeColor="text1"/>
          <w:sz w:val="28"/>
          <w:szCs w:val="36"/>
        </w:rPr>
        <w:t>走向非核家園，</w:t>
      </w:r>
      <w:r w:rsidRPr="002220E8">
        <w:rPr>
          <w:rFonts w:ascii="標楷體" w:eastAsia="標楷體" w:hAnsi="標楷體" w:hint="eastAsia"/>
          <w:bCs/>
          <w:color w:val="000000" w:themeColor="text1"/>
          <w:sz w:val="28"/>
          <w:szCs w:val="36"/>
        </w:rPr>
        <w:t>卻</w:t>
      </w:r>
      <w:r w:rsidRPr="002220E8">
        <w:rPr>
          <w:rFonts w:ascii="標楷體" w:eastAsia="標楷體" w:hAnsi="標楷體"/>
          <w:bCs/>
          <w:color w:val="000000" w:themeColor="text1"/>
          <w:sz w:val="28"/>
          <w:szCs w:val="36"/>
        </w:rPr>
        <w:t>面臨著電力供應穩定度和核廢料處理的挑戰</w:t>
      </w:r>
      <w:r w:rsidRPr="002220E8">
        <w:rPr>
          <w:rFonts w:ascii="標楷體" w:eastAsia="標楷體" w:hAnsi="標楷體" w:hint="eastAsia"/>
          <w:bCs/>
          <w:color w:val="000000" w:themeColor="text1"/>
          <w:sz w:val="28"/>
          <w:szCs w:val="36"/>
        </w:rPr>
        <w:t>，其政策</w:t>
      </w:r>
      <w:r w:rsidRPr="002220E8">
        <w:rPr>
          <w:rFonts w:ascii="標楷體" w:eastAsia="標楷體" w:hAnsi="標楷體"/>
          <w:bCs/>
          <w:color w:val="000000" w:themeColor="text1"/>
          <w:sz w:val="28"/>
          <w:szCs w:val="36"/>
        </w:rPr>
        <w:t>選擇反映</w:t>
      </w:r>
      <w:r w:rsidRPr="002220E8">
        <w:rPr>
          <w:rFonts w:ascii="標楷體" w:eastAsia="標楷體" w:hAnsi="標楷體" w:hint="eastAsia"/>
          <w:bCs/>
          <w:color w:val="000000" w:themeColor="text1"/>
          <w:sz w:val="28"/>
          <w:szCs w:val="36"/>
        </w:rPr>
        <w:t>出</w:t>
      </w:r>
      <w:r w:rsidRPr="002220E8">
        <w:rPr>
          <w:rFonts w:ascii="標楷體" w:eastAsia="標楷體" w:hAnsi="標楷體"/>
          <w:bCs/>
          <w:color w:val="000000" w:themeColor="text1"/>
          <w:sz w:val="28"/>
          <w:szCs w:val="36"/>
        </w:rPr>
        <w:t>不同的能源政策考量和社會背景，未來發展值得持續關注。</w:t>
      </w:r>
    </w:p>
    <w:p w14:paraId="47C3AC02" w14:textId="77777777" w:rsidR="002220E8" w:rsidRPr="002220E8" w:rsidRDefault="002220E8" w:rsidP="009C4EE0">
      <w:pPr>
        <w:numPr>
          <w:ilvl w:val="2"/>
          <w:numId w:val="2"/>
        </w:numPr>
        <w:tabs>
          <w:tab w:val="left" w:pos="-1920"/>
        </w:tabs>
        <w:snapToGrid w:val="0"/>
        <w:spacing w:beforeLines="15" w:before="36" w:afterLines="15" w:after="36" w:line="440" w:lineRule="exact"/>
        <w:ind w:left="1162" w:hanging="482"/>
        <w:jc w:val="both"/>
        <w:outlineLvl w:val="2"/>
        <w:rPr>
          <w:rFonts w:ascii="標楷體" w:eastAsia="標楷體" w:hAnsi="標楷體"/>
          <w:bCs/>
          <w:sz w:val="28"/>
          <w:szCs w:val="36"/>
        </w:rPr>
      </w:pPr>
      <w:r w:rsidRPr="002220E8">
        <w:rPr>
          <w:rFonts w:ascii="標楷體" w:eastAsia="標楷體" w:hAnsi="標楷體"/>
          <w:bCs/>
          <w:sz w:val="28"/>
          <w:szCs w:val="36"/>
        </w:rPr>
        <w:t>運轉中的</w:t>
      </w:r>
      <w:r w:rsidRPr="002220E8">
        <w:rPr>
          <w:rFonts w:ascii="標楷體" w:eastAsia="標楷體" w:hAnsi="標楷體" w:hint="eastAsia"/>
          <w:bCs/>
          <w:sz w:val="28"/>
          <w:szCs w:val="36"/>
        </w:rPr>
        <w:t>核</w:t>
      </w:r>
      <w:r w:rsidRPr="002220E8">
        <w:rPr>
          <w:rFonts w:ascii="標楷體" w:eastAsia="標楷體" w:hAnsi="標楷體"/>
          <w:bCs/>
          <w:sz w:val="28"/>
          <w:szCs w:val="36"/>
        </w:rPr>
        <w:t>反應</w:t>
      </w:r>
      <w:r w:rsidRPr="002220E8">
        <w:rPr>
          <w:rFonts w:ascii="標楷體" w:eastAsia="標楷體" w:hAnsi="標楷體" w:hint="eastAsia"/>
          <w:bCs/>
          <w:sz w:val="28"/>
          <w:szCs w:val="36"/>
        </w:rPr>
        <w:t>器</w:t>
      </w:r>
      <w:r w:rsidRPr="002220E8">
        <w:rPr>
          <w:rFonts w:ascii="標楷體" w:eastAsia="標楷體" w:hAnsi="標楷體"/>
          <w:bCs/>
          <w:sz w:val="28"/>
          <w:szCs w:val="36"/>
        </w:rPr>
        <w:t>數量：</w:t>
      </w:r>
      <w:r w:rsidRPr="002220E8">
        <w:rPr>
          <w:rFonts w:ascii="標楷體" w:eastAsia="標楷體" w:hAnsi="標楷體" w:hint="eastAsia"/>
          <w:bCs/>
          <w:sz w:val="28"/>
          <w:szCs w:val="36"/>
        </w:rPr>
        <w:t>我國</w:t>
      </w:r>
      <w:r w:rsidRPr="002220E8">
        <w:rPr>
          <w:rFonts w:ascii="標楷體" w:eastAsia="標楷體" w:hAnsi="標楷體"/>
          <w:bCs/>
          <w:sz w:val="28"/>
          <w:szCs w:val="36"/>
        </w:rPr>
        <w:t>僅剩</w:t>
      </w:r>
      <w:r w:rsidRPr="002220E8">
        <w:rPr>
          <w:rFonts w:ascii="標楷體" w:eastAsia="標楷體" w:hAnsi="標楷體" w:hint="eastAsia"/>
          <w:bCs/>
          <w:sz w:val="28"/>
          <w:szCs w:val="36"/>
        </w:rPr>
        <w:t>1個反應器可供操作(938M</w:t>
      </w:r>
      <w:r w:rsidRPr="002220E8">
        <w:rPr>
          <w:rFonts w:ascii="標楷體" w:eastAsia="標楷體" w:hAnsi="標楷體"/>
          <w:bCs/>
          <w:sz w:val="28"/>
          <w:szCs w:val="36"/>
        </w:rPr>
        <w:t>w</w:t>
      </w:r>
      <w:r w:rsidRPr="002220E8">
        <w:rPr>
          <w:rFonts w:ascii="標楷體" w:eastAsia="標楷體" w:hAnsi="標楷體" w:hint="eastAsia"/>
          <w:bCs/>
          <w:sz w:val="28"/>
          <w:szCs w:val="36"/>
        </w:rPr>
        <w:t>e)，而</w:t>
      </w:r>
      <w:r w:rsidRPr="002220E8">
        <w:rPr>
          <w:rFonts w:ascii="標楷體" w:eastAsia="標楷體" w:hAnsi="標楷體"/>
          <w:bCs/>
          <w:sz w:val="28"/>
          <w:szCs w:val="36"/>
        </w:rPr>
        <w:t>日本目前有</w:t>
      </w:r>
      <w:r w:rsidRPr="002220E8">
        <w:rPr>
          <w:rFonts w:ascii="標楷體" w:eastAsia="標楷體" w:hAnsi="標楷體" w:hint="eastAsia"/>
          <w:bCs/>
          <w:sz w:val="28"/>
          <w:szCs w:val="36"/>
        </w:rPr>
        <w:t>33</w:t>
      </w:r>
      <w:r w:rsidRPr="002220E8">
        <w:rPr>
          <w:rFonts w:ascii="標楷體" w:eastAsia="標楷體" w:hAnsi="標楷體"/>
          <w:bCs/>
          <w:sz w:val="28"/>
          <w:szCs w:val="36"/>
        </w:rPr>
        <w:t>個反應</w:t>
      </w:r>
      <w:r w:rsidRPr="002220E8">
        <w:rPr>
          <w:rFonts w:ascii="標楷體" w:eastAsia="標楷體" w:hAnsi="標楷體" w:hint="eastAsia"/>
          <w:bCs/>
          <w:sz w:val="28"/>
          <w:szCs w:val="36"/>
        </w:rPr>
        <w:t>器</w:t>
      </w:r>
      <w:r w:rsidRPr="002220E8">
        <w:rPr>
          <w:rFonts w:ascii="標楷體" w:eastAsia="標楷體" w:hAnsi="標楷體"/>
          <w:bCs/>
          <w:sz w:val="28"/>
          <w:szCs w:val="36"/>
        </w:rPr>
        <w:t>處於運行狀態</w:t>
      </w:r>
      <w:r w:rsidRPr="002220E8">
        <w:rPr>
          <w:rFonts w:ascii="標楷體" w:eastAsia="標楷體" w:hAnsi="標楷體" w:hint="eastAsia"/>
          <w:bCs/>
          <w:sz w:val="28"/>
          <w:szCs w:val="36"/>
        </w:rPr>
        <w:t>(31,679M</w:t>
      </w:r>
      <w:r w:rsidRPr="002220E8">
        <w:rPr>
          <w:rFonts w:ascii="標楷體" w:eastAsia="標楷體" w:hAnsi="標楷體"/>
          <w:bCs/>
          <w:sz w:val="28"/>
          <w:szCs w:val="36"/>
        </w:rPr>
        <w:t>w</w:t>
      </w:r>
      <w:r w:rsidRPr="002220E8">
        <w:rPr>
          <w:rFonts w:ascii="標楷體" w:eastAsia="標楷體" w:hAnsi="標楷體" w:hint="eastAsia"/>
          <w:bCs/>
          <w:sz w:val="28"/>
          <w:szCs w:val="36"/>
        </w:rPr>
        <w:t>e)</w:t>
      </w:r>
      <w:r w:rsidRPr="002220E8">
        <w:rPr>
          <w:rFonts w:ascii="標楷體" w:eastAsia="標楷體" w:hAnsi="標楷體"/>
          <w:bCs/>
          <w:sz w:val="28"/>
          <w:szCs w:val="36"/>
        </w:rPr>
        <w:t>。</w:t>
      </w:r>
    </w:p>
    <w:p w14:paraId="38AAA1F8" w14:textId="77777777" w:rsidR="002220E8" w:rsidRDefault="002220E8" w:rsidP="009C4EE0">
      <w:pPr>
        <w:numPr>
          <w:ilvl w:val="2"/>
          <w:numId w:val="2"/>
        </w:numPr>
        <w:tabs>
          <w:tab w:val="left" w:pos="-1920"/>
        </w:tabs>
        <w:snapToGrid w:val="0"/>
        <w:spacing w:beforeLines="15" w:before="36" w:afterLines="15" w:after="36" w:line="440" w:lineRule="exact"/>
        <w:ind w:left="1162" w:hanging="482"/>
        <w:jc w:val="both"/>
        <w:outlineLvl w:val="2"/>
        <w:rPr>
          <w:rFonts w:ascii="標楷體" w:eastAsia="標楷體" w:hAnsi="標楷體"/>
          <w:bCs/>
          <w:sz w:val="28"/>
          <w:szCs w:val="36"/>
        </w:rPr>
      </w:pPr>
      <w:r w:rsidRPr="002220E8">
        <w:rPr>
          <w:rFonts w:ascii="標楷體" w:eastAsia="標楷體" w:hAnsi="標楷體"/>
          <w:bCs/>
          <w:sz w:val="28"/>
          <w:szCs w:val="36"/>
        </w:rPr>
        <w:t>2021年</w:t>
      </w:r>
      <w:r w:rsidRPr="002220E8">
        <w:rPr>
          <w:rFonts w:ascii="標楷體" w:eastAsia="標楷體" w:hAnsi="標楷體" w:hint="eastAsia"/>
          <w:bCs/>
          <w:sz w:val="28"/>
          <w:szCs w:val="36"/>
        </w:rPr>
        <w:t>我國總發電量290.8</w:t>
      </w:r>
      <w:r w:rsidRPr="002220E8">
        <w:rPr>
          <w:rFonts w:ascii="標楷體" w:eastAsia="標楷體" w:hAnsi="標楷體"/>
          <w:bCs/>
          <w:sz w:val="28"/>
          <w:szCs w:val="36"/>
        </w:rPr>
        <w:t>TWh</w:t>
      </w:r>
      <w:r w:rsidRPr="002220E8">
        <w:rPr>
          <w:rFonts w:ascii="標楷體" w:eastAsia="標楷體" w:hAnsi="標楷體" w:hint="eastAsia"/>
          <w:bCs/>
          <w:sz w:val="28"/>
          <w:szCs w:val="36"/>
        </w:rPr>
        <w:t>、日本為</w:t>
      </w:r>
      <w:r w:rsidRPr="002220E8">
        <w:rPr>
          <w:rFonts w:ascii="標楷體" w:eastAsia="標楷體" w:hAnsi="標楷體"/>
          <w:bCs/>
          <w:sz w:val="28"/>
          <w:szCs w:val="36"/>
        </w:rPr>
        <w:t>10</w:t>
      </w:r>
      <w:r w:rsidRPr="002220E8">
        <w:rPr>
          <w:rFonts w:ascii="標楷體" w:eastAsia="標楷體" w:hAnsi="標楷體" w:hint="eastAsia"/>
          <w:bCs/>
          <w:sz w:val="28"/>
          <w:szCs w:val="36"/>
        </w:rPr>
        <w:t>28.6</w:t>
      </w:r>
      <w:r w:rsidRPr="002220E8">
        <w:rPr>
          <w:rFonts w:ascii="標楷體" w:eastAsia="標楷體" w:hAnsi="標楷體"/>
          <w:bCs/>
          <w:sz w:val="28"/>
          <w:szCs w:val="36"/>
        </w:rPr>
        <w:t>TWh</w:t>
      </w:r>
    </w:p>
    <w:p w14:paraId="3F98A33F" w14:textId="77777777" w:rsidR="002220E8" w:rsidRPr="002220E8" w:rsidRDefault="002220E8" w:rsidP="009C4EE0">
      <w:pPr>
        <w:numPr>
          <w:ilvl w:val="2"/>
          <w:numId w:val="2"/>
        </w:numPr>
        <w:tabs>
          <w:tab w:val="left" w:pos="-1920"/>
        </w:tabs>
        <w:snapToGrid w:val="0"/>
        <w:spacing w:beforeLines="15" w:before="36" w:afterLines="15" w:after="36" w:line="440" w:lineRule="exact"/>
        <w:ind w:left="1162" w:hanging="482"/>
        <w:jc w:val="both"/>
        <w:outlineLvl w:val="2"/>
        <w:rPr>
          <w:rFonts w:ascii="標楷體" w:eastAsia="標楷體" w:hAnsi="標楷體"/>
          <w:bCs/>
          <w:sz w:val="28"/>
          <w:szCs w:val="36"/>
        </w:rPr>
      </w:pPr>
      <w:r w:rsidRPr="002220E8">
        <w:rPr>
          <w:rFonts w:ascii="標楷體" w:eastAsia="標楷體" w:hAnsi="標楷體"/>
          <w:bCs/>
          <w:sz w:val="28"/>
          <w:szCs w:val="36"/>
        </w:rPr>
        <w:t>能源政策：日本政府已明確表示核能為其能源政策的重要組成，並設定2030年核電</w:t>
      </w:r>
      <w:r w:rsidRPr="002220E8">
        <w:rPr>
          <w:rFonts w:ascii="標楷體" w:eastAsia="標楷體" w:hAnsi="標楷體" w:hint="eastAsia"/>
          <w:bCs/>
          <w:sz w:val="28"/>
          <w:szCs w:val="36"/>
        </w:rPr>
        <w:t>占</w:t>
      </w:r>
      <w:r w:rsidRPr="002220E8">
        <w:rPr>
          <w:rFonts w:ascii="標楷體" w:eastAsia="標楷體" w:hAnsi="標楷體"/>
          <w:bCs/>
          <w:sz w:val="28"/>
          <w:szCs w:val="36"/>
        </w:rPr>
        <w:t>比20-22%的目標。</w:t>
      </w:r>
      <w:r w:rsidRPr="002220E8">
        <w:rPr>
          <w:rFonts w:ascii="標楷體" w:eastAsia="標楷體" w:hAnsi="標楷體" w:hint="eastAsia"/>
          <w:bCs/>
          <w:sz w:val="28"/>
          <w:szCs w:val="36"/>
        </w:rPr>
        <w:t>我國</w:t>
      </w:r>
      <w:r w:rsidRPr="002220E8">
        <w:rPr>
          <w:rFonts w:ascii="標楷體" w:eastAsia="標楷體" w:hAnsi="標楷體"/>
          <w:bCs/>
          <w:sz w:val="28"/>
          <w:szCs w:val="36"/>
        </w:rPr>
        <w:t>則走向非核家園，預計於2025年全面廢除核電。</w:t>
      </w:r>
    </w:p>
    <w:p w14:paraId="5DBB7343" w14:textId="77777777" w:rsidR="002220E8" w:rsidRPr="002220E8" w:rsidRDefault="002220E8" w:rsidP="009C4EE0">
      <w:pPr>
        <w:numPr>
          <w:ilvl w:val="2"/>
          <w:numId w:val="2"/>
        </w:numPr>
        <w:tabs>
          <w:tab w:val="left" w:pos="-1920"/>
        </w:tabs>
        <w:snapToGrid w:val="0"/>
        <w:spacing w:beforeLines="15" w:before="36" w:afterLines="15" w:after="36" w:line="440" w:lineRule="exact"/>
        <w:ind w:left="1162" w:hanging="482"/>
        <w:jc w:val="both"/>
        <w:outlineLvl w:val="2"/>
        <w:rPr>
          <w:rFonts w:ascii="標楷體" w:eastAsia="標楷體" w:hAnsi="標楷體"/>
          <w:bCs/>
          <w:sz w:val="28"/>
          <w:szCs w:val="36"/>
        </w:rPr>
      </w:pPr>
      <w:r w:rsidRPr="002220E8">
        <w:rPr>
          <w:rFonts w:ascii="標楷體" w:eastAsia="標楷體" w:hAnsi="標楷體"/>
          <w:bCs/>
          <w:sz w:val="28"/>
          <w:szCs w:val="36"/>
        </w:rPr>
        <w:t>公眾觀感：儘管經歷福島核災，日本民眾對核電的支持度正逐漸回升，2023年的調查顯示有超過半數民眾贊成重啟核電。</w:t>
      </w:r>
      <w:r w:rsidRPr="002220E8">
        <w:rPr>
          <w:rFonts w:ascii="標楷體" w:eastAsia="標楷體" w:hAnsi="標楷體" w:hint="eastAsia"/>
          <w:bCs/>
          <w:sz w:val="28"/>
          <w:szCs w:val="36"/>
        </w:rPr>
        <w:t>我國</w:t>
      </w:r>
      <w:r w:rsidRPr="002220E8">
        <w:rPr>
          <w:rFonts w:ascii="標楷體" w:eastAsia="標楷體" w:hAnsi="標楷體"/>
          <w:bCs/>
          <w:sz w:val="28"/>
          <w:szCs w:val="36"/>
        </w:rPr>
        <w:t>則</w:t>
      </w:r>
      <w:r w:rsidRPr="002220E8">
        <w:rPr>
          <w:rFonts w:ascii="標楷體" w:eastAsia="標楷體" w:hAnsi="標楷體"/>
          <w:bCs/>
          <w:sz w:val="28"/>
          <w:szCs w:val="36"/>
        </w:rPr>
        <w:lastRenderedPageBreak/>
        <w:t>在福島事件後對核能的疑慮加深，導致政策走向廢核。</w:t>
      </w:r>
    </w:p>
    <w:p w14:paraId="7B41C733" w14:textId="77777777" w:rsidR="002220E8" w:rsidRDefault="002220E8" w:rsidP="009C4EE0">
      <w:pPr>
        <w:numPr>
          <w:ilvl w:val="2"/>
          <w:numId w:val="2"/>
        </w:numPr>
        <w:tabs>
          <w:tab w:val="left" w:pos="-1920"/>
        </w:tabs>
        <w:snapToGrid w:val="0"/>
        <w:spacing w:beforeLines="15" w:before="36" w:afterLines="15" w:after="36" w:line="440" w:lineRule="exact"/>
        <w:ind w:left="1162" w:hanging="482"/>
        <w:jc w:val="both"/>
        <w:outlineLvl w:val="2"/>
        <w:rPr>
          <w:rFonts w:ascii="標楷體" w:eastAsia="標楷體" w:hAnsi="標楷體"/>
          <w:bCs/>
          <w:sz w:val="28"/>
          <w:szCs w:val="36"/>
        </w:rPr>
      </w:pPr>
      <w:r w:rsidRPr="002220E8">
        <w:rPr>
          <w:rFonts w:ascii="標楷體" w:eastAsia="標楷體" w:hAnsi="標楷體"/>
          <w:bCs/>
          <w:sz w:val="28"/>
          <w:szCs w:val="36"/>
        </w:rPr>
        <w:t>電力供應穩定度：日本在核電廠陸續重啟後，電力供應趨於穩定。</w:t>
      </w:r>
      <w:r w:rsidRPr="002220E8">
        <w:rPr>
          <w:rFonts w:ascii="標楷體" w:eastAsia="標楷體" w:hAnsi="標楷體" w:hint="eastAsia"/>
          <w:bCs/>
          <w:sz w:val="28"/>
          <w:szCs w:val="36"/>
        </w:rPr>
        <w:t>我國</w:t>
      </w:r>
      <w:r w:rsidRPr="002220E8">
        <w:rPr>
          <w:rFonts w:ascii="標楷體" w:eastAsia="標楷體" w:hAnsi="標楷體"/>
          <w:bCs/>
          <w:sz w:val="28"/>
          <w:szCs w:val="36"/>
        </w:rPr>
        <w:t>則面臨著電力短缺和停電的風險，特別是在廢核政策下，再生能源發展尚未能完全補足缺口。</w:t>
      </w:r>
    </w:p>
    <w:p w14:paraId="4A2DCA04" w14:textId="77777777" w:rsidR="00D70792" w:rsidRPr="00505E43" w:rsidRDefault="00D70792" w:rsidP="00235C5E">
      <w:pPr>
        <w:pStyle w:val="a"/>
      </w:pPr>
      <w:bookmarkStart w:id="20" w:name="_Toc185426441"/>
      <w:bookmarkStart w:id="21" w:name="_Toc185605752"/>
      <w:r w:rsidRPr="00505E43">
        <w:rPr>
          <w:rFonts w:hint="eastAsia"/>
        </w:rPr>
        <w:t>我國與</w:t>
      </w:r>
      <w:r w:rsidRPr="00505E43">
        <w:t>日本</w:t>
      </w:r>
      <w:r>
        <w:rPr>
          <w:rFonts w:hint="eastAsia"/>
        </w:rPr>
        <w:t>發電組合比較表</w:t>
      </w:r>
      <w:bookmarkEnd w:id="20"/>
      <w:bookmarkEnd w:id="21"/>
    </w:p>
    <w:tbl>
      <w:tblPr>
        <w:tblW w:w="9033"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591"/>
        <w:gridCol w:w="1860"/>
        <w:gridCol w:w="1861"/>
        <w:gridCol w:w="1860"/>
        <w:gridCol w:w="1861"/>
      </w:tblGrid>
      <w:tr w:rsidR="00D70792" w:rsidRPr="00C2765B" w14:paraId="5EAD896B" w14:textId="77777777" w:rsidTr="008E092B">
        <w:trPr>
          <w:trHeight w:val="324"/>
          <w:jc w:val="center"/>
        </w:trPr>
        <w:tc>
          <w:tcPr>
            <w:tcW w:w="1591" w:type="dxa"/>
            <w:vMerge w:val="restart"/>
            <w:shd w:val="clear" w:color="auto" w:fill="auto"/>
            <w:noWrap/>
            <w:vAlign w:val="center"/>
          </w:tcPr>
          <w:p w14:paraId="59ABD97D" w14:textId="77777777" w:rsidR="00D70792" w:rsidRPr="00C2765B" w:rsidRDefault="00D70792" w:rsidP="008E092B">
            <w:pPr>
              <w:jc w:val="center"/>
              <w:rPr>
                <w:rFonts w:ascii="標楷體" w:eastAsia="標楷體" w:hAnsi="標楷體" w:cs="新細明體"/>
                <w:color w:val="000000"/>
                <w:kern w:val="0"/>
                <w:sz w:val="28"/>
                <w:szCs w:val="28"/>
              </w:rPr>
            </w:pPr>
            <w:r w:rsidRPr="00C2765B">
              <w:rPr>
                <w:rFonts w:ascii="標楷體" w:eastAsia="標楷體" w:hAnsi="標楷體" w:cs="新細明體" w:hint="eastAsia"/>
                <w:color w:val="000000"/>
                <w:kern w:val="0"/>
                <w:sz w:val="28"/>
                <w:szCs w:val="28"/>
              </w:rPr>
              <w:t>發電組合</w:t>
            </w:r>
          </w:p>
        </w:tc>
        <w:tc>
          <w:tcPr>
            <w:tcW w:w="3721" w:type="dxa"/>
            <w:gridSpan w:val="2"/>
            <w:shd w:val="clear" w:color="auto" w:fill="auto"/>
            <w:noWrap/>
            <w:vAlign w:val="center"/>
          </w:tcPr>
          <w:p w14:paraId="30C368AD" w14:textId="77777777" w:rsidR="00D70792" w:rsidRPr="00C2765B" w:rsidRDefault="00D70792" w:rsidP="008E092B">
            <w:pPr>
              <w:widowControl/>
              <w:jc w:val="center"/>
              <w:rPr>
                <w:rFonts w:ascii="標楷體" w:eastAsia="標楷體" w:hAnsi="標楷體" w:cs="新細明體"/>
                <w:color w:val="000000"/>
                <w:kern w:val="0"/>
                <w:sz w:val="28"/>
                <w:szCs w:val="28"/>
              </w:rPr>
            </w:pPr>
            <w:r>
              <w:rPr>
                <w:rFonts w:ascii="標楷體" w:eastAsia="標楷體" w:hAnsi="標楷體" w:cs="新細明體" w:hint="eastAsia"/>
                <w:color w:val="000000"/>
                <w:kern w:val="0"/>
                <w:sz w:val="28"/>
                <w:szCs w:val="28"/>
              </w:rPr>
              <w:t>我國</w:t>
            </w:r>
          </w:p>
        </w:tc>
        <w:tc>
          <w:tcPr>
            <w:tcW w:w="3721" w:type="dxa"/>
            <w:gridSpan w:val="2"/>
          </w:tcPr>
          <w:p w14:paraId="53938DA3" w14:textId="77777777" w:rsidR="00D70792" w:rsidRPr="00C2765B" w:rsidRDefault="00D70792" w:rsidP="008E092B">
            <w:pPr>
              <w:widowControl/>
              <w:jc w:val="center"/>
              <w:rPr>
                <w:rFonts w:ascii="標楷體" w:eastAsia="標楷體" w:hAnsi="標楷體" w:cs="新細明體"/>
                <w:color w:val="000000"/>
                <w:kern w:val="0"/>
                <w:sz w:val="28"/>
                <w:szCs w:val="28"/>
              </w:rPr>
            </w:pPr>
            <w:r w:rsidRPr="00C2765B">
              <w:rPr>
                <w:rFonts w:ascii="標楷體" w:eastAsia="標楷體" w:hAnsi="標楷體" w:cs="新細明體" w:hint="eastAsia"/>
                <w:color w:val="000000"/>
                <w:kern w:val="0"/>
                <w:sz w:val="28"/>
                <w:szCs w:val="28"/>
              </w:rPr>
              <w:t>日本</w:t>
            </w:r>
          </w:p>
        </w:tc>
      </w:tr>
      <w:tr w:rsidR="00D70792" w:rsidRPr="00C2765B" w14:paraId="197E26D0" w14:textId="77777777" w:rsidTr="008E092B">
        <w:trPr>
          <w:trHeight w:val="324"/>
          <w:jc w:val="center"/>
        </w:trPr>
        <w:tc>
          <w:tcPr>
            <w:tcW w:w="1591" w:type="dxa"/>
            <w:vMerge/>
            <w:shd w:val="clear" w:color="auto" w:fill="auto"/>
            <w:noWrap/>
            <w:vAlign w:val="center"/>
          </w:tcPr>
          <w:p w14:paraId="427DBA98" w14:textId="77777777" w:rsidR="00D70792" w:rsidRPr="00C2765B" w:rsidRDefault="00D70792" w:rsidP="008E092B">
            <w:pPr>
              <w:widowControl/>
              <w:jc w:val="center"/>
              <w:rPr>
                <w:rFonts w:ascii="標楷體" w:eastAsia="標楷體" w:hAnsi="標楷體" w:cs="新細明體"/>
                <w:color w:val="000000"/>
                <w:kern w:val="0"/>
                <w:sz w:val="28"/>
                <w:szCs w:val="28"/>
              </w:rPr>
            </w:pPr>
          </w:p>
        </w:tc>
        <w:tc>
          <w:tcPr>
            <w:tcW w:w="1860" w:type="dxa"/>
            <w:shd w:val="clear" w:color="auto" w:fill="auto"/>
            <w:noWrap/>
            <w:vAlign w:val="center"/>
          </w:tcPr>
          <w:p w14:paraId="6C6C2232" w14:textId="77777777" w:rsidR="00D70792" w:rsidRPr="00C2765B" w:rsidRDefault="00D70792" w:rsidP="008E092B">
            <w:pPr>
              <w:widowControl/>
              <w:jc w:val="center"/>
              <w:rPr>
                <w:rFonts w:ascii="標楷體" w:eastAsia="標楷體" w:hAnsi="標楷體" w:cs="新細明體"/>
                <w:color w:val="000000"/>
                <w:kern w:val="0"/>
                <w:sz w:val="28"/>
                <w:szCs w:val="28"/>
              </w:rPr>
            </w:pPr>
            <w:r w:rsidRPr="00C2765B">
              <w:rPr>
                <w:rFonts w:ascii="標楷體" w:eastAsia="標楷體" w:hAnsi="標楷體" w:hint="eastAsia"/>
                <w:sz w:val="28"/>
                <w:szCs w:val="28"/>
              </w:rPr>
              <w:t>發電量</w:t>
            </w:r>
            <w:r w:rsidRPr="00C2765B">
              <w:rPr>
                <w:rFonts w:ascii="標楷體" w:eastAsia="標楷體" w:hAnsi="標楷體"/>
                <w:sz w:val="28"/>
                <w:szCs w:val="28"/>
              </w:rPr>
              <w:t>TWh</w:t>
            </w:r>
          </w:p>
        </w:tc>
        <w:tc>
          <w:tcPr>
            <w:tcW w:w="1861" w:type="dxa"/>
            <w:shd w:val="clear" w:color="auto" w:fill="auto"/>
            <w:noWrap/>
            <w:vAlign w:val="center"/>
          </w:tcPr>
          <w:p w14:paraId="0B68D539" w14:textId="77777777" w:rsidR="00D70792" w:rsidRPr="00C2765B" w:rsidRDefault="00D70792" w:rsidP="008E092B">
            <w:pPr>
              <w:widowControl/>
              <w:jc w:val="center"/>
              <w:rPr>
                <w:rFonts w:ascii="標楷體" w:eastAsia="標楷體" w:hAnsi="標楷體" w:cs="新細明體"/>
                <w:color w:val="000000"/>
                <w:kern w:val="0"/>
                <w:sz w:val="28"/>
                <w:szCs w:val="28"/>
              </w:rPr>
            </w:pPr>
            <w:r w:rsidRPr="00C2765B">
              <w:rPr>
                <w:rFonts w:ascii="標楷體" w:eastAsia="標楷體" w:hAnsi="標楷體" w:cs="新細明體" w:hint="eastAsia"/>
                <w:color w:val="000000"/>
                <w:kern w:val="0"/>
                <w:sz w:val="28"/>
                <w:szCs w:val="28"/>
              </w:rPr>
              <w:t>占比</w:t>
            </w:r>
          </w:p>
        </w:tc>
        <w:tc>
          <w:tcPr>
            <w:tcW w:w="1860" w:type="dxa"/>
            <w:tcBorders>
              <w:right w:val="single" w:sz="12" w:space="0" w:color="auto"/>
            </w:tcBorders>
            <w:vAlign w:val="center"/>
          </w:tcPr>
          <w:p w14:paraId="4FC8A554" w14:textId="77777777" w:rsidR="00D70792" w:rsidRPr="00C2765B" w:rsidRDefault="00D70792" w:rsidP="008E092B">
            <w:pPr>
              <w:widowControl/>
              <w:jc w:val="center"/>
              <w:rPr>
                <w:rFonts w:ascii="標楷體" w:eastAsia="標楷體" w:hAnsi="標楷體" w:cs="新細明體"/>
                <w:color w:val="000000"/>
                <w:kern w:val="0"/>
                <w:sz w:val="28"/>
                <w:szCs w:val="28"/>
              </w:rPr>
            </w:pPr>
            <w:r w:rsidRPr="00C2765B">
              <w:rPr>
                <w:rFonts w:ascii="標楷體" w:eastAsia="標楷體" w:hAnsi="標楷體" w:hint="eastAsia"/>
                <w:sz w:val="28"/>
                <w:szCs w:val="28"/>
              </w:rPr>
              <w:t>發電量</w:t>
            </w:r>
            <w:r w:rsidRPr="00C2765B">
              <w:rPr>
                <w:rFonts w:ascii="標楷體" w:eastAsia="標楷體" w:hAnsi="標楷體"/>
                <w:sz w:val="28"/>
                <w:szCs w:val="28"/>
              </w:rPr>
              <w:t>TWh</w:t>
            </w:r>
          </w:p>
        </w:tc>
        <w:tc>
          <w:tcPr>
            <w:tcW w:w="1861" w:type="dxa"/>
            <w:tcBorders>
              <w:left w:val="single" w:sz="12" w:space="0" w:color="auto"/>
            </w:tcBorders>
            <w:vAlign w:val="center"/>
          </w:tcPr>
          <w:p w14:paraId="5F7B5524" w14:textId="77777777" w:rsidR="00D70792" w:rsidRPr="00C2765B" w:rsidRDefault="00D70792" w:rsidP="008E092B">
            <w:pPr>
              <w:widowControl/>
              <w:jc w:val="center"/>
              <w:rPr>
                <w:rFonts w:ascii="標楷體" w:eastAsia="標楷體" w:hAnsi="標楷體" w:cs="新細明體"/>
                <w:color w:val="000000"/>
                <w:kern w:val="0"/>
                <w:sz w:val="28"/>
                <w:szCs w:val="28"/>
              </w:rPr>
            </w:pPr>
            <w:r w:rsidRPr="00C2765B">
              <w:rPr>
                <w:rFonts w:ascii="標楷體" w:eastAsia="標楷體" w:hAnsi="標楷體" w:cs="新細明體" w:hint="eastAsia"/>
                <w:color w:val="000000"/>
                <w:kern w:val="0"/>
                <w:sz w:val="28"/>
                <w:szCs w:val="28"/>
              </w:rPr>
              <w:t>占比</w:t>
            </w:r>
          </w:p>
        </w:tc>
      </w:tr>
      <w:tr w:rsidR="00D70792" w:rsidRPr="00C2765B" w14:paraId="39AA4CDE" w14:textId="77777777" w:rsidTr="008E092B">
        <w:trPr>
          <w:trHeight w:val="324"/>
          <w:jc w:val="center"/>
        </w:trPr>
        <w:tc>
          <w:tcPr>
            <w:tcW w:w="1591" w:type="dxa"/>
            <w:shd w:val="clear" w:color="auto" w:fill="auto"/>
            <w:noWrap/>
            <w:vAlign w:val="center"/>
            <w:hideMark/>
          </w:tcPr>
          <w:p w14:paraId="17A3C026" w14:textId="77777777" w:rsidR="00D70792" w:rsidRPr="00C2765B" w:rsidRDefault="00D70792" w:rsidP="008E092B">
            <w:pPr>
              <w:widowControl/>
              <w:jc w:val="center"/>
              <w:rPr>
                <w:rFonts w:ascii="標楷體" w:eastAsia="標楷體" w:hAnsi="標楷體" w:cs="新細明體"/>
                <w:color w:val="000000"/>
                <w:kern w:val="0"/>
                <w:sz w:val="28"/>
                <w:szCs w:val="28"/>
              </w:rPr>
            </w:pPr>
            <w:r w:rsidRPr="00C2765B">
              <w:rPr>
                <w:rFonts w:ascii="標楷體" w:eastAsia="標楷體" w:hAnsi="標楷體" w:cs="新細明體" w:hint="eastAsia"/>
                <w:color w:val="000000"/>
                <w:kern w:val="0"/>
                <w:sz w:val="28"/>
                <w:szCs w:val="28"/>
              </w:rPr>
              <w:t>天然氣</w:t>
            </w:r>
          </w:p>
        </w:tc>
        <w:tc>
          <w:tcPr>
            <w:tcW w:w="1860" w:type="dxa"/>
            <w:shd w:val="clear" w:color="auto" w:fill="auto"/>
            <w:noWrap/>
            <w:vAlign w:val="center"/>
            <w:hideMark/>
          </w:tcPr>
          <w:p w14:paraId="000F2955" w14:textId="77777777" w:rsidR="00D70792" w:rsidRPr="00C2765B" w:rsidRDefault="00D70792" w:rsidP="008E092B">
            <w:pPr>
              <w:widowControl/>
              <w:jc w:val="center"/>
              <w:rPr>
                <w:rFonts w:ascii="標楷體" w:eastAsia="標楷體" w:hAnsi="標楷體" w:cs="新細明體"/>
                <w:color w:val="000000"/>
                <w:kern w:val="0"/>
                <w:sz w:val="28"/>
                <w:szCs w:val="28"/>
              </w:rPr>
            </w:pPr>
            <w:r w:rsidRPr="00C2765B">
              <w:rPr>
                <w:rFonts w:ascii="標楷體" w:eastAsia="標楷體" w:hAnsi="標楷體" w:cs="新細明體" w:hint="eastAsia"/>
                <w:color w:val="000000"/>
                <w:kern w:val="0"/>
                <w:sz w:val="28"/>
                <w:szCs w:val="28"/>
              </w:rPr>
              <w:t>108</w:t>
            </w:r>
          </w:p>
        </w:tc>
        <w:tc>
          <w:tcPr>
            <w:tcW w:w="1861" w:type="dxa"/>
            <w:shd w:val="clear" w:color="auto" w:fill="auto"/>
            <w:noWrap/>
            <w:vAlign w:val="center"/>
            <w:hideMark/>
          </w:tcPr>
          <w:p w14:paraId="60B145D8" w14:textId="77777777" w:rsidR="00D70792" w:rsidRPr="00C2765B" w:rsidRDefault="00D70792" w:rsidP="008E092B">
            <w:pPr>
              <w:widowControl/>
              <w:jc w:val="center"/>
              <w:rPr>
                <w:rFonts w:ascii="標楷體" w:eastAsia="標楷體" w:hAnsi="標楷體" w:cs="新細明體"/>
                <w:color w:val="000000"/>
                <w:kern w:val="0"/>
                <w:sz w:val="28"/>
                <w:szCs w:val="28"/>
              </w:rPr>
            </w:pPr>
            <w:r w:rsidRPr="00C2765B">
              <w:rPr>
                <w:rFonts w:ascii="標楷體" w:eastAsia="標楷體" w:hAnsi="標楷體" w:cs="新細明體" w:hint="eastAsia"/>
                <w:color w:val="000000"/>
                <w:kern w:val="0"/>
                <w:sz w:val="28"/>
                <w:szCs w:val="28"/>
              </w:rPr>
              <w:t>37.1%</w:t>
            </w:r>
          </w:p>
        </w:tc>
        <w:tc>
          <w:tcPr>
            <w:tcW w:w="1860" w:type="dxa"/>
            <w:tcBorders>
              <w:right w:val="single" w:sz="12" w:space="0" w:color="auto"/>
            </w:tcBorders>
            <w:vAlign w:val="center"/>
          </w:tcPr>
          <w:p w14:paraId="0BD15081" w14:textId="77777777" w:rsidR="00D70792" w:rsidRPr="00C2765B" w:rsidRDefault="00D70792" w:rsidP="008E092B">
            <w:pPr>
              <w:widowControl/>
              <w:jc w:val="center"/>
              <w:rPr>
                <w:rFonts w:ascii="標楷體" w:eastAsia="標楷體" w:hAnsi="標楷體" w:cs="新細明體"/>
                <w:color w:val="000000"/>
                <w:kern w:val="0"/>
                <w:sz w:val="28"/>
                <w:szCs w:val="28"/>
              </w:rPr>
            </w:pPr>
            <w:r w:rsidRPr="00C2765B">
              <w:rPr>
                <w:rFonts w:ascii="標楷體" w:eastAsia="標楷體" w:hAnsi="標楷體" w:cs="新細明體" w:hint="eastAsia"/>
                <w:color w:val="000000"/>
                <w:kern w:val="0"/>
                <w:sz w:val="28"/>
                <w:szCs w:val="28"/>
              </w:rPr>
              <w:t>359</w:t>
            </w:r>
          </w:p>
        </w:tc>
        <w:tc>
          <w:tcPr>
            <w:tcW w:w="1861" w:type="dxa"/>
            <w:tcBorders>
              <w:left w:val="single" w:sz="12" w:space="0" w:color="auto"/>
            </w:tcBorders>
            <w:vAlign w:val="center"/>
          </w:tcPr>
          <w:p w14:paraId="780A2E97" w14:textId="77777777" w:rsidR="00D70792" w:rsidRPr="00C2765B" w:rsidRDefault="00D70792" w:rsidP="008E092B">
            <w:pPr>
              <w:widowControl/>
              <w:jc w:val="center"/>
              <w:rPr>
                <w:rFonts w:ascii="標楷體" w:eastAsia="標楷體" w:hAnsi="標楷體" w:cs="新細明體"/>
                <w:color w:val="000000"/>
                <w:kern w:val="0"/>
                <w:sz w:val="28"/>
                <w:szCs w:val="28"/>
              </w:rPr>
            </w:pPr>
            <w:r w:rsidRPr="00C2765B">
              <w:rPr>
                <w:rFonts w:ascii="標楷體" w:eastAsia="標楷體" w:hAnsi="標楷體" w:cs="新細明體" w:hint="eastAsia"/>
                <w:color w:val="000000"/>
                <w:kern w:val="0"/>
                <w:sz w:val="28"/>
                <w:szCs w:val="28"/>
              </w:rPr>
              <w:t>34.9%</w:t>
            </w:r>
          </w:p>
        </w:tc>
      </w:tr>
      <w:tr w:rsidR="00D70792" w:rsidRPr="00C2765B" w14:paraId="485CE69C" w14:textId="77777777" w:rsidTr="008E092B">
        <w:trPr>
          <w:trHeight w:val="324"/>
          <w:jc w:val="center"/>
        </w:trPr>
        <w:tc>
          <w:tcPr>
            <w:tcW w:w="1591" w:type="dxa"/>
            <w:shd w:val="clear" w:color="auto" w:fill="auto"/>
            <w:noWrap/>
            <w:vAlign w:val="center"/>
            <w:hideMark/>
          </w:tcPr>
          <w:p w14:paraId="5553BDC9" w14:textId="77777777" w:rsidR="00D70792" w:rsidRPr="00C2765B" w:rsidRDefault="00D70792" w:rsidP="008E092B">
            <w:pPr>
              <w:widowControl/>
              <w:jc w:val="center"/>
              <w:rPr>
                <w:rFonts w:ascii="標楷體" w:eastAsia="標楷體" w:hAnsi="標楷體" w:cs="新細明體"/>
                <w:color w:val="000000"/>
                <w:kern w:val="0"/>
                <w:sz w:val="28"/>
                <w:szCs w:val="28"/>
              </w:rPr>
            </w:pPr>
            <w:r w:rsidRPr="00C2765B">
              <w:rPr>
                <w:rFonts w:ascii="標楷體" w:eastAsia="標楷體" w:hAnsi="標楷體" w:cs="新細明體" w:hint="eastAsia"/>
                <w:color w:val="000000"/>
                <w:kern w:val="0"/>
                <w:sz w:val="28"/>
                <w:szCs w:val="28"/>
              </w:rPr>
              <w:t>煤</w:t>
            </w:r>
          </w:p>
        </w:tc>
        <w:tc>
          <w:tcPr>
            <w:tcW w:w="1860" w:type="dxa"/>
            <w:shd w:val="clear" w:color="auto" w:fill="auto"/>
            <w:noWrap/>
            <w:vAlign w:val="center"/>
            <w:hideMark/>
          </w:tcPr>
          <w:p w14:paraId="08A49965" w14:textId="77777777" w:rsidR="00D70792" w:rsidRPr="00C2765B" w:rsidRDefault="00D70792" w:rsidP="008E092B">
            <w:pPr>
              <w:widowControl/>
              <w:jc w:val="center"/>
              <w:rPr>
                <w:rFonts w:ascii="標楷體" w:eastAsia="標楷體" w:hAnsi="標楷體" w:cs="新細明體"/>
                <w:color w:val="000000"/>
                <w:kern w:val="0"/>
                <w:sz w:val="28"/>
                <w:szCs w:val="28"/>
              </w:rPr>
            </w:pPr>
            <w:r w:rsidRPr="00C2765B">
              <w:rPr>
                <w:rFonts w:ascii="標楷體" w:eastAsia="標楷體" w:hAnsi="標楷體" w:cs="新細明體" w:hint="eastAsia"/>
                <w:color w:val="000000"/>
                <w:kern w:val="0"/>
                <w:sz w:val="28"/>
                <w:szCs w:val="28"/>
              </w:rPr>
              <w:t>129</w:t>
            </w:r>
          </w:p>
        </w:tc>
        <w:tc>
          <w:tcPr>
            <w:tcW w:w="1861" w:type="dxa"/>
            <w:shd w:val="clear" w:color="auto" w:fill="auto"/>
            <w:noWrap/>
            <w:vAlign w:val="center"/>
            <w:hideMark/>
          </w:tcPr>
          <w:p w14:paraId="2D9D7536" w14:textId="77777777" w:rsidR="00D70792" w:rsidRPr="00C2765B" w:rsidRDefault="00D70792" w:rsidP="008E092B">
            <w:pPr>
              <w:widowControl/>
              <w:jc w:val="center"/>
              <w:rPr>
                <w:rFonts w:ascii="標楷體" w:eastAsia="標楷體" w:hAnsi="標楷體" w:cs="新細明體"/>
                <w:color w:val="000000"/>
                <w:kern w:val="0"/>
                <w:sz w:val="28"/>
                <w:szCs w:val="28"/>
              </w:rPr>
            </w:pPr>
            <w:r w:rsidRPr="00C2765B">
              <w:rPr>
                <w:rFonts w:ascii="標楷體" w:eastAsia="標楷體" w:hAnsi="標楷體" w:cs="新細明體" w:hint="eastAsia"/>
                <w:color w:val="000000"/>
                <w:kern w:val="0"/>
                <w:sz w:val="28"/>
                <w:szCs w:val="28"/>
              </w:rPr>
              <w:t>44.4%</w:t>
            </w:r>
          </w:p>
        </w:tc>
        <w:tc>
          <w:tcPr>
            <w:tcW w:w="1860" w:type="dxa"/>
            <w:tcBorders>
              <w:right w:val="single" w:sz="12" w:space="0" w:color="auto"/>
            </w:tcBorders>
            <w:vAlign w:val="center"/>
          </w:tcPr>
          <w:p w14:paraId="0CA650F7" w14:textId="77777777" w:rsidR="00D70792" w:rsidRPr="00C2765B" w:rsidRDefault="00D70792" w:rsidP="008E092B">
            <w:pPr>
              <w:widowControl/>
              <w:jc w:val="center"/>
              <w:rPr>
                <w:rFonts w:ascii="標楷體" w:eastAsia="標楷體" w:hAnsi="標楷體" w:cs="新細明體"/>
                <w:color w:val="000000"/>
                <w:kern w:val="0"/>
                <w:sz w:val="28"/>
                <w:szCs w:val="28"/>
              </w:rPr>
            </w:pPr>
            <w:r w:rsidRPr="00C2765B">
              <w:rPr>
                <w:rFonts w:ascii="標楷體" w:eastAsia="標楷體" w:hAnsi="標楷體" w:cs="新細明體" w:hint="eastAsia"/>
                <w:color w:val="000000"/>
                <w:kern w:val="0"/>
                <w:sz w:val="28"/>
                <w:szCs w:val="28"/>
              </w:rPr>
              <w:t>322</w:t>
            </w:r>
          </w:p>
        </w:tc>
        <w:tc>
          <w:tcPr>
            <w:tcW w:w="1861" w:type="dxa"/>
            <w:tcBorders>
              <w:left w:val="single" w:sz="12" w:space="0" w:color="auto"/>
            </w:tcBorders>
            <w:vAlign w:val="center"/>
          </w:tcPr>
          <w:p w14:paraId="637CDDFC" w14:textId="77777777" w:rsidR="00D70792" w:rsidRPr="00C2765B" w:rsidRDefault="00D70792" w:rsidP="008E092B">
            <w:pPr>
              <w:widowControl/>
              <w:jc w:val="center"/>
              <w:rPr>
                <w:rFonts w:ascii="標楷體" w:eastAsia="標楷體" w:hAnsi="標楷體" w:cs="新細明體"/>
                <w:color w:val="000000"/>
                <w:kern w:val="0"/>
                <w:sz w:val="28"/>
                <w:szCs w:val="28"/>
              </w:rPr>
            </w:pPr>
            <w:r w:rsidRPr="00C2765B">
              <w:rPr>
                <w:rFonts w:ascii="標楷體" w:eastAsia="標楷體" w:hAnsi="標楷體" w:cs="新細明體" w:hint="eastAsia"/>
                <w:color w:val="000000"/>
                <w:kern w:val="0"/>
                <w:sz w:val="28"/>
                <w:szCs w:val="28"/>
              </w:rPr>
              <w:t>31.3%</w:t>
            </w:r>
          </w:p>
        </w:tc>
      </w:tr>
      <w:tr w:rsidR="00D70792" w:rsidRPr="00C2765B" w14:paraId="3EC33874" w14:textId="77777777" w:rsidTr="008E092B">
        <w:trPr>
          <w:trHeight w:val="324"/>
          <w:jc w:val="center"/>
        </w:trPr>
        <w:tc>
          <w:tcPr>
            <w:tcW w:w="1591" w:type="dxa"/>
            <w:shd w:val="clear" w:color="auto" w:fill="auto"/>
            <w:noWrap/>
            <w:vAlign w:val="center"/>
            <w:hideMark/>
          </w:tcPr>
          <w:p w14:paraId="2F07D540" w14:textId="77777777" w:rsidR="00D70792" w:rsidRPr="00C2765B" w:rsidRDefault="00D70792" w:rsidP="008E092B">
            <w:pPr>
              <w:widowControl/>
              <w:jc w:val="center"/>
              <w:rPr>
                <w:rFonts w:ascii="標楷體" w:eastAsia="標楷體" w:hAnsi="標楷體" w:cs="新細明體"/>
                <w:color w:val="000000"/>
                <w:kern w:val="0"/>
                <w:sz w:val="28"/>
                <w:szCs w:val="28"/>
              </w:rPr>
            </w:pPr>
            <w:r w:rsidRPr="00C2765B">
              <w:rPr>
                <w:rFonts w:ascii="標楷體" w:eastAsia="標楷體" w:hAnsi="標楷體" w:cs="新細明體" w:hint="eastAsia"/>
                <w:color w:val="000000"/>
                <w:kern w:val="0"/>
                <w:sz w:val="28"/>
                <w:szCs w:val="28"/>
              </w:rPr>
              <w:t>水力</w:t>
            </w:r>
          </w:p>
        </w:tc>
        <w:tc>
          <w:tcPr>
            <w:tcW w:w="1860" w:type="dxa"/>
            <w:shd w:val="clear" w:color="auto" w:fill="auto"/>
            <w:noWrap/>
            <w:vAlign w:val="center"/>
            <w:hideMark/>
          </w:tcPr>
          <w:p w14:paraId="5A8CC546" w14:textId="77777777" w:rsidR="00D70792" w:rsidRPr="00C2765B" w:rsidRDefault="00D70792" w:rsidP="008E092B">
            <w:pPr>
              <w:widowControl/>
              <w:jc w:val="center"/>
              <w:rPr>
                <w:rFonts w:ascii="標楷體" w:eastAsia="標楷體" w:hAnsi="標楷體" w:cs="新細明體"/>
                <w:color w:val="000000"/>
                <w:kern w:val="0"/>
                <w:sz w:val="28"/>
                <w:szCs w:val="28"/>
              </w:rPr>
            </w:pPr>
            <w:r w:rsidRPr="00C2765B">
              <w:rPr>
                <w:rFonts w:ascii="標楷體" w:eastAsia="標楷體" w:hAnsi="標楷體" w:cs="新細明體" w:hint="eastAsia"/>
                <w:color w:val="000000"/>
                <w:kern w:val="0"/>
                <w:sz w:val="28"/>
                <w:szCs w:val="28"/>
              </w:rPr>
              <w:t>6.7</w:t>
            </w:r>
          </w:p>
        </w:tc>
        <w:tc>
          <w:tcPr>
            <w:tcW w:w="1861" w:type="dxa"/>
            <w:shd w:val="clear" w:color="auto" w:fill="auto"/>
            <w:noWrap/>
            <w:vAlign w:val="center"/>
            <w:hideMark/>
          </w:tcPr>
          <w:p w14:paraId="65790424" w14:textId="77777777" w:rsidR="00D70792" w:rsidRPr="00C2765B" w:rsidRDefault="00D70792" w:rsidP="008E092B">
            <w:pPr>
              <w:widowControl/>
              <w:jc w:val="center"/>
              <w:rPr>
                <w:rFonts w:ascii="標楷體" w:eastAsia="標楷體" w:hAnsi="標楷體" w:cs="新細明體"/>
                <w:color w:val="000000"/>
                <w:kern w:val="0"/>
                <w:sz w:val="28"/>
                <w:szCs w:val="28"/>
              </w:rPr>
            </w:pPr>
            <w:r w:rsidRPr="00C2765B">
              <w:rPr>
                <w:rFonts w:ascii="標楷體" w:eastAsia="標楷體" w:hAnsi="標楷體" w:cs="新細明體" w:hint="eastAsia"/>
                <w:color w:val="000000"/>
                <w:kern w:val="0"/>
                <w:sz w:val="28"/>
                <w:szCs w:val="28"/>
              </w:rPr>
              <w:t>2.3%</w:t>
            </w:r>
          </w:p>
        </w:tc>
        <w:tc>
          <w:tcPr>
            <w:tcW w:w="1860" w:type="dxa"/>
            <w:tcBorders>
              <w:right w:val="single" w:sz="12" w:space="0" w:color="auto"/>
            </w:tcBorders>
            <w:vAlign w:val="center"/>
          </w:tcPr>
          <w:p w14:paraId="6EA0C0A0" w14:textId="77777777" w:rsidR="00D70792" w:rsidRPr="00C2765B" w:rsidRDefault="00D70792" w:rsidP="008E092B">
            <w:pPr>
              <w:widowControl/>
              <w:jc w:val="center"/>
              <w:rPr>
                <w:rFonts w:ascii="標楷體" w:eastAsia="標楷體" w:hAnsi="標楷體" w:cs="新細明體"/>
                <w:color w:val="000000"/>
                <w:kern w:val="0"/>
                <w:sz w:val="28"/>
                <w:szCs w:val="28"/>
              </w:rPr>
            </w:pPr>
            <w:r w:rsidRPr="00C2765B">
              <w:rPr>
                <w:rFonts w:ascii="標楷體" w:eastAsia="標楷體" w:hAnsi="標楷體" w:cs="新細明體" w:hint="eastAsia"/>
                <w:color w:val="000000"/>
                <w:kern w:val="0"/>
                <w:sz w:val="28"/>
                <w:szCs w:val="28"/>
              </w:rPr>
              <w:t>88.8</w:t>
            </w:r>
          </w:p>
        </w:tc>
        <w:tc>
          <w:tcPr>
            <w:tcW w:w="1861" w:type="dxa"/>
            <w:tcBorders>
              <w:left w:val="single" w:sz="12" w:space="0" w:color="auto"/>
            </w:tcBorders>
            <w:vAlign w:val="center"/>
          </w:tcPr>
          <w:p w14:paraId="280ABB61" w14:textId="77777777" w:rsidR="00D70792" w:rsidRPr="00C2765B" w:rsidRDefault="00D70792" w:rsidP="008E092B">
            <w:pPr>
              <w:widowControl/>
              <w:jc w:val="center"/>
              <w:rPr>
                <w:rFonts w:ascii="標楷體" w:eastAsia="標楷體" w:hAnsi="標楷體" w:cs="新細明體"/>
                <w:color w:val="000000"/>
                <w:kern w:val="0"/>
                <w:sz w:val="28"/>
                <w:szCs w:val="28"/>
              </w:rPr>
            </w:pPr>
            <w:r w:rsidRPr="00C2765B">
              <w:rPr>
                <w:rFonts w:ascii="標楷體" w:eastAsia="標楷體" w:hAnsi="標楷體" w:cs="新細明體" w:hint="eastAsia"/>
                <w:color w:val="000000"/>
                <w:kern w:val="0"/>
                <w:sz w:val="28"/>
                <w:szCs w:val="28"/>
              </w:rPr>
              <w:t>8.6%</w:t>
            </w:r>
          </w:p>
        </w:tc>
      </w:tr>
      <w:tr w:rsidR="00D70792" w:rsidRPr="00C2765B" w14:paraId="26419760" w14:textId="77777777" w:rsidTr="008E092B">
        <w:trPr>
          <w:trHeight w:val="324"/>
          <w:jc w:val="center"/>
        </w:trPr>
        <w:tc>
          <w:tcPr>
            <w:tcW w:w="1591" w:type="dxa"/>
            <w:shd w:val="clear" w:color="auto" w:fill="auto"/>
            <w:noWrap/>
            <w:vAlign w:val="center"/>
            <w:hideMark/>
          </w:tcPr>
          <w:p w14:paraId="6259872A" w14:textId="77777777" w:rsidR="00D70792" w:rsidRPr="00C2765B" w:rsidRDefault="00D70792" w:rsidP="008E092B">
            <w:pPr>
              <w:widowControl/>
              <w:jc w:val="center"/>
              <w:rPr>
                <w:rFonts w:ascii="標楷體" w:eastAsia="標楷體" w:hAnsi="標楷體" w:cs="新細明體"/>
                <w:color w:val="000000"/>
                <w:kern w:val="0"/>
                <w:sz w:val="28"/>
                <w:szCs w:val="28"/>
              </w:rPr>
            </w:pPr>
            <w:r w:rsidRPr="00C2765B">
              <w:rPr>
                <w:rFonts w:ascii="標楷體" w:eastAsia="標楷體" w:hAnsi="標楷體" w:cs="新細明體" w:hint="eastAsia"/>
                <w:color w:val="000000"/>
                <w:kern w:val="0"/>
                <w:sz w:val="28"/>
                <w:szCs w:val="28"/>
              </w:rPr>
              <w:t>太陽能</w:t>
            </w:r>
          </w:p>
        </w:tc>
        <w:tc>
          <w:tcPr>
            <w:tcW w:w="1860" w:type="dxa"/>
            <w:shd w:val="clear" w:color="auto" w:fill="auto"/>
            <w:noWrap/>
            <w:vAlign w:val="center"/>
            <w:hideMark/>
          </w:tcPr>
          <w:p w14:paraId="1FA34BF9" w14:textId="77777777" w:rsidR="00D70792" w:rsidRPr="00C2765B" w:rsidRDefault="00D70792" w:rsidP="008E092B">
            <w:pPr>
              <w:widowControl/>
              <w:jc w:val="center"/>
              <w:rPr>
                <w:rFonts w:ascii="標楷體" w:eastAsia="標楷體" w:hAnsi="標楷體" w:cs="新細明體"/>
                <w:color w:val="000000"/>
                <w:kern w:val="0"/>
                <w:sz w:val="28"/>
                <w:szCs w:val="28"/>
              </w:rPr>
            </w:pPr>
            <w:r w:rsidRPr="00C2765B">
              <w:rPr>
                <w:rFonts w:ascii="標楷體" w:eastAsia="標楷體" w:hAnsi="標楷體" w:cs="新細明體" w:hint="eastAsia"/>
                <w:color w:val="000000"/>
                <w:kern w:val="0"/>
                <w:sz w:val="28"/>
                <w:szCs w:val="28"/>
              </w:rPr>
              <w:t>8</w:t>
            </w:r>
          </w:p>
        </w:tc>
        <w:tc>
          <w:tcPr>
            <w:tcW w:w="1861" w:type="dxa"/>
            <w:shd w:val="clear" w:color="auto" w:fill="auto"/>
            <w:noWrap/>
            <w:vAlign w:val="center"/>
            <w:hideMark/>
          </w:tcPr>
          <w:p w14:paraId="56A650A5" w14:textId="77777777" w:rsidR="00D70792" w:rsidRPr="00C2765B" w:rsidRDefault="00D70792" w:rsidP="008E092B">
            <w:pPr>
              <w:widowControl/>
              <w:jc w:val="center"/>
              <w:rPr>
                <w:rFonts w:ascii="標楷體" w:eastAsia="標楷體" w:hAnsi="標楷體" w:cs="新細明體"/>
                <w:color w:val="000000"/>
                <w:kern w:val="0"/>
                <w:sz w:val="28"/>
                <w:szCs w:val="28"/>
              </w:rPr>
            </w:pPr>
            <w:r w:rsidRPr="00C2765B">
              <w:rPr>
                <w:rFonts w:ascii="標楷體" w:eastAsia="標楷體" w:hAnsi="標楷體" w:cs="新細明體" w:hint="eastAsia"/>
                <w:color w:val="000000"/>
                <w:kern w:val="0"/>
                <w:sz w:val="28"/>
                <w:szCs w:val="28"/>
              </w:rPr>
              <w:t>2.8%</w:t>
            </w:r>
          </w:p>
        </w:tc>
        <w:tc>
          <w:tcPr>
            <w:tcW w:w="1860" w:type="dxa"/>
            <w:tcBorders>
              <w:right w:val="single" w:sz="12" w:space="0" w:color="auto"/>
            </w:tcBorders>
            <w:vAlign w:val="center"/>
          </w:tcPr>
          <w:p w14:paraId="4570A4D4" w14:textId="77777777" w:rsidR="00D70792" w:rsidRPr="00C2765B" w:rsidRDefault="00D70792" w:rsidP="008E092B">
            <w:pPr>
              <w:widowControl/>
              <w:jc w:val="center"/>
              <w:rPr>
                <w:rFonts w:ascii="標楷體" w:eastAsia="標楷體" w:hAnsi="標楷體" w:cs="新細明體"/>
                <w:color w:val="000000"/>
                <w:kern w:val="0"/>
                <w:sz w:val="28"/>
                <w:szCs w:val="28"/>
              </w:rPr>
            </w:pPr>
            <w:r w:rsidRPr="00C2765B">
              <w:rPr>
                <w:rFonts w:ascii="標楷體" w:eastAsia="標楷體" w:hAnsi="標楷體" w:cs="新細明體" w:hint="eastAsia"/>
                <w:color w:val="000000"/>
                <w:kern w:val="0"/>
                <w:sz w:val="28"/>
                <w:szCs w:val="28"/>
              </w:rPr>
              <w:t>86.1</w:t>
            </w:r>
          </w:p>
        </w:tc>
        <w:tc>
          <w:tcPr>
            <w:tcW w:w="1861" w:type="dxa"/>
            <w:tcBorders>
              <w:left w:val="single" w:sz="12" w:space="0" w:color="auto"/>
            </w:tcBorders>
            <w:vAlign w:val="center"/>
          </w:tcPr>
          <w:p w14:paraId="0D703F85" w14:textId="77777777" w:rsidR="00D70792" w:rsidRPr="00C2765B" w:rsidRDefault="00D70792" w:rsidP="008E092B">
            <w:pPr>
              <w:widowControl/>
              <w:jc w:val="center"/>
              <w:rPr>
                <w:rFonts w:ascii="標楷體" w:eastAsia="標楷體" w:hAnsi="標楷體" w:cs="新細明體"/>
                <w:color w:val="000000"/>
                <w:kern w:val="0"/>
                <w:sz w:val="28"/>
                <w:szCs w:val="28"/>
              </w:rPr>
            </w:pPr>
            <w:r w:rsidRPr="00C2765B">
              <w:rPr>
                <w:rFonts w:ascii="標楷體" w:eastAsia="標楷體" w:hAnsi="標楷體" w:cs="新細明體" w:hint="eastAsia"/>
                <w:color w:val="000000"/>
                <w:kern w:val="0"/>
                <w:sz w:val="28"/>
                <w:szCs w:val="28"/>
              </w:rPr>
              <w:t>8.4%</w:t>
            </w:r>
          </w:p>
        </w:tc>
      </w:tr>
      <w:tr w:rsidR="00D70792" w:rsidRPr="00C2765B" w14:paraId="21B1F63F" w14:textId="77777777" w:rsidTr="008E092B">
        <w:trPr>
          <w:trHeight w:val="324"/>
          <w:jc w:val="center"/>
        </w:trPr>
        <w:tc>
          <w:tcPr>
            <w:tcW w:w="1591" w:type="dxa"/>
            <w:shd w:val="clear" w:color="auto" w:fill="auto"/>
            <w:noWrap/>
            <w:vAlign w:val="center"/>
            <w:hideMark/>
          </w:tcPr>
          <w:p w14:paraId="3D591158" w14:textId="77777777" w:rsidR="00D70792" w:rsidRPr="00C2765B" w:rsidRDefault="00D70792" w:rsidP="008E092B">
            <w:pPr>
              <w:widowControl/>
              <w:jc w:val="center"/>
              <w:rPr>
                <w:rFonts w:ascii="標楷體" w:eastAsia="標楷體" w:hAnsi="標楷體" w:cs="新細明體"/>
                <w:color w:val="000000"/>
                <w:kern w:val="0"/>
                <w:sz w:val="28"/>
                <w:szCs w:val="28"/>
              </w:rPr>
            </w:pPr>
            <w:r w:rsidRPr="00C2765B">
              <w:rPr>
                <w:rFonts w:ascii="標楷體" w:eastAsia="標楷體" w:hAnsi="標楷體" w:cs="新細明體" w:hint="eastAsia"/>
                <w:color w:val="000000"/>
                <w:kern w:val="0"/>
                <w:sz w:val="28"/>
                <w:szCs w:val="28"/>
              </w:rPr>
              <w:t>核能</w:t>
            </w:r>
          </w:p>
        </w:tc>
        <w:tc>
          <w:tcPr>
            <w:tcW w:w="1860" w:type="dxa"/>
            <w:shd w:val="clear" w:color="auto" w:fill="auto"/>
            <w:noWrap/>
            <w:vAlign w:val="center"/>
            <w:hideMark/>
          </w:tcPr>
          <w:p w14:paraId="1CFB4426" w14:textId="77777777" w:rsidR="00D70792" w:rsidRPr="00C2765B" w:rsidRDefault="00D70792" w:rsidP="008E092B">
            <w:pPr>
              <w:widowControl/>
              <w:jc w:val="center"/>
              <w:rPr>
                <w:rFonts w:ascii="標楷體" w:eastAsia="標楷體" w:hAnsi="標楷體" w:cs="新細明體"/>
                <w:color w:val="000000"/>
                <w:kern w:val="0"/>
                <w:sz w:val="28"/>
                <w:szCs w:val="28"/>
              </w:rPr>
            </w:pPr>
            <w:r w:rsidRPr="00C2765B">
              <w:rPr>
                <w:rFonts w:ascii="標楷體" w:eastAsia="標楷體" w:hAnsi="標楷體" w:cs="新細明體" w:hint="eastAsia"/>
                <w:color w:val="000000"/>
                <w:kern w:val="0"/>
                <w:sz w:val="28"/>
                <w:szCs w:val="28"/>
              </w:rPr>
              <w:t>27.8</w:t>
            </w:r>
          </w:p>
        </w:tc>
        <w:tc>
          <w:tcPr>
            <w:tcW w:w="1861" w:type="dxa"/>
            <w:shd w:val="clear" w:color="auto" w:fill="auto"/>
            <w:noWrap/>
            <w:vAlign w:val="center"/>
            <w:hideMark/>
          </w:tcPr>
          <w:p w14:paraId="6E721DD9" w14:textId="77777777" w:rsidR="00D70792" w:rsidRPr="00C2765B" w:rsidRDefault="00D70792" w:rsidP="008E092B">
            <w:pPr>
              <w:widowControl/>
              <w:jc w:val="center"/>
              <w:rPr>
                <w:rFonts w:ascii="標楷體" w:eastAsia="標楷體" w:hAnsi="標楷體" w:cs="新細明體"/>
                <w:color w:val="000000"/>
                <w:kern w:val="0"/>
                <w:sz w:val="28"/>
                <w:szCs w:val="28"/>
              </w:rPr>
            </w:pPr>
            <w:r w:rsidRPr="00C2765B">
              <w:rPr>
                <w:rFonts w:ascii="標楷體" w:eastAsia="標楷體" w:hAnsi="標楷體" w:cs="新細明體" w:hint="eastAsia"/>
                <w:color w:val="000000"/>
                <w:kern w:val="0"/>
                <w:sz w:val="28"/>
                <w:szCs w:val="28"/>
              </w:rPr>
              <w:t>9.6%</w:t>
            </w:r>
          </w:p>
        </w:tc>
        <w:tc>
          <w:tcPr>
            <w:tcW w:w="1860" w:type="dxa"/>
            <w:tcBorders>
              <w:right w:val="single" w:sz="12" w:space="0" w:color="auto"/>
            </w:tcBorders>
            <w:vAlign w:val="center"/>
          </w:tcPr>
          <w:p w14:paraId="2AF008F1" w14:textId="77777777" w:rsidR="00D70792" w:rsidRPr="00C2765B" w:rsidRDefault="00D70792" w:rsidP="008E092B">
            <w:pPr>
              <w:widowControl/>
              <w:jc w:val="center"/>
              <w:rPr>
                <w:rFonts w:ascii="標楷體" w:eastAsia="標楷體" w:hAnsi="標楷體" w:cs="新細明體"/>
                <w:color w:val="000000"/>
                <w:kern w:val="0"/>
                <w:sz w:val="28"/>
                <w:szCs w:val="28"/>
              </w:rPr>
            </w:pPr>
            <w:r w:rsidRPr="00C2765B">
              <w:rPr>
                <w:rFonts w:ascii="標楷體" w:eastAsia="標楷體" w:hAnsi="標楷體" w:cs="新細明體" w:hint="eastAsia"/>
                <w:color w:val="000000"/>
                <w:kern w:val="0"/>
                <w:sz w:val="28"/>
                <w:szCs w:val="28"/>
              </w:rPr>
              <w:t>70.8</w:t>
            </w:r>
          </w:p>
        </w:tc>
        <w:tc>
          <w:tcPr>
            <w:tcW w:w="1861" w:type="dxa"/>
            <w:tcBorders>
              <w:left w:val="single" w:sz="12" w:space="0" w:color="auto"/>
            </w:tcBorders>
            <w:vAlign w:val="center"/>
          </w:tcPr>
          <w:p w14:paraId="5593C9CF" w14:textId="77777777" w:rsidR="00D70792" w:rsidRPr="00C2765B" w:rsidRDefault="00D70792" w:rsidP="008E092B">
            <w:pPr>
              <w:widowControl/>
              <w:jc w:val="center"/>
              <w:rPr>
                <w:rFonts w:ascii="標楷體" w:eastAsia="標楷體" w:hAnsi="標楷體" w:cs="新細明體"/>
                <w:color w:val="000000"/>
                <w:kern w:val="0"/>
                <w:sz w:val="28"/>
                <w:szCs w:val="28"/>
              </w:rPr>
            </w:pPr>
            <w:r w:rsidRPr="00C2765B">
              <w:rPr>
                <w:rFonts w:ascii="標楷體" w:eastAsia="標楷體" w:hAnsi="標楷體" w:cs="新細明體" w:hint="eastAsia"/>
                <w:color w:val="000000"/>
                <w:kern w:val="0"/>
                <w:sz w:val="28"/>
                <w:szCs w:val="28"/>
              </w:rPr>
              <w:t>6.9%</w:t>
            </w:r>
          </w:p>
        </w:tc>
      </w:tr>
      <w:tr w:rsidR="00D70792" w:rsidRPr="00C2765B" w14:paraId="455ED2D5" w14:textId="77777777" w:rsidTr="008E092B">
        <w:trPr>
          <w:trHeight w:val="324"/>
          <w:jc w:val="center"/>
        </w:trPr>
        <w:tc>
          <w:tcPr>
            <w:tcW w:w="1591" w:type="dxa"/>
            <w:shd w:val="clear" w:color="auto" w:fill="auto"/>
            <w:noWrap/>
            <w:vAlign w:val="center"/>
            <w:hideMark/>
          </w:tcPr>
          <w:p w14:paraId="4340A5E1" w14:textId="77777777" w:rsidR="00D70792" w:rsidRPr="00C2765B" w:rsidRDefault="00D70792" w:rsidP="008E092B">
            <w:pPr>
              <w:widowControl/>
              <w:jc w:val="center"/>
              <w:rPr>
                <w:rFonts w:ascii="標楷體" w:eastAsia="標楷體" w:hAnsi="標楷體" w:cs="新細明體"/>
                <w:color w:val="000000"/>
                <w:kern w:val="0"/>
                <w:sz w:val="28"/>
                <w:szCs w:val="28"/>
              </w:rPr>
            </w:pPr>
            <w:r w:rsidRPr="00C2765B">
              <w:rPr>
                <w:rFonts w:ascii="標楷體" w:eastAsia="標楷體" w:hAnsi="標楷體" w:cs="新細明體" w:hint="eastAsia"/>
                <w:color w:val="000000"/>
                <w:kern w:val="0"/>
                <w:sz w:val="28"/>
                <w:szCs w:val="28"/>
              </w:rPr>
              <w:t>生物燃料</w:t>
            </w:r>
          </w:p>
        </w:tc>
        <w:tc>
          <w:tcPr>
            <w:tcW w:w="1860" w:type="dxa"/>
            <w:shd w:val="clear" w:color="auto" w:fill="auto"/>
            <w:noWrap/>
            <w:vAlign w:val="center"/>
            <w:hideMark/>
          </w:tcPr>
          <w:p w14:paraId="22287E29" w14:textId="77777777" w:rsidR="00D70792" w:rsidRPr="00C2765B" w:rsidRDefault="00D70792" w:rsidP="008E092B">
            <w:pPr>
              <w:widowControl/>
              <w:jc w:val="center"/>
              <w:rPr>
                <w:rFonts w:ascii="標楷體" w:eastAsia="標楷體" w:hAnsi="標楷體" w:cs="新細明體"/>
                <w:color w:val="000000"/>
                <w:kern w:val="0"/>
                <w:sz w:val="28"/>
                <w:szCs w:val="28"/>
              </w:rPr>
            </w:pPr>
            <w:r w:rsidRPr="00C2765B">
              <w:rPr>
                <w:rFonts w:ascii="標楷體" w:eastAsia="標楷體" w:hAnsi="標楷體" w:cs="新細明體" w:hint="eastAsia"/>
                <w:color w:val="000000"/>
                <w:kern w:val="0"/>
                <w:sz w:val="28"/>
                <w:szCs w:val="28"/>
              </w:rPr>
              <w:t>3.8</w:t>
            </w:r>
          </w:p>
        </w:tc>
        <w:tc>
          <w:tcPr>
            <w:tcW w:w="1861" w:type="dxa"/>
            <w:shd w:val="clear" w:color="auto" w:fill="auto"/>
            <w:noWrap/>
            <w:vAlign w:val="center"/>
            <w:hideMark/>
          </w:tcPr>
          <w:p w14:paraId="067CA112" w14:textId="77777777" w:rsidR="00D70792" w:rsidRPr="00C2765B" w:rsidRDefault="00D70792" w:rsidP="008E092B">
            <w:pPr>
              <w:widowControl/>
              <w:jc w:val="center"/>
              <w:rPr>
                <w:rFonts w:ascii="標楷體" w:eastAsia="標楷體" w:hAnsi="標楷體" w:cs="新細明體"/>
                <w:color w:val="000000"/>
                <w:kern w:val="0"/>
                <w:sz w:val="28"/>
                <w:szCs w:val="28"/>
              </w:rPr>
            </w:pPr>
            <w:r w:rsidRPr="00C2765B">
              <w:rPr>
                <w:rFonts w:ascii="標楷體" w:eastAsia="標楷體" w:hAnsi="標楷體" w:cs="新細明體" w:hint="eastAsia"/>
                <w:color w:val="000000"/>
                <w:kern w:val="0"/>
                <w:sz w:val="28"/>
                <w:szCs w:val="28"/>
              </w:rPr>
              <w:t>1.3%</w:t>
            </w:r>
          </w:p>
        </w:tc>
        <w:tc>
          <w:tcPr>
            <w:tcW w:w="1860" w:type="dxa"/>
            <w:tcBorders>
              <w:right w:val="single" w:sz="12" w:space="0" w:color="auto"/>
            </w:tcBorders>
            <w:vAlign w:val="center"/>
          </w:tcPr>
          <w:p w14:paraId="763BEF86" w14:textId="77777777" w:rsidR="00D70792" w:rsidRPr="00C2765B" w:rsidRDefault="00D70792" w:rsidP="008E092B">
            <w:pPr>
              <w:widowControl/>
              <w:jc w:val="center"/>
              <w:rPr>
                <w:rFonts w:ascii="標楷體" w:eastAsia="標楷體" w:hAnsi="標楷體" w:cs="新細明體"/>
                <w:color w:val="000000"/>
                <w:kern w:val="0"/>
                <w:sz w:val="28"/>
                <w:szCs w:val="28"/>
              </w:rPr>
            </w:pPr>
            <w:r w:rsidRPr="00C2765B">
              <w:rPr>
                <w:rFonts w:ascii="標楷體" w:eastAsia="標楷體" w:hAnsi="標楷體" w:cs="新細明體" w:hint="eastAsia"/>
                <w:color w:val="000000"/>
                <w:kern w:val="0"/>
                <w:sz w:val="28"/>
                <w:szCs w:val="28"/>
              </w:rPr>
              <w:t>53</w:t>
            </w:r>
          </w:p>
        </w:tc>
        <w:tc>
          <w:tcPr>
            <w:tcW w:w="1861" w:type="dxa"/>
            <w:tcBorders>
              <w:left w:val="single" w:sz="12" w:space="0" w:color="auto"/>
            </w:tcBorders>
            <w:vAlign w:val="center"/>
          </w:tcPr>
          <w:p w14:paraId="7460EC86" w14:textId="77777777" w:rsidR="00D70792" w:rsidRPr="00C2765B" w:rsidRDefault="00D70792" w:rsidP="008E092B">
            <w:pPr>
              <w:widowControl/>
              <w:jc w:val="center"/>
              <w:rPr>
                <w:rFonts w:ascii="標楷體" w:eastAsia="標楷體" w:hAnsi="標楷體" w:cs="新細明體"/>
                <w:color w:val="000000"/>
                <w:kern w:val="0"/>
                <w:sz w:val="28"/>
                <w:szCs w:val="28"/>
              </w:rPr>
            </w:pPr>
            <w:r w:rsidRPr="00C2765B">
              <w:rPr>
                <w:rFonts w:ascii="標楷體" w:eastAsia="標楷體" w:hAnsi="標楷體" w:cs="新細明體" w:hint="eastAsia"/>
                <w:color w:val="000000"/>
                <w:kern w:val="0"/>
                <w:sz w:val="28"/>
                <w:szCs w:val="28"/>
              </w:rPr>
              <w:t>5.2%</w:t>
            </w:r>
          </w:p>
        </w:tc>
      </w:tr>
      <w:tr w:rsidR="00D70792" w:rsidRPr="00C2765B" w14:paraId="61B8D53D" w14:textId="77777777" w:rsidTr="008E092B">
        <w:trPr>
          <w:trHeight w:val="324"/>
          <w:jc w:val="center"/>
        </w:trPr>
        <w:tc>
          <w:tcPr>
            <w:tcW w:w="1591" w:type="dxa"/>
            <w:shd w:val="clear" w:color="auto" w:fill="auto"/>
            <w:noWrap/>
            <w:vAlign w:val="center"/>
            <w:hideMark/>
          </w:tcPr>
          <w:p w14:paraId="61CAFC7C" w14:textId="77777777" w:rsidR="00D70792" w:rsidRPr="00C2765B" w:rsidRDefault="00D70792" w:rsidP="008E092B">
            <w:pPr>
              <w:widowControl/>
              <w:jc w:val="center"/>
              <w:rPr>
                <w:rFonts w:ascii="標楷體" w:eastAsia="標楷體" w:hAnsi="標楷體" w:cs="新細明體"/>
                <w:color w:val="000000"/>
                <w:kern w:val="0"/>
                <w:sz w:val="28"/>
                <w:szCs w:val="28"/>
              </w:rPr>
            </w:pPr>
            <w:r w:rsidRPr="00C2765B">
              <w:rPr>
                <w:rFonts w:ascii="標楷體" w:eastAsia="標楷體" w:hAnsi="標楷體" w:cs="新細明體" w:hint="eastAsia"/>
                <w:color w:val="000000"/>
                <w:kern w:val="0"/>
                <w:sz w:val="28"/>
                <w:szCs w:val="28"/>
              </w:rPr>
              <w:t>油</w:t>
            </w:r>
          </w:p>
        </w:tc>
        <w:tc>
          <w:tcPr>
            <w:tcW w:w="1860" w:type="dxa"/>
            <w:shd w:val="clear" w:color="auto" w:fill="auto"/>
            <w:noWrap/>
            <w:vAlign w:val="center"/>
            <w:hideMark/>
          </w:tcPr>
          <w:p w14:paraId="43450959" w14:textId="77777777" w:rsidR="00D70792" w:rsidRPr="00C2765B" w:rsidRDefault="00D70792" w:rsidP="008E092B">
            <w:pPr>
              <w:widowControl/>
              <w:jc w:val="center"/>
              <w:rPr>
                <w:rFonts w:ascii="標楷體" w:eastAsia="標楷體" w:hAnsi="標楷體" w:cs="新細明體"/>
                <w:color w:val="000000"/>
                <w:kern w:val="0"/>
                <w:sz w:val="28"/>
                <w:szCs w:val="28"/>
              </w:rPr>
            </w:pPr>
            <w:r w:rsidRPr="00C2765B">
              <w:rPr>
                <w:rFonts w:ascii="標楷體" w:eastAsia="標楷體" w:hAnsi="標楷體" w:cs="新細明體" w:hint="eastAsia"/>
                <w:color w:val="000000"/>
                <w:kern w:val="0"/>
                <w:sz w:val="28"/>
                <w:szCs w:val="28"/>
              </w:rPr>
              <w:t>5.3</w:t>
            </w:r>
          </w:p>
        </w:tc>
        <w:tc>
          <w:tcPr>
            <w:tcW w:w="1861" w:type="dxa"/>
            <w:shd w:val="clear" w:color="auto" w:fill="auto"/>
            <w:noWrap/>
            <w:vAlign w:val="center"/>
            <w:hideMark/>
          </w:tcPr>
          <w:p w14:paraId="4A846F2D" w14:textId="77777777" w:rsidR="00D70792" w:rsidRPr="00C2765B" w:rsidRDefault="00D70792" w:rsidP="008E092B">
            <w:pPr>
              <w:widowControl/>
              <w:jc w:val="center"/>
              <w:rPr>
                <w:rFonts w:ascii="標楷體" w:eastAsia="標楷體" w:hAnsi="標楷體" w:cs="新細明體"/>
                <w:color w:val="000000"/>
                <w:kern w:val="0"/>
                <w:sz w:val="28"/>
                <w:szCs w:val="28"/>
              </w:rPr>
            </w:pPr>
            <w:r w:rsidRPr="00C2765B">
              <w:rPr>
                <w:rFonts w:ascii="標楷體" w:eastAsia="標楷體" w:hAnsi="標楷體" w:cs="新細明體" w:hint="eastAsia"/>
                <w:color w:val="000000"/>
                <w:kern w:val="0"/>
                <w:sz w:val="28"/>
                <w:szCs w:val="28"/>
              </w:rPr>
              <w:t>1.8%</w:t>
            </w:r>
          </w:p>
        </w:tc>
        <w:tc>
          <w:tcPr>
            <w:tcW w:w="1860" w:type="dxa"/>
            <w:tcBorders>
              <w:right w:val="single" w:sz="12" w:space="0" w:color="auto"/>
            </w:tcBorders>
            <w:vAlign w:val="center"/>
          </w:tcPr>
          <w:p w14:paraId="55A9F500" w14:textId="77777777" w:rsidR="00D70792" w:rsidRPr="00C2765B" w:rsidRDefault="00D70792" w:rsidP="008E092B">
            <w:pPr>
              <w:widowControl/>
              <w:jc w:val="center"/>
              <w:rPr>
                <w:rFonts w:ascii="標楷體" w:eastAsia="標楷體" w:hAnsi="標楷體" w:cs="新細明體"/>
                <w:color w:val="000000"/>
                <w:kern w:val="0"/>
                <w:sz w:val="28"/>
                <w:szCs w:val="28"/>
              </w:rPr>
            </w:pPr>
            <w:r w:rsidRPr="00C2765B">
              <w:rPr>
                <w:rFonts w:ascii="標楷體" w:eastAsia="標楷體" w:hAnsi="標楷體" w:cs="新細明體" w:hint="eastAsia"/>
                <w:color w:val="000000"/>
                <w:kern w:val="0"/>
                <w:sz w:val="28"/>
                <w:szCs w:val="28"/>
              </w:rPr>
              <w:t>39.5</w:t>
            </w:r>
          </w:p>
        </w:tc>
        <w:tc>
          <w:tcPr>
            <w:tcW w:w="1861" w:type="dxa"/>
            <w:tcBorders>
              <w:left w:val="single" w:sz="12" w:space="0" w:color="auto"/>
            </w:tcBorders>
            <w:vAlign w:val="center"/>
          </w:tcPr>
          <w:p w14:paraId="7428F12A" w14:textId="77777777" w:rsidR="00D70792" w:rsidRPr="00C2765B" w:rsidRDefault="00D70792" w:rsidP="008E092B">
            <w:pPr>
              <w:widowControl/>
              <w:jc w:val="center"/>
              <w:rPr>
                <w:rFonts w:ascii="標楷體" w:eastAsia="標楷體" w:hAnsi="標楷體" w:cs="新細明體"/>
                <w:color w:val="000000"/>
                <w:kern w:val="0"/>
                <w:sz w:val="28"/>
                <w:szCs w:val="28"/>
              </w:rPr>
            </w:pPr>
            <w:r w:rsidRPr="00C2765B">
              <w:rPr>
                <w:rFonts w:ascii="標楷體" w:eastAsia="標楷體" w:hAnsi="標楷體" w:cs="新細明體" w:hint="eastAsia"/>
                <w:color w:val="000000"/>
                <w:kern w:val="0"/>
                <w:sz w:val="28"/>
                <w:szCs w:val="28"/>
              </w:rPr>
              <w:t>3.8%</w:t>
            </w:r>
          </w:p>
        </w:tc>
      </w:tr>
      <w:tr w:rsidR="00D70792" w:rsidRPr="00C2765B" w14:paraId="3791C521" w14:textId="77777777" w:rsidTr="008E092B">
        <w:trPr>
          <w:trHeight w:val="324"/>
          <w:jc w:val="center"/>
        </w:trPr>
        <w:tc>
          <w:tcPr>
            <w:tcW w:w="1591" w:type="dxa"/>
            <w:shd w:val="clear" w:color="auto" w:fill="auto"/>
            <w:noWrap/>
            <w:vAlign w:val="center"/>
            <w:hideMark/>
          </w:tcPr>
          <w:p w14:paraId="0AD95E1B" w14:textId="77777777" w:rsidR="00D70792" w:rsidRPr="00C2765B" w:rsidRDefault="00D70792" w:rsidP="008E092B">
            <w:pPr>
              <w:widowControl/>
              <w:jc w:val="center"/>
              <w:rPr>
                <w:rFonts w:ascii="標楷體" w:eastAsia="標楷體" w:hAnsi="標楷體" w:cs="新細明體"/>
                <w:color w:val="000000"/>
                <w:kern w:val="0"/>
                <w:sz w:val="28"/>
                <w:szCs w:val="28"/>
              </w:rPr>
            </w:pPr>
            <w:r w:rsidRPr="00C2765B">
              <w:rPr>
                <w:rFonts w:ascii="標楷體" w:eastAsia="標楷體" w:hAnsi="標楷體" w:cs="新細明體" w:hint="eastAsia"/>
                <w:color w:val="000000"/>
                <w:kern w:val="0"/>
                <w:sz w:val="28"/>
                <w:szCs w:val="28"/>
              </w:rPr>
              <w:t>風</w:t>
            </w:r>
          </w:p>
        </w:tc>
        <w:tc>
          <w:tcPr>
            <w:tcW w:w="1860" w:type="dxa"/>
            <w:shd w:val="clear" w:color="auto" w:fill="auto"/>
            <w:noWrap/>
            <w:vAlign w:val="center"/>
            <w:hideMark/>
          </w:tcPr>
          <w:p w14:paraId="4FFBD639" w14:textId="77777777" w:rsidR="00D70792" w:rsidRPr="00C2765B" w:rsidRDefault="00D70792" w:rsidP="008E092B">
            <w:pPr>
              <w:widowControl/>
              <w:jc w:val="center"/>
              <w:rPr>
                <w:rFonts w:ascii="標楷體" w:eastAsia="標楷體" w:hAnsi="標楷體" w:cs="新細明體"/>
                <w:color w:val="000000"/>
                <w:kern w:val="0"/>
                <w:sz w:val="28"/>
                <w:szCs w:val="28"/>
              </w:rPr>
            </w:pPr>
            <w:r w:rsidRPr="00C2765B">
              <w:rPr>
                <w:rFonts w:ascii="標楷體" w:eastAsia="標楷體" w:hAnsi="標楷體" w:cs="新細明體" w:hint="eastAsia"/>
                <w:color w:val="000000"/>
                <w:kern w:val="0"/>
                <w:sz w:val="28"/>
                <w:szCs w:val="28"/>
              </w:rPr>
              <w:t>2.2</w:t>
            </w:r>
          </w:p>
        </w:tc>
        <w:tc>
          <w:tcPr>
            <w:tcW w:w="1861" w:type="dxa"/>
            <w:shd w:val="clear" w:color="auto" w:fill="auto"/>
            <w:noWrap/>
            <w:vAlign w:val="center"/>
            <w:hideMark/>
          </w:tcPr>
          <w:p w14:paraId="0B562D30" w14:textId="77777777" w:rsidR="00D70792" w:rsidRPr="00C2765B" w:rsidRDefault="00D70792" w:rsidP="008E092B">
            <w:pPr>
              <w:widowControl/>
              <w:jc w:val="center"/>
              <w:rPr>
                <w:rFonts w:ascii="標楷體" w:eastAsia="標楷體" w:hAnsi="標楷體" w:cs="新細明體"/>
                <w:color w:val="000000"/>
                <w:kern w:val="0"/>
                <w:sz w:val="28"/>
                <w:szCs w:val="28"/>
              </w:rPr>
            </w:pPr>
            <w:r w:rsidRPr="00C2765B">
              <w:rPr>
                <w:rFonts w:ascii="標楷體" w:eastAsia="標楷體" w:hAnsi="標楷體" w:cs="新細明體" w:hint="eastAsia"/>
                <w:color w:val="000000"/>
                <w:kern w:val="0"/>
                <w:sz w:val="28"/>
                <w:szCs w:val="28"/>
              </w:rPr>
              <w:t>0.8%</w:t>
            </w:r>
          </w:p>
        </w:tc>
        <w:tc>
          <w:tcPr>
            <w:tcW w:w="1860" w:type="dxa"/>
            <w:tcBorders>
              <w:right w:val="single" w:sz="12" w:space="0" w:color="auto"/>
            </w:tcBorders>
            <w:vAlign w:val="center"/>
          </w:tcPr>
          <w:p w14:paraId="0410542C" w14:textId="77777777" w:rsidR="00D70792" w:rsidRPr="00C2765B" w:rsidRDefault="00D70792" w:rsidP="008E092B">
            <w:pPr>
              <w:widowControl/>
              <w:jc w:val="center"/>
              <w:rPr>
                <w:rFonts w:ascii="標楷體" w:eastAsia="標楷體" w:hAnsi="標楷體" w:cs="新細明體"/>
                <w:color w:val="000000"/>
                <w:kern w:val="0"/>
                <w:sz w:val="28"/>
                <w:szCs w:val="28"/>
              </w:rPr>
            </w:pPr>
            <w:r w:rsidRPr="00C2765B">
              <w:rPr>
                <w:rFonts w:ascii="標楷體" w:eastAsia="標楷體" w:hAnsi="標楷體" w:cs="新細明體" w:hint="eastAsia"/>
                <w:color w:val="000000"/>
                <w:kern w:val="0"/>
                <w:sz w:val="28"/>
                <w:szCs w:val="28"/>
              </w:rPr>
              <w:t>9.4</w:t>
            </w:r>
          </w:p>
        </w:tc>
        <w:tc>
          <w:tcPr>
            <w:tcW w:w="1861" w:type="dxa"/>
            <w:tcBorders>
              <w:left w:val="single" w:sz="12" w:space="0" w:color="auto"/>
            </w:tcBorders>
            <w:vAlign w:val="center"/>
          </w:tcPr>
          <w:p w14:paraId="0179C546" w14:textId="77777777" w:rsidR="00D70792" w:rsidRPr="00C2765B" w:rsidRDefault="00D70792" w:rsidP="008E092B">
            <w:pPr>
              <w:widowControl/>
              <w:jc w:val="center"/>
              <w:rPr>
                <w:rFonts w:ascii="標楷體" w:eastAsia="標楷體" w:hAnsi="標楷體" w:cs="新細明體"/>
                <w:color w:val="000000"/>
                <w:kern w:val="0"/>
                <w:sz w:val="28"/>
                <w:szCs w:val="28"/>
              </w:rPr>
            </w:pPr>
            <w:r w:rsidRPr="00C2765B">
              <w:rPr>
                <w:rFonts w:ascii="標楷體" w:eastAsia="標楷體" w:hAnsi="標楷體" w:cs="新細明體" w:hint="eastAsia"/>
                <w:color w:val="000000"/>
                <w:kern w:val="0"/>
                <w:sz w:val="28"/>
                <w:szCs w:val="28"/>
              </w:rPr>
              <w:t>0.9%</w:t>
            </w:r>
          </w:p>
        </w:tc>
      </w:tr>
      <w:tr w:rsidR="00D70792" w:rsidRPr="00C2765B" w14:paraId="19744B1E" w14:textId="77777777" w:rsidTr="008E092B">
        <w:trPr>
          <w:trHeight w:val="324"/>
          <w:jc w:val="center"/>
        </w:trPr>
        <w:tc>
          <w:tcPr>
            <w:tcW w:w="1591" w:type="dxa"/>
            <w:shd w:val="clear" w:color="auto" w:fill="auto"/>
            <w:noWrap/>
            <w:vAlign w:val="center"/>
            <w:hideMark/>
          </w:tcPr>
          <w:p w14:paraId="6E444D64" w14:textId="77777777" w:rsidR="00D70792" w:rsidRPr="00C2765B" w:rsidRDefault="00D70792" w:rsidP="008E092B">
            <w:pPr>
              <w:widowControl/>
              <w:jc w:val="center"/>
              <w:rPr>
                <w:rFonts w:ascii="標楷體" w:eastAsia="標楷體" w:hAnsi="標楷體" w:cs="新細明體"/>
                <w:color w:val="000000"/>
                <w:kern w:val="0"/>
                <w:sz w:val="28"/>
                <w:szCs w:val="28"/>
              </w:rPr>
            </w:pPr>
            <w:r w:rsidRPr="00C2765B">
              <w:rPr>
                <w:rFonts w:ascii="標楷體" w:eastAsia="標楷體" w:hAnsi="標楷體" w:cs="新細明體" w:hint="eastAsia"/>
                <w:color w:val="000000"/>
                <w:kern w:val="0"/>
                <w:sz w:val="28"/>
                <w:szCs w:val="28"/>
              </w:rPr>
              <w:t>合計</w:t>
            </w:r>
          </w:p>
        </w:tc>
        <w:tc>
          <w:tcPr>
            <w:tcW w:w="3721" w:type="dxa"/>
            <w:gridSpan w:val="2"/>
            <w:shd w:val="clear" w:color="auto" w:fill="auto"/>
            <w:noWrap/>
            <w:vAlign w:val="center"/>
            <w:hideMark/>
          </w:tcPr>
          <w:p w14:paraId="4D59E8CB" w14:textId="77777777" w:rsidR="00D70792" w:rsidRPr="00C2765B" w:rsidRDefault="00D70792" w:rsidP="008E092B">
            <w:pPr>
              <w:widowControl/>
              <w:jc w:val="center"/>
              <w:rPr>
                <w:rFonts w:ascii="標楷體" w:eastAsia="標楷體" w:hAnsi="標楷體" w:cs="新細明體"/>
                <w:color w:val="000000"/>
                <w:kern w:val="0"/>
                <w:sz w:val="28"/>
                <w:szCs w:val="28"/>
              </w:rPr>
            </w:pPr>
            <w:r w:rsidRPr="00C2765B">
              <w:rPr>
                <w:rFonts w:ascii="標楷體" w:eastAsia="標楷體" w:hAnsi="標楷體" w:cs="新細明體" w:hint="eastAsia"/>
                <w:color w:val="000000"/>
                <w:kern w:val="0"/>
                <w:sz w:val="28"/>
                <w:szCs w:val="28"/>
              </w:rPr>
              <w:t>290.8</w:t>
            </w:r>
            <w:r>
              <w:rPr>
                <w:rFonts w:ascii="標楷體" w:eastAsia="標楷體" w:hAnsi="標楷體" w:cs="新細明體" w:hint="eastAsia"/>
                <w:color w:val="000000"/>
                <w:kern w:val="0"/>
                <w:sz w:val="28"/>
                <w:szCs w:val="28"/>
              </w:rPr>
              <w:t xml:space="preserve"> </w:t>
            </w:r>
            <w:r w:rsidRPr="00C2765B">
              <w:rPr>
                <w:rFonts w:ascii="標楷體" w:eastAsia="標楷體" w:hAnsi="標楷體"/>
                <w:sz w:val="28"/>
                <w:szCs w:val="28"/>
              </w:rPr>
              <w:t>TWh</w:t>
            </w:r>
          </w:p>
        </w:tc>
        <w:tc>
          <w:tcPr>
            <w:tcW w:w="3721" w:type="dxa"/>
            <w:gridSpan w:val="2"/>
          </w:tcPr>
          <w:p w14:paraId="0D448A24" w14:textId="77777777" w:rsidR="00D70792" w:rsidRPr="00C2765B" w:rsidRDefault="00D70792" w:rsidP="008E092B">
            <w:pPr>
              <w:widowControl/>
              <w:jc w:val="center"/>
              <w:rPr>
                <w:rFonts w:ascii="標楷體" w:eastAsia="標楷體" w:hAnsi="標楷體" w:cs="新細明體"/>
                <w:color w:val="000000"/>
                <w:kern w:val="0"/>
                <w:sz w:val="28"/>
                <w:szCs w:val="28"/>
              </w:rPr>
            </w:pPr>
            <w:r w:rsidRPr="00C2765B">
              <w:rPr>
                <w:rFonts w:ascii="標楷體" w:eastAsia="標楷體" w:hAnsi="標楷體" w:cs="新細明體" w:hint="eastAsia"/>
                <w:color w:val="000000"/>
                <w:kern w:val="0"/>
                <w:sz w:val="28"/>
                <w:szCs w:val="28"/>
              </w:rPr>
              <w:t>1028.6</w:t>
            </w:r>
            <w:r>
              <w:rPr>
                <w:rFonts w:ascii="標楷體" w:eastAsia="標楷體" w:hAnsi="標楷體" w:cs="新細明體" w:hint="eastAsia"/>
                <w:color w:val="000000"/>
                <w:kern w:val="0"/>
                <w:sz w:val="28"/>
                <w:szCs w:val="28"/>
              </w:rPr>
              <w:t xml:space="preserve"> </w:t>
            </w:r>
            <w:r w:rsidRPr="00C2765B">
              <w:rPr>
                <w:rFonts w:ascii="標楷體" w:eastAsia="標楷體" w:hAnsi="標楷體"/>
                <w:sz w:val="28"/>
                <w:szCs w:val="28"/>
              </w:rPr>
              <w:t>TWh</w:t>
            </w:r>
          </w:p>
        </w:tc>
      </w:tr>
    </w:tbl>
    <w:p w14:paraId="2583E504" w14:textId="55FAF771" w:rsidR="002220E8" w:rsidRPr="00505E43" w:rsidRDefault="002220E8" w:rsidP="009C4EE0">
      <w:pPr>
        <w:numPr>
          <w:ilvl w:val="1"/>
          <w:numId w:val="2"/>
        </w:numPr>
        <w:tabs>
          <w:tab w:val="left" w:pos="-1920"/>
        </w:tabs>
        <w:snapToGrid w:val="0"/>
        <w:spacing w:beforeLines="15" w:before="36" w:afterLines="15" w:after="36" w:line="440" w:lineRule="exact"/>
        <w:ind w:left="964" w:hanging="482"/>
        <w:jc w:val="both"/>
        <w:outlineLvl w:val="1"/>
        <w:rPr>
          <w:rFonts w:ascii="標楷體" w:eastAsia="標楷體" w:hAnsi="標楷體"/>
          <w:bCs/>
          <w:sz w:val="28"/>
          <w:szCs w:val="28"/>
        </w:rPr>
      </w:pPr>
      <w:bookmarkStart w:id="22" w:name="_Toc185412382"/>
      <w:r w:rsidRPr="00505E43">
        <w:rPr>
          <w:rFonts w:ascii="標楷體" w:eastAsia="標楷體" w:hAnsi="標楷體" w:hint="eastAsia"/>
          <w:bCs/>
          <w:sz w:val="28"/>
          <w:szCs w:val="28"/>
        </w:rPr>
        <w:t>日本核電</w:t>
      </w:r>
      <w:r w:rsidRPr="00505E43">
        <w:rPr>
          <w:rFonts w:ascii="標楷體" w:eastAsia="標楷體" w:hAnsi="標楷體"/>
          <w:bCs/>
          <w:sz w:val="28"/>
          <w:szCs w:val="28"/>
        </w:rPr>
        <w:t>發展</w:t>
      </w:r>
      <w:r w:rsidRPr="00505E43">
        <w:rPr>
          <w:rFonts w:ascii="標楷體" w:eastAsia="標楷體" w:hAnsi="標楷體" w:hint="eastAsia"/>
          <w:bCs/>
          <w:sz w:val="28"/>
          <w:szCs w:val="28"/>
        </w:rPr>
        <w:t>趨勢及其經驗之</w:t>
      </w:r>
      <w:r w:rsidR="00566602">
        <w:rPr>
          <w:rFonts w:ascii="標楷體" w:eastAsia="標楷體" w:hAnsi="標楷體" w:hint="eastAsia"/>
          <w:bCs/>
          <w:sz w:val="28"/>
          <w:szCs w:val="28"/>
        </w:rPr>
        <w:t>參酌</w:t>
      </w:r>
      <w:bookmarkEnd w:id="22"/>
    </w:p>
    <w:p w14:paraId="4FF59D19" w14:textId="77777777" w:rsidR="002220E8" w:rsidRPr="002220E8" w:rsidRDefault="002220E8" w:rsidP="009C4EE0">
      <w:pPr>
        <w:numPr>
          <w:ilvl w:val="2"/>
          <w:numId w:val="2"/>
        </w:numPr>
        <w:tabs>
          <w:tab w:val="left" w:pos="-1920"/>
        </w:tabs>
        <w:snapToGrid w:val="0"/>
        <w:spacing w:beforeLines="15" w:before="36" w:afterLines="15" w:after="36" w:line="440" w:lineRule="exact"/>
        <w:ind w:left="1333" w:hanging="482"/>
        <w:jc w:val="both"/>
        <w:outlineLvl w:val="2"/>
        <w:rPr>
          <w:rFonts w:ascii="標楷體" w:eastAsia="標楷體" w:hAnsi="標楷體"/>
          <w:bCs/>
          <w:sz w:val="28"/>
          <w:szCs w:val="36"/>
        </w:rPr>
      </w:pPr>
      <w:r w:rsidRPr="002220E8">
        <w:rPr>
          <w:rFonts w:ascii="標楷體" w:eastAsia="標楷體" w:hAnsi="標楷體"/>
          <w:bCs/>
          <w:sz w:val="28"/>
          <w:szCs w:val="36"/>
        </w:rPr>
        <w:t>核電廠重啟與新建：日本積極重啟已停機的核電廠，並考慮新建先進反應器，同時計畫延長既有反應器的運轉年限。</w:t>
      </w:r>
      <w:r w:rsidRPr="002220E8">
        <w:rPr>
          <w:rFonts w:ascii="標楷體" w:eastAsia="標楷體" w:hAnsi="標楷體" w:hint="eastAsia"/>
          <w:bCs/>
          <w:sz w:val="28"/>
          <w:szCs w:val="36"/>
        </w:rPr>
        <w:t>我國</w:t>
      </w:r>
      <w:r w:rsidRPr="002220E8">
        <w:rPr>
          <w:rFonts w:ascii="標楷體" w:eastAsia="標楷體" w:hAnsi="標楷體"/>
          <w:bCs/>
          <w:sz w:val="28"/>
          <w:szCs w:val="36"/>
        </w:rPr>
        <w:t>則已封存新建中的核電廠，且無新建計畫。</w:t>
      </w:r>
    </w:p>
    <w:p w14:paraId="1C98AF56" w14:textId="77777777" w:rsidR="002220E8" w:rsidRPr="002220E8" w:rsidRDefault="002220E8" w:rsidP="009C4EE0">
      <w:pPr>
        <w:numPr>
          <w:ilvl w:val="2"/>
          <w:numId w:val="2"/>
        </w:numPr>
        <w:tabs>
          <w:tab w:val="left" w:pos="-1920"/>
        </w:tabs>
        <w:snapToGrid w:val="0"/>
        <w:spacing w:beforeLines="15" w:before="36" w:afterLines="15" w:after="36" w:line="440" w:lineRule="exact"/>
        <w:ind w:left="1333" w:hanging="482"/>
        <w:jc w:val="both"/>
        <w:outlineLvl w:val="2"/>
        <w:rPr>
          <w:rFonts w:ascii="標楷體" w:eastAsia="標楷體" w:hAnsi="標楷體"/>
          <w:bCs/>
          <w:sz w:val="28"/>
          <w:szCs w:val="36"/>
        </w:rPr>
      </w:pPr>
      <w:r w:rsidRPr="002220E8">
        <w:rPr>
          <w:rFonts w:ascii="標楷體" w:eastAsia="標楷體" w:hAnsi="標楷體"/>
          <w:bCs/>
          <w:sz w:val="28"/>
          <w:szCs w:val="36"/>
        </w:rPr>
        <w:t>核廢料處理：日本持續推動</w:t>
      </w:r>
      <w:r w:rsidRPr="002220E8">
        <w:rPr>
          <w:rFonts w:ascii="標楷體" w:eastAsia="標楷體" w:hAnsi="標楷體" w:hint="eastAsia"/>
          <w:bCs/>
          <w:sz w:val="28"/>
          <w:szCs w:val="36"/>
        </w:rPr>
        <w:t>核</w:t>
      </w:r>
      <w:r w:rsidRPr="002220E8">
        <w:rPr>
          <w:rFonts w:ascii="標楷體" w:eastAsia="標楷體" w:hAnsi="標楷體"/>
          <w:bCs/>
          <w:sz w:val="28"/>
          <w:szCs w:val="36"/>
        </w:rPr>
        <w:t>燃料</w:t>
      </w:r>
      <w:r w:rsidRPr="002220E8">
        <w:rPr>
          <w:rFonts w:ascii="標楷體" w:eastAsia="標楷體" w:hAnsi="標楷體" w:hint="eastAsia"/>
          <w:bCs/>
          <w:sz w:val="28"/>
          <w:szCs w:val="36"/>
        </w:rPr>
        <w:t>再</w:t>
      </w:r>
      <w:r w:rsidRPr="002220E8">
        <w:rPr>
          <w:rFonts w:ascii="標楷體" w:eastAsia="標楷體" w:hAnsi="標楷體"/>
          <w:bCs/>
          <w:sz w:val="28"/>
          <w:szCs w:val="36"/>
        </w:rPr>
        <w:t>處理技術，並規劃高放射性廢棄物的地質處置庫。</w:t>
      </w:r>
      <w:r w:rsidRPr="002220E8">
        <w:rPr>
          <w:rFonts w:ascii="標楷體" w:eastAsia="標楷體" w:hAnsi="標楷體" w:hint="eastAsia"/>
          <w:bCs/>
          <w:sz w:val="28"/>
          <w:szCs w:val="36"/>
        </w:rPr>
        <w:t>我國</w:t>
      </w:r>
      <w:r w:rsidRPr="002220E8">
        <w:rPr>
          <w:rFonts w:ascii="標楷體" w:eastAsia="標楷體" w:hAnsi="標楷體"/>
          <w:bCs/>
          <w:sz w:val="28"/>
          <w:szCs w:val="36"/>
        </w:rPr>
        <w:t>則面臨</w:t>
      </w:r>
      <w:r w:rsidRPr="002220E8">
        <w:rPr>
          <w:rFonts w:ascii="標楷體" w:eastAsia="標楷體" w:hAnsi="標楷體" w:hint="eastAsia"/>
          <w:bCs/>
          <w:sz w:val="28"/>
          <w:szCs w:val="36"/>
        </w:rPr>
        <w:t>核</w:t>
      </w:r>
      <w:r w:rsidRPr="002220E8">
        <w:rPr>
          <w:rFonts w:ascii="標楷體" w:eastAsia="標楷體" w:hAnsi="標楷體"/>
          <w:bCs/>
          <w:sz w:val="28"/>
          <w:szCs w:val="36"/>
        </w:rPr>
        <w:t>燃料池容量不足的問題，且最終處置設施的選址仍面臨挑戰。</w:t>
      </w:r>
    </w:p>
    <w:p w14:paraId="288B3542" w14:textId="77777777" w:rsidR="002220E8" w:rsidRPr="002220E8" w:rsidRDefault="002220E8" w:rsidP="009C4EE0">
      <w:pPr>
        <w:numPr>
          <w:ilvl w:val="2"/>
          <w:numId w:val="2"/>
        </w:numPr>
        <w:tabs>
          <w:tab w:val="left" w:pos="-1920"/>
        </w:tabs>
        <w:snapToGrid w:val="0"/>
        <w:spacing w:beforeLines="15" w:before="36" w:afterLines="15" w:after="36" w:line="440" w:lineRule="exact"/>
        <w:ind w:left="1333" w:hanging="482"/>
        <w:jc w:val="both"/>
        <w:outlineLvl w:val="2"/>
        <w:rPr>
          <w:rFonts w:ascii="標楷體" w:eastAsia="標楷體" w:hAnsi="標楷體"/>
          <w:bCs/>
          <w:sz w:val="28"/>
          <w:szCs w:val="36"/>
        </w:rPr>
      </w:pPr>
      <w:r w:rsidRPr="002220E8">
        <w:rPr>
          <w:rFonts w:ascii="標楷體" w:eastAsia="標楷體" w:hAnsi="標楷體"/>
          <w:bCs/>
          <w:sz w:val="28"/>
          <w:szCs w:val="36"/>
        </w:rPr>
        <w:t>國際合作：日本在快中子增殖反應器的開發上與法國合作，並積極參與國際核能研究計畫</w:t>
      </w:r>
      <w:r w:rsidRPr="002220E8">
        <w:rPr>
          <w:rFonts w:ascii="標楷體" w:eastAsia="標楷體" w:hAnsi="標楷體" w:hint="eastAsia"/>
          <w:bCs/>
          <w:sz w:val="28"/>
          <w:szCs w:val="36"/>
        </w:rPr>
        <w:t>，</w:t>
      </w:r>
      <w:r w:rsidRPr="002220E8">
        <w:rPr>
          <w:rFonts w:ascii="標楷體" w:eastAsia="標楷體" w:hAnsi="標楷體"/>
          <w:bCs/>
          <w:sz w:val="28"/>
          <w:szCs w:val="36"/>
        </w:rPr>
        <w:t>並與其他國家合作開發先進反應器，有助於提升自身的核能技術和國際地位。</w:t>
      </w:r>
    </w:p>
    <w:p w14:paraId="7F86F599" w14:textId="77777777" w:rsidR="002220E8" w:rsidRPr="002220E8" w:rsidRDefault="002220E8" w:rsidP="009C4EE0">
      <w:pPr>
        <w:numPr>
          <w:ilvl w:val="2"/>
          <w:numId w:val="2"/>
        </w:numPr>
        <w:tabs>
          <w:tab w:val="left" w:pos="-1920"/>
        </w:tabs>
        <w:snapToGrid w:val="0"/>
        <w:spacing w:beforeLines="15" w:before="36" w:afterLines="15" w:after="36" w:line="440" w:lineRule="exact"/>
        <w:ind w:left="1333" w:hanging="482"/>
        <w:jc w:val="both"/>
        <w:outlineLvl w:val="2"/>
        <w:rPr>
          <w:rFonts w:ascii="標楷體" w:eastAsia="標楷體" w:hAnsi="標楷體"/>
          <w:bCs/>
          <w:sz w:val="28"/>
          <w:szCs w:val="36"/>
        </w:rPr>
      </w:pPr>
      <w:r w:rsidRPr="002220E8">
        <w:rPr>
          <w:rFonts w:ascii="標楷體" w:eastAsia="標楷體" w:hAnsi="標楷體"/>
          <w:bCs/>
          <w:sz w:val="28"/>
          <w:szCs w:val="36"/>
        </w:rPr>
        <w:t>明確的能源政策與目標：日本政府將核能視為能源政策的重要支柱，設定明確的核電佔比目標，並積極推動相關政策</w:t>
      </w:r>
      <w:r w:rsidRPr="002220E8">
        <w:rPr>
          <w:rFonts w:ascii="標楷體" w:eastAsia="標楷體" w:hAnsi="標楷體" w:hint="eastAsia"/>
          <w:bCs/>
          <w:sz w:val="28"/>
          <w:szCs w:val="36"/>
        </w:rPr>
        <w:t>，此</w:t>
      </w:r>
      <w:r w:rsidRPr="002220E8">
        <w:rPr>
          <w:rFonts w:ascii="標楷體" w:eastAsia="標楷體" w:hAnsi="標楷體"/>
          <w:bCs/>
          <w:sz w:val="28"/>
          <w:szCs w:val="36"/>
        </w:rPr>
        <w:t>為核電產業發展提供明確</w:t>
      </w:r>
      <w:r w:rsidRPr="002220E8">
        <w:rPr>
          <w:rFonts w:ascii="標楷體" w:eastAsia="標楷體" w:hAnsi="標楷體" w:hint="eastAsia"/>
          <w:bCs/>
          <w:sz w:val="28"/>
          <w:szCs w:val="36"/>
        </w:rPr>
        <w:t>之</w:t>
      </w:r>
      <w:r w:rsidRPr="002220E8">
        <w:rPr>
          <w:rFonts w:ascii="標楷體" w:eastAsia="標楷體" w:hAnsi="標楷體"/>
          <w:bCs/>
          <w:sz w:val="28"/>
          <w:szCs w:val="36"/>
        </w:rPr>
        <w:t>方向和穩定</w:t>
      </w:r>
      <w:r w:rsidRPr="002220E8">
        <w:rPr>
          <w:rFonts w:ascii="標楷體" w:eastAsia="標楷體" w:hAnsi="標楷體" w:hint="eastAsia"/>
          <w:bCs/>
          <w:sz w:val="28"/>
          <w:szCs w:val="36"/>
        </w:rPr>
        <w:t>之</w:t>
      </w:r>
      <w:r w:rsidRPr="002220E8">
        <w:rPr>
          <w:rFonts w:ascii="標楷體" w:eastAsia="標楷體" w:hAnsi="標楷體"/>
          <w:bCs/>
          <w:sz w:val="28"/>
          <w:szCs w:val="36"/>
        </w:rPr>
        <w:t>支持。</w:t>
      </w:r>
      <w:r w:rsidRPr="002220E8">
        <w:rPr>
          <w:rFonts w:ascii="標楷體" w:eastAsia="標楷體" w:hAnsi="標楷體" w:hint="eastAsia"/>
          <w:bCs/>
          <w:sz w:val="28"/>
          <w:szCs w:val="36"/>
        </w:rPr>
        <w:t>我國則</w:t>
      </w:r>
      <w:r w:rsidRPr="002220E8">
        <w:rPr>
          <w:rFonts w:ascii="標楷體" w:eastAsia="標楷體" w:hAnsi="標楷體"/>
          <w:bCs/>
          <w:sz w:val="28"/>
          <w:szCs w:val="36"/>
        </w:rPr>
        <w:t>在能源政策上，</w:t>
      </w:r>
      <w:r w:rsidRPr="002220E8">
        <w:rPr>
          <w:rFonts w:ascii="標楷體" w:eastAsia="標楷體" w:hAnsi="標楷體" w:hint="eastAsia"/>
          <w:bCs/>
          <w:sz w:val="28"/>
          <w:szCs w:val="36"/>
        </w:rPr>
        <w:t>可能因缺電之疑慮而</w:t>
      </w:r>
      <w:r w:rsidRPr="002220E8">
        <w:rPr>
          <w:rFonts w:ascii="標楷體" w:eastAsia="標楷體" w:hAnsi="標楷體"/>
          <w:bCs/>
          <w:sz w:val="28"/>
          <w:szCs w:val="36"/>
        </w:rPr>
        <w:t>影響</w:t>
      </w:r>
      <w:r w:rsidRPr="002220E8">
        <w:rPr>
          <w:rFonts w:ascii="標楷體" w:eastAsia="標楷體" w:hAnsi="標楷體" w:hint="eastAsia"/>
          <w:bCs/>
          <w:sz w:val="28"/>
          <w:szCs w:val="36"/>
        </w:rPr>
        <w:t>經濟</w:t>
      </w:r>
      <w:r w:rsidRPr="002220E8">
        <w:rPr>
          <w:rFonts w:ascii="標楷體" w:eastAsia="標楷體" w:hAnsi="標楷體"/>
          <w:bCs/>
          <w:sz w:val="28"/>
          <w:szCs w:val="36"/>
        </w:rPr>
        <w:t>發展</w:t>
      </w:r>
      <w:r w:rsidRPr="002220E8">
        <w:rPr>
          <w:rFonts w:ascii="標楷體" w:eastAsia="標楷體" w:hAnsi="標楷體" w:hint="eastAsia"/>
          <w:bCs/>
          <w:sz w:val="28"/>
          <w:szCs w:val="36"/>
        </w:rPr>
        <w:t>及</w:t>
      </w:r>
      <w:r w:rsidRPr="002220E8">
        <w:rPr>
          <w:rFonts w:ascii="標楷體" w:eastAsia="標楷體" w:hAnsi="標楷體"/>
          <w:bCs/>
          <w:sz w:val="28"/>
          <w:szCs w:val="36"/>
        </w:rPr>
        <w:t>投資意願。</w:t>
      </w:r>
    </w:p>
    <w:p w14:paraId="7788D980" w14:textId="77777777" w:rsidR="002220E8" w:rsidRPr="002220E8" w:rsidRDefault="002220E8" w:rsidP="009C4EE0">
      <w:pPr>
        <w:numPr>
          <w:ilvl w:val="2"/>
          <w:numId w:val="2"/>
        </w:numPr>
        <w:tabs>
          <w:tab w:val="left" w:pos="-1920"/>
        </w:tabs>
        <w:snapToGrid w:val="0"/>
        <w:spacing w:beforeLines="15" w:before="36" w:afterLines="15" w:after="36" w:line="440" w:lineRule="exact"/>
        <w:ind w:left="1333" w:hanging="482"/>
        <w:jc w:val="both"/>
        <w:outlineLvl w:val="2"/>
        <w:rPr>
          <w:rFonts w:ascii="標楷體" w:eastAsia="標楷體" w:hAnsi="標楷體"/>
          <w:bCs/>
          <w:sz w:val="28"/>
          <w:szCs w:val="36"/>
        </w:rPr>
      </w:pPr>
      <w:r w:rsidRPr="002220E8">
        <w:rPr>
          <w:rFonts w:ascii="標楷體" w:eastAsia="標楷體" w:hAnsi="標楷體"/>
          <w:bCs/>
          <w:sz w:val="28"/>
          <w:szCs w:val="36"/>
        </w:rPr>
        <w:t>務實面對核安議題：儘管經歷福島核災，日本並未因此放棄核能，而是積極檢討並強化核電廠的安全措施，以恢復民眾信心</w:t>
      </w:r>
      <w:r w:rsidRPr="002220E8">
        <w:rPr>
          <w:rFonts w:ascii="標楷體" w:eastAsia="標楷體" w:hAnsi="標楷體" w:hint="eastAsia"/>
          <w:bCs/>
          <w:sz w:val="28"/>
          <w:szCs w:val="36"/>
        </w:rPr>
        <w:t>；並</w:t>
      </w:r>
      <w:r w:rsidRPr="002220E8">
        <w:rPr>
          <w:rFonts w:ascii="標楷體" w:eastAsia="標楷體" w:hAnsi="標楷體"/>
          <w:bCs/>
          <w:sz w:val="28"/>
          <w:szCs w:val="36"/>
        </w:rPr>
        <w:t>積</w:t>
      </w:r>
      <w:r w:rsidRPr="002220E8">
        <w:rPr>
          <w:rFonts w:ascii="標楷體" w:eastAsia="標楷體" w:hAnsi="標楷體"/>
          <w:bCs/>
          <w:sz w:val="28"/>
          <w:szCs w:val="36"/>
        </w:rPr>
        <w:lastRenderedPageBreak/>
        <w:t>極推動核電廠延役，考慮新建先進反應器，以確保核電的穩定供應。</w:t>
      </w:r>
    </w:p>
    <w:p w14:paraId="580D0B7E" w14:textId="77777777" w:rsidR="002220E8" w:rsidRPr="002220E8" w:rsidRDefault="002220E8" w:rsidP="009C4EE0">
      <w:pPr>
        <w:numPr>
          <w:ilvl w:val="2"/>
          <w:numId w:val="2"/>
        </w:numPr>
        <w:tabs>
          <w:tab w:val="left" w:pos="-1920"/>
        </w:tabs>
        <w:snapToGrid w:val="0"/>
        <w:spacing w:beforeLines="15" w:before="36" w:afterLines="15" w:after="36" w:line="440" w:lineRule="exact"/>
        <w:ind w:left="1333" w:hanging="482"/>
        <w:jc w:val="both"/>
        <w:outlineLvl w:val="2"/>
        <w:rPr>
          <w:rFonts w:ascii="標楷體" w:eastAsia="標楷體" w:hAnsi="標楷體"/>
          <w:bCs/>
          <w:sz w:val="28"/>
          <w:szCs w:val="36"/>
        </w:rPr>
      </w:pPr>
      <w:r w:rsidRPr="002220E8">
        <w:rPr>
          <w:rFonts w:ascii="標楷體" w:eastAsia="標楷體" w:hAnsi="標楷體"/>
          <w:bCs/>
          <w:sz w:val="28"/>
          <w:szCs w:val="36"/>
        </w:rPr>
        <w:t>發展核燃料循環技術：日本持續投入核燃料循環技術的研發，包括</w:t>
      </w:r>
      <w:r w:rsidRPr="002220E8">
        <w:rPr>
          <w:rFonts w:ascii="標楷體" w:eastAsia="標楷體" w:hAnsi="標楷體" w:hint="eastAsia"/>
          <w:bCs/>
          <w:sz w:val="28"/>
          <w:szCs w:val="36"/>
        </w:rPr>
        <w:t>核</w:t>
      </w:r>
      <w:r w:rsidRPr="002220E8">
        <w:rPr>
          <w:rFonts w:ascii="標楷體" w:eastAsia="標楷體" w:hAnsi="標楷體"/>
          <w:bCs/>
          <w:sz w:val="28"/>
          <w:szCs w:val="36"/>
        </w:rPr>
        <w:t>燃料</w:t>
      </w:r>
      <w:r w:rsidRPr="002220E8">
        <w:rPr>
          <w:rFonts w:ascii="標楷體" w:eastAsia="標楷體" w:hAnsi="標楷體" w:hint="eastAsia"/>
          <w:bCs/>
          <w:sz w:val="28"/>
          <w:szCs w:val="36"/>
        </w:rPr>
        <w:t>再</w:t>
      </w:r>
      <w:r w:rsidRPr="002220E8">
        <w:rPr>
          <w:rFonts w:ascii="標楷體" w:eastAsia="標楷體" w:hAnsi="標楷體"/>
          <w:bCs/>
          <w:sz w:val="28"/>
          <w:szCs w:val="36"/>
        </w:rPr>
        <w:t>處理和高放射性廢棄物的地質處置。</w:t>
      </w:r>
    </w:p>
    <w:p w14:paraId="077ED4B1" w14:textId="4C120813" w:rsidR="002220E8" w:rsidRPr="002220E8" w:rsidRDefault="003A69C0" w:rsidP="003213CB">
      <w:pPr>
        <w:snapToGrid w:val="0"/>
        <w:spacing w:beforeLines="15" w:before="36" w:afterLines="15" w:after="36" w:line="440" w:lineRule="exact"/>
        <w:ind w:leftChars="418" w:left="1003" w:firstLineChars="200" w:firstLine="560"/>
        <w:jc w:val="both"/>
        <w:rPr>
          <w:rFonts w:ascii="標楷體" w:eastAsia="標楷體" w:hAnsi="標楷體"/>
          <w:bCs/>
          <w:color w:val="000000" w:themeColor="text1"/>
          <w:sz w:val="28"/>
          <w:szCs w:val="36"/>
        </w:rPr>
      </w:pPr>
      <w:r>
        <w:rPr>
          <w:rFonts w:ascii="標楷體" w:eastAsia="標楷體" w:hAnsi="標楷體" w:hint="eastAsia"/>
          <w:bCs/>
          <w:color w:val="000000" w:themeColor="text1"/>
          <w:sz w:val="28"/>
          <w:szCs w:val="36"/>
        </w:rPr>
        <w:t>另</w:t>
      </w:r>
      <w:r w:rsidR="002220E8" w:rsidRPr="002220E8">
        <w:rPr>
          <w:rFonts w:ascii="標楷體" w:eastAsia="標楷體" w:hAnsi="標楷體"/>
          <w:bCs/>
          <w:color w:val="000000" w:themeColor="text1"/>
          <w:sz w:val="28"/>
          <w:szCs w:val="36"/>
        </w:rPr>
        <w:t>日本在核電廠防災措施、電力市場改革等方面</w:t>
      </w:r>
      <w:r w:rsidR="002220E8" w:rsidRPr="002220E8">
        <w:rPr>
          <w:rFonts w:ascii="標楷體" w:eastAsia="標楷體" w:hAnsi="標楷體" w:hint="eastAsia"/>
          <w:bCs/>
          <w:color w:val="000000" w:themeColor="text1"/>
          <w:sz w:val="28"/>
          <w:szCs w:val="36"/>
        </w:rPr>
        <w:t>之努力及改革，亦值得觀察</w:t>
      </w:r>
      <w:r w:rsidR="002220E8" w:rsidRPr="002220E8">
        <w:rPr>
          <w:rFonts w:ascii="標楷體" w:eastAsia="標楷體" w:hAnsi="標楷體"/>
          <w:bCs/>
          <w:color w:val="000000" w:themeColor="text1"/>
          <w:sz w:val="28"/>
          <w:szCs w:val="36"/>
        </w:rPr>
        <w:t>。</w:t>
      </w:r>
      <w:r w:rsidR="002220E8" w:rsidRPr="002220E8">
        <w:rPr>
          <w:rFonts w:ascii="標楷體" w:eastAsia="標楷體" w:hAnsi="標楷體" w:hint="eastAsia"/>
          <w:bCs/>
          <w:color w:val="000000" w:themeColor="text1"/>
          <w:sz w:val="28"/>
          <w:szCs w:val="36"/>
        </w:rPr>
        <w:t>且我國</w:t>
      </w:r>
      <w:r w:rsidR="002220E8" w:rsidRPr="002220E8">
        <w:rPr>
          <w:rFonts w:ascii="標楷體" w:eastAsia="標楷體" w:hAnsi="標楷體"/>
          <w:bCs/>
          <w:color w:val="000000" w:themeColor="text1"/>
          <w:sz w:val="28"/>
          <w:szCs w:val="36"/>
        </w:rPr>
        <w:t>應從日本的經驗中學習，</w:t>
      </w:r>
      <w:r w:rsidR="002220E8" w:rsidRPr="002220E8">
        <w:rPr>
          <w:rFonts w:ascii="標楷體" w:eastAsia="標楷體" w:hAnsi="標楷體" w:hint="eastAsia"/>
          <w:bCs/>
          <w:color w:val="000000" w:themeColor="text1"/>
          <w:sz w:val="28"/>
          <w:szCs w:val="36"/>
        </w:rPr>
        <w:t>確保</w:t>
      </w:r>
      <w:r w:rsidR="002220E8" w:rsidRPr="002220E8">
        <w:rPr>
          <w:rFonts w:ascii="標楷體" w:eastAsia="標楷體" w:hAnsi="標楷體"/>
          <w:bCs/>
          <w:color w:val="000000" w:themeColor="text1"/>
          <w:sz w:val="28"/>
          <w:szCs w:val="36"/>
        </w:rPr>
        <w:t>能源政策</w:t>
      </w:r>
      <w:r w:rsidR="002220E8" w:rsidRPr="002220E8">
        <w:rPr>
          <w:rFonts w:ascii="標楷體" w:eastAsia="標楷體" w:hAnsi="標楷體" w:hint="eastAsia"/>
          <w:bCs/>
          <w:color w:val="000000" w:themeColor="text1"/>
          <w:sz w:val="28"/>
          <w:szCs w:val="36"/>
        </w:rPr>
        <w:t>在</w:t>
      </w:r>
      <w:r w:rsidR="002220E8" w:rsidRPr="002220E8">
        <w:rPr>
          <w:rFonts w:ascii="標楷體" w:eastAsia="標楷體" w:hAnsi="標楷體"/>
          <w:bCs/>
          <w:color w:val="000000" w:themeColor="text1"/>
          <w:sz w:val="28"/>
          <w:szCs w:val="36"/>
        </w:rPr>
        <w:t>安全的前提下，評估核能在能源結構中</w:t>
      </w:r>
      <w:r w:rsidR="002220E8" w:rsidRPr="002220E8">
        <w:rPr>
          <w:rFonts w:ascii="標楷體" w:eastAsia="標楷體" w:hAnsi="標楷體" w:hint="eastAsia"/>
          <w:bCs/>
          <w:color w:val="000000" w:themeColor="text1"/>
          <w:sz w:val="28"/>
          <w:szCs w:val="36"/>
        </w:rPr>
        <w:t>的</w:t>
      </w:r>
      <w:r w:rsidR="002220E8" w:rsidRPr="002220E8">
        <w:rPr>
          <w:rFonts w:ascii="標楷體" w:eastAsia="標楷體" w:hAnsi="標楷體"/>
          <w:bCs/>
          <w:color w:val="000000" w:themeColor="text1"/>
          <w:sz w:val="28"/>
          <w:szCs w:val="36"/>
        </w:rPr>
        <w:t>角色，以達到能源安全、經濟發展和環境保護的平衡。</w:t>
      </w:r>
    </w:p>
    <w:p w14:paraId="3C47D2E3" w14:textId="0FDA41AC" w:rsidR="007A70CF" w:rsidRPr="00505E43" w:rsidRDefault="00566602" w:rsidP="009C4EE0">
      <w:pPr>
        <w:numPr>
          <w:ilvl w:val="1"/>
          <w:numId w:val="2"/>
        </w:numPr>
        <w:tabs>
          <w:tab w:val="left" w:pos="-1920"/>
        </w:tabs>
        <w:snapToGrid w:val="0"/>
        <w:spacing w:beforeLines="15" w:before="36" w:afterLines="15" w:after="36" w:line="440" w:lineRule="exact"/>
        <w:ind w:left="964" w:hanging="482"/>
        <w:jc w:val="both"/>
        <w:outlineLvl w:val="1"/>
        <w:rPr>
          <w:rFonts w:ascii="標楷體" w:eastAsia="標楷體" w:hAnsi="標楷體"/>
          <w:bCs/>
          <w:sz w:val="28"/>
          <w:szCs w:val="28"/>
        </w:rPr>
      </w:pPr>
      <w:bookmarkStart w:id="23" w:name="_Toc185412383"/>
      <w:r>
        <w:rPr>
          <w:rFonts w:ascii="標楷體" w:eastAsia="標楷體" w:hAnsi="標楷體"/>
          <w:bCs/>
          <w:sz w:val="28"/>
          <w:szCs w:val="28"/>
        </w:rPr>
        <w:t>小型模組化反應器(SMR)</w:t>
      </w:r>
      <w:r w:rsidR="007A70CF" w:rsidRPr="00505E43">
        <w:rPr>
          <w:rFonts w:ascii="標楷體" w:eastAsia="標楷體" w:hAnsi="標楷體"/>
          <w:bCs/>
          <w:sz w:val="28"/>
          <w:szCs w:val="28"/>
        </w:rPr>
        <w:t>技術評估與應用</w:t>
      </w:r>
      <w:bookmarkEnd w:id="23"/>
    </w:p>
    <w:p w14:paraId="720F018F" w14:textId="69DC750E" w:rsidR="007A70CF" w:rsidRPr="00505E43" w:rsidRDefault="00B7306C" w:rsidP="00505E43">
      <w:pPr>
        <w:snapToGrid w:val="0"/>
        <w:spacing w:beforeLines="15" w:before="36" w:afterLines="15" w:after="36" w:line="440" w:lineRule="exact"/>
        <w:ind w:leftChars="418" w:left="1003" w:firstLineChars="200" w:firstLine="560"/>
        <w:jc w:val="both"/>
        <w:rPr>
          <w:rFonts w:ascii="標楷體" w:eastAsia="標楷體" w:hAnsi="標楷體"/>
          <w:bCs/>
          <w:color w:val="000000" w:themeColor="text1"/>
          <w:sz w:val="28"/>
          <w:szCs w:val="36"/>
        </w:rPr>
      </w:pPr>
      <w:r w:rsidRPr="00505E43">
        <w:rPr>
          <w:rFonts w:ascii="標楷體" w:eastAsia="標楷體" w:hAnsi="標楷體" w:hint="eastAsia"/>
          <w:bCs/>
          <w:color w:val="000000" w:themeColor="text1"/>
          <w:sz w:val="28"/>
          <w:szCs w:val="36"/>
        </w:rPr>
        <w:t>新世代能源</w:t>
      </w:r>
      <w:r w:rsidR="007A70CF" w:rsidRPr="00505E43">
        <w:rPr>
          <w:rFonts w:ascii="標楷體" w:eastAsia="標楷體" w:hAnsi="標楷體"/>
          <w:bCs/>
          <w:color w:val="000000" w:themeColor="text1"/>
          <w:sz w:val="28"/>
          <w:szCs w:val="36"/>
        </w:rPr>
        <w:t>小型模組化反應器</w:t>
      </w:r>
      <w:r w:rsidR="00BD14E7" w:rsidRPr="00505E43">
        <w:rPr>
          <w:rFonts w:ascii="標楷體" w:eastAsia="標楷體" w:hAnsi="標楷體"/>
          <w:bCs/>
          <w:color w:val="000000" w:themeColor="text1"/>
          <w:sz w:val="28"/>
          <w:szCs w:val="36"/>
        </w:rPr>
        <w:t>(</w:t>
      </w:r>
      <w:r w:rsidR="007A70CF" w:rsidRPr="00505E43">
        <w:rPr>
          <w:rFonts w:ascii="標楷體" w:eastAsia="標楷體" w:hAnsi="標楷體"/>
          <w:bCs/>
          <w:color w:val="000000" w:themeColor="text1"/>
          <w:sz w:val="28"/>
          <w:szCs w:val="36"/>
        </w:rPr>
        <w:t>SMR</w:t>
      </w:r>
      <w:r w:rsidR="00BD14E7" w:rsidRPr="00505E43">
        <w:rPr>
          <w:rFonts w:ascii="標楷體" w:eastAsia="標楷體" w:hAnsi="標楷體"/>
          <w:bCs/>
          <w:color w:val="000000" w:themeColor="text1"/>
          <w:sz w:val="28"/>
          <w:szCs w:val="36"/>
        </w:rPr>
        <w:t>)</w:t>
      </w:r>
      <w:r w:rsidR="007A70CF" w:rsidRPr="00505E43">
        <w:rPr>
          <w:rFonts w:ascii="標楷體" w:eastAsia="標楷體" w:hAnsi="標楷體"/>
          <w:bCs/>
          <w:color w:val="000000" w:themeColor="text1"/>
          <w:sz w:val="28"/>
          <w:szCs w:val="36"/>
        </w:rPr>
        <w:t>作為一種先進的核能技術，在全球範圍內引起廣泛關注。</w:t>
      </w:r>
      <w:r w:rsidR="00566602">
        <w:rPr>
          <w:rFonts w:ascii="標楷體" w:eastAsia="標楷體" w:hAnsi="標楷體"/>
          <w:bCs/>
          <w:color w:val="000000" w:themeColor="text1"/>
          <w:sz w:val="28"/>
          <w:szCs w:val="36"/>
        </w:rPr>
        <w:t>小型模組化反應器(SMR)</w:t>
      </w:r>
      <w:r w:rsidR="007A70CF" w:rsidRPr="00505E43">
        <w:rPr>
          <w:rFonts w:ascii="標楷體" w:eastAsia="標楷體" w:hAnsi="標楷體"/>
          <w:bCs/>
          <w:color w:val="000000" w:themeColor="text1"/>
          <w:sz w:val="28"/>
          <w:szCs w:val="36"/>
        </w:rPr>
        <w:t>具有單模組發電功率較低、建造成本相對較低、安全性高等特點，被視為實現低碳能源轉型和保障能源安全的重要途徑。</w:t>
      </w:r>
      <w:r w:rsidR="00566602">
        <w:rPr>
          <w:rFonts w:ascii="標楷體" w:eastAsia="標楷體" w:hAnsi="標楷體"/>
          <w:bCs/>
          <w:color w:val="000000" w:themeColor="text1"/>
          <w:sz w:val="28"/>
          <w:szCs w:val="36"/>
        </w:rPr>
        <w:t>小型模組化反應器(SMR)</w:t>
      </w:r>
      <w:r w:rsidRPr="00505E43">
        <w:rPr>
          <w:rFonts w:ascii="標楷體" w:eastAsia="標楷體" w:hAnsi="標楷體" w:hint="eastAsia"/>
          <w:bCs/>
          <w:color w:val="000000" w:themeColor="text1"/>
          <w:sz w:val="28"/>
          <w:szCs w:val="36"/>
        </w:rPr>
        <w:t>亦可</w:t>
      </w:r>
      <w:r w:rsidRPr="00505E43">
        <w:rPr>
          <w:rFonts w:ascii="標楷體" w:eastAsia="標楷體" w:hAnsi="標楷體"/>
          <w:bCs/>
          <w:color w:val="000000" w:themeColor="text1"/>
          <w:sz w:val="28"/>
          <w:szCs w:val="36"/>
        </w:rPr>
        <w:t>實現低碳能源轉型和保障能源安全。</w:t>
      </w:r>
      <w:r w:rsidRPr="00505E43">
        <w:rPr>
          <w:rFonts w:ascii="標楷體" w:eastAsia="標楷體" w:hAnsi="標楷體" w:hint="eastAsia"/>
          <w:bCs/>
          <w:color w:val="000000" w:themeColor="text1"/>
          <w:sz w:val="28"/>
          <w:szCs w:val="36"/>
        </w:rPr>
        <w:t>各國</w:t>
      </w:r>
      <w:r w:rsidRPr="00505E43">
        <w:rPr>
          <w:rFonts w:ascii="標楷體" w:eastAsia="標楷體" w:hAnsi="標楷體"/>
          <w:bCs/>
          <w:color w:val="000000" w:themeColor="text1"/>
          <w:sz w:val="28"/>
          <w:szCs w:val="36"/>
        </w:rPr>
        <w:t>對</w:t>
      </w:r>
      <w:r w:rsidR="00566602">
        <w:rPr>
          <w:rFonts w:ascii="標楷體" w:eastAsia="標楷體" w:hAnsi="標楷體"/>
          <w:bCs/>
          <w:color w:val="000000" w:themeColor="text1"/>
          <w:sz w:val="28"/>
          <w:szCs w:val="36"/>
        </w:rPr>
        <w:t>小型模組化反應器(SMR)</w:t>
      </w:r>
      <w:r w:rsidRPr="00505E43">
        <w:rPr>
          <w:rFonts w:ascii="標楷體" w:eastAsia="標楷體" w:hAnsi="標楷體"/>
          <w:bCs/>
          <w:color w:val="000000" w:themeColor="text1"/>
          <w:sz w:val="28"/>
          <w:szCs w:val="36"/>
        </w:rPr>
        <w:t>技術、安全和監管等方面的</w:t>
      </w:r>
      <w:r w:rsidRPr="00505E43">
        <w:rPr>
          <w:rFonts w:ascii="標楷體" w:eastAsia="標楷體" w:hAnsi="標楷體" w:hint="eastAsia"/>
          <w:bCs/>
          <w:color w:val="000000" w:themeColor="text1"/>
          <w:sz w:val="28"/>
          <w:szCs w:val="36"/>
        </w:rPr>
        <w:t>投入</w:t>
      </w:r>
      <w:r w:rsidRPr="00505E43">
        <w:rPr>
          <w:rFonts w:ascii="標楷體" w:eastAsia="標楷體" w:hAnsi="標楷體"/>
          <w:bCs/>
          <w:color w:val="000000" w:themeColor="text1"/>
          <w:sz w:val="28"/>
          <w:szCs w:val="36"/>
        </w:rPr>
        <w:t>，</w:t>
      </w:r>
      <w:r w:rsidRPr="00505E43">
        <w:rPr>
          <w:rFonts w:ascii="標楷體" w:eastAsia="標楷體" w:hAnsi="標楷體" w:hint="eastAsia"/>
          <w:bCs/>
          <w:color w:val="000000" w:themeColor="text1"/>
          <w:sz w:val="28"/>
          <w:szCs w:val="36"/>
        </w:rPr>
        <w:t>可</w:t>
      </w:r>
      <w:r w:rsidRPr="00505E43">
        <w:rPr>
          <w:rFonts w:ascii="標楷體" w:eastAsia="標楷體" w:hAnsi="標楷體"/>
          <w:bCs/>
          <w:color w:val="000000" w:themeColor="text1"/>
          <w:sz w:val="28"/>
          <w:szCs w:val="36"/>
        </w:rPr>
        <w:t>為我國</w:t>
      </w:r>
      <w:r w:rsidRPr="00505E43">
        <w:rPr>
          <w:rFonts w:ascii="標楷體" w:eastAsia="標楷體" w:hAnsi="標楷體" w:hint="eastAsia"/>
          <w:bCs/>
          <w:color w:val="000000" w:themeColor="text1"/>
          <w:sz w:val="28"/>
          <w:szCs w:val="36"/>
        </w:rPr>
        <w:t>能源</w:t>
      </w:r>
      <w:r w:rsidRPr="00505E43">
        <w:rPr>
          <w:rFonts w:ascii="標楷體" w:eastAsia="標楷體" w:hAnsi="標楷體"/>
          <w:bCs/>
          <w:color w:val="000000" w:themeColor="text1"/>
          <w:sz w:val="28"/>
          <w:szCs w:val="36"/>
        </w:rPr>
        <w:t>發展提供</w:t>
      </w:r>
      <w:r w:rsidRPr="00505E43">
        <w:rPr>
          <w:rFonts w:ascii="標楷體" w:eastAsia="標楷體" w:hAnsi="標楷體" w:hint="eastAsia"/>
          <w:bCs/>
          <w:color w:val="000000" w:themeColor="text1"/>
          <w:sz w:val="28"/>
          <w:szCs w:val="36"/>
        </w:rPr>
        <w:t>有價值的</w:t>
      </w:r>
      <w:r w:rsidRPr="00505E43">
        <w:rPr>
          <w:rFonts w:ascii="標楷體" w:eastAsia="標楷體" w:hAnsi="標楷體"/>
          <w:bCs/>
          <w:color w:val="000000" w:themeColor="text1"/>
          <w:sz w:val="28"/>
          <w:szCs w:val="36"/>
        </w:rPr>
        <w:t>參考和建議。未來，</w:t>
      </w:r>
      <w:r w:rsidRPr="00505E43">
        <w:rPr>
          <w:rFonts w:ascii="標楷體" w:eastAsia="標楷體" w:hAnsi="標楷體" w:hint="eastAsia"/>
          <w:bCs/>
          <w:color w:val="000000" w:themeColor="text1"/>
          <w:sz w:val="28"/>
          <w:szCs w:val="36"/>
        </w:rPr>
        <w:t>應可持續</w:t>
      </w:r>
      <w:r w:rsidRPr="00505E43">
        <w:rPr>
          <w:rFonts w:ascii="標楷體" w:eastAsia="標楷體" w:hAnsi="標楷體"/>
          <w:bCs/>
          <w:color w:val="000000" w:themeColor="text1"/>
          <w:sz w:val="28"/>
          <w:szCs w:val="36"/>
        </w:rPr>
        <w:t>關注</w:t>
      </w:r>
      <w:r w:rsidR="00566602">
        <w:rPr>
          <w:rFonts w:ascii="標楷體" w:eastAsia="標楷體" w:hAnsi="標楷體"/>
          <w:bCs/>
          <w:color w:val="000000" w:themeColor="text1"/>
          <w:sz w:val="28"/>
          <w:szCs w:val="36"/>
        </w:rPr>
        <w:t>小型模組化反應器(SMR)</w:t>
      </w:r>
      <w:r w:rsidRPr="00505E43">
        <w:rPr>
          <w:rFonts w:ascii="標楷體" w:eastAsia="標楷體" w:hAnsi="標楷體"/>
          <w:bCs/>
          <w:color w:val="000000" w:themeColor="text1"/>
          <w:sz w:val="28"/>
          <w:szCs w:val="36"/>
        </w:rPr>
        <w:t>領域的最新進展，</w:t>
      </w:r>
      <w:r w:rsidRPr="00505E43">
        <w:rPr>
          <w:rFonts w:ascii="標楷體" w:eastAsia="標楷體" w:hAnsi="標楷體" w:hint="eastAsia"/>
          <w:bCs/>
          <w:color w:val="000000" w:themeColor="text1"/>
          <w:sz w:val="28"/>
          <w:szCs w:val="36"/>
        </w:rPr>
        <w:t>以</w:t>
      </w:r>
      <w:r w:rsidRPr="00505E43">
        <w:rPr>
          <w:rFonts w:ascii="標楷體" w:eastAsia="標楷體" w:hAnsi="標楷體"/>
          <w:bCs/>
          <w:color w:val="000000" w:themeColor="text1"/>
          <w:sz w:val="28"/>
          <w:szCs w:val="36"/>
        </w:rPr>
        <w:t>為我國</w:t>
      </w:r>
      <w:r w:rsidRPr="00505E43">
        <w:rPr>
          <w:rFonts w:ascii="標楷體" w:eastAsia="標楷體" w:hAnsi="標楷體" w:hint="eastAsia"/>
          <w:bCs/>
          <w:color w:val="000000" w:themeColor="text1"/>
          <w:sz w:val="28"/>
          <w:szCs w:val="36"/>
        </w:rPr>
        <w:t>淨零排施及</w:t>
      </w:r>
      <w:r w:rsidR="00566602">
        <w:rPr>
          <w:rFonts w:ascii="標楷體" w:eastAsia="標楷體" w:hAnsi="標楷體"/>
          <w:bCs/>
          <w:color w:val="000000" w:themeColor="text1"/>
          <w:sz w:val="28"/>
          <w:szCs w:val="36"/>
        </w:rPr>
        <w:t>小型模組化反應器(SMR)</w:t>
      </w:r>
      <w:r w:rsidRPr="00505E43">
        <w:rPr>
          <w:rFonts w:ascii="標楷體" w:eastAsia="標楷體" w:hAnsi="標楷體" w:hint="eastAsia"/>
          <w:bCs/>
          <w:color w:val="000000" w:themeColor="text1"/>
          <w:sz w:val="28"/>
          <w:szCs w:val="36"/>
        </w:rPr>
        <w:t>技術</w:t>
      </w:r>
      <w:r w:rsidRPr="00505E43">
        <w:rPr>
          <w:rFonts w:ascii="標楷體" w:eastAsia="標楷體" w:hAnsi="標楷體"/>
          <w:bCs/>
          <w:color w:val="000000" w:themeColor="text1"/>
          <w:sz w:val="28"/>
          <w:szCs w:val="36"/>
        </w:rPr>
        <w:t>發展貢獻</w:t>
      </w:r>
      <w:r w:rsidRPr="00505E43">
        <w:rPr>
          <w:rFonts w:ascii="標楷體" w:eastAsia="標楷體" w:hAnsi="標楷體" w:hint="eastAsia"/>
          <w:bCs/>
          <w:color w:val="000000" w:themeColor="text1"/>
          <w:sz w:val="28"/>
          <w:szCs w:val="36"/>
        </w:rPr>
        <w:t>成果</w:t>
      </w:r>
      <w:r w:rsidRPr="00505E43">
        <w:rPr>
          <w:rFonts w:ascii="標楷體" w:eastAsia="標楷體" w:hAnsi="標楷體"/>
          <w:bCs/>
          <w:color w:val="000000" w:themeColor="text1"/>
          <w:sz w:val="28"/>
          <w:szCs w:val="36"/>
        </w:rPr>
        <w:t>。</w:t>
      </w:r>
    </w:p>
    <w:p w14:paraId="44BBC887" w14:textId="64EF5CF0" w:rsidR="007A70CF" w:rsidRPr="002A4102" w:rsidRDefault="00B7306C" w:rsidP="009C4EE0">
      <w:pPr>
        <w:numPr>
          <w:ilvl w:val="2"/>
          <w:numId w:val="2"/>
        </w:numPr>
        <w:tabs>
          <w:tab w:val="left" w:pos="-1920"/>
        </w:tabs>
        <w:snapToGrid w:val="0"/>
        <w:spacing w:beforeLines="15" w:before="36" w:afterLines="15" w:after="36" w:line="440" w:lineRule="exact"/>
        <w:ind w:left="1333" w:hanging="482"/>
        <w:jc w:val="both"/>
        <w:outlineLvl w:val="2"/>
        <w:rPr>
          <w:rFonts w:ascii="標楷體" w:eastAsia="標楷體" w:hAnsi="標楷體"/>
          <w:bCs/>
          <w:sz w:val="28"/>
          <w:szCs w:val="36"/>
        </w:rPr>
      </w:pPr>
      <w:r w:rsidRPr="002A4102">
        <w:rPr>
          <w:rFonts w:ascii="標楷體" w:eastAsia="標楷體" w:hAnsi="標楷體" w:hint="eastAsia"/>
          <w:bCs/>
          <w:sz w:val="28"/>
          <w:szCs w:val="36"/>
        </w:rPr>
        <w:t>目前全球先進國家</w:t>
      </w:r>
      <w:r w:rsidR="007A70CF" w:rsidRPr="002A4102">
        <w:rPr>
          <w:rFonts w:ascii="標楷體" w:eastAsia="標楷體" w:hAnsi="標楷體"/>
          <w:bCs/>
          <w:sz w:val="28"/>
          <w:szCs w:val="36"/>
        </w:rPr>
        <w:t>關注</w:t>
      </w:r>
      <w:r w:rsidRPr="002A4102">
        <w:rPr>
          <w:rFonts w:ascii="標楷體" w:eastAsia="標楷體" w:hAnsi="標楷體" w:hint="eastAsia"/>
          <w:bCs/>
          <w:sz w:val="28"/>
          <w:szCs w:val="36"/>
        </w:rPr>
        <w:t>事項</w:t>
      </w:r>
    </w:p>
    <w:p w14:paraId="7308CD5D" w14:textId="6A75FB81" w:rsidR="007A70CF" w:rsidRPr="002A4102" w:rsidRDefault="007A70CF" w:rsidP="009C4EE0">
      <w:pPr>
        <w:pStyle w:val="af4"/>
        <w:numPr>
          <w:ilvl w:val="3"/>
          <w:numId w:val="2"/>
        </w:numPr>
        <w:tabs>
          <w:tab w:val="left" w:pos="-1920"/>
        </w:tabs>
        <w:snapToGrid w:val="0"/>
        <w:spacing w:beforeLines="15" w:before="36" w:afterLines="15" w:after="36" w:line="440" w:lineRule="exact"/>
        <w:ind w:leftChars="472" w:left="1416" w:hangingChars="101" w:hanging="283"/>
        <w:jc w:val="both"/>
        <w:outlineLvl w:val="2"/>
        <w:rPr>
          <w:rFonts w:ascii="標楷體" w:eastAsia="標楷體" w:hAnsi="標楷體"/>
          <w:bCs/>
          <w:sz w:val="28"/>
          <w:szCs w:val="36"/>
        </w:rPr>
      </w:pPr>
      <w:r w:rsidRPr="002A4102">
        <w:rPr>
          <w:rFonts w:ascii="標楷體" w:eastAsia="標楷體" w:hAnsi="標楷體"/>
          <w:bCs/>
          <w:sz w:val="28"/>
          <w:szCs w:val="36"/>
        </w:rPr>
        <w:t>全球</w:t>
      </w:r>
      <w:r w:rsidR="00566602">
        <w:rPr>
          <w:rFonts w:ascii="標楷體" w:eastAsia="標楷體" w:hAnsi="標楷體"/>
          <w:bCs/>
          <w:sz w:val="28"/>
          <w:szCs w:val="36"/>
        </w:rPr>
        <w:t>小型模組化反應器(SMR)</w:t>
      </w:r>
      <w:r w:rsidRPr="002A4102">
        <w:rPr>
          <w:rFonts w:ascii="標楷體" w:eastAsia="標楷體" w:hAnsi="標楷體"/>
          <w:bCs/>
          <w:sz w:val="28"/>
          <w:szCs w:val="36"/>
        </w:rPr>
        <w:t>技術發展現況：全面梳理各國</w:t>
      </w:r>
      <w:r w:rsidR="00566602">
        <w:rPr>
          <w:rFonts w:ascii="標楷體" w:eastAsia="標楷體" w:hAnsi="標楷體"/>
          <w:bCs/>
          <w:sz w:val="28"/>
          <w:szCs w:val="36"/>
        </w:rPr>
        <w:t>小型模組化反應器(SMR)</w:t>
      </w:r>
      <w:r w:rsidRPr="002A4102">
        <w:rPr>
          <w:rFonts w:ascii="標楷體" w:eastAsia="標楷體" w:hAnsi="標楷體"/>
          <w:bCs/>
          <w:sz w:val="28"/>
          <w:szCs w:val="36"/>
        </w:rPr>
        <w:t>研發進展，分析不同技術路線的優劣勢和應用前景。</w:t>
      </w:r>
    </w:p>
    <w:p w14:paraId="33BB5F53" w14:textId="301E5F29" w:rsidR="007A70CF" w:rsidRPr="002A4102" w:rsidRDefault="00566602" w:rsidP="009C4EE0">
      <w:pPr>
        <w:pStyle w:val="af4"/>
        <w:numPr>
          <w:ilvl w:val="3"/>
          <w:numId w:val="2"/>
        </w:numPr>
        <w:tabs>
          <w:tab w:val="left" w:pos="-1920"/>
        </w:tabs>
        <w:snapToGrid w:val="0"/>
        <w:spacing w:beforeLines="15" w:before="36" w:afterLines="15" w:after="36" w:line="440" w:lineRule="exact"/>
        <w:ind w:leftChars="472" w:left="1416" w:hangingChars="101" w:hanging="283"/>
        <w:jc w:val="both"/>
        <w:outlineLvl w:val="2"/>
        <w:rPr>
          <w:rFonts w:ascii="標楷體" w:eastAsia="標楷體" w:hAnsi="標楷體"/>
          <w:bCs/>
          <w:sz w:val="28"/>
          <w:szCs w:val="36"/>
        </w:rPr>
      </w:pPr>
      <w:r>
        <w:rPr>
          <w:rFonts w:ascii="標楷體" w:eastAsia="標楷體" w:hAnsi="標楷體"/>
          <w:bCs/>
          <w:sz w:val="28"/>
          <w:szCs w:val="36"/>
        </w:rPr>
        <w:t>小型模組化反應器(SMR)</w:t>
      </w:r>
      <w:r w:rsidR="007A70CF" w:rsidRPr="002A4102">
        <w:rPr>
          <w:rFonts w:ascii="標楷體" w:eastAsia="標楷體" w:hAnsi="標楷體"/>
          <w:bCs/>
          <w:sz w:val="28"/>
          <w:szCs w:val="36"/>
        </w:rPr>
        <w:t>設計類型與特性：深入剖析不同類型</w:t>
      </w:r>
      <w:r>
        <w:rPr>
          <w:rFonts w:ascii="標楷體" w:eastAsia="標楷體" w:hAnsi="標楷體"/>
          <w:bCs/>
          <w:sz w:val="28"/>
          <w:szCs w:val="36"/>
        </w:rPr>
        <w:t>小型模組化反應器(SMR)</w:t>
      </w:r>
      <w:r w:rsidR="007A70CF" w:rsidRPr="002A4102">
        <w:rPr>
          <w:rFonts w:ascii="標楷體" w:eastAsia="標楷體" w:hAnsi="標楷體"/>
          <w:bCs/>
          <w:sz w:val="28"/>
          <w:szCs w:val="36"/>
        </w:rPr>
        <w:t>的設計理念、技術特點和安全特性，比較其適用場景和潛在風險。</w:t>
      </w:r>
    </w:p>
    <w:p w14:paraId="3644B46A" w14:textId="792D1F54" w:rsidR="007A70CF" w:rsidRPr="002A4102" w:rsidRDefault="00566602" w:rsidP="009C4EE0">
      <w:pPr>
        <w:pStyle w:val="af4"/>
        <w:numPr>
          <w:ilvl w:val="3"/>
          <w:numId w:val="2"/>
        </w:numPr>
        <w:tabs>
          <w:tab w:val="left" w:pos="-1920"/>
        </w:tabs>
        <w:snapToGrid w:val="0"/>
        <w:spacing w:beforeLines="15" w:before="36" w:afterLines="15" w:after="36" w:line="440" w:lineRule="exact"/>
        <w:ind w:leftChars="472" w:left="1416" w:hangingChars="101" w:hanging="283"/>
        <w:jc w:val="both"/>
        <w:outlineLvl w:val="2"/>
        <w:rPr>
          <w:rFonts w:ascii="標楷體" w:eastAsia="標楷體" w:hAnsi="標楷體"/>
          <w:bCs/>
          <w:sz w:val="28"/>
          <w:szCs w:val="36"/>
        </w:rPr>
      </w:pPr>
      <w:r>
        <w:rPr>
          <w:rFonts w:ascii="標楷體" w:eastAsia="標楷體" w:hAnsi="標楷體"/>
          <w:bCs/>
          <w:sz w:val="28"/>
          <w:szCs w:val="36"/>
        </w:rPr>
        <w:t>小型模組化反應器(SMR)</w:t>
      </w:r>
      <w:r w:rsidR="007A70CF" w:rsidRPr="002A4102">
        <w:rPr>
          <w:rFonts w:ascii="標楷體" w:eastAsia="標楷體" w:hAnsi="標楷體"/>
          <w:bCs/>
          <w:sz w:val="28"/>
          <w:szCs w:val="36"/>
        </w:rPr>
        <w:t>安全評估與環境影響：研究</w:t>
      </w:r>
      <w:r>
        <w:rPr>
          <w:rFonts w:ascii="標楷體" w:eastAsia="標楷體" w:hAnsi="標楷體"/>
          <w:bCs/>
          <w:sz w:val="28"/>
          <w:szCs w:val="36"/>
        </w:rPr>
        <w:t>小型模組化反應器(SMR)</w:t>
      </w:r>
      <w:r w:rsidR="007A70CF" w:rsidRPr="002A4102">
        <w:rPr>
          <w:rFonts w:ascii="標楷體" w:eastAsia="標楷體" w:hAnsi="標楷體"/>
          <w:bCs/>
          <w:sz w:val="28"/>
          <w:szCs w:val="36"/>
        </w:rPr>
        <w:t>安全評估方法和標準，評估其對環境可能造成的影響，探討風險防控措施。</w:t>
      </w:r>
    </w:p>
    <w:p w14:paraId="04CA285E" w14:textId="680F9333" w:rsidR="007A70CF" w:rsidRPr="002A4102" w:rsidRDefault="00566602" w:rsidP="009C4EE0">
      <w:pPr>
        <w:pStyle w:val="af4"/>
        <w:numPr>
          <w:ilvl w:val="3"/>
          <w:numId w:val="2"/>
        </w:numPr>
        <w:tabs>
          <w:tab w:val="left" w:pos="-1920"/>
        </w:tabs>
        <w:snapToGrid w:val="0"/>
        <w:spacing w:beforeLines="15" w:before="36" w:afterLines="15" w:after="36" w:line="440" w:lineRule="exact"/>
        <w:ind w:leftChars="472" w:left="1416" w:hangingChars="101" w:hanging="283"/>
        <w:jc w:val="both"/>
        <w:outlineLvl w:val="2"/>
        <w:rPr>
          <w:rFonts w:ascii="標楷體" w:eastAsia="標楷體" w:hAnsi="標楷體"/>
          <w:bCs/>
          <w:sz w:val="28"/>
          <w:szCs w:val="36"/>
        </w:rPr>
      </w:pPr>
      <w:r>
        <w:rPr>
          <w:rFonts w:ascii="標楷體" w:eastAsia="標楷體" w:hAnsi="標楷體"/>
          <w:bCs/>
          <w:sz w:val="28"/>
          <w:szCs w:val="36"/>
        </w:rPr>
        <w:t>小型模組化反應器(SMR)</w:t>
      </w:r>
      <w:r w:rsidR="007A70CF" w:rsidRPr="002A4102">
        <w:rPr>
          <w:rFonts w:ascii="標楷體" w:eastAsia="標楷體" w:hAnsi="標楷體"/>
          <w:bCs/>
          <w:sz w:val="28"/>
          <w:szCs w:val="36"/>
        </w:rPr>
        <w:t>法規與管制：分析各國</w:t>
      </w:r>
      <w:r>
        <w:rPr>
          <w:rFonts w:ascii="標楷體" w:eastAsia="標楷體" w:hAnsi="標楷體"/>
          <w:bCs/>
          <w:sz w:val="28"/>
          <w:szCs w:val="36"/>
        </w:rPr>
        <w:t>小型模組化反應器(SMR)</w:t>
      </w:r>
      <w:r w:rsidR="007A70CF" w:rsidRPr="002A4102">
        <w:rPr>
          <w:rFonts w:ascii="標楷體" w:eastAsia="標楷體" w:hAnsi="標楷體"/>
          <w:bCs/>
          <w:sz w:val="28"/>
          <w:szCs w:val="36"/>
        </w:rPr>
        <w:t>監管框架和審批流程，總結經驗教訓，為我國</w:t>
      </w:r>
      <w:r>
        <w:rPr>
          <w:rFonts w:ascii="標楷體" w:eastAsia="標楷體" w:hAnsi="標楷體"/>
          <w:bCs/>
          <w:sz w:val="28"/>
          <w:szCs w:val="36"/>
        </w:rPr>
        <w:t>小型模組化反應器(SMR)</w:t>
      </w:r>
      <w:r w:rsidR="007A70CF" w:rsidRPr="002A4102">
        <w:rPr>
          <w:rFonts w:ascii="標楷體" w:eastAsia="標楷體" w:hAnsi="標楷體"/>
          <w:bCs/>
          <w:sz w:val="28"/>
          <w:szCs w:val="36"/>
        </w:rPr>
        <w:t>發展提供借鑒。</w:t>
      </w:r>
    </w:p>
    <w:p w14:paraId="0DA5EB0A" w14:textId="6A9DE348" w:rsidR="007A70CF" w:rsidRPr="003A69C0" w:rsidRDefault="007A70CF" w:rsidP="009C4EE0">
      <w:pPr>
        <w:pStyle w:val="af4"/>
        <w:numPr>
          <w:ilvl w:val="3"/>
          <w:numId w:val="2"/>
        </w:numPr>
        <w:tabs>
          <w:tab w:val="left" w:pos="-1920"/>
        </w:tabs>
        <w:snapToGrid w:val="0"/>
        <w:spacing w:beforeLines="15" w:before="36" w:afterLines="15" w:after="36" w:line="440" w:lineRule="exact"/>
        <w:ind w:leftChars="472" w:left="1416" w:hangingChars="101" w:hanging="283"/>
        <w:jc w:val="both"/>
        <w:outlineLvl w:val="2"/>
        <w:rPr>
          <w:rFonts w:ascii="標楷體" w:eastAsia="標楷體" w:hAnsi="標楷體"/>
          <w:bCs/>
          <w:sz w:val="28"/>
          <w:szCs w:val="36"/>
        </w:rPr>
      </w:pPr>
      <w:r w:rsidRPr="003A69C0">
        <w:rPr>
          <w:rFonts w:ascii="標楷體" w:eastAsia="標楷體" w:hAnsi="標楷體"/>
          <w:bCs/>
          <w:sz w:val="28"/>
          <w:szCs w:val="36"/>
        </w:rPr>
        <w:lastRenderedPageBreak/>
        <w:t>深入瞭解</w:t>
      </w:r>
      <w:r w:rsidR="00566602">
        <w:rPr>
          <w:rFonts w:ascii="標楷體" w:eastAsia="標楷體" w:hAnsi="標楷體"/>
          <w:bCs/>
          <w:sz w:val="28"/>
          <w:szCs w:val="36"/>
        </w:rPr>
        <w:t>小型模組化反應器(SMR)</w:t>
      </w:r>
      <w:r w:rsidRPr="003A69C0">
        <w:rPr>
          <w:rFonts w:ascii="標楷體" w:eastAsia="標楷體" w:hAnsi="標楷體"/>
          <w:bCs/>
          <w:sz w:val="28"/>
          <w:szCs w:val="36"/>
        </w:rPr>
        <w:t>技術發展現況和未來趨勢，</w:t>
      </w:r>
      <w:r w:rsidR="003A69C0">
        <w:rPr>
          <w:rFonts w:ascii="標楷體" w:eastAsia="標楷體" w:hAnsi="標楷體" w:hint="eastAsia"/>
          <w:bCs/>
          <w:sz w:val="28"/>
          <w:szCs w:val="36"/>
        </w:rPr>
        <w:t>並</w:t>
      </w:r>
      <w:r w:rsidRPr="003A69C0">
        <w:rPr>
          <w:rFonts w:ascii="標楷體" w:eastAsia="標楷體" w:hAnsi="標楷體"/>
          <w:bCs/>
          <w:sz w:val="28"/>
          <w:szCs w:val="36"/>
        </w:rPr>
        <w:t>掌握不同類型</w:t>
      </w:r>
      <w:r w:rsidR="00566602">
        <w:rPr>
          <w:rFonts w:ascii="標楷體" w:eastAsia="標楷體" w:hAnsi="標楷體"/>
          <w:bCs/>
          <w:sz w:val="28"/>
          <w:szCs w:val="36"/>
        </w:rPr>
        <w:t>小型模組化反應器(SMR)</w:t>
      </w:r>
      <w:r w:rsidRPr="003A69C0">
        <w:rPr>
          <w:rFonts w:ascii="標楷體" w:eastAsia="標楷體" w:hAnsi="標楷體"/>
          <w:bCs/>
          <w:sz w:val="28"/>
          <w:szCs w:val="36"/>
        </w:rPr>
        <w:t>的設計特點和安全特性，為技術路線選擇和工程實踐提供參考。</w:t>
      </w:r>
    </w:p>
    <w:p w14:paraId="14793A64" w14:textId="2E797AD1" w:rsidR="007A70CF" w:rsidRPr="003A69C0" w:rsidRDefault="007A70CF" w:rsidP="009C4EE0">
      <w:pPr>
        <w:pStyle w:val="af4"/>
        <w:numPr>
          <w:ilvl w:val="3"/>
          <w:numId w:val="2"/>
        </w:numPr>
        <w:tabs>
          <w:tab w:val="left" w:pos="-1920"/>
        </w:tabs>
        <w:snapToGrid w:val="0"/>
        <w:spacing w:beforeLines="15" w:before="36" w:afterLines="15" w:after="36" w:line="440" w:lineRule="exact"/>
        <w:ind w:leftChars="472" w:left="1416" w:hangingChars="101" w:hanging="283"/>
        <w:jc w:val="both"/>
        <w:outlineLvl w:val="2"/>
        <w:rPr>
          <w:rFonts w:ascii="標楷體" w:eastAsia="標楷體" w:hAnsi="標楷體"/>
          <w:bCs/>
          <w:sz w:val="28"/>
          <w:szCs w:val="36"/>
        </w:rPr>
      </w:pPr>
      <w:r w:rsidRPr="003A69C0">
        <w:rPr>
          <w:rFonts w:ascii="標楷體" w:eastAsia="標楷體" w:hAnsi="標楷體"/>
          <w:bCs/>
          <w:sz w:val="28"/>
          <w:szCs w:val="36"/>
        </w:rPr>
        <w:t>評估</w:t>
      </w:r>
      <w:r w:rsidR="00566602">
        <w:rPr>
          <w:rFonts w:ascii="標楷體" w:eastAsia="標楷體" w:hAnsi="標楷體"/>
          <w:bCs/>
          <w:sz w:val="28"/>
          <w:szCs w:val="36"/>
        </w:rPr>
        <w:t>小型模組化反應器(SMR)</w:t>
      </w:r>
      <w:r w:rsidRPr="003A69C0">
        <w:rPr>
          <w:rFonts w:ascii="標楷體" w:eastAsia="標楷體" w:hAnsi="標楷體"/>
          <w:bCs/>
          <w:sz w:val="28"/>
          <w:szCs w:val="36"/>
        </w:rPr>
        <w:t>的環境影響和潛在風險，提出有效的風險防控措施</w:t>
      </w:r>
      <w:r w:rsidR="003A69C0" w:rsidRPr="003A69C0">
        <w:rPr>
          <w:rFonts w:ascii="標楷體" w:eastAsia="標楷體" w:hAnsi="標楷體" w:hint="eastAsia"/>
          <w:bCs/>
          <w:sz w:val="28"/>
          <w:szCs w:val="36"/>
        </w:rPr>
        <w:t>，以</w:t>
      </w:r>
      <w:r w:rsidRPr="003A69C0">
        <w:rPr>
          <w:rFonts w:ascii="標楷體" w:eastAsia="標楷體" w:hAnsi="標楷體"/>
          <w:bCs/>
          <w:sz w:val="28"/>
          <w:szCs w:val="36"/>
        </w:rPr>
        <w:t>瞭解國際</w:t>
      </w:r>
      <w:r w:rsidR="00566602">
        <w:rPr>
          <w:rFonts w:ascii="標楷體" w:eastAsia="標楷體" w:hAnsi="標楷體"/>
          <w:bCs/>
          <w:sz w:val="28"/>
          <w:szCs w:val="36"/>
        </w:rPr>
        <w:t>小型模組化反應器(SMR)</w:t>
      </w:r>
      <w:r w:rsidRPr="003A69C0">
        <w:rPr>
          <w:rFonts w:ascii="標楷體" w:eastAsia="標楷體" w:hAnsi="標楷體"/>
          <w:bCs/>
          <w:sz w:val="28"/>
          <w:szCs w:val="36"/>
        </w:rPr>
        <w:t>監管經驗。</w:t>
      </w:r>
    </w:p>
    <w:p w14:paraId="09C1D178" w14:textId="3744C554" w:rsidR="007A70CF" w:rsidRPr="002A4102" w:rsidRDefault="00B7306C" w:rsidP="009C4EE0">
      <w:pPr>
        <w:numPr>
          <w:ilvl w:val="2"/>
          <w:numId w:val="2"/>
        </w:numPr>
        <w:tabs>
          <w:tab w:val="left" w:pos="-1920"/>
        </w:tabs>
        <w:snapToGrid w:val="0"/>
        <w:spacing w:beforeLines="15" w:before="36" w:afterLines="15" w:after="36" w:line="440" w:lineRule="exact"/>
        <w:ind w:left="1333" w:hanging="482"/>
        <w:jc w:val="both"/>
        <w:outlineLvl w:val="2"/>
        <w:rPr>
          <w:rFonts w:ascii="標楷體" w:eastAsia="標楷體" w:hAnsi="標楷體"/>
          <w:bCs/>
          <w:sz w:val="28"/>
          <w:szCs w:val="36"/>
        </w:rPr>
      </w:pPr>
      <w:r w:rsidRPr="002A4102">
        <w:rPr>
          <w:rFonts w:ascii="標楷體" w:eastAsia="標楷體" w:hAnsi="標楷體"/>
          <w:bCs/>
          <w:sz w:val="28"/>
          <w:szCs w:val="36"/>
        </w:rPr>
        <w:t>全球</w:t>
      </w:r>
      <w:r w:rsidR="00566602">
        <w:rPr>
          <w:rFonts w:ascii="標楷體" w:eastAsia="標楷體" w:hAnsi="標楷體"/>
          <w:bCs/>
          <w:sz w:val="28"/>
          <w:szCs w:val="36"/>
        </w:rPr>
        <w:t>小型模組化反應器(SMR)</w:t>
      </w:r>
      <w:r w:rsidRPr="002A4102">
        <w:rPr>
          <w:rFonts w:ascii="標楷體" w:eastAsia="標楷體" w:hAnsi="標楷體"/>
          <w:bCs/>
          <w:sz w:val="28"/>
          <w:szCs w:val="36"/>
        </w:rPr>
        <w:t>技術發展</w:t>
      </w:r>
      <w:r w:rsidR="007A70CF" w:rsidRPr="002A4102">
        <w:rPr>
          <w:rFonts w:ascii="標楷體" w:eastAsia="標楷體" w:hAnsi="標楷體"/>
          <w:bCs/>
          <w:sz w:val="28"/>
          <w:szCs w:val="36"/>
        </w:rPr>
        <w:t>現況</w:t>
      </w:r>
    </w:p>
    <w:p w14:paraId="7C766F26" w14:textId="5FE08C4C" w:rsidR="007A70CF" w:rsidRPr="002A4102" w:rsidRDefault="007A70CF" w:rsidP="009C4EE0">
      <w:pPr>
        <w:pStyle w:val="af4"/>
        <w:numPr>
          <w:ilvl w:val="3"/>
          <w:numId w:val="2"/>
        </w:numPr>
        <w:tabs>
          <w:tab w:val="left" w:pos="-1920"/>
        </w:tabs>
        <w:snapToGrid w:val="0"/>
        <w:spacing w:beforeLines="15" w:before="36" w:afterLines="15" w:after="36" w:line="440" w:lineRule="exact"/>
        <w:ind w:leftChars="472" w:left="1416" w:hangingChars="101" w:hanging="283"/>
        <w:jc w:val="both"/>
        <w:outlineLvl w:val="2"/>
        <w:rPr>
          <w:rFonts w:ascii="標楷體" w:eastAsia="標楷體" w:hAnsi="標楷體"/>
          <w:bCs/>
          <w:sz w:val="28"/>
          <w:szCs w:val="36"/>
        </w:rPr>
      </w:pPr>
      <w:r w:rsidRPr="002A4102">
        <w:rPr>
          <w:rFonts w:ascii="標楷體" w:eastAsia="標楷體" w:hAnsi="標楷體"/>
          <w:bCs/>
          <w:sz w:val="28"/>
          <w:szCs w:val="36"/>
        </w:rPr>
        <w:t>全球範圍內有超過70種</w:t>
      </w:r>
      <w:r w:rsidR="00566602">
        <w:rPr>
          <w:rFonts w:ascii="標楷體" w:eastAsia="標楷體" w:hAnsi="標楷體"/>
          <w:bCs/>
          <w:sz w:val="28"/>
          <w:szCs w:val="36"/>
        </w:rPr>
        <w:t>小型模組化反應器(SMR)</w:t>
      </w:r>
      <w:r w:rsidRPr="002A4102">
        <w:rPr>
          <w:rFonts w:ascii="標楷體" w:eastAsia="標楷體" w:hAnsi="標楷體"/>
          <w:bCs/>
          <w:sz w:val="28"/>
          <w:szCs w:val="36"/>
        </w:rPr>
        <w:t>設計正在研發中，其中部分已進入建造或試運行階段。</w:t>
      </w:r>
    </w:p>
    <w:p w14:paraId="6692FDBD" w14:textId="116182E6" w:rsidR="007A70CF" w:rsidRPr="002A4102" w:rsidRDefault="007A70CF" w:rsidP="009C4EE0">
      <w:pPr>
        <w:pStyle w:val="af4"/>
        <w:numPr>
          <w:ilvl w:val="3"/>
          <w:numId w:val="2"/>
        </w:numPr>
        <w:tabs>
          <w:tab w:val="left" w:pos="-1920"/>
        </w:tabs>
        <w:snapToGrid w:val="0"/>
        <w:spacing w:beforeLines="15" w:before="36" w:afterLines="15" w:after="36" w:line="440" w:lineRule="exact"/>
        <w:ind w:leftChars="472" w:left="1416" w:hangingChars="101" w:hanging="283"/>
        <w:jc w:val="both"/>
        <w:outlineLvl w:val="2"/>
        <w:rPr>
          <w:rFonts w:ascii="標楷體" w:eastAsia="標楷體" w:hAnsi="標楷體"/>
          <w:bCs/>
          <w:sz w:val="28"/>
          <w:szCs w:val="36"/>
        </w:rPr>
      </w:pPr>
      <w:r w:rsidRPr="002A4102">
        <w:rPr>
          <w:rFonts w:ascii="標楷體" w:eastAsia="標楷體" w:hAnsi="標楷體"/>
          <w:bCs/>
          <w:sz w:val="28"/>
          <w:szCs w:val="36"/>
        </w:rPr>
        <w:t>美國、俄羅斯、</w:t>
      </w:r>
      <w:r w:rsidR="003A69C0">
        <w:rPr>
          <w:rFonts w:ascii="標楷體" w:eastAsia="標楷體" w:hAnsi="標楷體" w:hint="eastAsia"/>
          <w:bCs/>
          <w:sz w:val="28"/>
          <w:szCs w:val="36"/>
        </w:rPr>
        <w:t>日本及</w:t>
      </w:r>
      <w:r w:rsidRPr="002A4102">
        <w:rPr>
          <w:rFonts w:ascii="標楷體" w:eastAsia="標楷體" w:hAnsi="標楷體"/>
          <w:bCs/>
          <w:sz w:val="28"/>
          <w:szCs w:val="36"/>
        </w:rPr>
        <w:t>中國等國在</w:t>
      </w:r>
      <w:r w:rsidR="00566602">
        <w:rPr>
          <w:rFonts w:ascii="標楷體" w:eastAsia="標楷體" w:hAnsi="標楷體"/>
          <w:bCs/>
          <w:sz w:val="28"/>
          <w:szCs w:val="36"/>
        </w:rPr>
        <w:t>小型模組化反應器(SMR)</w:t>
      </w:r>
      <w:r w:rsidRPr="002A4102">
        <w:rPr>
          <w:rFonts w:ascii="標楷體" w:eastAsia="標楷體" w:hAnsi="標楷體"/>
          <w:bCs/>
          <w:sz w:val="28"/>
          <w:szCs w:val="36"/>
        </w:rPr>
        <w:t>研發方面處於領先地位，加拿大、英國、法國等國也積極參與其中。</w:t>
      </w:r>
    </w:p>
    <w:p w14:paraId="301D1C18" w14:textId="77777777" w:rsidR="007A70CF" w:rsidRPr="002A4102" w:rsidRDefault="007A70CF" w:rsidP="009C4EE0">
      <w:pPr>
        <w:pStyle w:val="af4"/>
        <w:numPr>
          <w:ilvl w:val="3"/>
          <w:numId w:val="2"/>
        </w:numPr>
        <w:tabs>
          <w:tab w:val="left" w:pos="-1920"/>
        </w:tabs>
        <w:snapToGrid w:val="0"/>
        <w:spacing w:beforeLines="15" w:before="36" w:afterLines="15" w:after="36" w:line="440" w:lineRule="exact"/>
        <w:ind w:leftChars="472" w:left="1416" w:hangingChars="101" w:hanging="283"/>
        <w:jc w:val="both"/>
        <w:outlineLvl w:val="2"/>
        <w:rPr>
          <w:rFonts w:ascii="標楷體" w:eastAsia="標楷體" w:hAnsi="標楷體"/>
          <w:bCs/>
          <w:sz w:val="28"/>
          <w:szCs w:val="36"/>
        </w:rPr>
      </w:pPr>
      <w:r w:rsidRPr="002A4102">
        <w:rPr>
          <w:rFonts w:ascii="標楷體" w:eastAsia="標楷體" w:hAnsi="標楷體"/>
          <w:bCs/>
          <w:sz w:val="28"/>
          <w:szCs w:val="36"/>
        </w:rPr>
        <w:t>陸上水冷式反應器、高溫氣冷式反應器、液態金屬反應器、熔鹽反應器等多種技術路線並存，各有優劣。</w:t>
      </w:r>
    </w:p>
    <w:p w14:paraId="67CB95CA" w14:textId="1AD40453" w:rsidR="007A70CF" w:rsidRPr="002A4102" w:rsidRDefault="00566602" w:rsidP="009C4EE0">
      <w:pPr>
        <w:numPr>
          <w:ilvl w:val="2"/>
          <w:numId w:val="2"/>
        </w:numPr>
        <w:tabs>
          <w:tab w:val="left" w:pos="-1920"/>
        </w:tabs>
        <w:snapToGrid w:val="0"/>
        <w:spacing w:beforeLines="15" w:before="36" w:afterLines="15" w:after="36" w:line="440" w:lineRule="exact"/>
        <w:ind w:left="1333" w:hanging="482"/>
        <w:jc w:val="both"/>
        <w:outlineLvl w:val="2"/>
        <w:rPr>
          <w:rFonts w:ascii="標楷體" w:eastAsia="標楷體" w:hAnsi="標楷體"/>
          <w:bCs/>
          <w:sz w:val="28"/>
          <w:szCs w:val="36"/>
        </w:rPr>
      </w:pPr>
      <w:r>
        <w:rPr>
          <w:rFonts w:ascii="標楷體" w:eastAsia="標楷體" w:hAnsi="標楷體"/>
          <w:bCs/>
          <w:sz w:val="28"/>
          <w:szCs w:val="36"/>
        </w:rPr>
        <w:t>小型模組化反應器(SMR)</w:t>
      </w:r>
      <w:r w:rsidR="007A70CF" w:rsidRPr="002A4102">
        <w:rPr>
          <w:rFonts w:ascii="標楷體" w:eastAsia="標楷體" w:hAnsi="標楷體"/>
          <w:bCs/>
          <w:sz w:val="28"/>
          <w:szCs w:val="36"/>
        </w:rPr>
        <w:t>設計類型與特性</w:t>
      </w:r>
    </w:p>
    <w:p w14:paraId="083E54C2" w14:textId="77777777" w:rsidR="007A70CF" w:rsidRPr="002A4102" w:rsidRDefault="007A70CF" w:rsidP="009C4EE0">
      <w:pPr>
        <w:pStyle w:val="af4"/>
        <w:numPr>
          <w:ilvl w:val="3"/>
          <w:numId w:val="2"/>
        </w:numPr>
        <w:tabs>
          <w:tab w:val="left" w:pos="-1920"/>
        </w:tabs>
        <w:snapToGrid w:val="0"/>
        <w:spacing w:beforeLines="15" w:before="36" w:afterLines="15" w:after="36" w:line="440" w:lineRule="exact"/>
        <w:ind w:leftChars="472" w:left="1416" w:hangingChars="101" w:hanging="283"/>
        <w:jc w:val="both"/>
        <w:outlineLvl w:val="2"/>
        <w:rPr>
          <w:rFonts w:ascii="標楷體" w:eastAsia="標楷體" w:hAnsi="標楷體"/>
          <w:bCs/>
          <w:sz w:val="28"/>
          <w:szCs w:val="36"/>
        </w:rPr>
      </w:pPr>
      <w:r w:rsidRPr="002A4102">
        <w:rPr>
          <w:rFonts w:ascii="標楷體" w:eastAsia="標楷體" w:hAnsi="標楷體"/>
          <w:bCs/>
          <w:sz w:val="28"/>
          <w:szCs w:val="36"/>
        </w:rPr>
        <w:t>陸上水冷式反應器：技術成熟度高，安全性好，但建造成本相對較高。</w:t>
      </w:r>
    </w:p>
    <w:p w14:paraId="5A4638F1" w14:textId="77777777" w:rsidR="007A70CF" w:rsidRPr="002A4102" w:rsidRDefault="007A70CF" w:rsidP="009C4EE0">
      <w:pPr>
        <w:pStyle w:val="af4"/>
        <w:numPr>
          <w:ilvl w:val="3"/>
          <w:numId w:val="2"/>
        </w:numPr>
        <w:tabs>
          <w:tab w:val="left" w:pos="-1920"/>
        </w:tabs>
        <w:snapToGrid w:val="0"/>
        <w:spacing w:beforeLines="15" w:before="36" w:afterLines="15" w:after="36" w:line="440" w:lineRule="exact"/>
        <w:ind w:leftChars="472" w:left="1416" w:hangingChars="101" w:hanging="283"/>
        <w:jc w:val="both"/>
        <w:outlineLvl w:val="2"/>
        <w:rPr>
          <w:rFonts w:ascii="標楷體" w:eastAsia="標楷體" w:hAnsi="標楷體"/>
          <w:bCs/>
          <w:sz w:val="28"/>
          <w:szCs w:val="36"/>
        </w:rPr>
      </w:pPr>
      <w:r w:rsidRPr="002A4102">
        <w:rPr>
          <w:rFonts w:ascii="標楷體" w:eastAsia="標楷體" w:hAnsi="標楷體"/>
          <w:bCs/>
          <w:sz w:val="28"/>
          <w:szCs w:val="36"/>
        </w:rPr>
        <w:t>高溫氣冷式反應器：具有固有安全性，可應用於高溫製程，但技術複雜度較高。</w:t>
      </w:r>
    </w:p>
    <w:p w14:paraId="530364AB" w14:textId="77777777" w:rsidR="007A70CF" w:rsidRPr="002A4102" w:rsidRDefault="007A70CF" w:rsidP="009C4EE0">
      <w:pPr>
        <w:pStyle w:val="af4"/>
        <w:numPr>
          <w:ilvl w:val="3"/>
          <w:numId w:val="2"/>
        </w:numPr>
        <w:tabs>
          <w:tab w:val="left" w:pos="-1920"/>
        </w:tabs>
        <w:snapToGrid w:val="0"/>
        <w:spacing w:beforeLines="15" w:before="36" w:afterLines="15" w:after="36" w:line="440" w:lineRule="exact"/>
        <w:ind w:leftChars="472" w:left="1416" w:hangingChars="101" w:hanging="283"/>
        <w:jc w:val="both"/>
        <w:outlineLvl w:val="2"/>
        <w:rPr>
          <w:rFonts w:ascii="標楷體" w:eastAsia="標楷體" w:hAnsi="標楷體"/>
          <w:bCs/>
          <w:sz w:val="28"/>
          <w:szCs w:val="36"/>
        </w:rPr>
      </w:pPr>
      <w:r w:rsidRPr="002A4102">
        <w:rPr>
          <w:rFonts w:ascii="標楷體" w:eastAsia="標楷體" w:hAnsi="標楷體"/>
          <w:bCs/>
          <w:sz w:val="28"/>
          <w:szCs w:val="36"/>
        </w:rPr>
        <w:t>液態金屬反應器：具有快中子能譜，可實現核廢料嬗變，但鈉冷卻劑存在安全隱患。</w:t>
      </w:r>
    </w:p>
    <w:p w14:paraId="4439DC46" w14:textId="77777777" w:rsidR="007A70CF" w:rsidRPr="002A4102" w:rsidRDefault="007A70CF" w:rsidP="009C4EE0">
      <w:pPr>
        <w:pStyle w:val="af4"/>
        <w:numPr>
          <w:ilvl w:val="3"/>
          <w:numId w:val="2"/>
        </w:numPr>
        <w:tabs>
          <w:tab w:val="left" w:pos="-1920"/>
        </w:tabs>
        <w:snapToGrid w:val="0"/>
        <w:spacing w:beforeLines="15" w:before="36" w:afterLines="15" w:after="36" w:line="440" w:lineRule="exact"/>
        <w:ind w:leftChars="472" w:left="1416" w:hangingChars="101" w:hanging="283"/>
        <w:jc w:val="both"/>
        <w:outlineLvl w:val="2"/>
        <w:rPr>
          <w:rFonts w:ascii="標楷體" w:eastAsia="標楷體" w:hAnsi="標楷體"/>
          <w:bCs/>
          <w:sz w:val="28"/>
          <w:szCs w:val="36"/>
        </w:rPr>
      </w:pPr>
      <w:r w:rsidRPr="002A4102">
        <w:rPr>
          <w:rFonts w:ascii="標楷體" w:eastAsia="標楷體" w:hAnsi="標楷體"/>
          <w:bCs/>
          <w:sz w:val="28"/>
          <w:szCs w:val="36"/>
        </w:rPr>
        <w:t>熔鹽反應器：具有液態燃料、在線燃料處理等優勢，但技術挑戰性大。</w:t>
      </w:r>
    </w:p>
    <w:p w14:paraId="7AC42F56" w14:textId="433CBDA4" w:rsidR="007A70CF" w:rsidRPr="002A4102" w:rsidRDefault="00566602" w:rsidP="009C4EE0">
      <w:pPr>
        <w:numPr>
          <w:ilvl w:val="2"/>
          <w:numId w:val="2"/>
        </w:numPr>
        <w:tabs>
          <w:tab w:val="left" w:pos="-1920"/>
        </w:tabs>
        <w:snapToGrid w:val="0"/>
        <w:spacing w:beforeLines="15" w:before="36" w:afterLines="15" w:after="36" w:line="440" w:lineRule="exact"/>
        <w:ind w:left="1333" w:hanging="482"/>
        <w:jc w:val="both"/>
        <w:outlineLvl w:val="2"/>
        <w:rPr>
          <w:rFonts w:ascii="標楷體" w:eastAsia="標楷體" w:hAnsi="標楷體"/>
          <w:bCs/>
          <w:sz w:val="28"/>
          <w:szCs w:val="36"/>
        </w:rPr>
      </w:pPr>
      <w:r>
        <w:rPr>
          <w:rFonts w:ascii="標楷體" w:eastAsia="標楷體" w:hAnsi="標楷體"/>
          <w:bCs/>
          <w:sz w:val="28"/>
          <w:szCs w:val="36"/>
        </w:rPr>
        <w:t>小型模組化反應器(SMR)</w:t>
      </w:r>
      <w:r w:rsidR="007A70CF" w:rsidRPr="002A4102">
        <w:rPr>
          <w:rFonts w:ascii="標楷體" w:eastAsia="標楷體" w:hAnsi="標楷體"/>
          <w:bCs/>
          <w:sz w:val="28"/>
          <w:szCs w:val="36"/>
        </w:rPr>
        <w:t>安全評估與環境影響</w:t>
      </w:r>
    </w:p>
    <w:p w14:paraId="5358E223" w14:textId="2BAC9214" w:rsidR="007A70CF" w:rsidRPr="002A4102" w:rsidRDefault="00566602" w:rsidP="009C4EE0">
      <w:pPr>
        <w:pStyle w:val="af4"/>
        <w:numPr>
          <w:ilvl w:val="3"/>
          <w:numId w:val="2"/>
        </w:numPr>
        <w:tabs>
          <w:tab w:val="left" w:pos="-1920"/>
        </w:tabs>
        <w:snapToGrid w:val="0"/>
        <w:spacing w:beforeLines="15" w:before="36" w:afterLines="15" w:after="36" w:line="440" w:lineRule="exact"/>
        <w:ind w:leftChars="472" w:left="1416" w:hangingChars="101" w:hanging="283"/>
        <w:jc w:val="both"/>
        <w:outlineLvl w:val="2"/>
        <w:rPr>
          <w:rFonts w:ascii="標楷體" w:eastAsia="標楷體" w:hAnsi="標楷體"/>
          <w:bCs/>
          <w:sz w:val="28"/>
          <w:szCs w:val="36"/>
        </w:rPr>
      </w:pPr>
      <w:r>
        <w:rPr>
          <w:rFonts w:ascii="標楷體" w:eastAsia="標楷體" w:hAnsi="標楷體"/>
          <w:bCs/>
          <w:sz w:val="28"/>
          <w:szCs w:val="36"/>
        </w:rPr>
        <w:t>小型模組化反應器(SMR)</w:t>
      </w:r>
      <w:r w:rsidR="007A70CF" w:rsidRPr="002A4102">
        <w:rPr>
          <w:rFonts w:ascii="標楷體" w:eastAsia="標楷體" w:hAnsi="標楷體"/>
          <w:bCs/>
          <w:sz w:val="28"/>
          <w:szCs w:val="36"/>
        </w:rPr>
        <w:t>安全評估主要採用確定性分析和概率風險評估相結合的方法。</w:t>
      </w:r>
    </w:p>
    <w:p w14:paraId="13E84823" w14:textId="681DEDD4" w:rsidR="007A70CF" w:rsidRPr="002A4102" w:rsidRDefault="00566602" w:rsidP="009C4EE0">
      <w:pPr>
        <w:pStyle w:val="af4"/>
        <w:numPr>
          <w:ilvl w:val="3"/>
          <w:numId w:val="2"/>
        </w:numPr>
        <w:tabs>
          <w:tab w:val="left" w:pos="-1920"/>
        </w:tabs>
        <w:snapToGrid w:val="0"/>
        <w:spacing w:beforeLines="15" w:before="36" w:afterLines="15" w:after="36" w:line="440" w:lineRule="exact"/>
        <w:ind w:leftChars="472" w:left="1416" w:hangingChars="101" w:hanging="283"/>
        <w:jc w:val="both"/>
        <w:outlineLvl w:val="2"/>
        <w:rPr>
          <w:rFonts w:ascii="標楷體" w:eastAsia="標楷體" w:hAnsi="標楷體"/>
          <w:bCs/>
          <w:sz w:val="28"/>
          <w:szCs w:val="36"/>
        </w:rPr>
      </w:pPr>
      <w:r>
        <w:rPr>
          <w:rFonts w:ascii="標楷體" w:eastAsia="標楷體" w:hAnsi="標楷體"/>
          <w:bCs/>
          <w:sz w:val="28"/>
          <w:szCs w:val="36"/>
        </w:rPr>
        <w:t>小型模組化反應器(SMR)</w:t>
      </w:r>
      <w:r w:rsidR="007A70CF" w:rsidRPr="002A4102">
        <w:rPr>
          <w:rFonts w:ascii="標楷體" w:eastAsia="標楷體" w:hAnsi="標楷體"/>
          <w:bCs/>
          <w:sz w:val="28"/>
          <w:szCs w:val="36"/>
        </w:rPr>
        <w:t>環境影響評估主要關注放射性物質釋放、溫排水、土地占用等方面。</w:t>
      </w:r>
    </w:p>
    <w:p w14:paraId="51241E03" w14:textId="448E5B63" w:rsidR="007A70CF" w:rsidRPr="002A4102" w:rsidRDefault="00566602" w:rsidP="009C4EE0">
      <w:pPr>
        <w:pStyle w:val="af4"/>
        <w:numPr>
          <w:ilvl w:val="3"/>
          <w:numId w:val="2"/>
        </w:numPr>
        <w:tabs>
          <w:tab w:val="left" w:pos="-1920"/>
        </w:tabs>
        <w:snapToGrid w:val="0"/>
        <w:spacing w:beforeLines="15" w:before="36" w:afterLines="15" w:after="36" w:line="440" w:lineRule="exact"/>
        <w:ind w:leftChars="472" w:left="1416" w:hangingChars="101" w:hanging="283"/>
        <w:jc w:val="both"/>
        <w:outlineLvl w:val="2"/>
        <w:rPr>
          <w:rFonts w:ascii="標楷體" w:eastAsia="標楷體" w:hAnsi="標楷體"/>
          <w:bCs/>
          <w:sz w:val="28"/>
          <w:szCs w:val="36"/>
        </w:rPr>
      </w:pPr>
      <w:r>
        <w:rPr>
          <w:rFonts w:ascii="標楷體" w:eastAsia="標楷體" w:hAnsi="標楷體"/>
          <w:bCs/>
          <w:sz w:val="28"/>
          <w:szCs w:val="36"/>
        </w:rPr>
        <w:t>小型模組化反應器(SMR)</w:t>
      </w:r>
      <w:r w:rsidR="007A70CF" w:rsidRPr="002A4102">
        <w:rPr>
          <w:rFonts w:ascii="標楷體" w:eastAsia="標楷體" w:hAnsi="標楷體"/>
          <w:bCs/>
          <w:sz w:val="28"/>
          <w:szCs w:val="36"/>
        </w:rPr>
        <w:t>事故概率和後果預計比大型反應器低，但仍需考慮多模組SMR事故和特殊選址</w:t>
      </w:r>
      <w:r w:rsidR="00BD14E7" w:rsidRPr="002A4102">
        <w:rPr>
          <w:rFonts w:ascii="標楷體" w:eastAsia="標楷體" w:hAnsi="標楷體"/>
          <w:bCs/>
          <w:sz w:val="28"/>
          <w:szCs w:val="36"/>
        </w:rPr>
        <w:t>(</w:t>
      </w:r>
      <w:r w:rsidR="007A70CF" w:rsidRPr="002A4102">
        <w:rPr>
          <w:rFonts w:ascii="標楷體" w:eastAsia="標楷體" w:hAnsi="標楷體"/>
          <w:bCs/>
          <w:sz w:val="28"/>
          <w:szCs w:val="36"/>
        </w:rPr>
        <w:t>如海上</w:t>
      </w:r>
      <w:r w:rsidR="00BD14E7" w:rsidRPr="002A4102">
        <w:rPr>
          <w:rFonts w:ascii="標楷體" w:eastAsia="標楷體" w:hAnsi="標楷體"/>
          <w:bCs/>
          <w:sz w:val="28"/>
          <w:szCs w:val="36"/>
        </w:rPr>
        <w:t>)</w:t>
      </w:r>
      <w:r w:rsidR="007A70CF" w:rsidRPr="002A4102">
        <w:rPr>
          <w:rFonts w:ascii="標楷體" w:eastAsia="標楷體" w:hAnsi="標楷體"/>
          <w:bCs/>
          <w:sz w:val="28"/>
          <w:szCs w:val="36"/>
        </w:rPr>
        <w:t>帶來的風險。</w:t>
      </w:r>
    </w:p>
    <w:p w14:paraId="71A034E0" w14:textId="6000CF56" w:rsidR="007A70CF" w:rsidRPr="002A4102" w:rsidRDefault="00566602" w:rsidP="009C4EE0">
      <w:pPr>
        <w:numPr>
          <w:ilvl w:val="2"/>
          <w:numId w:val="2"/>
        </w:numPr>
        <w:tabs>
          <w:tab w:val="left" w:pos="-1920"/>
        </w:tabs>
        <w:snapToGrid w:val="0"/>
        <w:spacing w:beforeLines="15" w:before="36" w:afterLines="15" w:after="36" w:line="440" w:lineRule="exact"/>
        <w:ind w:left="1333" w:hanging="482"/>
        <w:jc w:val="both"/>
        <w:outlineLvl w:val="2"/>
        <w:rPr>
          <w:rFonts w:ascii="標楷體" w:eastAsia="標楷體" w:hAnsi="標楷體"/>
          <w:bCs/>
          <w:sz w:val="28"/>
          <w:szCs w:val="36"/>
        </w:rPr>
      </w:pPr>
      <w:r>
        <w:rPr>
          <w:rFonts w:ascii="標楷體" w:eastAsia="標楷體" w:hAnsi="標楷體"/>
          <w:bCs/>
          <w:sz w:val="28"/>
          <w:szCs w:val="36"/>
        </w:rPr>
        <w:t>小型模組化反應器(SMR)</w:t>
      </w:r>
      <w:r w:rsidR="007A70CF" w:rsidRPr="002A4102">
        <w:rPr>
          <w:rFonts w:ascii="標楷體" w:eastAsia="標楷體" w:hAnsi="標楷體"/>
          <w:bCs/>
          <w:sz w:val="28"/>
          <w:szCs w:val="36"/>
        </w:rPr>
        <w:t>法規與管制</w:t>
      </w:r>
    </w:p>
    <w:p w14:paraId="1B206582" w14:textId="3373BEB2" w:rsidR="00B7306C" w:rsidRPr="002A4102" w:rsidRDefault="00B7306C" w:rsidP="009C4EE0">
      <w:pPr>
        <w:pStyle w:val="af4"/>
        <w:numPr>
          <w:ilvl w:val="3"/>
          <w:numId w:val="2"/>
        </w:numPr>
        <w:tabs>
          <w:tab w:val="left" w:pos="-1920"/>
        </w:tabs>
        <w:snapToGrid w:val="0"/>
        <w:spacing w:beforeLines="15" w:before="36" w:afterLines="15" w:after="36" w:line="440" w:lineRule="exact"/>
        <w:ind w:leftChars="472" w:left="1416" w:hangingChars="101" w:hanging="283"/>
        <w:jc w:val="both"/>
        <w:outlineLvl w:val="2"/>
        <w:rPr>
          <w:rFonts w:ascii="標楷體" w:eastAsia="標楷體" w:hAnsi="標楷體"/>
          <w:bCs/>
          <w:sz w:val="28"/>
          <w:szCs w:val="36"/>
        </w:rPr>
      </w:pPr>
      <w:r w:rsidRPr="002A4102">
        <w:rPr>
          <w:rFonts w:ascii="標楷體" w:eastAsia="標楷體" w:hAnsi="標楷體"/>
          <w:bCs/>
          <w:sz w:val="28"/>
          <w:szCs w:val="36"/>
        </w:rPr>
        <w:t>國際原子能機構</w:t>
      </w:r>
      <w:r w:rsidR="00BD14E7" w:rsidRPr="002A4102">
        <w:rPr>
          <w:rFonts w:ascii="標楷體" w:eastAsia="標楷體" w:hAnsi="標楷體"/>
          <w:bCs/>
          <w:sz w:val="28"/>
          <w:szCs w:val="36"/>
        </w:rPr>
        <w:t>(</w:t>
      </w:r>
      <w:r w:rsidRPr="002A4102">
        <w:rPr>
          <w:rFonts w:ascii="標楷體" w:eastAsia="標楷體" w:hAnsi="標楷體"/>
          <w:bCs/>
          <w:sz w:val="28"/>
          <w:szCs w:val="36"/>
        </w:rPr>
        <w:t>IAEA</w:t>
      </w:r>
      <w:r w:rsidR="00BD14E7" w:rsidRPr="002A4102">
        <w:rPr>
          <w:rFonts w:ascii="標楷體" w:eastAsia="標楷體" w:hAnsi="標楷體"/>
          <w:bCs/>
          <w:sz w:val="28"/>
          <w:szCs w:val="36"/>
        </w:rPr>
        <w:t>)</w:t>
      </w:r>
      <w:r w:rsidRPr="002A4102">
        <w:rPr>
          <w:rFonts w:ascii="標楷體" w:eastAsia="標楷體" w:hAnsi="標楷體"/>
          <w:bCs/>
          <w:sz w:val="28"/>
          <w:szCs w:val="36"/>
        </w:rPr>
        <w:t>發布</w:t>
      </w:r>
      <w:r w:rsidR="00566602">
        <w:rPr>
          <w:rFonts w:ascii="標楷體" w:eastAsia="標楷體" w:hAnsi="標楷體"/>
          <w:bCs/>
          <w:sz w:val="28"/>
          <w:szCs w:val="36"/>
        </w:rPr>
        <w:t>小型模組化反應器(SMR)</w:t>
      </w:r>
      <w:r w:rsidRPr="002A4102">
        <w:rPr>
          <w:rFonts w:ascii="標楷體" w:eastAsia="標楷體" w:hAnsi="標楷體"/>
          <w:bCs/>
          <w:sz w:val="28"/>
          <w:szCs w:val="36"/>
        </w:rPr>
        <w:t>安全標準</w:t>
      </w:r>
      <w:r w:rsidRPr="002A4102">
        <w:rPr>
          <w:rFonts w:ascii="標楷體" w:eastAsia="標楷體" w:hAnsi="標楷體"/>
          <w:bCs/>
          <w:sz w:val="28"/>
          <w:szCs w:val="36"/>
        </w:rPr>
        <w:lastRenderedPageBreak/>
        <w:t>和指南，為各國提供參考。</w:t>
      </w:r>
    </w:p>
    <w:p w14:paraId="2A1962C6" w14:textId="6D41B3AD" w:rsidR="007A70CF" w:rsidRPr="002A4102" w:rsidRDefault="007A70CF" w:rsidP="009C4EE0">
      <w:pPr>
        <w:pStyle w:val="af4"/>
        <w:numPr>
          <w:ilvl w:val="3"/>
          <w:numId w:val="2"/>
        </w:numPr>
        <w:tabs>
          <w:tab w:val="left" w:pos="-1920"/>
        </w:tabs>
        <w:snapToGrid w:val="0"/>
        <w:spacing w:beforeLines="15" w:before="36" w:afterLines="15" w:after="36" w:line="440" w:lineRule="exact"/>
        <w:ind w:leftChars="472" w:left="1416" w:hangingChars="101" w:hanging="283"/>
        <w:jc w:val="both"/>
        <w:outlineLvl w:val="2"/>
        <w:rPr>
          <w:rFonts w:ascii="標楷體" w:eastAsia="標楷體" w:hAnsi="標楷體"/>
          <w:bCs/>
          <w:sz w:val="28"/>
          <w:szCs w:val="36"/>
        </w:rPr>
      </w:pPr>
      <w:r w:rsidRPr="002A4102">
        <w:rPr>
          <w:rFonts w:ascii="標楷體" w:eastAsia="標楷體" w:hAnsi="標楷體"/>
          <w:bCs/>
          <w:sz w:val="28"/>
          <w:szCs w:val="36"/>
        </w:rPr>
        <w:t>美國、加拿大已建立較為完善的</w:t>
      </w:r>
      <w:r w:rsidR="00566602">
        <w:rPr>
          <w:rFonts w:ascii="標楷體" w:eastAsia="標楷體" w:hAnsi="標楷體"/>
          <w:bCs/>
          <w:sz w:val="28"/>
          <w:szCs w:val="36"/>
        </w:rPr>
        <w:t>小型模組化反應器(SMR)</w:t>
      </w:r>
      <w:r w:rsidRPr="002A4102">
        <w:rPr>
          <w:rFonts w:ascii="標楷體" w:eastAsia="標楷體" w:hAnsi="標楷體"/>
          <w:bCs/>
          <w:sz w:val="28"/>
          <w:szCs w:val="36"/>
        </w:rPr>
        <w:t>監管框架。</w:t>
      </w:r>
    </w:p>
    <w:p w14:paraId="2AEF00E6" w14:textId="150974E3" w:rsidR="007A70CF" w:rsidRPr="002A4102" w:rsidRDefault="003A69C0" w:rsidP="009C4EE0">
      <w:pPr>
        <w:pStyle w:val="af4"/>
        <w:numPr>
          <w:ilvl w:val="3"/>
          <w:numId w:val="2"/>
        </w:numPr>
        <w:tabs>
          <w:tab w:val="left" w:pos="-1920"/>
        </w:tabs>
        <w:snapToGrid w:val="0"/>
        <w:spacing w:beforeLines="15" w:before="36" w:afterLines="15" w:after="36" w:line="440" w:lineRule="exact"/>
        <w:ind w:leftChars="472" w:left="1416" w:hangingChars="101" w:hanging="283"/>
        <w:jc w:val="both"/>
        <w:outlineLvl w:val="2"/>
        <w:rPr>
          <w:rFonts w:ascii="標楷體" w:eastAsia="標楷體" w:hAnsi="標楷體"/>
          <w:bCs/>
          <w:sz w:val="28"/>
          <w:szCs w:val="36"/>
        </w:rPr>
      </w:pPr>
      <w:r>
        <w:rPr>
          <w:rFonts w:ascii="標楷體" w:eastAsia="標楷體" w:hAnsi="標楷體" w:hint="eastAsia"/>
          <w:bCs/>
          <w:sz w:val="28"/>
          <w:szCs w:val="36"/>
        </w:rPr>
        <w:t>日本</w:t>
      </w:r>
      <w:r w:rsidR="007A70CF" w:rsidRPr="002A4102">
        <w:rPr>
          <w:rFonts w:ascii="標楷體" w:eastAsia="標楷體" w:hAnsi="標楷體"/>
          <w:bCs/>
          <w:sz w:val="28"/>
          <w:szCs w:val="36"/>
        </w:rPr>
        <w:t>、韓國</w:t>
      </w:r>
      <w:r>
        <w:rPr>
          <w:rFonts w:ascii="標楷體" w:eastAsia="標楷體" w:hAnsi="標楷體" w:hint="eastAsia"/>
          <w:bCs/>
          <w:sz w:val="28"/>
          <w:szCs w:val="36"/>
        </w:rPr>
        <w:t>及中國</w:t>
      </w:r>
      <w:r w:rsidR="007A70CF" w:rsidRPr="002A4102">
        <w:rPr>
          <w:rFonts w:ascii="標楷體" w:eastAsia="標楷體" w:hAnsi="標楷體"/>
          <w:bCs/>
          <w:sz w:val="28"/>
          <w:szCs w:val="36"/>
        </w:rPr>
        <w:t>正在積極制定</w:t>
      </w:r>
      <w:r w:rsidR="00566602">
        <w:rPr>
          <w:rFonts w:ascii="標楷體" w:eastAsia="標楷體" w:hAnsi="標楷體"/>
          <w:bCs/>
          <w:sz w:val="28"/>
          <w:szCs w:val="36"/>
        </w:rPr>
        <w:t>小型模組化反應器(SMR)</w:t>
      </w:r>
      <w:r w:rsidR="007A70CF" w:rsidRPr="002A4102">
        <w:rPr>
          <w:rFonts w:ascii="標楷體" w:eastAsia="標楷體" w:hAnsi="標楷體"/>
          <w:bCs/>
          <w:sz w:val="28"/>
          <w:szCs w:val="36"/>
        </w:rPr>
        <w:t>監管政策。</w:t>
      </w:r>
    </w:p>
    <w:p w14:paraId="29B18499" w14:textId="4FE7E26A" w:rsidR="007A70CF" w:rsidRPr="002A4102" w:rsidRDefault="00B7306C" w:rsidP="009C4EE0">
      <w:pPr>
        <w:numPr>
          <w:ilvl w:val="2"/>
          <w:numId w:val="2"/>
        </w:numPr>
        <w:tabs>
          <w:tab w:val="left" w:pos="-1920"/>
        </w:tabs>
        <w:snapToGrid w:val="0"/>
        <w:spacing w:beforeLines="15" w:before="36" w:afterLines="15" w:after="36" w:line="440" w:lineRule="exact"/>
        <w:ind w:left="1333" w:hanging="482"/>
        <w:jc w:val="both"/>
        <w:outlineLvl w:val="2"/>
        <w:rPr>
          <w:rFonts w:ascii="標楷體" w:eastAsia="標楷體" w:hAnsi="標楷體"/>
          <w:bCs/>
          <w:sz w:val="28"/>
          <w:szCs w:val="36"/>
        </w:rPr>
      </w:pPr>
      <w:r w:rsidRPr="002A4102">
        <w:rPr>
          <w:rFonts w:ascii="標楷體" w:eastAsia="標楷體" w:hAnsi="標楷體" w:hint="eastAsia"/>
          <w:bCs/>
          <w:sz w:val="28"/>
          <w:szCs w:val="36"/>
        </w:rPr>
        <w:t>相關課題</w:t>
      </w:r>
    </w:p>
    <w:p w14:paraId="1A38AEE9" w14:textId="77777777" w:rsidR="007A70CF" w:rsidRPr="002A4102" w:rsidRDefault="007A70CF" w:rsidP="009C4EE0">
      <w:pPr>
        <w:pStyle w:val="af4"/>
        <w:numPr>
          <w:ilvl w:val="3"/>
          <w:numId w:val="2"/>
        </w:numPr>
        <w:tabs>
          <w:tab w:val="left" w:pos="-1920"/>
        </w:tabs>
        <w:snapToGrid w:val="0"/>
        <w:spacing w:beforeLines="15" w:before="36" w:afterLines="15" w:after="36" w:line="440" w:lineRule="exact"/>
        <w:ind w:leftChars="472" w:left="1416" w:hangingChars="101" w:hanging="283"/>
        <w:jc w:val="both"/>
        <w:outlineLvl w:val="2"/>
        <w:rPr>
          <w:rFonts w:ascii="標楷體" w:eastAsia="標楷體" w:hAnsi="標楷體"/>
          <w:bCs/>
          <w:sz w:val="28"/>
          <w:szCs w:val="36"/>
        </w:rPr>
      </w:pPr>
      <w:r w:rsidRPr="002A4102">
        <w:rPr>
          <w:rFonts w:ascii="標楷體" w:eastAsia="標楷體" w:hAnsi="標楷體"/>
          <w:bCs/>
          <w:sz w:val="28"/>
          <w:szCs w:val="36"/>
        </w:rPr>
        <w:t>LWSMR材料研究：針對LWSMR環境下的材料老化、腐蝕等問題，開展材料研發和性能驗證，探索新材料應用潛力。</w:t>
      </w:r>
    </w:p>
    <w:p w14:paraId="0B9AE582" w14:textId="78297E47" w:rsidR="007A70CF" w:rsidRPr="002A4102" w:rsidRDefault="007A70CF" w:rsidP="009C4EE0">
      <w:pPr>
        <w:pStyle w:val="af4"/>
        <w:numPr>
          <w:ilvl w:val="3"/>
          <w:numId w:val="2"/>
        </w:numPr>
        <w:tabs>
          <w:tab w:val="left" w:pos="-1920"/>
        </w:tabs>
        <w:snapToGrid w:val="0"/>
        <w:spacing w:beforeLines="15" w:before="36" w:afterLines="15" w:after="36" w:line="440" w:lineRule="exact"/>
        <w:ind w:leftChars="472" w:left="1416" w:hangingChars="101" w:hanging="283"/>
        <w:jc w:val="both"/>
        <w:outlineLvl w:val="2"/>
        <w:rPr>
          <w:rFonts w:ascii="標楷體" w:eastAsia="標楷體" w:hAnsi="標楷體"/>
          <w:bCs/>
          <w:sz w:val="28"/>
          <w:szCs w:val="36"/>
        </w:rPr>
      </w:pPr>
      <w:r w:rsidRPr="002A4102">
        <w:rPr>
          <w:rFonts w:ascii="標楷體" w:eastAsia="標楷體" w:hAnsi="標楷體"/>
          <w:bCs/>
          <w:sz w:val="28"/>
          <w:szCs w:val="36"/>
        </w:rPr>
        <w:t>事故分析與風險評估：深入研究</w:t>
      </w:r>
      <w:r w:rsidR="00566602">
        <w:rPr>
          <w:rFonts w:ascii="標楷體" w:eastAsia="標楷體" w:hAnsi="標楷體"/>
          <w:bCs/>
          <w:sz w:val="28"/>
          <w:szCs w:val="36"/>
        </w:rPr>
        <w:t>小型模組化反應器(SMR)</w:t>
      </w:r>
      <w:r w:rsidRPr="002A4102">
        <w:rPr>
          <w:rFonts w:ascii="標楷體" w:eastAsia="標楷體" w:hAnsi="標楷體"/>
          <w:bCs/>
          <w:sz w:val="28"/>
          <w:szCs w:val="36"/>
        </w:rPr>
        <w:t>事故序列和後果，完善概率風險評估模型，為安全設計和應急準備提供依據。</w:t>
      </w:r>
    </w:p>
    <w:p w14:paraId="50635CEE" w14:textId="77777777" w:rsidR="007A70CF" w:rsidRPr="002A4102" w:rsidRDefault="007A70CF" w:rsidP="009C4EE0">
      <w:pPr>
        <w:pStyle w:val="af4"/>
        <w:numPr>
          <w:ilvl w:val="3"/>
          <w:numId w:val="2"/>
        </w:numPr>
        <w:tabs>
          <w:tab w:val="left" w:pos="-1920"/>
        </w:tabs>
        <w:snapToGrid w:val="0"/>
        <w:spacing w:beforeLines="15" w:before="36" w:afterLines="15" w:after="36" w:line="440" w:lineRule="exact"/>
        <w:ind w:leftChars="472" w:left="1416" w:hangingChars="101" w:hanging="283"/>
        <w:jc w:val="both"/>
        <w:outlineLvl w:val="2"/>
        <w:rPr>
          <w:rFonts w:ascii="標楷體" w:eastAsia="標楷體" w:hAnsi="標楷體"/>
          <w:bCs/>
          <w:sz w:val="28"/>
          <w:szCs w:val="36"/>
        </w:rPr>
      </w:pPr>
      <w:r w:rsidRPr="002A4102">
        <w:rPr>
          <w:rFonts w:ascii="標楷體" w:eastAsia="標楷體" w:hAnsi="標楷體"/>
          <w:bCs/>
          <w:sz w:val="28"/>
          <w:szCs w:val="36"/>
        </w:rPr>
        <w:t>多模組SMR安全：研究多模組SMR之間的相互影響和事故傳播機制，制定相應的安全要求和應對策略。</w:t>
      </w:r>
    </w:p>
    <w:p w14:paraId="0EF0F2DA" w14:textId="6E733163" w:rsidR="007A70CF" w:rsidRPr="002A4102" w:rsidRDefault="007A70CF" w:rsidP="009C4EE0">
      <w:pPr>
        <w:pStyle w:val="af4"/>
        <w:numPr>
          <w:ilvl w:val="3"/>
          <w:numId w:val="2"/>
        </w:numPr>
        <w:tabs>
          <w:tab w:val="left" w:pos="-1920"/>
        </w:tabs>
        <w:snapToGrid w:val="0"/>
        <w:spacing w:beforeLines="15" w:before="36" w:afterLines="15" w:after="36" w:line="440" w:lineRule="exact"/>
        <w:ind w:leftChars="472" w:left="1416" w:hangingChars="101" w:hanging="283"/>
        <w:jc w:val="both"/>
        <w:outlineLvl w:val="2"/>
        <w:rPr>
          <w:rFonts w:ascii="標楷體" w:eastAsia="標楷體" w:hAnsi="標楷體"/>
          <w:bCs/>
          <w:sz w:val="28"/>
          <w:szCs w:val="36"/>
        </w:rPr>
      </w:pPr>
      <w:r w:rsidRPr="002A4102">
        <w:rPr>
          <w:rFonts w:ascii="標楷體" w:eastAsia="標楷體" w:hAnsi="標楷體"/>
          <w:bCs/>
          <w:sz w:val="28"/>
          <w:szCs w:val="36"/>
        </w:rPr>
        <w:t>特殊選址</w:t>
      </w:r>
      <w:r w:rsidR="00566602">
        <w:rPr>
          <w:rFonts w:ascii="標楷體" w:eastAsia="標楷體" w:hAnsi="標楷體"/>
          <w:bCs/>
          <w:sz w:val="28"/>
          <w:szCs w:val="36"/>
        </w:rPr>
        <w:t>小型模組化反應器(SMR)</w:t>
      </w:r>
      <w:r w:rsidRPr="002A4102">
        <w:rPr>
          <w:rFonts w:ascii="標楷體" w:eastAsia="標楷體" w:hAnsi="標楷體"/>
          <w:bCs/>
          <w:sz w:val="28"/>
          <w:szCs w:val="36"/>
        </w:rPr>
        <w:t>安全：針對地下、海上等特殊選址SMR，研究其獨特風險和安全挑戰，提出相應的設計和運維要求。</w:t>
      </w:r>
    </w:p>
    <w:p w14:paraId="4CA1473F" w14:textId="778D2946" w:rsidR="007A70CF" w:rsidRPr="002A4102" w:rsidRDefault="00566602" w:rsidP="009C4EE0">
      <w:pPr>
        <w:pStyle w:val="af4"/>
        <w:numPr>
          <w:ilvl w:val="3"/>
          <w:numId w:val="2"/>
        </w:numPr>
        <w:tabs>
          <w:tab w:val="left" w:pos="-1920"/>
        </w:tabs>
        <w:snapToGrid w:val="0"/>
        <w:spacing w:beforeLines="15" w:before="36" w:afterLines="15" w:after="36" w:line="440" w:lineRule="exact"/>
        <w:ind w:leftChars="472" w:left="1416" w:hangingChars="101" w:hanging="283"/>
        <w:jc w:val="both"/>
        <w:outlineLvl w:val="2"/>
        <w:rPr>
          <w:rFonts w:ascii="標楷體" w:eastAsia="標楷體" w:hAnsi="標楷體"/>
          <w:bCs/>
          <w:sz w:val="28"/>
          <w:szCs w:val="36"/>
        </w:rPr>
      </w:pPr>
      <w:r>
        <w:rPr>
          <w:rFonts w:ascii="標楷體" w:eastAsia="標楷體" w:hAnsi="標楷體"/>
          <w:bCs/>
          <w:sz w:val="28"/>
          <w:szCs w:val="36"/>
        </w:rPr>
        <w:t>小型模組化反應器(SMR)</w:t>
      </w:r>
      <w:r w:rsidR="007A70CF" w:rsidRPr="002A4102">
        <w:rPr>
          <w:rFonts w:ascii="標楷體" w:eastAsia="標楷體" w:hAnsi="標楷體"/>
          <w:bCs/>
          <w:sz w:val="28"/>
          <w:szCs w:val="36"/>
        </w:rPr>
        <w:t>監管體系建設：借鑒國際經驗，結合我國實際情況，構建科學、高效的</w:t>
      </w:r>
      <w:r>
        <w:rPr>
          <w:rFonts w:ascii="標楷體" w:eastAsia="標楷體" w:hAnsi="標楷體"/>
          <w:bCs/>
          <w:sz w:val="28"/>
          <w:szCs w:val="36"/>
        </w:rPr>
        <w:t>小型模組化反應器(SMR)</w:t>
      </w:r>
      <w:r w:rsidR="007A70CF" w:rsidRPr="002A4102">
        <w:rPr>
          <w:rFonts w:ascii="標楷體" w:eastAsia="標楷體" w:hAnsi="標楷體"/>
          <w:bCs/>
          <w:sz w:val="28"/>
          <w:szCs w:val="36"/>
        </w:rPr>
        <w:t>監管體系。</w:t>
      </w:r>
    </w:p>
    <w:p w14:paraId="5DF8C4A3" w14:textId="29E7EFDA" w:rsidR="00FC7D44" w:rsidRPr="00DF3DBD" w:rsidRDefault="007A70CF" w:rsidP="009C4EE0">
      <w:pPr>
        <w:numPr>
          <w:ilvl w:val="0"/>
          <w:numId w:val="2"/>
        </w:numPr>
        <w:tabs>
          <w:tab w:val="left" w:pos="-1920"/>
        </w:tabs>
        <w:snapToGrid w:val="0"/>
        <w:spacing w:beforeLines="15" w:before="36" w:afterLines="15" w:after="36" w:line="440" w:lineRule="exact"/>
        <w:jc w:val="both"/>
        <w:outlineLvl w:val="0"/>
        <w:rPr>
          <w:rFonts w:ascii="標楷體" w:eastAsia="標楷體" w:hAnsi="標楷體"/>
          <w:bCs/>
          <w:spacing w:val="-10"/>
          <w:sz w:val="28"/>
          <w:szCs w:val="28"/>
        </w:rPr>
      </w:pPr>
      <w:bookmarkStart w:id="24" w:name="_Toc185412384"/>
      <w:bookmarkStart w:id="25" w:name="_Toc185605558"/>
      <w:r w:rsidRPr="00DF3DBD">
        <w:rPr>
          <w:rFonts w:ascii="標楷體" w:eastAsia="標楷體" w:hAnsi="標楷體" w:hint="eastAsia"/>
          <w:bCs/>
          <w:spacing w:val="-10"/>
          <w:sz w:val="28"/>
          <w:szCs w:val="28"/>
        </w:rPr>
        <w:t>考察事項</w:t>
      </w:r>
      <w:bookmarkEnd w:id="18"/>
      <w:bookmarkEnd w:id="24"/>
      <w:bookmarkEnd w:id="25"/>
    </w:p>
    <w:p w14:paraId="14ECF300" w14:textId="25C4AD9E" w:rsidR="00AF1EB4" w:rsidRPr="002A4102" w:rsidRDefault="00BD6BCA" w:rsidP="009C4EE0">
      <w:pPr>
        <w:numPr>
          <w:ilvl w:val="1"/>
          <w:numId w:val="2"/>
        </w:numPr>
        <w:tabs>
          <w:tab w:val="left" w:pos="-1920"/>
        </w:tabs>
        <w:snapToGrid w:val="0"/>
        <w:spacing w:beforeLines="15" w:before="36" w:afterLines="15" w:after="36" w:line="440" w:lineRule="exact"/>
        <w:jc w:val="both"/>
        <w:outlineLvl w:val="0"/>
        <w:rPr>
          <w:rFonts w:ascii="標楷體" w:eastAsia="標楷體" w:hAnsi="標楷體"/>
          <w:bCs/>
          <w:spacing w:val="-10"/>
          <w:sz w:val="28"/>
          <w:szCs w:val="28"/>
        </w:rPr>
      </w:pPr>
      <w:bookmarkStart w:id="26" w:name="_Toc185412385"/>
      <w:bookmarkStart w:id="27" w:name="_Toc142463765"/>
      <w:r w:rsidRPr="002A4102">
        <w:rPr>
          <w:rFonts w:ascii="標楷體" w:eastAsia="標楷體" w:hAnsi="標楷體" w:hint="eastAsia"/>
          <w:bCs/>
          <w:spacing w:val="-10"/>
          <w:sz w:val="28"/>
          <w:szCs w:val="28"/>
        </w:rPr>
        <w:t>參訪東京電力公司</w:t>
      </w:r>
      <w:bookmarkEnd w:id="26"/>
    </w:p>
    <w:p w14:paraId="7485F847" w14:textId="4C799165" w:rsidR="002F0FC3" w:rsidRPr="002F0FC3" w:rsidRDefault="002F0FC3" w:rsidP="007748E4">
      <w:pPr>
        <w:snapToGrid w:val="0"/>
        <w:spacing w:beforeLines="15" w:before="36" w:afterLines="15" w:after="36" w:line="440" w:lineRule="exact"/>
        <w:ind w:leftChars="318" w:left="763" w:firstLineChars="200" w:firstLine="560"/>
        <w:jc w:val="both"/>
        <w:rPr>
          <w:rFonts w:ascii="標楷體" w:eastAsia="標楷體" w:hAnsi="標楷體"/>
          <w:bCs/>
          <w:color w:val="000000" w:themeColor="text1"/>
          <w:sz w:val="28"/>
          <w:szCs w:val="36"/>
        </w:rPr>
      </w:pPr>
      <w:r w:rsidRPr="002F0FC3">
        <w:rPr>
          <w:rFonts w:ascii="標楷體" w:eastAsia="標楷體" w:hAnsi="標楷體"/>
          <w:bCs/>
          <w:color w:val="000000" w:themeColor="text1"/>
          <w:sz w:val="28"/>
          <w:szCs w:val="36"/>
        </w:rPr>
        <w:t>為深入瞭解日本核能安全管理現況及汲取福島核災經驗，</w:t>
      </w:r>
      <w:r>
        <w:rPr>
          <w:rFonts w:ascii="標楷體" w:eastAsia="標楷體" w:hAnsi="標楷體" w:hint="eastAsia"/>
          <w:bCs/>
          <w:color w:val="000000" w:themeColor="text1"/>
          <w:sz w:val="28"/>
          <w:szCs w:val="36"/>
        </w:rPr>
        <w:t>監察院</w:t>
      </w:r>
      <w:r w:rsidRPr="002F0FC3">
        <w:rPr>
          <w:rFonts w:ascii="標楷體" w:eastAsia="標楷體" w:hAnsi="標楷體"/>
          <w:bCs/>
          <w:color w:val="000000" w:themeColor="text1"/>
          <w:sz w:val="28"/>
          <w:szCs w:val="36"/>
        </w:rPr>
        <w:t>於113年12月</w:t>
      </w:r>
      <w:r>
        <w:rPr>
          <w:rFonts w:ascii="標楷體" w:eastAsia="標楷體" w:hAnsi="標楷體" w:hint="eastAsia"/>
          <w:bCs/>
          <w:color w:val="000000" w:themeColor="text1"/>
          <w:sz w:val="28"/>
          <w:szCs w:val="36"/>
        </w:rPr>
        <w:t>3</w:t>
      </w:r>
      <w:r w:rsidRPr="002F0FC3">
        <w:rPr>
          <w:rFonts w:ascii="標楷體" w:eastAsia="標楷體" w:hAnsi="標楷體"/>
          <w:bCs/>
          <w:color w:val="000000" w:themeColor="text1"/>
          <w:sz w:val="28"/>
          <w:szCs w:val="36"/>
        </w:rPr>
        <w:t>日展開為期</w:t>
      </w:r>
      <w:r>
        <w:rPr>
          <w:rFonts w:ascii="標楷體" w:eastAsia="標楷體" w:hAnsi="標楷體" w:hint="eastAsia"/>
          <w:bCs/>
          <w:color w:val="000000" w:themeColor="text1"/>
          <w:sz w:val="28"/>
          <w:szCs w:val="36"/>
        </w:rPr>
        <w:t>5</w:t>
      </w:r>
      <w:r w:rsidRPr="002F0FC3">
        <w:rPr>
          <w:rFonts w:ascii="標楷體" w:eastAsia="標楷體" w:hAnsi="標楷體"/>
          <w:bCs/>
          <w:color w:val="000000" w:themeColor="text1"/>
          <w:sz w:val="28"/>
          <w:szCs w:val="36"/>
        </w:rPr>
        <w:t>天之考察行程。首站</w:t>
      </w:r>
      <w:r>
        <w:rPr>
          <w:rFonts w:ascii="標楷體" w:eastAsia="標楷體" w:hAnsi="標楷體" w:hint="eastAsia"/>
          <w:bCs/>
          <w:color w:val="000000" w:themeColor="text1"/>
          <w:sz w:val="28"/>
          <w:szCs w:val="36"/>
        </w:rPr>
        <w:t>於12月4日</w:t>
      </w:r>
      <w:r w:rsidRPr="002F0FC3">
        <w:rPr>
          <w:rFonts w:ascii="標楷體" w:eastAsia="標楷體" w:hAnsi="標楷體"/>
          <w:bCs/>
          <w:color w:val="000000" w:themeColor="text1"/>
          <w:sz w:val="28"/>
          <w:szCs w:val="36"/>
        </w:rPr>
        <w:t>訪查東京電力公司廣報部，聽取其業務說明並就柏崎刈羽核電廠之事故應對措施進行深入分析。東京電力公司詳細介紹該廠區多項安全強化措施，包括：防止爐心熔毀的爐心冷卻系統、確保緊急狀態下穩定供電的電力供應保障措施，以及防止放射性物質外洩之相關設備等，展現其提升核安之決心。本次考察期盼藉由實地訪查與交流，深入瞭解日本核電廠之安全管理經驗，作為我國未來精進核能安全之重要參考依據。</w:t>
      </w:r>
    </w:p>
    <w:p w14:paraId="1514C47B" w14:textId="3458D737" w:rsidR="00AF1EB4" w:rsidRPr="007748E4" w:rsidRDefault="00AF1EB4" w:rsidP="009C4EE0">
      <w:pPr>
        <w:numPr>
          <w:ilvl w:val="2"/>
          <w:numId w:val="2"/>
        </w:numPr>
        <w:tabs>
          <w:tab w:val="left" w:pos="-1920"/>
        </w:tabs>
        <w:snapToGrid w:val="0"/>
        <w:spacing w:beforeLines="15" w:before="36" w:afterLines="15" w:after="36" w:line="440" w:lineRule="exact"/>
        <w:jc w:val="both"/>
        <w:outlineLvl w:val="0"/>
        <w:rPr>
          <w:rFonts w:ascii="標楷體" w:eastAsia="標楷體" w:hAnsi="標楷體"/>
          <w:bCs/>
          <w:spacing w:val="-10"/>
          <w:sz w:val="28"/>
          <w:szCs w:val="28"/>
        </w:rPr>
      </w:pPr>
      <w:r w:rsidRPr="007748E4">
        <w:rPr>
          <w:rFonts w:ascii="標楷體" w:eastAsia="標楷體" w:hAnsi="標楷體"/>
          <w:bCs/>
          <w:spacing w:val="-10"/>
          <w:sz w:val="28"/>
          <w:szCs w:val="28"/>
        </w:rPr>
        <w:lastRenderedPageBreak/>
        <w:t>柏崎刈羽核能發電廠位於日本新潟縣，由東京電力公司營運，為世界最大的核能發電廠。自2011年福島第一核電廠事故後，柏崎刈羽核能發電廠便停止運作，進行安全檢查和設備升級</w:t>
      </w:r>
      <w:r w:rsidR="00BD6BCA" w:rsidRPr="007748E4">
        <w:rPr>
          <w:rFonts w:ascii="標楷體" w:eastAsia="標楷體" w:hAnsi="標楷體" w:hint="eastAsia"/>
          <w:bCs/>
          <w:spacing w:val="-10"/>
          <w:sz w:val="28"/>
          <w:szCs w:val="28"/>
        </w:rPr>
        <w:t>，本次考察旨在</w:t>
      </w:r>
      <w:r w:rsidRPr="007748E4">
        <w:rPr>
          <w:rFonts w:ascii="標楷體" w:eastAsia="標楷體" w:hAnsi="標楷體"/>
          <w:bCs/>
          <w:spacing w:val="-10"/>
          <w:sz w:val="28"/>
          <w:szCs w:val="28"/>
        </w:rPr>
        <w:t>探討該發電廠目前的安全措施，並</w:t>
      </w:r>
      <w:r w:rsidR="00BD6BCA" w:rsidRPr="007748E4">
        <w:rPr>
          <w:rFonts w:ascii="標楷體" w:eastAsia="標楷體" w:hAnsi="標楷體" w:hint="eastAsia"/>
          <w:bCs/>
          <w:spacing w:val="-10"/>
          <w:sz w:val="28"/>
          <w:szCs w:val="28"/>
        </w:rPr>
        <w:t>進行</w:t>
      </w:r>
      <w:r w:rsidRPr="007748E4">
        <w:rPr>
          <w:rFonts w:ascii="標楷體" w:eastAsia="標楷體" w:hAnsi="標楷體"/>
          <w:bCs/>
          <w:spacing w:val="-10"/>
          <w:sz w:val="28"/>
          <w:szCs w:val="28"/>
        </w:rPr>
        <w:t>相關議</w:t>
      </w:r>
      <w:r w:rsidR="00BD6BCA" w:rsidRPr="007748E4">
        <w:rPr>
          <w:rFonts w:ascii="標楷體" w:eastAsia="標楷體" w:hAnsi="標楷體" w:hint="eastAsia"/>
          <w:bCs/>
          <w:spacing w:val="-10"/>
          <w:sz w:val="28"/>
          <w:szCs w:val="28"/>
        </w:rPr>
        <w:t>題之交流，</w:t>
      </w:r>
      <w:r w:rsidR="00BD6BCA" w:rsidRPr="002A4102">
        <w:rPr>
          <w:rFonts w:ascii="標楷體" w:eastAsia="標楷體" w:hAnsi="標楷體"/>
          <w:bCs/>
          <w:spacing w:val="-10"/>
          <w:sz w:val="28"/>
          <w:szCs w:val="28"/>
        </w:rPr>
        <w:t>探討</w:t>
      </w:r>
      <w:r w:rsidR="00BD6BCA" w:rsidRPr="007748E4">
        <w:rPr>
          <w:rFonts w:ascii="標楷體" w:eastAsia="標楷體" w:hAnsi="標楷體"/>
          <w:bCs/>
          <w:spacing w:val="-10"/>
          <w:sz w:val="28"/>
          <w:szCs w:val="28"/>
        </w:rPr>
        <w:t>崎刈羽核能發電廠</w:t>
      </w:r>
      <w:r w:rsidR="00BD6BCA" w:rsidRPr="002A4102">
        <w:rPr>
          <w:rFonts w:ascii="標楷體" w:eastAsia="標楷體" w:hAnsi="標楷體" w:hint="eastAsia"/>
          <w:bCs/>
          <w:spacing w:val="-10"/>
          <w:sz w:val="28"/>
          <w:szCs w:val="28"/>
        </w:rPr>
        <w:t>「</w:t>
      </w:r>
      <w:r w:rsidRPr="007748E4">
        <w:rPr>
          <w:rFonts w:ascii="標楷體" w:eastAsia="標楷體" w:hAnsi="標楷體"/>
          <w:bCs/>
          <w:spacing w:val="-10"/>
          <w:sz w:val="28"/>
          <w:szCs w:val="28"/>
        </w:rPr>
        <w:t>海嘯和地震防護</w:t>
      </w:r>
      <w:r w:rsidR="00BD6BCA" w:rsidRPr="007748E4">
        <w:rPr>
          <w:rFonts w:ascii="標楷體" w:eastAsia="標楷體" w:hAnsi="標楷體" w:hint="eastAsia"/>
          <w:bCs/>
          <w:spacing w:val="-10"/>
          <w:sz w:val="28"/>
          <w:szCs w:val="28"/>
        </w:rPr>
        <w:t>」、「</w:t>
      </w:r>
      <w:r w:rsidRPr="007748E4">
        <w:rPr>
          <w:rFonts w:ascii="標楷體" w:eastAsia="標楷體" w:hAnsi="標楷體"/>
          <w:bCs/>
          <w:spacing w:val="-10"/>
          <w:sz w:val="28"/>
          <w:szCs w:val="28"/>
        </w:rPr>
        <w:t>電力供應安全</w:t>
      </w:r>
      <w:r w:rsidR="00BD6BCA" w:rsidRPr="007748E4">
        <w:rPr>
          <w:rFonts w:ascii="標楷體" w:eastAsia="標楷體" w:hAnsi="標楷體" w:hint="eastAsia"/>
          <w:bCs/>
          <w:spacing w:val="-10"/>
          <w:sz w:val="28"/>
          <w:szCs w:val="28"/>
        </w:rPr>
        <w:t>」、「</w:t>
      </w:r>
      <w:r w:rsidRPr="007748E4">
        <w:rPr>
          <w:rFonts w:ascii="標楷體" w:eastAsia="標楷體" w:hAnsi="標楷體"/>
          <w:bCs/>
          <w:spacing w:val="-10"/>
          <w:sz w:val="28"/>
          <w:szCs w:val="28"/>
        </w:rPr>
        <w:t>冷卻系統安全</w:t>
      </w:r>
      <w:r w:rsidR="00BD6BCA" w:rsidRPr="007748E4">
        <w:rPr>
          <w:rFonts w:ascii="標楷體" w:eastAsia="標楷體" w:hAnsi="標楷體" w:hint="eastAsia"/>
          <w:bCs/>
          <w:spacing w:val="-10"/>
          <w:sz w:val="28"/>
          <w:szCs w:val="28"/>
        </w:rPr>
        <w:t>」、「</w:t>
      </w:r>
      <w:r w:rsidRPr="007748E4">
        <w:rPr>
          <w:rFonts w:ascii="標楷體" w:eastAsia="標楷體" w:hAnsi="標楷體"/>
          <w:bCs/>
          <w:spacing w:val="-10"/>
          <w:sz w:val="28"/>
          <w:szCs w:val="28"/>
        </w:rPr>
        <w:t>放射性物質擴散抑制</w:t>
      </w:r>
      <w:r w:rsidR="00BD6BCA" w:rsidRPr="007748E4">
        <w:rPr>
          <w:rFonts w:ascii="標楷體" w:eastAsia="標楷體" w:hAnsi="標楷體" w:hint="eastAsia"/>
          <w:bCs/>
          <w:spacing w:val="-10"/>
          <w:sz w:val="28"/>
          <w:szCs w:val="28"/>
        </w:rPr>
        <w:t>」，及其在</w:t>
      </w:r>
      <w:r w:rsidR="00BD6BCA" w:rsidRPr="002A4102">
        <w:rPr>
          <w:rFonts w:ascii="標楷體" w:eastAsia="標楷體" w:hAnsi="標楷體"/>
          <w:bCs/>
          <w:spacing w:val="-10"/>
          <w:sz w:val="28"/>
          <w:szCs w:val="28"/>
        </w:rPr>
        <w:t>人員訓練、安全文化和資訊透明度方面的提升措施</w:t>
      </w:r>
      <w:r w:rsidR="00BD6BCA" w:rsidRPr="007748E4">
        <w:rPr>
          <w:rFonts w:ascii="標楷體" w:eastAsia="標楷體" w:hAnsi="標楷體" w:hint="eastAsia"/>
          <w:bCs/>
          <w:spacing w:val="-10"/>
          <w:sz w:val="28"/>
          <w:szCs w:val="28"/>
        </w:rPr>
        <w:t>。</w:t>
      </w:r>
    </w:p>
    <w:p w14:paraId="34AD3930" w14:textId="3169500F" w:rsidR="000B1B26" w:rsidRPr="002A4102" w:rsidRDefault="000B1B26" w:rsidP="00505E43">
      <w:pPr>
        <w:tabs>
          <w:tab w:val="left" w:pos="-1920"/>
        </w:tabs>
        <w:snapToGrid w:val="0"/>
        <w:spacing w:beforeLines="15" w:before="36" w:afterLines="15" w:after="36"/>
        <w:jc w:val="center"/>
        <w:outlineLvl w:val="2"/>
        <w:rPr>
          <w:rFonts w:ascii="標楷體" w:eastAsia="標楷體" w:hAnsi="標楷體"/>
          <w:bCs/>
          <w:sz w:val="28"/>
          <w:szCs w:val="36"/>
        </w:rPr>
      </w:pPr>
      <w:r w:rsidRPr="002A4102">
        <w:rPr>
          <w:rFonts w:ascii="標楷體" w:eastAsia="標楷體" w:hAnsi="標楷體"/>
          <w:bCs/>
          <w:noProof/>
          <w:sz w:val="28"/>
          <w:szCs w:val="36"/>
        </w:rPr>
        <w:drawing>
          <wp:inline distT="0" distB="0" distL="0" distR="0" wp14:anchorId="30311D60" wp14:editId="35A98F52">
            <wp:extent cx="5193792" cy="3631817"/>
            <wp:effectExtent l="0" t="0" r="6985" b="6985"/>
            <wp:docPr id="131944923" name="圖片 1" descr="一張含有 地圖, 文字, 地圖集, 字型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44923" name="圖片 1" descr="一張含有 地圖, 文字, 地圖集, 字型 的圖片&#10;&#10;自動產生的描述"/>
                    <pic:cNvPicPr/>
                  </pic:nvPicPr>
                  <pic:blipFill>
                    <a:blip r:embed="rId11">
                      <a:extLst>
                        <a:ext uri="{28A0092B-C50C-407E-A947-70E740481C1C}">
                          <a14:useLocalDpi xmlns:a14="http://schemas.microsoft.com/office/drawing/2010/main" val="0"/>
                        </a:ext>
                      </a:extLst>
                    </a:blip>
                    <a:stretch>
                      <a:fillRect/>
                    </a:stretch>
                  </pic:blipFill>
                  <pic:spPr>
                    <a:xfrm>
                      <a:off x="0" y="0"/>
                      <a:ext cx="5197895" cy="3634686"/>
                    </a:xfrm>
                    <a:prstGeom prst="rect">
                      <a:avLst/>
                    </a:prstGeom>
                  </pic:spPr>
                </pic:pic>
              </a:graphicData>
            </a:graphic>
          </wp:inline>
        </w:drawing>
      </w:r>
    </w:p>
    <w:p w14:paraId="66D931D9" w14:textId="56CBE746" w:rsidR="000B1B26" w:rsidRPr="002A4102" w:rsidRDefault="000B1B26" w:rsidP="00E96C66">
      <w:pPr>
        <w:pStyle w:val="a1"/>
      </w:pPr>
      <w:bookmarkStart w:id="28" w:name="_Toc185426103"/>
      <w:bookmarkStart w:id="29" w:name="_Toc185605707"/>
      <w:bookmarkStart w:id="30" w:name="_Toc186029826"/>
      <w:r w:rsidRPr="002A4102">
        <w:t>柏崎刈羽</w:t>
      </w:r>
      <w:r w:rsidRPr="002A4102">
        <w:rPr>
          <w:bCs/>
          <w:szCs w:val="32"/>
        </w:rPr>
        <w:t>核能</w:t>
      </w:r>
      <w:r w:rsidRPr="002A4102">
        <w:t>發電廠</w:t>
      </w:r>
      <w:r w:rsidRPr="002A4102">
        <w:rPr>
          <w:rFonts w:hint="eastAsia"/>
        </w:rPr>
        <w:t>位置示意圖</w:t>
      </w:r>
      <w:bookmarkEnd w:id="28"/>
      <w:bookmarkEnd w:id="29"/>
      <w:bookmarkEnd w:id="30"/>
    </w:p>
    <w:p w14:paraId="47466C30" w14:textId="29607D1E" w:rsidR="00FD3C44" w:rsidRPr="00FD3C44" w:rsidRDefault="00FD3C44" w:rsidP="00235C5E">
      <w:pPr>
        <w:pStyle w:val="a"/>
      </w:pPr>
      <w:bookmarkStart w:id="31" w:name="_Toc185426442"/>
      <w:bookmarkStart w:id="32" w:name="_Toc185605753"/>
      <w:r w:rsidRPr="002A4102">
        <w:t>柏崎刈羽</w:t>
      </w:r>
      <w:r w:rsidRPr="002A4102">
        <w:rPr>
          <w:bCs/>
          <w:szCs w:val="32"/>
        </w:rPr>
        <w:t>核能</w:t>
      </w:r>
      <w:r w:rsidRPr="002A4102">
        <w:t>發電廠</w:t>
      </w:r>
      <w:r w:rsidRPr="002A4102">
        <w:rPr>
          <w:rFonts w:hint="eastAsia"/>
        </w:rPr>
        <w:t>之發電設備概要表</w:t>
      </w:r>
      <w:bookmarkEnd w:id="31"/>
      <w:bookmarkEnd w:id="32"/>
    </w:p>
    <w:tbl>
      <w:tblPr>
        <w:tblStyle w:val="aff1"/>
        <w:tblW w:w="0" w:type="auto"/>
        <w:tblInd w:w="45" w:type="dxa"/>
        <w:tblLook w:val="04A0" w:firstRow="1" w:lastRow="0" w:firstColumn="1" w:lastColumn="0" w:noHBand="0" w:noVBand="1"/>
      </w:tblPr>
      <w:tblGrid>
        <w:gridCol w:w="1226"/>
        <w:gridCol w:w="1112"/>
        <w:gridCol w:w="1113"/>
        <w:gridCol w:w="1113"/>
        <w:gridCol w:w="1113"/>
        <w:gridCol w:w="1113"/>
        <w:gridCol w:w="1113"/>
        <w:gridCol w:w="1113"/>
      </w:tblGrid>
      <w:tr w:rsidR="00FD3C44" w:rsidRPr="002A4102" w14:paraId="1EF6AA1A" w14:textId="77777777" w:rsidTr="00FD3C44">
        <w:tc>
          <w:tcPr>
            <w:tcW w:w="1226" w:type="dxa"/>
            <w:vAlign w:val="center"/>
          </w:tcPr>
          <w:p w14:paraId="6E507553" w14:textId="77777777" w:rsidR="00FD3C44" w:rsidRPr="002A4102" w:rsidRDefault="00FD3C44" w:rsidP="003213CB">
            <w:pPr>
              <w:pStyle w:val="aff4"/>
              <w:spacing w:beforeLines="15" w:before="36" w:afterLines="15" w:after="36" w:line="440" w:lineRule="exact"/>
              <w:rPr>
                <w:sz w:val="24"/>
                <w:szCs w:val="24"/>
              </w:rPr>
            </w:pPr>
            <w:r w:rsidRPr="00FD3C44">
              <w:rPr>
                <w:sz w:val="24"/>
                <w:szCs w:val="24"/>
              </w:rPr>
              <w:t>機組</w:t>
            </w:r>
          </w:p>
        </w:tc>
        <w:tc>
          <w:tcPr>
            <w:tcW w:w="1112" w:type="dxa"/>
            <w:vAlign w:val="center"/>
          </w:tcPr>
          <w:p w14:paraId="1FB1EA77" w14:textId="7244AFBB" w:rsidR="00FD3C44" w:rsidRPr="002A4102" w:rsidRDefault="00FD3C44" w:rsidP="003213CB">
            <w:pPr>
              <w:pStyle w:val="aff4"/>
              <w:spacing w:beforeLines="15" w:before="36" w:afterLines="15" w:after="36" w:line="440" w:lineRule="exact"/>
              <w:rPr>
                <w:sz w:val="24"/>
                <w:szCs w:val="24"/>
              </w:rPr>
            </w:pPr>
            <w:r w:rsidRPr="00FD3C44">
              <w:rPr>
                <w:sz w:val="24"/>
                <w:szCs w:val="24"/>
              </w:rPr>
              <w:t>1號機</w:t>
            </w:r>
          </w:p>
        </w:tc>
        <w:tc>
          <w:tcPr>
            <w:tcW w:w="1113" w:type="dxa"/>
            <w:vAlign w:val="center"/>
          </w:tcPr>
          <w:p w14:paraId="077C8DB5" w14:textId="50168534" w:rsidR="00FD3C44" w:rsidRPr="002A4102" w:rsidRDefault="00FD3C44" w:rsidP="003213CB">
            <w:pPr>
              <w:pStyle w:val="aff4"/>
              <w:spacing w:beforeLines="15" w:before="36" w:afterLines="15" w:after="36" w:line="440" w:lineRule="exact"/>
              <w:rPr>
                <w:sz w:val="24"/>
                <w:szCs w:val="24"/>
              </w:rPr>
            </w:pPr>
            <w:r w:rsidRPr="00FD3C44">
              <w:rPr>
                <w:sz w:val="24"/>
                <w:szCs w:val="24"/>
              </w:rPr>
              <w:t>2號機</w:t>
            </w:r>
          </w:p>
        </w:tc>
        <w:tc>
          <w:tcPr>
            <w:tcW w:w="1113" w:type="dxa"/>
            <w:vAlign w:val="center"/>
          </w:tcPr>
          <w:p w14:paraId="50550E41" w14:textId="0B0107DE" w:rsidR="00FD3C44" w:rsidRPr="002A4102" w:rsidRDefault="00FD3C44" w:rsidP="003213CB">
            <w:pPr>
              <w:pStyle w:val="aff4"/>
              <w:spacing w:beforeLines="15" w:before="36" w:afterLines="15" w:after="36" w:line="440" w:lineRule="exact"/>
              <w:rPr>
                <w:sz w:val="24"/>
                <w:szCs w:val="24"/>
              </w:rPr>
            </w:pPr>
            <w:r w:rsidRPr="00FD3C44">
              <w:rPr>
                <w:sz w:val="24"/>
                <w:szCs w:val="24"/>
              </w:rPr>
              <w:t>3號機</w:t>
            </w:r>
          </w:p>
        </w:tc>
        <w:tc>
          <w:tcPr>
            <w:tcW w:w="1113" w:type="dxa"/>
            <w:vAlign w:val="center"/>
          </w:tcPr>
          <w:p w14:paraId="6A10A19D" w14:textId="4197794F" w:rsidR="00FD3C44" w:rsidRPr="002A4102" w:rsidRDefault="00FD3C44" w:rsidP="003213CB">
            <w:pPr>
              <w:pStyle w:val="aff4"/>
              <w:spacing w:beforeLines="15" w:before="36" w:afterLines="15" w:after="36" w:line="440" w:lineRule="exact"/>
              <w:rPr>
                <w:sz w:val="24"/>
                <w:szCs w:val="24"/>
              </w:rPr>
            </w:pPr>
            <w:r w:rsidRPr="00FD3C44">
              <w:rPr>
                <w:sz w:val="24"/>
                <w:szCs w:val="24"/>
              </w:rPr>
              <w:t>4號機</w:t>
            </w:r>
          </w:p>
        </w:tc>
        <w:tc>
          <w:tcPr>
            <w:tcW w:w="1113" w:type="dxa"/>
            <w:vAlign w:val="center"/>
          </w:tcPr>
          <w:p w14:paraId="1B14E140" w14:textId="6B15A53C" w:rsidR="00FD3C44" w:rsidRPr="002A4102" w:rsidRDefault="00FD3C44" w:rsidP="003213CB">
            <w:pPr>
              <w:pStyle w:val="aff4"/>
              <w:spacing w:beforeLines="15" w:before="36" w:afterLines="15" w:after="36" w:line="440" w:lineRule="exact"/>
              <w:rPr>
                <w:sz w:val="24"/>
                <w:szCs w:val="24"/>
              </w:rPr>
            </w:pPr>
            <w:r w:rsidRPr="00FD3C44">
              <w:rPr>
                <w:sz w:val="24"/>
                <w:szCs w:val="24"/>
              </w:rPr>
              <w:t>5號機</w:t>
            </w:r>
          </w:p>
        </w:tc>
        <w:tc>
          <w:tcPr>
            <w:tcW w:w="1113" w:type="dxa"/>
            <w:vAlign w:val="center"/>
          </w:tcPr>
          <w:p w14:paraId="0B12063B" w14:textId="3870F153" w:rsidR="00FD3C44" w:rsidRPr="002A4102" w:rsidRDefault="00FD3C44" w:rsidP="003213CB">
            <w:pPr>
              <w:pStyle w:val="aff4"/>
              <w:spacing w:beforeLines="15" w:before="36" w:afterLines="15" w:after="36" w:line="440" w:lineRule="exact"/>
              <w:rPr>
                <w:sz w:val="24"/>
                <w:szCs w:val="24"/>
              </w:rPr>
            </w:pPr>
            <w:r w:rsidRPr="00FD3C44">
              <w:rPr>
                <w:sz w:val="24"/>
                <w:szCs w:val="24"/>
              </w:rPr>
              <w:t>6號機</w:t>
            </w:r>
          </w:p>
        </w:tc>
        <w:tc>
          <w:tcPr>
            <w:tcW w:w="1113" w:type="dxa"/>
            <w:vAlign w:val="center"/>
          </w:tcPr>
          <w:p w14:paraId="4D85BED4" w14:textId="5FE6C0D0" w:rsidR="00FD3C44" w:rsidRPr="002A4102" w:rsidRDefault="00FD3C44" w:rsidP="003213CB">
            <w:pPr>
              <w:pStyle w:val="aff4"/>
              <w:spacing w:beforeLines="15" w:before="36" w:afterLines="15" w:after="36" w:line="440" w:lineRule="exact"/>
              <w:rPr>
                <w:sz w:val="24"/>
                <w:szCs w:val="24"/>
              </w:rPr>
            </w:pPr>
            <w:r w:rsidRPr="00FD3C44">
              <w:rPr>
                <w:sz w:val="24"/>
                <w:szCs w:val="24"/>
              </w:rPr>
              <w:t>7號機</w:t>
            </w:r>
          </w:p>
        </w:tc>
      </w:tr>
      <w:tr w:rsidR="00FD3C44" w:rsidRPr="002A4102" w14:paraId="044964EB" w14:textId="77777777" w:rsidTr="00FD3C44">
        <w:tc>
          <w:tcPr>
            <w:tcW w:w="1226" w:type="dxa"/>
            <w:vAlign w:val="center"/>
          </w:tcPr>
          <w:p w14:paraId="77E86E2D" w14:textId="77777777" w:rsidR="00FD3C44" w:rsidRPr="002A4102" w:rsidRDefault="00FD3C44" w:rsidP="003213CB">
            <w:pPr>
              <w:pStyle w:val="aff4"/>
              <w:spacing w:beforeLines="15" w:before="36" w:afterLines="15" w:after="36" w:line="440" w:lineRule="exact"/>
              <w:rPr>
                <w:sz w:val="24"/>
                <w:szCs w:val="24"/>
              </w:rPr>
            </w:pPr>
            <w:r w:rsidRPr="00FD3C44">
              <w:rPr>
                <w:sz w:val="24"/>
                <w:szCs w:val="24"/>
              </w:rPr>
              <w:t>電氣出力</w:t>
            </w:r>
          </w:p>
        </w:tc>
        <w:tc>
          <w:tcPr>
            <w:tcW w:w="1112" w:type="dxa"/>
            <w:vAlign w:val="center"/>
          </w:tcPr>
          <w:p w14:paraId="2AD7A02C" w14:textId="77777777" w:rsidR="00FD3C44" w:rsidRPr="002A4102" w:rsidRDefault="00FD3C44" w:rsidP="00D70792">
            <w:pPr>
              <w:pStyle w:val="aff4"/>
              <w:spacing w:line="400" w:lineRule="exact"/>
              <w:rPr>
                <w:sz w:val="22"/>
                <w:szCs w:val="22"/>
              </w:rPr>
            </w:pPr>
            <w:r w:rsidRPr="00FD3C44">
              <w:rPr>
                <w:sz w:val="22"/>
                <w:szCs w:val="22"/>
              </w:rPr>
              <w:t>110萬kW</w:t>
            </w:r>
          </w:p>
        </w:tc>
        <w:tc>
          <w:tcPr>
            <w:tcW w:w="1113" w:type="dxa"/>
            <w:vAlign w:val="center"/>
          </w:tcPr>
          <w:p w14:paraId="2D287A26" w14:textId="77777777" w:rsidR="00FD3C44" w:rsidRPr="002A4102" w:rsidRDefault="00FD3C44" w:rsidP="00D70792">
            <w:pPr>
              <w:pStyle w:val="aff4"/>
              <w:spacing w:line="400" w:lineRule="exact"/>
              <w:rPr>
                <w:sz w:val="22"/>
                <w:szCs w:val="22"/>
              </w:rPr>
            </w:pPr>
            <w:r w:rsidRPr="00FD3C44">
              <w:rPr>
                <w:sz w:val="22"/>
                <w:szCs w:val="22"/>
              </w:rPr>
              <w:t>110萬kW</w:t>
            </w:r>
          </w:p>
        </w:tc>
        <w:tc>
          <w:tcPr>
            <w:tcW w:w="1113" w:type="dxa"/>
            <w:vAlign w:val="center"/>
          </w:tcPr>
          <w:p w14:paraId="04E2C632" w14:textId="77777777" w:rsidR="00FD3C44" w:rsidRPr="002A4102" w:rsidRDefault="00FD3C44" w:rsidP="00D70792">
            <w:pPr>
              <w:pStyle w:val="aff4"/>
              <w:spacing w:line="400" w:lineRule="exact"/>
              <w:rPr>
                <w:sz w:val="22"/>
                <w:szCs w:val="22"/>
              </w:rPr>
            </w:pPr>
            <w:r w:rsidRPr="00FD3C44">
              <w:rPr>
                <w:sz w:val="22"/>
                <w:szCs w:val="22"/>
              </w:rPr>
              <w:t>110萬kW</w:t>
            </w:r>
          </w:p>
        </w:tc>
        <w:tc>
          <w:tcPr>
            <w:tcW w:w="1113" w:type="dxa"/>
            <w:vAlign w:val="center"/>
          </w:tcPr>
          <w:p w14:paraId="0ADA1D19" w14:textId="77777777" w:rsidR="00FD3C44" w:rsidRPr="002A4102" w:rsidRDefault="00FD3C44" w:rsidP="00D70792">
            <w:pPr>
              <w:pStyle w:val="aff4"/>
              <w:spacing w:line="400" w:lineRule="exact"/>
              <w:rPr>
                <w:sz w:val="22"/>
                <w:szCs w:val="22"/>
              </w:rPr>
            </w:pPr>
            <w:r w:rsidRPr="00FD3C44">
              <w:rPr>
                <w:sz w:val="22"/>
                <w:szCs w:val="22"/>
              </w:rPr>
              <w:t>110萬kW</w:t>
            </w:r>
          </w:p>
        </w:tc>
        <w:tc>
          <w:tcPr>
            <w:tcW w:w="1113" w:type="dxa"/>
            <w:vAlign w:val="center"/>
          </w:tcPr>
          <w:p w14:paraId="6C9AECA5" w14:textId="77777777" w:rsidR="00FD3C44" w:rsidRPr="002A4102" w:rsidRDefault="00FD3C44" w:rsidP="00D70792">
            <w:pPr>
              <w:pStyle w:val="aff4"/>
              <w:spacing w:line="400" w:lineRule="exact"/>
              <w:rPr>
                <w:sz w:val="22"/>
                <w:szCs w:val="22"/>
              </w:rPr>
            </w:pPr>
            <w:r w:rsidRPr="00FD3C44">
              <w:rPr>
                <w:sz w:val="22"/>
                <w:szCs w:val="22"/>
              </w:rPr>
              <w:t>110萬kW</w:t>
            </w:r>
          </w:p>
        </w:tc>
        <w:tc>
          <w:tcPr>
            <w:tcW w:w="1113" w:type="dxa"/>
            <w:vAlign w:val="center"/>
          </w:tcPr>
          <w:p w14:paraId="648A937E" w14:textId="77777777" w:rsidR="00FD3C44" w:rsidRPr="002A4102" w:rsidRDefault="00FD3C44" w:rsidP="00D70792">
            <w:pPr>
              <w:pStyle w:val="aff4"/>
              <w:spacing w:line="400" w:lineRule="exact"/>
              <w:rPr>
                <w:sz w:val="22"/>
                <w:szCs w:val="22"/>
              </w:rPr>
            </w:pPr>
            <w:r w:rsidRPr="00FD3C44">
              <w:rPr>
                <w:sz w:val="22"/>
                <w:szCs w:val="22"/>
              </w:rPr>
              <w:t>135.6</w:t>
            </w:r>
          </w:p>
          <w:p w14:paraId="0E75685C" w14:textId="20B89721" w:rsidR="00FD3C44" w:rsidRPr="002A4102" w:rsidRDefault="00FD3C44" w:rsidP="00D70792">
            <w:pPr>
              <w:pStyle w:val="aff4"/>
              <w:spacing w:line="400" w:lineRule="exact"/>
              <w:rPr>
                <w:sz w:val="22"/>
                <w:szCs w:val="22"/>
              </w:rPr>
            </w:pPr>
            <w:r w:rsidRPr="00FD3C44">
              <w:rPr>
                <w:sz w:val="22"/>
                <w:szCs w:val="22"/>
              </w:rPr>
              <w:t>萬kW</w:t>
            </w:r>
          </w:p>
        </w:tc>
        <w:tc>
          <w:tcPr>
            <w:tcW w:w="1113" w:type="dxa"/>
            <w:vAlign w:val="center"/>
          </w:tcPr>
          <w:p w14:paraId="1D11558A" w14:textId="77777777" w:rsidR="00FD3C44" w:rsidRPr="002A4102" w:rsidRDefault="00FD3C44" w:rsidP="00D70792">
            <w:pPr>
              <w:pStyle w:val="aff4"/>
              <w:spacing w:line="400" w:lineRule="exact"/>
              <w:rPr>
                <w:sz w:val="22"/>
                <w:szCs w:val="22"/>
              </w:rPr>
            </w:pPr>
            <w:r w:rsidRPr="00FD3C44">
              <w:rPr>
                <w:sz w:val="22"/>
                <w:szCs w:val="22"/>
              </w:rPr>
              <w:t>135.6</w:t>
            </w:r>
          </w:p>
          <w:p w14:paraId="493152FC" w14:textId="3349460E" w:rsidR="00FD3C44" w:rsidRPr="002A4102" w:rsidRDefault="00FD3C44" w:rsidP="00D70792">
            <w:pPr>
              <w:pStyle w:val="aff4"/>
              <w:spacing w:line="400" w:lineRule="exact"/>
              <w:rPr>
                <w:sz w:val="22"/>
                <w:szCs w:val="22"/>
              </w:rPr>
            </w:pPr>
            <w:r w:rsidRPr="00FD3C44">
              <w:rPr>
                <w:sz w:val="22"/>
                <w:szCs w:val="22"/>
              </w:rPr>
              <w:t>萬kW</w:t>
            </w:r>
          </w:p>
        </w:tc>
      </w:tr>
      <w:tr w:rsidR="00FD3C44" w:rsidRPr="002A4102" w14:paraId="42871C33" w14:textId="77777777" w:rsidTr="00FD3C44">
        <w:tc>
          <w:tcPr>
            <w:tcW w:w="1226" w:type="dxa"/>
            <w:vAlign w:val="center"/>
          </w:tcPr>
          <w:p w14:paraId="0EB136E8" w14:textId="77777777" w:rsidR="00FD3C44" w:rsidRPr="002A4102" w:rsidRDefault="00FD3C44" w:rsidP="003213CB">
            <w:pPr>
              <w:pStyle w:val="aff4"/>
              <w:spacing w:beforeLines="15" w:before="36" w:afterLines="15" w:after="36" w:line="440" w:lineRule="exact"/>
              <w:rPr>
                <w:sz w:val="24"/>
                <w:szCs w:val="24"/>
              </w:rPr>
            </w:pPr>
            <w:r w:rsidRPr="00FD3C44">
              <w:rPr>
                <w:sz w:val="24"/>
                <w:szCs w:val="24"/>
              </w:rPr>
              <w:t>建設動工</w:t>
            </w:r>
          </w:p>
        </w:tc>
        <w:tc>
          <w:tcPr>
            <w:tcW w:w="1112" w:type="dxa"/>
            <w:vAlign w:val="center"/>
          </w:tcPr>
          <w:p w14:paraId="3F942A36" w14:textId="77777777" w:rsidR="00FD3C44" w:rsidRPr="002A4102" w:rsidRDefault="00FD3C44" w:rsidP="00D70792">
            <w:pPr>
              <w:pStyle w:val="aff4"/>
              <w:spacing w:line="400" w:lineRule="exact"/>
              <w:rPr>
                <w:sz w:val="22"/>
                <w:szCs w:val="22"/>
              </w:rPr>
            </w:pPr>
            <w:r w:rsidRPr="00FD3C44">
              <w:rPr>
                <w:sz w:val="22"/>
                <w:szCs w:val="22"/>
              </w:rPr>
              <w:t>1978年12月</w:t>
            </w:r>
          </w:p>
        </w:tc>
        <w:tc>
          <w:tcPr>
            <w:tcW w:w="1113" w:type="dxa"/>
            <w:vAlign w:val="center"/>
          </w:tcPr>
          <w:p w14:paraId="322441D8" w14:textId="77777777" w:rsidR="00FD3C44" w:rsidRPr="002A4102" w:rsidRDefault="00FD3C44" w:rsidP="00D70792">
            <w:pPr>
              <w:pStyle w:val="aff4"/>
              <w:spacing w:line="400" w:lineRule="exact"/>
              <w:rPr>
                <w:sz w:val="22"/>
                <w:szCs w:val="22"/>
              </w:rPr>
            </w:pPr>
            <w:r w:rsidRPr="00FD3C44">
              <w:rPr>
                <w:sz w:val="22"/>
                <w:szCs w:val="22"/>
              </w:rPr>
              <w:t>1983年10月</w:t>
            </w:r>
          </w:p>
        </w:tc>
        <w:tc>
          <w:tcPr>
            <w:tcW w:w="1113" w:type="dxa"/>
            <w:vAlign w:val="center"/>
          </w:tcPr>
          <w:p w14:paraId="750CC092" w14:textId="77777777" w:rsidR="00FD3C44" w:rsidRPr="002A4102" w:rsidRDefault="00FD3C44" w:rsidP="00D70792">
            <w:pPr>
              <w:pStyle w:val="aff4"/>
              <w:spacing w:line="400" w:lineRule="exact"/>
              <w:rPr>
                <w:sz w:val="22"/>
                <w:szCs w:val="22"/>
              </w:rPr>
            </w:pPr>
            <w:r w:rsidRPr="00FD3C44">
              <w:rPr>
                <w:sz w:val="22"/>
                <w:szCs w:val="22"/>
              </w:rPr>
              <w:t>1987年</w:t>
            </w:r>
          </w:p>
          <w:p w14:paraId="33FEC859" w14:textId="3D0B496D" w:rsidR="00FD3C44" w:rsidRPr="002A4102" w:rsidRDefault="00FD3C44" w:rsidP="00D70792">
            <w:pPr>
              <w:pStyle w:val="aff4"/>
              <w:spacing w:line="400" w:lineRule="exact"/>
              <w:rPr>
                <w:sz w:val="22"/>
                <w:szCs w:val="22"/>
              </w:rPr>
            </w:pPr>
            <w:r w:rsidRPr="00FD3C44">
              <w:rPr>
                <w:sz w:val="22"/>
                <w:szCs w:val="22"/>
              </w:rPr>
              <w:t>7月</w:t>
            </w:r>
          </w:p>
        </w:tc>
        <w:tc>
          <w:tcPr>
            <w:tcW w:w="1113" w:type="dxa"/>
            <w:vAlign w:val="center"/>
          </w:tcPr>
          <w:p w14:paraId="3623EB1A" w14:textId="77777777" w:rsidR="00FD3C44" w:rsidRPr="002A4102" w:rsidRDefault="00FD3C44" w:rsidP="00D70792">
            <w:pPr>
              <w:pStyle w:val="aff4"/>
              <w:spacing w:line="400" w:lineRule="exact"/>
              <w:rPr>
                <w:sz w:val="22"/>
                <w:szCs w:val="22"/>
              </w:rPr>
            </w:pPr>
            <w:r w:rsidRPr="00FD3C44">
              <w:rPr>
                <w:sz w:val="22"/>
                <w:szCs w:val="22"/>
              </w:rPr>
              <w:t>1988年</w:t>
            </w:r>
          </w:p>
          <w:p w14:paraId="5058BFBE" w14:textId="0544A96A" w:rsidR="00FD3C44" w:rsidRPr="002A4102" w:rsidRDefault="00FD3C44" w:rsidP="00D70792">
            <w:pPr>
              <w:pStyle w:val="aff4"/>
              <w:spacing w:line="400" w:lineRule="exact"/>
              <w:rPr>
                <w:sz w:val="22"/>
                <w:szCs w:val="22"/>
              </w:rPr>
            </w:pPr>
            <w:r w:rsidRPr="00FD3C44">
              <w:rPr>
                <w:sz w:val="22"/>
                <w:szCs w:val="22"/>
              </w:rPr>
              <w:t>2月</w:t>
            </w:r>
          </w:p>
        </w:tc>
        <w:tc>
          <w:tcPr>
            <w:tcW w:w="1113" w:type="dxa"/>
            <w:vAlign w:val="center"/>
          </w:tcPr>
          <w:p w14:paraId="77C0CBD0" w14:textId="77777777" w:rsidR="00FD3C44" w:rsidRPr="002A4102" w:rsidRDefault="00FD3C44" w:rsidP="00D70792">
            <w:pPr>
              <w:pStyle w:val="aff4"/>
              <w:spacing w:line="400" w:lineRule="exact"/>
              <w:rPr>
                <w:sz w:val="22"/>
                <w:szCs w:val="22"/>
              </w:rPr>
            </w:pPr>
            <w:r w:rsidRPr="00FD3C44">
              <w:rPr>
                <w:sz w:val="22"/>
                <w:szCs w:val="22"/>
              </w:rPr>
              <w:t>1983年10月</w:t>
            </w:r>
          </w:p>
        </w:tc>
        <w:tc>
          <w:tcPr>
            <w:tcW w:w="1113" w:type="dxa"/>
            <w:vAlign w:val="center"/>
          </w:tcPr>
          <w:p w14:paraId="4414F7EA" w14:textId="77777777" w:rsidR="00FD3C44" w:rsidRPr="002A4102" w:rsidRDefault="00FD3C44" w:rsidP="00D70792">
            <w:pPr>
              <w:pStyle w:val="aff4"/>
              <w:spacing w:line="400" w:lineRule="exact"/>
              <w:rPr>
                <w:sz w:val="22"/>
                <w:szCs w:val="22"/>
              </w:rPr>
            </w:pPr>
            <w:r w:rsidRPr="00FD3C44">
              <w:rPr>
                <w:sz w:val="22"/>
                <w:szCs w:val="22"/>
              </w:rPr>
              <w:t>1991年</w:t>
            </w:r>
          </w:p>
          <w:p w14:paraId="3A57EB11" w14:textId="1AFF02A3" w:rsidR="00FD3C44" w:rsidRPr="002A4102" w:rsidRDefault="00FD3C44" w:rsidP="00D70792">
            <w:pPr>
              <w:pStyle w:val="aff4"/>
              <w:spacing w:line="400" w:lineRule="exact"/>
              <w:rPr>
                <w:sz w:val="22"/>
                <w:szCs w:val="22"/>
              </w:rPr>
            </w:pPr>
            <w:r w:rsidRPr="00FD3C44">
              <w:rPr>
                <w:sz w:val="22"/>
                <w:szCs w:val="22"/>
              </w:rPr>
              <w:t>9月</w:t>
            </w:r>
          </w:p>
        </w:tc>
        <w:tc>
          <w:tcPr>
            <w:tcW w:w="1113" w:type="dxa"/>
            <w:vAlign w:val="center"/>
          </w:tcPr>
          <w:p w14:paraId="4DFD4034" w14:textId="77777777" w:rsidR="00FD3C44" w:rsidRPr="002A4102" w:rsidRDefault="00FD3C44" w:rsidP="00D70792">
            <w:pPr>
              <w:pStyle w:val="aff4"/>
              <w:spacing w:line="400" w:lineRule="exact"/>
              <w:rPr>
                <w:sz w:val="22"/>
                <w:szCs w:val="22"/>
              </w:rPr>
            </w:pPr>
            <w:r w:rsidRPr="00FD3C44">
              <w:rPr>
                <w:sz w:val="22"/>
                <w:szCs w:val="22"/>
              </w:rPr>
              <w:t>1992年</w:t>
            </w:r>
          </w:p>
          <w:p w14:paraId="59E1B26E" w14:textId="73779788" w:rsidR="00FD3C44" w:rsidRPr="002A4102" w:rsidRDefault="00FD3C44" w:rsidP="00D70792">
            <w:pPr>
              <w:pStyle w:val="aff4"/>
              <w:spacing w:line="400" w:lineRule="exact"/>
              <w:rPr>
                <w:sz w:val="22"/>
                <w:szCs w:val="22"/>
              </w:rPr>
            </w:pPr>
            <w:r w:rsidRPr="00FD3C44">
              <w:rPr>
                <w:sz w:val="22"/>
                <w:szCs w:val="22"/>
              </w:rPr>
              <w:t>2月</w:t>
            </w:r>
          </w:p>
        </w:tc>
      </w:tr>
      <w:tr w:rsidR="00FD3C44" w:rsidRPr="002A4102" w14:paraId="72235AB0" w14:textId="77777777" w:rsidTr="00FD3C44">
        <w:tc>
          <w:tcPr>
            <w:tcW w:w="1226" w:type="dxa"/>
            <w:vAlign w:val="center"/>
          </w:tcPr>
          <w:p w14:paraId="54519C21" w14:textId="77777777" w:rsidR="00FD3C44" w:rsidRPr="002A4102" w:rsidRDefault="00FD3C44" w:rsidP="003213CB">
            <w:pPr>
              <w:pStyle w:val="aff4"/>
              <w:spacing w:beforeLines="15" w:before="36" w:afterLines="15" w:after="36" w:line="440" w:lineRule="exact"/>
              <w:rPr>
                <w:sz w:val="24"/>
                <w:szCs w:val="24"/>
              </w:rPr>
            </w:pPr>
            <w:r w:rsidRPr="00FD3C44">
              <w:rPr>
                <w:sz w:val="24"/>
                <w:szCs w:val="24"/>
              </w:rPr>
              <w:t>營運開始</w:t>
            </w:r>
          </w:p>
        </w:tc>
        <w:tc>
          <w:tcPr>
            <w:tcW w:w="1112" w:type="dxa"/>
            <w:vAlign w:val="center"/>
          </w:tcPr>
          <w:p w14:paraId="726A400B" w14:textId="77777777" w:rsidR="00FD3C44" w:rsidRPr="002A4102" w:rsidRDefault="00FD3C44" w:rsidP="00D70792">
            <w:pPr>
              <w:pStyle w:val="aff4"/>
              <w:spacing w:line="400" w:lineRule="exact"/>
              <w:rPr>
                <w:sz w:val="22"/>
                <w:szCs w:val="22"/>
              </w:rPr>
            </w:pPr>
            <w:r w:rsidRPr="00FD3C44">
              <w:rPr>
                <w:sz w:val="22"/>
                <w:szCs w:val="22"/>
              </w:rPr>
              <w:t>1985年</w:t>
            </w:r>
          </w:p>
          <w:p w14:paraId="59DF8264" w14:textId="04A2BE46" w:rsidR="00FD3C44" w:rsidRPr="002A4102" w:rsidRDefault="00FD3C44" w:rsidP="00D70792">
            <w:pPr>
              <w:pStyle w:val="aff4"/>
              <w:spacing w:line="400" w:lineRule="exact"/>
              <w:rPr>
                <w:sz w:val="22"/>
                <w:szCs w:val="22"/>
              </w:rPr>
            </w:pPr>
            <w:r w:rsidRPr="00FD3C44">
              <w:rPr>
                <w:sz w:val="22"/>
                <w:szCs w:val="22"/>
              </w:rPr>
              <w:t>9月</w:t>
            </w:r>
          </w:p>
        </w:tc>
        <w:tc>
          <w:tcPr>
            <w:tcW w:w="1113" w:type="dxa"/>
            <w:vAlign w:val="center"/>
          </w:tcPr>
          <w:p w14:paraId="790309FA" w14:textId="77777777" w:rsidR="00FD3C44" w:rsidRPr="002A4102" w:rsidRDefault="00FD3C44" w:rsidP="00D70792">
            <w:pPr>
              <w:pStyle w:val="aff4"/>
              <w:spacing w:line="400" w:lineRule="exact"/>
              <w:rPr>
                <w:sz w:val="22"/>
                <w:szCs w:val="22"/>
              </w:rPr>
            </w:pPr>
            <w:r w:rsidRPr="00FD3C44">
              <w:rPr>
                <w:sz w:val="22"/>
                <w:szCs w:val="22"/>
              </w:rPr>
              <w:t>1990年</w:t>
            </w:r>
          </w:p>
          <w:p w14:paraId="6E9A1F73" w14:textId="0794F837" w:rsidR="00FD3C44" w:rsidRPr="002A4102" w:rsidRDefault="00FD3C44" w:rsidP="00D70792">
            <w:pPr>
              <w:pStyle w:val="aff4"/>
              <w:spacing w:line="400" w:lineRule="exact"/>
              <w:rPr>
                <w:sz w:val="22"/>
                <w:szCs w:val="22"/>
              </w:rPr>
            </w:pPr>
            <w:r w:rsidRPr="00FD3C44">
              <w:rPr>
                <w:sz w:val="22"/>
                <w:szCs w:val="22"/>
              </w:rPr>
              <w:t>9月</w:t>
            </w:r>
          </w:p>
        </w:tc>
        <w:tc>
          <w:tcPr>
            <w:tcW w:w="1113" w:type="dxa"/>
            <w:vAlign w:val="center"/>
          </w:tcPr>
          <w:p w14:paraId="226967B1" w14:textId="77777777" w:rsidR="00FD3C44" w:rsidRPr="002A4102" w:rsidRDefault="00FD3C44" w:rsidP="00D70792">
            <w:pPr>
              <w:pStyle w:val="aff4"/>
              <w:spacing w:line="400" w:lineRule="exact"/>
              <w:rPr>
                <w:sz w:val="22"/>
                <w:szCs w:val="22"/>
              </w:rPr>
            </w:pPr>
            <w:r w:rsidRPr="00FD3C44">
              <w:rPr>
                <w:sz w:val="22"/>
                <w:szCs w:val="22"/>
              </w:rPr>
              <w:t>1993年</w:t>
            </w:r>
          </w:p>
          <w:p w14:paraId="29B578EA" w14:textId="7127E42C" w:rsidR="00FD3C44" w:rsidRPr="002A4102" w:rsidRDefault="00FD3C44" w:rsidP="00D70792">
            <w:pPr>
              <w:pStyle w:val="aff4"/>
              <w:spacing w:line="400" w:lineRule="exact"/>
              <w:rPr>
                <w:sz w:val="22"/>
                <w:szCs w:val="22"/>
              </w:rPr>
            </w:pPr>
            <w:r w:rsidRPr="00FD3C44">
              <w:rPr>
                <w:sz w:val="22"/>
                <w:szCs w:val="22"/>
              </w:rPr>
              <w:t>8月</w:t>
            </w:r>
          </w:p>
        </w:tc>
        <w:tc>
          <w:tcPr>
            <w:tcW w:w="1113" w:type="dxa"/>
            <w:vAlign w:val="center"/>
          </w:tcPr>
          <w:p w14:paraId="7ECBFCFD" w14:textId="77777777" w:rsidR="00FD3C44" w:rsidRPr="002A4102" w:rsidRDefault="00FD3C44" w:rsidP="00D70792">
            <w:pPr>
              <w:pStyle w:val="aff4"/>
              <w:spacing w:line="400" w:lineRule="exact"/>
              <w:rPr>
                <w:sz w:val="22"/>
                <w:szCs w:val="22"/>
              </w:rPr>
            </w:pPr>
            <w:r w:rsidRPr="00FD3C44">
              <w:rPr>
                <w:sz w:val="22"/>
                <w:szCs w:val="22"/>
              </w:rPr>
              <w:t>1994年</w:t>
            </w:r>
          </w:p>
          <w:p w14:paraId="31EC5F7B" w14:textId="40BBC6F2" w:rsidR="00FD3C44" w:rsidRPr="002A4102" w:rsidRDefault="00FD3C44" w:rsidP="00D70792">
            <w:pPr>
              <w:pStyle w:val="aff4"/>
              <w:spacing w:line="400" w:lineRule="exact"/>
              <w:rPr>
                <w:sz w:val="22"/>
                <w:szCs w:val="22"/>
              </w:rPr>
            </w:pPr>
            <w:r w:rsidRPr="00FD3C44">
              <w:rPr>
                <w:sz w:val="22"/>
                <w:szCs w:val="22"/>
              </w:rPr>
              <w:t>8月</w:t>
            </w:r>
          </w:p>
        </w:tc>
        <w:tc>
          <w:tcPr>
            <w:tcW w:w="1113" w:type="dxa"/>
            <w:vAlign w:val="center"/>
          </w:tcPr>
          <w:p w14:paraId="3686C806" w14:textId="77777777" w:rsidR="00FD3C44" w:rsidRPr="002A4102" w:rsidRDefault="00FD3C44" w:rsidP="00D70792">
            <w:pPr>
              <w:pStyle w:val="aff4"/>
              <w:spacing w:line="400" w:lineRule="exact"/>
              <w:rPr>
                <w:sz w:val="22"/>
                <w:szCs w:val="22"/>
              </w:rPr>
            </w:pPr>
            <w:r w:rsidRPr="00FD3C44">
              <w:rPr>
                <w:sz w:val="22"/>
                <w:szCs w:val="22"/>
              </w:rPr>
              <w:t>1990年</w:t>
            </w:r>
          </w:p>
          <w:p w14:paraId="5417CD8B" w14:textId="72B57642" w:rsidR="00FD3C44" w:rsidRPr="002A4102" w:rsidRDefault="00FD3C44" w:rsidP="00D70792">
            <w:pPr>
              <w:pStyle w:val="aff4"/>
              <w:spacing w:line="400" w:lineRule="exact"/>
              <w:rPr>
                <w:sz w:val="22"/>
                <w:szCs w:val="22"/>
              </w:rPr>
            </w:pPr>
            <w:r w:rsidRPr="00FD3C44">
              <w:rPr>
                <w:sz w:val="22"/>
                <w:szCs w:val="22"/>
              </w:rPr>
              <w:t>4月</w:t>
            </w:r>
          </w:p>
        </w:tc>
        <w:tc>
          <w:tcPr>
            <w:tcW w:w="1113" w:type="dxa"/>
            <w:vAlign w:val="center"/>
          </w:tcPr>
          <w:p w14:paraId="303541DC" w14:textId="77777777" w:rsidR="00FD3C44" w:rsidRPr="002A4102" w:rsidRDefault="00FD3C44" w:rsidP="00D70792">
            <w:pPr>
              <w:pStyle w:val="aff4"/>
              <w:spacing w:line="400" w:lineRule="exact"/>
              <w:rPr>
                <w:sz w:val="22"/>
                <w:szCs w:val="22"/>
              </w:rPr>
            </w:pPr>
            <w:r w:rsidRPr="00FD3C44">
              <w:rPr>
                <w:sz w:val="22"/>
                <w:szCs w:val="22"/>
              </w:rPr>
              <w:t>1996年11月</w:t>
            </w:r>
          </w:p>
        </w:tc>
        <w:tc>
          <w:tcPr>
            <w:tcW w:w="1113" w:type="dxa"/>
            <w:vAlign w:val="center"/>
          </w:tcPr>
          <w:p w14:paraId="02C81C56" w14:textId="77777777" w:rsidR="00FD3C44" w:rsidRPr="002A4102" w:rsidRDefault="00FD3C44" w:rsidP="00D70792">
            <w:pPr>
              <w:pStyle w:val="aff4"/>
              <w:spacing w:line="400" w:lineRule="exact"/>
              <w:rPr>
                <w:sz w:val="22"/>
                <w:szCs w:val="22"/>
              </w:rPr>
            </w:pPr>
            <w:r w:rsidRPr="00FD3C44">
              <w:rPr>
                <w:sz w:val="22"/>
                <w:szCs w:val="22"/>
              </w:rPr>
              <w:t>1997年</w:t>
            </w:r>
          </w:p>
          <w:p w14:paraId="062C7223" w14:textId="6BB4665E" w:rsidR="00FD3C44" w:rsidRPr="002A4102" w:rsidRDefault="00FD3C44" w:rsidP="00D70792">
            <w:pPr>
              <w:pStyle w:val="aff4"/>
              <w:spacing w:line="400" w:lineRule="exact"/>
              <w:rPr>
                <w:sz w:val="22"/>
                <w:szCs w:val="22"/>
              </w:rPr>
            </w:pPr>
            <w:r w:rsidRPr="00FD3C44">
              <w:rPr>
                <w:sz w:val="22"/>
                <w:szCs w:val="22"/>
              </w:rPr>
              <w:t>7月</w:t>
            </w:r>
          </w:p>
        </w:tc>
      </w:tr>
      <w:tr w:rsidR="00FD3C44" w:rsidRPr="002A4102" w14:paraId="23371AB4" w14:textId="77777777" w:rsidTr="00F00750">
        <w:tc>
          <w:tcPr>
            <w:tcW w:w="1226" w:type="dxa"/>
            <w:vAlign w:val="center"/>
          </w:tcPr>
          <w:p w14:paraId="178DFD5F" w14:textId="58A2A299" w:rsidR="00FD3C44" w:rsidRPr="002A4102" w:rsidRDefault="00FD3C44" w:rsidP="00D70792">
            <w:pPr>
              <w:pStyle w:val="aff4"/>
              <w:spacing w:line="360" w:lineRule="exact"/>
              <w:rPr>
                <w:sz w:val="24"/>
                <w:szCs w:val="24"/>
              </w:rPr>
            </w:pPr>
            <w:r w:rsidRPr="00FD3C44">
              <w:rPr>
                <w:sz w:val="24"/>
                <w:szCs w:val="24"/>
              </w:rPr>
              <w:t>反應</w:t>
            </w:r>
            <w:r w:rsidRPr="002A4102">
              <w:rPr>
                <w:rFonts w:hint="eastAsia"/>
                <w:sz w:val="24"/>
                <w:szCs w:val="24"/>
              </w:rPr>
              <w:t>器</w:t>
            </w:r>
          </w:p>
          <w:p w14:paraId="515B180F" w14:textId="3AF30184" w:rsidR="00FD3C44" w:rsidRPr="002A4102" w:rsidRDefault="00FD3C44" w:rsidP="00D70792">
            <w:pPr>
              <w:pStyle w:val="aff4"/>
              <w:spacing w:line="360" w:lineRule="exact"/>
              <w:rPr>
                <w:sz w:val="24"/>
                <w:szCs w:val="24"/>
              </w:rPr>
            </w:pPr>
            <w:r w:rsidRPr="00FD3C44">
              <w:rPr>
                <w:sz w:val="24"/>
                <w:szCs w:val="24"/>
              </w:rPr>
              <w:t>形式</w:t>
            </w:r>
          </w:p>
        </w:tc>
        <w:tc>
          <w:tcPr>
            <w:tcW w:w="5564" w:type="dxa"/>
            <w:gridSpan w:val="5"/>
            <w:vAlign w:val="center"/>
          </w:tcPr>
          <w:p w14:paraId="6D4684AD" w14:textId="3A25C258" w:rsidR="00FD3C44" w:rsidRPr="002A4102" w:rsidRDefault="00FD3C44" w:rsidP="003213CB">
            <w:pPr>
              <w:pStyle w:val="aff4"/>
              <w:spacing w:beforeLines="15" w:before="36" w:afterLines="15" w:after="36" w:line="440" w:lineRule="exact"/>
              <w:rPr>
                <w:sz w:val="24"/>
                <w:szCs w:val="24"/>
              </w:rPr>
            </w:pPr>
            <w:r w:rsidRPr="00FD3C44">
              <w:rPr>
                <w:sz w:val="24"/>
                <w:szCs w:val="24"/>
              </w:rPr>
              <w:t>沸騰水型(BWR)</w:t>
            </w:r>
          </w:p>
        </w:tc>
        <w:tc>
          <w:tcPr>
            <w:tcW w:w="2226" w:type="dxa"/>
            <w:gridSpan w:val="2"/>
            <w:vAlign w:val="center"/>
          </w:tcPr>
          <w:p w14:paraId="4BDFC883" w14:textId="77777777" w:rsidR="00FD3C44" w:rsidRPr="002A4102" w:rsidRDefault="00FD3C44" w:rsidP="00D70792">
            <w:pPr>
              <w:pStyle w:val="aff4"/>
              <w:spacing w:line="360" w:lineRule="exact"/>
              <w:rPr>
                <w:sz w:val="24"/>
                <w:szCs w:val="24"/>
              </w:rPr>
            </w:pPr>
            <w:r w:rsidRPr="00FD3C44">
              <w:rPr>
                <w:sz w:val="24"/>
                <w:szCs w:val="24"/>
              </w:rPr>
              <w:t>改良型沸騰水型</w:t>
            </w:r>
          </w:p>
          <w:p w14:paraId="1704838B" w14:textId="631C17AA" w:rsidR="00FD3C44" w:rsidRPr="002A4102" w:rsidRDefault="00FD3C44" w:rsidP="00D70792">
            <w:pPr>
              <w:pStyle w:val="aff4"/>
              <w:spacing w:line="360" w:lineRule="exact"/>
              <w:rPr>
                <w:sz w:val="24"/>
                <w:szCs w:val="24"/>
              </w:rPr>
            </w:pPr>
            <w:r w:rsidRPr="00FD3C44">
              <w:rPr>
                <w:sz w:val="24"/>
                <w:szCs w:val="24"/>
              </w:rPr>
              <w:t>(ABWR)</w:t>
            </w:r>
          </w:p>
        </w:tc>
      </w:tr>
    </w:tbl>
    <w:p w14:paraId="3F129EB0" w14:textId="70D9AA53" w:rsidR="00237C33" w:rsidRPr="002A4102" w:rsidRDefault="00237C33" w:rsidP="00505E43">
      <w:pPr>
        <w:spacing w:beforeLines="15" w:before="36" w:afterLines="15" w:after="36"/>
        <w:jc w:val="center"/>
        <w:outlineLvl w:val="1"/>
        <w:rPr>
          <w:rFonts w:ascii="標楷體" w:eastAsia="標楷體" w:hAnsi="標楷體"/>
          <w:bCs/>
          <w:spacing w:val="-10"/>
          <w:sz w:val="28"/>
          <w:szCs w:val="28"/>
        </w:rPr>
      </w:pPr>
      <w:bookmarkStart w:id="33" w:name="_Toc185412386"/>
      <w:r w:rsidRPr="002A4102">
        <w:rPr>
          <w:rFonts w:ascii="標楷體" w:eastAsia="標楷體" w:hAnsi="標楷體"/>
          <w:bCs/>
          <w:noProof/>
          <w:spacing w:val="-10"/>
          <w:sz w:val="28"/>
          <w:szCs w:val="28"/>
        </w:rPr>
        <w:lastRenderedPageBreak/>
        <w:drawing>
          <wp:inline distT="0" distB="0" distL="0" distR="0" wp14:anchorId="696829F6" wp14:editId="13E9E72E">
            <wp:extent cx="3740599" cy="1922145"/>
            <wp:effectExtent l="0" t="0" r="0" b="1905"/>
            <wp:docPr id="1836472924" name="圖片 2" descr="一張含有 天空, 戶外, 發射站, 雲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472924" name="圖片 2" descr="一張含有 天空, 戶外, 發射站, 雲 的圖片&#10;&#10;自動產生的描述"/>
                    <pic:cNvPicPr/>
                  </pic:nvPicPr>
                  <pic:blipFill rotWithShape="1">
                    <a:blip r:embed="rId12">
                      <a:extLst>
                        <a:ext uri="{28A0092B-C50C-407E-A947-70E740481C1C}">
                          <a14:useLocalDpi xmlns:a14="http://schemas.microsoft.com/office/drawing/2010/main" val="0"/>
                        </a:ext>
                      </a:extLst>
                    </a:blip>
                    <a:srcRect t="11258"/>
                    <a:stretch/>
                  </pic:blipFill>
                  <pic:spPr bwMode="auto">
                    <a:xfrm>
                      <a:off x="0" y="0"/>
                      <a:ext cx="3747113" cy="1925492"/>
                    </a:xfrm>
                    <a:prstGeom prst="rect">
                      <a:avLst/>
                    </a:prstGeom>
                    <a:ln>
                      <a:noFill/>
                    </a:ln>
                    <a:extLst>
                      <a:ext uri="{53640926-AAD7-44D8-BBD7-CCE9431645EC}">
                        <a14:shadowObscured xmlns:a14="http://schemas.microsoft.com/office/drawing/2010/main"/>
                      </a:ext>
                    </a:extLst>
                  </pic:spPr>
                </pic:pic>
              </a:graphicData>
            </a:graphic>
          </wp:inline>
        </w:drawing>
      </w:r>
      <w:bookmarkEnd w:id="33"/>
    </w:p>
    <w:p w14:paraId="3E7B1E5D" w14:textId="4F54AA50" w:rsidR="00237C33" w:rsidRPr="002A4102" w:rsidRDefault="00237C33" w:rsidP="00E96C66">
      <w:pPr>
        <w:pStyle w:val="a1"/>
      </w:pPr>
      <w:bookmarkStart w:id="34" w:name="_Toc185426104"/>
      <w:bookmarkStart w:id="35" w:name="_Toc185605708"/>
      <w:bookmarkStart w:id="36" w:name="_Toc186029827"/>
      <w:r w:rsidRPr="002A4102">
        <w:t>柏崎刈羽核能發電廠1~4號機</w:t>
      </w:r>
      <w:bookmarkEnd w:id="34"/>
      <w:bookmarkEnd w:id="35"/>
      <w:bookmarkEnd w:id="36"/>
    </w:p>
    <w:p w14:paraId="78D31D53" w14:textId="262908CA" w:rsidR="00237C33" w:rsidRPr="002A4102" w:rsidRDefault="00237C33" w:rsidP="00505E43">
      <w:pPr>
        <w:spacing w:beforeLines="15" w:before="36" w:afterLines="15" w:after="36"/>
        <w:jc w:val="center"/>
        <w:outlineLvl w:val="1"/>
        <w:rPr>
          <w:rFonts w:ascii="標楷體" w:eastAsia="標楷體" w:hAnsi="標楷體"/>
          <w:bCs/>
          <w:spacing w:val="-10"/>
          <w:sz w:val="28"/>
          <w:szCs w:val="28"/>
        </w:rPr>
      </w:pPr>
      <w:bookmarkStart w:id="37" w:name="_Toc185412387"/>
      <w:r w:rsidRPr="002A4102">
        <w:rPr>
          <w:rFonts w:ascii="標楷體" w:eastAsia="標楷體" w:hAnsi="標楷體" w:hint="eastAsia"/>
          <w:bCs/>
          <w:noProof/>
          <w:spacing w:val="-10"/>
          <w:sz w:val="28"/>
          <w:szCs w:val="28"/>
        </w:rPr>
        <w:drawing>
          <wp:inline distT="0" distB="0" distL="0" distR="0" wp14:anchorId="0F42FD2F" wp14:editId="464E957C">
            <wp:extent cx="3705225" cy="2249424"/>
            <wp:effectExtent l="0" t="0" r="0" b="0"/>
            <wp:docPr id="686670415" name="圖片 3" descr="一張含有 空中攝影, 天空, 空中, 俯視圖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670415" name="圖片 3" descr="一張含有 空中攝影, 天空, 空中, 俯視圖 的圖片&#10;&#10;自動產生的描述"/>
                    <pic:cNvPicPr/>
                  </pic:nvPicPr>
                  <pic:blipFill rotWithShape="1">
                    <a:blip r:embed="rId13">
                      <a:extLst>
                        <a:ext uri="{28A0092B-C50C-407E-A947-70E740481C1C}">
                          <a14:useLocalDpi xmlns:a14="http://schemas.microsoft.com/office/drawing/2010/main" val="0"/>
                        </a:ext>
                      </a:extLst>
                    </a:blip>
                    <a:srcRect t="4756" b="7463"/>
                    <a:stretch/>
                  </pic:blipFill>
                  <pic:spPr bwMode="auto">
                    <a:xfrm>
                      <a:off x="0" y="0"/>
                      <a:ext cx="3718858" cy="2257701"/>
                    </a:xfrm>
                    <a:prstGeom prst="rect">
                      <a:avLst/>
                    </a:prstGeom>
                    <a:ln>
                      <a:noFill/>
                    </a:ln>
                    <a:extLst>
                      <a:ext uri="{53640926-AAD7-44D8-BBD7-CCE9431645EC}">
                        <a14:shadowObscured xmlns:a14="http://schemas.microsoft.com/office/drawing/2010/main"/>
                      </a:ext>
                    </a:extLst>
                  </pic:spPr>
                </pic:pic>
              </a:graphicData>
            </a:graphic>
          </wp:inline>
        </w:drawing>
      </w:r>
      <w:bookmarkEnd w:id="37"/>
    </w:p>
    <w:p w14:paraId="5A7D5BF7" w14:textId="009D8A41" w:rsidR="00237C33" w:rsidRPr="002A4102" w:rsidRDefault="00237C33" w:rsidP="00E96C66">
      <w:pPr>
        <w:pStyle w:val="a1"/>
      </w:pPr>
      <w:bookmarkStart w:id="38" w:name="_Toc185426105"/>
      <w:bookmarkStart w:id="39" w:name="_Toc185605709"/>
      <w:bookmarkStart w:id="40" w:name="_Toc186029828"/>
      <w:r w:rsidRPr="002A4102">
        <w:t>柏崎刈羽核能發電廠</w:t>
      </w:r>
      <w:r w:rsidRPr="002A4102">
        <w:rPr>
          <w:rFonts w:hint="eastAsia"/>
        </w:rPr>
        <w:t>5-7</w:t>
      </w:r>
      <w:r w:rsidRPr="002A4102">
        <w:t>號機</w:t>
      </w:r>
      <w:bookmarkEnd w:id="38"/>
      <w:bookmarkEnd w:id="39"/>
      <w:bookmarkEnd w:id="40"/>
    </w:p>
    <w:p w14:paraId="3C8314BD" w14:textId="3362A8A6" w:rsidR="00237C33" w:rsidRPr="002A4102" w:rsidRDefault="00B5336F" w:rsidP="00505E43">
      <w:pPr>
        <w:spacing w:beforeLines="15" w:before="36" w:afterLines="15" w:after="36"/>
        <w:jc w:val="both"/>
        <w:outlineLvl w:val="1"/>
        <w:rPr>
          <w:rFonts w:ascii="標楷體" w:eastAsia="標楷體" w:hAnsi="標楷體"/>
          <w:bCs/>
          <w:spacing w:val="-10"/>
          <w:sz w:val="28"/>
          <w:szCs w:val="28"/>
        </w:rPr>
      </w:pPr>
      <w:bookmarkStart w:id="41" w:name="_Toc185412388"/>
      <w:r w:rsidRPr="002A4102">
        <w:rPr>
          <w:rFonts w:ascii="標楷體" w:eastAsia="標楷體" w:hAnsi="標楷體" w:hint="eastAsia"/>
          <w:bCs/>
          <w:noProof/>
          <w:spacing w:val="-10"/>
          <w:sz w:val="28"/>
          <w:szCs w:val="28"/>
        </w:rPr>
        <w:drawing>
          <wp:inline distT="0" distB="0" distL="0" distR="0" wp14:anchorId="6AECBC39" wp14:editId="4EA4D33A">
            <wp:extent cx="5707380" cy="3415242"/>
            <wp:effectExtent l="0" t="0" r="7620" b="0"/>
            <wp:docPr id="123229687" name="圖片 4" descr="一張含有 文字, 螢幕擷取畫面, 圖表, 設計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29687" name="圖片 4" descr="一張含有 文字, 螢幕擷取畫面, 圖表, 設計 的圖片&#10;&#10;自動產生的描述"/>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08635" cy="3415993"/>
                    </a:xfrm>
                    <a:prstGeom prst="rect">
                      <a:avLst/>
                    </a:prstGeom>
                  </pic:spPr>
                </pic:pic>
              </a:graphicData>
            </a:graphic>
          </wp:inline>
        </w:drawing>
      </w:r>
      <w:bookmarkEnd w:id="41"/>
    </w:p>
    <w:p w14:paraId="402C7993" w14:textId="0F933810" w:rsidR="00B5336F" w:rsidRPr="002A4102" w:rsidRDefault="00B5336F" w:rsidP="00E96C66">
      <w:pPr>
        <w:pStyle w:val="a1"/>
      </w:pPr>
      <w:bookmarkStart w:id="42" w:name="_Toc185426106"/>
      <w:bookmarkStart w:id="43" w:name="_Toc185605710"/>
      <w:bookmarkStart w:id="44" w:name="_Toc186029829"/>
      <w:r w:rsidRPr="002A4102">
        <w:t>柏崎刈羽核能發電廠6~7號機</w:t>
      </w:r>
      <w:r w:rsidRPr="002A4102">
        <w:rPr>
          <w:rFonts w:hint="eastAsia"/>
        </w:rPr>
        <w:t>之</w:t>
      </w:r>
      <w:r w:rsidRPr="002A4102">
        <w:t>改良型沸騰水型反應</w:t>
      </w:r>
      <w:r w:rsidRPr="002A4102">
        <w:rPr>
          <w:rFonts w:hint="eastAsia"/>
        </w:rPr>
        <w:t>器</w:t>
      </w:r>
      <w:r w:rsidRPr="002A4102">
        <w:rPr>
          <w:rStyle w:val="aff9"/>
          <w:bCs/>
          <w:szCs w:val="32"/>
        </w:rPr>
        <w:footnoteReference w:id="2"/>
      </w:r>
      <w:bookmarkEnd w:id="42"/>
      <w:bookmarkEnd w:id="43"/>
      <w:bookmarkEnd w:id="44"/>
    </w:p>
    <w:p w14:paraId="2DC7DDB1" w14:textId="39174C77" w:rsidR="00B5336F" w:rsidRPr="002A4102" w:rsidRDefault="00B5336F" w:rsidP="003213CB">
      <w:pPr>
        <w:pStyle w:val="aff4"/>
        <w:spacing w:beforeLines="15" w:before="36" w:afterLines="15" w:after="36" w:line="440" w:lineRule="exact"/>
        <w:ind w:left="720" w:hangingChars="300" w:hanging="720"/>
        <w:jc w:val="both"/>
        <w:rPr>
          <w:bCs/>
          <w:sz w:val="24"/>
          <w:szCs w:val="32"/>
        </w:rPr>
      </w:pPr>
      <w:r w:rsidRPr="002A4102">
        <w:rPr>
          <w:rFonts w:hint="eastAsia"/>
          <w:bCs/>
          <w:sz w:val="24"/>
          <w:szCs w:val="32"/>
        </w:rPr>
        <w:lastRenderedPageBreak/>
        <w:t>備註：</w:t>
      </w:r>
      <w:r w:rsidRPr="002A4102">
        <w:rPr>
          <w:bCs/>
          <w:sz w:val="24"/>
          <w:szCs w:val="32"/>
        </w:rPr>
        <w:t>核能發電與火力發電同樣是利用蒸汽的力量旋轉渦輪機來發電。火力發電是燃燒石油、煤炭、液化天然氣等化石燃料產生蒸汽，而核能發電則是利用稱為「鈾」的資源進行核分裂時產生的熱能，</w:t>
      </w:r>
      <w:r w:rsidRPr="002A4102">
        <w:rPr>
          <w:rFonts w:hint="eastAsia"/>
          <w:bCs/>
          <w:sz w:val="24"/>
          <w:szCs w:val="32"/>
        </w:rPr>
        <w:t>此為</w:t>
      </w:r>
      <w:r w:rsidRPr="002A4102">
        <w:rPr>
          <w:bCs/>
          <w:sz w:val="24"/>
          <w:szCs w:val="32"/>
        </w:rPr>
        <w:t>兩者最大的不同</w:t>
      </w:r>
      <w:r w:rsidRPr="002A4102">
        <w:rPr>
          <w:rFonts w:hint="eastAsia"/>
          <w:bCs/>
          <w:sz w:val="24"/>
          <w:szCs w:val="32"/>
        </w:rPr>
        <w:t>。</w:t>
      </w:r>
      <w:r w:rsidRPr="002A4102">
        <w:rPr>
          <w:bCs/>
          <w:sz w:val="24"/>
          <w:szCs w:val="32"/>
        </w:rPr>
        <w:t>核能發電可以大幅抑制二氧化碳排放量，而且用過的燃料可以再利用。</w:t>
      </w:r>
    </w:p>
    <w:p w14:paraId="16F82707" w14:textId="77777777" w:rsidR="0007682F" w:rsidRPr="002A4102" w:rsidRDefault="0007682F" w:rsidP="003213CB">
      <w:pPr>
        <w:pStyle w:val="aff4"/>
        <w:spacing w:beforeLines="15" w:before="36" w:afterLines="15" w:after="36" w:line="440" w:lineRule="exact"/>
        <w:ind w:left="720" w:hangingChars="300" w:hanging="720"/>
        <w:jc w:val="both"/>
        <w:rPr>
          <w:bCs/>
          <w:sz w:val="24"/>
          <w:szCs w:val="32"/>
        </w:rPr>
      </w:pPr>
    </w:p>
    <w:p w14:paraId="38C6DC6A" w14:textId="33E30526" w:rsidR="00B5336F" w:rsidRPr="002A4102" w:rsidRDefault="00E96AE8" w:rsidP="00505E43">
      <w:pPr>
        <w:spacing w:beforeLines="15" w:before="36" w:afterLines="15" w:after="36"/>
        <w:jc w:val="both"/>
        <w:outlineLvl w:val="1"/>
        <w:rPr>
          <w:rFonts w:ascii="標楷體" w:eastAsia="標楷體" w:hAnsi="標楷體"/>
          <w:bCs/>
          <w:spacing w:val="-10"/>
          <w:sz w:val="28"/>
          <w:szCs w:val="28"/>
        </w:rPr>
      </w:pPr>
      <w:bookmarkStart w:id="45" w:name="_Toc185412389"/>
      <w:r w:rsidRPr="002A4102">
        <w:rPr>
          <w:rFonts w:ascii="標楷體" w:eastAsia="標楷體" w:hAnsi="標楷體"/>
          <w:bCs/>
          <w:noProof/>
          <w:spacing w:val="-10"/>
          <w:sz w:val="28"/>
          <w:szCs w:val="28"/>
        </w:rPr>
        <w:drawing>
          <wp:inline distT="0" distB="0" distL="0" distR="0" wp14:anchorId="274953A7" wp14:editId="6EE83D4B">
            <wp:extent cx="5760085" cy="3854450"/>
            <wp:effectExtent l="19050" t="19050" r="12065" b="12700"/>
            <wp:docPr id="207719591" name="圖片 5" descr="一張含有 文字, 螢幕擷取畫面, 地圖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19591" name="圖片 5" descr="一張含有 文字, 螢幕擷取畫面, 地圖 的圖片&#10;&#10;自動產生的描述"/>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085" cy="3854450"/>
                    </a:xfrm>
                    <a:prstGeom prst="rect">
                      <a:avLst/>
                    </a:prstGeom>
                    <a:ln>
                      <a:solidFill>
                        <a:schemeClr val="accent1"/>
                      </a:solidFill>
                    </a:ln>
                  </pic:spPr>
                </pic:pic>
              </a:graphicData>
            </a:graphic>
          </wp:inline>
        </w:drawing>
      </w:r>
      <w:bookmarkEnd w:id="45"/>
    </w:p>
    <w:p w14:paraId="1E36030D" w14:textId="506233D8" w:rsidR="00E96AE8" w:rsidRPr="002A4102" w:rsidRDefault="00E96AE8" w:rsidP="00E96C66">
      <w:pPr>
        <w:pStyle w:val="a1"/>
      </w:pPr>
      <w:bookmarkStart w:id="46" w:name="_Toc185426107"/>
      <w:bookmarkStart w:id="47" w:name="_Toc185605711"/>
      <w:bookmarkStart w:id="48" w:name="_Toc186029830"/>
      <w:r w:rsidRPr="002A4102">
        <w:t>柏崎刈羽核能發電廠</w:t>
      </w:r>
      <w:r w:rsidRPr="002A4102">
        <w:rPr>
          <w:rFonts w:hint="eastAsia"/>
        </w:rPr>
        <w:t>主要設備配置圖</w:t>
      </w:r>
      <w:r w:rsidRPr="002A4102">
        <w:rPr>
          <w:rStyle w:val="aff9"/>
          <w:bCs/>
          <w:szCs w:val="32"/>
        </w:rPr>
        <w:footnoteReference w:id="3"/>
      </w:r>
      <w:bookmarkEnd w:id="46"/>
      <w:bookmarkEnd w:id="47"/>
      <w:bookmarkEnd w:id="48"/>
    </w:p>
    <w:p w14:paraId="539AA90B" w14:textId="4A086090" w:rsidR="0007682F" w:rsidRPr="007748E4" w:rsidRDefault="0007682F" w:rsidP="009C4EE0">
      <w:pPr>
        <w:numPr>
          <w:ilvl w:val="2"/>
          <w:numId w:val="2"/>
        </w:numPr>
        <w:tabs>
          <w:tab w:val="left" w:pos="-1920"/>
        </w:tabs>
        <w:snapToGrid w:val="0"/>
        <w:spacing w:beforeLines="15" w:before="36" w:afterLines="15" w:after="36" w:line="440" w:lineRule="exact"/>
        <w:jc w:val="both"/>
        <w:outlineLvl w:val="0"/>
        <w:rPr>
          <w:rFonts w:ascii="標楷體" w:eastAsia="標楷體" w:hAnsi="標楷體"/>
          <w:bCs/>
          <w:spacing w:val="-10"/>
          <w:sz w:val="28"/>
          <w:szCs w:val="28"/>
        </w:rPr>
      </w:pPr>
      <w:r w:rsidRPr="007748E4">
        <w:rPr>
          <w:rFonts w:ascii="標楷體" w:eastAsia="標楷體" w:hAnsi="標楷體"/>
          <w:bCs/>
          <w:spacing w:val="-10"/>
          <w:sz w:val="28"/>
          <w:szCs w:val="28"/>
        </w:rPr>
        <w:lastRenderedPageBreak/>
        <w:t>福島第一核電廠事故的經過與教訓</w:t>
      </w:r>
    </w:p>
    <w:p w14:paraId="56618968" w14:textId="376A97EB" w:rsidR="00302667" w:rsidRPr="002A4102" w:rsidRDefault="00302667" w:rsidP="00BE1EC0">
      <w:pPr>
        <w:tabs>
          <w:tab w:val="left" w:pos="-1920"/>
        </w:tabs>
        <w:snapToGrid w:val="0"/>
        <w:spacing w:beforeLines="15" w:before="36" w:afterLines="15" w:after="36"/>
        <w:jc w:val="center"/>
        <w:outlineLvl w:val="2"/>
        <w:rPr>
          <w:rFonts w:ascii="標楷體" w:eastAsia="標楷體" w:hAnsi="標楷體"/>
          <w:bCs/>
          <w:sz w:val="28"/>
          <w:szCs w:val="36"/>
        </w:rPr>
      </w:pPr>
      <w:r w:rsidRPr="002A4102">
        <w:rPr>
          <w:rFonts w:ascii="標楷體" w:eastAsia="標楷體" w:hAnsi="標楷體"/>
          <w:bCs/>
          <w:noProof/>
          <w:sz w:val="28"/>
          <w:szCs w:val="36"/>
        </w:rPr>
        <w:drawing>
          <wp:inline distT="0" distB="0" distL="0" distR="0" wp14:anchorId="0F52ED1D" wp14:editId="246B584E">
            <wp:extent cx="5304497" cy="7334250"/>
            <wp:effectExtent l="19050" t="19050" r="10795" b="19050"/>
            <wp:docPr id="1121037157" name="圖片 6" descr="一張含有 文字, 螢幕擷取畫面, 字型, 數字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037157" name="圖片 6" descr="一張含有 文字, 螢幕擷取畫面, 字型, 數字 的圖片&#10;&#10;自動產生的描述"/>
                    <pic:cNvPicPr/>
                  </pic:nvPicPr>
                  <pic:blipFill>
                    <a:blip r:embed="rId16">
                      <a:extLst>
                        <a:ext uri="{28A0092B-C50C-407E-A947-70E740481C1C}">
                          <a14:useLocalDpi xmlns:a14="http://schemas.microsoft.com/office/drawing/2010/main" val="0"/>
                        </a:ext>
                      </a:extLst>
                    </a:blip>
                    <a:stretch>
                      <a:fillRect/>
                    </a:stretch>
                  </pic:blipFill>
                  <pic:spPr>
                    <a:xfrm>
                      <a:off x="0" y="0"/>
                      <a:ext cx="5319599" cy="7355131"/>
                    </a:xfrm>
                    <a:prstGeom prst="rect">
                      <a:avLst/>
                    </a:prstGeom>
                    <a:ln>
                      <a:solidFill>
                        <a:schemeClr val="accent1"/>
                      </a:solidFill>
                    </a:ln>
                  </pic:spPr>
                </pic:pic>
              </a:graphicData>
            </a:graphic>
          </wp:inline>
        </w:drawing>
      </w:r>
    </w:p>
    <w:p w14:paraId="0EAC58B0" w14:textId="78545A76" w:rsidR="00302667" w:rsidRPr="002A4102" w:rsidRDefault="00302667" w:rsidP="00E96C66">
      <w:pPr>
        <w:pStyle w:val="a1"/>
      </w:pPr>
      <w:bookmarkStart w:id="49" w:name="_Toc185426108"/>
      <w:bookmarkStart w:id="50" w:name="_Toc185605712"/>
      <w:bookmarkStart w:id="51" w:name="_Toc186029831"/>
      <w:r w:rsidRPr="002A4102">
        <w:t>福島第一核電廠事故的經過與教訓</w:t>
      </w:r>
      <w:r w:rsidRPr="002A4102">
        <w:rPr>
          <w:rFonts w:hint="eastAsia"/>
        </w:rPr>
        <w:t>之示意圖</w:t>
      </w:r>
      <w:bookmarkEnd w:id="49"/>
      <w:bookmarkEnd w:id="50"/>
      <w:bookmarkEnd w:id="51"/>
    </w:p>
    <w:p w14:paraId="283AD82F" w14:textId="1D23AB27" w:rsidR="0007682F" w:rsidRPr="007748E4" w:rsidRDefault="0007682F" w:rsidP="009C4EE0">
      <w:pPr>
        <w:numPr>
          <w:ilvl w:val="3"/>
          <w:numId w:val="2"/>
        </w:numPr>
        <w:tabs>
          <w:tab w:val="left" w:pos="-1920"/>
        </w:tabs>
        <w:snapToGrid w:val="0"/>
        <w:spacing w:beforeLines="15" w:before="36" w:afterLines="15" w:after="36" w:line="440" w:lineRule="exact"/>
        <w:jc w:val="both"/>
        <w:outlineLvl w:val="0"/>
        <w:rPr>
          <w:rFonts w:ascii="標楷體" w:eastAsia="標楷體" w:hAnsi="標楷體"/>
          <w:bCs/>
          <w:spacing w:val="-10"/>
          <w:sz w:val="28"/>
          <w:szCs w:val="28"/>
        </w:rPr>
      </w:pPr>
      <w:r w:rsidRPr="007748E4">
        <w:rPr>
          <w:rFonts w:ascii="標楷體" w:eastAsia="標楷體" w:hAnsi="標楷體" w:hint="eastAsia"/>
          <w:bCs/>
          <w:spacing w:val="-10"/>
          <w:sz w:val="28"/>
          <w:szCs w:val="28"/>
        </w:rPr>
        <w:t>時間軸</w:t>
      </w:r>
    </w:p>
    <w:p w14:paraId="0005E81D" w14:textId="0974728A" w:rsidR="0007682F" w:rsidRPr="007748E4" w:rsidRDefault="0007682F" w:rsidP="009C4EE0">
      <w:pPr>
        <w:numPr>
          <w:ilvl w:val="4"/>
          <w:numId w:val="2"/>
        </w:numPr>
        <w:tabs>
          <w:tab w:val="left" w:pos="-1920"/>
        </w:tabs>
        <w:snapToGrid w:val="0"/>
        <w:spacing w:beforeLines="15" w:before="36" w:afterLines="15" w:after="36" w:line="440" w:lineRule="exact"/>
        <w:jc w:val="both"/>
        <w:outlineLvl w:val="0"/>
        <w:rPr>
          <w:rFonts w:ascii="標楷體" w:eastAsia="標楷體" w:hAnsi="標楷體"/>
          <w:bCs/>
          <w:spacing w:val="-10"/>
          <w:sz w:val="28"/>
          <w:szCs w:val="28"/>
        </w:rPr>
      </w:pPr>
      <w:r w:rsidRPr="002A4102">
        <w:rPr>
          <w:rFonts w:ascii="標楷體" w:eastAsia="標楷體" w:hAnsi="標楷體"/>
          <w:bCs/>
          <w:sz w:val="28"/>
          <w:szCs w:val="36"/>
        </w:rPr>
        <w:t>2</w:t>
      </w:r>
      <w:r w:rsidRPr="007748E4">
        <w:rPr>
          <w:rFonts w:ascii="標楷體" w:eastAsia="標楷體" w:hAnsi="標楷體"/>
          <w:bCs/>
          <w:spacing w:val="-10"/>
          <w:sz w:val="28"/>
          <w:szCs w:val="28"/>
        </w:rPr>
        <w:t>011年3月11日14時46分</w:t>
      </w:r>
      <w:r w:rsidRPr="007748E4">
        <w:rPr>
          <w:rFonts w:ascii="標楷體" w:eastAsia="標楷體" w:hAnsi="標楷體" w:hint="eastAsia"/>
          <w:bCs/>
          <w:spacing w:val="-10"/>
          <w:sz w:val="28"/>
          <w:szCs w:val="28"/>
        </w:rPr>
        <w:t>：</w:t>
      </w:r>
      <w:r w:rsidRPr="007748E4">
        <w:rPr>
          <w:rFonts w:ascii="標楷體" w:eastAsia="標楷體" w:hAnsi="標楷體"/>
          <w:bCs/>
          <w:spacing w:val="-10"/>
          <w:sz w:val="28"/>
          <w:szCs w:val="28"/>
        </w:rPr>
        <w:t>發生地震(震央：三陸外海</w:t>
      </w:r>
      <w:r w:rsidR="002A4102" w:rsidRPr="007748E4">
        <w:rPr>
          <w:rFonts w:ascii="標楷體" w:eastAsia="標楷體" w:hAnsi="標楷體" w:hint="eastAsia"/>
          <w:bCs/>
          <w:spacing w:val="-10"/>
          <w:sz w:val="28"/>
          <w:szCs w:val="28"/>
        </w:rPr>
        <w:t>、</w:t>
      </w:r>
      <w:r w:rsidRPr="007748E4">
        <w:rPr>
          <w:rFonts w:ascii="標楷體" w:eastAsia="標楷體" w:hAnsi="標楷體"/>
          <w:bCs/>
          <w:spacing w:val="-10"/>
          <w:sz w:val="28"/>
          <w:szCs w:val="28"/>
        </w:rPr>
        <w:t>規模：</w:t>
      </w:r>
      <w:r w:rsidRPr="007748E4">
        <w:rPr>
          <w:rFonts w:ascii="標楷體" w:eastAsia="標楷體" w:hAnsi="標楷體"/>
          <w:bCs/>
          <w:spacing w:val="-10"/>
          <w:sz w:val="28"/>
          <w:szCs w:val="28"/>
        </w:rPr>
        <w:lastRenderedPageBreak/>
        <w:t>9.0)</w:t>
      </w:r>
    </w:p>
    <w:p w14:paraId="23453438" w14:textId="62835ED2" w:rsidR="0007682F" w:rsidRPr="007748E4" w:rsidRDefault="0007682F" w:rsidP="009C4EE0">
      <w:pPr>
        <w:numPr>
          <w:ilvl w:val="4"/>
          <w:numId w:val="2"/>
        </w:numPr>
        <w:tabs>
          <w:tab w:val="left" w:pos="-1920"/>
        </w:tabs>
        <w:snapToGrid w:val="0"/>
        <w:spacing w:beforeLines="15" w:before="36" w:afterLines="15" w:after="36" w:line="440" w:lineRule="exact"/>
        <w:jc w:val="both"/>
        <w:outlineLvl w:val="0"/>
        <w:rPr>
          <w:rFonts w:ascii="標楷體" w:eastAsia="標楷體" w:hAnsi="標楷體"/>
          <w:bCs/>
          <w:spacing w:val="-10"/>
          <w:sz w:val="28"/>
          <w:szCs w:val="28"/>
        </w:rPr>
      </w:pPr>
      <w:r w:rsidRPr="007748E4">
        <w:rPr>
          <w:rFonts w:ascii="標楷體" w:eastAsia="標楷體" w:hAnsi="標楷體"/>
          <w:bCs/>
          <w:spacing w:val="-10"/>
          <w:sz w:val="28"/>
          <w:szCs w:val="28"/>
        </w:rPr>
        <w:t>2011年3月11日15時35分</w:t>
      </w:r>
      <w:r w:rsidRPr="007748E4">
        <w:rPr>
          <w:rFonts w:ascii="標楷體" w:eastAsia="標楷體" w:hAnsi="標楷體" w:hint="eastAsia"/>
          <w:bCs/>
          <w:spacing w:val="-10"/>
          <w:sz w:val="28"/>
          <w:szCs w:val="28"/>
        </w:rPr>
        <w:t>：</w:t>
      </w:r>
      <w:r w:rsidRPr="007748E4">
        <w:rPr>
          <w:rFonts w:ascii="標楷體" w:eastAsia="標楷體" w:hAnsi="標楷體"/>
          <w:bCs/>
          <w:spacing w:val="-10"/>
          <w:sz w:val="28"/>
          <w:szCs w:val="28"/>
        </w:rPr>
        <w:t>海嘯來襲</w:t>
      </w:r>
      <w:r w:rsidR="002A4102" w:rsidRPr="007748E4">
        <w:rPr>
          <w:rFonts w:ascii="標楷體" w:eastAsia="標楷體" w:hAnsi="標楷體" w:hint="eastAsia"/>
          <w:bCs/>
          <w:spacing w:val="-10"/>
          <w:sz w:val="28"/>
          <w:szCs w:val="28"/>
        </w:rPr>
        <w:t>。</w:t>
      </w:r>
    </w:p>
    <w:p w14:paraId="3AC9B358" w14:textId="42581D12" w:rsidR="00302667" w:rsidRPr="007748E4" w:rsidRDefault="00302667" w:rsidP="009C4EE0">
      <w:pPr>
        <w:numPr>
          <w:ilvl w:val="3"/>
          <w:numId w:val="2"/>
        </w:numPr>
        <w:tabs>
          <w:tab w:val="left" w:pos="-1920"/>
        </w:tabs>
        <w:snapToGrid w:val="0"/>
        <w:spacing w:beforeLines="15" w:before="36" w:afterLines="15" w:after="36" w:line="440" w:lineRule="exact"/>
        <w:jc w:val="both"/>
        <w:outlineLvl w:val="0"/>
        <w:rPr>
          <w:rFonts w:ascii="標楷體" w:eastAsia="標楷體" w:hAnsi="標楷體"/>
          <w:bCs/>
          <w:spacing w:val="-10"/>
          <w:sz w:val="28"/>
          <w:szCs w:val="28"/>
        </w:rPr>
      </w:pPr>
      <w:r w:rsidRPr="007748E4">
        <w:rPr>
          <w:rFonts w:ascii="標楷體" w:eastAsia="標楷體" w:hAnsi="標楷體"/>
          <w:bCs/>
          <w:spacing w:val="-10"/>
          <w:sz w:val="28"/>
          <w:szCs w:val="28"/>
        </w:rPr>
        <w:t>事件流程</w:t>
      </w:r>
    </w:p>
    <w:p w14:paraId="1F0423E8" w14:textId="17809465" w:rsidR="00302667" w:rsidRPr="007748E4" w:rsidRDefault="00302667" w:rsidP="009C4EE0">
      <w:pPr>
        <w:numPr>
          <w:ilvl w:val="4"/>
          <w:numId w:val="2"/>
        </w:numPr>
        <w:tabs>
          <w:tab w:val="left" w:pos="-1920"/>
        </w:tabs>
        <w:snapToGrid w:val="0"/>
        <w:spacing w:beforeLines="15" w:before="36" w:afterLines="15" w:after="36" w:line="440" w:lineRule="exact"/>
        <w:jc w:val="both"/>
        <w:outlineLvl w:val="0"/>
        <w:rPr>
          <w:rFonts w:ascii="標楷體" w:eastAsia="標楷體" w:hAnsi="標楷體"/>
          <w:bCs/>
          <w:spacing w:val="-10"/>
          <w:sz w:val="28"/>
          <w:szCs w:val="28"/>
        </w:rPr>
      </w:pPr>
      <w:r w:rsidRPr="007748E4">
        <w:rPr>
          <w:rFonts w:ascii="標楷體" w:eastAsia="標楷體" w:hAnsi="標楷體" w:hint="eastAsia"/>
          <w:bCs/>
          <w:spacing w:val="-10"/>
          <w:sz w:val="28"/>
          <w:szCs w:val="28"/>
        </w:rPr>
        <w:t>停止</w:t>
      </w:r>
    </w:p>
    <w:p w14:paraId="1D14C526" w14:textId="7B21B5CE" w:rsidR="0007682F" w:rsidRPr="002A4102" w:rsidRDefault="00A95445" w:rsidP="009C4EE0">
      <w:pPr>
        <w:numPr>
          <w:ilvl w:val="1"/>
          <w:numId w:val="3"/>
        </w:numPr>
        <w:spacing w:beforeLines="15" w:before="36" w:afterLines="15" w:after="36" w:line="440" w:lineRule="exact"/>
        <w:ind w:left="1815" w:hanging="227"/>
        <w:jc w:val="both"/>
        <w:outlineLvl w:val="1"/>
        <w:rPr>
          <w:rFonts w:ascii="標楷體" w:eastAsia="標楷體" w:hAnsi="標楷體"/>
          <w:bCs/>
          <w:spacing w:val="-10"/>
          <w:sz w:val="28"/>
          <w:szCs w:val="28"/>
        </w:rPr>
      </w:pPr>
      <w:bookmarkStart w:id="52" w:name="_Toc185412390"/>
      <w:r>
        <w:rPr>
          <w:rFonts w:ascii="標楷體" w:eastAsia="標楷體" w:hAnsi="標楷體"/>
          <w:bCs/>
          <w:spacing w:val="-10"/>
          <w:sz w:val="28"/>
          <w:szCs w:val="28"/>
        </w:rPr>
        <w:t>反應器</w:t>
      </w:r>
      <w:r w:rsidR="0007682F" w:rsidRPr="002A4102">
        <w:rPr>
          <w:rFonts w:ascii="標楷體" w:eastAsia="標楷體" w:hAnsi="標楷體"/>
          <w:bCs/>
          <w:spacing w:val="-10"/>
          <w:sz w:val="28"/>
          <w:szCs w:val="28"/>
        </w:rPr>
        <w:t>自動停止</w:t>
      </w:r>
      <w:r w:rsidR="0007682F" w:rsidRPr="002A4102">
        <w:rPr>
          <w:rFonts w:ascii="標楷體" w:eastAsia="標楷體" w:hAnsi="標楷體" w:hint="eastAsia"/>
          <w:bCs/>
          <w:spacing w:val="-10"/>
          <w:sz w:val="28"/>
          <w:szCs w:val="28"/>
        </w:rPr>
        <w:t>：</w:t>
      </w:r>
      <w:r w:rsidR="0007682F" w:rsidRPr="002A4102">
        <w:rPr>
          <w:rFonts w:ascii="標楷體" w:eastAsia="標楷體" w:hAnsi="標楷體"/>
          <w:bCs/>
          <w:spacing w:val="-10"/>
          <w:sz w:val="28"/>
          <w:szCs w:val="28"/>
        </w:rPr>
        <w:t>運轉中1、2、3號機反應</w:t>
      </w:r>
      <w:r w:rsidR="0007682F" w:rsidRPr="002A4102">
        <w:rPr>
          <w:rFonts w:ascii="標楷體" w:eastAsia="標楷體" w:hAnsi="標楷體" w:hint="eastAsia"/>
          <w:bCs/>
          <w:spacing w:val="-10"/>
          <w:sz w:val="28"/>
          <w:szCs w:val="28"/>
        </w:rPr>
        <w:t>器</w:t>
      </w:r>
      <w:r w:rsidR="0007682F" w:rsidRPr="002A4102">
        <w:rPr>
          <w:rFonts w:ascii="標楷體" w:eastAsia="標楷體" w:hAnsi="標楷體"/>
          <w:bCs/>
          <w:spacing w:val="-10"/>
          <w:sz w:val="28"/>
          <w:szCs w:val="28"/>
        </w:rPr>
        <w:t>自動停止</w:t>
      </w:r>
      <w:r w:rsidR="00BD14E7" w:rsidRPr="002A4102">
        <w:rPr>
          <w:rFonts w:ascii="標楷體" w:eastAsia="標楷體" w:hAnsi="標楷體" w:hint="eastAsia"/>
          <w:bCs/>
          <w:spacing w:val="-10"/>
          <w:sz w:val="28"/>
          <w:szCs w:val="28"/>
        </w:rPr>
        <w:t>。</w:t>
      </w:r>
      <w:bookmarkEnd w:id="52"/>
    </w:p>
    <w:p w14:paraId="26E23F2D" w14:textId="5872A4D8" w:rsidR="0007682F" w:rsidRPr="002A4102" w:rsidRDefault="0007682F" w:rsidP="009C4EE0">
      <w:pPr>
        <w:numPr>
          <w:ilvl w:val="1"/>
          <w:numId w:val="3"/>
        </w:numPr>
        <w:spacing w:beforeLines="15" w:before="36" w:afterLines="15" w:after="36" w:line="440" w:lineRule="exact"/>
        <w:ind w:left="1815" w:hanging="227"/>
        <w:jc w:val="both"/>
        <w:outlineLvl w:val="1"/>
        <w:rPr>
          <w:rFonts w:ascii="標楷體" w:eastAsia="標楷體" w:hAnsi="標楷體"/>
          <w:bCs/>
          <w:spacing w:val="-10"/>
          <w:sz w:val="28"/>
          <w:szCs w:val="28"/>
        </w:rPr>
      </w:pPr>
      <w:bookmarkStart w:id="53" w:name="_Toc185412391"/>
      <w:r w:rsidRPr="002A4102">
        <w:rPr>
          <w:rFonts w:ascii="標楷體" w:eastAsia="標楷體" w:hAnsi="標楷體"/>
          <w:bCs/>
          <w:spacing w:val="-10"/>
          <w:sz w:val="28"/>
          <w:szCs w:val="28"/>
        </w:rPr>
        <w:t>輸配電設備損壞，失去外部電源</w:t>
      </w:r>
      <w:r w:rsidR="00302667" w:rsidRPr="002A4102">
        <w:rPr>
          <w:rFonts w:ascii="標楷體" w:eastAsia="標楷體" w:hAnsi="標楷體" w:hint="eastAsia"/>
          <w:bCs/>
          <w:spacing w:val="-10"/>
          <w:sz w:val="28"/>
          <w:szCs w:val="28"/>
        </w:rPr>
        <w:t>：</w:t>
      </w:r>
      <w:r w:rsidR="00302667" w:rsidRPr="002A4102">
        <w:rPr>
          <w:rFonts w:ascii="標楷體" w:eastAsia="標楷體" w:hAnsi="標楷體"/>
          <w:bCs/>
          <w:spacing w:val="-10"/>
          <w:sz w:val="28"/>
          <w:szCs w:val="28"/>
        </w:rPr>
        <w:t>受電設備損壞以及輸電鐵塔倒塌</w:t>
      </w:r>
      <w:r w:rsidR="00302667" w:rsidRPr="002A4102">
        <w:rPr>
          <w:rFonts w:ascii="標楷體" w:eastAsia="標楷體" w:hAnsi="標楷體" w:hint="eastAsia"/>
          <w:bCs/>
          <w:spacing w:val="-10"/>
          <w:sz w:val="28"/>
          <w:szCs w:val="28"/>
        </w:rPr>
        <w:t>。</w:t>
      </w:r>
      <w:bookmarkEnd w:id="53"/>
    </w:p>
    <w:p w14:paraId="223D40C1" w14:textId="163F27D5" w:rsidR="00302667" w:rsidRPr="002A4102" w:rsidRDefault="00302667" w:rsidP="009C4EE0">
      <w:pPr>
        <w:numPr>
          <w:ilvl w:val="1"/>
          <w:numId w:val="3"/>
        </w:numPr>
        <w:spacing w:beforeLines="15" w:before="36" w:afterLines="15" w:after="36" w:line="440" w:lineRule="exact"/>
        <w:ind w:left="1815" w:hanging="227"/>
        <w:jc w:val="both"/>
        <w:outlineLvl w:val="1"/>
        <w:rPr>
          <w:rFonts w:ascii="標楷體" w:eastAsia="標楷體" w:hAnsi="標楷體"/>
          <w:bCs/>
          <w:spacing w:val="-10"/>
          <w:sz w:val="28"/>
          <w:szCs w:val="28"/>
        </w:rPr>
      </w:pPr>
      <w:bookmarkStart w:id="54" w:name="_Toc185412392"/>
      <w:r w:rsidRPr="002A4102">
        <w:rPr>
          <w:rFonts w:ascii="標楷體" w:eastAsia="標楷體" w:hAnsi="標楷體"/>
          <w:bCs/>
          <w:spacing w:val="-10"/>
          <w:sz w:val="28"/>
          <w:szCs w:val="28"/>
        </w:rPr>
        <w:t>緊急電源啟動</w:t>
      </w:r>
      <w:r w:rsidRPr="002A4102">
        <w:rPr>
          <w:rFonts w:ascii="標楷體" w:eastAsia="標楷體" w:hAnsi="標楷體" w:hint="eastAsia"/>
          <w:bCs/>
          <w:spacing w:val="-10"/>
          <w:sz w:val="28"/>
          <w:szCs w:val="28"/>
        </w:rPr>
        <w:t>：</w:t>
      </w:r>
      <w:r w:rsidRPr="002A4102">
        <w:rPr>
          <w:rFonts w:ascii="標楷體" w:eastAsia="標楷體" w:hAnsi="標楷體"/>
          <w:bCs/>
          <w:spacing w:val="-10"/>
          <w:sz w:val="28"/>
          <w:szCs w:val="28"/>
        </w:rPr>
        <w:t>緊急柴油發電機啟動，持續向</w:t>
      </w:r>
      <w:r w:rsidR="00A95445">
        <w:rPr>
          <w:rFonts w:ascii="標楷體" w:eastAsia="標楷體" w:hAnsi="標楷體"/>
          <w:bCs/>
          <w:spacing w:val="-10"/>
          <w:sz w:val="28"/>
          <w:szCs w:val="28"/>
        </w:rPr>
        <w:t>反應器</w:t>
      </w:r>
      <w:r w:rsidRPr="002A4102">
        <w:rPr>
          <w:rFonts w:ascii="標楷體" w:eastAsia="標楷體" w:hAnsi="標楷體"/>
          <w:bCs/>
          <w:spacing w:val="-10"/>
          <w:sz w:val="28"/>
          <w:szCs w:val="28"/>
        </w:rPr>
        <w:t>注水</w:t>
      </w:r>
      <w:r w:rsidRPr="002A4102">
        <w:rPr>
          <w:rFonts w:ascii="標楷體" w:eastAsia="標楷體" w:hAnsi="標楷體" w:hint="eastAsia"/>
          <w:bCs/>
          <w:spacing w:val="-10"/>
          <w:sz w:val="28"/>
          <w:szCs w:val="28"/>
        </w:rPr>
        <w:t>。</w:t>
      </w:r>
      <w:bookmarkEnd w:id="54"/>
    </w:p>
    <w:p w14:paraId="4D88DEBA" w14:textId="49E390D3" w:rsidR="00302667" w:rsidRPr="007748E4" w:rsidRDefault="00302667" w:rsidP="009C4EE0">
      <w:pPr>
        <w:numPr>
          <w:ilvl w:val="4"/>
          <w:numId w:val="2"/>
        </w:numPr>
        <w:tabs>
          <w:tab w:val="left" w:pos="-1920"/>
        </w:tabs>
        <w:snapToGrid w:val="0"/>
        <w:spacing w:beforeLines="15" w:before="36" w:afterLines="15" w:after="36" w:line="440" w:lineRule="exact"/>
        <w:jc w:val="both"/>
        <w:outlineLvl w:val="0"/>
        <w:rPr>
          <w:rFonts w:ascii="標楷體" w:eastAsia="標楷體" w:hAnsi="標楷體"/>
          <w:bCs/>
          <w:spacing w:val="-10"/>
          <w:sz w:val="28"/>
          <w:szCs w:val="28"/>
        </w:rPr>
      </w:pPr>
      <w:r w:rsidRPr="007748E4">
        <w:rPr>
          <w:rFonts w:ascii="標楷體" w:eastAsia="標楷體" w:hAnsi="標楷體"/>
          <w:bCs/>
          <w:spacing w:val="-10"/>
          <w:sz w:val="28"/>
          <w:szCs w:val="28"/>
        </w:rPr>
        <w:t>冷卻</w:t>
      </w:r>
    </w:p>
    <w:p w14:paraId="35C1A64F" w14:textId="61037C65" w:rsidR="00302667" w:rsidRPr="002A4102" w:rsidRDefault="00302667" w:rsidP="009C4EE0">
      <w:pPr>
        <w:numPr>
          <w:ilvl w:val="1"/>
          <w:numId w:val="3"/>
        </w:numPr>
        <w:spacing w:beforeLines="15" w:before="36" w:afterLines="15" w:after="36" w:line="440" w:lineRule="exact"/>
        <w:ind w:left="1815" w:hanging="227"/>
        <w:jc w:val="both"/>
        <w:outlineLvl w:val="1"/>
        <w:rPr>
          <w:rFonts w:ascii="標楷體" w:eastAsia="標楷體" w:hAnsi="標楷體"/>
          <w:bCs/>
          <w:spacing w:val="-10"/>
          <w:sz w:val="28"/>
          <w:szCs w:val="28"/>
        </w:rPr>
      </w:pPr>
      <w:bookmarkStart w:id="55" w:name="_Toc185412393"/>
      <w:r w:rsidRPr="002A4102">
        <w:rPr>
          <w:rFonts w:ascii="標楷體" w:eastAsia="標楷體" w:hAnsi="標楷體"/>
          <w:bCs/>
          <w:spacing w:val="-10"/>
          <w:sz w:val="28"/>
          <w:szCs w:val="28"/>
        </w:rPr>
        <w:t>失去反應</w:t>
      </w:r>
      <w:r w:rsidRPr="002A4102">
        <w:rPr>
          <w:rFonts w:ascii="標楷體" w:eastAsia="標楷體" w:hAnsi="標楷體" w:hint="eastAsia"/>
          <w:bCs/>
          <w:spacing w:val="-10"/>
          <w:sz w:val="28"/>
          <w:szCs w:val="28"/>
        </w:rPr>
        <w:t>器</w:t>
      </w:r>
      <w:r w:rsidRPr="002A4102">
        <w:rPr>
          <w:rFonts w:ascii="標楷體" w:eastAsia="標楷體" w:hAnsi="標楷體"/>
          <w:bCs/>
          <w:spacing w:val="-10"/>
          <w:sz w:val="28"/>
          <w:szCs w:val="28"/>
        </w:rPr>
        <w:t>等設備冷卻所需的電源</w:t>
      </w:r>
      <w:r w:rsidRPr="002A4102">
        <w:rPr>
          <w:rFonts w:ascii="標楷體" w:eastAsia="標楷體" w:hAnsi="標楷體" w:hint="eastAsia"/>
          <w:bCs/>
          <w:spacing w:val="-10"/>
          <w:sz w:val="28"/>
          <w:szCs w:val="28"/>
        </w:rPr>
        <w:t>：</w:t>
      </w:r>
      <w:r w:rsidRPr="002A4102">
        <w:rPr>
          <w:rFonts w:ascii="標楷體" w:eastAsia="標楷體" w:hAnsi="標楷體"/>
          <w:bCs/>
          <w:spacing w:val="-10"/>
          <w:sz w:val="28"/>
          <w:szCs w:val="28"/>
        </w:rPr>
        <w:t>海嘯導致緊急柴油發電機等重要設備浸水，失去功能</w:t>
      </w:r>
      <w:r w:rsidRPr="002A4102">
        <w:rPr>
          <w:rFonts w:ascii="標楷體" w:eastAsia="標楷體" w:hAnsi="標楷體" w:hint="eastAsia"/>
          <w:bCs/>
          <w:spacing w:val="-10"/>
          <w:sz w:val="28"/>
          <w:szCs w:val="28"/>
        </w:rPr>
        <w:t>。</w:t>
      </w:r>
      <w:bookmarkEnd w:id="55"/>
    </w:p>
    <w:p w14:paraId="241D0B71" w14:textId="49D8CC7F" w:rsidR="00302667" w:rsidRPr="002A4102" w:rsidRDefault="00302667" w:rsidP="009C4EE0">
      <w:pPr>
        <w:numPr>
          <w:ilvl w:val="1"/>
          <w:numId w:val="3"/>
        </w:numPr>
        <w:spacing w:beforeLines="15" w:before="36" w:afterLines="15" w:after="36" w:line="440" w:lineRule="exact"/>
        <w:ind w:left="1815" w:hanging="227"/>
        <w:jc w:val="both"/>
        <w:outlineLvl w:val="1"/>
        <w:rPr>
          <w:rFonts w:ascii="標楷體" w:eastAsia="標楷體" w:hAnsi="標楷體"/>
          <w:bCs/>
          <w:spacing w:val="-10"/>
          <w:sz w:val="28"/>
          <w:szCs w:val="28"/>
        </w:rPr>
      </w:pPr>
      <w:bookmarkStart w:id="56" w:name="_Toc185412394"/>
      <w:r w:rsidRPr="002A4102">
        <w:rPr>
          <w:rFonts w:ascii="標楷體" w:eastAsia="標楷體" w:hAnsi="標楷體"/>
          <w:bCs/>
          <w:spacing w:val="-10"/>
          <w:sz w:val="28"/>
          <w:szCs w:val="28"/>
        </w:rPr>
        <w:t>失去冷卻反應</w:t>
      </w:r>
      <w:r w:rsidRPr="002A4102">
        <w:rPr>
          <w:rFonts w:ascii="標楷體" w:eastAsia="標楷體" w:hAnsi="標楷體" w:hint="eastAsia"/>
          <w:bCs/>
          <w:spacing w:val="-10"/>
          <w:sz w:val="28"/>
          <w:szCs w:val="28"/>
        </w:rPr>
        <w:t>器</w:t>
      </w:r>
      <w:r w:rsidRPr="002A4102">
        <w:rPr>
          <w:rFonts w:ascii="標楷體" w:eastAsia="標楷體" w:hAnsi="標楷體"/>
          <w:bCs/>
          <w:spacing w:val="-10"/>
          <w:sz w:val="28"/>
          <w:szCs w:val="28"/>
        </w:rPr>
        <w:t>等設備的功能</w:t>
      </w:r>
      <w:r w:rsidRPr="002A4102">
        <w:rPr>
          <w:rFonts w:ascii="標楷體" w:eastAsia="標楷體" w:hAnsi="標楷體" w:hint="eastAsia"/>
          <w:bCs/>
          <w:spacing w:val="-10"/>
          <w:sz w:val="28"/>
          <w:szCs w:val="28"/>
        </w:rPr>
        <w:t>：</w:t>
      </w:r>
      <w:r w:rsidR="00A95445">
        <w:rPr>
          <w:rFonts w:ascii="標楷體" w:eastAsia="標楷體" w:hAnsi="標楷體"/>
          <w:bCs/>
          <w:spacing w:val="-10"/>
          <w:sz w:val="28"/>
          <w:szCs w:val="28"/>
        </w:rPr>
        <w:t>反應器</w:t>
      </w:r>
      <w:r w:rsidRPr="002A4102">
        <w:rPr>
          <w:rFonts w:ascii="標楷體" w:eastAsia="標楷體" w:hAnsi="標楷體"/>
          <w:bCs/>
          <w:spacing w:val="-10"/>
          <w:sz w:val="28"/>
          <w:szCs w:val="28"/>
        </w:rPr>
        <w:t>注水停止，導致燃料溫度上升，發生熔毀</w:t>
      </w:r>
      <w:r w:rsidRPr="002A4102">
        <w:rPr>
          <w:rFonts w:ascii="標楷體" w:eastAsia="標楷體" w:hAnsi="標楷體" w:hint="eastAsia"/>
          <w:bCs/>
          <w:spacing w:val="-10"/>
          <w:sz w:val="28"/>
          <w:szCs w:val="28"/>
        </w:rPr>
        <w:t>，並</w:t>
      </w:r>
      <w:r w:rsidRPr="002A4102">
        <w:rPr>
          <w:rFonts w:ascii="標楷體" w:eastAsia="標楷體" w:hAnsi="標楷體"/>
          <w:bCs/>
          <w:spacing w:val="-10"/>
          <w:sz w:val="28"/>
          <w:szCs w:val="28"/>
        </w:rPr>
        <w:t>產生氫氣</w:t>
      </w:r>
      <w:r w:rsidRPr="002A4102">
        <w:rPr>
          <w:rFonts w:ascii="標楷體" w:eastAsia="標楷體" w:hAnsi="標楷體" w:hint="eastAsia"/>
          <w:bCs/>
          <w:spacing w:val="-10"/>
          <w:sz w:val="28"/>
          <w:szCs w:val="28"/>
        </w:rPr>
        <w:t>。</w:t>
      </w:r>
      <w:bookmarkEnd w:id="56"/>
    </w:p>
    <w:p w14:paraId="740153FC" w14:textId="6F97D757" w:rsidR="00302667" w:rsidRPr="007748E4" w:rsidRDefault="00302667" w:rsidP="009C4EE0">
      <w:pPr>
        <w:numPr>
          <w:ilvl w:val="4"/>
          <w:numId w:val="2"/>
        </w:numPr>
        <w:tabs>
          <w:tab w:val="left" w:pos="-1920"/>
        </w:tabs>
        <w:snapToGrid w:val="0"/>
        <w:spacing w:beforeLines="15" w:before="36" w:afterLines="15" w:after="36" w:line="440" w:lineRule="exact"/>
        <w:jc w:val="both"/>
        <w:outlineLvl w:val="0"/>
        <w:rPr>
          <w:rFonts w:ascii="標楷體" w:eastAsia="標楷體" w:hAnsi="標楷體"/>
          <w:bCs/>
          <w:spacing w:val="-10"/>
          <w:sz w:val="28"/>
          <w:szCs w:val="28"/>
        </w:rPr>
      </w:pPr>
      <w:r w:rsidRPr="007748E4">
        <w:rPr>
          <w:rFonts w:ascii="標楷體" w:eastAsia="標楷體" w:hAnsi="標楷體"/>
          <w:bCs/>
          <w:spacing w:val="-10"/>
          <w:sz w:val="28"/>
          <w:szCs w:val="28"/>
        </w:rPr>
        <w:t>封阻</w:t>
      </w:r>
    </w:p>
    <w:p w14:paraId="7FACBC38" w14:textId="0B0A8400" w:rsidR="00302667" w:rsidRPr="002A4102" w:rsidRDefault="00302667" w:rsidP="009C4EE0">
      <w:pPr>
        <w:numPr>
          <w:ilvl w:val="1"/>
          <w:numId w:val="3"/>
        </w:numPr>
        <w:spacing w:beforeLines="15" w:before="36" w:afterLines="15" w:after="36" w:line="440" w:lineRule="exact"/>
        <w:ind w:left="1815" w:hanging="227"/>
        <w:jc w:val="both"/>
        <w:outlineLvl w:val="1"/>
        <w:rPr>
          <w:rFonts w:ascii="標楷體" w:eastAsia="標楷體" w:hAnsi="標楷體"/>
          <w:bCs/>
          <w:spacing w:val="-10"/>
          <w:sz w:val="28"/>
          <w:szCs w:val="28"/>
        </w:rPr>
      </w:pPr>
      <w:bookmarkStart w:id="57" w:name="_Toc185412395"/>
      <w:r w:rsidRPr="002A4102">
        <w:rPr>
          <w:rFonts w:ascii="標楷體" w:eastAsia="標楷體" w:hAnsi="標楷體"/>
          <w:bCs/>
          <w:spacing w:val="-10"/>
          <w:sz w:val="28"/>
          <w:szCs w:val="28"/>
        </w:rPr>
        <w:t>壓力容器損壞、安全殼破損</w:t>
      </w:r>
      <w:r w:rsidRPr="002A4102">
        <w:rPr>
          <w:rFonts w:ascii="標楷體" w:eastAsia="標楷體" w:hAnsi="標楷體" w:hint="eastAsia"/>
          <w:bCs/>
          <w:spacing w:val="-10"/>
          <w:sz w:val="28"/>
          <w:szCs w:val="28"/>
        </w:rPr>
        <w:t>：</w:t>
      </w:r>
      <w:r w:rsidRPr="002A4102">
        <w:rPr>
          <w:rFonts w:ascii="標楷體" w:eastAsia="標楷體" w:hAnsi="標楷體"/>
          <w:bCs/>
          <w:spacing w:val="-10"/>
          <w:sz w:val="28"/>
          <w:szCs w:val="28"/>
        </w:rPr>
        <w:t>1、2、3號機安全殼破損</w:t>
      </w:r>
      <w:r w:rsidRPr="002A4102">
        <w:rPr>
          <w:rFonts w:ascii="標楷體" w:eastAsia="標楷體" w:hAnsi="標楷體" w:hint="eastAsia"/>
          <w:bCs/>
          <w:spacing w:val="-10"/>
          <w:sz w:val="28"/>
          <w:szCs w:val="28"/>
        </w:rPr>
        <w:t>，</w:t>
      </w:r>
      <w:r w:rsidRPr="002A4102">
        <w:rPr>
          <w:rFonts w:ascii="標楷體" w:eastAsia="標楷體" w:hAnsi="標楷體"/>
          <w:bCs/>
          <w:spacing w:val="-10"/>
          <w:sz w:val="28"/>
          <w:szCs w:val="28"/>
        </w:rPr>
        <w:t>放射性物質和氫氣洩漏到反應</w:t>
      </w:r>
      <w:r w:rsidRPr="002A4102">
        <w:rPr>
          <w:rFonts w:ascii="標楷體" w:eastAsia="標楷體" w:hAnsi="標楷體" w:hint="eastAsia"/>
          <w:bCs/>
          <w:spacing w:val="-10"/>
          <w:sz w:val="28"/>
          <w:szCs w:val="28"/>
        </w:rPr>
        <w:t>器</w:t>
      </w:r>
      <w:r w:rsidRPr="002A4102">
        <w:rPr>
          <w:rFonts w:ascii="標楷體" w:eastAsia="標楷體" w:hAnsi="標楷體"/>
          <w:bCs/>
          <w:spacing w:val="-10"/>
          <w:sz w:val="28"/>
          <w:szCs w:val="28"/>
        </w:rPr>
        <w:t>廠房</w:t>
      </w:r>
      <w:r w:rsidRPr="002A4102">
        <w:rPr>
          <w:rFonts w:ascii="標楷體" w:eastAsia="標楷體" w:hAnsi="標楷體" w:hint="eastAsia"/>
          <w:bCs/>
          <w:spacing w:val="-10"/>
          <w:sz w:val="28"/>
          <w:szCs w:val="28"/>
        </w:rPr>
        <w:t>。</w:t>
      </w:r>
      <w:bookmarkEnd w:id="57"/>
    </w:p>
    <w:p w14:paraId="0FAE1A67" w14:textId="2D769C3D" w:rsidR="00302667" w:rsidRPr="002A4102" w:rsidRDefault="00302667" w:rsidP="009C4EE0">
      <w:pPr>
        <w:numPr>
          <w:ilvl w:val="1"/>
          <w:numId w:val="3"/>
        </w:numPr>
        <w:spacing w:beforeLines="15" w:before="36" w:afterLines="15" w:after="36" w:line="440" w:lineRule="exact"/>
        <w:ind w:left="1815" w:hanging="227"/>
        <w:jc w:val="both"/>
        <w:outlineLvl w:val="1"/>
        <w:rPr>
          <w:rFonts w:ascii="標楷體" w:eastAsia="標楷體" w:hAnsi="標楷體"/>
          <w:bCs/>
          <w:spacing w:val="-10"/>
          <w:sz w:val="28"/>
          <w:szCs w:val="28"/>
        </w:rPr>
      </w:pPr>
      <w:bookmarkStart w:id="58" w:name="_Toc185412396"/>
      <w:r w:rsidRPr="002A4102">
        <w:rPr>
          <w:rFonts w:ascii="標楷體" w:eastAsia="標楷體" w:hAnsi="標楷體"/>
          <w:bCs/>
          <w:spacing w:val="-10"/>
          <w:sz w:val="28"/>
          <w:szCs w:val="28"/>
        </w:rPr>
        <w:t>氫氣爆炸導致廠房破損(1、3、4號機)</w:t>
      </w:r>
      <w:r w:rsidRPr="002A4102">
        <w:rPr>
          <w:rFonts w:ascii="標楷體" w:eastAsia="標楷體" w:hAnsi="標楷體" w:hint="eastAsia"/>
          <w:bCs/>
          <w:spacing w:val="-10"/>
          <w:sz w:val="28"/>
          <w:szCs w:val="28"/>
        </w:rPr>
        <w:t>：</w:t>
      </w:r>
      <w:r w:rsidRPr="002A4102">
        <w:rPr>
          <w:rFonts w:ascii="標楷體" w:eastAsia="標楷體" w:hAnsi="標楷體"/>
          <w:bCs/>
          <w:spacing w:val="-10"/>
          <w:sz w:val="28"/>
          <w:szCs w:val="28"/>
        </w:rPr>
        <w:t>反應</w:t>
      </w:r>
      <w:r w:rsidRPr="002A4102">
        <w:rPr>
          <w:rFonts w:ascii="標楷體" w:eastAsia="標楷體" w:hAnsi="標楷體" w:hint="eastAsia"/>
          <w:bCs/>
          <w:spacing w:val="-10"/>
          <w:sz w:val="28"/>
          <w:szCs w:val="28"/>
        </w:rPr>
        <w:t>器</w:t>
      </w:r>
      <w:r w:rsidRPr="002A4102">
        <w:rPr>
          <w:rFonts w:ascii="標楷體" w:eastAsia="標楷體" w:hAnsi="標楷體"/>
          <w:bCs/>
          <w:spacing w:val="-10"/>
          <w:sz w:val="28"/>
          <w:szCs w:val="28"/>
        </w:rPr>
        <w:t>廠房嚴重破損</w:t>
      </w:r>
      <w:r w:rsidRPr="002A4102">
        <w:rPr>
          <w:rFonts w:ascii="標楷體" w:eastAsia="標楷體" w:hAnsi="標楷體" w:hint="eastAsia"/>
          <w:bCs/>
          <w:spacing w:val="-10"/>
          <w:sz w:val="28"/>
          <w:szCs w:val="28"/>
        </w:rPr>
        <w:t>。</w:t>
      </w:r>
      <w:bookmarkEnd w:id="58"/>
    </w:p>
    <w:p w14:paraId="7C1C608B" w14:textId="4D51811E" w:rsidR="00302667" w:rsidRPr="007748E4" w:rsidRDefault="00302667" w:rsidP="009C4EE0">
      <w:pPr>
        <w:numPr>
          <w:ilvl w:val="4"/>
          <w:numId w:val="2"/>
        </w:numPr>
        <w:tabs>
          <w:tab w:val="left" w:pos="-1920"/>
        </w:tabs>
        <w:snapToGrid w:val="0"/>
        <w:spacing w:beforeLines="15" w:before="36" w:afterLines="15" w:after="36" w:line="440" w:lineRule="exact"/>
        <w:jc w:val="both"/>
        <w:outlineLvl w:val="0"/>
        <w:rPr>
          <w:rFonts w:ascii="標楷體" w:eastAsia="標楷體" w:hAnsi="標楷體"/>
          <w:bCs/>
          <w:spacing w:val="-10"/>
          <w:sz w:val="28"/>
          <w:szCs w:val="28"/>
        </w:rPr>
      </w:pPr>
      <w:r w:rsidRPr="007748E4">
        <w:rPr>
          <w:rFonts w:ascii="標楷體" w:eastAsia="標楷體" w:hAnsi="標楷體"/>
          <w:bCs/>
          <w:spacing w:val="-10"/>
          <w:sz w:val="28"/>
          <w:szCs w:val="28"/>
        </w:rPr>
        <w:t>放射性物質釋放到環境中(1、2、3號機)</w:t>
      </w:r>
      <w:r w:rsidRPr="007748E4">
        <w:rPr>
          <w:rFonts w:ascii="標楷體" w:eastAsia="標楷體" w:hAnsi="標楷體" w:hint="eastAsia"/>
          <w:bCs/>
          <w:spacing w:val="-10"/>
          <w:sz w:val="28"/>
          <w:szCs w:val="28"/>
        </w:rPr>
        <w:t>：</w:t>
      </w:r>
      <w:r w:rsidRPr="007748E4">
        <w:rPr>
          <w:rFonts w:ascii="標楷體" w:eastAsia="標楷體" w:hAnsi="標楷體"/>
          <w:bCs/>
          <w:spacing w:val="-10"/>
          <w:sz w:val="28"/>
          <w:szCs w:val="28"/>
        </w:rPr>
        <w:t>大規模土壤污染</w:t>
      </w:r>
      <w:r w:rsidRPr="007748E4">
        <w:rPr>
          <w:rFonts w:ascii="標楷體" w:eastAsia="標楷體" w:hAnsi="標楷體" w:hint="eastAsia"/>
          <w:bCs/>
          <w:spacing w:val="-10"/>
          <w:sz w:val="28"/>
          <w:szCs w:val="28"/>
        </w:rPr>
        <w:t>。</w:t>
      </w:r>
    </w:p>
    <w:p w14:paraId="4FA2115A" w14:textId="4C23B453" w:rsidR="00302667" w:rsidRPr="007748E4" w:rsidRDefault="00302667" w:rsidP="009C4EE0">
      <w:pPr>
        <w:numPr>
          <w:ilvl w:val="3"/>
          <w:numId w:val="2"/>
        </w:numPr>
        <w:tabs>
          <w:tab w:val="left" w:pos="-1920"/>
        </w:tabs>
        <w:snapToGrid w:val="0"/>
        <w:spacing w:beforeLines="15" w:before="36" w:afterLines="15" w:after="36" w:line="440" w:lineRule="exact"/>
        <w:jc w:val="both"/>
        <w:outlineLvl w:val="0"/>
        <w:rPr>
          <w:rFonts w:ascii="標楷體" w:eastAsia="標楷體" w:hAnsi="標楷體"/>
          <w:bCs/>
          <w:spacing w:val="-10"/>
          <w:sz w:val="28"/>
          <w:szCs w:val="28"/>
        </w:rPr>
      </w:pPr>
      <w:r w:rsidRPr="007748E4">
        <w:rPr>
          <w:rFonts w:ascii="標楷體" w:eastAsia="標楷體" w:hAnsi="標楷體"/>
          <w:bCs/>
          <w:spacing w:val="-10"/>
          <w:sz w:val="28"/>
          <w:szCs w:val="28"/>
        </w:rPr>
        <w:t>事故的教訓與安全對策</w:t>
      </w:r>
    </w:p>
    <w:p w14:paraId="0E50D741" w14:textId="7211EE2F" w:rsidR="00302667" w:rsidRPr="007748E4" w:rsidRDefault="00302667" w:rsidP="009C4EE0">
      <w:pPr>
        <w:numPr>
          <w:ilvl w:val="4"/>
          <w:numId w:val="2"/>
        </w:numPr>
        <w:tabs>
          <w:tab w:val="left" w:pos="-1920"/>
        </w:tabs>
        <w:snapToGrid w:val="0"/>
        <w:spacing w:beforeLines="15" w:before="36" w:afterLines="15" w:after="36" w:line="440" w:lineRule="exact"/>
        <w:jc w:val="both"/>
        <w:outlineLvl w:val="0"/>
        <w:rPr>
          <w:rFonts w:ascii="標楷體" w:eastAsia="標楷體" w:hAnsi="標楷體"/>
          <w:bCs/>
          <w:spacing w:val="-10"/>
          <w:sz w:val="28"/>
          <w:szCs w:val="28"/>
        </w:rPr>
      </w:pPr>
      <w:r w:rsidRPr="007748E4">
        <w:rPr>
          <w:rFonts w:ascii="標楷體" w:eastAsia="標楷體" w:hAnsi="標楷體"/>
          <w:bCs/>
          <w:spacing w:val="-10"/>
          <w:sz w:val="28"/>
          <w:szCs w:val="28"/>
        </w:rPr>
        <w:t>沒有充分準備好所有電源都失去的情況下的電源恢復、向</w:t>
      </w:r>
      <w:r w:rsidR="00A95445" w:rsidRPr="007748E4">
        <w:rPr>
          <w:rFonts w:ascii="標楷體" w:eastAsia="標楷體" w:hAnsi="標楷體"/>
          <w:bCs/>
          <w:spacing w:val="-10"/>
          <w:sz w:val="28"/>
          <w:szCs w:val="28"/>
        </w:rPr>
        <w:t>反應器</w:t>
      </w:r>
      <w:r w:rsidRPr="007748E4">
        <w:rPr>
          <w:rFonts w:ascii="標楷體" w:eastAsia="標楷體" w:hAnsi="標楷體"/>
          <w:bCs/>
          <w:spacing w:val="-10"/>
          <w:sz w:val="28"/>
          <w:szCs w:val="28"/>
        </w:rPr>
        <w:t>注水和冷卻的手段</w:t>
      </w:r>
      <w:r w:rsidRPr="007748E4">
        <w:rPr>
          <w:rFonts w:ascii="Cambria Math" w:eastAsia="標楷體" w:hAnsi="Cambria Math" w:cs="Cambria Math"/>
          <w:bCs/>
          <w:spacing w:val="-10"/>
          <w:sz w:val="28"/>
          <w:szCs w:val="28"/>
        </w:rPr>
        <w:t>⇒</w:t>
      </w:r>
      <w:r w:rsidRPr="007748E4">
        <w:rPr>
          <w:rFonts w:ascii="標楷體" w:eastAsia="標楷體" w:hAnsi="標楷體"/>
          <w:bCs/>
          <w:spacing w:val="-10"/>
          <w:sz w:val="28"/>
          <w:szCs w:val="28"/>
        </w:rPr>
        <w:t>強化電源</w:t>
      </w:r>
      <w:r w:rsidRPr="007748E4">
        <w:rPr>
          <w:rFonts w:ascii="標楷體" w:eastAsia="標楷體" w:hAnsi="標楷體" w:hint="eastAsia"/>
          <w:bCs/>
          <w:spacing w:val="-10"/>
          <w:sz w:val="28"/>
          <w:szCs w:val="28"/>
        </w:rPr>
        <w:t>及</w:t>
      </w:r>
      <w:r w:rsidRPr="007748E4">
        <w:rPr>
          <w:rFonts w:ascii="標楷體" w:eastAsia="標楷體" w:hAnsi="標楷體"/>
          <w:bCs/>
          <w:spacing w:val="-10"/>
          <w:sz w:val="28"/>
          <w:szCs w:val="28"/>
        </w:rPr>
        <w:t>注水設備</w:t>
      </w:r>
      <w:r w:rsidRPr="007748E4">
        <w:rPr>
          <w:rFonts w:ascii="標楷體" w:eastAsia="標楷體" w:hAnsi="標楷體" w:hint="eastAsia"/>
          <w:bCs/>
          <w:spacing w:val="-10"/>
          <w:sz w:val="28"/>
          <w:szCs w:val="28"/>
        </w:rPr>
        <w:t>。</w:t>
      </w:r>
    </w:p>
    <w:p w14:paraId="40CFA5B4" w14:textId="305071F9" w:rsidR="00302667" w:rsidRPr="007748E4" w:rsidRDefault="00302667" w:rsidP="009C4EE0">
      <w:pPr>
        <w:numPr>
          <w:ilvl w:val="4"/>
          <w:numId w:val="2"/>
        </w:numPr>
        <w:tabs>
          <w:tab w:val="left" w:pos="-1920"/>
        </w:tabs>
        <w:snapToGrid w:val="0"/>
        <w:spacing w:beforeLines="15" w:before="36" w:afterLines="15" w:after="36" w:line="440" w:lineRule="exact"/>
        <w:jc w:val="both"/>
        <w:outlineLvl w:val="0"/>
        <w:rPr>
          <w:rFonts w:ascii="標楷體" w:eastAsia="標楷體" w:hAnsi="標楷體"/>
          <w:bCs/>
          <w:spacing w:val="-10"/>
          <w:sz w:val="28"/>
          <w:szCs w:val="28"/>
        </w:rPr>
      </w:pPr>
      <w:r w:rsidRPr="007748E4">
        <w:rPr>
          <w:rFonts w:ascii="標楷體" w:eastAsia="標楷體" w:hAnsi="標楷體"/>
          <w:bCs/>
          <w:spacing w:val="-10"/>
          <w:sz w:val="28"/>
          <w:szCs w:val="28"/>
        </w:rPr>
        <w:t>海嘯侵入廠區等，海嘯防護措施薄弱</w:t>
      </w:r>
      <w:r w:rsidRPr="007748E4">
        <w:rPr>
          <w:rFonts w:ascii="Cambria Math" w:eastAsia="標楷體" w:hAnsi="Cambria Math" w:cs="Cambria Math"/>
          <w:bCs/>
          <w:spacing w:val="-10"/>
          <w:sz w:val="28"/>
          <w:szCs w:val="28"/>
        </w:rPr>
        <w:t>⇒</w:t>
      </w:r>
      <w:r w:rsidRPr="007748E4">
        <w:rPr>
          <w:rFonts w:ascii="標楷體" w:eastAsia="標楷體" w:hAnsi="標楷體"/>
          <w:bCs/>
          <w:spacing w:val="-10"/>
          <w:sz w:val="28"/>
          <w:szCs w:val="28"/>
        </w:rPr>
        <w:t>海嘯對策</w:t>
      </w:r>
      <w:r w:rsidRPr="007748E4">
        <w:rPr>
          <w:rFonts w:ascii="標楷體" w:eastAsia="標楷體" w:hAnsi="標楷體" w:hint="eastAsia"/>
          <w:bCs/>
          <w:spacing w:val="-10"/>
          <w:sz w:val="28"/>
          <w:szCs w:val="28"/>
        </w:rPr>
        <w:t>。</w:t>
      </w:r>
    </w:p>
    <w:p w14:paraId="0F57784B" w14:textId="36718F91" w:rsidR="00302667" w:rsidRPr="007748E4" w:rsidRDefault="00302667" w:rsidP="009C4EE0">
      <w:pPr>
        <w:numPr>
          <w:ilvl w:val="4"/>
          <w:numId w:val="2"/>
        </w:numPr>
        <w:tabs>
          <w:tab w:val="left" w:pos="-1920"/>
        </w:tabs>
        <w:snapToGrid w:val="0"/>
        <w:spacing w:beforeLines="15" w:before="36" w:afterLines="15" w:after="36" w:line="440" w:lineRule="exact"/>
        <w:jc w:val="both"/>
        <w:outlineLvl w:val="0"/>
        <w:rPr>
          <w:rFonts w:ascii="標楷體" w:eastAsia="標楷體" w:hAnsi="標楷體"/>
          <w:bCs/>
          <w:spacing w:val="-10"/>
          <w:sz w:val="28"/>
          <w:szCs w:val="28"/>
        </w:rPr>
      </w:pPr>
      <w:r w:rsidRPr="007748E4">
        <w:rPr>
          <w:rFonts w:ascii="標楷體" w:eastAsia="標楷體" w:hAnsi="標楷體"/>
          <w:bCs/>
          <w:spacing w:val="-10"/>
          <w:sz w:val="28"/>
          <w:szCs w:val="28"/>
        </w:rPr>
        <w:t>沒有充分整備好爐心損壞後的氫氣爆炸和放射性物質釋放的防範措施</w:t>
      </w:r>
      <w:r w:rsidRPr="007748E4">
        <w:rPr>
          <w:rFonts w:ascii="Cambria Math" w:eastAsia="標楷體" w:hAnsi="Cambria Math" w:cs="Cambria Math"/>
          <w:bCs/>
          <w:spacing w:val="-10"/>
          <w:sz w:val="28"/>
          <w:szCs w:val="28"/>
        </w:rPr>
        <w:t>⇒</w:t>
      </w:r>
      <w:r w:rsidRPr="007748E4">
        <w:rPr>
          <w:rFonts w:ascii="標楷體" w:eastAsia="標楷體" w:hAnsi="標楷體"/>
          <w:bCs/>
          <w:spacing w:val="-10"/>
          <w:sz w:val="28"/>
          <w:szCs w:val="28"/>
        </w:rPr>
        <w:t>抑制爐心損壞後氫氣爆炸和放射性物質釋放的措施</w:t>
      </w:r>
      <w:r w:rsidRPr="007748E4">
        <w:rPr>
          <w:rFonts w:ascii="標楷體" w:eastAsia="標楷體" w:hAnsi="標楷體" w:hint="eastAsia"/>
          <w:bCs/>
          <w:spacing w:val="-10"/>
          <w:sz w:val="28"/>
          <w:szCs w:val="28"/>
        </w:rPr>
        <w:t>。</w:t>
      </w:r>
    </w:p>
    <w:p w14:paraId="35CF6FB4" w14:textId="48FE01DF" w:rsidR="0007682F" w:rsidRPr="007748E4" w:rsidRDefault="0007682F" w:rsidP="009C4EE0">
      <w:pPr>
        <w:numPr>
          <w:ilvl w:val="2"/>
          <w:numId w:val="2"/>
        </w:numPr>
        <w:tabs>
          <w:tab w:val="left" w:pos="-1920"/>
        </w:tabs>
        <w:snapToGrid w:val="0"/>
        <w:spacing w:beforeLines="15" w:before="36" w:afterLines="15" w:after="36" w:line="440" w:lineRule="exact"/>
        <w:jc w:val="both"/>
        <w:outlineLvl w:val="0"/>
        <w:rPr>
          <w:rFonts w:ascii="標楷體" w:eastAsia="標楷體" w:hAnsi="標楷體"/>
          <w:bCs/>
          <w:spacing w:val="-10"/>
          <w:sz w:val="28"/>
          <w:szCs w:val="28"/>
        </w:rPr>
      </w:pPr>
      <w:r w:rsidRPr="007748E4">
        <w:rPr>
          <w:rFonts w:ascii="標楷體" w:eastAsia="標楷體" w:hAnsi="標楷體"/>
          <w:bCs/>
          <w:spacing w:val="-10"/>
          <w:sz w:val="28"/>
          <w:szCs w:val="28"/>
        </w:rPr>
        <w:t>安全防護措施</w:t>
      </w:r>
    </w:p>
    <w:p w14:paraId="71FD124C" w14:textId="77777777" w:rsidR="0007682F" w:rsidRPr="007748E4" w:rsidRDefault="0007682F" w:rsidP="009C4EE0">
      <w:pPr>
        <w:numPr>
          <w:ilvl w:val="3"/>
          <w:numId w:val="2"/>
        </w:numPr>
        <w:tabs>
          <w:tab w:val="left" w:pos="-1920"/>
        </w:tabs>
        <w:snapToGrid w:val="0"/>
        <w:spacing w:beforeLines="15" w:before="36" w:afterLines="15" w:after="36" w:line="440" w:lineRule="exact"/>
        <w:jc w:val="both"/>
        <w:outlineLvl w:val="0"/>
        <w:rPr>
          <w:rFonts w:ascii="標楷體" w:eastAsia="標楷體" w:hAnsi="標楷體"/>
          <w:bCs/>
          <w:spacing w:val="-10"/>
          <w:sz w:val="28"/>
          <w:szCs w:val="28"/>
        </w:rPr>
      </w:pPr>
      <w:r w:rsidRPr="007748E4">
        <w:rPr>
          <w:rFonts w:ascii="標楷體" w:eastAsia="標楷體" w:hAnsi="標楷體"/>
          <w:bCs/>
          <w:spacing w:val="-10"/>
          <w:sz w:val="28"/>
          <w:szCs w:val="28"/>
        </w:rPr>
        <w:t>海嘯和地震防護</w:t>
      </w:r>
    </w:p>
    <w:p w14:paraId="14B3D982" w14:textId="77777777" w:rsidR="0007682F" w:rsidRPr="007748E4" w:rsidRDefault="0007682F" w:rsidP="009C4EE0">
      <w:pPr>
        <w:numPr>
          <w:ilvl w:val="4"/>
          <w:numId w:val="2"/>
        </w:numPr>
        <w:tabs>
          <w:tab w:val="left" w:pos="-1920"/>
        </w:tabs>
        <w:snapToGrid w:val="0"/>
        <w:spacing w:beforeLines="15" w:before="36" w:afterLines="15" w:after="36" w:line="440" w:lineRule="exact"/>
        <w:jc w:val="both"/>
        <w:outlineLvl w:val="0"/>
        <w:rPr>
          <w:rFonts w:ascii="標楷體" w:eastAsia="標楷體" w:hAnsi="標楷體"/>
          <w:bCs/>
          <w:spacing w:val="-10"/>
          <w:sz w:val="28"/>
          <w:szCs w:val="28"/>
        </w:rPr>
      </w:pPr>
      <w:r w:rsidRPr="007748E4">
        <w:rPr>
          <w:rFonts w:ascii="標楷體" w:eastAsia="標楷體" w:hAnsi="標楷體"/>
          <w:bCs/>
          <w:spacing w:val="-10"/>
          <w:sz w:val="28"/>
          <w:szCs w:val="28"/>
        </w:rPr>
        <w:t>防潮堤</w:t>
      </w:r>
    </w:p>
    <w:p w14:paraId="52AC1948" w14:textId="12D6EFAD" w:rsidR="0007682F" w:rsidRPr="002A4102" w:rsidRDefault="0007682F" w:rsidP="009C4EE0">
      <w:pPr>
        <w:numPr>
          <w:ilvl w:val="1"/>
          <w:numId w:val="3"/>
        </w:numPr>
        <w:spacing w:beforeLines="15" w:before="36" w:afterLines="15" w:after="36" w:line="440" w:lineRule="exact"/>
        <w:ind w:left="1815" w:hanging="227"/>
        <w:jc w:val="both"/>
        <w:outlineLvl w:val="1"/>
        <w:rPr>
          <w:rFonts w:ascii="標楷體" w:eastAsia="標楷體" w:hAnsi="標楷體"/>
          <w:bCs/>
          <w:spacing w:val="-10"/>
          <w:sz w:val="28"/>
          <w:szCs w:val="28"/>
        </w:rPr>
      </w:pPr>
      <w:bookmarkStart w:id="59" w:name="_Toc185412397"/>
      <w:r w:rsidRPr="002A4102">
        <w:rPr>
          <w:rFonts w:ascii="標楷體" w:eastAsia="標楷體" w:hAnsi="標楷體"/>
          <w:bCs/>
          <w:spacing w:val="-10"/>
          <w:sz w:val="28"/>
          <w:szCs w:val="28"/>
        </w:rPr>
        <w:t>為防止海嘯侵襲，東京電力公司在廠區周圍建造海拔15公尺的防潮堤。</w:t>
      </w:r>
      <w:bookmarkEnd w:id="59"/>
    </w:p>
    <w:p w14:paraId="2F52BCD1" w14:textId="77777777" w:rsidR="0007682F" w:rsidRPr="002A4102" w:rsidRDefault="0007682F" w:rsidP="009C4EE0">
      <w:pPr>
        <w:numPr>
          <w:ilvl w:val="1"/>
          <w:numId w:val="3"/>
        </w:numPr>
        <w:spacing w:beforeLines="15" w:before="36" w:afterLines="15" w:after="36" w:line="440" w:lineRule="exact"/>
        <w:ind w:left="1815" w:hanging="227"/>
        <w:jc w:val="both"/>
        <w:outlineLvl w:val="1"/>
        <w:rPr>
          <w:rFonts w:ascii="標楷體" w:eastAsia="標楷體" w:hAnsi="標楷體"/>
          <w:bCs/>
          <w:spacing w:val="-10"/>
          <w:sz w:val="28"/>
          <w:szCs w:val="28"/>
        </w:rPr>
      </w:pPr>
      <w:bookmarkStart w:id="60" w:name="_Toc185412398"/>
      <w:r w:rsidRPr="002A4102">
        <w:rPr>
          <w:rFonts w:ascii="標楷體" w:eastAsia="標楷體" w:hAnsi="標楷體"/>
          <w:bCs/>
          <w:spacing w:val="-10"/>
          <w:sz w:val="28"/>
          <w:szCs w:val="28"/>
        </w:rPr>
        <w:t>5~7號機組區域的防潮堤建設在海拔12公尺的場地上，以水泥改</w:t>
      </w:r>
      <w:r w:rsidRPr="002A4102">
        <w:rPr>
          <w:rFonts w:ascii="標楷體" w:eastAsia="標楷體" w:hAnsi="標楷體"/>
          <w:bCs/>
          <w:spacing w:val="-10"/>
          <w:sz w:val="28"/>
          <w:szCs w:val="28"/>
        </w:rPr>
        <w:lastRenderedPageBreak/>
        <w:t>良土增高約3公尺，形成總高約15公尺的堤防，長約1公里。</w:t>
      </w:r>
      <w:bookmarkEnd w:id="60"/>
    </w:p>
    <w:p w14:paraId="142279B7" w14:textId="5AB585C1" w:rsidR="0007682F" w:rsidRPr="002A4102" w:rsidRDefault="0007682F" w:rsidP="009C4EE0">
      <w:pPr>
        <w:numPr>
          <w:ilvl w:val="1"/>
          <w:numId w:val="3"/>
        </w:numPr>
        <w:spacing w:beforeLines="15" w:before="36" w:afterLines="15" w:after="36" w:line="440" w:lineRule="exact"/>
        <w:ind w:left="1815" w:hanging="227"/>
        <w:jc w:val="both"/>
        <w:outlineLvl w:val="1"/>
        <w:rPr>
          <w:rFonts w:ascii="標楷體" w:eastAsia="標楷體" w:hAnsi="標楷體"/>
          <w:bCs/>
          <w:spacing w:val="-10"/>
          <w:sz w:val="28"/>
          <w:szCs w:val="28"/>
        </w:rPr>
      </w:pPr>
      <w:bookmarkStart w:id="61" w:name="_Toc185412399"/>
      <w:r w:rsidRPr="002A4102">
        <w:rPr>
          <w:rFonts w:ascii="標楷體" w:eastAsia="標楷體" w:hAnsi="標楷體"/>
          <w:bCs/>
          <w:spacing w:val="-10"/>
          <w:sz w:val="28"/>
          <w:szCs w:val="28"/>
        </w:rPr>
        <w:t>1~4號機組區域的防潮堤則建設在海拔5公尺的場地上，設置高約10公尺的鋼筋混凝土牆，形成總高15公尺的防潮堤，長約1.5公里。</w:t>
      </w:r>
      <w:bookmarkEnd w:id="61"/>
    </w:p>
    <w:p w14:paraId="09A42884" w14:textId="77777777" w:rsidR="0007682F" w:rsidRPr="002A4102" w:rsidRDefault="0007682F" w:rsidP="009C4EE0">
      <w:pPr>
        <w:numPr>
          <w:ilvl w:val="1"/>
          <w:numId w:val="3"/>
        </w:numPr>
        <w:spacing w:beforeLines="15" w:before="36" w:afterLines="15" w:after="36" w:line="440" w:lineRule="exact"/>
        <w:ind w:left="1815" w:hanging="227"/>
        <w:jc w:val="both"/>
        <w:outlineLvl w:val="1"/>
        <w:rPr>
          <w:rFonts w:ascii="標楷體" w:eastAsia="標楷體" w:hAnsi="標楷體"/>
          <w:bCs/>
          <w:spacing w:val="-10"/>
          <w:sz w:val="28"/>
          <w:szCs w:val="28"/>
        </w:rPr>
      </w:pPr>
      <w:bookmarkStart w:id="62" w:name="_Toc185412400"/>
      <w:r w:rsidRPr="002A4102">
        <w:rPr>
          <w:rFonts w:ascii="標楷體" w:eastAsia="標楷體" w:hAnsi="標楷體"/>
          <w:bCs/>
          <w:spacing w:val="-10"/>
          <w:sz w:val="28"/>
          <w:szCs w:val="28"/>
        </w:rPr>
        <w:t>東京電力公司也正在研擬地下深處的液化對策，以提升防潮堤的安全性。</w:t>
      </w:r>
      <w:bookmarkEnd w:id="62"/>
    </w:p>
    <w:p w14:paraId="20C16F01" w14:textId="77777777" w:rsidR="00F64FAB" w:rsidRPr="002A4102" w:rsidRDefault="00AF1EB4" w:rsidP="009C4EE0">
      <w:pPr>
        <w:pStyle w:val="af4"/>
        <w:numPr>
          <w:ilvl w:val="4"/>
          <w:numId w:val="2"/>
        </w:numPr>
        <w:tabs>
          <w:tab w:val="left" w:pos="-1920"/>
        </w:tabs>
        <w:snapToGrid w:val="0"/>
        <w:spacing w:beforeLines="15" w:before="36" w:afterLines="15" w:after="36" w:line="440" w:lineRule="exact"/>
        <w:ind w:leftChars="0" w:left="1729" w:hanging="482"/>
        <w:jc w:val="both"/>
        <w:outlineLvl w:val="2"/>
        <w:rPr>
          <w:rFonts w:ascii="標楷體" w:eastAsia="標楷體" w:hAnsi="標楷體"/>
          <w:bCs/>
          <w:sz w:val="28"/>
          <w:szCs w:val="36"/>
        </w:rPr>
      </w:pPr>
      <w:r w:rsidRPr="002A4102">
        <w:rPr>
          <w:rFonts w:ascii="標楷體" w:eastAsia="標楷體" w:hAnsi="標楷體"/>
          <w:bCs/>
          <w:sz w:val="28"/>
          <w:szCs w:val="36"/>
        </w:rPr>
        <w:t>水密門</w:t>
      </w:r>
      <w:r w:rsidR="00380D41" w:rsidRPr="002A4102">
        <w:rPr>
          <w:rFonts w:ascii="標楷體" w:eastAsia="標楷體" w:hAnsi="標楷體"/>
          <w:bCs/>
          <w:sz w:val="28"/>
          <w:szCs w:val="36"/>
        </w:rPr>
        <w:t>/防潮壁/防潮板</w:t>
      </w:r>
    </w:p>
    <w:p w14:paraId="07AB949F" w14:textId="07D15582" w:rsidR="00380D41" w:rsidRPr="002A4102" w:rsidRDefault="00380D41" w:rsidP="009C4EE0">
      <w:pPr>
        <w:numPr>
          <w:ilvl w:val="1"/>
          <w:numId w:val="3"/>
        </w:numPr>
        <w:spacing w:beforeLines="15" w:before="36" w:afterLines="15" w:after="36" w:line="440" w:lineRule="exact"/>
        <w:ind w:left="1815" w:hanging="227"/>
        <w:jc w:val="both"/>
        <w:outlineLvl w:val="1"/>
        <w:rPr>
          <w:rFonts w:ascii="標楷體" w:eastAsia="標楷體" w:hAnsi="標楷體"/>
          <w:bCs/>
          <w:spacing w:val="-10"/>
          <w:sz w:val="28"/>
          <w:szCs w:val="28"/>
        </w:rPr>
      </w:pPr>
      <w:bookmarkStart w:id="63" w:name="_Toc185412401"/>
      <w:r w:rsidRPr="002A4102">
        <w:rPr>
          <w:rFonts w:ascii="標楷體" w:eastAsia="標楷體" w:hAnsi="標楷體"/>
          <w:bCs/>
          <w:sz w:val="28"/>
          <w:szCs w:val="36"/>
        </w:rPr>
        <w:t>除防潮</w:t>
      </w:r>
      <w:r w:rsidRPr="002A4102">
        <w:rPr>
          <w:rFonts w:ascii="標楷體" w:eastAsia="標楷體" w:hAnsi="標楷體"/>
          <w:bCs/>
          <w:spacing w:val="-10"/>
          <w:sz w:val="28"/>
          <w:szCs w:val="28"/>
        </w:rPr>
        <w:t>堤</w:t>
      </w:r>
      <w:r w:rsidR="00F64FAB" w:rsidRPr="002A4102">
        <w:rPr>
          <w:rFonts w:ascii="標楷體" w:eastAsia="標楷體" w:hAnsi="標楷體" w:hint="eastAsia"/>
          <w:bCs/>
          <w:spacing w:val="-10"/>
          <w:sz w:val="28"/>
          <w:szCs w:val="28"/>
        </w:rPr>
        <w:t>外</w:t>
      </w:r>
      <w:r w:rsidRPr="002A4102">
        <w:rPr>
          <w:rFonts w:ascii="標楷體" w:eastAsia="標楷體" w:hAnsi="標楷體"/>
          <w:bCs/>
          <w:spacing w:val="-10"/>
          <w:sz w:val="28"/>
          <w:szCs w:val="28"/>
        </w:rPr>
        <w:t>，東京電力公司</w:t>
      </w:r>
      <w:r w:rsidR="00F64FAB" w:rsidRPr="002A4102">
        <w:rPr>
          <w:rFonts w:ascii="標楷體" w:eastAsia="標楷體" w:hAnsi="標楷體" w:hint="eastAsia"/>
          <w:bCs/>
          <w:spacing w:val="-10"/>
          <w:sz w:val="28"/>
          <w:szCs w:val="28"/>
        </w:rPr>
        <w:t>亦</w:t>
      </w:r>
      <w:r w:rsidRPr="002A4102">
        <w:rPr>
          <w:rFonts w:ascii="標楷體" w:eastAsia="標楷體" w:hAnsi="標楷體"/>
          <w:bCs/>
          <w:spacing w:val="-10"/>
          <w:sz w:val="28"/>
          <w:szCs w:val="28"/>
        </w:rPr>
        <w:t>採取其他措施來防止海水灌入廠區。</w:t>
      </w:r>
      <w:bookmarkEnd w:id="63"/>
    </w:p>
    <w:p w14:paraId="49A19F83" w14:textId="77777777" w:rsidR="00380D41" w:rsidRPr="002A4102" w:rsidRDefault="00380D41" w:rsidP="009C4EE0">
      <w:pPr>
        <w:numPr>
          <w:ilvl w:val="1"/>
          <w:numId w:val="3"/>
        </w:numPr>
        <w:spacing w:beforeLines="15" w:before="36" w:afterLines="15" w:after="36" w:line="440" w:lineRule="exact"/>
        <w:ind w:left="1815" w:hanging="227"/>
        <w:jc w:val="both"/>
        <w:outlineLvl w:val="1"/>
        <w:rPr>
          <w:rFonts w:ascii="標楷體" w:eastAsia="標楷體" w:hAnsi="標楷體"/>
          <w:bCs/>
          <w:spacing w:val="-10"/>
          <w:sz w:val="28"/>
          <w:szCs w:val="28"/>
        </w:rPr>
      </w:pPr>
      <w:bookmarkStart w:id="64" w:name="_Toc185412402"/>
      <w:r w:rsidRPr="002A4102">
        <w:rPr>
          <w:rFonts w:ascii="標楷體" w:eastAsia="標楷體" w:hAnsi="標楷體"/>
          <w:bCs/>
          <w:spacing w:val="-10"/>
          <w:sz w:val="28"/>
          <w:szCs w:val="28"/>
        </w:rPr>
        <w:t>重要區域設有水密門，可以阻擋海水進入。</w:t>
      </w:r>
      <w:bookmarkEnd w:id="64"/>
    </w:p>
    <w:p w14:paraId="5FDBD2F4" w14:textId="47DA08FD" w:rsidR="00380D41" w:rsidRPr="002A4102" w:rsidRDefault="00380D41" w:rsidP="009C4EE0">
      <w:pPr>
        <w:numPr>
          <w:ilvl w:val="1"/>
          <w:numId w:val="3"/>
        </w:numPr>
        <w:spacing w:beforeLines="15" w:before="36" w:afterLines="15" w:after="36" w:line="440" w:lineRule="exact"/>
        <w:ind w:left="1815" w:hanging="227"/>
        <w:jc w:val="both"/>
        <w:outlineLvl w:val="1"/>
        <w:rPr>
          <w:rFonts w:ascii="標楷體" w:eastAsia="標楷體" w:hAnsi="標楷體"/>
          <w:bCs/>
          <w:sz w:val="28"/>
          <w:szCs w:val="36"/>
        </w:rPr>
      </w:pPr>
      <w:bookmarkStart w:id="65" w:name="_Toc185412403"/>
      <w:r w:rsidRPr="002A4102">
        <w:rPr>
          <w:rFonts w:ascii="標楷體" w:eastAsia="標楷體" w:hAnsi="標楷體"/>
          <w:bCs/>
          <w:spacing w:val="-10"/>
          <w:sz w:val="28"/>
          <w:szCs w:val="28"/>
        </w:rPr>
        <w:t>此外，為防止海嘯的衝擊和海水灌入，</w:t>
      </w:r>
      <w:r w:rsidR="00A95445">
        <w:rPr>
          <w:rFonts w:ascii="標楷體" w:eastAsia="標楷體" w:hAnsi="標楷體"/>
          <w:bCs/>
          <w:spacing w:val="-10"/>
          <w:sz w:val="28"/>
          <w:szCs w:val="28"/>
        </w:rPr>
        <w:t>反應器</w:t>
      </w:r>
      <w:r w:rsidRPr="002A4102">
        <w:rPr>
          <w:rFonts w:ascii="標楷體" w:eastAsia="標楷體" w:hAnsi="標楷體"/>
          <w:bCs/>
          <w:spacing w:val="-10"/>
          <w:sz w:val="28"/>
          <w:szCs w:val="28"/>
        </w:rPr>
        <w:t>廠房周圍</w:t>
      </w:r>
      <w:r w:rsidR="00B5336F" w:rsidRPr="002A4102">
        <w:rPr>
          <w:rFonts w:ascii="標楷體" w:eastAsia="標楷體" w:hAnsi="標楷體" w:hint="eastAsia"/>
          <w:bCs/>
          <w:spacing w:val="-10"/>
          <w:sz w:val="28"/>
          <w:szCs w:val="28"/>
        </w:rPr>
        <w:t>亦</w:t>
      </w:r>
      <w:r w:rsidRPr="002A4102">
        <w:rPr>
          <w:rFonts w:ascii="標楷體" w:eastAsia="標楷體" w:hAnsi="標楷體"/>
          <w:bCs/>
          <w:spacing w:val="-10"/>
          <w:sz w:val="28"/>
          <w:szCs w:val="28"/>
        </w:rPr>
        <w:t>設置防潮壁和防潮</w:t>
      </w:r>
      <w:r w:rsidRPr="002A4102">
        <w:rPr>
          <w:rFonts w:ascii="標楷體" w:eastAsia="標楷體" w:hAnsi="標楷體"/>
          <w:bCs/>
          <w:sz w:val="28"/>
          <w:szCs w:val="36"/>
        </w:rPr>
        <w:t>板。</w:t>
      </w:r>
      <w:bookmarkEnd w:id="65"/>
    </w:p>
    <w:p w14:paraId="57410F8B" w14:textId="53FA2AAF" w:rsidR="00AF1EB4" w:rsidRPr="002A4102" w:rsidRDefault="00AF1EB4" w:rsidP="009C4EE0">
      <w:pPr>
        <w:pStyle w:val="af4"/>
        <w:numPr>
          <w:ilvl w:val="4"/>
          <w:numId w:val="2"/>
        </w:numPr>
        <w:tabs>
          <w:tab w:val="left" w:pos="-1920"/>
        </w:tabs>
        <w:snapToGrid w:val="0"/>
        <w:spacing w:beforeLines="15" w:before="36" w:afterLines="15" w:after="36" w:line="440" w:lineRule="exact"/>
        <w:ind w:leftChars="0" w:left="1729" w:hanging="482"/>
        <w:jc w:val="both"/>
        <w:outlineLvl w:val="2"/>
        <w:rPr>
          <w:rFonts w:ascii="標楷體" w:eastAsia="標楷體" w:hAnsi="標楷體"/>
          <w:bCs/>
          <w:sz w:val="28"/>
          <w:szCs w:val="36"/>
        </w:rPr>
      </w:pPr>
      <w:r w:rsidRPr="002A4102">
        <w:rPr>
          <w:rFonts w:ascii="標楷體" w:eastAsia="標楷體" w:hAnsi="標楷體"/>
          <w:bCs/>
          <w:sz w:val="28"/>
          <w:szCs w:val="36"/>
        </w:rPr>
        <w:t>貫穿部止水</w:t>
      </w:r>
      <w:r w:rsidR="00F64FAB" w:rsidRPr="002A4102">
        <w:rPr>
          <w:rFonts w:ascii="標楷體" w:eastAsia="標楷體" w:hAnsi="標楷體" w:hint="eastAsia"/>
          <w:bCs/>
          <w:sz w:val="28"/>
          <w:szCs w:val="36"/>
        </w:rPr>
        <w:t>：</w:t>
      </w:r>
      <w:r w:rsidRPr="002A4102">
        <w:rPr>
          <w:rFonts w:ascii="標楷體" w:eastAsia="標楷體" w:hAnsi="標楷體"/>
          <w:bCs/>
          <w:sz w:val="28"/>
          <w:szCs w:val="36"/>
        </w:rPr>
        <w:t>重要區域的配管和電纜貫穿部均進行止水處理，確保水密性。</w:t>
      </w:r>
    </w:p>
    <w:p w14:paraId="0E83E230" w14:textId="5F45DAB0" w:rsidR="00380D41" w:rsidRPr="002A4102" w:rsidRDefault="00AF1EB4" w:rsidP="009C4EE0">
      <w:pPr>
        <w:pStyle w:val="af4"/>
        <w:numPr>
          <w:ilvl w:val="4"/>
          <w:numId w:val="2"/>
        </w:numPr>
        <w:tabs>
          <w:tab w:val="left" w:pos="-1920"/>
        </w:tabs>
        <w:snapToGrid w:val="0"/>
        <w:spacing w:beforeLines="15" w:before="36" w:afterLines="15" w:after="36" w:line="440" w:lineRule="exact"/>
        <w:ind w:leftChars="0" w:left="1729" w:hanging="482"/>
        <w:jc w:val="both"/>
        <w:outlineLvl w:val="2"/>
        <w:rPr>
          <w:rFonts w:ascii="標楷體" w:eastAsia="標楷體" w:hAnsi="標楷體"/>
          <w:bCs/>
          <w:sz w:val="28"/>
          <w:szCs w:val="36"/>
        </w:rPr>
      </w:pPr>
      <w:r w:rsidRPr="002A4102">
        <w:rPr>
          <w:rFonts w:ascii="標楷體" w:eastAsia="標楷體" w:hAnsi="標楷體"/>
          <w:bCs/>
          <w:sz w:val="28"/>
          <w:szCs w:val="36"/>
        </w:rPr>
        <w:t>耐震設計</w:t>
      </w:r>
      <w:r w:rsidR="00F64FAB" w:rsidRPr="002A4102">
        <w:rPr>
          <w:rFonts w:ascii="標楷體" w:eastAsia="標楷體" w:hAnsi="標楷體" w:hint="eastAsia"/>
          <w:bCs/>
          <w:sz w:val="28"/>
          <w:szCs w:val="36"/>
        </w:rPr>
        <w:t>：</w:t>
      </w:r>
      <w:r w:rsidR="00A95445">
        <w:rPr>
          <w:rFonts w:ascii="標楷體" w:eastAsia="標楷體" w:hAnsi="標楷體"/>
          <w:bCs/>
          <w:sz w:val="28"/>
          <w:szCs w:val="36"/>
        </w:rPr>
        <w:t>反應器</w:t>
      </w:r>
      <w:r w:rsidR="00380D41" w:rsidRPr="002A4102">
        <w:rPr>
          <w:rFonts w:ascii="標楷體" w:eastAsia="標楷體" w:hAnsi="標楷體"/>
          <w:bCs/>
          <w:sz w:val="28"/>
          <w:szCs w:val="36"/>
        </w:rPr>
        <w:t>廠房建置於地震搖晃較少的堅固岩盤上。</w:t>
      </w:r>
    </w:p>
    <w:p w14:paraId="066520E4" w14:textId="00D92904" w:rsidR="00380D41" w:rsidRPr="002A4102" w:rsidRDefault="00380D41" w:rsidP="009C4EE0">
      <w:pPr>
        <w:numPr>
          <w:ilvl w:val="1"/>
          <w:numId w:val="3"/>
        </w:numPr>
        <w:spacing w:beforeLines="15" w:before="36" w:afterLines="15" w:after="36" w:line="440" w:lineRule="exact"/>
        <w:ind w:left="1815" w:hanging="227"/>
        <w:jc w:val="both"/>
        <w:outlineLvl w:val="1"/>
        <w:rPr>
          <w:rFonts w:ascii="標楷體" w:eastAsia="標楷體" w:hAnsi="標楷體"/>
          <w:bCs/>
          <w:spacing w:val="-10"/>
          <w:sz w:val="28"/>
          <w:szCs w:val="28"/>
        </w:rPr>
      </w:pPr>
      <w:bookmarkStart w:id="66" w:name="_Toc185412404"/>
      <w:r w:rsidRPr="002A4102">
        <w:rPr>
          <w:rFonts w:ascii="標楷體" w:eastAsia="標楷體" w:hAnsi="標楷體"/>
          <w:bCs/>
          <w:spacing w:val="-10"/>
          <w:sz w:val="28"/>
          <w:szCs w:val="28"/>
        </w:rPr>
        <w:t>在2007年新潟縣中越沖地震後，東京電力公司進一步強化廠房</w:t>
      </w:r>
      <w:r w:rsidR="00B5336F" w:rsidRPr="002A4102">
        <w:rPr>
          <w:rFonts w:ascii="標楷體" w:eastAsia="標楷體" w:hAnsi="標楷體" w:hint="eastAsia"/>
          <w:bCs/>
          <w:spacing w:val="-10"/>
          <w:sz w:val="28"/>
          <w:szCs w:val="28"/>
        </w:rPr>
        <w:t>之</w:t>
      </w:r>
      <w:r w:rsidRPr="002A4102">
        <w:rPr>
          <w:rFonts w:ascii="標楷體" w:eastAsia="標楷體" w:hAnsi="標楷體"/>
          <w:bCs/>
          <w:spacing w:val="-10"/>
          <w:sz w:val="28"/>
          <w:szCs w:val="28"/>
        </w:rPr>
        <w:t>耐震能力。</w:t>
      </w:r>
      <w:bookmarkEnd w:id="66"/>
    </w:p>
    <w:p w14:paraId="20BCC1A8" w14:textId="2DA56C51" w:rsidR="00380D41" w:rsidRPr="002A4102" w:rsidRDefault="00380D41" w:rsidP="009C4EE0">
      <w:pPr>
        <w:numPr>
          <w:ilvl w:val="1"/>
          <w:numId w:val="3"/>
        </w:numPr>
        <w:spacing w:beforeLines="15" w:before="36" w:afterLines="15" w:after="36" w:line="440" w:lineRule="exact"/>
        <w:ind w:left="1815" w:hanging="227"/>
        <w:jc w:val="both"/>
        <w:outlineLvl w:val="1"/>
        <w:rPr>
          <w:rFonts w:ascii="標楷體" w:eastAsia="標楷體" w:hAnsi="標楷體"/>
          <w:bCs/>
          <w:spacing w:val="-10"/>
          <w:sz w:val="28"/>
          <w:szCs w:val="28"/>
        </w:rPr>
      </w:pPr>
      <w:bookmarkStart w:id="67" w:name="_Toc185412405"/>
      <w:r w:rsidRPr="002A4102">
        <w:rPr>
          <w:rFonts w:ascii="標楷體" w:eastAsia="標楷體" w:hAnsi="標楷體"/>
          <w:bCs/>
          <w:spacing w:val="-10"/>
          <w:sz w:val="28"/>
          <w:szCs w:val="28"/>
        </w:rPr>
        <w:t>為符合福島第一核電廠事故後的最新法規標準，東京電力公司針對柏崎刈羽核電廠進行耐震評估和工程，例如在廠房內部追加和強化配管、電線管的支撐，及強化廠房屋頂的桁架結構等。</w:t>
      </w:r>
      <w:bookmarkEnd w:id="67"/>
    </w:p>
    <w:p w14:paraId="05E0679E" w14:textId="2ECC6ED9" w:rsidR="00380D41" w:rsidRPr="007748E4" w:rsidRDefault="00380D41" w:rsidP="009C4EE0">
      <w:pPr>
        <w:numPr>
          <w:ilvl w:val="3"/>
          <w:numId w:val="2"/>
        </w:numPr>
        <w:tabs>
          <w:tab w:val="left" w:pos="-1920"/>
        </w:tabs>
        <w:snapToGrid w:val="0"/>
        <w:spacing w:beforeLines="15" w:before="36" w:afterLines="15" w:after="36" w:line="440" w:lineRule="exact"/>
        <w:jc w:val="both"/>
        <w:outlineLvl w:val="0"/>
        <w:rPr>
          <w:rFonts w:ascii="標楷體" w:eastAsia="標楷體" w:hAnsi="標楷體"/>
          <w:bCs/>
          <w:spacing w:val="-10"/>
          <w:sz w:val="28"/>
          <w:szCs w:val="28"/>
        </w:rPr>
      </w:pPr>
      <w:r w:rsidRPr="007748E4">
        <w:rPr>
          <w:rFonts w:ascii="標楷體" w:eastAsia="標楷體" w:hAnsi="標楷體"/>
          <w:bCs/>
          <w:spacing w:val="-10"/>
          <w:sz w:val="28"/>
          <w:szCs w:val="28"/>
        </w:rPr>
        <w:t>電力供應安全</w:t>
      </w:r>
    </w:p>
    <w:p w14:paraId="0CF3DB76" w14:textId="3E391E71" w:rsidR="00380D41" w:rsidRPr="002A4102" w:rsidRDefault="00380D41" w:rsidP="009C4EE0">
      <w:pPr>
        <w:pStyle w:val="af4"/>
        <w:numPr>
          <w:ilvl w:val="4"/>
          <w:numId w:val="2"/>
        </w:numPr>
        <w:tabs>
          <w:tab w:val="left" w:pos="-1920"/>
        </w:tabs>
        <w:snapToGrid w:val="0"/>
        <w:spacing w:beforeLines="15" w:before="36" w:afterLines="15" w:after="36" w:line="440" w:lineRule="exact"/>
        <w:ind w:leftChars="0" w:left="1729" w:hanging="482"/>
        <w:jc w:val="both"/>
        <w:outlineLvl w:val="2"/>
        <w:rPr>
          <w:rFonts w:ascii="標楷體" w:eastAsia="標楷體" w:hAnsi="標楷體"/>
          <w:bCs/>
          <w:sz w:val="28"/>
          <w:szCs w:val="36"/>
        </w:rPr>
      </w:pPr>
      <w:r w:rsidRPr="002A4102">
        <w:rPr>
          <w:rFonts w:ascii="標楷體" w:eastAsia="標楷體" w:hAnsi="標楷體"/>
          <w:bCs/>
          <w:sz w:val="28"/>
          <w:szCs w:val="36"/>
        </w:rPr>
        <w:t>外部電源</w:t>
      </w:r>
      <w:r w:rsidR="00F64FAB" w:rsidRPr="002A4102">
        <w:rPr>
          <w:rFonts w:ascii="標楷體" w:eastAsia="標楷體" w:hAnsi="標楷體" w:hint="eastAsia"/>
          <w:bCs/>
          <w:sz w:val="28"/>
          <w:szCs w:val="36"/>
        </w:rPr>
        <w:t>：</w:t>
      </w:r>
      <w:r w:rsidRPr="002A4102">
        <w:rPr>
          <w:rFonts w:ascii="標楷體" w:eastAsia="標楷體" w:hAnsi="標楷體"/>
          <w:bCs/>
          <w:sz w:val="28"/>
          <w:szCs w:val="36"/>
        </w:rPr>
        <w:t>柏崎刈羽核電廠擁有5條外部供電線路，確保單一線路故障時，仍能有多重線路供應電力，維持供電穩定。</w:t>
      </w:r>
    </w:p>
    <w:p w14:paraId="02370727" w14:textId="53BB3FA8" w:rsidR="00380D41" w:rsidRPr="002A4102" w:rsidRDefault="00380D41" w:rsidP="009C4EE0">
      <w:pPr>
        <w:pStyle w:val="af4"/>
        <w:numPr>
          <w:ilvl w:val="4"/>
          <w:numId w:val="2"/>
        </w:numPr>
        <w:tabs>
          <w:tab w:val="left" w:pos="-1920"/>
        </w:tabs>
        <w:snapToGrid w:val="0"/>
        <w:spacing w:beforeLines="15" w:before="36" w:afterLines="15" w:after="36" w:line="440" w:lineRule="exact"/>
        <w:ind w:leftChars="0" w:left="1729" w:hanging="482"/>
        <w:jc w:val="both"/>
        <w:outlineLvl w:val="2"/>
        <w:rPr>
          <w:rFonts w:ascii="標楷體" w:eastAsia="標楷體" w:hAnsi="標楷體"/>
          <w:bCs/>
          <w:sz w:val="28"/>
          <w:szCs w:val="36"/>
        </w:rPr>
      </w:pPr>
      <w:r w:rsidRPr="002A4102">
        <w:rPr>
          <w:rFonts w:ascii="標楷體" w:eastAsia="標楷體" w:hAnsi="標楷體"/>
          <w:bCs/>
          <w:sz w:val="28"/>
          <w:szCs w:val="36"/>
        </w:rPr>
        <w:t>緊急柴油發電機</w:t>
      </w:r>
      <w:r w:rsidR="00F64FAB" w:rsidRPr="002A4102">
        <w:rPr>
          <w:rFonts w:ascii="標楷體" w:eastAsia="標楷體" w:hAnsi="標楷體" w:hint="eastAsia"/>
          <w:bCs/>
          <w:sz w:val="28"/>
          <w:szCs w:val="36"/>
        </w:rPr>
        <w:t>：</w:t>
      </w:r>
      <w:r w:rsidRPr="002A4102">
        <w:rPr>
          <w:rFonts w:ascii="標楷體" w:eastAsia="標楷體" w:hAnsi="標楷體"/>
          <w:bCs/>
          <w:sz w:val="28"/>
          <w:szCs w:val="36"/>
        </w:rPr>
        <w:t>各機組都配備緊急柴油發電機，當外部電源喪失時，可以自動啟動，提供</w:t>
      </w:r>
      <w:r w:rsidR="00A95445">
        <w:rPr>
          <w:rFonts w:ascii="標楷體" w:eastAsia="標楷體" w:hAnsi="標楷體"/>
          <w:bCs/>
          <w:sz w:val="28"/>
          <w:szCs w:val="36"/>
        </w:rPr>
        <w:t>反應器</w:t>
      </w:r>
      <w:r w:rsidRPr="002A4102">
        <w:rPr>
          <w:rFonts w:ascii="標楷體" w:eastAsia="標楷體" w:hAnsi="標楷體"/>
          <w:bCs/>
          <w:sz w:val="28"/>
          <w:szCs w:val="36"/>
        </w:rPr>
        <w:t>安全停止所需的電力。</w:t>
      </w:r>
      <w:r w:rsidR="00302667" w:rsidRPr="002A4102">
        <w:rPr>
          <w:rFonts w:ascii="標楷體" w:eastAsia="標楷體" w:hAnsi="標楷體" w:hint="eastAsia"/>
          <w:bCs/>
          <w:sz w:val="28"/>
          <w:szCs w:val="36"/>
        </w:rPr>
        <w:t>另</w:t>
      </w:r>
      <w:r w:rsidRPr="002A4102">
        <w:rPr>
          <w:rFonts w:ascii="標楷體" w:eastAsia="標楷體" w:hAnsi="標楷體"/>
          <w:bCs/>
          <w:sz w:val="28"/>
          <w:szCs w:val="36"/>
        </w:rPr>
        <w:t>緊急柴油發電機還可供電給鄰近的機組，提升供電彈性。</w:t>
      </w:r>
    </w:p>
    <w:p w14:paraId="141A0903" w14:textId="085C5157" w:rsidR="00380D41" w:rsidRPr="002A4102" w:rsidRDefault="00380D41" w:rsidP="009C4EE0">
      <w:pPr>
        <w:pStyle w:val="af4"/>
        <w:numPr>
          <w:ilvl w:val="4"/>
          <w:numId w:val="2"/>
        </w:numPr>
        <w:tabs>
          <w:tab w:val="left" w:pos="-1920"/>
        </w:tabs>
        <w:snapToGrid w:val="0"/>
        <w:spacing w:beforeLines="15" w:before="36" w:afterLines="15" w:after="36" w:line="440" w:lineRule="exact"/>
        <w:ind w:leftChars="0" w:left="1729" w:hanging="482"/>
        <w:jc w:val="both"/>
        <w:outlineLvl w:val="2"/>
        <w:rPr>
          <w:rFonts w:ascii="標楷體" w:eastAsia="標楷體" w:hAnsi="標楷體"/>
          <w:bCs/>
          <w:sz w:val="28"/>
          <w:szCs w:val="36"/>
        </w:rPr>
      </w:pPr>
      <w:r w:rsidRPr="002A4102">
        <w:rPr>
          <w:rFonts w:ascii="標楷體" w:eastAsia="標楷體" w:hAnsi="標楷體"/>
          <w:bCs/>
          <w:sz w:val="28"/>
          <w:szCs w:val="36"/>
        </w:rPr>
        <w:t>空冷式氣渦輪發電機</w:t>
      </w:r>
      <w:r w:rsidR="00F64FAB" w:rsidRPr="002A4102">
        <w:rPr>
          <w:rFonts w:ascii="標楷體" w:eastAsia="標楷體" w:hAnsi="標楷體" w:hint="eastAsia"/>
          <w:bCs/>
          <w:sz w:val="28"/>
          <w:szCs w:val="36"/>
        </w:rPr>
        <w:t>：</w:t>
      </w:r>
      <w:r w:rsidRPr="002A4102">
        <w:rPr>
          <w:rFonts w:ascii="標楷體" w:eastAsia="標楷體" w:hAnsi="標楷體"/>
          <w:bCs/>
          <w:sz w:val="28"/>
          <w:szCs w:val="36"/>
        </w:rPr>
        <w:t>廠區內部署空冷式氣渦輪發電機，以輕油燃燒產生電力。這些發電機部署在不受海嘯影響的地點，作為緊急時的備用電源。</w:t>
      </w:r>
    </w:p>
    <w:p w14:paraId="45D86127" w14:textId="26072126" w:rsidR="00380D41" w:rsidRPr="002A4102" w:rsidRDefault="00380D41" w:rsidP="009C4EE0">
      <w:pPr>
        <w:pStyle w:val="af4"/>
        <w:numPr>
          <w:ilvl w:val="4"/>
          <w:numId w:val="2"/>
        </w:numPr>
        <w:tabs>
          <w:tab w:val="left" w:pos="-1920"/>
        </w:tabs>
        <w:snapToGrid w:val="0"/>
        <w:spacing w:beforeLines="15" w:before="36" w:afterLines="15" w:after="36" w:line="440" w:lineRule="exact"/>
        <w:ind w:leftChars="0" w:left="1729" w:hanging="482"/>
        <w:jc w:val="both"/>
        <w:outlineLvl w:val="2"/>
        <w:rPr>
          <w:rFonts w:ascii="標楷體" w:eastAsia="標楷體" w:hAnsi="標楷體"/>
          <w:bCs/>
          <w:sz w:val="28"/>
          <w:szCs w:val="36"/>
        </w:rPr>
      </w:pPr>
      <w:r w:rsidRPr="002A4102">
        <w:rPr>
          <w:rFonts w:ascii="標楷體" w:eastAsia="標楷體" w:hAnsi="標楷體"/>
          <w:bCs/>
          <w:sz w:val="28"/>
          <w:szCs w:val="36"/>
        </w:rPr>
        <w:t>電源車</w:t>
      </w:r>
      <w:r w:rsidR="00F64FAB" w:rsidRPr="002A4102">
        <w:rPr>
          <w:rFonts w:ascii="標楷體" w:eastAsia="標楷體" w:hAnsi="標楷體" w:hint="eastAsia"/>
          <w:bCs/>
          <w:sz w:val="28"/>
          <w:szCs w:val="36"/>
        </w:rPr>
        <w:t>：</w:t>
      </w:r>
      <w:r w:rsidRPr="002A4102">
        <w:rPr>
          <w:rFonts w:ascii="標楷體" w:eastAsia="標楷體" w:hAnsi="標楷體"/>
          <w:bCs/>
          <w:sz w:val="28"/>
          <w:szCs w:val="36"/>
        </w:rPr>
        <w:t>廠區內配備多台電源車，機動性高，可以根據需要移動到不同地點，提供電力給重要的設備。</w:t>
      </w:r>
    </w:p>
    <w:p w14:paraId="1913F454" w14:textId="006B8863" w:rsidR="00380D41" w:rsidRPr="002A4102" w:rsidRDefault="00380D41" w:rsidP="009C4EE0">
      <w:pPr>
        <w:pStyle w:val="af4"/>
        <w:numPr>
          <w:ilvl w:val="4"/>
          <w:numId w:val="2"/>
        </w:numPr>
        <w:tabs>
          <w:tab w:val="left" w:pos="-1920"/>
        </w:tabs>
        <w:snapToGrid w:val="0"/>
        <w:spacing w:beforeLines="15" w:before="36" w:afterLines="15" w:after="36" w:line="440" w:lineRule="exact"/>
        <w:ind w:leftChars="0" w:left="1729" w:hanging="482"/>
        <w:jc w:val="both"/>
        <w:outlineLvl w:val="2"/>
        <w:rPr>
          <w:rFonts w:ascii="標楷體" w:eastAsia="標楷體" w:hAnsi="標楷體"/>
          <w:bCs/>
          <w:sz w:val="28"/>
          <w:szCs w:val="36"/>
        </w:rPr>
      </w:pPr>
      <w:r w:rsidRPr="002A4102">
        <w:rPr>
          <w:rFonts w:ascii="標楷體" w:eastAsia="標楷體" w:hAnsi="標楷體"/>
          <w:bCs/>
          <w:sz w:val="28"/>
          <w:szCs w:val="36"/>
        </w:rPr>
        <w:lastRenderedPageBreak/>
        <w:t>直流電源</w:t>
      </w:r>
      <w:r w:rsidR="00F64FAB" w:rsidRPr="002A4102">
        <w:rPr>
          <w:rFonts w:ascii="標楷體" w:eastAsia="標楷體" w:hAnsi="標楷體" w:hint="eastAsia"/>
          <w:bCs/>
          <w:sz w:val="28"/>
          <w:szCs w:val="36"/>
        </w:rPr>
        <w:t>：</w:t>
      </w:r>
      <w:r w:rsidRPr="002A4102">
        <w:rPr>
          <w:rFonts w:ascii="標楷體" w:eastAsia="標楷體" w:hAnsi="標楷體"/>
          <w:bCs/>
          <w:sz w:val="28"/>
          <w:szCs w:val="36"/>
        </w:rPr>
        <w:t>核電廠需要使用直流電源來監控和控制廠房狀態。除原本就設置的多個大容量蓄電池，東京電力公司又在海拔15公尺以上的</w:t>
      </w:r>
      <w:r w:rsidR="00A95445">
        <w:rPr>
          <w:rFonts w:ascii="標楷體" w:eastAsia="標楷體" w:hAnsi="標楷體"/>
          <w:bCs/>
          <w:sz w:val="28"/>
          <w:szCs w:val="36"/>
        </w:rPr>
        <w:t>反應器</w:t>
      </w:r>
      <w:r w:rsidRPr="002A4102">
        <w:rPr>
          <w:rFonts w:ascii="標楷體" w:eastAsia="標楷體" w:hAnsi="標楷體"/>
          <w:bCs/>
          <w:sz w:val="28"/>
          <w:szCs w:val="36"/>
        </w:rPr>
        <w:t>廠房高處增設另一個大容量蓄電池，避免所有蓄電池都受到海嘯或地震的影響，進一步提高供電可靠度。</w:t>
      </w:r>
    </w:p>
    <w:p w14:paraId="2D910838" w14:textId="1294AE75" w:rsidR="00380D41" w:rsidRPr="007748E4" w:rsidRDefault="00380D41" w:rsidP="009C4EE0">
      <w:pPr>
        <w:numPr>
          <w:ilvl w:val="3"/>
          <w:numId w:val="2"/>
        </w:numPr>
        <w:tabs>
          <w:tab w:val="left" w:pos="-1920"/>
        </w:tabs>
        <w:snapToGrid w:val="0"/>
        <w:spacing w:beforeLines="15" w:before="36" w:afterLines="15" w:after="36" w:line="440" w:lineRule="exact"/>
        <w:jc w:val="both"/>
        <w:outlineLvl w:val="0"/>
        <w:rPr>
          <w:rFonts w:ascii="標楷體" w:eastAsia="標楷體" w:hAnsi="標楷體"/>
          <w:bCs/>
          <w:spacing w:val="-10"/>
          <w:sz w:val="28"/>
          <w:szCs w:val="28"/>
        </w:rPr>
      </w:pPr>
      <w:r w:rsidRPr="007748E4">
        <w:rPr>
          <w:rFonts w:ascii="標楷體" w:eastAsia="標楷體" w:hAnsi="標楷體"/>
          <w:bCs/>
          <w:spacing w:val="-10"/>
          <w:sz w:val="28"/>
          <w:szCs w:val="28"/>
        </w:rPr>
        <w:t>冷卻系統安全</w:t>
      </w:r>
    </w:p>
    <w:p w14:paraId="2FF50DAF" w14:textId="3CBAEF14" w:rsidR="00380D41" w:rsidRPr="002A4102" w:rsidRDefault="00380D41" w:rsidP="009C4EE0">
      <w:pPr>
        <w:pStyle w:val="af4"/>
        <w:numPr>
          <w:ilvl w:val="4"/>
          <w:numId w:val="2"/>
        </w:numPr>
        <w:tabs>
          <w:tab w:val="left" w:pos="-1920"/>
        </w:tabs>
        <w:snapToGrid w:val="0"/>
        <w:spacing w:beforeLines="15" w:before="36" w:afterLines="15" w:after="36" w:line="440" w:lineRule="exact"/>
        <w:ind w:leftChars="0" w:left="1729" w:hanging="482"/>
        <w:jc w:val="both"/>
        <w:outlineLvl w:val="2"/>
        <w:rPr>
          <w:rFonts w:ascii="標楷體" w:eastAsia="標楷體" w:hAnsi="標楷體"/>
          <w:bCs/>
          <w:sz w:val="28"/>
          <w:szCs w:val="36"/>
        </w:rPr>
      </w:pPr>
      <w:r w:rsidRPr="002A4102">
        <w:rPr>
          <w:rFonts w:ascii="標楷體" w:eastAsia="標楷體" w:hAnsi="標楷體"/>
          <w:bCs/>
          <w:sz w:val="28"/>
          <w:szCs w:val="36"/>
        </w:rPr>
        <w:t>緊急爐心冷卻系統(ECCS)</w:t>
      </w:r>
      <w:r w:rsidR="00F64FAB" w:rsidRPr="002A4102">
        <w:rPr>
          <w:rFonts w:ascii="標楷體" w:eastAsia="標楷體" w:hAnsi="標楷體" w:hint="eastAsia"/>
          <w:bCs/>
          <w:sz w:val="28"/>
          <w:szCs w:val="36"/>
        </w:rPr>
        <w:t>：</w:t>
      </w:r>
      <w:r w:rsidRPr="002A4102">
        <w:rPr>
          <w:rFonts w:ascii="標楷體" w:eastAsia="標楷體" w:hAnsi="標楷體"/>
          <w:bCs/>
          <w:sz w:val="28"/>
          <w:szCs w:val="36"/>
        </w:rPr>
        <w:t>ECCS是核電廠中重要的安全系統，目的是在發生事故時，冷卻</w:t>
      </w:r>
      <w:r w:rsidR="00A95445">
        <w:rPr>
          <w:rFonts w:ascii="標楷體" w:eastAsia="標楷體" w:hAnsi="標楷體"/>
          <w:bCs/>
          <w:sz w:val="28"/>
          <w:szCs w:val="36"/>
        </w:rPr>
        <w:t>反應器</w:t>
      </w:r>
      <w:r w:rsidRPr="002A4102">
        <w:rPr>
          <w:rFonts w:ascii="標楷體" w:eastAsia="標楷體" w:hAnsi="標楷體"/>
          <w:bCs/>
          <w:sz w:val="28"/>
          <w:szCs w:val="36"/>
        </w:rPr>
        <w:t>爐心，防止爐心熔毀。柏崎刈羽核電廠的ECCS採用多種泵浦，包括利用電力驅動的泵浦，以及利用</w:t>
      </w:r>
      <w:r w:rsidR="00A95445">
        <w:rPr>
          <w:rFonts w:ascii="標楷體" w:eastAsia="標楷體" w:hAnsi="標楷體"/>
          <w:bCs/>
          <w:sz w:val="28"/>
          <w:szCs w:val="36"/>
        </w:rPr>
        <w:t>反應器</w:t>
      </w:r>
      <w:r w:rsidRPr="002A4102">
        <w:rPr>
          <w:rFonts w:ascii="標楷體" w:eastAsia="標楷體" w:hAnsi="標楷體"/>
          <w:bCs/>
          <w:sz w:val="28"/>
          <w:szCs w:val="36"/>
        </w:rPr>
        <w:t>蒸汽驅動的泵浦，即使在部分泵浦故障或電力喪失的情況下，也能確保</w:t>
      </w:r>
      <w:r w:rsidR="00A95445">
        <w:rPr>
          <w:rFonts w:ascii="標楷體" w:eastAsia="標楷體" w:hAnsi="標楷體"/>
          <w:bCs/>
          <w:sz w:val="28"/>
          <w:szCs w:val="36"/>
        </w:rPr>
        <w:t>反應器</w:t>
      </w:r>
      <w:r w:rsidRPr="002A4102">
        <w:rPr>
          <w:rFonts w:ascii="標楷體" w:eastAsia="標楷體" w:hAnsi="標楷體"/>
          <w:bCs/>
          <w:sz w:val="28"/>
          <w:szCs w:val="36"/>
        </w:rPr>
        <w:t>得到充分的冷卻。</w:t>
      </w:r>
    </w:p>
    <w:p w14:paraId="671AB509" w14:textId="55C255BF" w:rsidR="00380D41" w:rsidRPr="002A4102" w:rsidRDefault="00380D41" w:rsidP="009C4EE0">
      <w:pPr>
        <w:pStyle w:val="af4"/>
        <w:numPr>
          <w:ilvl w:val="4"/>
          <w:numId w:val="2"/>
        </w:numPr>
        <w:tabs>
          <w:tab w:val="left" w:pos="-1920"/>
        </w:tabs>
        <w:snapToGrid w:val="0"/>
        <w:spacing w:beforeLines="15" w:before="36" w:afterLines="15" w:after="36" w:line="440" w:lineRule="exact"/>
        <w:ind w:leftChars="0" w:left="1729" w:hanging="482"/>
        <w:jc w:val="both"/>
        <w:outlineLvl w:val="2"/>
        <w:rPr>
          <w:rFonts w:ascii="標楷體" w:eastAsia="標楷體" w:hAnsi="標楷體"/>
          <w:bCs/>
          <w:sz w:val="28"/>
          <w:szCs w:val="36"/>
        </w:rPr>
      </w:pPr>
      <w:r w:rsidRPr="002A4102">
        <w:rPr>
          <w:rFonts w:ascii="標楷體" w:eastAsia="標楷體" w:hAnsi="標楷體"/>
          <w:bCs/>
          <w:sz w:val="28"/>
          <w:szCs w:val="36"/>
        </w:rPr>
        <w:t>高壓代替注水系統(HPAC)</w:t>
      </w:r>
      <w:r w:rsidR="00F64FAB" w:rsidRPr="002A4102">
        <w:rPr>
          <w:rFonts w:ascii="標楷體" w:eastAsia="標楷體" w:hAnsi="標楷體" w:hint="eastAsia"/>
          <w:bCs/>
          <w:sz w:val="28"/>
          <w:szCs w:val="36"/>
        </w:rPr>
        <w:t>：</w:t>
      </w:r>
      <w:r w:rsidRPr="002A4102">
        <w:rPr>
          <w:rFonts w:ascii="標楷體" w:eastAsia="標楷體" w:hAnsi="標楷體"/>
          <w:bCs/>
          <w:sz w:val="28"/>
          <w:szCs w:val="36"/>
        </w:rPr>
        <w:t>HPAC是ECCS的一部分，可以在高壓狀態下將水注入</w:t>
      </w:r>
      <w:r w:rsidR="00A95445">
        <w:rPr>
          <w:rFonts w:ascii="標楷體" w:eastAsia="標楷體" w:hAnsi="標楷體"/>
          <w:bCs/>
          <w:sz w:val="28"/>
          <w:szCs w:val="36"/>
        </w:rPr>
        <w:t>反應器</w:t>
      </w:r>
      <w:r w:rsidRPr="002A4102">
        <w:rPr>
          <w:rFonts w:ascii="標楷體" w:eastAsia="標楷體" w:hAnsi="標楷體"/>
          <w:bCs/>
          <w:sz w:val="28"/>
          <w:szCs w:val="36"/>
        </w:rPr>
        <w:t>。當ECCS的其他子系統無法啟動或持續運作時，或者所有電源都喪失時，HPAC可以利用</w:t>
      </w:r>
      <w:r w:rsidR="00A95445">
        <w:rPr>
          <w:rFonts w:ascii="標楷體" w:eastAsia="標楷體" w:hAnsi="標楷體"/>
          <w:bCs/>
          <w:sz w:val="28"/>
          <w:szCs w:val="36"/>
        </w:rPr>
        <w:t>反應器</w:t>
      </w:r>
      <w:r w:rsidRPr="002A4102">
        <w:rPr>
          <w:rFonts w:ascii="標楷體" w:eastAsia="標楷體" w:hAnsi="標楷體"/>
          <w:bCs/>
          <w:sz w:val="28"/>
          <w:szCs w:val="36"/>
        </w:rPr>
        <w:t>的蒸汽驅動泵浦，將水注入</w:t>
      </w:r>
      <w:r w:rsidR="00A95445">
        <w:rPr>
          <w:rFonts w:ascii="標楷體" w:eastAsia="標楷體" w:hAnsi="標楷體"/>
          <w:bCs/>
          <w:sz w:val="28"/>
          <w:szCs w:val="36"/>
        </w:rPr>
        <w:t>反應器</w:t>
      </w:r>
      <w:r w:rsidRPr="002A4102">
        <w:rPr>
          <w:rFonts w:ascii="標楷體" w:eastAsia="標楷體" w:hAnsi="標楷體"/>
          <w:bCs/>
          <w:sz w:val="28"/>
          <w:szCs w:val="36"/>
        </w:rPr>
        <w:t>，維持爐心冷卻。</w:t>
      </w:r>
    </w:p>
    <w:p w14:paraId="069FF888" w14:textId="28056CC3" w:rsidR="00380D41" w:rsidRPr="002A4102" w:rsidRDefault="00380D41" w:rsidP="009C4EE0">
      <w:pPr>
        <w:pStyle w:val="af4"/>
        <w:numPr>
          <w:ilvl w:val="4"/>
          <w:numId w:val="2"/>
        </w:numPr>
        <w:tabs>
          <w:tab w:val="left" w:pos="-1920"/>
        </w:tabs>
        <w:snapToGrid w:val="0"/>
        <w:spacing w:beforeLines="15" w:before="36" w:afterLines="15" w:after="36" w:line="440" w:lineRule="exact"/>
        <w:ind w:leftChars="0" w:left="1729" w:hanging="482"/>
        <w:jc w:val="both"/>
        <w:outlineLvl w:val="2"/>
        <w:rPr>
          <w:rFonts w:ascii="標楷體" w:eastAsia="標楷體" w:hAnsi="標楷體"/>
          <w:bCs/>
          <w:sz w:val="28"/>
          <w:szCs w:val="36"/>
        </w:rPr>
      </w:pPr>
      <w:r w:rsidRPr="002A4102">
        <w:rPr>
          <w:rFonts w:ascii="標楷體" w:eastAsia="標楷體" w:hAnsi="標楷體"/>
          <w:bCs/>
          <w:sz w:val="28"/>
          <w:szCs w:val="36"/>
        </w:rPr>
        <w:t>消防車</w:t>
      </w:r>
      <w:r w:rsidR="00F64FAB" w:rsidRPr="002A4102">
        <w:rPr>
          <w:rFonts w:ascii="標楷體" w:eastAsia="標楷體" w:hAnsi="標楷體" w:hint="eastAsia"/>
          <w:bCs/>
          <w:sz w:val="28"/>
          <w:szCs w:val="36"/>
        </w:rPr>
        <w:t>：</w:t>
      </w:r>
      <w:r w:rsidRPr="002A4102">
        <w:rPr>
          <w:rFonts w:ascii="標楷體" w:eastAsia="標楷體" w:hAnsi="標楷體"/>
          <w:bCs/>
          <w:sz w:val="28"/>
          <w:szCs w:val="36"/>
        </w:rPr>
        <w:t>廠區內部署多輛消防車，配置在不同地點，避免所有消防車都同時受到事故影響。消防車可以連接到</w:t>
      </w:r>
      <w:r w:rsidR="00A95445">
        <w:rPr>
          <w:rFonts w:ascii="標楷體" w:eastAsia="標楷體" w:hAnsi="標楷體"/>
          <w:bCs/>
          <w:sz w:val="28"/>
          <w:szCs w:val="36"/>
        </w:rPr>
        <w:t>反應器</w:t>
      </w:r>
      <w:r w:rsidRPr="002A4102">
        <w:rPr>
          <w:rFonts w:ascii="標楷體" w:eastAsia="標楷體" w:hAnsi="標楷體"/>
          <w:bCs/>
          <w:sz w:val="28"/>
          <w:szCs w:val="36"/>
        </w:rPr>
        <w:t>廠房，向</w:t>
      </w:r>
      <w:r w:rsidR="00A95445">
        <w:rPr>
          <w:rFonts w:ascii="標楷體" w:eastAsia="標楷體" w:hAnsi="標楷體"/>
          <w:bCs/>
          <w:sz w:val="28"/>
          <w:szCs w:val="36"/>
        </w:rPr>
        <w:t>反應器</w:t>
      </w:r>
      <w:r w:rsidRPr="002A4102">
        <w:rPr>
          <w:rFonts w:ascii="標楷體" w:eastAsia="標楷體" w:hAnsi="標楷體"/>
          <w:bCs/>
          <w:sz w:val="28"/>
          <w:szCs w:val="36"/>
        </w:rPr>
        <w:t>或乏燃料池注水，協助冷卻。</w:t>
      </w:r>
    </w:p>
    <w:p w14:paraId="420E4037" w14:textId="4A98AF94" w:rsidR="00380D41" w:rsidRPr="002A4102" w:rsidRDefault="00380D41" w:rsidP="009C4EE0">
      <w:pPr>
        <w:pStyle w:val="af4"/>
        <w:numPr>
          <w:ilvl w:val="4"/>
          <w:numId w:val="2"/>
        </w:numPr>
        <w:tabs>
          <w:tab w:val="left" w:pos="-1920"/>
        </w:tabs>
        <w:snapToGrid w:val="0"/>
        <w:spacing w:beforeLines="15" w:before="36" w:afterLines="15" w:after="36" w:line="440" w:lineRule="exact"/>
        <w:ind w:leftChars="0" w:left="1729" w:hanging="482"/>
        <w:jc w:val="both"/>
        <w:outlineLvl w:val="2"/>
        <w:rPr>
          <w:rFonts w:ascii="標楷體" w:eastAsia="標楷體" w:hAnsi="標楷體"/>
          <w:bCs/>
          <w:sz w:val="28"/>
          <w:szCs w:val="36"/>
        </w:rPr>
      </w:pPr>
      <w:r w:rsidRPr="002A4102">
        <w:rPr>
          <w:rFonts w:ascii="標楷體" w:eastAsia="標楷體" w:hAnsi="標楷體"/>
          <w:bCs/>
          <w:sz w:val="28"/>
          <w:szCs w:val="36"/>
        </w:rPr>
        <w:t>替代熱交換器車</w:t>
      </w:r>
      <w:r w:rsidR="00F64FAB" w:rsidRPr="002A4102">
        <w:rPr>
          <w:rFonts w:ascii="標楷體" w:eastAsia="標楷體" w:hAnsi="標楷體" w:hint="eastAsia"/>
          <w:bCs/>
          <w:sz w:val="28"/>
          <w:szCs w:val="36"/>
        </w:rPr>
        <w:t>：</w:t>
      </w:r>
      <w:r w:rsidRPr="002A4102">
        <w:rPr>
          <w:rFonts w:ascii="標楷體" w:eastAsia="標楷體" w:hAnsi="標楷體"/>
          <w:bCs/>
          <w:sz w:val="28"/>
          <w:szCs w:val="36"/>
        </w:rPr>
        <w:t>替代熱交換器車是現有冷卻設備的備用方案，可以在既有的冷卻系統失效時，接手冷卻</w:t>
      </w:r>
      <w:r w:rsidR="00A95445">
        <w:rPr>
          <w:rFonts w:ascii="標楷體" w:eastAsia="標楷體" w:hAnsi="標楷體"/>
          <w:bCs/>
          <w:sz w:val="28"/>
          <w:szCs w:val="36"/>
        </w:rPr>
        <w:t>反應器</w:t>
      </w:r>
      <w:r w:rsidRPr="002A4102">
        <w:rPr>
          <w:rFonts w:ascii="標楷體" w:eastAsia="標楷體" w:hAnsi="標楷體"/>
          <w:bCs/>
          <w:sz w:val="28"/>
          <w:szCs w:val="36"/>
        </w:rPr>
        <w:t>或</w:t>
      </w:r>
      <w:r w:rsidR="00A95445">
        <w:rPr>
          <w:rFonts w:ascii="標楷體" w:eastAsia="標楷體" w:hAnsi="標楷體"/>
          <w:bCs/>
          <w:sz w:val="28"/>
          <w:szCs w:val="36"/>
        </w:rPr>
        <w:t>反應器</w:t>
      </w:r>
      <w:r w:rsidRPr="002A4102">
        <w:rPr>
          <w:rFonts w:ascii="標楷體" w:eastAsia="標楷體" w:hAnsi="標楷體"/>
          <w:bCs/>
          <w:sz w:val="28"/>
          <w:szCs w:val="36"/>
        </w:rPr>
        <w:t>安全殼內部，防止爐心溫度過高，導致放射性物質釋放。根據東京電力公司的資料，使用替代熱交換器車，至少可以延遲10天釋放放射性物質到大氣中。</w:t>
      </w:r>
    </w:p>
    <w:p w14:paraId="37C24A68" w14:textId="0EA8A9AA" w:rsidR="00380D41" w:rsidRPr="002A4102" w:rsidRDefault="00380D41" w:rsidP="009C4EE0">
      <w:pPr>
        <w:pStyle w:val="af4"/>
        <w:numPr>
          <w:ilvl w:val="4"/>
          <w:numId w:val="2"/>
        </w:numPr>
        <w:tabs>
          <w:tab w:val="left" w:pos="-1920"/>
        </w:tabs>
        <w:snapToGrid w:val="0"/>
        <w:spacing w:beforeLines="15" w:before="36" w:afterLines="15" w:after="36" w:line="440" w:lineRule="exact"/>
        <w:ind w:leftChars="0" w:left="1729" w:hanging="482"/>
        <w:jc w:val="both"/>
        <w:outlineLvl w:val="2"/>
        <w:rPr>
          <w:rFonts w:ascii="標楷體" w:eastAsia="標楷體" w:hAnsi="標楷體"/>
          <w:bCs/>
          <w:sz w:val="28"/>
          <w:szCs w:val="36"/>
        </w:rPr>
      </w:pPr>
      <w:r w:rsidRPr="002A4102">
        <w:rPr>
          <w:rFonts w:ascii="標楷體" w:eastAsia="標楷體" w:hAnsi="標楷體"/>
          <w:bCs/>
          <w:sz w:val="28"/>
          <w:szCs w:val="36"/>
        </w:rPr>
        <w:t>淡水貯水池</w:t>
      </w:r>
      <w:r w:rsidR="00F64FAB" w:rsidRPr="002A4102">
        <w:rPr>
          <w:rFonts w:ascii="標楷體" w:eastAsia="標楷體" w:hAnsi="標楷體" w:hint="eastAsia"/>
          <w:bCs/>
          <w:sz w:val="28"/>
          <w:szCs w:val="36"/>
        </w:rPr>
        <w:t>：</w:t>
      </w:r>
      <w:r w:rsidRPr="002A4102">
        <w:rPr>
          <w:rFonts w:ascii="標楷體" w:eastAsia="標楷體" w:hAnsi="標楷體"/>
          <w:bCs/>
          <w:sz w:val="28"/>
          <w:szCs w:val="36"/>
        </w:rPr>
        <w:t>為確保</w:t>
      </w:r>
      <w:r w:rsidR="00A95445">
        <w:rPr>
          <w:rFonts w:ascii="標楷體" w:eastAsia="標楷體" w:hAnsi="標楷體"/>
          <w:bCs/>
          <w:sz w:val="28"/>
          <w:szCs w:val="36"/>
        </w:rPr>
        <w:t>反應器</w:t>
      </w:r>
      <w:r w:rsidRPr="002A4102">
        <w:rPr>
          <w:rFonts w:ascii="標楷體" w:eastAsia="標楷體" w:hAnsi="標楷體"/>
          <w:bCs/>
          <w:sz w:val="28"/>
          <w:szCs w:val="36"/>
        </w:rPr>
        <w:t>和乏燃料池有充足的冷卻水，東京電力公司在海拔約45公尺的高地上設置淡水貯水池。淡水貯水池的容量約2萬噸，足夠供應6~7號機組的</w:t>
      </w:r>
      <w:r w:rsidR="00A95445">
        <w:rPr>
          <w:rFonts w:ascii="標楷體" w:eastAsia="標楷體" w:hAnsi="標楷體"/>
          <w:bCs/>
          <w:sz w:val="28"/>
          <w:szCs w:val="36"/>
        </w:rPr>
        <w:t>反應器</w:t>
      </w:r>
      <w:r w:rsidRPr="002A4102">
        <w:rPr>
          <w:rFonts w:ascii="標楷體" w:eastAsia="標楷體" w:hAnsi="標楷體"/>
          <w:bCs/>
          <w:sz w:val="28"/>
          <w:szCs w:val="36"/>
        </w:rPr>
        <w:t>和乏燃料池7天以上的冷卻水。</w:t>
      </w:r>
    </w:p>
    <w:p w14:paraId="33AD5C1C" w14:textId="7D003100" w:rsidR="00380D41" w:rsidRPr="007748E4" w:rsidRDefault="00380D41" w:rsidP="009C4EE0">
      <w:pPr>
        <w:numPr>
          <w:ilvl w:val="3"/>
          <w:numId w:val="2"/>
        </w:numPr>
        <w:tabs>
          <w:tab w:val="left" w:pos="-1920"/>
        </w:tabs>
        <w:snapToGrid w:val="0"/>
        <w:spacing w:beforeLines="15" w:before="36" w:afterLines="15" w:after="36" w:line="440" w:lineRule="exact"/>
        <w:jc w:val="both"/>
        <w:outlineLvl w:val="0"/>
        <w:rPr>
          <w:rFonts w:ascii="標楷體" w:eastAsia="標楷體" w:hAnsi="標楷體"/>
          <w:bCs/>
          <w:spacing w:val="-10"/>
          <w:sz w:val="28"/>
          <w:szCs w:val="28"/>
        </w:rPr>
      </w:pPr>
      <w:r w:rsidRPr="007748E4">
        <w:rPr>
          <w:rFonts w:ascii="標楷體" w:eastAsia="標楷體" w:hAnsi="標楷體"/>
          <w:bCs/>
          <w:spacing w:val="-10"/>
          <w:sz w:val="28"/>
          <w:szCs w:val="28"/>
        </w:rPr>
        <w:t>放射性物質擴散抑制</w:t>
      </w:r>
    </w:p>
    <w:p w14:paraId="424BDEF3" w14:textId="4060DEA4" w:rsidR="00F64FAB" w:rsidRPr="002A4102" w:rsidRDefault="00A95445" w:rsidP="009C4EE0">
      <w:pPr>
        <w:pStyle w:val="af4"/>
        <w:numPr>
          <w:ilvl w:val="4"/>
          <w:numId w:val="2"/>
        </w:numPr>
        <w:tabs>
          <w:tab w:val="left" w:pos="-1920"/>
        </w:tabs>
        <w:snapToGrid w:val="0"/>
        <w:spacing w:beforeLines="15" w:before="36" w:afterLines="15" w:after="36" w:line="440" w:lineRule="exact"/>
        <w:ind w:leftChars="0" w:left="1729" w:hanging="482"/>
        <w:jc w:val="both"/>
        <w:outlineLvl w:val="2"/>
        <w:rPr>
          <w:rFonts w:ascii="標楷體" w:eastAsia="標楷體" w:hAnsi="標楷體"/>
          <w:bCs/>
          <w:sz w:val="28"/>
          <w:szCs w:val="36"/>
        </w:rPr>
      </w:pPr>
      <w:r>
        <w:rPr>
          <w:rFonts w:ascii="標楷體" w:eastAsia="標楷體" w:hAnsi="標楷體"/>
          <w:bCs/>
          <w:sz w:val="28"/>
          <w:szCs w:val="36"/>
        </w:rPr>
        <w:t>反應器</w:t>
      </w:r>
      <w:r w:rsidR="00380D41" w:rsidRPr="002A4102">
        <w:rPr>
          <w:rFonts w:ascii="標楷體" w:eastAsia="標楷體" w:hAnsi="標楷體"/>
          <w:bCs/>
          <w:sz w:val="28"/>
          <w:szCs w:val="36"/>
        </w:rPr>
        <w:t>廠房氫氣處理設備</w:t>
      </w:r>
      <w:r w:rsidR="00F64FAB" w:rsidRPr="002A4102">
        <w:rPr>
          <w:rFonts w:ascii="標楷體" w:eastAsia="標楷體" w:hAnsi="標楷體" w:hint="eastAsia"/>
          <w:bCs/>
          <w:sz w:val="28"/>
          <w:szCs w:val="36"/>
        </w:rPr>
        <w:t>：</w:t>
      </w:r>
    </w:p>
    <w:p w14:paraId="7FF56626" w14:textId="7F1A92B2" w:rsidR="00F64FAB" w:rsidRPr="002A4102" w:rsidRDefault="00380D41" w:rsidP="009C4EE0">
      <w:pPr>
        <w:numPr>
          <w:ilvl w:val="1"/>
          <w:numId w:val="3"/>
        </w:numPr>
        <w:spacing w:beforeLines="15" w:before="36" w:afterLines="15" w:after="36" w:line="440" w:lineRule="exact"/>
        <w:ind w:left="1815" w:hanging="227"/>
        <w:jc w:val="both"/>
        <w:outlineLvl w:val="1"/>
        <w:rPr>
          <w:rFonts w:ascii="標楷體" w:eastAsia="標楷體" w:hAnsi="標楷體"/>
          <w:bCs/>
          <w:spacing w:val="-10"/>
          <w:sz w:val="28"/>
          <w:szCs w:val="28"/>
        </w:rPr>
      </w:pPr>
      <w:bookmarkStart w:id="68" w:name="_Toc185412406"/>
      <w:r w:rsidRPr="002A4102">
        <w:rPr>
          <w:rFonts w:ascii="標楷體" w:eastAsia="標楷體" w:hAnsi="標楷體"/>
          <w:bCs/>
          <w:spacing w:val="-10"/>
          <w:sz w:val="28"/>
          <w:szCs w:val="28"/>
        </w:rPr>
        <w:t>當</w:t>
      </w:r>
      <w:r w:rsidR="00A95445">
        <w:rPr>
          <w:rFonts w:ascii="標楷體" w:eastAsia="標楷體" w:hAnsi="標楷體"/>
          <w:bCs/>
          <w:spacing w:val="-10"/>
          <w:sz w:val="28"/>
          <w:szCs w:val="28"/>
        </w:rPr>
        <w:t>反應器</w:t>
      </w:r>
      <w:r w:rsidRPr="002A4102">
        <w:rPr>
          <w:rFonts w:ascii="標楷體" w:eastAsia="標楷體" w:hAnsi="標楷體"/>
          <w:bCs/>
          <w:spacing w:val="-10"/>
          <w:sz w:val="28"/>
          <w:szCs w:val="28"/>
        </w:rPr>
        <w:t>爐心損壞時，可能會產生氫氣，並外洩到</w:t>
      </w:r>
      <w:r w:rsidR="00A95445">
        <w:rPr>
          <w:rFonts w:ascii="標楷體" w:eastAsia="標楷體" w:hAnsi="標楷體"/>
          <w:bCs/>
          <w:spacing w:val="-10"/>
          <w:sz w:val="28"/>
          <w:szCs w:val="28"/>
        </w:rPr>
        <w:t>反應器</w:t>
      </w:r>
      <w:r w:rsidRPr="002A4102">
        <w:rPr>
          <w:rFonts w:ascii="標楷體" w:eastAsia="標楷體" w:hAnsi="標楷體"/>
          <w:bCs/>
          <w:spacing w:val="-10"/>
          <w:sz w:val="28"/>
          <w:szCs w:val="28"/>
        </w:rPr>
        <w:t>廠房中。</w:t>
      </w:r>
      <w:bookmarkEnd w:id="68"/>
    </w:p>
    <w:p w14:paraId="1A0095BF" w14:textId="340B314B" w:rsidR="00F64FAB" w:rsidRPr="002A4102" w:rsidRDefault="00380D41" w:rsidP="009C4EE0">
      <w:pPr>
        <w:numPr>
          <w:ilvl w:val="1"/>
          <w:numId w:val="3"/>
        </w:numPr>
        <w:spacing w:beforeLines="15" w:before="36" w:afterLines="15" w:after="36" w:line="440" w:lineRule="exact"/>
        <w:ind w:left="1815" w:hanging="227"/>
        <w:jc w:val="both"/>
        <w:outlineLvl w:val="1"/>
        <w:rPr>
          <w:rFonts w:ascii="標楷體" w:eastAsia="標楷體" w:hAnsi="標楷體"/>
          <w:bCs/>
          <w:spacing w:val="-10"/>
          <w:sz w:val="28"/>
          <w:szCs w:val="28"/>
        </w:rPr>
      </w:pPr>
      <w:bookmarkStart w:id="69" w:name="_Toc185412407"/>
      <w:r w:rsidRPr="002A4102">
        <w:rPr>
          <w:rFonts w:ascii="標楷體" w:eastAsia="標楷體" w:hAnsi="標楷體"/>
          <w:bCs/>
          <w:spacing w:val="-10"/>
          <w:sz w:val="28"/>
          <w:szCs w:val="28"/>
        </w:rPr>
        <w:t>為防止氫氣累積導致爆炸，柏崎刈羽核電廠在</w:t>
      </w:r>
      <w:r w:rsidR="00A95445">
        <w:rPr>
          <w:rFonts w:ascii="標楷體" w:eastAsia="標楷體" w:hAnsi="標楷體"/>
          <w:bCs/>
          <w:spacing w:val="-10"/>
          <w:sz w:val="28"/>
          <w:szCs w:val="28"/>
        </w:rPr>
        <w:t>反應器</w:t>
      </w:r>
      <w:r w:rsidRPr="002A4102">
        <w:rPr>
          <w:rFonts w:ascii="標楷體" w:eastAsia="標楷體" w:hAnsi="標楷體"/>
          <w:bCs/>
          <w:spacing w:val="-10"/>
          <w:sz w:val="28"/>
          <w:szCs w:val="28"/>
        </w:rPr>
        <w:t>廠房最上層</w:t>
      </w:r>
      <w:r w:rsidRPr="002A4102">
        <w:rPr>
          <w:rFonts w:ascii="標楷體" w:eastAsia="標楷體" w:hAnsi="標楷體"/>
          <w:bCs/>
          <w:spacing w:val="-10"/>
          <w:sz w:val="28"/>
          <w:szCs w:val="28"/>
        </w:rPr>
        <w:lastRenderedPageBreak/>
        <w:t>設置氫氣處理設備。</w:t>
      </w:r>
      <w:bookmarkEnd w:id="69"/>
    </w:p>
    <w:p w14:paraId="7C79A057" w14:textId="77777777" w:rsidR="00F64FAB" w:rsidRPr="002A4102" w:rsidRDefault="00380D41" w:rsidP="009C4EE0">
      <w:pPr>
        <w:numPr>
          <w:ilvl w:val="1"/>
          <w:numId w:val="3"/>
        </w:numPr>
        <w:spacing w:beforeLines="15" w:before="36" w:afterLines="15" w:after="36" w:line="440" w:lineRule="exact"/>
        <w:ind w:left="1815" w:hanging="227"/>
        <w:jc w:val="both"/>
        <w:outlineLvl w:val="1"/>
        <w:rPr>
          <w:rFonts w:ascii="標楷體" w:eastAsia="標楷體" w:hAnsi="標楷體"/>
          <w:bCs/>
          <w:spacing w:val="-10"/>
          <w:sz w:val="28"/>
          <w:szCs w:val="28"/>
        </w:rPr>
      </w:pPr>
      <w:bookmarkStart w:id="70" w:name="_Toc185412408"/>
      <w:r w:rsidRPr="002A4102">
        <w:rPr>
          <w:rFonts w:ascii="標楷體" w:eastAsia="標楷體" w:hAnsi="標楷體"/>
          <w:bCs/>
          <w:spacing w:val="-10"/>
          <w:sz w:val="28"/>
          <w:szCs w:val="28"/>
        </w:rPr>
        <w:t>氫氣處理設備利用觸媒，將氫氣和氧氣轉化為水蒸氣，降低廠房內的氫氣濃度，避免爆炸，降低放射性物質外洩的風險。</w:t>
      </w:r>
      <w:bookmarkEnd w:id="70"/>
    </w:p>
    <w:p w14:paraId="1CB38055" w14:textId="22BB09F4" w:rsidR="00380D41" w:rsidRPr="002A4102" w:rsidRDefault="00380D41" w:rsidP="009C4EE0">
      <w:pPr>
        <w:numPr>
          <w:ilvl w:val="1"/>
          <w:numId w:val="3"/>
        </w:numPr>
        <w:spacing w:beforeLines="15" w:before="36" w:afterLines="15" w:after="36" w:line="440" w:lineRule="exact"/>
        <w:ind w:left="1815" w:hanging="227"/>
        <w:jc w:val="both"/>
        <w:outlineLvl w:val="1"/>
        <w:rPr>
          <w:rFonts w:ascii="標楷體" w:eastAsia="標楷體" w:hAnsi="標楷體"/>
          <w:bCs/>
          <w:spacing w:val="-10"/>
          <w:sz w:val="28"/>
          <w:szCs w:val="28"/>
        </w:rPr>
      </w:pPr>
      <w:bookmarkStart w:id="71" w:name="_Toc185412409"/>
      <w:r w:rsidRPr="002A4102">
        <w:rPr>
          <w:rFonts w:ascii="標楷體" w:eastAsia="標楷體" w:hAnsi="標楷體"/>
          <w:bCs/>
          <w:spacing w:val="-10"/>
          <w:sz w:val="28"/>
          <w:szCs w:val="28"/>
        </w:rPr>
        <w:t>這個設備不需要電力就能運作，即使在斷電的情況下也能發揮作用。</w:t>
      </w:r>
      <w:bookmarkEnd w:id="71"/>
    </w:p>
    <w:p w14:paraId="2F3D1E94" w14:textId="77777777" w:rsidR="00F64FAB" w:rsidRPr="002A4102" w:rsidRDefault="00380D41" w:rsidP="009C4EE0">
      <w:pPr>
        <w:pStyle w:val="af4"/>
        <w:numPr>
          <w:ilvl w:val="4"/>
          <w:numId w:val="2"/>
        </w:numPr>
        <w:tabs>
          <w:tab w:val="left" w:pos="-1920"/>
        </w:tabs>
        <w:snapToGrid w:val="0"/>
        <w:spacing w:beforeLines="15" w:before="36" w:afterLines="15" w:after="36" w:line="440" w:lineRule="exact"/>
        <w:ind w:leftChars="0" w:left="1729" w:hanging="482"/>
        <w:jc w:val="both"/>
        <w:outlineLvl w:val="2"/>
        <w:rPr>
          <w:rFonts w:ascii="標楷體" w:eastAsia="標楷體" w:hAnsi="標楷體"/>
          <w:bCs/>
          <w:sz w:val="28"/>
          <w:szCs w:val="36"/>
        </w:rPr>
      </w:pPr>
      <w:r w:rsidRPr="002A4102">
        <w:rPr>
          <w:rFonts w:ascii="標楷體" w:eastAsia="標楷體" w:hAnsi="標楷體"/>
          <w:bCs/>
          <w:sz w:val="28"/>
          <w:szCs w:val="36"/>
        </w:rPr>
        <w:t>過濾排放設備</w:t>
      </w:r>
    </w:p>
    <w:p w14:paraId="53341507" w14:textId="32D82CB2" w:rsidR="00F64FAB" w:rsidRPr="002A4102" w:rsidRDefault="00380D41" w:rsidP="009C4EE0">
      <w:pPr>
        <w:numPr>
          <w:ilvl w:val="1"/>
          <w:numId w:val="3"/>
        </w:numPr>
        <w:spacing w:beforeLines="15" w:before="36" w:afterLines="15" w:after="36" w:line="440" w:lineRule="exact"/>
        <w:ind w:left="1815" w:hanging="227"/>
        <w:jc w:val="both"/>
        <w:outlineLvl w:val="1"/>
        <w:rPr>
          <w:rFonts w:ascii="標楷體" w:eastAsia="標楷體" w:hAnsi="標楷體"/>
          <w:bCs/>
          <w:spacing w:val="-10"/>
          <w:sz w:val="28"/>
          <w:szCs w:val="28"/>
        </w:rPr>
      </w:pPr>
      <w:bookmarkStart w:id="72" w:name="_Toc185412410"/>
      <w:r w:rsidRPr="002A4102">
        <w:rPr>
          <w:rFonts w:ascii="標楷體" w:eastAsia="標楷體" w:hAnsi="標楷體"/>
          <w:bCs/>
          <w:spacing w:val="-10"/>
          <w:sz w:val="28"/>
          <w:szCs w:val="28"/>
        </w:rPr>
        <w:t>過濾排放設備的目的是在發生嚴重事故時，控制</w:t>
      </w:r>
      <w:r w:rsidR="00A95445">
        <w:rPr>
          <w:rFonts w:ascii="標楷體" w:eastAsia="標楷體" w:hAnsi="標楷體"/>
          <w:bCs/>
          <w:spacing w:val="-10"/>
          <w:sz w:val="28"/>
          <w:szCs w:val="28"/>
        </w:rPr>
        <w:t>反應器</w:t>
      </w:r>
      <w:r w:rsidRPr="002A4102">
        <w:rPr>
          <w:rFonts w:ascii="標楷體" w:eastAsia="標楷體" w:hAnsi="標楷體"/>
          <w:bCs/>
          <w:spacing w:val="-10"/>
          <w:sz w:val="28"/>
          <w:szCs w:val="28"/>
        </w:rPr>
        <w:t>安全殼內的壓力，避免安全殼破裂。</w:t>
      </w:r>
      <w:bookmarkEnd w:id="72"/>
    </w:p>
    <w:p w14:paraId="1BA1CA0C" w14:textId="77777777" w:rsidR="00F64FAB" w:rsidRPr="002A4102" w:rsidRDefault="00380D41" w:rsidP="009C4EE0">
      <w:pPr>
        <w:numPr>
          <w:ilvl w:val="1"/>
          <w:numId w:val="3"/>
        </w:numPr>
        <w:spacing w:beforeLines="15" w:before="36" w:afterLines="15" w:after="36" w:line="440" w:lineRule="exact"/>
        <w:ind w:left="1815" w:hanging="227"/>
        <w:jc w:val="both"/>
        <w:outlineLvl w:val="1"/>
        <w:rPr>
          <w:rFonts w:ascii="標楷體" w:eastAsia="標楷體" w:hAnsi="標楷體"/>
          <w:bCs/>
          <w:spacing w:val="-10"/>
          <w:sz w:val="28"/>
          <w:szCs w:val="28"/>
        </w:rPr>
      </w:pPr>
      <w:bookmarkStart w:id="73" w:name="_Toc185412411"/>
      <w:r w:rsidRPr="002A4102">
        <w:rPr>
          <w:rFonts w:ascii="標楷體" w:eastAsia="標楷體" w:hAnsi="標楷體"/>
          <w:bCs/>
          <w:spacing w:val="-10"/>
          <w:sz w:val="28"/>
          <w:szCs w:val="28"/>
        </w:rPr>
        <w:t>當安全殼內的壓力過高時，可以透過過濾排放設備，將安全殼內的氣體排放到大氣中。</w:t>
      </w:r>
      <w:bookmarkEnd w:id="73"/>
    </w:p>
    <w:p w14:paraId="1B5854D9" w14:textId="3EA52142" w:rsidR="00F64FAB" w:rsidRPr="002A4102" w:rsidRDefault="00380D41" w:rsidP="009C4EE0">
      <w:pPr>
        <w:numPr>
          <w:ilvl w:val="1"/>
          <w:numId w:val="3"/>
        </w:numPr>
        <w:spacing w:beforeLines="15" w:before="36" w:afterLines="15" w:after="36" w:line="440" w:lineRule="exact"/>
        <w:ind w:left="1815" w:hanging="227"/>
        <w:jc w:val="both"/>
        <w:outlineLvl w:val="1"/>
        <w:rPr>
          <w:rFonts w:ascii="標楷體" w:eastAsia="標楷體" w:hAnsi="標楷體"/>
          <w:bCs/>
          <w:spacing w:val="-10"/>
          <w:sz w:val="28"/>
          <w:szCs w:val="28"/>
        </w:rPr>
      </w:pPr>
      <w:bookmarkStart w:id="74" w:name="_Toc185412412"/>
      <w:r w:rsidRPr="002A4102">
        <w:rPr>
          <w:rFonts w:ascii="標楷體" w:eastAsia="標楷體" w:hAnsi="標楷體"/>
          <w:bCs/>
          <w:spacing w:val="-10"/>
          <w:sz w:val="28"/>
          <w:szCs w:val="28"/>
        </w:rPr>
        <w:t>過濾排放設備中包含多層過濾裝置，可以去除氣體中的放射性物質，減少對環境的影響。</w:t>
      </w:r>
      <w:bookmarkEnd w:id="74"/>
    </w:p>
    <w:p w14:paraId="2D4EEE68" w14:textId="682D1B3A" w:rsidR="00380D41" w:rsidRPr="002A4102" w:rsidRDefault="00380D41" w:rsidP="009C4EE0">
      <w:pPr>
        <w:numPr>
          <w:ilvl w:val="1"/>
          <w:numId w:val="3"/>
        </w:numPr>
        <w:spacing w:beforeLines="15" w:before="36" w:afterLines="15" w:after="36" w:line="440" w:lineRule="exact"/>
        <w:ind w:left="1815" w:hanging="227"/>
        <w:jc w:val="both"/>
        <w:outlineLvl w:val="1"/>
        <w:rPr>
          <w:rFonts w:ascii="標楷體" w:eastAsia="標楷體" w:hAnsi="標楷體"/>
          <w:bCs/>
          <w:spacing w:val="-10"/>
          <w:sz w:val="28"/>
          <w:szCs w:val="28"/>
        </w:rPr>
      </w:pPr>
      <w:bookmarkStart w:id="75" w:name="_Toc185412413"/>
      <w:r w:rsidRPr="002A4102">
        <w:rPr>
          <w:rFonts w:ascii="標楷體" w:eastAsia="標楷體" w:hAnsi="標楷體"/>
          <w:bCs/>
          <w:spacing w:val="-10"/>
          <w:sz w:val="28"/>
          <w:szCs w:val="28"/>
        </w:rPr>
        <w:t>根據東京電力公司的資料，過濾排放設備可以去除99.9%以上的顆粒狀放射性物質和無機碘，以及98%以上的有機碘。</w:t>
      </w:r>
      <w:bookmarkEnd w:id="75"/>
    </w:p>
    <w:p w14:paraId="4A367236" w14:textId="77777777" w:rsidR="00F64FAB" w:rsidRPr="002A4102" w:rsidRDefault="00380D41" w:rsidP="009C4EE0">
      <w:pPr>
        <w:pStyle w:val="af4"/>
        <w:numPr>
          <w:ilvl w:val="4"/>
          <w:numId w:val="2"/>
        </w:numPr>
        <w:tabs>
          <w:tab w:val="left" w:pos="-1920"/>
        </w:tabs>
        <w:snapToGrid w:val="0"/>
        <w:spacing w:beforeLines="15" w:before="36" w:afterLines="15" w:after="36" w:line="440" w:lineRule="exact"/>
        <w:ind w:leftChars="0" w:left="1729" w:hanging="482"/>
        <w:jc w:val="both"/>
        <w:outlineLvl w:val="2"/>
        <w:rPr>
          <w:rFonts w:ascii="標楷體" w:eastAsia="標楷體" w:hAnsi="標楷體"/>
          <w:bCs/>
          <w:sz w:val="28"/>
          <w:szCs w:val="36"/>
        </w:rPr>
      </w:pPr>
      <w:r w:rsidRPr="002A4102">
        <w:rPr>
          <w:rFonts w:ascii="標楷體" w:eastAsia="標楷體" w:hAnsi="標楷體"/>
          <w:bCs/>
          <w:sz w:val="28"/>
          <w:szCs w:val="36"/>
        </w:rPr>
        <w:t>大容量注水設備</w:t>
      </w:r>
    </w:p>
    <w:p w14:paraId="4F26D419" w14:textId="009F8049" w:rsidR="00F64FAB" w:rsidRPr="002A4102" w:rsidRDefault="00380D41" w:rsidP="009C4EE0">
      <w:pPr>
        <w:numPr>
          <w:ilvl w:val="1"/>
          <w:numId w:val="3"/>
        </w:numPr>
        <w:spacing w:beforeLines="15" w:before="36" w:afterLines="15" w:after="36" w:line="440" w:lineRule="exact"/>
        <w:ind w:left="1815" w:hanging="227"/>
        <w:jc w:val="both"/>
        <w:outlineLvl w:val="1"/>
        <w:rPr>
          <w:rFonts w:ascii="標楷體" w:eastAsia="標楷體" w:hAnsi="標楷體"/>
          <w:bCs/>
          <w:spacing w:val="-10"/>
          <w:sz w:val="28"/>
          <w:szCs w:val="28"/>
        </w:rPr>
      </w:pPr>
      <w:bookmarkStart w:id="76" w:name="_Toc185412414"/>
      <w:r w:rsidRPr="002A4102">
        <w:rPr>
          <w:rFonts w:ascii="標楷體" w:eastAsia="標楷體" w:hAnsi="標楷體"/>
          <w:bCs/>
          <w:spacing w:val="-10"/>
          <w:sz w:val="28"/>
          <w:szCs w:val="28"/>
        </w:rPr>
        <w:t>當</w:t>
      </w:r>
      <w:r w:rsidR="00A95445">
        <w:rPr>
          <w:rFonts w:ascii="標楷體" w:eastAsia="標楷體" w:hAnsi="標楷體"/>
          <w:bCs/>
          <w:spacing w:val="-10"/>
          <w:sz w:val="28"/>
          <w:szCs w:val="28"/>
        </w:rPr>
        <w:t>反應器</w:t>
      </w:r>
      <w:r w:rsidRPr="002A4102">
        <w:rPr>
          <w:rFonts w:ascii="標楷體" w:eastAsia="標楷體" w:hAnsi="標楷體"/>
          <w:bCs/>
          <w:spacing w:val="-10"/>
          <w:sz w:val="28"/>
          <w:szCs w:val="28"/>
        </w:rPr>
        <w:t>或乏燃料池中的水位不足，且有放射性物質釋放到環境中的風險時，可以使用大容量注水設備，向</w:t>
      </w:r>
      <w:r w:rsidR="00A95445">
        <w:rPr>
          <w:rFonts w:ascii="標楷體" w:eastAsia="標楷體" w:hAnsi="標楷體"/>
          <w:bCs/>
          <w:spacing w:val="-10"/>
          <w:sz w:val="28"/>
          <w:szCs w:val="28"/>
        </w:rPr>
        <w:t>反應器</w:t>
      </w:r>
      <w:r w:rsidRPr="002A4102">
        <w:rPr>
          <w:rFonts w:ascii="標楷體" w:eastAsia="標楷體" w:hAnsi="標楷體"/>
          <w:bCs/>
          <w:spacing w:val="-10"/>
          <w:sz w:val="28"/>
          <w:szCs w:val="28"/>
        </w:rPr>
        <w:t>廠房的開口部噴灑大量的水，降低</w:t>
      </w:r>
      <w:r w:rsidR="00A95445">
        <w:rPr>
          <w:rFonts w:ascii="標楷體" w:eastAsia="標楷體" w:hAnsi="標楷體"/>
          <w:bCs/>
          <w:spacing w:val="-10"/>
          <w:sz w:val="28"/>
          <w:szCs w:val="28"/>
        </w:rPr>
        <w:t>反應器</w:t>
      </w:r>
      <w:r w:rsidRPr="002A4102">
        <w:rPr>
          <w:rFonts w:ascii="標楷體" w:eastAsia="標楷體" w:hAnsi="標楷體"/>
          <w:bCs/>
          <w:spacing w:val="-10"/>
          <w:sz w:val="28"/>
          <w:szCs w:val="28"/>
        </w:rPr>
        <w:t>和乏燃料池的溫度，並抑制放射性物質的擴散。</w:t>
      </w:r>
      <w:bookmarkEnd w:id="76"/>
    </w:p>
    <w:p w14:paraId="0A5B610A" w14:textId="5FF9C155" w:rsidR="00F64FAB" w:rsidRPr="002A4102" w:rsidRDefault="00380D41" w:rsidP="009C4EE0">
      <w:pPr>
        <w:numPr>
          <w:ilvl w:val="1"/>
          <w:numId w:val="3"/>
        </w:numPr>
        <w:spacing w:beforeLines="15" w:before="36" w:afterLines="15" w:after="36" w:line="440" w:lineRule="exact"/>
        <w:ind w:left="1815" w:hanging="227"/>
        <w:jc w:val="both"/>
        <w:outlineLvl w:val="1"/>
        <w:rPr>
          <w:rFonts w:ascii="標楷體" w:eastAsia="標楷體" w:hAnsi="標楷體"/>
          <w:bCs/>
          <w:spacing w:val="-10"/>
          <w:sz w:val="28"/>
          <w:szCs w:val="28"/>
        </w:rPr>
      </w:pPr>
      <w:bookmarkStart w:id="77" w:name="_Toc185412415"/>
      <w:r w:rsidRPr="002A4102">
        <w:rPr>
          <w:rFonts w:ascii="標楷體" w:eastAsia="標楷體" w:hAnsi="標楷體"/>
          <w:bCs/>
          <w:spacing w:val="-10"/>
          <w:sz w:val="28"/>
          <w:szCs w:val="28"/>
        </w:rPr>
        <w:t>大容量注水設備使用大容量注水車，每分鐘最多可以注水2萬公升，並可以透過油罐車補充燃料，持續運作。</w:t>
      </w:r>
      <w:bookmarkEnd w:id="77"/>
    </w:p>
    <w:p w14:paraId="481CE818" w14:textId="70B61048" w:rsidR="00380D41" w:rsidRPr="002A4102" w:rsidRDefault="00380D41" w:rsidP="009C4EE0">
      <w:pPr>
        <w:numPr>
          <w:ilvl w:val="1"/>
          <w:numId w:val="3"/>
        </w:numPr>
        <w:spacing w:beforeLines="15" w:before="36" w:afterLines="15" w:after="36" w:line="440" w:lineRule="exact"/>
        <w:ind w:left="1815" w:hanging="227"/>
        <w:jc w:val="both"/>
        <w:outlineLvl w:val="1"/>
        <w:rPr>
          <w:rFonts w:ascii="標楷體" w:eastAsia="標楷體" w:hAnsi="標楷體"/>
          <w:bCs/>
          <w:spacing w:val="-10"/>
          <w:sz w:val="28"/>
          <w:szCs w:val="28"/>
        </w:rPr>
      </w:pPr>
      <w:bookmarkStart w:id="78" w:name="_Toc185412416"/>
      <w:r w:rsidRPr="002A4102">
        <w:rPr>
          <w:rFonts w:ascii="標楷體" w:eastAsia="標楷體" w:hAnsi="標楷體"/>
          <w:bCs/>
          <w:spacing w:val="-10"/>
          <w:sz w:val="28"/>
          <w:szCs w:val="28"/>
        </w:rPr>
        <w:t>即使油罐車無法提供燃料，注水車本身</w:t>
      </w:r>
      <w:r w:rsidR="00BD14E7" w:rsidRPr="002A4102">
        <w:rPr>
          <w:rFonts w:ascii="標楷體" w:eastAsia="標楷體" w:hAnsi="標楷體" w:hint="eastAsia"/>
          <w:bCs/>
          <w:spacing w:val="-10"/>
          <w:sz w:val="28"/>
          <w:szCs w:val="28"/>
        </w:rPr>
        <w:t>亦</w:t>
      </w:r>
      <w:r w:rsidRPr="002A4102">
        <w:rPr>
          <w:rFonts w:ascii="標楷體" w:eastAsia="標楷體" w:hAnsi="標楷體"/>
          <w:bCs/>
          <w:spacing w:val="-10"/>
          <w:sz w:val="28"/>
          <w:szCs w:val="28"/>
        </w:rPr>
        <w:t>配備燃料箱，可以持續注水約12個小時。</w:t>
      </w:r>
      <w:bookmarkEnd w:id="78"/>
    </w:p>
    <w:p w14:paraId="677A4AA5" w14:textId="77777777" w:rsidR="003D53B9" w:rsidRPr="007748E4" w:rsidRDefault="00AF1EB4" w:rsidP="009C4EE0">
      <w:pPr>
        <w:numPr>
          <w:ilvl w:val="2"/>
          <w:numId w:val="2"/>
        </w:numPr>
        <w:tabs>
          <w:tab w:val="left" w:pos="-1920"/>
        </w:tabs>
        <w:snapToGrid w:val="0"/>
        <w:spacing w:beforeLines="15" w:before="36" w:afterLines="15" w:after="36" w:line="440" w:lineRule="exact"/>
        <w:jc w:val="both"/>
        <w:outlineLvl w:val="0"/>
        <w:rPr>
          <w:rFonts w:ascii="標楷體" w:eastAsia="標楷體" w:hAnsi="標楷體"/>
          <w:bCs/>
          <w:spacing w:val="-10"/>
          <w:sz w:val="28"/>
          <w:szCs w:val="28"/>
        </w:rPr>
      </w:pPr>
      <w:r w:rsidRPr="007748E4">
        <w:rPr>
          <w:rFonts w:ascii="標楷體" w:eastAsia="標楷體" w:hAnsi="標楷體"/>
          <w:bCs/>
          <w:spacing w:val="-10"/>
          <w:sz w:val="28"/>
          <w:szCs w:val="28"/>
        </w:rPr>
        <w:t>人員訓練和安全文化</w:t>
      </w:r>
      <w:r w:rsidR="00F64FAB" w:rsidRPr="007748E4">
        <w:rPr>
          <w:rFonts w:ascii="標楷體" w:eastAsia="標楷體" w:hAnsi="標楷體" w:hint="eastAsia"/>
          <w:bCs/>
          <w:spacing w:val="-10"/>
          <w:sz w:val="28"/>
          <w:szCs w:val="28"/>
        </w:rPr>
        <w:t>：</w:t>
      </w:r>
    </w:p>
    <w:p w14:paraId="6C14B0B4" w14:textId="240B7AFF" w:rsidR="00F64FAB" w:rsidRPr="007748E4" w:rsidRDefault="00346F1B" w:rsidP="009C4EE0">
      <w:pPr>
        <w:numPr>
          <w:ilvl w:val="3"/>
          <w:numId w:val="2"/>
        </w:numPr>
        <w:tabs>
          <w:tab w:val="left" w:pos="-1920"/>
        </w:tabs>
        <w:snapToGrid w:val="0"/>
        <w:spacing w:beforeLines="15" w:before="36" w:afterLines="15" w:after="36" w:line="440" w:lineRule="exact"/>
        <w:jc w:val="both"/>
        <w:outlineLvl w:val="0"/>
        <w:rPr>
          <w:rFonts w:ascii="標楷體" w:eastAsia="標楷體" w:hAnsi="標楷體"/>
          <w:bCs/>
          <w:spacing w:val="-10"/>
          <w:sz w:val="28"/>
          <w:szCs w:val="28"/>
        </w:rPr>
      </w:pPr>
      <w:r w:rsidRPr="007748E4">
        <w:rPr>
          <w:rFonts w:ascii="標楷體" w:eastAsia="標楷體" w:hAnsi="標楷體"/>
          <w:bCs/>
          <w:spacing w:val="-10"/>
          <w:sz w:val="28"/>
          <w:szCs w:val="28"/>
        </w:rPr>
        <w:t>柏崎刈羽核能發電廠定期舉行各種演習</w:t>
      </w:r>
      <w:r w:rsidR="00F64FAB" w:rsidRPr="007748E4">
        <w:rPr>
          <w:rFonts w:ascii="標楷體" w:eastAsia="標楷體" w:hAnsi="標楷體" w:hint="eastAsia"/>
          <w:bCs/>
          <w:spacing w:val="-10"/>
          <w:sz w:val="28"/>
          <w:szCs w:val="28"/>
        </w:rPr>
        <w:t>。</w:t>
      </w:r>
    </w:p>
    <w:p w14:paraId="56974468" w14:textId="0B7DD715" w:rsidR="00346F1B" w:rsidRPr="00346F1B" w:rsidRDefault="00346F1B" w:rsidP="009C4EE0">
      <w:pPr>
        <w:pStyle w:val="af4"/>
        <w:numPr>
          <w:ilvl w:val="4"/>
          <w:numId w:val="2"/>
        </w:numPr>
        <w:tabs>
          <w:tab w:val="left" w:pos="-1920"/>
        </w:tabs>
        <w:snapToGrid w:val="0"/>
        <w:spacing w:beforeLines="15" w:before="36" w:afterLines="15" w:after="36" w:line="440" w:lineRule="exact"/>
        <w:ind w:leftChars="0" w:left="1729" w:hanging="482"/>
        <w:jc w:val="both"/>
        <w:outlineLvl w:val="2"/>
        <w:rPr>
          <w:rFonts w:ascii="標楷體" w:eastAsia="標楷體" w:hAnsi="標楷體"/>
          <w:bCs/>
          <w:sz w:val="28"/>
          <w:szCs w:val="36"/>
        </w:rPr>
      </w:pPr>
      <w:r w:rsidRPr="00346F1B">
        <w:rPr>
          <w:rFonts w:ascii="標楷體" w:eastAsia="標楷體" w:hAnsi="標楷體"/>
          <w:bCs/>
          <w:sz w:val="28"/>
          <w:szCs w:val="36"/>
        </w:rPr>
        <w:t>緊急情況</w:t>
      </w:r>
    </w:p>
    <w:p w14:paraId="04282100" w14:textId="69F31886" w:rsidR="00346F1B" w:rsidRPr="00346F1B" w:rsidRDefault="00346F1B" w:rsidP="009C4EE0">
      <w:pPr>
        <w:numPr>
          <w:ilvl w:val="1"/>
          <w:numId w:val="3"/>
        </w:numPr>
        <w:spacing w:beforeLines="15" w:before="36" w:afterLines="15" w:after="36" w:line="440" w:lineRule="exact"/>
        <w:ind w:left="1815" w:hanging="227"/>
        <w:jc w:val="both"/>
        <w:outlineLvl w:val="1"/>
        <w:rPr>
          <w:rFonts w:ascii="標楷體" w:eastAsia="標楷體" w:hAnsi="標楷體"/>
          <w:bCs/>
          <w:spacing w:val="-10"/>
          <w:sz w:val="28"/>
          <w:szCs w:val="28"/>
        </w:rPr>
      </w:pPr>
      <w:bookmarkStart w:id="79" w:name="_Toc185412417"/>
      <w:r w:rsidRPr="00346F1B">
        <w:rPr>
          <w:rFonts w:ascii="標楷體" w:eastAsia="標楷體" w:hAnsi="標楷體"/>
          <w:bCs/>
          <w:spacing w:val="-10"/>
          <w:sz w:val="28"/>
          <w:szCs w:val="28"/>
        </w:rPr>
        <w:t>自然災害</w:t>
      </w:r>
      <w:r w:rsidR="00F64FAB" w:rsidRPr="002A4102">
        <w:rPr>
          <w:rFonts w:ascii="標楷體" w:eastAsia="標楷體" w:hAnsi="標楷體" w:hint="eastAsia"/>
          <w:bCs/>
          <w:spacing w:val="-10"/>
          <w:sz w:val="28"/>
          <w:szCs w:val="28"/>
        </w:rPr>
        <w:t>：</w:t>
      </w:r>
      <w:r w:rsidRPr="00346F1B">
        <w:rPr>
          <w:rFonts w:ascii="標楷體" w:eastAsia="標楷體" w:hAnsi="標楷體"/>
          <w:bCs/>
          <w:spacing w:val="-10"/>
          <w:sz w:val="28"/>
          <w:szCs w:val="28"/>
        </w:rPr>
        <w:t>海嘯、地震等。</w:t>
      </w:r>
      <w:bookmarkEnd w:id="79"/>
    </w:p>
    <w:p w14:paraId="1286C0F7" w14:textId="3CFAE7A9" w:rsidR="00346F1B" w:rsidRPr="00346F1B" w:rsidRDefault="00346F1B" w:rsidP="009C4EE0">
      <w:pPr>
        <w:numPr>
          <w:ilvl w:val="1"/>
          <w:numId w:val="3"/>
        </w:numPr>
        <w:spacing w:beforeLines="15" w:before="36" w:afterLines="15" w:after="36" w:line="440" w:lineRule="exact"/>
        <w:ind w:left="1815" w:hanging="227"/>
        <w:jc w:val="both"/>
        <w:outlineLvl w:val="1"/>
        <w:rPr>
          <w:rFonts w:ascii="標楷體" w:eastAsia="標楷體" w:hAnsi="標楷體"/>
          <w:bCs/>
          <w:spacing w:val="-10"/>
          <w:sz w:val="28"/>
          <w:szCs w:val="28"/>
        </w:rPr>
      </w:pPr>
      <w:bookmarkStart w:id="80" w:name="_Toc185412418"/>
      <w:r w:rsidRPr="00346F1B">
        <w:rPr>
          <w:rFonts w:ascii="標楷體" w:eastAsia="標楷體" w:hAnsi="標楷體"/>
          <w:bCs/>
          <w:spacing w:val="-10"/>
          <w:sz w:val="28"/>
          <w:szCs w:val="28"/>
        </w:rPr>
        <w:t>設備故障</w:t>
      </w:r>
      <w:r w:rsidR="00F64FAB" w:rsidRPr="002A4102">
        <w:rPr>
          <w:rFonts w:ascii="標楷體" w:eastAsia="標楷體" w:hAnsi="標楷體" w:hint="eastAsia"/>
          <w:bCs/>
          <w:spacing w:val="-10"/>
          <w:sz w:val="28"/>
          <w:szCs w:val="28"/>
        </w:rPr>
        <w:t>：</w:t>
      </w:r>
      <w:r w:rsidRPr="00346F1B">
        <w:rPr>
          <w:rFonts w:ascii="標楷體" w:eastAsia="標楷體" w:hAnsi="標楷體"/>
          <w:bCs/>
          <w:spacing w:val="-10"/>
          <w:sz w:val="28"/>
          <w:szCs w:val="28"/>
        </w:rPr>
        <w:t>例如冷卻系統故障、電力喪失等。</w:t>
      </w:r>
      <w:bookmarkEnd w:id="80"/>
    </w:p>
    <w:p w14:paraId="56A56D8A" w14:textId="1E1732BB" w:rsidR="00346F1B" w:rsidRPr="00346F1B" w:rsidRDefault="00346F1B" w:rsidP="009C4EE0">
      <w:pPr>
        <w:numPr>
          <w:ilvl w:val="1"/>
          <w:numId w:val="3"/>
        </w:numPr>
        <w:spacing w:beforeLines="15" w:before="36" w:afterLines="15" w:after="36" w:line="440" w:lineRule="exact"/>
        <w:ind w:left="1815" w:hanging="227"/>
        <w:jc w:val="both"/>
        <w:outlineLvl w:val="1"/>
        <w:rPr>
          <w:rFonts w:ascii="標楷體" w:eastAsia="標楷體" w:hAnsi="標楷體"/>
          <w:bCs/>
          <w:spacing w:val="-10"/>
          <w:sz w:val="28"/>
          <w:szCs w:val="28"/>
        </w:rPr>
      </w:pPr>
      <w:bookmarkStart w:id="81" w:name="_Toc185412419"/>
      <w:r w:rsidRPr="00346F1B">
        <w:rPr>
          <w:rFonts w:ascii="標楷體" w:eastAsia="標楷體" w:hAnsi="標楷體"/>
          <w:bCs/>
          <w:spacing w:val="-10"/>
          <w:sz w:val="28"/>
          <w:szCs w:val="28"/>
        </w:rPr>
        <w:t>嚴重事故</w:t>
      </w:r>
      <w:r w:rsidR="00F64FAB" w:rsidRPr="002A4102">
        <w:rPr>
          <w:rFonts w:ascii="標楷體" w:eastAsia="標楷體" w:hAnsi="標楷體" w:hint="eastAsia"/>
          <w:bCs/>
          <w:spacing w:val="-10"/>
          <w:sz w:val="28"/>
          <w:szCs w:val="28"/>
        </w:rPr>
        <w:t>：</w:t>
      </w:r>
      <w:r w:rsidRPr="00346F1B">
        <w:rPr>
          <w:rFonts w:ascii="標楷體" w:eastAsia="標楷體" w:hAnsi="標楷體"/>
          <w:bCs/>
          <w:spacing w:val="-10"/>
          <w:sz w:val="28"/>
          <w:szCs w:val="28"/>
        </w:rPr>
        <w:t>例如爐心熔毀、放射性物質外洩等。</w:t>
      </w:r>
      <w:bookmarkEnd w:id="81"/>
    </w:p>
    <w:p w14:paraId="23682E9C" w14:textId="68542808" w:rsidR="00346F1B" w:rsidRPr="007748E4" w:rsidRDefault="00346F1B" w:rsidP="009C4EE0">
      <w:pPr>
        <w:pStyle w:val="af4"/>
        <w:numPr>
          <w:ilvl w:val="4"/>
          <w:numId w:val="2"/>
        </w:numPr>
        <w:tabs>
          <w:tab w:val="left" w:pos="-1920"/>
        </w:tabs>
        <w:snapToGrid w:val="0"/>
        <w:spacing w:beforeLines="15" w:before="36" w:afterLines="15" w:after="36" w:line="440" w:lineRule="exact"/>
        <w:ind w:leftChars="0" w:left="1729" w:hanging="482"/>
        <w:jc w:val="both"/>
        <w:outlineLvl w:val="2"/>
        <w:rPr>
          <w:rFonts w:ascii="標楷體" w:eastAsia="標楷體" w:hAnsi="標楷體"/>
          <w:bCs/>
          <w:sz w:val="28"/>
          <w:szCs w:val="36"/>
        </w:rPr>
      </w:pPr>
      <w:r w:rsidRPr="007748E4">
        <w:rPr>
          <w:rFonts w:ascii="標楷體" w:eastAsia="標楷體" w:hAnsi="標楷體"/>
          <w:bCs/>
          <w:sz w:val="28"/>
          <w:szCs w:val="36"/>
        </w:rPr>
        <w:t>演習旨在提升員工在緊急情況下的應變能力</w:t>
      </w:r>
    </w:p>
    <w:p w14:paraId="6ED0EA97" w14:textId="5D70485E" w:rsidR="00346F1B" w:rsidRPr="00346F1B" w:rsidRDefault="00346F1B" w:rsidP="009C4EE0">
      <w:pPr>
        <w:numPr>
          <w:ilvl w:val="1"/>
          <w:numId w:val="3"/>
        </w:numPr>
        <w:spacing w:beforeLines="15" w:before="36" w:afterLines="15" w:after="36" w:line="440" w:lineRule="exact"/>
        <w:ind w:left="1815" w:hanging="227"/>
        <w:jc w:val="both"/>
        <w:outlineLvl w:val="1"/>
        <w:rPr>
          <w:rFonts w:ascii="標楷體" w:eastAsia="標楷體" w:hAnsi="標楷體"/>
          <w:bCs/>
          <w:spacing w:val="-10"/>
          <w:sz w:val="28"/>
          <w:szCs w:val="28"/>
        </w:rPr>
      </w:pPr>
      <w:bookmarkStart w:id="82" w:name="_Toc185412420"/>
      <w:r w:rsidRPr="00346F1B">
        <w:rPr>
          <w:rFonts w:ascii="標楷體" w:eastAsia="標楷體" w:hAnsi="標楷體"/>
          <w:bCs/>
          <w:spacing w:val="-10"/>
          <w:sz w:val="28"/>
          <w:szCs w:val="28"/>
        </w:rPr>
        <w:lastRenderedPageBreak/>
        <w:t>狀況判斷</w:t>
      </w:r>
      <w:r w:rsidR="00F64FAB" w:rsidRPr="002A4102">
        <w:rPr>
          <w:rFonts w:ascii="標楷體" w:eastAsia="標楷體" w:hAnsi="標楷體" w:hint="eastAsia"/>
          <w:bCs/>
          <w:spacing w:val="-10"/>
          <w:sz w:val="28"/>
          <w:szCs w:val="28"/>
        </w:rPr>
        <w:t>：</w:t>
      </w:r>
      <w:r w:rsidRPr="00346F1B">
        <w:rPr>
          <w:rFonts w:ascii="標楷體" w:eastAsia="標楷體" w:hAnsi="標楷體"/>
          <w:bCs/>
          <w:spacing w:val="-10"/>
          <w:sz w:val="28"/>
          <w:szCs w:val="28"/>
        </w:rPr>
        <w:t>快速準確地判斷情況。</w:t>
      </w:r>
      <w:bookmarkEnd w:id="82"/>
    </w:p>
    <w:p w14:paraId="5FC48D7A" w14:textId="069D4804" w:rsidR="00346F1B" w:rsidRPr="00346F1B" w:rsidRDefault="00346F1B" w:rsidP="009C4EE0">
      <w:pPr>
        <w:numPr>
          <w:ilvl w:val="1"/>
          <w:numId w:val="3"/>
        </w:numPr>
        <w:spacing w:beforeLines="15" w:before="36" w:afterLines="15" w:after="36" w:line="440" w:lineRule="exact"/>
        <w:ind w:left="1815" w:hanging="227"/>
        <w:jc w:val="both"/>
        <w:outlineLvl w:val="1"/>
        <w:rPr>
          <w:rFonts w:ascii="標楷體" w:eastAsia="標楷體" w:hAnsi="標楷體"/>
          <w:bCs/>
          <w:spacing w:val="-10"/>
          <w:sz w:val="28"/>
          <w:szCs w:val="28"/>
        </w:rPr>
      </w:pPr>
      <w:bookmarkStart w:id="83" w:name="_Toc185412421"/>
      <w:r w:rsidRPr="00346F1B">
        <w:rPr>
          <w:rFonts w:ascii="標楷體" w:eastAsia="標楷體" w:hAnsi="標楷體"/>
          <w:bCs/>
          <w:spacing w:val="-10"/>
          <w:sz w:val="28"/>
          <w:szCs w:val="28"/>
        </w:rPr>
        <w:t>應變措施</w:t>
      </w:r>
      <w:r w:rsidR="00F64FAB" w:rsidRPr="002A4102">
        <w:rPr>
          <w:rFonts w:ascii="標楷體" w:eastAsia="標楷體" w:hAnsi="標楷體" w:hint="eastAsia"/>
          <w:bCs/>
          <w:spacing w:val="-10"/>
          <w:sz w:val="28"/>
          <w:szCs w:val="28"/>
        </w:rPr>
        <w:t>：</w:t>
      </w:r>
      <w:r w:rsidRPr="00346F1B">
        <w:rPr>
          <w:rFonts w:ascii="標楷體" w:eastAsia="標楷體" w:hAnsi="標楷體"/>
          <w:bCs/>
          <w:spacing w:val="-10"/>
          <w:sz w:val="28"/>
          <w:szCs w:val="28"/>
        </w:rPr>
        <w:t>採取正確的應變措施。</w:t>
      </w:r>
      <w:bookmarkEnd w:id="83"/>
    </w:p>
    <w:p w14:paraId="12746D72" w14:textId="710D1F0A" w:rsidR="00346F1B" w:rsidRPr="00346F1B" w:rsidRDefault="00346F1B" w:rsidP="009C4EE0">
      <w:pPr>
        <w:numPr>
          <w:ilvl w:val="1"/>
          <w:numId w:val="3"/>
        </w:numPr>
        <w:spacing w:beforeLines="15" w:before="36" w:afterLines="15" w:after="36" w:line="440" w:lineRule="exact"/>
        <w:ind w:left="1815" w:hanging="227"/>
        <w:jc w:val="both"/>
        <w:outlineLvl w:val="1"/>
        <w:rPr>
          <w:rFonts w:ascii="標楷體" w:eastAsia="標楷體" w:hAnsi="標楷體"/>
          <w:bCs/>
          <w:spacing w:val="-10"/>
          <w:sz w:val="28"/>
          <w:szCs w:val="28"/>
        </w:rPr>
      </w:pPr>
      <w:bookmarkStart w:id="84" w:name="_Toc185412422"/>
      <w:r w:rsidRPr="00346F1B">
        <w:rPr>
          <w:rFonts w:ascii="標楷體" w:eastAsia="標楷體" w:hAnsi="標楷體"/>
          <w:bCs/>
          <w:spacing w:val="-10"/>
          <w:sz w:val="28"/>
          <w:szCs w:val="28"/>
        </w:rPr>
        <w:t>團隊合作</w:t>
      </w:r>
      <w:r w:rsidR="00F64FAB" w:rsidRPr="002A4102">
        <w:rPr>
          <w:rFonts w:ascii="標楷體" w:eastAsia="標楷體" w:hAnsi="標楷體" w:hint="eastAsia"/>
          <w:bCs/>
          <w:spacing w:val="-10"/>
          <w:sz w:val="28"/>
          <w:szCs w:val="28"/>
        </w:rPr>
        <w:t>：</w:t>
      </w:r>
      <w:r w:rsidRPr="00346F1B">
        <w:rPr>
          <w:rFonts w:ascii="標楷體" w:eastAsia="標楷體" w:hAnsi="標楷體"/>
          <w:bCs/>
          <w:spacing w:val="-10"/>
          <w:sz w:val="28"/>
          <w:szCs w:val="28"/>
        </w:rPr>
        <w:t>各部門之間的協調合作。</w:t>
      </w:r>
      <w:bookmarkEnd w:id="84"/>
    </w:p>
    <w:p w14:paraId="17976603" w14:textId="2E6A15A2" w:rsidR="00346F1B" w:rsidRPr="00346F1B" w:rsidRDefault="00346F1B" w:rsidP="009C4EE0">
      <w:pPr>
        <w:numPr>
          <w:ilvl w:val="1"/>
          <w:numId w:val="3"/>
        </w:numPr>
        <w:spacing w:beforeLines="15" w:before="36" w:afterLines="15" w:after="36" w:line="440" w:lineRule="exact"/>
        <w:ind w:left="1815" w:hanging="227"/>
        <w:jc w:val="both"/>
        <w:outlineLvl w:val="1"/>
        <w:rPr>
          <w:rFonts w:ascii="標楷體" w:eastAsia="標楷體" w:hAnsi="標楷體"/>
          <w:bCs/>
          <w:spacing w:val="-10"/>
          <w:sz w:val="28"/>
          <w:szCs w:val="28"/>
        </w:rPr>
      </w:pPr>
      <w:bookmarkStart w:id="85" w:name="_Toc185412423"/>
      <w:r w:rsidRPr="00346F1B">
        <w:rPr>
          <w:rFonts w:ascii="標楷體" w:eastAsia="標楷體" w:hAnsi="標楷體"/>
          <w:bCs/>
          <w:spacing w:val="-10"/>
          <w:sz w:val="28"/>
          <w:szCs w:val="28"/>
        </w:rPr>
        <w:t>溝通</w:t>
      </w:r>
      <w:r w:rsidR="00F64FAB" w:rsidRPr="002A4102">
        <w:rPr>
          <w:rFonts w:ascii="標楷體" w:eastAsia="標楷體" w:hAnsi="標楷體" w:hint="eastAsia"/>
          <w:bCs/>
          <w:spacing w:val="-10"/>
          <w:sz w:val="28"/>
          <w:szCs w:val="28"/>
        </w:rPr>
        <w:t>：</w:t>
      </w:r>
      <w:r w:rsidRPr="00346F1B">
        <w:rPr>
          <w:rFonts w:ascii="標楷體" w:eastAsia="標楷體" w:hAnsi="標楷體"/>
          <w:bCs/>
          <w:spacing w:val="-10"/>
          <w:sz w:val="28"/>
          <w:szCs w:val="28"/>
        </w:rPr>
        <w:t>與內部和外部的有效溝通。</w:t>
      </w:r>
      <w:bookmarkEnd w:id="85"/>
    </w:p>
    <w:p w14:paraId="26315264" w14:textId="77777777" w:rsidR="00346F1B" w:rsidRPr="007748E4" w:rsidRDefault="00346F1B" w:rsidP="009C4EE0">
      <w:pPr>
        <w:pStyle w:val="af4"/>
        <w:numPr>
          <w:ilvl w:val="4"/>
          <w:numId w:val="2"/>
        </w:numPr>
        <w:tabs>
          <w:tab w:val="left" w:pos="-1920"/>
        </w:tabs>
        <w:snapToGrid w:val="0"/>
        <w:spacing w:beforeLines="15" w:before="36" w:afterLines="15" w:after="36" w:line="440" w:lineRule="exact"/>
        <w:ind w:leftChars="0" w:left="1729" w:hanging="482"/>
        <w:jc w:val="both"/>
        <w:outlineLvl w:val="2"/>
        <w:rPr>
          <w:rFonts w:ascii="標楷體" w:eastAsia="標楷體" w:hAnsi="標楷體"/>
          <w:bCs/>
          <w:sz w:val="28"/>
          <w:szCs w:val="36"/>
        </w:rPr>
      </w:pPr>
      <w:r w:rsidRPr="007748E4">
        <w:rPr>
          <w:rFonts w:ascii="標楷體" w:eastAsia="標楷體" w:hAnsi="標楷體"/>
          <w:bCs/>
          <w:sz w:val="28"/>
          <w:szCs w:val="36"/>
        </w:rPr>
        <w:t>東京電力公司每月都會舉行緊急情況綜合演習，並透過不同條件和情境設定，讓員工熟悉各種可能的狀況。此外，還會進行「盲演」，也就是事先不告知參與員工演習的詳細內容，以訓練他們的應變能力和判斷力。</w:t>
      </w:r>
    </w:p>
    <w:p w14:paraId="24ED8035" w14:textId="44F6D826" w:rsidR="00346F1B" w:rsidRPr="007748E4" w:rsidRDefault="00346F1B" w:rsidP="009C4EE0">
      <w:pPr>
        <w:numPr>
          <w:ilvl w:val="3"/>
          <w:numId w:val="2"/>
        </w:numPr>
        <w:tabs>
          <w:tab w:val="left" w:pos="-1920"/>
        </w:tabs>
        <w:snapToGrid w:val="0"/>
        <w:spacing w:beforeLines="15" w:before="36" w:afterLines="15" w:after="36" w:line="440" w:lineRule="exact"/>
        <w:jc w:val="both"/>
        <w:outlineLvl w:val="0"/>
        <w:rPr>
          <w:rFonts w:ascii="標楷體" w:eastAsia="標楷體" w:hAnsi="標楷體"/>
          <w:bCs/>
          <w:spacing w:val="-10"/>
          <w:sz w:val="28"/>
          <w:szCs w:val="28"/>
        </w:rPr>
      </w:pPr>
      <w:r w:rsidRPr="007748E4">
        <w:rPr>
          <w:rFonts w:ascii="標楷體" w:eastAsia="標楷體" w:hAnsi="標楷體"/>
          <w:bCs/>
          <w:spacing w:val="-10"/>
          <w:sz w:val="28"/>
          <w:szCs w:val="28"/>
        </w:rPr>
        <w:t>模擬訓練</w:t>
      </w:r>
      <w:r w:rsidR="003D53B9" w:rsidRPr="007748E4">
        <w:rPr>
          <w:rFonts w:ascii="標楷體" w:eastAsia="標楷體" w:hAnsi="標楷體" w:hint="eastAsia"/>
          <w:bCs/>
          <w:spacing w:val="-10"/>
          <w:sz w:val="28"/>
          <w:szCs w:val="28"/>
        </w:rPr>
        <w:t>：</w:t>
      </w:r>
      <w:r w:rsidRPr="007748E4">
        <w:rPr>
          <w:rFonts w:ascii="標楷體" w:eastAsia="標楷體" w:hAnsi="標楷體"/>
          <w:bCs/>
          <w:spacing w:val="-10"/>
          <w:sz w:val="28"/>
          <w:szCs w:val="28"/>
        </w:rPr>
        <w:t>除實地演習，柏崎刈羽核能發電廠也利用模擬器進行訓練</w:t>
      </w:r>
      <w:r w:rsidR="003D53B9" w:rsidRPr="007748E4">
        <w:rPr>
          <w:rFonts w:ascii="標楷體" w:eastAsia="標楷體" w:hAnsi="標楷體" w:hint="eastAsia"/>
          <w:bCs/>
          <w:spacing w:val="-10"/>
          <w:sz w:val="28"/>
          <w:szCs w:val="28"/>
        </w:rPr>
        <w:t>。</w:t>
      </w:r>
    </w:p>
    <w:p w14:paraId="465C3B22" w14:textId="170E13F1" w:rsidR="00346F1B" w:rsidRPr="007748E4" w:rsidRDefault="00346F1B" w:rsidP="009C4EE0">
      <w:pPr>
        <w:pStyle w:val="af4"/>
        <w:numPr>
          <w:ilvl w:val="4"/>
          <w:numId w:val="2"/>
        </w:numPr>
        <w:tabs>
          <w:tab w:val="left" w:pos="-1920"/>
        </w:tabs>
        <w:snapToGrid w:val="0"/>
        <w:spacing w:beforeLines="15" w:before="36" w:afterLines="15" w:after="36" w:line="440" w:lineRule="exact"/>
        <w:ind w:leftChars="0" w:left="1729" w:hanging="482"/>
        <w:jc w:val="both"/>
        <w:outlineLvl w:val="2"/>
        <w:rPr>
          <w:rFonts w:ascii="標楷體" w:eastAsia="標楷體" w:hAnsi="標楷體"/>
          <w:bCs/>
          <w:sz w:val="28"/>
          <w:szCs w:val="36"/>
        </w:rPr>
      </w:pPr>
      <w:r w:rsidRPr="007748E4">
        <w:rPr>
          <w:rFonts w:ascii="標楷體" w:eastAsia="標楷體" w:hAnsi="標楷體"/>
          <w:bCs/>
          <w:sz w:val="28"/>
          <w:szCs w:val="36"/>
        </w:rPr>
        <w:t>運</w:t>
      </w:r>
      <w:r w:rsidR="000B1B26" w:rsidRPr="007748E4">
        <w:rPr>
          <w:rFonts w:ascii="標楷體" w:eastAsia="標楷體" w:hAnsi="標楷體" w:hint="eastAsia"/>
          <w:bCs/>
          <w:sz w:val="28"/>
          <w:szCs w:val="36"/>
        </w:rPr>
        <w:t>轉</w:t>
      </w:r>
      <w:r w:rsidRPr="007748E4">
        <w:rPr>
          <w:rFonts w:ascii="標楷體" w:eastAsia="標楷體" w:hAnsi="標楷體"/>
          <w:bCs/>
          <w:sz w:val="28"/>
          <w:szCs w:val="36"/>
        </w:rPr>
        <w:t>模擬器訓練</w:t>
      </w:r>
      <w:r w:rsidR="000B1B26" w:rsidRPr="007748E4">
        <w:rPr>
          <w:rFonts w:ascii="標楷體" w:eastAsia="標楷體" w:hAnsi="標楷體" w:hint="eastAsia"/>
          <w:bCs/>
          <w:sz w:val="28"/>
          <w:szCs w:val="36"/>
        </w:rPr>
        <w:t>：</w:t>
      </w:r>
      <w:r w:rsidRPr="007748E4">
        <w:rPr>
          <w:rFonts w:ascii="標楷體" w:eastAsia="標楷體" w:hAnsi="標楷體"/>
          <w:bCs/>
          <w:sz w:val="28"/>
          <w:szCs w:val="36"/>
        </w:rPr>
        <w:t>使用與實際中央控制室相同的設備，模擬各種事故和故障情況，讓操作員學習應對策略，提升技術能力。</w:t>
      </w:r>
    </w:p>
    <w:p w14:paraId="5B5564F0" w14:textId="3056FCF4" w:rsidR="00346F1B" w:rsidRPr="007748E4" w:rsidRDefault="00346F1B" w:rsidP="009C4EE0">
      <w:pPr>
        <w:pStyle w:val="af4"/>
        <w:numPr>
          <w:ilvl w:val="4"/>
          <w:numId w:val="2"/>
        </w:numPr>
        <w:tabs>
          <w:tab w:val="left" w:pos="-1920"/>
        </w:tabs>
        <w:snapToGrid w:val="0"/>
        <w:spacing w:beforeLines="15" w:before="36" w:afterLines="15" w:after="36" w:line="440" w:lineRule="exact"/>
        <w:ind w:leftChars="0" w:left="1729" w:hanging="482"/>
        <w:jc w:val="both"/>
        <w:outlineLvl w:val="2"/>
        <w:rPr>
          <w:rFonts w:ascii="標楷體" w:eastAsia="標楷體" w:hAnsi="標楷體"/>
          <w:bCs/>
          <w:sz w:val="28"/>
          <w:szCs w:val="36"/>
        </w:rPr>
      </w:pPr>
      <w:r w:rsidRPr="007748E4">
        <w:rPr>
          <w:rFonts w:ascii="標楷體" w:eastAsia="標楷體" w:hAnsi="標楷體"/>
          <w:bCs/>
          <w:sz w:val="28"/>
          <w:szCs w:val="36"/>
        </w:rPr>
        <w:t>透過模擬訓練，員工可以在安全的環境中學習和練習，提升技能和知識，並加強對設備和系統的</w:t>
      </w:r>
      <w:r w:rsidR="00A95445" w:rsidRPr="007748E4">
        <w:rPr>
          <w:rFonts w:ascii="標楷體" w:eastAsia="標楷體" w:hAnsi="標楷體"/>
          <w:bCs/>
          <w:sz w:val="28"/>
          <w:szCs w:val="36"/>
        </w:rPr>
        <w:t>瞭解</w:t>
      </w:r>
      <w:r w:rsidRPr="007748E4">
        <w:rPr>
          <w:rFonts w:ascii="標楷體" w:eastAsia="標楷體" w:hAnsi="標楷體"/>
          <w:bCs/>
          <w:sz w:val="28"/>
          <w:szCs w:val="36"/>
        </w:rPr>
        <w:t>。</w:t>
      </w:r>
    </w:p>
    <w:p w14:paraId="760E2001" w14:textId="77777777" w:rsidR="00346F1B" w:rsidRPr="007748E4" w:rsidRDefault="00346F1B" w:rsidP="009C4EE0">
      <w:pPr>
        <w:numPr>
          <w:ilvl w:val="3"/>
          <w:numId w:val="2"/>
        </w:numPr>
        <w:tabs>
          <w:tab w:val="left" w:pos="-1920"/>
        </w:tabs>
        <w:snapToGrid w:val="0"/>
        <w:spacing w:beforeLines="15" w:before="36" w:afterLines="15" w:after="36" w:line="440" w:lineRule="exact"/>
        <w:jc w:val="both"/>
        <w:outlineLvl w:val="0"/>
        <w:rPr>
          <w:rFonts w:ascii="標楷體" w:eastAsia="標楷體" w:hAnsi="標楷體"/>
          <w:bCs/>
          <w:spacing w:val="-10"/>
          <w:sz w:val="28"/>
          <w:szCs w:val="28"/>
        </w:rPr>
      </w:pPr>
      <w:r w:rsidRPr="007748E4">
        <w:rPr>
          <w:rFonts w:ascii="標楷體" w:eastAsia="標楷體" w:hAnsi="標楷體"/>
          <w:bCs/>
          <w:spacing w:val="-10"/>
          <w:sz w:val="28"/>
          <w:szCs w:val="28"/>
        </w:rPr>
        <w:t>溝通協調</w:t>
      </w:r>
    </w:p>
    <w:p w14:paraId="16EEB7E2" w14:textId="77777777" w:rsidR="00346F1B" w:rsidRPr="007748E4" w:rsidRDefault="00346F1B" w:rsidP="009C4EE0">
      <w:pPr>
        <w:pStyle w:val="af4"/>
        <w:numPr>
          <w:ilvl w:val="4"/>
          <w:numId w:val="2"/>
        </w:numPr>
        <w:tabs>
          <w:tab w:val="left" w:pos="-1920"/>
        </w:tabs>
        <w:snapToGrid w:val="0"/>
        <w:spacing w:beforeLines="15" w:before="36" w:afterLines="15" w:after="36" w:line="440" w:lineRule="exact"/>
        <w:ind w:leftChars="0" w:left="1729" w:hanging="482"/>
        <w:jc w:val="both"/>
        <w:outlineLvl w:val="2"/>
        <w:rPr>
          <w:rFonts w:ascii="標楷體" w:eastAsia="標楷體" w:hAnsi="標楷體"/>
          <w:bCs/>
          <w:sz w:val="28"/>
          <w:szCs w:val="36"/>
        </w:rPr>
      </w:pPr>
      <w:r w:rsidRPr="007748E4">
        <w:rPr>
          <w:rFonts w:ascii="標楷體" w:eastAsia="標楷體" w:hAnsi="標楷體"/>
          <w:bCs/>
          <w:sz w:val="28"/>
          <w:szCs w:val="36"/>
        </w:rPr>
        <w:t>東京電力公司也致力於加強內外部溝通，建立互信互助的合作關係，以提升安全水平。具體措施包括：</w:t>
      </w:r>
    </w:p>
    <w:p w14:paraId="5F1113C5" w14:textId="3A8A4A42" w:rsidR="00346F1B" w:rsidRPr="00346F1B" w:rsidRDefault="00346F1B" w:rsidP="009C4EE0">
      <w:pPr>
        <w:numPr>
          <w:ilvl w:val="1"/>
          <w:numId w:val="3"/>
        </w:numPr>
        <w:spacing w:beforeLines="15" w:before="36" w:afterLines="15" w:after="36" w:line="440" w:lineRule="exact"/>
        <w:ind w:left="1815" w:hanging="227"/>
        <w:jc w:val="both"/>
        <w:outlineLvl w:val="1"/>
        <w:rPr>
          <w:rFonts w:ascii="標楷體" w:eastAsia="標楷體" w:hAnsi="標楷體"/>
          <w:bCs/>
          <w:spacing w:val="-10"/>
          <w:sz w:val="28"/>
          <w:szCs w:val="28"/>
        </w:rPr>
      </w:pPr>
      <w:bookmarkStart w:id="86" w:name="_Toc185412424"/>
      <w:r w:rsidRPr="00346F1B">
        <w:rPr>
          <w:rFonts w:ascii="標楷體" w:eastAsia="標楷體" w:hAnsi="標楷體"/>
          <w:bCs/>
          <w:spacing w:val="-10"/>
          <w:sz w:val="28"/>
          <w:szCs w:val="28"/>
        </w:rPr>
        <w:t>內部溝通</w:t>
      </w:r>
      <w:r w:rsidR="003D53B9" w:rsidRPr="002A4102">
        <w:rPr>
          <w:rFonts w:ascii="標楷體" w:eastAsia="標楷體" w:hAnsi="標楷體" w:hint="eastAsia"/>
          <w:bCs/>
          <w:spacing w:val="-10"/>
          <w:sz w:val="28"/>
          <w:szCs w:val="28"/>
        </w:rPr>
        <w:t>：</w:t>
      </w:r>
      <w:r w:rsidRPr="00346F1B">
        <w:rPr>
          <w:rFonts w:ascii="標楷體" w:eastAsia="標楷體" w:hAnsi="標楷體"/>
          <w:bCs/>
          <w:spacing w:val="-10"/>
          <w:sz w:val="28"/>
          <w:szCs w:val="28"/>
        </w:rPr>
        <w:t>鼓勵員工積極溝通，分享安全相關資訊和經驗，並建立「感謝卡」制度，促進員工之間的相互肯定和感謝。</w:t>
      </w:r>
      <w:bookmarkEnd w:id="86"/>
    </w:p>
    <w:p w14:paraId="2D304F06" w14:textId="1AAE59EA" w:rsidR="00346F1B" w:rsidRPr="00346F1B" w:rsidRDefault="00346F1B" w:rsidP="009C4EE0">
      <w:pPr>
        <w:numPr>
          <w:ilvl w:val="1"/>
          <w:numId w:val="3"/>
        </w:numPr>
        <w:spacing w:beforeLines="15" w:before="36" w:afterLines="15" w:after="36" w:line="440" w:lineRule="exact"/>
        <w:ind w:left="1815" w:hanging="227"/>
        <w:jc w:val="both"/>
        <w:outlineLvl w:val="1"/>
        <w:rPr>
          <w:rFonts w:ascii="標楷體" w:eastAsia="標楷體" w:hAnsi="標楷體"/>
          <w:bCs/>
          <w:spacing w:val="-10"/>
          <w:sz w:val="28"/>
          <w:szCs w:val="28"/>
        </w:rPr>
      </w:pPr>
      <w:bookmarkStart w:id="87" w:name="_Toc185412425"/>
      <w:r w:rsidRPr="00346F1B">
        <w:rPr>
          <w:rFonts w:ascii="標楷體" w:eastAsia="標楷體" w:hAnsi="標楷體"/>
          <w:bCs/>
          <w:spacing w:val="-10"/>
          <w:sz w:val="28"/>
          <w:szCs w:val="28"/>
        </w:rPr>
        <w:t>外部溝通</w:t>
      </w:r>
      <w:r w:rsidR="003D53B9" w:rsidRPr="002A4102">
        <w:rPr>
          <w:rFonts w:ascii="標楷體" w:eastAsia="標楷體" w:hAnsi="標楷體" w:hint="eastAsia"/>
          <w:bCs/>
          <w:spacing w:val="-10"/>
          <w:sz w:val="28"/>
          <w:szCs w:val="28"/>
        </w:rPr>
        <w:t>：</w:t>
      </w:r>
      <w:r w:rsidRPr="00346F1B">
        <w:rPr>
          <w:rFonts w:ascii="標楷體" w:eastAsia="標楷體" w:hAnsi="標楷體"/>
          <w:bCs/>
          <w:spacing w:val="-10"/>
          <w:sz w:val="28"/>
          <w:szCs w:val="28"/>
        </w:rPr>
        <w:t>積極參與社區活動，與當地居民交流，並舉辦說明會和座談會，收集意見和建議。</w:t>
      </w:r>
      <w:bookmarkEnd w:id="87"/>
    </w:p>
    <w:p w14:paraId="31546695" w14:textId="684DBA68" w:rsidR="00346F1B" w:rsidRPr="007748E4" w:rsidRDefault="00346F1B" w:rsidP="009C4EE0">
      <w:pPr>
        <w:pStyle w:val="af4"/>
        <w:numPr>
          <w:ilvl w:val="4"/>
          <w:numId w:val="2"/>
        </w:numPr>
        <w:tabs>
          <w:tab w:val="left" w:pos="-1920"/>
        </w:tabs>
        <w:snapToGrid w:val="0"/>
        <w:spacing w:beforeLines="15" w:before="36" w:afterLines="15" w:after="36" w:line="440" w:lineRule="exact"/>
        <w:ind w:leftChars="0" w:left="1729" w:hanging="482"/>
        <w:jc w:val="both"/>
        <w:outlineLvl w:val="2"/>
        <w:rPr>
          <w:rFonts w:ascii="標楷體" w:eastAsia="標楷體" w:hAnsi="標楷體"/>
          <w:bCs/>
          <w:sz w:val="28"/>
          <w:szCs w:val="36"/>
        </w:rPr>
      </w:pPr>
      <w:r w:rsidRPr="007748E4">
        <w:rPr>
          <w:rFonts w:ascii="標楷體" w:eastAsia="標楷體" w:hAnsi="標楷體"/>
          <w:bCs/>
          <w:sz w:val="28"/>
          <w:szCs w:val="36"/>
        </w:rPr>
        <w:t>東京電力公司認為，良好的溝通協調是確保核能安全的重要基礎，唯有建立互信互助的合作關係，才能讓所有員工和stakeholders都能共同參與，提升安全水平。</w:t>
      </w:r>
    </w:p>
    <w:p w14:paraId="63C5356D" w14:textId="405F1E43" w:rsidR="00AF1EB4" w:rsidRPr="002A4102" w:rsidRDefault="00AF1EB4" w:rsidP="009C4EE0">
      <w:pPr>
        <w:pStyle w:val="af4"/>
        <w:numPr>
          <w:ilvl w:val="3"/>
          <w:numId w:val="2"/>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2A4102">
        <w:rPr>
          <w:rFonts w:ascii="標楷體" w:eastAsia="標楷體" w:hAnsi="標楷體"/>
          <w:bCs/>
          <w:sz w:val="28"/>
          <w:szCs w:val="36"/>
        </w:rPr>
        <w:t>資訊透明度</w:t>
      </w:r>
    </w:p>
    <w:p w14:paraId="1F9F89B1" w14:textId="770F0513" w:rsidR="00AF1EB4" w:rsidRPr="007748E4" w:rsidRDefault="00AF1EB4" w:rsidP="009C4EE0">
      <w:pPr>
        <w:pStyle w:val="af4"/>
        <w:numPr>
          <w:ilvl w:val="4"/>
          <w:numId w:val="2"/>
        </w:numPr>
        <w:tabs>
          <w:tab w:val="left" w:pos="-1920"/>
        </w:tabs>
        <w:snapToGrid w:val="0"/>
        <w:spacing w:beforeLines="15" w:before="36" w:afterLines="15" w:after="36" w:line="440" w:lineRule="exact"/>
        <w:ind w:leftChars="0" w:left="1729" w:hanging="482"/>
        <w:jc w:val="both"/>
        <w:outlineLvl w:val="2"/>
        <w:rPr>
          <w:rFonts w:ascii="標楷體" w:eastAsia="標楷體" w:hAnsi="標楷體"/>
          <w:bCs/>
          <w:sz w:val="28"/>
          <w:szCs w:val="36"/>
        </w:rPr>
      </w:pPr>
      <w:r w:rsidRPr="007748E4">
        <w:rPr>
          <w:rFonts w:ascii="標楷體" w:eastAsia="標楷體" w:hAnsi="標楷體"/>
          <w:bCs/>
          <w:sz w:val="28"/>
          <w:szCs w:val="36"/>
        </w:rPr>
        <w:t>資訊公開</w:t>
      </w:r>
      <w:r w:rsidR="003D53B9" w:rsidRPr="007748E4">
        <w:rPr>
          <w:rFonts w:ascii="標楷體" w:eastAsia="標楷體" w:hAnsi="標楷體" w:hint="eastAsia"/>
          <w:bCs/>
          <w:sz w:val="28"/>
          <w:szCs w:val="36"/>
        </w:rPr>
        <w:t>：</w:t>
      </w:r>
      <w:r w:rsidRPr="007748E4">
        <w:rPr>
          <w:rFonts w:ascii="標楷體" w:eastAsia="標楷體" w:hAnsi="標楷體"/>
          <w:bCs/>
          <w:sz w:val="28"/>
          <w:szCs w:val="36"/>
        </w:rPr>
        <w:t>發電廠透過網站、社群媒體和實體參訪等管道，向公眾公開資訊，提升透明度。</w:t>
      </w:r>
    </w:p>
    <w:p w14:paraId="4671FEC7" w14:textId="6AF440A5" w:rsidR="00AF1EB4" w:rsidRPr="007748E4" w:rsidRDefault="00AF1EB4" w:rsidP="009C4EE0">
      <w:pPr>
        <w:pStyle w:val="af4"/>
        <w:numPr>
          <w:ilvl w:val="4"/>
          <w:numId w:val="2"/>
        </w:numPr>
        <w:tabs>
          <w:tab w:val="left" w:pos="-1920"/>
        </w:tabs>
        <w:snapToGrid w:val="0"/>
        <w:spacing w:beforeLines="15" w:before="36" w:afterLines="15" w:after="36" w:line="440" w:lineRule="exact"/>
        <w:ind w:leftChars="0" w:left="1729" w:hanging="482"/>
        <w:jc w:val="both"/>
        <w:outlineLvl w:val="2"/>
        <w:rPr>
          <w:rFonts w:ascii="標楷體" w:eastAsia="標楷體" w:hAnsi="標楷體"/>
          <w:bCs/>
          <w:sz w:val="28"/>
          <w:szCs w:val="36"/>
        </w:rPr>
      </w:pPr>
      <w:r w:rsidRPr="007748E4">
        <w:rPr>
          <w:rFonts w:ascii="標楷體" w:eastAsia="標楷體" w:hAnsi="標楷體"/>
          <w:bCs/>
          <w:sz w:val="28"/>
          <w:szCs w:val="36"/>
        </w:rPr>
        <w:t>社區參與</w:t>
      </w:r>
      <w:r w:rsidR="003D53B9" w:rsidRPr="007748E4">
        <w:rPr>
          <w:rFonts w:ascii="標楷體" w:eastAsia="標楷體" w:hAnsi="標楷體" w:hint="eastAsia"/>
          <w:bCs/>
          <w:sz w:val="28"/>
          <w:szCs w:val="36"/>
        </w:rPr>
        <w:t>：</w:t>
      </w:r>
      <w:r w:rsidRPr="007748E4">
        <w:rPr>
          <w:rFonts w:ascii="標楷體" w:eastAsia="標楷體" w:hAnsi="標楷體"/>
          <w:bCs/>
          <w:sz w:val="28"/>
          <w:szCs w:val="36"/>
        </w:rPr>
        <w:t>積極參與社區活動，與當地居民建立良好關係，促進相互理解。</w:t>
      </w:r>
    </w:p>
    <w:p w14:paraId="375BEE1C" w14:textId="77777777" w:rsidR="00346F1B" w:rsidRPr="00346F1B" w:rsidRDefault="00346F1B" w:rsidP="009C4EE0">
      <w:pPr>
        <w:pStyle w:val="af4"/>
        <w:numPr>
          <w:ilvl w:val="2"/>
          <w:numId w:val="2"/>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346F1B">
        <w:rPr>
          <w:rFonts w:ascii="標楷體" w:eastAsia="標楷體" w:hAnsi="標楷體"/>
          <w:bCs/>
          <w:sz w:val="28"/>
          <w:szCs w:val="36"/>
        </w:rPr>
        <w:t>核廢料處理</w:t>
      </w:r>
    </w:p>
    <w:p w14:paraId="5CCA7E0A" w14:textId="450CCBB4" w:rsidR="00346F1B" w:rsidRPr="00346F1B" w:rsidRDefault="00346F1B" w:rsidP="009C4EE0">
      <w:pPr>
        <w:pStyle w:val="af4"/>
        <w:numPr>
          <w:ilvl w:val="3"/>
          <w:numId w:val="2"/>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346F1B">
        <w:rPr>
          <w:rFonts w:ascii="標楷體" w:eastAsia="標楷體" w:hAnsi="標楷體"/>
          <w:bCs/>
          <w:sz w:val="28"/>
          <w:szCs w:val="36"/>
        </w:rPr>
        <w:lastRenderedPageBreak/>
        <w:t>低階核廢料</w:t>
      </w:r>
      <w:r w:rsidR="003D53B9" w:rsidRPr="002A4102">
        <w:rPr>
          <w:rFonts w:ascii="標楷體" w:eastAsia="標楷體" w:hAnsi="標楷體" w:hint="eastAsia"/>
          <w:bCs/>
          <w:sz w:val="28"/>
          <w:szCs w:val="36"/>
        </w:rPr>
        <w:t>：</w:t>
      </w:r>
      <w:r w:rsidRPr="00346F1B">
        <w:rPr>
          <w:rFonts w:ascii="標楷體" w:eastAsia="標楷體" w:hAnsi="標楷體"/>
          <w:bCs/>
          <w:sz w:val="28"/>
          <w:szCs w:val="36"/>
        </w:rPr>
        <w:t>低階核廢料包含受污染的衣物、工具、設備等，通常會先進行減容處理，例如壓縮或焚燒，然後裝入鋼桶或混凝土容器中，儲存於廠區內的專用儲存設施。</w:t>
      </w:r>
    </w:p>
    <w:p w14:paraId="0562FB0E" w14:textId="77777777" w:rsidR="002A4102" w:rsidRDefault="00346F1B" w:rsidP="009C4EE0">
      <w:pPr>
        <w:pStyle w:val="af4"/>
        <w:numPr>
          <w:ilvl w:val="3"/>
          <w:numId w:val="2"/>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346F1B">
        <w:rPr>
          <w:rFonts w:ascii="標楷體" w:eastAsia="標楷體" w:hAnsi="標楷體"/>
          <w:bCs/>
          <w:sz w:val="28"/>
          <w:szCs w:val="36"/>
        </w:rPr>
        <w:t>高階核廢料</w:t>
      </w:r>
      <w:r w:rsidR="003D53B9" w:rsidRPr="002A4102">
        <w:rPr>
          <w:rFonts w:ascii="標楷體" w:eastAsia="標楷體" w:hAnsi="標楷體" w:hint="eastAsia"/>
          <w:bCs/>
          <w:sz w:val="28"/>
          <w:szCs w:val="36"/>
        </w:rPr>
        <w:t>：</w:t>
      </w:r>
      <w:r w:rsidRPr="00346F1B">
        <w:rPr>
          <w:rFonts w:ascii="標楷體" w:eastAsia="標楷體" w:hAnsi="標楷體"/>
          <w:bCs/>
          <w:sz w:val="28"/>
          <w:szCs w:val="36"/>
        </w:rPr>
        <w:t>高階核廢料指的是使用過的核燃料，具有高度放射性。柏崎刈羽核電廠目前將使用過的核燃料儲存於廠區內的乏燃料池中。乏燃料池是充滿水的深水池，可以有效阻擋輻射和冷卻乏燃料。</w:t>
      </w:r>
    </w:p>
    <w:p w14:paraId="5F52259D" w14:textId="01326540" w:rsidR="00346F1B" w:rsidRPr="00346F1B" w:rsidRDefault="00346F1B" w:rsidP="009C4EE0">
      <w:pPr>
        <w:pStyle w:val="af4"/>
        <w:numPr>
          <w:ilvl w:val="3"/>
          <w:numId w:val="2"/>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346F1B">
        <w:rPr>
          <w:rFonts w:ascii="標楷體" w:eastAsia="標楷體" w:hAnsi="標楷體"/>
          <w:bCs/>
          <w:sz w:val="28"/>
          <w:szCs w:val="36"/>
        </w:rPr>
        <w:t>日本政府目前正在規劃高階核廢料的最終處置方案，目標是將乏燃料再處理，提取可重複利用的鈾和鈽，剩餘的廢棄物則進行玻璃固化，並深埋於地底。</w:t>
      </w:r>
    </w:p>
    <w:p w14:paraId="6D79EC06" w14:textId="77777777" w:rsidR="00346F1B" w:rsidRPr="00346F1B" w:rsidRDefault="00346F1B" w:rsidP="009C4EE0">
      <w:pPr>
        <w:pStyle w:val="af4"/>
        <w:numPr>
          <w:ilvl w:val="2"/>
          <w:numId w:val="2"/>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346F1B">
        <w:rPr>
          <w:rFonts w:ascii="標楷體" w:eastAsia="標楷體" w:hAnsi="標楷體"/>
          <w:bCs/>
          <w:sz w:val="28"/>
          <w:szCs w:val="36"/>
        </w:rPr>
        <w:t>除役計畫</w:t>
      </w:r>
    </w:p>
    <w:p w14:paraId="2DACB0C1" w14:textId="34B0D40F" w:rsidR="003D53B9" w:rsidRPr="002A4102" w:rsidRDefault="00346F1B" w:rsidP="009C4EE0">
      <w:pPr>
        <w:pStyle w:val="af4"/>
        <w:numPr>
          <w:ilvl w:val="3"/>
          <w:numId w:val="2"/>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346F1B">
        <w:rPr>
          <w:rFonts w:ascii="標楷體" w:eastAsia="標楷體" w:hAnsi="標楷體"/>
          <w:bCs/>
          <w:sz w:val="28"/>
          <w:szCs w:val="36"/>
        </w:rPr>
        <w:t>核電廠的</w:t>
      </w:r>
      <w:r w:rsidR="00A95445">
        <w:rPr>
          <w:rFonts w:ascii="標楷體" w:eastAsia="標楷體" w:hAnsi="標楷體"/>
          <w:bCs/>
          <w:sz w:val="28"/>
          <w:szCs w:val="36"/>
        </w:rPr>
        <w:t>反應器</w:t>
      </w:r>
      <w:r w:rsidRPr="00346F1B">
        <w:rPr>
          <w:rFonts w:ascii="標楷體" w:eastAsia="標楷體" w:hAnsi="標楷體"/>
          <w:bCs/>
          <w:sz w:val="28"/>
          <w:szCs w:val="36"/>
        </w:rPr>
        <w:t>有一定的使用壽命，到達壽命後需要進行除役。除役過程包括停機、移除核燃料、去污、拆除設備和廠房等步驟。</w:t>
      </w:r>
    </w:p>
    <w:p w14:paraId="796082E9" w14:textId="4D018951" w:rsidR="00346F1B" w:rsidRPr="00346F1B" w:rsidRDefault="00346F1B" w:rsidP="009C4EE0">
      <w:pPr>
        <w:pStyle w:val="af4"/>
        <w:numPr>
          <w:ilvl w:val="3"/>
          <w:numId w:val="2"/>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346F1B">
        <w:rPr>
          <w:rFonts w:ascii="標楷體" w:eastAsia="標楷體" w:hAnsi="標楷體"/>
          <w:bCs/>
          <w:sz w:val="28"/>
          <w:szCs w:val="36"/>
        </w:rPr>
        <w:t>柏崎刈羽核電廠的1號機組已於2017年開始除役，預計需要30年以上的時間才能完成。其他機組的除役計畫目前尚未確定。</w:t>
      </w:r>
    </w:p>
    <w:p w14:paraId="068B11AB" w14:textId="77777777" w:rsidR="00346F1B" w:rsidRPr="00346F1B" w:rsidRDefault="00346F1B" w:rsidP="009C4EE0">
      <w:pPr>
        <w:pStyle w:val="af4"/>
        <w:numPr>
          <w:ilvl w:val="2"/>
          <w:numId w:val="2"/>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346F1B">
        <w:rPr>
          <w:rFonts w:ascii="標楷體" w:eastAsia="標楷體" w:hAnsi="標楷體"/>
          <w:bCs/>
          <w:sz w:val="28"/>
          <w:szCs w:val="36"/>
        </w:rPr>
        <w:t>環境監測</w:t>
      </w:r>
    </w:p>
    <w:p w14:paraId="20318BB0" w14:textId="48906046" w:rsidR="00346F1B" w:rsidRPr="00346F1B" w:rsidRDefault="00346F1B" w:rsidP="009C4EE0">
      <w:pPr>
        <w:pStyle w:val="af4"/>
        <w:numPr>
          <w:ilvl w:val="3"/>
          <w:numId w:val="2"/>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346F1B">
        <w:rPr>
          <w:rFonts w:ascii="標楷體" w:eastAsia="標楷體" w:hAnsi="標楷體"/>
          <w:bCs/>
          <w:sz w:val="28"/>
          <w:szCs w:val="36"/>
        </w:rPr>
        <w:t>輻射監測</w:t>
      </w:r>
      <w:r w:rsidR="003D53B9" w:rsidRPr="002A4102">
        <w:rPr>
          <w:rFonts w:ascii="標楷體" w:eastAsia="標楷體" w:hAnsi="標楷體" w:hint="eastAsia"/>
          <w:bCs/>
          <w:sz w:val="28"/>
          <w:szCs w:val="36"/>
        </w:rPr>
        <w:t>：</w:t>
      </w:r>
      <w:r w:rsidRPr="00346F1B">
        <w:rPr>
          <w:rFonts w:ascii="標楷體" w:eastAsia="標楷體" w:hAnsi="標楷體"/>
          <w:bCs/>
          <w:sz w:val="28"/>
          <w:szCs w:val="36"/>
        </w:rPr>
        <w:t>核電廠會持續監測廠區內外的輻射水平，並定期公布監測結果，確保環境安全。監測項目包括空氣、水、土壤中的放射性物質濃度。</w:t>
      </w:r>
    </w:p>
    <w:p w14:paraId="27C8AC1E" w14:textId="7438E31B" w:rsidR="00346F1B" w:rsidRPr="00346F1B" w:rsidRDefault="00346F1B" w:rsidP="009C4EE0">
      <w:pPr>
        <w:pStyle w:val="af4"/>
        <w:numPr>
          <w:ilvl w:val="3"/>
          <w:numId w:val="2"/>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346F1B">
        <w:rPr>
          <w:rFonts w:ascii="標楷體" w:eastAsia="標楷體" w:hAnsi="標楷體"/>
          <w:bCs/>
          <w:sz w:val="28"/>
          <w:szCs w:val="36"/>
        </w:rPr>
        <w:t>環境影響評估</w:t>
      </w:r>
      <w:r w:rsidR="003D53B9" w:rsidRPr="002A4102">
        <w:rPr>
          <w:rFonts w:ascii="標楷體" w:eastAsia="標楷體" w:hAnsi="標楷體" w:hint="eastAsia"/>
          <w:bCs/>
          <w:sz w:val="28"/>
          <w:szCs w:val="36"/>
        </w:rPr>
        <w:t>：</w:t>
      </w:r>
      <w:r w:rsidRPr="00346F1B">
        <w:rPr>
          <w:rFonts w:ascii="標楷體" w:eastAsia="標楷體" w:hAnsi="標楷體"/>
          <w:bCs/>
          <w:sz w:val="28"/>
          <w:szCs w:val="36"/>
        </w:rPr>
        <w:t>核電廠在營運期間和除役過程中，都需要進行環境影響評估，評估核電廠對周圍環境的影響，並採取措施降低環境衝擊。</w:t>
      </w:r>
    </w:p>
    <w:p w14:paraId="587FB1D2" w14:textId="1A71FEAB" w:rsidR="00346F1B" w:rsidRPr="00346F1B" w:rsidRDefault="003D53B9" w:rsidP="009C4EE0">
      <w:pPr>
        <w:pStyle w:val="af4"/>
        <w:numPr>
          <w:ilvl w:val="2"/>
          <w:numId w:val="2"/>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2A4102">
        <w:rPr>
          <w:rFonts w:ascii="標楷體" w:eastAsia="標楷體" w:hAnsi="標楷體" w:hint="eastAsia"/>
          <w:bCs/>
          <w:sz w:val="28"/>
          <w:szCs w:val="36"/>
        </w:rPr>
        <w:t>交流與回饋事項</w:t>
      </w:r>
    </w:p>
    <w:p w14:paraId="35D5A499" w14:textId="42AA89D7" w:rsidR="00346F1B" w:rsidRPr="00346F1B" w:rsidRDefault="00346F1B" w:rsidP="009C4EE0">
      <w:pPr>
        <w:pStyle w:val="af4"/>
        <w:numPr>
          <w:ilvl w:val="3"/>
          <w:numId w:val="2"/>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346F1B">
        <w:rPr>
          <w:rFonts w:ascii="標楷體" w:eastAsia="標楷體" w:hAnsi="標楷體"/>
          <w:bCs/>
          <w:sz w:val="28"/>
          <w:szCs w:val="36"/>
        </w:rPr>
        <w:t>東京電力公司積極地公開柏崎刈羽核電廠的核廢料處理、除役計畫和環境監測等資訊，提升透明度，回應社會關切。</w:t>
      </w:r>
    </w:p>
    <w:p w14:paraId="60185D38" w14:textId="2376C7BC" w:rsidR="00346F1B" w:rsidRPr="00346F1B" w:rsidRDefault="00346F1B" w:rsidP="009C4EE0">
      <w:pPr>
        <w:pStyle w:val="af4"/>
        <w:numPr>
          <w:ilvl w:val="3"/>
          <w:numId w:val="2"/>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346F1B">
        <w:rPr>
          <w:rFonts w:ascii="標楷體" w:eastAsia="標楷體" w:hAnsi="標楷體"/>
          <w:bCs/>
          <w:sz w:val="28"/>
          <w:szCs w:val="36"/>
        </w:rPr>
        <w:t>日本政府加速高階核廢料最終處置場的選址和建設，解決核廢料的長期儲存問題。</w:t>
      </w:r>
    </w:p>
    <w:p w14:paraId="42E9404E" w14:textId="77777777" w:rsidR="00650ABC" w:rsidRDefault="00346F1B" w:rsidP="009C4EE0">
      <w:pPr>
        <w:pStyle w:val="af4"/>
        <w:numPr>
          <w:ilvl w:val="3"/>
          <w:numId w:val="2"/>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346F1B">
        <w:rPr>
          <w:rFonts w:ascii="標楷體" w:eastAsia="標楷體" w:hAnsi="標楷體"/>
          <w:bCs/>
          <w:sz w:val="28"/>
          <w:szCs w:val="36"/>
        </w:rPr>
        <w:t>核電廠持續監測環境輻射，並與當地居民分享監測數據，確保環境安全。</w:t>
      </w:r>
    </w:p>
    <w:p w14:paraId="6EE7E662" w14:textId="13947F6D" w:rsidR="00650ABC" w:rsidRDefault="00650ABC" w:rsidP="00650ABC">
      <w:pPr>
        <w:spacing w:beforeLines="15" w:before="36" w:afterLines="15" w:after="36"/>
        <w:ind w:leftChars="1" w:left="2"/>
        <w:jc w:val="both"/>
        <w:outlineLvl w:val="1"/>
        <w:rPr>
          <w:rFonts w:ascii="標楷體" w:eastAsia="標楷體" w:hAnsi="標楷體"/>
          <w:bCs/>
          <w:spacing w:val="-10"/>
          <w:sz w:val="28"/>
          <w:szCs w:val="28"/>
        </w:rPr>
      </w:pPr>
      <w:r>
        <w:rPr>
          <w:rFonts w:ascii="標楷體" w:eastAsia="標楷體" w:hAnsi="標楷體"/>
          <w:bCs/>
          <w:noProof/>
          <w:spacing w:val="-10"/>
          <w:sz w:val="28"/>
          <w:szCs w:val="28"/>
        </w:rPr>
        <w:lastRenderedPageBreak/>
        <w:drawing>
          <wp:inline distT="0" distB="0" distL="0" distR="0" wp14:anchorId="16D08D77" wp14:editId="510C6028">
            <wp:extent cx="5760085" cy="3790315"/>
            <wp:effectExtent l="0" t="0" r="0" b="635"/>
            <wp:docPr id="936009472" name="圖片 1" descr="一張含有 文字, 圖表, 螢幕擷取畫面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009472" name="圖片 1" descr="一張含有 文字, 圖表, 螢幕擷取畫面 的圖片&#10;&#10;自動產生的描述"/>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085" cy="3790315"/>
                    </a:xfrm>
                    <a:prstGeom prst="rect">
                      <a:avLst/>
                    </a:prstGeom>
                  </pic:spPr>
                </pic:pic>
              </a:graphicData>
            </a:graphic>
          </wp:inline>
        </w:drawing>
      </w:r>
    </w:p>
    <w:p w14:paraId="517E3423" w14:textId="77777777" w:rsidR="00650ABC" w:rsidRDefault="00650ABC" w:rsidP="00650ABC">
      <w:pPr>
        <w:pStyle w:val="a1"/>
      </w:pPr>
      <w:bookmarkStart w:id="88" w:name="_Toc185605713"/>
      <w:bookmarkStart w:id="89" w:name="_Toc186029832"/>
      <w:r w:rsidRPr="00650ABC">
        <w:t>以</w:t>
      </w:r>
      <w:r>
        <w:rPr>
          <w:rFonts w:hint="eastAsia"/>
        </w:rPr>
        <w:t>311東日本大震災(</w:t>
      </w:r>
      <w:r w:rsidRPr="00650ABC">
        <w:t>福島核災</w:t>
      </w:r>
      <w:r>
        <w:rPr>
          <w:rFonts w:hint="eastAsia"/>
        </w:rPr>
        <w:t>)</w:t>
      </w:r>
      <w:r w:rsidRPr="00650ABC">
        <w:t>為</w:t>
      </w:r>
      <w:r>
        <w:rPr>
          <w:rFonts w:hint="eastAsia"/>
        </w:rPr>
        <w:t>經驗，</w:t>
      </w:r>
      <w:r w:rsidRPr="00650ABC">
        <w:t>爐心損傷後</w:t>
      </w:r>
      <w:r>
        <w:rPr>
          <w:rFonts w:hint="eastAsia"/>
        </w:rPr>
        <w:t>之</w:t>
      </w:r>
      <w:r w:rsidRPr="00650ABC">
        <w:t>影響</w:t>
      </w:r>
      <w:r>
        <w:rPr>
          <w:rFonts w:hint="eastAsia"/>
        </w:rPr>
        <w:t>及緩和</w:t>
      </w:r>
      <w:r w:rsidRPr="00650ABC">
        <w:t>對策</w:t>
      </w:r>
      <w:r>
        <w:rPr>
          <w:rFonts w:hint="eastAsia"/>
        </w:rPr>
        <w:t>之措施</w:t>
      </w:r>
      <w:bookmarkEnd w:id="88"/>
      <w:bookmarkEnd w:id="89"/>
    </w:p>
    <w:p w14:paraId="7D52E3EC" w14:textId="77777777" w:rsidR="00650ABC" w:rsidRPr="002A4102" w:rsidRDefault="00650ABC" w:rsidP="00650ABC">
      <w:pPr>
        <w:spacing w:beforeLines="15" w:before="36" w:afterLines="15" w:after="36" w:line="440" w:lineRule="exact"/>
        <w:ind w:leftChars="1" w:left="2"/>
        <w:jc w:val="both"/>
        <w:outlineLvl w:val="1"/>
        <w:rPr>
          <w:rFonts w:ascii="標楷體" w:eastAsia="標楷體" w:hAnsi="標楷體"/>
          <w:bCs/>
          <w:spacing w:val="-10"/>
          <w:sz w:val="28"/>
          <w:szCs w:val="28"/>
        </w:rPr>
      </w:pPr>
      <w:r w:rsidRPr="002A4102">
        <w:rPr>
          <w:rFonts w:ascii="標楷體" w:eastAsia="標楷體" w:hAnsi="標楷體" w:hint="eastAsia"/>
          <w:bCs/>
          <w:spacing w:val="-10"/>
          <w:sz w:val="28"/>
          <w:szCs w:val="28"/>
        </w:rPr>
        <w:t>備註：</w:t>
      </w:r>
    </w:p>
    <w:p w14:paraId="440D3F76" w14:textId="63EDBE6B" w:rsidR="00650ABC" w:rsidRPr="00650ABC" w:rsidRDefault="00650ABC" w:rsidP="00650ABC">
      <w:pPr>
        <w:tabs>
          <w:tab w:val="num" w:pos="720"/>
          <w:tab w:val="num" w:pos="1440"/>
        </w:tabs>
        <w:spacing w:beforeLines="15" w:before="36" w:afterLines="15" w:after="36" w:line="440" w:lineRule="exact"/>
        <w:ind w:leftChars="1" w:left="332" w:hangingChars="150" w:hanging="330"/>
        <w:jc w:val="both"/>
        <w:outlineLvl w:val="1"/>
        <w:rPr>
          <w:rFonts w:ascii="標楷體" w:eastAsia="標楷體" w:hAnsi="標楷體"/>
          <w:bCs/>
          <w:spacing w:val="-10"/>
          <w:szCs w:val="24"/>
        </w:rPr>
      </w:pPr>
      <w:r w:rsidRPr="00B329F1">
        <w:rPr>
          <w:rFonts w:ascii="標楷體" w:eastAsia="標楷體" w:hAnsi="標楷體" w:hint="eastAsia"/>
          <w:bCs/>
          <w:spacing w:val="-10"/>
          <w:szCs w:val="24"/>
        </w:rPr>
        <w:t>1、</w:t>
      </w:r>
      <w:r w:rsidRPr="00650ABC">
        <w:rPr>
          <w:rFonts w:ascii="標楷體" w:eastAsia="標楷體" w:hAnsi="標楷體"/>
          <w:bCs/>
          <w:spacing w:val="-10"/>
          <w:szCs w:val="24"/>
        </w:rPr>
        <w:t>氫氣控制</w:t>
      </w:r>
      <w:r w:rsidRPr="00B329F1">
        <w:rPr>
          <w:rFonts w:ascii="標楷體" w:eastAsia="標楷體" w:hAnsi="標楷體" w:hint="eastAsia"/>
          <w:bCs/>
          <w:spacing w:val="-10"/>
          <w:szCs w:val="24"/>
        </w:rPr>
        <w:t>：</w:t>
      </w:r>
      <w:r w:rsidRPr="00650ABC">
        <w:rPr>
          <w:rFonts w:ascii="標楷體" w:eastAsia="標楷體" w:hAnsi="標楷體"/>
          <w:bCs/>
          <w:spacing w:val="-10"/>
          <w:szCs w:val="24"/>
        </w:rPr>
        <w:t>爐心損傷後可能產生氫氣，累積到一定程度會導致爆炸，破壞安全殼。</w:t>
      </w:r>
      <w:r>
        <w:rPr>
          <w:rFonts w:ascii="標楷體" w:eastAsia="標楷體" w:hAnsi="標楷體" w:hint="eastAsia"/>
          <w:bCs/>
          <w:spacing w:val="-10"/>
          <w:szCs w:val="24"/>
        </w:rPr>
        <w:t>其緩和對</w:t>
      </w:r>
      <w:r w:rsidR="003E1EFA">
        <w:rPr>
          <w:rFonts w:ascii="標楷體" w:eastAsia="標楷體" w:hAnsi="標楷體" w:hint="eastAsia"/>
          <w:bCs/>
          <w:spacing w:val="-10"/>
          <w:szCs w:val="24"/>
        </w:rPr>
        <w:t>策</w:t>
      </w:r>
      <w:r>
        <w:rPr>
          <w:rFonts w:ascii="標楷體" w:eastAsia="標楷體" w:hAnsi="標楷體" w:hint="eastAsia"/>
          <w:bCs/>
          <w:spacing w:val="-10"/>
          <w:szCs w:val="24"/>
        </w:rPr>
        <w:t>：一、</w:t>
      </w:r>
      <w:r w:rsidRPr="00650ABC">
        <w:rPr>
          <w:rFonts w:ascii="標楷體" w:eastAsia="標楷體" w:hAnsi="標楷體"/>
          <w:bCs/>
          <w:spacing w:val="-10"/>
          <w:szCs w:val="24"/>
        </w:rPr>
        <w:t>設置頂部排氣設備(トップベント設備設置)，用於排放氫氣。</w:t>
      </w:r>
      <w:r>
        <w:rPr>
          <w:rFonts w:ascii="標楷體" w:eastAsia="標楷體" w:hAnsi="標楷體" w:hint="eastAsia"/>
          <w:bCs/>
          <w:spacing w:val="-10"/>
          <w:szCs w:val="24"/>
        </w:rPr>
        <w:t>二、</w:t>
      </w:r>
      <w:r w:rsidRPr="00650ABC">
        <w:rPr>
          <w:rFonts w:ascii="標楷體" w:eastAsia="標楷體" w:hAnsi="標楷體"/>
          <w:bCs/>
          <w:spacing w:val="-10"/>
          <w:szCs w:val="24"/>
        </w:rPr>
        <w:t>設置靜態觸媒式氫氣再結合裝置(静的触媒式水素再結合装置設置)，將氫氣和氧氣催化結合生成水，降低氫氣濃度。</w:t>
      </w:r>
      <w:r>
        <w:rPr>
          <w:rFonts w:ascii="標楷體" w:eastAsia="標楷體" w:hAnsi="標楷體" w:hint="eastAsia"/>
          <w:bCs/>
          <w:spacing w:val="-10"/>
          <w:szCs w:val="24"/>
        </w:rPr>
        <w:t>三、</w:t>
      </w:r>
      <w:r w:rsidRPr="00650ABC">
        <w:rPr>
          <w:rFonts w:ascii="標楷體" w:eastAsia="標楷體" w:hAnsi="標楷體"/>
          <w:bCs/>
          <w:spacing w:val="-10"/>
          <w:szCs w:val="24"/>
        </w:rPr>
        <w:t>設置氫氣檢測器(水素検出器設置)，用於監控氫氣濃度。</w:t>
      </w:r>
    </w:p>
    <w:p w14:paraId="3E20D763" w14:textId="212C7B3C" w:rsidR="00650ABC" w:rsidRPr="00650ABC" w:rsidRDefault="00650ABC" w:rsidP="003E1EFA">
      <w:pPr>
        <w:tabs>
          <w:tab w:val="num" w:pos="720"/>
          <w:tab w:val="num" w:pos="1440"/>
        </w:tabs>
        <w:spacing w:beforeLines="15" w:before="36" w:afterLines="15" w:after="36" w:line="440" w:lineRule="exact"/>
        <w:ind w:leftChars="1" w:left="332" w:hangingChars="150" w:hanging="330"/>
        <w:jc w:val="both"/>
        <w:outlineLvl w:val="1"/>
        <w:rPr>
          <w:rFonts w:ascii="標楷體" w:eastAsia="標楷體" w:hAnsi="標楷體"/>
          <w:bCs/>
          <w:spacing w:val="-10"/>
          <w:szCs w:val="24"/>
        </w:rPr>
      </w:pPr>
      <w:r w:rsidRPr="00650ABC">
        <w:rPr>
          <w:rFonts w:ascii="標楷體" w:eastAsia="標楷體" w:hAnsi="標楷體"/>
          <w:bCs/>
          <w:spacing w:val="-10"/>
          <w:szCs w:val="24"/>
        </w:rPr>
        <w:t>2</w:t>
      </w:r>
      <w:r w:rsidR="003E1EFA">
        <w:rPr>
          <w:rFonts w:ascii="標楷體" w:eastAsia="標楷體" w:hAnsi="標楷體" w:hint="eastAsia"/>
          <w:bCs/>
          <w:spacing w:val="-10"/>
          <w:szCs w:val="24"/>
        </w:rPr>
        <w:t>、</w:t>
      </w:r>
      <w:r w:rsidR="003E1EFA" w:rsidRPr="003E1EFA">
        <w:rPr>
          <w:rFonts w:ascii="標楷體" w:eastAsia="標楷體" w:hAnsi="標楷體" w:hint="eastAsia"/>
          <w:bCs/>
          <w:spacing w:val="-10"/>
          <w:szCs w:val="24"/>
        </w:rPr>
        <w:t>防止</w:t>
      </w:r>
      <w:r w:rsidRPr="00650ABC">
        <w:rPr>
          <w:rFonts w:ascii="標楷體" w:eastAsia="標楷體" w:hAnsi="標楷體"/>
          <w:bCs/>
          <w:spacing w:val="-10"/>
          <w:szCs w:val="24"/>
        </w:rPr>
        <w:t>安全殼損傷</w:t>
      </w:r>
      <w:r w:rsidR="003E1EFA" w:rsidRPr="003E1EFA">
        <w:rPr>
          <w:rFonts w:ascii="標楷體" w:eastAsia="標楷體" w:hAnsi="標楷體" w:hint="eastAsia"/>
          <w:bCs/>
          <w:spacing w:val="-10"/>
          <w:szCs w:val="24"/>
        </w:rPr>
        <w:t>：</w:t>
      </w:r>
      <w:r w:rsidRPr="00650ABC">
        <w:rPr>
          <w:rFonts w:ascii="標楷體" w:eastAsia="標楷體" w:hAnsi="標楷體"/>
          <w:bCs/>
          <w:spacing w:val="-10"/>
          <w:szCs w:val="24"/>
        </w:rPr>
        <w:t>爐心熔毀後，高溫熔融物可能損壞安全殼(PCV)，導致放射性物質洩漏。</w:t>
      </w:r>
      <w:r w:rsidR="003E1EFA">
        <w:rPr>
          <w:rFonts w:ascii="標楷體" w:eastAsia="標楷體" w:hAnsi="標楷體" w:hint="eastAsia"/>
          <w:bCs/>
          <w:spacing w:val="-10"/>
          <w:szCs w:val="24"/>
        </w:rPr>
        <w:t>其緩和對策：一、</w:t>
      </w:r>
      <w:r w:rsidRPr="00650ABC">
        <w:rPr>
          <w:rFonts w:ascii="標楷體" w:eastAsia="標楷體" w:hAnsi="標楷體"/>
          <w:bCs/>
          <w:spacing w:val="-10"/>
          <w:szCs w:val="24"/>
        </w:rPr>
        <w:t>利用消防車向</w:t>
      </w:r>
      <w:r w:rsidR="003E1EFA">
        <w:rPr>
          <w:rFonts w:ascii="標楷體" w:eastAsia="標楷體" w:hAnsi="標楷體" w:hint="eastAsia"/>
          <w:bCs/>
          <w:spacing w:val="-10"/>
          <w:szCs w:val="24"/>
        </w:rPr>
        <w:t>反應器</w:t>
      </w:r>
      <w:r w:rsidR="003E1EFA" w:rsidRPr="003E1EFA">
        <w:rPr>
          <w:rFonts w:ascii="標楷體" w:eastAsia="標楷體" w:hAnsi="標楷體" w:hint="eastAsia"/>
          <w:bCs/>
          <w:spacing w:val="-10"/>
          <w:szCs w:val="24"/>
        </w:rPr>
        <w:t>爐井</w:t>
      </w:r>
      <w:r w:rsidRPr="00650ABC">
        <w:rPr>
          <w:rFonts w:ascii="標楷體" w:eastAsia="標楷體" w:hAnsi="標楷體"/>
          <w:bCs/>
          <w:spacing w:val="-10"/>
          <w:szCs w:val="24"/>
        </w:rPr>
        <w:t>(原子炉ウェル)注水，冷卻爐心。</w:t>
      </w:r>
      <w:r w:rsidR="003E1EFA">
        <w:rPr>
          <w:rFonts w:ascii="標楷體" w:eastAsia="標楷體" w:hAnsi="標楷體" w:hint="eastAsia"/>
          <w:bCs/>
          <w:spacing w:val="-10"/>
          <w:szCs w:val="24"/>
        </w:rPr>
        <w:t>二、</w:t>
      </w:r>
      <w:r w:rsidRPr="00650ABC">
        <w:rPr>
          <w:rFonts w:ascii="標楷體" w:eastAsia="標楷體" w:hAnsi="標楷體"/>
          <w:bCs/>
          <w:spacing w:val="-10"/>
          <w:szCs w:val="24"/>
        </w:rPr>
        <w:t>設置頂部法蘭冷卻管線(トップヘッドフランジ冷却ライン設置)，加強對安全殼頂部的冷卻。</w:t>
      </w:r>
    </w:p>
    <w:p w14:paraId="530D39BF" w14:textId="18587A2B" w:rsidR="00650ABC" w:rsidRPr="00650ABC" w:rsidRDefault="00650ABC" w:rsidP="003E1EFA">
      <w:pPr>
        <w:tabs>
          <w:tab w:val="num" w:pos="720"/>
          <w:tab w:val="num" w:pos="1440"/>
        </w:tabs>
        <w:spacing w:beforeLines="15" w:before="36" w:afterLines="15" w:after="36" w:line="440" w:lineRule="exact"/>
        <w:ind w:leftChars="1" w:left="332" w:hangingChars="150" w:hanging="330"/>
        <w:jc w:val="both"/>
        <w:outlineLvl w:val="1"/>
        <w:rPr>
          <w:rFonts w:ascii="標楷體" w:eastAsia="標楷體" w:hAnsi="標楷體"/>
          <w:bCs/>
          <w:spacing w:val="-10"/>
          <w:szCs w:val="24"/>
        </w:rPr>
      </w:pPr>
      <w:r w:rsidRPr="00650ABC">
        <w:rPr>
          <w:rFonts w:ascii="標楷體" w:eastAsia="標楷體" w:hAnsi="標楷體"/>
          <w:bCs/>
          <w:spacing w:val="-10"/>
          <w:szCs w:val="24"/>
        </w:rPr>
        <w:t>3</w:t>
      </w:r>
      <w:r w:rsidR="003E1EFA">
        <w:rPr>
          <w:rFonts w:ascii="標楷體" w:eastAsia="標楷體" w:hAnsi="標楷體" w:hint="eastAsia"/>
          <w:bCs/>
          <w:spacing w:val="-10"/>
          <w:szCs w:val="24"/>
        </w:rPr>
        <w:t>、</w:t>
      </w:r>
      <w:r w:rsidR="003E1EFA" w:rsidRPr="003E1EFA">
        <w:rPr>
          <w:rFonts w:ascii="標楷體" w:eastAsia="標楷體" w:hAnsi="標楷體" w:hint="eastAsia"/>
          <w:bCs/>
          <w:spacing w:val="-10"/>
          <w:szCs w:val="24"/>
        </w:rPr>
        <w:t>抑制</w:t>
      </w:r>
      <w:r w:rsidRPr="00650ABC">
        <w:rPr>
          <w:rFonts w:ascii="標楷體" w:eastAsia="標楷體" w:hAnsi="標楷體"/>
          <w:bCs/>
          <w:spacing w:val="-10"/>
          <w:szCs w:val="24"/>
        </w:rPr>
        <w:t>放射性物質</w:t>
      </w:r>
      <w:r w:rsidR="003E1EFA" w:rsidRPr="003E1EFA">
        <w:rPr>
          <w:rFonts w:ascii="標楷體" w:eastAsia="標楷體" w:hAnsi="標楷體" w:hint="eastAsia"/>
          <w:bCs/>
          <w:spacing w:val="-10"/>
          <w:szCs w:val="24"/>
        </w:rPr>
        <w:t>釋</w:t>
      </w:r>
      <w:r w:rsidRPr="00650ABC">
        <w:rPr>
          <w:rFonts w:ascii="標楷體" w:eastAsia="標楷體" w:hAnsi="標楷體"/>
          <w:bCs/>
          <w:spacing w:val="-10"/>
          <w:szCs w:val="24"/>
        </w:rPr>
        <w:t>出</w:t>
      </w:r>
      <w:r w:rsidR="003E1EFA" w:rsidRPr="003E1EFA">
        <w:rPr>
          <w:rFonts w:ascii="標楷體" w:eastAsia="標楷體" w:hAnsi="標楷體" w:hint="eastAsia"/>
          <w:bCs/>
          <w:spacing w:val="-10"/>
          <w:szCs w:val="24"/>
        </w:rPr>
        <w:t>：</w:t>
      </w:r>
      <w:r w:rsidRPr="00650ABC">
        <w:rPr>
          <w:rFonts w:ascii="標楷體" w:eastAsia="標楷體" w:hAnsi="標楷體"/>
          <w:bCs/>
          <w:spacing w:val="-10"/>
          <w:szCs w:val="24"/>
        </w:rPr>
        <w:t>安全殼損壞後，大量放射性物質可能洩漏到環境中。</w:t>
      </w:r>
      <w:r w:rsidR="003E1EFA">
        <w:rPr>
          <w:rFonts w:ascii="標楷體" w:eastAsia="標楷體" w:hAnsi="標楷體" w:hint="eastAsia"/>
          <w:bCs/>
          <w:spacing w:val="-10"/>
          <w:szCs w:val="24"/>
        </w:rPr>
        <w:t>其緩和對策：一、</w:t>
      </w:r>
      <w:r w:rsidRPr="00650ABC">
        <w:rPr>
          <w:rFonts w:ascii="標楷體" w:eastAsia="標楷體" w:hAnsi="標楷體"/>
          <w:bCs/>
          <w:spacing w:val="-10"/>
          <w:szCs w:val="24"/>
        </w:rPr>
        <w:t>設置過濾排氣設備(フィルタベント設備設置)，過濾排放氣體中的放射性物質，減少對環境的污染。</w:t>
      </w:r>
    </w:p>
    <w:p w14:paraId="2AFE7282" w14:textId="2063838D" w:rsidR="00AF1EB4" w:rsidRPr="002A4102" w:rsidRDefault="008D20C1" w:rsidP="00505E43">
      <w:pPr>
        <w:spacing w:beforeLines="15" w:before="36" w:afterLines="15" w:after="36"/>
        <w:ind w:leftChars="1" w:left="2"/>
        <w:jc w:val="both"/>
        <w:outlineLvl w:val="1"/>
        <w:rPr>
          <w:rFonts w:ascii="標楷體" w:eastAsia="標楷體" w:hAnsi="標楷體"/>
          <w:bCs/>
          <w:spacing w:val="-10"/>
          <w:sz w:val="28"/>
          <w:szCs w:val="28"/>
        </w:rPr>
      </w:pPr>
      <w:bookmarkStart w:id="90" w:name="_Toc185412426"/>
      <w:r w:rsidRPr="002A4102">
        <w:rPr>
          <w:rFonts w:ascii="標楷體" w:eastAsia="標楷體" w:hAnsi="標楷體"/>
          <w:bCs/>
          <w:noProof/>
          <w:spacing w:val="-10"/>
          <w:sz w:val="28"/>
          <w:szCs w:val="28"/>
        </w:rPr>
        <w:lastRenderedPageBreak/>
        <w:drawing>
          <wp:inline distT="0" distB="0" distL="0" distR="0" wp14:anchorId="24BA86F9" wp14:editId="2341201A">
            <wp:extent cx="5760085" cy="5008245"/>
            <wp:effectExtent l="0" t="0" r="0" b="1905"/>
            <wp:docPr id="32845717" name="圖片 7" descr="一張含有 文字, 螢幕擷取畫面, 戶外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45717" name="圖片 7" descr="一張含有 文字, 螢幕擷取畫面, 戶外 的圖片&#10;&#10;自動產生的描述"/>
                    <pic:cNvPicPr/>
                  </pic:nvPicPr>
                  <pic:blipFill>
                    <a:blip r:embed="rId18">
                      <a:extLst>
                        <a:ext uri="{28A0092B-C50C-407E-A947-70E740481C1C}">
                          <a14:useLocalDpi xmlns:a14="http://schemas.microsoft.com/office/drawing/2010/main" val="0"/>
                        </a:ext>
                      </a:extLst>
                    </a:blip>
                    <a:stretch>
                      <a:fillRect/>
                    </a:stretch>
                  </pic:blipFill>
                  <pic:spPr>
                    <a:xfrm>
                      <a:off x="0" y="0"/>
                      <a:ext cx="5760085" cy="5008245"/>
                    </a:xfrm>
                    <a:prstGeom prst="rect">
                      <a:avLst/>
                    </a:prstGeom>
                  </pic:spPr>
                </pic:pic>
              </a:graphicData>
            </a:graphic>
          </wp:inline>
        </w:drawing>
      </w:r>
      <w:bookmarkEnd w:id="90"/>
    </w:p>
    <w:p w14:paraId="2DA12214" w14:textId="5C10D3C2" w:rsidR="00E1494D" w:rsidRPr="002A4102" w:rsidRDefault="00E1494D" w:rsidP="00E96C66">
      <w:pPr>
        <w:pStyle w:val="a1"/>
      </w:pPr>
      <w:bookmarkStart w:id="91" w:name="_Toc185426109"/>
      <w:bookmarkStart w:id="92" w:name="_Toc185605714"/>
      <w:bookmarkStart w:id="93" w:name="_Toc186029833"/>
      <w:r w:rsidRPr="002A4102">
        <w:t>柏崎刈羽核電</w:t>
      </w:r>
      <w:r w:rsidRPr="002A4102">
        <w:rPr>
          <w:rFonts w:hint="eastAsia"/>
        </w:rPr>
        <w:t>廠之</w:t>
      </w:r>
      <w:r w:rsidRPr="002A4102">
        <w:t>海嘯防護措施</w:t>
      </w:r>
      <w:bookmarkEnd w:id="91"/>
      <w:bookmarkEnd w:id="92"/>
      <w:bookmarkEnd w:id="93"/>
    </w:p>
    <w:p w14:paraId="13C6AF90" w14:textId="5BAF1FDD" w:rsidR="008D20C1" w:rsidRPr="002A4102" w:rsidRDefault="00E1494D" w:rsidP="003213CB">
      <w:pPr>
        <w:spacing w:beforeLines="15" w:before="36" w:afterLines="15" w:after="36" w:line="440" w:lineRule="exact"/>
        <w:ind w:leftChars="1" w:left="2"/>
        <w:jc w:val="both"/>
        <w:outlineLvl w:val="1"/>
        <w:rPr>
          <w:rFonts w:ascii="標楷體" w:eastAsia="標楷體" w:hAnsi="標楷體"/>
          <w:bCs/>
          <w:spacing w:val="-10"/>
          <w:sz w:val="28"/>
          <w:szCs w:val="28"/>
        </w:rPr>
      </w:pPr>
      <w:bookmarkStart w:id="94" w:name="_Toc185412427"/>
      <w:r w:rsidRPr="002A4102">
        <w:rPr>
          <w:rFonts w:ascii="標楷體" w:eastAsia="標楷體" w:hAnsi="標楷體" w:hint="eastAsia"/>
          <w:bCs/>
          <w:spacing w:val="-10"/>
          <w:sz w:val="28"/>
          <w:szCs w:val="28"/>
        </w:rPr>
        <w:t>備註：</w:t>
      </w:r>
      <w:bookmarkEnd w:id="94"/>
    </w:p>
    <w:p w14:paraId="36A35907" w14:textId="51A384BA" w:rsidR="00E1494D" w:rsidRPr="002A4102" w:rsidRDefault="00E1494D" w:rsidP="003213CB">
      <w:pPr>
        <w:spacing w:beforeLines="15" w:before="36" w:afterLines="15" w:after="36" w:line="440" w:lineRule="exact"/>
        <w:ind w:leftChars="1" w:left="332" w:hangingChars="150" w:hanging="330"/>
        <w:jc w:val="both"/>
        <w:outlineLvl w:val="1"/>
        <w:rPr>
          <w:rFonts w:ascii="標楷體" w:eastAsia="標楷體" w:hAnsi="標楷體"/>
          <w:bCs/>
          <w:spacing w:val="-10"/>
          <w:szCs w:val="24"/>
        </w:rPr>
      </w:pPr>
      <w:bookmarkStart w:id="95" w:name="_Toc185412428"/>
      <w:r w:rsidRPr="00B329F1">
        <w:rPr>
          <w:rFonts w:ascii="標楷體" w:eastAsia="標楷體" w:hAnsi="標楷體" w:hint="eastAsia"/>
          <w:bCs/>
          <w:spacing w:val="-10"/>
          <w:szCs w:val="24"/>
        </w:rPr>
        <w:t>1、</w:t>
      </w:r>
      <w:r w:rsidRPr="00B329F1">
        <w:rPr>
          <w:rFonts w:ascii="標楷體" w:eastAsia="標楷體" w:hAnsi="標楷體"/>
          <w:bCs/>
          <w:spacing w:val="-10"/>
          <w:szCs w:val="24"/>
        </w:rPr>
        <w:t>基準海嘯</w:t>
      </w:r>
      <w:r w:rsidRPr="00B329F1">
        <w:rPr>
          <w:rFonts w:ascii="標楷體" w:eastAsia="標楷體" w:hAnsi="標楷體" w:hint="eastAsia"/>
          <w:bCs/>
          <w:spacing w:val="-10"/>
          <w:szCs w:val="24"/>
        </w:rPr>
        <w:t>：</w:t>
      </w:r>
      <w:r w:rsidRPr="00B329F1">
        <w:rPr>
          <w:rFonts w:ascii="標楷體" w:eastAsia="標楷體" w:hAnsi="標楷體"/>
          <w:bCs/>
          <w:spacing w:val="-10"/>
          <w:szCs w:val="24"/>
        </w:rPr>
        <w:t>基於發電廠周邊海嘯相關文獻調查及活斷層評估結果等進行模擬，假設可能發生</w:t>
      </w:r>
      <w:r w:rsidRPr="002A4102">
        <w:rPr>
          <w:rFonts w:ascii="標楷體" w:eastAsia="標楷體" w:hAnsi="標楷體"/>
          <w:bCs/>
          <w:spacing w:val="-10"/>
          <w:szCs w:val="24"/>
        </w:rPr>
        <w:t>的最大規模海嘯</w:t>
      </w:r>
      <w:r w:rsidRPr="002A4102">
        <w:rPr>
          <w:rFonts w:ascii="標楷體" w:eastAsia="標楷體" w:hAnsi="標楷體" w:hint="eastAsia"/>
          <w:bCs/>
          <w:spacing w:val="-10"/>
          <w:szCs w:val="24"/>
        </w:rPr>
        <w:t>，並顯示</w:t>
      </w:r>
      <w:r w:rsidRPr="00E1494D">
        <w:rPr>
          <w:rFonts w:ascii="標楷體" w:eastAsia="標楷體" w:hAnsi="標楷體"/>
          <w:bCs/>
          <w:spacing w:val="-10"/>
          <w:szCs w:val="24"/>
        </w:rPr>
        <w:t>日本海東緣部模型</w:t>
      </w:r>
      <w:r w:rsidRPr="002A4102">
        <w:rPr>
          <w:rFonts w:ascii="標楷體" w:eastAsia="標楷體" w:hAnsi="標楷體" w:hint="eastAsia"/>
          <w:bCs/>
          <w:spacing w:val="-10"/>
          <w:szCs w:val="24"/>
        </w:rPr>
        <w:t>及</w:t>
      </w:r>
      <w:r w:rsidRPr="00E1494D">
        <w:rPr>
          <w:rFonts w:ascii="標楷體" w:eastAsia="標楷體" w:hAnsi="標楷體"/>
          <w:bCs/>
          <w:spacing w:val="-10"/>
          <w:szCs w:val="24"/>
        </w:rPr>
        <w:t>佐渡島南方斷層～魚津斷層帶</w:t>
      </w:r>
      <w:r w:rsidRPr="002A4102">
        <w:rPr>
          <w:rFonts w:ascii="標楷體" w:eastAsia="標楷體" w:hAnsi="標楷體" w:hint="eastAsia"/>
          <w:bCs/>
          <w:spacing w:val="-10"/>
          <w:szCs w:val="24"/>
        </w:rPr>
        <w:t>之</w:t>
      </w:r>
      <w:r w:rsidRPr="00E1494D">
        <w:rPr>
          <w:rFonts w:ascii="標楷體" w:eastAsia="標楷體" w:hAnsi="標楷體"/>
          <w:bCs/>
          <w:spacing w:val="-10"/>
          <w:szCs w:val="24"/>
        </w:rPr>
        <w:t>連動模型</w:t>
      </w:r>
      <w:r w:rsidRPr="002A4102">
        <w:rPr>
          <w:rFonts w:ascii="標楷體" w:eastAsia="標楷體" w:hAnsi="標楷體" w:hint="eastAsia"/>
          <w:bCs/>
          <w:spacing w:val="-10"/>
          <w:szCs w:val="24"/>
        </w:rPr>
        <w:t>。</w:t>
      </w:r>
      <w:bookmarkEnd w:id="95"/>
    </w:p>
    <w:p w14:paraId="477205F9" w14:textId="62C35675" w:rsidR="00E1494D" w:rsidRPr="00E1494D" w:rsidRDefault="00E1494D" w:rsidP="003213CB">
      <w:pPr>
        <w:spacing w:beforeLines="15" w:before="36" w:afterLines="15" w:after="36" w:line="440" w:lineRule="exact"/>
        <w:ind w:leftChars="1" w:left="332" w:hangingChars="150" w:hanging="330"/>
        <w:jc w:val="both"/>
        <w:outlineLvl w:val="1"/>
        <w:rPr>
          <w:rFonts w:ascii="標楷體" w:eastAsia="標楷體" w:hAnsi="標楷體"/>
          <w:bCs/>
          <w:spacing w:val="-10"/>
          <w:szCs w:val="24"/>
        </w:rPr>
      </w:pPr>
      <w:bookmarkStart w:id="96" w:name="_Toc185412429"/>
      <w:r w:rsidRPr="002A4102">
        <w:rPr>
          <w:rFonts w:ascii="標楷體" w:eastAsia="標楷體" w:hAnsi="標楷體" w:hint="eastAsia"/>
          <w:bCs/>
          <w:spacing w:val="-10"/>
          <w:szCs w:val="24"/>
        </w:rPr>
        <w:t>2、</w:t>
      </w:r>
      <w:r w:rsidRPr="00E1494D">
        <w:rPr>
          <w:rFonts w:ascii="標楷體" w:eastAsia="標楷體" w:hAnsi="標楷體"/>
          <w:bCs/>
          <w:spacing w:val="-10"/>
          <w:szCs w:val="24"/>
        </w:rPr>
        <w:t>設置防波堤</w:t>
      </w:r>
      <w:r w:rsidRPr="002A4102">
        <w:rPr>
          <w:rFonts w:ascii="標楷體" w:eastAsia="標楷體" w:hAnsi="標楷體" w:hint="eastAsia"/>
          <w:bCs/>
          <w:spacing w:val="-10"/>
          <w:szCs w:val="24"/>
        </w:rPr>
        <w:t>：</w:t>
      </w:r>
      <w:r w:rsidRPr="00E1494D">
        <w:rPr>
          <w:rFonts w:ascii="標楷體" w:eastAsia="標楷體" w:hAnsi="標楷體"/>
          <w:bCs/>
          <w:spacing w:val="-10"/>
          <w:szCs w:val="24"/>
        </w:rPr>
        <w:t>柏崎刈羽核電廠預計海嘯高度約7～8公尺，但在海拔12公尺的土地上以水泥改良土進行高度約3公尺的填土，並建設海拔15公尺的防波堤</w:t>
      </w:r>
      <w:r w:rsidR="00767B66">
        <w:rPr>
          <w:rFonts w:ascii="標楷體" w:eastAsia="標楷體" w:hAnsi="標楷體"/>
          <w:bCs/>
          <w:spacing w:val="-10"/>
          <w:szCs w:val="24"/>
        </w:rPr>
        <w:t>(</w:t>
      </w:r>
      <w:r w:rsidRPr="00E1494D">
        <w:rPr>
          <w:rFonts w:ascii="標楷體" w:eastAsia="標楷體" w:hAnsi="標楷體"/>
          <w:bCs/>
          <w:spacing w:val="-10"/>
          <w:szCs w:val="24"/>
        </w:rPr>
        <w:t>5～7號機側</w:t>
      </w:r>
      <w:r w:rsidR="00767B66">
        <w:rPr>
          <w:rFonts w:ascii="標楷體" w:eastAsia="標楷體" w:hAnsi="標楷體"/>
          <w:bCs/>
          <w:spacing w:val="-10"/>
          <w:szCs w:val="24"/>
        </w:rPr>
        <w:t>)</w:t>
      </w:r>
      <w:r w:rsidRPr="00E1494D">
        <w:rPr>
          <w:rFonts w:ascii="標楷體" w:eastAsia="標楷體" w:hAnsi="標楷體"/>
          <w:bCs/>
          <w:spacing w:val="-10"/>
          <w:szCs w:val="24"/>
        </w:rPr>
        <w:t>。</w:t>
      </w:r>
      <w:bookmarkEnd w:id="96"/>
      <w:r w:rsidRPr="00E1494D">
        <w:rPr>
          <w:rFonts w:ascii="標楷體" w:eastAsia="標楷體" w:hAnsi="標楷體"/>
          <w:bCs/>
          <w:spacing w:val="-10"/>
          <w:szCs w:val="24"/>
        </w:rPr>
        <w:t xml:space="preserve"> </w:t>
      </w:r>
    </w:p>
    <w:p w14:paraId="27B669F8" w14:textId="444F8E5E" w:rsidR="00E1494D" w:rsidRPr="002A4102" w:rsidRDefault="00E1494D" w:rsidP="003213CB">
      <w:pPr>
        <w:spacing w:beforeLines="15" w:before="36" w:afterLines="15" w:after="36" w:line="440" w:lineRule="exact"/>
        <w:ind w:leftChars="1" w:left="332" w:hangingChars="150" w:hanging="330"/>
        <w:jc w:val="both"/>
        <w:outlineLvl w:val="1"/>
        <w:rPr>
          <w:rFonts w:ascii="標楷體" w:eastAsia="標楷體" w:hAnsi="標楷體"/>
          <w:bCs/>
          <w:spacing w:val="-10"/>
          <w:szCs w:val="24"/>
        </w:rPr>
      </w:pPr>
      <w:bookmarkStart w:id="97" w:name="_Toc185412430"/>
      <w:r w:rsidRPr="002A4102">
        <w:rPr>
          <w:rFonts w:ascii="標楷體" w:eastAsia="標楷體" w:hAnsi="標楷體" w:hint="eastAsia"/>
          <w:bCs/>
          <w:spacing w:val="-10"/>
          <w:szCs w:val="24"/>
        </w:rPr>
        <w:t>3、</w:t>
      </w:r>
      <w:r w:rsidRPr="00E1494D">
        <w:rPr>
          <w:rFonts w:ascii="標楷體" w:eastAsia="標楷體" w:hAnsi="標楷體"/>
          <w:bCs/>
          <w:spacing w:val="-10"/>
          <w:szCs w:val="24"/>
        </w:rPr>
        <w:t>設置水密門</w:t>
      </w:r>
      <w:r w:rsidRPr="002A4102">
        <w:rPr>
          <w:rFonts w:ascii="標楷體" w:eastAsia="標楷體" w:hAnsi="標楷體" w:hint="eastAsia"/>
          <w:bCs/>
          <w:spacing w:val="-10"/>
          <w:szCs w:val="24"/>
        </w:rPr>
        <w:t>：</w:t>
      </w:r>
      <w:r w:rsidRPr="00E1494D">
        <w:rPr>
          <w:rFonts w:ascii="標楷體" w:eastAsia="標楷體" w:hAnsi="標楷體"/>
          <w:bCs/>
          <w:spacing w:val="-10"/>
          <w:szCs w:val="24"/>
        </w:rPr>
        <w:t>假設無法防止浸水的情況，對設置事故時冷卻</w:t>
      </w:r>
      <w:r w:rsidR="00A95445">
        <w:rPr>
          <w:rFonts w:ascii="標楷體" w:eastAsia="標楷體" w:hAnsi="標楷體"/>
          <w:bCs/>
          <w:spacing w:val="-10"/>
          <w:szCs w:val="24"/>
        </w:rPr>
        <w:t>反應器</w:t>
      </w:r>
      <w:r w:rsidRPr="00E1494D">
        <w:rPr>
          <w:rFonts w:ascii="標楷體" w:eastAsia="標楷體" w:hAnsi="標楷體"/>
          <w:bCs/>
          <w:spacing w:val="-10"/>
          <w:szCs w:val="24"/>
        </w:rPr>
        <w:t>的裝置及緊急電源等重要區域進行水密化。</w:t>
      </w:r>
      <w:bookmarkEnd w:id="97"/>
    </w:p>
    <w:p w14:paraId="3E54F4DE" w14:textId="046C1757" w:rsidR="00E1494D" w:rsidRPr="002A4102" w:rsidRDefault="00E1494D" w:rsidP="003213CB">
      <w:pPr>
        <w:spacing w:beforeLines="15" w:before="36" w:afterLines="15" w:after="36" w:line="440" w:lineRule="exact"/>
        <w:ind w:leftChars="1" w:left="332" w:hangingChars="150" w:hanging="330"/>
        <w:jc w:val="both"/>
        <w:outlineLvl w:val="1"/>
        <w:rPr>
          <w:rFonts w:ascii="標楷體" w:eastAsia="標楷體" w:hAnsi="標楷體"/>
          <w:bCs/>
          <w:spacing w:val="-10"/>
          <w:szCs w:val="24"/>
        </w:rPr>
      </w:pPr>
      <w:bookmarkStart w:id="98" w:name="_Toc185412431"/>
      <w:r w:rsidRPr="002A4102">
        <w:rPr>
          <w:rFonts w:ascii="標楷體" w:eastAsia="標楷體" w:hAnsi="標楷體" w:hint="eastAsia"/>
          <w:bCs/>
          <w:spacing w:val="-10"/>
          <w:szCs w:val="24"/>
        </w:rPr>
        <w:t>4、</w:t>
      </w:r>
      <w:r w:rsidRPr="00E1494D">
        <w:rPr>
          <w:rFonts w:ascii="標楷體" w:eastAsia="標楷體" w:hAnsi="標楷體"/>
          <w:bCs/>
          <w:spacing w:val="-10"/>
          <w:szCs w:val="24"/>
        </w:rPr>
        <w:t>貫穿部的止水處理</w:t>
      </w:r>
      <w:r w:rsidRPr="002A4102">
        <w:rPr>
          <w:rFonts w:ascii="標楷體" w:eastAsia="標楷體" w:hAnsi="標楷體" w:hint="eastAsia"/>
          <w:bCs/>
          <w:spacing w:val="-10"/>
          <w:szCs w:val="24"/>
        </w:rPr>
        <w:t>：</w:t>
      </w:r>
      <w:r w:rsidRPr="002A4102">
        <w:rPr>
          <w:rFonts w:ascii="標楷體" w:eastAsia="標楷體" w:hAnsi="標楷體"/>
          <w:bCs/>
          <w:spacing w:val="-10"/>
          <w:szCs w:val="24"/>
        </w:rPr>
        <w:t>重要區域實施以矽膠填塞配管及電纜等貫穿牆壁及地板部分的止水處理。</w:t>
      </w:r>
      <w:bookmarkEnd w:id="98"/>
    </w:p>
    <w:p w14:paraId="0B8EF022" w14:textId="3D301CB5" w:rsidR="008D20C1" w:rsidRPr="002A4102" w:rsidRDefault="008D20C1" w:rsidP="00505E43">
      <w:pPr>
        <w:spacing w:beforeLines="15" w:before="36" w:afterLines="15" w:after="36"/>
        <w:ind w:leftChars="1" w:left="2"/>
        <w:jc w:val="both"/>
        <w:outlineLvl w:val="1"/>
        <w:rPr>
          <w:rFonts w:ascii="標楷體" w:eastAsia="標楷體" w:hAnsi="標楷體"/>
          <w:bCs/>
          <w:spacing w:val="-10"/>
          <w:sz w:val="28"/>
          <w:szCs w:val="28"/>
        </w:rPr>
      </w:pPr>
      <w:bookmarkStart w:id="99" w:name="_Toc185412432"/>
      <w:r w:rsidRPr="002A4102">
        <w:rPr>
          <w:rFonts w:ascii="標楷體" w:eastAsia="標楷體" w:hAnsi="標楷體" w:hint="eastAsia"/>
          <w:bCs/>
          <w:noProof/>
          <w:spacing w:val="-10"/>
          <w:sz w:val="28"/>
          <w:szCs w:val="28"/>
        </w:rPr>
        <w:lastRenderedPageBreak/>
        <w:drawing>
          <wp:inline distT="0" distB="0" distL="0" distR="0" wp14:anchorId="79CA29C9" wp14:editId="1363A5F8">
            <wp:extent cx="5760085" cy="5005705"/>
            <wp:effectExtent l="0" t="0" r="0" b="4445"/>
            <wp:docPr id="1542326308" name="圖片 8" descr="一張含有 文字, 陸上交通工具, 車輛, 戶外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326308" name="圖片 8" descr="一張含有 文字, 陸上交通工具, 車輛, 戶外 的圖片&#10;&#10;自動產生的描述"/>
                    <pic:cNvPicPr/>
                  </pic:nvPicPr>
                  <pic:blipFill>
                    <a:blip r:embed="rId19">
                      <a:extLst>
                        <a:ext uri="{28A0092B-C50C-407E-A947-70E740481C1C}">
                          <a14:useLocalDpi xmlns:a14="http://schemas.microsoft.com/office/drawing/2010/main" val="0"/>
                        </a:ext>
                      </a:extLst>
                    </a:blip>
                    <a:stretch>
                      <a:fillRect/>
                    </a:stretch>
                  </pic:blipFill>
                  <pic:spPr>
                    <a:xfrm>
                      <a:off x="0" y="0"/>
                      <a:ext cx="5760085" cy="5005705"/>
                    </a:xfrm>
                    <a:prstGeom prst="rect">
                      <a:avLst/>
                    </a:prstGeom>
                  </pic:spPr>
                </pic:pic>
              </a:graphicData>
            </a:graphic>
          </wp:inline>
        </w:drawing>
      </w:r>
      <w:bookmarkEnd w:id="99"/>
    </w:p>
    <w:p w14:paraId="7724F295" w14:textId="7623B5D5" w:rsidR="00E1494D" w:rsidRPr="002A4102" w:rsidRDefault="00E1494D" w:rsidP="009C4EE0">
      <w:pPr>
        <w:pStyle w:val="aff4"/>
        <w:numPr>
          <w:ilvl w:val="0"/>
          <w:numId w:val="4"/>
        </w:numPr>
        <w:spacing w:beforeLines="15" w:before="36" w:afterLines="15" w:after="36" w:line="440" w:lineRule="exact"/>
        <w:rPr>
          <w:bCs/>
          <w:sz w:val="24"/>
          <w:szCs w:val="32"/>
        </w:rPr>
      </w:pPr>
      <w:r w:rsidRPr="002A4102">
        <w:rPr>
          <w:bCs/>
          <w:sz w:val="24"/>
          <w:szCs w:val="32"/>
        </w:rPr>
        <w:t>柏崎刈羽核電</w:t>
      </w:r>
      <w:r w:rsidRPr="002A4102">
        <w:rPr>
          <w:rFonts w:hint="eastAsia"/>
          <w:bCs/>
          <w:sz w:val="24"/>
          <w:szCs w:val="32"/>
        </w:rPr>
        <w:t>廠之</w:t>
      </w:r>
      <w:r w:rsidRPr="002A4102">
        <w:rPr>
          <w:bCs/>
          <w:sz w:val="24"/>
          <w:szCs w:val="32"/>
        </w:rPr>
        <w:t>電力供應保障措</w:t>
      </w:r>
      <w:r w:rsidRPr="002A4102">
        <w:rPr>
          <w:rFonts w:hint="eastAsia"/>
          <w:bCs/>
          <w:sz w:val="24"/>
          <w:szCs w:val="32"/>
        </w:rPr>
        <w:t>施</w:t>
      </w:r>
    </w:p>
    <w:p w14:paraId="5F7B3DE1" w14:textId="77777777" w:rsidR="00E1494D" w:rsidRPr="002A4102" w:rsidRDefault="00E1494D" w:rsidP="003213CB">
      <w:pPr>
        <w:spacing w:beforeLines="15" w:before="36" w:afterLines="15" w:after="36" w:line="440" w:lineRule="exact"/>
        <w:ind w:leftChars="1" w:left="2"/>
        <w:jc w:val="both"/>
        <w:outlineLvl w:val="1"/>
        <w:rPr>
          <w:rFonts w:ascii="標楷體" w:eastAsia="標楷體" w:hAnsi="標楷體"/>
          <w:bCs/>
          <w:spacing w:val="-10"/>
          <w:sz w:val="28"/>
          <w:szCs w:val="28"/>
        </w:rPr>
      </w:pPr>
      <w:bookmarkStart w:id="100" w:name="_Toc185412433"/>
      <w:r w:rsidRPr="002A4102">
        <w:rPr>
          <w:rFonts w:ascii="標楷體" w:eastAsia="標楷體" w:hAnsi="標楷體" w:hint="eastAsia"/>
          <w:bCs/>
          <w:spacing w:val="-10"/>
          <w:sz w:val="28"/>
          <w:szCs w:val="28"/>
        </w:rPr>
        <w:t>備註：</w:t>
      </w:r>
      <w:bookmarkEnd w:id="100"/>
    </w:p>
    <w:p w14:paraId="67C605E1" w14:textId="1289B305" w:rsidR="00E1494D" w:rsidRPr="00E1494D" w:rsidRDefault="00E1494D" w:rsidP="003213CB">
      <w:pPr>
        <w:spacing w:beforeLines="15" w:before="36" w:afterLines="15" w:after="36" w:line="440" w:lineRule="exact"/>
        <w:ind w:leftChars="1" w:left="332" w:hangingChars="150" w:hanging="330"/>
        <w:jc w:val="both"/>
        <w:outlineLvl w:val="1"/>
        <w:rPr>
          <w:rFonts w:ascii="標楷體" w:eastAsia="標楷體" w:hAnsi="標楷體"/>
          <w:bCs/>
          <w:spacing w:val="-10"/>
          <w:szCs w:val="24"/>
        </w:rPr>
      </w:pPr>
      <w:bookmarkStart w:id="101" w:name="_Toc185412434"/>
      <w:r w:rsidRPr="00E1494D">
        <w:rPr>
          <w:rFonts w:ascii="標楷體" w:eastAsia="標楷體" w:hAnsi="標楷體"/>
          <w:bCs/>
          <w:spacing w:val="-10"/>
          <w:szCs w:val="24"/>
        </w:rPr>
        <w:t>1</w:t>
      </w:r>
      <w:r w:rsidRPr="002A4102">
        <w:rPr>
          <w:rFonts w:ascii="標楷體" w:eastAsia="標楷體" w:hAnsi="標楷體" w:hint="eastAsia"/>
          <w:bCs/>
          <w:spacing w:val="-10"/>
          <w:szCs w:val="24"/>
        </w:rPr>
        <w:t>、</w:t>
      </w:r>
      <w:r w:rsidRPr="00E1494D">
        <w:rPr>
          <w:rFonts w:ascii="標楷體" w:eastAsia="標楷體" w:hAnsi="標楷體"/>
          <w:bCs/>
          <w:spacing w:val="-10"/>
          <w:szCs w:val="24"/>
        </w:rPr>
        <w:t>來自外部電源的供應</w:t>
      </w:r>
      <w:r w:rsidRPr="002A4102">
        <w:rPr>
          <w:rFonts w:ascii="標楷體" w:eastAsia="標楷體" w:hAnsi="標楷體" w:hint="eastAsia"/>
          <w:bCs/>
          <w:spacing w:val="-10"/>
          <w:szCs w:val="24"/>
        </w:rPr>
        <w:t>：</w:t>
      </w:r>
      <w:r w:rsidRPr="00E1494D">
        <w:rPr>
          <w:rFonts w:ascii="標楷體" w:eastAsia="標楷體" w:hAnsi="標楷體"/>
          <w:bCs/>
          <w:spacing w:val="-10"/>
          <w:szCs w:val="24"/>
        </w:rPr>
        <w:t>為了能從發電廠外部接受必要的電力，準備5條外部電源</w:t>
      </w:r>
      <w:r w:rsidR="00767B66">
        <w:rPr>
          <w:rFonts w:ascii="標楷體" w:eastAsia="標楷體" w:hAnsi="標楷體"/>
          <w:bCs/>
          <w:spacing w:val="-10"/>
          <w:szCs w:val="24"/>
        </w:rPr>
        <w:t>(</w:t>
      </w:r>
      <w:r w:rsidRPr="00E1494D">
        <w:rPr>
          <w:rFonts w:ascii="標楷體" w:eastAsia="標楷體" w:hAnsi="標楷體"/>
          <w:bCs/>
          <w:spacing w:val="-10"/>
          <w:szCs w:val="24"/>
        </w:rPr>
        <w:t>輸電線</w:t>
      </w:r>
      <w:r w:rsidR="00767B66">
        <w:rPr>
          <w:rFonts w:ascii="標楷體" w:eastAsia="標楷體" w:hAnsi="標楷體"/>
          <w:bCs/>
          <w:spacing w:val="-10"/>
          <w:szCs w:val="24"/>
        </w:rPr>
        <w:t>)</w:t>
      </w:r>
      <w:r w:rsidRPr="00E1494D">
        <w:rPr>
          <w:rFonts w:ascii="標楷體" w:eastAsia="標楷體" w:hAnsi="標楷體"/>
          <w:bCs/>
          <w:spacing w:val="-10"/>
          <w:szCs w:val="24"/>
        </w:rPr>
        <w:t>。</w:t>
      </w:r>
      <w:bookmarkEnd w:id="101"/>
    </w:p>
    <w:p w14:paraId="751D3823" w14:textId="6363A085" w:rsidR="00E1494D" w:rsidRPr="00E1494D" w:rsidRDefault="00E1494D" w:rsidP="003213CB">
      <w:pPr>
        <w:spacing w:beforeLines="15" w:before="36" w:afterLines="15" w:after="36" w:line="440" w:lineRule="exact"/>
        <w:ind w:leftChars="1" w:left="332" w:hangingChars="150" w:hanging="330"/>
        <w:jc w:val="both"/>
        <w:outlineLvl w:val="1"/>
        <w:rPr>
          <w:rFonts w:ascii="標楷體" w:eastAsia="標楷體" w:hAnsi="標楷體"/>
          <w:bCs/>
          <w:spacing w:val="-10"/>
          <w:szCs w:val="24"/>
        </w:rPr>
      </w:pPr>
      <w:bookmarkStart w:id="102" w:name="_Toc185412435"/>
      <w:r w:rsidRPr="00E1494D">
        <w:rPr>
          <w:rFonts w:ascii="標楷體" w:eastAsia="標楷體" w:hAnsi="標楷體"/>
          <w:bCs/>
          <w:spacing w:val="-10"/>
          <w:szCs w:val="24"/>
        </w:rPr>
        <w:t>2</w:t>
      </w:r>
      <w:r w:rsidRPr="002A4102">
        <w:rPr>
          <w:rFonts w:ascii="標楷體" w:eastAsia="標楷體" w:hAnsi="標楷體" w:hint="eastAsia"/>
          <w:bCs/>
          <w:spacing w:val="-10"/>
          <w:szCs w:val="24"/>
        </w:rPr>
        <w:t>、</w:t>
      </w:r>
      <w:r w:rsidRPr="00E1494D">
        <w:rPr>
          <w:rFonts w:ascii="標楷體" w:eastAsia="標楷體" w:hAnsi="標楷體"/>
          <w:bCs/>
          <w:spacing w:val="-10"/>
          <w:szCs w:val="24"/>
        </w:rPr>
        <w:t>設置緊急柴油發電機</w:t>
      </w:r>
      <w:r w:rsidRPr="002A4102">
        <w:rPr>
          <w:rFonts w:ascii="標楷體" w:eastAsia="標楷體" w:hAnsi="標楷體" w:hint="eastAsia"/>
          <w:bCs/>
          <w:spacing w:val="-10"/>
          <w:szCs w:val="24"/>
        </w:rPr>
        <w:t>：</w:t>
      </w:r>
      <w:r w:rsidRPr="00E1494D">
        <w:rPr>
          <w:rFonts w:ascii="標楷體" w:eastAsia="標楷體" w:hAnsi="標楷體"/>
          <w:bCs/>
          <w:spacing w:val="-10"/>
          <w:szCs w:val="24"/>
        </w:rPr>
        <w:t>外部電源喪失時啟動，供應安全停止</w:t>
      </w:r>
      <w:r w:rsidRPr="002A4102">
        <w:rPr>
          <w:rFonts w:ascii="標楷體" w:eastAsia="標楷體" w:hAnsi="標楷體" w:hint="eastAsia"/>
          <w:bCs/>
          <w:spacing w:val="-10"/>
          <w:szCs w:val="24"/>
        </w:rPr>
        <w:t>反應器</w:t>
      </w:r>
      <w:r w:rsidRPr="00E1494D">
        <w:rPr>
          <w:rFonts w:ascii="標楷體" w:eastAsia="標楷體" w:hAnsi="標楷體"/>
          <w:bCs/>
          <w:spacing w:val="-10"/>
          <w:szCs w:val="24"/>
        </w:rPr>
        <w:t>所需的電力</w:t>
      </w:r>
      <w:r w:rsidRPr="002A4102">
        <w:rPr>
          <w:rFonts w:ascii="標楷體" w:eastAsia="標楷體" w:hAnsi="標楷體" w:hint="eastAsia"/>
          <w:bCs/>
          <w:spacing w:val="-10"/>
          <w:szCs w:val="24"/>
        </w:rPr>
        <w:t>，亦</w:t>
      </w:r>
      <w:r w:rsidRPr="00E1494D">
        <w:rPr>
          <w:rFonts w:ascii="標楷體" w:eastAsia="標楷體" w:hAnsi="標楷體"/>
          <w:bCs/>
          <w:spacing w:val="-10"/>
          <w:szCs w:val="24"/>
        </w:rPr>
        <w:t>能供應到鄰近的機組。</w:t>
      </w:r>
      <w:bookmarkEnd w:id="102"/>
    </w:p>
    <w:p w14:paraId="1C903284" w14:textId="2733655E" w:rsidR="00E1494D" w:rsidRPr="00E1494D" w:rsidRDefault="00E1494D" w:rsidP="003213CB">
      <w:pPr>
        <w:spacing w:beforeLines="15" w:before="36" w:afterLines="15" w:after="36" w:line="440" w:lineRule="exact"/>
        <w:ind w:leftChars="1" w:left="332" w:hangingChars="150" w:hanging="330"/>
        <w:jc w:val="both"/>
        <w:outlineLvl w:val="1"/>
        <w:rPr>
          <w:rFonts w:ascii="標楷體" w:eastAsia="標楷體" w:hAnsi="標楷體"/>
          <w:bCs/>
          <w:spacing w:val="-10"/>
          <w:szCs w:val="24"/>
        </w:rPr>
      </w:pPr>
      <w:bookmarkStart w:id="103" w:name="_Toc185412436"/>
      <w:r w:rsidRPr="00E1494D">
        <w:rPr>
          <w:rFonts w:ascii="標楷體" w:eastAsia="標楷體" w:hAnsi="標楷體"/>
          <w:bCs/>
          <w:spacing w:val="-10"/>
          <w:szCs w:val="24"/>
        </w:rPr>
        <w:t>3</w:t>
      </w:r>
      <w:r w:rsidRPr="002A4102">
        <w:rPr>
          <w:rFonts w:ascii="標楷體" w:eastAsia="標楷體" w:hAnsi="標楷體" w:hint="eastAsia"/>
          <w:bCs/>
          <w:spacing w:val="-10"/>
          <w:szCs w:val="24"/>
        </w:rPr>
        <w:t>、</w:t>
      </w:r>
      <w:r w:rsidRPr="00E1494D">
        <w:rPr>
          <w:rFonts w:ascii="標楷體" w:eastAsia="標楷體" w:hAnsi="標楷體"/>
          <w:bCs/>
          <w:spacing w:val="-10"/>
          <w:szCs w:val="24"/>
        </w:rPr>
        <w:t>配備空冷式燃氣渦輪發電機車(GTG)</w:t>
      </w:r>
      <w:r w:rsidRPr="002A4102">
        <w:rPr>
          <w:rFonts w:ascii="標楷體" w:eastAsia="標楷體" w:hAnsi="標楷體" w:hint="eastAsia"/>
          <w:bCs/>
          <w:spacing w:val="-10"/>
          <w:szCs w:val="24"/>
        </w:rPr>
        <w:t>：</w:t>
      </w:r>
      <w:r w:rsidRPr="00E1494D">
        <w:rPr>
          <w:rFonts w:ascii="標楷體" w:eastAsia="標楷體" w:hAnsi="標楷體"/>
          <w:bCs/>
          <w:spacing w:val="-10"/>
          <w:szCs w:val="24"/>
        </w:rPr>
        <w:t>搭載以輕油燃燒氣體來旋轉渦輪機發電的發電機</w:t>
      </w:r>
      <w:r w:rsidRPr="002A4102">
        <w:rPr>
          <w:rFonts w:ascii="標楷體" w:eastAsia="標楷體" w:hAnsi="標楷體" w:hint="eastAsia"/>
          <w:bCs/>
          <w:spacing w:val="-10"/>
          <w:szCs w:val="24"/>
        </w:rPr>
        <w:t>，並</w:t>
      </w:r>
      <w:r w:rsidRPr="00E1494D">
        <w:rPr>
          <w:rFonts w:ascii="標楷體" w:eastAsia="標楷體" w:hAnsi="標楷體"/>
          <w:bCs/>
          <w:spacing w:val="-10"/>
          <w:szCs w:val="24"/>
        </w:rPr>
        <w:t>配置在廠區內不受海嘯影響的地方。</w:t>
      </w:r>
      <w:bookmarkEnd w:id="103"/>
    </w:p>
    <w:p w14:paraId="35EA4CDF" w14:textId="4FB24DF1" w:rsidR="00E1494D" w:rsidRPr="002A4102" w:rsidRDefault="00E1494D" w:rsidP="003213CB">
      <w:pPr>
        <w:spacing w:beforeLines="15" w:before="36" w:afterLines="15" w:after="36" w:line="440" w:lineRule="exact"/>
        <w:ind w:leftChars="1" w:left="332" w:hangingChars="150" w:hanging="330"/>
        <w:jc w:val="both"/>
        <w:outlineLvl w:val="1"/>
        <w:rPr>
          <w:rFonts w:ascii="標楷體" w:eastAsia="標楷體" w:hAnsi="標楷體"/>
          <w:bCs/>
          <w:spacing w:val="-10"/>
          <w:sz w:val="28"/>
          <w:szCs w:val="28"/>
        </w:rPr>
      </w:pPr>
      <w:bookmarkStart w:id="104" w:name="_Toc185412437"/>
      <w:r w:rsidRPr="00E1494D">
        <w:rPr>
          <w:rFonts w:ascii="標楷體" w:eastAsia="標楷體" w:hAnsi="標楷體"/>
          <w:bCs/>
          <w:spacing w:val="-10"/>
          <w:szCs w:val="24"/>
        </w:rPr>
        <w:t>4</w:t>
      </w:r>
      <w:r w:rsidRPr="002A4102">
        <w:rPr>
          <w:rFonts w:ascii="標楷體" w:eastAsia="標楷體" w:hAnsi="標楷體" w:hint="eastAsia"/>
          <w:bCs/>
          <w:spacing w:val="-10"/>
          <w:szCs w:val="24"/>
        </w:rPr>
        <w:t>、</w:t>
      </w:r>
      <w:r w:rsidRPr="00E1494D">
        <w:rPr>
          <w:rFonts w:ascii="標楷體" w:eastAsia="標楷體" w:hAnsi="標楷體"/>
          <w:bCs/>
          <w:spacing w:val="-10"/>
          <w:szCs w:val="24"/>
        </w:rPr>
        <w:t>配備電源車</w:t>
      </w:r>
      <w:r w:rsidRPr="002A4102">
        <w:rPr>
          <w:rFonts w:ascii="標楷體" w:eastAsia="標楷體" w:hAnsi="標楷體" w:hint="eastAsia"/>
          <w:bCs/>
          <w:spacing w:val="-10"/>
          <w:szCs w:val="24"/>
        </w:rPr>
        <w:t>：</w:t>
      </w:r>
      <w:r w:rsidRPr="00E1494D">
        <w:rPr>
          <w:rFonts w:ascii="標楷體" w:eastAsia="標楷體" w:hAnsi="標楷體"/>
          <w:bCs/>
          <w:spacing w:val="-10"/>
          <w:szCs w:val="24"/>
        </w:rPr>
        <w:t>當</w:t>
      </w:r>
      <w:r w:rsidRPr="002A4102">
        <w:rPr>
          <w:rFonts w:ascii="標楷體" w:eastAsia="標楷體" w:hAnsi="標楷體" w:hint="eastAsia"/>
          <w:bCs/>
          <w:spacing w:val="-10"/>
          <w:szCs w:val="24"/>
        </w:rPr>
        <w:t>核電</w:t>
      </w:r>
      <w:r w:rsidRPr="00E1494D">
        <w:rPr>
          <w:rFonts w:ascii="標楷體" w:eastAsia="標楷體" w:hAnsi="標楷體"/>
          <w:bCs/>
          <w:spacing w:val="-10"/>
          <w:szCs w:val="24"/>
        </w:rPr>
        <w:t>廠的交流電源喪失時，向重要設備供應電源</w:t>
      </w:r>
      <w:r w:rsidR="002A4102" w:rsidRPr="002A4102">
        <w:rPr>
          <w:rFonts w:ascii="標楷體" w:eastAsia="標楷體" w:hAnsi="標楷體" w:hint="eastAsia"/>
          <w:bCs/>
          <w:spacing w:val="-10"/>
          <w:szCs w:val="24"/>
        </w:rPr>
        <w:t>，其</w:t>
      </w:r>
      <w:r w:rsidRPr="00E1494D">
        <w:rPr>
          <w:rFonts w:ascii="標楷體" w:eastAsia="標楷體" w:hAnsi="標楷體"/>
          <w:bCs/>
          <w:spacing w:val="-10"/>
          <w:szCs w:val="24"/>
        </w:rPr>
        <w:t>機動性強，必要時可移動到必要場所供電。</w:t>
      </w:r>
      <w:bookmarkEnd w:id="104"/>
    </w:p>
    <w:p w14:paraId="47A2CE24" w14:textId="4BCE2BEF" w:rsidR="008D20C1" w:rsidRPr="002A4102" w:rsidRDefault="008D20C1" w:rsidP="00505E43">
      <w:pPr>
        <w:spacing w:beforeLines="15" w:before="36" w:afterLines="15" w:after="36"/>
        <w:ind w:leftChars="1" w:left="2"/>
        <w:jc w:val="both"/>
        <w:outlineLvl w:val="1"/>
        <w:rPr>
          <w:rFonts w:ascii="標楷體" w:eastAsia="標楷體" w:hAnsi="標楷體"/>
          <w:bCs/>
          <w:spacing w:val="-10"/>
          <w:sz w:val="28"/>
          <w:szCs w:val="28"/>
        </w:rPr>
      </w:pPr>
      <w:bookmarkStart w:id="105" w:name="_Toc185412438"/>
      <w:r w:rsidRPr="002A4102">
        <w:rPr>
          <w:rFonts w:ascii="標楷體" w:eastAsia="標楷體" w:hAnsi="標楷體" w:hint="eastAsia"/>
          <w:bCs/>
          <w:noProof/>
          <w:spacing w:val="-10"/>
          <w:sz w:val="28"/>
          <w:szCs w:val="28"/>
        </w:rPr>
        <w:lastRenderedPageBreak/>
        <w:drawing>
          <wp:inline distT="0" distB="0" distL="0" distR="0" wp14:anchorId="3F785C65" wp14:editId="7EB7976B">
            <wp:extent cx="5760085" cy="5006975"/>
            <wp:effectExtent l="0" t="0" r="0" b="3175"/>
            <wp:docPr id="2025951725" name="圖片 9" descr="一張含有 文字, 陸上交通工具, 車輛, 輪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951725" name="圖片 9" descr="一張含有 文字, 陸上交通工具, 車輛, 輪 的圖片&#10;&#10;自動產生的描述"/>
                    <pic:cNvPicPr/>
                  </pic:nvPicPr>
                  <pic:blipFill>
                    <a:blip r:embed="rId20">
                      <a:extLst>
                        <a:ext uri="{28A0092B-C50C-407E-A947-70E740481C1C}">
                          <a14:useLocalDpi xmlns:a14="http://schemas.microsoft.com/office/drawing/2010/main" val="0"/>
                        </a:ext>
                      </a:extLst>
                    </a:blip>
                    <a:stretch>
                      <a:fillRect/>
                    </a:stretch>
                  </pic:blipFill>
                  <pic:spPr>
                    <a:xfrm>
                      <a:off x="0" y="0"/>
                      <a:ext cx="5760085" cy="5006975"/>
                    </a:xfrm>
                    <a:prstGeom prst="rect">
                      <a:avLst/>
                    </a:prstGeom>
                  </pic:spPr>
                </pic:pic>
              </a:graphicData>
            </a:graphic>
          </wp:inline>
        </w:drawing>
      </w:r>
      <w:bookmarkEnd w:id="105"/>
    </w:p>
    <w:p w14:paraId="750A5051" w14:textId="7065C84A" w:rsidR="002A4102" w:rsidRPr="002A4102" w:rsidRDefault="002A4102" w:rsidP="00E96C66">
      <w:pPr>
        <w:pStyle w:val="a1"/>
      </w:pPr>
      <w:bookmarkStart w:id="106" w:name="_Toc185426110"/>
      <w:bookmarkStart w:id="107" w:name="_Toc185605715"/>
      <w:bookmarkStart w:id="108" w:name="_Toc186029834"/>
      <w:r w:rsidRPr="002A4102">
        <w:t>柏崎刈羽核電</w:t>
      </w:r>
      <w:r w:rsidRPr="002A4102">
        <w:rPr>
          <w:rFonts w:hint="eastAsia"/>
        </w:rPr>
        <w:t>廠之</w:t>
      </w:r>
      <w:r w:rsidRPr="002A4102">
        <w:t>爐心冷卻系統</w:t>
      </w:r>
      <w:bookmarkEnd w:id="106"/>
      <w:bookmarkEnd w:id="107"/>
      <w:bookmarkEnd w:id="108"/>
    </w:p>
    <w:p w14:paraId="27B82192" w14:textId="77777777" w:rsidR="002A4102" w:rsidRPr="002A4102" w:rsidRDefault="002A4102" w:rsidP="003213CB">
      <w:pPr>
        <w:spacing w:beforeLines="15" w:before="36" w:afterLines="15" w:after="36" w:line="440" w:lineRule="exact"/>
        <w:ind w:leftChars="1" w:left="2"/>
        <w:jc w:val="both"/>
        <w:outlineLvl w:val="1"/>
        <w:rPr>
          <w:rFonts w:ascii="標楷體" w:eastAsia="標楷體" w:hAnsi="標楷體"/>
          <w:bCs/>
          <w:spacing w:val="-10"/>
          <w:sz w:val="28"/>
          <w:szCs w:val="28"/>
        </w:rPr>
      </w:pPr>
      <w:bookmarkStart w:id="109" w:name="_Toc185412439"/>
      <w:r w:rsidRPr="002A4102">
        <w:rPr>
          <w:rFonts w:ascii="標楷體" w:eastAsia="標楷體" w:hAnsi="標楷體" w:hint="eastAsia"/>
          <w:bCs/>
          <w:spacing w:val="-10"/>
          <w:sz w:val="28"/>
          <w:szCs w:val="28"/>
        </w:rPr>
        <w:t>備註：</w:t>
      </w:r>
      <w:bookmarkEnd w:id="109"/>
    </w:p>
    <w:p w14:paraId="24F74C3F" w14:textId="4326D391" w:rsidR="002A4102" w:rsidRPr="002A4102" w:rsidRDefault="002A4102" w:rsidP="003213CB">
      <w:pPr>
        <w:spacing w:beforeLines="15" w:before="36" w:afterLines="15" w:after="36" w:line="440" w:lineRule="exact"/>
        <w:ind w:leftChars="1" w:left="332" w:hangingChars="150" w:hanging="330"/>
        <w:jc w:val="both"/>
        <w:outlineLvl w:val="1"/>
        <w:rPr>
          <w:rFonts w:ascii="標楷體" w:eastAsia="標楷體" w:hAnsi="標楷體"/>
          <w:bCs/>
          <w:spacing w:val="-10"/>
          <w:szCs w:val="24"/>
        </w:rPr>
      </w:pPr>
      <w:bookmarkStart w:id="110" w:name="_Toc185412440"/>
      <w:r w:rsidRPr="002A4102">
        <w:rPr>
          <w:rFonts w:ascii="標楷體" w:eastAsia="標楷體" w:hAnsi="標楷體"/>
          <w:bCs/>
          <w:spacing w:val="-10"/>
          <w:szCs w:val="24"/>
        </w:rPr>
        <w:t>1</w:t>
      </w:r>
      <w:r w:rsidRPr="002A4102">
        <w:rPr>
          <w:rFonts w:ascii="標楷體" w:eastAsia="標楷體" w:hAnsi="標楷體" w:hint="eastAsia"/>
          <w:bCs/>
          <w:spacing w:val="-10"/>
          <w:szCs w:val="24"/>
        </w:rPr>
        <w:t>、</w:t>
      </w:r>
      <w:r w:rsidRPr="002A4102">
        <w:rPr>
          <w:rFonts w:ascii="標楷體" w:eastAsia="標楷體" w:hAnsi="標楷體"/>
          <w:bCs/>
          <w:spacing w:val="-10"/>
          <w:szCs w:val="24"/>
        </w:rPr>
        <w:t>設置緊急爐心冷卻系統(ECCS)</w:t>
      </w:r>
      <w:r w:rsidRPr="002A4102">
        <w:rPr>
          <w:rFonts w:ascii="標楷體" w:eastAsia="標楷體" w:hAnsi="標楷體" w:hint="eastAsia"/>
          <w:bCs/>
          <w:spacing w:val="-10"/>
          <w:szCs w:val="24"/>
        </w:rPr>
        <w:t>：</w:t>
      </w:r>
      <w:r w:rsidRPr="002A4102">
        <w:rPr>
          <w:rFonts w:ascii="標楷體" w:eastAsia="標楷體" w:hAnsi="標楷體"/>
          <w:bCs/>
          <w:spacing w:val="-10"/>
          <w:szCs w:val="24"/>
        </w:rPr>
        <w:t>使用電力驅動的幫浦，或是以</w:t>
      </w:r>
      <w:r w:rsidR="00A95445">
        <w:rPr>
          <w:rFonts w:ascii="標楷體" w:eastAsia="標楷體" w:hAnsi="標楷體"/>
          <w:bCs/>
          <w:spacing w:val="-10"/>
          <w:szCs w:val="24"/>
        </w:rPr>
        <w:t>反應器</w:t>
      </w:r>
      <w:r w:rsidRPr="002A4102">
        <w:rPr>
          <w:rFonts w:ascii="標楷體" w:eastAsia="標楷體" w:hAnsi="標楷體"/>
          <w:bCs/>
          <w:spacing w:val="-10"/>
          <w:szCs w:val="24"/>
        </w:rPr>
        <w:t>的蒸汽作為驅動力的</w:t>
      </w:r>
      <w:r w:rsidRPr="002A4102">
        <w:rPr>
          <w:rFonts w:ascii="標楷體" w:eastAsia="標楷體" w:hAnsi="標楷體" w:hint="eastAsia"/>
          <w:bCs/>
          <w:spacing w:val="-10"/>
          <w:szCs w:val="24"/>
        </w:rPr>
        <w:t>泵</w:t>
      </w:r>
      <w:r w:rsidRPr="002A4102">
        <w:rPr>
          <w:rFonts w:ascii="標楷體" w:eastAsia="標楷體" w:hAnsi="標楷體"/>
          <w:bCs/>
          <w:spacing w:val="-10"/>
          <w:szCs w:val="24"/>
        </w:rPr>
        <w:t>浦，將水注入爐心。</w:t>
      </w:r>
      <w:bookmarkEnd w:id="110"/>
    </w:p>
    <w:p w14:paraId="24074F12" w14:textId="67B49697" w:rsidR="002A4102" w:rsidRPr="002A4102" w:rsidRDefault="002A4102" w:rsidP="003213CB">
      <w:pPr>
        <w:spacing w:beforeLines="15" w:before="36" w:afterLines="15" w:after="36" w:line="440" w:lineRule="exact"/>
        <w:ind w:leftChars="1" w:left="332" w:hangingChars="150" w:hanging="330"/>
        <w:jc w:val="both"/>
        <w:outlineLvl w:val="1"/>
        <w:rPr>
          <w:rFonts w:ascii="標楷體" w:eastAsia="標楷體" w:hAnsi="標楷體"/>
          <w:bCs/>
          <w:spacing w:val="-10"/>
          <w:szCs w:val="24"/>
        </w:rPr>
      </w:pPr>
      <w:bookmarkStart w:id="111" w:name="_Toc185412441"/>
      <w:r w:rsidRPr="002A4102">
        <w:rPr>
          <w:rFonts w:ascii="標楷體" w:eastAsia="標楷體" w:hAnsi="標楷體"/>
          <w:bCs/>
          <w:spacing w:val="-10"/>
          <w:szCs w:val="24"/>
        </w:rPr>
        <w:t>2.</w:t>
      </w:r>
      <w:r w:rsidRPr="002A4102">
        <w:rPr>
          <w:rFonts w:ascii="標楷體" w:eastAsia="標楷體" w:hAnsi="標楷體" w:hint="eastAsia"/>
          <w:bCs/>
          <w:spacing w:val="-10"/>
          <w:szCs w:val="24"/>
        </w:rPr>
        <w:t>、</w:t>
      </w:r>
      <w:r w:rsidRPr="002A4102">
        <w:rPr>
          <w:rFonts w:ascii="標楷體" w:eastAsia="標楷體" w:hAnsi="標楷體"/>
          <w:bCs/>
          <w:spacing w:val="-10"/>
          <w:szCs w:val="24"/>
        </w:rPr>
        <w:t>設置高壓替代注水系統(HPAC)</w:t>
      </w:r>
      <w:r w:rsidRPr="002A4102">
        <w:rPr>
          <w:rFonts w:ascii="標楷體" w:eastAsia="標楷體" w:hAnsi="標楷體" w:hint="eastAsia"/>
          <w:bCs/>
          <w:spacing w:val="-10"/>
          <w:szCs w:val="24"/>
        </w:rPr>
        <w:t>：</w:t>
      </w:r>
      <w:r w:rsidRPr="002A4102">
        <w:rPr>
          <w:rFonts w:ascii="標楷體" w:eastAsia="標楷體" w:hAnsi="標楷體"/>
          <w:bCs/>
          <w:spacing w:val="-10"/>
          <w:szCs w:val="24"/>
        </w:rPr>
        <w:t>當電力驅動ECCS無法啟動或持續運轉，或是所有電源都喪失時，利用</w:t>
      </w:r>
      <w:r w:rsidR="00A95445">
        <w:rPr>
          <w:rFonts w:ascii="標楷體" w:eastAsia="標楷體" w:hAnsi="標楷體"/>
          <w:bCs/>
          <w:spacing w:val="-10"/>
          <w:szCs w:val="24"/>
        </w:rPr>
        <w:t>反應器</w:t>
      </w:r>
      <w:r w:rsidRPr="002A4102">
        <w:rPr>
          <w:rFonts w:ascii="標楷體" w:eastAsia="標楷體" w:hAnsi="標楷體"/>
          <w:bCs/>
          <w:spacing w:val="-10"/>
          <w:szCs w:val="24"/>
        </w:rPr>
        <w:t>的蒸汽驅動渦輪</w:t>
      </w:r>
      <w:r w:rsidRPr="002A4102">
        <w:rPr>
          <w:rFonts w:ascii="標楷體" w:eastAsia="標楷體" w:hAnsi="標楷體" w:hint="eastAsia"/>
          <w:bCs/>
          <w:spacing w:val="-10"/>
          <w:szCs w:val="24"/>
        </w:rPr>
        <w:t>泵</w:t>
      </w:r>
      <w:r w:rsidRPr="002A4102">
        <w:rPr>
          <w:rFonts w:ascii="標楷體" w:eastAsia="標楷體" w:hAnsi="標楷體"/>
          <w:bCs/>
          <w:spacing w:val="-10"/>
          <w:szCs w:val="24"/>
        </w:rPr>
        <w:t>浦，將水注入爐心。</w:t>
      </w:r>
      <w:bookmarkEnd w:id="111"/>
    </w:p>
    <w:p w14:paraId="1B0438C2" w14:textId="053EC451" w:rsidR="002A4102" w:rsidRPr="002A4102" w:rsidRDefault="002A4102" w:rsidP="003213CB">
      <w:pPr>
        <w:spacing w:beforeLines="15" w:before="36" w:afterLines="15" w:after="36" w:line="440" w:lineRule="exact"/>
        <w:ind w:leftChars="1" w:left="332" w:hangingChars="150" w:hanging="330"/>
        <w:jc w:val="both"/>
        <w:outlineLvl w:val="1"/>
        <w:rPr>
          <w:rFonts w:ascii="標楷體" w:eastAsia="標楷體" w:hAnsi="標楷體"/>
          <w:bCs/>
          <w:spacing w:val="-10"/>
          <w:szCs w:val="24"/>
        </w:rPr>
      </w:pPr>
      <w:bookmarkStart w:id="112" w:name="_Toc185412442"/>
      <w:r w:rsidRPr="002A4102">
        <w:rPr>
          <w:rFonts w:ascii="標楷體" w:eastAsia="標楷體" w:hAnsi="標楷體"/>
          <w:bCs/>
          <w:spacing w:val="-10"/>
          <w:szCs w:val="24"/>
        </w:rPr>
        <w:t>3</w:t>
      </w:r>
      <w:r w:rsidRPr="002A4102">
        <w:rPr>
          <w:rFonts w:ascii="標楷體" w:eastAsia="標楷體" w:hAnsi="標楷體" w:hint="eastAsia"/>
          <w:bCs/>
          <w:spacing w:val="-10"/>
          <w:szCs w:val="24"/>
        </w:rPr>
        <w:t>、</w:t>
      </w:r>
      <w:r w:rsidRPr="002A4102">
        <w:rPr>
          <w:rFonts w:ascii="標楷體" w:eastAsia="標楷體" w:hAnsi="標楷體"/>
          <w:bCs/>
          <w:spacing w:val="-10"/>
          <w:szCs w:val="24"/>
        </w:rPr>
        <w:t>配備消防車</w:t>
      </w:r>
      <w:r w:rsidRPr="002A4102">
        <w:rPr>
          <w:rFonts w:ascii="標楷體" w:eastAsia="標楷體" w:hAnsi="標楷體" w:hint="eastAsia"/>
          <w:bCs/>
          <w:spacing w:val="-10"/>
          <w:szCs w:val="24"/>
        </w:rPr>
        <w:t>：</w:t>
      </w:r>
      <w:r w:rsidRPr="002A4102">
        <w:rPr>
          <w:rFonts w:ascii="標楷體" w:eastAsia="標楷體" w:hAnsi="標楷體"/>
          <w:bCs/>
          <w:spacing w:val="-10"/>
          <w:szCs w:val="24"/>
        </w:rPr>
        <w:t>與</w:t>
      </w:r>
      <w:r w:rsidR="00A95445">
        <w:rPr>
          <w:rFonts w:ascii="標楷體" w:eastAsia="標楷體" w:hAnsi="標楷體"/>
          <w:bCs/>
          <w:spacing w:val="-10"/>
          <w:szCs w:val="24"/>
        </w:rPr>
        <w:t>反應器</w:t>
      </w:r>
      <w:r w:rsidRPr="002A4102">
        <w:rPr>
          <w:rFonts w:ascii="標楷體" w:eastAsia="標楷體" w:hAnsi="標楷體"/>
          <w:bCs/>
          <w:spacing w:val="-10"/>
          <w:szCs w:val="24"/>
        </w:rPr>
        <w:t>廠房連接，向</w:t>
      </w:r>
      <w:r w:rsidR="00A95445">
        <w:rPr>
          <w:rFonts w:ascii="標楷體" w:eastAsia="標楷體" w:hAnsi="標楷體"/>
          <w:bCs/>
          <w:spacing w:val="-10"/>
          <w:szCs w:val="24"/>
        </w:rPr>
        <w:t>反應器</w:t>
      </w:r>
      <w:r w:rsidRPr="002A4102">
        <w:rPr>
          <w:rFonts w:ascii="標楷體" w:eastAsia="標楷體" w:hAnsi="標楷體"/>
          <w:bCs/>
          <w:spacing w:val="-10"/>
          <w:szCs w:val="24"/>
        </w:rPr>
        <w:t>或乏燃料池注水。為避免同時無法使用，分散配置。</w:t>
      </w:r>
      <w:bookmarkEnd w:id="112"/>
    </w:p>
    <w:p w14:paraId="6C9A3924" w14:textId="43092996" w:rsidR="002A4102" w:rsidRPr="002A4102" w:rsidRDefault="002A4102" w:rsidP="00FA6637">
      <w:pPr>
        <w:spacing w:beforeLines="15" w:before="36" w:afterLines="15" w:after="36" w:line="440" w:lineRule="exact"/>
        <w:ind w:leftChars="1" w:left="332" w:hangingChars="150" w:hanging="330"/>
        <w:jc w:val="both"/>
        <w:outlineLvl w:val="1"/>
        <w:rPr>
          <w:rFonts w:ascii="標楷體" w:eastAsia="標楷體" w:hAnsi="標楷體"/>
          <w:bCs/>
          <w:spacing w:val="-10"/>
          <w:sz w:val="28"/>
          <w:szCs w:val="28"/>
        </w:rPr>
      </w:pPr>
      <w:bookmarkStart w:id="113" w:name="_Toc185412443"/>
      <w:r w:rsidRPr="002A4102">
        <w:rPr>
          <w:rFonts w:ascii="標楷體" w:eastAsia="標楷體" w:hAnsi="標楷體"/>
          <w:bCs/>
          <w:spacing w:val="-10"/>
          <w:szCs w:val="24"/>
        </w:rPr>
        <w:t>4</w:t>
      </w:r>
      <w:r w:rsidRPr="002A4102">
        <w:rPr>
          <w:rFonts w:ascii="標楷體" w:eastAsia="標楷體" w:hAnsi="標楷體" w:hint="eastAsia"/>
          <w:bCs/>
          <w:spacing w:val="-10"/>
          <w:szCs w:val="24"/>
        </w:rPr>
        <w:t>、</w:t>
      </w:r>
      <w:r w:rsidRPr="002A4102">
        <w:rPr>
          <w:rFonts w:ascii="標楷體" w:eastAsia="標楷體" w:hAnsi="標楷體"/>
          <w:bCs/>
          <w:spacing w:val="-10"/>
          <w:szCs w:val="24"/>
        </w:rPr>
        <w:t>配備替代熱交換器車</w:t>
      </w:r>
      <w:r w:rsidRPr="002A4102">
        <w:rPr>
          <w:rFonts w:ascii="標楷體" w:eastAsia="標楷體" w:hAnsi="標楷體" w:hint="eastAsia"/>
          <w:bCs/>
          <w:spacing w:val="-10"/>
          <w:szCs w:val="24"/>
        </w:rPr>
        <w:t>：</w:t>
      </w:r>
      <w:r w:rsidRPr="002A4102">
        <w:rPr>
          <w:rFonts w:ascii="標楷體" w:eastAsia="標楷體" w:hAnsi="標楷體"/>
          <w:bCs/>
          <w:spacing w:val="-10"/>
          <w:szCs w:val="24"/>
        </w:rPr>
        <w:t>當既有的除熱設備無法使用時，用於冷卻反應</w:t>
      </w:r>
      <w:r w:rsidRPr="002A4102">
        <w:rPr>
          <w:rFonts w:ascii="標楷體" w:eastAsia="標楷體" w:hAnsi="標楷體" w:hint="eastAsia"/>
          <w:bCs/>
          <w:spacing w:val="-10"/>
          <w:szCs w:val="24"/>
        </w:rPr>
        <w:t>器</w:t>
      </w:r>
      <w:r w:rsidRPr="002A4102">
        <w:rPr>
          <w:rFonts w:ascii="標楷體" w:eastAsia="標楷體" w:hAnsi="標楷體"/>
          <w:bCs/>
          <w:spacing w:val="-10"/>
          <w:szCs w:val="24"/>
        </w:rPr>
        <w:t>或安全殼內部設備</w:t>
      </w:r>
      <w:r w:rsidRPr="002A4102">
        <w:rPr>
          <w:rFonts w:ascii="標楷體" w:eastAsia="標楷體" w:hAnsi="標楷體" w:hint="eastAsia"/>
          <w:bCs/>
          <w:spacing w:val="-10"/>
          <w:szCs w:val="24"/>
        </w:rPr>
        <w:t>，</w:t>
      </w:r>
      <w:r w:rsidRPr="002A4102">
        <w:rPr>
          <w:rFonts w:ascii="標楷體" w:eastAsia="標楷體" w:hAnsi="標楷體"/>
          <w:bCs/>
          <w:spacing w:val="-10"/>
          <w:szCs w:val="24"/>
        </w:rPr>
        <w:t>使用此設備至少可以延遲10天將放射性物質釋放到大氣中。</w:t>
      </w:r>
      <w:bookmarkEnd w:id="113"/>
    </w:p>
    <w:p w14:paraId="777848B7" w14:textId="4A827A63" w:rsidR="008D20C1" w:rsidRPr="002A4102" w:rsidRDefault="008D20C1" w:rsidP="00505E43">
      <w:pPr>
        <w:spacing w:beforeLines="15" w:before="36" w:afterLines="15" w:after="36"/>
        <w:ind w:leftChars="1" w:left="2"/>
        <w:jc w:val="both"/>
        <w:outlineLvl w:val="1"/>
        <w:rPr>
          <w:rFonts w:ascii="標楷體" w:eastAsia="標楷體" w:hAnsi="標楷體"/>
          <w:bCs/>
          <w:spacing w:val="-10"/>
          <w:sz w:val="28"/>
          <w:szCs w:val="28"/>
        </w:rPr>
      </w:pPr>
      <w:bookmarkStart w:id="114" w:name="_Toc185412444"/>
      <w:r w:rsidRPr="002A4102">
        <w:rPr>
          <w:rFonts w:ascii="標楷體" w:eastAsia="標楷體" w:hAnsi="標楷體" w:hint="eastAsia"/>
          <w:bCs/>
          <w:noProof/>
          <w:spacing w:val="-10"/>
          <w:sz w:val="28"/>
          <w:szCs w:val="28"/>
        </w:rPr>
        <w:lastRenderedPageBreak/>
        <w:drawing>
          <wp:inline distT="0" distB="0" distL="0" distR="0" wp14:anchorId="0A9E1451" wp14:editId="4C94BD4F">
            <wp:extent cx="5760085" cy="4946015"/>
            <wp:effectExtent l="0" t="0" r="0" b="6985"/>
            <wp:docPr id="1760989394" name="圖片 10" descr="一張含有 文字, 車輛, 陸上交通工具, 消防隊員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989394" name="圖片 10" descr="一張含有 文字, 車輛, 陸上交通工具, 消防隊員 的圖片&#10;&#10;自動產生的描述"/>
                    <pic:cNvPicPr/>
                  </pic:nvPicPr>
                  <pic:blipFill>
                    <a:blip r:embed="rId21">
                      <a:extLst>
                        <a:ext uri="{28A0092B-C50C-407E-A947-70E740481C1C}">
                          <a14:useLocalDpi xmlns:a14="http://schemas.microsoft.com/office/drawing/2010/main" val="0"/>
                        </a:ext>
                      </a:extLst>
                    </a:blip>
                    <a:stretch>
                      <a:fillRect/>
                    </a:stretch>
                  </pic:blipFill>
                  <pic:spPr>
                    <a:xfrm>
                      <a:off x="0" y="0"/>
                      <a:ext cx="5760085" cy="4946015"/>
                    </a:xfrm>
                    <a:prstGeom prst="rect">
                      <a:avLst/>
                    </a:prstGeom>
                  </pic:spPr>
                </pic:pic>
              </a:graphicData>
            </a:graphic>
          </wp:inline>
        </w:drawing>
      </w:r>
      <w:bookmarkEnd w:id="114"/>
    </w:p>
    <w:p w14:paraId="608458A8" w14:textId="08960E9B" w:rsidR="002A4102" w:rsidRPr="002A4102" w:rsidRDefault="002A4102" w:rsidP="00E96C66">
      <w:pPr>
        <w:pStyle w:val="a1"/>
      </w:pPr>
      <w:bookmarkStart w:id="115" w:name="_Toc185426111"/>
      <w:bookmarkStart w:id="116" w:name="_Toc185605716"/>
      <w:bookmarkStart w:id="117" w:name="_Toc186029835"/>
      <w:r w:rsidRPr="002A4102">
        <w:t>柏崎刈羽核電</w:t>
      </w:r>
      <w:r w:rsidRPr="002A4102">
        <w:rPr>
          <w:rFonts w:hint="eastAsia"/>
        </w:rPr>
        <w:t>廠之</w:t>
      </w:r>
      <w:r w:rsidRPr="002A4102">
        <w:t>事故應對措施</w:t>
      </w:r>
      <w:bookmarkEnd w:id="115"/>
      <w:bookmarkEnd w:id="116"/>
      <w:bookmarkEnd w:id="117"/>
    </w:p>
    <w:p w14:paraId="504A1C9E" w14:textId="77777777" w:rsidR="002A4102" w:rsidRPr="002A4102" w:rsidRDefault="002A4102" w:rsidP="003213CB">
      <w:pPr>
        <w:spacing w:beforeLines="15" w:before="36" w:afterLines="15" w:after="36" w:line="440" w:lineRule="exact"/>
        <w:ind w:leftChars="1" w:left="2"/>
        <w:jc w:val="both"/>
        <w:outlineLvl w:val="1"/>
        <w:rPr>
          <w:rFonts w:ascii="標楷體" w:eastAsia="標楷體" w:hAnsi="標楷體"/>
          <w:bCs/>
          <w:spacing w:val="-10"/>
          <w:sz w:val="28"/>
          <w:szCs w:val="28"/>
        </w:rPr>
      </w:pPr>
      <w:bookmarkStart w:id="118" w:name="_Toc185412445"/>
      <w:r w:rsidRPr="002A4102">
        <w:rPr>
          <w:rFonts w:ascii="標楷體" w:eastAsia="標楷體" w:hAnsi="標楷體" w:hint="eastAsia"/>
          <w:bCs/>
          <w:spacing w:val="-10"/>
          <w:sz w:val="28"/>
          <w:szCs w:val="28"/>
        </w:rPr>
        <w:t>備註：</w:t>
      </w:r>
      <w:bookmarkEnd w:id="118"/>
    </w:p>
    <w:p w14:paraId="10331AD8" w14:textId="2B5680C9" w:rsidR="002A4102" w:rsidRPr="002A4102" w:rsidRDefault="002A4102" w:rsidP="003213CB">
      <w:pPr>
        <w:tabs>
          <w:tab w:val="num" w:pos="720"/>
        </w:tabs>
        <w:spacing w:beforeLines="15" w:before="36" w:afterLines="15" w:after="36" w:line="440" w:lineRule="exact"/>
        <w:ind w:leftChars="1" w:left="332" w:hangingChars="150" w:hanging="330"/>
        <w:jc w:val="both"/>
        <w:outlineLvl w:val="1"/>
        <w:rPr>
          <w:rFonts w:ascii="標楷體" w:eastAsia="標楷體" w:hAnsi="標楷體"/>
          <w:bCs/>
          <w:spacing w:val="-10"/>
          <w:szCs w:val="24"/>
        </w:rPr>
      </w:pPr>
      <w:bookmarkStart w:id="119" w:name="_Toc185412446"/>
      <w:r w:rsidRPr="002A4102">
        <w:rPr>
          <w:rFonts w:ascii="標楷體" w:eastAsia="標楷體" w:hAnsi="標楷體"/>
          <w:bCs/>
          <w:spacing w:val="-10"/>
          <w:szCs w:val="24"/>
        </w:rPr>
        <w:t>1</w:t>
      </w:r>
      <w:r w:rsidRPr="002A4102">
        <w:rPr>
          <w:rFonts w:ascii="標楷體" w:eastAsia="標楷體" w:hAnsi="標楷體" w:hint="eastAsia"/>
          <w:bCs/>
          <w:spacing w:val="-10"/>
          <w:szCs w:val="24"/>
        </w:rPr>
        <w:t>、</w:t>
      </w:r>
      <w:r w:rsidRPr="002A4102">
        <w:rPr>
          <w:rFonts w:ascii="標楷體" w:eastAsia="標楷體" w:hAnsi="標楷體"/>
          <w:bCs/>
          <w:spacing w:val="-10"/>
          <w:szCs w:val="24"/>
        </w:rPr>
        <w:t>設置</w:t>
      </w:r>
      <w:r w:rsidR="00A95445">
        <w:rPr>
          <w:rFonts w:ascii="標楷體" w:eastAsia="標楷體" w:hAnsi="標楷體"/>
          <w:bCs/>
          <w:spacing w:val="-10"/>
          <w:szCs w:val="24"/>
        </w:rPr>
        <w:t>反應器</w:t>
      </w:r>
      <w:r w:rsidRPr="002A4102">
        <w:rPr>
          <w:rFonts w:ascii="標楷體" w:eastAsia="標楷體" w:hAnsi="標楷體"/>
          <w:bCs/>
          <w:spacing w:val="-10"/>
          <w:szCs w:val="24"/>
        </w:rPr>
        <w:t>廠房氫氣處理設備</w:t>
      </w:r>
      <w:r w:rsidRPr="002A4102">
        <w:rPr>
          <w:rFonts w:ascii="標楷體" w:eastAsia="標楷體" w:hAnsi="標楷體" w:hint="eastAsia"/>
          <w:bCs/>
          <w:spacing w:val="-10"/>
          <w:szCs w:val="24"/>
        </w:rPr>
        <w:t>：</w:t>
      </w:r>
      <w:r w:rsidRPr="002A4102">
        <w:rPr>
          <w:rFonts w:ascii="標楷體" w:eastAsia="標楷體" w:hAnsi="標楷體"/>
          <w:bCs/>
          <w:spacing w:val="-10"/>
          <w:szCs w:val="24"/>
        </w:rPr>
        <w:t>不使用電力，藉由觸媒作用將氫氣和氧氣轉化為水蒸氣，抑制氫氣濃度上升。設置於</w:t>
      </w:r>
      <w:r w:rsidR="00A95445">
        <w:rPr>
          <w:rFonts w:ascii="標楷體" w:eastAsia="標楷體" w:hAnsi="標楷體"/>
          <w:bCs/>
          <w:spacing w:val="-10"/>
          <w:szCs w:val="24"/>
        </w:rPr>
        <w:t>反應器</w:t>
      </w:r>
      <w:r w:rsidRPr="002A4102">
        <w:rPr>
          <w:rFonts w:ascii="標楷體" w:eastAsia="標楷體" w:hAnsi="標楷體"/>
          <w:bCs/>
          <w:spacing w:val="-10"/>
          <w:szCs w:val="24"/>
        </w:rPr>
        <w:t>廠房最上層。</w:t>
      </w:r>
      <w:bookmarkEnd w:id="119"/>
    </w:p>
    <w:p w14:paraId="2756FE64" w14:textId="3AC3C6A5" w:rsidR="002A4102" w:rsidRPr="002A4102" w:rsidRDefault="002A4102" w:rsidP="003213CB">
      <w:pPr>
        <w:spacing w:beforeLines="15" w:before="36" w:afterLines="15" w:after="36" w:line="440" w:lineRule="exact"/>
        <w:ind w:leftChars="1" w:left="332" w:hangingChars="150" w:hanging="330"/>
        <w:jc w:val="both"/>
        <w:outlineLvl w:val="1"/>
        <w:rPr>
          <w:rFonts w:ascii="標楷體" w:eastAsia="標楷體" w:hAnsi="標楷體"/>
          <w:bCs/>
          <w:spacing w:val="-10"/>
          <w:szCs w:val="24"/>
        </w:rPr>
      </w:pPr>
      <w:bookmarkStart w:id="120" w:name="_Toc185412447"/>
      <w:r w:rsidRPr="002A4102">
        <w:rPr>
          <w:rFonts w:ascii="標楷體" w:eastAsia="標楷體" w:hAnsi="標楷體"/>
          <w:bCs/>
          <w:spacing w:val="-10"/>
          <w:szCs w:val="24"/>
        </w:rPr>
        <w:t>2</w:t>
      </w:r>
      <w:r w:rsidRPr="002A4102">
        <w:rPr>
          <w:rFonts w:ascii="標楷體" w:eastAsia="標楷體" w:hAnsi="標楷體" w:hint="eastAsia"/>
          <w:bCs/>
          <w:spacing w:val="-10"/>
          <w:szCs w:val="24"/>
        </w:rPr>
        <w:t>、</w:t>
      </w:r>
      <w:r w:rsidRPr="002A4102">
        <w:rPr>
          <w:rFonts w:ascii="標楷體" w:eastAsia="標楷體" w:hAnsi="標楷體"/>
          <w:bCs/>
          <w:spacing w:val="-10"/>
          <w:szCs w:val="24"/>
        </w:rPr>
        <w:t>設置過濾排氣設備</w:t>
      </w:r>
      <w:r w:rsidRPr="002A4102">
        <w:rPr>
          <w:rFonts w:ascii="標楷體" w:eastAsia="標楷體" w:hAnsi="標楷體" w:hint="eastAsia"/>
          <w:bCs/>
          <w:spacing w:val="-10"/>
          <w:szCs w:val="24"/>
        </w:rPr>
        <w:t>：</w:t>
      </w:r>
      <w:r w:rsidRPr="002A4102">
        <w:rPr>
          <w:rFonts w:ascii="標楷體" w:eastAsia="標楷體" w:hAnsi="標楷體"/>
          <w:bCs/>
          <w:spacing w:val="-10"/>
          <w:szCs w:val="24"/>
        </w:rPr>
        <w:t>將安全殼內滯留的氣體通過過濾排氣設備排放到大氣中，去除99.9%以上的顆粒狀放射性物質和無機碘。</w:t>
      </w:r>
      <w:r w:rsidRPr="002A4102">
        <w:rPr>
          <w:rFonts w:ascii="標楷體" w:eastAsia="標楷體" w:hAnsi="標楷體" w:hint="eastAsia"/>
          <w:bCs/>
          <w:spacing w:val="-10"/>
          <w:szCs w:val="24"/>
        </w:rPr>
        <w:t>另</w:t>
      </w:r>
      <w:r w:rsidRPr="002A4102">
        <w:rPr>
          <w:rFonts w:ascii="標楷體" w:eastAsia="標楷體" w:hAnsi="標楷體"/>
          <w:bCs/>
          <w:spacing w:val="-10"/>
          <w:szCs w:val="24"/>
        </w:rPr>
        <w:t>利用碘過濾器去除98%以上的有機碘。</w:t>
      </w:r>
      <w:bookmarkEnd w:id="120"/>
    </w:p>
    <w:p w14:paraId="725BDDFF" w14:textId="60C6BB37" w:rsidR="00650ABC" w:rsidRPr="00650ABC" w:rsidRDefault="002A4102" w:rsidP="00FA6637">
      <w:pPr>
        <w:spacing w:beforeLines="15" w:before="36" w:afterLines="15" w:after="36" w:line="440" w:lineRule="exact"/>
        <w:ind w:leftChars="1" w:left="332" w:hangingChars="150" w:hanging="330"/>
        <w:jc w:val="both"/>
        <w:outlineLvl w:val="1"/>
        <w:rPr>
          <w:rFonts w:ascii="標楷體" w:eastAsia="標楷體" w:hAnsi="標楷體"/>
          <w:bCs/>
          <w:spacing w:val="-10"/>
          <w:sz w:val="28"/>
          <w:szCs w:val="28"/>
        </w:rPr>
      </w:pPr>
      <w:bookmarkStart w:id="121" w:name="_Toc185412448"/>
      <w:r w:rsidRPr="002A4102">
        <w:rPr>
          <w:rFonts w:ascii="標楷體" w:eastAsia="標楷體" w:hAnsi="標楷體"/>
          <w:bCs/>
          <w:spacing w:val="-10"/>
          <w:szCs w:val="24"/>
        </w:rPr>
        <w:t>3</w:t>
      </w:r>
      <w:r w:rsidRPr="002A4102">
        <w:rPr>
          <w:rFonts w:ascii="標楷體" w:eastAsia="標楷體" w:hAnsi="標楷體" w:hint="eastAsia"/>
          <w:bCs/>
          <w:spacing w:val="-10"/>
          <w:szCs w:val="24"/>
        </w:rPr>
        <w:t>、</w:t>
      </w:r>
      <w:r w:rsidRPr="002A4102">
        <w:rPr>
          <w:rFonts w:ascii="標楷體" w:eastAsia="標楷體" w:hAnsi="標楷體"/>
          <w:bCs/>
          <w:spacing w:val="-10"/>
          <w:szCs w:val="24"/>
        </w:rPr>
        <w:t>配備大容量灑水設備</w:t>
      </w:r>
      <w:r w:rsidRPr="002A4102">
        <w:rPr>
          <w:rFonts w:ascii="標楷體" w:eastAsia="標楷體" w:hAnsi="標楷體" w:hint="eastAsia"/>
          <w:bCs/>
          <w:spacing w:val="-10"/>
          <w:szCs w:val="24"/>
        </w:rPr>
        <w:t>：</w:t>
      </w:r>
      <w:r w:rsidRPr="002A4102">
        <w:rPr>
          <w:rFonts w:ascii="標楷體" w:eastAsia="標楷體" w:hAnsi="標楷體"/>
          <w:bCs/>
          <w:spacing w:val="-10"/>
          <w:szCs w:val="24"/>
        </w:rPr>
        <w:t>當反應</w:t>
      </w:r>
      <w:r w:rsidRPr="002A4102">
        <w:rPr>
          <w:rFonts w:ascii="標楷體" w:eastAsia="標楷體" w:hAnsi="標楷體" w:hint="eastAsia"/>
          <w:bCs/>
          <w:spacing w:val="-10"/>
          <w:szCs w:val="24"/>
        </w:rPr>
        <w:t>器</w:t>
      </w:r>
      <w:r w:rsidRPr="002A4102">
        <w:rPr>
          <w:rFonts w:ascii="標楷體" w:eastAsia="標楷體" w:hAnsi="標楷體"/>
          <w:bCs/>
          <w:spacing w:val="-10"/>
          <w:szCs w:val="24"/>
        </w:rPr>
        <w:t>或乏燃料池中的放射性物質可能外洩時，將灑水砲和大型送水車連接，向反應</w:t>
      </w:r>
      <w:r w:rsidRPr="002A4102">
        <w:rPr>
          <w:rFonts w:ascii="標楷體" w:eastAsia="標楷體" w:hAnsi="標楷體" w:hint="eastAsia"/>
          <w:bCs/>
          <w:spacing w:val="-10"/>
          <w:szCs w:val="24"/>
        </w:rPr>
        <w:t>器</w:t>
      </w:r>
      <w:r w:rsidRPr="002A4102">
        <w:rPr>
          <w:rFonts w:ascii="標楷體" w:eastAsia="標楷體" w:hAnsi="標楷體"/>
          <w:bCs/>
          <w:spacing w:val="-10"/>
          <w:szCs w:val="24"/>
        </w:rPr>
        <w:t>廠房的開口灑水。大型送水車最大每分鐘可輸送2萬公升水，並可由油罐車持續補充燃料。如果無法從油罐車補充燃料，可使用送水車附帶的燃料箱持續灑水約12小時。</w:t>
      </w:r>
      <w:bookmarkStart w:id="122" w:name="_Toc185412449"/>
      <w:bookmarkEnd w:id="121"/>
    </w:p>
    <w:p w14:paraId="757A216A" w14:textId="2D2327B9" w:rsidR="0006214E" w:rsidRDefault="0006214E" w:rsidP="0006214E">
      <w:pPr>
        <w:spacing w:beforeLines="15" w:before="36" w:afterLines="15" w:after="36"/>
        <w:ind w:leftChars="1" w:left="2"/>
        <w:jc w:val="both"/>
        <w:outlineLvl w:val="1"/>
        <w:rPr>
          <w:rFonts w:ascii="標楷體" w:eastAsia="標楷體" w:hAnsi="標楷體"/>
          <w:bCs/>
          <w:spacing w:val="-10"/>
          <w:sz w:val="28"/>
          <w:szCs w:val="28"/>
        </w:rPr>
      </w:pPr>
      <w:r>
        <w:rPr>
          <w:rFonts w:ascii="標楷體" w:eastAsia="標楷體" w:hAnsi="標楷體" w:hint="eastAsia"/>
          <w:bCs/>
          <w:noProof/>
          <w:spacing w:val="-10"/>
          <w:sz w:val="28"/>
          <w:szCs w:val="28"/>
        </w:rPr>
        <w:lastRenderedPageBreak/>
        <w:drawing>
          <wp:inline distT="0" distB="0" distL="0" distR="0" wp14:anchorId="442E1DF8" wp14:editId="38408345">
            <wp:extent cx="5735285" cy="3177540"/>
            <wp:effectExtent l="0" t="0" r="0" b="3810"/>
            <wp:docPr id="1453516041" name="圖片 2" descr="一張含有 服裝, 人員, 戶外, 微笑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516041" name="圖片 2" descr="一張含有 服裝, 人員, 戶外, 微笑 的圖片&#10;&#10;自動產生的描述"/>
                    <pic:cNvPicPr/>
                  </pic:nvPicPr>
                  <pic:blipFill rotWithShape="1">
                    <a:blip r:embed="rId22">
                      <a:extLst>
                        <a:ext uri="{28A0092B-C50C-407E-A947-70E740481C1C}">
                          <a14:useLocalDpi xmlns:a14="http://schemas.microsoft.com/office/drawing/2010/main" val="0"/>
                        </a:ext>
                      </a:extLst>
                    </a:blip>
                    <a:srcRect b="17647"/>
                    <a:stretch/>
                  </pic:blipFill>
                  <pic:spPr bwMode="auto">
                    <a:xfrm>
                      <a:off x="0" y="0"/>
                      <a:ext cx="5739647" cy="3179957"/>
                    </a:xfrm>
                    <a:prstGeom prst="rect">
                      <a:avLst/>
                    </a:prstGeom>
                    <a:ln>
                      <a:noFill/>
                    </a:ln>
                    <a:extLst>
                      <a:ext uri="{53640926-AAD7-44D8-BBD7-CCE9431645EC}">
                        <a14:shadowObscured xmlns:a14="http://schemas.microsoft.com/office/drawing/2010/main"/>
                      </a:ext>
                    </a:extLst>
                  </pic:spPr>
                </pic:pic>
              </a:graphicData>
            </a:graphic>
          </wp:inline>
        </w:drawing>
      </w:r>
      <w:bookmarkEnd w:id="122"/>
    </w:p>
    <w:p w14:paraId="6960DDE9" w14:textId="77777777" w:rsidR="0006214E" w:rsidRDefault="0006214E" w:rsidP="00E96C66">
      <w:pPr>
        <w:pStyle w:val="a1"/>
      </w:pPr>
      <w:bookmarkStart w:id="123" w:name="_Toc185426112"/>
      <w:bookmarkStart w:id="124" w:name="_Toc185605717"/>
      <w:bookmarkStart w:id="125" w:name="_Toc186029836"/>
      <w:r>
        <w:rPr>
          <w:rFonts w:hint="eastAsia"/>
        </w:rPr>
        <w:t>監察委員鴻義章考察東京電力公司</w:t>
      </w:r>
      <w:bookmarkEnd w:id="123"/>
      <w:bookmarkEnd w:id="124"/>
      <w:bookmarkEnd w:id="125"/>
    </w:p>
    <w:p w14:paraId="6F02D2E0" w14:textId="77777777" w:rsidR="0006214E" w:rsidRPr="002A4102" w:rsidRDefault="0006214E" w:rsidP="00650ABC">
      <w:pPr>
        <w:pStyle w:val="aff4"/>
        <w:spacing w:beforeLines="15" w:before="36" w:afterLines="15" w:after="36" w:line="440" w:lineRule="exact"/>
        <w:rPr>
          <w:bCs/>
          <w:sz w:val="24"/>
          <w:szCs w:val="32"/>
        </w:rPr>
      </w:pPr>
    </w:p>
    <w:p w14:paraId="7F32BBD0" w14:textId="486FE62B" w:rsidR="0006214E" w:rsidRDefault="0006214E" w:rsidP="0006214E">
      <w:pPr>
        <w:pStyle w:val="aff2"/>
        <w:jc w:val="center"/>
        <w:rPr>
          <w:rFonts w:eastAsia="標楷體"/>
          <w:sz w:val="32"/>
          <w:szCs w:val="22"/>
        </w:rPr>
      </w:pPr>
      <w:r>
        <w:rPr>
          <w:noProof/>
        </w:rPr>
        <w:drawing>
          <wp:inline distT="0" distB="0" distL="0" distR="0" wp14:anchorId="07DDD86A" wp14:editId="0860A72D">
            <wp:extent cx="5852113" cy="2865120"/>
            <wp:effectExtent l="0" t="0" r="0" b="0"/>
            <wp:docPr id="3" name="圖片 3" descr="一張含有 服裝, 天花板, 足部穿著, 男人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圖片 3" descr="一張含有 服裝, 天花板, 足部穿著, 男人 的圖片&#10;&#10;自動產生的描述"/>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8901" b="15820"/>
                    <a:stretch/>
                  </pic:blipFill>
                  <pic:spPr bwMode="auto">
                    <a:xfrm>
                      <a:off x="0" y="0"/>
                      <a:ext cx="5861225" cy="2869581"/>
                    </a:xfrm>
                    <a:prstGeom prst="rect">
                      <a:avLst/>
                    </a:prstGeom>
                    <a:noFill/>
                    <a:ln>
                      <a:noFill/>
                    </a:ln>
                    <a:extLst>
                      <a:ext uri="{53640926-AAD7-44D8-BBD7-CCE9431645EC}">
                        <a14:shadowObscured xmlns:a14="http://schemas.microsoft.com/office/drawing/2010/main"/>
                      </a:ext>
                    </a:extLst>
                  </pic:spPr>
                </pic:pic>
              </a:graphicData>
            </a:graphic>
          </wp:inline>
        </w:drawing>
      </w:r>
    </w:p>
    <w:p w14:paraId="585C1405" w14:textId="1BA946C2" w:rsidR="0006214E" w:rsidRPr="0006214E" w:rsidRDefault="0006214E" w:rsidP="00235C5E">
      <w:pPr>
        <w:pStyle w:val="a1"/>
      </w:pPr>
      <w:bookmarkStart w:id="126" w:name="_Toc185426113"/>
      <w:bookmarkStart w:id="127" w:name="_Toc185605718"/>
      <w:bookmarkStart w:id="128" w:name="_Toc186029837"/>
      <w:r w:rsidRPr="00563A25">
        <w:t>東京電力控股株式會社</w:t>
      </w:r>
      <w:bookmarkEnd w:id="126"/>
      <w:bookmarkEnd w:id="127"/>
      <w:bookmarkEnd w:id="128"/>
    </w:p>
    <w:p w14:paraId="736143FC" w14:textId="77777777" w:rsidR="0006214E" w:rsidRDefault="0006214E" w:rsidP="003213CB">
      <w:pPr>
        <w:spacing w:beforeLines="15" w:before="36" w:afterLines="15" w:after="36" w:line="440" w:lineRule="exact"/>
        <w:ind w:leftChars="1" w:left="332" w:hangingChars="150" w:hanging="330"/>
        <w:jc w:val="both"/>
        <w:outlineLvl w:val="1"/>
        <w:rPr>
          <w:rFonts w:ascii="標楷體" w:eastAsia="標楷體" w:hAnsi="標楷體"/>
          <w:bCs/>
          <w:spacing w:val="-10"/>
          <w:szCs w:val="24"/>
        </w:rPr>
      </w:pPr>
    </w:p>
    <w:p w14:paraId="19224AC6" w14:textId="6766F776" w:rsidR="00235C5E" w:rsidRPr="00235C5E" w:rsidRDefault="00235C5E" w:rsidP="00235C5E">
      <w:pPr>
        <w:spacing w:beforeLines="15" w:before="36" w:afterLines="15" w:after="36" w:line="400" w:lineRule="exact"/>
        <w:ind w:leftChars="1" w:left="662" w:hangingChars="300" w:hanging="660"/>
        <w:jc w:val="both"/>
        <w:outlineLvl w:val="1"/>
        <w:rPr>
          <w:rFonts w:ascii="標楷體" w:eastAsia="標楷體" w:hAnsi="標楷體"/>
          <w:szCs w:val="24"/>
        </w:rPr>
      </w:pPr>
      <w:r>
        <w:rPr>
          <w:rFonts w:ascii="標楷體" w:eastAsia="標楷體" w:hAnsi="標楷體" w:hint="eastAsia"/>
          <w:bCs/>
          <w:spacing w:val="-10"/>
          <w:szCs w:val="24"/>
        </w:rPr>
        <w:t>備註：</w:t>
      </w:r>
      <w:r w:rsidRPr="00235C5E">
        <w:rPr>
          <w:rFonts w:ascii="標楷體" w:eastAsia="標楷體" w:hAnsi="標楷體"/>
          <w:szCs w:val="24"/>
        </w:rPr>
        <w:t>東京電力控股株式會社</w:t>
      </w:r>
      <w:r w:rsidRPr="00235C5E">
        <w:rPr>
          <w:rFonts w:ascii="標楷體" w:eastAsia="標楷體" w:hAnsi="標楷體" w:hint="eastAsia"/>
          <w:szCs w:val="24"/>
        </w:rPr>
        <w:t>(東京電力ホールディングス株式会社，</w:t>
      </w:r>
      <w:r w:rsidRPr="00235C5E">
        <w:rPr>
          <w:rFonts w:ascii="標楷體" w:eastAsia="標楷體" w:hAnsi="標楷體"/>
          <w:szCs w:val="24"/>
        </w:rPr>
        <w:t>Tokyo Electric Power Company Holdings, Inc.，簡稱東京電力公司</w:t>
      </w:r>
      <w:r w:rsidRPr="00235C5E">
        <w:rPr>
          <w:rFonts w:ascii="標楷體" w:eastAsia="標楷體" w:hAnsi="標楷體" w:hint="eastAsia"/>
          <w:szCs w:val="24"/>
        </w:rPr>
        <w:t>)旗下發電廠以火力發電為主，水力與再生能源為輔，亦擁有3間核能發電廠，柏崎刈羽核能發電廠運營中，福島第一、第二核能發電廠已退役。</w:t>
      </w:r>
    </w:p>
    <w:p w14:paraId="5D6E0360" w14:textId="7026ABAF" w:rsidR="002A4102" w:rsidRDefault="003A69C0" w:rsidP="00505E43">
      <w:pPr>
        <w:spacing w:beforeLines="15" w:before="36" w:afterLines="15" w:after="36"/>
        <w:ind w:leftChars="1" w:left="2"/>
        <w:jc w:val="both"/>
        <w:outlineLvl w:val="1"/>
        <w:rPr>
          <w:rFonts w:ascii="標楷體" w:eastAsia="標楷體" w:hAnsi="標楷體"/>
          <w:bCs/>
          <w:spacing w:val="-10"/>
          <w:sz w:val="28"/>
          <w:szCs w:val="28"/>
        </w:rPr>
      </w:pPr>
      <w:bookmarkStart w:id="129" w:name="_Toc185412450"/>
      <w:r>
        <w:rPr>
          <w:rFonts w:ascii="標楷體" w:eastAsia="標楷體" w:hAnsi="標楷體"/>
          <w:bCs/>
          <w:noProof/>
          <w:spacing w:val="-10"/>
          <w:sz w:val="28"/>
          <w:szCs w:val="28"/>
        </w:rPr>
        <w:lastRenderedPageBreak/>
        <w:drawing>
          <wp:inline distT="0" distB="0" distL="0" distR="0" wp14:anchorId="16955003" wp14:editId="42D6B7D4">
            <wp:extent cx="5760085" cy="3168015"/>
            <wp:effectExtent l="0" t="0" r="0" b="0"/>
            <wp:docPr id="648018801" name="圖片 1" descr="一張含有 室內, 服裝, 人員, 辦公大樓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018801" name="圖片 1" descr="一張含有 室內, 服裝, 人員, 辦公大樓 的圖片&#10;&#10;自動產生的描述"/>
                    <pic:cNvPicPr/>
                  </pic:nvPicPr>
                  <pic:blipFill>
                    <a:blip r:embed="rId24">
                      <a:extLst>
                        <a:ext uri="{28A0092B-C50C-407E-A947-70E740481C1C}">
                          <a14:useLocalDpi xmlns:a14="http://schemas.microsoft.com/office/drawing/2010/main" val="0"/>
                        </a:ext>
                      </a:extLst>
                    </a:blip>
                    <a:stretch>
                      <a:fillRect/>
                    </a:stretch>
                  </pic:blipFill>
                  <pic:spPr>
                    <a:xfrm>
                      <a:off x="0" y="0"/>
                      <a:ext cx="5760085" cy="3168015"/>
                    </a:xfrm>
                    <a:prstGeom prst="rect">
                      <a:avLst/>
                    </a:prstGeom>
                  </pic:spPr>
                </pic:pic>
              </a:graphicData>
            </a:graphic>
          </wp:inline>
        </w:drawing>
      </w:r>
      <w:bookmarkEnd w:id="129"/>
    </w:p>
    <w:p w14:paraId="7316B5C5" w14:textId="2AD1F76F" w:rsidR="003A69C0" w:rsidRDefault="00BA4FF8" w:rsidP="00E96C66">
      <w:pPr>
        <w:pStyle w:val="a1"/>
      </w:pPr>
      <w:bookmarkStart w:id="130" w:name="_Toc185426114"/>
      <w:bookmarkStart w:id="131" w:name="_Toc185605719"/>
      <w:bookmarkStart w:id="132" w:name="_Toc186029838"/>
      <w:r>
        <w:rPr>
          <w:rFonts w:hint="eastAsia"/>
        </w:rPr>
        <w:t>東京電力公司廣報部進行</w:t>
      </w:r>
      <w:r w:rsidR="003A69C0" w:rsidRPr="002A4102">
        <w:t>柏崎刈羽核電</w:t>
      </w:r>
      <w:r w:rsidR="003A69C0" w:rsidRPr="002A4102">
        <w:rPr>
          <w:rFonts w:hint="eastAsia"/>
        </w:rPr>
        <w:t>廠之</w:t>
      </w:r>
      <w:r>
        <w:rPr>
          <w:rFonts w:hint="eastAsia"/>
        </w:rPr>
        <w:t>相關簡報</w:t>
      </w:r>
      <w:bookmarkEnd w:id="130"/>
      <w:bookmarkEnd w:id="131"/>
      <w:bookmarkEnd w:id="132"/>
    </w:p>
    <w:p w14:paraId="55030513" w14:textId="77777777" w:rsidR="0006214E" w:rsidRPr="002A4102" w:rsidRDefault="0006214E" w:rsidP="0006214E">
      <w:pPr>
        <w:pStyle w:val="aff4"/>
        <w:spacing w:beforeLines="15" w:before="36" w:afterLines="15" w:after="36" w:line="440" w:lineRule="exact"/>
        <w:rPr>
          <w:bCs/>
          <w:sz w:val="24"/>
          <w:szCs w:val="32"/>
        </w:rPr>
      </w:pPr>
    </w:p>
    <w:p w14:paraId="269D1F41" w14:textId="73654EE7" w:rsidR="0006214E" w:rsidRDefault="00C07F84" w:rsidP="0006214E">
      <w:pPr>
        <w:pStyle w:val="aff2"/>
        <w:jc w:val="center"/>
        <w:rPr>
          <w:rFonts w:eastAsia="標楷體"/>
          <w:sz w:val="32"/>
          <w:szCs w:val="22"/>
        </w:rPr>
      </w:pPr>
      <w:bookmarkStart w:id="133" w:name="_Toc145437435"/>
      <w:r>
        <w:rPr>
          <w:rFonts w:eastAsia="標楷體"/>
          <w:noProof/>
          <w:sz w:val="32"/>
          <w:szCs w:val="22"/>
        </w:rPr>
        <w:drawing>
          <wp:inline distT="0" distB="0" distL="0" distR="0" wp14:anchorId="1090E19E" wp14:editId="43FF73C1">
            <wp:extent cx="5734688" cy="3261360"/>
            <wp:effectExtent l="0" t="0" r="0" b="0"/>
            <wp:docPr id="288557822" name="圖片 1" descr="一張含有 男人, 服裝, 室內, 西裝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557822" name="圖片 1" descr="一張含有 男人, 服裝, 室內, 西裝 的圖片&#10;&#10;自動產生的描述"/>
                    <pic:cNvPicPr/>
                  </pic:nvPicPr>
                  <pic:blipFill rotWithShape="1">
                    <a:blip r:embed="rId25" cstate="print">
                      <a:extLst>
                        <a:ext uri="{28A0092B-C50C-407E-A947-70E740481C1C}">
                          <a14:useLocalDpi xmlns:a14="http://schemas.microsoft.com/office/drawing/2010/main" val="0"/>
                        </a:ext>
                      </a:extLst>
                    </a:blip>
                    <a:srcRect t="21690" r="2767" b="4600"/>
                    <a:stretch/>
                  </pic:blipFill>
                  <pic:spPr bwMode="auto">
                    <a:xfrm>
                      <a:off x="0" y="0"/>
                      <a:ext cx="5736167" cy="3262201"/>
                    </a:xfrm>
                    <a:prstGeom prst="rect">
                      <a:avLst/>
                    </a:prstGeom>
                    <a:ln>
                      <a:noFill/>
                    </a:ln>
                    <a:extLst>
                      <a:ext uri="{53640926-AAD7-44D8-BBD7-CCE9431645EC}">
                        <a14:shadowObscured xmlns:a14="http://schemas.microsoft.com/office/drawing/2010/main"/>
                      </a:ext>
                    </a:extLst>
                  </pic:spPr>
                </pic:pic>
              </a:graphicData>
            </a:graphic>
          </wp:inline>
        </w:drawing>
      </w:r>
    </w:p>
    <w:p w14:paraId="74C4C4CC" w14:textId="47703912" w:rsidR="0006214E" w:rsidRPr="0006214E" w:rsidRDefault="0006214E" w:rsidP="00E96C66">
      <w:pPr>
        <w:pStyle w:val="a1"/>
      </w:pPr>
      <w:bookmarkStart w:id="134" w:name="_Toc185426115"/>
      <w:bookmarkStart w:id="135" w:name="_Toc185605720"/>
      <w:bookmarkStart w:id="136" w:name="_Toc186029839"/>
      <w:r>
        <w:rPr>
          <w:rFonts w:hint="eastAsia"/>
        </w:rPr>
        <w:t>與</w:t>
      </w:r>
      <w:r w:rsidRPr="0006214E">
        <w:t>東</w:t>
      </w:r>
      <w:r>
        <w:rPr>
          <w:rFonts w:hint="eastAsia"/>
        </w:rPr>
        <w:t>京</w:t>
      </w:r>
      <w:r w:rsidRPr="0006214E">
        <w:t>電</w:t>
      </w:r>
      <w:r>
        <w:rPr>
          <w:rFonts w:hint="eastAsia"/>
        </w:rPr>
        <w:t>力</w:t>
      </w:r>
      <w:r w:rsidRPr="0006214E">
        <w:t>公司</w:t>
      </w:r>
      <w:r>
        <w:rPr>
          <w:rFonts w:hint="eastAsia"/>
        </w:rPr>
        <w:t>廣報部同仁進行</w:t>
      </w:r>
      <w:r w:rsidRPr="0006214E">
        <w:t>交流</w:t>
      </w:r>
      <w:r>
        <w:rPr>
          <w:rFonts w:hint="eastAsia"/>
        </w:rPr>
        <w:t>與討論</w:t>
      </w:r>
      <w:bookmarkEnd w:id="133"/>
      <w:bookmarkEnd w:id="134"/>
      <w:bookmarkEnd w:id="135"/>
      <w:bookmarkEnd w:id="136"/>
    </w:p>
    <w:p w14:paraId="02C167B8" w14:textId="77777777" w:rsidR="00D70792" w:rsidRDefault="00D70792">
      <w:pPr>
        <w:widowControl/>
        <w:rPr>
          <w:rFonts w:ascii="標楷體" w:eastAsia="標楷體" w:hAnsi="標楷體"/>
          <w:bCs/>
          <w:spacing w:val="-10"/>
          <w:sz w:val="28"/>
          <w:szCs w:val="28"/>
        </w:rPr>
      </w:pPr>
      <w:bookmarkStart w:id="137" w:name="_Toc185412451"/>
      <w:r>
        <w:rPr>
          <w:rFonts w:ascii="標楷體" w:eastAsia="標楷體" w:hAnsi="標楷體"/>
          <w:bCs/>
          <w:spacing w:val="-10"/>
          <w:sz w:val="28"/>
          <w:szCs w:val="28"/>
        </w:rPr>
        <w:br w:type="page"/>
      </w:r>
    </w:p>
    <w:p w14:paraId="50182F60" w14:textId="4FC990B6" w:rsidR="00BA4FF8" w:rsidRPr="00FA6637" w:rsidRDefault="00BA4FF8" w:rsidP="009C4EE0">
      <w:pPr>
        <w:pStyle w:val="af4"/>
        <w:numPr>
          <w:ilvl w:val="1"/>
          <w:numId w:val="2"/>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FA6637">
        <w:rPr>
          <w:rFonts w:ascii="標楷體" w:eastAsia="標楷體" w:hAnsi="標楷體" w:hint="eastAsia"/>
          <w:bCs/>
          <w:sz w:val="28"/>
          <w:szCs w:val="36"/>
        </w:rPr>
        <w:lastRenderedPageBreak/>
        <w:t>臺</w:t>
      </w:r>
      <w:r w:rsidRPr="00FA6637">
        <w:rPr>
          <w:rFonts w:ascii="標楷體" w:eastAsia="標楷體" w:hAnsi="標楷體"/>
          <w:bCs/>
          <w:sz w:val="28"/>
          <w:szCs w:val="36"/>
        </w:rPr>
        <w:t>北駐日</w:t>
      </w:r>
      <w:r w:rsidRPr="00FA6637">
        <w:rPr>
          <w:rFonts w:ascii="標楷體" w:eastAsia="標楷體" w:hAnsi="標楷體" w:hint="eastAsia"/>
          <w:bCs/>
          <w:sz w:val="28"/>
          <w:szCs w:val="36"/>
        </w:rPr>
        <w:t>經濟</w:t>
      </w:r>
      <w:r w:rsidRPr="00FA6637">
        <w:rPr>
          <w:rFonts w:ascii="標楷體" w:eastAsia="標楷體" w:hAnsi="標楷體"/>
          <w:bCs/>
          <w:sz w:val="28"/>
          <w:szCs w:val="36"/>
        </w:rPr>
        <w:t>文化代表處</w:t>
      </w:r>
      <w:bookmarkEnd w:id="137"/>
    </w:p>
    <w:p w14:paraId="2FD870B4" w14:textId="153ACD71" w:rsidR="004933B4" w:rsidRPr="002F0FC3" w:rsidRDefault="004933B4" w:rsidP="003213CB">
      <w:pPr>
        <w:snapToGrid w:val="0"/>
        <w:spacing w:beforeLines="15" w:before="36" w:afterLines="15" w:after="36" w:line="440" w:lineRule="exact"/>
        <w:ind w:leftChars="418" w:left="1003" w:firstLineChars="200" w:firstLine="560"/>
        <w:jc w:val="both"/>
        <w:rPr>
          <w:rFonts w:ascii="標楷體" w:eastAsia="標楷體" w:hAnsi="標楷體"/>
          <w:bCs/>
          <w:sz w:val="28"/>
          <w:szCs w:val="36"/>
        </w:rPr>
      </w:pPr>
      <w:r w:rsidRPr="002F0FC3">
        <w:rPr>
          <w:rFonts w:ascii="標楷體" w:eastAsia="標楷體" w:hAnsi="標楷體"/>
          <w:bCs/>
          <w:sz w:val="28"/>
          <w:szCs w:val="36"/>
        </w:rPr>
        <w:t>本次考察期間，監察院</w:t>
      </w:r>
      <w:r>
        <w:rPr>
          <w:rFonts w:ascii="標楷體" w:eastAsia="標楷體" w:hAnsi="標楷體" w:hint="eastAsia"/>
          <w:bCs/>
          <w:sz w:val="28"/>
          <w:szCs w:val="36"/>
        </w:rPr>
        <w:t>於113年12月4日</w:t>
      </w:r>
      <w:r w:rsidRPr="002F0FC3">
        <w:rPr>
          <w:rFonts w:ascii="標楷體" w:eastAsia="標楷體" w:hAnsi="標楷體"/>
          <w:bCs/>
          <w:sz w:val="28"/>
          <w:szCs w:val="36"/>
        </w:rPr>
        <w:t>拜</w:t>
      </w:r>
      <w:r>
        <w:rPr>
          <w:rFonts w:ascii="標楷體" w:eastAsia="標楷體" w:hAnsi="標楷體" w:hint="eastAsia"/>
          <w:bCs/>
          <w:sz w:val="28"/>
          <w:szCs w:val="36"/>
        </w:rPr>
        <w:t>訪</w:t>
      </w:r>
      <w:r w:rsidRPr="002F0FC3">
        <w:rPr>
          <w:rFonts w:ascii="標楷體" w:eastAsia="標楷體" w:hAnsi="標楷體"/>
          <w:bCs/>
          <w:sz w:val="28"/>
          <w:szCs w:val="36"/>
        </w:rPr>
        <w:t>臺北駐日經濟文化代表處</w:t>
      </w:r>
      <w:r>
        <w:rPr>
          <w:rFonts w:ascii="標楷體" w:eastAsia="標楷體" w:hAnsi="標楷體" w:hint="eastAsia"/>
          <w:bCs/>
          <w:sz w:val="28"/>
          <w:szCs w:val="36"/>
        </w:rPr>
        <w:t>大使李逸洋</w:t>
      </w:r>
      <w:r w:rsidRPr="002F0FC3">
        <w:rPr>
          <w:rFonts w:ascii="標楷體" w:eastAsia="標楷體" w:hAnsi="標楷體"/>
          <w:bCs/>
          <w:sz w:val="28"/>
          <w:szCs w:val="36"/>
        </w:rPr>
        <w:t>，除關心駐外人員之辛勞外，</w:t>
      </w:r>
      <w:r>
        <w:rPr>
          <w:rFonts w:ascii="標楷體" w:eastAsia="標楷體" w:hAnsi="標楷體" w:hint="eastAsia"/>
          <w:bCs/>
          <w:sz w:val="28"/>
          <w:szCs w:val="36"/>
        </w:rPr>
        <w:t>亦</w:t>
      </w:r>
      <w:r w:rsidRPr="002F0FC3">
        <w:rPr>
          <w:rFonts w:ascii="標楷體" w:eastAsia="標楷體" w:hAnsi="標楷體"/>
          <w:bCs/>
          <w:sz w:val="28"/>
          <w:szCs w:val="36"/>
        </w:rPr>
        <w:t>就臺日關係、經貿合作、科技交流等議題交換意見。監察院肯定</w:t>
      </w:r>
      <w:r>
        <w:rPr>
          <w:rFonts w:ascii="標楷體" w:eastAsia="標楷體" w:hAnsi="標楷體" w:hint="eastAsia"/>
          <w:bCs/>
          <w:sz w:val="28"/>
          <w:szCs w:val="36"/>
        </w:rPr>
        <w:t>駐日</w:t>
      </w:r>
      <w:r w:rsidRPr="002F0FC3">
        <w:rPr>
          <w:rFonts w:ascii="標楷體" w:eastAsia="標楷體" w:hAnsi="標楷體"/>
          <w:bCs/>
          <w:sz w:val="28"/>
          <w:szCs w:val="36"/>
        </w:rPr>
        <w:t>代表處長期以來致力於促進臺日友好關係，並積極協助我國企業拓展日本市場。我國與日本關係穩定，兩國人民交流頻仍，經貿往來密切，在區域安全、產業發展等方面具有共同利益。</w:t>
      </w:r>
    </w:p>
    <w:p w14:paraId="23ADFEA3" w14:textId="00600E73" w:rsidR="002F0FC3" w:rsidRPr="004933B4" w:rsidRDefault="004933B4" w:rsidP="009C4EE0">
      <w:pPr>
        <w:pStyle w:val="af4"/>
        <w:numPr>
          <w:ilvl w:val="2"/>
          <w:numId w:val="2"/>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4933B4">
        <w:rPr>
          <w:rFonts w:ascii="標楷體" w:eastAsia="標楷體" w:hAnsi="標楷體"/>
          <w:bCs/>
          <w:sz w:val="28"/>
          <w:szCs w:val="36"/>
        </w:rPr>
        <w:t>代表處多年來積極推動臺日雙邊交流與合作，成效卓著。例如，在文化交流方面，促成</w:t>
      </w:r>
      <w:r w:rsidRPr="004933B4">
        <w:rPr>
          <w:rFonts w:ascii="標楷體" w:eastAsia="標楷體" w:hAnsi="標楷體" w:hint="eastAsia"/>
          <w:bCs/>
          <w:sz w:val="28"/>
          <w:szCs w:val="36"/>
        </w:rPr>
        <w:t>多次</w:t>
      </w:r>
      <w:r w:rsidRPr="004933B4">
        <w:rPr>
          <w:rFonts w:ascii="標楷體" w:eastAsia="標楷體" w:hAnsi="標楷體"/>
          <w:bCs/>
          <w:sz w:val="28"/>
          <w:szCs w:val="36"/>
        </w:rPr>
        <w:t>文化團體互訪演出，增進兩國人民相互</w:t>
      </w:r>
      <w:r w:rsidR="00A95445">
        <w:rPr>
          <w:rFonts w:ascii="標楷體" w:eastAsia="標楷體" w:hAnsi="標楷體"/>
          <w:bCs/>
          <w:sz w:val="28"/>
          <w:szCs w:val="36"/>
        </w:rPr>
        <w:t>瞭解</w:t>
      </w:r>
      <w:r w:rsidRPr="004933B4">
        <w:rPr>
          <w:rFonts w:ascii="標楷體" w:eastAsia="標楷體" w:hAnsi="標楷體"/>
          <w:bCs/>
          <w:sz w:val="28"/>
          <w:szCs w:val="36"/>
        </w:rPr>
        <w:t>；在經貿合作方面，協助我國企業參加日本重要展覽，拓展商機；在科技交流方面，促成雙方研究機構簽署合作協議，共同進行技術研發。</w:t>
      </w:r>
      <w:r w:rsidRPr="004933B4">
        <w:rPr>
          <w:rFonts w:ascii="標楷體" w:eastAsia="標楷體" w:hAnsi="標楷體" w:hint="eastAsia"/>
          <w:bCs/>
          <w:sz w:val="28"/>
          <w:szCs w:val="36"/>
        </w:rPr>
        <w:t>此行</w:t>
      </w:r>
      <w:r w:rsidR="002F0FC3" w:rsidRPr="004933B4">
        <w:rPr>
          <w:rFonts w:ascii="標楷體" w:eastAsia="標楷體" w:hAnsi="標楷體"/>
          <w:bCs/>
          <w:sz w:val="28"/>
          <w:szCs w:val="36"/>
        </w:rPr>
        <w:t>監察院為深入</w:t>
      </w:r>
      <w:r w:rsidR="00A95445">
        <w:rPr>
          <w:rFonts w:ascii="標楷體" w:eastAsia="標楷體" w:hAnsi="標楷體"/>
          <w:bCs/>
          <w:sz w:val="28"/>
          <w:szCs w:val="36"/>
        </w:rPr>
        <w:t>瞭解</w:t>
      </w:r>
      <w:r w:rsidR="002F0FC3" w:rsidRPr="004933B4">
        <w:rPr>
          <w:rFonts w:ascii="標楷體" w:eastAsia="標楷體" w:hAnsi="標楷體"/>
          <w:bCs/>
          <w:sz w:val="28"/>
          <w:szCs w:val="36"/>
        </w:rPr>
        <w:t>國際間核能電廠除役、轉型及新世代能源發展現況，並汲取相關技術發展經驗，期盼藉由</w:t>
      </w:r>
      <w:r w:rsidRPr="004933B4">
        <w:rPr>
          <w:rFonts w:ascii="標楷體" w:eastAsia="標楷體" w:hAnsi="標楷體" w:hint="eastAsia"/>
          <w:bCs/>
          <w:sz w:val="28"/>
          <w:szCs w:val="36"/>
        </w:rPr>
        <w:t>與日本</w:t>
      </w:r>
      <w:r w:rsidR="002F0FC3" w:rsidRPr="004933B4">
        <w:rPr>
          <w:rFonts w:ascii="標楷體" w:eastAsia="標楷體" w:hAnsi="標楷體"/>
          <w:bCs/>
          <w:sz w:val="28"/>
          <w:szCs w:val="36"/>
        </w:rPr>
        <w:t>交流，掌握國際</w:t>
      </w:r>
      <w:r w:rsidRPr="004933B4">
        <w:rPr>
          <w:rFonts w:ascii="標楷體" w:eastAsia="標楷體" w:hAnsi="標楷體" w:hint="eastAsia"/>
          <w:bCs/>
          <w:sz w:val="28"/>
          <w:szCs w:val="36"/>
        </w:rPr>
        <w:t>政策規劃之</w:t>
      </w:r>
      <w:r w:rsidR="002F0FC3" w:rsidRPr="004933B4">
        <w:rPr>
          <w:rFonts w:ascii="標楷體" w:eastAsia="標楷體" w:hAnsi="標楷體"/>
          <w:bCs/>
          <w:sz w:val="28"/>
          <w:szCs w:val="36"/>
        </w:rPr>
        <w:t>趨勢</w:t>
      </w:r>
      <w:r w:rsidRPr="004933B4">
        <w:rPr>
          <w:rFonts w:ascii="標楷體" w:eastAsia="標楷體" w:hAnsi="標楷體" w:hint="eastAsia"/>
          <w:bCs/>
          <w:sz w:val="28"/>
          <w:szCs w:val="36"/>
        </w:rPr>
        <w:t>。本院</w:t>
      </w:r>
      <w:r w:rsidR="002F0FC3" w:rsidRPr="004933B4">
        <w:rPr>
          <w:rFonts w:ascii="標楷體" w:eastAsia="標楷體" w:hAnsi="標楷體"/>
          <w:bCs/>
          <w:sz w:val="28"/>
          <w:szCs w:val="36"/>
        </w:rPr>
        <w:t>初步調查發現，日本在核能除役及新世代能源發展方面具備豐富經驗，尤其在</w:t>
      </w:r>
      <w:r w:rsidR="00650ABC" w:rsidRPr="00650ABC">
        <w:rPr>
          <w:rFonts w:ascii="標楷體" w:eastAsia="標楷體" w:hAnsi="標楷體" w:hint="eastAsia"/>
          <w:bCs/>
          <w:sz w:val="28"/>
          <w:szCs w:val="36"/>
        </w:rPr>
        <w:t>311東日本大震災(</w:t>
      </w:r>
      <w:r w:rsidR="00650ABC" w:rsidRPr="00650ABC">
        <w:rPr>
          <w:rFonts w:ascii="標楷體" w:eastAsia="標楷體" w:hAnsi="標楷體"/>
          <w:bCs/>
          <w:sz w:val="28"/>
          <w:szCs w:val="36"/>
        </w:rPr>
        <w:t>福島核災</w:t>
      </w:r>
      <w:r w:rsidR="00650ABC" w:rsidRPr="00650ABC">
        <w:rPr>
          <w:rFonts w:ascii="標楷體" w:eastAsia="標楷體" w:hAnsi="標楷體" w:hint="eastAsia"/>
          <w:bCs/>
          <w:sz w:val="28"/>
          <w:szCs w:val="36"/>
        </w:rPr>
        <w:t>)</w:t>
      </w:r>
      <w:r w:rsidR="002F0FC3" w:rsidRPr="004933B4">
        <w:rPr>
          <w:rFonts w:ascii="標楷體" w:eastAsia="標楷體" w:hAnsi="標楷體"/>
          <w:bCs/>
          <w:sz w:val="28"/>
          <w:szCs w:val="36"/>
        </w:rPr>
        <w:t>後，日本政府積極推動核能安全改革，並投入大量資源研發新世代能源技術，其經驗值得我國</w:t>
      </w:r>
      <w:r w:rsidR="00566602">
        <w:rPr>
          <w:rFonts w:ascii="標楷體" w:eastAsia="標楷體" w:hAnsi="標楷體"/>
          <w:bCs/>
          <w:sz w:val="28"/>
          <w:szCs w:val="36"/>
        </w:rPr>
        <w:t>參酌</w:t>
      </w:r>
      <w:r w:rsidR="002F0FC3" w:rsidRPr="004933B4">
        <w:rPr>
          <w:rFonts w:ascii="標楷體" w:eastAsia="標楷體" w:hAnsi="標楷體"/>
          <w:bCs/>
          <w:sz w:val="28"/>
          <w:szCs w:val="36"/>
        </w:rPr>
        <w:t>。</w:t>
      </w:r>
    </w:p>
    <w:p w14:paraId="67803560" w14:textId="6BE7829B" w:rsidR="002F0FC3" w:rsidRPr="004933B4" w:rsidRDefault="002F0FC3" w:rsidP="009C4EE0">
      <w:pPr>
        <w:pStyle w:val="af4"/>
        <w:numPr>
          <w:ilvl w:val="2"/>
          <w:numId w:val="2"/>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4933B4">
        <w:rPr>
          <w:rFonts w:ascii="標楷體" w:eastAsia="標楷體" w:hAnsi="標楷體"/>
          <w:bCs/>
          <w:sz w:val="28"/>
          <w:szCs w:val="36"/>
        </w:rPr>
        <w:t>在小型模組化反應器(SMR)等新世代能源方面，日本同樣投入</w:t>
      </w:r>
      <w:r w:rsidR="004933B4" w:rsidRPr="004933B4">
        <w:rPr>
          <w:rFonts w:ascii="標楷體" w:eastAsia="標楷體" w:hAnsi="標楷體" w:hint="eastAsia"/>
          <w:bCs/>
          <w:sz w:val="28"/>
          <w:szCs w:val="36"/>
        </w:rPr>
        <w:t>永續</w:t>
      </w:r>
      <w:r w:rsidRPr="004933B4">
        <w:rPr>
          <w:rFonts w:ascii="標楷體" w:eastAsia="標楷體" w:hAnsi="標楷體"/>
          <w:bCs/>
          <w:sz w:val="28"/>
          <w:szCs w:val="36"/>
        </w:rPr>
        <w:t>資源進行研發。目前日本茨城縣JAEA</w:t>
      </w:r>
      <w:r w:rsidR="004933B4" w:rsidRPr="004933B4">
        <w:rPr>
          <w:rFonts w:ascii="標楷體" w:eastAsia="標楷體" w:hAnsi="標楷體" w:hint="eastAsia"/>
          <w:bCs/>
          <w:sz w:val="28"/>
          <w:szCs w:val="36"/>
        </w:rPr>
        <w:t>即有1部</w:t>
      </w:r>
      <w:r w:rsidR="00566602">
        <w:rPr>
          <w:rFonts w:ascii="標楷體" w:eastAsia="標楷體" w:hAnsi="標楷體"/>
          <w:bCs/>
          <w:sz w:val="28"/>
          <w:szCs w:val="36"/>
        </w:rPr>
        <w:t>小型模組化反應器(SMR)</w:t>
      </w:r>
      <w:r w:rsidR="004933B4" w:rsidRPr="004933B4">
        <w:rPr>
          <w:rFonts w:ascii="標楷體" w:eastAsia="標楷體" w:hAnsi="標楷體" w:hint="eastAsia"/>
          <w:bCs/>
          <w:sz w:val="28"/>
          <w:szCs w:val="36"/>
        </w:rPr>
        <w:t>研發運行，</w:t>
      </w:r>
      <w:r w:rsidRPr="004933B4">
        <w:rPr>
          <w:rFonts w:ascii="標楷體" w:eastAsia="標楷體" w:hAnsi="標楷體"/>
          <w:bCs/>
          <w:sz w:val="28"/>
          <w:szCs w:val="36"/>
        </w:rPr>
        <w:t>具有體積小、安全性高、建造成本低等優點，被視為未來核能發展的重要方向之一。</w:t>
      </w:r>
      <w:r w:rsidR="004933B4" w:rsidRPr="004933B4">
        <w:rPr>
          <w:rFonts w:ascii="標楷體" w:eastAsia="標楷體" w:hAnsi="標楷體" w:hint="eastAsia"/>
          <w:bCs/>
          <w:sz w:val="28"/>
          <w:szCs w:val="36"/>
        </w:rPr>
        <w:t>本次考察</w:t>
      </w:r>
      <w:r w:rsidRPr="004933B4">
        <w:rPr>
          <w:rFonts w:ascii="標楷體" w:eastAsia="標楷體" w:hAnsi="標楷體"/>
          <w:bCs/>
          <w:sz w:val="28"/>
          <w:szCs w:val="36"/>
        </w:rPr>
        <w:t>鑑於台灣與日本在地理位置上同處環太平洋地震帶，且擁有相同的社經發展特性，尤其在2050淨零碳排路徑中，再生能源的發展是達成淨零碳排目標的重要環節之一，如何突破新世代能源的技術瓶頸，日本的相關技術、研發成果及發展情形，實值學習。</w:t>
      </w:r>
    </w:p>
    <w:p w14:paraId="13AD0F73" w14:textId="357A3D17" w:rsidR="002F0FC3" w:rsidRDefault="004933B4" w:rsidP="009C4EE0">
      <w:pPr>
        <w:pStyle w:val="af4"/>
        <w:numPr>
          <w:ilvl w:val="2"/>
          <w:numId w:val="2"/>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4933B4">
        <w:rPr>
          <w:rFonts w:ascii="標楷體" w:eastAsia="標楷體" w:hAnsi="標楷體" w:hint="eastAsia"/>
          <w:bCs/>
          <w:sz w:val="28"/>
          <w:szCs w:val="36"/>
        </w:rPr>
        <w:t>本次考察</w:t>
      </w:r>
      <w:r w:rsidR="002F0FC3" w:rsidRPr="004933B4">
        <w:rPr>
          <w:rFonts w:ascii="標楷體" w:eastAsia="標楷體" w:hAnsi="標楷體"/>
          <w:bCs/>
          <w:sz w:val="28"/>
          <w:szCs w:val="36"/>
        </w:rPr>
        <w:t>監察院認為，未來應持續深化臺日合作關係，尤其在科技領域，應積極推動實質技術交流，例如：半導體、再生能源、人工智慧等，以提升我國產業競爭力。臺日產業合作關係密切，例如：台積電</w:t>
      </w:r>
      <w:r w:rsidRPr="004933B4">
        <w:rPr>
          <w:rFonts w:ascii="標楷體" w:eastAsia="標楷體" w:hAnsi="標楷體" w:hint="eastAsia"/>
          <w:bCs/>
          <w:sz w:val="28"/>
          <w:szCs w:val="36"/>
        </w:rPr>
        <w:t>徵</w:t>
      </w:r>
      <w:r w:rsidR="002F0FC3" w:rsidRPr="004933B4">
        <w:rPr>
          <w:rFonts w:ascii="標楷體" w:eastAsia="標楷體" w:hAnsi="標楷體"/>
          <w:bCs/>
          <w:sz w:val="28"/>
          <w:szCs w:val="36"/>
        </w:rPr>
        <w:t>小尺寸精密晶片，</w:t>
      </w:r>
      <w:r w:rsidRPr="004933B4">
        <w:rPr>
          <w:rFonts w:ascii="標楷體" w:eastAsia="標楷體" w:hAnsi="標楷體" w:hint="eastAsia"/>
          <w:bCs/>
          <w:sz w:val="28"/>
          <w:szCs w:val="36"/>
        </w:rPr>
        <w:t>均先</w:t>
      </w:r>
      <w:r w:rsidR="002F0FC3" w:rsidRPr="004933B4">
        <w:rPr>
          <w:rFonts w:ascii="標楷體" w:eastAsia="標楷體" w:hAnsi="標楷體"/>
          <w:bCs/>
          <w:sz w:val="28"/>
          <w:szCs w:val="36"/>
        </w:rPr>
        <w:t>由日本任天堂應用於電玩設備，兩國互相在軟硬體的分工及合作，塑造台灣成為晶片王國之美譽。未來雙方可在此基礎上，進一步拓展合作領域，共同開發新興科技，</w:t>
      </w:r>
      <w:r w:rsidR="002F0FC3" w:rsidRPr="004933B4">
        <w:rPr>
          <w:rFonts w:ascii="標楷體" w:eastAsia="標楷體" w:hAnsi="標楷體"/>
          <w:bCs/>
          <w:sz w:val="28"/>
          <w:szCs w:val="36"/>
        </w:rPr>
        <w:lastRenderedPageBreak/>
        <w:t>創造互利共贏的局面。</w:t>
      </w:r>
      <w:r w:rsidRPr="004933B4">
        <w:rPr>
          <w:rFonts w:ascii="標楷體" w:eastAsia="標楷體" w:hAnsi="標楷體" w:hint="eastAsia"/>
          <w:bCs/>
          <w:sz w:val="28"/>
          <w:szCs w:val="36"/>
        </w:rPr>
        <w:t>且</w:t>
      </w:r>
      <w:r w:rsidR="002F0FC3" w:rsidRPr="004933B4">
        <w:rPr>
          <w:rFonts w:ascii="標楷體" w:eastAsia="標楷體" w:hAnsi="標楷體"/>
          <w:bCs/>
          <w:sz w:val="28"/>
          <w:szCs w:val="36"/>
        </w:rPr>
        <w:t>監察院本次考察行程安排緊湊，感謝台北駐日文化經濟代表處李逸洋大使協助，於考察期間安排機場交通接駁，讓本次考察任務得以順利圓滿完成。</w:t>
      </w:r>
    </w:p>
    <w:p w14:paraId="4F5E6463" w14:textId="733E0D18" w:rsidR="003D12CA" w:rsidRDefault="003D12CA" w:rsidP="003D12CA">
      <w:pPr>
        <w:tabs>
          <w:tab w:val="left" w:pos="-1920"/>
        </w:tabs>
        <w:snapToGrid w:val="0"/>
        <w:spacing w:beforeLines="15" w:before="36" w:afterLines="15" w:after="36"/>
        <w:jc w:val="center"/>
        <w:outlineLvl w:val="2"/>
        <w:rPr>
          <w:rFonts w:ascii="標楷體" w:eastAsia="標楷體" w:hAnsi="標楷體"/>
          <w:bCs/>
          <w:sz w:val="28"/>
          <w:szCs w:val="36"/>
        </w:rPr>
      </w:pPr>
      <w:r>
        <w:rPr>
          <w:noProof/>
        </w:rPr>
        <w:drawing>
          <wp:inline distT="0" distB="0" distL="0" distR="0" wp14:anchorId="2E893779" wp14:editId="1EA23A2E">
            <wp:extent cx="5252197" cy="3785616"/>
            <wp:effectExtent l="0" t="0" r="5715" b="5715"/>
            <wp:docPr id="5" name="圖片 5" descr="一張含有 服裝, 男人, 人員, 人的臉孔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圖片 5" descr="一張含有 服裝, 男人, 人員, 人的臉孔 的圖片&#10;&#10;自動產生的描述"/>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10128" r="6483"/>
                    <a:stretch/>
                  </pic:blipFill>
                  <pic:spPr bwMode="auto">
                    <a:xfrm>
                      <a:off x="0" y="0"/>
                      <a:ext cx="5265420" cy="3795147"/>
                    </a:xfrm>
                    <a:prstGeom prst="rect">
                      <a:avLst/>
                    </a:prstGeom>
                    <a:noFill/>
                    <a:ln>
                      <a:noFill/>
                    </a:ln>
                    <a:extLst>
                      <a:ext uri="{53640926-AAD7-44D8-BBD7-CCE9431645EC}">
                        <a14:shadowObscured xmlns:a14="http://schemas.microsoft.com/office/drawing/2010/main"/>
                      </a:ext>
                    </a:extLst>
                  </pic:spPr>
                </pic:pic>
              </a:graphicData>
            </a:graphic>
          </wp:inline>
        </w:drawing>
      </w:r>
    </w:p>
    <w:p w14:paraId="4139119A" w14:textId="03B29BEA" w:rsidR="003D12CA" w:rsidRPr="002A4102" w:rsidRDefault="003D12CA" w:rsidP="00E96C66">
      <w:pPr>
        <w:pStyle w:val="a1"/>
      </w:pPr>
      <w:bookmarkStart w:id="138" w:name="_Toc185426116"/>
      <w:bookmarkStart w:id="139" w:name="_Toc185605721"/>
      <w:bookmarkStart w:id="140" w:name="_Toc186029840"/>
      <w:r w:rsidRPr="003D12CA">
        <w:t>考察團隊拜會駐日代表</w:t>
      </w:r>
      <w:r w:rsidRPr="003D12CA">
        <w:rPr>
          <w:rFonts w:hint="eastAsia"/>
        </w:rPr>
        <w:t>李逸洋先生意見交流</w:t>
      </w:r>
      <w:r w:rsidRPr="003D12CA">
        <w:t>情</w:t>
      </w:r>
      <w:r w:rsidRPr="003D12CA">
        <w:rPr>
          <w:rFonts w:hint="eastAsia"/>
        </w:rPr>
        <w:t>形</w:t>
      </w:r>
      <w:bookmarkEnd w:id="138"/>
      <w:bookmarkEnd w:id="139"/>
      <w:bookmarkEnd w:id="140"/>
    </w:p>
    <w:p w14:paraId="57267677" w14:textId="77777777" w:rsidR="003D12CA" w:rsidRDefault="003D12CA" w:rsidP="003D12CA">
      <w:pPr>
        <w:tabs>
          <w:tab w:val="left" w:pos="-1920"/>
        </w:tabs>
        <w:snapToGrid w:val="0"/>
        <w:spacing w:beforeLines="15" w:before="36" w:afterLines="15" w:after="36"/>
        <w:jc w:val="both"/>
        <w:outlineLvl w:val="2"/>
        <w:rPr>
          <w:rFonts w:ascii="標楷體" w:eastAsia="標楷體" w:hAnsi="標楷體"/>
          <w:bCs/>
          <w:sz w:val="28"/>
          <w:szCs w:val="36"/>
        </w:rPr>
      </w:pPr>
    </w:p>
    <w:p w14:paraId="17E96C41" w14:textId="0E0CB1BE" w:rsidR="004933B4" w:rsidRDefault="004933B4" w:rsidP="006A02C0">
      <w:pPr>
        <w:tabs>
          <w:tab w:val="left" w:pos="-1920"/>
        </w:tabs>
        <w:snapToGrid w:val="0"/>
        <w:spacing w:beforeLines="15" w:before="36" w:afterLines="15" w:after="36"/>
        <w:jc w:val="center"/>
        <w:outlineLvl w:val="2"/>
        <w:rPr>
          <w:rFonts w:ascii="標楷體" w:eastAsia="標楷體" w:hAnsi="標楷體"/>
          <w:bCs/>
          <w:sz w:val="28"/>
          <w:szCs w:val="36"/>
        </w:rPr>
      </w:pPr>
      <w:r>
        <w:rPr>
          <w:rFonts w:ascii="標楷體" w:eastAsia="標楷體" w:hAnsi="標楷體"/>
          <w:bCs/>
          <w:noProof/>
          <w:sz w:val="28"/>
          <w:szCs w:val="36"/>
        </w:rPr>
        <w:drawing>
          <wp:inline distT="0" distB="0" distL="0" distR="0" wp14:anchorId="180B7CCC" wp14:editId="1EBDCC7D">
            <wp:extent cx="5143500" cy="3268980"/>
            <wp:effectExtent l="0" t="0" r="0" b="7620"/>
            <wp:docPr id="580950740" name="圖片 3" descr="一張含有 服裝, 人員, 牆, 室內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950740" name="圖片 3" descr="一張含有 服裝, 人員, 牆, 室內 的圖片&#10;&#10;自動產生的描述"/>
                    <pic:cNvPicPr/>
                  </pic:nvPicPr>
                  <pic:blipFill>
                    <a:blip r:embed="rId27">
                      <a:extLst>
                        <a:ext uri="{28A0092B-C50C-407E-A947-70E740481C1C}">
                          <a14:useLocalDpi xmlns:a14="http://schemas.microsoft.com/office/drawing/2010/main" val="0"/>
                        </a:ext>
                      </a:extLst>
                    </a:blip>
                    <a:stretch>
                      <a:fillRect/>
                    </a:stretch>
                  </pic:blipFill>
                  <pic:spPr>
                    <a:xfrm>
                      <a:off x="0" y="0"/>
                      <a:ext cx="5143500" cy="3268980"/>
                    </a:xfrm>
                    <a:prstGeom prst="rect">
                      <a:avLst/>
                    </a:prstGeom>
                  </pic:spPr>
                </pic:pic>
              </a:graphicData>
            </a:graphic>
          </wp:inline>
        </w:drawing>
      </w:r>
    </w:p>
    <w:p w14:paraId="4F305D89" w14:textId="721B7AE8" w:rsidR="004933B4" w:rsidRPr="002A4102" w:rsidRDefault="004933B4" w:rsidP="00E96C66">
      <w:pPr>
        <w:pStyle w:val="a1"/>
      </w:pPr>
      <w:bookmarkStart w:id="141" w:name="_Toc185426117"/>
      <w:bookmarkStart w:id="142" w:name="_Toc185605722"/>
      <w:bookmarkStart w:id="143" w:name="_Toc186029841"/>
      <w:r>
        <w:rPr>
          <w:rFonts w:hint="eastAsia"/>
        </w:rPr>
        <w:t>監察委員鴻義章拜會駐日代表處李逸洋大使</w:t>
      </w:r>
      <w:bookmarkEnd w:id="141"/>
      <w:bookmarkEnd w:id="142"/>
      <w:bookmarkEnd w:id="143"/>
    </w:p>
    <w:p w14:paraId="4ADE5FAC" w14:textId="50B4A9E7" w:rsidR="00BA4FF8" w:rsidRPr="00C07F84" w:rsidRDefault="00BA4FF8" w:rsidP="009C4EE0">
      <w:pPr>
        <w:pStyle w:val="af4"/>
        <w:numPr>
          <w:ilvl w:val="1"/>
          <w:numId w:val="2"/>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bookmarkStart w:id="144" w:name="_Toc185412452"/>
      <w:r w:rsidRPr="00C07F84">
        <w:rPr>
          <w:rFonts w:ascii="標楷體" w:eastAsia="標楷體" w:hAnsi="標楷體" w:hint="eastAsia"/>
          <w:bCs/>
          <w:sz w:val="28"/>
          <w:szCs w:val="36"/>
        </w:rPr>
        <w:lastRenderedPageBreak/>
        <w:t>東京大學植物分子遺傳學研究室</w:t>
      </w:r>
      <w:bookmarkEnd w:id="144"/>
    </w:p>
    <w:p w14:paraId="5D2871DA" w14:textId="4E9D6B7B" w:rsidR="00BD3D9B" w:rsidRPr="00BD3D9B" w:rsidRDefault="00BD3D9B" w:rsidP="003213CB">
      <w:pPr>
        <w:snapToGrid w:val="0"/>
        <w:spacing w:beforeLines="15" w:before="36" w:afterLines="15" w:after="36" w:line="440" w:lineRule="exact"/>
        <w:ind w:leftChars="418" w:left="1003" w:firstLineChars="200" w:firstLine="560"/>
        <w:jc w:val="both"/>
        <w:rPr>
          <w:rFonts w:ascii="標楷體" w:eastAsia="標楷體" w:hAnsi="標楷體"/>
          <w:bCs/>
          <w:sz w:val="28"/>
          <w:szCs w:val="36"/>
        </w:rPr>
      </w:pPr>
      <w:r w:rsidRPr="00BD3D9B">
        <w:rPr>
          <w:rFonts w:ascii="標楷體" w:eastAsia="標楷體" w:hAnsi="標楷體"/>
          <w:bCs/>
          <w:sz w:val="28"/>
          <w:szCs w:val="36"/>
        </w:rPr>
        <w:t>為深入瞭解日本在能源轉型政策方面的規劃和執行情況，以及學術界在相關領域的研究成果，本次考察特別</w:t>
      </w:r>
      <w:r>
        <w:rPr>
          <w:rFonts w:ascii="標楷體" w:eastAsia="標楷體" w:hAnsi="標楷體" w:hint="eastAsia"/>
          <w:bCs/>
          <w:sz w:val="28"/>
          <w:szCs w:val="36"/>
        </w:rPr>
        <w:t>於113年12月5日</w:t>
      </w:r>
      <w:r w:rsidRPr="00BD3D9B">
        <w:rPr>
          <w:rFonts w:ascii="標楷體" w:eastAsia="標楷體" w:hAnsi="標楷體"/>
          <w:bCs/>
          <w:sz w:val="28"/>
          <w:szCs w:val="36"/>
        </w:rPr>
        <w:t>拜訪東京大學副校長堤伸浩教授</w:t>
      </w:r>
      <w:r w:rsidR="00F3658C">
        <w:rPr>
          <w:rStyle w:val="aff9"/>
          <w:rFonts w:ascii="標楷體" w:eastAsia="標楷體" w:hAnsi="標楷體"/>
          <w:bCs/>
          <w:sz w:val="28"/>
          <w:szCs w:val="36"/>
        </w:rPr>
        <w:footnoteReference w:id="4"/>
      </w:r>
      <w:r w:rsidRPr="00BD3D9B">
        <w:rPr>
          <w:rFonts w:ascii="標楷體" w:eastAsia="標楷體" w:hAnsi="標楷體"/>
          <w:bCs/>
          <w:sz w:val="28"/>
          <w:szCs w:val="36"/>
        </w:rPr>
        <w:t>。堤教授長期關注永續發展議題，並積極參與相關研究，其豐富的學術經驗和獨到見解，為本次考察提供寶貴</w:t>
      </w:r>
      <w:r>
        <w:rPr>
          <w:rFonts w:ascii="標楷體" w:eastAsia="標楷體" w:hAnsi="標楷體" w:hint="eastAsia"/>
          <w:bCs/>
          <w:sz w:val="28"/>
          <w:szCs w:val="36"/>
        </w:rPr>
        <w:t>及專業的見解，亦</w:t>
      </w:r>
      <w:r w:rsidRPr="00BD3D9B">
        <w:rPr>
          <w:rFonts w:ascii="標楷體" w:eastAsia="標楷體" w:hAnsi="標楷體"/>
          <w:bCs/>
          <w:spacing w:val="-10"/>
          <w:sz w:val="28"/>
          <w:szCs w:val="28"/>
        </w:rPr>
        <w:t>讓我們深刻體認到學術研究在能源轉型中扮演的關鍵角色。監察院將持續關注能源轉型議題，並參考日本的經驗和作法，監督政府相關政策規劃</w:t>
      </w:r>
      <w:r w:rsidR="009E4873">
        <w:rPr>
          <w:rFonts w:ascii="標楷體" w:eastAsia="標楷體" w:hAnsi="標楷體" w:hint="eastAsia"/>
          <w:bCs/>
          <w:spacing w:val="-10"/>
          <w:sz w:val="28"/>
          <w:szCs w:val="28"/>
        </w:rPr>
        <w:t>及</w:t>
      </w:r>
      <w:r w:rsidRPr="00BD3D9B">
        <w:rPr>
          <w:rFonts w:ascii="標楷體" w:eastAsia="標楷體" w:hAnsi="標楷體"/>
          <w:bCs/>
          <w:spacing w:val="-10"/>
          <w:sz w:val="28"/>
          <w:szCs w:val="28"/>
        </w:rPr>
        <w:t>執行，確保能源轉型的順利推動。</w:t>
      </w:r>
    </w:p>
    <w:p w14:paraId="73A49E2B" w14:textId="77777777" w:rsidR="00BD3D9B" w:rsidRPr="00BD3D9B" w:rsidRDefault="00BD3D9B" w:rsidP="009C4EE0">
      <w:pPr>
        <w:pStyle w:val="af4"/>
        <w:numPr>
          <w:ilvl w:val="2"/>
          <w:numId w:val="2"/>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BD3D9B">
        <w:rPr>
          <w:rFonts w:ascii="標楷體" w:eastAsia="標楷體" w:hAnsi="標楷體"/>
          <w:bCs/>
          <w:sz w:val="28"/>
          <w:szCs w:val="36"/>
        </w:rPr>
        <w:t>能源轉型與學術研究</w:t>
      </w:r>
    </w:p>
    <w:p w14:paraId="0D54DFFE" w14:textId="7C051B0B" w:rsidR="00BD3D9B" w:rsidRPr="00BD3D9B" w:rsidRDefault="00BD3D9B" w:rsidP="00FA6637">
      <w:pPr>
        <w:snapToGrid w:val="0"/>
        <w:spacing w:beforeLines="15" w:before="36" w:afterLines="15" w:after="36" w:line="440" w:lineRule="exact"/>
        <w:ind w:leftChars="418" w:left="1003" w:firstLineChars="200" w:firstLine="560"/>
        <w:jc w:val="both"/>
        <w:rPr>
          <w:rFonts w:ascii="標楷體" w:eastAsia="標楷體" w:hAnsi="標楷體"/>
          <w:bCs/>
          <w:sz w:val="28"/>
          <w:szCs w:val="36"/>
        </w:rPr>
      </w:pPr>
      <w:r>
        <w:rPr>
          <w:rFonts w:ascii="標楷體" w:eastAsia="標楷體" w:hAnsi="標楷體" w:hint="eastAsia"/>
          <w:bCs/>
          <w:sz w:val="28"/>
          <w:szCs w:val="36"/>
        </w:rPr>
        <w:t>東京大學副校長</w:t>
      </w:r>
      <w:r w:rsidRPr="00BD3D9B">
        <w:rPr>
          <w:rFonts w:ascii="標楷體" w:eastAsia="標楷體" w:hAnsi="標楷體"/>
          <w:bCs/>
          <w:sz w:val="28"/>
          <w:szCs w:val="36"/>
        </w:rPr>
        <w:t>堤教授詳細介紹日本政府在能源轉型方面的政策目標和具體措施，包括提高再生能源比例、發展氫能和碳捕捉技術等。堤教授</w:t>
      </w:r>
      <w:r>
        <w:rPr>
          <w:rFonts w:ascii="標楷體" w:eastAsia="標楷體" w:hAnsi="標楷體" w:hint="eastAsia"/>
          <w:bCs/>
          <w:sz w:val="28"/>
          <w:szCs w:val="36"/>
        </w:rPr>
        <w:t>亦</w:t>
      </w:r>
      <w:r w:rsidRPr="00BD3D9B">
        <w:rPr>
          <w:rFonts w:ascii="標楷體" w:eastAsia="標楷體" w:hAnsi="標楷體"/>
          <w:bCs/>
          <w:sz w:val="28"/>
          <w:szCs w:val="36"/>
        </w:rPr>
        <w:t>分享東京大學在能源轉型領域的研究成果，例如：</w:t>
      </w:r>
    </w:p>
    <w:p w14:paraId="0C21DD3B" w14:textId="3CEBB708" w:rsidR="00BD3D9B" w:rsidRPr="00BD3D9B" w:rsidRDefault="00BD3D9B" w:rsidP="009C4EE0">
      <w:pPr>
        <w:pStyle w:val="af4"/>
        <w:numPr>
          <w:ilvl w:val="3"/>
          <w:numId w:val="2"/>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BD3D9B">
        <w:rPr>
          <w:rFonts w:ascii="標楷體" w:eastAsia="標楷體" w:hAnsi="標楷體"/>
          <w:bCs/>
          <w:sz w:val="28"/>
          <w:szCs w:val="36"/>
        </w:rPr>
        <w:t>新世代太陽能電池的研發</w:t>
      </w:r>
      <w:r>
        <w:rPr>
          <w:rFonts w:ascii="標楷體" w:eastAsia="標楷體" w:hAnsi="標楷體" w:hint="eastAsia"/>
          <w:bCs/>
          <w:sz w:val="28"/>
          <w:szCs w:val="36"/>
        </w:rPr>
        <w:t>：</w:t>
      </w:r>
      <w:r w:rsidRPr="00BD3D9B">
        <w:rPr>
          <w:rFonts w:ascii="標楷體" w:eastAsia="標楷體" w:hAnsi="標楷體"/>
          <w:bCs/>
          <w:sz w:val="28"/>
          <w:szCs w:val="36"/>
        </w:rPr>
        <w:t>東京大學的研究團隊致力於開發更高效、更低成本的新世代太陽能電池，以提升太陽能發電的效率和競爭力。</w:t>
      </w:r>
    </w:p>
    <w:p w14:paraId="0A30DEA1" w14:textId="0E2B95B9" w:rsidR="00BD3D9B" w:rsidRPr="00BD3D9B" w:rsidRDefault="00BD3D9B" w:rsidP="009C4EE0">
      <w:pPr>
        <w:pStyle w:val="af4"/>
        <w:numPr>
          <w:ilvl w:val="3"/>
          <w:numId w:val="2"/>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BD3D9B">
        <w:rPr>
          <w:rFonts w:ascii="標楷體" w:eastAsia="標楷體" w:hAnsi="標楷體"/>
          <w:bCs/>
          <w:sz w:val="28"/>
          <w:szCs w:val="36"/>
        </w:rPr>
        <w:t>儲能技術的創新</w:t>
      </w:r>
      <w:r>
        <w:rPr>
          <w:rFonts w:ascii="標楷體" w:eastAsia="標楷體" w:hAnsi="標楷體" w:hint="eastAsia"/>
          <w:bCs/>
          <w:sz w:val="28"/>
          <w:szCs w:val="36"/>
        </w:rPr>
        <w:t>：</w:t>
      </w:r>
      <w:r w:rsidRPr="00BD3D9B">
        <w:rPr>
          <w:rFonts w:ascii="標楷體" w:eastAsia="標楷體" w:hAnsi="標楷體"/>
          <w:bCs/>
          <w:sz w:val="28"/>
          <w:szCs w:val="36"/>
        </w:rPr>
        <w:t>針對再生能源發電的不穩定性，東京大學的研究團隊積極研發新的儲能技術，例如</w:t>
      </w:r>
      <w:r w:rsidRPr="00BD3D9B">
        <w:rPr>
          <w:rFonts w:ascii="標楷體" w:eastAsia="標楷體" w:hAnsi="標楷體" w:hint="eastAsia"/>
          <w:bCs/>
          <w:sz w:val="28"/>
          <w:szCs w:val="36"/>
        </w:rPr>
        <w:t>先進的電池技術與抽水蓄能</w:t>
      </w:r>
      <w:r w:rsidRPr="00BD3D9B">
        <w:rPr>
          <w:rFonts w:ascii="標楷體" w:eastAsia="標楷體" w:hAnsi="標楷體"/>
          <w:bCs/>
          <w:sz w:val="28"/>
          <w:szCs w:val="36"/>
        </w:rPr>
        <w:t>，以提升電力系統的穩定性和可靠度。</w:t>
      </w:r>
    </w:p>
    <w:p w14:paraId="0FD970D3" w14:textId="5A1CDD72" w:rsidR="00BD3D9B" w:rsidRPr="00BD3D9B" w:rsidRDefault="00BD3D9B" w:rsidP="009C4EE0">
      <w:pPr>
        <w:pStyle w:val="af4"/>
        <w:numPr>
          <w:ilvl w:val="3"/>
          <w:numId w:val="2"/>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BD3D9B">
        <w:rPr>
          <w:rFonts w:ascii="標楷體" w:eastAsia="標楷體" w:hAnsi="標楷體"/>
          <w:bCs/>
          <w:sz w:val="28"/>
          <w:szCs w:val="36"/>
        </w:rPr>
        <w:t>氫能應用</w:t>
      </w:r>
      <w:r>
        <w:rPr>
          <w:rFonts w:ascii="標楷體" w:eastAsia="標楷體" w:hAnsi="標楷體" w:hint="eastAsia"/>
          <w:bCs/>
          <w:sz w:val="28"/>
          <w:szCs w:val="36"/>
        </w:rPr>
        <w:t>：</w:t>
      </w:r>
      <w:r w:rsidRPr="00BD3D9B">
        <w:rPr>
          <w:rFonts w:ascii="標楷體" w:eastAsia="標楷體" w:hAnsi="標楷體"/>
          <w:bCs/>
          <w:sz w:val="28"/>
          <w:szCs w:val="36"/>
        </w:rPr>
        <w:t>東京大學研究團隊積極探索氫能的應用，包括氫燃料電池的開發、氫能儲存和運輸等，以期建立</w:t>
      </w:r>
      <w:r w:rsidRPr="00BD3D9B">
        <w:rPr>
          <w:rFonts w:ascii="標楷體" w:eastAsia="標楷體" w:hAnsi="標楷體" w:hint="eastAsia"/>
          <w:bCs/>
          <w:sz w:val="28"/>
          <w:szCs w:val="36"/>
        </w:rPr>
        <w:t>未來氫能源社會</w:t>
      </w:r>
      <w:r w:rsidRPr="00BD3D9B">
        <w:rPr>
          <w:rFonts w:ascii="標楷體" w:eastAsia="標楷體" w:hAnsi="標楷體"/>
          <w:bCs/>
          <w:sz w:val="28"/>
          <w:szCs w:val="36"/>
        </w:rPr>
        <w:t>。</w:t>
      </w:r>
    </w:p>
    <w:p w14:paraId="23CA1A2F" w14:textId="77777777" w:rsidR="00BD3D9B" w:rsidRPr="00BD3D9B" w:rsidRDefault="00BD3D9B" w:rsidP="009C4EE0">
      <w:pPr>
        <w:pStyle w:val="af4"/>
        <w:numPr>
          <w:ilvl w:val="2"/>
          <w:numId w:val="2"/>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BD3D9B">
        <w:rPr>
          <w:rFonts w:ascii="標楷體" w:eastAsia="標楷體" w:hAnsi="標楷體"/>
          <w:bCs/>
          <w:sz w:val="28"/>
          <w:szCs w:val="36"/>
        </w:rPr>
        <w:t>跨領域合作與人才培育</w:t>
      </w:r>
    </w:p>
    <w:p w14:paraId="1B5B3426" w14:textId="3148ECD1" w:rsidR="00BD3D9B" w:rsidRPr="00BD3D9B" w:rsidRDefault="00BD3D9B" w:rsidP="00C07F84">
      <w:pPr>
        <w:snapToGrid w:val="0"/>
        <w:spacing w:beforeLines="15" w:before="36" w:afterLines="15" w:after="36" w:line="440" w:lineRule="exact"/>
        <w:ind w:leftChars="418" w:left="1003" w:firstLineChars="200" w:firstLine="560"/>
        <w:jc w:val="both"/>
        <w:rPr>
          <w:rFonts w:ascii="標楷體" w:eastAsia="標楷體" w:hAnsi="標楷體"/>
          <w:bCs/>
          <w:sz w:val="28"/>
          <w:szCs w:val="36"/>
        </w:rPr>
      </w:pPr>
      <w:r>
        <w:rPr>
          <w:rFonts w:ascii="標楷體" w:eastAsia="標楷體" w:hAnsi="標楷體" w:hint="eastAsia"/>
          <w:bCs/>
          <w:sz w:val="28"/>
          <w:szCs w:val="36"/>
        </w:rPr>
        <w:t>東京大學副校長</w:t>
      </w:r>
      <w:r w:rsidRPr="00BD3D9B">
        <w:rPr>
          <w:rFonts w:ascii="標楷體" w:eastAsia="標楷體" w:hAnsi="標楷體"/>
          <w:bCs/>
          <w:sz w:val="28"/>
          <w:szCs w:val="36"/>
        </w:rPr>
        <w:t>堤教授強調，能源轉型需要跨領域的合作，整合工程、科學、經濟、社會等各方面的</w:t>
      </w:r>
      <w:r>
        <w:rPr>
          <w:rFonts w:ascii="標楷體" w:eastAsia="標楷體" w:hAnsi="標楷體" w:hint="eastAsia"/>
          <w:bCs/>
          <w:sz w:val="28"/>
          <w:szCs w:val="36"/>
        </w:rPr>
        <w:t>經驗</w:t>
      </w:r>
      <w:r w:rsidRPr="00BD3D9B">
        <w:rPr>
          <w:rFonts w:ascii="標楷體" w:eastAsia="標楷體" w:hAnsi="標楷體"/>
          <w:bCs/>
          <w:sz w:val="28"/>
          <w:szCs w:val="36"/>
        </w:rPr>
        <w:t>。東京大學積極推動跨領域研究，並設立相關的學程和研究中心，培育能源轉型所需的人才。</w:t>
      </w:r>
      <w:r>
        <w:rPr>
          <w:rFonts w:ascii="標楷體" w:eastAsia="標楷體" w:hAnsi="標楷體" w:hint="eastAsia"/>
          <w:bCs/>
          <w:sz w:val="28"/>
          <w:szCs w:val="36"/>
        </w:rPr>
        <w:t>另</w:t>
      </w:r>
      <w:r w:rsidRPr="00BD3D9B">
        <w:rPr>
          <w:rFonts w:ascii="標楷體" w:eastAsia="標楷體" w:hAnsi="標楷體"/>
          <w:bCs/>
          <w:sz w:val="28"/>
          <w:szCs w:val="36"/>
        </w:rPr>
        <w:t>東京大學</w:t>
      </w:r>
      <w:r>
        <w:rPr>
          <w:rFonts w:ascii="標楷體" w:eastAsia="標楷體" w:hAnsi="標楷體" w:hint="eastAsia"/>
          <w:bCs/>
          <w:sz w:val="28"/>
          <w:szCs w:val="36"/>
        </w:rPr>
        <w:t>亦</w:t>
      </w:r>
      <w:r w:rsidRPr="00BD3D9B">
        <w:rPr>
          <w:rFonts w:ascii="標楷體" w:eastAsia="標楷體" w:hAnsi="標楷體"/>
          <w:bCs/>
          <w:sz w:val="28"/>
          <w:szCs w:val="36"/>
        </w:rPr>
        <w:t>與產業界密切合作，促進</w:t>
      </w:r>
      <w:r w:rsidRPr="00BD3D9B">
        <w:rPr>
          <w:rFonts w:ascii="標楷體" w:eastAsia="標楷體" w:hAnsi="標楷體" w:hint="eastAsia"/>
          <w:bCs/>
          <w:sz w:val="28"/>
          <w:szCs w:val="36"/>
        </w:rPr>
        <w:t>研究成果商業化</w:t>
      </w:r>
      <w:r w:rsidRPr="00BD3D9B">
        <w:rPr>
          <w:rFonts w:ascii="標楷體" w:eastAsia="標楷體" w:hAnsi="標楷體"/>
          <w:bCs/>
          <w:sz w:val="28"/>
          <w:szCs w:val="36"/>
        </w:rPr>
        <w:t>，加速能源轉型的進程。</w:t>
      </w:r>
    </w:p>
    <w:p w14:paraId="14EC5CB1" w14:textId="77777777" w:rsidR="00BD3D9B" w:rsidRPr="00BD3D9B" w:rsidRDefault="00BD3D9B" w:rsidP="009C4EE0">
      <w:pPr>
        <w:pStyle w:val="af4"/>
        <w:numPr>
          <w:ilvl w:val="2"/>
          <w:numId w:val="2"/>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BD3D9B">
        <w:rPr>
          <w:rFonts w:ascii="標楷體" w:eastAsia="標楷體" w:hAnsi="標楷體"/>
          <w:bCs/>
          <w:sz w:val="28"/>
          <w:szCs w:val="36"/>
        </w:rPr>
        <w:t>國際合作與永續發展</w:t>
      </w:r>
    </w:p>
    <w:p w14:paraId="4AAC9F55" w14:textId="77777777" w:rsidR="00BD3D9B" w:rsidRDefault="00BD3D9B" w:rsidP="00FA6637">
      <w:pPr>
        <w:snapToGrid w:val="0"/>
        <w:spacing w:beforeLines="15" w:before="36" w:afterLines="15" w:after="36" w:line="440" w:lineRule="exact"/>
        <w:ind w:leftChars="418" w:left="1003" w:firstLineChars="200" w:firstLine="560"/>
        <w:jc w:val="both"/>
        <w:rPr>
          <w:rFonts w:ascii="標楷體" w:eastAsia="標楷體" w:hAnsi="標楷體"/>
          <w:bCs/>
          <w:sz w:val="28"/>
          <w:szCs w:val="36"/>
        </w:rPr>
      </w:pPr>
      <w:r w:rsidRPr="00BD3D9B">
        <w:rPr>
          <w:rFonts w:ascii="標楷體" w:eastAsia="標楷體" w:hAnsi="標楷體"/>
          <w:bCs/>
          <w:sz w:val="28"/>
          <w:szCs w:val="36"/>
        </w:rPr>
        <w:lastRenderedPageBreak/>
        <w:t>堤教授表示，能源轉型是全球共同面臨的挑戰，需要各國攜手合作，分享經驗和技術。東京大學積極參與國際合作計畫，與世界各地的研究機構和大學共同推動能源轉型和永續發展。堤教授也期許，未來能與監察院就永續發展、能源轉型等議題，進行更深入的交流與合作，共同為人類社會的永續未來貢獻心力。</w:t>
      </w:r>
    </w:p>
    <w:p w14:paraId="2148428D" w14:textId="188630F3" w:rsidR="00BF53E4" w:rsidRDefault="00BF53E4" w:rsidP="00BF53E4">
      <w:pPr>
        <w:snapToGrid w:val="0"/>
        <w:spacing w:beforeLines="15" w:before="36" w:afterLines="15" w:after="36"/>
        <w:jc w:val="center"/>
        <w:rPr>
          <w:rFonts w:ascii="標楷體" w:eastAsia="標楷體" w:hAnsi="標楷體"/>
          <w:bCs/>
          <w:sz w:val="28"/>
          <w:szCs w:val="36"/>
        </w:rPr>
      </w:pPr>
      <w:r>
        <w:rPr>
          <w:rFonts w:ascii="標楷體" w:eastAsia="標楷體" w:hAnsi="標楷體" w:hint="eastAsia"/>
          <w:bCs/>
          <w:noProof/>
          <w:sz w:val="28"/>
          <w:szCs w:val="36"/>
        </w:rPr>
        <w:drawing>
          <wp:inline distT="0" distB="0" distL="0" distR="0" wp14:anchorId="6F1091B9" wp14:editId="1E18AB2E">
            <wp:extent cx="4441978" cy="2941320"/>
            <wp:effectExtent l="0" t="0" r="0" b="0"/>
            <wp:docPr id="729537562" name="圖片 2" descr="一張含有 服裝, 人員, 建築, 足部穿著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537562" name="圖片 2" descr="一張含有 服裝, 人員, 建築, 足部穿著 的圖片&#10;&#10;自動產生的描述"/>
                    <pic:cNvPicPr/>
                  </pic:nvPicPr>
                  <pic:blipFill rotWithShape="1">
                    <a:blip r:embed="rId28" cstate="print">
                      <a:extLst>
                        <a:ext uri="{28A0092B-C50C-407E-A947-70E740481C1C}">
                          <a14:useLocalDpi xmlns:a14="http://schemas.microsoft.com/office/drawing/2010/main" val="0"/>
                        </a:ext>
                      </a:extLst>
                    </a:blip>
                    <a:srcRect t="5920" b="5790"/>
                    <a:stretch/>
                  </pic:blipFill>
                  <pic:spPr bwMode="auto">
                    <a:xfrm>
                      <a:off x="0" y="0"/>
                      <a:ext cx="4461767" cy="2954423"/>
                    </a:xfrm>
                    <a:prstGeom prst="rect">
                      <a:avLst/>
                    </a:prstGeom>
                    <a:ln>
                      <a:noFill/>
                    </a:ln>
                    <a:extLst>
                      <a:ext uri="{53640926-AAD7-44D8-BBD7-CCE9431645EC}">
                        <a14:shadowObscured xmlns:a14="http://schemas.microsoft.com/office/drawing/2010/main"/>
                      </a:ext>
                    </a:extLst>
                  </pic:spPr>
                </pic:pic>
              </a:graphicData>
            </a:graphic>
          </wp:inline>
        </w:drawing>
      </w:r>
    </w:p>
    <w:p w14:paraId="4423FB38" w14:textId="14C362EA" w:rsidR="00BF53E4" w:rsidRPr="003D12CA" w:rsidRDefault="00BF53E4" w:rsidP="00E96C66">
      <w:pPr>
        <w:pStyle w:val="a1"/>
        <w:rPr>
          <w:szCs w:val="32"/>
        </w:rPr>
      </w:pPr>
      <w:bookmarkStart w:id="145" w:name="_Toc185426118"/>
      <w:bookmarkStart w:id="146" w:name="_Toc185605723"/>
      <w:bookmarkStart w:id="147" w:name="_Toc186029842"/>
      <w:r w:rsidRPr="00BD3D9B">
        <w:t>拜</w:t>
      </w:r>
      <w:r>
        <w:rPr>
          <w:rFonts w:hint="eastAsia"/>
        </w:rPr>
        <w:t>會</w:t>
      </w:r>
      <w:r w:rsidRPr="00BD3D9B">
        <w:t>東京大學副校長堤伸浩教授</w:t>
      </w:r>
      <w:bookmarkEnd w:id="145"/>
      <w:bookmarkEnd w:id="146"/>
      <w:bookmarkEnd w:id="147"/>
    </w:p>
    <w:p w14:paraId="15E3F298" w14:textId="5FD91DBB" w:rsidR="003D12CA" w:rsidRPr="003D12CA" w:rsidRDefault="003D12CA" w:rsidP="003D12CA">
      <w:pPr>
        <w:pStyle w:val="aff4"/>
        <w:spacing w:beforeLines="15" w:before="36" w:afterLines="15" w:after="36"/>
        <w:rPr>
          <w:bCs/>
          <w:sz w:val="24"/>
          <w:szCs w:val="32"/>
        </w:rPr>
      </w:pPr>
      <w:r>
        <w:rPr>
          <w:noProof/>
        </w:rPr>
        <w:drawing>
          <wp:inline distT="0" distB="0" distL="0" distR="0" wp14:anchorId="27567896" wp14:editId="705BA81E">
            <wp:extent cx="3854518" cy="4456857"/>
            <wp:effectExtent l="3810" t="0" r="0" b="0"/>
            <wp:docPr id="9" name="圖片 9" descr="一張含有 人員, 服裝, 人的臉孔, 室內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圖片 9" descr="一張含有 人員, 服裝, 人的臉孔, 室內 的圖片&#10;&#10;自動產生的描述"/>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8347" r="26792"/>
                    <a:stretch/>
                  </pic:blipFill>
                  <pic:spPr bwMode="auto">
                    <a:xfrm rot="5400000">
                      <a:off x="0" y="0"/>
                      <a:ext cx="3866322" cy="4470505"/>
                    </a:xfrm>
                    <a:prstGeom prst="rect">
                      <a:avLst/>
                    </a:prstGeom>
                    <a:noFill/>
                    <a:ln>
                      <a:noFill/>
                    </a:ln>
                    <a:extLst>
                      <a:ext uri="{53640926-AAD7-44D8-BBD7-CCE9431645EC}">
                        <a14:shadowObscured xmlns:a14="http://schemas.microsoft.com/office/drawing/2010/main"/>
                      </a:ext>
                    </a:extLst>
                  </pic:spPr>
                </pic:pic>
              </a:graphicData>
            </a:graphic>
          </wp:inline>
        </w:drawing>
      </w:r>
    </w:p>
    <w:p w14:paraId="0BFCE72D" w14:textId="5A51FB28" w:rsidR="003D12CA" w:rsidRPr="00BF53E4" w:rsidRDefault="003D12CA" w:rsidP="00E96C66">
      <w:pPr>
        <w:pStyle w:val="a1"/>
      </w:pPr>
      <w:bookmarkStart w:id="148" w:name="_Toc185426119"/>
      <w:bookmarkStart w:id="149" w:name="_Toc185605724"/>
      <w:bookmarkStart w:id="150" w:name="_Toc186029843"/>
      <w:r w:rsidRPr="003D12CA">
        <w:t>考察團隊拜會</w:t>
      </w:r>
      <w:r w:rsidRPr="003D12CA">
        <w:rPr>
          <w:rFonts w:hint="eastAsia"/>
        </w:rPr>
        <w:t>東京大學副校長</w:t>
      </w:r>
      <w:r w:rsidRPr="003D12CA">
        <w:t>堤伸浩教授</w:t>
      </w:r>
      <w:r w:rsidRPr="003D12CA">
        <w:rPr>
          <w:rFonts w:hint="eastAsia"/>
        </w:rPr>
        <w:t>意見交流情形</w:t>
      </w:r>
      <w:bookmarkEnd w:id="148"/>
      <w:bookmarkEnd w:id="149"/>
      <w:bookmarkEnd w:id="150"/>
    </w:p>
    <w:p w14:paraId="5009359B" w14:textId="0BA57253" w:rsidR="00BA4FF8" w:rsidRPr="00FA6637" w:rsidRDefault="00BE1EC0" w:rsidP="009C4EE0">
      <w:pPr>
        <w:pStyle w:val="af4"/>
        <w:numPr>
          <w:ilvl w:val="1"/>
          <w:numId w:val="2"/>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bookmarkStart w:id="151" w:name="_Toc185412453"/>
      <w:r w:rsidRPr="00FA6637">
        <w:rPr>
          <w:rFonts w:ascii="標楷體" w:eastAsia="標楷體" w:hAnsi="標楷體" w:hint="eastAsia"/>
          <w:bCs/>
          <w:sz w:val="28"/>
          <w:szCs w:val="36"/>
        </w:rPr>
        <w:lastRenderedPageBreak/>
        <w:t>拜訪</w:t>
      </w:r>
      <w:r w:rsidR="00BA4FF8" w:rsidRPr="00FA6637">
        <w:rPr>
          <w:rFonts w:ascii="標楷體" w:eastAsia="標楷體" w:hAnsi="標楷體" w:hint="eastAsia"/>
          <w:bCs/>
          <w:sz w:val="28"/>
          <w:szCs w:val="36"/>
        </w:rPr>
        <w:t>日本</w:t>
      </w:r>
      <w:r w:rsidR="00F3658C" w:rsidRPr="00FA6637">
        <w:rPr>
          <w:rFonts w:ascii="標楷體" w:eastAsia="標楷體" w:hAnsi="標楷體" w:hint="eastAsia"/>
          <w:bCs/>
          <w:sz w:val="28"/>
          <w:szCs w:val="36"/>
        </w:rPr>
        <w:t>參議院議員</w:t>
      </w:r>
      <w:r w:rsidR="00BA4FF8" w:rsidRPr="00FA6637">
        <w:rPr>
          <w:rFonts w:ascii="標楷體" w:eastAsia="標楷體" w:hAnsi="標楷體" w:hint="eastAsia"/>
          <w:bCs/>
          <w:sz w:val="28"/>
          <w:szCs w:val="36"/>
        </w:rPr>
        <w:t>佐藤正久(</w:t>
      </w:r>
      <w:r w:rsidR="00BA4FF8" w:rsidRPr="00FA6637">
        <w:rPr>
          <w:rFonts w:ascii="標楷體" w:eastAsia="標楷體" w:hAnsi="標楷體"/>
          <w:bCs/>
          <w:sz w:val="28"/>
          <w:szCs w:val="36"/>
        </w:rPr>
        <w:t>さとう まさひさ</w:t>
      </w:r>
      <w:r w:rsidR="00BA4FF8" w:rsidRPr="00FA6637">
        <w:rPr>
          <w:rFonts w:ascii="標楷體" w:eastAsia="標楷體" w:hAnsi="標楷體" w:hint="eastAsia"/>
          <w:bCs/>
          <w:sz w:val="28"/>
          <w:szCs w:val="36"/>
        </w:rPr>
        <w:t>，自由民主黨幹事長)</w:t>
      </w:r>
      <w:bookmarkEnd w:id="151"/>
    </w:p>
    <w:p w14:paraId="66F17466" w14:textId="04179DED" w:rsidR="00CE2FF1" w:rsidRDefault="00AF0EAA" w:rsidP="009E4873">
      <w:pPr>
        <w:snapToGrid w:val="0"/>
        <w:spacing w:beforeLines="15" w:before="36" w:afterLines="15" w:after="36" w:line="440" w:lineRule="exact"/>
        <w:ind w:leftChars="418" w:left="1003" w:firstLineChars="200" w:firstLine="560"/>
        <w:jc w:val="both"/>
        <w:rPr>
          <w:rFonts w:ascii="標楷體" w:eastAsia="標楷體" w:hAnsi="標楷體"/>
          <w:bCs/>
          <w:sz w:val="28"/>
          <w:szCs w:val="36"/>
        </w:rPr>
      </w:pPr>
      <w:r w:rsidRPr="00AF0EAA">
        <w:rPr>
          <w:rFonts w:ascii="標楷體" w:eastAsia="標楷體" w:hAnsi="標楷體"/>
          <w:bCs/>
          <w:sz w:val="28"/>
          <w:szCs w:val="36"/>
        </w:rPr>
        <w:t>日本</w:t>
      </w:r>
      <w:r w:rsidR="00F3658C">
        <w:rPr>
          <w:rFonts w:ascii="標楷體" w:eastAsia="標楷體" w:hAnsi="標楷體" w:hint="eastAsia"/>
          <w:bCs/>
          <w:sz w:val="28"/>
          <w:szCs w:val="36"/>
        </w:rPr>
        <w:t>參議院議員</w:t>
      </w:r>
      <w:r w:rsidRPr="00AF0EAA">
        <w:rPr>
          <w:rFonts w:ascii="標楷體" w:eastAsia="標楷體" w:hAnsi="標楷體"/>
          <w:bCs/>
          <w:sz w:val="28"/>
          <w:szCs w:val="36"/>
        </w:rPr>
        <w:t>佐藤正久</w:t>
      </w:r>
      <w:r>
        <w:rPr>
          <w:rStyle w:val="aff9"/>
          <w:rFonts w:ascii="標楷體" w:eastAsia="標楷體" w:hAnsi="標楷體"/>
          <w:bCs/>
          <w:sz w:val="28"/>
          <w:szCs w:val="36"/>
        </w:rPr>
        <w:footnoteReference w:id="5"/>
      </w:r>
      <w:r>
        <w:rPr>
          <w:rFonts w:ascii="標楷體" w:eastAsia="標楷體" w:hAnsi="標楷體" w:hint="eastAsia"/>
          <w:bCs/>
          <w:sz w:val="28"/>
          <w:szCs w:val="36"/>
        </w:rPr>
        <w:t>，</w:t>
      </w:r>
      <w:r w:rsidRPr="00AF0EAA">
        <w:rPr>
          <w:rFonts w:ascii="標楷體" w:eastAsia="標楷體" w:hAnsi="標楷體"/>
          <w:bCs/>
          <w:sz w:val="28"/>
          <w:szCs w:val="36"/>
        </w:rPr>
        <w:t>福島縣人</w:t>
      </w:r>
      <w:r>
        <w:rPr>
          <w:rFonts w:ascii="標楷體" w:eastAsia="標楷體" w:hAnsi="標楷體" w:hint="eastAsia"/>
          <w:bCs/>
          <w:sz w:val="28"/>
          <w:szCs w:val="36"/>
        </w:rPr>
        <w:t>，</w:t>
      </w:r>
      <w:r w:rsidRPr="00AF0EAA">
        <w:rPr>
          <w:rFonts w:ascii="標楷體" w:eastAsia="標楷體" w:hAnsi="標楷體"/>
          <w:bCs/>
          <w:sz w:val="28"/>
          <w:szCs w:val="36"/>
        </w:rPr>
        <w:t>畢業於日本防衛大學校應用物理專業，</w:t>
      </w:r>
      <w:r w:rsidRPr="00AF0EAA">
        <w:rPr>
          <w:rFonts w:ascii="標楷體" w:eastAsia="標楷體" w:hAnsi="標楷體" w:hint="eastAsia"/>
          <w:bCs/>
          <w:sz w:val="28"/>
          <w:szCs w:val="36"/>
        </w:rPr>
        <w:t>曾加入日本自衛隊擔任伊拉克復興支援群</w:t>
      </w:r>
      <w:r>
        <w:rPr>
          <w:rFonts w:ascii="標楷體" w:eastAsia="標楷體" w:hAnsi="標楷體" w:hint="eastAsia"/>
          <w:bCs/>
          <w:sz w:val="28"/>
          <w:szCs w:val="36"/>
        </w:rPr>
        <w:t>之</w:t>
      </w:r>
      <w:r w:rsidRPr="00AF0EAA">
        <w:rPr>
          <w:rFonts w:ascii="標楷體" w:eastAsia="標楷體" w:hAnsi="標楷體" w:hint="eastAsia"/>
          <w:bCs/>
          <w:sz w:val="28"/>
          <w:szCs w:val="36"/>
        </w:rPr>
        <w:t>指揮官</w:t>
      </w:r>
      <w:r w:rsidR="00F81C7D">
        <w:rPr>
          <w:rFonts w:ascii="標楷體" w:eastAsia="標楷體" w:hAnsi="標楷體" w:hint="eastAsia"/>
          <w:bCs/>
          <w:sz w:val="28"/>
          <w:szCs w:val="36"/>
        </w:rPr>
        <w:t>，</w:t>
      </w:r>
      <w:r w:rsidR="00F81C7D" w:rsidRPr="00F81C7D">
        <w:rPr>
          <w:rFonts w:ascii="標楷體" w:eastAsia="標楷體" w:hAnsi="標楷體" w:hint="eastAsia"/>
          <w:bCs/>
          <w:sz w:val="28"/>
          <w:szCs w:val="36"/>
        </w:rPr>
        <w:t>有「鬍子隊長」之稱</w:t>
      </w:r>
      <w:r w:rsidRPr="00AF0EAA">
        <w:rPr>
          <w:rFonts w:ascii="標楷體" w:eastAsia="標楷體" w:hAnsi="標楷體" w:hint="eastAsia"/>
          <w:bCs/>
          <w:sz w:val="28"/>
          <w:szCs w:val="36"/>
        </w:rPr>
        <w:t>。2007年以一等陸佐</w:t>
      </w:r>
      <w:r>
        <w:rPr>
          <w:rFonts w:ascii="標楷體" w:eastAsia="標楷體" w:hAnsi="標楷體" w:hint="eastAsia"/>
          <w:bCs/>
          <w:sz w:val="28"/>
          <w:szCs w:val="36"/>
        </w:rPr>
        <w:t>(</w:t>
      </w:r>
      <w:r w:rsidRPr="00AF0EAA">
        <w:rPr>
          <w:rFonts w:ascii="標楷體" w:eastAsia="標楷體" w:hAnsi="標楷體" w:hint="eastAsia"/>
          <w:bCs/>
          <w:sz w:val="28"/>
          <w:szCs w:val="36"/>
        </w:rPr>
        <w:t>上校</w:t>
      </w:r>
      <w:r>
        <w:rPr>
          <w:rFonts w:ascii="標楷體" w:eastAsia="標楷體" w:hAnsi="標楷體" w:hint="eastAsia"/>
          <w:bCs/>
          <w:sz w:val="28"/>
          <w:szCs w:val="36"/>
        </w:rPr>
        <w:t>)</w:t>
      </w:r>
      <w:r w:rsidRPr="00AF0EAA">
        <w:rPr>
          <w:rFonts w:ascii="標楷體" w:eastAsia="標楷體" w:hAnsi="標楷體" w:hint="eastAsia"/>
          <w:bCs/>
          <w:sz w:val="28"/>
          <w:szCs w:val="36"/>
        </w:rPr>
        <w:t>軍銜退休後，</w:t>
      </w:r>
      <w:r>
        <w:rPr>
          <w:rFonts w:ascii="標楷體" w:eastAsia="標楷體" w:hAnsi="標楷體" w:hint="eastAsia"/>
          <w:bCs/>
          <w:sz w:val="28"/>
          <w:szCs w:val="36"/>
        </w:rPr>
        <w:t>同年即</w:t>
      </w:r>
      <w:r w:rsidRPr="00AF0EAA">
        <w:rPr>
          <w:rFonts w:ascii="標楷體" w:eastAsia="標楷體" w:hAnsi="標楷體" w:hint="eastAsia"/>
          <w:bCs/>
          <w:sz w:val="28"/>
          <w:szCs w:val="36"/>
        </w:rPr>
        <w:t>首次當選參議院議員。</w:t>
      </w:r>
      <w:r w:rsidRPr="00AF0EAA">
        <w:rPr>
          <w:rFonts w:ascii="標楷體" w:eastAsia="標楷體" w:hAnsi="標楷體"/>
          <w:bCs/>
          <w:sz w:val="28"/>
          <w:szCs w:val="36"/>
        </w:rPr>
        <w:t>監察院2024年12月5日</w:t>
      </w:r>
      <w:r w:rsidR="00B329F1">
        <w:rPr>
          <w:rFonts w:ascii="標楷體" w:eastAsia="標楷體" w:hAnsi="標楷體" w:hint="eastAsia"/>
          <w:bCs/>
          <w:sz w:val="28"/>
          <w:szCs w:val="36"/>
        </w:rPr>
        <w:t>拜會</w:t>
      </w:r>
      <w:r>
        <w:rPr>
          <w:rFonts w:ascii="標楷體" w:eastAsia="標楷體" w:hAnsi="標楷體" w:hint="eastAsia"/>
          <w:bCs/>
          <w:sz w:val="28"/>
          <w:szCs w:val="36"/>
        </w:rPr>
        <w:t>日本參議</w:t>
      </w:r>
      <w:r w:rsidR="00B329F1">
        <w:rPr>
          <w:rFonts w:ascii="標楷體" w:eastAsia="標楷體" w:hAnsi="標楷體" w:hint="eastAsia"/>
          <w:bCs/>
          <w:sz w:val="28"/>
          <w:szCs w:val="36"/>
        </w:rPr>
        <w:t>院</w:t>
      </w:r>
      <w:r>
        <w:rPr>
          <w:rFonts w:ascii="標楷體" w:eastAsia="標楷體" w:hAnsi="標楷體" w:hint="eastAsia"/>
          <w:bCs/>
          <w:sz w:val="28"/>
          <w:szCs w:val="36"/>
        </w:rPr>
        <w:t>議員</w:t>
      </w:r>
      <w:r w:rsidRPr="00AF0EAA">
        <w:rPr>
          <w:rFonts w:ascii="標楷體" w:eastAsia="標楷體" w:hAnsi="標楷體"/>
          <w:bCs/>
          <w:sz w:val="28"/>
          <w:szCs w:val="36"/>
        </w:rPr>
        <w:t>佐藤正久</w:t>
      </w:r>
      <w:r w:rsidR="00B329F1">
        <w:rPr>
          <w:rFonts w:ascii="標楷體" w:eastAsia="標楷體" w:hAnsi="標楷體" w:hint="eastAsia"/>
          <w:bCs/>
          <w:sz w:val="28"/>
          <w:szCs w:val="36"/>
        </w:rPr>
        <w:t>，其</w:t>
      </w:r>
      <w:r w:rsidR="00F81C7D">
        <w:rPr>
          <w:rFonts w:ascii="標楷體" w:eastAsia="標楷體" w:hAnsi="標楷體" w:hint="eastAsia"/>
          <w:bCs/>
          <w:sz w:val="28"/>
          <w:szCs w:val="36"/>
        </w:rPr>
        <w:t>長年推動</w:t>
      </w:r>
      <w:r w:rsidR="00F81C7D" w:rsidRPr="00F81C7D">
        <w:rPr>
          <w:rFonts w:ascii="標楷體" w:eastAsia="標楷體" w:hAnsi="標楷體"/>
          <w:bCs/>
          <w:sz w:val="28"/>
          <w:szCs w:val="36"/>
        </w:rPr>
        <w:t>日本</w:t>
      </w:r>
      <w:r w:rsidR="00F81C7D">
        <w:rPr>
          <w:rFonts w:ascii="標楷體" w:eastAsia="標楷體" w:hAnsi="標楷體" w:hint="eastAsia"/>
          <w:bCs/>
          <w:sz w:val="28"/>
          <w:szCs w:val="36"/>
        </w:rPr>
        <w:t>與我國</w:t>
      </w:r>
      <w:r w:rsidR="00F81C7D" w:rsidRPr="00F81C7D">
        <w:rPr>
          <w:rFonts w:ascii="標楷體" w:eastAsia="標楷體" w:hAnsi="標楷體"/>
          <w:bCs/>
          <w:sz w:val="28"/>
          <w:szCs w:val="36"/>
        </w:rPr>
        <w:t>保安</w:t>
      </w:r>
      <w:r w:rsidR="00F74392">
        <w:rPr>
          <w:rFonts w:ascii="標楷體" w:eastAsia="標楷體" w:hAnsi="標楷體" w:hint="eastAsia"/>
          <w:bCs/>
          <w:sz w:val="28"/>
          <w:szCs w:val="36"/>
        </w:rPr>
        <w:t>防衛</w:t>
      </w:r>
      <w:r w:rsidR="00F81C7D" w:rsidRPr="00F81C7D">
        <w:rPr>
          <w:rFonts w:ascii="標楷體" w:eastAsia="標楷體" w:hAnsi="標楷體"/>
          <w:bCs/>
          <w:sz w:val="28"/>
          <w:szCs w:val="36"/>
        </w:rPr>
        <w:t>合作</w:t>
      </w:r>
      <w:r w:rsidR="00F74392">
        <w:rPr>
          <w:rFonts w:ascii="標楷體" w:eastAsia="標楷體" w:hAnsi="標楷體" w:hint="eastAsia"/>
          <w:bCs/>
          <w:sz w:val="28"/>
          <w:szCs w:val="36"/>
        </w:rPr>
        <w:t>，</w:t>
      </w:r>
      <w:r w:rsidR="00B329F1">
        <w:rPr>
          <w:rFonts w:ascii="標楷體" w:eastAsia="標楷體" w:hAnsi="標楷體" w:hint="eastAsia"/>
          <w:bCs/>
          <w:sz w:val="28"/>
          <w:szCs w:val="36"/>
        </w:rPr>
        <w:t>關切</w:t>
      </w:r>
      <w:r w:rsidR="00F74392">
        <w:rPr>
          <w:rFonts w:ascii="標楷體" w:eastAsia="標楷體" w:hAnsi="標楷體" w:hint="eastAsia"/>
          <w:bCs/>
          <w:sz w:val="28"/>
          <w:szCs w:val="36"/>
        </w:rPr>
        <w:t>以小型模組化反應器(SMR)為動力之原子力潛水艦</w:t>
      </w:r>
      <w:r w:rsidR="00F74392" w:rsidRPr="00F74392">
        <w:rPr>
          <w:rFonts w:ascii="標楷體" w:eastAsia="標楷體" w:hAnsi="標楷體" w:hint="eastAsia"/>
          <w:bCs/>
          <w:szCs w:val="32"/>
        </w:rPr>
        <w:t>(</w:t>
      </w:r>
      <w:r w:rsidR="00F74392" w:rsidRPr="00F74392">
        <w:rPr>
          <w:rFonts w:ascii="標楷體" w:eastAsia="標楷體" w:hAnsi="標楷體"/>
          <w:bCs/>
          <w:szCs w:val="32"/>
        </w:rPr>
        <w:t>げんしりょくせんすいかん</w:t>
      </w:r>
      <w:r w:rsidR="00F74392" w:rsidRPr="00F74392">
        <w:rPr>
          <w:rFonts w:ascii="標楷體" w:eastAsia="標楷體" w:hAnsi="標楷體" w:hint="eastAsia"/>
          <w:bCs/>
          <w:szCs w:val="32"/>
        </w:rPr>
        <w:t>,</w:t>
      </w:r>
      <w:r w:rsidR="00F74392" w:rsidRPr="00F74392">
        <w:rPr>
          <w:rFonts w:ascii="Arial" w:hAnsi="Arial" w:cs="Arial"/>
          <w:color w:val="202122"/>
          <w:sz w:val="22"/>
          <w:szCs w:val="18"/>
          <w:shd w:val="clear" w:color="auto" w:fill="FFFFFF"/>
        </w:rPr>
        <w:t xml:space="preserve"> </w:t>
      </w:r>
      <w:r w:rsidR="00F74392" w:rsidRPr="00F74392">
        <w:rPr>
          <w:rFonts w:ascii="標楷體" w:eastAsia="標楷體" w:hAnsi="標楷體"/>
          <w:bCs/>
          <w:szCs w:val="32"/>
        </w:rPr>
        <w:t>nuclear-powered submarine</w:t>
      </w:r>
      <w:r w:rsidR="00F74392" w:rsidRPr="00F74392">
        <w:rPr>
          <w:rFonts w:ascii="標楷體" w:eastAsia="標楷體" w:hAnsi="標楷體" w:hint="eastAsia"/>
          <w:bCs/>
          <w:szCs w:val="32"/>
        </w:rPr>
        <w:t>)</w:t>
      </w:r>
      <w:r w:rsidR="00F74392">
        <w:rPr>
          <w:rFonts w:ascii="標楷體" w:eastAsia="標楷體" w:hAnsi="標楷體" w:hint="eastAsia"/>
          <w:bCs/>
          <w:sz w:val="28"/>
          <w:szCs w:val="36"/>
        </w:rPr>
        <w:t>發展，並持續</w:t>
      </w:r>
      <w:r w:rsidR="00DB6872" w:rsidRPr="00AF0EAA">
        <w:rPr>
          <w:rFonts w:ascii="標楷體" w:eastAsia="標楷體" w:hAnsi="標楷體"/>
          <w:bCs/>
          <w:sz w:val="28"/>
          <w:szCs w:val="36"/>
        </w:rPr>
        <w:t>投</w:t>
      </w:r>
      <w:r w:rsidR="00F74392">
        <w:rPr>
          <w:rFonts w:ascii="標楷體" w:eastAsia="標楷體" w:hAnsi="標楷體" w:hint="eastAsia"/>
          <w:bCs/>
          <w:sz w:val="28"/>
          <w:szCs w:val="36"/>
        </w:rPr>
        <w:t>注於</w:t>
      </w:r>
      <w:r w:rsidR="00F74392" w:rsidRPr="00AF0EAA">
        <w:rPr>
          <w:rFonts w:ascii="標楷體" w:eastAsia="標楷體" w:hAnsi="標楷體"/>
          <w:bCs/>
          <w:sz w:val="28"/>
          <w:szCs w:val="36"/>
        </w:rPr>
        <w:t>新世代能源</w:t>
      </w:r>
      <w:r w:rsidR="00566602">
        <w:rPr>
          <w:rFonts w:ascii="標楷體" w:eastAsia="標楷體" w:hAnsi="標楷體"/>
          <w:bCs/>
          <w:sz w:val="28"/>
          <w:szCs w:val="36"/>
        </w:rPr>
        <w:t>小型模組化反應器(SMR)</w:t>
      </w:r>
      <w:r w:rsidR="00F74392">
        <w:rPr>
          <w:rFonts w:ascii="標楷體" w:eastAsia="標楷體" w:hAnsi="標楷體" w:hint="eastAsia"/>
          <w:bCs/>
          <w:sz w:val="28"/>
          <w:szCs w:val="36"/>
        </w:rPr>
        <w:t>之</w:t>
      </w:r>
      <w:r w:rsidR="00DB6872" w:rsidRPr="00AF0EAA">
        <w:rPr>
          <w:rFonts w:ascii="標楷體" w:eastAsia="標楷體" w:hAnsi="標楷體"/>
          <w:bCs/>
          <w:sz w:val="28"/>
          <w:szCs w:val="36"/>
        </w:rPr>
        <w:t>議題</w:t>
      </w:r>
      <w:r w:rsidRPr="00AF0EAA">
        <w:rPr>
          <w:rFonts w:ascii="標楷體" w:eastAsia="標楷體" w:hAnsi="標楷體"/>
          <w:bCs/>
          <w:sz w:val="28"/>
          <w:szCs w:val="36"/>
        </w:rPr>
        <w:t>，特別是Loop Type鈉冷式快中子</w:t>
      </w:r>
      <w:r w:rsidR="00A95445">
        <w:rPr>
          <w:rFonts w:ascii="標楷體" w:eastAsia="標楷體" w:hAnsi="標楷體"/>
          <w:bCs/>
          <w:sz w:val="28"/>
          <w:szCs w:val="36"/>
        </w:rPr>
        <w:t>反應器</w:t>
      </w:r>
      <w:r w:rsidR="00F74392">
        <w:rPr>
          <w:rFonts w:ascii="標楷體" w:eastAsia="標楷體" w:hAnsi="標楷體" w:hint="eastAsia"/>
          <w:bCs/>
          <w:sz w:val="28"/>
          <w:szCs w:val="36"/>
        </w:rPr>
        <w:t>之</w:t>
      </w:r>
      <w:r w:rsidRPr="00AF0EAA">
        <w:rPr>
          <w:rFonts w:ascii="標楷體" w:eastAsia="標楷體" w:hAnsi="標楷體"/>
          <w:bCs/>
          <w:sz w:val="28"/>
          <w:szCs w:val="36"/>
        </w:rPr>
        <w:t>設計理念。</w:t>
      </w:r>
    </w:p>
    <w:p w14:paraId="05225D9A" w14:textId="0F350406" w:rsidR="000F5180" w:rsidRDefault="00AF0EAA" w:rsidP="009C4EE0">
      <w:pPr>
        <w:pStyle w:val="af4"/>
        <w:numPr>
          <w:ilvl w:val="2"/>
          <w:numId w:val="2"/>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Pr>
          <w:rFonts w:ascii="標楷體" w:eastAsia="標楷體" w:hAnsi="標楷體" w:hint="eastAsia"/>
          <w:bCs/>
          <w:sz w:val="28"/>
          <w:szCs w:val="36"/>
        </w:rPr>
        <w:t>參閱日本國特許廳(JP)2016年1月6日特許公報編號：第5838511號，核能反應器發明者：服部禎男</w:t>
      </w:r>
      <w:r w:rsidR="00061763">
        <w:rPr>
          <w:rFonts w:ascii="標楷體" w:eastAsia="標楷體" w:hAnsi="標楷體" w:hint="eastAsia"/>
          <w:bCs/>
          <w:sz w:val="28"/>
          <w:szCs w:val="36"/>
        </w:rPr>
        <w:t>、澄田修生</w:t>
      </w:r>
      <w:r w:rsidR="00CE2FF1">
        <w:rPr>
          <w:rFonts w:ascii="標楷體" w:eastAsia="標楷體" w:hAnsi="標楷體" w:hint="eastAsia"/>
          <w:bCs/>
          <w:sz w:val="28"/>
          <w:szCs w:val="36"/>
        </w:rPr>
        <w:t>，</w:t>
      </w:r>
      <w:r w:rsidR="00CE2FF1" w:rsidRPr="00CE2FF1">
        <w:rPr>
          <w:rFonts w:ascii="標楷體" w:eastAsia="標楷體" w:hAnsi="標楷體"/>
          <w:bCs/>
          <w:sz w:val="28"/>
          <w:szCs w:val="36"/>
        </w:rPr>
        <w:t>發明</w:t>
      </w:r>
      <w:r w:rsidR="00CE2FF1">
        <w:rPr>
          <w:rFonts w:ascii="標楷體" w:eastAsia="標楷體" w:hAnsi="標楷體" w:hint="eastAsia"/>
          <w:bCs/>
          <w:sz w:val="28"/>
          <w:szCs w:val="36"/>
        </w:rPr>
        <w:t>一種</w:t>
      </w:r>
      <w:r w:rsidR="00CE2FF1" w:rsidRPr="00CE2FF1">
        <w:rPr>
          <w:rFonts w:ascii="標楷體" w:eastAsia="標楷體" w:hAnsi="標楷體"/>
          <w:bCs/>
          <w:sz w:val="28"/>
          <w:szCs w:val="36"/>
        </w:rPr>
        <w:t>提供結構簡單、安全可靠、高輸出</w:t>
      </w:r>
      <w:r w:rsidR="00CE2FF1">
        <w:rPr>
          <w:rFonts w:ascii="標楷體" w:eastAsia="標楷體" w:hAnsi="標楷體" w:hint="eastAsia"/>
          <w:bCs/>
          <w:sz w:val="28"/>
          <w:szCs w:val="36"/>
        </w:rPr>
        <w:t>，</w:t>
      </w:r>
      <w:r w:rsidR="00CE2FF1" w:rsidRPr="00CE2FF1">
        <w:rPr>
          <w:rFonts w:ascii="標楷體" w:eastAsia="標楷體" w:hAnsi="標楷體"/>
          <w:bCs/>
          <w:sz w:val="28"/>
          <w:szCs w:val="36"/>
        </w:rPr>
        <w:t>且具有負荷追蹤能力的新型</w:t>
      </w:r>
      <w:r w:rsidR="00CE2FF1">
        <w:rPr>
          <w:rFonts w:ascii="標楷體" w:eastAsia="標楷體" w:hAnsi="標楷體" w:hint="eastAsia"/>
          <w:bCs/>
          <w:sz w:val="28"/>
          <w:szCs w:val="36"/>
        </w:rPr>
        <w:t>反應器</w:t>
      </w:r>
      <w:r w:rsidR="00CE2FF1" w:rsidRPr="00CE2FF1">
        <w:rPr>
          <w:rFonts w:ascii="標楷體" w:eastAsia="標楷體" w:hAnsi="標楷體"/>
          <w:bCs/>
          <w:sz w:val="28"/>
          <w:szCs w:val="36"/>
        </w:rPr>
        <w:t>設計</w:t>
      </w:r>
      <w:r w:rsidR="00CE2FF1">
        <w:rPr>
          <w:rFonts w:ascii="標楷體" w:eastAsia="標楷體" w:hAnsi="標楷體" w:hint="eastAsia"/>
          <w:bCs/>
          <w:sz w:val="28"/>
          <w:szCs w:val="36"/>
        </w:rPr>
        <w:t>，並可</w:t>
      </w:r>
      <w:r w:rsidR="00CE2FF1" w:rsidRPr="00CE2FF1">
        <w:rPr>
          <w:rFonts w:ascii="標楷體" w:eastAsia="標楷體" w:hAnsi="標楷體"/>
          <w:bCs/>
          <w:sz w:val="28"/>
          <w:szCs w:val="36"/>
        </w:rPr>
        <w:t>在核能領域廣泛應用。</w:t>
      </w:r>
    </w:p>
    <w:p w14:paraId="18FFA348" w14:textId="79DC773B" w:rsidR="00CE2FF1" w:rsidRPr="00CE2FF1" w:rsidRDefault="00CE2FF1" w:rsidP="009C4EE0">
      <w:pPr>
        <w:pStyle w:val="af4"/>
        <w:numPr>
          <w:ilvl w:val="3"/>
          <w:numId w:val="2"/>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CE2FF1">
        <w:rPr>
          <w:rFonts w:ascii="標楷體" w:eastAsia="標楷體" w:hAnsi="標楷體"/>
          <w:bCs/>
          <w:sz w:val="28"/>
          <w:szCs w:val="36"/>
        </w:rPr>
        <w:t>爐心設計</w:t>
      </w:r>
    </w:p>
    <w:p w14:paraId="2227B635" w14:textId="52E22B62" w:rsidR="00CE2FF1" w:rsidRPr="00CE2FF1" w:rsidRDefault="00CE2FF1" w:rsidP="009C4EE0">
      <w:pPr>
        <w:pStyle w:val="af4"/>
        <w:numPr>
          <w:ilvl w:val="4"/>
          <w:numId w:val="2"/>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CE2FF1">
        <w:rPr>
          <w:rFonts w:ascii="標楷體" w:eastAsia="標楷體" w:hAnsi="標楷體"/>
          <w:bCs/>
          <w:sz w:val="28"/>
          <w:szCs w:val="36"/>
        </w:rPr>
        <w:t>採用多個細長柱狀的爐心，直徑不超過1</w:t>
      </w:r>
      <w:r w:rsidR="00DB6872">
        <w:rPr>
          <w:rFonts w:ascii="標楷體" w:eastAsia="標楷體" w:hAnsi="標楷體" w:hint="eastAsia"/>
          <w:bCs/>
          <w:sz w:val="28"/>
          <w:szCs w:val="36"/>
        </w:rPr>
        <w:t>公尺</w:t>
      </w:r>
      <w:r w:rsidRPr="00CE2FF1">
        <w:rPr>
          <w:rFonts w:ascii="標楷體" w:eastAsia="標楷體" w:hAnsi="標楷體"/>
          <w:bCs/>
          <w:sz w:val="28"/>
          <w:szCs w:val="36"/>
        </w:rPr>
        <w:t>，由金屬燃料構成。</w:t>
      </w:r>
      <w:r w:rsidR="00981AF2" w:rsidRPr="00981AF2">
        <w:rPr>
          <w:rFonts w:ascii="標楷體" w:eastAsia="標楷體" w:hAnsi="標楷體"/>
          <w:bCs/>
          <w:sz w:val="28"/>
          <w:szCs w:val="36"/>
        </w:rPr>
        <w:t>傳統的核能發電系統，例如高速增殖反應器或加壓水型輕水反應器，體積龐大且結構複雜。為提高安全性及降低成本，需要發展更小型化、簡化的核能發電系統</w:t>
      </w:r>
      <w:r w:rsidR="009E4873">
        <w:rPr>
          <w:rFonts w:ascii="標楷體" w:eastAsia="標楷體" w:hAnsi="標楷體" w:hint="eastAsia"/>
          <w:bCs/>
          <w:sz w:val="28"/>
          <w:szCs w:val="36"/>
        </w:rPr>
        <w:t>。</w:t>
      </w:r>
    </w:p>
    <w:p w14:paraId="6885D9CE" w14:textId="77777777" w:rsidR="00CE2FF1" w:rsidRPr="00CE2FF1" w:rsidRDefault="00CE2FF1" w:rsidP="009C4EE0">
      <w:pPr>
        <w:pStyle w:val="af4"/>
        <w:numPr>
          <w:ilvl w:val="4"/>
          <w:numId w:val="2"/>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CE2FF1">
        <w:rPr>
          <w:rFonts w:ascii="標楷體" w:eastAsia="標楷體" w:hAnsi="標楷體"/>
          <w:bCs/>
          <w:sz w:val="28"/>
          <w:szCs w:val="36"/>
        </w:rPr>
        <w:t>金屬燃料具有隨冷卻劑溫度變化而改變密度的特性，從而實現自動調節功率的功能。</w:t>
      </w:r>
    </w:p>
    <w:p w14:paraId="7201A9C5" w14:textId="4DA39072" w:rsidR="00CE2FF1" w:rsidRPr="00CE2FF1" w:rsidRDefault="00CE2FF1" w:rsidP="009C4EE0">
      <w:pPr>
        <w:pStyle w:val="af4"/>
        <w:numPr>
          <w:ilvl w:val="4"/>
          <w:numId w:val="2"/>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CE2FF1">
        <w:rPr>
          <w:rFonts w:ascii="標楷體" w:eastAsia="標楷體" w:hAnsi="標楷體"/>
          <w:bCs/>
          <w:sz w:val="28"/>
          <w:szCs w:val="36"/>
        </w:rPr>
        <w:t>爐心分為上下</w:t>
      </w:r>
      <w:r>
        <w:rPr>
          <w:rFonts w:ascii="標楷體" w:eastAsia="標楷體" w:hAnsi="標楷體" w:hint="eastAsia"/>
          <w:bCs/>
          <w:sz w:val="28"/>
          <w:szCs w:val="36"/>
        </w:rPr>
        <w:t>2</w:t>
      </w:r>
      <w:r w:rsidRPr="00CE2FF1">
        <w:rPr>
          <w:rFonts w:ascii="標楷體" w:eastAsia="標楷體" w:hAnsi="標楷體"/>
          <w:bCs/>
          <w:sz w:val="28"/>
          <w:szCs w:val="36"/>
        </w:rPr>
        <w:t>部分，下部由鈾235、鈽239、鋯和鈾238組成的合金，上部則添加中子</w:t>
      </w:r>
      <w:r>
        <w:rPr>
          <w:rFonts w:ascii="標楷體" w:eastAsia="標楷體" w:hAnsi="標楷體" w:hint="eastAsia"/>
          <w:bCs/>
          <w:sz w:val="28"/>
          <w:szCs w:val="36"/>
        </w:rPr>
        <w:t>製</w:t>
      </w:r>
      <w:r w:rsidRPr="00CE2FF1">
        <w:rPr>
          <w:rFonts w:ascii="標楷體" w:eastAsia="標楷體" w:hAnsi="標楷體"/>
          <w:bCs/>
          <w:sz w:val="28"/>
          <w:szCs w:val="36"/>
        </w:rPr>
        <w:t>劑，以控制反應度。</w:t>
      </w:r>
    </w:p>
    <w:p w14:paraId="1CDD9FC8" w14:textId="394650B6" w:rsidR="00CE2FF1" w:rsidRPr="00CE2FF1" w:rsidRDefault="00CE2FF1" w:rsidP="009C4EE0">
      <w:pPr>
        <w:pStyle w:val="af4"/>
        <w:numPr>
          <w:ilvl w:val="3"/>
          <w:numId w:val="2"/>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CE2FF1">
        <w:rPr>
          <w:rFonts w:ascii="標楷體" w:eastAsia="標楷體" w:hAnsi="標楷體"/>
          <w:bCs/>
          <w:sz w:val="28"/>
          <w:szCs w:val="36"/>
        </w:rPr>
        <w:t>包覆體</w:t>
      </w:r>
      <w:r w:rsidRPr="00CE2FF1">
        <w:rPr>
          <w:rFonts w:ascii="標楷體" w:eastAsia="標楷體" w:hAnsi="標楷體" w:hint="eastAsia"/>
          <w:bCs/>
          <w:sz w:val="28"/>
          <w:szCs w:val="36"/>
        </w:rPr>
        <w:t>：</w:t>
      </w:r>
      <w:r w:rsidRPr="00CE2FF1">
        <w:rPr>
          <w:rFonts w:ascii="標楷體" w:eastAsia="標楷體" w:hAnsi="標楷體"/>
          <w:bCs/>
          <w:sz w:val="28"/>
          <w:szCs w:val="36"/>
        </w:rPr>
        <w:t>爐心外部設有包覆體，由劣化鈾製成，用於捕獲中子並提高鈾238轉化為鈽239</w:t>
      </w:r>
      <w:r w:rsidR="00F74392">
        <w:rPr>
          <w:rFonts w:ascii="標楷體" w:eastAsia="標楷體" w:hAnsi="標楷體" w:hint="eastAsia"/>
          <w:bCs/>
          <w:sz w:val="28"/>
          <w:szCs w:val="36"/>
        </w:rPr>
        <w:t>之</w:t>
      </w:r>
      <w:r w:rsidRPr="00CE2FF1">
        <w:rPr>
          <w:rFonts w:ascii="標楷體" w:eastAsia="標楷體" w:hAnsi="標楷體"/>
          <w:bCs/>
          <w:sz w:val="28"/>
          <w:szCs w:val="36"/>
        </w:rPr>
        <w:t>效率。</w:t>
      </w:r>
    </w:p>
    <w:p w14:paraId="3B9B7933" w14:textId="71E2A6DC" w:rsidR="00CE2FF1" w:rsidRPr="00CE2FF1" w:rsidRDefault="00CE2FF1" w:rsidP="009C4EE0">
      <w:pPr>
        <w:pStyle w:val="af4"/>
        <w:numPr>
          <w:ilvl w:val="3"/>
          <w:numId w:val="2"/>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CE2FF1">
        <w:rPr>
          <w:rFonts w:ascii="標楷體" w:eastAsia="標楷體" w:hAnsi="標楷體"/>
          <w:bCs/>
          <w:sz w:val="28"/>
          <w:szCs w:val="36"/>
        </w:rPr>
        <w:t>中子反射體</w:t>
      </w:r>
      <w:r w:rsidRPr="00CE2FF1">
        <w:rPr>
          <w:rFonts w:ascii="標楷體" w:eastAsia="標楷體" w:hAnsi="標楷體" w:hint="eastAsia"/>
          <w:bCs/>
          <w:sz w:val="28"/>
          <w:szCs w:val="36"/>
        </w:rPr>
        <w:t>：</w:t>
      </w:r>
      <w:r w:rsidRPr="00CE2FF1">
        <w:rPr>
          <w:rFonts w:ascii="標楷體" w:eastAsia="標楷體" w:hAnsi="標楷體"/>
          <w:bCs/>
          <w:sz w:val="28"/>
          <w:szCs w:val="36"/>
        </w:rPr>
        <w:t>在金屬燃料下部外圍設置中子反射體，用於反射中子並維持核裂變反應。</w:t>
      </w:r>
    </w:p>
    <w:p w14:paraId="5A009F4D" w14:textId="7A1C1BDE" w:rsidR="00CE2FF1" w:rsidRPr="00CE2FF1" w:rsidRDefault="00CE2FF1" w:rsidP="009C4EE0">
      <w:pPr>
        <w:pStyle w:val="af4"/>
        <w:numPr>
          <w:ilvl w:val="3"/>
          <w:numId w:val="2"/>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CE2FF1">
        <w:rPr>
          <w:rFonts w:ascii="標楷體" w:eastAsia="標楷體" w:hAnsi="標楷體"/>
          <w:bCs/>
          <w:sz w:val="28"/>
          <w:szCs w:val="36"/>
        </w:rPr>
        <w:t>傳熱管</w:t>
      </w:r>
      <w:r w:rsidRPr="00CE2FF1">
        <w:rPr>
          <w:rFonts w:ascii="標楷體" w:eastAsia="標楷體" w:hAnsi="標楷體" w:hint="eastAsia"/>
          <w:bCs/>
          <w:sz w:val="28"/>
          <w:szCs w:val="36"/>
        </w:rPr>
        <w:t>：</w:t>
      </w:r>
      <w:r w:rsidRPr="00CE2FF1">
        <w:rPr>
          <w:rFonts w:ascii="標楷體" w:eastAsia="標楷體" w:hAnsi="標楷體"/>
          <w:bCs/>
          <w:sz w:val="28"/>
          <w:szCs w:val="36"/>
        </w:rPr>
        <w:t>多個爐心圍繞中心軸線排列，傳熱管位於爐心之間，用</w:t>
      </w:r>
      <w:r w:rsidRPr="00CE2FF1">
        <w:rPr>
          <w:rFonts w:ascii="標楷體" w:eastAsia="標楷體" w:hAnsi="標楷體"/>
          <w:bCs/>
          <w:sz w:val="28"/>
          <w:szCs w:val="36"/>
        </w:rPr>
        <w:lastRenderedPageBreak/>
        <w:t>於熱交換。</w:t>
      </w:r>
    </w:p>
    <w:p w14:paraId="532984C4" w14:textId="198817DF" w:rsidR="00CE2FF1" w:rsidRPr="00CE2FF1" w:rsidRDefault="00CE2FF1" w:rsidP="009C4EE0">
      <w:pPr>
        <w:pStyle w:val="af4"/>
        <w:numPr>
          <w:ilvl w:val="3"/>
          <w:numId w:val="2"/>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CE2FF1">
        <w:rPr>
          <w:rFonts w:ascii="標楷體" w:eastAsia="標楷體" w:hAnsi="標楷體" w:hint="eastAsia"/>
          <w:bCs/>
          <w:sz w:val="28"/>
          <w:szCs w:val="36"/>
        </w:rPr>
        <w:t>反應</w:t>
      </w:r>
      <w:r w:rsidRPr="00CE2FF1">
        <w:rPr>
          <w:rFonts w:ascii="標楷體" w:eastAsia="標楷體" w:hAnsi="標楷體"/>
          <w:bCs/>
          <w:sz w:val="28"/>
          <w:szCs w:val="36"/>
        </w:rPr>
        <w:t>容器</w:t>
      </w:r>
      <w:r w:rsidRPr="00CE2FF1">
        <w:rPr>
          <w:rFonts w:ascii="標楷體" w:eastAsia="標楷體" w:hAnsi="標楷體" w:hint="eastAsia"/>
          <w:bCs/>
          <w:sz w:val="28"/>
          <w:szCs w:val="36"/>
        </w:rPr>
        <w:t>：</w:t>
      </w:r>
      <w:r w:rsidRPr="00CE2FF1">
        <w:rPr>
          <w:rFonts w:ascii="標楷體" w:eastAsia="標楷體" w:hAnsi="標楷體"/>
          <w:bCs/>
          <w:sz w:val="28"/>
          <w:szCs w:val="36"/>
        </w:rPr>
        <w:t>整個結構容納在原子爐容器中，保持密封性，防止放射性物質洩漏。</w:t>
      </w:r>
    </w:p>
    <w:p w14:paraId="2F7427CD" w14:textId="145A62D8" w:rsidR="00CE2FF1" w:rsidRPr="00CE2FF1" w:rsidRDefault="00CE2FF1" w:rsidP="009C4EE0">
      <w:pPr>
        <w:pStyle w:val="af4"/>
        <w:numPr>
          <w:ilvl w:val="3"/>
          <w:numId w:val="2"/>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CE2FF1">
        <w:rPr>
          <w:rFonts w:ascii="標楷體" w:eastAsia="標楷體" w:hAnsi="標楷體"/>
          <w:bCs/>
          <w:sz w:val="28"/>
          <w:szCs w:val="36"/>
        </w:rPr>
        <w:t>控制棒</w:t>
      </w:r>
      <w:r w:rsidRPr="00CE2FF1">
        <w:rPr>
          <w:rFonts w:ascii="標楷體" w:eastAsia="標楷體" w:hAnsi="標楷體" w:hint="eastAsia"/>
          <w:bCs/>
          <w:sz w:val="28"/>
          <w:szCs w:val="36"/>
        </w:rPr>
        <w:t>：</w:t>
      </w:r>
      <w:r w:rsidRPr="00CE2FF1">
        <w:rPr>
          <w:rFonts w:ascii="標楷體" w:eastAsia="標楷體" w:hAnsi="標楷體"/>
          <w:bCs/>
          <w:sz w:val="28"/>
          <w:szCs w:val="36"/>
        </w:rPr>
        <w:t>可選設置控制棒，用於最終停止爐心的核裂變反應。</w:t>
      </w:r>
    </w:p>
    <w:p w14:paraId="1627BF1D" w14:textId="6BC59310" w:rsidR="00CE2FF1" w:rsidRPr="00CE2FF1" w:rsidRDefault="00CE2FF1" w:rsidP="009C4EE0">
      <w:pPr>
        <w:pStyle w:val="af4"/>
        <w:numPr>
          <w:ilvl w:val="3"/>
          <w:numId w:val="2"/>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CE2FF1">
        <w:rPr>
          <w:rFonts w:ascii="標楷體" w:eastAsia="標楷體" w:hAnsi="標楷體"/>
          <w:bCs/>
          <w:sz w:val="28"/>
          <w:szCs w:val="36"/>
        </w:rPr>
        <w:t>優點</w:t>
      </w:r>
      <w:r w:rsidR="00981AF2">
        <w:rPr>
          <w:rFonts w:ascii="標楷體" w:eastAsia="標楷體" w:hAnsi="標楷體" w:hint="eastAsia"/>
          <w:bCs/>
          <w:sz w:val="28"/>
          <w:szCs w:val="36"/>
        </w:rPr>
        <w:t>：</w:t>
      </w:r>
      <w:r w:rsidR="00981AF2" w:rsidRPr="00981AF2">
        <w:rPr>
          <w:rFonts w:ascii="標楷體" w:eastAsia="標楷體" w:hAnsi="標楷體"/>
          <w:bCs/>
          <w:sz w:val="28"/>
          <w:szCs w:val="36"/>
        </w:rPr>
        <w:t>本發明通過使用金屬鈉作為一次冷卻材料，超臨界二氧化碳作為二次冷卻材料，以及中子反射體控制反應程度，實現小型核能發電系統的安全、高效和負載跟隨型運行。</w:t>
      </w:r>
    </w:p>
    <w:p w14:paraId="0DDB74A2" w14:textId="77777777" w:rsidR="00CE2FF1" w:rsidRPr="00CE2FF1" w:rsidRDefault="00CE2FF1" w:rsidP="009C4EE0">
      <w:pPr>
        <w:pStyle w:val="af4"/>
        <w:numPr>
          <w:ilvl w:val="4"/>
          <w:numId w:val="2"/>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CE2FF1">
        <w:rPr>
          <w:rFonts w:ascii="標楷體" w:eastAsia="標楷體" w:hAnsi="標楷體"/>
          <w:bCs/>
          <w:sz w:val="28"/>
          <w:szCs w:val="36"/>
        </w:rPr>
        <w:t>結構簡單，可靠性高，安全性提升。</w:t>
      </w:r>
    </w:p>
    <w:p w14:paraId="37162E10" w14:textId="77777777" w:rsidR="00CE2FF1" w:rsidRPr="00CE2FF1" w:rsidRDefault="00CE2FF1" w:rsidP="009C4EE0">
      <w:pPr>
        <w:pStyle w:val="af4"/>
        <w:numPr>
          <w:ilvl w:val="4"/>
          <w:numId w:val="2"/>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CE2FF1">
        <w:rPr>
          <w:rFonts w:ascii="標楷體" w:eastAsia="標楷體" w:hAnsi="標楷體"/>
          <w:bCs/>
          <w:sz w:val="28"/>
          <w:szCs w:val="36"/>
        </w:rPr>
        <w:t>無需燃料交換裝置和控制棒驅動裝置，降低成本。</w:t>
      </w:r>
    </w:p>
    <w:p w14:paraId="68F1F307" w14:textId="77777777" w:rsidR="00CE2FF1" w:rsidRPr="00CE2FF1" w:rsidRDefault="00CE2FF1" w:rsidP="009C4EE0">
      <w:pPr>
        <w:pStyle w:val="af4"/>
        <w:numPr>
          <w:ilvl w:val="4"/>
          <w:numId w:val="2"/>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CE2FF1">
        <w:rPr>
          <w:rFonts w:ascii="標楷體" w:eastAsia="標楷體" w:hAnsi="標楷體"/>
          <w:bCs/>
          <w:sz w:val="28"/>
          <w:szCs w:val="36"/>
        </w:rPr>
        <w:t>多個爐心設計，實現高輸出功率。</w:t>
      </w:r>
    </w:p>
    <w:p w14:paraId="25053DDE" w14:textId="7B944797" w:rsidR="00CE2FF1" w:rsidRDefault="00CE2FF1" w:rsidP="009C4EE0">
      <w:pPr>
        <w:pStyle w:val="af4"/>
        <w:numPr>
          <w:ilvl w:val="4"/>
          <w:numId w:val="2"/>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CE2FF1">
        <w:rPr>
          <w:rFonts w:ascii="標楷體" w:eastAsia="標楷體" w:hAnsi="標楷體"/>
          <w:bCs/>
          <w:sz w:val="28"/>
          <w:szCs w:val="36"/>
        </w:rPr>
        <w:t>負荷追蹤能力，可</w:t>
      </w:r>
      <w:r w:rsidR="00DB6872">
        <w:rPr>
          <w:rFonts w:ascii="標楷體" w:eastAsia="標楷體" w:hAnsi="標楷體" w:hint="eastAsia"/>
          <w:bCs/>
          <w:sz w:val="28"/>
          <w:szCs w:val="36"/>
        </w:rPr>
        <w:t>依</w:t>
      </w:r>
      <w:r w:rsidRPr="00CE2FF1">
        <w:rPr>
          <w:rFonts w:ascii="標楷體" w:eastAsia="標楷體" w:hAnsi="標楷體"/>
          <w:bCs/>
          <w:sz w:val="28"/>
          <w:szCs w:val="36"/>
        </w:rPr>
        <w:t>據電力需求</w:t>
      </w:r>
      <w:r w:rsidR="00DB6872">
        <w:rPr>
          <w:rFonts w:ascii="標楷體" w:eastAsia="標楷體" w:hAnsi="標楷體" w:hint="eastAsia"/>
          <w:bCs/>
          <w:sz w:val="28"/>
          <w:szCs w:val="36"/>
        </w:rPr>
        <w:t>而</w:t>
      </w:r>
      <w:r w:rsidRPr="00CE2FF1">
        <w:rPr>
          <w:rFonts w:ascii="標楷體" w:eastAsia="標楷體" w:hAnsi="標楷體"/>
          <w:bCs/>
          <w:sz w:val="28"/>
          <w:szCs w:val="36"/>
        </w:rPr>
        <w:t>自動調節功率。</w:t>
      </w:r>
    </w:p>
    <w:p w14:paraId="4BAF271F" w14:textId="109D841C" w:rsidR="00DB6872" w:rsidRDefault="00DB6872" w:rsidP="00DB6872">
      <w:pPr>
        <w:tabs>
          <w:tab w:val="left" w:pos="-1920"/>
        </w:tabs>
        <w:snapToGrid w:val="0"/>
        <w:spacing w:beforeLines="15" w:before="36" w:afterLines="15" w:after="36"/>
        <w:jc w:val="both"/>
        <w:outlineLvl w:val="2"/>
        <w:rPr>
          <w:rFonts w:ascii="標楷體" w:eastAsia="標楷體" w:hAnsi="標楷體"/>
          <w:bCs/>
          <w:sz w:val="28"/>
          <w:szCs w:val="36"/>
        </w:rPr>
      </w:pPr>
      <w:r>
        <w:rPr>
          <w:noProof/>
        </w:rPr>
        <w:drawing>
          <wp:inline distT="0" distB="0" distL="0" distR="0" wp14:anchorId="495C08F3" wp14:editId="6C329090">
            <wp:extent cx="2438400" cy="3327400"/>
            <wp:effectExtent l="0" t="6350" r="0" b="0"/>
            <wp:docPr id="1037895031" name="圖片 1" descr="一張含有 文字, 軟體, 多媒體軟體, 螢幕擷取畫面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895031" name="圖片 1" descr="一張含有 文字, 軟體, 多媒體軟體, 螢幕擷取畫面 的圖片&#10;&#10;自動產生的描述"/>
                    <pic:cNvPicPr/>
                  </pic:nvPicPr>
                  <pic:blipFill rotWithShape="1">
                    <a:blip r:embed="rId30"/>
                    <a:srcRect l="63102" t="33745" r="24198" b="12345"/>
                    <a:stretch/>
                  </pic:blipFill>
                  <pic:spPr bwMode="auto">
                    <a:xfrm rot="5400000">
                      <a:off x="0" y="0"/>
                      <a:ext cx="2450656" cy="3344124"/>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9D8D2C5" wp14:editId="5FA3ED28">
            <wp:extent cx="2348292" cy="2049780"/>
            <wp:effectExtent l="0" t="0" r="0" b="7620"/>
            <wp:docPr id="884015877" name="圖片 1" descr="一張含有 文字, 軟體, 多媒體軟體, 繪圖軟體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015877" name="圖片 1" descr="一張含有 文字, 軟體, 多媒體軟體, 繪圖軟體 的圖片&#10;&#10;自動產生的描述"/>
                    <pic:cNvPicPr/>
                  </pic:nvPicPr>
                  <pic:blipFill rotWithShape="1">
                    <a:blip r:embed="rId31"/>
                    <a:srcRect l="62573" t="29630" r="21817" b="27983"/>
                    <a:stretch/>
                  </pic:blipFill>
                  <pic:spPr bwMode="auto">
                    <a:xfrm>
                      <a:off x="0" y="0"/>
                      <a:ext cx="2358046" cy="2058294"/>
                    </a:xfrm>
                    <a:prstGeom prst="rect">
                      <a:avLst/>
                    </a:prstGeom>
                    <a:ln>
                      <a:noFill/>
                    </a:ln>
                    <a:extLst>
                      <a:ext uri="{53640926-AAD7-44D8-BBD7-CCE9431645EC}">
                        <a14:shadowObscured xmlns:a14="http://schemas.microsoft.com/office/drawing/2010/main"/>
                      </a:ext>
                    </a:extLst>
                  </pic:spPr>
                </pic:pic>
              </a:graphicData>
            </a:graphic>
          </wp:inline>
        </w:drawing>
      </w:r>
    </w:p>
    <w:p w14:paraId="369D5628" w14:textId="3E453C52" w:rsidR="00DB6872" w:rsidRPr="00DB6872" w:rsidRDefault="00DB6872" w:rsidP="00E96C66">
      <w:pPr>
        <w:pStyle w:val="a1"/>
      </w:pPr>
      <w:bookmarkStart w:id="152" w:name="_Toc185426120"/>
      <w:bookmarkStart w:id="153" w:name="_Toc185605725"/>
      <w:bookmarkStart w:id="154" w:name="_Toc186029844"/>
      <w:r w:rsidRPr="00DB6872">
        <w:t>新世代能源</w:t>
      </w:r>
      <w:r w:rsidRPr="00DB6872">
        <w:rPr>
          <w:rFonts w:hint="eastAsia"/>
        </w:rPr>
        <w:t>反應器設計</w:t>
      </w:r>
      <w:r w:rsidR="00061763">
        <w:rPr>
          <w:rFonts w:hint="eastAsia"/>
        </w:rPr>
        <w:t>(專利</w:t>
      </w:r>
      <w:r w:rsidR="00061763" w:rsidRPr="00061763">
        <w:rPr>
          <w:rFonts w:hint="eastAsia"/>
        </w:rPr>
        <w:t>5838511號</w:t>
      </w:r>
      <w:r w:rsidR="00061763">
        <w:rPr>
          <w:rFonts w:hint="eastAsia"/>
        </w:rPr>
        <w:t>)</w:t>
      </w:r>
      <w:r w:rsidRPr="00DB6872">
        <w:rPr>
          <w:rFonts w:hint="eastAsia"/>
        </w:rPr>
        <w:t>概要圖</w:t>
      </w:r>
      <w:bookmarkEnd w:id="152"/>
      <w:bookmarkEnd w:id="153"/>
      <w:bookmarkEnd w:id="154"/>
    </w:p>
    <w:p w14:paraId="02C1427E" w14:textId="44256DC6" w:rsidR="00DB6872" w:rsidRDefault="00981AF2" w:rsidP="00DB6872">
      <w:pPr>
        <w:tabs>
          <w:tab w:val="left" w:pos="-1920"/>
        </w:tabs>
        <w:snapToGrid w:val="0"/>
        <w:spacing w:beforeLines="15" w:before="36" w:afterLines="15" w:after="36"/>
        <w:jc w:val="both"/>
        <w:outlineLvl w:val="2"/>
        <w:rPr>
          <w:rFonts w:ascii="標楷體" w:eastAsia="標楷體" w:hAnsi="標楷體"/>
          <w:bCs/>
          <w:sz w:val="28"/>
          <w:szCs w:val="36"/>
        </w:rPr>
      </w:pPr>
      <w:r>
        <w:rPr>
          <w:rFonts w:ascii="標楷體" w:eastAsia="標楷體" w:hAnsi="標楷體" w:hint="eastAsia"/>
          <w:bCs/>
          <w:sz w:val="28"/>
          <w:szCs w:val="36"/>
        </w:rPr>
        <w:t>備註：</w:t>
      </w:r>
    </w:p>
    <w:p w14:paraId="2E890831" w14:textId="59931A00" w:rsidR="00981AF2" w:rsidRPr="002A4102" w:rsidRDefault="00981AF2" w:rsidP="00FA6637">
      <w:pPr>
        <w:tabs>
          <w:tab w:val="num" w:pos="720"/>
        </w:tabs>
        <w:spacing w:afterLines="15" w:after="36" w:line="320" w:lineRule="exact"/>
        <w:ind w:leftChars="1" w:left="362" w:hangingChars="150" w:hanging="360"/>
        <w:jc w:val="both"/>
        <w:outlineLvl w:val="1"/>
        <w:rPr>
          <w:rFonts w:ascii="標楷體" w:eastAsia="標楷體" w:hAnsi="標楷體"/>
        </w:rPr>
      </w:pPr>
      <w:bookmarkStart w:id="155" w:name="_Toc185412454"/>
      <w:r>
        <w:rPr>
          <w:rFonts w:ascii="標楷體" w:eastAsia="標楷體" w:hAnsi="標楷體" w:hint="eastAsia"/>
        </w:rPr>
        <w:t>1、</w:t>
      </w:r>
      <w:r w:rsidRPr="002A4102">
        <w:rPr>
          <w:rFonts w:ascii="標楷體" w:eastAsia="標楷體" w:hAnsi="標楷體"/>
        </w:rPr>
        <w:t>核反應</w:t>
      </w:r>
      <w:r w:rsidRPr="00981AF2">
        <w:rPr>
          <w:rFonts w:ascii="標楷體" w:eastAsia="標楷體" w:hAnsi="標楷體"/>
          <w:bCs/>
          <w:spacing w:val="-10"/>
        </w:rPr>
        <w:t>過程</w:t>
      </w:r>
      <w:r w:rsidRPr="002A4102">
        <w:rPr>
          <w:rFonts w:ascii="標楷體" w:eastAsia="標楷體" w:hAnsi="標楷體"/>
        </w:rPr>
        <w:t>中，堆芯中的核燃料會釋放出中子</w:t>
      </w:r>
      <w:r>
        <w:rPr>
          <w:rFonts w:ascii="標楷體" w:eastAsia="標楷體" w:hAnsi="標楷體" w:hint="eastAsia"/>
        </w:rPr>
        <w:t>，</w:t>
      </w:r>
      <w:r w:rsidRPr="002A4102">
        <w:rPr>
          <w:rFonts w:ascii="標楷體" w:eastAsia="標楷體" w:hAnsi="標楷體"/>
        </w:rPr>
        <w:t>中子反射體將這些中子反射回堆芯</w:t>
      </w:r>
      <w:r>
        <w:rPr>
          <w:rFonts w:ascii="標楷體" w:eastAsia="標楷體" w:hAnsi="標楷體" w:hint="eastAsia"/>
        </w:rPr>
        <w:t>，</w:t>
      </w:r>
      <w:r w:rsidRPr="002A4102">
        <w:rPr>
          <w:rFonts w:ascii="標楷體" w:eastAsia="標楷體" w:hAnsi="標楷體"/>
        </w:rPr>
        <w:t>反射回來的中子會繼續參與核裂變反應，維持鏈式反應，使堆芯保持臨界狀態(有效倍增係數維持在約1以上)</w:t>
      </w:r>
      <w:r>
        <w:rPr>
          <w:rFonts w:ascii="標楷體" w:eastAsia="標楷體" w:hAnsi="標楷體" w:hint="eastAsia"/>
          <w:b/>
          <w:bCs/>
        </w:rPr>
        <w:t>。</w:t>
      </w:r>
      <w:bookmarkEnd w:id="155"/>
    </w:p>
    <w:p w14:paraId="39F515E4" w14:textId="19F9B0A1" w:rsidR="00061763" w:rsidRPr="00981AF2" w:rsidRDefault="00981AF2" w:rsidP="00FA6637">
      <w:pPr>
        <w:tabs>
          <w:tab w:val="num" w:pos="720"/>
        </w:tabs>
        <w:spacing w:afterLines="15" w:after="36" w:line="320" w:lineRule="exact"/>
        <w:ind w:leftChars="1" w:left="362" w:hangingChars="150" w:hanging="360"/>
        <w:jc w:val="both"/>
        <w:outlineLvl w:val="1"/>
        <w:rPr>
          <w:rFonts w:ascii="標楷體" w:eastAsia="標楷體" w:hAnsi="標楷體"/>
        </w:rPr>
      </w:pPr>
      <w:bookmarkStart w:id="156" w:name="_Toc185412455"/>
      <w:r>
        <w:rPr>
          <w:rFonts w:ascii="標楷體" w:eastAsia="標楷體" w:hAnsi="標楷體" w:hint="eastAsia"/>
        </w:rPr>
        <w:t>2、</w:t>
      </w:r>
      <w:r w:rsidRPr="00981AF2">
        <w:rPr>
          <w:rFonts w:ascii="標楷體" w:eastAsia="標楷體" w:hAnsi="標楷體"/>
        </w:rPr>
        <w:t>中子反射體</w:t>
      </w:r>
      <w:r w:rsidRPr="00981AF2">
        <w:rPr>
          <w:rFonts w:ascii="標楷體" w:eastAsia="標楷體" w:hAnsi="標楷體" w:hint="eastAsia"/>
        </w:rPr>
        <w:t>之</w:t>
      </w:r>
      <w:r w:rsidRPr="00981AF2">
        <w:rPr>
          <w:rFonts w:ascii="標楷體" w:eastAsia="標楷體" w:hAnsi="標楷體"/>
        </w:rPr>
        <w:t>材質</w:t>
      </w:r>
      <w:r w:rsidRPr="00981AF2">
        <w:rPr>
          <w:rFonts w:ascii="標楷體" w:eastAsia="標楷體" w:hAnsi="標楷體" w:hint="eastAsia"/>
        </w:rPr>
        <w:t>及</w:t>
      </w:r>
      <w:r w:rsidRPr="00981AF2">
        <w:rPr>
          <w:rFonts w:ascii="標楷體" w:eastAsia="標楷體" w:hAnsi="標楷體"/>
        </w:rPr>
        <w:t>位置會影響中子反射效率</w:t>
      </w:r>
      <w:r w:rsidRPr="00981AF2">
        <w:rPr>
          <w:rFonts w:ascii="標楷體" w:eastAsia="標楷體" w:hAnsi="標楷體" w:hint="eastAsia"/>
        </w:rPr>
        <w:t>，</w:t>
      </w:r>
      <w:r w:rsidRPr="00981AF2">
        <w:rPr>
          <w:rFonts w:ascii="標楷體" w:eastAsia="標楷體" w:hAnsi="標楷體"/>
        </w:rPr>
        <w:t>通過上下移動中子反射體，可改變反射回堆芯</w:t>
      </w:r>
      <w:r w:rsidRPr="00981AF2">
        <w:rPr>
          <w:rFonts w:ascii="標楷體" w:eastAsia="標楷體" w:hAnsi="標楷體" w:hint="eastAsia"/>
        </w:rPr>
        <w:t>之</w:t>
      </w:r>
      <w:r w:rsidRPr="00981AF2">
        <w:rPr>
          <w:rFonts w:ascii="標楷體" w:eastAsia="標楷體" w:hAnsi="標楷體"/>
        </w:rPr>
        <w:t>中子數量，進而控制核裂變反應的速度</w:t>
      </w:r>
      <w:r w:rsidRPr="00981AF2">
        <w:rPr>
          <w:rFonts w:ascii="標楷體" w:eastAsia="標楷體" w:hAnsi="標楷體" w:hint="eastAsia"/>
        </w:rPr>
        <w:t>，</w:t>
      </w:r>
      <w:r w:rsidRPr="00981AF2">
        <w:rPr>
          <w:rFonts w:ascii="標楷體" w:eastAsia="標楷體" w:hAnsi="標楷體"/>
        </w:rPr>
        <w:t>中子反射體向上移動</w:t>
      </w:r>
      <w:r w:rsidRPr="00981AF2">
        <w:rPr>
          <w:rFonts w:ascii="標楷體" w:eastAsia="標楷體" w:hAnsi="標楷體" w:hint="eastAsia"/>
        </w:rPr>
        <w:t>，</w:t>
      </w:r>
      <w:r w:rsidRPr="00981AF2">
        <w:rPr>
          <w:rFonts w:ascii="標楷體" w:eastAsia="標楷體" w:hAnsi="標楷體"/>
        </w:rPr>
        <w:t>反射效率降低，減少參與反應的中子數量，反應速度減慢，發熱量減少。中子反射體向下移動，反射效率提高，增加參與反應的中子數量，反應速度加快，發熱量增多。</w:t>
      </w:r>
      <w:bookmarkEnd w:id="156"/>
    </w:p>
    <w:p w14:paraId="7DFEC6F7" w14:textId="57A25DC2" w:rsidR="00061763" w:rsidRPr="002A4102" w:rsidRDefault="00061763" w:rsidP="00FA6637">
      <w:pPr>
        <w:tabs>
          <w:tab w:val="num" w:pos="720"/>
        </w:tabs>
        <w:spacing w:afterLines="15" w:after="36" w:line="320" w:lineRule="exact"/>
        <w:ind w:leftChars="1" w:left="362" w:hangingChars="150" w:hanging="360"/>
        <w:jc w:val="both"/>
        <w:outlineLvl w:val="1"/>
        <w:rPr>
          <w:rFonts w:ascii="標楷體" w:eastAsia="標楷體" w:hAnsi="標楷體"/>
        </w:rPr>
      </w:pPr>
      <w:bookmarkStart w:id="157" w:name="_Toc185412456"/>
      <w:r w:rsidRPr="00981AF2">
        <w:rPr>
          <w:rFonts w:ascii="標楷體" w:eastAsia="標楷體" w:hAnsi="標楷體"/>
        </w:rPr>
        <w:t>3</w:t>
      </w:r>
      <w:r w:rsidR="00981AF2">
        <w:rPr>
          <w:rFonts w:ascii="標楷體" w:eastAsia="標楷體" w:hAnsi="標楷體" w:hint="eastAsia"/>
        </w:rPr>
        <w:t>、</w:t>
      </w:r>
      <w:r w:rsidRPr="002A4102">
        <w:rPr>
          <w:rFonts w:ascii="標楷體" w:eastAsia="標楷體" w:hAnsi="標楷體"/>
        </w:rPr>
        <w:t>傳統核反應器使用控制棒吸收中子來控制反應速度</w:t>
      </w:r>
      <w:r w:rsidR="00981AF2">
        <w:rPr>
          <w:rFonts w:ascii="標楷體" w:eastAsia="標楷體" w:hAnsi="標楷體" w:hint="eastAsia"/>
        </w:rPr>
        <w:t>，</w:t>
      </w:r>
      <w:r w:rsidRPr="002A4102">
        <w:rPr>
          <w:rFonts w:ascii="標楷體" w:eastAsia="標楷體" w:hAnsi="標楷體"/>
        </w:rPr>
        <w:t>本發明利用中子反射體控制反應速度，</w:t>
      </w:r>
      <w:r w:rsidRPr="00981AF2">
        <w:rPr>
          <w:rFonts w:ascii="標楷體" w:eastAsia="標楷體" w:hAnsi="標楷體" w:hint="eastAsia"/>
        </w:rPr>
        <w:t>無</w:t>
      </w:r>
      <w:r w:rsidRPr="00981AF2">
        <w:rPr>
          <w:rFonts w:ascii="標楷體" w:eastAsia="標楷體" w:hAnsi="標楷體"/>
        </w:rPr>
        <w:t>需使用控制棒</w:t>
      </w:r>
      <w:r w:rsidRPr="002A4102">
        <w:rPr>
          <w:rFonts w:ascii="標楷體" w:eastAsia="標楷體" w:hAnsi="標楷體"/>
        </w:rPr>
        <w:t>，簡化反應器結構，使其更小型化。</w:t>
      </w:r>
      <w:bookmarkEnd w:id="157"/>
    </w:p>
    <w:p w14:paraId="497DD7F7" w14:textId="78456B02" w:rsidR="00061763" w:rsidRDefault="00981AF2" w:rsidP="00FA6637">
      <w:pPr>
        <w:tabs>
          <w:tab w:val="num" w:pos="720"/>
        </w:tabs>
        <w:spacing w:afterLines="15" w:after="36" w:line="320" w:lineRule="exact"/>
        <w:ind w:leftChars="1" w:left="362" w:hangingChars="150" w:hanging="360"/>
        <w:jc w:val="both"/>
        <w:outlineLvl w:val="1"/>
        <w:rPr>
          <w:rFonts w:ascii="標楷體" w:eastAsia="標楷體" w:hAnsi="標楷體"/>
        </w:rPr>
      </w:pPr>
      <w:bookmarkStart w:id="158" w:name="_Toc185412457"/>
      <w:r>
        <w:rPr>
          <w:rFonts w:ascii="標楷體" w:eastAsia="標楷體" w:hAnsi="標楷體" w:hint="eastAsia"/>
        </w:rPr>
        <w:t>4、</w:t>
      </w:r>
      <w:r w:rsidR="00061763" w:rsidRPr="002A4102">
        <w:rPr>
          <w:rFonts w:ascii="標楷體" w:eastAsia="標楷體" w:hAnsi="標楷體"/>
        </w:rPr>
        <w:t>利用金屬鈉的密度隨溫度變化的特性，自動調節反應程度。當負載增加時，金屬鈉溫度升高，密度降低，中子泄漏增加，反應速度減慢。當負載減少時，金屬鈉溫度降低，密度升高，中子泄漏減少，反應速度加快。</w:t>
      </w:r>
      <w:bookmarkEnd w:id="158"/>
    </w:p>
    <w:p w14:paraId="77EB0ED8" w14:textId="2977EC12" w:rsidR="00DB6872" w:rsidRDefault="00542E71" w:rsidP="009C4EE0">
      <w:pPr>
        <w:pStyle w:val="af4"/>
        <w:numPr>
          <w:ilvl w:val="2"/>
          <w:numId w:val="2"/>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542E71">
        <w:rPr>
          <w:rFonts w:ascii="標楷體" w:eastAsia="標楷體" w:hAnsi="標楷體" w:hint="eastAsia"/>
          <w:bCs/>
          <w:sz w:val="28"/>
          <w:szCs w:val="36"/>
        </w:rPr>
        <w:lastRenderedPageBreak/>
        <w:t>先進便攜式</w:t>
      </w:r>
      <w:r>
        <w:rPr>
          <w:rFonts w:ascii="標楷體" w:eastAsia="標楷體" w:hAnsi="標楷體" w:hint="eastAsia"/>
          <w:bCs/>
          <w:sz w:val="28"/>
          <w:szCs w:val="36"/>
        </w:rPr>
        <w:t>小</w:t>
      </w:r>
      <w:r w:rsidRPr="006A02C0">
        <w:rPr>
          <w:rFonts w:ascii="標楷體" w:eastAsia="標楷體" w:hAnsi="標楷體" w:hint="eastAsia"/>
          <w:bCs/>
          <w:sz w:val="28"/>
          <w:szCs w:val="36"/>
        </w:rPr>
        <w:t>型快速反應器(Small Fast Reactor ,</w:t>
      </w:r>
      <w:r w:rsidRPr="00542E71">
        <w:rPr>
          <w:rFonts w:ascii="標楷體" w:eastAsia="標楷體" w:hAnsi="標楷體" w:hint="eastAsia"/>
          <w:bCs/>
          <w:sz w:val="28"/>
          <w:szCs w:val="36"/>
        </w:rPr>
        <w:t>S</w:t>
      </w:r>
      <w:r>
        <w:rPr>
          <w:rFonts w:ascii="標楷體" w:eastAsia="標楷體" w:hAnsi="標楷體" w:hint="eastAsia"/>
          <w:bCs/>
          <w:sz w:val="28"/>
          <w:szCs w:val="36"/>
        </w:rPr>
        <w:t>F</w:t>
      </w:r>
      <w:r w:rsidRPr="00542E71">
        <w:rPr>
          <w:rFonts w:ascii="標楷體" w:eastAsia="標楷體" w:hAnsi="標楷體" w:hint="eastAsia"/>
          <w:bCs/>
          <w:sz w:val="28"/>
          <w:szCs w:val="36"/>
        </w:rPr>
        <w:t>R</w:t>
      </w:r>
      <w:r>
        <w:rPr>
          <w:rFonts w:ascii="標楷體" w:eastAsia="標楷體" w:hAnsi="標楷體" w:hint="eastAsia"/>
          <w:bCs/>
          <w:sz w:val="28"/>
          <w:szCs w:val="36"/>
        </w:rPr>
        <w:t>)</w:t>
      </w:r>
      <w:r w:rsidRPr="00542E71">
        <w:rPr>
          <w:rFonts w:ascii="標楷體" w:eastAsia="標楷體" w:hAnsi="標楷體" w:hint="eastAsia"/>
          <w:bCs/>
          <w:sz w:val="28"/>
          <w:szCs w:val="36"/>
        </w:rPr>
        <w:t>系統</w:t>
      </w:r>
    </w:p>
    <w:p w14:paraId="3498585B" w14:textId="022260DD" w:rsidR="00DB6872" w:rsidRPr="00542E71" w:rsidRDefault="00DB6872" w:rsidP="009C4EE0">
      <w:pPr>
        <w:pStyle w:val="af4"/>
        <w:numPr>
          <w:ilvl w:val="3"/>
          <w:numId w:val="2"/>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542E71">
        <w:rPr>
          <w:rFonts w:ascii="標楷體" w:eastAsia="標楷體" w:hAnsi="標楷體"/>
          <w:bCs/>
          <w:sz w:val="28"/>
          <w:szCs w:val="36"/>
        </w:rPr>
        <w:t>技術概述</w:t>
      </w:r>
      <w:r w:rsidR="00542E71" w:rsidRPr="00542E71">
        <w:rPr>
          <w:rFonts w:ascii="標楷體" w:eastAsia="標楷體" w:hAnsi="標楷體" w:hint="eastAsia"/>
          <w:bCs/>
          <w:sz w:val="28"/>
          <w:szCs w:val="36"/>
        </w:rPr>
        <w:t>：</w:t>
      </w:r>
      <w:r w:rsidRPr="00542E71">
        <w:rPr>
          <w:rFonts w:ascii="標楷體" w:eastAsia="標楷體" w:hAnsi="標楷體"/>
          <w:bCs/>
          <w:sz w:val="28"/>
          <w:szCs w:val="36"/>
        </w:rPr>
        <w:t>新</w:t>
      </w:r>
      <w:r w:rsidR="00542E71">
        <w:rPr>
          <w:rFonts w:ascii="標楷體" w:eastAsia="標楷體" w:hAnsi="標楷體" w:hint="eastAsia"/>
          <w:bCs/>
          <w:sz w:val="28"/>
          <w:szCs w:val="36"/>
        </w:rPr>
        <w:t>式</w:t>
      </w:r>
      <w:r w:rsidRPr="00542E71">
        <w:rPr>
          <w:rFonts w:ascii="標楷體" w:eastAsia="標楷體" w:hAnsi="標楷體"/>
          <w:bCs/>
          <w:sz w:val="28"/>
          <w:szCs w:val="36"/>
        </w:rPr>
        <w:t>小型快中子反應</w:t>
      </w:r>
      <w:r w:rsidR="00542E71">
        <w:rPr>
          <w:rFonts w:ascii="標楷體" w:eastAsia="標楷體" w:hAnsi="標楷體" w:hint="eastAsia"/>
          <w:bCs/>
          <w:sz w:val="28"/>
          <w:szCs w:val="36"/>
        </w:rPr>
        <w:t>器</w:t>
      </w:r>
      <w:r w:rsidR="00767B66">
        <w:rPr>
          <w:rFonts w:ascii="標楷體" w:eastAsia="標楷體" w:hAnsi="標楷體"/>
          <w:bCs/>
          <w:sz w:val="28"/>
          <w:szCs w:val="36"/>
        </w:rPr>
        <w:t>(</w:t>
      </w:r>
      <w:r w:rsidRPr="00542E71">
        <w:rPr>
          <w:rFonts w:ascii="標楷體" w:eastAsia="標楷體" w:hAnsi="標楷體"/>
          <w:bCs/>
          <w:sz w:val="28"/>
          <w:szCs w:val="36"/>
        </w:rPr>
        <w:t>SFR</w:t>
      </w:r>
      <w:r w:rsidR="00767B66">
        <w:rPr>
          <w:rFonts w:ascii="標楷體" w:eastAsia="標楷體" w:hAnsi="標楷體"/>
          <w:bCs/>
          <w:sz w:val="28"/>
          <w:szCs w:val="36"/>
        </w:rPr>
        <w:t>)</w:t>
      </w:r>
      <w:r w:rsidRPr="00542E71">
        <w:rPr>
          <w:rFonts w:ascii="標楷體" w:eastAsia="標楷體" w:hAnsi="標楷體"/>
          <w:bCs/>
          <w:sz w:val="28"/>
          <w:szCs w:val="36"/>
        </w:rPr>
        <w:t>的技術可行性及其應用前景。該反應</w:t>
      </w:r>
      <w:r w:rsidR="00542E71">
        <w:rPr>
          <w:rFonts w:ascii="標楷體" w:eastAsia="標楷體" w:hAnsi="標楷體" w:hint="eastAsia"/>
          <w:bCs/>
          <w:sz w:val="28"/>
          <w:szCs w:val="36"/>
        </w:rPr>
        <w:t>器</w:t>
      </w:r>
      <w:r w:rsidRPr="00542E71">
        <w:rPr>
          <w:rFonts w:ascii="標楷體" w:eastAsia="標楷體" w:hAnsi="標楷體"/>
          <w:bCs/>
          <w:sz w:val="28"/>
          <w:szCs w:val="36"/>
        </w:rPr>
        <w:t>設計基於快中子增殖原理，採用金屬燃料，並結合負回饋控制系統，具備安全性高、成本低、可移動性強等特點，有望成為未來無碳社會的重要能源解決方案。</w:t>
      </w:r>
    </w:p>
    <w:p w14:paraId="4C58C96B" w14:textId="18D348E5" w:rsidR="00DB6872" w:rsidRPr="00542E71" w:rsidRDefault="00DB6872" w:rsidP="009C4EE0">
      <w:pPr>
        <w:pStyle w:val="af4"/>
        <w:numPr>
          <w:ilvl w:val="3"/>
          <w:numId w:val="2"/>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542E71">
        <w:rPr>
          <w:rFonts w:ascii="標楷體" w:eastAsia="標楷體" w:hAnsi="標楷體"/>
          <w:bCs/>
          <w:sz w:val="28"/>
          <w:szCs w:val="36"/>
        </w:rPr>
        <w:t>安全性分析</w:t>
      </w:r>
      <w:r w:rsidR="00542E71" w:rsidRPr="00542E71">
        <w:rPr>
          <w:rFonts w:ascii="標楷體" w:eastAsia="標楷體" w:hAnsi="標楷體" w:hint="eastAsia"/>
          <w:bCs/>
          <w:sz w:val="28"/>
          <w:szCs w:val="36"/>
        </w:rPr>
        <w:t>：</w:t>
      </w:r>
      <w:r w:rsidRPr="00542E71">
        <w:rPr>
          <w:rFonts w:ascii="標楷體" w:eastAsia="標楷體" w:hAnsi="標楷體"/>
          <w:bCs/>
          <w:sz w:val="28"/>
          <w:szCs w:val="36"/>
        </w:rPr>
        <w:t>相較於傳統輕水反應</w:t>
      </w:r>
      <w:r w:rsidR="00542E71">
        <w:rPr>
          <w:rFonts w:ascii="標楷體" w:eastAsia="標楷體" w:hAnsi="標楷體" w:hint="eastAsia"/>
          <w:bCs/>
          <w:sz w:val="28"/>
          <w:szCs w:val="36"/>
        </w:rPr>
        <w:t>器</w:t>
      </w:r>
      <w:r w:rsidRPr="00542E71">
        <w:rPr>
          <w:rFonts w:ascii="標楷體" w:eastAsia="標楷體" w:hAnsi="標楷體"/>
          <w:bCs/>
          <w:sz w:val="28"/>
          <w:szCs w:val="36"/>
        </w:rPr>
        <w:t>，SFR使用的金屬燃料在高溫下會發生膨脹，降低反應活性，從而實現被動安全保障。此外，該設計採用鈉或鉛鉍合金作為冷卻劑，避免輕水</w:t>
      </w:r>
      <w:r w:rsidR="00A95445">
        <w:rPr>
          <w:rFonts w:ascii="標楷體" w:eastAsia="標楷體" w:hAnsi="標楷體"/>
          <w:bCs/>
          <w:sz w:val="28"/>
          <w:szCs w:val="36"/>
        </w:rPr>
        <w:t>反應器</w:t>
      </w:r>
      <w:r w:rsidRPr="00542E71">
        <w:rPr>
          <w:rFonts w:ascii="標楷體" w:eastAsia="標楷體" w:hAnsi="標楷體"/>
          <w:bCs/>
          <w:sz w:val="28"/>
          <w:szCs w:val="36"/>
        </w:rPr>
        <w:t>中氫氣爆炸的風險。同時，乾式後處理技術的應用，簡化乏燃料處理流程，降低放射性廢棄物的產生量，進一步提升核安全性能。</w:t>
      </w:r>
    </w:p>
    <w:p w14:paraId="35A2E7E4" w14:textId="2FDADB5C" w:rsidR="00DB6872" w:rsidRPr="00542E71" w:rsidRDefault="00DB6872" w:rsidP="009C4EE0">
      <w:pPr>
        <w:pStyle w:val="af4"/>
        <w:numPr>
          <w:ilvl w:val="3"/>
          <w:numId w:val="2"/>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542E71">
        <w:rPr>
          <w:rFonts w:ascii="標楷體" w:eastAsia="標楷體" w:hAnsi="標楷體"/>
          <w:bCs/>
          <w:sz w:val="28"/>
          <w:szCs w:val="36"/>
        </w:rPr>
        <w:t>經濟效益評估</w:t>
      </w:r>
      <w:r w:rsidR="00542E71" w:rsidRPr="00542E71">
        <w:rPr>
          <w:rFonts w:ascii="標楷體" w:eastAsia="標楷體" w:hAnsi="標楷體" w:hint="eastAsia"/>
          <w:bCs/>
          <w:sz w:val="28"/>
          <w:szCs w:val="36"/>
        </w:rPr>
        <w:t>：</w:t>
      </w:r>
      <w:r w:rsidRPr="00542E71">
        <w:rPr>
          <w:rFonts w:ascii="標楷體" w:eastAsia="標楷體" w:hAnsi="標楷體"/>
          <w:bCs/>
          <w:sz w:val="28"/>
          <w:szCs w:val="36"/>
        </w:rPr>
        <w:t>SFR模組化設計</w:t>
      </w:r>
      <w:r w:rsidR="00542E71">
        <w:rPr>
          <w:rFonts w:ascii="標楷體" w:eastAsia="標楷體" w:hAnsi="標楷體" w:hint="eastAsia"/>
          <w:bCs/>
          <w:sz w:val="28"/>
          <w:szCs w:val="36"/>
        </w:rPr>
        <w:t>及</w:t>
      </w:r>
      <w:r w:rsidRPr="00542E71">
        <w:rPr>
          <w:rFonts w:ascii="標楷體" w:eastAsia="標楷體" w:hAnsi="標楷體"/>
          <w:bCs/>
          <w:sz w:val="28"/>
          <w:szCs w:val="36"/>
        </w:rPr>
        <w:t>可移動性，使其能夠在工廠預製後運輸至需求地點，縮短建設週期和成本。此外，乾式後處理技術的應用，降低乏燃料後處理成本，並可實現燃料的循環利用，提高經濟效益。</w:t>
      </w:r>
    </w:p>
    <w:p w14:paraId="2E3A1C55" w14:textId="269AFA87" w:rsidR="00DB6872" w:rsidRPr="00542E71" w:rsidRDefault="00DB6872" w:rsidP="009C4EE0">
      <w:pPr>
        <w:pStyle w:val="af4"/>
        <w:numPr>
          <w:ilvl w:val="3"/>
          <w:numId w:val="2"/>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542E71">
        <w:rPr>
          <w:rFonts w:ascii="標楷體" w:eastAsia="標楷體" w:hAnsi="標楷體"/>
          <w:bCs/>
          <w:sz w:val="28"/>
          <w:szCs w:val="36"/>
        </w:rPr>
        <w:t>發展規劃與展望</w:t>
      </w:r>
      <w:r w:rsidR="00542E71" w:rsidRPr="00542E71">
        <w:rPr>
          <w:rFonts w:ascii="標楷體" w:eastAsia="標楷體" w:hAnsi="標楷體" w:hint="eastAsia"/>
          <w:bCs/>
          <w:sz w:val="28"/>
          <w:szCs w:val="36"/>
        </w:rPr>
        <w:t>：</w:t>
      </w:r>
      <w:r w:rsidRPr="00542E71">
        <w:rPr>
          <w:rFonts w:ascii="標楷體" w:eastAsia="標楷體" w:hAnsi="標楷體"/>
          <w:bCs/>
          <w:sz w:val="28"/>
          <w:szCs w:val="36"/>
        </w:rPr>
        <w:t>SFR的研發工作主要集中在冷卻劑選擇、負回饋控制系統優化、乾式後處理技術驗證等方面。未來SFR有望應用於偏遠地區、海島及發展中國家，為其提供安全、可靠、經濟的電力供應，並促進氫能生產和海水淡化等領域的發展，助力於全球能源轉型和可持續發展目標的實現。</w:t>
      </w:r>
    </w:p>
    <w:p w14:paraId="2DE838BA" w14:textId="1D9C7299" w:rsidR="00DB6872" w:rsidRDefault="00542E71" w:rsidP="005D68EB">
      <w:pPr>
        <w:tabs>
          <w:tab w:val="left" w:pos="-1920"/>
        </w:tabs>
        <w:snapToGrid w:val="0"/>
        <w:spacing w:beforeLines="15" w:before="36" w:afterLines="15" w:after="36"/>
        <w:ind w:leftChars="-177" w:left="-425"/>
        <w:jc w:val="both"/>
        <w:outlineLvl w:val="2"/>
        <w:rPr>
          <w:rFonts w:ascii="標楷體" w:eastAsia="標楷體" w:hAnsi="標楷體"/>
          <w:bCs/>
          <w:sz w:val="28"/>
          <w:szCs w:val="36"/>
        </w:rPr>
      </w:pPr>
      <w:r>
        <w:rPr>
          <w:rFonts w:ascii="標楷體" w:eastAsia="標楷體" w:hAnsi="標楷體" w:hint="eastAsia"/>
          <w:bCs/>
          <w:noProof/>
          <w:sz w:val="28"/>
          <w:szCs w:val="36"/>
        </w:rPr>
        <w:drawing>
          <wp:inline distT="0" distB="0" distL="0" distR="0" wp14:anchorId="15E515ED" wp14:editId="25D003A0">
            <wp:extent cx="6372616" cy="2709644"/>
            <wp:effectExtent l="0" t="0" r="9525" b="0"/>
            <wp:docPr id="1228707696" name="圖片 1" descr="一張含有 文字, 圖表, 方案, 圖解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707696" name="圖片 1" descr="一張含有 文字, 圖表, 方案, 圖解 的圖片&#10;&#10;自動產生的描述"/>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379326" cy="2712497"/>
                    </a:xfrm>
                    <a:prstGeom prst="rect">
                      <a:avLst/>
                    </a:prstGeom>
                  </pic:spPr>
                </pic:pic>
              </a:graphicData>
            </a:graphic>
          </wp:inline>
        </w:drawing>
      </w:r>
    </w:p>
    <w:p w14:paraId="48E973EF" w14:textId="0CADAAD7" w:rsidR="00542E71" w:rsidRDefault="003B7E96" w:rsidP="00E96C66">
      <w:pPr>
        <w:pStyle w:val="a1"/>
      </w:pPr>
      <w:bookmarkStart w:id="159" w:name="_Toc185426121"/>
      <w:bookmarkStart w:id="160" w:name="_Toc185605726"/>
      <w:bookmarkStart w:id="161" w:name="_Toc186029845"/>
      <w:r w:rsidRPr="003B7E96">
        <w:rPr>
          <w:rFonts w:hint="eastAsia"/>
        </w:rPr>
        <w:t>先進便攜式小型快速反應器示意圖</w:t>
      </w:r>
      <w:bookmarkEnd w:id="159"/>
      <w:bookmarkEnd w:id="160"/>
      <w:bookmarkEnd w:id="161"/>
    </w:p>
    <w:p w14:paraId="09FF3F41" w14:textId="47B1E4F3" w:rsidR="00BF53E4" w:rsidRDefault="00CD2EFC" w:rsidP="00BF53E4">
      <w:pPr>
        <w:pStyle w:val="aff4"/>
        <w:spacing w:beforeLines="15" w:before="36" w:afterLines="15" w:after="36"/>
        <w:rPr>
          <w:bCs/>
          <w:sz w:val="24"/>
          <w:szCs w:val="32"/>
        </w:rPr>
      </w:pPr>
      <w:r>
        <w:rPr>
          <w:noProof/>
        </w:rPr>
        <w:lastRenderedPageBreak/>
        <w:drawing>
          <wp:inline distT="0" distB="0" distL="0" distR="0" wp14:anchorId="0EA91499" wp14:editId="15CCB659">
            <wp:extent cx="5321156" cy="4043082"/>
            <wp:effectExtent l="0" t="0" r="0" b="0"/>
            <wp:docPr id="16" name="圖片 16" descr="一張含有 服裝, 人員, 人的臉孔, 微笑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圖片 16" descr="一張含有 服裝, 人員, 人的臉孔, 微笑 的圖片&#10;&#10;自動產生的描述"/>
                    <pic:cNvPicPr>
                      <a:picLocks noChangeAspect="1" noChangeArrowheads="1"/>
                    </pic:cNvPicPr>
                  </pic:nvPicPr>
                  <pic:blipFill rotWithShape="1">
                    <a:blip r:embed="rId33">
                      <a:extLst>
                        <a:ext uri="{28A0092B-C50C-407E-A947-70E740481C1C}">
                          <a14:useLocalDpi xmlns:a14="http://schemas.microsoft.com/office/drawing/2010/main" val="0"/>
                        </a:ext>
                      </a:extLst>
                    </a:blip>
                    <a:srcRect t="20493" b="19426"/>
                    <a:stretch/>
                  </pic:blipFill>
                  <pic:spPr bwMode="auto">
                    <a:xfrm>
                      <a:off x="0" y="0"/>
                      <a:ext cx="5409614" cy="4110294"/>
                    </a:xfrm>
                    <a:prstGeom prst="rect">
                      <a:avLst/>
                    </a:prstGeom>
                    <a:noFill/>
                    <a:ln>
                      <a:noFill/>
                    </a:ln>
                    <a:extLst>
                      <a:ext uri="{53640926-AAD7-44D8-BBD7-CCE9431645EC}">
                        <a14:shadowObscured xmlns:a14="http://schemas.microsoft.com/office/drawing/2010/main"/>
                      </a:ext>
                    </a:extLst>
                  </pic:spPr>
                </pic:pic>
              </a:graphicData>
            </a:graphic>
          </wp:inline>
        </w:drawing>
      </w:r>
    </w:p>
    <w:p w14:paraId="068C8130" w14:textId="795632BA" w:rsidR="00BF53E4" w:rsidRDefault="00BF53E4" w:rsidP="00E96C66">
      <w:pPr>
        <w:pStyle w:val="a1"/>
      </w:pPr>
      <w:bookmarkStart w:id="162" w:name="_Toc185426122"/>
      <w:bookmarkStart w:id="163" w:name="_Toc185605727"/>
      <w:bookmarkStart w:id="164" w:name="_Toc186029846"/>
      <w:r w:rsidRPr="00BF53E4">
        <w:rPr>
          <w:rFonts w:hint="eastAsia"/>
        </w:rPr>
        <w:t>拜訪日本</w:t>
      </w:r>
      <w:r w:rsidR="00F3658C">
        <w:rPr>
          <w:rFonts w:hint="eastAsia"/>
        </w:rPr>
        <w:t>參議院議員</w:t>
      </w:r>
      <w:r w:rsidRPr="00BF53E4">
        <w:rPr>
          <w:rFonts w:hint="eastAsia"/>
        </w:rPr>
        <w:t>佐藤正久</w:t>
      </w:r>
      <w:bookmarkEnd w:id="162"/>
      <w:bookmarkEnd w:id="163"/>
      <w:bookmarkEnd w:id="164"/>
    </w:p>
    <w:p w14:paraId="32BBC599" w14:textId="77777777" w:rsidR="00CD2EFC" w:rsidRDefault="00CD2EFC" w:rsidP="00CD2EFC">
      <w:pPr>
        <w:pStyle w:val="aff4"/>
        <w:spacing w:beforeLines="15" w:before="36" w:afterLines="15" w:after="36" w:line="440" w:lineRule="exact"/>
        <w:rPr>
          <w:bCs/>
          <w:sz w:val="24"/>
          <w:szCs w:val="32"/>
        </w:rPr>
      </w:pPr>
    </w:p>
    <w:p w14:paraId="1EE81229" w14:textId="184E0D90" w:rsidR="00BF53E4" w:rsidRDefault="00CD2EFC" w:rsidP="00BF53E4">
      <w:pPr>
        <w:pStyle w:val="aff4"/>
        <w:spacing w:beforeLines="15" w:before="36" w:afterLines="15" w:after="36"/>
        <w:rPr>
          <w:bCs/>
          <w:sz w:val="24"/>
          <w:szCs w:val="32"/>
        </w:rPr>
      </w:pPr>
      <w:r>
        <w:rPr>
          <w:noProof/>
        </w:rPr>
        <w:drawing>
          <wp:inline distT="0" distB="0" distL="0" distR="0" wp14:anchorId="056B1C4A" wp14:editId="2634955A">
            <wp:extent cx="5232746" cy="3415553"/>
            <wp:effectExtent l="0" t="0" r="6350" b="0"/>
            <wp:docPr id="15" name="圖片 15" descr="一張含有 服裝, 男人, 人的臉孔, 人員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圖片 15" descr="一張含有 服裝, 男人, 人的臉孔, 人員 的圖片&#10;&#10;自動產生的描述"/>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12964"/>
                    <a:stretch/>
                  </pic:blipFill>
                  <pic:spPr bwMode="auto">
                    <a:xfrm>
                      <a:off x="0" y="0"/>
                      <a:ext cx="5259221" cy="3432834"/>
                    </a:xfrm>
                    <a:prstGeom prst="rect">
                      <a:avLst/>
                    </a:prstGeom>
                    <a:noFill/>
                    <a:ln>
                      <a:noFill/>
                    </a:ln>
                    <a:extLst>
                      <a:ext uri="{53640926-AAD7-44D8-BBD7-CCE9431645EC}">
                        <a14:shadowObscured xmlns:a14="http://schemas.microsoft.com/office/drawing/2010/main"/>
                      </a:ext>
                    </a:extLst>
                  </pic:spPr>
                </pic:pic>
              </a:graphicData>
            </a:graphic>
          </wp:inline>
        </w:drawing>
      </w:r>
    </w:p>
    <w:p w14:paraId="441D7B5A" w14:textId="2186BA12" w:rsidR="00CD2EFC" w:rsidRDefault="00CD2EFC" w:rsidP="00E96C66">
      <w:pPr>
        <w:pStyle w:val="a1"/>
      </w:pPr>
      <w:bookmarkStart w:id="165" w:name="_Toc185426123"/>
      <w:bookmarkStart w:id="166" w:name="_Toc185605728"/>
      <w:bookmarkStart w:id="167" w:name="_Toc186029847"/>
      <w:r w:rsidRPr="00CD2EFC">
        <w:rPr>
          <w:rFonts w:hint="eastAsia"/>
        </w:rPr>
        <w:t>參訪日本</w:t>
      </w:r>
      <w:r>
        <w:rPr>
          <w:rFonts w:hint="eastAsia"/>
        </w:rPr>
        <w:t>參</w:t>
      </w:r>
      <w:r w:rsidRPr="00CD2EFC">
        <w:rPr>
          <w:rFonts w:hint="eastAsia"/>
        </w:rPr>
        <w:t>議院與學者專家意見交流情形</w:t>
      </w:r>
      <w:bookmarkEnd w:id="165"/>
      <w:bookmarkEnd w:id="166"/>
      <w:bookmarkEnd w:id="167"/>
    </w:p>
    <w:p w14:paraId="4D6CCEE0" w14:textId="77777777" w:rsidR="00CD2EFC" w:rsidRPr="00BF53E4" w:rsidRDefault="00CD2EFC" w:rsidP="00CD2EFC">
      <w:pPr>
        <w:pStyle w:val="aff4"/>
        <w:spacing w:beforeLines="15" w:before="36" w:afterLines="15" w:after="36" w:line="440" w:lineRule="exact"/>
        <w:rPr>
          <w:bCs/>
          <w:sz w:val="24"/>
          <w:szCs w:val="32"/>
        </w:rPr>
      </w:pPr>
    </w:p>
    <w:p w14:paraId="0C5A5946" w14:textId="77777777" w:rsidR="00BA4FF8" w:rsidRPr="00FA6637" w:rsidRDefault="00BA4FF8" w:rsidP="009C4EE0">
      <w:pPr>
        <w:pStyle w:val="af4"/>
        <w:numPr>
          <w:ilvl w:val="1"/>
          <w:numId w:val="2"/>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bookmarkStart w:id="168" w:name="_Toc185412458"/>
      <w:r w:rsidRPr="00FA6637">
        <w:rPr>
          <w:rFonts w:ascii="標楷體" w:eastAsia="標楷體" w:hAnsi="標楷體"/>
          <w:bCs/>
          <w:sz w:val="28"/>
          <w:szCs w:val="36"/>
        </w:rPr>
        <w:lastRenderedPageBreak/>
        <w:t>國立研究開發法人日本原子能研究開發機構</w:t>
      </w:r>
      <w:r w:rsidRPr="00FA6637">
        <w:rPr>
          <w:rFonts w:ascii="標楷體" w:eastAsia="標楷體" w:hAnsi="標楷體" w:hint="eastAsia"/>
          <w:bCs/>
          <w:sz w:val="28"/>
          <w:szCs w:val="36"/>
        </w:rPr>
        <w:t>(</w:t>
      </w:r>
      <w:r w:rsidRPr="00FA6637">
        <w:rPr>
          <w:rFonts w:ascii="標楷體" w:eastAsia="標楷體" w:hAnsi="標楷體"/>
          <w:bCs/>
          <w:sz w:val="28"/>
          <w:szCs w:val="36"/>
        </w:rPr>
        <w:t>Japan Atomic Energy Agency，JAEA</w:t>
      </w:r>
      <w:r w:rsidRPr="00FA6637">
        <w:rPr>
          <w:rFonts w:ascii="標楷體" w:eastAsia="標楷體" w:hAnsi="標楷體" w:hint="eastAsia"/>
          <w:bCs/>
          <w:sz w:val="28"/>
          <w:szCs w:val="36"/>
        </w:rPr>
        <w:t>)</w:t>
      </w:r>
      <w:bookmarkEnd w:id="168"/>
    </w:p>
    <w:p w14:paraId="54865B13" w14:textId="218DF126" w:rsidR="00093803" w:rsidRPr="00FA610F" w:rsidRDefault="00093803" w:rsidP="009C4EE0">
      <w:pPr>
        <w:pStyle w:val="af4"/>
        <w:numPr>
          <w:ilvl w:val="2"/>
          <w:numId w:val="2"/>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FA610F">
        <w:rPr>
          <w:rFonts w:ascii="標楷體" w:eastAsia="標楷體" w:hAnsi="標楷體"/>
          <w:bCs/>
          <w:sz w:val="28"/>
          <w:szCs w:val="36"/>
        </w:rPr>
        <w:t>為增進</w:t>
      </w:r>
      <w:r w:rsidRPr="00FA610F">
        <w:rPr>
          <w:rFonts w:ascii="標楷體" w:eastAsia="標楷體" w:hAnsi="標楷體" w:hint="eastAsia"/>
          <w:bCs/>
          <w:sz w:val="28"/>
          <w:szCs w:val="36"/>
        </w:rPr>
        <w:t>我國</w:t>
      </w:r>
      <w:r w:rsidRPr="00FA610F">
        <w:rPr>
          <w:rFonts w:ascii="標楷體" w:eastAsia="標楷體" w:hAnsi="標楷體"/>
          <w:bCs/>
          <w:sz w:val="28"/>
          <w:szCs w:val="36"/>
        </w:rPr>
        <w:t>新世代能源的發展，汲取國際先進核能技術與經驗，</w:t>
      </w:r>
      <w:r w:rsidR="00FA610F">
        <w:rPr>
          <w:rFonts w:ascii="標楷體" w:eastAsia="標楷體" w:hAnsi="標楷體" w:hint="eastAsia"/>
          <w:bCs/>
          <w:sz w:val="28"/>
          <w:szCs w:val="36"/>
        </w:rPr>
        <w:t>以</w:t>
      </w:r>
      <w:r w:rsidR="00A95445">
        <w:rPr>
          <w:rFonts w:ascii="標楷體" w:eastAsia="標楷體" w:hAnsi="標楷體"/>
          <w:bCs/>
          <w:sz w:val="28"/>
          <w:szCs w:val="36"/>
        </w:rPr>
        <w:t>瞭解</w:t>
      </w:r>
      <w:r w:rsidRPr="00FA610F">
        <w:rPr>
          <w:rFonts w:ascii="標楷體" w:eastAsia="標楷體" w:hAnsi="標楷體"/>
          <w:bCs/>
          <w:sz w:val="28"/>
          <w:szCs w:val="36"/>
        </w:rPr>
        <w:t>日本</w:t>
      </w:r>
      <w:r w:rsidR="006A02C0">
        <w:rPr>
          <w:rFonts w:ascii="標楷體" w:eastAsia="標楷體" w:hAnsi="標楷體"/>
          <w:bCs/>
          <w:sz w:val="28"/>
          <w:szCs w:val="36"/>
        </w:rPr>
        <w:t>核能</w:t>
      </w:r>
      <w:r w:rsidRPr="00FA610F">
        <w:rPr>
          <w:rFonts w:ascii="標楷體" w:eastAsia="標楷體" w:hAnsi="標楷體"/>
          <w:bCs/>
          <w:sz w:val="28"/>
          <w:szCs w:val="36"/>
        </w:rPr>
        <w:t>研究開發機構大洗核工程研究所於快速反應器技術、高溫氣體</w:t>
      </w:r>
      <w:r w:rsidRPr="00FA610F">
        <w:rPr>
          <w:rFonts w:ascii="標楷體" w:eastAsia="標楷體" w:hAnsi="標楷體" w:hint="eastAsia"/>
          <w:bCs/>
          <w:sz w:val="28"/>
          <w:szCs w:val="36"/>
        </w:rPr>
        <w:t>反應器</w:t>
      </w:r>
      <w:r w:rsidRPr="00FA610F">
        <w:rPr>
          <w:rFonts w:ascii="標楷體" w:eastAsia="標楷體" w:hAnsi="標楷體"/>
          <w:bCs/>
          <w:sz w:val="28"/>
          <w:szCs w:val="36"/>
        </w:rPr>
        <w:t>技術以及核電廠除役等方面的研發進展，探討其在確保能源安全、促進碳中和目標以及核能安全方面的應用，以作為我國未來能源政策制定之參考依據。</w:t>
      </w:r>
    </w:p>
    <w:p w14:paraId="2FBA4E1A" w14:textId="19530EB1" w:rsidR="00B01A95" w:rsidRPr="002A4102" w:rsidRDefault="00B01A95" w:rsidP="00CE2FF1">
      <w:pPr>
        <w:snapToGrid w:val="0"/>
        <w:spacing w:beforeLines="15" w:before="36" w:afterLines="15" w:after="36"/>
        <w:jc w:val="both"/>
        <w:rPr>
          <w:rFonts w:ascii="標楷體" w:eastAsia="標楷體" w:hAnsi="標楷體"/>
          <w:bCs/>
          <w:sz w:val="28"/>
          <w:szCs w:val="36"/>
        </w:rPr>
      </w:pPr>
      <w:r w:rsidRPr="002A4102">
        <w:rPr>
          <w:rFonts w:ascii="標楷體" w:eastAsia="標楷體" w:hAnsi="標楷體"/>
          <w:b/>
          <w:bCs/>
          <w:noProof/>
        </w:rPr>
        <w:drawing>
          <wp:inline distT="0" distB="0" distL="0" distR="0" wp14:anchorId="22676E93" wp14:editId="2567902B">
            <wp:extent cx="5760085" cy="3108940"/>
            <wp:effectExtent l="0" t="0" r="0" b="0"/>
            <wp:docPr id="993606912" name="圖片 1" descr="一張含有 空中攝影, 俯視圖, 水, 空中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606912" name="圖片 1" descr="一張含有 空中攝影, 俯視圖, 水, 空中 的圖片&#10;&#10;自動產生的描述"/>
                    <pic:cNvPicPr/>
                  </pic:nvPicPr>
                  <pic:blipFill>
                    <a:blip r:embed="rId35"/>
                    <a:stretch>
                      <a:fillRect/>
                    </a:stretch>
                  </pic:blipFill>
                  <pic:spPr>
                    <a:xfrm>
                      <a:off x="0" y="0"/>
                      <a:ext cx="5760085" cy="3108940"/>
                    </a:xfrm>
                    <a:prstGeom prst="rect">
                      <a:avLst/>
                    </a:prstGeom>
                  </pic:spPr>
                </pic:pic>
              </a:graphicData>
            </a:graphic>
          </wp:inline>
        </w:drawing>
      </w:r>
    </w:p>
    <w:p w14:paraId="1C1C535A" w14:textId="22BEDB49" w:rsidR="00B01A95" w:rsidRDefault="00B01A95" w:rsidP="00E96C66">
      <w:pPr>
        <w:pStyle w:val="a1"/>
      </w:pPr>
      <w:bookmarkStart w:id="169" w:name="_Toc185426124"/>
      <w:bookmarkStart w:id="170" w:name="_Toc185605729"/>
      <w:bookmarkStart w:id="171" w:name="_Toc186029848"/>
      <w:r w:rsidRPr="00FA610F">
        <w:t>大洗核工程研究所</w:t>
      </w:r>
      <w:r w:rsidRPr="00FA610F">
        <w:rPr>
          <w:rFonts w:hint="eastAsia"/>
        </w:rPr>
        <w:t>鳥瞰圖</w:t>
      </w:r>
      <w:bookmarkEnd w:id="169"/>
      <w:bookmarkEnd w:id="170"/>
      <w:bookmarkEnd w:id="171"/>
    </w:p>
    <w:p w14:paraId="0A374C6E" w14:textId="77777777" w:rsidR="009E4873" w:rsidRDefault="009E4873" w:rsidP="009C4EE0">
      <w:pPr>
        <w:numPr>
          <w:ilvl w:val="3"/>
          <w:numId w:val="21"/>
        </w:numPr>
        <w:tabs>
          <w:tab w:val="left" w:pos="-1920"/>
        </w:tabs>
        <w:kinsoku w:val="0"/>
        <w:wordWrap w:val="0"/>
        <w:snapToGrid w:val="0"/>
        <w:spacing w:beforeLines="15" w:before="36" w:afterLines="15" w:after="36" w:line="440" w:lineRule="exact"/>
        <w:jc w:val="both"/>
        <w:outlineLvl w:val="2"/>
        <w:rPr>
          <w:rFonts w:ascii="標楷體" w:eastAsia="標楷體" w:hAnsi="標楷體"/>
          <w:bCs/>
          <w:sz w:val="28"/>
          <w:szCs w:val="36"/>
        </w:rPr>
      </w:pPr>
      <w:r w:rsidRPr="002A4102">
        <w:rPr>
          <w:rFonts w:ascii="標楷體" w:eastAsia="標楷體" w:hAnsi="標楷體" w:hint="eastAsia"/>
          <w:bCs/>
          <w:sz w:val="28"/>
          <w:szCs w:val="36"/>
        </w:rPr>
        <w:t>日本原子能總署的使命是具體實現國家的核能政策，並在多個領域進行研究和發展。大洗核工程研究所正在使用不同規格的試驗和研究反應器以及相關的輻照後測試設施進行研究和開發。大洗研究所的一個特點是，自成立以來一直致力於創造被稱為</w:t>
      </w:r>
      <w:r>
        <w:rPr>
          <w:rFonts w:ascii="標楷體" w:eastAsia="標楷體" w:hAnsi="標楷體" w:hint="eastAsia"/>
          <w:bCs/>
          <w:sz w:val="28"/>
          <w:szCs w:val="36"/>
        </w:rPr>
        <w:t>新世</w:t>
      </w:r>
      <w:r w:rsidRPr="002A4102">
        <w:rPr>
          <w:rFonts w:ascii="標楷體" w:eastAsia="標楷體" w:hAnsi="標楷體" w:hint="eastAsia"/>
          <w:bCs/>
          <w:sz w:val="28"/>
          <w:szCs w:val="36"/>
        </w:rPr>
        <w:t>代創新反應器的未來核反應器的技術開發，它已成為國際公認的</w:t>
      </w:r>
      <w:r>
        <w:rPr>
          <w:rFonts w:ascii="標楷體" w:eastAsia="標楷體" w:hAnsi="標楷體" w:hint="eastAsia"/>
          <w:bCs/>
          <w:sz w:val="28"/>
          <w:szCs w:val="36"/>
        </w:rPr>
        <w:t>新世</w:t>
      </w:r>
      <w:r w:rsidRPr="002A4102">
        <w:rPr>
          <w:rFonts w:ascii="標楷體" w:eastAsia="標楷體" w:hAnsi="標楷體" w:hint="eastAsia"/>
          <w:bCs/>
          <w:sz w:val="28"/>
          <w:szCs w:val="36"/>
        </w:rPr>
        <w:t>代創新反應器研究</w:t>
      </w:r>
      <w:r>
        <w:rPr>
          <w:rFonts w:ascii="標楷體" w:eastAsia="標楷體" w:hAnsi="標楷體" w:hint="eastAsia"/>
          <w:bCs/>
          <w:sz w:val="28"/>
          <w:szCs w:val="36"/>
        </w:rPr>
        <w:t>之</w:t>
      </w:r>
      <w:r w:rsidRPr="002A4102">
        <w:rPr>
          <w:rFonts w:ascii="標楷體" w:eastAsia="標楷體" w:hAnsi="標楷體" w:hint="eastAsia"/>
          <w:bCs/>
          <w:sz w:val="28"/>
          <w:szCs w:val="36"/>
        </w:rPr>
        <w:t>核心。</w:t>
      </w:r>
    </w:p>
    <w:p w14:paraId="067BCFF0" w14:textId="77777777" w:rsidR="009E4873" w:rsidRPr="002A4102" w:rsidRDefault="009E4873" w:rsidP="009C4EE0">
      <w:pPr>
        <w:numPr>
          <w:ilvl w:val="3"/>
          <w:numId w:val="21"/>
        </w:numPr>
        <w:tabs>
          <w:tab w:val="left" w:pos="-1920"/>
        </w:tabs>
        <w:kinsoku w:val="0"/>
        <w:wordWrap w:val="0"/>
        <w:snapToGrid w:val="0"/>
        <w:spacing w:beforeLines="15" w:before="36" w:afterLines="15" w:after="36" w:line="440" w:lineRule="exact"/>
        <w:jc w:val="both"/>
        <w:outlineLvl w:val="2"/>
        <w:rPr>
          <w:rFonts w:ascii="標楷體" w:eastAsia="標楷體" w:hAnsi="標楷體"/>
          <w:bCs/>
          <w:sz w:val="28"/>
          <w:szCs w:val="36"/>
        </w:rPr>
      </w:pPr>
      <w:r>
        <w:rPr>
          <w:rFonts w:ascii="標楷體" w:eastAsia="標楷體" w:hAnsi="標楷體" w:hint="eastAsia"/>
          <w:bCs/>
          <w:sz w:val="28"/>
          <w:szCs w:val="36"/>
        </w:rPr>
        <w:t>新世</w:t>
      </w:r>
      <w:r w:rsidRPr="002A4102">
        <w:rPr>
          <w:rFonts w:ascii="標楷體" w:eastAsia="標楷體" w:hAnsi="標楷體" w:hint="eastAsia"/>
          <w:bCs/>
          <w:sz w:val="28"/>
          <w:szCs w:val="36"/>
        </w:rPr>
        <w:t>代創新反應器是有望幫助日本實現確保能源多樣性和實現溫室氣體總體零排放的碳中和社會目標的技術，日本原子能機構</w:t>
      </w:r>
      <w:r>
        <w:rPr>
          <w:rFonts w:ascii="標楷體" w:eastAsia="標楷體" w:hAnsi="標楷體" w:hint="eastAsia"/>
          <w:bCs/>
          <w:sz w:val="28"/>
          <w:szCs w:val="36"/>
        </w:rPr>
        <w:t>亦</w:t>
      </w:r>
      <w:r w:rsidRPr="002A4102">
        <w:rPr>
          <w:rFonts w:ascii="標楷體" w:eastAsia="標楷體" w:hAnsi="標楷體" w:hint="eastAsia"/>
          <w:bCs/>
          <w:sz w:val="28"/>
          <w:szCs w:val="36"/>
        </w:rPr>
        <w:t>有望實現這一目標的技術。</w:t>
      </w:r>
    </w:p>
    <w:p w14:paraId="56E4D199" w14:textId="77777777" w:rsidR="009E4873" w:rsidRPr="009E4873" w:rsidRDefault="009E4873" w:rsidP="009C4EE0">
      <w:pPr>
        <w:numPr>
          <w:ilvl w:val="4"/>
          <w:numId w:val="21"/>
        </w:numPr>
        <w:tabs>
          <w:tab w:val="left" w:pos="-1920"/>
        </w:tabs>
        <w:kinsoku w:val="0"/>
        <w:wordWrap w:val="0"/>
        <w:snapToGrid w:val="0"/>
        <w:spacing w:beforeLines="15" w:before="36" w:afterLines="15" w:after="36" w:line="440" w:lineRule="exact"/>
        <w:jc w:val="both"/>
        <w:outlineLvl w:val="2"/>
        <w:rPr>
          <w:rFonts w:ascii="標楷體" w:eastAsia="標楷體" w:hAnsi="標楷體"/>
          <w:bCs/>
          <w:sz w:val="28"/>
          <w:szCs w:val="36"/>
        </w:rPr>
      </w:pPr>
      <w:r w:rsidRPr="009E4873">
        <w:rPr>
          <w:rFonts w:ascii="標楷體" w:eastAsia="標楷體" w:hAnsi="標楷體" w:hint="eastAsia"/>
          <w:bCs/>
          <w:sz w:val="28"/>
          <w:szCs w:val="36"/>
        </w:rPr>
        <w:t>互補核電與再生能源的優缺點，產生協同作用。</w:t>
      </w:r>
    </w:p>
    <w:p w14:paraId="2349C941" w14:textId="77777777" w:rsidR="009E4873" w:rsidRPr="009E4873" w:rsidRDefault="009E4873" w:rsidP="009C4EE0">
      <w:pPr>
        <w:numPr>
          <w:ilvl w:val="4"/>
          <w:numId w:val="21"/>
        </w:numPr>
        <w:tabs>
          <w:tab w:val="left" w:pos="-1920"/>
        </w:tabs>
        <w:kinsoku w:val="0"/>
        <w:wordWrap w:val="0"/>
        <w:snapToGrid w:val="0"/>
        <w:spacing w:beforeLines="15" w:before="36" w:afterLines="15" w:after="36" w:line="440" w:lineRule="exact"/>
        <w:jc w:val="both"/>
        <w:outlineLvl w:val="2"/>
        <w:rPr>
          <w:rFonts w:ascii="標楷體" w:eastAsia="標楷體" w:hAnsi="標楷體"/>
          <w:bCs/>
          <w:sz w:val="28"/>
          <w:szCs w:val="36"/>
        </w:rPr>
      </w:pPr>
      <w:r w:rsidRPr="009E4873">
        <w:rPr>
          <w:rFonts w:ascii="標楷體" w:eastAsia="標楷體" w:hAnsi="標楷體" w:hint="eastAsia"/>
          <w:bCs/>
          <w:sz w:val="28"/>
          <w:szCs w:val="36"/>
        </w:rPr>
        <w:t>解決放射性廢棄物和能源問題，使核電本身可持續發展。</w:t>
      </w:r>
    </w:p>
    <w:p w14:paraId="60BA80F4" w14:textId="77777777" w:rsidR="009E4873" w:rsidRPr="009E4873" w:rsidRDefault="009E4873" w:rsidP="009C4EE0">
      <w:pPr>
        <w:numPr>
          <w:ilvl w:val="4"/>
          <w:numId w:val="21"/>
        </w:numPr>
        <w:tabs>
          <w:tab w:val="left" w:pos="-1920"/>
        </w:tabs>
        <w:kinsoku w:val="0"/>
        <w:wordWrap w:val="0"/>
        <w:snapToGrid w:val="0"/>
        <w:spacing w:beforeLines="15" w:before="36" w:afterLines="15" w:after="36" w:line="440" w:lineRule="exact"/>
        <w:jc w:val="both"/>
        <w:outlineLvl w:val="2"/>
        <w:rPr>
          <w:rFonts w:ascii="標楷體" w:eastAsia="標楷體" w:hAnsi="標楷體"/>
          <w:bCs/>
          <w:sz w:val="28"/>
          <w:szCs w:val="36"/>
        </w:rPr>
      </w:pPr>
      <w:r w:rsidRPr="009E4873">
        <w:rPr>
          <w:rFonts w:ascii="標楷體" w:eastAsia="標楷體" w:hAnsi="標楷體" w:hint="eastAsia"/>
          <w:bCs/>
          <w:sz w:val="28"/>
          <w:szCs w:val="36"/>
        </w:rPr>
        <w:t>能源領域。</w:t>
      </w:r>
    </w:p>
    <w:p w14:paraId="73E74462" w14:textId="77777777" w:rsidR="009E4873" w:rsidRPr="00FA610F" w:rsidRDefault="009E4873" w:rsidP="009E4873">
      <w:pPr>
        <w:pStyle w:val="a1"/>
        <w:numPr>
          <w:ilvl w:val="0"/>
          <w:numId w:val="0"/>
        </w:numPr>
      </w:pPr>
    </w:p>
    <w:p w14:paraId="29FA6FC5" w14:textId="69440A18" w:rsidR="00F74E3F" w:rsidRDefault="00F74E3F" w:rsidP="00F74E3F">
      <w:pPr>
        <w:tabs>
          <w:tab w:val="num" w:pos="720"/>
        </w:tabs>
        <w:spacing w:beforeLines="15" w:before="36" w:afterLines="15" w:after="36"/>
        <w:ind w:leftChars="1" w:left="362" w:hangingChars="150" w:hanging="360"/>
        <w:jc w:val="center"/>
        <w:outlineLvl w:val="1"/>
        <w:rPr>
          <w:rFonts w:ascii="標楷體" w:eastAsia="標楷體" w:hAnsi="標楷體"/>
          <w:bCs/>
          <w:spacing w:val="-10"/>
          <w:szCs w:val="24"/>
        </w:rPr>
      </w:pPr>
      <w:bookmarkStart w:id="172" w:name="_Toc185412496"/>
      <w:r>
        <w:rPr>
          <w:rFonts w:ascii="標楷體" w:eastAsia="標楷體" w:hAnsi="標楷體" w:hint="eastAsia"/>
          <w:bCs/>
          <w:noProof/>
          <w:spacing w:val="-10"/>
          <w:szCs w:val="24"/>
        </w:rPr>
        <w:drawing>
          <wp:inline distT="0" distB="0" distL="0" distR="0" wp14:anchorId="72443C6B" wp14:editId="420AC602">
            <wp:extent cx="3735324" cy="4878324"/>
            <wp:effectExtent l="0" t="0" r="0" b="0"/>
            <wp:docPr id="1353585315" name="圖片 11" descr="一張含有 文字, 地圖, 圖表, 螢幕擷取畫面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585315" name="圖片 11" descr="一張含有 文字, 地圖, 圖表, 螢幕擷取畫面 的圖片&#10;&#10;自動產生的描述"/>
                    <pic:cNvPicPr/>
                  </pic:nvPicPr>
                  <pic:blipFill>
                    <a:blip r:embed="rId36">
                      <a:extLst>
                        <a:ext uri="{28A0092B-C50C-407E-A947-70E740481C1C}">
                          <a14:useLocalDpi xmlns:a14="http://schemas.microsoft.com/office/drawing/2010/main" val="0"/>
                        </a:ext>
                      </a:extLst>
                    </a:blip>
                    <a:stretch>
                      <a:fillRect/>
                    </a:stretch>
                  </pic:blipFill>
                  <pic:spPr>
                    <a:xfrm>
                      <a:off x="0" y="0"/>
                      <a:ext cx="3735324" cy="4878324"/>
                    </a:xfrm>
                    <a:prstGeom prst="rect">
                      <a:avLst/>
                    </a:prstGeom>
                  </pic:spPr>
                </pic:pic>
              </a:graphicData>
            </a:graphic>
          </wp:inline>
        </w:drawing>
      </w:r>
      <w:bookmarkEnd w:id="172"/>
    </w:p>
    <w:p w14:paraId="4B8EBBA7" w14:textId="68235A89" w:rsidR="00F4425A" w:rsidRPr="00F4425A" w:rsidRDefault="0085232E" w:rsidP="00E96C66">
      <w:pPr>
        <w:pStyle w:val="a1"/>
      </w:pPr>
      <w:bookmarkStart w:id="173" w:name="_Toc185426133"/>
      <w:bookmarkStart w:id="174" w:name="_Toc185605730"/>
      <w:bookmarkStart w:id="175" w:name="_Toc186029849"/>
      <w:r w:rsidRPr="0085232E">
        <w:t>日本茨城縣內用於監測環境輻射的測量站位置</w:t>
      </w:r>
      <w:r w:rsidR="00F4425A" w:rsidRPr="00F4425A">
        <w:rPr>
          <w:rFonts w:hint="eastAsia"/>
        </w:rPr>
        <w:t>圖</w:t>
      </w:r>
      <w:bookmarkEnd w:id="173"/>
      <w:bookmarkEnd w:id="174"/>
      <w:bookmarkEnd w:id="175"/>
    </w:p>
    <w:p w14:paraId="3DC1D3B4" w14:textId="77777777" w:rsidR="00F4425A" w:rsidRPr="00F4425A" w:rsidRDefault="00F4425A" w:rsidP="00F4425A">
      <w:pPr>
        <w:tabs>
          <w:tab w:val="num" w:pos="720"/>
        </w:tabs>
        <w:spacing w:beforeLines="15" w:before="36" w:afterLines="15" w:after="36" w:line="440" w:lineRule="exact"/>
        <w:ind w:leftChars="1" w:left="392" w:hangingChars="150" w:hanging="390"/>
        <w:jc w:val="both"/>
        <w:outlineLvl w:val="1"/>
        <w:rPr>
          <w:rFonts w:ascii="標楷體" w:eastAsia="標楷體" w:hAnsi="標楷體"/>
          <w:bCs/>
          <w:spacing w:val="-10"/>
          <w:sz w:val="28"/>
          <w:szCs w:val="28"/>
        </w:rPr>
      </w:pPr>
      <w:bookmarkStart w:id="176" w:name="_Toc185412497"/>
      <w:r w:rsidRPr="00F4425A">
        <w:rPr>
          <w:rFonts w:ascii="標楷體" w:eastAsia="標楷體" w:hAnsi="標楷體" w:hint="eastAsia"/>
          <w:bCs/>
          <w:spacing w:val="-10"/>
          <w:sz w:val="28"/>
          <w:szCs w:val="28"/>
        </w:rPr>
        <w:t>備註：</w:t>
      </w:r>
      <w:bookmarkEnd w:id="176"/>
    </w:p>
    <w:p w14:paraId="20586B14" w14:textId="033C71DB" w:rsidR="00BE1EC0" w:rsidRPr="00BE1EC0" w:rsidRDefault="00F4425A" w:rsidP="00BE1EC0">
      <w:pPr>
        <w:tabs>
          <w:tab w:val="num" w:pos="720"/>
        </w:tabs>
        <w:spacing w:afterLines="15" w:after="36" w:line="400" w:lineRule="exact"/>
        <w:ind w:leftChars="1" w:left="332" w:hangingChars="150" w:hanging="330"/>
        <w:jc w:val="both"/>
        <w:outlineLvl w:val="1"/>
        <w:rPr>
          <w:rFonts w:ascii="標楷體" w:eastAsia="標楷體" w:hAnsi="標楷體"/>
          <w:bCs/>
          <w:spacing w:val="-10"/>
        </w:rPr>
      </w:pPr>
      <w:bookmarkStart w:id="177" w:name="_Toc185412498"/>
      <w:r w:rsidRPr="00F4425A">
        <w:rPr>
          <w:rFonts w:ascii="標楷體" w:eastAsia="標楷體" w:hAnsi="標楷體" w:hint="eastAsia"/>
          <w:bCs/>
          <w:spacing w:val="-10"/>
        </w:rPr>
        <w:t>1、</w:t>
      </w:r>
      <w:r w:rsidR="00BE1EC0" w:rsidRPr="00BE1EC0">
        <w:rPr>
          <w:rFonts w:ascii="標楷體" w:eastAsia="標楷體" w:hAnsi="標楷體"/>
          <w:bCs/>
          <w:spacing w:val="-10"/>
        </w:rPr>
        <w:t>地圖上標記各種環境輻射監測站點的位置，包括測量γ射線、中子射線的站點，以及監測排水的站點</w:t>
      </w:r>
      <w:r w:rsidR="00BE1EC0">
        <w:rPr>
          <w:rFonts w:ascii="標楷體" w:eastAsia="標楷體" w:hAnsi="標楷體" w:hint="eastAsia"/>
          <w:bCs/>
          <w:spacing w:val="-10"/>
        </w:rPr>
        <w:t>，</w:t>
      </w:r>
      <w:r w:rsidR="00BE1EC0" w:rsidRPr="00BE1EC0">
        <w:rPr>
          <w:rFonts w:ascii="標楷體" w:eastAsia="標楷體" w:hAnsi="標楷體"/>
          <w:bCs/>
          <w:spacing w:val="-10"/>
        </w:rPr>
        <w:t>不同顏色的標記代表不同類型的監測站點</w:t>
      </w:r>
      <w:r w:rsidR="00BE1EC0">
        <w:rPr>
          <w:rFonts w:ascii="標楷體" w:eastAsia="標楷體" w:hAnsi="標楷體" w:hint="eastAsia"/>
          <w:bCs/>
          <w:spacing w:val="-10"/>
        </w:rPr>
        <w:t>，此等</w:t>
      </w:r>
      <w:r w:rsidR="00BE1EC0" w:rsidRPr="00BE1EC0">
        <w:rPr>
          <w:rFonts w:ascii="標楷體" w:eastAsia="標楷體" w:hAnsi="標楷體"/>
          <w:bCs/>
          <w:spacing w:val="-10"/>
        </w:rPr>
        <w:t>測量站點構成茨城縣的環境輻射實時監測遙測系統，可持續監測環境中的輻射</w:t>
      </w:r>
      <w:r w:rsidR="00BE1EC0">
        <w:rPr>
          <w:rFonts w:ascii="標楷體" w:eastAsia="標楷體" w:hAnsi="標楷體" w:hint="eastAsia"/>
          <w:bCs/>
          <w:spacing w:val="-10"/>
        </w:rPr>
        <w:t>情形</w:t>
      </w:r>
      <w:r w:rsidR="00BE1EC0" w:rsidRPr="00BE1EC0">
        <w:rPr>
          <w:rFonts w:ascii="標楷體" w:eastAsia="標楷體" w:hAnsi="標楷體"/>
          <w:bCs/>
          <w:spacing w:val="-10"/>
        </w:rPr>
        <w:t>。</w:t>
      </w:r>
      <w:bookmarkEnd w:id="177"/>
    </w:p>
    <w:p w14:paraId="1C58584E" w14:textId="2E12D1A6" w:rsidR="00BE1EC0" w:rsidRPr="00BE1EC0" w:rsidRDefault="00BE1EC0" w:rsidP="00BE1EC0">
      <w:pPr>
        <w:tabs>
          <w:tab w:val="num" w:pos="720"/>
        </w:tabs>
        <w:spacing w:afterLines="15" w:after="36" w:line="400" w:lineRule="exact"/>
        <w:ind w:leftChars="1" w:left="332" w:hangingChars="150" w:hanging="330"/>
        <w:jc w:val="both"/>
        <w:outlineLvl w:val="1"/>
        <w:rPr>
          <w:rFonts w:ascii="標楷體" w:eastAsia="標楷體" w:hAnsi="標楷體"/>
          <w:bCs/>
          <w:spacing w:val="-10"/>
        </w:rPr>
      </w:pPr>
      <w:bookmarkStart w:id="178" w:name="_Toc185412499"/>
      <w:r>
        <w:rPr>
          <w:rFonts w:ascii="標楷體" w:eastAsia="標楷體" w:hAnsi="標楷體" w:hint="eastAsia"/>
          <w:bCs/>
          <w:spacing w:val="-10"/>
        </w:rPr>
        <w:t>2、</w:t>
      </w:r>
      <w:r w:rsidRPr="00BE1EC0">
        <w:rPr>
          <w:rFonts w:ascii="標楷體" w:eastAsia="標楷體" w:hAnsi="標楷體"/>
          <w:bCs/>
          <w:spacing w:val="-10"/>
        </w:rPr>
        <w:t>茨城縣設置如此密集的輻射監測網絡</w:t>
      </w:r>
      <w:r>
        <w:rPr>
          <w:rFonts w:ascii="標楷體" w:eastAsia="標楷體" w:hAnsi="標楷體" w:hint="eastAsia"/>
          <w:bCs/>
          <w:spacing w:val="-10"/>
        </w:rPr>
        <w:t>，顯示資訊</w:t>
      </w:r>
      <w:r w:rsidRPr="00BE1EC0">
        <w:rPr>
          <w:rFonts w:ascii="標楷體" w:eastAsia="標楷體" w:hAnsi="標楷體"/>
          <w:bCs/>
          <w:spacing w:val="-10"/>
        </w:rPr>
        <w:t>公開</w:t>
      </w:r>
      <w:r>
        <w:rPr>
          <w:rFonts w:ascii="標楷體" w:eastAsia="標楷體" w:hAnsi="標楷體" w:hint="eastAsia"/>
          <w:bCs/>
          <w:spacing w:val="-10"/>
        </w:rPr>
        <w:t>之重要，</w:t>
      </w:r>
      <w:r w:rsidRPr="00BE1EC0">
        <w:rPr>
          <w:rFonts w:ascii="標楷體" w:eastAsia="標楷體" w:hAnsi="標楷體"/>
          <w:bCs/>
          <w:spacing w:val="-10"/>
        </w:rPr>
        <w:t>監測數據會傳輸到中央監控站，並在顯示站公開顯示，方便民眾</w:t>
      </w:r>
      <w:r>
        <w:rPr>
          <w:rFonts w:ascii="標楷體" w:eastAsia="標楷體" w:hAnsi="標楷體" w:hint="eastAsia"/>
          <w:bCs/>
          <w:spacing w:val="-10"/>
        </w:rPr>
        <w:t>瞭</w:t>
      </w:r>
      <w:r w:rsidRPr="00BE1EC0">
        <w:rPr>
          <w:rFonts w:ascii="標楷體" w:eastAsia="標楷體" w:hAnsi="標楷體"/>
          <w:bCs/>
          <w:spacing w:val="-10"/>
        </w:rPr>
        <w:t>解環境輻射情況。</w:t>
      </w:r>
      <w:r>
        <w:rPr>
          <w:rFonts w:ascii="標楷體" w:eastAsia="標楷體" w:hAnsi="標楷體" w:hint="eastAsia"/>
          <w:bCs/>
          <w:spacing w:val="-10"/>
        </w:rPr>
        <w:t>因</w:t>
      </w:r>
      <w:r w:rsidRPr="00BE1EC0">
        <w:rPr>
          <w:rFonts w:ascii="標楷體" w:eastAsia="標楷體" w:hAnsi="標楷體"/>
          <w:bCs/>
          <w:spacing w:val="-10"/>
        </w:rPr>
        <w:t>茨城縣內有多個核電站，需要嚴密監控環境輻射</w:t>
      </w:r>
      <w:r>
        <w:rPr>
          <w:rFonts w:ascii="標楷體" w:eastAsia="標楷體" w:hAnsi="標楷體" w:hint="eastAsia"/>
          <w:bCs/>
          <w:spacing w:val="-10"/>
        </w:rPr>
        <w:t>情形</w:t>
      </w:r>
      <w:r w:rsidRPr="00BE1EC0">
        <w:rPr>
          <w:rFonts w:ascii="標楷體" w:eastAsia="標楷體" w:hAnsi="標楷體"/>
          <w:bCs/>
          <w:spacing w:val="-10"/>
        </w:rPr>
        <w:t>，</w:t>
      </w:r>
      <w:r>
        <w:rPr>
          <w:rFonts w:ascii="標楷體" w:eastAsia="標楷體" w:hAnsi="標楷體" w:hint="eastAsia"/>
          <w:bCs/>
          <w:spacing w:val="-10"/>
        </w:rPr>
        <w:t>且</w:t>
      </w:r>
      <w:r w:rsidRPr="00BE1EC0">
        <w:rPr>
          <w:rFonts w:ascii="標楷體" w:eastAsia="標楷體" w:hAnsi="標楷體"/>
          <w:bCs/>
          <w:spacing w:val="-10"/>
        </w:rPr>
        <w:t>茨城縣內還有核燃料循環相關設施，</w:t>
      </w:r>
      <w:r>
        <w:rPr>
          <w:rFonts w:ascii="標楷體" w:eastAsia="標楷體" w:hAnsi="標楷體" w:hint="eastAsia"/>
          <w:bCs/>
          <w:spacing w:val="-10"/>
        </w:rPr>
        <w:t>圖示中亦可顯示，</w:t>
      </w:r>
      <w:r w:rsidRPr="00BE1EC0">
        <w:rPr>
          <w:rFonts w:ascii="標楷體" w:eastAsia="標楷體" w:hAnsi="標楷體"/>
          <w:bCs/>
          <w:spacing w:val="-10"/>
        </w:rPr>
        <w:t>茨城縣為監測環境輻射所做的努力，有助於人們</w:t>
      </w:r>
      <w:r>
        <w:rPr>
          <w:rFonts w:ascii="標楷體" w:eastAsia="標楷體" w:hAnsi="標楷體" w:hint="eastAsia"/>
          <w:bCs/>
          <w:spacing w:val="-10"/>
        </w:rPr>
        <w:t>瞭</w:t>
      </w:r>
      <w:r w:rsidRPr="00BE1EC0">
        <w:rPr>
          <w:rFonts w:ascii="標楷體" w:eastAsia="標楷體" w:hAnsi="標楷體"/>
          <w:bCs/>
          <w:spacing w:val="-10"/>
        </w:rPr>
        <w:t>解該地區的輻射監測網絡</w:t>
      </w:r>
      <w:r>
        <w:rPr>
          <w:rFonts w:ascii="標楷體" w:eastAsia="標楷體" w:hAnsi="標楷體" w:hint="eastAsia"/>
          <w:bCs/>
          <w:spacing w:val="-10"/>
        </w:rPr>
        <w:t>及</w:t>
      </w:r>
      <w:r w:rsidRPr="00BE1EC0">
        <w:rPr>
          <w:rFonts w:ascii="標楷體" w:eastAsia="標楷體" w:hAnsi="標楷體"/>
          <w:bCs/>
          <w:spacing w:val="-10"/>
        </w:rPr>
        <w:t>相關設施</w:t>
      </w:r>
      <w:r>
        <w:rPr>
          <w:rFonts w:ascii="標楷體" w:eastAsia="標楷體" w:hAnsi="標楷體" w:hint="eastAsia"/>
          <w:bCs/>
          <w:spacing w:val="-10"/>
        </w:rPr>
        <w:t>之</w:t>
      </w:r>
      <w:r w:rsidRPr="00BE1EC0">
        <w:rPr>
          <w:rFonts w:ascii="標楷體" w:eastAsia="標楷體" w:hAnsi="標楷體"/>
          <w:bCs/>
          <w:spacing w:val="-10"/>
        </w:rPr>
        <w:t>分布情況</w:t>
      </w:r>
      <w:r>
        <w:rPr>
          <w:rFonts w:ascii="標楷體" w:eastAsia="標楷體" w:hAnsi="標楷體" w:hint="eastAsia"/>
          <w:bCs/>
          <w:spacing w:val="-10"/>
        </w:rPr>
        <w:t>。</w:t>
      </w:r>
      <w:bookmarkEnd w:id="178"/>
    </w:p>
    <w:p w14:paraId="4160DD3E" w14:textId="13541981" w:rsidR="00093803" w:rsidRPr="00FA610F" w:rsidRDefault="00FA610F" w:rsidP="009C4EE0">
      <w:pPr>
        <w:numPr>
          <w:ilvl w:val="2"/>
          <w:numId w:val="21"/>
        </w:numPr>
        <w:tabs>
          <w:tab w:val="left" w:pos="-1920"/>
        </w:tabs>
        <w:kinsoku w:val="0"/>
        <w:wordWrap w:val="0"/>
        <w:snapToGrid w:val="0"/>
        <w:spacing w:beforeLines="15" w:before="36" w:afterLines="15" w:after="36" w:line="440" w:lineRule="exact"/>
        <w:jc w:val="both"/>
        <w:outlineLvl w:val="2"/>
        <w:rPr>
          <w:rFonts w:ascii="標楷體" w:eastAsia="標楷體" w:hAnsi="標楷體"/>
          <w:bCs/>
          <w:sz w:val="28"/>
          <w:szCs w:val="36"/>
        </w:rPr>
      </w:pPr>
      <w:r w:rsidRPr="00FA610F">
        <w:rPr>
          <w:rFonts w:ascii="標楷體" w:eastAsia="標楷體" w:hAnsi="標楷體"/>
          <w:bCs/>
          <w:sz w:val="28"/>
          <w:szCs w:val="36"/>
        </w:rPr>
        <w:t>大洗核工程研究所</w:t>
      </w:r>
      <w:r w:rsidR="00093803" w:rsidRPr="00FA610F">
        <w:rPr>
          <w:rFonts w:ascii="標楷體" w:eastAsia="標楷體" w:hAnsi="標楷體" w:hint="eastAsia"/>
          <w:bCs/>
          <w:sz w:val="28"/>
          <w:szCs w:val="36"/>
        </w:rPr>
        <w:t>簡介</w:t>
      </w:r>
    </w:p>
    <w:p w14:paraId="3C14583C" w14:textId="022A901D" w:rsidR="00093803" w:rsidRPr="002A4102" w:rsidRDefault="00093803" w:rsidP="009C4EE0">
      <w:pPr>
        <w:numPr>
          <w:ilvl w:val="3"/>
          <w:numId w:val="21"/>
        </w:numPr>
        <w:tabs>
          <w:tab w:val="left" w:pos="-1920"/>
        </w:tabs>
        <w:kinsoku w:val="0"/>
        <w:wordWrap w:val="0"/>
        <w:snapToGrid w:val="0"/>
        <w:spacing w:beforeLines="15" w:before="36" w:afterLines="15" w:after="36" w:line="440" w:lineRule="exact"/>
        <w:jc w:val="both"/>
        <w:outlineLvl w:val="2"/>
        <w:rPr>
          <w:rFonts w:ascii="標楷體" w:eastAsia="標楷體" w:hAnsi="標楷體"/>
          <w:bCs/>
          <w:sz w:val="28"/>
          <w:szCs w:val="36"/>
        </w:rPr>
      </w:pPr>
      <w:r w:rsidRPr="002A4102">
        <w:rPr>
          <w:rFonts w:ascii="標楷體" w:eastAsia="標楷體" w:hAnsi="標楷體" w:hint="eastAsia"/>
          <w:bCs/>
          <w:sz w:val="28"/>
          <w:szCs w:val="36"/>
        </w:rPr>
        <w:t>大洗核工程研究所是國家級研究開發機構日本原子能機構</w:t>
      </w:r>
      <w:r w:rsidR="00BD14E7" w:rsidRPr="002A4102">
        <w:rPr>
          <w:rFonts w:ascii="標楷體" w:eastAsia="標楷體" w:hAnsi="標楷體" w:hint="eastAsia"/>
          <w:bCs/>
          <w:sz w:val="28"/>
          <w:szCs w:val="36"/>
        </w:rPr>
        <w:t>(</w:t>
      </w:r>
      <w:r w:rsidRPr="002A4102">
        <w:rPr>
          <w:rFonts w:ascii="標楷體" w:eastAsia="標楷體" w:hAnsi="標楷體"/>
          <w:bCs/>
          <w:sz w:val="28"/>
          <w:szCs w:val="36"/>
        </w:rPr>
        <w:t>JAEA</w:t>
      </w:r>
      <w:r w:rsidR="00BD14E7" w:rsidRPr="002A4102">
        <w:rPr>
          <w:rFonts w:ascii="標楷體" w:eastAsia="標楷體" w:hAnsi="標楷體" w:hint="eastAsia"/>
          <w:bCs/>
          <w:sz w:val="28"/>
          <w:szCs w:val="36"/>
        </w:rPr>
        <w:t>)</w:t>
      </w:r>
      <w:r w:rsidRPr="002A4102">
        <w:rPr>
          <w:rFonts w:ascii="標楷體" w:eastAsia="標楷體" w:hAnsi="標楷體" w:hint="eastAsia"/>
          <w:bCs/>
          <w:sz w:val="28"/>
          <w:szCs w:val="36"/>
        </w:rPr>
        <w:t>的主要研發基地之一，</w:t>
      </w:r>
      <w:r w:rsidR="00500A58" w:rsidRPr="00500A58">
        <w:rPr>
          <w:rFonts w:ascii="標楷體" w:eastAsia="標楷體" w:hAnsi="標楷體" w:hint="eastAsia"/>
          <w:bCs/>
          <w:sz w:val="28"/>
          <w:szCs w:val="36"/>
        </w:rPr>
        <w:t>其前身是日本原子力研究所（</w:t>
      </w:r>
      <w:r w:rsidR="00500A58" w:rsidRPr="00500A58">
        <w:rPr>
          <w:rFonts w:ascii="標楷體" w:eastAsia="標楷體" w:hAnsi="標楷體"/>
          <w:bCs/>
          <w:sz w:val="28"/>
          <w:szCs w:val="36"/>
        </w:rPr>
        <w:t>Japan Atomic Energy Research Institute, JAERI</w:t>
      </w:r>
      <w:r w:rsidR="00500A58" w:rsidRPr="00500A58">
        <w:rPr>
          <w:rFonts w:ascii="標楷體" w:eastAsia="標楷體" w:hAnsi="標楷體" w:hint="eastAsia"/>
          <w:bCs/>
          <w:sz w:val="28"/>
          <w:szCs w:val="36"/>
        </w:rPr>
        <w:t>)、核燃料動力開發</w:t>
      </w:r>
      <w:r w:rsidR="00500A58" w:rsidRPr="00500A58">
        <w:rPr>
          <w:rFonts w:ascii="標楷體" w:eastAsia="標楷體" w:hAnsi="標楷體" w:hint="eastAsia"/>
          <w:bCs/>
          <w:sz w:val="28"/>
          <w:szCs w:val="36"/>
        </w:rPr>
        <w:lastRenderedPageBreak/>
        <w:t>組織（</w:t>
      </w:r>
      <w:r w:rsidR="00500A58" w:rsidRPr="00500A58">
        <w:rPr>
          <w:rFonts w:ascii="標楷體" w:eastAsia="標楷體" w:hAnsi="標楷體"/>
          <w:bCs/>
          <w:sz w:val="28"/>
          <w:szCs w:val="36"/>
        </w:rPr>
        <w:t>Power Reactor and Nuclear Fuel Development Corporation</w:t>
      </w:r>
      <w:r w:rsidR="00500A58" w:rsidRPr="00500A58">
        <w:rPr>
          <w:rFonts w:ascii="標楷體" w:eastAsia="標楷體" w:hAnsi="標楷體" w:hint="eastAsia"/>
          <w:bCs/>
          <w:sz w:val="28"/>
          <w:szCs w:val="36"/>
        </w:rPr>
        <w:t>,</w:t>
      </w:r>
      <w:r w:rsidR="00500A58" w:rsidRPr="00500A58">
        <w:rPr>
          <w:rFonts w:ascii="標楷體" w:eastAsia="標楷體" w:hAnsi="標楷體"/>
          <w:bCs/>
          <w:sz w:val="28"/>
          <w:szCs w:val="36"/>
        </w:rPr>
        <w:t xml:space="preserve"> PNC</w:t>
      </w:r>
      <w:r w:rsidR="00500A58" w:rsidRPr="00500A58">
        <w:rPr>
          <w:rFonts w:ascii="標楷體" w:eastAsia="標楷體" w:hAnsi="標楷體" w:hint="eastAsia"/>
          <w:bCs/>
          <w:sz w:val="28"/>
          <w:szCs w:val="36"/>
        </w:rPr>
        <w:t>)，這些研究機構分別於1967年4月和1970年3月在茨城縣大洗町開始運營，擁有50多年的歷史和研究記錄</w:t>
      </w:r>
      <w:r w:rsidR="00500A58">
        <w:rPr>
          <w:rFonts w:ascii="標楷體" w:eastAsia="標楷體" w:hAnsi="標楷體" w:hint="eastAsia"/>
          <w:bCs/>
          <w:sz w:val="28"/>
          <w:szCs w:val="36"/>
        </w:rPr>
        <w:t>。</w:t>
      </w:r>
    </w:p>
    <w:p w14:paraId="0DBE550D" w14:textId="77777777" w:rsidR="00093803" w:rsidRPr="002A4102" w:rsidRDefault="00093803" w:rsidP="009C4EE0">
      <w:pPr>
        <w:numPr>
          <w:ilvl w:val="3"/>
          <w:numId w:val="21"/>
        </w:numPr>
        <w:tabs>
          <w:tab w:val="left" w:pos="-1920"/>
        </w:tabs>
        <w:kinsoku w:val="0"/>
        <w:wordWrap w:val="0"/>
        <w:snapToGrid w:val="0"/>
        <w:spacing w:beforeLines="15" w:before="36" w:afterLines="15" w:after="36" w:line="440" w:lineRule="exact"/>
        <w:jc w:val="both"/>
        <w:outlineLvl w:val="2"/>
        <w:rPr>
          <w:rFonts w:ascii="標楷體" w:eastAsia="標楷體" w:hAnsi="標楷體"/>
          <w:bCs/>
          <w:sz w:val="28"/>
          <w:szCs w:val="36"/>
        </w:rPr>
      </w:pPr>
      <w:r w:rsidRPr="002A4102">
        <w:rPr>
          <w:rFonts w:ascii="標楷體" w:eastAsia="標楷體" w:hAnsi="標楷體"/>
          <w:bCs/>
          <w:sz w:val="28"/>
          <w:szCs w:val="36"/>
        </w:rPr>
        <w:t>快速反應器技術：</w:t>
      </w:r>
    </w:p>
    <w:p w14:paraId="59D18673" w14:textId="77777777" w:rsidR="00093803" w:rsidRPr="002A4102" w:rsidRDefault="00093803" w:rsidP="009C4EE0">
      <w:pPr>
        <w:pStyle w:val="af4"/>
        <w:numPr>
          <w:ilvl w:val="4"/>
          <w:numId w:val="24"/>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2A4102">
        <w:rPr>
          <w:rFonts w:ascii="標楷體" w:eastAsia="標楷體" w:hAnsi="標楷體"/>
          <w:bCs/>
          <w:sz w:val="28"/>
          <w:szCs w:val="36"/>
        </w:rPr>
        <w:t>大洗核工程研究所致力於發展以快速反應器為核心的核燃料循環技術，以解決長期能源安全和全球環境問題。</w:t>
      </w:r>
    </w:p>
    <w:p w14:paraId="561FC27E" w14:textId="77777777" w:rsidR="00093803" w:rsidRPr="002A4102" w:rsidRDefault="00093803" w:rsidP="009C4EE0">
      <w:pPr>
        <w:pStyle w:val="af4"/>
        <w:numPr>
          <w:ilvl w:val="4"/>
          <w:numId w:val="24"/>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2A4102">
        <w:rPr>
          <w:rFonts w:ascii="標楷體" w:eastAsia="標楷體" w:hAnsi="標楷體"/>
          <w:bCs/>
          <w:sz w:val="28"/>
          <w:szCs w:val="36"/>
        </w:rPr>
        <w:t>該所設計的快速反應器系統採用液態鈉作為冷卻劑，並透過自然循環冷卻</w:t>
      </w:r>
      <w:r w:rsidRPr="002A4102">
        <w:rPr>
          <w:rFonts w:ascii="標楷體" w:eastAsia="標楷體" w:hAnsi="標楷體" w:hint="eastAsia"/>
          <w:bCs/>
          <w:sz w:val="28"/>
          <w:szCs w:val="36"/>
        </w:rPr>
        <w:t>爐</w:t>
      </w:r>
      <w:r w:rsidRPr="002A4102">
        <w:rPr>
          <w:rFonts w:ascii="標楷體" w:eastAsia="標楷體" w:hAnsi="標楷體"/>
          <w:bCs/>
          <w:sz w:val="28"/>
          <w:szCs w:val="36"/>
        </w:rPr>
        <w:t>芯，確保即使在斷電情況下也能維持安全性。</w:t>
      </w:r>
    </w:p>
    <w:p w14:paraId="1B753803" w14:textId="77777777" w:rsidR="00093803" w:rsidRPr="002A4102" w:rsidRDefault="00093803" w:rsidP="009C4EE0">
      <w:pPr>
        <w:pStyle w:val="af4"/>
        <w:numPr>
          <w:ilvl w:val="4"/>
          <w:numId w:val="24"/>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2A4102">
        <w:rPr>
          <w:rFonts w:ascii="標楷體" w:eastAsia="標楷體" w:hAnsi="標楷體"/>
          <w:bCs/>
          <w:sz w:val="28"/>
          <w:szCs w:val="36"/>
        </w:rPr>
        <w:t>該所亦透過模擬嚴重事故的實驗研究，提升快速反應器的安全性，並將成果反映於國內外快速反應器發展。</w:t>
      </w:r>
    </w:p>
    <w:p w14:paraId="7AF29591" w14:textId="77777777" w:rsidR="00093803" w:rsidRPr="002A4102" w:rsidRDefault="00093803" w:rsidP="009C4EE0">
      <w:pPr>
        <w:pStyle w:val="af4"/>
        <w:numPr>
          <w:ilvl w:val="4"/>
          <w:numId w:val="24"/>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2A4102">
        <w:rPr>
          <w:rFonts w:ascii="標楷體" w:eastAsia="標楷體" w:hAnsi="標楷體"/>
          <w:bCs/>
          <w:sz w:val="28"/>
          <w:szCs w:val="36"/>
        </w:rPr>
        <w:t>實驗快速反應器「常陽」為世界級的研究設施，用於確認快速反應器核心特性、設備性能以及燃料和材料的輻照測試，並進行減少放射性廢棄物的研究。</w:t>
      </w:r>
    </w:p>
    <w:p w14:paraId="4760CAA5" w14:textId="77777777" w:rsidR="00093803" w:rsidRPr="002A4102" w:rsidRDefault="00093803" w:rsidP="009C4EE0">
      <w:pPr>
        <w:numPr>
          <w:ilvl w:val="3"/>
          <w:numId w:val="21"/>
        </w:numPr>
        <w:tabs>
          <w:tab w:val="left" w:pos="-1920"/>
        </w:tabs>
        <w:kinsoku w:val="0"/>
        <w:wordWrap w:val="0"/>
        <w:snapToGrid w:val="0"/>
        <w:spacing w:beforeLines="15" w:before="36" w:afterLines="15" w:after="36" w:line="440" w:lineRule="exact"/>
        <w:jc w:val="both"/>
        <w:outlineLvl w:val="2"/>
        <w:rPr>
          <w:rFonts w:ascii="標楷體" w:eastAsia="標楷體" w:hAnsi="標楷體"/>
          <w:bCs/>
          <w:sz w:val="28"/>
          <w:szCs w:val="36"/>
        </w:rPr>
      </w:pPr>
      <w:r w:rsidRPr="002A4102">
        <w:rPr>
          <w:rFonts w:ascii="標楷體" w:eastAsia="標楷體" w:hAnsi="標楷體"/>
          <w:bCs/>
          <w:sz w:val="28"/>
          <w:szCs w:val="36"/>
        </w:rPr>
        <w:t>高溫氣體</w:t>
      </w:r>
      <w:r w:rsidRPr="002A4102">
        <w:rPr>
          <w:rFonts w:ascii="標楷體" w:eastAsia="標楷體" w:hAnsi="標楷體" w:hint="eastAsia"/>
          <w:bCs/>
          <w:sz w:val="28"/>
          <w:szCs w:val="36"/>
        </w:rPr>
        <w:t>反應器</w:t>
      </w:r>
      <w:r w:rsidRPr="002A4102">
        <w:rPr>
          <w:rFonts w:ascii="標楷體" w:eastAsia="標楷體" w:hAnsi="標楷體"/>
          <w:bCs/>
          <w:sz w:val="28"/>
          <w:szCs w:val="36"/>
        </w:rPr>
        <w:t>技術：</w:t>
      </w:r>
    </w:p>
    <w:p w14:paraId="674AF63A" w14:textId="306DE02E" w:rsidR="00093803" w:rsidRPr="002A4102" w:rsidRDefault="0045463B" w:rsidP="009C4EE0">
      <w:pPr>
        <w:pStyle w:val="af4"/>
        <w:numPr>
          <w:ilvl w:val="4"/>
          <w:numId w:val="25"/>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2A4102">
        <w:rPr>
          <w:rFonts w:ascii="標楷體" w:eastAsia="標楷體" w:hAnsi="標楷體"/>
          <w:bCs/>
          <w:sz w:val="28"/>
          <w:szCs w:val="36"/>
        </w:rPr>
        <w:t>大洗核工程研究</w:t>
      </w:r>
      <w:r>
        <w:rPr>
          <w:rFonts w:ascii="標楷體" w:eastAsia="標楷體" w:hAnsi="標楷體" w:hint="eastAsia"/>
          <w:bCs/>
          <w:sz w:val="28"/>
          <w:szCs w:val="36"/>
        </w:rPr>
        <w:t>所</w:t>
      </w:r>
      <w:r w:rsidR="00093803" w:rsidRPr="002A4102">
        <w:rPr>
          <w:rFonts w:ascii="標楷體" w:eastAsia="標楷體" w:hAnsi="標楷體"/>
          <w:bCs/>
          <w:sz w:val="28"/>
          <w:szCs w:val="36"/>
        </w:rPr>
        <w:t>研發的高溫氣體反應器利用氦氣萃取950°C高溫熱能，具有卓越的安全性，可用於發電、海水淡化和氫氣生產等。</w:t>
      </w:r>
    </w:p>
    <w:p w14:paraId="41D50A8D" w14:textId="1F66EF9A" w:rsidR="00093803" w:rsidRPr="002A4102" w:rsidRDefault="0045463B" w:rsidP="009C4EE0">
      <w:pPr>
        <w:pStyle w:val="af4"/>
        <w:numPr>
          <w:ilvl w:val="4"/>
          <w:numId w:val="25"/>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2A4102">
        <w:rPr>
          <w:rFonts w:ascii="標楷體" w:eastAsia="標楷體" w:hAnsi="標楷體"/>
          <w:bCs/>
          <w:sz w:val="28"/>
          <w:szCs w:val="36"/>
        </w:rPr>
        <w:t>大洗核工程研究</w:t>
      </w:r>
      <w:r w:rsidR="00093803" w:rsidRPr="002A4102">
        <w:rPr>
          <w:rFonts w:ascii="標楷體" w:eastAsia="標楷體" w:hAnsi="標楷體"/>
          <w:bCs/>
          <w:sz w:val="28"/>
          <w:szCs w:val="36"/>
        </w:rPr>
        <w:t>所進行高溫工程試驗研究，驗證高溫氣體反應器在極端情況下的安全性。</w:t>
      </w:r>
    </w:p>
    <w:p w14:paraId="2502AA40" w14:textId="77777777" w:rsidR="00093803" w:rsidRPr="002A4102" w:rsidRDefault="00093803" w:rsidP="009C4EE0">
      <w:pPr>
        <w:pStyle w:val="af4"/>
        <w:numPr>
          <w:ilvl w:val="4"/>
          <w:numId w:val="25"/>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2A4102">
        <w:rPr>
          <w:rFonts w:ascii="標楷體" w:eastAsia="標楷體" w:hAnsi="標楷體"/>
          <w:bCs/>
          <w:sz w:val="28"/>
          <w:szCs w:val="36"/>
        </w:rPr>
        <w:t>熱化學IS製程為該所研發的以水為原料的氫氣生產技術，透過碘和硫的化學反應，可在900°C左右的溫度下熱分解水，並實現連續氫氣生產。</w:t>
      </w:r>
    </w:p>
    <w:p w14:paraId="724A29B8" w14:textId="2B9A9EE9" w:rsidR="00093803" w:rsidRPr="002A4102" w:rsidRDefault="00093803" w:rsidP="009C4EE0">
      <w:pPr>
        <w:numPr>
          <w:ilvl w:val="3"/>
          <w:numId w:val="21"/>
        </w:numPr>
        <w:tabs>
          <w:tab w:val="left" w:pos="-1920"/>
        </w:tabs>
        <w:kinsoku w:val="0"/>
        <w:wordWrap w:val="0"/>
        <w:snapToGrid w:val="0"/>
        <w:spacing w:beforeLines="15" w:before="36" w:afterLines="15" w:after="36" w:line="440" w:lineRule="exact"/>
        <w:jc w:val="both"/>
        <w:outlineLvl w:val="2"/>
        <w:rPr>
          <w:rFonts w:ascii="標楷體" w:eastAsia="標楷體" w:hAnsi="標楷體"/>
          <w:bCs/>
          <w:sz w:val="28"/>
          <w:szCs w:val="36"/>
        </w:rPr>
      </w:pPr>
      <w:r w:rsidRPr="002A4102">
        <w:rPr>
          <w:rFonts w:ascii="標楷體" w:eastAsia="標楷體" w:hAnsi="標楷體"/>
          <w:bCs/>
          <w:sz w:val="28"/>
          <w:szCs w:val="36"/>
        </w:rPr>
        <w:t>核電廠除役</w:t>
      </w:r>
    </w:p>
    <w:p w14:paraId="222F7B32" w14:textId="40608D96" w:rsidR="00093803" w:rsidRPr="002A4102" w:rsidRDefault="0045463B" w:rsidP="009C4EE0">
      <w:pPr>
        <w:pStyle w:val="af4"/>
        <w:numPr>
          <w:ilvl w:val="4"/>
          <w:numId w:val="26"/>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2A4102">
        <w:rPr>
          <w:rFonts w:ascii="標楷體" w:eastAsia="標楷體" w:hAnsi="標楷體"/>
          <w:bCs/>
          <w:sz w:val="28"/>
          <w:szCs w:val="36"/>
        </w:rPr>
        <w:t>大洗核工程研究</w:t>
      </w:r>
      <w:r w:rsidR="00093803" w:rsidRPr="002A4102">
        <w:rPr>
          <w:rFonts w:ascii="標楷體" w:eastAsia="標楷體" w:hAnsi="標楷體"/>
          <w:bCs/>
          <w:sz w:val="28"/>
          <w:szCs w:val="36"/>
        </w:rPr>
        <w:t>所利用其試驗設施和技術，針對福島第一核電廠的除役進行研究和開發。</w:t>
      </w:r>
    </w:p>
    <w:p w14:paraId="1295F0AD" w14:textId="3D9C388D" w:rsidR="00093803" w:rsidRPr="002A4102" w:rsidRDefault="0045463B" w:rsidP="009C4EE0">
      <w:pPr>
        <w:pStyle w:val="af4"/>
        <w:numPr>
          <w:ilvl w:val="4"/>
          <w:numId w:val="26"/>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2A4102">
        <w:rPr>
          <w:rFonts w:ascii="標楷體" w:eastAsia="標楷體" w:hAnsi="標楷體"/>
          <w:bCs/>
          <w:sz w:val="28"/>
          <w:szCs w:val="36"/>
        </w:rPr>
        <w:t>大洗核工程研究</w:t>
      </w:r>
      <w:r w:rsidR="00093803" w:rsidRPr="002A4102">
        <w:rPr>
          <w:rFonts w:ascii="標楷體" w:eastAsia="標楷體" w:hAnsi="標楷體"/>
          <w:bCs/>
          <w:sz w:val="28"/>
          <w:szCs w:val="36"/>
        </w:rPr>
        <w:t>所進行反應器建築物內淨化、燃料碎片回收和乏燃料去除等方面的研究，以完善除役技術。</w:t>
      </w:r>
    </w:p>
    <w:p w14:paraId="1D3EE994" w14:textId="77777777" w:rsidR="00093803" w:rsidRDefault="00093803" w:rsidP="00C155D0">
      <w:pPr>
        <w:spacing w:beforeLines="15" w:before="36" w:afterLines="15" w:after="36"/>
        <w:jc w:val="both"/>
        <w:rPr>
          <w:rFonts w:ascii="標楷體" w:eastAsia="標楷體" w:hAnsi="標楷體"/>
          <w:b/>
          <w:bCs/>
        </w:rPr>
      </w:pPr>
      <w:r w:rsidRPr="002A4102">
        <w:rPr>
          <w:rFonts w:ascii="標楷體" w:eastAsia="標楷體" w:hAnsi="標楷體"/>
          <w:b/>
          <w:bCs/>
          <w:noProof/>
        </w:rPr>
        <w:lastRenderedPageBreak/>
        <w:drawing>
          <wp:inline distT="0" distB="0" distL="0" distR="0" wp14:anchorId="25F6915D" wp14:editId="7F335C19">
            <wp:extent cx="6120130" cy="2576830"/>
            <wp:effectExtent l="0" t="0" r="0" b="0"/>
            <wp:docPr id="757205341" name="圖片 1" descr="一張含有 螢幕擷取畫面, 文字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205341" name="圖片 1" descr="一張含有 螢幕擷取畫面, 文字 的圖片&#10;&#10;自動產生的描述"/>
                    <pic:cNvPicPr/>
                  </pic:nvPicPr>
                  <pic:blipFill>
                    <a:blip r:embed="rId37"/>
                    <a:stretch>
                      <a:fillRect/>
                    </a:stretch>
                  </pic:blipFill>
                  <pic:spPr>
                    <a:xfrm>
                      <a:off x="0" y="0"/>
                      <a:ext cx="6120130" cy="2576830"/>
                    </a:xfrm>
                    <a:prstGeom prst="rect">
                      <a:avLst/>
                    </a:prstGeom>
                  </pic:spPr>
                </pic:pic>
              </a:graphicData>
            </a:graphic>
          </wp:inline>
        </w:drawing>
      </w:r>
    </w:p>
    <w:p w14:paraId="620CE02C" w14:textId="309E5DA3" w:rsidR="00E33574" w:rsidRDefault="00E33574" w:rsidP="00E96C66">
      <w:pPr>
        <w:pStyle w:val="a1"/>
      </w:pPr>
      <w:bookmarkStart w:id="179" w:name="_Toc185426134"/>
      <w:bookmarkStart w:id="180" w:name="_Toc185605731"/>
      <w:bookmarkStart w:id="181" w:name="_Toc186029850"/>
      <w:r w:rsidRPr="00E33574">
        <w:t>大洗核工程研究所</w:t>
      </w:r>
      <w:r>
        <w:rPr>
          <w:rFonts w:hint="eastAsia"/>
        </w:rPr>
        <w:t>新世代能源開發示意圖</w:t>
      </w:r>
      <w:bookmarkEnd w:id="179"/>
      <w:bookmarkEnd w:id="180"/>
      <w:bookmarkEnd w:id="181"/>
    </w:p>
    <w:p w14:paraId="000A744B" w14:textId="2F015DE5" w:rsidR="00500A58" w:rsidRPr="00FA6637" w:rsidRDefault="00500A58" w:rsidP="009C4EE0">
      <w:pPr>
        <w:numPr>
          <w:ilvl w:val="2"/>
          <w:numId w:val="21"/>
        </w:numPr>
        <w:tabs>
          <w:tab w:val="left" w:pos="-1920"/>
        </w:tabs>
        <w:kinsoku w:val="0"/>
        <w:wordWrap w:val="0"/>
        <w:snapToGrid w:val="0"/>
        <w:spacing w:beforeLines="15" w:before="36" w:afterLines="15" w:after="36" w:line="440" w:lineRule="exact"/>
        <w:jc w:val="both"/>
        <w:outlineLvl w:val="2"/>
        <w:rPr>
          <w:rFonts w:ascii="標楷體" w:eastAsia="標楷體" w:hAnsi="標楷體"/>
          <w:bCs/>
          <w:sz w:val="28"/>
          <w:szCs w:val="36"/>
        </w:rPr>
      </w:pPr>
      <w:r w:rsidRPr="00500A58">
        <w:rPr>
          <w:rFonts w:ascii="標楷體" w:eastAsia="標楷體" w:hAnsi="標楷體" w:hint="eastAsia"/>
          <w:bCs/>
          <w:sz w:val="28"/>
          <w:szCs w:val="36"/>
        </w:rPr>
        <w:t>大洗核能工程</w:t>
      </w:r>
      <w:r w:rsidRPr="00002D1A">
        <w:rPr>
          <w:rFonts w:ascii="標楷體" w:eastAsia="標楷體" w:hAnsi="標楷體"/>
          <w:bCs/>
          <w:sz w:val="28"/>
          <w:szCs w:val="36"/>
        </w:rPr>
        <w:t>研究所</w:t>
      </w:r>
      <w:r w:rsidRPr="00500A58">
        <w:rPr>
          <w:rFonts w:ascii="標楷體" w:eastAsia="標楷體" w:hAnsi="標楷體" w:hint="eastAsia"/>
          <w:bCs/>
          <w:sz w:val="28"/>
          <w:szCs w:val="36"/>
        </w:rPr>
        <w:t>下設10個部門。</w:t>
      </w:r>
    </w:p>
    <w:p w14:paraId="2C1C12C6" w14:textId="17E01604" w:rsidR="00500A58" w:rsidRPr="00002D1A" w:rsidRDefault="00500A58" w:rsidP="009C4EE0">
      <w:pPr>
        <w:numPr>
          <w:ilvl w:val="3"/>
          <w:numId w:val="21"/>
        </w:numPr>
        <w:tabs>
          <w:tab w:val="left" w:pos="-1920"/>
        </w:tabs>
        <w:kinsoku w:val="0"/>
        <w:wordWrap w:val="0"/>
        <w:snapToGrid w:val="0"/>
        <w:spacing w:beforeLines="15" w:before="36" w:afterLines="15" w:after="36" w:line="440" w:lineRule="exact"/>
        <w:jc w:val="both"/>
        <w:outlineLvl w:val="2"/>
        <w:rPr>
          <w:rFonts w:ascii="標楷體" w:eastAsia="標楷體" w:hAnsi="標楷體"/>
          <w:bCs/>
          <w:sz w:val="28"/>
          <w:szCs w:val="36"/>
        </w:rPr>
      </w:pPr>
      <w:r w:rsidRPr="00002D1A">
        <w:rPr>
          <w:rFonts w:ascii="標楷體" w:eastAsia="標楷體" w:hAnsi="標楷體"/>
          <w:bCs/>
          <w:sz w:val="28"/>
          <w:szCs w:val="36"/>
        </w:rPr>
        <w:t>戰略推進部：負責整體戰略規劃與推進。</w:t>
      </w:r>
    </w:p>
    <w:p w14:paraId="4C09123E" w14:textId="03D25A3D" w:rsidR="00500A58" w:rsidRPr="00002D1A" w:rsidRDefault="00500A58" w:rsidP="009C4EE0">
      <w:pPr>
        <w:numPr>
          <w:ilvl w:val="3"/>
          <w:numId w:val="21"/>
        </w:numPr>
        <w:tabs>
          <w:tab w:val="left" w:pos="-1920"/>
        </w:tabs>
        <w:kinsoku w:val="0"/>
        <w:wordWrap w:val="0"/>
        <w:snapToGrid w:val="0"/>
        <w:spacing w:beforeLines="15" w:before="36" w:afterLines="15" w:after="36" w:line="440" w:lineRule="exact"/>
        <w:jc w:val="both"/>
        <w:outlineLvl w:val="2"/>
        <w:rPr>
          <w:rFonts w:ascii="標楷體" w:eastAsia="標楷體" w:hAnsi="標楷體"/>
          <w:bCs/>
          <w:sz w:val="28"/>
          <w:szCs w:val="36"/>
        </w:rPr>
      </w:pPr>
      <w:r w:rsidRPr="00002D1A">
        <w:rPr>
          <w:rFonts w:ascii="標楷體" w:eastAsia="標楷體" w:hAnsi="標楷體"/>
          <w:bCs/>
          <w:sz w:val="28"/>
          <w:szCs w:val="36"/>
        </w:rPr>
        <w:t>原子能設施檢查室：負責原子能設施的檢查與監督。</w:t>
      </w:r>
    </w:p>
    <w:p w14:paraId="130DB39C" w14:textId="24F1C8DC" w:rsidR="00500A58" w:rsidRPr="00002D1A" w:rsidRDefault="00500A58" w:rsidP="009C4EE0">
      <w:pPr>
        <w:numPr>
          <w:ilvl w:val="3"/>
          <w:numId w:val="21"/>
        </w:numPr>
        <w:tabs>
          <w:tab w:val="left" w:pos="-1920"/>
        </w:tabs>
        <w:kinsoku w:val="0"/>
        <w:wordWrap w:val="0"/>
        <w:snapToGrid w:val="0"/>
        <w:spacing w:beforeLines="15" w:before="36" w:afterLines="15" w:after="36" w:line="440" w:lineRule="exact"/>
        <w:jc w:val="both"/>
        <w:outlineLvl w:val="2"/>
        <w:rPr>
          <w:rFonts w:ascii="標楷體" w:eastAsia="標楷體" w:hAnsi="標楷體"/>
          <w:bCs/>
          <w:sz w:val="28"/>
          <w:szCs w:val="36"/>
        </w:rPr>
      </w:pPr>
      <w:r w:rsidRPr="00002D1A">
        <w:rPr>
          <w:rFonts w:ascii="標楷體" w:eastAsia="標楷體" w:hAnsi="標楷體"/>
          <w:bCs/>
          <w:sz w:val="28"/>
          <w:szCs w:val="36"/>
        </w:rPr>
        <w:t>運營管理部：負責研究所的日常運營與管理。</w:t>
      </w:r>
    </w:p>
    <w:p w14:paraId="0FB02E68" w14:textId="7FA9BE29" w:rsidR="00500A58" w:rsidRPr="00002D1A" w:rsidRDefault="00500A58" w:rsidP="009C4EE0">
      <w:pPr>
        <w:numPr>
          <w:ilvl w:val="3"/>
          <w:numId w:val="21"/>
        </w:numPr>
        <w:tabs>
          <w:tab w:val="left" w:pos="-1920"/>
        </w:tabs>
        <w:kinsoku w:val="0"/>
        <w:wordWrap w:val="0"/>
        <w:snapToGrid w:val="0"/>
        <w:spacing w:beforeLines="15" w:before="36" w:afterLines="15" w:after="36" w:line="440" w:lineRule="exact"/>
        <w:jc w:val="both"/>
        <w:outlineLvl w:val="2"/>
        <w:rPr>
          <w:rFonts w:ascii="標楷體" w:eastAsia="標楷體" w:hAnsi="標楷體"/>
          <w:bCs/>
          <w:sz w:val="28"/>
          <w:szCs w:val="36"/>
        </w:rPr>
      </w:pPr>
      <w:r w:rsidRPr="00002D1A">
        <w:rPr>
          <w:rFonts w:ascii="標楷體" w:eastAsia="標楷體" w:hAnsi="標楷體"/>
          <w:bCs/>
          <w:sz w:val="28"/>
          <w:szCs w:val="36"/>
        </w:rPr>
        <w:t>保安管理部：負責安全保障與管理。</w:t>
      </w:r>
    </w:p>
    <w:p w14:paraId="74F1113D" w14:textId="14E1B45B" w:rsidR="00500A58" w:rsidRPr="00002D1A" w:rsidRDefault="00500A58" w:rsidP="009C4EE0">
      <w:pPr>
        <w:numPr>
          <w:ilvl w:val="3"/>
          <w:numId w:val="21"/>
        </w:numPr>
        <w:tabs>
          <w:tab w:val="left" w:pos="-1920"/>
        </w:tabs>
        <w:kinsoku w:val="0"/>
        <w:wordWrap w:val="0"/>
        <w:snapToGrid w:val="0"/>
        <w:spacing w:beforeLines="15" w:before="36" w:afterLines="15" w:after="36" w:line="440" w:lineRule="exact"/>
        <w:jc w:val="both"/>
        <w:outlineLvl w:val="2"/>
        <w:rPr>
          <w:rFonts w:ascii="標楷體" w:eastAsia="標楷體" w:hAnsi="標楷體"/>
          <w:bCs/>
          <w:sz w:val="28"/>
          <w:szCs w:val="36"/>
        </w:rPr>
      </w:pPr>
      <w:r w:rsidRPr="00002D1A">
        <w:rPr>
          <w:rFonts w:ascii="標楷體" w:eastAsia="標楷體" w:hAnsi="標楷體"/>
          <w:bCs/>
          <w:sz w:val="28"/>
          <w:szCs w:val="36"/>
        </w:rPr>
        <w:t>放射線管理部：負責放射線的相關管理與監控。</w:t>
      </w:r>
    </w:p>
    <w:p w14:paraId="5F2F399C" w14:textId="31CCF1B5" w:rsidR="00500A58" w:rsidRPr="00002D1A" w:rsidRDefault="00500A58" w:rsidP="009C4EE0">
      <w:pPr>
        <w:numPr>
          <w:ilvl w:val="3"/>
          <w:numId w:val="21"/>
        </w:numPr>
        <w:tabs>
          <w:tab w:val="left" w:pos="-1920"/>
        </w:tabs>
        <w:kinsoku w:val="0"/>
        <w:wordWrap w:val="0"/>
        <w:snapToGrid w:val="0"/>
        <w:spacing w:beforeLines="15" w:before="36" w:afterLines="15" w:after="36" w:line="440" w:lineRule="exact"/>
        <w:jc w:val="both"/>
        <w:outlineLvl w:val="2"/>
        <w:rPr>
          <w:rFonts w:ascii="標楷體" w:eastAsia="標楷體" w:hAnsi="標楷體"/>
          <w:bCs/>
          <w:sz w:val="28"/>
          <w:szCs w:val="36"/>
        </w:rPr>
      </w:pPr>
      <w:r w:rsidRPr="00002D1A">
        <w:rPr>
          <w:rFonts w:ascii="標楷體" w:eastAsia="標楷體" w:hAnsi="標楷體"/>
          <w:bCs/>
          <w:sz w:val="28"/>
          <w:szCs w:val="36"/>
        </w:rPr>
        <w:t>高速爐研究開發部：負責高速增殖反應爐的研究與開發。</w:t>
      </w:r>
    </w:p>
    <w:p w14:paraId="31C1F79B" w14:textId="1C3940A1" w:rsidR="00500A58" w:rsidRPr="00002D1A" w:rsidRDefault="00500A58" w:rsidP="009C4EE0">
      <w:pPr>
        <w:numPr>
          <w:ilvl w:val="3"/>
          <w:numId w:val="21"/>
        </w:numPr>
        <w:tabs>
          <w:tab w:val="left" w:pos="-1920"/>
        </w:tabs>
        <w:kinsoku w:val="0"/>
        <w:wordWrap w:val="0"/>
        <w:snapToGrid w:val="0"/>
        <w:spacing w:beforeLines="15" w:before="36" w:afterLines="15" w:after="36" w:line="440" w:lineRule="exact"/>
        <w:jc w:val="both"/>
        <w:outlineLvl w:val="2"/>
        <w:rPr>
          <w:rFonts w:ascii="標楷體" w:eastAsia="標楷體" w:hAnsi="標楷體"/>
          <w:bCs/>
          <w:sz w:val="28"/>
          <w:szCs w:val="36"/>
        </w:rPr>
      </w:pPr>
      <w:r w:rsidRPr="00002D1A">
        <w:rPr>
          <w:rFonts w:ascii="標楷體" w:eastAsia="標楷體" w:hAnsi="標楷體"/>
          <w:bCs/>
          <w:sz w:val="28"/>
          <w:szCs w:val="36"/>
        </w:rPr>
        <w:t>高速實驗爐部：負責高速實驗爐的運營與維護。</w:t>
      </w:r>
    </w:p>
    <w:p w14:paraId="7944B84B" w14:textId="1E314439" w:rsidR="00500A58" w:rsidRPr="00002D1A" w:rsidRDefault="00500A58" w:rsidP="009C4EE0">
      <w:pPr>
        <w:numPr>
          <w:ilvl w:val="3"/>
          <w:numId w:val="21"/>
        </w:numPr>
        <w:tabs>
          <w:tab w:val="left" w:pos="-1920"/>
        </w:tabs>
        <w:kinsoku w:val="0"/>
        <w:wordWrap w:val="0"/>
        <w:snapToGrid w:val="0"/>
        <w:spacing w:beforeLines="15" w:before="36" w:afterLines="15" w:after="36" w:line="440" w:lineRule="exact"/>
        <w:jc w:val="both"/>
        <w:outlineLvl w:val="2"/>
        <w:rPr>
          <w:rFonts w:ascii="標楷體" w:eastAsia="標楷體" w:hAnsi="標楷體"/>
          <w:bCs/>
          <w:sz w:val="28"/>
          <w:szCs w:val="36"/>
        </w:rPr>
      </w:pPr>
      <w:r w:rsidRPr="00002D1A">
        <w:rPr>
          <w:rFonts w:ascii="標楷體" w:eastAsia="標楷體" w:hAnsi="標楷體"/>
          <w:bCs/>
          <w:sz w:val="28"/>
          <w:szCs w:val="36"/>
        </w:rPr>
        <w:t>燃料材料開發部：負責核燃料與相關材料的研究與開發。</w:t>
      </w:r>
    </w:p>
    <w:p w14:paraId="5C5EFDEB" w14:textId="684F2D57" w:rsidR="00500A58" w:rsidRPr="00002D1A" w:rsidRDefault="00500A58" w:rsidP="009C4EE0">
      <w:pPr>
        <w:numPr>
          <w:ilvl w:val="3"/>
          <w:numId w:val="21"/>
        </w:numPr>
        <w:tabs>
          <w:tab w:val="left" w:pos="-1920"/>
        </w:tabs>
        <w:kinsoku w:val="0"/>
        <w:wordWrap w:val="0"/>
        <w:snapToGrid w:val="0"/>
        <w:spacing w:beforeLines="15" w:before="36" w:afterLines="15" w:after="36" w:line="440" w:lineRule="exact"/>
        <w:jc w:val="both"/>
        <w:outlineLvl w:val="2"/>
        <w:rPr>
          <w:rFonts w:ascii="標楷體" w:eastAsia="標楷體" w:hAnsi="標楷體"/>
          <w:bCs/>
          <w:sz w:val="28"/>
          <w:szCs w:val="36"/>
        </w:rPr>
      </w:pPr>
      <w:r w:rsidRPr="00002D1A">
        <w:rPr>
          <w:rFonts w:ascii="標楷體" w:eastAsia="標楷體" w:hAnsi="標楷體"/>
          <w:bCs/>
          <w:sz w:val="28"/>
          <w:szCs w:val="36"/>
        </w:rPr>
        <w:t>高溫工學試驗研究爐部：負責高溫氣冷反應爐的研究與開發。</w:t>
      </w:r>
    </w:p>
    <w:p w14:paraId="43401722" w14:textId="3B49B42D" w:rsidR="00500A58" w:rsidRPr="00002D1A" w:rsidRDefault="00500A58" w:rsidP="009C4EE0">
      <w:pPr>
        <w:numPr>
          <w:ilvl w:val="3"/>
          <w:numId w:val="21"/>
        </w:numPr>
        <w:tabs>
          <w:tab w:val="left" w:pos="-1920"/>
        </w:tabs>
        <w:kinsoku w:val="0"/>
        <w:wordWrap w:val="0"/>
        <w:snapToGrid w:val="0"/>
        <w:spacing w:beforeLines="15" w:before="36" w:afterLines="15" w:after="36" w:line="440" w:lineRule="exact"/>
        <w:jc w:val="both"/>
        <w:outlineLvl w:val="2"/>
        <w:rPr>
          <w:rFonts w:ascii="標楷體" w:eastAsia="標楷體" w:hAnsi="標楷體"/>
          <w:bCs/>
          <w:sz w:val="28"/>
          <w:szCs w:val="36"/>
        </w:rPr>
      </w:pPr>
      <w:r w:rsidRPr="00002D1A">
        <w:rPr>
          <w:rFonts w:ascii="標楷體" w:eastAsia="標楷體" w:hAnsi="標楷體"/>
          <w:bCs/>
          <w:sz w:val="28"/>
          <w:szCs w:val="36"/>
        </w:rPr>
        <w:t>環境技術開發部：負責環境相關技術的研究與開發。</w:t>
      </w:r>
    </w:p>
    <w:p w14:paraId="613F8911" w14:textId="15FE640A" w:rsidR="00500A58" w:rsidRPr="00500A58" w:rsidRDefault="00500A58" w:rsidP="009C4EE0">
      <w:pPr>
        <w:numPr>
          <w:ilvl w:val="2"/>
          <w:numId w:val="21"/>
        </w:numPr>
        <w:tabs>
          <w:tab w:val="left" w:pos="-1920"/>
        </w:tabs>
        <w:kinsoku w:val="0"/>
        <w:wordWrap w:val="0"/>
        <w:snapToGrid w:val="0"/>
        <w:spacing w:beforeLines="15" w:before="36" w:afterLines="15" w:after="36" w:line="440" w:lineRule="exact"/>
        <w:jc w:val="both"/>
        <w:outlineLvl w:val="2"/>
        <w:rPr>
          <w:rFonts w:ascii="標楷體" w:eastAsia="標楷體" w:hAnsi="標楷體"/>
          <w:bCs/>
          <w:sz w:val="28"/>
          <w:szCs w:val="36"/>
        </w:rPr>
      </w:pPr>
      <w:r w:rsidRPr="00500A58">
        <w:rPr>
          <w:rFonts w:ascii="標楷體" w:eastAsia="標楷體" w:hAnsi="標楷體" w:hint="eastAsia"/>
          <w:bCs/>
          <w:sz w:val="28"/>
          <w:szCs w:val="36"/>
        </w:rPr>
        <w:t>大洗核能工程研究所自成立以來，致力於創新未來核反應器的技術開發，已成為國際公認的下一代創新反應器研究的核心中心；新世代核反應器的技術，有助於日本確保能源多樣性和溫室氣體零排放的碳中和社會的目標，以及 JAEA 實現對未來社會的三大目標：</w:t>
      </w:r>
    </w:p>
    <w:p w14:paraId="5D7A3CEC" w14:textId="1A69AEC5" w:rsidR="00500A58" w:rsidRPr="00500A58" w:rsidRDefault="00500A58" w:rsidP="009C4EE0">
      <w:pPr>
        <w:numPr>
          <w:ilvl w:val="3"/>
          <w:numId w:val="21"/>
        </w:numPr>
        <w:tabs>
          <w:tab w:val="left" w:pos="-1920"/>
        </w:tabs>
        <w:kinsoku w:val="0"/>
        <w:wordWrap w:val="0"/>
        <w:snapToGrid w:val="0"/>
        <w:spacing w:beforeLines="15" w:before="36" w:afterLines="15" w:after="36" w:line="440" w:lineRule="exact"/>
        <w:jc w:val="both"/>
        <w:outlineLvl w:val="2"/>
        <w:rPr>
          <w:rFonts w:ascii="標楷體" w:eastAsia="標楷體" w:hAnsi="標楷體"/>
          <w:bCs/>
          <w:sz w:val="28"/>
          <w:szCs w:val="36"/>
        </w:rPr>
      </w:pPr>
      <w:r w:rsidRPr="00500A58">
        <w:rPr>
          <w:rFonts w:ascii="標楷體" w:eastAsia="標楷體" w:hAnsi="標楷體" w:hint="eastAsia"/>
          <w:bCs/>
          <w:sz w:val="28"/>
          <w:szCs w:val="36"/>
        </w:rPr>
        <w:t>核電與再生能源優勢互補，形成協同效應。</w:t>
      </w:r>
    </w:p>
    <w:p w14:paraId="35800B38" w14:textId="53088222" w:rsidR="00500A58" w:rsidRPr="00500A58" w:rsidRDefault="00500A58" w:rsidP="009C4EE0">
      <w:pPr>
        <w:numPr>
          <w:ilvl w:val="3"/>
          <w:numId w:val="21"/>
        </w:numPr>
        <w:tabs>
          <w:tab w:val="left" w:pos="-1920"/>
        </w:tabs>
        <w:kinsoku w:val="0"/>
        <w:wordWrap w:val="0"/>
        <w:snapToGrid w:val="0"/>
        <w:spacing w:beforeLines="15" w:before="36" w:afterLines="15" w:after="36" w:line="440" w:lineRule="exact"/>
        <w:jc w:val="both"/>
        <w:outlineLvl w:val="2"/>
        <w:rPr>
          <w:rFonts w:ascii="標楷體" w:eastAsia="標楷體" w:hAnsi="標楷體"/>
          <w:bCs/>
          <w:sz w:val="28"/>
          <w:szCs w:val="36"/>
        </w:rPr>
      </w:pPr>
      <w:r w:rsidRPr="00500A58">
        <w:rPr>
          <w:rFonts w:ascii="標楷體" w:eastAsia="標楷體" w:hAnsi="標楷體" w:hint="eastAsia"/>
          <w:bCs/>
          <w:sz w:val="28"/>
          <w:szCs w:val="36"/>
        </w:rPr>
        <w:t>解決放射性廢棄物和能源問題，使核能本身可持續發展。</w:t>
      </w:r>
    </w:p>
    <w:p w14:paraId="060144F1" w14:textId="7F41CB8F" w:rsidR="00500A58" w:rsidRPr="00500A58" w:rsidRDefault="00500A58" w:rsidP="009C4EE0">
      <w:pPr>
        <w:numPr>
          <w:ilvl w:val="3"/>
          <w:numId w:val="21"/>
        </w:numPr>
        <w:tabs>
          <w:tab w:val="left" w:pos="-1920"/>
        </w:tabs>
        <w:kinsoku w:val="0"/>
        <w:wordWrap w:val="0"/>
        <w:snapToGrid w:val="0"/>
        <w:spacing w:beforeLines="15" w:before="36" w:afterLines="15" w:after="36" w:line="440" w:lineRule="exact"/>
        <w:jc w:val="both"/>
        <w:outlineLvl w:val="2"/>
        <w:rPr>
          <w:rFonts w:ascii="標楷體" w:eastAsia="標楷體" w:hAnsi="標楷體"/>
          <w:bCs/>
          <w:sz w:val="28"/>
          <w:szCs w:val="36"/>
        </w:rPr>
      </w:pPr>
      <w:r w:rsidRPr="00500A58">
        <w:rPr>
          <w:rFonts w:ascii="標楷體" w:eastAsia="標楷體" w:hAnsi="標楷體" w:hint="eastAsia"/>
          <w:bCs/>
          <w:sz w:val="28"/>
          <w:szCs w:val="36"/>
        </w:rPr>
        <w:t>追求核能不僅在能源領域，而且在支持社會的所有領域的應用，並使核能技術多樣化。</w:t>
      </w:r>
    </w:p>
    <w:p w14:paraId="3396B062" w14:textId="393F943D" w:rsidR="0045463B" w:rsidRDefault="00C37B15" w:rsidP="00C37B15">
      <w:pPr>
        <w:spacing w:beforeLines="15" w:before="36" w:afterLines="15" w:after="36"/>
        <w:jc w:val="center"/>
        <w:outlineLvl w:val="1"/>
        <w:rPr>
          <w:rFonts w:ascii="標楷體" w:eastAsia="標楷體" w:hAnsi="標楷體"/>
          <w:bCs/>
          <w:spacing w:val="-10"/>
          <w:sz w:val="28"/>
          <w:szCs w:val="28"/>
        </w:rPr>
      </w:pPr>
      <w:bookmarkStart w:id="182" w:name="_Toc185412501"/>
      <w:r>
        <w:rPr>
          <w:rFonts w:ascii="標楷體" w:eastAsia="標楷體" w:hAnsi="標楷體"/>
          <w:bCs/>
          <w:noProof/>
          <w:spacing w:val="-10"/>
          <w:sz w:val="28"/>
          <w:szCs w:val="28"/>
        </w:rPr>
        <w:lastRenderedPageBreak/>
        <w:drawing>
          <wp:inline distT="0" distB="0" distL="0" distR="0" wp14:anchorId="5726B1AA" wp14:editId="73593683">
            <wp:extent cx="5521010" cy="7082790"/>
            <wp:effectExtent l="19050" t="19050" r="22860" b="22860"/>
            <wp:docPr id="2102778604" name="圖片 12" descr="一張含有 文字, 圖表, 方案, 數字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778604" name="圖片 12" descr="一張含有 文字, 圖表, 方案, 數字 的圖片&#10;&#10;自動產生的描述"/>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536578" cy="7102762"/>
                    </a:xfrm>
                    <a:prstGeom prst="rect">
                      <a:avLst/>
                    </a:prstGeom>
                    <a:ln>
                      <a:solidFill>
                        <a:schemeClr val="accent1"/>
                      </a:solidFill>
                    </a:ln>
                  </pic:spPr>
                </pic:pic>
              </a:graphicData>
            </a:graphic>
          </wp:inline>
        </w:drawing>
      </w:r>
      <w:bookmarkEnd w:id="182"/>
    </w:p>
    <w:p w14:paraId="3A0216C1" w14:textId="0413C8B7" w:rsidR="00C37B15" w:rsidRPr="00E33574" w:rsidRDefault="00E33574" w:rsidP="00E96C66">
      <w:pPr>
        <w:pStyle w:val="a1"/>
      </w:pPr>
      <w:bookmarkStart w:id="183" w:name="_Toc185426135"/>
      <w:bookmarkStart w:id="184" w:name="_Toc185605732"/>
      <w:bookmarkStart w:id="185" w:name="_Toc186029851"/>
      <w:r w:rsidRPr="00E33574">
        <w:t>日本核</w:t>
      </w:r>
      <w:r w:rsidRPr="00E33574">
        <w:rPr>
          <w:rFonts w:hint="eastAsia"/>
        </w:rPr>
        <w:t>能</w:t>
      </w:r>
      <w:r w:rsidRPr="00E33574">
        <w:t>電廠</w:t>
      </w:r>
      <w:r w:rsidRPr="00E33574">
        <w:rPr>
          <w:rFonts w:hint="eastAsia"/>
        </w:rPr>
        <w:t>之</w:t>
      </w:r>
      <w:r w:rsidRPr="00E33574">
        <w:t>分布、類型和發電能力</w:t>
      </w:r>
      <w:r w:rsidRPr="00E33574">
        <w:rPr>
          <w:rFonts w:hint="eastAsia"/>
        </w:rPr>
        <w:t>之示意圖</w:t>
      </w:r>
      <w:bookmarkEnd w:id="183"/>
      <w:bookmarkEnd w:id="184"/>
      <w:bookmarkEnd w:id="185"/>
    </w:p>
    <w:p w14:paraId="1E3AA1A1" w14:textId="77777777" w:rsidR="00E33574" w:rsidRDefault="00E33574" w:rsidP="00E33574">
      <w:pPr>
        <w:spacing w:beforeLines="15" w:before="36" w:afterLines="15" w:after="36"/>
        <w:outlineLvl w:val="1"/>
        <w:rPr>
          <w:rFonts w:ascii="標楷體" w:eastAsia="標楷體" w:hAnsi="標楷體"/>
          <w:bCs/>
          <w:spacing w:val="-10"/>
          <w:sz w:val="28"/>
          <w:szCs w:val="28"/>
        </w:rPr>
      </w:pPr>
      <w:bookmarkStart w:id="186" w:name="_Toc185412502"/>
      <w:r>
        <w:rPr>
          <w:rFonts w:ascii="標楷體" w:eastAsia="標楷體" w:hAnsi="標楷體" w:hint="eastAsia"/>
          <w:bCs/>
          <w:spacing w:val="-10"/>
          <w:sz w:val="28"/>
          <w:szCs w:val="28"/>
        </w:rPr>
        <w:t>備註：</w:t>
      </w:r>
      <w:bookmarkEnd w:id="186"/>
    </w:p>
    <w:p w14:paraId="34F24ADC" w14:textId="4BF6F0B3" w:rsidR="00E33574" w:rsidRPr="00E33574" w:rsidRDefault="00E33574" w:rsidP="00E33574">
      <w:pPr>
        <w:tabs>
          <w:tab w:val="num" w:pos="720"/>
        </w:tabs>
        <w:spacing w:afterLines="15" w:after="36" w:line="400" w:lineRule="exact"/>
        <w:ind w:leftChars="1" w:left="332" w:hangingChars="150" w:hanging="330"/>
        <w:jc w:val="both"/>
        <w:outlineLvl w:val="1"/>
        <w:rPr>
          <w:rFonts w:ascii="標楷體" w:eastAsia="標楷體" w:hAnsi="標楷體"/>
          <w:bCs/>
          <w:spacing w:val="-10"/>
        </w:rPr>
      </w:pPr>
      <w:bookmarkStart w:id="187" w:name="_Toc185412503"/>
      <w:r>
        <w:rPr>
          <w:rFonts w:ascii="標楷體" w:eastAsia="標楷體" w:hAnsi="標楷體" w:hint="eastAsia"/>
          <w:bCs/>
          <w:spacing w:val="-10"/>
        </w:rPr>
        <w:t>1、</w:t>
      </w:r>
      <w:r w:rsidRPr="00E33574">
        <w:rPr>
          <w:rFonts w:ascii="標楷體" w:eastAsia="標楷體" w:hAnsi="標楷體"/>
          <w:bCs/>
          <w:spacing w:val="-10"/>
        </w:rPr>
        <w:t>截至2024年4月，日本共有68座商用核電廠，總發電能力為6,638.1萬千瓦。其中33座正在運轉，3座正在建設，24座正在除役，8座處於停運狀態。</w:t>
      </w:r>
      <w:bookmarkEnd w:id="187"/>
    </w:p>
    <w:p w14:paraId="5BA1A68B" w14:textId="327BFB14" w:rsidR="00E33574" w:rsidRPr="00E33574" w:rsidRDefault="00E33574" w:rsidP="00E33574">
      <w:pPr>
        <w:tabs>
          <w:tab w:val="num" w:pos="720"/>
        </w:tabs>
        <w:spacing w:afterLines="15" w:after="36" w:line="400" w:lineRule="exact"/>
        <w:ind w:leftChars="1" w:left="332" w:hangingChars="150" w:hanging="330"/>
        <w:jc w:val="both"/>
        <w:outlineLvl w:val="1"/>
        <w:rPr>
          <w:rFonts w:ascii="標楷體" w:eastAsia="標楷體" w:hAnsi="標楷體"/>
          <w:bCs/>
          <w:spacing w:val="-10"/>
        </w:rPr>
      </w:pPr>
      <w:bookmarkStart w:id="188" w:name="_Toc185412504"/>
      <w:r>
        <w:rPr>
          <w:rFonts w:ascii="標楷體" w:eastAsia="標楷體" w:hAnsi="標楷體" w:hint="eastAsia"/>
          <w:bCs/>
          <w:spacing w:val="-10"/>
        </w:rPr>
        <w:t>2、</w:t>
      </w:r>
      <w:r w:rsidRPr="00E33574">
        <w:rPr>
          <w:rFonts w:ascii="標楷體" w:eastAsia="標楷體" w:hAnsi="標楷體"/>
          <w:bCs/>
          <w:spacing w:val="-10"/>
        </w:rPr>
        <w:t>關西電力公司擁有的核電廠數量最多，發電能力也最大。福島第一核電廠的所有反應</w:t>
      </w:r>
      <w:r w:rsidRPr="00E33574">
        <w:rPr>
          <w:rFonts w:ascii="標楷體" w:eastAsia="標楷體" w:hAnsi="標楷體" w:hint="eastAsia"/>
          <w:bCs/>
          <w:spacing w:val="-10"/>
        </w:rPr>
        <w:t>器</w:t>
      </w:r>
      <w:r w:rsidRPr="00E33574">
        <w:rPr>
          <w:rFonts w:ascii="標楷體" w:eastAsia="標楷體" w:hAnsi="標楷體"/>
          <w:bCs/>
          <w:spacing w:val="-10"/>
        </w:rPr>
        <w:t>都已停止運轉，並處於除役階段。</w:t>
      </w:r>
      <w:bookmarkEnd w:id="188"/>
    </w:p>
    <w:p w14:paraId="2960FD23" w14:textId="79BEC711" w:rsidR="00C37B15" w:rsidRDefault="00C37B15" w:rsidP="00C37B15">
      <w:pPr>
        <w:spacing w:beforeLines="15" w:before="36" w:afterLines="15" w:after="36"/>
        <w:jc w:val="center"/>
        <w:outlineLvl w:val="1"/>
        <w:rPr>
          <w:rFonts w:ascii="標楷體" w:eastAsia="標楷體" w:hAnsi="標楷體"/>
          <w:bCs/>
          <w:spacing w:val="-10"/>
          <w:sz w:val="28"/>
          <w:szCs w:val="28"/>
        </w:rPr>
      </w:pPr>
      <w:bookmarkStart w:id="189" w:name="_Toc185412505"/>
      <w:r>
        <w:rPr>
          <w:rFonts w:ascii="標楷體" w:eastAsia="標楷體" w:hAnsi="標楷體" w:hint="eastAsia"/>
          <w:bCs/>
          <w:noProof/>
          <w:spacing w:val="-10"/>
          <w:sz w:val="28"/>
          <w:szCs w:val="28"/>
        </w:rPr>
        <w:lastRenderedPageBreak/>
        <w:drawing>
          <wp:inline distT="0" distB="0" distL="0" distR="0" wp14:anchorId="26E7D595" wp14:editId="69E8CB02">
            <wp:extent cx="5760085" cy="5384165"/>
            <wp:effectExtent l="19050" t="19050" r="12065" b="26035"/>
            <wp:docPr id="2050060894" name="圖片 13" descr="一張含有 文字, 圖表, 地圖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060894" name="圖片 13" descr="一張含有 文字, 圖表, 地圖 的圖片&#10;&#10;自動產生的描述"/>
                    <pic:cNvPicPr/>
                  </pic:nvPicPr>
                  <pic:blipFill rotWithShape="1">
                    <a:blip r:embed="rId39">
                      <a:extLst>
                        <a:ext uri="{28A0092B-C50C-407E-A947-70E740481C1C}">
                          <a14:useLocalDpi xmlns:a14="http://schemas.microsoft.com/office/drawing/2010/main" val="0"/>
                        </a:ext>
                      </a:extLst>
                    </a:blip>
                    <a:srcRect t="10907"/>
                    <a:stretch/>
                  </pic:blipFill>
                  <pic:spPr bwMode="auto">
                    <a:xfrm>
                      <a:off x="0" y="0"/>
                      <a:ext cx="5760085" cy="5384165"/>
                    </a:xfrm>
                    <a:prstGeom prst="rect">
                      <a:avLst/>
                    </a:prstGeom>
                    <a:ln w="9525" cap="flat" cmpd="sng" algn="ctr">
                      <a:solidFill>
                        <a:srgbClr val="4472C4"/>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bookmarkEnd w:id="189"/>
    </w:p>
    <w:p w14:paraId="471BC0EE" w14:textId="3AB7D1C7" w:rsidR="00E33574" w:rsidRPr="00E33574" w:rsidRDefault="00E33574" w:rsidP="00E96C66">
      <w:pPr>
        <w:pStyle w:val="a1"/>
      </w:pPr>
      <w:bookmarkStart w:id="190" w:name="_Toc185426136"/>
      <w:bookmarkStart w:id="191" w:name="_Toc185605733"/>
      <w:bookmarkStart w:id="192" w:name="_Toc186029852"/>
      <w:r w:rsidRPr="00E33574">
        <w:t>日本</w:t>
      </w:r>
      <w:r w:rsidR="00767B66" w:rsidRPr="00767B66">
        <w:t>研究用</w:t>
      </w:r>
      <w:r w:rsidR="00767B66" w:rsidRPr="00767B66">
        <w:rPr>
          <w:rFonts w:hint="eastAsia"/>
        </w:rPr>
        <w:t>核能反應器</w:t>
      </w:r>
      <w:r w:rsidR="00767B66" w:rsidRPr="00767B66">
        <w:t>設施分布</w:t>
      </w:r>
      <w:r w:rsidR="00767B66">
        <w:rPr>
          <w:rFonts w:hint="eastAsia"/>
        </w:rPr>
        <w:t>及</w:t>
      </w:r>
      <w:r w:rsidR="00767B66" w:rsidRPr="00767B66">
        <w:t>運轉狀態</w:t>
      </w:r>
      <w:r w:rsidRPr="00E33574">
        <w:rPr>
          <w:rFonts w:hint="eastAsia"/>
        </w:rPr>
        <w:t>之示意圖</w:t>
      </w:r>
      <w:bookmarkEnd w:id="190"/>
      <w:bookmarkEnd w:id="191"/>
      <w:bookmarkEnd w:id="192"/>
    </w:p>
    <w:p w14:paraId="0EC53A0A" w14:textId="77777777" w:rsidR="00E33574" w:rsidRDefault="00E33574" w:rsidP="00E33574">
      <w:pPr>
        <w:spacing w:beforeLines="15" w:before="36" w:afterLines="15" w:after="36"/>
        <w:outlineLvl w:val="1"/>
        <w:rPr>
          <w:rFonts w:ascii="標楷體" w:eastAsia="標楷體" w:hAnsi="標楷體"/>
          <w:bCs/>
          <w:spacing w:val="-10"/>
          <w:sz w:val="28"/>
          <w:szCs w:val="28"/>
        </w:rPr>
      </w:pPr>
      <w:bookmarkStart w:id="193" w:name="_Toc185412506"/>
      <w:r>
        <w:rPr>
          <w:rFonts w:ascii="標楷體" w:eastAsia="標楷體" w:hAnsi="標楷體" w:hint="eastAsia"/>
          <w:bCs/>
          <w:spacing w:val="-10"/>
          <w:sz w:val="28"/>
          <w:szCs w:val="28"/>
        </w:rPr>
        <w:t>備註：</w:t>
      </w:r>
      <w:bookmarkEnd w:id="193"/>
    </w:p>
    <w:p w14:paraId="1A20BECB" w14:textId="5CDB923E" w:rsidR="00767B66" w:rsidRPr="00767B66" w:rsidRDefault="00E33574" w:rsidP="00767B66">
      <w:pPr>
        <w:tabs>
          <w:tab w:val="num" w:pos="720"/>
        </w:tabs>
        <w:spacing w:afterLines="15" w:after="36" w:line="400" w:lineRule="exact"/>
        <w:ind w:leftChars="1" w:left="332" w:hangingChars="150" w:hanging="330"/>
        <w:jc w:val="both"/>
        <w:outlineLvl w:val="1"/>
        <w:rPr>
          <w:rFonts w:ascii="標楷體" w:eastAsia="標楷體" w:hAnsi="標楷體"/>
          <w:bCs/>
          <w:spacing w:val="-10"/>
        </w:rPr>
      </w:pPr>
      <w:bookmarkStart w:id="194" w:name="_Toc185412507"/>
      <w:r>
        <w:rPr>
          <w:rFonts w:ascii="標楷體" w:eastAsia="標楷體" w:hAnsi="標楷體" w:hint="eastAsia"/>
          <w:bCs/>
          <w:spacing w:val="-10"/>
        </w:rPr>
        <w:t>1、</w:t>
      </w:r>
      <w:r w:rsidRPr="00E33574">
        <w:rPr>
          <w:rFonts w:ascii="標楷體" w:eastAsia="標楷體" w:hAnsi="標楷體"/>
          <w:bCs/>
          <w:spacing w:val="-10"/>
        </w:rPr>
        <w:t>截至2024年4月，</w:t>
      </w:r>
      <w:r w:rsidR="00767B66" w:rsidRPr="00767B66">
        <w:rPr>
          <w:rFonts w:ascii="標楷體" w:eastAsia="標楷體" w:hAnsi="標楷體"/>
          <w:bCs/>
          <w:spacing w:val="-10"/>
        </w:rPr>
        <w:t>地圖標記</w:t>
      </w:r>
      <w:r w:rsidR="00767B66">
        <w:rPr>
          <w:rFonts w:ascii="標楷體" w:eastAsia="標楷體" w:hAnsi="標楷體" w:hint="eastAsia"/>
          <w:bCs/>
          <w:spacing w:val="-10"/>
        </w:rPr>
        <w:t>出</w:t>
      </w:r>
      <w:r w:rsidR="00767B66" w:rsidRPr="00767B66">
        <w:rPr>
          <w:rFonts w:ascii="標楷體" w:eastAsia="標楷體" w:hAnsi="標楷體"/>
          <w:bCs/>
          <w:spacing w:val="-10"/>
        </w:rPr>
        <w:t>日本各地的研究用</w:t>
      </w:r>
      <w:r w:rsidR="00A95445">
        <w:rPr>
          <w:rFonts w:ascii="標楷體" w:eastAsia="標楷體" w:hAnsi="標楷體"/>
          <w:bCs/>
          <w:spacing w:val="-10"/>
        </w:rPr>
        <w:t>反應器</w:t>
      </w:r>
      <w:r w:rsidR="00767B66" w:rsidRPr="00767B66">
        <w:rPr>
          <w:rFonts w:ascii="標楷體" w:eastAsia="標楷體" w:hAnsi="標楷體"/>
          <w:bCs/>
          <w:spacing w:val="-10"/>
        </w:rPr>
        <w:t>設施的位置，主要集中在茨城縣、福井縣等地</w:t>
      </w:r>
      <w:r w:rsidR="00767B66">
        <w:rPr>
          <w:rFonts w:ascii="標楷體" w:eastAsia="標楷體" w:hAnsi="標楷體" w:hint="eastAsia"/>
          <w:bCs/>
          <w:spacing w:val="-10"/>
        </w:rPr>
        <w:t>，其</w:t>
      </w:r>
      <w:r w:rsidR="00767B66" w:rsidRPr="00767B66">
        <w:rPr>
          <w:rFonts w:ascii="標楷體" w:eastAsia="標楷體" w:hAnsi="標楷體"/>
          <w:bCs/>
          <w:spacing w:val="-10"/>
        </w:rPr>
        <w:t>類型多樣，包括</w:t>
      </w:r>
      <w:r w:rsidR="00767B66">
        <w:rPr>
          <w:rFonts w:ascii="標楷體" w:eastAsia="標楷體" w:hAnsi="標楷體" w:hint="eastAsia"/>
          <w:bCs/>
          <w:spacing w:val="-10"/>
        </w:rPr>
        <w:t>：</w:t>
      </w:r>
      <w:r w:rsidR="00767B66" w:rsidRPr="00767B66">
        <w:rPr>
          <w:rFonts w:ascii="標楷體" w:eastAsia="標楷體" w:hAnsi="標楷體"/>
          <w:bCs/>
          <w:spacing w:val="-10"/>
        </w:rPr>
        <w:t>臨界實驗裝置、材料測試反應</w:t>
      </w:r>
      <w:r w:rsidR="00767B66">
        <w:rPr>
          <w:rFonts w:ascii="標楷體" w:eastAsia="標楷體" w:hAnsi="標楷體" w:hint="eastAsia"/>
          <w:bCs/>
          <w:spacing w:val="-10"/>
        </w:rPr>
        <w:t>器</w:t>
      </w:r>
      <w:r w:rsidR="00767B66" w:rsidRPr="00767B66">
        <w:rPr>
          <w:rFonts w:ascii="標楷體" w:eastAsia="標楷體" w:hAnsi="標楷體"/>
          <w:bCs/>
          <w:spacing w:val="-10"/>
        </w:rPr>
        <w:t>、快中子實驗反應</w:t>
      </w:r>
      <w:r w:rsidR="00767B66">
        <w:rPr>
          <w:rFonts w:ascii="標楷體" w:eastAsia="標楷體" w:hAnsi="標楷體" w:hint="eastAsia"/>
          <w:bCs/>
          <w:spacing w:val="-10"/>
        </w:rPr>
        <w:t>器</w:t>
      </w:r>
      <w:r w:rsidR="00767B66" w:rsidRPr="00767B66">
        <w:rPr>
          <w:rFonts w:ascii="標楷體" w:eastAsia="標楷體" w:hAnsi="標楷體"/>
          <w:bCs/>
          <w:spacing w:val="-10"/>
        </w:rPr>
        <w:t>等。</w:t>
      </w:r>
      <w:bookmarkEnd w:id="194"/>
    </w:p>
    <w:p w14:paraId="4AC2A372" w14:textId="77777777" w:rsidR="00767B66" w:rsidRDefault="00767B66" w:rsidP="00767B66">
      <w:pPr>
        <w:tabs>
          <w:tab w:val="num" w:pos="720"/>
        </w:tabs>
        <w:spacing w:afterLines="15" w:after="36" w:line="400" w:lineRule="exact"/>
        <w:ind w:leftChars="1" w:left="332" w:hangingChars="150" w:hanging="330"/>
        <w:jc w:val="both"/>
        <w:outlineLvl w:val="1"/>
        <w:rPr>
          <w:rFonts w:ascii="標楷體" w:eastAsia="標楷體" w:hAnsi="標楷體"/>
          <w:bCs/>
          <w:spacing w:val="-10"/>
        </w:rPr>
      </w:pPr>
      <w:bookmarkStart w:id="195" w:name="_Toc185412508"/>
      <w:r>
        <w:rPr>
          <w:rFonts w:ascii="標楷體" w:eastAsia="標楷體" w:hAnsi="標楷體" w:hint="eastAsia"/>
          <w:bCs/>
          <w:spacing w:val="-10"/>
        </w:rPr>
        <w:t>2、</w:t>
      </w:r>
      <w:r w:rsidRPr="00767B66">
        <w:rPr>
          <w:rFonts w:ascii="標楷體" w:eastAsia="標楷體" w:hAnsi="標楷體"/>
          <w:bCs/>
          <w:spacing w:val="-10"/>
        </w:rPr>
        <w:t>圖表中用不同符號區分</w:t>
      </w:r>
      <w:r>
        <w:rPr>
          <w:rFonts w:ascii="標楷體" w:eastAsia="標楷體" w:hAnsi="標楷體" w:hint="eastAsia"/>
          <w:bCs/>
          <w:spacing w:val="-10"/>
        </w:rPr>
        <w:t>出</w:t>
      </w:r>
      <w:r w:rsidRPr="00767B66">
        <w:rPr>
          <w:rFonts w:ascii="標楷體" w:eastAsia="標楷體" w:hAnsi="標楷體"/>
          <w:bCs/>
          <w:spacing w:val="-10"/>
        </w:rPr>
        <w:t>運轉中和除役中的反應</w:t>
      </w:r>
      <w:r>
        <w:rPr>
          <w:rFonts w:ascii="標楷體" w:eastAsia="標楷體" w:hAnsi="標楷體" w:hint="eastAsia"/>
          <w:bCs/>
          <w:spacing w:val="-10"/>
        </w:rPr>
        <w:t>器，</w:t>
      </w:r>
      <w:r w:rsidRPr="00767B66">
        <w:rPr>
          <w:rFonts w:ascii="標楷體" w:eastAsia="標楷體" w:hAnsi="標楷體"/>
          <w:bCs/>
          <w:spacing w:val="-10"/>
        </w:rPr>
        <w:t>大部分研究用反應</w:t>
      </w:r>
      <w:r>
        <w:rPr>
          <w:rFonts w:ascii="標楷體" w:eastAsia="標楷體" w:hAnsi="標楷體" w:hint="eastAsia"/>
          <w:bCs/>
          <w:spacing w:val="-10"/>
        </w:rPr>
        <w:t>器</w:t>
      </w:r>
      <w:r w:rsidRPr="00767B66">
        <w:rPr>
          <w:rFonts w:ascii="標楷體" w:eastAsia="標楷體" w:hAnsi="標楷體"/>
          <w:bCs/>
          <w:spacing w:val="-10"/>
        </w:rPr>
        <w:t>都已停止運轉，並處於除役階段。</w:t>
      </w:r>
      <w:bookmarkEnd w:id="195"/>
    </w:p>
    <w:p w14:paraId="25A63235" w14:textId="269533C6" w:rsidR="00C37B15" w:rsidRPr="00E33574" w:rsidRDefault="00767B66" w:rsidP="00767B66">
      <w:pPr>
        <w:tabs>
          <w:tab w:val="num" w:pos="720"/>
        </w:tabs>
        <w:spacing w:afterLines="15" w:after="36" w:line="400" w:lineRule="exact"/>
        <w:ind w:leftChars="1" w:left="332" w:hangingChars="150" w:hanging="330"/>
        <w:jc w:val="both"/>
        <w:outlineLvl w:val="1"/>
        <w:rPr>
          <w:rFonts w:ascii="標楷體" w:eastAsia="標楷體" w:hAnsi="標楷體"/>
          <w:bCs/>
          <w:spacing w:val="-10"/>
          <w:sz w:val="28"/>
          <w:szCs w:val="28"/>
        </w:rPr>
      </w:pPr>
      <w:bookmarkStart w:id="196" w:name="_Toc185412509"/>
      <w:r>
        <w:rPr>
          <w:rFonts w:ascii="標楷體" w:eastAsia="標楷體" w:hAnsi="標楷體" w:hint="eastAsia"/>
          <w:bCs/>
          <w:spacing w:val="-10"/>
        </w:rPr>
        <w:t>3、</w:t>
      </w:r>
      <w:r w:rsidRPr="00767B66">
        <w:rPr>
          <w:rFonts w:ascii="標楷體" w:eastAsia="標楷體" w:hAnsi="標楷體"/>
          <w:bCs/>
          <w:spacing w:val="-10"/>
        </w:rPr>
        <w:t>研究用反應</w:t>
      </w:r>
      <w:r>
        <w:rPr>
          <w:rFonts w:ascii="標楷體" w:eastAsia="標楷體" w:hAnsi="標楷體" w:hint="eastAsia"/>
          <w:bCs/>
          <w:spacing w:val="-10"/>
        </w:rPr>
        <w:t>器之</w:t>
      </w:r>
      <w:r w:rsidRPr="00767B66">
        <w:rPr>
          <w:rFonts w:ascii="標楷體" w:eastAsia="標楷體" w:hAnsi="標楷體"/>
          <w:bCs/>
          <w:spacing w:val="-10"/>
        </w:rPr>
        <w:t>主要用途</w:t>
      </w:r>
      <w:r>
        <w:rPr>
          <w:rFonts w:ascii="標楷體" w:eastAsia="標楷體" w:hAnsi="標楷體" w:hint="eastAsia"/>
          <w:bCs/>
          <w:spacing w:val="-10"/>
        </w:rPr>
        <w:t>，包括</w:t>
      </w:r>
      <w:r w:rsidRPr="00767B66">
        <w:rPr>
          <w:rFonts w:ascii="標楷體" w:eastAsia="標楷體" w:hAnsi="標楷體"/>
          <w:bCs/>
          <w:spacing w:val="-10"/>
        </w:rPr>
        <w:t>：科學研究於中子散射實驗、同位素生產、輻射生物學研究</w:t>
      </w:r>
      <w:r>
        <w:rPr>
          <w:rFonts w:ascii="標楷體" w:eastAsia="標楷體" w:hAnsi="標楷體" w:hint="eastAsia"/>
          <w:bCs/>
          <w:spacing w:val="-10"/>
        </w:rPr>
        <w:t>，</w:t>
      </w:r>
      <w:r w:rsidRPr="00767B66">
        <w:rPr>
          <w:rFonts w:ascii="標楷體" w:eastAsia="標楷體" w:hAnsi="標楷體"/>
          <w:bCs/>
          <w:spacing w:val="-10"/>
        </w:rPr>
        <w:t>人才培養於核</w:t>
      </w:r>
      <w:r>
        <w:rPr>
          <w:rFonts w:ascii="標楷體" w:eastAsia="標楷體" w:hAnsi="標楷體" w:hint="eastAsia"/>
          <w:bCs/>
          <w:spacing w:val="-10"/>
        </w:rPr>
        <w:t>能</w:t>
      </w:r>
      <w:r w:rsidRPr="00767B66">
        <w:rPr>
          <w:rFonts w:ascii="標楷體" w:eastAsia="標楷體" w:hAnsi="標楷體"/>
          <w:bCs/>
          <w:spacing w:val="-10"/>
        </w:rPr>
        <w:t>工程和輻射防護等領域</w:t>
      </w:r>
      <w:r>
        <w:rPr>
          <w:rFonts w:ascii="標楷體" w:eastAsia="標楷體" w:hAnsi="標楷體" w:hint="eastAsia"/>
          <w:bCs/>
          <w:spacing w:val="-10"/>
        </w:rPr>
        <w:t>之</w:t>
      </w:r>
      <w:r w:rsidRPr="00767B66">
        <w:rPr>
          <w:rFonts w:ascii="標楷體" w:eastAsia="標楷體" w:hAnsi="標楷體"/>
          <w:bCs/>
          <w:spacing w:val="-10"/>
        </w:rPr>
        <w:t>教學</w:t>
      </w:r>
      <w:r>
        <w:rPr>
          <w:rFonts w:ascii="標楷體" w:eastAsia="標楷體" w:hAnsi="標楷體" w:hint="eastAsia"/>
          <w:bCs/>
          <w:spacing w:val="-10"/>
        </w:rPr>
        <w:t>與</w:t>
      </w:r>
      <w:r w:rsidRPr="00767B66">
        <w:rPr>
          <w:rFonts w:ascii="標楷體" w:eastAsia="標楷體" w:hAnsi="標楷體"/>
          <w:bCs/>
          <w:spacing w:val="-10"/>
        </w:rPr>
        <w:t>培訓</w:t>
      </w:r>
      <w:r>
        <w:rPr>
          <w:rFonts w:ascii="標楷體" w:eastAsia="標楷體" w:hAnsi="標楷體" w:hint="eastAsia"/>
          <w:bCs/>
          <w:spacing w:val="-10"/>
        </w:rPr>
        <w:t>，</w:t>
      </w:r>
      <w:r w:rsidRPr="00767B66">
        <w:rPr>
          <w:rFonts w:ascii="標楷體" w:eastAsia="標楷體" w:hAnsi="標楷體"/>
          <w:bCs/>
          <w:spacing w:val="-10"/>
        </w:rPr>
        <w:t>工業應用於材料測試</w:t>
      </w:r>
      <w:r>
        <w:rPr>
          <w:rFonts w:ascii="標楷體" w:eastAsia="標楷體" w:hAnsi="標楷體" w:hint="eastAsia"/>
          <w:bCs/>
          <w:spacing w:val="-10"/>
        </w:rPr>
        <w:t>及非破壞</w:t>
      </w:r>
      <w:r w:rsidRPr="00767B66">
        <w:rPr>
          <w:rFonts w:ascii="標楷體" w:eastAsia="標楷體" w:hAnsi="標楷體"/>
          <w:bCs/>
          <w:spacing w:val="-10"/>
        </w:rPr>
        <w:t>檢測等。</w:t>
      </w:r>
      <w:bookmarkEnd w:id="196"/>
    </w:p>
    <w:p w14:paraId="12CF28F4" w14:textId="59F5644B" w:rsidR="00C37B15" w:rsidRDefault="00C37B15" w:rsidP="00C37B15">
      <w:pPr>
        <w:spacing w:beforeLines="15" w:before="36" w:afterLines="15" w:after="36"/>
        <w:jc w:val="center"/>
        <w:outlineLvl w:val="1"/>
        <w:rPr>
          <w:rFonts w:ascii="標楷體" w:eastAsia="標楷體" w:hAnsi="標楷體"/>
          <w:bCs/>
          <w:spacing w:val="-10"/>
          <w:sz w:val="28"/>
          <w:szCs w:val="28"/>
        </w:rPr>
      </w:pPr>
      <w:bookmarkStart w:id="197" w:name="_Toc185412510"/>
      <w:r>
        <w:rPr>
          <w:rFonts w:ascii="標楷體" w:eastAsia="標楷體" w:hAnsi="標楷體" w:hint="eastAsia"/>
          <w:bCs/>
          <w:noProof/>
          <w:spacing w:val="-10"/>
          <w:sz w:val="28"/>
          <w:szCs w:val="28"/>
        </w:rPr>
        <w:lastRenderedPageBreak/>
        <w:drawing>
          <wp:inline distT="0" distB="0" distL="0" distR="0" wp14:anchorId="36156F6F" wp14:editId="641A4101">
            <wp:extent cx="5760085" cy="6104890"/>
            <wp:effectExtent l="0" t="0" r="0" b="0"/>
            <wp:docPr id="796687719" name="圖片 14" descr="一張含有 文字, 圖表, 骨骼, 地圖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687719" name="圖片 14" descr="一張含有 文字, 圖表, 骨骼, 地圖 的圖片&#10;&#10;自動產生的描述"/>
                    <pic:cNvPicPr/>
                  </pic:nvPicPr>
                  <pic:blipFill>
                    <a:blip r:embed="rId40">
                      <a:extLst>
                        <a:ext uri="{28A0092B-C50C-407E-A947-70E740481C1C}">
                          <a14:useLocalDpi xmlns:a14="http://schemas.microsoft.com/office/drawing/2010/main" val="0"/>
                        </a:ext>
                      </a:extLst>
                    </a:blip>
                    <a:stretch>
                      <a:fillRect/>
                    </a:stretch>
                  </pic:blipFill>
                  <pic:spPr>
                    <a:xfrm>
                      <a:off x="0" y="0"/>
                      <a:ext cx="5760085" cy="6104890"/>
                    </a:xfrm>
                    <a:prstGeom prst="rect">
                      <a:avLst/>
                    </a:prstGeom>
                  </pic:spPr>
                </pic:pic>
              </a:graphicData>
            </a:graphic>
          </wp:inline>
        </w:drawing>
      </w:r>
      <w:bookmarkEnd w:id="197"/>
    </w:p>
    <w:p w14:paraId="59A0A072" w14:textId="38512066" w:rsidR="00C37B15" w:rsidRPr="00767B66" w:rsidRDefault="00767B66" w:rsidP="00E96C66">
      <w:pPr>
        <w:pStyle w:val="a1"/>
      </w:pPr>
      <w:bookmarkStart w:id="198" w:name="_Toc185426137"/>
      <w:bookmarkStart w:id="199" w:name="_Toc185605734"/>
      <w:bookmarkStart w:id="200" w:name="_Toc186029853"/>
      <w:r w:rsidRPr="00767B66">
        <w:t>日本核燃料循環相關設施地理分</w:t>
      </w:r>
      <w:r w:rsidRPr="00767B66">
        <w:rPr>
          <w:rFonts w:hint="eastAsia"/>
        </w:rPr>
        <w:t>布之示意圖</w:t>
      </w:r>
      <w:bookmarkEnd w:id="198"/>
      <w:bookmarkEnd w:id="199"/>
      <w:bookmarkEnd w:id="200"/>
    </w:p>
    <w:p w14:paraId="580254F8" w14:textId="77777777" w:rsidR="00767B66" w:rsidRPr="00767B66" w:rsidRDefault="00767B66" w:rsidP="00767B66">
      <w:pPr>
        <w:spacing w:beforeLines="15" w:before="36" w:afterLines="15" w:after="36"/>
        <w:outlineLvl w:val="1"/>
        <w:rPr>
          <w:rFonts w:ascii="標楷體" w:eastAsia="標楷體" w:hAnsi="標楷體"/>
          <w:bCs/>
          <w:spacing w:val="-10"/>
          <w:sz w:val="28"/>
          <w:szCs w:val="28"/>
        </w:rPr>
      </w:pPr>
      <w:bookmarkStart w:id="201" w:name="_Toc185412511"/>
      <w:r w:rsidRPr="00767B66">
        <w:rPr>
          <w:rFonts w:ascii="標楷體" w:eastAsia="標楷體" w:hAnsi="標楷體" w:hint="eastAsia"/>
          <w:bCs/>
          <w:spacing w:val="-10"/>
          <w:sz w:val="28"/>
          <w:szCs w:val="28"/>
        </w:rPr>
        <w:t>備註：</w:t>
      </w:r>
      <w:bookmarkEnd w:id="201"/>
    </w:p>
    <w:p w14:paraId="6C828323" w14:textId="1F2C1E1E" w:rsidR="00767B66" w:rsidRPr="00767B66" w:rsidRDefault="00767B66" w:rsidP="00767B66">
      <w:pPr>
        <w:tabs>
          <w:tab w:val="num" w:pos="720"/>
        </w:tabs>
        <w:spacing w:afterLines="15" w:after="36" w:line="400" w:lineRule="exact"/>
        <w:ind w:leftChars="1" w:left="332" w:hangingChars="150" w:hanging="330"/>
        <w:jc w:val="both"/>
        <w:outlineLvl w:val="1"/>
        <w:rPr>
          <w:rFonts w:ascii="標楷體" w:eastAsia="標楷體" w:hAnsi="標楷體"/>
          <w:bCs/>
          <w:spacing w:val="-10"/>
        </w:rPr>
      </w:pPr>
      <w:bookmarkStart w:id="202" w:name="_Toc185412512"/>
      <w:r w:rsidRPr="00767B66">
        <w:rPr>
          <w:rFonts w:ascii="標楷體" w:eastAsia="標楷體" w:hAnsi="標楷體" w:hint="eastAsia"/>
          <w:bCs/>
          <w:spacing w:val="-10"/>
        </w:rPr>
        <w:t>1、</w:t>
      </w:r>
      <w:r w:rsidRPr="00767B66">
        <w:rPr>
          <w:rFonts w:ascii="標楷體" w:eastAsia="標楷體" w:hAnsi="標楷體"/>
          <w:bCs/>
          <w:spacing w:val="-10"/>
        </w:rPr>
        <w:t>地圖顯示</w:t>
      </w:r>
      <w:r>
        <w:rPr>
          <w:rFonts w:ascii="標楷體" w:eastAsia="標楷體" w:hAnsi="標楷體" w:hint="eastAsia"/>
          <w:bCs/>
          <w:spacing w:val="-10"/>
        </w:rPr>
        <w:t>出</w:t>
      </w:r>
      <w:r w:rsidRPr="00767B66">
        <w:rPr>
          <w:rFonts w:ascii="標楷體" w:eastAsia="標楷體" w:hAnsi="標楷體"/>
          <w:bCs/>
          <w:spacing w:val="-10"/>
        </w:rPr>
        <w:t>日本核燃料循環相關設施</w:t>
      </w:r>
      <w:r>
        <w:rPr>
          <w:rFonts w:ascii="標楷體" w:eastAsia="標楷體" w:hAnsi="標楷體" w:hint="eastAsia"/>
          <w:bCs/>
          <w:spacing w:val="-10"/>
        </w:rPr>
        <w:t>之</w:t>
      </w:r>
      <w:r w:rsidRPr="00767B66">
        <w:rPr>
          <w:rFonts w:ascii="標楷體" w:eastAsia="標楷體" w:hAnsi="標楷體"/>
          <w:bCs/>
          <w:spacing w:val="-10"/>
        </w:rPr>
        <w:t>地理分佈，包括</w:t>
      </w:r>
      <w:r>
        <w:rPr>
          <w:rFonts w:ascii="標楷體" w:eastAsia="標楷體" w:hAnsi="標楷體" w:hint="eastAsia"/>
          <w:bCs/>
          <w:spacing w:val="-10"/>
        </w:rPr>
        <w:t>：</w:t>
      </w:r>
      <w:r w:rsidRPr="00767B66">
        <w:rPr>
          <w:rFonts w:ascii="標楷體" w:eastAsia="標楷體" w:hAnsi="標楷體"/>
          <w:bCs/>
          <w:spacing w:val="-10"/>
        </w:rPr>
        <w:t>鈾濃縮、燃料加工、後處理、廢棄物處理和中期貯藏等設施。</w:t>
      </w:r>
      <w:bookmarkEnd w:id="202"/>
    </w:p>
    <w:p w14:paraId="65EDB5C5" w14:textId="1CA548E2" w:rsidR="00767B66" w:rsidRPr="00767B66" w:rsidRDefault="00767B66" w:rsidP="00767B66">
      <w:pPr>
        <w:tabs>
          <w:tab w:val="num" w:pos="720"/>
        </w:tabs>
        <w:spacing w:afterLines="15" w:after="36" w:line="400" w:lineRule="exact"/>
        <w:ind w:leftChars="1" w:left="332" w:hangingChars="150" w:hanging="330"/>
        <w:jc w:val="both"/>
        <w:outlineLvl w:val="1"/>
        <w:rPr>
          <w:rFonts w:ascii="標楷體" w:eastAsia="標楷體" w:hAnsi="標楷體"/>
          <w:bCs/>
          <w:spacing w:val="-10"/>
        </w:rPr>
      </w:pPr>
      <w:bookmarkStart w:id="203" w:name="_Toc185412513"/>
      <w:r w:rsidRPr="00767B66">
        <w:rPr>
          <w:rFonts w:ascii="標楷體" w:eastAsia="標楷體" w:hAnsi="標楷體" w:hint="eastAsia"/>
          <w:bCs/>
          <w:spacing w:val="-10"/>
        </w:rPr>
        <w:t>2、</w:t>
      </w:r>
      <w:r w:rsidRPr="00767B66">
        <w:rPr>
          <w:rFonts w:ascii="標楷體" w:eastAsia="標楷體" w:hAnsi="標楷體"/>
          <w:bCs/>
          <w:spacing w:val="-10"/>
        </w:rPr>
        <w:t>圖表中不同顏色和形狀的符號表示設施所處的階段，例如</w:t>
      </w:r>
      <w:r>
        <w:rPr>
          <w:rFonts w:ascii="標楷體" w:eastAsia="標楷體" w:hAnsi="標楷體" w:hint="eastAsia"/>
          <w:bCs/>
          <w:spacing w:val="-10"/>
        </w:rPr>
        <w:t>：</w:t>
      </w:r>
      <w:r w:rsidRPr="00767B66">
        <w:rPr>
          <w:rFonts w:ascii="標楷體" w:eastAsia="標楷體" w:hAnsi="標楷體"/>
          <w:bCs/>
          <w:spacing w:val="-10"/>
        </w:rPr>
        <w:t>建設中、運轉中或除役中</w:t>
      </w:r>
      <w:r>
        <w:rPr>
          <w:rFonts w:ascii="標楷體" w:eastAsia="標楷體" w:hAnsi="標楷體" w:hint="eastAsia"/>
          <w:bCs/>
          <w:spacing w:val="-10"/>
        </w:rPr>
        <w:t>，</w:t>
      </w:r>
      <w:r w:rsidRPr="00767B66">
        <w:rPr>
          <w:rFonts w:ascii="標楷體" w:eastAsia="標楷體" w:hAnsi="標楷體"/>
          <w:bCs/>
          <w:spacing w:val="-10"/>
        </w:rPr>
        <w:t>核燃料循環設施主要集中</w:t>
      </w:r>
      <w:r>
        <w:rPr>
          <w:rFonts w:ascii="標楷體" w:eastAsia="標楷體" w:hAnsi="標楷體" w:hint="eastAsia"/>
          <w:bCs/>
          <w:spacing w:val="-10"/>
        </w:rPr>
        <w:t>於</w:t>
      </w:r>
      <w:r w:rsidRPr="00767B66">
        <w:rPr>
          <w:rFonts w:ascii="標楷體" w:eastAsia="標楷體" w:hAnsi="標楷體"/>
          <w:bCs/>
          <w:spacing w:val="-10"/>
        </w:rPr>
        <w:t>青森縣六所村</w:t>
      </w:r>
      <w:r>
        <w:rPr>
          <w:rFonts w:ascii="標楷體" w:eastAsia="標楷體" w:hAnsi="標楷體" w:hint="eastAsia"/>
          <w:bCs/>
          <w:spacing w:val="-10"/>
        </w:rPr>
        <w:t>及</w:t>
      </w:r>
      <w:r w:rsidRPr="00767B66">
        <w:rPr>
          <w:rFonts w:ascii="標楷體" w:eastAsia="標楷體" w:hAnsi="標楷體"/>
          <w:bCs/>
          <w:spacing w:val="-10"/>
        </w:rPr>
        <w:t>茨城縣東海村等地。主要運營機構</w:t>
      </w:r>
      <w:r w:rsidRPr="00767B66">
        <w:rPr>
          <w:rFonts w:ascii="標楷體" w:eastAsia="標楷體" w:hAnsi="標楷體" w:hint="eastAsia"/>
          <w:bCs/>
          <w:spacing w:val="-10"/>
        </w:rPr>
        <w:t>包括：</w:t>
      </w:r>
      <w:r w:rsidRPr="00767B66">
        <w:rPr>
          <w:rFonts w:ascii="標楷體" w:eastAsia="標楷體" w:hAnsi="標楷體"/>
          <w:bCs/>
          <w:spacing w:val="-10"/>
        </w:rPr>
        <w:t>日本原燃株式會社</w:t>
      </w:r>
      <w:r>
        <w:rPr>
          <w:rFonts w:ascii="標楷體" w:eastAsia="標楷體" w:hAnsi="標楷體" w:hint="eastAsia"/>
          <w:bCs/>
          <w:spacing w:val="-10"/>
        </w:rPr>
        <w:t>、</w:t>
      </w:r>
      <w:r w:rsidRPr="00767B66">
        <w:rPr>
          <w:rFonts w:ascii="標楷體" w:eastAsia="標楷體" w:hAnsi="標楷體"/>
          <w:bCs/>
          <w:spacing w:val="-10"/>
        </w:rPr>
        <w:t>日本</w:t>
      </w:r>
      <w:r w:rsidR="006A02C0">
        <w:rPr>
          <w:rFonts w:ascii="標楷體" w:eastAsia="標楷體" w:hAnsi="標楷體"/>
          <w:bCs/>
          <w:spacing w:val="-10"/>
        </w:rPr>
        <w:t>核能</w:t>
      </w:r>
      <w:r w:rsidRPr="00767B66">
        <w:rPr>
          <w:rFonts w:ascii="標楷體" w:eastAsia="標楷體" w:hAnsi="標楷體"/>
          <w:bCs/>
          <w:spacing w:val="-10"/>
        </w:rPr>
        <w:t>研究開發機構。</w:t>
      </w:r>
      <w:bookmarkEnd w:id="203"/>
    </w:p>
    <w:p w14:paraId="1B7582F9" w14:textId="77777777" w:rsidR="00767B66" w:rsidRDefault="00767B66" w:rsidP="00C37B15">
      <w:pPr>
        <w:spacing w:beforeLines="15" w:before="36" w:afterLines="15" w:after="36"/>
        <w:jc w:val="center"/>
        <w:outlineLvl w:val="1"/>
        <w:rPr>
          <w:rFonts w:ascii="標楷體" w:eastAsia="標楷體" w:hAnsi="標楷體"/>
          <w:bCs/>
          <w:spacing w:val="-10"/>
          <w:sz w:val="28"/>
          <w:szCs w:val="28"/>
        </w:rPr>
      </w:pPr>
    </w:p>
    <w:p w14:paraId="5729980A" w14:textId="77777777" w:rsidR="00CD2EFC" w:rsidRDefault="00CD2EFC" w:rsidP="00C37B15">
      <w:pPr>
        <w:spacing w:beforeLines="15" w:before="36" w:afterLines="15" w:after="36"/>
        <w:jc w:val="center"/>
        <w:outlineLvl w:val="1"/>
        <w:rPr>
          <w:rFonts w:ascii="標楷體" w:eastAsia="標楷體" w:hAnsi="標楷體"/>
          <w:bCs/>
          <w:spacing w:val="-10"/>
          <w:sz w:val="28"/>
          <w:szCs w:val="28"/>
        </w:rPr>
      </w:pPr>
    </w:p>
    <w:p w14:paraId="390783A2" w14:textId="77777777" w:rsidR="00500A58" w:rsidRDefault="00500A58" w:rsidP="00C37B15">
      <w:pPr>
        <w:spacing w:beforeLines="15" w:before="36" w:afterLines="15" w:after="36"/>
        <w:jc w:val="center"/>
        <w:outlineLvl w:val="1"/>
        <w:rPr>
          <w:rFonts w:ascii="標楷體" w:eastAsia="標楷體" w:hAnsi="標楷體"/>
          <w:bCs/>
          <w:spacing w:val="-10"/>
          <w:sz w:val="28"/>
          <w:szCs w:val="28"/>
        </w:rPr>
      </w:pPr>
    </w:p>
    <w:p w14:paraId="2042DFE9" w14:textId="6A788ACC" w:rsidR="00CD2EFC" w:rsidRDefault="00500A58" w:rsidP="009C4EE0">
      <w:pPr>
        <w:numPr>
          <w:ilvl w:val="2"/>
          <w:numId w:val="21"/>
        </w:numPr>
        <w:tabs>
          <w:tab w:val="left" w:pos="-1920"/>
        </w:tabs>
        <w:kinsoku w:val="0"/>
        <w:wordWrap w:val="0"/>
        <w:snapToGrid w:val="0"/>
        <w:spacing w:beforeLines="15" w:before="36" w:afterLines="15" w:after="36" w:line="440" w:lineRule="exact"/>
        <w:jc w:val="both"/>
        <w:outlineLvl w:val="2"/>
        <w:rPr>
          <w:rFonts w:ascii="標楷體" w:eastAsia="標楷體" w:hAnsi="標楷體"/>
          <w:bCs/>
          <w:sz w:val="28"/>
          <w:szCs w:val="36"/>
        </w:rPr>
      </w:pPr>
      <w:r w:rsidRPr="00500A58">
        <w:rPr>
          <w:rFonts w:ascii="標楷體" w:eastAsia="標楷體" w:hAnsi="標楷體" w:hint="eastAsia"/>
          <w:bCs/>
          <w:sz w:val="28"/>
          <w:szCs w:val="36"/>
        </w:rPr>
        <w:lastRenderedPageBreak/>
        <w:t>大洗研究所利用利用新一代高溫氣體反應器HTTR（高溫工程試驗研究反應器）、快速實驗反應器「</w:t>
      </w:r>
      <w:r w:rsidRPr="00500A58">
        <w:rPr>
          <w:rFonts w:ascii="標楷體" w:eastAsia="標楷體" w:hAnsi="標楷體"/>
          <w:bCs/>
          <w:sz w:val="28"/>
          <w:szCs w:val="36"/>
        </w:rPr>
        <w:t>Joyo</w:t>
      </w:r>
      <w:r w:rsidRPr="00500A58">
        <w:rPr>
          <w:rFonts w:ascii="標楷體" w:eastAsia="標楷體" w:hAnsi="標楷體" w:hint="eastAsia"/>
          <w:bCs/>
          <w:sz w:val="28"/>
          <w:szCs w:val="36"/>
        </w:rPr>
        <w:t>」等研究設施以及相關的輻照測試設施，根據國家政策，目前正在進行快速反應器、高溫氣冷反應器及熱利用技術的研究與開發。也規劃運用「</w:t>
      </w:r>
      <w:r w:rsidRPr="00500A58">
        <w:rPr>
          <w:rFonts w:ascii="標楷體" w:eastAsia="標楷體" w:hAnsi="標楷體"/>
          <w:bCs/>
          <w:sz w:val="28"/>
          <w:szCs w:val="36"/>
        </w:rPr>
        <w:t>Joyo</w:t>
      </w:r>
      <w:r w:rsidRPr="00500A58">
        <w:rPr>
          <w:rFonts w:ascii="標楷體" w:eastAsia="標楷體" w:hAnsi="標楷體" w:hint="eastAsia"/>
          <w:bCs/>
          <w:sz w:val="28"/>
          <w:szCs w:val="36"/>
        </w:rPr>
        <w:t>」實驗快速反應器的特性，進行醫用放射性同位素生產技術示範。並利用所累積的研究成果和研究設施，為福島第一核電廠退役的研究開發、設施的退役和放射性廢棄物管理以及國內外的人力資源開發做出貢獻。</w:t>
      </w:r>
    </w:p>
    <w:p w14:paraId="5D82582A" w14:textId="6C7D2D6E" w:rsidR="00500A58" w:rsidRDefault="00500A58" w:rsidP="009C4EE0">
      <w:pPr>
        <w:numPr>
          <w:ilvl w:val="2"/>
          <w:numId w:val="21"/>
        </w:numPr>
        <w:tabs>
          <w:tab w:val="left" w:pos="-1920"/>
        </w:tabs>
        <w:kinsoku w:val="0"/>
        <w:wordWrap w:val="0"/>
        <w:snapToGrid w:val="0"/>
        <w:spacing w:beforeLines="15" w:before="36" w:afterLines="15" w:after="36" w:line="440" w:lineRule="exact"/>
        <w:jc w:val="both"/>
        <w:outlineLvl w:val="2"/>
        <w:rPr>
          <w:rFonts w:ascii="標楷體" w:eastAsia="標楷體" w:hAnsi="標楷體"/>
          <w:bCs/>
          <w:sz w:val="28"/>
          <w:szCs w:val="36"/>
        </w:rPr>
      </w:pPr>
      <w:r w:rsidRPr="00500A58">
        <w:rPr>
          <w:rFonts w:ascii="標楷體" w:eastAsia="標楷體" w:hAnsi="標楷體" w:hint="eastAsia"/>
          <w:bCs/>
          <w:sz w:val="28"/>
          <w:szCs w:val="36"/>
        </w:rPr>
        <w:t>核能人才育成中心（NuHRDeC）</w:t>
      </w:r>
    </w:p>
    <w:p w14:paraId="4FDA4B14" w14:textId="67C6B7AA" w:rsidR="00500A58" w:rsidRPr="00500A58" w:rsidRDefault="00500A58" w:rsidP="009C4EE0">
      <w:pPr>
        <w:pStyle w:val="af4"/>
        <w:numPr>
          <w:ilvl w:val="3"/>
          <w:numId w:val="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500A58">
        <w:rPr>
          <w:rFonts w:ascii="標楷體" w:eastAsia="標楷體" w:hAnsi="標楷體" w:hint="eastAsia"/>
          <w:bCs/>
          <w:sz w:val="28"/>
          <w:szCs w:val="36"/>
        </w:rPr>
        <w:t>1956年日本原子能研究所（JAERI）成立後，核能人才育成中心（</w:t>
      </w:r>
      <w:r w:rsidRPr="00500A58">
        <w:rPr>
          <w:rFonts w:ascii="標楷體" w:eastAsia="標楷體" w:hAnsi="標楷體"/>
          <w:bCs/>
          <w:sz w:val="28"/>
          <w:szCs w:val="36"/>
        </w:rPr>
        <w:t>Nuclear Human Resource Development Center,</w:t>
      </w:r>
      <w:r w:rsidRPr="00500A58">
        <w:rPr>
          <w:rFonts w:ascii="標楷體" w:eastAsia="標楷體" w:hAnsi="標楷體" w:hint="eastAsia"/>
          <w:bCs/>
          <w:sz w:val="28"/>
          <w:szCs w:val="36"/>
        </w:rPr>
        <w:t xml:space="preserve"> NuHRDeC）於1958年以人力資源發展為目標之部門成立；日本原子力研究開發機構（JAEA）是由JAERI和核燃料循環發展組織（</w:t>
      </w:r>
      <w:r w:rsidRPr="00500A58">
        <w:rPr>
          <w:rFonts w:ascii="標楷體" w:eastAsia="標楷體" w:hAnsi="標楷體"/>
          <w:bCs/>
          <w:sz w:val="28"/>
          <w:szCs w:val="36"/>
        </w:rPr>
        <w:t>Japan Nuclear Cycle Development Institute</w:t>
      </w:r>
      <w:r w:rsidRPr="00500A58">
        <w:rPr>
          <w:rFonts w:ascii="標楷體" w:eastAsia="標楷體" w:hAnsi="標楷體" w:hint="eastAsia"/>
          <w:bCs/>
          <w:sz w:val="28"/>
          <w:szCs w:val="36"/>
        </w:rPr>
        <w:t xml:space="preserve"> </w:t>
      </w:r>
      <w:r w:rsidRPr="00500A58">
        <w:rPr>
          <w:rFonts w:ascii="標楷體" w:eastAsia="標楷體" w:hAnsi="標楷體"/>
          <w:bCs/>
          <w:sz w:val="28"/>
          <w:szCs w:val="36"/>
        </w:rPr>
        <w:t xml:space="preserve">, </w:t>
      </w:r>
      <w:r w:rsidRPr="00500A58">
        <w:rPr>
          <w:rFonts w:ascii="標楷體" w:eastAsia="標楷體" w:hAnsi="標楷體" w:hint="eastAsia"/>
          <w:bCs/>
          <w:sz w:val="28"/>
          <w:szCs w:val="36"/>
        </w:rPr>
        <w:t>JNC）於2005年合併而成，明確將核能人力資源開發作為其重要使命之一；原子力人材育成中心的人力資源發展行動，係據</w:t>
      </w:r>
      <w:r w:rsidR="00713BCB">
        <w:rPr>
          <w:rFonts w:ascii="標楷體" w:eastAsia="標楷體" w:hAnsi="標楷體" w:hint="eastAsia"/>
          <w:bCs/>
          <w:sz w:val="28"/>
          <w:szCs w:val="36"/>
        </w:rPr>
        <w:t>日本</w:t>
      </w:r>
      <w:r w:rsidRPr="00500A58">
        <w:rPr>
          <w:rFonts w:ascii="標楷體" w:eastAsia="標楷體" w:hAnsi="標楷體" w:hint="eastAsia"/>
          <w:bCs/>
          <w:sz w:val="28"/>
          <w:szCs w:val="36"/>
        </w:rPr>
        <w:t>政府政策進行，旨在開展全面的核能教育和培訓計</w:t>
      </w:r>
      <w:r>
        <w:rPr>
          <w:rFonts w:ascii="標楷體" w:eastAsia="標楷體" w:hAnsi="標楷體" w:hint="eastAsia"/>
          <w:bCs/>
          <w:sz w:val="28"/>
          <w:szCs w:val="36"/>
        </w:rPr>
        <w:t>畫</w:t>
      </w:r>
      <w:r w:rsidRPr="00500A58">
        <w:rPr>
          <w:rFonts w:ascii="標楷體" w:eastAsia="標楷體" w:hAnsi="標楷體" w:hint="eastAsia"/>
          <w:bCs/>
          <w:sz w:val="28"/>
          <w:szCs w:val="36"/>
        </w:rPr>
        <w:t>。</w:t>
      </w:r>
    </w:p>
    <w:p w14:paraId="047F2F1D" w14:textId="4EC30EDC" w:rsidR="00500A58" w:rsidRDefault="00500A58" w:rsidP="009C4EE0">
      <w:pPr>
        <w:pStyle w:val="af4"/>
        <w:numPr>
          <w:ilvl w:val="3"/>
          <w:numId w:val="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500A58">
        <w:rPr>
          <w:rFonts w:ascii="標楷體" w:eastAsia="標楷體" w:hAnsi="標楷體" w:hint="eastAsia"/>
          <w:bCs/>
          <w:sz w:val="28"/>
          <w:szCs w:val="36"/>
        </w:rPr>
        <w:t>原子力人材育成中心主要任務包括：（1）國家核能工程師教育與培訓（核能工程師、輻射工程師、中央及地方政府、工業和研究機構之人員技術培訓）。（2）與核能專業學校、大學及各級學校合作。（3）國際培訓與合作（ITP、ITC、FTC、AITC、</w:t>
      </w:r>
      <w:r w:rsidRPr="00500A58">
        <w:rPr>
          <w:rFonts w:ascii="標楷體" w:eastAsia="標楷體" w:hAnsi="標楷體"/>
          <w:bCs/>
          <w:sz w:val="28"/>
          <w:szCs w:val="36"/>
        </w:rPr>
        <w:t>Seminar</w:t>
      </w:r>
      <w:r>
        <w:rPr>
          <w:rStyle w:val="aff9"/>
          <w:rFonts w:ascii="標楷體" w:eastAsia="標楷體" w:hAnsi="標楷體"/>
          <w:bCs/>
          <w:sz w:val="28"/>
          <w:szCs w:val="36"/>
        </w:rPr>
        <w:footnoteReference w:id="6"/>
      </w:r>
      <w:r w:rsidRPr="00500A58">
        <w:rPr>
          <w:rFonts w:ascii="標楷體" w:eastAsia="標楷體" w:hAnsi="標楷體" w:hint="eastAsia"/>
          <w:bCs/>
          <w:sz w:val="28"/>
          <w:szCs w:val="36"/>
        </w:rPr>
        <w:t>）。（4）另每年出版「</w:t>
      </w:r>
      <w:r w:rsidRPr="00500A58">
        <w:rPr>
          <w:rFonts w:ascii="標楷體" w:eastAsia="標楷體" w:hAnsi="標楷體"/>
          <w:bCs/>
          <w:sz w:val="28"/>
          <w:szCs w:val="36"/>
        </w:rPr>
        <w:t>ITP Newsletter</w:t>
      </w:r>
      <w:r w:rsidRPr="00500A58">
        <w:rPr>
          <w:rFonts w:ascii="標楷體" w:eastAsia="標楷體" w:hAnsi="標楷體" w:hint="eastAsia"/>
          <w:bCs/>
          <w:sz w:val="28"/>
          <w:szCs w:val="36"/>
        </w:rPr>
        <w:t>」（</w:t>
      </w:r>
      <w:r w:rsidRPr="00500A58">
        <w:rPr>
          <w:rFonts w:ascii="標楷體" w:eastAsia="標楷體" w:hAnsi="標楷體"/>
          <w:bCs/>
          <w:sz w:val="28"/>
          <w:szCs w:val="36"/>
        </w:rPr>
        <w:t>Instructor Training Program Newsletter</w:t>
      </w:r>
      <w:r w:rsidRPr="00500A58">
        <w:rPr>
          <w:rFonts w:ascii="標楷體" w:eastAsia="標楷體" w:hAnsi="標楷體" w:hint="eastAsia"/>
          <w:bCs/>
          <w:sz w:val="28"/>
          <w:szCs w:val="36"/>
        </w:rPr>
        <w:t>）</w:t>
      </w:r>
      <w:r>
        <w:rPr>
          <w:rFonts w:ascii="標楷體" w:eastAsia="標楷體" w:hAnsi="標楷體" w:hint="eastAsia"/>
          <w:bCs/>
          <w:sz w:val="28"/>
          <w:szCs w:val="36"/>
        </w:rPr>
        <w:t>。</w:t>
      </w:r>
    </w:p>
    <w:p w14:paraId="2B9770F6" w14:textId="77777777" w:rsidR="00D204F6" w:rsidRPr="00260DE3" w:rsidRDefault="00D204F6" w:rsidP="009C4EE0">
      <w:pPr>
        <w:pStyle w:val="af4"/>
        <w:numPr>
          <w:ilvl w:val="3"/>
          <w:numId w:val="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260DE3">
        <w:rPr>
          <w:rFonts w:ascii="標楷體" w:eastAsia="標楷體" w:hAnsi="標楷體"/>
          <w:bCs/>
          <w:sz w:val="28"/>
          <w:szCs w:val="36"/>
        </w:rPr>
        <w:t>演練等方式，提升其在緊急狀況下的判斷與應變能力。建立常態化的培訓機制，確保人員對安全操作程序、緊急應變措施的熟悉度。同時，應鼓勵跨部門的協同合作，以提升整體應變能力。</w:t>
      </w:r>
    </w:p>
    <w:p w14:paraId="3179E01C" w14:textId="77777777" w:rsidR="00D204F6" w:rsidRPr="00D204F6" w:rsidRDefault="00D204F6" w:rsidP="00D204F6">
      <w:pPr>
        <w:tabs>
          <w:tab w:val="left" w:pos="-1920"/>
        </w:tabs>
        <w:snapToGrid w:val="0"/>
        <w:spacing w:beforeLines="15" w:before="36" w:afterLines="15" w:after="36" w:line="440" w:lineRule="exact"/>
        <w:ind w:left="852"/>
        <w:jc w:val="both"/>
        <w:outlineLvl w:val="2"/>
        <w:rPr>
          <w:rFonts w:ascii="標楷體" w:eastAsia="標楷體" w:hAnsi="標楷體"/>
          <w:bCs/>
          <w:sz w:val="28"/>
          <w:szCs w:val="36"/>
        </w:rPr>
      </w:pPr>
    </w:p>
    <w:p w14:paraId="0FB2111D" w14:textId="3DEF0508" w:rsidR="00713BCB" w:rsidRPr="00713BCB" w:rsidRDefault="00713BCB" w:rsidP="00713BCB">
      <w:pPr>
        <w:tabs>
          <w:tab w:val="left" w:pos="-1920"/>
        </w:tabs>
        <w:snapToGrid w:val="0"/>
        <w:spacing w:beforeLines="15" w:before="36" w:afterLines="15" w:after="36"/>
        <w:jc w:val="center"/>
        <w:outlineLvl w:val="2"/>
        <w:rPr>
          <w:rFonts w:ascii="標楷體" w:eastAsia="標楷體" w:hAnsi="標楷體"/>
          <w:bCs/>
          <w:sz w:val="28"/>
          <w:szCs w:val="36"/>
        </w:rPr>
      </w:pPr>
      <w:r w:rsidRPr="00CC4C38">
        <w:rPr>
          <w:rFonts w:ascii="標楷體" w:eastAsia="標楷體" w:hAnsi="標楷體"/>
          <w:noProof/>
        </w:rPr>
        <w:lastRenderedPageBreak/>
        <w:drawing>
          <wp:inline distT="0" distB="0" distL="0" distR="0" wp14:anchorId="32B7612C" wp14:editId="4D89CE38">
            <wp:extent cx="5688786" cy="3640822"/>
            <wp:effectExtent l="0" t="0" r="7620" b="0"/>
            <wp:docPr id="1" name="圖片 1" descr="Framework of Japan Nuclear Human Resource Development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amework of Japan Nuclear Human Resource Development Network"/>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88121" cy="3704396"/>
                    </a:xfrm>
                    <a:prstGeom prst="rect">
                      <a:avLst/>
                    </a:prstGeom>
                    <a:noFill/>
                    <a:ln>
                      <a:noFill/>
                    </a:ln>
                  </pic:spPr>
                </pic:pic>
              </a:graphicData>
            </a:graphic>
          </wp:inline>
        </w:drawing>
      </w:r>
    </w:p>
    <w:p w14:paraId="5FA5CF41" w14:textId="77777777" w:rsidR="00713BCB" w:rsidRPr="00713BCB" w:rsidRDefault="00713BCB" w:rsidP="00713BCB">
      <w:pPr>
        <w:pStyle w:val="a1"/>
      </w:pPr>
      <w:bookmarkStart w:id="204" w:name="_Toc185605735"/>
      <w:bookmarkStart w:id="205" w:name="_Toc186029854"/>
      <w:r w:rsidRPr="00713BCB">
        <w:rPr>
          <w:rFonts w:hint="eastAsia"/>
        </w:rPr>
        <w:t>日本核能人力資源發展架構及網絡</w:t>
      </w:r>
      <w:bookmarkEnd w:id="204"/>
      <w:bookmarkEnd w:id="205"/>
    </w:p>
    <w:p w14:paraId="0BBB59CA" w14:textId="3B71A9FF" w:rsidR="00713BCB" w:rsidRDefault="00713BCB" w:rsidP="00713BCB">
      <w:pPr>
        <w:tabs>
          <w:tab w:val="left" w:pos="-1920"/>
        </w:tabs>
        <w:snapToGrid w:val="0"/>
        <w:spacing w:beforeLines="15" w:before="36" w:afterLines="15" w:after="36" w:line="440" w:lineRule="exact"/>
        <w:jc w:val="both"/>
        <w:outlineLvl w:val="2"/>
        <w:rPr>
          <w:rFonts w:ascii="標楷體" w:eastAsia="標楷體" w:hAnsi="標楷體"/>
          <w:bCs/>
          <w:sz w:val="28"/>
          <w:szCs w:val="36"/>
        </w:rPr>
      </w:pPr>
      <w:r>
        <w:rPr>
          <w:rFonts w:ascii="標楷體" w:eastAsia="標楷體" w:hAnsi="標楷體" w:hint="eastAsia"/>
          <w:bCs/>
          <w:sz w:val="28"/>
          <w:szCs w:val="36"/>
        </w:rPr>
        <w:t>備註：</w:t>
      </w:r>
    </w:p>
    <w:p w14:paraId="3FB527FB" w14:textId="75F679C6" w:rsidR="00713BCB" w:rsidRDefault="00713BCB" w:rsidP="00713BCB">
      <w:pPr>
        <w:tabs>
          <w:tab w:val="num" w:pos="720"/>
        </w:tabs>
        <w:spacing w:afterLines="15" w:after="36" w:line="400" w:lineRule="exact"/>
        <w:ind w:leftChars="1" w:left="332" w:hangingChars="150" w:hanging="330"/>
        <w:jc w:val="both"/>
        <w:outlineLvl w:val="1"/>
        <w:rPr>
          <w:rFonts w:ascii="標楷體" w:eastAsia="標楷體" w:hAnsi="標楷體"/>
          <w:bCs/>
          <w:spacing w:val="-10"/>
        </w:rPr>
      </w:pPr>
      <w:r>
        <w:rPr>
          <w:rFonts w:ascii="標楷體" w:eastAsia="標楷體" w:hAnsi="標楷體" w:hint="eastAsia"/>
          <w:bCs/>
          <w:spacing w:val="-10"/>
        </w:rPr>
        <w:t>1、</w:t>
      </w:r>
      <w:r w:rsidRPr="00713BCB">
        <w:rPr>
          <w:rFonts w:ascii="標楷體" w:eastAsia="標楷體" w:hAnsi="標楷體" w:hint="eastAsia"/>
          <w:bCs/>
          <w:spacing w:val="-10"/>
        </w:rPr>
        <w:t>日本政府支持下，由JAEA核能人力資源發展中心和JAIF國際協力中心作為核心，串聯國內大學、研究機構、公共組織、產業界以及國際組織，共同組成一個完整的核能人力資源發展網絡。這個網絡的目標是透過教育與訓練，培育國內外的核能專業人才，並協助引進核電的國家建立相關的人力資源</w:t>
      </w:r>
      <w:r>
        <w:rPr>
          <w:rFonts w:ascii="標楷體" w:eastAsia="標楷體" w:hAnsi="標楷體" w:hint="eastAsia"/>
          <w:bCs/>
          <w:spacing w:val="-10"/>
        </w:rPr>
        <w:t>。</w:t>
      </w:r>
    </w:p>
    <w:p w14:paraId="39771ACC" w14:textId="7A147FF4" w:rsidR="00713BCB" w:rsidRPr="00713BCB" w:rsidRDefault="00713BCB" w:rsidP="00713BCB">
      <w:pPr>
        <w:tabs>
          <w:tab w:val="num" w:pos="720"/>
        </w:tabs>
        <w:spacing w:afterLines="15" w:after="36" w:line="400" w:lineRule="exact"/>
        <w:ind w:leftChars="1" w:left="332" w:hangingChars="150" w:hanging="330"/>
        <w:jc w:val="both"/>
        <w:outlineLvl w:val="1"/>
        <w:rPr>
          <w:rFonts w:ascii="標楷體" w:eastAsia="標楷體" w:hAnsi="標楷體"/>
          <w:bCs/>
          <w:spacing w:val="-10"/>
        </w:rPr>
      </w:pPr>
      <w:r>
        <w:rPr>
          <w:rFonts w:ascii="標楷體" w:eastAsia="標楷體" w:hAnsi="標楷體" w:hint="eastAsia"/>
          <w:bCs/>
          <w:spacing w:val="-10"/>
        </w:rPr>
        <w:t>2、第1層</w:t>
      </w:r>
      <w:r w:rsidRPr="00713BCB">
        <w:rPr>
          <w:rFonts w:ascii="標楷體" w:eastAsia="標楷體" w:hAnsi="標楷體"/>
          <w:bCs/>
          <w:spacing w:val="-10"/>
        </w:rPr>
        <w:t>日本政府對整體架構提供支持 (Support)。第</w:t>
      </w:r>
      <w:r>
        <w:rPr>
          <w:rFonts w:ascii="標楷體" w:eastAsia="標楷體" w:hAnsi="標楷體" w:hint="eastAsia"/>
          <w:bCs/>
          <w:spacing w:val="-10"/>
        </w:rPr>
        <w:t>2</w:t>
      </w:r>
      <w:r w:rsidRPr="00713BCB">
        <w:rPr>
          <w:rFonts w:ascii="標楷體" w:eastAsia="標楷體" w:hAnsi="標楷體"/>
          <w:bCs/>
          <w:spacing w:val="-10"/>
        </w:rPr>
        <w:t>層核心機構</w:t>
      </w:r>
      <w:r>
        <w:rPr>
          <w:rFonts w:ascii="標楷體" w:eastAsia="標楷體" w:hAnsi="標楷體" w:hint="eastAsia"/>
          <w:bCs/>
          <w:spacing w:val="-10"/>
        </w:rPr>
        <w:t xml:space="preserve">為a; dm </w:t>
      </w:r>
      <w:r w:rsidRPr="00713BCB">
        <w:rPr>
          <w:rFonts w:ascii="標楷體" w:eastAsia="標楷體" w:hAnsi="標楷體"/>
          <w:bCs/>
          <w:spacing w:val="-10"/>
        </w:rPr>
        <w:t>核能人力資源發展中心</w:t>
      </w:r>
      <w:r>
        <w:rPr>
          <w:rFonts w:ascii="標楷體" w:eastAsia="標楷體" w:hAnsi="標楷體" w:hint="eastAsia"/>
          <w:bCs/>
          <w:spacing w:val="-10"/>
        </w:rPr>
        <w:t>(</w:t>
      </w:r>
      <w:r w:rsidRPr="00713BCB">
        <w:rPr>
          <w:rFonts w:ascii="標楷體" w:eastAsia="標楷體" w:hAnsi="標楷體"/>
          <w:bCs/>
          <w:spacing w:val="-10"/>
        </w:rPr>
        <w:t>JAEA Nuclear HRD Center)負責核能人力資源的培育與發展。</w:t>
      </w:r>
      <w:r>
        <w:rPr>
          <w:rFonts w:ascii="標楷體" w:eastAsia="標楷體" w:hAnsi="標楷體" w:hint="eastAsia"/>
          <w:bCs/>
          <w:spacing w:val="-10"/>
        </w:rPr>
        <w:t>及</w:t>
      </w:r>
      <w:r w:rsidRPr="00713BCB">
        <w:rPr>
          <w:rFonts w:ascii="標楷體" w:eastAsia="標楷體" w:hAnsi="標楷體"/>
          <w:bCs/>
          <w:spacing w:val="-10"/>
        </w:rPr>
        <w:t>日本</w:t>
      </w:r>
      <w:r>
        <w:rPr>
          <w:rFonts w:ascii="標楷體" w:eastAsia="標楷體" w:hAnsi="標楷體" w:hint="eastAsia"/>
          <w:bCs/>
          <w:spacing w:val="-10"/>
        </w:rPr>
        <w:t>核能</w:t>
      </w:r>
      <w:r w:rsidRPr="00713BCB">
        <w:rPr>
          <w:rFonts w:ascii="標楷體" w:eastAsia="標楷體" w:hAnsi="標楷體"/>
          <w:bCs/>
          <w:spacing w:val="-10"/>
        </w:rPr>
        <w:t>產業協會國際協力中心</w:t>
      </w:r>
      <w:r>
        <w:rPr>
          <w:rFonts w:ascii="標楷體" w:eastAsia="標楷體" w:hAnsi="標楷體" w:hint="eastAsia"/>
          <w:bCs/>
          <w:spacing w:val="-10"/>
        </w:rPr>
        <w:t>(</w:t>
      </w:r>
      <w:r w:rsidRPr="00713BCB">
        <w:rPr>
          <w:rFonts w:ascii="標楷體" w:eastAsia="標楷體" w:hAnsi="標楷體"/>
          <w:bCs/>
          <w:spacing w:val="-10"/>
        </w:rPr>
        <w:t>JAIF/ JAIF International Cooperation Center)負責產業界的協調與國際合作。</w:t>
      </w:r>
    </w:p>
    <w:p w14:paraId="5110A710" w14:textId="73941E6B" w:rsidR="00D204F6" w:rsidRDefault="00D204F6" w:rsidP="00D204F6">
      <w:pPr>
        <w:tabs>
          <w:tab w:val="num" w:pos="720"/>
        </w:tabs>
        <w:spacing w:afterLines="15" w:after="36" w:line="400" w:lineRule="exact"/>
        <w:ind w:leftChars="1" w:left="332" w:hangingChars="150" w:hanging="330"/>
        <w:jc w:val="both"/>
        <w:outlineLvl w:val="1"/>
        <w:rPr>
          <w:rFonts w:ascii="標楷體" w:eastAsia="標楷體" w:hAnsi="標楷體"/>
          <w:bCs/>
          <w:spacing w:val="-10"/>
        </w:rPr>
      </w:pPr>
      <w:r>
        <w:rPr>
          <w:rFonts w:ascii="標楷體" w:eastAsia="標楷體" w:hAnsi="標楷體" w:hint="eastAsia"/>
          <w:bCs/>
          <w:spacing w:val="-10"/>
        </w:rPr>
        <w:t>3、</w:t>
      </w:r>
      <w:r w:rsidRPr="00D204F6">
        <w:rPr>
          <w:rFonts w:ascii="標楷體" w:eastAsia="標楷體" w:hAnsi="標楷體"/>
          <w:bCs/>
          <w:spacing w:val="-10"/>
        </w:rPr>
        <w:t>第</w:t>
      </w:r>
      <w:r>
        <w:rPr>
          <w:rFonts w:ascii="標楷體" w:eastAsia="標楷體" w:hAnsi="標楷體" w:hint="eastAsia"/>
          <w:bCs/>
          <w:spacing w:val="-10"/>
        </w:rPr>
        <w:t>3</w:t>
      </w:r>
      <w:r w:rsidRPr="00D204F6">
        <w:rPr>
          <w:rFonts w:ascii="標楷體" w:eastAsia="標楷體" w:hAnsi="標楷體"/>
          <w:bCs/>
          <w:spacing w:val="-10"/>
        </w:rPr>
        <w:t>層</w:t>
      </w:r>
      <w:r>
        <w:rPr>
          <w:rFonts w:ascii="標楷體" w:eastAsia="標楷體" w:hAnsi="標楷體" w:hint="eastAsia"/>
          <w:bCs/>
          <w:spacing w:val="-10"/>
        </w:rPr>
        <w:t>為</w:t>
      </w:r>
      <w:r w:rsidRPr="00D204F6">
        <w:rPr>
          <w:rFonts w:ascii="標楷體" w:eastAsia="標楷體" w:hAnsi="標楷體"/>
          <w:bCs/>
          <w:spacing w:val="-10"/>
        </w:rPr>
        <w:t>日本核能人力資源發展網絡 (Japan Nuclear HRD Network)包含：Universities, Colleges (大學、學院)</w:t>
      </w:r>
      <w:r>
        <w:rPr>
          <w:rFonts w:ascii="標楷體" w:eastAsia="標楷體" w:hAnsi="標楷體" w:hint="eastAsia"/>
          <w:bCs/>
          <w:spacing w:val="-10"/>
        </w:rPr>
        <w:t>、</w:t>
      </w:r>
      <w:r w:rsidRPr="00D204F6">
        <w:rPr>
          <w:rFonts w:ascii="標楷體" w:eastAsia="標楷體" w:hAnsi="標楷體"/>
          <w:bCs/>
          <w:spacing w:val="-10"/>
        </w:rPr>
        <w:t>R&amp;D Organizations, Academic Societies (研發機構、學術團體)</w:t>
      </w:r>
      <w:r>
        <w:rPr>
          <w:rFonts w:ascii="標楷體" w:eastAsia="標楷體" w:hAnsi="標楷體" w:hint="eastAsia"/>
          <w:bCs/>
          <w:spacing w:val="-10"/>
        </w:rPr>
        <w:t>、</w:t>
      </w:r>
      <w:r w:rsidRPr="00D204F6">
        <w:rPr>
          <w:rFonts w:ascii="標楷體" w:eastAsia="標楷體" w:hAnsi="標楷體"/>
          <w:bCs/>
          <w:spacing w:val="-10"/>
        </w:rPr>
        <w:t>Public Organizations, Regional Hub (公共組織、地區中心)</w:t>
      </w:r>
      <w:r>
        <w:rPr>
          <w:rFonts w:ascii="標楷體" w:eastAsia="標楷體" w:hAnsi="標楷體" w:hint="eastAsia"/>
          <w:bCs/>
          <w:spacing w:val="-10"/>
        </w:rPr>
        <w:t>、</w:t>
      </w:r>
      <w:r w:rsidRPr="00D204F6">
        <w:rPr>
          <w:rFonts w:ascii="標楷體" w:eastAsia="標楷體" w:hAnsi="標楷體"/>
          <w:bCs/>
          <w:spacing w:val="-10"/>
        </w:rPr>
        <w:t>Industries (產業)</w:t>
      </w:r>
      <w:r>
        <w:rPr>
          <w:rFonts w:ascii="標楷體" w:eastAsia="標楷體" w:hAnsi="標楷體" w:hint="eastAsia"/>
          <w:bCs/>
          <w:spacing w:val="-10"/>
        </w:rPr>
        <w:t>。</w:t>
      </w:r>
      <w:r w:rsidRPr="00D204F6">
        <w:rPr>
          <w:rFonts w:ascii="標楷體" w:eastAsia="標楷體" w:hAnsi="標楷體"/>
          <w:bCs/>
          <w:spacing w:val="-10"/>
        </w:rPr>
        <w:t>第</w:t>
      </w:r>
      <w:r>
        <w:rPr>
          <w:rFonts w:ascii="標楷體" w:eastAsia="標楷體" w:hAnsi="標楷體" w:hint="eastAsia"/>
          <w:bCs/>
          <w:spacing w:val="-10"/>
        </w:rPr>
        <w:t>4</w:t>
      </w:r>
      <w:r w:rsidRPr="00D204F6">
        <w:rPr>
          <w:rFonts w:ascii="標楷體" w:eastAsia="標楷體" w:hAnsi="標楷體"/>
          <w:bCs/>
          <w:spacing w:val="-10"/>
        </w:rPr>
        <w:t>層對象與目標</w:t>
      </w:r>
      <w:r>
        <w:rPr>
          <w:rFonts w:ascii="標楷體" w:eastAsia="標楷體" w:hAnsi="標楷體" w:hint="eastAsia"/>
          <w:bCs/>
          <w:spacing w:val="-10"/>
        </w:rPr>
        <w:t>為</w:t>
      </w:r>
      <w:r w:rsidRPr="00D204F6">
        <w:rPr>
          <w:rFonts w:ascii="標楷體" w:eastAsia="標楷體" w:hAnsi="標楷體"/>
          <w:bCs/>
          <w:spacing w:val="-10"/>
        </w:rPr>
        <w:t>International Organizations, ENEN, WNU, IAEA, etc. (國際組織，如歐洲核能教育網、世界核能大學、國際原子能機構等)：與這些國際組織合作，推動核能教育與訓練。Nuclear Power Introducing Countries (引進核電的國家)：協助這些國家建立核能人力資源。透過 E&amp;T (教育與訓練)，針對學生、年輕研究員、外籍人士等(Students, Young researchers, Foreigners, etc.)進行培育</w:t>
      </w:r>
      <w:r>
        <w:rPr>
          <w:rFonts w:ascii="標楷體" w:eastAsia="標楷體" w:hAnsi="標楷體" w:hint="eastAsia"/>
          <w:bCs/>
          <w:spacing w:val="-10"/>
        </w:rPr>
        <w:t>。</w:t>
      </w:r>
    </w:p>
    <w:p w14:paraId="7992833F" w14:textId="77777777" w:rsidR="00D204F6" w:rsidRDefault="00D204F6">
      <w:pPr>
        <w:widowControl/>
        <w:rPr>
          <w:rFonts w:ascii="標楷體" w:eastAsia="標楷體" w:hAnsi="標楷體"/>
          <w:bCs/>
          <w:sz w:val="28"/>
          <w:szCs w:val="36"/>
        </w:rPr>
      </w:pPr>
      <w:r>
        <w:rPr>
          <w:rFonts w:ascii="標楷體" w:eastAsia="標楷體" w:hAnsi="標楷體"/>
          <w:bCs/>
          <w:sz w:val="28"/>
          <w:szCs w:val="36"/>
        </w:rPr>
        <w:br w:type="page"/>
      </w:r>
    </w:p>
    <w:p w14:paraId="37559033" w14:textId="0979C0EE" w:rsidR="00D204F6" w:rsidRDefault="00D204F6" w:rsidP="009C4EE0">
      <w:pPr>
        <w:numPr>
          <w:ilvl w:val="2"/>
          <w:numId w:val="21"/>
        </w:numPr>
        <w:tabs>
          <w:tab w:val="left" w:pos="-1920"/>
        </w:tabs>
        <w:kinsoku w:val="0"/>
        <w:wordWrap w:val="0"/>
        <w:snapToGrid w:val="0"/>
        <w:spacing w:beforeLines="15" w:before="36" w:afterLines="15" w:after="36" w:line="440" w:lineRule="exact"/>
        <w:jc w:val="both"/>
        <w:outlineLvl w:val="2"/>
        <w:rPr>
          <w:rFonts w:ascii="標楷體" w:eastAsia="標楷體" w:hAnsi="標楷體"/>
          <w:bCs/>
          <w:sz w:val="28"/>
          <w:szCs w:val="36"/>
        </w:rPr>
      </w:pPr>
      <w:r w:rsidRPr="00D204F6">
        <w:rPr>
          <w:rFonts w:ascii="標楷體" w:eastAsia="標楷體" w:hAnsi="標楷體" w:hint="eastAsia"/>
          <w:bCs/>
          <w:sz w:val="28"/>
          <w:szCs w:val="36"/>
        </w:rPr>
        <w:lastRenderedPageBreak/>
        <w:t>日本核能人才培育網絡」（</w:t>
      </w:r>
      <w:r w:rsidRPr="00D204F6">
        <w:rPr>
          <w:rFonts w:ascii="標楷體" w:eastAsia="標楷體" w:hAnsi="標楷體"/>
          <w:bCs/>
          <w:sz w:val="28"/>
          <w:szCs w:val="36"/>
        </w:rPr>
        <w:t>JN-HRD Net</w:t>
      </w:r>
      <w:r w:rsidRPr="00D204F6">
        <w:rPr>
          <w:rFonts w:ascii="標楷體" w:eastAsia="標楷體" w:hAnsi="標楷體" w:hint="eastAsia"/>
          <w:bCs/>
          <w:sz w:val="28"/>
          <w:szCs w:val="36"/>
        </w:rPr>
        <w:t>）</w:t>
      </w:r>
    </w:p>
    <w:p w14:paraId="28174546" w14:textId="7668CD56" w:rsidR="00D204F6" w:rsidRDefault="00D204F6" w:rsidP="009C4EE0">
      <w:pPr>
        <w:pStyle w:val="af4"/>
        <w:numPr>
          <w:ilvl w:val="3"/>
          <w:numId w:val="23"/>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D204F6">
        <w:rPr>
          <w:rFonts w:ascii="標楷體" w:eastAsia="標楷體" w:hAnsi="標楷體" w:hint="eastAsia"/>
          <w:bCs/>
          <w:sz w:val="28"/>
          <w:szCs w:val="36"/>
        </w:rPr>
        <w:t>「日本核能人才培育網絡」（Japan Nuclear Human Resource Development Network, JN-HRD Net）</w:t>
      </w:r>
      <w:r w:rsidRPr="00D204F6">
        <w:rPr>
          <w:rFonts w:ascii="標楷體" w:eastAsia="標楷體" w:hAnsi="標楷體"/>
          <w:bCs/>
          <w:sz w:val="28"/>
          <w:szCs w:val="36"/>
        </w:rPr>
        <w:t>2010</w:t>
      </w:r>
      <w:r w:rsidRPr="00D204F6">
        <w:rPr>
          <w:rFonts w:ascii="標楷體" w:eastAsia="標楷體" w:hAnsi="標楷體" w:hint="eastAsia"/>
          <w:bCs/>
          <w:sz w:val="28"/>
          <w:szCs w:val="36"/>
        </w:rPr>
        <w:t>年</w:t>
      </w:r>
      <w:r w:rsidRPr="00D204F6">
        <w:rPr>
          <w:rFonts w:ascii="標楷體" w:eastAsia="標楷體" w:hAnsi="標楷體"/>
          <w:bCs/>
          <w:sz w:val="28"/>
          <w:szCs w:val="36"/>
        </w:rPr>
        <w:t>11</w:t>
      </w:r>
      <w:r w:rsidRPr="00D204F6">
        <w:rPr>
          <w:rFonts w:ascii="標楷體" w:eastAsia="標楷體" w:hAnsi="標楷體" w:hint="eastAsia"/>
          <w:bCs/>
          <w:sz w:val="28"/>
          <w:szCs w:val="36"/>
        </w:rPr>
        <w:t>月成立，受能源穩定供應問題、全球暖化等環境問題等因素影響，全球恢復與擴大核能的動能更為明顯。在此情況下，迫切需要開發人力資源，以滿足國內外新建核設施日益增長的需求。「核能人才培養網絡（JN-HRD Net）」的目的是確保支援日本未來核能領域的人才。對於核能領域的年輕研究人員和工程師來說，這些活動應該有助於培養他們具有國際視野的高素質，並為世界服務。此外，與國際原子能總署（IAEA）合作，進行核電廠引進國的人力資源發展，並於2017年8月與國際原子能總署（I</w:t>
      </w:r>
      <w:r w:rsidRPr="00D204F6">
        <w:rPr>
          <w:rFonts w:ascii="標楷體" w:eastAsia="標楷體" w:hAnsi="標楷體"/>
          <w:bCs/>
          <w:sz w:val="28"/>
          <w:szCs w:val="36"/>
        </w:rPr>
        <w:t>AEA</w:t>
      </w:r>
      <w:r w:rsidRPr="00D204F6">
        <w:rPr>
          <w:rFonts w:ascii="標楷體" w:eastAsia="標楷體" w:hAnsi="標楷體" w:hint="eastAsia"/>
          <w:bCs/>
          <w:sz w:val="28"/>
          <w:szCs w:val="36"/>
        </w:rPr>
        <w:t>）簽署核能人力資源發展合作協議</w:t>
      </w:r>
      <w:r>
        <w:rPr>
          <w:rFonts w:ascii="標楷體" w:eastAsia="標楷體" w:hAnsi="標楷體" w:hint="eastAsia"/>
          <w:bCs/>
          <w:sz w:val="28"/>
          <w:szCs w:val="36"/>
        </w:rPr>
        <w:t>。</w:t>
      </w:r>
    </w:p>
    <w:p w14:paraId="6ED26409" w14:textId="77777777" w:rsidR="00D204F6" w:rsidRPr="00D204F6" w:rsidRDefault="00D204F6" w:rsidP="009C4EE0">
      <w:pPr>
        <w:pStyle w:val="af4"/>
        <w:numPr>
          <w:ilvl w:val="3"/>
          <w:numId w:val="23"/>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D204F6">
        <w:rPr>
          <w:rFonts w:ascii="標楷體" w:eastAsia="標楷體" w:hAnsi="標楷體" w:hint="eastAsia"/>
          <w:bCs/>
          <w:sz w:val="28"/>
          <w:szCs w:val="36"/>
        </w:rPr>
        <w:t>日本核能人才培育網絡係為促進核能人力資源發展的組織。成員包括電力公司、核能製造商、大學、研究機構、部會和核能相關組織。以下5個子工作組主要涵蓋根據該網絡的目標所進行的各種活動：</w:t>
      </w:r>
    </w:p>
    <w:p w14:paraId="18549DE4" w14:textId="3EE18E91" w:rsidR="00D204F6" w:rsidRPr="00D204F6" w:rsidRDefault="00D204F6" w:rsidP="009C4EE0">
      <w:pPr>
        <w:pStyle w:val="af4"/>
        <w:numPr>
          <w:ilvl w:val="4"/>
          <w:numId w:val="23"/>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D204F6">
        <w:rPr>
          <w:rFonts w:ascii="標楷體" w:eastAsia="標楷體" w:hAnsi="標楷體" w:hint="eastAsia"/>
          <w:bCs/>
          <w:sz w:val="28"/>
          <w:szCs w:val="36"/>
        </w:rPr>
        <w:t>指導委員會：最高決策機構，決定相關行政的基本政策。</w:t>
      </w:r>
    </w:p>
    <w:p w14:paraId="0139E79C" w14:textId="6DCAF051" w:rsidR="00D204F6" w:rsidRPr="00D204F6" w:rsidRDefault="00D204F6" w:rsidP="009C4EE0">
      <w:pPr>
        <w:pStyle w:val="af4"/>
        <w:numPr>
          <w:ilvl w:val="4"/>
          <w:numId w:val="23"/>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D204F6">
        <w:rPr>
          <w:rFonts w:ascii="標楷體" w:eastAsia="標楷體" w:hAnsi="標楷體" w:hint="eastAsia"/>
          <w:bCs/>
          <w:sz w:val="28"/>
          <w:szCs w:val="36"/>
        </w:rPr>
        <w:t>規劃工作小組：根據指導委員會的決定，對相關行動進行規劃、研究和評估，並向指導委員會報告研究及執行結果。</w:t>
      </w:r>
    </w:p>
    <w:p w14:paraId="2576EC7E" w14:textId="4147CF8D" w:rsidR="00D204F6" w:rsidRPr="00D204F6" w:rsidRDefault="00D204F6" w:rsidP="009C4EE0">
      <w:pPr>
        <w:pStyle w:val="af4"/>
        <w:numPr>
          <w:ilvl w:val="4"/>
          <w:numId w:val="23"/>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D204F6">
        <w:rPr>
          <w:rFonts w:ascii="標楷體" w:eastAsia="標楷體" w:hAnsi="標楷體" w:hint="eastAsia"/>
          <w:bCs/>
          <w:sz w:val="28"/>
          <w:szCs w:val="36"/>
        </w:rPr>
        <w:t>子工作小組 (Sub-WG)：協調特定目標群體的人力資源發展，每個子工作小組為達成目標，規劃及執行相關計畫。</w:t>
      </w:r>
    </w:p>
    <w:p w14:paraId="5E5B66AE" w14:textId="40E59523" w:rsidR="00D204F6" w:rsidRPr="00D204F6" w:rsidRDefault="00D204F6" w:rsidP="009C4EE0">
      <w:pPr>
        <w:pStyle w:val="af4"/>
        <w:numPr>
          <w:ilvl w:val="5"/>
          <w:numId w:val="23"/>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D204F6">
        <w:rPr>
          <w:rFonts w:ascii="標楷體" w:eastAsia="標楷體" w:hAnsi="標楷體" w:hint="eastAsia"/>
          <w:bCs/>
          <w:sz w:val="28"/>
          <w:szCs w:val="36"/>
        </w:rPr>
        <w:t>子工作小組─支持小學至高中教育：為中、小學生提供科學教材及相關活動訊息，向中、小學教師傳播核電和輻射知識，並提供相關資訊（如核電的使用和安全）。並蒐集有用的</w:t>
      </w:r>
      <w:r>
        <w:rPr>
          <w:rFonts w:ascii="標楷體" w:eastAsia="標楷體" w:hAnsi="標楷體" w:hint="eastAsia"/>
          <w:bCs/>
          <w:sz w:val="28"/>
          <w:szCs w:val="36"/>
        </w:rPr>
        <w:t>資訊</w:t>
      </w:r>
      <w:r w:rsidRPr="00D204F6">
        <w:rPr>
          <w:rFonts w:ascii="標楷體" w:eastAsia="標楷體" w:hAnsi="標楷體" w:hint="eastAsia"/>
          <w:bCs/>
          <w:sz w:val="28"/>
          <w:szCs w:val="36"/>
        </w:rPr>
        <w:t>，對學生和教師進行調查，就相關行動提出建議。</w:t>
      </w:r>
    </w:p>
    <w:p w14:paraId="737EFC6F" w14:textId="5BBAF9DB" w:rsidR="00D204F6" w:rsidRPr="00D204F6" w:rsidRDefault="00D204F6" w:rsidP="009C4EE0">
      <w:pPr>
        <w:pStyle w:val="af4"/>
        <w:numPr>
          <w:ilvl w:val="5"/>
          <w:numId w:val="23"/>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D204F6">
        <w:rPr>
          <w:rFonts w:ascii="標楷體" w:eastAsia="標楷體" w:hAnsi="標楷體" w:hint="eastAsia"/>
          <w:bCs/>
          <w:sz w:val="28"/>
          <w:szCs w:val="36"/>
        </w:rPr>
        <w:t>子工作小組─支持大學和學院的核能教育：為大學生、研究生和技術學院學生提供核人力資源開發和培訓的資訊，並為相關行動執行面提供支援，亦蒐集相關資訊，進行必要的調查據以為新的行動提出建議。</w:t>
      </w:r>
    </w:p>
    <w:p w14:paraId="69A720F6" w14:textId="3DBAD1AC" w:rsidR="00D204F6" w:rsidRPr="00D204F6" w:rsidRDefault="00D204F6" w:rsidP="009C4EE0">
      <w:pPr>
        <w:pStyle w:val="af4"/>
        <w:numPr>
          <w:ilvl w:val="5"/>
          <w:numId w:val="23"/>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D204F6">
        <w:rPr>
          <w:rFonts w:ascii="標楷體" w:eastAsia="標楷體" w:hAnsi="標楷體" w:hint="eastAsia"/>
          <w:bCs/>
          <w:sz w:val="28"/>
          <w:szCs w:val="36"/>
        </w:rPr>
        <w:t>子工作小組─在職工程師的人力資源開發：為核電領域針對電力公用事業和製造商等行業的工作工程師，提供資訊</w:t>
      </w:r>
      <w:r w:rsidRPr="00D204F6">
        <w:rPr>
          <w:rFonts w:ascii="標楷體" w:eastAsia="標楷體" w:hAnsi="標楷體" w:hint="eastAsia"/>
          <w:bCs/>
          <w:sz w:val="28"/>
          <w:szCs w:val="36"/>
        </w:rPr>
        <w:lastRenderedPageBreak/>
        <w:t>並支援人力資源開發計畫和培訓的實施，亦蒐集相關資訊，進行調查並向業界提出建議。</w:t>
      </w:r>
    </w:p>
    <w:p w14:paraId="4BA87A46" w14:textId="5697A66E" w:rsidR="00D204F6" w:rsidRPr="00D204F6" w:rsidRDefault="00D204F6" w:rsidP="009C4EE0">
      <w:pPr>
        <w:pStyle w:val="af4"/>
        <w:numPr>
          <w:ilvl w:val="5"/>
          <w:numId w:val="23"/>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D204F6">
        <w:rPr>
          <w:rFonts w:ascii="標楷體" w:eastAsia="標楷體" w:hAnsi="標楷體" w:hint="eastAsia"/>
          <w:bCs/>
          <w:sz w:val="28"/>
          <w:szCs w:val="36"/>
        </w:rPr>
        <w:t>子工作小組─HRD 使國家人力資源國際化：規劃、提議、實施和支持日本核能專業人員國際化的人力資源發展活動，以便他們能夠在國際上發揮影響力。</w:t>
      </w:r>
    </w:p>
    <w:p w14:paraId="1967A167" w14:textId="0490D33F" w:rsidR="00D204F6" w:rsidRPr="00D204F6" w:rsidRDefault="00D204F6" w:rsidP="009C4EE0">
      <w:pPr>
        <w:pStyle w:val="af4"/>
        <w:numPr>
          <w:ilvl w:val="5"/>
          <w:numId w:val="23"/>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D204F6">
        <w:rPr>
          <w:rFonts w:ascii="標楷體" w:eastAsia="標楷體" w:hAnsi="標楷體" w:hint="eastAsia"/>
          <w:bCs/>
          <w:sz w:val="28"/>
          <w:szCs w:val="36"/>
        </w:rPr>
        <w:t>分組工作小組─支持 NPP 新移民國家 HRD：透過分享日本的技術和知識，規劃、提議、實施和支持新核電廠引進國的核能人力資源發展行動，旨在加強未來與其他國家的潛在夥伴關係。</w:t>
      </w:r>
    </w:p>
    <w:p w14:paraId="37A7BB51" w14:textId="5E7493E2" w:rsidR="00D204F6" w:rsidRPr="00D204F6" w:rsidRDefault="00D204F6" w:rsidP="009C4EE0">
      <w:pPr>
        <w:pStyle w:val="af4"/>
        <w:numPr>
          <w:ilvl w:val="5"/>
          <w:numId w:val="23"/>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D204F6">
        <w:rPr>
          <w:rFonts w:ascii="標楷體" w:eastAsia="標楷體" w:hAnsi="標楷體" w:hint="eastAsia"/>
          <w:bCs/>
          <w:sz w:val="28"/>
          <w:szCs w:val="36"/>
        </w:rPr>
        <w:t>特設小組工作小組─經規劃工作小組授權，可以召集特設行動小組來處理出現的各種新問題，包含上述常設工作小組以外的行動。</w:t>
      </w:r>
    </w:p>
    <w:p w14:paraId="38C9F688" w14:textId="542AB526" w:rsidR="00D204F6" w:rsidRPr="00D204F6" w:rsidRDefault="00D204F6" w:rsidP="009C4EE0">
      <w:pPr>
        <w:pStyle w:val="af4"/>
        <w:numPr>
          <w:ilvl w:val="4"/>
          <w:numId w:val="23"/>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D204F6">
        <w:rPr>
          <w:rFonts w:ascii="標楷體" w:eastAsia="標楷體" w:hAnsi="標楷體" w:hint="eastAsia"/>
          <w:bCs/>
          <w:sz w:val="28"/>
          <w:szCs w:val="36"/>
        </w:rPr>
        <w:t>網路秘書處：管理子工作組的運作，並規劃和實施與上述工作小組活動以外的人力資源發展活動。</w:t>
      </w:r>
    </w:p>
    <w:p w14:paraId="37038CA8" w14:textId="5BACD098" w:rsidR="00D204F6" w:rsidRPr="00D204F6" w:rsidRDefault="00D204F6" w:rsidP="009C4EE0">
      <w:pPr>
        <w:pStyle w:val="af4"/>
        <w:numPr>
          <w:ilvl w:val="3"/>
          <w:numId w:val="23"/>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D204F6">
        <w:rPr>
          <w:rFonts w:ascii="標楷體" w:eastAsia="標楷體" w:hAnsi="標楷體" w:hint="eastAsia"/>
          <w:bCs/>
          <w:sz w:val="28"/>
          <w:szCs w:val="36"/>
        </w:rPr>
        <w:t>福島核電廠事故後JN-HRD Net在人力資源發展方面的啟發（並提出未來努力的方向）：</w:t>
      </w:r>
    </w:p>
    <w:p w14:paraId="1E37ED4A" w14:textId="26909B1C" w:rsidR="00D204F6" w:rsidRPr="00D204F6" w:rsidRDefault="00D204F6" w:rsidP="009C4EE0">
      <w:pPr>
        <w:pStyle w:val="af4"/>
        <w:numPr>
          <w:ilvl w:val="4"/>
          <w:numId w:val="23"/>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D204F6">
        <w:rPr>
          <w:rFonts w:ascii="標楷體" w:eastAsia="標楷體" w:hAnsi="標楷體" w:hint="eastAsia"/>
          <w:bCs/>
          <w:sz w:val="28"/>
          <w:szCs w:val="36"/>
        </w:rPr>
        <w:t>確保具有核能安全、緊急準備、風險管理和輻射專業知識的人力資源：福島第一核電廠實際發生過反應爐心熔毀、放射性物質大量釋放到環境中等嚴重事故。由此可見，以核電站全站停電為前提的準備和對策還不夠充分，在實施事故後疏散等事故預防措施時出現了混亂，健康狀況也出現了問題。為了解決這些問題，至關重要的是，工程師必須在核安、緊急準備、風險管理和輻射方面擁有廣泛的專業知識，根據分配給每個組織的職責來履行其相關職責；監管機構、市政當局、研究和教育機構以及產業。</w:t>
      </w:r>
    </w:p>
    <w:p w14:paraId="6296E4B5" w14:textId="7EF8863D" w:rsidR="00D204F6" w:rsidRPr="00D204F6" w:rsidRDefault="00D204F6" w:rsidP="009C4EE0">
      <w:pPr>
        <w:pStyle w:val="af4"/>
        <w:numPr>
          <w:ilvl w:val="4"/>
          <w:numId w:val="23"/>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D204F6">
        <w:rPr>
          <w:rFonts w:ascii="標楷體" w:eastAsia="標楷體" w:hAnsi="標楷體" w:hint="eastAsia"/>
          <w:bCs/>
          <w:sz w:val="28"/>
          <w:szCs w:val="36"/>
        </w:rPr>
        <w:t>保障現場工程師及技術人員：核設施的安全完全取決於各階段的妥善管理；設計、施工和營運。對於運作階段的核設施來說，熟悉當地運作維護等情況的工程技術人員的作用至關重要，福島第一核電廠在未來的修復過程中也是如此。此外，在現場，能夠領導團隊、經驗豐富、具有講師級熟練程度的工程師和技術人員是關鍵，而正是這種級別的工程師和技術人員</w:t>
      </w:r>
      <w:r w:rsidRPr="00D204F6">
        <w:rPr>
          <w:rFonts w:ascii="標楷體" w:eastAsia="標楷體" w:hAnsi="標楷體" w:hint="eastAsia"/>
          <w:bCs/>
          <w:sz w:val="28"/>
          <w:szCs w:val="36"/>
        </w:rPr>
        <w:lastRenderedPageBreak/>
        <w:t>最重要的是透過設計進行培訓和保障。</w:t>
      </w:r>
    </w:p>
    <w:p w14:paraId="51D0CFC4" w14:textId="18D229FC" w:rsidR="00D204F6" w:rsidRPr="00D204F6" w:rsidRDefault="00D204F6" w:rsidP="009C4EE0">
      <w:pPr>
        <w:pStyle w:val="af4"/>
        <w:numPr>
          <w:ilvl w:val="4"/>
          <w:numId w:val="23"/>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D204F6">
        <w:rPr>
          <w:rFonts w:ascii="標楷體" w:eastAsia="標楷體" w:hAnsi="標楷體" w:hint="eastAsia"/>
          <w:bCs/>
          <w:sz w:val="28"/>
          <w:szCs w:val="36"/>
        </w:rPr>
        <w:t>招收學生和青年研究人員：為了維持和提高核設施的安全性，向下一代技術轉移是先決條件。然而，人們嚴重擔心學生和年輕研究人員會放棄核能，並因這次事故而對其未來產生懷疑；為了使核設施維護和運作具有更高的安全水平，必須積極吸引青年人才進入核能領域。</w:t>
      </w:r>
    </w:p>
    <w:p w14:paraId="52BF6E24" w14:textId="2638575F" w:rsidR="00D204F6" w:rsidRPr="00D204F6" w:rsidRDefault="00D204F6" w:rsidP="009C4EE0">
      <w:pPr>
        <w:pStyle w:val="af4"/>
        <w:numPr>
          <w:ilvl w:val="4"/>
          <w:numId w:val="23"/>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D204F6">
        <w:rPr>
          <w:rFonts w:ascii="標楷體" w:eastAsia="標楷體" w:hAnsi="標楷體" w:hint="eastAsia"/>
          <w:bCs/>
          <w:sz w:val="28"/>
          <w:szCs w:val="36"/>
        </w:rPr>
        <w:t>國際人力資源開發：日本有責任與世界分享福島第一核電廠事故的教訓，並透過反映通用安全標準，為確保核設施的安全做出貢獻。為此，應積極參與國際組織制定安全標準的活動並主導討論；此外，這次事故雖然對包括明確表示淘汰核電的國家在內的許多國家的核能政策產生了影響，但也有一些國家表達了核電的決心，這些國家仍然對日本保持著關注和寄予厚望；因此，具有良好國際意識和溝通能力的專家為制定國際安全標準、保障核電引進國的核安做出貢獻變得越來越重要。</w:t>
      </w:r>
    </w:p>
    <w:p w14:paraId="14F1300D" w14:textId="5757C46E" w:rsidR="00D204F6" w:rsidRPr="00D204F6" w:rsidRDefault="00D204F6" w:rsidP="009C4EE0">
      <w:pPr>
        <w:pStyle w:val="af4"/>
        <w:numPr>
          <w:ilvl w:val="4"/>
          <w:numId w:val="23"/>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D204F6">
        <w:rPr>
          <w:rFonts w:ascii="標楷體" w:eastAsia="標楷體" w:hAnsi="標楷體" w:hint="eastAsia"/>
          <w:bCs/>
          <w:sz w:val="28"/>
          <w:szCs w:val="36"/>
        </w:rPr>
        <w:t>加強輻射溝通：由於福島第一核電廠釋放的放射性物質對土壤、水體以及農牧漁業產品的影響廣泛，許多民眾仍對其影響感到擔憂。造成這種情況的原因在於，關於輻射對環境和人體的影響的知識建設還不夠，而且提供的易於理解的資訊也不一定足夠；網路參與組織實際上收到越來越多的講座和培訓課程的請求，正確提供與輻射相關的準確資訊和知識極為重要。</w:t>
      </w:r>
    </w:p>
    <w:p w14:paraId="02F951B8" w14:textId="77777777" w:rsidR="00D204F6" w:rsidRPr="007C1689" w:rsidRDefault="00D204F6" w:rsidP="007C1689">
      <w:pPr>
        <w:tabs>
          <w:tab w:val="left" w:pos="-1920"/>
        </w:tabs>
        <w:snapToGrid w:val="0"/>
        <w:spacing w:beforeLines="15" w:before="36" w:afterLines="15" w:after="36" w:line="440" w:lineRule="exact"/>
        <w:ind w:left="852"/>
        <w:jc w:val="both"/>
        <w:outlineLvl w:val="2"/>
        <w:rPr>
          <w:rFonts w:ascii="標楷體" w:eastAsia="標楷體" w:hAnsi="標楷體"/>
          <w:bCs/>
          <w:sz w:val="28"/>
          <w:szCs w:val="36"/>
        </w:rPr>
      </w:pPr>
    </w:p>
    <w:p w14:paraId="421E0F52" w14:textId="77777777" w:rsidR="007C1689" w:rsidRDefault="007C1689">
      <w:pPr>
        <w:widowControl/>
        <w:rPr>
          <w:rFonts w:ascii="標楷體" w:eastAsia="標楷體" w:hAnsi="標楷體"/>
          <w:bCs/>
          <w:spacing w:val="-10"/>
          <w:sz w:val="28"/>
          <w:szCs w:val="28"/>
        </w:rPr>
      </w:pPr>
      <w:bookmarkStart w:id="206" w:name="_Toc185412514"/>
      <w:r>
        <w:rPr>
          <w:rFonts w:ascii="標楷體" w:eastAsia="標楷體" w:hAnsi="標楷體"/>
          <w:bCs/>
          <w:spacing w:val="-10"/>
          <w:sz w:val="28"/>
          <w:szCs w:val="28"/>
        </w:rPr>
        <w:br w:type="page"/>
      </w:r>
    </w:p>
    <w:p w14:paraId="038A0A76" w14:textId="5D207B10" w:rsidR="00D204F6" w:rsidRDefault="00D204F6" w:rsidP="009C4EE0">
      <w:pPr>
        <w:numPr>
          <w:ilvl w:val="0"/>
          <w:numId w:val="2"/>
        </w:numPr>
        <w:tabs>
          <w:tab w:val="left" w:pos="-1920"/>
        </w:tabs>
        <w:snapToGrid w:val="0"/>
        <w:spacing w:beforeLines="15" w:before="36" w:afterLines="15" w:after="36" w:line="440" w:lineRule="exact"/>
        <w:jc w:val="both"/>
        <w:outlineLvl w:val="0"/>
        <w:rPr>
          <w:rFonts w:ascii="標楷體" w:eastAsia="標楷體" w:hAnsi="標楷體"/>
          <w:bCs/>
          <w:spacing w:val="-10"/>
          <w:sz w:val="28"/>
          <w:szCs w:val="28"/>
        </w:rPr>
      </w:pPr>
      <w:bookmarkStart w:id="207" w:name="_Toc185605559"/>
      <w:r>
        <w:rPr>
          <w:rFonts w:ascii="標楷體" w:eastAsia="標楷體" w:hAnsi="標楷體" w:hint="eastAsia"/>
          <w:bCs/>
          <w:spacing w:val="-10"/>
          <w:sz w:val="28"/>
          <w:szCs w:val="28"/>
        </w:rPr>
        <w:lastRenderedPageBreak/>
        <w:t>考察成果</w:t>
      </w:r>
      <w:bookmarkEnd w:id="206"/>
      <w:bookmarkEnd w:id="207"/>
    </w:p>
    <w:p w14:paraId="61BFF4AE" w14:textId="77777777" w:rsidR="00D204F6" w:rsidRPr="00260DE3" w:rsidRDefault="00D204F6" w:rsidP="009C4EE0">
      <w:pPr>
        <w:numPr>
          <w:ilvl w:val="1"/>
          <w:numId w:val="7"/>
        </w:numPr>
        <w:spacing w:beforeLines="15" w:before="36" w:afterLines="15" w:after="36" w:line="440" w:lineRule="exact"/>
        <w:jc w:val="both"/>
        <w:outlineLvl w:val="1"/>
        <w:rPr>
          <w:rFonts w:ascii="標楷體" w:eastAsia="標楷體" w:hAnsi="標楷體"/>
          <w:bCs/>
          <w:spacing w:val="-10"/>
          <w:sz w:val="28"/>
          <w:szCs w:val="28"/>
        </w:rPr>
      </w:pPr>
      <w:bookmarkStart w:id="208" w:name="_Toc185412515"/>
      <w:r w:rsidRPr="00260DE3">
        <w:rPr>
          <w:rFonts w:ascii="標楷體" w:eastAsia="標楷體" w:hAnsi="標楷體"/>
          <w:bCs/>
          <w:spacing w:val="-10"/>
          <w:sz w:val="28"/>
          <w:szCs w:val="28"/>
        </w:rPr>
        <w:t>考察</w:t>
      </w:r>
      <w:r w:rsidRPr="00260DE3">
        <w:rPr>
          <w:rFonts w:ascii="標楷體" w:eastAsia="標楷體" w:hAnsi="標楷體" w:hint="eastAsia"/>
          <w:bCs/>
          <w:spacing w:val="-10"/>
          <w:sz w:val="28"/>
          <w:szCs w:val="28"/>
        </w:rPr>
        <w:t>心得及建議</w:t>
      </w:r>
      <w:bookmarkEnd w:id="208"/>
    </w:p>
    <w:p w14:paraId="1C1AB0AC" w14:textId="77777777" w:rsidR="00D204F6" w:rsidRPr="00260DE3" w:rsidRDefault="00D204F6" w:rsidP="00D204F6">
      <w:pPr>
        <w:tabs>
          <w:tab w:val="left" w:pos="-1920"/>
        </w:tabs>
        <w:snapToGrid w:val="0"/>
        <w:spacing w:beforeLines="15" w:before="36" w:afterLines="15" w:after="36" w:line="440" w:lineRule="exact"/>
        <w:ind w:left="1134" w:firstLineChars="200" w:firstLine="560"/>
        <w:jc w:val="both"/>
        <w:outlineLvl w:val="2"/>
        <w:rPr>
          <w:rFonts w:ascii="標楷體" w:eastAsia="標楷體" w:hAnsi="標楷體"/>
          <w:bCs/>
          <w:sz w:val="28"/>
          <w:szCs w:val="28"/>
        </w:rPr>
      </w:pPr>
      <w:r w:rsidRPr="00260DE3">
        <w:rPr>
          <w:rFonts w:ascii="標楷體" w:eastAsia="標楷體" w:hAnsi="標楷體"/>
          <w:bCs/>
          <w:sz w:val="28"/>
          <w:szCs w:val="28"/>
        </w:rPr>
        <w:t>本次赴日考察，主要聚焦於核能電廠的除役、轉型，以及新世代能源技術的評估與應用。透過實地參訪與意見交流，本考察團獲得寶貴的經驗與啟發，並就我國的能源政策與核能安全管理提出以下建議：</w:t>
      </w:r>
    </w:p>
    <w:p w14:paraId="46F87AD2" w14:textId="77777777" w:rsidR="00D204F6" w:rsidRPr="00260DE3" w:rsidRDefault="00D204F6" w:rsidP="009C4EE0">
      <w:pPr>
        <w:pStyle w:val="af4"/>
        <w:numPr>
          <w:ilvl w:val="2"/>
          <w:numId w:val="8"/>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28"/>
        </w:rPr>
      </w:pPr>
      <w:r w:rsidRPr="00260DE3">
        <w:rPr>
          <w:rFonts w:ascii="標楷體" w:eastAsia="標楷體" w:hAnsi="標楷體"/>
          <w:bCs/>
          <w:sz w:val="28"/>
          <w:szCs w:val="28"/>
        </w:rPr>
        <w:t>核能安全與設施強化：</w:t>
      </w:r>
    </w:p>
    <w:p w14:paraId="458C96F1" w14:textId="77777777" w:rsidR="00D204F6" w:rsidRPr="00260DE3" w:rsidRDefault="00D204F6" w:rsidP="009C4EE0">
      <w:pPr>
        <w:pStyle w:val="af4"/>
        <w:numPr>
          <w:ilvl w:val="3"/>
          <w:numId w:val="22"/>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260DE3">
        <w:rPr>
          <w:rFonts w:ascii="標楷體" w:eastAsia="標楷體" w:hAnsi="標楷體"/>
          <w:bCs/>
          <w:sz w:val="28"/>
          <w:szCs w:val="36"/>
        </w:rPr>
        <w:t>柏崎刈羽核電廠的經驗值得</w:t>
      </w:r>
      <w:r>
        <w:rPr>
          <w:rFonts w:ascii="標楷體" w:eastAsia="標楷體" w:hAnsi="標楷體"/>
          <w:bCs/>
          <w:sz w:val="28"/>
          <w:szCs w:val="36"/>
        </w:rPr>
        <w:t>參酌</w:t>
      </w:r>
      <w:r w:rsidRPr="00260DE3">
        <w:rPr>
          <w:rFonts w:ascii="標楷體" w:eastAsia="標楷體" w:hAnsi="標楷體"/>
          <w:bCs/>
          <w:sz w:val="28"/>
          <w:szCs w:val="36"/>
        </w:rPr>
        <w:t>：東京電力公司</w:t>
      </w:r>
      <w:r>
        <w:rPr>
          <w:rFonts w:ascii="標楷體" w:eastAsia="標楷體" w:hAnsi="標楷體"/>
          <w:bCs/>
          <w:sz w:val="28"/>
          <w:szCs w:val="36"/>
        </w:rPr>
        <w:t>(</w:t>
      </w:r>
      <w:r w:rsidRPr="00260DE3">
        <w:rPr>
          <w:rFonts w:ascii="標楷體" w:eastAsia="標楷體" w:hAnsi="標楷體"/>
          <w:bCs/>
          <w:sz w:val="28"/>
          <w:szCs w:val="36"/>
        </w:rPr>
        <w:t>TEPCO</w:t>
      </w:r>
      <w:r>
        <w:rPr>
          <w:rFonts w:ascii="標楷體" w:eastAsia="標楷體" w:hAnsi="標楷體"/>
          <w:bCs/>
          <w:sz w:val="28"/>
          <w:szCs w:val="36"/>
        </w:rPr>
        <w:t>)</w:t>
      </w:r>
      <w:r w:rsidRPr="00260DE3">
        <w:rPr>
          <w:rFonts w:ascii="標楷體" w:eastAsia="標楷體" w:hAnsi="標楷體"/>
          <w:bCs/>
          <w:sz w:val="28"/>
          <w:szCs w:val="36"/>
        </w:rPr>
        <w:t>在福島核災後，針對柏崎刈羽核電廠進行顯著的安全強化措施，包含建置防潮堤、水密門、緊急電源與冷卻系統等。這些具體的硬體設施提升發電廠的防禦能力，對於我國核電廠的防護措施具有參考價值。建議我國核能電廠應持續檢視現有的安全設施，並參照國際標準，定期更新與強化相關設備，確保核能安全。</w:t>
      </w:r>
    </w:p>
    <w:p w14:paraId="3D876E6C" w14:textId="77777777" w:rsidR="00D204F6" w:rsidRPr="00260DE3" w:rsidRDefault="00D204F6" w:rsidP="009C4EE0">
      <w:pPr>
        <w:pStyle w:val="af4"/>
        <w:numPr>
          <w:ilvl w:val="3"/>
          <w:numId w:val="22"/>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260DE3">
        <w:rPr>
          <w:rFonts w:ascii="標楷體" w:eastAsia="標楷體" w:hAnsi="標楷體"/>
          <w:bCs/>
          <w:sz w:val="28"/>
          <w:szCs w:val="36"/>
        </w:rPr>
        <w:t>持續加強人員訓練：</w:t>
      </w:r>
      <w:r>
        <w:rPr>
          <w:rFonts w:ascii="標楷體" w:eastAsia="標楷體" w:hAnsi="標楷體"/>
          <w:bCs/>
          <w:sz w:val="28"/>
          <w:szCs w:val="36"/>
        </w:rPr>
        <w:t>東京電力公司(TEPCO)</w:t>
      </w:r>
      <w:r w:rsidRPr="00260DE3">
        <w:rPr>
          <w:rFonts w:ascii="標楷體" w:eastAsia="標楷體" w:hAnsi="標楷體"/>
          <w:bCs/>
          <w:sz w:val="28"/>
          <w:szCs w:val="36"/>
        </w:rPr>
        <w:t>定期舉行演習，提升員工的應變能力。我國亦應重視核能從業人員的訓練，透過模擬演練等方式，提升其在緊急狀況下的判斷與應變能力。建立常態化的培訓機制，確保人員對安全操作程序、緊急應變措施的熟悉度。同時，應鼓勵跨部門的協同合作，以提升整體應變能力。</w:t>
      </w:r>
    </w:p>
    <w:p w14:paraId="58228F24" w14:textId="1C1A7CC4" w:rsidR="00260DE3" w:rsidRPr="00260DE3" w:rsidRDefault="00260DE3" w:rsidP="009C4EE0">
      <w:pPr>
        <w:pStyle w:val="af4"/>
        <w:numPr>
          <w:ilvl w:val="3"/>
          <w:numId w:val="22"/>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260DE3">
        <w:rPr>
          <w:rFonts w:ascii="標楷體" w:eastAsia="標楷體" w:hAnsi="標楷體"/>
          <w:bCs/>
          <w:sz w:val="28"/>
          <w:szCs w:val="36"/>
        </w:rPr>
        <w:t>建立強健的安全文化：</w:t>
      </w:r>
      <w:r w:rsidR="00566602">
        <w:rPr>
          <w:rFonts w:ascii="標楷體" w:eastAsia="標楷體" w:hAnsi="標楷體"/>
          <w:bCs/>
          <w:sz w:val="28"/>
          <w:szCs w:val="36"/>
        </w:rPr>
        <w:t>東京電力公司(TEPCO)</w:t>
      </w:r>
      <w:r w:rsidRPr="00260DE3">
        <w:rPr>
          <w:rFonts w:ascii="標楷體" w:eastAsia="標楷體" w:hAnsi="標楷體"/>
          <w:bCs/>
          <w:sz w:val="28"/>
          <w:szCs w:val="36"/>
        </w:rPr>
        <w:t>強調安全文化的重要性，積極與內部和外部溝通，建立互信互助的合作關係，提升資訊透明度，以確保核能安全。我國核能產業亦應致力建立強健的安全文化，將安全視為首要任務，鼓勵員工積極參與安全改進，並提升資訊透明度，促進社會理解與信任。</w:t>
      </w:r>
    </w:p>
    <w:p w14:paraId="40DA4121" w14:textId="64B30A24" w:rsidR="00260DE3" w:rsidRPr="00260DE3" w:rsidRDefault="00260DE3" w:rsidP="009C4EE0">
      <w:pPr>
        <w:pStyle w:val="af4"/>
        <w:numPr>
          <w:ilvl w:val="3"/>
          <w:numId w:val="22"/>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260DE3">
        <w:rPr>
          <w:rFonts w:ascii="標楷體" w:eastAsia="標楷體" w:hAnsi="標楷體"/>
          <w:bCs/>
          <w:sz w:val="28"/>
          <w:szCs w:val="36"/>
        </w:rPr>
        <w:t>持續改進與監督機制：核能安全至關重要，任何環節都不能鬆懈。我國應參考國際原子能機構</w:t>
      </w:r>
      <w:r w:rsidR="00566602">
        <w:rPr>
          <w:rFonts w:ascii="標楷體" w:eastAsia="標楷體" w:hAnsi="標楷體"/>
          <w:bCs/>
          <w:sz w:val="28"/>
          <w:szCs w:val="36"/>
        </w:rPr>
        <w:t>(</w:t>
      </w:r>
      <w:r w:rsidRPr="00260DE3">
        <w:rPr>
          <w:rFonts w:ascii="標楷體" w:eastAsia="標楷體" w:hAnsi="標楷體"/>
          <w:bCs/>
          <w:sz w:val="28"/>
          <w:szCs w:val="36"/>
        </w:rPr>
        <w:t>IAEA</w:t>
      </w:r>
      <w:r w:rsidR="00566602">
        <w:rPr>
          <w:rFonts w:ascii="標楷體" w:eastAsia="標楷體" w:hAnsi="標楷體"/>
          <w:bCs/>
          <w:sz w:val="28"/>
          <w:szCs w:val="36"/>
        </w:rPr>
        <w:t>)</w:t>
      </w:r>
      <w:r w:rsidRPr="00260DE3">
        <w:rPr>
          <w:rFonts w:ascii="標楷體" w:eastAsia="標楷體" w:hAnsi="標楷體"/>
          <w:bCs/>
          <w:sz w:val="28"/>
          <w:szCs w:val="36"/>
        </w:rPr>
        <w:t>的安全標準與建議，建立持續改進的安全管理機制，並定期審視與提升核電廠的安全性能。獨立監管機構應發揮監督職責，確保核電廠符合安全標準，並能有效監督安全措施的落實。</w:t>
      </w:r>
    </w:p>
    <w:p w14:paraId="10015BCB" w14:textId="25FA4EA1" w:rsidR="00260DE3" w:rsidRPr="00260DE3" w:rsidRDefault="00260DE3" w:rsidP="009C4EE0">
      <w:pPr>
        <w:pStyle w:val="af4"/>
        <w:numPr>
          <w:ilvl w:val="3"/>
          <w:numId w:val="22"/>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260DE3">
        <w:rPr>
          <w:rFonts w:ascii="標楷體" w:eastAsia="標楷體" w:hAnsi="標楷體"/>
          <w:bCs/>
          <w:sz w:val="28"/>
          <w:szCs w:val="36"/>
        </w:rPr>
        <w:t>與地方居民的溝通：應加強與核電廠當地居民的溝通，提升資訊透明度，建立互信關係，減少居民對於核能安全之疑慮，並取得其支持與合作。</w:t>
      </w:r>
    </w:p>
    <w:p w14:paraId="1F2B3531" w14:textId="77777777" w:rsidR="00260DE3" w:rsidRPr="00260DE3" w:rsidRDefault="00260DE3" w:rsidP="009C4EE0">
      <w:pPr>
        <w:pStyle w:val="af4"/>
        <w:numPr>
          <w:ilvl w:val="2"/>
          <w:numId w:val="8"/>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28"/>
        </w:rPr>
      </w:pPr>
      <w:r w:rsidRPr="00260DE3">
        <w:rPr>
          <w:rFonts w:ascii="標楷體" w:eastAsia="標楷體" w:hAnsi="標楷體"/>
          <w:bCs/>
          <w:sz w:val="28"/>
          <w:szCs w:val="28"/>
        </w:rPr>
        <w:lastRenderedPageBreak/>
        <w:t>核能技術研發與應用：</w:t>
      </w:r>
    </w:p>
    <w:p w14:paraId="57A4665A" w14:textId="5EF01B64" w:rsidR="00260DE3" w:rsidRPr="00260DE3" w:rsidRDefault="00260DE3" w:rsidP="009C4EE0">
      <w:pPr>
        <w:pStyle w:val="af4"/>
        <w:numPr>
          <w:ilvl w:val="3"/>
          <w:numId w:val="10"/>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260DE3">
        <w:rPr>
          <w:rFonts w:ascii="標楷體" w:eastAsia="標楷體" w:hAnsi="標楷體"/>
          <w:bCs/>
          <w:sz w:val="28"/>
          <w:szCs w:val="28"/>
        </w:rPr>
        <w:t>參考大洗核</w:t>
      </w:r>
      <w:r w:rsidRPr="00260DE3">
        <w:rPr>
          <w:rFonts w:ascii="標楷體" w:eastAsia="標楷體" w:hAnsi="標楷體"/>
          <w:bCs/>
          <w:sz w:val="28"/>
          <w:szCs w:val="36"/>
        </w:rPr>
        <w:t>工程研究所經驗：日本核能研究開發機構</w:t>
      </w:r>
      <w:r w:rsidR="00566602">
        <w:rPr>
          <w:rFonts w:ascii="標楷體" w:eastAsia="標楷體" w:hAnsi="標楷體"/>
          <w:bCs/>
          <w:sz w:val="28"/>
          <w:szCs w:val="36"/>
        </w:rPr>
        <w:t>(</w:t>
      </w:r>
      <w:r w:rsidRPr="00260DE3">
        <w:rPr>
          <w:rFonts w:ascii="標楷體" w:eastAsia="標楷體" w:hAnsi="標楷體"/>
          <w:bCs/>
          <w:sz w:val="28"/>
          <w:szCs w:val="36"/>
        </w:rPr>
        <w:t>JAEA</w:t>
      </w:r>
      <w:r w:rsidR="00566602">
        <w:rPr>
          <w:rFonts w:ascii="標楷體" w:eastAsia="標楷體" w:hAnsi="標楷體"/>
          <w:bCs/>
          <w:sz w:val="28"/>
          <w:szCs w:val="36"/>
        </w:rPr>
        <w:t>)</w:t>
      </w:r>
      <w:r w:rsidRPr="00260DE3">
        <w:rPr>
          <w:rFonts w:ascii="標楷體" w:eastAsia="標楷體" w:hAnsi="標楷體"/>
          <w:bCs/>
          <w:sz w:val="28"/>
          <w:szCs w:val="36"/>
        </w:rPr>
        <w:t>大洗核工程研究所在快速反應器技術、高溫氣體反應器技術以及核電廠除役等方面均累積豐富的經驗和成果。我國應積極參考JAEA的經驗與成果，在核能技術的研發與應用上汲取國際先進經驗，以提升我國的能源技術水準。</w:t>
      </w:r>
    </w:p>
    <w:p w14:paraId="58F76475" w14:textId="09CCCFC5" w:rsidR="00260DE3" w:rsidRPr="00260DE3" w:rsidRDefault="00260DE3" w:rsidP="009C4EE0">
      <w:pPr>
        <w:pStyle w:val="af4"/>
        <w:numPr>
          <w:ilvl w:val="3"/>
          <w:numId w:val="10"/>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260DE3">
        <w:rPr>
          <w:rFonts w:ascii="標楷體" w:eastAsia="標楷體" w:hAnsi="標楷體"/>
          <w:bCs/>
          <w:sz w:val="28"/>
          <w:szCs w:val="36"/>
        </w:rPr>
        <w:t>關注新世代能源技術發展：建議我國持續關注國際間新世代能源的發展趨勢，如小型模組化反應器</w:t>
      </w:r>
      <w:r w:rsidR="00566602">
        <w:rPr>
          <w:rFonts w:ascii="標楷體" w:eastAsia="標楷體" w:hAnsi="標楷體"/>
          <w:bCs/>
          <w:sz w:val="28"/>
          <w:szCs w:val="36"/>
        </w:rPr>
        <w:t>(</w:t>
      </w:r>
      <w:r w:rsidRPr="00260DE3">
        <w:rPr>
          <w:rFonts w:ascii="標楷體" w:eastAsia="標楷體" w:hAnsi="標楷體"/>
          <w:bCs/>
          <w:sz w:val="28"/>
          <w:szCs w:val="36"/>
        </w:rPr>
        <w:t>SMR</w:t>
      </w:r>
      <w:r w:rsidR="00566602">
        <w:rPr>
          <w:rFonts w:ascii="標楷體" w:eastAsia="標楷體" w:hAnsi="標楷體"/>
          <w:bCs/>
          <w:sz w:val="28"/>
          <w:szCs w:val="36"/>
        </w:rPr>
        <w:t>)</w:t>
      </w:r>
      <w:r w:rsidRPr="00260DE3">
        <w:rPr>
          <w:rFonts w:ascii="標楷體" w:eastAsia="標楷體" w:hAnsi="標楷體"/>
          <w:bCs/>
          <w:sz w:val="28"/>
          <w:szCs w:val="36"/>
        </w:rPr>
        <w:t>等，並積極參與國際合作，評估引進相關技術的可行性，以提升我國的能源安全和永續發展能力。</w:t>
      </w:r>
    </w:p>
    <w:p w14:paraId="25D5CD93" w14:textId="14BDA33F" w:rsidR="00260DE3" w:rsidRPr="00260DE3" w:rsidRDefault="00260DE3" w:rsidP="009C4EE0">
      <w:pPr>
        <w:pStyle w:val="af4"/>
        <w:numPr>
          <w:ilvl w:val="3"/>
          <w:numId w:val="10"/>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260DE3">
        <w:rPr>
          <w:rFonts w:ascii="標楷體" w:eastAsia="標楷體" w:hAnsi="標楷體"/>
          <w:bCs/>
          <w:sz w:val="28"/>
          <w:szCs w:val="36"/>
        </w:rPr>
        <w:t>加強</w:t>
      </w:r>
      <w:r w:rsidR="00566602" w:rsidRPr="00566602">
        <w:rPr>
          <w:rFonts w:ascii="標楷體" w:eastAsia="標楷體" w:hAnsi="標楷體"/>
          <w:bCs/>
          <w:sz w:val="28"/>
          <w:szCs w:val="36"/>
        </w:rPr>
        <w:t>小型模組化反應器</w:t>
      </w:r>
      <w:r w:rsidR="00566602">
        <w:rPr>
          <w:rFonts w:ascii="標楷體" w:eastAsia="標楷體" w:hAnsi="標楷體"/>
          <w:bCs/>
          <w:sz w:val="28"/>
          <w:szCs w:val="36"/>
        </w:rPr>
        <w:t>(</w:t>
      </w:r>
      <w:r w:rsidR="00566602" w:rsidRPr="00566602">
        <w:rPr>
          <w:rFonts w:ascii="標楷體" w:eastAsia="標楷體" w:hAnsi="標楷體"/>
          <w:bCs/>
          <w:sz w:val="28"/>
          <w:szCs w:val="36"/>
        </w:rPr>
        <w:t>SMR</w:t>
      </w:r>
      <w:r w:rsidR="00566602">
        <w:rPr>
          <w:rFonts w:ascii="標楷體" w:eastAsia="標楷體" w:hAnsi="標楷體"/>
          <w:bCs/>
          <w:sz w:val="28"/>
          <w:szCs w:val="36"/>
        </w:rPr>
        <w:t>)</w:t>
      </w:r>
      <w:r w:rsidRPr="00260DE3">
        <w:rPr>
          <w:rFonts w:ascii="標楷體" w:eastAsia="標楷體" w:hAnsi="標楷體"/>
          <w:bCs/>
          <w:sz w:val="28"/>
          <w:szCs w:val="36"/>
        </w:rPr>
        <w:t>研究：</w:t>
      </w:r>
      <w:r w:rsidR="00566602">
        <w:rPr>
          <w:rFonts w:ascii="標楷體" w:eastAsia="標楷體" w:hAnsi="標楷體"/>
          <w:bCs/>
          <w:sz w:val="28"/>
          <w:szCs w:val="36"/>
        </w:rPr>
        <w:t>小型模組化反應器(SMR)</w:t>
      </w:r>
      <w:r w:rsidRPr="00260DE3">
        <w:rPr>
          <w:rFonts w:ascii="標楷體" w:eastAsia="標楷體" w:hAnsi="標楷體"/>
          <w:bCs/>
          <w:sz w:val="28"/>
          <w:szCs w:val="36"/>
        </w:rPr>
        <w:t>作為一種新興的核能技術，具有潛在的應用價值，我國應積極評估其可行性，並加強</w:t>
      </w:r>
      <w:r w:rsidR="00566602">
        <w:rPr>
          <w:rFonts w:ascii="標楷體" w:eastAsia="標楷體" w:hAnsi="標楷體"/>
          <w:bCs/>
          <w:sz w:val="28"/>
          <w:szCs w:val="36"/>
        </w:rPr>
        <w:t>小型模組化反應器(SMR)</w:t>
      </w:r>
      <w:r w:rsidRPr="00260DE3">
        <w:rPr>
          <w:rFonts w:ascii="標楷體" w:eastAsia="標楷體" w:hAnsi="標楷體"/>
          <w:bCs/>
          <w:sz w:val="28"/>
          <w:szCs w:val="36"/>
        </w:rPr>
        <w:t>研究的整體規劃和經費投入，包括技術可行性、經濟效益、安全評估等面向，為我國能源發展提供更多元的選項。</w:t>
      </w:r>
    </w:p>
    <w:p w14:paraId="163C378D" w14:textId="52827121" w:rsidR="00260DE3" w:rsidRPr="00260DE3" w:rsidRDefault="00260DE3" w:rsidP="009C4EE0">
      <w:pPr>
        <w:pStyle w:val="af4"/>
        <w:numPr>
          <w:ilvl w:val="3"/>
          <w:numId w:val="10"/>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28"/>
        </w:rPr>
      </w:pPr>
      <w:r w:rsidRPr="00260DE3">
        <w:rPr>
          <w:rFonts w:ascii="標楷體" w:eastAsia="標楷體" w:hAnsi="標楷體"/>
          <w:bCs/>
          <w:sz w:val="28"/>
          <w:szCs w:val="36"/>
        </w:rPr>
        <w:t>核廢料處理技術：日本在核燃料再處理技術和高放射性廢棄物地質處置方面，投入大量資源。我國應加強相關技術研發，並規劃高階放射性廢棄</w:t>
      </w:r>
      <w:r w:rsidRPr="00260DE3">
        <w:rPr>
          <w:rFonts w:ascii="標楷體" w:eastAsia="標楷體" w:hAnsi="標楷體"/>
          <w:bCs/>
          <w:sz w:val="28"/>
          <w:szCs w:val="28"/>
        </w:rPr>
        <w:t>物的最終處置場選址，以降低環境風險。</w:t>
      </w:r>
    </w:p>
    <w:p w14:paraId="1F2BEA13" w14:textId="77777777" w:rsidR="00260DE3" w:rsidRPr="00260DE3" w:rsidRDefault="00260DE3" w:rsidP="009C4EE0">
      <w:pPr>
        <w:pStyle w:val="af4"/>
        <w:numPr>
          <w:ilvl w:val="2"/>
          <w:numId w:val="8"/>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28"/>
        </w:rPr>
      </w:pPr>
      <w:r w:rsidRPr="00260DE3">
        <w:rPr>
          <w:rFonts w:ascii="標楷體" w:eastAsia="標楷體" w:hAnsi="標楷體"/>
          <w:bCs/>
          <w:sz w:val="28"/>
          <w:szCs w:val="28"/>
        </w:rPr>
        <w:t>能源政策與能源配比：</w:t>
      </w:r>
    </w:p>
    <w:p w14:paraId="72BFAA2C" w14:textId="713ADE98" w:rsidR="00260DE3" w:rsidRPr="00260DE3" w:rsidRDefault="00260DE3" w:rsidP="009C4EE0">
      <w:pPr>
        <w:pStyle w:val="af4"/>
        <w:numPr>
          <w:ilvl w:val="3"/>
          <w:numId w:val="20"/>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260DE3">
        <w:rPr>
          <w:rFonts w:ascii="標楷體" w:eastAsia="標楷體" w:hAnsi="標楷體"/>
          <w:bCs/>
          <w:sz w:val="28"/>
          <w:szCs w:val="28"/>
        </w:rPr>
        <w:t>淨零路徑</w:t>
      </w:r>
      <w:r w:rsidRPr="00260DE3">
        <w:rPr>
          <w:rFonts w:ascii="標楷體" w:eastAsia="標楷體" w:hAnsi="標楷體"/>
          <w:bCs/>
          <w:sz w:val="28"/>
          <w:szCs w:val="36"/>
        </w:rPr>
        <w:t>與能源配比：日本在淨零路徑的規劃中，審慎考慮能源配比的合理性、電網穩定性以及能源安全等因素。我國在推動能源轉型時，應全面考量各種能源的優缺點，並制定符合國情且務實可行的能源配比策略。</w:t>
      </w:r>
    </w:p>
    <w:p w14:paraId="3DF060EE" w14:textId="7A7A64BA" w:rsidR="00260DE3" w:rsidRPr="00260DE3" w:rsidRDefault="00260DE3" w:rsidP="009C4EE0">
      <w:pPr>
        <w:pStyle w:val="af4"/>
        <w:numPr>
          <w:ilvl w:val="3"/>
          <w:numId w:val="20"/>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260DE3">
        <w:rPr>
          <w:rFonts w:ascii="標楷體" w:eastAsia="標楷體" w:hAnsi="標楷體"/>
          <w:bCs/>
          <w:sz w:val="28"/>
          <w:szCs w:val="36"/>
        </w:rPr>
        <w:t>再生能源與核能的互補性：由於再生能源具有間歇性的特性，我國應審慎評估再生能源占比，並適當保留核能作為基載電力，以確保供電穩定。同時，應積極發展儲能技術，以提升再生能源的應用效率與穩定性。</w:t>
      </w:r>
    </w:p>
    <w:p w14:paraId="49C3698B" w14:textId="55A2D809" w:rsidR="00260DE3" w:rsidRPr="00260DE3" w:rsidRDefault="00566602" w:rsidP="009C4EE0">
      <w:pPr>
        <w:pStyle w:val="af4"/>
        <w:numPr>
          <w:ilvl w:val="3"/>
          <w:numId w:val="20"/>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28"/>
        </w:rPr>
      </w:pPr>
      <w:r>
        <w:rPr>
          <w:rFonts w:ascii="標楷體" w:eastAsia="標楷體" w:hAnsi="標楷體"/>
          <w:bCs/>
          <w:sz w:val="28"/>
          <w:szCs w:val="36"/>
        </w:rPr>
        <w:t>參酌</w:t>
      </w:r>
      <w:r w:rsidR="00260DE3" w:rsidRPr="00260DE3">
        <w:rPr>
          <w:rFonts w:ascii="標楷體" w:eastAsia="標楷體" w:hAnsi="標楷體"/>
          <w:bCs/>
          <w:sz w:val="28"/>
          <w:szCs w:val="36"/>
        </w:rPr>
        <w:t>日本經驗：日本在核能領域的發展經驗值得我國</w:t>
      </w:r>
      <w:r>
        <w:rPr>
          <w:rFonts w:ascii="標楷體" w:eastAsia="標楷體" w:hAnsi="標楷體"/>
          <w:bCs/>
          <w:sz w:val="28"/>
          <w:szCs w:val="36"/>
        </w:rPr>
        <w:t>參酌</w:t>
      </w:r>
      <w:r w:rsidR="00260DE3" w:rsidRPr="00260DE3">
        <w:rPr>
          <w:rFonts w:ascii="標楷體" w:eastAsia="標楷體" w:hAnsi="標楷體"/>
          <w:bCs/>
          <w:sz w:val="28"/>
          <w:szCs w:val="36"/>
        </w:rPr>
        <w:t>，特別是在核能安全、技術研發、核廢料處理以及能源政策規劃等方面。建議我國應持續與日</w:t>
      </w:r>
      <w:r w:rsidR="00260DE3" w:rsidRPr="00260DE3">
        <w:rPr>
          <w:rFonts w:ascii="標楷體" w:eastAsia="標楷體" w:hAnsi="標楷體"/>
          <w:bCs/>
          <w:sz w:val="28"/>
          <w:szCs w:val="28"/>
        </w:rPr>
        <w:t>本進行交流與合作，以提升我國的能源發展能力。</w:t>
      </w:r>
    </w:p>
    <w:p w14:paraId="68B4E697" w14:textId="2A6C174D" w:rsidR="00260DE3" w:rsidRPr="00260DE3" w:rsidRDefault="00260DE3" w:rsidP="009C4EE0">
      <w:pPr>
        <w:pStyle w:val="af4"/>
        <w:numPr>
          <w:ilvl w:val="3"/>
          <w:numId w:val="20"/>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28"/>
        </w:rPr>
      </w:pPr>
      <w:r w:rsidRPr="00260DE3">
        <w:rPr>
          <w:rFonts w:ascii="標楷體" w:eastAsia="標楷體" w:hAnsi="標楷體"/>
          <w:bCs/>
          <w:sz w:val="28"/>
          <w:szCs w:val="28"/>
        </w:rPr>
        <w:lastRenderedPageBreak/>
        <w:t>強化國際</w:t>
      </w:r>
      <w:r w:rsidRPr="00260DE3">
        <w:rPr>
          <w:rFonts w:ascii="標楷體" w:eastAsia="標楷體" w:hAnsi="標楷體"/>
          <w:bCs/>
          <w:sz w:val="28"/>
          <w:szCs w:val="36"/>
        </w:rPr>
        <w:t>合作</w:t>
      </w:r>
      <w:r w:rsidRPr="00260DE3">
        <w:rPr>
          <w:rFonts w:ascii="標楷體" w:eastAsia="標楷體" w:hAnsi="標楷體"/>
          <w:bCs/>
          <w:sz w:val="28"/>
          <w:szCs w:val="28"/>
        </w:rPr>
        <w:t>：我國在推動能源轉型時，應加強國際合作，積極參與國際能源組織，並與其他國家分享經驗與技術，以提升我國的能源自主能力。</w:t>
      </w:r>
    </w:p>
    <w:p w14:paraId="7EFF1AAC" w14:textId="77777777" w:rsidR="00260DE3" w:rsidRPr="00260DE3" w:rsidRDefault="00260DE3" w:rsidP="009C4EE0">
      <w:pPr>
        <w:pStyle w:val="af4"/>
        <w:numPr>
          <w:ilvl w:val="2"/>
          <w:numId w:val="8"/>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28"/>
        </w:rPr>
      </w:pPr>
      <w:r w:rsidRPr="00260DE3">
        <w:rPr>
          <w:rFonts w:ascii="標楷體" w:eastAsia="標楷體" w:hAnsi="標楷體"/>
          <w:bCs/>
          <w:sz w:val="28"/>
          <w:szCs w:val="28"/>
        </w:rPr>
        <w:t>核能議題的再思考：</w:t>
      </w:r>
    </w:p>
    <w:p w14:paraId="1BAF474D" w14:textId="587EE7B5" w:rsidR="00260DE3" w:rsidRPr="00260DE3" w:rsidRDefault="00260DE3" w:rsidP="009C4EE0">
      <w:pPr>
        <w:pStyle w:val="af4"/>
        <w:numPr>
          <w:ilvl w:val="3"/>
          <w:numId w:val="11"/>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28"/>
        </w:rPr>
      </w:pPr>
      <w:r w:rsidRPr="00260DE3">
        <w:rPr>
          <w:rFonts w:ascii="標楷體" w:eastAsia="標楷體" w:hAnsi="標楷體"/>
          <w:bCs/>
          <w:sz w:val="28"/>
          <w:szCs w:val="28"/>
        </w:rPr>
        <w:t>加強核能安全教育：我國應加強核能安全教育，讓民眾</w:t>
      </w:r>
      <w:r w:rsidR="00A95445">
        <w:rPr>
          <w:rFonts w:ascii="標楷體" w:eastAsia="標楷體" w:hAnsi="標楷體"/>
          <w:bCs/>
          <w:sz w:val="28"/>
          <w:szCs w:val="28"/>
        </w:rPr>
        <w:t>瞭解</w:t>
      </w:r>
      <w:r w:rsidRPr="00260DE3">
        <w:rPr>
          <w:rFonts w:ascii="標楷體" w:eastAsia="標楷體" w:hAnsi="標楷體"/>
          <w:bCs/>
          <w:sz w:val="28"/>
          <w:szCs w:val="28"/>
        </w:rPr>
        <w:t>核能發電的原理、風險和安全措施，以提升對核能的認知，並建立理性的討論基礎。</w:t>
      </w:r>
    </w:p>
    <w:p w14:paraId="2E4F108B" w14:textId="6D5D266C" w:rsidR="00260DE3" w:rsidRPr="00260DE3" w:rsidRDefault="00260DE3" w:rsidP="009C4EE0">
      <w:pPr>
        <w:pStyle w:val="af4"/>
        <w:numPr>
          <w:ilvl w:val="3"/>
          <w:numId w:val="11"/>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28"/>
        </w:rPr>
      </w:pPr>
      <w:r w:rsidRPr="00260DE3">
        <w:rPr>
          <w:rFonts w:ascii="標楷體" w:eastAsia="標楷體" w:hAnsi="標楷體"/>
          <w:bCs/>
          <w:sz w:val="28"/>
          <w:szCs w:val="28"/>
        </w:rPr>
        <w:t>公開透明的核廢料處理資訊：我國應公開透明的核廢料處理資訊，讓民眾</w:t>
      </w:r>
      <w:r w:rsidR="00A95445">
        <w:rPr>
          <w:rFonts w:ascii="標楷體" w:eastAsia="標楷體" w:hAnsi="標楷體"/>
          <w:bCs/>
          <w:sz w:val="28"/>
          <w:szCs w:val="28"/>
        </w:rPr>
        <w:t>瞭解</w:t>
      </w:r>
      <w:r w:rsidRPr="00260DE3">
        <w:rPr>
          <w:rFonts w:ascii="標楷體" w:eastAsia="標楷體" w:hAnsi="標楷體"/>
          <w:bCs/>
          <w:sz w:val="28"/>
          <w:szCs w:val="28"/>
        </w:rPr>
        <w:t>核廢料的處理方式和安全性，減少對核廢料的恐懼。</w:t>
      </w:r>
    </w:p>
    <w:p w14:paraId="2A3A677C" w14:textId="300D686A" w:rsidR="00260DE3" w:rsidRPr="00260DE3" w:rsidRDefault="00260DE3" w:rsidP="009C4EE0">
      <w:pPr>
        <w:pStyle w:val="af4"/>
        <w:numPr>
          <w:ilvl w:val="3"/>
          <w:numId w:val="11"/>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28"/>
        </w:rPr>
      </w:pPr>
      <w:r w:rsidRPr="00260DE3">
        <w:rPr>
          <w:rFonts w:ascii="標楷體" w:eastAsia="標楷體" w:hAnsi="標楷體"/>
          <w:bCs/>
          <w:sz w:val="28"/>
          <w:szCs w:val="28"/>
        </w:rPr>
        <w:t>建立公民參與平台：我國應建立公民參與平台，讓民眾參與核能政策的討論，促進社會共識的形成，並建立多元的溝通管道。</w:t>
      </w:r>
    </w:p>
    <w:p w14:paraId="1DA0C25C" w14:textId="695B7284" w:rsidR="00260DE3" w:rsidRPr="00260DE3" w:rsidRDefault="00260DE3" w:rsidP="009C4EE0">
      <w:pPr>
        <w:pStyle w:val="af4"/>
        <w:numPr>
          <w:ilvl w:val="1"/>
          <w:numId w:val="8"/>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28"/>
        </w:rPr>
      </w:pPr>
      <w:r w:rsidRPr="00260DE3">
        <w:rPr>
          <w:rFonts w:ascii="標楷體" w:eastAsia="標楷體" w:hAnsi="標楷體"/>
          <w:bCs/>
          <w:sz w:val="28"/>
          <w:szCs w:val="28"/>
        </w:rPr>
        <w:t>考察結論</w:t>
      </w:r>
    </w:p>
    <w:p w14:paraId="3B4D13BF" w14:textId="2508223D" w:rsidR="00260DE3" w:rsidRPr="00260DE3" w:rsidRDefault="00260DE3" w:rsidP="005D68EB">
      <w:pPr>
        <w:tabs>
          <w:tab w:val="left" w:pos="-1920"/>
        </w:tabs>
        <w:snapToGrid w:val="0"/>
        <w:spacing w:beforeLines="15" w:before="36" w:afterLines="15" w:after="36" w:line="440" w:lineRule="exact"/>
        <w:ind w:leftChars="372" w:left="893" w:firstLineChars="200" w:firstLine="560"/>
        <w:jc w:val="both"/>
        <w:outlineLvl w:val="2"/>
        <w:rPr>
          <w:rFonts w:ascii="標楷體" w:eastAsia="標楷體" w:hAnsi="標楷體"/>
          <w:bCs/>
          <w:sz w:val="28"/>
          <w:szCs w:val="28"/>
        </w:rPr>
      </w:pPr>
      <w:r w:rsidRPr="00260DE3">
        <w:rPr>
          <w:rFonts w:ascii="標楷體" w:eastAsia="標楷體" w:hAnsi="標楷體"/>
          <w:bCs/>
          <w:sz w:val="28"/>
          <w:szCs w:val="28"/>
        </w:rPr>
        <w:t>本次赴日考察，深入</w:t>
      </w:r>
      <w:r w:rsidR="00A95445">
        <w:rPr>
          <w:rFonts w:ascii="標楷體" w:eastAsia="標楷體" w:hAnsi="標楷體"/>
          <w:bCs/>
          <w:sz w:val="28"/>
          <w:szCs w:val="28"/>
        </w:rPr>
        <w:t>瞭解</w:t>
      </w:r>
      <w:r w:rsidRPr="00260DE3">
        <w:rPr>
          <w:rFonts w:ascii="標楷體" w:eastAsia="標楷體" w:hAnsi="標楷體"/>
          <w:bCs/>
          <w:sz w:val="28"/>
          <w:szCs w:val="28"/>
        </w:rPr>
        <w:t>日本在核能電廠除役、轉型及新世代能源發展等方面的經驗與挑戰，透過實地參訪、意見交流與資料收集，本考察團對我國能源發展之方向有更清晰的認識</w:t>
      </w:r>
      <w:r w:rsidR="00A95445">
        <w:rPr>
          <w:rFonts w:ascii="標楷體" w:eastAsia="標楷體" w:hAnsi="標楷體" w:hint="eastAsia"/>
          <w:bCs/>
          <w:sz w:val="28"/>
          <w:szCs w:val="28"/>
        </w:rPr>
        <w:t>；</w:t>
      </w:r>
      <w:r w:rsidR="00A95445" w:rsidRPr="00A95445">
        <w:rPr>
          <w:rFonts w:ascii="標楷體" w:eastAsia="標楷體" w:hAnsi="標楷體"/>
          <w:bCs/>
          <w:sz w:val="28"/>
          <w:szCs w:val="28"/>
        </w:rPr>
        <w:t>考量我國核一、核二、核三廠均已進入除役階段，其除役工程之規劃與執行應審慎為之</w:t>
      </w:r>
      <w:r w:rsidR="00A95445">
        <w:rPr>
          <w:rFonts w:ascii="標楷體" w:eastAsia="標楷體" w:hAnsi="標楷體" w:hint="eastAsia"/>
          <w:bCs/>
          <w:sz w:val="28"/>
          <w:szCs w:val="28"/>
        </w:rPr>
        <w:t>，</w:t>
      </w:r>
      <w:r w:rsidRPr="00260DE3">
        <w:rPr>
          <w:rFonts w:ascii="標楷體" w:eastAsia="標楷體" w:hAnsi="標楷體"/>
          <w:bCs/>
          <w:sz w:val="28"/>
          <w:szCs w:val="28"/>
        </w:rPr>
        <w:t>並歸納出以下結論：</w:t>
      </w:r>
    </w:p>
    <w:p w14:paraId="16FB5570" w14:textId="77777777" w:rsidR="00260DE3" w:rsidRPr="00260DE3" w:rsidRDefault="00260DE3" w:rsidP="009C4EE0">
      <w:pPr>
        <w:pStyle w:val="af4"/>
        <w:numPr>
          <w:ilvl w:val="2"/>
          <w:numId w:val="8"/>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28"/>
        </w:rPr>
      </w:pPr>
      <w:r w:rsidRPr="00260DE3">
        <w:rPr>
          <w:rFonts w:ascii="標楷體" w:eastAsia="標楷體" w:hAnsi="標楷體"/>
          <w:bCs/>
          <w:sz w:val="28"/>
          <w:szCs w:val="28"/>
        </w:rPr>
        <w:t>核能安全是首要考量：</w:t>
      </w:r>
    </w:p>
    <w:p w14:paraId="4309755D" w14:textId="7C0B02EE" w:rsidR="00260DE3" w:rsidRPr="00260DE3" w:rsidRDefault="00260DE3" w:rsidP="009C4EE0">
      <w:pPr>
        <w:pStyle w:val="af4"/>
        <w:numPr>
          <w:ilvl w:val="3"/>
          <w:numId w:val="12"/>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28"/>
        </w:rPr>
      </w:pPr>
      <w:r w:rsidRPr="00260DE3">
        <w:rPr>
          <w:rFonts w:ascii="標楷體" w:eastAsia="標楷體" w:hAnsi="標楷體"/>
          <w:bCs/>
          <w:sz w:val="28"/>
          <w:szCs w:val="28"/>
        </w:rPr>
        <w:t>安全措施的重要性：</w:t>
      </w:r>
      <w:r w:rsidR="00566602">
        <w:rPr>
          <w:rFonts w:ascii="標楷體" w:eastAsia="標楷體" w:hAnsi="標楷體"/>
          <w:bCs/>
          <w:sz w:val="28"/>
          <w:szCs w:val="28"/>
        </w:rPr>
        <w:t>東京電力公司(TEPCO)</w:t>
      </w:r>
      <w:r w:rsidRPr="00260DE3">
        <w:rPr>
          <w:rFonts w:ascii="標楷體" w:eastAsia="標楷體" w:hAnsi="標楷體"/>
          <w:bCs/>
          <w:sz w:val="28"/>
          <w:szCs w:val="28"/>
        </w:rPr>
        <w:t>在</w:t>
      </w:r>
      <w:r w:rsidR="00650ABC" w:rsidRPr="00650ABC">
        <w:rPr>
          <w:rFonts w:ascii="標楷體" w:eastAsia="標楷體" w:hAnsi="標楷體" w:hint="eastAsia"/>
          <w:bCs/>
          <w:sz w:val="28"/>
          <w:szCs w:val="28"/>
        </w:rPr>
        <w:t>311東日本大震災(</w:t>
      </w:r>
      <w:r w:rsidR="00650ABC" w:rsidRPr="00650ABC">
        <w:rPr>
          <w:rFonts w:ascii="標楷體" w:eastAsia="標楷體" w:hAnsi="標楷體"/>
          <w:bCs/>
          <w:sz w:val="28"/>
          <w:szCs w:val="28"/>
        </w:rPr>
        <w:t>福島核災</w:t>
      </w:r>
      <w:r w:rsidR="00650ABC" w:rsidRPr="00650ABC">
        <w:rPr>
          <w:rFonts w:ascii="標楷體" w:eastAsia="標楷體" w:hAnsi="標楷體" w:hint="eastAsia"/>
          <w:bCs/>
          <w:sz w:val="28"/>
          <w:szCs w:val="28"/>
        </w:rPr>
        <w:t>)</w:t>
      </w:r>
      <w:r w:rsidRPr="00260DE3">
        <w:rPr>
          <w:rFonts w:ascii="標楷體" w:eastAsia="標楷體" w:hAnsi="標楷體"/>
          <w:bCs/>
          <w:sz w:val="28"/>
          <w:szCs w:val="28"/>
        </w:rPr>
        <w:t>後，痛定思痛，致力於提升核能電廠的安全措施，包括硬體設施、人員訓練、安全文化以及資訊透明度等。這些措施展現核能安全的重要性，也給予我國在核能安全管理上的寶貴啟示。</w:t>
      </w:r>
    </w:p>
    <w:p w14:paraId="5CE85C28" w14:textId="7020233E" w:rsidR="00260DE3" w:rsidRPr="00260DE3" w:rsidRDefault="00260DE3" w:rsidP="009C4EE0">
      <w:pPr>
        <w:pStyle w:val="af4"/>
        <w:numPr>
          <w:ilvl w:val="3"/>
          <w:numId w:val="12"/>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28"/>
        </w:rPr>
      </w:pPr>
      <w:r w:rsidRPr="00260DE3">
        <w:rPr>
          <w:rFonts w:ascii="標楷體" w:eastAsia="標楷體" w:hAnsi="標楷體"/>
          <w:bCs/>
          <w:sz w:val="28"/>
          <w:szCs w:val="28"/>
        </w:rPr>
        <w:t>持續改善的必要性：核能安全沒有止境，需要持續不斷的檢視與改善。我國核能產業應參考國際標準，建立一套完善的安全管理機制，並定期進行評估與改進，以確保核電廠安全無虞。</w:t>
      </w:r>
    </w:p>
    <w:p w14:paraId="59244F89" w14:textId="1BF501E1" w:rsidR="00260DE3" w:rsidRPr="00260DE3" w:rsidRDefault="00260DE3" w:rsidP="009C4EE0">
      <w:pPr>
        <w:pStyle w:val="af4"/>
        <w:numPr>
          <w:ilvl w:val="3"/>
          <w:numId w:val="12"/>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28"/>
        </w:rPr>
      </w:pPr>
      <w:r w:rsidRPr="00260DE3">
        <w:rPr>
          <w:rFonts w:ascii="標楷體" w:eastAsia="標楷體" w:hAnsi="標楷體"/>
          <w:bCs/>
          <w:sz w:val="28"/>
          <w:szCs w:val="28"/>
        </w:rPr>
        <w:t>獨立監督機制的重要性：獨立監管機構對於確保核能安全至關重要。我國應建立獨立且具備專業能力的監督機構，確保核電廠符合安全標準，並能有效監督安全措施的落實。</w:t>
      </w:r>
    </w:p>
    <w:p w14:paraId="610C0EEA" w14:textId="77777777" w:rsidR="00260DE3" w:rsidRPr="00260DE3" w:rsidRDefault="00260DE3" w:rsidP="009C4EE0">
      <w:pPr>
        <w:pStyle w:val="af4"/>
        <w:numPr>
          <w:ilvl w:val="2"/>
          <w:numId w:val="8"/>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28"/>
        </w:rPr>
      </w:pPr>
      <w:r w:rsidRPr="00260DE3">
        <w:rPr>
          <w:rFonts w:ascii="標楷體" w:eastAsia="標楷體" w:hAnsi="標楷體"/>
          <w:bCs/>
          <w:sz w:val="28"/>
          <w:szCs w:val="28"/>
        </w:rPr>
        <w:t>新世代能源技術的重要性：</w:t>
      </w:r>
    </w:p>
    <w:p w14:paraId="26A5002D" w14:textId="1A9C2C14" w:rsidR="00260DE3" w:rsidRPr="00260DE3" w:rsidRDefault="00566602" w:rsidP="009C4EE0">
      <w:pPr>
        <w:pStyle w:val="af4"/>
        <w:numPr>
          <w:ilvl w:val="3"/>
          <w:numId w:val="13"/>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28"/>
        </w:rPr>
      </w:pPr>
      <w:r>
        <w:rPr>
          <w:rFonts w:ascii="標楷體" w:eastAsia="標楷體" w:hAnsi="標楷體"/>
          <w:bCs/>
          <w:sz w:val="28"/>
          <w:szCs w:val="28"/>
        </w:rPr>
        <w:lastRenderedPageBreak/>
        <w:t>小型模組化反應器(SMR)</w:t>
      </w:r>
      <w:r w:rsidR="00260DE3" w:rsidRPr="00260DE3">
        <w:rPr>
          <w:rFonts w:ascii="標楷體" w:eastAsia="標楷體" w:hAnsi="標楷體"/>
          <w:bCs/>
          <w:sz w:val="28"/>
          <w:szCs w:val="28"/>
        </w:rPr>
        <w:t>的潛力與挑戰：小型模組化反應器</w:t>
      </w:r>
      <w:r>
        <w:rPr>
          <w:rFonts w:ascii="標楷體" w:eastAsia="標楷體" w:hAnsi="標楷體"/>
          <w:bCs/>
          <w:sz w:val="28"/>
          <w:szCs w:val="28"/>
        </w:rPr>
        <w:t>(</w:t>
      </w:r>
      <w:r w:rsidR="00260DE3" w:rsidRPr="00260DE3">
        <w:rPr>
          <w:rFonts w:ascii="標楷體" w:eastAsia="標楷體" w:hAnsi="標楷體"/>
          <w:bCs/>
          <w:sz w:val="28"/>
          <w:szCs w:val="28"/>
        </w:rPr>
        <w:t>SMR</w:t>
      </w:r>
      <w:r>
        <w:rPr>
          <w:rFonts w:ascii="標楷體" w:eastAsia="標楷體" w:hAnsi="標楷體"/>
          <w:bCs/>
          <w:sz w:val="28"/>
          <w:szCs w:val="28"/>
        </w:rPr>
        <w:t>)</w:t>
      </w:r>
      <w:r w:rsidR="00260DE3" w:rsidRPr="00260DE3">
        <w:rPr>
          <w:rFonts w:ascii="標楷體" w:eastAsia="標楷體" w:hAnsi="標楷體"/>
          <w:bCs/>
          <w:sz w:val="28"/>
          <w:szCs w:val="28"/>
        </w:rPr>
        <w:t>具有建廠成本低、建廠時間短和安全性高等優勢，為未來核能發展提供新的方向。然而，</w:t>
      </w:r>
      <w:r>
        <w:rPr>
          <w:rFonts w:ascii="標楷體" w:eastAsia="標楷體" w:hAnsi="標楷體"/>
          <w:bCs/>
          <w:sz w:val="28"/>
          <w:szCs w:val="28"/>
        </w:rPr>
        <w:t>小型模組化反應器(SMR)</w:t>
      </w:r>
      <w:r w:rsidR="00260DE3" w:rsidRPr="00260DE3">
        <w:rPr>
          <w:rFonts w:ascii="標楷體" w:eastAsia="標楷體" w:hAnsi="標楷體"/>
          <w:bCs/>
          <w:sz w:val="28"/>
          <w:szCs w:val="28"/>
        </w:rPr>
        <w:t>的技術發展仍處於初期階段，仍有許多挑戰需要克服，如商業化成本、安全風險評估以及監管制度等。</w:t>
      </w:r>
    </w:p>
    <w:p w14:paraId="230477AB" w14:textId="499CFE1C" w:rsidR="00260DE3" w:rsidRPr="00260DE3" w:rsidRDefault="00260DE3" w:rsidP="009C4EE0">
      <w:pPr>
        <w:pStyle w:val="af4"/>
        <w:numPr>
          <w:ilvl w:val="3"/>
          <w:numId w:val="13"/>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28"/>
        </w:rPr>
      </w:pPr>
      <w:r w:rsidRPr="00260DE3">
        <w:rPr>
          <w:rFonts w:ascii="標楷體" w:eastAsia="標楷體" w:hAnsi="標楷體"/>
          <w:bCs/>
          <w:sz w:val="28"/>
          <w:szCs w:val="28"/>
        </w:rPr>
        <w:t>多元能源發展：我國應持續關注國際間新世代能源的發展趨勢，除</w:t>
      </w:r>
      <w:r w:rsidR="00566602">
        <w:rPr>
          <w:rFonts w:ascii="標楷體" w:eastAsia="標楷體" w:hAnsi="標楷體"/>
          <w:bCs/>
          <w:sz w:val="28"/>
          <w:szCs w:val="28"/>
        </w:rPr>
        <w:t>小型模組化反應器(SMR)</w:t>
      </w:r>
      <w:r w:rsidRPr="00260DE3">
        <w:rPr>
          <w:rFonts w:ascii="標楷體" w:eastAsia="標楷體" w:hAnsi="標楷體"/>
          <w:bCs/>
          <w:sz w:val="28"/>
          <w:szCs w:val="28"/>
        </w:rPr>
        <w:t>外，如氫能、地熱能、儲能技術等，都可作為能源轉型的重要選項。</w:t>
      </w:r>
    </w:p>
    <w:p w14:paraId="7D6FB33C" w14:textId="1BDA8C91" w:rsidR="00260DE3" w:rsidRPr="00260DE3" w:rsidRDefault="00260DE3" w:rsidP="009C4EE0">
      <w:pPr>
        <w:pStyle w:val="af4"/>
        <w:numPr>
          <w:ilvl w:val="3"/>
          <w:numId w:val="13"/>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28"/>
        </w:rPr>
      </w:pPr>
      <w:r w:rsidRPr="00260DE3">
        <w:rPr>
          <w:rFonts w:ascii="標楷體" w:eastAsia="標楷體" w:hAnsi="標楷體"/>
          <w:bCs/>
          <w:sz w:val="28"/>
          <w:szCs w:val="28"/>
        </w:rPr>
        <w:t>技術評估與國際合作：建議我國在引進新世代能源技術時，應進行審慎評估，並加強國際合作，以提升我國的能源技術水準和自主能力。</w:t>
      </w:r>
    </w:p>
    <w:p w14:paraId="413BF604" w14:textId="77777777" w:rsidR="00260DE3" w:rsidRPr="00260DE3" w:rsidRDefault="00260DE3" w:rsidP="009C4EE0">
      <w:pPr>
        <w:pStyle w:val="af4"/>
        <w:numPr>
          <w:ilvl w:val="2"/>
          <w:numId w:val="8"/>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28"/>
        </w:rPr>
      </w:pPr>
      <w:r w:rsidRPr="00260DE3">
        <w:rPr>
          <w:rFonts w:ascii="標楷體" w:eastAsia="標楷體" w:hAnsi="標楷體"/>
          <w:bCs/>
          <w:sz w:val="28"/>
          <w:szCs w:val="28"/>
        </w:rPr>
        <w:t>核廢料處理與處置：</w:t>
      </w:r>
    </w:p>
    <w:p w14:paraId="3459BC9D" w14:textId="2A4F6341" w:rsidR="00260DE3" w:rsidRPr="00260DE3" w:rsidRDefault="00260DE3" w:rsidP="009C4EE0">
      <w:pPr>
        <w:pStyle w:val="af4"/>
        <w:numPr>
          <w:ilvl w:val="3"/>
          <w:numId w:val="14"/>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28"/>
        </w:rPr>
      </w:pPr>
      <w:r w:rsidRPr="00260DE3">
        <w:rPr>
          <w:rFonts w:ascii="標楷體" w:eastAsia="標楷體" w:hAnsi="標楷體"/>
          <w:bCs/>
          <w:sz w:val="28"/>
          <w:szCs w:val="28"/>
        </w:rPr>
        <w:t>核廢料處理的挑戰：核廢料處理一直是核能發展的重要議題，如何妥善處理高放射性廢棄物，確保環境安全，是全球核能產業共同面臨的挑戰。</w:t>
      </w:r>
    </w:p>
    <w:p w14:paraId="71A59F9C" w14:textId="429F8084" w:rsidR="00260DE3" w:rsidRPr="00260DE3" w:rsidRDefault="00260DE3" w:rsidP="009C4EE0">
      <w:pPr>
        <w:pStyle w:val="af4"/>
        <w:numPr>
          <w:ilvl w:val="3"/>
          <w:numId w:val="14"/>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28"/>
        </w:rPr>
      </w:pPr>
      <w:r w:rsidRPr="00260DE3">
        <w:rPr>
          <w:rFonts w:ascii="標楷體" w:eastAsia="標楷體" w:hAnsi="標楷體"/>
          <w:bCs/>
          <w:sz w:val="28"/>
          <w:szCs w:val="28"/>
        </w:rPr>
        <w:t>多元化處理技術：日本在核廢料處理方面，持續投入資源研發核燃料再處理技術和高放射性廢棄物的地質處置等技術。我國應參考國際經驗，積極研發核廢料減量技術，並規劃高階核廢料的最終處置場選址，以降低環境風險。</w:t>
      </w:r>
    </w:p>
    <w:p w14:paraId="79E915EF" w14:textId="7C1221DD" w:rsidR="00260DE3" w:rsidRPr="00260DE3" w:rsidRDefault="00260DE3" w:rsidP="009C4EE0">
      <w:pPr>
        <w:pStyle w:val="af4"/>
        <w:numPr>
          <w:ilvl w:val="3"/>
          <w:numId w:val="14"/>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28"/>
        </w:rPr>
      </w:pPr>
      <w:r w:rsidRPr="00260DE3">
        <w:rPr>
          <w:rFonts w:ascii="標楷體" w:eastAsia="標楷體" w:hAnsi="標楷體"/>
          <w:bCs/>
          <w:sz w:val="28"/>
          <w:szCs w:val="28"/>
        </w:rPr>
        <w:t>資訊公開與社會溝通：核廢料處理議題高度敏感，政府應建立公開透明的資訊揭露機制，並積極與社會大眾溝通，以建立互信基礎，共同解決核廢料問題。</w:t>
      </w:r>
    </w:p>
    <w:p w14:paraId="7DFB722C" w14:textId="77777777" w:rsidR="00260DE3" w:rsidRPr="00260DE3" w:rsidRDefault="00260DE3" w:rsidP="009C4EE0">
      <w:pPr>
        <w:pStyle w:val="af4"/>
        <w:numPr>
          <w:ilvl w:val="2"/>
          <w:numId w:val="8"/>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28"/>
        </w:rPr>
      </w:pPr>
      <w:r w:rsidRPr="00260DE3">
        <w:rPr>
          <w:rFonts w:ascii="標楷體" w:eastAsia="標楷體" w:hAnsi="標楷體"/>
          <w:bCs/>
          <w:sz w:val="28"/>
          <w:szCs w:val="28"/>
        </w:rPr>
        <w:t>能源轉型與永續發展：</w:t>
      </w:r>
    </w:p>
    <w:p w14:paraId="32580808" w14:textId="5EAA1A49" w:rsidR="00260DE3" w:rsidRPr="00260DE3" w:rsidRDefault="00260DE3" w:rsidP="009C4EE0">
      <w:pPr>
        <w:pStyle w:val="af4"/>
        <w:numPr>
          <w:ilvl w:val="3"/>
          <w:numId w:val="15"/>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28"/>
        </w:rPr>
      </w:pPr>
      <w:r w:rsidRPr="00260DE3">
        <w:rPr>
          <w:rFonts w:ascii="標楷體" w:eastAsia="標楷體" w:hAnsi="標楷體"/>
          <w:bCs/>
          <w:sz w:val="28"/>
          <w:szCs w:val="28"/>
        </w:rPr>
        <w:t>淨零目標與能源轉型：全球各國都面臨能源轉型和達成淨零碳排的挑戰，我國在推動能源轉型時，應審慎評估各種能源的優缺點，並制定符合國情且務實可行的能源配比策略，以達到經濟發展、環境保護和能源安全之間的平衡。</w:t>
      </w:r>
    </w:p>
    <w:p w14:paraId="7638F318" w14:textId="3EBF5E3A" w:rsidR="00260DE3" w:rsidRPr="00260DE3" w:rsidRDefault="00260DE3" w:rsidP="009C4EE0">
      <w:pPr>
        <w:pStyle w:val="af4"/>
        <w:numPr>
          <w:ilvl w:val="3"/>
          <w:numId w:val="15"/>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28"/>
        </w:rPr>
      </w:pPr>
      <w:r w:rsidRPr="00260DE3">
        <w:rPr>
          <w:rFonts w:ascii="標楷體" w:eastAsia="標楷體" w:hAnsi="標楷體"/>
          <w:bCs/>
          <w:sz w:val="28"/>
          <w:szCs w:val="28"/>
        </w:rPr>
        <w:t>再生能源與基載電力：由於再生能源具有間歇性的特性，我國在規劃能源配比時，應適當保留核能作為基載電力，確保供電穩定，並積極發展儲能技術，以提升再生能源的應用效率與穩定性。</w:t>
      </w:r>
    </w:p>
    <w:p w14:paraId="01D2D7E8" w14:textId="4E8EACA3" w:rsidR="00260DE3" w:rsidRPr="00260DE3" w:rsidRDefault="00260DE3" w:rsidP="009C4EE0">
      <w:pPr>
        <w:pStyle w:val="af4"/>
        <w:numPr>
          <w:ilvl w:val="3"/>
          <w:numId w:val="15"/>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28"/>
        </w:rPr>
      </w:pPr>
      <w:r w:rsidRPr="00260DE3">
        <w:rPr>
          <w:rFonts w:ascii="標楷體" w:eastAsia="標楷體" w:hAnsi="標楷體"/>
          <w:bCs/>
          <w:sz w:val="28"/>
          <w:szCs w:val="28"/>
        </w:rPr>
        <w:lastRenderedPageBreak/>
        <w:t>國際合作與經驗分享：能源轉型是一個全球性的議題，需要各國共同努力。我國應加強國際合作，與其他國家分享經驗和技術，共同推動全球能源轉型與永續發展。</w:t>
      </w:r>
    </w:p>
    <w:p w14:paraId="10B1A03F" w14:textId="77777777" w:rsidR="00260DE3" w:rsidRPr="00260DE3" w:rsidRDefault="00260DE3" w:rsidP="009C4EE0">
      <w:pPr>
        <w:pStyle w:val="af4"/>
        <w:numPr>
          <w:ilvl w:val="2"/>
          <w:numId w:val="8"/>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28"/>
        </w:rPr>
      </w:pPr>
      <w:r w:rsidRPr="00260DE3">
        <w:rPr>
          <w:rFonts w:ascii="標楷體" w:eastAsia="標楷體" w:hAnsi="標楷體"/>
          <w:bCs/>
          <w:sz w:val="28"/>
          <w:szCs w:val="28"/>
        </w:rPr>
        <w:t>我國能源政策的檢討與省思：</w:t>
      </w:r>
    </w:p>
    <w:p w14:paraId="095D56E0" w14:textId="5281D3B0" w:rsidR="00260DE3" w:rsidRPr="00260DE3" w:rsidRDefault="00260DE3" w:rsidP="009C4EE0">
      <w:pPr>
        <w:pStyle w:val="af4"/>
        <w:numPr>
          <w:ilvl w:val="3"/>
          <w:numId w:val="16"/>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28"/>
        </w:rPr>
      </w:pPr>
      <w:r w:rsidRPr="00260DE3">
        <w:rPr>
          <w:rFonts w:ascii="標楷體" w:eastAsia="標楷體" w:hAnsi="標楷體"/>
          <w:bCs/>
          <w:sz w:val="28"/>
          <w:szCs w:val="28"/>
        </w:rPr>
        <w:t>非核家園政策的挑戰：我國目前以「非核家園」為政策目標，然而，在電力需求不斷增長以及國際減碳壓力下，我國應重新檢視能源政策，確保能源供應穩定，同時兼顧環境保護與經濟發展。</w:t>
      </w:r>
    </w:p>
    <w:p w14:paraId="5CDA8C84" w14:textId="59A2E50C" w:rsidR="00260DE3" w:rsidRPr="00260DE3" w:rsidRDefault="00260DE3" w:rsidP="009C4EE0">
      <w:pPr>
        <w:pStyle w:val="af4"/>
        <w:numPr>
          <w:ilvl w:val="3"/>
          <w:numId w:val="16"/>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28"/>
        </w:rPr>
      </w:pPr>
      <w:r w:rsidRPr="00260DE3">
        <w:rPr>
          <w:rFonts w:ascii="標楷體" w:eastAsia="標楷體" w:hAnsi="標楷體"/>
          <w:bCs/>
          <w:sz w:val="28"/>
          <w:szCs w:val="28"/>
        </w:rPr>
        <w:t>能源多元化與自主性：考量到國際政治情勢的不確定性，我國應積極發展多元能源，並加強能源自主性，以降低對單一能源的依賴。</w:t>
      </w:r>
    </w:p>
    <w:p w14:paraId="474D862F" w14:textId="5939DC98" w:rsidR="00260DE3" w:rsidRPr="00260DE3" w:rsidRDefault="00260DE3" w:rsidP="009C4EE0">
      <w:pPr>
        <w:pStyle w:val="af4"/>
        <w:numPr>
          <w:ilvl w:val="3"/>
          <w:numId w:val="16"/>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28"/>
        </w:rPr>
      </w:pPr>
      <w:r w:rsidRPr="00260DE3">
        <w:rPr>
          <w:rFonts w:ascii="標楷體" w:eastAsia="標楷體" w:hAnsi="標楷體"/>
          <w:bCs/>
          <w:sz w:val="28"/>
          <w:szCs w:val="28"/>
        </w:rPr>
        <w:t>務實且開放的態度：我國在面對能源議題時，應採取務實且開放的態度，與各界進行理性對話，共同尋求最符合國家利益的能源發展策略。</w:t>
      </w:r>
    </w:p>
    <w:p w14:paraId="17CB58B6" w14:textId="5E6AF801" w:rsidR="00A95445" w:rsidRDefault="00A95445" w:rsidP="009C4EE0">
      <w:pPr>
        <w:pStyle w:val="af4"/>
        <w:numPr>
          <w:ilvl w:val="2"/>
          <w:numId w:val="8"/>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28"/>
        </w:rPr>
      </w:pPr>
      <w:r w:rsidRPr="00A95445">
        <w:rPr>
          <w:rFonts w:ascii="標楷體" w:eastAsia="標楷體" w:hAnsi="標楷體"/>
          <w:bCs/>
          <w:sz w:val="28"/>
          <w:szCs w:val="28"/>
        </w:rPr>
        <w:t>本次赴日考察，使本考察團認識到核能電廠除役是一項複雜且長期的挑戰，我國在推動能源轉型之際，應以務實態度審慎評估核能除役之相關議題，</w:t>
      </w:r>
      <w:r w:rsidR="00B329F1" w:rsidRPr="00A95445">
        <w:rPr>
          <w:rFonts w:ascii="標楷體" w:eastAsia="標楷體" w:hAnsi="標楷體"/>
          <w:bCs/>
          <w:sz w:val="28"/>
          <w:szCs w:val="28"/>
        </w:rPr>
        <w:t>參考日本經驗</w:t>
      </w:r>
      <w:r w:rsidR="00B329F1">
        <w:rPr>
          <w:rFonts w:ascii="標楷體" w:eastAsia="標楷體" w:hAnsi="標楷體" w:hint="eastAsia"/>
          <w:bCs/>
          <w:sz w:val="28"/>
          <w:szCs w:val="28"/>
        </w:rPr>
        <w:t>以</w:t>
      </w:r>
      <w:r w:rsidR="00B329F1" w:rsidRPr="00A95445">
        <w:rPr>
          <w:rFonts w:ascii="標楷體" w:eastAsia="標楷體" w:hAnsi="標楷體"/>
          <w:bCs/>
          <w:sz w:val="28"/>
          <w:szCs w:val="28"/>
        </w:rPr>
        <w:t>建立完善</w:t>
      </w:r>
      <w:r w:rsidR="00B329F1">
        <w:rPr>
          <w:rFonts w:ascii="標楷體" w:eastAsia="標楷體" w:hAnsi="標楷體" w:hint="eastAsia"/>
          <w:bCs/>
          <w:sz w:val="28"/>
          <w:szCs w:val="28"/>
        </w:rPr>
        <w:t>之</w:t>
      </w:r>
      <w:r w:rsidR="00B329F1" w:rsidRPr="00A95445">
        <w:rPr>
          <w:rFonts w:ascii="標楷體" w:eastAsia="標楷體" w:hAnsi="標楷體"/>
          <w:bCs/>
          <w:sz w:val="28"/>
          <w:szCs w:val="28"/>
        </w:rPr>
        <w:t>除役制度</w:t>
      </w:r>
      <w:r w:rsidR="00B329F1">
        <w:rPr>
          <w:rFonts w:ascii="標楷體" w:eastAsia="標楷體" w:hAnsi="標楷體" w:hint="eastAsia"/>
          <w:bCs/>
          <w:sz w:val="28"/>
          <w:szCs w:val="28"/>
        </w:rPr>
        <w:t>，並</w:t>
      </w:r>
      <w:r w:rsidRPr="00A95445">
        <w:rPr>
          <w:rFonts w:ascii="標楷體" w:eastAsia="標楷體" w:hAnsi="標楷體"/>
          <w:bCs/>
          <w:sz w:val="28"/>
          <w:szCs w:val="28"/>
        </w:rPr>
        <w:t>確保國家能源政策之穩健發展。</w:t>
      </w:r>
    </w:p>
    <w:p w14:paraId="50574908" w14:textId="2376AAD6" w:rsidR="00A95445" w:rsidRPr="00E518CC" w:rsidRDefault="00A95445" w:rsidP="009C4EE0">
      <w:pPr>
        <w:pStyle w:val="af4"/>
        <w:numPr>
          <w:ilvl w:val="3"/>
          <w:numId w:val="17"/>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28"/>
        </w:rPr>
      </w:pPr>
      <w:r w:rsidRPr="00E518CC">
        <w:rPr>
          <w:rFonts w:ascii="標楷體" w:eastAsia="標楷體" w:hAnsi="標楷體"/>
          <w:bCs/>
          <w:sz w:val="28"/>
          <w:szCs w:val="28"/>
        </w:rPr>
        <w:t>儘管我國核電廠多採用美國系統</w:t>
      </w:r>
      <w:r w:rsidR="007C1689" w:rsidRPr="00E518CC">
        <w:rPr>
          <w:rFonts w:ascii="標楷體" w:eastAsia="標楷體" w:hAnsi="標楷體" w:hint="eastAsia"/>
          <w:bCs/>
          <w:sz w:val="28"/>
          <w:szCs w:val="28"/>
        </w:rPr>
        <w:t>及設備</w:t>
      </w:r>
      <w:r w:rsidRPr="00E518CC">
        <w:rPr>
          <w:rFonts w:ascii="標楷體" w:eastAsia="標楷體" w:hAnsi="標楷體"/>
          <w:bCs/>
          <w:sz w:val="28"/>
          <w:szCs w:val="28"/>
        </w:rPr>
        <w:t>，然核能除役技術與經驗具有共通性。</w:t>
      </w:r>
      <w:r w:rsidR="00650ABC" w:rsidRPr="00E518CC">
        <w:rPr>
          <w:rFonts w:ascii="標楷體" w:eastAsia="標楷體" w:hAnsi="標楷體" w:hint="eastAsia"/>
          <w:bCs/>
          <w:sz w:val="28"/>
          <w:szCs w:val="28"/>
        </w:rPr>
        <w:t>311東日本大震災(</w:t>
      </w:r>
      <w:r w:rsidR="00650ABC" w:rsidRPr="00E518CC">
        <w:rPr>
          <w:rFonts w:ascii="標楷體" w:eastAsia="標楷體" w:hAnsi="標楷體"/>
          <w:bCs/>
          <w:sz w:val="28"/>
          <w:szCs w:val="28"/>
        </w:rPr>
        <w:t>福島核災</w:t>
      </w:r>
      <w:r w:rsidR="00650ABC" w:rsidRPr="00E518CC">
        <w:rPr>
          <w:rFonts w:ascii="標楷體" w:eastAsia="標楷體" w:hAnsi="標楷體" w:hint="eastAsia"/>
          <w:bCs/>
          <w:sz w:val="28"/>
          <w:szCs w:val="28"/>
        </w:rPr>
        <w:t>)</w:t>
      </w:r>
      <w:r w:rsidRPr="00E518CC">
        <w:rPr>
          <w:rFonts w:ascii="標楷體" w:eastAsia="標楷體" w:hAnsi="標楷體"/>
          <w:bCs/>
          <w:sz w:val="28"/>
          <w:szCs w:val="28"/>
        </w:rPr>
        <w:t>後，政府與產業界致力於核電廠除役技術之精進，並累積豐富實務經驗，其中，柏崎刈羽核電廠已開始</w:t>
      </w:r>
      <w:r w:rsidRPr="00E518CC">
        <w:rPr>
          <w:rFonts w:ascii="標楷體" w:eastAsia="標楷體" w:hAnsi="標楷體" w:hint="eastAsia"/>
          <w:bCs/>
          <w:sz w:val="28"/>
          <w:szCs w:val="28"/>
        </w:rPr>
        <w:t>進行</w:t>
      </w:r>
      <w:r w:rsidRPr="00E518CC">
        <w:rPr>
          <w:rFonts w:ascii="標楷體" w:eastAsia="標楷體" w:hAnsi="標楷體"/>
          <w:bCs/>
          <w:sz w:val="28"/>
          <w:szCs w:val="28"/>
        </w:rPr>
        <w:t>1號機組之除役作業，其流程涵蓋除污、拆除、廢棄物管理等環節，對於我國核電廠之除役規劃具有高度參考價值。核電廠除役是一項複雜且耗時的工程，其挑戰包括核燃料的妥善處置、放射性物質的清除、廠房結構的拆解、以及環境影響的評估等</w:t>
      </w:r>
      <w:r w:rsidR="007C1689" w:rsidRPr="00E518CC">
        <w:rPr>
          <w:rFonts w:ascii="標楷體" w:eastAsia="標楷體" w:hAnsi="標楷體" w:hint="eastAsia"/>
          <w:bCs/>
          <w:sz w:val="28"/>
          <w:szCs w:val="28"/>
        </w:rPr>
        <w:t>，均具有重要性</w:t>
      </w:r>
      <w:r w:rsidRPr="00E518CC">
        <w:rPr>
          <w:rFonts w:ascii="標楷體" w:eastAsia="標楷體" w:hAnsi="標楷體"/>
          <w:bCs/>
          <w:sz w:val="28"/>
          <w:szCs w:val="28"/>
        </w:rPr>
        <w:t>。本考察團認為，我國應積極參考日本經驗，建立完善的除役制度，以確保除役作業安全、有效率，並降低對環境之衝擊。</w:t>
      </w:r>
    </w:p>
    <w:p w14:paraId="3F999831" w14:textId="5AFFE54B" w:rsidR="00A95445" w:rsidRDefault="00A95445" w:rsidP="009C4EE0">
      <w:pPr>
        <w:pStyle w:val="af4"/>
        <w:numPr>
          <w:ilvl w:val="3"/>
          <w:numId w:val="17"/>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28"/>
        </w:rPr>
      </w:pPr>
      <w:r w:rsidRPr="00A95445">
        <w:rPr>
          <w:rFonts w:ascii="標楷體" w:eastAsia="標楷體" w:hAnsi="標楷體"/>
          <w:bCs/>
          <w:sz w:val="28"/>
          <w:szCs w:val="28"/>
        </w:rPr>
        <w:t>技術交流與人才培育</w:t>
      </w:r>
      <w:r w:rsidR="007C1689">
        <w:rPr>
          <w:rFonts w:ascii="標楷體" w:eastAsia="標楷體" w:hAnsi="標楷體" w:hint="eastAsia"/>
          <w:bCs/>
          <w:sz w:val="28"/>
          <w:szCs w:val="28"/>
        </w:rPr>
        <w:t>部分，</w:t>
      </w:r>
      <w:r w:rsidRPr="00A95445">
        <w:rPr>
          <w:rFonts w:ascii="標楷體" w:eastAsia="標楷體" w:hAnsi="標楷體"/>
          <w:bCs/>
          <w:sz w:val="28"/>
          <w:szCs w:val="28"/>
        </w:rPr>
        <w:t>考量我國與日本均面臨核能電廠除役之挑戰，建議我國應加強與日本在核電廠除役方面的技術交流與人才培育，學習先進的除役技術與管理經驗，以確保我國核電廠除役作業順利進行，並強化我國在核能除役領域之專業能</w:t>
      </w:r>
      <w:r w:rsidRPr="00A95445">
        <w:rPr>
          <w:rFonts w:ascii="標楷體" w:eastAsia="標楷體" w:hAnsi="標楷體"/>
          <w:bCs/>
          <w:sz w:val="28"/>
          <w:szCs w:val="28"/>
        </w:rPr>
        <w:lastRenderedPageBreak/>
        <w:t>力。</w:t>
      </w:r>
    </w:p>
    <w:p w14:paraId="6B272B49" w14:textId="77777777" w:rsidR="00E518CC" w:rsidRDefault="007C1689" w:rsidP="009C4EE0">
      <w:pPr>
        <w:pStyle w:val="af4"/>
        <w:numPr>
          <w:ilvl w:val="3"/>
          <w:numId w:val="17"/>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28"/>
        </w:rPr>
      </w:pPr>
      <w:r w:rsidRPr="007C1689">
        <w:rPr>
          <w:rFonts w:ascii="標楷體" w:eastAsia="標楷體" w:hAnsi="標楷體"/>
          <w:bCs/>
          <w:sz w:val="28"/>
          <w:szCs w:val="28"/>
        </w:rPr>
        <w:t>鑒於我國現有核能一廠、核能二廠及核能三廠等三座核能發電廠，相繼進入除役階段，為確保除役作業安全、高效且符合國際標準，並借鏡國際間豐富實務經驗，我國宜積極推動與鄰近國家，特別是日本，就核電廠除役相關事宜進行實質合作與交流。日本於核電廠除役領域，特別是</w:t>
      </w:r>
      <w:r w:rsidRPr="007C1689">
        <w:rPr>
          <w:rFonts w:ascii="標楷體" w:eastAsia="標楷體" w:hAnsi="標楷體" w:hint="eastAsia"/>
          <w:bCs/>
          <w:sz w:val="28"/>
          <w:szCs w:val="28"/>
        </w:rPr>
        <w:t>311東日本大震災</w:t>
      </w:r>
      <w:r w:rsidRPr="007C1689">
        <w:rPr>
          <w:rFonts w:ascii="標楷體" w:eastAsia="標楷體" w:hAnsi="標楷體"/>
          <w:bCs/>
          <w:sz w:val="28"/>
          <w:szCs w:val="28"/>
        </w:rPr>
        <w:t>後，累積豐碩的技術與實務經驗，包含除污、拆除、放射性廢棄物管理等各面向均有長足進展。考量我國與日本雖核電廠機組設計有所差異，然除役作業之核心原則與技術挑戰具高度共通性，雙方合作實有裨益。</w:t>
      </w:r>
    </w:p>
    <w:p w14:paraId="2BB3967F" w14:textId="1A8493CF" w:rsidR="007C1689" w:rsidRPr="007C1689" w:rsidRDefault="007C1689" w:rsidP="009C4EE0">
      <w:pPr>
        <w:pStyle w:val="af4"/>
        <w:numPr>
          <w:ilvl w:val="3"/>
          <w:numId w:val="17"/>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28"/>
        </w:rPr>
      </w:pPr>
      <w:r w:rsidRPr="007C1689">
        <w:rPr>
          <w:rFonts w:ascii="標楷體" w:eastAsia="標楷體" w:hAnsi="標楷體"/>
          <w:bCs/>
          <w:sz w:val="28"/>
          <w:szCs w:val="28"/>
        </w:rPr>
        <w:t>爰此，建議我國前述三座核能發電廠中，應擇定至少一座核能發電廠作為先導案例，積極開展與日本在核電廠除役領域之具體合作與交流，涵蓋範疇包含但不限於：除役規劃、拆除技術、放射性廢棄物處理與處置、環境監測、法規制度、以及專業人才培訓等方面，俾利汲取日方寶貴經驗，完善我國核電廠除役作業之規劃與執行，確保相關作業安全無虞，並降低對環境之潛在影響，穩健推動我國能源轉型政策。</w:t>
      </w:r>
    </w:p>
    <w:p w14:paraId="51083E27" w14:textId="77777777" w:rsidR="00FE2F9B" w:rsidRDefault="00FE2F9B" w:rsidP="009C4EE0">
      <w:pPr>
        <w:pStyle w:val="af4"/>
        <w:numPr>
          <w:ilvl w:val="2"/>
          <w:numId w:val="8"/>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28"/>
        </w:rPr>
      </w:pPr>
      <w:r w:rsidRPr="00FE2F9B">
        <w:rPr>
          <w:rFonts w:ascii="標楷體" w:eastAsia="標楷體" w:hAnsi="標楷體"/>
          <w:bCs/>
          <w:sz w:val="28"/>
          <w:szCs w:val="28"/>
        </w:rPr>
        <w:t>我國在推動能源轉型之際，應兼顧電力市場之競爭性與穩定性，並積極與國際接軌，以確保國家能源政策之永續發展</w:t>
      </w:r>
      <w:r>
        <w:rPr>
          <w:rFonts w:ascii="標楷體" w:eastAsia="標楷體" w:hAnsi="標楷體" w:hint="eastAsia"/>
          <w:bCs/>
          <w:sz w:val="28"/>
          <w:szCs w:val="28"/>
        </w:rPr>
        <w:t>，</w:t>
      </w:r>
      <w:r w:rsidRPr="00FE2F9B">
        <w:rPr>
          <w:rFonts w:ascii="標楷體" w:eastAsia="標楷體" w:hAnsi="標楷體"/>
          <w:bCs/>
          <w:sz w:val="28"/>
          <w:szCs w:val="28"/>
        </w:rPr>
        <w:t>本次考察發現，日本電力市場在自由化改革後，已有多家電力公司共同經營，相較於我國主要由台電公司單一營運之情況，存在顯著差異。</w:t>
      </w:r>
    </w:p>
    <w:p w14:paraId="0D3CCC86" w14:textId="24870515" w:rsidR="00FE2F9B" w:rsidRPr="00FE2F9B" w:rsidRDefault="00FE2F9B" w:rsidP="009C4EE0">
      <w:pPr>
        <w:pStyle w:val="af4"/>
        <w:numPr>
          <w:ilvl w:val="3"/>
          <w:numId w:val="18"/>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28"/>
        </w:rPr>
      </w:pPr>
      <w:r w:rsidRPr="00FE2F9B">
        <w:rPr>
          <w:rFonts w:ascii="標楷體" w:eastAsia="標楷體" w:hAnsi="標楷體"/>
          <w:bCs/>
          <w:sz w:val="28"/>
          <w:szCs w:val="28"/>
        </w:rPr>
        <w:t>電力市場開放之啟示：日本電力市場自由化之經驗，可為我國未來電力市場改革提供參考。然而，我國國情與日本不同，故應審慎評估開放之影響，並建立完善配套措施，以確保電力供應穩定與價格合理性。</w:t>
      </w:r>
    </w:p>
    <w:p w14:paraId="707EE5CD" w14:textId="2CEA191C" w:rsidR="00FE2F9B" w:rsidRPr="00FE2F9B" w:rsidRDefault="00FE2F9B" w:rsidP="009C4EE0">
      <w:pPr>
        <w:pStyle w:val="af4"/>
        <w:numPr>
          <w:ilvl w:val="3"/>
          <w:numId w:val="18"/>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28"/>
        </w:rPr>
      </w:pPr>
      <w:r w:rsidRPr="00FE2F9B">
        <w:rPr>
          <w:rFonts w:ascii="標楷體" w:eastAsia="標楷體" w:hAnsi="標楷體"/>
          <w:bCs/>
          <w:sz w:val="28"/>
          <w:szCs w:val="28"/>
        </w:rPr>
        <w:t>加強國際合作之必要：鑑於台電公司為我國主要電力供應商，建議我國應加強與</w:t>
      </w:r>
      <w:r w:rsidR="00566602">
        <w:rPr>
          <w:rFonts w:ascii="標楷體" w:eastAsia="標楷體" w:hAnsi="標楷體"/>
          <w:bCs/>
          <w:sz w:val="28"/>
          <w:szCs w:val="28"/>
        </w:rPr>
        <w:t>東京電力公司(TEPCO)</w:t>
      </w:r>
      <w:r w:rsidRPr="00FE2F9B">
        <w:rPr>
          <w:rFonts w:ascii="標楷體" w:eastAsia="標楷體" w:hAnsi="標楷體"/>
          <w:bCs/>
          <w:sz w:val="28"/>
          <w:szCs w:val="28"/>
        </w:rPr>
        <w:t>等日本電力公司之交流與合作，學習其在核電安全、電力調度、以及新技術應用等方面的經驗。</w:t>
      </w:r>
    </w:p>
    <w:p w14:paraId="4F42E15B" w14:textId="34E21D70" w:rsidR="00FE2F9B" w:rsidRPr="00FE2F9B" w:rsidRDefault="00FE2F9B" w:rsidP="009C4EE0">
      <w:pPr>
        <w:pStyle w:val="af4"/>
        <w:numPr>
          <w:ilvl w:val="3"/>
          <w:numId w:val="18"/>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28"/>
        </w:rPr>
      </w:pPr>
      <w:r w:rsidRPr="00FE2F9B">
        <w:rPr>
          <w:rFonts w:ascii="標楷體" w:eastAsia="標楷體" w:hAnsi="標楷體"/>
          <w:bCs/>
          <w:sz w:val="28"/>
          <w:szCs w:val="28"/>
        </w:rPr>
        <w:t>建立更緊密的合作機制：我國核能安全委員會</w:t>
      </w:r>
      <w:r w:rsidR="00566602">
        <w:rPr>
          <w:rFonts w:ascii="標楷體" w:eastAsia="標楷體" w:hAnsi="標楷體"/>
          <w:bCs/>
          <w:sz w:val="28"/>
          <w:szCs w:val="28"/>
        </w:rPr>
        <w:t>(</w:t>
      </w:r>
      <w:r w:rsidRPr="00FE2F9B">
        <w:rPr>
          <w:rFonts w:ascii="標楷體" w:eastAsia="標楷體" w:hAnsi="標楷體"/>
          <w:bCs/>
          <w:sz w:val="28"/>
          <w:szCs w:val="28"/>
        </w:rPr>
        <w:t>CNSC</w:t>
      </w:r>
      <w:r w:rsidR="00566602">
        <w:rPr>
          <w:rFonts w:ascii="標楷體" w:eastAsia="標楷體" w:hAnsi="標楷體"/>
          <w:bCs/>
          <w:sz w:val="28"/>
          <w:szCs w:val="28"/>
        </w:rPr>
        <w:t>)</w:t>
      </w:r>
      <w:r w:rsidRPr="00FE2F9B">
        <w:rPr>
          <w:rFonts w:ascii="標楷體" w:eastAsia="標楷體" w:hAnsi="標楷體"/>
          <w:bCs/>
          <w:sz w:val="28"/>
          <w:szCs w:val="28"/>
        </w:rPr>
        <w:t>亦應與日本相關研究機構建立更緊密的合作機制，以分享核能安全監管</w:t>
      </w:r>
      <w:r w:rsidRPr="00FE2F9B">
        <w:rPr>
          <w:rFonts w:ascii="標楷體" w:eastAsia="標楷體" w:hAnsi="標楷體"/>
          <w:bCs/>
          <w:sz w:val="28"/>
          <w:szCs w:val="28"/>
        </w:rPr>
        <w:lastRenderedPageBreak/>
        <w:t>之經驗，並共同推動核能技術研發。透過更頻繁且深入的交流</w:t>
      </w:r>
      <w:r>
        <w:rPr>
          <w:rFonts w:ascii="標楷體" w:eastAsia="標楷體" w:hAnsi="標楷體" w:hint="eastAsia"/>
          <w:bCs/>
          <w:sz w:val="28"/>
          <w:szCs w:val="28"/>
        </w:rPr>
        <w:t>與</w:t>
      </w:r>
      <w:r w:rsidRPr="00FE2F9B">
        <w:rPr>
          <w:rFonts w:ascii="標楷體" w:eastAsia="標楷體" w:hAnsi="標楷體"/>
          <w:bCs/>
          <w:sz w:val="28"/>
          <w:szCs w:val="28"/>
        </w:rPr>
        <w:t>合作，有助於提升我國電力供應之穩定性、安全性與韌性。</w:t>
      </w:r>
    </w:p>
    <w:p w14:paraId="042197F0" w14:textId="0CF0071E" w:rsidR="00260DE3" w:rsidRDefault="00260DE3" w:rsidP="009C4EE0">
      <w:pPr>
        <w:pStyle w:val="af4"/>
        <w:numPr>
          <w:ilvl w:val="1"/>
          <w:numId w:val="8"/>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28"/>
        </w:rPr>
      </w:pPr>
      <w:r w:rsidRPr="00260DE3">
        <w:rPr>
          <w:rFonts w:ascii="標楷體" w:eastAsia="標楷體" w:hAnsi="標楷體"/>
          <w:bCs/>
          <w:sz w:val="28"/>
          <w:szCs w:val="28"/>
        </w:rPr>
        <w:t>綜上所述，本次赴日考察，不僅讓我國考察團</w:t>
      </w:r>
      <w:r w:rsidR="00A95445">
        <w:rPr>
          <w:rFonts w:ascii="標楷體" w:eastAsia="標楷體" w:hAnsi="標楷體"/>
          <w:bCs/>
          <w:sz w:val="28"/>
          <w:szCs w:val="28"/>
        </w:rPr>
        <w:t>瞭解</w:t>
      </w:r>
      <w:r w:rsidRPr="00260DE3">
        <w:rPr>
          <w:rFonts w:ascii="標楷體" w:eastAsia="標楷體" w:hAnsi="標楷體"/>
          <w:bCs/>
          <w:sz w:val="28"/>
          <w:szCs w:val="28"/>
        </w:rPr>
        <w:t>日本在核能安全、技術研發以及能源轉型方面的努力與挑戰，更讓我們對我國的能源政策與核能發展有更深入的思考。未來，本考察團將持續關注國際間能源發展趨勢，並以本次考察成果為基礎，提出具體可行的政策建議，為我國的能源轉型與永續發展貢獻一份力量。</w:t>
      </w:r>
      <w:bookmarkEnd w:id="27"/>
    </w:p>
    <w:p w14:paraId="50535305" w14:textId="36D5F484" w:rsidR="005D68EB" w:rsidRDefault="005D68EB">
      <w:pPr>
        <w:widowControl/>
        <w:rPr>
          <w:rFonts w:ascii="標楷體" w:eastAsia="標楷體" w:hAnsi="標楷體"/>
          <w:bCs/>
          <w:sz w:val="28"/>
          <w:szCs w:val="28"/>
        </w:rPr>
      </w:pPr>
      <w:r>
        <w:rPr>
          <w:rFonts w:ascii="標楷體" w:eastAsia="標楷體" w:hAnsi="標楷體"/>
          <w:bCs/>
          <w:sz w:val="28"/>
          <w:szCs w:val="28"/>
        </w:rPr>
        <w:br w:type="page"/>
      </w:r>
    </w:p>
    <w:p w14:paraId="49124F15" w14:textId="2B1CAEB7" w:rsidR="005D68EB" w:rsidRPr="00D84B33" w:rsidRDefault="005D68EB" w:rsidP="00D84B33">
      <w:pPr>
        <w:tabs>
          <w:tab w:val="left" w:pos="-1920"/>
        </w:tabs>
        <w:snapToGrid w:val="0"/>
        <w:spacing w:beforeLines="15" w:before="36" w:afterLines="15" w:after="36" w:line="480" w:lineRule="exact"/>
        <w:jc w:val="both"/>
        <w:outlineLvl w:val="2"/>
        <w:rPr>
          <w:rFonts w:ascii="標楷體" w:eastAsia="標楷體" w:hAnsi="標楷體"/>
          <w:bCs/>
          <w:sz w:val="32"/>
          <w:szCs w:val="32"/>
        </w:rPr>
      </w:pPr>
      <w:r w:rsidRPr="00D84B33">
        <w:rPr>
          <w:rFonts w:ascii="標楷體" w:eastAsia="標楷體" w:hAnsi="標楷體" w:hint="eastAsia"/>
          <w:bCs/>
          <w:sz w:val="32"/>
          <w:szCs w:val="32"/>
        </w:rPr>
        <w:lastRenderedPageBreak/>
        <w:t>附錄</w:t>
      </w:r>
    </w:p>
    <w:p w14:paraId="0597A267" w14:textId="77777777" w:rsidR="005D68EB" w:rsidRDefault="005D68EB" w:rsidP="009C4EE0">
      <w:pPr>
        <w:numPr>
          <w:ilvl w:val="0"/>
          <w:numId w:val="19"/>
        </w:numPr>
        <w:tabs>
          <w:tab w:val="left" w:pos="-1920"/>
        </w:tabs>
        <w:snapToGrid w:val="0"/>
        <w:spacing w:beforeLines="15" w:before="36" w:afterLines="15" w:after="36" w:line="440" w:lineRule="exact"/>
        <w:jc w:val="both"/>
        <w:outlineLvl w:val="2"/>
        <w:rPr>
          <w:rFonts w:ascii="標楷體" w:eastAsia="標楷體" w:hAnsi="標楷體"/>
          <w:bCs/>
          <w:sz w:val="28"/>
          <w:szCs w:val="36"/>
        </w:rPr>
      </w:pPr>
      <w:r>
        <w:rPr>
          <w:rFonts w:ascii="標楷體" w:eastAsia="標楷體" w:hAnsi="標楷體" w:hint="eastAsia"/>
          <w:bCs/>
          <w:sz w:val="28"/>
          <w:szCs w:val="36"/>
        </w:rPr>
        <w:t>核能知識概要</w:t>
      </w:r>
      <w:r>
        <w:rPr>
          <w:rStyle w:val="aff9"/>
          <w:rFonts w:ascii="標楷體" w:eastAsia="標楷體" w:hAnsi="標楷體"/>
          <w:bCs/>
          <w:sz w:val="28"/>
          <w:szCs w:val="36"/>
        </w:rPr>
        <w:footnoteReference w:id="7"/>
      </w:r>
    </w:p>
    <w:p w14:paraId="253DFF12" w14:textId="77777777" w:rsidR="005D68EB" w:rsidRPr="00FA6637" w:rsidRDefault="005D68EB" w:rsidP="009C4EE0">
      <w:pPr>
        <w:pStyle w:val="af4"/>
        <w:numPr>
          <w:ilvl w:val="1"/>
          <w:numId w:val="27"/>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28"/>
        </w:rPr>
      </w:pPr>
      <w:r w:rsidRPr="00FA6637">
        <w:rPr>
          <w:rFonts w:ascii="標楷體" w:eastAsia="標楷體" w:hAnsi="標楷體" w:hint="eastAsia"/>
          <w:bCs/>
          <w:sz w:val="28"/>
          <w:szCs w:val="28"/>
        </w:rPr>
        <w:t>放射線與放射性物質</w:t>
      </w:r>
    </w:p>
    <w:p w14:paraId="566F0B1D" w14:textId="77777777" w:rsidR="005D68EB" w:rsidRPr="00FA6637" w:rsidRDefault="005D68EB" w:rsidP="009C4EE0">
      <w:pPr>
        <w:pStyle w:val="af4"/>
        <w:numPr>
          <w:ilvl w:val="2"/>
          <w:numId w:val="27"/>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28"/>
        </w:rPr>
      </w:pPr>
      <w:r w:rsidRPr="003B7E96">
        <w:rPr>
          <w:rFonts w:ascii="標楷體" w:eastAsia="標楷體" w:hAnsi="標楷體" w:hint="eastAsia"/>
          <w:bCs/>
          <w:sz w:val="28"/>
          <w:szCs w:val="36"/>
        </w:rPr>
        <w:t>放射</w:t>
      </w:r>
      <w:r w:rsidRPr="00FA6637">
        <w:rPr>
          <w:rFonts w:ascii="標楷體" w:eastAsia="標楷體" w:hAnsi="標楷體" w:hint="eastAsia"/>
          <w:bCs/>
          <w:sz w:val="28"/>
          <w:szCs w:val="28"/>
        </w:rPr>
        <w:t>線是一種高能量粒子流，例如α射線、β射線、γ射線和中子射線，具有穿透物質和影響人體健康的特性。</w:t>
      </w:r>
    </w:p>
    <w:p w14:paraId="7D0A2C80" w14:textId="77777777" w:rsidR="005D68EB" w:rsidRPr="003B7E96" w:rsidRDefault="005D68EB" w:rsidP="009C4EE0">
      <w:pPr>
        <w:pStyle w:val="af4"/>
        <w:numPr>
          <w:ilvl w:val="2"/>
          <w:numId w:val="27"/>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FA6637">
        <w:rPr>
          <w:rFonts w:ascii="標楷體" w:eastAsia="標楷體" w:hAnsi="標楷體" w:hint="eastAsia"/>
          <w:bCs/>
          <w:sz w:val="28"/>
          <w:szCs w:val="28"/>
        </w:rPr>
        <w:t>放射性物質</w:t>
      </w:r>
      <w:r w:rsidRPr="003B7E96">
        <w:rPr>
          <w:rFonts w:ascii="標楷體" w:eastAsia="標楷體" w:hAnsi="標楷體" w:hint="eastAsia"/>
          <w:bCs/>
          <w:sz w:val="28"/>
          <w:szCs w:val="36"/>
        </w:rPr>
        <w:t>是指會釋放放射線的物質，其「放射能」以貝克勒</w:t>
      </w:r>
      <w:r>
        <w:rPr>
          <w:rFonts w:ascii="標楷體" w:eastAsia="標楷體" w:hAnsi="標楷體" w:hint="eastAsia"/>
          <w:bCs/>
          <w:sz w:val="28"/>
          <w:szCs w:val="36"/>
        </w:rPr>
        <w:t>(</w:t>
      </w:r>
      <w:r w:rsidRPr="003B7E96">
        <w:rPr>
          <w:rFonts w:ascii="標楷體" w:eastAsia="標楷體" w:hAnsi="標楷體" w:hint="eastAsia"/>
          <w:bCs/>
          <w:sz w:val="28"/>
          <w:szCs w:val="36"/>
        </w:rPr>
        <w:t>Bq</w:t>
      </w:r>
      <w:r>
        <w:rPr>
          <w:rFonts w:ascii="標楷體" w:eastAsia="標楷體" w:hAnsi="標楷體" w:hint="eastAsia"/>
          <w:bCs/>
          <w:sz w:val="28"/>
          <w:szCs w:val="36"/>
        </w:rPr>
        <w:t>)</w:t>
      </w:r>
      <w:r w:rsidRPr="003B7E96">
        <w:rPr>
          <w:rFonts w:ascii="標楷體" w:eastAsia="標楷體" w:hAnsi="標楷體" w:hint="eastAsia"/>
          <w:bCs/>
          <w:sz w:val="28"/>
          <w:szCs w:val="36"/>
        </w:rPr>
        <w:t>為單位測量，表示每秒發生衰變的原子核數量。</w:t>
      </w:r>
    </w:p>
    <w:p w14:paraId="0A5A29F5" w14:textId="77777777" w:rsidR="005D68EB" w:rsidRPr="00FA6637" w:rsidRDefault="005D68EB" w:rsidP="009C4EE0">
      <w:pPr>
        <w:pStyle w:val="af4"/>
        <w:numPr>
          <w:ilvl w:val="1"/>
          <w:numId w:val="27"/>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28"/>
        </w:rPr>
      </w:pPr>
      <w:r w:rsidRPr="00FA6637">
        <w:rPr>
          <w:rFonts w:ascii="標楷體" w:eastAsia="標楷體" w:hAnsi="標楷體" w:hint="eastAsia"/>
          <w:bCs/>
          <w:sz w:val="28"/>
          <w:szCs w:val="28"/>
        </w:rPr>
        <w:t>核能發電原理：核能發電利用鈾235的核分裂反應，過程中釋放出能量和中子，這些中子會繼續引發其他原子核分裂，形成連鎖反應，並產生大量熱能。這些熱能被用來產生蒸汽，推動渦輪機發電。</w:t>
      </w:r>
    </w:p>
    <w:p w14:paraId="40084E6E" w14:textId="77777777" w:rsidR="005D68EB" w:rsidRPr="00FA6637" w:rsidRDefault="005D68EB" w:rsidP="009C4EE0">
      <w:pPr>
        <w:pStyle w:val="af4"/>
        <w:numPr>
          <w:ilvl w:val="1"/>
          <w:numId w:val="27"/>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28"/>
        </w:rPr>
      </w:pPr>
      <w:r w:rsidRPr="00FA6637">
        <w:rPr>
          <w:rFonts w:ascii="標楷體" w:eastAsia="標楷體" w:hAnsi="標楷體" w:hint="eastAsia"/>
          <w:bCs/>
          <w:sz w:val="28"/>
          <w:szCs w:val="28"/>
        </w:rPr>
        <w:t>核電廠類型：目前世界上主要的核電廠類型是輕水反應器，依蒸汽產生方式不同，又分為沸騰水式反應器(BWR)和壓水式反應器(PWR)。</w:t>
      </w:r>
    </w:p>
    <w:p w14:paraId="19B5B52B" w14:textId="77777777" w:rsidR="005D68EB" w:rsidRPr="00FA6637" w:rsidRDefault="005D68EB" w:rsidP="009C4EE0">
      <w:pPr>
        <w:pStyle w:val="af4"/>
        <w:numPr>
          <w:ilvl w:val="1"/>
          <w:numId w:val="27"/>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28"/>
        </w:rPr>
      </w:pPr>
      <w:r w:rsidRPr="00FA6637">
        <w:rPr>
          <w:rFonts w:ascii="標楷體" w:eastAsia="標楷體" w:hAnsi="標楷體" w:hint="eastAsia"/>
          <w:bCs/>
          <w:sz w:val="28"/>
          <w:szCs w:val="28"/>
        </w:rPr>
        <w:t>核能安全：核能安全是核能發展的關鍵。核電廠設計必須納入安全考量，例如多重屏障設計、緊急爐心冷卻系統等，以防止放射性物質外洩。另政府亦制定嚴格的法規和標準，並設置監管機構，以確保核能電廠之安全運作。</w:t>
      </w:r>
    </w:p>
    <w:p w14:paraId="6AF3F8FA" w14:textId="77777777" w:rsidR="005D68EB" w:rsidRPr="00FA6637" w:rsidRDefault="005D68EB" w:rsidP="009C4EE0">
      <w:pPr>
        <w:pStyle w:val="af4"/>
        <w:numPr>
          <w:ilvl w:val="1"/>
          <w:numId w:val="27"/>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28"/>
        </w:rPr>
      </w:pPr>
      <w:r w:rsidRPr="00FA6637">
        <w:rPr>
          <w:rFonts w:ascii="標楷體" w:eastAsia="標楷體" w:hAnsi="標楷體" w:hint="eastAsia"/>
          <w:bCs/>
          <w:sz w:val="28"/>
          <w:szCs w:val="28"/>
        </w:rPr>
        <w:t>核能之應用：除發電之外，核能還廣泛應用於醫療、農業、工業和科學研究等領域。例如，放射性同位素可用於癌症治療、育種、材料檢測和考古學研究等。</w:t>
      </w:r>
    </w:p>
    <w:p w14:paraId="2CA37E2A" w14:textId="77777777" w:rsidR="005D68EB" w:rsidRPr="00FA6637" w:rsidRDefault="005D68EB" w:rsidP="009C4EE0">
      <w:pPr>
        <w:pStyle w:val="af4"/>
        <w:numPr>
          <w:ilvl w:val="1"/>
          <w:numId w:val="27"/>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28"/>
        </w:rPr>
      </w:pPr>
      <w:r w:rsidRPr="00FA6637">
        <w:rPr>
          <w:rFonts w:ascii="標楷體" w:eastAsia="標楷體" w:hAnsi="標楷體" w:hint="eastAsia"/>
          <w:bCs/>
          <w:sz w:val="28"/>
          <w:szCs w:val="28"/>
        </w:rPr>
        <w:t>核能之未來：核能作為一種低碳能源，在未來能源結構中扮演著重要角色。隨著科技的進步，新一代核能技術，例如小型模組化反應器SMR、快中子反應器SFR等，將更加安全、高效和環保，並有望為人類提供更永續的能源解決方案。</w:t>
      </w:r>
    </w:p>
    <w:p w14:paraId="172BE81A" w14:textId="77777777" w:rsidR="005D68EB" w:rsidRDefault="005D68EB" w:rsidP="005D68EB">
      <w:pPr>
        <w:tabs>
          <w:tab w:val="left" w:pos="-1920"/>
        </w:tabs>
        <w:snapToGrid w:val="0"/>
        <w:spacing w:beforeLines="15" w:before="36" w:afterLines="15" w:after="36"/>
        <w:jc w:val="center"/>
        <w:outlineLvl w:val="2"/>
        <w:rPr>
          <w:rFonts w:ascii="標楷體" w:eastAsia="標楷體" w:hAnsi="標楷體"/>
          <w:bCs/>
          <w:sz w:val="28"/>
          <w:szCs w:val="36"/>
        </w:rPr>
      </w:pPr>
      <w:r>
        <w:rPr>
          <w:rFonts w:ascii="標楷體" w:eastAsia="標楷體" w:hAnsi="標楷體"/>
          <w:bCs/>
          <w:noProof/>
          <w:sz w:val="28"/>
          <w:szCs w:val="36"/>
        </w:rPr>
        <w:lastRenderedPageBreak/>
        <w:drawing>
          <wp:inline distT="0" distB="0" distL="0" distR="0" wp14:anchorId="0DE63D10" wp14:editId="54C14A9B">
            <wp:extent cx="4765675" cy="3030362"/>
            <wp:effectExtent l="19050" t="19050" r="15875" b="17780"/>
            <wp:docPr id="388244818" name="圖片 2" descr="一張含有 文字, 卡通, 螢幕擷取畫面, 圖解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244818" name="圖片 2" descr="一張含有 文字, 卡通, 螢幕擷取畫面, 圖解 的圖片&#10;&#10;自動產生的描述"/>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770510" cy="3033436"/>
                    </a:xfrm>
                    <a:prstGeom prst="rect">
                      <a:avLst/>
                    </a:prstGeom>
                    <a:ln>
                      <a:solidFill>
                        <a:schemeClr val="accent1"/>
                      </a:solidFill>
                    </a:ln>
                  </pic:spPr>
                </pic:pic>
              </a:graphicData>
            </a:graphic>
          </wp:inline>
        </w:drawing>
      </w:r>
    </w:p>
    <w:p w14:paraId="0A73F4EE" w14:textId="77777777" w:rsidR="005D68EB" w:rsidRPr="00C155D0" w:rsidRDefault="005D68EB" w:rsidP="005D68EB">
      <w:pPr>
        <w:pStyle w:val="a1"/>
      </w:pPr>
      <w:bookmarkStart w:id="209" w:name="_Toc185426125"/>
      <w:bookmarkStart w:id="210" w:name="_Toc185605736"/>
      <w:bookmarkStart w:id="211" w:name="_Toc186029855"/>
      <w:r>
        <w:rPr>
          <w:rFonts w:hint="eastAsia"/>
        </w:rPr>
        <w:t>以</w:t>
      </w:r>
      <w:r w:rsidRPr="00C155D0">
        <w:t>營火來比喻放射線</w:t>
      </w:r>
      <w:r>
        <w:rPr>
          <w:rFonts w:hint="eastAsia"/>
        </w:rPr>
        <w:t>之示意圖</w:t>
      </w:r>
      <w:bookmarkEnd w:id="209"/>
      <w:bookmarkEnd w:id="210"/>
      <w:bookmarkEnd w:id="211"/>
    </w:p>
    <w:p w14:paraId="1D880CE1" w14:textId="77777777" w:rsidR="005D68EB" w:rsidRPr="00C155D0" w:rsidRDefault="005D68EB" w:rsidP="005D68EB">
      <w:pPr>
        <w:tabs>
          <w:tab w:val="num" w:pos="720"/>
        </w:tabs>
        <w:spacing w:beforeLines="15" w:before="36" w:afterLines="15" w:after="36" w:line="440" w:lineRule="exact"/>
        <w:ind w:leftChars="1" w:left="392" w:hangingChars="150" w:hanging="390"/>
        <w:jc w:val="both"/>
        <w:outlineLvl w:val="1"/>
        <w:rPr>
          <w:rFonts w:ascii="標楷體" w:eastAsia="標楷體" w:hAnsi="標楷體"/>
          <w:bCs/>
          <w:spacing w:val="-10"/>
          <w:sz w:val="28"/>
          <w:szCs w:val="28"/>
        </w:rPr>
      </w:pPr>
      <w:bookmarkStart w:id="212" w:name="_Toc185412459"/>
      <w:r w:rsidRPr="00C155D0">
        <w:rPr>
          <w:rFonts w:ascii="標楷體" w:eastAsia="標楷體" w:hAnsi="標楷體" w:hint="eastAsia"/>
          <w:bCs/>
          <w:spacing w:val="-10"/>
          <w:sz w:val="28"/>
          <w:szCs w:val="28"/>
        </w:rPr>
        <w:t>備註：</w:t>
      </w:r>
      <w:bookmarkEnd w:id="212"/>
    </w:p>
    <w:p w14:paraId="0762D2FB" w14:textId="77777777" w:rsidR="005D68EB" w:rsidRPr="00E45D03" w:rsidRDefault="005D68EB" w:rsidP="005D68EB">
      <w:pPr>
        <w:tabs>
          <w:tab w:val="num" w:pos="720"/>
        </w:tabs>
        <w:spacing w:line="360" w:lineRule="exact"/>
        <w:ind w:leftChars="1" w:left="332" w:hangingChars="150" w:hanging="330"/>
        <w:jc w:val="both"/>
        <w:outlineLvl w:val="1"/>
        <w:rPr>
          <w:rFonts w:ascii="標楷體" w:eastAsia="標楷體" w:hAnsi="標楷體"/>
          <w:bCs/>
          <w:spacing w:val="-10"/>
        </w:rPr>
      </w:pPr>
      <w:bookmarkStart w:id="213" w:name="_Toc185412460"/>
      <w:r w:rsidRPr="00E45D03">
        <w:rPr>
          <w:rFonts w:ascii="標楷體" w:eastAsia="標楷體" w:hAnsi="標楷體" w:hint="eastAsia"/>
          <w:bCs/>
          <w:spacing w:val="-10"/>
        </w:rPr>
        <w:t>1、</w:t>
      </w:r>
      <w:r w:rsidRPr="00E45D03">
        <w:rPr>
          <w:rFonts w:ascii="標楷體" w:eastAsia="標楷體" w:hAnsi="標楷體"/>
          <w:bCs/>
          <w:spacing w:val="-10"/>
        </w:rPr>
        <w:t>火會產生熱和光，並可能透過火花造成燙傷一樣，放射性物質也會釋放出放射線，對人體造成影響。木柴作為燃料，就像放射性物質一樣，具有釋放能量的能力</w:t>
      </w:r>
      <w:r>
        <w:rPr>
          <w:rFonts w:ascii="標楷體" w:eastAsia="標楷體" w:hAnsi="標楷體"/>
          <w:bCs/>
          <w:spacing w:val="-10"/>
        </w:rPr>
        <w:t>(</w:t>
      </w:r>
      <w:r w:rsidRPr="00E45D03">
        <w:rPr>
          <w:rFonts w:ascii="標楷體" w:eastAsia="標楷體" w:hAnsi="標楷體"/>
          <w:bCs/>
          <w:spacing w:val="-10"/>
        </w:rPr>
        <w:t>熱能vs.放射能</w:t>
      </w:r>
      <w:r>
        <w:rPr>
          <w:rFonts w:ascii="標楷體" w:eastAsia="標楷體" w:hAnsi="標楷體"/>
          <w:bCs/>
          <w:spacing w:val="-10"/>
        </w:rPr>
        <w:t>)</w:t>
      </w:r>
      <w:r w:rsidRPr="00E45D03">
        <w:rPr>
          <w:rFonts w:ascii="標楷體" w:eastAsia="標楷體" w:hAnsi="標楷體" w:hint="eastAsia"/>
          <w:bCs/>
          <w:spacing w:val="-10"/>
        </w:rPr>
        <w:t>。</w:t>
      </w:r>
      <w:bookmarkEnd w:id="213"/>
    </w:p>
    <w:p w14:paraId="7544A658" w14:textId="77777777" w:rsidR="005D68EB" w:rsidRPr="00E45D03" w:rsidRDefault="005D68EB" w:rsidP="005D68EB">
      <w:pPr>
        <w:tabs>
          <w:tab w:val="num" w:pos="720"/>
        </w:tabs>
        <w:spacing w:line="360" w:lineRule="exact"/>
        <w:ind w:leftChars="1" w:left="332" w:hangingChars="150" w:hanging="330"/>
        <w:jc w:val="both"/>
        <w:outlineLvl w:val="1"/>
        <w:rPr>
          <w:rFonts w:ascii="標楷體" w:eastAsia="標楷體" w:hAnsi="標楷體"/>
          <w:bCs/>
          <w:spacing w:val="-10"/>
        </w:rPr>
      </w:pPr>
      <w:bookmarkStart w:id="214" w:name="_Toc185412461"/>
      <w:r w:rsidRPr="00E45D03">
        <w:rPr>
          <w:rFonts w:ascii="標楷體" w:eastAsia="標楷體" w:hAnsi="標楷體" w:hint="eastAsia"/>
          <w:bCs/>
          <w:spacing w:val="-10"/>
        </w:rPr>
        <w:t>2、「</w:t>
      </w:r>
      <w:r w:rsidRPr="00E45D03">
        <w:rPr>
          <w:rFonts w:ascii="標楷體" w:eastAsia="標楷體" w:hAnsi="標楷體"/>
          <w:bCs/>
          <w:spacing w:val="-10"/>
        </w:rPr>
        <w:t>火</w:t>
      </w:r>
      <w:r w:rsidRPr="00E45D03">
        <w:rPr>
          <w:rFonts w:ascii="標楷體" w:eastAsia="標楷體" w:hAnsi="標楷體" w:hint="eastAsia"/>
          <w:bCs/>
          <w:spacing w:val="-10"/>
        </w:rPr>
        <w:t xml:space="preserve"> </w:t>
      </w:r>
      <w:r w:rsidRPr="00E45D03">
        <w:rPr>
          <w:rFonts w:ascii="標楷體" w:eastAsia="標楷體" w:hAnsi="標楷體"/>
          <w:bCs/>
          <w:spacing w:val="-10"/>
        </w:rPr>
        <w:t>= 健康への影響 ≒ 放射線</w:t>
      </w:r>
      <w:r w:rsidRPr="00E45D03">
        <w:rPr>
          <w:rFonts w:ascii="標楷體" w:eastAsia="標楷體" w:hAnsi="標楷體" w:hint="eastAsia"/>
          <w:bCs/>
          <w:spacing w:val="-10"/>
        </w:rPr>
        <w:t>」：</w:t>
      </w:r>
      <w:r w:rsidRPr="00E45D03">
        <w:rPr>
          <w:rFonts w:ascii="標楷體" w:eastAsia="標楷體" w:hAnsi="標楷體"/>
          <w:bCs/>
          <w:spacing w:val="-10"/>
        </w:rPr>
        <w:t>火</w:t>
      </w:r>
      <w:r>
        <w:rPr>
          <w:rFonts w:ascii="標楷體" w:eastAsia="標楷體" w:hAnsi="標楷體"/>
          <w:bCs/>
          <w:spacing w:val="-10"/>
        </w:rPr>
        <w:t>(</w:t>
      </w:r>
      <w:r w:rsidRPr="00E45D03">
        <w:rPr>
          <w:rFonts w:ascii="標楷體" w:eastAsia="標楷體" w:hAnsi="標楷體"/>
          <w:bCs/>
          <w:spacing w:val="-10"/>
        </w:rPr>
        <w:t>產生熱和光</w:t>
      </w:r>
      <w:r>
        <w:rPr>
          <w:rFonts w:ascii="標楷體" w:eastAsia="標楷體" w:hAnsi="標楷體"/>
          <w:bCs/>
          <w:spacing w:val="-10"/>
        </w:rPr>
        <w:t>)</w:t>
      </w:r>
      <w:r w:rsidRPr="00E45D03">
        <w:rPr>
          <w:rFonts w:ascii="標楷體" w:eastAsia="標楷體" w:hAnsi="標楷體"/>
          <w:bCs/>
          <w:spacing w:val="-10"/>
        </w:rPr>
        <w:t>對健康的影響 類似於放射線對健康的影響。</w:t>
      </w:r>
      <w:r w:rsidRPr="00E45D03">
        <w:rPr>
          <w:rFonts w:ascii="標楷體" w:eastAsia="標楷體" w:hAnsi="標楷體" w:hint="eastAsia"/>
          <w:bCs/>
          <w:spacing w:val="-10"/>
        </w:rPr>
        <w:t>「</w:t>
      </w:r>
      <w:r w:rsidRPr="00030F5A">
        <w:rPr>
          <w:rFonts w:ascii="標楷體" w:eastAsia="標楷體" w:hAnsi="標楷體"/>
          <w:bCs/>
          <w:spacing w:val="-10"/>
        </w:rPr>
        <w:t>熱・光 = 放射線</w:t>
      </w:r>
      <w:r w:rsidRPr="00E45D03">
        <w:rPr>
          <w:rFonts w:ascii="標楷體" w:eastAsia="標楷體" w:hAnsi="標楷體" w:hint="eastAsia"/>
          <w:bCs/>
          <w:spacing w:val="-10"/>
        </w:rPr>
        <w:t>」：</w:t>
      </w:r>
      <w:r w:rsidRPr="00030F5A">
        <w:rPr>
          <w:rFonts w:ascii="標楷體" w:eastAsia="標楷體" w:hAnsi="標楷體"/>
          <w:bCs/>
          <w:spacing w:val="-10"/>
        </w:rPr>
        <w:t>熱和光類似於放射線。</w:t>
      </w:r>
      <w:r w:rsidRPr="00E45D03">
        <w:rPr>
          <w:rFonts w:ascii="標楷體" w:eastAsia="標楷體" w:hAnsi="標楷體" w:hint="eastAsia"/>
          <w:bCs/>
          <w:spacing w:val="-10"/>
        </w:rPr>
        <w:t>「</w:t>
      </w:r>
      <w:r w:rsidRPr="00E45D03">
        <w:rPr>
          <w:rFonts w:ascii="標楷體" w:eastAsia="標楷體" w:hAnsi="標楷體"/>
          <w:bCs/>
          <w:spacing w:val="-10"/>
        </w:rPr>
        <w:t>火的粉 = 放射性物質</w:t>
      </w:r>
      <w:r w:rsidRPr="00E45D03">
        <w:rPr>
          <w:rFonts w:ascii="標楷體" w:eastAsia="標楷體" w:hAnsi="標楷體" w:hint="eastAsia"/>
          <w:bCs/>
          <w:spacing w:val="-10"/>
        </w:rPr>
        <w:t>」：</w:t>
      </w:r>
      <w:r w:rsidRPr="00E45D03">
        <w:rPr>
          <w:rFonts w:ascii="標楷體" w:eastAsia="標楷體" w:hAnsi="標楷體"/>
          <w:bCs/>
          <w:spacing w:val="-10"/>
        </w:rPr>
        <w:t>火焰中的火花類似於放射性物質。</w:t>
      </w:r>
      <w:bookmarkEnd w:id="214"/>
    </w:p>
    <w:p w14:paraId="65AE82E4" w14:textId="77777777" w:rsidR="005D68EB" w:rsidRDefault="005D68EB" w:rsidP="005D68EB">
      <w:pPr>
        <w:tabs>
          <w:tab w:val="num" w:pos="720"/>
        </w:tabs>
        <w:spacing w:beforeLines="15" w:before="36" w:afterLines="15" w:after="36"/>
        <w:ind w:leftChars="1" w:left="362" w:hangingChars="150" w:hanging="360"/>
        <w:jc w:val="center"/>
        <w:outlineLvl w:val="1"/>
        <w:rPr>
          <w:rFonts w:ascii="標楷體" w:eastAsia="標楷體" w:hAnsi="標楷體"/>
          <w:bCs/>
          <w:spacing w:val="-10"/>
          <w:szCs w:val="24"/>
        </w:rPr>
      </w:pPr>
      <w:bookmarkStart w:id="215" w:name="_Toc185412462"/>
      <w:r>
        <w:rPr>
          <w:rFonts w:ascii="標楷體" w:eastAsia="標楷體" w:hAnsi="標楷體"/>
          <w:bCs/>
          <w:noProof/>
          <w:spacing w:val="-10"/>
          <w:szCs w:val="24"/>
        </w:rPr>
        <w:lastRenderedPageBreak/>
        <w:drawing>
          <wp:inline distT="0" distB="0" distL="0" distR="0" wp14:anchorId="1657F434" wp14:editId="474024D7">
            <wp:extent cx="5454396" cy="4411980"/>
            <wp:effectExtent l="19050" t="19050" r="13335" b="26670"/>
            <wp:docPr id="966236006" name="圖片 3" descr="一張含有 文字, 圖表, 螢幕擷取畫面, 行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236006" name="圖片 3" descr="一張含有 文字, 圖表, 螢幕擷取畫面, 行 的圖片&#10;&#10;自動產生的描述"/>
                    <pic:cNvPicPr/>
                  </pic:nvPicPr>
                  <pic:blipFill>
                    <a:blip r:embed="rId43">
                      <a:extLst>
                        <a:ext uri="{28A0092B-C50C-407E-A947-70E740481C1C}">
                          <a14:useLocalDpi xmlns:a14="http://schemas.microsoft.com/office/drawing/2010/main" val="0"/>
                        </a:ext>
                      </a:extLst>
                    </a:blip>
                    <a:stretch>
                      <a:fillRect/>
                    </a:stretch>
                  </pic:blipFill>
                  <pic:spPr>
                    <a:xfrm>
                      <a:off x="0" y="0"/>
                      <a:ext cx="5454396" cy="4411980"/>
                    </a:xfrm>
                    <a:prstGeom prst="rect">
                      <a:avLst/>
                    </a:prstGeom>
                    <a:ln>
                      <a:solidFill>
                        <a:schemeClr val="accent1"/>
                      </a:solidFill>
                    </a:ln>
                  </pic:spPr>
                </pic:pic>
              </a:graphicData>
            </a:graphic>
          </wp:inline>
        </w:drawing>
      </w:r>
      <w:bookmarkEnd w:id="215"/>
    </w:p>
    <w:p w14:paraId="72E047A8" w14:textId="77777777" w:rsidR="005D68EB" w:rsidRPr="00030F5A" w:rsidRDefault="005D68EB" w:rsidP="005D68EB">
      <w:pPr>
        <w:pStyle w:val="a1"/>
      </w:pPr>
      <w:bookmarkStart w:id="216" w:name="_Toc185426126"/>
      <w:bookmarkStart w:id="217" w:name="_Toc185605737"/>
      <w:bookmarkStart w:id="218" w:name="_Toc186029856"/>
      <w:r w:rsidRPr="00030F5A">
        <w:t>放射線的種類與穿透力</w:t>
      </w:r>
      <w:bookmarkEnd w:id="216"/>
      <w:bookmarkEnd w:id="217"/>
      <w:bookmarkEnd w:id="218"/>
    </w:p>
    <w:p w14:paraId="2129E847" w14:textId="77777777" w:rsidR="005D68EB" w:rsidRPr="00030F5A" w:rsidRDefault="005D68EB" w:rsidP="005D68EB">
      <w:pPr>
        <w:tabs>
          <w:tab w:val="num" w:pos="720"/>
        </w:tabs>
        <w:spacing w:beforeLines="15" w:before="36" w:afterLines="15" w:after="36" w:line="440" w:lineRule="exact"/>
        <w:ind w:leftChars="1" w:left="392" w:hangingChars="150" w:hanging="390"/>
        <w:jc w:val="both"/>
        <w:outlineLvl w:val="1"/>
        <w:rPr>
          <w:rFonts w:ascii="標楷體" w:eastAsia="標楷體" w:hAnsi="標楷體"/>
          <w:bCs/>
          <w:spacing w:val="-10"/>
          <w:sz w:val="28"/>
          <w:szCs w:val="28"/>
        </w:rPr>
      </w:pPr>
      <w:bookmarkStart w:id="219" w:name="_Toc185412463"/>
      <w:r w:rsidRPr="00030F5A">
        <w:rPr>
          <w:rFonts w:ascii="標楷體" w:eastAsia="標楷體" w:hAnsi="標楷體" w:hint="eastAsia"/>
          <w:bCs/>
          <w:spacing w:val="-10"/>
          <w:sz w:val="28"/>
          <w:szCs w:val="28"/>
        </w:rPr>
        <w:t>備註：</w:t>
      </w:r>
      <w:bookmarkEnd w:id="219"/>
    </w:p>
    <w:p w14:paraId="5FC0A32A" w14:textId="77777777" w:rsidR="005D68EB" w:rsidRPr="00030F5A" w:rsidRDefault="005D68EB" w:rsidP="005D68EB">
      <w:pPr>
        <w:tabs>
          <w:tab w:val="num" w:pos="720"/>
        </w:tabs>
        <w:spacing w:afterLines="15" w:after="36" w:line="400" w:lineRule="exact"/>
        <w:ind w:leftChars="1" w:left="332" w:hangingChars="150" w:hanging="330"/>
        <w:jc w:val="both"/>
        <w:outlineLvl w:val="1"/>
        <w:rPr>
          <w:rFonts w:ascii="標楷體" w:eastAsia="標楷體" w:hAnsi="標楷體"/>
          <w:bCs/>
          <w:spacing w:val="-10"/>
        </w:rPr>
      </w:pPr>
      <w:bookmarkStart w:id="220" w:name="_Toc185412464"/>
      <w:r w:rsidRPr="00030F5A">
        <w:rPr>
          <w:rFonts w:ascii="標楷體" w:eastAsia="標楷體" w:hAnsi="標楷體" w:hint="eastAsia"/>
          <w:bCs/>
          <w:spacing w:val="-10"/>
          <w:szCs w:val="24"/>
        </w:rPr>
        <w:t>1、</w:t>
      </w:r>
      <w:r w:rsidRPr="00030F5A">
        <w:rPr>
          <w:rFonts w:ascii="標楷體" w:eastAsia="標楷體" w:hAnsi="標楷體"/>
          <w:bCs/>
          <w:spacing w:val="-10"/>
        </w:rPr>
        <w:t>不同的放射線具有不同的穿透能力，需要用不同的材質來阻擋或減弱它們。α射線最容易阻擋，一張紙就可以；β射線需要用薄金屬板阻擋；γ射線和X射線穿透力最強，需要用厚重的鉛板或鐵板才能減弱；中子射線則需要用水或混凝土等含氫物質來減弱。</w:t>
      </w:r>
      <w:bookmarkEnd w:id="220"/>
    </w:p>
    <w:p w14:paraId="7C406503" w14:textId="77777777" w:rsidR="005D68EB" w:rsidRPr="00030F5A" w:rsidRDefault="005D68EB" w:rsidP="005D68EB">
      <w:pPr>
        <w:tabs>
          <w:tab w:val="num" w:pos="720"/>
        </w:tabs>
        <w:spacing w:afterLines="15" w:after="36" w:line="400" w:lineRule="exact"/>
        <w:ind w:leftChars="1" w:left="332" w:hangingChars="150" w:hanging="330"/>
        <w:jc w:val="both"/>
        <w:outlineLvl w:val="1"/>
        <w:rPr>
          <w:rFonts w:ascii="標楷體" w:eastAsia="標楷體" w:hAnsi="標楷體"/>
          <w:bCs/>
          <w:spacing w:val="-10"/>
          <w:szCs w:val="24"/>
        </w:rPr>
      </w:pPr>
      <w:bookmarkStart w:id="221" w:name="_Toc185412465"/>
      <w:r w:rsidRPr="00030F5A">
        <w:rPr>
          <w:rFonts w:ascii="標楷體" w:eastAsia="標楷體" w:hAnsi="標楷體" w:hint="eastAsia"/>
          <w:bCs/>
          <w:spacing w:val="-10"/>
          <w:szCs w:val="24"/>
        </w:rPr>
        <w:t>2、</w:t>
      </w:r>
      <w:r>
        <w:rPr>
          <w:rFonts w:ascii="標楷體" w:eastAsia="標楷體" w:hAnsi="標楷體"/>
          <w:bCs/>
          <w:spacing w:val="-10"/>
          <w:szCs w:val="24"/>
        </w:rPr>
        <w:t>瞭解</w:t>
      </w:r>
      <w:r w:rsidRPr="00030F5A">
        <w:rPr>
          <w:rFonts w:ascii="標楷體" w:eastAsia="標楷體" w:hAnsi="標楷體"/>
          <w:bCs/>
          <w:spacing w:val="-10"/>
          <w:szCs w:val="24"/>
        </w:rPr>
        <w:t>放射線的特性以及如何防護很有幫助，例如在醫療或工業應用中，可以根據不同的放射線類型選擇合適的防護措施。</w:t>
      </w:r>
      <w:bookmarkEnd w:id="221"/>
    </w:p>
    <w:p w14:paraId="4D700D5D" w14:textId="77777777" w:rsidR="005D68EB" w:rsidRDefault="005D68EB" w:rsidP="005D68EB">
      <w:pPr>
        <w:tabs>
          <w:tab w:val="num" w:pos="720"/>
        </w:tabs>
        <w:spacing w:afterLines="15" w:after="36" w:line="400" w:lineRule="exact"/>
        <w:ind w:leftChars="1" w:left="332" w:hangingChars="150" w:hanging="330"/>
        <w:jc w:val="both"/>
        <w:outlineLvl w:val="1"/>
        <w:rPr>
          <w:rFonts w:ascii="標楷體" w:eastAsia="標楷體" w:hAnsi="標楷體"/>
          <w:bCs/>
          <w:spacing w:val="-10"/>
          <w:szCs w:val="24"/>
        </w:rPr>
      </w:pPr>
      <w:bookmarkStart w:id="222" w:name="_Toc185412466"/>
      <w:r>
        <w:rPr>
          <w:rFonts w:ascii="標楷體" w:eastAsia="標楷體" w:hAnsi="標楷體" w:hint="eastAsia"/>
          <w:bCs/>
          <w:spacing w:val="-10"/>
          <w:szCs w:val="24"/>
        </w:rPr>
        <w:t>3、</w:t>
      </w:r>
      <w:r w:rsidRPr="00B329F1">
        <w:rPr>
          <w:rFonts w:ascii="標楷體" w:eastAsia="標楷體" w:hAnsi="標楷體"/>
          <w:bCs/>
          <w:spacing w:val="-10"/>
          <w:szCs w:val="24"/>
        </w:rPr>
        <w:t>アルミニウム等の薄い金属板</w:t>
      </w:r>
      <w:r w:rsidRPr="00030F5A">
        <w:rPr>
          <w:rFonts w:ascii="標楷體" w:eastAsia="標楷體" w:hAnsi="標楷體"/>
          <w:bCs/>
          <w:spacing w:val="-10"/>
          <w:szCs w:val="24"/>
        </w:rPr>
        <w:t>：鋁等薄金屬板可以阻擋β射線。</w:t>
      </w:r>
      <w:r w:rsidRPr="00B329F1">
        <w:rPr>
          <w:rFonts w:ascii="標楷體" w:eastAsia="標楷體" w:hAnsi="標楷體"/>
          <w:bCs/>
          <w:spacing w:val="-10"/>
          <w:szCs w:val="24"/>
        </w:rPr>
        <w:t>鉛や鉄の厚い板</w:t>
      </w:r>
      <w:r w:rsidRPr="00030F5A">
        <w:rPr>
          <w:rFonts w:ascii="標楷體" w:eastAsia="標楷體" w:hAnsi="標楷體"/>
          <w:bCs/>
          <w:spacing w:val="-10"/>
          <w:szCs w:val="24"/>
        </w:rPr>
        <w:t>：鉛或鐵等厚板可以減弱γ射線和X射線。</w:t>
      </w:r>
      <w:r w:rsidRPr="00B329F1">
        <w:rPr>
          <w:rFonts w:ascii="標楷體" w:eastAsia="標楷體" w:hAnsi="標楷體"/>
          <w:bCs/>
          <w:spacing w:val="-10"/>
          <w:szCs w:val="24"/>
        </w:rPr>
        <w:t>水素を含む物質 例えば水やコンクリート</w:t>
      </w:r>
      <w:r w:rsidRPr="00030F5A">
        <w:rPr>
          <w:rFonts w:ascii="標楷體" w:eastAsia="標楷體" w:hAnsi="標楷體"/>
          <w:bCs/>
          <w:spacing w:val="-10"/>
          <w:szCs w:val="24"/>
        </w:rPr>
        <w:t>：含有氫的物質，例如水和混凝土，可以減弱中子射線。</w:t>
      </w:r>
      <w:bookmarkEnd w:id="222"/>
    </w:p>
    <w:p w14:paraId="5EBD8A91" w14:textId="77777777" w:rsidR="005D68EB" w:rsidRDefault="005D68EB" w:rsidP="005D68EB">
      <w:pPr>
        <w:tabs>
          <w:tab w:val="num" w:pos="720"/>
        </w:tabs>
        <w:spacing w:beforeLines="15" w:before="36" w:afterLines="15" w:after="36"/>
        <w:ind w:leftChars="1" w:left="362" w:hangingChars="150" w:hanging="360"/>
        <w:jc w:val="center"/>
        <w:outlineLvl w:val="1"/>
        <w:rPr>
          <w:rFonts w:ascii="標楷體" w:eastAsia="標楷體" w:hAnsi="標楷體"/>
          <w:bCs/>
          <w:spacing w:val="-10"/>
          <w:szCs w:val="24"/>
        </w:rPr>
      </w:pPr>
      <w:bookmarkStart w:id="223" w:name="_Toc185412467"/>
      <w:r>
        <w:rPr>
          <w:rFonts w:ascii="標楷體" w:eastAsia="標楷體" w:hAnsi="標楷體" w:hint="eastAsia"/>
          <w:bCs/>
          <w:noProof/>
          <w:spacing w:val="-10"/>
          <w:szCs w:val="24"/>
        </w:rPr>
        <w:lastRenderedPageBreak/>
        <w:drawing>
          <wp:inline distT="0" distB="0" distL="0" distR="0" wp14:anchorId="02D21D8E" wp14:editId="51C49512">
            <wp:extent cx="5487195" cy="4998720"/>
            <wp:effectExtent l="19050" t="19050" r="18415" b="11430"/>
            <wp:docPr id="1233354235" name="圖片 4" descr="一張含有 文字, 螢幕擷取畫面, 圖表, 字型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354235" name="圖片 4" descr="一張含有 文字, 螢幕擷取畫面, 圖表, 字型 的圖片&#10;&#10;自動產生的描述"/>
                    <pic:cNvPicPr/>
                  </pic:nvPicPr>
                  <pic:blipFill>
                    <a:blip r:embed="rId44">
                      <a:extLst>
                        <a:ext uri="{28A0092B-C50C-407E-A947-70E740481C1C}">
                          <a14:useLocalDpi xmlns:a14="http://schemas.microsoft.com/office/drawing/2010/main" val="0"/>
                        </a:ext>
                      </a:extLst>
                    </a:blip>
                    <a:stretch>
                      <a:fillRect/>
                    </a:stretch>
                  </pic:blipFill>
                  <pic:spPr>
                    <a:xfrm>
                      <a:off x="0" y="0"/>
                      <a:ext cx="5490620" cy="5001840"/>
                    </a:xfrm>
                    <a:prstGeom prst="rect">
                      <a:avLst/>
                    </a:prstGeom>
                    <a:ln>
                      <a:solidFill>
                        <a:schemeClr val="accent1"/>
                      </a:solidFill>
                    </a:ln>
                  </pic:spPr>
                </pic:pic>
              </a:graphicData>
            </a:graphic>
          </wp:inline>
        </w:drawing>
      </w:r>
      <w:bookmarkEnd w:id="223"/>
    </w:p>
    <w:p w14:paraId="2879B817" w14:textId="77777777" w:rsidR="005D68EB" w:rsidRPr="00F4425A" w:rsidRDefault="005D68EB" w:rsidP="005D68EB">
      <w:pPr>
        <w:pStyle w:val="a1"/>
      </w:pPr>
      <w:bookmarkStart w:id="224" w:name="_Toc185426127"/>
      <w:bookmarkStart w:id="225" w:name="_Toc185605738"/>
      <w:bookmarkStart w:id="226" w:name="_Toc186029857"/>
      <w:r w:rsidRPr="00F4425A">
        <w:t>人工放射線和自然放射線的來源與劑量大小</w:t>
      </w:r>
      <w:r w:rsidRPr="00F4425A">
        <w:rPr>
          <w:rFonts w:hint="eastAsia"/>
        </w:rPr>
        <w:t>比較圖</w:t>
      </w:r>
      <w:bookmarkEnd w:id="224"/>
      <w:bookmarkEnd w:id="225"/>
      <w:bookmarkEnd w:id="226"/>
    </w:p>
    <w:p w14:paraId="609814E8" w14:textId="77777777" w:rsidR="005D68EB" w:rsidRPr="00F4425A" w:rsidRDefault="005D68EB" w:rsidP="005D68EB">
      <w:pPr>
        <w:tabs>
          <w:tab w:val="num" w:pos="720"/>
        </w:tabs>
        <w:spacing w:beforeLines="15" w:before="36" w:afterLines="15" w:after="36" w:line="440" w:lineRule="exact"/>
        <w:ind w:leftChars="1" w:left="392" w:hangingChars="150" w:hanging="390"/>
        <w:jc w:val="both"/>
        <w:outlineLvl w:val="1"/>
        <w:rPr>
          <w:rFonts w:ascii="標楷體" w:eastAsia="標楷體" w:hAnsi="標楷體"/>
          <w:bCs/>
          <w:spacing w:val="-10"/>
          <w:sz w:val="28"/>
          <w:szCs w:val="28"/>
        </w:rPr>
      </w:pPr>
      <w:bookmarkStart w:id="227" w:name="_Toc185412468"/>
      <w:r w:rsidRPr="00F4425A">
        <w:rPr>
          <w:rFonts w:ascii="標楷體" w:eastAsia="標楷體" w:hAnsi="標楷體" w:hint="eastAsia"/>
          <w:bCs/>
          <w:spacing w:val="-10"/>
          <w:sz w:val="28"/>
          <w:szCs w:val="28"/>
        </w:rPr>
        <w:t>備註：</w:t>
      </w:r>
      <w:bookmarkEnd w:id="227"/>
      <w:r w:rsidRPr="00F4425A">
        <w:rPr>
          <w:rFonts w:ascii="標楷體" w:eastAsia="標楷體" w:hAnsi="標楷體"/>
          <w:bCs/>
          <w:spacing w:val="-10"/>
          <w:sz w:val="28"/>
          <w:szCs w:val="28"/>
        </w:rPr>
        <w:t xml:space="preserve"> </w:t>
      </w:r>
    </w:p>
    <w:p w14:paraId="4566FE38" w14:textId="77777777" w:rsidR="005D68EB" w:rsidRDefault="005D68EB" w:rsidP="005D68EB">
      <w:pPr>
        <w:tabs>
          <w:tab w:val="num" w:pos="720"/>
        </w:tabs>
        <w:spacing w:afterLines="15" w:after="36" w:line="400" w:lineRule="exact"/>
        <w:ind w:leftChars="1" w:left="332" w:hangingChars="150" w:hanging="330"/>
        <w:jc w:val="both"/>
        <w:outlineLvl w:val="1"/>
        <w:rPr>
          <w:rFonts w:ascii="標楷體" w:eastAsia="標楷體" w:hAnsi="標楷體"/>
          <w:bCs/>
          <w:spacing w:val="-10"/>
        </w:rPr>
      </w:pPr>
      <w:bookmarkStart w:id="228" w:name="_Toc185412469"/>
      <w:r w:rsidRPr="00F4425A">
        <w:rPr>
          <w:rFonts w:ascii="標楷體" w:eastAsia="標楷體" w:hAnsi="標楷體" w:hint="eastAsia"/>
          <w:bCs/>
          <w:spacing w:val="-10"/>
        </w:rPr>
        <w:t>1、</w:t>
      </w:r>
      <w:r w:rsidRPr="00F4425A">
        <w:rPr>
          <w:rFonts w:ascii="標楷體" w:eastAsia="標楷體" w:hAnsi="標楷體"/>
          <w:bCs/>
          <w:spacing w:val="-10"/>
        </w:rPr>
        <w:t>ICRP勧告における管理された線源からの一般公衆の年間線量限度(医療被ばくを除く)</w:t>
      </w:r>
      <w:r w:rsidRPr="00F4425A">
        <w:rPr>
          <w:rFonts w:ascii="標楷體" w:eastAsia="標楷體" w:hAnsi="標楷體" w:hint="eastAsia"/>
          <w:bCs/>
          <w:spacing w:val="-10"/>
        </w:rPr>
        <w:t>：</w:t>
      </w:r>
      <w:r w:rsidRPr="00F4425A">
        <w:rPr>
          <w:rFonts w:ascii="標楷體" w:eastAsia="標楷體" w:hAnsi="標楷體"/>
          <w:bCs/>
          <w:spacing w:val="-10"/>
        </w:rPr>
        <w:t>國際放射防護委員會(ICRP)建議的來自受控源的公眾年劑量限度</w:t>
      </w:r>
      <w:r>
        <w:rPr>
          <w:rFonts w:ascii="標楷體" w:eastAsia="標楷體" w:hAnsi="標楷體"/>
          <w:bCs/>
          <w:spacing w:val="-10"/>
        </w:rPr>
        <w:t>(</w:t>
      </w:r>
      <w:r w:rsidRPr="00F4425A">
        <w:rPr>
          <w:rFonts w:ascii="標楷體" w:eastAsia="標楷體" w:hAnsi="標楷體"/>
          <w:bCs/>
          <w:spacing w:val="-10"/>
        </w:rPr>
        <w:t>不包括醫療照射</w:t>
      </w:r>
      <w:r>
        <w:rPr>
          <w:rFonts w:ascii="標楷體" w:eastAsia="標楷體" w:hAnsi="標楷體"/>
          <w:bCs/>
          <w:spacing w:val="-10"/>
        </w:rPr>
        <w:t>)</w:t>
      </w:r>
      <w:r>
        <w:rPr>
          <w:rFonts w:ascii="標楷體" w:eastAsia="標楷體" w:hAnsi="標楷體" w:hint="eastAsia"/>
          <w:bCs/>
          <w:spacing w:val="-10"/>
        </w:rPr>
        <w:t>。</w:t>
      </w:r>
      <w:r w:rsidRPr="00F4425A">
        <w:rPr>
          <w:rFonts w:ascii="標楷體" w:eastAsia="標楷體" w:hAnsi="標楷體"/>
          <w:bCs/>
          <w:spacing w:val="-10"/>
        </w:rPr>
        <w:t>1ミリシーベルト</w:t>
      </w:r>
      <w:r w:rsidRPr="00F4425A">
        <w:rPr>
          <w:rFonts w:ascii="標楷體" w:eastAsia="標楷體" w:hAnsi="標楷體" w:hint="eastAsia"/>
          <w:bCs/>
          <w:spacing w:val="-10"/>
        </w:rPr>
        <w:t>即為</w:t>
      </w:r>
      <w:r w:rsidRPr="00F4425A">
        <w:rPr>
          <w:rFonts w:ascii="標楷體" w:eastAsia="標楷體" w:hAnsi="標楷體"/>
          <w:bCs/>
          <w:spacing w:val="-10"/>
        </w:rPr>
        <w:t>1毫西弗</w:t>
      </w:r>
      <w:r w:rsidRPr="00F4425A">
        <w:rPr>
          <w:rFonts w:ascii="標楷體" w:eastAsia="標楷體" w:hAnsi="標楷體" w:hint="eastAsia"/>
          <w:bCs/>
          <w:spacing w:val="-10"/>
        </w:rPr>
        <w:t>、</w:t>
      </w:r>
      <w:r w:rsidRPr="00F4425A">
        <w:rPr>
          <w:rFonts w:ascii="標楷體" w:eastAsia="標楷體" w:hAnsi="標楷體"/>
          <w:bCs/>
          <w:spacing w:val="-10"/>
        </w:rPr>
        <w:t>1グレイ</w:t>
      </w:r>
      <w:r w:rsidRPr="00F4425A">
        <w:rPr>
          <w:rFonts w:ascii="標楷體" w:eastAsia="標楷體" w:hAnsi="標楷體" w:hint="eastAsia"/>
          <w:bCs/>
          <w:spacing w:val="-10"/>
        </w:rPr>
        <w:t>即為</w:t>
      </w:r>
      <w:r w:rsidRPr="00F4425A">
        <w:rPr>
          <w:rFonts w:ascii="標楷體" w:eastAsia="標楷體" w:hAnsi="標楷體"/>
          <w:bCs/>
          <w:spacing w:val="-10"/>
        </w:rPr>
        <w:t>1戈瑞</w:t>
      </w:r>
      <w:r w:rsidRPr="00F4425A">
        <w:rPr>
          <w:rFonts w:ascii="標楷體" w:eastAsia="標楷體" w:hAnsi="標楷體" w:hint="eastAsia"/>
          <w:bCs/>
          <w:spacing w:val="-10"/>
        </w:rPr>
        <w:t>。</w:t>
      </w:r>
      <w:r w:rsidRPr="00F4425A">
        <w:rPr>
          <w:rFonts w:ascii="標楷體" w:eastAsia="標楷體" w:hAnsi="標楷體"/>
          <w:bCs/>
          <w:spacing w:val="-10"/>
        </w:rPr>
        <w:t>圖表左側以紅色標示不同輻射劑量可能造成的健康影響，劑量越高，風險越大。</w:t>
      </w:r>
      <w:bookmarkEnd w:id="228"/>
    </w:p>
    <w:p w14:paraId="1B338070" w14:textId="77777777" w:rsidR="005D68EB" w:rsidRPr="00F4425A" w:rsidRDefault="005D68EB" w:rsidP="005D68EB">
      <w:pPr>
        <w:tabs>
          <w:tab w:val="num" w:pos="720"/>
        </w:tabs>
        <w:spacing w:afterLines="15" w:after="36" w:line="400" w:lineRule="exact"/>
        <w:ind w:leftChars="1" w:left="332" w:hangingChars="150" w:hanging="330"/>
        <w:jc w:val="both"/>
        <w:outlineLvl w:val="1"/>
        <w:rPr>
          <w:rFonts w:ascii="標楷體" w:eastAsia="標楷體" w:hAnsi="標楷體"/>
          <w:bCs/>
          <w:spacing w:val="-10"/>
        </w:rPr>
      </w:pPr>
      <w:bookmarkStart w:id="229" w:name="_Toc185412470"/>
      <w:r>
        <w:rPr>
          <w:rFonts w:ascii="標楷體" w:eastAsia="標楷體" w:hAnsi="標楷體" w:hint="eastAsia"/>
          <w:bCs/>
          <w:spacing w:val="-10"/>
        </w:rPr>
        <w:t>2、</w:t>
      </w:r>
      <w:r w:rsidRPr="00F4425A">
        <w:rPr>
          <w:rFonts w:ascii="標楷體" w:eastAsia="標楷體" w:hAnsi="標楷體"/>
          <w:bCs/>
          <w:spacing w:val="-10"/>
        </w:rPr>
        <w:t>人工輻射和自然輻射的比較</w:t>
      </w:r>
      <w:r w:rsidRPr="00F4425A">
        <w:rPr>
          <w:rFonts w:ascii="標楷體" w:eastAsia="標楷體" w:hAnsi="標楷體" w:hint="eastAsia"/>
          <w:bCs/>
          <w:spacing w:val="-10"/>
        </w:rPr>
        <w:t>：</w:t>
      </w:r>
      <w:r w:rsidRPr="00F4425A">
        <w:rPr>
          <w:rFonts w:ascii="標楷體" w:eastAsia="標楷體" w:hAnsi="標楷體"/>
          <w:bCs/>
          <w:spacing w:val="-10"/>
        </w:rPr>
        <w:t>將人工輻射和自然輻射的來源和劑量進行比較，可</w:t>
      </w:r>
      <w:r>
        <w:rPr>
          <w:rFonts w:ascii="標楷體" w:eastAsia="標楷體" w:hAnsi="標楷體" w:hint="eastAsia"/>
          <w:bCs/>
          <w:spacing w:val="-10"/>
        </w:rPr>
        <w:t>知</w:t>
      </w:r>
      <w:r w:rsidRPr="00F4425A">
        <w:rPr>
          <w:rFonts w:ascii="標楷體" w:eastAsia="標楷體" w:hAnsi="標楷體"/>
          <w:bCs/>
          <w:spacing w:val="-10"/>
        </w:rPr>
        <w:t>人們在日常生活中接觸到的輻射，大部分來自於自然環境。圖表中</w:t>
      </w:r>
      <w:r>
        <w:rPr>
          <w:rFonts w:ascii="標楷體" w:eastAsia="標楷體" w:hAnsi="標楷體" w:hint="eastAsia"/>
          <w:bCs/>
          <w:spacing w:val="-10"/>
        </w:rPr>
        <w:t>亦</w:t>
      </w:r>
      <w:r w:rsidRPr="00F4425A">
        <w:rPr>
          <w:rFonts w:ascii="標楷體" w:eastAsia="標楷體" w:hAnsi="標楷體"/>
          <w:bCs/>
          <w:spacing w:val="-10"/>
        </w:rPr>
        <w:t>列出常見醫療檢查的輻射劑量，例如CT、X光等。</w:t>
      </w:r>
      <w:bookmarkEnd w:id="229"/>
    </w:p>
    <w:p w14:paraId="21D31737" w14:textId="77777777" w:rsidR="005D68EB" w:rsidRDefault="005D68EB" w:rsidP="005D68EB">
      <w:pPr>
        <w:tabs>
          <w:tab w:val="num" w:pos="720"/>
        </w:tabs>
        <w:spacing w:afterLines="15" w:after="36" w:line="400" w:lineRule="exact"/>
        <w:ind w:leftChars="1" w:left="332" w:hangingChars="150" w:hanging="330"/>
        <w:jc w:val="both"/>
        <w:outlineLvl w:val="1"/>
        <w:rPr>
          <w:rFonts w:ascii="標楷體" w:eastAsia="標楷體" w:hAnsi="標楷體"/>
          <w:bCs/>
          <w:spacing w:val="-10"/>
        </w:rPr>
      </w:pPr>
      <w:bookmarkStart w:id="230" w:name="_Toc185412471"/>
      <w:r>
        <w:rPr>
          <w:rFonts w:ascii="標楷體" w:eastAsia="標楷體" w:hAnsi="標楷體" w:hint="eastAsia"/>
          <w:bCs/>
          <w:spacing w:val="-10"/>
        </w:rPr>
        <w:t>3、</w:t>
      </w:r>
      <w:r>
        <w:rPr>
          <w:rFonts w:ascii="標楷體" w:eastAsia="標楷體" w:hAnsi="標楷體"/>
          <w:bCs/>
          <w:spacing w:val="-10"/>
        </w:rPr>
        <w:t>核能</w:t>
      </w:r>
      <w:r w:rsidRPr="00577B7F">
        <w:rPr>
          <w:rFonts w:ascii="標楷體" w:eastAsia="標楷體" w:hAnsi="標楷體"/>
          <w:bCs/>
          <w:spacing w:val="-10"/>
        </w:rPr>
        <w:t>や放射線を取り扱う作業者の線量限度100ミリシーベルト/5年</w:t>
      </w:r>
      <w:r w:rsidRPr="00577B7F">
        <w:rPr>
          <w:rFonts w:ascii="標楷體" w:eastAsia="標楷體" w:hAnsi="標楷體" w:hint="eastAsia"/>
          <w:bCs/>
          <w:spacing w:val="-10"/>
        </w:rPr>
        <w:t>：</w:t>
      </w:r>
      <w:r w:rsidRPr="00F4425A">
        <w:rPr>
          <w:rFonts w:ascii="標楷體" w:eastAsia="標楷體" w:hAnsi="標楷體"/>
          <w:bCs/>
          <w:spacing w:val="-10"/>
        </w:rPr>
        <w:t>從事原子能和輻射相關工作職業人員的劑量限度</w:t>
      </w:r>
      <w:r>
        <w:rPr>
          <w:rFonts w:ascii="標楷體" w:eastAsia="標楷體" w:hAnsi="標楷體" w:hint="eastAsia"/>
          <w:bCs/>
          <w:spacing w:val="-10"/>
        </w:rPr>
        <w:t>為每5年</w:t>
      </w:r>
      <w:r w:rsidRPr="00F4425A">
        <w:rPr>
          <w:rFonts w:ascii="標楷體" w:eastAsia="標楷體" w:hAnsi="標楷體"/>
          <w:bCs/>
          <w:spacing w:val="-10"/>
        </w:rPr>
        <w:t>100毫西弗</w:t>
      </w:r>
      <w:r>
        <w:rPr>
          <w:rFonts w:ascii="標楷體" w:eastAsia="標楷體" w:hAnsi="標楷體" w:hint="eastAsia"/>
          <w:bCs/>
          <w:spacing w:val="-10"/>
        </w:rPr>
        <w:t>。</w:t>
      </w:r>
      <w:bookmarkEnd w:id="230"/>
    </w:p>
    <w:p w14:paraId="3A2E5A3E" w14:textId="77777777" w:rsidR="005D68EB" w:rsidRPr="00577B7F" w:rsidRDefault="005D68EB" w:rsidP="005D68EB">
      <w:pPr>
        <w:tabs>
          <w:tab w:val="num" w:pos="720"/>
        </w:tabs>
        <w:spacing w:afterLines="15" w:after="36" w:line="400" w:lineRule="exact"/>
        <w:ind w:leftChars="1" w:left="332" w:hangingChars="150" w:hanging="330"/>
        <w:jc w:val="both"/>
        <w:outlineLvl w:val="1"/>
        <w:rPr>
          <w:rFonts w:ascii="標楷體" w:eastAsia="標楷體" w:hAnsi="標楷體"/>
          <w:bCs/>
          <w:spacing w:val="-10"/>
        </w:rPr>
      </w:pPr>
      <w:bookmarkStart w:id="231" w:name="_Toc185412472"/>
      <w:r w:rsidRPr="00577B7F">
        <w:rPr>
          <w:rFonts w:ascii="標楷體" w:eastAsia="標楷體" w:hAnsi="標楷體" w:hint="eastAsia"/>
          <w:bCs/>
          <w:spacing w:val="-10"/>
        </w:rPr>
        <w:t>4、</w:t>
      </w:r>
      <w:r w:rsidRPr="00577B7F">
        <w:rPr>
          <w:rFonts w:ascii="標楷體" w:eastAsia="標楷體" w:hAnsi="標楷體"/>
          <w:bCs/>
          <w:spacing w:val="-10"/>
        </w:rPr>
        <w:t>1人当たりの自然放射線 (年間約2.1ミリシーベルト)日本平均</w:t>
      </w:r>
      <w:r>
        <w:rPr>
          <w:rFonts w:ascii="標楷體" w:eastAsia="標楷體" w:hAnsi="標楷體" w:hint="eastAsia"/>
          <w:bCs/>
          <w:spacing w:val="-10"/>
        </w:rPr>
        <w:t>：日本每</w:t>
      </w:r>
      <w:r w:rsidRPr="00577B7F">
        <w:rPr>
          <w:rFonts w:ascii="標楷體" w:eastAsia="標楷體" w:hAnsi="標楷體"/>
          <w:bCs/>
          <w:spacing w:val="-10"/>
        </w:rPr>
        <w:t>人</w:t>
      </w:r>
      <w:r>
        <w:rPr>
          <w:rFonts w:ascii="標楷體" w:eastAsia="標楷體" w:hAnsi="標楷體" w:hint="eastAsia"/>
          <w:bCs/>
          <w:spacing w:val="-10"/>
        </w:rPr>
        <w:t>每年平</w:t>
      </w:r>
      <w:r w:rsidRPr="00577B7F">
        <w:rPr>
          <w:rFonts w:ascii="標楷體" w:eastAsia="標楷體" w:hAnsi="標楷體"/>
          <w:bCs/>
          <w:spacing w:val="-10"/>
        </w:rPr>
        <w:t>均自然輻射約</w:t>
      </w:r>
      <w:r>
        <w:rPr>
          <w:rFonts w:ascii="標楷體" w:eastAsia="標楷體" w:hAnsi="標楷體" w:hint="eastAsia"/>
          <w:bCs/>
          <w:spacing w:val="-10"/>
        </w:rPr>
        <w:t>為</w:t>
      </w:r>
      <w:r w:rsidRPr="00577B7F">
        <w:rPr>
          <w:rFonts w:ascii="標楷體" w:eastAsia="標楷體" w:hAnsi="標楷體"/>
          <w:bCs/>
          <w:spacing w:val="-10"/>
        </w:rPr>
        <w:t>2.1毫西弗</w:t>
      </w:r>
      <w:r>
        <w:rPr>
          <w:rFonts w:ascii="標楷體" w:eastAsia="標楷體" w:hAnsi="標楷體" w:hint="eastAsia"/>
          <w:bCs/>
          <w:spacing w:val="-10"/>
        </w:rPr>
        <w:t>。</w:t>
      </w:r>
      <w:bookmarkEnd w:id="231"/>
    </w:p>
    <w:p w14:paraId="1F48DE62" w14:textId="77777777" w:rsidR="005D68EB" w:rsidRDefault="005D68EB" w:rsidP="005D68EB">
      <w:pPr>
        <w:tabs>
          <w:tab w:val="num" w:pos="720"/>
        </w:tabs>
        <w:spacing w:beforeLines="15" w:before="36" w:afterLines="15" w:after="36"/>
        <w:ind w:leftChars="1" w:left="332" w:hangingChars="150" w:hanging="330"/>
        <w:jc w:val="center"/>
        <w:outlineLvl w:val="1"/>
        <w:rPr>
          <w:rFonts w:ascii="標楷體" w:eastAsia="標楷體" w:hAnsi="標楷體"/>
          <w:bCs/>
          <w:noProof/>
          <w:spacing w:val="-10"/>
          <w:szCs w:val="24"/>
        </w:rPr>
      </w:pPr>
    </w:p>
    <w:p w14:paraId="4988119E" w14:textId="77777777" w:rsidR="005D68EB" w:rsidRDefault="005D68EB" w:rsidP="005D68EB">
      <w:pPr>
        <w:tabs>
          <w:tab w:val="num" w:pos="720"/>
        </w:tabs>
        <w:spacing w:beforeLines="15" w:before="36" w:afterLines="15" w:after="36"/>
        <w:ind w:leftChars="1" w:left="332" w:hangingChars="150" w:hanging="330"/>
        <w:jc w:val="center"/>
        <w:outlineLvl w:val="1"/>
        <w:rPr>
          <w:rFonts w:ascii="標楷體" w:eastAsia="標楷體" w:hAnsi="標楷體"/>
          <w:bCs/>
          <w:noProof/>
          <w:spacing w:val="-10"/>
          <w:szCs w:val="24"/>
        </w:rPr>
      </w:pPr>
    </w:p>
    <w:p w14:paraId="0418C733" w14:textId="77777777" w:rsidR="005D68EB" w:rsidRDefault="005D68EB" w:rsidP="005D68EB">
      <w:pPr>
        <w:tabs>
          <w:tab w:val="num" w:pos="720"/>
        </w:tabs>
        <w:spacing w:beforeLines="15" w:before="36" w:afterLines="15" w:after="36"/>
        <w:ind w:leftChars="1" w:left="362" w:hangingChars="150" w:hanging="360"/>
        <w:jc w:val="center"/>
        <w:outlineLvl w:val="1"/>
        <w:rPr>
          <w:rFonts w:ascii="標楷體" w:eastAsia="標楷體" w:hAnsi="標楷體"/>
          <w:bCs/>
          <w:spacing w:val="-10"/>
          <w:szCs w:val="24"/>
        </w:rPr>
      </w:pPr>
      <w:bookmarkStart w:id="232" w:name="_Toc185412473"/>
      <w:r>
        <w:rPr>
          <w:rFonts w:ascii="標楷體" w:eastAsia="標楷體" w:hAnsi="標楷體" w:hint="eastAsia"/>
          <w:bCs/>
          <w:noProof/>
          <w:spacing w:val="-10"/>
          <w:szCs w:val="24"/>
        </w:rPr>
        <w:drawing>
          <wp:inline distT="0" distB="0" distL="0" distR="0" wp14:anchorId="7D97AE20" wp14:editId="3F00099F">
            <wp:extent cx="5042916" cy="4805172"/>
            <wp:effectExtent l="0" t="0" r="5715" b="0"/>
            <wp:docPr id="1021221478" name="圖片 5" descr="一張含有 文字, 螢幕擷取畫面, 地圖, 圖表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221478" name="圖片 5" descr="一張含有 文字, 螢幕擷取畫面, 地圖, 圖表 的圖片&#10;&#10;自動產生的描述"/>
                    <pic:cNvPicPr/>
                  </pic:nvPicPr>
                  <pic:blipFill>
                    <a:blip r:embed="rId45">
                      <a:extLst>
                        <a:ext uri="{28A0092B-C50C-407E-A947-70E740481C1C}">
                          <a14:useLocalDpi xmlns:a14="http://schemas.microsoft.com/office/drawing/2010/main" val="0"/>
                        </a:ext>
                      </a:extLst>
                    </a:blip>
                    <a:stretch>
                      <a:fillRect/>
                    </a:stretch>
                  </pic:blipFill>
                  <pic:spPr>
                    <a:xfrm>
                      <a:off x="0" y="0"/>
                      <a:ext cx="5042916" cy="4805172"/>
                    </a:xfrm>
                    <a:prstGeom prst="rect">
                      <a:avLst/>
                    </a:prstGeom>
                  </pic:spPr>
                </pic:pic>
              </a:graphicData>
            </a:graphic>
          </wp:inline>
        </w:drawing>
      </w:r>
      <w:bookmarkEnd w:id="232"/>
    </w:p>
    <w:p w14:paraId="459E991D" w14:textId="77777777" w:rsidR="005D68EB" w:rsidRPr="00F4425A" w:rsidRDefault="005D68EB" w:rsidP="005D68EB">
      <w:pPr>
        <w:pStyle w:val="a1"/>
      </w:pPr>
      <w:bookmarkStart w:id="233" w:name="_Toc185426128"/>
      <w:bookmarkStart w:id="234" w:name="_Toc185605739"/>
      <w:bookmarkStart w:id="235" w:name="_Toc186029858"/>
      <w:r w:rsidRPr="00577B7F">
        <w:t>自然輻射來源及輻射劑量率與高度</w:t>
      </w:r>
      <w:r>
        <w:rPr>
          <w:rFonts w:hint="eastAsia"/>
        </w:rPr>
        <w:t>之</w:t>
      </w:r>
      <w:r w:rsidRPr="00577B7F">
        <w:t>關係</w:t>
      </w:r>
      <w:r w:rsidRPr="00F4425A">
        <w:rPr>
          <w:rFonts w:hint="eastAsia"/>
        </w:rPr>
        <w:t>圖</w:t>
      </w:r>
      <w:bookmarkEnd w:id="233"/>
      <w:bookmarkEnd w:id="234"/>
      <w:bookmarkEnd w:id="235"/>
    </w:p>
    <w:p w14:paraId="7064C01A" w14:textId="77777777" w:rsidR="005D68EB" w:rsidRPr="00F4425A" w:rsidRDefault="005D68EB" w:rsidP="005D68EB">
      <w:pPr>
        <w:tabs>
          <w:tab w:val="num" w:pos="720"/>
        </w:tabs>
        <w:spacing w:beforeLines="15" w:before="36" w:afterLines="15" w:after="36" w:line="440" w:lineRule="exact"/>
        <w:ind w:leftChars="1" w:left="392" w:hangingChars="150" w:hanging="390"/>
        <w:jc w:val="both"/>
        <w:outlineLvl w:val="1"/>
        <w:rPr>
          <w:rFonts w:ascii="標楷體" w:eastAsia="標楷體" w:hAnsi="標楷體"/>
          <w:bCs/>
          <w:spacing w:val="-10"/>
          <w:sz w:val="28"/>
          <w:szCs w:val="28"/>
        </w:rPr>
      </w:pPr>
      <w:bookmarkStart w:id="236" w:name="_Toc185412474"/>
      <w:r w:rsidRPr="00F4425A">
        <w:rPr>
          <w:rFonts w:ascii="標楷體" w:eastAsia="標楷體" w:hAnsi="標楷體" w:hint="eastAsia"/>
          <w:bCs/>
          <w:spacing w:val="-10"/>
          <w:sz w:val="28"/>
          <w:szCs w:val="28"/>
        </w:rPr>
        <w:t>備註：</w:t>
      </w:r>
      <w:bookmarkEnd w:id="236"/>
    </w:p>
    <w:p w14:paraId="642AAC17" w14:textId="77777777" w:rsidR="005D68EB" w:rsidRDefault="005D68EB" w:rsidP="005D68EB">
      <w:pPr>
        <w:tabs>
          <w:tab w:val="num" w:pos="720"/>
        </w:tabs>
        <w:spacing w:afterLines="15" w:after="36" w:line="400" w:lineRule="exact"/>
        <w:ind w:leftChars="1" w:left="332" w:hangingChars="150" w:hanging="330"/>
        <w:jc w:val="both"/>
        <w:outlineLvl w:val="1"/>
        <w:rPr>
          <w:rFonts w:ascii="標楷體" w:eastAsia="標楷體" w:hAnsi="標楷體"/>
          <w:bCs/>
          <w:spacing w:val="-10"/>
        </w:rPr>
      </w:pPr>
      <w:bookmarkStart w:id="237" w:name="_Toc185412475"/>
      <w:r w:rsidRPr="00F4425A">
        <w:rPr>
          <w:rFonts w:ascii="標楷體" w:eastAsia="標楷體" w:hAnsi="標楷體" w:hint="eastAsia"/>
          <w:bCs/>
          <w:spacing w:val="-10"/>
        </w:rPr>
        <w:t>1、</w:t>
      </w:r>
      <w:r w:rsidRPr="00577B7F">
        <w:rPr>
          <w:rFonts w:ascii="標楷體" w:eastAsia="標楷體" w:hAnsi="標楷體"/>
          <w:bCs/>
          <w:spacing w:val="-10"/>
        </w:rPr>
        <w:t>線量率(マイクロシーベルト/時)</w:t>
      </w:r>
      <w:r w:rsidRPr="00577B7F">
        <w:rPr>
          <w:rFonts w:ascii="標楷體" w:eastAsia="標楷體" w:hAnsi="標楷體" w:hint="eastAsia"/>
          <w:bCs/>
          <w:spacing w:val="-10"/>
        </w:rPr>
        <w:t>為</w:t>
      </w:r>
      <w:r w:rsidRPr="00577B7F">
        <w:rPr>
          <w:rFonts w:ascii="標楷體" w:eastAsia="標楷體" w:hAnsi="標楷體"/>
          <w:bCs/>
          <w:spacing w:val="-10"/>
        </w:rPr>
        <w:t>輻射劑量率，單位為微西弗/小時。</w:t>
      </w:r>
      <w:bookmarkEnd w:id="237"/>
    </w:p>
    <w:p w14:paraId="5418D7EE" w14:textId="77777777" w:rsidR="005D68EB" w:rsidRPr="00F4425A" w:rsidRDefault="005D68EB" w:rsidP="005D68EB">
      <w:pPr>
        <w:tabs>
          <w:tab w:val="num" w:pos="720"/>
        </w:tabs>
        <w:spacing w:afterLines="15" w:after="36" w:line="400" w:lineRule="exact"/>
        <w:ind w:leftChars="1" w:left="332" w:hangingChars="150" w:hanging="330"/>
        <w:jc w:val="both"/>
        <w:outlineLvl w:val="1"/>
        <w:rPr>
          <w:rFonts w:ascii="標楷體" w:eastAsia="標楷體" w:hAnsi="標楷體"/>
          <w:bCs/>
          <w:spacing w:val="-10"/>
        </w:rPr>
      </w:pPr>
      <w:bookmarkStart w:id="238" w:name="_Toc185412476"/>
      <w:r>
        <w:rPr>
          <w:rFonts w:ascii="標楷體" w:eastAsia="標楷體" w:hAnsi="標楷體" w:hint="eastAsia"/>
          <w:bCs/>
          <w:spacing w:val="-10"/>
        </w:rPr>
        <w:t>2、</w:t>
      </w:r>
      <w:r w:rsidRPr="00577B7F">
        <w:rPr>
          <w:rFonts w:ascii="標楷體" w:eastAsia="標楷體" w:hAnsi="標楷體"/>
          <w:bCs/>
          <w:spacing w:val="-10"/>
        </w:rPr>
        <w:t>ラドン220(トロン)</w:t>
      </w:r>
      <w:r>
        <w:rPr>
          <w:rFonts w:ascii="標楷體" w:eastAsia="標楷體" w:hAnsi="標楷體" w:hint="eastAsia"/>
          <w:bCs/>
          <w:spacing w:val="-10"/>
        </w:rPr>
        <w:t>為</w:t>
      </w:r>
      <w:r w:rsidRPr="00577B7F">
        <w:rPr>
          <w:rFonts w:ascii="標楷體" w:eastAsia="標楷體" w:hAnsi="標楷體"/>
          <w:bCs/>
          <w:spacing w:val="-10"/>
        </w:rPr>
        <w:t>氡220(釷射氣，放射性氣體，來自地殼中的釷衰變</w:t>
      </w:r>
      <w:r>
        <w:rPr>
          <w:rFonts w:ascii="標楷體" w:eastAsia="標楷體" w:hAnsi="標楷體" w:hint="eastAsia"/>
          <w:bCs/>
          <w:spacing w:val="-10"/>
        </w:rPr>
        <w:t>)，</w:t>
      </w:r>
      <w:r w:rsidRPr="00577B7F">
        <w:rPr>
          <w:rFonts w:ascii="標楷體" w:eastAsia="標楷體" w:hAnsi="標楷體"/>
          <w:bCs/>
          <w:spacing w:val="-10"/>
        </w:rPr>
        <w:t>ラドン226</w:t>
      </w:r>
      <w:r>
        <w:rPr>
          <w:rFonts w:ascii="標楷體" w:eastAsia="標楷體" w:hAnsi="標楷體" w:hint="eastAsia"/>
          <w:bCs/>
          <w:spacing w:val="-10"/>
        </w:rPr>
        <w:t>為</w:t>
      </w:r>
      <w:r w:rsidRPr="00577B7F">
        <w:rPr>
          <w:rFonts w:ascii="標楷體" w:eastAsia="標楷體" w:hAnsi="標楷體"/>
          <w:bCs/>
          <w:spacing w:val="-10"/>
        </w:rPr>
        <w:t>氡226</w:t>
      </w:r>
      <w:r>
        <w:rPr>
          <w:rFonts w:ascii="標楷體" w:eastAsia="標楷體" w:hAnsi="標楷體" w:hint="eastAsia"/>
          <w:bCs/>
          <w:spacing w:val="-10"/>
        </w:rPr>
        <w:t>(</w:t>
      </w:r>
      <w:r w:rsidRPr="00577B7F">
        <w:rPr>
          <w:rFonts w:ascii="標楷體" w:eastAsia="標楷體" w:hAnsi="標楷體"/>
          <w:bCs/>
          <w:spacing w:val="-10"/>
        </w:rPr>
        <w:t>放射性氣體，來自地殼中的鈾衰變</w:t>
      </w:r>
      <w:r>
        <w:rPr>
          <w:rFonts w:ascii="標楷體" w:eastAsia="標楷體" w:hAnsi="標楷體" w:hint="eastAsia"/>
          <w:bCs/>
          <w:spacing w:val="-10"/>
        </w:rPr>
        <w:t>)，</w:t>
      </w:r>
      <w:r w:rsidRPr="00577B7F">
        <w:rPr>
          <w:rFonts w:ascii="標楷體" w:eastAsia="標楷體" w:hAnsi="標楷體"/>
          <w:bCs/>
          <w:spacing w:val="-10"/>
        </w:rPr>
        <w:t>ラジウム226</w:t>
      </w:r>
      <w:r>
        <w:rPr>
          <w:rFonts w:ascii="標楷體" w:eastAsia="標楷體" w:hAnsi="標楷體" w:hint="eastAsia"/>
          <w:bCs/>
          <w:spacing w:val="-10"/>
        </w:rPr>
        <w:t>為</w:t>
      </w:r>
      <w:r w:rsidRPr="00577B7F">
        <w:rPr>
          <w:rFonts w:ascii="標楷體" w:eastAsia="標楷體" w:hAnsi="標楷體"/>
          <w:bCs/>
          <w:spacing w:val="-10"/>
        </w:rPr>
        <w:t>鐳226</w:t>
      </w:r>
      <w:r>
        <w:rPr>
          <w:rFonts w:ascii="標楷體" w:eastAsia="標楷體" w:hAnsi="標楷體" w:hint="eastAsia"/>
          <w:bCs/>
          <w:spacing w:val="-10"/>
        </w:rPr>
        <w:t>(</w:t>
      </w:r>
      <w:r w:rsidRPr="00577B7F">
        <w:rPr>
          <w:rFonts w:ascii="標楷體" w:eastAsia="標楷體" w:hAnsi="標楷體"/>
          <w:bCs/>
          <w:spacing w:val="-10"/>
        </w:rPr>
        <w:t>放射性元素，存在於地殼中</w:t>
      </w:r>
      <w:r>
        <w:rPr>
          <w:rFonts w:ascii="標楷體" w:eastAsia="標楷體" w:hAnsi="標楷體" w:hint="eastAsia"/>
          <w:bCs/>
          <w:spacing w:val="-10"/>
        </w:rPr>
        <w:t>)，</w:t>
      </w:r>
      <w:r w:rsidRPr="00577B7F">
        <w:rPr>
          <w:rFonts w:ascii="標楷體" w:eastAsia="標楷體" w:hAnsi="標楷體"/>
          <w:bCs/>
          <w:spacing w:val="-10"/>
        </w:rPr>
        <w:t>トリウム232</w:t>
      </w:r>
      <w:r>
        <w:rPr>
          <w:rFonts w:ascii="標楷體" w:eastAsia="標楷體" w:hAnsi="標楷體" w:hint="eastAsia"/>
          <w:bCs/>
          <w:spacing w:val="-10"/>
        </w:rPr>
        <w:t>為</w:t>
      </w:r>
      <w:r w:rsidRPr="00577B7F">
        <w:rPr>
          <w:rFonts w:ascii="標楷體" w:eastAsia="標楷體" w:hAnsi="標楷體"/>
          <w:bCs/>
          <w:spacing w:val="-10"/>
        </w:rPr>
        <w:t>釷232</w:t>
      </w:r>
      <w:r>
        <w:rPr>
          <w:rFonts w:ascii="標楷體" w:eastAsia="標楷體" w:hAnsi="標楷體" w:hint="eastAsia"/>
          <w:bCs/>
          <w:spacing w:val="-10"/>
        </w:rPr>
        <w:t>(</w:t>
      </w:r>
      <w:r w:rsidRPr="00577B7F">
        <w:rPr>
          <w:rFonts w:ascii="標楷體" w:eastAsia="標楷體" w:hAnsi="標楷體"/>
          <w:bCs/>
          <w:spacing w:val="-10"/>
        </w:rPr>
        <w:t>放射性元素，存在於地殼中</w:t>
      </w:r>
      <w:r>
        <w:rPr>
          <w:rFonts w:ascii="標楷體" w:eastAsia="標楷體" w:hAnsi="標楷體" w:hint="eastAsia"/>
          <w:bCs/>
          <w:spacing w:val="-10"/>
        </w:rPr>
        <w:t>)</w:t>
      </w:r>
      <w:r w:rsidRPr="00577B7F">
        <w:rPr>
          <w:rFonts w:ascii="標楷體" w:eastAsia="標楷體" w:hAnsi="標楷體"/>
          <w:bCs/>
          <w:spacing w:val="-10"/>
        </w:rPr>
        <w:t>。</w:t>
      </w:r>
      <w:bookmarkEnd w:id="238"/>
    </w:p>
    <w:p w14:paraId="58209CAD" w14:textId="77777777" w:rsidR="005D68EB" w:rsidRPr="00F4425A" w:rsidRDefault="005D68EB" w:rsidP="005D68EB">
      <w:pPr>
        <w:tabs>
          <w:tab w:val="num" w:pos="720"/>
        </w:tabs>
        <w:spacing w:afterLines="15" w:after="36" w:line="400" w:lineRule="exact"/>
        <w:ind w:leftChars="1" w:left="332" w:hangingChars="150" w:hanging="330"/>
        <w:jc w:val="both"/>
        <w:outlineLvl w:val="1"/>
        <w:rPr>
          <w:rFonts w:ascii="標楷體" w:eastAsia="標楷體" w:hAnsi="標楷體"/>
          <w:bCs/>
          <w:spacing w:val="-10"/>
        </w:rPr>
      </w:pPr>
      <w:bookmarkStart w:id="239" w:name="_Toc185412477"/>
      <w:r>
        <w:rPr>
          <w:rFonts w:ascii="標楷體" w:eastAsia="標楷體" w:hAnsi="標楷體" w:hint="eastAsia"/>
          <w:bCs/>
          <w:spacing w:val="-10"/>
        </w:rPr>
        <w:t>3、</w:t>
      </w:r>
      <w:r w:rsidRPr="00577B7F">
        <w:rPr>
          <w:rFonts w:ascii="標楷體" w:eastAsia="標楷體" w:hAnsi="標楷體"/>
          <w:bCs/>
          <w:spacing w:val="-10"/>
        </w:rPr>
        <w:t>自然輻射主要來自宇宙射線、地殼中的放射性核種和空氣中的放射性氣體。隨著高度的增加，宇宙射線的劑量率</w:t>
      </w:r>
      <w:r>
        <w:rPr>
          <w:rFonts w:ascii="標楷體" w:eastAsia="標楷體" w:hAnsi="標楷體" w:hint="eastAsia"/>
          <w:bCs/>
          <w:spacing w:val="-10"/>
        </w:rPr>
        <w:t>亦</w:t>
      </w:r>
      <w:r w:rsidRPr="00577B7F">
        <w:rPr>
          <w:rFonts w:ascii="標楷體" w:eastAsia="標楷體" w:hAnsi="標楷體"/>
          <w:bCs/>
          <w:spacing w:val="-10"/>
        </w:rPr>
        <w:t>隨之增加</w:t>
      </w:r>
      <w:r>
        <w:rPr>
          <w:rFonts w:ascii="標楷體" w:eastAsia="標楷體" w:hAnsi="標楷體" w:hint="eastAsia"/>
          <w:bCs/>
          <w:spacing w:val="-10"/>
        </w:rPr>
        <w:t>；</w:t>
      </w:r>
      <w:r w:rsidRPr="00577B7F">
        <w:rPr>
          <w:rFonts w:ascii="標楷體" w:eastAsia="標楷體" w:hAnsi="標楷體"/>
          <w:bCs/>
          <w:spacing w:val="-10"/>
        </w:rPr>
        <w:t>不同來源的輻射劑量率有所不同，例如宇宙射線的劑量率比地殼中放射性核種的劑量率高。人類的某些活動，例如乘坐飛機，會增加接觸宇宙射線的機會</w:t>
      </w:r>
      <w:r>
        <w:rPr>
          <w:rFonts w:ascii="標楷體" w:eastAsia="標楷體" w:hAnsi="標楷體" w:hint="eastAsia"/>
          <w:bCs/>
          <w:spacing w:val="-10"/>
        </w:rPr>
        <w:t>。</w:t>
      </w:r>
      <w:r w:rsidRPr="00577B7F">
        <w:rPr>
          <w:rFonts w:ascii="標楷體" w:eastAsia="標楷體" w:hAnsi="標楷體"/>
          <w:bCs/>
          <w:spacing w:val="-10"/>
        </w:rPr>
        <w:t>宇宙ステーション 0.5～1ミリシーベルト/日(20～40マイクロシーベルト/時)</w:t>
      </w:r>
      <w:r>
        <w:rPr>
          <w:rFonts w:ascii="標楷體" w:eastAsia="標楷體" w:hAnsi="標楷體" w:hint="eastAsia"/>
          <w:bCs/>
          <w:spacing w:val="-10"/>
        </w:rPr>
        <w:t>即為</w:t>
      </w:r>
      <w:r w:rsidRPr="00577B7F">
        <w:rPr>
          <w:rFonts w:ascii="標楷體" w:eastAsia="標楷體" w:hAnsi="標楷體"/>
          <w:bCs/>
          <w:spacing w:val="-10"/>
        </w:rPr>
        <w:t>國際太空站</w:t>
      </w:r>
      <w:r>
        <w:rPr>
          <w:rFonts w:ascii="標楷體" w:eastAsia="標楷體" w:hAnsi="標楷體" w:hint="eastAsia"/>
          <w:bCs/>
          <w:spacing w:val="-10"/>
        </w:rPr>
        <w:t>每天</w:t>
      </w:r>
      <w:r w:rsidRPr="00577B7F">
        <w:rPr>
          <w:rFonts w:ascii="標楷體" w:eastAsia="標楷體" w:hAnsi="標楷體"/>
          <w:bCs/>
          <w:spacing w:val="-10"/>
        </w:rPr>
        <w:t>0.5～1毫西弗(20～40 微西弗/小時)。</w:t>
      </w:r>
      <w:bookmarkEnd w:id="239"/>
    </w:p>
    <w:p w14:paraId="7627832B" w14:textId="77777777" w:rsidR="005D68EB" w:rsidRDefault="005D68EB" w:rsidP="005D68EB">
      <w:pPr>
        <w:tabs>
          <w:tab w:val="num" w:pos="720"/>
        </w:tabs>
        <w:spacing w:beforeLines="15" w:before="36" w:afterLines="15" w:after="36"/>
        <w:ind w:leftChars="1" w:left="332" w:hangingChars="150" w:hanging="330"/>
        <w:jc w:val="center"/>
        <w:outlineLvl w:val="1"/>
        <w:rPr>
          <w:rFonts w:ascii="標楷體" w:eastAsia="標楷體" w:hAnsi="標楷體"/>
          <w:bCs/>
          <w:spacing w:val="-10"/>
          <w:szCs w:val="24"/>
        </w:rPr>
      </w:pPr>
    </w:p>
    <w:p w14:paraId="64DFFF28" w14:textId="77777777" w:rsidR="005D68EB" w:rsidRDefault="005D68EB" w:rsidP="005D68EB">
      <w:pPr>
        <w:tabs>
          <w:tab w:val="num" w:pos="720"/>
        </w:tabs>
        <w:spacing w:beforeLines="15" w:before="36" w:afterLines="15" w:after="36"/>
        <w:ind w:leftChars="1" w:left="332" w:hangingChars="150" w:hanging="330"/>
        <w:jc w:val="center"/>
        <w:outlineLvl w:val="1"/>
        <w:rPr>
          <w:rFonts w:ascii="標楷體" w:eastAsia="標楷體" w:hAnsi="標楷體"/>
          <w:bCs/>
          <w:spacing w:val="-10"/>
          <w:szCs w:val="24"/>
        </w:rPr>
      </w:pPr>
    </w:p>
    <w:p w14:paraId="004C8929" w14:textId="77777777" w:rsidR="005D68EB" w:rsidRDefault="005D68EB" w:rsidP="005D68EB">
      <w:pPr>
        <w:tabs>
          <w:tab w:val="num" w:pos="720"/>
        </w:tabs>
        <w:spacing w:beforeLines="15" w:before="36" w:afterLines="15" w:after="36"/>
        <w:ind w:leftChars="1" w:left="362" w:hangingChars="150" w:hanging="360"/>
        <w:jc w:val="center"/>
        <w:outlineLvl w:val="1"/>
        <w:rPr>
          <w:rFonts w:ascii="標楷體" w:eastAsia="標楷體" w:hAnsi="標楷體"/>
          <w:bCs/>
          <w:spacing w:val="-10"/>
          <w:szCs w:val="24"/>
        </w:rPr>
      </w:pPr>
      <w:bookmarkStart w:id="240" w:name="_Toc185412478"/>
      <w:r>
        <w:rPr>
          <w:rFonts w:ascii="標楷體" w:eastAsia="標楷體" w:hAnsi="標楷體" w:hint="eastAsia"/>
          <w:bCs/>
          <w:noProof/>
          <w:spacing w:val="-10"/>
          <w:szCs w:val="24"/>
        </w:rPr>
        <w:lastRenderedPageBreak/>
        <w:drawing>
          <wp:inline distT="0" distB="0" distL="0" distR="0" wp14:anchorId="7F7DE64F" wp14:editId="1BF964D4">
            <wp:extent cx="3033761" cy="2922905"/>
            <wp:effectExtent l="19050" t="19050" r="14605" b="10795"/>
            <wp:docPr id="656915347" name="圖片 6" descr="一張含有 文字, 螢幕擷取畫面, 花, 黃色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915347" name="圖片 6" descr="一張含有 文字, 螢幕擷取畫面, 花, 黃色 的圖片&#10;&#10;自動產生的描述"/>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37491" cy="2926499"/>
                    </a:xfrm>
                    <a:prstGeom prst="rect">
                      <a:avLst/>
                    </a:prstGeom>
                    <a:ln>
                      <a:solidFill>
                        <a:schemeClr val="accent1"/>
                      </a:solidFill>
                    </a:ln>
                  </pic:spPr>
                </pic:pic>
              </a:graphicData>
            </a:graphic>
          </wp:inline>
        </w:drawing>
      </w:r>
      <w:r>
        <w:rPr>
          <w:rFonts w:ascii="標楷體" w:eastAsia="標楷體" w:hAnsi="標楷體" w:hint="eastAsia"/>
          <w:bCs/>
          <w:spacing w:val="-10"/>
          <w:szCs w:val="24"/>
        </w:rPr>
        <w:t xml:space="preserve">   </w:t>
      </w:r>
      <w:r>
        <w:rPr>
          <w:rFonts w:ascii="標楷體" w:eastAsia="標楷體" w:hAnsi="標楷體" w:hint="eastAsia"/>
          <w:bCs/>
          <w:noProof/>
          <w:spacing w:val="-10"/>
          <w:szCs w:val="24"/>
        </w:rPr>
        <w:drawing>
          <wp:inline distT="0" distB="0" distL="0" distR="0" wp14:anchorId="499DE3DE" wp14:editId="493BA718">
            <wp:extent cx="2327910" cy="2909080"/>
            <wp:effectExtent l="19050" t="19050" r="15240" b="24765"/>
            <wp:docPr id="613304109" name="圖片 7" descr="一張含有 文字, 筆跡, 圓形, 字型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304109" name="圖片 7" descr="一張含有 文字, 筆跡, 圓形, 字型 的圖片&#10;&#10;自動產生的描述"/>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342774" cy="2927655"/>
                    </a:xfrm>
                    <a:prstGeom prst="rect">
                      <a:avLst/>
                    </a:prstGeom>
                    <a:ln>
                      <a:solidFill>
                        <a:schemeClr val="accent1"/>
                      </a:solidFill>
                    </a:ln>
                  </pic:spPr>
                </pic:pic>
              </a:graphicData>
            </a:graphic>
          </wp:inline>
        </w:drawing>
      </w:r>
      <w:bookmarkEnd w:id="240"/>
    </w:p>
    <w:p w14:paraId="1336A564" w14:textId="77777777" w:rsidR="005D68EB" w:rsidRPr="00F4425A" w:rsidRDefault="005D68EB" w:rsidP="005D68EB">
      <w:pPr>
        <w:pStyle w:val="a1"/>
      </w:pPr>
      <w:bookmarkStart w:id="241" w:name="_Toc185426129"/>
      <w:bookmarkStart w:id="242" w:name="_Toc185605740"/>
      <w:bookmarkStart w:id="243" w:name="_Toc186029859"/>
      <w:r w:rsidRPr="00577B7F">
        <w:t>核分裂和臨界狀態</w:t>
      </w:r>
      <w:r>
        <w:rPr>
          <w:rFonts w:hint="eastAsia"/>
        </w:rPr>
        <w:t>之</w:t>
      </w:r>
      <w:r w:rsidRPr="00577B7F">
        <w:t>機制</w:t>
      </w:r>
      <w:r>
        <w:rPr>
          <w:rFonts w:hint="eastAsia"/>
        </w:rPr>
        <w:t>及</w:t>
      </w:r>
      <w:r w:rsidRPr="00577B7F">
        <w:t>鈾235原子核發生核分裂</w:t>
      </w:r>
      <w:bookmarkEnd w:id="241"/>
      <w:bookmarkEnd w:id="242"/>
      <w:bookmarkEnd w:id="243"/>
    </w:p>
    <w:p w14:paraId="3273A959" w14:textId="77777777" w:rsidR="005D68EB" w:rsidRPr="00F4425A" w:rsidRDefault="005D68EB" w:rsidP="005D68EB">
      <w:pPr>
        <w:tabs>
          <w:tab w:val="num" w:pos="720"/>
        </w:tabs>
        <w:spacing w:beforeLines="15" w:before="36" w:afterLines="15" w:after="36" w:line="440" w:lineRule="exact"/>
        <w:ind w:leftChars="1" w:left="392" w:hangingChars="150" w:hanging="390"/>
        <w:jc w:val="both"/>
        <w:outlineLvl w:val="1"/>
        <w:rPr>
          <w:rFonts w:ascii="標楷體" w:eastAsia="標楷體" w:hAnsi="標楷體"/>
          <w:bCs/>
          <w:spacing w:val="-10"/>
          <w:sz w:val="28"/>
          <w:szCs w:val="28"/>
        </w:rPr>
      </w:pPr>
      <w:bookmarkStart w:id="244" w:name="_Toc185412479"/>
      <w:r w:rsidRPr="00F4425A">
        <w:rPr>
          <w:rFonts w:ascii="標楷體" w:eastAsia="標楷體" w:hAnsi="標楷體" w:hint="eastAsia"/>
          <w:bCs/>
          <w:spacing w:val="-10"/>
          <w:sz w:val="28"/>
          <w:szCs w:val="28"/>
        </w:rPr>
        <w:t>備註：</w:t>
      </w:r>
      <w:bookmarkEnd w:id="244"/>
    </w:p>
    <w:p w14:paraId="1A349022" w14:textId="77777777" w:rsidR="005D68EB" w:rsidRDefault="005D68EB" w:rsidP="005D68EB">
      <w:pPr>
        <w:tabs>
          <w:tab w:val="num" w:pos="720"/>
        </w:tabs>
        <w:spacing w:afterLines="15" w:after="36" w:line="400" w:lineRule="exact"/>
        <w:ind w:leftChars="1" w:left="332" w:hangingChars="150" w:hanging="330"/>
        <w:jc w:val="both"/>
        <w:outlineLvl w:val="1"/>
        <w:rPr>
          <w:rFonts w:ascii="標楷體" w:eastAsia="標楷體" w:hAnsi="標楷體"/>
          <w:bCs/>
          <w:spacing w:val="-10"/>
        </w:rPr>
      </w:pPr>
      <w:bookmarkStart w:id="245" w:name="_Toc185412480"/>
      <w:r w:rsidRPr="00F4425A">
        <w:rPr>
          <w:rFonts w:ascii="標楷體" w:eastAsia="標楷體" w:hAnsi="標楷體" w:hint="eastAsia"/>
          <w:bCs/>
          <w:spacing w:val="-10"/>
        </w:rPr>
        <w:t>1、</w:t>
      </w:r>
      <w:r>
        <w:rPr>
          <w:rFonts w:ascii="標楷體" w:eastAsia="標楷體" w:hAnsi="標楷體" w:hint="eastAsia"/>
          <w:bCs/>
          <w:spacing w:val="-10"/>
        </w:rPr>
        <w:t>一</w:t>
      </w:r>
      <w:r w:rsidRPr="00E206F8">
        <w:rPr>
          <w:rFonts w:ascii="標楷體" w:eastAsia="標楷體" w:hAnsi="標楷體"/>
          <w:bCs/>
          <w:spacing w:val="-10"/>
        </w:rPr>
        <w:t>個中子撞擊鈾235原子核</w:t>
      </w:r>
      <w:r>
        <w:rPr>
          <w:rFonts w:ascii="標楷體" w:eastAsia="標楷體" w:hAnsi="標楷體" w:hint="eastAsia"/>
          <w:bCs/>
          <w:spacing w:val="-10"/>
        </w:rPr>
        <w:t>，</w:t>
      </w:r>
      <w:r w:rsidRPr="00E206F8">
        <w:rPr>
          <w:rFonts w:ascii="標楷體" w:eastAsia="標楷體" w:hAnsi="標楷體"/>
          <w:bCs/>
          <w:spacing w:val="-10"/>
        </w:rPr>
        <w:t>鈾235原子核吸收中子後變得不穩定，發生分裂</w:t>
      </w:r>
      <w:r>
        <w:rPr>
          <w:rFonts w:ascii="標楷體" w:eastAsia="標楷體" w:hAnsi="標楷體" w:hint="eastAsia"/>
          <w:bCs/>
          <w:spacing w:val="-10"/>
        </w:rPr>
        <w:t>，</w:t>
      </w:r>
      <w:r w:rsidRPr="00E206F8">
        <w:rPr>
          <w:rFonts w:ascii="標楷體" w:eastAsia="標楷體" w:hAnsi="標楷體"/>
          <w:bCs/>
          <w:spacing w:val="-10"/>
        </w:rPr>
        <w:t>鈾235原子核分裂成兩個較小的原子核，釋放出能量和2-3個中子，</w:t>
      </w:r>
      <w:r>
        <w:rPr>
          <w:rFonts w:ascii="標楷體" w:eastAsia="標楷體" w:hAnsi="標楷體" w:hint="eastAsia"/>
          <w:bCs/>
          <w:spacing w:val="-10"/>
        </w:rPr>
        <w:t>並</w:t>
      </w:r>
      <w:r w:rsidRPr="00E206F8">
        <w:rPr>
          <w:rFonts w:ascii="標楷體" w:eastAsia="標楷體" w:hAnsi="標楷體"/>
          <w:bCs/>
          <w:spacing w:val="-10"/>
        </w:rPr>
        <w:t>引發更多核分裂，形成連鎖反應。</w:t>
      </w:r>
      <w:bookmarkEnd w:id="245"/>
    </w:p>
    <w:p w14:paraId="6D8A3B5F" w14:textId="77777777" w:rsidR="005D68EB" w:rsidRDefault="005D68EB" w:rsidP="005D68EB">
      <w:pPr>
        <w:tabs>
          <w:tab w:val="num" w:pos="720"/>
        </w:tabs>
        <w:spacing w:afterLines="15" w:after="36" w:line="400" w:lineRule="exact"/>
        <w:ind w:leftChars="1" w:left="332" w:hangingChars="150" w:hanging="330"/>
        <w:jc w:val="both"/>
        <w:outlineLvl w:val="1"/>
        <w:rPr>
          <w:rFonts w:ascii="標楷體" w:eastAsia="標楷體" w:hAnsi="標楷體"/>
          <w:bCs/>
          <w:spacing w:val="-10"/>
        </w:rPr>
      </w:pPr>
      <w:bookmarkStart w:id="246" w:name="_Toc185412481"/>
      <w:r>
        <w:rPr>
          <w:rFonts w:ascii="標楷體" w:eastAsia="標楷體" w:hAnsi="標楷體" w:hint="eastAsia"/>
          <w:bCs/>
          <w:spacing w:val="-10"/>
        </w:rPr>
        <w:t>2、</w:t>
      </w:r>
      <w:r w:rsidRPr="00E206F8">
        <w:rPr>
          <w:rFonts w:ascii="標楷體" w:eastAsia="標楷體" w:hAnsi="標楷體"/>
          <w:bCs/>
          <w:spacing w:val="-10"/>
        </w:rPr>
        <w:t>控制棒</w:t>
      </w:r>
      <w:r w:rsidRPr="00E206F8">
        <w:rPr>
          <w:rFonts w:ascii="標楷體" w:eastAsia="標楷體" w:hAnsi="標楷體" w:hint="eastAsia"/>
          <w:bCs/>
          <w:spacing w:val="-10"/>
        </w:rPr>
        <w:t>係由</w:t>
      </w:r>
      <w:r w:rsidRPr="00E206F8">
        <w:rPr>
          <w:rFonts w:ascii="標楷體" w:eastAsia="標楷體" w:hAnsi="標楷體"/>
          <w:bCs/>
          <w:spacing w:val="-10"/>
        </w:rPr>
        <w:t>能夠吸收中子的材料製成</w:t>
      </w:r>
      <w:r>
        <w:rPr>
          <w:rFonts w:ascii="標楷體" w:eastAsia="標楷體" w:hAnsi="標楷體" w:hint="eastAsia"/>
          <w:bCs/>
          <w:spacing w:val="-10"/>
        </w:rPr>
        <w:t>，其插入</w:t>
      </w:r>
      <w:r w:rsidRPr="00E206F8">
        <w:rPr>
          <w:rFonts w:ascii="標楷體" w:eastAsia="標楷體" w:hAnsi="標楷體"/>
          <w:bCs/>
          <w:spacing w:val="-10"/>
        </w:rPr>
        <w:t>反應</w:t>
      </w:r>
      <w:r>
        <w:rPr>
          <w:rFonts w:ascii="標楷體" w:eastAsia="標楷體" w:hAnsi="標楷體" w:hint="eastAsia"/>
          <w:bCs/>
          <w:spacing w:val="-10"/>
        </w:rPr>
        <w:t>器核心以</w:t>
      </w:r>
      <w:r w:rsidRPr="00E206F8">
        <w:rPr>
          <w:rFonts w:ascii="標楷體" w:eastAsia="標楷體" w:hAnsi="標楷體"/>
          <w:bCs/>
          <w:spacing w:val="-10"/>
        </w:rPr>
        <w:t>吸收多餘</w:t>
      </w:r>
      <w:r>
        <w:rPr>
          <w:rFonts w:ascii="標楷體" w:eastAsia="標楷體" w:hAnsi="標楷體" w:hint="eastAsia"/>
          <w:bCs/>
          <w:spacing w:val="-10"/>
        </w:rPr>
        <w:t>之</w:t>
      </w:r>
      <w:r w:rsidRPr="00E206F8">
        <w:rPr>
          <w:rFonts w:ascii="標楷體" w:eastAsia="標楷體" w:hAnsi="標楷體"/>
          <w:bCs/>
          <w:spacing w:val="-10"/>
        </w:rPr>
        <w:t>中子，減緩或停止鏈式反應，控制核分裂的速度。</w:t>
      </w:r>
      <w:bookmarkEnd w:id="246"/>
    </w:p>
    <w:p w14:paraId="6B148F3D" w14:textId="77777777" w:rsidR="005D68EB" w:rsidRPr="00F4425A" w:rsidRDefault="005D68EB" w:rsidP="005D68EB">
      <w:pPr>
        <w:tabs>
          <w:tab w:val="num" w:pos="720"/>
        </w:tabs>
        <w:spacing w:afterLines="15" w:after="36" w:line="400" w:lineRule="exact"/>
        <w:ind w:leftChars="1" w:left="332" w:hangingChars="150" w:hanging="330"/>
        <w:jc w:val="both"/>
        <w:outlineLvl w:val="1"/>
        <w:rPr>
          <w:rFonts w:ascii="標楷體" w:eastAsia="標楷體" w:hAnsi="標楷體"/>
          <w:bCs/>
          <w:spacing w:val="-10"/>
        </w:rPr>
      </w:pPr>
      <w:bookmarkStart w:id="247" w:name="_Toc185412482"/>
      <w:r>
        <w:rPr>
          <w:rFonts w:ascii="標楷體" w:eastAsia="標楷體" w:hAnsi="標楷體" w:hint="eastAsia"/>
          <w:bCs/>
          <w:spacing w:val="-10"/>
        </w:rPr>
        <w:t>3、</w:t>
      </w:r>
      <w:r w:rsidRPr="00E206F8">
        <w:rPr>
          <w:rFonts w:ascii="標楷體" w:eastAsia="標楷體" w:hAnsi="標楷體"/>
          <w:bCs/>
          <w:spacing w:val="-10"/>
        </w:rPr>
        <w:t>鈾235原子核包含92個質子和143個中子</w:t>
      </w:r>
      <w:r>
        <w:rPr>
          <w:rFonts w:ascii="標楷體" w:eastAsia="標楷體" w:hAnsi="標楷體" w:hint="eastAsia"/>
          <w:bCs/>
          <w:spacing w:val="-10"/>
        </w:rPr>
        <w:t>，</w:t>
      </w:r>
      <w:r w:rsidRPr="00E206F8">
        <w:rPr>
          <w:rFonts w:ascii="標楷體" w:eastAsia="標楷體" w:hAnsi="標楷體"/>
          <w:bCs/>
          <w:spacing w:val="-10"/>
        </w:rPr>
        <w:t>鈾235核分裂產生的原子核種類繁多，圖中列舉質量數約為90和140的兩類元素，例如氪85、鍶90、碘129、碘131、銫135和銫137等</w:t>
      </w:r>
      <w:r>
        <w:rPr>
          <w:rFonts w:ascii="標楷體" w:eastAsia="標楷體" w:hAnsi="標楷體" w:hint="eastAsia"/>
          <w:bCs/>
          <w:spacing w:val="-10"/>
        </w:rPr>
        <w:t>，</w:t>
      </w:r>
      <w:r w:rsidRPr="00E206F8">
        <w:rPr>
          <w:rFonts w:ascii="標楷體" w:eastAsia="標楷體" w:hAnsi="標楷體"/>
          <w:bCs/>
          <w:spacing w:val="-10"/>
        </w:rPr>
        <w:t>這些裂變產物大多具有放射性。</w:t>
      </w:r>
      <w:bookmarkEnd w:id="247"/>
    </w:p>
    <w:p w14:paraId="0EC80E60" w14:textId="77777777" w:rsidR="005D68EB" w:rsidRDefault="005D68EB" w:rsidP="005D68EB">
      <w:pPr>
        <w:tabs>
          <w:tab w:val="num" w:pos="720"/>
        </w:tabs>
        <w:spacing w:beforeLines="15" w:before="36" w:afterLines="15" w:after="36"/>
        <w:ind w:leftChars="1" w:left="332" w:hangingChars="150" w:hanging="330"/>
        <w:jc w:val="center"/>
        <w:outlineLvl w:val="1"/>
        <w:rPr>
          <w:rFonts w:ascii="標楷體" w:eastAsia="標楷體" w:hAnsi="標楷體"/>
          <w:bCs/>
          <w:spacing w:val="-10"/>
          <w:szCs w:val="24"/>
        </w:rPr>
      </w:pPr>
    </w:p>
    <w:p w14:paraId="2BDC2C0D" w14:textId="77777777" w:rsidR="005D68EB" w:rsidRDefault="005D68EB" w:rsidP="005D68EB">
      <w:pPr>
        <w:tabs>
          <w:tab w:val="num" w:pos="720"/>
        </w:tabs>
        <w:spacing w:beforeLines="15" w:before="36" w:afterLines="15" w:after="36"/>
        <w:ind w:leftChars="1" w:left="362" w:hangingChars="150" w:hanging="360"/>
        <w:jc w:val="center"/>
        <w:outlineLvl w:val="1"/>
        <w:rPr>
          <w:rFonts w:ascii="標楷體" w:eastAsia="標楷體" w:hAnsi="標楷體"/>
          <w:bCs/>
          <w:spacing w:val="-10"/>
          <w:szCs w:val="24"/>
        </w:rPr>
      </w:pPr>
      <w:bookmarkStart w:id="248" w:name="_Toc185412483"/>
      <w:r>
        <w:rPr>
          <w:rFonts w:ascii="標楷體" w:eastAsia="標楷體" w:hAnsi="標楷體" w:hint="eastAsia"/>
          <w:bCs/>
          <w:noProof/>
          <w:spacing w:val="-10"/>
          <w:szCs w:val="24"/>
        </w:rPr>
        <w:lastRenderedPageBreak/>
        <w:drawing>
          <wp:inline distT="0" distB="0" distL="0" distR="0" wp14:anchorId="10862FB2" wp14:editId="06E06954">
            <wp:extent cx="5507777" cy="3858006"/>
            <wp:effectExtent l="19050" t="19050" r="17145" b="28575"/>
            <wp:docPr id="683408280" name="圖片 8" descr="一張含有 文字, 螢幕擷取畫面, 陶瓷器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408280" name="圖片 8" descr="一張含有 文字, 螢幕擷取畫面, 陶瓷器 的圖片&#10;&#10;自動產生的描述"/>
                    <pic:cNvPicPr/>
                  </pic:nvPicPr>
                  <pic:blipFill>
                    <a:blip r:embed="rId48">
                      <a:extLst>
                        <a:ext uri="{28A0092B-C50C-407E-A947-70E740481C1C}">
                          <a14:useLocalDpi xmlns:a14="http://schemas.microsoft.com/office/drawing/2010/main" val="0"/>
                        </a:ext>
                      </a:extLst>
                    </a:blip>
                    <a:stretch>
                      <a:fillRect/>
                    </a:stretch>
                  </pic:blipFill>
                  <pic:spPr>
                    <a:xfrm>
                      <a:off x="0" y="0"/>
                      <a:ext cx="5513862" cy="3862268"/>
                    </a:xfrm>
                    <a:prstGeom prst="rect">
                      <a:avLst/>
                    </a:prstGeom>
                    <a:ln>
                      <a:solidFill>
                        <a:schemeClr val="accent1"/>
                      </a:solidFill>
                    </a:ln>
                  </pic:spPr>
                </pic:pic>
              </a:graphicData>
            </a:graphic>
          </wp:inline>
        </w:drawing>
      </w:r>
      <w:bookmarkEnd w:id="248"/>
    </w:p>
    <w:p w14:paraId="3892CAE3" w14:textId="77777777" w:rsidR="005D68EB" w:rsidRPr="00F4425A" w:rsidRDefault="005D68EB" w:rsidP="005D68EB">
      <w:pPr>
        <w:pStyle w:val="a1"/>
      </w:pPr>
      <w:bookmarkStart w:id="249" w:name="_Toc185426130"/>
      <w:bookmarkStart w:id="250" w:name="_Toc185605741"/>
      <w:bookmarkStart w:id="251" w:name="_Toc186029860"/>
      <w:r w:rsidRPr="00E206F8">
        <w:t>天然鈾礦</w:t>
      </w:r>
      <w:r>
        <w:rPr>
          <w:rFonts w:hint="eastAsia"/>
        </w:rPr>
        <w:t>至</w:t>
      </w:r>
      <w:r w:rsidRPr="00E206F8">
        <w:t>核電廠使用的鈾燃料的過程</w:t>
      </w:r>
      <w:r w:rsidRPr="00F4425A">
        <w:rPr>
          <w:rFonts w:hint="eastAsia"/>
        </w:rPr>
        <w:t>圖</w:t>
      </w:r>
      <w:bookmarkEnd w:id="249"/>
      <w:bookmarkEnd w:id="250"/>
      <w:bookmarkEnd w:id="251"/>
    </w:p>
    <w:p w14:paraId="727E29F9" w14:textId="77777777" w:rsidR="005D68EB" w:rsidRPr="00F4425A" w:rsidRDefault="005D68EB" w:rsidP="005D68EB">
      <w:pPr>
        <w:tabs>
          <w:tab w:val="num" w:pos="720"/>
        </w:tabs>
        <w:spacing w:beforeLines="15" w:before="36" w:afterLines="15" w:after="36" w:line="440" w:lineRule="exact"/>
        <w:ind w:leftChars="1" w:left="392" w:hangingChars="150" w:hanging="390"/>
        <w:jc w:val="both"/>
        <w:outlineLvl w:val="1"/>
        <w:rPr>
          <w:rFonts w:ascii="標楷體" w:eastAsia="標楷體" w:hAnsi="標楷體"/>
          <w:bCs/>
          <w:spacing w:val="-10"/>
          <w:sz w:val="28"/>
          <w:szCs w:val="28"/>
        </w:rPr>
      </w:pPr>
      <w:bookmarkStart w:id="252" w:name="_Toc185412484"/>
      <w:r w:rsidRPr="00F4425A">
        <w:rPr>
          <w:rFonts w:ascii="標楷體" w:eastAsia="標楷體" w:hAnsi="標楷體" w:hint="eastAsia"/>
          <w:bCs/>
          <w:spacing w:val="-10"/>
          <w:sz w:val="28"/>
          <w:szCs w:val="28"/>
        </w:rPr>
        <w:t>備註：</w:t>
      </w:r>
      <w:bookmarkEnd w:id="252"/>
    </w:p>
    <w:p w14:paraId="6D1D288B" w14:textId="77777777" w:rsidR="005D68EB" w:rsidRPr="00F4425A" w:rsidRDefault="005D68EB" w:rsidP="005D68EB">
      <w:pPr>
        <w:tabs>
          <w:tab w:val="num" w:pos="720"/>
        </w:tabs>
        <w:spacing w:afterLines="15" w:after="36" w:line="400" w:lineRule="exact"/>
        <w:ind w:leftChars="1" w:left="332" w:hangingChars="150" w:hanging="330"/>
        <w:jc w:val="both"/>
        <w:outlineLvl w:val="1"/>
        <w:rPr>
          <w:rFonts w:ascii="標楷體" w:eastAsia="標楷體" w:hAnsi="標楷體"/>
          <w:bCs/>
          <w:spacing w:val="-10"/>
        </w:rPr>
      </w:pPr>
      <w:bookmarkStart w:id="253" w:name="_Toc185412485"/>
      <w:r w:rsidRPr="00F4425A">
        <w:rPr>
          <w:rFonts w:ascii="標楷體" w:eastAsia="標楷體" w:hAnsi="標楷體" w:hint="eastAsia"/>
          <w:bCs/>
          <w:spacing w:val="-10"/>
        </w:rPr>
        <w:t>1、</w:t>
      </w:r>
      <w:r w:rsidRPr="00E206F8">
        <w:rPr>
          <w:rFonts w:ascii="標楷體" w:eastAsia="標楷體" w:hAnsi="標楷體"/>
          <w:bCs/>
          <w:spacing w:val="-10"/>
        </w:rPr>
        <w:t>天然鈾礦中主要包</w:t>
      </w:r>
      <w:r w:rsidRPr="00B329F1">
        <w:rPr>
          <w:rFonts w:ascii="標楷體" w:eastAsia="標楷體" w:hAnsi="標楷體"/>
          <w:bCs/>
          <w:spacing w:val="-10"/>
        </w:rPr>
        <w:t>含鈾238</w:t>
      </w:r>
      <w:r w:rsidRPr="00B329F1">
        <w:rPr>
          <w:rFonts w:ascii="標楷體" w:eastAsia="標楷體" w:hAnsi="標楷體" w:hint="eastAsia"/>
          <w:bCs/>
          <w:spacing w:val="-10"/>
        </w:rPr>
        <w:t>(</w:t>
      </w:r>
      <w:r w:rsidRPr="00B329F1">
        <w:rPr>
          <w:rFonts w:ascii="標楷體" w:eastAsia="標楷體" w:hAnsi="標楷體"/>
          <w:bCs/>
          <w:spacing w:val="-10"/>
        </w:rPr>
        <w:t>ウラン238</w:t>
      </w:r>
      <w:r w:rsidRPr="00B329F1">
        <w:rPr>
          <w:rFonts w:ascii="標楷體" w:eastAsia="標楷體" w:hAnsi="標楷體" w:hint="eastAsia"/>
          <w:bCs/>
          <w:spacing w:val="-10"/>
        </w:rPr>
        <w:t>)</w:t>
      </w:r>
      <w:r w:rsidRPr="00B329F1">
        <w:rPr>
          <w:rFonts w:ascii="標楷體" w:eastAsia="標楷體" w:hAnsi="標楷體"/>
          <w:bCs/>
          <w:spacing w:val="-10"/>
        </w:rPr>
        <w:t>佔99.3%</w:t>
      </w:r>
      <w:r w:rsidRPr="00B329F1">
        <w:rPr>
          <w:rFonts w:ascii="標楷體" w:eastAsia="標楷體" w:hAnsi="標楷體" w:hint="eastAsia"/>
          <w:bCs/>
          <w:spacing w:val="-10"/>
        </w:rPr>
        <w:t>，</w:t>
      </w:r>
      <w:r w:rsidRPr="00B329F1">
        <w:rPr>
          <w:rFonts w:ascii="標楷體" w:eastAsia="標楷體" w:hAnsi="標楷體"/>
          <w:bCs/>
          <w:spacing w:val="-10"/>
        </w:rPr>
        <w:t>鈾235</w:t>
      </w:r>
      <w:r w:rsidRPr="00B329F1">
        <w:rPr>
          <w:rFonts w:ascii="標楷體" w:eastAsia="標楷體" w:hAnsi="標楷體" w:hint="eastAsia"/>
          <w:bCs/>
          <w:spacing w:val="-10"/>
        </w:rPr>
        <w:t>(</w:t>
      </w:r>
      <w:r w:rsidRPr="00B329F1">
        <w:rPr>
          <w:rFonts w:ascii="標楷體" w:eastAsia="標楷體" w:hAnsi="標楷體"/>
          <w:bCs/>
          <w:spacing w:val="-10"/>
        </w:rPr>
        <w:t>ウラン235</w:t>
      </w:r>
      <w:r w:rsidRPr="00B329F1">
        <w:rPr>
          <w:rFonts w:ascii="標楷體" w:eastAsia="標楷體" w:hAnsi="標楷體" w:hint="eastAsia"/>
          <w:bCs/>
          <w:spacing w:val="-10"/>
        </w:rPr>
        <w:t>)</w:t>
      </w:r>
      <w:r w:rsidRPr="00B329F1">
        <w:rPr>
          <w:rFonts w:ascii="標楷體" w:eastAsia="標楷體" w:hAnsi="標楷體"/>
          <w:bCs/>
          <w:spacing w:val="-10"/>
        </w:rPr>
        <w:t>佔0.7%</w:t>
      </w:r>
      <w:r w:rsidRPr="00B329F1">
        <w:rPr>
          <w:rFonts w:ascii="標楷體" w:eastAsia="標楷體" w:hAnsi="標楷體" w:hint="eastAsia"/>
          <w:bCs/>
          <w:spacing w:val="-10"/>
        </w:rPr>
        <w:t>，</w:t>
      </w:r>
      <w:r w:rsidRPr="00B329F1">
        <w:rPr>
          <w:rFonts w:ascii="標楷體" w:eastAsia="標楷體" w:hAnsi="標楷體"/>
          <w:bCs/>
          <w:spacing w:val="-10"/>
        </w:rPr>
        <w:t>為使鈾能夠用於核電廠，需要提高鈾235濃度，</w:t>
      </w:r>
      <w:r w:rsidRPr="00B329F1">
        <w:rPr>
          <w:rFonts w:ascii="標楷體" w:eastAsia="標楷體" w:hAnsi="標楷體" w:hint="eastAsia"/>
          <w:bCs/>
          <w:spacing w:val="-10"/>
        </w:rPr>
        <w:t>此</w:t>
      </w:r>
      <w:r w:rsidRPr="00B329F1">
        <w:rPr>
          <w:rFonts w:ascii="標楷體" w:eastAsia="標楷體" w:hAnsi="標楷體"/>
          <w:bCs/>
          <w:spacing w:val="-10"/>
        </w:rPr>
        <w:t>過程稱為「濃縮」</w:t>
      </w:r>
      <w:r w:rsidRPr="00B329F1">
        <w:rPr>
          <w:rFonts w:ascii="標楷體" w:eastAsia="標楷體" w:hAnsi="標楷體" w:hint="eastAsia"/>
          <w:bCs/>
          <w:spacing w:val="-10"/>
        </w:rPr>
        <w:t>。</w:t>
      </w:r>
      <w:r w:rsidRPr="00B329F1">
        <w:rPr>
          <w:rFonts w:ascii="標楷體" w:eastAsia="標楷體" w:hAnsi="標楷體"/>
          <w:bCs/>
          <w:spacing w:val="-10"/>
        </w:rPr>
        <w:t>經過濃縮後的鈾稱為「低濃縮鈾」，其中鈾235的濃度提高到3～</w:t>
      </w:r>
      <w:r w:rsidRPr="00E206F8">
        <w:rPr>
          <w:rFonts w:ascii="標楷體" w:eastAsia="標楷體" w:hAnsi="標楷體"/>
          <w:bCs/>
          <w:spacing w:val="-10"/>
        </w:rPr>
        <w:t>5%，可用於核電廠的輕水</w:t>
      </w:r>
      <w:r>
        <w:rPr>
          <w:rFonts w:ascii="標楷體" w:eastAsia="標楷體" w:hAnsi="標楷體"/>
          <w:bCs/>
          <w:spacing w:val="-10"/>
        </w:rPr>
        <w:t>反應器</w:t>
      </w:r>
      <w:r w:rsidRPr="00E206F8">
        <w:rPr>
          <w:rFonts w:ascii="標楷體" w:eastAsia="標楷體" w:hAnsi="標楷體"/>
          <w:bCs/>
          <w:spacing w:val="-10"/>
        </w:rPr>
        <w:t>。</w:t>
      </w:r>
      <w:bookmarkEnd w:id="253"/>
    </w:p>
    <w:p w14:paraId="12A95CB4" w14:textId="77777777" w:rsidR="005D68EB" w:rsidRDefault="005D68EB" w:rsidP="005D68EB">
      <w:pPr>
        <w:tabs>
          <w:tab w:val="num" w:pos="720"/>
        </w:tabs>
        <w:spacing w:afterLines="15" w:after="36" w:line="400" w:lineRule="exact"/>
        <w:ind w:leftChars="1" w:left="332" w:hangingChars="150" w:hanging="330"/>
        <w:jc w:val="both"/>
        <w:outlineLvl w:val="1"/>
        <w:rPr>
          <w:rFonts w:ascii="標楷體" w:eastAsia="標楷體" w:hAnsi="標楷體"/>
          <w:bCs/>
          <w:spacing w:val="-10"/>
          <w:szCs w:val="24"/>
        </w:rPr>
      </w:pPr>
      <w:bookmarkStart w:id="254" w:name="_Toc185412486"/>
      <w:r>
        <w:rPr>
          <w:rFonts w:ascii="標楷體" w:eastAsia="標楷體" w:hAnsi="標楷體" w:hint="eastAsia"/>
          <w:bCs/>
          <w:spacing w:val="-10"/>
        </w:rPr>
        <w:t>2、</w:t>
      </w:r>
      <w:r w:rsidRPr="0085232E">
        <w:rPr>
          <w:rFonts w:ascii="標楷體" w:eastAsia="標楷體" w:hAnsi="標楷體"/>
          <w:bCs/>
          <w:spacing w:val="-10"/>
        </w:rPr>
        <w:t>濃縮鈾</w:t>
      </w:r>
      <w:r>
        <w:rPr>
          <w:rFonts w:ascii="標楷體" w:eastAsia="標楷體" w:hAnsi="標楷體" w:hint="eastAsia"/>
          <w:bCs/>
          <w:spacing w:val="-10"/>
        </w:rPr>
        <w:t>之</w:t>
      </w:r>
      <w:r w:rsidRPr="0085232E">
        <w:rPr>
          <w:rFonts w:ascii="標楷體" w:eastAsia="標楷體" w:hAnsi="標楷體"/>
          <w:bCs/>
          <w:spacing w:val="-10"/>
        </w:rPr>
        <w:t>過程需要複雜的技術和設備，目的是提高鈾235濃度，使其達到核</w:t>
      </w:r>
      <w:r>
        <w:rPr>
          <w:rFonts w:ascii="標楷體" w:eastAsia="標楷體" w:hAnsi="標楷體"/>
          <w:bCs/>
          <w:spacing w:val="-10"/>
        </w:rPr>
        <w:t>反應器</w:t>
      </w:r>
      <w:r w:rsidRPr="0085232E">
        <w:rPr>
          <w:rFonts w:ascii="標楷體" w:eastAsia="標楷體" w:hAnsi="標楷體"/>
          <w:bCs/>
          <w:spacing w:val="-10"/>
        </w:rPr>
        <w:t>所需的</w:t>
      </w:r>
      <w:r>
        <w:rPr>
          <w:rFonts w:ascii="標楷體" w:eastAsia="標楷體" w:hAnsi="標楷體" w:hint="eastAsia"/>
          <w:bCs/>
          <w:spacing w:val="-10"/>
        </w:rPr>
        <w:t>要求，</w:t>
      </w:r>
      <w:r w:rsidRPr="0085232E">
        <w:rPr>
          <w:rFonts w:ascii="標楷體" w:eastAsia="標楷體" w:hAnsi="標楷體"/>
          <w:bCs/>
          <w:spacing w:val="-10"/>
        </w:rPr>
        <w:t>燃料芯塊的形狀和尺寸經過精心設計，以確保核反應</w:t>
      </w:r>
      <w:r>
        <w:rPr>
          <w:rFonts w:ascii="標楷體" w:eastAsia="標楷體" w:hAnsi="標楷體" w:hint="eastAsia"/>
          <w:bCs/>
          <w:spacing w:val="-10"/>
        </w:rPr>
        <w:t>器之</w:t>
      </w:r>
      <w:r w:rsidRPr="0085232E">
        <w:rPr>
          <w:rFonts w:ascii="標楷體" w:eastAsia="標楷體" w:hAnsi="標楷體"/>
          <w:bCs/>
          <w:spacing w:val="-10"/>
        </w:rPr>
        <w:t>安全</w:t>
      </w:r>
      <w:r>
        <w:rPr>
          <w:rFonts w:ascii="標楷體" w:eastAsia="標楷體" w:hAnsi="標楷體" w:hint="eastAsia"/>
          <w:bCs/>
          <w:spacing w:val="-10"/>
        </w:rPr>
        <w:t>及</w:t>
      </w:r>
      <w:r w:rsidRPr="0085232E">
        <w:rPr>
          <w:rFonts w:ascii="標楷體" w:eastAsia="標楷體" w:hAnsi="標楷體"/>
          <w:bCs/>
          <w:spacing w:val="-10"/>
        </w:rPr>
        <w:t>高效運行</w:t>
      </w:r>
      <w:r>
        <w:rPr>
          <w:rFonts w:ascii="標楷體" w:eastAsia="標楷體" w:hAnsi="標楷體" w:hint="eastAsia"/>
          <w:bCs/>
          <w:spacing w:val="-10"/>
        </w:rPr>
        <w:t>。</w:t>
      </w:r>
      <w:bookmarkEnd w:id="254"/>
    </w:p>
    <w:p w14:paraId="065610C7" w14:textId="77777777" w:rsidR="005D68EB" w:rsidRDefault="005D68EB" w:rsidP="005D68EB">
      <w:pPr>
        <w:tabs>
          <w:tab w:val="num" w:pos="720"/>
        </w:tabs>
        <w:spacing w:beforeLines="15" w:before="36" w:afterLines="15" w:after="36"/>
        <w:ind w:leftChars="1" w:left="362" w:hangingChars="150" w:hanging="360"/>
        <w:jc w:val="center"/>
        <w:outlineLvl w:val="1"/>
        <w:rPr>
          <w:rFonts w:ascii="標楷體" w:eastAsia="標楷體" w:hAnsi="標楷體"/>
          <w:bCs/>
          <w:spacing w:val="-10"/>
          <w:szCs w:val="24"/>
        </w:rPr>
      </w:pPr>
      <w:bookmarkStart w:id="255" w:name="_Toc185412487"/>
      <w:r>
        <w:rPr>
          <w:rFonts w:ascii="標楷體" w:eastAsia="標楷體" w:hAnsi="標楷體" w:hint="eastAsia"/>
          <w:bCs/>
          <w:noProof/>
          <w:spacing w:val="-10"/>
          <w:szCs w:val="24"/>
        </w:rPr>
        <w:lastRenderedPageBreak/>
        <w:drawing>
          <wp:inline distT="0" distB="0" distL="0" distR="0" wp14:anchorId="6A356EB0" wp14:editId="1EE45877">
            <wp:extent cx="4869180" cy="5225796"/>
            <wp:effectExtent l="19050" t="19050" r="26670" b="13335"/>
            <wp:docPr id="745544212" name="圖片 9" descr="一張含有 文字, 圖表, 方案, 設計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544212" name="圖片 9" descr="一張含有 文字, 圖表, 方案, 設計 的圖片&#10;&#10;自動產生的描述"/>
                    <pic:cNvPicPr/>
                  </pic:nvPicPr>
                  <pic:blipFill>
                    <a:blip r:embed="rId49">
                      <a:extLst>
                        <a:ext uri="{28A0092B-C50C-407E-A947-70E740481C1C}">
                          <a14:useLocalDpi xmlns:a14="http://schemas.microsoft.com/office/drawing/2010/main" val="0"/>
                        </a:ext>
                      </a:extLst>
                    </a:blip>
                    <a:stretch>
                      <a:fillRect/>
                    </a:stretch>
                  </pic:blipFill>
                  <pic:spPr>
                    <a:xfrm>
                      <a:off x="0" y="0"/>
                      <a:ext cx="4869180" cy="5225796"/>
                    </a:xfrm>
                    <a:prstGeom prst="rect">
                      <a:avLst/>
                    </a:prstGeom>
                    <a:ln>
                      <a:solidFill>
                        <a:schemeClr val="accent1"/>
                      </a:solidFill>
                    </a:ln>
                  </pic:spPr>
                </pic:pic>
              </a:graphicData>
            </a:graphic>
          </wp:inline>
        </w:drawing>
      </w:r>
      <w:bookmarkEnd w:id="255"/>
    </w:p>
    <w:p w14:paraId="2ECE5C4A" w14:textId="77777777" w:rsidR="005D68EB" w:rsidRPr="00F4425A" w:rsidRDefault="005D68EB" w:rsidP="005D68EB">
      <w:pPr>
        <w:pStyle w:val="a1"/>
      </w:pPr>
      <w:bookmarkStart w:id="256" w:name="_Toc185426131"/>
      <w:bookmarkStart w:id="257" w:name="_Toc185605742"/>
      <w:bookmarkStart w:id="258" w:name="_Toc186029861"/>
      <w:r w:rsidRPr="0085232E">
        <w:t>火力發電和核能發電基本原理</w:t>
      </w:r>
      <w:r>
        <w:rPr>
          <w:rFonts w:hint="eastAsia"/>
        </w:rPr>
        <w:t>之示意</w:t>
      </w:r>
      <w:r w:rsidRPr="00F4425A">
        <w:rPr>
          <w:rFonts w:hint="eastAsia"/>
        </w:rPr>
        <w:t>圖</w:t>
      </w:r>
      <w:bookmarkEnd w:id="256"/>
      <w:bookmarkEnd w:id="257"/>
      <w:bookmarkEnd w:id="258"/>
    </w:p>
    <w:p w14:paraId="3DB74CFD" w14:textId="77777777" w:rsidR="005D68EB" w:rsidRPr="00F4425A" w:rsidRDefault="005D68EB" w:rsidP="005D68EB">
      <w:pPr>
        <w:tabs>
          <w:tab w:val="num" w:pos="720"/>
        </w:tabs>
        <w:spacing w:beforeLines="15" w:before="36" w:afterLines="15" w:after="36" w:line="440" w:lineRule="exact"/>
        <w:ind w:leftChars="1" w:left="392" w:hangingChars="150" w:hanging="390"/>
        <w:jc w:val="both"/>
        <w:outlineLvl w:val="1"/>
        <w:rPr>
          <w:rFonts w:ascii="標楷體" w:eastAsia="標楷體" w:hAnsi="標楷體"/>
          <w:bCs/>
          <w:spacing w:val="-10"/>
          <w:sz w:val="28"/>
          <w:szCs w:val="28"/>
        </w:rPr>
      </w:pPr>
      <w:bookmarkStart w:id="259" w:name="_Toc185412488"/>
      <w:r w:rsidRPr="00F4425A">
        <w:rPr>
          <w:rFonts w:ascii="標楷體" w:eastAsia="標楷體" w:hAnsi="標楷體" w:hint="eastAsia"/>
          <w:bCs/>
          <w:spacing w:val="-10"/>
          <w:sz w:val="28"/>
          <w:szCs w:val="28"/>
        </w:rPr>
        <w:t>備註：</w:t>
      </w:r>
      <w:bookmarkEnd w:id="259"/>
    </w:p>
    <w:p w14:paraId="3C11520A" w14:textId="77777777" w:rsidR="005D68EB" w:rsidRPr="0085232E" w:rsidRDefault="005D68EB" w:rsidP="005D68EB">
      <w:pPr>
        <w:tabs>
          <w:tab w:val="num" w:pos="720"/>
        </w:tabs>
        <w:spacing w:afterLines="15" w:after="36" w:line="400" w:lineRule="exact"/>
        <w:ind w:leftChars="1" w:left="332" w:hangingChars="150" w:hanging="330"/>
        <w:jc w:val="both"/>
        <w:outlineLvl w:val="1"/>
        <w:rPr>
          <w:rFonts w:ascii="標楷體" w:eastAsia="標楷體" w:hAnsi="標楷體"/>
          <w:bCs/>
          <w:spacing w:val="-10"/>
        </w:rPr>
      </w:pPr>
      <w:bookmarkStart w:id="260" w:name="_Toc185412489"/>
      <w:r w:rsidRPr="00F4425A">
        <w:rPr>
          <w:rFonts w:ascii="標楷體" w:eastAsia="標楷體" w:hAnsi="標楷體" w:hint="eastAsia"/>
          <w:bCs/>
          <w:spacing w:val="-10"/>
        </w:rPr>
        <w:t>1、</w:t>
      </w:r>
      <w:r w:rsidRPr="0085232E">
        <w:rPr>
          <w:rFonts w:ascii="標楷體" w:eastAsia="標楷體" w:hAnsi="標楷體"/>
          <w:spacing w:val="-10"/>
        </w:rPr>
        <w:t>火</w:t>
      </w:r>
      <w:r w:rsidRPr="0085232E">
        <w:rPr>
          <w:rFonts w:ascii="標楷體" w:eastAsia="標楷體" w:hAnsi="標楷體"/>
          <w:bCs/>
          <w:spacing w:val="-10"/>
        </w:rPr>
        <w:t>力發電</w:t>
      </w:r>
      <w:r>
        <w:rPr>
          <w:rFonts w:ascii="標楷體" w:eastAsia="標楷體" w:hAnsi="標楷體" w:hint="eastAsia"/>
          <w:bCs/>
          <w:spacing w:val="-10"/>
        </w:rPr>
        <w:t>係指</w:t>
      </w:r>
      <w:r w:rsidRPr="0085232E">
        <w:rPr>
          <w:rFonts w:ascii="標楷體" w:eastAsia="標楷體" w:hAnsi="標楷體"/>
          <w:bCs/>
          <w:spacing w:val="-10"/>
        </w:rPr>
        <w:t>燃燒煤炭、石油或天然氣等化石燃料，加熱水產生蒸汽，推動渦輪機帶動發電機發電。核能發電</w:t>
      </w:r>
      <w:r>
        <w:rPr>
          <w:rFonts w:ascii="標楷體" w:eastAsia="標楷體" w:hAnsi="標楷體" w:hint="eastAsia"/>
          <w:bCs/>
          <w:spacing w:val="-10"/>
        </w:rPr>
        <w:t>係指</w:t>
      </w:r>
      <w:r w:rsidRPr="0085232E">
        <w:rPr>
          <w:rFonts w:ascii="標楷體" w:eastAsia="標楷體" w:hAnsi="標楷體"/>
          <w:bCs/>
          <w:spacing w:val="-10"/>
        </w:rPr>
        <w:t>利用核分裂反應產生的熱能，將水加熱成蒸汽，推動渦輪機帶動發電機發電。</w:t>
      </w:r>
      <w:r>
        <w:rPr>
          <w:rFonts w:ascii="標楷體" w:eastAsia="標楷體" w:hAnsi="標楷體" w:hint="eastAsia"/>
          <w:bCs/>
          <w:spacing w:val="-10"/>
        </w:rPr>
        <w:t>其差異在於</w:t>
      </w:r>
      <w:r w:rsidRPr="0085232E">
        <w:rPr>
          <w:rFonts w:ascii="標楷體" w:eastAsia="標楷體" w:hAnsi="標楷體"/>
          <w:bCs/>
          <w:spacing w:val="-10"/>
        </w:rPr>
        <w:t>火力發電利用化學能產生熱能，核能發電利用核能產生熱能。</w:t>
      </w:r>
      <w:bookmarkEnd w:id="260"/>
    </w:p>
    <w:p w14:paraId="7F851216" w14:textId="77777777" w:rsidR="005D68EB" w:rsidRDefault="005D68EB" w:rsidP="005D68EB">
      <w:pPr>
        <w:tabs>
          <w:tab w:val="num" w:pos="720"/>
        </w:tabs>
        <w:spacing w:afterLines="15" w:after="36" w:line="400" w:lineRule="exact"/>
        <w:ind w:leftChars="1" w:left="332" w:hangingChars="150" w:hanging="330"/>
        <w:jc w:val="both"/>
        <w:outlineLvl w:val="1"/>
        <w:rPr>
          <w:rFonts w:ascii="標楷體" w:eastAsia="標楷體" w:hAnsi="標楷體"/>
          <w:bCs/>
          <w:spacing w:val="-10"/>
          <w:szCs w:val="24"/>
        </w:rPr>
      </w:pPr>
      <w:bookmarkStart w:id="261" w:name="_Toc185412490"/>
      <w:r>
        <w:rPr>
          <w:rFonts w:ascii="標楷體" w:eastAsia="標楷體" w:hAnsi="標楷體" w:hint="eastAsia"/>
          <w:bCs/>
          <w:spacing w:val="-10"/>
        </w:rPr>
        <w:t>2、</w:t>
      </w:r>
      <w:r w:rsidRPr="0085232E">
        <w:rPr>
          <w:rFonts w:ascii="標楷體" w:eastAsia="標楷體" w:hAnsi="標楷體"/>
          <w:bCs/>
          <w:spacing w:val="-10"/>
        </w:rPr>
        <w:t>核電廠</w:t>
      </w:r>
      <w:r>
        <w:rPr>
          <w:rFonts w:ascii="標楷體" w:eastAsia="標楷體" w:hAnsi="標楷體" w:hint="eastAsia"/>
          <w:bCs/>
          <w:spacing w:val="-10"/>
        </w:rPr>
        <w:t>主要有2種</w:t>
      </w:r>
      <w:r w:rsidRPr="0085232E">
        <w:rPr>
          <w:rFonts w:ascii="標楷體" w:eastAsia="標楷體" w:hAnsi="標楷體"/>
          <w:bCs/>
          <w:spacing w:val="-10"/>
        </w:rPr>
        <w:t>類型</w:t>
      </w:r>
      <w:r>
        <w:rPr>
          <w:rFonts w:ascii="標楷體" w:eastAsia="標楷體" w:hAnsi="標楷體" w:hint="eastAsia"/>
          <w:bCs/>
          <w:spacing w:val="-10"/>
        </w:rPr>
        <w:t>，</w:t>
      </w:r>
      <w:r w:rsidRPr="0085232E">
        <w:rPr>
          <w:rFonts w:ascii="標楷體" w:eastAsia="標楷體" w:hAnsi="標楷體"/>
          <w:bCs/>
          <w:spacing w:val="-10"/>
        </w:rPr>
        <w:t>沸水式反應</w:t>
      </w:r>
      <w:r>
        <w:rPr>
          <w:rFonts w:ascii="標楷體" w:eastAsia="標楷體" w:hAnsi="標楷體" w:hint="eastAsia"/>
          <w:bCs/>
          <w:spacing w:val="-10"/>
        </w:rPr>
        <w:t>器</w:t>
      </w:r>
      <w:r w:rsidRPr="0085232E">
        <w:rPr>
          <w:rFonts w:ascii="標楷體" w:eastAsia="標楷體" w:hAnsi="標楷體"/>
          <w:bCs/>
          <w:spacing w:val="-10"/>
        </w:rPr>
        <w:t>(BWR)</w:t>
      </w:r>
      <w:r>
        <w:rPr>
          <w:rFonts w:ascii="標楷體" w:eastAsia="標楷體" w:hAnsi="標楷體" w:hint="eastAsia"/>
          <w:bCs/>
          <w:spacing w:val="-10"/>
        </w:rPr>
        <w:t>為</w:t>
      </w:r>
      <w:r w:rsidRPr="0085232E">
        <w:rPr>
          <w:rFonts w:ascii="標楷體" w:eastAsia="標楷體" w:hAnsi="標楷體"/>
          <w:bCs/>
          <w:spacing w:val="-10"/>
        </w:rPr>
        <w:t>反應</w:t>
      </w:r>
      <w:r>
        <w:rPr>
          <w:rFonts w:ascii="標楷體" w:eastAsia="標楷體" w:hAnsi="標楷體" w:hint="eastAsia"/>
          <w:bCs/>
          <w:spacing w:val="-10"/>
        </w:rPr>
        <w:t>器</w:t>
      </w:r>
      <w:r w:rsidRPr="0085232E">
        <w:rPr>
          <w:rFonts w:ascii="標楷體" w:eastAsia="標楷體" w:hAnsi="標楷體"/>
          <w:bCs/>
          <w:spacing w:val="-10"/>
        </w:rPr>
        <w:t>中的水直接被加熱成蒸汽，推動渦輪機</w:t>
      </w:r>
      <w:r>
        <w:rPr>
          <w:rFonts w:ascii="標楷體" w:eastAsia="標楷體" w:hAnsi="標楷體" w:hint="eastAsia"/>
          <w:bCs/>
          <w:spacing w:val="-10"/>
        </w:rPr>
        <w:t>；</w:t>
      </w:r>
      <w:r w:rsidRPr="0085232E">
        <w:rPr>
          <w:rFonts w:ascii="標楷體" w:eastAsia="標楷體" w:hAnsi="標楷體"/>
          <w:bCs/>
          <w:spacing w:val="-10"/>
        </w:rPr>
        <w:t>壓水式反應</w:t>
      </w:r>
      <w:r>
        <w:rPr>
          <w:rFonts w:ascii="標楷體" w:eastAsia="標楷體" w:hAnsi="標楷體" w:hint="eastAsia"/>
          <w:bCs/>
          <w:spacing w:val="-10"/>
        </w:rPr>
        <w:t>器</w:t>
      </w:r>
      <w:r w:rsidRPr="0085232E">
        <w:rPr>
          <w:rFonts w:ascii="標楷體" w:eastAsia="標楷體" w:hAnsi="標楷體"/>
          <w:bCs/>
          <w:spacing w:val="-10"/>
        </w:rPr>
        <w:t>(PWR)</w:t>
      </w:r>
      <w:r>
        <w:rPr>
          <w:rFonts w:ascii="標楷體" w:eastAsia="標楷體" w:hAnsi="標楷體" w:hint="eastAsia"/>
          <w:bCs/>
          <w:spacing w:val="-10"/>
        </w:rPr>
        <w:t>則為</w:t>
      </w:r>
      <w:r w:rsidRPr="0085232E">
        <w:rPr>
          <w:rFonts w:ascii="標楷體" w:eastAsia="標楷體" w:hAnsi="標楷體"/>
          <w:bCs/>
          <w:spacing w:val="-10"/>
        </w:rPr>
        <w:t>反應</w:t>
      </w:r>
      <w:r>
        <w:rPr>
          <w:rFonts w:ascii="標楷體" w:eastAsia="標楷體" w:hAnsi="標楷體" w:hint="eastAsia"/>
          <w:bCs/>
          <w:spacing w:val="-10"/>
        </w:rPr>
        <w:t>器</w:t>
      </w:r>
      <w:r w:rsidRPr="0085232E">
        <w:rPr>
          <w:rFonts w:ascii="標楷體" w:eastAsia="標楷體" w:hAnsi="標楷體"/>
          <w:bCs/>
          <w:spacing w:val="-10"/>
        </w:rPr>
        <w:t>中的水被加熱後，通過蒸汽發生器將另一個水迴路中的水加熱成蒸汽，</w:t>
      </w:r>
      <w:r>
        <w:rPr>
          <w:rFonts w:ascii="標楷體" w:eastAsia="標楷體" w:hAnsi="標楷體" w:hint="eastAsia"/>
          <w:bCs/>
          <w:spacing w:val="-10"/>
        </w:rPr>
        <w:t>以</w:t>
      </w:r>
      <w:r w:rsidRPr="0085232E">
        <w:rPr>
          <w:rFonts w:ascii="標楷體" w:eastAsia="標楷體" w:hAnsi="標楷體"/>
          <w:bCs/>
          <w:spacing w:val="-10"/>
        </w:rPr>
        <w:t>推動渦輪機</w:t>
      </w:r>
      <w:r>
        <w:rPr>
          <w:rFonts w:ascii="標楷體" w:eastAsia="標楷體" w:hAnsi="標楷體" w:hint="eastAsia"/>
          <w:bCs/>
          <w:spacing w:val="-10"/>
        </w:rPr>
        <w:t>。</w:t>
      </w:r>
      <w:bookmarkEnd w:id="261"/>
    </w:p>
    <w:p w14:paraId="2F13C8A2" w14:textId="77777777" w:rsidR="005D68EB" w:rsidRDefault="005D68EB" w:rsidP="005D68EB">
      <w:pPr>
        <w:tabs>
          <w:tab w:val="num" w:pos="720"/>
        </w:tabs>
        <w:spacing w:beforeLines="15" w:before="36" w:afterLines="15" w:after="36"/>
        <w:ind w:leftChars="1" w:left="362" w:hangingChars="150" w:hanging="360"/>
        <w:jc w:val="center"/>
        <w:outlineLvl w:val="1"/>
        <w:rPr>
          <w:rFonts w:ascii="標楷體" w:eastAsia="標楷體" w:hAnsi="標楷體"/>
          <w:bCs/>
          <w:spacing w:val="-10"/>
          <w:szCs w:val="24"/>
        </w:rPr>
      </w:pPr>
      <w:bookmarkStart w:id="262" w:name="_Toc185412491"/>
      <w:r>
        <w:rPr>
          <w:rFonts w:ascii="標楷體" w:eastAsia="標楷體" w:hAnsi="標楷體" w:hint="eastAsia"/>
          <w:bCs/>
          <w:noProof/>
          <w:spacing w:val="-10"/>
          <w:szCs w:val="24"/>
        </w:rPr>
        <w:lastRenderedPageBreak/>
        <w:drawing>
          <wp:inline distT="0" distB="0" distL="0" distR="0" wp14:anchorId="392290BE" wp14:editId="7E1795BF">
            <wp:extent cx="5760085" cy="4317365"/>
            <wp:effectExtent l="19050" t="19050" r="12065" b="26035"/>
            <wp:docPr id="1529188219" name="圖片 10" descr="一張含有 文字, 圖表, 方案, 字型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188219" name="圖片 10" descr="一張含有 文字, 圖表, 方案, 字型 的圖片&#10;&#10;自動產生的描述"/>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60085" cy="4317365"/>
                    </a:xfrm>
                    <a:prstGeom prst="rect">
                      <a:avLst/>
                    </a:prstGeom>
                    <a:ln>
                      <a:solidFill>
                        <a:schemeClr val="accent1"/>
                      </a:solidFill>
                    </a:ln>
                  </pic:spPr>
                </pic:pic>
              </a:graphicData>
            </a:graphic>
          </wp:inline>
        </w:drawing>
      </w:r>
      <w:bookmarkEnd w:id="262"/>
    </w:p>
    <w:p w14:paraId="2504C565" w14:textId="77777777" w:rsidR="005D68EB" w:rsidRPr="00F4425A" w:rsidRDefault="005D68EB" w:rsidP="005D68EB">
      <w:pPr>
        <w:pStyle w:val="a1"/>
      </w:pPr>
      <w:bookmarkStart w:id="263" w:name="_Toc185426132"/>
      <w:bookmarkStart w:id="264" w:name="_Toc185605743"/>
      <w:bookmarkStart w:id="265" w:name="_Toc186029862"/>
      <w:r w:rsidRPr="0085232E">
        <w:t>核燃料循環的流程，從鈾礦開採</w:t>
      </w:r>
      <w:r>
        <w:rPr>
          <w:rFonts w:hint="eastAsia"/>
        </w:rPr>
        <w:t>至</w:t>
      </w:r>
      <w:r w:rsidRPr="0085232E">
        <w:t>最終處置</w:t>
      </w:r>
      <w:r>
        <w:rPr>
          <w:rFonts w:hint="eastAsia"/>
        </w:rPr>
        <w:t>之示意</w:t>
      </w:r>
      <w:r w:rsidRPr="00F4425A">
        <w:rPr>
          <w:rFonts w:hint="eastAsia"/>
        </w:rPr>
        <w:t>圖</w:t>
      </w:r>
      <w:bookmarkEnd w:id="263"/>
      <w:bookmarkEnd w:id="264"/>
      <w:bookmarkEnd w:id="265"/>
    </w:p>
    <w:p w14:paraId="431585AA" w14:textId="77777777" w:rsidR="005D68EB" w:rsidRPr="00F4425A" w:rsidRDefault="005D68EB" w:rsidP="005D68EB">
      <w:pPr>
        <w:tabs>
          <w:tab w:val="num" w:pos="720"/>
        </w:tabs>
        <w:spacing w:beforeLines="15" w:before="36" w:afterLines="15" w:after="36" w:line="440" w:lineRule="exact"/>
        <w:ind w:leftChars="1" w:left="392" w:hangingChars="150" w:hanging="390"/>
        <w:jc w:val="both"/>
        <w:outlineLvl w:val="1"/>
        <w:rPr>
          <w:rFonts w:ascii="標楷體" w:eastAsia="標楷體" w:hAnsi="標楷體"/>
          <w:bCs/>
          <w:spacing w:val="-10"/>
          <w:sz w:val="28"/>
          <w:szCs w:val="28"/>
        </w:rPr>
      </w:pPr>
      <w:bookmarkStart w:id="266" w:name="_Toc185412492"/>
      <w:r w:rsidRPr="00F4425A">
        <w:rPr>
          <w:rFonts w:ascii="標楷體" w:eastAsia="標楷體" w:hAnsi="標楷體" w:hint="eastAsia"/>
          <w:bCs/>
          <w:spacing w:val="-10"/>
          <w:sz w:val="28"/>
          <w:szCs w:val="28"/>
        </w:rPr>
        <w:t>備註：</w:t>
      </w:r>
      <w:bookmarkEnd w:id="266"/>
    </w:p>
    <w:p w14:paraId="2BB599A9" w14:textId="77777777" w:rsidR="005D68EB" w:rsidRDefault="005D68EB" w:rsidP="005D68EB">
      <w:pPr>
        <w:tabs>
          <w:tab w:val="num" w:pos="720"/>
        </w:tabs>
        <w:spacing w:afterLines="15" w:after="36" w:line="400" w:lineRule="exact"/>
        <w:ind w:leftChars="1" w:left="332" w:hangingChars="150" w:hanging="330"/>
        <w:jc w:val="both"/>
        <w:outlineLvl w:val="1"/>
        <w:rPr>
          <w:rFonts w:ascii="標楷體" w:eastAsia="標楷體" w:hAnsi="標楷體"/>
          <w:bCs/>
          <w:spacing w:val="-10"/>
        </w:rPr>
      </w:pPr>
      <w:bookmarkStart w:id="267" w:name="_Toc185412493"/>
      <w:r w:rsidRPr="00F4425A">
        <w:rPr>
          <w:rFonts w:ascii="標楷體" w:eastAsia="標楷體" w:hAnsi="標楷體" w:hint="eastAsia"/>
          <w:bCs/>
          <w:spacing w:val="-10"/>
        </w:rPr>
        <w:t>1、</w:t>
      </w:r>
      <w:r w:rsidRPr="0085232E">
        <w:rPr>
          <w:rFonts w:ascii="標楷體" w:eastAsia="標楷體" w:hAnsi="標楷體"/>
          <w:bCs/>
          <w:spacing w:val="-10"/>
        </w:rPr>
        <w:t>從鈾礦山開採鈾礦石，經過精煉提取出黃餅</w:t>
      </w:r>
      <w:r>
        <w:rPr>
          <w:rFonts w:ascii="標楷體" w:eastAsia="標楷體" w:hAnsi="標楷體" w:hint="eastAsia"/>
          <w:bCs/>
          <w:spacing w:val="-10"/>
        </w:rPr>
        <w:t>，再</w:t>
      </w:r>
      <w:r w:rsidRPr="0085232E">
        <w:rPr>
          <w:rFonts w:ascii="標楷體" w:eastAsia="標楷體" w:hAnsi="標楷體"/>
          <w:bCs/>
          <w:spacing w:val="-10"/>
        </w:rPr>
        <w:t>將黃餅轉換成六氟化鈾，進行濃縮，提高鈾235的濃度</w:t>
      </w:r>
      <w:r>
        <w:rPr>
          <w:rFonts w:ascii="標楷體" w:eastAsia="標楷體" w:hAnsi="標楷體" w:hint="eastAsia"/>
          <w:bCs/>
          <w:spacing w:val="-10"/>
        </w:rPr>
        <w:t>，</w:t>
      </w:r>
      <w:r w:rsidRPr="0085232E">
        <w:rPr>
          <w:rFonts w:ascii="標楷體" w:eastAsia="標楷體" w:hAnsi="標楷體"/>
          <w:bCs/>
          <w:spacing w:val="-10"/>
        </w:rPr>
        <w:t>換成二氧化鈾，並製成燃料组件，供核電廠使用。</w:t>
      </w:r>
      <w:bookmarkEnd w:id="267"/>
    </w:p>
    <w:p w14:paraId="70D4A622" w14:textId="77777777" w:rsidR="005D68EB" w:rsidRPr="0085232E" w:rsidRDefault="005D68EB" w:rsidP="005D68EB">
      <w:pPr>
        <w:tabs>
          <w:tab w:val="num" w:pos="720"/>
        </w:tabs>
        <w:spacing w:afterLines="15" w:after="36" w:line="400" w:lineRule="exact"/>
        <w:ind w:leftChars="1" w:left="332" w:hangingChars="150" w:hanging="330"/>
        <w:jc w:val="both"/>
        <w:outlineLvl w:val="1"/>
        <w:rPr>
          <w:rFonts w:ascii="標楷體" w:eastAsia="標楷體" w:hAnsi="標楷體"/>
          <w:bCs/>
          <w:spacing w:val="-10"/>
        </w:rPr>
      </w:pPr>
      <w:bookmarkStart w:id="268" w:name="_Toc185412494"/>
      <w:r>
        <w:rPr>
          <w:rFonts w:ascii="標楷體" w:eastAsia="標楷體" w:hAnsi="標楷體" w:hint="eastAsia"/>
          <w:bCs/>
          <w:spacing w:val="-10"/>
        </w:rPr>
        <w:t>2、</w:t>
      </w:r>
      <w:r w:rsidRPr="0085232E">
        <w:rPr>
          <w:rFonts w:ascii="標楷體" w:eastAsia="標楷體" w:hAnsi="標楷體"/>
          <w:bCs/>
          <w:spacing w:val="-10"/>
        </w:rPr>
        <w:t>核</w:t>
      </w:r>
      <w:r>
        <w:rPr>
          <w:rFonts w:ascii="標楷體" w:eastAsia="標楷體" w:hAnsi="標楷體" w:hint="eastAsia"/>
          <w:bCs/>
          <w:spacing w:val="-10"/>
        </w:rPr>
        <w:t>能</w:t>
      </w:r>
      <w:r w:rsidRPr="0085232E">
        <w:rPr>
          <w:rFonts w:ascii="標楷體" w:eastAsia="標楷體" w:hAnsi="標楷體"/>
          <w:bCs/>
          <w:spacing w:val="-10"/>
        </w:rPr>
        <w:t>電廠使用鈾燃料進行發電，產生乏燃料</w:t>
      </w:r>
      <w:r>
        <w:rPr>
          <w:rFonts w:ascii="標楷體" w:eastAsia="標楷體" w:hAnsi="標楷體" w:hint="eastAsia"/>
          <w:bCs/>
          <w:spacing w:val="-10"/>
        </w:rPr>
        <w:t>，</w:t>
      </w:r>
      <w:r w:rsidRPr="0085232E">
        <w:rPr>
          <w:rFonts w:ascii="標楷體" w:eastAsia="標楷體" w:hAnsi="標楷體"/>
          <w:bCs/>
          <w:spacing w:val="-10"/>
        </w:rPr>
        <w:t>乏燃料經過中期貯藏後，可以選擇進行後處理，回收鈾和鈽再利用，或直接進行最終處置。</w:t>
      </w:r>
      <w:bookmarkEnd w:id="268"/>
    </w:p>
    <w:p w14:paraId="28F659F8" w14:textId="77777777" w:rsidR="005D68EB" w:rsidRDefault="005D68EB" w:rsidP="005D68EB">
      <w:pPr>
        <w:tabs>
          <w:tab w:val="num" w:pos="720"/>
        </w:tabs>
        <w:spacing w:afterLines="15" w:after="36" w:line="400" w:lineRule="exact"/>
        <w:ind w:leftChars="1" w:left="332" w:hangingChars="150" w:hanging="330"/>
        <w:jc w:val="both"/>
        <w:outlineLvl w:val="1"/>
        <w:rPr>
          <w:rFonts w:ascii="標楷體" w:eastAsia="標楷體" w:hAnsi="標楷體"/>
          <w:bCs/>
          <w:spacing w:val="-10"/>
          <w:szCs w:val="24"/>
        </w:rPr>
      </w:pPr>
      <w:bookmarkStart w:id="269" w:name="_Toc185412495"/>
      <w:r>
        <w:rPr>
          <w:rFonts w:ascii="標楷體" w:eastAsia="標楷體" w:hAnsi="標楷體" w:hint="eastAsia"/>
          <w:bCs/>
          <w:spacing w:val="-10"/>
        </w:rPr>
        <w:t>3、</w:t>
      </w:r>
      <w:r w:rsidRPr="0085232E">
        <w:rPr>
          <w:rFonts w:ascii="標楷體" w:eastAsia="標楷體" w:hAnsi="標楷體"/>
          <w:bCs/>
          <w:spacing w:val="-10"/>
        </w:rPr>
        <w:t>高放射性廢棄物處置</w:t>
      </w:r>
      <w:r>
        <w:rPr>
          <w:rFonts w:ascii="標楷體" w:eastAsia="標楷體" w:hAnsi="標楷體" w:hint="eastAsia"/>
          <w:bCs/>
          <w:spacing w:val="-10"/>
        </w:rPr>
        <w:t>屬</w:t>
      </w:r>
      <w:r w:rsidRPr="0085232E">
        <w:rPr>
          <w:rFonts w:ascii="標楷體" w:eastAsia="標楷體" w:hAnsi="標楷體"/>
          <w:bCs/>
          <w:spacing w:val="-10"/>
        </w:rPr>
        <w:t>後處理過程中產生的高放射性廢棄物，需要經過貯藏和最終處置。低放射性廢棄物處置</w:t>
      </w:r>
      <w:r>
        <w:rPr>
          <w:rFonts w:ascii="標楷體" w:eastAsia="標楷體" w:hAnsi="標楷體" w:hint="eastAsia"/>
          <w:bCs/>
          <w:spacing w:val="-10"/>
        </w:rPr>
        <w:t>則為</w:t>
      </w:r>
      <w:r w:rsidRPr="0085232E">
        <w:rPr>
          <w:rFonts w:ascii="標楷體" w:eastAsia="標楷體" w:hAnsi="標楷體"/>
          <w:bCs/>
          <w:spacing w:val="-10"/>
        </w:rPr>
        <w:t>核</w:t>
      </w:r>
      <w:r>
        <w:rPr>
          <w:rFonts w:ascii="標楷體" w:eastAsia="標楷體" w:hAnsi="標楷體" w:hint="eastAsia"/>
          <w:bCs/>
          <w:spacing w:val="-10"/>
        </w:rPr>
        <w:t>能</w:t>
      </w:r>
      <w:r w:rsidRPr="0085232E">
        <w:rPr>
          <w:rFonts w:ascii="標楷體" w:eastAsia="標楷體" w:hAnsi="標楷體"/>
          <w:bCs/>
          <w:spacing w:val="-10"/>
        </w:rPr>
        <w:t>電廠和後處理工廠產生的低放射性廢棄物，需要進行處置。</w:t>
      </w:r>
      <w:r>
        <w:rPr>
          <w:rFonts w:ascii="標楷體" w:eastAsia="標楷體" w:hAnsi="標楷體" w:hint="eastAsia"/>
          <w:bCs/>
          <w:spacing w:val="-10"/>
        </w:rPr>
        <w:t>由圖中所示，</w:t>
      </w:r>
      <w:r w:rsidRPr="0085232E">
        <w:rPr>
          <w:rFonts w:ascii="標楷體" w:eastAsia="標楷體" w:hAnsi="標楷體"/>
          <w:bCs/>
          <w:spacing w:val="-10"/>
        </w:rPr>
        <w:t>核燃料循環的各個環節，包括鈾的開採、加工、利用、後處理和廢棄物處置等，有助於人們全面</w:t>
      </w:r>
      <w:r>
        <w:rPr>
          <w:rFonts w:ascii="標楷體" w:eastAsia="標楷體" w:hAnsi="標楷體" w:hint="eastAsia"/>
          <w:bCs/>
          <w:spacing w:val="-10"/>
        </w:rPr>
        <w:t>瞭</w:t>
      </w:r>
      <w:r w:rsidRPr="0085232E">
        <w:rPr>
          <w:rFonts w:ascii="標楷體" w:eastAsia="標楷體" w:hAnsi="標楷體"/>
          <w:bCs/>
          <w:spacing w:val="-10"/>
        </w:rPr>
        <w:t>解核能的利用和相關的環境問題。</w:t>
      </w:r>
      <w:bookmarkEnd w:id="269"/>
    </w:p>
    <w:p w14:paraId="5D4044AE" w14:textId="77777777" w:rsidR="005D68EB" w:rsidRDefault="005D68EB" w:rsidP="005D68EB">
      <w:pPr>
        <w:tabs>
          <w:tab w:val="left" w:pos="-1920"/>
        </w:tabs>
        <w:snapToGrid w:val="0"/>
        <w:spacing w:beforeLines="15" w:before="36" w:afterLines="15" w:after="36" w:line="440" w:lineRule="exact"/>
        <w:ind w:left="568"/>
        <w:jc w:val="both"/>
        <w:outlineLvl w:val="2"/>
        <w:rPr>
          <w:rFonts w:ascii="標楷體" w:eastAsia="標楷體" w:hAnsi="標楷體"/>
          <w:bCs/>
          <w:sz w:val="28"/>
          <w:szCs w:val="28"/>
        </w:rPr>
      </w:pPr>
    </w:p>
    <w:p w14:paraId="24D1E6EB" w14:textId="31338469" w:rsidR="005D68EB" w:rsidRDefault="005D68EB">
      <w:pPr>
        <w:widowControl/>
        <w:rPr>
          <w:rFonts w:ascii="標楷體" w:eastAsia="標楷體" w:hAnsi="標楷體"/>
          <w:bCs/>
          <w:sz w:val="28"/>
          <w:szCs w:val="28"/>
        </w:rPr>
      </w:pPr>
      <w:r>
        <w:rPr>
          <w:rFonts w:ascii="標楷體" w:eastAsia="標楷體" w:hAnsi="標楷體"/>
          <w:bCs/>
          <w:sz w:val="28"/>
          <w:szCs w:val="28"/>
        </w:rPr>
        <w:br w:type="page"/>
      </w:r>
    </w:p>
    <w:p w14:paraId="592ED37E" w14:textId="77777777" w:rsidR="005D68EB" w:rsidRDefault="005D68EB" w:rsidP="009C4EE0">
      <w:pPr>
        <w:numPr>
          <w:ilvl w:val="0"/>
          <w:numId w:val="19"/>
        </w:numPr>
        <w:spacing w:beforeLines="15" w:before="36" w:afterLines="15" w:after="36" w:line="440" w:lineRule="exact"/>
        <w:jc w:val="both"/>
        <w:outlineLvl w:val="1"/>
        <w:rPr>
          <w:rFonts w:ascii="標楷體" w:eastAsia="標楷體" w:hAnsi="標楷體"/>
          <w:bCs/>
          <w:spacing w:val="-10"/>
          <w:sz w:val="28"/>
          <w:szCs w:val="28"/>
        </w:rPr>
      </w:pPr>
      <w:bookmarkStart w:id="270" w:name="_Toc185412500"/>
      <w:r>
        <w:rPr>
          <w:rFonts w:ascii="標楷體" w:eastAsia="標楷體" w:hAnsi="標楷體" w:hint="eastAsia"/>
          <w:bCs/>
          <w:spacing w:val="-10"/>
          <w:sz w:val="28"/>
          <w:szCs w:val="28"/>
        </w:rPr>
        <w:lastRenderedPageBreak/>
        <w:t>相關資料</w:t>
      </w:r>
      <w:bookmarkEnd w:id="270"/>
    </w:p>
    <w:p w14:paraId="7474720B" w14:textId="77777777" w:rsidR="005D68EB" w:rsidRDefault="005D68EB" w:rsidP="009C4EE0">
      <w:pPr>
        <w:numPr>
          <w:ilvl w:val="1"/>
          <w:numId w:val="19"/>
        </w:numPr>
        <w:tabs>
          <w:tab w:val="left" w:pos="-1920"/>
        </w:tabs>
        <w:snapToGrid w:val="0"/>
        <w:spacing w:beforeLines="15" w:before="36" w:afterLines="15" w:after="36" w:line="440" w:lineRule="exact"/>
        <w:jc w:val="both"/>
        <w:outlineLvl w:val="2"/>
        <w:rPr>
          <w:rFonts w:ascii="標楷體" w:eastAsia="標楷體" w:hAnsi="標楷體"/>
          <w:bCs/>
          <w:sz w:val="28"/>
          <w:szCs w:val="36"/>
        </w:rPr>
      </w:pPr>
      <w:r w:rsidRPr="00C37B15">
        <w:rPr>
          <w:rFonts w:ascii="標楷體" w:eastAsia="標楷體" w:hAnsi="標楷體" w:hint="eastAsia"/>
          <w:bCs/>
          <w:sz w:val="28"/>
          <w:szCs w:val="36"/>
        </w:rPr>
        <w:t>茨城縣核能安全對策</w:t>
      </w:r>
    </w:p>
    <w:p w14:paraId="32481811" w14:textId="77777777" w:rsidR="005D68EB" w:rsidRPr="00C37B15" w:rsidRDefault="005D68EB" w:rsidP="009C4EE0">
      <w:pPr>
        <w:pStyle w:val="af4"/>
        <w:numPr>
          <w:ilvl w:val="2"/>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Pr>
          <w:rFonts w:ascii="標楷體" w:eastAsia="標楷體" w:hAnsi="標楷體"/>
          <w:bCs/>
          <w:sz w:val="28"/>
          <w:szCs w:val="36"/>
        </w:rPr>
        <w:t>核能</w:t>
      </w:r>
      <w:r w:rsidRPr="00C37B15">
        <w:rPr>
          <w:rFonts w:ascii="標楷體" w:eastAsia="標楷體" w:hAnsi="標楷體"/>
          <w:bCs/>
          <w:sz w:val="28"/>
          <w:szCs w:val="36"/>
        </w:rPr>
        <w:t>設施</w:t>
      </w:r>
      <w:r w:rsidRPr="00C37B15">
        <w:rPr>
          <w:rFonts w:ascii="標楷體" w:eastAsia="標楷體" w:hAnsi="標楷體" w:hint="eastAsia"/>
          <w:bCs/>
          <w:sz w:val="28"/>
          <w:szCs w:val="36"/>
        </w:rPr>
        <w:t>之</w:t>
      </w:r>
      <w:r w:rsidRPr="00C37B15">
        <w:rPr>
          <w:rFonts w:ascii="標楷體" w:eastAsia="標楷體" w:hAnsi="標楷體"/>
          <w:bCs/>
          <w:sz w:val="28"/>
          <w:szCs w:val="36"/>
        </w:rPr>
        <w:t>安全確保</w:t>
      </w:r>
      <w:r w:rsidRPr="00C37B15">
        <w:rPr>
          <w:rFonts w:ascii="標楷體" w:eastAsia="標楷體" w:hAnsi="標楷體" w:hint="eastAsia"/>
          <w:bCs/>
          <w:sz w:val="28"/>
          <w:szCs w:val="36"/>
        </w:rPr>
        <w:t>：</w:t>
      </w:r>
      <w:r w:rsidRPr="00C37B15">
        <w:rPr>
          <w:rFonts w:ascii="標楷體" w:eastAsia="標楷體" w:hAnsi="標楷體"/>
          <w:bCs/>
          <w:sz w:val="28"/>
          <w:szCs w:val="36"/>
        </w:rPr>
        <w:t>健全運用</w:t>
      </w:r>
      <w:r>
        <w:rPr>
          <w:rFonts w:ascii="標楷體" w:eastAsia="標楷體" w:hAnsi="標楷體"/>
          <w:bCs/>
          <w:sz w:val="28"/>
          <w:szCs w:val="36"/>
        </w:rPr>
        <w:t>核能</w:t>
      </w:r>
      <w:r w:rsidRPr="00C37B15">
        <w:rPr>
          <w:rFonts w:ascii="標楷體" w:eastAsia="標楷體" w:hAnsi="標楷體"/>
          <w:bCs/>
          <w:sz w:val="28"/>
          <w:szCs w:val="36"/>
        </w:rPr>
        <w:t>安全協定及通報聯絡協定</w:t>
      </w:r>
      <w:r>
        <w:rPr>
          <w:rFonts w:ascii="標楷體" w:eastAsia="標楷體" w:hAnsi="標楷體" w:hint="eastAsia"/>
          <w:bCs/>
          <w:sz w:val="28"/>
          <w:szCs w:val="36"/>
        </w:rPr>
        <w:t>。</w:t>
      </w:r>
    </w:p>
    <w:p w14:paraId="12D018A0" w14:textId="77777777" w:rsidR="005D68EB" w:rsidRPr="00C37B15" w:rsidRDefault="005D68EB" w:rsidP="009C4EE0">
      <w:pPr>
        <w:pStyle w:val="af4"/>
        <w:numPr>
          <w:ilvl w:val="3"/>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C37B15">
        <w:rPr>
          <w:rFonts w:ascii="標楷體" w:eastAsia="標楷體" w:hAnsi="標楷體"/>
          <w:bCs/>
          <w:sz w:val="28"/>
          <w:szCs w:val="36"/>
        </w:rPr>
        <w:t>徹底執行定期及隨時報告</w:t>
      </w:r>
      <w:r>
        <w:rPr>
          <w:rFonts w:ascii="標楷體" w:eastAsia="標楷體" w:hAnsi="標楷體"/>
          <w:bCs/>
          <w:sz w:val="28"/>
          <w:szCs w:val="36"/>
        </w:rPr>
        <w:t>(</w:t>
      </w:r>
      <w:r w:rsidRPr="00C37B15">
        <w:rPr>
          <w:rFonts w:ascii="標楷體" w:eastAsia="標楷體" w:hAnsi="標楷體"/>
          <w:bCs/>
          <w:sz w:val="28"/>
          <w:szCs w:val="36"/>
        </w:rPr>
        <w:t>事故、故障等資訊</w:t>
      </w:r>
      <w:r>
        <w:rPr>
          <w:rFonts w:ascii="標楷體" w:eastAsia="標楷體" w:hAnsi="標楷體"/>
          <w:bCs/>
          <w:sz w:val="28"/>
          <w:szCs w:val="36"/>
        </w:rPr>
        <w:t>)</w:t>
      </w:r>
      <w:r>
        <w:rPr>
          <w:rFonts w:ascii="標楷體" w:eastAsia="標楷體" w:hAnsi="標楷體" w:hint="eastAsia"/>
          <w:bCs/>
          <w:sz w:val="28"/>
          <w:szCs w:val="36"/>
        </w:rPr>
        <w:t>。</w:t>
      </w:r>
    </w:p>
    <w:p w14:paraId="544D5A6F" w14:textId="77777777" w:rsidR="005D68EB" w:rsidRPr="00C37B15" w:rsidRDefault="005D68EB" w:rsidP="009C4EE0">
      <w:pPr>
        <w:pStyle w:val="af4"/>
        <w:numPr>
          <w:ilvl w:val="3"/>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C37B15">
        <w:rPr>
          <w:rFonts w:ascii="標楷體" w:eastAsia="標楷體" w:hAnsi="標楷體"/>
          <w:bCs/>
          <w:sz w:val="28"/>
          <w:szCs w:val="36"/>
        </w:rPr>
        <w:t>平時進行現場檢查，確認安全對策狀況</w:t>
      </w:r>
      <w:r>
        <w:rPr>
          <w:rFonts w:ascii="標楷體" w:eastAsia="標楷體" w:hAnsi="標楷體" w:hint="eastAsia"/>
          <w:bCs/>
          <w:sz w:val="28"/>
          <w:szCs w:val="36"/>
        </w:rPr>
        <w:t>。</w:t>
      </w:r>
    </w:p>
    <w:p w14:paraId="369349E3" w14:textId="77777777" w:rsidR="005D68EB" w:rsidRPr="00C37B15" w:rsidRDefault="005D68EB" w:rsidP="009C4EE0">
      <w:pPr>
        <w:pStyle w:val="af4"/>
        <w:numPr>
          <w:ilvl w:val="3"/>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C37B15">
        <w:rPr>
          <w:rFonts w:ascii="標楷體" w:eastAsia="標楷體" w:hAnsi="標楷體"/>
          <w:bCs/>
          <w:sz w:val="28"/>
          <w:szCs w:val="36"/>
        </w:rPr>
        <w:t>實施實務性通報聯絡訓練</w:t>
      </w:r>
      <w:r>
        <w:rPr>
          <w:rFonts w:ascii="標楷體" w:eastAsia="標楷體" w:hAnsi="標楷體" w:hint="eastAsia"/>
          <w:bCs/>
          <w:sz w:val="28"/>
          <w:szCs w:val="36"/>
        </w:rPr>
        <w:t>。</w:t>
      </w:r>
    </w:p>
    <w:p w14:paraId="4B866314" w14:textId="77777777" w:rsidR="005D68EB" w:rsidRPr="00C37B15" w:rsidRDefault="005D68EB" w:rsidP="009C4EE0">
      <w:pPr>
        <w:pStyle w:val="af4"/>
        <w:numPr>
          <w:ilvl w:val="2"/>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C37B15">
        <w:rPr>
          <w:rFonts w:ascii="標楷體" w:eastAsia="標楷體" w:hAnsi="標楷體"/>
          <w:bCs/>
          <w:sz w:val="28"/>
          <w:szCs w:val="36"/>
        </w:rPr>
        <w:t>環境輻射監測</w:t>
      </w:r>
      <w:r w:rsidRPr="00C37B15">
        <w:rPr>
          <w:rFonts w:ascii="標楷體" w:eastAsia="標楷體" w:hAnsi="標楷體" w:hint="eastAsia"/>
          <w:bCs/>
          <w:sz w:val="28"/>
          <w:szCs w:val="36"/>
        </w:rPr>
        <w:t>：</w:t>
      </w:r>
      <w:r w:rsidRPr="00C37B15">
        <w:rPr>
          <w:rFonts w:ascii="標楷體" w:eastAsia="標楷體" w:hAnsi="標楷體"/>
          <w:bCs/>
          <w:sz w:val="28"/>
          <w:szCs w:val="36"/>
        </w:rPr>
        <w:t>強化計畫性監測及緊急時監測體制</w:t>
      </w:r>
      <w:r>
        <w:rPr>
          <w:rFonts w:ascii="標楷體" w:eastAsia="標楷體" w:hAnsi="標楷體" w:hint="eastAsia"/>
          <w:bCs/>
          <w:sz w:val="28"/>
          <w:szCs w:val="36"/>
        </w:rPr>
        <w:t>。</w:t>
      </w:r>
    </w:p>
    <w:p w14:paraId="7D93D964" w14:textId="77777777" w:rsidR="005D68EB" w:rsidRPr="00C37B15" w:rsidRDefault="005D68EB" w:rsidP="009C4EE0">
      <w:pPr>
        <w:pStyle w:val="af4"/>
        <w:numPr>
          <w:ilvl w:val="3"/>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C37B15">
        <w:rPr>
          <w:rFonts w:ascii="標楷體" w:eastAsia="標楷體" w:hAnsi="標楷體"/>
          <w:bCs/>
          <w:sz w:val="28"/>
          <w:szCs w:val="36"/>
        </w:rPr>
        <w:t>依據茨城縣東海地區環境輻射監測委員會所制定的監測計畫，由縣府及事業單位實施環境輻射監測</w:t>
      </w:r>
      <w:r>
        <w:rPr>
          <w:rFonts w:ascii="標楷體" w:eastAsia="標楷體" w:hAnsi="標楷體" w:hint="eastAsia"/>
          <w:bCs/>
          <w:sz w:val="28"/>
          <w:szCs w:val="36"/>
        </w:rPr>
        <w:t>。</w:t>
      </w:r>
    </w:p>
    <w:p w14:paraId="2C07DD72" w14:textId="77777777" w:rsidR="005D68EB" w:rsidRPr="00C37B15" w:rsidRDefault="005D68EB" w:rsidP="009C4EE0">
      <w:pPr>
        <w:pStyle w:val="af4"/>
        <w:numPr>
          <w:ilvl w:val="3"/>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C37B15">
        <w:rPr>
          <w:rFonts w:ascii="標楷體" w:eastAsia="標楷體" w:hAnsi="標楷體"/>
          <w:bCs/>
          <w:sz w:val="28"/>
          <w:szCs w:val="36"/>
        </w:rPr>
        <w:t>環境輻射常時監測並向縣民提供資訊(遙測系統)</w:t>
      </w:r>
      <w:r>
        <w:rPr>
          <w:rFonts w:ascii="標楷體" w:eastAsia="標楷體" w:hAnsi="標楷體" w:hint="eastAsia"/>
          <w:bCs/>
          <w:sz w:val="28"/>
          <w:szCs w:val="36"/>
        </w:rPr>
        <w:t>。</w:t>
      </w:r>
    </w:p>
    <w:p w14:paraId="44C72BAA" w14:textId="77777777" w:rsidR="005D68EB" w:rsidRPr="00C37B15" w:rsidRDefault="005D68EB" w:rsidP="009C4EE0">
      <w:pPr>
        <w:pStyle w:val="af4"/>
        <w:numPr>
          <w:ilvl w:val="3"/>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C37B15">
        <w:rPr>
          <w:rFonts w:ascii="標楷體" w:eastAsia="標楷體" w:hAnsi="標楷體"/>
          <w:bCs/>
          <w:sz w:val="28"/>
          <w:szCs w:val="36"/>
        </w:rPr>
        <w:t>營運環境輻射監測中心並整備監測設備</w:t>
      </w:r>
      <w:r>
        <w:rPr>
          <w:rFonts w:ascii="標楷體" w:eastAsia="標楷體" w:hAnsi="標楷體" w:hint="eastAsia"/>
          <w:bCs/>
          <w:sz w:val="28"/>
          <w:szCs w:val="36"/>
        </w:rPr>
        <w:t>。</w:t>
      </w:r>
    </w:p>
    <w:p w14:paraId="27E2FD03" w14:textId="77777777" w:rsidR="005D68EB" w:rsidRPr="00C37B15" w:rsidRDefault="005D68EB" w:rsidP="009C4EE0">
      <w:pPr>
        <w:pStyle w:val="af4"/>
        <w:numPr>
          <w:ilvl w:val="2"/>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Pr>
          <w:rFonts w:ascii="標楷體" w:eastAsia="標楷體" w:hAnsi="標楷體"/>
          <w:bCs/>
          <w:sz w:val="28"/>
          <w:szCs w:val="36"/>
        </w:rPr>
        <w:t>核能</w:t>
      </w:r>
      <w:r w:rsidRPr="00C37B15">
        <w:rPr>
          <w:rFonts w:ascii="標楷體" w:eastAsia="標楷體" w:hAnsi="標楷體"/>
          <w:bCs/>
          <w:sz w:val="28"/>
          <w:szCs w:val="36"/>
        </w:rPr>
        <w:t>防災</w:t>
      </w:r>
      <w:r w:rsidRPr="00C37B15">
        <w:rPr>
          <w:rFonts w:ascii="標楷體" w:eastAsia="標楷體" w:hAnsi="標楷體" w:hint="eastAsia"/>
          <w:bCs/>
          <w:sz w:val="28"/>
          <w:szCs w:val="36"/>
        </w:rPr>
        <w:t>：</w:t>
      </w:r>
      <w:r w:rsidRPr="00C37B15">
        <w:rPr>
          <w:rFonts w:ascii="標楷體" w:eastAsia="標楷體" w:hAnsi="標楷體"/>
          <w:bCs/>
          <w:sz w:val="28"/>
          <w:szCs w:val="36"/>
        </w:rPr>
        <w:t>依據地域防災計畫(</w:t>
      </w:r>
      <w:r>
        <w:rPr>
          <w:rFonts w:ascii="標楷體" w:eastAsia="標楷體" w:hAnsi="標楷體"/>
          <w:bCs/>
          <w:sz w:val="28"/>
          <w:szCs w:val="36"/>
        </w:rPr>
        <w:t>核能</w:t>
      </w:r>
      <w:r w:rsidRPr="00C37B15">
        <w:rPr>
          <w:rFonts w:ascii="標楷體" w:eastAsia="標楷體" w:hAnsi="標楷體"/>
          <w:bCs/>
          <w:sz w:val="28"/>
          <w:szCs w:val="36"/>
        </w:rPr>
        <w:t>災害對策計畫編)，整備防災體制及資訊網路</w:t>
      </w:r>
      <w:r w:rsidRPr="00C37B15">
        <w:rPr>
          <w:rFonts w:ascii="標楷體" w:eastAsia="標楷體" w:hAnsi="標楷體" w:hint="eastAsia"/>
          <w:bCs/>
          <w:sz w:val="28"/>
          <w:szCs w:val="36"/>
        </w:rPr>
        <w:t>。</w:t>
      </w:r>
    </w:p>
    <w:p w14:paraId="4A113747" w14:textId="77777777" w:rsidR="005D68EB" w:rsidRPr="00C37B15" w:rsidRDefault="005D68EB" w:rsidP="009C4EE0">
      <w:pPr>
        <w:pStyle w:val="af4"/>
        <w:numPr>
          <w:ilvl w:val="3"/>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C37B15">
        <w:rPr>
          <w:rFonts w:ascii="標楷體" w:eastAsia="標楷體" w:hAnsi="標楷體"/>
          <w:bCs/>
          <w:sz w:val="28"/>
          <w:szCs w:val="36"/>
        </w:rPr>
        <w:t>實施</w:t>
      </w:r>
      <w:r>
        <w:rPr>
          <w:rFonts w:ascii="標楷體" w:eastAsia="標楷體" w:hAnsi="標楷體"/>
          <w:bCs/>
          <w:sz w:val="28"/>
          <w:szCs w:val="36"/>
        </w:rPr>
        <w:t>核能</w:t>
      </w:r>
      <w:r w:rsidRPr="00C37B15">
        <w:rPr>
          <w:rFonts w:ascii="標楷體" w:eastAsia="標楷體" w:hAnsi="標楷體"/>
          <w:bCs/>
          <w:sz w:val="28"/>
          <w:szCs w:val="36"/>
        </w:rPr>
        <w:t>防災訓練</w:t>
      </w:r>
      <w:r>
        <w:rPr>
          <w:rFonts w:ascii="標楷體" w:eastAsia="標楷體" w:hAnsi="標楷體" w:hint="eastAsia"/>
          <w:bCs/>
          <w:sz w:val="28"/>
          <w:szCs w:val="36"/>
        </w:rPr>
        <w:t>。</w:t>
      </w:r>
    </w:p>
    <w:p w14:paraId="11827ACF" w14:textId="77777777" w:rsidR="005D68EB" w:rsidRPr="00C37B15" w:rsidRDefault="005D68EB" w:rsidP="009C4EE0">
      <w:pPr>
        <w:pStyle w:val="af4"/>
        <w:numPr>
          <w:ilvl w:val="3"/>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C37B15">
        <w:rPr>
          <w:rFonts w:ascii="標楷體" w:eastAsia="標楷體" w:hAnsi="標楷體"/>
          <w:bCs/>
          <w:sz w:val="28"/>
          <w:szCs w:val="36"/>
        </w:rPr>
        <w:t>營運茨城縣</w:t>
      </w:r>
      <w:r>
        <w:rPr>
          <w:rFonts w:ascii="標楷體" w:eastAsia="標楷體" w:hAnsi="標楷體"/>
          <w:bCs/>
          <w:sz w:val="28"/>
          <w:szCs w:val="36"/>
        </w:rPr>
        <w:t>核能</w:t>
      </w:r>
      <w:r w:rsidRPr="00C37B15">
        <w:rPr>
          <w:rFonts w:ascii="標楷體" w:eastAsia="標楷體" w:hAnsi="標楷體"/>
          <w:bCs/>
          <w:sz w:val="28"/>
          <w:szCs w:val="36"/>
        </w:rPr>
        <w:t>場外應變中心，並整備整合</w:t>
      </w:r>
      <w:r>
        <w:rPr>
          <w:rFonts w:ascii="標楷體" w:eastAsia="標楷體" w:hAnsi="標楷體"/>
          <w:bCs/>
          <w:sz w:val="28"/>
          <w:szCs w:val="36"/>
        </w:rPr>
        <w:t>核能</w:t>
      </w:r>
      <w:r w:rsidRPr="00C37B15">
        <w:rPr>
          <w:rFonts w:ascii="標楷體" w:eastAsia="標楷體" w:hAnsi="標楷體"/>
          <w:bCs/>
          <w:sz w:val="28"/>
          <w:szCs w:val="36"/>
        </w:rPr>
        <w:t>防災網路系統</w:t>
      </w:r>
      <w:r>
        <w:rPr>
          <w:rFonts w:ascii="標楷體" w:eastAsia="標楷體" w:hAnsi="標楷體" w:hint="eastAsia"/>
          <w:bCs/>
          <w:sz w:val="28"/>
          <w:szCs w:val="36"/>
        </w:rPr>
        <w:t>。</w:t>
      </w:r>
    </w:p>
    <w:p w14:paraId="55AE0CC6" w14:textId="77777777" w:rsidR="005D68EB" w:rsidRPr="00C37B15" w:rsidRDefault="005D68EB" w:rsidP="009C4EE0">
      <w:pPr>
        <w:pStyle w:val="af4"/>
        <w:numPr>
          <w:ilvl w:val="3"/>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C37B15">
        <w:rPr>
          <w:rFonts w:ascii="標楷體" w:eastAsia="標楷體" w:hAnsi="標楷體"/>
          <w:bCs/>
          <w:sz w:val="28"/>
          <w:szCs w:val="36"/>
        </w:rPr>
        <w:t>加強防災相關人員的教育、研修及防災資機材的整備</w:t>
      </w:r>
      <w:r>
        <w:rPr>
          <w:rFonts w:ascii="標楷體" w:eastAsia="標楷體" w:hAnsi="標楷體" w:hint="eastAsia"/>
          <w:bCs/>
          <w:sz w:val="28"/>
          <w:szCs w:val="36"/>
        </w:rPr>
        <w:t>。</w:t>
      </w:r>
    </w:p>
    <w:p w14:paraId="112CDCE7" w14:textId="77777777" w:rsidR="005D68EB" w:rsidRPr="00C37B15" w:rsidRDefault="005D68EB" w:rsidP="009C4EE0">
      <w:pPr>
        <w:pStyle w:val="af4"/>
        <w:numPr>
          <w:ilvl w:val="2"/>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Pr>
          <w:rFonts w:ascii="標楷體" w:eastAsia="標楷體" w:hAnsi="標楷體"/>
          <w:bCs/>
          <w:sz w:val="28"/>
          <w:szCs w:val="36"/>
        </w:rPr>
        <w:t>核能</w:t>
      </w:r>
      <w:r w:rsidRPr="00C37B15">
        <w:rPr>
          <w:rFonts w:ascii="標楷體" w:eastAsia="標楷體" w:hAnsi="標楷體"/>
          <w:bCs/>
          <w:sz w:val="28"/>
          <w:szCs w:val="36"/>
        </w:rPr>
        <w:t>宣傳</w:t>
      </w:r>
      <w:r w:rsidRPr="00C37B15">
        <w:rPr>
          <w:rFonts w:ascii="標楷體" w:eastAsia="標楷體" w:hAnsi="標楷體" w:hint="eastAsia"/>
          <w:bCs/>
          <w:sz w:val="28"/>
          <w:szCs w:val="36"/>
        </w:rPr>
        <w:t>：</w:t>
      </w:r>
      <w:r w:rsidRPr="00C37B15">
        <w:rPr>
          <w:rFonts w:ascii="標楷體" w:eastAsia="標楷體" w:hAnsi="標楷體"/>
          <w:bCs/>
          <w:sz w:val="28"/>
          <w:szCs w:val="36"/>
        </w:rPr>
        <w:t>為普及</w:t>
      </w:r>
      <w:r>
        <w:rPr>
          <w:rFonts w:ascii="標楷體" w:eastAsia="標楷體" w:hAnsi="標楷體"/>
          <w:bCs/>
          <w:sz w:val="28"/>
          <w:szCs w:val="36"/>
        </w:rPr>
        <w:t>核能</w:t>
      </w:r>
      <w:r w:rsidRPr="00C37B15">
        <w:rPr>
          <w:rFonts w:ascii="標楷體" w:eastAsia="標楷體" w:hAnsi="標楷體"/>
          <w:bCs/>
          <w:sz w:val="28"/>
          <w:szCs w:val="36"/>
        </w:rPr>
        <w:t>相關知識，展開宣傳活動</w:t>
      </w:r>
      <w:r w:rsidRPr="00C37B15">
        <w:rPr>
          <w:rFonts w:ascii="標楷體" w:eastAsia="標楷體" w:hAnsi="標楷體" w:hint="eastAsia"/>
          <w:bCs/>
          <w:sz w:val="28"/>
          <w:szCs w:val="36"/>
        </w:rPr>
        <w:t>。</w:t>
      </w:r>
    </w:p>
    <w:p w14:paraId="01233CA6" w14:textId="77777777" w:rsidR="005D68EB" w:rsidRPr="00C37B15" w:rsidRDefault="005D68EB" w:rsidP="009C4EE0">
      <w:pPr>
        <w:pStyle w:val="af4"/>
        <w:numPr>
          <w:ilvl w:val="3"/>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C37B15">
        <w:rPr>
          <w:rFonts w:ascii="標楷體" w:eastAsia="標楷體" w:hAnsi="標楷體"/>
          <w:bCs/>
          <w:sz w:val="28"/>
          <w:szCs w:val="36"/>
        </w:rPr>
        <w:t>與公益社團法人茨城</w:t>
      </w:r>
      <w:r>
        <w:rPr>
          <w:rFonts w:ascii="標楷體" w:eastAsia="標楷體" w:hAnsi="標楷體"/>
          <w:bCs/>
          <w:sz w:val="28"/>
          <w:szCs w:val="36"/>
        </w:rPr>
        <w:t>核能</w:t>
      </w:r>
      <w:r w:rsidRPr="00C37B15">
        <w:rPr>
          <w:rFonts w:ascii="標楷體" w:eastAsia="標楷體" w:hAnsi="標楷體"/>
          <w:bCs/>
          <w:sz w:val="28"/>
          <w:szCs w:val="36"/>
        </w:rPr>
        <w:t>協議會合作，推動普及啟發事業</w:t>
      </w:r>
      <w:r>
        <w:rPr>
          <w:rFonts w:ascii="標楷體" w:eastAsia="標楷體" w:hAnsi="標楷體" w:hint="eastAsia"/>
          <w:bCs/>
          <w:sz w:val="28"/>
          <w:szCs w:val="36"/>
        </w:rPr>
        <w:t>。</w:t>
      </w:r>
    </w:p>
    <w:p w14:paraId="3FDA5EA8" w14:textId="77777777" w:rsidR="005D68EB" w:rsidRPr="00C37B15" w:rsidRDefault="005D68EB" w:rsidP="009C4EE0">
      <w:pPr>
        <w:pStyle w:val="af4"/>
        <w:numPr>
          <w:ilvl w:val="3"/>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C37B15">
        <w:rPr>
          <w:rFonts w:ascii="標楷體" w:eastAsia="標楷體" w:hAnsi="標楷體"/>
          <w:bCs/>
          <w:sz w:val="28"/>
          <w:szCs w:val="36"/>
        </w:rPr>
        <w:t>以兒童、學生為對象，普及</w:t>
      </w:r>
      <w:r>
        <w:rPr>
          <w:rFonts w:ascii="標楷體" w:eastAsia="標楷體" w:hAnsi="標楷體"/>
          <w:bCs/>
          <w:sz w:val="28"/>
          <w:szCs w:val="36"/>
        </w:rPr>
        <w:t>核能</w:t>
      </w:r>
      <w:r w:rsidRPr="00C37B15">
        <w:rPr>
          <w:rFonts w:ascii="標楷體" w:eastAsia="標楷體" w:hAnsi="標楷體"/>
          <w:bCs/>
          <w:sz w:val="28"/>
          <w:szCs w:val="36"/>
        </w:rPr>
        <w:t>基礎知識</w:t>
      </w:r>
      <w:r>
        <w:rPr>
          <w:rFonts w:ascii="標楷體" w:eastAsia="標楷體" w:hAnsi="標楷體" w:hint="eastAsia"/>
          <w:bCs/>
          <w:sz w:val="28"/>
          <w:szCs w:val="36"/>
        </w:rPr>
        <w:t>。</w:t>
      </w:r>
    </w:p>
    <w:p w14:paraId="376E2F45" w14:textId="77777777" w:rsidR="005D68EB" w:rsidRPr="00C37B15" w:rsidRDefault="005D68EB" w:rsidP="009C4EE0">
      <w:pPr>
        <w:pStyle w:val="af4"/>
        <w:numPr>
          <w:ilvl w:val="3"/>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C37B15">
        <w:rPr>
          <w:rFonts w:ascii="標楷體" w:eastAsia="標楷體" w:hAnsi="標楷體"/>
          <w:bCs/>
          <w:sz w:val="28"/>
          <w:szCs w:val="36"/>
        </w:rPr>
        <w:t>支援市町村的宣傳活動</w:t>
      </w:r>
      <w:r>
        <w:rPr>
          <w:rFonts w:ascii="標楷體" w:eastAsia="標楷體" w:hAnsi="標楷體" w:hint="eastAsia"/>
          <w:bCs/>
          <w:sz w:val="28"/>
          <w:szCs w:val="36"/>
        </w:rPr>
        <w:t>。</w:t>
      </w:r>
    </w:p>
    <w:p w14:paraId="19184003" w14:textId="77777777" w:rsidR="005D68EB" w:rsidRPr="00C10964" w:rsidRDefault="005D68EB" w:rsidP="009C4EE0">
      <w:pPr>
        <w:pStyle w:val="af4"/>
        <w:numPr>
          <w:ilvl w:val="2"/>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Pr>
          <w:rFonts w:ascii="標楷體" w:eastAsia="標楷體" w:hAnsi="標楷體" w:hint="eastAsia"/>
          <w:bCs/>
          <w:sz w:val="28"/>
          <w:szCs w:val="36"/>
        </w:rPr>
        <w:t>施政</w:t>
      </w:r>
      <w:r w:rsidRPr="00C10964">
        <w:rPr>
          <w:rFonts w:ascii="標楷體" w:eastAsia="標楷體" w:hAnsi="標楷體"/>
          <w:bCs/>
          <w:sz w:val="28"/>
          <w:szCs w:val="36"/>
        </w:rPr>
        <w:t>基本計畫</w:t>
      </w:r>
    </w:p>
    <w:p w14:paraId="525C73AD" w14:textId="77777777" w:rsidR="005D68EB" w:rsidRPr="00C10964" w:rsidRDefault="005D68EB" w:rsidP="009C4EE0">
      <w:pPr>
        <w:pStyle w:val="af4"/>
        <w:numPr>
          <w:ilvl w:val="3"/>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C10964">
        <w:rPr>
          <w:rFonts w:ascii="標楷體" w:eastAsia="標楷體" w:hAnsi="標楷體"/>
          <w:bCs/>
          <w:sz w:val="28"/>
          <w:szCs w:val="36"/>
        </w:rPr>
        <w:t>關於</w:t>
      </w:r>
      <w:r>
        <w:rPr>
          <w:rFonts w:ascii="標楷體" w:eastAsia="標楷體" w:hAnsi="標楷體"/>
          <w:bCs/>
          <w:sz w:val="28"/>
          <w:szCs w:val="36"/>
        </w:rPr>
        <w:t>核能</w:t>
      </w:r>
      <w:r w:rsidRPr="00C10964">
        <w:rPr>
          <w:rFonts w:ascii="標楷體" w:eastAsia="標楷體" w:hAnsi="標楷體"/>
          <w:bCs/>
          <w:sz w:val="28"/>
          <w:szCs w:val="36"/>
        </w:rPr>
        <w:t>設施周邊安全確保及環境保護協定</w:t>
      </w:r>
      <w:r>
        <w:rPr>
          <w:rFonts w:ascii="標楷體" w:eastAsia="標楷體" w:hAnsi="標楷體"/>
          <w:bCs/>
          <w:sz w:val="28"/>
          <w:szCs w:val="36"/>
        </w:rPr>
        <w:t>(核能</w:t>
      </w:r>
      <w:r w:rsidRPr="00C10964">
        <w:rPr>
          <w:rFonts w:ascii="標楷體" w:eastAsia="標楷體" w:hAnsi="標楷體"/>
          <w:bCs/>
          <w:sz w:val="28"/>
          <w:szCs w:val="36"/>
        </w:rPr>
        <w:t>安全協定</w:t>
      </w:r>
      <w:r>
        <w:rPr>
          <w:rFonts w:ascii="標楷體" w:eastAsia="標楷體" w:hAnsi="標楷體"/>
          <w:bCs/>
          <w:sz w:val="28"/>
          <w:szCs w:val="36"/>
        </w:rPr>
        <w:t>)</w:t>
      </w:r>
      <w:r>
        <w:rPr>
          <w:rFonts w:ascii="標楷體" w:eastAsia="標楷體" w:hAnsi="標楷體" w:hint="eastAsia"/>
          <w:bCs/>
          <w:sz w:val="28"/>
          <w:szCs w:val="36"/>
        </w:rPr>
        <w:t>。</w:t>
      </w:r>
    </w:p>
    <w:p w14:paraId="3FCEA3B7" w14:textId="77777777" w:rsidR="005D68EB" w:rsidRPr="00C10964" w:rsidRDefault="005D68EB" w:rsidP="009C4EE0">
      <w:pPr>
        <w:pStyle w:val="af4"/>
        <w:numPr>
          <w:ilvl w:val="3"/>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C10964">
        <w:rPr>
          <w:rFonts w:ascii="標楷體" w:eastAsia="標楷體" w:hAnsi="標楷體"/>
          <w:bCs/>
          <w:sz w:val="28"/>
          <w:szCs w:val="36"/>
        </w:rPr>
        <w:t>關於</w:t>
      </w:r>
      <w:r>
        <w:rPr>
          <w:rFonts w:ascii="標楷體" w:eastAsia="標楷體" w:hAnsi="標楷體"/>
          <w:bCs/>
          <w:sz w:val="28"/>
          <w:szCs w:val="36"/>
        </w:rPr>
        <w:t>核能</w:t>
      </w:r>
      <w:r w:rsidRPr="00C10964">
        <w:rPr>
          <w:rFonts w:ascii="標楷體" w:eastAsia="標楷體" w:hAnsi="標楷體"/>
          <w:bCs/>
          <w:sz w:val="28"/>
          <w:szCs w:val="36"/>
        </w:rPr>
        <w:t>事業所鄰近市町村區域</w:t>
      </w:r>
      <w:r>
        <w:rPr>
          <w:rFonts w:ascii="標楷體" w:eastAsia="標楷體" w:hAnsi="標楷體"/>
          <w:bCs/>
          <w:sz w:val="28"/>
          <w:szCs w:val="36"/>
        </w:rPr>
        <w:t>(</w:t>
      </w:r>
      <w:r w:rsidRPr="00C10964">
        <w:rPr>
          <w:rFonts w:ascii="標楷體" w:eastAsia="標楷體" w:hAnsi="標楷體"/>
          <w:bCs/>
          <w:sz w:val="28"/>
          <w:szCs w:val="36"/>
        </w:rPr>
        <w:t>周邊市町村區域</w:t>
      </w:r>
      <w:r>
        <w:rPr>
          <w:rFonts w:ascii="標楷體" w:eastAsia="標楷體" w:hAnsi="標楷體"/>
          <w:bCs/>
          <w:sz w:val="28"/>
          <w:szCs w:val="36"/>
        </w:rPr>
        <w:t>)</w:t>
      </w:r>
      <w:r w:rsidRPr="00C10964">
        <w:rPr>
          <w:rFonts w:ascii="標楷體" w:eastAsia="標楷體" w:hAnsi="標楷體"/>
          <w:bCs/>
          <w:sz w:val="28"/>
          <w:szCs w:val="36"/>
        </w:rPr>
        <w:t>安全確保通報聯絡等協定</w:t>
      </w:r>
      <w:r>
        <w:rPr>
          <w:rFonts w:ascii="標楷體" w:eastAsia="標楷體" w:hAnsi="標楷體"/>
          <w:bCs/>
          <w:sz w:val="28"/>
          <w:szCs w:val="36"/>
        </w:rPr>
        <w:t>(</w:t>
      </w:r>
      <w:r w:rsidRPr="00C10964">
        <w:rPr>
          <w:rFonts w:ascii="標楷體" w:eastAsia="標楷體" w:hAnsi="標楷體"/>
          <w:bCs/>
          <w:sz w:val="28"/>
          <w:szCs w:val="36"/>
        </w:rPr>
        <w:t>通報聯絡協定</w:t>
      </w:r>
      <w:r>
        <w:rPr>
          <w:rFonts w:ascii="標楷體" w:eastAsia="標楷體" w:hAnsi="標楷體"/>
          <w:bCs/>
          <w:sz w:val="28"/>
          <w:szCs w:val="36"/>
        </w:rPr>
        <w:t>)</w:t>
      </w:r>
      <w:r>
        <w:rPr>
          <w:rFonts w:ascii="標楷體" w:eastAsia="標楷體" w:hAnsi="標楷體" w:hint="eastAsia"/>
          <w:bCs/>
          <w:sz w:val="28"/>
          <w:szCs w:val="36"/>
        </w:rPr>
        <w:t>。</w:t>
      </w:r>
    </w:p>
    <w:p w14:paraId="756B8496" w14:textId="77777777" w:rsidR="005D68EB" w:rsidRPr="00C10964" w:rsidRDefault="005D68EB" w:rsidP="009C4EE0">
      <w:pPr>
        <w:pStyle w:val="af4"/>
        <w:numPr>
          <w:ilvl w:val="3"/>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C10964">
        <w:rPr>
          <w:rFonts w:ascii="標楷體" w:eastAsia="標楷體" w:hAnsi="標楷體"/>
          <w:bCs/>
          <w:sz w:val="28"/>
          <w:szCs w:val="36"/>
        </w:rPr>
        <w:t>關於再處理及照射後試驗使用過燃料輸送安全確保協定</w:t>
      </w:r>
      <w:r>
        <w:rPr>
          <w:rFonts w:ascii="標楷體" w:eastAsia="標楷體" w:hAnsi="標楷體"/>
          <w:bCs/>
          <w:sz w:val="28"/>
          <w:szCs w:val="36"/>
        </w:rPr>
        <w:t>(</w:t>
      </w:r>
      <w:r w:rsidRPr="00C10964">
        <w:rPr>
          <w:rFonts w:ascii="標楷體" w:eastAsia="標楷體" w:hAnsi="標楷體"/>
          <w:bCs/>
          <w:sz w:val="28"/>
          <w:szCs w:val="36"/>
        </w:rPr>
        <w:t>使用過燃料輸送協定</w:t>
      </w:r>
      <w:r>
        <w:rPr>
          <w:rFonts w:ascii="標楷體" w:eastAsia="標楷體" w:hAnsi="標楷體"/>
          <w:bCs/>
          <w:sz w:val="28"/>
          <w:szCs w:val="36"/>
        </w:rPr>
        <w:t>)</w:t>
      </w:r>
      <w:r>
        <w:rPr>
          <w:rFonts w:ascii="標楷體" w:eastAsia="標楷體" w:hAnsi="標楷體" w:hint="eastAsia"/>
          <w:bCs/>
          <w:sz w:val="28"/>
          <w:szCs w:val="36"/>
        </w:rPr>
        <w:t>。</w:t>
      </w:r>
    </w:p>
    <w:p w14:paraId="38CA57EB" w14:textId="77777777" w:rsidR="005D68EB" w:rsidRPr="00C10964" w:rsidRDefault="005D68EB" w:rsidP="009C4EE0">
      <w:pPr>
        <w:pStyle w:val="af4"/>
        <w:numPr>
          <w:ilvl w:val="3"/>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C10964">
        <w:rPr>
          <w:rFonts w:ascii="標楷體" w:eastAsia="標楷體" w:hAnsi="標楷體"/>
          <w:bCs/>
          <w:sz w:val="28"/>
          <w:szCs w:val="36"/>
        </w:rPr>
        <w:t>茨城縣環境輻射監測計畫</w:t>
      </w:r>
      <w:r>
        <w:rPr>
          <w:rFonts w:ascii="標楷體" w:eastAsia="標楷體" w:hAnsi="標楷體" w:hint="eastAsia"/>
          <w:bCs/>
          <w:sz w:val="28"/>
          <w:szCs w:val="36"/>
        </w:rPr>
        <w:t>。</w:t>
      </w:r>
    </w:p>
    <w:p w14:paraId="459B9BBA" w14:textId="77777777" w:rsidR="005D68EB" w:rsidRPr="00C10964" w:rsidRDefault="005D68EB" w:rsidP="009C4EE0">
      <w:pPr>
        <w:pStyle w:val="af4"/>
        <w:numPr>
          <w:ilvl w:val="3"/>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C10964">
        <w:rPr>
          <w:rFonts w:ascii="標楷體" w:eastAsia="標楷體" w:hAnsi="標楷體"/>
          <w:bCs/>
          <w:sz w:val="28"/>
          <w:szCs w:val="36"/>
        </w:rPr>
        <w:t>茨城縣地域防災計畫</w:t>
      </w:r>
      <w:r>
        <w:rPr>
          <w:rFonts w:ascii="標楷體" w:eastAsia="標楷體" w:hAnsi="標楷體"/>
          <w:bCs/>
          <w:sz w:val="28"/>
          <w:szCs w:val="36"/>
        </w:rPr>
        <w:t>(核能</w:t>
      </w:r>
      <w:r w:rsidRPr="00C10964">
        <w:rPr>
          <w:rFonts w:ascii="標楷體" w:eastAsia="標楷體" w:hAnsi="標楷體"/>
          <w:bCs/>
          <w:sz w:val="28"/>
          <w:szCs w:val="36"/>
        </w:rPr>
        <w:t>災害對策計畫編</w:t>
      </w:r>
      <w:r>
        <w:rPr>
          <w:rFonts w:ascii="標楷體" w:eastAsia="標楷體" w:hAnsi="標楷體"/>
          <w:bCs/>
          <w:sz w:val="28"/>
          <w:szCs w:val="36"/>
        </w:rPr>
        <w:t>)</w:t>
      </w:r>
      <w:r>
        <w:rPr>
          <w:rFonts w:ascii="標楷體" w:eastAsia="標楷體" w:hAnsi="標楷體" w:hint="eastAsia"/>
          <w:bCs/>
          <w:sz w:val="28"/>
          <w:szCs w:val="36"/>
        </w:rPr>
        <w:t>。</w:t>
      </w:r>
    </w:p>
    <w:p w14:paraId="7DB201BD" w14:textId="77777777" w:rsidR="005D68EB" w:rsidRPr="00C10964" w:rsidRDefault="005D68EB" w:rsidP="009C4EE0">
      <w:pPr>
        <w:pStyle w:val="af4"/>
        <w:numPr>
          <w:ilvl w:val="3"/>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C10964">
        <w:rPr>
          <w:rFonts w:ascii="標楷體" w:eastAsia="標楷體" w:hAnsi="標楷體"/>
          <w:bCs/>
          <w:sz w:val="28"/>
          <w:szCs w:val="36"/>
        </w:rPr>
        <w:t>因應</w:t>
      </w:r>
      <w:r>
        <w:rPr>
          <w:rFonts w:ascii="標楷體" w:eastAsia="標楷體" w:hAnsi="標楷體"/>
          <w:bCs/>
          <w:sz w:val="28"/>
          <w:szCs w:val="36"/>
        </w:rPr>
        <w:t>核能</w:t>
      </w:r>
      <w:r w:rsidRPr="00C10964">
        <w:rPr>
          <w:rFonts w:ascii="標楷體" w:eastAsia="標楷體" w:hAnsi="標楷體"/>
          <w:bCs/>
          <w:sz w:val="28"/>
          <w:szCs w:val="36"/>
        </w:rPr>
        <w:t>災害的茨城縣廣域避難計畫</w:t>
      </w:r>
      <w:r>
        <w:rPr>
          <w:rFonts w:ascii="標楷體" w:eastAsia="標楷體" w:hAnsi="標楷體" w:hint="eastAsia"/>
          <w:bCs/>
          <w:sz w:val="28"/>
          <w:szCs w:val="36"/>
        </w:rPr>
        <w:t>。</w:t>
      </w:r>
    </w:p>
    <w:p w14:paraId="30F9A154" w14:textId="77777777" w:rsidR="005D68EB" w:rsidRPr="00C365B6" w:rsidRDefault="005D68EB" w:rsidP="009C4EE0">
      <w:pPr>
        <w:numPr>
          <w:ilvl w:val="1"/>
          <w:numId w:val="19"/>
        </w:numPr>
        <w:tabs>
          <w:tab w:val="left" w:pos="-1920"/>
        </w:tabs>
        <w:snapToGrid w:val="0"/>
        <w:spacing w:beforeLines="15" w:before="36" w:afterLines="15" w:after="36" w:line="440" w:lineRule="exact"/>
        <w:jc w:val="both"/>
        <w:outlineLvl w:val="2"/>
        <w:rPr>
          <w:rFonts w:ascii="標楷體" w:eastAsia="標楷體" w:hAnsi="標楷體"/>
          <w:bCs/>
          <w:sz w:val="28"/>
          <w:szCs w:val="36"/>
        </w:rPr>
      </w:pPr>
      <w:r w:rsidRPr="00C365B6">
        <w:rPr>
          <w:rFonts w:ascii="標楷體" w:eastAsia="標楷體" w:hAnsi="標楷體"/>
          <w:bCs/>
          <w:sz w:val="28"/>
          <w:szCs w:val="36"/>
        </w:rPr>
        <w:lastRenderedPageBreak/>
        <w:t>茨城縣組織體制</w:t>
      </w:r>
    </w:p>
    <w:p w14:paraId="73AEDC1E" w14:textId="77777777" w:rsidR="005D68EB" w:rsidRPr="00C365B6" w:rsidRDefault="005D68EB" w:rsidP="009C4EE0">
      <w:pPr>
        <w:pStyle w:val="af4"/>
        <w:numPr>
          <w:ilvl w:val="2"/>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C365B6">
        <w:rPr>
          <w:rFonts w:ascii="標楷體" w:eastAsia="標楷體" w:hAnsi="標楷體"/>
          <w:bCs/>
          <w:sz w:val="28"/>
          <w:szCs w:val="36"/>
        </w:rPr>
        <w:t>茨城縣</w:t>
      </w:r>
      <w:r>
        <w:rPr>
          <w:rFonts w:ascii="標楷體" w:eastAsia="標楷體" w:hAnsi="標楷體"/>
          <w:bCs/>
          <w:sz w:val="28"/>
          <w:szCs w:val="36"/>
        </w:rPr>
        <w:t>核能</w:t>
      </w:r>
      <w:r w:rsidRPr="00C365B6">
        <w:rPr>
          <w:rFonts w:ascii="標楷體" w:eastAsia="標楷體" w:hAnsi="標楷體"/>
          <w:bCs/>
          <w:sz w:val="28"/>
          <w:szCs w:val="36"/>
        </w:rPr>
        <w:t>審議會</w:t>
      </w:r>
    </w:p>
    <w:p w14:paraId="163F6B7A" w14:textId="77777777" w:rsidR="005D68EB" w:rsidRPr="00C365B6" w:rsidRDefault="005D68EB" w:rsidP="009C4EE0">
      <w:pPr>
        <w:pStyle w:val="af4"/>
        <w:numPr>
          <w:ilvl w:val="3"/>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C365B6">
        <w:rPr>
          <w:rFonts w:ascii="標楷體" w:eastAsia="標楷體" w:hAnsi="標楷體"/>
          <w:bCs/>
          <w:sz w:val="28"/>
          <w:szCs w:val="36"/>
        </w:rPr>
        <w:t>委員</w:t>
      </w:r>
      <w:r w:rsidRPr="00C365B6">
        <w:rPr>
          <w:rFonts w:ascii="標楷體" w:eastAsia="標楷體" w:hAnsi="標楷體" w:hint="eastAsia"/>
          <w:bCs/>
          <w:sz w:val="28"/>
          <w:szCs w:val="36"/>
        </w:rPr>
        <w:t>：</w:t>
      </w:r>
      <w:r w:rsidRPr="00C365B6">
        <w:rPr>
          <w:rFonts w:ascii="標楷體" w:eastAsia="標楷體" w:hAnsi="標楷體"/>
          <w:bCs/>
          <w:sz w:val="28"/>
          <w:szCs w:val="36"/>
        </w:rPr>
        <w:t>縣議員、學術經驗者、相關市町村長</w:t>
      </w:r>
      <w:r>
        <w:rPr>
          <w:rFonts w:ascii="標楷體" w:eastAsia="標楷體" w:hAnsi="標楷體" w:hint="eastAsia"/>
          <w:bCs/>
          <w:sz w:val="28"/>
          <w:szCs w:val="36"/>
        </w:rPr>
        <w:t>，</w:t>
      </w:r>
      <w:r w:rsidRPr="00C365B6">
        <w:rPr>
          <w:rFonts w:ascii="標楷體" w:eastAsia="標楷體" w:hAnsi="標楷體"/>
          <w:bCs/>
          <w:sz w:val="28"/>
          <w:szCs w:val="36"/>
        </w:rPr>
        <w:t>共23名</w:t>
      </w:r>
      <w:r>
        <w:rPr>
          <w:rFonts w:ascii="標楷體" w:eastAsia="標楷體" w:hAnsi="標楷體" w:hint="eastAsia"/>
          <w:bCs/>
          <w:sz w:val="28"/>
          <w:szCs w:val="36"/>
        </w:rPr>
        <w:t>。</w:t>
      </w:r>
    </w:p>
    <w:p w14:paraId="1A0AF579" w14:textId="77777777" w:rsidR="005D68EB" w:rsidRPr="00C365B6" w:rsidRDefault="005D68EB" w:rsidP="009C4EE0">
      <w:pPr>
        <w:pStyle w:val="af4"/>
        <w:numPr>
          <w:ilvl w:val="3"/>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C365B6">
        <w:rPr>
          <w:rFonts w:ascii="標楷體" w:eastAsia="標楷體" w:hAnsi="標楷體"/>
          <w:bCs/>
          <w:sz w:val="28"/>
          <w:szCs w:val="36"/>
        </w:rPr>
        <w:t>擔任事項</w:t>
      </w:r>
      <w:r w:rsidRPr="00C365B6">
        <w:rPr>
          <w:rFonts w:ascii="標楷體" w:eastAsia="標楷體" w:hAnsi="標楷體" w:hint="eastAsia"/>
          <w:bCs/>
          <w:sz w:val="28"/>
          <w:szCs w:val="36"/>
        </w:rPr>
        <w:t>：</w:t>
      </w:r>
      <w:r w:rsidRPr="00C365B6">
        <w:rPr>
          <w:rFonts w:ascii="標楷體" w:eastAsia="標楷體" w:hAnsi="標楷體"/>
          <w:bCs/>
          <w:sz w:val="28"/>
          <w:szCs w:val="36"/>
        </w:rPr>
        <w:t>調查審議下列事項</w:t>
      </w:r>
      <w:r>
        <w:rPr>
          <w:rFonts w:ascii="標楷體" w:eastAsia="標楷體" w:hAnsi="標楷體" w:hint="eastAsia"/>
          <w:bCs/>
          <w:sz w:val="28"/>
          <w:szCs w:val="36"/>
        </w:rPr>
        <w:t>。</w:t>
      </w:r>
    </w:p>
    <w:p w14:paraId="3177E7BE" w14:textId="77777777" w:rsidR="005D68EB" w:rsidRPr="00C365B6" w:rsidRDefault="005D68EB" w:rsidP="009C4EE0">
      <w:pPr>
        <w:pStyle w:val="af4"/>
        <w:numPr>
          <w:ilvl w:val="4"/>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Pr>
          <w:rFonts w:ascii="標楷體" w:eastAsia="標楷體" w:hAnsi="標楷體"/>
          <w:bCs/>
          <w:sz w:val="28"/>
          <w:szCs w:val="36"/>
        </w:rPr>
        <w:t>核能</w:t>
      </w:r>
      <w:r w:rsidRPr="00C365B6">
        <w:rPr>
          <w:rFonts w:ascii="標楷體" w:eastAsia="標楷體" w:hAnsi="標楷體"/>
          <w:bCs/>
          <w:sz w:val="28"/>
          <w:szCs w:val="36"/>
        </w:rPr>
        <w:t>政策基本方針</w:t>
      </w:r>
      <w:r>
        <w:rPr>
          <w:rFonts w:ascii="標楷體" w:eastAsia="標楷體" w:hAnsi="標楷體" w:hint="eastAsia"/>
          <w:bCs/>
          <w:sz w:val="28"/>
          <w:szCs w:val="36"/>
        </w:rPr>
        <w:t>。</w:t>
      </w:r>
    </w:p>
    <w:p w14:paraId="6002341F" w14:textId="77777777" w:rsidR="005D68EB" w:rsidRPr="00C365B6" w:rsidRDefault="005D68EB" w:rsidP="009C4EE0">
      <w:pPr>
        <w:pStyle w:val="af4"/>
        <w:numPr>
          <w:ilvl w:val="4"/>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Pr>
          <w:rFonts w:ascii="標楷體" w:eastAsia="標楷體" w:hAnsi="標楷體"/>
          <w:bCs/>
          <w:sz w:val="28"/>
          <w:szCs w:val="36"/>
        </w:rPr>
        <w:t>核能</w:t>
      </w:r>
      <w:r w:rsidRPr="00C365B6">
        <w:rPr>
          <w:rFonts w:ascii="標楷體" w:eastAsia="標楷體" w:hAnsi="標楷體"/>
          <w:bCs/>
          <w:sz w:val="28"/>
          <w:szCs w:val="36"/>
        </w:rPr>
        <w:t>開發及利用促進</w:t>
      </w:r>
      <w:r>
        <w:rPr>
          <w:rFonts w:ascii="標楷體" w:eastAsia="標楷體" w:hAnsi="標楷體" w:hint="eastAsia"/>
          <w:bCs/>
          <w:sz w:val="28"/>
          <w:szCs w:val="36"/>
        </w:rPr>
        <w:t>。</w:t>
      </w:r>
    </w:p>
    <w:p w14:paraId="4F9669C5" w14:textId="77777777" w:rsidR="005D68EB" w:rsidRPr="00C365B6" w:rsidRDefault="005D68EB" w:rsidP="009C4EE0">
      <w:pPr>
        <w:pStyle w:val="af4"/>
        <w:numPr>
          <w:ilvl w:val="4"/>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C365B6">
        <w:rPr>
          <w:rFonts w:ascii="標楷體" w:eastAsia="標楷體" w:hAnsi="標楷體"/>
          <w:bCs/>
          <w:sz w:val="28"/>
          <w:szCs w:val="36"/>
        </w:rPr>
        <w:t>輻射障礙防止對策</w:t>
      </w:r>
      <w:r>
        <w:rPr>
          <w:rFonts w:ascii="標楷體" w:eastAsia="標楷體" w:hAnsi="標楷體" w:hint="eastAsia"/>
          <w:bCs/>
          <w:sz w:val="28"/>
          <w:szCs w:val="36"/>
        </w:rPr>
        <w:t>。</w:t>
      </w:r>
    </w:p>
    <w:p w14:paraId="5864829B" w14:textId="77777777" w:rsidR="005D68EB" w:rsidRPr="00C365B6" w:rsidRDefault="005D68EB" w:rsidP="009C4EE0">
      <w:pPr>
        <w:pStyle w:val="af4"/>
        <w:numPr>
          <w:ilvl w:val="4"/>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C365B6">
        <w:rPr>
          <w:rFonts w:ascii="標楷體" w:eastAsia="標楷體" w:hAnsi="標楷體"/>
          <w:bCs/>
          <w:sz w:val="28"/>
          <w:szCs w:val="36"/>
        </w:rPr>
        <w:t>其他必要事項</w:t>
      </w:r>
      <w:r>
        <w:rPr>
          <w:rFonts w:ascii="標楷體" w:eastAsia="標楷體" w:hAnsi="標楷體" w:hint="eastAsia"/>
          <w:bCs/>
          <w:sz w:val="28"/>
          <w:szCs w:val="36"/>
        </w:rPr>
        <w:t>。</w:t>
      </w:r>
    </w:p>
    <w:p w14:paraId="22F35E8F" w14:textId="77777777" w:rsidR="005D68EB" w:rsidRPr="00C365B6" w:rsidRDefault="005D68EB" w:rsidP="009C4EE0">
      <w:pPr>
        <w:pStyle w:val="af4"/>
        <w:numPr>
          <w:ilvl w:val="2"/>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C365B6">
        <w:rPr>
          <w:rFonts w:ascii="標楷體" w:eastAsia="標楷體" w:hAnsi="標楷體"/>
          <w:bCs/>
          <w:sz w:val="28"/>
          <w:szCs w:val="36"/>
        </w:rPr>
        <w:t>茨城縣</w:t>
      </w:r>
      <w:r>
        <w:rPr>
          <w:rFonts w:ascii="標楷體" w:eastAsia="標楷體" w:hAnsi="標楷體"/>
          <w:bCs/>
          <w:sz w:val="28"/>
          <w:szCs w:val="36"/>
        </w:rPr>
        <w:t>核能</w:t>
      </w:r>
      <w:r w:rsidRPr="00C365B6">
        <w:rPr>
          <w:rFonts w:ascii="標楷體" w:eastAsia="標楷體" w:hAnsi="標楷體"/>
          <w:bCs/>
          <w:sz w:val="28"/>
          <w:szCs w:val="36"/>
        </w:rPr>
        <w:t>安全對策委員會</w:t>
      </w:r>
    </w:p>
    <w:p w14:paraId="6D7F5D27" w14:textId="77777777" w:rsidR="005D68EB" w:rsidRPr="00C365B6" w:rsidRDefault="005D68EB" w:rsidP="009C4EE0">
      <w:pPr>
        <w:pStyle w:val="af4"/>
        <w:numPr>
          <w:ilvl w:val="3"/>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C365B6">
        <w:rPr>
          <w:rFonts w:ascii="標楷體" w:eastAsia="標楷體" w:hAnsi="標楷體"/>
          <w:bCs/>
          <w:sz w:val="28"/>
          <w:szCs w:val="36"/>
        </w:rPr>
        <w:t>委員</w:t>
      </w:r>
      <w:r w:rsidRPr="00C365B6">
        <w:rPr>
          <w:rFonts w:ascii="標楷體" w:eastAsia="標楷體" w:hAnsi="標楷體" w:hint="eastAsia"/>
          <w:bCs/>
          <w:sz w:val="28"/>
          <w:szCs w:val="36"/>
        </w:rPr>
        <w:t>：</w:t>
      </w:r>
      <w:r w:rsidRPr="00C365B6">
        <w:rPr>
          <w:rFonts w:ascii="標楷體" w:eastAsia="標楷體" w:hAnsi="標楷體"/>
          <w:bCs/>
          <w:sz w:val="28"/>
          <w:szCs w:val="36"/>
        </w:rPr>
        <w:t>學術經驗者</w:t>
      </w:r>
      <w:r>
        <w:rPr>
          <w:rFonts w:ascii="標楷體" w:eastAsia="標楷體" w:hAnsi="標楷體" w:hint="eastAsia"/>
          <w:bCs/>
          <w:sz w:val="28"/>
          <w:szCs w:val="36"/>
        </w:rPr>
        <w:t>，</w:t>
      </w:r>
      <w:r w:rsidRPr="00C365B6">
        <w:rPr>
          <w:rFonts w:ascii="標楷體" w:eastAsia="標楷體" w:hAnsi="標楷體"/>
          <w:bCs/>
          <w:sz w:val="28"/>
          <w:szCs w:val="36"/>
        </w:rPr>
        <w:t>共14名</w:t>
      </w:r>
      <w:r>
        <w:rPr>
          <w:rFonts w:ascii="標楷體" w:eastAsia="標楷體" w:hAnsi="標楷體" w:hint="eastAsia"/>
          <w:bCs/>
          <w:sz w:val="28"/>
          <w:szCs w:val="36"/>
        </w:rPr>
        <w:t>。</w:t>
      </w:r>
    </w:p>
    <w:p w14:paraId="4A258CC4" w14:textId="77777777" w:rsidR="005D68EB" w:rsidRPr="00C365B6" w:rsidRDefault="005D68EB" w:rsidP="009C4EE0">
      <w:pPr>
        <w:pStyle w:val="af4"/>
        <w:numPr>
          <w:ilvl w:val="3"/>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C365B6">
        <w:rPr>
          <w:rFonts w:ascii="標楷體" w:eastAsia="標楷體" w:hAnsi="標楷體"/>
          <w:bCs/>
          <w:sz w:val="28"/>
          <w:szCs w:val="36"/>
        </w:rPr>
        <w:t>業務</w:t>
      </w:r>
      <w:r w:rsidRPr="00C365B6">
        <w:rPr>
          <w:rFonts w:ascii="標楷體" w:eastAsia="標楷體" w:hAnsi="標楷體" w:hint="eastAsia"/>
          <w:bCs/>
          <w:sz w:val="28"/>
          <w:szCs w:val="36"/>
        </w:rPr>
        <w:t>：</w:t>
      </w:r>
      <w:r w:rsidRPr="00C365B6">
        <w:rPr>
          <w:rFonts w:ascii="標楷體" w:eastAsia="標楷體" w:hAnsi="標楷體"/>
          <w:bCs/>
          <w:sz w:val="28"/>
          <w:szCs w:val="36"/>
        </w:rPr>
        <w:t>調查檢討下列事項</w:t>
      </w:r>
      <w:r>
        <w:rPr>
          <w:rFonts w:ascii="標楷體" w:eastAsia="標楷體" w:hAnsi="標楷體" w:hint="eastAsia"/>
          <w:bCs/>
          <w:sz w:val="28"/>
          <w:szCs w:val="36"/>
        </w:rPr>
        <w:t>。</w:t>
      </w:r>
    </w:p>
    <w:p w14:paraId="1D960EC0" w14:textId="77777777" w:rsidR="005D68EB" w:rsidRPr="00C365B6" w:rsidRDefault="005D68EB" w:rsidP="009C4EE0">
      <w:pPr>
        <w:pStyle w:val="af4"/>
        <w:numPr>
          <w:ilvl w:val="4"/>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Pr>
          <w:rFonts w:ascii="標楷體" w:eastAsia="標楷體" w:hAnsi="標楷體"/>
          <w:bCs/>
          <w:sz w:val="28"/>
          <w:szCs w:val="36"/>
        </w:rPr>
        <w:t>核能</w:t>
      </w:r>
      <w:r w:rsidRPr="00C365B6">
        <w:rPr>
          <w:rFonts w:ascii="標楷體" w:eastAsia="標楷體" w:hAnsi="標楷體"/>
          <w:bCs/>
          <w:sz w:val="28"/>
          <w:szCs w:val="36"/>
        </w:rPr>
        <w:t>設施周邊的環境安全</w:t>
      </w:r>
      <w:r>
        <w:rPr>
          <w:rFonts w:ascii="標楷體" w:eastAsia="標楷體" w:hAnsi="標楷體" w:hint="eastAsia"/>
          <w:bCs/>
          <w:sz w:val="28"/>
          <w:szCs w:val="36"/>
        </w:rPr>
        <w:t>。</w:t>
      </w:r>
    </w:p>
    <w:p w14:paraId="20C0A389" w14:textId="77777777" w:rsidR="005D68EB" w:rsidRPr="00C365B6" w:rsidRDefault="005D68EB" w:rsidP="009C4EE0">
      <w:pPr>
        <w:pStyle w:val="af4"/>
        <w:numPr>
          <w:ilvl w:val="4"/>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Pr>
          <w:rFonts w:ascii="標楷體" w:eastAsia="標楷體" w:hAnsi="標楷體"/>
          <w:bCs/>
          <w:sz w:val="28"/>
          <w:szCs w:val="36"/>
        </w:rPr>
        <w:t>核能</w:t>
      </w:r>
      <w:r w:rsidRPr="00C365B6">
        <w:rPr>
          <w:rFonts w:ascii="標楷體" w:eastAsia="標楷體" w:hAnsi="標楷體"/>
          <w:bCs/>
          <w:sz w:val="28"/>
          <w:szCs w:val="36"/>
        </w:rPr>
        <w:t>設施的安全性</w:t>
      </w:r>
      <w:r>
        <w:rPr>
          <w:rFonts w:ascii="標楷體" w:eastAsia="標楷體" w:hAnsi="標楷體" w:hint="eastAsia"/>
          <w:bCs/>
          <w:sz w:val="28"/>
          <w:szCs w:val="36"/>
        </w:rPr>
        <w:t>。</w:t>
      </w:r>
    </w:p>
    <w:p w14:paraId="194E72B3" w14:textId="77777777" w:rsidR="005D68EB" w:rsidRPr="00C365B6" w:rsidRDefault="005D68EB" w:rsidP="009C4EE0">
      <w:pPr>
        <w:pStyle w:val="af4"/>
        <w:numPr>
          <w:ilvl w:val="4"/>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Pr>
          <w:rFonts w:ascii="標楷體" w:eastAsia="標楷體" w:hAnsi="標楷體"/>
          <w:bCs/>
          <w:sz w:val="28"/>
          <w:szCs w:val="36"/>
        </w:rPr>
        <w:t>核能</w:t>
      </w:r>
      <w:r w:rsidRPr="00C365B6">
        <w:rPr>
          <w:rFonts w:ascii="標楷體" w:eastAsia="標楷體" w:hAnsi="標楷體"/>
          <w:bCs/>
          <w:sz w:val="28"/>
          <w:szCs w:val="36"/>
        </w:rPr>
        <w:t>相關防災</w:t>
      </w:r>
      <w:r>
        <w:rPr>
          <w:rFonts w:ascii="標楷體" w:eastAsia="標楷體" w:hAnsi="標楷體" w:hint="eastAsia"/>
          <w:bCs/>
          <w:sz w:val="28"/>
          <w:szCs w:val="36"/>
        </w:rPr>
        <w:t>。</w:t>
      </w:r>
    </w:p>
    <w:p w14:paraId="7192EBC8" w14:textId="77777777" w:rsidR="005D68EB" w:rsidRPr="00C365B6" w:rsidRDefault="005D68EB" w:rsidP="009C4EE0">
      <w:pPr>
        <w:pStyle w:val="af4"/>
        <w:numPr>
          <w:ilvl w:val="4"/>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C365B6">
        <w:rPr>
          <w:rFonts w:ascii="標楷體" w:eastAsia="標楷體" w:hAnsi="標楷體"/>
          <w:bCs/>
          <w:sz w:val="28"/>
          <w:szCs w:val="36"/>
        </w:rPr>
        <w:t>其他</w:t>
      </w:r>
      <w:r>
        <w:rPr>
          <w:rFonts w:ascii="標楷體" w:eastAsia="標楷體" w:hAnsi="標楷體" w:hint="eastAsia"/>
          <w:bCs/>
          <w:sz w:val="28"/>
          <w:szCs w:val="36"/>
        </w:rPr>
        <w:t>。</w:t>
      </w:r>
    </w:p>
    <w:p w14:paraId="2C6C3EAF" w14:textId="77777777" w:rsidR="005D68EB" w:rsidRPr="00C365B6" w:rsidRDefault="005D68EB" w:rsidP="009C4EE0">
      <w:pPr>
        <w:pStyle w:val="af4"/>
        <w:numPr>
          <w:ilvl w:val="2"/>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C365B6">
        <w:rPr>
          <w:rFonts w:ascii="標楷體" w:eastAsia="標楷體" w:hAnsi="標楷體"/>
          <w:bCs/>
          <w:sz w:val="28"/>
          <w:szCs w:val="36"/>
        </w:rPr>
        <w:t>茨城縣東海地區環境輻射監測委員會</w:t>
      </w:r>
    </w:p>
    <w:p w14:paraId="4FAD901F" w14:textId="77777777" w:rsidR="005D68EB" w:rsidRPr="00C365B6" w:rsidRDefault="005D68EB" w:rsidP="009C4EE0">
      <w:pPr>
        <w:pStyle w:val="af4"/>
        <w:numPr>
          <w:ilvl w:val="3"/>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C365B6">
        <w:rPr>
          <w:rFonts w:ascii="標楷體" w:eastAsia="標楷體" w:hAnsi="標楷體"/>
          <w:bCs/>
          <w:sz w:val="28"/>
          <w:szCs w:val="36"/>
        </w:rPr>
        <w:t>委員</w:t>
      </w:r>
      <w:r w:rsidRPr="00C365B6">
        <w:rPr>
          <w:rFonts w:ascii="標楷體" w:eastAsia="標楷體" w:hAnsi="標楷體" w:hint="eastAsia"/>
          <w:bCs/>
          <w:sz w:val="28"/>
          <w:szCs w:val="36"/>
        </w:rPr>
        <w:t>：</w:t>
      </w:r>
      <w:r w:rsidRPr="00C365B6">
        <w:rPr>
          <w:rFonts w:ascii="標楷體" w:eastAsia="標楷體" w:hAnsi="標楷體"/>
          <w:bCs/>
          <w:sz w:val="28"/>
          <w:szCs w:val="36"/>
        </w:rPr>
        <w:t>副知事、縣議員、相關市町村長/議長、學術經驗者、農漁協代表、縣府職員</w:t>
      </w:r>
      <w:r>
        <w:rPr>
          <w:rFonts w:ascii="標楷體" w:eastAsia="標楷體" w:hAnsi="標楷體" w:hint="eastAsia"/>
          <w:bCs/>
          <w:sz w:val="28"/>
          <w:szCs w:val="36"/>
        </w:rPr>
        <w:t>，</w:t>
      </w:r>
      <w:r w:rsidRPr="00C365B6">
        <w:rPr>
          <w:rFonts w:ascii="標楷體" w:eastAsia="標楷體" w:hAnsi="標楷體"/>
          <w:bCs/>
          <w:sz w:val="28"/>
          <w:szCs w:val="36"/>
        </w:rPr>
        <w:t>共29名</w:t>
      </w:r>
      <w:r>
        <w:rPr>
          <w:rFonts w:ascii="標楷體" w:eastAsia="標楷體" w:hAnsi="標楷體" w:hint="eastAsia"/>
          <w:bCs/>
          <w:sz w:val="28"/>
          <w:szCs w:val="36"/>
        </w:rPr>
        <w:t>。</w:t>
      </w:r>
    </w:p>
    <w:p w14:paraId="507ED937" w14:textId="77777777" w:rsidR="005D68EB" w:rsidRPr="00C365B6" w:rsidRDefault="005D68EB" w:rsidP="009C4EE0">
      <w:pPr>
        <w:pStyle w:val="af4"/>
        <w:numPr>
          <w:ilvl w:val="3"/>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Pr>
          <w:rFonts w:ascii="標楷體" w:eastAsia="標楷體" w:hAnsi="標楷體" w:hint="eastAsia"/>
          <w:bCs/>
          <w:sz w:val="28"/>
          <w:szCs w:val="36"/>
        </w:rPr>
        <w:t>職</w:t>
      </w:r>
      <w:r w:rsidRPr="00C365B6">
        <w:rPr>
          <w:rFonts w:ascii="標楷體" w:eastAsia="標楷體" w:hAnsi="標楷體"/>
          <w:bCs/>
          <w:sz w:val="28"/>
          <w:szCs w:val="36"/>
        </w:rPr>
        <w:t>掌事務</w:t>
      </w:r>
    </w:p>
    <w:p w14:paraId="2D5FF8A9" w14:textId="77777777" w:rsidR="005D68EB" w:rsidRPr="00C365B6" w:rsidRDefault="005D68EB" w:rsidP="009C4EE0">
      <w:pPr>
        <w:pStyle w:val="af4"/>
        <w:numPr>
          <w:ilvl w:val="4"/>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C365B6">
        <w:rPr>
          <w:rFonts w:ascii="標楷體" w:eastAsia="標楷體" w:hAnsi="標楷體"/>
          <w:bCs/>
          <w:sz w:val="28"/>
          <w:szCs w:val="36"/>
        </w:rPr>
        <w:t>制定輻射監測計畫</w:t>
      </w:r>
      <w:r>
        <w:rPr>
          <w:rFonts w:ascii="標楷體" w:eastAsia="標楷體" w:hAnsi="標楷體" w:hint="eastAsia"/>
          <w:bCs/>
          <w:sz w:val="28"/>
          <w:szCs w:val="36"/>
        </w:rPr>
        <w:t>。</w:t>
      </w:r>
    </w:p>
    <w:p w14:paraId="55D33187" w14:textId="77777777" w:rsidR="005D68EB" w:rsidRPr="00C365B6" w:rsidRDefault="005D68EB" w:rsidP="009C4EE0">
      <w:pPr>
        <w:pStyle w:val="af4"/>
        <w:numPr>
          <w:ilvl w:val="4"/>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C365B6">
        <w:rPr>
          <w:rFonts w:ascii="標楷體" w:eastAsia="標楷體" w:hAnsi="標楷體"/>
          <w:bCs/>
          <w:sz w:val="28"/>
          <w:szCs w:val="36"/>
        </w:rPr>
        <w:t>評估輻射監測結果</w:t>
      </w:r>
      <w:r>
        <w:rPr>
          <w:rFonts w:ascii="標楷體" w:eastAsia="標楷體" w:hAnsi="標楷體" w:hint="eastAsia"/>
          <w:bCs/>
          <w:sz w:val="28"/>
          <w:szCs w:val="36"/>
        </w:rPr>
        <w:t>。</w:t>
      </w:r>
    </w:p>
    <w:p w14:paraId="221FE27C" w14:textId="77777777" w:rsidR="005D68EB" w:rsidRPr="00C365B6" w:rsidRDefault="005D68EB" w:rsidP="009C4EE0">
      <w:pPr>
        <w:pStyle w:val="af4"/>
        <w:numPr>
          <w:ilvl w:val="4"/>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C365B6">
        <w:rPr>
          <w:rFonts w:ascii="標楷體" w:eastAsia="標楷體" w:hAnsi="標楷體"/>
          <w:bCs/>
          <w:sz w:val="28"/>
          <w:szCs w:val="36"/>
        </w:rPr>
        <w:t>檢討放射性廢棄物的環境釋放</w:t>
      </w:r>
      <w:r>
        <w:rPr>
          <w:rFonts w:ascii="標楷體" w:eastAsia="標楷體" w:hAnsi="標楷體" w:hint="eastAsia"/>
          <w:bCs/>
          <w:sz w:val="28"/>
          <w:szCs w:val="36"/>
        </w:rPr>
        <w:t>。</w:t>
      </w:r>
    </w:p>
    <w:p w14:paraId="3C406BBD" w14:textId="77777777" w:rsidR="005D68EB" w:rsidRPr="00C365B6" w:rsidRDefault="005D68EB" w:rsidP="009C4EE0">
      <w:pPr>
        <w:pStyle w:val="af4"/>
        <w:numPr>
          <w:ilvl w:val="4"/>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C365B6">
        <w:rPr>
          <w:rFonts w:ascii="標楷體" w:eastAsia="標楷體" w:hAnsi="標楷體"/>
          <w:bCs/>
          <w:sz w:val="28"/>
          <w:szCs w:val="36"/>
        </w:rPr>
        <w:t>收集及調查必要資料</w:t>
      </w:r>
      <w:r>
        <w:rPr>
          <w:rFonts w:ascii="標楷體" w:eastAsia="標楷體" w:hAnsi="標楷體" w:hint="eastAsia"/>
          <w:bCs/>
          <w:sz w:val="28"/>
          <w:szCs w:val="36"/>
        </w:rPr>
        <w:t>。</w:t>
      </w:r>
    </w:p>
    <w:p w14:paraId="0E721073" w14:textId="77777777" w:rsidR="005D68EB" w:rsidRPr="00C365B6" w:rsidRDefault="005D68EB" w:rsidP="009C4EE0">
      <w:pPr>
        <w:pStyle w:val="af4"/>
        <w:numPr>
          <w:ilvl w:val="2"/>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Pr>
          <w:rFonts w:ascii="標楷體" w:eastAsia="標楷體" w:hAnsi="標楷體"/>
          <w:bCs/>
          <w:sz w:val="28"/>
          <w:szCs w:val="36"/>
        </w:rPr>
        <w:t>核能</w:t>
      </w:r>
      <w:r w:rsidRPr="00C365B6">
        <w:rPr>
          <w:rFonts w:ascii="標楷體" w:eastAsia="標楷體" w:hAnsi="標楷體"/>
          <w:bCs/>
          <w:sz w:val="28"/>
          <w:szCs w:val="36"/>
        </w:rPr>
        <w:t>安全對策課</w:t>
      </w:r>
    </w:p>
    <w:p w14:paraId="48EDB6A3" w14:textId="77777777" w:rsidR="005D68EB" w:rsidRPr="00C365B6" w:rsidRDefault="005D68EB" w:rsidP="009C4EE0">
      <w:pPr>
        <w:pStyle w:val="af4"/>
        <w:numPr>
          <w:ilvl w:val="3"/>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Pr>
          <w:rFonts w:ascii="標楷體" w:eastAsia="標楷體" w:hAnsi="標楷體"/>
          <w:bCs/>
          <w:sz w:val="28"/>
          <w:szCs w:val="36"/>
        </w:rPr>
        <w:t>核能</w:t>
      </w:r>
      <w:r w:rsidRPr="00C365B6">
        <w:rPr>
          <w:rFonts w:ascii="標楷體" w:eastAsia="標楷體" w:hAnsi="標楷體"/>
          <w:bCs/>
          <w:sz w:val="28"/>
          <w:szCs w:val="36"/>
        </w:rPr>
        <w:t>安全對策</w:t>
      </w:r>
      <w:r>
        <w:rPr>
          <w:rFonts w:ascii="標楷體" w:eastAsia="標楷體" w:hAnsi="標楷體" w:hint="eastAsia"/>
          <w:bCs/>
          <w:sz w:val="28"/>
          <w:szCs w:val="36"/>
        </w:rPr>
        <w:t>。</w:t>
      </w:r>
    </w:p>
    <w:p w14:paraId="62846128" w14:textId="77777777" w:rsidR="005D68EB" w:rsidRPr="00C365B6" w:rsidRDefault="005D68EB" w:rsidP="009C4EE0">
      <w:pPr>
        <w:pStyle w:val="af4"/>
        <w:numPr>
          <w:ilvl w:val="3"/>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C365B6">
        <w:rPr>
          <w:rFonts w:ascii="標楷體" w:eastAsia="標楷體" w:hAnsi="標楷體"/>
          <w:bCs/>
          <w:sz w:val="28"/>
          <w:szCs w:val="36"/>
        </w:rPr>
        <w:t>環境輻射監測</w:t>
      </w:r>
      <w:r>
        <w:rPr>
          <w:rFonts w:ascii="標楷體" w:eastAsia="標楷體" w:hAnsi="標楷體" w:hint="eastAsia"/>
          <w:bCs/>
          <w:sz w:val="28"/>
          <w:szCs w:val="36"/>
        </w:rPr>
        <w:t>。</w:t>
      </w:r>
    </w:p>
    <w:p w14:paraId="0B90227C" w14:textId="77777777" w:rsidR="005D68EB" w:rsidRPr="00C365B6" w:rsidRDefault="005D68EB" w:rsidP="009C4EE0">
      <w:pPr>
        <w:pStyle w:val="af4"/>
        <w:numPr>
          <w:ilvl w:val="3"/>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Pr>
          <w:rFonts w:ascii="標楷體" w:eastAsia="標楷體" w:hAnsi="標楷體"/>
          <w:bCs/>
          <w:sz w:val="28"/>
          <w:szCs w:val="36"/>
        </w:rPr>
        <w:t>核能</w:t>
      </w:r>
      <w:r w:rsidRPr="00C365B6">
        <w:rPr>
          <w:rFonts w:ascii="標楷體" w:eastAsia="標楷體" w:hAnsi="標楷體"/>
          <w:bCs/>
          <w:sz w:val="28"/>
          <w:szCs w:val="36"/>
        </w:rPr>
        <w:t>防災(保健對策課、藥務課)</w:t>
      </w:r>
      <w:r>
        <w:rPr>
          <w:rFonts w:ascii="標楷體" w:eastAsia="標楷體" w:hAnsi="標楷體" w:hint="eastAsia"/>
          <w:bCs/>
          <w:sz w:val="28"/>
          <w:szCs w:val="36"/>
        </w:rPr>
        <w:t>。</w:t>
      </w:r>
    </w:p>
    <w:p w14:paraId="3387B88D" w14:textId="77777777" w:rsidR="005D68EB" w:rsidRPr="00C365B6" w:rsidRDefault="005D68EB" w:rsidP="009C4EE0">
      <w:pPr>
        <w:pStyle w:val="af4"/>
        <w:numPr>
          <w:ilvl w:val="3"/>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Pr>
          <w:rFonts w:ascii="標楷體" w:eastAsia="標楷體" w:hAnsi="標楷體"/>
          <w:bCs/>
          <w:sz w:val="28"/>
          <w:szCs w:val="36"/>
        </w:rPr>
        <w:t>核能</w:t>
      </w:r>
      <w:r w:rsidRPr="00C365B6">
        <w:rPr>
          <w:rFonts w:ascii="標楷體" w:eastAsia="標楷體" w:hAnsi="標楷體"/>
          <w:bCs/>
          <w:sz w:val="28"/>
          <w:szCs w:val="36"/>
        </w:rPr>
        <w:t>宣傳</w:t>
      </w:r>
      <w:r>
        <w:rPr>
          <w:rFonts w:ascii="標楷體" w:eastAsia="標楷體" w:hAnsi="標楷體" w:hint="eastAsia"/>
          <w:bCs/>
          <w:sz w:val="28"/>
          <w:szCs w:val="36"/>
        </w:rPr>
        <w:t>。</w:t>
      </w:r>
    </w:p>
    <w:p w14:paraId="78BFDA54" w14:textId="77777777" w:rsidR="005D68EB" w:rsidRPr="00C365B6" w:rsidRDefault="005D68EB" w:rsidP="009C4EE0">
      <w:pPr>
        <w:pStyle w:val="af4"/>
        <w:numPr>
          <w:ilvl w:val="2"/>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C365B6">
        <w:rPr>
          <w:rFonts w:ascii="標楷體" w:eastAsia="標楷體" w:hAnsi="標楷體"/>
          <w:bCs/>
          <w:sz w:val="28"/>
          <w:szCs w:val="36"/>
        </w:rPr>
        <w:t>環境輻射監測中心</w:t>
      </w:r>
      <w:r w:rsidRPr="00C365B6">
        <w:rPr>
          <w:rFonts w:ascii="標楷體" w:eastAsia="標楷體" w:hAnsi="標楷體" w:hint="eastAsia"/>
          <w:bCs/>
          <w:sz w:val="28"/>
          <w:szCs w:val="36"/>
        </w:rPr>
        <w:t>：</w:t>
      </w:r>
      <w:r w:rsidRPr="00C365B6">
        <w:rPr>
          <w:rFonts w:ascii="標楷體" w:eastAsia="標楷體" w:hAnsi="標楷體"/>
          <w:bCs/>
          <w:sz w:val="28"/>
          <w:szCs w:val="36"/>
        </w:rPr>
        <w:t>環境輻射監測、測定</w:t>
      </w:r>
      <w:r>
        <w:rPr>
          <w:rFonts w:ascii="標楷體" w:eastAsia="標楷體" w:hAnsi="標楷體" w:hint="eastAsia"/>
          <w:bCs/>
          <w:sz w:val="28"/>
          <w:szCs w:val="36"/>
        </w:rPr>
        <w:t>。</w:t>
      </w:r>
    </w:p>
    <w:p w14:paraId="7327B1F0" w14:textId="3A0931F1" w:rsidR="005D68EB" w:rsidRPr="00C365B6" w:rsidRDefault="009566D4" w:rsidP="009C4EE0">
      <w:pPr>
        <w:numPr>
          <w:ilvl w:val="1"/>
          <w:numId w:val="19"/>
        </w:numPr>
        <w:tabs>
          <w:tab w:val="left" w:pos="-1920"/>
        </w:tabs>
        <w:snapToGrid w:val="0"/>
        <w:spacing w:beforeLines="15" w:before="36" w:afterLines="15" w:after="36" w:line="440" w:lineRule="exact"/>
        <w:jc w:val="both"/>
        <w:outlineLvl w:val="2"/>
        <w:rPr>
          <w:rFonts w:ascii="標楷體" w:eastAsia="標楷體" w:hAnsi="標楷體"/>
          <w:bCs/>
          <w:sz w:val="28"/>
          <w:szCs w:val="36"/>
        </w:rPr>
      </w:pPr>
      <w:r w:rsidRPr="00563A25">
        <w:rPr>
          <w:rFonts w:ascii="標楷體" w:eastAsia="標楷體" w:hAnsi="標楷體"/>
          <w:bCs/>
          <w:sz w:val="28"/>
          <w:szCs w:val="36"/>
        </w:rPr>
        <w:lastRenderedPageBreak/>
        <w:t>確保</w:t>
      </w:r>
      <w:r w:rsidR="005D68EB">
        <w:rPr>
          <w:rFonts w:ascii="標楷體" w:eastAsia="標楷體" w:hAnsi="標楷體"/>
          <w:bCs/>
          <w:sz w:val="28"/>
          <w:szCs w:val="36"/>
        </w:rPr>
        <w:t>核能</w:t>
      </w:r>
      <w:r w:rsidR="005D68EB" w:rsidRPr="00563A25">
        <w:rPr>
          <w:rFonts w:ascii="標楷體" w:eastAsia="標楷體" w:hAnsi="標楷體"/>
          <w:bCs/>
          <w:sz w:val="28"/>
          <w:szCs w:val="36"/>
        </w:rPr>
        <w:t>設施</w:t>
      </w:r>
      <w:r>
        <w:rPr>
          <w:rFonts w:ascii="標楷體" w:eastAsia="標楷體" w:hAnsi="標楷體" w:hint="eastAsia"/>
          <w:bCs/>
          <w:sz w:val="28"/>
          <w:szCs w:val="36"/>
        </w:rPr>
        <w:t>之</w:t>
      </w:r>
      <w:r w:rsidR="005D68EB" w:rsidRPr="00563A25">
        <w:rPr>
          <w:rFonts w:ascii="標楷體" w:eastAsia="標楷體" w:hAnsi="標楷體"/>
          <w:bCs/>
          <w:sz w:val="28"/>
          <w:szCs w:val="36"/>
        </w:rPr>
        <w:t>安全</w:t>
      </w:r>
    </w:p>
    <w:p w14:paraId="54E233E8" w14:textId="77777777" w:rsidR="005D68EB" w:rsidRPr="00563A25" w:rsidRDefault="005D68EB" w:rsidP="009C4EE0">
      <w:pPr>
        <w:pStyle w:val="af4"/>
        <w:numPr>
          <w:ilvl w:val="2"/>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Pr>
          <w:rFonts w:ascii="標楷體" w:eastAsia="標楷體" w:hAnsi="標楷體"/>
          <w:bCs/>
          <w:sz w:val="28"/>
          <w:szCs w:val="36"/>
        </w:rPr>
        <w:t>核能</w:t>
      </w:r>
      <w:r w:rsidRPr="00563A25">
        <w:rPr>
          <w:rFonts w:ascii="標楷體" w:eastAsia="標楷體" w:hAnsi="標楷體"/>
          <w:bCs/>
          <w:sz w:val="28"/>
          <w:szCs w:val="36"/>
        </w:rPr>
        <w:t>安全協定</w:t>
      </w:r>
    </w:p>
    <w:p w14:paraId="04EE1E88" w14:textId="77777777" w:rsidR="005D68EB" w:rsidRPr="00563A25" w:rsidRDefault="005D68EB" w:rsidP="009C4EE0">
      <w:pPr>
        <w:pStyle w:val="af4"/>
        <w:numPr>
          <w:ilvl w:val="3"/>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563A25">
        <w:rPr>
          <w:rFonts w:ascii="標楷體" w:eastAsia="標楷體" w:hAnsi="標楷體"/>
          <w:bCs/>
          <w:sz w:val="28"/>
          <w:szCs w:val="36"/>
        </w:rPr>
        <w:t>締結當事者</w:t>
      </w:r>
      <w:r w:rsidRPr="00563A25">
        <w:rPr>
          <w:rFonts w:ascii="標楷體" w:eastAsia="標楷體" w:hAnsi="標楷體" w:hint="eastAsia"/>
          <w:bCs/>
          <w:sz w:val="28"/>
          <w:szCs w:val="36"/>
        </w:rPr>
        <w:t>：迄</w:t>
      </w:r>
      <w:r w:rsidRPr="00563A25">
        <w:rPr>
          <w:rFonts w:ascii="標楷體" w:eastAsia="標楷體" w:hAnsi="標楷體"/>
          <w:bCs/>
          <w:sz w:val="28"/>
          <w:szCs w:val="36"/>
        </w:rPr>
        <w:t>令</w:t>
      </w:r>
      <w:r>
        <w:rPr>
          <w:rFonts w:ascii="標楷體" w:eastAsia="標楷體" w:hAnsi="標楷體"/>
          <w:bCs/>
          <w:sz w:val="28"/>
          <w:szCs w:val="36"/>
        </w:rPr>
        <w:t>核能</w:t>
      </w:r>
      <w:r w:rsidRPr="00563A25">
        <w:rPr>
          <w:rFonts w:ascii="標楷體" w:eastAsia="標楷體" w:hAnsi="標楷體"/>
          <w:bCs/>
          <w:sz w:val="28"/>
          <w:szCs w:val="36"/>
        </w:rPr>
        <w:t>安全協定締結當事者</w:t>
      </w:r>
      <w:r w:rsidRPr="00563A25">
        <w:rPr>
          <w:rFonts w:ascii="標楷體" w:eastAsia="標楷體" w:hAnsi="標楷體" w:hint="eastAsia"/>
          <w:bCs/>
          <w:sz w:val="28"/>
          <w:szCs w:val="36"/>
        </w:rPr>
        <w:t>，包括：原電、原科研究所、大洗機構、東京大學原燃工核管、三菱原燃、日本核燃等。</w:t>
      </w:r>
    </w:p>
    <w:p w14:paraId="3E15F351" w14:textId="77777777" w:rsidR="005D68EB" w:rsidRPr="00563A25" w:rsidRDefault="005D68EB" w:rsidP="009C4EE0">
      <w:pPr>
        <w:pStyle w:val="af4"/>
        <w:numPr>
          <w:ilvl w:val="3"/>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563A25">
        <w:rPr>
          <w:rFonts w:ascii="標楷體" w:eastAsia="標楷體" w:hAnsi="標楷體"/>
          <w:bCs/>
          <w:sz w:val="28"/>
          <w:szCs w:val="36"/>
        </w:rPr>
        <w:t>締結經過</w:t>
      </w:r>
    </w:p>
    <w:p w14:paraId="6B242ED5" w14:textId="77777777" w:rsidR="005D68EB" w:rsidRPr="00563A25" w:rsidRDefault="005D68EB" w:rsidP="009C4EE0">
      <w:pPr>
        <w:pStyle w:val="af4"/>
        <w:numPr>
          <w:ilvl w:val="4"/>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Pr>
          <w:rFonts w:ascii="標楷體" w:eastAsia="標楷體" w:hAnsi="標楷體" w:hint="eastAsia"/>
          <w:bCs/>
          <w:sz w:val="28"/>
          <w:szCs w:val="36"/>
        </w:rPr>
        <w:t>茨城</w:t>
      </w:r>
      <w:r w:rsidRPr="00563A25">
        <w:rPr>
          <w:rFonts w:ascii="標楷體" w:eastAsia="標楷體" w:hAnsi="標楷體"/>
          <w:bCs/>
          <w:sz w:val="28"/>
          <w:szCs w:val="36"/>
        </w:rPr>
        <w:t>縣</w:t>
      </w:r>
      <w:r>
        <w:rPr>
          <w:rFonts w:ascii="標楷體" w:eastAsia="標楷體" w:hAnsi="標楷體" w:hint="eastAsia"/>
          <w:bCs/>
          <w:sz w:val="28"/>
          <w:szCs w:val="36"/>
        </w:rPr>
        <w:t>政</w:t>
      </w:r>
      <w:r w:rsidRPr="00563A25">
        <w:rPr>
          <w:rFonts w:ascii="標楷體" w:eastAsia="標楷體" w:hAnsi="標楷體"/>
          <w:bCs/>
          <w:sz w:val="28"/>
          <w:szCs w:val="36"/>
        </w:rPr>
        <w:t>府為確保</w:t>
      </w:r>
      <w:r>
        <w:rPr>
          <w:rFonts w:ascii="標楷體" w:eastAsia="標楷體" w:hAnsi="標楷體"/>
          <w:bCs/>
          <w:sz w:val="28"/>
          <w:szCs w:val="36"/>
        </w:rPr>
        <w:t>核能</w:t>
      </w:r>
      <w:r w:rsidRPr="00563A25">
        <w:rPr>
          <w:rFonts w:ascii="標楷體" w:eastAsia="標楷體" w:hAnsi="標楷體"/>
          <w:bCs/>
          <w:sz w:val="28"/>
          <w:szCs w:val="36"/>
        </w:rPr>
        <w:t>設施周邊安全，保護當地居民健康，於昭和49年12月，與位於東海、大洗地區的</w:t>
      </w:r>
      <w:r>
        <w:rPr>
          <w:rFonts w:ascii="標楷體" w:eastAsia="標楷體" w:hAnsi="標楷體"/>
          <w:bCs/>
          <w:sz w:val="28"/>
          <w:szCs w:val="36"/>
        </w:rPr>
        <w:t>核能</w:t>
      </w:r>
      <w:r w:rsidRPr="00563A25">
        <w:rPr>
          <w:rFonts w:ascii="標楷體" w:eastAsia="標楷體" w:hAnsi="標楷體"/>
          <w:bCs/>
          <w:sz w:val="28"/>
          <w:szCs w:val="36"/>
        </w:rPr>
        <w:t>事業所、縣府、所在地市町村簽訂「關於</w:t>
      </w:r>
      <w:r>
        <w:rPr>
          <w:rFonts w:ascii="標楷體" w:eastAsia="標楷體" w:hAnsi="標楷體"/>
          <w:bCs/>
          <w:sz w:val="28"/>
          <w:szCs w:val="36"/>
        </w:rPr>
        <w:t>核能</w:t>
      </w:r>
      <w:r w:rsidRPr="00563A25">
        <w:rPr>
          <w:rFonts w:ascii="標楷體" w:eastAsia="標楷體" w:hAnsi="標楷體"/>
          <w:bCs/>
          <w:sz w:val="28"/>
          <w:szCs w:val="36"/>
        </w:rPr>
        <w:t>設施周邊安全確保及環境保護的協定」。</w:t>
      </w:r>
    </w:p>
    <w:p w14:paraId="66259B5C" w14:textId="77777777" w:rsidR="005D68EB" w:rsidRPr="00563A25" w:rsidRDefault="005D68EB" w:rsidP="009C4EE0">
      <w:pPr>
        <w:pStyle w:val="af4"/>
        <w:numPr>
          <w:ilvl w:val="4"/>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563A25">
        <w:rPr>
          <w:rFonts w:ascii="標楷體" w:eastAsia="標楷體" w:hAnsi="標楷體"/>
          <w:bCs/>
          <w:sz w:val="28"/>
          <w:szCs w:val="36"/>
        </w:rPr>
        <w:t>關於機構及原電，考量到其擁有核</w:t>
      </w:r>
      <w:r>
        <w:rPr>
          <w:rFonts w:ascii="標楷體" w:eastAsia="標楷體" w:hAnsi="標楷體"/>
          <w:bCs/>
          <w:sz w:val="28"/>
          <w:szCs w:val="36"/>
        </w:rPr>
        <w:t>反應器</w:t>
      </w:r>
      <w:r w:rsidRPr="00563A25">
        <w:rPr>
          <w:rFonts w:ascii="標楷體" w:eastAsia="標楷體" w:hAnsi="標楷體"/>
          <w:bCs/>
          <w:sz w:val="28"/>
          <w:szCs w:val="36"/>
        </w:rPr>
        <w:t>或再處理設施等大型</w:t>
      </w:r>
      <w:r>
        <w:rPr>
          <w:rFonts w:ascii="標楷體" w:eastAsia="標楷體" w:hAnsi="標楷體"/>
          <w:bCs/>
          <w:sz w:val="28"/>
          <w:szCs w:val="36"/>
        </w:rPr>
        <w:t>核能</w:t>
      </w:r>
      <w:r w:rsidRPr="00563A25">
        <w:rPr>
          <w:rFonts w:ascii="標楷體" w:eastAsia="標楷體" w:hAnsi="標楷體"/>
          <w:bCs/>
          <w:sz w:val="28"/>
          <w:szCs w:val="36"/>
        </w:rPr>
        <w:t>設施，且當地居民特別關心，故與鄰接市町村一併簽訂協定，JCO臨界事故</w:t>
      </w:r>
      <w:r>
        <w:rPr>
          <w:rFonts w:ascii="標楷體" w:eastAsia="標楷體" w:hAnsi="標楷體"/>
          <w:bCs/>
          <w:sz w:val="28"/>
          <w:szCs w:val="36"/>
        </w:rPr>
        <w:t>(</w:t>
      </w:r>
      <w:r w:rsidRPr="00563A25">
        <w:rPr>
          <w:rFonts w:ascii="標楷體" w:eastAsia="標楷體" w:hAnsi="標楷體"/>
          <w:bCs/>
          <w:sz w:val="28"/>
          <w:szCs w:val="36"/>
        </w:rPr>
        <w:t>平成11年9月</w:t>
      </w:r>
      <w:r>
        <w:rPr>
          <w:rFonts w:ascii="標楷體" w:eastAsia="標楷體" w:hAnsi="標楷體"/>
          <w:bCs/>
          <w:sz w:val="28"/>
          <w:szCs w:val="36"/>
        </w:rPr>
        <w:t>)</w:t>
      </w:r>
      <w:r w:rsidRPr="00563A25">
        <w:rPr>
          <w:rFonts w:ascii="標楷體" w:eastAsia="標楷體" w:hAnsi="標楷體"/>
          <w:bCs/>
          <w:sz w:val="28"/>
          <w:szCs w:val="36"/>
        </w:rPr>
        <w:t>後，於平成12年9月，針對機構及原電以外的</w:t>
      </w:r>
      <w:r>
        <w:rPr>
          <w:rFonts w:ascii="標楷體" w:eastAsia="標楷體" w:hAnsi="標楷體"/>
          <w:bCs/>
          <w:sz w:val="28"/>
          <w:szCs w:val="36"/>
        </w:rPr>
        <w:t>核能</w:t>
      </w:r>
      <w:r w:rsidRPr="00563A25">
        <w:rPr>
          <w:rFonts w:ascii="標楷體" w:eastAsia="標楷體" w:hAnsi="標楷體"/>
          <w:bCs/>
          <w:sz w:val="28"/>
          <w:szCs w:val="36"/>
        </w:rPr>
        <w:t>災害對策特別措置法對象事業所，</w:t>
      </w:r>
      <w:r>
        <w:rPr>
          <w:rFonts w:ascii="標楷體" w:eastAsia="標楷體" w:hAnsi="標楷體" w:hint="eastAsia"/>
          <w:bCs/>
          <w:sz w:val="28"/>
          <w:szCs w:val="36"/>
        </w:rPr>
        <w:t>亦</w:t>
      </w:r>
      <w:r w:rsidRPr="00563A25">
        <w:rPr>
          <w:rFonts w:ascii="標楷體" w:eastAsia="標楷體" w:hAnsi="標楷體"/>
          <w:bCs/>
          <w:sz w:val="28"/>
          <w:szCs w:val="36"/>
        </w:rPr>
        <w:t>將鄰接市町村納入協定締結對象。</w:t>
      </w:r>
    </w:p>
    <w:p w14:paraId="4BC60D89" w14:textId="77777777" w:rsidR="005D68EB" w:rsidRPr="00563A25" w:rsidRDefault="005D68EB" w:rsidP="009C4EE0">
      <w:pPr>
        <w:pStyle w:val="af4"/>
        <w:numPr>
          <w:ilvl w:val="3"/>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563A25">
        <w:rPr>
          <w:rFonts w:ascii="標楷體" w:eastAsia="標楷體" w:hAnsi="標楷體"/>
          <w:bCs/>
          <w:sz w:val="28"/>
          <w:szCs w:val="36"/>
        </w:rPr>
        <w:t>內容</w:t>
      </w:r>
      <w:r w:rsidRPr="00563A25">
        <w:rPr>
          <w:rFonts w:ascii="標楷體" w:eastAsia="標楷體" w:hAnsi="標楷體" w:hint="eastAsia"/>
          <w:bCs/>
          <w:sz w:val="28"/>
          <w:szCs w:val="36"/>
        </w:rPr>
        <w:t>：</w:t>
      </w:r>
      <w:r>
        <w:rPr>
          <w:rFonts w:ascii="標楷體" w:eastAsia="標楷體" w:hAnsi="標楷體"/>
          <w:bCs/>
          <w:sz w:val="28"/>
          <w:szCs w:val="36"/>
        </w:rPr>
        <w:t>核能</w:t>
      </w:r>
      <w:r w:rsidRPr="00563A25">
        <w:rPr>
          <w:rFonts w:ascii="標楷體" w:eastAsia="標楷體" w:hAnsi="標楷體"/>
          <w:bCs/>
          <w:sz w:val="28"/>
          <w:szCs w:val="36"/>
        </w:rPr>
        <w:t>安全協定由協定全文21條，以及協定細則和格式的運營要項全文15條構成，主要內容及特色如下。</w:t>
      </w:r>
    </w:p>
    <w:p w14:paraId="080216F1" w14:textId="77777777" w:rsidR="005D68EB" w:rsidRPr="00563A25" w:rsidRDefault="005D68EB" w:rsidP="009C4EE0">
      <w:pPr>
        <w:pStyle w:val="af4"/>
        <w:numPr>
          <w:ilvl w:val="4"/>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563A25">
        <w:rPr>
          <w:rFonts w:ascii="標楷體" w:eastAsia="標楷體" w:hAnsi="標楷體"/>
          <w:bCs/>
          <w:sz w:val="28"/>
          <w:szCs w:val="36"/>
        </w:rPr>
        <w:t>確保</w:t>
      </w:r>
      <w:r>
        <w:rPr>
          <w:rFonts w:ascii="標楷體" w:eastAsia="標楷體" w:hAnsi="標楷體"/>
          <w:bCs/>
          <w:sz w:val="28"/>
          <w:szCs w:val="36"/>
        </w:rPr>
        <w:t>核能</w:t>
      </w:r>
      <w:r w:rsidRPr="00563A25">
        <w:rPr>
          <w:rFonts w:ascii="標楷體" w:eastAsia="標楷體" w:hAnsi="標楷體"/>
          <w:bCs/>
          <w:sz w:val="28"/>
          <w:szCs w:val="36"/>
        </w:rPr>
        <w:t>設施周邊安全為最高優先事項，並載明將誠實履行此協定。</w:t>
      </w:r>
    </w:p>
    <w:p w14:paraId="5336CAAE" w14:textId="77777777" w:rsidR="005D68EB" w:rsidRPr="00563A25" w:rsidRDefault="005D68EB" w:rsidP="009C4EE0">
      <w:pPr>
        <w:pStyle w:val="af4"/>
        <w:numPr>
          <w:ilvl w:val="4"/>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563A25">
        <w:rPr>
          <w:rFonts w:ascii="標楷體" w:eastAsia="標楷體" w:hAnsi="標楷體"/>
          <w:bCs/>
          <w:sz w:val="28"/>
          <w:szCs w:val="36"/>
        </w:rPr>
        <w:t>除排氣、排水中的放射性物質濃度，也針對排放量制定管理目標值。</w:t>
      </w:r>
    </w:p>
    <w:p w14:paraId="780A58B6" w14:textId="77777777" w:rsidR="005D68EB" w:rsidRPr="00563A25" w:rsidRDefault="005D68EB" w:rsidP="009C4EE0">
      <w:pPr>
        <w:pStyle w:val="af4"/>
        <w:numPr>
          <w:ilvl w:val="4"/>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563A25">
        <w:rPr>
          <w:rFonts w:ascii="標楷體" w:eastAsia="標楷體" w:hAnsi="標楷體"/>
          <w:bCs/>
          <w:sz w:val="28"/>
          <w:szCs w:val="36"/>
        </w:rPr>
        <w:t>關於</w:t>
      </w:r>
      <w:r>
        <w:rPr>
          <w:rFonts w:ascii="標楷體" w:eastAsia="標楷體" w:hAnsi="標楷體"/>
          <w:bCs/>
          <w:sz w:val="28"/>
          <w:szCs w:val="36"/>
        </w:rPr>
        <w:t>核能</w:t>
      </w:r>
      <w:r w:rsidRPr="00563A25">
        <w:rPr>
          <w:rFonts w:ascii="標楷體" w:eastAsia="標楷體" w:hAnsi="標楷體"/>
          <w:bCs/>
          <w:sz w:val="28"/>
          <w:szCs w:val="36"/>
        </w:rPr>
        <w:t>設施的新增設等計畫，及廢止措施計畫，須經縣府及所在地市町村同意。</w:t>
      </w:r>
    </w:p>
    <w:p w14:paraId="3FFA46B6" w14:textId="77777777" w:rsidR="005D68EB" w:rsidRPr="00563A25" w:rsidRDefault="005D68EB" w:rsidP="009C4EE0">
      <w:pPr>
        <w:pStyle w:val="af4"/>
        <w:numPr>
          <w:ilvl w:val="4"/>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563A25">
        <w:rPr>
          <w:rFonts w:ascii="標楷體" w:eastAsia="標楷體" w:hAnsi="標楷體"/>
          <w:bCs/>
          <w:sz w:val="28"/>
          <w:szCs w:val="36"/>
        </w:rPr>
        <w:t>關於</w:t>
      </w:r>
      <w:r>
        <w:rPr>
          <w:rFonts w:ascii="標楷體" w:eastAsia="標楷體" w:hAnsi="標楷體"/>
          <w:bCs/>
          <w:sz w:val="28"/>
          <w:szCs w:val="36"/>
        </w:rPr>
        <w:t>核能</w:t>
      </w:r>
      <w:r w:rsidRPr="00563A25">
        <w:rPr>
          <w:rFonts w:ascii="標楷體" w:eastAsia="標楷體" w:hAnsi="標楷體"/>
          <w:bCs/>
          <w:sz w:val="28"/>
          <w:szCs w:val="36"/>
        </w:rPr>
        <w:t>設施的運轉停止、運轉方法改善等，為確保安全所採取的必要措施，縣府及所在地市町村不須經過國家，即可直接要求事業者實施。</w:t>
      </w:r>
    </w:p>
    <w:p w14:paraId="7F77930C" w14:textId="77777777" w:rsidR="005D68EB" w:rsidRPr="00563A25" w:rsidRDefault="005D68EB" w:rsidP="009C4EE0">
      <w:pPr>
        <w:pStyle w:val="af4"/>
        <w:numPr>
          <w:ilvl w:val="4"/>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563A25">
        <w:rPr>
          <w:rFonts w:ascii="標楷體" w:eastAsia="標楷體" w:hAnsi="標楷體"/>
          <w:bCs/>
          <w:sz w:val="28"/>
          <w:szCs w:val="36"/>
        </w:rPr>
        <w:t>規範縣府、所在地市町村及鄰接市町村</w:t>
      </w:r>
      <w:r>
        <w:rPr>
          <w:rFonts w:ascii="標楷體" w:eastAsia="標楷體" w:hAnsi="標楷體" w:hint="eastAsia"/>
          <w:bCs/>
          <w:sz w:val="28"/>
          <w:szCs w:val="36"/>
        </w:rPr>
        <w:t>之</w:t>
      </w:r>
      <w:r w:rsidRPr="00563A25">
        <w:rPr>
          <w:rFonts w:ascii="標楷體" w:eastAsia="標楷體" w:hAnsi="標楷體"/>
          <w:bCs/>
          <w:sz w:val="28"/>
          <w:szCs w:val="36"/>
        </w:rPr>
        <w:t>現場檢查權。</w:t>
      </w:r>
    </w:p>
    <w:p w14:paraId="295138E2" w14:textId="77777777" w:rsidR="005D68EB" w:rsidRPr="00563A25" w:rsidRDefault="005D68EB" w:rsidP="009C4EE0">
      <w:pPr>
        <w:pStyle w:val="af4"/>
        <w:numPr>
          <w:ilvl w:val="4"/>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563A25">
        <w:rPr>
          <w:rFonts w:ascii="標楷體" w:eastAsia="標楷體" w:hAnsi="標楷體"/>
          <w:bCs/>
          <w:sz w:val="28"/>
          <w:szCs w:val="36"/>
        </w:rPr>
        <w:t>進行現場檢查時，將納入周邊居民同行</w:t>
      </w:r>
      <w:r>
        <w:rPr>
          <w:rFonts w:ascii="標楷體" w:eastAsia="標楷體" w:hAnsi="標楷體" w:hint="eastAsia"/>
          <w:bCs/>
          <w:sz w:val="28"/>
          <w:szCs w:val="36"/>
        </w:rPr>
        <w:t>之</w:t>
      </w:r>
      <w:r w:rsidRPr="00563A25">
        <w:rPr>
          <w:rFonts w:ascii="標楷體" w:eastAsia="標楷體" w:hAnsi="標楷體"/>
          <w:bCs/>
          <w:sz w:val="28"/>
          <w:szCs w:val="36"/>
        </w:rPr>
        <w:t>方式。</w:t>
      </w:r>
    </w:p>
    <w:p w14:paraId="2C0003F4" w14:textId="77777777" w:rsidR="005D68EB" w:rsidRPr="00563A25" w:rsidRDefault="005D68EB" w:rsidP="009C4EE0">
      <w:pPr>
        <w:pStyle w:val="af4"/>
        <w:numPr>
          <w:ilvl w:val="4"/>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563A25">
        <w:rPr>
          <w:rFonts w:ascii="標楷體" w:eastAsia="標楷體" w:hAnsi="標楷體"/>
          <w:bCs/>
          <w:sz w:val="28"/>
          <w:szCs w:val="36"/>
        </w:rPr>
        <w:t>關於損害賠償發生爭議時，將尊重縣府、所在地市町村及與損害相關的鄰接市町村</w:t>
      </w:r>
      <w:r>
        <w:rPr>
          <w:rFonts w:ascii="標楷體" w:eastAsia="標楷體" w:hAnsi="標楷體" w:hint="eastAsia"/>
          <w:bCs/>
          <w:sz w:val="28"/>
          <w:szCs w:val="36"/>
        </w:rPr>
        <w:t>之</w:t>
      </w:r>
      <w:r w:rsidRPr="00563A25">
        <w:rPr>
          <w:rFonts w:ascii="標楷體" w:eastAsia="標楷體" w:hAnsi="標楷體"/>
          <w:bCs/>
          <w:sz w:val="28"/>
          <w:szCs w:val="36"/>
        </w:rPr>
        <w:t>共同調查結果。</w:t>
      </w:r>
    </w:p>
    <w:p w14:paraId="17A476EB" w14:textId="77777777" w:rsidR="005D68EB" w:rsidRPr="00563A25" w:rsidRDefault="005D68EB" w:rsidP="009C4EE0">
      <w:pPr>
        <w:pStyle w:val="af4"/>
        <w:numPr>
          <w:ilvl w:val="2"/>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563A25">
        <w:rPr>
          <w:rFonts w:ascii="標楷體" w:eastAsia="標楷體" w:hAnsi="標楷體"/>
          <w:bCs/>
          <w:sz w:val="28"/>
          <w:szCs w:val="36"/>
        </w:rPr>
        <w:lastRenderedPageBreak/>
        <w:t>通報聯絡協定</w:t>
      </w:r>
    </w:p>
    <w:p w14:paraId="1B72CF98" w14:textId="77777777" w:rsidR="005D68EB" w:rsidRPr="00563A25" w:rsidRDefault="005D68EB" w:rsidP="009C4EE0">
      <w:pPr>
        <w:pStyle w:val="af4"/>
        <w:numPr>
          <w:ilvl w:val="3"/>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563A25">
        <w:rPr>
          <w:rFonts w:ascii="標楷體" w:eastAsia="標楷體" w:hAnsi="標楷體"/>
          <w:bCs/>
          <w:sz w:val="28"/>
          <w:szCs w:val="36"/>
        </w:rPr>
        <w:t>締結當事者</w:t>
      </w:r>
      <w:r>
        <w:rPr>
          <w:rFonts w:ascii="標楷體" w:eastAsia="標楷體" w:hAnsi="標楷體" w:hint="eastAsia"/>
          <w:bCs/>
          <w:sz w:val="28"/>
          <w:szCs w:val="36"/>
        </w:rPr>
        <w:t>：同</w:t>
      </w:r>
      <w:r>
        <w:rPr>
          <w:rFonts w:ascii="標楷體" w:eastAsia="標楷體" w:hAnsi="標楷體"/>
          <w:bCs/>
          <w:sz w:val="28"/>
          <w:szCs w:val="36"/>
        </w:rPr>
        <w:t>核能</w:t>
      </w:r>
      <w:r w:rsidRPr="00563A25">
        <w:rPr>
          <w:rFonts w:ascii="標楷體" w:eastAsia="標楷體" w:hAnsi="標楷體"/>
          <w:bCs/>
          <w:sz w:val="28"/>
          <w:szCs w:val="36"/>
        </w:rPr>
        <w:t>安全協</w:t>
      </w:r>
      <w:r>
        <w:rPr>
          <w:rFonts w:ascii="標楷體" w:eastAsia="標楷體" w:hAnsi="標楷體" w:hint="eastAsia"/>
          <w:bCs/>
          <w:sz w:val="28"/>
          <w:szCs w:val="36"/>
        </w:rPr>
        <w:t>定。</w:t>
      </w:r>
    </w:p>
    <w:p w14:paraId="1E92B2DE" w14:textId="77777777" w:rsidR="005D68EB" w:rsidRPr="00563A25" w:rsidRDefault="005D68EB" w:rsidP="009C4EE0">
      <w:pPr>
        <w:pStyle w:val="af4"/>
        <w:numPr>
          <w:ilvl w:val="3"/>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563A25">
        <w:rPr>
          <w:rFonts w:ascii="標楷體" w:eastAsia="標楷體" w:hAnsi="標楷體"/>
          <w:bCs/>
          <w:sz w:val="28"/>
          <w:szCs w:val="36"/>
        </w:rPr>
        <w:t>締結經過</w:t>
      </w:r>
    </w:p>
    <w:p w14:paraId="7CE4AE69" w14:textId="77777777" w:rsidR="005D68EB" w:rsidRPr="00563A25" w:rsidRDefault="005D68EB" w:rsidP="009C4EE0">
      <w:pPr>
        <w:pStyle w:val="af4"/>
        <w:numPr>
          <w:ilvl w:val="4"/>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563A25">
        <w:rPr>
          <w:rFonts w:ascii="標楷體" w:eastAsia="標楷體" w:hAnsi="標楷體"/>
          <w:bCs/>
          <w:sz w:val="28"/>
          <w:szCs w:val="36"/>
        </w:rPr>
        <w:t>考量舊動力爐、核燃料開發事業團東海事業所的瀝青固化處理設施火災、爆炸事故</w:t>
      </w:r>
      <w:r>
        <w:rPr>
          <w:rFonts w:ascii="標楷體" w:eastAsia="標楷體" w:hAnsi="標楷體"/>
          <w:bCs/>
          <w:sz w:val="28"/>
          <w:szCs w:val="36"/>
        </w:rPr>
        <w:t>(</w:t>
      </w:r>
      <w:r w:rsidRPr="00563A25">
        <w:rPr>
          <w:rFonts w:ascii="標楷體" w:eastAsia="標楷體" w:hAnsi="標楷體"/>
          <w:bCs/>
          <w:sz w:val="28"/>
          <w:szCs w:val="36"/>
        </w:rPr>
        <w:t>平成9年3月</w:t>
      </w:r>
      <w:r>
        <w:rPr>
          <w:rFonts w:ascii="標楷體" w:eastAsia="標楷體" w:hAnsi="標楷體"/>
          <w:bCs/>
          <w:sz w:val="28"/>
          <w:szCs w:val="36"/>
        </w:rPr>
        <w:t>)</w:t>
      </w:r>
      <w:r w:rsidRPr="00563A25">
        <w:rPr>
          <w:rFonts w:ascii="標楷體" w:eastAsia="標楷體" w:hAnsi="標楷體"/>
          <w:bCs/>
          <w:sz w:val="28"/>
          <w:szCs w:val="36"/>
        </w:rPr>
        <w:t>，為確保</w:t>
      </w:r>
      <w:r>
        <w:rPr>
          <w:rFonts w:ascii="標楷體" w:eastAsia="標楷體" w:hAnsi="標楷體"/>
          <w:bCs/>
          <w:sz w:val="28"/>
          <w:szCs w:val="36"/>
        </w:rPr>
        <w:t>核能</w:t>
      </w:r>
      <w:r w:rsidRPr="00563A25">
        <w:rPr>
          <w:rFonts w:ascii="標楷體" w:eastAsia="標楷體" w:hAnsi="標楷體"/>
          <w:bCs/>
          <w:sz w:val="28"/>
          <w:szCs w:val="36"/>
        </w:rPr>
        <w:t>事業所</w:t>
      </w:r>
      <w:r>
        <w:rPr>
          <w:rFonts w:ascii="標楷體" w:eastAsia="標楷體" w:hAnsi="標楷體"/>
          <w:bCs/>
          <w:sz w:val="28"/>
          <w:szCs w:val="36"/>
        </w:rPr>
        <w:t>(</w:t>
      </w:r>
      <w:r w:rsidRPr="00563A25">
        <w:rPr>
          <w:rFonts w:ascii="標楷體" w:eastAsia="標楷體" w:hAnsi="標楷體"/>
          <w:bCs/>
          <w:sz w:val="28"/>
          <w:szCs w:val="36"/>
        </w:rPr>
        <w:t>舊日本</w:t>
      </w:r>
      <w:r>
        <w:rPr>
          <w:rFonts w:ascii="標楷體" w:eastAsia="標楷體" w:hAnsi="標楷體"/>
          <w:bCs/>
          <w:sz w:val="28"/>
          <w:szCs w:val="36"/>
        </w:rPr>
        <w:t>核能</w:t>
      </w:r>
      <w:r w:rsidRPr="00563A25">
        <w:rPr>
          <w:rFonts w:ascii="標楷體" w:eastAsia="標楷體" w:hAnsi="標楷體"/>
          <w:bCs/>
          <w:sz w:val="28"/>
          <w:szCs w:val="36"/>
        </w:rPr>
        <w:t>研究所東海研究所、大洗研究所、舊動力爐、核燃料開發事業團東海事業所、大洗工程中心、原電</w:t>
      </w:r>
      <w:r>
        <w:rPr>
          <w:rFonts w:ascii="標楷體" w:eastAsia="標楷體" w:hAnsi="標楷體"/>
          <w:bCs/>
          <w:sz w:val="28"/>
          <w:szCs w:val="36"/>
        </w:rPr>
        <w:t>)</w:t>
      </w:r>
      <w:r w:rsidRPr="00563A25">
        <w:rPr>
          <w:rFonts w:ascii="標楷體" w:eastAsia="標楷體" w:hAnsi="標楷體"/>
          <w:bCs/>
          <w:sz w:val="28"/>
          <w:szCs w:val="36"/>
        </w:rPr>
        <w:t>之鄰接市町村區域安全所需的通報聯絡，於平成9年8月，</w:t>
      </w:r>
      <w:r>
        <w:rPr>
          <w:rFonts w:ascii="標楷體" w:eastAsia="標楷體" w:hAnsi="標楷體"/>
          <w:bCs/>
          <w:sz w:val="28"/>
          <w:szCs w:val="36"/>
        </w:rPr>
        <w:t>核能</w:t>
      </w:r>
      <w:r w:rsidRPr="00563A25">
        <w:rPr>
          <w:rFonts w:ascii="標楷體" w:eastAsia="標楷體" w:hAnsi="標楷體"/>
          <w:bCs/>
          <w:sz w:val="28"/>
          <w:szCs w:val="36"/>
        </w:rPr>
        <w:t>事業所和個別鄰接市町村之間簽訂「關於確保</w:t>
      </w:r>
      <w:r>
        <w:rPr>
          <w:rFonts w:ascii="標楷體" w:eastAsia="標楷體" w:hAnsi="標楷體"/>
          <w:bCs/>
          <w:sz w:val="28"/>
          <w:szCs w:val="36"/>
        </w:rPr>
        <w:t>核能</w:t>
      </w:r>
      <w:r w:rsidRPr="00563A25">
        <w:rPr>
          <w:rFonts w:ascii="標楷體" w:eastAsia="標楷體" w:hAnsi="標楷體"/>
          <w:bCs/>
          <w:sz w:val="28"/>
          <w:szCs w:val="36"/>
        </w:rPr>
        <w:t>事業所鄰接市町村區域(周邊市町村區域)安全所需的通報聯絡等相關協定」。</w:t>
      </w:r>
    </w:p>
    <w:p w14:paraId="6C03E216" w14:textId="77777777" w:rsidR="005D68EB" w:rsidRPr="00563A25" w:rsidRDefault="005D68EB" w:rsidP="009C4EE0">
      <w:pPr>
        <w:pStyle w:val="af4"/>
        <w:numPr>
          <w:ilvl w:val="4"/>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563A25">
        <w:rPr>
          <w:rFonts w:ascii="標楷體" w:eastAsia="標楷體" w:hAnsi="標楷體"/>
          <w:bCs/>
          <w:sz w:val="28"/>
          <w:szCs w:val="36"/>
        </w:rPr>
        <w:t>考量JCO臨界事故</w:t>
      </w:r>
      <w:r>
        <w:rPr>
          <w:rFonts w:ascii="標楷體" w:eastAsia="標楷體" w:hAnsi="標楷體"/>
          <w:bCs/>
          <w:sz w:val="28"/>
          <w:szCs w:val="36"/>
        </w:rPr>
        <w:t>(</w:t>
      </w:r>
      <w:r w:rsidRPr="00563A25">
        <w:rPr>
          <w:rFonts w:ascii="標楷體" w:eastAsia="標楷體" w:hAnsi="標楷體"/>
          <w:bCs/>
          <w:sz w:val="28"/>
          <w:szCs w:val="36"/>
        </w:rPr>
        <w:t>平成11年9月</w:t>
      </w:r>
      <w:r>
        <w:rPr>
          <w:rFonts w:ascii="標楷體" w:eastAsia="標楷體" w:hAnsi="標楷體"/>
          <w:bCs/>
          <w:sz w:val="28"/>
          <w:szCs w:val="36"/>
        </w:rPr>
        <w:t>)</w:t>
      </w:r>
      <w:r w:rsidRPr="00563A25">
        <w:rPr>
          <w:rFonts w:ascii="標楷體" w:eastAsia="標楷體" w:hAnsi="標楷體"/>
          <w:bCs/>
          <w:sz w:val="28"/>
          <w:szCs w:val="36"/>
        </w:rPr>
        <w:t>，於平成12年9月，擴大協定締結對象事業所至全21處事業所</w:t>
      </w:r>
      <w:r>
        <w:rPr>
          <w:rFonts w:ascii="標楷體" w:eastAsia="標楷體" w:hAnsi="標楷體"/>
          <w:bCs/>
          <w:sz w:val="28"/>
          <w:szCs w:val="36"/>
        </w:rPr>
        <w:t>(</w:t>
      </w:r>
      <w:r w:rsidRPr="00563A25">
        <w:rPr>
          <w:rFonts w:ascii="標楷體" w:eastAsia="標楷體" w:hAnsi="標楷體"/>
          <w:bCs/>
          <w:sz w:val="28"/>
          <w:szCs w:val="36"/>
        </w:rPr>
        <w:t>令和5年4月現在為17處事業所</w:t>
      </w:r>
      <w:r>
        <w:rPr>
          <w:rFonts w:ascii="標楷體" w:eastAsia="標楷體" w:hAnsi="標楷體"/>
          <w:bCs/>
          <w:sz w:val="28"/>
          <w:szCs w:val="36"/>
        </w:rPr>
        <w:t>)</w:t>
      </w:r>
      <w:r w:rsidRPr="00563A25">
        <w:rPr>
          <w:rFonts w:ascii="標楷體" w:eastAsia="標楷體" w:hAnsi="標楷體"/>
          <w:bCs/>
          <w:sz w:val="28"/>
          <w:szCs w:val="36"/>
        </w:rPr>
        <w:t>，各事業所(舊日本</w:t>
      </w:r>
      <w:r>
        <w:rPr>
          <w:rFonts w:ascii="標楷體" w:eastAsia="標楷體" w:hAnsi="標楷體"/>
          <w:bCs/>
          <w:sz w:val="28"/>
          <w:szCs w:val="36"/>
        </w:rPr>
        <w:t>核能</w:t>
      </w:r>
      <w:r w:rsidRPr="00563A25">
        <w:rPr>
          <w:rFonts w:ascii="標楷體" w:eastAsia="標楷體" w:hAnsi="標楷體"/>
          <w:bCs/>
          <w:sz w:val="28"/>
          <w:szCs w:val="36"/>
        </w:rPr>
        <w:t>研究所東海研究所、大洗研究所、核燃料循環開發機構東海事業所、大洗工程中心、原電除外)通報聯絡協定的締結對象範圍也擴大至半徑10公里內的市町村。</w:t>
      </w:r>
    </w:p>
    <w:p w14:paraId="6C054E37" w14:textId="77777777" w:rsidR="005D68EB" w:rsidRPr="00E33574" w:rsidRDefault="005D68EB" w:rsidP="009C4EE0">
      <w:pPr>
        <w:pStyle w:val="af4"/>
        <w:numPr>
          <w:ilvl w:val="3"/>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E33574">
        <w:rPr>
          <w:rFonts w:ascii="標楷體" w:eastAsia="標楷體" w:hAnsi="標楷體"/>
          <w:bCs/>
          <w:sz w:val="28"/>
          <w:szCs w:val="36"/>
        </w:rPr>
        <w:t>內容</w:t>
      </w:r>
      <w:r w:rsidRPr="00E33574">
        <w:rPr>
          <w:rFonts w:ascii="標楷體" w:eastAsia="標楷體" w:hAnsi="標楷體" w:hint="eastAsia"/>
          <w:bCs/>
          <w:sz w:val="28"/>
          <w:szCs w:val="36"/>
        </w:rPr>
        <w:t>：</w:t>
      </w:r>
      <w:r w:rsidRPr="00E33574">
        <w:rPr>
          <w:rFonts w:ascii="標楷體" w:eastAsia="標楷體" w:hAnsi="標楷體"/>
          <w:bCs/>
          <w:sz w:val="28"/>
          <w:szCs w:val="36"/>
        </w:rPr>
        <w:t>通報聯絡協定共5條，主要內容如下。</w:t>
      </w:r>
    </w:p>
    <w:p w14:paraId="2296874C" w14:textId="77777777" w:rsidR="005D68EB" w:rsidRPr="00E33574" w:rsidRDefault="005D68EB" w:rsidP="009C4EE0">
      <w:pPr>
        <w:pStyle w:val="af4"/>
        <w:numPr>
          <w:ilvl w:val="4"/>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E33574">
        <w:rPr>
          <w:rFonts w:ascii="標楷體" w:eastAsia="標楷體" w:hAnsi="標楷體"/>
          <w:bCs/>
          <w:sz w:val="28"/>
          <w:szCs w:val="36"/>
        </w:rPr>
        <w:t>事故、故障發生時，</w:t>
      </w:r>
      <w:r>
        <w:rPr>
          <w:rFonts w:ascii="標楷體" w:eastAsia="標楷體" w:hAnsi="標楷體"/>
          <w:bCs/>
          <w:sz w:val="28"/>
          <w:szCs w:val="36"/>
        </w:rPr>
        <w:t>核能</w:t>
      </w:r>
      <w:r w:rsidRPr="00E33574">
        <w:rPr>
          <w:rFonts w:ascii="標楷體" w:eastAsia="標楷體" w:hAnsi="標楷體"/>
          <w:bCs/>
          <w:sz w:val="28"/>
          <w:szCs w:val="36"/>
        </w:rPr>
        <w:t>事業所應對通報聯絡協定締結市町村迅速通報。</w:t>
      </w:r>
    </w:p>
    <w:p w14:paraId="03D13712" w14:textId="77777777" w:rsidR="005D68EB" w:rsidRPr="00E33574" w:rsidRDefault="005D68EB" w:rsidP="009C4EE0">
      <w:pPr>
        <w:pStyle w:val="af4"/>
        <w:numPr>
          <w:ilvl w:val="4"/>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E33574">
        <w:rPr>
          <w:rFonts w:ascii="標楷體" w:eastAsia="標楷體" w:hAnsi="標楷體"/>
          <w:bCs/>
          <w:sz w:val="28"/>
          <w:szCs w:val="36"/>
        </w:rPr>
        <w:t>通報聯絡協定締結市町村，可派員隨同縣府或</w:t>
      </w:r>
      <w:r>
        <w:rPr>
          <w:rFonts w:ascii="標楷體" w:eastAsia="標楷體" w:hAnsi="標楷體"/>
          <w:bCs/>
          <w:sz w:val="28"/>
          <w:szCs w:val="36"/>
        </w:rPr>
        <w:t>核能</w:t>
      </w:r>
      <w:r w:rsidRPr="00E33574">
        <w:rPr>
          <w:rFonts w:ascii="標楷體" w:eastAsia="標楷體" w:hAnsi="標楷體"/>
          <w:bCs/>
          <w:sz w:val="28"/>
          <w:szCs w:val="36"/>
        </w:rPr>
        <w:t>安全協定締結市町村進行現場檢查。</w:t>
      </w:r>
    </w:p>
    <w:p w14:paraId="0C3A5375" w14:textId="77777777" w:rsidR="005D68EB" w:rsidRPr="00E33574" w:rsidRDefault="005D68EB" w:rsidP="009C4EE0">
      <w:pPr>
        <w:pStyle w:val="af4"/>
        <w:numPr>
          <w:ilvl w:val="2"/>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E33574">
        <w:rPr>
          <w:rFonts w:ascii="標楷體" w:eastAsia="標楷體" w:hAnsi="標楷體"/>
          <w:bCs/>
          <w:sz w:val="28"/>
          <w:szCs w:val="36"/>
        </w:rPr>
        <w:t>使用過燃料輸送協定</w:t>
      </w:r>
    </w:p>
    <w:p w14:paraId="34A05F89" w14:textId="77777777" w:rsidR="005D68EB" w:rsidRPr="00E33574" w:rsidRDefault="005D68EB" w:rsidP="009C4EE0">
      <w:pPr>
        <w:pStyle w:val="af4"/>
        <w:numPr>
          <w:ilvl w:val="3"/>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E33574">
        <w:rPr>
          <w:rFonts w:ascii="標楷體" w:eastAsia="標楷體" w:hAnsi="標楷體"/>
          <w:bCs/>
          <w:sz w:val="28"/>
          <w:szCs w:val="36"/>
        </w:rPr>
        <w:t>締結當事者</w:t>
      </w:r>
      <w:r>
        <w:rPr>
          <w:rFonts w:ascii="標楷體" w:eastAsia="標楷體" w:hAnsi="標楷體" w:hint="eastAsia"/>
          <w:bCs/>
          <w:sz w:val="28"/>
          <w:szCs w:val="36"/>
        </w:rPr>
        <w:t>：東京電力公司、關西電力公司、中國電力公司、九州電力公司、中部電力公司、四國電力公司、東北電力公司等。</w:t>
      </w:r>
    </w:p>
    <w:p w14:paraId="077DCECF" w14:textId="77777777" w:rsidR="005D68EB" w:rsidRPr="00E33574" w:rsidRDefault="005D68EB" w:rsidP="009C4EE0">
      <w:pPr>
        <w:pStyle w:val="af4"/>
        <w:numPr>
          <w:ilvl w:val="3"/>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E33574">
        <w:rPr>
          <w:rFonts w:ascii="標楷體" w:eastAsia="標楷體" w:hAnsi="標楷體"/>
          <w:bCs/>
          <w:sz w:val="28"/>
          <w:szCs w:val="36"/>
        </w:rPr>
        <w:t>締結經過</w:t>
      </w:r>
    </w:p>
    <w:p w14:paraId="00738BFB" w14:textId="77777777" w:rsidR="005D68EB" w:rsidRPr="00E33574" w:rsidRDefault="005D68EB" w:rsidP="009C4EE0">
      <w:pPr>
        <w:pStyle w:val="af4"/>
        <w:numPr>
          <w:ilvl w:val="4"/>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E33574">
        <w:rPr>
          <w:rFonts w:ascii="標楷體" w:eastAsia="標楷體" w:hAnsi="標楷體"/>
          <w:bCs/>
          <w:sz w:val="28"/>
          <w:szCs w:val="36"/>
        </w:rPr>
        <w:t>為確保舊動燃東海再處理設施使用過燃料輸送安全，從昭和52年起，縣府及東海村與電力公司等簽訂「關於再處理使用過核燃料輸送的安全確保協定」。</w:t>
      </w:r>
    </w:p>
    <w:p w14:paraId="6BCDD92C" w14:textId="77777777" w:rsidR="005D68EB" w:rsidRPr="00E33574" w:rsidRDefault="005D68EB" w:rsidP="009C4EE0">
      <w:pPr>
        <w:pStyle w:val="af4"/>
        <w:numPr>
          <w:ilvl w:val="4"/>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E33574">
        <w:rPr>
          <w:rFonts w:ascii="標楷體" w:eastAsia="標楷體" w:hAnsi="標楷體"/>
          <w:bCs/>
          <w:sz w:val="28"/>
          <w:szCs w:val="36"/>
        </w:rPr>
        <w:t>昭和59年，將照射後試驗用使用過燃料輸送及試驗結束後的</w:t>
      </w:r>
      <w:r w:rsidRPr="00E33574">
        <w:rPr>
          <w:rFonts w:ascii="標楷體" w:eastAsia="標楷體" w:hAnsi="標楷體"/>
          <w:bCs/>
          <w:sz w:val="28"/>
          <w:szCs w:val="36"/>
        </w:rPr>
        <w:lastRenderedPageBreak/>
        <w:t>再處理輸送納入，為更充實強化安全確保對策，將協定改為「關於再處理及照射後試驗使用過燃料輸送的安全確保協定」，沿用至今。</w:t>
      </w:r>
    </w:p>
    <w:p w14:paraId="531167A4" w14:textId="77777777" w:rsidR="005D68EB" w:rsidRPr="00E33574" w:rsidRDefault="005D68EB" w:rsidP="009C4EE0">
      <w:pPr>
        <w:pStyle w:val="af4"/>
        <w:numPr>
          <w:ilvl w:val="3"/>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E33574">
        <w:rPr>
          <w:rFonts w:ascii="標楷體" w:eastAsia="標楷體" w:hAnsi="標楷體"/>
          <w:bCs/>
          <w:sz w:val="28"/>
          <w:szCs w:val="36"/>
        </w:rPr>
        <w:t>內容</w:t>
      </w:r>
      <w:r w:rsidRPr="00E33574">
        <w:rPr>
          <w:rFonts w:ascii="標楷體" w:eastAsia="標楷體" w:hAnsi="標楷體" w:hint="eastAsia"/>
          <w:bCs/>
          <w:sz w:val="28"/>
          <w:szCs w:val="36"/>
        </w:rPr>
        <w:t>：</w:t>
      </w:r>
      <w:r w:rsidRPr="00E33574">
        <w:rPr>
          <w:rFonts w:ascii="標楷體" w:eastAsia="標楷體" w:hAnsi="標楷體"/>
          <w:bCs/>
          <w:sz w:val="28"/>
          <w:szCs w:val="36"/>
        </w:rPr>
        <w:t>使用過燃料輸送協定共18條，以及協定細則和格式的運營要項全文15條構成，主要內容如下。</w:t>
      </w:r>
    </w:p>
    <w:p w14:paraId="5DC1F14B" w14:textId="77777777" w:rsidR="005D68EB" w:rsidRPr="00E33574" w:rsidRDefault="005D68EB" w:rsidP="009C4EE0">
      <w:pPr>
        <w:pStyle w:val="af4"/>
        <w:numPr>
          <w:ilvl w:val="4"/>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E33574">
        <w:rPr>
          <w:rFonts w:ascii="標楷體" w:eastAsia="標楷體" w:hAnsi="標楷體"/>
          <w:bCs/>
          <w:sz w:val="28"/>
          <w:szCs w:val="36"/>
        </w:rPr>
        <w:t>輸送時需取得縣府及東海村等相關市町村的同意。</w:t>
      </w:r>
    </w:p>
    <w:p w14:paraId="7452A79B" w14:textId="77777777" w:rsidR="005D68EB" w:rsidRPr="00E33574" w:rsidRDefault="005D68EB" w:rsidP="009C4EE0">
      <w:pPr>
        <w:pStyle w:val="af4"/>
        <w:numPr>
          <w:ilvl w:val="4"/>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E33574">
        <w:rPr>
          <w:rFonts w:ascii="標楷體" w:eastAsia="標楷體" w:hAnsi="標楷體"/>
          <w:bCs/>
          <w:sz w:val="28"/>
          <w:szCs w:val="36"/>
        </w:rPr>
        <w:t>明訂輸送路線。</w:t>
      </w:r>
    </w:p>
    <w:p w14:paraId="21F4CB96" w14:textId="77777777" w:rsidR="005D68EB" w:rsidRPr="00E33574" w:rsidRDefault="005D68EB" w:rsidP="009C4EE0">
      <w:pPr>
        <w:pStyle w:val="af4"/>
        <w:numPr>
          <w:ilvl w:val="4"/>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E33574">
        <w:rPr>
          <w:rFonts w:ascii="標楷體" w:eastAsia="標楷體" w:hAnsi="標楷體"/>
          <w:bCs/>
          <w:sz w:val="28"/>
          <w:szCs w:val="36"/>
        </w:rPr>
        <w:t>明訂輸送責任。</w:t>
      </w:r>
    </w:p>
    <w:p w14:paraId="47331115" w14:textId="77777777" w:rsidR="005D68EB" w:rsidRPr="00E33574" w:rsidRDefault="005D68EB" w:rsidP="009C4EE0">
      <w:pPr>
        <w:pStyle w:val="af4"/>
        <w:numPr>
          <w:ilvl w:val="4"/>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E33574">
        <w:rPr>
          <w:rFonts w:ascii="標楷體" w:eastAsia="標楷體" w:hAnsi="標楷體"/>
          <w:bCs/>
          <w:sz w:val="28"/>
          <w:szCs w:val="36"/>
        </w:rPr>
        <w:t>事先制定安全輸送要領及事故對策要領。</w:t>
      </w:r>
    </w:p>
    <w:p w14:paraId="0D23396F" w14:textId="77777777" w:rsidR="005D68EB" w:rsidRPr="00E33574" w:rsidRDefault="005D68EB" w:rsidP="009C4EE0">
      <w:pPr>
        <w:pStyle w:val="af4"/>
        <w:numPr>
          <w:ilvl w:val="4"/>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E33574">
        <w:rPr>
          <w:rFonts w:ascii="標楷體" w:eastAsia="標楷體" w:hAnsi="標楷體"/>
          <w:bCs/>
          <w:sz w:val="28"/>
          <w:szCs w:val="36"/>
        </w:rPr>
        <w:t>縣府及東海村等相關市町村可派員隨行輸送並進行調查。</w:t>
      </w:r>
    </w:p>
    <w:p w14:paraId="206B8DE2" w14:textId="4941F60E" w:rsidR="005D68EB" w:rsidRPr="007C1689" w:rsidRDefault="005D68EB" w:rsidP="009C4EE0">
      <w:pPr>
        <w:pStyle w:val="af4"/>
        <w:numPr>
          <w:ilvl w:val="4"/>
          <w:numId w:val="19"/>
        </w:numPr>
        <w:tabs>
          <w:tab w:val="left" w:pos="-1920"/>
        </w:tabs>
        <w:snapToGrid w:val="0"/>
        <w:spacing w:beforeLines="15" w:before="36" w:afterLines="15" w:after="36" w:line="440" w:lineRule="exact"/>
        <w:ind w:leftChars="0"/>
        <w:jc w:val="both"/>
        <w:outlineLvl w:val="2"/>
        <w:rPr>
          <w:rFonts w:ascii="標楷體" w:eastAsia="標楷體" w:hAnsi="標楷體"/>
          <w:bCs/>
          <w:sz w:val="28"/>
          <w:szCs w:val="36"/>
        </w:rPr>
      </w:pPr>
      <w:r w:rsidRPr="007C1689">
        <w:rPr>
          <w:rFonts w:ascii="標楷體" w:eastAsia="標楷體" w:hAnsi="標楷體"/>
          <w:bCs/>
          <w:sz w:val="28"/>
          <w:szCs w:val="36"/>
        </w:rPr>
        <w:t>規定防災對策。</w:t>
      </w:r>
    </w:p>
    <w:sectPr w:rsidR="005D68EB" w:rsidRPr="007C1689" w:rsidSect="00E00B39">
      <w:footerReference w:type="default" r:id="rId51"/>
      <w:pgSz w:w="11907" w:h="16840" w:code="9"/>
      <w:pgMar w:top="1418" w:right="1418" w:bottom="1361" w:left="1418" w:header="720" w:footer="720" w:gutter="0"/>
      <w:pgNumType w:start="1"/>
      <w:cols w:space="49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CDA500" w14:textId="77777777" w:rsidR="00976AB3" w:rsidRDefault="00976AB3">
      <w:r>
        <w:separator/>
      </w:r>
    </w:p>
  </w:endnote>
  <w:endnote w:type="continuationSeparator" w:id="0">
    <w:p w14:paraId="27036B9D" w14:textId="77777777" w:rsidR="00976AB3" w:rsidRDefault="00976A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標楷體">
    <w:altName w:val="DFKai-SB"/>
    <w:panose1 w:val="03000509000000000000"/>
    <w:charset w:val="88"/>
    <w:family w:val="script"/>
    <w:pitch w:val="fixed"/>
    <w:sig w:usb0="00000003" w:usb1="080E0000" w:usb2="00000016" w:usb3="00000000" w:csb0="001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新細明體">
    <w:altName w:val="PMingLiU"/>
    <w:panose1 w:val="02020500000000000000"/>
    <w:charset w:val="88"/>
    <w:family w:val="roman"/>
    <w:pitch w:val="variable"/>
    <w:sig w:usb0="A00002FF" w:usb1="28CFFCFA" w:usb2="00000016" w:usb3="00000000" w:csb0="00100001"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細明體">
    <w:altName w:val="MingLiU"/>
    <w:panose1 w:val="02020509000000000000"/>
    <w:charset w:val="88"/>
    <w:family w:val="modern"/>
    <w:pitch w:val="fixed"/>
    <w:sig w:usb0="A00002FF" w:usb1="28CFFCFA" w:usb2="00000016" w:usb3="00000000" w:csb0="00100001"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A7598C" w14:textId="77777777" w:rsidR="003D4586" w:rsidRDefault="003D4586">
    <w:pPr>
      <w:pStyle w:val="ad"/>
      <w:framePr w:wrap="around" w:vAnchor="text" w:hAnchor="margin" w:xAlign="center" w:y="1"/>
      <w:rPr>
        <w:rStyle w:val="af"/>
      </w:rPr>
    </w:pPr>
    <w:r>
      <w:rPr>
        <w:rStyle w:val="af"/>
      </w:rPr>
      <w:fldChar w:fldCharType="begin"/>
    </w:r>
    <w:r>
      <w:rPr>
        <w:rStyle w:val="af"/>
      </w:rPr>
      <w:instrText xml:space="preserve">PAGE  </w:instrText>
    </w:r>
    <w:r>
      <w:rPr>
        <w:rStyle w:val="af"/>
      </w:rPr>
      <w:fldChar w:fldCharType="separate"/>
    </w:r>
    <w:r>
      <w:rPr>
        <w:rStyle w:val="af"/>
        <w:noProof/>
      </w:rPr>
      <w:t>0</w:t>
    </w:r>
    <w:r>
      <w:rPr>
        <w:rStyle w:val="af"/>
      </w:rPr>
      <w:fldChar w:fldCharType="end"/>
    </w:r>
  </w:p>
  <w:p w14:paraId="5D22F3AC" w14:textId="77777777" w:rsidR="003D4586" w:rsidRDefault="003D4586">
    <w:pPr>
      <w:pStyle w:val="ad"/>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42531756"/>
      <w:docPartObj>
        <w:docPartGallery w:val="Page Numbers (Bottom of Page)"/>
        <w:docPartUnique/>
      </w:docPartObj>
    </w:sdtPr>
    <w:sdtContent>
      <w:p w14:paraId="4A4083DF" w14:textId="458B3D54" w:rsidR="00E00B39" w:rsidRDefault="00E00B39">
        <w:pPr>
          <w:pStyle w:val="ad"/>
          <w:jc w:val="center"/>
        </w:pPr>
        <w:r>
          <w:fldChar w:fldCharType="begin"/>
        </w:r>
        <w:r>
          <w:instrText>PAGE   \* MERGEFORMAT</w:instrText>
        </w:r>
        <w:r>
          <w:fldChar w:fldCharType="separate"/>
        </w:r>
        <w:r>
          <w:rPr>
            <w:lang w:val="zh-TW"/>
          </w:rPr>
          <w:t>2</w:t>
        </w:r>
        <w:r>
          <w:fldChar w:fldCharType="end"/>
        </w:r>
      </w:p>
    </w:sdtContent>
  </w:sdt>
  <w:p w14:paraId="7376363F" w14:textId="77777777" w:rsidR="003D4586" w:rsidRDefault="003D4586">
    <w:pPr>
      <w:pStyle w:val="ad"/>
      <w:ind w:right="360"/>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1C7D11" w14:textId="30334AC2" w:rsidR="003D4586" w:rsidRDefault="003D4586" w:rsidP="00BE1EC0">
    <w:pPr>
      <w:pStyle w:val="ad"/>
      <w:framePr w:wrap="around" w:vAnchor="text" w:hAnchor="page" w:x="5821" w:y="-193"/>
      <w:rPr>
        <w:rStyle w:val="af"/>
      </w:rPr>
    </w:pPr>
    <w:r>
      <w:rPr>
        <w:rStyle w:val="af"/>
      </w:rPr>
      <w:fldChar w:fldCharType="begin"/>
    </w:r>
    <w:r>
      <w:rPr>
        <w:rStyle w:val="af"/>
      </w:rPr>
      <w:instrText xml:space="preserve">PAGE  </w:instrText>
    </w:r>
    <w:r>
      <w:rPr>
        <w:rStyle w:val="af"/>
      </w:rPr>
      <w:fldChar w:fldCharType="separate"/>
    </w:r>
    <w:r w:rsidR="00673967">
      <w:rPr>
        <w:rStyle w:val="af"/>
        <w:noProof/>
      </w:rPr>
      <w:t>19</w:t>
    </w:r>
    <w:r>
      <w:rPr>
        <w:rStyle w:val="af"/>
      </w:rPr>
      <w:fldChar w:fldCharType="end"/>
    </w:r>
  </w:p>
  <w:p w14:paraId="45F6B96F" w14:textId="77777777" w:rsidR="003D4586" w:rsidRDefault="003D4586">
    <w:pPr>
      <w:pStyle w:val="ad"/>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554792" w14:textId="77777777" w:rsidR="00976AB3" w:rsidRDefault="00976AB3">
      <w:r>
        <w:separator/>
      </w:r>
    </w:p>
  </w:footnote>
  <w:footnote w:type="continuationSeparator" w:id="0">
    <w:p w14:paraId="6A581679" w14:textId="77777777" w:rsidR="00976AB3" w:rsidRDefault="00976AB3">
      <w:r>
        <w:continuationSeparator/>
      </w:r>
    </w:p>
  </w:footnote>
  <w:footnote w:id="1">
    <w:p w14:paraId="425A1556" w14:textId="77777777" w:rsidR="002220E8" w:rsidRDefault="002220E8" w:rsidP="002220E8">
      <w:pPr>
        <w:pStyle w:val="aff7"/>
        <w:kinsoku w:val="0"/>
        <w:wordWrap w:val="0"/>
        <w:spacing w:line="280" w:lineRule="exact"/>
        <w:ind w:left="160" w:hangingChars="80" w:hanging="160"/>
      </w:pPr>
      <w:r>
        <w:rPr>
          <w:rStyle w:val="aff9"/>
        </w:rPr>
        <w:footnoteRef/>
      </w:r>
      <w:r>
        <w:t xml:space="preserve"> </w:t>
      </w:r>
      <w:r w:rsidRPr="00422AA8">
        <w:rPr>
          <w:rFonts w:hint="eastAsia"/>
        </w:rPr>
        <w:t>參閱</w:t>
      </w:r>
      <w:r>
        <w:rPr>
          <w:rFonts w:hint="eastAsia"/>
        </w:rPr>
        <w:t>台灣核電</w:t>
      </w:r>
      <w:r w:rsidRPr="00422AA8">
        <w:t>Nuclear Power in Taiwan</w:t>
      </w:r>
      <w:r>
        <w:rPr>
          <w:rFonts w:hint="eastAsia"/>
        </w:rPr>
        <w:t>，</w:t>
      </w:r>
      <w:r w:rsidRPr="00422AA8">
        <w:t>https://world-nuclear.org/information-library/country-profiles/others/nuclear-power-in-taiwan</w:t>
      </w:r>
      <w:r>
        <w:rPr>
          <w:rFonts w:hint="eastAsia"/>
        </w:rPr>
        <w:t>；日本核電</w:t>
      </w:r>
      <w:r w:rsidRPr="00422AA8">
        <w:t>Nuclear Power in Japan</w:t>
      </w:r>
      <w:r w:rsidRPr="00422AA8">
        <w:rPr>
          <w:rFonts w:hint="eastAsia"/>
        </w:rPr>
        <w:t>，</w:t>
      </w:r>
      <w:r w:rsidRPr="00422AA8">
        <w:t>https://world-nuclear.org/information-library/country-profiles/countries-g-n/japan-nuclear-power</w:t>
      </w:r>
    </w:p>
  </w:footnote>
  <w:footnote w:id="2">
    <w:p w14:paraId="1DDA7FD4" w14:textId="1D3855D8" w:rsidR="00B5336F" w:rsidRDefault="00B5336F" w:rsidP="00B5336F">
      <w:pPr>
        <w:pStyle w:val="aff7"/>
        <w:ind w:left="160" w:hangingChars="80" w:hanging="160"/>
      </w:pPr>
      <w:r>
        <w:rPr>
          <w:rStyle w:val="aff9"/>
        </w:rPr>
        <w:footnoteRef/>
      </w:r>
      <w:r>
        <w:rPr>
          <w:rFonts w:hint="eastAsia"/>
        </w:rPr>
        <w:t xml:space="preserve"> </w:t>
      </w:r>
      <w:r w:rsidRPr="00B5336F">
        <w:t>核分裂の仕組み</w:t>
      </w:r>
      <w:r w:rsidRPr="00B5336F">
        <w:t>(</w:t>
      </w:r>
      <w:r w:rsidRPr="00B5336F">
        <w:t>核分裂的機制</w:t>
      </w:r>
      <w:r w:rsidRPr="00B5336F">
        <w:t>)</w:t>
      </w:r>
      <w:r>
        <w:rPr>
          <w:rFonts w:hint="eastAsia"/>
        </w:rPr>
        <w:t>、</w:t>
      </w:r>
      <w:r w:rsidRPr="00B5336F">
        <w:t>原子炉建屋</w:t>
      </w:r>
      <w:r w:rsidRPr="00B5336F">
        <w:t>(</w:t>
      </w:r>
      <w:r w:rsidRPr="00B5336F">
        <w:t>反應</w:t>
      </w:r>
      <w:r>
        <w:rPr>
          <w:rFonts w:hint="eastAsia"/>
        </w:rPr>
        <w:t>器</w:t>
      </w:r>
      <w:r w:rsidRPr="00B5336F">
        <w:t>廠房</w:t>
      </w:r>
      <w:r w:rsidRPr="00B5336F">
        <w:t>)</w:t>
      </w:r>
      <w:r>
        <w:rPr>
          <w:rFonts w:hint="eastAsia"/>
        </w:rPr>
        <w:t>、</w:t>
      </w:r>
      <w:r w:rsidRPr="00B5336F">
        <w:t>原子炉圧力容器</w:t>
      </w:r>
      <w:r w:rsidRPr="00B5336F">
        <w:t>(</w:t>
      </w:r>
      <w:r w:rsidR="00A95445">
        <w:t>反應器</w:t>
      </w:r>
      <w:r w:rsidRPr="00B5336F">
        <w:t>壓力容器</w:t>
      </w:r>
      <w:r w:rsidRPr="00B5336F">
        <w:t>)</w:t>
      </w:r>
      <w:r>
        <w:rPr>
          <w:rFonts w:hint="eastAsia"/>
        </w:rPr>
        <w:t>、</w:t>
      </w:r>
      <w:r w:rsidRPr="00B5336F">
        <w:t>原子炉格納容器</w:t>
      </w:r>
      <w:r w:rsidRPr="00B5336F">
        <w:t>(</w:t>
      </w:r>
      <w:r w:rsidRPr="00B5336F">
        <w:t>反應</w:t>
      </w:r>
      <w:r>
        <w:rPr>
          <w:rFonts w:hint="eastAsia"/>
        </w:rPr>
        <w:t>器</w:t>
      </w:r>
      <w:r w:rsidRPr="00B5336F">
        <w:t>安全殼</w:t>
      </w:r>
      <w:r w:rsidRPr="00B5336F">
        <w:t>)</w:t>
      </w:r>
      <w:r>
        <w:rPr>
          <w:rFonts w:hint="eastAsia"/>
        </w:rPr>
        <w:t>、</w:t>
      </w:r>
      <w:r w:rsidRPr="00B5336F">
        <w:t>タービン建屋</w:t>
      </w:r>
      <w:r w:rsidRPr="00B5336F">
        <w:t>(</w:t>
      </w:r>
      <w:r w:rsidRPr="00B5336F">
        <w:t>渦輪機廠房</w:t>
      </w:r>
      <w:r w:rsidRPr="00B5336F">
        <w:t>)</w:t>
      </w:r>
      <w:r>
        <w:rPr>
          <w:rFonts w:hint="eastAsia"/>
        </w:rPr>
        <w:t>、</w:t>
      </w:r>
      <w:r w:rsidRPr="00B5336F">
        <w:t>使用済燃料プール</w:t>
      </w:r>
      <w:r w:rsidRPr="00B5336F">
        <w:t>(</w:t>
      </w:r>
      <w:r w:rsidRPr="00B5336F">
        <w:t>乏燃料池</w:t>
      </w:r>
      <w:r w:rsidRPr="00B5336F">
        <w:t>)</w:t>
      </w:r>
      <w:r>
        <w:rPr>
          <w:rFonts w:hint="eastAsia"/>
        </w:rPr>
        <w:t>、</w:t>
      </w:r>
      <w:r w:rsidRPr="00B5336F">
        <w:t>制御棒</w:t>
      </w:r>
      <w:r w:rsidRPr="00B5336F">
        <w:t>(</w:t>
      </w:r>
      <w:r w:rsidRPr="00B5336F">
        <w:t>控制棒</w:t>
      </w:r>
      <w:r w:rsidRPr="00B5336F">
        <w:t>)</w:t>
      </w:r>
      <w:r>
        <w:rPr>
          <w:rFonts w:hint="eastAsia"/>
        </w:rPr>
        <w:t>、</w:t>
      </w:r>
      <w:r w:rsidRPr="00B5336F">
        <w:t>インターナルポンプ改良型制御棒駆動機構</w:t>
      </w:r>
      <w:r w:rsidRPr="00B5336F">
        <w:t>(</w:t>
      </w:r>
      <w:r w:rsidRPr="00B5336F">
        <w:t>內部泵浦改良型控制棒驅動機構</w:t>
      </w:r>
      <w:r w:rsidRPr="00B5336F">
        <w:t>)</w:t>
      </w:r>
      <w:r>
        <w:rPr>
          <w:rFonts w:hint="eastAsia"/>
        </w:rPr>
        <w:t>、</w:t>
      </w:r>
      <w:r w:rsidRPr="00B5336F">
        <w:t>給水ポンプ</w:t>
      </w:r>
      <w:r w:rsidRPr="00B5336F">
        <w:t>(</w:t>
      </w:r>
      <w:r w:rsidRPr="00B5336F">
        <w:t>給水泵</w:t>
      </w:r>
      <w:r w:rsidRPr="00B5336F">
        <w:t>)</w:t>
      </w:r>
      <w:r>
        <w:rPr>
          <w:rFonts w:hint="eastAsia"/>
        </w:rPr>
        <w:t>、</w:t>
      </w:r>
      <w:r w:rsidRPr="00B5336F">
        <w:t>復水器</w:t>
      </w:r>
      <w:r w:rsidRPr="00B5336F">
        <w:t xml:space="preserve"> (</w:t>
      </w:r>
      <w:r w:rsidRPr="00B5336F">
        <w:t>冷凝器</w:t>
      </w:r>
      <w:r w:rsidRPr="00B5336F">
        <w:t>)</w:t>
      </w:r>
      <w:r>
        <w:rPr>
          <w:rFonts w:hint="eastAsia"/>
        </w:rPr>
        <w:t>、</w:t>
      </w:r>
      <w:r w:rsidRPr="00B5336F">
        <w:t>循環水ポンプ</w:t>
      </w:r>
      <w:r w:rsidRPr="00B5336F">
        <w:t>(</w:t>
      </w:r>
      <w:r w:rsidRPr="00B5336F">
        <w:t>循環水泵</w:t>
      </w:r>
      <w:r w:rsidRPr="00B5336F">
        <w:t>)</w:t>
      </w:r>
      <w:r>
        <w:rPr>
          <w:rFonts w:hint="eastAsia"/>
        </w:rPr>
        <w:t>、</w:t>
      </w:r>
      <w:r w:rsidRPr="00B5336F">
        <w:t>高圧タービン</w:t>
      </w:r>
      <w:r w:rsidRPr="00B5336F">
        <w:t>(</w:t>
      </w:r>
      <w:r w:rsidRPr="00B5336F">
        <w:t>高壓渦輪機</w:t>
      </w:r>
      <w:r w:rsidRPr="00B5336F">
        <w:t>)</w:t>
      </w:r>
      <w:r>
        <w:rPr>
          <w:rFonts w:hint="eastAsia"/>
        </w:rPr>
        <w:t>、</w:t>
      </w:r>
      <w:r w:rsidRPr="00B5336F">
        <w:t>低圧タービン</w:t>
      </w:r>
      <w:r w:rsidRPr="00B5336F">
        <w:t>(</w:t>
      </w:r>
      <w:r w:rsidRPr="00B5336F">
        <w:t>低壓渦輪機</w:t>
      </w:r>
      <w:r w:rsidRPr="00B5336F">
        <w:t>)</w:t>
      </w:r>
      <w:r>
        <w:rPr>
          <w:rFonts w:hint="eastAsia"/>
        </w:rPr>
        <w:t>、</w:t>
      </w:r>
      <w:r w:rsidRPr="00B5336F">
        <w:t>開閉所</w:t>
      </w:r>
      <w:r w:rsidRPr="00B5336F">
        <w:t>(</w:t>
      </w:r>
      <w:r w:rsidRPr="00B5336F">
        <w:t>開關場</w:t>
      </w:r>
      <w:r w:rsidRPr="00B5336F">
        <w:t>)</w:t>
      </w:r>
      <w:r>
        <w:rPr>
          <w:rFonts w:hint="eastAsia"/>
        </w:rPr>
        <w:t>、</w:t>
      </w:r>
      <w:r w:rsidRPr="00B5336F">
        <w:t>ウラン</w:t>
      </w:r>
      <w:r w:rsidRPr="00B5336F">
        <w:t>235 (</w:t>
      </w:r>
      <w:r w:rsidRPr="00B5336F">
        <w:t>鈾</w:t>
      </w:r>
      <w:r w:rsidRPr="00B5336F">
        <w:t>235)</w:t>
      </w:r>
      <w:r>
        <w:rPr>
          <w:rFonts w:hint="eastAsia"/>
        </w:rPr>
        <w:t>。</w:t>
      </w:r>
      <w:r w:rsidRPr="00B5336F">
        <w:t>中性子</w:t>
      </w:r>
      <w:r w:rsidRPr="00B5336F">
        <w:t>(</w:t>
      </w:r>
      <w:r w:rsidRPr="00B5336F">
        <w:t>中子</w:t>
      </w:r>
      <w:r w:rsidRPr="00B5336F">
        <w:t>)</w:t>
      </w:r>
      <w:r>
        <w:rPr>
          <w:rFonts w:hint="eastAsia"/>
        </w:rPr>
        <w:t>、</w:t>
      </w:r>
      <w:r w:rsidRPr="00B5336F">
        <w:t>エネルギー</w:t>
      </w:r>
      <w:r w:rsidRPr="00B5336F">
        <w:t>(</w:t>
      </w:r>
      <w:r w:rsidRPr="00B5336F">
        <w:t>能量</w:t>
      </w:r>
      <w:r w:rsidRPr="00B5336F">
        <w:t>)</w:t>
      </w:r>
      <w:r>
        <w:rPr>
          <w:rFonts w:hint="eastAsia"/>
        </w:rPr>
        <w:t>、</w:t>
      </w:r>
      <w:r w:rsidRPr="00B5336F">
        <w:t>熱エネルギー発生</w:t>
      </w:r>
      <w:r w:rsidRPr="00B5336F">
        <w:t>(</w:t>
      </w:r>
      <w:r w:rsidRPr="00B5336F">
        <w:t>產生熱能</w:t>
      </w:r>
      <w:r w:rsidRPr="00B5336F">
        <w:t>)</w:t>
      </w:r>
      <w:r>
        <w:rPr>
          <w:rFonts w:hint="eastAsia"/>
        </w:rPr>
        <w:t>。</w:t>
      </w:r>
    </w:p>
  </w:footnote>
  <w:footnote w:id="3">
    <w:p w14:paraId="191FDC5F" w14:textId="494D83F2" w:rsidR="00E96AE8" w:rsidRDefault="00E96AE8" w:rsidP="0007682F">
      <w:pPr>
        <w:pStyle w:val="aff7"/>
        <w:ind w:left="560" w:hangingChars="280" w:hanging="560"/>
        <w:jc w:val="both"/>
      </w:pPr>
      <w:r>
        <w:rPr>
          <w:rStyle w:val="aff9"/>
        </w:rPr>
        <w:footnoteRef/>
      </w:r>
      <w:r>
        <w:rPr>
          <w:rFonts w:hint="eastAsia"/>
        </w:rPr>
        <w:t xml:space="preserve"> </w:t>
      </w:r>
      <w:r>
        <w:rPr>
          <w:rFonts w:hint="eastAsia"/>
        </w:rPr>
        <w:t>一、</w:t>
      </w:r>
      <w:r w:rsidRPr="00E96AE8">
        <w:t>反應</w:t>
      </w:r>
      <w:r>
        <w:rPr>
          <w:rFonts w:hint="eastAsia"/>
        </w:rPr>
        <w:t>器</w:t>
      </w:r>
      <w:r w:rsidRPr="00E96AE8">
        <w:t>廠房</w:t>
      </w:r>
      <w:r>
        <w:rPr>
          <w:rFonts w:hint="eastAsia"/>
        </w:rPr>
        <w:t>及</w:t>
      </w:r>
      <w:r w:rsidRPr="00E96AE8">
        <w:t>渦輪機廠房</w:t>
      </w:r>
      <w:r w:rsidR="0007682F" w:rsidRPr="0007682F">
        <w:t>タービン建屋</w:t>
      </w:r>
      <w:r w:rsidRPr="00E96AE8">
        <w:t>(1</w:t>
      </w:r>
      <w:r w:rsidRPr="00E96AE8">
        <w:t>～</w:t>
      </w:r>
      <w:r w:rsidRPr="00E96AE8">
        <w:t>7</w:t>
      </w:r>
      <w:r w:rsidRPr="00E96AE8">
        <w:t>號機</w:t>
      </w:r>
      <w:r w:rsidRPr="00E96AE8">
        <w:t>)</w:t>
      </w:r>
      <w:r>
        <w:rPr>
          <w:rFonts w:hint="eastAsia"/>
        </w:rPr>
        <w:t>：</w:t>
      </w:r>
      <w:r w:rsidRPr="00E96AE8">
        <w:t>反應</w:t>
      </w:r>
      <w:r>
        <w:rPr>
          <w:rFonts w:hint="eastAsia"/>
        </w:rPr>
        <w:t>器</w:t>
      </w:r>
      <w:r w:rsidRPr="00E96AE8">
        <w:t>廠房內設置反應</w:t>
      </w:r>
      <w:r>
        <w:rPr>
          <w:rFonts w:hint="eastAsia"/>
        </w:rPr>
        <w:t>器及</w:t>
      </w:r>
      <w:r w:rsidRPr="00E96AE8">
        <w:t>緊急柴油發電機，渦輪機廠房內設置渦輪機和發電機等設備，以應對萬一發生斷電的情況，確保廠區內必要的電力供應。</w:t>
      </w:r>
    </w:p>
    <w:p w14:paraId="706A3DF8" w14:textId="4CE59A3F" w:rsidR="00E96AE8" w:rsidRDefault="00E96AE8" w:rsidP="0007682F">
      <w:pPr>
        <w:pStyle w:val="aff7"/>
        <w:ind w:leftChars="80" w:left="592" w:hangingChars="200" w:hanging="400"/>
        <w:jc w:val="both"/>
      </w:pPr>
      <w:r>
        <w:rPr>
          <w:rFonts w:hint="eastAsia"/>
        </w:rPr>
        <w:t>二、</w:t>
      </w:r>
      <w:r w:rsidRPr="00E96AE8">
        <w:t>防潮堤</w:t>
      </w:r>
      <w:r w:rsidRPr="00E96AE8">
        <w:t>(1</w:t>
      </w:r>
      <w:r w:rsidRPr="00E96AE8">
        <w:t>～</w:t>
      </w:r>
      <w:r w:rsidRPr="00E96AE8">
        <w:t>4</w:t>
      </w:r>
      <w:r w:rsidRPr="00E96AE8">
        <w:t>號機側</w:t>
      </w:r>
      <w:r w:rsidRPr="00E96AE8">
        <w:t>)</w:t>
      </w:r>
      <w:r>
        <w:rPr>
          <w:rFonts w:hint="eastAsia"/>
        </w:rPr>
        <w:t>：</w:t>
      </w:r>
      <w:r w:rsidRPr="00E96AE8">
        <w:t>在海拔</w:t>
      </w:r>
      <w:r w:rsidRPr="00E96AE8">
        <w:t>5</w:t>
      </w:r>
      <w:r w:rsidRPr="00E96AE8">
        <w:t>公尺的場地上設置高約</w:t>
      </w:r>
      <w:r w:rsidRPr="00E96AE8">
        <w:t>10</w:t>
      </w:r>
      <w:r w:rsidRPr="00E96AE8">
        <w:t>公尺的鋼筋混凝土牆，並進行地盤改良。</w:t>
      </w:r>
      <w:r w:rsidRPr="00E96AE8">
        <w:t>(</w:t>
      </w:r>
      <w:r w:rsidRPr="00E96AE8">
        <w:t>包含基地的高度，總共海拔</w:t>
      </w:r>
      <w:r w:rsidRPr="00E96AE8">
        <w:t>15</w:t>
      </w:r>
      <w:r w:rsidRPr="00E96AE8">
        <w:t>公尺</w:t>
      </w:r>
      <w:r w:rsidRPr="00E96AE8">
        <w:t>)</w:t>
      </w:r>
      <w:r w:rsidRPr="00E96AE8">
        <w:t>設置長度約</w:t>
      </w:r>
      <w:r w:rsidRPr="00E96AE8">
        <w:t>1.5</w:t>
      </w:r>
      <w:r w:rsidRPr="00E96AE8">
        <w:t>公里。</w:t>
      </w:r>
    </w:p>
    <w:p w14:paraId="08C2ADEE" w14:textId="6F026867" w:rsidR="00E96AE8" w:rsidRDefault="00E96AE8" w:rsidP="0007682F">
      <w:pPr>
        <w:pStyle w:val="aff7"/>
        <w:ind w:leftChars="80" w:left="592" w:hangingChars="200" w:hanging="400"/>
        <w:jc w:val="both"/>
      </w:pPr>
      <w:r>
        <w:rPr>
          <w:rFonts w:hint="eastAsia"/>
        </w:rPr>
        <w:t>三、</w:t>
      </w:r>
      <w:r w:rsidRPr="00E96AE8">
        <w:t>防潮堤</w:t>
      </w:r>
      <w:r w:rsidRPr="00E96AE8">
        <w:t>(5</w:t>
      </w:r>
      <w:r w:rsidRPr="00E96AE8">
        <w:t>～</w:t>
      </w:r>
      <w:r w:rsidRPr="00E96AE8">
        <w:t>7</w:t>
      </w:r>
      <w:r w:rsidRPr="00E96AE8">
        <w:t>號機側</w:t>
      </w:r>
      <w:r w:rsidRPr="00E96AE8">
        <w:t>)</w:t>
      </w:r>
      <w:r>
        <w:rPr>
          <w:rFonts w:hint="eastAsia"/>
        </w:rPr>
        <w:t>：</w:t>
      </w:r>
      <w:r w:rsidRPr="00E96AE8">
        <w:t>在海拔</w:t>
      </w:r>
      <w:r w:rsidRPr="00E96AE8">
        <w:t>12</w:t>
      </w:r>
      <w:r w:rsidRPr="00E96AE8">
        <w:t>公尺的場地上利用水泥改良土增高約</w:t>
      </w:r>
      <w:r w:rsidRPr="00E96AE8">
        <w:t>3</w:t>
      </w:r>
      <w:r w:rsidRPr="00E96AE8">
        <w:t>公尺。</w:t>
      </w:r>
      <w:r w:rsidRPr="00E96AE8">
        <w:t>(</w:t>
      </w:r>
      <w:r w:rsidRPr="00E96AE8">
        <w:t>包含基地的高度，總共海拔</w:t>
      </w:r>
      <w:r w:rsidRPr="00E96AE8">
        <w:t>15</w:t>
      </w:r>
      <w:r w:rsidRPr="00E96AE8">
        <w:t>公尺</w:t>
      </w:r>
      <w:r w:rsidRPr="00E96AE8">
        <w:t>)</w:t>
      </w:r>
      <w:r w:rsidRPr="00E96AE8">
        <w:t>設置長度約</w:t>
      </w:r>
      <w:r w:rsidRPr="00E96AE8">
        <w:t>1</w:t>
      </w:r>
      <w:r w:rsidRPr="00E96AE8">
        <w:t>公里。</w:t>
      </w:r>
    </w:p>
    <w:p w14:paraId="31DB8053" w14:textId="7FBCDD09" w:rsidR="00E96AE8" w:rsidRDefault="0007682F" w:rsidP="0007682F">
      <w:pPr>
        <w:pStyle w:val="aff7"/>
        <w:ind w:leftChars="80" w:left="592" w:hangingChars="200" w:hanging="400"/>
        <w:jc w:val="both"/>
      </w:pPr>
      <w:r>
        <w:rPr>
          <w:rFonts w:hint="eastAsia"/>
        </w:rPr>
        <w:t>四、</w:t>
      </w:r>
      <w:r w:rsidRPr="0007682F">
        <w:t>緊急時對策所</w:t>
      </w:r>
      <w:r>
        <w:rPr>
          <w:rFonts w:hint="eastAsia"/>
        </w:rPr>
        <w:t>：</w:t>
      </w:r>
      <w:r w:rsidRPr="0007682F">
        <w:t>當發生嚴重事故，中央控制室無法進行操作時，作為掌握電廠狀況並採取必要措施的據點。</w:t>
      </w:r>
    </w:p>
    <w:p w14:paraId="4BF3611A" w14:textId="5E4CFB3E" w:rsidR="0007682F" w:rsidRDefault="0007682F" w:rsidP="0007682F">
      <w:pPr>
        <w:pStyle w:val="aff7"/>
        <w:ind w:leftChars="80" w:left="592" w:hangingChars="200" w:hanging="400"/>
        <w:jc w:val="both"/>
      </w:pPr>
      <w:r>
        <w:rPr>
          <w:rFonts w:hint="eastAsia"/>
        </w:rPr>
        <w:t>五、</w:t>
      </w:r>
      <w:r w:rsidRPr="0007682F">
        <w:t>空冷式氣渦輪發電機車</w:t>
      </w:r>
      <w:r w:rsidRPr="0007682F">
        <w:t>(GTG</w:t>
      </w:r>
      <w:r>
        <w:rPr>
          <w:rFonts w:hint="eastAsia"/>
        </w:rPr>
        <w:t>、</w:t>
      </w:r>
      <w:r w:rsidRPr="0007682F">
        <w:t>空冷式ガスタービン発電機車</w:t>
      </w:r>
      <w:r w:rsidRPr="0007682F">
        <w:t>)</w:t>
      </w:r>
      <w:r>
        <w:rPr>
          <w:rFonts w:hint="eastAsia"/>
        </w:rPr>
        <w:t>：</w:t>
      </w:r>
      <w:r w:rsidRPr="0007682F">
        <w:t>以輕油為燃料，透過旋轉氣渦輪機來發電的設備車輛。當外部電源和緊急柴油發電機都無法供電時，作為替代電源，分散配置在</w:t>
      </w:r>
      <w:r w:rsidRPr="0007682F">
        <w:t>7</w:t>
      </w:r>
      <w:r w:rsidRPr="0007682F">
        <w:t>號機附近和海拔</w:t>
      </w:r>
      <w:r w:rsidRPr="0007682F">
        <w:t>21</w:t>
      </w:r>
      <w:r w:rsidRPr="0007682F">
        <w:t>公尺的高台上。</w:t>
      </w:r>
    </w:p>
    <w:p w14:paraId="79F81AB9" w14:textId="471E20A3" w:rsidR="0007682F" w:rsidRPr="00E96AE8" w:rsidRDefault="0007682F" w:rsidP="0007682F">
      <w:pPr>
        <w:pStyle w:val="aff7"/>
        <w:ind w:leftChars="80" w:left="592" w:hangingChars="200" w:hanging="400"/>
        <w:jc w:val="both"/>
      </w:pPr>
      <w:r>
        <w:rPr>
          <w:rFonts w:hint="eastAsia"/>
        </w:rPr>
        <w:t>六、</w:t>
      </w:r>
      <w:r w:rsidRPr="0007682F">
        <w:t>大容量注水車</w:t>
      </w:r>
      <w:r w:rsidRPr="0007682F">
        <w:t>(</w:t>
      </w:r>
      <w:r w:rsidRPr="0007682F">
        <w:t>消防車</w:t>
      </w:r>
      <w:r w:rsidRPr="0007682F">
        <w:t>)</w:t>
      </w:r>
      <w:r w:rsidRPr="0007682F">
        <w:t>・電源車・替代熱交換器車</w:t>
      </w:r>
      <w:r>
        <w:rPr>
          <w:rFonts w:hint="eastAsia"/>
        </w:rPr>
        <w:t>：</w:t>
      </w:r>
      <w:r w:rsidRPr="0007682F">
        <w:t>配置在不受海嘯影響的海拔</w:t>
      </w:r>
      <w:r w:rsidRPr="0007682F">
        <w:t>35</w:t>
      </w:r>
      <w:r w:rsidRPr="0007682F">
        <w:t>公尺的高台上，並分散配置於發電廠各處</w:t>
      </w:r>
      <w:r>
        <w:rPr>
          <w:rFonts w:hint="eastAsia"/>
        </w:rPr>
        <w:t>，</w:t>
      </w:r>
      <w:r w:rsidRPr="0007682F">
        <w:t>從保管場所到電廠的通道</w:t>
      </w:r>
      <w:r>
        <w:rPr>
          <w:rFonts w:hint="eastAsia"/>
        </w:rPr>
        <w:t>，亦</w:t>
      </w:r>
      <w:r w:rsidRPr="0007682F">
        <w:t>強化設置場所的地盤。</w:t>
      </w:r>
    </w:p>
  </w:footnote>
  <w:footnote w:id="4">
    <w:p w14:paraId="2E415064" w14:textId="3F0551AD" w:rsidR="00F3658C" w:rsidRPr="00F3658C" w:rsidRDefault="00F3658C" w:rsidP="00F3658C">
      <w:pPr>
        <w:pStyle w:val="aff7"/>
        <w:ind w:left="160" w:hangingChars="80" w:hanging="160"/>
      </w:pPr>
      <w:r>
        <w:rPr>
          <w:rStyle w:val="aff9"/>
        </w:rPr>
        <w:footnoteRef/>
      </w:r>
      <w:r>
        <w:t xml:space="preserve"> </w:t>
      </w:r>
      <w:r>
        <w:rPr>
          <w:rFonts w:hint="eastAsia"/>
        </w:rPr>
        <w:t>東京大學副校長堤伸浩教授原與監察委員鴻義章在東京大學原子力中心「放射線遺傳學教室」研究，堤伸浩副校長時任博士生係為時任碩士生鴻義章委員之前輩。博士班畢業後轉入「放射線健康管理學教室</w:t>
      </w:r>
      <w:r w:rsidR="00F81C7D">
        <w:rPr>
          <w:rFonts w:hint="eastAsia"/>
        </w:rPr>
        <w:t>」</w:t>
      </w:r>
      <w:r>
        <w:rPr>
          <w:rFonts w:hint="eastAsia"/>
        </w:rPr>
        <w:t>，專攻放射線</w:t>
      </w:r>
      <w:r w:rsidR="00F81C7D">
        <w:rPr>
          <w:rFonts w:hint="eastAsia"/>
        </w:rPr>
        <w:t>防護及健康管理學</w:t>
      </w:r>
      <w:r>
        <w:rPr>
          <w:rFonts w:hint="eastAsia"/>
        </w:rPr>
        <w:t>。</w:t>
      </w:r>
      <w:r w:rsidR="00F81C7D" w:rsidRPr="00F81C7D">
        <w:rPr>
          <w:rFonts w:hint="eastAsia"/>
        </w:rPr>
        <w:t>放射線健康管理學教室前後期學生，</w:t>
      </w:r>
      <w:r w:rsidR="00F81C7D">
        <w:rPr>
          <w:rFonts w:hint="eastAsia"/>
        </w:rPr>
        <w:t>含括</w:t>
      </w:r>
      <w:r w:rsidR="00F81C7D" w:rsidRPr="00F81C7D">
        <w:rPr>
          <w:rFonts w:hint="eastAsia"/>
        </w:rPr>
        <w:t>醫學、工學、量子力學</w:t>
      </w:r>
      <w:r w:rsidR="00F81C7D">
        <w:rPr>
          <w:rFonts w:hint="eastAsia"/>
        </w:rPr>
        <w:t>等領域</w:t>
      </w:r>
      <w:r w:rsidR="00F81C7D" w:rsidRPr="00F81C7D">
        <w:rPr>
          <w:rFonts w:hint="eastAsia"/>
        </w:rPr>
        <w:t>，</w:t>
      </w:r>
      <w:r w:rsidR="00F81C7D">
        <w:rPr>
          <w:rFonts w:hint="eastAsia"/>
        </w:rPr>
        <w:t>後續</w:t>
      </w:r>
      <w:r w:rsidR="00F81C7D" w:rsidRPr="00F81C7D">
        <w:rPr>
          <w:rFonts w:hint="eastAsia"/>
        </w:rPr>
        <w:t>多半任職全日本九大核電廠，例如：日本原子力規制委員會委員伴信彥博士、國際放射防護委員會</w:t>
      </w:r>
      <w:r w:rsidR="00F81C7D" w:rsidRPr="00F81C7D">
        <w:rPr>
          <w:rFonts w:hint="eastAsia"/>
        </w:rPr>
        <w:t>ICRP</w:t>
      </w:r>
      <w:r w:rsidR="00F81C7D" w:rsidRPr="00F81C7D">
        <w:rPr>
          <w:rFonts w:hint="eastAsia"/>
        </w:rPr>
        <w:t>日本地區委員甲斐倫明博士時任</w:t>
      </w:r>
      <w:r w:rsidR="00F81C7D">
        <w:rPr>
          <w:rFonts w:hint="eastAsia"/>
        </w:rPr>
        <w:t>研究室</w:t>
      </w:r>
      <w:r w:rsidR="00F81C7D" w:rsidRPr="00F81C7D">
        <w:rPr>
          <w:rFonts w:hint="eastAsia"/>
        </w:rPr>
        <w:t>講師。</w:t>
      </w:r>
    </w:p>
  </w:footnote>
  <w:footnote w:id="5">
    <w:p w14:paraId="2213D8B5" w14:textId="65DD0D31" w:rsidR="00AF0EAA" w:rsidRDefault="00AF0EAA">
      <w:pPr>
        <w:pStyle w:val="aff7"/>
      </w:pPr>
      <w:r>
        <w:rPr>
          <w:rStyle w:val="aff9"/>
        </w:rPr>
        <w:footnoteRef/>
      </w:r>
      <w:r>
        <w:t xml:space="preserve"> </w:t>
      </w:r>
      <w:r>
        <w:rPr>
          <w:rFonts w:hint="eastAsia"/>
        </w:rPr>
        <w:t>參閱參議院議員</w:t>
      </w:r>
      <w:r w:rsidRPr="00AF0EAA">
        <w:rPr>
          <w:rFonts w:hint="eastAsia"/>
        </w:rPr>
        <w:t>佐藤正久</w:t>
      </w:r>
      <w:r>
        <w:rPr>
          <w:rFonts w:hint="eastAsia"/>
        </w:rPr>
        <w:t>網站</w:t>
      </w:r>
      <w:r w:rsidRPr="00AF0EAA">
        <w:t>https://sato-masahisa.jp/</w:t>
      </w:r>
    </w:p>
  </w:footnote>
  <w:footnote w:id="6">
    <w:p w14:paraId="28C67B36" w14:textId="557F676C" w:rsidR="00500A58" w:rsidRPr="00500A58" w:rsidRDefault="00500A58" w:rsidP="00D204F6">
      <w:pPr>
        <w:pStyle w:val="aff7"/>
        <w:ind w:left="160" w:hangingChars="80" w:hanging="160"/>
        <w:jc w:val="both"/>
      </w:pPr>
      <w:r>
        <w:rPr>
          <w:rStyle w:val="aff9"/>
        </w:rPr>
        <w:footnoteRef/>
      </w:r>
      <w:r>
        <w:t xml:space="preserve"> </w:t>
      </w:r>
      <w:r w:rsidRPr="00D204F6">
        <w:rPr>
          <w:rFonts w:asciiTheme="minorEastAsia" w:eastAsiaTheme="minorEastAsia" w:hAnsiTheme="minorEastAsia" w:hint="eastAsia"/>
        </w:rPr>
        <w:t>講師訓練計畫</w:t>
      </w:r>
      <w:r w:rsidRPr="00D204F6">
        <w:rPr>
          <w:rFonts w:asciiTheme="minorEastAsia" w:eastAsiaTheme="minorEastAsia" w:hAnsiTheme="minorEastAsia"/>
        </w:rPr>
        <w:t>Instructor Training Program (ITP)</w:t>
      </w:r>
      <w:r w:rsidRPr="00D204F6">
        <w:rPr>
          <w:rFonts w:asciiTheme="minorEastAsia" w:eastAsiaTheme="minorEastAsia" w:hAnsiTheme="minorEastAsia" w:hint="eastAsia"/>
        </w:rPr>
        <w:t>；講師訓練課程</w:t>
      </w:r>
      <w:r w:rsidRPr="00D204F6">
        <w:rPr>
          <w:rFonts w:asciiTheme="minorEastAsia" w:eastAsiaTheme="minorEastAsia" w:hAnsiTheme="minorEastAsia"/>
        </w:rPr>
        <w:t>Instructor Training Course (ITC)</w:t>
      </w:r>
      <w:r w:rsidRPr="00D204F6">
        <w:rPr>
          <w:rFonts w:asciiTheme="minorEastAsia" w:eastAsiaTheme="minorEastAsia" w:hAnsiTheme="minorEastAsia" w:hint="eastAsia"/>
        </w:rPr>
        <w:t>；後續培訓課程</w:t>
      </w:r>
      <w:r w:rsidRPr="00D204F6">
        <w:rPr>
          <w:rFonts w:asciiTheme="minorEastAsia" w:eastAsiaTheme="minorEastAsia" w:hAnsiTheme="minorEastAsia"/>
        </w:rPr>
        <w:t>Follow-up Training Course (FTC)</w:t>
      </w:r>
      <w:r w:rsidRPr="00D204F6">
        <w:rPr>
          <w:rFonts w:asciiTheme="minorEastAsia" w:eastAsiaTheme="minorEastAsia" w:hAnsiTheme="minorEastAsia" w:hint="eastAsia"/>
        </w:rPr>
        <w:t>；資深講師培訓課程</w:t>
      </w:r>
      <w:r w:rsidRPr="00D204F6">
        <w:rPr>
          <w:rFonts w:asciiTheme="minorEastAsia" w:eastAsiaTheme="minorEastAsia" w:hAnsiTheme="minorEastAsia"/>
        </w:rPr>
        <w:t>Advanced Instructor Training Course (AITC)</w:t>
      </w:r>
      <w:r w:rsidRPr="00D204F6">
        <w:rPr>
          <w:rFonts w:asciiTheme="minorEastAsia" w:eastAsiaTheme="minorEastAsia" w:hAnsiTheme="minorEastAsia" w:hint="eastAsia"/>
        </w:rPr>
        <w:t>；核能技術研討會</w:t>
      </w:r>
      <w:r w:rsidRPr="00D204F6">
        <w:rPr>
          <w:rFonts w:asciiTheme="minorEastAsia" w:eastAsiaTheme="minorEastAsia" w:hAnsiTheme="minorEastAsia"/>
        </w:rPr>
        <w:t>Nuclear Technology Seminar (Seminar)</w:t>
      </w:r>
      <w:r w:rsidRPr="00D204F6">
        <w:rPr>
          <w:rFonts w:asciiTheme="minorEastAsia" w:eastAsiaTheme="minorEastAsia" w:hAnsiTheme="minorEastAsia" w:hint="eastAsia"/>
        </w:rPr>
        <w:t>。</w:t>
      </w:r>
    </w:p>
  </w:footnote>
  <w:footnote w:id="7">
    <w:p w14:paraId="69D8C096" w14:textId="77777777" w:rsidR="005D68EB" w:rsidRDefault="005D68EB" w:rsidP="005D68EB">
      <w:pPr>
        <w:pStyle w:val="aff7"/>
      </w:pPr>
      <w:r>
        <w:rPr>
          <w:rStyle w:val="aff9"/>
        </w:rPr>
        <w:footnoteRef/>
      </w:r>
      <w:r>
        <w:t xml:space="preserve"> </w:t>
      </w:r>
      <w:r>
        <w:rPr>
          <w:rFonts w:hint="eastAsia"/>
        </w:rPr>
        <w:t>參閱「</w:t>
      </w:r>
      <w:r w:rsidRPr="00C155D0">
        <w:rPr>
          <w:rFonts w:hint="eastAsia"/>
        </w:rPr>
        <w:t>原子力ハンドブック</w:t>
      </w:r>
      <w:r>
        <w:rPr>
          <w:rFonts w:hint="eastAsia"/>
        </w:rPr>
        <w:t>」</w:t>
      </w:r>
      <w:r w:rsidRPr="00C155D0">
        <w:rPr>
          <w:rFonts w:hint="eastAsia"/>
        </w:rPr>
        <w:t>-</w:t>
      </w:r>
      <w:r w:rsidRPr="00C155D0">
        <w:rPr>
          <w:rFonts w:hint="eastAsia"/>
        </w:rPr>
        <w:t>知っておきたい放射線と原子力の知識，茨</w:t>
      </w:r>
      <w:r>
        <w:rPr>
          <w:rFonts w:hint="eastAsia"/>
        </w:rPr>
        <w:t>城</w:t>
      </w:r>
      <w:r w:rsidRPr="00C155D0">
        <w:rPr>
          <w:rFonts w:hint="eastAsia"/>
        </w:rPr>
        <w:t>縣</w:t>
      </w:r>
      <w:r w:rsidRPr="00C155D0">
        <w:rPr>
          <w:rFonts w:hint="eastAsia"/>
        </w:rPr>
        <w:t>2023</w:t>
      </w:r>
      <w:r w:rsidRPr="00C155D0">
        <w:rPr>
          <w:rFonts w:hint="eastAsia"/>
        </w:rPr>
        <w:t>年版。</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A861C7"/>
    <w:multiLevelType w:val="multilevel"/>
    <w:tmpl w:val="EC287892"/>
    <w:lvl w:ilvl="0">
      <w:start w:val="1"/>
      <w:numFmt w:val="ideographLegalTraditional"/>
      <w:lvlText w:val="%1、"/>
      <w:lvlJc w:val="left"/>
      <w:pPr>
        <w:ind w:left="567" w:hanging="567"/>
      </w:pPr>
      <w:rPr>
        <w:rFonts w:eastAsia="標楷體" w:hint="eastAsia"/>
        <w:b w:val="0"/>
        <w:i w:val="0"/>
        <w:sz w:val="28"/>
        <w:szCs w:val="32"/>
      </w:rPr>
    </w:lvl>
    <w:lvl w:ilvl="1">
      <w:start w:val="1"/>
      <w:numFmt w:val="taiwaneseCountingThousand"/>
      <w:lvlText w:val="%2、"/>
      <w:lvlJc w:val="left"/>
      <w:pPr>
        <w:ind w:left="851" w:hanging="567"/>
      </w:pPr>
      <w:rPr>
        <w:rFonts w:eastAsia="標楷體" w:hint="eastAsia"/>
        <w:b w:val="0"/>
        <w:bCs/>
        <w:i w:val="0"/>
        <w:color w:val="auto"/>
        <w:sz w:val="28"/>
        <w:szCs w:val="28"/>
      </w:rPr>
    </w:lvl>
    <w:lvl w:ilvl="2">
      <w:start w:val="1"/>
      <w:numFmt w:val="taiwaneseCountingThousand"/>
      <w:lvlText w:val="(%3)"/>
      <w:lvlJc w:val="left"/>
      <w:pPr>
        <w:ind w:left="1135" w:hanging="567"/>
      </w:pPr>
      <w:rPr>
        <w:rFonts w:ascii="Times New Roman" w:eastAsia="標楷體" w:hAnsi="Times New Roman" w:cs="Times New Roman" w:hint="default"/>
        <w:b w:val="0"/>
        <w:i w:val="0"/>
        <w:color w:val="auto"/>
        <w:sz w:val="28"/>
      </w:rPr>
    </w:lvl>
    <w:lvl w:ilvl="3">
      <w:start w:val="1"/>
      <w:numFmt w:val="decimal"/>
      <w:lvlText w:val="%4."/>
      <w:lvlJc w:val="left"/>
      <w:pPr>
        <w:ind w:left="1419" w:hanging="567"/>
      </w:pPr>
      <w:rPr>
        <w:rFonts w:eastAsia="標楷體" w:hint="eastAsia"/>
        <w:b w:val="0"/>
        <w:i w:val="0"/>
        <w:color w:val="auto"/>
        <w:sz w:val="28"/>
      </w:rPr>
    </w:lvl>
    <w:lvl w:ilvl="4">
      <w:start w:val="1"/>
      <w:numFmt w:val="decimal"/>
      <w:lvlText w:val="(%5)"/>
      <w:lvlJc w:val="left"/>
      <w:pPr>
        <w:ind w:left="1703" w:hanging="567"/>
      </w:pPr>
      <w:rPr>
        <w:rFonts w:eastAsia="標楷體" w:hint="eastAsia"/>
        <w:b w:val="0"/>
        <w:i w:val="0"/>
        <w:sz w:val="28"/>
      </w:rPr>
    </w:lvl>
    <w:lvl w:ilvl="5">
      <w:start w:val="1"/>
      <w:numFmt w:val="upperLetter"/>
      <w:lvlText w:val="%6."/>
      <w:lvlJc w:val="left"/>
      <w:pPr>
        <w:ind w:left="1987" w:hanging="567"/>
      </w:pPr>
      <w:rPr>
        <w:rFonts w:eastAsia="標楷體" w:hint="eastAsia"/>
        <w:b w:val="0"/>
        <w:i w:val="0"/>
        <w:sz w:val="28"/>
      </w:rPr>
    </w:lvl>
    <w:lvl w:ilvl="6">
      <w:start w:val="1"/>
      <w:numFmt w:val="decimal"/>
      <w:lvlText w:val="%7)"/>
      <w:lvlJc w:val="left"/>
      <w:pPr>
        <w:ind w:left="2268" w:hanging="567"/>
      </w:pPr>
      <w:rPr>
        <w:rFonts w:eastAsia="標楷體" w:hint="eastAsia"/>
        <w:b w:val="0"/>
        <w:i w:val="0"/>
        <w:sz w:val="28"/>
      </w:rPr>
    </w:lvl>
    <w:lvl w:ilvl="7">
      <w:start w:val="1"/>
      <w:numFmt w:val="ideographTraditional"/>
      <w:lvlText w:val="%8、"/>
      <w:lvlJc w:val="left"/>
      <w:pPr>
        <w:ind w:left="2555" w:hanging="567"/>
      </w:pPr>
      <w:rPr>
        <w:rFonts w:hint="eastAsia"/>
      </w:rPr>
    </w:lvl>
    <w:lvl w:ilvl="8">
      <w:start w:val="1"/>
      <w:numFmt w:val="lowerRoman"/>
      <w:lvlText w:val="%9."/>
      <w:lvlJc w:val="right"/>
      <w:pPr>
        <w:ind w:left="2839" w:hanging="567"/>
      </w:pPr>
      <w:rPr>
        <w:rFonts w:hint="eastAsia"/>
      </w:rPr>
    </w:lvl>
  </w:abstractNum>
  <w:abstractNum w:abstractNumId="1" w15:restartNumberingAfterBreak="0">
    <w:nsid w:val="104F5EE0"/>
    <w:multiLevelType w:val="multilevel"/>
    <w:tmpl w:val="EC287892"/>
    <w:lvl w:ilvl="0">
      <w:start w:val="1"/>
      <w:numFmt w:val="ideographLegalTraditional"/>
      <w:lvlText w:val="%1、"/>
      <w:lvlJc w:val="left"/>
      <w:pPr>
        <w:ind w:left="567" w:hanging="567"/>
      </w:pPr>
      <w:rPr>
        <w:rFonts w:eastAsia="標楷體" w:hint="eastAsia"/>
        <w:b w:val="0"/>
        <w:i w:val="0"/>
        <w:sz w:val="28"/>
        <w:szCs w:val="32"/>
      </w:rPr>
    </w:lvl>
    <w:lvl w:ilvl="1">
      <w:start w:val="1"/>
      <w:numFmt w:val="taiwaneseCountingThousand"/>
      <w:lvlText w:val="%2、"/>
      <w:lvlJc w:val="left"/>
      <w:pPr>
        <w:ind w:left="851" w:hanging="567"/>
      </w:pPr>
      <w:rPr>
        <w:rFonts w:eastAsia="標楷體" w:hint="eastAsia"/>
        <w:b w:val="0"/>
        <w:bCs/>
        <w:i w:val="0"/>
        <w:color w:val="auto"/>
        <w:sz w:val="28"/>
        <w:szCs w:val="28"/>
      </w:rPr>
    </w:lvl>
    <w:lvl w:ilvl="2">
      <w:start w:val="1"/>
      <w:numFmt w:val="taiwaneseCountingThousand"/>
      <w:lvlText w:val="(%3)"/>
      <w:lvlJc w:val="left"/>
      <w:pPr>
        <w:ind w:left="1135" w:hanging="567"/>
      </w:pPr>
      <w:rPr>
        <w:rFonts w:ascii="Times New Roman" w:eastAsia="標楷體" w:hAnsi="Times New Roman" w:cs="Times New Roman" w:hint="default"/>
        <w:b w:val="0"/>
        <w:i w:val="0"/>
        <w:color w:val="auto"/>
        <w:sz w:val="28"/>
      </w:rPr>
    </w:lvl>
    <w:lvl w:ilvl="3">
      <w:start w:val="1"/>
      <w:numFmt w:val="decimal"/>
      <w:lvlText w:val="%4."/>
      <w:lvlJc w:val="left"/>
      <w:pPr>
        <w:ind w:left="1419" w:hanging="567"/>
      </w:pPr>
      <w:rPr>
        <w:rFonts w:eastAsia="標楷體" w:hint="eastAsia"/>
        <w:b w:val="0"/>
        <w:i w:val="0"/>
        <w:color w:val="auto"/>
        <w:sz w:val="28"/>
      </w:rPr>
    </w:lvl>
    <w:lvl w:ilvl="4">
      <w:start w:val="1"/>
      <w:numFmt w:val="decimal"/>
      <w:lvlText w:val="(%5)"/>
      <w:lvlJc w:val="left"/>
      <w:pPr>
        <w:ind w:left="1703" w:hanging="567"/>
      </w:pPr>
      <w:rPr>
        <w:rFonts w:eastAsia="標楷體" w:hint="eastAsia"/>
        <w:b w:val="0"/>
        <w:i w:val="0"/>
        <w:sz w:val="28"/>
      </w:rPr>
    </w:lvl>
    <w:lvl w:ilvl="5">
      <w:start w:val="1"/>
      <w:numFmt w:val="upperLetter"/>
      <w:lvlText w:val="%6."/>
      <w:lvlJc w:val="left"/>
      <w:pPr>
        <w:ind w:left="1987" w:hanging="567"/>
      </w:pPr>
      <w:rPr>
        <w:rFonts w:eastAsia="標楷體" w:hint="eastAsia"/>
        <w:b w:val="0"/>
        <w:i w:val="0"/>
        <w:sz w:val="28"/>
      </w:rPr>
    </w:lvl>
    <w:lvl w:ilvl="6">
      <w:start w:val="1"/>
      <w:numFmt w:val="decimal"/>
      <w:lvlText w:val="%7)"/>
      <w:lvlJc w:val="left"/>
      <w:pPr>
        <w:ind w:left="2268" w:hanging="567"/>
      </w:pPr>
      <w:rPr>
        <w:rFonts w:eastAsia="標楷體" w:hint="eastAsia"/>
        <w:b w:val="0"/>
        <w:i w:val="0"/>
        <w:sz w:val="28"/>
      </w:rPr>
    </w:lvl>
    <w:lvl w:ilvl="7">
      <w:start w:val="1"/>
      <w:numFmt w:val="ideographTraditional"/>
      <w:lvlText w:val="%8、"/>
      <w:lvlJc w:val="left"/>
      <w:pPr>
        <w:ind w:left="2555" w:hanging="567"/>
      </w:pPr>
      <w:rPr>
        <w:rFonts w:hint="eastAsia"/>
      </w:rPr>
    </w:lvl>
    <w:lvl w:ilvl="8">
      <w:start w:val="1"/>
      <w:numFmt w:val="lowerRoman"/>
      <w:lvlText w:val="%9."/>
      <w:lvlJc w:val="right"/>
      <w:pPr>
        <w:ind w:left="2839" w:hanging="567"/>
      </w:pPr>
      <w:rPr>
        <w:rFonts w:hint="eastAsia"/>
      </w:rPr>
    </w:lvl>
  </w:abstractNum>
  <w:abstractNum w:abstractNumId="2" w15:restartNumberingAfterBreak="0">
    <w:nsid w:val="14390614"/>
    <w:multiLevelType w:val="multilevel"/>
    <w:tmpl w:val="EC287892"/>
    <w:lvl w:ilvl="0">
      <w:start w:val="1"/>
      <w:numFmt w:val="ideographLegalTraditional"/>
      <w:lvlText w:val="%1、"/>
      <w:lvlJc w:val="left"/>
      <w:pPr>
        <w:ind w:left="567" w:hanging="567"/>
      </w:pPr>
      <w:rPr>
        <w:rFonts w:eastAsia="標楷體" w:hint="eastAsia"/>
        <w:b w:val="0"/>
        <w:i w:val="0"/>
        <w:sz w:val="28"/>
        <w:szCs w:val="32"/>
      </w:rPr>
    </w:lvl>
    <w:lvl w:ilvl="1">
      <w:start w:val="1"/>
      <w:numFmt w:val="taiwaneseCountingThousand"/>
      <w:lvlText w:val="%2、"/>
      <w:lvlJc w:val="left"/>
      <w:pPr>
        <w:ind w:left="851" w:hanging="567"/>
      </w:pPr>
      <w:rPr>
        <w:rFonts w:eastAsia="標楷體" w:hint="eastAsia"/>
        <w:b w:val="0"/>
        <w:bCs/>
        <w:i w:val="0"/>
        <w:color w:val="auto"/>
        <w:sz w:val="28"/>
        <w:szCs w:val="28"/>
      </w:rPr>
    </w:lvl>
    <w:lvl w:ilvl="2">
      <w:start w:val="1"/>
      <w:numFmt w:val="taiwaneseCountingThousand"/>
      <w:lvlText w:val="(%3)"/>
      <w:lvlJc w:val="left"/>
      <w:pPr>
        <w:ind w:left="1135" w:hanging="567"/>
      </w:pPr>
      <w:rPr>
        <w:rFonts w:ascii="Times New Roman" w:eastAsia="標楷體" w:hAnsi="Times New Roman" w:cs="Times New Roman" w:hint="default"/>
        <w:b w:val="0"/>
        <w:i w:val="0"/>
        <w:color w:val="auto"/>
        <w:sz w:val="28"/>
      </w:rPr>
    </w:lvl>
    <w:lvl w:ilvl="3">
      <w:start w:val="1"/>
      <w:numFmt w:val="decimal"/>
      <w:lvlText w:val="%4."/>
      <w:lvlJc w:val="left"/>
      <w:pPr>
        <w:ind w:left="1419" w:hanging="567"/>
      </w:pPr>
      <w:rPr>
        <w:rFonts w:eastAsia="標楷體" w:hint="eastAsia"/>
        <w:b w:val="0"/>
        <w:i w:val="0"/>
        <w:color w:val="auto"/>
        <w:sz w:val="28"/>
      </w:rPr>
    </w:lvl>
    <w:lvl w:ilvl="4">
      <w:start w:val="1"/>
      <w:numFmt w:val="decimal"/>
      <w:lvlText w:val="(%5)"/>
      <w:lvlJc w:val="left"/>
      <w:pPr>
        <w:ind w:left="1703" w:hanging="567"/>
      </w:pPr>
      <w:rPr>
        <w:rFonts w:eastAsia="標楷體" w:hint="eastAsia"/>
        <w:b w:val="0"/>
        <w:i w:val="0"/>
        <w:sz w:val="28"/>
      </w:rPr>
    </w:lvl>
    <w:lvl w:ilvl="5">
      <w:start w:val="1"/>
      <w:numFmt w:val="upperLetter"/>
      <w:lvlText w:val="%6."/>
      <w:lvlJc w:val="left"/>
      <w:pPr>
        <w:ind w:left="1987" w:hanging="567"/>
      </w:pPr>
      <w:rPr>
        <w:rFonts w:eastAsia="標楷體" w:hint="eastAsia"/>
        <w:b w:val="0"/>
        <w:i w:val="0"/>
        <w:sz w:val="28"/>
      </w:rPr>
    </w:lvl>
    <w:lvl w:ilvl="6">
      <w:start w:val="1"/>
      <w:numFmt w:val="decimal"/>
      <w:lvlText w:val="%7)"/>
      <w:lvlJc w:val="left"/>
      <w:pPr>
        <w:ind w:left="2268" w:hanging="567"/>
      </w:pPr>
      <w:rPr>
        <w:rFonts w:eastAsia="標楷體" w:hint="eastAsia"/>
        <w:b w:val="0"/>
        <w:i w:val="0"/>
        <w:sz w:val="28"/>
      </w:rPr>
    </w:lvl>
    <w:lvl w:ilvl="7">
      <w:start w:val="1"/>
      <w:numFmt w:val="ideographTraditional"/>
      <w:lvlText w:val="%8、"/>
      <w:lvlJc w:val="left"/>
      <w:pPr>
        <w:ind w:left="2555" w:hanging="567"/>
      </w:pPr>
      <w:rPr>
        <w:rFonts w:hint="eastAsia"/>
      </w:rPr>
    </w:lvl>
    <w:lvl w:ilvl="8">
      <w:start w:val="1"/>
      <w:numFmt w:val="lowerRoman"/>
      <w:lvlText w:val="%9."/>
      <w:lvlJc w:val="right"/>
      <w:pPr>
        <w:ind w:left="2839" w:hanging="567"/>
      </w:pPr>
      <w:rPr>
        <w:rFonts w:hint="eastAsia"/>
      </w:rPr>
    </w:lvl>
  </w:abstractNum>
  <w:abstractNum w:abstractNumId="3" w15:restartNumberingAfterBreak="0">
    <w:nsid w:val="14D55A95"/>
    <w:multiLevelType w:val="multilevel"/>
    <w:tmpl w:val="EC287892"/>
    <w:lvl w:ilvl="0">
      <w:start w:val="1"/>
      <w:numFmt w:val="ideographLegalTraditional"/>
      <w:lvlText w:val="%1、"/>
      <w:lvlJc w:val="left"/>
      <w:pPr>
        <w:ind w:left="567" w:hanging="567"/>
      </w:pPr>
      <w:rPr>
        <w:rFonts w:eastAsia="標楷體" w:hint="eastAsia"/>
        <w:b w:val="0"/>
        <w:i w:val="0"/>
        <w:sz w:val="28"/>
        <w:szCs w:val="32"/>
      </w:rPr>
    </w:lvl>
    <w:lvl w:ilvl="1">
      <w:start w:val="1"/>
      <w:numFmt w:val="taiwaneseCountingThousand"/>
      <w:lvlText w:val="%2、"/>
      <w:lvlJc w:val="left"/>
      <w:pPr>
        <w:ind w:left="851" w:hanging="567"/>
      </w:pPr>
      <w:rPr>
        <w:rFonts w:eastAsia="標楷體" w:hint="eastAsia"/>
        <w:b w:val="0"/>
        <w:bCs/>
        <w:i w:val="0"/>
        <w:color w:val="auto"/>
        <w:sz w:val="28"/>
        <w:szCs w:val="28"/>
      </w:rPr>
    </w:lvl>
    <w:lvl w:ilvl="2">
      <w:start w:val="1"/>
      <w:numFmt w:val="taiwaneseCountingThousand"/>
      <w:lvlText w:val="(%3)"/>
      <w:lvlJc w:val="left"/>
      <w:pPr>
        <w:ind w:left="1135" w:hanging="567"/>
      </w:pPr>
      <w:rPr>
        <w:rFonts w:ascii="Times New Roman" w:eastAsia="標楷體" w:hAnsi="Times New Roman" w:cs="Times New Roman" w:hint="default"/>
        <w:b w:val="0"/>
        <w:i w:val="0"/>
        <w:color w:val="auto"/>
        <w:sz w:val="28"/>
      </w:rPr>
    </w:lvl>
    <w:lvl w:ilvl="3">
      <w:start w:val="1"/>
      <w:numFmt w:val="decimal"/>
      <w:lvlText w:val="%4."/>
      <w:lvlJc w:val="left"/>
      <w:pPr>
        <w:ind w:left="1419" w:hanging="567"/>
      </w:pPr>
      <w:rPr>
        <w:rFonts w:eastAsia="標楷體" w:hint="eastAsia"/>
        <w:b w:val="0"/>
        <w:i w:val="0"/>
        <w:color w:val="auto"/>
        <w:sz w:val="28"/>
      </w:rPr>
    </w:lvl>
    <w:lvl w:ilvl="4">
      <w:start w:val="1"/>
      <w:numFmt w:val="decimal"/>
      <w:lvlText w:val="(%5)"/>
      <w:lvlJc w:val="left"/>
      <w:pPr>
        <w:ind w:left="1703" w:hanging="567"/>
      </w:pPr>
      <w:rPr>
        <w:rFonts w:eastAsia="標楷體" w:hint="eastAsia"/>
        <w:b w:val="0"/>
        <w:i w:val="0"/>
        <w:sz w:val="28"/>
      </w:rPr>
    </w:lvl>
    <w:lvl w:ilvl="5">
      <w:start w:val="1"/>
      <w:numFmt w:val="upperLetter"/>
      <w:lvlText w:val="%6."/>
      <w:lvlJc w:val="left"/>
      <w:pPr>
        <w:ind w:left="1987" w:hanging="567"/>
      </w:pPr>
      <w:rPr>
        <w:rFonts w:eastAsia="標楷體" w:hint="eastAsia"/>
        <w:b w:val="0"/>
        <w:i w:val="0"/>
        <w:sz w:val="28"/>
      </w:rPr>
    </w:lvl>
    <w:lvl w:ilvl="6">
      <w:start w:val="1"/>
      <w:numFmt w:val="decimal"/>
      <w:lvlText w:val="%7)"/>
      <w:lvlJc w:val="left"/>
      <w:pPr>
        <w:ind w:left="2268" w:hanging="567"/>
      </w:pPr>
      <w:rPr>
        <w:rFonts w:eastAsia="標楷體" w:hint="eastAsia"/>
        <w:b w:val="0"/>
        <w:i w:val="0"/>
        <w:sz w:val="28"/>
      </w:rPr>
    </w:lvl>
    <w:lvl w:ilvl="7">
      <w:start w:val="1"/>
      <w:numFmt w:val="ideographTraditional"/>
      <w:lvlText w:val="%8、"/>
      <w:lvlJc w:val="left"/>
      <w:pPr>
        <w:ind w:left="2555" w:hanging="567"/>
      </w:pPr>
      <w:rPr>
        <w:rFonts w:hint="eastAsia"/>
      </w:rPr>
    </w:lvl>
    <w:lvl w:ilvl="8">
      <w:start w:val="1"/>
      <w:numFmt w:val="lowerRoman"/>
      <w:lvlText w:val="%9."/>
      <w:lvlJc w:val="right"/>
      <w:pPr>
        <w:ind w:left="2839" w:hanging="567"/>
      </w:pPr>
      <w:rPr>
        <w:rFonts w:hint="eastAsia"/>
      </w:rPr>
    </w:lvl>
  </w:abstractNum>
  <w:abstractNum w:abstractNumId="4" w15:restartNumberingAfterBreak="0">
    <w:nsid w:val="18010E07"/>
    <w:multiLevelType w:val="multilevel"/>
    <w:tmpl w:val="EC287892"/>
    <w:lvl w:ilvl="0">
      <w:start w:val="1"/>
      <w:numFmt w:val="ideographLegalTraditional"/>
      <w:lvlText w:val="%1、"/>
      <w:lvlJc w:val="left"/>
      <w:pPr>
        <w:ind w:left="567" w:hanging="567"/>
      </w:pPr>
      <w:rPr>
        <w:rFonts w:eastAsia="標楷體" w:hint="eastAsia"/>
        <w:b w:val="0"/>
        <w:i w:val="0"/>
        <w:sz w:val="28"/>
        <w:szCs w:val="32"/>
      </w:rPr>
    </w:lvl>
    <w:lvl w:ilvl="1">
      <w:start w:val="1"/>
      <w:numFmt w:val="taiwaneseCountingThousand"/>
      <w:lvlText w:val="%2、"/>
      <w:lvlJc w:val="left"/>
      <w:pPr>
        <w:ind w:left="851" w:hanging="567"/>
      </w:pPr>
      <w:rPr>
        <w:rFonts w:eastAsia="標楷體" w:hint="eastAsia"/>
        <w:b w:val="0"/>
        <w:bCs/>
        <w:i w:val="0"/>
        <w:color w:val="auto"/>
        <w:sz w:val="28"/>
        <w:szCs w:val="28"/>
      </w:rPr>
    </w:lvl>
    <w:lvl w:ilvl="2">
      <w:start w:val="1"/>
      <w:numFmt w:val="taiwaneseCountingThousand"/>
      <w:lvlText w:val="(%3)"/>
      <w:lvlJc w:val="left"/>
      <w:pPr>
        <w:ind w:left="1135" w:hanging="567"/>
      </w:pPr>
      <w:rPr>
        <w:rFonts w:ascii="Times New Roman" w:eastAsia="標楷體" w:hAnsi="Times New Roman" w:cs="Times New Roman" w:hint="default"/>
        <w:b w:val="0"/>
        <w:i w:val="0"/>
        <w:color w:val="auto"/>
        <w:sz w:val="28"/>
      </w:rPr>
    </w:lvl>
    <w:lvl w:ilvl="3">
      <w:start w:val="1"/>
      <w:numFmt w:val="decimal"/>
      <w:lvlText w:val="%4."/>
      <w:lvlJc w:val="left"/>
      <w:pPr>
        <w:ind w:left="1419" w:hanging="567"/>
      </w:pPr>
      <w:rPr>
        <w:rFonts w:eastAsia="標楷體" w:hint="eastAsia"/>
        <w:b w:val="0"/>
        <w:i w:val="0"/>
        <w:color w:val="auto"/>
        <w:sz w:val="28"/>
      </w:rPr>
    </w:lvl>
    <w:lvl w:ilvl="4">
      <w:start w:val="1"/>
      <w:numFmt w:val="decimal"/>
      <w:lvlText w:val="(%5)"/>
      <w:lvlJc w:val="left"/>
      <w:pPr>
        <w:ind w:left="1703" w:hanging="567"/>
      </w:pPr>
      <w:rPr>
        <w:rFonts w:eastAsia="標楷體" w:hint="eastAsia"/>
        <w:b w:val="0"/>
        <w:i w:val="0"/>
        <w:sz w:val="28"/>
      </w:rPr>
    </w:lvl>
    <w:lvl w:ilvl="5">
      <w:start w:val="1"/>
      <w:numFmt w:val="upperLetter"/>
      <w:lvlText w:val="%6."/>
      <w:lvlJc w:val="left"/>
      <w:pPr>
        <w:ind w:left="1987" w:hanging="567"/>
      </w:pPr>
      <w:rPr>
        <w:rFonts w:eastAsia="標楷體" w:hint="eastAsia"/>
        <w:b w:val="0"/>
        <w:i w:val="0"/>
        <w:sz w:val="28"/>
      </w:rPr>
    </w:lvl>
    <w:lvl w:ilvl="6">
      <w:start w:val="1"/>
      <w:numFmt w:val="decimal"/>
      <w:lvlText w:val="%7)"/>
      <w:lvlJc w:val="left"/>
      <w:pPr>
        <w:ind w:left="2268" w:hanging="567"/>
      </w:pPr>
      <w:rPr>
        <w:rFonts w:eastAsia="標楷體" w:hint="eastAsia"/>
        <w:b w:val="0"/>
        <w:i w:val="0"/>
        <w:sz w:val="28"/>
      </w:rPr>
    </w:lvl>
    <w:lvl w:ilvl="7">
      <w:start w:val="1"/>
      <w:numFmt w:val="ideographTraditional"/>
      <w:lvlText w:val="%8、"/>
      <w:lvlJc w:val="left"/>
      <w:pPr>
        <w:ind w:left="2555" w:hanging="567"/>
      </w:pPr>
      <w:rPr>
        <w:rFonts w:hint="eastAsia"/>
      </w:rPr>
    </w:lvl>
    <w:lvl w:ilvl="8">
      <w:start w:val="1"/>
      <w:numFmt w:val="lowerRoman"/>
      <w:lvlText w:val="%9."/>
      <w:lvlJc w:val="right"/>
      <w:pPr>
        <w:ind w:left="2839" w:hanging="567"/>
      </w:pPr>
      <w:rPr>
        <w:rFonts w:hint="eastAsia"/>
      </w:rPr>
    </w:lvl>
  </w:abstractNum>
  <w:abstractNum w:abstractNumId="5" w15:restartNumberingAfterBreak="0">
    <w:nsid w:val="19FB7822"/>
    <w:multiLevelType w:val="hybridMultilevel"/>
    <w:tmpl w:val="81B0A952"/>
    <w:lvl w:ilvl="0" w:tplc="54A487DE">
      <w:start w:val="2"/>
      <w:numFmt w:val="decimal"/>
      <w:pStyle w:val="1"/>
      <w:lvlText w:val="%1."/>
      <w:lvlJc w:val="left"/>
      <w:pPr>
        <w:tabs>
          <w:tab w:val="num" w:pos="1848"/>
        </w:tabs>
        <w:ind w:left="1848" w:hanging="360"/>
      </w:pPr>
      <w:rPr>
        <w:rFonts w:hint="eastAsia"/>
      </w:rPr>
    </w:lvl>
    <w:lvl w:ilvl="1" w:tplc="04090019" w:tentative="1">
      <w:start w:val="1"/>
      <w:numFmt w:val="ideographTraditional"/>
      <w:lvlText w:val="%2、"/>
      <w:lvlJc w:val="left"/>
      <w:pPr>
        <w:tabs>
          <w:tab w:val="num" w:pos="2448"/>
        </w:tabs>
        <w:ind w:left="2448" w:hanging="480"/>
      </w:pPr>
    </w:lvl>
    <w:lvl w:ilvl="2" w:tplc="0409001B" w:tentative="1">
      <w:start w:val="1"/>
      <w:numFmt w:val="lowerRoman"/>
      <w:lvlText w:val="%3."/>
      <w:lvlJc w:val="right"/>
      <w:pPr>
        <w:tabs>
          <w:tab w:val="num" w:pos="2928"/>
        </w:tabs>
        <w:ind w:left="2928" w:hanging="480"/>
      </w:pPr>
    </w:lvl>
    <w:lvl w:ilvl="3" w:tplc="0409000F" w:tentative="1">
      <w:start w:val="1"/>
      <w:numFmt w:val="decimal"/>
      <w:lvlText w:val="%4."/>
      <w:lvlJc w:val="left"/>
      <w:pPr>
        <w:tabs>
          <w:tab w:val="num" w:pos="3408"/>
        </w:tabs>
        <w:ind w:left="3408" w:hanging="480"/>
      </w:pPr>
    </w:lvl>
    <w:lvl w:ilvl="4" w:tplc="04090019" w:tentative="1">
      <w:start w:val="1"/>
      <w:numFmt w:val="ideographTraditional"/>
      <w:lvlText w:val="%5、"/>
      <w:lvlJc w:val="left"/>
      <w:pPr>
        <w:tabs>
          <w:tab w:val="num" w:pos="3888"/>
        </w:tabs>
        <w:ind w:left="3888" w:hanging="480"/>
      </w:pPr>
    </w:lvl>
    <w:lvl w:ilvl="5" w:tplc="0409001B" w:tentative="1">
      <w:start w:val="1"/>
      <w:numFmt w:val="lowerRoman"/>
      <w:lvlText w:val="%6."/>
      <w:lvlJc w:val="right"/>
      <w:pPr>
        <w:tabs>
          <w:tab w:val="num" w:pos="4368"/>
        </w:tabs>
        <w:ind w:left="4368" w:hanging="480"/>
      </w:pPr>
    </w:lvl>
    <w:lvl w:ilvl="6" w:tplc="0409000F" w:tentative="1">
      <w:start w:val="1"/>
      <w:numFmt w:val="decimal"/>
      <w:lvlText w:val="%7."/>
      <w:lvlJc w:val="left"/>
      <w:pPr>
        <w:tabs>
          <w:tab w:val="num" w:pos="4848"/>
        </w:tabs>
        <w:ind w:left="4848" w:hanging="480"/>
      </w:pPr>
    </w:lvl>
    <w:lvl w:ilvl="7" w:tplc="04090019" w:tentative="1">
      <w:start w:val="1"/>
      <w:numFmt w:val="ideographTraditional"/>
      <w:lvlText w:val="%8、"/>
      <w:lvlJc w:val="left"/>
      <w:pPr>
        <w:tabs>
          <w:tab w:val="num" w:pos="5328"/>
        </w:tabs>
        <w:ind w:left="5328" w:hanging="480"/>
      </w:pPr>
    </w:lvl>
    <w:lvl w:ilvl="8" w:tplc="0409001B" w:tentative="1">
      <w:start w:val="1"/>
      <w:numFmt w:val="lowerRoman"/>
      <w:lvlText w:val="%9."/>
      <w:lvlJc w:val="right"/>
      <w:pPr>
        <w:tabs>
          <w:tab w:val="num" w:pos="5808"/>
        </w:tabs>
        <w:ind w:left="5808" w:hanging="480"/>
      </w:pPr>
    </w:lvl>
  </w:abstractNum>
  <w:abstractNum w:abstractNumId="6" w15:restartNumberingAfterBreak="0">
    <w:nsid w:val="1B304880"/>
    <w:multiLevelType w:val="multilevel"/>
    <w:tmpl w:val="EC287892"/>
    <w:lvl w:ilvl="0">
      <w:start w:val="1"/>
      <w:numFmt w:val="ideographLegalTraditional"/>
      <w:lvlText w:val="%1、"/>
      <w:lvlJc w:val="left"/>
      <w:pPr>
        <w:ind w:left="567" w:hanging="567"/>
      </w:pPr>
      <w:rPr>
        <w:rFonts w:eastAsia="標楷體" w:hint="eastAsia"/>
        <w:b w:val="0"/>
        <w:i w:val="0"/>
        <w:sz w:val="28"/>
        <w:szCs w:val="32"/>
      </w:rPr>
    </w:lvl>
    <w:lvl w:ilvl="1">
      <w:start w:val="1"/>
      <w:numFmt w:val="taiwaneseCountingThousand"/>
      <w:lvlText w:val="%2、"/>
      <w:lvlJc w:val="left"/>
      <w:pPr>
        <w:ind w:left="851" w:hanging="567"/>
      </w:pPr>
      <w:rPr>
        <w:rFonts w:eastAsia="標楷體" w:hint="eastAsia"/>
        <w:b w:val="0"/>
        <w:bCs/>
        <w:i w:val="0"/>
        <w:color w:val="auto"/>
        <w:sz w:val="28"/>
        <w:szCs w:val="28"/>
      </w:rPr>
    </w:lvl>
    <w:lvl w:ilvl="2">
      <w:start w:val="1"/>
      <w:numFmt w:val="taiwaneseCountingThousand"/>
      <w:lvlText w:val="(%3)"/>
      <w:lvlJc w:val="left"/>
      <w:pPr>
        <w:ind w:left="1135" w:hanging="567"/>
      </w:pPr>
      <w:rPr>
        <w:rFonts w:ascii="Times New Roman" w:eastAsia="標楷體" w:hAnsi="Times New Roman" w:cs="Times New Roman" w:hint="default"/>
        <w:b w:val="0"/>
        <w:i w:val="0"/>
        <w:color w:val="auto"/>
        <w:sz w:val="28"/>
      </w:rPr>
    </w:lvl>
    <w:lvl w:ilvl="3">
      <w:start w:val="1"/>
      <w:numFmt w:val="decimal"/>
      <w:lvlText w:val="%4."/>
      <w:lvlJc w:val="left"/>
      <w:pPr>
        <w:ind w:left="1419" w:hanging="567"/>
      </w:pPr>
      <w:rPr>
        <w:rFonts w:eastAsia="標楷體" w:hint="eastAsia"/>
        <w:b w:val="0"/>
        <w:i w:val="0"/>
        <w:color w:val="auto"/>
        <w:sz w:val="28"/>
      </w:rPr>
    </w:lvl>
    <w:lvl w:ilvl="4">
      <w:start w:val="1"/>
      <w:numFmt w:val="decimal"/>
      <w:lvlText w:val="(%5)"/>
      <w:lvlJc w:val="left"/>
      <w:pPr>
        <w:ind w:left="1703" w:hanging="567"/>
      </w:pPr>
      <w:rPr>
        <w:rFonts w:eastAsia="標楷體" w:hint="eastAsia"/>
        <w:b w:val="0"/>
        <w:i w:val="0"/>
        <w:sz w:val="28"/>
      </w:rPr>
    </w:lvl>
    <w:lvl w:ilvl="5">
      <w:start w:val="1"/>
      <w:numFmt w:val="upperLetter"/>
      <w:lvlText w:val="%6."/>
      <w:lvlJc w:val="left"/>
      <w:pPr>
        <w:ind w:left="1987" w:hanging="567"/>
      </w:pPr>
      <w:rPr>
        <w:rFonts w:eastAsia="標楷體" w:hint="eastAsia"/>
        <w:b w:val="0"/>
        <w:i w:val="0"/>
        <w:sz w:val="28"/>
      </w:rPr>
    </w:lvl>
    <w:lvl w:ilvl="6">
      <w:start w:val="1"/>
      <w:numFmt w:val="decimal"/>
      <w:lvlText w:val="%7)"/>
      <w:lvlJc w:val="left"/>
      <w:pPr>
        <w:ind w:left="2268" w:hanging="567"/>
      </w:pPr>
      <w:rPr>
        <w:rFonts w:eastAsia="標楷體" w:hint="eastAsia"/>
        <w:b w:val="0"/>
        <w:i w:val="0"/>
        <w:sz w:val="28"/>
      </w:rPr>
    </w:lvl>
    <w:lvl w:ilvl="7">
      <w:start w:val="1"/>
      <w:numFmt w:val="ideographTraditional"/>
      <w:lvlText w:val="%8、"/>
      <w:lvlJc w:val="left"/>
      <w:pPr>
        <w:ind w:left="2555" w:hanging="567"/>
      </w:pPr>
      <w:rPr>
        <w:rFonts w:hint="eastAsia"/>
      </w:rPr>
    </w:lvl>
    <w:lvl w:ilvl="8">
      <w:start w:val="1"/>
      <w:numFmt w:val="lowerRoman"/>
      <w:lvlText w:val="%9."/>
      <w:lvlJc w:val="right"/>
      <w:pPr>
        <w:ind w:left="2839" w:hanging="567"/>
      </w:pPr>
      <w:rPr>
        <w:rFonts w:hint="eastAsia"/>
      </w:rPr>
    </w:lvl>
  </w:abstractNum>
  <w:abstractNum w:abstractNumId="7" w15:restartNumberingAfterBreak="0">
    <w:nsid w:val="1CE94BA9"/>
    <w:multiLevelType w:val="hybridMultilevel"/>
    <w:tmpl w:val="6C06B106"/>
    <w:lvl w:ilvl="0" w:tplc="C052AF0C">
      <w:start w:val="1"/>
      <w:numFmt w:val="decimal"/>
      <w:pStyle w:val="a"/>
      <w:lvlText w:val="表%1 "/>
      <w:lvlJc w:val="left"/>
      <w:pPr>
        <w:ind w:left="480" w:hanging="480"/>
      </w:pPr>
      <w:rPr>
        <w:rFonts w:eastAsia="標楷體" w:hint="eastAsia"/>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210F65A6"/>
    <w:multiLevelType w:val="multilevel"/>
    <w:tmpl w:val="EC287892"/>
    <w:lvl w:ilvl="0">
      <w:start w:val="1"/>
      <w:numFmt w:val="ideographLegalTraditional"/>
      <w:lvlText w:val="%1、"/>
      <w:lvlJc w:val="left"/>
      <w:pPr>
        <w:ind w:left="567" w:hanging="567"/>
      </w:pPr>
      <w:rPr>
        <w:rFonts w:eastAsia="標楷體" w:hint="eastAsia"/>
        <w:b w:val="0"/>
        <w:i w:val="0"/>
        <w:sz w:val="28"/>
        <w:szCs w:val="32"/>
      </w:rPr>
    </w:lvl>
    <w:lvl w:ilvl="1">
      <w:start w:val="1"/>
      <w:numFmt w:val="taiwaneseCountingThousand"/>
      <w:lvlText w:val="%2、"/>
      <w:lvlJc w:val="left"/>
      <w:pPr>
        <w:ind w:left="851" w:hanging="567"/>
      </w:pPr>
      <w:rPr>
        <w:rFonts w:eastAsia="標楷體" w:hint="eastAsia"/>
        <w:b w:val="0"/>
        <w:bCs/>
        <w:i w:val="0"/>
        <w:color w:val="auto"/>
        <w:sz w:val="28"/>
        <w:szCs w:val="28"/>
      </w:rPr>
    </w:lvl>
    <w:lvl w:ilvl="2">
      <w:start w:val="1"/>
      <w:numFmt w:val="taiwaneseCountingThousand"/>
      <w:lvlText w:val="(%3)"/>
      <w:lvlJc w:val="left"/>
      <w:pPr>
        <w:ind w:left="1135" w:hanging="567"/>
      </w:pPr>
      <w:rPr>
        <w:rFonts w:ascii="Times New Roman" w:eastAsia="標楷體" w:hAnsi="Times New Roman" w:cs="Times New Roman" w:hint="default"/>
        <w:b w:val="0"/>
        <w:i w:val="0"/>
        <w:color w:val="auto"/>
        <w:sz w:val="28"/>
      </w:rPr>
    </w:lvl>
    <w:lvl w:ilvl="3">
      <w:start w:val="1"/>
      <w:numFmt w:val="decimal"/>
      <w:lvlText w:val="%4."/>
      <w:lvlJc w:val="left"/>
      <w:pPr>
        <w:ind w:left="1419" w:hanging="567"/>
      </w:pPr>
      <w:rPr>
        <w:rFonts w:eastAsia="標楷體" w:hint="eastAsia"/>
        <w:b w:val="0"/>
        <w:i w:val="0"/>
        <w:color w:val="auto"/>
        <w:sz w:val="28"/>
      </w:rPr>
    </w:lvl>
    <w:lvl w:ilvl="4">
      <w:start w:val="1"/>
      <w:numFmt w:val="decimal"/>
      <w:lvlText w:val="(%5)"/>
      <w:lvlJc w:val="left"/>
      <w:pPr>
        <w:ind w:left="1703" w:hanging="567"/>
      </w:pPr>
      <w:rPr>
        <w:rFonts w:eastAsia="標楷體" w:hint="eastAsia"/>
        <w:b w:val="0"/>
        <w:i w:val="0"/>
        <w:sz w:val="28"/>
      </w:rPr>
    </w:lvl>
    <w:lvl w:ilvl="5">
      <w:start w:val="1"/>
      <w:numFmt w:val="upperLetter"/>
      <w:lvlText w:val="%6."/>
      <w:lvlJc w:val="left"/>
      <w:pPr>
        <w:ind w:left="1987" w:hanging="567"/>
      </w:pPr>
      <w:rPr>
        <w:rFonts w:eastAsia="標楷體" w:hint="eastAsia"/>
        <w:b w:val="0"/>
        <w:i w:val="0"/>
        <w:sz w:val="28"/>
      </w:rPr>
    </w:lvl>
    <w:lvl w:ilvl="6">
      <w:start w:val="1"/>
      <w:numFmt w:val="decimal"/>
      <w:lvlText w:val="%7)"/>
      <w:lvlJc w:val="left"/>
      <w:pPr>
        <w:ind w:left="2268" w:hanging="567"/>
      </w:pPr>
      <w:rPr>
        <w:rFonts w:eastAsia="標楷體" w:hint="eastAsia"/>
        <w:b w:val="0"/>
        <w:i w:val="0"/>
        <w:sz w:val="28"/>
      </w:rPr>
    </w:lvl>
    <w:lvl w:ilvl="7">
      <w:start w:val="1"/>
      <w:numFmt w:val="ideographTraditional"/>
      <w:lvlText w:val="%8、"/>
      <w:lvlJc w:val="left"/>
      <w:pPr>
        <w:ind w:left="2555" w:hanging="567"/>
      </w:pPr>
      <w:rPr>
        <w:rFonts w:hint="eastAsia"/>
      </w:rPr>
    </w:lvl>
    <w:lvl w:ilvl="8">
      <w:start w:val="1"/>
      <w:numFmt w:val="lowerRoman"/>
      <w:lvlText w:val="%9."/>
      <w:lvlJc w:val="right"/>
      <w:pPr>
        <w:ind w:left="2839" w:hanging="567"/>
      </w:pPr>
      <w:rPr>
        <w:rFonts w:hint="eastAsia"/>
      </w:rPr>
    </w:lvl>
  </w:abstractNum>
  <w:abstractNum w:abstractNumId="9" w15:restartNumberingAfterBreak="0">
    <w:nsid w:val="23D54F0A"/>
    <w:multiLevelType w:val="multilevel"/>
    <w:tmpl w:val="EC287892"/>
    <w:lvl w:ilvl="0">
      <w:start w:val="1"/>
      <w:numFmt w:val="ideographLegalTraditional"/>
      <w:lvlText w:val="%1、"/>
      <w:lvlJc w:val="left"/>
      <w:pPr>
        <w:ind w:left="567" w:hanging="567"/>
      </w:pPr>
      <w:rPr>
        <w:rFonts w:eastAsia="標楷體" w:hint="eastAsia"/>
        <w:b w:val="0"/>
        <w:i w:val="0"/>
        <w:sz w:val="28"/>
        <w:szCs w:val="32"/>
      </w:rPr>
    </w:lvl>
    <w:lvl w:ilvl="1">
      <w:start w:val="1"/>
      <w:numFmt w:val="taiwaneseCountingThousand"/>
      <w:lvlText w:val="%2、"/>
      <w:lvlJc w:val="left"/>
      <w:pPr>
        <w:ind w:left="851" w:hanging="567"/>
      </w:pPr>
      <w:rPr>
        <w:rFonts w:eastAsia="標楷體" w:hint="eastAsia"/>
        <w:b w:val="0"/>
        <w:bCs/>
        <w:i w:val="0"/>
        <w:color w:val="auto"/>
        <w:sz w:val="28"/>
        <w:szCs w:val="28"/>
      </w:rPr>
    </w:lvl>
    <w:lvl w:ilvl="2">
      <w:start w:val="1"/>
      <w:numFmt w:val="taiwaneseCountingThousand"/>
      <w:lvlText w:val="(%3)"/>
      <w:lvlJc w:val="left"/>
      <w:pPr>
        <w:ind w:left="1135" w:hanging="567"/>
      </w:pPr>
      <w:rPr>
        <w:rFonts w:ascii="Times New Roman" w:eastAsia="標楷體" w:hAnsi="Times New Roman" w:cs="Times New Roman" w:hint="default"/>
        <w:b w:val="0"/>
        <w:i w:val="0"/>
        <w:color w:val="auto"/>
        <w:sz w:val="28"/>
      </w:rPr>
    </w:lvl>
    <w:lvl w:ilvl="3">
      <w:start w:val="1"/>
      <w:numFmt w:val="decimal"/>
      <w:lvlText w:val="%4."/>
      <w:lvlJc w:val="left"/>
      <w:pPr>
        <w:ind w:left="1419" w:hanging="567"/>
      </w:pPr>
      <w:rPr>
        <w:rFonts w:eastAsia="標楷體" w:hint="eastAsia"/>
        <w:b w:val="0"/>
        <w:i w:val="0"/>
        <w:color w:val="auto"/>
        <w:sz w:val="28"/>
      </w:rPr>
    </w:lvl>
    <w:lvl w:ilvl="4">
      <w:start w:val="1"/>
      <w:numFmt w:val="decimal"/>
      <w:lvlText w:val="(%5)"/>
      <w:lvlJc w:val="left"/>
      <w:pPr>
        <w:ind w:left="1703" w:hanging="567"/>
      </w:pPr>
      <w:rPr>
        <w:rFonts w:eastAsia="標楷體" w:hint="eastAsia"/>
        <w:b w:val="0"/>
        <w:i w:val="0"/>
        <w:sz w:val="28"/>
      </w:rPr>
    </w:lvl>
    <w:lvl w:ilvl="5">
      <w:start w:val="1"/>
      <w:numFmt w:val="upperLetter"/>
      <w:lvlText w:val="%6."/>
      <w:lvlJc w:val="left"/>
      <w:pPr>
        <w:ind w:left="1987" w:hanging="567"/>
      </w:pPr>
      <w:rPr>
        <w:rFonts w:eastAsia="標楷體" w:hint="eastAsia"/>
        <w:b w:val="0"/>
        <w:i w:val="0"/>
        <w:sz w:val="28"/>
      </w:rPr>
    </w:lvl>
    <w:lvl w:ilvl="6">
      <w:start w:val="1"/>
      <w:numFmt w:val="decimal"/>
      <w:lvlText w:val="%7)"/>
      <w:lvlJc w:val="left"/>
      <w:pPr>
        <w:ind w:left="2268" w:hanging="567"/>
      </w:pPr>
      <w:rPr>
        <w:rFonts w:eastAsia="標楷體" w:hint="eastAsia"/>
        <w:b w:val="0"/>
        <w:i w:val="0"/>
        <w:sz w:val="28"/>
      </w:rPr>
    </w:lvl>
    <w:lvl w:ilvl="7">
      <w:start w:val="1"/>
      <w:numFmt w:val="ideographTraditional"/>
      <w:lvlText w:val="%8、"/>
      <w:lvlJc w:val="left"/>
      <w:pPr>
        <w:ind w:left="2555" w:hanging="567"/>
      </w:pPr>
      <w:rPr>
        <w:rFonts w:hint="eastAsia"/>
      </w:rPr>
    </w:lvl>
    <w:lvl w:ilvl="8">
      <w:start w:val="1"/>
      <w:numFmt w:val="lowerRoman"/>
      <w:lvlText w:val="%9."/>
      <w:lvlJc w:val="right"/>
      <w:pPr>
        <w:ind w:left="2839" w:hanging="567"/>
      </w:pPr>
      <w:rPr>
        <w:rFonts w:hint="eastAsia"/>
      </w:rPr>
    </w:lvl>
  </w:abstractNum>
  <w:abstractNum w:abstractNumId="10" w15:restartNumberingAfterBreak="0">
    <w:nsid w:val="244E791F"/>
    <w:multiLevelType w:val="multilevel"/>
    <w:tmpl w:val="EC287892"/>
    <w:lvl w:ilvl="0">
      <w:start w:val="1"/>
      <w:numFmt w:val="ideographLegalTraditional"/>
      <w:lvlText w:val="%1、"/>
      <w:lvlJc w:val="left"/>
      <w:pPr>
        <w:ind w:left="567" w:hanging="567"/>
      </w:pPr>
      <w:rPr>
        <w:rFonts w:eastAsia="標楷體" w:hint="eastAsia"/>
        <w:b w:val="0"/>
        <w:i w:val="0"/>
        <w:sz w:val="28"/>
        <w:szCs w:val="32"/>
      </w:rPr>
    </w:lvl>
    <w:lvl w:ilvl="1">
      <w:start w:val="1"/>
      <w:numFmt w:val="taiwaneseCountingThousand"/>
      <w:lvlText w:val="%2、"/>
      <w:lvlJc w:val="left"/>
      <w:pPr>
        <w:ind w:left="851" w:hanging="567"/>
      </w:pPr>
      <w:rPr>
        <w:rFonts w:eastAsia="標楷體" w:hint="eastAsia"/>
        <w:b w:val="0"/>
        <w:bCs/>
        <w:i w:val="0"/>
        <w:color w:val="auto"/>
        <w:sz w:val="28"/>
        <w:szCs w:val="28"/>
      </w:rPr>
    </w:lvl>
    <w:lvl w:ilvl="2">
      <w:start w:val="1"/>
      <w:numFmt w:val="taiwaneseCountingThousand"/>
      <w:lvlText w:val="(%3)"/>
      <w:lvlJc w:val="left"/>
      <w:pPr>
        <w:ind w:left="1135" w:hanging="567"/>
      </w:pPr>
      <w:rPr>
        <w:rFonts w:ascii="Times New Roman" w:eastAsia="標楷體" w:hAnsi="Times New Roman" w:cs="Times New Roman" w:hint="default"/>
        <w:b w:val="0"/>
        <w:i w:val="0"/>
        <w:color w:val="auto"/>
        <w:sz w:val="28"/>
      </w:rPr>
    </w:lvl>
    <w:lvl w:ilvl="3">
      <w:start w:val="1"/>
      <w:numFmt w:val="decimal"/>
      <w:lvlText w:val="%4."/>
      <w:lvlJc w:val="left"/>
      <w:pPr>
        <w:ind w:left="1419" w:hanging="567"/>
      </w:pPr>
      <w:rPr>
        <w:rFonts w:eastAsia="標楷體" w:hint="eastAsia"/>
        <w:b w:val="0"/>
        <w:i w:val="0"/>
        <w:color w:val="auto"/>
        <w:sz w:val="28"/>
      </w:rPr>
    </w:lvl>
    <w:lvl w:ilvl="4">
      <w:start w:val="1"/>
      <w:numFmt w:val="decimal"/>
      <w:lvlText w:val="(%5)"/>
      <w:lvlJc w:val="left"/>
      <w:pPr>
        <w:ind w:left="1703" w:hanging="567"/>
      </w:pPr>
      <w:rPr>
        <w:rFonts w:eastAsia="標楷體" w:hint="eastAsia"/>
        <w:b w:val="0"/>
        <w:i w:val="0"/>
        <w:sz w:val="28"/>
      </w:rPr>
    </w:lvl>
    <w:lvl w:ilvl="5">
      <w:start w:val="1"/>
      <w:numFmt w:val="upperLetter"/>
      <w:lvlText w:val="%6."/>
      <w:lvlJc w:val="left"/>
      <w:pPr>
        <w:ind w:left="1987" w:hanging="567"/>
      </w:pPr>
      <w:rPr>
        <w:rFonts w:eastAsia="標楷體" w:hint="eastAsia"/>
        <w:b w:val="0"/>
        <w:i w:val="0"/>
        <w:sz w:val="28"/>
      </w:rPr>
    </w:lvl>
    <w:lvl w:ilvl="6">
      <w:start w:val="1"/>
      <w:numFmt w:val="decimal"/>
      <w:lvlText w:val="%7)"/>
      <w:lvlJc w:val="left"/>
      <w:pPr>
        <w:ind w:left="2268" w:hanging="567"/>
      </w:pPr>
      <w:rPr>
        <w:rFonts w:eastAsia="標楷體" w:hint="eastAsia"/>
        <w:b w:val="0"/>
        <w:i w:val="0"/>
        <w:sz w:val="28"/>
      </w:rPr>
    </w:lvl>
    <w:lvl w:ilvl="7">
      <w:start w:val="1"/>
      <w:numFmt w:val="ideographTraditional"/>
      <w:lvlText w:val="%8、"/>
      <w:lvlJc w:val="left"/>
      <w:pPr>
        <w:ind w:left="2555" w:hanging="567"/>
      </w:pPr>
      <w:rPr>
        <w:rFonts w:hint="eastAsia"/>
      </w:rPr>
    </w:lvl>
    <w:lvl w:ilvl="8">
      <w:start w:val="1"/>
      <w:numFmt w:val="lowerRoman"/>
      <w:lvlText w:val="%9."/>
      <w:lvlJc w:val="right"/>
      <w:pPr>
        <w:ind w:left="2839" w:hanging="567"/>
      </w:pPr>
      <w:rPr>
        <w:rFonts w:hint="eastAsia"/>
      </w:rPr>
    </w:lvl>
  </w:abstractNum>
  <w:abstractNum w:abstractNumId="11" w15:restartNumberingAfterBreak="0">
    <w:nsid w:val="2AC577CA"/>
    <w:multiLevelType w:val="multilevel"/>
    <w:tmpl w:val="EC287892"/>
    <w:lvl w:ilvl="0">
      <w:start w:val="1"/>
      <w:numFmt w:val="ideographLegalTraditional"/>
      <w:lvlText w:val="%1、"/>
      <w:lvlJc w:val="left"/>
      <w:pPr>
        <w:ind w:left="567" w:hanging="567"/>
      </w:pPr>
      <w:rPr>
        <w:rFonts w:eastAsia="標楷體" w:hint="eastAsia"/>
        <w:b w:val="0"/>
        <w:i w:val="0"/>
        <w:sz w:val="28"/>
        <w:szCs w:val="32"/>
      </w:rPr>
    </w:lvl>
    <w:lvl w:ilvl="1">
      <w:start w:val="1"/>
      <w:numFmt w:val="taiwaneseCountingThousand"/>
      <w:lvlText w:val="%2、"/>
      <w:lvlJc w:val="left"/>
      <w:pPr>
        <w:ind w:left="851" w:hanging="567"/>
      </w:pPr>
      <w:rPr>
        <w:rFonts w:eastAsia="標楷體" w:hint="eastAsia"/>
        <w:b w:val="0"/>
        <w:bCs/>
        <w:i w:val="0"/>
        <w:color w:val="auto"/>
        <w:sz w:val="28"/>
        <w:szCs w:val="28"/>
      </w:rPr>
    </w:lvl>
    <w:lvl w:ilvl="2">
      <w:start w:val="1"/>
      <w:numFmt w:val="taiwaneseCountingThousand"/>
      <w:lvlText w:val="(%3)"/>
      <w:lvlJc w:val="left"/>
      <w:pPr>
        <w:ind w:left="1135" w:hanging="567"/>
      </w:pPr>
      <w:rPr>
        <w:rFonts w:ascii="Times New Roman" w:eastAsia="標楷體" w:hAnsi="Times New Roman" w:cs="Times New Roman" w:hint="default"/>
        <w:b w:val="0"/>
        <w:i w:val="0"/>
        <w:color w:val="auto"/>
        <w:sz w:val="28"/>
      </w:rPr>
    </w:lvl>
    <w:lvl w:ilvl="3">
      <w:start w:val="1"/>
      <w:numFmt w:val="decimal"/>
      <w:lvlText w:val="%4."/>
      <w:lvlJc w:val="left"/>
      <w:pPr>
        <w:ind w:left="1419" w:hanging="567"/>
      </w:pPr>
      <w:rPr>
        <w:rFonts w:eastAsia="標楷體" w:hint="eastAsia"/>
        <w:b w:val="0"/>
        <w:i w:val="0"/>
        <w:color w:val="auto"/>
        <w:sz w:val="28"/>
      </w:rPr>
    </w:lvl>
    <w:lvl w:ilvl="4">
      <w:start w:val="1"/>
      <w:numFmt w:val="decimal"/>
      <w:lvlText w:val="(%5)"/>
      <w:lvlJc w:val="left"/>
      <w:pPr>
        <w:ind w:left="1703" w:hanging="567"/>
      </w:pPr>
      <w:rPr>
        <w:rFonts w:eastAsia="標楷體" w:hint="eastAsia"/>
        <w:b w:val="0"/>
        <w:i w:val="0"/>
        <w:sz w:val="28"/>
      </w:rPr>
    </w:lvl>
    <w:lvl w:ilvl="5">
      <w:start w:val="1"/>
      <w:numFmt w:val="upperLetter"/>
      <w:lvlText w:val="%6."/>
      <w:lvlJc w:val="left"/>
      <w:pPr>
        <w:ind w:left="1987" w:hanging="567"/>
      </w:pPr>
      <w:rPr>
        <w:rFonts w:eastAsia="標楷體" w:hint="eastAsia"/>
        <w:b w:val="0"/>
        <w:i w:val="0"/>
        <w:sz w:val="28"/>
      </w:rPr>
    </w:lvl>
    <w:lvl w:ilvl="6">
      <w:start w:val="1"/>
      <w:numFmt w:val="decimal"/>
      <w:lvlText w:val="%7)"/>
      <w:lvlJc w:val="left"/>
      <w:pPr>
        <w:ind w:left="2268" w:hanging="567"/>
      </w:pPr>
      <w:rPr>
        <w:rFonts w:eastAsia="標楷體" w:hint="eastAsia"/>
        <w:b w:val="0"/>
        <w:i w:val="0"/>
        <w:sz w:val="28"/>
      </w:rPr>
    </w:lvl>
    <w:lvl w:ilvl="7">
      <w:start w:val="1"/>
      <w:numFmt w:val="ideographTraditional"/>
      <w:lvlText w:val="%8、"/>
      <w:lvlJc w:val="left"/>
      <w:pPr>
        <w:ind w:left="2555" w:hanging="567"/>
      </w:pPr>
      <w:rPr>
        <w:rFonts w:hint="eastAsia"/>
      </w:rPr>
    </w:lvl>
    <w:lvl w:ilvl="8">
      <w:start w:val="1"/>
      <w:numFmt w:val="lowerRoman"/>
      <w:lvlText w:val="%9."/>
      <w:lvlJc w:val="right"/>
      <w:pPr>
        <w:ind w:left="2839" w:hanging="567"/>
      </w:pPr>
      <w:rPr>
        <w:rFonts w:hint="eastAsia"/>
      </w:rPr>
    </w:lvl>
  </w:abstractNum>
  <w:abstractNum w:abstractNumId="12" w15:restartNumberingAfterBreak="0">
    <w:nsid w:val="345B439E"/>
    <w:multiLevelType w:val="multilevel"/>
    <w:tmpl w:val="EC287892"/>
    <w:lvl w:ilvl="0">
      <w:start w:val="1"/>
      <w:numFmt w:val="ideographLegalTraditional"/>
      <w:lvlText w:val="%1、"/>
      <w:lvlJc w:val="left"/>
      <w:pPr>
        <w:ind w:left="567" w:hanging="567"/>
      </w:pPr>
      <w:rPr>
        <w:rFonts w:eastAsia="標楷體" w:hint="eastAsia"/>
        <w:b w:val="0"/>
        <w:i w:val="0"/>
        <w:sz w:val="28"/>
        <w:szCs w:val="32"/>
      </w:rPr>
    </w:lvl>
    <w:lvl w:ilvl="1">
      <w:start w:val="1"/>
      <w:numFmt w:val="taiwaneseCountingThousand"/>
      <w:lvlText w:val="%2、"/>
      <w:lvlJc w:val="left"/>
      <w:pPr>
        <w:ind w:left="851" w:hanging="567"/>
      </w:pPr>
      <w:rPr>
        <w:rFonts w:eastAsia="標楷體" w:hint="eastAsia"/>
        <w:b w:val="0"/>
        <w:bCs/>
        <w:i w:val="0"/>
        <w:color w:val="auto"/>
        <w:sz w:val="28"/>
        <w:szCs w:val="28"/>
      </w:rPr>
    </w:lvl>
    <w:lvl w:ilvl="2">
      <w:start w:val="1"/>
      <w:numFmt w:val="taiwaneseCountingThousand"/>
      <w:lvlText w:val="(%3)"/>
      <w:lvlJc w:val="left"/>
      <w:pPr>
        <w:ind w:left="1135" w:hanging="567"/>
      </w:pPr>
      <w:rPr>
        <w:rFonts w:ascii="Times New Roman" w:eastAsia="標楷體" w:hAnsi="Times New Roman" w:cs="Times New Roman" w:hint="default"/>
        <w:b w:val="0"/>
        <w:i w:val="0"/>
        <w:color w:val="auto"/>
        <w:sz w:val="28"/>
      </w:rPr>
    </w:lvl>
    <w:lvl w:ilvl="3">
      <w:start w:val="1"/>
      <w:numFmt w:val="decimal"/>
      <w:lvlText w:val="%4."/>
      <w:lvlJc w:val="left"/>
      <w:pPr>
        <w:ind w:left="1419" w:hanging="567"/>
      </w:pPr>
      <w:rPr>
        <w:rFonts w:eastAsia="標楷體" w:hint="eastAsia"/>
        <w:b w:val="0"/>
        <w:i w:val="0"/>
        <w:color w:val="auto"/>
        <w:sz w:val="28"/>
      </w:rPr>
    </w:lvl>
    <w:lvl w:ilvl="4">
      <w:start w:val="1"/>
      <w:numFmt w:val="decimal"/>
      <w:lvlText w:val="(%5)"/>
      <w:lvlJc w:val="left"/>
      <w:pPr>
        <w:ind w:left="1703" w:hanging="567"/>
      </w:pPr>
      <w:rPr>
        <w:rFonts w:eastAsia="標楷體" w:hint="eastAsia"/>
        <w:b w:val="0"/>
        <w:i w:val="0"/>
        <w:sz w:val="28"/>
      </w:rPr>
    </w:lvl>
    <w:lvl w:ilvl="5">
      <w:start w:val="1"/>
      <w:numFmt w:val="upperLetter"/>
      <w:lvlText w:val="%6."/>
      <w:lvlJc w:val="left"/>
      <w:pPr>
        <w:ind w:left="1987" w:hanging="567"/>
      </w:pPr>
      <w:rPr>
        <w:rFonts w:eastAsia="標楷體" w:hint="eastAsia"/>
        <w:b w:val="0"/>
        <w:i w:val="0"/>
        <w:sz w:val="28"/>
      </w:rPr>
    </w:lvl>
    <w:lvl w:ilvl="6">
      <w:start w:val="1"/>
      <w:numFmt w:val="decimal"/>
      <w:lvlText w:val="%7)"/>
      <w:lvlJc w:val="left"/>
      <w:pPr>
        <w:ind w:left="2268" w:hanging="567"/>
      </w:pPr>
      <w:rPr>
        <w:rFonts w:eastAsia="標楷體" w:hint="eastAsia"/>
        <w:b w:val="0"/>
        <w:i w:val="0"/>
        <w:sz w:val="28"/>
      </w:rPr>
    </w:lvl>
    <w:lvl w:ilvl="7">
      <w:start w:val="1"/>
      <w:numFmt w:val="ideographTraditional"/>
      <w:lvlText w:val="%8、"/>
      <w:lvlJc w:val="left"/>
      <w:pPr>
        <w:ind w:left="2555" w:hanging="567"/>
      </w:pPr>
      <w:rPr>
        <w:rFonts w:hint="eastAsia"/>
      </w:rPr>
    </w:lvl>
    <w:lvl w:ilvl="8">
      <w:start w:val="1"/>
      <w:numFmt w:val="lowerRoman"/>
      <w:lvlText w:val="%9."/>
      <w:lvlJc w:val="right"/>
      <w:pPr>
        <w:ind w:left="2839" w:hanging="567"/>
      </w:pPr>
      <w:rPr>
        <w:rFonts w:hint="eastAsia"/>
      </w:rPr>
    </w:lvl>
  </w:abstractNum>
  <w:abstractNum w:abstractNumId="13" w15:restartNumberingAfterBreak="0">
    <w:nsid w:val="35DC6588"/>
    <w:multiLevelType w:val="multilevel"/>
    <w:tmpl w:val="EC287892"/>
    <w:lvl w:ilvl="0">
      <w:start w:val="1"/>
      <w:numFmt w:val="ideographLegalTraditional"/>
      <w:lvlText w:val="%1、"/>
      <w:lvlJc w:val="left"/>
      <w:pPr>
        <w:ind w:left="567" w:hanging="567"/>
      </w:pPr>
      <w:rPr>
        <w:rFonts w:eastAsia="標楷體" w:hint="eastAsia"/>
        <w:b w:val="0"/>
        <w:i w:val="0"/>
        <w:sz w:val="28"/>
        <w:szCs w:val="32"/>
      </w:rPr>
    </w:lvl>
    <w:lvl w:ilvl="1">
      <w:start w:val="1"/>
      <w:numFmt w:val="taiwaneseCountingThousand"/>
      <w:lvlText w:val="%2、"/>
      <w:lvlJc w:val="left"/>
      <w:pPr>
        <w:ind w:left="851" w:hanging="567"/>
      </w:pPr>
      <w:rPr>
        <w:rFonts w:eastAsia="標楷體" w:hint="eastAsia"/>
        <w:b w:val="0"/>
        <w:bCs/>
        <w:i w:val="0"/>
        <w:color w:val="auto"/>
        <w:sz w:val="28"/>
        <w:szCs w:val="28"/>
      </w:rPr>
    </w:lvl>
    <w:lvl w:ilvl="2">
      <w:start w:val="1"/>
      <w:numFmt w:val="taiwaneseCountingThousand"/>
      <w:lvlText w:val="(%3)"/>
      <w:lvlJc w:val="left"/>
      <w:pPr>
        <w:ind w:left="1135" w:hanging="567"/>
      </w:pPr>
      <w:rPr>
        <w:rFonts w:ascii="Times New Roman" w:eastAsia="標楷體" w:hAnsi="Times New Roman" w:cs="Times New Roman" w:hint="default"/>
        <w:b w:val="0"/>
        <w:i w:val="0"/>
        <w:color w:val="auto"/>
        <w:sz w:val="28"/>
      </w:rPr>
    </w:lvl>
    <w:lvl w:ilvl="3">
      <w:start w:val="1"/>
      <w:numFmt w:val="decimal"/>
      <w:lvlText w:val="%4."/>
      <w:lvlJc w:val="left"/>
      <w:pPr>
        <w:ind w:left="1419" w:hanging="567"/>
      </w:pPr>
      <w:rPr>
        <w:rFonts w:eastAsia="標楷體" w:hint="eastAsia"/>
        <w:b w:val="0"/>
        <w:i w:val="0"/>
        <w:color w:val="auto"/>
        <w:sz w:val="28"/>
      </w:rPr>
    </w:lvl>
    <w:lvl w:ilvl="4">
      <w:start w:val="1"/>
      <w:numFmt w:val="decimal"/>
      <w:lvlText w:val="(%5)"/>
      <w:lvlJc w:val="left"/>
      <w:pPr>
        <w:ind w:left="1703" w:hanging="567"/>
      </w:pPr>
      <w:rPr>
        <w:rFonts w:eastAsia="標楷體" w:hint="eastAsia"/>
        <w:b w:val="0"/>
        <w:i w:val="0"/>
        <w:sz w:val="28"/>
      </w:rPr>
    </w:lvl>
    <w:lvl w:ilvl="5">
      <w:start w:val="1"/>
      <w:numFmt w:val="upperLetter"/>
      <w:lvlText w:val="%6."/>
      <w:lvlJc w:val="left"/>
      <w:pPr>
        <w:ind w:left="1987" w:hanging="567"/>
      </w:pPr>
      <w:rPr>
        <w:rFonts w:eastAsia="標楷體" w:hint="eastAsia"/>
        <w:b w:val="0"/>
        <w:i w:val="0"/>
        <w:sz w:val="28"/>
      </w:rPr>
    </w:lvl>
    <w:lvl w:ilvl="6">
      <w:start w:val="1"/>
      <w:numFmt w:val="decimal"/>
      <w:lvlText w:val="%7)"/>
      <w:lvlJc w:val="left"/>
      <w:pPr>
        <w:ind w:left="2268" w:hanging="567"/>
      </w:pPr>
      <w:rPr>
        <w:rFonts w:eastAsia="標楷體" w:hint="eastAsia"/>
        <w:b w:val="0"/>
        <w:i w:val="0"/>
        <w:sz w:val="28"/>
      </w:rPr>
    </w:lvl>
    <w:lvl w:ilvl="7">
      <w:start w:val="1"/>
      <w:numFmt w:val="ideographTraditional"/>
      <w:lvlText w:val="%8、"/>
      <w:lvlJc w:val="left"/>
      <w:pPr>
        <w:ind w:left="2555" w:hanging="567"/>
      </w:pPr>
      <w:rPr>
        <w:rFonts w:hint="eastAsia"/>
      </w:rPr>
    </w:lvl>
    <w:lvl w:ilvl="8">
      <w:start w:val="1"/>
      <w:numFmt w:val="lowerRoman"/>
      <w:lvlText w:val="%9."/>
      <w:lvlJc w:val="right"/>
      <w:pPr>
        <w:ind w:left="2839" w:hanging="567"/>
      </w:pPr>
      <w:rPr>
        <w:rFonts w:hint="eastAsia"/>
      </w:rPr>
    </w:lvl>
  </w:abstractNum>
  <w:abstractNum w:abstractNumId="14" w15:restartNumberingAfterBreak="0">
    <w:nsid w:val="366B654E"/>
    <w:multiLevelType w:val="multilevel"/>
    <w:tmpl w:val="6ECCE5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9ED739F"/>
    <w:multiLevelType w:val="multilevel"/>
    <w:tmpl w:val="EC287892"/>
    <w:lvl w:ilvl="0">
      <w:start w:val="1"/>
      <w:numFmt w:val="ideographLegalTraditional"/>
      <w:lvlText w:val="%1、"/>
      <w:lvlJc w:val="left"/>
      <w:pPr>
        <w:ind w:left="567" w:hanging="567"/>
      </w:pPr>
      <w:rPr>
        <w:rFonts w:eastAsia="標楷體" w:hint="eastAsia"/>
        <w:b w:val="0"/>
        <w:i w:val="0"/>
        <w:sz w:val="28"/>
        <w:szCs w:val="32"/>
      </w:rPr>
    </w:lvl>
    <w:lvl w:ilvl="1">
      <w:start w:val="1"/>
      <w:numFmt w:val="taiwaneseCountingThousand"/>
      <w:lvlText w:val="%2、"/>
      <w:lvlJc w:val="left"/>
      <w:pPr>
        <w:ind w:left="851" w:hanging="567"/>
      </w:pPr>
      <w:rPr>
        <w:rFonts w:eastAsia="標楷體" w:hint="eastAsia"/>
        <w:b w:val="0"/>
        <w:bCs/>
        <w:i w:val="0"/>
        <w:color w:val="auto"/>
        <w:sz w:val="28"/>
        <w:szCs w:val="28"/>
      </w:rPr>
    </w:lvl>
    <w:lvl w:ilvl="2">
      <w:start w:val="1"/>
      <w:numFmt w:val="taiwaneseCountingThousand"/>
      <w:lvlText w:val="(%3)"/>
      <w:lvlJc w:val="left"/>
      <w:pPr>
        <w:ind w:left="1135" w:hanging="567"/>
      </w:pPr>
      <w:rPr>
        <w:rFonts w:ascii="Times New Roman" w:eastAsia="標楷體" w:hAnsi="Times New Roman" w:cs="Times New Roman" w:hint="default"/>
        <w:b w:val="0"/>
        <w:i w:val="0"/>
        <w:color w:val="auto"/>
        <w:sz w:val="28"/>
      </w:rPr>
    </w:lvl>
    <w:lvl w:ilvl="3">
      <w:start w:val="1"/>
      <w:numFmt w:val="decimal"/>
      <w:lvlText w:val="%4."/>
      <w:lvlJc w:val="left"/>
      <w:pPr>
        <w:ind w:left="1419" w:hanging="567"/>
      </w:pPr>
      <w:rPr>
        <w:rFonts w:eastAsia="標楷體" w:hint="eastAsia"/>
        <w:b w:val="0"/>
        <w:i w:val="0"/>
        <w:color w:val="auto"/>
        <w:sz w:val="28"/>
      </w:rPr>
    </w:lvl>
    <w:lvl w:ilvl="4">
      <w:start w:val="1"/>
      <w:numFmt w:val="decimal"/>
      <w:lvlText w:val="(%5)"/>
      <w:lvlJc w:val="left"/>
      <w:pPr>
        <w:ind w:left="1703" w:hanging="567"/>
      </w:pPr>
      <w:rPr>
        <w:rFonts w:eastAsia="標楷體" w:hint="eastAsia"/>
        <w:b w:val="0"/>
        <w:i w:val="0"/>
        <w:sz w:val="28"/>
      </w:rPr>
    </w:lvl>
    <w:lvl w:ilvl="5">
      <w:start w:val="1"/>
      <w:numFmt w:val="upperLetter"/>
      <w:lvlText w:val="%6."/>
      <w:lvlJc w:val="left"/>
      <w:pPr>
        <w:ind w:left="1987" w:hanging="567"/>
      </w:pPr>
      <w:rPr>
        <w:rFonts w:eastAsia="標楷體" w:hint="eastAsia"/>
        <w:b w:val="0"/>
        <w:i w:val="0"/>
        <w:sz w:val="28"/>
      </w:rPr>
    </w:lvl>
    <w:lvl w:ilvl="6">
      <w:start w:val="1"/>
      <w:numFmt w:val="decimal"/>
      <w:lvlText w:val="%7)"/>
      <w:lvlJc w:val="left"/>
      <w:pPr>
        <w:ind w:left="2268" w:hanging="567"/>
      </w:pPr>
      <w:rPr>
        <w:rFonts w:eastAsia="標楷體" w:hint="eastAsia"/>
        <w:b w:val="0"/>
        <w:i w:val="0"/>
        <w:sz w:val="28"/>
      </w:rPr>
    </w:lvl>
    <w:lvl w:ilvl="7">
      <w:start w:val="1"/>
      <w:numFmt w:val="ideographTraditional"/>
      <w:lvlText w:val="%8、"/>
      <w:lvlJc w:val="left"/>
      <w:pPr>
        <w:ind w:left="2555" w:hanging="567"/>
      </w:pPr>
      <w:rPr>
        <w:rFonts w:hint="eastAsia"/>
      </w:rPr>
    </w:lvl>
    <w:lvl w:ilvl="8">
      <w:start w:val="1"/>
      <w:numFmt w:val="lowerRoman"/>
      <w:lvlText w:val="%9."/>
      <w:lvlJc w:val="right"/>
      <w:pPr>
        <w:ind w:left="2839" w:hanging="567"/>
      </w:pPr>
      <w:rPr>
        <w:rFonts w:hint="eastAsia"/>
      </w:rPr>
    </w:lvl>
  </w:abstractNum>
  <w:abstractNum w:abstractNumId="16" w15:restartNumberingAfterBreak="0">
    <w:nsid w:val="40BF2CC8"/>
    <w:multiLevelType w:val="multilevel"/>
    <w:tmpl w:val="EC287892"/>
    <w:lvl w:ilvl="0">
      <w:start w:val="1"/>
      <w:numFmt w:val="ideographLegalTraditional"/>
      <w:lvlText w:val="%1、"/>
      <w:lvlJc w:val="left"/>
      <w:pPr>
        <w:ind w:left="567" w:hanging="567"/>
      </w:pPr>
      <w:rPr>
        <w:rFonts w:eastAsia="標楷體" w:hint="eastAsia"/>
        <w:b w:val="0"/>
        <w:i w:val="0"/>
        <w:sz w:val="28"/>
        <w:szCs w:val="32"/>
      </w:rPr>
    </w:lvl>
    <w:lvl w:ilvl="1">
      <w:start w:val="1"/>
      <w:numFmt w:val="taiwaneseCountingThousand"/>
      <w:lvlText w:val="%2、"/>
      <w:lvlJc w:val="left"/>
      <w:pPr>
        <w:ind w:left="851" w:hanging="567"/>
      </w:pPr>
      <w:rPr>
        <w:rFonts w:eastAsia="標楷體" w:hint="eastAsia"/>
        <w:b w:val="0"/>
        <w:bCs/>
        <w:i w:val="0"/>
        <w:color w:val="auto"/>
        <w:sz w:val="28"/>
        <w:szCs w:val="28"/>
      </w:rPr>
    </w:lvl>
    <w:lvl w:ilvl="2">
      <w:start w:val="1"/>
      <w:numFmt w:val="taiwaneseCountingThousand"/>
      <w:lvlText w:val="(%3)"/>
      <w:lvlJc w:val="left"/>
      <w:pPr>
        <w:ind w:left="1135" w:hanging="567"/>
      </w:pPr>
      <w:rPr>
        <w:rFonts w:ascii="Times New Roman" w:eastAsia="標楷體" w:hAnsi="Times New Roman" w:cs="Times New Roman" w:hint="default"/>
        <w:b w:val="0"/>
        <w:i w:val="0"/>
        <w:color w:val="auto"/>
        <w:sz w:val="28"/>
      </w:rPr>
    </w:lvl>
    <w:lvl w:ilvl="3">
      <w:start w:val="1"/>
      <w:numFmt w:val="decimal"/>
      <w:lvlText w:val="%4."/>
      <w:lvlJc w:val="left"/>
      <w:pPr>
        <w:ind w:left="1419" w:hanging="567"/>
      </w:pPr>
      <w:rPr>
        <w:rFonts w:eastAsia="標楷體" w:hint="eastAsia"/>
        <w:b w:val="0"/>
        <w:i w:val="0"/>
        <w:color w:val="auto"/>
        <w:sz w:val="28"/>
      </w:rPr>
    </w:lvl>
    <w:lvl w:ilvl="4">
      <w:start w:val="1"/>
      <w:numFmt w:val="decimal"/>
      <w:lvlText w:val="(%5)"/>
      <w:lvlJc w:val="left"/>
      <w:pPr>
        <w:ind w:left="1703" w:hanging="567"/>
      </w:pPr>
      <w:rPr>
        <w:rFonts w:eastAsia="標楷體" w:hint="eastAsia"/>
        <w:b w:val="0"/>
        <w:i w:val="0"/>
        <w:sz w:val="28"/>
      </w:rPr>
    </w:lvl>
    <w:lvl w:ilvl="5">
      <w:start w:val="1"/>
      <w:numFmt w:val="upperLetter"/>
      <w:lvlText w:val="%6."/>
      <w:lvlJc w:val="left"/>
      <w:pPr>
        <w:ind w:left="1987" w:hanging="567"/>
      </w:pPr>
      <w:rPr>
        <w:rFonts w:eastAsia="標楷體" w:hint="eastAsia"/>
        <w:b w:val="0"/>
        <w:i w:val="0"/>
        <w:sz w:val="28"/>
      </w:rPr>
    </w:lvl>
    <w:lvl w:ilvl="6">
      <w:start w:val="1"/>
      <w:numFmt w:val="decimal"/>
      <w:lvlText w:val="%7)"/>
      <w:lvlJc w:val="left"/>
      <w:pPr>
        <w:ind w:left="2268" w:hanging="567"/>
      </w:pPr>
      <w:rPr>
        <w:rFonts w:eastAsia="標楷體" w:hint="eastAsia"/>
        <w:b w:val="0"/>
        <w:i w:val="0"/>
        <w:sz w:val="28"/>
      </w:rPr>
    </w:lvl>
    <w:lvl w:ilvl="7">
      <w:start w:val="1"/>
      <w:numFmt w:val="ideographTraditional"/>
      <w:lvlText w:val="%8、"/>
      <w:lvlJc w:val="left"/>
      <w:pPr>
        <w:ind w:left="2555" w:hanging="567"/>
      </w:pPr>
      <w:rPr>
        <w:rFonts w:hint="eastAsia"/>
      </w:rPr>
    </w:lvl>
    <w:lvl w:ilvl="8">
      <w:start w:val="1"/>
      <w:numFmt w:val="lowerRoman"/>
      <w:lvlText w:val="%9."/>
      <w:lvlJc w:val="right"/>
      <w:pPr>
        <w:ind w:left="2839" w:hanging="567"/>
      </w:pPr>
      <w:rPr>
        <w:rFonts w:hint="eastAsia"/>
      </w:rPr>
    </w:lvl>
  </w:abstractNum>
  <w:abstractNum w:abstractNumId="17" w15:restartNumberingAfterBreak="0">
    <w:nsid w:val="54D65FE6"/>
    <w:multiLevelType w:val="multilevel"/>
    <w:tmpl w:val="EC287892"/>
    <w:lvl w:ilvl="0">
      <w:start w:val="1"/>
      <w:numFmt w:val="ideographLegalTraditional"/>
      <w:lvlText w:val="%1、"/>
      <w:lvlJc w:val="left"/>
      <w:pPr>
        <w:ind w:left="567" w:hanging="567"/>
      </w:pPr>
      <w:rPr>
        <w:rFonts w:eastAsia="標楷體" w:hint="eastAsia"/>
        <w:b w:val="0"/>
        <w:i w:val="0"/>
        <w:sz w:val="28"/>
        <w:szCs w:val="32"/>
      </w:rPr>
    </w:lvl>
    <w:lvl w:ilvl="1">
      <w:start w:val="1"/>
      <w:numFmt w:val="taiwaneseCountingThousand"/>
      <w:lvlText w:val="%2、"/>
      <w:lvlJc w:val="left"/>
      <w:pPr>
        <w:ind w:left="851" w:hanging="567"/>
      </w:pPr>
      <w:rPr>
        <w:rFonts w:eastAsia="標楷體" w:hint="eastAsia"/>
        <w:b w:val="0"/>
        <w:bCs/>
        <w:i w:val="0"/>
        <w:color w:val="auto"/>
        <w:sz w:val="28"/>
        <w:szCs w:val="28"/>
      </w:rPr>
    </w:lvl>
    <w:lvl w:ilvl="2">
      <w:start w:val="1"/>
      <w:numFmt w:val="taiwaneseCountingThousand"/>
      <w:lvlText w:val="(%3)"/>
      <w:lvlJc w:val="left"/>
      <w:pPr>
        <w:ind w:left="1135" w:hanging="567"/>
      </w:pPr>
      <w:rPr>
        <w:rFonts w:ascii="Times New Roman" w:eastAsia="標楷體" w:hAnsi="Times New Roman" w:cs="Times New Roman" w:hint="default"/>
        <w:b w:val="0"/>
        <w:i w:val="0"/>
        <w:color w:val="auto"/>
        <w:sz w:val="28"/>
      </w:rPr>
    </w:lvl>
    <w:lvl w:ilvl="3">
      <w:start w:val="1"/>
      <w:numFmt w:val="decimal"/>
      <w:lvlText w:val="%4."/>
      <w:lvlJc w:val="left"/>
      <w:pPr>
        <w:ind w:left="1419" w:hanging="567"/>
      </w:pPr>
      <w:rPr>
        <w:rFonts w:eastAsia="標楷體" w:hint="eastAsia"/>
        <w:b w:val="0"/>
        <w:i w:val="0"/>
        <w:color w:val="auto"/>
        <w:sz w:val="28"/>
      </w:rPr>
    </w:lvl>
    <w:lvl w:ilvl="4">
      <w:start w:val="1"/>
      <w:numFmt w:val="decimal"/>
      <w:lvlText w:val="(%5)"/>
      <w:lvlJc w:val="left"/>
      <w:pPr>
        <w:ind w:left="1703" w:hanging="567"/>
      </w:pPr>
      <w:rPr>
        <w:rFonts w:eastAsia="標楷體" w:hint="eastAsia"/>
        <w:b w:val="0"/>
        <w:i w:val="0"/>
        <w:sz w:val="28"/>
      </w:rPr>
    </w:lvl>
    <w:lvl w:ilvl="5">
      <w:start w:val="1"/>
      <w:numFmt w:val="upperLetter"/>
      <w:lvlText w:val="%6."/>
      <w:lvlJc w:val="left"/>
      <w:pPr>
        <w:ind w:left="1987" w:hanging="567"/>
      </w:pPr>
      <w:rPr>
        <w:rFonts w:eastAsia="標楷體" w:hint="eastAsia"/>
        <w:b w:val="0"/>
        <w:i w:val="0"/>
        <w:sz w:val="28"/>
      </w:rPr>
    </w:lvl>
    <w:lvl w:ilvl="6">
      <w:start w:val="1"/>
      <w:numFmt w:val="decimal"/>
      <w:lvlText w:val="%7)"/>
      <w:lvlJc w:val="left"/>
      <w:pPr>
        <w:ind w:left="2268" w:hanging="567"/>
      </w:pPr>
      <w:rPr>
        <w:rFonts w:eastAsia="標楷體" w:hint="eastAsia"/>
        <w:b w:val="0"/>
        <w:i w:val="0"/>
        <w:sz w:val="28"/>
      </w:rPr>
    </w:lvl>
    <w:lvl w:ilvl="7">
      <w:start w:val="1"/>
      <w:numFmt w:val="ideographTraditional"/>
      <w:lvlText w:val="%8、"/>
      <w:lvlJc w:val="left"/>
      <w:pPr>
        <w:ind w:left="2555" w:hanging="567"/>
      </w:pPr>
      <w:rPr>
        <w:rFonts w:hint="eastAsia"/>
      </w:rPr>
    </w:lvl>
    <w:lvl w:ilvl="8">
      <w:start w:val="1"/>
      <w:numFmt w:val="lowerRoman"/>
      <w:lvlText w:val="%9."/>
      <w:lvlJc w:val="right"/>
      <w:pPr>
        <w:ind w:left="2839" w:hanging="567"/>
      </w:pPr>
      <w:rPr>
        <w:rFonts w:hint="eastAsia"/>
      </w:rPr>
    </w:lvl>
  </w:abstractNum>
  <w:abstractNum w:abstractNumId="18" w15:restartNumberingAfterBreak="0">
    <w:nsid w:val="56931454"/>
    <w:multiLevelType w:val="multilevel"/>
    <w:tmpl w:val="EC287892"/>
    <w:lvl w:ilvl="0">
      <w:start w:val="1"/>
      <w:numFmt w:val="ideographLegalTraditional"/>
      <w:lvlText w:val="%1、"/>
      <w:lvlJc w:val="left"/>
      <w:pPr>
        <w:ind w:left="567" w:hanging="567"/>
      </w:pPr>
      <w:rPr>
        <w:rFonts w:eastAsia="標楷體" w:hint="eastAsia"/>
        <w:b w:val="0"/>
        <w:i w:val="0"/>
        <w:sz w:val="28"/>
        <w:szCs w:val="32"/>
      </w:rPr>
    </w:lvl>
    <w:lvl w:ilvl="1">
      <w:start w:val="1"/>
      <w:numFmt w:val="taiwaneseCountingThousand"/>
      <w:lvlText w:val="%2、"/>
      <w:lvlJc w:val="left"/>
      <w:pPr>
        <w:ind w:left="851" w:hanging="567"/>
      </w:pPr>
      <w:rPr>
        <w:rFonts w:eastAsia="標楷體" w:hint="eastAsia"/>
        <w:b w:val="0"/>
        <w:bCs/>
        <w:i w:val="0"/>
        <w:color w:val="auto"/>
        <w:sz w:val="28"/>
        <w:szCs w:val="28"/>
      </w:rPr>
    </w:lvl>
    <w:lvl w:ilvl="2">
      <w:start w:val="1"/>
      <w:numFmt w:val="taiwaneseCountingThousand"/>
      <w:lvlText w:val="(%3)"/>
      <w:lvlJc w:val="left"/>
      <w:pPr>
        <w:ind w:left="1135" w:hanging="567"/>
      </w:pPr>
      <w:rPr>
        <w:rFonts w:ascii="Times New Roman" w:eastAsia="標楷體" w:hAnsi="Times New Roman" w:cs="Times New Roman" w:hint="default"/>
        <w:b w:val="0"/>
        <w:i w:val="0"/>
        <w:color w:val="auto"/>
        <w:sz w:val="28"/>
      </w:rPr>
    </w:lvl>
    <w:lvl w:ilvl="3">
      <w:start w:val="1"/>
      <w:numFmt w:val="decimal"/>
      <w:lvlText w:val="%4."/>
      <w:lvlJc w:val="left"/>
      <w:pPr>
        <w:ind w:left="1419" w:hanging="567"/>
      </w:pPr>
      <w:rPr>
        <w:rFonts w:eastAsia="標楷體" w:hint="eastAsia"/>
        <w:b w:val="0"/>
        <w:i w:val="0"/>
        <w:color w:val="auto"/>
        <w:sz w:val="28"/>
      </w:rPr>
    </w:lvl>
    <w:lvl w:ilvl="4">
      <w:start w:val="1"/>
      <w:numFmt w:val="decimal"/>
      <w:lvlText w:val="(%5)"/>
      <w:lvlJc w:val="left"/>
      <w:pPr>
        <w:ind w:left="1703" w:hanging="567"/>
      </w:pPr>
      <w:rPr>
        <w:rFonts w:eastAsia="標楷體" w:hint="eastAsia"/>
        <w:b w:val="0"/>
        <w:i w:val="0"/>
        <w:sz w:val="28"/>
      </w:rPr>
    </w:lvl>
    <w:lvl w:ilvl="5">
      <w:start w:val="1"/>
      <w:numFmt w:val="upperLetter"/>
      <w:lvlText w:val="%6."/>
      <w:lvlJc w:val="left"/>
      <w:pPr>
        <w:ind w:left="1987" w:hanging="567"/>
      </w:pPr>
      <w:rPr>
        <w:rFonts w:eastAsia="標楷體" w:hint="eastAsia"/>
        <w:b w:val="0"/>
        <w:i w:val="0"/>
        <w:sz w:val="28"/>
      </w:rPr>
    </w:lvl>
    <w:lvl w:ilvl="6">
      <w:start w:val="1"/>
      <w:numFmt w:val="decimal"/>
      <w:lvlText w:val="%7)"/>
      <w:lvlJc w:val="left"/>
      <w:pPr>
        <w:ind w:left="2268" w:hanging="567"/>
      </w:pPr>
      <w:rPr>
        <w:rFonts w:eastAsia="標楷體" w:hint="eastAsia"/>
        <w:b w:val="0"/>
        <w:i w:val="0"/>
        <w:sz w:val="28"/>
      </w:rPr>
    </w:lvl>
    <w:lvl w:ilvl="7">
      <w:start w:val="1"/>
      <w:numFmt w:val="ideographTraditional"/>
      <w:lvlText w:val="%8、"/>
      <w:lvlJc w:val="left"/>
      <w:pPr>
        <w:ind w:left="2555" w:hanging="567"/>
      </w:pPr>
      <w:rPr>
        <w:rFonts w:hint="eastAsia"/>
      </w:rPr>
    </w:lvl>
    <w:lvl w:ilvl="8">
      <w:start w:val="1"/>
      <w:numFmt w:val="lowerRoman"/>
      <w:lvlText w:val="%9."/>
      <w:lvlJc w:val="right"/>
      <w:pPr>
        <w:ind w:left="2839" w:hanging="567"/>
      </w:pPr>
      <w:rPr>
        <w:rFonts w:hint="eastAsia"/>
      </w:rPr>
    </w:lvl>
  </w:abstractNum>
  <w:abstractNum w:abstractNumId="19" w15:restartNumberingAfterBreak="0">
    <w:nsid w:val="5847606D"/>
    <w:multiLevelType w:val="multilevel"/>
    <w:tmpl w:val="F9A61BBE"/>
    <w:lvl w:ilvl="0">
      <w:start w:val="1"/>
      <w:numFmt w:val="taiwaneseCountingThousand"/>
      <w:pStyle w:val="a0"/>
      <w:suff w:val="nothing"/>
      <w:lvlText w:val="%1、"/>
      <w:lvlJc w:val="left"/>
      <w:pPr>
        <w:ind w:left="680" w:hanging="680"/>
      </w:pPr>
      <w:rPr>
        <w:rFonts w:ascii="標楷體" w:eastAsia="標楷體" w:hint="eastAsia"/>
        <w:sz w:val="32"/>
      </w:rPr>
    </w:lvl>
    <w:lvl w:ilvl="1">
      <w:start w:val="1"/>
      <w:numFmt w:val="taiwaneseCountingThousand"/>
      <w:suff w:val="nothing"/>
      <w:lvlText w:val="(%2)"/>
      <w:lvlJc w:val="left"/>
      <w:pPr>
        <w:ind w:left="1021" w:hanging="681"/>
      </w:pPr>
      <w:rPr>
        <w:rFonts w:ascii="標楷體" w:eastAsia="標楷體" w:hint="eastAsia"/>
        <w:caps w:val="0"/>
        <w:strike w:val="0"/>
        <w:dstrike w:val="0"/>
        <w:sz w:val="32"/>
      </w:rPr>
    </w:lvl>
    <w:lvl w:ilvl="2">
      <w:start w:val="1"/>
      <w:numFmt w:val="decimal"/>
      <w:suff w:val="nothing"/>
      <w:lvlText w:val="%3、"/>
      <w:lvlJc w:val="left"/>
      <w:pPr>
        <w:ind w:left="1134" w:hanging="454"/>
      </w:pPr>
      <w:rPr>
        <w:rFonts w:ascii="標楷體" w:eastAsia="標楷體" w:hint="eastAsia"/>
        <w:sz w:val="32"/>
      </w:rPr>
    </w:lvl>
    <w:lvl w:ilvl="3">
      <w:start w:val="1"/>
      <w:numFmt w:val="decimal"/>
      <w:suff w:val="nothing"/>
      <w:lvlText w:val="(%4)"/>
      <w:lvlJc w:val="left"/>
      <w:pPr>
        <w:ind w:left="1361" w:hanging="454"/>
      </w:pPr>
      <w:rPr>
        <w:rFonts w:eastAsia="標楷體" w:hint="eastAsia"/>
        <w:b w:val="0"/>
        <w:i w:val="0"/>
        <w:caps/>
        <w:strike w:val="0"/>
        <w:dstrike w:val="0"/>
        <w:color w:val="000000" w:themeColor="text1"/>
        <w:sz w:val="32"/>
      </w:rPr>
    </w:lvl>
    <w:lvl w:ilvl="4">
      <w:start w:val="1"/>
      <w:numFmt w:val="bullet"/>
      <w:suff w:val="nothing"/>
      <w:lvlText w:val=""/>
      <w:lvlJc w:val="left"/>
      <w:pPr>
        <w:ind w:left="1134" w:firstLine="0"/>
      </w:pPr>
      <w:rPr>
        <w:rFonts w:ascii="Symbol" w:hAnsi="Symbol" w:hint="default"/>
        <w:color w:val="auto"/>
      </w:rPr>
    </w:lvl>
    <w:lvl w:ilvl="5">
      <w:start w:val="1"/>
      <w:numFmt w:val="none"/>
      <w:lvlText w:val=""/>
      <w:lvlJc w:val="left"/>
      <w:pPr>
        <w:ind w:left="1134" w:hanging="850"/>
      </w:pPr>
      <w:rPr>
        <w:rFonts w:ascii="標楷體" w:eastAsia="標楷體" w:hint="eastAsia"/>
        <w:b w:val="0"/>
        <w:i w:val="0"/>
        <w:spacing w:val="0"/>
        <w:kern w:val="0"/>
        <w:position w:val="0"/>
        <w:sz w:val="32"/>
        <w:effect w:val="none"/>
      </w:rPr>
    </w:lvl>
    <w:lvl w:ilvl="6">
      <w:start w:val="1"/>
      <w:numFmt w:val="none"/>
      <w:lvlText w:val=""/>
      <w:lvlJc w:val="left"/>
      <w:pPr>
        <w:ind w:left="1134" w:hanging="850"/>
      </w:pPr>
      <w:rPr>
        <w:rFonts w:hint="eastAsia"/>
      </w:rPr>
    </w:lvl>
    <w:lvl w:ilvl="7">
      <w:start w:val="1"/>
      <w:numFmt w:val="none"/>
      <w:lvlText w:val=""/>
      <w:lvlJc w:val="left"/>
      <w:pPr>
        <w:ind w:left="1134" w:hanging="850"/>
      </w:pPr>
      <w:rPr>
        <w:rFonts w:hint="eastAsia"/>
      </w:rPr>
    </w:lvl>
    <w:lvl w:ilvl="8">
      <w:start w:val="1"/>
      <w:numFmt w:val="none"/>
      <w:lvlText w:val=""/>
      <w:lvlJc w:val="left"/>
      <w:pPr>
        <w:ind w:left="1134" w:hanging="850"/>
      </w:pPr>
      <w:rPr>
        <w:rFonts w:hint="eastAsia"/>
      </w:rPr>
    </w:lvl>
  </w:abstractNum>
  <w:abstractNum w:abstractNumId="20" w15:restartNumberingAfterBreak="0">
    <w:nsid w:val="5C044F95"/>
    <w:multiLevelType w:val="multilevel"/>
    <w:tmpl w:val="EC287892"/>
    <w:lvl w:ilvl="0">
      <w:start w:val="1"/>
      <w:numFmt w:val="ideographLegalTraditional"/>
      <w:lvlText w:val="%1、"/>
      <w:lvlJc w:val="left"/>
      <w:pPr>
        <w:ind w:left="567" w:hanging="567"/>
      </w:pPr>
      <w:rPr>
        <w:rFonts w:eastAsia="標楷體" w:hint="eastAsia"/>
        <w:b w:val="0"/>
        <w:i w:val="0"/>
        <w:sz w:val="28"/>
        <w:szCs w:val="32"/>
      </w:rPr>
    </w:lvl>
    <w:lvl w:ilvl="1">
      <w:start w:val="1"/>
      <w:numFmt w:val="taiwaneseCountingThousand"/>
      <w:lvlText w:val="%2、"/>
      <w:lvlJc w:val="left"/>
      <w:pPr>
        <w:ind w:left="851" w:hanging="567"/>
      </w:pPr>
      <w:rPr>
        <w:rFonts w:eastAsia="標楷體" w:hint="eastAsia"/>
        <w:b w:val="0"/>
        <w:bCs/>
        <w:i w:val="0"/>
        <w:color w:val="auto"/>
        <w:sz w:val="28"/>
        <w:szCs w:val="28"/>
      </w:rPr>
    </w:lvl>
    <w:lvl w:ilvl="2">
      <w:start w:val="1"/>
      <w:numFmt w:val="taiwaneseCountingThousand"/>
      <w:lvlText w:val="(%3)"/>
      <w:lvlJc w:val="left"/>
      <w:pPr>
        <w:ind w:left="1135" w:hanging="567"/>
      </w:pPr>
      <w:rPr>
        <w:rFonts w:ascii="Times New Roman" w:eastAsia="標楷體" w:hAnsi="Times New Roman" w:cs="Times New Roman" w:hint="default"/>
        <w:b w:val="0"/>
        <w:i w:val="0"/>
        <w:color w:val="auto"/>
        <w:sz w:val="28"/>
      </w:rPr>
    </w:lvl>
    <w:lvl w:ilvl="3">
      <w:start w:val="1"/>
      <w:numFmt w:val="decimal"/>
      <w:lvlText w:val="%4."/>
      <w:lvlJc w:val="left"/>
      <w:pPr>
        <w:ind w:left="1419" w:hanging="567"/>
      </w:pPr>
      <w:rPr>
        <w:rFonts w:eastAsia="標楷體" w:hint="eastAsia"/>
        <w:b w:val="0"/>
        <w:i w:val="0"/>
        <w:color w:val="auto"/>
        <w:sz w:val="28"/>
      </w:rPr>
    </w:lvl>
    <w:lvl w:ilvl="4">
      <w:start w:val="1"/>
      <w:numFmt w:val="decimal"/>
      <w:lvlText w:val="(%5)"/>
      <w:lvlJc w:val="left"/>
      <w:pPr>
        <w:ind w:left="1703" w:hanging="567"/>
      </w:pPr>
      <w:rPr>
        <w:rFonts w:eastAsia="標楷體" w:hint="eastAsia"/>
        <w:b w:val="0"/>
        <w:i w:val="0"/>
        <w:sz w:val="28"/>
      </w:rPr>
    </w:lvl>
    <w:lvl w:ilvl="5">
      <w:start w:val="1"/>
      <w:numFmt w:val="upperLetter"/>
      <w:lvlText w:val="%6."/>
      <w:lvlJc w:val="left"/>
      <w:pPr>
        <w:ind w:left="1987" w:hanging="567"/>
      </w:pPr>
      <w:rPr>
        <w:rFonts w:eastAsia="標楷體" w:hint="eastAsia"/>
        <w:b w:val="0"/>
        <w:i w:val="0"/>
        <w:sz w:val="28"/>
      </w:rPr>
    </w:lvl>
    <w:lvl w:ilvl="6">
      <w:start w:val="1"/>
      <w:numFmt w:val="decimal"/>
      <w:lvlText w:val="%7)"/>
      <w:lvlJc w:val="left"/>
      <w:pPr>
        <w:ind w:left="2268" w:hanging="567"/>
      </w:pPr>
      <w:rPr>
        <w:rFonts w:eastAsia="標楷體" w:hint="eastAsia"/>
        <w:b w:val="0"/>
        <w:i w:val="0"/>
        <w:sz w:val="28"/>
      </w:rPr>
    </w:lvl>
    <w:lvl w:ilvl="7">
      <w:start w:val="1"/>
      <w:numFmt w:val="ideographTraditional"/>
      <w:lvlText w:val="%8、"/>
      <w:lvlJc w:val="left"/>
      <w:pPr>
        <w:ind w:left="2555" w:hanging="567"/>
      </w:pPr>
      <w:rPr>
        <w:rFonts w:hint="eastAsia"/>
      </w:rPr>
    </w:lvl>
    <w:lvl w:ilvl="8">
      <w:start w:val="1"/>
      <w:numFmt w:val="lowerRoman"/>
      <w:lvlText w:val="%9."/>
      <w:lvlJc w:val="right"/>
      <w:pPr>
        <w:ind w:left="2839" w:hanging="567"/>
      </w:pPr>
      <w:rPr>
        <w:rFonts w:hint="eastAsia"/>
      </w:rPr>
    </w:lvl>
  </w:abstractNum>
  <w:abstractNum w:abstractNumId="21" w15:restartNumberingAfterBreak="0">
    <w:nsid w:val="64B008FD"/>
    <w:multiLevelType w:val="multilevel"/>
    <w:tmpl w:val="EC287892"/>
    <w:lvl w:ilvl="0">
      <w:start w:val="1"/>
      <w:numFmt w:val="ideographLegalTraditional"/>
      <w:lvlText w:val="%1、"/>
      <w:lvlJc w:val="left"/>
      <w:pPr>
        <w:ind w:left="567" w:hanging="567"/>
      </w:pPr>
      <w:rPr>
        <w:rFonts w:eastAsia="標楷體" w:hint="eastAsia"/>
        <w:b w:val="0"/>
        <w:i w:val="0"/>
        <w:sz w:val="28"/>
        <w:szCs w:val="32"/>
      </w:rPr>
    </w:lvl>
    <w:lvl w:ilvl="1">
      <w:start w:val="1"/>
      <w:numFmt w:val="taiwaneseCountingThousand"/>
      <w:lvlText w:val="%2、"/>
      <w:lvlJc w:val="left"/>
      <w:pPr>
        <w:ind w:left="851" w:hanging="567"/>
      </w:pPr>
      <w:rPr>
        <w:rFonts w:eastAsia="標楷體" w:hint="eastAsia"/>
        <w:b w:val="0"/>
        <w:bCs/>
        <w:i w:val="0"/>
        <w:color w:val="auto"/>
        <w:sz w:val="28"/>
        <w:szCs w:val="28"/>
      </w:rPr>
    </w:lvl>
    <w:lvl w:ilvl="2">
      <w:start w:val="1"/>
      <w:numFmt w:val="taiwaneseCountingThousand"/>
      <w:lvlText w:val="(%3)"/>
      <w:lvlJc w:val="left"/>
      <w:pPr>
        <w:ind w:left="1135" w:hanging="567"/>
      </w:pPr>
      <w:rPr>
        <w:rFonts w:ascii="Times New Roman" w:eastAsia="標楷體" w:hAnsi="Times New Roman" w:cs="Times New Roman" w:hint="default"/>
        <w:b w:val="0"/>
        <w:i w:val="0"/>
        <w:color w:val="auto"/>
        <w:sz w:val="28"/>
      </w:rPr>
    </w:lvl>
    <w:lvl w:ilvl="3">
      <w:start w:val="1"/>
      <w:numFmt w:val="decimal"/>
      <w:lvlText w:val="%4."/>
      <w:lvlJc w:val="left"/>
      <w:pPr>
        <w:ind w:left="1419" w:hanging="567"/>
      </w:pPr>
      <w:rPr>
        <w:rFonts w:eastAsia="標楷體" w:hint="eastAsia"/>
        <w:b w:val="0"/>
        <w:i w:val="0"/>
        <w:color w:val="auto"/>
        <w:sz w:val="28"/>
      </w:rPr>
    </w:lvl>
    <w:lvl w:ilvl="4">
      <w:start w:val="1"/>
      <w:numFmt w:val="decimal"/>
      <w:lvlText w:val="(%5)"/>
      <w:lvlJc w:val="left"/>
      <w:pPr>
        <w:ind w:left="1703" w:hanging="567"/>
      </w:pPr>
      <w:rPr>
        <w:rFonts w:eastAsia="標楷體" w:hint="eastAsia"/>
        <w:b w:val="0"/>
        <w:i w:val="0"/>
        <w:sz w:val="28"/>
      </w:rPr>
    </w:lvl>
    <w:lvl w:ilvl="5">
      <w:start w:val="1"/>
      <w:numFmt w:val="upperLetter"/>
      <w:lvlText w:val="%6."/>
      <w:lvlJc w:val="left"/>
      <w:pPr>
        <w:ind w:left="1987" w:hanging="567"/>
      </w:pPr>
      <w:rPr>
        <w:rFonts w:eastAsia="標楷體" w:hint="eastAsia"/>
        <w:b w:val="0"/>
        <w:i w:val="0"/>
        <w:sz w:val="28"/>
      </w:rPr>
    </w:lvl>
    <w:lvl w:ilvl="6">
      <w:start w:val="1"/>
      <w:numFmt w:val="decimal"/>
      <w:lvlText w:val="%7)"/>
      <w:lvlJc w:val="left"/>
      <w:pPr>
        <w:ind w:left="2268" w:hanging="567"/>
      </w:pPr>
      <w:rPr>
        <w:rFonts w:eastAsia="標楷體" w:hint="eastAsia"/>
        <w:b w:val="0"/>
        <w:i w:val="0"/>
        <w:sz w:val="28"/>
      </w:rPr>
    </w:lvl>
    <w:lvl w:ilvl="7">
      <w:start w:val="1"/>
      <w:numFmt w:val="ideographTraditional"/>
      <w:lvlText w:val="%8、"/>
      <w:lvlJc w:val="left"/>
      <w:pPr>
        <w:ind w:left="2555" w:hanging="567"/>
      </w:pPr>
      <w:rPr>
        <w:rFonts w:hint="eastAsia"/>
      </w:rPr>
    </w:lvl>
    <w:lvl w:ilvl="8">
      <w:start w:val="1"/>
      <w:numFmt w:val="lowerRoman"/>
      <w:lvlText w:val="%9."/>
      <w:lvlJc w:val="right"/>
      <w:pPr>
        <w:ind w:left="2839" w:hanging="567"/>
      </w:pPr>
      <w:rPr>
        <w:rFonts w:hint="eastAsia"/>
      </w:rPr>
    </w:lvl>
  </w:abstractNum>
  <w:abstractNum w:abstractNumId="22" w15:restartNumberingAfterBreak="0">
    <w:nsid w:val="672A7DD0"/>
    <w:multiLevelType w:val="multilevel"/>
    <w:tmpl w:val="EC287892"/>
    <w:lvl w:ilvl="0">
      <w:start w:val="1"/>
      <w:numFmt w:val="ideographLegalTraditional"/>
      <w:lvlText w:val="%1、"/>
      <w:lvlJc w:val="left"/>
      <w:pPr>
        <w:ind w:left="567" w:hanging="567"/>
      </w:pPr>
      <w:rPr>
        <w:rFonts w:eastAsia="標楷體" w:hint="eastAsia"/>
        <w:b w:val="0"/>
        <w:i w:val="0"/>
        <w:sz w:val="28"/>
        <w:szCs w:val="32"/>
      </w:rPr>
    </w:lvl>
    <w:lvl w:ilvl="1">
      <w:start w:val="1"/>
      <w:numFmt w:val="taiwaneseCountingThousand"/>
      <w:lvlText w:val="%2、"/>
      <w:lvlJc w:val="left"/>
      <w:pPr>
        <w:ind w:left="851" w:hanging="567"/>
      </w:pPr>
      <w:rPr>
        <w:rFonts w:eastAsia="標楷體" w:hint="eastAsia"/>
        <w:b w:val="0"/>
        <w:bCs/>
        <w:i w:val="0"/>
        <w:color w:val="auto"/>
        <w:sz w:val="28"/>
        <w:szCs w:val="28"/>
      </w:rPr>
    </w:lvl>
    <w:lvl w:ilvl="2">
      <w:start w:val="1"/>
      <w:numFmt w:val="taiwaneseCountingThousand"/>
      <w:lvlText w:val="(%3)"/>
      <w:lvlJc w:val="left"/>
      <w:pPr>
        <w:ind w:left="1135" w:hanging="567"/>
      </w:pPr>
      <w:rPr>
        <w:rFonts w:ascii="Times New Roman" w:eastAsia="標楷體" w:hAnsi="Times New Roman" w:cs="Times New Roman" w:hint="default"/>
        <w:b w:val="0"/>
        <w:i w:val="0"/>
        <w:color w:val="auto"/>
        <w:sz w:val="28"/>
      </w:rPr>
    </w:lvl>
    <w:lvl w:ilvl="3">
      <w:start w:val="1"/>
      <w:numFmt w:val="decimal"/>
      <w:lvlText w:val="%4."/>
      <w:lvlJc w:val="left"/>
      <w:pPr>
        <w:ind w:left="1419" w:hanging="567"/>
      </w:pPr>
      <w:rPr>
        <w:rFonts w:eastAsia="標楷體" w:hint="eastAsia"/>
        <w:b w:val="0"/>
        <w:i w:val="0"/>
        <w:color w:val="auto"/>
        <w:sz w:val="28"/>
      </w:rPr>
    </w:lvl>
    <w:lvl w:ilvl="4">
      <w:start w:val="1"/>
      <w:numFmt w:val="decimal"/>
      <w:lvlText w:val="(%5)"/>
      <w:lvlJc w:val="left"/>
      <w:pPr>
        <w:ind w:left="1703" w:hanging="567"/>
      </w:pPr>
      <w:rPr>
        <w:rFonts w:eastAsia="標楷體" w:hint="eastAsia"/>
        <w:b w:val="0"/>
        <w:i w:val="0"/>
        <w:sz w:val="28"/>
      </w:rPr>
    </w:lvl>
    <w:lvl w:ilvl="5">
      <w:start w:val="1"/>
      <w:numFmt w:val="upperLetter"/>
      <w:lvlText w:val="%6."/>
      <w:lvlJc w:val="left"/>
      <w:pPr>
        <w:ind w:left="1987" w:hanging="567"/>
      </w:pPr>
      <w:rPr>
        <w:rFonts w:eastAsia="標楷體" w:hint="eastAsia"/>
        <w:b w:val="0"/>
        <w:i w:val="0"/>
        <w:sz w:val="28"/>
      </w:rPr>
    </w:lvl>
    <w:lvl w:ilvl="6">
      <w:start w:val="1"/>
      <w:numFmt w:val="decimal"/>
      <w:lvlText w:val="%7)"/>
      <w:lvlJc w:val="left"/>
      <w:pPr>
        <w:ind w:left="2268" w:hanging="567"/>
      </w:pPr>
      <w:rPr>
        <w:rFonts w:eastAsia="標楷體" w:hint="eastAsia"/>
        <w:b w:val="0"/>
        <w:i w:val="0"/>
        <w:sz w:val="28"/>
      </w:rPr>
    </w:lvl>
    <w:lvl w:ilvl="7">
      <w:start w:val="1"/>
      <w:numFmt w:val="ideographTraditional"/>
      <w:lvlText w:val="%8、"/>
      <w:lvlJc w:val="left"/>
      <w:pPr>
        <w:ind w:left="2555" w:hanging="567"/>
      </w:pPr>
      <w:rPr>
        <w:rFonts w:hint="eastAsia"/>
      </w:rPr>
    </w:lvl>
    <w:lvl w:ilvl="8">
      <w:start w:val="1"/>
      <w:numFmt w:val="lowerRoman"/>
      <w:lvlText w:val="%9."/>
      <w:lvlJc w:val="right"/>
      <w:pPr>
        <w:ind w:left="2839" w:hanging="567"/>
      </w:pPr>
      <w:rPr>
        <w:rFonts w:hint="eastAsia"/>
      </w:rPr>
    </w:lvl>
  </w:abstractNum>
  <w:abstractNum w:abstractNumId="23" w15:restartNumberingAfterBreak="0">
    <w:nsid w:val="6A807C62"/>
    <w:multiLevelType w:val="multilevel"/>
    <w:tmpl w:val="EC287892"/>
    <w:lvl w:ilvl="0">
      <w:start w:val="1"/>
      <w:numFmt w:val="ideographLegalTraditional"/>
      <w:lvlText w:val="%1、"/>
      <w:lvlJc w:val="left"/>
      <w:pPr>
        <w:ind w:left="567" w:hanging="567"/>
      </w:pPr>
      <w:rPr>
        <w:rFonts w:eastAsia="標楷體" w:hint="eastAsia"/>
        <w:b w:val="0"/>
        <w:i w:val="0"/>
        <w:sz w:val="28"/>
        <w:szCs w:val="32"/>
      </w:rPr>
    </w:lvl>
    <w:lvl w:ilvl="1">
      <w:start w:val="1"/>
      <w:numFmt w:val="taiwaneseCountingThousand"/>
      <w:lvlText w:val="%2、"/>
      <w:lvlJc w:val="left"/>
      <w:pPr>
        <w:ind w:left="851" w:hanging="567"/>
      </w:pPr>
      <w:rPr>
        <w:rFonts w:eastAsia="標楷體" w:hint="eastAsia"/>
        <w:b w:val="0"/>
        <w:bCs/>
        <w:i w:val="0"/>
        <w:color w:val="auto"/>
        <w:sz w:val="28"/>
        <w:szCs w:val="28"/>
      </w:rPr>
    </w:lvl>
    <w:lvl w:ilvl="2">
      <w:start w:val="1"/>
      <w:numFmt w:val="taiwaneseCountingThousand"/>
      <w:lvlText w:val="(%3)"/>
      <w:lvlJc w:val="left"/>
      <w:pPr>
        <w:ind w:left="1135" w:hanging="567"/>
      </w:pPr>
      <w:rPr>
        <w:rFonts w:ascii="Times New Roman" w:eastAsia="標楷體" w:hAnsi="Times New Roman" w:cs="Times New Roman" w:hint="default"/>
        <w:b w:val="0"/>
        <w:i w:val="0"/>
        <w:color w:val="auto"/>
        <w:sz w:val="28"/>
      </w:rPr>
    </w:lvl>
    <w:lvl w:ilvl="3">
      <w:start w:val="1"/>
      <w:numFmt w:val="decimal"/>
      <w:lvlText w:val="%4."/>
      <w:lvlJc w:val="left"/>
      <w:pPr>
        <w:ind w:left="1419" w:hanging="567"/>
      </w:pPr>
      <w:rPr>
        <w:rFonts w:eastAsia="標楷體" w:hint="eastAsia"/>
        <w:b w:val="0"/>
        <w:i w:val="0"/>
        <w:color w:val="auto"/>
        <w:sz w:val="28"/>
      </w:rPr>
    </w:lvl>
    <w:lvl w:ilvl="4">
      <w:start w:val="1"/>
      <w:numFmt w:val="decimal"/>
      <w:lvlText w:val="(%5)"/>
      <w:lvlJc w:val="left"/>
      <w:pPr>
        <w:ind w:left="1703" w:hanging="567"/>
      </w:pPr>
      <w:rPr>
        <w:rFonts w:eastAsia="標楷體" w:hint="eastAsia"/>
        <w:b w:val="0"/>
        <w:i w:val="0"/>
        <w:sz w:val="28"/>
      </w:rPr>
    </w:lvl>
    <w:lvl w:ilvl="5">
      <w:start w:val="1"/>
      <w:numFmt w:val="upperLetter"/>
      <w:lvlText w:val="%6."/>
      <w:lvlJc w:val="left"/>
      <w:pPr>
        <w:ind w:left="1987" w:hanging="567"/>
      </w:pPr>
      <w:rPr>
        <w:rFonts w:eastAsia="標楷體" w:hint="eastAsia"/>
        <w:b w:val="0"/>
        <w:i w:val="0"/>
        <w:sz w:val="28"/>
      </w:rPr>
    </w:lvl>
    <w:lvl w:ilvl="6">
      <w:start w:val="1"/>
      <w:numFmt w:val="decimal"/>
      <w:lvlText w:val="%7)"/>
      <w:lvlJc w:val="left"/>
      <w:pPr>
        <w:ind w:left="2268" w:hanging="567"/>
      </w:pPr>
      <w:rPr>
        <w:rFonts w:eastAsia="標楷體" w:hint="eastAsia"/>
        <w:b w:val="0"/>
        <w:i w:val="0"/>
        <w:sz w:val="28"/>
      </w:rPr>
    </w:lvl>
    <w:lvl w:ilvl="7">
      <w:start w:val="1"/>
      <w:numFmt w:val="ideographTraditional"/>
      <w:lvlText w:val="%8、"/>
      <w:lvlJc w:val="left"/>
      <w:pPr>
        <w:ind w:left="2555" w:hanging="567"/>
      </w:pPr>
      <w:rPr>
        <w:rFonts w:hint="eastAsia"/>
      </w:rPr>
    </w:lvl>
    <w:lvl w:ilvl="8">
      <w:start w:val="1"/>
      <w:numFmt w:val="lowerRoman"/>
      <w:lvlText w:val="%9."/>
      <w:lvlJc w:val="right"/>
      <w:pPr>
        <w:ind w:left="2839" w:hanging="567"/>
      </w:pPr>
      <w:rPr>
        <w:rFonts w:hint="eastAsia"/>
      </w:rPr>
    </w:lvl>
  </w:abstractNum>
  <w:abstractNum w:abstractNumId="24" w15:restartNumberingAfterBreak="0">
    <w:nsid w:val="7472149A"/>
    <w:multiLevelType w:val="multilevel"/>
    <w:tmpl w:val="EC287892"/>
    <w:lvl w:ilvl="0">
      <w:start w:val="1"/>
      <w:numFmt w:val="ideographLegalTraditional"/>
      <w:lvlText w:val="%1、"/>
      <w:lvlJc w:val="left"/>
      <w:pPr>
        <w:ind w:left="567" w:hanging="567"/>
      </w:pPr>
      <w:rPr>
        <w:rFonts w:eastAsia="標楷體" w:hint="eastAsia"/>
        <w:b w:val="0"/>
        <w:i w:val="0"/>
        <w:sz w:val="28"/>
        <w:szCs w:val="32"/>
      </w:rPr>
    </w:lvl>
    <w:lvl w:ilvl="1">
      <w:start w:val="1"/>
      <w:numFmt w:val="taiwaneseCountingThousand"/>
      <w:lvlText w:val="%2、"/>
      <w:lvlJc w:val="left"/>
      <w:pPr>
        <w:ind w:left="851" w:hanging="567"/>
      </w:pPr>
      <w:rPr>
        <w:rFonts w:eastAsia="標楷體" w:hint="eastAsia"/>
        <w:b w:val="0"/>
        <w:bCs/>
        <w:i w:val="0"/>
        <w:color w:val="auto"/>
        <w:sz w:val="28"/>
        <w:szCs w:val="28"/>
      </w:rPr>
    </w:lvl>
    <w:lvl w:ilvl="2">
      <w:start w:val="1"/>
      <w:numFmt w:val="taiwaneseCountingThousand"/>
      <w:lvlText w:val="(%3)"/>
      <w:lvlJc w:val="left"/>
      <w:pPr>
        <w:ind w:left="1135" w:hanging="567"/>
      </w:pPr>
      <w:rPr>
        <w:rFonts w:ascii="Times New Roman" w:eastAsia="標楷體" w:hAnsi="Times New Roman" w:cs="Times New Roman" w:hint="default"/>
        <w:b w:val="0"/>
        <w:i w:val="0"/>
        <w:color w:val="auto"/>
        <w:sz w:val="28"/>
      </w:rPr>
    </w:lvl>
    <w:lvl w:ilvl="3">
      <w:start w:val="1"/>
      <w:numFmt w:val="decimal"/>
      <w:lvlText w:val="%4."/>
      <w:lvlJc w:val="left"/>
      <w:pPr>
        <w:ind w:left="1419" w:hanging="567"/>
      </w:pPr>
      <w:rPr>
        <w:rFonts w:eastAsia="標楷體" w:hint="eastAsia"/>
        <w:b w:val="0"/>
        <w:i w:val="0"/>
        <w:color w:val="auto"/>
        <w:sz w:val="28"/>
      </w:rPr>
    </w:lvl>
    <w:lvl w:ilvl="4">
      <w:start w:val="1"/>
      <w:numFmt w:val="decimal"/>
      <w:lvlText w:val="(%5)"/>
      <w:lvlJc w:val="left"/>
      <w:pPr>
        <w:ind w:left="1703" w:hanging="567"/>
      </w:pPr>
      <w:rPr>
        <w:rFonts w:eastAsia="標楷體" w:hint="eastAsia"/>
        <w:b w:val="0"/>
        <w:i w:val="0"/>
        <w:sz w:val="28"/>
      </w:rPr>
    </w:lvl>
    <w:lvl w:ilvl="5">
      <w:start w:val="1"/>
      <w:numFmt w:val="upperLetter"/>
      <w:lvlText w:val="%6."/>
      <w:lvlJc w:val="left"/>
      <w:pPr>
        <w:ind w:left="1987" w:hanging="567"/>
      </w:pPr>
      <w:rPr>
        <w:rFonts w:eastAsia="標楷體" w:hint="eastAsia"/>
        <w:b w:val="0"/>
        <w:i w:val="0"/>
        <w:sz w:val="28"/>
      </w:rPr>
    </w:lvl>
    <w:lvl w:ilvl="6">
      <w:start w:val="1"/>
      <w:numFmt w:val="decimal"/>
      <w:lvlText w:val="%7)"/>
      <w:lvlJc w:val="left"/>
      <w:pPr>
        <w:ind w:left="2268" w:hanging="567"/>
      </w:pPr>
      <w:rPr>
        <w:rFonts w:eastAsia="標楷體" w:hint="eastAsia"/>
        <w:b w:val="0"/>
        <w:i w:val="0"/>
        <w:sz w:val="28"/>
      </w:rPr>
    </w:lvl>
    <w:lvl w:ilvl="7">
      <w:start w:val="1"/>
      <w:numFmt w:val="ideographTraditional"/>
      <w:lvlText w:val="%8、"/>
      <w:lvlJc w:val="left"/>
      <w:pPr>
        <w:ind w:left="2555" w:hanging="567"/>
      </w:pPr>
      <w:rPr>
        <w:rFonts w:hint="eastAsia"/>
      </w:rPr>
    </w:lvl>
    <w:lvl w:ilvl="8">
      <w:start w:val="1"/>
      <w:numFmt w:val="lowerRoman"/>
      <w:lvlText w:val="%9."/>
      <w:lvlJc w:val="right"/>
      <w:pPr>
        <w:ind w:left="2839" w:hanging="567"/>
      </w:pPr>
      <w:rPr>
        <w:rFonts w:hint="eastAsia"/>
      </w:rPr>
    </w:lvl>
  </w:abstractNum>
  <w:abstractNum w:abstractNumId="25" w15:restartNumberingAfterBreak="0">
    <w:nsid w:val="77566985"/>
    <w:multiLevelType w:val="hybridMultilevel"/>
    <w:tmpl w:val="315E464E"/>
    <w:lvl w:ilvl="0" w:tplc="7DC8F718">
      <w:start w:val="1"/>
      <w:numFmt w:val="decimal"/>
      <w:pStyle w:val="a1"/>
      <w:lvlText w:val="圖%1 "/>
      <w:lvlJc w:val="left"/>
      <w:rPr>
        <w:rFonts w:ascii="Times New Roman" w:eastAsia="標楷體" w:hAnsi="Times New Roman" w:cs="Times New Roman" w:hint="default"/>
        <w:b w:val="0"/>
        <w:i w:val="0"/>
        <w:color w:val="auto"/>
        <w:sz w:val="24"/>
      </w:rPr>
    </w:lvl>
    <w:lvl w:ilvl="1" w:tplc="04090019" w:tentative="1">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15:restartNumberingAfterBreak="0">
    <w:nsid w:val="78EF42E4"/>
    <w:multiLevelType w:val="multilevel"/>
    <w:tmpl w:val="EC287892"/>
    <w:lvl w:ilvl="0">
      <w:start w:val="1"/>
      <w:numFmt w:val="ideographLegalTraditional"/>
      <w:lvlText w:val="%1、"/>
      <w:lvlJc w:val="left"/>
      <w:pPr>
        <w:ind w:left="567" w:hanging="567"/>
      </w:pPr>
      <w:rPr>
        <w:rFonts w:eastAsia="標楷體" w:hint="eastAsia"/>
        <w:b w:val="0"/>
        <w:i w:val="0"/>
        <w:sz w:val="28"/>
        <w:szCs w:val="32"/>
      </w:rPr>
    </w:lvl>
    <w:lvl w:ilvl="1">
      <w:start w:val="1"/>
      <w:numFmt w:val="taiwaneseCountingThousand"/>
      <w:lvlText w:val="%2、"/>
      <w:lvlJc w:val="left"/>
      <w:pPr>
        <w:ind w:left="851" w:hanging="567"/>
      </w:pPr>
      <w:rPr>
        <w:rFonts w:eastAsia="標楷體" w:hint="eastAsia"/>
        <w:b w:val="0"/>
        <w:bCs/>
        <w:i w:val="0"/>
        <w:color w:val="auto"/>
        <w:sz w:val="28"/>
        <w:szCs w:val="28"/>
      </w:rPr>
    </w:lvl>
    <w:lvl w:ilvl="2">
      <w:start w:val="1"/>
      <w:numFmt w:val="taiwaneseCountingThousand"/>
      <w:lvlText w:val="(%3)"/>
      <w:lvlJc w:val="left"/>
      <w:pPr>
        <w:ind w:left="1135" w:hanging="567"/>
      </w:pPr>
      <w:rPr>
        <w:rFonts w:ascii="Times New Roman" w:eastAsia="標楷體" w:hAnsi="Times New Roman" w:cs="Times New Roman" w:hint="default"/>
        <w:b w:val="0"/>
        <w:i w:val="0"/>
        <w:color w:val="auto"/>
        <w:sz w:val="28"/>
      </w:rPr>
    </w:lvl>
    <w:lvl w:ilvl="3">
      <w:start w:val="1"/>
      <w:numFmt w:val="decimal"/>
      <w:lvlText w:val="%4."/>
      <w:lvlJc w:val="left"/>
      <w:pPr>
        <w:ind w:left="1419" w:hanging="567"/>
      </w:pPr>
      <w:rPr>
        <w:rFonts w:eastAsia="標楷體" w:hint="eastAsia"/>
        <w:b w:val="0"/>
        <w:i w:val="0"/>
        <w:color w:val="auto"/>
        <w:sz w:val="28"/>
      </w:rPr>
    </w:lvl>
    <w:lvl w:ilvl="4">
      <w:start w:val="1"/>
      <w:numFmt w:val="decimal"/>
      <w:lvlText w:val="(%5)"/>
      <w:lvlJc w:val="left"/>
      <w:pPr>
        <w:ind w:left="1703" w:hanging="567"/>
      </w:pPr>
      <w:rPr>
        <w:rFonts w:eastAsia="標楷體" w:hint="eastAsia"/>
        <w:b w:val="0"/>
        <w:i w:val="0"/>
        <w:sz w:val="28"/>
      </w:rPr>
    </w:lvl>
    <w:lvl w:ilvl="5">
      <w:start w:val="1"/>
      <w:numFmt w:val="upperLetter"/>
      <w:lvlText w:val="%6."/>
      <w:lvlJc w:val="left"/>
      <w:pPr>
        <w:ind w:left="1987" w:hanging="567"/>
      </w:pPr>
      <w:rPr>
        <w:rFonts w:eastAsia="標楷體" w:hint="eastAsia"/>
        <w:b w:val="0"/>
        <w:i w:val="0"/>
        <w:sz w:val="28"/>
      </w:rPr>
    </w:lvl>
    <w:lvl w:ilvl="6">
      <w:start w:val="1"/>
      <w:numFmt w:val="decimal"/>
      <w:lvlText w:val="%7)"/>
      <w:lvlJc w:val="left"/>
      <w:pPr>
        <w:ind w:left="2268" w:hanging="567"/>
      </w:pPr>
      <w:rPr>
        <w:rFonts w:eastAsia="標楷體" w:hint="eastAsia"/>
        <w:b w:val="0"/>
        <w:i w:val="0"/>
        <w:sz w:val="28"/>
      </w:rPr>
    </w:lvl>
    <w:lvl w:ilvl="7">
      <w:start w:val="1"/>
      <w:numFmt w:val="ideographTraditional"/>
      <w:lvlText w:val="%8、"/>
      <w:lvlJc w:val="left"/>
      <w:pPr>
        <w:ind w:left="2555" w:hanging="567"/>
      </w:pPr>
      <w:rPr>
        <w:rFonts w:hint="eastAsia"/>
      </w:rPr>
    </w:lvl>
    <w:lvl w:ilvl="8">
      <w:start w:val="1"/>
      <w:numFmt w:val="lowerRoman"/>
      <w:lvlText w:val="%9."/>
      <w:lvlJc w:val="right"/>
      <w:pPr>
        <w:ind w:left="2839" w:hanging="567"/>
      </w:pPr>
      <w:rPr>
        <w:rFonts w:hint="eastAsia"/>
      </w:rPr>
    </w:lvl>
  </w:abstractNum>
  <w:num w:numId="1" w16cid:durableId="2113279241">
    <w:abstractNumId w:val="5"/>
  </w:num>
  <w:num w:numId="2" w16cid:durableId="1076436098">
    <w:abstractNumId w:val="20"/>
  </w:num>
  <w:num w:numId="3" w16cid:durableId="386033704">
    <w:abstractNumId w:val="14"/>
  </w:num>
  <w:num w:numId="4" w16cid:durableId="1339119283">
    <w:abstractNumId w:val="25"/>
  </w:num>
  <w:num w:numId="5" w16cid:durableId="988482691">
    <w:abstractNumId w:val="7"/>
  </w:num>
  <w:num w:numId="6" w16cid:durableId="1793864610">
    <w:abstractNumId w:val="19"/>
  </w:num>
  <w:num w:numId="7" w16cid:durableId="522523794">
    <w:abstractNumId w:val="17"/>
  </w:num>
  <w:num w:numId="8" w16cid:durableId="215555790">
    <w:abstractNumId w:val="9"/>
  </w:num>
  <w:num w:numId="9" w16cid:durableId="1664118468">
    <w:abstractNumId w:val="10"/>
  </w:num>
  <w:num w:numId="10" w16cid:durableId="2062245387">
    <w:abstractNumId w:val="26"/>
  </w:num>
  <w:num w:numId="11" w16cid:durableId="717705716">
    <w:abstractNumId w:val="13"/>
  </w:num>
  <w:num w:numId="12" w16cid:durableId="2001541602">
    <w:abstractNumId w:val="21"/>
  </w:num>
  <w:num w:numId="13" w16cid:durableId="28072960">
    <w:abstractNumId w:val="22"/>
  </w:num>
  <w:num w:numId="14" w16cid:durableId="1632323144">
    <w:abstractNumId w:val="18"/>
  </w:num>
  <w:num w:numId="15" w16cid:durableId="2126387006">
    <w:abstractNumId w:val="2"/>
  </w:num>
  <w:num w:numId="16" w16cid:durableId="1707291906">
    <w:abstractNumId w:val="6"/>
  </w:num>
  <w:num w:numId="17" w16cid:durableId="718287733">
    <w:abstractNumId w:val="8"/>
  </w:num>
  <w:num w:numId="18" w16cid:durableId="1866404816">
    <w:abstractNumId w:val="11"/>
  </w:num>
  <w:num w:numId="19" w16cid:durableId="717245791">
    <w:abstractNumId w:val="24"/>
  </w:num>
  <w:num w:numId="20" w16cid:durableId="966813102">
    <w:abstractNumId w:val="12"/>
  </w:num>
  <w:num w:numId="21" w16cid:durableId="385220968">
    <w:abstractNumId w:val="16"/>
  </w:num>
  <w:num w:numId="22" w16cid:durableId="401299663">
    <w:abstractNumId w:val="0"/>
  </w:num>
  <w:num w:numId="23" w16cid:durableId="1141924760">
    <w:abstractNumId w:val="15"/>
  </w:num>
  <w:num w:numId="24" w16cid:durableId="1154685381">
    <w:abstractNumId w:val="23"/>
  </w:num>
  <w:num w:numId="25" w16cid:durableId="1822429376">
    <w:abstractNumId w:val="3"/>
  </w:num>
  <w:num w:numId="26" w16cid:durableId="622420516">
    <w:abstractNumId w:val="1"/>
  </w:num>
  <w:num w:numId="27" w16cid:durableId="897783908">
    <w:abstractNumId w:val="4"/>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bordersDoNotSurroundHeader/>
  <w:bordersDoNotSurroundFooter/>
  <w:defaultTabStop w:val="50"/>
  <w:drawingGridHorizontalSpacing w:val="120"/>
  <w:drawingGridVerticalSpacing w:val="163"/>
  <w:displayHorizontalDrawingGridEvery w:val="0"/>
  <w:displayVerticalDrawingGridEvery w:val="2"/>
  <w:characterSpacingControl w:val="compressPunctuation"/>
  <w:hdrShapeDefaults>
    <o:shapedefaults v:ext="edit" spidmax="2050" fillcolor="white">
      <v:fill color="white"/>
      <o:colormru v:ext="edit" colors="#ffc"/>
    </o:shapedefaults>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203A3"/>
    <w:rsid w:val="0001136B"/>
    <w:rsid w:val="00013AD6"/>
    <w:rsid w:val="00015BBF"/>
    <w:rsid w:val="0001754F"/>
    <w:rsid w:val="000203A3"/>
    <w:rsid w:val="00021145"/>
    <w:rsid w:val="00030F5A"/>
    <w:rsid w:val="0003282F"/>
    <w:rsid w:val="0004041A"/>
    <w:rsid w:val="00041ED6"/>
    <w:rsid w:val="00047882"/>
    <w:rsid w:val="000520B6"/>
    <w:rsid w:val="000570BD"/>
    <w:rsid w:val="00061763"/>
    <w:rsid w:val="0006214E"/>
    <w:rsid w:val="0006221A"/>
    <w:rsid w:val="000673C7"/>
    <w:rsid w:val="00075F80"/>
    <w:rsid w:val="0007682F"/>
    <w:rsid w:val="0007783A"/>
    <w:rsid w:val="00084B07"/>
    <w:rsid w:val="0009028E"/>
    <w:rsid w:val="00093803"/>
    <w:rsid w:val="00095FB5"/>
    <w:rsid w:val="000961CF"/>
    <w:rsid w:val="000A1C2B"/>
    <w:rsid w:val="000A4DFF"/>
    <w:rsid w:val="000A7A4C"/>
    <w:rsid w:val="000B1B26"/>
    <w:rsid w:val="000B2D13"/>
    <w:rsid w:val="000B4737"/>
    <w:rsid w:val="000B47B8"/>
    <w:rsid w:val="000B50DA"/>
    <w:rsid w:val="000D231C"/>
    <w:rsid w:val="000D7EDB"/>
    <w:rsid w:val="000E13C1"/>
    <w:rsid w:val="000E6F14"/>
    <w:rsid w:val="000F301D"/>
    <w:rsid w:val="000F5180"/>
    <w:rsid w:val="00113BD4"/>
    <w:rsid w:val="001224CC"/>
    <w:rsid w:val="00130C54"/>
    <w:rsid w:val="00135FE7"/>
    <w:rsid w:val="00143F30"/>
    <w:rsid w:val="0014592C"/>
    <w:rsid w:val="001520D6"/>
    <w:rsid w:val="00163453"/>
    <w:rsid w:val="00170BBB"/>
    <w:rsid w:val="00182BE8"/>
    <w:rsid w:val="001A4DA6"/>
    <w:rsid w:val="001B1E71"/>
    <w:rsid w:val="001B3B2C"/>
    <w:rsid w:val="001C41B4"/>
    <w:rsid w:val="001C41CB"/>
    <w:rsid w:val="001C7A12"/>
    <w:rsid w:val="001D25FD"/>
    <w:rsid w:val="001D499A"/>
    <w:rsid w:val="001D5D4D"/>
    <w:rsid w:val="001E1A0C"/>
    <w:rsid w:val="001E37CE"/>
    <w:rsid w:val="001E4135"/>
    <w:rsid w:val="001E41DA"/>
    <w:rsid w:val="001E4FB9"/>
    <w:rsid w:val="001F0E0A"/>
    <w:rsid w:val="001F0E3D"/>
    <w:rsid w:val="001F144B"/>
    <w:rsid w:val="001F176A"/>
    <w:rsid w:val="001F52B5"/>
    <w:rsid w:val="001F6440"/>
    <w:rsid w:val="002001DD"/>
    <w:rsid w:val="002016FC"/>
    <w:rsid w:val="00203349"/>
    <w:rsid w:val="00211ACE"/>
    <w:rsid w:val="002220E8"/>
    <w:rsid w:val="00225C2C"/>
    <w:rsid w:val="0022694C"/>
    <w:rsid w:val="00233905"/>
    <w:rsid w:val="00234FF1"/>
    <w:rsid w:val="00235C5E"/>
    <w:rsid w:val="00237C33"/>
    <w:rsid w:val="002409A2"/>
    <w:rsid w:val="00243646"/>
    <w:rsid w:val="002457BC"/>
    <w:rsid w:val="00246564"/>
    <w:rsid w:val="002544EB"/>
    <w:rsid w:val="0025684B"/>
    <w:rsid w:val="00260D06"/>
    <w:rsid w:val="00260DE3"/>
    <w:rsid w:val="002619A1"/>
    <w:rsid w:val="002622BE"/>
    <w:rsid w:val="00266126"/>
    <w:rsid w:val="0027083E"/>
    <w:rsid w:val="002723D6"/>
    <w:rsid w:val="0027308A"/>
    <w:rsid w:val="00275CFE"/>
    <w:rsid w:val="0028266D"/>
    <w:rsid w:val="00282E79"/>
    <w:rsid w:val="00286B3F"/>
    <w:rsid w:val="00290A76"/>
    <w:rsid w:val="00291E94"/>
    <w:rsid w:val="00292B64"/>
    <w:rsid w:val="002A4102"/>
    <w:rsid w:val="002A52B7"/>
    <w:rsid w:val="002B37D6"/>
    <w:rsid w:val="002C79F2"/>
    <w:rsid w:val="002C7D25"/>
    <w:rsid w:val="002D338A"/>
    <w:rsid w:val="002D5818"/>
    <w:rsid w:val="002E1A6E"/>
    <w:rsid w:val="002E2A2A"/>
    <w:rsid w:val="002E482A"/>
    <w:rsid w:val="002E4AB6"/>
    <w:rsid w:val="002F0FC3"/>
    <w:rsid w:val="002F1E14"/>
    <w:rsid w:val="002F22CF"/>
    <w:rsid w:val="002F58BF"/>
    <w:rsid w:val="00300C7E"/>
    <w:rsid w:val="00302667"/>
    <w:rsid w:val="003163EF"/>
    <w:rsid w:val="00317F89"/>
    <w:rsid w:val="003213CB"/>
    <w:rsid w:val="0032282F"/>
    <w:rsid w:val="00331825"/>
    <w:rsid w:val="00333E95"/>
    <w:rsid w:val="0034412E"/>
    <w:rsid w:val="003447FF"/>
    <w:rsid w:val="003458D3"/>
    <w:rsid w:val="00346F1B"/>
    <w:rsid w:val="00350B4F"/>
    <w:rsid w:val="00356D22"/>
    <w:rsid w:val="003611F4"/>
    <w:rsid w:val="00371DD2"/>
    <w:rsid w:val="00380D41"/>
    <w:rsid w:val="003827A9"/>
    <w:rsid w:val="003876B2"/>
    <w:rsid w:val="00397A84"/>
    <w:rsid w:val="00397DCD"/>
    <w:rsid w:val="003A226D"/>
    <w:rsid w:val="003A4183"/>
    <w:rsid w:val="003A69C0"/>
    <w:rsid w:val="003A75F2"/>
    <w:rsid w:val="003B7E96"/>
    <w:rsid w:val="003C453D"/>
    <w:rsid w:val="003D12CA"/>
    <w:rsid w:val="003D4586"/>
    <w:rsid w:val="003D53B9"/>
    <w:rsid w:val="003D6857"/>
    <w:rsid w:val="003E067C"/>
    <w:rsid w:val="003E1EFA"/>
    <w:rsid w:val="003E4F80"/>
    <w:rsid w:val="003E6662"/>
    <w:rsid w:val="003F0B1F"/>
    <w:rsid w:val="003F2646"/>
    <w:rsid w:val="003F2C43"/>
    <w:rsid w:val="00401150"/>
    <w:rsid w:val="00407CDB"/>
    <w:rsid w:val="00413B01"/>
    <w:rsid w:val="00421211"/>
    <w:rsid w:val="00421EE8"/>
    <w:rsid w:val="00424B8C"/>
    <w:rsid w:val="00442F1C"/>
    <w:rsid w:val="00452AB5"/>
    <w:rsid w:val="0045463B"/>
    <w:rsid w:val="0045674D"/>
    <w:rsid w:val="004571EA"/>
    <w:rsid w:val="0046214D"/>
    <w:rsid w:val="004776AB"/>
    <w:rsid w:val="00487F3B"/>
    <w:rsid w:val="004933B4"/>
    <w:rsid w:val="00494F70"/>
    <w:rsid w:val="004A1377"/>
    <w:rsid w:val="004B14A6"/>
    <w:rsid w:val="004B3CFE"/>
    <w:rsid w:val="004C0E1A"/>
    <w:rsid w:val="004C476E"/>
    <w:rsid w:val="004C4AE9"/>
    <w:rsid w:val="004D4049"/>
    <w:rsid w:val="004D6E52"/>
    <w:rsid w:val="004E6412"/>
    <w:rsid w:val="004F1B7B"/>
    <w:rsid w:val="004F5809"/>
    <w:rsid w:val="00500A58"/>
    <w:rsid w:val="005029FF"/>
    <w:rsid w:val="005058F4"/>
    <w:rsid w:val="00505E43"/>
    <w:rsid w:val="0050606D"/>
    <w:rsid w:val="00514B4C"/>
    <w:rsid w:val="00534076"/>
    <w:rsid w:val="00537A7E"/>
    <w:rsid w:val="00537E4E"/>
    <w:rsid w:val="00540E9B"/>
    <w:rsid w:val="00542E71"/>
    <w:rsid w:val="00544942"/>
    <w:rsid w:val="00545D03"/>
    <w:rsid w:val="00546B80"/>
    <w:rsid w:val="00562B6E"/>
    <w:rsid w:val="00563A25"/>
    <w:rsid w:val="00565286"/>
    <w:rsid w:val="00566602"/>
    <w:rsid w:val="0056746E"/>
    <w:rsid w:val="00577B7F"/>
    <w:rsid w:val="0058202A"/>
    <w:rsid w:val="005829B4"/>
    <w:rsid w:val="00594164"/>
    <w:rsid w:val="00596983"/>
    <w:rsid w:val="005A3480"/>
    <w:rsid w:val="005A4AA1"/>
    <w:rsid w:val="005A5ACB"/>
    <w:rsid w:val="005B1A14"/>
    <w:rsid w:val="005C1C28"/>
    <w:rsid w:val="005C2FB0"/>
    <w:rsid w:val="005D22C1"/>
    <w:rsid w:val="005D68EB"/>
    <w:rsid w:val="005F1E63"/>
    <w:rsid w:val="005F53AB"/>
    <w:rsid w:val="005F6919"/>
    <w:rsid w:val="00600B4D"/>
    <w:rsid w:val="00601389"/>
    <w:rsid w:val="00605551"/>
    <w:rsid w:val="00605D44"/>
    <w:rsid w:val="00606F26"/>
    <w:rsid w:val="006070A2"/>
    <w:rsid w:val="00612F6A"/>
    <w:rsid w:val="00614BDB"/>
    <w:rsid w:val="00623C59"/>
    <w:rsid w:val="00626833"/>
    <w:rsid w:val="00634F70"/>
    <w:rsid w:val="00640C87"/>
    <w:rsid w:val="0065059A"/>
    <w:rsid w:val="00650ABC"/>
    <w:rsid w:val="00651CDA"/>
    <w:rsid w:val="00653F3E"/>
    <w:rsid w:val="00655512"/>
    <w:rsid w:val="00662ADB"/>
    <w:rsid w:val="0066425F"/>
    <w:rsid w:val="00665939"/>
    <w:rsid w:val="0067063B"/>
    <w:rsid w:val="00673967"/>
    <w:rsid w:val="00673B22"/>
    <w:rsid w:val="00676FB8"/>
    <w:rsid w:val="00685740"/>
    <w:rsid w:val="00694C36"/>
    <w:rsid w:val="006959F2"/>
    <w:rsid w:val="006A02C0"/>
    <w:rsid w:val="006A77EA"/>
    <w:rsid w:val="006A7A8B"/>
    <w:rsid w:val="006B2219"/>
    <w:rsid w:val="006B22EC"/>
    <w:rsid w:val="006B4CF7"/>
    <w:rsid w:val="006B5D92"/>
    <w:rsid w:val="006B6D3B"/>
    <w:rsid w:val="006C6D46"/>
    <w:rsid w:val="006D0611"/>
    <w:rsid w:val="006D4007"/>
    <w:rsid w:val="006D6322"/>
    <w:rsid w:val="006E1DD2"/>
    <w:rsid w:val="006E45D7"/>
    <w:rsid w:val="006E7389"/>
    <w:rsid w:val="006E7663"/>
    <w:rsid w:val="006E76F6"/>
    <w:rsid w:val="006E7A66"/>
    <w:rsid w:val="006F2A56"/>
    <w:rsid w:val="006F6EF5"/>
    <w:rsid w:val="007017AD"/>
    <w:rsid w:val="0070485D"/>
    <w:rsid w:val="007128B9"/>
    <w:rsid w:val="00713929"/>
    <w:rsid w:val="00713BCB"/>
    <w:rsid w:val="007230D7"/>
    <w:rsid w:val="00727BD5"/>
    <w:rsid w:val="00734A7C"/>
    <w:rsid w:val="00741CD4"/>
    <w:rsid w:val="007541F0"/>
    <w:rsid w:val="00754833"/>
    <w:rsid w:val="00761607"/>
    <w:rsid w:val="00763E65"/>
    <w:rsid w:val="00765A62"/>
    <w:rsid w:val="00767B66"/>
    <w:rsid w:val="007748E4"/>
    <w:rsid w:val="00780C7C"/>
    <w:rsid w:val="00781055"/>
    <w:rsid w:val="00781ABB"/>
    <w:rsid w:val="007827B2"/>
    <w:rsid w:val="0078713F"/>
    <w:rsid w:val="00794965"/>
    <w:rsid w:val="00796801"/>
    <w:rsid w:val="00797712"/>
    <w:rsid w:val="007A6340"/>
    <w:rsid w:val="007A6820"/>
    <w:rsid w:val="007A70CF"/>
    <w:rsid w:val="007B079F"/>
    <w:rsid w:val="007B3086"/>
    <w:rsid w:val="007B342E"/>
    <w:rsid w:val="007C1689"/>
    <w:rsid w:val="007C7D1F"/>
    <w:rsid w:val="007D663C"/>
    <w:rsid w:val="007E0C30"/>
    <w:rsid w:val="007E5DB7"/>
    <w:rsid w:val="007F6452"/>
    <w:rsid w:val="007F71E0"/>
    <w:rsid w:val="00800542"/>
    <w:rsid w:val="00814C74"/>
    <w:rsid w:val="00822530"/>
    <w:rsid w:val="0082454F"/>
    <w:rsid w:val="00824E7B"/>
    <w:rsid w:val="00825DF6"/>
    <w:rsid w:val="0083246A"/>
    <w:rsid w:val="00835460"/>
    <w:rsid w:val="008473D7"/>
    <w:rsid w:val="00850FEA"/>
    <w:rsid w:val="0085232E"/>
    <w:rsid w:val="0085746F"/>
    <w:rsid w:val="008776EF"/>
    <w:rsid w:val="0088269E"/>
    <w:rsid w:val="0088776F"/>
    <w:rsid w:val="00887793"/>
    <w:rsid w:val="00887EF4"/>
    <w:rsid w:val="008901B5"/>
    <w:rsid w:val="0089479C"/>
    <w:rsid w:val="00894856"/>
    <w:rsid w:val="008A238A"/>
    <w:rsid w:val="008A4864"/>
    <w:rsid w:val="008A6873"/>
    <w:rsid w:val="008C2A9D"/>
    <w:rsid w:val="008C49A9"/>
    <w:rsid w:val="008C70CD"/>
    <w:rsid w:val="008D20C1"/>
    <w:rsid w:val="008D3A42"/>
    <w:rsid w:val="008E418B"/>
    <w:rsid w:val="008E4CE4"/>
    <w:rsid w:val="008E7744"/>
    <w:rsid w:val="008F1687"/>
    <w:rsid w:val="00900868"/>
    <w:rsid w:val="00910CD1"/>
    <w:rsid w:val="00913790"/>
    <w:rsid w:val="00913D6C"/>
    <w:rsid w:val="00914F3C"/>
    <w:rsid w:val="00917171"/>
    <w:rsid w:val="00923DDC"/>
    <w:rsid w:val="00926986"/>
    <w:rsid w:val="00931B5F"/>
    <w:rsid w:val="00933833"/>
    <w:rsid w:val="009406BB"/>
    <w:rsid w:val="0094386F"/>
    <w:rsid w:val="00945FA5"/>
    <w:rsid w:val="00947AE4"/>
    <w:rsid w:val="009566D4"/>
    <w:rsid w:val="00967B9F"/>
    <w:rsid w:val="00976599"/>
    <w:rsid w:val="00976AB3"/>
    <w:rsid w:val="00981AF2"/>
    <w:rsid w:val="00993DF5"/>
    <w:rsid w:val="009943AA"/>
    <w:rsid w:val="00994890"/>
    <w:rsid w:val="009B456D"/>
    <w:rsid w:val="009C0A61"/>
    <w:rsid w:val="009C4EE0"/>
    <w:rsid w:val="009C734B"/>
    <w:rsid w:val="009E3101"/>
    <w:rsid w:val="009E4873"/>
    <w:rsid w:val="009F004B"/>
    <w:rsid w:val="009F0E88"/>
    <w:rsid w:val="009F18B5"/>
    <w:rsid w:val="009F1F1C"/>
    <w:rsid w:val="009F1F97"/>
    <w:rsid w:val="009F7875"/>
    <w:rsid w:val="00A160F6"/>
    <w:rsid w:val="00A163FF"/>
    <w:rsid w:val="00A176A0"/>
    <w:rsid w:val="00A17EEB"/>
    <w:rsid w:val="00A22557"/>
    <w:rsid w:val="00A33DAB"/>
    <w:rsid w:val="00A36061"/>
    <w:rsid w:val="00A42B5A"/>
    <w:rsid w:val="00A623D0"/>
    <w:rsid w:val="00A70E31"/>
    <w:rsid w:val="00A74148"/>
    <w:rsid w:val="00A80DDB"/>
    <w:rsid w:val="00A82AFC"/>
    <w:rsid w:val="00A8336F"/>
    <w:rsid w:val="00A83A4E"/>
    <w:rsid w:val="00A95445"/>
    <w:rsid w:val="00AA42D1"/>
    <w:rsid w:val="00AA5EE9"/>
    <w:rsid w:val="00AA67C2"/>
    <w:rsid w:val="00AA7625"/>
    <w:rsid w:val="00AB6EDA"/>
    <w:rsid w:val="00AC2B25"/>
    <w:rsid w:val="00AC7007"/>
    <w:rsid w:val="00AD78E6"/>
    <w:rsid w:val="00AE2892"/>
    <w:rsid w:val="00AE52EF"/>
    <w:rsid w:val="00AF0EAA"/>
    <w:rsid w:val="00AF1EB4"/>
    <w:rsid w:val="00AF3680"/>
    <w:rsid w:val="00AF429E"/>
    <w:rsid w:val="00AF53AD"/>
    <w:rsid w:val="00B01A95"/>
    <w:rsid w:val="00B0591D"/>
    <w:rsid w:val="00B05EC3"/>
    <w:rsid w:val="00B106CC"/>
    <w:rsid w:val="00B10C00"/>
    <w:rsid w:val="00B11825"/>
    <w:rsid w:val="00B149E9"/>
    <w:rsid w:val="00B17135"/>
    <w:rsid w:val="00B17E4C"/>
    <w:rsid w:val="00B20B0B"/>
    <w:rsid w:val="00B25E55"/>
    <w:rsid w:val="00B329F1"/>
    <w:rsid w:val="00B32AF6"/>
    <w:rsid w:val="00B33C0E"/>
    <w:rsid w:val="00B35302"/>
    <w:rsid w:val="00B35F49"/>
    <w:rsid w:val="00B37EAC"/>
    <w:rsid w:val="00B4392D"/>
    <w:rsid w:val="00B5336F"/>
    <w:rsid w:val="00B5720A"/>
    <w:rsid w:val="00B60456"/>
    <w:rsid w:val="00B633EE"/>
    <w:rsid w:val="00B677C2"/>
    <w:rsid w:val="00B67BDC"/>
    <w:rsid w:val="00B7306C"/>
    <w:rsid w:val="00B80237"/>
    <w:rsid w:val="00BA4FF8"/>
    <w:rsid w:val="00BA6BE2"/>
    <w:rsid w:val="00BA711D"/>
    <w:rsid w:val="00BB3C02"/>
    <w:rsid w:val="00BC332E"/>
    <w:rsid w:val="00BC57F5"/>
    <w:rsid w:val="00BC5840"/>
    <w:rsid w:val="00BC7ADC"/>
    <w:rsid w:val="00BD14E7"/>
    <w:rsid w:val="00BD3D9B"/>
    <w:rsid w:val="00BD5897"/>
    <w:rsid w:val="00BD6001"/>
    <w:rsid w:val="00BD6BCA"/>
    <w:rsid w:val="00BE1EC0"/>
    <w:rsid w:val="00BE260F"/>
    <w:rsid w:val="00BE38FF"/>
    <w:rsid w:val="00BF1F51"/>
    <w:rsid w:val="00BF4A96"/>
    <w:rsid w:val="00BF53E4"/>
    <w:rsid w:val="00C02146"/>
    <w:rsid w:val="00C02B5F"/>
    <w:rsid w:val="00C07F84"/>
    <w:rsid w:val="00C1026C"/>
    <w:rsid w:val="00C10964"/>
    <w:rsid w:val="00C155D0"/>
    <w:rsid w:val="00C16723"/>
    <w:rsid w:val="00C208D5"/>
    <w:rsid w:val="00C224ED"/>
    <w:rsid w:val="00C23CBB"/>
    <w:rsid w:val="00C318B1"/>
    <w:rsid w:val="00C3399F"/>
    <w:rsid w:val="00C365B6"/>
    <w:rsid w:val="00C37B15"/>
    <w:rsid w:val="00C472E2"/>
    <w:rsid w:val="00C510CE"/>
    <w:rsid w:val="00C52C85"/>
    <w:rsid w:val="00C558BB"/>
    <w:rsid w:val="00C57AEB"/>
    <w:rsid w:val="00C60FAB"/>
    <w:rsid w:val="00C62562"/>
    <w:rsid w:val="00C63649"/>
    <w:rsid w:val="00C640F3"/>
    <w:rsid w:val="00C76715"/>
    <w:rsid w:val="00C77764"/>
    <w:rsid w:val="00C85697"/>
    <w:rsid w:val="00C902D3"/>
    <w:rsid w:val="00C91841"/>
    <w:rsid w:val="00C91A97"/>
    <w:rsid w:val="00C91F38"/>
    <w:rsid w:val="00C92F90"/>
    <w:rsid w:val="00C937F5"/>
    <w:rsid w:val="00C94687"/>
    <w:rsid w:val="00C94A82"/>
    <w:rsid w:val="00CA4986"/>
    <w:rsid w:val="00CA7C81"/>
    <w:rsid w:val="00CB3D9B"/>
    <w:rsid w:val="00CB63F0"/>
    <w:rsid w:val="00CC0B64"/>
    <w:rsid w:val="00CC106E"/>
    <w:rsid w:val="00CD0630"/>
    <w:rsid w:val="00CD2EFC"/>
    <w:rsid w:val="00CD3BD3"/>
    <w:rsid w:val="00CD4B8B"/>
    <w:rsid w:val="00CD7748"/>
    <w:rsid w:val="00CE1287"/>
    <w:rsid w:val="00CE2FF1"/>
    <w:rsid w:val="00CE3885"/>
    <w:rsid w:val="00CF6B79"/>
    <w:rsid w:val="00D04A78"/>
    <w:rsid w:val="00D204F6"/>
    <w:rsid w:val="00D21085"/>
    <w:rsid w:val="00D24674"/>
    <w:rsid w:val="00D32266"/>
    <w:rsid w:val="00D3667A"/>
    <w:rsid w:val="00D46C33"/>
    <w:rsid w:val="00D470CB"/>
    <w:rsid w:val="00D66B26"/>
    <w:rsid w:val="00D70792"/>
    <w:rsid w:val="00D76E90"/>
    <w:rsid w:val="00D81562"/>
    <w:rsid w:val="00D84B33"/>
    <w:rsid w:val="00DA047E"/>
    <w:rsid w:val="00DA1C3E"/>
    <w:rsid w:val="00DB3641"/>
    <w:rsid w:val="00DB6872"/>
    <w:rsid w:val="00DB69CF"/>
    <w:rsid w:val="00DC348D"/>
    <w:rsid w:val="00DC4FC4"/>
    <w:rsid w:val="00DD78D1"/>
    <w:rsid w:val="00DE3697"/>
    <w:rsid w:val="00DE5173"/>
    <w:rsid w:val="00DE5476"/>
    <w:rsid w:val="00DE64C6"/>
    <w:rsid w:val="00DF1B93"/>
    <w:rsid w:val="00DF1BAD"/>
    <w:rsid w:val="00DF3DBD"/>
    <w:rsid w:val="00E00B39"/>
    <w:rsid w:val="00E01B14"/>
    <w:rsid w:val="00E053F0"/>
    <w:rsid w:val="00E05F8F"/>
    <w:rsid w:val="00E06071"/>
    <w:rsid w:val="00E062C7"/>
    <w:rsid w:val="00E1494D"/>
    <w:rsid w:val="00E206F8"/>
    <w:rsid w:val="00E242BB"/>
    <w:rsid w:val="00E30AB2"/>
    <w:rsid w:val="00E33574"/>
    <w:rsid w:val="00E3696A"/>
    <w:rsid w:val="00E36F53"/>
    <w:rsid w:val="00E432EF"/>
    <w:rsid w:val="00E43DDF"/>
    <w:rsid w:val="00E44B07"/>
    <w:rsid w:val="00E457C3"/>
    <w:rsid w:val="00E45D03"/>
    <w:rsid w:val="00E518CC"/>
    <w:rsid w:val="00E52655"/>
    <w:rsid w:val="00E55817"/>
    <w:rsid w:val="00E65540"/>
    <w:rsid w:val="00E66601"/>
    <w:rsid w:val="00E73301"/>
    <w:rsid w:val="00E803A3"/>
    <w:rsid w:val="00E8243F"/>
    <w:rsid w:val="00E85749"/>
    <w:rsid w:val="00E90FC8"/>
    <w:rsid w:val="00E92F8E"/>
    <w:rsid w:val="00E94644"/>
    <w:rsid w:val="00E96AE8"/>
    <w:rsid w:val="00E96C66"/>
    <w:rsid w:val="00EA11CC"/>
    <w:rsid w:val="00EA5912"/>
    <w:rsid w:val="00EB37DE"/>
    <w:rsid w:val="00EB3EC2"/>
    <w:rsid w:val="00EC52C3"/>
    <w:rsid w:val="00ED1C2D"/>
    <w:rsid w:val="00ED5ACF"/>
    <w:rsid w:val="00ED7E51"/>
    <w:rsid w:val="00EE56AE"/>
    <w:rsid w:val="00EE7212"/>
    <w:rsid w:val="00EF06BB"/>
    <w:rsid w:val="00EF6B41"/>
    <w:rsid w:val="00F00750"/>
    <w:rsid w:val="00F0314D"/>
    <w:rsid w:val="00F040BB"/>
    <w:rsid w:val="00F061D9"/>
    <w:rsid w:val="00F145B9"/>
    <w:rsid w:val="00F14685"/>
    <w:rsid w:val="00F16683"/>
    <w:rsid w:val="00F16C07"/>
    <w:rsid w:val="00F21E77"/>
    <w:rsid w:val="00F30BA1"/>
    <w:rsid w:val="00F33391"/>
    <w:rsid w:val="00F3658C"/>
    <w:rsid w:val="00F42081"/>
    <w:rsid w:val="00F42D80"/>
    <w:rsid w:val="00F4425A"/>
    <w:rsid w:val="00F4483A"/>
    <w:rsid w:val="00F453C3"/>
    <w:rsid w:val="00F520EF"/>
    <w:rsid w:val="00F52527"/>
    <w:rsid w:val="00F52D9E"/>
    <w:rsid w:val="00F54EC0"/>
    <w:rsid w:val="00F615AD"/>
    <w:rsid w:val="00F64FAB"/>
    <w:rsid w:val="00F65168"/>
    <w:rsid w:val="00F65CD8"/>
    <w:rsid w:val="00F74392"/>
    <w:rsid w:val="00F74E3F"/>
    <w:rsid w:val="00F81A49"/>
    <w:rsid w:val="00F81C7D"/>
    <w:rsid w:val="00F82F73"/>
    <w:rsid w:val="00F8381F"/>
    <w:rsid w:val="00F87CB7"/>
    <w:rsid w:val="00FA1C65"/>
    <w:rsid w:val="00FA5A97"/>
    <w:rsid w:val="00FA610F"/>
    <w:rsid w:val="00FA6637"/>
    <w:rsid w:val="00FB4D90"/>
    <w:rsid w:val="00FB5523"/>
    <w:rsid w:val="00FB59E0"/>
    <w:rsid w:val="00FC7D44"/>
    <w:rsid w:val="00FD3C44"/>
    <w:rsid w:val="00FD548A"/>
    <w:rsid w:val="00FD66D8"/>
    <w:rsid w:val="00FE2F9B"/>
    <w:rsid w:val="00FF1C62"/>
    <w:rsid w:val="00FF578C"/>
    <w:rsid w:val="00FF63B6"/>
    <w:rsid w:val="00FF6D74"/>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colormru v:ext="edit" colors="#ffc"/>
    </o:shapedefaults>
    <o:shapelayout v:ext="edit">
      <o:idmap v:ext="edit" data="2"/>
    </o:shapelayout>
  </w:shapeDefaults>
  <w:decimalSymbol w:val="."/>
  <w:listSeparator w:val=","/>
  <w14:docId w14:val="59ABA2B1"/>
  <w15:docId w15:val="{88C20291-5831-405A-9FF0-F88BB8F3E9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2">
    <w:name w:val="Normal"/>
    <w:qFormat/>
    <w:pPr>
      <w:widowControl w:val="0"/>
    </w:pPr>
    <w:rPr>
      <w:kern w:val="2"/>
      <w:sz w:val="24"/>
    </w:rPr>
  </w:style>
  <w:style w:type="paragraph" w:styleId="10">
    <w:name w:val="heading 1"/>
    <w:basedOn w:val="a2"/>
    <w:next w:val="a2"/>
    <w:qFormat/>
    <w:pPr>
      <w:keepNext/>
      <w:tabs>
        <w:tab w:val="left" w:pos="4080"/>
        <w:tab w:val="left" w:pos="5520"/>
      </w:tabs>
      <w:spacing w:line="420" w:lineRule="exact"/>
      <w:jc w:val="both"/>
      <w:outlineLvl w:val="0"/>
    </w:pPr>
    <w:rPr>
      <w:rFonts w:ascii="標楷體" w:eastAsia="標楷體"/>
      <w:sz w:val="28"/>
    </w:rPr>
  </w:style>
  <w:style w:type="paragraph" w:styleId="2">
    <w:name w:val="heading 2"/>
    <w:basedOn w:val="a2"/>
    <w:next w:val="a2"/>
    <w:link w:val="20"/>
    <w:uiPriority w:val="9"/>
    <w:semiHidden/>
    <w:unhideWhenUsed/>
    <w:qFormat/>
    <w:rsid w:val="00AF1EB4"/>
    <w:pPr>
      <w:keepNext/>
      <w:spacing w:line="720" w:lineRule="auto"/>
      <w:outlineLvl w:val="1"/>
    </w:pPr>
    <w:rPr>
      <w:rFonts w:asciiTheme="majorHAnsi" w:eastAsiaTheme="majorEastAsia" w:hAnsiTheme="majorHAnsi" w:cstheme="majorBidi"/>
      <w:b/>
      <w:bCs/>
      <w:sz w:val="48"/>
      <w:szCs w:val="48"/>
    </w:rPr>
  </w:style>
  <w:style w:type="paragraph" w:styleId="3">
    <w:name w:val="heading 3"/>
    <w:basedOn w:val="a2"/>
    <w:next w:val="a2"/>
    <w:link w:val="30"/>
    <w:uiPriority w:val="9"/>
    <w:semiHidden/>
    <w:unhideWhenUsed/>
    <w:qFormat/>
    <w:rsid w:val="00AF1EB4"/>
    <w:pPr>
      <w:keepNext/>
      <w:spacing w:line="720" w:lineRule="auto"/>
      <w:outlineLvl w:val="2"/>
    </w:pPr>
    <w:rPr>
      <w:rFonts w:asciiTheme="majorHAnsi" w:eastAsiaTheme="majorEastAsia" w:hAnsiTheme="majorHAnsi" w:cstheme="majorBidi"/>
      <w:b/>
      <w:bCs/>
      <w:sz w:val="36"/>
      <w:szCs w:val="36"/>
    </w:rPr>
  </w:style>
  <w:style w:type="paragraph" w:styleId="4">
    <w:name w:val="heading 4"/>
    <w:basedOn w:val="a2"/>
    <w:next w:val="a2"/>
    <w:link w:val="40"/>
    <w:uiPriority w:val="9"/>
    <w:semiHidden/>
    <w:unhideWhenUsed/>
    <w:qFormat/>
    <w:rsid w:val="00AF1EB4"/>
    <w:pPr>
      <w:keepNext/>
      <w:spacing w:line="720" w:lineRule="auto"/>
      <w:outlineLvl w:val="3"/>
    </w:pPr>
    <w:rPr>
      <w:rFonts w:asciiTheme="majorHAnsi" w:eastAsiaTheme="majorEastAsia" w:hAnsiTheme="majorHAnsi" w:cstheme="majorBidi"/>
      <w:sz w:val="36"/>
      <w:szCs w:val="36"/>
    </w:rPr>
  </w:style>
  <w:style w:type="paragraph" w:styleId="5">
    <w:name w:val="heading 5"/>
    <w:basedOn w:val="a2"/>
    <w:next w:val="a2"/>
    <w:link w:val="50"/>
    <w:uiPriority w:val="9"/>
    <w:semiHidden/>
    <w:unhideWhenUsed/>
    <w:qFormat/>
    <w:rsid w:val="00AF1EB4"/>
    <w:pPr>
      <w:keepNext/>
      <w:spacing w:line="720" w:lineRule="auto"/>
      <w:ind w:leftChars="200" w:left="200"/>
      <w:outlineLvl w:val="4"/>
    </w:pPr>
    <w:rPr>
      <w:rFonts w:asciiTheme="majorHAnsi" w:eastAsiaTheme="majorEastAsia" w:hAnsiTheme="majorHAnsi" w:cstheme="majorBidi"/>
      <w:b/>
      <w:bCs/>
      <w:sz w:val="36"/>
      <w:szCs w:val="36"/>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6">
    <w:name w:val="Body Text Indent"/>
    <w:basedOn w:val="a2"/>
    <w:link w:val="a7"/>
    <w:semiHidden/>
    <w:pPr>
      <w:numPr>
        <w:ilvl w:val="12"/>
      </w:numPr>
      <w:adjustRightInd w:val="0"/>
      <w:spacing w:line="360" w:lineRule="auto"/>
      <w:ind w:left="360" w:hanging="360"/>
      <w:jc w:val="both"/>
      <w:textAlignment w:val="baseline"/>
    </w:pPr>
    <w:rPr>
      <w:rFonts w:ascii="標楷體" w:eastAsia="標楷體"/>
      <w:kern w:val="0"/>
      <w:sz w:val="28"/>
    </w:rPr>
  </w:style>
  <w:style w:type="character" w:styleId="a8">
    <w:name w:val="Hyperlink"/>
    <w:uiPriority w:val="99"/>
    <w:rPr>
      <w:color w:val="0000FF"/>
      <w:u w:val="single"/>
    </w:rPr>
  </w:style>
  <w:style w:type="paragraph" w:styleId="a9">
    <w:name w:val="Body Text"/>
    <w:basedOn w:val="a2"/>
    <w:link w:val="aa"/>
    <w:semiHidden/>
    <w:pPr>
      <w:spacing w:line="0" w:lineRule="atLeast"/>
      <w:jc w:val="both"/>
    </w:pPr>
    <w:rPr>
      <w:rFonts w:ascii="標楷體" w:eastAsia="標楷體"/>
    </w:rPr>
  </w:style>
  <w:style w:type="character" w:styleId="ab">
    <w:name w:val="FollowedHyperlink"/>
    <w:semiHidden/>
    <w:rPr>
      <w:color w:val="800080"/>
      <w:u w:val="single"/>
    </w:rPr>
  </w:style>
  <w:style w:type="paragraph" w:styleId="21">
    <w:name w:val="Body Text 2"/>
    <w:basedOn w:val="a2"/>
    <w:semiHidden/>
    <w:rPr>
      <w:rFonts w:eastAsia="標楷體"/>
      <w:sz w:val="28"/>
    </w:rPr>
  </w:style>
  <w:style w:type="paragraph" w:styleId="22">
    <w:name w:val="Body Text Indent 2"/>
    <w:basedOn w:val="a2"/>
    <w:semiHidden/>
    <w:pPr>
      <w:tabs>
        <w:tab w:val="left" w:pos="4080"/>
        <w:tab w:val="left" w:pos="5520"/>
      </w:tabs>
      <w:spacing w:line="360" w:lineRule="auto"/>
      <w:ind w:firstLineChars="200" w:firstLine="560"/>
      <w:jc w:val="both"/>
    </w:pPr>
    <w:rPr>
      <w:rFonts w:ascii="標楷體" w:eastAsia="標楷體"/>
      <w:sz w:val="28"/>
    </w:rPr>
  </w:style>
  <w:style w:type="paragraph" w:styleId="31">
    <w:name w:val="Body Text Indent 3"/>
    <w:basedOn w:val="a2"/>
    <w:semiHidden/>
    <w:pPr>
      <w:widowControl/>
      <w:spacing w:line="420" w:lineRule="exact"/>
      <w:ind w:firstLineChars="200" w:firstLine="560"/>
      <w:jc w:val="both"/>
    </w:pPr>
    <w:rPr>
      <w:rFonts w:ascii="標楷體" w:eastAsia="標楷體"/>
      <w:color w:val="000000"/>
      <w:sz w:val="28"/>
      <w:szCs w:val="40"/>
    </w:rPr>
  </w:style>
  <w:style w:type="paragraph" w:styleId="ac">
    <w:name w:val="Block Text"/>
    <w:basedOn w:val="a2"/>
    <w:semiHidden/>
    <w:pPr>
      <w:ind w:left="180" w:rightChars="29" w:right="70" w:firstLineChars="225" w:firstLine="630"/>
      <w:jc w:val="both"/>
    </w:pPr>
    <w:rPr>
      <w:rFonts w:eastAsia="標楷體"/>
      <w:sz w:val="28"/>
      <w:lang w:eastAsia="ja-JP"/>
    </w:rPr>
  </w:style>
  <w:style w:type="paragraph" w:styleId="ad">
    <w:name w:val="footer"/>
    <w:basedOn w:val="a2"/>
    <w:link w:val="ae"/>
    <w:uiPriority w:val="99"/>
    <w:pPr>
      <w:tabs>
        <w:tab w:val="center" w:pos="4153"/>
        <w:tab w:val="right" w:pos="8306"/>
      </w:tabs>
      <w:snapToGrid w:val="0"/>
    </w:pPr>
    <w:rPr>
      <w:sz w:val="20"/>
    </w:rPr>
  </w:style>
  <w:style w:type="character" w:styleId="af">
    <w:name w:val="page number"/>
    <w:basedOn w:val="a3"/>
    <w:semiHidden/>
  </w:style>
  <w:style w:type="paragraph" w:styleId="af0">
    <w:name w:val="header"/>
    <w:basedOn w:val="a2"/>
    <w:semiHidden/>
    <w:pPr>
      <w:tabs>
        <w:tab w:val="center" w:pos="4153"/>
        <w:tab w:val="right" w:pos="8306"/>
      </w:tabs>
      <w:snapToGrid w:val="0"/>
    </w:pPr>
    <w:rPr>
      <w:sz w:val="20"/>
    </w:rPr>
  </w:style>
  <w:style w:type="paragraph" w:styleId="af1">
    <w:name w:val="Document Map"/>
    <w:basedOn w:val="a2"/>
    <w:semiHidden/>
    <w:pPr>
      <w:shd w:val="clear" w:color="auto" w:fill="000080"/>
    </w:pPr>
    <w:rPr>
      <w:rFonts w:ascii="Arial" w:hAnsi="Arial"/>
    </w:rPr>
  </w:style>
  <w:style w:type="paragraph" w:styleId="af2">
    <w:name w:val="Plain Text"/>
    <w:basedOn w:val="a2"/>
    <w:semiHidden/>
    <w:rPr>
      <w:rFonts w:ascii="細明體" w:eastAsia="細明體" w:hAnsi="Courier New"/>
    </w:rPr>
  </w:style>
  <w:style w:type="paragraph" w:customStyle="1" w:styleId="1">
    <w:name w:val="1."/>
    <w:basedOn w:val="a2"/>
    <w:pPr>
      <w:numPr>
        <w:numId w:val="1"/>
      </w:numPr>
      <w:spacing w:line="600" w:lineRule="exact"/>
      <w:jc w:val="both"/>
    </w:pPr>
    <w:rPr>
      <w:rFonts w:eastAsia="標楷體"/>
      <w:sz w:val="30"/>
      <w:szCs w:val="24"/>
    </w:rPr>
  </w:style>
  <w:style w:type="paragraph" w:customStyle="1" w:styleId="11">
    <w:name w:val="1.1"/>
    <w:basedOn w:val="1"/>
    <w:pPr>
      <w:numPr>
        <w:numId w:val="0"/>
      </w:numPr>
      <w:spacing w:line="560" w:lineRule="exact"/>
      <w:ind w:leftChars="768" w:left="2266" w:hangingChars="141" w:hanging="423"/>
    </w:pPr>
  </w:style>
  <w:style w:type="paragraph" w:customStyle="1" w:styleId="af3">
    <w:name w:val="內文一"/>
    <w:basedOn w:val="a2"/>
    <w:pPr>
      <w:spacing w:line="600" w:lineRule="exact"/>
      <w:ind w:leftChars="119" w:left="1186" w:hangingChars="300" w:hanging="900"/>
      <w:jc w:val="both"/>
    </w:pPr>
    <w:rPr>
      <w:rFonts w:eastAsia="標楷體"/>
      <w:sz w:val="30"/>
      <w:szCs w:val="24"/>
    </w:rPr>
  </w:style>
  <w:style w:type="paragraph" w:styleId="12">
    <w:name w:val="toc 1"/>
    <w:basedOn w:val="a2"/>
    <w:next w:val="a2"/>
    <w:autoRedefine/>
    <w:uiPriority w:val="39"/>
    <w:rsid w:val="00C07F84"/>
    <w:pPr>
      <w:tabs>
        <w:tab w:val="left" w:pos="993"/>
        <w:tab w:val="left" w:pos="1276"/>
        <w:tab w:val="right" w:leader="dot" w:pos="9061"/>
      </w:tabs>
      <w:spacing w:beforeLines="50" w:before="120" w:afterLines="50" w:after="120"/>
      <w:ind w:leftChars="100" w:left="240"/>
    </w:pPr>
    <w:rPr>
      <w:rFonts w:ascii="標楷體" w:eastAsia="標楷體" w:hAnsi="標楷體"/>
      <w:bCs/>
      <w:caps/>
      <w:noProof/>
      <w:spacing w:val="-10"/>
      <w:sz w:val="36"/>
      <w:szCs w:val="36"/>
    </w:rPr>
  </w:style>
  <w:style w:type="paragraph" w:styleId="32">
    <w:name w:val="Body Text 3"/>
    <w:basedOn w:val="a2"/>
    <w:semiHidden/>
    <w:pPr>
      <w:tabs>
        <w:tab w:val="left" w:pos="2280"/>
      </w:tabs>
      <w:spacing w:line="360" w:lineRule="auto"/>
      <w:ind w:right="-49"/>
      <w:jc w:val="center"/>
    </w:pPr>
    <w:rPr>
      <w:rFonts w:eastAsia="標楷體"/>
      <w:sz w:val="52"/>
    </w:rPr>
  </w:style>
  <w:style w:type="paragraph" w:styleId="af4">
    <w:name w:val="List Paragraph"/>
    <w:basedOn w:val="a2"/>
    <w:uiPriority w:val="34"/>
    <w:qFormat/>
    <w:rsid w:val="00D24674"/>
    <w:pPr>
      <w:ind w:leftChars="200" w:left="480"/>
    </w:pPr>
    <w:rPr>
      <w:rFonts w:ascii="Calibri" w:hAnsi="Calibri"/>
      <w:szCs w:val="22"/>
    </w:rPr>
  </w:style>
  <w:style w:type="paragraph" w:customStyle="1" w:styleId="Default">
    <w:name w:val="Default"/>
    <w:rsid w:val="0014592C"/>
    <w:pPr>
      <w:widowControl w:val="0"/>
      <w:autoSpaceDE w:val="0"/>
      <w:autoSpaceDN w:val="0"/>
      <w:adjustRightInd w:val="0"/>
    </w:pPr>
    <w:rPr>
      <w:rFonts w:ascii="標楷體" w:eastAsia="標楷體" w:cs="標楷體"/>
      <w:color w:val="000000"/>
      <w:sz w:val="24"/>
      <w:szCs w:val="24"/>
    </w:rPr>
  </w:style>
  <w:style w:type="paragraph" w:styleId="af5">
    <w:name w:val="List"/>
    <w:basedOn w:val="a2"/>
    <w:uiPriority w:val="99"/>
    <w:unhideWhenUsed/>
    <w:rsid w:val="00084B07"/>
    <w:pPr>
      <w:ind w:leftChars="200" w:left="100" w:hangingChars="200" w:hanging="200"/>
      <w:contextualSpacing/>
    </w:pPr>
  </w:style>
  <w:style w:type="paragraph" w:styleId="23">
    <w:name w:val="List 2"/>
    <w:basedOn w:val="a2"/>
    <w:uiPriority w:val="99"/>
    <w:unhideWhenUsed/>
    <w:rsid w:val="00084B07"/>
    <w:pPr>
      <w:ind w:leftChars="400" w:left="100" w:hangingChars="200" w:hanging="200"/>
      <w:contextualSpacing/>
    </w:pPr>
  </w:style>
  <w:style w:type="paragraph" w:styleId="af6">
    <w:name w:val="Body Text First Indent"/>
    <w:basedOn w:val="a9"/>
    <w:link w:val="af7"/>
    <w:uiPriority w:val="99"/>
    <w:unhideWhenUsed/>
    <w:rsid w:val="00084B07"/>
    <w:pPr>
      <w:spacing w:after="120" w:line="240" w:lineRule="auto"/>
      <w:ind w:firstLineChars="100" w:firstLine="210"/>
      <w:jc w:val="left"/>
    </w:pPr>
    <w:rPr>
      <w:rFonts w:ascii="Times New Roman" w:eastAsia="新細明體"/>
    </w:rPr>
  </w:style>
  <w:style w:type="character" w:customStyle="1" w:styleId="aa">
    <w:name w:val="本文 字元"/>
    <w:link w:val="a9"/>
    <w:semiHidden/>
    <w:rsid w:val="00084B07"/>
    <w:rPr>
      <w:rFonts w:ascii="標楷體" w:eastAsia="標楷體"/>
      <w:kern w:val="2"/>
      <w:sz w:val="24"/>
    </w:rPr>
  </w:style>
  <w:style w:type="character" w:customStyle="1" w:styleId="af7">
    <w:name w:val="本文第一層縮排 字元"/>
    <w:link w:val="af6"/>
    <w:uiPriority w:val="99"/>
    <w:rsid w:val="00084B07"/>
    <w:rPr>
      <w:rFonts w:ascii="標楷體" w:eastAsia="標楷體"/>
      <w:kern w:val="2"/>
      <w:sz w:val="24"/>
    </w:rPr>
  </w:style>
  <w:style w:type="paragraph" w:styleId="24">
    <w:name w:val="Body Text First Indent 2"/>
    <w:basedOn w:val="a6"/>
    <w:link w:val="25"/>
    <w:uiPriority w:val="99"/>
    <w:unhideWhenUsed/>
    <w:rsid w:val="00084B07"/>
    <w:pPr>
      <w:numPr>
        <w:ilvl w:val="0"/>
      </w:numPr>
      <w:adjustRightInd/>
      <w:spacing w:after="120" w:line="240" w:lineRule="auto"/>
      <w:ind w:leftChars="200" w:left="480" w:firstLineChars="100" w:firstLine="210"/>
      <w:jc w:val="left"/>
      <w:textAlignment w:val="auto"/>
    </w:pPr>
    <w:rPr>
      <w:rFonts w:ascii="Times New Roman" w:eastAsia="新細明體"/>
      <w:kern w:val="2"/>
      <w:sz w:val="24"/>
    </w:rPr>
  </w:style>
  <w:style w:type="character" w:customStyle="1" w:styleId="a7">
    <w:name w:val="本文縮排 字元"/>
    <w:link w:val="a6"/>
    <w:semiHidden/>
    <w:rsid w:val="00084B07"/>
    <w:rPr>
      <w:rFonts w:ascii="標楷體" w:eastAsia="標楷體"/>
      <w:sz w:val="28"/>
    </w:rPr>
  </w:style>
  <w:style w:type="character" w:customStyle="1" w:styleId="25">
    <w:name w:val="本文第一層縮排 2 字元"/>
    <w:link w:val="24"/>
    <w:uiPriority w:val="99"/>
    <w:rsid w:val="00084B07"/>
    <w:rPr>
      <w:rFonts w:ascii="標楷體" w:eastAsia="標楷體"/>
      <w:kern w:val="2"/>
      <w:sz w:val="24"/>
    </w:rPr>
  </w:style>
  <w:style w:type="character" w:customStyle="1" w:styleId="ts-alignment-element">
    <w:name w:val="ts-alignment-element"/>
    <w:basedOn w:val="a3"/>
    <w:rsid w:val="00BA6BE2"/>
  </w:style>
  <w:style w:type="character" w:styleId="af8">
    <w:name w:val="annotation reference"/>
    <w:uiPriority w:val="99"/>
    <w:semiHidden/>
    <w:unhideWhenUsed/>
    <w:rsid w:val="000D7EDB"/>
    <w:rPr>
      <w:sz w:val="18"/>
      <w:szCs w:val="18"/>
    </w:rPr>
  </w:style>
  <w:style w:type="paragraph" w:styleId="af9">
    <w:name w:val="annotation text"/>
    <w:basedOn w:val="a2"/>
    <w:link w:val="afa"/>
    <w:uiPriority w:val="99"/>
    <w:semiHidden/>
    <w:unhideWhenUsed/>
    <w:rsid w:val="000D7EDB"/>
  </w:style>
  <w:style w:type="character" w:customStyle="1" w:styleId="afa">
    <w:name w:val="註解文字 字元"/>
    <w:link w:val="af9"/>
    <w:uiPriority w:val="99"/>
    <w:semiHidden/>
    <w:rsid w:val="000D7EDB"/>
    <w:rPr>
      <w:kern w:val="2"/>
      <w:sz w:val="24"/>
    </w:rPr>
  </w:style>
  <w:style w:type="paragraph" w:styleId="afb">
    <w:name w:val="annotation subject"/>
    <w:basedOn w:val="af9"/>
    <w:next w:val="af9"/>
    <w:link w:val="afc"/>
    <w:uiPriority w:val="99"/>
    <w:semiHidden/>
    <w:unhideWhenUsed/>
    <w:rsid w:val="000D7EDB"/>
    <w:rPr>
      <w:b/>
      <w:bCs/>
    </w:rPr>
  </w:style>
  <w:style w:type="character" w:customStyle="1" w:styleId="afc">
    <w:name w:val="註解主旨 字元"/>
    <w:link w:val="afb"/>
    <w:uiPriority w:val="99"/>
    <w:semiHidden/>
    <w:rsid w:val="000D7EDB"/>
    <w:rPr>
      <w:b/>
      <w:bCs/>
      <w:kern w:val="2"/>
      <w:sz w:val="24"/>
    </w:rPr>
  </w:style>
  <w:style w:type="character" w:customStyle="1" w:styleId="ts-alignment-element-highlighted">
    <w:name w:val="ts-alignment-element-highlighted"/>
    <w:basedOn w:val="a3"/>
    <w:rsid w:val="002F1E14"/>
  </w:style>
  <w:style w:type="paragraph" w:styleId="afd">
    <w:name w:val="Balloon Text"/>
    <w:basedOn w:val="a2"/>
    <w:link w:val="afe"/>
    <w:uiPriority w:val="99"/>
    <w:semiHidden/>
    <w:unhideWhenUsed/>
    <w:rsid w:val="00AA7625"/>
    <w:rPr>
      <w:rFonts w:ascii="Calibri Light" w:hAnsi="Calibri Light"/>
      <w:sz w:val="18"/>
      <w:szCs w:val="18"/>
    </w:rPr>
  </w:style>
  <w:style w:type="character" w:customStyle="1" w:styleId="afe">
    <w:name w:val="註解方塊文字 字元"/>
    <w:link w:val="afd"/>
    <w:uiPriority w:val="99"/>
    <w:semiHidden/>
    <w:rsid w:val="00AA7625"/>
    <w:rPr>
      <w:rFonts w:ascii="Calibri Light" w:eastAsia="新細明體" w:hAnsi="Calibri Light" w:cs="Times New Roman"/>
      <w:kern w:val="2"/>
      <w:sz w:val="18"/>
      <w:szCs w:val="18"/>
    </w:rPr>
  </w:style>
  <w:style w:type="paragraph" w:styleId="aff">
    <w:name w:val="Revision"/>
    <w:hidden/>
    <w:uiPriority w:val="99"/>
    <w:semiHidden/>
    <w:rsid w:val="00824E7B"/>
    <w:rPr>
      <w:kern w:val="2"/>
      <w:sz w:val="24"/>
    </w:rPr>
  </w:style>
  <w:style w:type="paragraph" w:styleId="aff0">
    <w:name w:val="TOC Heading"/>
    <w:basedOn w:val="10"/>
    <w:next w:val="a2"/>
    <w:uiPriority w:val="39"/>
    <w:unhideWhenUsed/>
    <w:qFormat/>
    <w:rsid w:val="002D5818"/>
    <w:pPr>
      <w:keepLines/>
      <w:widowControl/>
      <w:tabs>
        <w:tab w:val="clear" w:pos="4080"/>
        <w:tab w:val="clear" w:pos="5520"/>
      </w:tabs>
      <w:spacing w:before="240" w:line="259" w:lineRule="auto"/>
      <w:jc w:val="left"/>
      <w:outlineLvl w:val="9"/>
    </w:pPr>
    <w:rPr>
      <w:rFonts w:ascii="Calibri Light" w:eastAsia="新細明體" w:hAnsi="Calibri Light"/>
      <w:color w:val="2F5496"/>
      <w:kern w:val="0"/>
      <w:sz w:val="32"/>
      <w:szCs w:val="32"/>
    </w:rPr>
  </w:style>
  <w:style w:type="paragraph" w:styleId="26">
    <w:name w:val="toc 2"/>
    <w:basedOn w:val="a2"/>
    <w:next w:val="a2"/>
    <w:autoRedefine/>
    <w:uiPriority w:val="39"/>
    <w:unhideWhenUsed/>
    <w:rsid w:val="002D5818"/>
    <w:pPr>
      <w:ind w:left="240"/>
    </w:pPr>
    <w:rPr>
      <w:rFonts w:ascii="Calibri" w:hAnsi="Calibri" w:cs="Calibri"/>
      <w:smallCaps/>
      <w:sz w:val="20"/>
    </w:rPr>
  </w:style>
  <w:style w:type="paragraph" w:styleId="33">
    <w:name w:val="toc 3"/>
    <w:basedOn w:val="a2"/>
    <w:next w:val="a2"/>
    <w:autoRedefine/>
    <w:uiPriority w:val="39"/>
    <w:unhideWhenUsed/>
    <w:rsid w:val="002D5818"/>
    <w:pPr>
      <w:ind w:left="480"/>
    </w:pPr>
    <w:rPr>
      <w:rFonts w:ascii="Calibri" w:hAnsi="Calibri" w:cs="Calibri"/>
      <w:i/>
      <w:iCs/>
      <w:sz w:val="20"/>
    </w:rPr>
  </w:style>
  <w:style w:type="paragraph" w:styleId="41">
    <w:name w:val="toc 4"/>
    <w:basedOn w:val="a2"/>
    <w:next w:val="a2"/>
    <w:autoRedefine/>
    <w:uiPriority w:val="39"/>
    <w:unhideWhenUsed/>
    <w:rsid w:val="00AF53AD"/>
    <w:pPr>
      <w:ind w:left="720"/>
    </w:pPr>
    <w:rPr>
      <w:rFonts w:ascii="Calibri" w:hAnsi="Calibri" w:cs="Calibri"/>
      <w:sz w:val="18"/>
      <w:szCs w:val="18"/>
    </w:rPr>
  </w:style>
  <w:style w:type="paragraph" w:styleId="51">
    <w:name w:val="toc 5"/>
    <w:basedOn w:val="a2"/>
    <w:next w:val="a2"/>
    <w:autoRedefine/>
    <w:uiPriority w:val="39"/>
    <w:unhideWhenUsed/>
    <w:rsid w:val="00AF53AD"/>
    <w:pPr>
      <w:ind w:left="960"/>
    </w:pPr>
    <w:rPr>
      <w:rFonts w:ascii="Calibri" w:hAnsi="Calibri" w:cs="Calibri"/>
      <w:sz w:val="18"/>
      <w:szCs w:val="18"/>
    </w:rPr>
  </w:style>
  <w:style w:type="paragraph" w:styleId="6">
    <w:name w:val="toc 6"/>
    <w:basedOn w:val="a2"/>
    <w:next w:val="a2"/>
    <w:autoRedefine/>
    <w:uiPriority w:val="39"/>
    <w:unhideWhenUsed/>
    <w:rsid w:val="00AF53AD"/>
    <w:pPr>
      <w:ind w:left="1200"/>
    </w:pPr>
    <w:rPr>
      <w:rFonts w:ascii="Calibri" w:hAnsi="Calibri" w:cs="Calibri"/>
      <w:sz w:val="18"/>
      <w:szCs w:val="18"/>
    </w:rPr>
  </w:style>
  <w:style w:type="paragraph" w:styleId="7">
    <w:name w:val="toc 7"/>
    <w:basedOn w:val="a2"/>
    <w:next w:val="a2"/>
    <w:autoRedefine/>
    <w:uiPriority w:val="39"/>
    <w:unhideWhenUsed/>
    <w:rsid w:val="00AF53AD"/>
    <w:pPr>
      <w:ind w:left="1440"/>
    </w:pPr>
    <w:rPr>
      <w:rFonts w:ascii="Calibri" w:hAnsi="Calibri" w:cs="Calibri"/>
      <w:sz w:val="18"/>
      <w:szCs w:val="18"/>
    </w:rPr>
  </w:style>
  <w:style w:type="paragraph" w:styleId="8">
    <w:name w:val="toc 8"/>
    <w:basedOn w:val="a2"/>
    <w:next w:val="a2"/>
    <w:autoRedefine/>
    <w:uiPriority w:val="39"/>
    <w:unhideWhenUsed/>
    <w:rsid w:val="00AF53AD"/>
    <w:pPr>
      <w:ind w:left="1680"/>
    </w:pPr>
    <w:rPr>
      <w:rFonts w:ascii="Calibri" w:hAnsi="Calibri" w:cs="Calibri"/>
      <w:sz w:val="18"/>
      <w:szCs w:val="18"/>
    </w:rPr>
  </w:style>
  <w:style w:type="paragraph" w:styleId="9">
    <w:name w:val="toc 9"/>
    <w:basedOn w:val="a2"/>
    <w:next w:val="a2"/>
    <w:autoRedefine/>
    <w:uiPriority w:val="39"/>
    <w:unhideWhenUsed/>
    <w:rsid w:val="00AF53AD"/>
    <w:pPr>
      <w:ind w:left="1920"/>
    </w:pPr>
    <w:rPr>
      <w:rFonts w:ascii="Calibri" w:hAnsi="Calibri" w:cs="Calibri"/>
      <w:sz w:val="18"/>
      <w:szCs w:val="18"/>
    </w:rPr>
  </w:style>
  <w:style w:type="paragraph" w:styleId="Web">
    <w:name w:val="Normal (Web)"/>
    <w:basedOn w:val="a2"/>
    <w:uiPriority w:val="99"/>
    <w:semiHidden/>
    <w:unhideWhenUsed/>
    <w:rsid w:val="003C453D"/>
    <w:pPr>
      <w:widowControl/>
      <w:spacing w:before="100" w:beforeAutospacing="1" w:after="100" w:afterAutospacing="1"/>
    </w:pPr>
    <w:rPr>
      <w:rFonts w:ascii="新細明體" w:hAnsi="新細明體" w:cs="新細明體"/>
      <w:kern w:val="0"/>
      <w:szCs w:val="24"/>
    </w:rPr>
  </w:style>
  <w:style w:type="table" w:styleId="aff1">
    <w:name w:val="Table Grid"/>
    <w:basedOn w:val="a4"/>
    <w:uiPriority w:val="39"/>
    <w:rsid w:val="00C1026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2">
    <w:name w:val="caption"/>
    <w:basedOn w:val="a2"/>
    <w:next w:val="a2"/>
    <w:uiPriority w:val="35"/>
    <w:unhideWhenUsed/>
    <w:qFormat/>
    <w:rsid w:val="00C1026C"/>
    <w:rPr>
      <w:sz w:val="20"/>
    </w:rPr>
  </w:style>
  <w:style w:type="paragraph" w:styleId="aff3">
    <w:name w:val="table of figures"/>
    <w:basedOn w:val="a2"/>
    <w:next w:val="a2"/>
    <w:uiPriority w:val="99"/>
    <w:unhideWhenUsed/>
    <w:rsid w:val="008A238A"/>
    <w:pPr>
      <w:ind w:leftChars="400" w:left="400" w:hangingChars="200" w:hanging="200"/>
    </w:pPr>
  </w:style>
  <w:style w:type="paragraph" w:customStyle="1" w:styleId="aff4">
    <w:name w:val="圖片"/>
    <w:basedOn w:val="a2"/>
    <w:link w:val="aff5"/>
    <w:qFormat/>
    <w:rsid w:val="001E4135"/>
    <w:pPr>
      <w:overflowPunct w:val="0"/>
      <w:jc w:val="center"/>
    </w:pPr>
    <w:rPr>
      <w:rFonts w:ascii="標楷體" w:eastAsia="標楷體" w:hAnsi="標楷體"/>
      <w:sz w:val="28"/>
      <w:szCs w:val="28"/>
    </w:rPr>
  </w:style>
  <w:style w:type="character" w:customStyle="1" w:styleId="aff5">
    <w:name w:val="圖片 字元"/>
    <w:link w:val="aff4"/>
    <w:rsid w:val="001E4135"/>
    <w:rPr>
      <w:rFonts w:ascii="標楷體" w:eastAsia="標楷體" w:hAnsi="標楷體"/>
      <w:kern w:val="2"/>
      <w:sz w:val="28"/>
      <w:szCs w:val="28"/>
    </w:rPr>
  </w:style>
  <w:style w:type="character" w:styleId="aff6">
    <w:name w:val="Strong"/>
    <w:basedOn w:val="a3"/>
    <w:uiPriority w:val="22"/>
    <w:qFormat/>
    <w:rsid w:val="00F81A49"/>
    <w:rPr>
      <w:b/>
      <w:bCs/>
    </w:rPr>
  </w:style>
  <w:style w:type="paragraph" w:customStyle="1" w:styleId="13">
    <w:name w:val="報告樣式1"/>
    <w:basedOn w:val="a2"/>
    <w:link w:val="14"/>
    <w:qFormat/>
    <w:rsid w:val="007A70CF"/>
    <w:pPr>
      <w:spacing w:line="440" w:lineRule="exact"/>
      <w:jc w:val="both"/>
    </w:pPr>
    <w:rPr>
      <w:rFonts w:ascii="標楷體" w:eastAsia="標楷體" w:hAnsi="標楷體" w:cstheme="minorBidi"/>
      <w:sz w:val="28"/>
      <w:szCs w:val="28"/>
      <w14:ligatures w14:val="standardContextual"/>
    </w:rPr>
  </w:style>
  <w:style w:type="character" w:customStyle="1" w:styleId="14">
    <w:name w:val="報告樣式1 字元"/>
    <w:basedOn w:val="a3"/>
    <w:link w:val="13"/>
    <w:rsid w:val="007A70CF"/>
    <w:rPr>
      <w:rFonts w:ascii="標楷體" w:eastAsia="標楷體" w:hAnsi="標楷體" w:cstheme="minorBidi"/>
      <w:kern w:val="2"/>
      <w:sz w:val="28"/>
      <w:szCs w:val="28"/>
      <w14:ligatures w14:val="standardContextual"/>
    </w:rPr>
  </w:style>
  <w:style w:type="character" w:customStyle="1" w:styleId="20">
    <w:name w:val="標題 2 字元"/>
    <w:basedOn w:val="a3"/>
    <w:link w:val="2"/>
    <w:uiPriority w:val="9"/>
    <w:semiHidden/>
    <w:rsid w:val="00AF1EB4"/>
    <w:rPr>
      <w:rFonts w:asciiTheme="majorHAnsi" w:eastAsiaTheme="majorEastAsia" w:hAnsiTheme="majorHAnsi" w:cstheme="majorBidi"/>
      <w:b/>
      <w:bCs/>
      <w:kern w:val="2"/>
      <w:sz w:val="48"/>
      <w:szCs w:val="48"/>
    </w:rPr>
  </w:style>
  <w:style w:type="character" w:customStyle="1" w:styleId="30">
    <w:name w:val="標題 3 字元"/>
    <w:basedOn w:val="a3"/>
    <w:link w:val="3"/>
    <w:uiPriority w:val="9"/>
    <w:semiHidden/>
    <w:rsid w:val="00AF1EB4"/>
    <w:rPr>
      <w:rFonts w:asciiTheme="majorHAnsi" w:eastAsiaTheme="majorEastAsia" w:hAnsiTheme="majorHAnsi" w:cstheme="majorBidi"/>
      <w:b/>
      <w:bCs/>
      <w:kern w:val="2"/>
      <w:sz w:val="36"/>
      <w:szCs w:val="36"/>
    </w:rPr>
  </w:style>
  <w:style w:type="character" w:customStyle="1" w:styleId="40">
    <w:name w:val="標題 4 字元"/>
    <w:basedOn w:val="a3"/>
    <w:link w:val="4"/>
    <w:uiPriority w:val="9"/>
    <w:semiHidden/>
    <w:rsid w:val="00AF1EB4"/>
    <w:rPr>
      <w:rFonts w:asciiTheme="majorHAnsi" w:eastAsiaTheme="majorEastAsia" w:hAnsiTheme="majorHAnsi" w:cstheme="majorBidi"/>
      <w:kern w:val="2"/>
      <w:sz w:val="36"/>
      <w:szCs w:val="36"/>
    </w:rPr>
  </w:style>
  <w:style w:type="character" w:customStyle="1" w:styleId="50">
    <w:name w:val="標題 5 字元"/>
    <w:basedOn w:val="a3"/>
    <w:link w:val="5"/>
    <w:uiPriority w:val="9"/>
    <w:semiHidden/>
    <w:rsid w:val="00AF1EB4"/>
    <w:rPr>
      <w:rFonts w:asciiTheme="majorHAnsi" w:eastAsiaTheme="majorEastAsia" w:hAnsiTheme="majorHAnsi" w:cstheme="majorBidi"/>
      <w:b/>
      <w:bCs/>
      <w:kern w:val="2"/>
      <w:sz w:val="36"/>
      <w:szCs w:val="36"/>
    </w:rPr>
  </w:style>
  <w:style w:type="paragraph" w:styleId="aff7">
    <w:name w:val="footnote text"/>
    <w:basedOn w:val="a2"/>
    <w:link w:val="aff8"/>
    <w:uiPriority w:val="99"/>
    <w:unhideWhenUsed/>
    <w:rsid w:val="00B5336F"/>
    <w:pPr>
      <w:snapToGrid w:val="0"/>
    </w:pPr>
    <w:rPr>
      <w:sz w:val="20"/>
    </w:rPr>
  </w:style>
  <w:style w:type="character" w:customStyle="1" w:styleId="aff8">
    <w:name w:val="註腳文字 字元"/>
    <w:basedOn w:val="a3"/>
    <w:link w:val="aff7"/>
    <w:uiPriority w:val="99"/>
    <w:rsid w:val="00B5336F"/>
    <w:rPr>
      <w:kern w:val="2"/>
    </w:rPr>
  </w:style>
  <w:style w:type="character" w:styleId="aff9">
    <w:name w:val="footnote reference"/>
    <w:basedOn w:val="a3"/>
    <w:uiPriority w:val="99"/>
    <w:semiHidden/>
    <w:unhideWhenUsed/>
    <w:rsid w:val="00B5336F"/>
    <w:rPr>
      <w:vertAlign w:val="superscript"/>
    </w:rPr>
  </w:style>
  <w:style w:type="paragraph" w:customStyle="1" w:styleId="a0">
    <w:name w:val="分項段落"/>
    <w:basedOn w:val="a2"/>
    <w:rsid w:val="002220E8"/>
    <w:pPr>
      <w:widowControl/>
      <w:numPr>
        <w:numId w:val="6"/>
      </w:numPr>
      <w:spacing w:line="440" w:lineRule="exact"/>
      <w:jc w:val="both"/>
      <w:textAlignment w:val="baseline"/>
    </w:pPr>
    <w:rPr>
      <w:rFonts w:eastAsia="標楷體"/>
      <w:noProof/>
      <w:kern w:val="0"/>
      <w:sz w:val="32"/>
    </w:rPr>
  </w:style>
  <w:style w:type="character" w:styleId="affa">
    <w:name w:val="Unresolved Mention"/>
    <w:basedOn w:val="a3"/>
    <w:uiPriority w:val="99"/>
    <w:semiHidden/>
    <w:unhideWhenUsed/>
    <w:rsid w:val="00563A25"/>
    <w:rPr>
      <w:color w:val="605E5C"/>
      <w:shd w:val="clear" w:color="auto" w:fill="E1DFDD"/>
    </w:rPr>
  </w:style>
  <w:style w:type="paragraph" w:customStyle="1" w:styleId="a1">
    <w:name w:val="圖示"/>
    <w:basedOn w:val="aff4"/>
    <w:link w:val="affb"/>
    <w:qFormat/>
    <w:rsid w:val="00E96C66"/>
    <w:pPr>
      <w:numPr>
        <w:numId w:val="4"/>
      </w:numPr>
      <w:spacing w:beforeLines="15" w:before="36" w:afterLines="15" w:after="36" w:line="440" w:lineRule="exact"/>
    </w:pPr>
    <w:rPr>
      <w:sz w:val="24"/>
      <w:szCs w:val="24"/>
    </w:rPr>
  </w:style>
  <w:style w:type="character" w:customStyle="1" w:styleId="affb">
    <w:name w:val="圖示 字元"/>
    <w:basedOn w:val="aff5"/>
    <w:link w:val="a1"/>
    <w:rsid w:val="00E96C66"/>
    <w:rPr>
      <w:rFonts w:ascii="標楷體" w:eastAsia="標楷體" w:hAnsi="標楷體"/>
      <w:kern w:val="2"/>
      <w:sz w:val="24"/>
      <w:szCs w:val="24"/>
    </w:rPr>
  </w:style>
  <w:style w:type="paragraph" w:customStyle="1" w:styleId="a">
    <w:name w:val="表示"/>
    <w:basedOn w:val="aff4"/>
    <w:link w:val="affc"/>
    <w:qFormat/>
    <w:rsid w:val="00235C5E"/>
    <w:pPr>
      <w:numPr>
        <w:numId w:val="5"/>
      </w:numPr>
      <w:spacing w:beforeLines="15" w:before="36" w:afterLines="15" w:after="36" w:line="440" w:lineRule="exact"/>
    </w:pPr>
    <w:rPr>
      <w:sz w:val="24"/>
      <w:szCs w:val="24"/>
    </w:rPr>
  </w:style>
  <w:style w:type="character" w:customStyle="1" w:styleId="affc">
    <w:name w:val="表示 字元"/>
    <w:basedOn w:val="aff5"/>
    <w:link w:val="a"/>
    <w:rsid w:val="00235C5E"/>
    <w:rPr>
      <w:rFonts w:ascii="標楷體" w:eastAsia="標楷體" w:hAnsi="標楷體"/>
      <w:kern w:val="2"/>
      <w:sz w:val="24"/>
      <w:szCs w:val="24"/>
    </w:rPr>
  </w:style>
  <w:style w:type="character" w:customStyle="1" w:styleId="ae">
    <w:name w:val="頁尾 字元"/>
    <w:basedOn w:val="a3"/>
    <w:link w:val="ad"/>
    <w:uiPriority w:val="99"/>
    <w:rsid w:val="00E00B39"/>
    <w:rPr>
      <w:kern w:val="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530717">
      <w:bodyDiv w:val="1"/>
      <w:marLeft w:val="0"/>
      <w:marRight w:val="0"/>
      <w:marTop w:val="0"/>
      <w:marBottom w:val="0"/>
      <w:divBdr>
        <w:top w:val="none" w:sz="0" w:space="0" w:color="auto"/>
        <w:left w:val="none" w:sz="0" w:space="0" w:color="auto"/>
        <w:bottom w:val="none" w:sz="0" w:space="0" w:color="auto"/>
        <w:right w:val="none" w:sz="0" w:space="0" w:color="auto"/>
      </w:divBdr>
    </w:div>
    <w:div w:id="65958575">
      <w:bodyDiv w:val="1"/>
      <w:marLeft w:val="0"/>
      <w:marRight w:val="0"/>
      <w:marTop w:val="0"/>
      <w:marBottom w:val="0"/>
      <w:divBdr>
        <w:top w:val="none" w:sz="0" w:space="0" w:color="auto"/>
        <w:left w:val="none" w:sz="0" w:space="0" w:color="auto"/>
        <w:bottom w:val="none" w:sz="0" w:space="0" w:color="auto"/>
        <w:right w:val="none" w:sz="0" w:space="0" w:color="auto"/>
      </w:divBdr>
    </w:div>
    <w:div w:id="111290461">
      <w:bodyDiv w:val="1"/>
      <w:marLeft w:val="0"/>
      <w:marRight w:val="0"/>
      <w:marTop w:val="0"/>
      <w:marBottom w:val="0"/>
      <w:divBdr>
        <w:top w:val="none" w:sz="0" w:space="0" w:color="auto"/>
        <w:left w:val="none" w:sz="0" w:space="0" w:color="auto"/>
        <w:bottom w:val="none" w:sz="0" w:space="0" w:color="auto"/>
        <w:right w:val="none" w:sz="0" w:space="0" w:color="auto"/>
      </w:divBdr>
    </w:div>
    <w:div w:id="119223948">
      <w:bodyDiv w:val="1"/>
      <w:marLeft w:val="0"/>
      <w:marRight w:val="0"/>
      <w:marTop w:val="0"/>
      <w:marBottom w:val="0"/>
      <w:divBdr>
        <w:top w:val="none" w:sz="0" w:space="0" w:color="auto"/>
        <w:left w:val="none" w:sz="0" w:space="0" w:color="auto"/>
        <w:bottom w:val="none" w:sz="0" w:space="0" w:color="auto"/>
        <w:right w:val="none" w:sz="0" w:space="0" w:color="auto"/>
      </w:divBdr>
    </w:div>
    <w:div w:id="135488979">
      <w:bodyDiv w:val="1"/>
      <w:marLeft w:val="0"/>
      <w:marRight w:val="0"/>
      <w:marTop w:val="0"/>
      <w:marBottom w:val="0"/>
      <w:divBdr>
        <w:top w:val="none" w:sz="0" w:space="0" w:color="auto"/>
        <w:left w:val="none" w:sz="0" w:space="0" w:color="auto"/>
        <w:bottom w:val="none" w:sz="0" w:space="0" w:color="auto"/>
        <w:right w:val="none" w:sz="0" w:space="0" w:color="auto"/>
      </w:divBdr>
      <w:divsChild>
        <w:div w:id="315884731">
          <w:marLeft w:val="0"/>
          <w:marRight w:val="0"/>
          <w:marTop w:val="0"/>
          <w:marBottom w:val="0"/>
          <w:divBdr>
            <w:top w:val="none" w:sz="0" w:space="0" w:color="auto"/>
            <w:left w:val="none" w:sz="0" w:space="0" w:color="auto"/>
            <w:bottom w:val="none" w:sz="0" w:space="0" w:color="auto"/>
            <w:right w:val="none" w:sz="0" w:space="0" w:color="auto"/>
          </w:divBdr>
          <w:divsChild>
            <w:div w:id="1780686957">
              <w:marLeft w:val="0"/>
              <w:marRight w:val="0"/>
              <w:marTop w:val="0"/>
              <w:marBottom w:val="0"/>
              <w:divBdr>
                <w:top w:val="none" w:sz="0" w:space="0" w:color="auto"/>
                <w:left w:val="none" w:sz="0" w:space="0" w:color="auto"/>
                <w:bottom w:val="none" w:sz="0" w:space="0" w:color="auto"/>
                <w:right w:val="none" w:sz="0" w:space="0" w:color="auto"/>
              </w:divBdr>
              <w:divsChild>
                <w:div w:id="1431195493">
                  <w:marLeft w:val="0"/>
                  <w:marRight w:val="0"/>
                  <w:marTop w:val="0"/>
                  <w:marBottom w:val="0"/>
                  <w:divBdr>
                    <w:top w:val="none" w:sz="0" w:space="0" w:color="auto"/>
                    <w:left w:val="none" w:sz="0" w:space="0" w:color="auto"/>
                    <w:bottom w:val="none" w:sz="0" w:space="0" w:color="auto"/>
                    <w:right w:val="none" w:sz="0" w:space="0" w:color="auto"/>
                  </w:divBdr>
                  <w:divsChild>
                    <w:div w:id="902714780">
                      <w:marLeft w:val="0"/>
                      <w:marRight w:val="0"/>
                      <w:marTop w:val="0"/>
                      <w:marBottom w:val="0"/>
                      <w:divBdr>
                        <w:top w:val="none" w:sz="0" w:space="0" w:color="auto"/>
                        <w:left w:val="none" w:sz="0" w:space="0" w:color="auto"/>
                        <w:bottom w:val="none" w:sz="0" w:space="0" w:color="auto"/>
                        <w:right w:val="none" w:sz="0" w:space="0" w:color="auto"/>
                      </w:divBdr>
                      <w:divsChild>
                        <w:div w:id="461271296">
                          <w:marLeft w:val="0"/>
                          <w:marRight w:val="0"/>
                          <w:marTop w:val="0"/>
                          <w:marBottom w:val="0"/>
                          <w:divBdr>
                            <w:top w:val="none" w:sz="0" w:space="0" w:color="auto"/>
                            <w:left w:val="none" w:sz="0" w:space="0" w:color="auto"/>
                            <w:bottom w:val="none" w:sz="0" w:space="0" w:color="auto"/>
                            <w:right w:val="none" w:sz="0" w:space="0" w:color="auto"/>
                          </w:divBdr>
                        </w:div>
                      </w:divsChild>
                    </w:div>
                    <w:div w:id="1169251862">
                      <w:marLeft w:val="0"/>
                      <w:marRight w:val="0"/>
                      <w:marTop w:val="0"/>
                      <w:marBottom w:val="0"/>
                      <w:divBdr>
                        <w:top w:val="none" w:sz="0" w:space="0" w:color="auto"/>
                        <w:left w:val="none" w:sz="0" w:space="0" w:color="auto"/>
                        <w:bottom w:val="none" w:sz="0" w:space="0" w:color="auto"/>
                        <w:right w:val="none" w:sz="0" w:space="0" w:color="auto"/>
                      </w:divBdr>
                      <w:divsChild>
                        <w:div w:id="1602371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2297403">
          <w:marLeft w:val="0"/>
          <w:marRight w:val="0"/>
          <w:marTop w:val="0"/>
          <w:marBottom w:val="0"/>
          <w:divBdr>
            <w:top w:val="none" w:sz="0" w:space="0" w:color="auto"/>
            <w:left w:val="none" w:sz="0" w:space="0" w:color="auto"/>
            <w:bottom w:val="none" w:sz="0" w:space="0" w:color="auto"/>
            <w:right w:val="none" w:sz="0" w:space="0" w:color="auto"/>
          </w:divBdr>
          <w:divsChild>
            <w:div w:id="1702436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735037">
      <w:bodyDiv w:val="1"/>
      <w:marLeft w:val="0"/>
      <w:marRight w:val="0"/>
      <w:marTop w:val="0"/>
      <w:marBottom w:val="0"/>
      <w:divBdr>
        <w:top w:val="none" w:sz="0" w:space="0" w:color="auto"/>
        <w:left w:val="none" w:sz="0" w:space="0" w:color="auto"/>
        <w:bottom w:val="none" w:sz="0" w:space="0" w:color="auto"/>
        <w:right w:val="none" w:sz="0" w:space="0" w:color="auto"/>
      </w:divBdr>
    </w:div>
    <w:div w:id="169831280">
      <w:bodyDiv w:val="1"/>
      <w:marLeft w:val="0"/>
      <w:marRight w:val="0"/>
      <w:marTop w:val="0"/>
      <w:marBottom w:val="0"/>
      <w:divBdr>
        <w:top w:val="none" w:sz="0" w:space="0" w:color="auto"/>
        <w:left w:val="none" w:sz="0" w:space="0" w:color="auto"/>
        <w:bottom w:val="none" w:sz="0" w:space="0" w:color="auto"/>
        <w:right w:val="none" w:sz="0" w:space="0" w:color="auto"/>
      </w:divBdr>
    </w:div>
    <w:div w:id="191379285">
      <w:bodyDiv w:val="1"/>
      <w:marLeft w:val="0"/>
      <w:marRight w:val="0"/>
      <w:marTop w:val="0"/>
      <w:marBottom w:val="0"/>
      <w:divBdr>
        <w:top w:val="none" w:sz="0" w:space="0" w:color="auto"/>
        <w:left w:val="none" w:sz="0" w:space="0" w:color="auto"/>
        <w:bottom w:val="none" w:sz="0" w:space="0" w:color="auto"/>
        <w:right w:val="none" w:sz="0" w:space="0" w:color="auto"/>
      </w:divBdr>
      <w:divsChild>
        <w:div w:id="2001543010">
          <w:marLeft w:val="0"/>
          <w:marRight w:val="0"/>
          <w:marTop w:val="0"/>
          <w:marBottom w:val="0"/>
          <w:divBdr>
            <w:top w:val="none" w:sz="0" w:space="0" w:color="auto"/>
            <w:left w:val="none" w:sz="0" w:space="0" w:color="auto"/>
            <w:bottom w:val="none" w:sz="0" w:space="0" w:color="auto"/>
            <w:right w:val="none" w:sz="0" w:space="0" w:color="auto"/>
          </w:divBdr>
          <w:divsChild>
            <w:div w:id="2086148484">
              <w:marLeft w:val="0"/>
              <w:marRight w:val="0"/>
              <w:marTop w:val="0"/>
              <w:marBottom w:val="0"/>
              <w:divBdr>
                <w:top w:val="none" w:sz="0" w:space="0" w:color="auto"/>
                <w:left w:val="none" w:sz="0" w:space="0" w:color="auto"/>
                <w:bottom w:val="none" w:sz="0" w:space="0" w:color="auto"/>
                <w:right w:val="none" w:sz="0" w:space="0" w:color="auto"/>
              </w:divBdr>
              <w:divsChild>
                <w:div w:id="1862936145">
                  <w:marLeft w:val="0"/>
                  <w:marRight w:val="0"/>
                  <w:marTop w:val="0"/>
                  <w:marBottom w:val="0"/>
                  <w:divBdr>
                    <w:top w:val="none" w:sz="0" w:space="0" w:color="auto"/>
                    <w:left w:val="none" w:sz="0" w:space="0" w:color="auto"/>
                    <w:bottom w:val="none" w:sz="0" w:space="0" w:color="auto"/>
                    <w:right w:val="none" w:sz="0" w:space="0" w:color="auto"/>
                  </w:divBdr>
                  <w:divsChild>
                    <w:div w:id="992686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273753">
      <w:bodyDiv w:val="1"/>
      <w:marLeft w:val="0"/>
      <w:marRight w:val="0"/>
      <w:marTop w:val="0"/>
      <w:marBottom w:val="0"/>
      <w:divBdr>
        <w:top w:val="none" w:sz="0" w:space="0" w:color="auto"/>
        <w:left w:val="none" w:sz="0" w:space="0" w:color="auto"/>
        <w:bottom w:val="none" w:sz="0" w:space="0" w:color="auto"/>
        <w:right w:val="none" w:sz="0" w:space="0" w:color="auto"/>
      </w:divBdr>
    </w:div>
    <w:div w:id="219292060">
      <w:bodyDiv w:val="1"/>
      <w:marLeft w:val="0"/>
      <w:marRight w:val="0"/>
      <w:marTop w:val="0"/>
      <w:marBottom w:val="0"/>
      <w:divBdr>
        <w:top w:val="none" w:sz="0" w:space="0" w:color="auto"/>
        <w:left w:val="none" w:sz="0" w:space="0" w:color="auto"/>
        <w:bottom w:val="none" w:sz="0" w:space="0" w:color="auto"/>
        <w:right w:val="none" w:sz="0" w:space="0" w:color="auto"/>
      </w:divBdr>
    </w:div>
    <w:div w:id="248390868">
      <w:bodyDiv w:val="1"/>
      <w:marLeft w:val="0"/>
      <w:marRight w:val="0"/>
      <w:marTop w:val="0"/>
      <w:marBottom w:val="0"/>
      <w:divBdr>
        <w:top w:val="none" w:sz="0" w:space="0" w:color="auto"/>
        <w:left w:val="none" w:sz="0" w:space="0" w:color="auto"/>
        <w:bottom w:val="none" w:sz="0" w:space="0" w:color="auto"/>
        <w:right w:val="none" w:sz="0" w:space="0" w:color="auto"/>
      </w:divBdr>
    </w:div>
    <w:div w:id="338391401">
      <w:bodyDiv w:val="1"/>
      <w:marLeft w:val="0"/>
      <w:marRight w:val="0"/>
      <w:marTop w:val="0"/>
      <w:marBottom w:val="0"/>
      <w:divBdr>
        <w:top w:val="none" w:sz="0" w:space="0" w:color="auto"/>
        <w:left w:val="none" w:sz="0" w:space="0" w:color="auto"/>
        <w:bottom w:val="none" w:sz="0" w:space="0" w:color="auto"/>
        <w:right w:val="none" w:sz="0" w:space="0" w:color="auto"/>
      </w:divBdr>
    </w:div>
    <w:div w:id="346180287">
      <w:bodyDiv w:val="1"/>
      <w:marLeft w:val="0"/>
      <w:marRight w:val="0"/>
      <w:marTop w:val="0"/>
      <w:marBottom w:val="0"/>
      <w:divBdr>
        <w:top w:val="none" w:sz="0" w:space="0" w:color="auto"/>
        <w:left w:val="none" w:sz="0" w:space="0" w:color="auto"/>
        <w:bottom w:val="none" w:sz="0" w:space="0" w:color="auto"/>
        <w:right w:val="none" w:sz="0" w:space="0" w:color="auto"/>
      </w:divBdr>
    </w:div>
    <w:div w:id="353118957">
      <w:bodyDiv w:val="1"/>
      <w:marLeft w:val="0"/>
      <w:marRight w:val="0"/>
      <w:marTop w:val="0"/>
      <w:marBottom w:val="0"/>
      <w:divBdr>
        <w:top w:val="none" w:sz="0" w:space="0" w:color="auto"/>
        <w:left w:val="none" w:sz="0" w:space="0" w:color="auto"/>
        <w:bottom w:val="none" w:sz="0" w:space="0" w:color="auto"/>
        <w:right w:val="none" w:sz="0" w:space="0" w:color="auto"/>
      </w:divBdr>
    </w:div>
    <w:div w:id="372384550">
      <w:bodyDiv w:val="1"/>
      <w:marLeft w:val="0"/>
      <w:marRight w:val="0"/>
      <w:marTop w:val="0"/>
      <w:marBottom w:val="0"/>
      <w:divBdr>
        <w:top w:val="none" w:sz="0" w:space="0" w:color="auto"/>
        <w:left w:val="none" w:sz="0" w:space="0" w:color="auto"/>
        <w:bottom w:val="none" w:sz="0" w:space="0" w:color="auto"/>
        <w:right w:val="none" w:sz="0" w:space="0" w:color="auto"/>
      </w:divBdr>
    </w:div>
    <w:div w:id="402683863">
      <w:bodyDiv w:val="1"/>
      <w:marLeft w:val="0"/>
      <w:marRight w:val="0"/>
      <w:marTop w:val="0"/>
      <w:marBottom w:val="0"/>
      <w:divBdr>
        <w:top w:val="none" w:sz="0" w:space="0" w:color="auto"/>
        <w:left w:val="none" w:sz="0" w:space="0" w:color="auto"/>
        <w:bottom w:val="none" w:sz="0" w:space="0" w:color="auto"/>
        <w:right w:val="none" w:sz="0" w:space="0" w:color="auto"/>
      </w:divBdr>
    </w:div>
    <w:div w:id="404844590">
      <w:bodyDiv w:val="1"/>
      <w:marLeft w:val="0"/>
      <w:marRight w:val="0"/>
      <w:marTop w:val="0"/>
      <w:marBottom w:val="0"/>
      <w:divBdr>
        <w:top w:val="none" w:sz="0" w:space="0" w:color="auto"/>
        <w:left w:val="none" w:sz="0" w:space="0" w:color="auto"/>
        <w:bottom w:val="none" w:sz="0" w:space="0" w:color="auto"/>
        <w:right w:val="none" w:sz="0" w:space="0" w:color="auto"/>
      </w:divBdr>
    </w:div>
    <w:div w:id="408236765">
      <w:bodyDiv w:val="1"/>
      <w:marLeft w:val="0"/>
      <w:marRight w:val="0"/>
      <w:marTop w:val="0"/>
      <w:marBottom w:val="0"/>
      <w:divBdr>
        <w:top w:val="none" w:sz="0" w:space="0" w:color="auto"/>
        <w:left w:val="none" w:sz="0" w:space="0" w:color="auto"/>
        <w:bottom w:val="none" w:sz="0" w:space="0" w:color="auto"/>
        <w:right w:val="none" w:sz="0" w:space="0" w:color="auto"/>
      </w:divBdr>
    </w:div>
    <w:div w:id="417291737">
      <w:bodyDiv w:val="1"/>
      <w:marLeft w:val="0"/>
      <w:marRight w:val="0"/>
      <w:marTop w:val="0"/>
      <w:marBottom w:val="0"/>
      <w:divBdr>
        <w:top w:val="none" w:sz="0" w:space="0" w:color="auto"/>
        <w:left w:val="none" w:sz="0" w:space="0" w:color="auto"/>
        <w:bottom w:val="none" w:sz="0" w:space="0" w:color="auto"/>
        <w:right w:val="none" w:sz="0" w:space="0" w:color="auto"/>
      </w:divBdr>
    </w:div>
    <w:div w:id="420874335">
      <w:bodyDiv w:val="1"/>
      <w:marLeft w:val="0"/>
      <w:marRight w:val="0"/>
      <w:marTop w:val="0"/>
      <w:marBottom w:val="0"/>
      <w:divBdr>
        <w:top w:val="none" w:sz="0" w:space="0" w:color="auto"/>
        <w:left w:val="none" w:sz="0" w:space="0" w:color="auto"/>
        <w:bottom w:val="none" w:sz="0" w:space="0" w:color="auto"/>
        <w:right w:val="none" w:sz="0" w:space="0" w:color="auto"/>
      </w:divBdr>
    </w:div>
    <w:div w:id="429395114">
      <w:bodyDiv w:val="1"/>
      <w:marLeft w:val="0"/>
      <w:marRight w:val="0"/>
      <w:marTop w:val="0"/>
      <w:marBottom w:val="0"/>
      <w:divBdr>
        <w:top w:val="none" w:sz="0" w:space="0" w:color="auto"/>
        <w:left w:val="none" w:sz="0" w:space="0" w:color="auto"/>
        <w:bottom w:val="none" w:sz="0" w:space="0" w:color="auto"/>
        <w:right w:val="none" w:sz="0" w:space="0" w:color="auto"/>
      </w:divBdr>
    </w:div>
    <w:div w:id="429854819">
      <w:bodyDiv w:val="1"/>
      <w:marLeft w:val="0"/>
      <w:marRight w:val="0"/>
      <w:marTop w:val="0"/>
      <w:marBottom w:val="0"/>
      <w:divBdr>
        <w:top w:val="none" w:sz="0" w:space="0" w:color="auto"/>
        <w:left w:val="none" w:sz="0" w:space="0" w:color="auto"/>
        <w:bottom w:val="none" w:sz="0" w:space="0" w:color="auto"/>
        <w:right w:val="none" w:sz="0" w:space="0" w:color="auto"/>
      </w:divBdr>
    </w:div>
    <w:div w:id="463430897">
      <w:bodyDiv w:val="1"/>
      <w:marLeft w:val="0"/>
      <w:marRight w:val="0"/>
      <w:marTop w:val="0"/>
      <w:marBottom w:val="0"/>
      <w:divBdr>
        <w:top w:val="none" w:sz="0" w:space="0" w:color="auto"/>
        <w:left w:val="none" w:sz="0" w:space="0" w:color="auto"/>
        <w:bottom w:val="none" w:sz="0" w:space="0" w:color="auto"/>
        <w:right w:val="none" w:sz="0" w:space="0" w:color="auto"/>
      </w:divBdr>
    </w:div>
    <w:div w:id="517352108">
      <w:bodyDiv w:val="1"/>
      <w:marLeft w:val="0"/>
      <w:marRight w:val="0"/>
      <w:marTop w:val="0"/>
      <w:marBottom w:val="0"/>
      <w:divBdr>
        <w:top w:val="none" w:sz="0" w:space="0" w:color="auto"/>
        <w:left w:val="none" w:sz="0" w:space="0" w:color="auto"/>
        <w:bottom w:val="none" w:sz="0" w:space="0" w:color="auto"/>
        <w:right w:val="none" w:sz="0" w:space="0" w:color="auto"/>
      </w:divBdr>
      <w:divsChild>
        <w:div w:id="364209883">
          <w:marLeft w:val="0"/>
          <w:marRight w:val="0"/>
          <w:marTop w:val="0"/>
          <w:marBottom w:val="0"/>
          <w:divBdr>
            <w:top w:val="none" w:sz="0" w:space="0" w:color="auto"/>
            <w:left w:val="none" w:sz="0" w:space="0" w:color="auto"/>
            <w:bottom w:val="none" w:sz="0" w:space="0" w:color="auto"/>
            <w:right w:val="none" w:sz="0" w:space="0" w:color="auto"/>
          </w:divBdr>
          <w:divsChild>
            <w:div w:id="1975669910">
              <w:marLeft w:val="0"/>
              <w:marRight w:val="0"/>
              <w:marTop w:val="0"/>
              <w:marBottom w:val="0"/>
              <w:divBdr>
                <w:top w:val="none" w:sz="0" w:space="0" w:color="auto"/>
                <w:left w:val="none" w:sz="0" w:space="0" w:color="auto"/>
                <w:bottom w:val="none" w:sz="0" w:space="0" w:color="auto"/>
                <w:right w:val="none" w:sz="0" w:space="0" w:color="auto"/>
              </w:divBdr>
              <w:divsChild>
                <w:div w:id="114755357">
                  <w:marLeft w:val="0"/>
                  <w:marRight w:val="0"/>
                  <w:marTop w:val="0"/>
                  <w:marBottom w:val="0"/>
                  <w:divBdr>
                    <w:top w:val="none" w:sz="0" w:space="0" w:color="auto"/>
                    <w:left w:val="none" w:sz="0" w:space="0" w:color="auto"/>
                    <w:bottom w:val="none" w:sz="0" w:space="0" w:color="auto"/>
                    <w:right w:val="none" w:sz="0" w:space="0" w:color="auto"/>
                  </w:divBdr>
                  <w:divsChild>
                    <w:div w:id="1000621198">
                      <w:marLeft w:val="0"/>
                      <w:marRight w:val="0"/>
                      <w:marTop w:val="0"/>
                      <w:marBottom w:val="0"/>
                      <w:divBdr>
                        <w:top w:val="none" w:sz="0" w:space="0" w:color="auto"/>
                        <w:left w:val="none" w:sz="0" w:space="0" w:color="auto"/>
                        <w:bottom w:val="none" w:sz="0" w:space="0" w:color="auto"/>
                        <w:right w:val="none" w:sz="0" w:space="0" w:color="auto"/>
                      </w:divBdr>
                      <w:divsChild>
                        <w:div w:id="370688126">
                          <w:marLeft w:val="0"/>
                          <w:marRight w:val="0"/>
                          <w:marTop w:val="0"/>
                          <w:marBottom w:val="0"/>
                          <w:divBdr>
                            <w:top w:val="none" w:sz="0" w:space="0" w:color="auto"/>
                            <w:left w:val="none" w:sz="0" w:space="0" w:color="auto"/>
                            <w:bottom w:val="none" w:sz="0" w:space="0" w:color="auto"/>
                            <w:right w:val="none" w:sz="0" w:space="0" w:color="auto"/>
                          </w:divBdr>
                        </w:div>
                      </w:divsChild>
                    </w:div>
                    <w:div w:id="1583832701">
                      <w:marLeft w:val="0"/>
                      <w:marRight w:val="0"/>
                      <w:marTop w:val="0"/>
                      <w:marBottom w:val="0"/>
                      <w:divBdr>
                        <w:top w:val="none" w:sz="0" w:space="0" w:color="auto"/>
                        <w:left w:val="none" w:sz="0" w:space="0" w:color="auto"/>
                        <w:bottom w:val="none" w:sz="0" w:space="0" w:color="auto"/>
                        <w:right w:val="none" w:sz="0" w:space="0" w:color="auto"/>
                      </w:divBdr>
                      <w:divsChild>
                        <w:div w:id="1624455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9694244">
          <w:marLeft w:val="0"/>
          <w:marRight w:val="0"/>
          <w:marTop w:val="0"/>
          <w:marBottom w:val="0"/>
          <w:divBdr>
            <w:top w:val="none" w:sz="0" w:space="0" w:color="auto"/>
            <w:left w:val="none" w:sz="0" w:space="0" w:color="auto"/>
            <w:bottom w:val="none" w:sz="0" w:space="0" w:color="auto"/>
            <w:right w:val="none" w:sz="0" w:space="0" w:color="auto"/>
          </w:divBdr>
          <w:divsChild>
            <w:div w:id="1758789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1380847">
      <w:bodyDiv w:val="1"/>
      <w:marLeft w:val="0"/>
      <w:marRight w:val="0"/>
      <w:marTop w:val="0"/>
      <w:marBottom w:val="0"/>
      <w:divBdr>
        <w:top w:val="none" w:sz="0" w:space="0" w:color="auto"/>
        <w:left w:val="none" w:sz="0" w:space="0" w:color="auto"/>
        <w:bottom w:val="none" w:sz="0" w:space="0" w:color="auto"/>
        <w:right w:val="none" w:sz="0" w:space="0" w:color="auto"/>
      </w:divBdr>
    </w:div>
    <w:div w:id="566189718">
      <w:bodyDiv w:val="1"/>
      <w:marLeft w:val="0"/>
      <w:marRight w:val="0"/>
      <w:marTop w:val="0"/>
      <w:marBottom w:val="0"/>
      <w:divBdr>
        <w:top w:val="none" w:sz="0" w:space="0" w:color="auto"/>
        <w:left w:val="none" w:sz="0" w:space="0" w:color="auto"/>
        <w:bottom w:val="none" w:sz="0" w:space="0" w:color="auto"/>
        <w:right w:val="none" w:sz="0" w:space="0" w:color="auto"/>
      </w:divBdr>
    </w:div>
    <w:div w:id="570044734">
      <w:bodyDiv w:val="1"/>
      <w:marLeft w:val="0"/>
      <w:marRight w:val="0"/>
      <w:marTop w:val="0"/>
      <w:marBottom w:val="0"/>
      <w:divBdr>
        <w:top w:val="none" w:sz="0" w:space="0" w:color="auto"/>
        <w:left w:val="none" w:sz="0" w:space="0" w:color="auto"/>
        <w:bottom w:val="none" w:sz="0" w:space="0" w:color="auto"/>
        <w:right w:val="none" w:sz="0" w:space="0" w:color="auto"/>
      </w:divBdr>
    </w:div>
    <w:div w:id="594829837">
      <w:bodyDiv w:val="1"/>
      <w:marLeft w:val="0"/>
      <w:marRight w:val="0"/>
      <w:marTop w:val="0"/>
      <w:marBottom w:val="0"/>
      <w:divBdr>
        <w:top w:val="none" w:sz="0" w:space="0" w:color="auto"/>
        <w:left w:val="none" w:sz="0" w:space="0" w:color="auto"/>
        <w:bottom w:val="none" w:sz="0" w:space="0" w:color="auto"/>
        <w:right w:val="none" w:sz="0" w:space="0" w:color="auto"/>
      </w:divBdr>
    </w:div>
    <w:div w:id="621114126">
      <w:bodyDiv w:val="1"/>
      <w:marLeft w:val="0"/>
      <w:marRight w:val="0"/>
      <w:marTop w:val="0"/>
      <w:marBottom w:val="0"/>
      <w:divBdr>
        <w:top w:val="none" w:sz="0" w:space="0" w:color="auto"/>
        <w:left w:val="none" w:sz="0" w:space="0" w:color="auto"/>
        <w:bottom w:val="none" w:sz="0" w:space="0" w:color="auto"/>
        <w:right w:val="none" w:sz="0" w:space="0" w:color="auto"/>
      </w:divBdr>
      <w:divsChild>
        <w:div w:id="346299431">
          <w:marLeft w:val="0"/>
          <w:marRight w:val="0"/>
          <w:marTop w:val="0"/>
          <w:marBottom w:val="0"/>
          <w:divBdr>
            <w:top w:val="none" w:sz="0" w:space="0" w:color="auto"/>
            <w:left w:val="none" w:sz="0" w:space="0" w:color="auto"/>
            <w:bottom w:val="none" w:sz="0" w:space="0" w:color="auto"/>
            <w:right w:val="none" w:sz="0" w:space="0" w:color="auto"/>
          </w:divBdr>
          <w:divsChild>
            <w:div w:id="1531146395">
              <w:marLeft w:val="0"/>
              <w:marRight w:val="0"/>
              <w:marTop w:val="0"/>
              <w:marBottom w:val="0"/>
              <w:divBdr>
                <w:top w:val="none" w:sz="0" w:space="0" w:color="auto"/>
                <w:left w:val="none" w:sz="0" w:space="0" w:color="auto"/>
                <w:bottom w:val="none" w:sz="0" w:space="0" w:color="auto"/>
                <w:right w:val="none" w:sz="0" w:space="0" w:color="auto"/>
              </w:divBdr>
              <w:divsChild>
                <w:div w:id="122238095">
                  <w:marLeft w:val="0"/>
                  <w:marRight w:val="0"/>
                  <w:marTop w:val="0"/>
                  <w:marBottom w:val="0"/>
                  <w:divBdr>
                    <w:top w:val="none" w:sz="0" w:space="0" w:color="auto"/>
                    <w:left w:val="none" w:sz="0" w:space="0" w:color="auto"/>
                    <w:bottom w:val="none" w:sz="0" w:space="0" w:color="auto"/>
                    <w:right w:val="none" w:sz="0" w:space="0" w:color="auto"/>
                  </w:divBdr>
                  <w:divsChild>
                    <w:div w:id="195778289">
                      <w:marLeft w:val="0"/>
                      <w:marRight w:val="0"/>
                      <w:marTop w:val="0"/>
                      <w:marBottom w:val="0"/>
                      <w:divBdr>
                        <w:top w:val="none" w:sz="0" w:space="0" w:color="auto"/>
                        <w:left w:val="none" w:sz="0" w:space="0" w:color="auto"/>
                        <w:bottom w:val="none" w:sz="0" w:space="0" w:color="auto"/>
                        <w:right w:val="none" w:sz="0" w:space="0" w:color="auto"/>
                      </w:divBdr>
                      <w:divsChild>
                        <w:div w:id="652222660">
                          <w:marLeft w:val="0"/>
                          <w:marRight w:val="0"/>
                          <w:marTop w:val="0"/>
                          <w:marBottom w:val="0"/>
                          <w:divBdr>
                            <w:top w:val="none" w:sz="0" w:space="0" w:color="auto"/>
                            <w:left w:val="none" w:sz="0" w:space="0" w:color="auto"/>
                            <w:bottom w:val="none" w:sz="0" w:space="0" w:color="auto"/>
                            <w:right w:val="none" w:sz="0" w:space="0" w:color="auto"/>
                          </w:divBdr>
                          <w:divsChild>
                            <w:div w:id="1830554122">
                              <w:marLeft w:val="0"/>
                              <w:marRight w:val="0"/>
                              <w:marTop w:val="0"/>
                              <w:marBottom w:val="0"/>
                              <w:divBdr>
                                <w:top w:val="none" w:sz="0" w:space="0" w:color="auto"/>
                                <w:left w:val="none" w:sz="0" w:space="0" w:color="auto"/>
                                <w:bottom w:val="none" w:sz="0" w:space="0" w:color="auto"/>
                                <w:right w:val="none" w:sz="0" w:space="0" w:color="auto"/>
                              </w:divBdr>
                              <w:divsChild>
                                <w:div w:id="329646143">
                                  <w:marLeft w:val="0"/>
                                  <w:marRight w:val="0"/>
                                  <w:marTop w:val="0"/>
                                  <w:marBottom w:val="0"/>
                                  <w:divBdr>
                                    <w:top w:val="none" w:sz="0" w:space="0" w:color="auto"/>
                                    <w:left w:val="none" w:sz="0" w:space="0" w:color="auto"/>
                                    <w:bottom w:val="none" w:sz="0" w:space="0" w:color="auto"/>
                                    <w:right w:val="none" w:sz="0" w:space="0" w:color="auto"/>
                                  </w:divBdr>
                                  <w:divsChild>
                                    <w:div w:id="574508328">
                                      <w:marLeft w:val="0"/>
                                      <w:marRight w:val="0"/>
                                      <w:marTop w:val="0"/>
                                      <w:marBottom w:val="0"/>
                                      <w:divBdr>
                                        <w:top w:val="none" w:sz="0" w:space="0" w:color="auto"/>
                                        <w:left w:val="none" w:sz="0" w:space="0" w:color="auto"/>
                                        <w:bottom w:val="none" w:sz="0" w:space="0" w:color="auto"/>
                                        <w:right w:val="none" w:sz="0" w:space="0" w:color="auto"/>
                                      </w:divBdr>
                                      <w:divsChild>
                                        <w:div w:id="521894705">
                                          <w:marLeft w:val="0"/>
                                          <w:marRight w:val="0"/>
                                          <w:marTop w:val="0"/>
                                          <w:marBottom w:val="0"/>
                                          <w:divBdr>
                                            <w:top w:val="none" w:sz="0" w:space="0" w:color="auto"/>
                                            <w:left w:val="none" w:sz="0" w:space="0" w:color="auto"/>
                                            <w:bottom w:val="none" w:sz="0" w:space="0" w:color="auto"/>
                                            <w:right w:val="none" w:sz="0" w:space="0" w:color="auto"/>
                                          </w:divBdr>
                                          <w:divsChild>
                                            <w:div w:id="624654715">
                                              <w:marLeft w:val="0"/>
                                              <w:marRight w:val="0"/>
                                              <w:marTop w:val="0"/>
                                              <w:marBottom w:val="0"/>
                                              <w:divBdr>
                                                <w:top w:val="none" w:sz="0" w:space="0" w:color="auto"/>
                                                <w:left w:val="none" w:sz="0" w:space="0" w:color="auto"/>
                                                <w:bottom w:val="none" w:sz="0" w:space="0" w:color="auto"/>
                                                <w:right w:val="none" w:sz="0" w:space="0" w:color="auto"/>
                                              </w:divBdr>
                                              <w:divsChild>
                                                <w:div w:id="141580552">
                                                  <w:marLeft w:val="0"/>
                                                  <w:marRight w:val="0"/>
                                                  <w:marTop w:val="0"/>
                                                  <w:marBottom w:val="0"/>
                                                  <w:divBdr>
                                                    <w:top w:val="none" w:sz="0" w:space="0" w:color="auto"/>
                                                    <w:left w:val="none" w:sz="0" w:space="0" w:color="auto"/>
                                                    <w:bottom w:val="none" w:sz="0" w:space="0" w:color="auto"/>
                                                    <w:right w:val="none" w:sz="0" w:space="0" w:color="auto"/>
                                                  </w:divBdr>
                                                  <w:divsChild>
                                                    <w:div w:id="1908034158">
                                                      <w:marLeft w:val="0"/>
                                                      <w:marRight w:val="0"/>
                                                      <w:marTop w:val="0"/>
                                                      <w:marBottom w:val="0"/>
                                                      <w:divBdr>
                                                        <w:top w:val="none" w:sz="0" w:space="0" w:color="auto"/>
                                                        <w:left w:val="none" w:sz="0" w:space="0" w:color="auto"/>
                                                        <w:bottom w:val="none" w:sz="0" w:space="0" w:color="auto"/>
                                                        <w:right w:val="none" w:sz="0" w:space="0" w:color="auto"/>
                                                      </w:divBdr>
                                                      <w:divsChild>
                                                        <w:div w:id="1138184808">
                                                          <w:marLeft w:val="0"/>
                                                          <w:marRight w:val="0"/>
                                                          <w:marTop w:val="0"/>
                                                          <w:marBottom w:val="0"/>
                                                          <w:divBdr>
                                                            <w:top w:val="none" w:sz="0" w:space="0" w:color="auto"/>
                                                            <w:left w:val="none" w:sz="0" w:space="0" w:color="auto"/>
                                                            <w:bottom w:val="none" w:sz="0" w:space="0" w:color="auto"/>
                                                            <w:right w:val="none" w:sz="0" w:space="0" w:color="auto"/>
                                                          </w:divBdr>
                                                          <w:divsChild>
                                                            <w:div w:id="176698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22537853">
      <w:bodyDiv w:val="1"/>
      <w:marLeft w:val="0"/>
      <w:marRight w:val="0"/>
      <w:marTop w:val="0"/>
      <w:marBottom w:val="0"/>
      <w:divBdr>
        <w:top w:val="none" w:sz="0" w:space="0" w:color="auto"/>
        <w:left w:val="none" w:sz="0" w:space="0" w:color="auto"/>
        <w:bottom w:val="none" w:sz="0" w:space="0" w:color="auto"/>
        <w:right w:val="none" w:sz="0" w:space="0" w:color="auto"/>
      </w:divBdr>
    </w:div>
    <w:div w:id="694968308">
      <w:bodyDiv w:val="1"/>
      <w:marLeft w:val="0"/>
      <w:marRight w:val="0"/>
      <w:marTop w:val="0"/>
      <w:marBottom w:val="0"/>
      <w:divBdr>
        <w:top w:val="none" w:sz="0" w:space="0" w:color="auto"/>
        <w:left w:val="none" w:sz="0" w:space="0" w:color="auto"/>
        <w:bottom w:val="none" w:sz="0" w:space="0" w:color="auto"/>
        <w:right w:val="none" w:sz="0" w:space="0" w:color="auto"/>
      </w:divBdr>
    </w:div>
    <w:div w:id="713385057">
      <w:bodyDiv w:val="1"/>
      <w:marLeft w:val="0"/>
      <w:marRight w:val="0"/>
      <w:marTop w:val="0"/>
      <w:marBottom w:val="0"/>
      <w:divBdr>
        <w:top w:val="none" w:sz="0" w:space="0" w:color="auto"/>
        <w:left w:val="none" w:sz="0" w:space="0" w:color="auto"/>
        <w:bottom w:val="none" w:sz="0" w:space="0" w:color="auto"/>
        <w:right w:val="none" w:sz="0" w:space="0" w:color="auto"/>
      </w:divBdr>
    </w:div>
    <w:div w:id="756369148">
      <w:bodyDiv w:val="1"/>
      <w:marLeft w:val="0"/>
      <w:marRight w:val="0"/>
      <w:marTop w:val="0"/>
      <w:marBottom w:val="0"/>
      <w:divBdr>
        <w:top w:val="none" w:sz="0" w:space="0" w:color="auto"/>
        <w:left w:val="none" w:sz="0" w:space="0" w:color="auto"/>
        <w:bottom w:val="none" w:sz="0" w:space="0" w:color="auto"/>
        <w:right w:val="none" w:sz="0" w:space="0" w:color="auto"/>
      </w:divBdr>
    </w:div>
    <w:div w:id="789204428">
      <w:bodyDiv w:val="1"/>
      <w:marLeft w:val="0"/>
      <w:marRight w:val="0"/>
      <w:marTop w:val="0"/>
      <w:marBottom w:val="0"/>
      <w:divBdr>
        <w:top w:val="none" w:sz="0" w:space="0" w:color="auto"/>
        <w:left w:val="none" w:sz="0" w:space="0" w:color="auto"/>
        <w:bottom w:val="none" w:sz="0" w:space="0" w:color="auto"/>
        <w:right w:val="none" w:sz="0" w:space="0" w:color="auto"/>
      </w:divBdr>
    </w:div>
    <w:div w:id="794131629">
      <w:bodyDiv w:val="1"/>
      <w:marLeft w:val="0"/>
      <w:marRight w:val="0"/>
      <w:marTop w:val="0"/>
      <w:marBottom w:val="0"/>
      <w:divBdr>
        <w:top w:val="none" w:sz="0" w:space="0" w:color="auto"/>
        <w:left w:val="none" w:sz="0" w:space="0" w:color="auto"/>
        <w:bottom w:val="none" w:sz="0" w:space="0" w:color="auto"/>
        <w:right w:val="none" w:sz="0" w:space="0" w:color="auto"/>
      </w:divBdr>
    </w:div>
    <w:div w:id="834764395">
      <w:bodyDiv w:val="1"/>
      <w:marLeft w:val="0"/>
      <w:marRight w:val="0"/>
      <w:marTop w:val="0"/>
      <w:marBottom w:val="0"/>
      <w:divBdr>
        <w:top w:val="none" w:sz="0" w:space="0" w:color="auto"/>
        <w:left w:val="none" w:sz="0" w:space="0" w:color="auto"/>
        <w:bottom w:val="none" w:sz="0" w:space="0" w:color="auto"/>
        <w:right w:val="none" w:sz="0" w:space="0" w:color="auto"/>
      </w:divBdr>
    </w:div>
    <w:div w:id="839661761">
      <w:bodyDiv w:val="1"/>
      <w:marLeft w:val="0"/>
      <w:marRight w:val="0"/>
      <w:marTop w:val="0"/>
      <w:marBottom w:val="0"/>
      <w:divBdr>
        <w:top w:val="none" w:sz="0" w:space="0" w:color="auto"/>
        <w:left w:val="none" w:sz="0" w:space="0" w:color="auto"/>
        <w:bottom w:val="none" w:sz="0" w:space="0" w:color="auto"/>
        <w:right w:val="none" w:sz="0" w:space="0" w:color="auto"/>
      </w:divBdr>
    </w:div>
    <w:div w:id="878712174">
      <w:bodyDiv w:val="1"/>
      <w:marLeft w:val="0"/>
      <w:marRight w:val="0"/>
      <w:marTop w:val="0"/>
      <w:marBottom w:val="0"/>
      <w:divBdr>
        <w:top w:val="none" w:sz="0" w:space="0" w:color="auto"/>
        <w:left w:val="none" w:sz="0" w:space="0" w:color="auto"/>
        <w:bottom w:val="none" w:sz="0" w:space="0" w:color="auto"/>
        <w:right w:val="none" w:sz="0" w:space="0" w:color="auto"/>
      </w:divBdr>
    </w:div>
    <w:div w:id="911235654">
      <w:bodyDiv w:val="1"/>
      <w:marLeft w:val="0"/>
      <w:marRight w:val="0"/>
      <w:marTop w:val="0"/>
      <w:marBottom w:val="0"/>
      <w:divBdr>
        <w:top w:val="none" w:sz="0" w:space="0" w:color="auto"/>
        <w:left w:val="none" w:sz="0" w:space="0" w:color="auto"/>
        <w:bottom w:val="none" w:sz="0" w:space="0" w:color="auto"/>
        <w:right w:val="none" w:sz="0" w:space="0" w:color="auto"/>
      </w:divBdr>
    </w:div>
    <w:div w:id="935751217">
      <w:bodyDiv w:val="1"/>
      <w:marLeft w:val="0"/>
      <w:marRight w:val="0"/>
      <w:marTop w:val="0"/>
      <w:marBottom w:val="0"/>
      <w:divBdr>
        <w:top w:val="none" w:sz="0" w:space="0" w:color="auto"/>
        <w:left w:val="none" w:sz="0" w:space="0" w:color="auto"/>
        <w:bottom w:val="none" w:sz="0" w:space="0" w:color="auto"/>
        <w:right w:val="none" w:sz="0" w:space="0" w:color="auto"/>
      </w:divBdr>
    </w:div>
    <w:div w:id="991371569">
      <w:bodyDiv w:val="1"/>
      <w:marLeft w:val="0"/>
      <w:marRight w:val="0"/>
      <w:marTop w:val="0"/>
      <w:marBottom w:val="0"/>
      <w:divBdr>
        <w:top w:val="none" w:sz="0" w:space="0" w:color="auto"/>
        <w:left w:val="none" w:sz="0" w:space="0" w:color="auto"/>
        <w:bottom w:val="none" w:sz="0" w:space="0" w:color="auto"/>
        <w:right w:val="none" w:sz="0" w:space="0" w:color="auto"/>
      </w:divBdr>
    </w:div>
    <w:div w:id="1011837504">
      <w:bodyDiv w:val="1"/>
      <w:marLeft w:val="0"/>
      <w:marRight w:val="0"/>
      <w:marTop w:val="0"/>
      <w:marBottom w:val="0"/>
      <w:divBdr>
        <w:top w:val="none" w:sz="0" w:space="0" w:color="auto"/>
        <w:left w:val="none" w:sz="0" w:space="0" w:color="auto"/>
        <w:bottom w:val="none" w:sz="0" w:space="0" w:color="auto"/>
        <w:right w:val="none" w:sz="0" w:space="0" w:color="auto"/>
      </w:divBdr>
    </w:div>
    <w:div w:id="1021510413">
      <w:bodyDiv w:val="1"/>
      <w:marLeft w:val="0"/>
      <w:marRight w:val="0"/>
      <w:marTop w:val="0"/>
      <w:marBottom w:val="0"/>
      <w:divBdr>
        <w:top w:val="none" w:sz="0" w:space="0" w:color="auto"/>
        <w:left w:val="none" w:sz="0" w:space="0" w:color="auto"/>
        <w:bottom w:val="none" w:sz="0" w:space="0" w:color="auto"/>
        <w:right w:val="none" w:sz="0" w:space="0" w:color="auto"/>
      </w:divBdr>
    </w:div>
    <w:div w:id="1054548618">
      <w:bodyDiv w:val="1"/>
      <w:marLeft w:val="0"/>
      <w:marRight w:val="0"/>
      <w:marTop w:val="0"/>
      <w:marBottom w:val="0"/>
      <w:divBdr>
        <w:top w:val="none" w:sz="0" w:space="0" w:color="auto"/>
        <w:left w:val="none" w:sz="0" w:space="0" w:color="auto"/>
        <w:bottom w:val="none" w:sz="0" w:space="0" w:color="auto"/>
        <w:right w:val="none" w:sz="0" w:space="0" w:color="auto"/>
      </w:divBdr>
    </w:div>
    <w:div w:id="1088388792">
      <w:bodyDiv w:val="1"/>
      <w:marLeft w:val="0"/>
      <w:marRight w:val="0"/>
      <w:marTop w:val="0"/>
      <w:marBottom w:val="0"/>
      <w:divBdr>
        <w:top w:val="none" w:sz="0" w:space="0" w:color="auto"/>
        <w:left w:val="none" w:sz="0" w:space="0" w:color="auto"/>
        <w:bottom w:val="none" w:sz="0" w:space="0" w:color="auto"/>
        <w:right w:val="none" w:sz="0" w:space="0" w:color="auto"/>
      </w:divBdr>
    </w:div>
    <w:div w:id="1098141702">
      <w:bodyDiv w:val="1"/>
      <w:marLeft w:val="0"/>
      <w:marRight w:val="0"/>
      <w:marTop w:val="0"/>
      <w:marBottom w:val="0"/>
      <w:divBdr>
        <w:top w:val="none" w:sz="0" w:space="0" w:color="auto"/>
        <w:left w:val="none" w:sz="0" w:space="0" w:color="auto"/>
        <w:bottom w:val="none" w:sz="0" w:space="0" w:color="auto"/>
        <w:right w:val="none" w:sz="0" w:space="0" w:color="auto"/>
      </w:divBdr>
    </w:div>
    <w:div w:id="1109004285">
      <w:bodyDiv w:val="1"/>
      <w:marLeft w:val="0"/>
      <w:marRight w:val="0"/>
      <w:marTop w:val="0"/>
      <w:marBottom w:val="0"/>
      <w:divBdr>
        <w:top w:val="none" w:sz="0" w:space="0" w:color="auto"/>
        <w:left w:val="none" w:sz="0" w:space="0" w:color="auto"/>
        <w:bottom w:val="none" w:sz="0" w:space="0" w:color="auto"/>
        <w:right w:val="none" w:sz="0" w:space="0" w:color="auto"/>
      </w:divBdr>
    </w:div>
    <w:div w:id="1155877418">
      <w:bodyDiv w:val="1"/>
      <w:marLeft w:val="0"/>
      <w:marRight w:val="0"/>
      <w:marTop w:val="0"/>
      <w:marBottom w:val="0"/>
      <w:divBdr>
        <w:top w:val="none" w:sz="0" w:space="0" w:color="auto"/>
        <w:left w:val="none" w:sz="0" w:space="0" w:color="auto"/>
        <w:bottom w:val="none" w:sz="0" w:space="0" w:color="auto"/>
        <w:right w:val="none" w:sz="0" w:space="0" w:color="auto"/>
      </w:divBdr>
    </w:div>
    <w:div w:id="1185090463">
      <w:bodyDiv w:val="1"/>
      <w:marLeft w:val="0"/>
      <w:marRight w:val="0"/>
      <w:marTop w:val="0"/>
      <w:marBottom w:val="0"/>
      <w:divBdr>
        <w:top w:val="none" w:sz="0" w:space="0" w:color="auto"/>
        <w:left w:val="none" w:sz="0" w:space="0" w:color="auto"/>
        <w:bottom w:val="none" w:sz="0" w:space="0" w:color="auto"/>
        <w:right w:val="none" w:sz="0" w:space="0" w:color="auto"/>
      </w:divBdr>
    </w:div>
    <w:div w:id="1202748300">
      <w:bodyDiv w:val="1"/>
      <w:marLeft w:val="0"/>
      <w:marRight w:val="0"/>
      <w:marTop w:val="0"/>
      <w:marBottom w:val="0"/>
      <w:divBdr>
        <w:top w:val="none" w:sz="0" w:space="0" w:color="auto"/>
        <w:left w:val="none" w:sz="0" w:space="0" w:color="auto"/>
        <w:bottom w:val="none" w:sz="0" w:space="0" w:color="auto"/>
        <w:right w:val="none" w:sz="0" w:space="0" w:color="auto"/>
      </w:divBdr>
    </w:div>
    <w:div w:id="1219589400">
      <w:bodyDiv w:val="1"/>
      <w:marLeft w:val="0"/>
      <w:marRight w:val="0"/>
      <w:marTop w:val="0"/>
      <w:marBottom w:val="0"/>
      <w:divBdr>
        <w:top w:val="none" w:sz="0" w:space="0" w:color="auto"/>
        <w:left w:val="none" w:sz="0" w:space="0" w:color="auto"/>
        <w:bottom w:val="none" w:sz="0" w:space="0" w:color="auto"/>
        <w:right w:val="none" w:sz="0" w:space="0" w:color="auto"/>
      </w:divBdr>
    </w:div>
    <w:div w:id="1307514212">
      <w:bodyDiv w:val="1"/>
      <w:marLeft w:val="0"/>
      <w:marRight w:val="0"/>
      <w:marTop w:val="0"/>
      <w:marBottom w:val="0"/>
      <w:divBdr>
        <w:top w:val="none" w:sz="0" w:space="0" w:color="auto"/>
        <w:left w:val="none" w:sz="0" w:space="0" w:color="auto"/>
        <w:bottom w:val="none" w:sz="0" w:space="0" w:color="auto"/>
        <w:right w:val="none" w:sz="0" w:space="0" w:color="auto"/>
      </w:divBdr>
    </w:div>
    <w:div w:id="1335114145">
      <w:bodyDiv w:val="1"/>
      <w:marLeft w:val="0"/>
      <w:marRight w:val="0"/>
      <w:marTop w:val="0"/>
      <w:marBottom w:val="0"/>
      <w:divBdr>
        <w:top w:val="none" w:sz="0" w:space="0" w:color="auto"/>
        <w:left w:val="none" w:sz="0" w:space="0" w:color="auto"/>
        <w:bottom w:val="none" w:sz="0" w:space="0" w:color="auto"/>
        <w:right w:val="none" w:sz="0" w:space="0" w:color="auto"/>
      </w:divBdr>
    </w:div>
    <w:div w:id="1341851723">
      <w:bodyDiv w:val="1"/>
      <w:marLeft w:val="0"/>
      <w:marRight w:val="0"/>
      <w:marTop w:val="0"/>
      <w:marBottom w:val="0"/>
      <w:divBdr>
        <w:top w:val="none" w:sz="0" w:space="0" w:color="auto"/>
        <w:left w:val="none" w:sz="0" w:space="0" w:color="auto"/>
        <w:bottom w:val="none" w:sz="0" w:space="0" w:color="auto"/>
        <w:right w:val="none" w:sz="0" w:space="0" w:color="auto"/>
      </w:divBdr>
    </w:div>
    <w:div w:id="1350714561">
      <w:bodyDiv w:val="1"/>
      <w:marLeft w:val="0"/>
      <w:marRight w:val="0"/>
      <w:marTop w:val="0"/>
      <w:marBottom w:val="0"/>
      <w:divBdr>
        <w:top w:val="none" w:sz="0" w:space="0" w:color="auto"/>
        <w:left w:val="none" w:sz="0" w:space="0" w:color="auto"/>
        <w:bottom w:val="none" w:sz="0" w:space="0" w:color="auto"/>
        <w:right w:val="none" w:sz="0" w:space="0" w:color="auto"/>
      </w:divBdr>
    </w:div>
    <w:div w:id="1355108190">
      <w:bodyDiv w:val="1"/>
      <w:marLeft w:val="0"/>
      <w:marRight w:val="0"/>
      <w:marTop w:val="0"/>
      <w:marBottom w:val="0"/>
      <w:divBdr>
        <w:top w:val="none" w:sz="0" w:space="0" w:color="auto"/>
        <w:left w:val="none" w:sz="0" w:space="0" w:color="auto"/>
        <w:bottom w:val="none" w:sz="0" w:space="0" w:color="auto"/>
        <w:right w:val="none" w:sz="0" w:space="0" w:color="auto"/>
      </w:divBdr>
    </w:div>
    <w:div w:id="1355764158">
      <w:bodyDiv w:val="1"/>
      <w:marLeft w:val="0"/>
      <w:marRight w:val="0"/>
      <w:marTop w:val="0"/>
      <w:marBottom w:val="0"/>
      <w:divBdr>
        <w:top w:val="none" w:sz="0" w:space="0" w:color="auto"/>
        <w:left w:val="none" w:sz="0" w:space="0" w:color="auto"/>
        <w:bottom w:val="none" w:sz="0" w:space="0" w:color="auto"/>
        <w:right w:val="none" w:sz="0" w:space="0" w:color="auto"/>
      </w:divBdr>
    </w:div>
    <w:div w:id="1361319676">
      <w:bodyDiv w:val="1"/>
      <w:marLeft w:val="0"/>
      <w:marRight w:val="0"/>
      <w:marTop w:val="0"/>
      <w:marBottom w:val="0"/>
      <w:divBdr>
        <w:top w:val="none" w:sz="0" w:space="0" w:color="auto"/>
        <w:left w:val="none" w:sz="0" w:space="0" w:color="auto"/>
        <w:bottom w:val="none" w:sz="0" w:space="0" w:color="auto"/>
        <w:right w:val="none" w:sz="0" w:space="0" w:color="auto"/>
      </w:divBdr>
    </w:div>
    <w:div w:id="1368942799">
      <w:bodyDiv w:val="1"/>
      <w:marLeft w:val="0"/>
      <w:marRight w:val="0"/>
      <w:marTop w:val="0"/>
      <w:marBottom w:val="0"/>
      <w:divBdr>
        <w:top w:val="none" w:sz="0" w:space="0" w:color="auto"/>
        <w:left w:val="none" w:sz="0" w:space="0" w:color="auto"/>
        <w:bottom w:val="none" w:sz="0" w:space="0" w:color="auto"/>
        <w:right w:val="none" w:sz="0" w:space="0" w:color="auto"/>
      </w:divBdr>
    </w:div>
    <w:div w:id="1375885980">
      <w:bodyDiv w:val="1"/>
      <w:marLeft w:val="0"/>
      <w:marRight w:val="0"/>
      <w:marTop w:val="0"/>
      <w:marBottom w:val="0"/>
      <w:divBdr>
        <w:top w:val="none" w:sz="0" w:space="0" w:color="auto"/>
        <w:left w:val="none" w:sz="0" w:space="0" w:color="auto"/>
        <w:bottom w:val="none" w:sz="0" w:space="0" w:color="auto"/>
        <w:right w:val="none" w:sz="0" w:space="0" w:color="auto"/>
      </w:divBdr>
    </w:div>
    <w:div w:id="1385326773">
      <w:bodyDiv w:val="1"/>
      <w:marLeft w:val="0"/>
      <w:marRight w:val="0"/>
      <w:marTop w:val="0"/>
      <w:marBottom w:val="0"/>
      <w:divBdr>
        <w:top w:val="none" w:sz="0" w:space="0" w:color="auto"/>
        <w:left w:val="none" w:sz="0" w:space="0" w:color="auto"/>
        <w:bottom w:val="none" w:sz="0" w:space="0" w:color="auto"/>
        <w:right w:val="none" w:sz="0" w:space="0" w:color="auto"/>
      </w:divBdr>
      <w:divsChild>
        <w:div w:id="1362583594">
          <w:marLeft w:val="0"/>
          <w:marRight w:val="0"/>
          <w:marTop w:val="0"/>
          <w:marBottom w:val="0"/>
          <w:divBdr>
            <w:top w:val="none" w:sz="0" w:space="0" w:color="auto"/>
            <w:left w:val="none" w:sz="0" w:space="0" w:color="auto"/>
            <w:bottom w:val="none" w:sz="0" w:space="0" w:color="auto"/>
            <w:right w:val="none" w:sz="0" w:space="0" w:color="auto"/>
          </w:divBdr>
          <w:divsChild>
            <w:div w:id="370544289">
              <w:marLeft w:val="0"/>
              <w:marRight w:val="0"/>
              <w:marTop w:val="0"/>
              <w:marBottom w:val="0"/>
              <w:divBdr>
                <w:top w:val="none" w:sz="0" w:space="0" w:color="auto"/>
                <w:left w:val="none" w:sz="0" w:space="0" w:color="auto"/>
                <w:bottom w:val="none" w:sz="0" w:space="0" w:color="auto"/>
                <w:right w:val="none" w:sz="0" w:space="0" w:color="auto"/>
              </w:divBdr>
              <w:divsChild>
                <w:div w:id="814955134">
                  <w:marLeft w:val="0"/>
                  <w:marRight w:val="0"/>
                  <w:marTop w:val="0"/>
                  <w:marBottom w:val="0"/>
                  <w:divBdr>
                    <w:top w:val="none" w:sz="0" w:space="0" w:color="auto"/>
                    <w:left w:val="none" w:sz="0" w:space="0" w:color="auto"/>
                    <w:bottom w:val="none" w:sz="0" w:space="0" w:color="auto"/>
                    <w:right w:val="none" w:sz="0" w:space="0" w:color="auto"/>
                  </w:divBdr>
                  <w:divsChild>
                    <w:div w:id="1269698719">
                      <w:marLeft w:val="0"/>
                      <w:marRight w:val="0"/>
                      <w:marTop w:val="0"/>
                      <w:marBottom w:val="0"/>
                      <w:divBdr>
                        <w:top w:val="none" w:sz="0" w:space="0" w:color="auto"/>
                        <w:left w:val="none" w:sz="0" w:space="0" w:color="auto"/>
                        <w:bottom w:val="none" w:sz="0" w:space="0" w:color="auto"/>
                        <w:right w:val="none" w:sz="0" w:space="0" w:color="auto"/>
                      </w:divBdr>
                      <w:divsChild>
                        <w:div w:id="170726303">
                          <w:marLeft w:val="0"/>
                          <w:marRight w:val="0"/>
                          <w:marTop w:val="0"/>
                          <w:marBottom w:val="0"/>
                          <w:divBdr>
                            <w:top w:val="none" w:sz="0" w:space="0" w:color="auto"/>
                            <w:left w:val="none" w:sz="0" w:space="0" w:color="auto"/>
                            <w:bottom w:val="none" w:sz="0" w:space="0" w:color="auto"/>
                            <w:right w:val="none" w:sz="0" w:space="0" w:color="auto"/>
                          </w:divBdr>
                          <w:divsChild>
                            <w:div w:id="447241036">
                              <w:marLeft w:val="0"/>
                              <w:marRight w:val="0"/>
                              <w:marTop w:val="0"/>
                              <w:marBottom w:val="0"/>
                              <w:divBdr>
                                <w:top w:val="none" w:sz="0" w:space="0" w:color="auto"/>
                                <w:left w:val="none" w:sz="0" w:space="0" w:color="auto"/>
                                <w:bottom w:val="none" w:sz="0" w:space="0" w:color="auto"/>
                                <w:right w:val="none" w:sz="0" w:space="0" w:color="auto"/>
                              </w:divBdr>
                              <w:divsChild>
                                <w:div w:id="475030712">
                                  <w:marLeft w:val="0"/>
                                  <w:marRight w:val="0"/>
                                  <w:marTop w:val="0"/>
                                  <w:marBottom w:val="0"/>
                                  <w:divBdr>
                                    <w:top w:val="none" w:sz="0" w:space="0" w:color="auto"/>
                                    <w:left w:val="none" w:sz="0" w:space="0" w:color="auto"/>
                                    <w:bottom w:val="none" w:sz="0" w:space="0" w:color="auto"/>
                                    <w:right w:val="none" w:sz="0" w:space="0" w:color="auto"/>
                                  </w:divBdr>
                                  <w:divsChild>
                                    <w:div w:id="57558929">
                                      <w:marLeft w:val="0"/>
                                      <w:marRight w:val="0"/>
                                      <w:marTop w:val="0"/>
                                      <w:marBottom w:val="0"/>
                                      <w:divBdr>
                                        <w:top w:val="none" w:sz="0" w:space="0" w:color="auto"/>
                                        <w:left w:val="none" w:sz="0" w:space="0" w:color="auto"/>
                                        <w:bottom w:val="none" w:sz="0" w:space="0" w:color="auto"/>
                                        <w:right w:val="none" w:sz="0" w:space="0" w:color="auto"/>
                                      </w:divBdr>
                                      <w:divsChild>
                                        <w:div w:id="370423775">
                                          <w:marLeft w:val="0"/>
                                          <w:marRight w:val="0"/>
                                          <w:marTop w:val="0"/>
                                          <w:marBottom w:val="0"/>
                                          <w:divBdr>
                                            <w:top w:val="none" w:sz="0" w:space="0" w:color="auto"/>
                                            <w:left w:val="none" w:sz="0" w:space="0" w:color="auto"/>
                                            <w:bottom w:val="none" w:sz="0" w:space="0" w:color="auto"/>
                                            <w:right w:val="none" w:sz="0" w:space="0" w:color="auto"/>
                                          </w:divBdr>
                                          <w:divsChild>
                                            <w:div w:id="1036084348">
                                              <w:marLeft w:val="0"/>
                                              <w:marRight w:val="0"/>
                                              <w:marTop w:val="0"/>
                                              <w:marBottom w:val="0"/>
                                              <w:divBdr>
                                                <w:top w:val="none" w:sz="0" w:space="0" w:color="auto"/>
                                                <w:left w:val="none" w:sz="0" w:space="0" w:color="auto"/>
                                                <w:bottom w:val="none" w:sz="0" w:space="0" w:color="auto"/>
                                                <w:right w:val="none" w:sz="0" w:space="0" w:color="auto"/>
                                              </w:divBdr>
                                              <w:divsChild>
                                                <w:div w:id="676806065">
                                                  <w:marLeft w:val="0"/>
                                                  <w:marRight w:val="0"/>
                                                  <w:marTop w:val="0"/>
                                                  <w:marBottom w:val="0"/>
                                                  <w:divBdr>
                                                    <w:top w:val="none" w:sz="0" w:space="0" w:color="auto"/>
                                                    <w:left w:val="none" w:sz="0" w:space="0" w:color="auto"/>
                                                    <w:bottom w:val="none" w:sz="0" w:space="0" w:color="auto"/>
                                                    <w:right w:val="none" w:sz="0" w:space="0" w:color="auto"/>
                                                  </w:divBdr>
                                                  <w:divsChild>
                                                    <w:div w:id="147332756">
                                                      <w:marLeft w:val="0"/>
                                                      <w:marRight w:val="0"/>
                                                      <w:marTop w:val="0"/>
                                                      <w:marBottom w:val="0"/>
                                                      <w:divBdr>
                                                        <w:top w:val="none" w:sz="0" w:space="0" w:color="auto"/>
                                                        <w:left w:val="none" w:sz="0" w:space="0" w:color="auto"/>
                                                        <w:bottom w:val="none" w:sz="0" w:space="0" w:color="auto"/>
                                                        <w:right w:val="none" w:sz="0" w:space="0" w:color="auto"/>
                                                      </w:divBdr>
                                                      <w:divsChild>
                                                        <w:div w:id="812216295">
                                                          <w:marLeft w:val="0"/>
                                                          <w:marRight w:val="0"/>
                                                          <w:marTop w:val="0"/>
                                                          <w:marBottom w:val="0"/>
                                                          <w:divBdr>
                                                            <w:top w:val="none" w:sz="0" w:space="0" w:color="auto"/>
                                                            <w:left w:val="none" w:sz="0" w:space="0" w:color="auto"/>
                                                            <w:bottom w:val="none" w:sz="0" w:space="0" w:color="auto"/>
                                                            <w:right w:val="none" w:sz="0" w:space="0" w:color="auto"/>
                                                          </w:divBdr>
                                                          <w:divsChild>
                                                            <w:div w:id="2004972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22025109">
      <w:bodyDiv w:val="1"/>
      <w:marLeft w:val="0"/>
      <w:marRight w:val="0"/>
      <w:marTop w:val="0"/>
      <w:marBottom w:val="0"/>
      <w:divBdr>
        <w:top w:val="none" w:sz="0" w:space="0" w:color="auto"/>
        <w:left w:val="none" w:sz="0" w:space="0" w:color="auto"/>
        <w:bottom w:val="none" w:sz="0" w:space="0" w:color="auto"/>
        <w:right w:val="none" w:sz="0" w:space="0" w:color="auto"/>
      </w:divBdr>
    </w:div>
    <w:div w:id="1435898321">
      <w:bodyDiv w:val="1"/>
      <w:marLeft w:val="0"/>
      <w:marRight w:val="0"/>
      <w:marTop w:val="0"/>
      <w:marBottom w:val="0"/>
      <w:divBdr>
        <w:top w:val="none" w:sz="0" w:space="0" w:color="auto"/>
        <w:left w:val="none" w:sz="0" w:space="0" w:color="auto"/>
        <w:bottom w:val="none" w:sz="0" w:space="0" w:color="auto"/>
        <w:right w:val="none" w:sz="0" w:space="0" w:color="auto"/>
      </w:divBdr>
    </w:div>
    <w:div w:id="1535340485">
      <w:bodyDiv w:val="1"/>
      <w:marLeft w:val="0"/>
      <w:marRight w:val="0"/>
      <w:marTop w:val="0"/>
      <w:marBottom w:val="0"/>
      <w:divBdr>
        <w:top w:val="none" w:sz="0" w:space="0" w:color="auto"/>
        <w:left w:val="none" w:sz="0" w:space="0" w:color="auto"/>
        <w:bottom w:val="none" w:sz="0" w:space="0" w:color="auto"/>
        <w:right w:val="none" w:sz="0" w:space="0" w:color="auto"/>
      </w:divBdr>
    </w:div>
    <w:div w:id="1549101842">
      <w:bodyDiv w:val="1"/>
      <w:marLeft w:val="0"/>
      <w:marRight w:val="0"/>
      <w:marTop w:val="0"/>
      <w:marBottom w:val="0"/>
      <w:divBdr>
        <w:top w:val="none" w:sz="0" w:space="0" w:color="auto"/>
        <w:left w:val="none" w:sz="0" w:space="0" w:color="auto"/>
        <w:bottom w:val="none" w:sz="0" w:space="0" w:color="auto"/>
        <w:right w:val="none" w:sz="0" w:space="0" w:color="auto"/>
      </w:divBdr>
    </w:div>
    <w:div w:id="1566835564">
      <w:bodyDiv w:val="1"/>
      <w:marLeft w:val="0"/>
      <w:marRight w:val="0"/>
      <w:marTop w:val="0"/>
      <w:marBottom w:val="0"/>
      <w:divBdr>
        <w:top w:val="none" w:sz="0" w:space="0" w:color="auto"/>
        <w:left w:val="none" w:sz="0" w:space="0" w:color="auto"/>
        <w:bottom w:val="none" w:sz="0" w:space="0" w:color="auto"/>
        <w:right w:val="none" w:sz="0" w:space="0" w:color="auto"/>
      </w:divBdr>
    </w:div>
    <w:div w:id="1569456602">
      <w:bodyDiv w:val="1"/>
      <w:marLeft w:val="0"/>
      <w:marRight w:val="0"/>
      <w:marTop w:val="0"/>
      <w:marBottom w:val="0"/>
      <w:divBdr>
        <w:top w:val="none" w:sz="0" w:space="0" w:color="auto"/>
        <w:left w:val="none" w:sz="0" w:space="0" w:color="auto"/>
        <w:bottom w:val="none" w:sz="0" w:space="0" w:color="auto"/>
        <w:right w:val="none" w:sz="0" w:space="0" w:color="auto"/>
      </w:divBdr>
    </w:div>
    <w:div w:id="1573079454">
      <w:bodyDiv w:val="1"/>
      <w:marLeft w:val="0"/>
      <w:marRight w:val="0"/>
      <w:marTop w:val="0"/>
      <w:marBottom w:val="0"/>
      <w:divBdr>
        <w:top w:val="none" w:sz="0" w:space="0" w:color="auto"/>
        <w:left w:val="none" w:sz="0" w:space="0" w:color="auto"/>
        <w:bottom w:val="none" w:sz="0" w:space="0" w:color="auto"/>
        <w:right w:val="none" w:sz="0" w:space="0" w:color="auto"/>
      </w:divBdr>
    </w:div>
    <w:div w:id="1582448543">
      <w:bodyDiv w:val="1"/>
      <w:marLeft w:val="0"/>
      <w:marRight w:val="0"/>
      <w:marTop w:val="0"/>
      <w:marBottom w:val="0"/>
      <w:divBdr>
        <w:top w:val="none" w:sz="0" w:space="0" w:color="auto"/>
        <w:left w:val="none" w:sz="0" w:space="0" w:color="auto"/>
        <w:bottom w:val="none" w:sz="0" w:space="0" w:color="auto"/>
        <w:right w:val="none" w:sz="0" w:space="0" w:color="auto"/>
      </w:divBdr>
    </w:div>
    <w:div w:id="1582717593">
      <w:bodyDiv w:val="1"/>
      <w:marLeft w:val="0"/>
      <w:marRight w:val="0"/>
      <w:marTop w:val="0"/>
      <w:marBottom w:val="0"/>
      <w:divBdr>
        <w:top w:val="none" w:sz="0" w:space="0" w:color="auto"/>
        <w:left w:val="none" w:sz="0" w:space="0" w:color="auto"/>
        <w:bottom w:val="none" w:sz="0" w:space="0" w:color="auto"/>
        <w:right w:val="none" w:sz="0" w:space="0" w:color="auto"/>
      </w:divBdr>
    </w:div>
    <w:div w:id="1611007482">
      <w:bodyDiv w:val="1"/>
      <w:marLeft w:val="0"/>
      <w:marRight w:val="0"/>
      <w:marTop w:val="0"/>
      <w:marBottom w:val="0"/>
      <w:divBdr>
        <w:top w:val="none" w:sz="0" w:space="0" w:color="auto"/>
        <w:left w:val="none" w:sz="0" w:space="0" w:color="auto"/>
        <w:bottom w:val="none" w:sz="0" w:space="0" w:color="auto"/>
        <w:right w:val="none" w:sz="0" w:space="0" w:color="auto"/>
      </w:divBdr>
    </w:div>
    <w:div w:id="1626884259">
      <w:bodyDiv w:val="1"/>
      <w:marLeft w:val="0"/>
      <w:marRight w:val="0"/>
      <w:marTop w:val="0"/>
      <w:marBottom w:val="0"/>
      <w:divBdr>
        <w:top w:val="none" w:sz="0" w:space="0" w:color="auto"/>
        <w:left w:val="none" w:sz="0" w:space="0" w:color="auto"/>
        <w:bottom w:val="none" w:sz="0" w:space="0" w:color="auto"/>
        <w:right w:val="none" w:sz="0" w:space="0" w:color="auto"/>
      </w:divBdr>
    </w:div>
    <w:div w:id="1644501209">
      <w:bodyDiv w:val="1"/>
      <w:marLeft w:val="0"/>
      <w:marRight w:val="0"/>
      <w:marTop w:val="0"/>
      <w:marBottom w:val="0"/>
      <w:divBdr>
        <w:top w:val="none" w:sz="0" w:space="0" w:color="auto"/>
        <w:left w:val="none" w:sz="0" w:space="0" w:color="auto"/>
        <w:bottom w:val="none" w:sz="0" w:space="0" w:color="auto"/>
        <w:right w:val="none" w:sz="0" w:space="0" w:color="auto"/>
      </w:divBdr>
    </w:div>
    <w:div w:id="1668746787">
      <w:bodyDiv w:val="1"/>
      <w:marLeft w:val="0"/>
      <w:marRight w:val="0"/>
      <w:marTop w:val="0"/>
      <w:marBottom w:val="0"/>
      <w:divBdr>
        <w:top w:val="none" w:sz="0" w:space="0" w:color="auto"/>
        <w:left w:val="none" w:sz="0" w:space="0" w:color="auto"/>
        <w:bottom w:val="none" w:sz="0" w:space="0" w:color="auto"/>
        <w:right w:val="none" w:sz="0" w:space="0" w:color="auto"/>
      </w:divBdr>
    </w:div>
    <w:div w:id="1706320972">
      <w:bodyDiv w:val="1"/>
      <w:marLeft w:val="0"/>
      <w:marRight w:val="0"/>
      <w:marTop w:val="0"/>
      <w:marBottom w:val="0"/>
      <w:divBdr>
        <w:top w:val="none" w:sz="0" w:space="0" w:color="auto"/>
        <w:left w:val="none" w:sz="0" w:space="0" w:color="auto"/>
        <w:bottom w:val="none" w:sz="0" w:space="0" w:color="auto"/>
        <w:right w:val="none" w:sz="0" w:space="0" w:color="auto"/>
      </w:divBdr>
    </w:div>
    <w:div w:id="1707174992">
      <w:bodyDiv w:val="1"/>
      <w:marLeft w:val="0"/>
      <w:marRight w:val="0"/>
      <w:marTop w:val="0"/>
      <w:marBottom w:val="0"/>
      <w:divBdr>
        <w:top w:val="none" w:sz="0" w:space="0" w:color="auto"/>
        <w:left w:val="none" w:sz="0" w:space="0" w:color="auto"/>
        <w:bottom w:val="none" w:sz="0" w:space="0" w:color="auto"/>
        <w:right w:val="none" w:sz="0" w:space="0" w:color="auto"/>
      </w:divBdr>
    </w:div>
    <w:div w:id="1712222577">
      <w:bodyDiv w:val="1"/>
      <w:marLeft w:val="0"/>
      <w:marRight w:val="0"/>
      <w:marTop w:val="0"/>
      <w:marBottom w:val="0"/>
      <w:divBdr>
        <w:top w:val="none" w:sz="0" w:space="0" w:color="auto"/>
        <w:left w:val="none" w:sz="0" w:space="0" w:color="auto"/>
        <w:bottom w:val="none" w:sz="0" w:space="0" w:color="auto"/>
        <w:right w:val="none" w:sz="0" w:space="0" w:color="auto"/>
      </w:divBdr>
    </w:div>
    <w:div w:id="1712456978">
      <w:bodyDiv w:val="1"/>
      <w:marLeft w:val="0"/>
      <w:marRight w:val="0"/>
      <w:marTop w:val="0"/>
      <w:marBottom w:val="0"/>
      <w:divBdr>
        <w:top w:val="none" w:sz="0" w:space="0" w:color="auto"/>
        <w:left w:val="none" w:sz="0" w:space="0" w:color="auto"/>
        <w:bottom w:val="none" w:sz="0" w:space="0" w:color="auto"/>
        <w:right w:val="none" w:sz="0" w:space="0" w:color="auto"/>
      </w:divBdr>
    </w:div>
    <w:div w:id="1720587678">
      <w:bodyDiv w:val="1"/>
      <w:marLeft w:val="0"/>
      <w:marRight w:val="0"/>
      <w:marTop w:val="0"/>
      <w:marBottom w:val="0"/>
      <w:divBdr>
        <w:top w:val="none" w:sz="0" w:space="0" w:color="auto"/>
        <w:left w:val="none" w:sz="0" w:space="0" w:color="auto"/>
        <w:bottom w:val="none" w:sz="0" w:space="0" w:color="auto"/>
        <w:right w:val="none" w:sz="0" w:space="0" w:color="auto"/>
      </w:divBdr>
    </w:div>
    <w:div w:id="1730571859">
      <w:bodyDiv w:val="1"/>
      <w:marLeft w:val="0"/>
      <w:marRight w:val="0"/>
      <w:marTop w:val="0"/>
      <w:marBottom w:val="0"/>
      <w:divBdr>
        <w:top w:val="none" w:sz="0" w:space="0" w:color="auto"/>
        <w:left w:val="none" w:sz="0" w:space="0" w:color="auto"/>
        <w:bottom w:val="none" w:sz="0" w:space="0" w:color="auto"/>
        <w:right w:val="none" w:sz="0" w:space="0" w:color="auto"/>
      </w:divBdr>
    </w:div>
    <w:div w:id="1731881088">
      <w:bodyDiv w:val="1"/>
      <w:marLeft w:val="0"/>
      <w:marRight w:val="0"/>
      <w:marTop w:val="0"/>
      <w:marBottom w:val="0"/>
      <w:divBdr>
        <w:top w:val="none" w:sz="0" w:space="0" w:color="auto"/>
        <w:left w:val="none" w:sz="0" w:space="0" w:color="auto"/>
        <w:bottom w:val="none" w:sz="0" w:space="0" w:color="auto"/>
        <w:right w:val="none" w:sz="0" w:space="0" w:color="auto"/>
      </w:divBdr>
    </w:div>
    <w:div w:id="1763142546">
      <w:bodyDiv w:val="1"/>
      <w:marLeft w:val="0"/>
      <w:marRight w:val="0"/>
      <w:marTop w:val="0"/>
      <w:marBottom w:val="0"/>
      <w:divBdr>
        <w:top w:val="none" w:sz="0" w:space="0" w:color="auto"/>
        <w:left w:val="none" w:sz="0" w:space="0" w:color="auto"/>
        <w:bottom w:val="none" w:sz="0" w:space="0" w:color="auto"/>
        <w:right w:val="none" w:sz="0" w:space="0" w:color="auto"/>
      </w:divBdr>
    </w:div>
    <w:div w:id="1765568104">
      <w:bodyDiv w:val="1"/>
      <w:marLeft w:val="0"/>
      <w:marRight w:val="0"/>
      <w:marTop w:val="0"/>
      <w:marBottom w:val="0"/>
      <w:divBdr>
        <w:top w:val="none" w:sz="0" w:space="0" w:color="auto"/>
        <w:left w:val="none" w:sz="0" w:space="0" w:color="auto"/>
        <w:bottom w:val="none" w:sz="0" w:space="0" w:color="auto"/>
        <w:right w:val="none" w:sz="0" w:space="0" w:color="auto"/>
      </w:divBdr>
    </w:div>
    <w:div w:id="1791320741">
      <w:bodyDiv w:val="1"/>
      <w:marLeft w:val="0"/>
      <w:marRight w:val="0"/>
      <w:marTop w:val="0"/>
      <w:marBottom w:val="0"/>
      <w:divBdr>
        <w:top w:val="none" w:sz="0" w:space="0" w:color="auto"/>
        <w:left w:val="none" w:sz="0" w:space="0" w:color="auto"/>
        <w:bottom w:val="none" w:sz="0" w:space="0" w:color="auto"/>
        <w:right w:val="none" w:sz="0" w:space="0" w:color="auto"/>
      </w:divBdr>
    </w:div>
    <w:div w:id="1798840017">
      <w:bodyDiv w:val="1"/>
      <w:marLeft w:val="0"/>
      <w:marRight w:val="0"/>
      <w:marTop w:val="0"/>
      <w:marBottom w:val="0"/>
      <w:divBdr>
        <w:top w:val="none" w:sz="0" w:space="0" w:color="auto"/>
        <w:left w:val="none" w:sz="0" w:space="0" w:color="auto"/>
        <w:bottom w:val="none" w:sz="0" w:space="0" w:color="auto"/>
        <w:right w:val="none" w:sz="0" w:space="0" w:color="auto"/>
      </w:divBdr>
    </w:div>
    <w:div w:id="1833401255">
      <w:bodyDiv w:val="1"/>
      <w:marLeft w:val="0"/>
      <w:marRight w:val="0"/>
      <w:marTop w:val="0"/>
      <w:marBottom w:val="0"/>
      <w:divBdr>
        <w:top w:val="none" w:sz="0" w:space="0" w:color="auto"/>
        <w:left w:val="none" w:sz="0" w:space="0" w:color="auto"/>
        <w:bottom w:val="none" w:sz="0" w:space="0" w:color="auto"/>
        <w:right w:val="none" w:sz="0" w:space="0" w:color="auto"/>
      </w:divBdr>
    </w:div>
    <w:div w:id="1834762027">
      <w:bodyDiv w:val="1"/>
      <w:marLeft w:val="0"/>
      <w:marRight w:val="0"/>
      <w:marTop w:val="0"/>
      <w:marBottom w:val="0"/>
      <w:divBdr>
        <w:top w:val="none" w:sz="0" w:space="0" w:color="auto"/>
        <w:left w:val="none" w:sz="0" w:space="0" w:color="auto"/>
        <w:bottom w:val="none" w:sz="0" w:space="0" w:color="auto"/>
        <w:right w:val="none" w:sz="0" w:space="0" w:color="auto"/>
      </w:divBdr>
    </w:div>
    <w:div w:id="1848250793">
      <w:bodyDiv w:val="1"/>
      <w:marLeft w:val="0"/>
      <w:marRight w:val="0"/>
      <w:marTop w:val="0"/>
      <w:marBottom w:val="0"/>
      <w:divBdr>
        <w:top w:val="none" w:sz="0" w:space="0" w:color="auto"/>
        <w:left w:val="none" w:sz="0" w:space="0" w:color="auto"/>
        <w:bottom w:val="none" w:sz="0" w:space="0" w:color="auto"/>
        <w:right w:val="none" w:sz="0" w:space="0" w:color="auto"/>
      </w:divBdr>
    </w:div>
    <w:div w:id="1864395868">
      <w:bodyDiv w:val="1"/>
      <w:marLeft w:val="0"/>
      <w:marRight w:val="0"/>
      <w:marTop w:val="0"/>
      <w:marBottom w:val="0"/>
      <w:divBdr>
        <w:top w:val="none" w:sz="0" w:space="0" w:color="auto"/>
        <w:left w:val="none" w:sz="0" w:space="0" w:color="auto"/>
        <w:bottom w:val="none" w:sz="0" w:space="0" w:color="auto"/>
        <w:right w:val="none" w:sz="0" w:space="0" w:color="auto"/>
      </w:divBdr>
    </w:div>
    <w:div w:id="1885368869">
      <w:bodyDiv w:val="1"/>
      <w:marLeft w:val="0"/>
      <w:marRight w:val="0"/>
      <w:marTop w:val="0"/>
      <w:marBottom w:val="0"/>
      <w:divBdr>
        <w:top w:val="none" w:sz="0" w:space="0" w:color="auto"/>
        <w:left w:val="none" w:sz="0" w:space="0" w:color="auto"/>
        <w:bottom w:val="none" w:sz="0" w:space="0" w:color="auto"/>
        <w:right w:val="none" w:sz="0" w:space="0" w:color="auto"/>
      </w:divBdr>
    </w:div>
    <w:div w:id="1895506891">
      <w:bodyDiv w:val="1"/>
      <w:marLeft w:val="0"/>
      <w:marRight w:val="0"/>
      <w:marTop w:val="0"/>
      <w:marBottom w:val="0"/>
      <w:divBdr>
        <w:top w:val="none" w:sz="0" w:space="0" w:color="auto"/>
        <w:left w:val="none" w:sz="0" w:space="0" w:color="auto"/>
        <w:bottom w:val="none" w:sz="0" w:space="0" w:color="auto"/>
        <w:right w:val="none" w:sz="0" w:space="0" w:color="auto"/>
      </w:divBdr>
    </w:div>
    <w:div w:id="1904175861">
      <w:bodyDiv w:val="1"/>
      <w:marLeft w:val="0"/>
      <w:marRight w:val="0"/>
      <w:marTop w:val="0"/>
      <w:marBottom w:val="0"/>
      <w:divBdr>
        <w:top w:val="none" w:sz="0" w:space="0" w:color="auto"/>
        <w:left w:val="none" w:sz="0" w:space="0" w:color="auto"/>
        <w:bottom w:val="none" w:sz="0" w:space="0" w:color="auto"/>
        <w:right w:val="none" w:sz="0" w:space="0" w:color="auto"/>
      </w:divBdr>
    </w:div>
    <w:div w:id="1910842638">
      <w:bodyDiv w:val="1"/>
      <w:marLeft w:val="0"/>
      <w:marRight w:val="0"/>
      <w:marTop w:val="0"/>
      <w:marBottom w:val="0"/>
      <w:divBdr>
        <w:top w:val="none" w:sz="0" w:space="0" w:color="auto"/>
        <w:left w:val="none" w:sz="0" w:space="0" w:color="auto"/>
        <w:bottom w:val="none" w:sz="0" w:space="0" w:color="auto"/>
        <w:right w:val="none" w:sz="0" w:space="0" w:color="auto"/>
      </w:divBdr>
    </w:div>
    <w:div w:id="1994720091">
      <w:bodyDiv w:val="1"/>
      <w:marLeft w:val="0"/>
      <w:marRight w:val="0"/>
      <w:marTop w:val="0"/>
      <w:marBottom w:val="0"/>
      <w:divBdr>
        <w:top w:val="none" w:sz="0" w:space="0" w:color="auto"/>
        <w:left w:val="none" w:sz="0" w:space="0" w:color="auto"/>
        <w:bottom w:val="none" w:sz="0" w:space="0" w:color="auto"/>
        <w:right w:val="none" w:sz="0" w:space="0" w:color="auto"/>
      </w:divBdr>
    </w:div>
    <w:div w:id="2018388192">
      <w:bodyDiv w:val="1"/>
      <w:marLeft w:val="0"/>
      <w:marRight w:val="0"/>
      <w:marTop w:val="0"/>
      <w:marBottom w:val="0"/>
      <w:divBdr>
        <w:top w:val="none" w:sz="0" w:space="0" w:color="auto"/>
        <w:left w:val="none" w:sz="0" w:space="0" w:color="auto"/>
        <w:bottom w:val="none" w:sz="0" w:space="0" w:color="auto"/>
        <w:right w:val="none" w:sz="0" w:space="0" w:color="auto"/>
      </w:divBdr>
    </w:div>
    <w:div w:id="2025092732">
      <w:bodyDiv w:val="1"/>
      <w:marLeft w:val="0"/>
      <w:marRight w:val="0"/>
      <w:marTop w:val="0"/>
      <w:marBottom w:val="0"/>
      <w:divBdr>
        <w:top w:val="none" w:sz="0" w:space="0" w:color="auto"/>
        <w:left w:val="none" w:sz="0" w:space="0" w:color="auto"/>
        <w:bottom w:val="none" w:sz="0" w:space="0" w:color="auto"/>
        <w:right w:val="none" w:sz="0" w:space="0" w:color="auto"/>
      </w:divBdr>
    </w:div>
    <w:div w:id="2040233044">
      <w:bodyDiv w:val="1"/>
      <w:marLeft w:val="0"/>
      <w:marRight w:val="0"/>
      <w:marTop w:val="0"/>
      <w:marBottom w:val="0"/>
      <w:divBdr>
        <w:top w:val="none" w:sz="0" w:space="0" w:color="auto"/>
        <w:left w:val="none" w:sz="0" w:space="0" w:color="auto"/>
        <w:bottom w:val="none" w:sz="0" w:space="0" w:color="auto"/>
        <w:right w:val="none" w:sz="0" w:space="0" w:color="auto"/>
      </w:divBdr>
    </w:div>
    <w:div w:id="2097240349">
      <w:bodyDiv w:val="1"/>
      <w:marLeft w:val="0"/>
      <w:marRight w:val="0"/>
      <w:marTop w:val="0"/>
      <w:marBottom w:val="0"/>
      <w:divBdr>
        <w:top w:val="none" w:sz="0" w:space="0" w:color="auto"/>
        <w:left w:val="none" w:sz="0" w:space="0" w:color="auto"/>
        <w:bottom w:val="none" w:sz="0" w:space="0" w:color="auto"/>
        <w:right w:val="none" w:sz="0" w:space="0" w:color="auto"/>
      </w:divBdr>
    </w:div>
    <w:div w:id="2100054841">
      <w:bodyDiv w:val="1"/>
      <w:marLeft w:val="0"/>
      <w:marRight w:val="0"/>
      <w:marTop w:val="0"/>
      <w:marBottom w:val="0"/>
      <w:divBdr>
        <w:top w:val="none" w:sz="0" w:space="0" w:color="auto"/>
        <w:left w:val="none" w:sz="0" w:space="0" w:color="auto"/>
        <w:bottom w:val="none" w:sz="0" w:space="0" w:color="auto"/>
        <w:right w:val="none" w:sz="0" w:space="0" w:color="auto"/>
      </w:divBdr>
    </w:div>
    <w:div w:id="2143839409">
      <w:bodyDiv w:val="1"/>
      <w:marLeft w:val="0"/>
      <w:marRight w:val="0"/>
      <w:marTop w:val="0"/>
      <w:marBottom w:val="0"/>
      <w:divBdr>
        <w:top w:val="none" w:sz="0" w:space="0" w:color="auto"/>
        <w:left w:val="none" w:sz="0" w:space="0" w:color="auto"/>
        <w:bottom w:val="none" w:sz="0" w:space="0" w:color="auto"/>
        <w:right w:val="none" w:sz="0" w:space="0" w:color="auto"/>
      </w:divBdr>
      <w:divsChild>
        <w:div w:id="1044983304">
          <w:marLeft w:val="0"/>
          <w:marRight w:val="0"/>
          <w:marTop w:val="0"/>
          <w:marBottom w:val="0"/>
          <w:divBdr>
            <w:top w:val="none" w:sz="0" w:space="0" w:color="auto"/>
            <w:left w:val="none" w:sz="0" w:space="0" w:color="auto"/>
            <w:bottom w:val="none" w:sz="0" w:space="0" w:color="auto"/>
            <w:right w:val="none" w:sz="0" w:space="0" w:color="auto"/>
          </w:divBdr>
          <w:divsChild>
            <w:div w:id="1985969456">
              <w:marLeft w:val="0"/>
              <w:marRight w:val="0"/>
              <w:marTop w:val="0"/>
              <w:marBottom w:val="0"/>
              <w:divBdr>
                <w:top w:val="none" w:sz="0" w:space="0" w:color="auto"/>
                <w:left w:val="none" w:sz="0" w:space="0" w:color="auto"/>
                <w:bottom w:val="none" w:sz="0" w:space="0" w:color="auto"/>
                <w:right w:val="none" w:sz="0" w:space="0" w:color="auto"/>
              </w:divBdr>
              <w:divsChild>
                <w:div w:id="1961253637">
                  <w:marLeft w:val="0"/>
                  <w:marRight w:val="0"/>
                  <w:marTop w:val="0"/>
                  <w:marBottom w:val="0"/>
                  <w:divBdr>
                    <w:top w:val="none" w:sz="0" w:space="0" w:color="auto"/>
                    <w:left w:val="none" w:sz="0" w:space="0" w:color="auto"/>
                    <w:bottom w:val="none" w:sz="0" w:space="0" w:color="auto"/>
                    <w:right w:val="none" w:sz="0" w:space="0" w:color="auto"/>
                  </w:divBdr>
                  <w:divsChild>
                    <w:div w:id="27256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9.jpg"/><Relationship Id="rId26" Type="http://schemas.openxmlformats.org/officeDocument/2006/relationships/image" Target="media/image17.jpeg"/><Relationship Id="rId39" Type="http://schemas.openxmlformats.org/officeDocument/2006/relationships/image" Target="media/image30.jpg"/><Relationship Id="rId21" Type="http://schemas.openxmlformats.org/officeDocument/2006/relationships/image" Target="media/image12.jp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g"/><Relationship Id="rId29" Type="http://schemas.openxmlformats.org/officeDocument/2006/relationships/image" Target="media/image20.jpeg"/><Relationship Id="rId11" Type="http://schemas.openxmlformats.org/officeDocument/2006/relationships/image" Target="media/image2.jpg"/><Relationship Id="rId24" Type="http://schemas.openxmlformats.org/officeDocument/2006/relationships/image" Target="media/image15.jp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31.jpg"/><Relationship Id="rId45" Type="http://schemas.openxmlformats.org/officeDocument/2006/relationships/image" Target="media/image36.jp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1.jpeg"/><Relationship Id="rId19" Type="http://schemas.openxmlformats.org/officeDocument/2006/relationships/image" Target="media/image10.jpg"/><Relationship Id="rId31" Type="http://schemas.openxmlformats.org/officeDocument/2006/relationships/image" Target="media/image22.png"/><Relationship Id="rId44" Type="http://schemas.openxmlformats.org/officeDocument/2006/relationships/image" Target="media/image35.jp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jpeg"/><Relationship Id="rId22" Type="http://schemas.openxmlformats.org/officeDocument/2006/relationships/image" Target="media/image13.jpg"/><Relationship Id="rId27" Type="http://schemas.openxmlformats.org/officeDocument/2006/relationships/image" Target="media/image18.jp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jpg"/><Relationship Id="rId48" Type="http://schemas.openxmlformats.org/officeDocument/2006/relationships/image" Target="media/image39.jpg"/><Relationship Id="rId8" Type="http://schemas.openxmlformats.org/officeDocument/2006/relationships/footer" Target="footer1.xml"/><Relationship Id="rId51" Type="http://schemas.openxmlformats.org/officeDocument/2006/relationships/footer" Target="footer3.xml"/><Relationship Id="rId3" Type="http://schemas.openxmlformats.org/officeDocument/2006/relationships/styles" Target="styles.xml"/><Relationship Id="rId12" Type="http://schemas.openxmlformats.org/officeDocument/2006/relationships/image" Target="media/image3.jpg"/><Relationship Id="rId17" Type="http://schemas.openxmlformats.org/officeDocument/2006/relationships/image" Target="media/image8.jpeg"/><Relationship Id="rId25" Type="http://schemas.openxmlformats.org/officeDocument/2006/relationships/image" Target="media/image16.jp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20" Type="http://schemas.openxmlformats.org/officeDocument/2006/relationships/image" Target="media/image11.jpg"/><Relationship Id="rId41" Type="http://schemas.openxmlformats.org/officeDocument/2006/relationships/image" Target="media/image32.gi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g"/><Relationship Id="rId49" Type="http://schemas.openxmlformats.org/officeDocument/2006/relationships/image" Target="media/image40.jp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DC60BD-9F1E-4B77-9F8E-6670230BC4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72</Pages>
  <Words>5504</Words>
  <Characters>31374</Characters>
  <Application>Microsoft Office Word</Application>
  <DocSecurity>0</DocSecurity>
  <Lines>261</Lines>
  <Paragraphs>73</Paragraphs>
  <ScaleCrop>false</ScaleCrop>
  <Company>.</Company>
  <LinksUpToDate>false</LinksUpToDate>
  <CharactersWithSpaces>36805</CharactersWithSpaces>
  <SharedDoc>false</SharedDoc>
  <HLinks>
    <vt:vector size="66" baseType="variant">
      <vt:variant>
        <vt:i4>2031664</vt:i4>
      </vt:variant>
      <vt:variant>
        <vt:i4>62</vt:i4>
      </vt:variant>
      <vt:variant>
        <vt:i4>0</vt:i4>
      </vt:variant>
      <vt:variant>
        <vt:i4>5</vt:i4>
      </vt:variant>
      <vt:variant>
        <vt:lpwstr/>
      </vt:variant>
      <vt:variant>
        <vt:lpwstr>_Toc141276785</vt:lpwstr>
      </vt:variant>
      <vt:variant>
        <vt:i4>2031664</vt:i4>
      </vt:variant>
      <vt:variant>
        <vt:i4>56</vt:i4>
      </vt:variant>
      <vt:variant>
        <vt:i4>0</vt:i4>
      </vt:variant>
      <vt:variant>
        <vt:i4>5</vt:i4>
      </vt:variant>
      <vt:variant>
        <vt:lpwstr/>
      </vt:variant>
      <vt:variant>
        <vt:lpwstr>_Toc141276784</vt:lpwstr>
      </vt:variant>
      <vt:variant>
        <vt:i4>2031664</vt:i4>
      </vt:variant>
      <vt:variant>
        <vt:i4>50</vt:i4>
      </vt:variant>
      <vt:variant>
        <vt:i4>0</vt:i4>
      </vt:variant>
      <vt:variant>
        <vt:i4>5</vt:i4>
      </vt:variant>
      <vt:variant>
        <vt:lpwstr/>
      </vt:variant>
      <vt:variant>
        <vt:lpwstr>_Toc141276783</vt:lpwstr>
      </vt:variant>
      <vt:variant>
        <vt:i4>2031664</vt:i4>
      </vt:variant>
      <vt:variant>
        <vt:i4>44</vt:i4>
      </vt:variant>
      <vt:variant>
        <vt:i4>0</vt:i4>
      </vt:variant>
      <vt:variant>
        <vt:i4>5</vt:i4>
      </vt:variant>
      <vt:variant>
        <vt:lpwstr/>
      </vt:variant>
      <vt:variant>
        <vt:lpwstr>_Toc141276782</vt:lpwstr>
      </vt:variant>
      <vt:variant>
        <vt:i4>2031664</vt:i4>
      </vt:variant>
      <vt:variant>
        <vt:i4>38</vt:i4>
      </vt:variant>
      <vt:variant>
        <vt:i4>0</vt:i4>
      </vt:variant>
      <vt:variant>
        <vt:i4>5</vt:i4>
      </vt:variant>
      <vt:variant>
        <vt:lpwstr/>
      </vt:variant>
      <vt:variant>
        <vt:lpwstr>_Toc141276781</vt:lpwstr>
      </vt:variant>
      <vt:variant>
        <vt:i4>2031664</vt:i4>
      </vt:variant>
      <vt:variant>
        <vt:i4>32</vt:i4>
      </vt:variant>
      <vt:variant>
        <vt:i4>0</vt:i4>
      </vt:variant>
      <vt:variant>
        <vt:i4>5</vt:i4>
      </vt:variant>
      <vt:variant>
        <vt:lpwstr/>
      </vt:variant>
      <vt:variant>
        <vt:lpwstr>_Toc141276780</vt:lpwstr>
      </vt:variant>
      <vt:variant>
        <vt:i4>1048624</vt:i4>
      </vt:variant>
      <vt:variant>
        <vt:i4>26</vt:i4>
      </vt:variant>
      <vt:variant>
        <vt:i4>0</vt:i4>
      </vt:variant>
      <vt:variant>
        <vt:i4>5</vt:i4>
      </vt:variant>
      <vt:variant>
        <vt:lpwstr/>
      </vt:variant>
      <vt:variant>
        <vt:lpwstr>_Toc141276779</vt:lpwstr>
      </vt:variant>
      <vt:variant>
        <vt:i4>1048624</vt:i4>
      </vt:variant>
      <vt:variant>
        <vt:i4>20</vt:i4>
      </vt:variant>
      <vt:variant>
        <vt:i4>0</vt:i4>
      </vt:variant>
      <vt:variant>
        <vt:i4>5</vt:i4>
      </vt:variant>
      <vt:variant>
        <vt:lpwstr/>
      </vt:variant>
      <vt:variant>
        <vt:lpwstr>_Toc141276778</vt:lpwstr>
      </vt:variant>
      <vt:variant>
        <vt:i4>1048624</vt:i4>
      </vt:variant>
      <vt:variant>
        <vt:i4>14</vt:i4>
      </vt:variant>
      <vt:variant>
        <vt:i4>0</vt:i4>
      </vt:variant>
      <vt:variant>
        <vt:i4>5</vt:i4>
      </vt:variant>
      <vt:variant>
        <vt:lpwstr/>
      </vt:variant>
      <vt:variant>
        <vt:lpwstr>_Toc141276777</vt:lpwstr>
      </vt:variant>
      <vt:variant>
        <vt:i4>1048624</vt:i4>
      </vt:variant>
      <vt:variant>
        <vt:i4>8</vt:i4>
      </vt:variant>
      <vt:variant>
        <vt:i4>0</vt:i4>
      </vt:variant>
      <vt:variant>
        <vt:i4>5</vt:i4>
      </vt:variant>
      <vt:variant>
        <vt:lpwstr/>
      </vt:variant>
      <vt:variant>
        <vt:lpwstr>_Toc141276776</vt:lpwstr>
      </vt:variant>
      <vt:variant>
        <vt:i4>1048624</vt:i4>
      </vt:variant>
      <vt:variant>
        <vt:i4>2</vt:i4>
      </vt:variant>
      <vt:variant>
        <vt:i4>0</vt:i4>
      </vt:variant>
      <vt:variant>
        <vt:i4>5</vt:i4>
      </vt:variant>
      <vt:variant>
        <vt:lpwstr/>
      </vt:variant>
      <vt:variant>
        <vt:lpwstr>_Toc141276775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國外公差報告</dc:title>
  <dc:subject/>
  <dc:creator>hcc@cy.gov.tw</dc:creator>
  <cp:keywords/>
  <dc:description/>
  <cp:lastModifiedBy>呂紹弘</cp:lastModifiedBy>
  <cp:revision>3</cp:revision>
  <cp:lastPrinted>2024-12-25T07:04:00Z</cp:lastPrinted>
  <dcterms:created xsi:type="dcterms:W3CDTF">2024-12-25T07:25:00Z</dcterms:created>
  <dcterms:modified xsi:type="dcterms:W3CDTF">2026-04-08T06:07:00Z</dcterms:modified>
</cp:coreProperties>
</file>