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21E17" w14:textId="35E50FF8" w:rsidR="00D75644" w:rsidRPr="00793822" w:rsidRDefault="00D75644" w:rsidP="00F37D7B">
      <w:pPr>
        <w:pStyle w:val="af2"/>
        <w:rPr>
          <w:rFonts w:hAnsi="標楷體"/>
        </w:rPr>
      </w:pPr>
      <w:bookmarkStart w:id="0" w:name="_Hlk226546556"/>
      <w:bookmarkEnd w:id="0"/>
      <w:r w:rsidRPr="00793822">
        <w:rPr>
          <w:rFonts w:hAnsi="標楷體" w:hint="eastAsia"/>
        </w:rPr>
        <w:t>調查</w:t>
      </w:r>
      <w:r w:rsidR="004E6E2A" w:rsidRPr="00793822">
        <w:rPr>
          <w:rFonts w:hAnsi="標楷體" w:hint="eastAsia"/>
        </w:rPr>
        <w:t>報告</w:t>
      </w:r>
    </w:p>
    <w:p w14:paraId="530D78E4" w14:textId="3288443D" w:rsidR="00046F0D" w:rsidRPr="00793822" w:rsidRDefault="00046F0D" w:rsidP="006773F7">
      <w:pPr>
        <w:pStyle w:val="1"/>
        <w:kinsoku w:val="0"/>
        <w:wordWrap w:val="0"/>
        <w:jc w:val="left"/>
        <w:rPr>
          <w:rFonts w:hAnsi="標楷體"/>
        </w:rPr>
      </w:pPr>
      <w:bookmarkStart w:id="1" w:name="_Toc524895636"/>
      <w:bookmarkStart w:id="2" w:name="_Toc524896182"/>
      <w:bookmarkStart w:id="3" w:name="_Toc524896212"/>
      <w:bookmarkStart w:id="4" w:name="_Toc524902718"/>
      <w:bookmarkStart w:id="5" w:name="_Toc525066137"/>
      <w:bookmarkStart w:id="6" w:name="_Toc525070827"/>
      <w:bookmarkStart w:id="7" w:name="_Toc525938367"/>
      <w:bookmarkStart w:id="8" w:name="_Toc525939215"/>
      <w:bookmarkStart w:id="9" w:name="_Toc525939720"/>
      <w:bookmarkStart w:id="10" w:name="_Toc529218254"/>
      <w:bookmarkStart w:id="11" w:name="_Toc529222677"/>
      <w:bookmarkStart w:id="12" w:name="_Toc529223099"/>
      <w:bookmarkStart w:id="13" w:name="_Toc529223850"/>
      <w:bookmarkStart w:id="14" w:name="_Toc529228246"/>
      <w:bookmarkStart w:id="15" w:name="_Toc2400382"/>
      <w:bookmarkStart w:id="16" w:name="_Toc4316177"/>
      <w:bookmarkStart w:id="17" w:name="_Toc4473318"/>
      <w:bookmarkStart w:id="18" w:name="_Toc69556885"/>
      <w:bookmarkStart w:id="19" w:name="_Toc69556934"/>
      <w:bookmarkStart w:id="20" w:name="_Toc69609808"/>
      <w:bookmarkStart w:id="21" w:name="_Toc70241804"/>
      <w:bookmarkStart w:id="22" w:name="_Toc70242193"/>
      <w:bookmarkStart w:id="23" w:name="_Toc421794863"/>
      <w:bookmarkStart w:id="24" w:name="_Toc422834148"/>
      <w:r w:rsidRPr="00793822">
        <w:rPr>
          <w:rFonts w:hAnsi="標楷體" w:hint="eastAsia"/>
        </w:rPr>
        <w:t>案　　由：</w:t>
      </w:r>
      <w:r w:rsidR="006E3196" w:rsidRPr="00793822">
        <w:rPr>
          <w:rFonts w:hAnsi="標楷體" w:hint="eastAsia"/>
        </w:rPr>
        <w:t>隨著資訊及通訊科技產業及人工智慧(AI)之蓬勃發展，電力需求增加，缺電危機浮現，亟需加速開發多元新能源及永續發展。據悉多國均積極投入資源推動新世代能源，如地熱、</w:t>
      </w:r>
      <w:proofErr w:type="gramStart"/>
      <w:r w:rsidR="006E3196" w:rsidRPr="00793822">
        <w:rPr>
          <w:rFonts w:hAnsi="標楷體" w:hint="eastAsia"/>
        </w:rPr>
        <w:t>氫能</w:t>
      </w:r>
      <w:proofErr w:type="gramEnd"/>
      <w:r w:rsidR="006E3196" w:rsidRPr="00793822">
        <w:rPr>
          <w:rFonts w:hAnsi="標楷體" w:hint="eastAsia"/>
        </w:rPr>
        <w:t>、固態氧化物燃料電池及小型模組化反應器(SMR)等，並探索其在能源轉型及</w:t>
      </w:r>
      <w:proofErr w:type="gramStart"/>
      <w:r w:rsidR="006E3196" w:rsidRPr="00793822">
        <w:rPr>
          <w:rFonts w:hAnsi="標楷體" w:hint="eastAsia"/>
        </w:rPr>
        <w:t>淨零減碳</w:t>
      </w:r>
      <w:proofErr w:type="gramEnd"/>
      <w:r w:rsidR="006E3196" w:rsidRPr="00793822">
        <w:rPr>
          <w:rFonts w:hAnsi="標楷體" w:hint="eastAsia"/>
        </w:rPr>
        <w:t>方面之潛力；政府宜積極就各該潛力選項進行技術成熟度、經濟效益及環境影響之系統性評估，相關政策及執行面是否有未</w:t>
      </w:r>
      <w:proofErr w:type="gramStart"/>
      <w:r w:rsidR="006E3196" w:rsidRPr="00793822">
        <w:rPr>
          <w:rFonts w:hAnsi="標楷體" w:hint="eastAsia"/>
        </w:rPr>
        <w:t>臻</w:t>
      </w:r>
      <w:proofErr w:type="gramEnd"/>
      <w:r w:rsidR="006E3196" w:rsidRPr="00793822">
        <w:rPr>
          <w:rFonts w:hAnsi="標楷體" w:hint="eastAsia"/>
        </w:rPr>
        <w:t>周延之處，</w:t>
      </w:r>
      <w:proofErr w:type="gramStart"/>
      <w:r w:rsidR="006E3196" w:rsidRPr="00793822">
        <w:rPr>
          <w:rFonts w:hAnsi="標楷體" w:hint="eastAsia"/>
        </w:rPr>
        <w:t>均有進一步</w:t>
      </w:r>
      <w:proofErr w:type="gramEnd"/>
      <w:r w:rsidR="006E3196" w:rsidRPr="00793822">
        <w:rPr>
          <w:rFonts w:hAnsi="標楷體" w:hint="eastAsia"/>
        </w:rPr>
        <w:t>瞭解之必要案。</w:t>
      </w:r>
    </w:p>
    <w:p w14:paraId="74DF2D1D" w14:textId="30FC7DE3" w:rsidR="009B246F" w:rsidRPr="00793822" w:rsidRDefault="009B246F" w:rsidP="003E454E">
      <w:pPr>
        <w:pStyle w:val="1"/>
        <w:spacing w:line="440" w:lineRule="exact"/>
        <w:rPr>
          <w:rFonts w:hAnsi="標楷體"/>
        </w:rPr>
      </w:pPr>
      <w:bookmarkStart w:id="25" w:name="_Toc524892371"/>
      <w:bookmarkStart w:id="26" w:name="_Toc524895642"/>
      <w:bookmarkStart w:id="27" w:name="_Toc524896188"/>
      <w:bookmarkStart w:id="28" w:name="_Toc524896218"/>
      <w:bookmarkStart w:id="29" w:name="_Toc524902724"/>
      <w:bookmarkStart w:id="30" w:name="_Toc525066143"/>
      <w:bookmarkStart w:id="31" w:name="_Toc525070833"/>
      <w:bookmarkStart w:id="32" w:name="_Toc525938373"/>
      <w:bookmarkStart w:id="33" w:name="_Toc525939221"/>
      <w:bookmarkStart w:id="34" w:name="_Toc525939726"/>
      <w:bookmarkStart w:id="35" w:name="_Toc529218260"/>
      <w:bookmarkStart w:id="36" w:name="_Toc529222683"/>
      <w:bookmarkStart w:id="37" w:name="_Toc529223105"/>
      <w:bookmarkStart w:id="38" w:name="_Toc529223856"/>
      <w:bookmarkStart w:id="39" w:name="_Toc529228252"/>
      <w:bookmarkStart w:id="40" w:name="_Toc2400389"/>
      <w:bookmarkStart w:id="41" w:name="_Toc4316183"/>
      <w:bookmarkStart w:id="42" w:name="_Toc4473324"/>
      <w:bookmarkStart w:id="43" w:name="_Toc69556891"/>
      <w:bookmarkStart w:id="44" w:name="_Toc69556940"/>
      <w:bookmarkStart w:id="45" w:name="_Toc69609814"/>
      <w:bookmarkStart w:id="46" w:name="_Toc70241810"/>
      <w:bookmarkStart w:id="47" w:name="_Toc70242199"/>
      <w:bookmarkStart w:id="48" w:name="_Toc421794869"/>
      <w:bookmarkStart w:id="49" w:name="_Toc42283415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793822">
        <w:rPr>
          <w:rFonts w:hAnsi="標楷體"/>
        </w:rPr>
        <w:t>調查意見</w:t>
      </w:r>
    </w:p>
    <w:p w14:paraId="30D297AA" w14:textId="21D587AC" w:rsidR="009B246F" w:rsidRPr="00793822" w:rsidRDefault="00B5157C" w:rsidP="00E1571B">
      <w:pPr>
        <w:pStyle w:val="10"/>
        <w:spacing w:line="460" w:lineRule="exact"/>
        <w:ind w:left="680" w:firstLine="680"/>
        <w:rPr>
          <w:rFonts w:hAnsi="標楷體"/>
          <w:bCs/>
        </w:rPr>
      </w:pPr>
      <w:r w:rsidRPr="00793822">
        <w:rPr>
          <w:rFonts w:hAnsi="標楷體" w:hint="eastAsia"/>
          <w:bCs/>
        </w:rPr>
        <w:t>隨著</w:t>
      </w:r>
      <w:r w:rsidR="006941D9" w:rsidRPr="00793822">
        <w:rPr>
          <w:rFonts w:hAnsi="標楷體"/>
        </w:rPr>
        <w:t>資訊及通訊科技</w:t>
      </w:r>
      <w:r w:rsidRPr="00793822">
        <w:rPr>
          <w:rFonts w:hAnsi="標楷體" w:hint="eastAsia"/>
          <w:bCs/>
        </w:rPr>
        <w:t>產業及人工智慧之蓬勃發展，電力需求預期將顯著增長，加以2050</w:t>
      </w:r>
      <w:r w:rsidR="003533FD" w:rsidRPr="00793822">
        <w:rPr>
          <w:rFonts w:hAnsi="標楷體" w:hint="eastAsia"/>
        </w:rPr>
        <w:t>年</w:t>
      </w:r>
      <w:r w:rsidR="003533FD" w:rsidRPr="00793822">
        <w:rPr>
          <w:rStyle w:val="aff"/>
          <w:rFonts w:hAnsi="標楷體"/>
        </w:rPr>
        <w:footnoteReference w:id="1"/>
      </w:r>
      <w:proofErr w:type="gramStart"/>
      <w:r w:rsidRPr="00793822">
        <w:rPr>
          <w:rFonts w:hAnsi="標楷體" w:hint="eastAsia"/>
          <w:bCs/>
        </w:rPr>
        <w:t>淨零轉型</w:t>
      </w:r>
      <w:proofErr w:type="gramEnd"/>
      <w:r w:rsidRPr="00793822">
        <w:rPr>
          <w:rFonts w:hAnsi="標楷體" w:hint="eastAsia"/>
          <w:bCs/>
        </w:rPr>
        <w:t>目標之挑戰，確保能源供應穩定與安全，已成國家發展之關鍵課題；</w:t>
      </w:r>
      <w:r w:rsidR="002C550B" w:rsidRPr="00793822">
        <w:rPr>
          <w:rFonts w:hAnsi="標楷體" w:hint="eastAsia"/>
          <w:bCs/>
        </w:rPr>
        <w:t>為審慎應對此趨勢，現有評估機制之周延性、法規框架之適用性，以及該技術的成熟度、經濟效益、安全性與核廢料處理等關鍵議題，</w:t>
      </w:r>
      <w:proofErr w:type="gramStart"/>
      <w:r w:rsidR="00985733" w:rsidRPr="00793822">
        <w:rPr>
          <w:rFonts w:hAnsi="標楷體" w:hint="eastAsia"/>
          <w:bCs/>
        </w:rPr>
        <w:t>均屬</w:t>
      </w:r>
      <w:r w:rsidR="002C550B" w:rsidRPr="00793822">
        <w:rPr>
          <w:rFonts w:hAnsi="標楷體" w:hint="eastAsia"/>
          <w:bCs/>
        </w:rPr>
        <w:t>未來</w:t>
      </w:r>
      <w:proofErr w:type="gramEnd"/>
      <w:r w:rsidR="002C550B" w:rsidRPr="00793822">
        <w:rPr>
          <w:rFonts w:hAnsi="標楷體" w:hint="eastAsia"/>
          <w:bCs/>
        </w:rPr>
        <w:t>需要進一步探討與評估</w:t>
      </w:r>
      <w:r w:rsidR="00985733" w:rsidRPr="00793822">
        <w:rPr>
          <w:rFonts w:hAnsi="標楷體" w:hint="eastAsia"/>
          <w:bCs/>
        </w:rPr>
        <w:t>之</w:t>
      </w:r>
      <w:r w:rsidR="002C550B" w:rsidRPr="00793822">
        <w:rPr>
          <w:rFonts w:hAnsi="標楷體" w:hint="eastAsia"/>
          <w:bCs/>
        </w:rPr>
        <w:t>重點。</w:t>
      </w:r>
      <w:r w:rsidR="00451980" w:rsidRPr="00793822">
        <w:rPr>
          <w:rFonts w:hAnsi="標楷體" w:hint="eastAsia"/>
          <w:bCs/>
        </w:rPr>
        <w:t>案</w:t>
      </w:r>
      <w:r w:rsidRPr="00793822">
        <w:rPr>
          <w:rFonts w:hAnsi="標楷體" w:hint="eastAsia"/>
          <w:bCs/>
        </w:rPr>
        <w:t>經調閱相關機關卷證資料，詢問相關主管人員，並赴日本進行實地考察</w:t>
      </w:r>
      <w:r w:rsidR="00A72BEF" w:rsidRPr="00793822">
        <w:rPr>
          <w:rStyle w:val="aff"/>
          <w:rFonts w:hAnsi="標楷體"/>
          <w:bCs/>
        </w:rPr>
        <w:footnoteReference w:id="2"/>
      </w:r>
      <w:r w:rsidR="00BE0306" w:rsidRPr="00793822">
        <w:rPr>
          <w:rFonts w:hAnsi="標楷體" w:hint="eastAsia"/>
          <w:bCs/>
          <w:szCs w:val="40"/>
        </w:rPr>
        <w:t>，</w:t>
      </w:r>
      <w:proofErr w:type="gramStart"/>
      <w:r w:rsidR="00BE0306" w:rsidRPr="00793822">
        <w:rPr>
          <w:rFonts w:hAnsi="標楷體" w:hint="eastAsia"/>
          <w:bCs/>
          <w:szCs w:val="40"/>
        </w:rPr>
        <w:t>嗣</w:t>
      </w:r>
      <w:proofErr w:type="gramEnd"/>
      <w:r w:rsidR="00BE0306" w:rsidRPr="00793822">
        <w:rPr>
          <w:rFonts w:hAnsi="標楷體" w:hint="eastAsia"/>
          <w:bCs/>
          <w:szCs w:val="40"/>
        </w:rPr>
        <w:t>於115年3月26日、27日分別至高雄興達發電廠、宜蘭</w:t>
      </w:r>
      <w:proofErr w:type="gramStart"/>
      <w:r w:rsidR="00BE0306" w:rsidRPr="00793822">
        <w:rPr>
          <w:rFonts w:hAnsi="標楷體" w:hint="eastAsia"/>
          <w:bCs/>
          <w:szCs w:val="40"/>
        </w:rPr>
        <w:t>員山深層</w:t>
      </w:r>
      <w:proofErr w:type="gramEnd"/>
      <w:r w:rsidR="00BE0306" w:rsidRPr="00793822">
        <w:rPr>
          <w:rFonts w:hAnsi="標楷體" w:hint="eastAsia"/>
          <w:bCs/>
          <w:szCs w:val="40"/>
        </w:rPr>
        <w:t>地熱井、清水地熱發電廠，瞭解多元能源探</w:t>
      </w:r>
      <w:proofErr w:type="gramStart"/>
      <w:r w:rsidR="00BE0306" w:rsidRPr="00793822">
        <w:rPr>
          <w:rFonts w:hAnsi="標楷體" w:hint="eastAsia"/>
          <w:bCs/>
          <w:szCs w:val="40"/>
        </w:rPr>
        <w:t>勘</w:t>
      </w:r>
      <w:proofErr w:type="gramEnd"/>
      <w:r w:rsidR="00BE0306" w:rsidRPr="00793822">
        <w:rPr>
          <w:rFonts w:hAnsi="標楷體" w:hint="eastAsia"/>
          <w:bCs/>
          <w:szCs w:val="40"/>
        </w:rPr>
        <w:t>、利用現況</w:t>
      </w:r>
      <w:proofErr w:type="gramStart"/>
      <w:r w:rsidR="00BE0306" w:rsidRPr="00793822">
        <w:rPr>
          <w:rFonts w:hAnsi="標楷體" w:hint="eastAsia"/>
          <w:bCs/>
          <w:szCs w:val="40"/>
        </w:rPr>
        <w:t>及減碳實績</w:t>
      </w:r>
      <w:proofErr w:type="gramEnd"/>
      <w:r w:rsidR="00BE0306" w:rsidRPr="00793822">
        <w:rPr>
          <w:rFonts w:hAnsi="標楷體" w:hint="eastAsia"/>
          <w:bCs/>
          <w:szCs w:val="40"/>
        </w:rPr>
        <w:t>。</w:t>
      </w:r>
      <w:proofErr w:type="gramStart"/>
      <w:r w:rsidRPr="00793822">
        <w:rPr>
          <w:rFonts w:hAnsi="標楷體" w:hint="eastAsia"/>
          <w:bCs/>
        </w:rPr>
        <w:t>茲綜整</w:t>
      </w:r>
      <w:proofErr w:type="gramEnd"/>
      <w:r w:rsidRPr="00793822">
        <w:rPr>
          <w:rFonts w:hAnsi="標楷體" w:hint="eastAsia"/>
          <w:bCs/>
        </w:rPr>
        <w:t>電力供需現況、新能源評估機制、多元能源開發策略、SMR</w:t>
      </w:r>
      <w:r w:rsidR="008E65D8" w:rsidRPr="00793822">
        <w:rPr>
          <w:rFonts w:hAnsi="標楷體" w:hint="eastAsia"/>
          <w:bCs/>
        </w:rPr>
        <w:t>(</w:t>
      </w:r>
      <w:r w:rsidR="008E65D8" w:rsidRPr="00793822">
        <w:rPr>
          <w:rFonts w:hAnsi="標楷體"/>
          <w:bCs/>
        </w:rPr>
        <w:t>Small Modular Reactor</w:t>
      </w:r>
      <w:r w:rsidR="008E65D8" w:rsidRPr="00793822">
        <w:rPr>
          <w:rFonts w:hAnsi="標楷體" w:hint="eastAsia"/>
          <w:bCs/>
        </w:rPr>
        <w:t>，</w:t>
      </w:r>
      <w:r w:rsidR="008E65D8" w:rsidRPr="00793822">
        <w:rPr>
          <w:rFonts w:hAnsi="標楷體" w:hint="eastAsia"/>
        </w:rPr>
        <w:t>小型模組化反應器)</w:t>
      </w:r>
      <w:r w:rsidRPr="00793822">
        <w:rPr>
          <w:rFonts w:hAnsi="標楷體" w:hint="eastAsia"/>
          <w:bCs/>
        </w:rPr>
        <w:t>發展趨勢及其潛力與挑戰，彙整調查意見如次：</w:t>
      </w:r>
    </w:p>
    <w:p w14:paraId="77B2B35F" w14:textId="31413D5C" w:rsidR="0098158F" w:rsidRPr="00793822" w:rsidRDefault="0098158F" w:rsidP="0098158F">
      <w:pPr>
        <w:pStyle w:val="2"/>
        <w:spacing w:line="460" w:lineRule="exact"/>
        <w:rPr>
          <w:b/>
          <w:bCs w:val="0"/>
        </w:rPr>
      </w:pPr>
      <w:bookmarkStart w:id="50" w:name="_Hlk209684917"/>
      <w:bookmarkStart w:id="51" w:name="_Hlk209684913"/>
      <w:r w:rsidRPr="00793822">
        <w:rPr>
          <w:rFonts w:hAnsi="標楷體"/>
          <w:b/>
        </w:rPr>
        <w:t>面對</w:t>
      </w:r>
      <w:r w:rsidRPr="00793822">
        <w:rPr>
          <w:rFonts w:hint="eastAsia"/>
          <w:b/>
          <w:bCs w:val="0"/>
        </w:rPr>
        <w:t>人工智慧</w:t>
      </w:r>
      <w:r w:rsidRPr="00793822">
        <w:rPr>
          <w:rFonts w:hAnsi="標楷體"/>
          <w:b/>
        </w:rPr>
        <w:t>科技浪潮誘發之</w:t>
      </w:r>
      <w:r w:rsidR="00F661B1" w:rsidRPr="00793822">
        <w:rPr>
          <w:rFonts w:hAnsi="標楷體"/>
          <w:b/>
        </w:rPr>
        <w:t>電力需求劇增</w:t>
      </w:r>
      <w:r w:rsidRPr="00793822">
        <w:rPr>
          <w:rFonts w:hAnsi="標楷體"/>
          <w:b/>
        </w:rPr>
        <w:t>，</w:t>
      </w:r>
      <w:proofErr w:type="gramStart"/>
      <w:r w:rsidRPr="00793822">
        <w:rPr>
          <w:rFonts w:hAnsi="標楷體"/>
          <w:b/>
        </w:rPr>
        <w:t>我國氫能</w:t>
      </w:r>
      <w:proofErr w:type="gramEnd"/>
      <w:r w:rsidRPr="00793822">
        <w:rPr>
          <w:rFonts w:hAnsi="標楷體"/>
          <w:b/>
        </w:rPr>
        <w:t>、</w:t>
      </w:r>
      <w:r w:rsidRPr="00793822">
        <w:rPr>
          <w:rFonts w:hint="eastAsia"/>
          <w:b/>
        </w:rPr>
        <w:t>固態氧化物燃料電池</w:t>
      </w:r>
      <w:r w:rsidRPr="00793822">
        <w:rPr>
          <w:rFonts w:hAnsi="標楷體"/>
          <w:b/>
        </w:rPr>
        <w:t>及地熱等多元能源轉型進度</w:t>
      </w:r>
      <w:r w:rsidRPr="00793822">
        <w:rPr>
          <w:rFonts w:hAnsi="標楷體" w:hint="eastAsia"/>
          <w:b/>
        </w:rPr>
        <w:t>，</w:t>
      </w:r>
      <w:r w:rsidRPr="00793822">
        <w:rPr>
          <w:rFonts w:hAnsi="標楷體"/>
          <w:b/>
        </w:rPr>
        <w:lastRenderedPageBreak/>
        <w:t>受限於行政流程繁瑣與部會協調不足等非技術性因子，</w:t>
      </w:r>
      <w:r w:rsidRPr="00793822">
        <w:rPr>
          <w:rFonts w:hAnsi="標楷體" w:hint="eastAsia"/>
          <w:b/>
        </w:rPr>
        <w:t>致使整體政策推展受限，行政院暨所屬相關部會允宜通盤檢討，強化協調與執行機制，以有效因應國家永續發展之嚴峻挑戰</w:t>
      </w:r>
      <w:r w:rsidRPr="00793822">
        <w:rPr>
          <w:rFonts w:hint="eastAsia"/>
          <w:b/>
          <w:bCs w:val="0"/>
        </w:rPr>
        <w:t>。</w:t>
      </w:r>
    </w:p>
    <w:p w14:paraId="1D98419E" w14:textId="7FAD5B6E" w:rsidR="0098158F" w:rsidRPr="00793822" w:rsidRDefault="0098158F" w:rsidP="0098158F">
      <w:pPr>
        <w:pStyle w:val="3"/>
        <w:spacing w:line="460" w:lineRule="exact"/>
      </w:pPr>
      <w:proofErr w:type="gramStart"/>
      <w:r w:rsidRPr="00793822">
        <w:rPr>
          <w:rFonts w:hint="eastAsia"/>
        </w:rPr>
        <w:t>鑑</w:t>
      </w:r>
      <w:proofErr w:type="gramEnd"/>
      <w:r w:rsidRPr="00793822">
        <w:rPr>
          <w:rFonts w:hint="eastAsia"/>
        </w:rPr>
        <w:t>於全球</w:t>
      </w:r>
      <w:r w:rsidRPr="00793822">
        <w:t>資訊及通訊科技</w:t>
      </w:r>
      <w:r w:rsidRPr="00793822">
        <w:rPr>
          <w:rFonts w:hint="eastAsia"/>
        </w:rPr>
        <w:t>產業，尤以人工智慧技術之快速發展，致使電力需求預期將顯著增長，加之既有核電機組</w:t>
      </w:r>
      <w:proofErr w:type="gramStart"/>
      <w:r w:rsidRPr="00793822">
        <w:rPr>
          <w:rFonts w:hint="eastAsia"/>
        </w:rPr>
        <w:t>陸續屆齡除役</w:t>
      </w:r>
      <w:proofErr w:type="gramEnd"/>
      <w:r w:rsidRPr="00793822">
        <w:rPr>
          <w:rFonts w:hint="eastAsia"/>
        </w:rPr>
        <w:t>之能源結構調整，為確保國家長期能源供應之穩定與安全，並達成</w:t>
      </w:r>
      <w:proofErr w:type="gramStart"/>
      <w:r w:rsidRPr="00793822">
        <w:rPr>
          <w:rFonts w:hint="eastAsia"/>
        </w:rPr>
        <w:t>2050</w:t>
      </w:r>
      <w:r w:rsidRPr="00793822">
        <w:rPr>
          <w:rFonts w:hAnsi="標楷體" w:hint="eastAsia"/>
        </w:rPr>
        <w:t>年</w:t>
      </w:r>
      <w:r w:rsidRPr="00793822">
        <w:rPr>
          <w:rFonts w:hint="eastAsia"/>
        </w:rPr>
        <w:t>淨零排放</w:t>
      </w:r>
      <w:proofErr w:type="gramEnd"/>
      <w:r w:rsidRPr="00793822">
        <w:rPr>
          <w:rFonts w:hint="eastAsia"/>
        </w:rPr>
        <w:t>之政策目標，加速開發多元化之新能源，以</w:t>
      </w:r>
      <w:proofErr w:type="gramStart"/>
      <w:r w:rsidRPr="00793822">
        <w:rPr>
          <w:rFonts w:hint="eastAsia"/>
        </w:rPr>
        <w:t>建構永續</w:t>
      </w:r>
      <w:proofErr w:type="gramEnd"/>
      <w:r w:rsidRPr="00793822">
        <w:rPr>
          <w:rFonts w:hint="eastAsia"/>
        </w:rPr>
        <w:t>發展之能源系統，實有其絕對必要性與高度急迫性。</w:t>
      </w:r>
      <w:r w:rsidRPr="00793822">
        <w:t>經濟部在其「能源轉型白皮書」績效報告中，將「提升供電充裕比率」列為重要追蹤指標，該指標即以全年備轉容量率達到「供電充裕」(綠燈)標準的天數所占百分比來衡量短期供電的穩定</w:t>
      </w:r>
      <w:r w:rsidRPr="00793822">
        <w:rPr>
          <w:rFonts w:hint="eastAsia"/>
        </w:rPr>
        <w:t>性；且經濟部</w:t>
      </w:r>
      <w:r w:rsidRPr="00793822">
        <w:rPr>
          <w:rFonts w:hAnsi="標楷體"/>
        </w:rPr>
        <w:t>能源署</w:t>
      </w:r>
      <w:r w:rsidR="008E65D8" w:rsidRPr="00793822">
        <w:rPr>
          <w:rFonts w:hAnsi="標楷體" w:hint="eastAsia"/>
        </w:rPr>
        <w:t>(</w:t>
      </w:r>
      <w:r w:rsidRPr="00793822">
        <w:rPr>
          <w:rFonts w:hAnsi="標楷體" w:hint="eastAsia"/>
        </w:rPr>
        <w:t>下稱</w:t>
      </w:r>
      <w:r w:rsidRPr="00793822">
        <w:rPr>
          <w:rFonts w:hAnsi="標楷體"/>
        </w:rPr>
        <w:t>能源署</w:t>
      </w:r>
      <w:r w:rsidR="008E65D8" w:rsidRPr="00793822">
        <w:rPr>
          <w:rFonts w:hAnsi="標楷體" w:hint="eastAsia"/>
        </w:rPr>
        <w:t>)</w:t>
      </w:r>
      <w:r w:rsidRPr="00793822">
        <w:rPr>
          <w:rFonts w:hint="eastAsia"/>
        </w:rPr>
        <w:t>及台灣電力股份有限公司(下稱</w:t>
      </w:r>
      <w:r w:rsidRPr="00793822">
        <w:t>台電公司</w:t>
      </w:r>
      <w:r w:rsidRPr="00793822">
        <w:rPr>
          <w:rFonts w:hint="eastAsia"/>
        </w:rPr>
        <w:t>)</w:t>
      </w:r>
      <w:r w:rsidRPr="00793822">
        <w:t>主要透過「備用容量率」與「備轉容量(率)」兩項指標來評估電力系統的供電充裕度</w:t>
      </w:r>
      <w:r w:rsidRPr="00793822">
        <w:rPr>
          <w:rStyle w:val="aff"/>
        </w:rPr>
        <w:footnoteReference w:id="3"/>
      </w:r>
      <w:r w:rsidRPr="00793822">
        <w:t>。</w:t>
      </w:r>
      <w:r w:rsidRPr="00793822">
        <w:rPr>
          <w:rFonts w:hint="eastAsia"/>
        </w:rPr>
        <w:t>依據</w:t>
      </w:r>
      <w:r w:rsidRPr="00793822">
        <w:t>台電公司之界定，</w:t>
      </w:r>
      <w:r w:rsidRPr="00793822">
        <w:rPr>
          <w:rFonts w:hint="eastAsia"/>
        </w:rPr>
        <w:t>「停電」</w:t>
      </w:r>
      <w:r w:rsidRPr="00793822">
        <w:t>泛指電力供應中斷之現象。其發生原因及性質</w:t>
      </w:r>
      <w:proofErr w:type="gramStart"/>
      <w:r w:rsidRPr="00793822">
        <w:t>多樣，</w:t>
      </w:r>
      <w:proofErr w:type="gramEnd"/>
      <w:r w:rsidRPr="00793822">
        <w:t>主要可區分為</w:t>
      </w:r>
      <w:r w:rsidRPr="00793822">
        <w:rPr>
          <w:rFonts w:hint="eastAsia"/>
        </w:rPr>
        <w:t>「</w:t>
      </w:r>
      <w:r w:rsidRPr="00793822">
        <w:t>計畫性工作停電</w:t>
      </w:r>
      <w:r w:rsidRPr="00793822">
        <w:rPr>
          <w:rFonts w:hint="eastAsia"/>
        </w:rPr>
        <w:t>」及「</w:t>
      </w:r>
      <w:r w:rsidRPr="00793822">
        <w:t>事故停電</w:t>
      </w:r>
      <w:r w:rsidRPr="00793822">
        <w:rPr>
          <w:rFonts w:hint="eastAsia"/>
        </w:rPr>
        <w:t>」。復據</w:t>
      </w:r>
      <w:r w:rsidRPr="00793822">
        <w:t>「電源不足時期限制用電辦法」規定，電源不足</w:t>
      </w:r>
      <w:r w:rsidRPr="00793822">
        <w:rPr>
          <w:rFonts w:hint="eastAsia"/>
        </w:rPr>
        <w:t>之「</w:t>
      </w:r>
      <w:r w:rsidRPr="00793822">
        <w:t>缺電</w:t>
      </w:r>
      <w:r w:rsidRPr="00793822">
        <w:rPr>
          <w:rFonts w:hint="eastAsia"/>
        </w:rPr>
        <w:t>」</w:t>
      </w:r>
      <w:r w:rsidRPr="00793822">
        <w:t>係指電能供應事業</w:t>
      </w:r>
      <w:r w:rsidRPr="00793822">
        <w:rPr>
          <w:rFonts w:hint="eastAsia"/>
        </w:rPr>
        <w:t>，</w:t>
      </w:r>
      <w:r w:rsidRPr="00793822">
        <w:t>主要為台電公司因其供電容量、</w:t>
      </w:r>
      <w:r w:rsidRPr="00793822">
        <w:rPr>
          <w:rFonts w:hint="eastAsia"/>
        </w:rPr>
        <w:t>發</w:t>
      </w:r>
      <w:r w:rsidRPr="00793822">
        <w:t>電所需能源</w:t>
      </w:r>
      <w:r w:rsidRPr="00793822">
        <w:rPr>
          <w:rFonts w:hint="eastAsia"/>
        </w:rPr>
        <w:t>及</w:t>
      </w:r>
      <w:r w:rsidRPr="00793822">
        <w:t>燃料供應不足，或因</w:t>
      </w:r>
      <w:r w:rsidRPr="00793822">
        <w:lastRenderedPageBreak/>
        <w:t>安全維護需求、發電機組故障、天災事變等其他不可抗力因素，導致整體電力系統之供電能力無法滿足當時總用電需求之狀況</w:t>
      </w:r>
      <w:r w:rsidRPr="00793822">
        <w:rPr>
          <w:rFonts w:hint="eastAsia"/>
        </w:rPr>
        <w:t>。</w:t>
      </w:r>
    </w:p>
    <w:p w14:paraId="751A18D8" w14:textId="6CB6B5B0" w:rsidR="0098158F" w:rsidRPr="00793822" w:rsidRDefault="0098158F" w:rsidP="0098158F">
      <w:pPr>
        <w:pStyle w:val="3"/>
        <w:spacing w:line="460" w:lineRule="exact"/>
      </w:pPr>
      <w:r w:rsidRPr="00793822">
        <w:rPr>
          <w:rFonts w:hint="eastAsia"/>
        </w:rPr>
        <w:t>為因應能源永續發展之挑戰與需求，政府近年來已推動包含太陽能、風力、地熱能、生質能、海洋能、</w:t>
      </w:r>
      <w:proofErr w:type="gramStart"/>
      <w:r w:rsidRPr="00793822">
        <w:rPr>
          <w:rFonts w:hint="eastAsia"/>
        </w:rPr>
        <w:t>氫能及</w:t>
      </w:r>
      <w:proofErr w:type="gramEnd"/>
      <w:r w:rsidRPr="00793822">
        <w:rPr>
          <w:rFonts w:hint="eastAsia"/>
        </w:rPr>
        <w:t>儲能系統等多項新能源技術之發展，展現出能源供應來源多元化之企圖與努力</w:t>
      </w:r>
      <w:r w:rsidR="00DD4ACC" w:rsidRPr="00793822">
        <w:rPr>
          <w:rFonts w:hint="eastAsia"/>
        </w:rPr>
        <w:t>，然其發展仍面臨挑戰</w:t>
      </w:r>
      <w:r w:rsidRPr="00793822">
        <w:rPr>
          <w:rFonts w:hint="eastAsia"/>
        </w:rPr>
        <w:t>：</w:t>
      </w:r>
    </w:p>
    <w:p w14:paraId="05381D7E" w14:textId="7F8626A3" w:rsidR="0098158F" w:rsidRPr="00793822" w:rsidRDefault="0098158F" w:rsidP="0098158F">
      <w:pPr>
        <w:pStyle w:val="4"/>
        <w:spacing w:line="460" w:lineRule="exact"/>
      </w:pPr>
      <w:r w:rsidRPr="00793822">
        <w:rPr>
          <w:rFonts w:hint="eastAsia"/>
        </w:rPr>
        <w:t>太陽光電與風力發電等再生能源，在裝置容量與發電量方面已有顯著進展</w:t>
      </w:r>
      <w:r w:rsidR="00DD4ACC" w:rsidRPr="00793822">
        <w:rPr>
          <w:rFonts w:hint="eastAsia"/>
        </w:rPr>
        <w:t>：</w:t>
      </w:r>
      <w:proofErr w:type="gramStart"/>
      <w:r w:rsidR="00DD4ACC" w:rsidRPr="00793822">
        <w:rPr>
          <w:rFonts w:hint="eastAsia"/>
        </w:rPr>
        <w:t>然</w:t>
      </w:r>
      <w:r w:rsidRPr="00793822">
        <w:rPr>
          <w:rFonts w:hint="eastAsia"/>
        </w:rPr>
        <w:t>原訂</w:t>
      </w:r>
      <w:proofErr w:type="gramEnd"/>
      <w:r w:rsidRPr="00793822">
        <w:rPr>
          <w:rFonts w:hint="eastAsia"/>
        </w:rPr>
        <w:t>政策目標期程延後、大規模設施建置所引發之土地取得與海域空間利用衝突、既有電網</w:t>
      </w:r>
      <w:proofErr w:type="gramStart"/>
      <w:r w:rsidRPr="00793822">
        <w:rPr>
          <w:rFonts w:hint="eastAsia"/>
        </w:rPr>
        <w:t>饋</w:t>
      </w:r>
      <w:proofErr w:type="gramEnd"/>
      <w:r w:rsidRPr="00793822">
        <w:rPr>
          <w:rFonts w:hint="eastAsia"/>
        </w:rPr>
        <w:t>線容量不足與升級速度緩慢所導致之</w:t>
      </w:r>
      <w:proofErr w:type="gramStart"/>
      <w:r w:rsidRPr="00793822">
        <w:rPr>
          <w:rFonts w:hint="eastAsia"/>
        </w:rPr>
        <w:t>併</w:t>
      </w:r>
      <w:proofErr w:type="gramEnd"/>
      <w:r w:rsidRPr="00793822">
        <w:rPr>
          <w:rFonts w:hint="eastAsia"/>
        </w:rPr>
        <w:t>網瓶頸，以及社會溝通不足與地方接受度等問題。</w:t>
      </w:r>
    </w:p>
    <w:p w14:paraId="54D02A89" w14:textId="77777777" w:rsidR="0098158F" w:rsidRPr="00793822" w:rsidRDefault="0098158F" w:rsidP="0098158F">
      <w:pPr>
        <w:pStyle w:val="4"/>
        <w:spacing w:line="460" w:lineRule="exact"/>
      </w:pPr>
      <w:r w:rsidRPr="00793822">
        <w:rPr>
          <w:rFonts w:hint="eastAsia"/>
        </w:rPr>
        <w:t>前瞻能源潛力待發展，惟障礙尚多：地熱能、海洋能、</w:t>
      </w:r>
      <w:proofErr w:type="gramStart"/>
      <w:r w:rsidRPr="00793822">
        <w:rPr>
          <w:rFonts w:hint="eastAsia"/>
        </w:rPr>
        <w:t>氫能等</w:t>
      </w:r>
      <w:proofErr w:type="gramEnd"/>
      <w:r w:rsidRPr="00793822">
        <w:rPr>
          <w:rFonts w:hint="eastAsia"/>
        </w:rPr>
        <w:t>具潛力之前</w:t>
      </w:r>
      <w:proofErr w:type="gramStart"/>
      <w:r w:rsidRPr="00793822">
        <w:rPr>
          <w:rFonts w:hint="eastAsia"/>
        </w:rPr>
        <w:t>瞻</w:t>
      </w:r>
      <w:proofErr w:type="gramEnd"/>
      <w:r w:rsidRPr="00793822">
        <w:rPr>
          <w:rFonts w:hint="eastAsia"/>
        </w:rPr>
        <w:t>能源技術，雖前景可期，然其發展進度相對遲緩。主要受限於關鍵技術尚未完全成熟、開發與建置成本高昂、相關基礎設施匱乏，以及現行法規環境調適不足等結構性障礙。</w:t>
      </w:r>
    </w:p>
    <w:p w14:paraId="50FCB9B6" w14:textId="77777777" w:rsidR="0098158F" w:rsidRPr="00793822" w:rsidRDefault="0098158F" w:rsidP="0098158F">
      <w:pPr>
        <w:pStyle w:val="4"/>
        <w:spacing w:line="460" w:lineRule="exact"/>
      </w:pPr>
      <w:r w:rsidRPr="00793822">
        <w:rPr>
          <w:rFonts w:hint="eastAsia"/>
        </w:rPr>
        <w:t>非技術性障礙影響深遠：諸如行政審查效率不高、跨部會協調機制不暢、地方溝通與民意整合困難等「非技術性障礙」，已成為現階段限制各類新能源發展速度之關鍵瓶頸。</w:t>
      </w:r>
    </w:p>
    <w:p w14:paraId="0A6D6332" w14:textId="77777777" w:rsidR="0098158F" w:rsidRPr="00793822" w:rsidRDefault="0098158F" w:rsidP="0098158F">
      <w:pPr>
        <w:pStyle w:val="4"/>
        <w:spacing w:line="460" w:lineRule="exact"/>
      </w:pPr>
      <w:r w:rsidRPr="00793822">
        <w:rPr>
          <w:rFonts w:hint="eastAsia"/>
        </w:rPr>
        <w:t>資源配置與優先次序面臨考驗：在國家整體資源(含預算、土地、人才等)有限的條件下，同時推動多種新能源技術路徑，可能導致資源過度分散，並使發展優先次序不明確，進而影響整體政策效能。</w:t>
      </w:r>
    </w:p>
    <w:p w14:paraId="2183341B" w14:textId="72A27CDA" w:rsidR="0098158F" w:rsidRPr="00793822" w:rsidRDefault="0098158F" w:rsidP="0098158F">
      <w:pPr>
        <w:pStyle w:val="3"/>
      </w:pPr>
      <w:r w:rsidRPr="00793822">
        <w:rPr>
          <w:rFonts w:hint="eastAsia"/>
        </w:rPr>
        <w:lastRenderedPageBreak/>
        <w:t>在「</w:t>
      </w:r>
      <w:r w:rsidRPr="00793822">
        <w:t>地熱能</w:t>
      </w:r>
      <w:r w:rsidRPr="00793822">
        <w:rPr>
          <w:rFonts w:hint="eastAsia"/>
        </w:rPr>
        <w:t>」運用方面，其</w:t>
      </w:r>
      <w:r w:rsidRPr="00793822">
        <w:t>具備穩定、可作為基載電力的特性，被視為未來能源轉型中具潛力的新興選項。根據經濟部地質調查及礦業管理中心</w:t>
      </w:r>
      <w:r w:rsidR="008E65D8" w:rsidRPr="00793822">
        <w:rPr>
          <w:rFonts w:hint="eastAsia"/>
        </w:rPr>
        <w:t>(</w:t>
      </w:r>
      <w:r w:rsidRPr="00793822">
        <w:rPr>
          <w:rFonts w:hint="eastAsia"/>
        </w:rPr>
        <w:t>原中央地質調查所，</w:t>
      </w:r>
      <w:proofErr w:type="gramStart"/>
      <w:r w:rsidRPr="00793822">
        <w:rPr>
          <w:rFonts w:hint="eastAsia"/>
        </w:rPr>
        <w:t>下稱地礦</w:t>
      </w:r>
      <w:proofErr w:type="gramEnd"/>
      <w:r w:rsidRPr="00793822">
        <w:rPr>
          <w:rFonts w:hint="eastAsia"/>
        </w:rPr>
        <w:t>中心</w:t>
      </w:r>
      <w:r w:rsidR="008E65D8" w:rsidRPr="00793822">
        <w:rPr>
          <w:rFonts w:hint="eastAsia"/>
        </w:rPr>
        <w:t>)</w:t>
      </w:r>
      <w:r w:rsidRPr="00793822">
        <w:rPr>
          <w:rFonts w:hint="eastAsia"/>
        </w:rPr>
        <w:t>之</w:t>
      </w:r>
      <w:r w:rsidRPr="00793822">
        <w:t>評估，</w:t>
      </w:r>
      <w:r w:rsidRPr="00793822">
        <w:rPr>
          <w:rFonts w:hint="eastAsia"/>
        </w:rPr>
        <w:t>臺</w:t>
      </w:r>
      <w:r w:rsidRPr="00793822">
        <w:t>灣地熱資源蘊藏豐富，淺層(1-3公里)地熱潛能約1GW，而深層(3-6公里)地熱潛能更高達約40GW。基於此潛力，政府已將地熱納入前瞻能源發展規劃，設定2050年裝置容量達到3GW至6.2GW的長期目標。</w:t>
      </w:r>
      <w:r w:rsidRPr="00793822">
        <w:rPr>
          <w:rFonts w:hint="eastAsia"/>
        </w:rPr>
        <w:t>有關全</w:t>
      </w:r>
      <w:proofErr w:type="gramStart"/>
      <w:r w:rsidRPr="00793822">
        <w:rPr>
          <w:rFonts w:hint="eastAsia"/>
        </w:rPr>
        <w:t>臺</w:t>
      </w:r>
      <w:proofErr w:type="gramEnd"/>
      <w:r w:rsidRPr="00793822">
        <w:rPr>
          <w:rFonts w:hint="eastAsia"/>
        </w:rPr>
        <w:t>地熱潛能評估現況，據能源署115年4月20日回復說明：</w:t>
      </w:r>
    </w:p>
    <w:p w14:paraId="4172B977" w14:textId="6EF813D2" w:rsidR="0098158F" w:rsidRPr="00793822" w:rsidRDefault="0098158F" w:rsidP="0098158F">
      <w:pPr>
        <w:pStyle w:val="4"/>
      </w:pPr>
      <w:r w:rsidRPr="00793822">
        <w:rPr>
          <w:rFonts w:hint="eastAsia"/>
        </w:rPr>
        <w:t>地礦中心</w:t>
      </w:r>
      <w:r w:rsidRPr="00793822">
        <w:t>11</w:t>
      </w:r>
      <w:r w:rsidRPr="00793822">
        <w:rPr>
          <w:rFonts w:hint="eastAsia"/>
        </w:rPr>
        <w:t>2年彙整</w:t>
      </w:r>
      <w:r w:rsidR="00F07D9A" w:rsidRPr="00793822">
        <w:rPr>
          <w:rFonts w:hint="eastAsia"/>
        </w:rPr>
        <w:t>台灣中油股份有限公司(下稱</w:t>
      </w:r>
      <w:r w:rsidR="00F07D9A" w:rsidRPr="00793822">
        <w:t>中油公司</w:t>
      </w:r>
      <w:r w:rsidR="00F07D9A" w:rsidRPr="00793822">
        <w:rPr>
          <w:rFonts w:hint="eastAsia"/>
        </w:rPr>
        <w:t>)</w:t>
      </w:r>
      <w:r w:rsidRPr="00793822">
        <w:rPr>
          <w:rFonts w:hint="eastAsia"/>
        </w:rPr>
        <w:t>、</w:t>
      </w:r>
      <w:r w:rsidR="00FC5C24" w:rsidRPr="00793822">
        <w:rPr>
          <w:rFonts w:hint="eastAsia"/>
        </w:rPr>
        <w:t>財團法人</w:t>
      </w:r>
      <w:r w:rsidRPr="00793822">
        <w:rPr>
          <w:rFonts w:hint="eastAsia"/>
        </w:rPr>
        <w:t>工業技術研究院、地礦中心共405口既有井相關地下數據，採用國際常用之體積熱能儲熱法，推估10大地熱潛能區3-6公里深之發電潛能，初步評估蘊藏量約39.7GW，相關數據如</w:t>
      </w:r>
      <w:r w:rsidR="00F07D9A" w:rsidRPr="00793822">
        <w:rPr>
          <w:rFonts w:hint="eastAsia"/>
        </w:rPr>
        <w:t>下</w:t>
      </w:r>
      <w:r w:rsidRPr="00793822">
        <w:rPr>
          <w:rFonts w:hint="eastAsia"/>
        </w:rPr>
        <w:t>表。</w:t>
      </w:r>
    </w:p>
    <w:p w14:paraId="6941D2E9" w14:textId="77777777" w:rsidR="0098158F" w:rsidRPr="00793822" w:rsidRDefault="0098158F" w:rsidP="00F07D9A">
      <w:pPr>
        <w:pStyle w:val="a3"/>
        <w:numPr>
          <w:ilvl w:val="0"/>
          <w:numId w:val="27"/>
        </w:numPr>
      </w:pPr>
      <w:r w:rsidRPr="00793822">
        <w:rPr>
          <w:rFonts w:hint="eastAsia"/>
        </w:rPr>
        <w:t>10大深層地熱潛能區蘊藏潛能初步評估</w:t>
      </w:r>
    </w:p>
    <w:tbl>
      <w:tblPr>
        <w:tblStyle w:val="af7"/>
        <w:tblW w:w="0" w:type="auto"/>
        <w:tblInd w:w="-5" w:type="dxa"/>
        <w:tblLayout w:type="fixed"/>
        <w:tblCellMar>
          <w:left w:w="28" w:type="dxa"/>
          <w:right w:w="28" w:type="dxa"/>
        </w:tblCellMar>
        <w:tblLook w:val="04A0" w:firstRow="1" w:lastRow="0" w:firstColumn="1" w:lastColumn="0" w:noHBand="0" w:noVBand="1"/>
      </w:tblPr>
      <w:tblGrid>
        <w:gridCol w:w="1843"/>
        <w:gridCol w:w="636"/>
        <w:gridCol w:w="636"/>
        <w:gridCol w:w="636"/>
        <w:gridCol w:w="636"/>
        <w:gridCol w:w="636"/>
        <w:gridCol w:w="636"/>
        <w:gridCol w:w="636"/>
        <w:gridCol w:w="636"/>
        <w:gridCol w:w="636"/>
        <w:gridCol w:w="636"/>
        <w:gridCol w:w="636"/>
      </w:tblGrid>
      <w:tr w:rsidR="006E3196" w:rsidRPr="00793822" w14:paraId="79C0DDC4" w14:textId="77777777" w:rsidTr="00A23EDD">
        <w:trPr>
          <w:trHeight w:val="567"/>
        </w:trPr>
        <w:tc>
          <w:tcPr>
            <w:tcW w:w="1843" w:type="dxa"/>
            <w:shd w:val="clear" w:color="auto" w:fill="FDE9D9" w:themeFill="accent6" w:themeFillTint="33"/>
            <w:vAlign w:val="center"/>
          </w:tcPr>
          <w:p w14:paraId="1D4515D4" w14:textId="77777777" w:rsidR="0098158F" w:rsidRPr="00793822" w:rsidRDefault="0098158F" w:rsidP="009C3A42">
            <w:pPr>
              <w:pStyle w:val="5"/>
              <w:numPr>
                <w:ilvl w:val="0"/>
                <w:numId w:val="0"/>
              </w:numPr>
              <w:jc w:val="center"/>
              <w:rPr>
                <w:sz w:val="24"/>
                <w:szCs w:val="24"/>
              </w:rPr>
            </w:pPr>
            <w:r w:rsidRPr="00793822">
              <w:rPr>
                <w:rFonts w:hint="eastAsia"/>
                <w:sz w:val="24"/>
                <w:szCs w:val="24"/>
              </w:rPr>
              <w:t>地熱潛能區</w:t>
            </w:r>
          </w:p>
        </w:tc>
        <w:tc>
          <w:tcPr>
            <w:tcW w:w="636" w:type="dxa"/>
            <w:shd w:val="clear" w:color="auto" w:fill="FDE9D9" w:themeFill="accent6" w:themeFillTint="33"/>
            <w:vAlign w:val="center"/>
          </w:tcPr>
          <w:p w14:paraId="7E63300B" w14:textId="77777777" w:rsidR="0098158F" w:rsidRPr="00793822" w:rsidRDefault="0098158F" w:rsidP="009C3A42">
            <w:pPr>
              <w:pStyle w:val="5"/>
              <w:numPr>
                <w:ilvl w:val="0"/>
                <w:numId w:val="0"/>
              </w:numPr>
              <w:jc w:val="center"/>
              <w:rPr>
                <w:sz w:val="24"/>
                <w:szCs w:val="24"/>
              </w:rPr>
            </w:pPr>
            <w:r w:rsidRPr="00793822">
              <w:rPr>
                <w:rFonts w:hint="eastAsia"/>
                <w:sz w:val="24"/>
                <w:szCs w:val="24"/>
              </w:rPr>
              <w:t>大屯</w:t>
            </w:r>
          </w:p>
        </w:tc>
        <w:tc>
          <w:tcPr>
            <w:tcW w:w="636" w:type="dxa"/>
            <w:shd w:val="clear" w:color="auto" w:fill="FDE9D9" w:themeFill="accent6" w:themeFillTint="33"/>
            <w:vAlign w:val="center"/>
          </w:tcPr>
          <w:p w14:paraId="3E370185" w14:textId="77777777" w:rsidR="0098158F" w:rsidRPr="00793822" w:rsidRDefault="0098158F" w:rsidP="009C3A42">
            <w:pPr>
              <w:pStyle w:val="5"/>
              <w:numPr>
                <w:ilvl w:val="0"/>
                <w:numId w:val="0"/>
              </w:numPr>
              <w:jc w:val="center"/>
              <w:rPr>
                <w:sz w:val="24"/>
                <w:szCs w:val="24"/>
              </w:rPr>
            </w:pPr>
            <w:r w:rsidRPr="00793822">
              <w:rPr>
                <w:rFonts w:hint="eastAsia"/>
                <w:sz w:val="24"/>
                <w:szCs w:val="24"/>
              </w:rPr>
              <w:t>清水土場</w:t>
            </w:r>
          </w:p>
        </w:tc>
        <w:tc>
          <w:tcPr>
            <w:tcW w:w="636" w:type="dxa"/>
            <w:shd w:val="clear" w:color="auto" w:fill="FDE9D9" w:themeFill="accent6" w:themeFillTint="33"/>
            <w:vAlign w:val="center"/>
          </w:tcPr>
          <w:p w14:paraId="5F4217F7" w14:textId="77777777" w:rsidR="0098158F" w:rsidRPr="00793822" w:rsidRDefault="0098158F" w:rsidP="009C3A42">
            <w:pPr>
              <w:pStyle w:val="5"/>
              <w:numPr>
                <w:ilvl w:val="0"/>
                <w:numId w:val="0"/>
              </w:numPr>
              <w:jc w:val="center"/>
              <w:rPr>
                <w:sz w:val="24"/>
                <w:szCs w:val="24"/>
              </w:rPr>
            </w:pPr>
            <w:r w:rsidRPr="00793822">
              <w:rPr>
                <w:rFonts w:hint="eastAsia"/>
                <w:sz w:val="24"/>
                <w:szCs w:val="24"/>
              </w:rPr>
              <w:t>廬山</w:t>
            </w:r>
          </w:p>
        </w:tc>
        <w:tc>
          <w:tcPr>
            <w:tcW w:w="636" w:type="dxa"/>
            <w:shd w:val="clear" w:color="auto" w:fill="FDE9D9" w:themeFill="accent6" w:themeFillTint="33"/>
            <w:vAlign w:val="center"/>
          </w:tcPr>
          <w:p w14:paraId="059E57F8" w14:textId="77777777" w:rsidR="0098158F" w:rsidRPr="00793822" w:rsidRDefault="0098158F" w:rsidP="009C3A42">
            <w:pPr>
              <w:pStyle w:val="5"/>
              <w:numPr>
                <w:ilvl w:val="0"/>
                <w:numId w:val="0"/>
              </w:numPr>
              <w:jc w:val="center"/>
              <w:rPr>
                <w:sz w:val="24"/>
                <w:szCs w:val="24"/>
              </w:rPr>
            </w:pPr>
            <w:r w:rsidRPr="00793822">
              <w:rPr>
                <w:rFonts w:hint="eastAsia"/>
                <w:sz w:val="24"/>
                <w:szCs w:val="24"/>
              </w:rPr>
              <w:t>瑞穗</w:t>
            </w:r>
          </w:p>
        </w:tc>
        <w:tc>
          <w:tcPr>
            <w:tcW w:w="636" w:type="dxa"/>
            <w:shd w:val="clear" w:color="auto" w:fill="FDE9D9" w:themeFill="accent6" w:themeFillTint="33"/>
            <w:vAlign w:val="center"/>
          </w:tcPr>
          <w:p w14:paraId="26A17486" w14:textId="77777777" w:rsidR="0098158F" w:rsidRPr="00793822" w:rsidRDefault="0098158F" w:rsidP="009C3A42">
            <w:pPr>
              <w:pStyle w:val="5"/>
              <w:numPr>
                <w:ilvl w:val="0"/>
                <w:numId w:val="0"/>
              </w:numPr>
              <w:jc w:val="center"/>
              <w:rPr>
                <w:sz w:val="24"/>
                <w:szCs w:val="24"/>
              </w:rPr>
            </w:pPr>
            <w:r w:rsidRPr="00793822">
              <w:rPr>
                <w:rFonts w:hint="eastAsia"/>
                <w:sz w:val="24"/>
                <w:szCs w:val="24"/>
              </w:rPr>
              <w:t>霧鹿</w:t>
            </w:r>
          </w:p>
          <w:p w14:paraId="1B0011B2" w14:textId="77777777" w:rsidR="0098158F" w:rsidRPr="00793822" w:rsidRDefault="0098158F" w:rsidP="009C3A42">
            <w:pPr>
              <w:pStyle w:val="5"/>
              <w:numPr>
                <w:ilvl w:val="0"/>
                <w:numId w:val="0"/>
              </w:numPr>
              <w:jc w:val="center"/>
              <w:rPr>
                <w:sz w:val="24"/>
                <w:szCs w:val="24"/>
              </w:rPr>
            </w:pPr>
            <w:r w:rsidRPr="00793822">
              <w:rPr>
                <w:rFonts w:hint="eastAsia"/>
                <w:sz w:val="24"/>
                <w:szCs w:val="24"/>
              </w:rPr>
              <w:t>延平</w:t>
            </w:r>
          </w:p>
        </w:tc>
        <w:tc>
          <w:tcPr>
            <w:tcW w:w="636" w:type="dxa"/>
            <w:shd w:val="clear" w:color="auto" w:fill="FDE9D9" w:themeFill="accent6" w:themeFillTint="33"/>
            <w:vAlign w:val="center"/>
          </w:tcPr>
          <w:p w14:paraId="6CB3AB69" w14:textId="77777777" w:rsidR="0098158F" w:rsidRPr="00793822" w:rsidRDefault="0098158F" w:rsidP="009C3A42">
            <w:pPr>
              <w:pStyle w:val="5"/>
              <w:numPr>
                <w:ilvl w:val="0"/>
                <w:numId w:val="0"/>
              </w:numPr>
              <w:jc w:val="center"/>
              <w:rPr>
                <w:sz w:val="24"/>
                <w:szCs w:val="24"/>
              </w:rPr>
            </w:pPr>
            <w:r w:rsidRPr="00793822">
              <w:rPr>
                <w:rFonts w:hint="eastAsia"/>
                <w:sz w:val="24"/>
                <w:szCs w:val="24"/>
              </w:rPr>
              <w:t>知本金</w:t>
            </w:r>
            <w:proofErr w:type="gramStart"/>
            <w:r w:rsidRPr="00793822">
              <w:rPr>
                <w:rFonts w:hint="eastAsia"/>
                <w:sz w:val="24"/>
                <w:szCs w:val="24"/>
              </w:rPr>
              <w:t>崙</w:t>
            </w:r>
            <w:proofErr w:type="gramEnd"/>
          </w:p>
        </w:tc>
        <w:tc>
          <w:tcPr>
            <w:tcW w:w="636" w:type="dxa"/>
            <w:shd w:val="clear" w:color="auto" w:fill="FDE9D9" w:themeFill="accent6" w:themeFillTint="33"/>
            <w:vAlign w:val="center"/>
          </w:tcPr>
          <w:p w14:paraId="43C3BB81" w14:textId="77777777" w:rsidR="0098158F" w:rsidRPr="00793822" w:rsidRDefault="0098158F" w:rsidP="009C3A42">
            <w:pPr>
              <w:pStyle w:val="5"/>
              <w:numPr>
                <w:ilvl w:val="0"/>
                <w:numId w:val="0"/>
              </w:numPr>
              <w:jc w:val="center"/>
              <w:rPr>
                <w:sz w:val="24"/>
                <w:szCs w:val="24"/>
              </w:rPr>
            </w:pPr>
            <w:r w:rsidRPr="00793822">
              <w:rPr>
                <w:rFonts w:hint="eastAsia"/>
                <w:sz w:val="24"/>
                <w:szCs w:val="24"/>
              </w:rPr>
              <w:t>寶來</w:t>
            </w:r>
          </w:p>
        </w:tc>
        <w:tc>
          <w:tcPr>
            <w:tcW w:w="636" w:type="dxa"/>
            <w:shd w:val="clear" w:color="auto" w:fill="FDE9D9" w:themeFill="accent6" w:themeFillTint="33"/>
            <w:vAlign w:val="center"/>
          </w:tcPr>
          <w:p w14:paraId="46FD0E1E" w14:textId="77777777" w:rsidR="0098158F" w:rsidRPr="00793822" w:rsidRDefault="0098158F" w:rsidP="009C3A42">
            <w:pPr>
              <w:pStyle w:val="5"/>
              <w:numPr>
                <w:ilvl w:val="0"/>
                <w:numId w:val="0"/>
              </w:numPr>
              <w:jc w:val="center"/>
              <w:rPr>
                <w:sz w:val="24"/>
                <w:szCs w:val="24"/>
              </w:rPr>
            </w:pPr>
            <w:r w:rsidRPr="00793822">
              <w:rPr>
                <w:rFonts w:hint="eastAsia"/>
                <w:sz w:val="24"/>
                <w:szCs w:val="24"/>
              </w:rPr>
              <w:t>關子嶺</w:t>
            </w:r>
          </w:p>
        </w:tc>
        <w:tc>
          <w:tcPr>
            <w:tcW w:w="636" w:type="dxa"/>
            <w:shd w:val="clear" w:color="auto" w:fill="FDE9D9" w:themeFill="accent6" w:themeFillTint="33"/>
            <w:vAlign w:val="center"/>
          </w:tcPr>
          <w:p w14:paraId="75136EF6" w14:textId="77777777" w:rsidR="0098158F" w:rsidRPr="00793822" w:rsidRDefault="0098158F" w:rsidP="009C3A42">
            <w:pPr>
              <w:pStyle w:val="5"/>
              <w:numPr>
                <w:ilvl w:val="0"/>
                <w:numId w:val="0"/>
              </w:numPr>
              <w:jc w:val="center"/>
              <w:rPr>
                <w:sz w:val="24"/>
                <w:szCs w:val="24"/>
              </w:rPr>
            </w:pPr>
            <w:r w:rsidRPr="00793822">
              <w:rPr>
                <w:rFonts w:hint="eastAsia"/>
                <w:sz w:val="24"/>
                <w:szCs w:val="24"/>
              </w:rPr>
              <w:t>苗栗</w:t>
            </w:r>
          </w:p>
        </w:tc>
        <w:tc>
          <w:tcPr>
            <w:tcW w:w="636" w:type="dxa"/>
            <w:shd w:val="clear" w:color="auto" w:fill="FDE9D9" w:themeFill="accent6" w:themeFillTint="33"/>
            <w:vAlign w:val="center"/>
          </w:tcPr>
          <w:p w14:paraId="0594B9F3" w14:textId="77777777" w:rsidR="0098158F" w:rsidRPr="00793822" w:rsidRDefault="0098158F" w:rsidP="009C3A42">
            <w:pPr>
              <w:pStyle w:val="5"/>
              <w:numPr>
                <w:ilvl w:val="0"/>
                <w:numId w:val="0"/>
              </w:numPr>
              <w:jc w:val="center"/>
              <w:rPr>
                <w:sz w:val="24"/>
                <w:szCs w:val="24"/>
              </w:rPr>
            </w:pPr>
            <w:r w:rsidRPr="00793822">
              <w:rPr>
                <w:rFonts w:hint="eastAsia"/>
                <w:sz w:val="24"/>
                <w:szCs w:val="24"/>
              </w:rPr>
              <w:t>東埔</w:t>
            </w:r>
          </w:p>
        </w:tc>
        <w:tc>
          <w:tcPr>
            <w:tcW w:w="636" w:type="dxa"/>
            <w:shd w:val="clear" w:color="auto" w:fill="FDE9D9" w:themeFill="accent6" w:themeFillTint="33"/>
            <w:vAlign w:val="center"/>
          </w:tcPr>
          <w:p w14:paraId="35AE4604" w14:textId="77777777" w:rsidR="0098158F" w:rsidRPr="00793822" w:rsidRDefault="0098158F" w:rsidP="009C3A42">
            <w:pPr>
              <w:pStyle w:val="5"/>
              <w:ind w:left="0"/>
              <w:jc w:val="center"/>
              <w:rPr>
                <w:sz w:val="24"/>
                <w:szCs w:val="24"/>
              </w:rPr>
            </w:pPr>
            <w:r w:rsidRPr="00793822">
              <w:rPr>
                <w:rFonts w:hint="eastAsia"/>
                <w:sz w:val="24"/>
                <w:szCs w:val="24"/>
              </w:rPr>
              <w:t>合計</w:t>
            </w:r>
          </w:p>
        </w:tc>
      </w:tr>
      <w:tr w:rsidR="006E3196" w:rsidRPr="00793822" w14:paraId="0648BBED" w14:textId="77777777" w:rsidTr="00A23EDD">
        <w:trPr>
          <w:trHeight w:val="567"/>
        </w:trPr>
        <w:tc>
          <w:tcPr>
            <w:tcW w:w="1843" w:type="dxa"/>
            <w:vAlign w:val="center"/>
          </w:tcPr>
          <w:p w14:paraId="7708B1FE" w14:textId="77777777" w:rsidR="0098158F" w:rsidRPr="00793822" w:rsidRDefault="0098158F" w:rsidP="009C3A42">
            <w:pPr>
              <w:jc w:val="center"/>
              <w:rPr>
                <w:sz w:val="24"/>
                <w:szCs w:val="24"/>
              </w:rPr>
            </w:pPr>
            <w:r w:rsidRPr="00793822">
              <w:rPr>
                <w:rFonts w:hint="eastAsia"/>
                <w:sz w:val="24"/>
                <w:szCs w:val="24"/>
              </w:rPr>
              <w:t>蘊藏潛能</w:t>
            </w:r>
            <w:r w:rsidRPr="00793822">
              <w:rPr>
                <w:sz w:val="24"/>
                <w:szCs w:val="24"/>
              </w:rPr>
              <w:t>(GW</w:t>
            </w:r>
            <w:r w:rsidRPr="00793822">
              <w:rPr>
                <w:rFonts w:hint="eastAsia"/>
                <w:sz w:val="24"/>
                <w:szCs w:val="24"/>
              </w:rPr>
              <w:t>)</w:t>
            </w:r>
          </w:p>
        </w:tc>
        <w:tc>
          <w:tcPr>
            <w:tcW w:w="636" w:type="dxa"/>
            <w:vAlign w:val="center"/>
          </w:tcPr>
          <w:p w14:paraId="23A15EFA" w14:textId="77777777" w:rsidR="0098158F" w:rsidRPr="00793822" w:rsidRDefault="0098158F" w:rsidP="009C3A42">
            <w:pPr>
              <w:pStyle w:val="5"/>
              <w:numPr>
                <w:ilvl w:val="0"/>
                <w:numId w:val="0"/>
              </w:numPr>
              <w:jc w:val="center"/>
              <w:rPr>
                <w:sz w:val="24"/>
                <w:szCs w:val="24"/>
              </w:rPr>
            </w:pPr>
            <w:r w:rsidRPr="00793822">
              <w:rPr>
                <w:rFonts w:hint="eastAsia"/>
                <w:sz w:val="24"/>
                <w:szCs w:val="24"/>
              </w:rPr>
              <w:t>2.7</w:t>
            </w:r>
          </w:p>
        </w:tc>
        <w:tc>
          <w:tcPr>
            <w:tcW w:w="636" w:type="dxa"/>
            <w:vAlign w:val="center"/>
          </w:tcPr>
          <w:p w14:paraId="00C5607C" w14:textId="77777777" w:rsidR="0098158F" w:rsidRPr="00793822" w:rsidRDefault="0098158F" w:rsidP="009C3A42">
            <w:pPr>
              <w:pStyle w:val="5"/>
              <w:numPr>
                <w:ilvl w:val="0"/>
                <w:numId w:val="0"/>
              </w:numPr>
              <w:jc w:val="center"/>
              <w:rPr>
                <w:sz w:val="24"/>
                <w:szCs w:val="24"/>
              </w:rPr>
            </w:pPr>
            <w:r w:rsidRPr="00793822">
              <w:rPr>
                <w:rFonts w:hint="eastAsia"/>
                <w:sz w:val="24"/>
                <w:szCs w:val="24"/>
              </w:rPr>
              <w:t>8.5</w:t>
            </w:r>
          </w:p>
        </w:tc>
        <w:tc>
          <w:tcPr>
            <w:tcW w:w="636" w:type="dxa"/>
            <w:vAlign w:val="center"/>
          </w:tcPr>
          <w:p w14:paraId="2F132959" w14:textId="77777777" w:rsidR="0098158F" w:rsidRPr="00793822" w:rsidRDefault="0098158F" w:rsidP="009C3A42">
            <w:pPr>
              <w:pStyle w:val="5"/>
              <w:numPr>
                <w:ilvl w:val="0"/>
                <w:numId w:val="0"/>
              </w:numPr>
              <w:jc w:val="center"/>
              <w:rPr>
                <w:sz w:val="24"/>
                <w:szCs w:val="24"/>
              </w:rPr>
            </w:pPr>
            <w:r w:rsidRPr="00793822">
              <w:rPr>
                <w:rFonts w:hint="eastAsia"/>
                <w:sz w:val="24"/>
                <w:szCs w:val="24"/>
              </w:rPr>
              <w:t>3.7</w:t>
            </w:r>
          </w:p>
        </w:tc>
        <w:tc>
          <w:tcPr>
            <w:tcW w:w="636" w:type="dxa"/>
            <w:vAlign w:val="center"/>
          </w:tcPr>
          <w:p w14:paraId="0D260CEF" w14:textId="77777777" w:rsidR="0098158F" w:rsidRPr="00793822" w:rsidRDefault="0098158F" w:rsidP="009C3A42">
            <w:pPr>
              <w:pStyle w:val="5"/>
              <w:numPr>
                <w:ilvl w:val="0"/>
                <w:numId w:val="0"/>
              </w:numPr>
              <w:jc w:val="center"/>
              <w:rPr>
                <w:sz w:val="24"/>
                <w:szCs w:val="24"/>
              </w:rPr>
            </w:pPr>
            <w:r w:rsidRPr="00793822">
              <w:rPr>
                <w:rFonts w:hint="eastAsia"/>
                <w:sz w:val="24"/>
                <w:szCs w:val="24"/>
              </w:rPr>
              <w:t>3.5</w:t>
            </w:r>
          </w:p>
        </w:tc>
        <w:tc>
          <w:tcPr>
            <w:tcW w:w="636" w:type="dxa"/>
            <w:vAlign w:val="center"/>
          </w:tcPr>
          <w:p w14:paraId="07CAE463" w14:textId="77777777" w:rsidR="0098158F" w:rsidRPr="00793822" w:rsidRDefault="0098158F" w:rsidP="009C3A42">
            <w:pPr>
              <w:pStyle w:val="5"/>
              <w:numPr>
                <w:ilvl w:val="0"/>
                <w:numId w:val="0"/>
              </w:numPr>
              <w:jc w:val="center"/>
              <w:rPr>
                <w:sz w:val="24"/>
                <w:szCs w:val="24"/>
              </w:rPr>
            </w:pPr>
            <w:r w:rsidRPr="00793822">
              <w:rPr>
                <w:rFonts w:hint="eastAsia"/>
                <w:sz w:val="24"/>
                <w:szCs w:val="24"/>
              </w:rPr>
              <w:t>5.6</w:t>
            </w:r>
          </w:p>
        </w:tc>
        <w:tc>
          <w:tcPr>
            <w:tcW w:w="636" w:type="dxa"/>
            <w:vAlign w:val="center"/>
          </w:tcPr>
          <w:p w14:paraId="0DA8649A" w14:textId="77777777" w:rsidR="0098158F" w:rsidRPr="00793822" w:rsidRDefault="0098158F" w:rsidP="009C3A42">
            <w:pPr>
              <w:pStyle w:val="5"/>
              <w:numPr>
                <w:ilvl w:val="0"/>
                <w:numId w:val="0"/>
              </w:numPr>
              <w:jc w:val="center"/>
              <w:rPr>
                <w:sz w:val="24"/>
                <w:szCs w:val="24"/>
              </w:rPr>
            </w:pPr>
            <w:r w:rsidRPr="00793822">
              <w:rPr>
                <w:rFonts w:hint="eastAsia"/>
                <w:sz w:val="24"/>
                <w:szCs w:val="24"/>
              </w:rPr>
              <w:t>5.4</w:t>
            </w:r>
          </w:p>
        </w:tc>
        <w:tc>
          <w:tcPr>
            <w:tcW w:w="636" w:type="dxa"/>
            <w:vAlign w:val="center"/>
          </w:tcPr>
          <w:p w14:paraId="10280D60" w14:textId="77777777" w:rsidR="0098158F" w:rsidRPr="00793822" w:rsidRDefault="0098158F" w:rsidP="009C3A42">
            <w:pPr>
              <w:pStyle w:val="5"/>
              <w:numPr>
                <w:ilvl w:val="0"/>
                <w:numId w:val="0"/>
              </w:numPr>
              <w:jc w:val="center"/>
              <w:rPr>
                <w:sz w:val="24"/>
                <w:szCs w:val="24"/>
              </w:rPr>
            </w:pPr>
            <w:r w:rsidRPr="00793822">
              <w:rPr>
                <w:rFonts w:hint="eastAsia"/>
                <w:sz w:val="24"/>
                <w:szCs w:val="24"/>
              </w:rPr>
              <w:t>3.6</w:t>
            </w:r>
          </w:p>
        </w:tc>
        <w:tc>
          <w:tcPr>
            <w:tcW w:w="636" w:type="dxa"/>
            <w:vAlign w:val="center"/>
          </w:tcPr>
          <w:p w14:paraId="6B95D827" w14:textId="77777777" w:rsidR="0098158F" w:rsidRPr="00793822" w:rsidRDefault="0098158F" w:rsidP="009C3A42">
            <w:pPr>
              <w:pStyle w:val="5"/>
              <w:numPr>
                <w:ilvl w:val="0"/>
                <w:numId w:val="0"/>
              </w:numPr>
              <w:jc w:val="center"/>
              <w:rPr>
                <w:sz w:val="24"/>
                <w:szCs w:val="24"/>
              </w:rPr>
            </w:pPr>
            <w:r w:rsidRPr="00793822">
              <w:rPr>
                <w:rFonts w:hint="eastAsia"/>
                <w:sz w:val="24"/>
                <w:szCs w:val="24"/>
              </w:rPr>
              <w:t>3.3</w:t>
            </w:r>
          </w:p>
        </w:tc>
        <w:tc>
          <w:tcPr>
            <w:tcW w:w="636" w:type="dxa"/>
            <w:vAlign w:val="center"/>
          </w:tcPr>
          <w:p w14:paraId="6E92422B" w14:textId="77777777" w:rsidR="0098158F" w:rsidRPr="00793822" w:rsidRDefault="0098158F" w:rsidP="009C3A42">
            <w:pPr>
              <w:pStyle w:val="5"/>
              <w:numPr>
                <w:ilvl w:val="0"/>
                <w:numId w:val="0"/>
              </w:numPr>
              <w:jc w:val="center"/>
              <w:rPr>
                <w:sz w:val="24"/>
                <w:szCs w:val="24"/>
              </w:rPr>
            </w:pPr>
            <w:r w:rsidRPr="00793822">
              <w:rPr>
                <w:rFonts w:hint="eastAsia"/>
                <w:sz w:val="24"/>
                <w:szCs w:val="24"/>
              </w:rPr>
              <w:t>1.2</w:t>
            </w:r>
          </w:p>
        </w:tc>
        <w:tc>
          <w:tcPr>
            <w:tcW w:w="636" w:type="dxa"/>
            <w:vAlign w:val="center"/>
          </w:tcPr>
          <w:p w14:paraId="7C0166BA" w14:textId="77777777" w:rsidR="0098158F" w:rsidRPr="00793822" w:rsidRDefault="0098158F" w:rsidP="009C3A42">
            <w:pPr>
              <w:pStyle w:val="5"/>
              <w:numPr>
                <w:ilvl w:val="0"/>
                <w:numId w:val="0"/>
              </w:numPr>
              <w:jc w:val="center"/>
              <w:rPr>
                <w:sz w:val="24"/>
                <w:szCs w:val="24"/>
              </w:rPr>
            </w:pPr>
            <w:r w:rsidRPr="00793822">
              <w:rPr>
                <w:rFonts w:hint="eastAsia"/>
                <w:sz w:val="24"/>
                <w:szCs w:val="24"/>
              </w:rPr>
              <w:t>2.2</w:t>
            </w:r>
          </w:p>
        </w:tc>
        <w:tc>
          <w:tcPr>
            <w:tcW w:w="636" w:type="dxa"/>
            <w:vAlign w:val="center"/>
          </w:tcPr>
          <w:p w14:paraId="5CCED831" w14:textId="77777777" w:rsidR="0098158F" w:rsidRPr="00793822" w:rsidRDefault="0098158F" w:rsidP="009C3A42">
            <w:pPr>
              <w:pStyle w:val="5"/>
              <w:numPr>
                <w:ilvl w:val="0"/>
                <w:numId w:val="0"/>
              </w:numPr>
              <w:jc w:val="center"/>
              <w:rPr>
                <w:sz w:val="24"/>
                <w:szCs w:val="24"/>
              </w:rPr>
            </w:pPr>
            <w:r w:rsidRPr="00793822">
              <w:rPr>
                <w:rFonts w:hint="eastAsia"/>
                <w:sz w:val="24"/>
                <w:szCs w:val="24"/>
              </w:rPr>
              <w:t>39.7</w:t>
            </w:r>
          </w:p>
        </w:tc>
      </w:tr>
    </w:tbl>
    <w:p w14:paraId="2F5E2AB2" w14:textId="77777777" w:rsidR="0098158F" w:rsidRPr="00793822" w:rsidRDefault="0098158F" w:rsidP="0098158F">
      <w:pPr>
        <w:rPr>
          <w:sz w:val="28"/>
          <w:szCs w:val="18"/>
        </w:rPr>
      </w:pPr>
      <w:r w:rsidRPr="00793822">
        <w:rPr>
          <w:rFonts w:hint="eastAsia"/>
          <w:sz w:val="28"/>
          <w:szCs w:val="18"/>
        </w:rPr>
        <w:t>資料來源：地礦中心112年臺灣國際地熱論壇簡報。</w:t>
      </w:r>
    </w:p>
    <w:p w14:paraId="4A98BFF6" w14:textId="77777777" w:rsidR="0098158F" w:rsidRPr="00793822" w:rsidRDefault="0098158F" w:rsidP="0098158F"/>
    <w:p w14:paraId="61091D47" w14:textId="3AE0A46C" w:rsidR="0098158F" w:rsidRPr="00793822" w:rsidRDefault="0098158F" w:rsidP="0098158F">
      <w:pPr>
        <w:pStyle w:val="4"/>
        <w:rPr>
          <w:rFonts w:hAnsi="標楷體"/>
        </w:rPr>
      </w:pPr>
      <w:r w:rsidRPr="00793822">
        <w:rPr>
          <w:rFonts w:hAnsi="標楷體"/>
        </w:rPr>
        <w:t>為加速地熱開發，</w:t>
      </w:r>
      <w:r w:rsidRPr="00793822">
        <w:rPr>
          <w:rFonts w:hAnsi="標楷體" w:hint="eastAsia"/>
        </w:rPr>
        <w:t>探明我國地熱潛能，地礦中心自110年起啟動國內地熱潛在場址調查及探</w:t>
      </w:r>
      <w:proofErr w:type="gramStart"/>
      <w:r w:rsidRPr="00793822">
        <w:rPr>
          <w:rFonts w:hAnsi="標楷體" w:hint="eastAsia"/>
        </w:rPr>
        <w:t>勘</w:t>
      </w:r>
      <w:proofErr w:type="gramEnd"/>
      <w:r w:rsidRPr="00793822">
        <w:rPr>
          <w:rFonts w:hAnsi="標楷體" w:hint="eastAsia"/>
        </w:rPr>
        <w:t>，並將探</w:t>
      </w:r>
      <w:proofErr w:type="gramStart"/>
      <w:r w:rsidRPr="00793822">
        <w:rPr>
          <w:rFonts w:hAnsi="標楷體" w:hint="eastAsia"/>
        </w:rPr>
        <w:t>勘</w:t>
      </w:r>
      <w:proofErr w:type="gramEnd"/>
      <w:r w:rsidRPr="00793822">
        <w:rPr>
          <w:rFonts w:hAnsi="標楷體" w:hint="eastAsia"/>
        </w:rPr>
        <w:t>資料公開於「地熱探</w:t>
      </w:r>
      <w:proofErr w:type="gramStart"/>
      <w:r w:rsidRPr="00793822">
        <w:rPr>
          <w:rFonts w:hAnsi="標楷體" w:hint="eastAsia"/>
        </w:rPr>
        <w:t>勘</w:t>
      </w:r>
      <w:proofErr w:type="gramEnd"/>
      <w:r w:rsidRPr="00793822">
        <w:rPr>
          <w:rFonts w:hAnsi="標楷體" w:hint="eastAsia"/>
        </w:rPr>
        <w:t>資訊平</w:t>
      </w:r>
      <w:proofErr w:type="gramStart"/>
      <w:r w:rsidRPr="00793822">
        <w:rPr>
          <w:rFonts w:hAnsi="標楷體" w:hint="eastAsia"/>
        </w:rPr>
        <w:t>臺</w:t>
      </w:r>
      <w:proofErr w:type="gramEnd"/>
      <w:r w:rsidRPr="00793822">
        <w:rPr>
          <w:rFonts w:hAnsi="標楷體" w:hint="eastAsia"/>
        </w:rPr>
        <w:t>」，降低後續業者投入地熱開發之風險。地礦中心後續以國內探</w:t>
      </w:r>
      <w:proofErr w:type="gramStart"/>
      <w:r w:rsidRPr="00793822">
        <w:rPr>
          <w:rFonts w:hAnsi="標楷體" w:hint="eastAsia"/>
        </w:rPr>
        <w:t>勘</w:t>
      </w:r>
      <w:proofErr w:type="gramEnd"/>
      <w:r w:rsidRPr="00793822">
        <w:rPr>
          <w:rFonts w:hAnsi="標楷體" w:hint="eastAsia"/>
        </w:rPr>
        <w:t>資料</w:t>
      </w:r>
      <w:proofErr w:type="gramStart"/>
      <w:r w:rsidRPr="00793822">
        <w:rPr>
          <w:rFonts w:hAnsi="標楷體" w:hint="eastAsia"/>
        </w:rPr>
        <w:t>較稀缺之</w:t>
      </w:r>
      <w:proofErr w:type="gramEnd"/>
      <w:r w:rsidRPr="00793822">
        <w:rPr>
          <w:rFonts w:hAnsi="標楷體" w:hint="eastAsia"/>
        </w:rPr>
        <w:t>地區進行調查、鑽井，現階段成果如</w:t>
      </w:r>
      <w:r w:rsidR="00F07D9A" w:rsidRPr="00793822">
        <w:rPr>
          <w:rFonts w:hAnsi="標楷體" w:hint="eastAsia"/>
        </w:rPr>
        <w:t>下</w:t>
      </w:r>
      <w:r w:rsidRPr="00793822">
        <w:rPr>
          <w:rFonts w:hAnsi="標楷體" w:hint="eastAsia"/>
        </w:rPr>
        <w:t>表。</w:t>
      </w:r>
    </w:p>
    <w:p w14:paraId="35B50FA0" w14:textId="77777777" w:rsidR="0098158F" w:rsidRPr="00793822" w:rsidRDefault="0098158F" w:rsidP="0098158F">
      <w:pPr>
        <w:pStyle w:val="a3"/>
        <w:rPr>
          <w:rFonts w:hAnsi="標楷體"/>
          <w:bCs w:val="0"/>
        </w:rPr>
      </w:pPr>
      <w:r w:rsidRPr="00793822">
        <w:rPr>
          <w:rFonts w:hAnsi="標楷體" w:hint="eastAsia"/>
          <w:bCs w:val="0"/>
        </w:rPr>
        <w:lastRenderedPageBreak/>
        <w:t>地礦中心探</w:t>
      </w:r>
      <w:proofErr w:type="gramStart"/>
      <w:r w:rsidRPr="00793822">
        <w:rPr>
          <w:rFonts w:hAnsi="標楷體" w:hint="eastAsia"/>
          <w:bCs w:val="0"/>
        </w:rPr>
        <w:t>勘</w:t>
      </w:r>
      <w:proofErr w:type="gramEnd"/>
      <w:r w:rsidRPr="00793822">
        <w:rPr>
          <w:rFonts w:hAnsi="標楷體" w:hint="eastAsia"/>
          <w:bCs w:val="0"/>
        </w:rPr>
        <w:t>區位</w:t>
      </w:r>
    </w:p>
    <w:tbl>
      <w:tblPr>
        <w:tblStyle w:val="af7"/>
        <w:tblW w:w="0" w:type="auto"/>
        <w:tblLook w:val="04A0" w:firstRow="1" w:lastRow="0" w:firstColumn="1" w:lastColumn="0" w:noHBand="0" w:noVBand="1"/>
      </w:tblPr>
      <w:tblGrid>
        <w:gridCol w:w="2122"/>
        <w:gridCol w:w="2270"/>
        <w:gridCol w:w="1982"/>
        <w:gridCol w:w="2412"/>
      </w:tblGrid>
      <w:tr w:rsidR="006E3196" w:rsidRPr="00793822" w14:paraId="0926B798" w14:textId="77777777" w:rsidTr="00662684">
        <w:trPr>
          <w:tblHeader/>
        </w:trPr>
        <w:tc>
          <w:tcPr>
            <w:tcW w:w="2122" w:type="dxa"/>
            <w:shd w:val="clear" w:color="auto" w:fill="FDE9D9" w:themeFill="accent6" w:themeFillTint="33"/>
            <w:vAlign w:val="center"/>
          </w:tcPr>
          <w:p w14:paraId="7E253700" w14:textId="77777777" w:rsidR="0098158F" w:rsidRPr="00793822" w:rsidRDefault="0098158F" w:rsidP="002E07EA">
            <w:pPr>
              <w:spacing w:line="320" w:lineRule="exact"/>
              <w:jc w:val="center"/>
              <w:rPr>
                <w:rFonts w:hAnsi="標楷體"/>
                <w:b/>
                <w:bCs/>
                <w:sz w:val="28"/>
                <w:szCs w:val="28"/>
              </w:rPr>
            </w:pPr>
            <w:r w:rsidRPr="00793822">
              <w:rPr>
                <w:rFonts w:hAnsi="標楷體" w:hint="eastAsia"/>
                <w:b/>
                <w:bCs/>
                <w:sz w:val="28"/>
                <w:szCs w:val="28"/>
              </w:rPr>
              <w:t>縣市</w:t>
            </w:r>
          </w:p>
        </w:tc>
        <w:tc>
          <w:tcPr>
            <w:tcW w:w="2270" w:type="dxa"/>
            <w:shd w:val="clear" w:color="auto" w:fill="FDE9D9" w:themeFill="accent6" w:themeFillTint="33"/>
            <w:vAlign w:val="center"/>
          </w:tcPr>
          <w:p w14:paraId="74BBFEF2" w14:textId="77777777" w:rsidR="0098158F" w:rsidRPr="00793822" w:rsidRDefault="0098158F" w:rsidP="002E07EA">
            <w:pPr>
              <w:spacing w:line="320" w:lineRule="exact"/>
              <w:jc w:val="center"/>
              <w:rPr>
                <w:rFonts w:hAnsi="標楷體"/>
                <w:b/>
                <w:bCs/>
                <w:sz w:val="28"/>
                <w:szCs w:val="28"/>
              </w:rPr>
            </w:pPr>
            <w:r w:rsidRPr="00793822">
              <w:rPr>
                <w:rFonts w:hAnsi="標楷體" w:hint="eastAsia"/>
                <w:b/>
                <w:bCs/>
                <w:sz w:val="28"/>
                <w:szCs w:val="28"/>
              </w:rPr>
              <w:t>探</w:t>
            </w:r>
            <w:proofErr w:type="gramStart"/>
            <w:r w:rsidRPr="00793822">
              <w:rPr>
                <w:rFonts w:hAnsi="標楷體" w:hint="eastAsia"/>
                <w:b/>
                <w:bCs/>
                <w:sz w:val="28"/>
                <w:szCs w:val="28"/>
              </w:rPr>
              <w:t>勘</w:t>
            </w:r>
            <w:proofErr w:type="gramEnd"/>
            <w:r w:rsidRPr="00793822">
              <w:rPr>
                <w:rFonts w:hAnsi="標楷體" w:hint="eastAsia"/>
                <w:b/>
                <w:bCs/>
                <w:sz w:val="28"/>
                <w:szCs w:val="28"/>
              </w:rPr>
              <w:t>區位</w:t>
            </w:r>
          </w:p>
        </w:tc>
        <w:tc>
          <w:tcPr>
            <w:tcW w:w="1982" w:type="dxa"/>
            <w:shd w:val="clear" w:color="auto" w:fill="FDE9D9" w:themeFill="accent6" w:themeFillTint="33"/>
            <w:vAlign w:val="center"/>
          </w:tcPr>
          <w:p w14:paraId="6B30852B" w14:textId="77777777" w:rsidR="0098158F" w:rsidRPr="00793822" w:rsidRDefault="0098158F" w:rsidP="002E07EA">
            <w:pPr>
              <w:spacing w:line="320" w:lineRule="exact"/>
              <w:jc w:val="center"/>
              <w:rPr>
                <w:rFonts w:hAnsi="標楷體"/>
                <w:b/>
                <w:bCs/>
                <w:sz w:val="28"/>
                <w:szCs w:val="28"/>
              </w:rPr>
            </w:pPr>
            <w:r w:rsidRPr="00793822">
              <w:rPr>
                <w:rFonts w:hAnsi="標楷體" w:hint="eastAsia"/>
                <w:b/>
                <w:bCs/>
                <w:sz w:val="28"/>
                <w:szCs w:val="28"/>
              </w:rPr>
              <w:t>鑽井口數</w:t>
            </w:r>
          </w:p>
        </w:tc>
        <w:tc>
          <w:tcPr>
            <w:tcW w:w="2412" w:type="dxa"/>
            <w:shd w:val="clear" w:color="auto" w:fill="FDE9D9" w:themeFill="accent6" w:themeFillTint="33"/>
            <w:vAlign w:val="center"/>
          </w:tcPr>
          <w:p w14:paraId="3F71BB2E" w14:textId="77777777" w:rsidR="0098158F" w:rsidRPr="00793822" w:rsidRDefault="0098158F" w:rsidP="002E07EA">
            <w:pPr>
              <w:spacing w:line="320" w:lineRule="exact"/>
              <w:jc w:val="center"/>
              <w:rPr>
                <w:rFonts w:hAnsi="標楷體"/>
                <w:b/>
                <w:bCs/>
                <w:sz w:val="28"/>
                <w:szCs w:val="28"/>
              </w:rPr>
            </w:pPr>
            <w:r w:rsidRPr="00793822">
              <w:rPr>
                <w:rFonts w:hAnsi="標楷體" w:hint="eastAsia"/>
                <w:b/>
                <w:bCs/>
                <w:sz w:val="28"/>
                <w:szCs w:val="28"/>
              </w:rPr>
              <w:t>井下</w:t>
            </w:r>
            <w:proofErr w:type="gramStart"/>
            <w:r w:rsidRPr="00793822">
              <w:rPr>
                <w:rFonts w:hAnsi="標楷體" w:hint="eastAsia"/>
                <w:b/>
                <w:bCs/>
                <w:sz w:val="28"/>
                <w:szCs w:val="28"/>
              </w:rPr>
              <w:t>最</w:t>
            </w:r>
            <w:proofErr w:type="gramEnd"/>
            <w:r w:rsidRPr="00793822">
              <w:rPr>
                <w:rFonts w:hAnsi="標楷體" w:hint="eastAsia"/>
                <w:b/>
                <w:bCs/>
                <w:sz w:val="28"/>
                <w:szCs w:val="28"/>
              </w:rPr>
              <w:t>高溫(℃)</w:t>
            </w:r>
          </w:p>
        </w:tc>
      </w:tr>
      <w:tr w:rsidR="006E3196" w:rsidRPr="00793822" w14:paraId="65FB3200" w14:textId="77777777" w:rsidTr="00662684">
        <w:tc>
          <w:tcPr>
            <w:tcW w:w="2122" w:type="dxa"/>
            <w:vAlign w:val="center"/>
          </w:tcPr>
          <w:p w14:paraId="2D5DFA91" w14:textId="77777777" w:rsidR="0098158F" w:rsidRPr="00793822" w:rsidRDefault="0098158F" w:rsidP="002E07EA">
            <w:pPr>
              <w:spacing w:line="320" w:lineRule="exact"/>
              <w:jc w:val="center"/>
              <w:rPr>
                <w:rFonts w:hAnsi="標楷體"/>
                <w:sz w:val="28"/>
                <w:szCs w:val="28"/>
              </w:rPr>
            </w:pPr>
            <w:r w:rsidRPr="00793822">
              <w:rPr>
                <w:rFonts w:hAnsi="標楷體" w:hint="eastAsia"/>
                <w:sz w:val="28"/>
                <w:szCs w:val="28"/>
              </w:rPr>
              <w:t>臺北市</w:t>
            </w:r>
          </w:p>
        </w:tc>
        <w:tc>
          <w:tcPr>
            <w:tcW w:w="2270" w:type="dxa"/>
            <w:vAlign w:val="center"/>
          </w:tcPr>
          <w:p w14:paraId="096256EF" w14:textId="77777777" w:rsidR="0098158F" w:rsidRPr="00793822" w:rsidRDefault="0098158F" w:rsidP="002E07EA">
            <w:pPr>
              <w:spacing w:line="320" w:lineRule="exact"/>
              <w:jc w:val="center"/>
              <w:rPr>
                <w:rFonts w:hAnsi="標楷體"/>
                <w:sz w:val="28"/>
                <w:szCs w:val="28"/>
              </w:rPr>
            </w:pPr>
            <w:r w:rsidRPr="00793822">
              <w:rPr>
                <w:rFonts w:hAnsi="標楷體" w:hint="eastAsia"/>
                <w:sz w:val="28"/>
                <w:szCs w:val="28"/>
              </w:rPr>
              <w:t>馬槽</w:t>
            </w:r>
          </w:p>
        </w:tc>
        <w:tc>
          <w:tcPr>
            <w:tcW w:w="1982" w:type="dxa"/>
            <w:vAlign w:val="center"/>
          </w:tcPr>
          <w:p w14:paraId="1CADC287" w14:textId="77777777" w:rsidR="0098158F" w:rsidRPr="00793822" w:rsidRDefault="0098158F" w:rsidP="002E07EA">
            <w:pPr>
              <w:spacing w:line="320" w:lineRule="exact"/>
              <w:jc w:val="center"/>
              <w:rPr>
                <w:rFonts w:hAnsi="標楷體"/>
                <w:sz w:val="28"/>
                <w:szCs w:val="28"/>
              </w:rPr>
            </w:pPr>
            <w:r w:rsidRPr="00793822">
              <w:rPr>
                <w:rFonts w:hAnsi="標楷體" w:hint="eastAsia"/>
                <w:sz w:val="28"/>
                <w:szCs w:val="28"/>
              </w:rPr>
              <w:t>1</w:t>
            </w:r>
          </w:p>
        </w:tc>
        <w:tc>
          <w:tcPr>
            <w:tcW w:w="2412" w:type="dxa"/>
            <w:vAlign w:val="center"/>
          </w:tcPr>
          <w:p w14:paraId="510C7541" w14:textId="77777777" w:rsidR="0098158F" w:rsidRPr="00793822" w:rsidRDefault="0098158F" w:rsidP="002E07EA">
            <w:pPr>
              <w:spacing w:line="320" w:lineRule="exact"/>
              <w:jc w:val="center"/>
              <w:rPr>
                <w:rFonts w:hAnsi="標楷體"/>
                <w:sz w:val="28"/>
                <w:szCs w:val="28"/>
              </w:rPr>
            </w:pPr>
            <w:r w:rsidRPr="00793822">
              <w:rPr>
                <w:rFonts w:hAnsi="標楷體" w:hint="eastAsia"/>
                <w:sz w:val="28"/>
                <w:szCs w:val="28"/>
              </w:rPr>
              <w:t>245</w:t>
            </w:r>
          </w:p>
        </w:tc>
      </w:tr>
      <w:tr w:rsidR="006E3196" w:rsidRPr="00793822" w14:paraId="0C62BB6D" w14:textId="77777777" w:rsidTr="00662684">
        <w:tc>
          <w:tcPr>
            <w:tcW w:w="2122" w:type="dxa"/>
            <w:vAlign w:val="center"/>
          </w:tcPr>
          <w:p w14:paraId="70BA1FB6" w14:textId="77777777" w:rsidR="0098158F" w:rsidRPr="00793822" w:rsidRDefault="0098158F" w:rsidP="002E07EA">
            <w:pPr>
              <w:spacing w:line="320" w:lineRule="exact"/>
              <w:jc w:val="center"/>
              <w:rPr>
                <w:rFonts w:hAnsi="標楷體"/>
                <w:sz w:val="28"/>
                <w:szCs w:val="28"/>
              </w:rPr>
            </w:pPr>
            <w:proofErr w:type="gramStart"/>
            <w:r w:rsidRPr="00793822">
              <w:rPr>
                <w:rFonts w:hAnsi="標楷體" w:hint="eastAsia"/>
                <w:sz w:val="28"/>
                <w:szCs w:val="28"/>
              </w:rPr>
              <w:t>臺</w:t>
            </w:r>
            <w:proofErr w:type="gramEnd"/>
            <w:r w:rsidRPr="00793822">
              <w:rPr>
                <w:rFonts w:hAnsi="標楷體" w:hint="eastAsia"/>
                <w:sz w:val="28"/>
                <w:szCs w:val="28"/>
              </w:rPr>
              <w:t>中市</w:t>
            </w:r>
          </w:p>
        </w:tc>
        <w:tc>
          <w:tcPr>
            <w:tcW w:w="2270" w:type="dxa"/>
            <w:vAlign w:val="center"/>
          </w:tcPr>
          <w:p w14:paraId="2F5F70AB" w14:textId="77777777" w:rsidR="0098158F" w:rsidRPr="00793822" w:rsidRDefault="0098158F" w:rsidP="002E07EA">
            <w:pPr>
              <w:spacing w:line="320" w:lineRule="exact"/>
              <w:jc w:val="center"/>
              <w:rPr>
                <w:rFonts w:hAnsi="標楷體"/>
                <w:sz w:val="28"/>
                <w:szCs w:val="28"/>
              </w:rPr>
            </w:pPr>
            <w:r w:rsidRPr="00793822">
              <w:rPr>
                <w:rFonts w:hAnsi="標楷體" w:hint="eastAsia"/>
                <w:sz w:val="28"/>
                <w:szCs w:val="28"/>
              </w:rPr>
              <w:t>谷關</w:t>
            </w:r>
          </w:p>
        </w:tc>
        <w:tc>
          <w:tcPr>
            <w:tcW w:w="1982" w:type="dxa"/>
            <w:vAlign w:val="center"/>
          </w:tcPr>
          <w:p w14:paraId="7B722B28" w14:textId="77777777" w:rsidR="0098158F" w:rsidRPr="00793822" w:rsidRDefault="0098158F" w:rsidP="002E07EA">
            <w:pPr>
              <w:spacing w:line="320" w:lineRule="exact"/>
              <w:jc w:val="center"/>
              <w:rPr>
                <w:rFonts w:hAnsi="標楷體"/>
                <w:sz w:val="28"/>
                <w:szCs w:val="28"/>
              </w:rPr>
            </w:pPr>
            <w:r w:rsidRPr="00793822">
              <w:rPr>
                <w:rFonts w:hAnsi="標楷體" w:hint="eastAsia"/>
                <w:sz w:val="28"/>
                <w:szCs w:val="28"/>
              </w:rPr>
              <w:t>2</w:t>
            </w:r>
          </w:p>
        </w:tc>
        <w:tc>
          <w:tcPr>
            <w:tcW w:w="2412" w:type="dxa"/>
            <w:vAlign w:val="center"/>
          </w:tcPr>
          <w:p w14:paraId="65EE91F8" w14:textId="77777777" w:rsidR="0098158F" w:rsidRPr="00793822" w:rsidRDefault="0098158F" w:rsidP="002E07EA">
            <w:pPr>
              <w:spacing w:line="320" w:lineRule="exact"/>
              <w:jc w:val="center"/>
              <w:rPr>
                <w:rFonts w:hAnsi="標楷體"/>
                <w:sz w:val="28"/>
                <w:szCs w:val="28"/>
              </w:rPr>
            </w:pPr>
            <w:r w:rsidRPr="00793822">
              <w:rPr>
                <w:rFonts w:hAnsi="標楷體" w:hint="eastAsia"/>
                <w:sz w:val="28"/>
                <w:szCs w:val="28"/>
              </w:rPr>
              <w:t>51</w:t>
            </w:r>
          </w:p>
        </w:tc>
      </w:tr>
      <w:tr w:rsidR="006E3196" w:rsidRPr="00793822" w14:paraId="5807DD2B" w14:textId="77777777" w:rsidTr="00662684">
        <w:tc>
          <w:tcPr>
            <w:tcW w:w="2122" w:type="dxa"/>
            <w:vMerge w:val="restart"/>
            <w:vAlign w:val="center"/>
          </w:tcPr>
          <w:p w14:paraId="42BD0064" w14:textId="77777777" w:rsidR="0098158F" w:rsidRPr="00793822" w:rsidRDefault="0098158F" w:rsidP="002E07EA">
            <w:pPr>
              <w:spacing w:line="320" w:lineRule="exact"/>
              <w:jc w:val="center"/>
              <w:rPr>
                <w:rFonts w:hAnsi="標楷體"/>
                <w:sz w:val="28"/>
                <w:szCs w:val="28"/>
              </w:rPr>
            </w:pPr>
            <w:r w:rsidRPr="00793822">
              <w:rPr>
                <w:rFonts w:hAnsi="標楷體" w:hint="eastAsia"/>
                <w:sz w:val="28"/>
                <w:szCs w:val="28"/>
              </w:rPr>
              <w:t>南投縣</w:t>
            </w:r>
          </w:p>
        </w:tc>
        <w:tc>
          <w:tcPr>
            <w:tcW w:w="2270" w:type="dxa"/>
            <w:vAlign w:val="center"/>
          </w:tcPr>
          <w:p w14:paraId="67C4D438" w14:textId="77777777" w:rsidR="0098158F" w:rsidRPr="00793822" w:rsidRDefault="0098158F" w:rsidP="002E07EA">
            <w:pPr>
              <w:spacing w:line="320" w:lineRule="exact"/>
              <w:jc w:val="center"/>
              <w:rPr>
                <w:rFonts w:hAnsi="標楷體"/>
                <w:sz w:val="28"/>
                <w:szCs w:val="28"/>
              </w:rPr>
            </w:pPr>
            <w:r w:rsidRPr="00793822">
              <w:rPr>
                <w:rFonts w:hAnsi="標楷體" w:hint="eastAsia"/>
                <w:sz w:val="28"/>
                <w:szCs w:val="28"/>
              </w:rPr>
              <w:t>春陽</w:t>
            </w:r>
          </w:p>
        </w:tc>
        <w:tc>
          <w:tcPr>
            <w:tcW w:w="1982" w:type="dxa"/>
            <w:vAlign w:val="center"/>
          </w:tcPr>
          <w:p w14:paraId="050E44A9" w14:textId="77777777" w:rsidR="0098158F" w:rsidRPr="00793822" w:rsidRDefault="0098158F" w:rsidP="002E07EA">
            <w:pPr>
              <w:spacing w:line="320" w:lineRule="exact"/>
              <w:jc w:val="center"/>
              <w:rPr>
                <w:rFonts w:hAnsi="標楷體"/>
                <w:sz w:val="28"/>
                <w:szCs w:val="28"/>
              </w:rPr>
            </w:pPr>
            <w:r w:rsidRPr="00793822">
              <w:rPr>
                <w:rFonts w:hAnsi="標楷體" w:hint="eastAsia"/>
                <w:sz w:val="28"/>
                <w:szCs w:val="28"/>
              </w:rPr>
              <w:t>1</w:t>
            </w:r>
          </w:p>
        </w:tc>
        <w:tc>
          <w:tcPr>
            <w:tcW w:w="2412" w:type="dxa"/>
            <w:vAlign w:val="center"/>
          </w:tcPr>
          <w:p w14:paraId="0F6CB27B" w14:textId="77777777" w:rsidR="0098158F" w:rsidRPr="00793822" w:rsidRDefault="0098158F" w:rsidP="002E07EA">
            <w:pPr>
              <w:spacing w:line="320" w:lineRule="exact"/>
              <w:jc w:val="center"/>
              <w:rPr>
                <w:rFonts w:hAnsi="標楷體"/>
                <w:sz w:val="28"/>
                <w:szCs w:val="28"/>
              </w:rPr>
            </w:pPr>
            <w:r w:rsidRPr="00793822">
              <w:rPr>
                <w:rFonts w:hAnsi="標楷體" w:hint="eastAsia"/>
                <w:sz w:val="28"/>
                <w:szCs w:val="28"/>
              </w:rPr>
              <w:t>117</w:t>
            </w:r>
          </w:p>
        </w:tc>
      </w:tr>
      <w:tr w:rsidR="006E3196" w:rsidRPr="00793822" w14:paraId="760D66B9" w14:textId="77777777" w:rsidTr="00662684">
        <w:tc>
          <w:tcPr>
            <w:tcW w:w="2122" w:type="dxa"/>
            <w:vMerge/>
            <w:vAlign w:val="center"/>
          </w:tcPr>
          <w:p w14:paraId="40BC9536" w14:textId="77777777" w:rsidR="0098158F" w:rsidRPr="00793822" w:rsidRDefault="0098158F" w:rsidP="002E07EA">
            <w:pPr>
              <w:spacing w:line="320" w:lineRule="exact"/>
              <w:jc w:val="center"/>
              <w:rPr>
                <w:rFonts w:hAnsi="標楷體"/>
                <w:sz w:val="28"/>
                <w:szCs w:val="28"/>
              </w:rPr>
            </w:pPr>
          </w:p>
        </w:tc>
        <w:tc>
          <w:tcPr>
            <w:tcW w:w="2270" w:type="dxa"/>
            <w:vAlign w:val="center"/>
          </w:tcPr>
          <w:p w14:paraId="1DB50340" w14:textId="77777777" w:rsidR="0098158F" w:rsidRPr="00793822" w:rsidRDefault="0098158F" w:rsidP="002E07EA">
            <w:pPr>
              <w:spacing w:line="320" w:lineRule="exact"/>
              <w:jc w:val="center"/>
              <w:rPr>
                <w:rFonts w:hAnsi="標楷體"/>
                <w:sz w:val="28"/>
                <w:szCs w:val="28"/>
              </w:rPr>
            </w:pPr>
            <w:r w:rsidRPr="00793822">
              <w:rPr>
                <w:rFonts w:hAnsi="標楷體" w:hint="eastAsia"/>
                <w:sz w:val="28"/>
                <w:szCs w:val="28"/>
              </w:rPr>
              <w:t>東埔</w:t>
            </w:r>
          </w:p>
        </w:tc>
        <w:tc>
          <w:tcPr>
            <w:tcW w:w="1982" w:type="dxa"/>
            <w:vAlign w:val="center"/>
          </w:tcPr>
          <w:p w14:paraId="444A5E6E" w14:textId="77777777" w:rsidR="0098158F" w:rsidRPr="00793822" w:rsidRDefault="0098158F" w:rsidP="002E07EA">
            <w:pPr>
              <w:spacing w:line="320" w:lineRule="exact"/>
              <w:jc w:val="center"/>
              <w:rPr>
                <w:rFonts w:hAnsi="標楷體"/>
                <w:sz w:val="28"/>
                <w:szCs w:val="28"/>
              </w:rPr>
            </w:pPr>
            <w:r w:rsidRPr="00793822">
              <w:rPr>
                <w:rFonts w:hAnsi="標楷體" w:hint="eastAsia"/>
                <w:sz w:val="28"/>
                <w:szCs w:val="28"/>
              </w:rPr>
              <w:t>1</w:t>
            </w:r>
          </w:p>
        </w:tc>
        <w:tc>
          <w:tcPr>
            <w:tcW w:w="2412" w:type="dxa"/>
            <w:vAlign w:val="center"/>
          </w:tcPr>
          <w:p w14:paraId="741573EE" w14:textId="77777777" w:rsidR="0098158F" w:rsidRPr="00793822" w:rsidRDefault="0098158F" w:rsidP="002E07EA">
            <w:pPr>
              <w:spacing w:line="320" w:lineRule="exact"/>
              <w:jc w:val="center"/>
              <w:rPr>
                <w:rFonts w:hAnsi="標楷體"/>
                <w:sz w:val="28"/>
                <w:szCs w:val="28"/>
              </w:rPr>
            </w:pPr>
            <w:r w:rsidRPr="00793822">
              <w:rPr>
                <w:rFonts w:hAnsi="標楷體" w:hint="eastAsia"/>
                <w:sz w:val="28"/>
                <w:szCs w:val="28"/>
              </w:rPr>
              <w:t>62</w:t>
            </w:r>
          </w:p>
        </w:tc>
      </w:tr>
      <w:tr w:rsidR="006E3196" w:rsidRPr="00793822" w14:paraId="20B47083" w14:textId="77777777" w:rsidTr="00662684">
        <w:tc>
          <w:tcPr>
            <w:tcW w:w="2122" w:type="dxa"/>
            <w:vMerge/>
            <w:vAlign w:val="center"/>
          </w:tcPr>
          <w:p w14:paraId="7B2AAB62" w14:textId="77777777" w:rsidR="0098158F" w:rsidRPr="00793822" w:rsidRDefault="0098158F" w:rsidP="002E07EA">
            <w:pPr>
              <w:spacing w:line="320" w:lineRule="exact"/>
              <w:jc w:val="center"/>
              <w:rPr>
                <w:rFonts w:hAnsi="標楷體"/>
                <w:sz w:val="28"/>
                <w:szCs w:val="28"/>
              </w:rPr>
            </w:pPr>
          </w:p>
        </w:tc>
        <w:tc>
          <w:tcPr>
            <w:tcW w:w="2270" w:type="dxa"/>
            <w:vAlign w:val="center"/>
          </w:tcPr>
          <w:p w14:paraId="2EFDC943" w14:textId="77777777" w:rsidR="0098158F" w:rsidRPr="00793822" w:rsidRDefault="0098158F" w:rsidP="002E07EA">
            <w:pPr>
              <w:spacing w:line="320" w:lineRule="exact"/>
              <w:jc w:val="center"/>
              <w:rPr>
                <w:rFonts w:hAnsi="標楷體"/>
                <w:sz w:val="28"/>
                <w:szCs w:val="28"/>
              </w:rPr>
            </w:pPr>
            <w:r w:rsidRPr="00793822">
              <w:rPr>
                <w:rFonts w:hAnsi="標楷體" w:hint="eastAsia"/>
                <w:sz w:val="28"/>
                <w:szCs w:val="28"/>
              </w:rPr>
              <w:t>和社</w:t>
            </w:r>
          </w:p>
        </w:tc>
        <w:tc>
          <w:tcPr>
            <w:tcW w:w="1982" w:type="dxa"/>
            <w:vAlign w:val="center"/>
          </w:tcPr>
          <w:p w14:paraId="591ED027" w14:textId="77777777" w:rsidR="0098158F" w:rsidRPr="00793822" w:rsidRDefault="0098158F" w:rsidP="002E07EA">
            <w:pPr>
              <w:spacing w:line="320" w:lineRule="exact"/>
              <w:jc w:val="center"/>
              <w:rPr>
                <w:rFonts w:hAnsi="標楷體"/>
                <w:sz w:val="28"/>
                <w:szCs w:val="28"/>
              </w:rPr>
            </w:pPr>
            <w:r w:rsidRPr="00793822">
              <w:rPr>
                <w:rFonts w:hAnsi="標楷體" w:hint="eastAsia"/>
                <w:sz w:val="28"/>
                <w:szCs w:val="28"/>
              </w:rPr>
              <w:t>1</w:t>
            </w:r>
          </w:p>
        </w:tc>
        <w:tc>
          <w:tcPr>
            <w:tcW w:w="2412" w:type="dxa"/>
            <w:vAlign w:val="center"/>
          </w:tcPr>
          <w:p w14:paraId="0E244695" w14:textId="77777777" w:rsidR="0098158F" w:rsidRPr="00793822" w:rsidRDefault="0098158F" w:rsidP="002E07EA">
            <w:pPr>
              <w:spacing w:line="320" w:lineRule="exact"/>
              <w:jc w:val="center"/>
              <w:rPr>
                <w:rFonts w:hAnsi="標楷體"/>
                <w:sz w:val="28"/>
                <w:szCs w:val="28"/>
              </w:rPr>
            </w:pPr>
            <w:r w:rsidRPr="00793822">
              <w:rPr>
                <w:rFonts w:hAnsi="標楷體" w:hint="eastAsia"/>
                <w:sz w:val="28"/>
                <w:szCs w:val="28"/>
              </w:rPr>
              <w:t>43</w:t>
            </w:r>
          </w:p>
        </w:tc>
      </w:tr>
      <w:tr w:rsidR="006E3196" w:rsidRPr="00793822" w14:paraId="39FAE3DD" w14:textId="77777777" w:rsidTr="00662684">
        <w:tc>
          <w:tcPr>
            <w:tcW w:w="2122" w:type="dxa"/>
            <w:vAlign w:val="center"/>
          </w:tcPr>
          <w:p w14:paraId="454D15C6" w14:textId="77777777" w:rsidR="0098158F" w:rsidRPr="00793822" w:rsidRDefault="0098158F" w:rsidP="002E07EA">
            <w:pPr>
              <w:spacing w:line="320" w:lineRule="exact"/>
              <w:jc w:val="center"/>
              <w:rPr>
                <w:rFonts w:hAnsi="標楷體"/>
                <w:sz w:val="28"/>
                <w:szCs w:val="28"/>
              </w:rPr>
            </w:pPr>
            <w:r w:rsidRPr="00793822">
              <w:rPr>
                <w:rFonts w:hAnsi="標楷體" w:hint="eastAsia"/>
                <w:sz w:val="28"/>
                <w:szCs w:val="28"/>
              </w:rPr>
              <w:t>高雄市</w:t>
            </w:r>
          </w:p>
        </w:tc>
        <w:tc>
          <w:tcPr>
            <w:tcW w:w="2270" w:type="dxa"/>
            <w:vAlign w:val="center"/>
          </w:tcPr>
          <w:p w14:paraId="39493202" w14:textId="77777777" w:rsidR="0098158F" w:rsidRPr="00793822" w:rsidRDefault="0098158F" w:rsidP="002E07EA">
            <w:pPr>
              <w:spacing w:line="320" w:lineRule="exact"/>
              <w:jc w:val="center"/>
              <w:rPr>
                <w:rFonts w:hAnsi="標楷體"/>
                <w:sz w:val="28"/>
                <w:szCs w:val="28"/>
              </w:rPr>
            </w:pPr>
            <w:r w:rsidRPr="00793822">
              <w:rPr>
                <w:rFonts w:hAnsi="標楷體" w:hint="eastAsia"/>
                <w:sz w:val="28"/>
                <w:szCs w:val="28"/>
              </w:rPr>
              <w:t>寶來</w:t>
            </w:r>
          </w:p>
        </w:tc>
        <w:tc>
          <w:tcPr>
            <w:tcW w:w="1982" w:type="dxa"/>
            <w:vAlign w:val="center"/>
          </w:tcPr>
          <w:p w14:paraId="481051D7" w14:textId="77777777" w:rsidR="0098158F" w:rsidRPr="00793822" w:rsidRDefault="0098158F" w:rsidP="002E07EA">
            <w:pPr>
              <w:spacing w:line="320" w:lineRule="exact"/>
              <w:jc w:val="center"/>
              <w:rPr>
                <w:rFonts w:hAnsi="標楷體"/>
                <w:sz w:val="28"/>
                <w:szCs w:val="28"/>
              </w:rPr>
            </w:pPr>
            <w:r w:rsidRPr="00793822">
              <w:rPr>
                <w:rFonts w:hAnsi="標楷體" w:hint="eastAsia"/>
                <w:sz w:val="28"/>
                <w:szCs w:val="28"/>
              </w:rPr>
              <w:t>1</w:t>
            </w:r>
          </w:p>
        </w:tc>
        <w:tc>
          <w:tcPr>
            <w:tcW w:w="2412" w:type="dxa"/>
            <w:vAlign w:val="center"/>
          </w:tcPr>
          <w:p w14:paraId="35207A26" w14:textId="77777777" w:rsidR="0098158F" w:rsidRPr="00793822" w:rsidRDefault="0098158F" w:rsidP="002E07EA">
            <w:pPr>
              <w:spacing w:line="320" w:lineRule="exact"/>
              <w:jc w:val="center"/>
              <w:rPr>
                <w:rFonts w:hAnsi="標楷體"/>
                <w:sz w:val="28"/>
                <w:szCs w:val="28"/>
              </w:rPr>
            </w:pPr>
            <w:r w:rsidRPr="00793822">
              <w:rPr>
                <w:rFonts w:hAnsi="標楷體" w:hint="eastAsia"/>
                <w:sz w:val="28"/>
                <w:szCs w:val="28"/>
              </w:rPr>
              <w:t>70</w:t>
            </w:r>
          </w:p>
        </w:tc>
      </w:tr>
      <w:tr w:rsidR="006E3196" w:rsidRPr="00793822" w14:paraId="49AE0425" w14:textId="77777777" w:rsidTr="00662684">
        <w:tc>
          <w:tcPr>
            <w:tcW w:w="2122" w:type="dxa"/>
            <w:vMerge w:val="restart"/>
            <w:vAlign w:val="center"/>
          </w:tcPr>
          <w:p w14:paraId="690469E1" w14:textId="77777777" w:rsidR="0098158F" w:rsidRPr="00793822" w:rsidRDefault="0098158F" w:rsidP="002E07EA">
            <w:pPr>
              <w:spacing w:line="320" w:lineRule="exact"/>
              <w:jc w:val="center"/>
              <w:rPr>
                <w:rFonts w:hAnsi="標楷體"/>
                <w:sz w:val="28"/>
                <w:szCs w:val="28"/>
              </w:rPr>
            </w:pPr>
            <w:proofErr w:type="gramStart"/>
            <w:r w:rsidRPr="00793822">
              <w:rPr>
                <w:rFonts w:hAnsi="標楷體" w:hint="eastAsia"/>
                <w:sz w:val="28"/>
                <w:szCs w:val="28"/>
              </w:rPr>
              <w:t>臺</w:t>
            </w:r>
            <w:proofErr w:type="gramEnd"/>
            <w:r w:rsidRPr="00793822">
              <w:rPr>
                <w:rFonts w:hAnsi="標楷體" w:hint="eastAsia"/>
                <w:sz w:val="28"/>
                <w:szCs w:val="28"/>
              </w:rPr>
              <w:t>東縣</w:t>
            </w:r>
          </w:p>
        </w:tc>
        <w:tc>
          <w:tcPr>
            <w:tcW w:w="2270" w:type="dxa"/>
            <w:vAlign w:val="center"/>
          </w:tcPr>
          <w:p w14:paraId="695EB959" w14:textId="77777777" w:rsidR="0098158F" w:rsidRPr="00793822" w:rsidRDefault="0098158F" w:rsidP="002E07EA">
            <w:pPr>
              <w:spacing w:line="320" w:lineRule="exact"/>
              <w:jc w:val="center"/>
              <w:rPr>
                <w:rFonts w:hAnsi="標楷體"/>
                <w:sz w:val="28"/>
                <w:szCs w:val="28"/>
              </w:rPr>
            </w:pPr>
            <w:r w:rsidRPr="00793822">
              <w:rPr>
                <w:rFonts w:hAnsi="標楷體" w:hint="eastAsia"/>
                <w:sz w:val="28"/>
                <w:szCs w:val="28"/>
              </w:rPr>
              <w:t>霧鹿</w:t>
            </w:r>
          </w:p>
        </w:tc>
        <w:tc>
          <w:tcPr>
            <w:tcW w:w="1982" w:type="dxa"/>
            <w:vAlign w:val="center"/>
          </w:tcPr>
          <w:p w14:paraId="71F978A6" w14:textId="77777777" w:rsidR="0098158F" w:rsidRPr="00793822" w:rsidRDefault="0098158F" w:rsidP="002E07EA">
            <w:pPr>
              <w:spacing w:line="320" w:lineRule="exact"/>
              <w:jc w:val="center"/>
              <w:rPr>
                <w:rFonts w:hAnsi="標楷體"/>
                <w:sz w:val="28"/>
                <w:szCs w:val="28"/>
              </w:rPr>
            </w:pPr>
            <w:r w:rsidRPr="00793822">
              <w:rPr>
                <w:rFonts w:hAnsi="標楷體" w:hint="eastAsia"/>
                <w:sz w:val="28"/>
                <w:szCs w:val="28"/>
              </w:rPr>
              <w:t>3</w:t>
            </w:r>
          </w:p>
        </w:tc>
        <w:tc>
          <w:tcPr>
            <w:tcW w:w="2412" w:type="dxa"/>
            <w:vAlign w:val="center"/>
          </w:tcPr>
          <w:p w14:paraId="0A967909" w14:textId="77777777" w:rsidR="0098158F" w:rsidRPr="00793822" w:rsidRDefault="0098158F" w:rsidP="002E07EA">
            <w:pPr>
              <w:spacing w:line="320" w:lineRule="exact"/>
              <w:jc w:val="center"/>
              <w:rPr>
                <w:rFonts w:hAnsi="標楷體"/>
                <w:sz w:val="28"/>
                <w:szCs w:val="28"/>
              </w:rPr>
            </w:pPr>
            <w:r w:rsidRPr="00793822">
              <w:rPr>
                <w:rFonts w:hAnsi="標楷體" w:hint="eastAsia"/>
                <w:sz w:val="28"/>
                <w:szCs w:val="28"/>
              </w:rPr>
              <w:t>144</w:t>
            </w:r>
          </w:p>
        </w:tc>
      </w:tr>
      <w:tr w:rsidR="006E3196" w:rsidRPr="00793822" w14:paraId="185633D6" w14:textId="77777777" w:rsidTr="00662684">
        <w:tc>
          <w:tcPr>
            <w:tcW w:w="2122" w:type="dxa"/>
            <w:vMerge/>
            <w:vAlign w:val="center"/>
          </w:tcPr>
          <w:p w14:paraId="33E1C9EC" w14:textId="77777777" w:rsidR="0098158F" w:rsidRPr="00793822" w:rsidRDefault="0098158F" w:rsidP="002E07EA">
            <w:pPr>
              <w:spacing w:line="320" w:lineRule="exact"/>
              <w:jc w:val="center"/>
              <w:rPr>
                <w:rFonts w:hAnsi="標楷體"/>
                <w:sz w:val="28"/>
                <w:szCs w:val="28"/>
              </w:rPr>
            </w:pPr>
          </w:p>
        </w:tc>
        <w:tc>
          <w:tcPr>
            <w:tcW w:w="2270" w:type="dxa"/>
            <w:vAlign w:val="center"/>
          </w:tcPr>
          <w:p w14:paraId="780C2B56" w14:textId="77777777" w:rsidR="0098158F" w:rsidRPr="00793822" w:rsidRDefault="0098158F" w:rsidP="002E07EA">
            <w:pPr>
              <w:spacing w:line="320" w:lineRule="exact"/>
              <w:jc w:val="center"/>
              <w:rPr>
                <w:rFonts w:hAnsi="標楷體"/>
                <w:sz w:val="28"/>
                <w:szCs w:val="28"/>
              </w:rPr>
            </w:pPr>
            <w:r w:rsidRPr="00793822">
              <w:rPr>
                <w:rFonts w:hAnsi="標楷體" w:hint="eastAsia"/>
                <w:sz w:val="28"/>
                <w:szCs w:val="28"/>
              </w:rPr>
              <w:t>延平</w:t>
            </w:r>
          </w:p>
        </w:tc>
        <w:tc>
          <w:tcPr>
            <w:tcW w:w="1982" w:type="dxa"/>
            <w:vAlign w:val="center"/>
          </w:tcPr>
          <w:p w14:paraId="05E782D3" w14:textId="77777777" w:rsidR="0098158F" w:rsidRPr="00793822" w:rsidRDefault="0098158F" w:rsidP="002E07EA">
            <w:pPr>
              <w:spacing w:line="320" w:lineRule="exact"/>
              <w:jc w:val="center"/>
              <w:rPr>
                <w:rFonts w:hAnsi="標楷體"/>
                <w:sz w:val="28"/>
                <w:szCs w:val="28"/>
              </w:rPr>
            </w:pPr>
            <w:r w:rsidRPr="00793822">
              <w:rPr>
                <w:rFonts w:hAnsi="標楷體" w:hint="eastAsia"/>
                <w:sz w:val="28"/>
                <w:szCs w:val="28"/>
              </w:rPr>
              <w:t>2</w:t>
            </w:r>
          </w:p>
        </w:tc>
        <w:tc>
          <w:tcPr>
            <w:tcW w:w="2412" w:type="dxa"/>
            <w:vAlign w:val="center"/>
          </w:tcPr>
          <w:p w14:paraId="1D928071" w14:textId="77777777" w:rsidR="0098158F" w:rsidRPr="00793822" w:rsidRDefault="0098158F" w:rsidP="002E07EA">
            <w:pPr>
              <w:spacing w:line="320" w:lineRule="exact"/>
              <w:jc w:val="center"/>
              <w:rPr>
                <w:rFonts w:hAnsi="標楷體"/>
                <w:sz w:val="28"/>
                <w:szCs w:val="28"/>
              </w:rPr>
            </w:pPr>
            <w:r w:rsidRPr="00793822">
              <w:rPr>
                <w:rFonts w:hAnsi="標楷體" w:hint="eastAsia"/>
                <w:sz w:val="28"/>
                <w:szCs w:val="28"/>
              </w:rPr>
              <w:t>150</w:t>
            </w:r>
          </w:p>
        </w:tc>
      </w:tr>
      <w:tr w:rsidR="006E3196" w:rsidRPr="00793822" w14:paraId="39804F3F" w14:textId="77777777" w:rsidTr="00662684">
        <w:tc>
          <w:tcPr>
            <w:tcW w:w="2122" w:type="dxa"/>
            <w:vMerge/>
            <w:vAlign w:val="center"/>
          </w:tcPr>
          <w:p w14:paraId="3E0F68D7" w14:textId="77777777" w:rsidR="0098158F" w:rsidRPr="00793822" w:rsidRDefault="0098158F" w:rsidP="002E07EA">
            <w:pPr>
              <w:spacing w:line="320" w:lineRule="exact"/>
              <w:jc w:val="center"/>
              <w:rPr>
                <w:rFonts w:hAnsi="標楷體"/>
                <w:sz w:val="28"/>
                <w:szCs w:val="28"/>
              </w:rPr>
            </w:pPr>
          </w:p>
        </w:tc>
        <w:tc>
          <w:tcPr>
            <w:tcW w:w="2270" w:type="dxa"/>
            <w:vAlign w:val="center"/>
          </w:tcPr>
          <w:p w14:paraId="7035E09C" w14:textId="77777777" w:rsidR="0098158F" w:rsidRPr="00793822" w:rsidRDefault="0098158F" w:rsidP="002E07EA">
            <w:pPr>
              <w:spacing w:line="320" w:lineRule="exact"/>
              <w:jc w:val="center"/>
              <w:rPr>
                <w:rFonts w:hAnsi="標楷體"/>
                <w:sz w:val="28"/>
                <w:szCs w:val="28"/>
              </w:rPr>
            </w:pPr>
            <w:r w:rsidRPr="00793822">
              <w:rPr>
                <w:rFonts w:hAnsi="標楷體" w:hint="eastAsia"/>
                <w:sz w:val="28"/>
                <w:szCs w:val="28"/>
              </w:rPr>
              <w:t>卑南</w:t>
            </w:r>
          </w:p>
        </w:tc>
        <w:tc>
          <w:tcPr>
            <w:tcW w:w="1982" w:type="dxa"/>
            <w:vAlign w:val="center"/>
          </w:tcPr>
          <w:p w14:paraId="5DF6BF13" w14:textId="77777777" w:rsidR="0098158F" w:rsidRPr="00793822" w:rsidRDefault="0098158F" w:rsidP="002E07EA">
            <w:pPr>
              <w:spacing w:line="320" w:lineRule="exact"/>
              <w:jc w:val="center"/>
              <w:rPr>
                <w:rFonts w:hAnsi="標楷體"/>
                <w:sz w:val="28"/>
                <w:szCs w:val="28"/>
              </w:rPr>
            </w:pPr>
            <w:r w:rsidRPr="00793822">
              <w:rPr>
                <w:rFonts w:hAnsi="標楷體" w:hint="eastAsia"/>
                <w:sz w:val="28"/>
                <w:szCs w:val="28"/>
              </w:rPr>
              <w:t>1</w:t>
            </w:r>
          </w:p>
        </w:tc>
        <w:tc>
          <w:tcPr>
            <w:tcW w:w="2412" w:type="dxa"/>
            <w:vAlign w:val="center"/>
          </w:tcPr>
          <w:p w14:paraId="5E0D2639" w14:textId="77777777" w:rsidR="0098158F" w:rsidRPr="00793822" w:rsidRDefault="0098158F" w:rsidP="002E07EA">
            <w:pPr>
              <w:spacing w:line="320" w:lineRule="exact"/>
              <w:jc w:val="center"/>
              <w:rPr>
                <w:rFonts w:hAnsi="標楷體"/>
                <w:sz w:val="28"/>
                <w:szCs w:val="28"/>
              </w:rPr>
            </w:pPr>
            <w:r w:rsidRPr="00793822">
              <w:rPr>
                <w:rFonts w:hAnsi="標楷體" w:hint="eastAsia"/>
                <w:sz w:val="28"/>
                <w:szCs w:val="28"/>
              </w:rPr>
              <w:t>32</w:t>
            </w:r>
          </w:p>
        </w:tc>
      </w:tr>
      <w:tr w:rsidR="006E3196" w:rsidRPr="00793822" w14:paraId="764FA9C7" w14:textId="77777777" w:rsidTr="00662684">
        <w:tc>
          <w:tcPr>
            <w:tcW w:w="2122" w:type="dxa"/>
            <w:vMerge/>
            <w:vAlign w:val="center"/>
          </w:tcPr>
          <w:p w14:paraId="0A6CE501" w14:textId="77777777" w:rsidR="0098158F" w:rsidRPr="00793822" w:rsidRDefault="0098158F" w:rsidP="002E07EA">
            <w:pPr>
              <w:spacing w:line="320" w:lineRule="exact"/>
              <w:jc w:val="center"/>
              <w:rPr>
                <w:rFonts w:hAnsi="標楷體"/>
                <w:sz w:val="28"/>
                <w:szCs w:val="28"/>
              </w:rPr>
            </w:pPr>
          </w:p>
        </w:tc>
        <w:tc>
          <w:tcPr>
            <w:tcW w:w="2270" w:type="dxa"/>
            <w:vAlign w:val="center"/>
          </w:tcPr>
          <w:p w14:paraId="0E9A04EC" w14:textId="77777777" w:rsidR="0098158F" w:rsidRPr="00793822" w:rsidRDefault="0098158F" w:rsidP="002E07EA">
            <w:pPr>
              <w:spacing w:line="320" w:lineRule="exact"/>
              <w:jc w:val="center"/>
              <w:rPr>
                <w:rFonts w:hAnsi="標楷體"/>
                <w:sz w:val="28"/>
                <w:szCs w:val="28"/>
              </w:rPr>
            </w:pPr>
            <w:r w:rsidRPr="00793822">
              <w:rPr>
                <w:rFonts w:hAnsi="標楷體" w:hint="eastAsia"/>
                <w:sz w:val="28"/>
                <w:szCs w:val="28"/>
              </w:rPr>
              <w:t>初來</w:t>
            </w:r>
          </w:p>
        </w:tc>
        <w:tc>
          <w:tcPr>
            <w:tcW w:w="1982" w:type="dxa"/>
            <w:vAlign w:val="center"/>
          </w:tcPr>
          <w:p w14:paraId="45BB95FE" w14:textId="77777777" w:rsidR="0098158F" w:rsidRPr="00793822" w:rsidRDefault="0098158F" w:rsidP="002E07EA">
            <w:pPr>
              <w:spacing w:line="320" w:lineRule="exact"/>
              <w:jc w:val="center"/>
              <w:rPr>
                <w:rFonts w:hAnsi="標楷體"/>
                <w:sz w:val="28"/>
                <w:szCs w:val="28"/>
              </w:rPr>
            </w:pPr>
            <w:r w:rsidRPr="00793822">
              <w:rPr>
                <w:rFonts w:hAnsi="標楷體" w:hint="eastAsia"/>
                <w:sz w:val="28"/>
                <w:szCs w:val="28"/>
              </w:rPr>
              <w:t>1</w:t>
            </w:r>
          </w:p>
        </w:tc>
        <w:tc>
          <w:tcPr>
            <w:tcW w:w="2412" w:type="dxa"/>
            <w:vAlign w:val="center"/>
          </w:tcPr>
          <w:p w14:paraId="48761D52" w14:textId="77777777" w:rsidR="0098158F" w:rsidRPr="00793822" w:rsidRDefault="0098158F" w:rsidP="002E07EA">
            <w:pPr>
              <w:spacing w:line="320" w:lineRule="exact"/>
              <w:jc w:val="center"/>
              <w:rPr>
                <w:rFonts w:hAnsi="標楷體"/>
                <w:sz w:val="28"/>
                <w:szCs w:val="28"/>
              </w:rPr>
            </w:pPr>
            <w:r w:rsidRPr="00793822">
              <w:rPr>
                <w:rFonts w:hAnsi="標楷體" w:hint="eastAsia"/>
                <w:sz w:val="28"/>
                <w:szCs w:val="28"/>
              </w:rPr>
              <w:t>174</w:t>
            </w:r>
          </w:p>
        </w:tc>
      </w:tr>
      <w:tr w:rsidR="006E3196" w:rsidRPr="00793822" w14:paraId="5F25139C" w14:textId="77777777" w:rsidTr="00662684">
        <w:tc>
          <w:tcPr>
            <w:tcW w:w="2122" w:type="dxa"/>
            <w:vAlign w:val="center"/>
          </w:tcPr>
          <w:p w14:paraId="69313313" w14:textId="77777777" w:rsidR="0098158F" w:rsidRPr="00793822" w:rsidRDefault="0098158F" w:rsidP="002E07EA">
            <w:pPr>
              <w:spacing w:line="320" w:lineRule="exact"/>
              <w:jc w:val="center"/>
              <w:rPr>
                <w:rFonts w:hAnsi="標楷體"/>
                <w:sz w:val="28"/>
                <w:szCs w:val="28"/>
              </w:rPr>
            </w:pPr>
            <w:r w:rsidRPr="00793822">
              <w:rPr>
                <w:rFonts w:hAnsi="標楷體" w:hint="eastAsia"/>
                <w:sz w:val="28"/>
                <w:szCs w:val="28"/>
              </w:rPr>
              <w:t>花蓮縣</w:t>
            </w:r>
          </w:p>
        </w:tc>
        <w:tc>
          <w:tcPr>
            <w:tcW w:w="2270" w:type="dxa"/>
            <w:vAlign w:val="center"/>
          </w:tcPr>
          <w:p w14:paraId="1F813C71" w14:textId="77777777" w:rsidR="0098158F" w:rsidRPr="00793822" w:rsidRDefault="0098158F" w:rsidP="002E07EA">
            <w:pPr>
              <w:spacing w:line="320" w:lineRule="exact"/>
              <w:jc w:val="center"/>
              <w:rPr>
                <w:rFonts w:hAnsi="標楷體"/>
                <w:sz w:val="28"/>
                <w:szCs w:val="28"/>
              </w:rPr>
            </w:pPr>
            <w:r w:rsidRPr="00793822">
              <w:rPr>
                <w:rFonts w:hAnsi="標楷體" w:hint="eastAsia"/>
                <w:sz w:val="28"/>
                <w:szCs w:val="28"/>
              </w:rPr>
              <w:t>瑞穗</w:t>
            </w:r>
          </w:p>
        </w:tc>
        <w:tc>
          <w:tcPr>
            <w:tcW w:w="1982" w:type="dxa"/>
            <w:vAlign w:val="center"/>
          </w:tcPr>
          <w:p w14:paraId="3BF87B0A" w14:textId="77777777" w:rsidR="0098158F" w:rsidRPr="00793822" w:rsidRDefault="0098158F" w:rsidP="002E07EA">
            <w:pPr>
              <w:spacing w:line="320" w:lineRule="exact"/>
              <w:jc w:val="center"/>
              <w:rPr>
                <w:rFonts w:hAnsi="標楷體"/>
                <w:sz w:val="28"/>
                <w:szCs w:val="28"/>
              </w:rPr>
            </w:pPr>
            <w:r w:rsidRPr="00793822">
              <w:rPr>
                <w:rFonts w:hAnsi="標楷體" w:hint="eastAsia"/>
                <w:sz w:val="28"/>
                <w:szCs w:val="28"/>
              </w:rPr>
              <w:t>3</w:t>
            </w:r>
          </w:p>
        </w:tc>
        <w:tc>
          <w:tcPr>
            <w:tcW w:w="2412" w:type="dxa"/>
            <w:vAlign w:val="center"/>
          </w:tcPr>
          <w:p w14:paraId="46950D1E" w14:textId="77777777" w:rsidR="0098158F" w:rsidRPr="00793822" w:rsidRDefault="0098158F" w:rsidP="002E07EA">
            <w:pPr>
              <w:spacing w:line="320" w:lineRule="exact"/>
              <w:jc w:val="center"/>
              <w:rPr>
                <w:rFonts w:hAnsi="標楷體"/>
                <w:sz w:val="28"/>
                <w:szCs w:val="28"/>
              </w:rPr>
            </w:pPr>
            <w:r w:rsidRPr="00793822">
              <w:rPr>
                <w:rFonts w:hAnsi="標楷體" w:hint="eastAsia"/>
                <w:sz w:val="28"/>
                <w:szCs w:val="28"/>
              </w:rPr>
              <w:t>184</w:t>
            </w:r>
          </w:p>
        </w:tc>
      </w:tr>
      <w:tr w:rsidR="006E3196" w:rsidRPr="00793822" w14:paraId="2B8FDD3A" w14:textId="77777777" w:rsidTr="009C3A42">
        <w:tc>
          <w:tcPr>
            <w:tcW w:w="2122" w:type="dxa"/>
            <w:vAlign w:val="center"/>
          </w:tcPr>
          <w:p w14:paraId="2C6E2E1A" w14:textId="77777777" w:rsidR="0098158F" w:rsidRPr="00793822" w:rsidRDefault="0098158F" w:rsidP="002E07EA">
            <w:pPr>
              <w:spacing w:line="320" w:lineRule="exact"/>
              <w:jc w:val="center"/>
              <w:rPr>
                <w:rFonts w:hAnsi="標楷體"/>
                <w:sz w:val="28"/>
                <w:szCs w:val="28"/>
              </w:rPr>
            </w:pPr>
            <w:r w:rsidRPr="00793822">
              <w:rPr>
                <w:rFonts w:hAnsi="標楷體" w:hint="eastAsia"/>
                <w:sz w:val="28"/>
                <w:szCs w:val="28"/>
              </w:rPr>
              <w:t>苗栗縣</w:t>
            </w:r>
          </w:p>
        </w:tc>
        <w:tc>
          <w:tcPr>
            <w:tcW w:w="2270" w:type="dxa"/>
            <w:vAlign w:val="center"/>
          </w:tcPr>
          <w:p w14:paraId="19EB5A8A" w14:textId="77777777" w:rsidR="0098158F" w:rsidRPr="00793822" w:rsidRDefault="0098158F" w:rsidP="002E07EA">
            <w:pPr>
              <w:spacing w:line="320" w:lineRule="exact"/>
              <w:jc w:val="center"/>
              <w:rPr>
                <w:rFonts w:hAnsi="標楷體"/>
                <w:sz w:val="28"/>
                <w:szCs w:val="28"/>
              </w:rPr>
            </w:pPr>
            <w:r w:rsidRPr="00793822">
              <w:rPr>
                <w:rFonts w:hAnsi="標楷體" w:hint="eastAsia"/>
                <w:sz w:val="28"/>
                <w:szCs w:val="28"/>
              </w:rPr>
              <w:t>泰安</w:t>
            </w:r>
          </w:p>
        </w:tc>
        <w:tc>
          <w:tcPr>
            <w:tcW w:w="4394" w:type="dxa"/>
            <w:gridSpan w:val="2"/>
            <w:vMerge w:val="restart"/>
            <w:vAlign w:val="center"/>
          </w:tcPr>
          <w:p w14:paraId="74FD115C" w14:textId="77777777" w:rsidR="0098158F" w:rsidRPr="00793822" w:rsidRDefault="0098158F" w:rsidP="002E07EA">
            <w:pPr>
              <w:spacing w:line="320" w:lineRule="exact"/>
              <w:jc w:val="center"/>
              <w:rPr>
                <w:rFonts w:hAnsi="標楷體"/>
                <w:sz w:val="28"/>
                <w:szCs w:val="28"/>
              </w:rPr>
            </w:pPr>
            <w:r w:rsidRPr="00793822">
              <w:rPr>
                <w:rFonts w:hAnsi="標楷體" w:hint="eastAsia"/>
                <w:sz w:val="28"/>
                <w:szCs w:val="28"/>
              </w:rPr>
              <w:t>僅地表調查</w:t>
            </w:r>
          </w:p>
        </w:tc>
      </w:tr>
      <w:tr w:rsidR="006E3196" w:rsidRPr="00793822" w14:paraId="7A19D54E" w14:textId="77777777" w:rsidTr="009C3A42">
        <w:tc>
          <w:tcPr>
            <w:tcW w:w="2122" w:type="dxa"/>
            <w:vAlign w:val="center"/>
          </w:tcPr>
          <w:p w14:paraId="4926B5A3" w14:textId="77777777" w:rsidR="0098158F" w:rsidRPr="00793822" w:rsidRDefault="0098158F" w:rsidP="002E07EA">
            <w:pPr>
              <w:spacing w:line="320" w:lineRule="exact"/>
              <w:jc w:val="center"/>
              <w:rPr>
                <w:rFonts w:hAnsi="標楷體"/>
                <w:sz w:val="28"/>
                <w:szCs w:val="28"/>
              </w:rPr>
            </w:pPr>
            <w:r w:rsidRPr="00793822">
              <w:rPr>
                <w:rFonts w:hAnsi="標楷體" w:hint="eastAsia"/>
                <w:sz w:val="28"/>
                <w:szCs w:val="28"/>
              </w:rPr>
              <w:t>嘉義縣</w:t>
            </w:r>
          </w:p>
        </w:tc>
        <w:tc>
          <w:tcPr>
            <w:tcW w:w="2270" w:type="dxa"/>
            <w:vAlign w:val="center"/>
          </w:tcPr>
          <w:p w14:paraId="6D131790" w14:textId="77777777" w:rsidR="0098158F" w:rsidRPr="00793822" w:rsidRDefault="0098158F" w:rsidP="002E07EA">
            <w:pPr>
              <w:spacing w:line="320" w:lineRule="exact"/>
              <w:jc w:val="center"/>
              <w:rPr>
                <w:rFonts w:hAnsi="標楷體"/>
                <w:sz w:val="28"/>
                <w:szCs w:val="28"/>
              </w:rPr>
            </w:pPr>
            <w:r w:rsidRPr="00793822">
              <w:rPr>
                <w:rFonts w:hAnsi="標楷體" w:hint="eastAsia"/>
                <w:sz w:val="28"/>
                <w:szCs w:val="28"/>
              </w:rPr>
              <w:t>中崙</w:t>
            </w:r>
          </w:p>
        </w:tc>
        <w:tc>
          <w:tcPr>
            <w:tcW w:w="4394" w:type="dxa"/>
            <w:gridSpan w:val="2"/>
            <w:vMerge/>
            <w:vAlign w:val="center"/>
          </w:tcPr>
          <w:p w14:paraId="107BD7FE" w14:textId="77777777" w:rsidR="0098158F" w:rsidRPr="00793822" w:rsidRDefault="0098158F" w:rsidP="002E07EA">
            <w:pPr>
              <w:spacing w:line="320" w:lineRule="exact"/>
              <w:jc w:val="center"/>
              <w:rPr>
                <w:rFonts w:hAnsi="標楷體"/>
                <w:sz w:val="28"/>
                <w:szCs w:val="28"/>
              </w:rPr>
            </w:pPr>
          </w:p>
        </w:tc>
      </w:tr>
    </w:tbl>
    <w:p w14:paraId="4C190DB7" w14:textId="77777777" w:rsidR="0098158F" w:rsidRPr="00793822" w:rsidRDefault="0098158F" w:rsidP="0098158F">
      <w:pPr>
        <w:rPr>
          <w:sz w:val="28"/>
          <w:szCs w:val="28"/>
        </w:rPr>
      </w:pPr>
      <w:r w:rsidRPr="00793822">
        <w:rPr>
          <w:rFonts w:hint="eastAsia"/>
          <w:sz w:val="28"/>
          <w:szCs w:val="28"/>
        </w:rPr>
        <w:t>資料來源：能源署。</w:t>
      </w:r>
    </w:p>
    <w:p w14:paraId="67651BCD" w14:textId="77777777" w:rsidR="0098158F" w:rsidRPr="00793822" w:rsidRDefault="0098158F" w:rsidP="0098158F">
      <w:pPr>
        <w:pStyle w:val="3"/>
        <w:rPr>
          <w:rFonts w:hAnsi="標楷體"/>
        </w:rPr>
      </w:pPr>
      <w:r w:rsidRPr="00793822">
        <w:rPr>
          <w:rFonts w:hint="eastAsia"/>
        </w:rPr>
        <w:t>在「</w:t>
      </w:r>
      <w:proofErr w:type="gramStart"/>
      <w:r w:rsidRPr="00793822">
        <w:t>氫能</w:t>
      </w:r>
      <w:proofErr w:type="gramEnd"/>
      <w:r w:rsidRPr="00793822">
        <w:rPr>
          <w:rFonts w:hint="eastAsia"/>
        </w:rPr>
        <w:t>」運用方面，政府</w:t>
      </w:r>
      <w:proofErr w:type="gramStart"/>
      <w:r w:rsidRPr="00793822">
        <w:rPr>
          <w:rFonts w:hint="eastAsia"/>
        </w:rPr>
        <w:t>將氫能</w:t>
      </w:r>
      <w:proofErr w:type="gramEnd"/>
      <w:r w:rsidRPr="00793822">
        <w:rPr>
          <w:rFonts w:hint="eastAsia"/>
        </w:rPr>
        <w:t>列為「2050</w:t>
      </w:r>
      <w:proofErr w:type="gramStart"/>
      <w:r w:rsidRPr="00793822">
        <w:rPr>
          <w:rFonts w:hint="eastAsia"/>
        </w:rPr>
        <w:t>淨零排放</w:t>
      </w:r>
      <w:proofErr w:type="gramEnd"/>
      <w:r w:rsidRPr="00793822">
        <w:rPr>
          <w:rFonts w:hint="eastAsia"/>
        </w:rPr>
        <w:t>路徑」之新興能源關鍵選項，預計目標占比達9%至12%，並由行政院核定「</w:t>
      </w:r>
      <w:proofErr w:type="gramStart"/>
      <w:r w:rsidRPr="00793822">
        <w:rPr>
          <w:rFonts w:hint="eastAsia"/>
        </w:rPr>
        <w:t>氫能關鍵</w:t>
      </w:r>
      <w:proofErr w:type="gramEnd"/>
      <w:r w:rsidRPr="00793822">
        <w:rPr>
          <w:rFonts w:hint="eastAsia"/>
        </w:rPr>
        <w:t>戰略行動計畫」及成立跨部會「</w:t>
      </w:r>
      <w:proofErr w:type="gramStart"/>
      <w:r w:rsidRPr="00793822">
        <w:rPr>
          <w:rFonts w:hint="eastAsia"/>
        </w:rPr>
        <w:t>氫能推動</w:t>
      </w:r>
      <w:proofErr w:type="gramEnd"/>
      <w:r w:rsidRPr="00793822">
        <w:rPr>
          <w:rFonts w:hint="eastAsia"/>
        </w:rPr>
        <w:t>小組」負責執行；</w:t>
      </w:r>
      <w:r w:rsidRPr="00793822">
        <w:rPr>
          <w:rStyle w:val="aff"/>
          <w:rFonts w:hAnsi="標楷體"/>
        </w:rPr>
        <w:footnoteReference w:id="4"/>
      </w:r>
      <w:r w:rsidRPr="00793822">
        <w:rPr>
          <w:rFonts w:hint="eastAsia"/>
        </w:rPr>
        <w:t>現階段評估機制聚焦於四大核心領域，包含</w:t>
      </w:r>
      <w:proofErr w:type="gramStart"/>
      <w:r w:rsidRPr="00793822">
        <w:rPr>
          <w:rFonts w:hint="eastAsia"/>
        </w:rPr>
        <w:t>研析藍氫、綠氫</w:t>
      </w:r>
      <w:proofErr w:type="gramEnd"/>
      <w:r w:rsidRPr="00793822">
        <w:rPr>
          <w:rFonts w:hint="eastAsia"/>
        </w:rPr>
        <w:t>及進口</w:t>
      </w:r>
      <w:proofErr w:type="gramStart"/>
      <w:r w:rsidRPr="00793822">
        <w:rPr>
          <w:rFonts w:hint="eastAsia"/>
        </w:rPr>
        <w:t>液氫等產氫</w:t>
      </w:r>
      <w:proofErr w:type="gramEnd"/>
      <w:r w:rsidRPr="00793822">
        <w:rPr>
          <w:rFonts w:hint="eastAsia"/>
        </w:rPr>
        <w:t>路徑之技術成熟度與經濟性、推動發電與</w:t>
      </w:r>
      <w:proofErr w:type="gramStart"/>
      <w:r w:rsidRPr="00793822">
        <w:rPr>
          <w:rFonts w:hint="eastAsia"/>
        </w:rPr>
        <w:t>載具端之</w:t>
      </w:r>
      <w:proofErr w:type="gramEnd"/>
      <w:r w:rsidRPr="00793822">
        <w:rPr>
          <w:rFonts w:hint="eastAsia"/>
        </w:rPr>
        <w:t>應用驗證、</w:t>
      </w:r>
      <w:proofErr w:type="gramStart"/>
      <w:r w:rsidRPr="00793822">
        <w:rPr>
          <w:rFonts w:hint="eastAsia"/>
        </w:rPr>
        <w:t>盤點液氫接收</w:t>
      </w:r>
      <w:proofErr w:type="gramEnd"/>
      <w:r w:rsidRPr="00793822">
        <w:rPr>
          <w:rFonts w:hint="eastAsia"/>
        </w:rPr>
        <w:t>站與儲運管線等基礎設施之建置安全，並同步</w:t>
      </w:r>
      <w:proofErr w:type="gramStart"/>
      <w:r w:rsidRPr="00793822">
        <w:rPr>
          <w:rFonts w:hint="eastAsia"/>
        </w:rPr>
        <w:t>完善氫能安全</w:t>
      </w:r>
      <w:proofErr w:type="gramEnd"/>
      <w:r w:rsidRPr="00793822">
        <w:rPr>
          <w:rFonts w:hint="eastAsia"/>
        </w:rPr>
        <w:t>法規與檢測驗證標準，以建構穩定且具經濟效益之供應鏈體系。</w:t>
      </w:r>
      <w:proofErr w:type="gramStart"/>
      <w:r w:rsidRPr="00793822">
        <w:t>氫能</w:t>
      </w:r>
      <w:r w:rsidRPr="00793822">
        <w:rPr>
          <w:rFonts w:hint="eastAsia"/>
        </w:rPr>
        <w:t>之</w:t>
      </w:r>
      <w:proofErr w:type="gramEnd"/>
      <w:r w:rsidRPr="00793822">
        <w:rPr>
          <w:rFonts w:hint="eastAsia"/>
        </w:rPr>
        <w:t>發展現況如下所列：</w:t>
      </w:r>
    </w:p>
    <w:p w14:paraId="2CE8691B" w14:textId="3A1299CF" w:rsidR="0098158F" w:rsidRPr="00793822" w:rsidRDefault="0098158F" w:rsidP="0098158F">
      <w:pPr>
        <w:pStyle w:val="4"/>
      </w:pPr>
      <w:proofErr w:type="gramStart"/>
      <w:r w:rsidRPr="00793822">
        <w:rPr>
          <w:rFonts w:hint="eastAsia"/>
        </w:rPr>
        <w:t>全球氫能發電</w:t>
      </w:r>
      <w:proofErr w:type="gramEnd"/>
      <w:r w:rsidRPr="00793822">
        <w:rPr>
          <w:rFonts w:hint="eastAsia"/>
        </w:rPr>
        <w:t>已由實驗階段邁向</w:t>
      </w:r>
      <w:proofErr w:type="gramStart"/>
      <w:r w:rsidRPr="00793822">
        <w:rPr>
          <w:rFonts w:hint="eastAsia"/>
        </w:rPr>
        <w:t>規模化商轉</w:t>
      </w:r>
      <w:proofErr w:type="gramEnd"/>
      <w:r w:rsidRPr="00793822">
        <w:rPr>
          <w:rFonts w:hint="eastAsia"/>
        </w:rPr>
        <w:t>。美國猶他州IPP更新計畫預計於114年啟動，初期</w:t>
      </w:r>
      <w:proofErr w:type="gramStart"/>
      <w:r w:rsidRPr="00793822">
        <w:rPr>
          <w:rFonts w:hint="eastAsia"/>
        </w:rPr>
        <w:t>採</w:t>
      </w:r>
      <w:proofErr w:type="gramEnd"/>
      <w:r w:rsidRPr="00793822">
        <w:rPr>
          <w:rFonts w:hint="eastAsia"/>
        </w:rPr>
        <w:t>30%氫氣混燒，並利用</w:t>
      </w:r>
      <w:proofErr w:type="gramStart"/>
      <w:r w:rsidRPr="00793822">
        <w:rPr>
          <w:rFonts w:hint="eastAsia"/>
        </w:rPr>
        <w:t>當地鹽穴</w:t>
      </w:r>
      <w:proofErr w:type="gramEnd"/>
      <w:r w:rsidRPr="00793822">
        <w:rPr>
          <w:rFonts w:hint="eastAsia"/>
        </w:rPr>
        <w:t>進行</w:t>
      </w:r>
      <w:proofErr w:type="gramStart"/>
      <w:r w:rsidRPr="00793822">
        <w:rPr>
          <w:rFonts w:hint="eastAsia"/>
        </w:rPr>
        <w:t>大規模儲氫</w:t>
      </w:r>
      <w:proofErr w:type="gramEnd"/>
      <w:r w:rsidRPr="00793822">
        <w:rPr>
          <w:rFonts w:hint="eastAsia"/>
        </w:rPr>
        <w:t>，目標於134年實現100%</w:t>
      </w:r>
      <w:proofErr w:type="gramStart"/>
      <w:r w:rsidRPr="00793822">
        <w:rPr>
          <w:rFonts w:hint="eastAsia"/>
        </w:rPr>
        <w:t>綠氫發電</w:t>
      </w:r>
      <w:proofErr w:type="gramEnd"/>
      <w:r w:rsidRPr="00793822">
        <w:rPr>
          <w:rFonts w:hint="eastAsia"/>
        </w:rPr>
        <w:t>；日本高砂氫能公園則於115年進行中小型機組之100%</w:t>
      </w:r>
      <w:proofErr w:type="gramStart"/>
      <w:r w:rsidRPr="00793822">
        <w:rPr>
          <w:rFonts w:hint="eastAsia"/>
        </w:rPr>
        <w:t>專燒商業</w:t>
      </w:r>
      <w:r w:rsidRPr="00793822">
        <w:rPr>
          <w:rFonts w:hint="eastAsia"/>
        </w:rPr>
        <w:lastRenderedPageBreak/>
        <w:t>化</w:t>
      </w:r>
      <w:proofErr w:type="gramEnd"/>
      <w:r w:rsidRPr="00793822">
        <w:rPr>
          <w:rFonts w:hint="eastAsia"/>
        </w:rPr>
        <w:t>測試。韓國方面，透過「</w:t>
      </w:r>
      <w:proofErr w:type="gramStart"/>
      <w:r w:rsidRPr="00793822">
        <w:rPr>
          <w:rFonts w:hint="eastAsia"/>
        </w:rPr>
        <w:t>乾淨氫能發電</w:t>
      </w:r>
      <w:proofErr w:type="gramEnd"/>
      <w:r w:rsidRPr="00793822">
        <w:rPr>
          <w:rFonts w:hint="eastAsia"/>
        </w:rPr>
        <w:t>競標市場</w:t>
      </w:r>
      <w:r w:rsidR="008E65D8" w:rsidRPr="00793822">
        <w:rPr>
          <w:rFonts w:hint="eastAsia"/>
        </w:rPr>
        <w:t>(</w:t>
      </w:r>
      <w:r w:rsidRPr="00793822">
        <w:rPr>
          <w:rFonts w:hint="eastAsia"/>
        </w:rPr>
        <w:t>CHPS</w:t>
      </w:r>
      <w:r w:rsidR="008E65D8" w:rsidRPr="00793822">
        <w:rPr>
          <w:rFonts w:hint="eastAsia"/>
        </w:rPr>
        <w:t>)</w:t>
      </w:r>
      <w:r w:rsidRPr="00793822">
        <w:rPr>
          <w:rFonts w:hint="eastAsia"/>
        </w:rPr>
        <w:t>」機制，已建置全球最大之定置型燃料電池發電設施</w:t>
      </w:r>
      <w:r w:rsidR="008E65D8" w:rsidRPr="00793822">
        <w:rPr>
          <w:rFonts w:hint="eastAsia"/>
        </w:rPr>
        <w:t>(</w:t>
      </w:r>
      <w:r w:rsidRPr="00793822">
        <w:rPr>
          <w:rFonts w:hint="eastAsia"/>
        </w:rPr>
        <w:t>78.96MW</w:t>
      </w:r>
      <w:r w:rsidR="008E65D8" w:rsidRPr="00793822">
        <w:rPr>
          <w:rFonts w:hint="eastAsia"/>
        </w:rPr>
        <w:t>)</w:t>
      </w:r>
      <w:r w:rsidRPr="00793822">
        <w:rPr>
          <w:rFonts w:hint="eastAsia"/>
        </w:rPr>
        <w:t>，顯示</w:t>
      </w:r>
      <w:proofErr w:type="gramStart"/>
      <w:r w:rsidRPr="00793822">
        <w:rPr>
          <w:rFonts w:hint="eastAsia"/>
        </w:rPr>
        <w:t>國際間正透過</w:t>
      </w:r>
      <w:proofErr w:type="gramEnd"/>
      <w:r w:rsidRPr="00793822">
        <w:rPr>
          <w:rFonts w:hint="eastAsia"/>
        </w:rPr>
        <w:t>技術驗證與政策補貼並行之方式，</w:t>
      </w:r>
      <w:proofErr w:type="gramStart"/>
      <w:r w:rsidRPr="00793822">
        <w:rPr>
          <w:rFonts w:hint="eastAsia"/>
        </w:rPr>
        <w:t>建立氫能產業</w:t>
      </w:r>
      <w:proofErr w:type="gramEnd"/>
      <w:r w:rsidRPr="00793822">
        <w:rPr>
          <w:rFonts w:hint="eastAsia"/>
        </w:rPr>
        <w:t>規模。</w:t>
      </w:r>
    </w:p>
    <w:p w14:paraId="6B14FE48" w14:textId="6C314862" w:rsidR="0098158F" w:rsidRPr="00793822" w:rsidRDefault="0098158F" w:rsidP="0098158F">
      <w:pPr>
        <w:pStyle w:val="4"/>
      </w:pPr>
      <w:proofErr w:type="gramStart"/>
      <w:r w:rsidRPr="00793822">
        <w:rPr>
          <w:rFonts w:hint="eastAsia"/>
        </w:rPr>
        <w:t>我國氫能發電</w:t>
      </w:r>
      <w:proofErr w:type="gramEnd"/>
      <w:r w:rsidRPr="00793822">
        <w:rPr>
          <w:rFonts w:hint="eastAsia"/>
        </w:rPr>
        <w:t>已進入現場實證階段，由台電</w:t>
      </w:r>
      <w:r w:rsidR="00312276" w:rsidRPr="00793822">
        <w:rPr>
          <w:rFonts w:hint="eastAsia"/>
        </w:rPr>
        <w:t>公司</w:t>
      </w:r>
      <w:r w:rsidRPr="00793822">
        <w:rPr>
          <w:rFonts w:hint="eastAsia"/>
        </w:rPr>
        <w:t>興達電廠擔任示範基地，繼112年完成5%混燒測試後，於113年進一步驗證</w:t>
      </w:r>
      <w:proofErr w:type="gramStart"/>
      <w:r w:rsidR="00312276" w:rsidRPr="00793822">
        <w:rPr>
          <w:rFonts w:hint="eastAsia"/>
        </w:rPr>
        <w:t>提高</w:t>
      </w:r>
      <w:r w:rsidRPr="00793822">
        <w:rPr>
          <w:rFonts w:hint="eastAsia"/>
        </w:rPr>
        <w:t>混氫比例</w:t>
      </w:r>
      <w:proofErr w:type="gramEnd"/>
      <w:r w:rsidRPr="00793822">
        <w:rPr>
          <w:rFonts w:hint="eastAsia"/>
        </w:rPr>
        <w:t>下之穩定運轉。在前瞻技術領域，台電公司與中央研究院合作之「</w:t>
      </w:r>
      <w:proofErr w:type="gramStart"/>
      <w:r w:rsidRPr="00793822">
        <w:rPr>
          <w:rFonts w:hint="eastAsia"/>
        </w:rPr>
        <w:t>去碳燃氫</w:t>
      </w:r>
      <w:proofErr w:type="gramEnd"/>
      <w:r w:rsidR="008E65D8" w:rsidRPr="00793822">
        <w:rPr>
          <w:rFonts w:hint="eastAsia"/>
        </w:rPr>
        <w:t>(</w:t>
      </w:r>
      <w:r w:rsidRPr="00793822">
        <w:rPr>
          <w:rFonts w:hint="eastAsia"/>
        </w:rPr>
        <w:t>Methane Pyrolysis</w:t>
      </w:r>
      <w:r w:rsidR="008E65D8" w:rsidRPr="00793822">
        <w:rPr>
          <w:rFonts w:hint="eastAsia"/>
        </w:rPr>
        <w:t>)</w:t>
      </w:r>
      <w:r w:rsidRPr="00793822">
        <w:rPr>
          <w:rFonts w:hint="eastAsia"/>
        </w:rPr>
        <w:t>」技術於115年初成功串接65</w:t>
      </w:r>
      <w:r w:rsidR="008D159A" w:rsidRPr="00793822">
        <w:rPr>
          <w:rFonts w:hint="eastAsia"/>
        </w:rPr>
        <w:t>k</w:t>
      </w:r>
      <w:r w:rsidRPr="00793822">
        <w:rPr>
          <w:rFonts w:hint="eastAsia"/>
        </w:rPr>
        <w:t>W微氣渦輪發電機，實現首度產出「</w:t>
      </w:r>
      <w:proofErr w:type="gramStart"/>
      <w:r w:rsidRPr="00793822">
        <w:rPr>
          <w:rFonts w:hint="eastAsia"/>
        </w:rPr>
        <w:t>去碳電力</w:t>
      </w:r>
      <w:proofErr w:type="gramEnd"/>
      <w:r w:rsidRPr="00793822">
        <w:rPr>
          <w:rFonts w:hint="eastAsia"/>
        </w:rPr>
        <w:t>」之紀錄，為小型分散式供電路徑提供具體可行性證明；同時，中油公司已於114年底啟用首座移動式</w:t>
      </w:r>
      <w:proofErr w:type="gramStart"/>
      <w:r w:rsidRPr="00793822">
        <w:rPr>
          <w:rFonts w:hint="eastAsia"/>
        </w:rPr>
        <w:t>加氫站</w:t>
      </w:r>
      <w:proofErr w:type="gramEnd"/>
      <w:r w:rsidRPr="00793822">
        <w:rPr>
          <w:rFonts w:hint="eastAsia"/>
        </w:rPr>
        <w:t>，逐步建構「產、輸、儲」一體化之基礎設施。</w:t>
      </w:r>
    </w:p>
    <w:p w14:paraId="1F6C0951" w14:textId="1A112DFC" w:rsidR="0098158F" w:rsidRPr="00793822" w:rsidRDefault="0098158F" w:rsidP="0098158F">
      <w:pPr>
        <w:pStyle w:val="4"/>
      </w:pPr>
      <w:r w:rsidRPr="00793822">
        <w:rPr>
          <w:rFonts w:hint="eastAsia"/>
        </w:rPr>
        <w:t>隨技術逐步成熟，115年後之發展重點轉向系統穩定性與法規完善。</w:t>
      </w:r>
      <w:proofErr w:type="gramStart"/>
      <w:r w:rsidRPr="00793822">
        <w:rPr>
          <w:rFonts w:hint="eastAsia"/>
        </w:rPr>
        <w:t>技術面需克服</w:t>
      </w:r>
      <w:proofErr w:type="gramEnd"/>
      <w:r w:rsidRPr="00793822">
        <w:rPr>
          <w:rFonts w:hint="eastAsia"/>
        </w:rPr>
        <w:t>氫氣燃燒高溫衍生之氮氧化物</w:t>
      </w:r>
      <w:r w:rsidR="008E65D8" w:rsidRPr="00793822">
        <w:rPr>
          <w:rFonts w:hint="eastAsia"/>
        </w:rPr>
        <w:t>(</w:t>
      </w:r>
      <w:r w:rsidRPr="00793822">
        <w:rPr>
          <w:rFonts w:hint="eastAsia"/>
        </w:rPr>
        <w:t>NOx</w:t>
      </w:r>
      <w:r w:rsidR="008E65D8" w:rsidRPr="00793822">
        <w:rPr>
          <w:rFonts w:hint="eastAsia"/>
        </w:rPr>
        <w:t>)</w:t>
      </w:r>
      <w:r w:rsidRPr="00793822">
        <w:rPr>
          <w:rFonts w:hint="eastAsia"/>
        </w:rPr>
        <w:t>排放控制，以及既有管線之「</w:t>
      </w:r>
      <w:proofErr w:type="gramStart"/>
      <w:r w:rsidRPr="00793822">
        <w:rPr>
          <w:rFonts w:hint="eastAsia"/>
        </w:rPr>
        <w:t>氫脆」</w:t>
      </w:r>
      <w:proofErr w:type="gramEnd"/>
      <w:r w:rsidRPr="00793822">
        <w:rPr>
          <w:rFonts w:hint="eastAsia"/>
        </w:rPr>
        <w:t>強化工程；環境面則須面對</w:t>
      </w:r>
      <w:proofErr w:type="gramStart"/>
      <w:r w:rsidRPr="00793822">
        <w:rPr>
          <w:rFonts w:hint="eastAsia"/>
        </w:rPr>
        <w:t>液氫接收站選</w:t>
      </w:r>
      <w:proofErr w:type="gramEnd"/>
      <w:r w:rsidRPr="00793822">
        <w:rPr>
          <w:rFonts w:hint="eastAsia"/>
        </w:rPr>
        <w:t>址之社會溝通與高壓輸儲設施之興建。目前行政機關正</w:t>
      </w:r>
      <w:proofErr w:type="gramStart"/>
      <w:r w:rsidRPr="00793822">
        <w:rPr>
          <w:rFonts w:hint="eastAsia"/>
        </w:rPr>
        <w:t>研</w:t>
      </w:r>
      <w:proofErr w:type="gramEnd"/>
      <w:r w:rsidRPr="00793822">
        <w:rPr>
          <w:rFonts w:hint="eastAsia"/>
        </w:rPr>
        <w:t>議</w:t>
      </w:r>
      <w:proofErr w:type="gramStart"/>
      <w:r w:rsidRPr="00793822">
        <w:rPr>
          <w:rFonts w:hint="eastAsia"/>
        </w:rPr>
        <w:t>細化氫能設置</w:t>
      </w:r>
      <w:proofErr w:type="gramEnd"/>
      <w:r w:rsidRPr="00793822">
        <w:rPr>
          <w:rFonts w:hint="eastAsia"/>
        </w:rPr>
        <w:t>標準及消防安檢規範，並評估如何整合國內燃料電池供應鏈進入電廠維護體系，以達成119年5%混燒示範商業化並納入國家能源配比之長程目標。</w:t>
      </w:r>
    </w:p>
    <w:p w14:paraId="0EAE3754" w14:textId="77777777" w:rsidR="0098158F" w:rsidRPr="00793822" w:rsidRDefault="0098158F" w:rsidP="0098158F">
      <w:pPr>
        <w:pStyle w:val="3"/>
      </w:pPr>
      <w:r w:rsidRPr="00793822">
        <w:rPr>
          <w:rFonts w:hint="eastAsia"/>
        </w:rPr>
        <w:t>在「固態氧化物燃料電池(下稱SOFC)」運用方面</w:t>
      </w:r>
      <w:r w:rsidRPr="00793822">
        <w:rPr>
          <w:rStyle w:val="aff"/>
        </w:rPr>
        <w:footnoteReference w:id="5"/>
      </w:r>
      <w:r w:rsidRPr="00793822">
        <w:rPr>
          <w:rFonts w:hint="eastAsia"/>
        </w:rPr>
        <w:t>，本院參酌台灣保來得股份有限公司115年3月6日之簡報內容，並於同月26日履</w:t>
      </w:r>
      <w:proofErr w:type="gramStart"/>
      <w:r w:rsidRPr="00793822">
        <w:rPr>
          <w:rFonts w:hint="eastAsia"/>
        </w:rPr>
        <w:t>勘</w:t>
      </w:r>
      <w:proofErr w:type="gramEnd"/>
      <w:r w:rsidRPr="00793822">
        <w:rPr>
          <w:rFonts w:hint="eastAsia"/>
        </w:rPr>
        <w:t>高雄興達發電廠時，就其技術原理與高效能源轉型優勢、分散式電源應</w:t>
      </w:r>
      <w:r w:rsidRPr="00793822">
        <w:rPr>
          <w:rFonts w:hint="eastAsia"/>
        </w:rPr>
        <w:lastRenderedPageBreak/>
        <w:t>用與國際發展實務、核心組件材料特性與研發關鍵門檻、產業化挑戰與</w:t>
      </w:r>
      <w:proofErr w:type="gramStart"/>
      <w:r w:rsidRPr="00793822">
        <w:rPr>
          <w:rFonts w:hint="eastAsia"/>
        </w:rPr>
        <w:t>我國淨零策略</w:t>
      </w:r>
      <w:proofErr w:type="gramEnd"/>
      <w:r w:rsidRPr="00793822">
        <w:rPr>
          <w:rFonts w:hint="eastAsia"/>
        </w:rPr>
        <w:t>鏈結等方面之討論及說明情形：</w:t>
      </w:r>
    </w:p>
    <w:p w14:paraId="4C8D4F42" w14:textId="37097694" w:rsidR="0098158F" w:rsidRPr="00793822" w:rsidRDefault="0098158F" w:rsidP="0098158F">
      <w:pPr>
        <w:pStyle w:val="4"/>
      </w:pPr>
      <w:r w:rsidRPr="00793822">
        <w:rPr>
          <w:rFonts w:hint="eastAsia"/>
        </w:rPr>
        <w:t>本院115年3月26日履</w:t>
      </w:r>
      <w:proofErr w:type="gramStart"/>
      <w:r w:rsidRPr="00793822">
        <w:rPr>
          <w:rFonts w:hint="eastAsia"/>
        </w:rPr>
        <w:t>勘</w:t>
      </w:r>
      <w:proofErr w:type="gramEnd"/>
      <w:r w:rsidRPr="00793822">
        <w:rPr>
          <w:rFonts w:hint="eastAsia"/>
        </w:rPr>
        <w:t>高雄興達發電廠時，經濟部表示，目前將SOFC定位為「分散式電力」及「產業自主電力」，政府提供每</w:t>
      </w:r>
      <w:proofErr w:type="gramStart"/>
      <w:r w:rsidRPr="00793822">
        <w:rPr>
          <w:rFonts w:hint="eastAsia"/>
        </w:rPr>
        <w:t>瓩</w:t>
      </w:r>
      <w:proofErr w:type="gramEnd"/>
      <w:r w:rsidR="008B02D0" w:rsidRPr="00793822">
        <w:rPr>
          <w:rFonts w:hAnsi="標楷體" w:hint="eastAsia"/>
        </w:rPr>
        <w:t>新臺幣</w:t>
      </w:r>
      <w:r w:rsidR="008E65D8" w:rsidRPr="00793822">
        <w:rPr>
          <w:rFonts w:hint="eastAsia"/>
        </w:rPr>
        <w:t>(</w:t>
      </w:r>
      <w:r w:rsidR="008B02D0" w:rsidRPr="00793822">
        <w:rPr>
          <w:rFonts w:hint="eastAsia"/>
        </w:rPr>
        <w:t>下同</w:t>
      </w:r>
      <w:r w:rsidR="008E65D8" w:rsidRPr="00793822">
        <w:rPr>
          <w:rFonts w:hint="eastAsia"/>
        </w:rPr>
        <w:t>)</w:t>
      </w:r>
      <w:r w:rsidRPr="00793822">
        <w:rPr>
          <w:rFonts w:hint="eastAsia"/>
        </w:rPr>
        <w:t>5至7萬元之補助，目標於115至118年累計建置100MW</w:t>
      </w:r>
      <w:r w:rsidR="008B02D0" w:rsidRPr="00793822">
        <w:rPr>
          <w:rFonts w:hint="eastAsia"/>
        </w:rPr>
        <w:t>。</w:t>
      </w:r>
      <w:proofErr w:type="gramStart"/>
      <w:r w:rsidRPr="00793822">
        <w:rPr>
          <w:rFonts w:hint="eastAsia"/>
        </w:rPr>
        <w:t>惟</w:t>
      </w:r>
      <w:proofErr w:type="gramEnd"/>
      <w:r w:rsidRPr="00793822">
        <w:rPr>
          <w:rFonts w:hint="eastAsia"/>
        </w:rPr>
        <w:t>目前仍面臨申設流程繁瑣及設備成本高昂等挑戰</w:t>
      </w:r>
      <w:r w:rsidR="008B02D0" w:rsidRPr="00793822">
        <w:rPr>
          <w:rFonts w:hint="eastAsia"/>
        </w:rPr>
        <w:t>，</w:t>
      </w:r>
      <w:r w:rsidRPr="00793822">
        <w:rPr>
          <w:rFonts w:hint="eastAsia"/>
        </w:rPr>
        <w:t>相關申設法令流程宜進一步簡化以利民間參與。查SOFC目前尚未正式納入國家能源配比之基載規劃，且面臨天然氣價格波動與設備昂貴等商業化誘因不足之課題。另小型新能源</w:t>
      </w:r>
      <w:proofErr w:type="gramStart"/>
      <w:r w:rsidRPr="00793822">
        <w:rPr>
          <w:rFonts w:hint="eastAsia"/>
        </w:rPr>
        <w:t>設備之申設</w:t>
      </w:r>
      <w:proofErr w:type="gramEnd"/>
      <w:r w:rsidRPr="00793822">
        <w:rPr>
          <w:rFonts w:hint="eastAsia"/>
        </w:rPr>
        <w:t>流程與台電公司調度機制尚未完全對接，行政院</w:t>
      </w:r>
      <w:r w:rsidR="00693879" w:rsidRPr="00793822">
        <w:rPr>
          <w:rFonts w:hint="eastAsia"/>
        </w:rPr>
        <w:t>允宜</w:t>
      </w:r>
      <w:r w:rsidRPr="00793822">
        <w:rPr>
          <w:rFonts w:hint="eastAsia"/>
        </w:rPr>
        <w:t>督導相關部會，比照地熱專章模式簡化行政手續，並建立明確之技術交流與成本計算基礎，以吸引民間業者投入區域微電網建置。</w:t>
      </w:r>
    </w:p>
    <w:p w14:paraId="6426643A" w14:textId="66CC58F8" w:rsidR="0098158F" w:rsidRPr="00793822" w:rsidRDefault="0098158F" w:rsidP="0098158F">
      <w:pPr>
        <w:pStyle w:val="4"/>
      </w:pPr>
      <w:r w:rsidRPr="00793822">
        <w:rPr>
          <w:rFonts w:hint="eastAsia"/>
        </w:rPr>
        <w:t>SOFC係以全固態陶瓷為電解質，於600°C至1,000°C高溫環境下運行之電化學發電設備。該技術具備高度燃料多元性，除氫氣外亦可直接利用天然氣、沼氣及液化石油氣進行內重整發電，其發電效率約60%，若導入熱電聯產系統</w:t>
      </w:r>
      <w:r w:rsidR="008E65D8" w:rsidRPr="00793822">
        <w:rPr>
          <w:rFonts w:hint="eastAsia"/>
        </w:rPr>
        <w:t>(</w:t>
      </w:r>
      <w:r w:rsidRPr="00793822">
        <w:rPr>
          <w:rFonts w:hint="eastAsia"/>
        </w:rPr>
        <w:t>CHP</w:t>
      </w:r>
      <w:r w:rsidR="008E65D8" w:rsidRPr="00793822">
        <w:rPr>
          <w:rFonts w:hint="eastAsia"/>
        </w:rPr>
        <w:t>)</w:t>
      </w:r>
      <w:r w:rsidRPr="00793822">
        <w:rPr>
          <w:rFonts w:hint="eastAsia"/>
        </w:rPr>
        <w:t>實施廢熱回收，總能源利用率最高可達85%以上，為現行最具效率之能源轉換技術之</w:t>
      </w:r>
      <w:proofErr w:type="gramStart"/>
      <w:r w:rsidRPr="00793822">
        <w:rPr>
          <w:rFonts w:hint="eastAsia"/>
        </w:rPr>
        <w:t>一</w:t>
      </w:r>
      <w:proofErr w:type="gramEnd"/>
      <w:r w:rsidRPr="00793822">
        <w:rPr>
          <w:rFonts w:hint="eastAsia"/>
        </w:rPr>
        <w:t>。</w:t>
      </w:r>
    </w:p>
    <w:p w14:paraId="2FDFE953" w14:textId="79E2D147" w:rsidR="0098158F" w:rsidRPr="00793822" w:rsidRDefault="0098158F" w:rsidP="0098158F">
      <w:pPr>
        <w:pStyle w:val="4"/>
      </w:pPr>
      <w:r w:rsidRPr="00793822">
        <w:rPr>
          <w:rFonts w:hint="eastAsia"/>
        </w:rPr>
        <w:t>在國際應用端，SOFC已成為穩定分散式供電之核心方案。美國及日本等國已將其廣泛</w:t>
      </w:r>
      <w:r w:rsidR="003110A2" w:rsidRPr="00793822">
        <w:rPr>
          <w:rFonts w:hint="eastAsia"/>
        </w:rPr>
        <w:t>布</w:t>
      </w:r>
      <w:r w:rsidRPr="00793822">
        <w:rPr>
          <w:rFonts w:hint="eastAsia"/>
        </w:rPr>
        <w:t>建於資料中心、醫療院所及商業設施，利用其高可靠度作為基載電力，有效互補再生能源之波動性。</w:t>
      </w:r>
      <w:proofErr w:type="gramStart"/>
      <w:r w:rsidRPr="00793822">
        <w:rPr>
          <w:rFonts w:hint="eastAsia"/>
        </w:rPr>
        <w:t>此外，</w:t>
      </w:r>
      <w:proofErr w:type="gramEnd"/>
      <w:r w:rsidRPr="00793822">
        <w:rPr>
          <w:rFonts w:hint="eastAsia"/>
        </w:rPr>
        <w:t>日本透過「Ene-Farm」計畫推動微型化機組進入住宅市場，實現家戶自主供電與熱能利用，而海運動力部門亦針對大型船舶開發SOFC系統，旨在</w:t>
      </w:r>
      <w:r w:rsidRPr="00793822">
        <w:rPr>
          <w:rFonts w:hint="eastAsia"/>
        </w:rPr>
        <w:lastRenderedPageBreak/>
        <w:t>取代傳統</w:t>
      </w:r>
      <w:proofErr w:type="gramStart"/>
      <w:r w:rsidRPr="00793822">
        <w:rPr>
          <w:rFonts w:hint="eastAsia"/>
        </w:rPr>
        <w:t>高排碳之</w:t>
      </w:r>
      <w:proofErr w:type="gramEnd"/>
      <w:r w:rsidRPr="00793822">
        <w:rPr>
          <w:rFonts w:hint="eastAsia"/>
        </w:rPr>
        <w:t>柴油引擎。</w:t>
      </w:r>
    </w:p>
    <w:p w14:paraId="3C06F057" w14:textId="2F328032" w:rsidR="0098158F" w:rsidRPr="00793822" w:rsidRDefault="0098158F" w:rsidP="0098158F">
      <w:pPr>
        <w:pStyle w:val="4"/>
      </w:pPr>
      <w:r w:rsidRPr="00793822">
        <w:rPr>
          <w:rFonts w:hint="eastAsia"/>
        </w:rPr>
        <w:t>SOFC之電池堆結構由陰極</w:t>
      </w:r>
      <w:r w:rsidR="008E65D8" w:rsidRPr="00793822">
        <w:rPr>
          <w:rFonts w:hint="eastAsia"/>
        </w:rPr>
        <w:t>(</w:t>
      </w:r>
      <w:r w:rsidRPr="00793822">
        <w:rPr>
          <w:rFonts w:hint="eastAsia"/>
        </w:rPr>
        <w:t>空氣極</w:t>
      </w:r>
      <w:r w:rsidR="008E65D8" w:rsidRPr="00793822">
        <w:rPr>
          <w:rFonts w:hint="eastAsia"/>
        </w:rPr>
        <w:t>)</w:t>
      </w:r>
      <w:r w:rsidRPr="00793822">
        <w:rPr>
          <w:rFonts w:hint="eastAsia"/>
        </w:rPr>
        <w:t>、陽極</w:t>
      </w:r>
      <w:r w:rsidR="008E65D8" w:rsidRPr="00793822">
        <w:rPr>
          <w:rFonts w:hint="eastAsia"/>
        </w:rPr>
        <w:t>(</w:t>
      </w:r>
      <w:r w:rsidRPr="00793822">
        <w:rPr>
          <w:rFonts w:hint="eastAsia"/>
        </w:rPr>
        <w:t>燃料極</w:t>
      </w:r>
      <w:r w:rsidR="008E65D8" w:rsidRPr="00793822">
        <w:rPr>
          <w:rFonts w:hint="eastAsia"/>
        </w:rPr>
        <w:t>)</w:t>
      </w:r>
      <w:r w:rsidRPr="00793822">
        <w:rPr>
          <w:rFonts w:hint="eastAsia"/>
        </w:rPr>
        <w:t>及陶瓷電解質構成，材料需於高溫下維持極佳之化學穩定性與機械強度。目前全球研發重點聚焦於「中低溫化」</w:t>
      </w:r>
      <w:r w:rsidR="008E65D8" w:rsidRPr="00793822">
        <w:rPr>
          <w:rFonts w:hint="eastAsia"/>
        </w:rPr>
        <w:t>(</w:t>
      </w:r>
      <w:r w:rsidRPr="00793822">
        <w:rPr>
          <w:rFonts w:hint="eastAsia"/>
        </w:rPr>
        <w:t>約500°C至700°C</w:t>
      </w:r>
      <w:r w:rsidR="008E65D8" w:rsidRPr="00793822">
        <w:rPr>
          <w:rFonts w:hint="eastAsia"/>
        </w:rPr>
        <w:t>)</w:t>
      </w:r>
      <w:r w:rsidRPr="00793822">
        <w:rPr>
          <w:rFonts w:hint="eastAsia"/>
        </w:rPr>
        <w:t>，旨在擴大材料選擇範疇並優化啟動特性，同時須克服高溫封裝技術及</w:t>
      </w:r>
      <w:proofErr w:type="gramStart"/>
      <w:r w:rsidRPr="00793822">
        <w:rPr>
          <w:rFonts w:hint="eastAsia"/>
        </w:rPr>
        <w:t>連接盤抗氧化</w:t>
      </w:r>
      <w:proofErr w:type="gramEnd"/>
      <w:r w:rsidRPr="00793822">
        <w:rPr>
          <w:rFonts w:hint="eastAsia"/>
        </w:rPr>
        <w:t>衰減等難題，以確保機組具備長效穩定之營運壽命，此亦為我國相關精密陶瓷與模具產業轉型之關鍵切入點。</w:t>
      </w:r>
    </w:p>
    <w:p w14:paraId="713F159D" w14:textId="05CF7667" w:rsidR="0098158F" w:rsidRPr="00793822" w:rsidRDefault="0098158F" w:rsidP="0098158F">
      <w:pPr>
        <w:pStyle w:val="4"/>
      </w:pPr>
      <w:r w:rsidRPr="00793822">
        <w:rPr>
          <w:rFonts w:hint="eastAsia"/>
        </w:rPr>
        <w:t>產業化挑戰與</w:t>
      </w:r>
      <w:proofErr w:type="gramStart"/>
      <w:r w:rsidRPr="00793822">
        <w:rPr>
          <w:rFonts w:hint="eastAsia"/>
        </w:rPr>
        <w:t>我國淨零策略</w:t>
      </w:r>
      <w:proofErr w:type="gramEnd"/>
      <w:r w:rsidRPr="00793822">
        <w:rPr>
          <w:rFonts w:hint="eastAsia"/>
        </w:rPr>
        <w:t>鏈結：儘管技術優勢顯著，SOFC仍面臨初期建置成本較高及啟動時程緩慢之限制，未來須透過規模化量產降低陶瓷組件製程成本。因應我國「2050</w:t>
      </w:r>
      <w:proofErr w:type="gramStart"/>
      <w:r w:rsidRPr="00793822">
        <w:rPr>
          <w:rFonts w:hint="eastAsia"/>
        </w:rPr>
        <w:t>淨零路徑</w:t>
      </w:r>
      <w:proofErr w:type="gramEnd"/>
      <w:r w:rsidRPr="00793822">
        <w:rPr>
          <w:rFonts w:hint="eastAsia"/>
        </w:rPr>
        <w:t>」與「</w:t>
      </w:r>
      <w:proofErr w:type="gramStart"/>
      <w:r w:rsidRPr="00793822">
        <w:rPr>
          <w:rFonts w:hint="eastAsia"/>
        </w:rPr>
        <w:t>去碳燃氫</w:t>
      </w:r>
      <w:proofErr w:type="gramEnd"/>
      <w:r w:rsidRPr="00793822">
        <w:rPr>
          <w:rFonts w:hint="eastAsia"/>
        </w:rPr>
        <w:t>」政策，SOFC被視為</w:t>
      </w:r>
      <w:proofErr w:type="gramStart"/>
      <w:r w:rsidRPr="00793822">
        <w:rPr>
          <w:rFonts w:hint="eastAsia"/>
        </w:rPr>
        <w:t>達成零碳電力</w:t>
      </w:r>
      <w:proofErr w:type="gramEnd"/>
      <w:r w:rsidRPr="00793822">
        <w:rPr>
          <w:rFonts w:hint="eastAsia"/>
        </w:rPr>
        <w:t>之重要儲備技術，建議後續評估建構本土化供應鏈，並將其納入分散式電網規劃，輔以法規細化及示範補貼機制，以加速推動產業化進程並強化能源自主韌性。</w:t>
      </w:r>
    </w:p>
    <w:p w14:paraId="1C2D2A57" w14:textId="77777777" w:rsidR="0098158F" w:rsidRPr="00793822" w:rsidRDefault="0098158F" w:rsidP="0098158F">
      <w:pPr>
        <w:pStyle w:val="3"/>
        <w:spacing w:line="460" w:lineRule="exact"/>
      </w:pPr>
      <w:r w:rsidRPr="00793822">
        <w:rPr>
          <w:rFonts w:hint="eastAsia"/>
        </w:rPr>
        <w:t>本院115年3月26日、27日分別至高雄興達發電廠、宜蘭</w:t>
      </w:r>
      <w:proofErr w:type="gramStart"/>
      <w:r w:rsidRPr="00793822">
        <w:rPr>
          <w:rFonts w:hint="eastAsia"/>
        </w:rPr>
        <w:t>員山深層</w:t>
      </w:r>
      <w:proofErr w:type="gramEnd"/>
      <w:r w:rsidRPr="00793822">
        <w:rPr>
          <w:rFonts w:hint="eastAsia"/>
        </w:rPr>
        <w:t>地熱井、清水地熱發電廠，</w:t>
      </w:r>
      <w:proofErr w:type="gramStart"/>
      <w:r w:rsidRPr="00793822">
        <w:rPr>
          <w:rFonts w:hint="eastAsia"/>
        </w:rPr>
        <w:t>瞭解氫能混</w:t>
      </w:r>
      <w:proofErr w:type="gramEnd"/>
      <w:r w:rsidRPr="00793822">
        <w:rPr>
          <w:rFonts w:hint="eastAsia"/>
        </w:rPr>
        <w:t>燒及地熱開發之初步實績實地履</w:t>
      </w:r>
      <w:proofErr w:type="gramStart"/>
      <w:r w:rsidRPr="00793822">
        <w:rPr>
          <w:rFonts w:hint="eastAsia"/>
        </w:rPr>
        <w:t>勘</w:t>
      </w:r>
      <w:proofErr w:type="gramEnd"/>
      <w:r w:rsidRPr="00793822">
        <w:rPr>
          <w:rFonts w:hint="eastAsia"/>
        </w:rPr>
        <w:t>發現：</w:t>
      </w:r>
    </w:p>
    <w:p w14:paraId="0BBDFA4A" w14:textId="5535F92D" w:rsidR="0098158F" w:rsidRPr="00793822" w:rsidRDefault="0098158F" w:rsidP="0098158F">
      <w:pPr>
        <w:pStyle w:val="4"/>
      </w:pPr>
      <w:proofErr w:type="gramStart"/>
      <w:r w:rsidRPr="00793822">
        <w:rPr>
          <w:rFonts w:hint="eastAsia"/>
        </w:rPr>
        <w:t>氫能混</w:t>
      </w:r>
      <w:proofErr w:type="gramEnd"/>
      <w:r w:rsidRPr="00793822">
        <w:rPr>
          <w:rFonts w:hint="eastAsia"/>
        </w:rPr>
        <w:t>燒技術雖具</w:t>
      </w:r>
      <w:proofErr w:type="gramStart"/>
      <w:r w:rsidRPr="00793822">
        <w:rPr>
          <w:rFonts w:hint="eastAsia"/>
        </w:rPr>
        <w:t>初步減碳實績</w:t>
      </w:r>
      <w:proofErr w:type="gramEnd"/>
      <w:r w:rsidRPr="00793822">
        <w:rPr>
          <w:rFonts w:hint="eastAsia"/>
        </w:rPr>
        <w:t>，惟基礎設施進度緩慢且發電成本高昂，</w:t>
      </w:r>
      <w:proofErr w:type="gramStart"/>
      <w:r w:rsidRPr="00793822">
        <w:rPr>
          <w:rFonts w:hint="eastAsia"/>
        </w:rPr>
        <w:t>能源署</w:t>
      </w:r>
      <w:r w:rsidR="00693879" w:rsidRPr="00793822">
        <w:rPr>
          <w:rFonts w:hint="eastAsia"/>
        </w:rPr>
        <w:t>允宜</w:t>
      </w:r>
      <w:proofErr w:type="gramEnd"/>
      <w:r w:rsidRPr="00793822">
        <w:rPr>
          <w:rFonts w:hint="eastAsia"/>
        </w:rPr>
        <w:t>滾動檢討發展期程：興達發電廠已完成5%</w:t>
      </w:r>
      <w:proofErr w:type="gramStart"/>
      <w:r w:rsidRPr="00793822">
        <w:rPr>
          <w:rFonts w:hint="eastAsia"/>
        </w:rPr>
        <w:t>混氫發電</w:t>
      </w:r>
      <w:proofErr w:type="gramEnd"/>
      <w:r w:rsidRPr="00793822">
        <w:rPr>
          <w:rFonts w:hint="eastAsia"/>
        </w:rPr>
        <w:t>測試，預估年</w:t>
      </w:r>
      <w:proofErr w:type="gramStart"/>
      <w:r w:rsidRPr="00793822">
        <w:rPr>
          <w:rFonts w:hint="eastAsia"/>
        </w:rPr>
        <w:t>減碳量</w:t>
      </w:r>
      <w:proofErr w:type="gramEnd"/>
      <w:r w:rsidRPr="00793822">
        <w:rPr>
          <w:rFonts w:hint="eastAsia"/>
        </w:rPr>
        <w:t>達7,124公噸，展現多元能源轉型之潛力。然現階段氫氣來源高度仰賴槽車運輸，關鍵</w:t>
      </w:r>
      <w:proofErr w:type="gramStart"/>
      <w:r w:rsidRPr="00793822">
        <w:rPr>
          <w:rFonts w:hint="eastAsia"/>
        </w:rPr>
        <w:t>之液氫</w:t>
      </w:r>
      <w:proofErr w:type="gramEnd"/>
      <w:r w:rsidRPr="00793822">
        <w:rPr>
          <w:rFonts w:hint="eastAsia"/>
        </w:rPr>
        <w:t>接收站、儲槽及管線等大型基礎設施，預計須至2030年後始具商用可能，進度恐難銜接2050</w:t>
      </w:r>
      <w:proofErr w:type="gramStart"/>
      <w:r w:rsidRPr="00793822">
        <w:rPr>
          <w:rFonts w:hint="eastAsia"/>
        </w:rPr>
        <w:t>淨零碳排</w:t>
      </w:r>
      <w:proofErr w:type="gramEnd"/>
      <w:r w:rsidRPr="00793822">
        <w:rPr>
          <w:rFonts w:hint="eastAsia"/>
        </w:rPr>
        <w:t>目標。</w:t>
      </w:r>
      <w:proofErr w:type="gramStart"/>
      <w:r w:rsidRPr="00793822">
        <w:rPr>
          <w:rFonts w:hint="eastAsia"/>
        </w:rPr>
        <w:t>此外，</w:t>
      </w:r>
      <w:proofErr w:type="gramEnd"/>
      <w:r w:rsidRPr="00793822">
        <w:rPr>
          <w:rFonts w:hint="eastAsia"/>
        </w:rPr>
        <w:t>氫氣成本高達天然氣之3至4倍，長期財務負擔及對電價之影響尚缺乏</w:t>
      </w:r>
      <w:r w:rsidRPr="00793822">
        <w:rPr>
          <w:rFonts w:hint="eastAsia"/>
        </w:rPr>
        <w:lastRenderedPageBreak/>
        <w:t>精確之成本攤提分析。</w:t>
      </w:r>
      <w:proofErr w:type="gramStart"/>
      <w:r w:rsidRPr="00793822">
        <w:rPr>
          <w:rFonts w:hAnsi="標楷體"/>
        </w:rPr>
        <w:t>能源署</w:t>
      </w:r>
      <w:r w:rsidR="00693879" w:rsidRPr="00793822">
        <w:rPr>
          <w:rFonts w:hint="eastAsia"/>
        </w:rPr>
        <w:t>允宜</w:t>
      </w:r>
      <w:r w:rsidRPr="00793822">
        <w:rPr>
          <w:rFonts w:hint="eastAsia"/>
        </w:rPr>
        <w:t>針對氫能行動</w:t>
      </w:r>
      <w:proofErr w:type="gramEnd"/>
      <w:r w:rsidRPr="00793822">
        <w:rPr>
          <w:rFonts w:hint="eastAsia"/>
        </w:rPr>
        <w:t>計畫之能源占比目標，滾動修正各階段進度，並強化與大眾針對轉型成本之溝通。</w:t>
      </w:r>
    </w:p>
    <w:p w14:paraId="7B64DC5B" w14:textId="0A959A7F" w:rsidR="0098158F" w:rsidRPr="00793822" w:rsidRDefault="0098158F" w:rsidP="0098158F">
      <w:pPr>
        <w:pStyle w:val="4"/>
      </w:pPr>
      <w:r w:rsidRPr="00793822">
        <w:rPr>
          <w:rFonts w:hint="eastAsia"/>
        </w:rPr>
        <w:t>地熱開發面臨土地取得法理困境及現行促進民間參與公共建設法(</w:t>
      </w:r>
      <w:proofErr w:type="gramStart"/>
      <w:r w:rsidRPr="00793822">
        <w:rPr>
          <w:rFonts w:hint="eastAsia"/>
        </w:rPr>
        <w:t>下稱促參</w:t>
      </w:r>
      <w:proofErr w:type="gramEnd"/>
      <w:r w:rsidRPr="00793822">
        <w:rPr>
          <w:rFonts w:hint="eastAsia"/>
        </w:rPr>
        <w:t>法)規定合約年限過短等瓶頸，行政院</w:t>
      </w:r>
      <w:r w:rsidR="00693879" w:rsidRPr="00793822">
        <w:rPr>
          <w:rFonts w:hint="eastAsia"/>
        </w:rPr>
        <w:t>允宜</w:t>
      </w:r>
      <w:r w:rsidRPr="00793822">
        <w:rPr>
          <w:rFonts w:hint="eastAsia"/>
        </w:rPr>
        <w:t>協調跨部會排除投資障礙：宜蘭地熱開發雖具深層潛力與穩定基載特性，然實務上面臨</w:t>
      </w:r>
      <w:r w:rsidR="00922158" w:rsidRPr="00793822">
        <w:rPr>
          <w:rFonts w:hint="eastAsia"/>
        </w:rPr>
        <w:t>財政部國有財產署</w:t>
      </w:r>
      <w:r w:rsidRPr="00793822">
        <w:rPr>
          <w:rFonts w:hint="eastAsia"/>
        </w:rPr>
        <w:t>法令缺乏長期租用規定導致土地取得困難、跨部會行政程序(如農業部、原</w:t>
      </w:r>
      <w:r w:rsidR="00922158" w:rsidRPr="00793822">
        <w:rPr>
          <w:rFonts w:hint="eastAsia"/>
        </w:rPr>
        <w:t>住</w:t>
      </w:r>
      <w:r w:rsidRPr="00793822">
        <w:rPr>
          <w:rFonts w:hint="eastAsia"/>
        </w:rPr>
        <w:t>民</w:t>
      </w:r>
      <w:r w:rsidR="00922158" w:rsidRPr="00793822">
        <w:rPr>
          <w:rFonts w:hint="eastAsia"/>
        </w:rPr>
        <w:t>族委員</w:t>
      </w:r>
      <w:r w:rsidRPr="00793822">
        <w:rPr>
          <w:rFonts w:hint="eastAsia"/>
        </w:rPr>
        <w:t>會)繁瑣，以及現行促參法規定合約年限(20年)難以回收高昂初期成本致投資意願低落等瓶頸；有待行政院積極協調相關部會，修正土地取得規範並適度放寬投資年限限制，落實地熱發電規模化，以因應能源轉型之急迫需求。</w:t>
      </w:r>
    </w:p>
    <w:p w14:paraId="67669208" w14:textId="2FFDA4D9" w:rsidR="0098158F" w:rsidRPr="00793822" w:rsidRDefault="0098158F" w:rsidP="005B32F5">
      <w:pPr>
        <w:pStyle w:val="3"/>
        <w:spacing w:line="460" w:lineRule="exact"/>
      </w:pPr>
      <w:r w:rsidRPr="00793822">
        <w:rPr>
          <w:rFonts w:hint="eastAsia"/>
        </w:rPr>
        <w:t>衡諸上述事實，</w:t>
      </w:r>
      <w:r w:rsidR="00CD5133" w:rsidRPr="00793822">
        <w:rPr>
          <w:rFonts w:hint="eastAsia"/>
        </w:rPr>
        <w:t>行政院、經濟部、內政部、農業部、交通部、環境部、</w:t>
      </w:r>
      <w:r w:rsidR="00CD5133" w:rsidRPr="00793822">
        <w:rPr>
          <w:rFonts w:hAnsi="標楷體" w:hint="eastAsia"/>
        </w:rPr>
        <w:t>國家科學及技術委員會(下稱國科會)</w:t>
      </w:r>
      <w:r w:rsidR="00CD5133" w:rsidRPr="00793822">
        <w:rPr>
          <w:rFonts w:hint="eastAsia"/>
        </w:rPr>
        <w:t>、國家發展委員會(</w:t>
      </w:r>
      <w:proofErr w:type="gramStart"/>
      <w:r w:rsidR="00CD5133" w:rsidRPr="00793822">
        <w:rPr>
          <w:rFonts w:hint="eastAsia"/>
        </w:rPr>
        <w:t>下稱</w:t>
      </w:r>
      <w:r w:rsidR="00CD5133" w:rsidRPr="00793822">
        <w:rPr>
          <w:rFonts w:hAnsi="標楷體" w:hint="eastAsia"/>
        </w:rPr>
        <w:t>國發</w:t>
      </w:r>
      <w:proofErr w:type="gramEnd"/>
      <w:r w:rsidR="00CD5133" w:rsidRPr="00793822">
        <w:rPr>
          <w:rFonts w:hAnsi="標楷體" w:hint="eastAsia"/>
        </w:rPr>
        <w:t>會)</w:t>
      </w:r>
      <w:r w:rsidR="00CD5133" w:rsidRPr="00793822">
        <w:rPr>
          <w:rFonts w:hint="eastAsia"/>
        </w:rPr>
        <w:t>、原住民族委員會、海洋委員會等機關</w:t>
      </w:r>
      <w:r w:rsidRPr="00793822">
        <w:rPr>
          <w:rFonts w:hint="eastAsia"/>
        </w:rPr>
        <w:t>為有效克服當前多元新能源發展所面臨之困境，加速能源轉型進程，並確保國家永續發展目標之達成，</w:t>
      </w:r>
      <w:r w:rsidR="00CD5133" w:rsidRPr="00793822">
        <w:rPr>
          <w:rFonts w:hint="eastAsia"/>
        </w:rPr>
        <w:t>前已</w:t>
      </w:r>
      <w:r w:rsidRPr="00793822">
        <w:rPr>
          <w:rFonts w:hint="eastAsia"/>
        </w:rPr>
        <w:t>擴大再生能源部署，強化跨部會協調機制與提升行政效率，制定務實且具彈性之發展優先序與路徑圖，並</w:t>
      </w:r>
      <w:r w:rsidRPr="00793822">
        <w:rPr>
          <w:rFonts w:hAnsi="標楷體" w:hint="eastAsia"/>
        </w:rPr>
        <w:t>同步強化節約能源與需求面管理策略</w:t>
      </w:r>
      <w:r w:rsidR="00CD5133" w:rsidRPr="00793822">
        <w:rPr>
          <w:rFonts w:hAnsi="標楷體" w:hint="eastAsia"/>
        </w:rPr>
        <w:t>，惟仍有下列挑戰</w:t>
      </w:r>
      <w:r w:rsidRPr="00793822">
        <w:rPr>
          <w:rFonts w:hAnsi="標楷體" w:hint="eastAsia"/>
        </w:rPr>
        <w:t>：</w:t>
      </w:r>
    </w:p>
    <w:p w14:paraId="5F49CD6F" w14:textId="77777777" w:rsidR="0098158F" w:rsidRPr="00793822" w:rsidRDefault="0098158F" w:rsidP="0098158F">
      <w:pPr>
        <w:pStyle w:val="4"/>
        <w:spacing w:line="460" w:lineRule="exact"/>
      </w:pPr>
      <w:r w:rsidRPr="00793822">
        <w:rPr>
          <w:rFonts w:hAnsi="標楷體" w:hint="eastAsia"/>
        </w:rPr>
        <w:t>110年4月間，臺灣高等檢察署邀集法務部廉政署、調查局、前經濟部能源局、內政部警政署刑事警察局討論打擊</w:t>
      </w:r>
      <w:proofErr w:type="gramStart"/>
      <w:r w:rsidRPr="00793822">
        <w:rPr>
          <w:rFonts w:hAnsi="標楷體" w:hint="eastAsia"/>
        </w:rPr>
        <w:t>妨害綠能產業</w:t>
      </w:r>
      <w:proofErr w:type="gramEnd"/>
      <w:r w:rsidRPr="00793822">
        <w:rPr>
          <w:rFonts w:hAnsi="標楷體" w:hint="eastAsia"/>
        </w:rPr>
        <w:t>發展犯罪，並於同年8月30日舉辦「打擊</w:t>
      </w:r>
      <w:proofErr w:type="gramStart"/>
      <w:r w:rsidRPr="00793822">
        <w:rPr>
          <w:rFonts w:hAnsi="標楷體" w:hint="eastAsia"/>
        </w:rPr>
        <w:t>妨害綠能產業</w:t>
      </w:r>
      <w:proofErr w:type="gramEnd"/>
      <w:r w:rsidRPr="00793822">
        <w:rPr>
          <w:rFonts w:hAnsi="標楷體" w:hint="eastAsia"/>
        </w:rPr>
        <w:t>發展犯罪」聯繫會議，於會中宣示成立「打擊</w:t>
      </w:r>
      <w:proofErr w:type="gramStart"/>
      <w:r w:rsidRPr="00793822">
        <w:rPr>
          <w:rFonts w:hAnsi="標楷體" w:hint="eastAsia"/>
        </w:rPr>
        <w:t>妨害綠能產業</w:t>
      </w:r>
      <w:proofErr w:type="gramEnd"/>
      <w:r w:rsidRPr="00793822">
        <w:rPr>
          <w:rFonts w:hAnsi="標楷體" w:hint="eastAsia"/>
        </w:rPr>
        <w:lastRenderedPageBreak/>
        <w:t>發展犯罪聯繫平</w:t>
      </w:r>
      <w:proofErr w:type="gramStart"/>
      <w:r w:rsidRPr="00793822">
        <w:rPr>
          <w:rFonts w:hAnsi="標楷體" w:hint="eastAsia"/>
        </w:rPr>
        <w:t>臺</w:t>
      </w:r>
      <w:proofErr w:type="gramEnd"/>
      <w:r w:rsidRPr="00793822">
        <w:rPr>
          <w:rFonts w:hAnsi="標楷體" w:hint="eastAsia"/>
        </w:rPr>
        <w:t>」，以杜絕相關犯罪</w:t>
      </w:r>
      <w:r w:rsidRPr="00793822">
        <w:rPr>
          <w:rStyle w:val="aff"/>
          <w:rFonts w:hAnsi="標楷體"/>
        </w:rPr>
        <w:footnoteReference w:id="6"/>
      </w:r>
      <w:r w:rsidRPr="00793822">
        <w:rPr>
          <w:rFonts w:hAnsi="標楷體" w:hint="eastAsia"/>
        </w:rPr>
        <w:t>。</w:t>
      </w:r>
      <w:proofErr w:type="gramStart"/>
      <w:r w:rsidRPr="00793822">
        <w:rPr>
          <w:rFonts w:hAnsi="標楷體" w:hint="eastAsia"/>
        </w:rPr>
        <w:t>嗣</w:t>
      </w:r>
      <w:proofErr w:type="gramEnd"/>
      <w:r w:rsidRPr="00793822">
        <w:rPr>
          <w:rFonts w:hAnsi="標楷體" w:hint="eastAsia"/>
        </w:rPr>
        <w:t>於112年頒布實施打擊</w:t>
      </w:r>
      <w:proofErr w:type="gramStart"/>
      <w:r w:rsidRPr="00793822">
        <w:rPr>
          <w:rFonts w:hAnsi="標楷體" w:hint="eastAsia"/>
        </w:rPr>
        <w:t>妨害綠能產業</w:t>
      </w:r>
      <w:proofErr w:type="gramEnd"/>
      <w:r w:rsidRPr="00793822">
        <w:rPr>
          <w:rFonts w:hAnsi="標楷體" w:hint="eastAsia"/>
        </w:rPr>
        <w:t>發展犯罪聯繫平</w:t>
      </w:r>
      <w:proofErr w:type="gramStart"/>
      <w:r w:rsidRPr="00793822">
        <w:rPr>
          <w:rFonts w:hAnsi="標楷體" w:hint="eastAsia"/>
        </w:rPr>
        <w:t>臺</w:t>
      </w:r>
      <w:proofErr w:type="gramEnd"/>
      <w:r w:rsidRPr="00793822">
        <w:rPr>
          <w:rFonts w:hAnsi="標楷體" w:hint="eastAsia"/>
        </w:rPr>
        <w:t>實施計畫</w:t>
      </w:r>
      <w:r w:rsidRPr="00793822">
        <w:rPr>
          <w:rStyle w:val="aff"/>
          <w:rFonts w:hAnsi="標楷體"/>
        </w:rPr>
        <w:footnoteReference w:id="7"/>
      </w:r>
      <w:r w:rsidRPr="00793822">
        <w:rPr>
          <w:rFonts w:hAnsi="標楷體" w:hint="eastAsia"/>
        </w:rPr>
        <w:t>。</w:t>
      </w:r>
      <w:proofErr w:type="gramStart"/>
      <w:r w:rsidRPr="00793822">
        <w:rPr>
          <w:rFonts w:hAnsi="標楷體" w:hint="eastAsia"/>
        </w:rPr>
        <w:t>爰</w:t>
      </w:r>
      <w:proofErr w:type="gramEnd"/>
      <w:r w:rsidRPr="00793822">
        <w:rPr>
          <w:rFonts w:hint="eastAsia"/>
        </w:rPr>
        <w:t>就部分利害關係人向風電廠商索取賄款、保護費、回饋金等媒體報導事件</w:t>
      </w:r>
      <w:r w:rsidRPr="00793822">
        <w:rPr>
          <w:rStyle w:val="aff"/>
          <w:rFonts w:hAnsi="標楷體"/>
        </w:rPr>
        <w:footnoteReference w:id="8"/>
      </w:r>
      <w:r w:rsidRPr="00793822">
        <w:rPr>
          <w:rFonts w:hint="eastAsia"/>
        </w:rPr>
        <w:t>、</w:t>
      </w:r>
      <w:r w:rsidRPr="00793822">
        <w:rPr>
          <w:rFonts w:hAnsi="標楷體" w:hint="eastAsia"/>
        </w:rPr>
        <w:t>法務部彙整有關</w:t>
      </w:r>
      <w:proofErr w:type="gramStart"/>
      <w:r w:rsidRPr="00793822">
        <w:rPr>
          <w:rFonts w:hAnsi="標楷體" w:hint="eastAsia"/>
        </w:rPr>
        <w:t>妨害綠能案件</w:t>
      </w:r>
      <w:proofErr w:type="gramEnd"/>
      <w:r w:rsidRPr="00793822">
        <w:rPr>
          <w:rFonts w:hAnsi="標楷體" w:hint="eastAsia"/>
        </w:rPr>
        <w:t>提起公訴案件，共計71案，114人，均有待</w:t>
      </w:r>
      <w:r w:rsidRPr="00793822">
        <w:rPr>
          <w:rFonts w:hint="eastAsia"/>
        </w:rPr>
        <w:t>妥善處理(</w:t>
      </w:r>
      <w:r w:rsidRPr="00793822">
        <w:rPr>
          <w:rFonts w:hAnsi="標楷體" w:hint="eastAsia"/>
        </w:rPr>
        <w:t>相關犯罪類型與被告身分統計詳如附表</w:t>
      </w:r>
      <w:proofErr w:type="gramStart"/>
      <w:r w:rsidRPr="00793822">
        <w:rPr>
          <w:rFonts w:hAnsi="標楷體" w:hint="eastAsia"/>
        </w:rPr>
        <w:t>一</w:t>
      </w:r>
      <w:proofErr w:type="gramEnd"/>
      <w:r w:rsidRPr="00793822">
        <w:rPr>
          <w:rFonts w:hint="eastAsia"/>
        </w:rPr>
        <w:t>)。</w:t>
      </w:r>
    </w:p>
    <w:p w14:paraId="2D5AF76A" w14:textId="7544271E" w:rsidR="0098158F" w:rsidRPr="00793822" w:rsidRDefault="0098158F" w:rsidP="0098158F">
      <w:pPr>
        <w:pStyle w:val="4"/>
        <w:spacing w:line="460" w:lineRule="exact"/>
      </w:pPr>
      <w:r w:rsidRPr="00793822">
        <w:rPr>
          <w:rFonts w:hint="eastAsia"/>
        </w:rPr>
        <w:t>針對地熱能、海洋能、</w:t>
      </w:r>
      <w:proofErr w:type="gramStart"/>
      <w:r w:rsidRPr="00793822">
        <w:rPr>
          <w:rFonts w:hint="eastAsia"/>
        </w:rPr>
        <w:t>氫能等</w:t>
      </w:r>
      <w:proofErr w:type="gramEnd"/>
      <w:r w:rsidRPr="00793822">
        <w:rPr>
          <w:rFonts w:hint="eastAsia"/>
        </w:rPr>
        <w:t>具發展潛力之能源選項，</w:t>
      </w:r>
      <w:r w:rsidR="00CD5133" w:rsidRPr="00793822">
        <w:rPr>
          <w:rFonts w:hint="eastAsia"/>
        </w:rPr>
        <w:t>尚待</w:t>
      </w:r>
      <w:r w:rsidRPr="00793822">
        <w:rPr>
          <w:rFonts w:hint="eastAsia"/>
        </w:rPr>
        <w:t>適度加大研發投入與示範計畫之支持力度，集中協助突破關鍵技術瓶頸(例如深層地熱鑽探與</w:t>
      </w:r>
      <w:proofErr w:type="gramStart"/>
      <w:r w:rsidRPr="00793822">
        <w:rPr>
          <w:rFonts w:hint="eastAsia"/>
        </w:rPr>
        <w:t>熱儲開發</w:t>
      </w:r>
      <w:proofErr w:type="gramEnd"/>
      <w:r w:rsidRPr="00793822">
        <w:rPr>
          <w:rFonts w:hint="eastAsia"/>
        </w:rPr>
        <w:t>技術、海洋能發電機組國產化與系統整合、低成本潔淨氫之生產與儲運技術等)，並致力於建立更為友善之早期開發與投資環境(例如簡化探</w:t>
      </w:r>
      <w:proofErr w:type="gramStart"/>
      <w:r w:rsidRPr="00793822">
        <w:rPr>
          <w:rFonts w:hint="eastAsia"/>
        </w:rPr>
        <w:t>勘</w:t>
      </w:r>
      <w:proofErr w:type="gramEnd"/>
      <w:r w:rsidRPr="00793822">
        <w:rPr>
          <w:rFonts w:hint="eastAsia"/>
        </w:rPr>
        <w:t>及開發許可流程、完善初期投資之風險分攤機制)。</w:t>
      </w:r>
    </w:p>
    <w:p w14:paraId="15D25A0E" w14:textId="3A8AD874" w:rsidR="0098158F" w:rsidRPr="00793822" w:rsidRDefault="0098158F" w:rsidP="0098158F">
      <w:pPr>
        <w:pStyle w:val="4"/>
        <w:spacing w:line="460" w:lineRule="exact"/>
      </w:pPr>
      <w:r w:rsidRPr="00793822">
        <w:rPr>
          <w:rFonts w:hint="eastAsia"/>
        </w:rPr>
        <w:t>針對土地取得、環境影響評估、法規調適、基礎</w:t>
      </w:r>
      <w:r w:rsidRPr="00793822">
        <w:rPr>
          <w:rFonts w:hint="eastAsia"/>
        </w:rPr>
        <w:lastRenderedPageBreak/>
        <w:t>設施共用等共通性議題，</w:t>
      </w:r>
      <w:r w:rsidR="0087076C" w:rsidRPr="00793822">
        <w:rPr>
          <w:rFonts w:hint="eastAsia"/>
        </w:rPr>
        <w:t>行政院</w:t>
      </w:r>
      <w:proofErr w:type="gramStart"/>
      <w:r w:rsidR="0087076C" w:rsidRPr="00793822">
        <w:rPr>
          <w:rFonts w:hint="eastAsia"/>
        </w:rPr>
        <w:t>允</w:t>
      </w:r>
      <w:r w:rsidR="00693879" w:rsidRPr="00793822">
        <w:rPr>
          <w:rFonts w:hint="eastAsia"/>
        </w:rPr>
        <w:t>宜</w:t>
      </w:r>
      <w:r w:rsidR="0087076C" w:rsidRPr="00793822">
        <w:rPr>
          <w:rFonts w:hint="eastAsia"/>
        </w:rPr>
        <w:t>本於</w:t>
      </w:r>
      <w:proofErr w:type="gramEnd"/>
      <w:r w:rsidR="0087076C" w:rsidRPr="00793822">
        <w:rPr>
          <w:rFonts w:hint="eastAsia"/>
        </w:rPr>
        <w:t>權責，強化能源轉型相關部會間之橫向聯繫、政策協調與資源整合機制，</w:t>
      </w:r>
      <w:r w:rsidRPr="00793822">
        <w:rPr>
          <w:rFonts w:hint="eastAsia"/>
        </w:rPr>
        <w:t>建立更具效率之一站式整合審查與跨部會問題解決平</w:t>
      </w:r>
      <w:proofErr w:type="gramStart"/>
      <w:r w:rsidRPr="00793822">
        <w:rPr>
          <w:rFonts w:hint="eastAsia"/>
        </w:rPr>
        <w:t>臺</w:t>
      </w:r>
      <w:proofErr w:type="gramEnd"/>
      <w:r w:rsidRPr="00793822">
        <w:rPr>
          <w:rFonts w:hint="eastAsia"/>
        </w:rPr>
        <w:t>，以提升整體行政效能。</w:t>
      </w:r>
    </w:p>
    <w:p w14:paraId="41D57592" w14:textId="61952C8E" w:rsidR="0098158F" w:rsidRPr="00793822" w:rsidRDefault="0098158F" w:rsidP="0098158F">
      <w:pPr>
        <w:pStyle w:val="4"/>
        <w:spacing w:line="460" w:lineRule="exact"/>
      </w:pPr>
      <w:r w:rsidRPr="00793822">
        <w:rPr>
          <w:rFonts w:hint="eastAsia"/>
        </w:rPr>
        <w:t>依據前述系統性綜合評估框架，對各類新能源技術之發展潛力、技術成熟度、經濟成本、社會接受度、環境影響、資源可獲得性及對國家能源安全之貢獻時程等，進行定期且滾動式之評估。並據此評估結果，制定更為</w:t>
      </w:r>
      <w:proofErr w:type="gramStart"/>
      <w:r w:rsidRPr="00793822">
        <w:rPr>
          <w:rFonts w:hint="eastAsia"/>
        </w:rPr>
        <w:t>清晰、</w:t>
      </w:r>
      <w:proofErr w:type="gramEnd"/>
      <w:r w:rsidRPr="00793822">
        <w:rPr>
          <w:rFonts w:hint="eastAsia"/>
        </w:rPr>
        <w:t>務實且具調適性之短、中、長期發展優先順序與資源分配策略，避免因資源過度分散而延宕整體轉型時程。</w:t>
      </w:r>
    </w:p>
    <w:p w14:paraId="350C3B81" w14:textId="651B65AE" w:rsidR="0098158F" w:rsidRPr="00793822" w:rsidRDefault="0098158F" w:rsidP="0098158F">
      <w:pPr>
        <w:pStyle w:val="4"/>
        <w:spacing w:line="460" w:lineRule="exact"/>
        <w:rPr>
          <w:rFonts w:hAnsi="標楷體"/>
          <w:szCs w:val="48"/>
        </w:rPr>
      </w:pPr>
      <w:r w:rsidRPr="00793822">
        <w:rPr>
          <w:rFonts w:hAnsi="標楷體" w:hint="eastAsia"/>
        </w:rPr>
        <w:t>除開發新能源供給外，持續推動產業、建築、運輸等各部門之深度節能措施與能源效率提升計畫，以擴大智慧電網建置與需量反應機制之應用範疇，</w:t>
      </w:r>
      <w:proofErr w:type="gramStart"/>
      <w:r w:rsidRPr="00793822">
        <w:rPr>
          <w:rFonts w:hAnsi="標楷體" w:hint="eastAsia"/>
        </w:rPr>
        <w:t>有效抑</w:t>
      </w:r>
      <w:proofErr w:type="gramEnd"/>
      <w:r w:rsidRPr="00793822">
        <w:rPr>
          <w:rFonts w:hAnsi="標楷體" w:hint="eastAsia"/>
        </w:rPr>
        <w:t>低電力需求增長之壓力，降低整體能源系統之負擔。</w:t>
      </w:r>
    </w:p>
    <w:p w14:paraId="3153990F" w14:textId="77777777" w:rsidR="0098158F" w:rsidRPr="00793822" w:rsidRDefault="0098158F" w:rsidP="0098158F">
      <w:pPr>
        <w:pStyle w:val="3"/>
        <w:spacing w:line="460" w:lineRule="exact"/>
      </w:pPr>
      <w:r w:rsidRPr="00793822">
        <w:rPr>
          <w:rFonts w:hint="eastAsia"/>
        </w:rPr>
        <w:t>據</w:t>
      </w:r>
      <w:proofErr w:type="gramStart"/>
      <w:r w:rsidRPr="00793822">
        <w:rPr>
          <w:rFonts w:hint="eastAsia"/>
        </w:rPr>
        <w:t>上論結</w:t>
      </w:r>
      <w:proofErr w:type="gramEnd"/>
      <w:r w:rsidRPr="00793822">
        <w:rPr>
          <w:rFonts w:hint="eastAsia"/>
        </w:rPr>
        <w:t>，</w:t>
      </w:r>
      <w:r w:rsidRPr="00793822">
        <w:rPr>
          <w:rFonts w:hAnsi="標楷體" w:hint="eastAsia"/>
        </w:rPr>
        <w:t>當前能源轉型於執行層面遭遇瓶頸，再生能源推展目標延宕，復有人工智慧發展帶來電力迫切需求，加以行政流程與跨部會協調不足等非技術性障礙，致使整體政策推展受限，行政院暨所屬相關部會允宜通盤檢討，強化協調與執行機制，以有效因應國家永續發展之嚴峻挑戰</w:t>
      </w:r>
      <w:r w:rsidRPr="00793822">
        <w:rPr>
          <w:rFonts w:hint="eastAsia"/>
        </w:rPr>
        <w:t>。</w:t>
      </w:r>
    </w:p>
    <w:p w14:paraId="7A11D2FA" w14:textId="31904DA8" w:rsidR="00B05870" w:rsidRPr="00793822" w:rsidRDefault="00B05870" w:rsidP="00B05870">
      <w:pPr>
        <w:pStyle w:val="2"/>
        <w:spacing w:line="460" w:lineRule="exact"/>
        <w:rPr>
          <w:b/>
        </w:rPr>
      </w:pPr>
      <w:bookmarkStart w:id="52" w:name="_Hlk209684927"/>
      <w:bookmarkEnd w:id="50"/>
      <w:bookmarkEnd w:id="51"/>
      <w:r w:rsidRPr="00793822">
        <w:rPr>
          <w:b/>
        </w:rPr>
        <w:t>政府現行對能源技術之評估，</w:t>
      </w:r>
      <w:r w:rsidRPr="00793822">
        <w:rPr>
          <w:rFonts w:hint="eastAsia"/>
          <w:b/>
        </w:rPr>
        <w:t>允宜於相關研究、政策說明及國際合作交流</w:t>
      </w:r>
      <w:r w:rsidRPr="00793822">
        <w:rPr>
          <w:b/>
        </w:rPr>
        <w:t>方面</w:t>
      </w:r>
      <w:proofErr w:type="gramStart"/>
      <w:r w:rsidRPr="00793822">
        <w:rPr>
          <w:rFonts w:hint="eastAsia"/>
          <w:b/>
        </w:rPr>
        <w:t>賡</w:t>
      </w:r>
      <w:proofErr w:type="gramEnd"/>
      <w:r w:rsidRPr="00793822">
        <w:rPr>
          <w:rFonts w:hint="eastAsia"/>
          <w:b/>
        </w:rPr>
        <w:t>續整合各界意見</w:t>
      </w:r>
      <w:r w:rsidR="0098158F" w:rsidRPr="00793822">
        <w:rPr>
          <w:rFonts w:hint="eastAsia"/>
          <w:b/>
        </w:rPr>
        <w:t>，</w:t>
      </w:r>
      <w:r w:rsidR="003A4609" w:rsidRPr="00793822">
        <w:rPr>
          <w:rFonts w:hint="eastAsia"/>
          <w:b/>
        </w:rPr>
        <w:t>整合不同政策立場及推展相關研究評估及系統規劃，</w:t>
      </w:r>
      <w:r w:rsidR="0098158F" w:rsidRPr="00793822">
        <w:rPr>
          <w:rFonts w:hint="eastAsia"/>
          <w:b/>
        </w:rPr>
        <w:t>活化人才運用</w:t>
      </w:r>
      <w:r w:rsidRPr="00793822">
        <w:rPr>
          <w:rFonts w:hint="eastAsia"/>
          <w:b/>
        </w:rPr>
        <w:t>，</w:t>
      </w:r>
      <w:proofErr w:type="gramStart"/>
      <w:r w:rsidRPr="00793822">
        <w:rPr>
          <w:rFonts w:hint="eastAsia"/>
          <w:b/>
        </w:rPr>
        <w:t>釐</w:t>
      </w:r>
      <w:proofErr w:type="gramEnd"/>
      <w:r w:rsidRPr="00793822">
        <w:rPr>
          <w:rFonts w:hint="eastAsia"/>
          <w:b/>
        </w:rPr>
        <w:t>清</w:t>
      </w:r>
      <w:r w:rsidR="0098158F" w:rsidRPr="00793822">
        <w:rPr>
          <w:rFonts w:hint="eastAsia"/>
          <w:b/>
        </w:rPr>
        <w:t>多元</w:t>
      </w:r>
      <w:r w:rsidR="0098158F" w:rsidRPr="00793822">
        <w:rPr>
          <w:b/>
        </w:rPr>
        <w:t>新能源</w:t>
      </w:r>
      <w:r w:rsidR="0098158F" w:rsidRPr="00793822">
        <w:rPr>
          <w:rFonts w:hint="eastAsia"/>
          <w:b/>
        </w:rPr>
        <w:t>於</w:t>
      </w:r>
      <w:r w:rsidRPr="00793822">
        <w:rPr>
          <w:rFonts w:hint="eastAsia"/>
          <w:b/>
        </w:rPr>
        <w:t>轉型路徑中之定位，</w:t>
      </w:r>
      <w:r w:rsidR="00FF4911" w:rsidRPr="00793822">
        <w:rPr>
          <w:rFonts w:hint="eastAsia"/>
          <w:b/>
        </w:rPr>
        <w:t>並審視現行儲能建置進度以確保目標如期達成，</w:t>
      </w:r>
      <w:r w:rsidRPr="00793822">
        <w:rPr>
          <w:rFonts w:hint="eastAsia"/>
          <w:b/>
        </w:rPr>
        <w:t>據以</w:t>
      </w:r>
      <w:r w:rsidRPr="00793822">
        <w:rPr>
          <w:b/>
        </w:rPr>
        <w:t>因應國家長遠能源發展之需。</w:t>
      </w:r>
    </w:p>
    <w:p w14:paraId="152F892D" w14:textId="3EC0BB08" w:rsidR="00C90621" w:rsidRPr="00793822" w:rsidRDefault="00C90621" w:rsidP="00133228">
      <w:pPr>
        <w:pStyle w:val="3"/>
        <w:spacing w:line="460" w:lineRule="exact"/>
      </w:pPr>
      <w:r w:rsidRPr="00793822">
        <w:rPr>
          <w:rFonts w:hint="eastAsia"/>
        </w:rPr>
        <w:lastRenderedPageBreak/>
        <w:t>為促進國家永續發展，確保能源供應穩定、環境保護及經濟發展三者均衡，並因應</w:t>
      </w:r>
      <w:proofErr w:type="gramStart"/>
      <w:r w:rsidRPr="00793822">
        <w:rPr>
          <w:rFonts w:hint="eastAsia"/>
        </w:rPr>
        <w:t>全球淨零轉型</w:t>
      </w:r>
      <w:proofErr w:type="gramEnd"/>
      <w:r w:rsidRPr="00793822">
        <w:rPr>
          <w:rFonts w:hint="eastAsia"/>
        </w:rPr>
        <w:t>趨勢及新興科技人工智慧所引致之電力需求增長，對於各類新能源技術之發展與導入，實有賴於一套客觀、科學且周延之評估機制</w:t>
      </w:r>
      <w:r w:rsidR="00975507" w:rsidRPr="00793822">
        <w:rPr>
          <w:rStyle w:val="aff"/>
        </w:rPr>
        <w:footnoteReference w:id="9"/>
      </w:r>
      <w:r w:rsidRPr="00793822">
        <w:rPr>
          <w:rFonts w:hint="eastAsia"/>
        </w:rPr>
        <w:t>。</w:t>
      </w:r>
      <w:r w:rsidR="00B05870" w:rsidRPr="00793822">
        <w:rPr>
          <w:rFonts w:hint="eastAsia"/>
        </w:rPr>
        <w:t>國家能源發展與轉型，應以國家永續發展為最高目標，並恪遵現行有效之法律框架，</w:t>
      </w:r>
      <w:r w:rsidR="00975507" w:rsidRPr="00793822">
        <w:rPr>
          <w:rFonts w:hint="eastAsia"/>
        </w:rPr>
        <w:t>氣候變遷因應法</w:t>
      </w:r>
      <w:r w:rsidR="00975507" w:rsidRPr="00793822">
        <w:rPr>
          <w:rStyle w:val="aff"/>
        </w:rPr>
        <w:footnoteReference w:id="10"/>
      </w:r>
      <w:r w:rsidR="00B05870" w:rsidRPr="00793822">
        <w:rPr>
          <w:rFonts w:hint="eastAsia"/>
        </w:rPr>
        <w:t>揭示政府</w:t>
      </w:r>
      <w:r w:rsidR="0072729A" w:rsidRPr="00793822">
        <w:rPr>
          <w:rFonts w:hint="eastAsia"/>
        </w:rPr>
        <w:t>將</w:t>
      </w:r>
      <w:r w:rsidR="00B05870" w:rsidRPr="00793822">
        <w:rPr>
          <w:rFonts w:hint="eastAsia"/>
        </w:rPr>
        <w:t>秉持減緩與調適並重之原則，以確保能源供需穩定及國土資源永續利用，並於推動政策時，兼顧環境保護、經濟發展、社會正義、跨世代衡平及原住民族權益等多重價值。復依環境基本法第23條前段規定，政府</w:t>
      </w:r>
      <w:r w:rsidR="0072729A" w:rsidRPr="00793822">
        <w:rPr>
          <w:rFonts w:hint="eastAsia"/>
        </w:rPr>
        <w:t>宜</w:t>
      </w:r>
      <w:r w:rsidR="00B05870" w:rsidRPr="00793822">
        <w:rPr>
          <w:rFonts w:hint="eastAsia"/>
        </w:rPr>
        <w:t>訂定計畫，逐步達成</w:t>
      </w:r>
      <w:r w:rsidR="0072729A" w:rsidRPr="00793822">
        <w:rPr>
          <w:rFonts w:hint="eastAsia"/>
        </w:rPr>
        <w:t>政策</w:t>
      </w:r>
      <w:r w:rsidR="00B05870" w:rsidRPr="00793822">
        <w:rPr>
          <w:rFonts w:hint="eastAsia"/>
        </w:rPr>
        <w:t>目標。而「電業法」作為電力事業之主要法律，其歷次修正，尤其關於核能發電運轉期限之變革，則直接影響能源選項之法律基礎。</w:t>
      </w:r>
      <w:proofErr w:type="gramStart"/>
      <w:r w:rsidR="00B05870" w:rsidRPr="00793822">
        <w:rPr>
          <w:rFonts w:hint="eastAsia"/>
        </w:rPr>
        <w:t>準</w:t>
      </w:r>
      <w:proofErr w:type="gramEnd"/>
      <w:r w:rsidR="00B05870" w:rsidRPr="00793822">
        <w:rPr>
          <w:rFonts w:hint="eastAsia"/>
        </w:rPr>
        <w:t>此，新興能源技術</w:t>
      </w:r>
      <w:r w:rsidR="000E2BB3" w:rsidRPr="00793822">
        <w:rPr>
          <w:rFonts w:hint="eastAsia"/>
        </w:rPr>
        <w:t>之</w:t>
      </w:r>
      <w:r w:rsidR="00B05870" w:rsidRPr="00793822">
        <w:rPr>
          <w:rFonts w:hint="eastAsia"/>
        </w:rPr>
        <w:t>評估與發展，在確保核能安全、妥善處理核廢料及完備相關法制化之前提下，於前述法律框架內，進行嚴謹周延之綜合考量。</w:t>
      </w:r>
    </w:p>
    <w:bookmarkEnd w:id="52"/>
    <w:p w14:paraId="2B74018C" w14:textId="6F84BBF9" w:rsidR="00B40CA4" w:rsidRPr="00793822" w:rsidRDefault="00975507" w:rsidP="00B40CA4">
      <w:pPr>
        <w:pStyle w:val="3"/>
        <w:spacing w:line="460" w:lineRule="exact"/>
        <w:rPr>
          <w:rFonts w:hAnsi="標楷體"/>
        </w:rPr>
      </w:pPr>
      <w:r w:rsidRPr="00793822">
        <w:rPr>
          <w:rFonts w:hint="eastAsia"/>
        </w:rPr>
        <w:t>國內能源相關法制之變革，於新興能源選項</w:t>
      </w:r>
      <w:r w:rsidR="003A4609" w:rsidRPr="00793822">
        <w:rPr>
          <w:rFonts w:hint="eastAsia"/>
        </w:rPr>
        <w:t>之</w:t>
      </w:r>
      <w:r w:rsidRPr="00793822">
        <w:rPr>
          <w:rFonts w:hint="eastAsia"/>
        </w:rPr>
        <w:t>政策立場、研究評估</w:t>
      </w:r>
      <w:r w:rsidR="003A4609" w:rsidRPr="00793822">
        <w:rPr>
          <w:rFonts w:hint="eastAsia"/>
        </w:rPr>
        <w:t>及</w:t>
      </w:r>
      <w:r w:rsidRPr="00793822">
        <w:rPr>
          <w:rFonts w:hint="eastAsia"/>
        </w:rPr>
        <w:t>系統規劃</w:t>
      </w:r>
      <w:r w:rsidR="003A4609" w:rsidRPr="00793822">
        <w:rPr>
          <w:rFonts w:hint="eastAsia"/>
        </w:rPr>
        <w:t>，均有待整合及推展</w:t>
      </w:r>
      <w:r w:rsidRPr="00793822">
        <w:rPr>
          <w:rFonts w:hAnsi="標楷體" w:hint="eastAsia"/>
        </w:rPr>
        <w:t>：</w:t>
      </w:r>
    </w:p>
    <w:p w14:paraId="11300D24" w14:textId="3D1CB3A5" w:rsidR="00975507" w:rsidRPr="00793822" w:rsidRDefault="00975507" w:rsidP="0077527D">
      <w:pPr>
        <w:pStyle w:val="4"/>
      </w:pPr>
      <w:r w:rsidRPr="00793822">
        <w:rPr>
          <w:rFonts w:hint="eastAsia"/>
        </w:rPr>
        <w:t>政府現行對新能源技術之評估，雖涵蓋技術成熟度、經濟效益、環境影響及社會接受度等面向，並運用多樣化政策工具，然實際運作仍存在顯著缺失。對於太陽光電及風力發電等已商業化技術，其評估體系相對完整；</w:t>
      </w:r>
      <w:proofErr w:type="gramStart"/>
      <w:r w:rsidRPr="00793822">
        <w:rPr>
          <w:rFonts w:hint="eastAsia"/>
        </w:rPr>
        <w:t>惟</w:t>
      </w:r>
      <w:proofErr w:type="gramEnd"/>
      <w:r w:rsidRPr="00793822">
        <w:rPr>
          <w:rFonts w:hint="eastAsia"/>
        </w:rPr>
        <w:t>對於地熱能、</w:t>
      </w:r>
      <w:proofErr w:type="gramStart"/>
      <w:r w:rsidRPr="00793822">
        <w:rPr>
          <w:rFonts w:hint="eastAsia"/>
        </w:rPr>
        <w:t>氫能</w:t>
      </w:r>
      <w:r w:rsidRPr="00793822">
        <w:rPr>
          <w:rFonts w:hint="eastAsia"/>
        </w:rPr>
        <w:lastRenderedPageBreak/>
        <w:t>等</w:t>
      </w:r>
      <w:proofErr w:type="gramEnd"/>
      <w:r w:rsidRPr="00793822">
        <w:rPr>
          <w:rFonts w:hint="eastAsia"/>
        </w:rPr>
        <w:t>前瞻性技術，則缺乏一套標準化、系統性且能涵蓋完整生命週期之綜合評估框架，致使評估工作偏重於初期技術可行性探索，未能進行全面之效益與衝擊分析。另現行機制未能充分反映土地取得困難、行政程序冗長及地方溝通不易等實務執行挑戰，導致政策目標與實際達成進度出現落差，</w:t>
      </w:r>
      <w:r w:rsidR="003A4609" w:rsidRPr="00793822">
        <w:rPr>
          <w:rFonts w:hint="eastAsia"/>
        </w:rPr>
        <w:t>新能源評估機制缺乏標準化框架，未能充分反映技術生命週期與執行挑戰，</w:t>
      </w:r>
      <w:r w:rsidRPr="00793822">
        <w:rPr>
          <w:rFonts w:hint="eastAsia"/>
        </w:rPr>
        <w:t>容有未盡周延之處。</w:t>
      </w:r>
    </w:p>
    <w:p w14:paraId="441CE75C" w14:textId="2AA0DD52" w:rsidR="00975507" w:rsidRPr="00793822" w:rsidRDefault="00975507" w:rsidP="005663A7">
      <w:pPr>
        <w:pStyle w:val="4"/>
      </w:pPr>
      <w:r w:rsidRPr="00793822">
        <w:rPr>
          <w:rFonts w:hint="eastAsia"/>
        </w:rPr>
        <w:t>行政部門於新興能源選項上，呈現政策立場不一、研究規模有限及系統規劃闕如等情事</w:t>
      </w:r>
      <w:r w:rsidR="0087076C" w:rsidRPr="00793822">
        <w:rPr>
          <w:rFonts w:hint="eastAsia"/>
        </w:rPr>
        <w:t>，尚</w:t>
      </w:r>
      <w:r w:rsidRPr="00793822">
        <w:rPr>
          <w:rFonts w:hint="eastAsia"/>
        </w:rPr>
        <w:t>未</w:t>
      </w:r>
      <w:r w:rsidR="0087076C" w:rsidRPr="00793822">
        <w:rPr>
          <w:rFonts w:hint="eastAsia"/>
        </w:rPr>
        <w:t>整合</w:t>
      </w:r>
      <w:r w:rsidRPr="00793822">
        <w:rPr>
          <w:rFonts w:hint="eastAsia"/>
        </w:rPr>
        <w:t>相關部會意見</w:t>
      </w:r>
      <w:r w:rsidR="003A4609" w:rsidRPr="00793822">
        <w:rPr>
          <w:rFonts w:hint="eastAsia"/>
        </w:rPr>
        <w:t>，</w:t>
      </w:r>
      <w:r w:rsidRPr="00793822">
        <w:rPr>
          <w:rFonts w:hint="eastAsia"/>
        </w:rPr>
        <w:t>難以全盤因應氣候變遷挑戰下國家能源安全之所需。</w:t>
      </w:r>
    </w:p>
    <w:p w14:paraId="5FA9CFC1" w14:textId="610F6DF7" w:rsidR="00134ABA" w:rsidRPr="00793822" w:rsidRDefault="00975507" w:rsidP="00130A92">
      <w:pPr>
        <w:pStyle w:val="4"/>
      </w:pPr>
      <w:r w:rsidRPr="00793822">
        <w:rPr>
          <w:rFonts w:hint="eastAsia"/>
        </w:rPr>
        <w:t>為確保能源穩定供應並降低化石燃料依賴，主管機關</w:t>
      </w:r>
      <w:r w:rsidR="004C45DF" w:rsidRPr="00793822">
        <w:rPr>
          <w:rFonts w:hint="eastAsia"/>
        </w:rPr>
        <w:t>就</w:t>
      </w:r>
      <w:r w:rsidRPr="00793822">
        <w:rPr>
          <w:rFonts w:hint="eastAsia"/>
        </w:rPr>
        <w:t>適用於各類能源</w:t>
      </w:r>
      <w:r w:rsidR="00490B63" w:rsidRPr="00793822">
        <w:rPr>
          <w:rFonts w:hint="eastAsia"/>
        </w:rPr>
        <w:t>(</w:t>
      </w:r>
      <w:r w:rsidRPr="00793822">
        <w:rPr>
          <w:rFonts w:hint="eastAsia"/>
        </w:rPr>
        <w:t>含再生能源</w:t>
      </w:r>
      <w:r w:rsidR="00490B63" w:rsidRPr="00793822">
        <w:rPr>
          <w:rFonts w:hint="eastAsia"/>
        </w:rPr>
        <w:t>)</w:t>
      </w:r>
      <w:r w:rsidR="00797081" w:rsidRPr="00793822">
        <w:rPr>
          <w:rFonts w:hint="eastAsia"/>
        </w:rPr>
        <w:t>及儲能設施</w:t>
      </w:r>
      <w:r w:rsidR="004C45DF" w:rsidRPr="00793822">
        <w:rPr>
          <w:rFonts w:hint="eastAsia"/>
        </w:rPr>
        <w:t>，允宜建立系統性綜合評估框架，落實</w:t>
      </w:r>
      <w:r w:rsidR="004C45DF" w:rsidRPr="00793822">
        <w:rPr>
          <w:rFonts w:hint="eastAsia"/>
          <w:bCs/>
        </w:rPr>
        <w:t>多元</w:t>
      </w:r>
      <w:r w:rsidR="004C45DF" w:rsidRPr="00793822">
        <w:rPr>
          <w:bCs/>
        </w:rPr>
        <w:t>新能源</w:t>
      </w:r>
      <w:r w:rsidR="004C45DF" w:rsidRPr="00793822">
        <w:rPr>
          <w:rFonts w:hint="eastAsia"/>
        </w:rPr>
        <w:t>專項評估配套措施</w:t>
      </w:r>
      <w:r w:rsidR="000A1DE9" w:rsidRPr="00793822">
        <w:rPr>
          <w:rFonts w:hint="eastAsia"/>
        </w:rPr>
        <w:t>，</w:t>
      </w:r>
      <w:r w:rsidRPr="00793822">
        <w:rPr>
          <w:rFonts w:hint="eastAsia"/>
        </w:rPr>
        <w:t>確保新世代能源技術之發展處於</w:t>
      </w:r>
      <w:proofErr w:type="gramStart"/>
      <w:r w:rsidRPr="00793822">
        <w:rPr>
          <w:rFonts w:hint="eastAsia"/>
        </w:rPr>
        <w:t>嚴格、</w:t>
      </w:r>
      <w:proofErr w:type="gramEnd"/>
      <w:r w:rsidRPr="00793822">
        <w:rPr>
          <w:rFonts w:hint="eastAsia"/>
        </w:rPr>
        <w:t>透明且可信賴之法律控管之下，</w:t>
      </w:r>
      <w:r w:rsidR="003A4609" w:rsidRPr="00793822">
        <w:rPr>
          <w:rFonts w:hint="eastAsia"/>
        </w:rPr>
        <w:t>建立系統性綜合評估框架，落實多元新能源專項評估與法制配套，</w:t>
      </w:r>
      <w:proofErr w:type="gramStart"/>
      <w:r w:rsidRPr="00793822">
        <w:rPr>
          <w:rFonts w:hint="eastAsia"/>
        </w:rPr>
        <w:t>俾</w:t>
      </w:r>
      <w:proofErr w:type="gramEnd"/>
      <w:r w:rsidRPr="00793822">
        <w:rPr>
          <w:rFonts w:hint="eastAsia"/>
        </w:rPr>
        <w:t>供國家能源政策周延決策之參考。</w:t>
      </w:r>
    </w:p>
    <w:p w14:paraId="04E9A4D7" w14:textId="269B3052" w:rsidR="00782735" w:rsidRPr="00793822" w:rsidRDefault="00C57872" w:rsidP="00982424">
      <w:pPr>
        <w:pStyle w:val="3"/>
      </w:pPr>
      <w:r w:rsidRPr="00793822">
        <w:rPr>
          <w:rFonts w:hint="eastAsia"/>
        </w:rPr>
        <w:t>本院115年4月13日至台電公司座談發現，</w:t>
      </w:r>
      <w:r w:rsidR="00782735" w:rsidRPr="00793822">
        <w:rPr>
          <w:rFonts w:hint="eastAsia"/>
        </w:rPr>
        <w:t>為因應AI產業對電力的高度需求，台電公司已成立「能源新核能技術應用推動專案小組」，轉向以「無碳能源」為核心的穩定供電策略；技術層面將鎖定美國與日本合作之技術設備，並持續儲備專業人才與進行國際資訊交換</w:t>
      </w:r>
      <w:r w:rsidRPr="00793822">
        <w:rPr>
          <w:rFonts w:hint="eastAsia"/>
        </w:rPr>
        <w:t>。復依據能源轉型白皮書、行政院</w:t>
      </w:r>
      <w:r w:rsidR="00FF4911" w:rsidRPr="00793822">
        <w:rPr>
          <w:rFonts w:hint="eastAsia"/>
        </w:rPr>
        <w:t>之</w:t>
      </w:r>
      <w:r w:rsidRPr="00793822">
        <w:rPr>
          <w:rFonts w:hint="eastAsia"/>
        </w:rPr>
        <w:t>臺灣2050</w:t>
      </w:r>
      <w:proofErr w:type="gramStart"/>
      <w:r w:rsidRPr="00793822">
        <w:rPr>
          <w:rFonts w:hint="eastAsia"/>
        </w:rPr>
        <w:t>淨零排放</w:t>
      </w:r>
      <w:proofErr w:type="gramEnd"/>
      <w:r w:rsidRPr="00793822">
        <w:rPr>
          <w:rFonts w:hint="eastAsia"/>
        </w:rPr>
        <w:t>路徑及策略總說明</w:t>
      </w:r>
      <w:r w:rsidR="00FF4911" w:rsidRPr="00793822">
        <w:rPr>
          <w:rFonts w:hint="eastAsia"/>
        </w:rPr>
        <w:t>、永續能源政策綱領，</w:t>
      </w:r>
      <w:r w:rsidRPr="00793822">
        <w:rPr>
          <w:rFonts w:hint="eastAsia"/>
        </w:rPr>
        <w:t>經濟部再生能源發展條例</w:t>
      </w:r>
      <w:r w:rsidR="00FF4911" w:rsidRPr="00793822">
        <w:rPr>
          <w:rFonts w:hint="eastAsia"/>
        </w:rPr>
        <w:t>、</w:t>
      </w:r>
      <w:r w:rsidRPr="00793822">
        <w:rPr>
          <w:rFonts w:hint="eastAsia"/>
        </w:rPr>
        <w:t>再生能源推廣目標、各類別再生能源所占比率及其發展計畫與方案</w:t>
      </w:r>
      <w:r w:rsidR="00FF4911" w:rsidRPr="00793822">
        <w:rPr>
          <w:rFonts w:hint="eastAsia"/>
        </w:rPr>
        <w:lastRenderedPageBreak/>
        <w:t>等，</w:t>
      </w:r>
      <w:r w:rsidRPr="00793822">
        <w:t>鑒於我國再生能源占比持續</w:t>
      </w:r>
      <w:proofErr w:type="gramStart"/>
      <w:r w:rsidRPr="00793822">
        <w:t>攀升且電力</w:t>
      </w:r>
      <w:proofErr w:type="gramEnd"/>
      <w:r w:rsidRPr="00793822">
        <w:t>需求因人工智慧產業發展而加速增長，</w:t>
      </w:r>
      <w:r w:rsidRPr="00793822">
        <w:rPr>
          <w:rFonts w:hint="eastAsia"/>
        </w:rPr>
        <w:t>允</w:t>
      </w:r>
      <w:r w:rsidR="00693879" w:rsidRPr="00793822">
        <w:rPr>
          <w:rFonts w:hint="eastAsia"/>
        </w:rPr>
        <w:t>宜</w:t>
      </w:r>
      <w:r w:rsidRPr="00793822">
        <w:t>審視現行儲能建置進度，除確保2030年5.5GW目標如期達成外，</w:t>
      </w:r>
      <w:r w:rsidR="00693879" w:rsidRPr="00793822">
        <w:rPr>
          <w:rFonts w:hint="eastAsia"/>
        </w:rPr>
        <w:t>並</w:t>
      </w:r>
      <w:r w:rsidRPr="00793822">
        <w:t>強化儲能系統與電網整合之技術要點評估，以緩解夜間備用容量率偏低之壓力。</w:t>
      </w:r>
    </w:p>
    <w:p w14:paraId="21515F07" w14:textId="04E6F66B" w:rsidR="00975507" w:rsidRPr="00793822" w:rsidRDefault="00B40CA4" w:rsidP="00975507">
      <w:pPr>
        <w:pStyle w:val="3"/>
        <w:spacing w:line="460" w:lineRule="exact"/>
      </w:pPr>
      <w:r w:rsidRPr="00793822">
        <w:rPr>
          <w:rFonts w:hint="eastAsia"/>
        </w:rPr>
        <w:t>為促進能源政策之有效溝通與社會理解，</w:t>
      </w:r>
      <w:r w:rsidR="00975507" w:rsidRPr="00793822">
        <w:rPr>
          <w:rFonts w:hint="eastAsia"/>
        </w:rPr>
        <w:t>行政院</w:t>
      </w:r>
      <w:r w:rsidR="00B0788B" w:rsidRPr="00793822">
        <w:rPr>
          <w:rFonts w:hint="eastAsia"/>
        </w:rPr>
        <w:t>允宜</w:t>
      </w:r>
      <w:r w:rsidR="00975507" w:rsidRPr="00793822">
        <w:rPr>
          <w:rFonts w:hint="eastAsia"/>
        </w:rPr>
        <w:t>督促所屬整合現行分散機制，</w:t>
      </w:r>
      <w:proofErr w:type="gramStart"/>
      <w:r w:rsidR="00975507" w:rsidRPr="00793822">
        <w:rPr>
          <w:rFonts w:hint="eastAsia"/>
        </w:rPr>
        <w:t>研</w:t>
      </w:r>
      <w:proofErr w:type="gramEnd"/>
      <w:r w:rsidR="00975507" w:rsidRPr="00793822">
        <w:rPr>
          <w:rFonts w:hint="eastAsia"/>
        </w:rPr>
        <w:t>議建立適用於再生能源、前瞻能源及</w:t>
      </w:r>
      <w:r w:rsidR="000E370F" w:rsidRPr="00793822">
        <w:rPr>
          <w:rFonts w:hint="eastAsia"/>
        </w:rPr>
        <w:t>多元新能源</w:t>
      </w:r>
      <w:r w:rsidR="00975507" w:rsidRPr="00793822">
        <w:rPr>
          <w:rFonts w:hint="eastAsia"/>
        </w:rPr>
        <w:t>等各類技術之標準化綜合評估框架，使資源配置與政策目標貼近現實，從而縮短政策理想與執行成效間之距離，確保國家能源轉型路徑之穩健推展。</w:t>
      </w:r>
    </w:p>
    <w:p w14:paraId="0C50BBD4" w14:textId="61FAB132" w:rsidR="009331E2" w:rsidRPr="00793822" w:rsidRDefault="00134ABA" w:rsidP="00E1571B">
      <w:pPr>
        <w:pStyle w:val="3"/>
        <w:spacing w:line="460" w:lineRule="exact"/>
      </w:pPr>
      <w:r w:rsidRPr="00793822">
        <w:rPr>
          <w:rFonts w:hint="eastAsia"/>
        </w:rPr>
        <w:t>綜上，</w:t>
      </w:r>
      <w:r w:rsidR="000E370F" w:rsidRPr="00793822">
        <w:rPr>
          <w:rFonts w:hint="eastAsia"/>
        </w:rPr>
        <w:t>政府現行對能源技術之評估，允宜於相關研究、政策說明及國際合作交流方面</w:t>
      </w:r>
      <w:proofErr w:type="gramStart"/>
      <w:r w:rsidR="000E370F" w:rsidRPr="00793822">
        <w:rPr>
          <w:rFonts w:hint="eastAsia"/>
        </w:rPr>
        <w:t>賡</w:t>
      </w:r>
      <w:proofErr w:type="gramEnd"/>
      <w:r w:rsidR="000E370F" w:rsidRPr="00793822">
        <w:rPr>
          <w:rFonts w:hint="eastAsia"/>
        </w:rPr>
        <w:t>續整合各界意見，整合不同政策立場及推展相關研究評估及系統規劃，並活化人才運用，</w:t>
      </w:r>
      <w:proofErr w:type="gramStart"/>
      <w:r w:rsidR="000E370F" w:rsidRPr="00793822">
        <w:rPr>
          <w:rFonts w:hint="eastAsia"/>
        </w:rPr>
        <w:t>釐</w:t>
      </w:r>
      <w:proofErr w:type="gramEnd"/>
      <w:r w:rsidR="000E370F" w:rsidRPr="00793822">
        <w:rPr>
          <w:rFonts w:hint="eastAsia"/>
        </w:rPr>
        <w:t>清多元新能源於轉型路徑中之定位，據以因應國家長遠能源發展之需</w:t>
      </w:r>
      <w:r w:rsidRPr="00793822">
        <w:t>。</w:t>
      </w:r>
    </w:p>
    <w:p w14:paraId="4949D594" w14:textId="678C4660" w:rsidR="00B55E09" w:rsidRPr="00793822" w:rsidRDefault="00B55E09" w:rsidP="00B55E09">
      <w:pPr>
        <w:pStyle w:val="2"/>
        <w:spacing w:line="460" w:lineRule="exact"/>
        <w:rPr>
          <w:rFonts w:hAnsi="標楷體"/>
          <w:b/>
          <w:bCs w:val="0"/>
        </w:rPr>
      </w:pPr>
      <w:r w:rsidRPr="00793822">
        <w:rPr>
          <w:rFonts w:hAnsi="標楷體" w:hint="eastAsia"/>
          <w:b/>
        </w:rPr>
        <w:t>鑒於國際新能源技術及發展情勢多變，</w:t>
      </w:r>
      <w:r w:rsidR="000A1DE9" w:rsidRPr="00793822">
        <w:rPr>
          <w:rFonts w:hAnsi="標楷體" w:hint="eastAsia"/>
          <w:b/>
        </w:rPr>
        <w:t>相關主管機關</w:t>
      </w:r>
      <w:r w:rsidR="00FC0CB6" w:rsidRPr="00793822">
        <w:rPr>
          <w:rFonts w:hAnsi="標楷體" w:hint="eastAsia"/>
          <w:b/>
        </w:rPr>
        <w:t>宜</w:t>
      </w:r>
      <w:r w:rsidR="005A73D7" w:rsidRPr="00793822">
        <w:rPr>
          <w:rFonts w:hAnsi="標楷體" w:hint="eastAsia"/>
          <w:b/>
        </w:rPr>
        <w:t>就</w:t>
      </w:r>
      <w:r w:rsidRPr="00793822">
        <w:rPr>
          <w:rFonts w:hAnsi="標楷體" w:hint="eastAsia"/>
          <w:b/>
        </w:rPr>
        <w:t>新能源技術</w:t>
      </w:r>
      <w:r w:rsidRPr="00793822">
        <w:rPr>
          <w:rFonts w:hAnsi="標楷體"/>
          <w:b/>
        </w:rPr>
        <w:t>之潛在貢獻與風險啟動系統性評估，</w:t>
      </w:r>
      <w:r w:rsidRPr="00793822">
        <w:rPr>
          <w:rFonts w:hint="eastAsia"/>
          <w:b/>
        </w:rPr>
        <w:t>權衡其所具備之多重戰略價值</w:t>
      </w:r>
      <w:r w:rsidR="008E65D8" w:rsidRPr="00793822">
        <w:rPr>
          <w:rFonts w:hint="eastAsia"/>
          <w:b/>
        </w:rPr>
        <w:t>、單位發電量之核廢料產出</w:t>
      </w:r>
      <w:r w:rsidR="000A1DE9" w:rsidRPr="00793822">
        <w:rPr>
          <w:rFonts w:hint="eastAsia"/>
          <w:b/>
        </w:rPr>
        <w:t>及</w:t>
      </w:r>
      <w:r w:rsidRPr="00793822">
        <w:rPr>
          <w:rFonts w:hAnsi="標楷體"/>
          <w:b/>
        </w:rPr>
        <w:t>臺灣特殊環境</w:t>
      </w:r>
      <w:r w:rsidR="000A1DE9" w:rsidRPr="00793822">
        <w:rPr>
          <w:rFonts w:hAnsi="標楷體" w:hint="eastAsia"/>
          <w:b/>
        </w:rPr>
        <w:t>有關之</w:t>
      </w:r>
      <w:r w:rsidRPr="00793822">
        <w:rPr>
          <w:rFonts w:hAnsi="標楷體"/>
          <w:b/>
        </w:rPr>
        <w:t>能源安全分析，</w:t>
      </w:r>
      <w:proofErr w:type="gramStart"/>
      <w:r w:rsidRPr="00793822">
        <w:rPr>
          <w:rFonts w:hAnsi="標楷體"/>
          <w:b/>
        </w:rPr>
        <w:t>俾</w:t>
      </w:r>
      <w:proofErr w:type="gramEnd"/>
      <w:r w:rsidRPr="00793822">
        <w:rPr>
          <w:rFonts w:hAnsi="標楷體"/>
          <w:b/>
        </w:rPr>
        <w:t>供國家能源政策周延決策之參考</w:t>
      </w:r>
      <w:r w:rsidRPr="00793822">
        <w:rPr>
          <w:rFonts w:hAnsi="標楷體" w:hint="eastAsia"/>
          <w:b/>
          <w:bCs w:val="0"/>
        </w:rPr>
        <w:t>。</w:t>
      </w:r>
    </w:p>
    <w:p w14:paraId="30937485" w14:textId="149582CF" w:rsidR="00B55E09" w:rsidRPr="00793822" w:rsidRDefault="00B55E09" w:rsidP="00215096">
      <w:pPr>
        <w:pStyle w:val="3"/>
        <w:rPr>
          <w:rFonts w:hAnsi="標楷體"/>
        </w:rPr>
      </w:pPr>
      <w:r w:rsidRPr="00793822">
        <w:rPr>
          <w:rFonts w:hint="eastAsia"/>
        </w:rPr>
        <w:t>全球為</w:t>
      </w:r>
      <w:proofErr w:type="gramStart"/>
      <w:r w:rsidRPr="00793822">
        <w:rPr>
          <w:rFonts w:hint="eastAsia"/>
        </w:rPr>
        <w:t>達成淨零排放</w:t>
      </w:r>
      <w:proofErr w:type="gramEnd"/>
      <w:r w:rsidRPr="00793822">
        <w:rPr>
          <w:rFonts w:hint="eastAsia"/>
        </w:rPr>
        <w:t>目標及提升能源供應之安全性與韌性，對於新世代核能技術，尤其是SMR，</w:t>
      </w:r>
      <w:proofErr w:type="gramStart"/>
      <w:r w:rsidRPr="00793822">
        <w:rPr>
          <w:rFonts w:hint="eastAsia"/>
        </w:rPr>
        <w:t>國際間已投入</w:t>
      </w:r>
      <w:proofErr w:type="gramEnd"/>
      <w:r w:rsidRPr="00793822">
        <w:rPr>
          <w:rFonts w:hint="eastAsia"/>
        </w:rPr>
        <w:t>相當程度之關注與研發資源。</w:t>
      </w:r>
      <w:r w:rsidRPr="00793822">
        <w:rPr>
          <w:rFonts w:hAnsi="標楷體" w:hint="eastAsia"/>
        </w:rPr>
        <w:t>據媒體報導</w:t>
      </w:r>
      <w:r w:rsidRPr="00793822">
        <w:rPr>
          <w:rStyle w:val="aff"/>
          <w:rFonts w:hAnsi="標楷體"/>
        </w:rPr>
        <w:footnoteReference w:id="11"/>
      </w:r>
      <w:r w:rsidRPr="00793822">
        <w:rPr>
          <w:rFonts w:hAnsi="標楷體" w:hint="eastAsia"/>
        </w:rPr>
        <w:t>，國家原子能科技研究院(下稱國原院)</w:t>
      </w:r>
      <w:r w:rsidR="000A1DE9" w:rsidRPr="00793822">
        <w:rPr>
          <w:rFonts w:hAnsi="標楷體" w:hint="eastAsia"/>
        </w:rPr>
        <w:t>正進行相關</w:t>
      </w:r>
      <w:r w:rsidRPr="00793822">
        <w:rPr>
          <w:rFonts w:hAnsi="標楷體" w:hint="eastAsia"/>
        </w:rPr>
        <w:t>SMR研究計畫</w:t>
      </w:r>
      <w:r w:rsidR="00A30DC6" w:rsidRPr="00793822">
        <w:rPr>
          <w:rFonts w:hAnsi="標楷體" w:hint="eastAsia"/>
        </w:rPr>
        <w:t>，114年起執行國科會壓水式SMR爐心模擬</w:t>
      </w:r>
      <w:proofErr w:type="gramStart"/>
      <w:r w:rsidR="00A30DC6" w:rsidRPr="00793822">
        <w:rPr>
          <w:rFonts w:hAnsi="標楷體" w:hint="eastAsia"/>
        </w:rPr>
        <w:t>與隔震技術</w:t>
      </w:r>
      <w:proofErr w:type="gramEnd"/>
      <w:r w:rsidR="00A30DC6" w:rsidRPr="00793822">
        <w:rPr>
          <w:rFonts w:hAnsi="標楷體" w:hint="eastAsia"/>
        </w:rPr>
        <w:t>先期研究，同步執行SMR安全分析</w:t>
      </w:r>
      <w:r w:rsidR="00A30DC6" w:rsidRPr="00793822">
        <w:rPr>
          <w:rFonts w:hAnsi="標楷體" w:hint="eastAsia"/>
        </w:rPr>
        <w:lastRenderedPageBreak/>
        <w:t>研究4年計畫；115年再獲國科會1億元補助，投入</w:t>
      </w:r>
      <w:r w:rsidR="00A30DC6" w:rsidRPr="00EE6562">
        <w:rPr>
          <w:rFonts w:hAnsi="標楷體" w:hint="eastAsia"/>
          <w:spacing w:val="-6"/>
        </w:rPr>
        <w:t>「低碳及高能量密度SMR研究」，主要以輕水式</w:t>
      </w:r>
      <w:r w:rsidR="008E65D8" w:rsidRPr="00EE6562">
        <w:rPr>
          <w:rFonts w:hAnsi="標楷體" w:hint="eastAsia"/>
          <w:spacing w:val="-6"/>
        </w:rPr>
        <w:t>(Light</w:t>
      </w:r>
      <w:r w:rsidR="008E65D8" w:rsidRPr="00793822">
        <w:rPr>
          <w:rFonts w:hAnsi="標楷體" w:hint="eastAsia"/>
        </w:rPr>
        <w:t xml:space="preserve"> Water Reactor, LWR)</w:t>
      </w:r>
      <w:r w:rsidR="00A30DC6" w:rsidRPr="00793822">
        <w:rPr>
          <w:rFonts w:hAnsi="標楷體" w:hint="eastAsia"/>
        </w:rPr>
        <w:t>SMR為主，也接續提出4年期中長程個案計畫，將深入探討部署SMR</w:t>
      </w:r>
      <w:r w:rsidR="008E65D8" w:rsidRPr="00793822">
        <w:rPr>
          <w:rFonts w:hAnsi="標楷體" w:hint="eastAsia"/>
        </w:rPr>
        <w:t>(</w:t>
      </w:r>
      <w:r w:rsidR="008E65D8" w:rsidRPr="00793822">
        <w:rPr>
          <w:rFonts w:hAnsi="標楷體"/>
        </w:rPr>
        <w:t>300MW 以下</w:t>
      </w:r>
      <w:r w:rsidR="008E65D8" w:rsidRPr="00793822">
        <w:rPr>
          <w:rFonts w:hAnsi="標楷體" w:hint="eastAsia"/>
        </w:rPr>
        <w:t>)</w:t>
      </w:r>
      <w:r w:rsidR="00A30DC6" w:rsidRPr="00793822">
        <w:rPr>
          <w:rFonts w:hAnsi="標楷體" w:hint="eastAsia"/>
        </w:rPr>
        <w:t>及MMR</w:t>
      </w:r>
      <w:r w:rsidR="008E65D8" w:rsidRPr="00793822">
        <w:rPr>
          <w:rFonts w:hAnsi="標楷體" w:hint="eastAsia"/>
        </w:rPr>
        <w:t>(</w:t>
      </w:r>
      <w:r w:rsidR="008E65D8" w:rsidRPr="00793822">
        <w:rPr>
          <w:rFonts w:hAnsi="標楷體"/>
        </w:rPr>
        <w:t>Micro-Modular Reactor</w:t>
      </w:r>
      <w:r w:rsidR="008E65D8" w:rsidRPr="00793822">
        <w:rPr>
          <w:rFonts w:hAnsi="標楷體" w:hint="eastAsia"/>
        </w:rPr>
        <w:t>,</w:t>
      </w:r>
      <w:r w:rsidR="00A30DC6" w:rsidRPr="00793822">
        <w:rPr>
          <w:rFonts w:hAnsi="標楷體" w:hint="eastAsia"/>
        </w:rPr>
        <w:t>微型模組化反應</w:t>
      </w:r>
      <w:r w:rsidR="00D32B67" w:rsidRPr="00793822">
        <w:rPr>
          <w:rFonts w:hAnsi="標楷體" w:hint="eastAsia"/>
        </w:rPr>
        <w:t>器</w:t>
      </w:r>
      <w:r w:rsidR="008E65D8" w:rsidRPr="00793822">
        <w:rPr>
          <w:rFonts w:hAnsi="標楷體" w:hint="eastAsia"/>
        </w:rPr>
        <w:t>)</w:t>
      </w:r>
      <w:r w:rsidR="00A30DC6" w:rsidRPr="00793822">
        <w:rPr>
          <w:rFonts w:hAnsi="標楷體" w:hint="eastAsia"/>
        </w:rPr>
        <w:t>策略</w:t>
      </w:r>
      <w:r w:rsidR="00B12308">
        <w:rPr>
          <w:rFonts w:hAnsi="標楷體" w:hint="eastAsia"/>
        </w:rPr>
        <w:t>，按軍事用途MMR為0.25MW~1.0MW</w:t>
      </w:r>
      <w:r w:rsidRPr="00793822">
        <w:rPr>
          <w:rFonts w:hAnsi="標楷體" w:hint="eastAsia"/>
        </w:rPr>
        <w:t>。</w:t>
      </w:r>
    </w:p>
    <w:p w14:paraId="23E9DF6B" w14:textId="3125B747" w:rsidR="00B55E09" w:rsidRPr="00793822" w:rsidRDefault="00D32B67" w:rsidP="00B55E09">
      <w:pPr>
        <w:pStyle w:val="3"/>
        <w:spacing w:line="460" w:lineRule="exact"/>
      </w:pPr>
      <w:r w:rsidRPr="00793822">
        <w:rPr>
          <w:rFonts w:hint="eastAsia"/>
        </w:rPr>
        <w:t>在我國能源安全潛力與本土實踐挑戰方面，SMR雖具備提升基礎設施韌性、提供穩定基載及降低地緣政治風險等理論優勢，但在臺灣特殊的地理與社會環境下，其實踐仍存在高度不確定性。關鍵挑戰包含臺灣高地震頻率對耐震安全的嚴苛要求、核廢料終端處置尚未有具體方案，以及核燃料與核心技術高度依賴國外等風險。目前國內對於SMR在臺灣特殊地質及地緣政治條件下的實際貢獻與整體影響，尚缺乏政府主導的全面性系統評估與科學研究報告，亟待建立本土化的實證基礎以供政策決策參考。</w:t>
      </w:r>
      <w:r w:rsidR="00B55E09" w:rsidRPr="00793822">
        <w:rPr>
          <w:rFonts w:hint="eastAsia"/>
        </w:rPr>
        <w:t>國際SMR之發展趨勢及</w:t>
      </w:r>
      <w:r w:rsidR="00B55E09" w:rsidRPr="00793822">
        <w:t>本土實踐</w:t>
      </w:r>
      <w:r w:rsidR="00B55E09" w:rsidRPr="00793822">
        <w:rPr>
          <w:rFonts w:hint="eastAsia"/>
        </w:rPr>
        <w:t>之</w:t>
      </w:r>
      <w:r w:rsidR="00B55E09" w:rsidRPr="00793822">
        <w:t>挑戰</w:t>
      </w:r>
      <w:r w:rsidR="005A0F3D">
        <w:rPr>
          <w:rFonts w:hint="eastAsia"/>
        </w:rPr>
        <w:t>如下</w:t>
      </w:r>
      <w:r w:rsidR="00B55E09" w:rsidRPr="00793822">
        <w:rPr>
          <w:rFonts w:hint="eastAsia"/>
        </w:rPr>
        <w:t>：</w:t>
      </w:r>
    </w:p>
    <w:p w14:paraId="400F2675" w14:textId="52F3AA68" w:rsidR="00A30DC6" w:rsidRPr="00793822" w:rsidRDefault="00A30DC6" w:rsidP="00B55E09">
      <w:pPr>
        <w:pStyle w:val="4"/>
      </w:pPr>
      <w:r w:rsidRPr="00793822">
        <w:rPr>
          <w:rFonts w:hint="eastAsia"/>
        </w:rPr>
        <w:t>國原院指出</w:t>
      </w:r>
      <w:r w:rsidRPr="00793822">
        <w:rPr>
          <w:rStyle w:val="aff"/>
        </w:rPr>
        <w:footnoteReference w:id="12"/>
      </w:r>
      <w:r w:rsidRPr="00793822">
        <w:rPr>
          <w:rFonts w:hint="eastAsia"/>
        </w:rPr>
        <w:t>，美國能源部將投入32億美元示範先進核反應器，美國核管會115年3月已發建廠許可給Natrium</w:t>
      </w:r>
      <w:proofErr w:type="gramStart"/>
      <w:r w:rsidRPr="00793822">
        <w:rPr>
          <w:rFonts w:hint="eastAsia"/>
        </w:rPr>
        <w:t>鈉冷式</w:t>
      </w:r>
      <w:proofErr w:type="gramEnd"/>
      <w:r w:rsidRPr="00793822">
        <w:rPr>
          <w:rFonts w:hint="eastAsia"/>
        </w:rPr>
        <w:t>SMR；歐盟今年上半年也提出SMR發展策略；韓國在慶</w:t>
      </w:r>
      <w:r w:rsidR="00EE6562">
        <w:rPr>
          <w:rFonts w:hint="eastAsia"/>
        </w:rPr>
        <w:t>州</w:t>
      </w:r>
      <w:r w:rsidRPr="00793822">
        <w:rPr>
          <w:rFonts w:hint="eastAsia"/>
        </w:rPr>
        <w:t>成立SMR國家工業園區；日本企業也投資美國</w:t>
      </w:r>
      <w:proofErr w:type="spellStart"/>
      <w:r w:rsidRPr="00793822">
        <w:rPr>
          <w:rFonts w:hint="eastAsia"/>
        </w:rPr>
        <w:t>NuScale</w:t>
      </w:r>
      <w:proofErr w:type="spellEnd"/>
      <w:r w:rsidRPr="00793822">
        <w:rPr>
          <w:rFonts w:hint="eastAsia"/>
        </w:rPr>
        <w:t>公司，加入SMR全球供應鏈。</w:t>
      </w:r>
    </w:p>
    <w:p w14:paraId="60AFF9B2" w14:textId="55BB8383" w:rsidR="00DE4972" w:rsidRPr="00793822" w:rsidRDefault="00981DD5" w:rsidP="00CA06FF">
      <w:pPr>
        <w:pStyle w:val="4"/>
      </w:pPr>
      <w:r w:rsidRPr="00793822">
        <w:rPr>
          <w:rFonts w:hint="eastAsia"/>
        </w:rPr>
        <w:t>關於SMR核廢</w:t>
      </w:r>
      <w:r w:rsidR="00EE6562">
        <w:rPr>
          <w:rFonts w:hint="eastAsia"/>
        </w:rPr>
        <w:t>料</w:t>
      </w:r>
      <w:r w:rsidRPr="00793822">
        <w:rPr>
          <w:rFonts w:hint="eastAsia"/>
        </w:rPr>
        <w:t>的產出之研究，</w:t>
      </w:r>
      <w:r w:rsidRPr="00793822">
        <w:t xml:space="preserve">2022年由史丹佛大學學者Lindsay </w:t>
      </w:r>
      <w:proofErr w:type="spellStart"/>
      <w:r w:rsidRPr="00793822">
        <w:t>M.Krall</w:t>
      </w:r>
      <w:proofErr w:type="spellEnd"/>
      <w:r w:rsidRPr="00793822">
        <w:t>等人發表於</w:t>
      </w:r>
      <w:r w:rsidRPr="00793822">
        <w:rPr>
          <w:rFonts w:hint="eastAsia"/>
        </w:rPr>
        <w:t>「</w:t>
      </w:r>
      <w:r w:rsidRPr="00793822">
        <w:t>美國國家科學院院刊</w:t>
      </w:r>
      <w:r w:rsidR="00DE4972" w:rsidRPr="00793822">
        <w:rPr>
          <w:rFonts w:hint="eastAsia"/>
        </w:rPr>
        <w:t>(</w:t>
      </w:r>
      <w:r w:rsidRPr="00793822">
        <w:t>PNAS</w:t>
      </w:r>
      <w:r w:rsidR="00DE4972" w:rsidRPr="00793822">
        <w:rPr>
          <w:rFonts w:hint="eastAsia"/>
        </w:rPr>
        <w:t>)</w:t>
      </w:r>
      <w:r w:rsidRPr="00793822">
        <w:t>的</w:t>
      </w:r>
      <w:r w:rsidR="00B12308">
        <w:rPr>
          <w:rFonts w:hint="eastAsia"/>
        </w:rPr>
        <w:t>論文</w:t>
      </w:r>
      <w:r w:rsidR="00B12308" w:rsidRPr="00793822">
        <w:rPr>
          <w:rStyle w:val="aff"/>
        </w:rPr>
        <w:footnoteReference w:id="13"/>
      </w:r>
      <w:r w:rsidR="00EE6562">
        <w:rPr>
          <w:rFonts w:hint="eastAsia"/>
        </w:rPr>
        <w:t>指出</w:t>
      </w:r>
      <w:r w:rsidRPr="00793822">
        <w:t>，</w:t>
      </w:r>
      <w:r w:rsidR="008A2C1F" w:rsidRPr="008A2C1F">
        <w:t>SMR產生的核廢</w:t>
      </w:r>
      <w:r w:rsidR="008A2C1F" w:rsidRPr="008A2C1F">
        <w:lastRenderedPageBreak/>
        <w:t>料體積、質量均顯著高於大型輕水反應器</w:t>
      </w:r>
      <w:r w:rsidR="008A2C1F">
        <w:rPr>
          <w:rStyle w:val="aff"/>
        </w:rPr>
        <w:footnoteReference w:id="14"/>
      </w:r>
      <w:r w:rsidR="008A2C1F">
        <w:rPr>
          <w:rFonts w:hint="eastAsia"/>
        </w:rPr>
        <w:t>。</w:t>
      </w:r>
    </w:p>
    <w:p w14:paraId="5C9F7D9A" w14:textId="2B801541" w:rsidR="003E058F" w:rsidRPr="00793822" w:rsidRDefault="00B55E09" w:rsidP="003E058F">
      <w:pPr>
        <w:pStyle w:val="4"/>
      </w:pPr>
      <w:r w:rsidRPr="00793822">
        <w:rPr>
          <w:rFonts w:hint="eastAsia"/>
        </w:rPr>
        <w:t>在國際研發方面，美國、法國、韓國雖積極推動SMR技術，並將其視為</w:t>
      </w:r>
      <w:r w:rsidR="00074CA4" w:rsidRPr="00793822">
        <w:rPr>
          <w:rFonts w:hint="eastAsia"/>
        </w:rPr>
        <w:t>改善</w:t>
      </w:r>
      <w:r w:rsidRPr="00793822">
        <w:rPr>
          <w:rFonts w:hint="eastAsia"/>
        </w:rPr>
        <w:t>能源韌性的重要工具。</w:t>
      </w:r>
      <w:r w:rsidR="00237569" w:rsidRPr="00793822">
        <w:rPr>
          <w:rFonts w:hint="eastAsia"/>
        </w:rPr>
        <w:t>據相關卷證資料，</w:t>
      </w:r>
      <w:r w:rsidRPr="00793822">
        <w:rPr>
          <w:rFonts w:hint="eastAsia"/>
        </w:rPr>
        <w:t>SMR之商轉時程普遍預估落於2030年後，其長期角色仍需視後續技術突破與經濟可行性而定。</w:t>
      </w:r>
      <w:r w:rsidR="003E058F" w:rsidRPr="00793822">
        <w:rPr>
          <w:rFonts w:hint="eastAsia"/>
        </w:rPr>
        <w:t>主要國家SMR發展狀況比較如下表所列：</w:t>
      </w:r>
    </w:p>
    <w:p w14:paraId="1E88D5EA" w14:textId="77777777" w:rsidR="00B55E09" w:rsidRPr="00793822" w:rsidRDefault="00B55E09" w:rsidP="00B55E09">
      <w:pPr>
        <w:pStyle w:val="a3"/>
        <w:spacing w:before="120" w:line="340" w:lineRule="exact"/>
        <w:ind w:left="482" w:hanging="482"/>
      </w:pPr>
      <w:r w:rsidRPr="00793822">
        <w:t>主要國家SMR發展狀況比較</w:t>
      </w:r>
    </w:p>
    <w:tbl>
      <w:tblPr>
        <w:tblStyle w:val="af7"/>
        <w:tblW w:w="9356" w:type="dxa"/>
        <w:tblInd w:w="-147" w:type="dxa"/>
        <w:tblLayout w:type="fixed"/>
        <w:tblCellMar>
          <w:left w:w="57" w:type="dxa"/>
          <w:right w:w="57" w:type="dxa"/>
        </w:tblCellMar>
        <w:tblLook w:val="0600" w:firstRow="0" w:lastRow="0" w:firstColumn="0" w:lastColumn="0" w:noHBand="1" w:noVBand="1"/>
      </w:tblPr>
      <w:tblGrid>
        <w:gridCol w:w="851"/>
        <w:gridCol w:w="2410"/>
        <w:gridCol w:w="2410"/>
        <w:gridCol w:w="1559"/>
        <w:gridCol w:w="2126"/>
      </w:tblGrid>
      <w:tr w:rsidR="006E3196" w:rsidRPr="00793822" w14:paraId="4690FD81" w14:textId="77777777" w:rsidTr="008A2C1F">
        <w:trPr>
          <w:trHeight w:val="454"/>
          <w:tblHeader/>
        </w:trPr>
        <w:tc>
          <w:tcPr>
            <w:tcW w:w="851" w:type="dxa"/>
            <w:shd w:val="clear" w:color="auto" w:fill="FDE9D9" w:themeFill="accent6" w:themeFillTint="33"/>
            <w:vAlign w:val="center"/>
          </w:tcPr>
          <w:p w14:paraId="02832EC7" w14:textId="77777777" w:rsidR="00B55E09" w:rsidRPr="00793822" w:rsidRDefault="00B55E09" w:rsidP="008A2C1F">
            <w:pPr>
              <w:pBdr>
                <w:between w:val="nil"/>
              </w:pBdr>
              <w:spacing w:line="360" w:lineRule="exact"/>
              <w:jc w:val="center"/>
              <w:rPr>
                <w:rFonts w:hAnsi="標楷體" w:cs="Google Sans Text"/>
                <w:b/>
                <w:spacing w:val="-10"/>
                <w:sz w:val="22"/>
                <w:szCs w:val="22"/>
              </w:rPr>
            </w:pPr>
            <w:r w:rsidRPr="00793822">
              <w:rPr>
                <w:rFonts w:hAnsi="標楷體" w:cs="Google Sans Text"/>
                <w:b/>
                <w:spacing w:val="-10"/>
                <w:sz w:val="22"/>
                <w:szCs w:val="22"/>
              </w:rPr>
              <w:t>國家</w:t>
            </w:r>
          </w:p>
        </w:tc>
        <w:tc>
          <w:tcPr>
            <w:tcW w:w="2410" w:type="dxa"/>
            <w:shd w:val="clear" w:color="auto" w:fill="FDE9D9" w:themeFill="accent6" w:themeFillTint="33"/>
            <w:vAlign w:val="center"/>
          </w:tcPr>
          <w:p w14:paraId="7DA647AE" w14:textId="77777777" w:rsidR="00B55E09" w:rsidRPr="00793822" w:rsidRDefault="00B55E09" w:rsidP="008A2C1F">
            <w:pPr>
              <w:pBdr>
                <w:between w:val="nil"/>
              </w:pBdr>
              <w:spacing w:line="360" w:lineRule="exact"/>
              <w:jc w:val="center"/>
              <w:rPr>
                <w:rFonts w:hAnsi="標楷體" w:cs="Google Sans Text"/>
                <w:b/>
                <w:spacing w:val="-10"/>
                <w:sz w:val="22"/>
                <w:szCs w:val="22"/>
              </w:rPr>
            </w:pPr>
            <w:r w:rsidRPr="00793822">
              <w:rPr>
                <w:rFonts w:hAnsi="標楷體" w:cs="Google Sans Text"/>
                <w:b/>
                <w:spacing w:val="-10"/>
                <w:sz w:val="22"/>
                <w:szCs w:val="22"/>
              </w:rPr>
              <w:t>主要設計/計畫</w:t>
            </w:r>
          </w:p>
        </w:tc>
        <w:tc>
          <w:tcPr>
            <w:tcW w:w="2410" w:type="dxa"/>
            <w:shd w:val="clear" w:color="auto" w:fill="FDE9D9" w:themeFill="accent6" w:themeFillTint="33"/>
            <w:vAlign w:val="center"/>
          </w:tcPr>
          <w:p w14:paraId="6F18D1AD" w14:textId="0AE8679D" w:rsidR="00B55E09" w:rsidRPr="00793822" w:rsidRDefault="00224F87" w:rsidP="008A2C1F">
            <w:pPr>
              <w:pBdr>
                <w:between w:val="nil"/>
              </w:pBdr>
              <w:spacing w:line="360" w:lineRule="exact"/>
              <w:jc w:val="center"/>
              <w:rPr>
                <w:rFonts w:hAnsi="標楷體" w:cs="Google Sans Text"/>
                <w:b/>
                <w:spacing w:val="-10"/>
                <w:sz w:val="22"/>
                <w:szCs w:val="22"/>
              </w:rPr>
            </w:pPr>
            <w:r w:rsidRPr="00793822">
              <w:rPr>
                <w:rFonts w:hAnsi="標楷體" w:cs="Google Sans Text" w:hint="eastAsia"/>
                <w:b/>
                <w:spacing w:val="-10"/>
                <w:sz w:val="22"/>
                <w:szCs w:val="22"/>
              </w:rPr>
              <w:t>相關政策配套</w:t>
            </w:r>
          </w:p>
        </w:tc>
        <w:tc>
          <w:tcPr>
            <w:tcW w:w="1559" w:type="dxa"/>
            <w:shd w:val="clear" w:color="auto" w:fill="FDE9D9" w:themeFill="accent6" w:themeFillTint="33"/>
            <w:vAlign w:val="center"/>
          </w:tcPr>
          <w:p w14:paraId="2630C72C" w14:textId="77777777" w:rsidR="00B55E09" w:rsidRPr="00793822" w:rsidRDefault="00B55E09" w:rsidP="008A2C1F">
            <w:pPr>
              <w:pBdr>
                <w:between w:val="nil"/>
              </w:pBdr>
              <w:spacing w:line="360" w:lineRule="exact"/>
              <w:jc w:val="center"/>
              <w:rPr>
                <w:rFonts w:hAnsi="標楷體" w:cs="Google Sans Text"/>
                <w:b/>
                <w:spacing w:val="-10"/>
                <w:sz w:val="22"/>
                <w:szCs w:val="22"/>
              </w:rPr>
            </w:pPr>
            <w:r w:rsidRPr="00793822">
              <w:rPr>
                <w:rFonts w:hAnsi="標楷體" w:cs="Google Sans Text"/>
                <w:b/>
                <w:spacing w:val="-10"/>
                <w:sz w:val="22"/>
                <w:szCs w:val="22"/>
              </w:rPr>
              <w:t>預估商轉時程</w:t>
            </w:r>
          </w:p>
        </w:tc>
        <w:tc>
          <w:tcPr>
            <w:tcW w:w="2126" w:type="dxa"/>
            <w:shd w:val="clear" w:color="auto" w:fill="FDE9D9" w:themeFill="accent6" w:themeFillTint="33"/>
            <w:vAlign w:val="center"/>
          </w:tcPr>
          <w:p w14:paraId="3855970F" w14:textId="77777777" w:rsidR="00B55E09" w:rsidRPr="00793822" w:rsidRDefault="00B55E09" w:rsidP="008A2C1F">
            <w:pPr>
              <w:pBdr>
                <w:between w:val="nil"/>
              </w:pBdr>
              <w:spacing w:line="360" w:lineRule="exact"/>
              <w:jc w:val="center"/>
              <w:rPr>
                <w:rFonts w:hAnsi="標楷體" w:cs="Google Sans Text"/>
                <w:b/>
                <w:spacing w:val="-10"/>
                <w:sz w:val="22"/>
                <w:szCs w:val="22"/>
              </w:rPr>
            </w:pPr>
            <w:r w:rsidRPr="00793822">
              <w:rPr>
                <w:rFonts w:hAnsi="標楷體" w:cs="Google Sans Text"/>
                <w:b/>
                <w:spacing w:val="-10"/>
                <w:sz w:val="22"/>
                <w:szCs w:val="22"/>
              </w:rPr>
              <w:t>氣候政策角色</w:t>
            </w:r>
          </w:p>
        </w:tc>
      </w:tr>
      <w:tr w:rsidR="006E3196" w:rsidRPr="00793822" w14:paraId="4A27C05C" w14:textId="77777777" w:rsidTr="008A2C1F">
        <w:trPr>
          <w:trHeight w:val="567"/>
        </w:trPr>
        <w:tc>
          <w:tcPr>
            <w:tcW w:w="851" w:type="dxa"/>
            <w:vAlign w:val="center"/>
          </w:tcPr>
          <w:p w14:paraId="435A1CA6" w14:textId="77777777" w:rsidR="00B55E09" w:rsidRPr="00793822" w:rsidRDefault="00B55E09" w:rsidP="008A2C1F">
            <w:pPr>
              <w:pBdr>
                <w:between w:val="nil"/>
              </w:pBdr>
              <w:spacing w:line="360" w:lineRule="exact"/>
              <w:jc w:val="center"/>
              <w:rPr>
                <w:rFonts w:hAnsi="標楷體" w:cs="Google Sans Text"/>
                <w:b/>
                <w:spacing w:val="-10"/>
                <w:sz w:val="22"/>
                <w:szCs w:val="22"/>
              </w:rPr>
            </w:pPr>
            <w:r w:rsidRPr="00793822">
              <w:rPr>
                <w:rFonts w:hAnsi="標楷體" w:cs="Google Sans Text"/>
                <w:b/>
                <w:spacing w:val="-10"/>
                <w:sz w:val="22"/>
                <w:szCs w:val="22"/>
              </w:rPr>
              <w:t>美國</w:t>
            </w:r>
          </w:p>
        </w:tc>
        <w:tc>
          <w:tcPr>
            <w:tcW w:w="2410" w:type="dxa"/>
            <w:vAlign w:val="center"/>
          </w:tcPr>
          <w:p w14:paraId="7309DD86" w14:textId="77777777" w:rsidR="00B55E09" w:rsidRPr="00793822" w:rsidRDefault="00B55E09" w:rsidP="008A2C1F">
            <w:pPr>
              <w:pBdr>
                <w:between w:val="nil"/>
              </w:pBdr>
              <w:spacing w:line="340" w:lineRule="exact"/>
              <w:rPr>
                <w:rFonts w:hAnsi="標楷體" w:cs="Google Sans Text"/>
                <w:spacing w:val="-16"/>
                <w:sz w:val="22"/>
                <w:szCs w:val="22"/>
              </w:rPr>
            </w:pPr>
            <w:proofErr w:type="spellStart"/>
            <w:r w:rsidRPr="00793822">
              <w:rPr>
                <w:rFonts w:hAnsi="標楷體" w:cs="Google Sans Text"/>
                <w:spacing w:val="-16"/>
                <w:sz w:val="22"/>
                <w:szCs w:val="22"/>
              </w:rPr>
              <w:t>NuScaleVOYGR</w:t>
            </w:r>
            <w:proofErr w:type="spellEnd"/>
            <w:r w:rsidRPr="00793822">
              <w:rPr>
                <w:rFonts w:hAnsi="標楷體" w:cs="Google Sans Text"/>
                <w:spacing w:val="-16"/>
                <w:sz w:val="22"/>
                <w:szCs w:val="22"/>
              </w:rPr>
              <w:t>(終止)</w:t>
            </w:r>
            <w:r w:rsidRPr="00793822">
              <w:rPr>
                <w:rFonts w:hAnsi="標楷體" w:cs="Google Sans Text" w:hint="eastAsia"/>
                <w:spacing w:val="-16"/>
                <w:sz w:val="22"/>
                <w:szCs w:val="22"/>
              </w:rPr>
              <w:t>，</w:t>
            </w:r>
            <w:proofErr w:type="spellStart"/>
            <w:r w:rsidRPr="00793822">
              <w:rPr>
                <w:rFonts w:hAnsi="標楷體" w:cs="Google Sans Text"/>
                <w:spacing w:val="-16"/>
                <w:sz w:val="22"/>
                <w:szCs w:val="22"/>
              </w:rPr>
              <w:t>TerraPowerNatrium</w:t>
            </w:r>
            <w:proofErr w:type="spellEnd"/>
            <w:r w:rsidRPr="00793822">
              <w:rPr>
                <w:rFonts w:hAnsi="標楷體" w:cs="Google Sans Text" w:hint="eastAsia"/>
                <w:spacing w:val="-16"/>
                <w:sz w:val="22"/>
                <w:szCs w:val="22"/>
              </w:rPr>
              <w:t>，</w:t>
            </w:r>
            <w:r w:rsidRPr="00793822">
              <w:rPr>
                <w:rFonts w:hAnsi="標楷體" w:cs="Google Sans Text"/>
                <w:spacing w:val="-16"/>
                <w:sz w:val="22"/>
                <w:szCs w:val="22"/>
              </w:rPr>
              <w:t>X-energyXe-100</w:t>
            </w:r>
            <w:r w:rsidRPr="00793822">
              <w:rPr>
                <w:rFonts w:hAnsi="標楷體" w:cs="Google Sans Text" w:hint="eastAsia"/>
                <w:spacing w:val="-16"/>
                <w:sz w:val="22"/>
                <w:szCs w:val="22"/>
              </w:rPr>
              <w:t>，</w:t>
            </w:r>
            <w:r w:rsidRPr="00793822">
              <w:rPr>
                <w:rFonts w:hAnsi="標楷體" w:cs="Google Sans Text"/>
                <w:spacing w:val="-16"/>
                <w:sz w:val="22"/>
                <w:szCs w:val="22"/>
              </w:rPr>
              <w:t>GEHBWRX-300</w:t>
            </w:r>
            <w:r w:rsidRPr="00793822">
              <w:rPr>
                <w:rFonts w:hAnsi="標楷體" w:cs="Google Sans Text" w:hint="eastAsia"/>
                <w:spacing w:val="-16"/>
                <w:sz w:val="22"/>
                <w:szCs w:val="22"/>
              </w:rPr>
              <w:t>，</w:t>
            </w:r>
            <w:r w:rsidRPr="00793822">
              <w:rPr>
                <w:rFonts w:hAnsi="標楷體" w:cs="Google Sans Text"/>
                <w:spacing w:val="-16"/>
                <w:sz w:val="22"/>
                <w:szCs w:val="22"/>
              </w:rPr>
              <w:t>WestinghouseAP300</w:t>
            </w:r>
          </w:p>
        </w:tc>
        <w:tc>
          <w:tcPr>
            <w:tcW w:w="2410" w:type="dxa"/>
            <w:vAlign w:val="center"/>
          </w:tcPr>
          <w:p w14:paraId="5C8459FC" w14:textId="77777777" w:rsidR="00B55E09" w:rsidRPr="00793822" w:rsidRDefault="00B55E09" w:rsidP="008A2C1F">
            <w:pPr>
              <w:pBdr>
                <w:between w:val="nil"/>
              </w:pBdr>
              <w:spacing w:line="340" w:lineRule="exact"/>
              <w:rPr>
                <w:rFonts w:hAnsi="標楷體" w:cs="Google Sans Text"/>
                <w:spacing w:val="-16"/>
                <w:sz w:val="22"/>
                <w:szCs w:val="22"/>
              </w:rPr>
            </w:pPr>
            <w:r w:rsidRPr="00793822">
              <w:rPr>
                <w:rFonts w:hAnsi="標楷體" w:cs="Google Sans Text"/>
                <w:spacing w:val="-16"/>
                <w:sz w:val="22"/>
                <w:szCs w:val="22"/>
              </w:rPr>
              <w:t>DOEARDP計畫資助</w:t>
            </w:r>
            <w:r w:rsidRPr="00793822">
              <w:rPr>
                <w:rFonts w:hAnsi="標楷體" w:cs="Google Sans Text" w:hint="eastAsia"/>
                <w:spacing w:val="-16"/>
                <w:sz w:val="22"/>
                <w:szCs w:val="22"/>
              </w:rPr>
              <w:t>，</w:t>
            </w:r>
            <w:r w:rsidRPr="00793822">
              <w:rPr>
                <w:rFonts w:hAnsi="標楷體" w:cs="Google Sans Text"/>
                <w:spacing w:val="-16"/>
                <w:sz w:val="22"/>
                <w:szCs w:val="22"/>
              </w:rPr>
              <w:t>NRC設計認證</w:t>
            </w:r>
            <w:r w:rsidRPr="00793822">
              <w:rPr>
                <w:rFonts w:hAnsi="標楷體" w:cs="Google Sans Text" w:hint="eastAsia"/>
                <w:spacing w:val="-16"/>
                <w:sz w:val="22"/>
                <w:szCs w:val="22"/>
              </w:rPr>
              <w:t>，</w:t>
            </w:r>
            <w:r w:rsidRPr="00793822">
              <w:rPr>
                <w:rFonts w:hAnsi="標楷體" w:cs="Google Sans Text"/>
                <w:spacing w:val="-16"/>
                <w:sz w:val="22"/>
                <w:szCs w:val="22"/>
              </w:rPr>
              <w:t>稅收抵免</w:t>
            </w:r>
            <w:r w:rsidRPr="00793822">
              <w:rPr>
                <w:rFonts w:hAnsi="標楷體" w:cs="Google Sans Text" w:hint="eastAsia"/>
                <w:spacing w:val="-16"/>
                <w:sz w:val="22"/>
                <w:szCs w:val="22"/>
              </w:rPr>
              <w:t>，</w:t>
            </w:r>
            <w:r w:rsidRPr="00793822">
              <w:rPr>
                <w:rFonts w:hAnsi="標楷體" w:cs="Google Sans Text"/>
                <w:spacing w:val="-16"/>
                <w:sz w:val="22"/>
                <w:szCs w:val="22"/>
              </w:rPr>
              <w:t>推動出口</w:t>
            </w:r>
          </w:p>
        </w:tc>
        <w:tc>
          <w:tcPr>
            <w:tcW w:w="1559" w:type="dxa"/>
            <w:vAlign w:val="center"/>
          </w:tcPr>
          <w:p w14:paraId="5C7CFF92" w14:textId="77777777" w:rsidR="00B55E09" w:rsidRPr="00793822" w:rsidRDefault="00B55E09" w:rsidP="008A2C1F">
            <w:pPr>
              <w:pBdr>
                <w:between w:val="nil"/>
              </w:pBdr>
              <w:spacing w:line="340" w:lineRule="exact"/>
              <w:rPr>
                <w:rFonts w:hAnsi="標楷體" w:cs="Google Sans Text"/>
                <w:spacing w:val="-16"/>
                <w:sz w:val="22"/>
                <w:szCs w:val="22"/>
              </w:rPr>
            </w:pPr>
            <w:r w:rsidRPr="00793822">
              <w:rPr>
                <w:rFonts w:hAnsi="標楷體" w:cs="Google Sans Text"/>
                <w:spacing w:val="-16"/>
                <w:sz w:val="22"/>
                <w:szCs w:val="22"/>
              </w:rPr>
              <w:t>原</w:t>
            </w:r>
            <w:proofErr w:type="spellStart"/>
            <w:r w:rsidRPr="00793822">
              <w:rPr>
                <w:rFonts w:hAnsi="標楷體" w:cs="Google Sans Text"/>
                <w:spacing w:val="-16"/>
                <w:sz w:val="22"/>
                <w:szCs w:val="22"/>
              </w:rPr>
              <w:t>NuScale</w:t>
            </w:r>
            <w:proofErr w:type="spellEnd"/>
            <w:r w:rsidRPr="00793822">
              <w:rPr>
                <w:rFonts w:hAnsi="標楷體" w:cs="Google Sans Text"/>
                <w:spacing w:val="-16"/>
                <w:sz w:val="22"/>
                <w:szCs w:val="22"/>
              </w:rPr>
              <w:t>計畫2029-30</w:t>
            </w:r>
            <w:r w:rsidRPr="00793822">
              <w:rPr>
                <w:rFonts w:hAnsi="標楷體" w:cs="Google Sans Text" w:hint="eastAsia"/>
                <w:spacing w:val="-16"/>
                <w:sz w:val="22"/>
                <w:szCs w:val="22"/>
              </w:rPr>
              <w:t>，</w:t>
            </w:r>
            <w:r w:rsidRPr="00793822">
              <w:rPr>
                <w:rFonts w:hAnsi="標楷體" w:cs="Google Sans Text"/>
                <w:spacing w:val="-16"/>
                <w:sz w:val="22"/>
                <w:szCs w:val="22"/>
              </w:rPr>
              <w:t>其他多在2030後</w:t>
            </w:r>
          </w:p>
        </w:tc>
        <w:tc>
          <w:tcPr>
            <w:tcW w:w="2126" w:type="dxa"/>
            <w:vAlign w:val="center"/>
          </w:tcPr>
          <w:p w14:paraId="42657AE0" w14:textId="77777777" w:rsidR="00B55E09" w:rsidRPr="00793822" w:rsidRDefault="00B55E09" w:rsidP="008A2C1F">
            <w:pPr>
              <w:pBdr>
                <w:between w:val="nil"/>
              </w:pBdr>
              <w:spacing w:line="340" w:lineRule="exact"/>
              <w:rPr>
                <w:rFonts w:hAnsi="標楷體" w:cs="Google Sans Text"/>
                <w:spacing w:val="-16"/>
                <w:sz w:val="22"/>
                <w:szCs w:val="22"/>
              </w:rPr>
            </w:pPr>
            <w:r w:rsidRPr="00793822">
              <w:rPr>
                <w:rFonts w:hAnsi="標楷體" w:cs="Google Sans Text"/>
                <w:spacing w:val="-16"/>
                <w:sz w:val="22"/>
                <w:szCs w:val="22"/>
              </w:rPr>
              <w:t>低碳電力、工業</w:t>
            </w:r>
            <w:proofErr w:type="gramStart"/>
            <w:r w:rsidRPr="00793822">
              <w:rPr>
                <w:rFonts w:hAnsi="標楷體" w:cs="Google Sans Text"/>
                <w:spacing w:val="-16"/>
                <w:sz w:val="22"/>
                <w:szCs w:val="22"/>
              </w:rPr>
              <w:t>供熱、製氫</w:t>
            </w:r>
            <w:proofErr w:type="gramEnd"/>
            <w:r w:rsidRPr="00793822">
              <w:rPr>
                <w:rFonts w:hAnsi="標楷體" w:cs="Google Sans Text"/>
                <w:spacing w:val="-16"/>
                <w:sz w:val="22"/>
                <w:szCs w:val="22"/>
              </w:rPr>
              <w:t>、補充再生能源、技術出口</w:t>
            </w:r>
          </w:p>
        </w:tc>
      </w:tr>
      <w:tr w:rsidR="006E3196" w:rsidRPr="00793822" w14:paraId="09B8094F" w14:textId="77777777" w:rsidTr="008A2C1F">
        <w:trPr>
          <w:trHeight w:val="567"/>
        </w:trPr>
        <w:tc>
          <w:tcPr>
            <w:tcW w:w="851" w:type="dxa"/>
            <w:vAlign w:val="center"/>
          </w:tcPr>
          <w:p w14:paraId="720B7338" w14:textId="77777777" w:rsidR="00B55E09" w:rsidRPr="00793822" w:rsidRDefault="00B55E09" w:rsidP="008A2C1F">
            <w:pPr>
              <w:pBdr>
                <w:between w:val="nil"/>
              </w:pBdr>
              <w:spacing w:line="360" w:lineRule="exact"/>
              <w:jc w:val="center"/>
              <w:rPr>
                <w:rFonts w:hAnsi="標楷體" w:cs="Google Sans Text"/>
                <w:b/>
                <w:spacing w:val="-10"/>
                <w:sz w:val="22"/>
                <w:szCs w:val="22"/>
              </w:rPr>
            </w:pPr>
            <w:r w:rsidRPr="00793822">
              <w:rPr>
                <w:rFonts w:hAnsi="標楷體" w:cs="Google Sans Text"/>
                <w:b/>
                <w:spacing w:val="-10"/>
                <w:sz w:val="22"/>
                <w:szCs w:val="22"/>
              </w:rPr>
              <w:t>加拿大</w:t>
            </w:r>
          </w:p>
        </w:tc>
        <w:tc>
          <w:tcPr>
            <w:tcW w:w="2410" w:type="dxa"/>
            <w:vAlign w:val="center"/>
          </w:tcPr>
          <w:p w14:paraId="3C501777" w14:textId="77777777" w:rsidR="00B55E09" w:rsidRPr="00793822" w:rsidRDefault="00B55E09" w:rsidP="008A2C1F">
            <w:pPr>
              <w:pBdr>
                <w:between w:val="nil"/>
              </w:pBdr>
              <w:spacing w:line="340" w:lineRule="exact"/>
              <w:jc w:val="left"/>
              <w:rPr>
                <w:rFonts w:hAnsi="標楷體" w:cs="Google Sans Text"/>
                <w:spacing w:val="-16"/>
                <w:sz w:val="22"/>
                <w:szCs w:val="22"/>
              </w:rPr>
            </w:pPr>
            <w:r w:rsidRPr="00793822">
              <w:rPr>
                <w:rFonts w:hAnsi="標楷體" w:cs="Google Sans Text"/>
                <w:spacing w:val="-16"/>
                <w:sz w:val="22"/>
                <w:szCs w:val="22"/>
              </w:rPr>
              <w:t>GEHBWRX-300(Darlington)</w:t>
            </w:r>
          </w:p>
        </w:tc>
        <w:tc>
          <w:tcPr>
            <w:tcW w:w="2410" w:type="dxa"/>
            <w:vAlign w:val="center"/>
          </w:tcPr>
          <w:p w14:paraId="67A10E43" w14:textId="77777777" w:rsidR="00B55E09" w:rsidRPr="00793822" w:rsidRDefault="00B55E09" w:rsidP="008A2C1F">
            <w:pPr>
              <w:pBdr>
                <w:between w:val="nil"/>
              </w:pBdr>
              <w:spacing w:line="340" w:lineRule="exact"/>
              <w:rPr>
                <w:rFonts w:hAnsi="標楷體" w:cs="Google Sans Text"/>
                <w:spacing w:val="-16"/>
                <w:sz w:val="22"/>
                <w:szCs w:val="22"/>
              </w:rPr>
            </w:pPr>
            <w:r w:rsidRPr="00793822">
              <w:rPr>
                <w:rFonts w:hAnsi="標楷體" w:cs="Google Sans Text"/>
                <w:spacing w:val="-16"/>
                <w:sz w:val="22"/>
                <w:szCs w:val="22"/>
              </w:rPr>
              <w:t>聯邦與省級政府支持</w:t>
            </w:r>
            <w:r w:rsidRPr="00793822">
              <w:rPr>
                <w:rFonts w:hAnsi="標楷體" w:cs="Google Sans Text" w:hint="eastAsia"/>
                <w:spacing w:val="-16"/>
                <w:sz w:val="22"/>
                <w:szCs w:val="22"/>
              </w:rPr>
              <w:t>，</w:t>
            </w:r>
            <w:r w:rsidRPr="00793822">
              <w:rPr>
                <w:rFonts w:hAnsi="標楷體" w:cs="Google Sans Text"/>
                <w:spacing w:val="-16"/>
                <w:sz w:val="22"/>
                <w:szCs w:val="22"/>
              </w:rPr>
              <w:t>制定政策框架與許可制度</w:t>
            </w:r>
            <w:r w:rsidRPr="00793822">
              <w:rPr>
                <w:rFonts w:hAnsi="標楷體" w:cs="Google Sans Text" w:hint="eastAsia"/>
                <w:spacing w:val="-16"/>
                <w:sz w:val="22"/>
                <w:szCs w:val="22"/>
              </w:rPr>
              <w:t>，</w:t>
            </w:r>
            <w:r w:rsidRPr="00793822">
              <w:rPr>
                <w:rFonts w:hAnsi="標楷體" w:cs="Google Sans Text"/>
                <w:spacing w:val="-16"/>
                <w:sz w:val="22"/>
                <w:szCs w:val="22"/>
              </w:rPr>
              <w:t>國際監管合作</w:t>
            </w:r>
          </w:p>
        </w:tc>
        <w:tc>
          <w:tcPr>
            <w:tcW w:w="1559" w:type="dxa"/>
            <w:vAlign w:val="center"/>
          </w:tcPr>
          <w:p w14:paraId="28AD1EF8" w14:textId="77777777" w:rsidR="00B55E09" w:rsidRPr="00793822" w:rsidRDefault="00B55E09" w:rsidP="008A2C1F">
            <w:pPr>
              <w:pBdr>
                <w:between w:val="nil"/>
              </w:pBdr>
              <w:spacing w:line="340" w:lineRule="exact"/>
              <w:rPr>
                <w:rFonts w:hAnsi="標楷體" w:cs="Google Sans Text"/>
                <w:spacing w:val="-16"/>
                <w:sz w:val="22"/>
                <w:szCs w:val="22"/>
              </w:rPr>
            </w:pPr>
            <w:proofErr w:type="gramStart"/>
            <w:r w:rsidRPr="00793822">
              <w:rPr>
                <w:rFonts w:hAnsi="標楷體" w:cs="Google Sans Text"/>
                <w:spacing w:val="-16"/>
                <w:sz w:val="22"/>
                <w:szCs w:val="22"/>
              </w:rPr>
              <w:t>2030</w:t>
            </w:r>
            <w:proofErr w:type="gramEnd"/>
            <w:r w:rsidRPr="00793822">
              <w:rPr>
                <w:rFonts w:hAnsi="標楷體" w:cs="Google Sans Text"/>
                <w:spacing w:val="-16"/>
                <w:sz w:val="22"/>
                <w:szCs w:val="22"/>
              </w:rPr>
              <w:t>年代</w:t>
            </w:r>
          </w:p>
        </w:tc>
        <w:tc>
          <w:tcPr>
            <w:tcW w:w="2126" w:type="dxa"/>
            <w:vAlign w:val="center"/>
          </w:tcPr>
          <w:p w14:paraId="1489E8E3" w14:textId="77777777" w:rsidR="00B55E09" w:rsidRPr="00793822" w:rsidRDefault="00B55E09" w:rsidP="008A2C1F">
            <w:pPr>
              <w:pBdr>
                <w:between w:val="nil"/>
              </w:pBdr>
              <w:spacing w:line="340" w:lineRule="exact"/>
              <w:rPr>
                <w:rFonts w:hAnsi="標楷體" w:cs="Google Sans Text"/>
                <w:spacing w:val="-16"/>
                <w:sz w:val="22"/>
                <w:szCs w:val="22"/>
              </w:rPr>
            </w:pPr>
            <w:r w:rsidRPr="00793822">
              <w:rPr>
                <w:rFonts w:hAnsi="標楷體" w:cs="Google Sans Text"/>
                <w:spacing w:val="-16"/>
                <w:sz w:val="22"/>
                <w:szCs w:val="22"/>
              </w:rPr>
              <w:t>低碳電力、取代燃煤、偏遠地區供電、</w:t>
            </w:r>
            <w:proofErr w:type="gramStart"/>
            <w:r w:rsidRPr="00793822">
              <w:rPr>
                <w:rFonts w:hAnsi="標楷體" w:cs="Google Sans Text"/>
                <w:spacing w:val="-16"/>
                <w:sz w:val="22"/>
                <w:szCs w:val="22"/>
              </w:rPr>
              <w:t>淨零目標</w:t>
            </w:r>
            <w:proofErr w:type="gramEnd"/>
          </w:p>
        </w:tc>
      </w:tr>
      <w:tr w:rsidR="006E3196" w:rsidRPr="00793822" w14:paraId="42AE4A7E" w14:textId="77777777" w:rsidTr="00EE6562">
        <w:trPr>
          <w:trHeight w:val="737"/>
        </w:trPr>
        <w:tc>
          <w:tcPr>
            <w:tcW w:w="851" w:type="dxa"/>
            <w:vAlign w:val="center"/>
          </w:tcPr>
          <w:p w14:paraId="7449E20E" w14:textId="77777777" w:rsidR="00B55E09" w:rsidRPr="00793822" w:rsidRDefault="00B55E09" w:rsidP="008A2C1F">
            <w:pPr>
              <w:pBdr>
                <w:between w:val="nil"/>
              </w:pBdr>
              <w:spacing w:line="360" w:lineRule="exact"/>
              <w:jc w:val="center"/>
              <w:rPr>
                <w:rFonts w:hAnsi="標楷體" w:cs="Google Sans Text"/>
                <w:b/>
                <w:spacing w:val="-10"/>
                <w:sz w:val="22"/>
                <w:szCs w:val="22"/>
              </w:rPr>
            </w:pPr>
            <w:r w:rsidRPr="00793822">
              <w:rPr>
                <w:rFonts w:hAnsi="標楷體" w:cs="Google Sans Text"/>
                <w:b/>
                <w:spacing w:val="-10"/>
                <w:sz w:val="22"/>
                <w:szCs w:val="22"/>
              </w:rPr>
              <w:t>英國</w:t>
            </w:r>
          </w:p>
        </w:tc>
        <w:tc>
          <w:tcPr>
            <w:tcW w:w="2410" w:type="dxa"/>
            <w:vAlign w:val="center"/>
          </w:tcPr>
          <w:p w14:paraId="5172226E" w14:textId="77777777" w:rsidR="00B55E09" w:rsidRPr="00793822" w:rsidRDefault="00B55E09" w:rsidP="008A2C1F">
            <w:pPr>
              <w:pBdr>
                <w:between w:val="nil"/>
              </w:pBdr>
              <w:spacing w:line="340" w:lineRule="exact"/>
              <w:rPr>
                <w:rFonts w:hAnsi="標楷體" w:cs="Google Sans Text"/>
                <w:spacing w:val="-16"/>
                <w:sz w:val="22"/>
                <w:szCs w:val="22"/>
              </w:rPr>
            </w:pPr>
            <w:r w:rsidRPr="00793822">
              <w:rPr>
                <w:rFonts w:hAnsi="標楷體" w:cs="Google Sans Text"/>
                <w:spacing w:val="-16"/>
                <w:sz w:val="22"/>
                <w:szCs w:val="22"/>
              </w:rPr>
              <w:t>Rolls-</w:t>
            </w:r>
            <w:proofErr w:type="spellStart"/>
            <w:r w:rsidRPr="00793822">
              <w:rPr>
                <w:rFonts w:hAnsi="標楷體" w:cs="Google Sans Text"/>
                <w:spacing w:val="-16"/>
                <w:sz w:val="22"/>
                <w:szCs w:val="22"/>
              </w:rPr>
              <w:t>RoyceSMR</w:t>
            </w:r>
            <w:proofErr w:type="spellEnd"/>
          </w:p>
        </w:tc>
        <w:tc>
          <w:tcPr>
            <w:tcW w:w="2410" w:type="dxa"/>
            <w:vAlign w:val="center"/>
          </w:tcPr>
          <w:p w14:paraId="229FACCE" w14:textId="77777777" w:rsidR="00B55E09" w:rsidRPr="00793822" w:rsidRDefault="00B55E09" w:rsidP="008A2C1F">
            <w:pPr>
              <w:pBdr>
                <w:between w:val="nil"/>
              </w:pBdr>
              <w:spacing w:line="340" w:lineRule="exact"/>
              <w:rPr>
                <w:rFonts w:hAnsi="標楷體" w:cs="Google Sans Text"/>
                <w:spacing w:val="-16"/>
                <w:sz w:val="22"/>
                <w:szCs w:val="22"/>
              </w:rPr>
            </w:pPr>
            <w:r w:rsidRPr="00793822">
              <w:rPr>
                <w:rFonts w:hAnsi="標楷體" w:cs="Google Sans Text"/>
                <w:spacing w:val="-16"/>
                <w:sz w:val="22"/>
                <w:szCs w:val="22"/>
              </w:rPr>
              <w:t>政府財政支持</w:t>
            </w:r>
            <w:r w:rsidRPr="00793822">
              <w:rPr>
                <w:rFonts w:hAnsi="標楷體" w:cs="Google Sans Text" w:hint="eastAsia"/>
                <w:spacing w:val="-16"/>
                <w:sz w:val="22"/>
                <w:szCs w:val="22"/>
              </w:rPr>
              <w:t>，</w:t>
            </w:r>
            <w:r w:rsidRPr="00793822">
              <w:rPr>
                <w:rFonts w:hAnsi="標楷體" w:cs="Google Sans Text"/>
                <w:spacing w:val="-16"/>
                <w:sz w:val="22"/>
                <w:szCs w:val="22"/>
              </w:rPr>
              <w:t>GDA審查中</w:t>
            </w:r>
            <w:r w:rsidRPr="00793822">
              <w:rPr>
                <w:rFonts w:hAnsi="標楷體" w:cs="Google Sans Text" w:hint="eastAsia"/>
                <w:spacing w:val="-16"/>
                <w:sz w:val="22"/>
                <w:szCs w:val="22"/>
              </w:rPr>
              <w:t>，</w:t>
            </w:r>
            <w:r w:rsidRPr="00793822">
              <w:rPr>
                <w:rFonts w:hAnsi="標楷體" w:cs="Google Sans Text"/>
                <w:spacing w:val="-16"/>
                <w:sz w:val="22"/>
                <w:szCs w:val="22"/>
              </w:rPr>
              <w:t>國際監管合作</w:t>
            </w:r>
          </w:p>
        </w:tc>
        <w:tc>
          <w:tcPr>
            <w:tcW w:w="1559" w:type="dxa"/>
            <w:vAlign w:val="center"/>
          </w:tcPr>
          <w:p w14:paraId="62B52251" w14:textId="77777777" w:rsidR="00B55E09" w:rsidRPr="00793822" w:rsidRDefault="00B55E09" w:rsidP="008A2C1F">
            <w:pPr>
              <w:pBdr>
                <w:between w:val="nil"/>
              </w:pBdr>
              <w:spacing w:line="340" w:lineRule="exact"/>
              <w:rPr>
                <w:rFonts w:hAnsi="標楷體" w:cs="Google Sans Text"/>
                <w:spacing w:val="-16"/>
                <w:sz w:val="22"/>
                <w:szCs w:val="22"/>
              </w:rPr>
            </w:pPr>
            <w:proofErr w:type="gramStart"/>
            <w:r w:rsidRPr="00793822">
              <w:rPr>
                <w:rFonts w:hAnsi="標楷體" w:cs="Google Sans Text"/>
                <w:spacing w:val="-16"/>
                <w:sz w:val="22"/>
                <w:szCs w:val="22"/>
              </w:rPr>
              <w:t>2030</w:t>
            </w:r>
            <w:proofErr w:type="gramEnd"/>
            <w:r w:rsidRPr="00793822">
              <w:rPr>
                <w:rFonts w:hAnsi="標楷體" w:cs="Google Sans Text"/>
                <w:spacing w:val="-16"/>
                <w:sz w:val="22"/>
                <w:szCs w:val="22"/>
              </w:rPr>
              <w:t>年代初(目標)</w:t>
            </w:r>
          </w:p>
        </w:tc>
        <w:tc>
          <w:tcPr>
            <w:tcW w:w="2126" w:type="dxa"/>
            <w:vAlign w:val="center"/>
          </w:tcPr>
          <w:p w14:paraId="59F26234" w14:textId="77777777" w:rsidR="00B55E09" w:rsidRPr="00793822" w:rsidRDefault="00B55E09" w:rsidP="008A2C1F">
            <w:pPr>
              <w:pBdr>
                <w:between w:val="nil"/>
              </w:pBdr>
              <w:spacing w:line="340" w:lineRule="exact"/>
              <w:rPr>
                <w:rFonts w:hAnsi="標楷體" w:cs="Google Sans Text"/>
                <w:spacing w:val="-16"/>
                <w:sz w:val="22"/>
                <w:szCs w:val="22"/>
              </w:rPr>
            </w:pPr>
            <w:r w:rsidRPr="00793822">
              <w:rPr>
                <w:rFonts w:hAnsi="標楷體" w:cs="Google Sans Text"/>
                <w:spacing w:val="-16"/>
                <w:sz w:val="22"/>
                <w:szCs w:val="22"/>
              </w:rPr>
              <w:t>低碳電力、能源安全、</w:t>
            </w:r>
            <w:proofErr w:type="gramStart"/>
            <w:r w:rsidRPr="00793822">
              <w:rPr>
                <w:rFonts w:hAnsi="標楷體" w:cs="Google Sans Text"/>
                <w:spacing w:val="-16"/>
                <w:sz w:val="22"/>
                <w:szCs w:val="22"/>
              </w:rPr>
              <w:t>淨零目標</w:t>
            </w:r>
            <w:proofErr w:type="gramEnd"/>
            <w:r w:rsidRPr="00793822">
              <w:rPr>
                <w:rFonts w:hAnsi="標楷體" w:cs="Google Sans Text"/>
                <w:spacing w:val="-16"/>
                <w:sz w:val="22"/>
                <w:szCs w:val="22"/>
              </w:rPr>
              <w:t>、產業發展</w:t>
            </w:r>
          </w:p>
        </w:tc>
      </w:tr>
      <w:tr w:rsidR="006E3196" w:rsidRPr="00793822" w14:paraId="58AFF0D5" w14:textId="77777777" w:rsidTr="008A2C1F">
        <w:trPr>
          <w:trHeight w:val="567"/>
        </w:trPr>
        <w:tc>
          <w:tcPr>
            <w:tcW w:w="851" w:type="dxa"/>
            <w:vAlign w:val="center"/>
          </w:tcPr>
          <w:p w14:paraId="336CA94D" w14:textId="77777777" w:rsidR="00B55E09" w:rsidRPr="00793822" w:rsidRDefault="00B55E09" w:rsidP="008A2C1F">
            <w:pPr>
              <w:pBdr>
                <w:between w:val="nil"/>
              </w:pBdr>
              <w:spacing w:line="360" w:lineRule="exact"/>
              <w:jc w:val="center"/>
              <w:rPr>
                <w:rFonts w:hAnsi="標楷體" w:cs="Google Sans Text"/>
                <w:b/>
                <w:spacing w:val="-10"/>
                <w:sz w:val="22"/>
                <w:szCs w:val="22"/>
              </w:rPr>
            </w:pPr>
            <w:r w:rsidRPr="00793822">
              <w:rPr>
                <w:rFonts w:hAnsi="標楷體" w:cs="Google Sans Text"/>
                <w:b/>
                <w:spacing w:val="-10"/>
                <w:sz w:val="22"/>
                <w:szCs w:val="22"/>
              </w:rPr>
              <w:t>法國</w:t>
            </w:r>
          </w:p>
        </w:tc>
        <w:tc>
          <w:tcPr>
            <w:tcW w:w="2410" w:type="dxa"/>
            <w:vAlign w:val="center"/>
          </w:tcPr>
          <w:p w14:paraId="6AA7CD88" w14:textId="77777777" w:rsidR="00B55E09" w:rsidRPr="00793822" w:rsidRDefault="00B55E09" w:rsidP="008A2C1F">
            <w:pPr>
              <w:pBdr>
                <w:between w:val="nil"/>
              </w:pBdr>
              <w:spacing w:line="340" w:lineRule="exact"/>
              <w:rPr>
                <w:rFonts w:hAnsi="標楷體" w:cs="Google Sans Text"/>
                <w:spacing w:val="-16"/>
                <w:sz w:val="22"/>
                <w:szCs w:val="22"/>
              </w:rPr>
            </w:pPr>
            <w:proofErr w:type="spellStart"/>
            <w:r w:rsidRPr="00793822">
              <w:rPr>
                <w:rFonts w:hAnsi="標楷體" w:cs="Google Sans Text"/>
                <w:spacing w:val="-16"/>
                <w:sz w:val="22"/>
                <w:szCs w:val="22"/>
              </w:rPr>
              <w:t>Nuward</w:t>
            </w:r>
            <w:proofErr w:type="spellEnd"/>
          </w:p>
        </w:tc>
        <w:tc>
          <w:tcPr>
            <w:tcW w:w="2410" w:type="dxa"/>
            <w:vAlign w:val="center"/>
          </w:tcPr>
          <w:p w14:paraId="4284BD16" w14:textId="77777777" w:rsidR="00B55E09" w:rsidRPr="00793822" w:rsidRDefault="00B55E09" w:rsidP="008A2C1F">
            <w:pPr>
              <w:pBdr>
                <w:between w:val="nil"/>
              </w:pBdr>
              <w:spacing w:line="340" w:lineRule="exact"/>
              <w:rPr>
                <w:rFonts w:hAnsi="標楷體" w:cs="Google Sans Text"/>
                <w:spacing w:val="-16"/>
                <w:sz w:val="22"/>
                <w:szCs w:val="22"/>
              </w:rPr>
            </w:pPr>
            <w:r w:rsidRPr="00793822">
              <w:rPr>
                <w:rFonts w:hAnsi="標楷體" w:cs="Google Sans Text"/>
                <w:spacing w:val="-16"/>
                <w:sz w:val="22"/>
                <w:szCs w:val="22"/>
              </w:rPr>
              <w:t>馬克宏「法國2030」計畫支持(10億歐元)</w:t>
            </w:r>
            <w:r w:rsidRPr="00793822">
              <w:rPr>
                <w:rFonts w:hAnsi="標楷體" w:cs="Google Sans Text" w:hint="eastAsia"/>
                <w:spacing w:val="-16"/>
                <w:sz w:val="22"/>
                <w:szCs w:val="22"/>
              </w:rPr>
              <w:t>，</w:t>
            </w:r>
            <w:r w:rsidRPr="00793822">
              <w:rPr>
                <w:rFonts w:hAnsi="標楷體" w:cs="Google Sans Text"/>
                <w:spacing w:val="-16"/>
                <w:sz w:val="22"/>
                <w:szCs w:val="22"/>
              </w:rPr>
              <w:t>EDF參與開發</w:t>
            </w:r>
          </w:p>
        </w:tc>
        <w:tc>
          <w:tcPr>
            <w:tcW w:w="1559" w:type="dxa"/>
            <w:vAlign w:val="center"/>
          </w:tcPr>
          <w:p w14:paraId="7956D74C" w14:textId="77777777" w:rsidR="00B55E09" w:rsidRPr="00793822" w:rsidRDefault="00B55E09" w:rsidP="008A2C1F">
            <w:pPr>
              <w:pBdr>
                <w:between w:val="nil"/>
              </w:pBdr>
              <w:spacing w:line="340" w:lineRule="exact"/>
              <w:rPr>
                <w:rFonts w:hAnsi="標楷體" w:cs="Google Sans Text"/>
                <w:spacing w:val="-16"/>
                <w:sz w:val="22"/>
                <w:szCs w:val="22"/>
              </w:rPr>
            </w:pPr>
            <w:proofErr w:type="gramStart"/>
            <w:r w:rsidRPr="00793822">
              <w:rPr>
                <w:rFonts w:hAnsi="標楷體" w:cs="Google Sans Text"/>
                <w:spacing w:val="-16"/>
                <w:sz w:val="22"/>
                <w:szCs w:val="22"/>
              </w:rPr>
              <w:t>2030</w:t>
            </w:r>
            <w:proofErr w:type="gramEnd"/>
            <w:r w:rsidRPr="00793822">
              <w:rPr>
                <w:rFonts w:hAnsi="標楷體" w:cs="Google Sans Text"/>
                <w:spacing w:val="-16"/>
                <w:sz w:val="22"/>
                <w:szCs w:val="22"/>
              </w:rPr>
              <w:t>年代(原型機目標)</w:t>
            </w:r>
          </w:p>
        </w:tc>
        <w:tc>
          <w:tcPr>
            <w:tcW w:w="2126" w:type="dxa"/>
            <w:vAlign w:val="center"/>
          </w:tcPr>
          <w:p w14:paraId="138E6471" w14:textId="77777777" w:rsidR="00B55E09" w:rsidRPr="00793822" w:rsidRDefault="00B55E09" w:rsidP="008A2C1F">
            <w:pPr>
              <w:pBdr>
                <w:between w:val="nil"/>
              </w:pBdr>
              <w:spacing w:line="340" w:lineRule="exact"/>
              <w:rPr>
                <w:rFonts w:hAnsi="標楷體" w:cs="Google Sans Text"/>
                <w:spacing w:val="-16"/>
                <w:sz w:val="22"/>
                <w:szCs w:val="22"/>
              </w:rPr>
            </w:pPr>
            <w:r w:rsidRPr="00793822">
              <w:rPr>
                <w:rFonts w:hAnsi="標楷體" w:cs="Google Sans Text"/>
                <w:spacing w:val="-16"/>
                <w:sz w:val="22"/>
                <w:szCs w:val="22"/>
              </w:rPr>
              <w:t>低碳電力、維持核能領先地位、能源自主</w:t>
            </w:r>
          </w:p>
        </w:tc>
      </w:tr>
      <w:tr w:rsidR="006E3196" w:rsidRPr="00793822" w14:paraId="6E960FE4" w14:textId="77777777" w:rsidTr="008A2C1F">
        <w:trPr>
          <w:trHeight w:val="567"/>
        </w:trPr>
        <w:tc>
          <w:tcPr>
            <w:tcW w:w="851" w:type="dxa"/>
            <w:vAlign w:val="center"/>
          </w:tcPr>
          <w:p w14:paraId="70B6F48A" w14:textId="77777777" w:rsidR="00B55E09" w:rsidRPr="00793822" w:rsidRDefault="00B55E09" w:rsidP="008A2C1F">
            <w:pPr>
              <w:pBdr>
                <w:between w:val="nil"/>
              </w:pBdr>
              <w:spacing w:line="360" w:lineRule="exact"/>
              <w:jc w:val="center"/>
              <w:rPr>
                <w:rFonts w:hAnsi="標楷體" w:cs="Google Sans Text"/>
                <w:b/>
                <w:spacing w:val="-10"/>
                <w:sz w:val="22"/>
                <w:szCs w:val="22"/>
              </w:rPr>
            </w:pPr>
            <w:r w:rsidRPr="00793822">
              <w:rPr>
                <w:rFonts w:hAnsi="標楷體" w:cs="Google Sans Text"/>
                <w:b/>
                <w:spacing w:val="-10"/>
                <w:sz w:val="22"/>
                <w:szCs w:val="22"/>
              </w:rPr>
              <w:t>韓國</w:t>
            </w:r>
          </w:p>
        </w:tc>
        <w:tc>
          <w:tcPr>
            <w:tcW w:w="2410" w:type="dxa"/>
            <w:vAlign w:val="center"/>
          </w:tcPr>
          <w:p w14:paraId="35D0582E" w14:textId="77777777" w:rsidR="00B55E09" w:rsidRPr="00793822" w:rsidRDefault="00B55E09" w:rsidP="008A2C1F">
            <w:pPr>
              <w:pBdr>
                <w:between w:val="nil"/>
              </w:pBdr>
              <w:spacing w:line="340" w:lineRule="exact"/>
              <w:jc w:val="left"/>
              <w:rPr>
                <w:rFonts w:hAnsi="標楷體" w:cs="Google Sans Text"/>
                <w:spacing w:val="-16"/>
                <w:sz w:val="22"/>
                <w:szCs w:val="22"/>
              </w:rPr>
            </w:pPr>
            <w:r w:rsidRPr="00793822">
              <w:rPr>
                <w:rFonts w:hAnsi="標楷體" w:cs="Google Sans Text"/>
                <w:spacing w:val="-16"/>
                <w:sz w:val="22"/>
                <w:szCs w:val="22"/>
              </w:rPr>
              <w:t>SMART</w:t>
            </w:r>
            <w:r w:rsidRPr="00793822">
              <w:rPr>
                <w:rFonts w:hAnsi="標楷體" w:cs="Google Sans Text" w:hint="eastAsia"/>
                <w:spacing w:val="-16"/>
                <w:sz w:val="22"/>
                <w:szCs w:val="22"/>
              </w:rPr>
              <w:t>，</w:t>
            </w:r>
            <w:r w:rsidRPr="00793822">
              <w:rPr>
                <w:rFonts w:hAnsi="標楷體" w:cs="Google Sans Text"/>
                <w:spacing w:val="-16"/>
                <w:sz w:val="22"/>
                <w:szCs w:val="22"/>
              </w:rPr>
              <w:t>參與</w:t>
            </w:r>
            <w:proofErr w:type="spellStart"/>
            <w:r w:rsidRPr="00793822">
              <w:rPr>
                <w:rFonts w:hAnsi="標楷體" w:cs="Google Sans Text"/>
                <w:spacing w:val="-16"/>
                <w:sz w:val="22"/>
                <w:szCs w:val="22"/>
              </w:rPr>
              <w:t>NuScale</w:t>
            </w:r>
            <w:proofErr w:type="spellEnd"/>
            <w:r w:rsidRPr="00793822">
              <w:rPr>
                <w:rFonts w:hAnsi="標楷體" w:cs="Google Sans Text" w:hint="eastAsia"/>
                <w:spacing w:val="-16"/>
                <w:sz w:val="22"/>
                <w:szCs w:val="22"/>
              </w:rPr>
              <w:t>，</w:t>
            </w:r>
            <w:r w:rsidRPr="00793822">
              <w:rPr>
                <w:rFonts w:hAnsi="標楷體" w:cs="Google Sans Text"/>
                <w:spacing w:val="-16"/>
                <w:sz w:val="22"/>
                <w:szCs w:val="22"/>
              </w:rPr>
              <w:t>Natrium</w:t>
            </w:r>
          </w:p>
        </w:tc>
        <w:tc>
          <w:tcPr>
            <w:tcW w:w="2410" w:type="dxa"/>
            <w:vAlign w:val="center"/>
          </w:tcPr>
          <w:p w14:paraId="14D3B4E8" w14:textId="77777777" w:rsidR="00B55E09" w:rsidRPr="00793822" w:rsidRDefault="00B55E09" w:rsidP="008A2C1F">
            <w:pPr>
              <w:pBdr>
                <w:between w:val="nil"/>
              </w:pBdr>
              <w:spacing w:line="340" w:lineRule="exact"/>
              <w:rPr>
                <w:rFonts w:hAnsi="標楷體" w:cs="Google Sans Text"/>
                <w:spacing w:val="-16"/>
                <w:sz w:val="22"/>
                <w:szCs w:val="22"/>
              </w:rPr>
            </w:pPr>
            <w:r w:rsidRPr="00793822">
              <w:rPr>
                <w:rFonts w:hAnsi="標楷體" w:cs="Google Sans Text"/>
                <w:spacing w:val="-16"/>
                <w:sz w:val="22"/>
                <w:szCs w:val="22"/>
              </w:rPr>
              <w:t>政府積極推動核能復興</w:t>
            </w:r>
            <w:r w:rsidRPr="00793822">
              <w:rPr>
                <w:rFonts w:hAnsi="標楷體" w:cs="Google Sans Text" w:hint="eastAsia"/>
                <w:spacing w:val="-16"/>
                <w:sz w:val="22"/>
                <w:szCs w:val="22"/>
              </w:rPr>
              <w:t>，</w:t>
            </w:r>
            <w:r w:rsidRPr="00793822">
              <w:rPr>
                <w:rFonts w:hAnsi="標楷體" w:cs="Google Sans Text"/>
                <w:spacing w:val="-16"/>
                <w:sz w:val="22"/>
                <w:szCs w:val="22"/>
              </w:rPr>
              <w:t>企業投資</w:t>
            </w:r>
            <w:r w:rsidRPr="00793822">
              <w:rPr>
                <w:rFonts w:hAnsi="標楷體" w:cs="Google Sans Text" w:hint="eastAsia"/>
                <w:spacing w:val="-16"/>
                <w:sz w:val="22"/>
                <w:szCs w:val="22"/>
              </w:rPr>
              <w:t>，</w:t>
            </w:r>
            <w:r w:rsidRPr="00793822">
              <w:rPr>
                <w:rFonts w:hAnsi="標楷體" w:cs="Google Sans Text"/>
                <w:spacing w:val="-16"/>
                <w:sz w:val="22"/>
                <w:szCs w:val="22"/>
              </w:rPr>
              <w:t>國際合作</w:t>
            </w:r>
            <w:r w:rsidRPr="00793822">
              <w:rPr>
                <w:rFonts w:hAnsi="標楷體" w:cs="Google Sans Text" w:hint="eastAsia"/>
                <w:spacing w:val="-16"/>
                <w:sz w:val="22"/>
                <w:szCs w:val="22"/>
              </w:rPr>
              <w:t>，</w:t>
            </w:r>
            <w:r w:rsidRPr="00793822">
              <w:rPr>
                <w:rFonts w:hAnsi="標楷體" w:cs="Google Sans Text"/>
                <w:spacing w:val="-16"/>
                <w:sz w:val="22"/>
                <w:szCs w:val="22"/>
              </w:rPr>
              <w:t>規劃新建SMR</w:t>
            </w:r>
          </w:p>
        </w:tc>
        <w:tc>
          <w:tcPr>
            <w:tcW w:w="1559" w:type="dxa"/>
            <w:vAlign w:val="center"/>
          </w:tcPr>
          <w:p w14:paraId="18CFD3BE" w14:textId="73E62E36" w:rsidR="00B55E09" w:rsidRPr="00793822" w:rsidRDefault="00B55E09" w:rsidP="008A2C1F">
            <w:pPr>
              <w:pBdr>
                <w:between w:val="nil"/>
              </w:pBdr>
              <w:spacing w:line="340" w:lineRule="exact"/>
              <w:jc w:val="left"/>
              <w:rPr>
                <w:rFonts w:hAnsi="標楷體" w:cs="Google Sans Text"/>
                <w:spacing w:val="-16"/>
                <w:sz w:val="22"/>
                <w:szCs w:val="22"/>
              </w:rPr>
            </w:pPr>
            <w:proofErr w:type="gramStart"/>
            <w:r w:rsidRPr="00793822">
              <w:rPr>
                <w:rFonts w:hAnsi="標楷體" w:cs="Google Sans Text"/>
                <w:spacing w:val="-16"/>
                <w:sz w:val="22"/>
                <w:szCs w:val="22"/>
              </w:rPr>
              <w:t>2030</w:t>
            </w:r>
            <w:proofErr w:type="gramEnd"/>
            <w:r w:rsidRPr="00793822">
              <w:rPr>
                <w:rFonts w:hAnsi="標楷體" w:cs="Google Sans Text"/>
                <w:spacing w:val="-16"/>
                <w:sz w:val="22"/>
                <w:szCs w:val="22"/>
              </w:rPr>
              <w:t>年代(GS</w:t>
            </w:r>
            <w:r w:rsidR="008A2C1F">
              <w:rPr>
                <w:rFonts w:hAnsi="標楷體" w:cs="Google Sans Text" w:hint="eastAsia"/>
                <w:spacing w:val="-16"/>
                <w:sz w:val="22"/>
                <w:szCs w:val="22"/>
              </w:rPr>
              <w:t xml:space="preserve"> </w:t>
            </w:r>
            <w:r w:rsidRPr="00793822">
              <w:rPr>
                <w:rFonts w:hAnsi="標楷體" w:cs="Google Sans Text"/>
                <w:spacing w:val="-16"/>
                <w:sz w:val="22"/>
                <w:szCs w:val="22"/>
              </w:rPr>
              <w:t>Energy計畫2028後動工)</w:t>
            </w:r>
          </w:p>
        </w:tc>
        <w:tc>
          <w:tcPr>
            <w:tcW w:w="2126" w:type="dxa"/>
            <w:vAlign w:val="center"/>
          </w:tcPr>
          <w:p w14:paraId="77FAE0FC" w14:textId="77777777" w:rsidR="00B55E09" w:rsidRPr="00793822" w:rsidRDefault="00B55E09" w:rsidP="008A2C1F">
            <w:pPr>
              <w:pBdr>
                <w:between w:val="nil"/>
              </w:pBdr>
              <w:spacing w:line="340" w:lineRule="exact"/>
              <w:rPr>
                <w:rFonts w:hAnsi="標楷體" w:cs="Google Sans Text"/>
                <w:spacing w:val="-16"/>
                <w:sz w:val="22"/>
                <w:szCs w:val="22"/>
              </w:rPr>
            </w:pPr>
            <w:r w:rsidRPr="00793822">
              <w:rPr>
                <w:rFonts w:hAnsi="標楷體" w:cs="Google Sans Text"/>
                <w:spacing w:val="-16"/>
                <w:sz w:val="22"/>
                <w:szCs w:val="22"/>
              </w:rPr>
              <w:t>低碳電力、</w:t>
            </w:r>
            <w:proofErr w:type="gramStart"/>
            <w:r w:rsidRPr="00793822">
              <w:rPr>
                <w:rFonts w:hAnsi="標楷體" w:cs="Google Sans Text"/>
                <w:spacing w:val="-16"/>
                <w:sz w:val="22"/>
                <w:szCs w:val="22"/>
              </w:rPr>
              <w:t>製氫</w:t>
            </w:r>
            <w:proofErr w:type="gramEnd"/>
            <w:r w:rsidRPr="00793822">
              <w:rPr>
                <w:rFonts w:hAnsi="標楷體" w:cs="Google Sans Text"/>
                <w:spacing w:val="-16"/>
                <w:sz w:val="22"/>
                <w:szCs w:val="22"/>
              </w:rPr>
              <w:t>、能源安全、技術出口</w:t>
            </w:r>
          </w:p>
        </w:tc>
      </w:tr>
      <w:tr w:rsidR="006E3196" w:rsidRPr="00793822" w14:paraId="373AFA3F" w14:textId="77777777" w:rsidTr="00EE6562">
        <w:trPr>
          <w:trHeight w:val="737"/>
        </w:trPr>
        <w:tc>
          <w:tcPr>
            <w:tcW w:w="851" w:type="dxa"/>
            <w:vAlign w:val="center"/>
          </w:tcPr>
          <w:p w14:paraId="0DEC90D9" w14:textId="77777777" w:rsidR="00B55E09" w:rsidRPr="00793822" w:rsidRDefault="00B55E09" w:rsidP="008A2C1F">
            <w:pPr>
              <w:pBdr>
                <w:between w:val="nil"/>
              </w:pBdr>
              <w:spacing w:line="360" w:lineRule="exact"/>
              <w:jc w:val="center"/>
              <w:rPr>
                <w:rFonts w:hAnsi="標楷體" w:cs="Google Sans Text"/>
                <w:b/>
                <w:spacing w:val="-10"/>
                <w:sz w:val="22"/>
                <w:szCs w:val="22"/>
              </w:rPr>
            </w:pPr>
            <w:r w:rsidRPr="00793822">
              <w:rPr>
                <w:rFonts w:hAnsi="標楷體" w:cs="Google Sans Text"/>
                <w:b/>
                <w:spacing w:val="-10"/>
                <w:sz w:val="22"/>
                <w:szCs w:val="22"/>
              </w:rPr>
              <w:t>中國</w:t>
            </w:r>
          </w:p>
        </w:tc>
        <w:tc>
          <w:tcPr>
            <w:tcW w:w="2410" w:type="dxa"/>
            <w:vAlign w:val="center"/>
          </w:tcPr>
          <w:p w14:paraId="477D816A" w14:textId="77777777" w:rsidR="00B55E09" w:rsidRPr="00793822" w:rsidRDefault="00B55E09" w:rsidP="008A2C1F">
            <w:pPr>
              <w:pBdr>
                <w:between w:val="nil"/>
              </w:pBdr>
              <w:spacing w:line="340" w:lineRule="exact"/>
              <w:jc w:val="left"/>
              <w:rPr>
                <w:rFonts w:hAnsi="標楷體" w:cs="Google Sans Text"/>
                <w:spacing w:val="-16"/>
                <w:sz w:val="22"/>
                <w:szCs w:val="22"/>
              </w:rPr>
            </w:pPr>
            <w:r w:rsidRPr="00793822">
              <w:rPr>
                <w:rFonts w:hAnsi="標楷體" w:cs="Google Sans Text"/>
                <w:spacing w:val="-16"/>
                <w:sz w:val="22"/>
                <w:szCs w:val="22"/>
              </w:rPr>
              <w:t>ACP100(玲瓏一號)</w:t>
            </w:r>
            <w:r w:rsidRPr="00793822">
              <w:rPr>
                <w:rFonts w:hAnsi="標楷體" w:cs="Google Sans Text" w:hint="eastAsia"/>
                <w:spacing w:val="-16"/>
                <w:sz w:val="22"/>
                <w:szCs w:val="22"/>
              </w:rPr>
              <w:t>，</w:t>
            </w:r>
            <w:r w:rsidRPr="00793822">
              <w:rPr>
                <w:rFonts w:hAnsi="標楷體" w:cs="Google Sans Text"/>
                <w:spacing w:val="-16"/>
                <w:sz w:val="22"/>
                <w:szCs w:val="22"/>
              </w:rPr>
              <w:t>HTR-PM</w:t>
            </w:r>
            <w:r w:rsidRPr="00793822">
              <w:rPr>
                <w:rFonts w:hAnsi="標楷體" w:cs="Google Sans Text" w:hint="eastAsia"/>
                <w:spacing w:val="-16"/>
                <w:sz w:val="22"/>
                <w:szCs w:val="22"/>
              </w:rPr>
              <w:t>，</w:t>
            </w:r>
            <w:r w:rsidRPr="00793822">
              <w:rPr>
                <w:rFonts w:hAnsi="標楷體" w:cs="Google Sans Text"/>
                <w:spacing w:val="-16"/>
                <w:sz w:val="22"/>
                <w:szCs w:val="22"/>
              </w:rPr>
              <w:t>TMSR-LF1</w:t>
            </w:r>
          </w:p>
        </w:tc>
        <w:tc>
          <w:tcPr>
            <w:tcW w:w="2410" w:type="dxa"/>
            <w:vAlign w:val="center"/>
          </w:tcPr>
          <w:p w14:paraId="34DA9C45" w14:textId="77777777" w:rsidR="00B55E09" w:rsidRPr="00793822" w:rsidRDefault="00B55E09" w:rsidP="008A2C1F">
            <w:pPr>
              <w:pBdr>
                <w:between w:val="nil"/>
              </w:pBdr>
              <w:spacing w:line="340" w:lineRule="exact"/>
              <w:rPr>
                <w:rFonts w:hAnsi="標楷體" w:cs="Google Sans Text"/>
                <w:spacing w:val="-16"/>
                <w:sz w:val="22"/>
                <w:szCs w:val="22"/>
              </w:rPr>
            </w:pPr>
            <w:r w:rsidRPr="00793822">
              <w:rPr>
                <w:rFonts w:hAnsi="標楷體" w:cs="Google Sans Text"/>
                <w:spacing w:val="-16"/>
                <w:sz w:val="22"/>
                <w:szCs w:val="22"/>
              </w:rPr>
              <w:t>國家政策支持</w:t>
            </w:r>
            <w:r w:rsidRPr="00793822">
              <w:rPr>
                <w:rFonts w:hAnsi="標楷體" w:cs="Google Sans Text" w:hint="eastAsia"/>
                <w:spacing w:val="-16"/>
                <w:sz w:val="22"/>
                <w:szCs w:val="22"/>
              </w:rPr>
              <w:t>，</w:t>
            </w:r>
            <w:r w:rsidRPr="00793822">
              <w:rPr>
                <w:rFonts w:hAnsi="標楷體" w:cs="Google Sans Text"/>
                <w:spacing w:val="-16"/>
                <w:sz w:val="22"/>
                <w:szCs w:val="22"/>
              </w:rPr>
              <w:t>自主技術開發</w:t>
            </w:r>
          </w:p>
        </w:tc>
        <w:tc>
          <w:tcPr>
            <w:tcW w:w="1559" w:type="dxa"/>
            <w:vAlign w:val="center"/>
          </w:tcPr>
          <w:p w14:paraId="41A9D7F6" w14:textId="77777777" w:rsidR="00B55E09" w:rsidRPr="00793822" w:rsidRDefault="00B55E09" w:rsidP="008A2C1F">
            <w:pPr>
              <w:pBdr>
                <w:between w:val="nil"/>
              </w:pBdr>
              <w:spacing w:line="340" w:lineRule="exact"/>
              <w:jc w:val="left"/>
              <w:rPr>
                <w:rFonts w:hAnsi="標楷體" w:cs="Google Sans Text"/>
                <w:spacing w:val="-16"/>
                <w:sz w:val="22"/>
                <w:szCs w:val="22"/>
              </w:rPr>
            </w:pPr>
            <w:r w:rsidRPr="00793822">
              <w:rPr>
                <w:rFonts w:hAnsi="標楷體" w:cs="Google Sans Text"/>
                <w:spacing w:val="-16"/>
                <w:sz w:val="22"/>
                <w:szCs w:val="22"/>
              </w:rPr>
              <w:t>玲瓏一號</w:t>
            </w:r>
            <w:r w:rsidRPr="00793822">
              <w:rPr>
                <w:rFonts w:hAnsi="標楷體" w:cs="Google Sans Text" w:hint="eastAsia"/>
                <w:spacing w:val="-16"/>
                <w:sz w:val="22"/>
                <w:szCs w:val="22"/>
              </w:rPr>
              <w:t>：</w:t>
            </w:r>
            <w:r w:rsidRPr="00793822">
              <w:rPr>
                <w:rFonts w:hAnsi="標楷體" w:cs="Google Sans Text"/>
                <w:spacing w:val="-16"/>
                <w:sz w:val="22"/>
                <w:szCs w:val="22"/>
              </w:rPr>
              <w:t>2026年12月</w:t>
            </w:r>
          </w:p>
        </w:tc>
        <w:tc>
          <w:tcPr>
            <w:tcW w:w="2126" w:type="dxa"/>
            <w:vAlign w:val="center"/>
          </w:tcPr>
          <w:p w14:paraId="2BCECA7D" w14:textId="77777777" w:rsidR="00B55E09" w:rsidRPr="00793822" w:rsidRDefault="00B55E09" w:rsidP="008A2C1F">
            <w:pPr>
              <w:pBdr>
                <w:between w:val="nil"/>
              </w:pBdr>
              <w:spacing w:line="340" w:lineRule="exact"/>
              <w:rPr>
                <w:rFonts w:hAnsi="標楷體" w:cs="Google Sans Text"/>
                <w:spacing w:val="-16"/>
                <w:sz w:val="22"/>
                <w:szCs w:val="22"/>
              </w:rPr>
            </w:pPr>
            <w:r w:rsidRPr="00793822">
              <w:rPr>
                <w:rFonts w:hAnsi="標楷體" w:cs="Google Sans Text"/>
                <w:spacing w:val="-16"/>
                <w:sz w:val="22"/>
                <w:szCs w:val="22"/>
              </w:rPr>
              <w:t>低碳電力、能源結構優化、技術自主</w:t>
            </w:r>
          </w:p>
        </w:tc>
      </w:tr>
      <w:tr w:rsidR="006E3196" w:rsidRPr="00793822" w14:paraId="2C4383E1" w14:textId="77777777" w:rsidTr="00EE6562">
        <w:trPr>
          <w:trHeight w:val="737"/>
        </w:trPr>
        <w:tc>
          <w:tcPr>
            <w:tcW w:w="851" w:type="dxa"/>
            <w:vAlign w:val="center"/>
          </w:tcPr>
          <w:p w14:paraId="6C9F1EBF" w14:textId="77777777" w:rsidR="00B55E09" w:rsidRPr="00793822" w:rsidRDefault="00B55E09" w:rsidP="008A2C1F">
            <w:pPr>
              <w:pBdr>
                <w:between w:val="nil"/>
              </w:pBdr>
              <w:spacing w:line="360" w:lineRule="exact"/>
              <w:jc w:val="center"/>
              <w:rPr>
                <w:rFonts w:hAnsi="標楷體" w:cs="Google Sans Text"/>
                <w:b/>
                <w:spacing w:val="-10"/>
                <w:sz w:val="22"/>
                <w:szCs w:val="22"/>
              </w:rPr>
            </w:pPr>
            <w:r w:rsidRPr="00793822">
              <w:rPr>
                <w:rFonts w:hAnsi="標楷體" w:cs="Google Sans Text"/>
                <w:b/>
                <w:spacing w:val="-10"/>
                <w:sz w:val="22"/>
                <w:szCs w:val="22"/>
              </w:rPr>
              <w:t>俄羅斯</w:t>
            </w:r>
          </w:p>
        </w:tc>
        <w:tc>
          <w:tcPr>
            <w:tcW w:w="2410" w:type="dxa"/>
            <w:vAlign w:val="center"/>
          </w:tcPr>
          <w:p w14:paraId="2F6B79C0" w14:textId="77777777" w:rsidR="00B55E09" w:rsidRPr="00793822" w:rsidRDefault="00B55E09" w:rsidP="008A2C1F">
            <w:pPr>
              <w:pBdr>
                <w:between w:val="nil"/>
              </w:pBdr>
              <w:spacing w:line="340" w:lineRule="exact"/>
              <w:rPr>
                <w:rFonts w:hAnsi="標楷體" w:cs="Google Sans Text"/>
                <w:spacing w:val="-16"/>
                <w:sz w:val="22"/>
                <w:szCs w:val="22"/>
              </w:rPr>
            </w:pPr>
            <w:r w:rsidRPr="00793822">
              <w:rPr>
                <w:rFonts w:hAnsi="標楷體" w:cs="Google Sans Text"/>
                <w:spacing w:val="-16"/>
                <w:sz w:val="22"/>
                <w:szCs w:val="22"/>
              </w:rPr>
              <w:t>KLT-40S(浮動式)</w:t>
            </w:r>
            <w:r w:rsidRPr="00793822">
              <w:rPr>
                <w:rFonts w:hAnsi="標楷體" w:cs="Google Sans Text" w:hint="eastAsia"/>
                <w:spacing w:val="-16"/>
                <w:sz w:val="22"/>
                <w:szCs w:val="22"/>
              </w:rPr>
              <w:t>，</w:t>
            </w:r>
            <w:r w:rsidRPr="00793822">
              <w:rPr>
                <w:rFonts w:hAnsi="標楷體" w:cs="Google Sans Text"/>
                <w:spacing w:val="-16"/>
                <w:sz w:val="22"/>
                <w:szCs w:val="22"/>
              </w:rPr>
              <w:t>RITM-200</w:t>
            </w:r>
          </w:p>
        </w:tc>
        <w:tc>
          <w:tcPr>
            <w:tcW w:w="2410" w:type="dxa"/>
            <w:vAlign w:val="center"/>
          </w:tcPr>
          <w:p w14:paraId="492A9809" w14:textId="77777777" w:rsidR="00B55E09" w:rsidRPr="00793822" w:rsidRDefault="00B55E09" w:rsidP="008A2C1F">
            <w:pPr>
              <w:pBdr>
                <w:between w:val="nil"/>
              </w:pBdr>
              <w:spacing w:line="340" w:lineRule="exact"/>
              <w:rPr>
                <w:rFonts w:hAnsi="標楷體" w:cs="Google Sans Text"/>
                <w:spacing w:val="-16"/>
                <w:sz w:val="22"/>
                <w:szCs w:val="22"/>
              </w:rPr>
            </w:pPr>
            <w:r w:rsidRPr="00793822">
              <w:rPr>
                <w:rFonts w:hAnsi="標楷體" w:cs="Google Sans Text"/>
                <w:spacing w:val="-16"/>
                <w:sz w:val="22"/>
                <w:szCs w:val="22"/>
              </w:rPr>
              <w:t>國家主導開發</w:t>
            </w:r>
          </w:p>
        </w:tc>
        <w:tc>
          <w:tcPr>
            <w:tcW w:w="1559" w:type="dxa"/>
            <w:vAlign w:val="center"/>
          </w:tcPr>
          <w:p w14:paraId="02177095" w14:textId="77777777" w:rsidR="00B55E09" w:rsidRPr="00793822" w:rsidRDefault="00B55E09" w:rsidP="008A2C1F">
            <w:pPr>
              <w:pBdr>
                <w:between w:val="nil"/>
              </w:pBdr>
              <w:spacing w:line="340" w:lineRule="exact"/>
              <w:jc w:val="left"/>
              <w:rPr>
                <w:rFonts w:hAnsi="標楷體" w:cs="Google Sans Text"/>
                <w:spacing w:val="-16"/>
                <w:sz w:val="22"/>
                <w:szCs w:val="22"/>
              </w:rPr>
            </w:pPr>
            <w:r w:rsidRPr="00793822">
              <w:rPr>
                <w:rFonts w:hAnsi="標楷體" w:cs="Google Sans Text"/>
                <w:spacing w:val="-16"/>
                <w:sz w:val="22"/>
                <w:szCs w:val="22"/>
              </w:rPr>
              <w:t>KLT-40S已運轉</w:t>
            </w:r>
          </w:p>
        </w:tc>
        <w:tc>
          <w:tcPr>
            <w:tcW w:w="2126" w:type="dxa"/>
            <w:vAlign w:val="center"/>
          </w:tcPr>
          <w:p w14:paraId="5846B967" w14:textId="77777777" w:rsidR="00B55E09" w:rsidRPr="00793822" w:rsidRDefault="00B55E09" w:rsidP="008A2C1F">
            <w:pPr>
              <w:pBdr>
                <w:between w:val="nil"/>
              </w:pBdr>
              <w:spacing w:line="340" w:lineRule="exact"/>
              <w:rPr>
                <w:rFonts w:hAnsi="標楷體" w:cs="Google Sans Text"/>
                <w:spacing w:val="-16"/>
                <w:sz w:val="22"/>
                <w:szCs w:val="22"/>
              </w:rPr>
            </w:pPr>
            <w:r w:rsidRPr="00793822">
              <w:rPr>
                <w:rFonts w:hAnsi="標楷體" w:cs="Google Sans Text"/>
                <w:spacing w:val="-16"/>
                <w:sz w:val="22"/>
                <w:szCs w:val="22"/>
              </w:rPr>
              <w:t>偏遠地區供電、北極開發、技術出口</w:t>
            </w:r>
          </w:p>
        </w:tc>
      </w:tr>
      <w:tr w:rsidR="006E3196" w:rsidRPr="00793822" w14:paraId="6700848D" w14:textId="77777777" w:rsidTr="00EE6562">
        <w:trPr>
          <w:trHeight w:val="737"/>
        </w:trPr>
        <w:tc>
          <w:tcPr>
            <w:tcW w:w="851" w:type="dxa"/>
            <w:vAlign w:val="center"/>
          </w:tcPr>
          <w:p w14:paraId="352728F4" w14:textId="77777777" w:rsidR="00B55E09" w:rsidRPr="00793822" w:rsidRDefault="00B55E09" w:rsidP="008A2C1F">
            <w:pPr>
              <w:pBdr>
                <w:between w:val="nil"/>
              </w:pBdr>
              <w:spacing w:line="360" w:lineRule="exact"/>
              <w:jc w:val="center"/>
              <w:rPr>
                <w:rFonts w:hAnsi="標楷體" w:cs="Google Sans Text"/>
                <w:b/>
                <w:spacing w:val="-10"/>
                <w:sz w:val="22"/>
                <w:szCs w:val="22"/>
              </w:rPr>
            </w:pPr>
            <w:r w:rsidRPr="00793822">
              <w:rPr>
                <w:rFonts w:hAnsi="標楷體" w:cs="Google Sans Text"/>
                <w:b/>
                <w:spacing w:val="-10"/>
                <w:sz w:val="22"/>
                <w:szCs w:val="22"/>
              </w:rPr>
              <w:t>日本</w:t>
            </w:r>
          </w:p>
        </w:tc>
        <w:tc>
          <w:tcPr>
            <w:tcW w:w="2410" w:type="dxa"/>
            <w:vAlign w:val="center"/>
          </w:tcPr>
          <w:p w14:paraId="3A5AE6CB" w14:textId="77777777" w:rsidR="00B55E09" w:rsidRPr="00793822" w:rsidRDefault="00B55E09" w:rsidP="008A2C1F">
            <w:pPr>
              <w:pBdr>
                <w:between w:val="nil"/>
              </w:pBdr>
              <w:spacing w:line="340" w:lineRule="exact"/>
              <w:rPr>
                <w:rFonts w:hAnsi="標楷體" w:cs="Google Sans Text"/>
                <w:spacing w:val="-16"/>
                <w:sz w:val="22"/>
                <w:szCs w:val="22"/>
              </w:rPr>
            </w:pPr>
            <w:r w:rsidRPr="00793822">
              <w:rPr>
                <w:rFonts w:hAnsi="標楷體" w:cs="Google Sans Text"/>
                <w:spacing w:val="-16"/>
                <w:sz w:val="22"/>
                <w:szCs w:val="22"/>
              </w:rPr>
              <w:t>參與Natrium計畫</w:t>
            </w:r>
            <w:r w:rsidRPr="00793822">
              <w:rPr>
                <w:rFonts w:hAnsi="標楷體" w:cs="Google Sans Text" w:hint="eastAsia"/>
                <w:spacing w:val="-16"/>
                <w:sz w:val="22"/>
                <w:szCs w:val="22"/>
              </w:rPr>
              <w:t>，</w:t>
            </w:r>
            <w:r w:rsidRPr="00793822">
              <w:rPr>
                <w:rFonts w:hAnsi="標楷體" w:cs="Google Sans Text"/>
                <w:spacing w:val="-16"/>
                <w:sz w:val="22"/>
                <w:szCs w:val="22"/>
              </w:rPr>
              <w:t>國內研發中</w:t>
            </w:r>
          </w:p>
        </w:tc>
        <w:tc>
          <w:tcPr>
            <w:tcW w:w="2410" w:type="dxa"/>
            <w:vAlign w:val="center"/>
          </w:tcPr>
          <w:p w14:paraId="4C54BE88" w14:textId="77777777" w:rsidR="00B55E09" w:rsidRPr="00793822" w:rsidRDefault="00B55E09" w:rsidP="008A2C1F">
            <w:pPr>
              <w:pBdr>
                <w:between w:val="nil"/>
              </w:pBdr>
              <w:spacing w:line="340" w:lineRule="exact"/>
              <w:rPr>
                <w:rFonts w:hAnsi="標楷體" w:cs="Google Sans Text"/>
                <w:spacing w:val="-16"/>
                <w:sz w:val="22"/>
                <w:szCs w:val="22"/>
              </w:rPr>
            </w:pPr>
            <w:r w:rsidRPr="00793822">
              <w:rPr>
                <w:rFonts w:hAnsi="標楷體" w:cs="Google Sans Text"/>
                <w:spacing w:val="-16"/>
                <w:sz w:val="22"/>
                <w:szCs w:val="22"/>
              </w:rPr>
              <w:t>第六次戰略能源計畫支持研發與示範</w:t>
            </w:r>
            <w:r w:rsidRPr="00793822">
              <w:rPr>
                <w:rFonts w:hAnsi="標楷體" w:cs="Google Sans Text" w:hint="eastAsia"/>
                <w:spacing w:val="-16"/>
                <w:sz w:val="22"/>
                <w:szCs w:val="22"/>
              </w:rPr>
              <w:t>，</w:t>
            </w:r>
            <w:r w:rsidRPr="00793822">
              <w:rPr>
                <w:rFonts w:hAnsi="標楷體" w:cs="Google Sans Text"/>
                <w:spacing w:val="-16"/>
                <w:sz w:val="22"/>
                <w:szCs w:val="22"/>
              </w:rPr>
              <w:t>國際合作</w:t>
            </w:r>
          </w:p>
        </w:tc>
        <w:tc>
          <w:tcPr>
            <w:tcW w:w="1559" w:type="dxa"/>
            <w:vAlign w:val="center"/>
          </w:tcPr>
          <w:p w14:paraId="6A1E3781" w14:textId="77777777" w:rsidR="00B55E09" w:rsidRPr="00793822" w:rsidRDefault="00B55E09" w:rsidP="008A2C1F">
            <w:pPr>
              <w:pBdr>
                <w:between w:val="nil"/>
              </w:pBdr>
              <w:spacing w:line="340" w:lineRule="exact"/>
              <w:jc w:val="left"/>
              <w:rPr>
                <w:rFonts w:hAnsi="標楷體" w:cs="Google Sans Text"/>
                <w:spacing w:val="-16"/>
                <w:sz w:val="22"/>
                <w:szCs w:val="22"/>
              </w:rPr>
            </w:pPr>
            <w:r w:rsidRPr="00793822">
              <w:rPr>
                <w:rFonts w:hAnsi="標楷體" w:cs="Google Sans Text"/>
                <w:spacing w:val="-16"/>
                <w:sz w:val="22"/>
                <w:szCs w:val="22"/>
              </w:rPr>
              <w:t>未明確</w:t>
            </w:r>
          </w:p>
        </w:tc>
        <w:tc>
          <w:tcPr>
            <w:tcW w:w="2126" w:type="dxa"/>
            <w:vAlign w:val="center"/>
          </w:tcPr>
          <w:p w14:paraId="2444305F" w14:textId="77777777" w:rsidR="00B55E09" w:rsidRPr="00793822" w:rsidRDefault="00B55E09" w:rsidP="008A2C1F">
            <w:pPr>
              <w:pBdr>
                <w:between w:val="nil"/>
              </w:pBdr>
              <w:spacing w:line="340" w:lineRule="exact"/>
              <w:rPr>
                <w:rFonts w:hAnsi="標楷體" w:cs="Google Sans Text"/>
                <w:spacing w:val="-16"/>
                <w:sz w:val="22"/>
                <w:szCs w:val="22"/>
              </w:rPr>
            </w:pPr>
            <w:r w:rsidRPr="00793822">
              <w:rPr>
                <w:rFonts w:hAnsi="標楷體" w:cs="Google Sans Text"/>
                <w:spacing w:val="-16"/>
                <w:sz w:val="22"/>
                <w:szCs w:val="22"/>
              </w:rPr>
              <w:t>低碳選項、能源安全、技術儲備</w:t>
            </w:r>
          </w:p>
        </w:tc>
      </w:tr>
      <w:tr w:rsidR="006E3196" w:rsidRPr="00793822" w14:paraId="22D94354" w14:textId="77777777" w:rsidTr="00EE6562">
        <w:trPr>
          <w:trHeight w:val="737"/>
        </w:trPr>
        <w:tc>
          <w:tcPr>
            <w:tcW w:w="851" w:type="dxa"/>
            <w:vAlign w:val="center"/>
          </w:tcPr>
          <w:p w14:paraId="19E9FF79" w14:textId="77777777" w:rsidR="00B55E09" w:rsidRPr="00793822" w:rsidRDefault="00B55E09" w:rsidP="008A2C1F">
            <w:pPr>
              <w:pBdr>
                <w:between w:val="nil"/>
              </w:pBdr>
              <w:spacing w:line="360" w:lineRule="exact"/>
              <w:jc w:val="center"/>
              <w:rPr>
                <w:rFonts w:hAnsi="標楷體" w:cs="Google Sans Text"/>
                <w:b/>
                <w:spacing w:val="-10"/>
                <w:sz w:val="22"/>
                <w:szCs w:val="22"/>
              </w:rPr>
            </w:pPr>
            <w:r w:rsidRPr="00793822">
              <w:rPr>
                <w:rFonts w:hAnsi="標楷體" w:cs="Google Sans Text"/>
                <w:b/>
                <w:spacing w:val="-10"/>
                <w:sz w:val="22"/>
                <w:szCs w:val="22"/>
              </w:rPr>
              <w:t>阿根廷</w:t>
            </w:r>
          </w:p>
        </w:tc>
        <w:tc>
          <w:tcPr>
            <w:tcW w:w="2410" w:type="dxa"/>
            <w:vAlign w:val="center"/>
          </w:tcPr>
          <w:p w14:paraId="40FA8E2A" w14:textId="77777777" w:rsidR="00B55E09" w:rsidRPr="00793822" w:rsidRDefault="00B55E09" w:rsidP="008A2C1F">
            <w:pPr>
              <w:pBdr>
                <w:between w:val="nil"/>
              </w:pBdr>
              <w:spacing w:line="340" w:lineRule="exact"/>
              <w:rPr>
                <w:rFonts w:hAnsi="標楷體" w:cs="Google Sans Text"/>
                <w:spacing w:val="-16"/>
                <w:sz w:val="22"/>
                <w:szCs w:val="22"/>
              </w:rPr>
            </w:pPr>
            <w:r w:rsidRPr="00793822">
              <w:rPr>
                <w:rFonts w:hAnsi="標楷體" w:cs="Google Sans Text"/>
                <w:spacing w:val="-16"/>
                <w:sz w:val="22"/>
                <w:szCs w:val="22"/>
              </w:rPr>
              <w:t>CAREM</w:t>
            </w:r>
          </w:p>
        </w:tc>
        <w:tc>
          <w:tcPr>
            <w:tcW w:w="2410" w:type="dxa"/>
            <w:vAlign w:val="center"/>
          </w:tcPr>
          <w:p w14:paraId="672CA67D" w14:textId="77777777" w:rsidR="00B55E09" w:rsidRPr="00793822" w:rsidRDefault="00B55E09" w:rsidP="008A2C1F">
            <w:pPr>
              <w:pBdr>
                <w:between w:val="nil"/>
              </w:pBdr>
              <w:spacing w:line="340" w:lineRule="exact"/>
              <w:rPr>
                <w:rFonts w:hAnsi="標楷體" w:cs="Google Sans Text"/>
                <w:spacing w:val="-16"/>
                <w:sz w:val="22"/>
                <w:szCs w:val="22"/>
              </w:rPr>
            </w:pPr>
            <w:r w:rsidRPr="00793822">
              <w:rPr>
                <w:rFonts w:hAnsi="標楷體" w:cs="Google Sans Text"/>
                <w:spacing w:val="-16"/>
                <w:sz w:val="22"/>
                <w:szCs w:val="22"/>
              </w:rPr>
              <w:t>自主設計</w:t>
            </w:r>
          </w:p>
        </w:tc>
        <w:tc>
          <w:tcPr>
            <w:tcW w:w="1559" w:type="dxa"/>
            <w:vAlign w:val="center"/>
          </w:tcPr>
          <w:p w14:paraId="36FC0352" w14:textId="77777777" w:rsidR="00B55E09" w:rsidRPr="00793822" w:rsidRDefault="00B55E09" w:rsidP="008A2C1F">
            <w:pPr>
              <w:pBdr>
                <w:between w:val="nil"/>
              </w:pBdr>
              <w:spacing w:line="340" w:lineRule="exact"/>
              <w:jc w:val="left"/>
              <w:rPr>
                <w:rFonts w:hAnsi="標楷體" w:cs="Google Sans Text"/>
                <w:spacing w:val="-16"/>
                <w:sz w:val="22"/>
                <w:szCs w:val="22"/>
              </w:rPr>
            </w:pPr>
            <w:r w:rsidRPr="00793822">
              <w:rPr>
                <w:rFonts w:hAnsi="標楷體" w:cs="Google Sans Text"/>
                <w:spacing w:val="-16"/>
                <w:sz w:val="22"/>
                <w:szCs w:val="22"/>
              </w:rPr>
              <w:t>2028年後(原型機啟動目標)</w:t>
            </w:r>
          </w:p>
        </w:tc>
        <w:tc>
          <w:tcPr>
            <w:tcW w:w="2126" w:type="dxa"/>
            <w:vAlign w:val="center"/>
          </w:tcPr>
          <w:p w14:paraId="7D182891" w14:textId="77777777" w:rsidR="00B55E09" w:rsidRPr="00793822" w:rsidRDefault="00B55E09" w:rsidP="008A2C1F">
            <w:pPr>
              <w:pBdr>
                <w:between w:val="nil"/>
              </w:pBdr>
              <w:spacing w:line="340" w:lineRule="exact"/>
              <w:rPr>
                <w:rFonts w:hAnsi="標楷體" w:cs="Google Sans Text"/>
                <w:spacing w:val="-16"/>
                <w:sz w:val="22"/>
                <w:szCs w:val="22"/>
              </w:rPr>
            </w:pPr>
            <w:r w:rsidRPr="00793822">
              <w:rPr>
                <w:rFonts w:hAnsi="標楷體" w:cs="Google Sans Text"/>
                <w:spacing w:val="-16"/>
                <w:sz w:val="22"/>
                <w:szCs w:val="22"/>
              </w:rPr>
              <w:t>技術自主</w:t>
            </w:r>
          </w:p>
        </w:tc>
      </w:tr>
    </w:tbl>
    <w:p w14:paraId="03F8C2B7" w14:textId="77777777" w:rsidR="00B55E09" w:rsidRPr="00793822" w:rsidRDefault="00B55E09" w:rsidP="00EE6562">
      <w:pPr>
        <w:spacing w:line="360" w:lineRule="exact"/>
        <w:ind w:leftChars="-50" w:left="350" w:rightChars="-100" w:right="-340" w:hangingChars="200" w:hanging="520"/>
        <w:rPr>
          <w:sz w:val="24"/>
          <w:szCs w:val="16"/>
        </w:rPr>
      </w:pPr>
      <w:proofErr w:type="gramStart"/>
      <w:r w:rsidRPr="00793822">
        <w:rPr>
          <w:sz w:val="24"/>
          <w:szCs w:val="16"/>
        </w:rPr>
        <w:t>註</w:t>
      </w:r>
      <w:proofErr w:type="gramEnd"/>
      <w:r w:rsidRPr="00793822">
        <w:rPr>
          <w:sz w:val="24"/>
          <w:szCs w:val="16"/>
        </w:rPr>
        <w:t>：商轉時程多為預估或目標，實際進度可能因技術、經濟、法規等因素而變動。</w:t>
      </w:r>
    </w:p>
    <w:p w14:paraId="795287BF" w14:textId="77777777" w:rsidR="00B55E09" w:rsidRPr="00793822" w:rsidRDefault="00B55E09" w:rsidP="00EE6562">
      <w:pPr>
        <w:spacing w:line="360" w:lineRule="exact"/>
        <w:ind w:leftChars="-41" w:left="522" w:rightChars="-25" w:right="-85" w:hangingChars="254" w:hanging="661"/>
        <w:jc w:val="right"/>
        <w:rPr>
          <w:sz w:val="24"/>
          <w:szCs w:val="16"/>
        </w:rPr>
      </w:pPr>
      <w:r w:rsidRPr="00793822">
        <w:rPr>
          <w:rFonts w:hint="eastAsia"/>
          <w:sz w:val="24"/>
          <w:szCs w:val="16"/>
        </w:rPr>
        <w:lastRenderedPageBreak/>
        <w:t>(資料來源：本院調閱機關卷證後彙整)</w:t>
      </w:r>
    </w:p>
    <w:p w14:paraId="1687A2F7" w14:textId="77777777" w:rsidR="003E058F" w:rsidRPr="00793822" w:rsidRDefault="003E058F" w:rsidP="00B55E09">
      <w:pPr>
        <w:spacing w:line="300" w:lineRule="exact"/>
        <w:ind w:leftChars="-41" w:left="522" w:rightChars="-25" w:right="-85" w:hangingChars="254" w:hanging="661"/>
        <w:jc w:val="right"/>
        <w:rPr>
          <w:sz w:val="24"/>
          <w:szCs w:val="16"/>
        </w:rPr>
      </w:pPr>
    </w:p>
    <w:p w14:paraId="609DA867" w14:textId="77777777" w:rsidR="00793822" w:rsidRPr="00793822" w:rsidRDefault="00793822" w:rsidP="00793822">
      <w:pPr>
        <w:pStyle w:val="3"/>
      </w:pPr>
      <w:r w:rsidRPr="00793822">
        <w:t>綜上，探究主要國家發展SMR之現況，復鑒於SMR等國際新能源技術發展情勢多變且具不確定性、社會對核能議題之高度關切，以及臺灣特殊之環境與多重戰略考量，為使政策討論具備堅實之科學基礎，行政院允</w:t>
      </w:r>
      <w:proofErr w:type="gramStart"/>
      <w:r w:rsidRPr="00793822">
        <w:t>宜轉促所屬</w:t>
      </w:r>
      <w:proofErr w:type="gramEnd"/>
      <w:r w:rsidRPr="00793822">
        <w:t>就相關技術之潛在貢獻與風險啟動系統性評估。該項能源安全分析應秉持公開透明原則，促進社會理性對話，</w:t>
      </w:r>
      <w:proofErr w:type="gramStart"/>
      <w:r w:rsidRPr="00793822">
        <w:t>俾</w:t>
      </w:r>
      <w:proofErr w:type="gramEnd"/>
      <w:r w:rsidRPr="00793822">
        <w:t>供國家能源政策周延決策之參考。</w:t>
      </w:r>
    </w:p>
    <w:p w14:paraId="7F7A05DC" w14:textId="4B24DF77" w:rsidR="00FC0CB6" w:rsidRPr="00793822" w:rsidRDefault="00FC0CB6" w:rsidP="00793822">
      <w:pPr>
        <w:pStyle w:val="2"/>
      </w:pPr>
      <w:r w:rsidRPr="00793822">
        <w:br w:type="page"/>
      </w:r>
    </w:p>
    <w:p w14:paraId="1B880C93" w14:textId="77777777" w:rsidR="006773F7" w:rsidRPr="00793822" w:rsidRDefault="006773F7" w:rsidP="006773F7">
      <w:pPr>
        <w:pStyle w:val="1"/>
        <w:rPr>
          <w:rFonts w:hAnsi="標楷體"/>
          <w:bCs w:val="0"/>
        </w:rPr>
      </w:pPr>
      <w:bookmarkStart w:id="53" w:name="_Toc524895646"/>
      <w:bookmarkStart w:id="54" w:name="_Toc524896192"/>
      <w:bookmarkStart w:id="55" w:name="_Toc524896222"/>
      <w:bookmarkStart w:id="56" w:name="_Toc524902729"/>
      <w:bookmarkStart w:id="57" w:name="_Toc525066145"/>
      <w:bookmarkStart w:id="58" w:name="_Toc525070836"/>
      <w:bookmarkStart w:id="59" w:name="_Toc525938376"/>
      <w:bookmarkStart w:id="60" w:name="_Toc525939224"/>
      <w:bookmarkStart w:id="61" w:name="_Toc525939729"/>
      <w:bookmarkStart w:id="62" w:name="_Toc529218269"/>
      <w:r w:rsidRPr="00793822">
        <w:rPr>
          <w:rFonts w:hAnsi="標楷體" w:hint="eastAsia"/>
          <w:bCs w:val="0"/>
        </w:rPr>
        <w:lastRenderedPageBreak/>
        <w:t>處理辦法</w:t>
      </w:r>
    </w:p>
    <w:p w14:paraId="288CC22C" w14:textId="77777777" w:rsidR="00861772" w:rsidRPr="00793822" w:rsidRDefault="00861772" w:rsidP="00173389">
      <w:pPr>
        <w:pStyle w:val="2"/>
        <w:rPr>
          <w:rFonts w:hAnsi="標楷體"/>
        </w:rPr>
      </w:pPr>
      <w:bookmarkStart w:id="63" w:name="_Toc2400396"/>
      <w:bookmarkStart w:id="64" w:name="_Toc4316190"/>
      <w:bookmarkStart w:id="65" w:name="_Toc4473331"/>
      <w:bookmarkStart w:id="66" w:name="_Toc69556898"/>
      <w:bookmarkStart w:id="67" w:name="_Toc69556947"/>
      <w:bookmarkStart w:id="68" w:name="_Toc69609821"/>
      <w:bookmarkStart w:id="69" w:name="_Toc70241817"/>
      <w:bookmarkStart w:id="70" w:name="_Toc70242206"/>
      <w:bookmarkStart w:id="71" w:name="_Toc524902735"/>
      <w:bookmarkStart w:id="72" w:name="_Toc525066149"/>
      <w:bookmarkStart w:id="73" w:name="_Toc525070840"/>
      <w:bookmarkStart w:id="74" w:name="_Toc525938380"/>
      <w:bookmarkStart w:id="75" w:name="_Toc525939228"/>
      <w:bookmarkStart w:id="76" w:name="_Toc525939733"/>
      <w:bookmarkStart w:id="77" w:name="_Toc529218273"/>
      <w:bookmarkStart w:id="78" w:name="_Toc529222690"/>
      <w:bookmarkStart w:id="79" w:name="_Toc529223112"/>
      <w:bookmarkStart w:id="80" w:name="_Toc529223863"/>
      <w:bookmarkStart w:id="81" w:name="_Toc529228266"/>
      <w:r>
        <w:rPr>
          <w:rFonts w:hAnsi="標楷體" w:hint="eastAsia"/>
        </w:rPr>
        <w:t>抄</w:t>
      </w:r>
      <w:r w:rsidRPr="00793822">
        <w:rPr>
          <w:rFonts w:hAnsi="標楷體" w:hint="eastAsia"/>
        </w:rPr>
        <w:t>調查意見一至二，函請行政院督同有關機關參處</w:t>
      </w:r>
      <w:proofErr w:type="gramStart"/>
      <w:r w:rsidRPr="00793822">
        <w:rPr>
          <w:rFonts w:hAnsi="標楷體" w:hint="eastAsia"/>
        </w:rPr>
        <w:t>見復。</w:t>
      </w:r>
      <w:proofErr w:type="gramEnd"/>
    </w:p>
    <w:p w14:paraId="3B01E3F5" w14:textId="1A011987" w:rsidR="00861772" w:rsidRPr="00793822" w:rsidRDefault="00861772" w:rsidP="00933446">
      <w:pPr>
        <w:pStyle w:val="2"/>
        <w:rPr>
          <w:rFonts w:hAnsi="標楷體"/>
        </w:rPr>
      </w:pPr>
      <w:r>
        <w:rPr>
          <w:rFonts w:hAnsi="標楷體" w:hint="eastAsia"/>
        </w:rPr>
        <w:t>抄</w:t>
      </w:r>
      <w:r w:rsidRPr="00793822">
        <w:rPr>
          <w:rFonts w:hAnsi="標楷體" w:hint="eastAsia"/>
        </w:rPr>
        <w:t>調查意見</w:t>
      </w:r>
      <w:proofErr w:type="gramStart"/>
      <w:r w:rsidRPr="00793822">
        <w:rPr>
          <w:rFonts w:hAnsi="標楷體" w:hint="eastAsia"/>
        </w:rPr>
        <w:t>三</w:t>
      </w:r>
      <w:proofErr w:type="gramEnd"/>
      <w:r w:rsidRPr="00793822">
        <w:rPr>
          <w:rFonts w:hAnsi="標楷體" w:hint="eastAsia"/>
        </w:rPr>
        <w:t>，函請行政院督導有關機關</w:t>
      </w:r>
      <w:proofErr w:type="gramStart"/>
      <w:r w:rsidRPr="00793822">
        <w:rPr>
          <w:rFonts w:hAnsi="標楷體" w:hint="eastAsia"/>
        </w:rPr>
        <w:t>研</w:t>
      </w:r>
      <w:proofErr w:type="gramEnd"/>
      <w:r w:rsidRPr="00793822">
        <w:rPr>
          <w:rFonts w:hAnsi="標楷體" w:hint="eastAsia"/>
        </w:rPr>
        <w:t>處</w:t>
      </w:r>
      <w:proofErr w:type="gramStart"/>
      <w:r w:rsidRPr="00793822">
        <w:rPr>
          <w:rFonts w:hAnsi="標楷體" w:hint="eastAsia"/>
        </w:rPr>
        <w:t>見復。</w:t>
      </w:r>
      <w:proofErr w:type="gramEnd"/>
    </w:p>
    <w:p w14:paraId="5292FCE7" w14:textId="1B60A00C" w:rsidR="00861772" w:rsidRPr="00793822" w:rsidRDefault="00861772" w:rsidP="002E2DA5">
      <w:pPr>
        <w:pStyle w:val="2"/>
        <w:rPr>
          <w:rFonts w:hAnsi="標楷體"/>
        </w:rPr>
      </w:pPr>
      <w:bookmarkStart w:id="82" w:name="_Toc69556899"/>
      <w:bookmarkStart w:id="83" w:name="_Toc69556948"/>
      <w:bookmarkStart w:id="84" w:name="_Toc6960982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861772">
        <w:rPr>
          <w:rFonts w:hAnsi="標楷體" w:hint="eastAsia"/>
        </w:rPr>
        <w:t>調查報告之案由、調查意見及處理辦法(含附件二「核能電廠除役、轉型與核能安全專業人才確保及運用小型模組化反應器(SMR)新世代能源評估及運用考察報告」)，上網公布。</w:t>
      </w:r>
    </w:p>
    <w:bookmarkEnd w:id="82"/>
    <w:bookmarkEnd w:id="83"/>
    <w:bookmarkEnd w:id="84"/>
    <w:p w14:paraId="1BF2AE99" w14:textId="77777777" w:rsidR="005B1781" w:rsidRPr="00793822" w:rsidRDefault="005B1781" w:rsidP="005B1781"/>
    <w:p w14:paraId="154C518B" w14:textId="77777777" w:rsidR="006773F7" w:rsidRPr="00793822" w:rsidRDefault="006773F7" w:rsidP="006773F7">
      <w:pPr>
        <w:pStyle w:val="aa"/>
        <w:spacing w:beforeLines="50" w:before="228" w:afterLines="100" w:after="457"/>
        <w:ind w:leftChars="1100" w:left="3742"/>
        <w:rPr>
          <w:rFonts w:hAnsi="標楷體"/>
          <w:b/>
          <w:bCs/>
          <w:snapToGrid/>
          <w:spacing w:val="12"/>
          <w:kern w:val="0"/>
          <w:sz w:val="40"/>
        </w:rPr>
      </w:pPr>
    </w:p>
    <w:p w14:paraId="2BE0FF04" w14:textId="05B52B0A" w:rsidR="006773F7" w:rsidRPr="00793822" w:rsidRDefault="006773F7" w:rsidP="00C3473E">
      <w:pPr>
        <w:pStyle w:val="aa"/>
        <w:spacing w:beforeLines="50" w:before="228" w:after="0"/>
        <w:ind w:leftChars="1100" w:left="3742"/>
        <w:rPr>
          <w:rFonts w:hAnsi="標楷體"/>
          <w:b/>
          <w:bCs/>
          <w:snapToGrid/>
          <w:spacing w:val="12"/>
          <w:kern w:val="0"/>
          <w:sz w:val="40"/>
        </w:rPr>
      </w:pPr>
      <w:r w:rsidRPr="00793822">
        <w:rPr>
          <w:rFonts w:hAnsi="標楷體" w:hint="eastAsia"/>
          <w:bCs/>
          <w:snapToGrid/>
          <w:spacing w:val="12"/>
          <w:kern w:val="0"/>
          <w:sz w:val="40"/>
        </w:rPr>
        <w:t>調查委員：</w:t>
      </w:r>
      <w:proofErr w:type="gramStart"/>
      <w:r w:rsidR="00C3473E">
        <w:rPr>
          <w:rFonts w:hAnsi="標楷體" w:hint="eastAsia"/>
          <w:bCs/>
          <w:snapToGrid/>
          <w:spacing w:val="12"/>
          <w:kern w:val="0"/>
          <w:sz w:val="40"/>
        </w:rPr>
        <w:t>鴻義章</w:t>
      </w:r>
      <w:proofErr w:type="gramEnd"/>
    </w:p>
    <w:p w14:paraId="5EFB60C0" w14:textId="0DA9A39E" w:rsidR="006773F7" w:rsidRDefault="00C3473E" w:rsidP="00C3473E">
      <w:pPr>
        <w:pStyle w:val="aa"/>
        <w:spacing w:before="0" w:after="0"/>
        <w:ind w:leftChars="1750" w:left="5953"/>
        <w:rPr>
          <w:rFonts w:hAnsi="標楷體"/>
          <w:snapToGrid/>
          <w:spacing w:val="12"/>
          <w:kern w:val="0"/>
          <w:sz w:val="40"/>
        </w:rPr>
      </w:pPr>
      <w:proofErr w:type="gramStart"/>
      <w:r w:rsidRPr="00C3473E">
        <w:rPr>
          <w:rFonts w:hAnsi="標楷體" w:hint="eastAsia"/>
          <w:snapToGrid/>
          <w:spacing w:val="12"/>
          <w:kern w:val="0"/>
          <w:sz w:val="40"/>
        </w:rPr>
        <w:t>范巽</w:t>
      </w:r>
      <w:proofErr w:type="gramEnd"/>
      <w:r w:rsidRPr="00C3473E">
        <w:rPr>
          <w:rFonts w:hAnsi="標楷體" w:hint="eastAsia"/>
          <w:snapToGrid/>
          <w:spacing w:val="12"/>
          <w:kern w:val="0"/>
          <w:sz w:val="40"/>
        </w:rPr>
        <w:t>綠</w:t>
      </w:r>
    </w:p>
    <w:p w14:paraId="7161273A" w14:textId="2F26F7AD" w:rsidR="00C3473E" w:rsidRPr="00C3473E" w:rsidRDefault="00C3473E" w:rsidP="00C3473E">
      <w:pPr>
        <w:pStyle w:val="aa"/>
        <w:spacing w:before="0" w:after="0"/>
        <w:ind w:leftChars="1750" w:left="5953"/>
        <w:rPr>
          <w:rFonts w:hAnsi="標楷體"/>
          <w:snapToGrid/>
          <w:spacing w:val="12"/>
          <w:kern w:val="0"/>
          <w:sz w:val="40"/>
        </w:rPr>
      </w:pPr>
      <w:r>
        <w:rPr>
          <w:rFonts w:hAnsi="標楷體" w:hint="eastAsia"/>
          <w:snapToGrid/>
          <w:spacing w:val="12"/>
          <w:kern w:val="0"/>
          <w:sz w:val="40"/>
        </w:rPr>
        <w:t>賴振昌</w:t>
      </w:r>
    </w:p>
    <w:p w14:paraId="70B68E8E" w14:textId="77777777" w:rsidR="00693879" w:rsidRPr="00793822" w:rsidRDefault="00693879" w:rsidP="006773F7">
      <w:pPr>
        <w:pStyle w:val="aa"/>
        <w:spacing w:before="0" w:after="0"/>
        <w:ind w:leftChars="1100" w:left="3742"/>
        <w:rPr>
          <w:rFonts w:hAnsi="標楷體"/>
          <w:b/>
          <w:bCs/>
          <w:snapToGrid/>
          <w:spacing w:val="0"/>
          <w:kern w:val="0"/>
          <w:sz w:val="40"/>
        </w:rPr>
      </w:pPr>
    </w:p>
    <w:p w14:paraId="41AE2A3C" w14:textId="77777777" w:rsidR="00693879" w:rsidRPr="00793822" w:rsidRDefault="00693879" w:rsidP="006773F7">
      <w:pPr>
        <w:pStyle w:val="aa"/>
        <w:spacing w:before="0" w:after="0"/>
        <w:ind w:leftChars="1100" w:left="3742"/>
        <w:rPr>
          <w:rFonts w:hAnsi="標楷體"/>
          <w:b/>
          <w:bCs/>
          <w:snapToGrid/>
          <w:spacing w:val="0"/>
          <w:kern w:val="0"/>
          <w:sz w:val="40"/>
        </w:rPr>
      </w:pPr>
    </w:p>
    <w:p w14:paraId="2E43626E" w14:textId="77777777" w:rsidR="00693879" w:rsidRPr="00793822" w:rsidRDefault="00693879" w:rsidP="006773F7">
      <w:pPr>
        <w:pStyle w:val="aa"/>
        <w:spacing w:before="0" w:after="0"/>
        <w:ind w:leftChars="1100" w:left="3742"/>
        <w:rPr>
          <w:rFonts w:hAnsi="標楷體"/>
          <w:b/>
          <w:bCs/>
          <w:snapToGrid/>
          <w:spacing w:val="0"/>
          <w:kern w:val="0"/>
          <w:sz w:val="40"/>
        </w:rPr>
      </w:pPr>
    </w:p>
    <w:p w14:paraId="6E2FEB7E" w14:textId="77777777" w:rsidR="006775BA" w:rsidRPr="00793822" w:rsidRDefault="006775BA" w:rsidP="006773F7">
      <w:pPr>
        <w:pStyle w:val="aa"/>
        <w:spacing w:before="0" w:after="0"/>
        <w:ind w:leftChars="1100" w:left="3742"/>
        <w:rPr>
          <w:rFonts w:hAnsi="標楷體"/>
          <w:b/>
          <w:bCs/>
          <w:snapToGrid/>
          <w:spacing w:val="0"/>
          <w:kern w:val="0"/>
          <w:sz w:val="40"/>
        </w:rPr>
      </w:pPr>
    </w:p>
    <w:p w14:paraId="39F326BA" w14:textId="067016E1" w:rsidR="006773F7" w:rsidRPr="00793822" w:rsidRDefault="006773F7" w:rsidP="006773F7">
      <w:pPr>
        <w:pStyle w:val="af"/>
        <w:rPr>
          <w:rFonts w:hAnsi="標楷體"/>
          <w:bCs/>
        </w:rPr>
      </w:pPr>
      <w:r w:rsidRPr="00793822">
        <w:rPr>
          <w:rFonts w:hAnsi="標楷體" w:hint="eastAsia"/>
          <w:bCs/>
        </w:rPr>
        <w:t>中</w:t>
      </w:r>
      <w:r w:rsidR="00A05160" w:rsidRPr="00793822">
        <w:rPr>
          <w:rFonts w:hAnsi="標楷體" w:hint="eastAsia"/>
          <w:bCs/>
        </w:rPr>
        <w:t xml:space="preserve"> </w:t>
      </w:r>
      <w:r w:rsidRPr="00793822">
        <w:rPr>
          <w:rFonts w:hAnsi="標楷體" w:hint="eastAsia"/>
          <w:bCs/>
        </w:rPr>
        <w:t>華</w:t>
      </w:r>
      <w:r w:rsidR="00A05160" w:rsidRPr="00793822">
        <w:rPr>
          <w:rFonts w:hAnsi="標楷體" w:hint="eastAsia"/>
          <w:bCs/>
        </w:rPr>
        <w:t xml:space="preserve"> </w:t>
      </w:r>
      <w:r w:rsidRPr="00793822">
        <w:rPr>
          <w:rFonts w:hAnsi="標楷體" w:hint="eastAsia"/>
          <w:bCs/>
        </w:rPr>
        <w:t>民</w:t>
      </w:r>
      <w:r w:rsidR="00A05160" w:rsidRPr="00793822">
        <w:rPr>
          <w:rFonts w:hAnsi="標楷體" w:hint="eastAsia"/>
          <w:bCs/>
        </w:rPr>
        <w:t xml:space="preserve"> </w:t>
      </w:r>
      <w:r w:rsidRPr="00793822">
        <w:rPr>
          <w:rFonts w:hAnsi="標楷體" w:hint="eastAsia"/>
          <w:bCs/>
        </w:rPr>
        <w:t>國</w:t>
      </w:r>
      <w:r w:rsidR="00A05160" w:rsidRPr="00793822">
        <w:rPr>
          <w:rFonts w:hAnsi="標楷體" w:hint="eastAsia"/>
          <w:bCs/>
        </w:rPr>
        <w:t xml:space="preserve"> </w:t>
      </w:r>
      <w:r w:rsidRPr="00793822">
        <w:rPr>
          <w:rFonts w:hAnsi="標楷體" w:hint="eastAsia"/>
          <w:bCs/>
        </w:rPr>
        <w:t>11</w:t>
      </w:r>
      <w:r w:rsidR="00A05160" w:rsidRPr="00793822">
        <w:rPr>
          <w:rFonts w:hAnsi="標楷體" w:hint="eastAsia"/>
          <w:bCs/>
        </w:rPr>
        <w:t xml:space="preserve">5 </w:t>
      </w:r>
      <w:r w:rsidRPr="00793822">
        <w:rPr>
          <w:rFonts w:hAnsi="標楷體" w:hint="eastAsia"/>
          <w:bCs/>
        </w:rPr>
        <w:t>年</w:t>
      </w:r>
      <w:r w:rsidR="00A05160" w:rsidRPr="00793822">
        <w:rPr>
          <w:rFonts w:hAnsi="標楷體" w:hint="eastAsia"/>
          <w:bCs/>
        </w:rPr>
        <w:t xml:space="preserve"> </w:t>
      </w:r>
      <w:r w:rsidR="00EE6562">
        <w:rPr>
          <w:rFonts w:hAnsi="標楷體" w:hint="eastAsia"/>
          <w:bCs/>
        </w:rPr>
        <w:t xml:space="preserve"> </w:t>
      </w:r>
      <w:r w:rsidR="00861772">
        <w:rPr>
          <w:rFonts w:hAnsi="標楷體" w:hint="eastAsia"/>
          <w:bCs/>
        </w:rPr>
        <w:t>7</w:t>
      </w:r>
      <w:r w:rsidR="00EE6562">
        <w:rPr>
          <w:rFonts w:hAnsi="標楷體" w:hint="eastAsia"/>
          <w:bCs/>
        </w:rPr>
        <w:t xml:space="preserve"> </w:t>
      </w:r>
      <w:r w:rsidR="00A05160" w:rsidRPr="00793822">
        <w:rPr>
          <w:rFonts w:hAnsi="標楷體" w:hint="eastAsia"/>
          <w:bCs/>
        </w:rPr>
        <w:t xml:space="preserve"> </w:t>
      </w:r>
      <w:r w:rsidRPr="00793822">
        <w:rPr>
          <w:rFonts w:hAnsi="標楷體" w:hint="eastAsia"/>
          <w:bCs/>
        </w:rPr>
        <w:t>月</w:t>
      </w:r>
      <w:r w:rsidR="00A05160" w:rsidRPr="00793822">
        <w:rPr>
          <w:rFonts w:hAnsi="標楷體" w:hint="eastAsia"/>
          <w:bCs/>
        </w:rPr>
        <w:t xml:space="preserve">  </w:t>
      </w:r>
      <w:r w:rsidR="00861772">
        <w:rPr>
          <w:rFonts w:hAnsi="標楷體" w:hint="eastAsia"/>
          <w:bCs/>
        </w:rPr>
        <w:t>13</w:t>
      </w:r>
      <w:r w:rsidR="00A05160" w:rsidRPr="00793822">
        <w:rPr>
          <w:rFonts w:hAnsi="標楷體" w:hint="eastAsia"/>
          <w:bCs/>
        </w:rPr>
        <w:t xml:space="preserve">  </w:t>
      </w:r>
      <w:r w:rsidRPr="00793822">
        <w:rPr>
          <w:rFonts w:hAnsi="標楷體" w:hint="eastAsia"/>
          <w:bCs/>
        </w:rPr>
        <w:t>日</w:t>
      </w:r>
    </w:p>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3"/>
    <w:bookmarkEnd w:id="54"/>
    <w:bookmarkEnd w:id="55"/>
    <w:bookmarkEnd w:id="56"/>
    <w:bookmarkEnd w:id="57"/>
    <w:bookmarkEnd w:id="58"/>
    <w:bookmarkEnd w:id="59"/>
    <w:bookmarkEnd w:id="60"/>
    <w:bookmarkEnd w:id="61"/>
    <w:bookmarkEnd w:id="62"/>
    <w:p w14:paraId="21B9F264" w14:textId="251B333B" w:rsidR="00EE6562" w:rsidRDefault="00EE6562" w:rsidP="00C3473E">
      <w:pPr>
        <w:pStyle w:val="af0"/>
        <w:ind w:left="1361" w:hangingChars="400" w:hanging="1361"/>
        <w:rPr>
          <w:rFonts w:hAnsi="標楷體"/>
          <w:bCs/>
          <w:kern w:val="32"/>
          <w:szCs w:val="40"/>
        </w:rPr>
      </w:pPr>
      <w:r>
        <w:rPr>
          <w:rFonts w:hAnsi="標楷體"/>
          <w:bCs/>
          <w:szCs w:val="40"/>
        </w:rPr>
        <w:br w:type="page"/>
      </w:r>
    </w:p>
    <w:p w14:paraId="101D8CBA" w14:textId="36825D6A" w:rsidR="00DE1B5F" w:rsidRPr="00793822" w:rsidRDefault="00BD5935" w:rsidP="00BD5935">
      <w:pPr>
        <w:pStyle w:val="a0"/>
        <w:ind w:left="1361" w:hanging="1361"/>
      </w:pPr>
      <w:r w:rsidRPr="00793822">
        <w:rPr>
          <w:rFonts w:hint="eastAsia"/>
        </w:rPr>
        <w:lastRenderedPageBreak/>
        <w:t>地方檢察署偵辦有關妨害綠能案件提起公訴案件犯罪類型與被告身分統計表</w:t>
      </w:r>
    </w:p>
    <w:tbl>
      <w:tblPr>
        <w:tblStyle w:val="af7"/>
        <w:tblW w:w="9207" w:type="dxa"/>
        <w:tblCellMar>
          <w:left w:w="28" w:type="dxa"/>
          <w:right w:w="28" w:type="dxa"/>
        </w:tblCellMar>
        <w:tblLook w:val="04A0" w:firstRow="1" w:lastRow="0" w:firstColumn="1" w:lastColumn="0" w:noHBand="0" w:noVBand="1"/>
      </w:tblPr>
      <w:tblGrid>
        <w:gridCol w:w="258"/>
        <w:gridCol w:w="1074"/>
        <w:gridCol w:w="903"/>
        <w:gridCol w:w="510"/>
        <w:gridCol w:w="1871"/>
        <w:gridCol w:w="2154"/>
        <w:gridCol w:w="680"/>
        <w:gridCol w:w="1757"/>
      </w:tblGrid>
      <w:tr w:rsidR="006E3196" w:rsidRPr="00793822" w14:paraId="7ECDE3AA" w14:textId="77777777" w:rsidTr="00BD5935">
        <w:trPr>
          <w:trHeight w:val="454"/>
          <w:tblHeader/>
        </w:trPr>
        <w:tc>
          <w:tcPr>
            <w:tcW w:w="258" w:type="dxa"/>
            <w:shd w:val="clear" w:color="auto" w:fill="FDE9D9" w:themeFill="accent6" w:themeFillTint="33"/>
            <w:vAlign w:val="center"/>
          </w:tcPr>
          <w:p w14:paraId="169B70DA" w14:textId="77777777" w:rsidR="00BD5935" w:rsidRPr="00793822" w:rsidRDefault="00BD5935" w:rsidP="00915672">
            <w:pPr>
              <w:spacing w:line="280" w:lineRule="exact"/>
              <w:jc w:val="center"/>
              <w:rPr>
                <w:rFonts w:hAnsi="標楷體"/>
                <w:b/>
                <w:spacing w:val="-20"/>
                <w:sz w:val="22"/>
                <w:szCs w:val="22"/>
              </w:rPr>
            </w:pPr>
            <w:r w:rsidRPr="00793822">
              <w:rPr>
                <w:rFonts w:hAnsi="標楷體" w:hint="eastAsia"/>
                <w:b/>
                <w:spacing w:val="-20"/>
                <w:sz w:val="22"/>
                <w:szCs w:val="22"/>
              </w:rPr>
              <w:t>編號</w:t>
            </w:r>
          </w:p>
        </w:tc>
        <w:tc>
          <w:tcPr>
            <w:tcW w:w="1074" w:type="dxa"/>
            <w:shd w:val="clear" w:color="auto" w:fill="FDE9D9" w:themeFill="accent6" w:themeFillTint="33"/>
            <w:vAlign w:val="center"/>
          </w:tcPr>
          <w:p w14:paraId="64450F7E" w14:textId="77777777" w:rsidR="00BD5935" w:rsidRPr="00793822" w:rsidRDefault="00BD5935" w:rsidP="00915672">
            <w:pPr>
              <w:spacing w:line="280" w:lineRule="exact"/>
              <w:jc w:val="center"/>
              <w:rPr>
                <w:rFonts w:hAnsi="標楷體"/>
                <w:b/>
                <w:spacing w:val="-20"/>
                <w:sz w:val="22"/>
                <w:szCs w:val="22"/>
              </w:rPr>
            </w:pPr>
            <w:r w:rsidRPr="00793822">
              <w:rPr>
                <w:rFonts w:hAnsi="標楷體" w:hint="eastAsia"/>
                <w:b/>
                <w:spacing w:val="-20"/>
                <w:sz w:val="22"/>
                <w:szCs w:val="22"/>
              </w:rPr>
              <w:t>地檢署案號</w:t>
            </w:r>
          </w:p>
        </w:tc>
        <w:tc>
          <w:tcPr>
            <w:tcW w:w="903" w:type="dxa"/>
            <w:shd w:val="clear" w:color="auto" w:fill="FDE9D9" w:themeFill="accent6" w:themeFillTint="33"/>
            <w:vAlign w:val="center"/>
          </w:tcPr>
          <w:p w14:paraId="48704CBC" w14:textId="77777777" w:rsidR="00BD5935" w:rsidRPr="00793822" w:rsidRDefault="00BD5935" w:rsidP="00915672">
            <w:pPr>
              <w:spacing w:line="280" w:lineRule="exact"/>
              <w:jc w:val="center"/>
              <w:rPr>
                <w:rFonts w:hAnsi="標楷體"/>
                <w:b/>
                <w:spacing w:val="-20"/>
                <w:sz w:val="22"/>
                <w:szCs w:val="22"/>
              </w:rPr>
            </w:pPr>
            <w:r w:rsidRPr="00793822">
              <w:rPr>
                <w:rFonts w:hAnsi="標楷體" w:hint="eastAsia"/>
                <w:b/>
                <w:spacing w:val="-20"/>
                <w:sz w:val="22"/>
                <w:szCs w:val="22"/>
              </w:rPr>
              <w:t>案由</w:t>
            </w:r>
          </w:p>
        </w:tc>
        <w:tc>
          <w:tcPr>
            <w:tcW w:w="510" w:type="dxa"/>
            <w:shd w:val="clear" w:color="auto" w:fill="FDE9D9" w:themeFill="accent6" w:themeFillTint="33"/>
            <w:vAlign w:val="center"/>
          </w:tcPr>
          <w:p w14:paraId="173C9AB9" w14:textId="3991B9E6" w:rsidR="00BD5935" w:rsidRPr="00793822" w:rsidRDefault="00BD5935" w:rsidP="00915672">
            <w:pPr>
              <w:spacing w:line="280" w:lineRule="exact"/>
              <w:jc w:val="center"/>
              <w:rPr>
                <w:rFonts w:hAnsi="標楷體"/>
                <w:b/>
                <w:spacing w:val="-20"/>
                <w:sz w:val="22"/>
                <w:szCs w:val="22"/>
              </w:rPr>
            </w:pPr>
            <w:r w:rsidRPr="00793822">
              <w:rPr>
                <w:rFonts w:hAnsi="標楷體" w:hint="eastAsia"/>
                <w:b/>
                <w:spacing w:val="-20"/>
                <w:sz w:val="22"/>
                <w:szCs w:val="22"/>
              </w:rPr>
              <w:t>起訴</w:t>
            </w:r>
            <w:r w:rsidRPr="00793822">
              <w:rPr>
                <w:rFonts w:hAnsi="標楷體"/>
                <w:b/>
                <w:spacing w:val="-20"/>
                <w:sz w:val="22"/>
                <w:szCs w:val="22"/>
              </w:rPr>
              <w:br/>
            </w:r>
            <w:r w:rsidRPr="00793822">
              <w:rPr>
                <w:rFonts w:hAnsi="標楷體" w:hint="eastAsia"/>
                <w:b/>
                <w:spacing w:val="-20"/>
                <w:sz w:val="22"/>
                <w:szCs w:val="22"/>
              </w:rPr>
              <w:t>人數</w:t>
            </w:r>
          </w:p>
        </w:tc>
        <w:tc>
          <w:tcPr>
            <w:tcW w:w="1871" w:type="dxa"/>
            <w:shd w:val="clear" w:color="auto" w:fill="FDE9D9" w:themeFill="accent6" w:themeFillTint="33"/>
            <w:vAlign w:val="center"/>
          </w:tcPr>
          <w:p w14:paraId="0B085732" w14:textId="77777777" w:rsidR="00BD5935" w:rsidRPr="00793822" w:rsidRDefault="00BD5935" w:rsidP="00915672">
            <w:pPr>
              <w:spacing w:line="280" w:lineRule="exact"/>
              <w:jc w:val="center"/>
              <w:rPr>
                <w:rFonts w:hAnsi="標楷體"/>
                <w:b/>
                <w:spacing w:val="-20"/>
                <w:sz w:val="22"/>
                <w:szCs w:val="22"/>
              </w:rPr>
            </w:pPr>
            <w:r w:rsidRPr="00793822">
              <w:rPr>
                <w:rFonts w:hAnsi="標楷體" w:hint="eastAsia"/>
                <w:b/>
                <w:spacing w:val="-20"/>
                <w:sz w:val="22"/>
                <w:szCs w:val="22"/>
              </w:rPr>
              <w:t>被告身分</w:t>
            </w:r>
          </w:p>
        </w:tc>
        <w:tc>
          <w:tcPr>
            <w:tcW w:w="2154" w:type="dxa"/>
            <w:shd w:val="clear" w:color="auto" w:fill="FDE9D9" w:themeFill="accent6" w:themeFillTint="33"/>
            <w:vAlign w:val="center"/>
          </w:tcPr>
          <w:p w14:paraId="5A05BE2D" w14:textId="77777777" w:rsidR="00BD5935" w:rsidRPr="00793822" w:rsidRDefault="00BD5935" w:rsidP="00915672">
            <w:pPr>
              <w:spacing w:line="280" w:lineRule="exact"/>
              <w:jc w:val="center"/>
              <w:rPr>
                <w:rFonts w:hAnsi="標楷體"/>
                <w:b/>
                <w:spacing w:val="-20"/>
                <w:sz w:val="22"/>
                <w:szCs w:val="22"/>
              </w:rPr>
            </w:pPr>
            <w:r w:rsidRPr="00793822">
              <w:rPr>
                <w:rFonts w:hAnsi="標楷體" w:hint="eastAsia"/>
                <w:b/>
                <w:spacing w:val="-20"/>
                <w:sz w:val="22"/>
                <w:szCs w:val="22"/>
              </w:rPr>
              <w:t>犯罪類型</w:t>
            </w:r>
          </w:p>
        </w:tc>
        <w:tc>
          <w:tcPr>
            <w:tcW w:w="680" w:type="dxa"/>
            <w:shd w:val="clear" w:color="auto" w:fill="FDE9D9" w:themeFill="accent6" w:themeFillTint="33"/>
            <w:vAlign w:val="center"/>
          </w:tcPr>
          <w:p w14:paraId="295DBA36" w14:textId="0EA0600E" w:rsidR="00BD5935" w:rsidRPr="00793822" w:rsidRDefault="00BD5935" w:rsidP="00915672">
            <w:pPr>
              <w:spacing w:line="280" w:lineRule="exact"/>
              <w:jc w:val="center"/>
              <w:rPr>
                <w:rFonts w:hAnsi="標楷體"/>
                <w:b/>
                <w:spacing w:val="-20"/>
                <w:sz w:val="22"/>
                <w:szCs w:val="22"/>
              </w:rPr>
            </w:pPr>
            <w:r w:rsidRPr="00793822">
              <w:rPr>
                <w:rFonts w:hAnsi="標楷體" w:hint="eastAsia"/>
                <w:b/>
                <w:spacing w:val="-20"/>
                <w:sz w:val="22"/>
                <w:szCs w:val="22"/>
              </w:rPr>
              <w:t>案場</w:t>
            </w:r>
            <w:r w:rsidRPr="00793822">
              <w:rPr>
                <w:rFonts w:hAnsi="標楷體"/>
                <w:b/>
                <w:spacing w:val="-20"/>
                <w:sz w:val="22"/>
                <w:szCs w:val="22"/>
              </w:rPr>
              <w:br/>
            </w:r>
            <w:r w:rsidRPr="00793822">
              <w:rPr>
                <w:rFonts w:hAnsi="標楷體" w:hint="eastAsia"/>
                <w:b/>
                <w:spacing w:val="-20"/>
                <w:sz w:val="22"/>
                <w:szCs w:val="22"/>
              </w:rPr>
              <w:t>地點</w:t>
            </w:r>
          </w:p>
        </w:tc>
        <w:tc>
          <w:tcPr>
            <w:tcW w:w="1757" w:type="dxa"/>
            <w:shd w:val="clear" w:color="auto" w:fill="FDE9D9" w:themeFill="accent6" w:themeFillTint="33"/>
            <w:vAlign w:val="center"/>
          </w:tcPr>
          <w:p w14:paraId="0BBD78BF" w14:textId="77777777" w:rsidR="00BD5935" w:rsidRPr="00793822" w:rsidRDefault="00BD5935" w:rsidP="00915672">
            <w:pPr>
              <w:spacing w:line="280" w:lineRule="exact"/>
              <w:jc w:val="center"/>
              <w:rPr>
                <w:rFonts w:hAnsi="標楷體"/>
                <w:b/>
                <w:spacing w:val="-20"/>
                <w:sz w:val="22"/>
                <w:szCs w:val="22"/>
              </w:rPr>
            </w:pPr>
            <w:r w:rsidRPr="00793822">
              <w:rPr>
                <w:rFonts w:hAnsi="標楷體" w:hint="eastAsia"/>
                <w:b/>
                <w:spacing w:val="-20"/>
                <w:sz w:val="22"/>
                <w:szCs w:val="22"/>
              </w:rPr>
              <w:t>法院判決</w:t>
            </w:r>
          </w:p>
        </w:tc>
      </w:tr>
      <w:tr w:rsidR="006E3196" w:rsidRPr="00793822" w14:paraId="5D215A62" w14:textId="77777777" w:rsidTr="00915672">
        <w:tc>
          <w:tcPr>
            <w:tcW w:w="258" w:type="dxa"/>
            <w:vAlign w:val="center"/>
          </w:tcPr>
          <w:p w14:paraId="3BA3FE5F" w14:textId="77777777" w:rsidR="00BD5935" w:rsidRPr="00793822" w:rsidRDefault="00BD5935" w:rsidP="00915672">
            <w:pPr>
              <w:spacing w:line="280" w:lineRule="exact"/>
              <w:jc w:val="center"/>
              <w:rPr>
                <w:rFonts w:hAnsi="標楷體"/>
                <w:spacing w:val="-20"/>
                <w:sz w:val="22"/>
                <w:szCs w:val="22"/>
              </w:rPr>
            </w:pPr>
            <w:r w:rsidRPr="00793822">
              <w:rPr>
                <w:rFonts w:hAnsi="標楷體" w:hint="eastAsia"/>
                <w:spacing w:val="-20"/>
                <w:sz w:val="22"/>
                <w:szCs w:val="22"/>
              </w:rPr>
              <w:t>1</w:t>
            </w:r>
          </w:p>
        </w:tc>
        <w:tc>
          <w:tcPr>
            <w:tcW w:w="1074" w:type="dxa"/>
            <w:vAlign w:val="center"/>
          </w:tcPr>
          <w:p w14:paraId="1D62680B" w14:textId="77777777"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彰化地檢署</w:t>
            </w:r>
          </w:p>
          <w:p w14:paraId="633E2631" w14:textId="77777777" w:rsidR="00BD5935" w:rsidRPr="00793822" w:rsidRDefault="00BD5935" w:rsidP="00915672">
            <w:pPr>
              <w:spacing w:line="280" w:lineRule="exact"/>
              <w:rPr>
                <w:rFonts w:hAnsi="標楷體"/>
                <w:spacing w:val="-20"/>
                <w:sz w:val="22"/>
                <w:szCs w:val="22"/>
              </w:rPr>
            </w:pPr>
            <w:r w:rsidRPr="00793822">
              <w:rPr>
                <w:rFonts w:hAnsi="標楷體"/>
                <w:spacing w:val="-20"/>
                <w:sz w:val="22"/>
                <w:szCs w:val="22"/>
              </w:rPr>
              <w:t>109年</w:t>
            </w:r>
            <w:proofErr w:type="gramStart"/>
            <w:r w:rsidRPr="00793822">
              <w:rPr>
                <w:rFonts w:hAnsi="標楷體"/>
                <w:spacing w:val="-20"/>
                <w:sz w:val="22"/>
                <w:szCs w:val="22"/>
              </w:rPr>
              <w:t>偵</w:t>
            </w:r>
            <w:proofErr w:type="gramEnd"/>
            <w:r w:rsidRPr="00793822">
              <w:rPr>
                <w:rFonts w:hAnsi="標楷體"/>
                <w:spacing w:val="-20"/>
                <w:sz w:val="22"/>
                <w:szCs w:val="22"/>
              </w:rPr>
              <w:t>字第8219</w:t>
            </w:r>
            <w:r w:rsidRPr="00793822">
              <w:rPr>
                <w:rFonts w:hAnsi="標楷體" w:hint="eastAsia"/>
                <w:spacing w:val="-20"/>
                <w:sz w:val="22"/>
                <w:szCs w:val="22"/>
              </w:rPr>
              <w:t>號等10案</w:t>
            </w:r>
          </w:p>
        </w:tc>
        <w:tc>
          <w:tcPr>
            <w:tcW w:w="903" w:type="dxa"/>
            <w:vAlign w:val="center"/>
          </w:tcPr>
          <w:p w14:paraId="624C087B" w14:textId="77777777"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違反貪污治罪條例、恐嚇取財等</w:t>
            </w:r>
          </w:p>
        </w:tc>
        <w:tc>
          <w:tcPr>
            <w:tcW w:w="510" w:type="dxa"/>
            <w:vAlign w:val="center"/>
          </w:tcPr>
          <w:p w14:paraId="19EE38FE" w14:textId="77777777" w:rsidR="00BD5935" w:rsidRPr="00793822" w:rsidRDefault="00BD5935" w:rsidP="00915672">
            <w:pPr>
              <w:spacing w:line="280" w:lineRule="exact"/>
              <w:jc w:val="center"/>
              <w:rPr>
                <w:rFonts w:hAnsi="標楷體"/>
                <w:spacing w:val="-20"/>
                <w:sz w:val="22"/>
                <w:szCs w:val="22"/>
              </w:rPr>
            </w:pPr>
            <w:r w:rsidRPr="00793822">
              <w:rPr>
                <w:rFonts w:hAnsi="標楷體" w:hint="eastAsia"/>
                <w:spacing w:val="-20"/>
                <w:sz w:val="22"/>
                <w:szCs w:val="22"/>
              </w:rPr>
              <w:t>7人</w:t>
            </w:r>
          </w:p>
        </w:tc>
        <w:tc>
          <w:tcPr>
            <w:tcW w:w="1871" w:type="dxa"/>
            <w:vAlign w:val="center"/>
          </w:tcPr>
          <w:p w14:paraId="630D27BC" w14:textId="77777777"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公務員：1人</w:t>
            </w:r>
          </w:p>
          <w:p w14:paraId="0ABA51BC" w14:textId="77777777"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民意代表：1人</w:t>
            </w:r>
          </w:p>
          <w:p w14:paraId="28DE4522" w14:textId="77777777"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黑道份子：1人</w:t>
            </w:r>
          </w:p>
          <w:p w14:paraId="720EE6CA" w14:textId="77777777"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不具公務員身分：4人</w:t>
            </w:r>
          </w:p>
        </w:tc>
        <w:tc>
          <w:tcPr>
            <w:tcW w:w="2154" w:type="dxa"/>
            <w:vAlign w:val="center"/>
          </w:tcPr>
          <w:p w14:paraId="40B8D17D" w14:textId="77777777" w:rsidR="00BD5935" w:rsidRPr="00793822" w:rsidRDefault="00BD5935" w:rsidP="00915672">
            <w:pPr>
              <w:spacing w:line="280" w:lineRule="exact"/>
              <w:rPr>
                <w:rFonts w:hAnsi="標楷體"/>
                <w:spacing w:val="-20"/>
                <w:sz w:val="22"/>
                <w:szCs w:val="22"/>
              </w:rPr>
            </w:pPr>
            <w:r w:rsidRPr="00793822">
              <w:rPr>
                <w:rFonts w:hAnsi="標楷體"/>
                <w:spacing w:val="-20"/>
                <w:sz w:val="22"/>
                <w:szCs w:val="22"/>
              </w:rPr>
              <w:t>廠商</w:t>
            </w:r>
            <w:r w:rsidRPr="00793822">
              <w:rPr>
                <w:rFonts w:hAnsi="標楷體" w:hint="eastAsia"/>
                <w:spacing w:val="-20"/>
                <w:sz w:val="22"/>
                <w:szCs w:val="22"/>
              </w:rPr>
              <w:t>計畫於下陷農地種電建置地面型太陽能板後，在彰化縣大城鄉魚寮溪北邊建置升壓站，再透過自備電源線路輸電系統，將電力送回大城變電所，藉此完成</w:t>
            </w:r>
            <w:proofErr w:type="gramStart"/>
            <w:r w:rsidRPr="00793822">
              <w:rPr>
                <w:rFonts w:hAnsi="標楷體" w:hint="eastAsia"/>
                <w:spacing w:val="-20"/>
                <w:sz w:val="22"/>
                <w:szCs w:val="22"/>
              </w:rPr>
              <w:t>併</w:t>
            </w:r>
            <w:proofErr w:type="gramEnd"/>
            <w:r w:rsidRPr="00793822">
              <w:rPr>
                <w:rFonts w:hAnsi="標楷體" w:hint="eastAsia"/>
                <w:spacing w:val="-20"/>
                <w:sz w:val="22"/>
                <w:szCs w:val="22"/>
              </w:rPr>
              <w:t>聯商轉。公所鄉長及秘書指揮監督公所職員，</w:t>
            </w:r>
            <w:proofErr w:type="gramStart"/>
            <w:r w:rsidRPr="00793822">
              <w:rPr>
                <w:rFonts w:hAnsi="標楷體" w:hint="eastAsia"/>
                <w:spacing w:val="-20"/>
                <w:sz w:val="22"/>
                <w:szCs w:val="22"/>
              </w:rPr>
              <w:t>並具決行</w:t>
            </w:r>
            <w:proofErr w:type="gramEnd"/>
            <w:r w:rsidRPr="00793822">
              <w:rPr>
                <w:rFonts w:hAnsi="標楷體" w:hint="eastAsia"/>
                <w:spacing w:val="-20"/>
                <w:sz w:val="22"/>
                <w:szCs w:val="22"/>
              </w:rPr>
              <w:t>管路工程路證核准與否及對交通維持計畫提出建議之權限，向廠商索賄。</w:t>
            </w:r>
          </w:p>
        </w:tc>
        <w:tc>
          <w:tcPr>
            <w:tcW w:w="680" w:type="dxa"/>
            <w:vAlign w:val="center"/>
          </w:tcPr>
          <w:p w14:paraId="0D4976DD" w14:textId="77777777" w:rsidR="00BD5935" w:rsidRPr="00793822" w:rsidRDefault="00BD5935" w:rsidP="00915672">
            <w:pPr>
              <w:spacing w:line="280" w:lineRule="exact"/>
              <w:jc w:val="center"/>
              <w:rPr>
                <w:rFonts w:hAnsi="標楷體"/>
                <w:spacing w:val="-20"/>
                <w:sz w:val="22"/>
                <w:szCs w:val="22"/>
              </w:rPr>
            </w:pPr>
            <w:r w:rsidRPr="00793822">
              <w:rPr>
                <w:rFonts w:hAnsi="標楷體" w:hint="eastAsia"/>
                <w:spacing w:val="-20"/>
                <w:sz w:val="22"/>
                <w:szCs w:val="22"/>
              </w:rPr>
              <w:t>彰化縣</w:t>
            </w:r>
          </w:p>
        </w:tc>
        <w:tc>
          <w:tcPr>
            <w:tcW w:w="1757" w:type="dxa"/>
            <w:vAlign w:val="center"/>
          </w:tcPr>
          <w:p w14:paraId="5661B694" w14:textId="28147CCE" w:rsidR="00BD5935" w:rsidRPr="00793822" w:rsidRDefault="0064630A" w:rsidP="00915672">
            <w:pPr>
              <w:spacing w:line="280" w:lineRule="exact"/>
              <w:rPr>
                <w:rFonts w:hAnsi="標楷體"/>
                <w:spacing w:val="-20"/>
                <w:sz w:val="22"/>
                <w:szCs w:val="22"/>
              </w:rPr>
            </w:pPr>
            <w:r w:rsidRPr="00793822">
              <w:rPr>
                <w:rFonts w:hAnsi="標楷體" w:hint="eastAsia"/>
                <w:spacing w:val="-20"/>
                <w:sz w:val="22"/>
                <w:szCs w:val="22"/>
              </w:rPr>
              <w:t>(</w:t>
            </w:r>
            <w:r w:rsidR="00BD5935" w:rsidRPr="00793822">
              <w:rPr>
                <w:rFonts w:hAnsi="標楷體" w:hint="eastAsia"/>
                <w:spacing w:val="-20"/>
                <w:sz w:val="22"/>
                <w:szCs w:val="22"/>
              </w:rPr>
              <w:t>已判決確定</w:t>
            </w:r>
            <w:r w:rsidRPr="00793822">
              <w:rPr>
                <w:rFonts w:hAnsi="標楷體" w:hint="eastAsia"/>
                <w:spacing w:val="-20"/>
                <w:sz w:val="22"/>
                <w:szCs w:val="22"/>
              </w:rPr>
              <w:t>)</w:t>
            </w:r>
          </w:p>
          <w:p w14:paraId="7DA631BD" w14:textId="77777777"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彰化地院</w:t>
            </w:r>
            <w:proofErr w:type="gramStart"/>
            <w:r w:rsidRPr="00793822">
              <w:rPr>
                <w:rFonts w:hAnsi="標楷體" w:hint="eastAsia"/>
                <w:spacing w:val="-20"/>
                <w:sz w:val="22"/>
                <w:szCs w:val="22"/>
              </w:rPr>
              <w:t>109</w:t>
            </w:r>
            <w:proofErr w:type="gramEnd"/>
            <w:r w:rsidRPr="00793822">
              <w:rPr>
                <w:rFonts w:hAnsi="標楷體" w:hint="eastAsia"/>
                <w:spacing w:val="-20"/>
                <w:sz w:val="22"/>
                <w:szCs w:val="22"/>
              </w:rPr>
              <w:t>年度</w:t>
            </w:r>
            <w:proofErr w:type="gramStart"/>
            <w:r w:rsidRPr="00793822">
              <w:rPr>
                <w:rFonts w:hAnsi="標楷體" w:hint="eastAsia"/>
                <w:spacing w:val="-20"/>
                <w:sz w:val="22"/>
                <w:szCs w:val="22"/>
              </w:rPr>
              <w:t>字訴字</w:t>
            </w:r>
            <w:proofErr w:type="gramEnd"/>
            <w:r w:rsidRPr="00793822">
              <w:rPr>
                <w:rFonts w:hAnsi="標楷體" w:hint="eastAsia"/>
                <w:spacing w:val="-20"/>
                <w:sz w:val="22"/>
                <w:szCs w:val="22"/>
              </w:rPr>
              <w:t>第1</w:t>
            </w:r>
            <w:r w:rsidRPr="00793822">
              <w:rPr>
                <w:rFonts w:hAnsi="標楷體"/>
                <w:spacing w:val="-20"/>
                <w:sz w:val="22"/>
                <w:szCs w:val="22"/>
              </w:rPr>
              <w:t>034</w:t>
            </w:r>
            <w:r w:rsidRPr="00793822">
              <w:rPr>
                <w:rFonts w:hAnsi="標楷體" w:hint="eastAsia"/>
                <w:spacing w:val="-20"/>
                <w:sz w:val="22"/>
                <w:szCs w:val="22"/>
              </w:rPr>
              <w:t>號</w:t>
            </w:r>
          </w:p>
          <w:p w14:paraId="6BCF2807" w14:textId="77777777" w:rsidR="00BD5935" w:rsidRPr="00793822" w:rsidRDefault="00BD5935" w:rsidP="00915672">
            <w:pPr>
              <w:spacing w:line="280" w:lineRule="exact"/>
              <w:rPr>
                <w:rFonts w:hAnsi="標楷體"/>
                <w:spacing w:val="-20"/>
                <w:sz w:val="22"/>
                <w:szCs w:val="22"/>
              </w:rPr>
            </w:pPr>
            <w:proofErr w:type="gramStart"/>
            <w:r w:rsidRPr="00793822">
              <w:rPr>
                <w:rFonts w:hAnsi="標楷體" w:hint="eastAsia"/>
                <w:spacing w:val="-20"/>
                <w:sz w:val="22"/>
                <w:szCs w:val="22"/>
              </w:rPr>
              <w:t>臺</w:t>
            </w:r>
            <w:proofErr w:type="gramEnd"/>
            <w:r w:rsidRPr="00793822">
              <w:rPr>
                <w:rFonts w:hAnsi="標楷體" w:hint="eastAsia"/>
                <w:spacing w:val="-20"/>
                <w:sz w:val="22"/>
                <w:szCs w:val="22"/>
              </w:rPr>
              <w:t>中高分院</w:t>
            </w:r>
            <w:proofErr w:type="gramStart"/>
            <w:r w:rsidRPr="00793822">
              <w:rPr>
                <w:rFonts w:hAnsi="標楷體" w:hint="eastAsia"/>
                <w:spacing w:val="-20"/>
                <w:sz w:val="22"/>
                <w:szCs w:val="22"/>
              </w:rPr>
              <w:t>111</w:t>
            </w:r>
            <w:proofErr w:type="gramEnd"/>
            <w:r w:rsidRPr="00793822">
              <w:rPr>
                <w:rFonts w:hAnsi="標楷體" w:hint="eastAsia"/>
                <w:spacing w:val="-20"/>
                <w:sz w:val="22"/>
                <w:szCs w:val="22"/>
              </w:rPr>
              <w:t>年度上訴字第162號</w:t>
            </w:r>
          </w:p>
          <w:p w14:paraId="053F84DD" w14:textId="77777777"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最高法院</w:t>
            </w:r>
            <w:proofErr w:type="gramStart"/>
            <w:r w:rsidRPr="00793822">
              <w:rPr>
                <w:rFonts w:hAnsi="標楷體" w:hint="eastAsia"/>
                <w:spacing w:val="-20"/>
                <w:sz w:val="22"/>
                <w:szCs w:val="22"/>
              </w:rPr>
              <w:t>111</w:t>
            </w:r>
            <w:proofErr w:type="gramEnd"/>
            <w:r w:rsidRPr="00793822">
              <w:rPr>
                <w:rFonts w:hAnsi="標楷體" w:hint="eastAsia"/>
                <w:spacing w:val="-20"/>
                <w:sz w:val="22"/>
                <w:szCs w:val="22"/>
              </w:rPr>
              <w:t>年度台上字第4262號</w:t>
            </w:r>
          </w:p>
          <w:p w14:paraId="70D8D08C" w14:textId="77777777" w:rsidR="00BD5935" w:rsidRPr="00793822" w:rsidRDefault="00BD5935" w:rsidP="00915672">
            <w:pPr>
              <w:spacing w:line="280" w:lineRule="exact"/>
              <w:rPr>
                <w:rFonts w:hAnsi="標楷體"/>
                <w:spacing w:val="-20"/>
                <w:sz w:val="22"/>
                <w:szCs w:val="22"/>
              </w:rPr>
            </w:pPr>
            <w:proofErr w:type="gramStart"/>
            <w:r w:rsidRPr="00793822">
              <w:rPr>
                <w:rFonts w:hAnsi="標楷體" w:hint="eastAsia"/>
                <w:spacing w:val="-20"/>
                <w:sz w:val="22"/>
                <w:szCs w:val="22"/>
              </w:rPr>
              <w:t>臺</w:t>
            </w:r>
            <w:proofErr w:type="gramEnd"/>
            <w:r w:rsidRPr="00793822">
              <w:rPr>
                <w:rFonts w:hAnsi="標楷體" w:hint="eastAsia"/>
                <w:spacing w:val="-20"/>
                <w:sz w:val="22"/>
                <w:szCs w:val="22"/>
              </w:rPr>
              <w:t>中高分院</w:t>
            </w:r>
            <w:proofErr w:type="gramStart"/>
            <w:r w:rsidRPr="00793822">
              <w:rPr>
                <w:rFonts w:hAnsi="標楷體" w:hint="eastAsia"/>
                <w:spacing w:val="-20"/>
                <w:sz w:val="22"/>
                <w:szCs w:val="22"/>
              </w:rPr>
              <w:t>112</w:t>
            </w:r>
            <w:proofErr w:type="gramEnd"/>
            <w:r w:rsidRPr="00793822">
              <w:rPr>
                <w:rFonts w:hAnsi="標楷體" w:hint="eastAsia"/>
                <w:spacing w:val="-20"/>
                <w:sz w:val="22"/>
                <w:szCs w:val="22"/>
              </w:rPr>
              <w:t>年度上更一字第7號</w:t>
            </w:r>
          </w:p>
          <w:p w14:paraId="48C588E3" w14:textId="77777777"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最高法院</w:t>
            </w:r>
            <w:proofErr w:type="gramStart"/>
            <w:r w:rsidRPr="00793822">
              <w:rPr>
                <w:rFonts w:hAnsi="標楷體" w:hint="eastAsia"/>
                <w:spacing w:val="-20"/>
                <w:sz w:val="22"/>
                <w:szCs w:val="22"/>
              </w:rPr>
              <w:t>112</w:t>
            </w:r>
            <w:proofErr w:type="gramEnd"/>
            <w:r w:rsidRPr="00793822">
              <w:rPr>
                <w:rFonts w:hAnsi="標楷體" w:hint="eastAsia"/>
                <w:spacing w:val="-20"/>
                <w:sz w:val="22"/>
                <w:szCs w:val="22"/>
              </w:rPr>
              <w:t>年度台上字第3847號</w:t>
            </w:r>
          </w:p>
        </w:tc>
      </w:tr>
      <w:tr w:rsidR="006E3196" w:rsidRPr="00793822" w14:paraId="53525E76" w14:textId="77777777" w:rsidTr="00915672">
        <w:tc>
          <w:tcPr>
            <w:tcW w:w="258" w:type="dxa"/>
            <w:vAlign w:val="center"/>
          </w:tcPr>
          <w:p w14:paraId="63954D59" w14:textId="77777777" w:rsidR="00BD5935" w:rsidRPr="00793822" w:rsidRDefault="00BD5935" w:rsidP="00915672">
            <w:pPr>
              <w:spacing w:line="280" w:lineRule="exact"/>
              <w:jc w:val="center"/>
              <w:rPr>
                <w:rFonts w:hAnsi="標楷體"/>
                <w:spacing w:val="-20"/>
                <w:sz w:val="22"/>
                <w:szCs w:val="22"/>
              </w:rPr>
            </w:pPr>
            <w:r w:rsidRPr="00793822">
              <w:rPr>
                <w:rFonts w:hAnsi="標楷體" w:hint="eastAsia"/>
                <w:spacing w:val="-20"/>
                <w:sz w:val="22"/>
                <w:szCs w:val="22"/>
              </w:rPr>
              <w:t>2</w:t>
            </w:r>
          </w:p>
        </w:tc>
        <w:tc>
          <w:tcPr>
            <w:tcW w:w="1074" w:type="dxa"/>
            <w:vAlign w:val="center"/>
          </w:tcPr>
          <w:p w14:paraId="71C530D0" w14:textId="77777777"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彰化地檢署</w:t>
            </w:r>
          </w:p>
          <w:p w14:paraId="34EE8177" w14:textId="77777777" w:rsidR="00BD5935" w:rsidRPr="00793822" w:rsidRDefault="00BD5935" w:rsidP="00915672">
            <w:pPr>
              <w:spacing w:line="280" w:lineRule="exact"/>
              <w:rPr>
                <w:rFonts w:hAnsi="標楷體"/>
                <w:spacing w:val="-20"/>
                <w:sz w:val="22"/>
                <w:szCs w:val="22"/>
              </w:rPr>
            </w:pPr>
            <w:r w:rsidRPr="00793822">
              <w:rPr>
                <w:rFonts w:hAnsi="標楷體"/>
                <w:spacing w:val="-20"/>
                <w:sz w:val="22"/>
                <w:szCs w:val="22"/>
              </w:rPr>
              <w:t>110年</w:t>
            </w:r>
            <w:proofErr w:type="gramStart"/>
            <w:r w:rsidRPr="00793822">
              <w:rPr>
                <w:rFonts w:hAnsi="標楷體"/>
                <w:spacing w:val="-20"/>
                <w:sz w:val="22"/>
                <w:szCs w:val="22"/>
              </w:rPr>
              <w:t>偵</w:t>
            </w:r>
            <w:proofErr w:type="gramEnd"/>
            <w:r w:rsidRPr="00793822">
              <w:rPr>
                <w:rFonts w:hAnsi="標楷體"/>
                <w:spacing w:val="-20"/>
                <w:sz w:val="22"/>
                <w:szCs w:val="22"/>
              </w:rPr>
              <w:t>字第3435號等</w:t>
            </w:r>
            <w:r w:rsidRPr="00793822">
              <w:rPr>
                <w:rFonts w:hAnsi="標楷體" w:hint="eastAsia"/>
                <w:spacing w:val="-20"/>
                <w:sz w:val="22"/>
                <w:szCs w:val="22"/>
              </w:rPr>
              <w:t>6</w:t>
            </w:r>
            <w:r w:rsidRPr="00793822">
              <w:rPr>
                <w:rFonts w:hAnsi="標楷體"/>
                <w:spacing w:val="-20"/>
                <w:sz w:val="22"/>
                <w:szCs w:val="22"/>
              </w:rPr>
              <w:t>案</w:t>
            </w:r>
          </w:p>
        </w:tc>
        <w:tc>
          <w:tcPr>
            <w:tcW w:w="903" w:type="dxa"/>
            <w:vAlign w:val="center"/>
          </w:tcPr>
          <w:p w14:paraId="3CE98D45" w14:textId="77777777"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違反貪污治罪條例等</w:t>
            </w:r>
          </w:p>
        </w:tc>
        <w:tc>
          <w:tcPr>
            <w:tcW w:w="510" w:type="dxa"/>
            <w:vAlign w:val="center"/>
          </w:tcPr>
          <w:p w14:paraId="66DD5E24" w14:textId="77777777" w:rsidR="00BD5935" w:rsidRPr="00793822" w:rsidRDefault="00BD5935" w:rsidP="00915672">
            <w:pPr>
              <w:spacing w:line="280" w:lineRule="exact"/>
              <w:jc w:val="center"/>
              <w:rPr>
                <w:rFonts w:hAnsi="標楷體"/>
                <w:spacing w:val="-20"/>
                <w:sz w:val="22"/>
                <w:szCs w:val="22"/>
              </w:rPr>
            </w:pPr>
            <w:r w:rsidRPr="00793822">
              <w:rPr>
                <w:rFonts w:hAnsi="標楷體" w:hint="eastAsia"/>
                <w:spacing w:val="-20"/>
                <w:sz w:val="22"/>
                <w:szCs w:val="22"/>
              </w:rPr>
              <w:t>6人</w:t>
            </w:r>
          </w:p>
        </w:tc>
        <w:tc>
          <w:tcPr>
            <w:tcW w:w="1871" w:type="dxa"/>
            <w:vAlign w:val="center"/>
          </w:tcPr>
          <w:p w14:paraId="55716F42" w14:textId="77777777"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公務員：1人</w:t>
            </w:r>
          </w:p>
          <w:p w14:paraId="7BC60B31" w14:textId="77777777"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不具公務員身分：5人</w:t>
            </w:r>
          </w:p>
        </w:tc>
        <w:tc>
          <w:tcPr>
            <w:tcW w:w="2154" w:type="dxa"/>
            <w:vAlign w:val="center"/>
          </w:tcPr>
          <w:p w14:paraId="77A85D4B" w14:textId="77777777"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文化部文化資產局水下文化資產科科長藉影響審查時程及通過審查與否之實質影響力索賄，</w:t>
            </w:r>
            <w:proofErr w:type="gramStart"/>
            <w:r w:rsidRPr="00793822">
              <w:rPr>
                <w:rFonts w:hAnsi="標楷體" w:hint="eastAsia"/>
                <w:spacing w:val="-20"/>
                <w:sz w:val="22"/>
                <w:szCs w:val="22"/>
              </w:rPr>
              <w:t>向欲申請</w:t>
            </w:r>
            <w:proofErr w:type="gramEnd"/>
            <w:r w:rsidRPr="00793822">
              <w:rPr>
                <w:rFonts w:hAnsi="標楷體" w:hint="eastAsia"/>
                <w:spacing w:val="-20"/>
                <w:sz w:val="22"/>
                <w:szCs w:val="22"/>
              </w:rPr>
              <w:t>離</w:t>
            </w:r>
            <w:proofErr w:type="gramStart"/>
            <w:r w:rsidRPr="00793822">
              <w:rPr>
                <w:rFonts w:hAnsi="標楷體" w:hint="eastAsia"/>
                <w:spacing w:val="-20"/>
                <w:sz w:val="22"/>
                <w:szCs w:val="22"/>
              </w:rPr>
              <w:t>岸風電之</w:t>
            </w:r>
            <w:proofErr w:type="gramEnd"/>
            <w:r w:rsidRPr="00793822">
              <w:rPr>
                <w:rFonts w:hAnsi="標楷體" w:hint="eastAsia"/>
                <w:spacing w:val="-20"/>
                <w:sz w:val="22"/>
                <w:szCs w:val="22"/>
              </w:rPr>
              <w:t>各開發商施壓或推薦特定廠商，暗示需將調查報告委由特定廠商撰擬，才能通過審查。</w:t>
            </w:r>
          </w:p>
        </w:tc>
        <w:tc>
          <w:tcPr>
            <w:tcW w:w="680" w:type="dxa"/>
            <w:vAlign w:val="center"/>
          </w:tcPr>
          <w:p w14:paraId="11100840" w14:textId="77777777" w:rsidR="00BD5935" w:rsidRPr="00793822" w:rsidRDefault="00BD5935" w:rsidP="00915672">
            <w:pPr>
              <w:spacing w:line="280" w:lineRule="exact"/>
              <w:jc w:val="center"/>
              <w:rPr>
                <w:rFonts w:hAnsi="標楷體"/>
                <w:spacing w:val="-20"/>
                <w:sz w:val="22"/>
                <w:szCs w:val="22"/>
              </w:rPr>
            </w:pPr>
            <w:r w:rsidRPr="00793822">
              <w:rPr>
                <w:rFonts w:hAnsi="標楷體" w:hint="eastAsia"/>
                <w:spacing w:val="-20"/>
                <w:sz w:val="22"/>
                <w:szCs w:val="22"/>
              </w:rPr>
              <w:t>彰化縣</w:t>
            </w:r>
          </w:p>
        </w:tc>
        <w:tc>
          <w:tcPr>
            <w:tcW w:w="1757" w:type="dxa"/>
            <w:vAlign w:val="center"/>
          </w:tcPr>
          <w:p w14:paraId="2F19386C" w14:textId="1310F17D" w:rsidR="00BD5935" w:rsidRPr="00793822" w:rsidRDefault="0064630A" w:rsidP="00915672">
            <w:pPr>
              <w:spacing w:line="280" w:lineRule="exact"/>
              <w:rPr>
                <w:rFonts w:hAnsi="標楷體"/>
                <w:spacing w:val="-20"/>
                <w:sz w:val="22"/>
                <w:szCs w:val="22"/>
              </w:rPr>
            </w:pPr>
            <w:r w:rsidRPr="00793822">
              <w:rPr>
                <w:rFonts w:hAnsi="標楷體" w:hint="eastAsia"/>
                <w:spacing w:val="-20"/>
                <w:sz w:val="22"/>
                <w:szCs w:val="22"/>
              </w:rPr>
              <w:t>(</w:t>
            </w:r>
            <w:r w:rsidR="00BD5935" w:rsidRPr="00793822">
              <w:rPr>
                <w:rFonts w:hAnsi="標楷體" w:hint="eastAsia"/>
                <w:spacing w:val="-20"/>
                <w:sz w:val="22"/>
                <w:szCs w:val="22"/>
              </w:rPr>
              <w:t>已判決確定</w:t>
            </w:r>
            <w:r w:rsidRPr="00793822">
              <w:rPr>
                <w:rFonts w:hAnsi="標楷體" w:hint="eastAsia"/>
                <w:spacing w:val="-20"/>
                <w:sz w:val="22"/>
                <w:szCs w:val="22"/>
              </w:rPr>
              <w:t>)</w:t>
            </w:r>
          </w:p>
          <w:p w14:paraId="75965169" w14:textId="77777777"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彰化地院</w:t>
            </w:r>
            <w:proofErr w:type="gramStart"/>
            <w:r w:rsidRPr="00793822">
              <w:rPr>
                <w:rFonts w:hAnsi="標楷體"/>
                <w:spacing w:val="-20"/>
                <w:sz w:val="22"/>
                <w:szCs w:val="22"/>
              </w:rPr>
              <w:t>110年度訴字第1060號</w:t>
            </w:r>
            <w:proofErr w:type="gramEnd"/>
          </w:p>
          <w:p w14:paraId="22BE229B" w14:textId="5200FA79" w:rsidR="00BD5935" w:rsidRPr="00793822" w:rsidRDefault="00BD5935" w:rsidP="00915672">
            <w:pPr>
              <w:spacing w:line="280" w:lineRule="exact"/>
              <w:rPr>
                <w:rFonts w:hAnsi="標楷體"/>
                <w:spacing w:val="-20"/>
                <w:sz w:val="22"/>
                <w:szCs w:val="22"/>
              </w:rPr>
            </w:pPr>
            <w:proofErr w:type="gramStart"/>
            <w:r w:rsidRPr="00793822">
              <w:rPr>
                <w:rFonts w:hAnsi="標楷體"/>
                <w:spacing w:val="-20"/>
                <w:sz w:val="22"/>
                <w:szCs w:val="22"/>
              </w:rPr>
              <w:t>臺</w:t>
            </w:r>
            <w:proofErr w:type="gramEnd"/>
            <w:r w:rsidRPr="00793822">
              <w:rPr>
                <w:rFonts w:hAnsi="標楷體"/>
                <w:spacing w:val="-20"/>
                <w:sz w:val="22"/>
                <w:szCs w:val="22"/>
              </w:rPr>
              <w:t>中</w:t>
            </w:r>
            <w:r w:rsidRPr="00793822">
              <w:rPr>
                <w:rFonts w:hAnsi="標楷體" w:hint="eastAsia"/>
                <w:spacing w:val="-20"/>
                <w:sz w:val="22"/>
                <w:szCs w:val="22"/>
              </w:rPr>
              <w:t>高</w:t>
            </w:r>
            <w:r w:rsidRPr="00793822">
              <w:rPr>
                <w:rFonts w:hAnsi="標楷體"/>
                <w:spacing w:val="-20"/>
                <w:sz w:val="22"/>
                <w:szCs w:val="22"/>
              </w:rPr>
              <w:t>分院</w:t>
            </w:r>
            <w:proofErr w:type="gramStart"/>
            <w:r w:rsidRPr="00793822">
              <w:rPr>
                <w:rFonts w:hAnsi="標楷體"/>
                <w:spacing w:val="-20"/>
                <w:sz w:val="22"/>
                <w:szCs w:val="22"/>
              </w:rPr>
              <w:t>112</w:t>
            </w:r>
            <w:proofErr w:type="gramEnd"/>
            <w:r w:rsidRPr="00793822">
              <w:rPr>
                <w:rFonts w:hAnsi="標楷體"/>
                <w:spacing w:val="-20"/>
                <w:sz w:val="22"/>
                <w:szCs w:val="22"/>
              </w:rPr>
              <w:t>年度上訴字第1711號</w:t>
            </w:r>
          </w:p>
          <w:p w14:paraId="734258B7" w14:textId="77777777"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最高法院</w:t>
            </w:r>
            <w:proofErr w:type="gramStart"/>
            <w:r w:rsidRPr="00793822">
              <w:rPr>
                <w:rFonts w:hAnsi="標楷體"/>
                <w:spacing w:val="-20"/>
                <w:sz w:val="22"/>
                <w:szCs w:val="22"/>
              </w:rPr>
              <w:t>113</w:t>
            </w:r>
            <w:proofErr w:type="gramEnd"/>
            <w:r w:rsidRPr="00793822">
              <w:rPr>
                <w:rFonts w:hAnsi="標楷體"/>
                <w:spacing w:val="-20"/>
                <w:sz w:val="22"/>
                <w:szCs w:val="22"/>
              </w:rPr>
              <w:t>年度台上字第3852號</w:t>
            </w:r>
          </w:p>
        </w:tc>
      </w:tr>
      <w:tr w:rsidR="006E3196" w:rsidRPr="00793822" w14:paraId="05179BA5" w14:textId="77777777" w:rsidTr="00915672">
        <w:tc>
          <w:tcPr>
            <w:tcW w:w="258" w:type="dxa"/>
            <w:vAlign w:val="center"/>
          </w:tcPr>
          <w:p w14:paraId="19FEC9FC" w14:textId="77777777" w:rsidR="00BD5935" w:rsidRPr="00793822" w:rsidRDefault="00BD5935" w:rsidP="00915672">
            <w:pPr>
              <w:spacing w:line="280" w:lineRule="exact"/>
              <w:jc w:val="center"/>
              <w:rPr>
                <w:rFonts w:hAnsi="標楷體"/>
                <w:spacing w:val="-20"/>
                <w:sz w:val="22"/>
                <w:szCs w:val="22"/>
              </w:rPr>
            </w:pPr>
            <w:r w:rsidRPr="00793822">
              <w:rPr>
                <w:rFonts w:hAnsi="標楷體" w:hint="eastAsia"/>
                <w:spacing w:val="-20"/>
                <w:sz w:val="22"/>
                <w:szCs w:val="22"/>
              </w:rPr>
              <w:t>3</w:t>
            </w:r>
          </w:p>
        </w:tc>
        <w:tc>
          <w:tcPr>
            <w:tcW w:w="1074" w:type="dxa"/>
            <w:vAlign w:val="center"/>
          </w:tcPr>
          <w:p w14:paraId="5E977859" w14:textId="77777777"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苗栗地檢署</w:t>
            </w:r>
          </w:p>
          <w:p w14:paraId="73F0EA30" w14:textId="77777777" w:rsidR="00BD5935" w:rsidRPr="00793822" w:rsidRDefault="00BD5935" w:rsidP="00915672">
            <w:pPr>
              <w:spacing w:line="280" w:lineRule="exact"/>
              <w:rPr>
                <w:rFonts w:hAnsi="標楷體"/>
                <w:spacing w:val="-20"/>
                <w:sz w:val="22"/>
                <w:szCs w:val="22"/>
              </w:rPr>
            </w:pPr>
            <w:proofErr w:type="gramStart"/>
            <w:r w:rsidRPr="00793822">
              <w:rPr>
                <w:rFonts w:hAnsi="標楷體"/>
                <w:spacing w:val="-20"/>
                <w:sz w:val="22"/>
                <w:szCs w:val="22"/>
              </w:rPr>
              <w:t>110</w:t>
            </w:r>
            <w:proofErr w:type="gramEnd"/>
            <w:r w:rsidRPr="00793822">
              <w:rPr>
                <w:rFonts w:hAnsi="標楷體"/>
                <w:spacing w:val="-20"/>
                <w:sz w:val="22"/>
                <w:szCs w:val="22"/>
              </w:rPr>
              <w:t>年度</w:t>
            </w:r>
            <w:proofErr w:type="gramStart"/>
            <w:r w:rsidRPr="00793822">
              <w:rPr>
                <w:rFonts w:hAnsi="標楷體"/>
                <w:spacing w:val="-20"/>
                <w:sz w:val="22"/>
                <w:szCs w:val="22"/>
              </w:rPr>
              <w:t>偵</w:t>
            </w:r>
            <w:proofErr w:type="gramEnd"/>
            <w:r w:rsidRPr="00793822">
              <w:rPr>
                <w:rFonts w:hAnsi="標楷體"/>
                <w:spacing w:val="-20"/>
                <w:sz w:val="22"/>
                <w:szCs w:val="22"/>
              </w:rPr>
              <w:t>字第5852號</w:t>
            </w:r>
            <w:r w:rsidRPr="00793822">
              <w:rPr>
                <w:rFonts w:hAnsi="標楷體" w:hint="eastAsia"/>
                <w:spacing w:val="-20"/>
                <w:sz w:val="22"/>
                <w:szCs w:val="22"/>
              </w:rPr>
              <w:t>等4案</w:t>
            </w:r>
          </w:p>
        </w:tc>
        <w:tc>
          <w:tcPr>
            <w:tcW w:w="903" w:type="dxa"/>
            <w:vAlign w:val="center"/>
          </w:tcPr>
          <w:p w14:paraId="7C5516F0" w14:textId="77777777"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違反貪污治罪條例等</w:t>
            </w:r>
          </w:p>
          <w:p w14:paraId="675DFDC8" w14:textId="77777777" w:rsidR="00BD5935" w:rsidRPr="00793822" w:rsidRDefault="00BD5935" w:rsidP="00915672">
            <w:pPr>
              <w:spacing w:line="280" w:lineRule="exact"/>
              <w:rPr>
                <w:rFonts w:hAnsi="標楷體"/>
                <w:spacing w:val="-20"/>
                <w:sz w:val="22"/>
                <w:szCs w:val="22"/>
              </w:rPr>
            </w:pPr>
          </w:p>
        </w:tc>
        <w:tc>
          <w:tcPr>
            <w:tcW w:w="510" w:type="dxa"/>
            <w:vAlign w:val="center"/>
          </w:tcPr>
          <w:p w14:paraId="1BDDC098" w14:textId="77777777" w:rsidR="00BD5935" w:rsidRPr="00793822" w:rsidRDefault="00BD5935" w:rsidP="00915672">
            <w:pPr>
              <w:spacing w:line="280" w:lineRule="exact"/>
              <w:jc w:val="center"/>
              <w:rPr>
                <w:rFonts w:hAnsi="標楷體"/>
                <w:spacing w:val="-20"/>
                <w:sz w:val="22"/>
                <w:szCs w:val="22"/>
              </w:rPr>
            </w:pPr>
            <w:r w:rsidRPr="00793822">
              <w:rPr>
                <w:rFonts w:hAnsi="標楷體" w:hint="eastAsia"/>
                <w:spacing w:val="-20"/>
                <w:sz w:val="22"/>
                <w:szCs w:val="22"/>
              </w:rPr>
              <w:t>5人</w:t>
            </w:r>
          </w:p>
        </w:tc>
        <w:tc>
          <w:tcPr>
            <w:tcW w:w="1871" w:type="dxa"/>
            <w:vAlign w:val="center"/>
          </w:tcPr>
          <w:p w14:paraId="25324004" w14:textId="77777777"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公務員：3人</w:t>
            </w:r>
          </w:p>
          <w:p w14:paraId="13CEA728" w14:textId="77777777"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不具公務員身分：2人</w:t>
            </w:r>
          </w:p>
        </w:tc>
        <w:tc>
          <w:tcPr>
            <w:tcW w:w="2154" w:type="dxa"/>
            <w:vAlign w:val="center"/>
          </w:tcPr>
          <w:p w14:paraId="79EF6ADE" w14:textId="77777777"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苗栗縣通霄鎮鎮長及所屬公務員辦理「公用不動產土地及屋頂空間設置太陽光電發電設備公</w:t>
            </w:r>
            <w:proofErr w:type="gramStart"/>
            <w:r w:rsidRPr="00793822">
              <w:rPr>
                <w:rFonts w:hAnsi="標楷體" w:hint="eastAsia"/>
                <w:spacing w:val="-20"/>
                <w:sz w:val="22"/>
                <w:szCs w:val="22"/>
              </w:rPr>
              <w:t>開標租案</w:t>
            </w:r>
            <w:proofErr w:type="gramEnd"/>
            <w:r w:rsidRPr="00793822">
              <w:rPr>
                <w:rFonts w:hAnsi="標楷體" w:hint="eastAsia"/>
                <w:spacing w:val="-20"/>
                <w:sz w:val="22"/>
                <w:szCs w:val="22"/>
              </w:rPr>
              <w:t>」向廠商索賄，並將招標文件檔案於該招租案公告前洩漏交付廠商。</w:t>
            </w:r>
          </w:p>
        </w:tc>
        <w:tc>
          <w:tcPr>
            <w:tcW w:w="680" w:type="dxa"/>
            <w:vAlign w:val="center"/>
          </w:tcPr>
          <w:p w14:paraId="70E3AF78" w14:textId="77777777" w:rsidR="00BD5935" w:rsidRPr="00793822" w:rsidRDefault="00BD5935" w:rsidP="00915672">
            <w:pPr>
              <w:spacing w:line="280" w:lineRule="exact"/>
              <w:jc w:val="center"/>
              <w:rPr>
                <w:rFonts w:hAnsi="標楷體"/>
                <w:spacing w:val="-20"/>
                <w:sz w:val="22"/>
                <w:szCs w:val="22"/>
              </w:rPr>
            </w:pPr>
            <w:r w:rsidRPr="00793822">
              <w:rPr>
                <w:rFonts w:hAnsi="標楷體" w:hint="eastAsia"/>
                <w:spacing w:val="-20"/>
                <w:sz w:val="22"/>
                <w:szCs w:val="22"/>
              </w:rPr>
              <w:t>苗栗縣</w:t>
            </w:r>
          </w:p>
        </w:tc>
        <w:tc>
          <w:tcPr>
            <w:tcW w:w="1757" w:type="dxa"/>
            <w:vAlign w:val="center"/>
          </w:tcPr>
          <w:p w14:paraId="69CF934A" w14:textId="69E5BC99" w:rsidR="00BD5935" w:rsidRPr="00793822" w:rsidRDefault="0064630A" w:rsidP="00915672">
            <w:pPr>
              <w:spacing w:line="280" w:lineRule="exact"/>
              <w:rPr>
                <w:rFonts w:hAnsi="標楷體"/>
                <w:spacing w:val="-20"/>
                <w:sz w:val="22"/>
                <w:szCs w:val="22"/>
              </w:rPr>
            </w:pPr>
            <w:r w:rsidRPr="00793822">
              <w:rPr>
                <w:rFonts w:hAnsi="標楷體" w:hint="eastAsia"/>
                <w:spacing w:val="-20"/>
                <w:sz w:val="22"/>
                <w:szCs w:val="22"/>
              </w:rPr>
              <w:t>(</w:t>
            </w:r>
            <w:r w:rsidR="00BD5935" w:rsidRPr="00793822">
              <w:rPr>
                <w:rFonts w:hAnsi="標楷體" w:hint="eastAsia"/>
                <w:spacing w:val="-20"/>
                <w:sz w:val="22"/>
                <w:szCs w:val="22"/>
              </w:rPr>
              <w:t>尚未確定</w:t>
            </w:r>
            <w:r w:rsidRPr="00793822">
              <w:rPr>
                <w:rFonts w:hAnsi="標楷體" w:hint="eastAsia"/>
                <w:spacing w:val="-20"/>
                <w:sz w:val="22"/>
                <w:szCs w:val="22"/>
              </w:rPr>
              <w:t>)</w:t>
            </w:r>
          </w:p>
          <w:p w14:paraId="5B527218" w14:textId="77777777"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苗栗地院</w:t>
            </w:r>
            <w:proofErr w:type="gramStart"/>
            <w:r w:rsidRPr="00793822">
              <w:rPr>
                <w:rFonts w:hAnsi="標楷體"/>
                <w:spacing w:val="-20"/>
                <w:sz w:val="22"/>
                <w:szCs w:val="22"/>
              </w:rPr>
              <w:t>110</w:t>
            </w:r>
            <w:proofErr w:type="gramEnd"/>
            <w:r w:rsidRPr="00793822">
              <w:rPr>
                <w:rFonts w:hAnsi="標楷體"/>
                <w:spacing w:val="-20"/>
                <w:sz w:val="22"/>
                <w:szCs w:val="22"/>
              </w:rPr>
              <w:t>年度</w:t>
            </w:r>
            <w:proofErr w:type="gramStart"/>
            <w:r w:rsidRPr="00793822">
              <w:rPr>
                <w:rFonts w:hAnsi="標楷體"/>
                <w:spacing w:val="-20"/>
                <w:sz w:val="22"/>
                <w:szCs w:val="22"/>
              </w:rPr>
              <w:t>重訴字</w:t>
            </w:r>
            <w:proofErr w:type="gramEnd"/>
            <w:r w:rsidRPr="00793822">
              <w:rPr>
                <w:rFonts w:hAnsi="標楷體"/>
                <w:spacing w:val="-20"/>
                <w:sz w:val="22"/>
                <w:szCs w:val="22"/>
              </w:rPr>
              <w:t>第9號</w:t>
            </w:r>
          </w:p>
          <w:p w14:paraId="04EFF85C" w14:textId="50FD2C6A" w:rsidR="00BD5935" w:rsidRPr="00793822" w:rsidRDefault="00BD5935" w:rsidP="00915672">
            <w:pPr>
              <w:spacing w:line="280" w:lineRule="exact"/>
              <w:rPr>
                <w:rFonts w:hAnsi="標楷體"/>
                <w:spacing w:val="-20"/>
                <w:sz w:val="22"/>
                <w:szCs w:val="22"/>
              </w:rPr>
            </w:pPr>
            <w:proofErr w:type="gramStart"/>
            <w:r w:rsidRPr="00793822">
              <w:rPr>
                <w:rFonts w:hAnsi="標楷體"/>
                <w:spacing w:val="-20"/>
                <w:sz w:val="22"/>
                <w:szCs w:val="22"/>
              </w:rPr>
              <w:t>臺</w:t>
            </w:r>
            <w:proofErr w:type="gramEnd"/>
            <w:r w:rsidRPr="00793822">
              <w:rPr>
                <w:rFonts w:hAnsi="標楷體"/>
                <w:spacing w:val="-20"/>
                <w:sz w:val="22"/>
                <w:szCs w:val="22"/>
              </w:rPr>
              <w:t>中</w:t>
            </w:r>
            <w:r w:rsidRPr="00793822">
              <w:rPr>
                <w:rFonts w:hAnsi="標楷體" w:hint="eastAsia"/>
                <w:spacing w:val="-20"/>
                <w:sz w:val="22"/>
                <w:szCs w:val="22"/>
              </w:rPr>
              <w:t>高</w:t>
            </w:r>
            <w:r w:rsidRPr="00793822">
              <w:rPr>
                <w:rFonts w:hAnsi="標楷體"/>
                <w:spacing w:val="-20"/>
                <w:sz w:val="22"/>
                <w:szCs w:val="22"/>
              </w:rPr>
              <w:t>分院</w:t>
            </w:r>
            <w:proofErr w:type="gramStart"/>
            <w:r w:rsidRPr="00793822">
              <w:rPr>
                <w:rFonts w:hAnsi="標楷體"/>
                <w:spacing w:val="-20"/>
                <w:sz w:val="22"/>
                <w:szCs w:val="22"/>
              </w:rPr>
              <w:t>112</w:t>
            </w:r>
            <w:proofErr w:type="gramEnd"/>
            <w:r w:rsidRPr="00793822">
              <w:rPr>
                <w:rFonts w:hAnsi="標楷體"/>
                <w:spacing w:val="-20"/>
                <w:sz w:val="22"/>
                <w:szCs w:val="22"/>
              </w:rPr>
              <w:t>年度上訴字第2352號</w:t>
            </w:r>
            <w:r w:rsidR="0064630A" w:rsidRPr="00793822">
              <w:rPr>
                <w:rFonts w:hAnsi="標楷體" w:hint="eastAsia"/>
                <w:spacing w:val="-20"/>
                <w:sz w:val="22"/>
                <w:szCs w:val="22"/>
              </w:rPr>
              <w:t>(</w:t>
            </w:r>
            <w:r w:rsidRPr="00793822">
              <w:rPr>
                <w:rFonts w:hAnsi="標楷體" w:hint="eastAsia"/>
                <w:spacing w:val="-20"/>
                <w:sz w:val="22"/>
                <w:szCs w:val="22"/>
              </w:rPr>
              <w:t>上訴最高法院中</w:t>
            </w:r>
            <w:r w:rsidR="0064630A" w:rsidRPr="00793822">
              <w:rPr>
                <w:rFonts w:hAnsi="標楷體" w:hint="eastAsia"/>
                <w:spacing w:val="-20"/>
                <w:sz w:val="22"/>
                <w:szCs w:val="22"/>
              </w:rPr>
              <w:t>)</w:t>
            </w:r>
          </w:p>
        </w:tc>
      </w:tr>
      <w:tr w:rsidR="006E3196" w:rsidRPr="00793822" w14:paraId="0533EEAC" w14:textId="77777777" w:rsidTr="00915672">
        <w:tc>
          <w:tcPr>
            <w:tcW w:w="258" w:type="dxa"/>
            <w:vAlign w:val="center"/>
          </w:tcPr>
          <w:p w14:paraId="75BAC196" w14:textId="77777777" w:rsidR="00BD5935" w:rsidRPr="00793822" w:rsidRDefault="00BD5935" w:rsidP="00915672">
            <w:pPr>
              <w:spacing w:line="280" w:lineRule="exact"/>
              <w:jc w:val="center"/>
              <w:rPr>
                <w:rFonts w:hAnsi="標楷體"/>
                <w:spacing w:val="-20"/>
                <w:sz w:val="22"/>
                <w:szCs w:val="22"/>
              </w:rPr>
            </w:pPr>
            <w:r w:rsidRPr="00793822">
              <w:rPr>
                <w:rFonts w:hAnsi="標楷體" w:hint="eastAsia"/>
                <w:spacing w:val="-20"/>
                <w:sz w:val="22"/>
                <w:szCs w:val="22"/>
              </w:rPr>
              <w:t>4</w:t>
            </w:r>
          </w:p>
        </w:tc>
        <w:tc>
          <w:tcPr>
            <w:tcW w:w="1074" w:type="dxa"/>
            <w:vAlign w:val="center"/>
          </w:tcPr>
          <w:p w14:paraId="18A17D9F" w14:textId="77777777"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雲林地檢署</w:t>
            </w:r>
          </w:p>
          <w:p w14:paraId="065D066C" w14:textId="77777777" w:rsidR="00BD5935" w:rsidRPr="00793822" w:rsidRDefault="00BD5935" w:rsidP="00915672">
            <w:pPr>
              <w:spacing w:line="280" w:lineRule="exact"/>
              <w:rPr>
                <w:rFonts w:hAnsi="標楷體"/>
                <w:spacing w:val="-20"/>
                <w:sz w:val="22"/>
                <w:szCs w:val="22"/>
              </w:rPr>
            </w:pPr>
            <w:proofErr w:type="gramStart"/>
            <w:r w:rsidRPr="00793822">
              <w:rPr>
                <w:rFonts w:hAnsi="標楷體"/>
                <w:spacing w:val="-20"/>
                <w:sz w:val="22"/>
                <w:szCs w:val="22"/>
              </w:rPr>
              <w:t>110</w:t>
            </w:r>
            <w:proofErr w:type="gramEnd"/>
            <w:r w:rsidRPr="00793822">
              <w:rPr>
                <w:rFonts w:hAnsi="標楷體"/>
                <w:spacing w:val="-20"/>
                <w:sz w:val="22"/>
                <w:szCs w:val="22"/>
              </w:rPr>
              <w:t>年度</w:t>
            </w:r>
            <w:proofErr w:type="gramStart"/>
            <w:r w:rsidRPr="00793822">
              <w:rPr>
                <w:rFonts w:hAnsi="標楷體"/>
                <w:spacing w:val="-20"/>
                <w:sz w:val="22"/>
                <w:szCs w:val="22"/>
              </w:rPr>
              <w:t>偵</w:t>
            </w:r>
            <w:proofErr w:type="gramEnd"/>
            <w:r w:rsidRPr="00793822">
              <w:rPr>
                <w:rFonts w:hAnsi="標楷體"/>
                <w:spacing w:val="-20"/>
                <w:sz w:val="22"/>
                <w:szCs w:val="22"/>
              </w:rPr>
              <w:t>字第3532號</w:t>
            </w:r>
            <w:r w:rsidRPr="00793822">
              <w:rPr>
                <w:rFonts w:hAnsi="標楷體" w:hint="eastAsia"/>
                <w:spacing w:val="-20"/>
                <w:sz w:val="22"/>
                <w:szCs w:val="22"/>
              </w:rPr>
              <w:t>等3案</w:t>
            </w:r>
          </w:p>
        </w:tc>
        <w:tc>
          <w:tcPr>
            <w:tcW w:w="903" w:type="dxa"/>
            <w:vAlign w:val="center"/>
          </w:tcPr>
          <w:p w14:paraId="39CBFF8D" w14:textId="77777777"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違反貪污治罪條例等</w:t>
            </w:r>
          </w:p>
          <w:p w14:paraId="6217A567" w14:textId="77777777" w:rsidR="00BD5935" w:rsidRPr="00793822" w:rsidRDefault="00BD5935" w:rsidP="00915672">
            <w:pPr>
              <w:spacing w:line="280" w:lineRule="exact"/>
              <w:rPr>
                <w:rFonts w:hAnsi="標楷體"/>
                <w:spacing w:val="-20"/>
                <w:sz w:val="22"/>
                <w:szCs w:val="22"/>
              </w:rPr>
            </w:pPr>
          </w:p>
        </w:tc>
        <w:tc>
          <w:tcPr>
            <w:tcW w:w="510" w:type="dxa"/>
            <w:vAlign w:val="center"/>
          </w:tcPr>
          <w:p w14:paraId="403150D0" w14:textId="77777777" w:rsidR="00BD5935" w:rsidRPr="00793822" w:rsidRDefault="00BD5935" w:rsidP="00915672">
            <w:pPr>
              <w:spacing w:line="280" w:lineRule="exact"/>
              <w:jc w:val="center"/>
              <w:rPr>
                <w:rFonts w:hAnsi="標楷體"/>
                <w:spacing w:val="-20"/>
                <w:sz w:val="22"/>
                <w:szCs w:val="22"/>
              </w:rPr>
            </w:pPr>
            <w:r w:rsidRPr="00793822">
              <w:rPr>
                <w:rFonts w:hAnsi="標楷體" w:hint="eastAsia"/>
                <w:spacing w:val="-20"/>
                <w:sz w:val="22"/>
                <w:szCs w:val="22"/>
              </w:rPr>
              <w:t>8人</w:t>
            </w:r>
          </w:p>
          <w:p w14:paraId="3EF600B9" w14:textId="77777777" w:rsidR="00BD5935" w:rsidRPr="00793822" w:rsidRDefault="00BD5935" w:rsidP="00915672">
            <w:pPr>
              <w:spacing w:line="280" w:lineRule="exact"/>
              <w:jc w:val="center"/>
              <w:rPr>
                <w:rFonts w:hAnsi="標楷體"/>
                <w:spacing w:val="-20"/>
                <w:sz w:val="22"/>
                <w:szCs w:val="22"/>
              </w:rPr>
            </w:pPr>
          </w:p>
        </w:tc>
        <w:tc>
          <w:tcPr>
            <w:tcW w:w="1871" w:type="dxa"/>
            <w:vAlign w:val="center"/>
          </w:tcPr>
          <w:p w14:paraId="7E8685C8" w14:textId="77777777"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公務員：1人</w:t>
            </w:r>
          </w:p>
          <w:p w14:paraId="09C73BED" w14:textId="77777777"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不具公務員身分：7人</w:t>
            </w:r>
          </w:p>
        </w:tc>
        <w:tc>
          <w:tcPr>
            <w:tcW w:w="2154" w:type="dxa"/>
            <w:vAlign w:val="center"/>
          </w:tcPr>
          <w:p w14:paraId="3B52A6B9" w14:textId="77777777"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口湖鄉當地村長及居民多次向口湖鄉公所及雲林縣政府陳情，指摘永</w:t>
            </w:r>
            <w:proofErr w:type="gramStart"/>
            <w:r w:rsidRPr="00793822">
              <w:rPr>
                <w:rFonts w:hAnsi="標楷體" w:hint="eastAsia"/>
                <w:spacing w:val="-20"/>
                <w:sz w:val="22"/>
                <w:szCs w:val="22"/>
              </w:rPr>
              <w:t>宙</w:t>
            </w:r>
            <w:proofErr w:type="gramEnd"/>
            <w:r w:rsidRPr="00793822">
              <w:rPr>
                <w:rFonts w:hAnsi="標楷體" w:hint="eastAsia"/>
                <w:spacing w:val="-20"/>
                <w:sz w:val="22"/>
                <w:szCs w:val="22"/>
              </w:rPr>
              <w:t>口湖太陽能發電系統設置工程</w:t>
            </w:r>
            <w:proofErr w:type="gramStart"/>
            <w:r w:rsidRPr="00793822">
              <w:rPr>
                <w:rFonts w:hAnsi="標楷體" w:hint="eastAsia"/>
                <w:spacing w:val="-20"/>
                <w:sz w:val="22"/>
                <w:szCs w:val="22"/>
              </w:rPr>
              <w:t>案場施作</w:t>
            </w:r>
            <w:proofErr w:type="gramEnd"/>
            <w:r w:rsidRPr="00793822">
              <w:rPr>
                <w:rFonts w:hAnsi="標楷體" w:hint="eastAsia"/>
                <w:spacing w:val="-20"/>
                <w:sz w:val="22"/>
                <w:szCs w:val="22"/>
              </w:rPr>
              <w:t>過程有破壞周邊道路、居民土地等情形，當地居民及漁民發動抗爭阻擋</w:t>
            </w:r>
            <w:proofErr w:type="gramStart"/>
            <w:r w:rsidRPr="00793822">
              <w:rPr>
                <w:rFonts w:hAnsi="標楷體" w:hint="eastAsia"/>
                <w:spacing w:val="-20"/>
                <w:sz w:val="22"/>
                <w:szCs w:val="22"/>
              </w:rPr>
              <w:t>案場施作</w:t>
            </w:r>
            <w:proofErr w:type="gramEnd"/>
            <w:r w:rsidRPr="00793822">
              <w:rPr>
                <w:rFonts w:hAnsi="標楷體" w:hint="eastAsia"/>
                <w:spacing w:val="-20"/>
                <w:sz w:val="22"/>
                <w:szCs w:val="22"/>
              </w:rPr>
              <w:t>，向廠商要求鉅額賠償，廠商為求工程順利進行，賄賂鄉長出面擺平抗爭，核發建照執照。</w:t>
            </w:r>
          </w:p>
        </w:tc>
        <w:tc>
          <w:tcPr>
            <w:tcW w:w="680" w:type="dxa"/>
            <w:vAlign w:val="center"/>
          </w:tcPr>
          <w:p w14:paraId="6CD2E6D0" w14:textId="77777777" w:rsidR="00BD5935" w:rsidRPr="00793822" w:rsidRDefault="00BD5935" w:rsidP="00915672">
            <w:pPr>
              <w:spacing w:line="280" w:lineRule="exact"/>
              <w:jc w:val="center"/>
              <w:rPr>
                <w:rFonts w:hAnsi="標楷體"/>
                <w:spacing w:val="-20"/>
                <w:sz w:val="22"/>
                <w:szCs w:val="22"/>
              </w:rPr>
            </w:pPr>
            <w:r w:rsidRPr="00793822">
              <w:rPr>
                <w:rFonts w:hAnsi="標楷體" w:hint="eastAsia"/>
                <w:spacing w:val="-20"/>
                <w:sz w:val="22"/>
                <w:szCs w:val="22"/>
              </w:rPr>
              <w:t>雲林縣</w:t>
            </w:r>
          </w:p>
        </w:tc>
        <w:tc>
          <w:tcPr>
            <w:tcW w:w="1757" w:type="dxa"/>
            <w:vAlign w:val="center"/>
          </w:tcPr>
          <w:p w14:paraId="71EDB112" w14:textId="100319FC" w:rsidR="00BD5935" w:rsidRPr="00793822" w:rsidRDefault="0064630A" w:rsidP="00915672">
            <w:pPr>
              <w:spacing w:line="280" w:lineRule="exact"/>
              <w:rPr>
                <w:rFonts w:hAnsi="標楷體"/>
                <w:spacing w:val="-20"/>
                <w:sz w:val="22"/>
                <w:szCs w:val="22"/>
              </w:rPr>
            </w:pPr>
            <w:r w:rsidRPr="00793822">
              <w:rPr>
                <w:rFonts w:hAnsi="標楷體" w:hint="eastAsia"/>
                <w:spacing w:val="-20"/>
                <w:sz w:val="22"/>
                <w:szCs w:val="22"/>
              </w:rPr>
              <w:t>(</w:t>
            </w:r>
            <w:r w:rsidR="00BD5935" w:rsidRPr="00793822">
              <w:rPr>
                <w:rFonts w:hAnsi="標楷體" w:hint="eastAsia"/>
                <w:spacing w:val="-20"/>
                <w:sz w:val="22"/>
                <w:szCs w:val="22"/>
              </w:rPr>
              <w:t>尚未確定</w:t>
            </w:r>
            <w:r w:rsidRPr="00793822">
              <w:rPr>
                <w:rFonts w:hAnsi="標楷體" w:hint="eastAsia"/>
                <w:spacing w:val="-20"/>
                <w:sz w:val="22"/>
                <w:szCs w:val="22"/>
              </w:rPr>
              <w:t>)</w:t>
            </w:r>
          </w:p>
          <w:p w14:paraId="46AEF4F4" w14:textId="77777777"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雲林地院</w:t>
            </w:r>
            <w:proofErr w:type="gramStart"/>
            <w:r w:rsidRPr="00793822">
              <w:rPr>
                <w:rFonts w:hAnsi="標楷體"/>
                <w:spacing w:val="-20"/>
                <w:sz w:val="22"/>
                <w:szCs w:val="22"/>
              </w:rPr>
              <w:t>110年度訴字第446號</w:t>
            </w:r>
            <w:proofErr w:type="gramEnd"/>
          </w:p>
          <w:p w14:paraId="40F80065" w14:textId="7F4678F3" w:rsidR="00BD5935" w:rsidRPr="00793822" w:rsidRDefault="00BD5935" w:rsidP="00915672">
            <w:pPr>
              <w:spacing w:line="280" w:lineRule="exact"/>
              <w:rPr>
                <w:rFonts w:hAnsi="標楷體"/>
                <w:spacing w:val="-20"/>
                <w:sz w:val="22"/>
                <w:szCs w:val="22"/>
              </w:rPr>
            </w:pPr>
            <w:proofErr w:type="gramStart"/>
            <w:r w:rsidRPr="00793822">
              <w:rPr>
                <w:rFonts w:hAnsi="標楷體" w:hint="eastAsia"/>
                <w:spacing w:val="-20"/>
                <w:sz w:val="22"/>
                <w:szCs w:val="22"/>
              </w:rPr>
              <w:t>臺</w:t>
            </w:r>
            <w:proofErr w:type="gramEnd"/>
            <w:r w:rsidRPr="00793822">
              <w:rPr>
                <w:rFonts w:hAnsi="標楷體" w:hint="eastAsia"/>
                <w:spacing w:val="-20"/>
                <w:sz w:val="22"/>
                <w:szCs w:val="22"/>
              </w:rPr>
              <w:t>南高分院</w:t>
            </w:r>
            <w:proofErr w:type="gramStart"/>
            <w:r w:rsidRPr="00793822">
              <w:rPr>
                <w:rFonts w:hAnsi="標楷體"/>
                <w:spacing w:val="-20"/>
                <w:sz w:val="22"/>
                <w:szCs w:val="22"/>
              </w:rPr>
              <w:t>112</w:t>
            </w:r>
            <w:proofErr w:type="gramEnd"/>
            <w:r w:rsidRPr="00793822">
              <w:rPr>
                <w:rFonts w:hAnsi="標楷體"/>
                <w:spacing w:val="-20"/>
                <w:sz w:val="22"/>
                <w:szCs w:val="22"/>
              </w:rPr>
              <w:t>年度上訴字第1254號</w:t>
            </w:r>
            <w:r w:rsidR="0064630A" w:rsidRPr="00793822">
              <w:rPr>
                <w:rFonts w:hAnsi="標楷體" w:hint="eastAsia"/>
                <w:spacing w:val="-20"/>
                <w:sz w:val="22"/>
                <w:szCs w:val="22"/>
              </w:rPr>
              <w:t>(</w:t>
            </w:r>
            <w:r w:rsidRPr="00793822">
              <w:rPr>
                <w:rFonts w:hAnsi="標楷體" w:hint="eastAsia"/>
                <w:spacing w:val="-20"/>
                <w:sz w:val="22"/>
                <w:szCs w:val="22"/>
              </w:rPr>
              <w:t>審理中</w:t>
            </w:r>
            <w:r w:rsidR="0064630A" w:rsidRPr="00793822">
              <w:rPr>
                <w:rFonts w:hAnsi="標楷體" w:hint="eastAsia"/>
                <w:spacing w:val="-20"/>
                <w:sz w:val="22"/>
                <w:szCs w:val="22"/>
              </w:rPr>
              <w:t>)</w:t>
            </w:r>
          </w:p>
        </w:tc>
      </w:tr>
      <w:tr w:rsidR="006E3196" w:rsidRPr="00793822" w14:paraId="0E67BFBB" w14:textId="77777777" w:rsidTr="00915672">
        <w:tc>
          <w:tcPr>
            <w:tcW w:w="258" w:type="dxa"/>
            <w:vAlign w:val="center"/>
          </w:tcPr>
          <w:p w14:paraId="3457F701" w14:textId="77777777" w:rsidR="00BD5935" w:rsidRPr="00793822" w:rsidRDefault="00BD5935" w:rsidP="00915672">
            <w:pPr>
              <w:spacing w:line="280" w:lineRule="exact"/>
              <w:jc w:val="center"/>
              <w:rPr>
                <w:rFonts w:hAnsi="標楷體"/>
                <w:spacing w:val="-20"/>
                <w:sz w:val="22"/>
                <w:szCs w:val="22"/>
              </w:rPr>
            </w:pPr>
            <w:r w:rsidRPr="00793822">
              <w:rPr>
                <w:rFonts w:hAnsi="標楷體" w:hint="eastAsia"/>
                <w:spacing w:val="-20"/>
                <w:sz w:val="22"/>
                <w:szCs w:val="22"/>
              </w:rPr>
              <w:lastRenderedPageBreak/>
              <w:t>5</w:t>
            </w:r>
          </w:p>
        </w:tc>
        <w:tc>
          <w:tcPr>
            <w:tcW w:w="1074" w:type="dxa"/>
            <w:vAlign w:val="center"/>
          </w:tcPr>
          <w:p w14:paraId="2DABB5E2" w14:textId="77777777"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雲林地檢署</w:t>
            </w:r>
          </w:p>
          <w:p w14:paraId="2F6D74BF" w14:textId="77777777" w:rsidR="00BD5935" w:rsidRPr="00793822" w:rsidRDefault="00BD5935" w:rsidP="00915672">
            <w:pPr>
              <w:spacing w:line="280" w:lineRule="exact"/>
              <w:rPr>
                <w:rFonts w:hAnsi="標楷體"/>
                <w:spacing w:val="-20"/>
                <w:sz w:val="22"/>
                <w:szCs w:val="22"/>
              </w:rPr>
            </w:pPr>
            <w:proofErr w:type="gramStart"/>
            <w:r w:rsidRPr="00793822">
              <w:rPr>
                <w:rFonts w:hAnsi="標楷體"/>
                <w:spacing w:val="-20"/>
                <w:sz w:val="22"/>
                <w:szCs w:val="22"/>
              </w:rPr>
              <w:t>110</w:t>
            </w:r>
            <w:proofErr w:type="gramEnd"/>
            <w:r w:rsidRPr="00793822">
              <w:rPr>
                <w:rFonts w:hAnsi="標楷體"/>
                <w:spacing w:val="-20"/>
                <w:sz w:val="22"/>
                <w:szCs w:val="22"/>
              </w:rPr>
              <w:t>年度</w:t>
            </w:r>
            <w:proofErr w:type="gramStart"/>
            <w:r w:rsidRPr="00793822">
              <w:rPr>
                <w:rFonts w:hAnsi="標楷體"/>
                <w:spacing w:val="-20"/>
                <w:sz w:val="22"/>
                <w:szCs w:val="22"/>
              </w:rPr>
              <w:t>偵</w:t>
            </w:r>
            <w:proofErr w:type="gramEnd"/>
            <w:r w:rsidRPr="00793822">
              <w:rPr>
                <w:rFonts w:hAnsi="標楷體"/>
                <w:spacing w:val="-20"/>
                <w:sz w:val="22"/>
                <w:szCs w:val="22"/>
              </w:rPr>
              <w:t>字第1527號</w:t>
            </w:r>
            <w:r w:rsidRPr="00793822">
              <w:rPr>
                <w:rFonts w:hAnsi="標楷體" w:hint="eastAsia"/>
                <w:spacing w:val="-20"/>
                <w:sz w:val="22"/>
                <w:szCs w:val="22"/>
              </w:rPr>
              <w:t>等3案</w:t>
            </w:r>
          </w:p>
        </w:tc>
        <w:tc>
          <w:tcPr>
            <w:tcW w:w="903" w:type="dxa"/>
            <w:vAlign w:val="center"/>
          </w:tcPr>
          <w:p w14:paraId="15248E78" w14:textId="77777777"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詐欺、強制等</w:t>
            </w:r>
          </w:p>
          <w:p w14:paraId="367A4538" w14:textId="77777777" w:rsidR="00BD5935" w:rsidRPr="00793822" w:rsidRDefault="00BD5935" w:rsidP="00915672">
            <w:pPr>
              <w:spacing w:line="280" w:lineRule="exact"/>
              <w:rPr>
                <w:rFonts w:hAnsi="標楷體"/>
                <w:spacing w:val="-20"/>
                <w:sz w:val="22"/>
                <w:szCs w:val="22"/>
              </w:rPr>
            </w:pPr>
          </w:p>
        </w:tc>
        <w:tc>
          <w:tcPr>
            <w:tcW w:w="510" w:type="dxa"/>
            <w:vAlign w:val="center"/>
          </w:tcPr>
          <w:p w14:paraId="0BBE54F5" w14:textId="77777777" w:rsidR="00BD5935" w:rsidRPr="00793822" w:rsidRDefault="00BD5935" w:rsidP="00915672">
            <w:pPr>
              <w:spacing w:line="280" w:lineRule="exact"/>
              <w:jc w:val="center"/>
              <w:rPr>
                <w:rFonts w:hAnsi="標楷體"/>
                <w:spacing w:val="-20"/>
                <w:sz w:val="22"/>
                <w:szCs w:val="22"/>
              </w:rPr>
            </w:pPr>
            <w:r w:rsidRPr="00793822">
              <w:rPr>
                <w:rFonts w:hAnsi="標楷體" w:hint="eastAsia"/>
                <w:spacing w:val="-20"/>
                <w:sz w:val="22"/>
                <w:szCs w:val="22"/>
              </w:rPr>
              <w:t>12人</w:t>
            </w:r>
          </w:p>
        </w:tc>
        <w:tc>
          <w:tcPr>
            <w:tcW w:w="1871" w:type="dxa"/>
            <w:vAlign w:val="center"/>
          </w:tcPr>
          <w:p w14:paraId="1FCDE5CA" w14:textId="77777777"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不具公務員身分：12人</w:t>
            </w:r>
          </w:p>
        </w:tc>
        <w:tc>
          <w:tcPr>
            <w:tcW w:w="2154" w:type="dxa"/>
            <w:vAlign w:val="center"/>
          </w:tcPr>
          <w:p w14:paraId="38F5455C" w14:textId="6EC73322"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雲林離</w:t>
            </w:r>
            <w:proofErr w:type="gramStart"/>
            <w:r w:rsidR="00F05B31" w:rsidRPr="00793822">
              <w:rPr>
                <w:rFonts w:hAnsi="標楷體" w:hint="eastAsia"/>
                <w:spacing w:val="-20"/>
                <w:sz w:val="22"/>
                <w:szCs w:val="22"/>
              </w:rPr>
              <w:t>岸</w:t>
            </w:r>
            <w:r w:rsidRPr="00793822">
              <w:rPr>
                <w:rFonts w:hAnsi="標楷體" w:hint="eastAsia"/>
                <w:spacing w:val="-20"/>
                <w:sz w:val="22"/>
                <w:szCs w:val="22"/>
              </w:rPr>
              <w:t>風電施</w:t>
            </w:r>
            <w:proofErr w:type="gramEnd"/>
            <w:r w:rsidRPr="00793822">
              <w:rPr>
                <w:rFonts w:hAnsi="標楷體" w:hint="eastAsia"/>
                <w:spacing w:val="-20"/>
                <w:sz w:val="22"/>
                <w:szCs w:val="22"/>
              </w:rPr>
              <w:t>作遭漁民謊稱漁網受至該漁場施</w:t>
            </w:r>
            <w:proofErr w:type="gramStart"/>
            <w:r w:rsidRPr="00793822">
              <w:rPr>
                <w:rFonts w:hAnsi="標楷體" w:hint="eastAsia"/>
                <w:spacing w:val="-20"/>
                <w:sz w:val="22"/>
                <w:szCs w:val="22"/>
              </w:rPr>
              <w:t>作離</w:t>
            </w:r>
            <w:r w:rsidR="00F05B31" w:rsidRPr="00793822">
              <w:rPr>
                <w:rFonts w:hAnsi="標楷體" w:hint="eastAsia"/>
                <w:spacing w:val="-20"/>
                <w:sz w:val="22"/>
                <w:szCs w:val="22"/>
              </w:rPr>
              <w:t>岸</w:t>
            </w:r>
            <w:r w:rsidRPr="00793822">
              <w:rPr>
                <w:rFonts w:hAnsi="標楷體" w:hint="eastAsia"/>
                <w:spacing w:val="-20"/>
                <w:sz w:val="22"/>
                <w:szCs w:val="22"/>
              </w:rPr>
              <w:t>風電</w:t>
            </w:r>
            <w:proofErr w:type="gramEnd"/>
            <w:r w:rsidRPr="00793822">
              <w:rPr>
                <w:rFonts w:hAnsi="標楷體" w:hint="eastAsia"/>
                <w:spacing w:val="-20"/>
                <w:sz w:val="22"/>
                <w:szCs w:val="22"/>
              </w:rPr>
              <w:t>之工作船影響，</w:t>
            </w:r>
            <w:proofErr w:type="gramStart"/>
            <w:r w:rsidRPr="00793822">
              <w:rPr>
                <w:rFonts w:hAnsi="標楷體" w:hint="eastAsia"/>
                <w:spacing w:val="-20"/>
                <w:sz w:val="22"/>
                <w:szCs w:val="22"/>
              </w:rPr>
              <w:t>要求綠能廠商</w:t>
            </w:r>
            <w:proofErr w:type="gramEnd"/>
            <w:r w:rsidRPr="00793822">
              <w:rPr>
                <w:rFonts w:hAnsi="標楷體" w:hint="eastAsia"/>
                <w:spacing w:val="-20"/>
                <w:sz w:val="22"/>
                <w:szCs w:val="22"/>
              </w:rPr>
              <w:t>賠償並藉勢包圍工程船隻影響工程進行。</w:t>
            </w:r>
          </w:p>
        </w:tc>
        <w:tc>
          <w:tcPr>
            <w:tcW w:w="680" w:type="dxa"/>
            <w:vAlign w:val="center"/>
          </w:tcPr>
          <w:p w14:paraId="34729F22" w14:textId="77777777" w:rsidR="00BD5935" w:rsidRPr="00793822" w:rsidRDefault="00BD5935" w:rsidP="00915672">
            <w:pPr>
              <w:spacing w:line="280" w:lineRule="exact"/>
              <w:jc w:val="center"/>
              <w:rPr>
                <w:rFonts w:hAnsi="標楷體"/>
                <w:spacing w:val="-20"/>
                <w:sz w:val="22"/>
                <w:szCs w:val="22"/>
              </w:rPr>
            </w:pPr>
            <w:r w:rsidRPr="00793822">
              <w:rPr>
                <w:rFonts w:hAnsi="標楷體" w:hint="eastAsia"/>
                <w:spacing w:val="-20"/>
                <w:sz w:val="22"/>
                <w:szCs w:val="22"/>
              </w:rPr>
              <w:t>雲林縣</w:t>
            </w:r>
          </w:p>
        </w:tc>
        <w:tc>
          <w:tcPr>
            <w:tcW w:w="1757" w:type="dxa"/>
            <w:vAlign w:val="center"/>
          </w:tcPr>
          <w:p w14:paraId="2C4FA47C" w14:textId="4CAFD1F8" w:rsidR="00BD5935" w:rsidRPr="00793822" w:rsidRDefault="0064630A" w:rsidP="00915672">
            <w:pPr>
              <w:spacing w:line="280" w:lineRule="exact"/>
              <w:rPr>
                <w:rFonts w:hAnsi="標楷體"/>
                <w:spacing w:val="-20"/>
                <w:sz w:val="22"/>
                <w:szCs w:val="22"/>
              </w:rPr>
            </w:pPr>
            <w:r w:rsidRPr="00793822">
              <w:rPr>
                <w:rFonts w:hAnsi="標楷體" w:hint="eastAsia"/>
                <w:spacing w:val="-20"/>
                <w:sz w:val="22"/>
                <w:szCs w:val="22"/>
              </w:rPr>
              <w:t>(</w:t>
            </w:r>
            <w:r w:rsidR="00BD5935" w:rsidRPr="00793822">
              <w:rPr>
                <w:rFonts w:hAnsi="標楷體" w:hint="eastAsia"/>
                <w:spacing w:val="-20"/>
                <w:sz w:val="22"/>
                <w:szCs w:val="22"/>
              </w:rPr>
              <w:t>部分確定</w:t>
            </w:r>
            <w:r w:rsidRPr="00793822">
              <w:rPr>
                <w:rFonts w:hAnsi="標楷體" w:hint="eastAsia"/>
                <w:spacing w:val="-20"/>
                <w:sz w:val="22"/>
                <w:szCs w:val="22"/>
              </w:rPr>
              <w:t>)</w:t>
            </w:r>
          </w:p>
          <w:p w14:paraId="0665E751" w14:textId="77777777"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雲林地院</w:t>
            </w:r>
            <w:proofErr w:type="gramStart"/>
            <w:r w:rsidRPr="00793822">
              <w:rPr>
                <w:rFonts w:hAnsi="標楷體"/>
                <w:spacing w:val="-20"/>
                <w:sz w:val="22"/>
                <w:szCs w:val="22"/>
              </w:rPr>
              <w:t>110年度易字第583號</w:t>
            </w:r>
            <w:proofErr w:type="gramEnd"/>
          </w:p>
        </w:tc>
      </w:tr>
      <w:tr w:rsidR="006E3196" w:rsidRPr="00793822" w14:paraId="073700EB" w14:textId="77777777" w:rsidTr="00915672">
        <w:tc>
          <w:tcPr>
            <w:tcW w:w="258" w:type="dxa"/>
            <w:vAlign w:val="center"/>
          </w:tcPr>
          <w:p w14:paraId="3D333057" w14:textId="77777777" w:rsidR="00BD5935" w:rsidRPr="00793822" w:rsidRDefault="00BD5935" w:rsidP="00915672">
            <w:pPr>
              <w:spacing w:line="280" w:lineRule="exact"/>
              <w:jc w:val="center"/>
              <w:rPr>
                <w:rFonts w:hAnsi="標楷體"/>
                <w:spacing w:val="-20"/>
                <w:sz w:val="22"/>
                <w:szCs w:val="22"/>
              </w:rPr>
            </w:pPr>
            <w:r w:rsidRPr="00793822">
              <w:rPr>
                <w:rFonts w:hAnsi="標楷體" w:hint="eastAsia"/>
                <w:spacing w:val="-20"/>
                <w:sz w:val="22"/>
                <w:szCs w:val="22"/>
              </w:rPr>
              <w:t>6</w:t>
            </w:r>
          </w:p>
        </w:tc>
        <w:tc>
          <w:tcPr>
            <w:tcW w:w="1074" w:type="dxa"/>
            <w:vAlign w:val="center"/>
          </w:tcPr>
          <w:p w14:paraId="6FD2576A" w14:textId="77777777"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雲林地檢署</w:t>
            </w:r>
          </w:p>
          <w:p w14:paraId="7370673B" w14:textId="77777777" w:rsidR="00BD5935" w:rsidRPr="00793822" w:rsidRDefault="00BD5935" w:rsidP="00915672">
            <w:pPr>
              <w:spacing w:line="280" w:lineRule="exact"/>
              <w:rPr>
                <w:rFonts w:hAnsi="標楷體"/>
                <w:spacing w:val="-20"/>
                <w:sz w:val="22"/>
                <w:szCs w:val="22"/>
              </w:rPr>
            </w:pPr>
            <w:proofErr w:type="gramStart"/>
            <w:r w:rsidRPr="00793822">
              <w:rPr>
                <w:rFonts w:hAnsi="標楷體" w:hint="eastAsia"/>
                <w:spacing w:val="-20"/>
                <w:sz w:val="22"/>
                <w:szCs w:val="22"/>
              </w:rPr>
              <w:t>111</w:t>
            </w:r>
            <w:proofErr w:type="gramEnd"/>
            <w:r w:rsidRPr="00793822">
              <w:rPr>
                <w:rFonts w:hAnsi="標楷體" w:hint="eastAsia"/>
                <w:spacing w:val="-20"/>
                <w:sz w:val="22"/>
                <w:szCs w:val="22"/>
              </w:rPr>
              <w:t>年度</w:t>
            </w:r>
            <w:proofErr w:type="gramStart"/>
            <w:r w:rsidRPr="00793822">
              <w:rPr>
                <w:rFonts w:hAnsi="標楷體" w:hint="eastAsia"/>
                <w:spacing w:val="-20"/>
                <w:sz w:val="22"/>
                <w:szCs w:val="22"/>
              </w:rPr>
              <w:t>偵</w:t>
            </w:r>
            <w:proofErr w:type="gramEnd"/>
            <w:r w:rsidRPr="00793822">
              <w:rPr>
                <w:rFonts w:hAnsi="標楷體" w:hint="eastAsia"/>
                <w:spacing w:val="-20"/>
                <w:sz w:val="22"/>
                <w:szCs w:val="22"/>
              </w:rPr>
              <w:t>字第2144號等3案</w:t>
            </w:r>
          </w:p>
        </w:tc>
        <w:tc>
          <w:tcPr>
            <w:tcW w:w="903" w:type="dxa"/>
            <w:vAlign w:val="center"/>
          </w:tcPr>
          <w:p w14:paraId="3A3527AA" w14:textId="77777777"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違反貪污治罪條例等</w:t>
            </w:r>
          </w:p>
        </w:tc>
        <w:tc>
          <w:tcPr>
            <w:tcW w:w="510" w:type="dxa"/>
            <w:vAlign w:val="center"/>
          </w:tcPr>
          <w:p w14:paraId="243F6785" w14:textId="77777777" w:rsidR="00BD5935" w:rsidRPr="00793822" w:rsidRDefault="00BD5935" w:rsidP="00915672">
            <w:pPr>
              <w:spacing w:line="280" w:lineRule="exact"/>
              <w:jc w:val="center"/>
              <w:rPr>
                <w:rFonts w:hAnsi="標楷體"/>
                <w:spacing w:val="-20"/>
                <w:sz w:val="22"/>
                <w:szCs w:val="22"/>
              </w:rPr>
            </w:pPr>
            <w:r w:rsidRPr="00793822">
              <w:rPr>
                <w:rFonts w:hAnsi="標楷體" w:hint="eastAsia"/>
                <w:spacing w:val="-20"/>
                <w:sz w:val="22"/>
                <w:szCs w:val="22"/>
              </w:rPr>
              <w:t>6人</w:t>
            </w:r>
          </w:p>
        </w:tc>
        <w:tc>
          <w:tcPr>
            <w:tcW w:w="1871" w:type="dxa"/>
            <w:vAlign w:val="center"/>
          </w:tcPr>
          <w:p w14:paraId="2F732D16" w14:textId="77777777"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公務員：1人</w:t>
            </w:r>
          </w:p>
          <w:p w14:paraId="709581AD" w14:textId="77777777"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不具公務員身分：5人</w:t>
            </w:r>
          </w:p>
        </w:tc>
        <w:tc>
          <w:tcPr>
            <w:tcW w:w="2154" w:type="dxa"/>
            <w:vAlign w:val="center"/>
          </w:tcPr>
          <w:p w14:paraId="329CBE23" w14:textId="77777777"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雲林縣</w:t>
            </w:r>
            <w:proofErr w:type="gramStart"/>
            <w:r w:rsidRPr="00793822">
              <w:rPr>
                <w:rFonts w:hAnsi="標楷體" w:hint="eastAsia"/>
                <w:spacing w:val="-20"/>
                <w:sz w:val="22"/>
                <w:szCs w:val="22"/>
              </w:rPr>
              <w:t>臺</w:t>
            </w:r>
            <w:proofErr w:type="gramEnd"/>
            <w:r w:rsidRPr="00793822">
              <w:rPr>
                <w:rFonts w:hAnsi="標楷體" w:hint="eastAsia"/>
                <w:spacing w:val="-20"/>
                <w:sz w:val="22"/>
                <w:szCs w:val="22"/>
              </w:rPr>
              <w:t>西鄉鄉長指示承辦人員暫緩受理廠商路權申請公文審查，藉以索賄。</w:t>
            </w:r>
          </w:p>
        </w:tc>
        <w:tc>
          <w:tcPr>
            <w:tcW w:w="680" w:type="dxa"/>
            <w:vAlign w:val="center"/>
          </w:tcPr>
          <w:p w14:paraId="42371AF5" w14:textId="77777777" w:rsidR="00BD5935" w:rsidRPr="00793822" w:rsidRDefault="00BD5935" w:rsidP="00915672">
            <w:pPr>
              <w:spacing w:line="280" w:lineRule="exact"/>
              <w:jc w:val="center"/>
              <w:rPr>
                <w:rFonts w:hAnsi="標楷體"/>
                <w:spacing w:val="-20"/>
                <w:sz w:val="22"/>
                <w:szCs w:val="22"/>
              </w:rPr>
            </w:pPr>
            <w:r w:rsidRPr="00793822">
              <w:rPr>
                <w:rFonts w:hAnsi="標楷體" w:hint="eastAsia"/>
                <w:spacing w:val="-20"/>
                <w:sz w:val="22"/>
                <w:szCs w:val="22"/>
              </w:rPr>
              <w:t>雲林縣</w:t>
            </w:r>
          </w:p>
        </w:tc>
        <w:tc>
          <w:tcPr>
            <w:tcW w:w="1757" w:type="dxa"/>
            <w:vAlign w:val="center"/>
          </w:tcPr>
          <w:p w14:paraId="57120577" w14:textId="598AC4FD" w:rsidR="00BD5935" w:rsidRPr="00793822" w:rsidRDefault="0064630A" w:rsidP="00915672">
            <w:pPr>
              <w:spacing w:line="280" w:lineRule="exact"/>
              <w:rPr>
                <w:rFonts w:hAnsi="標楷體"/>
                <w:spacing w:val="-20"/>
                <w:sz w:val="22"/>
                <w:szCs w:val="22"/>
              </w:rPr>
            </w:pPr>
            <w:r w:rsidRPr="00793822">
              <w:rPr>
                <w:rFonts w:hAnsi="標楷體" w:hint="eastAsia"/>
                <w:spacing w:val="-20"/>
                <w:sz w:val="22"/>
                <w:szCs w:val="22"/>
              </w:rPr>
              <w:t>(</w:t>
            </w:r>
            <w:r w:rsidR="00BD5935" w:rsidRPr="00793822">
              <w:rPr>
                <w:rFonts w:hAnsi="標楷體" w:hint="eastAsia"/>
                <w:spacing w:val="-20"/>
                <w:sz w:val="22"/>
                <w:szCs w:val="22"/>
              </w:rPr>
              <w:t>尚未確定</w:t>
            </w:r>
            <w:r w:rsidRPr="00793822">
              <w:rPr>
                <w:rFonts w:hAnsi="標楷體" w:hint="eastAsia"/>
                <w:spacing w:val="-20"/>
                <w:sz w:val="22"/>
                <w:szCs w:val="22"/>
              </w:rPr>
              <w:t>)</w:t>
            </w:r>
          </w:p>
          <w:p w14:paraId="6968859D" w14:textId="77777777"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雲林地院</w:t>
            </w:r>
            <w:proofErr w:type="gramStart"/>
            <w:r w:rsidRPr="00793822">
              <w:rPr>
                <w:rFonts w:hAnsi="標楷體" w:hint="eastAsia"/>
                <w:spacing w:val="-20"/>
                <w:sz w:val="22"/>
                <w:szCs w:val="22"/>
              </w:rPr>
              <w:t>111年度訴字第268號</w:t>
            </w:r>
            <w:proofErr w:type="gramEnd"/>
          </w:p>
          <w:p w14:paraId="69DABAA3" w14:textId="77777777" w:rsidR="00BD5935" w:rsidRPr="00793822" w:rsidRDefault="00BD5935" w:rsidP="00915672">
            <w:pPr>
              <w:spacing w:line="280" w:lineRule="exact"/>
              <w:rPr>
                <w:rFonts w:hAnsi="標楷體"/>
                <w:spacing w:val="-20"/>
                <w:sz w:val="22"/>
                <w:szCs w:val="22"/>
              </w:rPr>
            </w:pPr>
            <w:proofErr w:type="gramStart"/>
            <w:r w:rsidRPr="00793822">
              <w:rPr>
                <w:rFonts w:hAnsi="標楷體" w:hint="eastAsia"/>
                <w:spacing w:val="-20"/>
                <w:sz w:val="22"/>
                <w:szCs w:val="22"/>
              </w:rPr>
              <w:t>臺</w:t>
            </w:r>
            <w:proofErr w:type="gramEnd"/>
            <w:r w:rsidRPr="00793822">
              <w:rPr>
                <w:rFonts w:hAnsi="標楷體" w:hint="eastAsia"/>
                <w:spacing w:val="-20"/>
                <w:sz w:val="22"/>
                <w:szCs w:val="22"/>
              </w:rPr>
              <w:t>南高分院</w:t>
            </w:r>
            <w:proofErr w:type="gramStart"/>
            <w:r w:rsidRPr="00793822">
              <w:rPr>
                <w:rFonts w:hAnsi="標楷體" w:hint="eastAsia"/>
                <w:spacing w:val="-20"/>
                <w:sz w:val="22"/>
                <w:szCs w:val="22"/>
              </w:rPr>
              <w:t>112</w:t>
            </w:r>
            <w:proofErr w:type="gramEnd"/>
            <w:r w:rsidRPr="00793822">
              <w:rPr>
                <w:rFonts w:hAnsi="標楷體" w:hint="eastAsia"/>
                <w:spacing w:val="-20"/>
                <w:sz w:val="22"/>
                <w:szCs w:val="22"/>
              </w:rPr>
              <w:t>年度上訴字第1148號</w:t>
            </w:r>
          </w:p>
        </w:tc>
      </w:tr>
      <w:tr w:rsidR="006E3196" w:rsidRPr="00793822" w14:paraId="39665AED" w14:textId="77777777" w:rsidTr="00915672">
        <w:tc>
          <w:tcPr>
            <w:tcW w:w="258" w:type="dxa"/>
            <w:vAlign w:val="center"/>
          </w:tcPr>
          <w:p w14:paraId="642AFAF4" w14:textId="77777777" w:rsidR="00BD5935" w:rsidRPr="00793822" w:rsidRDefault="00BD5935" w:rsidP="00915672">
            <w:pPr>
              <w:spacing w:line="280" w:lineRule="exact"/>
              <w:jc w:val="center"/>
              <w:rPr>
                <w:rFonts w:hAnsi="標楷體"/>
                <w:spacing w:val="-20"/>
                <w:sz w:val="22"/>
                <w:szCs w:val="22"/>
              </w:rPr>
            </w:pPr>
            <w:r w:rsidRPr="00793822">
              <w:rPr>
                <w:rFonts w:hAnsi="標楷體" w:hint="eastAsia"/>
                <w:spacing w:val="-20"/>
                <w:sz w:val="22"/>
                <w:szCs w:val="22"/>
              </w:rPr>
              <w:t>7</w:t>
            </w:r>
          </w:p>
        </w:tc>
        <w:tc>
          <w:tcPr>
            <w:tcW w:w="1074" w:type="dxa"/>
            <w:vAlign w:val="center"/>
          </w:tcPr>
          <w:p w14:paraId="5FEA5CB2" w14:textId="77777777" w:rsidR="00BD5935" w:rsidRPr="00793822" w:rsidRDefault="00BD5935" w:rsidP="00915672">
            <w:pPr>
              <w:spacing w:line="280" w:lineRule="exact"/>
              <w:rPr>
                <w:rFonts w:hAnsi="標楷體"/>
                <w:spacing w:val="-20"/>
                <w:sz w:val="22"/>
                <w:szCs w:val="22"/>
              </w:rPr>
            </w:pPr>
            <w:proofErr w:type="gramStart"/>
            <w:r w:rsidRPr="00793822">
              <w:rPr>
                <w:rFonts w:hAnsi="標楷體" w:hint="eastAsia"/>
                <w:spacing w:val="-20"/>
                <w:sz w:val="22"/>
                <w:szCs w:val="22"/>
              </w:rPr>
              <w:t>臺</w:t>
            </w:r>
            <w:proofErr w:type="gramEnd"/>
            <w:r w:rsidRPr="00793822">
              <w:rPr>
                <w:rFonts w:hAnsi="標楷體" w:hint="eastAsia"/>
                <w:spacing w:val="-20"/>
                <w:sz w:val="22"/>
                <w:szCs w:val="22"/>
              </w:rPr>
              <w:t>南地檢署</w:t>
            </w:r>
          </w:p>
          <w:p w14:paraId="3CF314BF" w14:textId="77777777" w:rsidR="00BD5935" w:rsidRPr="00793822" w:rsidRDefault="00BD5935" w:rsidP="00915672">
            <w:pPr>
              <w:spacing w:line="280" w:lineRule="exact"/>
              <w:rPr>
                <w:rFonts w:hAnsi="標楷體"/>
                <w:spacing w:val="-20"/>
                <w:sz w:val="22"/>
                <w:szCs w:val="22"/>
              </w:rPr>
            </w:pPr>
            <w:proofErr w:type="gramStart"/>
            <w:r w:rsidRPr="00793822">
              <w:rPr>
                <w:rFonts w:hAnsi="標楷體" w:hint="eastAsia"/>
                <w:spacing w:val="-20"/>
                <w:sz w:val="22"/>
                <w:szCs w:val="22"/>
              </w:rPr>
              <w:t>110</w:t>
            </w:r>
            <w:proofErr w:type="gramEnd"/>
            <w:r w:rsidRPr="00793822">
              <w:rPr>
                <w:rFonts w:hAnsi="標楷體" w:hint="eastAsia"/>
                <w:spacing w:val="-20"/>
                <w:sz w:val="22"/>
                <w:szCs w:val="22"/>
              </w:rPr>
              <w:t>年度營偵字第2050號</w:t>
            </w:r>
          </w:p>
        </w:tc>
        <w:tc>
          <w:tcPr>
            <w:tcW w:w="903" w:type="dxa"/>
            <w:vAlign w:val="center"/>
          </w:tcPr>
          <w:p w14:paraId="546FB56F" w14:textId="77777777"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恐嚇取財</w:t>
            </w:r>
          </w:p>
        </w:tc>
        <w:tc>
          <w:tcPr>
            <w:tcW w:w="510" w:type="dxa"/>
            <w:vAlign w:val="center"/>
          </w:tcPr>
          <w:p w14:paraId="5C903931" w14:textId="77777777" w:rsidR="00BD5935" w:rsidRPr="00793822" w:rsidRDefault="00BD5935" w:rsidP="00915672">
            <w:pPr>
              <w:spacing w:line="280" w:lineRule="exact"/>
              <w:jc w:val="center"/>
              <w:rPr>
                <w:rFonts w:hAnsi="標楷體"/>
                <w:spacing w:val="-20"/>
                <w:sz w:val="22"/>
                <w:szCs w:val="22"/>
              </w:rPr>
            </w:pPr>
            <w:r w:rsidRPr="00793822">
              <w:rPr>
                <w:rFonts w:hAnsi="標楷體" w:hint="eastAsia"/>
                <w:spacing w:val="-20"/>
                <w:sz w:val="22"/>
                <w:szCs w:val="22"/>
              </w:rPr>
              <w:t>1人</w:t>
            </w:r>
          </w:p>
        </w:tc>
        <w:tc>
          <w:tcPr>
            <w:tcW w:w="1871" w:type="dxa"/>
            <w:vAlign w:val="center"/>
          </w:tcPr>
          <w:p w14:paraId="23EEECC9" w14:textId="77777777"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黑道份子：1人</w:t>
            </w:r>
          </w:p>
        </w:tc>
        <w:tc>
          <w:tcPr>
            <w:tcW w:w="2154" w:type="dxa"/>
            <w:vAlign w:val="center"/>
          </w:tcPr>
          <w:p w14:paraId="1FFEA8A6" w14:textId="77777777"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被告持用行動電話，接續向鹽水區太陽能光電案場廠商傳送恐嚇訊息取財。</w:t>
            </w:r>
          </w:p>
        </w:tc>
        <w:tc>
          <w:tcPr>
            <w:tcW w:w="680" w:type="dxa"/>
            <w:vAlign w:val="center"/>
          </w:tcPr>
          <w:p w14:paraId="0798A2AD" w14:textId="77777777" w:rsidR="00BD5935" w:rsidRPr="00793822" w:rsidRDefault="00BD5935" w:rsidP="00915672">
            <w:pPr>
              <w:spacing w:line="280" w:lineRule="exact"/>
              <w:jc w:val="center"/>
              <w:rPr>
                <w:rFonts w:hAnsi="標楷體"/>
                <w:spacing w:val="-20"/>
                <w:sz w:val="22"/>
                <w:szCs w:val="22"/>
              </w:rPr>
            </w:pPr>
            <w:proofErr w:type="gramStart"/>
            <w:r w:rsidRPr="00793822">
              <w:rPr>
                <w:rFonts w:hAnsi="標楷體" w:hint="eastAsia"/>
                <w:spacing w:val="-20"/>
                <w:sz w:val="22"/>
                <w:szCs w:val="22"/>
              </w:rPr>
              <w:t>臺</w:t>
            </w:r>
            <w:proofErr w:type="gramEnd"/>
            <w:r w:rsidRPr="00793822">
              <w:rPr>
                <w:rFonts w:hAnsi="標楷體" w:hint="eastAsia"/>
                <w:spacing w:val="-20"/>
                <w:sz w:val="22"/>
                <w:szCs w:val="22"/>
              </w:rPr>
              <w:t>南市</w:t>
            </w:r>
          </w:p>
        </w:tc>
        <w:tc>
          <w:tcPr>
            <w:tcW w:w="1757" w:type="dxa"/>
            <w:vAlign w:val="center"/>
          </w:tcPr>
          <w:p w14:paraId="05A58D6F" w14:textId="0436DB47" w:rsidR="00BD5935" w:rsidRPr="00793822" w:rsidRDefault="0064630A" w:rsidP="00915672">
            <w:pPr>
              <w:spacing w:line="280" w:lineRule="exact"/>
              <w:rPr>
                <w:rFonts w:hAnsi="標楷體"/>
                <w:spacing w:val="-20"/>
                <w:sz w:val="22"/>
                <w:szCs w:val="22"/>
              </w:rPr>
            </w:pPr>
            <w:r w:rsidRPr="00793822">
              <w:rPr>
                <w:rFonts w:hAnsi="標楷體" w:hint="eastAsia"/>
                <w:spacing w:val="-20"/>
                <w:sz w:val="22"/>
                <w:szCs w:val="22"/>
              </w:rPr>
              <w:t>(</w:t>
            </w:r>
            <w:r w:rsidR="00BD5935" w:rsidRPr="00793822">
              <w:rPr>
                <w:rFonts w:hAnsi="標楷體" w:hint="eastAsia"/>
                <w:spacing w:val="-20"/>
                <w:sz w:val="22"/>
                <w:szCs w:val="22"/>
              </w:rPr>
              <w:t>判決確定</w:t>
            </w:r>
            <w:r w:rsidRPr="00793822">
              <w:rPr>
                <w:rFonts w:hAnsi="標楷體" w:hint="eastAsia"/>
                <w:spacing w:val="-20"/>
                <w:sz w:val="22"/>
                <w:szCs w:val="22"/>
              </w:rPr>
              <w:t>)</w:t>
            </w:r>
          </w:p>
          <w:p w14:paraId="3B2F92D9" w14:textId="77777777" w:rsidR="00BD5935" w:rsidRPr="00793822" w:rsidRDefault="00BD5935" w:rsidP="00915672">
            <w:pPr>
              <w:spacing w:line="280" w:lineRule="exact"/>
              <w:rPr>
                <w:rFonts w:hAnsi="標楷體"/>
                <w:spacing w:val="-20"/>
                <w:sz w:val="22"/>
                <w:szCs w:val="22"/>
              </w:rPr>
            </w:pPr>
            <w:proofErr w:type="gramStart"/>
            <w:r w:rsidRPr="00793822">
              <w:rPr>
                <w:rFonts w:hAnsi="標楷體" w:hint="eastAsia"/>
                <w:spacing w:val="-20"/>
                <w:sz w:val="22"/>
                <w:szCs w:val="22"/>
              </w:rPr>
              <w:t>臺</w:t>
            </w:r>
            <w:proofErr w:type="gramEnd"/>
            <w:r w:rsidRPr="00793822">
              <w:rPr>
                <w:rFonts w:hAnsi="標楷體" w:hint="eastAsia"/>
                <w:spacing w:val="-20"/>
                <w:sz w:val="22"/>
                <w:szCs w:val="22"/>
              </w:rPr>
              <w:t>南地院</w:t>
            </w:r>
            <w:proofErr w:type="gramStart"/>
            <w:r w:rsidRPr="00793822">
              <w:rPr>
                <w:rFonts w:hAnsi="標楷體" w:hint="eastAsia"/>
                <w:spacing w:val="-20"/>
                <w:sz w:val="22"/>
                <w:szCs w:val="22"/>
              </w:rPr>
              <w:t>110年度易字第986號</w:t>
            </w:r>
            <w:proofErr w:type="gramEnd"/>
          </w:p>
          <w:p w14:paraId="2B21592A" w14:textId="77777777" w:rsidR="00BD5935" w:rsidRPr="00793822" w:rsidRDefault="00BD5935" w:rsidP="00915672">
            <w:pPr>
              <w:spacing w:line="280" w:lineRule="exact"/>
              <w:rPr>
                <w:rFonts w:hAnsi="標楷體"/>
                <w:spacing w:val="-20"/>
                <w:sz w:val="22"/>
                <w:szCs w:val="22"/>
              </w:rPr>
            </w:pPr>
            <w:proofErr w:type="gramStart"/>
            <w:r w:rsidRPr="00793822">
              <w:rPr>
                <w:rFonts w:hAnsi="標楷體" w:hint="eastAsia"/>
                <w:spacing w:val="-20"/>
                <w:sz w:val="22"/>
                <w:szCs w:val="22"/>
              </w:rPr>
              <w:t>臺</w:t>
            </w:r>
            <w:proofErr w:type="gramEnd"/>
            <w:r w:rsidRPr="00793822">
              <w:rPr>
                <w:rFonts w:hAnsi="標楷體" w:hint="eastAsia"/>
                <w:spacing w:val="-20"/>
                <w:sz w:val="22"/>
                <w:szCs w:val="22"/>
              </w:rPr>
              <w:t>南高分院</w:t>
            </w:r>
            <w:proofErr w:type="gramStart"/>
            <w:r w:rsidRPr="00793822">
              <w:rPr>
                <w:rFonts w:hAnsi="標楷體" w:hint="eastAsia"/>
                <w:spacing w:val="-20"/>
                <w:sz w:val="22"/>
                <w:szCs w:val="22"/>
              </w:rPr>
              <w:t>111</w:t>
            </w:r>
            <w:proofErr w:type="gramEnd"/>
            <w:r w:rsidRPr="00793822">
              <w:rPr>
                <w:rFonts w:hAnsi="標楷體" w:hint="eastAsia"/>
                <w:spacing w:val="-20"/>
                <w:sz w:val="22"/>
                <w:szCs w:val="22"/>
              </w:rPr>
              <w:t>年度</w:t>
            </w:r>
            <w:proofErr w:type="gramStart"/>
            <w:r w:rsidRPr="00793822">
              <w:rPr>
                <w:rFonts w:hAnsi="標楷體" w:hint="eastAsia"/>
                <w:spacing w:val="-20"/>
                <w:sz w:val="22"/>
                <w:szCs w:val="22"/>
              </w:rPr>
              <w:t>上易字第92號</w:t>
            </w:r>
            <w:proofErr w:type="gramEnd"/>
          </w:p>
        </w:tc>
      </w:tr>
      <w:tr w:rsidR="006E3196" w:rsidRPr="00793822" w14:paraId="2DCF29D6" w14:textId="77777777" w:rsidTr="00915672">
        <w:tc>
          <w:tcPr>
            <w:tcW w:w="258" w:type="dxa"/>
            <w:vAlign w:val="center"/>
          </w:tcPr>
          <w:p w14:paraId="26BB188E" w14:textId="77777777" w:rsidR="00BD5935" w:rsidRPr="00793822" w:rsidRDefault="00BD5935" w:rsidP="00915672">
            <w:pPr>
              <w:spacing w:line="280" w:lineRule="exact"/>
              <w:jc w:val="center"/>
              <w:rPr>
                <w:rFonts w:hAnsi="標楷體"/>
                <w:spacing w:val="-20"/>
                <w:sz w:val="22"/>
                <w:szCs w:val="22"/>
              </w:rPr>
            </w:pPr>
            <w:r w:rsidRPr="00793822">
              <w:rPr>
                <w:rFonts w:hAnsi="標楷體" w:hint="eastAsia"/>
                <w:spacing w:val="-20"/>
                <w:sz w:val="22"/>
                <w:szCs w:val="22"/>
              </w:rPr>
              <w:t>8</w:t>
            </w:r>
          </w:p>
        </w:tc>
        <w:tc>
          <w:tcPr>
            <w:tcW w:w="1074" w:type="dxa"/>
            <w:vAlign w:val="center"/>
          </w:tcPr>
          <w:p w14:paraId="72A9CCFC" w14:textId="77777777"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苗栗地檢署</w:t>
            </w:r>
          </w:p>
          <w:p w14:paraId="7729D1BC" w14:textId="77777777"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111年</w:t>
            </w:r>
            <w:proofErr w:type="gramStart"/>
            <w:r w:rsidRPr="00793822">
              <w:rPr>
                <w:rFonts w:hAnsi="標楷體" w:hint="eastAsia"/>
                <w:spacing w:val="-20"/>
                <w:sz w:val="22"/>
                <w:szCs w:val="22"/>
              </w:rPr>
              <w:t>偵</w:t>
            </w:r>
            <w:proofErr w:type="gramEnd"/>
            <w:r w:rsidRPr="00793822">
              <w:rPr>
                <w:rFonts w:hAnsi="標楷體" w:hint="eastAsia"/>
                <w:spacing w:val="-20"/>
                <w:sz w:val="22"/>
                <w:szCs w:val="22"/>
              </w:rPr>
              <w:t>字第3600號等14案</w:t>
            </w:r>
          </w:p>
        </w:tc>
        <w:tc>
          <w:tcPr>
            <w:tcW w:w="903" w:type="dxa"/>
            <w:vAlign w:val="center"/>
          </w:tcPr>
          <w:p w14:paraId="1A60129C" w14:textId="77777777"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違反貪污治罪條例、恐嚇取財等</w:t>
            </w:r>
          </w:p>
          <w:p w14:paraId="72B6A124" w14:textId="77777777" w:rsidR="00BD5935" w:rsidRPr="00793822" w:rsidRDefault="00BD5935" w:rsidP="00915672">
            <w:pPr>
              <w:spacing w:line="280" w:lineRule="exact"/>
              <w:rPr>
                <w:rFonts w:hAnsi="標楷體"/>
                <w:spacing w:val="-20"/>
                <w:sz w:val="22"/>
                <w:szCs w:val="22"/>
              </w:rPr>
            </w:pPr>
          </w:p>
        </w:tc>
        <w:tc>
          <w:tcPr>
            <w:tcW w:w="510" w:type="dxa"/>
            <w:vAlign w:val="center"/>
          </w:tcPr>
          <w:p w14:paraId="6350E44D" w14:textId="77777777" w:rsidR="00BD5935" w:rsidRPr="00793822" w:rsidRDefault="00BD5935" w:rsidP="00915672">
            <w:pPr>
              <w:spacing w:line="280" w:lineRule="exact"/>
              <w:jc w:val="center"/>
              <w:rPr>
                <w:rFonts w:hAnsi="標楷體"/>
                <w:spacing w:val="-20"/>
                <w:sz w:val="22"/>
                <w:szCs w:val="22"/>
              </w:rPr>
            </w:pPr>
            <w:r w:rsidRPr="00793822">
              <w:rPr>
                <w:rFonts w:hAnsi="標楷體" w:hint="eastAsia"/>
                <w:spacing w:val="-20"/>
                <w:sz w:val="22"/>
                <w:szCs w:val="22"/>
              </w:rPr>
              <w:t>2</w:t>
            </w:r>
            <w:r w:rsidRPr="00793822">
              <w:rPr>
                <w:rFonts w:hAnsi="標楷體"/>
                <w:spacing w:val="-20"/>
                <w:sz w:val="22"/>
                <w:szCs w:val="22"/>
              </w:rPr>
              <w:t>1</w:t>
            </w:r>
            <w:r w:rsidRPr="00793822">
              <w:rPr>
                <w:rFonts w:hAnsi="標楷體" w:hint="eastAsia"/>
                <w:spacing w:val="-20"/>
                <w:sz w:val="22"/>
                <w:szCs w:val="22"/>
              </w:rPr>
              <w:t>人</w:t>
            </w:r>
          </w:p>
        </w:tc>
        <w:tc>
          <w:tcPr>
            <w:tcW w:w="1871" w:type="dxa"/>
            <w:vAlign w:val="center"/>
          </w:tcPr>
          <w:p w14:paraId="3153527D" w14:textId="77777777"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公務員：1人</w:t>
            </w:r>
          </w:p>
          <w:p w14:paraId="64904A31" w14:textId="77777777"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民意代表：1人</w:t>
            </w:r>
          </w:p>
          <w:p w14:paraId="0E7B3044" w14:textId="77777777"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不具公務員身分：19人</w:t>
            </w:r>
          </w:p>
        </w:tc>
        <w:tc>
          <w:tcPr>
            <w:tcW w:w="2154" w:type="dxa"/>
            <w:vAlign w:val="center"/>
          </w:tcPr>
          <w:p w14:paraId="26F75AD9" w14:textId="77777777"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苗栗縣三灣鄉長辦理三灣光電系統</w:t>
            </w:r>
            <w:proofErr w:type="gramStart"/>
            <w:r w:rsidRPr="00793822">
              <w:rPr>
                <w:rFonts w:hAnsi="標楷體" w:hint="eastAsia"/>
                <w:spacing w:val="-20"/>
                <w:sz w:val="22"/>
                <w:szCs w:val="22"/>
              </w:rPr>
              <w:t>標租案</w:t>
            </w:r>
            <w:proofErr w:type="gramEnd"/>
            <w:r w:rsidRPr="00793822">
              <w:rPr>
                <w:rFonts w:hAnsi="標楷體" w:hint="eastAsia"/>
                <w:spacing w:val="-20"/>
                <w:sz w:val="22"/>
                <w:szCs w:val="22"/>
              </w:rPr>
              <w:t>，以積壓合約使廠商因未簽約取得土地使用權無法進場</w:t>
            </w:r>
            <w:proofErr w:type="gramStart"/>
            <w:r w:rsidRPr="00793822">
              <w:rPr>
                <w:rFonts w:hAnsi="標楷體" w:hint="eastAsia"/>
                <w:spacing w:val="-20"/>
                <w:sz w:val="22"/>
                <w:szCs w:val="22"/>
              </w:rPr>
              <w:t>施作索賄</w:t>
            </w:r>
            <w:proofErr w:type="gramEnd"/>
            <w:r w:rsidRPr="00793822">
              <w:rPr>
                <w:rFonts w:hAnsi="標楷體" w:hint="eastAsia"/>
                <w:spacing w:val="-20"/>
                <w:sz w:val="22"/>
                <w:szCs w:val="22"/>
              </w:rPr>
              <w:t>。</w:t>
            </w:r>
          </w:p>
        </w:tc>
        <w:tc>
          <w:tcPr>
            <w:tcW w:w="680" w:type="dxa"/>
            <w:vAlign w:val="center"/>
          </w:tcPr>
          <w:p w14:paraId="7A650EDF" w14:textId="77777777" w:rsidR="00BD5935" w:rsidRPr="00793822" w:rsidRDefault="00BD5935" w:rsidP="00915672">
            <w:pPr>
              <w:spacing w:line="280" w:lineRule="exact"/>
              <w:jc w:val="center"/>
              <w:rPr>
                <w:rFonts w:hAnsi="標楷體"/>
                <w:spacing w:val="-20"/>
                <w:sz w:val="22"/>
                <w:szCs w:val="22"/>
              </w:rPr>
            </w:pPr>
            <w:r w:rsidRPr="00793822">
              <w:rPr>
                <w:rFonts w:hAnsi="標楷體" w:hint="eastAsia"/>
                <w:spacing w:val="-20"/>
                <w:sz w:val="22"/>
                <w:szCs w:val="22"/>
              </w:rPr>
              <w:t>苗栗縣</w:t>
            </w:r>
          </w:p>
        </w:tc>
        <w:tc>
          <w:tcPr>
            <w:tcW w:w="1757" w:type="dxa"/>
            <w:vAlign w:val="center"/>
          </w:tcPr>
          <w:p w14:paraId="11F86B43" w14:textId="1BDB26A6" w:rsidR="00BD5935" w:rsidRPr="00793822" w:rsidRDefault="0064630A" w:rsidP="00915672">
            <w:pPr>
              <w:spacing w:line="280" w:lineRule="exact"/>
              <w:rPr>
                <w:rFonts w:hAnsi="標楷體"/>
                <w:spacing w:val="-20"/>
                <w:sz w:val="22"/>
                <w:szCs w:val="22"/>
              </w:rPr>
            </w:pPr>
            <w:r w:rsidRPr="00793822">
              <w:rPr>
                <w:rFonts w:hAnsi="標楷體" w:hint="eastAsia"/>
                <w:spacing w:val="-20"/>
                <w:sz w:val="22"/>
                <w:szCs w:val="22"/>
              </w:rPr>
              <w:t>(</w:t>
            </w:r>
            <w:r w:rsidR="00BD5935" w:rsidRPr="00793822">
              <w:rPr>
                <w:rFonts w:hAnsi="標楷體" w:hint="eastAsia"/>
                <w:spacing w:val="-20"/>
                <w:sz w:val="22"/>
                <w:szCs w:val="22"/>
              </w:rPr>
              <w:t>尚未確定</w:t>
            </w:r>
            <w:r w:rsidRPr="00793822">
              <w:rPr>
                <w:rFonts w:hAnsi="標楷體" w:hint="eastAsia"/>
                <w:spacing w:val="-20"/>
                <w:sz w:val="22"/>
                <w:szCs w:val="22"/>
              </w:rPr>
              <w:t>)</w:t>
            </w:r>
          </w:p>
          <w:p w14:paraId="0237B2B3" w14:textId="10EA1A03"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苗栗地院</w:t>
            </w:r>
            <w:proofErr w:type="gramStart"/>
            <w:r w:rsidRPr="00793822">
              <w:rPr>
                <w:rFonts w:hAnsi="標楷體" w:hint="eastAsia"/>
                <w:spacing w:val="-20"/>
                <w:sz w:val="22"/>
                <w:szCs w:val="22"/>
              </w:rPr>
              <w:t>111</w:t>
            </w:r>
            <w:proofErr w:type="gramEnd"/>
            <w:r w:rsidRPr="00793822">
              <w:rPr>
                <w:rFonts w:hAnsi="標楷體" w:hint="eastAsia"/>
                <w:spacing w:val="-20"/>
                <w:sz w:val="22"/>
                <w:szCs w:val="22"/>
              </w:rPr>
              <w:t>年度</w:t>
            </w:r>
            <w:proofErr w:type="gramStart"/>
            <w:r w:rsidRPr="00793822">
              <w:rPr>
                <w:rFonts w:hAnsi="標楷體" w:hint="eastAsia"/>
                <w:spacing w:val="-20"/>
                <w:sz w:val="22"/>
                <w:szCs w:val="22"/>
              </w:rPr>
              <w:t>重訴字</w:t>
            </w:r>
            <w:proofErr w:type="gramEnd"/>
            <w:r w:rsidRPr="00793822">
              <w:rPr>
                <w:rFonts w:hAnsi="標楷體" w:hint="eastAsia"/>
                <w:spacing w:val="-20"/>
                <w:sz w:val="22"/>
                <w:szCs w:val="22"/>
              </w:rPr>
              <w:t>第9號</w:t>
            </w:r>
            <w:r w:rsidR="0064630A" w:rsidRPr="00793822">
              <w:rPr>
                <w:rFonts w:hAnsi="標楷體" w:hint="eastAsia"/>
                <w:spacing w:val="-20"/>
                <w:sz w:val="22"/>
                <w:szCs w:val="22"/>
              </w:rPr>
              <w:t>(</w:t>
            </w:r>
            <w:r w:rsidRPr="00793822">
              <w:rPr>
                <w:rFonts w:hAnsi="標楷體" w:hint="eastAsia"/>
                <w:spacing w:val="-20"/>
                <w:sz w:val="22"/>
                <w:szCs w:val="22"/>
              </w:rPr>
              <w:t>審理中</w:t>
            </w:r>
            <w:r w:rsidR="0064630A" w:rsidRPr="00793822">
              <w:rPr>
                <w:rFonts w:hAnsi="標楷體" w:hint="eastAsia"/>
                <w:spacing w:val="-20"/>
                <w:sz w:val="22"/>
                <w:szCs w:val="22"/>
              </w:rPr>
              <w:t>)</w:t>
            </w:r>
          </w:p>
        </w:tc>
      </w:tr>
      <w:tr w:rsidR="006E3196" w:rsidRPr="00793822" w14:paraId="71C84FAF" w14:textId="77777777" w:rsidTr="00915672">
        <w:tc>
          <w:tcPr>
            <w:tcW w:w="258" w:type="dxa"/>
            <w:vAlign w:val="center"/>
          </w:tcPr>
          <w:p w14:paraId="7F84C20B" w14:textId="77777777" w:rsidR="00BD5935" w:rsidRPr="00793822" w:rsidRDefault="00BD5935" w:rsidP="00915672">
            <w:pPr>
              <w:spacing w:line="280" w:lineRule="exact"/>
              <w:jc w:val="center"/>
              <w:rPr>
                <w:rFonts w:hAnsi="標楷體"/>
                <w:spacing w:val="-20"/>
                <w:sz w:val="22"/>
                <w:szCs w:val="22"/>
              </w:rPr>
            </w:pPr>
            <w:r w:rsidRPr="00793822">
              <w:rPr>
                <w:rFonts w:hAnsi="標楷體" w:hint="eastAsia"/>
                <w:spacing w:val="-20"/>
                <w:sz w:val="22"/>
                <w:szCs w:val="22"/>
              </w:rPr>
              <w:t>9</w:t>
            </w:r>
          </w:p>
        </w:tc>
        <w:tc>
          <w:tcPr>
            <w:tcW w:w="1074" w:type="dxa"/>
            <w:vAlign w:val="center"/>
          </w:tcPr>
          <w:p w14:paraId="231525E5" w14:textId="77777777"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彰化地檢署</w:t>
            </w:r>
          </w:p>
          <w:p w14:paraId="7D5B8C71" w14:textId="77777777" w:rsidR="00BD5935" w:rsidRPr="00793822" w:rsidRDefault="00BD5935" w:rsidP="00915672">
            <w:pPr>
              <w:spacing w:line="280" w:lineRule="exact"/>
              <w:rPr>
                <w:rFonts w:hAnsi="標楷體"/>
                <w:spacing w:val="-20"/>
                <w:sz w:val="22"/>
                <w:szCs w:val="22"/>
              </w:rPr>
            </w:pPr>
            <w:r w:rsidRPr="00793822">
              <w:rPr>
                <w:rFonts w:hAnsi="標楷體"/>
                <w:spacing w:val="-20"/>
                <w:sz w:val="22"/>
                <w:szCs w:val="22"/>
              </w:rPr>
              <w:t>112年</w:t>
            </w:r>
            <w:proofErr w:type="gramStart"/>
            <w:r w:rsidRPr="00793822">
              <w:rPr>
                <w:rFonts w:hAnsi="標楷體"/>
                <w:spacing w:val="-20"/>
                <w:sz w:val="22"/>
                <w:szCs w:val="22"/>
              </w:rPr>
              <w:t>偵</w:t>
            </w:r>
            <w:proofErr w:type="gramEnd"/>
            <w:r w:rsidRPr="00793822">
              <w:rPr>
                <w:rFonts w:hAnsi="標楷體"/>
                <w:spacing w:val="-20"/>
                <w:sz w:val="22"/>
                <w:szCs w:val="22"/>
              </w:rPr>
              <w:t>字第</w:t>
            </w:r>
            <w:r w:rsidRPr="00793822">
              <w:rPr>
                <w:rFonts w:hAnsi="標楷體" w:hint="eastAsia"/>
                <w:spacing w:val="-20"/>
                <w:sz w:val="22"/>
                <w:szCs w:val="22"/>
              </w:rPr>
              <w:t>10235、13042、13043</w:t>
            </w:r>
            <w:r w:rsidRPr="00793822">
              <w:rPr>
                <w:rFonts w:hAnsi="標楷體"/>
                <w:spacing w:val="-20"/>
                <w:sz w:val="22"/>
                <w:szCs w:val="22"/>
              </w:rPr>
              <w:t>號</w:t>
            </w:r>
            <w:r w:rsidRPr="00793822">
              <w:rPr>
                <w:rFonts w:hAnsi="標楷體" w:hint="eastAsia"/>
                <w:spacing w:val="-20"/>
                <w:sz w:val="22"/>
                <w:szCs w:val="22"/>
              </w:rPr>
              <w:t>等3案</w:t>
            </w:r>
          </w:p>
        </w:tc>
        <w:tc>
          <w:tcPr>
            <w:tcW w:w="903" w:type="dxa"/>
            <w:vAlign w:val="center"/>
          </w:tcPr>
          <w:p w14:paraId="3C27CB7A" w14:textId="77777777"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違反貪污治罪條例等</w:t>
            </w:r>
          </w:p>
          <w:p w14:paraId="5DB5EE0C" w14:textId="77777777" w:rsidR="00BD5935" w:rsidRPr="00793822" w:rsidRDefault="00BD5935" w:rsidP="00915672">
            <w:pPr>
              <w:spacing w:line="280" w:lineRule="exact"/>
              <w:rPr>
                <w:rFonts w:hAnsi="標楷體"/>
                <w:spacing w:val="-20"/>
                <w:sz w:val="22"/>
                <w:szCs w:val="22"/>
              </w:rPr>
            </w:pPr>
          </w:p>
        </w:tc>
        <w:tc>
          <w:tcPr>
            <w:tcW w:w="510" w:type="dxa"/>
            <w:vAlign w:val="center"/>
          </w:tcPr>
          <w:p w14:paraId="277A1D53" w14:textId="77777777" w:rsidR="00BD5935" w:rsidRPr="00793822" w:rsidRDefault="00BD5935" w:rsidP="00915672">
            <w:pPr>
              <w:spacing w:line="280" w:lineRule="exact"/>
              <w:jc w:val="center"/>
              <w:rPr>
                <w:rFonts w:hAnsi="標楷體"/>
                <w:spacing w:val="-20"/>
                <w:sz w:val="22"/>
                <w:szCs w:val="22"/>
              </w:rPr>
            </w:pPr>
            <w:r w:rsidRPr="00793822">
              <w:rPr>
                <w:rFonts w:hAnsi="標楷體" w:hint="eastAsia"/>
                <w:spacing w:val="-20"/>
                <w:sz w:val="22"/>
                <w:szCs w:val="22"/>
              </w:rPr>
              <w:t>1人</w:t>
            </w:r>
          </w:p>
        </w:tc>
        <w:tc>
          <w:tcPr>
            <w:tcW w:w="1871" w:type="dxa"/>
            <w:vAlign w:val="center"/>
          </w:tcPr>
          <w:p w14:paraId="12C3C043" w14:textId="77777777"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民意代表：1人</w:t>
            </w:r>
          </w:p>
        </w:tc>
        <w:tc>
          <w:tcPr>
            <w:tcW w:w="2154" w:type="dxa"/>
            <w:vAlign w:val="center"/>
          </w:tcPr>
          <w:p w14:paraId="7AB38C46" w14:textId="77777777"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大城鄉鄉代會代表假藉協助</w:t>
            </w:r>
            <w:proofErr w:type="gramStart"/>
            <w:r w:rsidRPr="00793822">
              <w:rPr>
                <w:rFonts w:hAnsi="標楷體" w:hint="eastAsia"/>
                <w:spacing w:val="-20"/>
                <w:sz w:val="22"/>
                <w:szCs w:val="22"/>
              </w:rPr>
              <w:t>蜆</w:t>
            </w:r>
            <w:proofErr w:type="gramEnd"/>
            <w:r w:rsidRPr="00793822">
              <w:rPr>
                <w:rFonts w:hAnsi="標楷體" w:hint="eastAsia"/>
                <w:spacing w:val="-20"/>
                <w:sz w:val="22"/>
                <w:szCs w:val="22"/>
              </w:rPr>
              <w:t>戶爭取補償迫使廠商停工，勒索財物。</w:t>
            </w:r>
          </w:p>
        </w:tc>
        <w:tc>
          <w:tcPr>
            <w:tcW w:w="680" w:type="dxa"/>
            <w:vAlign w:val="center"/>
          </w:tcPr>
          <w:p w14:paraId="551953A3" w14:textId="77777777" w:rsidR="00BD5935" w:rsidRPr="00793822" w:rsidRDefault="00BD5935" w:rsidP="00915672">
            <w:pPr>
              <w:spacing w:line="280" w:lineRule="exact"/>
              <w:jc w:val="center"/>
              <w:rPr>
                <w:rFonts w:hAnsi="標楷體"/>
                <w:spacing w:val="-20"/>
                <w:sz w:val="22"/>
                <w:szCs w:val="22"/>
              </w:rPr>
            </w:pPr>
            <w:r w:rsidRPr="00793822">
              <w:rPr>
                <w:rFonts w:hAnsi="標楷體" w:hint="eastAsia"/>
                <w:spacing w:val="-20"/>
                <w:sz w:val="22"/>
                <w:szCs w:val="22"/>
              </w:rPr>
              <w:t>彰化縣</w:t>
            </w:r>
          </w:p>
        </w:tc>
        <w:tc>
          <w:tcPr>
            <w:tcW w:w="1757" w:type="dxa"/>
            <w:vAlign w:val="center"/>
          </w:tcPr>
          <w:p w14:paraId="47AA77F2" w14:textId="651DA964"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彰化地院</w:t>
            </w:r>
            <w:proofErr w:type="gramStart"/>
            <w:r w:rsidRPr="00793822">
              <w:rPr>
                <w:rFonts w:hAnsi="標楷體" w:hint="eastAsia"/>
                <w:spacing w:val="-20"/>
                <w:sz w:val="22"/>
                <w:szCs w:val="22"/>
              </w:rPr>
              <w:t>112年度訴字第670號</w:t>
            </w:r>
            <w:proofErr w:type="gramEnd"/>
            <w:r w:rsidR="0064630A" w:rsidRPr="00793822">
              <w:rPr>
                <w:rFonts w:hAnsi="標楷體" w:hint="eastAsia"/>
                <w:spacing w:val="-20"/>
                <w:sz w:val="22"/>
                <w:szCs w:val="22"/>
              </w:rPr>
              <w:t>(</w:t>
            </w:r>
            <w:r w:rsidRPr="00793822">
              <w:rPr>
                <w:rFonts w:hAnsi="標楷體" w:hint="eastAsia"/>
                <w:spacing w:val="-20"/>
                <w:sz w:val="22"/>
                <w:szCs w:val="22"/>
              </w:rPr>
              <w:t>審理中</w:t>
            </w:r>
            <w:r w:rsidR="0064630A" w:rsidRPr="00793822">
              <w:rPr>
                <w:rFonts w:hAnsi="標楷體" w:hint="eastAsia"/>
                <w:spacing w:val="-20"/>
                <w:sz w:val="22"/>
                <w:szCs w:val="22"/>
              </w:rPr>
              <w:t>)</w:t>
            </w:r>
          </w:p>
        </w:tc>
      </w:tr>
      <w:tr w:rsidR="006E3196" w:rsidRPr="00793822" w14:paraId="528FEA63" w14:textId="77777777" w:rsidTr="00915672">
        <w:tc>
          <w:tcPr>
            <w:tcW w:w="258" w:type="dxa"/>
            <w:vAlign w:val="center"/>
          </w:tcPr>
          <w:p w14:paraId="2CA5E56F" w14:textId="77777777" w:rsidR="00BD5935" w:rsidRPr="00793822" w:rsidRDefault="00BD5935" w:rsidP="00915672">
            <w:pPr>
              <w:spacing w:line="280" w:lineRule="exact"/>
              <w:jc w:val="center"/>
              <w:rPr>
                <w:rFonts w:hAnsi="標楷體"/>
                <w:spacing w:val="-20"/>
                <w:sz w:val="22"/>
                <w:szCs w:val="22"/>
              </w:rPr>
            </w:pPr>
            <w:r w:rsidRPr="00793822">
              <w:rPr>
                <w:rFonts w:hAnsi="標楷體" w:hint="eastAsia"/>
                <w:spacing w:val="-20"/>
                <w:sz w:val="22"/>
                <w:szCs w:val="22"/>
              </w:rPr>
              <w:t>10</w:t>
            </w:r>
          </w:p>
        </w:tc>
        <w:tc>
          <w:tcPr>
            <w:tcW w:w="1074" w:type="dxa"/>
            <w:vAlign w:val="center"/>
          </w:tcPr>
          <w:p w14:paraId="735FACB6" w14:textId="77777777"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雲林地檢署</w:t>
            </w:r>
          </w:p>
          <w:p w14:paraId="3871B6B5" w14:textId="77777777"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112年</w:t>
            </w:r>
            <w:proofErr w:type="gramStart"/>
            <w:r w:rsidRPr="00793822">
              <w:rPr>
                <w:rFonts w:hAnsi="標楷體" w:hint="eastAsia"/>
                <w:spacing w:val="-20"/>
                <w:sz w:val="22"/>
                <w:szCs w:val="22"/>
              </w:rPr>
              <w:t>偵</w:t>
            </w:r>
            <w:proofErr w:type="gramEnd"/>
            <w:r w:rsidRPr="00793822">
              <w:rPr>
                <w:rFonts w:hAnsi="標楷體" w:hint="eastAsia"/>
                <w:spacing w:val="-20"/>
                <w:sz w:val="22"/>
                <w:szCs w:val="22"/>
              </w:rPr>
              <w:t>字第2253、7083、7084、7085、7115號等5案</w:t>
            </w:r>
          </w:p>
        </w:tc>
        <w:tc>
          <w:tcPr>
            <w:tcW w:w="903" w:type="dxa"/>
            <w:vAlign w:val="center"/>
          </w:tcPr>
          <w:p w14:paraId="7D7B0981" w14:textId="77777777"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違反貪污治罪條例等</w:t>
            </w:r>
          </w:p>
          <w:p w14:paraId="74288C33" w14:textId="77777777" w:rsidR="00BD5935" w:rsidRPr="00793822" w:rsidRDefault="00BD5935" w:rsidP="00915672">
            <w:pPr>
              <w:spacing w:line="280" w:lineRule="exact"/>
              <w:rPr>
                <w:rFonts w:hAnsi="標楷體"/>
                <w:spacing w:val="-20"/>
                <w:sz w:val="22"/>
                <w:szCs w:val="22"/>
              </w:rPr>
            </w:pPr>
          </w:p>
          <w:p w14:paraId="529787EC" w14:textId="77777777" w:rsidR="00BD5935" w:rsidRPr="00793822" w:rsidRDefault="00BD5935" w:rsidP="00915672">
            <w:pPr>
              <w:spacing w:line="280" w:lineRule="exact"/>
              <w:rPr>
                <w:rFonts w:hAnsi="標楷體"/>
                <w:spacing w:val="-20"/>
                <w:sz w:val="22"/>
                <w:szCs w:val="22"/>
              </w:rPr>
            </w:pPr>
          </w:p>
        </w:tc>
        <w:tc>
          <w:tcPr>
            <w:tcW w:w="510" w:type="dxa"/>
            <w:vAlign w:val="center"/>
          </w:tcPr>
          <w:p w14:paraId="1A464B45" w14:textId="77777777" w:rsidR="00BD5935" w:rsidRPr="00793822" w:rsidRDefault="00BD5935" w:rsidP="00915672">
            <w:pPr>
              <w:spacing w:line="280" w:lineRule="exact"/>
              <w:jc w:val="center"/>
              <w:rPr>
                <w:rFonts w:hAnsi="標楷體"/>
                <w:spacing w:val="-20"/>
                <w:sz w:val="22"/>
                <w:szCs w:val="22"/>
              </w:rPr>
            </w:pPr>
            <w:r w:rsidRPr="00793822">
              <w:rPr>
                <w:rFonts w:hAnsi="標楷體" w:hint="eastAsia"/>
                <w:spacing w:val="-20"/>
                <w:sz w:val="22"/>
                <w:szCs w:val="22"/>
              </w:rPr>
              <w:t>5人</w:t>
            </w:r>
          </w:p>
        </w:tc>
        <w:tc>
          <w:tcPr>
            <w:tcW w:w="1871" w:type="dxa"/>
            <w:vAlign w:val="center"/>
          </w:tcPr>
          <w:p w14:paraId="15C24413" w14:textId="77777777"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民意代表：2人</w:t>
            </w:r>
          </w:p>
          <w:p w14:paraId="58BA549C" w14:textId="77777777"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不具公務員身分：3人</w:t>
            </w:r>
          </w:p>
        </w:tc>
        <w:tc>
          <w:tcPr>
            <w:tcW w:w="2154" w:type="dxa"/>
            <w:vAlign w:val="center"/>
          </w:tcPr>
          <w:p w14:paraId="7F4CB7FD" w14:textId="77777777"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廠商行賄議長以施壓雲林縣政府洽談回饋金、索討公文、執照、在議會質詢、提案修改自治條例。同時行賄議員運用議員職權向雲林縣政府官員施壓，要求雲林縣政府相關單位儘速核發廠商申請之公文，以議員質詢、審議議案等權限，要求雲林縣政府相關主管單位積極回應廠商申請之案件。</w:t>
            </w:r>
          </w:p>
        </w:tc>
        <w:tc>
          <w:tcPr>
            <w:tcW w:w="680" w:type="dxa"/>
            <w:vAlign w:val="center"/>
          </w:tcPr>
          <w:p w14:paraId="3D3B6483" w14:textId="77777777" w:rsidR="00BD5935" w:rsidRPr="00793822" w:rsidRDefault="00BD5935" w:rsidP="00915672">
            <w:pPr>
              <w:spacing w:line="280" w:lineRule="exact"/>
              <w:jc w:val="center"/>
              <w:rPr>
                <w:rFonts w:hAnsi="標楷體"/>
                <w:spacing w:val="-20"/>
                <w:sz w:val="22"/>
                <w:szCs w:val="22"/>
              </w:rPr>
            </w:pPr>
            <w:r w:rsidRPr="00793822">
              <w:rPr>
                <w:rFonts w:hAnsi="標楷體" w:hint="eastAsia"/>
                <w:spacing w:val="-20"/>
                <w:sz w:val="22"/>
                <w:szCs w:val="22"/>
              </w:rPr>
              <w:t>雲林縣</w:t>
            </w:r>
          </w:p>
        </w:tc>
        <w:tc>
          <w:tcPr>
            <w:tcW w:w="1757" w:type="dxa"/>
            <w:vAlign w:val="center"/>
          </w:tcPr>
          <w:p w14:paraId="2A8BDC51" w14:textId="780B2664"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雲林地院</w:t>
            </w:r>
            <w:proofErr w:type="gramStart"/>
            <w:r w:rsidRPr="00793822">
              <w:rPr>
                <w:rFonts w:hAnsi="標楷體" w:hint="eastAsia"/>
                <w:spacing w:val="-20"/>
                <w:sz w:val="22"/>
                <w:szCs w:val="22"/>
              </w:rPr>
              <w:t>112年度訴字第436</w:t>
            </w:r>
            <w:proofErr w:type="gramEnd"/>
            <w:r w:rsidR="0064630A" w:rsidRPr="00793822">
              <w:rPr>
                <w:rFonts w:hAnsi="標楷體" w:hint="eastAsia"/>
                <w:spacing w:val="-20"/>
                <w:sz w:val="22"/>
                <w:szCs w:val="22"/>
              </w:rPr>
              <w:t>(</w:t>
            </w:r>
            <w:r w:rsidRPr="00793822">
              <w:rPr>
                <w:rFonts w:hAnsi="標楷體" w:hint="eastAsia"/>
                <w:spacing w:val="-20"/>
                <w:sz w:val="22"/>
                <w:szCs w:val="22"/>
              </w:rPr>
              <w:t>審理中</w:t>
            </w:r>
            <w:r w:rsidR="0064630A" w:rsidRPr="00793822">
              <w:rPr>
                <w:rFonts w:hAnsi="標楷體" w:hint="eastAsia"/>
                <w:spacing w:val="-20"/>
                <w:sz w:val="22"/>
                <w:szCs w:val="22"/>
              </w:rPr>
              <w:t>)</w:t>
            </w:r>
          </w:p>
        </w:tc>
      </w:tr>
      <w:tr w:rsidR="006E3196" w:rsidRPr="00793822" w14:paraId="151D9B27" w14:textId="77777777" w:rsidTr="00915672">
        <w:tc>
          <w:tcPr>
            <w:tcW w:w="258" w:type="dxa"/>
            <w:vAlign w:val="center"/>
          </w:tcPr>
          <w:p w14:paraId="761FC56F" w14:textId="77777777" w:rsidR="00BD5935" w:rsidRPr="00793822" w:rsidRDefault="00BD5935" w:rsidP="00915672">
            <w:pPr>
              <w:spacing w:line="280" w:lineRule="exact"/>
              <w:jc w:val="center"/>
              <w:rPr>
                <w:rFonts w:hAnsi="標楷體"/>
                <w:spacing w:val="-20"/>
                <w:sz w:val="22"/>
                <w:szCs w:val="22"/>
              </w:rPr>
            </w:pPr>
            <w:r w:rsidRPr="00793822">
              <w:rPr>
                <w:rFonts w:hAnsi="標楷體" w:hint="eastAsia"/>
                <w:spacing w:val="-20"/>
                <w:sz w:val="22"/>
                <w:szCs w:val="22"/>
              </w:rPr>
              <w:t>11</w:t>
            </w:r>
          </w:p>
        </w:tc>
        <w:tc>
          <w:tcPr>
            <w:tcW w:w="1074" w:type="dxa"/>
            <w:vAlign w:val="center"/>
          </w:tcPr>
          <w:p w14:paraId="3BE61BA0" w14:textId="77777777" w:rsidR="00BD5935" w:rsidRPr="00793822" w:rsidRDefault="00BD5935" w:rsidP="00915672">
            <w:pPr>
              <w:spacing w:line="280" w:lineRule="exact"/>
              <w:rPr>
                <w:rFonts w:hAnsi="標楷體"/>
                <w:spacing w:val="-20"/>
                <w:sz w:val="22"/>
                <w:szCs w:val="22"/>
              </w:rPr>
            </w:pPr>
            <w:proofErr w:type="gramStart"/>
            <w:r w:rsidRPr="00793822">
              <w:rPr>
                <w:rFonts w:hAnsi="標楷體" w:hint="eastAsia"/>
                <w:spacing w:val="-20"/>
                <w:sz w:val="22"/>
                <w:szCs w:val="22"/>
              </w:rPr>
              <w:t>臺</w:t>
            </w:r>
            <w:proofErr w:type="gramEnd"/>
            <w:r w:rsidRPr="00793822">
              <w:rPr>
                <w:rFonts w:hAnsi="標楷體" w:hint="eastAsia"/>
                <w:spacing w:val="-20"/>
                <w:sz w:val="22"/>
                <w:szCs w:val="22"/>
              </w:rPr>
              <w:t>南地檢署</w:t>
            </w:r>
          </w:p>
          <w:p w14:paraId="05BE9CF9" w14:textId="77777777" w:rsidR="00BD5935" w:rsidRPr="00793822" w:rsidRDefault="00BD5935" w:rsidP="00915672">
            <w:pPr>
              <w:spacing w:line="280" w:lineRule="exact"/>
              <w:rPr>
                <w:rFonts w:hAnsi="標楷體"/>
                <w:spacing w:val="-20"/>
                <w:sz w:val="22"/>
                <w:szCs w:val="22"/>
              </w:rPr>
            </w:pPr>
            <w:proofErr w:type="gramStart"/>
            <w:r w:rsidRPr="00793822">
              <w:rPr>
                <w:rFonts w:hAnsi="標楷體" w:hint="eastAsia"/>
                <w:spacing w:val="-20"/>
                <w:sz w:val="22"/>
                <w:szCs w:val="22"/>
              </w:rPr>
              <w:t>112</w:t>
            </w:r>
            <w:proofErr w:type="gramEnd"/>
            <w:r w:rsidRPr="00793822">
              <w:rPr>
                <w:rFonts w:hAnsi="標楷體" w:hint="eastAsia"/>
                <w:spacing w:val="-20"/>
                <w:sz w:val="22"/>
                <w:szCs w:val="22"/>
              </w:rPr>
              <w:t>年度</w:t>
            </w:r>
            <w:proofErr w:type="gramStart"/>
            <w:r w:rsidRPr="00793822">
              <w:rPr>
                <w:rFonts w:hAnsi="標楷體" w:hint="eastAsia"/>
                <w:spacing w:val="-20"/>
                <w:sz w:val="22"/>
                <w:szCs w:val="22"/>
              </w:rPr>
              <w:t>偵</w:t>
            </w:r>
            <w:proofErr w:type="gramEnd"/>
            <w:r w:rsidRPr="00793822">
              <w:rPr>
                <w:rFonts w:hAnsi="標楷體" w:hint="eastAsia"/>
                <w:spacing w:val="-20"/>
                <w:sz w:val="22"/>
                <w:szCs w:val="22"/>
              </w:rPr>
              <w:t>字第</w:t>
            </w:r>
          </w:p>
          <w:p w14:paraId="7C98B9BF" w14:textId="77777777"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17457號等7案</w:t>
            </w:r>
          </w:p>
        </w:tc>
        <w:tc>
          <w:tcPr>
            <w:tcW w:w="903" w:type="dxa"/>
            <w:vAlign w:val="center"/>
          </w:tcPr>
          <w:p w14:paraId="0A1AC48F" w14:textId="77777777"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違反貪污治罪條例等</w:t>
            </w:r>
          </w:p>
          <w:p w14:paraId="3FF35247" w14:textId="77777777" w:rsidR="00BD5935" w:rsidRPr="00793822" w:rsidRDefault="00BD5935" w:rsidP="00915672">
            <w:pPr>
              <w:spacing w:line="280" w:lineRule="exact"/>
              <w:rPr>
                <w:rFonts w:hAnsi="標楷體"/>
                <w:spacing w:val="-20"/>
                <w:sz w:val="22"/>
                <w:szCs w:val="22"/>
              </w:rPr>
            </w:pPr>
          </w:p>
        </w:tc>
        <w:tc>
          <w:tcPr>
            <w:tcW w:w="510" w:type="dxa"/>
            <w:vAlign w:val="center"/>
          </w:tcPr>
          <w:p w14:paraId="74A84DB3" w14:textId="77777777" w:rsidR="00BD5935" w:rsidRPr="00793822" w:rsidRDefault="00BD5935" w:rsidP="00915672">
            <w:pPr>
              <w:spacing w:line="280" w:lineRule="exact"/>
              <w:jc w:val="center"/>
              <w:rPr>
                <w:rFonts w:hAnsi="標楷體"/>
                <w:spacing w:val="-20"/>
                <w:sz w:val="22"/>
                <w:szCs w:val="22"/>
              </w:rPr>
            </w:pPr>
            <w:r w:rsidRPr="00793822">
              <w:rPr>
                <w:rFonts w:hAnsi="標楷體" w:hint="eastAsia"/>
                <w:spacing w:val="-20"/>
                <w:sz w:val="22"/>
                <w:szCs w:val="22"/>
              </w:rPr>
              <w:t>15人</w:t>
            </w:r>
          </w:p>
        </w:tc>
        <w:tc>
          <w:tcPr>
            <w:tcW w:w="1871" w:type="dxa"/>
            <w:vAlign w:val="center"/>
          </w:tcPr>
          <w:p w14:paraId="77B9B90C" w14:textId="77777777"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公務員：5人</w:t>
            </w:r>
          </w:p>
          <w:p w14:paraId="2AFCE64A" w14:textId="77777777"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不具公務員身分：10人</w:t>
            </w:r>
          </w:p>
        </w:tc>
        <w:tc>
          <w:tcPr>
            <w:tcW w:w="2154" w:type="dxa"/>
            <w:vAlign w:val="center"/>
          </w:tcPr>
          <w:p w14:paraId="431B7222" w14:textId="77777777" w:rsidR="00BD5935" w:rsidRPr="00793822" w:rsidRDefault="00BD5935" w:rsidP="00915672">
            <w:pPr>
              <w:spacing w:line="280" w:lineRule="exact"/>
              <w:rPr>
                <w:rFonts w:hAnsi="標楷體"/>
                <w:spacing w:val="-20"/>
                <w:sz w:val="22"/>
                <w:szCs w:val="22"/>
              </w:rPr>
            </w:pPr>
            <w:proofErr w:type="gramStart"/>
            <w:r w:rsidRPr="00793822">
              <w:rPr>
                <w:rFonts w:hAnsi="標楷體" w:hint="eastAsia"/>
                <w:spacing w:val="-20"/>
                <w:sz w:val="22"/>
                <w:szCs w:val="22"/>
              </w:rPr>
              <w:t>臺</w:t>
            </w:r>
            <w:proofErr w:type="gramEnd"/>
            <w:r w:rsidRPr="00793822">
              <w:rPr>
                <w:rFonts w:hAnsi="標楷體" w:hint="eastAsia"/>
                <w:spacing w:val="-20"/>
                <w:sz w:val="22"/>
                <w:szCs w:val="22"/>
              </w:rPr>
              <w:t>南市都發局局長等公務員圖利廠商案，允許廠商倒填日期之方式進行補件抽換或提出申請，圖利廠商。</w:t>
            </w:r>
          </w:p>
        </w:tc>
        <w:tc>
          <w:tcPr>
            <w:tcW w:w="680" w:type="dxa"/>
            <w:vAlign w:val="center"/>
          </w:tcPr>
          <w:p w14:paraId="0EF6669C" w14:textId="77777777" w:rsidR="00BD5935" w:rsidRPr="00793822" w:rsidRDefault="00BD5935" w:rsidP="00915672">
            <w:pPr>
              <w:spacing w:line="280" w:lineRule="exact"/>
              <w:jc w:val="center"/>
              <w:rPr>
                <w:rFonts w:hAnsi="標楷體"/>
                <w:spacing w:val="-20"/>
                <w:sz w:val="22"/>
                <w:szCs w:val="22"/>
              </w:rPr>
            </w:pPr>
            <w:proofErr w:type="gramStart"/>
            <w:r w:rsidRPr="00793822">
              <w:rPr>
                <w:rFonts w:hAnsi="標楷體" w:hint="eastAsia"/>
                <w:spacing w:val="-20"/>
                <w:sz w:val="22"/>
                <w:szCs w:val="22"/>
              </w:rPr>
              <w:t>臺</w:t>
            </w:r>
            <w:proofErr w:type="gramEnd"/>
            <w:r w:rsidRPr="00793822">
              <w:rPr>
                <w:rFonts w:hAnsi="標楷體" w:hint="eastAsia"/>
                <w:spacing w:val="-20"/>
                <w:sz w:val="22"/>
                <w:szCs w:val="22"/>
              </w:rPr>
              <w:t>南市</w:t>
            </w:r>
          </w:p>
        </w:tc>
        <w:tc>
          <w:tcPr>
            <w:tcW w:w="1757" w:type="dxa"/>
            <w:vAlign w:val="center"/>
          </w:tcPr>
          <w:p w14:paraId="1DCB2380" w14:textId="721DCE2B" w:rsidR="00BD5935" w:rsidRPr="00793822" w:rsidRDefault="00BD5935" w:rsidP="00915672">
            <w:pPr>
              <w:spacing w:line="280" w:lineRule="exact"/>
              <w:rPr>
                <w:rFonts w:hAnsi="標楷體"/>
                <w:spacing w:val="-20"/>
                <w:sz w:val="22"/>
                <w:szCs w:val="22"/>
              </w:rPr>
            </w:pPr>
            <w:proofErr w:type="gramStart"/>
            <w:r w:rsidRPr="00793822">
              <w:rPr>
                <w:rFonts w:hAnsi="標楷體" w:hint="eastAsia"/>
                <w:spacing w:val="-20"/>
                <w:sz w:val="22"/>
                <w:szCs w:val="22"/>
              </w:rPr>
              <w:t>臺</w:t>
            </w:r>
            <w:proofErr w:type="gramEnd"/>
            <w:r w:rsidRPr="00793822">
              <w:rPr>
                <w:rFonts w:hAnsi="標楷體" w:hint="eastAsia"/>
                <w:spacing w:val="-20"/>
                <w:sz w:val="22"/>
                <w:szCs w:val="22"/>
              </w:rPr>
              <w:t>南地院</w:t>
            </w:r>
            <w:proofErr w:type="gramStart"/>
            <w:r w:rsidRPr="00793822">
              <w:rPr>
                <w:rFonts w:hAnsi="標楷體" w:hint="eastAsia"/>
                <w:spacing w:val="-20"/>
                <w:sz w:val="22"/>
                <w:szCs w:val="22"/>
              </w:rPr>
              <w:t>113年度訴字第349號</w:t>
            </w:r>
            <w:proofErr w:type="gramEnd"/>
            <w:r w:rsidR="0064630A" w:rsidRPr="00793822">
              <w:rPr>
                <w:rFonts w:hAnsi="標楷體" w:hint="eastAsia"/>
                <w:spacing w:val="-20"/>
                <w:sz w:val="22"/>
                <w:szCs w:val="22"/>
              </w:rPr>
              <w:t>(</w:t>
            </w:r>
            <w:r w:rsidRPr="00793822">
              <w:rPr>
                <w:rFonts w:hAnsi="標楷體" w:hint="eastAsia"/>
                <w:spacing w:val="-20"/>
                <w:sz w:val="22"/>
                <w:szCs w:val="22"/>
              </w:rPr>
              <w:t>審理中</w:t>
            </w:r>
            <w:r w:rsidR="0064630A" w:rsidRPr="00793822">
              <w:rPr>
                <w:rFonts w:hAnsi="標楷體" w:hint="eastAsia"/>
                <w:spacing w:val="-20"/>
                <w:sz w:val="22"/>
                <w:szCs w:val="22"/>
              </w:rPr>
              <w:t>)</w:t>
            </w:r>
          </w:p>
        </w:tc>
      </w:tr>
      <w:tr w:rsidR="006E3196" w:rsidRPr="00793822" w14:paraId="4A8A1873" w14:textId="77777777" w:rsidTr="00915672">
        <w:tc>
          <w:tcPr>
            <w:tcW w:w="258" w:type="dxa"/>
            <w:vAlign w:val="center"/>
          </w:tcPr>
          <w:p w14:paraId="2BD5DCBE" w14:textId="77777777" w:rsidR="00BD5935" w:rsidRPr="00793822" w:rsidRDefault="00BD5935" w:rsidP="00915672">
            <w:pPr>
              <w:spacing w:line="280" w:lineRule="exact"/>
              <w:jc w:val="center"/>
              <w:rPr>
                <w:rFonts w:hAnsi="標楷體"/>
                <w:spacing w:val="-20"/>
                <w:sz w:val="22"/>
                <w:szCs w:val="22"/>
              </w:rPr>
            </w:pPr>
            <w:r w:rsidRPr="00793822">
              <w:rPr>
                <w:rFonts w:hAnsi="標楷體" w:hint="eastAsia"/>
                <w:spacing w:val="-20"/>
                <w:sz w:val="22"/>
                <w:szCs w:val="22"/>
              </w:rPr>
              <w:t>12</w:t>
            </w:r>
          </w:p>
        </w:tc>
        <w:tc>
          <w:tcPr>
            <w:tcW w:w="1074" w:type="dxa"/>
            <w:vAlign w:val="center"/>
          </w:tcPr>
          <w:p w14:paraId="468239FE" w14:textId="77777777"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雲林地檢署</w:t>
            </w:r>
          </w:p>
          <w:p w14:paraId="0CF79E5E" w14:textId="77777777" w:rsidR="00BD5935" w:rsidRPr="00793822" w:rsidRDefault="00BD5935" w:rsidP="00915672">
            <w:pPr>
              <w:spacing w:line="280" w:lineRule="exact"/>
              <w:rPr>
                <w:rFonts w:hAnsi="標楷體"/>
                <w:spacing w:val="-20"/>
                <w:sz w:val="22"/>
                <w:szCs w:val="22"/>
              </w:rPr>
            </w:pPr>
            <w:proofErr w:type="gramStart"/>
            <w:r w:rsidRPr="00793822">
              <w:rPr>
                <w:rFonts w:hAnsi="標楷體" w:hint="eastAsia"/>
                <w:spacing w:val="-20"/>
                <w:sz w:val="22"/>
                <w:szCs w:val="22"/>
              </w:rPr>
              <w:lastRenderedPageBreak/>
              <w:t>113</w:t>
            </w:r>
            <w:proofErr w:type="gramEnd"/>
            <w:r w:rsidRPr="00793822">
              <w:rPr>
                <w:rFonts w:hAnsi="標楷體" w:hint="eastAsia"/>
                <w:spacing w:val="-20"/>
                <w:sz w:val="22"/>
                <w:szCs w:val="22"/>
              </w:rPr>
              <w:t>年度</w:t>
            </w:r>
            <w:proofErr w:type="gramStart"/>
            <w:r w:rsidRPr="00793822">
              <w:rPr>
                <w:rFonts w:hAnsi="標楷體" w:hint="eastAsia"/>
                <w:spacing w:val="-20"/>
                <w:sz w:val="22"/>
                <w:szCs w:val="22"/>
              </w:rPr>
              <w:t>偵</w:t>
            </w:r>
            <w:proofErr w:type="gramEnd"/>
            <w:r w:rsidRPr="00793822">
              <w:rPr>
                <w:rFonts w:hAnsi="標楷體" w:hint="eastAsia"/>
                <w:spacing w:val="-20"/>
                <w:sz w:val="22"/>
                <w:szCs w:val="22"/>
              </w:rPr>
              <w:t>字第6324號等3案</w:t>
            </w:r>
          </w:p>
        </w:tc>
        <w:tc>
          <w:tcPr>
            <w:tcW w:w="903" w:type="dxa"/>
            <w:vAlign w:val="center"/>
          </w:tcPr>
          <w:p w14:paraId="12832E81" w14:textId="77777777"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lastRenderedPageBreak/>
              <w:t>違反貪污</w:t>
            </w:r>
            <w:r w:rsidRPr="00793822">
              <w:rPr>
                <w:rFonts w:hAnsi="標楷體" w:hint="eastAsia"/>
                <w:spacing w:val="-20"/>
                <w:sz w:val="22"/>
                <w:szCs w:val="22"/>
              </w:rPr>
              <w:lastRenderedPageBreak/>
              <w:t>治罪條例等、恐嚇取財得利</w:t>
            </w:r>
          </w:p>
          <w:p w14:paraId="4D9BC0BC" w14:textId="77777777" w:rsidR="00BD5935" w:rsidRPr="00793822" w:rsidRDefault="00BD5935" w:rsidP="00915672">
            <w:pPr>
              <w:spacing w:line="280" w:lineRule="exact"/>
              <w:rPr>
                <w:rFonts w:hAnsi="標楷體"/>
                <w:spacing w:val="-20"/>
                <w:sz w:val="22"/>
                <w:szCs w:val="22"/>
              </w:rPr>
            </w:pPr>
          </w:p>
        </w:tc>
        <w:tc>
          <w:tcPr>
            <w:tcW w:w="510" w:type="dxa"/>
            <w:vAlign w:val="center"/>
          </w:tcPr>
          <w:p w14:paraId="6B3DDD23" w14:textId="77777777" w:rsidR="00BD5935" w:rsidRPr="00793822" w:rsidRDefault="00BD5935" w:rsidP="00915672">
            <w:pPr>
              <w:spacing w:line="280" w:lineRule="exact"/>
              <w:jc w:val="center"/>
              <w:rPr>
                <w:rFonts w:hAnsi="標楷體"/>
                <w:spacing w:val="-20"/>
                <w:sz w:val="22"/>
                <w:szCs w:val="22"/>
              </w:rPr>
            </w:pPr>
            <w:r w:rsidRPr="00793822">
              <w:rPr>
                <w:rFonts w:hAnsi="標楷體" w:hint="eastAsia"/>
                <w:spacing w:val="-20"/>
                <w:sz w:val="22"/>
                <w:szCs w:val="22"/>
              </w:rPr>
              <w:lastRenderedPageBreak/>
              <w:t>3人</w:t>
            </w:r>
          </w:p>
        </w:tc>
        <w:tc>
          <w:tcPr>
            <w:tcW w:w="1871" w:type="dxa"/>
            <w:vAlign w:val="center"/>
          </w:tcPr>
          <w:p w14:paraId="3F5976AF" w14:textId="77777777"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公務員：1人</w:t>
            </w:r>
          </w:p>
          <w:p w14:paraId="662AF1DC" w14:textId="77777777"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lastRenderedPageBreak/>
              <w:t>不具公務員身分：2人</w:t>
            </w:r>
          </w:p>
        </w:tc>
        <w:tc>
          <w:tcPr>
            <w:tcW w:w="2154" w:type="dxa"/>
            <w:vAlign w:val="center"/>
          </w:tcPr>
          <w:p w14:paraId="188D8068" w14:textId="77777777"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lastRenderedPageBreak/>
              <w:t>雲林縣麥寮鄉鄉長利用</w:t>
            </w:r>
            <w:r w:rsidRPr="00793822">
              <w:rPr>
                <w:rFonts w:hAnsi="標楷體" w:hint="eastAsia"/>
                <w:spacing w:val="-20"/>
                <w:sz w:val="22"/>
                <w:szCs w:val="22"/>
              </w:rPr>
              <w:lastRenderedPageBreak/>
              <w:t>權勢機會，會同特定被告包商、台西鄉鄉長配偶，以民眾抗爭得為停工處分，並以索取鄉里回饋金、發動民眾抗爭、違法命令停工等事由，向風電廠商恐嚇勒索，要求將管線工程發包特定包商，並索取不法財物。</w:t>
            </w:r>
          </w:p>
        </w:tc>
        <w:tc>
          <w:tcPr>
            <w:tcW w:w="680" w:type="dxa"/>
            <w:vAlign w:val="center"/>
          </w:tcPr>
          <w:p w14:paraId="0783D673" w14:textId="77777777" w:rsidR="00BD5935" w:rsidRPr="00793822" w:rsidRDefault="00BD5935" w:rsidP="00915672">
            <w:pPr>
              <w:spacing w:line="280" w:lineRule="exact"/>
              <w:jc w:val="center"/>
              <w:rPr>
                <w:rFonts w:hAnsi="標楷體"/>
                <w:spacing w:val="-20"/>
                <w:sz w:val="22"/>
                <w:szCs w:val="22"/>
              </w:rPr>
            </w:pPr>
            <w:r w:rsidRPr="00793822">
              <w:rPr>
                <w:rFonts w:hAnsi="標楷體" w:hint="eastAsia"/>
                <w:spacing w:val="-20"/>
                <w:sz w:val="22"/>
                <w:szCs w:val="22"/>
              </w:rPr>
              <w:lastRenderedPageBreak/>
              <w:t>雲林縣</w:t>
            </w:r>
          </w:p>
        </w:tc>
        <w:tc>
          <w:tcPr>
            <w:tcW w:w="1757" w:type="dxa"/>
            <w:vAlign w:val="center"/>
          </w:tcPr>
          <w:p w14:paraId="67C6A3E3" w14:textId="1CDEC519"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雲林地院</w:t>
            </w:r>
            <w:proofErr w:type="gramStart"/>
            <w:r w:rsidRPr="00793822">
              <w:rPr>
                <w:rFonts w:hAnsi="標楷體" w:hint="eastAsia"/>
                <w:spacing w:val="-20"/>
                <w:sz w:val="22"/>
                <w:szCs w:val="22"/>
              </w:rPr>
              <w:t>113年度</w:t>
            </w:r>
            <w:r w:rsidRPr="00793822">
              <w:rPr>
                <w:rFonts w:hAnsi="標楷體" w:hint="eastAsia"/>
                <w:spacing w:val="-20"/>
                <w:sz w:val="22"/>
                <w:szCs w:val="22"/>
              </w:rPr>
              <w:lastRenderedPageBreak/>
              <w:t>訴字第402號</w:t>
            </w:r>
            <w:proofErr w:type="gramEnd"/>
            <w:r w:rsidR="0064630A" w:rsidRPr="00793822">
              <w:rPr>
                <w:rFonts w:hAnsi="標楷體" w:hint="eastAsia"/>
                <w:spacing w:val="-20"/>
                <w:sz w:val="22"/>
                <w:szCs w:val="22"/>
              </w:rPr>
              <w:t>(</w:t>
            </w:r>
            <w:r w:rsidRPr="00793822">
              <w:rPr>
                <w:rFonts w:hAnsi="標楷體" w:hint="eastAsia"/>
                <w:spacing w:val="-20"/>
                <w:sz w:val="22"/>
                <w:szCs w:val="22"/>
              </w:rPr>
              <w:t>審理中</w:t>
            </w:r>
            <w:r w:rsidR="0064630A" w:rsidRPr="00793822">
              <w:rPr>
                <w:rFonts w:hAnsi="標楷體" w:hint="eastAsia"/>
                <w:spacing w:val="-20"/>
                <w:sz w:val="22"/>
                <w:szCs w:val="22"/>
              </w:rPr>
              <w:t>)</w:t>
            </w:r>
          </w:p>
        </w:tc>
      </w:tr>
      <w:tr w:rsidR="006E3196" w:rsidRPr="00793822" w14:paraId="51179B18" w14:textId="77777777" w:rsidTr="00915672">
        <w:tc>
          <w:tcPr>
            <w:tcW w:w="258" w:type="dxa"/>
            <w:vAlign w:val="center"/>
          </w:tcPr>
          <w:p w14:paraId="2ED8DD94" w14:textId="77777777" w:rsidR="00BD5935" w:rsidRPr="00793822" w:rsidRDefault="00BD5935" w:rsidP="00915672">
            <w:pPr>
              <w:spacing w:line="280" w:lineRule="exact"/>
              <w:jc w:val="center"/>
              <w:rPr>
                <w:rFonts w:hAnsi="標楷體"/>
                <w:spacing w:val="-20"/>
                <w:sz w:val="22"/>
                <w:szCs w:val="22"/>
              </w:rPr>
            </w:pPr>
            <w:r w:rsidRPr="00793822">
              <w:rPr>
                <w:rFonts w:hAnsi="標楷體" w:hint="eastAsia"/>
                <w:spacing w:val="-20"/>
                <w:sz w:val="22"/>
                <w:szCs w:val="22"/>
              </w:rPr>
              <w:lastRenderedPageBreak/>
              <w:t>13</w:t>
            </w:r>
          </w:p>
        </w:tc>
        <w:tc>
          <w:tcPr>
            <w:tcW w:w="1074" w:type="dxa"/>
            <w:vAlign w:val="center"/>
          </w:tcPr>
          <w:p w14:paraId="50B93C86" w14:textId="77777777"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新北地檢署</w:t>
            </w:r>
          </w:p>
          <w:p w14:paraId="6D53BEA3" w14:textId="77777777" w:rsidR="00BD5935" w:rsidRPr="00793822" w:rsidRDefault="00BD5935" w:rsidP="00915672">
            <w:pPr>
              <w:spacing w:line="280" w:lineRule="exact"/>
              <w:rPr>
                <w:rFonts w:hAnsi="標楷體"/>
                <w:spacing w:val="-20"/>
                <w:sz w:val="22"/>
                <w:szCs w:val="22"/>
              </w:rPr>
            </w:pPr>
            <w:proofErr w:type="gramStart"/>
            <w:r w:rsidRPr="00793822">
              <w:rPr>
                <w:rFonts w:hAnsi="標楷體" w:hint="eastAsia"/>
                <w:spacing w:val="-20"/>
                <w:sz w:val="22"/>
                <w:szCs w:val="22"/>
              </w:rPr>
              <w:t>113</w:t>
            </w:r>
            <w:proofErr w:type="gramEnd"/>
            <w:r w:rsidRPr="00793822">
              <w:rPr>
                <w:rFonts w:hAnsi="標楷體" w:hint="eastAsia"/>
                <w:spacing w:val="-20"/>
                <w:sz w:val="22"/>
                <w:szCs w:val="22"/>
              </w:rPr>
              <w:t>年度</w:t>
            </w:r>
            <w:proofErr w:type="gramStart"/>
            <w:r w:rsidRPr="00793822">
              <w:rPr>
                <w:rFonts w:hAnsi="標楷體" w:hint="eastAsia"/>
                <w:spacing w:val="-20"/>
                <w:sz w:val="22"/>
                <w:szCs w:val="22"/>
              </w:rPr>
              <w:t>偵</w:t>
            </w:r>
            <w:proofErr w:type="gramEnd"/>
            <w:r w:rsidRPr="00793822">
              <w:rPr>
                <w:rFonts w:hAnsi="標楷體" w:hint="eastAsia"/>
                <w:spacing w:val="-20"/>
                <w:sz w:val="22"/>
                <w:szCs w:val="22"/>
              </w:rPr>
              <w:t>字第38581號等3案</w:t>
            </w:r>
          </w:p>
        </w:tc>
        <w:tc>
          <w:tcPr>
            <w:tcW w:w="903" w:type="dxa"/>
            <w:vAlign w:val="center"/>
          </w:tcPr>
          <w:p w14:paraId="40C56AE0" w14:textId="77777777"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違反貪污治罪條例等</w:t>
            </w:r>
          </w:p>
        </w:tc>
        <w:tc>
          <w:tcPr>
            <w:tcW w:w="510" w:type="dxa"/>
            <w:vAlign w:val="center"/>
          </w:tcPr>
          <w:p w14:paraId="70A1F05C" w14:textId="77777777" w:rsidR="00BD5935" w:rsidRPr="00793822" w:rsidRDefault="00BD5935" w:rsidP="00915672">
            <w:pPr>
              <w:spacing w:line="280" w:lineRule="exact"/>
              <w:jc w:val="center"/>
              <w:rPr>
                <w:rFonts w:hAnsi="標楷體"/>
                <w:spacing w:val="-20"/>
                <w:sz w:val="22"/>
                <w:szCs w:val="22"/>
              </w:rPr>
            </w:pPr>
            <w:r w:rsidRPr="00793822">
              <w:rPr>
                <w:rFonts w:hAnsi="標楷體" w:hint="eastAsia"/>
                <w:spacing w:val="-20"/>
                <w:sz w:val="22"/>
                <w:szCs w:val="22"/>
              </w:rPr>
              <w:t>9人</w:t>
            </w:r>
          </w:p>
        </w:tc>
        <w:tc>
          <w:tcPr>
            <w:tcW w:w="1871" w:type="dxa"/>
            <w:vAlign w:val="center"/>
          </w:tcPr>
          <w:p w14:paraId="0F8EE339" w14:textId="77777777"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公務員：1人</w:t>
            </w:r>
          </w:p>
          <w:p w14:paraId="77AFC776" w14:textId="77777777"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民意代表：1人</w:t>
            </w:r>
          </w:p>
          <w:p w14:paraId="2D83FE31" w14:textId="77777777"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不具公務員身分：7人</w:t>
            </w:r>
          </w:p>
        </w:tc>
        <w:tc>
          <w:tcPr>
            <w:tcW w:w="2154" w:type="dxa"/>
            <w:vAlign w:val="center"/>
          </w:tcPr>
          <w:p w14:paraId="3BBB6F40" w14:textId="77777777"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雲林縣議長受光電廠商請託及收受賄賂，利用其議員兼議長身分，向承辦公務員施壓加速審查通過案場同意函申請，並與公務員共同洩密公務、其他競爭廠商之公務文件予特定廠商知悉。</w:t>
            </w:r>
          </w:p>
        </w:tc>
        <w:tc>
          <w:tcPr>
            <w:tcW w:w="680" w:type="dxa"/>
            <w:vAlign w:val="center"/>
          </w:tcPr>
          <w:p w14:paraId="20A7AEBD" w14:textId="77777777" w:rsidR="00BD5935" w:rsidRPr="00793822" w:rsidRDefault="00BD5935" w:rsidP="00915672">
            <w:pPr>
              <w:spacing w:line="280" w:lineRule="exact"/>
              <w:jc w:val="center"/>
              <w:rPr>
                <w:rFonts w:hAnsi="標楷體"/>
                <w:spacing w:val="-20"/>
                <w:sz w:val="22"/>
                <w:szCs w:val="22"/>
              </w:rPr>
            </w:pPr>
            <w:r w:rsidRPr="00793822">
              <w:rPr>
                <w:rFonts w:hAnsi="標楷體" w:hint="eastAsia"/>
                <w:spacing w:val="-20"/>
                <w:sz w:val="22"/>
                <w:szCs w:val="22"/>
              </w:rPr>
              <w:t>雲林縣</w:t>
            </w:r>
          </w:p>
        </w:tc>
        <w:tc>
          <w:tcPr>
            <w:tcW w:w="1757" w:type="dxa"/>
            <w:vAlign w:val="center"/>
          </w:tcPr>
          <w:p w14:paraId="5BE73CE2" w14:textId="0255291A"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新北地院</w:t>
            </w:r>
            <w:proofErr w:type="gramStart"/>
            <w:r w:rsidRPr="00793822">
              <w:rPr>
                <w:rFonts w:hAnsi="標楷體" w:hint="eastAsia"/>
                <w:spacing w:val="-20"/>
                <w:sz w:val="22"/>
                <w:szCs w:val="22"/>
              </w:rPr>
              <w:t>113</w:t>
            </w:r>
            <w:proofErr w:type="gramEnd"/>
            <w:r w:rsidRPr="00793822">
              <w:rPr>
                <w:rFonts w:hAnsi="標楷體" w:hint="eastAsia"/>
                <w:spacing w:val="-20"/>
                <w:sz w:val="22"/>
                <w:szCs w:val="22"/>
              </w:rPr>
              <w:t>年度</w:t>
            </w:r>
            <w:proofErr w:type="gramStart"/>
            <w:r w:rsidRPr="00793822">
              <w:rPr>
                <w:rFonts w:hAnsi="標楷體" w:hint="eastAsia"/>
                <w:spacing w:val="-20"/>
                <w:sz w:val="22"/>
                <w:szCs w:val="22"/>
              </w:rPr>
              <w:t>金訴字</w:t>
            </w:r>
            <w:proofErr w:type="gramEnd"/>
            <w:r w:rsidRPr="00793822">
              <w:rPr>
                <w:rFonts w:hAnsi="標楷體" w:hint="eastAsia"/>
                <w:spacing w:val="-20"/>
                <w:sz w:val="22"/>
                <w:szCs w:val="22"/>
              </w:rPr>
              <w:t>第2021號</w:t>
            </w:r>
            <w:r w:rsidR="0064630A" w:rsidRPr="00793822">
              <w:rPr>
                <w:rFonts w:hAnsi="標楷體" w:hint="eastAsia"/>
                <w:spacing w:val="-20"/>
                <w:sz w:val="22"/>
                <w:szCs w:val="22"/>
              </w:rPr>
              <w:t>(</w:t>
            </w:r>
            <w:r w:rsidRPr="00793822">
              <w:rPr>
                <w:rFonts w:hAnsi="標楷體" w:hint="eastAsia"/>
                <w:spacing w:val="-20"/>
                <w:sz w:val="22"/>
                <w:szCs w:val="22"/>
              </w:rPr>
              <w:t>審理中</w:t>
            </w:r>
            <w:r w:rsidR="0064630A" w:rsidRPr="00793822">
              <w:rPr>
                <w:rFonts w:hAnsi="標楷體" w:hint="eastAsia"/>
                <w:spacing w:val="-20"/>
                <w:sz w:val="22"/>
                <w:szCs w:val="22"/>
              </w:rPr>
              <w:t>)</w:t>
            </w:r>
          </w:p>
        </w:tc>
      </w:tr>
      <w:tr w:rsidR="006E3196" w:rsidRPr="00793822" w14:paraId="2E72A647" w14:textId="77777777" w:rsidTr="00915672">
        <w:tc>
          <w:tcPr>
            <w:tcW w:w="258" w:type="dxa"/>
            <w:vAlign w:val="center"/>
          </w:tcPr>
          <w:p w14:paraId="11A5BE44" w14:textId="77777777" w:rsidR="00BD5935" w:rsidRPr="00793822" w:rsidRDefault="00BD5935" w:rsidP="00915672">
            <w:pPr>
              <w:spacing w:line="280" w:lineRule="exact"/>
              <w:jc w:val="center"/>
              <w:rPr>
                <w:rFonts w:hAnsi="標楷體"/>
                <w:spacing w:val="-20"/>
                <w:sz w:val="22"/>
                <w:szCs w:val="22"/>
              </w:rPr>
            </w:pPr>
            <w:r w:rsidRPr="00793822">
              <w:rPr>
                <w:rFonts w:hAnsi="標楷體" w:hint="eastAsia"/>
                <w:spacing w:val="-20"/>
                <w:sz w:val="22"/>
                <w:szCs w:val="22"/>
              </w:rPr>
              <w:t>14</w:t>
            </w:r>
          </w:p>
        </w:tc>
        <w:tc>
          <w:tcPr>
            <w:tcW w:w="1074" w:type="dxa"/>
            <w:vAlign w:val="center"/>
          </w:tcPr>
          <w:p w14:paraId="1E80E250" w14:textId="77777777"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嘉義地檢署</w:t>
            </w:r>
          </w:p>
          <w:p w14:paraId="5176E5F6" w14:textId="77777777" w:rsidR="00BD5935" w:rsidRPr="00793822" w:rsidRDefault="00BD5935" w:rsidP="00915672">
            <w:pPr>
              <w:spacing w:line="280" w:lineRule="exact"/>
              <w:rPr>
                <w:rFonts w:hAnsi="標楷體"/>
                <w:spacing w:val="-20"/>
                <w:sz w:val="22"/>
                <w:szCs w:val="22"/>
              </w:rPr>
            </w:pPr>
            <w:proofErr w:type="gramStart"/>
            <w:r w:rsidRPr="00793822">
              <w:rPr>
                <w:rFonts w:hAnsi="標楷體" w:hint="eastAsia"/>
                <w:spacing w:val="-20"/>
                <w:sz w:val="22"/>
                <w:szCs w:val="22"/>
              </w:rPr>
              <w:t>113</w:t>
            </w:r>
            <w:proofErr w:type="gramEnd"/>
            <w:r w:rsidRPr="00793822">
              <w:rPr>
                <w:rFonts w:hAnsi="標楷體" w:hint="eastAsia"/>
                <w:spacing w:val="-20"/>
                <w:sz w:val="22"/>
                <w:szCs w:val="22"/>
              </w:rPr>
              <w:t>年度</w:t>
            </w:r>
            <w:proofErr w:type="gramStart"/>
            <w:r w:rsidRPr="00793822">
              <w:rPr>
                <w:rFonts w:hAnsi="標楷體" w:hint="eastAsia"/>
                <w:spacing w:val="-20"/>
                <w:sz w:val="22"/>
                <w:szCs w:val="22"/>
              </w:rPr>
              <w:t>偵</w:t>
            </w:r>
            <w:proofErr w:type="gramEnd"/>
            <w:r w:rsidRPr="00793822">
              <w:rPr>
                <w:rFonts w:hAnsi="標楷體" w:hint="eastAsia"/>
                <w:spacing w:val="-20"/>
                <w:sz w:val="22"/>
                <w:szCs w:val="22"/>
              </w:rPr>
              <w:t>字第7168號</w:t>
            </w:r>
          </w:p>
        </w:tc>
        <w:tc>
          <w:tcPr>
            <w:tcW w:w="903" w:type="dxa"/>
            <w:vAlign w:val="center"/>
          </w:tcPr>
          <w:p w14:paraId="5960F278" w14:textId="77777777"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違反貪污治罪條例等</w:t>
            </w:r>
          </w:p>
        </w:tc>
        <w:tc>
          <w:tcPr>
            <w:tcW w:w="510" w:type="dxa"/>
            <w:vAlign w:val="center"/>
          </w:tcPr>
          <w:p w14:paraId="7742D934" w14:textId="77777777" w:rsidR="00BD5935" w:rsidRPr="00793822" w:rsidRDefault="00BD5935" w:rsidP="00915672">
            <w:pPr>
              <w:spacing w:line="280" w:lineRule="exact"/>
              <w:jc w:val="center"/>
              <w:rPr>
                <w:rFonts w:hAnsi="標楷體"/>
                <w:spacing w:val="-20"/>
                <w:sz w:val="22"/>
                <w:szCs w:val="22"/>
              </w:rPr>
            </w:pPr>
            <w:r w:rsidRPr="00793822">
              <w:rPr>
                <w:rFonts w:hAnsi="標楷體" w:hint="eastAsia"/>
                <w:spacing w:val="-20"/>
                <w:sz w:val="22"/>
                <w:szCs w:val="22"/>
              </w:rPr>
              <w:t>1人</w:t>
            </w:r>
          </w:p>
        </w:tc>
        <w:tc>
          <w:tcPr>
            <w:tcW w:w="1871" w:type="dxa"/>
            <w:vAlign w:val="center"/>
          </w:tcPr>
          <w:p w14:paraId="5A93AA82" w14:textId="77777777"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公務員：1人</w:t>
            </w:r>
          </w:p>
        </w:tc>
        <w:tc>
          <w:tcPr>
            <w:tcW w:w="2154" w:type="dxa"/>
            <w:vAlign w:val="center"/>
          </w:tcPr>
          <w:p w14:paraId="6E011890" w14:textId="77777777"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嘉義縣義竹鄉建設課課長，</w:t>
            </w:r>
            <w:proofErr w:type="gramStart"/>
            <w:r w:rsidRPr="00793822">
              <w:rPr>
                <w:rFonts w:hAnsi="標楷體" w:hint="eastAsia"/>
                <w:spacing w:val="-20"/>
                <w:sz w:val="22"/>
                <w:szCs w:val="22"/>
              </w:rPr>
              <w:t>明知漁電共生</w:t>
            </w:r>
            <w:proofErr w:type="gramEnd"/>
            <w:r w:rsidRPr="00793822">
              <w:rPr>
                <w:rFonts w:hAnsi="標楷體" w:hint="eastAsia"/>
                <w:spacing w:val="-20"/>
                <w:sz w:val="22"/>
                <w:szCs w:val="22"/>
              </w:rPr>
              <w:t>廠商違規開發土地，違反區域計畫法規定，利用廠商違規行為，向廠商</w:t>
            </w:r>
            <w:proofErr w:type="gramStart"/>
            <w:r w:rsidRPr="00793822">
              <w:rPr>
                <w:rFonts w:hAnsi="標楷體" w:hint="eastAsia"/>
                <w:spacing w:val="-20"/>
                <w:sz w:val="22"/>
                <w:szCs w:val="22"/>
              </w:rPr>
              <w:t>索討分包工</w:t>
            </w:r>
            <w:proofErr w:type="gramEnd"/>
            <w:r w:rsidRPr="00793822">
              <w:rPr>
                <w:rFonts w:hAnsi="標楷體" w:hint="eastAsia"/>
                <w:spacing w:val="-20"/>
                <w:sz w:val="22"/>
                <w:szCs w:val="22"/>
              </w:rPr>
              <w:t>程利益，索取不正利益。</w:t>
            </w:r>
          </w:p>
        </w:tc>
        <w:tc>
          <w:tcPr>
            <w:tcW w:w="680" w:type="dxa"/>
            <w:vAlign w:val="center"/>
          </w:tcPr>
          <w:p w14:paraId="3B183643" w14:textId="77777777" w:rsidR="00BD5935" w:rsidRPr="00793822" w:rsidRDefault="00BD5935" w:rsidP="00915672">
            <w:pPr>
              <w:spacing w:line="280" w:lineRule="exact"/>
              <w:jc w:val="center"/>
              <w:rPr>
                <w:rFonts w:hAnsi="標楷體"/>
                <w:spacing w:val="-20"/>
                <w:sz w:val="22"/>
                <w:szCs w:val="22"/>
              </w:rPr>
            </w:pPr>
            <w:r w:rsidRPr="00793822">
              <w:rPr>
                <w:rFonts w:hAnsi="標楷體" w:hint="eastAsia"/>
                <w:spacing w:val="-20"/>
                <w:sz w:val="22"/>
                <w:szCs w:val="22"/>
              </w:rPr>
              <w:t>嘉義縣</w:t>
            </w:r>
          </w:p>
        </w:tc>
        <w:tc>
          <w:tcPr>
            <w:tcW w:w="1757" w:type="dxa"/>
            <w:vAlign w:val="center"/>
          </w:tcPr>
          <w:p w14:paraId="2AE67C30" w14:textId="32EC4CC5" w:rsidR="00BD5935" w:rsidRPr="00793822" w:rsidRDefault="0064630A" w:rsidP="00915672">
            <w:pPr>
              <w:spacing w:line="280" w:lineRule="exact"/>
              <w:rPr>
                <w:rFonts w:hAnsi="標楷體"/>
                <w:spacing w:val="-20"/>
                <w:sz w:val="22"/>
                <w:szCs w:val="22"/>
              </w:rPr>
            </w:pPr>
            <w:r w:rsidRPr="00793822">
              <w:rPr>
                <w:rFonts w:hAnsi="標楷體" w:hint="eastAsia"/>
                <w:spacing w:val="-20"/>
                <w:sz w:val="22"/>
                <w:szCs w:val="22"/>
              </w:rPr>
              <w:t>(</w:t>
            </w:r>
            <w:r w:rsidR="00BD5935" w:rsidRPr="00793822">
              <w:rPr>
                <w:rFonts w:hAnsi="標楷體" w:hint="eastAsia"/>
                <w:spacing w:val="-20"/>
                <w:sz w:val="22"/>
                <w:szCs w:val="22"/>
              </w:rPr>
              <w:t>尚未確定</w:t>
            </w:r>
            <w:r w:rsidRPr="00793822">
              <w:rPr>
                <w:rFonts w:hAnsi="標楷體" w:hint="eastAsia"/>
                <w:spacing w:val="-20"/>
                <w:sz w:val="22"/>
                <w:szCs w:val="22"/>
              </w:rPr>
              <w:t>)</w:t>
            </w:r>
          </w:p>
          <w:p w14:paraId="6736FABA" w14:textId="2EB44173"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嘉義地院</w:t>
            </w:r>
            <w:proofErr w:type="gramStart"/>
            <w:r w:rsidRPr="00793822">
              <w:rPr>
                <w:rFonts w:hAnsi="標楷體"/>
                <w:spacing w:val="-20"/>
                <w:sz w:val="22"/>
                <w:szCs w:val="22"/>
              </w:rPr>
              <w:t>113年度訴字第313號</w:t>
            </w:r>
            <w:proofErr w:type="gramEnd"/>
          </w:p>
          <w:p w14:paraId="433DA1BD" w14:textId="66C8BBC1" w:rsidR="00BD5935" w:rsidRPr="00793822" w:rsidRDefault="00BD5935" w:rsidP="00915672">
            <w:pPr>
              <w:spacing w:line="280" w:lineRule="exact"/>
              <w:rPr>
                <w:rFonts w:hAnsi="標楷體"/>
                <w:spacing w:val="-20"/>
                <w:sz w:val="22"/>
                <w:szCs w:val="22"/>
              </w:rPr>
            </w:pPr>
            <w:proofErr w:type="gramStart"/>
            <w:r w:rsidRPr="00793822">
              <w:rPr>
                <w:rFonts w:hAnsi="標楷體"/>
                <w:spacing w:val="-20"/>
                <w:sz w:val="22"/>
                <w:szCs w:val="22"/>
              </w:rPr>
              <w:t>臺</w:t>
            </w:r>
            <w:proofErr w:type="gramEnd"/>
            <w:r w:rsidRPr="00793822">
              <w:rPr>
                <w:rFonts w:hAnsi="標楷體"/>
                <w:spacing w:val="-20"/>
                <w:sz w:val="22"/>
                <w:szCs w:val="22"/>
              </w:rPr>
              <w:t>南</w:t>
            </w:r>
            <w:r w:rsidRPr="00793822">
              <w:rPr>
                <w:rFonts w:hAnsi="標楷體" w:hint="eastAsia"/>
                <w:spacing w:val="-20"/>
                <w:sz w:val="22"/>
                <w:szCs w:val="22"/>
              </w:rPr>
              <w:t>高</w:t>
            </w:r>
            <w:r w:rsidRPr="00793822">
              <w:rPr>
                <w:rFonts w:hAnsi="標楷體"/>
                <w:spacing w:val="-20"/>
                <w:sz w:val="22"/>
                <w:szCs w:val="22"/>
              </w:rPr>
              <w:t>分院</w:t>
            </w:r>
            <w:proofErr w:type="gramStart"/>
            <w:r w:rsidRPr="00793822">
              <w:rPr>
                <w:rFonts w:hAnsi="標楷體"/>
                <w:spacing w:val="-20"/>
                <w:sz w:val="22"/>
                <w:szCs w:val="22"/>
              </w:rPr>
              <w:t>113</w:t>
            </w:r>
            <w:proofErr w:type="gramEnd"/>
            <w:r w:rsidRPr="00793822">
              <w:rPr>
                <w:rFonts w:hAnsi="標楷體"/>
                <w:spacing w:val="-20"/>
                <w:sz w:val="22"/>
                <w:szCs w:val="22"/>
              </w:rPr>
              <w:t>年度上訴字第2090號</w:t>
            </w:r>
            <w:r w:rsidR="0064630A" w:rsidRPr="00793822">
              <w:rPr>
                <w:rFonts w:hAnsi="標楷體" w:hint="eastAsia"/>
                <w:spacing w:val="-20"/>
                <w:sz w:val="22"/>
                <w:szCs w:val="22"/>
              </w:rPr>
              <w:t>(</w:t>
            </w:r>
            <w:r w:rsidRPr="00793822">
              <w:rPr>
                <w:rFonts w:hAnsi="標楷體" w:hint="eastAsia"/>
                <w:spacing w:val="-20"/>
                <w:sz w:val="22"/>
                <w:szCs w:val="22"/>
              </w:rPr>
              <w:t>審理中</w:t>
            </w:r>
            <w:r w:rsidR="0064630A" w:rsidRPr="00793822">
              <w:rPr>
                <w:rFonts w:hAnsi="標楷體" w:hint="eastAsia"/>
                <w:spacing w:val="-20"/>
                <w:sz w:val="22"/>
                <w:szCs w:val="22"/>
              </w:rPr>
              <w:t>)</w:t>
            </w:r>
          </w:p>
        </w:tc>
      </w:tr>
      <w:tr w:rsidR="006E3196" w:rsidRPr="00793822" w14:paraId="4EF8D25E" w14:textId="77777777" w:rsidTr="00915672">
        <w:tc>
          <w:tcPr>
            <w:tcW w:w="258" w:type="dxa"/>
            <w:vAlign w:val="center"/>
          </w:tcPr>
          <w:p w14:paraId="7F61CABB" w14:textId="77777777" w:rsidR="00BD5935" w:rsidRPr="00793822" w:rsidRDefault="00BD5935" w:rsidP="00915672">
            <w:pPr>
              <w:spacing w:line="280" w:lineRule="exact"/>
              <w:jc w:val="center"/>
              <w:rPr>
                <w:rFonts w:hAnsi="標楷體"/>
                <w:spacing w:val="-20"/>
                <w:sz w:val="22"/>
                <w:szCs w:val="22"/>
              </w:rPr>
            </w:pPr>
            <w:r w:rsidRPr="00793822">
              <w:rPr>
                <w:rFonts w:hAnsi="標楷體" w:hint="eastAsia"/>
                <w:spacing w:val="-20"/>
                <w:sz w:val="22"/>
                <w:szCs w:val="22"/>
              </w:rPr>
              <w:t>15</w:t>
            </w:r>
          </w:p>
        </w:tc>
        <w:tc>
          <w:tcPr>
            <w:tcW w:w="1074" w:type="dxa"/>
            <w:vAlign w:val="center"/>
          </w:tcPr>
          <w:p w14:paraId="65AB5913" w14:textId="77777777"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彰化地檢署</w:t>
            </w:r>
          </w:p>
          <w:p w14:paraId="79851287" w14:textId="77777777" w:rsidR="00BD5935" w:rsidRPr="00793822" w:rsidRDefault="00BD5935" w:rsidP="00915672">
            <w:pPr>
              <w:spacing w:line="280" w:lineRule="exact"/>
              <w:rPr>
                <w:rFonts w:hAnsi="標楷體"/>
                <w:spacing w:val="-20"/>
                <w:sz w:val="22"/>
                <w:szCs w:val="22"/>
              </w:rPr>
            </w:pPr>
            <w:proofErr w:type="gramStart"/>
            <w:r w:rsidRPr="00793822">
              <w:rPr>
                <w:rFonts w:hAnsi="標楷體" w:hint="eastAsia"/>
                <w:spacing w:val="-20"/>
                <w:sz w:val="22"/>
                <w:szCs w:val="22"/>
              </w:rPr>
              <w:t>113</w:t>
            </w:r>
            <w:proofErr w:type="gramEnd"/>
            <w:r w:rsidRPr="00793822">
              <w:rPr>
                <w:rFonts w:hAnsi="標楷體" w:hint="eastAsia"/>
                <w:spacing w:val="-20"/>
                <w:sz w:val="22"/>
                <w:szCs w:val="22"/>
              </w:rPr>
              <w:t>年度</w:t>
            </w:r>
            <w:proofErr w:type="gramStart"/>
            <w:r w:rsidRPr="00793822">
              <w:rPr>
                <w:rFonts w:hAnsi="標楷體" w:hint="eastAsia"/>
                <w:spacing w:val="-20"/>
                <w:sz w:val="22"/>
                <w:szCs w:val="22"/>
              </w:rPr>
              <w:t>偵</w:t>
            </w:r>
            <w:proofErr w:type="gramEnd"/>
            <w:r w:rsidRPr="00793822">
              <w:rPr>
                <w:rFonts w:hAnsi="標楷體" w:hint="eastAsia"/>
                <w:spacing w:val="-20"/>
                <w:sz w:val="22"/>
                <w:szCs w:val="22"/>
              </w:rPr>
              <w:t>字第13629號等5案</w:t>
            </w:r>
          </w:p>
        </w:tc>
        <w:tc>
          <w:tcPr>
            <w:tcW w:w="903" w:type="dxa"/>
            <w:vAlign w:val="center"/>
          </w:tcPr>
          <w:p w14:paraId="0124C314" w14:textId="77777777"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違反貪污治罪條例等</w:t>
            </w:r>
          </w:p>
          <w:p w14:paraId="7A5C7775" w14:textId="77777777" w:rsidR="00BD5935" w:rsidRPr="00793822" w:rsidRDefault="00BD5935" w:rsidP="00915672">
            <w:pPr>
              <w:spacing w:line="280" w:lineRule="exact"/>
              <w:rPr>
                <w:rFonts w:hAnsi="標楷體"/>
                <w:spacing w:val="-20"/>
                <w:sz w:val="22"/>
                <w:szCs w:val="22"/>
              </w:rPr>
            </w:pPr>
          </w:p>
          <w:p w14:paraId="485FAF40" w14:textId="77777777" w:rsidR="00BD5935" w:rsidRPr="00793822" w:rsidRDefault="00BD5935" w:rsidP="00915672">
            <w:pPr>
              <w:spacing w:line="280" w:lineRule="exact"/>
              <w:rPr>
                <w:rFonts w:hAnsi="標楷體"/>
                <w:spacing w:val="-20"/>
                <w:sz w:val="22"/>
                <w:szCs w:val="22"/>
              </w:rPr>
            </w:pPr>
          </w:p>
        </w:tc>
        <w:tc>
          <w:tcPr>
            <w:tcW w:w="510" w:type="dxa"/>
            <w:vAlign w:val="center"/>
          </w:tcPr>
          <w:p w14:paraId="19D31746" w14:textId="77777777" w:rsidR="00BD5935" w:rsidRPr="00793822" w:rsidRDefault="00BD5935" w:rsidP="00915672">
            <w:pPr>
              <w:spacing w:line="280" w:lineRule="exact"/>
              <w:jc w:val="center"/>
              <w:rPr>
                <w:rFonts w:hAnsi="標楷體"/>
                <w:spacing w:val="-20"/>
                <w:sz w:val="22"/>
                <w:szCs w:val="22"/>
              </w:rPr>
            </w:pPr>
            <w:r w:rsidRPr="00793822">
              <w:rPr>
                <w:rFonts w:hAnsi="標楷體" w:hint="eastAsia"/>
                <w:spacing w:val="-20"/>
                <w:sz w:val="22"/>
                <w:szCs w:val="22"/>
              </w:rPr>
              <w:t>14人</w:t>
            </w:r>
          </w:p>
        </w:tc>
        <w:tc>
          <w:tcPr>
            <w:tcW w:w="1871" w:type="dxa"/>
            <w:vAlign w:val="center"/>
          </w:tcPr>
          <w:p w14:paraId="523096EB" w14:textId="77777777"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公務員：6人</w:t>
            </w:r>
          </w:p>
          <w:p w14:paraId="2D1AA1F2" w14:textId="77777777"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民意代表：2人</w:t>
            </w:r>
          </w:p>
          <w:p w14:paraId="71C37BF4" w14:textId="77777777"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不具公務員身分：6人</w:t>
            </w:r>
          </w:p>
        </w:tc>
        <w:tc>
          <w:tcPr>
            <w:tcW w:w="2154" w:type="dxa"/>
            <w:vAlign w:val="center"/>
          </w:tcPr>
          <w:p w14:paraId="737744EF" w14:textId="77777777"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彰化縣竹塘鄉、二崙鄉鄉長、鄉代表及承辦公務員，利用光電</w:t>
            </w:r>
            <w:proofErr w:type="gramStart"/>
            <w:r w:rsidRPr="00793822">
              <w:rPr>
                <w:rFonts w:hAnsi="標楷體" w:hint="eastAsia"/>
                <w:spacing w:val="-20"/>
                <w:sz w:val="22"/>
                <w:szCs w:val="22"/>
              </w:rPr>
              <w:t>標租案機會</w:t>
            </w:r>
            <w:proofErr w:type="gramEnd"/>
            <w:r w:rsidRPr="00793822">
              <w:rPr>
                <w:rFonts w:hAnsi="標楷體" w:hint="eastAsia"/>
                <w:spacing w:val="-20"/>
                <w:sz w:val="22"/>
                <w:szCs w:val="22"/>
              </w:rPr>
              <w:t>，收取賄賂，與特定不法光電廠商合作，未依政府採購法相關規定辦理太陽能光電</w:t>
            </w:r>
            <w:proofErr w:type="gramStart"/>
            <w:r w:rsidRPr="00793822">
              <w:rPr>
                <w:rFonts w:hAnsi="標楷體" w:hint="eastAsia"/>
                <w:spacing w:val="-20"/>
                <w:sz w:val="22"/>
                <w:szCs w:val="22"/>
              </w:rPr>
              <w:t>標租案</w:t>
            </w:r>
            <w:proofErr w:type="gramEnd"/>
            <w:r w:rsidRPr="00793822">
              <w:rPr>
                <w:rFonts w:hAnsi="標楷體" w:hint="eastAsia"/>
                <w:spacing w:val="-20"/>
                <w:sz w:val="22"/>
                <w:szCs w:val="22"/>
              </w:rPr>
              <w:t>，並將內部公務文件洩密讓特定廠商知悉，綁定特定廠商得標施作。</w:t>
            </w:r>
          </w:p>
        </w:tc>
        <w:tc>
          <w:tcPr>
            <w:tcW w:w="680" w:type="dxa"/>
            <w:vAlign w:val="center"/>
          </w:tcPr>
          <w:p w14:paraId="419C8A6C" w14:textId="77777777" w:rsidR="00BD5935" w:rsidRPr="00793822" w:rsidRDefault="00BD5935" w:rsidP="00915672">
            <w:pPr>
              <w:spacing w:line="280" w:lineRule="exact"/>
              <w:jc w:val="center"/>
              <w:rPr>
                <w:rFonts w:hAnsi="標楷體"/>
                <w:spacing w:val="-20"/>
                <w:sz w:val="22"/>
                <w:szCs w:val="22"/>
              </w:rPr>
            </w:pPr>
            <w:r w:rsidRPr="00793822">
              <w:rPr>
                <w:rFonts w:hAnsi="標楷體" w:hint="eastAsia"/>
                <w:spacing w:val="-20"/>
                <w:sz w:val="22"/>
                <w:szCs w:val="22"/>
              </w:rPr>
              <w:t>彰化縣</w:t>
            </w:r>
          </w:p>
        </w:tc>
        <w:tc>
          <w:tcPr>
            <w:tcW w:w="1757" w:type="dxa"/>
            <w:vAlign w:val="center"/>
          </w:tcPr>
          <w:p w14:paraId="2D7725FB" w14:textId="19878C52" w:rsidR="00BD5935" w:rsidRPr="00793822" w:rsidRDefault="00BD5935" w:rsidP="00915672">
            <w:pPr>
              <w:spacing w:line="280" w:lineRule="exact"/>
              <w:rPr>
                <w:rFonts w:hAnsi="標楷體"/>
                <w:spacing w:val="-20"/>
                <w:sz w:val="22"/>
                <w:szCs w:val="22"/>
              </w:rPr>
            </w:pPr>
            <w:r w:rsidRPr="00793822">
              <w:rPr>
                <w:rFonts w:hAnsi="標楷體" w:hint="eastAsia"/>
                <w:spacing w:val="-20"/>
                <w:sz w:val="22"/>
                <w:szCs w:val="22"/>
              </w:rPr>
              <w:t>彰化地院</w:t>
            </w:r>
            <w:proofErr w:type="gramStart"/>
            <w:r w:rsidRPr="00793822">
              <w:rPr>
                <w:rFonts w:hAnsi="標楷體" w:hint="eastAsia"/>
                <w:spacing w:val="-20"/>
                <w:sz w:val="22"/>
                <w:szCs w:val="22"/>
              </w:rPr>
              <w:t>113年度訴字第995號</w:t>
            </w:r>
            <w:proofErr w:type="gramEnd"/>
            <w:r w:rsidR="0064630A" w:rsidRPr="00793822">
              <w:rPr>
                <w:rFonts w:hAnsi="標楷體" w:hint="eastAsia"/>
                <w:spacing w:val="-20"/>
                <w:sz w:val="22"/>
                <w:szCs w:val="22"/>
              </w:rPr>
              <w:t>(</w:t>
            </w:r>
            <w:r w:rsidRPr="00793822">
              <w:rPr>
                <w:rFonts w:hAnsi="標楷體" w:hint="eastAsia"/>
                <w:spacing w:val="-20"/>
                <w:sz w:val="22"/>
                <w:szCs w:val="22"/>
              </w:rPr>
              <w:t>審理中</w:t>
            </w:r>
            <w:r w:rsidR="0064630A" w:rsidRPr="00793822">
              <w:rPr>
                <w:rFonts w:hAnsi="標楷體" w:hint="eastAsia"/>
                <w:spacing w:val="-20"/>
                <w:sz w:val="22"/>
                <w:szCs w:val="22"/>
              </w:rPr>
              <w:t>)</w:t>
            </w:r>
          </w:p>
        </w:tc>
      </w:tr>
      <w:tr w:rsidR="006E3196" w:rsidRPr="00793822" w14:paraId="5F0E3A15" w14:textId="77777777" w:rsidTr="00BD5935">
        <w:tc>
          <w:tcPr>
            <w:tcW w:w="258" w:type="dxa"/>
            <w:vAlign w:val="center"/>
          </w:tcPr>
          <w:p w14:paraId="3AAB453A" w14:textId="71B39447" w:rsidR="00BD5935" w:rsidRPr="00793822" w:rsidRDefault="00BD5935" w:rsidP="00915672">
            <w:pPr>
              <w:spacing w:line="280" w:lineRule="exact"/>
              <w:jc w:val="center"/>
              <w:rPr>
                <w:rFonts w:hAnsi="標楷體"/>
                <w:spacing w:val="-20"/>
                <w:sz w:val="22"/>
                <w:szCs w:val="22"/>
              </w:rPr>
            </w:pPr>
            <w:r w:rsidRPr="00793822">
              <w:rPr>
                <w:rFonts w:hAnsi="標楷體" w:hint="eastAsia"/>
                <w:spacing w:val="-20"/>
                <w:sz w:val="22"/>
                <w:szCs w:val="22"/>
              </w:rPr>
              <w:t>合計</w:t>
            </w:r>
          </w:p>
        </w:tc>
        <w:tc>
          <w:tcPr>
            <w:tcW w:w="1074" w:type="dxa"/>
            <w:vAlign w:val="center"/>
          </w:tcPr>
          <w:p w14:paraId="578B9D2F" w14:textId="114C50D8" w:rsidR="00BD5935" w:rsidRPr="00793822" w:rsidRDefault="00BD5935" w:rsidP="00915672">
            <w:pPr>
              <w:spacing w:line="280" w:lineRule="exact"/>
              <w:jc w:val="center"/>
              <w:rPr>
                <w:rFonts w:hAnsi="標楷體"/>
                <w:spacing w:val="-20"/>
                <w:sz w:val="22"/>
                <w:szCs w:val="22"/>
              </w:rPr>
            </w:pPr>
            <w:r w:rsidRPr="00793822">
              <w:rPr>
                <w:rFonts w:hAnsi="標楷體" w:hint="eastAsia"/>
                <w:spacing w:val="-20"/>
                <w:sz w:val="22"/>
                <w:szCs w:val="22"/>
              </w:rPr>
              <w:t>71</w:t>
            </w:r>
            <w:r w:rsidRPr="00793822">
              <w:rPr>
                <w:rFonts w:hAnsi="標楷體"/>
                <w:spacing w:val="-20"/>
                <w:sz w:val="22"/>
                <w:szCs w:val="22"/>
              </w:rPr>
              <w:t>案</w:t>
            </w:r>
          </w:p>
        </w:tc>
        <w:tc>
          <w:tcPr>
            <w:tcW w:w="903" w:type="dxa"/>
            <w:vAlign w:val="center"/>
          </w:tcPr>
          <w:p w14:paraId="2219E91F" w14:textId="77777777" w:rsidR="00BD5935" w:rsidRPr="00793822" w:rsidRDefault="00BD5935" w:rsidP="00915672">
            <w:pPr>
              <w:spacing w:line="280" w:lineRule="exact"/>
              <w:rPr>
                <w:rFonts w:hAnsi="標楷體"/>
                <w:spacing w:val="-20"/>
                <w:sz w:val="22"/>
                <w:szCs w:val="22"/>
              </w:rPr>
            </w:pPr>
          </w:p>
        </w:tc>
        <w:tc>
          <w:tcPr>
            <w:tcW w:w="510" w:type="dxa"/>
            <w:vAlign w:val="center"/>
          </w:tcPr>
          <w:p w14:paraId="571103F5" w14:textId="37C63B6C" w:rsidR="00BD5935" w:rsidRPr="00793822" w:rsidRDefault="00BD5935" w:rsidP="00915672">
            <w:pPr>
              <w:spacing w:line="280" w:lineRule="exact"/>
              <w:jc w:val="center"/>
              <w:rPr>
                <w:rFonts w:hAnsi="標楷體"/>
                <w:spacing w:val="-20"/>
                <w:sz w:val="22"/>
                <w:szCs w:val="22"/>
              </w:rPr>
            </w:pPr>
            <w:r w:rsidRPr="00793822">
              <w:rPr>
                <w:rFonts w:hAnsi="標楷體" w:hint="eastAsia"/>
                <w:spacing w:val="-20"/>
                <w:sz w:val="22"/>
                <w:szCs w:val="22"/>
              </w:rPr>
              <w:t>114</w:t>
            </w:r>
            <w:r w:rsidRPr="00793822">
              <w:rPr>
                <w:rFonts w:hAnsi="標楷體"/>
                <w:spacing w:val="-20"/>
                <w:sz w:val="22"/>
                <w:szCs w:val="22"/>
              </w:rPr>
              <w:t>人</w:t>
            </w:r>
          </w:p>
        </w:tc>
        <w:tc>
          <w:tcPr>
            <w:tcW w:w="1871" w:type="dxa"/>
            <w:vAlign w:val="center"/>
          </w:tcPr>
          <w:p w14:paraId="42D1A299" w14:textId="77777777" w:rsidR="00BD5935" w:rsidRPr="00793822" w:rsidRDefault="00BD5935" w:rsidP="00915672">
            <w:pPr>
              <w:spacing w:line="280" w:lineRule="exact"/>
              <w:rPr>
                <w:rFonts w:hAnsi="標楷體"/>
                <w:spacing w:val="-20"/>
                <w:sz w:val="22"/>
                <w:szCs w:val="22"/>
              </w:rPr>
            </w:pPr>
          </w:p>
        </w:tc>
        <w:tc>
          <w:tcPr>
            <w:tcW w:w="2154" w:type="dxa"/>
            <w:vAlign w:val="center"/>
          </w:tcPr>
          <w:p w14:paraId="7F57A431" w14:textId="77777777" w:rsidR="00BD5935" w:rsidRPr="00793822" w:rsidRDefault="00BD5935" w:rsidP="00915672">
            <w:pPr>
              <w:spacing w:line="280" w:lineRule="exact"/>
              <w:rPr>
                <w:rFonts w:hAnsi="標楷體"/>
                <w:spacing w:val="-20"/>
                <w:sz w:val="22"/>
                <w:szCs w:val="22"/>
              </w:rPr>
            </w:pPr>
          </w:p>
        </w:tc>
        <w:tc>
          <w:tcPr>
            <w:tcW w:w="680" w:type="dxa"/>
            <w:vAlign w:val="center"/>
          </w:tcPr>
          <w:p w14:paraId="6042D91F" w14:textId="77777777" w:rsidR="00BD5935" w:rsidRPr="00793822" w:rsidRDefault="00BD5935" w:rsidP="00915672">
            <w:pPr>
              <w:spacing w:line="280" w:lineRule="exact"/>
              <w:jc w:val="center"/>
              <w:rPr>
                <w:rFonts w:hAnsi="標楷體"/>
                <w:spacing w:val="-20"/>
                <w:sz w:val="22"/>
                <w:szCs w:val="22"/>
              </w:rPr>
            </w:pPr>
          </w:p>
        </w:tc>
        <w:tc>
          <w:tcPr>
            <w:tcW w:w="1757" w:type="dxa"/>
          </w:tcPr>
          <w:p w14:paraId="7F9054B2" w14:textId="77777777" w:rsidR="00BD5935" w:rsidRPr="00793822" w:rsidRDefault="00BD5935" w:rsidP="00915672">
            <w:pPr>
              <w:spacing w:line="280" w:lineRule="exact"/>
              <w:rPr>
                <w:rFonts w:hAnsi="標楷體"/>
                <w:spacing w:val="-20"/>
                <w:sz w:val="22"/>
                <w:szCs w:val="22"/>
              </w:rPr>
            </w:pPr>
          </w:p>
        </w:tc>
      </w:tr>
    </w:tbl>
    <w:p w14:paraId="40797DB9" w14:textId="4F3AD851" w:rsidR="00BD5935" w:rsidRPr="00793822" w:rsidRDefault="00BD5935" w:rsidP="00034AF4">
      <w:pPr>
        <w:spacing w:line="360" w:lineRule="exact"/>
        <w:rPr>
          <w:sz w:val="24"/>
        </w:rPr>
      </w:pPr>
      <w:r w:rsidRPr="00793822">
        <w:rPr>
          <w:rFonts w:hint="eastAsia"/>
          <w:sz w:val="24"/>
        </w:rPr>
        <w:t>統計期間</w:t>
      </w:r>
      <w:r w:rsidR="006E3106" w:rsidRPr="00793822">
        <w:rPr>
          <w:rFonts w:hint="eastAsia"/>
          <w:sz w:val="24"/>
        </w:rPr>
        <w:t>：</w:t>
      </w:r>
      <w:r w:rsidR="00672BBE" w:rsidRPr="00793822">
        <w:rPr>
          <w:rFonts w:hint="eastAsia"/>
          <w:sz w:val="24"/>
        </w:rPr>
        <w:t>自</w:t>
      </w:r>
      <w:r w:rsidRPr="00793822">
        <w:rPr>
          <w:rFonts w:hint="eastAsia"/>
          <w:sz w:val="24"/>
        </w:rPr>
        <w:t>110年1月1日起至113年12月31日止。</w:t>
      </w:r>
    </w:p>
    <w:p w14:paraId="305DC4BC" w14:textId="217DD90A" w:rsidR="00BD5935" w:rsidRPr="00793822" w:rsidRDefault="00BD5935" w:rsidP="00034AF4">
      <w:pPr>
        <w:spacing w:line="360" w:lineRule="exact"/>
        <w:rPr>
          <w:sz w:val="24"/>
        </w:rPr>
      </w:pPr>
      <w:r w:rsidRPr="00793822">
        <w:rPr>
          <w:rFonts w:hint="eastAsia"/>
          <w:sz w:val="24"/>
        </w:rPr>
        <w:t>資料來源：法務部。</w:t>
      </w:r>
    </w:p>
    <w:sectPr w:rsidR="00BD5935" w:rsidRPr="00793822" w:rsidSect="00FA5671">
      <w:footerReference w:type="default" r:id="rId9"/>
      <w:footnotePr>
        <w:numRestart w:val="eachSect"/>
      </w:footnotePr>
      <w:pgSz w:w="11907" w:h="16840" w:code="9"/>
      <w:pgMar w:top="1701" w:right="1418" w:bottom="1418" w:left="1418" w:header="851" w:footer="680" w:gutter="227"/>
      <w:paperSrc w:first="258" w:other="258"/>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20B56" w14:textId="77777777" w:rsidR="00292BE3" w:rsidRDefault="00292BE3">
      <w:r>
        <w:separator/>
      </w:r>
    </w:p>
  </w:endnote>
  <w:endnote w:type="continuationSeparator" w:id="0">
    <w:p w14:paraId="65933F38" w14:textId="77777777" w:rsidR="00292BE3" w:rsidRDefault="00292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微軟正黑體^..">
    <w:altName w:val="微軟正黑體"/>
    <w:panose1 w:val="00000000000000000000"/>
    <w:charset w:val="88"/>
    <w:family w:val="swiss"/>
    <w:notTrueType/>
    <w:pitch w:val="default"/>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3153533"/>
      <w:docPartObj>
        <w:docPartGallery w:val="Page Numbers (Bottom of Page)"/>
        <w:docPartUnique/>
      </w:docPartObj>
    </w:sdtPr>
    <w:sdtContent>
      <w:p w14:paraId="0FD4677D" w14:textId="55D48FD3" w:rsidR="0095401E" w:rsidRDefault="0095401E">
        <w:pPr>
          <w:pStyle w:val="af3"/>
          <w:jc w:val="center"/>
        </w:pPr>
        <w:r>
          <w:fldChar w:fldCharType="begin"/>
        </w:r>
        <w:r>
          <w:instrText>PAGE   \* MERGEFORMAT</w:instrText>
        </w:r>
        <w:r>
          <w:fldChar w:fldCharType="separate"/>
        </w:r>
        <w:r>
          <w:rPr>
            <w:lang w:val="zh-TW"/>
          </w:rPr>
          <w:t>2</w:t>
        </w:r>
        <w:r>
          <w:fldChar w:fldCharType="end"/>
        </w:r>
      </w:p>
    </w:sdtContent>
  </w:sdt>
  <w:p w14:paraId="1DAF0267" w14:textId="77777777" w:rsidR="0095401E" w:rsidRDefault="0095401E">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4AFC7" w14:textId="77777777" w:rsidR="00292BE3" w:rsidRDefault="00292BE3">
      <w:r>
        <w:separator/>
      </w:r>
    </w:p>
  </w:footnote>
  <w:footnote w:type="continuationSeparator" w:id="0">
    <w:p w14:paraId="3B176039" w14:textId="77777777" w:rsidR="00292BE3" w:rsidRDefault="00292BE3">
      <w:r>
        <w:continuationSeparator/>
      </w:r>
    </w:p>
  </w:footnote>
  <w:footnote w:id="1">
    <w:p w14:paraId="02F363B6" w14:textId="6F565CC0" w:rsidR="003533FD" w:rsidRPr="00793822" w:rsidRDefault="003533FD" w:rsidP="00A23EDD">
      <w:pPr>
        <w:pStyle w:val="afd"/>
        <w:spacing w:line="240" w:lineRule="exact"/>
      </w:pPr>
      <w:r w:rsidRPr="00793822">
        <w:rPr>
          <w:rStyle w:val="aff"/>
        </w:rPr>
        <w:footnoteRef/>
      </w:r>
      <w:r w:rsidR="00933446" w:rsidRPr="00793822">
        <w:rPr>
          <w:rFonts w:hint="eastAsia"/>
        </w:rPr>
        <w:t xml:space="preserve"> </w:t>
      </w:r>
      <w:r w:rsidRPr="00793822">
        <w:rPr>
          <w:rFonts w:hint="eastAsia"/>
        </w:rPr>
        <w:t>本調查報告內文年代</w:t>
      </w:r>
      <w:r w:rsidRPr="00793822">
        <w:t>3</w:t>
      </w:r>
      <w:r w:rsidRPr="00793822">
        <w:rPr>
          <w:rFonts w:hint="eastAsia"/>
        </w:rPr>
        <w:t>位數</w:t>
      </w:r>
      <w:r w:rsidR="00793822">
        <w:rPr>
          <w:rFonts w:hint="eastAsia"/>
        </w:rPr>
        <w:t>(</w:t>
      </w:r>
      <w:r w:rsidRPr="00793822">
        <w:rPr>
          <w:rFonts w:hint="eastAsia"/>
        </w:rPr>
        <w:t>含</w:t>
      </w:r>
      <w:r w:rsidR="00793822">
        <w:rPr>
          <w:rFonts w:hint="eastAsia"/>
        </w:rPr>
        <w:t>)</w:t>
      </w:r>
      <w:r w:rsidRPr="00793822">
        <w:rPr>
          <w:rFonts w:hint="eastAsia"/>
        </w:rPr>
        <w:t>以下為民國紀年，</w:t>
      </w:r>
      <w:r w:rsidRPr="00793822">
        <w:t>4</w:t>
      </w:r>
      <w:r w:rsidRPr="00793822">
        <w:rPr>
          <w:rFonts w:hint="eastAsia"/>
        </w:rPr>
        <w:t>位數</w:t>
      </w:r>
      <w:r w:rsidR="00793822">
        <w:rPr>
          <w:rFonts w:hint="eastAsia"/>
        </w:rPr>
        <w:t>(</w:t>
      </w:r>
      <w:r w:rsidRPr="00793822">
        <w:rPr>
          <w:rFonts w:hint="eastAsia"/>
        </w:rPr>
        <w:t>含</w:t>
      </w:r>
      <w:r w:rsidR="00793822">
        <w:rPr>
          <w:rFonts w:hint="eastAsia"/>
        </w:rPr>
        <w:t>)</w:t>
      </w:r>
      <w:r w:rsidRPr="00793822">
        <w:rPr>
          <w:rFonts w:hint="eastAsia"/>
        </w:rPr>
        <w:t>以上為西元紀年。</w:t>
      </w:r>
    </w:p>
  </w:footnote>
  <w:footnote w:id="2">
    <w:p w14:paraId="1AE4D860" w14:textId="48BD030D" w:rsidR="00A72BEF" w:rsidRPr="00793822" w:rsidRDefault="00A72BEF" w:rsidP="00A23EDD">
      <w:pPr>
        <w:pStyle w:val="afd"/>
        <w:spacing w:line="240" w:lineRule="exact"/>
      </w:pPr>
      <w:r w:rsidRPr="00793822">
        <w:rPr>
          <w:rStyle w:val="aff"/>
        </w:rPr>
        <w:footnoteRef/>
      </w:r>
      <w:r w:rsidR="00933446" w:rsidRPr="00793822">
        <w:rPr>
          <w:rFonts w:hint="eastAsia"/>
        </w:rPr>
        <w:t xml:space="preserve"> </w:t>
      </w:r>
      <w:r w:rsidRPr="00793822">
        <w:rPr>
          <w:rFonts w:hint="eastAsia"/>
        </w:rPr>
        <w:t>考察報告詳如附件</w:t>
      </w:r>
      <w:r w:rsidR="00490B63" w:rsidRPr="00793822">
        <w:rPr>
          <w:rFonts w:hint="eastAsia"/>
        </w:rPr>
        <w:t>二</w:t>
      </w:r>
      <w:r w:rsidRPr="00793822">
        <w:rPr>
          <w:rFonts w:hint="eastAsia"/>
        </w:rPr>
        <w:t>。</w:t>
      </w:r>
    </w:p>
  </w:footnote>
  <w:footnote w:id="3">
    <w:p w14:paraId="6F239C14" w14:textId="77777777" w:rsidR="0098158F" w:rsidRPr="00793822" w:rsidRDefault="0098158F" w:rsidP="00A23EDD">
      <w:pPr>
        <w:pStyle w:val="afd"/>
        <w:spacing w:line="240" w:lineRule="exact"/>
      </w:pPr>
      <w:r w:rsidRPr="00793822">
        <w:rPr>
          <w:rStyle w:val="aff"/>
        </w:rPr>
        <w:footnoteRef/>
      </w:r>
      <w:r w:rsidRPr="00793822">
        <w:t xml:space="preserve"> 「備用容量率」與「備轉容量(率)」</w:t>
      </w:r>
      <w:r w:rsidRPr="00793822">
        <w:rPr>
          <w:rFonts w:hint="eastAsia"/>
        </w:rPr>
        <w:t>：</w:t>
      </w:r>
    </w:p>
    <w:p w14:paraId="44279DFB" w14:textId="77777777" w:rsidR="0098158F" w:rsidRPr="00793822" w:rsidRDefault="0098158F" w:rsidP="00D32B67">
      <w:pPr>
        <w:pStyle w:val="afd"/>
        <w:numPr>
          <w:ilvl w:val="0"/>
          <w:numId w:val="30"/>
        </w:numPr>
        <w:spacing w:line="240" w:lineRule="exact"/>
        <w:ind w:left="511" w:hanging="227"/>
        <w:jc w:val="both"/>
      </w:pPr>
      <w:r w:rsidRPr="00793822">
        <w:rPr>
          <w:rFonts w:hint="eastAsia"/>
        </w:rPr>
        <w:t>備用容量率(</w:t>
      </w:r>
      <w:proofErr w:type="spellStart"/>
      <w:r w:rsidRPr="00793822">
        <w:rPr>
          <w:rFonts w:hint="eastAsia"/>
        </w:rPr>
        <w:t>ReserveMargin</w:t>
      </w:r>
      <w:proofErr w:type="spellEnd"/>
      <w:r w:rsidRPr="00793822">
        <w:rPr>
          <w:rFonts w:hint="eastAsia"/>
        </w:rPr>
        <w:t>)：此指標主要用於衡量電力系統「長期」的電源開發是否充裕。其計算方式為(系統規劃總供電能力-系統全年最高尖峰負載)/系統全年最高尖峰負載×100%。一個合理的備用容量率，旨在確保部分大型機組歲修、大修或發生非預期故障時，系統仍有足夠的發電容量以應對尖峰負載需求。</w:t>
      </w:r>
    </w:p>
    <w:p w14:paraId="3EE4839F" w14:textId="77777777" w:rsidR="0098158F" w:rsidRPr="00793822" w:rsidRDefault="0098158F" w:rsidP="00D32B67">
      <w:pPr>
        <w:pStyle w:val="afd"/>
        <w:numPr>
          <w:ilvl w:val="0"/>
          <w:numId w:val="30"/>
        </w:numPr>
        <w:spacing w:line="240" w:lineRule="exact"/>
        <w:ind w:left="511" w:hanging="227"/>
        <w:jc w:val="both"/>
      </w:pPr>
      <w:r w:rsidRPr="00793822">
        <w:rPr>
          <w:rFonts w:hint="eastAsia"/>
        </w:rPr>
        <w:t>備轉容量</w:t>
      </w:r>
      <w:r w:rsidRPr="00793822">
        <w:t>(</w:t>
      </w:r>
      <w:proofErr w:type="spellStart"/>
      <w:r w:rsidRPr="00793822">
        <w:t>OperatingReserve</w:t>
      </w:r>
      <w:proofErr w:type="spellEnd"/>
      <w:r w:rsidRPr="00793822">
        <w:t>)/</w:t>
      </w:r>
      <w:r w:rsidRPr="00793822">
        <w:rPr>
          <w:rFonts w:hint="eastAsia"/>
        </w:rPr>
        <w:t>備轉容量率</w:t>
      </w:r>
      <w:r w:rsidRPr="00793822">
        <w:t>(</w:t>
      </w:r>
      <w:proofErr w:type="spellStart"/>
      <w:r w:rsidRPr="00793822">
        <w:t>OperatingReserveMargin</w:t>
      </w:r>
      <w:proofErr w:type="spellEnd"/>
      <w:r w:rsidRPr="00793822">
        <w:t>)</w:t>
      </w:r>
      <w:r w:rsidRPr="00793822">
        <w:rPr>
          <w:rFonts w:hint="eastAsia"/>
        </w:rPr>
        <w:t>：此指標則是用於評估「每日」的實際供電能力是否足以應付當日尖峰負載。備轉容量指當日所有可調度發電機組的總發電容量扣除系統瞬時尖峰負載後之餘</w:t>
      </w:r>
      <w:proofErr w:type="gramStart"/>
      <w:r w:rsidRPr="00793822">
        <w:rPr>
          <w:rFonts w:hint="eastAsia"/>
        </w:rPr>
        <w:t>裕</w:t>
      </w:r>
      <w:proofErr w:type="gramEnd"/>
      <w:r w:rsidRPr="00793822">
        <w:rPr>
          <w:rFonts w:hint="eastAsia"/>
        </w:rPr>
        <w:t>；備轉容量率則為此</w:t>
      </w:r>
      <w:proofErr w:type="gramStart"/>
      <w:r w:rsidRPr="00793822">
        <w:rPr>
          <w:rFonts w:hint="eastAsia"/>
        </w:rPr>
        <w:t>餘裕占系統</w:t>
      </w:r>
      <w:proofErr w:type="gramEnd"/>
      <w:r w:rsidRPr="00793822">
        <w:rPr>
          <w:rFonts w:hint="eastAsia"/>
        </w:rPr>
        <w:t>瞬時尖峰負載之百分比。台電公司每日會依據備轉容量</w:t>
      </w:r>
      <w:r w:rsidRPr="00793822">
        <w:t>(</w:t>
      </w:r>
      <w:r w:rsidRPr="00793822">
        <w:rPr>
          <w:rFonts w:hint="eastAsia"/>
        </w:rPr>
        <w:t>率</w:t>
      </w:r>
      <w:r w:rsidRPr="00793822">
        <w:t>)</w:t>
      </w:r>
      <w:r w:rsidRPr="00793822">
        <w:rPr>
          <w:rFonts w:hint="eastAsia"/>
        </w:rPr>
        <w:t>發布供電燈號，如綠燈</w:t>
      </w:r>
      <w:r w:rsidRPr="00793822">
        <w:t>(</w:t>
      </w:r>
      <w:r w:rsidRPr="00793822">
        <w:rPr>
          <w:rFonts w:hint="eastAsia"/>
        </w:rPr>
        <w:t>備轉容量率</w:t>
      </w:r>
      <w:r w:rsidRPr="00793822">
        <w:t>≥</w:t>
      </w:r>
      <w:r w:rsidRPr="00793822">
        <w:t>10%</w:t>
      </w:r>
      <w:r w:rsidRPr="00793822">
        <w:rPr>
          <w:rFonts w:hint="eastAsia"/>
        </w:rPr>
        <w:t>，供電充裕</w:t>
      </w:r>
      <w:r w:rsidRPr="00793822">
        <w:t>)</w:t>
      </w:r>
      <w:r w:rsidRPr="00793822">
        <w:rPr>
          <w:rFonts w:hint="eastAsia"/>
        </w:rPr>
        <w:t>、黃燈</w:t>
      </w:r>
      <w:r w:rsidRPr="00793822">
        <w:t>(6%&lt;</w:t>
      </w:r>
      <w:r w:rsidRPr="00793822">
        <w:rPr>
          <w:rFonts w:hint="eastAsia"/>
        </w:rPr>
        <w:t>備轉容量率</w:t>
      </w:r>
      <w:r w:rsidRPr="00793822">
        <w:t>&lt;10%</w:t>
      </w:r>
      <w:r w:rsidRPr="00793822">
        <w:rPr>
          <w:rFonts w:hint="eastAsia"/>
        </w:rPr>
        <w:t>，供電吃緊</w:t>
      </w:r>
      <w:r w:rsidRPr="00793822">
        <w:t>)</w:t>
      </w:r>
      <w:r w:rsidRPr="00793822">
        <w:rPr>
          <w:rFonts w:hint="eastAsia"/>
        </w:rPr>
        <w:t>、橘燈</w:t>
      </w:r>
      <w:r w:rsidRPr="00793822">
        <w:t>(</w:t>
      </w:r>
      <w:r w:rsidRPr="00793822">
        <w:rPr>
          <w:rFonts w:hint="eastAsia"/>
        </w:rPr>
        <w:t>備轉容量率</w:t>
      </w:r>
      <w:r w:rsidRPr="00793822">
        <w:t>≤</w:t>
      </w:r>
      <w:r w:rsidRPr="00793822">
        <w:t>6%</w:t>
      </w:r>
      <w:r w:rsidRPr="00793822">
        <w:rPr>
          <w:rFonts w:hint="eastAsia"/>
        </w:rPr>
        <w:t>，供電警戒</w:t>
      </w:r>
      <w:r w:rsidRPr="00793822">
        <w:t>)</w:t>
      </w:r>
      <w:r w:rsidRPr="00793822">
        <w:rPr>
          <w:rFonts w:hint="eastAsia"/>
        </w:rPr>
        <w:t>等。</w:t>
      </w:r>
    </w:p>
  </w:footnote>
  <w:footnote w:id="4">
    <w:p w14:paraId="5F9A31A4" w14:textId="4D851B3F" w:rsidR="0098158F" w:rsidRPr="00793822" w:rsidRDefault="0098158F" w:rsidP="00A23EDD">
      <w:pPr>
        <w:pStyle w:val="afd"/>
        <w:spacing w:line="240" w:lineRule="exact"/>
        <w:rPr>
          <w:rFonts w:hAnsi="標楷體"/>
        </w:rPr>
      </w:pPr>
      <w:r w:rsidRPr="00793822">
        <w:rPr>
          <w:rStyle w:val="aff"/>
          <w:rFonts w:hAnsi="標楷體"/>
        </w:rPr>
        <w:footnoteRef/>
      </w:r>
      <w:r w:rsidRPr="00793822">
        <w:rPr>
          <w:rFonts w:hAnsi="標楷體" w:cs="新細明體" w:hint="eastAsia"/>
        </w:rPr>
        <w:t xml:space="preserve"> 行政院，「</w:t>
      </w:r>
      <w:proofErr w:type="gramStart"/>
      <w:r w:rsidRPr="00793822">
        <w:rPr>
          <w:rFonts w:hAnsi="標楷體" w:cs="新細明體" w:hint="eastAsia"/>
        </w:rPr>
        <w:t>氫能</w:t>
      </w:r>
      <w:proofErr w:type="gramEnd"/>
      <w:r w:rsidRPr="00793822">
        <w:rPr>
          <w:rFonts w:hAnsi="標楷體" w:cs="新細明體" w:hint="eastAsia"/>
        </w:rPr>
        <w:t>」關鍵戰略行動計畫</w:t>
      </w:r>
      <w:r w:rsidR="00793822">
        <w:rPr>
          <w:rFonts w:hAnsi="標楷體" w:cs="Google Sans Text"/>
        </w:rPr>
        <w:t>(</w:t>
      </w:r>
      <w:r w:rsidRPr="00793822">
        <w:rPr>
          <w:rFonts w:hAnsi="標楷體" w:cs="新細明體" w:hint="eastAsia"/>
        </w:rPr>
        <w:t>核定本</w:t>
      </w:r>
      <w:r w:rsidR="00793822">
        <w:rPr>
          <w:rFonts w:hAnsi="標楷體" w:cs="Google Sans Text"/>
        </w:rPr>
        <w:t>)</w:t>
      </w:r>
      <w:r w:rsidRPr="00793822">
        <w:rPr>
          <w:rFonts w:hAnsi="標楷體" w:cs="新細明體" w:hint="eastAsia"/>
        </w:rPr>
        <w:t>，</w:t>
      </w:r>
      <w:r w:rsidRPr="00793822">
        <w:rPr>
          <w:rFonts w:hAnsi="標楷體" w:cs="Google Sans Text"/>
        </w:rPr>
        <w:t>112</w:t>
      </w:r>
      <w:r w:rsidRPr="00793822">
        <w:rPr>
          <w:rFonts w:hAnsi="標楷體" w:cs="新細明體" w:hint="eastAsia"/>
        </w:rPr>
        <w:t>年</w:t>
      </w:r>
      <w:r w:rsidRPr="00793822">
        <w:rPr>
          <w:rFonts w:hAnsi="標楷體" w:cs="Google Sans Text"/>
        </w:rPr>
        <w:t>4</w:t>
      </w:r>
      <w:r w:rsidRPr="00793822">
        <w:rPr>
          <w:rFonts w:hAnsi="標楷體" w:cs="新細明體" w:hint="eastAsia"/>
        </w:rPr>
        <w:t>月。</w:t>
      </w:r>
    </w:p>
  </w:footnote>
  <w:footnote w:id="5">
    <w:p w14:paraId="396F5A56" w14:textId="77777777" w:rsidR="0098158F" w:rsidRPr="00793822" w:rsidRDefault="0098158F" w:rsidP="008E65D8">
      <w:pPr>
        <w:pStyle w:val="afd"/>
        <w:spacing w:line="240" w:lineRule="exact"/>
        <w:ind w:left="176" w:hangingChars="80" w:hanging="176"/>
      </w:pPr>
      <w:r w:rsidRPr="00793822">
        <w:rPr>
          <w:rStyle w:val="aff"/>
        </w:rPr>
        <w:footnoteRef/>
      </w:r>
      <w:r w:rsidRPr="00793822">
        <w:t xml:space="preserve"> </w:t>
      </w:r>
      <w:r w:rsidRPr="00793822">
        <w:rPr>
          <w:rFonts w:hint="eastAsia"/>
        </w:rPr>
        <w:t>資料來源：</w:t>
      </w:r>
      <w:proofErr w:type="spellStart"/>
      <w:r w:rsidRPr="00793822">
        <w:rPr>
          <w:rFonts w:hint="eastAsia"/>
        </w:rPr>
        <w:t>Porite</w:t>
      </w:r>
      <w:proofErr w:type="spellEnd"/>
      <w:r w:rsidRPr="00793822">
        <w:rPr>
          <w:rFonts w:hint="eastAsia"/>
        </w:rPr>
        <w:t xml:space="preserve"> Taiwan Co., Ltd.台灣保來得股份有限公司簡報、本院115年3月26日履勘高雄興達發電廠經濟部之說明。</w:t>
      </w:r>
    </w:p>
  </w:footnote>
  <w:footnote w:id="6">
    <w:p w14:paraId="7FE97572" w14:textId="77777777" w:rsidR="0098158F" w:rsidRPr="00793822" w:rsidRDefault="0098158F" w:rsidP="00A23EDD">
      <w:pPr>
        <w:pStyle w:val="afd"/>
        <w:kinsoku w:val="0"/>
        <w:spacing w:line="240" w:lineRule="exact"/>
        <w:ind w:left="176" w:hangingChars="80" w:hanging="176"/>
        <w:rPr>
          <w:rFonts w:hAnsi="標楷體"/>
        </w:rPr>
      </w:pPr>
      <w:r w:rsidRPr="00793822">
        <w:rPr>
          <w:rStyle w:val="aff"/>
          <w:rFonts w:hAnsi="標楷體"/>
        </w:rPr>
        <w:footnoteRef/>
      </w:r>
      <w:r w:rsidRPr="00793822">
        <w:rPr>
          <w:rFonts w:hAnsi="標楷體" w:hint="eastAsia"/>
        </w:rPr>
        <w:t xml:space="preserve"> 打擊</w:t>
      </w:r>
      <w:proofErr w:type="gramStart"/>
      <w:r w:rsidRPr="00793822">
        <w:rPr>
          <w:rFonts w:hAnsi="標楷體" w:hint="eastAsia"/>
        </w:rPr>
        <w:t>妨害綠能產業</w:t>
      </w:r>
      <w:proofErr w:type="gramEnd"/>
      <w:r w:rsidRPr="00793822">
        <w:rPr>
          <w:rFonts w:hAnsi="標楷體" w:hint="eastAsia"/>
        </w:rPr>
        <w:t>發展犯罪-臺灣高等檢察署柯怡如檢察官111年撰述。資料來源網址：</w:t>
      </w:r>
      <w:r w:rsidRPr="00793822">
        <w:rPr>
          <w:rFonts w:hAnsi="標楷體"/>
        </w:rPr>
        <w:t>https://www.tph.moj.gov.tw/media/280667/%E5%8D%B7%E4%B8%89_1_%E6%8D%8C_%E4%BA%8C-%E9%87%8D%E5%A4%A7%E7%8A%AF%E7%BD%AA.pdf</w:t>
      </w:r>
    </w:p>
  </w:footnote>
  <w:footnote w:id="7">
    <w:p w14:paraId="3A4B9F4F" w14:textId="77777777" w:rsidR="0098158F" w:rsidRPr="00793822" w:rsidRDefault="0098158F" w:rsidP="00A23EDD">
      <w:pPr>
        <w:pStyle w:val="afd"/>
        <w:kinsoku w:val="0"/>
        <w:spacing w:line="240" w:lineRule="exact"/>
        <w:ind w:left="176" w:hangingChars="80" w:hanging="176"/>
        <w:rPr>
          <w:rFonts w:hAnsi="標楷體"/>
        </w:rPr>
      </w:pPr>
      <w:r w:rsidRPr="00793822">
        <w:rPr>
          <w:rStyle w:val="aff"/>
          <w:rFonts w:hAnsi="標楷體"/>
        </w:rPr>
        <w:footnoteRef/>
      </w:r>
      <w:r w:rsidRPr="00793822">
        <w:rPr>
          <w:rFonts w:hAnsi="標楷體" w:hint="eastAsia"/>
        </w:rPr>
        <w:t xml:space="preserve"> 臺灣高等檢察署112年10月17日「該署召開『</w:t>
      </w:r>
      <w:proofErr w:type="gramStart"/>
      <w:r w:rsidRPr="00793822">
        <w:rPr>
          <w:rFonts w:hAnsi="標楷體" w:hint="eastAsia"/>
        </w:rPr>
        <w:t>112</w:t>
      </w:r>
      <w:proofErr w:type="gramEnd"/>
      <w:r w:rsidRPr="00793822">
        <w:rPr>
          <w:rFonts w:hAnsi="標楷體" w:hint="eastAsia"/>
        </w:rPr>
        <w:t>年度打擊</w:t>
      </w:r>
      <w:proofErr w:type="gramStart"/>
      <w:r w:rsidRPr="00793822">
        <w:rPr>
          <w:rFonts w:hAnsi="標楷體" w:hint="eastAsia"/>
        </w:rPr>
        <w:t>妨害綠能產業</w:t>
      </w:r>
      <w:proofErr w:type="gramEnd"/>
      <w:r w:rsidRPr="00793822">
        <w:rPr>
          <w:rFonts w:hAnsi="標楷體" w:hint="eastAsia"/>
        </w:rPr>
        <w:t>發展犯罪協調聯繫會議』檢、警、調、廉、海巡共同打擊不法</w:t>
      </w:r>
      <w:proofErr w:type="gramStart"/>
      <w:r w:rsidRPr="00793822">
        <w:rPr>
          <w:rFonts w:hAnsi="標楷體" w:hint="eastAsia"/>
        </w:rPr>
        <w:t>妨害綠能產業</w:t>
      </w:r>
      <w:proofErr w:type="gramEnd"/>
      <w:r w:rsidRPr="00793822">
        <w:rPr>
          <w:rFonts w:hAnsi="標楷體" w:hint="eastAsia"/>
        </w:rPr>
        <w:t>發展犯罪，維護</w:t>
      </w:r>
      <w:proofErr w:type="gramStart"/>
      <w:r w:rsidRPr="00793822">
        <w:rPr>
          <w:rFonts w:hAnsi="標楷體" w:hint="eastAsia"/>
        </w:rPr>
        <w:t>國內綠能</w:t>
      </w:r>
      <w:proofErr w:type="gramEnd"/>
      <w:r w:rsidRPr="00793822">
        <w:rPr>
          <w:rFonts w:hAnsi="標楷體" w:hint="eastAsia"/>
        </w:rPr>
        <w:t>產業發展環境。」新聞稿。資料來源網址：</w:t>
      </w:r>
      <w:r w:rsidRPr="00793822">
        <w:rPr>
          <w:rFonts w:hAnsi="標楷體"/>
        </w:rPr>
        <w:t>https://www.tph.moj.gov.tw/4421/4509/4515/1111296/post</w:t>
      </w:r>
    </w:p>
  </w:footnote>
  <w:footnote w:id="8">
    <w:p w14:paraId="022B6E26" w14:textId="77777777" w:rsidR="0098158F" w:rsidRPr="00793822" w:rsidRDefault="0098158F" w:rsidP="00A23EDD">
      <w:pPr>
        <w:pStyle w:val="afd"/>
        <w:spacing w:line="240" w:lineRule="exact"/>
        <w:jc w:val="both"/>
        <w:rPr>
          <w:rFonts w:hAnsi="標楷體"/>
        </w:rPr>
      </w:pPr>
      <w:r w:rsidRPr="00793822">
        <w:rPr>
          <w:rStyle w:val="aff"/>
          <w:rFonts w:hAnsi="標楷體"/>
        </w:rPr>
        <w:footnoteRef/>
      </w:r>
      <w:r w:rsidRPr="00793822">
        <w:rPr>
          <w:rFonts w:hAnsi="標楷體" w:hint="eastAsia"/>
        </w:rPr>
        <w:t xml:space="preserve"> 利害關係人向風電廠商索取賄款、保護費、回饋金等事件：</w:t>
      </w:r>
    </w:p>
    <w:p w14:paraId="572D501D" w14:textId="77777777" w:rsidR="0098158F" w:rsidRPr="00793822" w:rsidRDefault="0098158F" w:rsidP="00A23EDD">
      <w:pPr>
        <w:pStyle w:val="afd"/>
        <w:kinsoku w:val="0"/>
        <w:spacing w:line="240" w:lineRule="exact"/>
        <w:ind w:leftChars="50" w:left="500" w:hangingChars="150" w:hanging="330"/>
        <w:jc w:val="both"/>
        <w:rPr>
          <w:rFonts w:hAnsi="標楷體"/>
        </w:rPr>
      </w:pPr>
      <w:r w:rsidRPr="00793822">
        <w:rPr>
          <w:rFonts w:hAnsi="標楷體" w:hint="eastAsia"/>
        </w:rPr>
        <w:t>1、雲林縣議長沈○○等人向風</w:t>
      </w:r>
      <w:proofErr w:type="gramStart"/>
      <w:r w:rsidRPr="00793822">
        <w:rPr>
          <w:rFonts w:hAnsi="標楷體" w:hint="eastAsia"/>
        </w:rPr>
        <w:t>電廠商索賄</w:t>
      </w:r>
      <w:proofErr w:type="gramEnd"/>
      <w:r w:rsidRPr="00793822">
        <w:rPr>
          <w:rFonts w:hAnsi="標楷體" w:hint="eastAsia"/>
        </w:rPr>
        <w:t>案：臺灣雲林地方法院113年5月31日判決，沈○○：因自白犯罪並繳回全部犯罪所得，獲減刑，判處有期徒刑3年10個月，褫奪公權3年；王○○：判處有期徒刑6年6個月，褫奪公權4年；其餘共犯及白手套亦被判處不同刑期。全案仍可上訴。資料來源：三立新聞網112年年7月28日報導「雲檢</w:t>
      </w:r>
      <w:proofErr w:type="gramStart"/>
      <w:r w:rsidRPr="00793822">
        <w:rPr>
          <w:rFonts w:hAnsi="標楷體" w:hint="eastAsia"/>
        </w:rPr>
        <w:t>偵</w:t>
      </w:r>
      <w:proofErr w:type="gramEnd"/>
      <w:r w:rsidRPr="00793822">
        <w:rPr>
          <w:rFonts w:hAnsi="標楷體" w:hint="eastAsia"/>
        </w:rPr>
        <w:t>結</w:t>
      </w:r>
      <w:proofErr w:type="gramStart"/>
      <w:r w:rsidRPr="00793822">
        <w:rPr>
          <w:rFonts w:hAnsi="標楷體" w:hint="eastAsia"/>
        </w:rPr>
        <w:t>達德風電貪污</w:t>
      </w:r>
      <w:proofErr w:type="gramEnd"/>
      <w:r w:rsidRPr="00793822">
        <w:rPr>
          <w:rFonts w:hAnsi="標楷體" w:hint="eastAsia"/>
        </w:rPr>
        <w:t>弊案，議長沈○○認收賄2600萬5人遭起訴」；臺灣雲林地方法院</w:t>
      </w:r>
      <w:proofErr w:type="gramStart"/>
      <w:r w:rsidRPr="00793822">
        <w:rPr>
          <w:rFonts w:hAnsi="標楷體" w:hint="eastAsia"/>
        </w:rPr>
        <w:t>112</w:t>
      </w:r>
      <w:proofErr w:type="gramEnd"/>
      <w:r w:rsidRPr="00793822">
        <w:rPr>
          <w:rFonts w:hAnsi="標楷體" w:hint="eastAsia"/>
        </w:rPr>
        <w:t>年度</w:t>
      </w:r>
      <w:proofErr w:type="gramStart"/>
      <w:r w:rsidRPr="00793822">
        <w:rPr>
          <w:rFonts w:hAnsi="標楷體" w:hint="eastAsia"/>
        </w:rPr>
        <w:t>矚訴字</w:t>
      </w:r>
      <w:proofErr w:type="gramEnd"/>
      <w:r w:rsidRPr="00793822">
        <w:rPr>
          <w:rFonts w:hAnsi="標楷體" w:hint="eastAsia"/>
        </w:rPr>
        <w:t>第1號被告沈○○等人違反貪污治罪條例等案件新聞稿。</w:t>
      </w:r>
    </w:p>
    <w:p w14:paraId="00675E1B" w14:textId="77777777" w:rsidR="0098158F" w:rsidRPr="00793822" w:rsidRDefault="0098158F" w:rsidP="00A23EDD">
      <w:pPr>
        <w:pStyle w:val="afd"/>
        <w:kinsoku w:val="0"/>
        <w:spacing w:line="240" w:lineRule="exact"/>
        <w:ind w:leftChars="50" w:left="500" w:hangingChars="150" w:hanging="330"/>
        <w:jc w:val="both"/>
        <w:rPr>
          <w:rFonts w:hAnsi="標楷體"/>
        </w:rPr>
      </w:pPr>
      <w:r w:rsidRPr="00793822">
        <w:rPr>
          <w:rFonts w:hAnsi="標楷體" w:hint="eastAsia"/>
        </w:rPr>
        <w:t>2、誠○運輸集團向風電廠商索取保護費案：臺灣彰化地方檢察署於112年11月依違反組織犯罪防制條例、恐嚇取財、強制等罪名起訴鐘○○等20人，目前仍在法院審理中。資料來源：臺灣彰化地方檢察署「被告張○○等人涉嫌參與犯罪組織，以詐術使人出中華民國領域外案件，業經偵查終結提起公訴」新聞稿。</w:t>
      </w:r>
    </w:p>
    <w:p w14:paraId="1891D5B4" w14:textId="77777777" w:rsidR="0098158F" w:rsidRPr="00793822" w:rsidRDefault="0098158F" w:rsidP="00A23EDD">
      <w:pPr>
        <w:pStyle w:val="afd"/>
        <w:kinsoku w:val="0"/>
        <w:spacing w:line="240" w:lineRule="exact"/>
        <w:ind w:leftChars="50" w:left="500" w:hangingChars="150" w:hanging="330"/>
        <w:jc w:val="both"/>
        <w:rPr>
          <w:rFonts w:hAnsi="標楷體"/>
        </w:rPr>
      </w:pPr>
      <w:r w:rsidRPr="00793822">
        <w:rPr>
          <w:rFonts w:hAnsi="標楷體" w:hint="eastAsia"/>
        </w:rPr>
        <w:t>3、苗栗地方人士向風電廠商索取回饋金案：檢調單位偵辦，有地方人士及環保團體成員，在苗栗離</w:t>
      </w:r>
      <w:proofErr w:type="gramStart"/>
      <w:r w:rsidRPr="00793822">
        <w:rPr>
          <w:rFonts w:hAnsi="標楷體" w:hint="eastAsia"/>
        </w:rPr>
        <w:t>岸風電開發</w:t>
      </w:r>
      <w:proofErr w:type="gramEnd"/>
      <w:r w:rsidRPr="00793822">
        <w:rPr>
          <w:rFonts w:hAnsi="標楷體" w:hint="eastAsia"/>
        </w:rPr>
        <w:t>過程中，以發動漁民抗爭、影響環評程序等方式向風電開發商施壓，要求支付上千萬元的「回饋金」或「補償金」。相關案件仍在檢調單位偵辦或法院審理階段，尚未有最終判決結果。資料來源：華視新聞113年2月1日報導「</w:t>
      </w:r>
      <w:proofErr w:type="gramStart"/>
      <w:r w:rsidRPr="00793822">
        <w:rPr>
          <w:rFonts w:hAnsi="標楷體" w:hint="eastAsia"/>
        </w:rPr>
        <w:t>涉風電</w:t>
      </w:r>
      <w:proofErr w:type="gramEnd"/>
      <w:r w:rsidRPr="00793822">
        <w:rPr>
          <w:rFonts w:hAnsi="標楷體" w:hint="eastAsia"/>
        </w:rPr>
        <w:t>2</w:t>
      </w:r>
      <w:r w:rsidRPr="00793822">
        <w:rPr>
          <w:rFonts w:hAnsi="標楷體"/>
        </w:rPr>
        <w:t>,</w:t>
      </w:r>
      <w:r w:rsidRPr="00793822">
        <w:rPr>
          <w:rFonts w:hAnsi="標楷體" w:hint="eastAsia"/>
        </w:rPr>
        <w:t>720萬回饋金弊案，竹南鎮長50萬交保」。</w:t>
      </w:r>
    </w:p>
  </w:footnote>
  <w:footnote w:id="9">
    <w:p w14:paraId="7B3C1ADD" w14:textId="37862B7E" w:rsidR="00975507" w:rsidRPr="00793822" w:rsidRDefault="00975507" w:rsidP="00A23EDD">
      <w:pPr>
        <w:pStyle w:val="afd"/>
        <w:spacing w:line="240" w:lineRule="exact"/>
        <w:ind w:leftChars="-28" w:left="81" w:hangingChars="80" w:hanging="176"/>
        <w:jc w:val="both"/>
      </w:pPr>
      <w:r w:rsidRPr="00793822">
        <w:rPr>
          <w:rStyle w:val="aff"/>
        </w:rPr>
        <w:footnoteRef/>
      </w:r>
      <w:r w:rsidRPr="00793822">
        <w:t xml:space="preserve"> </w:t>
      </w:r>
      <w:r w:rsidRPr="00793822">
        <w:rPr>
          <w:rFonts w:hint="eastAsia"/>
        </w:rPr>
        <w:t>此等機制之建立，係以電業法、能源管理法、再生能源發展條例等現行法規，以及「能源轉型白皮書」與國家各項關鍵戰略行動計畫所揭示之政策框架為基礎，旨在為國家能源政策之</w:t>
      </w:r>
      <w:proofErr w:type="gramStart"/>
      <w:r w:rsidRPr="00793822">
        <w:rPr>
          <w:rFonts w:hint="eastAsia"/>
        </w:rPr>
        <w:t>擘</w:t>
      </w:r>
      <w:proofErr w:type="gramEnd"/>
      <w:r w:rsidRPr="00793822">
        <w:rPr>
          <w:rFonts w:hint="eastAsia"/>
        </w:rPr>
        <w:t>劃提供堅實依據。</w:t>
      </w:r>
    </w:p>
  </w:footnote>
  <w:footnote w:id="10">
    <w:p w14:paraId="5ADF1C7A" w14:textId="4BDE7DC3" w:rsidR="00975507" w:rsidRPr="00793822" w:rsidRDefault="00975507" w:rsidP="00D32B67">
      <w:pPr>
        <w:pStyle w:val="afd"/>
        <w:spacing w:line="240" w:lineRule="exact"/>
        <w:ind w:leftChars="-28" w:left="147" w:hangingChars="110" w:hanging="242"/>
        <w:jc w:val="both"/>
      </w:pPr>
      <w:r w:rsidRPr="00793822">
        <w:rPr>
          <w:rStyle w:val="aff"/>
        </w:rPr>
        <w:footnoteRef/>
      </w:r>
      <w:r w:rsidRPr="00793822">
        <w:t xml:space="preserve"> </w:t>
      </w:r>
      <w:r w:rsidRPr="00793822">
        <w:rPr>
          <w:rFonts w:hint="eastAsia"/>
        </w:rPr>
        <w:t>氣候變遷因應法第5條第3項規定略</w:t>
      </w:r>
      <w:proofErr w:type="gramStart"/>
      <w:r w:rsidRPr="00793822">
        <w:rPr>
          <w:rFonts w:hint="eastAsia"/>
        </w:rPr>
        <w:t>以</w:t>
      </w:r>
      <w:proofErr w:type="gramEnd"/>
      <w:r w:rsidRPr="00793822">
        <w:rPr>
          <w:rFonts w:hint="eastAsia"/>
        </w:rPr>
        <w:t>，為因應氣候變遷，政府相關法律及政策之規劃管理原則如下：</w:t>
      </w:r>
      <w:r w:rsidRPr="00793822">
        <w:rPr>
          <w:rFonts w:hAnsi="標楷體" w:hint="eastAsia"/>
        </w:rPr>
        <w:t>…</w:t>
      </w:r>
      <w:proofErr w:type="gramStart"/>
      <w:r w:rsidRPr="00793822">
        <w:rPr>
          <w:rFonts w:hAnsi="標楷體" w:hint="eastAsia"/>
        </w:rPr>
        <w:t>…</w:t>
      </w:r>
      <w:proofErr w:type="gramEnd"/>
      <w:r w:rsidRPr="00793822">
        <w:rPr>
          <w:rFonts w:hAnsi="標楷體" w:hint="eastAsia"/>
        </w:rPr>
        <w:t>二、</w:t>
      </w:r>
      <w:r w:rsidRPr="00793822">
        <w:rPr>
          <w:rFonts w:hint="eastAsia"/>
        </w:rPr>
        <w:t>為確保國家能源安全，應擬定逐步降低化石燃料依賴之中長期策略，訂定再生能源中長期目標。</w:t>
      </w:r>
    </w:p>
  </w:footnote>
  <w:footnote w:id="11">
    <w:p w14:paraId="6E6C333E" w14:textId="5CCE38DA" w:rsidR="00B55E09" w:rsidRPr="00793822" w:rsidRDefault="00B55E09" w:rsidP="00D32B67">
      <w:pPr>
        <w:pStyle w:val="afd"/>
        <w:spacing w:line="240" w:lineRule="exact"/>
        <w:ind w:leftChars="-28" w:left="147" w:hangingChars="110" w:hanging="242"/>
        <w:jc w:val="both"/>
      </w:pPr>
      <w:r w:rsidRPr="00793822">
        <w:rPr>
          <w:rStyle w:val="aff"/>
        </w:rPr>
        <w:footnoteRef/>
      </w:r>
      <w:r w:rsidRPr="00793822">
        <w:t xml:space="preserve"> </w:t>
      </w:r>
      <w:r w:rsidR="00A30DC6" w:rsidRPr="00793822">
        <w:rPr>
          <w:rFonts w:hint="eastAsia"/>
        </w:rPr>
        <w:t>自由時報</w:t>
      </w:r>
      <w:r w:rsidRPr="00793822">
        <w:rPr>
          <w:rFonts w:hint="eastAsia"/>
        </w:rPr>
        <w:t>115年</w:t>
      </w:r>
      <w:r w:rsidR="00A30DC6" w:rsidRPr="00793822">
        <w:rPr>
          <w:rFonts w:hint="eastAsia"/>
        </w:rPr>
        <w:t>6</w:t>
      </w:r>
      <w:r w:rsidRPr="00793822">
        <w:rPr>
          <w:rFonts w:hint="eastAsia"/>
        </w:rPr>
        <w:t>月</w:t>
      </w:r>
      <w:r w:rsidR="00A30DC6" w:rsidRPr="00793822">
        <w:rPr>
          <w:rFonts w:hint="eastAsia"/>
        </w:rPr>
        <w:t>15</w:t>
      </w:r>
      <w:r w:rsidRPr="00793822">
        <w:rPr>
          <w:rFonts w:hint="eastAsia"/>
        </w:rPr>
        <w:t>日報導，</w:t>
      </w:r>
      <w:r w:rsidR="00A30DC6" w:rsidRPr="00793822">
        <w:rPr>
          <w:rFonts w:hint="eastAsia"/>
        </w:rPr>
        <w:t>國原院研究SMR 部署新核能／小型模組化設計安全、便宜、易組裝但仍會產生核廢</w:t>
      </w:r>
      <w:r w:rsidRPr="00793822">
        <w:rPr>
          <w:rFonts w:hint="eastAsia"/>
        </w:rPr>
        <w:t>。網址：</w:t>
      </w:r>
      <w:r w:rsidR="00A30DC6" w:rsidRPr="00793822">
        <w:t>https://news.ltn.com.tw/news/life/paper/1758822</w:t>
      </w:r>
      <w:r w:rsidR="00EE6562">
        <w:rPr>
          <w:rFonts w:hint="eastAsia"/>
        </w:rPr>
        <w:t>。</w:t>
      </w:r>
    </w:p>
  </w:footnote>
  <w:footnote w:id="12">
    <w:p w14:paraId="36458588" w14:textId="669788B2" w:rsidR="00A30DC6" w:rsidRPr="00793822" w:rsidRDefault="00A30DC6" w:rsidP="00D32B67">
      <w:pPr>
        <w:pStyle w:val="afd"/>
        <w:spacing w:line="240" w:lineRule="exact"/>
        <w:ind w:leftChars="-28" w:left="147" w:hangingChars="110" w:hanging="242"/>
        <w:jc w:val="both"/>
      </w:pPr>
      <w:r w:rsidRPr="00793822">
        <w:rPr>
          <w:rStyle w:val="aff"/>
        </w:rPr>
        <w:footnoteRef/>
      </w:r>
      <w:r w:rsidRPr="00793822">
        <w:t xml:space="preserve"> </w:t>
      </w:r>
      <w:r w:rsidRPr="00793822">
        <w:rPr>
          <w:rFonts w:hint="eastAsia"/>
        </w:rPr>
        <w:t>同前</w:t>
      </w:r>
      <w:proofErr w:type="gramStart"/>
      <w:r w:rsidRPr="00793822">
        <w:rPr>
          <w:rFonts w:hint="eastAsia"/>
        </w:rPr>
        <w:t>註</w:t>
      </w:r>
      <w:proofErr w:type="gramEnd"/>
      <w:r w:rsidRPr="00793822">
        <w:rPr>
          <w:rFonts w:hint="eastAsia"/>
        </w:rPr>
        <w:t>。</w:t>
      </w:r>
    </w:p>
  </w:footnote>
  <w:footnote w:id="13">
    <w:p w14:paraId="5BCD07DE" w14:textId="3C3780B9" w:rsidR="00B12308" w:rsidRPr="00793822" w:rsidRDefault="00B12308" w:rsidP="00B12308">
      <w:pPr>
        <w:pStyle w:val="afd"/>
        <w:spacing w:line="240" w:lineRule="exact"/>
        <w:ind w:leftChars="-28" w:left="147" w:hangingChars="110" w:hanging="242"/>
        <w:jc w:val="both"/>
      </w:pPr>
      <w:r w:rsidRPr="00793822">
        <w:rPr>
          <w:rStyle w:val="aff"/>
        </w:rPr>
        <w:footnoteRef/>
      </w:r>
      <w:r w:rsidRPr="00793822">
        <w:t xml:space="preserve"> </w:t>
      </w:r>
      <w:proofErr w:type="spellStart"/>
      <w:r w:rsidRPr="00793822">
        <w:t>L.</w:t>
      </w:r>
      <w:proofErr w:type="gramStart"/>
      <w:r w:rsidRPr="00793822">
        <w:t>M.Krall</w:t>
      </w:r>
      <w:proofErr w:type="spellEnd"/>
      <w:proofErr w:type="gramEnd"/>
      <w:r w:rsidRPr="00793822">
        <w:t xml:space="preserve">, </w:t>
      </w:r>
      <w:proofErr w:type="spellStart"/>
      <w:r w:rsidRPr="00793822">
        <w:t>A.M.Macfarlane</w:t>
      </w:r>
      <w:proofErr w:type="spellEnd"/>
      <w:r w:rsidRPr="00793822">
        <w:t xml:space="preserve">, &amp; </w:t>
      </w:r>
      <w:proofErr w:type="spellStart"/>
      <w:r w:rsidRPr="00793822">
        <w:t>R.C.Ewing</w:t>
      </w:r>
      <w:proofErr w:type="spellEnd"/>
      <w:r w:rsidRPr="00793822">
        <w:t>, Nuclear waste from small modular reactors, Proc. Natl. Acad. Sci. U.S.A. 119 (23) e2111833119, https://doi.org/10.</w:t>
      </w:r>
      <w:r>
        <w:rPr>
          <w:rFonts w:hint="eastAsia"/>
        </w:rPr>
        <w:t xml:space="preserve"> </w:t>
      </w:r>
      <w:r w:rsidRPr="00793822">
        <w:t>1073/pnas.2111833119 (2022).</w:t>
      </w:r>
    </w:p>
  </w:footnote>
  <w:footnote w:id="14">
    <w:p w14:paraId="3160D9B5" w14:textId="19607A7B" w:rsidR="008A2C1F" w:rsidRDefault="008A2C1F" w:rsidP="008A2C1F">
      <w:pPr>
        <w:pStyle w:val="afd"/>
        <w:spacing w:line="240" w:lineRule="exact"/>
        <w:ind w:leftChars="-28" w:left="147" w:hangingChars="110" w:hanging="242"/>
        <w:jc w:val="both"/>
      </w:pPr>
      <w:r>
        <w:rPr>
          <w:rStyle w:val="aff"/>
        </w:rPr>
        <w:footnoteRef/>
      </w:r>
      <w:r>
        <w:t xml:space="preserve"> </w:t>
      </w:r>
      <w:r w:rsidRPr="008A2C1F">
        <w:t>參見地球公民基金會相關報導，網址：https://www.cet-taiwan.org/node/4622。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2B54B46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823"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8052"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5953"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55E747B"/>
    <w:multiLevelType w:val="hybridMultilevel"/>
    <w:tmpl w:val="B43041DC"/>
    <w:lvl w:ilvl="0" w:tplc="04090003">
      <w:start w:val="1"/>
      <w:numFmt w:val="bullet"/>
      <w:lvlText w:val=""/>
      <w:lvlJc w:val="left"/>
      <w:pPr>
        <w:ind w:left="800" w:hanging="480"/>
      </w:pPr>
      <w:rPr>
        <w:rFonts w:ascii="Wingdings" w:hAnsi="Wingdings" w:hint="default"/>
      </w:rPr>
    </w:lvl>
    <w:lvl w:ilvl="1" w:tplc="04090003" w:tentative="1">
      <w:start w:val="1"/>
      <w:numFmt w:val="bullet"/>
      <w:lvlText w:val=""/>
      <w:lvlJc w:val="left"/>
      <w:pPr>
        <w:ind w:left="1280" w:hanging="480"/>
      </w:pPr>
      <w:rPr>
        <w:rFonts w:ascii="Wingdings" w:hAnsi="Wingdings" w:hint="default"/>
      </w:rPr>
    </w:lvl>
    <w:lvl w:ilvl="2" w:tplc="04090005" w:tentative="1">
      <w:start w:val="1"/>
      <w:numFmt w:val="bullet"/>
      <w:lvlText w:val=""/>
      <w:lvlJc w:val="left"/>
      <w:pPr>
        <w:ind w:left="1760" w:hanging="480"/>
      </w:pPr>
      <w:rPr>
        <w:rFonts w:ascii="Wingdings" w:hAnsi="Wingdings" w:hint="default"/>
      </w:rPr>
    </w:lvl>
    <w:lvl w:ilvl="3" w:tplc="04090001" w:tentative="1">
      <w:start w:val="1"/>
      <w:numFmt w:val="bullet"/>
      <w:lvlText w:val=""/>
      <w:lvlJc w:val="left"/>
      <w:pPr>
        <w:ind w:left="2240" w:hanging="480"/>
      </w:pPr>
      <w:rPr>
        <w:rFonts w:ascii="Wingdings" w:hAnsi="Wingdings" w:hint="default"/>
      </w:rPr>
    </w:lvl>
    <w:lvl w:ilvl="4" w:tplc="04090003" w:tentative="1">
      <w:start w:val="1"/>
      <w:numFmt w:val="bullet"/>
      <w:lvlText w:val=""/>
      <w:lvlJc w:val="left"/>
      <w:pPr>
        <w:ind w:left="2720" w:hanging="480"/>
      </w:pPr>
      <w:rPr>
        <w:rFonts w:ascii="Wingdings" w:hAnsi="Wingdings" w:hint="default"/>
      </w:rPr>
    </w:lvl>
    <w:lvl w:ilvl="5" w:tplc="04090005" w:tentative="1">
      <w:start w:val="1"/>
      <w:numFmt w:val="bullet"/>
      <w:lvlText w:val=""/>
      <w:lvlJc w:val="left"/>
      <w:pPr>
        <w:ind w:left="3200" w:hanging="480"/>
      </w:pPr>
      <w:rPr>
        <w:rFonts w:ascii="Wingdings" w:hAnsi="Wingdings" w:hint="default"/>
      </w:rPr>
    </w:lvl>
    <w:lvl w:ilvl="6" w:tplc="04090001" w:tentative="1">
      <w:start w:val="1"/>
      <w:numFmt w:val="bullet"/>
      <w:lvlText w:val=""/>
      <w:lvlJc w:val="left"/>
      <w:pPr>
        <w:ind w:left="3680" w:hanging="480"/>
      </w:pPr>
      <w:rPr>
        <w:rFonts w:ascii="Wingdings" w:hAnsi="Wingdings" w:hint="default"/>
      </w:rPr>
    </w:lvl>
    <w:lvl w:ilvl="7" w:tplc="04090003" w:tentative="1">
      <w:start w:val="1"/>
      <w:numFmt w:val="bullet"/>
      <w:lvlText w:val=""/>
      <w:lvlJc w:val="left"/>
      <w:pPr>
        <w:ind w:left="4160" w:hanging="480"/>
      </w:pPr>
      <w:rPr>
        <w:rFonts w:ascii="Wingdings" w:hAnsi="Wingdings" w:hint="default"/>
      </w:rPr>
    </w:lvl>
    <w:lvl w:ilvl="8" w:tplc="04090005" w:tentative="1">
      <w:start w:val="1"/>
      <w:numFmt w:val="bullet"/>
      <w:lvlText w:val=""/>
      <w:lvlJc w:val="left"/>
      <w:pPr>
        <w:ind w:left="4640" w:hanging="480"/>
      </w:pPr>
      <w:rPr>
        <w:rFonts w:ascii="Wingdings" w:hAnsi="Wingdings" w:hint="default"/>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560435341">
    <w:abstractNumId w:val="3"/>
  </w:num>
  <w:num w:numId="2" w16cid:durableId="1178732989">
    <w:abstractNumId w:val="0"/>
  </w:num>
  <w:num w:numId="3" w16cid:durableId="888105082">
    <w:abstractNumId w:val="6"/>
  </w:num>
  <w:num w:numId="4" w16cid:durableId="1392734107">
    <w:abstractNumId w:val="4"/>
  </w:num>
  <w:num w:numId="5" w16cid:durableId="268121758">
    <w:abstractNumId w:val="7"/>
  </w:num>
  <w:num w:numId="6" w16cid:durableId="355735541">
    <w:abstractNumId w:val="1"/>
  </w:num>
  <w:num w:numId="7" w16cid:durableId="424153447">
    <w:abstractNumId w:val="8"/>
  </w:num>
  <w:num w:numId="8" w16cid:durableId="1480000543">
    <w:abstractNumId w:val="5"/>
  </w:num>
  <w:num w:numId="9" w16cid:durableId="451676374">
    <w:abstractNumId w:val="1"/>
  </w:num>
  <w:num w:numId="10" w16cid:durableId="2102292728">
    <w:abstractNumId w:val="1"/>
  </w:num>
  <w:num w:numId="11" w16cid:durableId="2024503500">
    <w:abstractNumId w:val="1"/>
  </w:num>
  <w:num w:numId="12" w16cid:durableId="1691762757">
    <w:abstractNumId w:val="1"/>
  </w:num>
  <w:num w:numId="13" w16cid:durableId="139007036">
    <w:abstractNumId w:val="1"/>
  </w:num>
  <w:num w:numId="14" w16cid:durableId="441101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28641398">
    <w:abstractNumId w:val="1"/>
  </w:num>
  <w:num w:numId="16" w16cid:durableId="77872334">
    <w:abstractNumId w:val="1"/>
  </w:num>
  <w:num w:numId="17" w16cid:durableId="1043596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9240201">
    <w:abstractNumId w:val="1"/>
  </w:num>
  <w:num w:numId="19" w16cid:durableId="100533961">
    <w:abstractNumId w:val="1"/>
  </w:num>
  <w:num w:numId="20" w16cid:durableId="941575472">
    <w:abstractNumId w:val="6"/>
  </w:num>
  <w:num w:numId="21" w16cid:durableId="18103932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435478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7478825">
    <w:abstractNumId w:val="4"/>
  </w:num>
  <w:num w:numId="24" w16cid:durableId="1587300598">
    <w:abstractNumId w:val="4"/>
  </w:num>
  <w:num w:numId="25" w16cid:durableId="191915733">
    <w:abstractNumId w:val="4"/>
  </w:num>
  <w:num w:numId="26" w16cid:durableId="1748258712">
    <w:abstractNumId w:val="4"/>
  </w:num>
  <w:num w:numId="27" w16cid:durableId="1342851420">
    <w:abstractNumId w:val="6"/>
    <w:lvlOverride w:ilvl="0">
      <w:startOverride w:val="1"/>
    </w:lvlOverride>
  </w:num>
  <w:num w:numId="28" w16cid:durableId="11262406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75419730">
    <w:abstractNumId w:val="1"/>
  </w:num>
  <w:num w:numId="30" w16cid:durableId="593784496">
    <w:abstractNumId w:val="2"/>
  </w:num>
  <w:num w:numId="31" w16cid:durableId="1387990273">
    <w:abstractNumId w:val="1"/>
  </w:num>
  <w:num w:numId="32" w16cid:durableId="940262046">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2E02"/>
    <w:rsid w:val="00005084"/>
    <w:rsid w:val="00005C34"/>
    <w:rsid w:val="00006961"/>
    <w:rsid w:val="00006B9F"/>
    <w:rsid w:val="000106FF"/>
    <w:rsid w:val="00010CBB"/>
    <w:rsid w:val="000112BF"/>
    <w:rsid w:val="00012233"/>
    <w:rsid w:val="0001561A"/>
    <w:rsid w:val="00016C7A"/>
    <w:rsid w:val="00017318"/>
    <w:rsid w:val="0002430F"/>
    <w:rsid w:val="00024684"/>
    <w:rsid w:val="000246F7"/>
    <w:rsid w:val="00025C03"/>
    <w:rsid w:val="0003114D"/>
    <w:rsid w:val="000319CD"/>
    <w:rsid w:val="00031B59"/>
    <w:rsid w:val="00032929"/>
    <w:rsid w:val="00034AF4"/>
    <w:rsid w:val="000367E3"/>
    <w:rsid w:val="00036D76"/>
    <w:rsid w:val="00037550"/>
    <w:rsid w:val="000376B7"/>
    <w:rsid w:val="00041C5E"/>
    <w:rsid w:val="00045FAE"/>
    <w:rsid w:val="00046F0D"/>
    <w:rsid w:val="00050E62"/>
    <w:rsid w:val="00056C95"/>
    <w:rsid w:val="00057BA5"/>
    <w:rsid w:val="00057F32"/>
    <w:rsid w:val="00062A25"/>
    <w:rsid w:val="00065224"/>
    <w:rsid w:val="00066969"/>
    <w:rsid w:val="0007147B"/>
    <w:rsid w:val="00073CB5"/>
    <w:rsid w:val="0007425C"/>
    <w:rsid w:val="00074CA4"/>
    <w:rsid w:val="00077553"/>
    <w:rsid w:val="00080B7B"/>
    <w:rsid w:val="00082180"/>
    <w:rsid w:val="000851A2"/>
    <w:rsid w:val="000863B9"/>
    <w:rsid w:val="00087AD2"/>
    <w:rsid w:val="00087E5D"/>
    <w:rsid w:val="00087E80"/>
    <w:rsid w:val="00091C23"/>
    <w:rsid w:val="00092A97"/>
    <w:rsid w:val="0009352E"/>
    <w:rsid w:val="00096AA1"/>
    <w:rsid w:val="00096B96"/>
    <w:rsid w:val="000A1DE9"/>
    <w:rsid w:val="000A2F3F"/>
    <w:rsid w:val="000A7EA9"/>
    <w:rsid w:val="000B0B4A"/>
    <w:rsid w:val="000B18B7"/>
    <w:rsid w:val="000B279A"/>
    <w:rsid w:val="000B5B71"/>
    <w:rsid w:val="000B61D2"/>
    <w:rsid w:val="000B70A7"/>
    <w:rsid w:val="000C209C"/>
    <w:rsid w:val="000C305D"/>
    <w:rsid w:val="000C3971"/>
    <w:rsid w:val="000C495F"/>
    <w:rsid w:val="000C5A75"/>
    <w:rsid w:val="000C5DA4"/>
    <w:rsid w:val="000C666A"/>
    <w:rsid w:val="000D19DE"/>
    <w:rsid w:val="000D2F69"/>
    <w:rsid w:val="000D7213"/>
    <w:rsid w:val="000D78EA"/>
    <w:rsid w:val="000D7A1C"/>
    <w:rsid w:val="000E12BA"/>
    <w:rsid w:val="000E229B"/>
    <w:rsid w:val="000E2BB3"/>
    <w:rsid w:val="000E370F"/>
    <w:rsid w:val="000E6431"/>
    <w:rsid w:val="000F21A5"/>
    <w:rsid w:val="000F2846"/>
    <w:rsid w:val="000F4009"/>
    <w:rsid w:val="000F414D"/>
    <w:rsid w:val="000F52A2"/>
    <w:rsid w:val="000F7B55"/>
    <w:rsid w:val="00100F75"/>
    <w:rsid w:val="00101FAF"/>
    <w:rsid w:val="0010218D"/>
    <w:rsid w:val="00102B9F"/>
    <w:rsid w:val="001052B2"/>
    <w:rsid w:val="00111CFF"/>
    <w:rsid w:val="00111F2F"/>
    <w:rsid w:val="00112637"/>
    <w:rsid w:val="00112ABC"/>
    <w:rsid w:val="00112FE0"/>
    <w:rsid w:val="00114148"/>
    <w:rsid w:val="00117936"/>
    <w:rsid w:val="00117DB6"/>
    <w:rsid w:val="0012001E"/>
    <w:rsid w:val="00120469"/>
    <w:rsid w:val="00120B35"/>
    <w:rsid w:val="00123D89"/>
    <w:rsid w:val="00125D5D"/>
    <w:rsid w:val="00126176"/>
    <w:rsid w:val="00126A55"/>
    <w:rsid w:val="00127D5D"/>
    <w:rsid w:val="0013354A"/>
    <w:rsid w:val="00133F08"/>
    <w:rsid w:val="001345E6"/>
    <w:rsid w:val="00134ABA"/>
    <w:rsid w:val="00135786"/>
    <w:rsid w:val="00136340"/>
    <w:rsid w:val="001378B0"/>
    <w:rsid w:val="00140889"/>
    <w:rsid w:val="001410FD"/>
    <w:rsid w:val="00141B4A"/>
    <w:rsid w:val="00141F0A"/>
    <w:rsid w:val="0014244A"/>
    <w:rsid w:val="00142E00"/>
    <w:rsid w:val="00151A4B"/>
    <w:rsid w:val="00152793"/>
    <w:rsid w:val="00153B7E"/>
    <w:rsid w:val="001545A9"/>
    <w:rsid w:val="0015647D"/>
    <w:rsid w:val="00157732"/>
    <w:rsid w:val="001637C7"/>
    <w:rsid w:val="0016480E"/>
    <w:rsid w:val="00165208"/>
    <w:rsid w:val="00165AEE"/>
    <w:rsid w:val="0016722B"/>
    <w:rsid w:val="00171730"/>
    <w:rsid w:val="00173389"/>
    <w:rsid w:val="001740EE"/>
    <w:rsid w:val="00174297"/>
    <w:rsid w:val="00174C50"/>
    <w:rsid w:val="00180E06"/>
    <w:rsid w:val="001813FC"/>
    <w:rsid w:val="001817B3"/>
    <w:rsid w:val="001828B8"/>
    <w:rsid w:val="00183014"/>
    <w:rsid w:val="00183753"/>
    <w:rsid w:val="0018713C"/>
    <w:rsid w:val="00190A7D"/>
    <w:rsid w:val="001952A7"/>
    <w:rsid w:val="001959C2"/>
    <w:rsid w:val="001A43C4"/>
    <w:rsid w:val="001A51E3"/>
    <w:rsid w:val="001A7968"/>
    <w:rsid w:val="001B2E98"/>
    <w:rsid w:val="001B3483"/>
    <w:rsid w:val="001B3BDB"/>
    <w:rsid w:val="001B3C1E"/>
    <w:rsid w:val="001B4494"/>
    <w:rsid w:val="001C0D8B"/>
    <w:rsid w:val="001C0DA8"/>
    <w:rsid w:val="001C399E"/>
    <w:rsid w:val="001C3C47"/>
    <w:rsid w:val="001C501C"/>
    <w:rsid w:val="001C73EB"/>
    <w:rsid w:val="001D01D6"/>
    <w:rsid w:val="001D0A7E"/>
    <w:rsid w:val="001D2F8A"/>
    <w:rsid w:val="001D5A10"/>
    <w:rsid w:val="001D73C2"/>
    <w:rsid w:val="001D747F"/>
    <w:rsid w:val="001E0D8A"/>
    <w:rsid w:val="001E67BA"/>
    <w:rsid w:val="001E74C2"/>
    <w:rsid w:val="001F0AAD"/>
    <w:rsid w:val="001F317C"/>
    <w:rsid w:val="001F5A48"/>
    <w:rsid w:val="001F6260"/>
    <w:rsid w:val="001F677E"/>
    <w:rsid w:val="001F7501"/>
    <w:rsid w:val="00200007"/>
    <w:rsid w:val="00201B06"/>
    <w:rsid w:val="002030A5"/>
    <w:rsid w:val="00203131"/>
    <w:rsid w:val="002036BD"/>
    <w:rsid w:val="002042C8"/>
    <w:rsid w:val="00205381"/>
    <w:rsid w:val="00205695"/>
    <w:rsid w:val="00207733"/>
    <w:rsid w:val="00211E89"/>
    <w:rsid w:val="002122F5"/>
    <w:rsid w:val="00212E88"/>
    <w:rsid w:val="00213259"/>
    <w:rsid w:val="00213965"/>
    <w:rsid w:val="00213C9C"/>
    <w:rsid w:val="00213DF1"/>
    <w:rsid w:val="00217323"/>
    <w:rsid w:val="00220031"/>
    <w:rsid w:val="0022009E"/>
    <w:rsid w:val="002210DC"/>
    <w:rsid w:val="002212DC"/>
    <w:rsid w:val="00223241"/>
    <w:rsid w:val="002238AD"/>
    <w:rsid w:val="0022425C"/>
    <w:rsid w:val="002246DE"/>
    <w:rsid w:val="00224F87"/>
    <w:rsid w:val="002307C3"/>
    <w:rsid w:val="002333A4"/>
    <w:rsid w:val="00234125"/>
    <w:rsid w:val="002341BD"/>
    <w:rsid w:val="00234F1A"/>
    <w:rsid w:val="00236CFA"/>
    <w:rsid w:val="00237569"/>
    <w:rsid w:val="002438C1"/>
    <w:rsid w:val="00244305"/>
    <w:rsid w:val="00245EDC"/>
    <w:rsid w:val="00252BC4"/>
    <w:rsid w:val="00254014"/>
    <w:rsid w:val="0025581F"/>
    <w:rsid w:val="00256606"/>
    <w:rsid w:val="00262383"/>
    <w:rsid w:val="00264B6A"/>
    <w:rsid w:val="0026504D"/>
    <w:rsid w:val="0026532F"/>
    <w:rsid w:val="00267BD0"/>
    <w:rsid w:val="0027189A"/>
    <w:rsid w:val="00273482"/>
    <w:rsid w:val="00273A2F"/>
    <w:rsid w:val="00273D72"/>
    <w:rsid w:val="0027730B"/>
    <w:rsid w:val="00277DEA"/>
    <w:rsid w:val="00277EB6"/>
    <w:rsid w:val="00280986"/>
    <w:rsid w:val="00280CA1"/>
    <w:rsid w:val="00281ECE"/>
    <w:rsid w:val="0028202D"/>
    <w:rsid w:val="002831C7"/>
    <w:rsid w:val="002831E5"/>
    <w:rsid w:val="002840C6"/>
    <w:rsid w:val="00287478"/>
    <w:rsid w:val="00287910"/>
    <w:rsid w:val="00292BE3"/>
    <w:rsid w:val="00295174"/>
    <w:rsid w:val="00296172"/>
    <w:rsid w:val="00296B92"/>
    <w:rsid w:val="002A2C22"/>
    <w:rsid w:val="002A4677"/>
    <w:rsid w:val="002A57E2"/>
    <w:rsid w:val="002A5B45"/>
    <w:rsid w:val="002B02EB"/>
    <w:rsid w:val="002B1E95"/>
    <w:rsid w:val="002B380B"/>
    <w:rsid w:val="002B381A"/>
    <w:rsid w:val="002B3906"/>
    <w:rsid w:val="002B4848"/>
    <w:rsid w:val="002B66D1"/>
    <w:rsid w:val="002C0602"/>
    <w:rsid w:val="002C550B"/>
    <w:rsid w:val="002D39C9"/>
    <w:rsid w:val="002D5C16"/>
    <w:rsid w:val="002E07EA"/>
    <w:rsid w:val="002E2DA5"/>
    <w:rsid w:val="002E7B31"/>
    <w:rsid w:val="002F3969"/>
    <w:rsid w:val="002F3DFF"/>
    <w:rsid w:val="002F5E05"/>
    <w:rsid w:val="00300075"/>
    <w:rsid w:val="00301F4F"/>
    <w:rsid w:val="00302F5F"/>
    <w:rsid w:val="00303956"/>
    <w:rsid w:val="00303E17"/>
    <w:rsid w:val="00304627"/>
    <w:rsid w:val="00307230"/>
    <w:rsid w:val="00310E90"/>
    <w:rsid w:val="003110A2"/>
    <w:rsid w:val="003116B6"/>
    <w:rsid w:val="00312276"/>
    <w:rsid w:val="00314580"/>
    <w:rsid w:val="00315A16"/>
    <w:rsid w:val="00317053"/>
    <w:rsid w:val="00320A2F"/>
    <w:rsid w:val="0032109C"/>
    <w:rsid w:val="00322B45"/>
    <w:rsid w:val="00322F3E"/>
    <w:rsid w:val="00323809"/>
    <w:rsid w:val="00323D41"/>
    <w:rsid w:val="00325414"/>
    <w:rsid w:val="003268F8"/>
    <w:rsid w:val="003302F1"/>
    <w:rsid w:val="0033113D"/>
    <w:rsid w:val="00334261"/>
    <w:rsid w:val="00340D26"/>
    <w:rsid w:val="00340DAE"/>
    <w:rsid w:val="0034207A"/>
    <w:rsid w:val="0034470E"/>
    <w:rsid w:val="00345FE7"/>
    <w:rsid w:val="00347367"/>
    <w:rsid w:val="003478F4"/>
    <w:rsid w:val="00352DB0"/>
    <w:rsid w:val="00352EA2"/>
    <w:rsid w:val="003533FD"/>
    <w:rsid w:val="00361063"/>
    <w:rsid w:val="003610AB"/>
    <w:rsid w:val="003618FA"/>
    <w:rsid w:val="00363331"/>
    <w:rsid w:val="0036404F"/>
    <w:rsid w:val="0037094A"/>
    <w:rsid w:val="003717D8"/>
    <w:rsid w:val="00371ED3"/>
    <w:rsid w:val="003722BA"/>
    <w:rsid w:val="00372FFC"/>
    <w:rsid w:val="00373814"/>
    <w:rsid w:val="00376ACD"/>
    <w:rsid w:val="0037728A"/>
    <w:rsid w:val="00380B7D"/>
    <w:rsid w:val="00381A99"/>
    <w:rsid w:val="003829C2"/>
    <w:rsid w:val="003830B2"/>
    <w:rsid w:val="00383E25"/>
    <w:rsid w:val="00383EFD"/>
    <w:rsid w:val="00384724"/>
    <w:rsid w:val="0038553D"/>
    <w:rsid w:val="003919B7"/>
    <w:rsid w:val="00391D57"/>
    <w:rsid w:val="00392292"/>
    <w:rsid w:val="00392443"/>
    <w:rsid w:val="003949AE"/>
    <w:rsid w:val="00395004"/>
    <w:rsid w:val="003A0F71"/>
    <w:rsid w:val="003A0FCE"/>
    <w:rsid w:val="003A1354"/>
    <w:rsid w:val="003A38EF"/>
    <w:rsid w:val="003A4609"/>
    <w:rsid w:val="003B1017"/>
    <w:rsid w:val="003B2AA9"/>
    <w:rsid w:val="003B33B3"/>
    <w:rsid w:val="003B3C07"/>
    <w:rsid w:val="003B3E68"/>
    <w:rsid w:val="003B4BF7"/>
    <w:rsid w:val="003B6775"/>
    <w:rsid w:val="003B78EA"/>
    <w:rsid w:val="003B7EA7"/>
    <w:rsid w:val="003C5FE2"/>
    <w:rsid w:val="003D05FB"/>
    <w:rsid w:val="003D1B16"/>
    <w:rsid w:val="003D45BF"/>
    <w:rsid w:val="003D4C25"/>
    <w:rsid w:val="003D508A"/>
    <w:rsid w:val="003D537F"/>
    <w:rsid w:val="003D6C68"/>
    <w:rsid w:val="003D7508"/>
    <w:rsid w:val="003D7B75"/>
    <w:rsid w:val="003E008A"/>
    <w:rsid w:val="003E0208"/>
    <w:rsid w:val="003E058F"/>
    <w:rsid w:val="003E077E"/>
    <w:rsid w:val="003E454E"/>
    <w:rsid w:val="003E4B57"/>
    <w:rsid w:val="003E6D9E"/>
    <w:rsid w:val="003E7B9C"/>
    <w:rsid w:val="003F27E1"/>
    <w:rsid w:val="003F3187"/>
    <w:rsid w:val="003F437A"/>
    <w:rsid w:val="003F5351"/>
    <w:rsid w:val="003F5C2B"/>
    <w:rsid w:val="004023E9"/>
    <w:rsid w:val="004025D1"/>
    <w:rsid w:val="00402730"/>
    <w:rsid w:val="00402E9C"/>
    <w:rsid w:val="00404137"/>
    <w:rsid w:val="0040454A"/>
    <w:rsid w:val="004054FD"/>
    <w:rsid w:val="00405ABC"/>
    <w:rsid w:val="00405E0C"/>
    <w:rsid w:val="00406466"/>
    <w:rsid w:val="00407917"/>
    <w:rsid w:val="00407924"/>
    <w:rsid w:val="00413F83"/>
    <w:rsid w:val="0041490C"/>
    <w:rsid w:val="00416191"/>
    <w:rsid w:val="00416721"/>
    <w:rsid w:val="00416B5E"/>
    <w:rsid w:val="00416B9F"/>
    <w:rsid w:val="0042037A"/>
    <w:rsid w:val="004206A4"/>
    <w:rsid w:val="00420BC8"/>
    <w:rsid w:val="00421EF0"/>
    <w:rsid w:val="004224FA"/>
    <w:rsid w:val="00422A15"/>
    <w:rsid w:val="004230F5"/>
    <w:rsid w:val="004232AC"/>
    <w:rsid w:val="00423D07"/>
    <w:rsid w:val="0043041D"/>
    <w:rsid w:val="00430FDE"/>
    <w:rsid w:val="0043306F"/>
    <w:rsid w:val="00435614"/>
    <w:rsid w:val="0043589E"/>
    <w:rsid w:val="004361FA"/>
    <w:rsid w:val="0044346F"/>
    <w:rsid w:val="00446FBB"/>
    <w:rsid w:val="00447289"/>
    <w:rsid w:val="004504FB"/>
    <w:rsid w:val="00450D2E"/>
    <w:rsid w:val="00451980"/>
    <w:rsid w:val="004532F2"/>
    <w:rsid w:val="0045487F"/>
    <w:rsid w:val="00455452"/>
    <w:rsid w:val="004557A9"/>
    <w:rsid w:val="00457223"/>
    <w:rsid w:val="00457EB7"/>
    <w:rsid w:val="00461D52"/>
    <w:rsid w:val="00463A56"/>
    <w:rsid w:val="00464C3E"/>
    <w:rsid w:val="0046520A"/>
    <w:rsid w:val="004672AB"/>
    <w:rsid w:val="0046779F"/>
    <w:rsid w:val="004679E1"/>
    <w:rsid w:val="004714FE"/>
    <w:rsid w:val="00472BF3"/>
    <w:rsid w:val="00477B0B"/>
    <w:rsid w:val="00477BAA"/>
    <w:rsid w:val="0048389A"/>
    <w:rsid w:val="00485883"/>
    <w:rsid w:val="00490B58"/>
    <w:rsid w:val="00490B63"/>
    <w:rsid w:val="00495053"/>
    <w:rsid w:val="00495156"/>
    <w:rsid w:val="004957BE"/>
    <w:rsid w:val="004A1F59"/>
    <w:rsid w:val="004A20A9"/>
    <w:rsid w:val="004A29BE"/>
    <w:rsid w:val="004A3225"/>
    <w:rsid w:val="004A33EE"/>
    <w:rsid w:val="004A3AA8"/>
    <w:rsid w:val="004A7ED3"/>
    <w:rsid w:val="004B13C7"/>
    <w:rsid w:val="004B3B7F"/>
    <w:rsid w:val="004B48E3"/>
    <w:rsid w:val="004B778F"/>
    <w:rsid w:val="004C45DF"/>
    <w:rsid w:val="004D141F"/>
    <w:rsid w:val="004D2742"/>
    <w:rsid w:val="004D2EE0"/>
    <w:rsid w:val="004D3001"/>
    <w:rsid w:val="004D33C7"/>
    <w:rsid w:val="004D469F"/>
    <w:rsid w:val="004D6310"/>
    <w:rsid w:val="004D69E2"/>
    <w:rsid w:val="004D7C9A"/>
    <w:rsid w:val="004E0062"/>
    <w:rsid w:val="004E05A1"/>
    <w:rsid w:val="004E47E4"/>
    <w:rsid w:val="004E6E2A"/>
    <w:rsid w:val="004F00BE"/>
    <w:rsid w:val="004F15D1"/>
    <w:rsid w:val="004F455C"/>
    <w:rsid w:val="004F5E57"/>
    <w:rsid w:val="004F6512"/>
    <w:rsid w:val="004F6710"/>
    <w:rsid w:val="004F7B88"/>
    <w:rsid w:val="00500C3E"/>
    <w:rsid w:val="00500DA2"/>
    <w:rsid w:val="00502849"/>
    <w:rsid w:val="00504334"/>
    <w:rsid w:val="00504FAE"/>
    <w:rsid w:val="00505A05"/>
    <w:rsid w:val="005100E7"/>
    <w:rsid w:val="005104D7"/>
    <w:rsid w:val="00510B9E"/>
    <w:rsid w:val="00513016"/>
    <w:rsid w:val="00514EEF"/>
    <w:rsid w:val="005159A8"/>
    <w:rsid w:val="00521D83"/>
    <w:rsid w:val="00525603"/>
    <w:rsid w:val="00526E66"/>
    <w:rsid w:val="00533139"/>
    <w:rsid w:val="005335FE"/>
    <w:rsid w:val="0053415B"/>
    <w:rsid w:val="00536BC2"/>
    <w:rsid w:val="00537730"/>
    <w:rsid w:val="00541962"/>
    <w:rsid w:val="005425E1"/>
    <w:rsid w:val="00542760"/>
    <w:rsid w:val="005427C5"/>
    <w:rsid w:val="00542AFE"/>
    <w:rsid w:val="00542CF6"/>
    <w:rsid w:val="005452D2"/>
    <w:rsid w:val="005463AA"/>
    <w:rsid w:val="00546BFD"/>
    <w:rsid w:val="00553C03"/>
    <w:rsid w:val="005547EA"/>
    <w:rsid w:val="00555EC8"/>
    <w:rsid w:val="005618AC"/>
    <w:rsid w:val="00562958"/>
    <w:rsid w:val="00563692"/>
    <w:rsid w:val="005654ED"/>
    <w:rsid w:val="0056690B"/>
    <w:rsid w:val="00566954"/>
    <w:rsid w:val="00571679"/>
    <w:rsid w:val="00571E37"/>
    <w:rsid w:val="00572016"/>
    <w:rsid w:val="0057383C"/>
    <w:rsid w:val="00577925"/>
    <w:rsid w:val="005805F8"/>
    <w:rsid w:val="005826C5"/>
    <w:rsid w:val="005844E7"/>
    <w:rsid w:val="005858D7"/>
    <w:rsid w:val="00585934"/>
    <w:rsid w:val="0058641A"/>
    <w:rsid w:val="005908B8"/>
    <w:rsid w:val="0059203A"/>
    <w:rsid w:val="00594166"/>
    <w:rsid w:val="0059512E"/>
    <w:rsid w:val="005A0F3D"/>
    <w:rsid w:val="005A4D50"/>
    <w:rsid w:val="005A4EE6"/>
    <w:rsid w:val="005A616F"/>
    <w:rsid w:val="005A6DD2"/>
    <w:rsid w:val="005A73D7"/>
    <w:rsid w:val="005B042B"/>
    <w:rsid w:val="005B1781"/>
    <w:rsid w:val="005B2548"/>
    <w:rsid w:val="005B3AC7"/>
    <w:rsid w:val="005B4666"/>
    <w:rsid w:val="005B6E8B"/>
    <w:rsid w:val="005C2E75"/>
    <w:rsid w:val="005C385D"/>
    <w:rsid w:val="005C39FC"/>
    <w:rsid w:val="005C4F78"/>
    <w:rsid w:val="005D3B20"/>
    <w:rsid w:val="005E2C8D"/>
    <w:rsid w:val="005E3125"/>
    <w:rsid w:val="005E418B"/>
    <w:rsid w:val="005E4723"/>
    <w:rsid w:val="005E4759"/>
    <w:rsid w:val="005E5C68"/>
    <w:rsid w:val="005E65C0"/>
    <w:rsid w:val="005F0390"/>
    <w:rsid w:val="005F370D"/>
    <w:rsid w:val="005F381E"/>
    <w:rsid w:val="005F39C3"/>
    <w:rsid w:val="005F3E32"/>
    <w:rsid w:val="005F446D"/>
    <w:rsid w:val="005F5241"/>
    <w:rsid w:val="005F6F5F"/>
    <w:rsid w:val="00602D69"/>
    <w:rsid w:val="00612023"/>
    <w:rsid w:val="00612709"/>
    <w:rsid w:val="00614190"/>
    <w:rsid w:val="00615BC4"/>
    <w:rsid w:val="00617C32"/>
    <w:rsid w:val="00620EBB"/>
    <w:rsid w:val="0062194E"/>
    <w:rsid w:val="00622A99"/>
    <w:rsid w:val="00622E67"/>
    <w:rsid w:val="006233D8"/>
    <w:rsid w:val="00626EDC"/>
    <w:rsid w:val="0063064E"/>
    <w:rsid w:val="00631359"/>
    <w:rsid w:val="006317B3"/>
    <w:rsid w:val="006319F3"/>
    <w:rsid w:val="00636FD3"/>
    <w:rsid w:val="00641E89"/>
    <w:rsid w:val="006437E1"/>
    <w:rsid w:val="00643EE4"/>
    <w:rsid w:val="00644B7D"/>
    <w:rsid w:val="00646213"/>
    <w:rsid w:val="0064630A"/>
    <w:rsid w:val="006470EC"/>
    <w:rsid w:val="00652667"/>
    <w:rsid w:val="006528D5"/>
    <w:rsid w:val="00652B53"/>
    <w:rsid w:val="0065598E"/>
    <w:rsid w:val="00655AF2"/>
    <w:rsid w:val="00655BC5"/>
    <w:rsid w:val="006563D6"/>
    <w:rsid w:val="006568BE"/>
    <w:rsid w:val="0066025D"/>
    <w:rsid w:val="00660469"/>
    <w:rsid w:val="0066091A"/>
    <w:rsid w:val="00660BE0"/>
    <w:rsid w:val="00662232"/>
    <w:rsid w:val="00662684"/>
    <w:rsid w:val="00663328"/>
    <w:rsid w:val="00663C70"/>
    <w:rsid w:val="00666586"/>
    <w:rsid w:val="00670BCB"/>
    <w:rsid w:val="00670CFD"/>
    <w:rsid w:val="00672BBE"/>
    <w:rsid w:val="006751F7"/>
    <w:rsid w:val="006773EC"/>
    <w:rsid w:val="006773F7"/>
    <w:rsid w:val="006775BA"/>
    <w:rsid w:val="00677ED6"/>
    <w:rsid w:val="006802DD"/>
    <w:rsid w:val="00680504"/>
    <w:rsid w:val="00680DEB"/>
    <w:rsid w:val="00681851"/>
    <w:rsid w:val="00681CD9"/>
    <w:rsid w:val="00683E30"/>
    <w:rsid w:val="00687024"/>
    <w:rsid w:val="00690BDF"/>
    <w:rsid w:val="00691FB1"/>
    <w:rsid w:val="00693879"/>
    <w:rsid w:val="00693E9F"/>
    <w:rsid w:val="006941D9"/>
    <w:rsid w:val="00695D1A"/>
    <w:rsid w:val="00695E22"/>
    <w:rsid w:val="006A1E3C"/>
    <w:rsid w:val="006A2874"/>
    <w:rsid w:val="006A4EEC"/>
    <w:rsid w:val="006A51D0"/>
    <w:rsid w:val="006B00CD"/>
    <w:rsid w:val="006B07E4"/>
    <w:rsid w:val="006B4EC2"/>
    <w:rsid w:val="006B633C"/>
    <w:rsid w:val="006B7093"/>
    <w:rsid w:val="006C1BC5"/>
    <w:rsid w:val="006C5996"/>
    <w:rsid w:val="006C7FA0"/>
    <w:rsid w:val="006D23CD"/>
    <w:rsid w:val="006D3691"/>
    <w:rsid w:val="006D4C66"/>
    <w:rsid w:val="006D539B"/>
    <w:rsid w:val="006E1F91"/>
    <w:rsid w:val="006E3106"/>
    <w:rsid w:val="006E3196"/>
    <w:rsid w:val="006E399B"/>
    <w:rsid w:val="006E5EF0"/>
    <w:rsid w:val="006E6284"/>
    <w:rsid w:val="006F30E5"/>
    <w:rsid w:val="006F3563"/>
    <w:rsid w:val="006F42B9"/>
    <w:rsid w:val="006F6103"/>
    <w:rsid w:val="0070269A"/>
    <w:rsid w:val="00704E00"/>
    <w:rsid w:val="007112C5"/>
    <w:rsid w:val="00711941"/>
    <w:rsid w:val="00716390"/>
    <w:rsid w:val="00717864"/>
    <w:rsid w:val="007209E7"/>
    <w:rsid w:val="00720EE9"/>
    <w:rsid w:val="00722DAD"/>
    <w:rsid w:val="00723BDE"/>
    <w:rsid w:val="0072423C"/>
    <w:rsid w:val="00724CC3"/>
    <w:rsid w:val="00725279"/>
    <w:rsid w:val="00726182"/>
    <w:rsid w:val="0072729A"/>
    <w:rsid w:val="00727635"/>
    <w:rsid w:val="0073007C"/>
    <w:rsid w:val="007301A7"/>
    <w:rsid w:val="00732329"/>
    <w:rsid w:val="007337CA"/>
    <w:rsid w:val="00734CE4"/>
    <w:rsid w:val="00735123"/>
    <w:rsid w:val="00735634"/>
    <w:rsid w:val="00735845"/>
    <w:rsid w:val="00741837"/>
    <w:rsid w:val="00743803"/>
    <w:rsid w:val="007453E6"/>
    <w:rsid w:val="00747F0F"/>
    <w:rsid w:val="00752C3F"/>
    <w:rsid w:val="0075339D"/>
    <w:rsid w:val="00756A77"/>
    <w:rsid w:val="00756CCC"/>
    <w:rsid w:val="0075781C"/>
    <w:rsid w:val="00760CC8"/>
    <w:rsid w:val="007650B6"/>
    <w:rsid w:val="00771794"/>
    <w:rsid w:val="00773003"/>
    <w:rsid w:val="0077309D"/>
    <w:rsid w:val="007739D7"/>
    <w:rsid w:val="007774EE"/>
    <w:rsid w:val="00781822"/>
    <w:rsid w:val="00782735"/>
    <w:rsid w:val="00782E7C"/>
    <w:rsid w:val="00783744"/>
    <w:rsid w:val="00783F21"/>
    <w:rsid w:val="0078493F"/>
    <w:rsid w:val="00784972"/>
    <w:rsid w:val="00787159"/>
    <w:rsid w:val="00791668"/>
    <w:rsid w:val="00791AA1"/>
    <w:rsid w:val="00793822"/>
    <w:rsid w:val="00797081"/>
    <w:rsid w:val="007A11F4"/>
    <w:rsid w:val="007A36EF"/>
    <w:rsid w:val="007A3793"/>
    <w:rsid w:val="007A4573"/>
    <w:rsid w:val="007A470B"/>
    <w:rsid w:val="007A6B20"/>
    <w:rsid w:val="007B1D71"/>
    <w:rsid w:val="007B4388"/>
    <w:rsid w:val="007C122C"/>
    <w:rsid w:val="007C1715"/>
    <w:rsid w:val="007C1BA2"/>
    <w:rsid w:val="007C242F"/>
    <w:rsid w:val="007C2B48"/>
    <w:rsid w:val="007C2C4B"/>
    <w:rsid w:val="007C3836"/>
    <w:rsid w:val="007C3D7E"/>
    <w:rsid w:val="007C6E5C"/>
    <w:rsid w:val="007D20E9"/>
    <w:rsid w:val="007D763E"/>
    <w:rsid w:val="007D7881"/>
    <w:rsid w:val="007D7E3A"/>
    <w:rsid w:val="007E0E10"/>
    <w:rsid w:val="007E1B6F"/>
    <w:rsid w:val="007E3B7C"/>
    <w:rsid w:val="007E4768"/>
    <w:rsid w:val="007E5989"/>
    <w:rsid w:val="007E5D30"/>
    <w:rsid w:val="007E777B"/>
    <w:rsid w:val="007F1AE7"/>
    <w:rsid w:val="007F2070"/>
    <w:rsid w:val="007F30DA"/>
    <w:rsid w:val="007F71F6"/>
    <w:rsid w:val="007F7AEF"/>
    <w:rsid w:val="00802E52"/>
    <w:rsid w:val="0080348D"/>
    <w:rsid w:val="008053F5"/>
    <w:rsid w:val="008062CE"/>
    <w:rsid w:val="00807AF7"/>
    <w:rsid w:val="00810198"/>
    <w:rsid w:val="008112AA"/>
    <w:rsid w:val="00812B27"/>
    <w:rsid w:val="00815DA8"/>
    <w:rsid w:val="008164CC"/>
    <w:rsid w:val="0081695A"/>
    <w:rsid w:val="0082194D"/>
    <w:rsid w:val="008232C7"/>
    <w:rsid w:val="00824868"/>
    <w:rsid w:val="00826EF5"/>
    <w:rsid w:val="0082765A"/>
    <w:rsid w:val="00831693"/>
    <w:rsid w:val="00832D5C"/>
    <w:rsid w:val="00836A64"/>
    <w:rsid w:val="00840104"/>
    <w:rsid w:val="00840C1F"/>
    <w:rsid w:val="00841FC5"/>
    <w:rsid w:val="008420CA"/>
    <w:rsid w:val="0084232D"/>
    <w:rsid w:val="00845709"/>
    <w:rsid w:val="008469E1"/>
    <w:rsid w:val="008511F6"/>
    <w:rsid w:val="00853047"/>
    <w:rsid w:val="008550A2"/>
    <w:rsid w:val="008550A6"/>
    <w:rsid w:val="00855C51"/>
    <w:rsid w:val="008567E6"/>
    <w:rsid w:val="008576BD"/>
    <w:rsid w:val="00860463"/>
    <w:rsid w:val="00861772"/>
    <w:rsid w:val="00861F73"/>
    <w:rsid w:val="0086563C"/>
    <w:rsid w:val="0087007F"/>
    <w:rsid w:val="0087076C"/>
    <w:rsid w:val="008727F4"/>
    <w:rsid w:val="008733DA"/>
    <w:rsid w:val="008748BA"/>
    <w:rsid w:val="008803A3"/>
    <w:rsid w:val="00883F79"/>
    <w:rsid w:val="008850E4"/>
    <w:rsid w:val="00891363"/>
    <w:rsid w:val="00892EB2"/>
    <w:rsid w:val="008939AB"/>
    <w:rsid w:val="00895099"/>
    <w:rsid w:val="008A12F5"/>
    <w:rsid w:val="008A2C1F"/>
    <w:rsid w:val="008A4B13"/>
    <w:rsid w:val="008A6C5E"/>
    <w:rsid w:val="008A710F"/>
    <w:rsid w:val="008B02A1"/>
    <w:rsid w:val="008B02D0"/>
    <w:rsid w:val="008B1587"/>
    <w:rsid w:val="008B1B01"/>
    <w:rsid w:val="008B3330"/>
    <w:rsid w:val="008B3BCD"/>
    <w:rsid w:val="008B6DF8"/>
    <w:rsid w:val="008C106C"/>
    <w:rsid w:val="008C10F1"/>
    <w:rsid w:val="008C1917"/>
    <w:rsid w:val="008C1926"/>
    <w:rsid w:val="008C1E99"/>
    <w:rsid w:val="008C4FFA"/>
    <w:rsid w:val="008C7E98"/>
    <w:rsid w:val="008C7EBA"/>
    <w:rsid w:val="008D159A"/>
    <w:rsid w:val="008D7C08"/>
    <w:rsid w:val="008E0085"/>
    <w:rsid w:val="008E11D8"/>
    <w:rsid w:val="008E27B5"/>
    <w:rsid w:val="008E2AA6"/>
    <w:rsid w:val="008E2FB0"/>
    <w:rsid w:val="008E311B"/>
    <w:rsid w:val="008E3D9A"/>
    <w:rsid w:val="008E6299"/>
    <w:rsid w:val="008E65D8"/>
    <w:rsid w:val="008F2121"/>
    <w:rsid w:val="008F2A00"/>
    <w:rsid w:val="008F46E7"/>
    <w:rsid w:val="008F6D30"/>
    <w:rsid w:val="008F6F0B"/>
    <w:rsid w:val="008F7151"/>
    <w:rsid w:val="009028D1"/>
    <w:rsid w:val="00903C38"/>
    <w:rsid w:val="00903D41"/>
    <w:rsid w:val="0090551A"/>
    <w:rsid w:val="009076B4"/>
    <w:rsid w:val="00907BA7"/>
    <w:rsid w:val="0091064E"/>
    <w:rsid w:val="00911FC5"/>
    <w:rsid w:val="00912B85"/>
    <w:rsid w:val="00914FF4"/>
    <w:rsid w:val="00915672"/>
    <w:rsid w:val="0091768D"/>
    <w:rsid w:val="00920EE1"/>
    <w:rsid w:val="00922158"/>
    <w:rsid w:val="00922749"/>
    <w:rsid w:val="00925CFA"/>
    <w:rsid w:val="00931A10"/>
    <w:rsid w:val="009330A7"/>
    <w:rsid w:val="009331E2"/>
    <w:rsid w:val="00933446"/>
    <w:rsid w:val="009338DB"/>
    <w:rsid w:val="00935B8A"/>
    <w:rsid w:val="0093699A"/>
    <w:rsid w:val="00936C19"/>
    <w:rsid w:val="009370C6"/>
    <w:rsid w:val="00942A25"/>
    <w:rsid w:val="009439AD"/>
    <w:rsid w:val="00947967"/>
    <w:rsid w:val="00953237"/>
    <w:rsid w:val="00953B1A"/>
    <w:rsid w:val="0095401E"/>
    <w:rsid w:val="00955201"/>
    <w:rsid w:val="00961022"/>
    <w:rsid w:val="00961822"/>
    <w:rsid w:val="00962CEA"/>
    <w:rsid w:val="00965200"/>
    <w:rsid w:val="00965CCB"/>
    <w:rsid w:val="00966899"/>
    <w:rsid w:val="009668B3"/>
    <w:rsid w:val="009703A1"/>
    <w:rsid w:val="00971471"/>
    <w:rsid w:val="0097261A"/>
    <w:rsid w:val="00975507"/>
    <w:rsid w:val="00981448"/>
    <w:rsid w:val="0098158F"/>
    <w:rsid w:val="00981DD5"/>
    <w:rsid w:val="00982CB5"/>
    <w:rsid w:val="009848D4"/>
    <w:rsid w:val="009849C2"/>
    <w:rsid w:val="00984D24"/>
    <w:rsid w:val="00985148"/>
    <w:rsid w:val="00985733"/>
    <w:rsid w:val="009858EB"/>
    <w:rsid w:val="00986A1D"/>
    <w:rsid w:val="009909BE"/>
    <w:rsid w:val="00993ED9"/>
    <w:rsid w:val="00996300"/>
    <w:rsid w:val="009963D7"/>
    <w:rsid w:val="009A554E"/>
    <w:rsid w:val="009A6B47"/>
    <w:rsid w:val="009B0046"/>
    <w:rsid w:val="009B246F"/>
    <w:rsid w:val="009B24A4"/>
    <w:rsid w:val="009B3A3C"/>
    <w:rsid w:val="009B5CA9"/>
    <w:rsid w:val="009B6389"/>
    <w:rsid w:val="009B7EA8"/>
    <w:rsid w:val="009C08C6"/>
    <w:rsid w:val="009C1440"/>
    <w:rsid w:val="009C2107"/>
    <w:rsid w:val="009C5D9E"/>
    <w:rsid w:val="009C7210"/>
    <w:rsid w:val="009C7E98"/>
    <w:rsid w:val="009D095B"/>
    <w:rsid w:val="009D0AAC"/>
    <w:rsid w:val="009D2C3E"/>
    <w:rsid w:val="009D5413"/>
    <w:rsid w:val="009D5723"/>
    <w:rsid w:val="009E00E2"/>
    <w:rsid w:val="009E0625"/>
    <w:rsid w:val="009E11A9"/>
    <w:rsid w:val="009E3034"/>
    <w:rsid w:val="009E40FE"/>
    <w:rsid w:val="009E4C8D"/>
    <w:rsid w:val="009E549F"/>
    <w:rsid w:val="009E7928"/>
    <w:rsid w:val="009F0D7D"/>
    <w:rsid w:val="009F28A8"/>
    <w:rsid w:val="009F473E"/>
    <w:rsid w:val="009F6312"/>
    <w:rsid w:val="009F682A"/>
    <w:rsid w:val="00A022BE"/>
    <w:rsid w:val="00A02C62"/>
    <w:rsid w:val="00A039A4"/>
    <w:rsid w:val="00A05160"/>
    <w:rsid w:val="00A10903"/>
    <w:rsid w:val="00A11C0C"/>
    <w:rsid w:val="00A128C1"/>
    <w:rsid w:val="00A14EF9"/>
    <w:rsid w:val="00A21406"/>
    <w:rsid w:val="00A226E6"/>
    <w:rsid w:val="00A23EDD"/>
    <w:rsid w:val="00A24244"/>
    <w:rsid w:val="00A24C95"/>
    <w:rsid w:val="00A25664"/>
    <w:rsid w:val="00A2599A"/>
    <w:rsid w:val="00A26094"/>
    <w:rsid w:val="00A301BF"/>
    <w:rsid w:val="00A302B2"/>
    <w:rsid w:val="00A30DC6"/>
    <w:rsid w:val="00A311E6"/>
    <w:rsid w:val="00A32D7E"/>
    <w:rsid w:val="00A331B4"/>
    <w:rsid w:val="00A3484E"/>
    <w:rsid w:val="00A35337"/>
    <w:rsid w:val="00A356D3"/>
    <w:rsid w:val="00A36817"/>
    <w:rsid w:val="00A36ADA"/>
    <w:rsid w:val="00A36D4D"/>
    <w:rsid w:val="00A37F4A"/>
    <w:rsid w:val="00A428F2"/>
    <w:rsid w:val="00A438D8"/>
    <w:rsid w:val="00A44AD7"/>
    <w:rsid w:val="00A44CED"/>
    <w:rsid w:val="00A45C4A"/>
    <w:rsid w:val="00A4603B"/>
    <w:rsid w:val="00A473F5"/>
    <w:rsid w:val="00A47F8E"/>
    <w:rsid w:val="00A51F9D"/>
    <w:rsid w:val="00A5416A"/>
    <w:rsid w:val="00A56E74"/>
    <w:rsid w:val="00A61414"/>
    <w:rsid w:val="00A62928"/>
    <w:rsid w:val="00A639F4"/>
    <w:rsid w:val="00A63E33"/>
    <w:rsid w:val="00A64770"/>
    <w:rsid w:val="00A67924"/>
    <w:rsid w:val="00A71CF1"/>
    <w:rsid w:val="00A72BEF"/>
    <w:rsid w:val="00A74318"/>
    <w:rsid w:val="00A76A68"/>
    <w:rsid w:val="00A7737A"/>
    <w:rsid w:val="00A81A32"/>
    <w:rsid w:val="00A83025"/>
    <w:rsid w:val="00A835BD"/>
    <w:rsid w:val="00A84772"/>
    <w:rsid w:val="00A871E1"/>
    <w:rsid w:val="00A87C44"/>
    <w:rsid w:val="00A90810"/>
    <w:rsid w:val="00A918A7"/>
    <w:rsid w:val="00A9389E"/>
    <w:rsid w:val="00A93B95"/>
    <w:rsid w:val="00A964F8"/>
    <w:rsid w:val="00A97B15"/>
    <w:rsid w:val="00A97FDA"/>
    <w:rsid w:val="00AA0930"/>
    <w:rsid w:val="00AA253B"/>
    <w:rsid w:val="00AA32ED"/>
    <w:rsid w:val="00AA3CEC"/>
    <w:rsid w:val="00AA42D5"/>
    <w:rsid w:val="00AA6A87"/>
    <w:rsid w:val="00AB0615"/>
    <w:rsid w:val="00AB281C"/>
    <w:rsid w:val="00AB2C44"/>
    <w:rsid w:val="00AB2FAB"/>
    <w:rsid w:val="00AB3280"/>
    <w:rsid w:val="00AB369F"/>
    <w:rsid w:val="00AB5C14"/>
    <w:rsid w:val="00AB7B2C"/>
    <w:rsid w:val="00AC1EE7"/>
    <w:rsid w:val="00AC333F"/>
    <w:rsid w:val="00AC42A6"/>
    <w:rsid w:val="00AC585C"/>
    <w:rsid w:val="00AC66D4"/>
    <w:rsid w:val="00AD1925"/>
    <w:rsid w:val="00AD7B92"/>
    <w:rsid w:val="00AE067D"/>
    <w:rsid w:val="00AE15AD"/>
    <w:rsid w:val="00AE70CC"/>
    <w:rsid w:val="00AE7402"/>
    <w:rsid w:val="00AF06A2"/>
    <w:rsid w:val="00AF1181"/>
    <w:rsid w:val="00AF1D1D"/>
    <w:rsid w:val="00AF2F79"/>
    <w:rsid w:val="00AF4653"/>
    <w:rsid w:val="00AF469B"/>
    <w:rsid w:val="00AF50E6"/>
    <w:rsid w:val="00AF7DB7"/>
    <w:rsid w:val="00B00821"/>
    <w:rsid w:val="00B020AA"/>
    <w:rsid w:val="00B05870"/>
    <w:rsid w:val="00B05947"/>
    <w:rsid w:val="00B068C7"/>
    <w:rsid w:val="00B0788B"/>
    <w:rsid w:val="00B1201D"/>
    <w:rsid w:val="00B12308"/>
    <w:rsid w:val="00B201E2"/>
    <w:rsid w:val="00B21746"/>
    <w:rsid w:val="00B21E4C"/>
    <w:rsid w:val="00B2223B"/>
    <w:rsid w:val="00B272E6"/>
    <w:rsid w:val="00B27B4F"/>
    <w:rsid w:val="00B323AD"/>
    <w:rsid w:val="00B372FD"/>
    <w:rsid w:val="00B37F28"/>
    <w:rsid w:val="00B409E9"/>
    <w:rsid w:val="00B40CA4"/>
    <w:rsid w:val="00B411AA"/>
    <w:rsid w:val="00B435C1"/>
    <w:rsid w:val="00B443E4"/>
    <w:rsid w:val="00B46FF2"/>
    <w:rsid w:val="00B5091E"/>
    <w:rsid w:val="00B5157C"/>
    <w:rsid w:val="00B525E8"/>
    <w:rsid w:val="00B530D8"/>
    <w:rsid w:val="00B54FCE"/>
    <w:rsid w:val="00B55E09"/>
    <w:rsid w:val="00B563EA"/>
    <w:rsid w:val="00B60E51"/>
    <w:rsid w:val="00B614F4"/>
    <w:rsid w:val="00B61848"/>
    <w:rsid w:val="00B618D6"/>
    <w:rsid w:val="00B6319A"/>
    <w:rsid w:val="00B63972"/>
    <w:rsid w:val="00B63A54"/>
    <w:rsid w:val="00B63BDA"/>
    <w:rsid w:val="00B6635C"/>
    <w:rsid w:val="00B741EC"/>
    <w:rsid w:val="00B749A5"/>
    <w:rsid w:val="00B75B4B"/>
    <w:rsid w:val="00B77D18"/>
    <w:rsid w:val="00B8313A"/>
    <w:rsid w:val="00B84429"/>
    <w:rsid w:val="00B869B8"/>
    <w:rsid w:val="00B87F89"/>
    <w:rsid w:val="00B91403"/>
    <w:rsid w:val="00B93503"/>
    <w:rsid w:val="00B93D36"/>
    <w:rsid w:val="00BA2897"/>
    <w:rsid w:val="00BA2F30"/>
    <w:rsid w:val="00BA31E8"/>
    <w:rsid w:val="00BA4E03"/>
    <w:rsid w:val="00BA55E0"/>
    <w:rsid w:val="00BA5696"/>
    <w:rsid w:val="00BA58EB"/>
    <w:rsid w:val="00BA5A86"/>
    <w:rsid w:val="00BA631E"/>
    <w:rsid w:val="00BA6BD4"/>
    <w:rsid w:val="00BA6C7A"/>
    <w:rsid w:val="00BB3752"/>
    <w:rsid w:val="00BB3C8F"/>
    <w:rsid w:val="00BB40FF"/>
    <w:rsid w:val="00BB6516"/>
    <w:rsid w:val="00BB6688"/>
    <w:rsid w:val="00BC0E62"/>
    <w:rsid w:val="00BC2516"/>
    <w:rsid w:val="00BC26D4"/>
    <w:rsid w:val="00BC2968"/>
    <w:rsid w:val="00BC2A6E"/>
    <w:rsid w:val="00BC2EF9"/>
    <w:rsid w:val="00BC5135"/>
    <w:rsid w:val="00BC52C6"/>
    <w:rsid w:val="00BC70AE"/>
    <w:rsid w:val="00BD0762"/>
    <w:rsid w:val="00BD4A2D"/>
    <w:rsid w:val="00BD5935"/>
    <w:rsid w:val="00BD6804"/>
    <w:rsid w:val="00BE0306"/>
    <w:rsid w:val="00BE0C80"/>
    <w:rsid w:val="00BE437A"/>
    <w:rsid w:val="00BF0EA1"/>
    <w:rsid w:val="00BF224B"/>
    <w:rsid w:val="00BF22BE"/>
    <w:rsid w:val="00BF2A42"/>
    <w:rsid w:val="00BF46C0"/>
    <w:rsid w:val="00BF7220"/>
    <w:rsid w:val="00C004A4"/>
    <w:rsid w:val="00C03D8C"/>
    <w:rsid w:val="00C04410"/>
    <w:rsid w:val="00C055EC"/>
    <w:rsid w:val="00C065DA"/>
    <w:rsid w:val="00C06B1B"/>
    <w:rsid w:val="00C10DC9"/>
    <w:rsid w:val="00C12783"/>
    <w:rsid w:val="00C12FB3"/>
    <w:rsid w:val="00C16D47"/>
    <w:rsid w:val="00C17341"/>
    <w:rsid w:val="00C20677"/>
    <w:rsid w:val="00C2267E"/>
    <w:rsid w:val="00C227E2"/>
    <w:rsid w:val="00C23A05"/>
    <w:rsid w:val="00C23D26"/>
    <w:rsid w:val="00C243C5"/>
    <w:rsid w:val="00C24EEF"/>
    <w:rsid w:val="00C25CF6"/>
    <w:rsid w:val="00C26C36"/>
    <w:rsid w:val="00C26F29"/>
    <w:rsid w:val="00C27D79"/>
    <w:rsid w:val="00C32768"/>
    <w:rsid w:val="00C3473E"/>
    <w:rsid w:val="00C371CF"/>
    <w:rsid w:val="00C43025"/>
    <w:rsid w:val="00C431DF"/>
    <w:rsid w:val="00C456BD"/>
    <w:rsid w:val="00C45B5D"/>
    <w:rsid w:val="00C509DC"/>
    <w:rsid w:val="00C50B29"/>
    <w:rsid w:val="00C51162"/>
    <w:rsid w:val="00C530DC"/>
    <w:rsid w:val="00C5350D"/>
    <w:rsid w:val="00C535BD"/>
    <w:rsid w:val="00C5425A"/>
    <w:rsid w:val="00C545DD"/>
    <w:rsid w:val="00C55F95"/>
    <w:rsid w:val="00C57872"/>
    <w:rsid w:val="00C6123C"/>
    <w:rsid w:val="00C6311A"/>
    <w:rsid w:val="00C6385D"/>
    <w:rsid w:val="00C644F2"/>
    <w:rsid w:val="00C64B5F"/>
    <w:rsid w:val="00C668CF"/>
    <w:rsid w:val="00C6785C"/>
    <w:rsid w:val="00C7084D"/>
    <w:rsid w:val="00C710B4"/>
    <w:rsid w:val="00C7315E"/>
    <w:rsid w:val="00C73FEA"/>
    <w:rsid w:val="00C753D7"/>
    <w:rsid w:val="00C75895"/>
    <w:rsid w:val="00C770F0"/>
    <w:rsid w:val="00C77BFF"/>
    <w:rsid w:val="00C8160F"/>
    <w:rsid w:val="00C818ED"/>
    <w:rsid w:val="00C831FC"/>
    <w:rsid w:val="00C8335F"/>
    <w:rsid w:val="00C83C9F"/>
    <w:rsid w:val="00C83F92"/>
    <w:rsid w:val="00C84BAA"/>
    <w:rsid w:val="00C90621"/>
    <w:rsid w:val="00C90C08"/>
    <w:rsid w:val="00C92436"/>
    <w:rsid w:val="00C924F1"/>
    <w:rsid w:val="00C9461B"/>
    <w:rsid w:val="00C94840"/>
    <w:rsid w:val="00C954B8"/>
    <w:rsid w:val="00C96AC2"/>
    <w:rsid w:val="00CA4EE3"/>
    <w:rsid w:val="00CB013E"/>
    <w:rsid w:val="00CB027F"/>
    <w:rsid w:val="00CB0A5D"/>
    <w:rsid w:val="00CB0D15"/>
    <w:rsid w:val="00CB12BC"/>
    <w:rsid w:val="00CB176E"/>
    <w:rsid w:val="00CB5F0D"/>
    <w:rsid w:val="00CC08AD"/>
    <w:rsid w:val="00CC0EBB"/>
    <w:rsid w:val="00CC4C90"/>
    <w:rsid w:val="00CC4E0F"/>
    <w:rsid w:val="00CC550B"/>
    <w:rsid w:val="00CC5590"/>
    <w:rsid w:val="00CC5B21"/>
    <w:rsid w:val="00CC6297"/>
    <w:rsid w:val="00CC7690"/>
    <w:rsid w:val="00CC78A2"/>
    <w:rsid w:val="00CD1986"/>
    <w:rsid w:val="00CD4DA7"/>
    <w:rsid w:val="00CD5133"/>
    <w:rsid w:val="00CD54BF"/>
    <w:rsid w:val="00CD659E"/>
    <w:rsid w:val="00CE0024"/>
    <w:rsid w:val="00CE0561"/>
    <w:rsid w:val="00CE1B5F"/>
    <w:rsid w:val="00CE2AA7"/>
    <w:rsid w:val="00CE2C7E"/>
    <w:rsid w:val="00CE46F7"/>
    <w:rsid w:val="00CE4D5C"/>
    <w:rsid w:val="00CE5628"/>
    <w:rsid w:val="00CE6540"/>
    <w:rsid w:val="00CE6CCE"/>
    <w:rsid w:val="00CE75B2"/>
    <w:rsid w:val="00CF05DA"/>
    <w:rsid w:val="00CF305D"/>
    <w:rsid w:val="00CF3BAD"/>
    <w:rsid w:val="00CF58EB"/>
    <w:rsid w:val="00CF6FEC"/>
    <w:rsid w:val="00CF72C2"/>
    <w:rsid w:val="00D0106E"/>
    <w:rsid w:val="00D02301"/>
    <w:rsid w:val="00D06383"/>
    <w:rsid w:val="00D07157"/>
    <w:rsid w:val="00D11423"/>
    <w:rsid w:val="00D11674"/>
    <w:rsid w:val="00D13F3F"/>
    <w:rsid w:val="00D15579"/>
    <w:rsid w:val="00D16DA7"/>
    <w:rsid w:val="00D20E85"/>
    <w:rsid w:val="00D24615"/>
    <w:rsid w:val="00D24666"/>
    <w:rsid w:val="00D26078"/>
    <w:rsid w:val="00D316AC"/>
    <w:rsid w:val="00D32681"/>
    <w:rsid w:val="00D32B67"/>
    <w:rsid w:val="00D33741"/>
    <w:rsid w:val="00D35BDE"/>
    <w:rsid w:val="00D37842"/>
    <w:rsid w:val="00D406CC"/>
    <w:rsid w:val="00D42306"/>
    <w:rsid w:val="00D42646"/>
    <w:rsid w:val="00D42DC2"/>
    <w:rsid w:val="00D44274"/>
    <w:rsid w:val="00D45C90"/>
    <w:rsid w:val="00D502E5"/>
    <w:rsid w:val="00D537E1"/>
    <w:rsid w:val="00D53BB8"/>
    <w:rsid w:val="00D55BB2"/>
    <w:rsid w:val="00D56D60"/>
    <w:rsid w:val="00D6091A"/>
    <w:rsid w:val="00D62807"/>
    <w:rsid w:val="00D62824"/>
    <w:rsid w:val="00D629CC"/>
    <w:rsid w:val="00D6605A"/>
    <w:rsid w:val="00D661F9"/>
    <w:rsid w:val="00D6695F"/>
    <w:rsid w:val="00D7125F"/>
    <w:rsid w:val="00D72C7B"/>
    <w:rsid w:val="00D75644"/>
    <w:rsid w:val="00D80130"/>
    <w:rsid w:val="00D804E1"/>
    <w:rsid w:val="00D81656"/>
    <w:rsid w:val="00D82E38"/>
    <w:rsid w:val="00D82F09"/>
    <w:rsid w:val="00D832EC"/>
    <w:rsid w:val="00D83627"/>
    <w:rsid w:val="00D83D87"/>
    <w:rsid w:val="00D84A6D"/>
    <w:rsid w:val="00D86A30"/>
    <w:rsid w:val="00D87EB8"/>
    <w:rsid w:val="00D90D6C"/>
    <w:rsid w:val="00D96ECD"/>
    <w:rsid w:val="00D97CB4"/>
    <w:rsid w:val="00D97DD4"/>
    <w:rsid w:val="00DA4208"/>
    <w:rsid w:val="00DA5A8A"/>
    <w:rsid w:val="00DB1D66"/>
    <w:rsid w:val="00DB26CD"/>
    <w:rsid w:val="00DB358C"/>
    <w:rsid w:val="00DB441C"/>
    <w:rsid w:val="00DB44AF"/>
    <w:rsid w:val="00DB67AC"/>
    <w:rsid w:val="00DB6A36"/>
    <w:rsid w:val="00DB6CB3"/>
    <w:rsid w:val="00DB6CB5"/>
    <w:rsid w:val="00DB7382"/>
    <w:rsid w:val="00DC1DC8"/>
    <w:rsid w:val="00DC1F58"/>
    <w:rsid w:val="00DC2776"/>
    <w:rsid w:val="00DC339B"/>
    <w:rsid w:val="00DC5D40"/>
    <w:rsid w:val="00DC69A7"/>
    <w:rsid w:val="00DC7D80"/>
    <w:rsid w:val="00DD0F26"/>
    <w:rsid w:val="00DD30E9"/>
    <w:rsid w:val="00DD432B"/>
    <w:rsid w:val="00DD4ACC"/>
    <w:rsid w:val="00DD4F47"/>
    <w:rsid w:val="00DD67E7"/>
    <w:rsid w:val="00DD7FBB"/>
    <w:rsid w:val="00DE0B9F"/>
    <w:rsid w:val="00DE1AEB"/>
    <w:rsid w:val="00DE1B5F"/>
    <w:rsid w:val="00DE4238"/>
    <w:rsid w:val="00DE4972"/>
    <w:rsid w:val="00DE49AD"/>
    <w:rsid w:val="00DE657F"/>
    <w:rsid w:val="00DF0C96"/>
    <w:rsid w:val="00DF1218"/>
    <w:rsid w:val="00DF1952"/>
    <w:rsid w:val="00DF235B"/>
    <w:rsid w:val="00DF2C47"/>
    <w:rsid w:val="00DF3FBB"/>
    <w:rsid w:val="00DF5090"/>
    <w:rsid w:val="00DF5C42"/>
    <w:rsid w:val="00DF60FE"/>
    <w:rsid w:val="00DF6462"/>
    <w:rsid w:val="00DF7CDD"/>
    <w:rsid w:val="00E02EC0"/>
    <w:rsid w:val="00E02FA0"/>
    <w:rsid w:val="00E036DC"/>
    <w:rsid w:val="00E04E18"/>
    <w:rsid w:val="00E059D4"/>
    <w:rsid w:val="00E10454"/>
    <w:rsid w:val="00E112E5"/>
    <w:rsid w:val="00E12784"/>
    <w:rsid w:val="00E12CC8"/>
    <w:rsid w:val="00E139A2"/>
    <w:rsid w:val="00E13D8E"/>
    <w:rsid w:val="00E1571B"/>
    <w:rsid w:val="00E15D64"/>
    <w:rsid w:val="00E2126D"/>
    <w:rsid w:val="00E21CC7"/>
    <w:rsid w:val="00E22E4C"/>
    <w:rsid w:val="00E231EB"/>
    <w:rsid w:val="00E2474D"/>
    <w:rsid w:val="00E24D9E"/>
    <w:rsid w:val="00E25849"/>
    <w:rsid w:val="00E30202"/>
    <w:rsid w:val="00E3125E"/>
    <w:rsid w:val="00E3197E"/>
    <w:rsid w:val="00E342F8"/>
    <w:rsid w:val="00E34319"/>
    <w:rsid w:val="00E351ED"/>
    <w:rsid w:val="00E35D3A"/>
    <w:rsid w:val="00E40B08"/>
    <w:rsid w:val="00E421C4"/>
    <w:rsid w:val="00E4228E"/>
    <w:rsid w:val="00E467BD"/>
    <w:rsid w:val="00E57816"/>
    <w:rsid w:val="00E6034B"/>
    <w:rsid w:val="00E60A15"/>
    <w:rsid w:val="00E6154E"/>
    <w:rsid w:val="00E6161C"/>
    <w:rsid w:val="00E6189F"/>
    <w:rsid w:val="00E64B1A"/>
    <w:rsid w:val="00E6549E"/>
    <w:rsid w:val="00E65EDE"/>
    <w:rsid w:val="00E67828"/>
    <w:rsid w:val="00E70F81"/>
    <w:rsid w:val="00E72243"/>
    <w:rsid w:val="00E737F3"/>
    <w:rsid w:val="00E73BEB"/>
    <w:rsid w:val="00E73DFB"/>
    <w:rsid w:val="00E75C67"/>
    <w:rsid w:val="00E77055"/>
    <w:rsid w:val="00E77285"/>
    <w:rsid w:val="00E77460"/>
    <w:rsid w:val="00E83ABC"/>
    <w:rsid w:val="00E83FFB"/>
    <w:rsid w:val="00E844F2"/>
    <w:rsid w:val="00E8798E"/>
    <w:rsid w:val="00E87EC9"/>
    <w:rsid w:val="00E904AF"/>
    <w:rsid w:val="00E9099A"/>
    <w:rsid w:val="00E90AC8"/>
    <w:rsid w:val="00E90AD0"/>
    <w:rsid w:val="00E92E17"/>
    <w:rsid w:val="00E92F49"/>
    <w:rsid w:val="00E92FCB"/>
    <w:rsid w:val="00E93F12"/>
    <w:rsid w:val="00E94AB4"/>
    <w:rsid w:val="00E94F68"/>
    <w:rsid w:val="00E95784"/>
    <w:rsid w:val="00E9687F"/>
    <w:rsid w:val="00E972B4"/>
    <w:rsid w:val="00EA06B8"/>
    <w:rsid w:val="00EA134B"/>
    <w:rsid w:val="00EA147F"/>
    <w:rsid w:val="00EA26A5"/>
    <w:rsid w:val="00EA4A27"/>
    <w:rsid w:val="00EA4FA6"/>
    <w:rsid w:val="00EB1A25"/>
    <w:rsid w:val="00EB6AE1"/>
    <w:rsid w:val="00EB6E52"/>
    <w:rsid w:val="00EB79C4"/>
    <w:rsid w:val="00EC134E"/>
    <w:rsid w:val="00EC2924"/>
    <w:rsid w:val="00EC2E1E"/>
    <w:rsid w:val="00EC37A6"/>
    <w:rsid w:val="00EC3810"/>
    <w:rsid w:val="00EC6481"/>
    <w:rsid w:val="00EC7397"/>
    <w:rsid w:val="00EC758A"/>
    <w:rsid w:val="00ED01DB"/>
    <w:rsid w:val="00ED03AB"/>
    <w:rsid w:val="00ED1CD4"/>
    <w:rsid w:val="00ED1D2B"/>
    <w:rsid w:val="00ED568A"/>
    <w:rsid w:val="00ED64B5"/>
    <w:rsid w:val="00ED75D6"/>
    <w:rsid w:val="00EE201A"/>
    <w:rsid w:val="00EE5D68"/>
    <w:rsid w:val="00EE6562"/>
    <w:rsid w:val="00EE7CCA"/>
    <w:rsid w:val="00EF3D08"/>
    <w:rsid w:val="00EF47A3"/>
    <w:rsid w:val="00EF4A57"/>
    <w:rsid w:val="00EF6BCE"/>
    <w:rsid w:val="00F0482A"/>
    <w:rsid w:val="00F05B31"/>
    <w:rsid w:val="00F07D9A"/>
    <w:rsid w:val="00F136D9"/>
    <w:rsid w:val="00F14970"/>
    <w:rsid w:val="00F16A14"/>
    <w:rsid w:val="00F2193A"/>
    <w:rsid w:val="00F2301E"/>
    <w:rsid w:val="00F26461"/>
    <w:rsid w:val="00F26EA0"/>
    <w:rsid w:val="00F347EA"/>
    <w:rsid w:val="00F357DA"/>
    <w:rsid w:val="00F362D7"/>
    <w:rsid w:val="00F36777"/>
    <w:rsid w:val="00F37D7B"/>
    <w:rsid w:val="00F4144C"/>
    <w:rsid w:val="00F424A1"/>
    <w:rsid w:val="00F47C71"/>
    <w:rsid w:val="00F5314C"/>
    <w:rsid w:val="00F565ED"/>
    <w:rsid w:val="00F5688C"/>
    <w:rsid w:val="00F5788A"/>
    <w:rsid w:val="00F62BF9"/>
    <w:rsid w:val="00F635DD"/>
    <w:rsid w:val="00F6486D"/>
    <w:rsid w:val="00F65F94"/>
    <w:rsid w:val="00F661B1"/>
    <w:rsid w:val="00F6627B"/>
    <w:rsid w:val="00F66F23"/>
    <w:rsid w:val="00F70980"/>
    <w:rsid w:val="00F7336E"/>
    <w:rsid w:val="00F734F2"/>
    <w:rsid w:val="00F75052"/>
    <w:rsid w:val="00F75B30"/>
    <w:rsid w:val="00F773A1"/>
    <w:rsid w:val="00F804D3"/>
    <w:rsid w:val="00F8111D"/>
    <w:rsid w:val="00F81CD2"/>
    <w:rsid w:val="00F82641"/>
    <w:rsid w:val="00F82AE5"/>
    <w:rsid w:val="00F84524"/>
    <w:rsid w:val="00F908B6"/>
    <w:rsid w:val="00F90F18"/>
    <w:rsid w:val="00F91420"/>
    <w:rsid w:val="00F917CE"/>
    <w:rsid w:val="00F937E4"/>
    <w:rsid w:val="00F93D7C"/>
    <w:rsid w:val="00F95EE7"/>
    <w:rsid w:val="00F97679"/>
    <w:rsid w:val="00F977EC"/>
    <w:rsid w:val="00FA09F4"/>
    <w:rsid w:val="00FA1458"/>
    <w:rsid w:val="00FA39E6"/>
    <w:rsid w:val="00FA5671"/>
    <w:rsid w:val="00FA57ED"/>
    <w:rsid w:val="00FA77C7"/>
    <w:rsid w:val="00FA7BC9"/>
    <w:rsid w:val="00FB1877"/>
    <w:rsid w:val="00FB378E"/>
    <w:rsid w:val="00FB37F1"/>
    <w:rsid w:val="00FB3916"/>
    <w:rsid w:val="00FB47C0"/>
    <w:rsid w:val="00FB501B"/>
    <w:rsid w:val="00FB5079"/>
    <w:rsid w:val="00FB59D5"/>
    <w:rsid w:val="00FB65EB"/>
    <w:rsid w:val="00FB7770"/>
    <w:rsid w:val="00FC0CB2"/>
    <w:rsid w:val="00FC0CB6"/>
    <w:rsid w:val="00FC17FE"/>
    <w:rsid w:val="00FC1FC3"/>
    <w:rsid w:val="00FC55AB"/>
    <w:rsid w:val="00FC5C24"/>
    <w:rsid w:val="00FC62BB"/>
    <w:rsid w:val="00FD02D9"/>
    <w:rsid w:val="00FD3B91"/>
    <w:rsid w:val="00FD3F9D"/>
    <w:rsid w:val="00FD576B"/>
    <w:rsid w:val="00FD579E"/>
    <w:rsid w:val="00FD6845"/>
    <w:rsid w:val="00FD7531"/>
    <w:rsid w:val="00FE2DBB"/>
    <w:rsid w:val="00FE3A19"/>
    <w:rsid w:val="00FE4516"/>
    <w:rsid w:val="00FE5BF5"/>
    <w:rsid w:val="00FE64C8"/>
    <w:rsid w:val="00FF23FC"/>
    <w:rsid w:val="00FF3C43"/>
    <w:rsid w:val="00FF4046"/>
    <w:rsid w:val="00FF4411"/>
    <w:rsid w:val="00FF4911"/>
    <w:rsid w:val="00FF6B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446F5"/>
  <w15:docId w15:val="{D77FFF7E-242D-4C38-9037-647AA4B4A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A62928"/>
    <w:pPr>
      <w:widowControl w:val="0"/>
      <w:overflowPunct w:val="0"/>
      <w:autoSpaceDE w:val="0"/>
      <w:autoSpaceDN w:val="0"/>
      <w:jc w:val="both"/>
    </w:pPr>
    <w:rPr>
      <w:rFonts w:ascii="標楷體" w:eastAsia="標楷體"/>
      <w:kern w:val="2"/>
      <w:sz w:val="32"/>
    </w:rPr>
  </w:style>
  <w:style w:type="paragraph" w:styleId="1">
    <w:name w:val="heading 1"/>
    <w:aliases w:val="壹"/>
    <w:basedOn w:val="a6"/>
    <w:qFormat/>
    <w:rsid w:val="004F5E57"/>
    <w:pPr>
      <w:numPr>
        <w:numId w:val="6"/>
      </w:numPr>
      <w:outlineLvl w:val="0"/>
    </w:pPr>
    <w:rPr>
      <w:rFonts w:hAnsi="Arial"/>
      <w:bCs/>
      <w:kern w:val="32"/>
      <w:szCs w:val="52"/>
    </w:rPr>
  </w:style>
  <w:style w:type="paragraph" w:styleId="2">
    <w:name w:val="heading 2"/>
    <w:aliases w:val="標題110/111,一.,節,節1"/>
    <w:basedOn w:val="a6"/>
    <w:link w:val="20"/>
    <w:qFormat/>
    <w:rsid w:val="004F5E57"/>
    <w:pPr>
      <w:numPr>
        <w:ilvl w:val="1"/>
        <w:numId w:val="6"/>
      </w:numPr>
      <w:outlineLvl w:val="1"/>
    </w:pPr>
    <w:rPr>
      <w:rFonts w:hAnsi="Arial"/>
      <w:bCs/>
      <w:kern w:val="32"/>
      <w:szCs w:val="48"/>
    </w:rPr>
  </w:style>
  <w:style w:type="paragraph" w:styleId="3">
    <w:name w:val="heading 3"/>
    <w:aliases w:val="(一)"/>
    <w:basedOn w:val="a6"/>
    <w:qFormat/>
    <w:rsid w:val="004F5E57"/>
    <w:pPr>
      <w:numPr>
        <w:ilvl w:val="2"/>
        <w:numId w:val="6"/>
      </w:numPr>
      <w:ind w:left="1361"/>
      <w:outlineLvl w:val="2"/>
    </w:pPr>
    <w:rPr>
      <w:rFonts w:hAnsi="Arial"/>
      <w:bCs/>
      <w:kern w:val="32"/>
      <w:szCs w:val="36"/>
    </w:rPr>
  </w:style>
  <w:style w:type="paragraph" w:styleId="4">
    <w:name w:val="heading 4"/>
    <w:aliases w:val="表格,1."/>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ind w:left="2041"/>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qFormat/>
    <w:rsid w:val="00B869B8"/>
    <w:pPr>
      <w:spacing w:before="720" w:after="720"/>
      <w:ind w:left="7371"/>
    </w:pPr>
    <w:rPr>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63C70"/>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link w:val="af4"/>
    <w:uiPriority w:val="99"/>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663C70"/>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663C70"/>
    <w:pPr>
      <w:spacing w:line="300" w:lineRule="exact"/>
    </w:pPr>
    <w:rPr>
      <w:sz w:val="24"/>
      <w:szCs w:val="24"/>
    </w:rPr>
  </w:style>
  <w:style w:type="paragraph" w:customStyle="1" w:styleId="120">
    <w:name w:val="表格12"/>
    <w:basedOn w:val="14"/>
    <w:rsid w:val="00663C70"/>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uiPriority w:val="1"/>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b">
    <w:name w:val="調查委員"/>
    <w:basedOn w:val="aa"/>
    <w:qFormat/>
    <w:rsid w:val="00352EA2"/>
    <w:pPr>
      <w:spacing w:before="0" w:after="0"/>
      <w:ind w:left="0"/>
      <w:jc w:val="left"/>
    </w:pPr>
    <w:rPr>
      <w:b/>
      <w:bCs/>
      <w:szCs w:val="28"/>
    </w:rPr>
  </w:style>
  <w:style w:type="paragraph" w:customStyle="1" w:styleId="afc">
    <w:name w:val="協查人員"/>
    <w:basedOn w:val="aa"/>
    <w:qFormat/>
    <w:rsid w:val="00A62928"/>
    <w:pPr>
      <w:spacing w:beforeLines="50" w:before="228" w:after="0"/>
      <w:ind w:leftChars="1100" w:left="3742"/>
      <w:jc w:val="left"/>
    </w:pPr>
    <w:rPr>
      <w:bCs/>
      <w:snapToGrid/>
      <w:kern w:val="0"/>
      <w:szCs w:val="36"/>
    </w:rPr>
  </w:style>
  <w:style w:type="paragraph" w:styleId="afd">
    <w:name w:val="footnote text"/>
    <w:basedOn w:val="a6"/>
    <w:link w:val="afe"/>
    <w:uiPriority w:val="99"/>
    <w:semiHidden/>
    <w:unhideWhenUsed/>
    <w:rsid w:val="00756A77"/>
    <w:pPr>
      <w:snapToGrid w:val="0"/>
      <w:jc w:val="left"/>
    </w:pPr>
    <w:rPr>
      <w:sz w:val="20"/>
    </w:rPr>
  </w:style>
  <w:style w:type="character" w:customStyle="1" w:styleId="afe">
    <w:name w:val="註腳文字 字元"/>
    <w:basedOn w:val="a7"/>
    <w:link w:val="afd"/>
    <w:uiPriority w:val="99"/>
    <w:semiHidden/>
    <w:rsid w:val="00756A77"/>
    <w:rPr>
      <w:rFonts w:ascii="標楷體" w:eastAsia="標楷體"/>
      <w:kern w:val="2"/>
    </w:rPr>
  </w:style>
  <w:style w:type="character" w:styleId="aff">
    <w:name w:val="footnote reference"/>
    <w:basedOn w:val="a7"/>
    <w:uiPriority w:val="99"/>
    <w:semiHidden/>
    <w:unhideWhenUsed/>
    <w:rsid w:val="00756A77"/>
    <w:rPr>
      <w:vertAlign w:val="superscript"/>
    </w:rPr>
  </w:style>
  <w:style w:type="paragraph" w:styleId="aff0">
    <w:name w:val="Body Text"/>
    <w:basedOn w:val="a6"/>
    <w:link w:val="aff1"/>
    <w:uiPriority w:val="99"/>
    <w:semiHidden/>
    <w:unhideWhenUsed/>
    <w:rsid w:val="00CF3BAD"/>
    <w:pPr>
      <w:spacing w:after="120"/>
    </w:pPr>
  </w:style>
  <w:style w:type="character" w:customStyle="1" w:styleId="aff1">
    <w:name w:val="本文 字元"/>
    <w:basedOn w:val="a7"/>
    <w:link w:val="aff0"/>
    <w:uiPriority w:val="99"/>
    <w:semiHidden/>
    <w:rsid w:val="00CF3BAD"/>
    <w:rPr>
      <w:rFonts w:ascii="標楷體" w:eastAsia="標楷體"/>
      <w:kern w:val="2"/>
      <w:sz w:val="32"/>
    </w:rPr>
  </w:style>
  <w:style w:type="character" w:styleId="aff2">
    <w:name w:val="Unresolved Mention"/>
    <w:basedOn w:val="a7"/>
    <w:uiPriority w:val="99"/>
    <w:semiHidden/>
    <w:unhideWhenUsed/>
    <w:rsid w:val="00D56D60"/>
    <w:rPr>
      <w:color w:val="605E5C"/>
      <w:shd w:val="clear" w:color="auto" w:fill="E1DFDD"/>
    </w:rPr>
  </w:style>
  <w:style w:type="paragraph" w:customStyle="1" w:styleId="Default">
    <w:name w:val="Default"/>
    <w:rsid w:val="00A10903"/>
    <w:pPr>
      <w:widowControl w:val="0"/>
      <w:autoSpaceDE w:val="0"/>
      <w:autoSpaceDN w:val="0"/>
      <w:adjustRightInd w:val="0"/>
    </w:pPr>
    <w:rPr>
      <w:rFonts w:ascii="Microsoft YaHei" w:eastAsia="Microsoft YaHei" w:hAnsiTheme="minorHAnsi" w:cs="Microsoft YaHei"/>
      <w:color w:val="000000"/>
      <w:sz w:val="24"/>
      <w:szCs w:val="24"/>
    </w:rPr>
  </w:style>
  <w:style w:type="character" w:customStyle="1" w:styleId="highlight">
    <w:name w:val="highlight"/>
    <w:basedOn w:val="a7"/>
    <w:rsid w:val="007E5D30"/>
  </w:style>
  <w:style w:type="character" w:styleId="aff3">
    <w:name w:val="annotation reference"/>
    <w:basedOn w:val="a7"/>
    <w:uiPriority w:val="99"/>
    <w:semiHidden/>
    <w:unhideWhenUsed/>
    <w:rsid w:val="002036BD"/>
    <w:rPr>
      <w:sz w:val="18"/>
      <w:szCs w:val="18"/>
    </w:rPr>
  </w:style>
  <w:style w:type="paragraph" w:styleId="aff4">
    <w:name w:val="annotation text"/>
    <w:basedOn w:val="a6"/>
    <w:link w:val="aff5"/>
    <w:uiPriority w:val="99"/>
    <w:semiHidden/>
    <w:unhideWhenUsed/>
    <w:rsid w:val="002036BD"/>
    <w:pPr>
      <w:jc w:val="left"/>
    </w:pPr>
  </w:style>
  <w:style w:type="character" w:customStyle="1" w:styleId="aff5">
    <w:name w:val="註解文字 字元"/>
    <w:basedOn w:val="a7"/>
    <w:link w:val="aff4"/>
    <w:uiPriority w:val="99"/>
    <w:semiHidden/>
    <w:rsid w:val="002036BD"/>
    <w:rPr>
      <w:rFonts w:ascii="標楷體" w:eastAsia="標楷體"/>
      <w:kern w:val="2"/>
      <w:sz w:val="32"/>
    </w:rPr>
  </w:style>
  <w:style w:type="paragraph" w:styleId="aff6">
    <w:name w:val="annotation subject"/>
    <w:basedOn w:val="aff4"/>
    <w:next w:val="aff4"/>
    <w:link w:val="aff7"/>
    <w:uiPriority w:val="99"/>
    <w:semiHidden/>
    <w:unhideWhenUsed/>
    <w:rsid w:val="002036BD"/>
    <w:rPr>
      <w:b/>
      <w:bCs/>
    </w:rPr>
  </w:style>
  <w:style w:type="character" w:customStyle="1" w:styleId="aff7">
    <w:name w:val="註解主旨 字元"/>
    <w:basedOn w:val="aff5"/>
    <w:link w:val="aff6"/>
    <w:uiPriority w:val="99"/>
    <w:semiHidden/>
    <w:rsid w:val="002036BD"/>
    <w:rPr>
      <w:rFonts w:ascii="標楷體" w:eastAsia="標楷體"/>
      <w:b/>
      <w:bCs/>
      <w:kern w:val="2"/>
      <w:sz w:val="32"/>
    </w:rPr>
  </w:style>
  <w:style w:type="paragraph" w:styleId="Web">
    <w:name w:val="Normal (Web)"/>
    <w:basedOn w:val="a6"/>
    <w:uiPriority w:val="99"/>
    <w:unhideWhenUsed/>
    <w:rsid w:val="007A36EF"/>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item-2">
    <w:name w:val="item-2"/>
    <w:basedOn w:val="a6"/>
    <w:rsid w:val="0056695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f8">
    <w:name w:val="Date"/>
    <w:basedOn w:val="a6"/>
    <w:next w:val="a6"/>
    <w:link w:val="aff9"/>
    <w:uiPriority w:val="99"/>
    <w:semiHidden/>
    <w:unhideWhenUsed/>
    <w:rsid w:val="00F62BF9"/>
    <w:pPr>
      <w:jc w:val="right"/>
    </w:pPr>
  </w:style>
  <w:style w:type="character" w:customStyle="1" w:styleId="aff9">
    <w:name w:val="日期 字元"/>
    <w:basedOn w:val="a7"/>
    <w:link w:val="aff8"/>
    <w:uiPriority w:val="99"/>
    <w:semiHidden/>
    <w:rsid w:val="00F62BF9"/>
    <w:rPr>
      <w:rFonts w:ascii="標楷體" w:eastAsia="標楷體"/>
      <w:kern w:val="2"/>
      <w:sz w:val="32"/>
    </w:rPr>
  </w:style>
  <w:style w:type="paragraph" w:customStyle="1" w:styleId="Notes">
    <w:name w:val="Notes"/>
    <w:rsid w:val="006D4C66"/>
    <w:rPr>
      <w:rFonts w:eastAsiaTheme="minorEastAsia"/>
      <w:color w:val="000000"/>
    </w:rPr>
  </w:style>
  <w:style w:type="paragraph" w:customStyle="1" w:styleId="Pa32">
    <w:name w:val="Pa32"/>
    <w:basedOn w:val="Default"/>
    <w:next w:val="Default"/>
    <w:uiPriority w:val="99"/>
    <w:rsid w:val="00347367"/>
    <w:pPr>
      <w:spacing w:line="181" w:lineRule="atLeast"/>
    </w:pPr>
    <w:rPr>
      <w:rFonts w:ascii="微軟正黑體^.." w:eastAsia="微軟正黑體^.." w:hAnsi="Times New Roman" w:cs="Times New Roman"/>
      <w:color w:val="auto"/>
    </w:rPr>
  </w:style>
  <w:style w:type="character" w:customStyle="1" w:styleId="af4">
    <w:name w:val="頁尾 字元"/>
    <w:basedOn w:val="a7"/>
    <w:link w:val="af3"/>
    <w:uiPriority w:val="99"/>
    <w:rsid w:val="00CC550B"/>
    <w:rPr>
      <w:rFonts w:ascii="標楷體" w:eastAsia="標楷體"/>
      <w:kern w:val="2"/>
    </w:rPr>
  </w:style>
  <w:style w:type="paragraph" w:styleId="HTML">
    <w:name w:val="HTML Preformatted"/>
    <w:basedOn w:val="a6"/>
    <w:link w:val="HTML0"/>
    <w:uiPriority w:val="99"/>
    <w:semiHidden/>
    <w:unhideWhenUsed/>
    <w:rsid w:val="00A871E1"/>
    <w:rPr>
      <w:rFonts w:ascii="Courier New" w:hAnsi="Courier New" w:cs="Courier New"/>
      <w:sz w:val="20"/>
    </w:rPr>
  </w:style>
  <w:style w:type="character" w:customStyle="1" w:styleId="HTML0">
    <w:name w:val="HTML 預設格式 字元"/>
    <w:basedOn w:val="a7"/>
    <w:link w:val="HTML"/>
    <w:uiPriority w:val="99"/>
    <w:semiHidden/>
    <w:rsid w:val="00A871E1"/>
    <w:rPr>
      <w:rFonts w:ascii="Courier New" w:eastAsia="標楷體" w:hAnsi="Courier New" w:cs="Courier New"/>
      <w:kern w:val="2"/>
    </w:rPr>
  </w:style>
  <w:style w:type="table" w:customStyle="1" w:styleId="TableNormal">
    <w:name w:val="Table Normal"/>
    <w:rsid w:val="009B246F"/>
    <w:pPr>
      <w:widowControl w:val="0"/>
    </w:pPr>
    <w:rPr>
      <w:rFonts w:ascii="Arial" w:eastAsiaTheme="minorEastAsia" w:hAnsi="Arial" w:cs="Arial"/>
      <w:sz w:val="22"/>
      <w:szCs w:val="22"/>
    </w:rPr>
    <w:tblPr>
      <w:tblCellMar>
        <w:top w:w="0" w:type="dxa"/>
        <w:left w:w="0" w:type="dxa"/>
        <w:bottom w:w="0" w:type="dxa"/>
        <w:right w:w="0" w:type="dxa"/>
      </w:tblCellMar>
    </w:tblPr>
  </w:style>
  <w:style w:type="paragraph" w:styleId="affa">
    <w:name w:val="Title"/>
    <w:basedOn w:val="a6"/>
    <w:next w:val="a6"/>
    <w:link w:val="affb"/>
    <w:uiPriority w:val="10"/>
    <w:qFormat/>
    <w:rsid w:val="009B246F"/>
    <w:pPr>
      <w:keepNext/>
      <w:keepLines/>
      <w:overflowPunct/>
      <w:autoSpaceDE/>
      <w:autoSpaceDN/>
      <w:spacing w:before="480" w:after="120"/>
      <w:jc w:val="left"/>
    </w:pPr>
    <w:rPr>
      <w:rFonts w:ascii="Arial" w:eastAsiaTheme="minorEastAsia" w:hAnsi="Arial" w:cs="Arial"/>
      <w:b/>
      <w:kern w:val="0"/>
      <w:sz w:val="72"/>
      <w:szCs w:val="72"/>
    </w:rPr>
  </w:style>
  <w:style w:type="character" w:customStyle="1" w:styleId="affb">
    <w:name w:val="標題 字元"/>
    <w:basedOn w:val="a7"/>
    <w:link w:val="affa"/>
    <w:uiPriority w:val="10"/>
    <w:rsid w:val="009B246F"/>
    <w:rPr>
      <w:rFonts w:ascii="Arial" w:eastAsiaTheme="minorEastAsia" w:hAnsi="Arial" w:cs="Arial"/>
      <w:b/>
      <w:sz w:val="72"/>
      <w:szCs w:val="72"/>
    </w:rPr>
  </w:style>
  <w:style w:type="paragraph" w:styleId="affc">
    <w:name w:val="Subtitle"/>
    <w:basedOn w:val="a6"/>
    <w:next w:val="a6"/>
    <w:link w:val="affd"/>
    <w:uiPriority w:val="11"/>
    <w:qFormat/>
    <w:rsid w:val="009B246F"/>
    <w:pPr>
      <w:keepNext/>
      <w:keepLines/>
      <w:overflowPunct/>
      <w:autoSpaceDE/>
      <w:autoSpaceDN/>
      <w:spacing w:before="360" w:after="80"/>
      <w:jc w:val="left"/>
    </w:pPr>
    <w:rPr>
      <w:rFonts w:ascii="Georgia" w:eastAsia="Georgia" w:hAnsi="Georgia" w:cs="Georgia"/>
      <w:i/>
      <w:color w:val="666666"/>
      <w:kern w:val="0"/>
      <w:sz w:val="48"/>
      <w:szCs w:val="48"/>
    </w:rPr>
  </w:style>
  <w:style w:type="character" w:customStyle="1" w:styleId="affd">
    <w:name w:val="副標題 字元"/>
    <w:basedOn w:val="a7"/>
    <w:link w:val="affc"/>
    <w:uiPriority w:val="11"/>
    <w:rsid w:val="009B246F"/>
    <w:rPr>
      <w:rFonts w:ascii="Georgia" w:eastAsia="Georgia" w:hAnsi="Georgia" w:cs="Georgia"/>
      <w:i/>
      <w:color w:val="666666"/>
      <w:sz w:val="48"/>
      <w:szCs w:val="48"/>
    </w:rPr>
  </w:style>
  <w:style w:type="character" w:customStyle="1" w:styleId="20">
    <w:name w:val="標題 2 字元"/>
    <w:aliases w:val="標題110/111 字元,一. 字元,節 字元,節1 字元"/>
    <w:basedOn w:val="a7"/>
    <w:link w:val="2"/>
    <w:rsid w:val="002E2DA5"/>
    <w:rPr>
      <w:rFonts w:ascii="標楷體" w:eastAsia="標楷體" w:hAnsi="Arial"/>
      <w:bCs/>
      <w:kern w:val="32"/>
      <w:sz w:val="32"/>
      <w:szCs w:val="48"/>
    </w:rPr>
  </w:style>
  <w:style w:type="character" w:styleId="affe">
    <w:name w:val="endnote reference"/>
    <w:basedOn w:val="a7"/>
    <w:uiPriority w:val="99"/>
    <w:semiHidden/>
    <w:unhideWhenUsed/>
    <w:rsid w:val="00340D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6347">
      <w:bodyDiv w:val="1"/>
      <w:marLeft w:val="0"/>
      <w:marRight w:val="0"/>
      <w:marTop w:val="0"/>
      <w:marBottom w:val="0"/>
      <w:divBdr>
        <w:top w:val="none" w:sz="0" w:space="0" w:color="auto"/>
        <w:left w:val="none" w:sz="0" w:space="0" w:color="auto"/>
        <w:bottom w:val="none" w:sz="0" w:space="0" w:color="auto"/>
        <w:right w:val="none" w:sz="0" w:space="0" w:color="auto"/>
      </w:divBdr>
    </w:div>
    <w:div w:id="17857934">
      <w:bodyDiv w:val="1"/>
      <w:marLeft w:val="0"/>
      <w:marRight w:val="0"/>
      <w:marTop w:val="0"/>
      <w:marBottom w:val="0"/>
      <w:divBdr>
        <w:top w:val="none" w:sz="0" w:space="0" w:color="auto"/>
        <w:left w:val="none" w:sz="0" w:space="0" w:color="auto"/>
        <w:bottom w:val="none" w:sz="0" w:space="0" w:color="auto"/>
        <w:right w:val="none" w:sz="0" w:space="0" w:color="auto"/>
      </w:divBdr>
    </w:div>
    <w:div w:id="28645703">
      <w:bodyDiv w:val="1"/>
      <w:marLeft w:val="0"/>
      <w:marRight w:val="0"/>
      <w:marTop w:val="0"/>
      <w:marBottom w:val="0"/>
      <w:divBdr>
        <w:top w:val="none" w:sz="0" w:space="0" w:color="auto"/>
        <w:left w:val="none" w:sz="0" w:space="0" w:color="auto"/>
        <w:bottom w:val="none" w:sz="0" w:space="0" w:color="auto"/>
        <w:right w:val="none" w:sz="0" w:space="0" w:color="auto"/>
      </w:divBdr>
    </w:div>
    <w:div w:id="57410682">
      <w:bodyDiv w:val="1"/>
      <w:marLeft w:val="0"/>
      <w:marRight w:val="0"/>
      <w:marTop w:val="0"/>
      <w:marBottom w:val="0"/>
      <w:divBdr>
        <w:top w:val="none" w:sz="0" w:space="0" w:color="auto"/>
        <w:left w:val="none" w:sz="0" w:space="0" w:color="auto"/>
        <w:bottom w:val="none" w:sz="0" w:space="0" w:color="auto"/>
        <w:right w:val="none" w:sz="0" w:space="0" w:color="auto"/>
      </w:divBdr>
    </w:div>
    <w:div w:id="133766839">
      <w:bodyDiv w:val="1"/>
      <w:marLeft w:val="0"/>
      <w:marRight w:val="0"/>
      <w:marTop w:val="0"/>
      <w:marBottom w:val="0"/>
      <w:divBdr>
        <w:top w:val="none" w:sz="0" w:space="0" w:color="auto"/>
        <w:left w:val="none" w:sz="0" w:space="0" w:color="auto"/>
        <w:bottom w:val="none" w:sz="0" w:space="0" w:color="auto"/>
        <w:right w:val="none" w:sz="0" w:space="0" w:color="auto"/>
      </w:divBdr>
    </w:div>
    <w:div w:id="283002831">
      <w:bodyDiv w:val="1"/>
      <w:marLeft w:val="0"/>
      <w:marRight w:val="0"/>
      <w:marTop w:val="0"/>
      <w:marBottom w:val="0"/>
      <w:divBdr>
        <w:top w:val="none" w:sz="0" w:space="0" w:color="auto"/>
        <w:left w:val="none" w:sz="0" w:space="0" w:color="auto"/>
        <w:bottom w:val="none" w:sz="0" w:space="0" w:color="auto"/>
        <w:right w:val="none" w:sz="0" w:space="0" w:color="auto"/>
      </w:divBdr>
    </w:div>
    <w:div w:id="349113332">
      <w:bodyDiv w:val="1"/>
      <w:marLeft w:val="0"/>
      <w:marRight w:val="0"/>
      <w:marTop w:val="0"/>
      <w:marBottom w:val="0"/>
      <w:divBdr>
        <w:top w:val="none" w:sz="0" w:space="0" w:color="auto"/>
        <w:left w:val="none" w:sz="0" w:space="0" w:color="auto"/>
        <w:bottom w:val="none" w:sz="0" w:space="0" w:color="auto"/>
        <w:right w:val="none" w:sz="0" w:space="0" w:color="auto"/>
      </w:divBdr>
    </w:div>
    <w:div w:id="371812265">
      <w:bodyDiv w:val="1"/>
      <w:marLeft w:val="0"/>
      <w:marRight w:val="0"/>
      <w:marTop w:val="0"/>
      <w:marBottom w:val="0"/>
      <w:divBdr>
        <w:top w:val="none" w:sz="0" w:space="0" w:color="auto"/>
        <w:left w:val="none" w:sz="0" w:space="0" w:color="auto"/>
        <w:bottom w:val="none" w:sz="0" w:space="0" w:color="auto"/>
        <w:right w:val="none" w:sz="0" w:space="0" w:color="auto"/>
      </w:divBdr>
    </w:div>
    <w:div w:id="430012800">
      <w:bodyDiv w:val="1"/>
      <w:marLeft w:val="0"/>
      <w:marRight w:val="0"/>
      <w:marTop w:val="0"/>
      <w:marBottom w:val="0"/>
      <w:divBdr>
        <w:top w:val="none" w:sz="0" w:space="0" w:color="auto"/>
        <w:left w:val="none" w:sz="0" w:space="0" w:color="auto"/>
        <w:bottom w:val="none" w:sz="0" w:space="0" w:color="auto"/>
        <w:right w:val="none" w:sz="0" w:space="0" w:color="auto"/>
      </w:divBdr>
    </w:div>
    <w:div w:id="482434580">
      <w:bodyDiv w:val="1"/>
      <w:marLeft w:val="0"/>
      <w:marRight w:val="0"/>
      <w:marTop w:val="0"/>
      <w:marBottom w:val="0"/>
      <w:divBdr>
        <w:top w:val="none" w:sz="0" w:space="0" w:color="auto"/>
        <w:left w:val="none" w:sz="0" w:space="0" w:color="auto"/>
        <w:bottom w:val="none" w:sz="0" w:space="0" w:color="auto"/>
        <w:right w:val="none" w:sz="0" w:space="0" w:color="auto"/>
      </w:divBdr>
    </w:div>
    <w:div w:id="495346922">
      <w:bodyDiv w:val="1"/>
      <w:marLeft w:val="0"/>
      <w:marRight w:val="0"/>
      <w:marTop w:val="0"/>
      <w:marBottom w:val="0"/>
      <w:divBdr>
        <w:top w:val="none" w:sz="0" w:space="0" w:color="auto"/>
        <w:left w:val="none" w:sz="0" w:space="0" w:color="auto"/>
        <w:bottom w:val="none" w:sz="0" w:space="0" w:color="auto"/>
        <w:right w:val="none" w:sz="0" w:space="0" w:color="auto"/>
      </w:divBdr>
    </w:div>
    <w:div w:id="498663685">
      <w:bodyDiv w:val="1"/>
      <w:marLeft w:val="0"/>
      <w:marRight w:val="0"/>
      <w:marTop w:val="0"/>
      <w:marBottom w:val="0"/>
      <w:divBdr>
        <w:top w:val="none" w:sz="0" w:space="0" w:color="auto"/>
        <w:left w:val="none" w:sz="0" w:space="0" w:color="auto"/>
        <w:bottom w:val="none" w:sz="0" w:space="0" w:color="auto"/>
        <w:right w:val="none" w:sz="0" w:space="0" w:color="auto"/>
      </w:divBdr>
    </w:div>
    <w:div w:id="531573848">
      <w:bodyDiv w:val="1"/>
      <w:marLeft w:val="0"/>
      <w:marRight w:val="0"/>
      <w:marTop w:val="0"/>
      <w:marBottom w:val="0"/>
      <w:divBdr>
        <w:top w:val="none" w:sz="0" w:space="0" w:color="auto"/>
        <w:left w:val="none" w:sz="0" w:space="0" w:color="auto"/>
        <w:bottom w:val="none" w:sz="0" w:space="0" w:color="auto"/>
        <w:right w:val="none" w:sz="0" w:space="0" w:color="auto"/>
      </w:divBdr>
    </w:div>
    <w:div w:id="647444843">
      <w:bodyDiv w:val="1"/>
      <w:marLeft w:val="0"/>
      <w:marRight w:val="0"/>
      <w:marTop w:val="0"/>
      <w:marBottom w:val="0"/>
      <w:divBdr>
        <w:top w:val="none" w:sz="0" w:space="0" w:color="auto"/>
        <w:left w:val="none" w:sz="0" w:space="0" w:color="auto"/>
        <w:bottom w:val="none" w:sz="0" w:space="0" w:color="auto"/>
        <w:right w:val="none" w:sz="0" w:space="0" w:color="auto"/>
      </w:divBdr>
    </w:div>
    <w:div w:id="678237175">
      <w:bodyDiv w:val="1"/>
      <w:marLeft w:val="0"/>
      <w:marRight w:val="0"/>
      <w:marTop w:val="0"/>
      <w:marBottom w:val="0"/>
      <w:divBdr>
        <w:top w:val="none" w:sz="0" w:space="0" w:color="auto"/>
        <w:left w:val="none" w:sz="0" w:space="0" w:color="auto"/>
        <w:bottom w:val="none" w:sz="0" w:space="0" w:color="auto"/>
        <w:right w:val="none" w:sz="0" w:space="0" w:color="auto"/>
      </w:divBdr>
      <w:divsChild>
        <w:div w:id="728309191">
          <w:marLeft w:val="0"/>
          <w:marRight w:val="0"/>
          <w:marTop w:val="0"/>
          <w:marBottom w:val="0"/>
          <w:divBdr>
            <w:top w:val="none" w:sz="0" w:space="0" w:color="auto"/>
            <w:left w:val="none" w:sz="0" w:space="0" w:color="auto"/>
            <w:bottom w:val="none" w:sz="0" w:space="0" w:color="auto"/>
            <w:right w:val="none" w:sz="0" w:space="0" w:color="auto"/>
          </w:divBdr>
          <w:divsChild>
            <w:div w:id="1092164137">
              <w:marLeft w:val="0"/>
              <w:marRight w:val="0"/>
              <w:marTop w:val="0"/>
              <w:marBottom w:val="0"/>
              <w:divBdr>
                <w:top w:val="none" w:sz="0" w:space="0" w:color="auto"/>
                <w:left w:val="none" w:sz="0" w:space="0" w:color="auto"/>
                <w:bottom w:val="none" w:sz="0" w:space="0" w:color="auto"/>
                <w:right w:val="none" w:sz="0" w:space="0" w:color="auto"/>
              </w:divBdr>
            </w:div>
          </w:divsChild>
        </w:div>
        <w:div w:id="2073263024">
          <w:marLeft w:val="0"/>
          <w:marRight w:val="0"/>
          <w:marTop w:val="0"/>
          <w:marBottom w:val="0"/>
          <w:divBdr>
            <w:top w:val="none" w:sz="0" w:space="0" w:color="auto"/>
            <w:left w:val="none" w:sz="0" w:space="0" w:color="auto"/>
            <w:bottom w:val="none" w:sz="0" w:space="0" w:color="auto"/>
            <w:right w:val="none" w:sz="0" w:space="0" w:color="auto"/>
          </w:divBdr>
          <w:divsChild>
            <w:div w:id="1774475890">
              <w:marLeft w:val="0"/>
              <w:marRight w:val="0"/>
              <w:marTop w:val="0"/>
              <w:marBottom w:val="0"/>
              <w:divBdr>
                <w:top w:val="none" w:sz="0" w:space="0" w:color="auto"/>
                <w:left w:val="none" w:sz="0" w:space="0" w:color="auto"/>
                <w:bottom w:val="none" w:sz="0" w:space="0" w:color="auto"/>
                <w:right w:val="none" w:sz="0" w:space="0" w:color="auto"/>
              </w:divBdr>
            </w:div>
          </w:divsChild>
        </w:div>
        <w:div w:id="1198465367">
          <w:marLeft w:val="0"/>
          <w:marRight w:val="0"/>
          <w:marTop w:val="0"/>
          <w:marBottom w:val="0"/>
          <w:divBdr>
            <w:top w:val="none" w:sz="0" w:space="0" w:color="auto"/>
            <w:left w:val="none" w:sz="0" w:space="0" w:color="auto"/>
            <w:bottom w:val="none" w:sz="0" w:space="0" w:color="auto"/>
            <w:right w:val="none" w:sz="0" w:space="0" w:color="auto"/>
          </w:divBdr>
          <w:divsChild>
            <w:div w:id="1196580385">
              <w:marLeft w:val="0"/>
              <w:marRight w:val="0"/>
              <w:marTop w:val="0"/>
              <w:marBottom w:val="0"/>
              <w:divBdr>
                <w:top w:val="none" w:sz="0" w:space="0" w:color="auto"/>
                <w:left w:val="none" w:sz="0" w:space="0" w:color="auto"/>
                <w:bottom w:val="none" w:sz="0" w:space="0" w:color="auto"/>
                <w:right w:val="none" w:sz="0" w:space="0" w:color="auto"/>
              </w:divBdr>
            </w:div>
          </w:divsChild>
        </w:div>
        <w:div w:id="234249065">
          <w:marLeft w:val="0"/>
          <w:marRight w:val="0"/>
          <w:marTop w:val="0"/>
          <w:marBottom w:val="0"/>
          <w:divBdr>
            <w:top w:val="none" w:sz="0" w:space="0" w:color="auto"/>
            <w:left w:val="none" w:sz="0" w:space="0" w:color="auto"/>
            <w:bottom w:val="none" w:sz="0" w:space="0" w:color="auto"/>
            <w:right w:val="none" w:sz="0" w:space="0" w:color="auto"/>
          </w:divBdr>
          <w:divsChild>
            <w:div w:id="367149741">
              <w:marLeft w:val="0"/>
              <w:marRight w:val="0"/>
              <w:marTop w:val="0"/>
              <w:marBottom w:val="0"/>
              <w:divBdr>
                <w:top w:val="none" w:sz="0" w:space="0" w:color="auto"/>
                <w:left w:val="none" w:sz="0" w:space="0" w:color="auto"/>
                <w:bottom w:val="none" w:sz="0" w:space="0" w:color="auto"/>
                <w:right w:val="none" w:sz="0" w:space="0" w:color="auto"/>
              </w:divBdr>
            </w:div>
          </w:divsChild>
        </w:div>
        <w:div w:id="1409380953">
          <w:marLeft w:val="0"/>
          <w:marRight w:val="0"/>
          <w:marTop w:val="0"/>
          <w:marBottom w:val="0"/>
          <w:divBdr>
            <w:top w:val="none" w:sz="0" w:space="0" w:color="auto"/>
            <w:left w:val="none" w:sz="0" w:space="0" w:color="auto"/>
            <w:bottom w:val="none" w:sz="0" w:space="0" w:color="auto"/>
            <w:right w:val="none" w:sz="0" w:space="0" w:color="auto"/>
          </w:divBdr>
          <w:divsChild>
            <w:div w:id="169843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762299">
      <w:bodyDiv w:val="1"/>
      <w:marLeft w:val="0"/>
      <w:marRight w:val="0"/>
      <w:marTop w:val="0"/>
      <w:marBottom w:val="0"/>
      <w:divBdr>
        <w:top w:val="none" w:sz="0" w:space="0" w:color="auto"/>
        <w:left w:val="none" w:sz="0" w:space="0" w:color="auto"/>
        <w:bottom w:val="none" w:sz="0" w:space="0" w:color="auto"/>
        <w:right w:val="none" w:sz="0" w:space="0" w:color="auto"/>
      </w:divBdr>
    </w:div>
    <w:div w:id="711154088">
      <w:bodyDiv w:val="1"/>
      <w:marLeft w:val="0"/>
      <w:marRight w:val="0"/>
      <w:marTop w:val="0"/>
      <w:marBottom w:val="0"/>
      <w:divBdr>
        <w:top w:val="none" w:sz="0" w:space="0" w:color="auto"/>
        <w:left w:val="none" w:sz="0" w:space="0" w:color="auto"/>
        <w:bottom w:val="none" w:sz="0" w:space="0" w:color="auto"/>
        <w:right w:val="none" w:sz="0" w:space="0" w:color="auto"/>
      </w:divBdr>
      <w:divsChild>
        <w:div w:id="402535189">
          <w:marLeft w:val="480"/>
          <w:marRight w:val="0"/>
          <w:marTop w:val="0"/>
          <w:marBottom w:val="48"/>
          <w:divBdr>
            <w:top w:val="none" w:sz="0" w:space="0" w:color="auto"/>
            <w:left w:val="none" w:sz="0" w:space="0" w:color="auto"/>
            <w:bottom w:val="none" w:sz="0" w:space="0" w:color="auto"/>
            <w:right w:val="none" w:sz="0" w:space="0" w:color="auto"/>
          </w:divBdr>
        </w:div>
        <w:div w:id="892621236">
          <w:marLeft w:val="480"/>
          <w:marRight w:val="0"/>
          <w:marTop w:val="0"/>
          <w:marBottom w:val="48"/>
          <w:divBdr>
            <w:top w:val="none" w:sz="0" w:space="0" w:color="auto"/>
            <w:left w:val="none" w:sz="0" w:space="0" w:color="auto"/>
            <w:bottom w:val="none" w:sz="0" w:space="0" w:color="auto"/>
            <w:right w:val="none" w:sz="0" w:space="0" w:color="auto"/>
          </w:divBdr>
        </w:div>
        <w:div w:id="1894074143">
          <w:marLeft w:val="480"/>
          <w:marRight w:val="0"/>
          <w:marTop w:val="0"/>
          <w:marBottom w:val="48"/>
          <w:divBdr>
            <w:top w:val="none" w:sz="0" w:space="0" w:color="auto"/>
            <w:left w:val="none" w:sz="0" w:space="0" w:color="auto"/>
            <w:bottom w:val="none" w:sz="0" w:space="0" w:color="auto"/>
            <w:right w:val="none" w:sz="0" w:space="0" w:color="auto"/>
          </w:divBdr>
        </w:div>
        <w:div w:id="2105221270">
          <w:marLeft w:val="480"/>
          <w:marRight w:val="0"/>
          <w:marTop w:val="0"/>
          <w:marBottom w:val="48"/>
          <w:divBdr>
            <w:top w:val="none" w:sz="0" w:space="0" w:color="auto"/>
            <w:left w:val="none" w:sz="0" w:space="0" w:color="auto"/>
            <w:bottom w:val="none" w:sz="0" w:space="0" w:color="auto"/>
            <w:right w:val="none" w:sz="0" w:space="0" w:color="auto"/>
          </w:divBdr>
        </w:div>
      </w:divsChild>
    </w:div>
    <w:div w:id="761342013">
      <w:bodyDiv w:val="1"/>
      <w:marLeft w:val="0"/>
      <w:marRight w:val="0"/>
      <w:marTop w:val="0"/>
      <w:marBottom w:val="0"/>
      <w:divBdr>
        <w:top w:val="none" w:sz="0" w:space="0" w:color="auto"/>
        <w:left w:val="none" w:sz="0" w:space="0" w:color="auto"/>
        <w:bottom w:val="none" w:sz="0" w:space="0" w:color="auto"/>
        <w:right w:val="none" w:sz="0" w:space="0" w:color="auto"/>
      </w:divBdr>
    </w:div>
    <w:div w:id="768239094">
      <w:bodyDiv w:val="1"/>
      <w:marLeft w:val="0"/>
      <w:marRight w:val="0"/>
      <w:marTop w:val="0"/>
      <w:marBottom w:val="0"/>
      <w:divBdr>
        <w:top w:val="none" w:sz="0" w:space="0" w:color="auto"/>
        <w:left w:val="none" w:sz="0" w:space="0" w:color="auto"/>
        <w:bottom w:val="none" w:sz="0" w:space="0" w:color="auto"/>
        <w:right w:val="none" w:sz="0" w:space="0" w:color="auto"/>
      </w:divBdr>
    </w:div>
    <w:div w:id="776295578">
      <w:bodyDiv w:val="1"/>
      <w:marLeft w:val="0"/>
      <w:marRight w:val="0"/>
      <w:marTop w:val="0"/>
      <w:marBottom w:val="0"/>
      <w:divBdr>
        <w:top w:val="none" w:sz="0" w:space="0" w:color="auto"/>
        <w:left w:val="none" w:sz="0" w:space="0" w:color="auto"/>
        <w:bottom w:val="none" w:sz="0" w:space="0" w:color="auto"/>
        <w:right w:val="none" w:sz="0" w:space="0" w:color="auto"/>
      </w:divBdr>
    </w:div>
    <w:div w:id="805397941">
      <w:bodyDiv w:val="1"/>
      <w:marLeft w:val="0"/>
      <w:marRight w:val="0"/>
      <w:marTop w:val="0"/>
      <w:marBottom w:val="0"/>
      <w:divBdr>
        <w:top w:val="none" w:sz="0" w:space="0" w:color="auto"/>
        <w:left w:val="none" w:sz="0" w:space="0" w:color="auto"/>
        <w:bottom w:val="none" w:sz="0" w:space="0" w:color="auto"/>
        <w:right w:val="none" w:sz="0" w:space="0" w:color="auto"/>
      </w:divBdr>
    </w:div>
    <w:div w:id="821190877">
      <w:bodyDiv w:val="1"/>
      <w:marLeft w:val="0"/>
      <w:marRight w:val="0"/>
      <w:marTop w:val="0"/>
      <w:marBottom w:val="0"/>
      <w:divBdr>
        <w:top w:val="none" w:sz="0" w:space="0" w:color="auto"/>
        <w:left w:val="none" w:sz="0" w:space="0" w:color="auto"/>
        <w:bottom w:val="none" w:sz="0" w:space="0" w:color="auto"/>
        <w:right w:val="none" w:sz="0" w:space="0" w:color="auto"/>
      </w:divBdr>
    </w:div>
    <w:div w:id="926499896">
      <w:bodyDiv w:val="1"/>
      <w:marLeft w:val="0"/>
      <w:marRight w:val="0"/>
      <w:marTop w:val="0"/>
      <w:marBottom w:val="0"/>
      <w:divBdr>
        <w:top w:val="none" w:sz="0" w:space="0" w:color="auto"/>
        <w:left w:val="none" w:sz="0" w:space="0" w:color="auto"/>
        <w:bottom w:val="none" w:sz="0" w:space="0" w:color="auto"/>
        <w:right w:val="none" w:sz="0" w:space="0" w:color="auto"/>
      </w:divBdr>
    </w:div>
    <w:div w:id="929774524">
      <w:bodyDiv w:val="1"/>
      <w:marLeft w:val="0"/>
      <w:marRight w:val="0"/>
      <w:marTop w:val="0"/>
      <w:marBottom w:val="0"/>
      <w:divBdr>
        <w:top w:val="none" w:sz="0" w:space="0" w:color="auto"/>
        <w:left w:val="none" w:sz="0" w:space="0" w:color="auto"/>
        <w:bottom w:val="none" w:sz="0" w:space="0" w:color="auto"/>
        <w:right w:val="none" w:sz="0" w:space="0" w:color="auto"/>
      </w:divBdr>
    </w:div>
    <w:div w:id="1128204952">
      <w:bodyDiv w:val="1"/>
      <w:marLeft w:val="0"/>
      <w:marRight w:val="0"/>
      <w:marTop w:val="0"/>
      <w:marBottom w:val="0"/>
      <w:divBdr>
        <w:top w:val="none" w:sz="0" w:space="0" w:color="auto"/>
        <w:left w:val="none" w:sz="0" w:space="0" w:color="auto"/>
        <w:bottom w:val="none" w:sz="0" w:space="0" w:color="auto"/>
        <w:right w:val="none" w:sz="0" w:space="0" w:color="auto"/>
      </w:divBdr>
    </w:div>
    <w:div w:id="1206455251">
      <w:bodyDiv w:val="1"/>
      <w:marLeft w:val="0"/>
      <w:marRight w:val="0"/>
      <w:marTop w:val="0"/>
      <w:marBottom w:val="0"/>
      <w:divBdr>
        <w:top w:val="none" w:sz="0" w:space="0" w:color="auto"/>
        <w:left w:val="none" w:sz="0" w:space="0" w:color="auto"/>
        <w:bottom w:val="none" w:sz="0" w:space="0" w:color="auto"/>
        <w:right w:val="none" w:sz="0" w:space="0" w:color="auto"/>
      </w:divBdr>
      <w:divsChild>
        <w:div w:id="258946901">
          <w:marLeft w:val="0"/>
          <w:marRight w:val="0"/>
          <w:marTop w:val="0"/>
          <w:marBottom w:val="0"/>
          <w:divBdr>
            <w:top w:val="none" w:sz="0" w:space="0" w:color="auto"/>
            <w:left w:val="none" w:sz="0" w:space="0" w:color="auto"/>
            <w:bottom w:val="none" w:sz="0" w:space="0" w:color="auto"/>
            <w:right w:val="none" w:sz="0" w:space="0" w:color="auto"/>
          </w:divBdr>
          <w:divsChild>
            <w:div w:id="2030980645">
              <w:marLeft w:val="0"/>
              <w:marRight w:val="0"/>
              <w:marTop w:val="0"/>
              <w:marBottom w:val="0"/>
              <w:divBdr>
                <w:top w:val="none" w:sz="0" w:space="0" w:color="auto"/>
                <w:left w:val="none" w:sz="0" w:space="0" w:color="auto"/>
                <w:bottom w:val="none" w:sz="0" w:space="0" w:color="auto"/>
                <w:right w:val="none" w:sz="0" w:space="0" w:color="auto"/>
              </w:divBdr>
            </w:div>
          </w:divsChild>
        </w:div>
        <w:div w:id="1740668266">
          <w:marLeft w:val="0"/>
          <w:marRight w:val="0"/>
          <w:marTop w:val="0"/>
          <w:marBottom w:val="0"/>
          <w:divBdr>
            <w:top w:val="none" w:sz="0" w:space="0" w:color="auto"/>
            <w:left w:val="none" w:sz="0" w:space="0" w:color="auto"/>
            <w:bottom w:val="none" w:sz="0" w:space="0" w:color="auto"/>
            <w:right w:val="none" w:sz="0" w:space="0" w:color="auto"/>
          </w:divBdr>
          <w:divsChild>
            <w:div w:id="1358196396">
              <w:marLeft w:val="0"/>
              <w:marRight w:val="0"/>
              <w:marTop w:val="0"/>
              <w:marBottom w:val="0"/>
              <w:divBdr>
                <w:top w:val="none" w:sz="0" w:space="0" w:color="auto"/>
                <w:left w:val="none" w:sz="0" w:space="0" w:color="auto"/>
                <w:bottom w:val="none" w:sz="0" w:space="0" w:color="auto"/>
                <w:right w:val="none" w:sz="0" w:space="0" w:color="auto"/>
              </w:divBdr>
            </w:div>
          </w:divsChild>
        </w:div>
        <w:div w:id="1039932443">
          <w:marLeft w:val="0"/>
          <w:marRight w:val="0"/>
          <w:marTop w:val="0"/>
          <w:marBottom w:val="0"/>
          <w:divBdr>
            <w:top w:val="none" w:sz="0" w:space="0" w:color="auto"/>
            <w:left w:val="none" w:sz="0" w:space="0" w:color="auto"/>
            <w:bottom w:val="none" w:sz="0" w:space="0" w:color="auto"/>
            <w:right w:val="none" w:sz="0" w:space="0" w:color="auto"/>
          </w:divBdr>
          <w:divsChild>
            <w:div w:id="1897234049">
              <w:marLeft w:val="0"/>
              <w:marRight w:val="0"/>
              <w:marTop w:val="0"/>
              <w:marBottom w:val="0"/>
              <w:divBdr>
                <w:top w:val="none" w:sz="0" w:space="0" w:color="auto"/>
                <w:left w:val="none" w:sz="0" w:space="0" w:color="auto"/>
                <w:bottom w:val="none" w:sz="0" w:space="0" w:color="auto"/>
                <w:right w:val="none" w:sz="0" w:space="0" w:color="auto"/>
              </w:divBdr>
            </w:div>
          </w:divsChild>
        </w:div>
        <w:div w:id="2047171895">
          <w:marLeft w:val="0"/>
          <w:marRight w:val="0"/>
          <w:marTop w:val="0"/>
          <w:marBottom w:val="0"/>
          <w:divBdr>
            <w:top w:val="none" w:sz="0" w:space="0" w:color="auto"/>
            <w:left w:val="none" w:sz="0" w:space="0" w:color="auto"/>
            <w:bottom w:val="none" w:sz="0" w:space="0" w:color="auto"/>
            <w:right w:val="none" w:sz="0" w:space="0" w:color="auto"/>
          </w:divBdr>
          <w:divsChild>
            <w:div w:id="1251234191">
              <w:marLeft w:val="0"/>
              <w:marRight w:val="0"/>
              <w:marTop w:val="0"/>
              <w:marBottom w:val="0"/>
              <w:divBdr>
                <w:top w:val="none" w:sz="0" w:space="0" w:color="auto"/>
                <w:left w:val="none" w:sz="0" w:space="0" w:color="auto"/>
                <w:bottom w:val="none" w:sz="0" w:space="0" w:color="auto"/>
                <w:right w:val="none" w:sz="0" w:space="0" w:color="auto"/>
              </w:divBdr>
            </w:div>
          </w:divsChild>
        </w:div>
        <w:div w:id="1902986692">
          <w:marLeft w:val="0"/>
          <w:marRight w:val="0"/>
          <w:marTop w:val="0"/>
          <w:marBottom w:val="0"/>
          <w:divBdr>
            <w:top w:val="none" w:sz="0" w:space="0" w:color="auto"/>
            <w:left w:val="none" w:sz="0" w:space="0" w:color="auto"/>
            <w:bottom w:val="none" w:sz="0" w:space="0" w:color="auto"/>
            <w:right w:val="none" w:sz="0" w:space="0" w:color="auto"/>
          </w:divBdr>
          <w:divsChild>
            <w:div w:id="74051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82135">
      <w:bodyDiv w:val="1"/>
      <w:marLeft w:val="0"/>
      <w:marRight w:val="0"/>
      <w:marTop w:val="0"/>
      <w:marBottom w:val="0"/>
      <w:divBdr>
        <w:top w:val="none" w:sz="0" w:space="0" w:color="auto"/>
        <w:left w:val="none" w:sz="0" w:space="0" w:color="auto"/>
        <w:bottom w:val="none" w:sz="0" w:space="0" w:color="auto"/>
        <w:right w:val="none" w:sz="0" w:space="0" w:color="auto"/>
      </w:divBdr>
    </w:div>
    <w:div w:id="1266616227">
      <w:bodyDiv w:val="1"/>
      <w:marLeft w:val="0"/>
      <w:marRight w:val="0"/>
      <w:marTop w:val="0"/>
      <w:marBottom w:val="0"/>
      <w:divBdr>
        <w:top w:val="none" w:sz="0" w:space="0" w:color="auto"/>
        <w:left w:val="none" w:sz="0" w:space="0" w:color="auto"/>
        <w:bottom w:val="none" w:sz="0" w:space="0" w:color="auto"/>
        <w:right w:val="none" w:sz="0" w:space="0" w:color="auto"/>
      </w:divBdr>
      <w:divsChild>
        <w:div w:id="186607121">
          <w:marLeft w:val="480"/>
          <w:marRight w:val="0"/>
          <w:marTop w:val="0"/>
          <w:marBottom w:val="48"/>
          <w:divBdr>
            <w:top w:val="none" w:sz="0" w:space="0" w:color="auto"/>
            <w:left w:val="none" w:sz="0" w:space="0" w:color="auto"/>
            <w:bottom w:val="none" w:sz="0" w:space="0" w:color="auto"/>
            <w:right w:val="none" w:sz="0" w:space="0" w:color="auto"/>
          </w:divBdr>
        </w:div>
        <w:div w:id="899285669">
          <w:marLeft w:val="480"/>
          <w:marRight w:val="0"/>
          <w:marTop w:val="0"/>
          <w:marBottom w:val="48"/>
          <w:divBdr>
            <w:top w:val="none" w:sz="0" w:space="0" w:color="auto"/>
            <w:left w:val="none" w:sz="0" w:space="0" w:color="auto"/>
            <w:bottom w:val="none" w:sz="0" w:space="0" w:color="auto"/>
            <w:right w:val="none" w:sz="0" w:space="0" w:color="auto"/>
          </w:divBdr>
        </w:div>
      </w:divsChild>
    </w:div>
    <w:div w:id="1420904611">
      <w:bodyDiv w:val="1"/>
      <w:marLeft w:val="0"/>
      <w:marRight w:val="0"/>
      <w:marTop w:val="0"/>
      <w:marBottom w:val="0"/>
      <w:divBdr>
        <w:top w:val="none" w:sz="0" w:space="0" w:color="auto"/>
        <w:left w:val="none" w:sz="0" w:space="0" w:color="auto"/>
        <w:bottom w:val="none" w:sz="0" w:space="0" w:color="auto"/>
        <w:right w:val="none" w:sz="0" w:space="0" w:color="auto"/>
      </w:divBdr>
    </w:div>
    <w:div w:id="1459446316">
      <w:bodyDiv w:val="1"/>
      <w:marLeft w:val="0"/>
      <w:marRight w:val="0"/>
      <w:marTop w:val="0"/>
      <w:marBottom w:val="0"/>
      <w:divBdr>
        <w:top w:val="none" w:sz="0" w:space="0" w:color="auto"/>
        <w:left w:val="none" w:sz="0" w:space="0" w:color="auto"/>
        <w:bottom w:val="none" w:sz="0" w:space="0" w:color="auto"/>
        <w:right w:val="none" w:sz="0" w:space="0" w:color="auto"/>
      </w:divBdr>
    </w:div>
    <w:div w:id="1462533787">
      <w:bodyDiv w:val="1"/>
      <w:marLeft w:val="0"/>
      <w:marRight w:val="0"/>
      <w:marTop w:val="0"/>
      <w:marBottom w:val="0"/>
      <w:divBdr>
        <w:top w:val="none" w:sz="0" w:space="0" w:color="auto"/>
        <w:left w:val="none" w:sz="0" w:space="0" w:color="auto"/>
        <w:bottom w:val="none" w:sz="0" w:space="0" w:color="auto"/>
        <w:right w:val="none" w:sz="0" w:space="0" w:color="auto"/>
      </w:divBdr>
    </w:div>
    <w:div w:id="1485663655">
      <w:bodyDiv w:val="1"/>
      <w:marLeft w:val="0"/>
      <w:marRight w:val="0"/>
      <w:marTop w:val="0"/>
      <w:marBottom w:val="0"/>
      <w:divBdr>
        <w:top w:val="none" w:sz="0" w:space="0" w:color="auto"/>
        <w:left w:val="none" w:sz="0" w:space="0" w:color="auto"/>
        <w:bottom w:val="none" w:sz="0" w:space="0" w:color="auto"/>
        <w:right w:val="none" w:sz="0" w:space="0" w:color="auto"/>
      </w:divBdr>
    </w:div>
    <w:div w:id="1520001695">
      <w:bodyDiv w:val="1"/>
      <w:marLeft w:val="0"/>
      <w:marRight w:val="0"/>
      <w:marTop w:val="0"/>
      <w:marBottom w:val="0"/>
      <w:divBdr>
        <w:top w:val="none" w:sz="0" w:space="0" w:color="auto"/>
        <w:left w:val="none" w:sz="0" w:space="0" w:color="auto"/>
        <w:bottom w:val="none" w:sz="0" w:space="0" w:color="auto"/>
        <w:right w:val="none" w:sz="0" w:space="0" w:color="auto"/>
      </w:divBdr>
    </w:div>
    <w:div w:id="1560751283">
      <w:bodyDiv w:val="1"/>
      <w:marLeft w:val="0"/>
      <w:marRight w:val="0"/>
      <w:marTop w:val="0"/>
      <w:marBottom w:val="0"/>
      <w:divBdr>
        <w:top w:val="none" w:sz="0" w:space="0" w:color="auto"/>
        <w:left w:val="none" w:sz="0" w:space="0" w:color="auto"/>
        <w:bottom w:val="none" w:sz="0" w:space="0" w:color="auto"/>
        <w:right w:val="none" w:sz="0" w:space="0" w:color="auto"/>
      </w:divBdr>
    </w:div>
    <w:div w:id="1635022648">
      <w:bodyDiv w:val="1"/>
      <w:marLeft w:val="0"/>
      <w:marRight w:val="0"/>
      <w:marTop w:val="0"/>
      <w:marBottom w:val="0"/>
      <w:divBdr>
        <w:top w:val="none" w:sz="0" w:space="0" w:color="auto"/>
        <w:left w:val="none" w:sz="0" w:space="0" w:color="auto"/>
        <w:bottom w:val="none" w:sz="0" w:space="0" w:color="auto"/>
        <w:right w:val="none" w:sz="0" w:space="0" w:color="auto"/>
      </w:divBdr>
    </w:div>
    <w:div w:id="1644308779">
      <w:bodyDiv w:val="1"/>
      <w:marLeft w:val="0"/>
      <w:marRight w:val="0"/>
      <w:marTop w:val="0"/>
      <w:marBottom w:val="0"/>
      <w:divBdr>
        <w:top w:val="none" w:sz="0" w:space="0" w:color="auto"/>
        <w:left w:val="none" w:sz="0" w:space="0" w:color="auto"/>
        <w:bottom w:val="none" w:sz="0" w:space="0" w:color="auto"/>
        <w:right w:val="none" w:sz="0" w:space="0" w:color="auto"/>
      </w:divBdr>
    </w:div>
    <w:div w:id="1649284910">
      <w:bodyDiv w:val="1"/>
      <w:marLeft w:val="0"/>
      <w:marRight w:val="0"/>
      <w:marTop w:val="0"/>
      <w:marBottom w:val="0"/>
      <w:divBdr>
        <w:top w:val="none" w:sz="0" w:space="0" w:color="auto"/>
        <w:left w:val="none" w:sz="0" w:space="0" w:color="auto"/>
        <w:bottom w:val="none" w:sz="0" w:space="0" w:color="auto"/>
        <w:right w:val="none" w:sz="0" w:space="0" w:color="auto"/>
      </w:divBdr>
    </w:div>
    <w:div w:id="1684473906">
      <w:bodyDiv w:val="1"/>
      <w:marLeft w:val="0"/>
      <w:marRight w:val="0"/>
      <w:marTop w:val="0"/>
      <w:marBottom w:val="0"/>
      <w:divBdr>
        <w:top w:val="none" w:sz="0" w:space="0" w:color="auto"/>
        <w:left w:val="none" w:sz="0" w:space="0" w:color="auto"/>
        <w:bottom w:val="none" w:sz="0" w:space="0" w:color="auto"/>
        <w:right w:val="none" w:sz="0" w:space="0" w:color="auto"/>
      </w:divBdr>
    </w:div>
    <w:div w:id="1732850757">
      <w:bodyDiv w:val="1"/>
      <w:marLeft w:val="0"/>
      <w:marRight w:val="0"/>
      <w:marTop w:val="0"/>
      <w:marBottom w:val="0"/>
      <w:divBdr>
        <w:top w:val="none" w:sz="0" w:space="0" w:color="auto"/>
        <w:left w:val="none" w:sz="0" w:space="0" w:color="auto"/>
        <w:bottom w:val="none" w:sz="0" w:space="0" w:color="auto"/>
        <w:right w:val="none" w:sz="0" w:space="0" w:color="auto"/>
      </w:divBdr>
      <w:divsChild>
        <w:div w:id="924648697">
          <w:marLeft w:val="0"/>
          <w:marRight w:val="0"/>
          <w:marTop w:val="0"/>
          <w:marBottom w:val="0"/>
          <w:divBdr>
            <w:top w:val="none" w:sz="0" w:space="0" w:color="auto"/>
            <w:left w:val="none" w:sz="0" w:space="0" w:color="auto"/>
            <w:bottom w:val="none" w:sz="0" w:space="0" w:color="auto"/>
            <w:right w:val="none" w:sz="0" w:space="0" w:color="auto"/>
          </w:divBdr>
          <w:divsChild>
            <w:div w:id="170875244">
              <w:marLeft w:val="0"/>
              <w:marRight w:val="0"/>
              <w:marTop w:val="0"/>
              <w:marBottom w:val="0"/>
              <w:divBdr>
                <w:top w:val="none" w:sz="0" w:space="0" w:color="auto"/>
                <w:left w:val="none" w:sz="0" w:space="0" w:color="auto"/>
                <w:bottom w:val="none" w:sz="0" w:space="0" w:color="auto"/>
                <w:right w:val="none" w:sz="0" w:space="0" w:color="auto"/>
              </w:divBdr>
              <w:divsChild>
                <w:div w:id="806510852">
                  <w:marLeft w:val="0"/>
                  <w:marRight w:val="0"/>
                  <w:marTop w:val="0"/>
                  <w:marBottom w:val="0"/>
                  <w:divBdr>
                    <w:top w:val="none" w:sz="0" w:space="0" w:color="auto"/>
                    <w:left w:val="none" w:sz="0" w:space="0" w:color="auto"/>
                    <w:bottom w:val="none" w:sz="0" w:space="0" w:color="auto"/>
                    <w:right w:val="none" w:sz="0" w:space="0" w:color="auto"/>
                  </w:divBdr>
                </w:div>
                <w:div w:id="1276060389">
                  <w:marLeft w:val="0"/>
                  <w:marRight w:val="0"/>
                  <w:marTop w:val="0"/>
                  <w:marBottom w:val="0"/>
                  <w:divBdr>
                    <w:top w:val="none" w:sz="0" w:space="0" w:color="auto"/>
                    <w:left w:val="none" w:sz="0" w:space="0" w:color="auto"/>
                    <w:bottom w:val="none" w:sz="0" w:space="0" w:color="auto"/>
                    <w:right w:val="none" w:sz="0" w:space="0" w:color="auto"/>
                  </w:divBdr>
                </w:div>
              </w:divsChild>
            </w:div>
            <w:div w:id="898707114">
              <w:marLeft w:val="0"/>
              <w:marRight w:val="0"/>
              <w:marTop w:val="0"/>
              <w:marBottom w:val="0"/>
              <w:divBdr>
                <w:top w:val="none" w:sz="0" w:space="0" w:color="auto"/>
                <w:left w:val="none" w:sz="0" w:space="0" w:color="auto"/>
                <w:bottom w:val="none" w:sz="0" w:space="0" w:color="auto"/>
                <w:right w:val="none" w:sz="0" w:space="0" w:color="auto"/>
              </w:divBdr>
              <w:divsChild>
                <w:div w:id="697661011">
                  <w:marLeft w:val="0"/>
                  <w:marRight w:val="0"/>
                  <w:marTop w:val="0"/>
                  <w:marBottom w:val="0"/>
                  <w:divBdr>
                    <w:top w:val="none" w:sz="0" w:space="0" w:color="auto"/>
                    <w:left w:val="none" w:sz="0" w:space="0" w:color="auto"/>
                    <w:bottom w:val="none" w:sz="0" w:space="0" w:color="auto"/>
                    <w:right w:val="none" w:sz="0" w:space="0" w:color="auto"/>
                  </w:divBdr>
                </w:div>
                <w:div w:id="1829204261">
                  <w:marLeft w:val="0"/>
                  <w:marRight w:val="0"/>
                  <w:marTop w:val="0"/>
                  <w:marBottom w:val="0"/>
                  <w:divBdr>
                    <w:top w:val="none" w:sz="0" w:space="0" w:color="auto"/>
                    <w:left w:val="none" w:sz="0" w:space="0" w:color="auto"/>
                    <w:bottom w:val="none" w:sz="0" w:space="0" w:color="auto"/>
                    <w:right w:val="none" w:sz="0" w:space="0" w:color="auto"/>
                  </w:divBdr>
                </w:div>
              </w:divsChild>
            </w:div>
            <w:div w:id="1265767383">
              <w:marLeft w:val="0"/>
              <w:marRight w:val="0"/>
              <w:marTop w:val="0"/>
              <w:marBottom w:val="0"/>
              <w:divBdr>
                <w:top w:val="none" w:sz="0" w:space="0" w:color="auto"/>
                <w:left w:val="none" w:sz="0" w:space="0" w:color="auto"/>
                <w:bottom w:val="none" w:sz="0" w:space="0" w:color="auto"/>
                <w:right w:val="none" w:sz="0" w:space="0" w:color="auto"/>
              </w:divBdr>
              <w:divsChild>
                <w:div w:id="138991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532476">
          <w:marLeft w:val="0"/>
          <w:marRight w:val="0"/>
          <w:marTop w:val="240"/>
          <w:marBottom w:val="0"/>
          <w:divBdr>
            <w:top w:val="none" w:sz="0" w:space="0" w:color="auto"/>
            <w:left w:val="none" w:sz="0" w:space="0" w:color="auto"/>
            <w:bottom w:val="none" w:sz="0" w:space="0" w:color="auto"/>
            <w:right w:val="none" w:sz="0" w:space="0" w:color="auto"/>
          </w:divBdr>
          <w:divsChild>
            <w:div w:id="1189759027">
              <w:marLeft w:val="0"/>
              <w:marRight w:val="0"/>
              <w:marTop w:val="0"/>
              <w:marBottom w:val="0"/>
              <w:divBdr>
                <w:top w:val="none" w:sz="0" w:space="6" w:color="auto"/>
                <w:left w:val="none" w:sz="0" w:space="0" w:color="auto"/>
                <w:bottom w:val="dotted" w:sz="6" w:space="6" w:color="DDDDDD"/>
                <w:right w:val="none" w:sz="0" w:space="0" w:color="auto"/>
              </w:divBdr>
              <w:divsChild>
                <w:div w:id="842083370">
                  <w:marLeft w:val="0"/>
                  <w:marRight w:val="0"/>
                  <w:marTop w:val="0"/>
                  <w:marBottom w:val="0"/>
                  <w:divBdr>
                    <w:top w:val="none" w:sz="0" w:space="0" w:color="auto"/>
                    <w:left w:val="none" w:sz="0" w:space="0" w:color="auto"/>
                    <w:bottom w:val="none" w:sz="0" w:space="0" w:color="auto"/>
                    <w:right w:val="none" w:sz="0" w:space="0" w:color="auto"/>
                  </w:divBdr>
                </w:div>
                <w:div w:id="1222138180">
                  <w:marLeft w:val="0"/>
                  <w:marRight w:val="0"/>
                  <w:marTop w:val="0"/>
                  <w:marBottom w:val="0"/>
                  <w:divBdr>
                    <w:top w:val="none" w:sz="0" w:space="0" w:color="auto"/>
                    <w:left w:val="none" w:sz="0" w:space="0" w:color="auto"/>
                    <w:bottom w:val="none" w:sz="0" w:space="0" w:color="auto"/>
                    <w:right w:val="none" w:sz="0" w:space="0" w:color="auto"/>
                  </w:divBdr>
                </w:div>
                <w:div w:id="1377312005">
                  <w:marLeft w:val="1440"/>
                  <w:marRight w:val="0"/>
                  <w:marTop w:val="0"/>
                  <w:marBottom w:val="0"/>
                  <w:divBdr>
                    <w:top w:val="none" w:sz="0" w:space="0" w:color="auto"/>
                    <w:left w:val="none" w:sz="0" w:space="0" w:color="auto"/>
                    <w:bottom w:val="none" w:sz="0" w:space="0" w:color="auto"/>
                    <w:right w:val="none" w:sz="0" w:space="0" w:color="auto"/>
                  </w:divBdr>
                  <w:divsChild>
                    <w:div w:id="1563903697">
                      <w:marLeft w:val="480"/>
                      <w:marRight w:val="0"/>
                      <w:marTop w:val="0"/>
                      <w:marBottom w:val="0"/>
                      <w:divBdr>
                        <w:top w:val="none" w:sz="0" w:space="0" w:color="auto"/>
                        <w:left w:val="none" w:sz="0" w:space="0" w:color="auto"/>
                        <w:bottom w:val="none" w:sz="0" w:space="0" w:color="auto"/>
                        <w:right w:val="none" w:sz="0" w:space="0" w:color="auto"/>
                      </w:divBdr>
                      <w:divsChild>
                        <w:div w:id="1620910155">
                          <w:marLeft w:val="0"/>
                          <w:marRight w:val="0"/>
                          <w:marTop w:val="0"/>
                          <w:marBottom w:val="0"/>
                          <w:divBdr>
                            <w:top w:val="none" w:sz="0" w:space="0" w:color="auto"/>
                            <w:left w:val="none" w:sz="0" w:space="0" w:color="auto"/>
                            <w:bottom w:val="none" w:sz="0" w:space="0" w:color="auto"/>
                            <w:right w:val="none" w:sz="0" w:space="0" w:color="auto"/>
                          </w:divBdr>
                        </w:div>
                        <w:div w:id="199297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4731123">
      <w:bodyDiv w:val="1"/>
      <w:marLeft w:val="0"/>
      <w:marRight w:val="0"/>
      <w:marTop w:val="0"/>
      <w:marBottom w:val="0"/>
      <w:divBdr>
        <w:top w:val="none" w:sz="0" w:space="0" w:color="auto"/>
        <w:left w:val="none" w:sz="0" w:space="0" w:color="auto"/>
        <w:bottom w:val="none" w:sz="0" w:space="0" w:color="auto"/>
        <w:right w:val="none" w:sz="0" w:space="0" w:color="auto"/>
      </w:divBdr>
    </w:div>
    <w:div w:id="1834103500">
      <w:bodyDiv w:val="1"/>
      <w:marLeft w:val="0"/>
      <w:marRight w:val="0"/>
      <w:marTop w:val="0"/>
      <w:marBottom w:val="0"/>
      <w:divBdr>
        <w:top w:val="none" w:sz="0" w:space="0" w:color="auto"/>
        <w:left w:val="none" w:sz="0" w:space="0" w:color="auto"/>
        <w:bottom w:val="none" w:sz="0" w:space="0" w:color="auto"/>
        <w:right w:val="none" w:sz="0" w:space="0" w:color="auto"/>
      </w:divBdr>
    </w:div>
    <w:div w:id="1892643900">
      <w:bodyDiv w:val="1"/>
      <w:marLeft w:val="0"/>
      <w:marRight w:val="0"/>
      <w:marTop w:val="0"/>
      <w:marBottom w:val="0"/>
      <w:divBdr>
        <w:top w:val="none" w:sz="0" w:space="0" w:color="auto"/>
        <w:left w:val="none" w:sz="0" w:space="0" w:color="auto"/>
        <w:bottom w:val="none" w:sz="0" w:space="0" w:color="auto"/>
        <w:right w:val="none" w:sz="0" w:space="0" w:color="auto"/>
      </w:divBdr>
    </w:div>
    <w:div w:id="1959490484">
      <w:bodyDiv w:val="1"/>
      <w:marLeft w:val="0"/>
      <w:marRight w:val="0"/>
      <w:marTop w:val="0"/>
      <w:marBottom w:val="0"/>
      <w:divBdr>
        <w:top w:val="none" w:sz="0" w:space="0" w:color="auto"/>
        <w:left w:val="none" w:sz="0" w:space="0" w:color="auto"/>
        <w:bottom w:val="none" w:sz="0" w:space="0" w:color="auto"/>
        <w:right w:val="none" w:sz="0" w:space="0" w:color="auto"/>
      </w:divBdr>
    </w:div>
    <w:div w:id="199814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41B62-6689-4863-B42F-3354EA245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10</TotalTime>
  <Pages>21</Pages>
  <Words>1895</Words>
  <Characters>10808</Characters>
  <Application>Microsoft Office Word</Application>
  <DocSecurity>0</DocSecurity>
  <Lines>90</Lines>
  <Paragraphs>25</Paragraphs>
  <ScaleCrop>false</ScaleCrop>
  <Company>cy</Company>
  <LinksUpToDate>false</LinksUpToDate>
  <CharactersWithSpaces>12678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subject/>
  <dc:creator>陳宏彰</dc:creator>
  <cp:keywords/>
  <dc:description/>
  <cp:lastModifiedBy>柯博修</cp:lastModifiedBy>
  <cp:revision>2</cp:revision>
  <cp:lastPrinted>2026-07-09T02:17:00Z</cp:lastPrinted>
  <dcterms:created xsi:type="dcterms:W3CDTF">2026-07-15T03:37:00Z</dcterms:created>
  <dcterms:modified xsi:type="dcterms:W3CDTF">2026-07-15T03:37:00Z</dcterms:modified>
</cp:coreProperties>
</file>