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7777777" w:rsidR="00D75644" w:rsidRPr="00DA5594" w:rsidRDefault="00D20D26" w:rsidP="00F37D7B">
      <w:pPr>
        <w:pStyle w:val="af2"/>
        <w:rPr>
          <w:b w:val="0"/>
          <w:bCs/>
          <w:color w:val="000000" w:themeColor="text1"/>
        </w:rPr>
      </w:pPr>
      <w:r w:rsidRPr="00DA5594">
        <w:rPr>
          <w:rFonts w:hint="eastAsia"/>
          <w:b w:val="0"/>
          <w:bCs/>
          <w:color w:val="000000" w:themeColor="text1"/>
        </w:rPr>
        <w:t>調查報告</w:t>
      </w:r>
    </w:p>
    <w:p w14:paraId="04EB3BCD" w14:textId="45518C52" w:rsidR="00E25849" w:rsidRPr="00DA5594"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A5594">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E7509" w:rsidRPr="00DA5594">
        <w:rPr>
          <w:rFonts w:hAnsi="標楷體" w:hint="eastAsia"/>
          <w:color w:val="000000" w:themeColor="text1"/>
        </w:rPr>
        <w:t>近年中央政府總預算經常出現「稅收超徵」情形，從而引起應否「</w:t>
      </w:r>
      <w:proofErr w:type="gramStart"/>
      <w:r w:rsidR="00DE7509" w:rsidRPr="00DA5594">
        <w:rPr>
          <w:rFonts w:hAnsi="標楷體" w:hint="eastAsia"/>
          <w:color w:val="000000" w:themeColor="text1"/>
        </w:rPr>
        <w:t>還稅於</w:t>
      </w:r>
      <w:proofErr w:type="gramEnd"/>
      <w:r w:rsidR="00DE7509" w:rsidRPr="00DA5594">
        <w:rPr>
          <w:rFonts w:hAnsi="標楷體" w:hint="eastAsia"/>
          <w:color w:val="000000" w:themeColor="text1"/>
        </w:rPr>
        <w:t>民」爭議。</w:t>
      </w:r>
      <w:proofErr w:type="gramStart"/>
      <w:r w:rsidR="00DE7509" w:rsidRPr="00DA5594">
        <w:rPr>
          <w:rFonts w:hAnsi="標楷體" w:hint="eastAsia"/>
          <w:color w:val="000000" w:themeColor="text1"/>
        </w:rPr>
        <w:t>惟此溢收</w:t>
      </w:r>
      <w:proofErr w:type="gramEnd"/>
      <w:r w:rsidR="00DE7509" w:rsidRPr="00DA5594">
        <w:rPr>
          <w:rFonts w:hAnsi="標楷體" w:hint="eastAsia"/>
          <w:color w:val="000000" w:themeColor="text1"/>
        </w:rPr>
        <w:t>稅款乃歲入預算低估所致，實為「</w:t>
      </w:r>
      <w:proofErr w:type="gramStart"/>
      <w:r w:rsidR="00DE7509" w:rsidRPr="00DA5594">
        <w:rPr>
          <w:rFonts w:hAnsi="標楷體" w:hint="eastAsia"/>
          <w:color w:val="000000" w:themeColor="text1"/>
        </w:rPr>
        <w:t>短估金額</w:t>
      </w:r>
      <w:proofErr w:type="gramEnd"/>
      <w:r w:rsidR="00DE7509" w:rsidRPr="00DA5594">
        <w:rPr>
          <w:rFonts w:hAnsi="標楷體" w:hint="eastAsia"/>
          <w:color w:val="000000" w:themeColor="text1"/>
        </w:rPr>
        <w:t>」，與</w:t>
      </w:r>
      <w:proofErr w:type="gramStart"/>
      <w:r w:rsidR="00DE7509" w:rsidRPr="00DA5594">
        <w:rPr>
          <w:rFonts w:hAnsi="標楷體" w:hint="eastAsia"/>
          <w:color w:val="000000" w:themeColor="text1"/>
        </w:rPr>
        <w:t>稽</w:t>
      </w:r>
      <w:proofErr w:type="gramEnd"/>
      <w:r w:rsidR="00DE7509" w:rsidRPr="00DA5594">
        <w:rPr>
          <w:rFonts w:hAnsi="標楷體" w:hint="eastAsia"/>
          <w:color w:val="000000" w:themeColor="text1"/>
        </w:rPr>
        <w:t>徵績效之提升無關。然財政部歷年歲入預算數與實際徵收數間存在長期而顯著之落差，其預算編列方式</w:t>
      </w:r>
      <w:proofErr w:type="gramStart"/>
      <w:r w:rsidR="00DE7509" w:rsidRPr="00DA5594">
        <w:rPr>
          <w:rFonts w:hAnsi="標楷體" w:hint="eastAsia"/>
          <w:color w:val="000000" w:themeColor="text1"/>
        </w:rPr>
        <w:t>疑</w:t>
      </w:r>
      <w:proofErr w:type="gramEnd"/>
      <w:r w:rsidR="00DE7509" w:rsidRPr="00DA5594">
        <w:rPr>
          <w:rFonts w:hAnsi="標楷體" w:hint="eastAsia"/>
          <w:color w:val="000000" w:themeColor="text1"/>
        </w:rPr>
        <w:t>有</w:t>
      </w:r>
      <w:proofErr w:type="gramStart"/>
      <w:r w:rsidR="00DE7509" w:rsidRPr="00DA5594">
        <w:rPr>
          <w:rFonts w:hAnsi="標楷體" w:hint="eastAsia"/>
          <w:color w:val="000000" w:themeColor="text1"/>
        </w:rPr>
        <w:t>短估以美化稽</w:t>
      </w:r>
      <w:proofErr w:type="gramEnd"/>
      <w:r w:rsidR="00DE7509" w:rsidRPr="00DA5594">
        <w:rPr>
          <w:rFonts w:hAnsi="標楷體" w:hint="eastAsia"/>
          <w:color w:val="000000" w:themeColor="text1"/>
        </w:rPr>
        <w:t>徵績效之疑慮。此不僅影響預算之準確性與透明度，亦可能造成</w:t>
      </w:r>
      <w:bookmarkStart w:id="25" w:name="_Hlk223441661"/>
      <w:r w:rsidR="00DE7509" w:rsidRPr="00DA5594">
        <w:rPr>
          <w:rFonts w:hAnsi="標楷體" w:hint="eastAsia"/>
          <w:color w:val="000000" w:themeColor="text1"/>
        </w:rPr>
        <w:t>財政紀律與民主審查機制之侵蝕</w:t>
      </w:r>
      <w:bookmarkEnd w:id="25"/>
      <w:r w:rsidR="00DE7509" w:rsidRPr="00DA5594">
        <w:rPr>
          <w:rFonts w:hAnsi="標楷體" w:hint="eastAsia"/>
          <w:color w:val="000000" w:themeColor="text1"/>
        </w:rPr>
        <w:t>，有深入瞭解之必要案。</w:t>
      </w:r>
    </w:p>
    <w:p w14:paraId="38053FD5" w14:textId="77777777" w:rsidR="00E25849" w:rsidRPr="00DA5594"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DA5594">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C6EAF90" w14:textId="4A91FAB3" w:rsidR="004F6710" w:rsidRPr="00DA5594" w:rsidRDefault="003F34CD" w:rsidP="00A639F4">
      <w:pPr>
        <w:pStyle w:val="10"/>
        <w:ind w:left="680" w:firstLine="680"/>
        <w:rPr>
          <w:bCs/>
          <w:color w:val="000000" w:themeColor="text1"/>
        </w:rPr>
      </w:pPr>
      <w:bookmarkStart w:id="50" w:name="_Toc524902730"/>
      <w:r w:rsidRPr="00DA5594">
        <w:rPr>
          <w:rFonts w:hAnsi="標楷體" w:hint="eastAsia"/>
          <w:color w:val="000000" w:themeColor="text1"/>
        </w:rPr>
        <w:t>近年中央政府總預算經常出現「稅收超徵」情形，從而引起應否「</w:t>
      </w:r>
      <w:proofErr w:type="gramStart"/>
      <w:r w:rsidRPr="00DA5594">
        <w:rPr>
          <w:rFonts w:hAnsi="標楷體" w:hint="eastAsia"/>
          <w:color w:val="000000" w:themeColor="text1"/>
        </w:rPr>
        <w:t>還稅於</w:t>
      </w:r>
      <w:proofErr w:type="gramEnd"/>
      <w:r w:rsidRPr="00DA5594">
        <w:rPr>
          <w:rFonts w:hAnsi="標楷體" w:hint="eastAsia"/>
          <w:color w:val="000000" w:themeColor="text1"/>
        </w:rPr>
        <w:t>民」爭議。</w:t>
      </w:r>
      <w:proofErr w:type="gramStart"/>
      <w:r w:rsidRPr="00DA5594">
        <w:rPr>
          <w:rFonts w:hAnsi="標楷體" w:hint="eastAsia"/>
          <w:color w:val="000000" w:themeColor="text1"/>
        </w:rPr>
        <w:t>惟此溢收</w:t>
      </w:r>
      <w:proofErr w:type="gramEnd"/>
      <w:r w:rsidRPr="00DA5594">
        <w:rPr>
          <w:rFonts w:hAnsi="標楷體" w:hint="eastAsia"/>
          <w:color w:val="000000" w:themeColor="text1"/>
        </w:rPr>
        <w:t>稅款乃歲入預算低估所致，實為「</w:t>
      </w:r>
      <w:proofErr w:type="gramStart"/>
      <w:r w:rsidRPr="00DA5594">
        <w:rPr>
          <w:rFonts w:hAnsi="標楷體" w:hint="eastAsia"/>
          <w:color w:val="000000" w:themeColor="text1"/>
        </w:rPr>
        <w:t>短估金額</w:t>
      </w:r>
      <w:proofErr w:type="gramEnd"/>
      <w:r w:rsidRPr="00DA5594">
        <w:rPr>
          <w:rFonts w:hAnsi="標楷體" w:hint="eastAsia"/>
          <w:color w:val="000000" w:themeColor="text1"/>
        </w:rPr>
        <w:t>」，與</w:t>
      </w:r>
      <w:proofErr w:type="gramStart"/>
      <w:r w:rsidRPr="00DA5594">
        <w:rPr>
          <w:rFonts w:hAnsi="標楷體" w:hint="eastAsia"/>
          <w:color w:val="000000" w:themeColor="text1"/>
        </w:rPr>
        <w:t>稽</w:t>
      </w:r>
      <w:proofErr w:type="gramEnd"/>
      <w:r w:rsidRPr="00DA5594">
        <w:rPr>
          <w:rFonts w:hAnsi="標楷體" w:hint="eastAsia"/>
          <w:color w:val="000000" w:themeColor="text1"/>
        </w:rPr>
        <w:t>徵績效之提升無關。然財政部歷年歲入預算數與實際徵收數間存在長期而顯著之落差，其預算編列方式</w:t>
      </w:r>
      <w:proofErr w:type="gramStart"/>
      <w:r w:rsidRPr="00DA5594">
        <w:rPr>
          <w:rFonts w:hAnsi="標楷體" w:hint="eastAsia"/>
          <w:color w:val="000000" w:themeColor="text1"/>
        </w:rPr>
        <w:t>疑</w:t>
      </w:r>
      <w:proofErr w:type="gramEnd"/>
      <w:r w:rsidRPr="00DA5594">
        <w:rPr>
          <w:rFonts w:hAnsi="標楷體" w:hint="eastAsia"/>
          <w:color w:val="000000" w:themeColor="text1"/>
        </w:rPr>
        <w:t>有</w:t>
      </w:r>
      <w:proofErr w:type="gramStart"/>
      <w:r w:rsidRPr="00DA5594">
        <w:rPr>
          <w:rFonts w:hAnsi="標楷體" w:hint="eastAsia"/>
          <w:color w:val="000000" w:themeColor="text1"/>
        </w:rPr>
        <w:t>短估以美化稽</w:t>
      </w:r>
      <w:proofErr w:type="gramEnd"/>
      <w:r w:rsidRPr="00DA5594">
        <w:rPr>
          <w:rFonts w:hAnsi="標楷體" w:hint="eastAsia"/>
          <w:color w:val="000000" w:themeColor="text1"/>
        </w:rPr>
        <w:t>徵績效之疑慮。此不僅影響預算之準確性與透明度，亦可能造成財政紀律與民主審查機制之侵蝕，有深入瞭解之必要</w:t>
      </w:r>
      <w:r w:rsidR="00C71ADE" w:rsidRPr="00DA5594">
        <w:rPr>
          <w:rFonts w:hAnsi="標楷體" w:hint="eastAsia"/>
          <w:color w:val="000000" w:themeColor="text1"/>
        </w:rPr>
        <w:t>。</w:t>
      </w:r>
      <w:r w:rsidRPr="00DA5594">
        <w:rPr>
          <w:rFonts w:hint="eastAsia"/>
          <w:bCs/>
          <w:color w:val="000000" w:themeColor="text1"/>
        </w:rPr>
        <w:t>案經函請財政部及行政院主計總處</w:t>
      </w:r>
      <w:r w:rsidRPr="00DA5594">
        <w:rPr>
          <w:rFonts w:hint="eastAsia"/>
          <w:color w:val="000000" w:themeColor="text1"/>
        </w:rPr>
        <w:t>(下稱主計總處)</w:t>
      </w:r>
      <w:r w:rsidRPr="00DA5594">
        <w:rPr>
          <w:rFonts w:hint="eastAsia"/>
          <w:bCs/>
          <w:color w:val="000000" w:themeColor="text1"/>
        </w:rPr>
        <w:t>等機關說明及提供相關卷證資料</w:t>
      </w:r>
      <w:r w:rsidR="00C71ADE" w:rsidRPr="00DA5594">
        <w:rPr>
          <w:rFonts w:hint="eastAsia"/>
          <w:bCs/>
          <w:color w:val="000000" w:themeColor="text1"/>
        </w:rPr>
        <w:t>；</w:t>
      </w:r>
      <w:r w:rsidRPr="00DA5594">
        <w:rPr>
          <w:rFonts w:hint="eastAsia"/>
          <w:bCs/>
          <w:color w:val="000000" w:themeColor="text1"/>
        </w:rPr>
        <w:t>並於民國(下同)115年3月30日諮詢</w:t>
      </w:r>
      <w:r w:rsidR="001D6CCB" w:rsidRPr="00DA5594">
        <w:rPr>
          <w:rFonts w:hint="eastAsia"/>
          <w:bCs/>
          <w:color w:val="000000" w:themeColor="text1"/>
        </w:rPr>
        <w:t>國立</w:t>
      </w:r>
      <w:r w:rsidRPr="00DA5594">
        <w:rPr>
          <w:rFonts w:hint="eastAsia"/>
          <w:bCs/>
          <w:color w:val="000000" w:themeColor="text1"/>
        </w:rPr>
        <w:t>臺灣大學經濟學</w:t>
      </w:r>
      <w:r w:rsidR="001D6CCB" w:rsidRPr="00DA5594">
        <w:rPr>
          <w:rFonts w:hint="eastAsia"/>
          <w:bCs/>
          <w:color w:val="000000" w:themeColor="text1"/>
        </w:rPr>
        <w:t>系</w:t>
      </w:r>
      <w:r w:rsidRPr="00DA5594">
        <w:rPr>
          <w:rFonts w:hint="eastAsia"/>
          <w:bCs/>
          <w:color w:val="000000" w:themeColor="text1"/>
        </w:rPr>
        <w:t>李顯峰教授、</w:t>
      </w:r>
      <w:r w:rsidR="001D6CCB" w:rsidRPr="00DA5594">
        <w:rPr>
          <w:rFonts w:hint="eastAsia"/>
          <w:bCs/>
          <w:color w:val="000000" w:themeColor="text1"/>
        </w:rPr>
        <w:t>國立</w:t>
      </w:r>
      <w:r w:rsidRPr="00DA5594">
        <w:rPr>
          <w:rFonts w:hint="eastAsia"/>
          <w:bCs/>
          <w:color w:val="000000" w:themeColor="text1"/>
        </w:rPr>
        <w:t>政治大學財政學系陳國樑教授兼系主任、</w:t>
      </w:r>
      <w:r w:rsidR="001D6CCB" w:rsidRPr="00DA5594">
        <w:rPr>
          <w:rFonts w:hint="eastAsia"/>
          <w:bCs/>
          <w:color w:val="000000" w:themeColor="text1"/>
        </w:rPr>
        <w:t>國立</w:t>
      </w:r>
      <w:proofErr w:type="gramStart"/>
      <w:r w:rsidRPr="00DA5594">
        <w:rPr>
          <w:rFonts w:hint="eastAsia"/>
          <w:bCs/>
          <w:color w:val="000000" w:themeColor="text1"/>
        </w:rPr>
        <w:t>臺</w:t>
      </w:r>
      <w:proofErr w:type="gramEnd"/>
      <w:r w:rsidRPr="00DA5594">
        <w:rPr>
          <w:rFonts w:hint="eastAsia"/>
          <w:bCs/>
          <w:color w:val="000000" w:themeColor="text1"/>
        </w:rPr>
        <w:t>北商業大學財政稅務系黃士洲教授、中華經濟研究院第三研究所黃勢</w:t>
      </w:r>
      <w:proofErr w:type="gramStart"/>
      <w:r w:rsidRPr="00DA5594">
        <w:rPr>
          <w:rFonts w:hint="eastAsia"/>
          <w:bCs/>
          <w:color w:val="000000" w:themeColor="text1"/>
        </w:rPr>
        <w:t>璋</w:t>
      </w:r>
      <w:proofErr w:type="gramEnd"/>
      <w:r w:rsidRPr="00DA5594">
        <w:rPr>
          <w:rFonts w:hint="eastAsia"/>
          <w:bCs/>
          <w:color w:val="000000" w:themeColor="text1"/>
        </w:rPr>
        <w:t>所長等</w:t>
      </w:r>
      <w:r w:rsidR="00EF30EB" w:rsidRPr="00DA5594">
        <w:rPr>
          <w:rFonts w:hint="eastAsia"/>
          <w:bCs/>
          <w:color w:val="000000" w:themeColor="text1"/>
        </w:rPr>
        <w:t>專家學者</w:t>
      </w:r>
      <w:r w:rsidRPr="00DA5594">
        <w:rPr>
          <w:rFonts w:hint="eastAsia"/>
          <w:bCs/>
          <w:color w:val="000000" w:themeColor="text1"/>
        </w:rPr>
        <w:t>；</w:t>
      </w:r>
      <w:proofErr w:type="gramStart"/>
      <w:r w:rsidRPr="00DA5594">
        <w:rPr>
          <w:rFonts w:hint="eastAsia"/>
          <w:bCs/>
          <w:color w:val="000000" w:themeColor="text1"/>
        </w:rPr>
        <w:t>嗣</w:t>
      </w:r>
      <w:proofErr w:type="gramEnd"/>
      <w:r w:rsidRPr="00DA5594">
        <w:rPr>
          <w:rFonts w:hint="eastAsia"/>
          <w:bCs/>
          <w:color w:val="000000" w:themeColor="text1"/>
        </w:rPr>
        <w:t>於同年4月24日詢問財政部陳勇勝次長</w:t>
      </w:r>
      <w:r w:rsidR="001D6CCB" w:rsidRPr="00DA5594">
        <w:rPr>
          <w:rFonts w:hint="eastAsia"/>
          <w:bCs/>
          <w:color w:val="000000" w:themeColor="text1"/>
        </w:rPr>
        <w:t>及</w:t>
      </w:r>
      <w:r w:rsidRPr="00DA5594">
        <w:rPr>
          <w:rFonts w:hint="eastAsia"/>
          <w:bCs/>
          <w:color w:val="000000" w:themeColor="text1"/>
        </w:rPr>
        <w:t>該部賦稅署、國庫署、關務署相關主管人員，</w:t>
      </w:r>
      <w:r w:rsidR="00FB501B" w:rsidRPr="00DA5594">
        <w:rPr>
          <w:rFonts w:hint="eastAsia"/>
          <w:bCs/>
          <w:color w:val="000000" w:themeColor="text1"/>
        </w:rPr>
        <w:t>已</w:t>
      </w:r>
      <w:proofErr w:type="gramStart"/>
      <w:r w:rsidR="00FB501B" w:rsidRPr="00DA5594">
        <w:rPr>
          <w:rFonts w:hint="eastAsia"/>
          <w:bCs/>
          <w:color w:val="000000" w:themeColor="text1"/>
        </w:rPr>
        <w:t>調查竣</w:t>
      </w:r>
      <w:r w:rsidR="00307A76" w:rsidRPr="00DA5594">
        <w:rPr>
          <w:rFonts w:hint="eastAsia"/>
          <w:bCs/>
          <w:color w:val="000000" w:themeColor="text1"/>
        </w:rPr>
        <w:t>事</w:t>
      </w:r>
      <w:proofErr w:type="gramEnd"/>
      <w:r w:rsidRPr="00DA5594">
        <w:rPr>
          <w:rFonts w:hint="eastAsia"/>
          <w:bCs/>
          <w:color w:val="000000" w:themeColor="text1"/>
        </w:rPr>
        <w:t>，</w:t>
      </w:r>
      <w:r w:rsidR="00307A76" w:rsidRPr="00DA5594">
        <w:rPr>
          <w:rFonts w:hint="eastAsia"/>
          <w:bCs/>
          <w:color w:val="000000" w:themeColor="text1"/>
        </w:rPr>
        <w:t>茲</w:t>
      </w:r>
      <w:proofErr w:type="gramStart"/>
      <w:r w:rsidR="00307A76" w:rsidRPr="00DA5594">
        <w:rPr>
          <w:rFonts w:hint="eastAsia"/>
          <w:bCs/>
          <w:color w:val="000000" w:themeColor="text1"/>
        </w:rPr>
        <w:t>臚</w:t>
      </w:r>
      <w:proofErr w:type="gramEnd"/>
      <w:r w:rsidR="00FB501B" w:rsidRPr="00DA5594">
        <w:rPr>
          <w:rFonts w:hint="eastAsia"/>
          <w:bCs/>
          <w:color w:val="000000" w:themeColor="text1"/>
        </w:rPr>
        <w:t>列調查意見如下：</w:t>
      </w:r>
    </w:p>
    <w:p w14:paraId="42355023" w14:textId="3CA83685" w:rsidR="003F34CD" w:rsidRPr="00DA5594" w:rsidRDefault="00E06D5E" w:rsidP="00EA5295">
      <w:pPr>
        <w:pStyle w:val="2"/>
        <w:spacing w:beforeLines="50" w:before="228"/>
        <w:ind w:left="1020" w:hanging="680"/>
        <w:rPr>
          <w:b/>
          <w:bCs w:val="0"/>
          <w:color w:val="000000" w:themeColor="text1"/>
        </w:rPr>
      </w:pPr>
      <w:r w:rsidRPr="00DA5594">
        <w:rPr>
          <w:b/>
          <w:bCs w:val="0"/>
          <w:color w:val="000000" w:themeColor="text1"/>
        </w:rPr>
        <w:t>現行稅課收入</w:t>
      </w:r>
      <w:r w:rsidR="00981DB1" w:rsidRPr="00DA5594">
        <w:rPr>
          <w:rFonts w:hint="eastAsia"/>
          <w:b/>
          <w:bCs w:val="0"/>
          <w:color w:val="000000" w:themeColor="text1"/>
        </w:rPr>
        <w:t>估</w:t>
      </w:r>
      <w:r w:rsidRPr="00DA5594">
        <w:rPr>
          <w:b/>
          <w:bCs w:val="0"/>
          <w:color w:val="000000" w:themeColor="text1"/>
        </w:rPr>
        <w:t>測機制受預算編製時程、所得稅落後申報特性及總體經濟變動等因素影響，預測誤差固難</w:t>
      </w:r>
      <w:r w:rsidRPr="00DA5594">
        <w:rPr>
          <w:b/>
          <w:bCs w:val="0"/>
          <w:color w:val="000000" w:themeColor="text1"/>
        </w:rPr>
        <w:lastRenderedPageBreak/>
        <w:t>完全避免，惟自104</w:t>
      </w:r>
      <w:r w:rsidR="001D6CCB" w:rsidRPr="00DA5594">
        <w:rPr>
          <w:rFonts w:hint="eastAsia"/>
          <w:b/>
          <w:bCs w:val="0"/>
          <w:color w:val="000000" w:themeColor="text1"/>
        </w:rPr>
        <w:t>年</w:t>
      </w:r>
      <w:r w:rsidRPr="00DA5594">
        <w:rPr>
          <w:b/>
          <w:bCs w:val="0"/>
          <w:color w:val="000000" w:themeColor="text1"/>
        </w:rPr>
        <w:t>至11</w:t>
      </w:r>
      <w:r w:rsidR="00C34B43" w:rsidRPr="00DA5594">
        <w:rPr>
          <w:rFonts w:hint="eastAsia"/>
          <w:b/>
          <w:bCs w:val="0"/>
          <w:color w:val="000000" w:themeColor="text1"/>
        </w:rPr>
        <w:t>3</w:t>
      </w:r>
      <w:r w:rsidRPr="00DA5594">
        <w:rPr>
          <w:b/>
          <w:bCs w:val="0"/>
          <w:color w:val="000000" w:themeColor="text1"/>
        </w:rPr>
        <w:t>年計</w:t>
      </w:r>
      <w:proofErr w:type="gramStart"/>
      <w:r w:rsidRPr="00DA5594">
        <w:rPr>
          <w:b/>
          <w:bCs w:val="0"/>
          <w:color w:val="000000" w:themeColor="text1"/>
        </w:rPr>
        <w:t>1</w:t>
      </w:r>
      <w:r w:rsidR="00C34B43" w:rsidRPr="00DA5594">
        <w:rPr>
          <w:rFonts w:hint="eastAsia"/>
          <w:b/>
          <w:bCs w:val="0"/>
          <w:color w:val="000000" w:themeColor="text1"/>
        </w:rPr>
        <w:t>0</w:t>
      </w:r>
      <w:proofErr w:type="gramEnd"/>
      <w:r w:rsidRPr="00DA5594">
        <w:rPr>
          <w:b/>
          <w:bCs w:val="0"/>
          <w:color w:val="000000" w:themeColor="text1"/>
        </w:rPr>
        <w:t>年度</w:t>
      </w:r>
      <w:r w:rsidR="001D6CCB" w:rsidRPr="00DA5594">
        <w:rPr>
          <w:rFonts w:hint="eastAsia"/>
          <w:b/>
          <w:bCs w:val="0"/>
          <w:color w:val="000000" w:themeColor="text1"/>
        </w:rPr>
        <w:t>之稅課收入</w:t>
      </w:r>
      <w:r w:rsidRPr="00DA5594">
        <w:rPr>
          <w:b/>
          <w:bCs w:val="0"/>
          <w:color w:val="000000" w:themeColor="text1"/>
        </w:rPr>
        <w:t>，除109年</w:t>
      </w:r>
      <w:r w:rsidR="00C71ADE" w:rsidRPr="00DA5594">
        <w:rPr>
          <w:rFonts w:hint="eastAsia"/>
          <w:b/>
          <w:bCs w:val="0"/>
          <w:color w:val="000000" w:themeColor="text1"/>
        </w:rPr>
        <w:t>度</w:t>
      </w:r>
      <w:r w:rsidRPr="00DA5594">
        <w:rPr>
          <w:b/>
          <w:bCs w:val="0"/>
          <w:color w:val="000000" w:themeColor="text1"/>
        </w:rPr>
        <w:t>外，其餘</w:t>
      </w:r>
      <w:proofErr w:type="gramStart"/>
      <w:r w:rsidRPr="00DA5594">
        <w:rPr>
          <w:b/>
          <w:bCs w:val="0"/>
          <w:color w:val="000000" w:themeColor="text1"/>
        </w:rPr>
        <w:t>9</w:t>
      </w:r>
      <w:proofErr w:type="gramEnd"/>
      <w:r w:rsidRPr="00DA5594">
        <w:rPr>
          <w:b/>
          <w:bCs w:val="0"/>
          <w:color w:val="000000" w:themeColor="text1"/>
        </w:rPr>
        <w:t>年度實徵數均高於預算數，尤以110</w:t>
      </w:r>
      <w:r w:rsidR="001D6CCB" w:rsidRPr="00DA5594">
        <w:rPr>
          <w:rFonts w:hint="eastAsia"/>
          <w:b/>
          <w:bCs w:val="0"/>
          <w:color w:val="000000" w:themeColor="text1"/>
        </w:rPr>
        <w:t>年</w:t>
      </w:r>
      <w:r w:rsidRPr="00DA5594">
        <w:rPr>
          <w:b/>
          <w:bCs w:val="0"/>
          <w:color w:val="000000" w:themeColor="text1"/>
        </w:rPr>
        <w:t>至113年連續</w:t>
      </w:r>
      <w:proofErr w:type="gramStart"/>
      <w:r w:rsidRPr="00DA5594">
        <w:rPr>
          <w:b/>
          <w:bCs w:val="0"/>
          <w:color w:val="000000" w:themeColor="text1"/>
        </w:rPr>
        <w:t>4</w:t>
      </w:r>
      <w:proofErr w:type="gramEnd"/>
      <w:r w:rsidRPr="00DA5594">
        <w:rPr>
          <w:b/>
          <w:bCs w:val="0"/>
          <w:color w:val="000000" w:themeColor="text1"/>
        </w:rPr>
        <w:t>年度</w:t>
      </w:r>
      <w:r w:rsidR="00C34B43" w:rsidRPr="00DA5594">
        <w:rPr>
          <w:rFonts w:hint="eastAsia"/>
          <w:b/>
          <w:bCs w:val="0"/>
          <w:color w:val="000000" w:themeColor="text1"/>
        </w:rPr>
        <w:t>中央政府</w:t>
      </w:r>
      <w:r w:rsidR="00981DB1" w:rsidRPr="00DA5594">
        <w:rPr>
          <w:rFonts w:hint="eastAsia"/>
          <w:b/>
          <w:bCs w:val="0"/>
          <w:color w:val="000000" w:themeColor="text1"/>
        </w:rPr>
        <w:t>稅收</w:t>
      </w:r>
      <w:proofErr w:type="gramStart"/>
      <w:r w:rsidR="00981DB1" w:rsidRPr="00DA5594">
        <w:rPr>
          <w:rFonts w:hint="eastAsia"/>
          <w:b/>
          <w:bCs w:val="0"/>
          <w:color w:val="000000" w:themeColor="text1"/>
        </w:rPr>
        <w:t>實徵超逾</w:t>
      </w:r>
      <w:proofErr w:type="gramEnd"/>
      <w:r w:rsidR="00F02149" w:rsidRPr="00DA5594">
        <w:rPr>
          <w:rFonts w:hint="eastAsia"/>
          <w:b/>
          <w:bCs w:val="0"/>
          <w:color w:val="000000" w:themeColor="text1"/>
        </w:rPr>
        <w:t>預算</w:t>
      </w:r>
      <w:r w:rsidRPr="00DA5594">
        <w:rPr>
          <w:b/>
          <w:bCs w:val="0"/>
          <w:color w:val="000000" w:themeColor="text1"/>
        </w:rPr>
        <w:t>規模高達</w:t>
      </w:r>
      <w:r w:rsidR="00C34B43" w:rsidRPr="00DA5594">
        <w:rPr>
          <w:rFonts w:hint="eastAsia"/>
          <w:b/>
          <w:bCs w:val="0"/>
          <w:color w:val="000000" w:themeColor="text1"/>
        </w:rPr>
        <w:t>新臺幣(下同)近</w:t>
      </w:r>
      <w:r w:rsidRPr="00DA5594">
        <w:rPr>
          <w:b/>
          <w:bCs w:val="0"/>
          <w:color w:val="000000" w:themeColor="text1"/>
        </w:rPr>
        <w:t>3千</w:t>
      </w:r>
      <w:r w:rsidR="00675EBF" w:rsidRPr="00DA5594">
        <w:rPr>
          <w:rFonts w:hint="eastAsia"/>
          <w:b/>
          <w:bCs w:val="0"/>
          <w:color w:val="000000" w:themeColor="text1"/>
        </w:rPr>
        <w:t>億</w:t>
      </w:r>
      <w:r w:rsidRPr="00DA5594">
        <w:rPr>
          <w:b/>
          <w:bCs w:val="0"/>
          <w:color w:val="000000" w:themeColor="text1"/>
        </w:rPr>
        <w:t>至</w:t>
      </w:r>
      <w:r w:rsidR="00C34B43" w:rsidRPr="00DA5594">
        <w:rPr>
          <w:rFonts w:hint="eastAsia"/>
          <w:b/>
          <w:bCs w:val="0"/>
          <w:color w:val="000000" w:themeColor="text1"/>
        </w:rPr>
        <w:t>4</w:t>
      </w:r>
      <w:r w:rsidRPr="00DA5594">
        <w:rPr>
          <w:b/>
          <w:bCs w:val="0"/>
          <w:color w:val="000000" w:themeColor="text1"/>
        </w:rPr>
        <w:t>千餘億元</w:t>
      </w:r>
      <w:r w:rsidR="001D6CCB" w:rsidRPr="00DA5594">
        <w:rPr>
          <w:rFonts w:hint="eastAsia"/>
          <w:b/>
          <w:bCs w:val="0"/>
          <w:color w:val="000000" w:themeColor="text1"/>
        </w:rPr>
        <w:t>為甚</w:t>
      </w:r>
      <w:r w:rsidRPr="00DA5594">
        <w:rPr>
          <w:b/>
          <w:bCs w:val="0"/>
          <w:color w:val="000000" w:themeColor="text1"/>
        </w:rPr>
        <w:t>，已非短期偶發現象。</w:t>
      </w:r>
      <w:proofErr w:type="gramStart"/>
      <w:r w:rsidR="00C34B43" w:rsidRPr="00DA5594">
        <w:rPr>
          <w:rFonts w:hint="eastAsia"/>
          <w:b/>
          <w:bCs w:val="0"/>
          <w:color w:val="000000" w:themeColor="text1"/>
        </w:rPr>
        <w:t>詎</w:t>
      </w:r>
      <w:proofErr w:type="gramEnd"/>
      <w:r w:rsidRPr="00DA5594">
        <w:rPr>
          <w:b/>
          <w:bCs w:val="0"/>
          <w:color w:val="000000" w:themeColor="text1"/>
        </w:rPr>
        <w:t>財政部遲至112</w:t>
      </w:r>
      <w:proofErr w:type="gramStart"/>
      <w:r w:rsidRPr="00DA5594">
        <w:rPr>
          <w:b/>
          <w:bCs w:val="0"/>
          <w:color w:val="000000" w:themeColor="text1"/>
        </w:rPr>
        <w:t>年間始委外</w:t>
      </w:r>
      <w:proofErr w:type="gramEnd"/>
      <w:r w:rsidRPr="00DA5594">
        <w:rPr>
          <w:b/>
          <w:bCs w:val="0"/>
          <w:color w:val="000000" w:themeColor="text1"/>
        </w:rPr>
        <w:t>研究並成立專案小組，</w:t>
      </w:r>
      <w:r w:rsidR="00C34B43" w:rsidRPr="00DA5594">
        <w:rPr>
          <w:b/>
          <w:bCs w:val="0"/>
          <w:color w:val="000000" w:themeColor="text1"/>
        </w:rPr>
        <w:t>顯示</w:t>
      </w:r>
      <w:r w:rsidR="00C34B43" w:rsidRPr="00DA5594">
        <w:rPr>
          <w:rFonts w:hint="eastAsia"/>
          <w:b/>
          <w:bCs w:val="0"/>
          <w:color w:val="000000" w:themeColor="text1"/>
        </w:rPr>
        <w:t>該部</w:t>
      </w:r>
      <w:r w:rsidRPr="00DA5594">
        <w:rPr>
          <w:b/>
          <w:bCs w:val="0"/>
          <w:color w:val="000000" w:themeColor="text1"/>
        </w:rPr>
        <w:t>長期未積極檢討精進，</w:t>
      </w:r>
      <w:r w:rsidR="00981DB1" w:rsidRPr="00DA5594">
        <w:rPr>
          <w:rFonts w:hint="eastAsia"/>
          <w:b/>
          <w:bCs w:val="0"/>
          <w:color w:val="000000" w:themeColor="text1"/>
        </w:rPr>
        <w:t>放任</w:t>
      </w:r>
      <w:r w:rsidRPr="00DA5594">
        <w:rPr>
          <w:b/>
          <w:bCs w:val="0"/>
          <w:color w:val="000000" w:themeColor="text1"/>
        </w:rPr>
        <w:t>鉅額且持續性之預測偏差情形，</w:t>
      </w:r>
      <w:r w:rsidR="00C34B43" w:rsidRPr="00DA5594">
        <w:rPr>
          <w:rFonts w:hint="eastAsia"/>
          <w:b/>
          <w:bCs w:val="0"/>
          <w:color w:val="000000" w:themeColor="text1"/>
        </w:rPr>
        <w:t>足見其</w:t>
      </w:r>
      <w:r w:rsidRPr="00DA5594">
        <w:rPr>
          <w:b/>
          <w:bCs w:val="0"/>
          <w:color w:val="000000" w:themeColor="text1"/>
        </w:rPr>
        <w:t>對稅收估測失衡問題之重視及改善</w:t>
      </w:r>
      <w:proofErr w:type="gramStart"/>
      <w:r w:rsidRPr="00DA5594">
        <w:rPr>
          <w:b/>
          <w:bCs w:val="0"/>
          <w:color w:val="000000" w:themeColor="text1"/>
        </w:rPr>
        <w:t>作為均有不足</w:t>
      </w:r>
      <w:proofErr w:type="gramEnd"/>
      <w:r w:rsidRPr="00DA5594">
        <w:rPr>
          <w:b/>
          <w:bCs w:val="0"/>
          <w:color w:val="000000" w:themeColor="text1"/>
        </w:rPr>
        <w:t>，</w:t>
      </w:r>
      <w:r w:rsidR="00604F38" w:rsidRPr="00DA5594">
        <w:rPr>
          <w:rFonts w:hint="eastAsia"/>
          <w:b/>
          <w:bCs w:val="0"/>
          <w:color w:val="000000" w:themeColor="text1"/>
        </w:rPr>
        <w:t>實</w:t>
      </w:r>
      <w:r w:rsidR="006915CB" w:rsidRPr="00DA5594">
        <w:rPr>
          <w:rFonts w:hint="eastAsia"/>
          <w:b/>
          <w:bCs w:val="0"/>
          <w:color w:val="000000" w:themeColor="text1"/>
        </w:rPr>
        <w:t>有</w:t>
      </w:r>
      <w:r w:rsidR="004E57F8" w:rsidRPr="00DA5594">
        <w:rPr>
          <w:rFonts w:hint="eastAsia"/>
          <w:b/>
          <w:bCs w:val="0"/>
          <w:color w:val="000000" w:themeColor="text1"/>
        </w:rPr>
        <w:t>失當</w:t>
      </w:r>
      <w:r w:rsidR="00A45050" w:rsidRPr="00DA5594">
        <w:rPr>
          <w:rFonts w:hint="eastAsia"/>
          <w:b/>
          <w:bCs w:val="0"/>
          <w:color w:val="000000" w:themeColor="text1"/>
        </w:rPr>
        <w:t>：</w:t>
      </w:r>
    </w:p>
    <w:p w14:paraId="29EE600A" w14:textId="0131D49A" w:rsidR="00F02149" w:rsidRPr="00DA5594" w:rsidRDefault="00540D23" w:rsidP="00EC1D9A">
      <w:pPr>
        <w:pStyle w:val="3"/>
        <w:rPr>
          <w:color w:val="000000" w:themeColor="text1"/>
        </w:rPr>
      </w:pPr>
      <w:r w:rsidRPr="00DA5594">
        <w:rPr>
          <w:rFonts w:hint="eastAsia"/>
          <w:color w:val="000000" w:themeColor="text1"/>
        </w:rPr>
        <w:t>依</w:t>
      </w:r>
      <w:r w:rsidRPr="00DA5594">
        <w:rPr>
          <w:color w:val="000000" w:themeColor="text1"/>
        </w:rPr>
        <w:t>預算法第1條規定：「</w:t>
      </w:r>
      <w:r w:rsidR="00E95056" w:rsidRPr="00DA5594">
        <w:rPr>
          <w:rFonts w:hint="eastAsia"/>
          <w:color w:val="000000" w:themeColor="text1"/>
        </w:rPr>
        <w:t>中華民國中央政府預算之籌劃、編造、審議、成立及執行，依本法之規定。預算以提供政府於一定期間完成作業所需經費為目的。預算之編製及執行應以財務管理為基礎，並遵守總體經濟均衡之原則。</w:t>
      </w:r>
      <w:r w:rsidRPr="00DA5594">
        <w:rPr>
          <w:color w:val="000000" w:themeColor="text1"/>
        </w:rPr>
        <w:t>」另行政院依預算法第32條第1項、地方制度法第71條第1項及財政收支劃分法第35條之1第1項等規定，於每年度4月間，為次一年度預算之籌</w:t>
      </w:r>
      <w:proofErr w:type="gramStart"/>
      <w:r w:rsidRPr="00DA5594">
        <w:rPr>
          <w:color w:val="000000" w:themeColor="text1"/>
        </w:rPr>
        <w:t>編均有訂</w:t>
      </w:r>
      <w:proofErr w:type="gramEnd"/>
      <w:r w:rsidRPr="00DA5594">
        <w:rPr>
          <w:color w:val="000000" w:themeColor="text1"/>
        </w:rPr>
        <w:t>頒「中央及地方政府預算籌編原則」，</w:t>
      </w:r>
      <w:r w:rsidR="006915CB" w:rsidRPr="00DA5594">
        <w:rPr>
          <w:rFonts w:hint="eastAsia"/>
          <w:color w:val="000000" w:themeColor="text1"/>
        </w:rPr>
        <w:t>並</w:t>
      </w:r>
      <w:r w:rsidR="00244EAF" w:rsidRPr="00DA5594">
        <w:rPr>
          <w:rFonts w:hint="eastAsia"/>
          <w:color w:val="000000" w:themeColor="text1"/>
        </w:rPr>
        <w:t>規</w:t>
      </w:r>
      <w:r w:rsidR="00E95056" w:rsidRPr="00DA5594">
        <w:rPr>
          <w:rFonts w:hint="eastAsia"/>
          <w:color w:val="000000" w:themeColor="text1"/>
        </w:rPr>
        <w:t>定政府預算收支，應本中央、地方統籌規劃及遵守總體經濟均衡之原則，審度總資源供需估測顯示之趨勢，加強開源節流措施，妥善控制歲入歲出差短，並應具體提出中長期平衡預算之目標年度及相關之歲入、歲出結構調整規劃</w:t>
      </w:r>
      <w:r w:rsidR="00654FF9" w:rsidRPr="00DA5594">
        <w:rPr>
          <w:rFonts w:hint="eastAsia"/>
          <w:color w:val="000000" w:themeColor="text1"/>
        </w:rPr>
        <w:t>；</w:t>
      </w:r>
      <w:r w:rsidR="00F02149" w:rsidRPr="00DA5594">
        <w:rPr>
          <w:rFonts w:hint="eastAsia"/>
          <w:color w:val="000000" w:themeColor="text1"/>
        </w:rPr>
        <w:t>亦明定</w:t>
      </w:r>
      <w:r w:rsidR="00E95056" w:rsidRPr="00DA5594">
        <w:rPr>
          <w:rFonts w:hint="eastAsia"/>
          <w:color w:val="000000" w:themeColor="text1"/>
        </w:rPr>
        <w:t>政府稅課收入，應以稅法所定之稅目、稅率及免稅規定為計算之基準，考量預算執行年度之政策變動與推動稅制改革因素及國民稅負能力，並參酌前年度決算與上年度已執行期間之實徵情形，及主計總處或其他預測機構估測之經濟成長趨勢，審慎估計編列。</w:t>
      </w:r>
      <w:proofErr w:type="gramStart"/>
      <w:r w:rsidR="00F02149" w:rsidRPr="00DA5594">
        <w:rPr>
          <w:rFonts w:hint="eastAsia"/>
          <w:color w:val="000000" w:themeColor="text1"/>
        </w:rPr>
        <w:t>緣此</w:t>
      </w:r>
      <w:proofErr w:type="gramEnd"/>
      <w:r w:rsidR="00F02149" w:rsidRPr="00DA5594">
        <w:rPr>
          <w:rFonts w:hint="eastAsia"/>
          <w:color w:val="000000" w:themeColor="text1"/>
        </w:rPr>
        <w:t>，</w:t>
      </w:r>
      <w:r w:rsidR="00E06D5E" w:rsidRPr="00DA5594">
        <w:rPr>
          <w:color w:val="000000" w:themeColor="text1"/>
        </w:rPr>
        <w:t>各項</w:t>
      </w:r>
      <w:r w:rsidR="00C34B43" w:rsidRPr="00DA5594">
        <w:rPr>
          <w:rFonts w:hint="eastAsia"/>
          <w:color w:val="000000" w:themeColor="text1"/>
        </w:rPr>
        <w:t>稅課收入</w:t>
      </w:r>
      <w:r w:rsidR="00E06D5E" w:rsidRPr="00DA5594">
        <w:rPr>
          <w:color w:val="000000" w:themeColor="text1"/>
        </w:rPr>
        <w:t>歲入預算應依歷年實徵情形、經濟發展趨勢及具體資料審慎估測，以提升預算編列之合理性與可信度。</w:t>
      </w:r>
      <w:r w:rsidR="00C34B43" w:rsidRPr="00DA5594">
        <w:rPr>
          <w:rFonts w:hint="eastAsia"/>
          <w:color w:val="000000" w:themeColor="text1"/>
        </w:rPr>
        <w:t>稅課收入</w:t>
      </w:r>
      <w:r w:rsidR="00E06D5E" w:rsidRPr="00DA5594">
        <w:rPr>
          <w:color w:val="000000" w:themeColor="text1"/>
        </w:rPr>
        <w:t>歲入預算雖具有預測性質，惟其估測結果</w:t>
      </w:r>
      <w:proofErr w:type="gramStart"/>
      <w:r w:rsidR="00E06D5E" w:rsidRPr="00DA5594">
        <w:rPr>
          <w:color w:val="000000" w:themeColor="text1"/>
        </w:rPr>
        <w:t>攸</w:t>
      </w:r>
      <w:proofErr w:type="gramEnd"/>
      <w:r w:rsidR="00E06D5E" w:rsidRPr="00DA5594">
        <w:rPr>
          <w:color w:val="000000" w:themeColor="text1"/>
        </w:rPr>
        <w:t>關中央政府財政規</w:t>
      </w:r>
      <w:r w:rsidR="00E06D5E" w:rsidRPr="00DA5594">
        <w:rPr>
          <w:color w:val="000000" w:themeColor="text1"/>
        </w:rPr>
        <w:lastRenderedPageBreak/>
        <w:t>劃、資源配置及立法院審議基礎，自應建立持續檢討與修正機制，以降低長期性</w:t>
      </w:r>
      <w:r w:rsidR="00C34B43" w:rsidRPr="00DA5594">
        <w:rPr>
          <w:rFonts w:hint="eastAsia"/>
          <w:color w:val="000000" w:themeColor="text1"/>
        </w:rPr>
        <w:t>及</w:t>
      </w:r>
      <w:r w:rsidR="00E06D5E" w:rsidRPr="00DA5594">
        <w:rPr>
          <w:color w:val="000000" w:themeColor="text1"/>
        </w:rPr>
        <w:t>結構性</w:t>
      </w:r>
      <w:r w:rsidR="00C34B43" w:rsidRPr="00DA5594">
        <w:rPr>
          <w:rFonts w:hint="eastAsia"/>
          <w:color w:val="000000" w:themeColor="text1"/>
        </w:rPr>
        <w:t>鉅額</w:t>
      </w:r>
      <w:r w:rsidR="00E06D5E" w:rsidRPr="00DA5594">
        <w:rPr>
          <w:color w:val="000000" w:themeColor="text1"/>
        </w:rPr>
        <w:t>偏差。</w:t>
      </w:r>
    </w:p>
    <w:p w14:paraId="32998378" w14:textId="6A9C2E09" w:rsidR="00675EBF" w:rsidRPr="00DA5594" w:rsidRDefault="00E06D5E" w:rsidP="00EC1D9A">
      <w:pPr>
        <w:pStyle w:val="3"/>
        <w:rPr>
          <w:color w:val="000000" w:themeColor="text1"/>
        </w:rPr>
      </w:pPr>
      <w:r w:rsidRPr="00DA5594">
        <w:rPr>
          <w:rFonts w:hint="eastAsia"/>
          <w:color w:val="000000" w:themeColor="text1"/>
        </w:rPr>
        <w:t>據</w:t>
      </w:r>
      <w:r w:rsidRPr="00DA5594">
        <w:rPr>
          <w:color w:val="000000" w:themeColor="text1"/>
        </w:rPr>
        <w:t>財政部說明，我國稅收預估受預算編列時點與實際課徵期間存在時間差影響，尤其所得稅</w:t>
      </w:r>
      <w:proofErr w:type="gramStart"/>
      <w:r w:rsidRPr="00DA5594">
        <w:rPr>
          <w:color w:val="000000" w:themeColor="text1"/>
        </w:rPr>
        <w:t>採</w:t>
      </w:r>
      <w:proofErr w:type="gramEnd"/>
      <w:r w:rsidRPr="00DA5594">
        <w:rPr>
          <w:color w:val="000000" w:themeColor="text1"/>
        </w:rPr>
        <w:t>落後申報制度，預算編列時所能掌握之企業獲利、薪資所得及資本市場資料，多與實際課稅基礎存在數月至1年以上落差；另我國屬高度依賴對外貿易之經濟體，易受國際景氣、供應鏈變化、金融市場波動及突發事件影響，均增加稅收估測困難度。是</w:t>
      </w:r>
      <w:proofErr w:type="gramStart"/>
      <w:r w:rsidRPr="00DA5594">
        <w:rPr>
          <w:color w:val="000000" w:themeColor="text1"/>
        </w:rPr>
        <w:t>以</w:t>
      </w:r>
      <w:proofErr w:type="gramEnd"/>
      <w:r w:rsidRPr="00DA5594">
        <w:rPr>
          <w:color w:val="000000" w:themeColor="text1"/>
        </w:rPr>
        <w:t>，歲入預測與實際數發生差異，固屬制度上難以完全避免之現象。</w:t>
      </w:r>
      <w:proofErr w:type="gramStart"/>
      <w:r w:rsidRPr="00DA5594">
        <w:rPr>
          <w:color w:val="000000" w:themeColor="text1"/>
          <w:u w:val="single"/>
        </w:rPr>
        <w:t>惟查104至11</w:t>
      </w:r>
      <w:r w:rsidR="006915CB" w:rsidRPr="00DA5594">
        <w:rPr>
          <w:rFonts w:hint="eastAsia"/>
          <w:color w:val="000000" w:themeColor="text1"/>
          <w:u w:val="single"/>
        </w:rPr>
        <w:t>4</w:t>
      </w:r>
      <w:r w:rsidRPr="00DA5594">
        <w:rPr>
          <w:color w:val="000000" w:themeColor="text1"/>
          <w:u w:val="single"/>
        </w:rPr>
        <w:t>年</w:t>
      </w:r>
      <w:r w:rsidR="006915CB" w:rsidRPr="00DA5594">
        <w:rPr>
          <w:rFonts w:hint="eastAsia"/>
          <w:color w:val="000000" w:themeColor="text1"/>
          <w:u w:val="single"/>
        </w:rPr>
        <w:t>度</w:t>
      </w:r>
      <w:proofErr w:type="gramEnd"/>
      <w:r w:rsidRPr="00DA5594">
        <w:rPr>
          <w:color w:val="000000" w:themeColor="text1"/>
          <w:u w:val="single"/>
        </w:rPr>
        <w:t>中央政府稅課收入執行情形</w:t>
      </w:r>
      <w:r w:rsidR="007772C1" w:rsidRPr="00DA5594">
        <w:rPr>
          <w:rFonts w:hint="eastAsia"/>
          <w:color w:val="000000" w:themeColor="text1"/>
          <w:u w:val="single"/>
        </w:rPr>
        <w:t>(</w:t>
      </w:r>
      <w:proofErr w:type="gramStart"/>
      <w:r w:rsidR="007772C1" w:rsidRPr="00DA5594">
        <w:rPr>
          <w:rFonts w:hint="eastAsia"/>
          <w:color w:val="000000" w:themeColor="text1"/>
          <w:u w:val="single"/>
        </w:rPr>
        <w:t>詳表</w:t>
      </w:r>
      <w:proofErr w:type="gramEnd"/>
      <w:r w:rsidR="007772C1" w:rsidRPr="00DA5594">
        <w:rPr>
          <w:rFonts w:hint="eastAsia"/>
          <w:color w:val="000000" w:themeColor="text1"/>
          <w:u w:val="single"/>
        </w:rPr>
        <w:t>1)</w:t>
      </w:r>
      <w:r w:rsidRPr="00DA5594">
        <w:rPr>
          <w:color w:val="000000" w:themeColor="text1"/>
          <w:u w:val="single"/>
        </w:rPr>
        <w:t>，除</w:t>
      </w:r>
      <w:proofErr w:type="gramStart"/>
      <w:r w:rsidRPr="00DA5594">
        <w:rPr>
          <w:color w:val="000000" w:themeColor="text1"/>
          <w:u w:val="single"/>
        </w:rPr>
        <w:t>109</w:t>
      </w:r>
      <w:proofErr w:type="gramEnd"/>
      <w:r w:rsidRPr="00DA5594">
        <w:rPr>
          <w:color w:val="000000" w:themeColor="text1"/>
          <w:u w:val="single"/>
        </w:rPr>
        <w:t>年度因COVID-19</w:t>
      </w:r>
      <w:proofErr w:type="gramStart"/>
      <w:r w:rsidRPr="00DA5594">
        <w:rPr>
          <w:color w:val="000000" w:themeColor="text1"/>
          <w:u w:val="single"/>
        </w:rPr>
        <w:t>疫情及</w:t>
      </w:r>
      <w:proofErr w:type="gramEnd"/>
      <w:r w:rsidRPr="00DA5594">
        <w:rPr>
          <w:color w:val="000000" w:themeColor="text1"/>
          <w:u w:val="single"/>
        </w:rPr>
        <w:t>延期、分期繳納等措施影響外，其餘多數年度實徵數均高於預算數</w:t>
      </w:r>
      <w:r w:rsidRPr="00DA5594">
        <w:rPr>
          <w:color w:val="000000" w:themeColor="text1"/>
        </w:rPr>
        <w:t>，其中</w:t>
      </w:r>
      <w:r w:rsidRPr="00DA5594">
        <w:rPr>
          <w:color w:val="000000" w:themeColor="text1"/>
          <w:u w:val="single"/>
        </w:rPr>
        <w:t>110至113年度連續</w:t>
      </w:r>
      <w:proofErr w:type="gramStart"/>
      <w:r w:rsidRPr="00DA5594">
        <w:rPr>
          <w:color w:val="000000" w:themeColor="text1"/>
          <w:u w:val="single"/>
        </w:rPr>
        <w:t>4</w:t>
      </w:r>
      <w:proofErr w:type="gramEnd"/>
      <w:r w:rsidRPr="00DA5594">
        <w:rPr>
          <w:color w:val="000000" w:themeColor="text1"/>
          <w:u w:val="single"/>
        </w:rPr>
        <w:t>年度</w:t>
      </w:r>
      <w:r w:rsidR="007772C1" w:rsidRPr="00DA5594">
        <w:rPr>
          <w:rFonts w:hint="eastAsia"/>
          <w:color w:val="000000" w:themeColor="text1"/>
          <w:u w:val="single"/>
        </w:rPr>
        <w:t>中央政府</w:t>
      </w:r>
      <w:r w:rsidR="00F02149" w:rsidRPr="00DA5594">
        <w:rPr>
          <w:rFonts w:hint="eastAsia"/>
          <w:color w:val="000000" w:themeColor="text1"/>
          <w:u w:val="single"/>
        </w:rPr>
        <w:t>稅收實徵數超逾預算</w:t>
      </w:r>
      <w:r w:rsidRPr="00DA5594">
        <w:rPr>
          <w:color w:val="000000" w:themeColor="text1"/>
          <w:u w:val="single"/>
        </w:rPr>
        <w:t>規模更分別達</w:t>
      </w:r>
      <w:r w:rsidR="007772C1" w:rsidRPr="00DA5594">
        <w:rPr>
          <w:rFonts w:hint="eastAsia"/>
          <w:color w:val="000000" w:themeColor="text1"/>
          <w:u w:val="single"/>
        </w:rPr>
        <w:t>3</w:t>
      </w:r>
      <w:r w:rsidRPr="00DA5594">
        <w:rPr>
          <w:color w:val="000000" w:themeColor="text1"/>
          <w:u w:val="single"/>
        </w:rPr>
        <w:t>,2</w:t>
      </w:r>
      <w:r w:rsidR="007772C1" w:rsidRPr="00DA5594">
        <w:rPr>
          <w:rFonts w:hint="eastAsia"/>
          <w:color w:val="000000" w:themeColor="text1"/>
          <w:u w:val="single"/>
        </w:rPr>
        <w:t>52</w:t>
      </w:r>
      <w:r w:rsidRPr="00DA5594">
        <w:rPr>
          <w:color w:val="000000" w:themeColor="text1"/>
          <w:u w:val="single"/>
        </w:rPr>
        <w:t>億元、</w:t>
      </w:r>
      <w:r w:rsidR="007772C1" w:rsidRPr="00DA5594">
        <w:rPr>
          <w:rFonts w:hint="eastAsia"/>
          <w:color w:val="000000" w:themeColor="text1"/>
          <w:u w:val="single"/>
        </w:rPr>
        <w:t>4</w:t>
      </w:r>
      <w:r w:rsidRPr="00DA5594">
        <w:rPr>
          <w:color w:val="000000" w:themeColor="text1"/>
          <w:u w:val="single"/>
        </w:rPr>
        <w:t>,</w:t>
      </w:r>
      <w:r w:rsidR="007772C1" w:rsidRPr="00DA5594">
        <w:rPr>
          <w:rFonts w:hint="eastAsia"/>
          <w:color w:val="000000" w:themeColor="text1"/>
          <w:u w:val="single"/>
        </w:rPr>
        <w:t>00</w:t>
      </w:r>
      <w:r w:rsidRPr="00DA5594">
        <w:rPr>
          <w:color w:val="000000" w:themeColor="text1"/>
          <w:u w:val="single"/>
        </w:rPr>
        <w:t>2億元、</w:t>
      </w:r>
      <w:r w:rsidR="007772C1" w:rsidRPr="00DA5594">
        <w:rPr>
          <w:rFonts w:hint="eastAsia"/>
          <w:color w:val="000000" w:themeColor="text1"/>
          <w:u w:val="single"/>
        </w:rPr>
        <w:t>2</w:t>
      </w:r>
      <w:r w:rsidRPr="00DA5594">
        <w:rPr>
          <w:color w:val="000000" w:themeColor="text1"/>
          <w:u w:val="single"/>
        </w:rPr>
        <w:t>,</w:t>
      </w:r>
      <w:r w:rsidR="007772C1" w:rsidRPr="00DA5594">
        <w:rPr>
          <w:rFonts w:hint="eastAsia"/>
          <w:color w:val="000000" w:themeColor="text1"/>
          <w:u w:val="single"/>
        </w:rPr>
        <w:t>933</w:t>
      </w:r>
      <w:r w:rsidRPr="00DA5594">
        <w:rPr>
          <w:color w:val="000000" w:themeColor="text1"/>
          <w:u w:val="single"/>
        </w:rPr>
        <w:t>億元及</w:t>
      </w:r>
      <w:r w:rsidR="007772C1" w:rsidRPr="00DA5594">
        <w:rPr>
          <w:rFonts w:hint="eastAsia"/>
          <w:color w:val="000000" w:themeColor="text1"/>
          <w:u w:val="single"/>
        </w:rPr>
        <w:t>3</w:t>
      </w:r>
      <w:r w:rsidRPr="00DA5594">
        <w:rPr>
          <w:color w:val="000000" w:themeColor="text1"/>
          <w:u w:val="single"/>
        </w:rPr>
        <w:t>,</w:t>
      </w:r>
      <w:r w:rsidR="007772C1" w:rsidRPr="00DA5594">
        <w:rPr>
          <w:rFonts w:hint="eastAsia"/>
          <w:color w:val="000000" w:themeColor="text1"/>
          <w:u w:val="single"/>
        </w:rPr>
        <w:t>757</w:t>
      </w:r>
      <w:r w:rsidRPr="00DA5594">
        <w:rPr>
          <w:color w:val="000000" w:themeColor="text1"/>
          <w:u w:val="single"/>
        </w:rPr>
        <w:t>億元</w:t>
      </w:r>
      <w:r w:rsidRPr="00DA5594">
        <w:rPr>
          <w:color w:val="000000" w:themeColor="text1"/>
        </w:rPr>
        <w:t>，呈現長期且大幅偏高情形。</w:t>
      </w:r>
      <w:proofErr w:type="gramStart"/>
      <w:r w:rsidR="00675EBF" w:rsidRPr="00DA5594">
        <w:rPr>
          <w:rFonts w:hint="eastAsia"/>
          <w:color w:val="000000" w:themeColor="text1"/>
        </w:rPr>
        <w:t>揆</w:t>
      </w:r>
      <w:proofErr w:type="gramEnd"/>
      <w:r w:rsidR="00675EBF" w:rsidRPr="00DA5594">
        <w:rPr>
          <w:rFonts w:hint="eastAsia"/>
          <w:color w:val="000000" w:themeColor="text1"/>
        </w:rPr>
        <w:t>以近年來其他國家</w:t>
      </w:r>
      <w:r w:rsidR="00654FF9" w:rsidRPr="00DA5594">
        <w:rPr>
          <w:rFonts w:hint="eastAsia"/>
          <w:color w:val="000000" w:themeColor="text1"/>
        </w:rPr>
        <w:t>稅課收入預算執行情形</w:t>
      </w:r>
      <w:r w:rsidR="00886965" w:rsidRPr="00DA5594">
        <w:rPr>
          <w:rFonts w:hint="eastAsia"/>
          <w:color w:val="000000" w:themeColor="text1"/>
        </w:rPr>
        <w:t>(</w:t>
      </w:r>
      <w:proofErr w:type="gramStart"/>
      <w:r w:rsidR="00886965" w:rsidRPr="00DA5594">
        <w:rPr>
          <w:rFonts w:hint="eastAsia"/>
          <w:color w:val="000000" w:themeColor="text1"/>
        </w:rPr>
        <w:t>詳表</w:t>
      </w:r>
      <w:proofErr w:type="gramEnd"/>
      <w:r w:rsidR="009B41B2" w:rsidRPr="00DA5594">
        <w:rPr>
          <w:rFonts w:hint="eastAsia"/>
          <w:color w:val="000000" w:themeColor="text1"/>
        </w:rPr>
        <w:t>2</w:t>
      </w:r>
      <w:r w:rsidR="00886965" w:rsidRPr="00DA5594">
        <w:rPr>
          <w:rFonts w:hint="eastAsia"/>
          <w:color w:val="000000" w:themeColor="text1"/>
        </w:rPr>
        <w:t>)</w:t>
      </w:r>
      <w:r w:rsidR="00654FF9" w:rsidRPr="00DA5594">
        <w:rPr>
          <w:rFonts w:hint="eastAsia"/>
          <w:color w:val="000000" w:themeColor="text1"/>
        </w:rPr>
        <w:t>，</w:t>
      </w:r>
      <w:r w:rsidR="00675EBF" w:rsidRPr="00DA5594">
        <w:rPr>
          <w:color w:val="000000" w:themeColor="text1"/>
        </w:rPr>
        <w:t>部分主要國家雖亦因景氣變動而有</w:t>
      </w:r>
      <w:r w:rsidR="00654FF9" w:rsidRPr="00DA5594">
        <w:rPr>
          <w:rFonts w:hint="eastAsia"/>
          <w:color w:val="000000" w:themeColor="text1"/>
        </w:rPr>
        <w:t>稅收</w:t>
      </w:r>
      <w:r w:rsidR="00675EBF" w:rsidRPr="00DA5594">
        <w:rPr>
          <w:color w:val="000000" w:themeColor="text1"/>
        </w:rPr>
        <w:t>歲入預測差異，惟多數國家近年稅收預測偏差幅度相對較低，且較少出現連續多年大幅超逾預算之情形。相較之下，我國近年中央政府稅課收入實徵數持續大幅高於預算數，尤其近年</w:t>
      </w:r>
      <w:r w:rsidR="00675EBF" w:rsidRPr="00DA5594">
        <w:rPr>
          <w:rFonts w:hint="eastAsia"/>
          <w:color w:val="000000" w:themeColor="text1"/>
        </w:rPr>
        <w:t>超逾</w:t>
      </w:r>
      <w:r w:rsidR="00675EBF" w:rsidRPr="00DA5594">
        <w:rPr>
          <w:color w:val="000000" w:themeColor="text1"/>
        </w:rPr>
        <w:t>數額</w:t>
      </w:r>
      <w:proofErr w:type="gramStart"/>
      <w:r w:rsidR="00675EBF" w:rsidRPr="00DA5594">
        <w:rPr>
          <w:color w:val="000000" w:themeColor="text1"/>
        </w:rPr>
        <w:t>已非數百億</w:t>
      </w:r>
      <w:proofErr w:type="gramEnd"/>
      <w:r w:rsidR="00675EBF" w:rsidRPr="00DA5594">
        <w:rPr>
          <w:color w:val="000000" w:themeColor="text1"/>
        </w:rPr>
        <w:t>元之短期波動，而係持續多年達數千億元規模，尤其110年至113年間超逾</w:t>
      </w:r>
      <w:proofErr w:type="gramStart"/>
      <w:r w:rsidR="00675EBF" w:rsidRPr="00DA5594">
        <w:rPr>
          <w:color w:val="000000" w:themeColor="text1"/>
        </w:rPr>
        <w:t>規模均達數</w:t>
      </w:r>
      <w:proofErr w:type="gramEnd"/>
      <w:r w:rsidR="00675EBF" w:rsidRPr="00DA5594">
        <w:rPr>
          <w:color w:val="000000" w:themeColor="text1"/>
        </w:rPr>
        <w:t>千億元，</w:t>
      </w:r>
      <w:proofErr w:type="gramStart"/>
      <w:r w:rsidR="00675EBF" w:rsidRPr="00DA5594">
        <w:rPr>
          <w:color w:val="000000" w:themeColor="text1"/>
        </w:rPr>
        <w:t>占原編</w:t>
      </w:r>
      <w:proofErr w:type="gramEnd"/>
      <w:r w:rsidR="00675EBF" w:rsidRPr="00DA5594">
        <w:rPr>
          <w:color w:val="000000" w:themeColor="text1"/>
        </w:rPr>
        <w:t>預算比率亦屬偏高，</w:t>
      </w:r>
      <w:r w:rsidR="00223E3E" w:rsidRPr="00DA5594">
        <w:rPr>
          <w:rFonts w:hint="eastAsia"/>
          <w:color w:val="000000" w:themeColor="text1"/>
        </w:rPr>
        <w:t>本院</w:t>
      </w:r>
      <w:r w:rsidR="00E55EA3" w:rsidRPr="00DA5594">
        <w:rPr>
          <w:rFonts w:hint="eastAsia"/>
          <w:color w:val="000000" w:themeColor="text1"/>
          <w:u w:val="single"/>
        </w:rPr>
        <w:t>諮詢</w:t>
      </w:r>
      <w:r w:rsidR="00E55EA3" w:rsidRPr="00DA5594">
        <w:rPr>
          <w:color w:val="000000" w:themeColor="text1"/>
          <w:u w:val="single"/>
        </w:rPr>
        <w:t>學者</w:t>
      </w:r>
      <w:r w:rsidR="00223E3E" w:rsidRPr="00DA5594">
        <w:rPr>
          <w:color w:val="000000" w:themeColor="text1"/>
          <w:u w:val="single"/>
        </w:rPr>
        <w:t>指出，</w:t>
      </w:r>
      <w:r w:rsidR="00E55EA3" w:rsidRPr="00DA5594">
        <w:rPr>
          <w:color w:val="000000" w:themeColor="text1"/>
          <w:u w:val="single"/>
        </w:rPr>
        <w:t>依既有研究我國稅收預測誤差情形，相較紐西蘭、英國及日本等國更為明顯，且整體預測並未充分運用資訊，亦未完全符合預測弱理性原則</w:t>
      </w:r>
      <w:r w:rsidR="00E55EA3" w:rsidRPr="00DA5594">
        <w:rPr>
          <w:rStyle w:val="aff0"/>
          <w:color w:val="000000" w:themeColor="text1"/>
        </w:rPr>
        <w:footnoteReference w:id="1"/>
      </w:r>
      <w:r w:rsidR="00675EBF" w:rsidRPr="00DA5594">
        <w:rPr>
          <w:color w:val="000000" w:themeColor="text1"/>
        </w:rPr>
        <w:t>。</w:t>
      </w:r>
    </w:p>
    <w:p w14:paraId="42272107" w14:textId="77777777" w:rsidR="00654FF9" w:rsidRPr="00DA5594" w:rsidRDefault="00654FF9" w:rsidP="001B4923">
      <w:pPr>
        <w:pStyle w:val="a3"/>
        <w:keepLines/>
        <w:ind w:left="680" w:hanging="680"/>
        <w:rPr>
          <w:rFonts w:hAnsi="標楷體"/>
          <w:color w:val="000000" w:themeColor="text1"/>
        </w:rPr>
      </w:pPr>
      <w:r w:rsidRPr="00DA5594">
        <w:rPr>
          <w:rFonts w:hAnsi="標楷體" w:hint="eastAsia"/>
          <w:color w:val="000000" w:themeColor="text1"/>
        </w:rPr>
        <w:lastRenderedPageBreak/>
        <w:t>104至114年度全國及中央政府稅收實徵數與預算數比較表</w:t>
      </w:r>
    </w:p>
    <w:p w14:paraId="722AD704" w14:textId="77777777" w:rsidR="00654FF9" w:rsidRPr="00DA5594" w:rsidRDefault="00654FF9" w:rsidP="00654FF9">
      <w:pPr>
        <w:pStyle w:val="2"/>
        <w:numPr>
          <w:ilvl w:val="0"/>
          <w:numId w:val="0"/>
        </w:numPr>
        <w:adjustRightInd w:val="0"/>
        <w:snapToGrid w:val="0"/>
        <w:jc w:val="right"/>
        <w:rPr>
          <w:rFonts w:hAnsi="標楷體"/>
          <w:color w:val="000000" w:themeColor="text1"/>
          <w:sz w:val="24"/>
          <w:szCs w:val="24"/>
        </w:rPr>
      </w:pPr>
      <w:r w:rsidRPr="00DA5594">
        <w:rPr>
          <w:rFonts w:hAnsi="標楷體" w:hint="eastAsia"/>
          <w:color w:val="000000" w:themeColor="text1"/>
          <w:sz w:val="24"/>
          <w:szCs w:val="24"/>
        </w:rPr>
        <w:t>單位：億元</w:t>
      </w:r>
    </w:p>
    <w:tbl>
      <w:tblPr>
        <w:tblW w:w="5000" w:type="pct"/>
        <w:tblCellMar>
          <w:top w:w="28" w:type="dxa"/>
          <w:left w:w="28" w:type="dxa"/>
          <w:bottom w:w="28" w:type="dxa"/>
          <w:right w:w="28" w:type="dxa"/>
        </w:tblCellMar>
        <w:tblLook w:val="04A0" w:firstRow="1" w:lastRow="0" w:firstColumn="1" w:lastColumn="0" w:noHBand="0" w:noVBand="1"/>
      </w:tblPr>
      <w:tblGrid>
        <w:gridCol w:w="589"/>
        <w:gridCol w:w="1598"/>
        <w:gridCol w:w="1598"/>
        <w:gridCol w:w="1853"/>
        <w:gridCol w:w="1853"/>
        <w:gridCol w:w="1343"/>
      </w:tblGrid>
      <w:tr w:rsidR="00DA5594" w:rsidRPr="00DA5594" w14:paraId="2E412E2A" w14:textId="77777777" w:rsidTr="00115B0B">
        <w:trPr>
          <w:trHeight w:val="340"/>
          <w:tblHeader/>
        </w:trPr>
        <w:tc>
          <w:tcPr>
            <w:tcW w:w="3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87AD9C"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年度</w:t>
            </w:r>
          </w:p>
        </w:tc>
        <w:tc>
          <w:tcPr>
            <w:tcW w:w="9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1C2EF0"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全國實徵數</w:t>
            </w:r>
            <w:r w:rsidRPr="00DA5594">
              <w:rPr>
                <w:rFonts w:hAnsi="標楷體"/>
                <w:bCs/>
                <w:color w:val="000000" w:themeColor="text1"/>
                <w:spacing w:val="-20"/>
                <w:kern w:val="0"/>
                <w:sz w:val="24"/>
                <w:szCs w:val="24"/>
              </w:rPr>
              <w:br/>
              <w:t>與預算數比較</w:t>
            </w:r>
          </w:p>
        </w:tc>
        <w:tc>
          <w:tcPr>
            <w:tcW w:w="9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416B00"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中央實徵數</w:t>
            </w:r>
            <w:r w:rsidRPr="00DA5594">
              <w:rPr>
                <w:rFonts w:hAnsi="標楷體"/>
                <w:bCs/>
                <w:color w:val="000000" w:themeColor="text1"/>
                <w:spacing w:val="-20"/>
                <w:kern w:val="0"/>
                <w:sz w:val="24"/>
                <w:szCs w:val="24"/>
              </w:rPr>
              <w:br/>
              <w:t>與預算數比較</w:t>
            </w:r>
          </w:p>
        </w:tc>
        <w:tc>
          <w:tcPr>
            <w:tcW w:w="10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B2D996"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總預算歲計賸餘</w:t>
            </w:r>
          </w:p>
          <w:p w14:paraId="44520943"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(歲入-歲出)</w:t>
            </w:r>
          </w:p>
        </w:tc>
        <w:tc>
          <w:tcPr>
            <w:tcW w:w="10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3A2AE8"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總預算收支賸餘</w:t>
            </w:r>
          </w:p>
          <w:p w14:paraId="448CB869"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(賸餘-還債)</w:t>
            </w:r>
          </w:p>
        </w:tc>
        <w:tc>
          <w:tcPr>
            <w:tcW w:w="7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8B5B79"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spacing w:val="-20"/>
                <w:kern w:val="0"/>
                <w:sz w:val="24"/>
                <w:szCs w:val="24"/>
              </w:rPr>
            </w:pPr>
            <w:r w:rsidRPr="00DA5594">
              <w:rPr>
                <w:rFonts w:hAnsi="標楷體"/>
                <w:bCs/>
                <w:color w:val="000000" w:themeColor="text1"/>
                <w:spacing w:val="-20"/>
                <w:kern w:val="0"/>
                <w:sz w:val="24"/>
                <w:szCs w:val="24"/>
              </w:rPr>
              <w:t>歷年累計賸餘</w:t>
            </w:r>
            <w:r w:rsidRPr="00DA5594">
              <w:rPr>
                <w:rFonts w:hAnsi="標楷體" w:hint="eastAsia"/>
                <w:bCs/>
                <w:color w:val="000000" w:themeColor="text1"/>
                <w:spacing w:val="-20"/>
                <w:kern w:val="0"/>
                <w:sz w:val="24"/>
                <w:szCs w:val="24"/>
              </w:rPr>
              <w:t>(期末)</w:t>
            </w:r>
          </w:p>
        </w:tc>
      </w:tr>
      <w:tr w:rsidR="00DA5594" w:rsidRPr="00DA5594" w14:paraId="2E81D7D9"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4C8BE"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104</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5DF71"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1,877.88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9B14B"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1,457.14</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3496A"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-100.60</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41FB5"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3311F13"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27</w:t>
            </w:r>
          </w:p>
        </w:tc>
      </w:tr>
      <w:tr w:rsidR="00DA5594" w:rsidRPr="00DA5594" w14:paraId="184CC3E1"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25F4C"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105</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EBAAD"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1,277.90</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C7769"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938.33</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DB4A8"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-442.05</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8961B"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AD3540F"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24</w:t>
            </w:r>
          </w:p>
        </w:tc>
      </w:tr>
      <w:tr w:rsidR="00DA5594" w:rsidRPr="00DA5594" w14:paraId="72754A2E"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34F1A"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106</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E7369"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960.12</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E4A40"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535.67</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3618C"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25.18</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23212"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112.24</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261799D5"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175</w:t>
            </w:r>
          </w:p>
        </w:tc>
      </w:tr>
      <w:tr w:rsidR="00DA5594" w:rsidRPr="00DA5594" w14:paraId="3793B859"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BC3B2"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107</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F363E"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896.51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0B34C"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617.22</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B7573"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1,109.27</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5ACF3"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317.27</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E589688"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510</w:t>
            </w:r>
          </w:p>
        </w:tc>
      </w:tr>
      <w:tr w:rsidR="00DA5594" w:rsidRPr="00DA5594" w14:paraId="30FCB57F"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3F91C"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88BA6"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829.98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24F66"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390.32</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CCBB4"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1,207.23</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F9573"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322.23</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4C854D8B"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663</w:t>
            </w:r>
          </w:p>
        </w:tc>
      </w:tr>
      <w:tr w:rsidR="00DA5594" w:rsidRPr="00DA5594" w14:paraId="31E01BEE"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CBA778"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109</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49ABC"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-222.69</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0E69B"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-742.00</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B86A6"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1,302.53</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96CF0"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452.53</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2751CD7"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1,121</w:t>
            </w:r>
          </w:p>
        </w:tc>
      </w:tr>
      <w:tr w:rsidR="00DA5594" w:rsidRPr="00DA5594" w14:paraId="4B936CBD"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C394C"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110</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F0F85"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4,327.03</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34559"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3,252.40</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82DB1"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2,978.85</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DA848"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1,778.85</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6E8DA8D9"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2,751</w:t>
            </w:r>
          </w:p>
        </w:tc>
      </w:tr>
      <w:tr w:rsidR="00DA5594" w:rsidRPr="00DA5594" w14:paraId="38EE1306"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F7BAE"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8A710"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5,237.01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DFD89"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4,002.35</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439C1"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4,992.92</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85171"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3,492.92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0293BF6"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5,908</w:t>
            </w:r>
          </w:p>
        </w:tc>
      </w:tr>
      <w:tr w:rsidR="00DA5594" w:rsidRPr="00DA5594" w14:paraId="0B16BE84"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CB209"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112</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6C97B"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3,860.21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C2EBA"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2,933.68</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97482"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2,796.24</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75805"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1,536.24</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AE8ABE2"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7,044</w:t>
            </w:r>
          </w:p>
        </w:tc>
      </w:tr>
      <w:tr w:rsidR="00DA5594" w:rsidRPr="00DA5594" w14:paraId="7C8FFAC4"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79763"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113</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764BE"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5,282.86</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09436"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3,757.36</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29527"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3,597.48</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0D6F2"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bCs/>
                <w:color w:val="000000" w:themeColor="text1"/>
                <w:kern w:val="0"/>
                <w:sz w:val="28"/>
                <w:szCs w:val="28"/>
              </w:rPr>
              <w:t>1,648.95</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B22AE91"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8,393</w:t>
            </w:r>
          </w:p>
        </w:tc>
      </w:tr>
      <w:tr w:rsidR="00DA5594" w:rsidRPr="00DA5594" w14:paraId="78A0238F" w14:textId="77777777" w:rsidTr="00115B0B">
        <w:trPr>
          <w:trHeight w:val="340"/>
        </w:trPr>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433F4" w14:textId="77777777" w:rsidR="00654FF9" w:rsidRPr="00DA5594" w:rsidRDefault="00654FF9" w:rsidP="00784DF2">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w:t>
            </w:r>
            <w:r w:rsidRPr="00DA5594">
              <w:rPr>
                <w:rFonts w:hAnsi="標楷體" w:hint="eastAsia"/>
                <w:bCs/>
                <w:color w:val="000000" w:themeColor="text1"/>
                <w:kern w:val="0"/>
                <w:sz w:val="28"/>
                <w:szCs w:val="28"/>
              </w:rPr>
              <w:t>4</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9F021"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-142.95</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E0FAF"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-251.29</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8CC836B"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2,436.04</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8DA675B"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1,021.04</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0DBBCC7A" w14:textId="77777777" w:rsidR="00654FF9" w:rsidRPr="00DA5594" w:rsidRDefault="00654FF9" w:rsidP="00784DF2">
            <w:pPr>
              <w:kinsoku/>
              <w:overflowPunct/>
              <w:autoSpaceDE/>
              <w:autoSpaceDN/>
              <w:adjustRightInd w:val="0"/>
              <w:snapToGrid w:val="0"/>
              <w:spacing w:line="290" w:lineRule="exact"/>
              <w:jc w:val="right"/>
              <w:rPr>
                <w:rFonts w:hAnsi="標楷體"/>
                <w:bCs/>
                <w:color w:val="000000" w:themeColor="text1"/>
                <w:kern w:val="0"/>
                <w:sz w:val="28"/>
                <w:szCs w:val="28"/>
              </w:rPr>
            </w:pPr>
            <w:r w:rsidRPr="00DA5594">
              <w:rPr>
                <w:rFonts w:hAnsi="標楷體" w:hint="eastAsia"/>
                <w:bCs/>
                <w:color w:val="000000" w:themeColor="text1"/>
                <w:kern w:val="0"/>
                <w:sz w:val="28"/>
                <w:szCs w:val="28"/>
              </w:rPr>
              <w:t>5,470</w:t>
            </w:r>
          </w:p>
        </w:tc>
      </w:tr>
    </w:tbl>
    <w:p w14:paraId="32810A7A" w14:textId="579A058C" w:rsidR="00654FF9" w:rsidRPr="00DA5594" w:rsidRDefault="00654FF9" w:rsidP="00061B10">
      <w:pPr>
        <w:pStyle w:val="af5"/>
        <w:spacing w:after="40"/>
        <w:ind w:left="779" w:hangingChars="278" w:hanging="779"/>
        <w:rPr>
          <w:rFonts w:hAnsi="標楷體"/>
          <w:bCs/>
          <w:color w:val="000000" w:themeColor="text1"/>
        </w:rPr>
      </w:pPr>
      <w:r w:rsidRPr="00DA5594">
        <w:rPr>
          <w:rFonts w:hAnsi="標楷體" w:hint="eastAsia"/>
          <w:bCs/>
          <w:color w:val="000000" w:themeColor="text1"/>
        </w:rPr>
        <w:t>說明：全國及中央實徵數與預算數比較部分，如為正數</w:t>
      </w:r>
      <w:proofErr w:type="gramStart"/>
      <w:r w:rsidRPr="00DA5594">
        <w:rPr>
          <w:rFonts w:hAnsi="標楷體" w:hint="eastAsia"/>
          <w:bCs/>
          <w:color w:val="000000" w:themeColor="text1"/>
        </w:rPr>
        <w:t>係指實徵</w:t>
      </w:r>
      <w:proofErr w:type="gramEnd"/>
      <w:r w:rsidRPr="00DA5594">
        <w:rPr>
          <w:rFonts w:hAnsi="標楷體" w:hint="eastAsia"/>
          <w:bCs/>
          <w:color w:val="000000" w:themeColor="text1"/>
        </w:rPr>
        <w:t>數大於預算數；如為負數</w:t>
      </w:r>
      <w:proofErr w:type="gramStart"/>
      <w:r w:rsidRPr="00DA5594">
        <w:rPr>
          <w:rFonts w:hAnsi="標楷體" w:hint="eastAsia"/>
          <w:bCs/>
          <w:color w:val="000000" w:themeColor="text1"/>
        </w:rPr>
        <w:t>係指實徵</w:t>
      </w:r>
      <w:proofErr w:type="gramEnd"/>
      <w:r w:rsidRPr="00DA5594">
        <w:rPr>
          <w:rFonts w:hAnsi="標楷體" w:hint="eastAsia"/>
          <w:bCs/>
          <w:color w:val="000000" w:themeColor="text1"/>
        </w:rPr>
        <w:t>數小於預算數；</w:t>
      </w:r>
      <w:proofErr w:type="gramStart"/>
      <w:r w:rsidRPr="00DA5594">
        <w:rPr>
          <w:rFonts w:hAnsi="標楷體" w:hint="eastAsia"/>
          <w:bCs/>
          <w:color w:val="000000" w:themeColor="text1"/>
        </w:rPr>
        <w:t>114</w:t>
      </w:r>
      <w:proofErr w:type="gramEnd"/>
      <w:r w:rsidRPr="00DA5594">
        <w:rPr>
          <w:rFonts w:hAnsi="標楷體" w:hint="eastAsia"/>
          <w:bCs/>
          <w:color w:val="000000" w:themeColor="text1"/>
        </w:rPr>
        <w:t>年度歷年累計賸餘(期末)尚未計入審計部修正總決算調整數。</w:t>
      </w:r>
    </w:p>
    <w:p w14:paraId="1B7BC8F5" w14:textId="77777777" w:rsidR="00654FF9" w:rsidRPr="00DA5594" w:rsidRDefault="00654FF9" w:rsidP="00654FF9">
      <w:pPr>
        <w:pStyle w:val="af5"/>
        <w:rPr>
          <w:rFonts w:hAnsi="標楷體"/>
          <w:bCs/>
          <w:color w:val="000000" w:themeColor="text1"/>
        </w:rPr>
      </w:pPr>
      <w:r w:rsidRPr="00DA5594">
        <w:rPr>
          <w:rFonts w:hAnsi="標楷體" w:hint="eastAsia"/>
          <w:bCs/>
          <w:color w:val="000000" w:themeColor="text1"/>
        </w:rPr>
        <w:t>資料來源：財政部及主計總處提供本院並經本案查對整理之資料。</w:t>
      </w:r>
    </w:p>
    <w:p w14:paraId="1DC9AC4C" w14:textId="4E1803B2" w:rsidR="006915CB" w:rsidRPr="00DA5594" w:rsidRDefault="00654FF9">
      <w:pPr>
        <w:pStyle w:val="a3"/>
        <w:ind w:left="480"/>
        <w:rPr>
          <w:rFonts w:hAnsi="標楷體"/>
          <w:color w:val="000000" w:themeColor="text1"/>
        </w:rPr>
      </w:pPr>
      <w:r w:rsidRPr="00DA5594">
        <w:rPr>
          <w:rFonts w:hAnsi="標楷體" w:hint="eastAsia"/>
          <w:color w:val="000000" w:themeColor="text1"/>
        </w:rPr>
        <w:t>104至113年選樣國家稅課收入預算執行率比較表</w:t>
      </w:r>
    </w:p>
    <w:p w14:paraId="225E854F" w14:textId="4AD3BBF4" w:rsidR="00604F38" w:rsidRPr="00DA5594" w:rsidRDefault="00604F38" w:rsidP="00604F38">
      <w:pPr>
        <w:pStyle w:val="2"/>
        <w:numPr>
          <w:ilvl w:val="0"/>
          <w:numId w:val="0"/>
        </w:numPr>
        <w:adjustRightInd w:val="0"/>
        <w:snapToGrid w:val="0"/>
        <w:jc w:val="right"/>
        <w:rPr>
          <w:rFonts w:hAnsi="標楷體"/>
          <w:color w:val="000000" w:themeColor="text1"/>
          <w:sz w:val="24"/>
          <w:szCs w:val="24"/>
        </w:rPr>
      </w:pPr>
      <w:bookmarkStart w:id="51" w:name="_Hlk230605959"/>
      <w:r w:rsidRPr="00DA5594">
        <w:rPr>
          <w:rFonts w:hAnsi="標楷體" w:hint="eastAsia"/>
          <w:color w:val="000000" w:themeColor="text1"/>
          <w:sz w:val="24"/>
          <w:szCs w:val="24"/>
        </w:rPr>
        <w:t>單位：%</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28"/>
        <w:gridCol w:w="922"/>
        <w:gridCol w:w="679"/>
        <w:gridCol w:w="681"/>
        <w:gridCol w:w="679"/>
        <w:gridCol w:w="679"/>
        <w:gridCol w:w="679"/>
        <w:gridCol w:w="681"/>
        <w:gridCol w:w="679"/>
        <w:gridCol w:w="681"/>
        <w:gridCol w:w="681"/>
        <w:gridCol w:w="676"/>
      </w:tblGrid>
      <w:tr w:rsidR="00DA5594" w:rsidRPr="00DA5594" w14:paraId="61811317" w14:textId="77777777" w:rsidTr="00604F38">
        <w:trPr>
          <w:trHeight w:val="340"/>
          <w:tblHeader/>
        </w:trPr>
        <w:tc>
          <w:tcPr>
            <w:tcW w:w="637" w:type="pct"/>
            <w:tcBorders>
              <w:top w:val="single" w:sz="4" w:space="0" w:color="auto"/>
            </w:tcBorders>
            <w:shd w:val="clear" w:color="auto" w:fill="D9D9D9"/>
          </w:tcPr>
          <w:bookmarkEnd w:id="51"/>
          <w:p w14:paraId="740776CB" w14:textId="77777777" w:rsidR="00654FF9" w:rsidRPr="00DA5594" w:rsidRDefault="00654FF9" w:rsidP="00784DF2">
            <w:pPr>
              <w:adjustRightInd w:val="0"/>
              <w:snapToGrid w:val="0"/>
              <w:spacing w:line="290" w:lineRule="exact"/>
              <w:jc w:val="right"/>
              <w:rPr>
                <w:rFonts w:hAnsi="標楷體"/>
                <w:color w:val="000000" w:themeColor="text1"/>
                <w:spacing w:val="-40"/>
                <w:kern w:val="0"/>
                <w:sz w:val="24"/>
                <w:szCs w:val="24"/>
              </w:rPr>
            </w:pPr>
            <w:r w:rsidRPr="00DA5594">
              <w:rPr>
                <w:rFonts w:hAnsi="標楷體"/>
                <w:color w:val="000000" w:themeColor="text1"/>
                <w:spacing w:val="-40"/>
                <w:kern w:val="0"/>
                <w:sz w:val="24"/>
                <w:szCs w:val="24"/>
              </w:rPr>
              <w:t>國家</w:t>
            </w:r>
          </w:p>
          <w:p w14:paraId="5D654228"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預算執行率</w:t>
            </w:r>
            <w:r w:rsidRPr="00DA5594">
              <w:rPr>
                <w:rFonts w:hAnsi="標楷體"/>
                <w:color w:val="000000" w:themeColor="text1"/>
                <w:spacing w:val="-40"/>
                <w:kern w:val="0"/>
                <w:sz w:val="24"/>
                <w:szCs w:val="24"/>
                <w:vertAlign w:val="superscript"/>
              </w:rPr>
              <w:t>1</w:t>
            </w:r>
          </w:p>
          <w:p w14:paraId="10A7CE7A" w14:textId="77777777" w:rsidR="00654FF9" w:rsidRPr="00DA5594" w:rsidRDefault="00654FF9" w:rsidP="00784DF2">
            <w:pPr>
              <w:adjustRightInd w:val="0"/>
              <w:snapToGrid w:val="0"/>
              <w:spacing w:line="290" w:lineRule="exact"/>
              <w:rPr>
                <w:rFonts w:hAnsi="標楷體"/>
                <w:color w:val="000000" w:themeColor="text1"/>
                <w:spacing w:val="-40"/>
                <w:kern w:val="0"/>
                <w:sz w:val="24"/>
                <w:szCs w:val="24"/>
              </w:rPr>
            </w:pPr>
            <w:r w:rsidRPr="00DA5594">
              <w:rPr>
                <w:rFonts w:hAnsi="標楷體"/>
                <w:color w:val="000000" w:themeColor="text1"/>
                <w:spacing w:val="-40"/>
                <w:kern w:val="0"/>
                <w:sz w:val="24"/>
                <w:szCs w:val="24"/>
              </w:rPr>
              <w:t>年</w:t>
            </w:r>
          </w:p>
        </w:tc>
        <w:tc>
          <w:tcPr>
            <w:tcW w:w="521" w:type="pct"/>
            <w:tcBorders>
              <w:top w:val="single" w:sz="4" w:space="0" w:color="auto"/>
            </w:tcBorders>
            <w:shd w:val="clear" w:color="auto" w:fill="D9D9D9"/>
            <w:vAlign w:val="center"/>
          </w:tcPr>
          <w:p w14:paraId="10A8DEE9"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中華民國</w:t>
            </w:r>
            <w:r w:rsidRPr="00DA5594">
              <w:rPr>
                <w:rFonts w:hAnsi="標楷體"/>
                <w:color w:val="000000" w:themeColor="text1"/>
                <w:spacing w:val="-40"/>
                <w:kern w:val="0"/>
                <w:sz w:val="24"/>
                <w:szCs w:val="24"/>
                <w:vertAlign w:val="superscript"/>
              </w:rPr>
              <w:t>2</w:t>
            </w:r>
          </w:p>
        </w:tc>
        <w:tc>
          <w:tcPr>
            <w:tcW w:w="384" w:type="pct"/>
            <w:tcBorders>
              <w:top w:val="single" w:sz="4" w:space="0" w:color="auto"/>
            </w:tcBorders>
            <w:shd w:val="clear" w:color="auto" w:fill="D9D9D9"/>
            <w:vAlign w:val="center"/>
          </w:tcPr>
          <w:p w14:paraId="397C5A26"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南韓</w:t>
            </w:r>
          </w:p>
        </w:tc>
        <w:tc>
          <w:tcPr>
            <w:tcW w:w="385" w:type="pct"/>
            <w:tcBorders>
              <w:top w:val="single" w:sz="4" w:space="0" w:color="auto"/>
            </w:tcBorders>
            <w:shd w:val="clear" w:color="auto" w:fill="D9D9D9"/>
            <w:vAlign w:val="center"/>
          </w:tcPr>
          <w:p w14:paraId="729B44E9"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新加坡</w:t>
            </w:r>
          </w:p>
        </w:tc>
        <w:tc>
          <w:tcPr>
            <w:tcW w:w="384" w:type="pct"/>
            <w:tcBorders>
              <w:top w:val="single" w:sz="4" w:space="0" w:color="auto"/>
            </w:tcBorders>
            <w:shd w:val="clear" w:color="auto" w:fill="D9D9D9"/>
            <w:vAlign w:val="center"/>
          </w:tcPr>
          <w:p w14:paraId="49AF8812"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日本</w:t>
            </w:r>
          </w:p>
        </w:tc>
        <w:tc>
          <w:tcPr>
            <w:tcW w:w="384" w:type="pct"/>
            <w:tcBorders>
              <w:top w:val="single" w:sz="4" w:space="0" w:color="auto"/>
            </w:tcBorders>
            <w:shd w:val="clear" w:color="auto" w:fill="D9D9D9"/>
            <w:vAlign w:val="center"/>
          </w:tcPr>
          <w:p w14:paraId="6E03E3E4"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中國</w:t>
            </w:r>
          </w:p>
        </w:tc>
        <w:tc>
          <w:tcPr>
            <w:tcW w:w="384" w:type="pct"/>
            <w:tcBorders>
              <w:top w:val="single" w:sz="4" w:space="0" w:color="auto"/>
            </w:tcBorders>
            <w:shd w:val="clear" w:color="auto" w:fill="D9D9D9"/>
            <w:vAlign w:val="center"/>
          </w:tcPr>
          <w:p w14:paraId="264A9B5D"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美國</w:t>
            </w:r>
          </w:p>
        </w:tc>
        <w:tc>
          <w:tcPr>
            <w:tcW w:w="385" w:type="pct"/>
            <w:tcBorders>
              <w:top w:val="single" w:sz="4" w:space="0" w:color="auto"/>
            </w:tcBorders>
            <w:shd w:val="clear" w:color="auto" w:fill="D9D9D9"/>
            <w:vAlign w:val="center"/>
          </w:tcPr>
          <w:p w14:paraId="17370A3E"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加拿大</w:t>
            </w:r>
          </w:p>
        </w:tc>
        <w:tc>
          <w:tcPr>
            <w:tcW w:w="384" w:type="pct"/>
            <w:tcBorders>
              <w:top w:val="single" w:sz="4" w:space="0" w:color="auto"/>
            </w:tcBorders>
            <w:shd w:val="clear" w:color="auto" w:fill="D9D9D9"/>
            <w:vAlign w:val="center"/>
          </w:tcPr>
          <w:p w14:paraId="35909CA1"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英國</w:t>
            </w:r>
          </w:p>
        </w:tc>
        <w:tc>
          <w:tcPr>
            <w:tcW w:w="385" w:type="pct"/>
            <w:tcBorders>
              <w:top w:val="single" w:sz="4" w:space="0" w:color="auto"/>
            </w:tcBorders>
            <w:shd w:val="clear" w:color="auto" w:fill="D9D9D9"/>
            <w:vAlign w:val="center"/>
          </w:tcPr>
          <w:p w14:paraId="07D5977F"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愛爾蘭</w:t>
            </w:r>
          </w:p>
        </w:tc>
        <w:tc>
          <w:tcPr>
            <w:tcW w:w="385" w:type="pct"/>
            <w:tcBorders>
              <w:top w:val="single" w:sz="4" w:space="0" w:color="auto"/>
            </w:tcBorders>
            <w:shd w:val="clear" w:color="auto" w:fill="D9D9D9"/>
            <w:vAlign w:val="center"/>
          </w:tcPr>
          <w:p w14:paraId="28218FCC"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color w:val="000000" w:themeColor="text1"/>
                <w:spacing w:val="-40"/>
                <w:kern w:val="0"/>
                <w:sz w:val="24"/>
                <w:szCs w:val="24"/>
              </w:rPr>
              <w:t>紐西蘭</w:t>
            </w:r>
          </w:p>
        </w:tc>
        <w:tc>
          <w:tcPr>
            <w:tcW w:w="382" w:type="pct"/>
            <w:tcBorders>
              <w:top w:val="single" w:sz="4" w:space="0" w:color="auto"/>
            </w:tcBorders>
            <w:shd w:val="clear" w:color="auto" w:fill="D9D9D9"/>
            <w:vAlign w:val="center"/>
          </w:tcPr>
          <w:p w14:paraId="2A96427A" w14:textId="77777777" w:rsidR="00654FF9" w:rsidRPr="00DA5594" w:rsidRDefault="00654FF9" w:rsidP="00784DF2">
            <w:pPr>
              <w:adjustRightInd w:val="0"/>
              <w:snapToGrid w:val="0"/>
              <w:spacing w:line="290" w:lineRule="exact"/>
              <w:jc w:val="center"/>
              <w:rPr>
                <w:rFonts w:hAnsi="標楷體"/>
                <w:color w:val="000000" w:themeColor="text1"/>
                <w:spacing w:val="-40"/>
                <w:kern w:val="0"/>
                <w:sz w:val="24"/>
                <w:szCs w:val="24"/>
              </w:rPr>
            </w:pPr>
            <w:r w:rsidRPr="00DA5594">
              <w:rPr>
                <w:rFonts w:hAnsi="標楷體" w:hint="eastAsia"/>
                <w:color w:val="000000" w:themeColor="text1"/>
                <w:spacing w:val="-40"/>
                <w:kern w:val="0"/>
                <w:sz w:val="24"/>
                <w:szCs w:val="24"/>
              </w:rPr>
              <w:t>澳洲</w:t>
            </w:r>
          </w:p>
        </w:tc>
      </w:tr>
      <w:tr w:rsidR="00DA5594" w:rsidRPr="00DA5594" w14:paraId="0E8AEA2B" w14:textId="77777777" w:rsidTr="00604F38">
        <w:trPr>
          <w:trHeight w:val="340"/>
          <w:tblHeader/>
        </w:trPr>
        <w:tc>
          <w:tcPr>
            <w:tcW w:w="637" w:type="pct"/>
            <w:shd w:val="clear" w:color="auto" w:fill="auto"/>
            <w:vAlign w:val="center"/>
          </w:tcPr>
          <w:p w14:paraId="2FC65237"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hint="eastAsia"/>
                <w:color w:val="000000" w:themeColor="text1"/>
                <w:spacing w:val="-20"/>
                <w:sz w:val="28"/>
                <w:szCs w:val="28"/>
              </w:rPr>
              <w:t>104</w:t>
            </w:r>
          </w:p>
        </w:tc>
        <w:tc>
          <w:tcPr>
            <w:tcW w:w="521" w:type="pct"/>
            <w:shd w:val="clear" w:color="auto" w:fill="auto"/>
            <w:vAlign w:val="center"/>
          </w:tcPr>
          <w:p w14:paraId="664CE14B"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109.64</w:t>
            </w:r>
          </w:p>
        </w:tc>
        <w:tc>
          <w:tcPr>
            <w:tcW w:w="384" w:type="pct"/>
            <w:shd w:val="clear" w:color="auto" w:fill="auto"/>
            <w:vAlign w:val="center"/>
          </w:tcPr>
          <w:p w14:paraId="2E6BE7DE"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101.07</w:t>
            </w:r>
          </w:p>
        </w:tc>
        <w:tc>
          <w:tcPr>
            <w:tcW w:w="385" w:type="pct"/>
            <w:shd w:val="clear" w:color="auto" w:fill="auto"/>
            <w:vAlign w:val="center"/>
          </w:tcPr>
          <w:p w14:paraId="7CAAFF8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99.82</w:t>
            </w:r>
          </w:p>
        </w:tc>
        <w:tc>
          <w:tcPr>
            <w:tcW w:w="384" w:type="pct"/>
            <w:shd w:val="clear" w:color="auto" w:fill="auto"/>
            <w:vAlign w:val="center"/>
          </w:tcPr>
          <w:p w14:paraId="4719834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99.75</w:t>
            </w:r>
          </w:p>
        </w:tc>
        <w:tc>
          <w:tcPr>
            <w:tcW w:w="384" w:type="pct"/>
            <w:shd w:val="clear" w:color="auto" w:fill="auto"/>
            <w:vAlign w:val="center"/>
          </w:tcPr>
          <w:p w14:paraId="38CE45A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97.39</w:t>
            </w:r>
          </w:p>
        </w:tc>
        <w:tc>
          <w:tcPr>
            <w:tcW w:w="384" w:type="pct"/>
            <w:shd w:val="clear" w:color="auto" w:fill="auto"/>
            <w:vAlign w:val="center"/>
          </w:tcPr>
          <w:p w14:paraId="5C5247F1"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101.9</w:t>
            </w:r>
            <w:r w:rsidRPr="00DA5594">
              <w:rPr>
                <w:rFonts w:hAnsi="標楷體" w:hint="eastAsia"/>
                <w:snapToGrid w:val="0"/>
                <w:color w:val="000000" w:themeColor="text1"/>
                <w:spacing w:val="-40"/>
                <w:kern w:val="0"/>
                <w:sz w:val="26"/>
                <w:szCs w:val="26"/>
              </w:rPr>
              <w:t>1</w:t>
            </w:r>
          </w:p>
        </w:tc>
        <w:tc>
          <w:tcPr>
            <w:tcW w:w="385" w:type="pct"/>
            <w:shd w:val="clear" w:color="auto" w:fill="auto"/>
            <w:vAlign w:val="center"/>
          </w:tcPr>
          <w:p w14:paraId="5B9EDE9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100.48</w:t>
            </w:r>
          </w:p>
        </w:tc>
        <w:tc>
          <w:tcPr>
            <w:tcW w:w="384" w:type="pct"/>
            <w:shd w:val="clear" w:color="auto" w:fill="auto"/>
            <w:vAlign w:val="center"/>
          </w:tcPr>
          <w:p w14:paraId="78CD175F"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99.64</w:t>
            </w:r>
          </w:p>
        </w:tc>
        <w:tc>
          <w:tcPr>
            <w:tcW w:w="385" w:type="pct"/>
            <w:shd w:val="clear" w:color="auto" w:fill="auto"/>
            <w:vAlign w:val="center"/>
          </w:tcPr>
          <w:p w14:paraId="6F068847"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107.80</w:t>
            </w:r>
          </w:p>
        </w:tc>
        <w:tc>
          <w:tcPr>
            <w:tcW w:w="385" w:type="pct"/>
            <w:shd w:val="clear" w:color="auto" w:fill="auto"/>
            <w:vAlign w:val="center"/>
          </w:tcPr>
          <w:p w14:paraId="68A6F3DE"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101.79</w:t>
            </w:r>
          </w:p>
        </w:tc>
        <w:tc>
          <w:tcPr>
            <w:tcW w:w="382" w:type="pct"/>
            <w:shd w:val="clear" w:color="auto" w:fill="auto"/>
            <w:vAlign w:val="center"/>
          </w:tcPr>
          <w:p w14:paraId="67E67106"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97.79</w:t>
            </w:r>
          </w:p>
        </w:tc>
      </w:tr>
      <w:tr w:rsidR="00DA5594" w:rsidRPr="00DA5594" w14:paraId="0EC56A5D" w14:textId="77777777" w:rsidTr="00604F38">
        <w:trPr>
          <w:trHeight w:val="340"/>
          <w:tblHeader/>
        </w:trPr>
        <w:tc>
          <w:tcPr>
            <w:tcW w:w="637" w:type="pct"/>
            <w:shd w:val="clear" w:color="auto" w:fill="auto"/>
            <w:vAlign w:val="center"/>
          </w:tcPr>
          <w:p w14:paraId="0246382F"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hint="eastAsia"/>
                <w:color w:val="000000" w:themeColor="text1"/>
                <w:spacing w:val="-20"/>
                <w:sz w:val="28"/>
                <w:szCs w:val="28"/>
              </w:rPr>
              <w:t>105</w:t>
            </w:r>
          </w:p>
        </w:tc>
        <w:tc>
          <w:tcPr>
            <w:tcW w:w="521" w:type="pct"/>
            <w:shd w:val="clear" w:color="auto" w:fill="auto"/>
            <w:vAlign w:val="center"/>
          </w:tcPr>
          <w:p w14:paraId="5AE61E4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106.10</w:t>
            </w:r>
          </w:p>
        </w:tc>
        <w:tc>
          <w:tcPr>
            <w:tcW w:w="384" w:type="pct"/>
            <w:shd w:val="clear" w:color="auto" w:fill="auto"/>
            <w:vAlign w:val="center"/>
          </w:tcPr>
          <w:p w14:paraId="4924039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104.51</w:t>
            </w:r>
          </w:p>
        </w:tc>
        <w:tc>
          <w:tcPr>
            <w:tcW w:w="385" w:type="pct"/>
            <w:shd w:val="clear" w:color="auto" w:fill="auto"/>
            <w:vAlign w:val="center"/>
          </w:tcPr>
          <w:p w14:paraId="05AA0C5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99.20</w:t>
            </w:r>
          </w:p>
        </w:tc>
        <w:tc>
          <w:tcPr>
            <w:tcW w:w="384" w:type="pct"/>
            <w:shd w:val="clear" w:color="auto" w:fill="auto"/>
            <w:vAlign w:val="center"/>
          </w:tcPr>
          <w:p w14:paraId="67A79189"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99.30</w:t>
            </w:r>
          </w:p>
        </w:tc>
        <w:tc>
          <w:tcPr>
            <w:tcW w:w="384" w:type="pct"/>
            <w:shd w:val="clear" w:color="auto" w:fill="auto"/>
            <w:vAlign w:val="center"/>
          </w:tcPr>
          <w:p w14:paraId="22871641"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101.25</w:t>
            </w:r>
          </w:p>
        </w:tc>
        <w:tc>
          <w:tcPr>
            <w:tcW w:w="384" w:type="pct"/>
            <w:shd w:val="clear" w:color="auto" w:fill="auto"/>
            <w:vAlign w:val="center"/>
          </w:tcPr>
          <w:p w14:paraId="336D7B27"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96.80</w:t>
            </w:r>
          </w:p>
        </w:tc>
        <w:tc>
          <w:tcPr>
            <w:tcW w:w="385" w:type="pct"/>
            <w:shd w:val="clear" w:color="auto" w:fill="auto"/>
            <w:vAlign w:val="center"/>
          </w:tcPr>
          <w:p w14:paraId="0A1A6236"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103.08</w:t>
            </w:r>
          </w:p>
        </w:tc>
        <w:tc>
          <w:tcPr>
            <w:tcW w:w="384" w:type="pct"/>
            <w:shd w:val="clear" w:color="auto" w:fill="auto"/>
            <w:vAlign w:val="center"/>
          </w:tcPr>
          <w:p w14:paraId="3136595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102.28</w:t>
            </w:r>
          </w:p>
        </w:tc>
        <w:tc>
          <w:tcPr>
            <w:tcW w:w="385" w:type="pct"/>
            <w:shd w:val="clear" w:color="auto" w:fill="auto"/>
            <w:vAlign w:val="center"/>
          </w:tcPr>
          <w:p w14:paraId="0D0DCFB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101.35</w:t>
            </w:r>
          </w:p>
        </w:tc>
        <w:tc>
          <w:tcPr>
            <w:tcW w:w="385" w:type="pct"/>
            <w:shd w:val="clear" w:color="auto" w:fill="auto"/>
            <w:vAlign w:val="center"/>
          </w:tcPr>
          <w:p w14:paraId="65E5B3E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102.20</w:t>
            </w:r>
          </w:p>
        </w:tc>
        <w:tc>
          <w:tcPr>
            <w:tcW w:w="382" w:type="pct"/>
            <w:shd w:val="clear" w:color="auto" w:fill="auto"/>
            <w:vAlign w:val="center"/>
          </w:tcPr>
          <w:p w14:paraId="3832C53C"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99.09</w:t>
            </w:r>
          </w:p>
        </w:tc>
      </w:tr>
      <w:tr w:rsidR="00DA5594" w:rsidRPr="00DA5594" w14:paraId="61296D4B" w14:textId="77777777" w:rsidTr="00604F38">
        <w:trPr>
          <w:trHeight w:val="340"/>
          <w:tblHeader/>
        </w:trPr>
        <w:tc>
          <w:tcPr>
            <w:tcW w:w="637" w:type="pct"/>
            <w:shd w:val="clear" w:color="auto" w:fill="auto"/>
            <w:vAlign w:val="center"/>
          </w:tcPr>
          <w:p w14:paraId="468E23EA"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hint="eastAsia"/>
                <w:color w:val="000000" w:themeColor="text1"/>
                <w:spacing w:val="-20"/>
                <w:sz w:val="28"/>
                <w:szCs w:val="28"/>
              </w:rPr>
              <w:t>106</w:t>
            </w:r>
          </w:p>
        </w:tc>
        <w:tc>
          <w:tcPr>
            <w:tcW w:w="521" w:type="pct"/>
            <w:shd w:val="clear" w:color="auto" w:fill="auto"/>
            <w:vAlign w:val="center"/>
          </w:tcPr>
          <w:p w14:paraId="56048F57"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104.45</w:t>
            </w:r>
          </w:p>
        </w:tc>
        <w:tc>
          <w:tcPr>
            <w:tcW w:w="384" w:type="pct"/>
            <w:shd w:val="clear" w:color="auto" w:fill="auto"/>
            <w:vAlign w:val="center"/>
          </w:tcPr>
          <w:p w14:paraId="07FBD37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106.13</w:t>
            </w:r>
          </w:p>
        </w:tc>
        <w:tc>
          <w:tcPr>
            <w:tcW w:w="385" w:type="pct"/>
            <w:shd w:val="clear" w:color="auto" w:fill="auto"/>
            <w:vAlign w:val="center"/>
          </w:tcPr>
          <w:p w14:paraId="62EBAA4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111.77</w:t>
            </w:r>
          </w:p>
        </w:tc>
        <w:tc>
          <w:tcPr>
            <w:tcW w:w="384" w:type="pct"/>
            <w:shd w:val="clear" w:color="auto" w:fill="auto"/>
            <w:vAlign w:val="center"/>
          </w:tcPr>
          <w:p w14:paraId="05EF8AC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101.86</w:t>
            </w:r>
          </w:p>
        </w:tc>
        <w:tc>
          <w:tcPr>
            <w:tcW w:w="384" w:type="pct"/>
            <w:shd w:val="clear" w:color="auto" w:fill="auto"/>
            <w:vAlign w:val="center"/>
          </w:tcPr>
          <w:p w14:paraId="51AAF3B7"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106.52</w:t>
            </w:r>
          </w:p>
        </w:tc>
        <w:tc>
          <w:tcPr>
            <w:tcW w:w="384" w:type="pct"/>
            <w:shd w:val="clear" w:color="auto" w:fill="auto"/>
            <w:vAlign w:val="center"/>
          </w:tcPr>
          <w:p w14:paraId="2654990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97.41</w:t>
            </w:r>
          </w:p>
        </w:tc>
        <w:tc>
          <w:tcPr>
            <w:tcW w:w="385" w:type="pct"/>
            <w:shd w:val="clear" w:color="auto" w:fill="auto"/>
            <w:vAlign w:val="center"/>
          </w:tcPr>
          <w:p w14:paraId="167EC04A"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102.83</w:t>
            </w:r>
          </w:p>
        </w:tc>
        <w:tc>
          <w:tcPr>
            <w:tcW w:w="384" w:type="pct"/>
            <w:shd w:val="clear" w:color="auto" w:fill="auto"/>
            <w:vAlign w:val="center"/>
          </w:tcPr>
          <w:p w14:paraId="17A3933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101.14</w:t>
            </w:r>
          </w:p>
        </w:tc>
        <w:tc>
          <w:tcPr>
            <w:tcW w:w="385" w:type="pct"/>
            <w:shd w:val="clear" w:color="auto" w:fill="auto"/>
            <w:vAlign w:val="center"/>
          </w:tcPr>
          <w:p w14:paraId="7952EDD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100.23</w:t>
            </w:r>
          </w:p>
        </w:tc>
        <w:tc>
          <w:tcPr>
            <w:tcW w:w="385" w:type="pct"/>
            <w:shd w:val="clear" w:color="auto" w:fill="auto"/>
            <w:vAlign w:val="center"/>
          </w:tcPr>
          <w:p w14:paraId="7D7AEA3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102.24</w:t>
            </w:r>
          </w:p>
        </w:tc>
        <w:tc>
          <w:tcPr>
            <w:tcW w:w="382" w:type="pct"/>
            <w:shd w:val="clear" w:color="auto" w:fill="auto"/>
            <w:vAlign w:val="center"/>
          </w:tcPr>
          <w:p w14:paraId="6F77C76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103.40</w:t>
            </w:r>
          </w:p>
        </w:tc>
      </w:tr>
      <w:tr w:rsidR="00DA5594" w:rsidRPr="00DA5594" w14:paraId="5DD6A45F" w14:textId="77777777" w:rsidTr="00604F38">
        <w:trPr>
          <w:trHeight w:val="340"/>
          <w:tblHeader/>
        </w:trPr>
        <w:tc>
          <w:tcPr>
            <w:tcW w:w="637" w:type="pct"/>
            <w:shd w:val="clear" w:color="auto" w:fill="auto"/>
            <w:vAlign w:val="center"/>
          </w:tcPr>
          <w:p w14:paraId="0D52BCFA"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color w:val="000000" w:themeColor="text1"/>
                <w:spacing w:val="-20"/>
                <w:sz w:val="28"/>
                <w:szCs w:val="28"/>
              </w:rPr>
              <w:t>107</w:t>
            </w:r>
          </w:p>
        </w:tc>
        <w:tc>
          <w:tcPr>
            <w:tcW w:w="521" w:type="pct"/>
            <w:shd w:val="clear" w:color="auto" w:fill="auto"/>
            <w:vAlign w:val="center"/>
          </w:tcPr>
          <w:p w14:paraId="3A28776C"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103.90</w:t>
            </w:r>
          </w:p>
        </w:tc>
        <w:tc>
          <w:tcPr>
            <w:tcW w:w="384" w:type="pct"/>
            <w:shd w:val="clear" w:color="auto" w:fill="auto"/>
            <w:vAlign w:val="center"/>
          </w:tcPr>
          <w:p w14:paraId="3D7A315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110.12</w:t>
            </w:r>
          </w:p>
        </w:tc>
        <w:tc>
          <w:tcPr>
            <w:tcW w:w="385" w:type="pct"/>
            <w:shd w:val="clear" w:color="auto" w:fill="auto"/>
            <w:vAlign w:val="center"/>
          </w:tcPr>
          <w:p w14:paraId="13C3BEE9"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104.62</w:t>
            </w:r>
          </w:p>
        </w:tc>
        <w:tc>
          <w:tcPr>
            <w:tcW w:w="384" w:type="pct"/>
            <w:shd w:val="clear" w:color="auto" w:fill="auto"/>
            <w:vAlign w:val="center"/>
          </w:tcPr>
          <w:p w14:paraId="577F9E2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100.71</w:t>
            </w:r>
          </w:p>
        </w:tc>
        <w:tc>
          <w:tcPr>
            <w:tcW w:w="384" w:type="pct"/>
            <w:shd w:val="clear" w:color="auto" w:fill="auto"/>
            <w:vAlign w:val="center"/>
          </w:tcPr>
          <w:p w14:paraId="55E21547"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101.78</w:t>
            </w:r>
          </w:p>
        </w:tc>
        <w:tc>
          <w:tcPr>
            <w:tcW w:w="384" w:type="pct"/>
            <w:shd w:val="clear" w:color="auto" w:fill="auto"/>
            <w:vAlign w:val="center"/>
          </w:tcPr>
          <w:p w14:paraId="5D5734F6"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94.31</w:t>
            </w:r>
          </w:p>
        </w:tc>
        <w:tc>
          <w:tcPr>
            <w:tcW w:w="385" w:type="pct"/>
            <w:shd w:val="clear" w:color="auto" w:fill="auto"/>
            <w:vAlign w:val="center"/>
          </w:tcPr>
          <w:p w14:paraId="759797FB"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103.46</w:t>
            </w:r>
          </w:p>
        </w:tc>
        <w:tc>
          <w:tcPr>
            <w:tcW w:w="384" w:type="pct"/>
            <w:shd w:val="clear" w:color="auto" w:fill="auto"/>
            <w:vAlign w:val="center"/>
          </w:tcPr>
          <w:p w14:paraId="53AE777C"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99.89</w:t>
            </w:r>
          </w:p>
        </w:tc>
        <w:tc>
          <w:tcPr>
            <w:tcW w:w="385" w:type="pct"/>
            <w:shd w:val="clear" w:color="auto" w:fill="auto"/>
            <w:vAlign w:val="center"/>
          </w:tcPr>
          <w:p w14:paraId="672AC14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103.54</w:t>
            </w:r>
          </w:p>
        </w:tc>
        <w:tc>
          <w:tcPr>
            <w:tcW w:w="385" w:type="pct"/>
            <w:shd w:val="clear" w:color="auto" w:fill="auto"/>
            <w:vAlign w:val="center"/>
          </w:tcPr>
          <w:p w14:paraId="6E4512C9"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101.77</w:t>
            </w:r>
          </w:p>
        </w:tc>
        <w:tc>
          <w:tcPr>
            <w:tcW w:w="382" w:type="pct"/>
            <w:shd w:val="clear" w:color="auto" w:fill="auto"/>
            <w:vAlign w:val="center"/>
          </w:tcPr>
          <w:p w14:paraId="6AEE94FD"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101.84</w:t>
            </w:r>
          </w:p>
        </w:tc>
      </w:tr>
      <w:tr w:rsidR="00DA5594" w:rsidRPr="00DA5594" w14:paraId="12FD86C8" w14:textId="77777777" w:rsidTr="00604F38">
        <w:trPr>
          <w:trHeight w:val="340"/>
          <w:tblHeader/>
        </w:trPr>
        <w:tc>
          <w:tcPr>
            <w:tcW w:w="637" w:type="pct"/>
            <w:tcBorders>
              <w:bottom w:val="single" w:sz="4" w:space="0" w:color="auto"/>
            </w:tcBorders>
            <w:shd w:val="clear" w:color="auto" w:fill="auto"/>
            <w:vAlign w:val="center"/>
          </w:tcPr>
          <w:p w14:paraId="0E6CB119"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color w:val="000000" w:themeColor="text1"/>
                <w:spacing w:val="-20"/>
                <w:sz w:val="28"/>
                <w:szCs w:val="28"/>
              </w:rPr>
              <w:t>108</w:t>
            </w:r>
          </w:p>
        </w:tc>
        <w:tc>
          <w:tcPr>
            <w:tcW w:w="521" w:type="pct"/>
            <w:tcBorders>
              <w:bottom w:val="single" w:sz="4" w:space="0" w:color="auto"/>
            </w:tcBorders>
            <w:shd w:val="clear" w:color="auto" w:fill="auto"/>
            <w:vAlign w:val="center"/>
          </w:tcPr>
          <w:p w14:paraId="7AD2C4B9"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103.48</w:t>
            </w:r>
          </w:p>
        </w:tc>
        <w:tc>
          <w:tcPr>
            <w:tcW w:w="384" w:type="pct"/>
            <w:tcBorders>
              <w:bottom w:val="single" w:sz="4" w:space="0" w:color="auto"/>
            </w:tcBorders>
            <w:shd w:val="clear" w:color="auto" w:fill="auto"/>
            <w:vAlign w:val="center"/>
          </w:tcPr>
          <w:p w14:paraId="02D1F9B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100.01</w:t>
            </w:r>
          </w:p>
        </w:tc>
        <w:tc>
          <w:tcPr>
            <w:tcW w:w="385" w:type="pct"/>
            <w:tcBorders>
              <w:bottom w:val="single" w:sz="4" w:space="0" w:color="auto"/>
            </w:tcBorders>
            <w:shd w:val="clear" w:color="auto" w:fill="auto"/>
            <w:vAlign w:val="center"/>
          </w:tcPr>
          <w:p w14:paraId="4C6511AE"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99.89</w:t>
            </w:r>
          </w:p>
        </w:tc>
        <w:tc>
          <w:tcPr>
            <w:tcW w:w="384" w:type="pct"/>
            <w:tcBorders>
              <w:bottom w:val="single" w:sz="4" w:space="0" w:color="auto"/>
            </w:tcBorders>
            <w:shd w:val="clear" w:color="auto" w:fill="auto"/>
            <w:vAlign w:val="center"/>
          </w:tcPr>
          <w:p w14:paraId="5C642F41"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97.11</w:t>
            </w:r>
          </w:p>
        </w:tc>
        <w:tc>
          <w:tcPr>
            <w:tcW w:w="384" w:type="pct"/>
            <w:tcBorders>
              <w:bottom w:val="single" w:sz="4" w:space="0" w:color="auto"/>
            </w:tcBorders>
            <w:shd w:val="clear" w:color="auto" w:fill="auto"/>
            <w:vAlign w:val="center"/>
          </w:tcPr>
          <w:p w14:paraId="0A75C8CD"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97.93</w:t>
            </w:r>
          </w:p>
        </w:tc>
        <w:tc>
          <w:tcPr>
            <w:tcW w:w="384" w:type="pct"/>
            <w:tcBorders>
              <w:bottom w:val="single" w:sz="4" w:space="0" w:color="auto"/>
            </w:tcBorders>
            <w:shd w:val="clear" w:color="auto" w:fill="auto"/>
            <w:vAlign w:val="center"/>
          </w:tcPr>
          <w:p w14:paraId="63A5216F"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98.52</w:t>
            </w:r>
          </w:p>
        </w:tc>
        <w:tc>
          <w:tcPr>
            <w:tcW w:w="385" w:type="pct"/>
            <w:tcBorders>
              <w:bottom w:val="single" w:sz="4" w:space="0" w:color="auto"/>
            </w:tcBorders>
            <w:shd w:val="clear" w:color="auto" w:fill="auto"/>
            <w:vAlign w:val="center"/>
          </w:tcPr>
          <w:p w14:paraId="51008BAB"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103.14</w:t>
            </w:r>
          </w:p>
        </w:tc>
        <w:tc>
          <w:tcPr>
            <w:tcW w:w="384" w:type="pct"/>
            <w:tcBorders>
              <w:bottom w:val="single" w:sz="4" w:space="0" w:color="auto"/>
            </w:tcBorders>
            <w:shd w:val="clear" w:color="auto" w:fill="auto"/>
            <w:vAlign w:val="center"/>
          </w:tcPr>
          <w:p w14:paraId="1CFB11FD"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98.49</w:t>
            </w:r>
          </w:p>
        </w:tc>
        <w:tc>
          <w:tcPr>
            <w:tcW w:w="385" w:type="pct"/>
            <w:tcBorders>
              <w:bottom w:val="single" w:sz="4" w:space="0" w:color="auto"/>
            </w:tcBorders>
            <w:shd w:val="clear" w:color="auto" w:fill="auto"/>
            <w:vAlign w:val="center"/>
          </w:tcPr>
          <w:p w14:paraId="66EDDBD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102.36</w:t>
            </w:r>
          </w:p>
        </w:tc>
        <w:tc>
          <w:tcPr>
            <w:tcW w:w="385" w:type="pct"/>
            <w:tcBorders>
              <w:bottom w:val="single" w:sz="4" w:space="0" w:color="auto"/>
            </w:tcBorders>
            <w:shd w:val="clear" w:color="auto" w:fill="auto"/>
            <w:vAlign w:val="center"/>
          </w:tcPr>
          <w:p w14:paraId="4E17CB81"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102.99</w:t>
            </w:r>
          </w:p>
        </w:tc>
        <w:tc>
          <w:tcPr>
            <w:tcW w:w="382" w:type="pct"/>
            <w:tcBorders>
              <w:bottom w:val="single" w:sz="4" w:space="0" w:color="auto"/>
            </w:tcBorders>
            <w:shd w:val="clear" w:color="auto" w:fill="auto"/>
            <w:vAlign w:val="center"/>
          </w:tcPr>
          <w:p w14:paraId="01E6EC2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92.58</w:t>
            </w:r>
          </w:p>
        </w:tc>
      </w:tr>
      <w:tr w:rsidR="00DA5594" w:rsidRPr="00DA5594" w14:paraId="3028F2DB" w14:textId="77777777" w:rsidTr="00604F38">
        <w:trPr>
          <w:trHeight w:val="340"/>
        </w:trPr>
        <w:tc>
          <w:tcPr>
            <w:tcW w:w="637" w:type="pct"/>
            <w:tcBorders>
              <w:bottom w:val="single" w:sz="4" w:space="0" w:color="auto"/>
            </w:tcBorders>
            <w:shd w:val="clear" w:color="auto" w:fill="auto"/>
            <w:vAlign w:val="center"/>
          </w:tcPr>
          <w:p w14:paraId="23286381"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color w:val="000000" w:themeColor="text1"/>
                <w:spacing w:val="-20"/>
                <w:sz w:val="28"/>
                <w:szCs w:val="28"/>
              </w:rPr>
              <w:t>109</w:t>
            </w:r>
          </w:p>
        </w:tc>
        <w:tc>
          <w:tcPr>
            <w:tcW w:w="521" w:type="pct"/>
            <w:tcBorders>
              <w:bottom w:val="single" w:sz="4" w:space="0" w:color="auto"/>
            </w:tcBorders>
            <w:shd w:val="clear" w:color="auto" w:fill="auto"/>
            <w:vAlign w:val="center"/>
          </w:tcPr>
          <w:p w14:paraId="5F7E02DC"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99.08</w:t>
            </w:r>
          </w:p>
        </w:tc>
        <w:tc>
          <w:tcPr>
            <w:tcW w:w="384" w:type="pct"/>
            <w:tcBorders>
              <w:bottom w:val="single" w:sz="4" w:space="0" w:color="auto"/>
            </w:tcBorders>
            <w:shd w:val="clear" w:color="auto" w:fill="auto"/>
            <w:vAlign w:val="center"/>
          </w:tcPr>
          <w:p w14:paraId="0040983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102.32</w:t>
            </w:r>
          </w:p>
        </w:tc>
        <w:tc>
          <w:tcPr>
            <w:tcW w:w="385" w:type="pct"/>
            <w:tcBorders>
              <w:bottom w:val="single" w:sz="4" w:space="0" w:color="auto"/>
            </w:tcBorders>
            <w:shd w:val="clear" w:color="auto" w:fill="auto"/>
            <w:vAlign w:val="center"/>
          </w:tcPr>
          <w:p w14:paraId="491BB40B"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88.65</w:t>
            </w:r>
          </w:p>
        </w:tc>
        <w:tc>
          <w:tcPr>
            <w:tcW w:w="384" w:type="pct"/>
            <w:tcBorders>
              <w:bottom w:val="single" w:sz="4" w:space="0" w:color="auto"/>
            </w:tcBorders>
            <w:shd w:val="clear" w:color="auto" w:fill="auto"/>
            <w:vAlign w:val="center"/>
          </w:tcPr>
          <w:p w14:paraId="46D6E9D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110.33</w:t>
            </w:r>
          </w:p>
        </w:tc>
        <w:tc>
          <w:tcPr>
            <w:tcW w:w="384" w:type="pct"/>
            <w:tcBorders>
              <w:bottom w:val="single" w:sz="4" w:space="0" w:color="auto"/>
            </w:tcBorders>
            <w:shd w:val="clear" w:color="auto" w:fill="auto"/>
            <w:vAlign w:val="center"/>
          </w:tcPr>
          <w:p w14:paraId="3DD55E7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100.65</w:t>
            </w:r>
          </w:p>
        </w:tc>
        <w:tc>
          <w:tcPr>
            <w:tcW w:w="384" w:type="pct"/>
            <w:tcBorders>
              <w:bottom w:val="single" w:sz="4" w:space="0" w:color="auto"/>
            </w:tcBorders>
            <w:shd w:val="clear" w:color="auto" w:fill="auto"/>
            <w:vAlign w:val="center"/>
          </w:tcPr>
          <w:p w14:paraId="3D956C5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94.19</w:t>
            </w:r>
          </w:p>
        </w:tc>
        <w:tc>
          <w:tcPr>
            <w:tcW w:w="385" w:type="pct"/>
            <w:tcBorders>
              <w:bottom w:val="single" w:sz="4" w:space="0" w:color="auto"/>
            </w:tcBorders>
            <w:shd w:val="clear" w:color="auto" w:fill="auto"/>
            <w:vAlign w:val="center"/>
          </w:tcPr>
          <w:p w14:paraId="28695A0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98.32</w:t>
            </w:r>
          </w:p>
        </w:tc>
        <w:tc>
          <w:tcPr>
            <w:tcW w:w="384" w:type="pct"/>
            <w:tcBorders>
              <w:bottom w:val="single" w:sz="4" w:space="0" w:color="auto"/>
            </w:tcBorders>
            <w:shd w:val="clear" w:color="auto" w:fill="auto"/>
            <w:vAlign w:val="center"/>
          </w:tcPr>
          <w:p w14:paraId="6CAEDEDB"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103.09</w:t>
            </w:r>
          </w:p>
        </w:tc>
        <w:tc>
          <w:tcPr>
            <w:tcW w:w="385" w:type="pct"/>
            <w:tcBorders>
              <w:bottom w:val="single" w:sz="4" w:space="0" w:color="auto"/>
            </w:tcBorders>
            <w:shd w:val="clear" w:color="auto" w:fill="auto"/>
            <w:vAlign w:val="center"/>
          </w:tcPr>
          <w:p w14:paraId="0BA8797D"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93.52</w:t>
            </w:r>
          </w:p>
        </w:tc>
        <w:tc>
          <w:tcPr>
            <w:tcW w:w="385" w:type="pct"/>
            <w:tcBorders>
              <w:bottom w:val="single" w:sz="4" w:space="0" w:color="auto"/>
            </w:tcBorders>
            <w:shd w:val="clear" w:color="auto" w:fill="auto"/>
            <w:vAlign w:val="center"/>
          </w:tcPr>
          <w:p w14:paraId="594962B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104.31</w:t>
            </w:r>
          </w:p>
        </w:tc>
        <w:tc>
          <w:tcPr>
            <w:tcW w:w="382" w:type="pct"/>
            <w:tcBorders>
              <w:bottom w:val="single" w:sz="4" w:space="0" w:color="auto"/>
            </w:tcBorders>
            <w:shd w:val="clear" w:color="auto" w:fill="auto"/>
            <w:vAlign w:val="center"/>
          </w:tcPr>
          <w:p w14:paraId="6F5BCF3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111.59</w:t>
            </w:r>
          </w:p>
        </w:tc>
      </w:tr>
      <w:tr w:rsidR="00DA5594" w:rsidRPr="00DA5594" w14:paraId="237CDEC7" w14:textId="77777777" w:rsidTr="00604F38">
        <w:trPr>
          <w:trHeight w:val="340"/>
        </w:trPr>
        <w:tc>
          <w:tcPr>
            <w:tcW w:w="637" w:type="pct"/>
            <w:tcBorders>
              <w:bottom w:val="single" w:sz="4" w:space="0" w:color="auto"/>
            </w:tcBorders>
            <w:shd w:val="clear" w:color="auto" w:fill="auto"/>
            <w:vAlign w:val="center"/>
          </w:tcPr>
          <w:p w14:paraId="2DF983DE"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color w:val="000000" w:themeColor="text1"/>
                <w:spacing w:val="-20"/>
                <w:sz w:val="28"/>
                <w:szCs w:val="28"/>
              </w:rPr>
              <w:t>110</w:t>
            </w:r>
          </w:p>
        </w:tc>
        <w:tc>
          <w:tcPr>
            <w:tcW w:w="521" w:type="pct"/>
            <w:tcBorders>
              <w:bottom w:val="single" w:sz="4" w:space="0" w:color="auto"/>
            </w:tcBorders>
            <w:shd w:val="clear" w:color="auto" w:fill="auto"/>
            <w:vAlign w:val="center"/>
          </w:tcPr>
          <w:p w14:paraId="584499FD"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117.72</w:t>
            </w:r>
          </w:p>
        </w:tc>
        <w:tc>
          <w:tcPr>
            <w:tcW w:w="384" w:type="pct"/>
            <w:tcBorders>
              <w:bottom w:val="single" w:sz="4" w:space="0" w:color="auto"/>
            </w:tcBorders>
            <w:shd w:val="clear" w:color="auto" w:fill="auto"/>
            <w:vAlign w:val="center"/>
          </w:tcPr>
          <w:p w14:paraId="5AD45D8B"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109.79</w:t>
            </w:r>
          </w:p>
        </w:tc>
        <w:tc>
          <w:tcPr>
            <w:tcW w:w="385" w:type="pct"/>
            <w:tcBorders>
              <w:bottom w:val="single" w:sz="4" w:space="0" w:color="auto"/>
            </w:tcBorders>
            <w:shd w:val="clear" w:color="auto" w:fill="auto"/>
            <w:vAlign w:val="center"/>
          </w:tcPr>
          <w:p w14:paraId="20158726"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106.86</w:t>
            </w:r>
          </w:p>
        </w:tc>
        <w:tc>
          <w:tcPr>
            <w:tcW w:w="384" w:type="pct"/>
            <w:tcBorders>
              <w:bottom w:val="single" w:sz="4" w:space="0" w:color="auto"/>
            </w:tcBorders>
            <w:shd w:val="clear" w:color="auto" w:fill="auto"/>
            <w:vAlign w:val="center"/>
          </w:tcPr>
          <w:p w14:paraId="74EE74A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116.69</w:t>
            </w:r>
          </w:p>
        </w:tc>
        <w:tc>
          <w:tcPr>
            <w:tcW w:w="384" w:type="pct"/>
            <w:tcBorders>
              <w:bottom w:val="single" w:sz="4" w:space="0" w:color="auto"/>
            </w:tcBorders>
            <w:shd w:val="clear" w:color="auto" w:fill="auto"/>
            <w:vAlign w:val="center"/>
          </w:tcPr>
          <w:p w14:paraId="7AFD045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101.78</w:t>
            </w:r>
          </w:p>
        </w:tc>
        <w:tc>
          <w:tcPr>
            <w:tcW w:w="384" w:type="pct"/>
            <w:tcBorders>
              <w:bottom w:val="single" w:sz="4" w:space="0" w:color="auto"/>
            </w:tcBorders>
            <w:shd w:val="clear" w:color="auto" w:fill="auto"/>
            <w:vAlign w:val="center"/>
          </w:tcPr>
          <w:p w14:paraId="579BDB1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115.43</w:t>
            </w:r>
          </w:p>
        </w:tc>
        <w:tc>
          <w:tcPr>
            <w:tcW w:w="385" w:type="pct"/>
            <w:tcBorders>
              <w:bottom w:val="single" w:sz="4" w:space="0" w:color="auto"/>
            </w:tcBorders>
            <w:shd w:val="clear" w:color="auto" w:fill="auto"/>
            <w:vAlign w:val="center"/>
          </w:tcPr>
          <w:p w14:paraId="112FD8D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117.52</w:t>
            </w:r>
          </w:p>
        </w:tc>
        <w:tc>
          <w:tcPr>
            <w:tcW w:w="384" w:type="pct"/>
            <w:tcBorders>
              <w:bottom w:val="single" w:sz="4" w:space="0" w:color="auto"/>
            </w:tcBorders>
            <w:shd w:val="clear" w:color="auto" w:fill="auto"/>
            <w:vAlign w:val="center"/>
          </w:tcPr>
          <w:p w14:paraId="739E9CC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106.42</w:t>
            </w:r>
          </w:p>
        </w:tc>
        <w:tc>
          <w:tcPr>
            <w:tcW w:w="385" w:type="pct"/>
            <w:tcBorders>
              <w:bottom w:val="single" w:sz="4" w:space="0" w:color="auto"/>
            </w:tcBorders>
            <w:shd w:val="clear" w:color="auto" w:fill="auto"/>
            <w:vAlign w:val="center"/>
          </w:tcPr>
          <w:p w14:paraId="26F05A21"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113.28</w:t>
            </w:r>
          </w:p>
        </w:tc>
        <w:tc>
          <w:tcPr>
            <w:tcW w:w="385" w:type="pct"/>
            <w:tcBorders>
              <w:bottom w:val="single" w:sz="4" w:space="0" w:color="auto"/>
            </w:tcBorders>
            <w:shd w:val="clear" w:color="auto" w:fill="auto"/>
            <w:vAlign w:val="center"/>
          </w:tcPr>
          <w:p w14:paraId="6DBE588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107.06</w:t>
            </w:r>
          </w:p>
        </w:tc>
        <w:tc>
          <w:tcPr>
            <w:tcW w:w="382" w:type="pct"/>
            <w:tcBorders>
              <w:bottom w:val="single" w:sz="4" w:space="0" w:color="auto"/>
            </w:tcBorders>
            <w:shd w:val="clear" w:color="auto" w:fill="auto"/>
            <w:vAlign w:val="center"/>
          </w:tcPr>
          <w:p w14:paraId="3A56801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120.42</w:t>
            </w:r>
          </w:p>
        </w:tc>
      </w:tr>
      <w:tr w:rsidR="00DA5594" w:rsidRPr="00DA5594" w14:paraId="02C97622" w14:textId="77777777" w:rsidTr="00604F38">
        <w:trPr>
          <w:trHeight w:val="340"/>
        </w:trPr>
        <w:tc>
          <w:tcPr>
            <w:tcW w:w="637" w:type="pct"/>
            <w:tcBorders>
              <w:bottom w:val="single" w:sz="4" w:space="0" w:color="auto"/>
            </w:tcBorders>
            <w:shd w:val="clear" w:color="auto" w:fill="auto"/>
            <w:vAlign w:val="center"/>
          </w:tcPr>
          <w:p w14:paraId="087B4BC4"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color w:val="000000" w:themeColor="text1"/>
                <w:spacing w:val="-20"/>
                <w:sz w:val="28"/>
                <w:szCs w:val="28"/>
              </w:rPr>
              <w:t>111</w:t>
            </w:r>
          </w:p>
        </w:tc>
        <w:tc>
          <w:tcPr>
            <w:tcW w:w="521" w:type="pct"/>
            <w:tcBorders>
              <w:bottom w:val="single" w:sz="4" w:space="0" w:color="auto"/>
            </w:tcBorders>
            <w:shd w:val="clear" w:color="auto" w:fill="auto"/>
            <w:vAlign w:val="center"/>
          </w:tcPr>
          <w:p w14:paraId="7D165F0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119.22</w:t>
            </w:r>
          </w:p>
        </w:tc>
        <w:tc>
          <w:tcPr>
            <w:tcW w:w="384" w:type="pct"/>
            <w:tcBorders>
              <w:bottom w:val="single" w:sz="4" w:space="0" w:color="auto"/>
            </w:tcBorders>
            <w:shd w:val="clear" w:color="auto" w:fill="auto"/>
            <w:vAlign w:val="center"/>
          </w:tcPr>
          <w:p w14:paraId="5E47FADC"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99.76</w:t>
            </w:r>
          </w:p>
        </w:tc>
        <w:tc>
          <w:tcPr>
            <w:tcW w:w="385" w:type="pct"/>
            <w:tcBorders>
              <w:bottom w:val="single" w:sz="4" w:space="0" w:color="auto"/>
            </w:tcBorders>
            <w:shd w:val="clear" w:color="auto" w:fill="auto"/>
            <w:vAlign w:val="center"/>
          </w:tcPr>
          <w:p w14:paraId="0A6FC50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hint="eastAsia"/>
                <w:snapToGrid w:val="0"/>
                <w:color w:val="000000" w:themeColor="text1"/>
                <w:spacing w:val="-40"/>
                <w:kern w:val="0"/>
                <w:sz w:val="26"/>
                <w:szCs w:val="26"/>
                <w:u w:val="single"/>
              </w:rPr>
              <w:t>112.21</w:t>
            </w:r>
          </w:p>
        </w:tc>
        <w:tc>
          <w:tcPr>
            <w:tcW w:w="384" w:type="pct"/>
            <w:tcBorders>
              <w:bottom w:val="single" w:sz="4" w:space="0" w:color="auto"/>
            </w:tcBorders>
            <w:shd w:val="clear" w:color="auto" w:fill="auto"/>
            <w:vAlign w:val="center"/>
          </w:tcPr>
          <w:p w14:paraId="7CE68816"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109.05</w:t>
            </w:r>
          </w:p>
        </w:tc>
        <w:tc>
          <w:tcPr>
            <w:tcW w:w="384" w:type="pct"/>
            <w:tcBorders>
              <w:bottom w:val="single" w:sz="4" w:space="0" w:color="auto"/>
            </w:tcBorders>
            <w:shd w:val="clear" w:color="auto" w:fill="auto"/>
            <w:vAlign w:val="center"/>
          </w:tcPr>
          <w:p w14:paraId="32FFBF6F"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92.53</w:t>
            </w:r>
          </w:p>
        </w:tc>
        <w:tc>
          <w:tcPr>
            <w:tcW w:w="384" w:type="pct"/>
            <w:tcBorders>
              <w:bottom w:val="single" w:sz="4" w:space="0" w:color="auto"/>
            </w:tcBorders>
            <w:shd w:val="clear" w:color="auto" w:fill="auto"/>
            <w:vAlign w:val="center"/>
          </w:tcPr>
          <w:p w14:paraId="185FE08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111.55</w:t>
            </w:r>
          </w:p>
        </w:tc>
        <w:tc>
          <w:tcPr>
            <w:tcW w:w="385" w:type="pct"/>
            <w:tcBorders>
              <w:bottom w:val="single" w:sz="4" w:space="0" w:color="auto"/>
            </w:tcBorders>
            <w:shd w:val="clear" w:color="auto" w:fill="auto"/>
            <w:vAlign w:val="center"/>
          </w:tcPr>
          <w:p w14:paraId="3134DD9A"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117.75</w:t>
            </w:r>
          </w:p>
        </w:tc>
        <w:tc>
          <w:tcPr>
            <w:tcW w:w="384" w:type="pct"/>
            <w:tcBorders>
              <w:bottom w:val="single" w:sz="4" w:space="0" w:color="auto"/>
            </w:tcBorders>
            <w:shd w:val="clear" w:color="auto" w:fill="auto"/>
            <w:vAlign w:val="center"/>
          </w:tcPr>
          <w:p w14:paraId="542638E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101.57</w:t>
            </w:r>
          </w:p>
        </w:tc>
        <w:tc>
          <w:tcPr>
            <w:tcW w:w="385" w:type="pct"/>
            <w:tcBorders>
              <w:bottom w:val="single" w:sz="4" w:space="0" w:color="auto"/>
            </w:tcBorders>
            <w:shd w:val="clear" w:color="auto" w:fill="auto"/>
            <w:vAlign w:val="center"/>
          </w:tcPr>
          <w:p w14:paraId="59610B1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118.43</w:t>
            </w:r>
          </w:p>
        </w:tc>
        <w:tc>
          <w:tcPr>
            <w:tcW w:w="385" w:type="pct"/>
            <w:tcBorders>
              <w:bottom w:val="single" w:sz="4" w:space="0" w:color="auto"/>
            </w:tcBorders>
            <w:shd w:val="clear" w:color="auto" w:fill="auto"/>
            <w:vAlign w:val="center"/>
          </w:tcPr>
          <w:p w14:paraId="7AF28AA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104.56</w:t>
            </w:r>
          </w:p>
        </w:tc>
        <w:tc>
          <w:tcPr>
            <w:tcW w:w="382" w:type="pct"/>
            <w:tcBorders>
              <w:bottom w:val="single" w:sz="4" w:space="0" w:color="auto"/>
            </w:tcBorders>
            <w:shd w:val="clear" w:color="auto" w:fill="auto"/>
            <w:vAlign w:val="center"/>
          </w:tcPr>
          <w:p w14:paraId="45BD1B3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118.27</w:t>
            </w:r>
          </w:p>
        </w:tc>
      </w:tr>
      <w:tr w:rsidR="00DA5594" w:rsidRPr="00DA5594" w14:paraId="05F352E9" w14:textId="77777777" w:rsidTr="00604F38">
        <w:trPr>
          <w:trHeight w:val="340"/>
        </w:trPr>
        <w:tc>
          <w:tcPr>
            <w:tcW w:w="637" w:type="pct"/>
            <w:tcBorders>
              <w:bottom w:val="single" w:sz="4" w:space="0" w:color="auto"/>
            </w:tcBorders>
            <w:shd w:val="clear" w:color="auto" w:fill="auto"/>
            <w:vAlign w:val="center"/>
          </w:tcPr>
          <w:p w14:paraId="05C59A79"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hint="eastAsia"/>
                <w:color w:val="000000" w:themeColor="text1"/>
                <w:spacing w:val="-20"/>
                <w:sz w:val="28"/>
                <w:szCs w:val="28"/>
              </w:rPr>
              <w:t>112</w:t>
            </w:r>
          </w:p>
        </w:tc>
        <w:tc>
          <w:tcPr>
            <w:tcW w:w="521" w:type="pct"/>
            <w:tcBorders>
              <w:bottom w:val="single" w:sz="4" w:space="0" w:color="auto"/>
            </w:tcBorders>
            <w:shd w:val="clear" w:color="auto" w:fill="auto"/>
            <w:vAlign w:val="center"/>
          </w:tcPr>
          <w:p w14:paraId="08C3B63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hint="eastAsia"/>
                <w:snapToGrid w:val="0"/>
                <w:color w:val="000000" w:themeColor="text1"/>
                <w:spacing w:val="-40"/>
                <w:kern w:val="0"/>
                <w:sz w:val="26"/>
                <w:szCs w:val="26"/>
                <w:u w:val="single"/>
              </w:rPr>
              <w:t>112.57</w:t>
            </w:r>
          </w:p>
        </w:tc>
        <w:tc>
          <w:tcPr>
            <w:tcW w:w="384" w:type="pct"/>
            <w:tcBorders>
              <w:bottom w:val="single" w:sz="4" w:space="0" w:color="auto"/>
            </w:tcBorders>
            <w:shd w:val="clear" w:color="auto" w:fill="auto"/>
            <w:vAlign w:val="center"/>
          </w:tcPr>
          <w:p w14:paraId="5731B3BC"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hint="eastAsia"/>
                <w:snapToGrid w:val="0"/>
                <w:color w:val="000000" w:themeColor="text1"/>
                <w:spacing w:val="-40"/>
                <w:kern w:val="0"/>
                <w:sz w:val="26"/>
                <w:szCs w:val="26"/>
                <w:u w:val="single"/>
              </w:rPr>
              <w:t>86.50</w:t>
            </w:r>
          </w:p>
        </w:tc>
        <w:tc>
          <w:tcPr>
            <w:tcW w:w="385" w:type="pct"/>
            <w:tcBorders>
              <w:bottom w:val="single" w:sz="4" w:space="0" w:color="auto"/>
            </w:tcBorders>
            <w:shd w:val="clear" w:color="auto" w:fill="auto"/>
            <w:vAlign w:val="center"/>
          </w:tcPr>
          <w:p w14:paraId="28C90F7D"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106.84</w:t>
            </w:r>
          </w:p>
        </w:tc>
        <w:tc>
          <w:tcPr>
            <w:tcW w:w="384" w:type="pct"/>
            <w:tcBorders>
              <w:bottom w:val="single" w:sz="4" w:space="0" w:color="auto"/>
            </w:tcBorders>
            <w:shd w:val="clear" w:color="auto" w:fill="auto"/>
            <w:vAlign w:val="center"/>
          </w:tcPr>
          <w:p w14:paraId="4463F957"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103.80</w:t>
            </w:r>
          </w:p>
        </w:tc>
        <w:tc>
          <w:tcPr>
            <w:tcW w:w="384" w:type="pct"/>
            <w:tcBorders>
              <w:bottom w:val="single" w:sz="4" w:space="0" w:color="auto"/>
            </w:tcBorders>
            <w:shd w:val="clear" w:color="auto" w:fill="auto"/>
            <w:vAlign w:val="center"/>
          </w:tcPr>
          <w:p w14:paraId="4A614AA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97.93</w:t>
            </w:r>
          </w:p>
        </w:tc>
        <w:tc>
          <w:tcPr>
            <w:tcW w:w="384" w:type="pct"/>
            <w:tcBorders>
              <w:bottom w:val="single" w:sz="4" w:space="0" w:color="auto"/>
            </w:tcBorders>
            <w:shd w:val="clear" w:color="auto" w:fill="auto"/>
            <w:vAlign w:val="center"/>
          </w:tcPr>
          <w:p w14:paraId="1179F6E3"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92.29</w:t>
            </w:r>
          </w:p>
        </w:tc>
        <w:tc>
          <w:tcPr>
            <w:tcW w:w="385" w:type="pct"/>
            <w:tcBorders>
              <w:bottom w:val="single" w:sz="4" w:space="0" w:color="auto"/>
            </w:tcBorders>
            <w:shd w:val="clear" w:color="auto" w:fill="auto"/>
            <w:vAlign w:val="center"/>
          </w:tcPr>
          <w:p w14:paraId="0F010C81"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110.85</w:t>
            </w:r>
          </w:p>
        </w:tc>
        <w:tc>
          <w:tcPr>
            <w:tcW w:w="384" w:type="pct"/>
            <w:tcBorders>
              <w:bottom w:val="single" w:sz="4" w:space="0" w:color="auto"/>
            </w:tcBorders>
            <w:shd w:val="clear" w:color="auto" w:fill="auto"/>
            <w:vAlign w:val="center"/>
          </w:tcPr>
          <w:p w14:paraId="3649608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99.04</w:t>
            </w:r>
          </w:p>
        </w:tc>
        <w:tc>
          <w:tcPr>
            <w:tcW w:w="385" w:type="pct"/>
            <w:tcBorders>
              <w:bottom w:val="single" w:sz="4" w:space="0" w:color="auto"/>
            </w:tcBorders>
            <w:shd w:val="clear" w:color="auto" w:fill="auto"/>
            <w:vAlign w:val="center"/>
          </w:tcPr>
          <w:p w14:paraId="380895E0"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101.30</w:t>
            </w:r>
          </w:p>
        </w:tc>
        <w:tc>
          <w:tcPr>
            <w:tcW w:w="385" w:type="pct"/>
            <w:tcBorders>
              <w:bottom w:val="single" w:sz="4" w:space="0" w:color="auto"/>
            </w:tcBorders>
            <w:shd w:val="clear" w:color="auto" w:fill="auto"/>
            <w:vAlign w:val="center"/>
          </w:tcPr>
          <w:p w14:paraId="3C6A77C2"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97.46</w:t>
            </w:r>
          </w:p>
        </w:tc>
        <w:tc>
          <w:tcPr>
            <w:tcW w:w="382" w:type="pct"/>
            <w:tcBorders>
              <w:bottom w:val="single" w:sz="4" w:space="0" w:color="auto"/>
            </w:tcBorders>
            <w:shd w:val="clear" w:color="auto" w:fill="auto"/>
            <w:vAlign w:val="center"/>
          </w:tcPr>
          <w:p w14:paraId="5B812EF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102.78</w:t>
            </w:r>
          </w:p>
        </w:tc>
      </w:tr>
      <w:tr w:rsidR="00DA5594" w:rsidRPr="00DA5594" w14:paraId="78F816CE" w14:textId="77777777" w:rsidTr="00604F38">
        <w:trPr>
          <w:trHeight w:val="340"/>
        </w:trPr>
        <w:tc>
          <w:tcPr>
            <w:tcW w:w="637" w:type="pct"/>
            <w:tcBorders>
              <w:bottom w:val="single" w:sz="4" w:space="0" w:color="auto"/>
            </w:tcBorders>
            <w:shd w:val="clear" w:color="auto" w:fill="auto"/>
            <w:vAlign w:val="center"/>
          </w:tcPr>
          <w:p w14:paraId="62C06951" w14:textId="77777777" w:rsidR="00654FF9" w:rsidRPr="00DA5594" w:rsidRDefault="00654FF9" w:rsidP="00784DF2">
            <w:pPr>
              <w:adjustRightInd w:val="0"/>
              <w:snapToGrid w:val="0"/>
              <w:spacing w:line="290" w:lineRule="exact"/>
              <w:jc w:val="center"/>
              <w:rPr>
                <w:rFonts w:hAnsi="標楷體"/>
                <w:color w:val="000000" w:themeColor="text1"/>
                <w:spacing w:val="-20"/>
                <w:kern w:val="0"/>
                <w:sz w:val="26"/>
                <w:szCs w:val="26"/>
              </w:rPr>
            </w:pPr>
            <w:r w:rsidRPr="00DA5594">
              <w:rPr>
                <w:rFonts w:hAnsi="標楷體" w:hint="eastAsia"/>
                <w:color w:val="000000" w:themeColor="text1"/>
                <w:spacing w:val="-20"/>
                <w:sz w:val="28"/>
                <w:szCs w:val="28"/>
              </w:rPr>
              <w:lastRenderedPageBreak/>
              <w:t>113</w:t>
            </w:r>
          </w:p>
        </w:tc>
        <w:tc>
          <w:tcPr>
            <w:tcW w:w="521" w:type="pct"/>
            <w:tcBorders>
              <w:bottom w:val="single" w:sz="4" w:space="0" w:color="auto"/>
            </w:tcBorders>
            <w:shd w:val="clear" w:color="auto" w:fill="auto"/>
            <w:vAlign w:val="center"/>
          </w:tcPr>
          <w:p w14:paraId="0A953CDE"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hint="eastAsia"/>
                <w:snapToGrid w:val="0"/>
                <w:color w:val="000000" w:themeColor="text1"/>
                <w:spacing w:val="-40"/>
                <w:kern w:val="0"/>
                <w:sz w:val="26"/>
                <w:szCs w:val="26"/>
                <w:u w:val="single"/>
              </w:rPr>
              <w:t>116.34</w:t>
            </w:r>
          </w:p>
        </w:tc>
        <w:tc>
          <w:tcPr>
            <w:tcW w:w="384" w:type="pct"/>
            <w:tcBorders>
              <w:bottom w:val="single" w:sz="4" w:space="0" w:color="auto"/>
            </w:tcBorders>
            <w:shd w:val="clear" w:color="auto" w:fill="auto"/>
            <w:vAlign w:val="center"/>
          </w:tcPr>
          <w:p w14:paraId="1A4CCE78"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91.97</w:t>
            </w:r>
          </w:p>
        </w:tc>
        <w:tc>
          <w:tcPr>
            <w:tcW w:w="385" w:type="pct"/>
            <w:tcBorders>
              <w:bottom w:val="single" w:sz="4" w:space="0" w:color="auto"/>
            </w:tcBorders>
            <w:shd w:val="clear" w:color="auto" w:fill="auto"/>
            <w:vAlign w:val="center"/>
          </w:tcPr>
          <w:p w14:paraId="0F997F74"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w:t>
            </w:r>
          </w:p>
        </w:tc>
        <w:tc>
          <w:tcPr>
            <w:tcW w:w="384" w:type="pct"/>
            <w:tcBorders>
              <w:bottom w:val="single" w:sz="4" w:space="0" w:color="auto"/>
            </w:tcBorders>
            <w:shd w:val="clear" w:color="auto" w:fill="auto"/>
            <w:vAlign w:val="center"/>
          </w:tcPr>
          <w:p w14:paraId="0EBB3EEA"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108.08</w:t>
            </w:r>
          </w:p>
        </w:tc>
        <w:tc>
          <w:tcPr>
            <w:tcW w:w="384" w:type="pct"/>
            <w:tcBorders>
              <w:bottom w:val="single" w:sz="4" w:space="0" w:color="auto"/>
            </w:tcBorders>
            <w:shd w:val="clear" w:color="auto" w:fill="auto"/>
            <w:vAlign w:val="center"/>
          </w:tcPr>
          <w:p w14:paraId="40694C35"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93.26</w:t>
            </w:r>
          </w:p>
        </w:tc>
        <w:tc>
          <w:tcPr>
            <w:tcW w:w="384" w:type="pct"/>
            <w:tcBorders>
              <w:bottom w:val="single" w:sz="4" w:space="0" w:color="auto"/>
            </w:tcBorders>
            <w:shd w:val="clear" w:color="auto" w:fill="auto"/>
            <w:vAlign w:val="center"/>
          </w:tcPr>
          <w:p w14:paraId="229D65BF"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99.66</w:t>
            </w:r>
          </w:p>
        </w:tc>
        <w:tc>
          <w:tcPr>
            <w:tcW w:w="385" w:type="pct"/>
            <w:tcBorders>
              <w:bottom w:val="single" w:sz="4" w:space="0" w:color="auto"/>
            </w:tcBorders>
            <w:shd w:val="clear" w:color="auto" w:fill="auto"/>
            <w:vAlign w:val="center"/>
          </w:tcPr>
          <w:p w14:paraId="0B5517B9"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99.59</w:t>
            </w:r>
          </w:p>
        </w:tc>
        <w:tc>
          <w:tcPr>
            <w:tcW w:w="384" w:type="pct"/>
            <w:tcBorders>
              <w:bottom w:val="single" w:sz="4" w:space="0" w:color="auto"/>
            </w:tcBorders>
            <w:shd w:val="clear" w:color="auto" w:fill="auto"/>
            <w:vAlign w:val="center"/>
          </w:tcPr>
          <w:p w14:paraId="5A7BC4AF"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hint="eastAsia"/>
                <w:snapToGrid w:val="0"/>
                <w:color w:val="000000" w:themeColor="text1"/>
                <w:spacing w:val="-40"/>
                <w:kern w:val="0"/>
                <w:sz w:val="26"/>
                <w:szCs w:val="26"/>
              </w:rPr>
              <w:t>99.02</w:t>
            </w:r>
          </w:p>
        </w:tc>
        <w:tc>
          <w:tcPr>
            <w:tcW w:w="385" w:type="pct"/>
            <w:tcBorders>
              <w:bottom w:val="single" w:sz="4" w:space="0" w:color="auto"/>
            </w:tcBorders>
            <w:shd w:val="clear" w:color="auto" w:fill="auto"/>
            <w:vAlign w:val="center"/>
          </w:tcPr>
          <w:p w14:paraId="59355B6B"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u w:val="single"/>
              </w:rPr>
            </w:pPr>
            <w:r w:rsidRPr="00DA5594">
              <w:rPr>
                <w:rFonts w:hAnsi="標楷體"/>
                <w:snapToGrid w:val="0"/>
                <w:color w:val="000000" w:themeColor="text1"/>
                <w:spacing w:val="-40"/>
                <w:kern w:val="0"/>
                <w:sz w:val="26"/>
                <w:szCs w:val="26"/>
                <w:u w:val="single"/>
              </w:rPr>
              <w:t>116.69</w:t>
            </w:r>
          </w:p>
        </w:tc>
        <w:tc>
          <w:tcPr>
            <w:tcW w:w="385" w:type="pct"/>
            <w:tcBorders>
              <w:bottom w:val="single" w:sz="4" w:space="0" w:color="auto"/>
            </w:tcBorders>
            <w:shd w:val="clear" w:color="auto" w:fill="auto"/>
            <w:vAlign w:val="center"/>
          </w:tcPr>
          <w:p w14:paraId="6F00FCA6"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101.32</w:t>
            </w:r>
          </w:p>
        </w:tc>
        <w:tc>
          <w:tcPr>
            <w:tcW w:w="382" w:type="pct"/>
            <w:tcBorders>
              <w:bottom w:val="single" w:sz="4" w:space="0" w:color="auto"/>
            </w:tcBorders>
            <w:shd w:val="clear" w:color="auto" w:fill="auto"/>
            <w:vAlign w:val="center"/>
          </w:tcPr>
          <w:p w14:paraId="13E951E9" w14:textId="77777777" w:rsidR="00654FF9" w:rsidRPr="00DA5594" w:rsidRDefault="00654FF9" w:rsidP="00784DF2">
            <w:pPr>
              <w:adjustRightInd w:val="0"/>
              <w:snapToGrid w:val="0"/>
              <w:spacing w:line="290" w:lineRule="exact"/>
              <w:jc w:val="center"/>
              <w:rPr>
                <w:rFonts w:hAnsi="標楷體"/>
                <w:snapToGrid w:val="0"/>
                <w:color w:val="000000" w:themeColor="text1"/>
                <w:spacing w:val="-40"/>
                <w:kern w:val="0"/>
                <w:sz w:val="26"/>
                <w:szCs w:val="26"/>
              </w:rPr>
            </w:pPr>
            <w:r w:rsidRPr="00DA5594">
              <w:rPr>
                <w:rFonts w:hAnsi="標楷體"/>
                <w:snapToGrid w:val="0"/>
                <w:color w:val="000000" w:themeColor="text1"/>
                <w:spacing w:val="-40"/>
                <w:kern w:val="0"/>
                <w:sz w:val="26"/>
                <w:szCs w:val="26"/>
              </w:rPr>
              <w:t>102.</w:t>
            </w:r>
            <w:r w:rsidRPr="00DA5594">
              <w:rPr>
                <w:rFonts w:hAnsi="標楷體" w:hint="eastAsia"/>
                <w:snapToGrid w:val="0"/>
                <w:color w:val="000000" w:themeColor="text1"/>
                <w:spacing w:val="-40"/>
                <w:kern w:val="0"/>
                <w:sz w:val="26"/>
                <w:szCs w:val="26"/>
              </w:rPr>
              <w:t>38</w:t>
            </w:r>
          </w:p>
        </w:tc>
      </w:tr>
    </w:tbl>
    <w:p w14:paraId="608FE1C2" w14:textId="77777777" w:rsidR="00654FF9" w:rsidRPr="00DA5594" w:rsidRDefault="00654FF9" w:rsidP="00654FF9">
      <w:pPr>
        <w:pStyle w:val="af5"/>
        <w:spacing w:after="40" w:line="320" w:lineRule="exact"/>
        <w:ind w:left="1201" w:hangingChars="400" w:hanging="1201"/>
        <w:rPr>
          <w:rFonts w:hAnsi="標楷體"/>
          <w:bCs/>
          <w:color w:val="000000" w:themeColor="text1"/>
          <w:spacing w:val="0"/>
        </w:rPr>
      </w:pPr>
      <w:r w:rsidRPr="00DA5594">
        <w:rPr>
          <w:rFonts w:hAnsi="標楷體" w:hint="eastAsia"/>
          <w:bCs/>
          <w:color w:val="000000" w:themeColor="text1"/>
          <w:spacing w:val="0"/>
        </w:rPr>
        <w:t>說明：</w:t>
      </w:r>
      <w:r w:rsidRPr="00DA5594">
        <w:rPr>
          <w:rFonts w:hAnsi="標楷體"/>
          <w:bCs/>
          <w:color w:val="000000" w:themeColor="text1"/>
          <w:spacing w:val="0"/>
        </w:rPr>
        <w:t>1.</w:t>
      </w:r>
      <w:r w:rsidRPr="00DA5594">
        <w:rPr>
          <w:rFonts w:hAnsi="標楷體"/>
          <w:bCs/>
          <w:color w:val="000000" w:themeColor="text1"/>
        </w:rPr>
        <w:t>預算執行率=決算數占預算數之比率</w:t>
      </w:r>
      <w:r w:rsidRPr="00DA5594">
        <w:rPr>
          <w:rFonts w:hAnsi="標楷體" w:hint="eastAsia"/>
          <w:bCs/>
          <w:color w:val="000000" w:themeColor="text1"/>
        </w:rPr>
        <w:t>，並以全國稅收計算，如查無全國預算數及決算數則改以中央(聯邦)政府稅收計算</w:t>
      </w:r>
      <w:r w:rsidRPr="00DA5594">
        <w:rPr>
          <w:rFonts w:hAnsi="標楷體"/>
          <w:bCs/>
          <w:color w:val="000000" w:themeColor="text1"/>
        </w:rPr>
        <w:t>。</w:t>
      </w:r>
    </w:p>
    <w:p w14:paraId="0AD4B250" w14:textId="77777777" w:rsidR="00654FF9" w:rsidRPr="00DA5594" w:rsidRDefault="00654FF9" w:rsidP="00654FF9">
      <w:pPr>
        <w:pStyle w:val="af5"/>
        <w:spacing w:after="40" w:line="320" w:lineRule="exact"/>
        <w:ind w:leftChars="270" w:left="1218" w:hangingChars="100" w:hanging="300"/>
        <w:rPr>
          <w:rFonts w:hAnsi="標楷體"/>
          <w:bCs/>
          <w:color w:val="000000" w:themeColor="text1"/>
          <w:spacing w:val="0"/>
        </w:rPr>
      </w:pPr>
      <w:r w:rsidRPr="00DA5594">
        <w:rPr>
          <w:rFonts w:hAnsi="標楷體"/>
          <w:bCs/>
          <w:color w:val="000000" w:themeColor="text1"/>
          <w:spacing w:val="0"/>
        </w:rPr>
        <w:t>2.</w:t>
      </w:r>
      <w:r w:rsidRPr="00DA5594">
        <w:rPr>
          <w:rFonts w:hAnsi="標楷體"/>
          <w:bCs/>
          <w:color w:val="000000" w:themeColor="text1"/>
        </w:rPr>
        <w:t>包含我國中央政府及各地方政府稅課收入</w:t>
      </w:r>
      <w:r w:rsidRPr="00DA5594">
        <w:rPr>
          <w:rFonts w:hAnsi="標楷體"/>
          <w:bCs/>
          <w:color w:val="000000" w:themeColor="text1"/>
          <w:spacing w:val="0"/>
        </w:rPr>
        <w:t>。</w:t>
      </w:r>
    </w:p>
    <w:p w14:paraId="1CC94A95" w14:textId="77777777" w:rsidR="00654FF9" w:rsidRPr="00DA5594" w:rsidRDefault="00654FF9" w:rsidP="00654FF9">
      <w:pPr>
        <w:pStyle w:val="af5"/>
        <w:spacing w:after="40" w:line="320" w:lineRule="exact"/>
        <w:ind w:leftChars="270" w:left="1218" w:hangingChars="100" w:hanging="300"/>
        <w:rPr>
          <w:rFonts w:hAnsi="標楷體"/>
          <w:bCs/>
          <w:color w:val="000000" w:themeColor="text1"/>
          <w:spacing w:val="0"/>
        </w:rPr>
      </w:pPr>
      <w:r w:rsidRPr="00DA5594">
        <w:rPr>
          <w:rFonts w:hAnsi="標楷體" w:hint="eastAsia"/>
          <w:bCs/>
          <w:color w:val="000000" w:themeColor="text1"/>
          <w:spacing w:val="0"/>
        </w:rPr>
        <w:t>3.</w:t>
      </w:r>
      <w:r w:rsidRPr="00DA5594">
        <w:rPr>
          <w:rFonts w:hAnsi="標楷體"/>
          <w:bCs/>
          <w:color w:val="000000" w:themeColor="text1"/>
        </w:rPr>
        <w:t>空白欄位為查無該國家年度預決算資料</w:t>
      </w:r>
      <w:r w:rsidRPr="00DA5594">
        <w:rPr>
          <w:rFonts w:hAnsi="標楷體" w:hint="eastAsia"/>
          <w:bCs/>
          <w:color w:val="000000" w:themeColor="text1"/>
          <w:spacing w:val="0"/>
        </w:rPr>
        <w:t>。</w:t>
      </w:r>
    </w:p>
    <w:p w14:paraId="713EED59" w14:textId="6EAE607D" w:rsidR="00654FF9" w:rsidRPr="00DA5594" w:rsidRDefault="00654FF9" w:rsidP="00654FF9">
      <w:pPr>
        <w:pStyle w:val="af5"/>
        <w:spacing w:after="40" w:line="320" w:lineRule="exact"/>
        <w:ind w:leftChars="270" w:left="1218" w:hangingChars="100" w:hanging="300"/>
        <w:rPr>
          <w:rFonts w:hAnsi="標楷體"/>
          <w:bCs/>
          <w:color w:val="000000" w:themeColor="text1"/>
          <w:spacing w:val="0"/>
        </w:rPr>
      </w:pPr>
      <w:r w:rsidRPr="00DA5594">
        <w:rPr>
          <w:rFonts w:hAnsi="標楷體" w:hint="eastAsia"/>
          <w:bCs/>
          <w:color w:val="000000" w:themeColor="text1"/>
          <w:spacing w:val="0"/>
        </w:rPr>
        <w:t>4.</w:t>
      </w:r>
      <w:r w:rsidRPr="00DA5594">
        <w:rPr>
          <w:rFonts w:hAnsi="標楷體" w:hint="eastAsia"/>
          <w:bCs/>
          <w:color w:val="000000" w:themeColor="text1"/>
        </w:rPr>
        <w:t>底</w:t>
      </w:r>
      <w:r w:rsidR="005562DA" w:rsidRPr="00DA5594">
        <w:rPr>
          <w:rFonts w:hAnsi="標楷體" w:hint="eastAsia"/>
          <w:bCs/>
          <w:color w:val="000000" w:themeColor="text1"/>
        </w:rPr>
        <w:t>線</w:t>
      </w:r>
      <w:r w:rsidRPr="00DA5594">
        <w:rPr>
          <w:rFonts w:hAnsi="標楷體" w:hint="eastAsia"/>
          <w:bCs/>
          <w:color w:val="000000" w:themeColor="text1"/>
        </w:rPr>
        <w:t>部分為該國該年度預算執行率小於90%或大於110%。</w:t>
      </w:r>
    </w:p>
    <w:p w14:paraId="16246A84" w14:textId="3BD47B8B" w:rsidR="00654FF9" w:rsidRPr="00DA5594" w:rsidRDefault="00654FF9" w:rsidP="00A24245">
      <w:pPr>
        <w:pStyle w:val="af5"/>
        <w:ind w:left="1275" w:hangingChars="455" w:hanging="1275"/>
        <w:rPr>
          <w:rFonts w:hAnsi="標楷體"/>
          <w:bCs/>
          <w:color w:val="000000" w:themeColor="text1"/>
        </w:rPr>
      </w:pPr>
      <w:r w:rsidRPr="00DA5594">
        <w:rPr>
          <w:rFonts w:hAnsi="標楷體"/>
          <w:bCs/>
          <w:color w:val="000000" w:themeColor="text1"/>
        </w:rPr>
        <w:t>資料來源：</w:t>
      </w:r>
      <w:r w:rsidRPr="00DA5594">
        <w:rPr>
          <w:rFonts w:hAnsi="標楷體" w:hint="eastAsia"/>
          <w:bCs/>
          <w:color w:val="000000" w:themeColor="text1"/>
        </w:rPr>
        <w:t>財政部114年12月2日檢索</w:t>
      </w:r>
      <w:r w:rsidRPr="00DA5594">
        <w:rPr>
          <w:rFonts w:hAnsi="標楷體"/>
          <w:bCs/>
          <w:color w:val="000000" w:themeColor="text1"/>
        </w:rPr>
        <w:t>選樣國家財政部官方網站</w:t>
      </w:r>
      <w:r w:rsidR="00C71ADE" w:rsidRPr="00DA5594">
        <w:rPr>
          <w:rFonts w:hAnsi="標楷體" w:hint="eastAsia"/>
          <w:bCs/>
          <w:color w:val="000000" w:themeColor="text1"/>
        </w:rPr>
        <w:t>後</w:t>
      </w:r>
      <w:r w:rsidRPr="00DA5594">
        <w:rPr>
          <w:rFonts w:hAnsi="標楷體" w:hint="eastAsia"/>
          <w:bCs/>
          <w:color w:val="000000" w:themeColor="text1"/>
        </w:rPr>
        <w:t>填報本院資料</w:t>
      </w:r>
      <w:r w:rsidRPr="00DA5594">
        <w:rPr>
          <w:rFonts w:hAnsi="標楷體"/>
          <w:bCs/>
          <w:color w:val="000000" w:themeColor="text1"/>
        </w:rPr>
        <w:t>。</w:t>
      </w:r>
    </w:p>
    <w:p w14:paraId="6FDDCC3B" w14:textId="71D758EE" w:rsidR="00E06D5E" w:rsidRPr="00DA5594" w:rsidRDefault="00886965" w:rsidP="00EC1D9A">
      <w:pPr>
        <w:pStyle w:val="3"/>
        <w:rPr>
          <w:color w:val="000000" w:themeColor="text1"/>
        </w:rPr>
      </w:pPr>
      <w:r w:rsidRPr="00DA5594">
        <w:rPr>
          <w:rFonts w:hint="eastAsia"/>
          <w:color w:val="000000" w:themeColor="text1"/>
        </w:rPr>
        <w:t>復</w:t>
      </w:r>
      <w:r w:rsidR="0027061F" w:rsidRPr="00DA5594">
        <w:rPr>
          <w:rFonts w:hint="eastAsia"/>
          <w:color w:val="000000" w:themeColor="text1"/>
        </w:rPr>
        <w:t>據</w:t>
      </w:r>
      <w:r w:rsidR="0027061F" w:rsidRPr="00DA5594">
        <w:rPr>
          <w:color w:val="000000" w:themeColor="text1"/>
          <w:u w:val="single"/>
        </w:rPr>
        <w:t>財政部統計處108年提出之稅收執行差距及稅收預測議題之探討，亦提出應可借鏡稅收預測精</w:t>
      </w:r>
      <w:proofErr w:type="gramStart"/>
      <w:r w:rsidR="0027061F" w:rsidRPr="00DA5594">
        <w:rPr>
          <w:color w:val="000000" w:themeColor="text1"/>
          <w:u w:val="single"/>
        </w:rPr>
        <w:t>準</w:t>
      </w:r>
      <w:proofErr w:type="gramEnd"/>
      <w:r w:rsidR="0027061F" w:rsidRPr="00DA5594">
        <w:rPr>
          <w:color w:val="000000" w:themeColor="text1"/>
          <w:u w:val="single"/>
        </w:rPr>
        <w:t>度高如紐西蘭、加拿大等國家，強化預測方法之理論基礎，導入相關總體經濟變數，建置稅收預測之總體或個體模擬模型</w:t>
      </w:r>
      <w:r w:rsidR="0027061F" w:rsidRPr="00DA5594">
        <w:rPr>
          <w:color w:val="000000" w:themeColor="text1"/>
        </w:rPr>
        <w:t>，並適度公開稅收預測之方式與作法，供各界檢驗、回饋意見，建置連續性之預測誤差檢驗機制之建議。</w:t>
      </w:r>
      <w:r w:rsidR="0027061F" w:rsidRPr="00DA5594">
        <w:rPr>
          <w:rFonts w:hint="eastAsia"/>
          <w:color w:val="000000" w:themeColor="text1"/>
        </w:rPr>
        <w:t>況且</w:t>
      </w:r>
      <w:r w:rsidR="0027061F" w:rsidRPr="00DA5594">
        <w:rPr>
          <w:color w:val="000000" w:themeColor="text1"/>
          <w:u w:val="single"/>
        </w:rPr>
        <w:t>本院諮詢學者專家亦指出，我國現行預測方式較偏重傳統經濟指標，對產業結構快速變動、科技業景氣循環及資本市場波動之反映仍有不足</w:t>
      </w:r>
      <w:r w:rsidR="00733C98" w:rsidRPr="00DA5594">
        <w:rPr>
          <w:rFonts w:hint="eastAsia"/>
          <w:color w:val="000000" w:themeColor="text1"/>
          <w:u w:val="single"/>
        </w:rPr>
        <w:t>；</w:t>
      </w:r>
      <w:r w:rsidR="0027061F" w:rsidRPr="00DA5594">
        <w:rPr>
          <w:color w:val="000000" w:themeColor="text1"/>
          <w:u w:val="single"/>
        </w:rPr>
        <w:t>且近年半導體</w:t>
      </w:r>
      <w:r w:rsidR="003C2202" w:rsidRPr="00DA5594">
        <w:rPr>
          <w:rFonts w:hint="eastAsia"/>
          <w:color w:val="000000" w:themeColor="text1"/>
          <w:u w:val="single"/>
        </w:rPr>
        <w:t>、</w:t>
      </w:r>
      <w:r w:rsidR="0027061F" w:rsidRPr="00DA5594">
        <w:rPr>
          <w:rFonts w:hint="eastAsia"/>
          <w:color w:val="000000" w:themeColor="text1"/>
          <w:u w:val="single"/>
        </w:rPr>
        <w:t>人工智慧</w:t>
      </w:r>
      <w:r w:rsidR="0027061F" w:rsidRPr="00DA5594">
        <w:rPr>
          <w:rFonts w:hint="eastAsia"/>
          <w:color w:val="000000" w:themeColor="text1"/>
        </w:rPr>
        <w:t>(</w:t>
      </w:r>
      <w:r w:rsidR="0027061F" w:rsidRPr="00DA5594">
        <w:rPr>
          <w:color w:val="000000" w:themeColor="text1"/>
        </w:rPr>
        <w:t>Artificial Intelligence</w:t>
      </w:r>
      <w:r w:rsidR="005562DA" w:rsidRPr="00DA5594">
        <w:rPr>
          <w:rFonts w:hint="eastAsia"/>
          <w:color w:val="000000" w:themeColor="text1"/>
        </w:rPr>
        <w:t>，</w:t>
      </w:r>
      <w:r w:rsidR="0027061F" w:rsidRPr="00DA5594">
        <w:rPr>
          <w:rFonts w:hint="eastAsia"/>
          <w:color w:val="000000" w:themeColor="text1"/>
        </w:rPr>
        <w:t>簡稱</w:t>
      </w:r>
      <w:r w:rsidR="0027061F" w:rsidRPr="00DA5594">
        <w:rPr>
          <w:color w:val="000000" w:themeColor="text1"/>
        </w:rPr>
        <w:t>AI</w:t>
      </w:r>
      <w:r w:rsidR="0027061F" w:rsidRPr="00DA5594">
        <w:rPr>
          <w:rFonts w:hint="eastAsia"/>
          <w:color w:val="000000" w:themeColor="text1"/>
        </w:rPr>
        <w:t>)</w:t>
      </w:r>
      <w:r w:rsidR="003C2202" w:rsidRPr="00DA5594">
        <w:rPr>
          <w:rFonts w:hint="eastAsia"/>
          <w:color w:val="000000" w:themeColor="text1"/>
          <w:u w:val="single"/>
        </w:rPr>
        <w:t>及</w:t>
      </w:r>
      <w:r w:rsidR="003C2202" w:rsidRPr="00DA5594">
        <w:rPr>
          <w:color w:val="000000" w:themeColor="text1"/>
          <w:u w:val="single"/>
        </w:rPr>
        <w:t>資通訊產業</w:t>
      </w:r>
      <w:r w:rsidR="00EA5295" w:rsidRPr="00DA5594">
        <w:rPr>
          <w:color w:val="000000" w:themeColor="text1"/>
        </w:rPr>
        <w:t>(</w:t>
      </w:r>
      <w:r w:rsidR="003C2202" w:rsidRPr="00DA5594">
        <w:rPr>
          <w:color w:val="000000" w:themeColor="text1"/>
        </w:rPr>
        <w:t>Information and Communication Technology</w:t>
      </w:r>
      <w:r w:rsidR="00733C98" w:rsidRPr="00DA5594">
        <w:rPr>
          <w:rFonts w:hint="eastAsia"/>
          <w:color w:val="000000" w:themeColor="text1"/>
        </w:rPr>
        <w:t>，簡稱</w:t>
      </w:r>
      <w:r w:rsidR="003C2202" w:rsidRPr="00DA5594">
        <w:rPr>
          <w:color w:val="000000" w:themeColor="text1"/>
        </w:rPr>
        <w:t>ICT</w:t>
      </w:r>
      <w:r w:rsidR="00EA5295" w:rsidRPr="00DA5594">
        <w:rPr>
          <w:color w:val="000000" w:themeColor="text1"/>
        </w:rPr>
        <w:t>)</w:t>
      </w:r>
      <w:r w:rsidR="003C2202" w:rsidRPr="00DA5594">
        <w:rPr>
          <w:rFonts w:hint="eastAsia"/>
          <w:color w:val="000000" w:themeColor="text1"/>
          <w:u w:val="single"/>
        </w:rPr>
        <w:t>等</w:t>
      </w:r>
      <w:r w:rsidR="0027061F" w:rsidRPr="00DA5594">
        <w:rPr>
          <w:color w:val="000000" w:themeColor="text1"/>
          <w:u w:val="single"/>
        </w:rPr>
        <w:t>相關產業獲利快速擴張，均可能使既有模型低估稅基成長幅度</w:t>
      </w:r>
      <w:r w:rsidR="005562DA" w:rsidRPr="00DA5594">
        <w:rPr>
          <w:rFonts w:hint="eastAsia"/>
          <w:color w:val="000000" w:themeColor="text1"/>
        </w:rPr>
        <w:t>；</w:t>
      </w:r>
      <w:r w:rsidR="003C2202" w:rsidRPr="00DA5594">
        <w:rPr>
          <w:rFonts w:hint="eastAsia"/>
          <w:color w:val="000000" w:themeColor="text1"/>
        </w:rPr>
        <w:t>亦建議</w:t>
      </w:r>
      <w:r w:rsidR="003C2202" w:rsidRPr="00DA5594">
        <w:rPr>
          <w:color w:val="000000" w:themeColor="text1"/>
        </w:rPr>
        <w:t>透過不同機關與不同觀點交互驗證，以降低單一機關之「機構效應」及</w:t>
      </w:r>
      <w:proofErr w:type="gramStart"/>
      <w:r w:rsidR="003C2202" w:rsidRPr="00DA5594">
        <w:rPr>
          <w:color w:val="000000" w:themeColor="text1"/>
        </w:rPr>
        <w:t>預測偏誤</w:t>
      </w:r>
      <w:proofErr w:type="gramEnd"/>
      <w:r w:rsidR="0027061F" w:rsidRPr="00DA5594">
        <w:rPr>
          <w:rFonts w:hint="eastAsia"/>
          <w:color w:val="000000" w:themeColor="text1"/>
        </w:rPr>
        <w:t>；</w:t>
      </w:r>
      <w:r w:rsidR="001B4923" w:rsidRPr="00DA5594">
        <w:rPr>
          <w:rFonts w:hint="eastAsia"/>
          <w:color w:val="000000" w:themeColor="text1"/>
        </w:rPr>
        <w:t>又</w:t>
      </w:r>
      <w:r w:rsidR="003C2202" w:rsidRPr="00DA5594">
        <w:rPr>
          <w:rFonts w:hint="eastAsia"/>
          <w:color w:val="000000" w:themeColor="text1"/>
        </w:rPr>
        <w:t>相較其他</w:t>
      </w:r>
      <w:r w:rsidR="0027061F" w:rsidRPr="00DA5594">
        <w:rPr>
          <w:color w:val="000000" w:themeColor="text1"/>
        </w:rPr>
        <w:t>國家已透過建立標準作業流</w:t>
      </w:r>
      <w:r w:rsidR="0027061F" w:rsidRPr="00DA5594">
        <w:rPr>
          <w:color w:val="000000" w:themeColor="text1"/>
        </w:rPr>
        <w:lastRenderedPageBreak/>
        <w:t>程、多元預測機制、滾動修正或外部參與制度等方式，降低長期偏差風險</w:t>
      </w:r>
      <w:r w:rsidR="003C2202" w:rsidRPr="00DA5594">
        <w:rPr>
          <w:rFonts w:hint="eastAsia"/>
          <w:color w:val="000000" w:themeColor="text1"/>
        </w:rPr>
        <w:t>，</w:t>
      </w:r>
      <w:r w:rsidR="0027061F" w:rsidRPr="00DA5594">
        <w:rPr>
          <w:color w:val="000000" w:themeColor="text1"/>
        </w:rPr>
        <w:t>例如德國即透過跨機關工作小組及制度化流程，降低人為操作空間；</w:t>
      </w:r>
      <w:r w:rsidR="001B4923" w:rsidRPr="00DA5594">
        <w:rPr>
          <w:rFonts w:hint="eastAsia"/>
          <w:color w:val="000000" w:themeColor="text1"/>
        </w:rPr>
        <w:t>另</w:t>
      </w:r>
      <w:r w:rsidR="0027061F" w:rsidRPr="00DA5594">
        <w:rPr>
          <w:color w:val="000000" w:themeColor="text1"/>
        </w:rPr>
        <w:t>美國則由國會預算辦公室</w:t>
      </w:r>
      <w:r w:rsidR="00EA5295" w:rsidRPr="00DA5594">
        <w:rPr>
          <w:rFonts w:hint="eastAsia"/>
          <w:color w:val="000000" w:themeColor="text1"/>
        </w:rPr>
        <w:t>(</w:t>
      </w:r>
      <w:r w:rsidR="0027061F" w:rsidRPr="00DA5594">
        <w:rPr>
          <w:color w:val="000000" w:themeColor="text1"/>
        </w:rPr>
        <w:t>Congressional Budget Office</w:t>
      </w:r>
      <w:r w:rsidR="00805FB2" w:rsidRPr="00DA5594">
        <w:rPr>
          <w:rFonts w:hint="eastAsia"/>
          <w:color w:val="000000" w:themeColor="text1"/>
        </w:rPr>
        <w:t>，簡稱</w:t>
      </w:r>
      <w:r w:rsidR="0027061F" w:rsidRPr="00DA5594">
        <w:rPr>
          <w:color w:val="000000" w:themeColor="text1"/>
        </w:rPr>
        <w:t>CBO</w:t>
      </w:r>
      <w:r w:rsidR="00EA5295" w:rsidRPr="00DA5594">
        <w:rPr>
          <w:rFonts w:hint="eastAsia"/>
          <w:color w:val="000000" w:themeColor="text1"/>
        </w:rPr>
        <w:t>)</w:t>
      </w:r>
      <w:r w:rsidR="0027061F" w:rsidRPr="00DA5594">
        <w:rPr>
          <w:color w:val="000000" w:themeColor="text1"/>
        </w:rPr>
        <w:t>負責主要稅收預測作業，與多數由財政部門主導之國家有所不同。</w:t>
      </w:r>
      <w:r w:rsidR="0027061F" w:rsidRPr="00DA5594">
        <w:rPr>
          <w:color w:val="000000" w:themeColor="text1"/>
          <w:u w:val="single"/>
        </w:rPr>
        <w:t>部分學者並認為，現行制度可能存在偏向保守估列之制度性誘因</w:t>
      </w:r>
      <w:r w:rsidR="0027061F" w:rsidRPr="00DA5594">
        <w:rPr>
          <w:color w:val="000000" w:themeColor="text1"/>
        </w:rPr>
        <w:t>，包括行政機關基於財政審慎考量，傾向</w:t>
      </w:r>
      <w:proofErr w:type="gramStart"/>
      <w:r w:rsidR="0027061F" w:rsidRPr="00DA5594">
        <w:rPr>
          <w:color w:val="000000" w:themeColor="text1"/>
        </w:rPr>
        <w:t>採</w:t>
      </w:r>
      <w:proofErr w:type="gramEnd"/>
      <w:r w:rsidR="0027061F" w:rsidRPr="00DA5594">
        <w:rPr>
          <w:color w:val="000000" w:themeColor="text1"/>
        </w:rPr>
        <w:t>較低估測值，以避免歲出規模過度擴張；立法機關對較保守之歲入估列亦較易接受</w:t>
      </w:r>
      <w:r w:rsidR="0027061F" w:rsidRPr="00DA5594">
        <w:rPr>
          <w:rFonts w:hint="eastAsia"/>
          <w:color w:val="000000" w:themeColor="text1"/>
        </w:rPr>
        <w:t>；</w:t>
      </w:r>
      <w:r w:rsidR="0027061F" w:rsidRPr="00DA5594">
        <w:rPr>
          <w:color w:val="000000" w:themeColor="text1"/>
        </w:rPr>
        <w:t>雖此類因素尚難直接證明與超徵</w:t>
      </w:r>
      <w:proofErr w:type="gramStart"/>
      <w:r w:rsidR="0027061F" w:rsidRPr="00DA5594">
        <w:rPr>
          <w:color w:val="000000" w:themeColor="text1"/>
        </w:rPr>
        <w:t>結果間具明確</w:t>
      </w:r>
      <w:proofErr w:type="gramEnd"/>
      <w:r w:rsidR="0027061F" w:rsidRPr="00DA5594">
        <w:rPr>
          <w:color w:val="000000" w:themeColor="text1"/>
        </w:rPr>
        <w:t>因果關係，惟面對長期且顯著之偏差現象，</w:t>
      </w:r>
      <w:r w:rsidR="0027061F" w:rsidRPr="00DA5594">
        <w:rPr>
          <w:color w:val="000000" w:themeColor="text1"/>
          <w:u w:val="single"/>
        </w:rPr>
        <w:t>財政部</w:t>
      </w:r>
      <w:r w:rsidR="0027061F" w:rsidRPr="00DA5594">
        <w:rPr>
          <w:color w:val="000000" w:themeColor="text1"/>
        </w:rPr>
        <w:t>自應主動檢討相關制度及作業流程。</w:t>
      </w:r>
      <w:proofErr w:type="gramStart"/>
      <w:r w:rsidR="0027061F" w:rsidRPr="00DA5594">
        <w:rPr>
          <w:rFonts w:hint="eastAsia"/>
          <w:color w:val="000000" w:themeColor="text1"/>
        </w:rPr>
        <w:t>惟</w:t>
      </w:r>
      <w:r w:rsidR="0027061F" w:rsidRPr="00DA5594">
        <w:rPr>
          <w:color w:val="000000" w:themeColor="text1"/>
        </w:rPr>
        <w:t>查財政部</w:t>
      </w:r>
      <w:proofErr w:type="gramEnd"/>
      <w:r w:rsidR="0027061F" w:rsidRPr="00DA5594">
        <w:rPr>
          <w:color w:val="000000" w:themeColor="text1"/>
        </w:rPr>
        <w:t>歷年對於稅收預測偏差情形，</w:t>
      </w:r>
      <w:r w:rsidR="0027061F" w:rsidRPr="00DA5594">
        <w:rPr>
          <w:rFonts w:hint="eastAsia"/>
          <w:color w:val="000000" w:themeColor="text1"/>
        </w:rPr>
        <w:t>僅</w:t>
      </w:r>
      <w:r w:rsidR="0027061F" w:rsidRPr="00DA5594">
        <w:rPr>
          <w:color w:val="000000" w:themeColor="text1"/>
        </w:rPr>
        <w:t>以景氣變動、出口成長、股市交易熱絡及企業獲利優於預期等因素</w:t>
      </w:r>
      <w:r w:rsidR="00B728FA" w:rsidRPr="00DA5594">
        <w:rPr>
          <w:rFonts w:hint="eastAsia"/>
          <w:color w:val="000000" w:themeColor="text1"/>
        </w:rPr>
        <w:t>對外</w:t>
      </w:r>
      <w:r w:rsidR="0027061F" w:rsidRPr="00DA5594">
        <w:rPr>
          <w:color w:val="000000" w:themeColor="text1"/>
        </w:rPr>
        <w:t>說明，對於長期</w:t>
      </w:r>
      <w:r w:rsidR="003F2D4C" w:rsidRPr="00DA5594">
        <w:rPr>
          <w:rFonts w:hint="eastAsia"/>
          <w:color w:val="000000" w:themeColor="text1"/>
        </w:rPr>
        <w:t>誤差</w:t>
      </w:r>
      <w:r w:rsidR="0027061F" w:rsidRPr="00DA5594">
        <w:rPr>
          <w:color w:val="000000" w:themeColor="text1"/>
        </w:rPr>
        <w:t>偏高之結構性現象，卻未及早建立制度化檢討機制</w:t>
      </w:r>
      <w:r w:rsidR="00805FB2" w:rsidRPr="00DA5594">
        <w:rPr>
          <w:rFonts w:hint="eastAsia"/>
          <w:color w:val="000000" w:themeColor="text1"/>
        </w:rPr>
        <w:t>，</w:t>
      </w:r>
      <w:r w:rsidR="0027061F" w:rsidRPr="00DA5594">
        <w:rPr>
          <w:color w:val="000000" w:themeColor="text1"/>
          <w:u w:val="single"/>
        </w:rPr>
        <w:t>遲至112年間，</w:t>
      </w:r>
      <w:r w:rsidR="0027061F" w:rsidRPr="00DA5594">
        <w:rPr>
          <w:rFonts w:hint="eastAsia"/>
          <w:color w:val="000000" w:themeColor="text1"/>
          <w:u w:val="single"/>
        </w:rPr>
        <w:t>該</w:t>
      </w:r>
      <w:proofErr w:type="gramStart"/>
      <w:r w:rsidR="0027061F" w:rsidRPr="00DA5594">
        <w:rPr>
          <w:color w:val="000000" w:themeColor="text1"/>
          <w:u w:val="single"/>
        </w:rPr>
        <w:t>部始委</w:t>
      </w:r>
      <w:proofErr w:type="gramEnd"/>
      <w:r w:rsidR="0027061F" w:rsidRPr="00DA5594">
        <w:rPr>
          <w:color w:val="000000" w:themeColor="text1"/>
          <w:u w:val="single"/>
        </w:rPr>
        <w:t>外辦理內地稅稅收估測模型研究，並成立「財政部稅收估測專案小組」，</w:t>
      </w:r>
      <w:proofErr w:type="gramStart"/>
      <w:r w:rsidR="0027061F" w:rsidRPr="00DA5594">
        <w:rPr>
          <w:color w:val="000000" w:themeColor="text1"/>
          <w:u w:val="single"/>
        </w:rPr>
        <w:t>研</w:t>
      </w:r>
      <w:proofErr w:type="gramEnd"/>
      <w:r w:rsidR="0027061F" w:rsidRPr="00DA5594">
        <w:rPr>
          <w:color w:val="000000" w:themeColor="text1"/>
          <w:u w:val="single"/>
        </w:rPr>
        <w:t>議導入更多總體經濟變數、精進模型參數及強化誤差分析等事項</w:t>
      </w:r>
      <w:r w:rsidR="0027061F" w:rsidRPr="00DA5594">
        <w:rPr>
          <w:color w:val="000000" w:themeColor="text1"/>
        </w:rPr>
        <w:t>。</w:t>
      </w:r>
    </w:p>
    <w:p w14:paraId="31BCFA53" w14:textId="7CED7931" w:rsidR="00E06D5E" w:rsidRPr="00DA5594" w:rsidRDefault="006478E1" w:rsidP="00E06D5E">
      <w:pPr>
        <w:pStyle w:val="3"/>
        <w:rPr>
          <w:color w:val="000000" w:themeColor="text1"/>
        </w:rPr>
      </w:pPr>
      <w:r w:rsidRPr="00DA5594">
        <w:rPr>
          <w:rFonts w:hint="eastAsia"/>
          <w:color w:val="000000" w:themeColor="text1"/>
        </w:rPr>
        <w:t>基</w:t>
      </w:r>
      <w:r w:rsidR="00E06D5E" w:rsidRPr="00DA5594">
        <w:rPr>
          <w:color w:val="000000" w:themeColor="text1"/>
        </w:rPr>
        <w:t>上，歲入預測本具高度不確定性，受經濟景氣、產業結構及國際情勢影響甚</w:t>
      </w:r>
      <w:proofErr w:type="gramStart"/>
      <w:r w:rsidR="00E06D5E" w:rsidRPr="00DA5594">
        <w:rPr>
          <w:color w:val="000000" w:themeColor="text1"/>
        </w:rPr>
        <w:t>鉅</w:t>
      </w:r>
      <w:proofErr w:type="gramEnd"/>
      <w:r w:rsidR="00E06D5E" w:rsidRPr="00DA5594">
        <w:rPr>
          <w:color w:val="000000" w:themeColor="text1"/>
        </w:rPr>
        <w:t>，實難要求完全精</w:t>
      </w:r>
      <w:proofErr w:type="gramStart"/>
      <w:r w:rsidR="00E06D5E" w:rsidRPr="00DA5594">
        <w:rPr>
          <w:color w:val="000000" w:themeColor="text1"/>
        </w:rPr>
        <w:t>準</w:t>
      </w:r>
      <w:proofErr w:type="gramEnd"/>
      <w:r w:rsidR="00E06D5E" w:rsidRPr="00DA5594">
        <w:rPr>
          <w:color w:val="000000" w:themeColor="text1"/>
        </w:rPr>
        <w:t>；</w:t>
      </w:r>
      <w:proofErr w:type="gramStart"/>
      <w:r w:rsidR="00E06D5E" w:rsidRPr="00DA5594">
        <w:rPr>
          <w:color w:val="000000" w:themeColor="text1"/>
        </w:rPr>
        <w:t>惟</w:t>
      </w:r>
      <w:proofErr w:type="gramEnd"/>
      <w:r w:rsidR="00E06D5E" w:rsidRPr="00DA5594">
        <w:rPr>
          <w:color w:val="000000" w:themeColor="text1"/>
        </w:rPr>
        <w:t>中央政府自104年至11</w:t>
      </w:r>
      <w:r w:rsidR="00EA7745" w:rsidRPr="00DA5594">
        <w:rPr>
          <w:rFonts w:hint="eastAsia"/>
          <w:color w:val="000000" w:themeColor="text1"/>
        </w:rPr>
        <w:t>3</w:t>
      </w:r>
      <w:r w:rsidR="00E06D5E" w:rsidRPr="00DA5594">
        <w:rPr>
          <w:color w:val="000000" w:themeColor="text1"/>
        </w:rPr>
        <w:t>年間，除109年度外，多數年度均出現稅課收入實徵數高於預算數情形，尤以110年至</w:t>
      </w:r>
      <w:proofErr w:type="gramStart"/>
      <w:r w:rsidR="00E06D5E" w:rsidRPr="00DA5594">
        <w:rPr>
          <w:color w:val="000000" w:themeColor="text1"/>
        </w:rPr>
        <w:t>113</w:t>
      </w:r>
      <w:proofErr w:type="gramEnd"/>
      <w:r w:rsidR="00E06D5E" w:rsidRPr="00DA5594">
        <w:rPr>
          <w:color w:val="000000" w:themeColor="text1"/>
        </w:rPr>
        <w:t>年度連續4年</w:t>
      </w:r>
      <w:proofErr w:type="gramStart"/>
      <w:r w:rsidR="00EA7745" w:rsidRPr="00DA5594">
        <w:rPr>
          <w:rFonts w:hint="eastAsia"/>
          <w:color w:val="000000" w:themeColor="text1"/>
        </w:rPr>
        <w:t>實徵超逾</w:t>
      </w:r>
      <w:proofErr w:type="gramEnd"/>
      <w:r w:rsidR="00EA7745" w:rsidRPr="00DA5594">
        <w:rPr>
          <w:rFonts w:hint="eastAsia"/>
          <w:color w:val="000000" w:themeColor="text1"/>
        </w:rPr>
        <w:t>預算</w:t>
      </w:r>
      <w:r w:rsidR="00E06D5E" w:rsidRPr="00DA5594">
        <w:rPr>
          <w:color w:val="000000" w:themeColor="text1"/>
        </w:rPr>
        <w:t>規模高達</w:t>
      </w:r>
      <w:r w:rsidR="00EA7745" w:rsidRPr="00DA5594">
        <w:rPr>
          <w:rFonts w:hint="eastAsia"/>
          <w:color w:val="000000" w:themeColor="text1"/>
        </w:rPr>
        <w:t>近3</w:t>
      </w:r>
      <w:r w:rsidR="00E06D5E" w:rsidRPr="00DA5594">
        <w:rPr>
          <w:color w:val="000000" w:themeColor="text1"/>
        </w:rPr>
        <w:t>千億</w:t>
      </w:r>
      <w:r w:rsidR="00EA7745" w:rsidRPr="00DA5594">
        <w:rPr>
          <w:rFonts w:hint="eastAsia"/>
          <w:color w:val="000000" w:themeColor="text1"/>
        </w:rPr>
        <w:t>至4千多億</w:t>
      </w:r>
      <w:r w:rsidR="00E06D5E" w:rsidRPr="00DA5594">
        <w:rPr>
          <w:color w:val="000000" w:themeColor="text1"/>
        </w:rPr>
        <w:t>元</w:t>
      </w:r>
      <w:r w:rsidR="001B4923" w:rsidRPr="00DA5594">
        <w:rPr>
          <w:rFonts w:hint="eastAsia"/>
          <w:color w:val="000000" w:themeColor="text1"/>
        </w:rPr>
        <w:t>為甚</w:t>
      </w:r>
      <w:r w:rsidR="00E06D5E" w:rsidRPr="00DA5594">
        <w:rPr>
          <w:color w:val="000000" w:themeColor="text1"/>
        </w:rPr>
        <w:t>，</w:t>
      </w:r>
      <w:r w:rsidR="00C45D43" w:rsidRPr="00DA5594">
        <w:rPr>
          <w:rFonts w:hint="eastAsia"/>
          <w:color w:val="000000" w:themeColor="text1"/>
        </w:rPr>
        <w:t>不僅</w:t>
      </w:r>
      <w:r w:rsidR="00E06D5E" w:rsidRPr="00DA5594">
        <w:rPr>
          <w:color w:val="000000" w:themeColor="text1"/>
        </w:rPr>
        <w:t>已非偶發性短期誤差，</w:t>
      </w:r>
      <w:r w:rsidR="00C45D43" w:rsidRPr="00DA5594">
        <w:rPr>
          <w:color w:val="000000" w:themeColor="text1"/>
        </w:rPr>
        <w:t>且相較部分主要國家近年稅收預測誤差幅度亦屬偏高。</w:t>
      </w:r>
      <w:proofErr w:type="gramStart"/>
      <w:r w:rsidR="004E57F8" w:rsidRPr="00DA5594">
        <w:rPr>
          <w:rFonts w:hint="eastAsia"/>
          <w:color w:val="000000" w:themeColor="text1"/>
        </w:rPr>
        <w:t>詎</w:t>
      </w:r>
      <w:proofErr w:type="gramEnd"/>
      <w:r w:rsidRPr="00DA5594">
        <w:rPr>
          <w:color w:val="000000" w:themeColor="text1"/>
          <w:u w:val="single"/>
        </w:rPr>
        <w:t>財政部</w:t>
      </w:r>
      <w:r w:rsidRPr="00DA5594">
        <w:rPr>
          <w:rFonts w:hint="eastAsia"/>
          <w:color w:val="000000" w:themeColor="text1"/>
          <w:u w:val="single"/>
        </w:rPr>
        <w:t>始終未正視</w:t>
      </w:r>
      <w:r w:rsidR="00EA7745" w:rsidRPr="00DA5594">
        <w:rPr>
          <w:rFonts w:hint="eastAsia"/>
          <w:color w:val="000000" w:themeColor="text1"/>
          <w:u w:val="single"/>
        </w:rPr>
        <w:t>並</w:t>
      </w:r>
      <w:r w:rsidRPr="00DA5594">
        <w:rPr>
          <w:color w:val="000000" w:themeColor="text1"/>
          <w:u w:val="single"/>
        </w:rPr>
        <w:t>確實檢討現行稅收估測制度，</w:t>
      </w:r>
      <w:r w:rsidR="00EA7745" w:rsidRPr="00DA5594">
        <w:rPr>
          <w:rFonts w:hint="eastAsia"/>
          <w:color w:val="000000" w:themeColor="text1"/>
          <w:u w:val="single"/>
        </w:rPr>
        <w:t>亦未及時</w:t>
      </w:r>
      <w:r w:rsidRPr="00DA5594">
        <w:rPr>
          <w:color w:val="000000" w:themeColor="text1"/>
          <w:u w:val="single"/>
        </w:rPr>
        <w:t>就模型建構、參數選取、資料更新、誤差分析及資訊揭露等面向建立</w:t>
      </w:r>
      <w:proofErr w:type="gramStart"/>
      <w:r w:rsidRPr="00DA5594">
        <w:rPr>
          <w:color w:val="000000" w:themeColor="text1"/>
          <w:u w:val="single"/>
        </w:rPr>
        <w:t>常態化精進</w:t>
      </w:r>
      <w:proofErr w:type="gramEnd"/>
      <w:r w:rsidRPr="00DA5594">
        <w:rPr>
          <w:color w:val="000000" w:themeColor="text1"/>
          <w:u w:val="single"/>
        </w:rPr>
        <w:lastRenderedPageBreak/>
        <w:t>機制，並適度導入外部專業意見與滾動修正機制，以提升歲入預測之合理性、透明度及社會信賴</w:t>
      </w:r>
      <w:r w:rsidRPr="00DA5594">
        <w:rPr>
          <w:rFonts w:hint="eastAsia"/>
          <w:color w:val="000000" w:themeColor="text1"/>
        </w:rPr>
        <w:t>。</w:t>
      </w:r>
      <w:proofErr w:type="gramStart"/>
      <w:r w:rsidR="00C45D43" w:rsidRPr="00DA5594">
        <w:rPr>
          <w:rFonts w:hint="eastAsia"/>
          <w:color w:val="000000" w:themeColor="text1"/>
        </w:rPr>
        <w:t>詎</w:t>
      </w:r>
      <w:proofErr w:type="gramEnd"/>
      <w:r w:rsidR="00E06D5E" w:rsidRPr="00DA5594">
        <w:rPr>
          <w:color w:val="000000" w:themeColor="text1"/>
        </w:rPr>
        <w:t>遲至112年間</w:t>
      </w:r>
      <w:r w:rsidR="00C45D43" w:rsidRPr="00DA5594">
        <w:rPr>
          <w:rFonts w:hint="eastAsia"/>
          <w:color w:val="000000" w:themeColor="text1"/>
        </w:rPr>
        <w:t>，該</w:t>
      </w:r>
      <w:proofErr w:type="gramStart"/>
      <w:r w:rsidR="00C45D43" w:rsidRPr="00DA5594">
        <w:rPr>
          <w:rFonts w:hint="eastAsia"/>
          <w:color w:val="000000" w:themeColor="text1"/>
        </w:rPr>
        <w:t>部</w:t>
      </w:r>
      <w:r w:rsidR="00E06D5E" w:rsidRPr="00DA5594">
        <w:rPr>
          <w:color w:val="000000" w:themeColor="text1"/>
        </w:rPr>
        <w:t>始</w:t>
      </w:r>
      <w:r w:rsidR="00C45D43" w:rsidRPr="00DA5594">
        <w:rPr>
          <w:color w:val="000000" w:themeColor="text1"/>
        </w:rPr>
        <w:t>委</w:t>
      </w:r>
      <w:proofErr w:type="gramEnd"/>
      <w:r w:rsidR="00C45D43" w:rsidRPr="00DA5594">
        <w:rPr>
          <w:color w:val="000000" w:themeColor="text1"/>
        </w:rPr>
        <w:t>外研究並成立專案小組</w:t>
      </w:r>
      <w:r w:rsidR="00E06D5E" w:rsidRPr="00DA5594">
        <w:rPr>
          <w:color w:val="000000" w:themeColor="text1"/>
        </w:rPr>
        <w:t>，</w:t>
      </w:r>
      <w:proofErr w:type="gramStart"/>
      <w:r w:rsidR="001B4923" w:rsidRPr="00DA5594">
        <w:rPr>
          <w:rFonts w:hint="eastAsia"/>
          <w:color w:val="000000" w:themeColor="text1"/>
        </w:rPr>
        <w:t>核其</w:t>
      </w:r>
      <w:r w:rsidR="00E06D5E" w:rsidRPr="00DA5594">
        <w:rPr>
          <w:color w:val="000000" w:themeColor="text1"/>
        </w:rPr>
        <w:t>對</w:t>
      </w:r>
      <w:proofErr w:type="gramEnd"/>
      <w:r w:rsidR="00E06D5E" w:rsidRPr="00DA5594">
        <w:rPr>
          <w:color w:val="000000" w:themeColor="text1"/>
        </w:rPr>
        <w:t>長期偏高之預測落差未能及早積極因應，相關檢討與改善作為顯有不足，</w:t>
      </w:r>
      <w:r w:rsidR="00805FB2" w:rsidRPr="00DA5594">
        <w:rPr>
          <w:rFonts w:hint="eastAsia"/>
          <w:color w:val="000000" w:themeColor="text1"/>
        </w:rPr>
        <w:t>實</w:t>
      </w:r>
      <w:r w:rsidR="001B4923" w:rsidRPr="00DA5594">
        <w:rPr>
          <w:rFonts w:hint="eastAsia"/>
          <w:color w:val="000000" w:themeColor="text1"/>
        </w:rPr>
        <w:t>有</w:t>
      </w:r>
      <w:r w:rsidR="004E57F8" w:rsidRPr="00DA5594">
        <w:rPr>
          <w:rFonts w:hint="eastAsia"/>
          <w:color w:val="000000" w:themeColor="text1"/>
        </w:rPr>
        <w:t>失當</w:t>
      </w:r>
      <w:r w:rsidR="00E06D5E" w:rsidRPr="00DA5594">
        <w:rPr>
          <w:color w:val="000000" w:themeColor="text1"/>
        </w:rPr>
        <w:t>。</w:t>
      </w:r>
    </w:p>
    <w:p w14:paraId="6682DD3F" w14:textId="04FE5036" w:rsidR="00103540" w:rsidRPr="00DA5594" w:rsidRDefault="00C62D9B" w:rsidP="00EA5295">
      <w:pPr>
        <w:pStyle w:val="2"/>
        <w:spacing w:beforeLines="50" w:before="228"/>
        <w:ind w:left="1020" w:hanging="680"/>
        <w:rPr>
          <w:b/>
          <w:bCs w:val="0"/>
          <w:color w:val="000000" w:themeColor="text1"/>
        </w:rPr>
      </w:pPr>
      <w:r w:rsidRPr="00DA5594">
        <w:rPr>
          <w:rFonts w:hint="eastAsia"/>
          <w:b/>
          <w:bCs w:val="0"/>
          <w:color w:val="000000" w:themeColor="text1"/>
        </w:rPr>
        <w:t>財政</w:t>
      </w:r>
      <w:r w:rsidR="00995D62" w:rsidRPr="00DA5594">
        <w:rPr>
          <w:b/>
          <w:bCs w:val="0"/>
          <w:color w:val="000000" w:themeColor="text1"/>
        </w:rPr>
        <w:t>部長期對關鍵模型、估算公式、誤差分析及敏感度變化等核心資訊揭露有限</w:t>
      </w:r>
      <w:r w:rsidR="00995D62" w:rsidRPr="00DA5594">
        <w:rPr>
          <w:rFonts w:hint="eastAsia"/>
          <w:b/>
          <w:bCs w:val="0"/>
          <w:color w:val="000000" w:themeColor="text1"/>
        </w:rPr>
        <w:t>，</w:t>
      </w:r>
      <w:r w:rsidR="001B4923" w:rsidRPr="00DA5594">
        <w:rPr>
          <w:rFonts w:hint="eastAsia"/>
          <w:b/>
          <w:bCs w:val="0"/>
          <w:color w:val="000000" w:themeColor="text1"/>
        </w:rPr>
        <w:t>亦致</w:t>
      </w:r>
      <w:r w:rsidR="00995D62" w:rsidRPr="00DA5594">
        <w:rPr>
          <w:b/>
          <w:bCs w:val="0"/>
          <w:color w:val="000000" w:themeColor="text1"/>
        </w:rPr>
        <w:t>外界迄難完整理解及驗證稅收推估過程；又中央政府稅課收入</w:t>
      </w:r>
      <w:r w:rsidR="00995D62" w:rsidRPr="00DA5594">
        <w:rPr>
          <w:rFonts w:hint="eastAsia"/>
          <w:b/>
          <w:bCs w:val="0"/>
          <w:color w:val="000000" w:themeColor="text1"/>
        </w:rPr>
        <w:t>連年</w:t>
      </w:r>
      <w:r w:rsidR="00995D62" w:rsidRPr="00DA5594">
        <w:rPr>
          <w:b/>
          <w:bCs w:val="0"/>
          <w:color w:val="000000" w:themeColor="text1"/>
        </w:rPr>
        <w:t>實徵數大幅高於預算數，社會普遍以「稅收超徵」稱之，並衍生政府「多收稅款」或「應返還人民」等爭議，</w:t>
      </w:r>
      <w:bookmarkStart w:id="52" w:name="_Hlk230100285"/>
      <w:r w:rsidR="00995D62" w:rsidRPr="00DA5594">
        <w:rPr>
          <w:b/>
          <w:bCs w:val="0"/>
          <w:color w:val="000000" w:themeColor="text1"/>
        </w:rPr>
        <w:t>然財政部</w:t>
      </w:r>
      <w:r w:rsidR="00267E8C" w:rsidRPr="00DA5594">
        <w:rPr>
          <w:b/>
          <w:bCs w:val="0"/>
          <w:color w:val="000000" w:themeColor="text1"/>
        </w:rPr>
        <w:t>未明確承認其預測偏保守或估測失</w:t>
      </w:r>
      <w:proofErr w:type="gramStart"/>
      <w:r w:rsidR="00267E8C" w:rsidRPr="00DA5594">
        <w:rPr>
          <w:b/>
          <w:bCs w:val="0"/>
          <w:color w:val="000000" w:themeColor="text1"/>
        </w:rPr>
        <w:t>準</w:t>
      </w:r>
      <w:proofErr w:type="gramEnd"/>
      <w:r w:rsidR="00267E8C" w:rsidRPr="00DA5594">
        <w:rPr>
          <w:b/>
          <w:bCs w:val="0"/>
          <w:color w:val="000000" w:themeColor="text1"/>
        </w:rPr>
        <w:t>問題</w:t>
      </w:r>
      <w:r w:rsidR="00995D62" w:rsidRPr="00DA5594">
        <w:rPr>
          <w:b/>
          <w:bCs w:val="0"/>
          <w:color w:val="000000" w:themeColor="text1"/>
        </w:rPr>
        <w:t>，</w:t>
      </w:r>
      <w:r w:rsidR="000F509F" w:rsidRPr="00DA5594">
        <w:rPr>
          <w:rFonts w:hint="eastAsia"/>
          <w:b/>
          <w:bCs w:val="0"/>
          <w:color w:val="000000" w:themeColor="text1"/>
        </w:rPr>
        <w:t>復</w:t>
      </w:r>
      <w:r w:rsidR="00995D62" w:rsidRPr="00DA5594">
        <w:rPr>
          <w:b/>
          <w:bCs w:val="0"/>
          <w:color w:val="000000" w:themeColor="text1"/>
        </w:rPr>
        <w:t>對外說明仍多停留於稅收</w:t>
      </w:r>
      <w:r w:rsidR="00093368" w:rsidRPr="00DA5594">
        <w:rPr>
          <w:rFonts w:hint="eastAsia"/>
          <w:b/>
          <w:bCs w:val="0"/>
          <w:color w:val="000000" w:themeColor="text1"/>
        </w:rPr>
        <w:t>執行</w:t>
      </w:r>
      <w:r w:rsidR="007801CA" w:rsidRPr="00DA5594">
        <w:rPr>
          <w:rFonts w:hint="eastAsia"/>
          <w:b/>
          <w:bCs w:val="0"/>
          <w:color w:val="000000" w:themeColor="text1"/>
        </w:rPr>
        <w:t>優</w:t>
      </w:r>
      <w:r w:rsidR="00995D62" w:rsidRPr="00DA5594">
        <w:rPr>
          <w:b/>
          <w:bCs w:val="0"/>
          <w:color w:val="000000" w:themeColor="text1"/>
        </w:rPr>
        <w:t>於預</w:t>
      </w:r>
      <w:r w:rsidR="00093368" w:rsidRPr="00DA5594">
        <w:rPr>
          <w:rFonts w:hint="eastAsia"/>
          <w:b/>
          <w:bCs w:val="0"/>
          <w:color w:val="000000" w:themeColor="text1"/>
        </w:rPr>
        <w:t>期</w:t>
      </w:r>
      <w:r w:rsidR="00995D62" w:rsidRPr="00DA5594">
        <w:rPr>
          <w:b/>
          <w:bCs w:val="0"/>
          <w:color w:val="000000" w:themeColor="text1"/>
        </w:rPr>
        <w:t>之結果描述，亦未能積極</w:t>
      </w:r>
      <w:proofErr w:type="gramStart"/>
      <w:r w:rsidR="00995D62" w:rsidRPr="00DA5594">
        <w:rPr>
          <w:b/>
          <w:bCs w:val="0"/>
          <w:color w:val="000000" w:themeColor="text1"/>
        </w:rPr>
        <w:t>釐</w:t>
      </w:r>
      <w:proofErr w:type="gramEnd"/>
      <w:r w:rsidR="00995D62" w:rsidRPr="00DA5594">
        <w:rPr>
          <w:b/>
          <w:bCs w:val="0"/>
          <w:color w:val="000000" w:themeColor="text1"/>
        </w:rPr>
        <w:t>清其本質多係景氣成長、企業獲利增加、股市交易熱絡及產業結構變動所形成之「稅基擴張」結果，致社會長期混淆「實徵數高於預算數」與「</w:t>
      </w:r>
      <w:r w:rsidR="005B43EF" w:rsidRPr="00DA5594">
        <w:rPr>
          <w:rFonts w:hint="eastAsia"/>
          <w:b/>
          <w:bCs w:val="0"/>
          <w:color w:val="000000" w:themeColor="text1"/>
        </w:rPr>
        <w:t>稅收</w:t>
      </w:r>
      <w:r w:rsidR="00995D62" w:rsidRPr="00DA5594">
        <w:rPr>
          <w:b/>
          <w:bCs w:val="0"/>
          <w:color w:val="000000" w:themeColor="text1"/>
        </w:rPr>
        <w:t>多徵」</w:t>
      </w:r>
      <w:r w:rsidR="00182354" w:rsidRPr="00DA5594">
        <w:rPr>
          <w:b/>
          <w:bCs w:val="0"/>
          <w:color w:val="000000" w:themeColor="text1"/>
        </w:rPr>
        <w:t>間之根本差異，影響財政制度理性討論及政府公信力，</w:t>
      </w:r>
      <w:r w:rsidR="00995D62" w:rsidRPr="00DA5594">
        <w:rPr>
          <w:rFonts w:hint="eastAsia"/>
          <w:b/>
          <w:bCs w:val="0"/>
          <w:color w:val="000000" w:themeColor="text1"/>
        </w:rPr>
        <w:t>足見</w:t>
      </w:r>
      <w:proofErr w:type="gramStart"/>
      <w:r w:rsidR="00995D62" w:rsidRPr="00DA5594">
        <w:rPr>
          <w:rFonts w:hint="eastAsia"/>
          <w:b/>
          <w:bCs w:val="0"/>
          <w:color w:val="000000" w:themeColor="text1"/>
        </w:rPr>
        <w:t>該部確</w:t>
      </w:r>
      <w:r w:rsidR="00182354" w:rsidRPr="00DA5594">
        <w:rPr>
          <w:b/>
          <w:bCs w:val="0"/>
          <w:color w:val="000000" w:themeColor="text1"/>
        </w:rPr>
        <w:t>有</w:t>
      </w:r>
      <w:proofErr w:type="gramEnd"/>
      <w:r w:rsidR="00182354" w:rsidRPr="00DA5594">
        <w:rPr>
          <w:b/>
          <w:bCs w:val="0"/>
          <w:color w:val="000000" w:themeColor="text1"/>
        </w:rPr>
        <w:t>資訊揭露及政策溝通</w:t>
      </w:r>
      <w:r w:rsidR="00A70FCD" w:rsidRPr="00DA5594">
        <w:rPr>
          <w:rFonts w:hint="eastAsia"/>
          <w:b/>
          <w:bCs w:val="0"/>
          <w:color w:val="000000" w:themeColor="text1"/>
        </w:rPr>
        <w:t>嚴重</w:t>
      </w:r>
      <w:r w:rsidR="00182354" w:rsidRPr="00DA5594">
        <w:rPr>
          <w:b/>
          <w:bCs w:val="0"/>
          <w:color w:val="000000" w:themeColor="text1"/>
        </w:rPr>
        <w:t>不足</w:t>
      </w:r>
      <w:bookmarkEnd w:id="52"/>
      <w:r w:rsidRPr="00DA5594">
        <w:rPr>
          <w:rFonts w:hint="eastAsia"/>
          <w:b/>
          <w:bCs w:val="0"/>
          <w:color w:val="000000" w:themeColor="text1"/>
        </w:rPr>
        <w:t>，亦有可議之處</w:t>
      </w:r>
      <w:r w:rsidR="00182354" w:rsidRPr="00DA5594">
        <w:rPr>
          <w:rFonts w:hint="eastAsia"/>
          <w:b/>
          <w:bCs w:val="0"/>
          <w:color w:val="000000" w:themeColor="text1"/>
        </w:rPr>
        <w:t>：</w:t>
      </w:r>
    </w:p>
    <w:p w14:paraId="01D60428" w14:textId="5D1F2E06" w:rsidR="003E00CE" w:rsidRPr="00DA5594" w:rsidRDefault="006167D4" w:rsidP="00105596">
      <w:pPr>
        <w:pStyle w:val="3"/>
        <w:rPr>
          <w:color w:val="000000" w:themeColor="text1"/>
        </w:rPr>
      </w:pPr>
      <w:r w:rsidRPr="00DA5594">
        <w:rPr>
          <w:rFonts w:hint="eastAsia"/>
          <w:color w:val="000000" w:themeColor="text1"/>
        </w:rPr>
        <w:t>依</w:t>
      </w:r>
      <w:r w:rsidRPr="00DA5594">
        <w:rPr>
          <w:color w:val="000000" w:themeColor="text1"/>
        </w:rPr>
        <w:t>預算法</w:t>
      </w:r>
      <w:r w:rsidRPr="00DA5594">
        <w:rPr>
          <w:rFonts w:hint="eastAsia"/>
          <w:color w:val="000000" w:themeColor="text1"/>
        </w:rPr>
        <w:t>規定</w:t>
      </w:r>
      <w:r w:rsidR="003E00CE" w:rsidRPr="00DA5594">
        <w:rPr>
          <w:rFonts w:hint="eastAsia"/>
          <w:color w:val="000000" w:themeColor="text1"/>
        </w:rPr>
        <w:t>，</w:t>
      </w:r>
      <w:r w:rsidRPr="00DA5594">
        <w:rPr>
          <w:color w:val="000000" w:themeColor="text1"/>
        </w:rPr>
        <w:t>各機關應依法編造預算，且歲入預算需按來源別科目編列</w:t>
      </w:r>
      <w:r w:rsidR="00A70FCD" w:rsidRPr="00DA5594">
        <w:rPr>
          <w:rFonts w:hint="eastAsia"/>
          <w:color w:val="000000" w:themeColor="text1"/>
        </w:rPr>
        <w:t>；</w:t>
      </w:r>
      <w:hyperlink r:id="rId9" w:tgtFrame="_blank" w:history="1">
        <w:r w:rsidRPr="00DA5594">
          <w:rPr>
            <w:color w:val="000000" w:themeColor="text1"/>
          </w:rPr>
          <w:t>中央政府總預算編製辦法</w:t>
        </w:r>
      </w:hyperlink>
      <w:r w:rsidRPr="00DA5594">
        <w:rPr>
          <w:rFonts w:hint="eastAsia"/>
          <w:color w:val="000000" w:themeColor="text1"/>
        </w:rPr>
        <w:t>規定</w:t>
      </w:r>
      <w:r w:rsidRPr="00DA5594">
        <w:rPr>
          <w:color w:val="000000" w:themeColor="text1"/>
        </w:rPr>
        <w:t>，歲入的編列必須依照過去實績及相關數據核實估計，並將估計基礎詳予說明。</w:t>
      </w:r>
      <w:r w:rsidR="003E00CE" w:rsidRPr="00DA5594">
        <w:rPr>
          <w:rFonts w:hint="eastAsia"/>
          <w:color w:val="000000" w:themeColor="text1"/>
        </w:rPr>
        <w:t>又</w:t>
      </w:r>
      <w:r w:rsidRPr="00DA5594">
        <w:rPr>
          <w:color w:val="000000" w:themeColor="text1"/>
        </w:rPr>
        <w:t>各機關單位預算執行要點</w:t>
      </w:r>
      <w:r w:rsidR="003E00CE" w:rsidRPr="00DA5594">
        <w:rPr>
          <w:rFonts w:hint="eastAsia"/>
          <w:color w:val="000000" w:themeColor="text1"/>
        </w:rPr>
        <w:t>亦規定，</w:t>
      </w:r>
      <w:r w:rsidRPr="00DA5594">
        <w:rPr>
          <w:color w:val="000000" w:themeColor="text1"/>
        </w:rPr>
        <w:t>歲入預算必須審慎預估，需將估計基礎及說明附於預算書中，</w:t>
      </w:r>
      <w:proofErr w:type="gramStart"/>
      <w:r w:rsidR="003E00CE" w:rsidRPr="00DA5594">
        <w:rPr>
          <w:rFonts w:hint="eastAsia"/>
          <w:color w:val="000000" w:themeColor="text1"/>
        </w:rPr>
        <w:t>俾</w:t>
      </w:r>
      <w:proofErr w:type="gramEnd"/>
      <w:r w:rsidR="003E00CE" w:rsidRPr="00DA5594">
        <w:rPr>
          <w:rFonts w:hint="eastAsia"/>
          <w:color w:val="000000" w:themeColor="text1"/>
        </w:rPr>
        <w:t>利</w:t>
      </w:r>
      <w:r w:rsidRPr="00DA5594">
        <w:rPr>
          <w:color w:val="000000" w:themeColor="text1"/>
        </w:rPr>
        <w:t>立法院依</w:t>
      </w:r>
      <w:r w:rsidR="003E00CE" w:rsidRPr="00DA5594">
        <w:rPr>
          <w:rFonts w:hint="eastAsia"/>
          <w:color w:val="000000" w:themeColor="text1"/>
        </w:rPr>
        <w:t>此</w:t>
      </w:r>
      <w:r w:rsidRPr="00DA5594">
        <w:rPr>
          <w:color w:val="000000" w:themeColor="text1"/>
        </w:rPr>
        <w:t>基礎對預算案進行審議與監督。</w:t>
      </w:r>
      <w:r w:rsidR="003E00CE" w:rsidRPr="00DA5594">
        <w:rPr>
          <w:color w:val="000000" w:themeColor="text1"/>
        </w:rPr>
        <w:t>是</w:t>
      </w:r>
      <w:proofErr w:type="gramStart"/>
      <w:r w:rsidR="003E00CE" w:rsidRPr="00DA5594">
        <w:rPr>
          <w:color w:val="000000" w:themeColor="text1"/>
        </w:rPr>
        <w:t>以</w:t>
      </w:r>
      <w:proofErr w:type="gramEnd"/>
      <w:r w:rsidR="003E00CE" w:rsidRPr="00DA5594">
        <w:rPr>
          <w:color w:val="000000" w:themeColor="text1"/>
        </w:rPr>
        <w:t>，稅課收入預算雖具高度預測性質，並非實際徵收上限，惟其估算基礎、參數依據及變動原因，仍應有相當程度之透明揭露，以維持預算制度之可監督性及財政紀律。</w:t>
      </w:r>
      <w:r w:rsidR="00B728FA" w:rsidRPr="00DA5594">
        <w:rPr>
          <w:rFonts w:hint="eastAsia"/>
          <w:color w:val="000000" w:themeColor="text1"/>
        </w:rPr>
        <w:t>查</w:t>
      </w:r>
      <w:r w:rsidR="003E00CE" w:rsidRPr="00DA5594">
        <w:rPr>
          <w:color w:val="000000" w:themeColor="text1"/>
        </w:rPr>
        <w:t>財政部雖於部分年度預算書增加稅目說明內容</w:t>
      </w:r>
      <w:r w:rsidR="00105596" w:rsidRPr="00DA5594">
        <w:rPr>
          <w:rFonts w:hint="eastAsia"/>
          <w:color w:val="000000" w:themeColor="text1"/>
        </w:rPr>
        <w:t>(</w:t>
      </w:r>
      <w:r w:rsidR="00105596" w:rsidRPr="00DA5594">
        <w:rPr>
          <w:rFonts w:hint="eastAsia"/>
          <w:color w:val="000000" w:themeColor="text1"/>
        </w:rPr>
        <w:lastRenderedPageBreak/>
        <w:t>各稅目預算編列說明以財政部高雄國稅局103至115年度歲入項目說明提要表有關營利事業所得稅</w:t>
      </w:r>
      <w:r w:rsidR="00A6613A" w:rsidRPr="00DA5594">
        <w:rPr>
          <w:rFonts w:hAnsi="標楷體" w:cs="DFKaiShu-SB-Estd-BF" w:hint="eastAsia"/>
          <w:caps/>
          <w:color w:val="000000" w:themeColor="text1"/>
          <w:szCs w:val="32"/>
        </w:rPr>
        <w:t>［下稱營所稅〕</w:t>
      </w:r>
      <w:r w:rsidR="00105596" w:rsidRPr="00DA5594">
        <w:rPr>
          <w:rFonts w:hint="eastAsia"/>
          <w:color w:val="000000" w:themeColor="text1"/>
        </w:rPr>
        <w:t>之說明為例</w:t>
      </w:r>
      <w:r w:rsidR="00156987" w:rsidRPr="00DA5594">
        <w:rPr>
          <w:rFonts w:hint="eastAsia"/>
          <w:color w:val="000000" w:themeColor="text1"/>
        </w:rPr>
        <w:t>，</w:t>
      </w:r>
      <w:proofErr w:type="gramStart"/>
      <w:r w:rsidR="00105596" w:rsidRPr="00DA5594">
        <w:rPr>
          <w:rFonts w:hint="eastAsia"/>
          <w:color w:val="000000" w:themeColor="text1"/>
        </w:rPr>
        <w:t>詳表</w:t>
      </w:r>
      <w:proofErr w:type="gramEnd"/>
      <w:r w:rsidR="00922FDA" w:rsidRPr="00DA5594">
        <w:rPr>
          <w:rFonts w:hint="eastAsia"/>
          <w:color w:val="000000" w:themeColor="text1"/>
        </w:rPr>
        <w:t>3</w:t>
      </w:r>
      <w:r w:rsidR="00156987" w:rsidRPr="00DA5594">
        <w:rPr>
          <w:rFonts w:hint="eastAsia"/>
          <w:color w:val="000000" w:themeColor="text1"/>
        </w:rPr>
        <w:t>；</w:t>
      </w:r>
      <w:r w:rsidR="00105596" w:rsidRPr="00DA5594">
        <w:rPr>
          <w:rFonts w:hAnsi="標楷體" w:hint="eastAsia"/>
          <w:color w:val="000000" w:themeColor="text1"/>
        </w:rPr>
        <w:t>106至115年度</w:t>
      </w:r>
      <w:r w:rsidR="00105596" w:rsidRPr="00DA5594">
        <w:rPr>
          <w:rFonts w:hAnsi="標楷體"/>
          <w:color w:val="000000" w:themeColor="text1"/>
        </w:rPr>
        <w:t>中央政府總預算案總說明及主要附表</w:t>
      </w:r>
      <w:r w:rsidR="00105596" w:rsidRPr="00DA5594">
        <w:rPr>
          <w:rFonts w:hAnsi="標楷體" w:hint="eastAsia"/>
          <w:color w:val="000000" w:themeColor="text1"/>
        </w:rPr>
        <w:t>之</w:t>
      </w:r>
      <w:r w:rsidR="00105596" w:rsidRPr="00DA5594">
        <w:rPr>
          <w:rFonts w:hAnsi="標楷體"/>
          <w:color w:val="000000" w:themeColor="text1"/>
        </w:rPr>
        <w:t>參、</w:t>
      </w:r>
      <w:r w:rsidR="00156987" w:rsidRPr="00DA5594">
        <w:rPr>
          <w:rFonts w:hAnsi="標楷體" w:hint="eastAsia"/>
          <w:color w:val="000000" w:themeColor="text1"/>
        </w:rPr>
        <w:t>「</w:t>
      </w:r>
      <w:r w:rsidR="00105596" w:rsidRPr="00DA5594">
        <w:rPr>
          <w:rFonts w:hAnsi="標楷體"/>
          <w:color w:val="000000" w:themeColor="text1"/>
        </w:rPr>
        <w:t>總預算案籌編過程及主要內容</w:t>
      </w:r>
      <w:r w:rsidR="00156987" w:rsidRPr="00DA5594">
        <w:rPr>
          <w:rFonts w:hAnsi="標楷體" w:hint="eastAsia"/>
          <w:color w:val="000000" w:themeColor="text1"/>
        </w:rPr>
        <w:t>」-</w:t>
      </w:r>
      <w:r w:rsidR="00105596" w:rsidRPr="00DA5594">
        <w:rPr>
          <w:rFonts w:hAnsi="標楷體" w:hint="eastAsia"/>
          <w:color w:val="000000" w:themeColor="text1"/>
        </w:rPr>
        <w:t>針對</w:t>
      </w:r>
      <w:r w:rsidR="00105596" w:rsidRPr="00DA5594">
        <w:rPr>
          <w:rFonts w:hAnsi="標楷體"/>
          <w:color w:val="000000" w:themeColor="text1"/>
        </w:rPr>
        <w:t>歲入</w:t>
      </w:r>
      <w:proofErr w:type="gramStart"/>
      <w:r w:rsidR="00105596" w:rsidRPr="00DA5594">
        <w:rPr>
          <w:rFonts w:hAnsi="標楷體"/>
          <w:color w:val="000000" w:themeColor="text1"/>
        </w:rPr>
        <w:t>來源別稅課</w:t>
      </w:r>
      <w:proofErr w:type="gramEnd"/>
      <w:r w:rsidR="00105596" w:rsidRPr="00DA5594">
        <w:rPr>
          <w:rFonts w:hAnsi="標楷體"/>
          <w:color w:val="000000" w:themeColor="text1"/>
        </w:rPr>
        <w:t>收入項</w:t>
      </w:r>
      <w:r w:rsidR="00105596" w:rsidRPr="00DA5594">
        <w:rPr>
          <w:rFonts w:hAnsi="標楷體" w:hint="eastAsia"/>
          <w:color w:val="000000" w:themeColor="text1"/>
        </w:rPr>
        <w:t>目內容</w:t>
      </w:r>
      <w:r w:rsidR="00156987" w:rsidRPr="00DA5594">
        <w:rPr>
          <w:rFonts w:hAnsi="標楷體" w:hint="eastAsia"/>
          <w:color w:val="000000" w:themeColor="text1"/>
        </w:rPr>
        <w:t>，</w:t>
      </w:r>
      <w:proofErr w:type="gramStart"/>
      <w:r w:rsidR="00105596" w:rsidRPr="00DA5594">
        <w:rPr>
          <w:rFonts w:hAnsi="標楷體" w:hint="eastAsia"/>
          <w:color w:val="000000" w:themeColor="text1"/>
        </w:rPr>
        <w:t>詳表</w:t>
      </w:r>
      <w:proofErr w:type="gramEnd"/>
      <w:r w:rsidR="00922FDA" w:rsidRPr="00DA5594">
        <w:rPr>
          <w:rFonts w:hAnsi="標楷體" w:hint="eastAsia"/>
          <w:color w:val="000000" w:themeColor="text1"/>
        </w:rPr>
        <w:t>4</w:t>
      </w:r>
      <w:r w:rsidR="00105596" w:rsidRPr="00DA5594">
        <w:rPr>
          <w:rFonts w:hint="eastAsia"/>
          <w:color w:val="000000" w:themeColor="text1"/>
        </w:rPr>
        <w:t>)</w:t>
      </w:r>
      <w:r w:rsidR="003E00CE" w:rsidRPr="00DA5594">
        <w:rPr>
          <w:color w:val="000000" w:themeColor="text1"/>
        </w:rPr>
        <w:t>，然</w:t>
      </w:r>
      <w:r w:rsidR="00B728FA" w:rsidRPr="00DA5594">
        <w:rPr>
          <w:rFonts w:hint="eastAsia"/>
          <w:color w:val="000000" w:themeColor="text1"/>
        </w:rPr>
        <w:t>該部</w:t>
      </w:r>
      <w:r w:rsidR="003E00CE" w:rsidRPr="00DA5594">
        <w:rPr>
          <w:color w:val="000000" w:themeColor="text1"/>
        </w:rPr>
        <w:t>對於實際採用之估測模型、重要參數權重、估算公式、敏感度分析、歷年誤差比較及調整機制等核心資訊，仍未完整揭露</w:t>
      </w:r>
      <w:r w:rsidR="00300EFF" w:rsidRPr="00DA5594">
        <w:rPr>
          <w:rFonts w:hint="eastAsia"/>
          <w:color w:val="000000" w:themeColor="text1"/>
        </w:rPr>
        <w:t>，尤以</w:t>
      </w:r>
      <w:proofErr w:type="gramStart"/>
      <w:r w:rsidR="00300EFF" w:rsidRPr="00DA5594">
        <w:rPr>
          <w:rFonts w:hint="eastAsia"/>
          <w:color w:val="000000" w:themeColor="text1"/>
        </w:rPr>
        <w:t>108</w:t>
      </w:r>
      <w:proofErr w:type="gramEnd"/>
      <w:r w:rsidR="00300EFF" w:rsidRPr="00DA5594">
        <w:rPr>
          <w:rFonts w:hint="eastAsia"/>
          <w:color w:val="000000" w:themeColor="text1"/>
        </w:rPr>
        <w:t>年度以後揭露內容變得更加簡略</w:t>
      </w:r>
      <w:r w:rsidR="003E00CE" w:rsidRPr="00DA5594">
        <w:rPr>
          <w:color w:val="000000" w:themeColor="text1"/>
        </w:rPr>
        <w:t>，外界迄難有效理解其預測形成過程。</w:t>
      </w:r>
      <w:r w:rsidR="00105596" w:rsidRPr="00DA5594">
        <w:rPr>
          <w:color w:val="000000" w:themeColor="text1"/>
        </w:rPr>
        <w:t>本院諮詢專家學者亦指出，現行預算書對稅收估測之揭露程度仍嫌不足，部分重要假設條件及計算邏輯未充分公開，導致社會難以理解預測誤差形成原因，亦增加外界刻意低估之質疑。</w:t>
      </w:r>
    </w:p>
    <w:p w14:paraId="3DDB6530" w14:textId="1D4E082B" w:rsidR="00E7321C" w:rsidRPr="00DA5594" w:rsidRDefault="00E7321C" w:rsidP="00131895">
      <w:pPr>
        <w:pStyle w:val="a3"/>
        <w:keepLines/>
        <w:ind w:left="851" w:hanging="851"/>
        <w:rPr>
          <w:rFonts w:hAnsi="標楷體"/>
          <w:color w:val="000000" w:themeColor="text1"/>
        </w:rPr>
      </w:pPr>
      <w:r w:rsidRPr="00DA5594">
        <w:rPr>
          <w:rFonts w:hAnsi="標楷體" w:hint="eastAsia"/>
          <w:color w:val="000000" w:themeColor="text1"/>
        </w:rPr>
        <w:t>財政部高雄國稅局103至115年度歲入項目說明提要表</w:t>
      </w:r>
      <w:r w:rsidR="00C94D92" w:rsidRPr="00DA5594">
        <w:rPr>
          <w:rFonts w:hAnsi="標楷體" w:hint="eastAsia"/>
          <w:color w:val="000000" w:themeColor="text1"/>
        </w:rPr>
        <w:t>-</w:t>
      </w:r>
      <w:r w:rsidRPr="00DA5594">
        <w:rPr>
          <w:rFonts w:hAnsi="標楷體" w:hint="eastAsia"/>
          <w:color w:val="000000" w:themeColor="text1"/>
        </w:rPr>
        <w:t>有關營所稅之說明</w:t>
      </w:r>
      <w:r w:rsidR="00156987" w:rsidRPr="00DA5594">
        <w:rPr>
          <w:rFonts w:hAnsi="標楷體" w:hint="eastAsia"/>
          <w:color w:val="000000" w:themeColor="text1"/>
        </w:rPr>
        <w:t>內容彙整表</w:t>
      </w:r>
    </w:p>
    <w:tbl>
      <w:tblPr>
        <w:tblStyle w:val="af6"/>
        <w:tblW w:w="0" w:type="auto"/>
        <w:tblInd w:w="-5" w:type="dxa"/>
        <w:tblCellMar>
          <w:top w:w="57" w:type="dxa"/>
          <w:left w:w="57" w:type="dxa"/>
          <w:bottom w:w="57" w:type="dxa"/>
          <w:right w:w="57" w:type="dxa"/>
        </w:tblCellMar>
        <w:tblLook w:val="04A0" w:firstRow="1" w:lastRow="0" w:firstColumn="1" w:lastColumn="0" w:noHBand="0" w:noVBand="1"/>
      </w:tblPr>
      <w:tblGrid>
        <w:gridCol w:w="709"/>
        <w:gridCol w:w="8130"/>
      </w:tblGrid>
      <w:tr w:rsidR="00DA5594" w:rsidRPr="00DA5594" w14:paraId="01673907" w14:textId="77777777" w:rsidTr="00784DF2">
        <w:trPr>
          <w:trHeight w:val="340"/>
          <w:tblHeader/>
        </w:trPr>
        <w:tc>
          <w:tcPr>
            <w:tcW w:w="709" w:type="dxa"/>
            <w:vAlign w:val="center"/>
          </w:tcPr>
          <w:p w14:paraId="24C5B5D6" w14:textId="77777777" w:rsidR="00E7321C" w:rsidRPr="00DA5594" w:rsidRDefault="00E7321C" w:rsidP="00C62D9B">
            <w:pPr>
              <w:pStyle w:val="4"/>
              <w:keepNext/>
              <w:keepLines/>
              <w:numPr>
                <w:ilvl w:val="0"/>
                <w:numId w:val="0"/>
              </w:numPr>
              <w:adjustRightInd w:val="0"/>
              <w:snapToGrid w:val="0"/>
              <w:spacing w:line="290" w:lineRule="exact"/>
              <w:jc w:val="center"/>
              <w:rPr>
                <w:color w:val="000000" w:themeColor="text1"/>
                <w:spacing w:val="-20"/>
                <w:sz w:val="28"/>
                <w:szCs w:val="28"/>
              </w:rPr>
            </w:pPr>
            <w:r w:rsidRPr="00DA5594">
              <w:rPr>
                <w:rFonts w:hint="eastAsia"/>
                <w:color w:val="000000" w:themeColor="text1"/>
                <w:spacing w:val="-20"/>
                <w:sz w:val="28"/>
                <w:szCs w:val="28"/>
              </w:rPr>
              <w:t>年度</w:t>
            </w:r>
          </w:p>
        </w:tc>
        <w:tc>
          <w:tcPr>
            <w:tcW w:w="8130" w:type="dxa"/>
            <w:vAlign w:val="center"/>
          </w:tcPr>
          <w:p w14:paraId="4FDD8C96" w14:textId="77777777" w:rsidR="00E7321C" w:rsidRPr="00DA5594" w:rsidRDefault="00E7321C" w:rsidP="00C62D9B">
            <w:pPr>
              <w:pStyle w:val="4"/>
              <w:keepNext/>
              <w:keepLines/>
              <w:numPr>
                <w:ilvl w:val="0"/>
                <w:numId w:val="0"/>
              </w:numPr>
              <w:adjustRightInd w:val="0"/>
              <w:snapToGrid w:val="0"/>
              <w:spacing w:line="290" w:lineRule="exact"/>
              <w:jc w:val="center"/>
              <w:rPr>
                <w:color w:val="000000" w:themeColor="text1"/>
                <w:spacing w:val="-20"/>
                <w:sz w:val="28"/>
                <w:szCs w:val="28"/>
              </w:rPr>
            </w:pPr>
            <w:r w:rsidRPr="00DA5594">
              <w:rPr>
                <w:rFonts w:hint="eastAsia"/>
                <w:color w:val="000000" w:themeColor="text1"/>
                <w:spacing w:val="-20"/>
                <w:sz w:val="28"/>
                <w:szCs w:val="28"/>
              </w:rPr>
              <w:t>說明內容(</w:t>
            </w:r>
            <w:proofErr w:type="gramStart"/>
            <w:r w:rsidRPr="00DA5594">
              <w:rPr>
                <w:rFonts w:hint="eastAsia"/>
                <w:color w:val="000000" w:themeColor="text1"/>
                <w:spacing w:val="-20"/>
                <w:sz w:val="28"/>
                <w:szCs w:val="28"/>
              </w:rPr>
              <w:t>原文照錄</w:t>
            </w:r>
            <w:proofErr w:type="gramEnd"/>
            <w:r w:rsidRPr="00DA5594">
              <w:rPr>
                <w:rFonts w:hint="eastAsia"/>
                <w:color w:val="000000" w:themeColor="text1"/>
                <w:spacing w:val="-20"/>
                <w:sz w:val="28"/>
                <w:szCs w:val="28"/>
              </w:rPr>
              <w:t>)</w:t>
            </w:r>
          </w:p>
        </w:tc>
      </w:tr>
      <w:tr w:rsidR="00DA5594" w:rsidRPr="00DA5594" w14:paraId="14352CAA" w14:textId="77777777" w:rsidTr="009F60E8">
        <w:tc>
          <w:tcPr>
            <w:tcW w:w="709" w:type="dxa"/>
          </w:tcPr>
          <w:p w14:paraId="70036F8C"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hint="eastAsia"/>
                <w:bCs/>
                <w:color w:val="000000" w:themeColor="text1"/>
                <w:kern w:val="0"/>
                <w:sz w:val="28"/>
                <w:szCs w:val="28"/>
              </w:rPr>
              <w:t>103</w:t>
            </w:r>
          </w:p>
        </w:tc>
        <w:tc>
          <w:tcPr>
            <w:tcW w:w="8130" w:type="dxa"/>
          </w:tcPr>
          <w:p w14:paraId="4EDB3BEE"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1.推估</w:t>
            </w:r>
            <w:proofErr w:type="gramStart"/>
            <w:r w:rsidRPr="00DA5594">
              <w:rPr>
                <w:rFonts w:hAnsi="標楷體"/>
                <w:bCs/>
                <w:snapToGrid w:val="0"/>
                <w:color w:val="000000" w:themeColor="text1"/>
                <w:spacing w:val="-20"/>
                <w:kern w:val="0"/>
                <w:sz w:val="24"/>
                <w:szCs w:val="24"/>
              </w:rPr>
              <w:t>103</w:t>
            </w:r>
            <w:proofErr w:type="gramEnd"/>
            <w:r w:rsidRPr="00DA5594">
              <w:rPr>
                <w:rFonts w:hAnsi="標楷體"/>
                <w:bCs/>
                <w:snapToGrid w:val="0"/>
                <w:color w:val="000000" w:themeColor="text1"/>
                <w:spacing w:val="-20"/>
                <w:kern w:val="0"/>
                <w:sz w:val="24"/>
                <w:szCs w:val="24"/>
              </w:rPr>
              <w:t>年度中央政府營利事業所得稅收入預算數3,489.40億元{[3,608.02億元×(1+2.40%)＋161.01億元＋21.49億元]×90%}</w:t>
            </w:r>
          </w:p>
          <w:p w14:paraId="4B96F865"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(1)推估</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年度全國營利事業所得稅收入3,608.02億元[3,402.10億元×(1+1.32％)+161.01億元</w:t>
            </w:r>
            <w:proofErr w:type="gramStart"/>
            <w:r w:rsidRPr="00DA5594">
              <w:rPr>
                <w:rFonts w:hAnsi="標楷體"/>
                <w:bCs/>
                <w:snapToGrid w:val="0"/>
                <w:color w:val="000000" w:themeColor="text1"/>
                <w:spacing w:val="-20"/>
                <w:kern w:val="0"/>
                <w:sz w:val="24"/>
                <w:szCs w:val="24"/>
              </w:rPr>
              <w:t>﹞</w:t>
            </w:r>
            <w:proofErr w:type="gramEnd"/>
          </w:p>
          <w:p w14:paraId="79C419D9" w14:textId="77777777" w:rsidR="00E7321C" w:rsidRPr="00DA5594" w:rsidRDefault="00E7321C" w:rsidP="00C62D9B">
            <w:pPr>
              <w:widowControl/>
              <w:kinsoku/>
              <w:overflowPunct/>
              <w:autoSpaceDE/>
              <w:autoSpaceDN/>
              <w:adjustRightInd w:val="0"/>
              <w:snapToGrid w:val="0"/>
              <w:spacing w:line="290" w:lineRule="exact"/>
              <w:ind w:leftChars="101" w:left="586" w:hangingChars="110" w:hanging="242"/>
              <w:rPr>
                <w:rFonts w:hAnsi="標楷體"/>
                <w:bCs/>
                <w:snapToGrid w:val="0"/>
                <w:color w:val="000000" w:themeColor="text1"/>
                <w:spacing w:val="-20"/>
                <w:kern w:val="0"/>
                <w:sz w:val="24"/>
                <w:szCs w:val="24"/>
              </w:rPr>
            </w:pPr>
            <w:r w:rsidRPr="00DA5594">
              <w:rPr>
                <w:rFonts w:hAnsi="標楷體" w:hint="eastAsia"/>
                <w:bCs/>
                <w:snapToGrid w:val="0"/>
                <w:color w:val="000000" w:themeColor="text1"/>
                <w:spacing w:val="-20"/>
                <w:kern w:val="0"/>
                <w:sz w:val="24"/>
                <w:szCs w:val="24"/>
              </w:rPr>
              <w:t>&lt;1&gt;</w:t>
            </w:r>
            <w:r w:rsidRPr="00DA5594">
              <w:rPr>
                <w:rFonts w:hAnsi="標楷體"/>
                <w:bCs/>
                <w:snapToGrid w:val="0"/>
                <w:color w:val="000000" w:themeColor="text1"/>
                <w:spacing w:val="-20"/>
                <w:kern w:val="0"/>
                <w:sz w:val="24"/>
                <w:szCs w:val="24"/>
              </w:rPr>
              <w:t>3,402.10億元為99、100及</w:t>
            </w:r>
            <w:proofErr w:type="gramStart"/>
            <w:r w:rsidRPr="00DA5594">
              <w:rPr>
                <w:rFonts w:hAnsi="標楷體"/>
                <w:bCs/>
                <w:snapToGrid w:val="0"/>
                <w:color w:val="000000" w:themeColor="text1"/>
                <w:spacing w:val="-20"/>
                <w:kern w:val="0"/>
                <w:sz w:val="24"/>
                <w:szCs w:val="24"/>
              </w:rPr>
              <w:t>101</w:t>
            </w:r>
            <w:proofErr w:type="gramEnd"/>
            <w:r w:rsidRPr="00DA5594">
              <w:rPr>
                <w:rFonts w:hAnsi="標楷體"/>
                <w:bCs/>
                <w:snapToGrid w:val="0"/>
                <w:color w:val="000000" w:themeColor="text1"/>
                <w:spacing w:val="-20"/>
                <w:kern w:val="0"/>
                <w:sz w:val="24"/>
                <w:szCs w:val="24"/>
              </w:rPr>
              <w:t>年度全國營利事業所得稅實徵數之平均數[(2,857.01億元+3,671.86億元+3,677.44億元)÷3]，</w:t>
            </w:r>
            <w:proofErr w:type="gramStart"/>
            <w:r w:rsidRPr="00DA5594">
              <w:rPr>
                <w:rFonts w:hAnsi="標楷體"/>
                <w:bCs/>
                <w:snapToGrid w:val="0"/>
                <w:color w:val="000000" w:themeColor="text1"/>
                <w:spacing w:val="-20"/>
                <w:kern w:val="0"/>
                <w:sz w:val="24"/>
                <w:szCs w:val="24"/>
              </w:rPr>
              <w:t>鑑</w:t>
            </w:r>
            <w:proofErr w:type="gramEnd"/>
            <w:r w:rsidRPr="00DA5594">
              <w:rPr>
                <w:rFonts w:hAnsi="標楷體"/>
                <w:bCs/>
                <w:snapToGrid w:val="0"/>
                <w:color w:val="000000" w:themeColor="text1"/>
                <w:spacing w:val="-20"/>
                <w:kern w:val="0"/>
                <w:sz w:val="24"/>
                <w:szCs w:val="24"/>
              </w:rPr>
              <w:t>於國際經濟成長動能放緩因素影響，為穩健估算，</w:t>
            </w:r>
            <w:proofErr w:type="gramStart"/>
            <w:r w:rsidRPr="00DA5594">
              <w:rPr>
                <w:rFonts w:hAnsi="標楷體"/>
                <w:bCs/>
                <w:snapToGrid w:val="0"/>
                <w:color w:val="000000" w:themeColor="text1"/>
                <w:spacing w:val="-20"/>
                <w:kern w:val="0"/>
                <w:sz w:val="24"/>
                <w:szCs w:val="24"/>
              </w:rPr>
              <w:t>爰</w:t>
            </w:r>
            <w:proofErr w:type="gramEnd"/>
            <w:r w:rsidRPr="00DA5594">
              <w:rPr>
                <w:rFonts w:hAnsi="標楷體"/>
                <w:bCs/>
                <w:snapToGrid w:val="0"/>
                <w:color w:val="000000" w:themeColor="text1"/>
                <w:spacing w:val="-20"/>
                <w:kern w:val="0"/>
                <w:sz w:val="24"/>
                <w:szCs w:val="24"/>
              </w:rPr>
              <w:t>以上開平均數為推估基礎。</w:t>
            </w:r>
          </w:p>
          <w:p w14:paraId="73208DE5" w14:textId="77777777" w:rsidR="00E7321C" w:rsidRPr="00DA5594" w:rsidRDefault="00E7321C" w:rsidP="00C62D9B">
            <w:pPr>
              <w:widowControl/>
              <w:kinsoku/>
              <w:overflowPunct/>
              <w:autoSpaceDE/>
              <w:autoSpaceDN/>
              <w:adjustRightInd w:val="0"/>
              <w:snapToGrid w:val="0"/>
              <w:spacing w:line="290" w:lineRule="exact"/>
              <w:ind w:leftChars="101" w:left="586" w:hangingChars="110" w:hanging="242"/>
              <w:rPr>
                <w:rFonts w:hAnsi="標楷體"/>
                <w:bCs/>
                <w:snapToGrid w:val="0"/>
                <w:color w:val="000000" w:themeColor="text1"/>
                <w:spacing w:val="-20"/>
                <w:kern w:val="0"/>
                <w:sz w:val="24"/>
                <w:szCs w:val="24"/>
              </w:rPr>
            </w:pPr>
            <w:r w:rsidRPr="00DA5594">
              <w:rPr>
                <w:rFonts w:hAnsi="標楷體" w:hint="eastAsia"/>
                <w:bCs/>
                <w:snapToGrid w:val="0"/>
                <w:color w:val="000000" w:themeColor="text1"/>
                <w:spacing w:val="-20"/>
                <w:kern w:val="0"/>
                <w:sz w:val="24"/>
                <w:szCs w:val="24"/>
              </w:rPr>
              <w:t>&lt;2&gt;</w:t>
            </w:r>
            <w:r w:rsidRPr="00DA5594">
              <w:rPr>
                <w:rFonts w:hAnsi="標楷體"/>
                <w:bCs/>
                <w:snapToGrid w:val="0"/>
                <w:color w:val="000000" w:themeColor="text1"/>
                <w:spacing w:val="-20"/>
                <w:kern w:val="0"/>
                <w:sz w:val="24"/>
                <w:szCs w:val="24"/>
              </w:rPr>
              <w:t>1.32％係行政院主計總處102年5月24日發布之</w:t>
            </w:r>
            <w:proofErr w:type="gramStart"/>
            <w:r w:rsidRPr="00DA5594">
              <w:rPr>
                <w:rFonts w:hAnsi="標楷體"/>
                <w:bCs/>
                <w:snapToGrid w:val="0"/>
                <w:color w:val="000000" w:themeColor="text1"/>
                <w:spacing w:val="-20"/>
                <w:kern w:val="0"/>
                <w:sz w:val="24"/>
                <w:szCs w:val="24"/>
              </w:rPr>
              <w:t>101</w:t>
            </w:r>
            <w:proofErr w:type="gramEnd"/>
            <w:r w:rsidRPr="00DA5594">
              <w:rPr>
                <w:rFonts w:hAnsi="標楷體"/>
                <w:bCs/>
                <w:snapToGrid w:val="0"/>
                <w:color w:val="000000" w:themeColor="text1"/>
                <w:spacing w:val="-20"/>
                <w:kern w:val="0"/>
                <w:sz w:val="24"/>
                <w:szCs w:val="24"/>
              </w:rPr>
              <w:t>年度經濟成長率。</w:t>
            </w:r>
          </w:p>
          <w:p w14:paraId="42F071F8" w14:textId="77777777" w:rsidR="00E7321C" w:rsidRPr="00DA5594" w:rsidRDefault="00E7321C" w:rsidP="00C62D9B">
            <w:pPr>
              <w:widowControl/>
              <w:kinsoku/>
              <w:overflowPunct/>
              <w:autoSpaceDE/>
              <w:autoSpaceDN/>
              <w:adjustRightInd w:val="0"/>
              <w:snapToGrid w:val="0"/>
              <w:spacing w:line="290" w:lineRule="exact"/>
              <w:ind w:leftChars="101" w:left="586" w:hangingChars="110" w:hanging="242"/>
              <w:rPr>
                <w:rFonts w:hAnsi="標楷體"/>
                <w:bCs/>
                <w:snapToGrid w:val="0"/>
                <w:color w:val="000000" w:themeColor="text1"/>
                <w:spacing w:val="-20"/>
                <w:kern w:val="0"/>
                <w:sz w:val="24"/>
                <w:szCs w:val="24"/>
              </w:rPr>
            </w:pPr>
            <w:r w:rsidRPr="00DA5594">
              <w:rPr>
                <w:rFonts w:hAnsi="標楷體" w:hint="eastAsia"/>
                <w:bCs/>
                <w:snapToGrid w:val="0"/>
                <w:color w:val="000000" w:themeColor="text1"/>
                <w:spacing w:val="-20"/>
                <w:kern w:val="0"/>
                <w:sz w:val="24"/>
                <w:szCs w:val="24"/>
              </w:rPr>
              <w:t>&lt;3&gt;</w:t>
            </w:r>
            <w:r w:rsidRPr="00DA5594">
              <w:rPr>
                <w:rFonts w:hAnsi="標楷體"/>
                <w:bCs/>
                <w:snapToGrid w:val="0"/>
                <w:color w:val="000000" w:themeColor="text1"/>
                <w:spacing w:val="-20"/>
                <w:kern w:val="0"/>
                <w:sz w:val="24"/>
                <w:szCs w:val="24"/>
              </w:rPr>
              <w:t>161.01億元係按</w:t>
            </w:r>
            <w:proofErr w:type="gramStart"/>
            <w:r w:rsidRPr="00DA5594">
              <w:rPr>
                <w:rFonts w:hAnsi="標楷體"/>
                <w:bCs/>
                <w:snapToGrid w:val="0"/>
                <w:color w:val="000000" w:themeColor="text1"/>
                <w:spacing w:val="-20"/>
                <w:kern w:val="0"/>
                <w:sz w:val="24"/>
                <w:szCs w:val="24"/>
              </w:rPr>
              <w:t>100</w:t>
            </w:r>
            <w:proofErr w:type="gramEnd"/>
            <w:r w:rsidRPr="00DA5594">
              <w:rPr>
                <w:rFonts w:hAnsi="標楷體"/>
                <w:bCs/>
                <w:snapToGrid w:val="0"/>
                <w:color w:val="000000" w:themeColor="text1"/>
                <w:spacing w:val="-20"/>
                <w:kern w:val="0"/>
                <w:sz w:val="24"/>
                <w:szCs w:val="24"/>
              </w:rPr>
              <w:t>年度所得稅稅式支出報告(項次44至48有關投資抵減及5年免稅之98年度稅式支出金額)，以5年平均數預估102年適用租稅減免減少而增加之稅額。</w:t>
            </w:r>
          </w:p>
          <w:p w14:paraId="1D51009A"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(2)2.40％係行政院主計總處102年5月24日發布預測</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年度經濟成長率。</w:t>
            </w:r>
          </w:p>
          <w:p w14:paraId="4790CEB0"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(3)161.01億元係按</w:t>
            </w:r>
            <w:proofErr w:type="gramStart"/>
            <w:r w:rsidRPr="00DA5594">
              <w:rPr>
                <w:rFonts w:hAnsi="標楷體"/>
                <w:bCs/>
                <w:snapToGrid w:val="0"/>
                <w:color w:val="000000" w:themeColor="text1"/>
                <w:spacing w:val="-20"/>
                <w:kern w:val="0"/>
                <w:sz w:val="24"/>
                <w:szCs w:val="24"/>
              </w:rPr>
              <w:t>100</w:t>
            </w:r>
            <w:proofErr w:type="gramEnd"/>
            <w:r w:rsidRPr="00DA5594">
              <w:rPr>
                <w:rFonts w:hAnsi="標楷體"/>
                <w:bCs/>
                <w:snapToGrid w:val="0"/>
                <w:color w:val="000000" w:themeColor="text1"/>
                <w:spacing w:val="-20"/>
                <w:kern w:val="0"/>
                <w:sz w:val="24"/>
                <w:szCs w:val="24"/>
              </w:rPr>
              <w:t>年度所得稅稅式支出報告(項次44至48有關投資抵減及5年免稅之98年度稅式支出金額)，以5年平均數預估103年適用租稅減免減少而增加之稅額。</w:t>
            </w:r>
          </w:p>
          <w:p w14:paraId="19561F5D"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(4)21.49億元係證券交易所得課稅制度修正，估計所得基本稅額增加數。</w:t>
            </w:r>
          </w:p>
          <w:p w14:paraId="17FDFC11"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(5)90％係財政收支劃分法第8條規定之中央政府分成比例。</w:t>
            </w:r>
          </w:p>
          <w:p w14:paraId="05BBE462"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往年實徵情形予以分配，本局獲配25,437,600千元。</w:t>
            </w:r>
          </w:p>
        </w:tc>
      </w:tr>
      <w:tr w:rsidR="00DA5594" w:rsidRPr="00DA5594" w14:paraId="5B244E86" w14:textId="77777777" w:rsidTr="009F60E8">
        <w:tc>
          <w:tcPr>
            <w:tcW w:w="709" w:type="dxa"/>
            <w:vAlign w:val="center"/>
          </w:tcPr>
          <w:p w14:paraId="56FF3DEA"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lastRenderedPageBreak/>
              <w:t>104</w:t>
            </w:r>
          </w:p>
        </w:tc>
        <w:tc>
          <w:tcPr>
            <w:tcW w:w="8130" w:type="dxa"/>
          </w:tcPr>
          <w:p w14:paraId="18F710C7"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1.營利事業所得稅稅收與經濟景氣及經濟環境相關，據金融監督管理委員會分析，鑒於</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年度半導體產業景氣活絡及大型面板需求持續成長，因此國內上市(櫃)公司</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年度累計稅前淨利達1.88兆元，較</w:t>
            </w:r>
            <w:proofErr w:type="gramStart"/>
            <w:r w:rsidRPr="00DA5594">
              <w:rPr>
                <w:rFonts w:hAnsi="標楷體"/>
                <w:bCs/>
                <w:snapToGrid w:val="0"/>
                <w:color w:val="000000" w:themeColor="text1"/>
                <w:spacing w:val="-20"/>
                <w:kern w:val="0"/>
                <w:sz w:val="24"/>
                <w:szCs w:val="24"/>
              </w:rPr>
              <w:t>101</w:t>
            </w:r>
            <w:proofErr w:type="gramEnd"/>
            <w:r w:rsidRPr="00DA5594">
              <w:rPr>
                <w:rFonts w:hAnsi="標楷體"/>
                <w:bCs/>
                <w:snapToGrid w:val="0"/>
                <w:color w:val="000000" w:themeColor="text1"/>
                <w:spacing w:val="-20"/>
                <w:kern w:val="0"/>
                <w:sz w:val="24"/>
                <w:szCs w:val="24"/>
              </w:rPr>
              <w:t>年度增加約6千億元，成長幅度達46.93%。</w:t>
            </w:r>
          </w:p>
          <w:p w14:paraId="594B62CE"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2.103年1至6月累計實徵數為2,419.39億元，另每年9月份及10月份之主要稅收來源為暫繳稅款，考量</w:t>
            </w:r>
            <w:proofErr w:type="gramStart"/>
            <w:r w:rsidRPr="00DA5594">
              <w:rPr>
                <w:rFonts w:hAnsi="標楷體"/>
                <w:bCs/>
                <w:snapToGrid w:val="0"/>
                <w:color w:val="000000" w:themeColor="text1"/>
                <w:spacing w:val="-20"/>
                <w:kern w:val="0"/>
                <w:sz w:val="24"/>
                <w:szCs w:val="24"/>
              </w:rPr>
              <w:t>103</w:t>
            </w:r>
            <w:proofErr w:type="gramEnd"/>
            <w:r w:rsidRPr="00DA5594">
              <w:rPr>
                <w:rFonts w:hAnsi="標楷體"/>
                <w:bCs/>
                <w:snapToGrid w:val="0"/>
                <w:color w:val="000000" w:themeColor="text1"/>
                <w:spacing w:val="-20"/>
                <w:kern w:val="0"/>
                <w:sz w:val="24"/>
                <w:szCs w:val="24"/>
              </w:rPr>
              <w:t>年度暫繳稅額係按</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年度結算申報營利事業所得稅應納稅額二分之一計算繳納，又按</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年度暫繳稅額及結算申報自繳稅額較上年度成長情形，推估</w:t>
            </w:r>
            <w:proofErr w:type="gramStart"/>
            <w:r w:rsidRPr="00DA5594">
              <w:rPr>
                <w:rFonts w:hAnsi="標楷體"/>
                <w:bCs/>
                <w:snapToGrid w:val="0"/>
                <w:color w:val="000000" w:themeColor="text1"/>
                <w:spacing w:val="-20"/>
                <w:kern w:val="0"/>
                <w:sz w:val="24"/>
                <w:szCs w:val="24"/>
              </w:rPr>
              <w:t>103</w:t>
            </w:r>
            <w:proofErr w:type="gramEnd"/>
            <w:r w:rsidRPr="00DA5594">
              <w:rPr>
                <w:rFonts w:hAnsi="標楷體"/>
                <w:bCs/>
                <w:snapToGrid w:val="0"/>
                <w:color w:val="000000" w:themeColor="text1"/>
                <w:spacing w:val="-20"/>
                <w:kern w:val="0"/>
                <w:sz w:val="24"/>
                <w:szCs w:val="24"/>
              </w:rPr>
              <w:t>年度暫繳稅額將較</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年度增加約16%，</w:t>
            </w:r>
            <w:proofErr w:type="gramStart"/>
            <w:r w:rsidRPr="00DA5594">
              <w:rPr>
                <w:rFonts w:hAnsi="標楷體"/>
                <w:bCs/>
                <w:snapToGrid w:val="0"/>
                <w:color w:val="000000" w:themeColor="text1"/>
                <w:spacing w:val="-20"/>
                <w:kern w:val="0"/>
                <w:sz w:val="24"/>
                <w:szCs w:val="24"/>
              </w:rPr>
              <w:t>爰</w:t>
            </w:r>
            <w:proofErr w:type="gramEnd"/>
            <w:r w:rsidRPr="00DA5594">
              <w:rPr>
                <w:rFonts w:hAnsi="標楷體"/>
                <w:bCs/>
                <w:snapToGrid w:val="0"/>
                <w:color w:val="000000" w:themeColor="text1"/>
                <w:spacing w:val="-20"/>
                <w:kern w:val="0"/>
                <w:sz w:val="24"/>
                <w:szCs w:val="24"/>
              </w:rPr>
              <w:t>以</w:t>
            </w:r>
            <w:proofErr w:type="gramStart"/>
            <w:r w:rsidRPr="00DA5594">
              <w:rPr>
                <w:rFonts w:hAnsi="標楷體"/>
                <w:bCs/>
                <w:snapToGrid w:val="0"/>
                <w:color w:val="000000" w:themeColor="text1"/>
                <w:spacing w:val="-20"/>
                <w:kern w:val="0"/>
                <w:sz w:val="24"/>
                <w:szCs w:val="24"/>
              </w:rPr>
              <w:t>102</w:t>
            </w:r>
            <w:proofErr w:type="gramEnd"/>
            <w:r w:rsidRPr="00DA5594">
              <w:rPr>
                <w:rFonts w:hAnsi="標楷體"/>
                <w:bCs/>
                <w:snapToGrid w:val="0"/>
                <w:color w:val="000000" w:themeColor="text1"/>
                <w:spacing w:val="-20"/>
                <w:kern w:val="0"/>
                <w:sz w:val="24"/>
                <w:szCs w:val="24"/>
              </w:rPr>
              <w:t>年度暫繳稅額1,152.37億元為基礎，推估</w:t>
            </w:r>
            <w:proofErr w:type="gramStart"/>
            <w:r w:rsidRPr="00DA5594">
              <w:rPr>
                <w:rFonts w:hAnsi="標楷體"/>
                <w:bCs/>
                <w:snapToGrid w:val="0"/>
                <w:color w:val="000000" w:themeColor="text1"/>
                <w:spacing w:val="-20"/>
                <w:kern w:val="0"/>
                <w:sz w:val="24"/>
                <w:szCs w:val="24"/>
              </w:rPr>
              <w:t>103</w:t>
            </w:r>
            <w:proofErr w:type="gramEnd"/>
            <w:r w:rsidRPr="00DA5594">
              <w:rPr>
                <w:rFonts w:hAnsi="標楷體"/>
                <w:bCs/>
                <w:snapToGrid w:val="0"/>
                <w:color w:val="000000" w:themeColor="text1"/>
                <w:spacing w:val="-20"/>
                <w:kern w:val="0"/>
                <w:sz w:val="24"/>
                <w:szCs w:val="24"/>
              </w:rPr>
              <w:t>年度暫繳稅款約1,336.74億元，再加計以102年7、8、11、12月實</w:t>
            </w:r>
            <w:proofErr w:type="gramStart"/>
            <w:r w:rsidRPr="00DA5594">
              <w:rPr>
                <w:rFonts w:hAnsi="標楷體"/>
                <w:bCs/>
                <w:snapToGrid w:val="0"/>
                <w:color w:val="000000" w:themeColor="text1"/>
                <w:spacing w:val="-20"/>
                <w:kern w:val="0"/>
                <w:sz w:val="24"/>
                <w:szCs w:val="24"/>
              </w:rPr>
              <w:t>徵數推估</w:t>
            </w:r>
            <w:proofErr w:type="gramEnd"/>
            <w:r w:rsidRPr="00DA5594">
              <w:rPr>
                <w:rFonts w:hAnsi="標楷體"/>
                <w:bCs/>
                <w:snapToGrid w:val="0"/>
                <w:color w:val="000000" w:themeColor="text1"/>
                <w:spacing w:val="-20"/>
                <w:kern w:val="0"/>
                <w:sz w:val="24"/>
                <w:szCs w:val="24"/>
              </w:rPr>
              <w:t>103年前開各該月份之</w:t>
            </w:r>
            <w:proofErr w:type="gramStart"/>
            <w:r w:rsidRPr="00DA5594">
              <w:rPr>
                <w:rFonts w:hAnsi="標楷體"/>
                <w:bCs/>
                <w:snapToGrid w:val="0"/>
                <w:color w:val="000000" w:themeColor="text1"/>
                <w:spacing w:val="-20"/>
                <w:kern w:val="0"/>
                <w:sz w:val="24"/>
                <w:szCs w:val="24"/>
              </w:rPr>
              <w:t>估計可徵起</w:t>
            </w:r>
            <w:proofErr w:type="gramEnd"/>
            <w:r w:rsidRPr="00DA5594">
              <w:rPr>
                <w:rFonts w:hAnsi="標楷體"/>
                <w:bCs/>
                <w:snapToGrid w:val="0"/>
                <w:color w:val="000000" w:themeColor="text1"/>
                <w:spacing w:val="-20"/>
                <w:kern w:val="0"/>
                <w:sz w:val="24"/>
                <w:szCs w:val="24"/>
              </w:rPr>
              <w:t>數共計171.34億元，按財政收支劃分法，推估</w:t>
            </w:r>
            <w:proofErr w:type="gramStart"/>
            <w:r w:rsidRPr="00DA5594">
              <w:rPr>
                <w:rFonts w:hAnsi="標楷體"/>
                <w:bCs/>
                <w:snapToGrid w:val="0"/>
                <w:color w:val="000000" w:themeColor="text1"/>
                <w:spacing w:val="-20"/>
                <w:kern w:val="0"/>
                <w:sz w:val="24"/>
                <w:szCs w:val="24"/>
              </w:rPr>
              <w:t>104</w:t>
            </w:r>
            <w:proofErr w:type="gramEnd"/>
            <w:r w:rsidRPr="00DA5594">
              <w:rPr>
                <w:rFonts w:hAnsi="標楷體"/>
                <w:bCs/>
                <w:snapToGrid w:val="0"/>
                <w:color w:val="000000" w:themeColor="text1"/>
                <w:spacing w:val="-20"/>
                <w:kern w:val="0"/>
                <w:sz w:val="24"/>
                <w:szCs w:val="24"/>
              </w:rPr>
              <w:t>年度中央政府營利事業所得稅收入為3,534.72億元</w:t>
            </w:r>
            <w:proofErr w:type="gramStart"/>
            <w:r w:rsidRPr="00DA5594">
              <w:rPr>
                <w:rFonts w:hAnsi="標楷體"/>
                <w:bCs/>
                <w:snapToGrid w:val="0"/>
                <w:color w:val="000000" w:themeColor="text1"/>
                <w:spacing w:val="-20"/>
                <w:kern w:val="0"/>
                <w:sz w:val="24"/>
                <w:szCs w:val="24"/>
              </w:rPr>
              <w:t>﹝</w:t>
            </w:r>
            <w:proofErr w:type="gramEnd"/>
            <w:r w:rsidRPr="00DA5594">
              <w:rPr>
                <w:rFonts w:hAnsi="標楷體"/>
                <w:bCs/>
                <w:snapToGrid w:val="0"/>
                <w:color w:val="000000" w:themeColor="text1"/>
                <w:spacing w:val="-20"/>
                <w:kern w:val="0"/>
                <w:sz w:val="24"/>
                <w:szCs w:val="24"/>
              </w:rPr>
              <w:t>(2,419.39億元＋1,336.74億元＋171.34億元)×90%</w:t>
            </w:r>
            <w:proofErr w:type="gramStart"/>
            <w:r w:rsidRPr="00DA5594">
              <w:rPr>
                <w:rFonts w:hAnsi="標楷體"/>
                <w:bCs/>
                <w:snapToGrid w:val="0"/>
                <w:color w:val="000000" w:themeColor="text1"/>
                <w:spacing w:val="-20"/>
                <w:kern w:val="0"/>
                <w:sz w:val="24"/>
                <w:szCs w:val="24"/>
              </w:rPr>
              <w:t>﹞</w:t>
            </w:r>
            <w:proofErr w:type="gramEnd"/>
            <w:r w:rsidRPr="00DA5594">
              <w:rPr>
                <w:rFonts w:hAnsi="標楷體"/>
                <w:bCs/>
                <w:snapToGrid w:val="0"/>
                <w:color w:val="000000" w:themeColor="text1"/>
                <w:spacing w:val="-20"/>
                <w:kern w:val="0"/>
                <w:sz w:val="24"/>
                <w:szCs w:val="24"/>
              </w:rPr>
              <w:t>。</w:t>
            </w:r>
          </w:p>
          <w:p w14:paraId="3C1A61BC"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3.各國稅局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往年實徵情形予以分配，本局獲配25,839,000千元。</w:t>
            </w:r>
          </w:p>
        </w:tc>
      </w:tr>
      <w:tr w:rsidR="00DA5594" w:rsidRPr="00DA5594" w14:paraId="4D52135C" w14:textId="77777777" w:rsidTr="009F60E8">
        <w:tc>
          <w:tcPr>
            <w:tcW w:w="709" w:type="dxa"/>
            <w:vAlign w:val="center"/>
          </w:tcPr>
          <w:p w14:paraId="1AE553BB"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105</w:t>
            </w:r>
          </w:p>
        </w:tc>
        <w:tc>
          <w:tcPr>
            <w:tcW w:w="8130" w:type="dxa"/>
          </w:tcPr>
          <w:p w14:paraId="6AC9F9BC"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w:t>
            </w:r>
            <w:proofErr w:type="gramStart"/>
            <w:r w:rsidRPr="00DA5594">
              <w:rPr>
                <w:rFonts w:hAnsi="標楷體"/>
                <w:bCs/>
                <w:snapToGrid w:val="0"/>
                <w:color w:val="000000" w:themeColor="text1"/>
                <w:spacing w:val="-20"/>
                <w:kern w:val="0"/>
                <w:sz w:val="24"/>
                <w:szCs w:val="24"/>
              </w:rPr>
              <w:t>103</w:t>
            </w:r>
            <w:proofErr w:type="gramEnd"/>
            <w:r w:rsidRPr="00DA5594">
              <w:rPr>
                <w:rFonts w:hAnsi="標楷體"/>
                <w:bCs/>
                <w:snapToGrid w:val="0"/>
                <w:color w:val="000000" w:themeColor="text1"/>
                <w:spacing w:val="-20"/>
                <w:kern w:val="0"/>
                <w:sz w:val="24"/>
                <w:szCs w:val="24"/>
              </w:rPr>
              <w:t>年度全國實徵數4,026億元及</w:t>
            </w:r>
            <w:proofErr w:type="gramStart"/>
            <w:r w:rsidRPr="00DA5594">
              <w:rPr>
                <w:rFonts w:hAnsi="標楷體"/>
                <w:bCs/>
                <w:snapToGrid w:val="0"/>
                <w:color w:val="000000" w:themeColor="text1"/>
                <w:spacing w:val="-20"/>
                <w:kern w:val="0"/>
                <w:sz w:val="24"/>
                <w:szCs w:val="24"/>
              </w:rPr>
              <w:t>104</w:t>
            </w:r>
            <w:proofErr w:type="gramEnd"/>
            <w:r w:rsidRPr="00DA5594">
              <w:rPr>
                <w:rFonts w:hAnsi="標楷體"/>
                <w:bCs/>
                <w:snapToGrid w:val="0"/>
                <w:color w:val="000000" w:themeColor="text1"/>
                <w:spacing w:val="-20"/>
                <w:kern w:val="0"/>
                <w:sz w:val="24"/>
                <w:szCs w:val="24"/>
              </w:rPr>
              <w:t>年度全國</w:t>
            </w:r>
            <w:proofErr w:type="gramStart"/>
            <w:r w:rsidRPr="00DA5594">
              <w:rPr>
                <w:rFonts w:hAnsi="標楷體"/>
                <w:bCs/>
                <w:snapToGrid w:val="0"/>
                <w:color w:val="000000" w:themeColor="text1"/>
                <w:spacing w:val="-20"/>
                <w:kern w:val="0"/>
                <w:sz w:val="24"/>
                <w:szCs w:val="24"/>
              </w:rPr>
              <w:t>估計可徵起</w:t>
            </w:r>
            <w:proofErr w:type="gramEnd"/>
            <w:r w:rsidRPr="00DA5594">
              <w:rPr>
                <w:rFonts w:hAnsi="標楷體"/>
                <w:bCs/>
                <w:snapToGrid w:val="0"/>
                <w:color w:val="000000" w:themeColor="text1"/>
                <w:spacing w:val="-20"/>
                <w:kern w:val="0"/>
                <w:sz w:val="24"/>
                <w:szCs w:val="24"/>
              </w:rPr>
              <w:t>數4,547億元之平均數4,286.50億元為基礎，按行政院主計總處104年5月22日發布預測之104年經濟成長率3.28%估計，並考量財政健全方案項目對營利事業所得稅之全國稅收淨增加數8億元(大店戶獨資、合夥組織之營利事業所得額繳納應納稅額半數之稅收增加數54億元、放寬研發投資抵減年限之稅收減少數42億元及中小企業增</w:t>
            </w:r>
            <w:proofErr w:type="gramStart"/>
            <w:r w:rsidRPr="00DA5594">
              <w:rPr>
                <w:rFonts w:hAnsi="標楷體"/>
                <w:bCs/>
                <w:snapToGrid w:val="0"/>
                <w:color w:val="000000" w:themeColor="text1"/>
                <w:spacing w:val="-20"/>
                <w:kern w:val="0"/>
                <w:sz w:val="24"/>
                <w:szCs w:val="24"/>
              </w:rPr>
              <w:t>僱</w:t>
            </w:r>
            <w:proofErr w:type="gramEnd"/>
            <w:r w:rsidRPr="00DA5594">
              <w:rPr>
                <w:rFonts w:hAnsi="標楷體"/>
                <w:bCs/>
                <w:snapToGrid w:val="0"/>
                <w:color w:val="000000" w:themeColor="text1"/>
                <w:spacing w:val="-20"/>
                <w:kern w:val="0"/>
                <w:sz w:val="24"/>
                <w:szCs w:val="24"/>
              </w:rPr>
              <w:t>薪資費用加</w:t>
            </w:r>
            <w:proofErr w:type="gramStart"/>
            <w:r w:rsidRPr="00DA5594">
              <w:rPr>
                <w:rFonts w:hAnsi="標楷體"/>
                <w:bCs/>
                <w:snapToGrid w:val="0"/>
                <w:color w:val="000000" w:themeColor="text1"/>
                <w:spacing w:val="-20"/>
                <w:kern w:val="0"/>
                <w:sz w:val="24"/>
                <w:szCs w:val="24"/>
              </w:rPr>
              <w:t>3成</w:t>
            </w:r>
            <w:proofErr w:type="gramEnd"/>
            <w:r w:rsidRPr="00DA5594">
              <w:rPr>
                <w:rFonts w:hAnsi="標楷體"/>
                <w:bCs/>
                <w:snapToGrid w:val="0"/>
                <w:color w:val="000000" w:themeColor="text1"/>
                <w:spacing w:val="-20"/>
                <w:kern w:val="0"/>
                <w:sz w:val="24"/>
                <w:szCs w:val="24"/>
              </w:rPr>
              <w:t>減除之稅收減少數4億元)，扣除中央政府流域綜合治理計畫第2期特別預算45.88億元，再按財政收支劃分法規定，推估</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年度中央政府營利事業所得稅收入為3,950.30億元[(4,286.50億元×(1+3.28%)＋8億元-45.88億元)×90%]。</w:t>
            </w:r>
          </w:p>
          <w:p w14:paraId="617E821A"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color w:val="000000" w:themeColor="text1"/>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往年實徵情形予以分配，本局獲配27,257,070千元。</w:t>
            </w:r>
          </w:p>
        </w:tc>
      </w:tr>
      <w:tr w:rsidR="00DA5594" w:rsidRPr="00DA5594" w14:paraId="47D55AC3" w14:textId="77777777" w:rsidTr="009F60E8">
        <w:tc>
          <w:tcPr>
            <w:tcW w:w="709" w:type="dxa"/>
            <w:vAlign w:val="center"/>
          </w:tcPr>
          <w:p w14:paraId="60BD8A2F"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106</w:t>
            </w:r>
          </w:p>
        </w:tc>
        <w:tc>
          <w:tcPr>
            <w:tcW w:w="8130" w:type="dxa"/>
          </w:tcPr>
          <w:p w14:paraId="626B1E24"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1.按營利事業所得稅係由結算申報自繳稅額、未分配盈餘申報自繳稅額、暫繳申報自繳稅額及</w:t>
            </w:r>
            <w:proofErr w:type="gramStart"/>
            <w:r w:rsidRPr="00DA5594">
              <w:rPr>
                <w:rFonts w:hAnsi="標楷體"/>
                <w:bCs/>
                <w:snapToGrid w:val="0"/>
                <w:color w:val="000000" w:themeColor="text1"/>
                <w:spacing w:val="-20"/>
                <w:kern w:val="0"/>
                <w:sz w:val="24"/>
                <w:szCs w:val="24"/>
              </w:rPr>
              <w:t>稽</w:t>
            </w:r>
            <w:proofErr w:type="gramEnd"/>
            <w:r w:rsidRPr="00DA5594">
              <w:rPr>
                <w:rFonts w:hAnsi="標楷體"/>
                <w:bCs/>
                <w:snapToGrid w:val="0"/>
                <w:color w:val="000000" w:themeColor="text1"/>
                <w:spacing w:val="-20"/>
                <w:kern w:val="0"/>
                <w:sz w:val="24"/>
                <w:szCs w:val="24"/>
              </w:rPr>
              <w:t>徵機關查核補徵稅額構成，據以推估</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年度中央政府營利事業所得稅稅課收入如下：</w:t>
            </w:r>
          </w:p>
          <w:p w14:paraId="42702897"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(1)結算申報自繳稅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，以</w:t>
            </w:r>
            <w:proofErr w:type="gramStart"/>
            <w:r w:rsidRPr="00DA5594">
              <w:rPr>
                <w:rFonts w:hAnsi="標楷體"/>
                <w:bCs/>
                <w:snapToGrid w:val="0"/>
                <w:color w:val="000000" w:themeColor="text1"/>
                <w:spacing w:val="-20"/>
                <w:kern w:val="0"/>
                <w:sz w:val="24"/>
                <w:szCs w:val="24"/>
              </w:rPr>
              <w:t>104</w:t>
            </w:r>
            <w:proofErr w:type="gramEnd"/>
            <w:r w:rsidRPr="00DA5594">
              <w:rPr>
                <w:rFonts w:hAnsi="標楷體"/>
                <w:bCs/>
                <w:snapToGrid w:val="0"/>
                <w:color w:val="000000" w:themeColor="text1"/>
                <w:spacing w:val="-20"/>
                <w:kern w:val="0"/>
                <w:sz w:val="24"/>
                <w:szCs w:val="24"/>
              </w:rPr>
              <w:t>年度結算申報自繳稅額(不含未分配盈餘申報自繳稅額)2,273.14億元為基礎，並按105年第1季國內上市櫃公司稅前淨利3,741億元，以102至103年各年度第1季稅前淨利占各該年度累計稅前淨利比率平均數17.35%，推估105年全年稅前淨利為2兆1,562億元，較104年全年稅前淨利衰退約5.55%，</w:t>
            </w:r>
            <w:proofErr w:type="gramStart"/>
            <w:r w:rsidRPr="00DA5594">
              <w:rPr>
                <w:rFonts w:hAnsi="標楷體"/>
                <w:bCs/>
                <w:snapToGrid w:val="0"/>
                <w:color w:val="000000" w:themeColor="text1"/>
                <w:spacing w:val="-20"/>
                <w:kern w:val="0"/>
                <w:sz w:val="24"/>
                <w:szCs w:val="24"/>
              </w:rPr>
              <w:t>據以估列</w:t>
            </w:r>
            <w:proofErr w:type="gramEnd"/>
            <w:r w:rsidRPr="00DA5594">
              <w:rPr>
                <w:rFonts w:hAnsi="標楷體"/>
                <w:bCs/>
                <w:snapToGrid w:val="0"/>
                <w:color w:val="000000" w:themeColor="text1"/>
                <w:spacing w:val="-20"/>
                <w:kern w:val="0"/>
                <w:sz w:val="24"/>
                <w:szCs w:val="24"/>
              </w:rPr>
              <w:t>106年申報</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年度結算申報自繳稅額為2,146.98億元[2,273.14億元×(1-5.55%)]。</w:t>
            </w:r>
          </w:p>
          <w:p w14:paraId="63D1F6B4"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(2)未分配盈餘申報自繳稅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，按102至103年度未分配盈餘申報自繳稅額平均數，推估106年申報</w:t>
            </w:r>
            <w:proofErr w:type="gramStart"/>
            <w:r w:rsidRPr="00DA5594">
              <w:rPr>
                <w:rFonts w:hAnsi="標楷體"/>
                <w:bCs/>
                <w:snapToGrid w:val="0"/>
                <w:color w:val="000000" w:themeColor="text1"/>
                <w:spacing w:val="-20"/>
                <w:kern w:val="0"/>
                <w:sz w:val="24"/>
                <w:szCs w:val="24"/>
              </w:rPr>
              <w:t>104</w:t>
            </w:r>
            <w:proofErr w:type="gramEnd"/>
            <w:r w:rsidRPr="00DA5594">
              <w:rPr>
                <w:rFonts w:hAnsi="標楷體"/>
                <w:bCs/>
                <w:snapToGrid w:val="0"/>
                <w:color w:val="000000" w:themeColor="text1"/>
                <w:spacing w:val="-20"/>
                <w:kern w:val="0"/>
                <w:sz w:val="24"/>
                <w:szCs w:val="24"/>
              </w:rPr>
              <w:t>年度未分配盈餘申報自繳稅額555.09億元[(446.72億元+663.46億元)÷2]。</w:t>
            </w:r>
          </w:p>
          <w:p w14:paraId="08F24D08"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(3)暫繳申報自繳稅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，以106年申報</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年度結算申報自繳稅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2,146.98億元為基礎，並按101至104年度暫繳申報自繳稅額平均數1,307.36億元占結算申報自繳稅額平均數1,894.35億元比率69.01%，推估</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年度暫繳申報自繳稅額1,481.63億元(2,146.98億元×69.01%)。</w:t>
            </w:r>
          </w:p>
          <w:p w14:paraId="5281E620"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(4)</w:t>
            </w:r>
            <w:proofErr w:type="gramStart"/>
            <w:r w:rsidRPr="00DA5594">
              <w:rPr>
                <w:rFonts w:hAnsi="標楷體"/>
                <w:bCs/>
                <w:snapToGrid w:val="0"/>
                <w:color w:val="000000" w:themeColor="text1"/>
                <w:spacing w:val="-20"/>
                <w:kern w:val="0"/>
                <w:sz w:val="24"/>
                <w:szCs w:val="24"/>
              </w:rPr>
              <w:t>稽</w:t>
            </w:r>
            <w:proofErr w:type="gramEnd"/>
            <w:r w:rsidRPr="00DA5594">
              <w:rPr>
                <w:rFonts w:hAnsi="標楷體"/>
                <w:bCs/>
                <w:snapToGrid w:val="0"/>
                <w:color w:val="000000" w:themeColor="text1"/>
                <w:spacing w:val="-20"/>
                <w:kern w:val="0"/>
                <w:sz w:val="24"/>
                <w:szCs w:val="24"/>
              </w:rPr>
              <w:t>徵機關查核補徵稅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，按101至104年1至4月、7至8月及11至12月各月份實徵數之平均數，推估</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w:t>
            </w:r>
            <w:proofErr w:type="gramStart"/>
            <w:r w:rsidRPr="00DA5594">
              <w:rPr>
                <w:rFonts w:hAnsi="標楷體"/>
                <w:bCs/>
                <w:snapToGrid w:val="0"/>
                <w:color w:val="000000" w:themeColor="text1"/>
                <w:spacing w:val="-20"/>
                <w:kern w:val="0"/>
                <w:sz w:val="24"/>
                <w:szCs w:val="24"/>
              </w:rPr>
              <w:t>稽</w:t>
            </w:r>
            <w:proofErr w:type="gramEnd"/>
            <w:r w:rsidRPr="00DA5594">
              <w:rPr>
                <w:rFonts w:hAnsi="標楷體"/>
                <w:bCs/>
                <w:snapToGrid w:val="0"/>
                <w:color w:val="000000" w:themeColor="text1"/>
                <w:spacing w:val="-20"/>
                <w:kern w:val="0"/>
                <w:sz w:val="24"/>
                <w:szCs w:val="24"/>
              </w:rPr>
              <w:t>徵機關查核補徵稅額227.05億元。</w:t>
            </w:r>
          </w:p>
          <w:p w14:paraId="5C6638A2"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(5)綜上，經加總上</w:t>
            </w:r>
            <w:proofErr w:type="gramStart"/>
            <w:r w:rsidRPr="00DA5594">
              <w:rPr>
                <w:rFonts w:hAnsi="標楷體"/>
                <w:bCs/>
                <w:snapToGrid w:val="0"/>
                <w:color w:val="000000" w:themeColor="text1"/>
                <w:spacing w:val="-20"/>
                <w:kern w:val="0"/>
                <w:sz w:val="24"/>
                <w:szCs w:val="24"/>
              </w:rPr>
              <w:t>開推估數</w:t>
            </w:r>
            <w:proofErr w:type="gramEnd"/>
            <w:r w:rsidRPr="00DA5594">
              <w:rPr>
                <w:rFonts w:hAnsi="標楷體"/>
                <w:bCs/>
                <w:snapToGrid w:val="0"/>
                <w:color w:val="000000" w:themeColor="text1"/>
                <w:spacing w:val="-20"/>
                <w:kern w:val="0"/>
                <w:sz w:val="24"/>
                <w:szCs w:val="24"/>
              </w:rPr>
              <w:t>，並扣除中央政府流域綜合治理計畫第2期特別預算174.71億元，再按現行財政收支劃分法中央地方分成規定，</w:t>
            </w:r>
            <w:proofErr w:type="gramStart"/>
            <w:r w:rsidRPr="00DA5594">
              <w:rPr>
                <w:rFonts w:hAnsi="標楷體"/>
                <w:bCs/>
                <w:snapToGrid w:val="0"/>
                <w:color w:val="000000" w:themeColor="text1"/>
                <w:spacing w:val="-20"/>
                <w:kern w:val="0"/>
                <w:sz w:val="24"/>
                <w:szCs w:val="24"/>
              </w:rPr>
              <w:t>爰</w:t>
            </w:r>
            <w:proofErr w:type="gramEnd"/>
            <w:r w:rsidRPr="00DA5594">
              <w:rPr>
                <w:rFonts w:hAnsi="標楷體"/>
                <w:bCs/>
                <w:snapToGrid w:val="0"/>
                <w:color w:val="000000" w:themeColor="text1"/>
                <w:spacing w:val="-20"/>
                <w:kern w:val="0"/>
                <w:sz w:val="24"/>
                <w:szCs w:val="24"/>
              </w:rPr>
              <w:t>估列</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年度中央政府稅課收入</w:t>
            </w:r>
            <w:proofErr w:type="gramStart"/>
            <w:r w:rsidRPr="00DA5594">
              <w:rPr>
                <w:rFonts w:hAnsi="標楷體"/>
                <w:bCs/>
                <w:snapToGrid w:val="0"/>
                <w:color w:val="000000" w:themeColor="text1"/>
                <w:spacing w:val="-20"/>
                <w:kern w:val="0"/>
                <w:sz w:val="24"/>
                <w:szCs w:val="24"/>
              </w:rPr>
              <w:t>推估數為</w:t>
            </w:r>
            <w:proofErr w:type="gramEnd"/>
            <w:r w:rsidRPr="00DA5594">
              <w:rPr>
                <w:rFonts w:hAnsi="標楷體"/>
                <w:bCs/>
                <w:snapToGrid w:val="0"/>
                <w:color w:val="000000" w:themeColor="text1"/>
                <w:spacing w:val="-20"/>
                <w:kern w:val="0"/>
                <w:sz w:val="24"/>
                <w:szCs w:val="24"/>
              </w:rPr>
              <w:t>3,812.43億元[(2,146.98億元+555.09億元+1,481.63億元+227.05億元-174.71億元)×90%]。</w:t>
            </w:r>
          </w:p>
          <w:p w14:paraId="589784FA"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color w:val="000000" w:themeColor="text1"/>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往年實徵情形予以分配，本局獲配26,496,388千元。</w:t>
            </w:r>
          </w:p>
        </w:tc>
      </w:tr>
      <w:tr w:rsidR="00DA5594" w:rsidRPr="00DA5594" w14:paraId="46F749A5" w14:textId="77777777" w:rsidTr="009F60E8">
        <w:tc>
          <w:tcPr>
            <w:tcW w:w="709" w:type="dxa"/>
            <w:vAlign w:val="center"/>
          </w:tcPr>
          <w:p w14:paraId="5F07D2EA"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lastRenderedPageBreak/>
              <w:t>107</w:t>
            </w:r>
          </w:p>
        </w:tc>
        <w:tc>
          <w:tcPr>
            <w:tcW w:w="8130" w:type="dxa"/>
          </w:tcPr>
          <w:p w14:paraId="4A334050"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1.按營利事業所得稅係由結算申報自繳稅額、未分配盈餘申報自繳稅額、暫繳申報自繳稅額及</w:t>
            </w:r>
            <w:proofErr w:type="gramStart"/>
            <w:r w:rsidRPr="00DA5594">
              <w:rPr>
                <w:rFonts w:hAnsi="標楷體"/>
                <w:bCs/>
                <w:snapToGrid w:val="0"/>
                <w:color w:val="000000" w:themeColor="text1"/>
                <w:spacing w:val="-20"/>
                <w:kern w:val="0"/>
                <w:sz w:val="24"/>
                <w:szCs w:val="24"/>
              </w:rPr>
              <w:t>稽</w:t>
            </w:r>
            <w:proofErr w:type="gramEnd"/>
            <w:r w:rsidRPr="00DA5594">
              <w:rPr>
                <w:rFonts w:hAnsi="標楷體"/>
                <w:bCs/>
                <w:snapToGrid w:val="0"/>
                <w:color w:val="000000" w:themeColor="text1"/>
                <w:spacing w:val="-20"/>
                <w:kern w:val="0"/>
                <w:sz w:val="24"/>
                <w:szCs w:val="24"/>
              </w:rPr>
              <w:t>徵機關查核補徵稅額構成，</w:t>
            </w:r>
            <w:proofErr w:type="gramStart"/>
            <w:r w:rsidRPr="00DA5594">
              <w:rPr>
                <w:rFonts w:hAnsi="標楷體"/>
                <w:bCs/>
                <w:snapToGrid w:val="0"/>
                <w:color w:val="000000" w:themeColor="text1"/>
                <w:spacing w:val="-20"/>
                <w:kern w:val="0"/>
                <w:sz w:val="24"/>
                <w:szCs w:val="24"/>
              </w:rPr>
              <w:t>爰</w:t>
            </w:r>
            <w:proofErr w:type="gramEnd"/>
            <w:r w:rsidRPr="00DA5594">
              <w:rPr>
                <w:rFonts w:hAnsi="標楷體"/>
                <w:bCs/>
                <w:snapToGrid w:val="0"/>
                <w:color w:val="000000" w:themeColor="text1"/>
                <w:spacing w:val="-20"/>
                <w:kern w:val="0"/>
                <w:sz w:val="24"/>
                <w:szCs w:val="24"/>
              </w:rPr>
              <w:t>就</w:t>
            </w:r>
            <w:proofErr w:type="gramStart"/>
            <w:r w:rsidRPr="00DA5594">
              <w:rPr>
                <w:rFonts w:hAnsi="標楷體"/>
                <w:bCs/>
                <w:snapToGrid w:val="0"/>
                <w:color w:val="000000" w:themeColor="text1"/>
                <w:spacing w:val="-20"/>
                <w:kern w:val="0"/>
                <w:sz w:val="24"/>
                <w:szCs w:val="24"/>
              </w:rPr>
              <w:t>107</w:t>
            </w:r>
            <w:proofErr w:type="gramEnd"/>
            <w:r w:rsidRPr="00DA5594">
              <w:rPr>
                <w:rFonts w:hAnsi="標楷體"/>
                <w:bCs/>
                <w:snapToGrid w:val="0"/>
                <w:color w:val="000000" w:themeColor="text1"/>
                <w:spacing w:val="-20"/>
                <w:kern w:val="0"/>
                <w:sz w:val="24"/>
                <w:szCs w:val="24"/>
              </w:rPr>
              <w:t>年度中央政府營利事業所得稅稅課收入編列說明如下：</w:t>
            </w:r>
          </w:p>
          <w:p w14:paraId="2B3706B8"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(1)結算申報自繳稅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，以</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年度結算申報自繳稅額新臺幣(下同)2,306.22億元為基礎，並按行政院主計總處106年5月26日發布預測之</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年度經濟成長率2.05%，</w:t>
            </w:r>
            <w:proofErr w:type="gramStart"/>
            <w:r w:rsidRPr="00DA5594">
              <w:rPr>
                <w:rFonts w:hAnsi="標楷體"/>
                <w:bCs/>
                <w:snapToGrid w:val="0"/>
                <w:color w:val="000000" w:themeColor="text1"/>
                <w:spacing w:val="-20"/>
                <w:kern w:val="0"/>
                <w:sz w:val="24"/>
                <w:szCs w:val="24"/>
              </w:rPr>
              <w:t>據以估列</w:t>
            </w:r>
            <w:proofErr w:type="gramEnd"/>
            <w:r w:rsidRPr="00DA5594">
              <w:rPr>
                <w:rFonts w:hAnsi="標楷體"/>
                <w:bCs/>
                <w:snapToGrid w:val="0"/>
                <w:color w:val="000000" w:themeColor="text1"/>
                <w:spacing w:val="-20"/>
                <w:kern w:val="0"/>
                <w:sz w:val="24"/>
                <w:szCs w:val="24"/>
              </w:rPr>
              <w:t>107年申報</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年度結算申報自繳稅額為2,353.5億元[2,306.22億元×(1+2.05%)]。</w:t>
            </w:r>
          </w:p>
          <w:p w14:paraId="79098985"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(2)未分配盈餘申報自繳稅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，以</w:t>
            </w:r>
            <w:proofErr w:type="gramStart"/>
            <w:r w:rsidRPr="00DA5594">
              <w:rPr>
                <w:rFonts w:hAnsi="標楷體"/>
                <w:bCs/>
                <w:snapToGrid w:val="0"/>
                <w:color w:val="000000" w:themeColor="text1"/>
                <w:spacing w:val="-20"/>
                <w:kern w:val="0"/>
                <w:sz w:val="24"/>
                <w:szCs w:val="24"/>
              </w:rPr>
              <w:t>104</w:t>
            </w:r>
            <w:proofErr w:type="gramEnd"/>
            <w:r w:rsidRPr="00DA5594">
              <w:rPr>
                <w:rFonts w:hAnsi="標楷體"/>
                <w:bCs/>
                <w:snapToGrid w:val="0"/>
                <w:color w:val="000000" w:themeColor="text1"/>
                <w:spacing w:val="-20"/>
                <w:kern w:val="0"/>
                <w:sz w:val="24"/>
                <w:szCs w:val="24"/>
              </w:rPr>
              <w:t>年度未分配盈餘申報自繳稅額655.38億元為基礎，按行政院主計總處</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年度經濟成長率1.48%，</w:t>
            </w:r>
            <w:proofErr w:type="gramStart"/>
            <w:r w:rsidRPr="00DA5594">
              <w:rPr>
                <w:rFonts w:hAnsi="標楷體"/>
                <w:bCs/>
                <w:snapToGrid w:val="0"/>
                <w:color w:val="000000" w:themeColor="text1"/>
                <w:spacing w:val="-20"/>
                <w:kern w:val="0"/>
                <w:sz w:val="24"/>
                <w:szCs w:val="24"/>
              </w:rPr>
              <w:t>據以估列</w:t>
            </w:r>
            <w:proofErr w:type="gramEnd"/>
            <w:r w:rsidRPr="00DA5594">
              <w:rPr>
                <w:rFonts w:hAnsi="標楷體"/>
                <w:bCs/>
                <w:snapToGrid w:val="0"/>
                <w:color w:val="000000" w:themeColor="text1"/>
                <w:spacing w:val="-20"/>
                <w:kern w:val="0"/>
                <w:sz w:val="24"/>
                <w:szCs w:val="24"/>
              </w:rPr>
              <w:t>107年申報</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年度未分配盈餘申報自繳稅額為665.08億元[655.38億元×(1+1.48%)]。</w:t>
            </w:r>
          </w:p>
          <w:p w14:paraId="7DEDBADC"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(3)暫繳申報自</w:t>
            </w:r>
            <w:proofErr w:type="gramStart"/>
            <w:r w:rsidRPr="00DA5594">
              <w:rPr>
                <w:rFonts w:hAnsi="標楷體"/>
                <w:bCs/>
                <w:snapToGrid w:val="0"/>
                <w:color w:val="000000" w:themeColor="text1"/>
                <w:spacing w:val="-20"/>
                <w:kern w:val="0"/>
                <w:sz w:val="24"/>
                <w:szCs w:val="24"/>
              </w:rPr>
              <w:t>繳稅額推估</w:t>
            </w:r>
            <w:proofErr w:type="gramEnd"/>
            <w:r w:rsidRPr="00DA5594">
              <w:rPr>
                <w:rFonts w:hAnsi="標楷體"/>
                <w:bCs/>
                <w:snapToGrid w:val="0"/>
                <w:color w:val="000000" w:themeColor="text1"/>
                <w:spacing w:val="-20"/>
                <w:kern w:val="0"/>
                <w:sz w:val="24"/>
                <w:szCs w:val="24"/>
              </w:rPr>
              <w:t>數</w:t>
            </w:r>
          </w:p>
          <w:p w14:paraId="24267A64" w14:textId="77777777" w:rsidR="00E7321C" w:rsidRPr="00DA5594" w:rsidRDefault="00E7321C" w:rsidP="00C62D9B">
            <w:pPr>
              <w:widowControl/>
              <w:kinsoku/>
              <w:overflowPunct/>
              <w:autoSpaceDE/>
              <w:autoSpaceDN/>
              <w:adjustRightInd w:val="0"/>
              <w:snapToGrid w:val="0"/>
              <w:spacing w:line="290" w:lineRule="exact"/>
              <w:ind w:leftChars="101" w:left="586" w:hangingChars="110" w:hanging="242"/>
              <w:rPr>
                <w:rFonts w:hAnsi="標楷體"/>
                <w:bCs/>
                <w:snapToGrid w:val="0"/>
                <w:color w:val="000000" w:themeColor="text1"/>
                <w:spacing w:val="-20"/>
                <w:kern w:val="0"/>
                <w:sz w:val="24"/>
                <w:szCs w:val="24"/>
              </w:rPr>
            </w:pPr>
            <w:r w:rsidRPr="00DA5594">
              <w:rPr>
                <w:rFonts w:hAnsi="標楷體" w:hint="eastAsia"/>
                <w:bCs/>
                <w:snapToGrid w:val="0"/>
                <w:color w:val="000000" w:themeColor="text1"/>
                <w:spacing w:val="-20"/>
                <w:kern w:val="0"/>
                <w:sz w:val="24"/>
                <w:szCs w:val="24"/>
              </w:rPr>
              <w:t>&lt;1&gt;</w:t>
            </w:r>
            <w:r w:rsidRPr="00DA5594">
              <w:rPr>
                <w:rFonts w:hAnsi="標楷體"/>
                <w:bCs/>
                <w:snapToGrid w:val="0"/>
                <w:color w:val="000000" w:themeColor="text1"/>
                <w:spacing w:val="-20"/>
                <w:kern w:val="0"/>
                <w:sz w:val="24"/>
                <w:szCs w:val="24"/>
              </w:rPr>
              <w:t>以</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年度全年應納稅額4,060.24億元(</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年度實際暫繳稅額1,754.02億元+</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年度結算申報自繳稅額2,306.22億元)為基礎，按</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年度暫繳稅額占</w:t>
            </w:r>
            <w:proofErr w:type="gramStart"/>
            <w:r w:rsidRPr="00DA5594">
              <w:rPr>
                <w:rFonts w:hAnsi="標楷體"/>
                <w:bCs/>
                <w:snapToGrid w:val="0"/>
                <w:color w:val="000000" w:themeColor="text1"/>
                <w:spacing w:val="-20"/>
                <w:kern w:val="0"/>
                <w:sz w:val="24"/>
                <w:szCs w:val="24"/>
              </w:rPr>
              <w:t>104</w:t>
            </w:r>
            <w:proofErr w:type="gramEnd"/>
            <w:r w:rsidRPr="00DA5594">
              <w:rPr>
                <w:rFonts w:hAnsi="標楷體"/>
                <w:bCs/>
                <w:snapToGrid w:val="0"/>
                <w:color w:val="000000" w:themeColor="text1"/>
                <w:spacing w:val="-20"/>
                <w:kern w:val="0"/>
                <w:sz w:val="24"/>
                <w:szCs w:val="24"/>
              </w:rPr>
              <w:t>年度全年應納稅額比率45.06%估計，推估</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年度暫繳稅額為1,829.54億元(4,060.24億元×45.06%)。</w:t>
            </w:r>
          </w:p>
          <w:p w14:paraId="73321A87" w14:textId="77777777" w:rsidR="00E7321C" w:rsidRPr="00DA5594" w:rsidRDefault="00E7321C" w:rsidP="00C62D9B">
            <w:pPr>
              <w:widowControl/>
              <w:kinsoku/>
              <w:overflowPunct/>
              <w:autoSpaceDE/>
              <w:autoSpaceDN/>
              <w:adjustRightInd w:val="0"/>
              <w:snapToGrid w:val="0"/>
              <w:spacing w:line="290" w:lineRule="exact"/>
              <w:ind w:leftChars="101" w:left="586" w:hangingChars="110" w:hanging="242"/>
              <w:rPr>
                <w:rFonts w:hAnsi="標楷體"/>
                <w:bCs/>
                <w:snapToGrid w:val="0"/>
                <w:color w:val="000000" w:themeColor="text1"/>
                <w:spacing w:val="-20"/>
                <w:kern w:val="0"/>
                <w:sz w:val="24"/>
                <w:szCs w:val="24"/>
              </w:rPr>
            </w:pPr>
            <w:r w:rsidRPr="00DA5594">
              <w:rPr>
                <w:rFonts w:hAnsi="標楷體" w:hint="eastAsia"/>
                <w:bCs/>
                <w:snapToGrid w:val="0"/>
                <w:color w:val="000000" w:themeColor="text1"/>
                <w:spacing w:val="-20"/>
                <w:kern w:val="0"/>
                <w:sz w:val="24"/>
                <w:szCs w:val="24"/>
              </w:rPr>
              <w:t>&lt;2&gt;</w:t>
            </w:r>
            <w:r w:rsidRPr="00DA5594">
              <w:rPr>
                <w:rFonts w:hAnsi="標楷體"/>
                <w:bCs/>
                <w:snapToGrid w:val="0"/>
                <w:color w:val="000000" w:themeColor="text1"/>
                <w:spacing w:val="-20"/>
                <w:kern w:val="0"/>
                <w:sz w:val="24"/>
                <w:szCs w:val="24"/>
              </w:rPr>
              <w:t>以106年全年應納稅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4,183.04億元(</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年度暫繳稅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1,829.54億元+</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年度結算申報自繳稅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2,353.5億元)為基礎，按</w:t>
            </w:r>
            <w:proofErr w:type="gramStart"/>
            <w:r w:rsidRPr="00DA5594">
              <w:rPr>
                <w:rFonts w:hAnsi="標楷體"/>
                <w:bCs/>
                <w:snapToGrid w:val="0"/>
                <w:color w:val="000000" w:themeColor="text1"/>
                <w:spacing w:val="-20"/>
                <w:kern w:val="0"/>
                <w:sz w:val="24"/>
                <w:szCs w:val="24"/>
              </w:rPr>
              <w:t>105</w:t>
            </w:r>
            <w:proofErr w:type="gramEnd"/>
            <w:r w:rsidRPr="00DA5594">
              <w:rPr>
                <w:rFonts w:hAnsi="標楷體"/>
                <w:bCs/>
                <w:snapToGrid w:val="0"/>
                <w:color w:val="000000" w:themeColor="text1"/>
                <w:spacing w:val="-20"/>
                <w:kern w:val="0"/>
                <w:sz w:val="24"/>
                <w:szCs w:val="24"/>
              </w:rPr>
              <w:t>年度暫繳稅額占</w:t>
            </w:r>
            <w:proofErr w:type="gramStart"/>
            <w:r w:rsidRPr="00DA5594">
              <w:rPr>
                <w:rFonts w:hAnsi="標楷體"/>
                <w:bCs/>
                <w:snapToGrid w:val="0"/>
                <w:color w:val="000000" w:themeColor="text1"/>
                <w:spacing w:val="-20"/>
                <w:kern w:val="0"/>
                <w:sz w:val="24"/>
                <w:szCs w:val="24"/>
              </w:rPr>
              <w:t>104</w:t>
            </w:r>
            <w:proofErr w:type="gramEnd"/>
            <w:r w:rsidRPr="00DA5594">
              <w:rPr>
                <w:rFonts w:hAnsi="標楷體"/>
                <w:bCs/>
                <w:snapToGrid w:val="0"/>
                <w:color w:val="000000" w:themeColor="text1"/>
                <w:spacing w:val="-20"/>
                <w:kern w:val="0"/>
                <w:sz w:val="24"/>
                <w:szCs w:val="24"/>
              </w:rPr>
              <w:t>年度全年應納稅額比率45.06%估計，</w:t>
            </w:r>
            <w:proofErr w:type="gramStart"/>
            <w:r w:rsidRPr="00DA5594">
              <w:rPr>
                <w:rFonts w:hAnsi="標楷體"/>
                <w:bCs/>
                <w:snapToGrid w:val="0"/>
                <w:color w:val="000000" w:themeColor="text1"/>
                <w:spacing w:val="-20"/>
                <w:kern w:val="0"/>
                <w:sz w:val="24"/>
                <w:szCs w:val="24"/>
              </w:rPr>
              <w:t>據以估列107</w:t>
            </w:r>
            <w:proofErr w:type="gramEnd"/>
            <w:r w:rsidRPr="00DA5594">
              <w:rPr>
                <w:rFonts w:hAnsi="標楷體"/>
                <w:bCs/>
                <w:snapToGrid w:val="0"/>
                <w:color w:val="000000" w:themeColor="text1"/>
                <w:spacing w:val="-20"/>
                <w:kern w:val="0"/>
                <w:sz w:val="24"/>
                <w:szCs w:val="24"/>
              </w:rPr>
              <w:t>年度暫繳稅額為1,884.88億元(4,183.04億元×45.06%)。</w:t>
            </w:r>
          </w:p>
          <w:p w14:paraId="6430A2D4"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(4)</w:t>
            </w:r>
            <w:proofErr w:type="gramStart"/>
            <w:r w:rsidRPr="00DA5594">
              <w:rPr>
                <w:rFonts w:hAnsi="標楷體"/>
                <w:bCs/>
                <w:snapToGrid w:val="0"/>
                <w:color w:val="000000" w:themeColor="text1"/>
                <w:spacing w:val="-20"/>
                <w:kern w:val="0"/>
                <w:sz w:val="24"/>
                <w:szCs w:val="24"/>
              </w:rPr>
              <w:t>稽</w:t>
            </w:r>
            <w:proofErr w:type="gramEnd"/>
            <w:r w:rsidRPr="00DA5594">
              <w:rPr>
                <w:rFonts w:hAnsi="標楷體"/>
                <w:bCs/>
                <w:snapToGrid w:val="0"/>
                <w:color w:val="000000" w:themeColor="text1"/>
                <w:spacing w:val="-20"/>
                <w:kern w:val="0"/>
                <w:sz w:val="24"/>
                <w:szCs w:val="24"/>
              </w:rPr>
              <w:t>徵機關查核補徵稅</w:t>
            </w:r>
            <w:proofErr w:type="gramStart"/>
            <w:r w:rsidRPr="00DA5594">
              <w:rPr>
                <w:rFonts w:hAnsi="標楷體"/>
                <w:bCs/>
                <w:snapToGrid w:val="0"/>
                <w:color w:val="000000" w:themeColor="text1"/>
                <w:spacing w:val="-20"/>
                <w:kern w:val="0"/>
                <w:sz w:val="24"/>
                <w:szCs w:val="24"/>
              </w:rPr>
              <w:t>額推估數</w:t>
            </w:r>
            <w:proofErr w:type="gramEnd"/>
            <w:r w:rsidRPr="00DA5594">
              <w:rPr>
                <w:rFonts w:hAnsi="標楷體"/>
                <w:bCs/>
                <w:snapToGrid w:val="0"/>
                <w:color w:val="000000" w:themeColor="text1"/>
                <w:spacing w:val="-20"/>
                <w:kern w:val="0"/>
                <w:sz w:val="24"/>
                <w:szCs w:val="24"/>
              </w:rPr>
              <w:t>，參酌104年至105年核定補徵稅額之平均數，並就經濟景氣狀況權衡，推估</w:t>
            </w:r>
            <w:proofErr w:type="gramStart"/>
            <w:r w:rsidRPr="00DA5594">
              <w:rPr>
                <w:rFonts w:hAnsi="標楷體"/>
                <w:bCs/>
                <w:snapToGrid w:val="0"/>
                <w:color w:val="000000" w:themeColor="text1"/>
                <w:spacing w:val="-20"/>
                <w:kern w:val="0"/>
                <w:sz w:val="24"/>
                <w:szCs w:val="24"/>
              </w:rPr>
              <w:t>107</w:t>
            </w:r>
            <w:proofErr w:type="gramEnd"/>
            <w:r w:rsidRPr="00DA5594">
              <w:rPr>
                <w:rFonts w:hAnsi="標楷體"/>
                <w:bCs/>
                <w:snapToGrid w:val="0"/>
                <w:color w:val="000000" w:themeColor="text1"/>
                <w:spacing w:val="-20"/>
                <w:kern w:val="0"/>
                <w:sz w:val="24"/>
                <w:szCs w:val="24"/>
              </w:rPr>
              <w:t>年度</w:t>
            </w:r>
            <w:proofErr w:type="gramStart"/>
            <w:r w:rsidRPr="00DA5594">
              <w:rPr>
                <w:rFonts w:hAnsi="標楷體"/>
                <w:bCs/>
                <w:snapToGrid w:val="0"/>
                <w:color w:val="000000" w:themeColor="text1"/>
                <w:spacing w:val="-20"/>
                <w:kern w:val="0"/>
                <w:sz w:val="24"/>
                <w:szCs w:val="24"/>
              </w:rPr>
              <w:t>稽</w:t>
            </w:r>
            <w:proofErr w:type="gramEnd"/>
            <w:r w:rsidRPr="00DA5594">
              <w:rPr>
                <w:rFonts w:hAnsi="標楷體"/>
                <w:bCs/>
                <w:snapToGrid w:val="0"/>
                <w:color w:val="000000" w:themeColor="text1"/>
                <w:spacing w:val="-20"/>
                <w:kern w:val="0"/>
                <w:sz w:val="24"/>
                <w:szCs w:val="24"/>
              </w:rPr>
              <w:t>徵機關查核補徵稅額約305.84億元。</w:t>
            </w:r>
          </w:p>
          <w:p w14:paraId="38E38D89" w14:textId="77777777" w:rsidR="00E7321C" w:rsidRPr="00DA5594" w:rsidRDefault="00E7321C" w:rsidP="00C62D9B">
            <w:pPr>
              <w:widowControl/>
              <w:kinsoku/>
              <w:overflowPunct/>
              <w:autoSpaceDE/>
              <w:autoSpaceDN/>
              <w:adjustRightInd w:val="0"/>
              <w:snapToGrid w:val="0"/>
              <w:spacing w:line="290" w:lineRule="exact"/>
              <w:ind w:leftChars="59" w:left="443"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(5)綜上，經加總上</w:t>
            </w:r>
            <w:proofErr w:type="gramStart"/>
            <w:r w:rsidRPr="00DA5594">
              <w:rPr>
                <w:rFonts w:hAnsi="標楷體"/>
                <w:bCs/>
                <w:snapToGrid w:val="0"/>
                <w:color w:val="000000" w:themeColor="text1"/>
                <w:spacing w:val="-20"/>
                <w:kern w:val="0"/>
                <w:sz w:val="24"/>
                <w:szCs w:val="24"/>
              </w:rPr>
              <w:t>開推估數</w:t>
            </w:r>
            <w:proofErr w:type="gramEnd"/>
            <w:r w:rsidRPr="00DA5594">
              <w:rPr>
                <w:rFonts w:hAnsi="標楷體"/>
                <w:bCs/>
                <w:snapToGrid w:val="0"/>
                <w:color w:val="000000" w:themeColor="text1"/>
                <w:spacing w:val="-20"/>
                <w:kern w:val="0"/>
                <w:sz w:val="24"/>
                <w:szCs w:val="24"/>
              </w:rPr>
              <w:t>，並加計申報</w:t>
            </w:r>
            <w:proofErr w:type="gramStart"/>
            <w:r w:rsidRPr="00DA5594">
              <w:rPr>
                <w:rFonts w:hAnsi="標楷體"/>
                <w:bCs/>
                <w:snapToGrid w:val="0"/>
                <w:color w:val="000000" w:themeColor="text1"/>
                <w:spacing w:val="-20"/>
                <w:kern w:val="0"/>
                <w:sz w:val="24"/>
                <w:szCs w:val="24"/>
              </w:rPr>
              <w:t>106</w:t>
            </w:r>
            <w:proofErr w:type="gramEnd"/>
            <w:r w:rsidRPr="00DA5594">
              <w:rPr>
                <w:rFonts w:hAnsi="標楷體"/>
                <w:bCs/>
                <w:snapToGrid w:val="0"/>
                <w:color w:val="000000" w:themeColor="text1"/>
                <w:spacing w:val="-20"/>
                <w:kern w:val="0"/>
                <w:sz w:val="24"/>
                <w:szCs w:val="24"/>
              </w:rPr>
              <w:t>年度房地合一課徵所得稅預估增加稅額20.9億元，再按現行財政收支劃分法中央地方分成規定，</w:t>
            </w:r>
            <w:proofErr w:type="gramStart"/>
            <w:r w:rsidRPr="00DA5594">
              <w:rPr>
                <w:rFonts w:hAnsi="標楷體"/>
                <w:bCs/>
                <w:snapToGrid w:val="0"/>
                <w:color w:val="000000" w:themeColor="text1"/>
                <w:spacing w:val="-20"/>
                <w:kern w:val="0"/>
                <w:sz w:val="24"/>
                <w:szCs w:val="24"/>
              </w:rPr>
              <w:t>爰</w:t>
            </w:r>
            <w:proofErr w:type="gramEnd"/>
            <w:r w:rsidRPr="00DA5594">
              <w:rPr>
                <w:rFonts w:hAnsi="標楷體"/>
                <w:bCs/>
                <w:snapToGrid w:val="0"/>
                <w:color w:val="000000" w:themeColor="text1"/>
                <w:spacing w:val="-20"/>
                <w:kern w:val="0"/>
                <w:sz w:val="24"/>
                <w:szCs w:val="24"/>
              </w:rPr>
              <w:t>估列</w:t>
            </w:r>
            <w:proofErr w:type="gramStart"/>
            <w:r w:rsidRPr="00DA5594">
              <w:rPr>
                <w:rFonts w:hAnsi="標楷體"/>
                <w:bCs/>
                <w:snapToGrid w:val="0"/>
                <w:color w:val="000000" w:themeColor="text1"/>
                <w:spacing w:val="-20"/>
                <w:kern w:val="0"/>
                <w:sz w:val="24"/>
                <w:szCs w:val="24"/>
              </w:rPr>
              <w:t>107</w:t>
            </w:r>
            <w:proofErr w:type="gramEnd"/>
            <w:r w:rsidRPr="00DA5594">
              <w:rPr>
                <w:rFonts w:hAnsi="標楷體"/>
                <w:bCs/>
                <w:snapToGrid w:val="0"/>
                <w:color w:val="000000" w:themeColor="text1"/>
                <w:spacing w:val="-20"/>
                <w:kern w:val="0"/>
                <w:sz w:val="24"/>
                <w:szCs w:val="24"/>
              </w:rPr>
              <w:t>年度中央政府稅課收入</w:t>
            </w:r>
            <w:proofErr w:type="gramStart"/>
            <w:r w:rsidRPr="00DA5594">
              <w:rPr>
                <w:rFonts w:hAnsi="標楷體"/>
                <w:bCs/>
                <w:snapToGrid w:val="0"/>
                <w:color w:val="000000" w:themeColor="text1"/>
                <w:spacing w:val="-20"/>
                <w:kern w:val="0"/>
                <w:sz w:val="24"/>
                <w:szCs w:val="24"/>
              </w:rPr>
              <w:t>推估數為</w:t>
            </w:r>
            <w:proofErr w:type="gramEnd"/>
            <w:r w:rsidRPr="00DA5594">
              <w:rPr>
                <w:rFonts w:hAnsi="標楷體"/>
                <w:bCs/>
                <w:snapToGrid w:val="0"/>
                <w:color w:val="000000" w:themeColor="text1"/>
                <w:spacing w:val="-20"/>
                <w:kern w:val="0"/>
                <w:sz w:val="24"/>
                <w:szCs w:val="24"/>
              </w:rPr>
              <w:t>4,707.18億元[(2,353.5億元+665.08億元+1,884.88億元+305.84億元+20.9億元)×90%]。另為配合籌措中央政府流域綜合治理特別預算及長期照顧服務發展基金財源，移列營利事業所得稅稅課收入43.13億元及房地合一稅課收入10億元作為支應，故編列</w:t>
            </w:r>
            <w:proofErr w:type="gramStart"/>
            <w:r w:rsidRPr="00DA5594">
              <w:rPr>
                <w:rFonts w:hAnsi="標楷體"/>
                <w:bCs/>
                <w:snapToGrid w:val="0"/>
                <w:color w:val="000000" w:themeColor="text1"/>
                <w:spacing w:val="-20"/>
                <w:kern w:val="0"/>
                <w:sz w:val="24"/>
                <w:szCs w:val="24"/>
              </w:rPr>
              <w:t>107</w:t>
            </w:r>
            <w:proofErr w:type="gramEnd"/>
            <w:r w:rsidRPr="00DA5594">
              <w:rPr>
                <w:rFonts w:hAnsi="標楷體"/>
                <w:bCs/>
                <w:snapToGrid w:val="0"/>
                <w:color w:val="000000" w:themeColor="text1"/>
                <w:spacing w:val="-20"/>
                <w:kern w:val="0"/>
                <w:sz w:val="24"/>
                <w:szCs w:val="24"/>
              </w:rPr>
              <w:t>年度中央政府稅課收入預算數為4,654.05億元(4,707.18億元-43.13億元-10億元)。</w:t>
            </w:r>
          </w:p>
          <w:p w14:paraId="0CB9978A"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color w:val="000000" w:themeColor="text1"/>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往年實徵情形予以分配，本局獲配33,183,377千元</w:t>
            </w:r>
            <w:r w:rsidRPr="00DA5594">
              <w:rPr>
                <w:rFonts w:hAnsi="標楷體" w:hint="eastAsia"/>
                <w:bCs/>
                <w:snapToGrid w:val="0"/>
                <w:color w:val="000000" w:themeColor="text1"/>
                <w:spacing w:val="-20"/>
                <w:kern w:val="0"/>
                <w:sz w:val="24"/>
                <w:szCs w:val="24"/>
              </w:rPr>
              <w:t>.。</w:t>
            </w:r>
          </w:p>
        </w:tc>
      </w:tr>
      <w:tr w:rsidR="00DA5594" w:rsidRPr="00DA5594" w14:paraId="0C61F044" w14:textId="77777777" w:rsidTr="009F60E8">
        <w:tc>
          <w:tcPr>
            <w:tcW w:w="709" w:type="dxa"/>
            <w:vAlign w:val="center"/>
          </w:tcPr>
          <w:p w14:paraId="17D127D8"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108</w:t>
            </w:r>
          </w:p>
        </w:tc>
        <w:tc>
          <w:tcPr>
            <w:tcW w:w="8130" w:type="dxa"/>
          </w:tcPr>
          <w:p w14:paraId="4DF24855"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1.以結算、暫繳及未分配盈餘申報自繳稅額及查核補徵稅額為基礎，</w:t>
            </w:r>
            <w:proofErr w:type="gramStart"/>
            <w:r w:rsidRPr="00DA5594">
              <w:rPr>
                <w:rFonts w:hAnsi="標楷體"/>
                <w:bCs/>
                <w:snapToGrid w:val="0"/>
                <w:color w:val="000000" w:themeColor="text1"/>
                <w:spacing w:val="-20"/>
                <w:kern w:val="0"/>
                <w:sz w:val="24"/>
                <w:szCs w:val="24"/>
              </w:rPr>
              <w:t>參據上市</w:t>
            </w:r>
            <w:proofErr w:type="gramEnd"/>
            <w:r w:rsidRPr="00DA5594">
              <w:rPr>
                <w:rFonts w:hAnsi="標楷體"/>
                <w:bCs/>
                <w:snapToGrid w:val="0"/>
                <w:color w:val="000000" w:themeColor="text1"/>
                <w:spacing w:val="-20"/>
                <w:kern w:val="0"/>
                <w:sz w:val="24"/>
                <w:szCs w:val="24"/>
              </w:rPr>
              <w:t>(櫃)公司淨利及經濟成長率，並加計房地合一課徵所得稅收入後，編列5,370億元。</w:t>
            </w:r>
          </w:p>
          <w:p w14:paraId="62CDCDED"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往年實徵情形予以分配，本局獲配37,751,100千元。</w:t>
            </w:r>
          </w:p>
        </w:tc>
      </w:tr>
      <w:tr w:rsidR="00DA5594" w:rsidRPr="00DA5594" w14:paraId="300BB382" w14:textId="77777777" w:rsidTr="009F60E8">
        <w:tc>
          <w:tcPr>
            <w:tcW w:w="709" w:type="dxa"/>
            <w:vAlign w:val="center"/>
          </w:tcPr>
          <w:p w14:paraId="244B1B26"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109</w:t>
            </w:r>
          </w:p>
        </w:tc>
        <w:tc>
          <w:tcPr>
            <w:tcW w:w="8130" w:type="dxa"/>
          </w:tcPr>
          <w:p w14:paraId="705D4E5A"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1.以結算、暫繳及未分配盈餘申報自繳稅額及查核補徵稅額為基礎，</w:t>
            </w:r>
            <w:proofErr w:type="gramStart"/>
            <w:r w:rsidRPr="00DA5594">
              <w:rPr>
                <w:rFonts w:hAnsi="標楷體"/>
                <w:bCs/>
                <w:snapToGrid w:val="0"/>
                <w:color w:val="000000" w:themeColor="text1"/>
                <w:spacing w:val="-20"/>
                <w:kern w:val="0"/>
                <w:sz w:val="24"/>
                <w:szCs w:val="24"/>
              </w:rPr>
              <w:t>參據經濟</w:t>
            </w:r>
            <w:proofErr w:type="gramEnd"/>
            <w:r w:rsidRPr="00DA5594">
              <w:rPr>
                <w:rFonts w:hAnsi="標楷體"/>
                <w:bCs/>
                <w:snapToGrid w:val="0"/>
                <w:color w:val="000000" w:themeColor="text1"/>
                <w:spacing w:val="-20"/>
                <w:kern w:val="0"/>
                <w:sz w:val="24"/>
                <w:szCs w:val="24"/>
              </w:rPr>
              <w:t>成長率，納入稅制調整因素，編列5,750億元。</w:t>
            </w:r>
          </w:p>
          <w:p w14:paraId="4693D2D3"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往年實徵情形予以分配，本局獲配42,263,529千元。</w:t>
            </w:r>
          </w:p>
        </w:tc>
      </w:tr>
      <w:tr w:rsidR="00DA5594" w:rsidRPr="00DA5594" w14:paraId="464687C4" w14:textId="77777777" w:rsidTr="009F60E8">
        <w:tc>
          <w:tcPr>
            <w:tcW w:w="709" w:type="dxa"/>
            <w:vAlign w:val="center"/>
          </w:tcPr>
          <w:p w14:paraId="4BF2474F"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110</w:t>
            </w:r>
          </w:p>
        </w:tc>
        <w:tc>
          <w:tcPr>
            <w:tcW w:w="8130" w:type="dxa"/>
          </w:tcPr>
          <w:p w14:paraId="28A68DAC"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1.以結算、暫繳及未分配盈餘申報自繳稅額與查核補徵稅額為基礎，納入稅制調整及109年延分期繳稅遞延入庫因素，編列5,450億元。</w:t>
            </w:r>
          </w:p>
          <w:p w14:paraId="1895CF83"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往年實徵情形予以分配，本局獲配43,378,020千元。</w:t>
            </w:r>
          </w:p>
        </w:tc>
      </w:tr>
      <w:tr w:rsidR="00DA5594" w:rsidRPr="00DA5594" w14:paraId="68C4DE19" w14:textId="77777777" w:rsidTr="009F60E8">
        <w:tc>
          <w:tcPr>
            <w:tcW w:w="709" w:type="dxa"/>
            <w:vAlign w:val="center"/>
          </w:tcPr>
          <w:p w14:paraId="1AD3465E"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111</w:t>
            </w:r>
          </w:p>
        </w:tc>
        <w:tc>
          <w:tcPr>
            <w:tcW w:w="8130" w:type="dxa"/>
          </w:tcPr>
          <w:p w14:paraId="363F47A9"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1.以結算、未分配盈餘及暫繳申報自繳稅額及查核補徵稅額為基礎，</w:t>
            </w:r>
            <w:proofErr w:type="gramStart"/>
            <w:r w:rsidRPr="00DA5594">
              <w:rPr>
                <w:rFonts w:hAnsi="標楷體"/>
                <w:bCs/>
                <w:snapToGrid w:val="0"/>
                <w:color w:val="000000" w:themeColor="text1"/>
                <w:spacing w:val="-20"/>
                <w:kern w:val="0"/>
                <w:sz w:val="24"/>
                <w:szCs w:val="24"/>
              </w:rPr>
              <w:t>參據預測</w:t>
            </w:r>
            <w:proofErr w:type="gramEnd"/>
            <w:r w:rsidRPr="00DA5594">
              <w:rPr>
                <w:rFonts w:hAnsi="標楷體"/>
                <w:bCs/>
                <w:snapToGrid w:val="0"/>
                <w:color w:val="000000" w:themeColor="text1"/>
                <w:spacing w:val="-20"/>
                <w:kern w:val="0"/>
                <w:sz w:val="24"/>
                <w:szCs w:val="24"/>
              </w:rPr>
              <w:t>經濟成長率，納入稅制調整因素，編列6,397億元。</w:t>
            </w:r>
          </w:p>
          <w:p w14:paraId="34ACEB1F"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往年實徵情形予以分配，本局獲配51,115,946千元。</w:t>
            </w:r>
          </w:p>
        </w:tc>
      </w:tr>
      <w:tr w:rsidR="00DA5594" w:rsidRPr="00DA5594" w14:paraId="1EAA17ED" w14:textId="77777777" w:rsidTr="009F60E8">
        <w:tc>
          <w:tcPr>
            <w:tcW w:w="709" w:type="dxa"/>
            <w:vAlign w:val="center"/>
          </w:tcPr>
          <w:p w14:paraId="63895D1E"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112</w:t>
            </w:r>
          </w:p>
        </w:tc>
        <w:tc>
          <w:tcPr>
            <w:tcW w:w="8130" w:type="dxa"/>
          </w:tcPr>
          <w:p w14:paraId="27C6214A"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1.以結算、未分配盈餘及暫繳申報自繳稅額為基礎，</w:t>
            </w:r>
            <w:proofErr w:type="gramStart"/>
            <w:r w:rsidRPr="00DA5594">
              <w:rPr>
                <w:rFonts w:hAnsi="標楷體"/>
                <w:bCs/>
                <w:snapToGrid w:val="0"/>
                <w:color w:val="000000" w:themeColor="text1"/>
                <w:spacing w:val="-20"/>
                <w:kern w:val="0"/>
                <w:sz w:val="24"/>
                <w:szCs w:val="24"/>
              </w:rPr>
              <w:t>參據營利</w:t>
            </w:r>
            <w:proofErr w:type="gramEnd"/>
            <w:r w:rsidRPr="00DA5594">
              <w:rPr>
                <w:rFonts w:hAnsi="標楷體"/>
                <w:bCs/>
                <w:snapToGrid w:val="0"/>
                <w:color w:val="000000" w:themeColor="text1"/>
                <w:spacing w:val="-20"/>
                <w:kern w:val="0"/>
                <w:sz w:val="24"/>
                <w:szCs w:val="24"/>
              </w:rPr>
              <w:t>事業銷售額成長、上市櫃公司獲利情形及預測經濟成長率，並納入稅制調整因素，編列9,097億元。</w:t>
            </w:r>
          </w:p>
          <w:p w14:paraId="76F7E21B"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lastRenderedPageBreak/>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往年實徵情形予以分配，本局獲配67,229,934千元。</w:t>
            </w:r>
          </w:p>
        </w:tc>
      </w:tr>
      <w:tr w:rsidR="00DA5594" w:rsidRPr="00DA5594" w14:paraId="4D9C72CB" w14:textId="77777777" w:rsidTr="009F60E8">
        <w:tc>
          <w:tcPr>
            <w:tcW w:w="709" w:type="dxa"/>
            <w:vAlign w:val="center"/>
          </w:tcPr>
          <w:p w14:paraId="7E64AB25"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lastRenderedPageBreak/>
              <w:t>113</w:t>
            </w:r>
          </w:p>
        </w:tc>
        <w:tc>
          <w:tcPr>
            <w:tcW w:w="8130" w:type="dxa"/>
          </w:tcPr>
          <w:p w14:paraId="7706B8A7"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1.以結算、未分配盈餘及暫繳申報自繳稅額為基礎，</w:t>
            </w:r>
            <w:proofErr w:type="gramStart"/>
            <w:r w:rsidRPr="00DA5594">
              <w:rPr>
                <w:rFonts w:hAnsi="標楷體"/>
                <w:bCs/>
                <w:snapToGrid w:val="0"/>
                <w:color w:val="000000" w:themeColor="text1"/>
                <w:spacing w:val="-20"/>
                <w:kern w:val="0"/>
                <w:sz w:val="24"/>
                <w:szCs w:val="24"/>
              </w:rPr>
              <w:t>參據關鍵</w:t>
            </w:r>
            <w:proofErr w:type="gramEnd"/>
            <w:r w:rsidRPr="00DA5594">
              <w:rPr>
                <w:rFonts w:hAnsi="標楷體"/>
                <w:bCs/>
                <w:snapToGrid w:val="0"/>
                <w:color w:val="000000" w:themeColor="text1"/>
                <w:spacing w:val="-20"/>
                <w:kern w:val="0"/>
                <w:sz w:val="24"/>
                <w:szCs w:val="24"/>
              </w:rPr>
              <w:t>影響因素(如出口、工業生產指數等)變動情形，並納入稅制調整因素，編列8,428.51億元。</w:t>
            </w:r>
          </w:p>
          <w:p w14:paraId="57E6D594"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往年實徵情形予以分配，本局獲配67,090,940千元。</w:t>
            </w:r>
          </w:p>
        </w:tc>
      </w:tr>
      <w:tr w:rsidR="00DA5594" w:rsidRPr="00DA5594" w14:paraId="596E7C6C" w14:textId="77777777" w:rsidTr="009F60E8">
        <w:tc>
          <w:tcPr>
            <w:tcW w:w="709" w:type="dxa"/>
            <w:vAlign w:val="center"/>
          </w:tcPr>
          <w:p w14:paraId="05ECC265"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114</w:t>
            </w:r>
          </w:p>
        </w:tc>
        <w:tc>
          <w:tcPr>
            <w:tcW w:w="8130" w:type="dxa"/>
          </w:tcPr>
          <w:p w14:paraId="66EA5EB4"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1.以結算、未分配盈餘及暫繳申報自繳稅額為基礎，</w:t>
            </w:r>
            <w:proofErr w:type="gramStart"/>
            <w:r w:rsidRPr="00DA5594">
              <w:rPr>
                <w:rFonts w:hAnsi="標楷體"/>
                <w:bCs/>
                <w:snapToGrid w:val="0"/>
                <w:color w:val="000000" w:themeColor="text1"/>
                <w:spacing w:val="-20"/>
                <w:kern w:val="0"/>
                <w:sz w:val="24"/>
                <w:szCs w:val="24"/>
              </w:rPr>
              <w:t>參據關鍵</w:t>
            </w:r>
            <w:proofErr w:type="gramEnd"/>
            <w:r w:rsidRPr="00DA5594">
              <w:rPr>
                <w:rFonts w:hAnsi="標楷體"/>
                <w:bCs/>
                <w:snapToGrid w:val="0"/>
                <w:color w:val="000000" w:themeColor="text1"/>
                <w:spacing w:val="-20"/>
                <w:kern w:val="0"/>
                <w:sz w:val="24"/>
                <w:szCs w:val="24"/>
              </w:rPr>
              <w:t>影響因素(如上市櫃公司獲利、出口、工業生產指數等)變動情形，並納入稅制調整因素，編列1兆384億元。</w:t>
            </w:r>
          </w:p>
          <w:p w14:paraId="483FFA34"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往年實徵情形予以分配，本局獲配82,240,330千元。</w:t>
            </w:r>
          </w:p>
        </w:tc>
      </w:tr>
      <w:tr w:rsidR="00DA5594" w:rsidRPr="00DA5594" w14:paraId="49EB4A48" w14:textId="77777777" w:rsidTr="009F60E8">
        <w:tc>
          <w:tcPr>
            <w:tcW w:w="709" w:type="dxa"/>
            <w:vAlign w:val="center"/>
          </w:tcPr>
          <w:p w14:paraId="7EA82BC6" w14:textId="77777777" w:rsidR="00E7321C" w:rsidRPr="00DA5594" w:rsidRDefault="00E7321C" w:rsidP="00C62D9B">
            <w:pPr>
              <w:widowControl/>
              <w:kinsoku/>
              <w:overflowPunct/>
              <w:autoSpaceDE/>
              <w:autoSpaceDN/>
              <w:adjustRightInd w:val="0"/>
              <w:snapToGrid w:val="0"/>
              <w:spacing w:line="290" w:lineRule="exact"/>
              <w:jc w:val="center"/>
              <w:rPr>
                <w:rFonts w:hAnsi="標楷體"/>
                <w:bCs/>
                <w:color w:val="000000" w:themeColor="text1"/>
                <w:kern w:val="0"/>
                <w:sz w:val="28"/>
                <w:szCs w:val="28"/>
              </w:rPr>
            </w:pPr>
            <w:r w:rsidRPr="00DA5594">
              <w:rPr>
                <w:rFonts w:hAnsi="標楷體"/>
                <w:bCs/>
                <w:color w:val="000000" w:themeColor="text1"/>
                <w:kern w:val="0"/>
                <w:sz w:val="28"/>
                <w:szCs w:val="28"/>
              </w:rPr>
              <w:t>115</w:t>
            </w:r>
          </w:p>
        </w:tc>
        <w:tc>
          <w:tcPr>
            <w:tcW w:w="8130" w:type="dxa"/>
          </w:tcPr>
          <w:p w14:paraId="14A44464"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1.以結算、未分配盈餘及暫繳申報自繳稅額為基礎，</w:t>
            </w:r>
            <w:proofErr w:type="gramStart"/>
            <w:r w:rsidRPr="00DA5594">
              <w:rPr>
                <w:rFonts w:hAnsi="標楷體"/>
                <w:bCs/>
                <w:snapToGrid w:val="0"/>
                <w:color w:val="000000" w:themeColor="text1"/>
                <w:spacing w:val="-20"/>
                <w:kern w:val="0"/>
                <w:sz w:val="24"/>
                <w:szCs w:val="24"/>
              </w:rPr>
              <w:t>參據關鍵</w:t>
            </w:r>
            <w:proofErr w:type="gramEnd"/>
            <w:r w:rsidRPr="00DA5594">
              <w:rPr>
                <w:rFonts w:hAnsi="標楷體"/>
                <w:bCs/>
                <w:snapToGrid w:val="0"/>
                <w:color w:val="000000" w:themeColor="text1"/>
                <w:spacing w:val="-20"/>
                <w:kern w:val="0"/>
                <w:sz w:val="24"/>
                <w:szCs w:val="24"/>
              </w:rPr>
              <w:t>影響因素(如上市櫃公司獲利、出口、工業生產指數、匯率及國際經貿政策等)變動情形，並納入稅制調整因素，編列1兆1,204億元。</w:t>
            </w:r>
          </w:p>
          <w:p w14:paraId="7CE074BC" w14:textId="77777777" w:rsidR="00E7321C" w:rsidRPr="00DA5594" w:rsidRDefault="00E7321C" w:rsidP="00C62D9B">
            <w:pPr>
              <w:widowControl/>
              <w:kinsoku/>
              <w:overflowPunct/>
              <w:autoSpaceDE/>
              <w:autoSpaceDN/>
              <w:adjustRightInd w:val="0"/>
              <w:snapToGrid w:val="0"/>
              <w:spacing w:line="290" w:lineRule="exact"/>
              <w:ind w:left="242" w:hangingChars="110" w:hanging="242"/>
              <w:rPr>
                <w:rFonts w:hAnsi="標楷體"/>
                <w:bCs/>
                <w:snapToGrid w:val="0"/>
                <w:color w:val="000000" w:themeColor="text1"/>
                <w:spacing w:val="-20"/>
                <w:kern w:val="0"/>
                <w:sz w:val="24"/>
                <w:szCs w:val="24"/>
              </w:rPr>
            </w:pPr>
            <w:r w:rsidRPr="00DA5594">
              <w:rPr>
                <w:rFonts w:hAnsi="標楷體"/>
                <w:bCs/>
                <w:snapToGrid w:val="0"/>
                <w:color w:val="000000" w:themeColor="text1"/>
                <w:spacing w:val="-20"/>
                <w:kern w:val="0"/>
                <w:sz w:val="24"/>
                <w:szCs w:val="24"/>
              </w:rPr>
              <w:t>2.各國稅局</w:t>
            </w:r>
            <w:proofErr w:type="gramStart"/>
            <w:r w:rsidRPr="00DA5594">
              <w:rPr>
                <w:rFonts w:hAnsi="標楷體"/>
                <w:bCs/>
                <w:snapToGrid w:val="0"/>
                <w:color w:val="000000" w:themeColor="text1"/>
                <w:spacing w:val="-20"/>
                <w:kern w:val="0"/>
                <w:sz w:val="24"/>
                <w:szCs w:val="24"/>
              </w:rPr>
              <w:t>預算數係參酌</w:t>
            </w:r>
            <w:proofErr w:type="gramEnd"/>
            <w:r w:rsidRPr="00DA5594">
              <w:rPr>
                <w:rFonts w:hAnsi="標楷體"/>
                <w:bCs/>
                <w:snapToGrid w:val="0"/>
                <w:color w:val="000000" w:themeColor="text1"/>
                <w:spacing w:val="-20"/>
                <w:kern w:val="0"/>
                <w:sz w:val="24"/>
                <w:szCs w:val="24"/>
              </w:rPr>
              <w:t>往年實徵情形予以分配，本局獲配88,670,899千元。</w:t>
            </w:r>
          </w:p>
        </w:tc>
      </w:tr>
    </w:tbl>
    <w:p w14:paraId="6F7F76B0" w14:textId="0206CEA5" w:rsidR="00C20638" w:rsidRPr="00DA5594" w:rsidRDefault="00E7321C" w:rsidP="00E7321C">
      <w:pPr>
        <w:pStyle w:val="af5"/>
        <w:rPr>
          <w:rFonts w:hAnsi="標楷體"/>
          <w:bCs/>
          <w:color w:val="000000" w:themeColor="text1"/>
        </w:rPr>
      </w:pPr>
      <w:r w:rsidRPr="00DA5594">
        <w:rPr>
          <w:rFonts w:hAnsi="標楷體" w:hint="eastAsia"/>
          <w:bCs/>
          <w:color w:val="000000" w:themeColor="text1"/>
        </w:rPr>
        <w:t>資料來源：本案整理自財政部高雄國稅局103至115年度各年度預算書。</w:t>
      </w:r>
    </w:p>
    <w:p w14:paraId="56C0BE1B" w14:textId="27145D1B" w:rsidR="00C20638" w:rsidRPr="00DA5594" w:rsidRDefault="00E7321C" w:rsidP="00115B0B">
      <w:pPr>
        <w:pStyle w:val="a3"/>
        <w:keepLines/>
        <w:ind w:left="851" w:hanging="851"/>
        <w:rPr>
          <w:rFonts w:hAnsi="標楷體"/>
          <w:color w:val="000000" w:themeColor="text1"/>
        </w:rPr>
      </w:pPr>
      <w:r w:rsidRPr="00DA5594">
        <w:rPr>
          <w:rFonts w:hAnsi="標楷體" w:hint="eastAsia"/>
          <w:color w:val="000000" w:themeColor="text1"/>
        </w:rPr>
        <w:t>106至115年度</w:t>
      </w:r>
      <w:r w:rsidRPr="00DA5594">
        <w:rPr>
          <w:rFonts w:hAnsi="標楷體"/>
          <w:color w:val="000000" w:themeColor="text1"/>
        </w:rPr>
        <w:t>中央政府總預算案總說明及主要附表</w:t>
      </w:r>
      <w:r w:rsidRPr="00DA5594">
        <w:rPr>
          <w:rFonts w:hAnsi="標楷體" w:hint="eastAsia"/>
          <w:color w:val="000000" w:themeColor="text1"/>
        </w:rPr>
        <w:t>之</w:t>
      </w:r>
      <w:r w:rsidRPr="00DA5594">
        <w:rPr>
          <w:rFonts w:hAnsi="標楷體"/>
          <w:color w:val="000000" w:themeColor="text1"/>
        </w:rPr>
        <w:t>參、</w:t>
      </w:r>
      <w:r w:rsidR="00156987" w:rsidRPr="00DA5594">
        <w:rPr>
          <w:rFonts w:hAnsi="標楷體" w:hint="eastAsia"/>
          <w:color w:val="000000" w:themeColor="text1"/>
        </w:rPr>
        <w:t>「</w:t>
      </w:r>
      <w:r w:rsidRPr="00DA5594">
        <w:rPr>
          <w:rFonts w:hAnsi="標楷體"/>
          <w:color w:val="000000" w:themeColor="text1"/>
        </w:rPr>
        <w:t>總預算案籌編過程及主要內容</w:t>
      </w:r>
      <w:r w:rsidR="00156987" w:rsidRPr="00DA5594">
        <w:rPr>
          <w:rFonts w:hAnsi="標楷體" w:hint="eastAsia"/>
          <w:color w:val="000000" w:themeColor="text1"/>
        </w:rPr>
        <w:t>」(</w:t>
      </w:r>
      <w:r w:rsidRPr="00DA5594">
        <w:rPr>
          <w:rFonts w:hAnsi="標楷體" w:hint="eastAsia"/>
          <w:color w:val="000000" w:themeColor="text1"/>
        </w:rPr>
        <w:t>針對</w:t>
      </w:r>
      <w:r w:rsidRPr="00DA5594">
        <w:rPr>
          <w:rFonts w:hAnsi="標楷體"/>
          <w:color w:val="000000" w:themeColor="text1"/>
        </w:rPr>
        <w:t>歲入</w:t>
      </w:r>
      <w:proofErr w:type="gramStart"/>
      <w:r w:rsidRPr="00DA5594">
        <w:rPr>
          <w:rFonts w:hAnsi="標楷體"/>
          <w:color w:val="000000" w:themeColor="text1"/>
        </w:rPr>
        <w:t>來源別稅課</w:t>
      </w:r>
      <w:proofErr w:type="gramEnd"/>
      <w:r w:rsidRPr="00DA5594">
        <w:rPr>
          <w:rFonts w:hAnsi="標楷體"/>
          <w:color w:val="000000" w:themeColor="text1"/>
        </w:rPr>
        <w:t>收入項目</w:t>
      </w:r>
      <w:r w:rsidR="00156987" w:rsidRPr="00DA5594">
        <w:rPr>
          <w:rFonts w:hAnsi="標楷體" w:hint="eastAsia"/>
          <w:color w:val="000000" w:themeColor="text1"/>
        </w:rPr>
        <w:t>)</w:t>
      </w:r>
      <w:r w:rsidR="00C94D92" w:rsidRPr="00DA5594">
        <w:rPr>
          <w:rFonts w:hAnsi="標楷體" w:hint="eastAsia"/>
          <w:color w:val="000000" w:themeColor="text1"/>
        </w:rPr>
        <w:t>彙整表</w:t>
      </w:r>
    </w:p>
    <w:tbl>
      <w:tblPr>
        <w:tblStyle w:val="af6"/>
        <w:tblW w:w="0" w:type="auto"/>
        <w:tblInd w:w="-5" w:type="dxa"/>
        <w:tblCellMar>
          <w:top w:w="57" w:type="dxa"/>
          <w:left w:w="57" w:type="dxa"/>
          <w:bottom w:w="57" w:type="dxa"/>
          <w:right w:w="57" w:type="dxa"/>
        </w:tblCellMar>
        <w:tblLook w:val="04A0" w:firstRow="1" w:lastRow="0" w:firstColumn="1" w:lastColumn="0" w:noHBand="0" w:noVBand="1"/>
      </w:tblPr>
      <w:tblGrid>
        <w:gridCol w:w="709"/>
        <w:gridCol w:w="8080"/>
      </w:tblGrid>
      <w:tr w:rsidR="00DA5594" w:rsidRPr="00DA5594" w14:paraId="7FFB97EC" w14:textId="77777777" w:rsidTr="00784DF2">
        <w:trPr>
          <w:trHeight w:val="340"/>
          <w:tblHeader/>
        </w:trPr>
        <w:tc>
          <w:tcPr>
            <w:tcW w:w="709" w:type="dxa"/>
            <w:vAlign w:val="center"/>
          </w:tcPr>
          <w:p w14:paraId="50AEB392" w14:textId="77777777" w:rsidR="00E7321C" w:rsidRPr="00DA5594" w:rsidRDefault="00E7321C" w:rsidP="00C62D9B">
            <w:pPr>
              <w:pStyle w:val="4"/>
              <w:keepNext/>
              <w:keepLines/>
              <w:numPr>
                <w:ilvl w:val="0"/>
                <w:numId w:val="0"/>
              </w:numPr>
              <w:adjustRightInd w:val="0"/>
              <w:snapToGrid w:val="0"/>
              <w:spacing w:line="290" w:lineRule="exact"/>
              <w:jc w:val="center"/>
              <w:rPr>
                <w:color w:val="000000" w:themeColor="text1"/>
                <w:spacing w:val="-20"/>
                <w:sz w:val="28"/>
                <w:szCs w:val="28"/>
              </w:rPr>
            </w:pPr>
            <w:r w:rsidRPr="00DA5594">
              <w:rPr>
                <w:rFonts w:hint="eastAsia"/>
                <w:color w:val="000000" w:themeColor="text1"/>
                <w:spacing w:val="-20"/>
                <w:sz w:val="28"/>
                <w:szCs w:val="28"/>
              </w:rPr>
              <w:t>年度</w:t>
            </w:r>
          </w:p>
        </w:tc>
        <w:tc>
          <w:tcPr>
            <w:tcW w:w="8080" w:type="dxa"/>
            <w:vAlign w:val="center"/>
          </w:tcPr>
          <w:p w14:paraId="592BCA45" w14:textId="77777777" w:rsidR="00E7321C" w:rsidRPr="00DA5594" w:rsidRDefault="00E7321C" w:rsidP="00C62D9B">
            <w:pPr>
              <w:pStyle w:val="4"/>
              <w:keepNext/>
              <w:keepLines/>
              <w:numPr>
                <w:ilvl w:val="0"/>
                <w:numId w:val="0"/>
              </w:numPr>
              <w:adjustRightInd w:val="0"/>
              <w:snapToGrid w:val="0"/>
              <w:spacing w:line="290" w:lineRule="exact"/>
              <w:jc w:val="center"/>
              <w:rPr>
                <w:color w:val="000000" w:themeColor="text1"/>
                <w:spacing w:val="-20"/>
                <w:sz w:val="28"/>
                <w:szCs w:val="28"/>
              </w:rPr>
            </w:pPr>
            <w:r w:rsidRPr="00DA5594">
              <w:rPr>
                <w:rFonts w:hint="eastAsia"/>
                <w:color w:val="000000" w:themeColor="text1"/>
                <w:spacing w:val="-20"/>
                <w:sz w:val="28"/>
                <w:szCs w:val="28"/>
              </w:rPr>
              <w:t>內容(</w:t>
            </w:r>
            <w:proofErr w:type="gramStart"/>
            <w:r w:rsidRPr="00DA5594">
              <w:rPr>
                <w:rFonts w:hint="eastAsia"/>
                <w:color w:val="000000" w:themeColor="text1"/>
                <w:spacing w:val="-20"/>
                <w:sz w:val="28"/>
                <w:szCs w:val="28"/>
              </w:rPr>
              <w:t>原文照錄</w:t>
            </w:r>
            <w:proofErr w:type="gramEnd"/>
            <w:r w:rsidRPr="00DA5594">
              <w:rPr>
                <w:rFonts w:hint="eastAsia"/>
                <w:color w:val="000000" w:themeColor="text1"/>
                <w:spacing w:val="-20"/>
                <w:sz w:val="28"/>
                <w:szCs w:val="28"/>
              </w:rPr>
              <w:t>)</w:t>
            </w:r>
          </w:p>
        </w:tc>
      </w:tr>
      <w:tr w:rsidR="00DA5594" w:rsidRPr="00DA5594" w14:paraId="331037AA" w14:textId="77777777" w:rsidTr="009F60E8">
        <w:tc>
          <w:tcPr>
            <w:tcW w:w="709" w:type="dxa"/>
          </w:tcPr>
          <w:p w14:paraId="72003749"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hint="eastAsia"/>
                <w:color w:val="000000" w:themeColor="text1"/>
                <w:sz w:val="28"/>
                <w:szCs w:val="28"/>
              </w:rPr>
              <w:t>106</w:t>
            </w:r>
          </w:p>
        </w:tc>
        <w:tc>
          <w:tcPr>
            <w:tcW w:w="8080" w:type="dxa"/>
          </w:tcPr>
          <w:p w14:paraId="0D55E3C8"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106</w:t>
            </w:r>
            <w:proofErr w:type="gramEnd"/>
            <w:r w:rsidRPr="00DA5594">
              <w:rPr>
                <w:rFonts w:hAnsi="標楷體" w:hint="eastAsia"/>
                <w:color w:val="000000" w:themeColor="text1"/>
                <w:spacing w:val="-20"/>
                <w:sz w:val="24"/>
                <w:szCs w:val="24"/>
              </w:rPr>
              <w:t>年度共編列</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w:t>
            </w:r>
            <w:r w:rsidRPr="00DA5594">
              <w:rPr>
                <w:rFonts w:hAnsi="標楷體"/>
                <w:color w:val="000000" w:themeColor="text1"/>
                <w:spacing w:val="-20"/>
                <w:sz w:val="24"/>
                <w:szCs w:val="24"/>
              </w:rPr>
              <w:t>4,593</w:t>
            </w:r>
            <w:r w:rsidRPr="00DA5594">
              <w:rPr>
                <w:rFonts w:hAnsi="標楷體" w:hint="eastAsia"/>
                <w:color w:val="000000" w:themeColor="text1"/>
                <w:spacing w:val="-20"/>
                <w:sz w:val="24"/>
                <w:szCs w:val="24"/>
              </w:rPr>
              <w:t>億元，占歲入總額</w:t>
            </w:r>
            <w:r w:rsidRPr="00DA5594">
              <w:rPr>
                <w:rFonts w:hAnsi="標楷體"/>
                <w:color w:val="000000" w:themeColor="text1"/>
                <w:spacing w:val="-20"/>
                <w:sz w:val="24"/>
                <w:szCs w:val="24"/>
              </w:rPr>
              <w:t>79.1</w:t>
            </w:r>
            <w:r w:rsidRPr="00DA5594">
              <w:rPr>
                <w:rFonts w:hAnsi="標楷體" w:hint="eastAsia"/>
                <w:color w:val="000000" w:themeColor="text1"/>
                <w:spacing w:val="-20"/>
                <w:sz w:val="24"/>
                <w:szCs w:val="24"/>
              </w:rPr>
              <w:t>％，較上年度預算數</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w:t>
            </w:r>
            <w:r w:rsidRPr="00DA5594">
              <w:rPr>
                <w:rFonts w:hAnsi="標楷體"/>
                <w:color w:val="000000" w:themeColor="text1"/>
                <w:spacing w:val="-20"/>
                <w:sz w:val="24"/>
                <w:szCs w:val="24"/>
              </w:rPr>
              <w:t>4,400</w:t>
            </w:r>
            <w:r w:rsidRPr="00DA5594">
              <w:rPr>
                <w:rFonts w:hAnsi="標楷體" w:hint="eastAsia"/>
                <w:color w:val="000000" w:themeColor="text1"/>
                <w:spacing w:val="-20"/>
                <w:sz w:val="24"/>
                <w:szCs w:val="24"/>
              </w:rPr>
              <w:t>億元，增加</w:t>
            </w:r>
            <w:r w:rsidRPr="00DA5594">
              <w:rPr>
                <w:rFonts w:hAnsi="標楷體"/>
                <w:color w:val="000000" w:themeColor="text1"/>
                <w:spacing w:val="-20"/>
                <w:sz w:val="24"/>
                <w:szCs w:val="24"/>
              </w:rPr>
              <w:t>193</w:t>
            </w:r>
            <w:r w:rsidRPr="00DA5594">
              <w:rPr>
                <w:rFonts w:hAnsi="標楷體" w:hint="eastAsia"/>
                <w:color w:val="000000" w:themeColor="text1"/>
                <w:spacing w:val="-20"/>
                <w:sz w:val="24"/>
                <w:szCs w:val="24"/>
              </w:rPr>
              <w:t>億元，約增</w:t>
            </w:r>
            <w:r w:rsidRPr="00DA5594">
              <w:rPr>
                <w:rFonts w:hAnsi="標楷體"/>
                <w:color w:val="000000" w:themeColor="text1"/>
                <w:spacing w:val="-20"/>
                <w:sz w:val="24"/>
                <w:szCs w:val="24"/>
              </w:rPr>
              <w:t>1.3</w:t>
            </w:r>
            <w:r w:rsidRPr="00DA5594">
              <w:rPr>
                <w:rFonts w:hAnsi="標楷體" w:hint="eastAsia"/>
                <w:color w:val="000000" w:themeColor="text1"/>
                <w:spacing w:val="-20"/>
                <w:sz w:val="24"/>
                <w:szCs w:val="24"/>
              </w:rPr>
              <w:t>％，主要係增列所得稅</w:t>
            </w:r>
            <w:r w:rsidRPr="00DA5594">
              <w:rPr>
                <w:rFonts w:hAnsi="標楷體"/>
                <w:color w:val="000000" w:themeColor="text1"/>
                <w:spacing w:val="-20"/>
                <w:sz w:val="24"/>
                <w:szCs w:val="24"/>
              </w:rPr>
              <w:t>92</w:t>
            </w:r>
            <w:r w:rsidRPr="00DA5594">
              <w:rPr>
                <w:rFonts w:hAnsi="標楷體" w:hint="eastAsia"/>
                <w:color w:val="000000" w:themeColor="text1"/>
                <w:spacing w:val="-20"/>
                <w:sz w:val="24"/>
                <w:szCs w:val="24"/>
              </w:rPr>
              <w:t>億元、貨物稅</w:t>
            </w:r>
            <w:r w:rsidRPr="00DA5594">
              <w:rPr>
                <w:rFonts w:hAnsi="標楷體"/>
                <w:color w:val="000000" w:themeColor="text1"/>
                <w:spacing w:val="-20"/>
                <w:sz w:val="24"/>
                <w:szCs w:val="24"/>
              </w:rPr>
              <w:t>71</w:t>
            </w:r>
            <w:r w:rsidRPr="00DA5594">
              <w:rPr>
                <w:rFonts w:hAnsi="標楷體" w:hint="eastAsia"/>
                <w:color w:val="000000" w:themeColor="text1"/>
                <w:spacing w:val="-20"/>
                <w:sz w:val="24"/>
                <w:szCs w:val="24"/>
              </w:rPr>
              <w:t>億元、關稅</w:t>
            </w:r>
            <w:r w:rsidRPr="00DA5594">
              <w:rPr>
                <w:rFonts w:hAnsi="標楷體"/>
                <w:color w:val="000000" w:themeColor="text1"/>
                <w:spacing w:val="-20"/>
                <w:sz w:val="24"/>
                <w:szCs w:val="24"/>
              </w:rPr>
              <w:t>10</w:t>
            </w:r>
            <w:r w:rsidRPr="00DA5594">
              <w:rPr>
                <w:rFonts w:hAnsi="標楷體" w:hint="eastAsia"/>
                <w:color w:val="000000" w:themeColor="text1"/>
                <w:spacing w:val="-20"/>
                <w:sz w:val="24"/>
                <w:szCs w:val="24"/>
              </w:rPr>
              <w:t>億元及營業稅</w:t>
            </w: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億元等所致。</w:t>
            </w:r>
          </w:p>
        </w:tc>
      </w:tr>
      <w:tr w:rsidR="00DA5594" w:rsidRPr="00DA5594" w14:paraId="2737E60C" w14:textId="77777777" w:rsidTr="009F60E8">
        <w:tc>
          <w:tcPr>
            <w:tcW w:w="709" w:type="dxa"/>
            <w:vAlign w:val="center"/>
          </w:tcPr>
          <w:p w14:paraId="10343D97"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t>107</w:t>
            </w:r>
          </w:p>
        </w:tc>
        <w:tc>
          <w:tcPr>
            <w:tcW w:w="8080" w:type="dxa"/>
          </w:tcPr>
          <w:p w14:paraId="3F2B929C"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10</w:t>
            </w:r>
            <w:r w:rsidRPr="00DA5594">
              <w:rPr>
                <w:rFonts w:hAnsi="標楷體" w:hint="eastAsia"/>
                <w:color w:val="000000" w:themeColor="text1"/>
                <w:spacing w:val="-20"/>
                <w:sz w:val="24"/>
                <w:szCs w:val="24"/>
              </w:rPr>
              <w:t>7</w:t>
            </w:r>
            <w:proofErr w:type="gramEnd"/>
            <w:r w:rsidRPr="00DA5594">
              <w:rPr>
                <w:rFonts w:hAnsi="標楷體" w:hint="eastAsia"/>
                <w:color w:val="000000" w:themeColor="text1"/>
                <w:spacing w:val="-20"/>
                <w:sz w:val="24"/>
                <w:szCs w:val="24"/>
              </w:rPr>
              <w:t>年度共編列</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兆5</w:t>
            </w:r>
            <w:r w:rsidRPr="00DA5594">
              <w:rPr>
                <w:rFonts w:hAnsi="標楷體"/>
                <w:color w:val="000000" w:themeColor="text1"/>
                <w:spacing w:val="-20"/>
                <w:sz w:val="24"/>
                <w:szCs w:val="24"/>
              </w:rPr>
              <w:t>,5</w:t>
            </w:r>
            <w:r w:rsidRPr="00DA5594">
              <w:rPr>
                <w:rFonts w:hAnsi="標楷體" w:hint="eastAsia"/>
                <w:color w:val="000000" w:themeColor="text1"/>
                <w:spacing w:val="-20"/>
                <w:sz w:val="24"/>
                <w:szCs w:val="24"/>
              </w:rPr>
              <w:t>75億元，占歲入總額82.1％，較上年度預算數</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w:t>
            </w:r>
            <w:r w:rsidRPr="00DA5594">
              <w:rPr>
                <w:rFonts w:hAnsi="標楷體"/>
                <w:color w:val="000000" w:themeColor="text1"/>
                <w:spacing w:val="-20"/>
                <w:sz w:val="24"/>
                <w:szCs w:val="24"/>
              </w:rPr>
              <w:t>4,</w:t>
            </w:r>
            <w:r w:rsidRPr="00DA5594">
              <w:rPr>
                <w:rFonts w:hAnsi="標楷體" w:hint="eastAsia"/>
                <w:color w:val="000000" w:themeColor="text1"/>
                <w:spacing w:val="-20"/>
                <w:sz w:val="24"/>
                <w:szCs w:val="24"/>
              </w:rPr>
              <w:t>693億元，增加882億元，約增6</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0％，</w:t>
            </w:r>
            <w:proofErr w:type="gramStart"/>
            <w:r w:rsidRPr="00DA5594">
              <w:rPr>
                <w:rFonts w:hAnsi="標楷體" w:hint="eastAsia"/>
                <w:color w:val="000000" w:themeColor="text1"/>
                <w:spacing w:val="-20"/>
                <w:sz w:val="24"/>
                <w:szCs w:val="24"/>
              </w:rPr>
              <w:t>主要係減列</w:t>
            </w:r>
            <w:proofErr w:type="gramEnd"/>
            <w:r w:rsidRPr="00DA5594">
              <w:rPr>
                <w:rFonts w:hAnsi="標楷體" w:hint="eastAsia"/>
                <w:color w:val="000000" w:themeColor="text1"/>
                <w:spacing w:val="-20"/>
                <w:sz w:val="24"/>
                <w:szCs w:val="24"/>
              </w:rPr>
              <w:t>貨物稅141億元、證券交易稅84億元，另增列所得稅1,057億元、營業稅61億元。</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05A452D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營利事業所得稅：以結算、暫繳及未分配盈餘申報自繳稅額及查核補徵稅額為基礎，</w:t>
            </w:r>
            <w:proofErr w:type="gramStart"/>
            <w:r w:rsidRPr="00DA5594">
              <w:rPr>
                <w:rFonts w:hAnsi="標楷體" w:hint="eastAsia"/>
                <w:color w:val="000000" w:themeColor="text1"/>
                <w:spacing w:val="-20"/>
                <w:sz w:val="24"/>
                <w:szCs w:val="24"/>
              </w:rPr>
              <w:t>參據上市</w:t>
            </w:r>
            <w:proofErr w:type="gramEnd"/>
            <w:r w:rsidRPr="00DA5594">
              <w:rPr>
                <w:rFonts w:hAnsi="標楷體" w:hint="eastAsia"/>
                <w:color w:val="000000" w:themeColor="text1"/>
                <w:spacing w:val="-20"/>
                <w:sz w:val="24"/>
                <w:szCs w:val="24"/>
              </w:rPr>
              <w:t>(櫃)公司淨利及經濟成長率，並加計房地合一課徵所得稅收入後，編列4,654億元。</w:t>
            </w:r>
          </w:p>
          <w:p w14:paraId="0C0A2E9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綜合所得稅：以結算申報稅收淨額、扣繳稅額及核定補徵稅額為基礎，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成長率，並加計房地合一課徵所得稅收入後，編列4,587億元。</w:t>
            </w:r>
          </w:p>
          <w:p w14:paraId="7DA90FD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w:t>
            </w:r>
            <w:proofErr w:type="gramStart"/>
            <w:r w:rsidRPr="00DA5594">
              <w:rPr>
                <w:rFonts w:hAnsi="標楷體" w:hint="eastAsia"/>
                <w:color w:val="000000" w:themeColor="text1"/>
                <w:spacing w:val="-20"/>
                <w:sz w:val="24"/>
                <w:szCs w:val="24"/>
              </w:rPr>
              <w:t>105</w:t>
            </w:r>
            <w:proofErr w:type="gramEnd"/>
            <w:r w:rsidRPr="00DA5594">
              <w:rPr>
                <w:rFonts w:hAnsi="標楷體" w:hint="eastAsia"/>
                <w:color w:val="000000" w:themeColor="text1"/>
                <w:spacing w:val="-20"/>
                <w:sz w:val="24"/>
                <w:szCs w:val="24"/>
              </w:rPr>
              <w:t>年度實徵數為基礎，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成長率，編列2,216億元。</w:t>
            </w:r>
          </w:p>
          <w:p w14:paraId="59D1C0E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貨物稅：基於穩健，以編列時稅收狀況為基礎，編列1,534億元。</w:t>
            </w:r>
          </w:p>
          <w:p w14:paraId="5EE1A23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關稅：綜合考量經濟成長帶動關稅收入增加及</w:t>
            </w:r>
            <w:proofErr w:type="gramStart"/>
            <w:r w:rsidRPr="00DA5594">
              <w:rPr>
                <w:rFonts w:hAnsi="標楷體" w:hint="eastAsia"/>
                <w:color w:val="000000" w:themeColor="text1"/>
                <w:spacing w:val="-20"/>
                <w:sz w:val="24"/>
                <w:szCs w:val="24"/>
              </w:rPr>
              <w:t>臺紐</w:t>
            </w:r>
            <w:proofErr w:type="gramEnd"/>
            <w:r w:rsidRPr="00DA5594">
              <w:rPr>
                <w:rFonts w:hAnsi="標楷體" w:hint="eastAsia"/>
                <w:color w:val="000000" w:themeColor="text1"/>
                <w:spacing w:val="-20"/>
                <w:sz w:val="24"/>
                <w:szCs w:val="24"/>
              </w:rPr>
              <w:t>、</w:t>
            </w:r>
            <w:proofErr w:type="gramStart"/>
            <w:r w:rsidRPr="00DA5594">
              <w:rPr>
                <w:rFonts w:hAnsi="標楷體" w:hint="eastAsia"/>
                <w:color w:val="000000" w:themeColor="text1"/>
                <w:spacing w:val="-20"/>
                <w:sz w:val="24"/>
                <w:szCs w:val="24"/>
              </w:rPr>
              <w:t>臺</w:t>
            </w:r>
            <w:proofErr w:type="gramEnd"/>
            <w:r w:rsidRPr="00DA5594">
              <w:rPr>
                <w:rFonts w:hAnsi="標楷體" w:hint="eastAsia"/>
                <w:color w:val="000000" w:themeColor="text1"/>
                <w:spacing w:val="-20"/>
                <w:sz w:val="24"/>
                <w:szCs w:val="24"/>
              </w:rPr>
              <w:t>星經濟合作協議、世界貿易組織(WTO)資訊科技協定擴大談判關稅減讓貨品調降關稅、太陽光電模組用材料免徵關稅稅收損失等因素，編列1,145億元。</w:t>
            </w:r>
          </w:p>
          <w:p w14:paraId="11186149"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6</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遺產及贈與稅：遺產稅及</w:t>
            </w:r>
            <w:proofErr w:type="gramStart"/>
            <w:r w:rsidRPr="00DA5594">
              <w:rPr>
                <w:rFonts w:hAnsi="標楷體" w:hint="eastAsia"/>
                <w:color w:val="000000" w:themeColor="text1"/>
                <w:spacing w:val="-20"/>
                <w:sz w:val="24"/>
                <w:szCs w:val="24"/>
              </w:rPr>
              <w:t>贈與稅均具機會</w:t>
            </w:r>
            <w:proofErr w:type="gramEnd"/>
            <w:r w:rsidRPr="00DA5594">
              <w:rPr>
                <w:rFonts w:hAnsi="標楷體" w:hint="eastAsia"/>
                <w:color w:val="000000" w:themeColor="text1"/>
                <w:spacing w:val="-20"/>
                <w:sz w:val="24"/>
                <w:szCs w:val="24"/>
              </w:rPr>
              <w:t>稅性質，基於穩健，按上年度預算數編列125億元。</w:t>
            </w:r>
          </w:p>
          <w:p w14:paraId="6F58F06E"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7</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證券交易稅：以預估</w:t>
            </w:r>
            <w:proofErr w:type="gramStart"/>
            <w:r w:rsidRPr="00DA5594">
              <w:rPr>
                <w:rFonts w:hAnsi="標楷體" w:hint="eastAsia"/>
                <w:color w:val="000000" w:themeColor="text1"/>
                <w:spacing w:val="-20"/>
                <w:sz w:val="24"/>
                <w:szCs w:val="24"/>
              </w:rPr>
              <w:t>107</w:t>
            </w:r>
            <w:proofErr w:type="gramEnd"/>
            <w:r w:rsidRPr="00DA5594">
              <w:rPr>
                <w:rFonts w:hAnsi="標楷體" w:hint="eastAsia"/>
                <w:color w:val="000000" w:themeColor="text1"/>
                <w:spacing w:val="-20"/>
                <w:sz w:val="24"/>
                <w:szCs w:val="24"/>
              </w:rPr>
              <w:t>年度證券交易日平均成交值為基礎，</w:t>
            </w:r>
            <w:proofErr w:type="gramStart"/>
            <w:r w:rsidRPr="00DA5594">
              <w:rPr>
                <w:rFonts w:hAnsi="標楷體" w:hint="eastAsia"/>
                <w:color w:val="000000" w:themeColor="text1"/>
                <w:spacing w:val="-20"/>
                <w:sz w:val="24"/>
                <w:szCs w:val="24"/>
              </w:rPr>
              <w:t>參據編列</w:t>
            </w:r>
            <w:proofErr w:type="gramEnd"/>
            <w:r w:rsidRPr="00DA5594">
              <w:rPr>
                <w:rFonts w:hAnsi="標楷體" w:hint="eastAsia"/>
                <w:color w:val="000000" w:themeColor="text1"/>
                <w:spacing w:val="-20"/>
                <w:sz w:val="24"/>
                <w:szCs w:val="24"/>
              </w:rPr>
              <w:t>時稅收狀況，按年度交易日數、非當沖與當沖稅率、證券市場非當沖交易量與當沖交易量占市場交易量比重等評估，編列893億元。</w:t>
            </w:r>
          </w:p>
          <w:p w14:paraId="420C8DAB"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8</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期貨交易稅：基於穩健，按上年度預算數編列40億元。</w:t>
            </w:r>
          </w:p>
          <w:p w14:paraId="76A3AD9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9</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菸酒稅：菸酒消費量受</w:t>
            </w:r>
            <w:proofErr w:type="gramStart"/>
            <w:r w:rsidRPr="00DA5594">
              <w:rPr>
                <w:rFonts w:hAnsi="標楷體" w:hint="eastAsia"/>
                <w:color w:val="000000" w:themeColor="text1"/>
                <w:spacing w:val="-20"/>
                <w:sz w:val="24"/>
                <w:szCs w:val="24"/>
              </w:rPr>
              <w:t>菸</w:t>
            </w:r>
            <w:proofErr w:type="gramEnd"/>
            <w:r w:rsidRPr="00DA5594">
              <w:rPr>
                <w:rFonts w:hAnsi="標楷體" w:hint="eastAsia"/>
                <w:color w:val="000000" w:themeColor="text1"/>
                <w:spacing w:val="-20"/>
                <w:sz w:val="24"/>
                <w:szCs w:val="24"/>
              </w:rPr>
              <w:t>品應徵稅額調增、經濟成長及衛生福利部政策等因素交互影響，基於穩健，按上年度預算數編列365億元。</w:t>
            </w:r>
          </w:p>
          <w:p w14:paraId="0046625B"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特種貨物及勞務稅：基於穩健，以編列時稅收狀況為基礎，編列16億元。</w:t>
            </w:r>
          </w:p>
        </w:tc>
      </w:tr>
      <w:tr w:rsidR="00DA5594" w:rsidRPr="00DA5594" w14:paraId="7E8F8EDF" w14:textId="77777777" w:rsidTr="009F60E8">
        <w:tc>
          <w:tcPr>
            <w:tcW w:w="709" w:type="dxa"/>
            <w:vAlign w:val="center"/>
          </w:tcPr>
          <w:p w14:paraId="26811B8D"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lastRenderedPageBreak/>
              <w:t>108</w:t>
            </w:r>
          </w:p>
        </w:tc>
        <w:tc>
          <w:tcPr>
            <w:tcW w:w="8080" w:type="dxa"/>
          </w:tcPr>
          <w:p w14:paraId="420AB322"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proofErr w:type="gramStart"/>
            <w:r w:rsidRPr="00DA5594">
              <w:rPr>
                <w:rFonts w:hAnsi="標楷體"/>
                <w:color w:val="000000" w:themeColor="text1"/>
                <w:spacing w:val="-20"/>
                <w:sz w:val="24"/>
                <w:szCs w:val="24"/>
              </w:rPr>
              <w:t>10</w:t>
            </w:r>
            <w:r w:rsidRPr="00DA5594">
              <w:rPr>
                <w:rFonts w:hAnsi="標楷體" w:hint="eastAsia"/>
                <w:color w:val="000000" w:themeColor="text1"/>
                <w:spacing w:val="-20"/>
                <w:sz w:val="24"/>
                <w:szCs w:val="24"/>
              </w:rPr>
              <w:t>8</w:t>
            </w:r>
            <w:proofErr w:type="gramEnd"/>
            <w:r w:rsidRPr="00DA5594">
              <w:rPr>
                <w:rFonts w:hAnsi="標楷體" w:hint="eastAsia"/>
                <w:color w:val="000000" w:themeColor="text1"/>
                <w:spacing w:val="-20"/>
                <w:sz w:val="24"/>
                <w:szCs w:val="24"/>
              </w:rPr>
              <w:t>年度共編列</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兆6</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321億元，占歲入總額82.6％，較上年度預算數</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775億元，增加546億元，約增3.5％，主要係增列所得稅207億元、證券交易稅137億元、營業稅118億元、貨物稅88億元。</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2F87010F"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營利事業所得稅：以結算、暫繳及未分配盈餘申報自繳稅額及查核補徵稅額為基礎，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成長率，納入稅制調整因素，編列5,370億元。</w:t>
            </w:r>
          </w:p>
          <w:p w14:paraId="694070E4"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綜合所得稅：以結算申報稅收淨額、扣繳稅額及核定補徵稅額為基礎，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成長率，納入稅制調整因素，編列4,110億元。</w:t>
            </w:r>
          </w:p>
          <w:p w14:paraId="6837CFD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營業稅：以預估</w:t>
            </w:r>
            <w:proofErr w:type="gramStart"/>
            <w:r w:rsidRPr="00DA5594">
              <w:rPr>
                <w:rFonts w:hAnsi="標楷體" w:hint="eastAsia"/>
                <w:color w:val="000000" w:themeColor="text1"/>
                <w:spacing w:val="-20"/>
                <w:sz w:val="24"/>
                <w:szCs w:val="24"/>
              </w:rPr>
              <w:t>107年度可徵起</w:t>
            </w:r>
            <w:proofErr w:type="gramEnd"/>
            <w:r w:rsidRPr="00DA5594">
              <w:rPr>
                <w:rFonts w:hAnsi="標楷體" w:hint="eastAsia"/>
                <w:color w:val="000000" w:themeColor="text1"/>
                <w:spacing w:val="-20"/>
                <w:sz w:val="24"/>
                <w:szCs w:val="24"/>
              </w:rPr>
              <w:t>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成長率，編列2,398億元。</w:t>
            </w:r>
          </w:p>
          <w:p w14:paraId="402E46D9"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貨物稅：參酌編列時稅收狀況及經濟成長因素，編列1,622億元。</w:t>
            </w:r>
          </w:p>
          <w:p w14:paraId="4A60CC72"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關稅：綜合考量經濟成長帶動關稅收入增加及</w:t>
            </w:r>
            <w:proofErr w:type="gramStart"/>
            <w:r w:rsidRPr="00DA5594">
              <w:rPr>
                <w:rFonts w:hAnsi="標楷體" w:hint="eastAsia"/>
                <w:color w:val="000000" w:themeColor="text1"/>
                <w:spacing w:val="-20"/>
                <w:sz w:val="24"/>
                <w:szCs w:val="24"/>
              </w:rPr>
              <w:t>臺紐</w:t>
            </w:r>
            <w:proofErr w:type="gramEnd"/>
            <w:r w:rsidRPr="00DA5594">
              <w:rPr>
                <w:rFonts w:hAnsi="標楷體" w:hint="eastAsia"/>
                <w:color w:val="000000" w:themeColor="text1"/>
                <w:spacing w:val="-20"/>
                <w:sz w:val="24"/>
                <w:szCs w:val="24"/>
              </w:rPr>
              <w:t>、</w:t>
            </w:r>
            <w:proofErr w:type="gramStart"/>
            <w:r w:rsidRPr="00DA5594">
              <w:rPr>
                <w:rFonts w:hAnsi="標楷體" w:hint="eastAsia"/>
                <w:color w:val="000000" w:themeColor="text1"/>
                <w:spacing w:val="-20"/>
                <w:sz w:val="24"/>
                <w:szCs w:val="24"/>
              </w:rPr>
              <w:t>臺</w:t>
            </w:r>
            <w:proofErr w:type="gramEnd"/>
            <w:r w:rsidRPr="00DA5594">
              <w:rPr>
                <w:rFonts w:hAnsi="標楷體" w:hint="eastAsia"/>
                <w:color w:val="000000" w:themeColor="text1"/>
                <w:spacing w:val="-20"/>
                <w:sz w:val="24"/>
                <w:szCs w:val="24"/>
              </w:rPr>
              <w:t>星經濟合作協議、世界貿易組織(WTO)資訊科技協定擴大談判關稅減讓貨品調降關稅等因素，編列1,165億元。</w:t>
            </w:r>
          </w:p>
          <w:p w14:paraId="7E90148A"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6</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遺產及贈與稅：遺產稅及</w:t>
            </w:r>
            <w:proofErr w:type="gramStart"/>
            <w:r w:rsidRPr="00DA5594">
              <w:rPr>
                <w:rFonts w:hAnsi="標楷體" w:hint="eastAsia"/>
                <w:color w:val="000000" w:themeColor="text1"/>
                <w:spacing w:val="-20"/>
                <w:sz w:val="24"/>
                <w:szCs w:val="24"/>
              </w:rPr>
              <w:t>贈與稅均具機會</w:t>
            </w:r>
            <w:proofErr w:type="gramEnd"/>
            <w:r w:rsidRPr="00DA5594">
              <w:rPr>
                <w:rFonts w:hAnsi="標楷體" w:hint="eastAsia"/>
                <w:color w:val="000000" w:themeColor="text1"/>
                <w:spacing w:val="-20"/>
                <w:sz w:val="24"/>
                <w:szCs w:val="24"/>
              </w:rPr>
              <w:t>稅性質，基於穩健，按上年度預算數編列125億元。</w:t>
            </w:r>
          </w:p>
          <w:p w14:paraId="7870FE3F"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7</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證券交易稅：參酌編列時稅收狀況，以預估</w:t>
            </w:r>
            <w:proofErr w:type="gramStart"/>
            <w:r w:rsidRPr="00DA5594">
              <w:rPr>
                <w:rFonts w:hAnsi="標楷體" w:hint="eastAsia"/>
                <w:color w:val="000000" w:themeColor="text1"/>
                <w:spacing w:val="-20"/>
                <w:sz w:val="24"/>
                <w:szCs w:val="24"/>
              </w:rPr>
              <w:t>107</w:t>
            </w:r>
            <w:proofErr w:type="gramEnd"/>
            <w:r w:rsidRPr="00DA5594">
              <w:rPr>
                <w:rFonts w:hAnsi="標楷體" w:hint="eastAsia"/>
                <w:color w:val="000000" w:themeColor="text1"/>
                <w:spacing w:val="-20"/>
                <w:sz w:val="24"/>
                <w:szCs w:val="24"/>
              </w:rPr>
              <w:t>年度證券交易日平均成交值為基礎，按年度交易日數、非當沖與當沖稅率、證券市場非當沖交易量與當沖交易量占市場交易量比重，編列 1,129億元。</w:t>
            </w:r>
          </w:p>
          <w:p w14:paraId="21D6AA81"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8</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期貨交易稅：基於穩健，以預估</w:t>
            </w:r>
            <w:proofErr w:type="gramStart"/>
            <w:r w:rsidRPr="00DA5594">
              <w:rPr>
                <w:rFonts w:hAnsi="標楷體" w:hint="eastAsia"/>
                <w:color w:val="000000" w:themeColor="text1"/>
                <w:spacing w:val="-20"/>
                <w:sz w:val="24"/>
                <w:szCs w:val="24"/>
              </w:rPr>
              <w:t>107年度可徵起</w:t>
            </w:r>
            <w:proofErr w:type="gramEnd"/>
            <w:r w:rsidRPr="00DA5594">
              <w:rPr>
                <w:rFonts w:hAnsi="標楷體" w:hint="eastAsia"/>
                <w:color w:val="000000" w:themeColor="text1"/>
                <w:spacing w:val="-20"/>
                <w:sz w:val="24"/>
                <w:szCs w:val="24"/>
              </w:rPr>
              <w:t>數為基礎，編列45億元。</w:t>
            </w:r>
          </w:p>
          <w:p w14:paraId="4357D4D4"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9</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菸酒稅：基於穩健，參酌編列時稅收狀況，編列335億元。</w:t>
            </w:r>
          </w:p>
          <w:p w14:paraId="1B8CAB2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10.特種貨物及勞務稅：基於穩健，以</w:t>
            </w:r>
            <w:proofErr w:type="gramStart"/>
            <w:r w:rsidRPr="00DA5594">
              <w:rPr>
                <w:rFonts w:hAnsi="標楷體" w:hint="eastAsia"/>
                <w:color w:val="000000" w:themeColor="text1"/>
                <w:spacing w:val="-20"/>
                <w:sz w:val="24"/>
                <w:szCs w:val="24"/>
              </w:rPr>
              <w:t>106</w:t>
            </w:r>
            <w:proofErr w:type="gramEnd"/>
            <w:r w:rsidRPr="00DA5594">
              <w:rPr>
                <w:rFonts w:hAnsi="標楷體" w:hint="eastAsia"/>
                <w:color w:val="000000" w:themeColor="text1"/>
                <w:spacing w:val="-20"/>
                <w:sz w:val="24"/>
                <w:szCs w:val="24"/>
              </w:rPr>
              <w:t>年度實徵數為基礎，編列22億元。</w:t>
            </w:r>
          </w:p>
        </w:tc>
      </w:tr>
      <w:tr w:rsidR="00DA5594" w:rsidRPr="00DA5594" w14:paraId="63824194" w14:textId="77777777" w:rsidTr="009F60E8">
        <w:tc>
          <w:tcPr>
            <w:tcW w:w="709" w:type="dxa"/>
            <w:vAlign w:val="center"/>
          </w:tcPr>
          <w:p w14:paraId="646903AF"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t>109</w:t>
            </w:r>
          </w:p>
        </w:tc>
        <w:tc>
          <w:tcPr>
            <w:tcW w:w="8080" w:type="dxa"/>
          </w:tcPr>
          <w:p w14:paraId="2BBF4863"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109</w:t>
            </w:r>
            <w:proofErr w:type="gramEnd"/>
            <w:r w:rsidRPr="00DA5594">
              <w:rPr>
                <w:rFonts w:hAnsi="標楷體" w:hint="eastAsia"/>
                <w:color w:val="000000" w:themeColor="text1"/>
                <w:spacing w:val="-20"/>
                <w:sz w:val="24"/>
                <w:szCs w:val="24"/>
              </w:rPr>
              <w:t>年度共編列</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兆6</w:t>
            </w:r>
            <w:r w:rsidRPr="00DA5594">
              <w:rPr>
                <w:rFonts w:hAnsi="標楷體"/>
                <w:color w:val="000000" w:themeColor="text1"/>
                <w:spacing w:val="-20"/>
                <w:sz w:val="24"/>
                <w:szCs w:val="24"/>
              </w:rPr>
              <w:t>,796</w:t>
            </w:r>
            <w:r w:rsidRPr="00DA5594">
              <w:rPr>
                <w:rFonts w:hAnsi="標楷體" w:hint="eastAsia"/>
                <w:color w:val="000000" w:themeColor="text1"/>
                <w:spacing w:val="-20"/>
                <w:sz w:val="24"/>
                <w:szCs w:val="24"/>
              </w:rPr>
              <w:t>億元，占歲入總額</w:t>
            </w:r>
            <w:r w:rsidRPr="00DA5594">
              <w:rPr>
                <w:rFonts w:hAnsi="標楷體"/>
                <w:color w:val="000000" w:themeColor="text1"/>
                <w:spacing w:val="-20"/>
                <w:sz w:val="24"/>
                <w:szCs w:val="24"/>
              </w:rPr>
              <w:t>79.9</w:t>
            </w:r>
            <w:r w:rsidRPr="00DA5594">
              <w:rPr>
                <w:rFonts w:hAnsi="標楷體" w:hint="eastAsia"/>
                <w:color w:val="000000" w:themeColor="text1"/>
                <w:spacing w:val="-20"/>
                <w:sz w:val="24"/>
                <w:szCs w:val="24"/>
              </w:rPr>
              <w:t>％，較上年度預算數</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兆6</w:t>
            </w:r>
            <w:r w:rsidRPr="00DA5594">
              <w:rPr>
                <w:rFonts w:hAnsi="標楷體"/>
                <w:color w:val="000000" w:themeColor="text1"/>
                <w:spacing w:val="-20"/>
                <w:sz w:val="24"/>
                <w:szCs w:val="24"/>
              </w:rPr>
              <w:t>,471</w:t>
            </w:r>
            <w:r w:rsidRPr="00DA5594">
              <w:rPr>
                <w:rFonts w:hAnsi="標楷體" w:hint="eastAsia"/>
                <w:color w:val="000000" w:themeColor="text1"/>
                <w:spacing w:val="-20"/>
                <w:sz w:val="24"/>
                <w:szCs w:val="24"/>
              </w:rPr>
              <w:t>億元，增加3</w:t>
            </w:r>
            <w:r w:rsidRPr="00DA5594">
              <w:rPr>
                <w:rFonts w:hAnsi="標楷體"/>
                <w:color w:val="000000" w:themeColor="text1"/>
                <w:spacing w:val="-20"/>
                <w:sz w:val="24"/>
                <w:szCs w:val="24"/>
              </w:rPr>
              <w:t>25</w:t>
            </w:r>
            <w:r w:rsidRPr="00DA5594">
              <w:rPr>
                <w:rFonts w:hAnsi="標楷體" w:hint="eastAsia"/>
                <w:color w:val="000000" w:themeColor="text1"/>
                <w:spacing w:val="-20"/>
                <w:sz w:val="24"/>
                <w:szCs w:val="24"/>
              </w:rPr>
              <w:t>億元，約增2％，主要係增列所得稅4</w:t>
            </w:r>
            <w:r w:rsidRPr="00DA5594">
              <w:rPr>
                <w:rFonts w:hAnsi="標楷體"/>
                <w:color w:val="000000" w:themeColor="text1"/>
                <w:spacing w:val="-20"/>
                <w:sz w:val="24"/>
                <w:szCs w:val="24"/>
              </w:rPr>
              <w:t>05</w:t>
            </w:r>
            <w:r w:rsidRPr="00DA5594">
              <w:rPr>
                <w:rFonts w:hAnsi="標楷體" w:hint="eastAsia"/>
                <w:color w:val="000000" w:themeColor="text1"/>
                <w:spacing w:val="-20"/>
                <w:sz w:val="24"/>
                <w:szCs w:val="24"/>
              </w:rPr>
              <w:t>億元等所致。</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6448C27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營利事業所得稅：以結算、暫繳及未分配盈餘申報自繳稅額及查核補徵稅額為基礎，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成長率，納入稅制調整因素，編列5,750億元。</w:t>
            </w:r>
          </w:p>
          <w:p w14:paraId="5658905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w:t>
            </w:r>
            <w:r w:rsidRPr="00DA5594">
              <w:rPr>
                <w:rFonts w:hAnsi="標楷體"/>
                <w:color w:val="000000" w:themeColor="text1"/>
                <w:spacing w:val="-20"/>
                <w:sz w:val="24"/>
                <w:szCs w:val="24"/>
              </w:rPr>
              <w:t>以結算申報稅收淨額、扣繳稅額及核定補徵稅額為基礎，</w:t>
            </w:r>
            <w:proofErr w:type="gramStart"/>
            <w:r w:rsidRPr="00DA5594">
              <w:rPr>
                <w:rFonts w:hAnsi="標楷體"/>
                <w:color w:val="000000" w:themeColor="text1"/>
                <w:spacing w:val="-20"/>
                <w:sz w:val="24"/>
                <w:szCs w:val="24"/>
              </w:rPr>
              <w:t>參</w:t>
            </w:r>
            <w:r w:rsidRPr="00DA5594">
              <w:rPr>
                <w:rFonts w:hAnsi="標楷體" w:hint="eastAsia"/>
                <w:color w:val="000000" w:themeColor="text1"/>
                <w:spacing w:val="-20"/>
                <w:sz w:val="24"/>
                <w:szCs w:val="24"/>
              </w:rPr>
              <w:t>據</w:t>
            </w:r>
            <w:r w:rsidRPr="00DA5594">
              <w:rPr>
                <w:rFonts w:hAnsi="標楷體"/>
                <w:color w:val="000000" w:themeColor="text1"/>
                <w:spacing w:val="-20"/>
                <w:sz w:val="24"/>
                <w:szCs w:val="24"/>
              </w:rPr>
              <w:t>經濟</w:t>
            </w:r>
            <w:proofErr w:type="gramEnd"/>
            <w:r w:rsidRPr="00DA5594">
              <w:rPr>
                <w:rFonts w:hAnsi="標楷體"/>
                <w:color w:val="000000" w:themeColor="text1"/>
                <w:spacing w:val="-20"/>
                <w:sz w:val="24"/>
                <w:szCs w:val="24"/>
              </w:rPr>
              <w:t>成長率，納入稅制調整因素，編列</w:t>
            </w:r>
            <w:r w:rsidRPr="00DA5594">
              <w:rPr>
                <w:rFonts w:hAnsi="標楷體" w:hint="eastAsia"/>
                <w:color w:val="000000" w:themeColor="text1"/>
                <w:spacing w:val="-20"/>
                <w:sz w:val="24"/>
                <w:szCs w:val="24"/>
              </w:rPr>
              <w:t>4,225</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1EA730C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w:t>
            </w:r>
            <w:proofErr w:type="gramStart"/>
            <w:r w:rsidRPr="00DA5594">
              <w:rPr>
                <w:rFonts w:hAnsi="標楷體"/>
                <w:color w:val="000000" w:themeColor="text1"/>
                <w:spacing w:val="-20"/>
                <w:sz w:val="24"/>
                <w:szCs w:val="24"/>
              </w:rPr>
              <w:t>107</w:t>
            </w:r>
            <w:proofErr w:type="gramEnd"/>
            <w:r w:rsidRPr="00DA5594">
              <w:rPr>
                <w:rFonts w:hAnsi="標楷體" w:hint="eastAsia"/>
                <w:color w:val="000000" w:themeColor="text1"/>
                <w:spacing w:val="-20"/>
                <w:sz w:val="24"/>
                <w:szCs w:val="24"/>
              </w:rPr>
              <w:t>年度實徵數為基礎，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w:t>
            </w:r>
            <w:r w:rsidRPr="00DA5594">
              <w:rPr>
                <w:rFonts w:hAnsi="標楷體"/>
                <w:color w:val="000000" w:themeColor="text1"/>
                <w:spacing w:val="-20"/>
                <w:sz w:val="24"/>
                <w:szCs w:val="24"/>
              </w:rPr>
              <w:t>2,41</w:t>
            </w: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0F0718D7"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貨物稅：考量近年稅收情況變動較大，按近年實徵數及</w:t>
            </w:r>
            <w:proofErr w:type="gramStart"/>
            <w:r w:rsidRPr="00DA5594">
              <w:rPr>
                <w:rFonts w:hAnsi="標楷體" w:hint="eastAsia"/>
                <w:color w:val="000000" w:themeColor="text1"/>
                <w:spacing w:val="-20"/>
                <w:sz w:val="24"/>
                <w:szCs w:val="24"/>
              </w:rPr>
              <w:t>108</w:t>
            </w:r>
            <w:proofErr w:type="gramEnd"/>
            <w:r w:rsidRPr="00DA5594">
              <w:rPr>
                <w:rFonts w:hAnsi="標楷體" w:hint="eastAsia"/>
                <w:color w:val="000000" w:themeColor="text1"/>
                <w:spacing w:val="-20"/>
                <w:sz w:val="24"/>
                <w:szCs w:val="24"/>
              </w:rPr>
              <w:t>年度</w:t>
            </w:r>
            <w:proofErr w:type="gramStart"/>
            <w:r w:rsidRPr="00DA5594">
              <w:rPr>
                <w:rFonts w:hAnsi="標楷體" w:hint="eastAsia"/>
                <w:color w:val="000000" w:themeColor="text1"/>
                <w:spacing w:val="-20"/>
                <w:sz w:val="24"/>
                <w:szCs w:val="24"/>
              </w:rPr>
              <w:t>估計可徵起</w:t>
            </w:r>
            <w:proofErr w:type="gramEnd"/>
            <w:r w:rsidRPr="00DA5594">
              <w:rPr>
                <w:rFonts w:hAnsi="標楷體" w:hint="eastAsia"/>
                <w:color w:val="000000" w:themeColor="text1"/>
                <w:spacing w:val="-20"/>
                <w:sz w:val="24"/>
                <w:szCs w:val="24"/>
              </w:rPr>
              <w:t>數之平均值，編列1,605億元。</w:t>
            </w:r>
          </w:p>
          <w:p w14:paraId="1E509BB7"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w:t>
            </w:r>
            <w:r w:rsidRPr="00DA5594">
              <w:rPr>
                <w:rFonts w:hAnsi="標楷體"/>
                <w:color w:val="000000" w:themeColor="text1"/>
                <w:spacing w:val="-20"/>
                <w:sz w:val="24"/>
                <w:szCs w:val="24"/>
              </w:rPr>
              <w:t>綜合考量經濟成長帶動關稅收入增加及</w:t>
            </w:r>
            <w:proofErr w:type="gramStart"/>
            <w:r w:rsidRPr="00DA5594">
              <w:rPr>
                <w:rFonts w:hAnsi="標楷體"/>
                <w:color w:val="000000" w:themeColor="text1"/>
                <w:spacing w:val="-20"/>
                <w:sz w:val="24"/>
                <w:szCs w:val="24"/>
              </w:rPr>
              <w:t>臺紐</w:t>
            </w:r>
            <w:proofErr w:type="gramEnd"/>
            <w:r w:rsidRPr="00DA5594">
              <w:rPr>
                <w:rFonts w:hAnsi="標楷體"/>
                <w:color w:val="000000" w:themeColor="text1"/>
                <w:spacing w:val="-20"/>
                <w:sz w:val="24"/>
                <w:szCs w:val="24"/>
              </w:rPr>
              <w:t>、</w:t>
            </w:r>
            <w:proofErr w:type="gramStart"/>
            <w:r w:rsidRPr="00DA5594">
              <w:rPr>
                <w:rFonts w:hAnsi="標楷體"/>
                <w:color w:val="000000" w:themeColor="text1"/>
                <w:spacing w:val="-20"/>
                <w:sz w:val="24"/>
                <w:szCs w:val="24"/>
              </w:rPr>
              <w:t>臺</w:t>
            </w:r>
            <w:proofErr w:type="gramEnd"/>
            <w:r w:rsidRPr="00DA5594">
              <w:rPr>
                <w:rFonts w:hAnsi="標楷體"/>
                <w:color w:val="000000" w:themeColor="text1"/>
                <w:spacing w:val="-20"/>
                <w:sz w:val="24"/>
                <w:szCs w:val="24"/>
              </w:rPr>
              <w:t>星經濟合作協議、世界貿易組織(WTO)資訊科技協定擴大談判關稅減讓貨品調降關稅</w:t>
            </w:r>
            <w:r w:rsidRPr="00DA5594">
              <w:rPr>
                <w:rFonts w:hAnsi="標楷體" w:hint="eastAsia"/>
                <w:color w:val="000000" w:themeColor="text1"/>
                <w:spacing w:val="-20"/>
                <w:sz w:val="24"/>
                <w:szCs w:val="24"/>
              </w:rPr>
              <w:t>及進口大型柴油車</w:t>
            </w:r>
            <w:proofErr w:type="gramStart"/>
            <w:r w:rsidRPr="00DA5594">
              <w:rPr>
                <w:rFonts w:hAnsi="標楷體" w:hint="eastAsia"/>
                <w:color w:val="000000" w:themeColor="text1"/>
                <w:spacing w:val="-20"/>
                <w:sz w:val="24"/>
                <w:szCs w:val="24"/>
              </w:rPr>
              <w:t>零附組件</w:t>
            </w:r>
            <w:proofErr w:type="gramEnd"/>
            <w:r w:rsidRPr="00DA5594">
              <w:rPr>
                <w:rFonts w:hAnsi="標楷體" w:hint="eastAsia"/>
                <w:color w:val="000000" w:themeColor="text1"/>
                <w:spacing w:val="-20"/>
                <w:sz w:val="24"/>
                <w:szCs w:val="24"/>
              </w:rPr>
              <w:t>免關稅</w:t>
            </w:r>
            <w:r w:rsidRPr="00DA5594">
              <w:rPr>
                <w:rFonts w:hAnsi="標楷體"/>
                <w:color w:val="000000" w:themeColor="text1"/>
                <w:spacing w:val="-20"/>
                <w:sz w:val="24"/>
                <w:szCs w:val="24"/>
              </w:rPr>
              <w:t>等因素，編列1,1</w:t>
            </w:r>
            <w:r w:rsidRPr="00DA5594">
              <w:rPr>
                <w:rFonts w:hAnsi="標楷體" w:hint="eastAsia"/>
                <w:color w:val="000000" w:themeColor="text1"/>
                <w:spacing w:val="-20"/>
                <w:sz w:val="24"/>
                <w:szCs w:val="24"/>
              </w:rPr>
              <w:t>97</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15728A62"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6</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遺產及贈與稅：遺產稅及贈與稅具機會稅性質，基於穩健，參酌編列時稅收狀況等因素，編列</w:t>
            </w:r>
            <w:r w:rsidRPr="00DA5594">
              <w:rPr>
                <w:rFonts w:hAnsi="標楷體"/>
                <w:color w:val="000000" w:themeColor="text1"/>
                <w:spacing w:val="-20"/>
                <w:sz w:val="24"/>
                <w:szCs w:val="24"/>
              </w:rPr>
              <w:t>13</w:t>
            </w:r>
            <w:r w:rsidRPr="00DA5594">
              <w:rPr>
                <w:rFonts w:hAnsi="標楷體" w:hint="eastAsia"/>
                <w:color w:val="000000" w:themeColor="text1"/>
                <w:spacing w:val="-20"/>
                <w:sz w:val="24"/>
                <w:szCs w:val="24"/>
              </w:rPr>
              <w:t>5億元。</w:t>
            </w:r>
          </w:p>
          <w:p w14:paraId="66338F57"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7</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證券交易稅：</w:t>
            </w:r>
            <w:r w:rsidRPr="00DA5594">
              <w:rPr>
                <w:rFonts w:hAnsi="標楷體"/>
                <w:color w:val="000000" w:themeColor="text1"/>
                <w:spacing w:val="-20"/>
                <w:sz w:val="24"/>
                <w:szCs w:val="24"/>
              </w:rPr>
              <w:t>參酌編列時</w:t>
            </w:r>
            <w:r w:rsidRPr="00DA5594">
              <w:rPr>
                <w:rFonts w:hAnsi="標楷體" w:hint="eastAsia"/>
                <w:color w:val="000000" w:themeColor="text1"/>
                <w:spacing w:val="-20"/>
                <w:sz w:val="24"/>
                <w:szCs w:val="24"/>
              </w:rPr>
              <w:t>成交值及近年稅收成長情形</w:t>
            </w:r>
            <w:r w:rsidRPr="00DA5594">
              <w:rPr>
                <w:rFonts w:hAnsi="標楷體"/>
                <w:color w:val="000000" w:themeColor="text1"/>
                <w:spacing w:val="-20"/>
                <w:sz w:val="24"/>
                <w:szCs w:val="24"/>
              </w:rPr>
              <w:t>，編列1,</w:t>
            </w:r>
            <w:r w:rsidRPr="00DA5594">
              <w:rPr>
                <w:rFonts w:hAnsi="標楷體" w:hint="eastAsia"/>
                <w:color w:val="000000" w:themeColor="text1"/>
                <w:spacing w:val="-20"/>
                <w:sz w:val="24"/>
                <w:szCs w:val="24"/>
              </w:rPr>
              <w:t>065</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630EF03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8</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期貨交易稅：</w:t>
            </w:r>
            <w:r w:rsidRPr="00DA5594">
              <w:rPr>
                <w:rFonts w:hAnsi="標楷體"/>
                <w:color w:val="000000" w:themeColor="text1"/>
                <w:spacing w:val="-20"/>
                <w:sz w:val="24"/>
                <w:szCs w:val="24"/>
              </w:rPr>
              <w:t>基於穩健，</w:t>
            </w:r>
            <w:r w:rsidRPr="00DA5594">
              <w:rPr>
                <w:rFonts w:hAnsi="標楷體" w:hint="eastAsia"/>
                <w:color w:val="000000" w:themeColor="text1"/>
                <w:spacing w:val="-20"/>
                <w:sz w:val="24"/>
                <w:szCs w:val="24"/>
              </w:rPr>
              <w:t>按</w:t>
            </w:r>
            <w:proofErr w:type="gramStart"/>
            <w:r w:rsidRPr="00DA5594">
              <w:rPr>
                <w:rFonts w:hAnsi="標楷體"/>
                <w:color w:val="000000" w:themeColor="text1"/>
                <w:spacing w:val="-20"/>
                <w:sz w:val="24"/>
                <w:szCs w:val="24"/>
              </w:rPr>
              <w:t>106</w:t>
            </w:r>
            <w:proofErr w:type="gramEnd"/>
            <w:r w:rsidRPr="00DA5594">
              <w:rPr>
                <w:rFonts w:hAnsi="標楷體" w:hint="eastAsia"/>
                <w:color w:val="000000" w:themeColor="text1"/>
                <w:spacing w:val="-20"/>
                <w:sz w:val="24"/>
                <w:szCs w:val="24"/>
              </w:rPr>
              <w:t>年度及</w:t>
            </w:r>
            <w:proofErr w:type="gramStart"/>
            <w:r w:rsidRPr="00DA5594">
              <w:rPr>
                <w:rFonts w:hAnsi="標楷體"/>
                <w:color w:val="000000" w:themeColor="text1"/>
                <w:spacing w:val="-20"/>
                <w:sz w:val="24"/>
                <w:szCs w:val="24"/>
              </w:rPr>
              <w:t>107</w:t>
            </w:r>
            <w:proofErr w:type="gramEnd"/>
            <w:r w:rsidRPr="00DA5594">
              <w:rPr>
                <w:rFonts w:hAnsi="標楷體" w:hint="eastAsia"/>
                <w:color w:val="000000" w:themeColor="text1"/>
                <w:spacing w:val="-20"/>
                <w:sz w:val="24"/>
                <w:szCs w:val="24"/>
              </w:rPr>
              <w:t>年度平均實徵數</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51</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4F227899"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9</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菸酒稅：參酌</w:t>
            </w:r>
            <w:proofErr w:type="gramStart"/>
            <w:r w:rsidRPr="00DA5594">
              <w:rPr>
                <w:rFonts w:hAnsi="標楷體" w:hint="eastAsia"/>
                <w:color w:val="000000" w:themeColor="text1"/>
                <w:spacing w:val="-20"/>
                <w:sz w:val="24"/>
                <w:szCs w:val="24"/>
              </w:rPr>
              <w:t>107</w:t>
            </w:r>
            <w:proofErr w:type="gramEnd"/>
            <w:r w:rsidRPr="00DA5594">
              <w:rPr>
                <w:rFonts w:hAnsi="標楷體" w:hint="eastAsia"/>
                <w:color w:val="000000" w:themeColor="text1"/>
                <w:spacing w:val="-20"/>
                <w:sz w:val="24"/>
                <w:szCs w:val="24"/>
              </w:rPr>
              <w:t>年度實徵數</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331</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787960C4"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w:t>
            </w:r>
            <w:r w:rsidRPr="00DA5594">
              <w:rPr>
                <w:rFonts w:hAnsi="標楷體"/>
                <w:color w:val="000000" w:themeColor="text1"/>
                <w:spacing w:val="-20"/>
                <w:sz w:val="24"/>
                <w:szCs w:val="24"/>
              </w:rPr>
              <w:t>基於穩健，以</w:t>
            </w:r>
            <w:proofErr w:type="gramStart"/>
            <w:r w:rsidRPr="00DA5594">
              <w:rPr>
                <w:rFonts w:hAnsi="標楷體"/>
                <w:color w:val="000000" w:themeColor="text1"/>
                <w:spacing w:val="-20"/>
                <w:sz w:val="24"/>
                <w:szCs w:val="24"/>
              </w:rPr>
              <w:t>106</w:t>
            </w:r>
            <w:proofErr w:type="gramEnd"/>
            <w:r w:rsidRPr="00DA5594">
              <w:rPr>
                <w:rFonts w:hAnsi="標楷體"/>
                <w:color w:val="000000" w:themeColor="text1"/>
                <w:spacing w:val="-20"/>
                <w:sz w:val="24"/>
                <w:szCs w:val="24"/>
              </w:rPr>
              <w:t>年度實徵數為基礎，</w:t>
            </w:r>
            <w:r w:rsidRPr="00DA5594">
              <w:rPr>
                <w:rFonts w:hAnsi="標楷體" w:hint="eastAsia"/>
                <w:color w:val="000000" w:themeColor="text1"/>
                <w:spacing w:val="-20"/>
                <w:sz w:val="24"/>
                <w:szCs w:val="24"/>
              </w:rPr>
              <w:t>扣除不動產部分，</w:t>
            </w:r>
            <w:r w:rsidRPr="00DA5594">
              <w:rPr>
                <w:rFonts w:hAnsi="標楷體"/>
                <w:color w:val="000000" w:themeColor="text1"/>
                <w:spacing w:val="-20"/>
                <w:sz w:val="24"/>
                <w:szCs w:val="24"/>
              </w:rPr>
              <w:t>編列2</w:t>
            </w: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tc>
      </w:tr>
      <w:tr w:rsidR="00DA5594" w:rsidRPr="00DA5594" w14:paraId="702538BA" w14:textId="77777777" w:rsidTr="009F60E8">
        <w:tc>
          <w:tcPr>
            <w:tcW w:w="709" w:type="dxa"/>
            <w:vAlign w:val="center"/>
          </w:tcPr>
          <w:p w14:paraId="171AA6B5"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t>110</w:t>
            </w:r>
          </w:p>
        </w:tc>
        <w:tc>
          <w:tcPr>
            <w:tcW w:w="8080" w:type="dxa"/>
          </w:tcPr>
          <w:p w14:paraId="747A1C5B"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110</w:t>
            </w:r>
            <w:proofErr w:type="gramEnd"/>
            <w:r w:rsidRPr="00DA5594">
              <w:rPr>
                <w:rFonts w:hAnsi="標楷體" w:hint="eastAsia"/>
                <w:color w:val="000000" w:themeColor="text1"/>
                <w:spacing w:val="-20"/>
                <w:sz w:val="24"/>
                <w:szCs w:val="24"/>
              </w:rPr>
              <w:t>年度共編列</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兆6</w:t>
            </w:r>
            <w:r w:rsidRPr="00DA5594">
              <w:rPr>
                <w:rFonts w:hAnsi="標楷體"/>
                <w:color w:val="000000" w:themeColor="text1"/>
                <w:spacing w:val="-20"/>
                <w:sz w:val="24"/>
                <w:szCs w:val="24"/>
              </w:rPr>
              <w:t>,719</w:t>
            </w:r>
            <w:r w:rsidRPr="00DA5594">
              <w:rPr>
                <w:rFonts w:hAnsi="標楷體" w:hint="eastAsia"/>
                <w:color w:val="000000" w:themeColor="text1"/>
                <w:spacing w:val="-20"/>
                <w:sz w:val="24"/>
                <w:szCs w:val="24"/>
              </w:rPr>
              <w:t>億元，占歲入總額8</w:t>
            </w:r>
            <w:r w:rsidRPr="00DA5594">
              <w:rPr>
                <w:rFonts w:hAnsi="標楷體"/>
                <w:color w:val="000000" w:themeColor="text1"/>
                <w:spacing w:val="-20"/>
                <w:sz w:val="24"/>
                <w:szCs w:val="24"/>
              </w:rPr>
              <w:t>1.7</w:t>
            </w:r>
            <w:r w:rsidRPr="00DA5594">
              <w:rPr>
                <w:rFonts w:hAnsi="標楷體" w:hint="eastAsia"/>
                <w:color w:val="000000" w:themeColor="text1"/>
                <w:spacing w:val="-20"/>
                <w:sz w:val="24"/>
                <w:szCs w:val="24"/>
              </w:rPr>
              <w:t>％，較上年度預算數</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兆6</w:t>
            </w:r>
            <w:r w:rsidRPr="00DA5594">
              <w:rPr>
                <w:rFonts w:hAnsi="標楷體"/>
                <w:color w:val="000000" w:themeColor="text1"/>
                <w:spacing w:val="-20"/>
                <w:sz w:val="24"/>
                <w:szCs w:val="24"/>
              </w:rPr>
              <w:t>,796</w:t>
            </w:r>
            <w:r w:rsidRPr="00DA5594">
              <w:rPr>
                <w:rFonts w:hAnsi="標楷體" w:hint="eastAsia"/>
                <w:color w:val="000000" w:themeColor="text1"/>
                <w:spacing w:val="-20"/>
                <w:sz w:val="24"/>
                <w:szCs w:val="24"/>
              </w:rPr>
              <w:t>億元，減少7</w:t>
            </w: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億元，約減0</w:t>
            </w:r>
            <w:r w:rsidRPr="00DA5594">
              <w:rPr>
                <w:rFonts w:hAnsi="標楷體"/>
                <w:color w:val="000000" w:themeColor="text1"/>
                <w:spacing w:val="-20"/>
                <w:sz w:val="24"/>
                <w:szCs w:val="24"/>
              </w:rPr>
              <w:t>.5</w:t>
            </w:r>
            <w:r w:rsidRPr="00DA5594">
              <w:rPr>
                <w:rFonts w:hAnsi="標楷體" w:hint="eastAsia"/>
                <w:color w:val="000000" w:themeColor="text1"/>
                <w:spacing w:val="-20"/>
                <w:sz w:val="24"/>
                <w:szCs w:val="24"/>
              </w:rPr>
              <w:t>％，</w:t>
            </w:r>
            <w:proofErr w:type="gramStart"/>
            <w:r w:rsidRPr="00DA5594">
              <w:rPr>
                <w:rFonts w:hAnsi="標楷體" w:hint="eastAsia"/>
                <w:color w:val="000000" w:themeColor="text1"/>
                <w:spacing w:val="-20"/>
                <w:sz w:val="24"/>
                <w:szCs w:val="24"/>
              </w:rPr>
              <w:t>主要係減列</w:t>
            </w:r>
            <w:proofErr w:type="gramEnd"/>
            <w:r w:rsidRPr="00DA5594">
              <w:rPr>
                <w:rFonts w:hAnsi="標楷體" w:hint="eastAsia"/>
                <w:color w:val="000000" w:themeColor="text1"/>
                <w:spacing w:val="-20"/>
                <w:sz w:val="24"/>
                <w:szCs w:val="24"/>
              </w:rPr>
              <w:t>所得稅2</w:t>
            </w:r>
            <w:r w:rsidRPr="00DA5594">
              <w:rPr>
                <w:rFonts w:hAnsi="標楷體"/>
                <w:color w:val="000000" w:themeColor="text1"/>
                <w:spacing w:val="-20"/>
                <w:sz w:val="24"/>
                <w:szCs w:val="24"/>
              </w:rPr>
              <w:t>32</w:t>
            </w:r>
            <w:r w:rsidRPr="00DA5594">
              <w:rPr>
                <w:rFonts w:hAnsi="標楷體" w:hint="eastAsia"/>
                <w:color w:val="000000" w:themeColor="text1"/>
                <w:spacing w:val="-20"/>
                <w:sz w:val="24"/>
                <w:szCs w:val="24"/>
              </w:rPr>
              <w:t>億元，增列證券交易稅81億元、營業稅60億元、關稅10億元、特種貨物及勞務稅3億元等所致。</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0B9ECE84"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lastRenderedPageBreak/>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營利事業所得稅：以結算、暫繳與未分配盈餘申報自繳稅額及查核補徵稅額為基礎，</w:t>
            </w:r>
            <w:r w:rsidRPr="00DA5594">
              <w:rPr>
                <w:rFonts w:hAnsi="標楷體"/>
                <w:color w:val="000000" w:themeColor="text1"/>
                <w:spacing w:val="-20"/>
                <w:sz w:val="24"/>
                <w:szCs w:val="24"/>
              </w:rPr>
              <w:t>納入稅制調整及109年延分期繳稅遞延入庫因素，</w:t>
            </w:r>
            <w:r w:rsidRPr="00DA5594">
              <w:rPr>
                <w:rFonts w:hAnsi="標楷體" w:hint="eastAsia"/>
                <w:color w:val="000000" w:themeColor="text1"/>
                <w:spacing w:val="-20"/>
                <w:sz w:val="24"/>
                <w:szCs w:val="24"/>
              </w:rPr>
              <w:t>編列5,</w:t>
            </w:r>
            <w:r w:rsidRPr="00DA5594">
              <w:rPr>
                <w:rFonts w:hAnsi="標楷體"/>
                <w:color w:val="000000" w:themeColor="text1"/>
                <w:spacing w:val="-20"/>
                <w:sz w:val="24"/>
                <w:szCs w:val="24"/>
              </w:rPr>
              <w:t>449</w:t>
            </w:r>
            <w:r w:rsidRPr="00DA5594">
              <w:rPr>
                <w:rFonts w:hAnsi="標楷體" w:hint="eastAsia"/>
                <w:color w:val="000000" w:themeColor="text1"/>
                <w:spacing w:val="-20"/>
                <w:sz w:val="24"/>
                <w:szCs w:val="24"/>
              </w:rPr>
              <w:t>億元。</w:t>
            </w:r>
          </w:p>
          <w:p w14:paraId="66655061"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w:t>
            </w:r>
            <w:r w:rsidRPr="00DA5594">
              <w:rPr>
                <w:rFonts w:hAnsi="標楷體"/>
                <w:color w:val="000000" w:themeColor="text1"/>
                <w:spacing w:val="-20"/>
                <w:sz w:val="24"/>
                <w:szCs w:val="24"/>
              </w:rPr>
              <w:t>以結算申報稅收淨額、扣繳稅額及核定補徵稅額為基礎，納入稅制調整因素，編列</w:t>
            </w:r>
            <w:r w:rsidRPr="00DA5594">
              <w:rPr>
                <w:rFonts w:hAnsi="標楷體" w:hint="eastAsia"/>
                <w:color w:val="000000" w:themeColor="text1"/>
                <w:spacing w:val="-20"/>
                <w:sz w:val="24"/>
                <w:szCs w:val="24"/>
              </w:rPr>
              <w:t>4,2</w:t>
            </w:r>
            <w:r w:rsidRPr="00DA5594">
              <w:rPr>
                <w:rFonts w:hAnsi="標楷體"/>
                <w:color w:val="000000" w:themeColor="text1"/>
                <w:spacing w:val="-20"/>
                <w:sz w:val="24"/>
                <w:szCs w:val="24"/>
              </w:rPr>
              <w:t>94億元</w:t>
            </w:r>
            <w:r w:rsidRPr="00DA5594">
              <w:rPr>
                <w:rFonts w:hAnsi="標楷體" w:hint="eastAsia"/>
                <w:color w:val="000000" w:themeColor="text1"/>
                <w:spacing w:val="-20"/>
                <w:sz w:val="24"/>
                <w:szCs w:val="24"/>
              </w:rPr>
              <w:t>。</w:t>
            </w:r>
          </w:p>
          <w:p w14:paraId="57C97C71"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w:t>
            </w:r>
            <w:proofErr w:type="gramStart"/>
            <w:r w:rsidRPr="00DA5594">
              <w:rPr>
                <w:rFonts w:hAnsi="標楷體"/>
                <w:color w:val="000000" w:themeColor="text1"/>
                <w:spacing w:val="-20"/>
                <w:sz w:val="24"/>
                <w:szCs w:val="24"/>
              </w:rPr>
              <w:t>108</w:t>
            </w:r>
            <w:proofErr w:type="gramEnd"/>
            <w:r w:rsidRPr="00DA5594">
              <w:rPr>
                <w:rFonts w:hAnsi="標楷體" w:hint="eastAsia"/>
                <w:color w:val="000000" w:themeColor="text1"/>
                <w:spacing w:val="-20"/>
                <w:sz w:val="24"/>
                <w:szCs w:val="24"/>
              </w:rPr>
              <w:t>年度實徵數為基礎，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w:t>
            </w:r>
            <w:r w:rsidRPr="00DA5594">
              <w:rPr>
                <w:rFonts w:hAnsi="標楷體"/>
                <w:color w:val="000000" w:themeColor="text1"/>
                <w:spacing w:val="-20"/>
                <w:sz w:val="24"/>
                <w:szCs w:val="24"/>
              </w:rPr>
              <w:t>2,47</w:t>
            </w: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67B7E7C5"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貨物稅：參酌</w:t>
            </w:r>
            <w:proofErr w:type="gramStart"/>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06</w:t>
            </w:r>
            <w:proofErr w:type="gramEnd"/>
            <w:r w:rsidRPr="00DA5594">
              <w:rPr>
                <w:rFonts w:hAnsi="標楷體" w:hint="eastAsia"/>
                <w:color w:val="000000" w:themeColor="text1"/>
                <w:spacing w:val="-20"/>
                <w:sz w:val="24"/>
                <w:szCs w:val="24"/>
              </w:rPr>
              <w:t>年度至</w:t>
            </w:r>
            <w:proofErr w:type="gramStart"/>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08</w:t>
            </w:r>
            <w:proofErr w:type="gramEnd"/>
            <w:r w:rsidRPr="00DA5594">
              <w:rPr>
                <w:rFonts w:hAnsi="標楷體" w:hint="eastAsia"/>
                <w:color w:val="000000" w:themeColor="text1"/>
                <w:spacing w:val="-20"/>
                <w:sz w:val="24"/>
                <w:szCs w:val="24"/>
              </w:rPr>
              <w:t>年度全國實徵平均數，編列1,60</w:t>
            </w: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億元。</w:t>
            </w:r>
          </w:p>
          <w:p w14:paraId="15435FEA"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w:t>
            </w:r>
            <w:r w:rsidRPr="00DA5594">
              <w:rPr>
                <w:rFonts w:hAnsi="標楷體"/>
                <w:color w:val="000000" w:themeColor="text1"/>
                <w:spacing w:val="-20"/>
                <w:sz w:val="24"/>
                <w:szCs w:val="24"/>
              </w:rPr>
              <w:t>考量經濟成長帶動關稅收入增加，編列1,207億元</w:t>
            </w:r>
            <w:r w:rsidRPr="00DA5594">
              <w:rPr>
                <w:rFonts w:hAnsi="標楷體" w:hint="eastAsia"/>
                <w:color w:val="000000" w:themeColor="text1"/>
                <w:spacing w:val="-20"/>
                <w:sz w:val="24"/>
                <w:szCs w:val="24"/>
              </w:rPr>
              <w:t>。</w:t>
            </w:r>
          </w:p>
          <w:p w14:paraId="54C34456"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證券交易稅：</w:t>
            </w:r>
            <w:r w:rsidRPr="00DA5594">
              <w:rPr>
                <w:rFonts w:hAnsi="標楷體"/>
                <w:color w:val="000000" w:themeColor="text1"/>
                <w:spacing w:val="-20"/>
                <w:sz w:val="24"/>
                <w:szCs w:val="24"/>
              </w:rPr>
              <w:t>參酌</w:t>
            </w:r>
            <w:r w:rsidRPr="00DA5594">
              <w:rPr>
                <w:rFonts w:hAnsi="標楷體" w:hint="eastAsia"/>
                <w:color w:val="000000" w:themeColor="text1"/>
                <w:spacing w:val="-20"/>
                <w:sz w:val="24"/>
                <w:szCs w:val="24"/>
              </w:rPr>
              <w:t>最近1年平均成交值，</w:t>
            </w:r>
            <w:r w:rsidRPr="00DA5594">
              <w:rPr>
                <w:rFonts w:hAnsi="標楷體"/>
                <w:color w:val="000000" w:themeColor="text1"/>
                <w:spacing w:val="-20"/>
                <w:sz w:val="24"/>
                <w:szCs w:val="24"/>
              </w:rPr>
              <w:t>編列1,146億元</w:t>
            </w:r>
            <w:r w:rsidRPr="00DA5594">
              <w:rPr>
                <w:rFonts w:hAnsi="標楷體" w:hint="eastAsia"/>
                <w:color w:val="000000" w:themeColor="text1"/>
                <w:spacing w:val="-20"/>
                <w:sz w:val="24"/>
                <w:szCs w:val="24"/>
              </w:rPr>
              <w:t>。</w:t>
            </w:r>
          </w:p>
          <w:p w14:paraId="62217726"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菸酒稅：參酌</w:t>
            </w:r>
            <w:proofErr w:type="gramStart"/>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09</w:t>
            </w:r>
            <w:proofErr w:type="gramEnd"/>
            <w:r w:rsidRPr="00DA5594">
              <w:rPr>
                <w:rFonts w:hAnsi="標楷體" w:hint="eastAsia"/>
                <w:color w:val="000000" w:themeColor="text1"/>
                <w:spacing w:val="-20"/>
                <w:sz w:val="24"/>
                <w:szCs w:val="24"/>
              </w:rPr>
              <w:t>年度預算數</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331</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38E4D9D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8.</w:t>
            </w:r>
            <w:r w:rsidRPr="00DA5594">
              <w:rPr>
                <w:rFonts w:hAnsi="標楷體" w:hint="eastAsia"/>
                <w:color w:val="000000" w:themeColor="text1"/>
                <w:spacing w:val="-20"/>
                <w:sz w:val="24"/>
                <w:szCs w:val="24"/>
              </w:rPr>
              <w:t>遺產及贈與稅：遺產及贈與稅具機會稅性質，按</w:t>
            </w:r>
            <w:proofErr w:type="gramStart"/>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09</w:t>
            </w:r>
            <w:proofErr w:type="gramEnd"/>
            <w:r w:rsidRPr="00DA5594">
              <w:rPr>
                <w:rFonts w:hAnsi="標楷體" w:hint="eastAsia"/>
                <w:color w:val="000000" w:themeColor="text1"/>
                <w:spacing w:val="-20"/>
                <w:sz w:val="24"/>
                <w:szCs w:val="24"/>
              </w:rPr>
              <w:t>年度預算數，編列</w:t>
            </w:r>
            <w:r w:rsidRPr="00DA5594">
              <w:rPr>
                <w:rFonts w:hAnsi="標楷體"/>
                <w:color w:val="000000" w:themeColor="text1"/>
                <w:spacing w:val="-20"/>
                <w:sz w:val="24"/>
                <w:szCs w:val="24"/>
              </w:rPr>
              <w:t>13</w:t>
            </w:r>
            <w:r w:rsidRPr="00DA5594">
              <w:rPr>
                <w:rFonts w:hAnsi="標楷體" w:hint="eastAsia"/>
                <w:color w:val="000000" w:themeColor="text1"/>
                <w:spacing w:val="-20"/>
                <w:sz w:val="24"/>
                <w:szCs w:val="24"/>
              </w:rPr>
              <w:t>5億元。</w:t>
            </w:r>
          </w:p>
          <w:p w14:paraId="3E855882"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9.</w:t>
            </w:r>
            <w:r w:rsidRPr="00DA5594">
              <w:rPr>
                <w:rFonts w:hAnsi="標楷體" w:hint="eastAsia"/>
                <w:color w:val="000000" w:themeColor="text1"/>
                <w:spacing w:val="-20"/>
                <w:sz w:val="24"/>
                <w:szCs w:val="24"/>
              </w:rPr>
              <w:t>期貨交易稅：</w:t>
            </w:r>
            <w:r w:rsidRPr="00DA5594">
              <w:rPr>
                <w:rFonts w:hAnsi="標楷體"/>
                <w:color w:val="000000" w:themeColor="text1"/>
                <w:spacing w:val="-20"/>
                <w:sz w:val="24"/>
                <w:szCs w:val="24"/>
              </w:rPr>
              <w:t>參酌</w:t>
            </w:r>
            <w:proofErr w:type="gramStart"/>
            <w:r w:rsidRPr="00DA5594">
              <w:rPr>
                <w:rFonts w:hAnsi="標楷體"/>
                <w:color w:val="000000" w:themeColor="text1"/>
                <w:spacing w:val="-20"/>
                <w:sz w:val="24"/>
                <w:szCs w:val="24"/>
              </w:rPr>
              <w:t>109</w:t>
            </w:r>
            <w:proofErr w:type="gramEnd"/>
            <w:r w:rsidRPr="00DA5594">
              <w:rPr>
                <w:rFonts w:hAnsi="標楷體"/>
                <w:color w:val="000000" w:themeColor="text1"/>
                <w:spacing w:val="-20"/>
                <w:sz w:val="24"/>
                <w:szCs w:val="24"/>
              </w:rPr>
              <w:t>年度預算數，編列</w:t>
            </w:r>
            <w:r w:rsidRPr="00DA5594">
              <w:rPr>
                <w:rFonts w:hAnsi="標楷體" w:hint="eastAsia"/>
                <w:color w:val="000000" w:themeColor="text1"/>
                <w:spacing w:val="-20"/>
                <w:sz w:val="24"/>
                <w:szCs w:val="24"/>
              </w:rPr>
              <w:t>51</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1CA1397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特種貨物及勞務稅：參酌</w:t>
            </w:r>
            <w:proofErr w:type="gramStart"/>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06</w:t>
            </w:r>
            <w:proofErr w:type="gramEnd"/>
            <w:r w:rsidRPr="00DA5594">
              <w:rPr>
                <w:rFonts w:hAnsi="標楷體"/>
                <w:color w:val="000000" w:themeColor="text1"/>
                <w:spacing w:val="-20"/>
                <w:sz w:val="24"/>
                <w:szCs w:val="24"/>
              </w:rPr>
              <w:t>年度</w:t>
            </w:r>
            <w:r w:rsidRPr="00DA5594">
              <w:rPr>
                <w:rFonts w:hAnsi="標楷體" w:hint="eastAsia"/>
                <w:color w:val="000000" w:themeColor="text1"/>
                <w:spacing w:val="-20"/>
                <w:sz w:val="24"/>
                <w:szCs w:val="24"/>
              </w:rPr>
              <w:t>至</w:t>
            </w:r>
            <w:proofErr w:type="gramStart"/>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08</w:t>
            </w:r>
            <w:proofErr w:type="gramEnd"/>
            <w:r w:rsidRPr="00DA5594">
              <w:rPr>
                <w:rFonts w:hAnsi="標楷體" w:hint="eastAsia"/>
                <w:color w:val="000000" w:themeColor="text1"/>
                <w:spacing w:val="-20"/>
                <w:sz w:val="24"/>
                <w:szCs w:val="24"/>
              </w:rPr>
              <w:t>年度</w:t>
            </w:r>
            <w:r w:rsidRPr="00DA5594">
              <w:rPr>
                <w:rFonts w:hAnsi="標楷體"/>
                <w:color w:val="000000" w:themeColor="text1"/>
                <w:spacing w:val="-20"/>
                <w:sz w:val="24"/>
                <w:szCs w:val="24"/>
              </w:rPr>
              <w:t>實徵</w:t>
            </w:r>
            <w:r w:rsidRPr="00DA5594">
              <w:rPr>
                <w:rFonts w:hAnsi="標楷體" w:hint="eastAsia"/>
                <w:color w:val="000000" w:themeColor="text1"/>
                <w:spacing w:val="-20"/>
                <w:sz w:val="24"/>
                <w:szCs w:val="24"/>
              </w:rPr>
              <w:t>平均數</w:t>
            </w:r>
            <w:r w:rsidRPr="00DA5594">
              <w:rPr>
                <w:rFonts w:hAnsi="標楷體"/>
                <w:color w:val="000000" w:themeColor="text1"/>
                <w:spacing w:val="-20"/>
                <w:sz w:val="24"/>
                <w:szCs w:val="24"/>
              </w:rPr>
              <w:t>，編列25億元</w:t>
            </w:r>
            <w:r w:rsidRPr="00DA5594">
              <w:rPr>
                <w:rFonts w:hAnsi="標楷體" w:hint="eastAsia"/>
                <w:color w:val="000000" w:themeColor="text1"/>
                <w:spacing w:val="-20"/>
                <w:sz w:val="24"/>
                <w:szCs w:val="24"/>
              </w:rPr>
              <w:t>。</w:t>
            </w:r>
          </w:p>
        </w:tc>
      </w:tr>
      <w:tr w:rsidR="00DA5594" w:rsidRPr="00DA5594" w14:paraId="6FB89312" w14:textId="77777777" w:rsidTr="009F60E8">
        <w:tc>
          <w:tcPr>
            <w:tcW w:w="709" w:type="dxa"/>
            <w:vAlign w:val="center"/>
          </w:tcPr>
          <w:p w14:paraId="5EFE3CDE"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lastRenderedPageBreak/>
              <w:t>111</w:t>
            </w:r>
          </w:p>
        </w:tc>
        <w:tc>
          <w:tcPr>
            <w:tcW w:w="8080" w:type="dxa"/>
          </w:tcPr>
          <w:p w14:paraId="5A71EFE2"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11</w:t>
            </w:r>
            <w:r w:rsidRPr="00DA5594">
              <w:rPr>
                <w:rFonts w:hAnsi="標楷體" w:hint="eastAsia"/>
                <w:color w:val="000000" w:themeColor="text1"/>
                <w:spacing w:val="-20"/>
                <w:sz w:val="24"/>
                <w:szCs w:val="24"/>
              </w:rPr>
              <w:t>1</w:t>
            </w:r>
            <w:proofErr w:type="gramEnd"/>
            <w:r w:rsidRPr="00DA5594">
              <w:rPr>
                <w:rFonts w:hAnsi="標楷體" w:hint="eastAsia"/>
                <w:color w:val="000000" w:themeColor="text1"/>
                <w:spacing w:val="-20"/>
                <w:sz w:val="24"/>
                <w:szCs w:val="24"/>
              </w:rPr>
              <w:t>年度共編列</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兆8</w:t>
            </w: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88億元，占歲入總額83.9％，較上年度預算數</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兆6</w:t>
            </w: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85億元，增加2</w:t>
            </w:r>
            <w:r w:rsidRPr="00DA5594">
              <w:rPr>
                <w:rFonts w:hAnsi="標楷體"/>
                <w:color w:val="000000" w:themeColor="text1"/>
                <w:spacing w:val="-20"/>
                <w:sz w:val="24"/>
                <w:szCs w:val="24"/>
              </w:rPr>
              <w:t>,003</w:t>
            </w:r>
            <w:r w:rsidRPr="00DA5594">
              <w:rPr>
                <w:rFonts w:hAnsi="標楷體" w:hint="eastAsia"/>
                <w:color w:val="000000" w:themeColor="text1"/>
                <w:spacing w:val="-20"/>
                <w:sz w:val="24"/>
                <w:szCs w:val="24"/>
              </w:rPr>
              <w:t>億元，約增11.9％，主要係增列所得稅1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33</w:t>
            </w:r>
            <w:r w:rsidRPr="00DA5594">
              <w:rPr>
                <w:rFonts w:hAnsi="標楷體" w:hint="eastAsia"/>
                <w:color w:val="000000" w:themeColor="text1"/>
                <w:spacing w:val="-20"/>
                <w:sz w:val="24"/>
                <w:szCs w:val="24"/>
              </w:rPr>
              <w:t>億元、證券交易稅4</w:t>
            </w:r>
            <w:r w:rsidRPr="00DA5594">
              <w:rPr>
                <w:rFonts w:hAnsi="標楷體"/>
                <w:color w:val="000000" w:themeColor="text1"/>
                <w:spacing w:val="-20"/>
                <w:sz w:val="24"/>
                <w:szCs w:val="24"/>
              </w:rPr>
              <w:t>8</w:t>
            </w:r>
            <w:r w:rsidRPr="00DA5594">
              <w:rPr>
                <w:rFonts w:hAnsi="標楷體" w:hint="eastAsia"/>
                <w:color w:val="000000" w:themeColor="text1"/>
                <w:spacing w:val="-20"/>
                <w:sz w:val="24"/>
                <w:szCs w:val="24"/>
              </w:rPr>
              <w:t>9億元、關稅1</w:t>
            </w:r>
            <w:r w:rsidRPr="00DA5594">
              <w:rPr>
                <w:rFonts w:hAnsi="標楷體"/>
                <w:color w:val="000000" w:themeColor="text1"/>
                <w:spacing w:val="-20"/>
                <w:sz w:val="24"/>
                <w:szCs w:val="24"/>
              </w:rPr>
              <w:t>27</w:t>
            </w:r>
            <w:r w:rsidRPr="00DA5594">
              <w:rPr>
                <w:rFonts w:hAnsi="標楷體" w:hint="eastAsia"/>
                <w:color w:val="000000" w:themeColor="text1"/>
                <w:spacing w:val="-20"/>
                <w:sz w:val="24"/>
                <w:szCs w:val="24"/>
              </w:rPr>
              <w:t>億元、營業稅7</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億元、貨物稅4</w:t>
            </w: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億元、期貨交易稅2</w:t>
            </w: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億元。</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600C85C5"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營利事業所得稅：以結算、未分配盈餘與暫繳申報自繳稅額及查核補徵稅額為基礎，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成長率及納入稅制調整因素，編列6,397億元。</w:t>
            </w:r>
          </w:p>
          <w:p w14:paraId="5B74BA25"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w:t>
            </w:r>
            <w:r w:rsidRPr="00DA5594">
              <w:rPr>
                <w:rFonts w:hAnsi="標楷體"/>
                <w:color w:val="000000" w:themeColor="text1"/>
                <w:spacing w:val="-20"/>
                <w:sz w:val="24"/>
                <w:szCs w:val="24"/>
              </w:rPr>
              <w:t>以結算申報稅收淨額、扣繳稅額及核定補徵稅額為基礎，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成長率及納入稅制調整因素，</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4,585</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281606A4"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w:t>
            </w:r>
            <w:proofErr w:type="gramStart"/>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w:t>
            </w:r>
            <w:proofErr w:type="gramEnd"/>
            <w:r w:rsidRPr="00DA5594">
              <w:rPr>
                <w:rFonts w:hAnsi="標楷體" w:hint="eastAsia"/>
                <w:color w:val="000000" w:themeColor="text1"/>
                <w:spacing w:val="-20"/>
                <w:sz w:val="24"/>
                <w:szCs w:val="24"/>
              </w:rPr>
              <w:t>年度預算數為基礎，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w:t>
            </w:r>
            <w:r w:rsidRPr="00DA5594">
              <w:rPr>
                <w:rFonts w:hAnsi="標楷體"/>
                <w:color w:val="000000" w:themeColor="text1"/>
                <w:spacing w:val="-20"/>
                <w:sz w:val="24"/>
                <w:szCs w:val="24"/>
              </w:rPr>
              <w:t>2,</w:t>
            </w:r>
            <w:r w:rsidRPr="00DA5594">
              <w:rPr>
                <w:rFonts w:hAnsi="標楷體" w:hint="eastAsia"/>
                <w:color w:val="000000" w:themeColor="text1"/>
                <w:spacing w:val="-20"/>
                <w:sz w:val="24"/>
                <w:szCs w:val="24"/>
              </w:rPr>
              <w:t>550</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70099C5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貨物稅：以</w:t>
            </w:r>
            <w:proofErr w:type="gramStart"/>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w:t>
            </w:r>
            <w:proofErr w:type="gramEnd"/>
            <w:r w:rsidRPr="00DA5594">
              <w:rPr>
                <w:rFonts w:hAnsi="標楷體" w:hint="eastAsia"/>
                <w:color w:val="000000" w:themeColor="text1"/>
                <w:spacing w:val="-20"/>
                <w:sz w:val="24"/>
                <w:szCs w:val="24"/>
              </w:rPr>
              <w:t>年度預算數為基礎，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成長率，編列1,652億元。</w:t>
            </w:r>
          </w:p>
          <w:p w14:paraId="3BBEA7FE"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w:t>
            </w:r>
            <w:r w:rsidRPr="00DA5594">
              <w:rPr>
                <w:rFonts w:hAnsi="標楷體"/>
                <w:color w:val="000000" w:themeColor="text1"/>
                <w:spacing w:val="-20"/>
                <w:sz w:val="24"/>
                <w:szCs w:val="24"/>
              </w:rPr>
              <w:t>考量經濟成長帶動</w:t>
            </w:r>
            <w:r w:rsidRPr="00DA5594">
              <w:rPr>
                <w:rFonts w:hAnsi="標楷體" w:hint="eastAsia"/>
                <w:color w:val="000000" w:themeColor="text1"/>
                <w:spacing w:val="-20"/>
                <w:sz w:val="24"/>
                <w:szCs w:val="24"/>
              </w:rPr>
              <w:t>進口成長及</w:t>
            </w:r>
            <w:r w:rsidRPr="00DA5594">
              <w:rPr>
                <w:rFonts w:hAnsi="標楷體"/>
                <w:color w:val="000000" w:themeColor="text1"/>
                <w:spacing w:val="-20"/>
                <w:sz w:val="24"/>
                <w:szCs w:val="24"/>
              </w:rPr>
              <w:t>關稅收入增加，編列1,</w:t>
            </w:r>
            <w:r w:rsidRPr="00DA5594">
              <w:rPr>
                <w:rFonts w:hAnsi="標楷體" w:hint="eastAsia"/>
                <w:color w:val="000000" w:themeColor="text1"/>
                <w:spacing w:val="-20"/>
                <w:sz w:val="24"/>
                <w:szCs w:val="24"/>
              </w:rPr>
              <w:t>335</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1C3F89BA"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證券交易稅：</w:t>
            </w:r>
            <w:r w:rsidRPr="00DA5594">
              <w:rPr>
                <w:rFonts w:hAnsi="標楷體"/>
                <w:color w:val="000000" w:themeColor="text1"/>
                <w:spacing w:val="-20"/>
                <w:sz w:val="24"/>
                <w:szCs w:val="24"/>
              </w:rPr>
              <w:t>參</w:t>
            </w:r>
            <w:r w:rsidRPr="00DA5594">
              <w:rPr>
                <w:rFonts w:hAnsi="標楷體" w:hint="eastAsia"/>
                <w:color w:val="000000" w:themeColor="text1"/>
                <w:spacing w:val="-20"/>
                <w:sz w:val="24"/>
                <w:szCs w:val="24"/>
              </w:rPr>
              <w:t>考近2年稅收，</w:t>
            </w:r>
            <w:r w:rsidRPr="00DA5594">
              <w:rPr>
                <w:rFonts w:hAnsi="標楷體"/>
                <w:color w:val="000000" w:themeColor="text1"/>
                <w:spacing w:val="-20"/>
                <w:sz w:val="24"/>
                <w:szCs w:val="24"/>
              </w:rPr>
              <w:t>編列1,</w:t>
            </w:r>
            <w:r w:rsidRPr="00DA5594">
              <w:rPr>
                <w:rFonts w:hAnsi="標楷體" w:hint="eastAsia"/>
                <w:color w:val="000000" w:themeColor="text1"/>
                <w:spacing w:val="-20"/>
                <w:sz w:val="24"/>
                <w:szCs w:val="24"/>
              </w:rPr>
              <w:t>689</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4C935ED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菸酒稅：以</w:t>
            </w:r>
            <w:proofErr w:type="gramStart"/>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w:t>
            </w:r>
            <w:proofErr w:type="gramEnd"/>
            <w:r w:rsidRPr="00DA5594">
              <w:rPr>
                <w:rFonts w:hAnsi="標楷體" w:hint="eastAsia"/>
                <w:color w:val="000000" w:themeColor="text1"/>
                <w:spacing w:val="-20"/>
                <w:sz w:val="24"/>
                <w:szCs w:val="24"/>
              </w:rPr>
              <w:t>年度預算數為基礎，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340</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4CAB2A4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8.</w:t>
            </w:r>
            <w:r w:rsidRPr="00DA5594">
              <w:rPr>
                <w:rFonts w:hAnsi="標楷體" w:hint="eastAsia"/>
                <w:color w:val="000000" w:themeColor="text1"/>
                <w:spacing w:val="-20"/>
                <w:sz w:val="24"/>
                <w:szCs w:val="24"/>
              </w:rPr>
              <w:t>遺產及贈與稅：遺產及贈與稅具機會稅性質，按</w:t>
            </w:r>
            <w:proofErr w:type="gramStart"/>
            <w:r w:rsidRPr="00DA5594">
              <w:rPr>
                <w:rFonts w:hAnsi="標楷體" w:hint="eastAsia"/>
                <w:color w:val="000000" w:themeColor="text1"/>
                <w:spacing w:val="-20"/>
                <w:sz w:val="24"/>
                <w:szCs w:val="24"/>
              </w:rPr>
              <w:t>11</w:t>
            </w:r>
            <w:r w:rsidRPr="00DA5594">
              <w:rPr>
                <w:rFonts w:hAnsi="標楷體"/>
                <w:color w:val="000000" w:themeColor="text1"/>
                <w:spacing w:val="-20"/>
                <w:sz w:val="24"/>
                <w:szCs w:val="24"/>
              </w:rPr>
              <w:t>0</w:t>
            </w:r>
            <w:proofErr w:type="gramEnd"/>
            <w:r w:rsidRPr="00DA5594">
              <w:rPr>
                <w:rFonts w:hAnsi="標楷體" w:hint="eastAsia"/>
                <w:color w:val="000000" w:themeColor="text1"/>
                <w:spacing w:val="-20"/>
                <w:sz w:val="24"/>
                <w:szCs w:val="24"/>
              </w:rPr>
              <w:t>年度預算數，編列</w:t>
            </w:r>
            <w:r w:rsidRPr="00DA5594">
              <w:rPr>
                <w:rFonts w:hAnsi="標楷體"/>
                <w:color w:val="000000" w:themeColor="text1"/>
                <w:spacing w:val="-20"/>
                <w:sz w:val="24"/>
                <w:szCs w:val="24"/>
              </w:rPr>
              <w:t>13</w:t>
            </w:r>
            <w:r w:rsidRPr="00DA5594">
              <w:rPr>
                <w:rFonts w:hAnsi="標楷體" w:hint="eastAsia"/>
                <w:color w:val="000000" w:themeColor="text1"/>
                <w:spacing w:val="-20"/>
                <w:sz w:val="24"/>
                <w:szCs w:val="24"/>
              </w:rPr>
              <w:t>6億元。</w:t>
            </w:r>
          </w:p>
          <w:p w14:paraId="5D812E5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9.</w:t>
            </w:r>
            <w:r w:rsidRPr="00DA5594">
              <w:rPr>
                <w:rFonts w:hAnsi="標楷體" w:hint="eastAsia"/>
                <w:color w:val="000000" w:themeColor="text1"/>
                <w:spacing w:val="-20"/>
                <w:sz w:val="24"/>
                <w:szCs w:val="24"/>
              </w:rPr>
              <w:t>期貨交易稅：</w:t>
            </w:r>
            <w:r w:rsidRPr="00DA5594">
              <w:rPr>
                <w:rFonts w:hAnsi="標楷體"/>
                <w:color w:val="000000" w:themeColor="text1"/>
                <w:spacing w:val="-20"/>
                <w:sz w:val="24"/>
                <w:szCs w:val="24"/>
              </w:rPr>
              <w:t>參</w:t>
            </w:r>
            <w:r w:rsidRPr="00DA5594">
              <w:rPr>
                <w:rFonts w:hAnsi="標楷體" w:hint="eastAsia"/>
                <w:color w:val="000000" w:themeColor="text1"/>
                <w:spacing w:val="-20"/>
                <w:sz w:val="24"/>
                <w:szCs w:val="24"/>
              </w:rPr>
              <w:t>考近2年稅收，</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78</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3FDBD649"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特種貨物及勞務稅：以</w:t>
            </w:r>
            <w:proofErr w:type="gramStart"/>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0</w:t>
            </w:r>
            <w:proofErr w:type="gramEnd"/>
            <w:r w:rsidRPr="00DA5594">
              <w:rPr>
                <w:rFonts w:hAnsi="標楷體" w:hint="eastAsia"/>
                <w:color w:val="000000" w:themeColor="text1"/>
                <w:spacing w:val="-20"/>
                <w:sz w:val="24"/>
                <w:szCs w:val="24"/>
              </w:rPr>
              <w:t>年度預算數為基礎，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w:t>
            </w:r>
            <w:r w:rsidRPr="00DA5594">
              <w:rPr>
                <w:rFonts w:hAnsi="標楷體"/>
                <w:color w:val="000000" w:themeColor="text1"/>
                <w:spacing w:val="-20"/>
                <w:sz w:val="24"/>
                <w:szCs w:val="24"/>
              </w:rPr>
              <w:t>編列2</w:t>
            </w:r>
            <w:r w:rsidRPr="00DA5594">
              <w:rPr>
                <w:rFonts w:hAnsi="標楷體" w:hint="eastAsia"/>
                <w:color w:val="000000" w:themeColor="text1"/>
                <w:spacing w:val="-20"/>
                <w:sz w:val="24"/>
                <w:szCs w:val="24"/>
              </w:rPr>
              <w:t>6</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tc>
      </w:tr>
      <w:tr w:rsidR="00DA5594" w:rsidRPr="00DA5594" w14:paraId="5E6BC21E" w14:textId="77777777" w:rsidTr="009F60E8">
        <w:tc>
          <w:tcPr>
            <w:tcW w:w="709" w:type="dxa"/>
            <w:vAlign w:val="center"/>
          </w:tcPr>
          <w:p w14:paraId="16EF109A"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t>112</w:t>
            </w:r>
          </w:p>
        </w:tc>
        <w:tc>
          <w:tcPr>
            <w:tcW w:w="8080" w:type="dxa"/>
          </w:tcPr>
          <w:p w14:paraId="6C5CAF8C"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112</w:t>
            </w:r>
            <w:proofErr w:type="gramEnd"/>
            <w:r w:rsidRPr="00DA5594">
              <w:rPr>
                <w:rFonts w:hAnsi="標楷體"/>
                <w:color w:val="000000" w:themeColor="text1"/>
                <w:spacing w:val="-20"/>
                <w:sz w:val="24"/>
                <w:szCs w:val="24"/>
              </w:rPr>
              <w:t>年度</w:t>
            </w:r>
            <w:r w:rsidRPr="00DA5594">
              <w:rPr>
                <w:rFonts w:hAnsi="標楷體" w:hint="eastAsia"/>
                <w:color w:val="000000" w:themeColor="text1"/>
                <w:spacing w:val="-20"/>
                <w:sz w:val="24"/>
                <w:szCs w:val="24"/>
              </w:rPr>
              <w:t>共編列2兆1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749億元，占歲入總額85.1％，較上年度預算數</w:t>
            </w:r>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兆9</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038億元，增加2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711億元，約增14.2％，主要係增列所得稅3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097億元、營業稅</w:t>
            </w:r>
            <w:r w:rsidRPr="00DA5594">
              <w:rPr>
                <w:rFonts w:hAnsi="標楷體"/>
                <w:color w:val="000000" w:themeColor="text1"/>
                <w:spacing w:val="-20"/>
                <w:sz w:val="24"/>
                <w:szCs w:val="24"/>
              </w:rPr>
              <w:t>68</w:t>
            </w:r>
            <w:r w:rsidRPr="00DA5594">
              <w:rPr>
                <w:rFonts w:hAnsi="標楷體" w:hint="eastAsia"/>
                <w:color w:val="000000" w:themeColor="text1"/>
                <w:spacing w:val="-20"/>
                <w:sz w:val="24"/>
                <w:szCs w:val="24"/>
              </w:rPr>
              <w:t>億元、關稅2</w:t>
            </w: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億元，減列貨物稅</w:t>
            </w:r>
            <w:r w:rsidRPr="00DA5594">
              <w:rPr>
                <w:rFonts w:hAnsi="標楷體"/>
                <w:color w:val="000000" w:themeColor="text1"/>
                <w:spacing w:val="-20"/>
                <w:sz w:val="24"/>
                <w:szCs w:val="24"/>
              </w:rPr>
              <w:t>25</w:t>
            </w:r>
            <w:r w:rsidRPr="00DA5594">
              <w:rPr>
                <w:rFonts w:hAnsi="標楷體" w:hint="eastAsia"/>
                <w:color w:val="000000" w:themeColor="text1"/>
                <w:spacing w:val="-20"/>
                <w:sz w:val="24"/>
                <w:szCs w:val="24"/>
              </w:rPr>
              <w:t>1億元、證券交易稅</w:t>
            </w:r>
            <w:r w:rsidRPr="00DA5594">
              <w:rPr>
                <w:rFonts w:hAnsi="標楷體"/>
                <w:color w:val="000000" w:themeColor="text1"/>
                <w:spacing w:val="-20"/>
                <w:sz w:val="24"/>
                <w:szCs w:val="24"/>
              </w:rPr>
              <w:t>223</w:t>
            </w:r>
            <w:r w:rsidRPr="00DA5594">
              <w:rPr>
                <w:rFonts w:hAnsi="標楷體" w:hint="eastAsia"/>
                <w:color w:val="000000" w:themeColor="text1"/>
                <w:spacing w:val="-20"/>
                <w:sz w:val="24"/>
                <w:szCs w:val="24"/>
              </w:rPr>
              <w:t>億元。</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 xml:space="preserve">情形說明如下： </w:t>
            </w:r>
          </w:p>
          <w:p w14:paraId="3AC77244"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營利事業所得稅：以結算、未分配盈餘及暫繳申報自繳稅額為基礎，</w:t>
            </w:r>
            <w:proofErr w:type="gramStart"/>
            <w:r w:rsidRPr="00DA5594">
              <w:rPr>
                <w:rFonts w:hAnsi="標楷體" w:hint="eastAsia"/>
                <w:color w:val="000000" w:themeColor="text1"/>
                <w:spacing w:val="-20"/>
                <w:sz w:val="24"/>
                <w:szCs w:val="24"/>
              </w:rPr>
              <w:t>參據營利</w:t>
            </w:r>
            <w:proofErr w:type="gramEnd"/>
            <w:r w:rsidRPr="00DA5594">
              <w:rPr>
                <w:rFonts w:hAnsi="標楷體" w:hint="eastAsia"/>
                <w:color w:val="000000" w:themeColor="text1"/>
                <w:spacing w:val="-20"/>
                <w:sz w:val="24"/>
                <w:szCs w:val="24"/>
              </w:rPr>
              <w:t>事業銷售額成長、上市櫃公司獲利情形、經濟成長率及納入稅制調整因素，編列</w:t>
            </w:r>
            <w:r w:rsidRPr="00DA5594">
              <w:rPr>
                <w:rFonts w:hAnsi="標楷體"/>
                <w:color w:val="000000" w:themeColor="text1"/>
                <w:spacing w:val="-20"/>
                <w:sz w:val="24"/>
                <w:szCs w:val="24"/>
              </w:rPr>
              <w:t>9,097</w:t>
            </w:r>
            <w:r w:rsidRPr="00DA5594">
              <w:rPr>
                <w:rFonts w:hAnsi="標楷體" w:hint="eastAsia"/>
                <w:color w:val="000000" w:themeColor="text1"/>
                <w:spacing w:val="-20"/>
                <w:sz w:val="24"/>
                <w:szCs w:val="24"/>
              </w:rPr>
              <w:t>億元。</w:t>
            </w:r>
          </w:p>
          <w:p w14:paraId="10775D7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w:t>
            </w:r>
            <w:r w:rsidRPr="00DA5594">
              <w:rPr>
                <w:rFonts w:hAnsi="標楷體"/>
                <w:color w:val="000000" w:themeColor="text1"/>
                <w:spacing w:val="-20"/>
                <w:sz w:val="24"/>
                <w:szCs w:val="24"/>
              </w:rPr>
              <w:t>以結算申報稅收淨額及扣繳稅額為基礎，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成長率及納入稅制調整因素，</w:t>
            </w:r>
            <w:r w:rsidRPr="00DA5594">
              <w:rPr>
                <w:rFonts w:hAnsi="標楷體"/>
                <w:color w:val="000000" w:themeColor="text1"/>
                <w:spacing w:val="-20"/>
                <w:sz w:val="24"/>
                <w:szCs w:val="24"/>
              </w:rPr>
              <w:t>編列5,082億元</w:t>
            </w:r>
            <w:r w:rsidRPr="00DA5594">
              <w:rPr>
                <w:rFonts w:hAnsi="標楷體" w:hint="eastAsia"/>
                <w:color w:val="000000" w:themeColor="text1"/>
                <w:spacing w:val="-20"/>
                <w:sz w:val="24"/>
                <w:szCs w:val="24"/>
              </w:rPr>
              <w:t>。</w:t>
            </w:r>
          </w:p>
          <w:p w14:paraId="4E49720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營業稅：以近3年全國實徵數為基礎，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w:t>
            </w:r>
            <w:r w:rsidRPr="00DA5594">
              <w:rPr>
                <w:rFonts w:hAnsi="標楷體"/>
                <w:color w:val="000000" w:themeColor="text1"/>
                <w:spacing w:val="-20"/>
                <w:sz w:val="24"/>
                <w:szCs w:val="24"/>
              </w:rPr>
              <w:t>2,688億元</w:t>
            </w:r>
            <w:r w:rsidRPr="00DA5594">
              <w:rPr>
                <w:rFonts w:hAnsi="標楷體" w:hint="eastAsia"/>
                <w:color w:val="000000" w:themeColor="text1"/>
                <w:spacing w:val="-20"/>
                <w:sz w:val="24"/>
                <w:szCs w:val="24"/>
              </w:rPr>
              <w:t>。</w:t>
            </w:r>
          </w:p>
          <w:p w14:paraId="72A746AF"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貨物稅：以111年1至6月實徵</w:t>
            </w:r>
            <w:proofErr w:type="gramStart"/>
            <w:r w:rsidRPr="00DA5594">
              <w:rPr>
                <w:rFonts w:hAnsi="標楷體" w:hint="eastAsia"/>
                <w:color w:val="000000" w:themeColor="text1"/>
                <w:spacing w:val="-20"/>
                <w:sz w:val="24"/>
                <w:szCs w:val="24"/>
              </w:rPr>
              <w:t>數推估當</w:t>
            </w:r>
            <w:proofErr w:type="gramEnd"/>
            <w:r w:rsidRPr="00DA5594">
              <w:rPr>
                <w:rFonts w:hAnsi="標楷體" w:hint="eastAsia"/>
                <w:color w:val="000000" w:themeColor="text1"/>
                <w:spacing w:val="-20"/>
                <w:sz w:val="24"/>
                <w:szCs w:val="24"/>
              </w:rPr>
              <w:t>年度全年實徵數，</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成長率及穩定物價機動調降水泥、汽柴油貨物稅措施影響，編列</w:t>
            </w:r>
            <w:r w:rsidRPr="00DA5594">
              <w:rPr>
                <w:rFonts w:hAnsi="標楷體"/>
                <w:color w:val="000000" w:themeColor="text1"/>
                <w:spacing w:val="-20"/>
                <w:sz w:val="24"/>
                <w:szCs w:val="24"/>
              </w:rPr>
              <w:t>1,401</w:t>
            </w:r>
            <w:r w:rsidRPr="00DA5594">
              <w:rPr>
                <w:rFonts w:hAnsi="標楷體" w:hint="eastAsia"/>
                <w:color w:val="000000" w:themeColor="text1"/>
                <w:spacing w:val="-20"/>
                <w:sz w:val="24"/>
                <w:szCs w:val="24"/>
              </w:rPr>
              <w:t>億元。</w:t>
            </w:r>
          </w:p>
          <w:p w14:paraId="164F9BDE"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w:t>
            </w:r>
            <w:r w:rsidRPr="00DA5594">
              <w:rPr>
                <w:rFonts w:hAnsi="標楷體"/>
                <w:color w:val="000000" w:themeColor="text1"/>
                <w:spacing w:val="-20"/>
                <w:sz w:val="24"/>
                <w:szCs w:val="24"/>
              </w:rPr>
              <w:t>考量經濟成長帶動</w:t>
            </w:r>
            <w:r w:rsidRPr="00DA5594">
              <w:rPr>
                <w:rFonts w:hAnsi="標楷體" w:hint="eastAsia"/>
                <w:color w:val="000000" w:themeColor="text1"/>
                <w:spacing w:val="-20"/>
                <w:sz w:val="24"/>
                <w:szCs w:val="24"/>
              </w:rPr>
              <w:t>進口成長及</w:t>
            </w:r>
            <w:r w:rsidRPr="00DA5594">
              <w:rPr>
                <w:rFonts w:hAnsi="標楷體"/>
                <w:color w:val="000000" w:themeColor="text1"/>
                <w:spacing w:val="-20"/>
                <w:sz w:val="24"/>
                <w:szCs w:val="24"/>
              </w:rPr>
              <w:t>關稅收入增加，編列1,</w:t>
            </w:r>
            <w:r w:rsidRPr="00DA5594">
              <w:rPr>
                <w:rFonts w:hAnsi="標楷體" w:hint="eastAsia"/>
                <w:color w:val="000000" w:themeColor="text1"/>
                <w:spacing w:val="-20"/>
                <w:sz w:val="24"/>
                <w:szCs w:val="24"/>
              </w:rPr>
              <w:t>361</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071B438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證券交易稅：</w:t>
            </w:r>
            <w:r w:rsidRPr="00DA5594">
              <w:rPr>
                <w:rFonts w:hAnsi="標楷體"/>
                <w:color w:val="000000" w:themeColor="text1"/>
                <w:spacing w:val="-20"/>
                <w:sz w:val="24"/>
                <w:szCs w:val="24"/>
              </w:rPr>
              <w:t>參</w:t>
            </w:r>
            <w:r w:rsidRPr="00DA5594">
              <w:rPr>
                <w:rFonts w:hAnsi="標楷體" w:hint="eastAsia"/>
                <w:color w:val="000000" w:themeColor="text1"/>
                <w:spacing w:val="-20"/>
                <w:sz w:val="24"/>
                <w:szCs w:val="24"/>
              </w:rPr>
              <w:t>考近4年稅收，</w:t>
            </w:r>
            <w:r w:rsidRPr="00DA5594">
              <w:rPr>
                <w:rFonts w:hAnsi="標楷體"/>
                <w:color w:val="000000" w:themeColor="text1"/>
                <w:spacing w:val="-20"/>
                <w:sz w:val="24"/>
                <w:szCs w:val="24"/>
              </w:rPr>
              <w:t>編列1,546億元</w:t>
            </w:r>
            <w:r w:rsidRPr="00DA5594">
              <w:rPr>
                <w:rFonts w:hAnsi="標楷體" w:hint="eastAsia"/>
                <w:color w:val="000000" w:themeColor="text1"/>
                <w:spacing w:val="-20"/>
                <w:sz w:val="24"/>
                <w:szCs w:val="24"/>
              </w:rPr>
              <w:t>。</w:t>
            </w:r>
          </w:p>
          <w:p w14:paraId="3BFA6E81"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菸酒稅：以</w:t>
            </w:r>
            <w:proofErr w:type="gramStart"/>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11</w:t>
            </w:r>
            <w:proofErr w:type="gramEnd"/>
            <w:r w:rsidRPr="00DA5594">
              <w:rPr>
                <w:rFonts w:hAnsi="標楷體" w:hint="eastAsia"/>
                <w:color w:val="000000" w:themeColor="text1"/>
                <w:spacing w:val="-20"/>
                <w:sz w:val="24"/>
                <w:szCs w:val="24"/>
              </w:rPr>
              <w:t>年度預算數為基礎，編</w:t>
            </w:r>
            <w:r w:rsidRPr="00DA5594">
              <w:rPr>
                <w:rFonts w:hAnsi="標楷體"/>
                <w:color w:val="000000" w:themeColor="text1"/>
                <w:spacing w:val="-20"/>
                <w:sz w:val="24"/>
                <w:szCs w:val="24"/>
              </w:rPr>
              <w:t>列</w:t>
            </w:r>
            <w:r w:rsidRPr="00DA5594">
              <w:rPr>
                <w:rFonts w:hAnsi="標楷體" w:hint="eastAsia"/>
                <w:color w:val="000000" w:themeColor="text1"/>
                <w:spacing w:val="-20"/>
                <w:sz w:val="24"/>
                <w:szCs w:val="24"/>
              </w:rPr>
              <w:t>340</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116E2A4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8.</w:t>
            </w:r>
            <w:r w:rsidRPr="00DA5594">
              <w:rPr>
                <w:rFonts w:hAnsi="標楷體" w:hint="eastAsia"/>
                <w:color w:val="000000" w:themeColor="text1"/>
                <w:spacing w:val="-20"/>
                <w:sz w:val="24"/>
                <w:szCs w:val="24"/>
              </w:rPr>
              <w:t>遺產及贈與稅：遺產及贈與稅具機會稅性質，按</w:t>
            </w:r>
            <w:proofErr w:type="gramStart"/>
            <w:r w:rsidRPr="00DA5594">
              <w:rPr>
                <w:rFonts w:hAnsi="標楷體" w:hint="eastAsia"/>
                <w:color w:val="000000" w:themeColor="text1"/>
                <w:spacing w:val="-20"/>
                <w:sz w:val="24"/>
                <w:szCs w:val="24"/>
              </w:rPr>
              <w:t>111</w:t>
            </w:r>
            <w:proofErr w:type="gramEnd"/>
            <w:r w:rsidRPr="00DA5594">
              <w:rPr>
                <w:rFonts w:hAnsi="標楷體" w:hint="eastAsia"/>
                <w:color w:val="000000" w:themeColor="text1"/>
                <w:spacing w:val="-20"/>
                <w:sz w:val="24"/>
                <w:szCs w:val="24"/>
              </w:rPr>
              <w:t>年度預算數，編列</w:t>
            </w:r>
            <w:r w:rsidRPr="00DA5594">
              <w:rPr>
                <w:rFonts w:hAnsi="標楷體"/>
                <w:color w:val="000000" w:themeColor="text1"/>
                <w:spacing w:val="-20"/>
                <w:sz w:val="24"/>
                <w:szCs w:val="24"/>
              </w:rPr>
              <w:t>13</w:t>
            </w:r>
            <w:r w:rsidRPr="00DA5594">
              <w:rPr>
                <w:rFonts w:hAnsi="標楷體" w:hint="eastAsia"/>
                <w:color w:val="000000" w:themeColor="text1"/>
                <w:spacing w:val="-20"/>
                <w:sz w:val="24"/>
                <w:szCs w:val="24"/>
              </w:rPr>
              <w:t>5億元。</w:t>
            </w:r>
          </w:p>
          <w:p w14:paraId="4A57957E"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lastRenderedPageBreak/>
              <w:t>9.</w:t>
            </w:r>
            <w:r w:rsidRPr="00DA5594">
              <w:rPr>
                <w:rFonts w:hAnsi="標楷體" w:hint="eastAsia"/>
                <w:color w:val="000000" w:themeColor="text1"/>
                <w:spacing w:val="-20"/>
                <w:sz w:val="24"/>
                <w:szCs w:val="24"/>
              </w:rPr>
              <w:t>期貨交易稅：</w:t>
            </w:r>
            <w:r w:rsidRPr="00DA5594">
              <w:rPr>
                <w:rFonts w:hAnsi="標楷體"/>
                <w:color w:val="000000" w:themeColor="text1"/>
                <w:spacing w:val="-20"/>
                <w:sz w:val="24"/>
                <w:szCs w:val="24"/>
              </w:rPr>
              <w:t>參</w:t>
            </w:r>
            <w:r w:rsidRPr="00DA5594">
              <w:rPr>
                <w:rFonts w:hAnsi="標楷體" w:hint="eastAsia"/>
                <w:color w:val="000000" w:themeColor="text1"/>
                <w:spacing w:val="-20"/>
                <w:sz w:val="24"/>
                <w:szCs w:val="24"/>
              </w:rPr>
              <w:t>考近4年稅收，</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72</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p w14:paraId="1D0EDE1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特種貨物及勞務稅：以</w:t>
            </w:r>
            <w:proofErr w:type="gramStart"/>
            <w:r w:rsidRPr="00DA5594">
              <w:rPr>
                <w:rFonts w:hAnsi="標楷體"/>
                <w:color w:val="000000" w:themeColor="text1"/>
                <w:spacing w:val="-20"/>
                <w:sz w:val="24"/>
                <w:szCs w:val="24"/>
              </w:rPr>
              <w:t>1</w:t>
            </w:r>
            <w:r w:rsidRPr="00DA5594">
              <w:rPr>
                <w:rFonts w:hAnsi="標楷體" w:hint="eastAsia"/>
                <w:color w:val="000000" w:themeColor="text1"/>
                <w:spacing w:val="-20"/>
                <w:sz w:val="24"/>
                <w:szCs w:val="24"/>
              </w:rPr>
              <w:t>11</w:t>
            </w:r>
            <w:proofErr w:type="gramEnd"/>
            <w:r w:rsidRPr="00DA5594">
              <w:rPr>
                <w:rFonts w:hAnsi="標楷體" w:hint="eastAsia"/>
                <w:color w:val="000000" w:themeColor="text1"/>
                <w:spacing w:val="-20"/>
                <w:sz w:val="24"/>
                <w:szCs w:val="24"/>
              </w:rPr>
              <w:t>年度預算數為基礎，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w:t>
            </w:r>
            <w:r w:rsidRPr="00DA5594">
              <w:rPr>
                <w:rFonts w:hAnsi="標楷體"/>
                <w:color w:val="000000" w:themeColor="text1"/>
                <w:spacing w:val="-20"/>
                <w:sz w:val="24"/>
                <w:szCs w:val="24"/>
              </w:rPr>
              <w:t>編列2</w:t>
            </w:r>
            <w:r w:rsidRPr="00DA5594">
              <w:rPr>
                <w:rFonts w:hAnsi="標楷體" w:hint="eastAsia"/>
                <w:color w:val="000000" w:themeColor="text1"/>
                <w:spacing w:val="-20"/>
                <w:sz w:val="24"/>
                <w:szCs w:val="24"/>
              </w:rPr>
              <w:t>7</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w:t>
            </w:r>
          </w:p>
        </w:tc>
      </w:tr>
      <w:tr w:rsidR="00DA5594" w:rsidRPr="00DA5594" w14:paraId="040C66E9" w14:textId="77777777" w:rsidTr="009F60E8">
        <w:tc>
          <w:tcPr>
            <w:tcW w:w="709" w:type="dxa"/>
            <w:vAlign w:val="center"/>
          </w:tcPr>
          <w:p w14:paraId="6702F2F4"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lastRenderedPageBreak/>
              <w:t>113</w:t>
            </w:r>
          </w:p>
        </w:tc>
        <w:tc>
          <w:tcPr>
            <w:tcW w:w="8080" w:type="dxa"/>
          </w:tcPr>
          <w:p w14:paraId="772F76B8"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hint="eastAsia"/>
                <w:color w:val="000000" w:themeColor="text1"/>
                <w:spacing w:val="-20"/>
                <w:sz w:val="24"/>
                <w:szCs w:val="24"/>
              </w:rPr>
              <w:t>113</w:t>
            </w:r>
            <w:proofErr w:type="gramEnd"/>
            <w:r w:rsidRPr="00DA5594">
              <w:rPr>
                <w:rFonts w:hAnsi="標楷體" w:hint="eastAsia"/>
                <w:color w:val="000000" w:themeColor="text1"/>
                <w:spacing w:val="-20"/>
                <w:sz w:val="24"/>
                <w:szCs w:val="24"/>
              </w:rPr>
              <w:t>年度共編列2兆2,990億元，占歲入總額84.9％，較上年度預算數2兆1,949億元，增加1,041億元，約增4.7％，主要係增列營業稅577億元、證券交易稅536億元、關稅126億元及貨物稅99億元，減列所得稅309億元。</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72EA694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營利事業所得稅：以結算、未分配盈餘及暫繳申報自繳稅額為基礎，</w:t>
            </w:r>
            <w:proofErr w:type="gramStart"/>
            <w:r w:rsidRPr="00DA5594">
              <w:rPr>
                <w:rFonts w:hAnsi="標楷體" w:hint="eastAsia"/>
                <w:color w:val="000000" w:themeColor="text1"/>
                <w:spacing w:val="-20"/>
                <w:sz w:val="24"/>
                <w:szCs w:val="24"/>
              </w:rPr>
              <w:t>參據關鍵</w:t>
            </w:r>
            <w:proofErr w:type="gramEnd"/>
            <w:r w:rsidRPr="00DA5594">
              <w:rPr>
                <w:rFonts w:hAnsi="標楷體" w:hint="eastAsia"/>
                <w:color w:val="000000" w:themeColor="text1"/>
                <w:spacing w:val="-20"/>
                <w:sz w:val="24"/>
                <w:szCs w:val="24"/>
              </w:rPr>
              <w:t>影響因子(如出口、工業生產指數等)變動情形，並納入稅制調整因素，編列8,428億元。</w:t>
            </w:r>
          </w:p>
          <w:p w14:paraId="25D4B88F"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綜合所得稅：以結算申報稅收淨入庫數、扣繳稅額及核定補徵稅額為基礎，</w:t>
            </w:r>
            <w:proofErr w:type="gramStart"/>
            <w:r w:rsidRPr="00DA5594">
              <w:rPr>
                <w:rFonts w:hAnsi="標楷體" w:hint="eastAsia"/>
                <w:color w:val="000000" w:themeColor="text1"/>
                <w:spacing w:val="-20"/>
                <w:sz w:val="24"/>
                <w:szCs w:val="24"/>
              </w:rPr>
              <w:t>參據關鍵</w:t>
            </w:r>
            <w:proofErr w:type="gramEnd"/>
            <w:r w:rsidRPr="00DA5594">
              <w:rPr>
                <w:rFonts w:hAnsi="標楷體" w:hint="eastAsia"/>
                <w:color w:val="000000" w:themeColor="text1"/>
                <w:spacing w:val="-20"/>
                <w:sz w:val="24"/>
                <w:szCs w:val="24"/>
              </w:rPr>
              <w:t>影響因子(如基本工資調整、政策利率調升等)變動情形，並納入稅制調整因素，編列5,623億元。</w:t>
            </w:r>
          </w:p>
          <w:p w14:paraId="6CB9069C"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w:t>
            </w:r>
            <w:proofErr w:type="gramStart"/>
            <w:r w:rsidRPr="00DA5594">
              <w:rPr>
                <w:rFonts w:hAnsi="標楷體" w:hint="eastAsia"/>
                <w:color w:val="000000" w:themeColor="text1"/>
                <w:spacing w:val="-20"/>
                <w:sz w:val="24"/>
                <w:szCs w:val="24"/>
              </w:rPr>
              <w:t>112</w:t>
            </w:r>
            <w:proofErr w:type="gramEnd"/>
            <w:r w:rsidRPr="00DA5594">
              <w:rPr>
                <w:rFonts w:hAnsi="標楷體" w:hint="eastAsia"/>
                <w:color w:val="000000" w:themeColor="text1"/>
                <w:spacing w:val="-20"/>
                <w:sz w:val="24"/>
                <w:szCs w:val="24"/>
              </w:rPr>
              <w:t>年度消費支出預估數為基礎，</w:t>
            </w:r>
            <w:proofErr w:type="gramStart"/>
            <w:r w:rsidRPr="00DA5594">
              <w:rPr>
                <w:rFonts w:hAnsi="標楷體" w:hint="eastAsia"/>
                <w:color w:val="000000" w:themeColor="text1"/>
                <w:spacing w:val="-20"/>
                <w:sz w:val="24"/>
                <w:szCs w:val="24"/>
              </w:rPr>
              <w:t>參據民間</w:t>
            </w:r>
            <w:proofErr w:type="gramEnd"/>
            <w:r w:rsidRPr="00DA5594">
              <w:rPr>
                <w:rFonts w:hAnsi="標楷體" w:hint="eastAsia"/>
                <w:color w:val="000000" w:themeColor="text1"/>
                <w:spacing w:val="-20"/>
                <w:sz w:val="24"/>
                <w:szCs w:val="24"/>
              </w:rPr>
              <w:t>消費成長率與營業稅稅收占消費支出占比計算之</w:t>
            </w:r>
            <w:proofErr w:type="gramStart"/>
            <w:r w:rsidRPr="00DA5594">
              <w:rPr>
                <w:rFonts w:hAnsi="標楷體" w:hint="eastAsia"/>
                <w:color w:val="000000" w:themeColor="text1"/>
                <w:spacing w:val="-20"/>
                <w:sz w:val="24"/>
                <w:szCs w:val="24"/>
              </w:rPr>
              <w:t>推估數</w:t>
            </w:r>
            <w:proofErr w:type="gramEnd"/>
            <w:r w:rsidRPr="00DA5594">
              <w:rPr>
                <w:rFonts w:hAnsi="標楷體" w:hint="eastAsia"/>
                <w:color w:val="000000" w:themeColor="text1"/>
                <w:spacing w:val="-20"/>
                <w:sz w:val="24"/>
                <w:szCs w:val="24"/>
              </w:rPr>
              <w:t>，及A</w:t>
            </w:r>
            <w:r w:rsidRPr="00DA5594">
              <w:rPr>
                <w:rFonts w:hAnsi="標楷體"/>
                <w:color w:val="000000" w:themeColor="text1"/>
                <w:spacing w:val="-20"/>
                <w:sz w:val="24"/>
                <w:szCs w:val="24"/>
              </w:rPr>
              <w:t>I</w:t>
            </w:r>
            <w:r w:rsidRPr="00DA5594">
              <w:rPr>
                <w:rFonts w:hAnsi="標楷體" w:hint="eastAsia"/>
                <w:color w:val="000000" w:themeColor="text1"/>
                <w:spacing w:val="-20"/>
                <w:sz w:val="24"/>
                <w:szCs w:val="24"/>
              </w:rPr>
              <w:t>稅務模型</w:t>
            </w:r>
            <w:proofErr w:type="gramStart"/>
            <w:r w:rsidRPr="00DA5594">
              <w:rPr>
                <w:rFonts w:hAnsi="標楷體" w:hint="eastAsia"/>
                <w:color w:val="000000" w:themeColor="text1"/>
                <w:spacing w:val="-20"/>
                <w:sz w:val="24"/>
                <w:szCs w:val="24"/>
              </w:rPr>
              <w:t>推估數</w:t>
            </w:r>
            <w:proofErr w:type="gramEnd"/>
            <w:r w:rsidRPr="00DA5594">
              <w:rPr>
                <w:rFonts w:hAnsi="標楷體" w:hint="eastAsia"/>
                <w:color w:val="000000" w:themeColor="text1"/>
                <w:spacing w:val="-20"/>
                <w:sz w:val="24"/>
                <w:szCs w:val="24"/>
              </w:rPr>
              <w:t>，取</w:t>
            </w:r>
            <w:proofErr w:type="gramStart"/>
            <w:r w:rsidRPr="00DA5594">
              <w:rPr>
                <w:rFonts w:hAnsi="標楷體" w:hint="eastAsia"/>
                <w:color w:val="000000" w:themeColor="text1"/>
                <w:spacing w:val="-20"/>
                <w:sz w:val="24"/>
                <w:szCs w:val="24"/>
              </w:rPr>
              <w:t>均值推</w:t>
            </w:r>
            <w:proofErr w:type="gramEnd"/>
            <w:r w:rsidRPr="00DA5594">
              <w:rPr>
                <w:rFonts w:hAnsi="標楷體" w:hint="eastAsia"/>
                <w:color w:val="000000" w:themeColor="text1"/>
                <w:spacing w:val="-20"/>
                <w:sz w:val="24"/>
                <w:szCs w:val="24"/>
              </w:rPr>
              <w:t>估，編列3,275億元。</w:t>
            </w:r>
          </w:p>
          <w:p w14:paraId="113F858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貨物稅：以110及</w:t>
            </w:r>
            <w:proofErr w:type="gramStart"/>
            <w:r w:rsidRPr="00DA5594">
              <w:rPr>
                <w:rFonts w:hAnsi="標楷體" w:hint="eastAsia"/>
                <w:color w:val="000000" w:themeColor="text1"/>
                <w:spacing w:val="-20"/>
                <w:sz w:val="24"/>
                <w:szCs w:val="24"/>
              </w:rPr>
              <w:t>111</w:t>
            </w:r>
            <w:proofErr w:type="gramEnd"/>
            <w:r w:rsidRPr="00DA5594">
              <w:rPr>
                <w:rFonts w:hAnsi="標楷體" w:hint="eastAsia"/>
                <w:color w:val="000000" w:themeColor="text1"/>
                <w:spacing w:val="-20"/>
                <w:sz w:val="24"/>
                <w:szCs w:val="24"/>
              </w:rPr>
              <w:t>年度實徵平均數編列1,501億元。</w:t>
            </w:r>
          </w:p>
          <w:p w14:paraId="4CF1A95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關稅：考量經濟成長帶動進口增長，編列1,488億元。</w:t>
            </w:r>
          </w:p>
          <w:p w14:paraId="6DFB262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證券交易稅：以112年4至7月證券市場日均成交值、</w:t>
            </w:r>
            <w:proofErr w:type="gramStart"/>
            <w:r w:rsidRPr="00DA5594">
              <w:rPr>
                <w:rFonts w:hAnsi="標楷體" w:hint="eastAsia"/>
                <w:color w:val="000000" w:themeColor="text1"/>
                <w:spacing w:val="-20"/>
                <w:sz w:val="24"/>
                <w:szCs w:val="24"/>
              </w:rPr>
              <w:t>當沖占比</w:t>
            </w:r>
            <w:proofErr w:type="gramEnd"/>
            <w:r w:rsidRPr="00DA5594">
              <w:rPr>
                <w:rFonts w:hAnsi="標楷體" w:hint="eastAsia"/>
                <w:color w:val="000000" w:themeColor="text1"/>
                <w:spacing w:val="-20"/>
                <w:sz w:val="24"/>
                <w:szCs w:val="24"/>
              </w:rPr>
              <w:t>及交易日數為基礎，編列2,087億元。</w:t>
            </w:r>
          </w:p>
          <w:p w14:paraId="56F3B069"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菸酒稅：按</w:t>
            </w:r>
            <w:proofErr w:type="gramStart"/>
            <w:r w:rsidRPr="00DA5594">
              <w:rPr>
                <w:rFonts w:hAnsi="標楷體" w:hint="eastAsia"/>
                <w:color w:val="000000" w:themeColor="text1"/>
                <w:spacing w:val="-20"/>
                <w:sz w:val="24"/>
                <w:szCs w:val="24"/>
              </w:rPr>
              <w:t>112</w:t>
            </w:r>
            <w:proofErr w:type="gramEnd"/>
            <w:r w:rsidRPr="00DA5594">
              <w:rPr>
                <w:rFonts w:hAnsi="標楷體" w:hint="eastAsia"/>
                <w:color w:val="000000" w:themeColor="text1"/>
                <w:spacing w:val="-20"/>
                <w:sz w:val="24"/>
                <w:szCs w:val="24"/>
              </w:rPr>
              <w:t>年度預算數，編列340億元。</w:t>
            </w:r>
          </w:p>
          <w:p w14:paraId="5DC38AE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8.</w:t>
            </w:r>
            <w:r w:rsidRPr="00DA5594">
              <w:rPr>
                <w:rFonts w:hAnsi="標楷體" w:hint="eastAsia"/>
                <w:color w:val="000000" w:themeColor="text1"/>
                <w:spacing w:val="-20"/>
                <w:sz w:val="24"/>
                <w:szCs w:val="24"/>
              </w:rPr>
              <w:t>遺產及贈與稅：遺產稅及贈與稅具機會稅性質，經參考近5年該二稅全國實徵數扣除大額案件繳納稅額後餘額之平均數，編列142億元。</w:t>
            </w:r>
          </w:p>
          <w:p w14:paraId="31B59DAF"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9.</w:t>
            </w:r>
            <w:r w:rsidRPr="00DA5594">
              <w:rPr>
                <w:rFonts w:hAnsi="標楷體" w:hint="eastAsia"/>
                <w:color w:val="000000" w:themeColor="text1"/>
                <w:spacing w:val="-20"/>
                <w:sz w:val="24"/>
                <w:szCs w:val="24"/>
              </w:rPr>
              <w:t>期貨交易稅：以近5年實徵平均數編列78億元。</w:t>
            </w:r>
          </w:p>
          <w:p w14:paraId="1F6F1885"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特種貨物及勞務稅：以</w:t>
            </w:r>
            <w:proofErr w:type="gramStart"/>
            <w:r w:rsidRPr="00DA5594">
              <w:rPr>
                <w:rFonts w:hAnsi="標楷體" w:hint="eastAsia"/>
                <w:color w:val="000000" w:themeColor="text1"/>
                <w:spacing w:val="-20"/>
                <w:sz w:val="24"/>
                <w:szCs w:val="24"/>
              </w:rPr>
              <w:t>112</w:t>
            </w:r>
            <w:proofErr w:type="gramEnd"/>
            <w:r w:rsidRPr="00DA5594">
              <w:rPr>
                <w:rFonts w:hAnsi="標楷體" w:hint="eastAsia"/>
                <w:color w:val="000000" w:themeColor="text1"/>
                <w:spacing w:val="-20"/>
                <w:sz w:val="24"/>
                <w:szCs w:val="24"/>
              </w:rPr>
              <w:t>年度預算數為基礎，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成長率，編列28億元。</w:t>
            </w:r>
          </w:p>
        </w:tc>
      </w:tr>
      <w:tr w:rsidR="00DA5594" w:rsidRPr="00DA5594" w14:paraId="3A51A666" w14:textId="77777777" w:rsidTr="009F60E8">
        <w:tc>
          <w:tcPr>
            <w:tcW w:w="709" w:type="dxa"/>
            <w:vAlign w:val="center"/>
          </w:tcPr>
          <w:p w14:paraId="6AD49BC9"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t>114</w:t>
            </w:r>
          </w:p>
        </w:tc>
        <w:tc>
          <w:tcPr>
            <w:tcW w:w="8080" w:type="dxa"/>
          </w:tcPr>
          <w:p w14:paraId="79694F20"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11</w:t>
            </w:r>
            <w:r w:rsidRPr="00DA5594">
              <w:rPr>
                <w:rFonts w:hAnsi="標楷體" w:hint="eastAsia"/>
                <w:color w:val="000000" w:themeColor="text1"/>
                <w:spacing w:val="-20"/>
                <w:sz w:val="24"/>
                <w:szCs w:val="24"/>
              </w:rPr>
              <w:t>4</w:t>
            </w:r>
            <w:proofErr w:type="gramEnd"/>
            <w:r w:rsidRPr="00DA5594">
              <w:rPr>
                <w:rFonts w:hAnsi="標楷體"/>
                <w:color w:val="000000" w:themeColor="text1"/>
                <w:spacing w:val="-20"/>
                <w:sz w:val="24"/>
                <w:szCs w:val="24"/>
              </w:rPr>
              <w:t>年度共編列2兆</w:t>
            </w:r>
            <w:r w:rsidRPr="00DA5594">
              <w:rPr>
                <w:rFonts w:hAnsi="標楷體" w:hint="eastAsia"/>
                <w:color w:val="000000" w:themeColor="text1"/>
                <w:spacing w:val="-20"/>
                <w:sz w:val="24"/>
                <w:szCs w:val="24"/>
              </w:rPr>
              <w:t>7</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740</w:t>
            </w:r>
            <w:r w:rsidRPr="00DA5594">
              <w:rPr>
                <w:rFonts w:hAnsi="標楷體"/>
                <w:color w:val="000000" w:themeColor="text1"/>
                <w:spacing w:val="-20"/>
                <w:sz w:val="24"/>
                <w:szCs w:val="24"/>
              </w:rPr>
              <w:t>億元，占歲入總額8</w:t>
            </w:r>
            <w:r w:rsidRPr="00DA5594">
              <w:rPr>
                <w:rFonts w:hAnsi="標楷體" w:hint="eastAsia"/>
                <w:color w:val="000000" w:themeColor="text1"/>
                <w:spacing w:val="-20"/>
                <w:sz w:val="24"/>
                <w:szCs w:val="24"/>
              </w:rPr>
              <w:t>8</w:t>
            </w:r>
            <w:r w:rsidRPr="00DA5594">
              <w:rPr>
                <w:rFonts w:hAnsi="標楷體"/>
                <w:color w:val="000000" w:themeColor="text1"/>
                <w:spacing w:val="-20"/>
                <w:sz w:val="24"/>
                <w:szCs w:val="24"/>
              </w:rPr>
              <w:t>％，較上年度預算數2兆</w:t>
            </w: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140</w:t>
            </w:r>
            <w:r w:rsidRPr="00DA5594">
              <w:rPr>
                <w:rFonts w:hAnsi="標楷體"/>
                <w:color w:val="000000" w:themeColor="text1"/>
                <w:spacing w:val="-20"/>
                <w:sz w:val="24"/>
                <w:szCs w:val="24"/>
              </w:rPr>
              <w:t>億元，增加</w:t>
            </w: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600</w:t>
            </w:r>
            <w:r w:rsidRPr="00DA5594">
              <w:rPr>
                <w:rFonts w:hAnsi="標楷體"/>
                <w:color w:val="000000" w:themeColor="text1"/>
                <w:spacing w:val="-20"/>
                <w:sz w:val="24"/>
                <w:szCs w:val="24"/>
              </w:rPr>
              <w:t>億元，約增</w:t>
            </w:r>
            <w:r w:rsidRPr="00DA5594">
              <w:rPr>
                <w:rFonts w:hAnsi="標楷體" w:hint="eastAsia"/>
                <w:color w:val="000000" w:themeColor="text1"/>
                <w:spacing w:val="-20"/>
                <w:sz w:val="24"/>
                <w:szCs w:val="24"/>
              </w:rPr>
              <w:t>19.9</w:t>
            </w:r>
            <w:r w:rsidRPr="00DA5594">
              <w:rPr>
                <w:rFonts w:hAnsi="標楷體"/>
                <w:color w:val="000000" w:themeColor="text1"/>
                <w:spacing w:val="-20"/>
                <w:sz w:val="24"/>
                <w:szCs w:val="24"/>
              </w:rPr>
              <w:t>％，主要係增列</w:t>
            </w:r>
            <w:r w:rsidRPr="00DA5594">
              <w:rPr>
                <w:rFonts w:hAnsi="標楷體" w:hint="eastAsia"/>
                <w:color w:val="000000" w:themeColor="text1"/>
                <w:spacing w:val="-20"/>
                <w:sz w:val="24"/>
                <w:szCs w:val="24"/>
              </w:rPr>
              <w:t>營利事業所得稅1,822億元、</w:t>
            </w:r>
            <w:r w:rsidRPr="00DA5594">
              <w:rPr>
                <w:rFonts w:hAnsi="標楷體"/>
                <w:color w:val="000000" w:themeColor="text1"/>
                <w:spacing w:val="-20"/>
                <w:sz w:val="24"/>
                <w:szCs w:val="24"/>
              </w:rPr>
              <w:t>綜合所得稅</w:t>
            </w:r>
            <w:r w:rsidRPr="00DA5594">
              <w:rPr>
                <w:rFonts w:hAnsi="標楷體" w:hint="eastAsia"/>
                <w:color w:val="000000" w:themeColor="text1"/>
                <w:spacing w:val="-20"/>
                <w:sz w:val="24"/>
                <w:szCs w:val="24"/>
              </w:rPr>
              <w:t>1,469</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、營業稅555億元</w:t>
            </w:r>
            <w:r w:rsidRPr="00DA5594">
              <w:rPr>
                <w:rFonts w:hAnsi="標楷體"/>
                <w:color w:val="000000" w:themeColor="text1"/>
                <w:spacing w:val="-20"/>
                <w:sz w:val="24"/>
                <w:szCs w:val="24"/>
              </w:rPr>
              <w:t>、證券交易稅54</w:t>
            </w:r>
            <w:r w:rsidRPr="00DA5594">
              <w:rPr>
                <w:rFonts w:hAnsi="標楷體" w:hint="eastAsia"/>
                <w:color w:val="000000" w:themeColor="text1"/>
                <w:spacing w:val="-20"/>
                <w:sz w:val="24"/>
                <w:szCs w:val="24"/>
              </w:rPr>
              <w:t>8</w:t>
            </w:r>
            <w:r w:rsidRPr="00DA5594">
              <w:rPr>
                <w:rFonts w:hAnsi="標楷體"/>
                <w:color w:val="000000" w:themeColor="text1"/>
                <w:spacing w:val="-20"/>
                <w:sz w:val="24"/>
                <w:szCs w:val="24"/>
              </w:rPr>
              <w:t>億元及關稅129億元。</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580D680C"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營利事業所得稅：以結算、未分配盈餘及暫繳申報自繳稅額為基礎，</w:t>
            </w:r>
            <w:proofErr w:type="gramStart"/>
            <w:r w:rsidRPr="00DA5594">
              <w:rPr>
                <w:rFonts w:hAnsi="標楷體" w:hint="eastAsia"/>
                <w:color w:val="000000" w:themeColor="text1"/>
                <w:spacing w:val="-20"/>
                <w:sz w:val="24"/>
                <w:szCs w:val="24"/>
              </w:rPr>
              <w:t>參據關鍵</w:t>
            </w:r>
            <w:proofErr w:type="gramEnd"/>
            <w:r w:rsidRPr="00DA5594">
              <w:rPr>
                <w:rFonts w:hAnsi="標楷體" w:hint="eastAsia"/>
                <w:color w:val="000000" w:themeColor="text1"/>
                <w:spacing w:val="-20"/>
                <w:sz w:val="24"/>
                <w:szCs w:val="24"/>
              </w:rPr>
              <w:t>影響因素(如上市櫃公司獲利、出口、工業生產指數等)變動情形，並納入稅制調整因素，編列1兆384億元</w:t>
            </w:r>
            <w:r w:rsidRPr="00DA5594">
              <w:rPr>
                <w:rFonts w:hAnsi="標楷體"/>
                <w:color w:val="000000" w:themeColor="text1"/>
                <w:spacing w:val="-20"/>
                <w:sz w:val="24"/>
                <w:szCs w:val="24"/>
              </w:rPr>
              <w:t>。</w:t>
            </w:r>
          </w:p>
          <w:p w14:paraId="155D8415"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綜合所得稅：以結算申報稅收淨入庫數、扣繳稅額及核定補徵稅額為基礎，</w:t>
            </w:r>
            <w:proofErr w:type="gramStart"/>
            <w:r w:rsidRPr="00DA5594">
              <w:rPr>
                <w:rFonts w:hAnsi="標楷體" w:hint="eastAsia"/>
                <w:color w:val="000000" w:themeColor="text1"/>
                <w:spacing w:val="-20"/>
                <w:sz w:val="24"/>
                <w:szCs w:val="24"/>
              </w:rPr>
              <w:t>參據關鍵</w:t>
            </w:r>
            <w:proofErr w:type="gramEnd"/>
            <w:r w:rsidRPr="00DA5594">
              <w:rPr>
                <w:rFonts w:hAnsi="標楷體" w:hint="eastAsia"/>
                <w:color w:val="000000" w:themeColor="text1"/>
                <w:spacing w:val="-20"/>
                <w:sz w:val="24"/>
                <w:szCs w:val="24"/>
              </w:rPr>
              <w:t>影響因素(如薪資調整、政策利率調升等)變動情形，並納入稅制調整因素，編列7,101億元。</w:t>
            </w:r>
          </w:p>
          <w:p w14:paraId="3FA0C670"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營業稅：以</w:t>
            </w:r>
            <w:proofErr w:type="gramStart"/>
            <w:r w:rsidRPr="00DA5594">
              <w:rPr>
                <w:rFonts w:hAnsi="標楷體" w:hint="eastAsia"/>
                <w:color w:val="000000" w:themeColor="text1"/>
                <w:spacing w:val="-20"/>
                <w:sz w:val="24"/>
                <w:szCs w:val="24"/>
              </w:rPr>
              <w:t>11</w:t>
            </w:r>
            <w:r w:rsidRPr="00DA5594">
              <w:rPr>
                <w:rFonts w:hAnsi="標楷體"/>
                <w:color w:val="000000" w:themeColor="text1"/>
                <w:spacing w:val="-20"/>
                <w:sz w:val="24"/>
                <w:szCs w:val="24"/>
              </w:rPr>
              <w:t>3</w:t>
            </w:r>
            <w:proofErr w:type="gramEnd"/>
            <w:r w:rsidRPr="00DA5594">
              <w:rPr>
                <w:rFonts w:hAnsi="標楷體" w:hint="eastAsia"/>
                <w:color w:val="000000" w:themeColor="text1"/>
                <w:spacing w:val="-20"/>
                <w:sz w:val="24"/>
                <w:szCs w:val="24"/>
              </w:rPr>
              <w:t>年度消費支出預估數為基礎，</w:t>
            </w:r>
            <w:proofErr w:type="gramStart"/>
            <w:r w:rsidRPr="00DA5594">
              <w:rPr>
                <w:rFonts w:hAnsi="標楷體" w:hint="eastAsia"/>
                <w:color w:val="000000" w:themeColor="text1"/>
                <w:spacing w:val="-20"/>
                <w:sz w:val="24"/>
                <w:szCs w:val="24"/>
              </w:rPr>
              <w:t>參據民間</w:t>
            </w:r>
            <w:proofErr w:type="gramEnd"/>
            <w:r w:rsidRPr="00DA5594">
              <w:rPr>
                <w:rFonts w:hAnsi="標楷體" w:hint="eastAsia"/>
                <w:color w:val="000000" w:themeColor="text1"/>
                <w:spacing w:val="-20"/>
                <w:sz w:val="24"/>
                <w:szCs w:val="24"/>
              </w:rPr>
              <w:t>消費成長率與營業稅稅收占消費支出占比計算之</w:t>
            </w:r>
            <w:proofErr w:type="gramStart"/>
            <w:r w:rsidRPr="00DA5594">
              <w:rPr>
                <w:rFonts w:hAnsi="標楷體" w:hint="eastAsia"/>
                <w:color w:val="000000" w:themeColor="text1"/>
                <w:spacing w:val="-20"/>
                <w:sz w:val="24"/>
                <w:szCs w:val="24"/>
              </w:rPr>
              <w:t>推估數及</w:t>
            </w:r>
            <w:proofErr w:type="gramEnd"/>
            <w:r w:rsidRPr="00DA5594">
              <w:rPr>
                <w:rFonts w:hAnsi="標楷體" w:hint="eastAsia"/>
                <w:color w:val="000000" w:themeColor="text1"/>
                <w:spacing w:val="-20"/>
                <w:sz w:val="24"/>
                <w:szCs w:val="24"/>
              </w:rPr>
              <w:t>AI稅務模型</w:t>
            </w:r>
            <w:proofErr w:type="gramStart"/>
            <w:r w:rsidRPr="00DA5594">
              <w:rPr>
                <w:rFonts w:hAnsi="標楷體" w:hint="eastAsia"/>
                <w:color w:val="000000" w:themeColor="text1"/>
                <w:spacing w:val="-20"/>
                <w:sz w:val="24"/>
                <w:szCs w:val="24"/>
              </w:rPr>
              <w:t>推估數</w:t>
            </w:r>
            <w:proofErr w:type="gramEnd"/>
            <w:r w:rsidRPr="00DA5594">
              <w:rPr>
                <w:rFonts w:hAnsi="標楷體" w:hint="eastAsia"/>
                <w:color w:val="000000" w:themeColor="text1"/>
                <w:spacing w:val="-20"/>
                <w:sz w:val="24"/>
                <w:szCs w:val="24"/>
              </w:rPr>
              <w:t>，編列3,830億元。</w:t>
            </w:r>
          </w:p>
          <w:p w14:paraId="15E981FE"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證券交易稅：</w:t>
            </w:r>
            <w:r w:rsidRPr="00DA5594">
              <w:rPr>
                <w:rFonts w:hAnsi="標楷體"/>
                <w:color w:val="000000" w:themeColor="text1"/>
                <w:spacing w:val="-20"/>
                <w:sz w:val="24"/>
                <w:szCs w:val="24"/>
              </w:rPr>
              <w:t>以</w:t>
            </w:r>
            <w:r w:rsidRPr="00DA5594">
              <w:rPr>
                <w:rFonts w:hAnsi="標楷體" w:hint="eastAsia"/>
                <w:color w:val="000000" w:themeColor="text1"/>
                <w:spacing w:val="-20"/>
                <w:sz w:val="24"/>
                <w:szCs w:val="24"/>
              </w:rPr>
              <w:t>證券市場日均成交值</w:t>
            </w:r>
            <w:r w:rsidRPr="00DA5594">
              <w:rPr>
                <w:rFonts w:hAnsi="標楷體"/>
                <w:color w:val="000000" w:themeColor="text1"/>
                <w:spacing w:val="-20"/>
                <w:sz w:val="24"/>
                <w:szCs w:val="24"/>
              </w:rPr>
              <w:t>及交易日數為基礎，編列2,</w:t>
            </w:r>
            <w:r w:rsidRPr="00DA5594">
              <w:rPr>
                <w:rFonts w:hAnsi="標楷體" w:hint="eastAsia"/>
                <w:color w:val="000000" w:themeColor="text1"/>
                <w:spacing w:val="-20"/>
                <w:sz w:val="24"/>
                <w:szCs w:val="24"/>
              </w:rPr>
              <w:t>635</w:t>
            </w:r>
            <w:r w:rsidRPr="00DA5594">
              <w:rPr>
                <w:rFonts w:hAnsi="標楷體"/>
                <w:color w:val="000000" w:themeColor="text1"/>
                <w:spacing w:val="-20"/>
                <w:sz w:val="24"/>
                <w:szCs w:val="24"/>
              </w:rPr>
              <w:t>億元。</w:t>
            </w:r>
          </w:p>
          <w:p w14:paraId="3A2CB5CE"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關稅：</w:t>
            </w:r>
            <w:r w:rsidRPr="00DA5594">
              <w:rPr>
                <w:rFonts w:hAnsi="標楷體"/>
                <w:color w:val="000000" w:themeColor="text1"/>
                <w:spacing w:val="-20"/>
                <w:sz w:val="24"/>
                <w:szCs w:val="24"/>
              </w:rPr>
              <w:t>考量經濟成長帶動進口增長，編列1,</w:t>
            </w:r>
            <w:r w:rsidRPr="00DA5594">
              <w:rPr>
                <w:rFonts w:hAnsi="標楷體" w:hint="eastAsia"/>
                <w:color w:val="000000" w:themeColor="text1"/>
                <w:spacing w:val="-20"/>
                <w:sz w:val="24"/>
                <w:szCs w:val="24"/>
              </w:rPr>
              <w:t>624</w:t>
            </w:r>
            <w:r w:rsidRPr="00DA5594">
              <w:rPr>
                <w:rFonts w:hAnsi="標楷體"/>
                <w:color w:val="000000" w:themeColor="text1"/>
                <w:spacing w:val="-20"/>
                <w:sz w:val="24"/>
                <w:szCs w:val="24"/>
              </w:rPr>
              <w:t>億元。</w:t>
            </w:r>
          </w:p>
          <w:p w14:paraId="60477314"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6.</w:t>
            </w:r>
            <w:r w:rsidRPr="00DA5594">
              <w:rPr>
                <w:rFonts w:hAnsi="標楷體" w:hint="eastAsia"/>
                <w:color w:val="000000" w:themeColor="text1"/>
                <w:spacing w:val="-20"/>
                <w:sz w:val="24"/>
                <w:szCs w:val="24"/>
              </w:rPr>
              <w:t>貨物稅：</w:t>
            </w:r>
            <w:r w:rsidRPr="00DA5594">
              <w:rPr>
                <w:rFonts w:hAnsi="標楷體"/>
                <w:color w:val="000000" w:themeColor="text1"/>
                <w:spacing w:val="-20"/>
                <w:sz w:val="24"/>
                <w:szCs w:val="24"/>
              </w:rPr>
              <w:t>以</w:t>
            </w:r>
            <w:r w:rsidRPr="00DA5594">
              <w:rPr>
                <w:rFonts w:hAnsi="標楷體" w:hint="eastAsia"/>
                <w:color w:val="000000" w:themeColor="text1"/>
                <w:spacing w:val="-20"/>
                <w:sz w:val="24"/>
                <w:szCs w:val="24"/>
              </w:rPr>
              <w:t>112及</w:t>
            </w:r>
            <w:proofErr w:type="gramStart"/>
            <w:r w:rsidRPr="00DA5594">
              <w:rPr>
                <w:rFonts w:hAnsi="標楷體" w:hint="eastAsia"/>
                <w:color w:val="000000" w:themeColor="text1"/>
                <w:spacing w:val="-20"/>
                <w:sz w:val="24"/>
                <w:szCs w:val="24"/>
              </w:rPr>
              <w:t>113</w:t>
            </w:r>
            <w:proofErr w:type="gramEnd"/>
            <w:r w:rsidRPr="00DA5594">
              <w:rPr>
                <w:rFonts w:hAnsi="標楷體" w:hint="eastAsia"/>
                <w:color w:val="000000" w:themeColor="text1"/>
                <w:spacing w:val="-20"/>
                <w:sz w:val="24"/>
                <w:szCs w:val="24"/>
              </w:rPr>
              <w:t>年度</w:t>
            </w:r>
            <w:r w:rsidRPr="00DA5594">
              <w:rPr>
                <w:rFonts w:hAnsi="標楷體"/>
                <w:color w:val="000000" w:themeColor="text1"/>
                <w:spacing w:val="-20"/>
                <w:sz w:val="24"/>
                <w:szCs w:val="24"/>
              </w:rPr>
              <w:t>實徵</w:t>
            </w:r>
            <w:r w:rsidRPr="00DA5594">
              <w:rPr>
                <w:rFonts w:hAnsi="標楷體" w:hint="eastAsia"/>
                <w:color w:val="000000" w:themeColor="text1"/>
                <w:spacing w:val="-20"/>
                <w:sz w:val="24"/>
                <w:szCs w:val="24"/>
              </w:rPr>
              <w:t>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w:t>
            </w:r>
            <w:r w:rsidRPr="00DA5594">
              <w:rPr>
                <w:rFonts w:hAnsi="標楷體"/>
                <w:color w:val="000000" w:themeColor="text1"/>
                <w:spacing w:val="-20"/>
                <w:sz w:val="24"/>
                <w:szCs w:val="24"/>
              </w:rPr>
              <w:t>，編列1,5</w:t>
            </w:r>
            <w:r w:rsidRPr="00DA5594">
              <w:rPr>
                <w:rFonts w:hAnsi="標楷體" w:hint="eastAsia"/>
                <w:color w:val="000000" w:themeColor="text1"/>
                <w:spacing w:val="-20"/>
                <w:sz w:val="24"/>
                <w:szCs w:val="24"/>
              </w:rPr>
              <w:t>25</w:t>
            </w:r>
            <w:r w:rsidRPr="00DA5594">
              <w:rPr>
                <w:rFonts w:hAnsi="標楷體"/>
                <w:color w:val="000000" w:themeColor="text1"/>
                <w:spacing w:val="-20"/>
                <w:sz w:val="24"/>
                <w:szCs w:val="24"/>
              </w:rPr>
              <w:t>億元。</w:t>
            </w:r>
          </w:p>
          <w:p w14:paraId="3016BEE7"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7.</w:t>
            </w:r>
            <w:r w:rsidRPr="00DA5594">
              <w:rPr>
                <w:rFonts w:hAnsi="標楷體" w:hint="eastAsia"/>
                <w:color w:val="000000" w:themeColor="text1"/>
                <w:spacing w:val="-20"/>
                <w:sz w:val="24"/>
                <w:szCs w:val="24"/>
              </w:rPr>
              <w:t>菸酒稅：以112及</w:t>
            </w:r>
            <w:proofErr w:type="gramStart"/>
            <w:r w:rsidRPr="00DA5594">
              <w:rPr>
                <w:rFonts w:hAnsi="標楷體" w:hint="eastAsia"/>
                <w:color w:val="000000" w:themeColor="text1"/>
                <w:spacing w:val="-20"/>
                <w:sz w:val="24"/>
                <w:szCs w:val="24"/>
              </w:rPr>
              <w:t>113</w:t>
            </w:r>
            <w:proofErr w:type="gramEnd"/>
            <w:r w:rsidRPr="00DA5594">
              <w:rPr>
                <w:rFonts w:hAnsi="標楷體" w:hint="eastAsia"/>
                <w:color w:val="000000" w:themeColor="text1"/>
                <w:spacing w:val="-20"/>
                <w:sz w:val="24"/>
                <w:szCs w:val="24"/>
              </w:rPr>
              <w:t>年度實徵數為基礎</w:t>
            </w:r>
            <w:r w:rsidRPr="00DA5594">
              <w:rPr>
                <w:rFonts w:hAnsi="標楷體"/>
                <w:color w:val="000000" w:themeColor="text1"/>
                <w:spacing w:val="-20"/>
                <w:sz w:val="24"/>
                <w:szCs w:val="24"/>
              </w:rPr>
              <w:t>，編列</w:t>
            </w:r>
            <w:r w:rsidRPr="00DA5594">
              <w:rPr>
                <w:rFonts w:hAnsi="標楷體" w:hint="eastAsia"/>
                <w:color w:val="000000" w:themeColor="text1"/>
                <w:spacing w:val="-20"/>
                <w:sz w:val="24"/>
                <w:szCs w:val="24"/>
              </w:rPr>
              <w:t>332</w:t>
            </w:r>
            <w:r w:rsidRPr="00DA5594">
              <w:rPr>
                <w:rFonts w:hAnsi="標楷體"/>
                <w:color w:val="000000" w:themeColor="text1"/>
                <w:spacing w:val="-20"/>
                <w:sz w:val="24"/>
                <w:szCs w:val="24"/>
              </w:rPr>
              <w:t>億元。</w:t>
            </w:r>
          </w:p>
          <w:p w14:paraId="73A6685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8.</w:t>
            </w:r>
            <w:r w:rsidRPr="00DA5594">
              <w:rPr>
                <w:rFonts w:hAnsi="標楷體" w:hint="eastAsia"/>
                <w:color w:val="000000" w:themeColor="text1"/>
                <w:spacing w:val="-20"/>
                <w:sz w:val="24"/>
                <w:szCs w:val="24"/>
              </w:rPr>
              <w:t>遺產及贈與稅：</w:t>
            </w:r>
            <w:r w:rsidRPr="00DA5594">
              <w:rPr>
                <w:rFonts w:hAnsi="標楷體"/>
                <w:color w:val="000000" w:themeColor="text1"/>
                <w:spacing w:val="-20"/>
                <w:sz w:val="24"/>
                <w:szCs w:val="24"/>
              </w:rPr>
              <w:t>遺產稅及贈與稅具機會稅性質，經參考近5年該二稅全國實徵數扣除大額案件繳納稅額後餘額之平均數，編列1</w:t>
            </w:r>
            <w:r w:rsidRPr="00DA5594">
              <w:rPr>
                <w:rFonts w:hAnsi="標楷體" w:hint="eastAsia"/>
                <w:color w:val="000000" w:themeColor="text1"/>
                <w:spacing w:val="-20"/>
                <w:sz w:val="24"/>
                <w:szCs w:val="24"/>
              </w:rPr>
              <w:t>54</w:t>
            </w:r>
            <w:r w:rsidRPr="00DA5594">
              <w:rPr>
                <w:rFonts w:hAnsi="標楷體"/>
                <w:color w:val="000000" w:themeColor="text1"/>
                <w:spacing w:val="-20"/>
                <w:sz w:val="24"/>
                <w:szCs w:val="24"/>
              </w:rPr>
              <w:t>億元。</w:t>
            </w:r>
          </w:p>
          <w:p w14:paraId="51FD322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color w:val="000000" w:themeColor="text1"/>
                <w:spacing w:val="-20"/>
                <w:sz w:val="24"/>
                <w:szCs w:val="24"/>
              </w:rPr>
              <w:t>9.</w:t>
            </w:r>
            <w:r w:rsidRPr="00DA5594">
              <w:rPr>
                <w:rFonts w:hAnsi="標楷體" w:hint="eastAsia"/>
                <w:color w:val="000000" w:themeColor="text1"/>
                <w:spacing w:val="-20"/>
                <w:sz w:val="24"/>
                <w:szCs w:val="24"/>
              </w:rPr>
              <w:t>期貨交易稅：</w:t>
            </w:r>
            <w:r w:rsidRPr="00DA5594">
              <w:rPr>
                <w:rFonts w:hAnsi="標楷體"/>
                <w:color w:val="000000" w:themeColor="text1"/>
                <w:spacing w:val="-20"/>
                <w:sz w:val="24"/>
                <w:szCs w:val="24"/>
              </w:rPr>
              <w:t>以近</w:t>
            </w:r>
            <w:r w:rsidRPr="00DA5594">
              <w:rPr>
                <w:rFonts w:hAnsi="標楷體" w:hint="eastAsia"/>
                <w:color w:val="000000" w:themeColor="text1"/>
                <w:spacing w:val="-20"/>
                <w:sz w:val="24"/>
                <w:szCs w:val="24"/>
              </w:rPr>
              <w:t>4年實徵平均數，</w:t>
            </w:r>
            <w:r w:rsidRPr="00DA5594">
              <w:rPr>
                <w:rFonts w:hAnsi="標楷體"/>
                <w:color w:val="000000" w:themeColor="text1"/>
                <w:spacing w:val="-20"/>
                <w:sz w:val="24"/>
                <w:szCs w:val="24"/>
              </w:rPr>
              <w:t>編列90億元。</w:t>
            </w:r>
          </w:p>
          <w:p w14:paraId="79793776"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特種貨物及勞務稅：以112及</w:t>
            </w:r>
            <w:proofErr w:type="gramStart"/>
            <w:r w:rsidRPr="00DA5594">
              <w:rPr>
                <w:rFonts w:hAnsi="標楷體" w:hint="eastAsia"/>
                <w:color w:val="000000" w:themeColor="text1"/>
                <w:spacing w:val="-20"/>
                <w:sz w:val="24"/>
                <w:szCs w:val="24"/>
              </w:rPr>
              <w:t>113</w:t>
            </w:r>
            <w:proofErr w:type="gramEnd"/>
            <w:r w:rsidRPr="00DA5594">
              <w:rPr>
                <w:rFonts w:hAnsi="標楷體" w:hint="eastAsia"/>
                <w:color w:val="000000" w:themeColor="text1"/>
                <w:spacing w:val="-20"/>
                <w:sz w:val="24"/>
                <w:szCs w:val="24"/>
              </w:rPr>
              <w:t>年度實徵數為基礎，</w:t>
            </w:r>
            <w:proofErr w:type="gramStart"/>
            <w:r w:rsidRPr="00DA5594">
              <w:rPr>
                <w:rFonts w:hAnsi="標楷體" w:hint="eastAsia"/>
                <w:color w:val="000000" w:themeColor="text1"/>
                <w:spacing w:val="-20"/>
                <w:sz w:val="24"/>
                <w:szCs w:val="24"/>
              </w:rPr>
              <w:t>參據經濟</w:t>
            </w:r>
            <w:proofErr w:type="gramEnd"/>
            <w:r w:rsidRPr="00DA5594">
              <w:rPr>
                <w:rFonts w:hAnsi="標楷體" w:hint="eastAsia"/>
                <w:color w:val="000000" w:themeColor="text1"/>
                <w:spacing w:val="-20"/>
                <w:sz w:val="24"/>
                <w:szCs w:val="24"/>
              </w:rPr>
              <w:t>成長率，編列65</w:t>
            </w:r>
            <w:r w:rsidRPr="00DA5594">
              <w:rPr>
                <w:rFonts w:hAnsi="標楷體" w:hint="eastAsia"/>
                <w:color w:val="000000" w:themeColor="text1"/>
                <w:spacing w:val="-20"/>
                <w:sz w:val="24"/>
                <w:szCs w:val="24"/>
              </w:rPr>
              <w:lastRenderedPageBreak/>
              <w:t>億元</w:t>
            </w:r>
            <w:r w:rsidRPr="00DA5594">
              <w:rPr>
                <w:rFonts w:hAnsi="標楷體"/>
                <w:color w:val="000000" w:themeColor="text1"/>
                <w:spacing w:val="-20"/>
                <w:sz w:val="24"/>
                <w:szCs w:val="24"/>
              </w:rPr>
              <w:t>。</w:t>
            </w:r>
          </w:p>
        </w:tc>
      </w:tr>
      <w:tr w:rsidR="00DA5594" w:rsidRPr="00DA5594" w14:paraId="715F84D7" w14:textId="77777777" w:rsidTr="009F60E8">
        <w:tc>
          <w:tcPr>
            <w:tcW w:w="709" w:type="dxa"/>
            <w:vAlign w:val="center"/>
          </w:tcPr>
          <w:p w14:paraId="69696CB2" w14:textId="77777777" w:rsidR="00E7321C" w:rsidRPr="00DA5594" w:rsidRDefault="00E7321C" w:rsidP="00C62D9B">
            <w:pPr>
              <w:kinsoku/>
              <w:overflowPunct/>
              <w:autoSpaceDE/>
              <w:autoSpaceDN/>
              <w:adjustRightInd w:val="0"/>
              <w:snapToGrid w:val="0"/>
              <w:spacing w:line="290" w:lineRule="exact"/>
              <w:jc w:val="center"/>
              <w:rPr>
                <w:rFonts w:hAnsi="標楷體"/>
                <w:color w:val="000000" w:themeColor="text1"/>
                <w:sz w:val="28"/>
                <w:szCs w:val="28"/>
              </w:rPr>
            </w:pPr>
            <w:r w:rsidRPr="00DA5594">
              <w:rPr>
                <w:rFonts w:hAnsi="標楷體"/>
                <w:bCs/>
                <w:color w:val="000000" w:themeColor="text1"/>
                <w:kern w:val="0"/>
                <w:sz w:val="28"/>
                <w:szCs w:val="28"/>
              </w:rPr>
              <w:lastRenderedPageBreak/>
              <w:t>115</w:t>
            </w:r>
          </w:p>
        </w:tc>
        <w:tc>
          <w:tcPr>
            <w:tcW w:w="8080" w:type="dxa"/>
          </w:tcPr>
          <w:p w14:paraId="0C7BDA1C" w14:textId="77777777" w:rsidR="00E7321C" w:rsidRPr="00DA5594" w:rsidRDefault="00E7321C" w:rsidP="00C62D9B">
            <w:pPr>
              <w:kinsoku/>
              <w:overflowPunct/>
              <w:autoSpaceDE/>
              <w:autoSpaceDN/>
              <w:adjustRightInd w:val="0"/>
              <w:snapToGrid w:val="0"/>
              <w:spacing w:line="290" w:lineRule="exact"/>
              <w:ind w:firstLineChars="165" w:firstLine="363"/>
              <w:rPr>
                <w:rFonts w:hAnsi="標楷體"/>
                <w:color w:val="000000" w:themeColor="text1"/>
                <w:spacing w:val="-20"/>
                <w:sz w:val="24"/>
                <w:szCs w:val="24"/>
              </w:rPr>
            </w:pPr>
            <w:proofErr w:type="gramStart"/>
            <w:r w:rsidRPr="00DA5594">
              <w:rPr>
                <w:rFonts w:hAnsi="標楷體"/>
                <w:color w:val="000000" w:themeColor="text1"/>
                <w:spacing w:val="-20"/>
                <w:sz w:val="24"/>
                <w:szCs w:val="24"/>
              </w:rPr>
              <w:t>11</w:t>
            </w:r>
            <w:r w:rsidRPr="00DA5594">
              <w:rPr>
                <w:rFonts w:hAnsi="標楷體" w:hint="eastAsia"/>
                <w:color w:val="000000" w:themeColor="text1"/>
                <w:spacing w:val="-20"/>
                <w:sz w:val="24"/>
                <w:szCs w:val="24"/>
              </w:rPr>
              <w:t>5</w:t>
            </w:r>
            <w:proofErr w:type="gramEnd"/>
            <w:r w:rsidRPr="00DA5594">
              <w:rPr>
                <w:rFonts w:hAnsi="標楷體"/>
                <w:color w:val="000000" w:themeColor="text1"/>
                <w:spacing w:val="-20"/>
                <w:sz w:val="24"/>
                <w:szCs w:val="24"/>
              </w:rPr>
              <w:t>年度共編列2兆</w:t>
            </w:r>
            <w:r w:rsidRPr="00DA5594">
              <w:rPr>
                <w:rFonts w:hAnsi="標楷體" w:hint="eastAsia"/>
                <w:color w:val="000000" w:themeColor="text1"/>
                <w:spacing w:val="-20"/>
                <w:sz w:val="24"/>
                <w:szCs w:val="24"/>
              </w:rPr>
              <w:t>4</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807</w:t>
            </w:r>
            <w:r w:rsidRPr="00DA5594">
              <w:rPr>
                <w:rFonts w:hAnsi="標楷體"/>
                <w:color w:val="000000" w:themeColor="text1"/>
                <w:spacing w:val="-20"/>
                <w:sz w:val="24"/>
                <w:szCs w:val="24"/>
              </w:rPr>
              <w:t>億元，占歲入總額</w:t>
            </w:r>
            <w:r w:rsidRPr="00DA5594">
              <w:rPr>
                <w:rFonts w:hAnsi="標楷體" w:hint="eastAsia"/>
                <w:color w:val="000000" w:themeColor="text1"/>
                <w:spacing w:val="-20"/>
                <w:sz w:val="24"/>
                <w:szCs w:val="24"/>
              </w:rPr>
              <w:t>86.7</w:t>
            </w:r>
            <w:r w:rsidRPr="00DA5594">
              <w:rPr>
                <w:rFonts w:hAnsi="標楷體"/>
                <w:color w:val="000000" w:themeColor="text1"/>
                <w:spacing w:val="-20"/>
                <w:sz w:val="24"/>
                <w:szCs w:val="24"/>
              </w:rPr>
              <w:t>％，較上年度預算數2兆</w:t>
            </w:r>
            <w:r w:rsidRPr="00DA5594">
              <w:rPr>
                <w:rFonts w:hAnsi="標楷體" w:hint="eastAsia"/>
                <w:color w:val="000000" w:themeColor="text1"/>
                <w:spacing w:val="-20"/>
                <w:sz w:val="24"/>
                <w:szCs w:val="24"/>
              </w:rPr>
              <w:t>7</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845</w:t>
            </w:r>
            <w:r w:rsidRPr="00DA5594">
              <w:rPr>
                <w:rFonts w:hAnsi="標楷體"/>
                <w:color w:val="000000" w:themeColor="text1"/>
                <w:spacing w:val="-20"/>
                <w:sz w:val="24"/>
                <w:szCs w:val="24"/>
              </w:rPr>
              <w:t>億元，</w:t>
            </w:r>
            <w:r w:rsidRPr="00DA5594">
              <w:rPr>
                <w:rFonts w:hAnsi="標楷體" w:hint="eastAsia"/>
                <w:color w:val="000000" w:themeColor="text1"/>
                <w:spacing w:val="-20"/>
                <w:sz w:val="24"/>
                <w:szCs w:val="24"/>
              </w:rPr>
              <w:t>減少3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038</w:t>
            </w:r>
            <w:r w:rsidRPr="00DA5594">
              <w:rPr>
                <w:rFonts w:hAnsi="標楷體"/>
                <w:color w:val="000000" w:themeColor="text1"/>
                <w:spacing w:val="-20"/>
                <w:sz w:val="24"/>
                <w:szCs w:val="24"/>
              </w:rPr>
              <w:t>億元，約</w:t>
            </w:r>
            <w:r w:rsidRPr="00DA5594">
              <w:rPr>
                <w:rFonts w:hAnsi="標楷體" w:hint="eastAsia"/>
                <w:color w:val="000000" w:themeColor="text1"/>
                <w:spacing w:val="-20"/>
                <w:sz w:val="24"/>
                <w:szCs w:val="24"/>
              </w:rPr>
              <w:t>減10.9</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主要係依新制財劃法修正中央地方分成比率，致稅課收入大幅減少</w:t>
            </w:r>
            <w:r w:rsidRPr="00DA5594">
              <w:rPr>
                <w:rFonts w:hAnsi="標楷體"/>
                <w:color w:val="000000" w:themeColor="text1"/>
                <w:spacing w:val="-20"/>
                <w:sz w:val="24"/>
                <w:szCs w:val="24"/>
              </w:rPr>
              <w:t>。</w:t>
            </w:r>
            <w:proofErr w:type="gramStart"/>
            <w:r w:rsidRPr="00DA5594">
              <w:rPr>
                <w:rFonts w:hAnsi="標楷體" w:hint="eastAsia"/>
                <w:color w:val="000000" w:themeColor="text1"/>
                <w:spacing w:val="-20"/>
                <w:sz w:val="24"/>
                <w:szCs w:val="24"/>
              </w:rPr>
              <w:t>各稅編列</w:t>
            </w:r>
            <w:proofErr w:type="gramEnd"/>
            <w:r w:rsidRPr="00DA5594">
              <w:rPr>
                <w:rFonts w:hAnsi="標楷體" w:hint="eastAsia"/>
                <w:color w:val="000000" w:themeColor="text1"/>
                <w:spacing w:val="-20"/>
                <w:sz w:val="24"/>
                <w:szCs w:val="24"/>
              </w:rPr>
              <w:t>情形說明如下：</w:t>
            </w:r>
          </w:p>
          <w:p w14:paraId="066B17CD"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營利事業所得稅：以結算、未分配盈餘及暫繳申報自繳稅額為基礎，</w:t>
            </w:r>
            <w:proofErr w:type="gramStart"/>
            <w:r w:rsidRPr="00DA5594">
              <w:rPr>
                <w:rFonts w:hAnsi="標楷體" w:hint="eastAsia"/>
                <w:color w:val="000000" w:themeColor="text1"/>
                <w:spacing w:val="-20"/>
                <w:sz w:val="24"/>
                <w:szCs w:val="24"/>
              </w:rPr>
              <w:t>參據關鍵</w:t>
            </w:r>
            <w:proofErr w:type="gramEnd"/>
            <w:r w:rsidRPr="00DA5594">
              <w:rPr>
                <w:rFonts w:hAnsi="標楷體" w:hint="eastAsia"/>
                <w:color w:val="000000" w:themeColor="text1"/>
                <w:spacing w:val="-20"/>
                <w:sz w:val="24"/>
                <w:szCs w:val="24"/>
              </w:rPr>
              <w:t>影響因素(如上市櫃公司獲利、出口、工業生產指數、匯率及國際經貿政策等)變動情形，並納入稅制調整因素，編列1兆1,204億元</w:t>
            </w:r>
            <w:r w:rsidRPr="00DA5594">
              <w:rPr>
                <w:rFonts w:hAnsi="標楷體"/>
                <w:color w:val="000000" w:themeColor="text1"/>
                <w:spacing w:val="-20"/>
                <w:sz w:val="24"/>
                <w:szCs w:val="24"/>
              </w:rPr>
              <w:t>。</w:t>
            </w:r>
          </w:p>
          <w:p w14:paraId="557CCCB8"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2</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綜合所得稅：以結算申報稅收淨入庫數、扣繳稅額及核定補徵稅額為基礎，</w:t>
            </w:r>
            <w:proofErr w:type="gramStart"/>
            <w:r w:rsidRPr="00DA5594">
              <w:rPr>
                <w:rFonts w:hAnsi="標楷體" w:hint="eastAsia"/>
                <w:color w:val="000000" w:themeColor="text1"/>
                <w:spacing w:val="-20"/>
                <w:sz w:val="24"/>
                <w:szCs w:val="24"/>
              </w:rPr>
              <w:t>參據關鍵</w:t>
            </w:r>
            <w:proofErr w:type="gramEnd"/>
            <w:r w:rsidRPr="00DA5594">
              <w:rPr>
                <w:rFonts w:hAnsi="標楷體" w:hint="eastAsia"/>
                <w:color w:val="000000" w:themeColor="text1"/>
                <w:spacing w:val="-20"/>
                <w:sz w:val="24"/>
                <w:szCs w:val="24"/>
              </w:rPr>
              <w:t>影響因素(如股利發放率、薪資成長率、郵政儲金一年期定存利率、就業市場、政策利率、匯率及國際經貿政策等)變動情形，編列7,550億元。</w:t>
            </w:r>
          </w:p>
          <w:p w14:paraId="2FC67FFE"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3</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證券交易稅：以推估之</w:t>
            </w:r>
            <w:proofErr w:type="gramStart"/>
            <w:r w:rsidRPr="00DA5594">
              <w:rPr>
                <w:rFonts w:hAnsi="標楷體" w:hint="eastAsia"/>
                <w:color w:val="000000" w:themeColor="text1"/>
                <w:spacing w:val="-20"/>
                <w:sz w:val="24"/>
                <w:szCs w:val="24"/>
              </w:rPr>
              <w:t>115</w:t>
            </w:r>
            <w:proofErr w:type="gramEnd"/>
            <w:r w:rsidRPr="00DA5594">
              <w:rPr>
                <w:rFonts w:hAnsi="標楷體" w:hint="eastAsia"/>
                <w:color w:val="000000" w:themeColor="text1"/>
                <w:spacing w:val="-20"/>
                <w:sz w:val="24"/>
                <w:szCs w:val="24"/>
              </w:rPr>
              <w:t>年度證券市場日均成交值、</w:t>
            </w:r>
            <w:proofErr w:type="gramStart"/>
            <w:r w:rsidRPr="00DA5594">
              <w:rPr>
                <w:rFonts w:hAnsi="標楷體" w:hint="eastAsia"/>
                <w:color w:val="000000" w:themeColor="text1"/>
                <w:spacing w:val="-20"/>
                <w:sz w:val="24"/>
                <w:szCs w:val="24"/>
              </w:rPr>
              <w:t>當沖占比</w:t>
            </w:r>
            <w:proofErr w:type="gramEnd"/>
            <w:r w:rsidRPr="00DA5594">
              <w:rPr>
                <w:rFonts w:hAnsi="標楷體" w:hint="eastAsia"/>
                <w:color w:val="000000" w:themeColor="text1"/>
                <w:spacing w:val="-20"/>
                <w:sz w:val="24"/>
                <w:szCs w:val="24"/>
              </w:rPr>
              <w:t>及交易日數為基礎，編列2,501億元。</w:t>
            </w:r>
          </w:p>
          <w:p w14:paraId="6D29023F"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4.關稅：考量經濟成長帶動進口增長及近來國際情勢對商業貿易之影響，編列1,469億元。</w:t>
            </w:r>
          </w:p>
          <w:p w14:paraId="594815F5"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5.貨物稅：以113年5月至114年4月全國實徵數為基礎，</w:t>
            </w:r>
            <w:proofErr w:type="gramStart"/>
            <w:r w:rsidRPr="00DA5594">
              <w:rPr>
                <w:rFonts w:hAnsi="標楷體" w:hint="eastAsia"/>
                <w:color w:val="000000" w:themeColor="text1"/>
                <w:spacing w:val="-20"/>
                <w:sz w:val="24"/>
                <w:szCs w:val="24"/>
              </w:rPr>
              <w:t>參據115年</w:t>
            </w:r>
            <w:proofErr w:type="gramEnd"/>
            <w:r w:rsidRPr="00DA5594">
              <w:rPr>
                <w:rFonts w:hAnsi="標楷體" w:hint="eastAsia"/>
                <w:color w:val="000000" w:themeColor="text1"/>
                <w:spacing w:val="-20"/>
                <w:sz w:val="24"/>
                <w:szCs w:val="24"/>
              </w:rPr>
              <w:t>經濟成長率，並納入國際經貿政策影響及稅制調整因素，編列1,084億元。</w:t>
            </w:r>
          </w:p>
          <w:p w14:paraId="3D7F479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6</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菸酒稅：以113年5月至114年4月全國實徵數，編列321億元。</w:t>
            </w:r>
          </w:p>
          <w:p w14:paraId="56E997A3"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7.營業稅：以114年民間消費支出預估數為基礎，</w:t>
            </w:r>
            <w:proofErr w:type="gramStart"/>
            <w:r w:rsidRPr="00DA5594">
              <w:rPr>
                <w:rFonts w:hAnsi="標楷體" w:hint="eastAsia"/>
                <w:color w:val="000000" w:themeColor="text1"/>
                <w:spacing w:val="-20"/>
                <w:sz w:val="24"/>
                <w:szCs w:val="24"/>
              </w:rPr>
              <w:t>參據民間</w:t>
            </w:r>
            <w:proofErr w:type="gramEnd"/>
            <w:r w:rsidRPr="00DA5594">
              <w:rPr>
                <w:rFonts w:hAnsi="標楷體" w:hint="eastAsia"/>
                <w:color w:val="000000" w:themeColor="text1"/>
                <w:spacing w:val="-20"/>
                <w:sz w:val="24"/>
                <w:szCs w:val="24"/>
              </w:rPr>
              <w:t>消費年變動率與營業稅稅收占民間消費支出占比計算之</w:t>
            </w:r>
            <w:proofErr w:type="gramStart"/>
            <w:r w:rsidRPr="00DA5594">
              <w:rPr>
                <w:rFonts w:hAnsi="標楷體" w:hint="eastAsia"/>
                <w:color w:val="000000" w:themeColor="text1"/>
                <w:spacing w:val="-20"/>
                <w:sz w:val="24"/>
                <w:szCs w:val="24"/>
              </w:rPr>
              <w:t>推估數</w:t>
            </w:r>
            <w:proofErr w:type="gramEnd"/>
            <w:r w:rsidRPr="00DA5594">
              <w:rPr>
                <w:rFonts w:hAnsi="標楷體" w:hint="eastAsia"/>
                <w:color w:val="000000" w:themeColor="text1"/>
                <w:spacing w:val="-20"/>
                <w:sz w:val="24"/>
                <w:szCs w:val="24"/>
              </w:rPr>
              <w:t>、AI稅務模型</w:t>
            </w:r>
            <w:proofErr w:type="gramStart"/>
            <w:r w:rsidRPr="00DA5594">
              <w:rPr>
                <w:rFonts w:hAnsi="標楷體" w:hint="eastAsia"/>
                <w:color w:val="000000" w:themeColor="text1"/>
                <w:spacing w:val="-20"/>
                <w:sz w:val="24"/>
                <w:szCs w:val="24"/>
              </w:rPr>
              <w:t>推估數</w:t>
            </w:r>
            <w:proofErr w:type="gramEnd"/>
            <w:r w:rsidRPr="00DA5594">
              <w:rPr>
                <w:rFonts w:hAnsi="標楷體" w:hint="eastAsia"/>
                <w:color w:val="000000" w:themeColor="text1"/>
                <w:spacing w:val="-20"/>
                <w:sz w:val="24"/>
                <w:szCs w:val="24"/>
              </w:rPr>
              <w:t>，編列296億元。</w:t>
            </w:r>
          </w:p>
          <w:p w14:paraId="5A6B1BC2"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8.遺產及贈與稅：遺產稅及贈與稅具機會稅性質，以近5年該二稅全國實徵數扣除大額案件繳納稅額後之餘額平均數為基礎，按稅收平均成長率，編列210億元</w:t>
            </w:r>
            <w:r w:rsidRPr="00DA5594">
              <w:rPr>
                <w:rFonts w:hAnsi="標楷體"/>
                <w:color w:val="000000" w:themeColor="text1"/>
                <w:spacing w:val="-20"/>
                <w:sz w:val="24"/>
                <w:szCs w:val="24"/>
              </w:rPr>
              <w:t>。</w:t>
            </w:r>
          </w:p>
          <w:p w14:paraId="5A14CF9F"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9</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期貨交易稅：以近4年全國實徵數之平均數，編列103億元</w:t>
            </w:r>
            <w:r w:rsidRPr="00DA5594">
              <w:rPr>
                <w:rFonts w:hAnsi="標楷體"/>
                <w:color w:val="000000" w:themeColor="text1"/>
                <w:spacing w:val="-20"/>
                <w:sz w:val="24"/>
                <w:szCs w:val="24"/>
              </w:rPr>
              <w:t xml:space="preserve">。 </w:t>
            </w:r>
          </w:p>
          <w:p w14:paraId="6B6DE10C" w14:textId="77777777" w:rsidR="00E7321C" w:rsidRPr="00DA5594" w:rsidRDefault="00E7321C" w:rsidP="00C62D9B">
            <w:pPr>
              <w:kinsoku/>
              <w:overflowPunct/>
              <w:autoSpaceDE/>
              <w:autoSpaceDN/>
              <w:adjustRightInd w:val="0"/>
              <w:snapToGrid w:val="0"/>
              <w:spacing w:line="290" w:lineRule="exact"/>
              <w:ind w:left="229" w:hangingChars="104" w:hanging="229"/>
              <w:rPr>
                <w:rFonts w:hAnsi="標楷體"/>
                <w:color w:val="000000" w:themeColor="text1"/>
                <w:spacing w:val="-20"/>
                <w:sz w:val="24"/>
                <w:szCs w:val="24"/>
              </w:rPr>
            </w:pPr>
            <w:r w:rsidRPr="00DA5594">
              <w:rPr>
                <w:rFonts w:hAnsi="標楷體" w:hint="eastAsia"/>
                <w:color w:val="000000" w:themeColor="text1"/>
                <w:spacing w:val="-20"/>
                <w:sz w:val="24"/>
                <w:szCs w:val="24"/>
              </w:rPr>
              <w:t>10</w:t>
            </w:r>
            <w:r w:rsidRPr="00DA5594">
              <w:rPr>
                <w:rFonts w:hAnsi="標楷體"/>
                <w:color w:val="000000" w:themeColor="text1"/>
                <w:spacing w:val="-20"/>
                <w:sz w:val="24"/>
                <w:szCs w:val="24"/>
              </w:rPr>
              <w:t>.</w:t>
            </w:r>
            <w:r w:rsidRPr="00DA5594">
              <w:rPr>
                <w:rFonts w:hAnsi="標楷體" w:hint="eastAsia"/>
                <w:color w:val="000000" w:themeColor="text1"/>
                <w:spacing w:val="-20"/>
                <w:sz w:val="24"/>
                <w:szCs w:val="24"/>
              </w:rPr>
              <w:t>特種貨物及勞務稅：以113年5月至114年4月全國實徵數，編列69億元</w:t>
            </w:r>
            <w:r w:rsidRPr="00DA5594">
              <w:rPr>
                <w:rFonts w:hAnsi="標楷體"/>
                <w:color w:val="000000" w:themeColor="text1"/>
                <w:spacing w:val="-20"/>
                <w:sz w:val="24"/>
                <w:szCs w:val="24"/>
              </w:rPr>
              <w:t>。</w:t>
            </w:r>
          </w:p>
        </w:tc>
      </w:tr>
    </w:tbl>
    <w:p w14:paraId="78781321" w14:textId="77777777" w:rsidR="00E7321C" w:rsidRPr="00DA5594" w:rsidRDefault="00E7321C" w:rsidP="00E7321C">
      <w:pPr>
        <w:pStyle w:val="af5"/>
        <w:rPr>
          <w:rFonts w:hAnsi="標楷體"/>
          <w:bCs/>
          <w:color w:val="000000" w:themeColor="text1"/>
        </w:rPr>
      </w:pPr>
      <w:r w:rsidRPr="00DA5594">
        <w:rPr>
          <w:rFonts w:hAnsi="標楷體" w:hint="eastAsia"/>
          <w:bCs/>
          <w:color w:val="000000" w:themeColor="text1"/>
        </w:rPr>
        <w:t>資料來源：本案整理自中央政府106至115年度各年度預算書。</w:t>
      </w:r>
    </w:p>
    <w:p w14:paraId="0A6A2470" w14:textId="6AA8EF16" w:rsidR="003E00CE" w:rsidRPr="00DA5594" w:rsidRDefault="003E00CE" w:rsidP="001E2E19">
      <w:pPr>
        <w:pStyle w:val="3"/>
        <w:rPr>
          <w:color w:val="000000" w:themeColor="text1"/>
        </w:rPr>
      </w:pPr>
      <w:r w:rsidRPr="00DA5594">
        <w:rPr>
          <w:color w:val="000000" w:themeColor="text1"/>
          <w:u w:val="single"/>
        </w:rPr>
        <w:t>據財政部說明，我國稅收結構以所得稅為主，而綜合所得稅及營利事業所得稅具有落後申報特性，預算編列時與實際徵收期間存在約1年以上時間差，期間又易受全球景氣、產業循環、股市交易及突發事件影響，故實徵數與預算</w:t>
      </w:r>
      <w:proofErr w:type="gramStart"/>
      <w:r w:rsidRPr="00DA5594">
        <w:rPr>
          <w:color w:val="000000" w:themeColor="text1"/>
          <w:u w:val="single"/>
        </w:rPr>
        <w:t>數間本難</w:t>
      </w:r>
      <w:proofErr w:type="gramEnd"/>
      <w:r w:rsidRPr="00DA5594">
        <w:rPr>
          <w:color w:val="000000" w:themeColor="text1"/>
          <w:u w:val="single"/>
        </w:rPr>
        <w:t>完全避免差異。另我國屬高度外貿導向經濟體，半導體、科技產業及資本市場波動均可能使稅基快速擴張，增加預測困難</w:t>
      </w:r>
      <w:r w:rsidRPr="00DA5594">
        <w:rPr>
          <w:color w:val="000000" w:themeColor="text1"/>
        </w:rPr>
        <w:t>。上開說明固非無據，歲入預測本具有高度不確定性，無從要求完全精</w:t>
      </w:r>
      <w:proofErr w:type="gramStart"/>
      <w:r w:rsidRPr="00DA5594">
        <w:rPr>
          <w:color w:val="000000" w:themeColor="text1"/>
        </w:rPr>
        <w:t>準</w:t>
      </w:r>
      <w:proofErr w:type="gramEnd"/>
      <w:r w:rsidRPr="00DA5594">
        <w:rPr>
          <w:color w:val="000000" w:themeColor="text1"/>
        </w:rPr>
        <w:t>。</w:t>
      </w:r>
      <w:r w:rsidR="00C94D92" w:rsidRPr="00DA5594">
        <w:rPr>
          <w:rFonts w:hint="eastAsia"/>
          <w:color w:val="000000" w:themeColor="text1"/>
        </w:rPr>
        <w:t>且</w:t>
      </w:r>
      <w:r w:rsidRPr="00DA5594">
        <w:rPr>
          <w:color w:val="000000" w:themeColor="text1"/>
          <w:u w:val="single"/>
        </w:rPr>
        <w:t>近年稅收增加之重要來源</w:t>
      </w:r>
      <w:r w:rsidRPr="00DA5594">
        <w:rPr>
          <w:color w:val="000000" w:themeColor="text1"/>
        </w:rPr>
        <w:t>，實際上多與出口成長、企業獲利增加、股市交易熱絡及消費回溫等因素有關，</w:t>
      </w:r>
      <w:r w:rsidRPr="00DA5594">
        <w:rPr>
          <w:color w:val="000000" w:themeColor="text1"/>
          <w:u w:val="single"/>
        </w:rPr>
        <w:t>其本質係「稅基擴張」所帶動之稅收自然成長，而非政府提高</w:t>
      </w:r>
      <w:r w:rsidRPr="00DA5594">
        <w:rPr>
          <w:color w:val="000000" w:themeColor="text1"/>
          <w:u w:val="single"/>
        </w:rPr>
        <w:lastRenderedPageBreak/>
        <w:t>稅率或新增稅目所致</w:t>
      </w:r>
      <w:r w:rsidRPr="00DA5594">
        <w:rPr>
          <w:color w:val="000000" w:themeColor="text1"/>
        </w:rPr>
        <w:t>。</w:t>
      </w:r>
      <w:r w:rsidR="00C94D92" w:rsidRPr="00DA5594">
        <w:rPr>
          <w:rFonts w:hint="eastAsia"/>
          <w:color w:val="000000" w:themeColor="text1"/>
        </w:rPr>
        <w:t>因此，</w:t>
      </w:r>
      <w:r w:rsidR="003C7C6A" w:rsidRPr="00DA5594">
        <w:rPr>
          <w:rFonts w:hint="eastAsia"/>
          <w:color w:val="000000" w:themeColor="text1"/>
        </w:rPr>
        <w:t>對於中央政府連年稅收實徵數超過預算數高達數千億情形，本質應</w:t>
      </w:r>
      <w:r w:rsidR="003C7C6A" w:rsidRPr="00DA5594">
        <w:rPr>
          <w:color w:val="000000" w:themeColor="text1"/>
        </w:rPr>
        <w:t>是「實際稅收高於原先預算估計的結果」</w:t>
      </w:r>
      <w:r w:rsidR="00EA5295" w:rsidRPr="00DA5594">
        <w:rPr>
          <w:color w:val="000000" w:themeColor="text1"/>
        </w:rPr>
        <w:t>(</w:t>
      </w:r>
      <w:r w:rsidR="003C7C6A" w:rsidRPr="00DA5594">
        <w:rPr>
          <w:color w:val="000000" w:themeColor="text1"/>
        </w:rPr>
        <w:t>revenue overperformance 或 revenue above forecast</w:t>
      </w:r>
      <w:r w:rsidR="00EA5295" w:rsidRPr="00DA5594">
        <w:rPr>
          <w:color w:val="000000" w:themeColor="text1"/>
        </w:rPr>
        <w:t>)</w:t>
      </w:r>
      <w:r w:rsidR="003C7C6A" w:rsidRPr="00DA5594">
        <w:rPr>
          <w:rFonts w:hint="eastAsia"/>
          <w:color w:val="000000" w:themeColor="text1"/>
        </w:rPr>
        <w:t>，然而媒體報導</w:t>
      </w:r>
      <w:r w:rsidR="003C7C6A" w:rsidRPr="00DA5594">
        <w:rPr>
          <w:color w:val="000000" w:themeColor="text1"/>
        </w:rPr>
        <w:t>或政治論述</w:t>
      </w:r>
      <w:r w:rsidR="00C94D92" w:rsidRPr="00DA5594">
        <w:rPr>
          <w:rFonts w:hint="eastAsia"/>
          <w:color w:val="000000" w:themeColor="text1"/>
        </w:rPr>
        <w:t>卻</w:t>
      </w:r>
      <w:r w:rsidR="003C7C6A" w:rsidRPr="00DA5594">
        <w:rPr>
          <w:rFonts w:hint="eastAsia"/>
          <w:color w:val="000000" w:themeColor="text1"/>
        </w:rPr>
        <w:t>以</w:t>
      </w:r>
      <w:r w:rsidR="003C7C6A" w:rsidRPr="00DA5594">
        <w:rPr>
          <w:rFonts w:hint="eastAsia"/>
          <w:color w:val="000000" w:themeColor="text1"/>
          <w:u w:val="single"/>
        </w:rPr>
        <w:t>「稅收超徵」稱之，</w:t>
      </w:r>
      <w:r w:rsidR="00C94D92" w:rsidRPr="00DA5594">
        <w:rPr>
          <w:rFonts w:hint="eastAsia"/>
          <w:color w:val="000000" w:themeColor="text1"/>
          <w:u w:val="single"/>
        </w:rPr>
        <w:t>經</w:t>
      </w:r>
      <w:r w:rsidR="003C7C6A" w:rsidRPr="00DA5594">
        <w:rPr>
          <w:color w:val="000000" w:themeColor="text1"/>
          <w:u w:val="single"/>
        </w:rPr>
        <w:t>本院諮詢專家學者認為，</w:t>
      </w:r>
      <w:r w:rsidR="003C7C6A" w:rsidRPr="00DA5594">
        <w:rPr>
          <w:rFonts w:hint="eastAsia"/>
          <w:color w:val="000000" w:themeColor="text1"/>
          <w:u w:val="single"/>
        </w:rPr>
        <w:t>此</w:t>
      </w:r>
      <w:r w:rsidR="003C7C6A" w:rsidRPr="00DA5594">
        <w:rPr>
          <w:color w:val="000000" w:themeColor="text1"/>
          <w:u w:val="single"/>
        </w:rPr>
        <w:t>用語</w:t>
      </w:r>
      <w:r w:rsidR="003C7C6A" w:rsidRPr="00DA5594">
        <w:rPr>
          <w:rFonts w:hint="eastAsia"/>
          <w:color w:val="000000" w:themeColor="text1"/>
          <w:u w:val="single"/>
        </w:rPr>
        <w:t>並</w:t>
      </w:r>
      <w:proofErr w:type="gramStart"/>
      <w:r w:rsidR="003C7C6A" w:rsidRPr="00DA5594">
        <w:rPr>
          <w:rFonts w:hint="eastAsia"/>
          <w:color w:val="000000" w:themeColor="text1"/>
          <w:u w:val="single"/>
        </w:rPr>
        <w:t>不妥適亦不</w:t>
      </w:r>
      <w:proofErr w:type="gramEnd"/>
      <w:r w:rsidR="003C7C6A" w:rsidRPr="00DA5594">
        <w:rPr>
          <w:rFonts w:hint="eastAsia"/>
          <w:color w:val="000000" w:themeColor="text1"/>
          <w:u w:val="single"/>
        </w:rPr>
        <w:t>精</w:t>
      </w:r>
      <w:proofErr w:type="gramStart"/>
      <w:r w:rsidR="003C7C6A" w:rsidRPr="00DA5594">
        <w:rPr>
          <w:rFonts w:hint="eastAsia"/>
          <w:color w:val="000000" w:themeColor="text1"/>
          <w:u w:val="single"/>
        </w:rPr>
        <w:t>準</w:t>
      </w:r>
      <w:proofErr w:type="gramEnd"/>
      <w:r w:rsidR="003C7C6A" w:rsidRPr="00DA5594">
        <w:rPr>
          <w:rFonts w:hint="eastAsia"/>
          <w:color w:val="000000" w:themeColor="text1"/>
          <w:u w:val="single"/>
        </w:rPr>
        <w:t>，</w:t>
      </w:r>
      <w:r w:rsidR="003C7C6A" w:rsidRPr="00DA5594">
        <w:rPr>
          <w:color w:val="000000" w:themeColor="text1"/>
          <w:u w:val="single"/>
        </w:rPr>
        <w:t>易使社會大眾</w:t>
      </w:r>
      <w:r w:rsidR="003C7C6A" w:rsidRPr="00DA5594">
        <w:rPr>
          <w:rFonts w:hint="eastAsia"/>
          <w:color w:val="000000" w:themeColor="text1"/>
          <w:u w:val="single"/>
        </w:rPr>
        <w:t>聯想到</w:t>
      </w:r>
      <w:r w:rsidR="003C7C6A" w:rsidRPr="00DA5594">
        <w:rPr>
          <w:color w:val="000000" w:themeColor="text1"/>
          <w:u w:val="single"/>
        </w:rPr>
        <w:t>「政府多收了不該收的錢」</w:t>
      </w:r>
      <w:r w:rsidR="003C7C6A" w:rsidRPr="00DA5594">
        <w:rPr>
          <w:rFonts w:hint="eastAsia"/>
          <w:color w:val="000000" w:themeColor="text1"/>
          <w:u w:val="single"/>
        </w:rPr>
        <w:t>、</w:t>
      </w:r>
      <w:r w:rsidR="003C7C6A" w:rsidRPr="00DA5594">
        <w:rPr>
          <w:color w:val="000000" w:themeColor="text1"/>
          <w:u w:val="single"/>
        </w:rPr>
        <w:t>「違法強</w:t>
      </w:r>
      <w:proofErr w:type="gramStart"/>
      <w:r w:rsidR="003C7C6A" w:rsidRPr="00DA5594">
        <w:rPr>
          <w:color w:val="000000" w:themeColor="text1"/>
          <w:u w:val="single"/>
        </w:rPr>
        <w:t>徵濫課</w:t>
      </w:r>
      <w:proofErr w:type="gramEnd"/>
      <w:r w:rsidR="003C7C6A" w:rsidRPr="00DA5594">
        <w:rPr>
          <w:color w:val="000000" w:themeColor="text1"/>
          <w:u w:val="single"/>
        </w:rPr>
        <w:t>」、「政府有多的錢」或「財政餘裕」</w:t>
      </w:r>
      <w:proofErr w:type="gramStart"/>
      <w:r w:rsidR="003C7C6A" w:rsidRPr="00DA5594">
        <w:rPr>
          <w:color w:val="000000" w:themeColor="text1"/>
          <w:u w:val="single"/>
        </w:rPr>
        <w:t>等意涵</w:t>
      </w:r>
      <w:proofErr w:type="gramEnd"/>
      <w:r w:rsidR="00CD1632" w:rsidRPr="00DA5594">
        <w:rPr>
          <w:rFonts w:hint="eastAsia"/>
          <w:color w:val="000000" w:themeColor="text1"/>
        </w:rPr>
        <w:t>；並有學者提出，雖然依現行制度，總預算報告書中之稅收預測仍須以單一數值呈現，</w:t>
      </w:r>
      <w:r w:rsidR="00CD1632" w:rsidRPr="00DA5594">
        <w:rPr>
          <w:rFonts w:hint="eastAsia"/>
          <w:color w:val="000000" w:themeColor="text1"/>
          <w:u w:val="single"/>
        </w:rPr>
        <w:t>然於法規層次上，宜建立具制度化意涵之「合理預測區間」；當實際徵收數落於該區間範圍內時，應視為原預測仍屬合理誤差範圍</w:t>
      </w:r>
      <w:r w:rsidR="00CD1632" w:rsidRPr="00DA5594">
        <w:rPr>
          <w:rFonts w:hint="eastAsia"/>
          <w:color w:val="000000" w:themeColor="text1"/>
        </w:rPr>
        <w:t>，無須進一步對超徵或短收採取額外政策回應；此一制度設計亦有助於引導社會大眾理解稅收預測本質上具有不確定性，從而建立對預測誤差之合理認知與接受度。</w:t>
      </w:r>
      <w:proofErr w:type="gramStart"/>
      <w:r w:rsidRPr="00DA5594">
        <w:rPr>
          <w:color w:val="000000" w:themeColor="text1"/>
          <w:u w:val="single"/>
        </w:rPr>
        <w:t>惟</w:t>
      </w:r>
      <w:proofErr w:type="gramEnd"/>
      <w:r w:rsidRPr="00DA5594">
        <w:rPr>
          <w:color w:val="000000" w:themeColor="text1"/>
          <w:u w:val="single"/>
        </w:rPr>
        <w:t>財政部長期以來</w:t>
      </w:r>
      <w:r w:rsidR="00836847" w:rsidRPr="00DA5594">
        <w:rPr>
          <w:rFonts w:hint="eastAsia"/>
          <w:color w:val="000000" w:themeColor="text1"/>
          <w:u w:val="single"/>
        </w:rPr>
        <w:t>發布新聞稿</w:t>
      </w:r>
      <w:r w:rsidR="00836847" w:rsidRPr="00DA5594">
        <w:rPr>
          <w:rFonts w:hint="eastAsia"/>
          <w:color w:val="000000" w:themeColor="text1"/>
        </w:rPr>
        <w:t>時使用「稅課收入執行優於預期」或「實徵數大於預算數」，</w:t>
      </w:r>
      <w:r w:rsidR="00D124F6" w:rsidRPr="00DA5594">
        <w:rPr>
          <w:rFonts w:hint="eastAsia"/>
          <w:color w:val="000000" w:themeColor="text1"/>
        </w:rPr>
        <w:t>以</w:t>
      </w:r>
      <w:r w:rsidR="00836847" w:rsidRPr="00DA5594">
        <w:rPr>
          <w:rFonts w:hint="eastAsia"/>
          <w:color w:val="000000" w:themeColor="text1"/>
        </w:rPr>
        <w:t>澄清外界誤解</w:t>
      </w:r>
      <w:r w:rsidRPr="00DA5594">
        <w:rPr>
          <w:color w:val="000000" w:themeColor="text1"/>
        </w:rPr>
        <w:t>，</w:t>
      </w:r>
      <w:r w:rsidR="00D124F6" w:rsidRPr="00DA5594">
        <w:rPr>
          <w:rFonts w:hint="eastAsia"/>
          <w:color w:val="000000" w:themeColor="text1"/>
        </w:rPr>
        <w:t>其</w:t>
      </w:r>
      <w:r w:rsidRPr="00DA5594">
        <w:rPr>
          <w:color w:val="000000" w:themeColor="text1"/>
        </w:rPr>
        <w:t>說明多偏重「超過預算數」或「歲入增加」之結果性描述，未能有效將社會討論焦點，由「政府多收多少錢」轉向「為何稅收增加」之原因分析，</w:t>
      </w:r>
      <w:r w:rsidRPr="00DA5594">
        <w:rPr>
          <w:color w:val="000000" w:themeColor="text1"/>
          <w:u w:val="single"/>
        </w:rPr>
        <w:t>亦未持續透過制度化方式向社會說明「稅基擴張」與「違法多徵」間之根本差異，致外界對「超徵」一詞易產生政府額外剝奪人民財產之誤解</w:t>
      </w:r>
      <w:r w:rsidRPr="00DA5594">
        <w:rPr>
          <w:color w:val="000000" w:themeColor="text1"/>
        </w:rPr>
        <w:t>。尤其媒體與公共討論長期以「</w:t>
      </w:r>
      <w:r w:rsidR="003C7C6A" w:rsidRPr="00DA5594">
        <w:rPr>
          <w:color w:val="000000" w:themeColor="text1"/>
        </w:rPr>
        <w:t>稅收</w:t>
      </w:r>
      <w:r w:rsidRPr="00DA5594">
        <w:rPr>
          <w:color w:val="000000" w:themeColor="text1"/>
        </w:rPr>
        <w:t>超徵」、「政府多收」等高度情緒化用語呈現，</w:t>
      </w:r>
      <w:r w:rsidRPr="00DA5594">
        <w:rPr>
          <w:color w:val="000000" w:themeColor="text1"/>
          <w:u w:val="single"/>
        </w:rPr>
        <w:t>財政部卻</w:t>
      </w:r>
      <w:r w:rsidR="00CD1632" w:rsidRPr="00DA5594">
        <w:rPr>
          <w:color w:val="000000" w:themeColor="text1"/>
          <w:u w:val="single"/>
        </w:rPr>
        <w:t>未明確承認其預測偏保守或估測失</w:t>
      </w:r>
      <w:proofErr w:type="gramStart"/>
      <w:r w:rsidR="00CD1632" w:rsidRPr="00DA5594">
        <w:rPr>
          <w:color w:val="000000" w:themeColor="text1"/>
          <w:u w:val="single"/>
        </w:rPr>
        <w:t>準</w:t>
      </w:r>
      <w:proofErr w:type="gramEnd"/>
      <w:r w:rsidR="00CD1632" w:rsidRPr="00DA5594">
        <w:rPr>
          <w:color w:val="000000" w:themeColor="text1"/>
          <w:u w:val="single"/>
        </w:rPr>
        <w:t>問題</w:t>
      </w:r>
      <w:r w:rsidR="00CD1632" w:rsidRPr="00DA5594">
        <w:rPr>
          <w:rFonts w:hint="eastAsia"/>
          <w:color w:val="000000" w:themeColor="text1"/>
          <w:u w:val="single"/>
        </w:rPr>
        <w:t>，亦</w:t>
      </w:r>
      <w:r w:rsidRPr="00DA5594">
        <w:rPr>
          <w:color w:val="000000" w:themeColor="text1"/>
          <w:u w:val="single"/>
        </w:rPr>
        <w:t>未建立完整且持續性之政策溝通策略加以</w:t>
      </w:r>
      <w:proofErr w:type="gramStart"/>
      <w:r w:rsidRPr="00DA5594">
        <w:rPr>
          <w:color w:val="000000" w:themeColor="text1"/>
          <w:u w:val="single"/>
        </w:rPr>
        <w:t>釐</w:t>
      </w:r>
      <w:proofErr w:type="gramEnd"/>
      <w:r w:rsidRPr="00DA5594">
        <w:rPr>
          <w:color w:val="000000" w:themeColor="text1"/>
          <w:u w:val="single"/>
        </w:rPr>
        <w:t>清</w:t>
      </w:r>
      <w:r w:rsidRPr="00DA5594">
        <w:rPr>
          <w:color w:val="000000" w:themeColor="text1"/>
        </w:rPr>
        <w:t>，致部分社會輿論逐漸將「預算估計數」誤認為政府依法徵收之上限，</w:t>
      </w:r>
      <w:r w:rsidRPr="00DA5594">
        <w:rPr>
          <w:color w:val="000000" w:themeColor="text1"/>
          <w:u w:val="single"/>
        </w:rPr>
        <w:t>甚至認為凡高於預算之部分</w:t>
      </w:r>
      <w:proofErr w:type="gramStart"/>
      <w:r w:rsidRPr="00DA5594">
        <w:rPr>
          <w:color w:val="000000" w:themeColor="text1"/>
          <w:u w:val="single"/>
        </w:rPr>
        <w:t>均應「還稅於</w:t>
      </w:r>
      <w:proofErr w:type="gramEnd"/>
      <w:r w:rsidRPr="00DA5594">
        <w:rPr>
          <w:color w:val="000000" w:themeColor="text1"/>
          <w:u w:val="single"/>
        </w:rPr>
        <w:t>民」，相關財政討論因此</w:t>
      </w:r>
      <w:r w:rsidRPr="00DA5594">
        <w:rPr>
          <w:color w:val="000000" w:themeColor="text1"/>
          <w:u w:val="single"/>
        </w:rPr>
        <w:lastRenderedPageBreak/>
        <w:t>流於簡化與對立，影響社會對預算制度及租稅法定原則之正確認知</w:t>
      </w:r>
      <w:r w:rsidRPr="00DA5594">
        <w:rPr>
          <w:color w:val="000000" w:themeColor="text1"/>
        </w:rPr>
        <w:t>。</w:t>
      </w:r>
    </w:p>
    <w:p w14:paraId="25048F1E" w14:textId="4CB962CB" w:rsidR="003E00CE" w:rsidRPr="00DA5594" w:rsidRDefault="003E00CE" w:rsidP="003E00CE">
      <w:pPr>
        <w:pStyle w:val="3"/>
        <w:rPr>
          <w:color w:val="000000" w:themeColor="text1"/>
        </w:rPr>
      </w:pPr>
      <w:r w:rsidRPr="00DA5594">
        <w:rPr>
          <w:color w:val="000000" w:themeColor="text1"/>
        </w:rPr>
        <w:t>再查，「超徵稅收應否</w:t>
      </w:r>
      <w:proofErr w:type="gramStart"/>
      <w:r w:rsidRPr="00DA5594">
        <w:rPr>
          <w:color w:val="000000" w:themeColor="text1"/>
        </w:rPr>
        <w:t>還稅於</w:t>
      </w:r>
      <w:proofErr w:type="gramEnd"/>
      <w:r w:rsidRPr="00DA5594">
        <w:rPr>
          <w:color w:val="000000" w:themeColor="text1"/>
        </w:rPr>
        <w:t>民」之爭議，實涉及預算制度、財政紀律與跨年度資源配置等複雜政策判斷。按預算制度本質上係對未來財政收支之預估與配置，歲入預算並非法律上之「徵收上限」，亦非政府向人民「預收」之固定金額。稅收依法定稅率及稅基課</w:t>
      </w:r>
      <w:proofErr w:type="gramStart"/>
      <w:r w:rsidRPr="00DA5594">
        <w:rPr>
          <w:color w:val="000000" w:themeColor="text1"/>
        </w:rPr>
        <w:t>徵</w:t>
      </w:r>
      <w:proofErr w:type="gramEnd"/>
      <w:r w:rsidRPr="00DA5594">
        <w:rPr>
          <w:color w:val="000000" w:themeColor="text1"/>
        </w:rPr>
        <w:t>，只要課徵程序合法，即屬依法形成之公共財源，而非政府暫時代為保管之私人資金。若將所有高於預算之稅收均視為「多收」或「應返還人民」，實已混淆預算估測與租稅法定主義之不同概念。尤其近年稅收增加部分，部分係受短期景氣、資本市場熱絡或特定產業高獲利所帶動，未必具長期穩定性；另一方面，國家尚面臨少子女化、高齡化、社會保險、基礎建設及國防安全等長期支出需求，相關財源配置本應由政府依整體財政狀況及世代公平原則審慎規劃。</w:t>
      </w:r>
      <w:proofErr w:type="gramStart"/>
      <w:r w:rsidRPr="00DA5594">
        <w:rPr>
          <w:color w:val="000000" w:themeColor="text1"/>
        </w:rPr>
        <w:t>惟</w:t>
      </w:r>
      <w:r w:rsidR="009E2F64" w:rsidRPr="00DA5594">
        <w:rPr>
          <w:rFonts w:hint="eastAsia"/>
          <w:color w:val="000000" w:themeColor="text1"/>
        </w:rPr>
        <w:t>查</w:t>
      </w:r>
      <w:r w:rsidRPr="00DA5594">
        <w:rPr>
          <w:color w:val="000000" w:themeColor="text1"/>
        </w:rPr>
        <w:t>財政部</w:t>
      </w:r>
      <w:proofErr w:type="gramEnd"/>
      <w:r w:rsidRPr="00DA5594">
        <w:rPr>
          <w:color w:val="000000" w:themeColor="text1"/>
        </w:rPr>
        <w:t>於相關爭議升高</w:t>
      </w:r>
      <w:proofErr w:type="gramStart"/>
      <w:r w:rsidRPr="00DA5594">
        <w:rPr>
          <w:color w:val="000000" w:themeColor="text1"/>
        </w:rPr>
        <w:t>期間，</w:t>
      </w:r>
      <w:proofErr w:type="gramEnd"/>
      <w:r w:rsidRPr="00DA5594">
        <w:rPr>
          <w:color w:val="000000" w:themeColor="text1"/>
        </w:rPr>
        <w:t>除未適時提出完整說明</w:t>
      </w:r>
      <w:r w:rsidR="00C94D92" w:rsidRPr="00DA5594">
        <w:rPr>
          <w:rFonts w:hint="eastAsia"/>
          <w:color w:val="000000" w:themeColor="text1"/>
        </w:rPr>
        <w:t>外</w:t>
      </w:r>
      <w:r w:rsidRPr="00DA5594">
        <w:rPr>
          <w:color w:val="000000" w:themeColor="text1"/>
        </w:rPr>
        <w:t>，亦未積極透過白皮書、定期報告、視覺化資訊或制度化政策溝通方式，引導社會理解稅收增加背後之經濟與稅基變化原因，致公共討論長期聚焦於「多收多少」、「是否發現金」等結果性爭論，而忽略更核心之問題，例如：</w:t>
      </w:r>
      <w:r w:rsidRPr="00DA5594">
        <w:rPr>
          <w:color w:val="000000" w:themeColor="text1"/>
          <w:u w:val="single"/>
        </w:rPr>
        <w:t>稅收成長究竟屬結構性或循環性因素？現行預測模型為何長期低估？政府是否建立足夠之財政調節與風險管理機制？相關歲入增加</w:t>
      </w:r>
      <w:proofErr w:type="gramStart"/>
      <w:r w:rsidRPr="00DA5594">
        <w:rPr>
          <w:color w:val="000000" w:themeColor="text1"/>
          <w:u w:val="single"/>
        </w:rPr>
        <w:t>是否已妥適用於減債</w:t>
      </w:r>
      <w:proofErr w:type="gramEnd"/>
      <w:r w:rsidRPr="00DA5594">
        <w:rPr>
          <w:color w:val="000000" w:themeColor="text1"/>
          <w:u w:val="single"/>
        </w:rPr>
        <w:t>、基礎建設或長期社會支出</w:t>
      </w:r>
      <w:r w:rsidRPr="00DA5594">
        <w:rPr>
          <w:color w:val="000000" w:themeColor="text1"/>
        </w:rPr>
        <w:t>？</w:t>
      </w:r>
      <w:proofErr w:type="gramStart"/>
      <w:r w:rsidRPr="00DA5594">
        <w:rPr>
          <w:color w:val="000000" w:themeColor="text1"/>
        </w:rPr>
        <w:t>均未獲</w:t>
      </w:r>
      <w:proofErr w:type="gramEnd"/>
      <w:r w:rsidRPr="00DA5594">
        <w:rPr>
          <w:color w:val="000000" w:themeColor="text1"/>
        </w:rPr>
        <w:t>充分理性討論。財政部作為國家財政主管機關，對於重大財政議題之政策溝通與社會教育，本應負有更積極之責任，惟其長期未能有效</w:t>
      </w:r>
      <w:proofErr w:type="gramStart"/>
      <w:r w:rsidRPr="00DA5594">
        <w:rPr>
          <w:color w:val="000000" w:themeColor="text1"/>
        </w:rPr>
        <w:t>釐</w:t>
      </w:r>
      <w:proofErr w:type="gramEnd"/>
      <w:r w:rsidRPr="00DA5594">
        <w:rPr>
          <w:color w:val="000000" w:themeColor="text1"/>
        </w:rPr>
        <w:t>清社會對「</w:t>
      </w:r>
      <w:r w:rsidR="008047E0" w:rsidRPr="00DA5594">
        <w:rPr>
          <w:color w:val="000000" w:themeColor="text1"/>
        </w:rPr>
        <w:t>稅收</w:t>
      </w:r>
      <w:r w:rsidRPr="00DA5594">
        <w:rPr>
          <w:color w:val="000000" w:themeColor="text1"/>
        </w:rPr>
        <w:t>超徵」概念之誤解，亦未主動承認預測偏差及檢討制</w:t>
      </w:r>
      <w:r w:rsidRPr="00DA5594">
        <w:rPr>
          <w:color w:val="000000" w:themeColor="text1"/>
        </w:rPr>
        <w:lastRenderedPageBreak/>
        <w:t>度問題，致社會對政府財政運作之信賴度受影響，核有未盡主管機關</w:t>
      </w:r>
      <w:r w:rsidR="008047E0" w:rsidRPr="00DA5594">
        <w:rPr>
          <w:rFonts w:hint="eastAsia"/>
          <w:color w:val="000000" w:themeColor="text1"/>
        </w:rPr>
        <w:t>澄清</w:t>
      </w:r>
      <w:r w:rsidRPr="00DA5594">
        <w:rPr>
          <w:color w:val="000000" w:themeColor="text1"/>
        </w:rPr>
        <w:t>說明</w:t>
      </w:r>
      <w:r w:rsidR="008047E0" w:rsidRPr="00DA5594">
        <w:rPr>
          <w:rFonts w:hint="eastAsia"/>
          <w:color w:val="000000" w:themeColor="text1"/>
        </w:rPr>
        <w:t>之</w:t>
      </w:r>
      <w:r w:rsidRPr="00DA5594">
        <w:rPr>
          <w:color w:val="000000" w:themeColor="text1"/>
        </w:rPr>
        <w:t>責任。</w:t>
      </w:r>
    </w:p>
    <w:p w14:paraId="3B2468F8" w14:textId="66CFFE9E" w:rsidR="009E2F64" w:rsidRPr="00DA5594" w:rsidRDefault="003E00CE" w:rsidP="003E00CE">
      <w:pPr>
        <w:pStyle w:val="3"/>
        <w:rPr>
          <w:color w:val="000000" w:themeColor="text1"/>
        </w:rPr>
      </w:pPr>
      <w:r w:rsidRPr="00DA5594">
        <w:rPr>
          <w:rFonts w:hint="eastAsia"/>
          <w:color w:val="000000" w:themeColor="text1"/>
        </w:rPr>
        <w:t>據</w:t>
      </w:r>
      <w:r w:rsidRPr="00DA5594">
        <w:rPr>
          <w:color w:val="000000" w:themeColor="text1"/>
        </w:rPr>
        <w:t>上，歲入預測本具高度不確定性，</w:t>
      </w:r>
      <w:r w:rsidR="00EF30EB" w:rsidRPr="00DA5594">
        <w:rPr>
          <w:rFonts w:hint="eastAsia"/>
          <w:color w:val="000000" w:themeColor="text1"/>
        </w:rPr>
        <w:t>稅課收入</w:t>
      </w:r>
      <w:r w:rsidRPr="00DA5594">
        <w:rPr>
          <w:color w:val="000000" w:themeColor="text1"/>
        </w:rPr>
        <w:t>實徵數高於預算數</w:t>
      </w:r>
      <w:r w:rsidR="009E2F64" w:rsidRPr="00DA5594">
        <w:rPr>
          <w:rFonts w:hint="eastAsia"/>
          <w:color w:val="000000" w:themeColor="text1"/>
        </w:rPr>
        <w:t>並</w:t>
      </w:r>
      <w:r w:rsidR="00B728FA" w:rsidRPr="00DA5594">
        <w:rPr>
          <w:rFonts w:hint="eastAsia"/>
          <w:color w:val="000000" w:themeColor="text1"/>
        </w:rPr>
        <w:t>非</w:t>
      </w:r>
      <w:r w:rsidRPr="00DA5594">
        <w:rPr>
          <w:color w:val="000000" w:themeColor="text1"/>
        </w:rPr>
        <w:t>政府違法多</w:t>
      </w:r>
      <w:proofErr w:type="gramStart"/>
      <w:r w:rsidRPr="00DA5594">
        <w:rPr>
          <w:color w:val="000000" w:themeColor="text1"/>
        </w:rPr>
        <w:t>徵</w:t>
      </w:r>
      <w:proofErr w:type="gramEnd"/>
      <w:r w:rsidRPr="00DA5594">
        <w:rPr>
          <w:color w:val="000000" w:themeColor="text1"/>
        </w:rPr>
        <w:t>；近年中央政府稅收增加，主要仍係景氣成長、企業獲利提升及資本市場活絡等「稅基擴張」因素所帶動。</w:t>
      </w:r>
      <w:r w:rsidR="00C62D9B" w:rsidRPr="00DA5594">
        <w:rPr>
          <w:rFonts w:hint="eastAsia"/>
          <w:color w:val="000000" w:themeColor="text1"/>
        </w:rPr>
        <w:t>查財政</w:t>
      </w:r>
      <w:r w:rsidR="009E2F64" w:rsidRPr="00DA5594">
        <w:rPr>
          <w:color w:val="000000" w:themeColor="text1"/>
        </w:rPr>
        <w:t>部長期對關鍵模型、估算公式、誤差分析及敏感度變化等核心資訊揭露有限</w:t>
      </w:r>
      <w:r w:rsidR="009E2F64" w:rsidRPr="00DA5594">
        <w:rPr>
          <w:rFonts w:hint="eastAsia"/>
          <w:color w:val="000000" w:themeColor="text1"/>
        </w:rPr>
        <w:t>，</w:t>
      </w:r>
      <w:r w:rsidR="00C94D92" w:rsidRPr="00DA5594">
        <w:rPr>
          <w:rFonts w:hint="eastAsia"/>
          <w:color w:val="000000" w:themeColor="text1"/>
        </w:rPr>
        <w:t>亦致</w:t>
      </w:r>
      <w:r w:rsidR="009E2F64" w:rsidRPr="00DA5594">
        <w:rPr>
          <w:color w:val="000000" w:themeColor="text1"/>
        </w:rPr>
        <w:t>外界迄難完整理解及驗證稅收推估過程；</w:t>
      </w:r>
      <w:r w:rsidR="006C0257" w:rsidRPr="00DA5594">
        <w:rPr>
          <w:color w:val="000000" w:themeColor="text1"/>
        </w:rPr>
        <w:t>又中央政府稅課收入</w:t>
      </w:r>
      <w:r w:rsidR="006C0257" w:rsidRPr="00DA5594">
        <w:rPr>
          <w:rFonts w:hint="eastAsia"/>
          <w:color w:val="000000" w:themeColor="text1"/>
        </w:rPr>
        <w:t>連年</w:t>
      </w:r>
      <w:r w:rsidR="006C0257" w:rsidRPr="00DA5594">
        <w:rPr>
          <w:color w:val="000000" w:themeColor="text1"/>
        </w:rPr>
        <w:t>實徵數大幅高於預算數，社會普遍以「稅收超徵」稱之，並衍生政府「多收稅款」或「應返還人民」等爭議，然財政部</w:t>
      </w:r>
      <w:r w:rsidR="00267E8C" w:rsidRPr="00DA5594">
        <w:rPr>
          <w:color w:val="000000" w:themeColor="text1"/>
        </w:rPr>
        <w:t>未明確承認其預測偏保守或估測失</w:t>
      </w:r>
      <w:proofErr w:type="gramStart"/>
      <w:r w:rsidR="00267E8C" w:rsidRPr="00DA5594">
        <w:rPr>
          <w:color w:val="000000" w:themeColor="text1"/>
        </w:rPr>
        <w:t>準</w:t>
      </w:r>
      <w:proofErr w:type="gramEnd"/>
      <w:r w:rsidR="00267E8C" w:rsidRPr="00DA5594">
        <w:rPr>
          <w:color w:val="000000" w:themeColor="text1"/>
        </w:rPr>
        <w:t>問題</w:t>
      </w:r>
      <w:r w:rsidR="006C0257" w:rsidRPr="00DA5594">
        <w:rPr>
          <w:color w:val="000000" w:themeColor="text1"/>
        </w:rPr>
        <w:t>，</w:t>
      </w:r>
      <w:r w:rsidRPr="00DA5594">
        <w:rPr>
          <w:color w:val="000000" w:themeColor="text1"/>
        </w:rPr>
        <w:t>對外政策溝通復未有效</w:t>
      </w:r>
      <w:r w:rsidR="000F509F" w:rsidRPr="00DA5594">
        <w:rPr>
          <w:rFonts w:hint="eastAsia"/>
          <w:color w:val="000000" w:themeColor="text1"/>
        </w:rPr>
        <w:t>說明</w:t>
      </w:r>
      <w:r w:rsidRPr="00DA5594">
        <w:rPr>
          <w:color w:val="000000" w:themeColor="text1"/>
        </w:rPr>
        <w:t>「實徵數高於預算數」與「</w:t>
      </w:r>
      <w:r w:rsidR="005B43EF" w:rsidRPr="00DA5594">
        <w:rPr>
          <w:rFonts w:hint="eastAsia"/>
          <w:color w:val="000000" w:themeColor="text1"/>
        </w:rPr>
        <w:t>稅收</w:t>
      </w:r>
      <w:r w:rsidRPr="00DA5594">
        <w:rPr>
          <w:color w:val="000000" w:themeColor="text1"/>
        </w:rPr>
        <w:t>超徵」間之本質差異，</w:t>
      </w:r>
      <w:r w:rsidR="000F509F" w:rsidRPr="00DA5594">
        <w:rPr>
          <w:rFonts w:hint="eastAsia"/>
          <w:color w:val="000000" w:themeColor="text1"/>
        </w:rPr>
        <w:t>以及</w:t>
      </w:r>
      <w:r w:rsidRPr="00DA5594">
        <w:rPr>
          <w:color w:val="000000" w:themeColor="text1"/>
        </w:rPr>
        <w:t>「稅基擴張」</w:t>
      </w:r>
      <w:r w:rsidR="000F509F" w:rsidRPr="00DA5594">
        <w:rPr>
          <w:rFonts w:hint="eastAsia"/>
          <w:color w:val="000000" w:themeColor="text1"/>
        </w:rPr>
        <w:t>相關</w:t>
      </w:r>
      <w:r w:rsidRPr="00DA5594">
        <w:rPr>
          <w:color w:val="000000" w:themeColor="text1"/>
        </w:rPr>
        <w:t>經濟結構因素，致相關議題長期陷於情緒化與政治化爭論，影響政府財政公信力及社會對預算制度之正確認知</w:t>
      </w:r>
      <w:r w:rsidR="009E2F64" w:rsidRPr="00DA5594">
        <w:rPr>
          <w:color w:val="000000" w:themeColor="text1"/>
        </w:rPr>
        <w:t>，</w:t>
      </w:r>
      <w:r w:rsidR="009E2F64" w:rsidRPr="00DA5594">
        <w:rPr>
          <w:rFonts w:hint="eastAsia"/>
          <w:color w:val="000000" w:themeColor="text1"/>
        </w:rPr>
        <w:t>足見</w:t>
      </w:r>
      <w:proofErr w:type="gramStart"/>
      <w:r w:rsidR="009E2F64" w:rsidRPr="00DA5594">
        <w:rPr>
          <w:rFonts w:hint="eastAsia"/>
          <w:color w:val="000000" w:themeColor="text1"/>
        </w:rPr>
        <w:t>該部確</w:t>
      </w:r>
      <w:r w:rsidR="009E2F64" w:rsidRPr="00DA5594">
        <w:rPr>
          <w:color w:val="000000" w:themeColor="text1"/>
        </w:rPr>
        <w:t>有</w:t>
      </w:r>
      <w:proofErr w:type="gramEnd"/>
      <w:r w:rsidR="009E2F64" w:rsidRPr="00DA5594">
        <w:rPr>
          <w:color w:val="000000" w:themeColor="text1"/>
        </w:rPr>
        <w:t>資訊揭露及政策溝通</w:t>
      </w:r>
      <w:r w:rsidR="009E2F64" w:rsidRPr="00DA5594">
        <w:rPr>
          <w:rFonts w:hint="eastAsia"/>
          <w:color w:val="000000" w:themeColor="text1"/>
        </w:rPr>
        <w:t>嚴重</w:t>
      </w:r>
      <w:r w:rsidR="009E2F64" w:rsidRPr="00DA5594">
        <w:rPr>
          <w:color w:val="000000" w:themeColor="text1"/>
        </w:rPr>
        <w:t>不足</w:t>
      </w:r>
      <w:r w:rsidR="00C62D9B" w:rsidRPr="00DA5594">
        <w:rPr>
          <w:rFonts w:hint="eastAsia"/>
          <w:color w:val="000000" w:themeColor="text1"/>
        </w:rPr>
        <w:t>，亦有可議之處</w:t>
      </w:r>
      <w:r w:rsidR="009E2F64" w:rsidRPr="00DA5594">
        <w:rPr>
          <w:rFonts w:hint="eastAsia"/>
          <w:color w:val="000000" w:themeColor="text1"/>
        </w:rPr>
        <w:t>。</w:t>
      </w:r>
    </w:p>
    <w:p w14:paraId="56383410" w14:textId="3881028A" w:rsidR="00604EB6" w:rsidRPr="00DA5594" w:rsidRDefault="0001190C" w:rsidP="00EA5295">
      <w:pPr>
        <w:pStyle w:val="2"/>
        <w:spacing w:beforeLines="50" w:before="228"/>
        <w:ind w:left="1020" w:hanging="680"/>
        <w:rPr>
          <w:b/>
          <w:bCs w:val="0"/>
          <w:color w:val="000000" w:themeColor="text1"/>
        </w:rPr>
      </w:pPr>
      <w:r w:rsidRPr="00DA5594">
        <w:rPr>
          <w:b/>
          <w:bCs w:val="0"/>
          <w:color w:val="000000" w:themeColor="text1"/>
        </w:rPr>
        <w:t>中央政府近年稅課收入實徵數</w:t>
      </w:r>
      <w:r w:rsidR="004A61EE" w:rsidRPr="00DA5594">
        <w:rPr>
          <w:rFonts w:hint="eastAsia"/>
          <w:b/>
          <w:bCs w:val="0"/>
          <w:color w:val="000000" w:themeColor="text1"/>
        </w:rPr>
        <w:t>屢屢鉅額</w:t>
      </w:r>
      <w:r w:rsidRPr="00DA5594">
        <w:rPr>
          <w:b/>
          <w:bCs w:val="0"/>
          <w:color w:val="000000" w:themeColor="text1"/>
        </w:rPr>
        <w:t>高於預算數，雖依現行預算法及公共債務法等規定，得優先減少債務舉借及增加債務還本，惟現行制度對於超出預期之歲入，欠缺明確且具拘束力之制度化運用規範，</w:t>
      </w:r>
      <w:proofErr w:type="gramStart"/>
      <w:r w:rsidRPr="00DA5594">
        <w:rPr>
          <w:rFonts w:hint="eastAsia"/>
          <w:b/>
          <w:bCs w:val="0"/>
          <w:color w:val="000000" w:themeColor="text1"/>
        </w:rPr>
        <w:t>爰</w:t>
      </w:r>
      <w:proofErr w:type="gramEnd"/>
      <w:r w:rsidRPr="00DA5594">
        <w:rPr>
          <w:b/>
          <w:bCs w:val="0"/>
          <w:color w:val="000000" w:themeColor="text1"/>
        </w:rPr>
        <w:t>相關制度於超額歲入之優先用途</w:t>
      </w:r>
      <w:r w:rsidR="00812DAB" w:rsidRPr="00DA5594">
        <w:rPr>
          <w:b/>
          <w:bCs w:val="0"/>
          <w:color w:val="000000" w:themeColor="text1"/>
        </w:rPr>
        <w:t>及</w:t>
      </w:r>
      <w:r w:rsidRPr="00DA5594">
        <w:rPr>
          <w:b/>
          <w:bCs w:val="0"/>
          <w:color w:val="000000" w:themeColor="text1"/>
        </w:rPr>
        <w:t>債務還本機制等面向，</w:t>
      </w:r>
      <w:proofErr w:type="gramStart"/>
      <w:r w:rsidRPr="00DA5594">
        <w:rPr>
          <w:b/>
          <w:bCs w:val="0"/>
          <w:color w:val="000000" w:themeColor="text1"/>
        </w:rPr>
        <w:t>均尚待</w:t>
      </w:r>
      <w:proofErr w:type="gramEnd"/>
      <w:r w:rsidRPr="00DA5594">
        <w:rPr>
          <w:rFonts w:hint="eastAsia"/>
          <w:b/>
          <w:bCs w:val="0"/>
          <w:color w:val="000000" w:themeColor="text1"/>
        </w:rPr>
        <w:t>財政部</w:t>
      </w:r>
      <w:r w:rsidR="00F340CF" w:rsidRPr="00DA5594">
        <w:rPr>
          <w:b/>
          <w:bCs w:val="0"/>
          <w:color w:val="000000" w:themeColor="text1"/>
        </w:rPr>
        <w:t>會同主計總處等相關機關</w:t>
      </w:r>
      <w:r w:rsidRPr="00DA5594">
        <w:rPr>
          <w:b/>
          <w:bCs w:val="0"/>
          <w:color w:val="000000" w:themeColor="text1"/>
        </w:rPr>
        <w:t>檢討強化，以兼顧財政紀律、世代公平及社會信賴：</w:t>
      </w:r>
    </w:p>
    <w:p w14:paraId="52F2BC0A" w14:textId="4FAAAD29" w:rsidR="0001190C" w:rsidRPr="00DA5594" w:rsidRDefault="0001190C" w:rsidP="0001190C">
      <w:pPr>
        <w:pStyle w:val="3"/>
        <w:rPr>
          <w:color w:val="000000" w:themeColor="text1"/>
        </w:rPr>
      </w:pPr>
      <w:r w:rsidRPr="00DA5594">
        <w:rPr>
          <w:rFonts w:hint="eastAsia"/>
          <w:color w:val="000000" w:themeColor="text1"/>
        </w:rPr>
        <w:t>依</w:t>
      </w:r>
      <w:r w:rsidRPr="00DA5594">
        <w:rPr>
          <w:color w:val="000000" w:themeColor="text1"/>
        </w:rPr>
        <w:t>預算法第59條規定：「</w:t>
      </w:r>
      <w:r w:rsidR="005847F1" w:rsidRPr="00DA5594">
        <w:rPr>
          <w:rFonts w:hint="eastAsia"/>
          <w:color w:val="000000" w:themeColor="text1"/>
        </w:rPr>
        <w:t>各機關執行歲入分配預算，應按各月或各期實際收納數額考核之；其超收應</w:t>
      </w:r>
      <w:proofErr w:type="gramStart"/>
      <w:r w:rsidR="005847F1" w:rsidRPr="00DA5594">
        <w:rPr>
          <w:rFonts w:hint="eastAsia"/>
          <w:color w:val="000000" w:themeColor="text1"/>
        </w:rPr>
        <w:t>一律解庫</w:t>
      </w:r>
      <w:proofErr w:type="gramEnd"/>
      <w:r w:rsidR="005847F1" w:rsidRPr="00DA5594">
        <w:rPr>
          <w:rFonts w:hint="eastAsia"/>
          <w:color w:val="000000" w:themeColor="text1"/>
        </w:rPr>
        <w:t>，不得</w:t>
      </w:r>
      <w:proofErr w:type="gramStart"/>
      <w:r w:rsidR="005847F1" w:rsidRPr="00DA5594">
        <w:rPr>
          <w:rFonts w:hint="eastAsia"/>
          <w:color w:val="000000" w:themeColor="text1"/>
        </w:rPr>
        <w:t>逕行坐抵或挪移墊用</w:t>
      </w:r>
      <w:proofErr w:type="gramEnd"/>
      <w:r w:rsidR="005847F1" w:rsidRPr="00DA5594">
        <w:rPr>
          <w:rFonts w:hint="eastAsia"/>
          <w:color w:val="000000" w:themeColor="text1"/>
        </w:rPr>
        <w:t>。</w:t>
      </w:r>
      <w:r w:rsidRPr="00DA5594">
        <w:rPr>
          <w:color w:val="000000" w:themeColor="text1"/>
        </w:rPr>
        <w:t>」</w:t>
      </w:r>
      <w:r w:rsidR="005847F1" w:rsidRPr="00DA5594">
        <w:rPr>
          <w:color w:val="000000" w:themeColor="text1"/>
        </w:rPr>
        <w:t>其規範目的，係避免行政機關將超收收入直接</w:t>
      </w:r>
      <w:proofErr w:type="gramStart"/>
      <w:r w:rsidR="005847F1" w:rsidRPr="00DA5594">
        <w:rPr>
          <w:color w:val="000000" w:themeColor="text1"/>
        </w:rPr>
        <w:t>留供原機關</w:t>
      </w:r>
      <w:proofErr w:type="gramEnd"/>
      <w:r w:rsidR="005847F1" w:rsidRPr="00DA5594">
        <w:rPr>
          <w:color w:val="000000" w:themeColor="text1"/>
        </w:rPr>
        <w:t>自行</w:t>
      </w:r>
      <w:r w:rsidR="005847F1" w:rsidRPr="00DA5594">
        <w:rPr>
          <w:color w:val="000000" w:themeColor="text1"/>
        </w:rPr>
        <w:lastRenderedPageBreak/>
        <w:t>運用，以維護預算統一性及立法院審議權限。</w:t>
      </w:r>
      <w:r w:rsidR="00432928" w:rsidRPr="00DA5594">
        <w:rPr>
          <w:rFonts w:hint="eastAsia"/>
          <w:color w:val="000000" w:themeColor="text1"/>
        </w:rPr>
        <w:t>復</w:t>
      </w:r>
      <w:r w:rsidRPr="00DA5594">
        <w:rPr>
          <w:color w:val="000000" w:themeColor="text1"/>
        </w:rPr>
        <w:t>依國庫法</w:t>
      </w:r>
      <w:r w:rsidR="00C94D92" w:rsidRPr="00DA5594">
        <w:rPr>
          <w:rFonts w:hint="eastAsia"/>
          <w:color w:val="000000" w:themeColor="text1"/>
        </w:rPr>
        <w:t>等</w:t>
      </w:r>
      <w:r w:rsidR="00432928" w:rsidRPr="00DA5594">
        <w:rPr>
          <w:rFonts w:hint="eastAsia"/>
          <w:color w:val="000000" w:themeColor="text1"/>
        </w:rPr>
        <w:t>相關法令規定及</w:t>
      </w:r>
      <w:r w:rsidRPr="00DA5594">
        <w:rPr>
          <w:color w:val="000000" w:themeColor="text1"/>
        </w:rPr>
        <w:t>國庫調度實務，歲入</w:t>
      </w:r>
      <w:proofErr w:type="gramStart"/>
      <w:r w:rsidRPr="00DA5594">
        <w:rPr>
          <w:color w:val="000000" w:themeColor="text1"/>
        </w:rPr>
        <w:t>一經解庫</w:t>
      </w:r>
      <w:proofErr w:type="gramEnd"/>
      <w:r w:rsidRPr="00DA5594">
        <w:rPr>
          <w:color w:val="000000" w:themeColor="text1"/>
        </w:rPr>
        <w:t>，即屬國庫整體財源之一部分，年度執行期間仍得依法支應各項預算所需。據財政部說明，近年中央政府稅收實徵數高於預算</w:t>
      </w:r>
      <w:r w:rsidRPr="00DA5594">
        <w:rPr>
          <w:rFonts w:hint="eastAsia"/>
          <w:color w:val="000000" w:themeColor="text1"/>
        </w:rPr>
        <w:t>部分</w:t>
      </w:r>
      <w:r w:rsidRPr="00DA5594">
        <w:rPr>
          <w:color w:val="000000" w:themeColor="text1"/>
        </w:rPr>
        <w:t>，多優先用於減少原編列債務舉借數及增加債務還本數。換言之，原預算編列時</w:t>
      </w:r>
      <w:proofErr w:type="gramStart"/>
      <w:r w:rsidRPr="00DA5594">
        <w:rPr>
          <w:color w:val="000000" w:themeColor="text1"/>
        </w:rPr>
        <w:t>預定須舉借支</w:t>
      </w:r>
      <w:proofErr w:type="gramEnd"/>
      <w:r w:rsidRPr="00DA5594">
        <w:rPr>
          <w:color w:val="000000" w:themeColor="text1"/>
        </w:rPr>
        <w:t>應之財源，可能因實際稅收增加而無須全數舉借，並於決算時</w:t>
      </w:r>
      <w:proofErr w:type="gramStart"/>
      <w:r w:rsidRPr="00DA5594">
        <w:rPr>
          <w:color w:val="000000" w:themeColor="text1"/>
        </w:rPr>
        <w:t>減列原預定</w:t>
      </w:r>
      <w:proofErr w:type="gramEnd"/>
      <w:r w:rsidRPr="00DA5594">
        <w:rPr>
          <w:color w:val="000000" w:themeColor="text1"/>
        </w:rPr>
        <w:t>債務舉借數額。是</w:t>
      </w:r>
      <w:proofErr w:type="gramStart"/>
      <w:r w:rsidRPr="00DA5594">
        <w:rPr>
          <w:color w:val="000000" w:themeColor="text1"/>
        </w:rPr>
        <w:t>以</w:t>
      </w:r>
      <w:proofErr w:type="gramEnd"/>
      <w:r w:rsidRPr="00DA5594">
        <w:rPr>
          <w:color w:val="000000" w:themeColor="text1"/>
        </w:rPr>
        <w:t>，稅收實徵數高於預算</w:t>
      </w:r>
      <w:r w:rsidRPr="00DA5594">
        <w:rPr>
          <w:rFonts w:hint="eastAsia"/>
          <w:color w:val="000000" w:themeColor="text1"/>
        </w:rPr>
        <w:t>部分</w:t>
      </w:r>
      <w:r w:rsidRPr="00DA5594">
        <w:rPr>
          <w:color w:val="000000" w:themeColor="text1"/>
        </w:rPr>
        <w:t>於年度執行過程中，確實會形成較大財政調度空間，亦使政府於實際支出與融資安排上具有較高彈性。</w:t>
      </w:r>
    </w:p>
    <w:p w14:paraId="4524BA3A" w14:textId="0F3BBFFB" w:rsidR="0001190C" w:rsidRPr="00DA5594" w:rsidRDefault="003A28B7" w:rsidP="00432928">
      <w:pPr>
        <w:pStyle w:val="3"/>
        <w:rPr>
          <w:color w:val="000000" w:themeColor="text1"/>
        </w:rPr>
      </w:pPr>
      <w:r w:rsidRPr="00DA5594">
        <w:rPr>
          <w:rFonts w:hint="eastAsia"/>
          <w:color w:val="000000" w:themeColor="text1"/>
        </w:rPr>
        <w:t>再</w:t>
      </w:r>
      <w:r w:rsidR="0001190C" w:rsidRPr="00DA5594">
        <w:rPr>
          <w:rFonts w:hint="eastAsia"/>
          <w:color w:val="000000" w:themeColor="text1"/>
        </w:rPr>
        <w:t>依</w:t>
      </w:r>
      <w:r w:rsidR="00432928" w:rsidRPr="00DA5594">
        <w:rPr>
          <w:color w:val="000000" w:themeColor="text1"/>
        </w:rPr>
        <w:t>公共債務法第12條第2項規定</w:t>
      </w:r>
      <w:r w:rsidR="00432928" w:rsidRPr="00DA5594">
        <w:rPr>
          <w:rFonts w:hint="eastAsia"/>
          <w:color w:val="000000" w:themeColor="text1"/>
        </w:rPr>
        <w:t>：「中央、直轄市、縣</w:t>
      </w:r>
      <w:r w:rsidR="00EA5295" w:rsidRPr="00DA5594">
        <w:rPr>
          <w:rFonts w:hint="eastAsia"/>
          <w:color w:val="000000" w:themeColor="text1"/>
        </w:rPr>
        <w:t>(</w:t>
      </w:r>
      <w:r w:rsidR="00432928" w:rsidRPr="00DA5594">
        <w:rPr>
          <w:rFonts w:hint="eastAsia"/>
          <w:color w:val="000000" w:themeColor="text1"/>
        </w:rPr>
        <w:t>市</w:t>
      </w:r>
      <w:r w:rsidR="00EA5295" w:rsidRPr="00DA5594">
        <w:rPr>
          <w:rFonts w:hint="eastAsia"/>
          <w:color w:val="000000" w:themeColor="text1"/>
        </w:rPr>
        <w:t>)</w:t>
      </w:r>
      <w:r w:rsidR="00432928" w:rsidRPr="00DA5594">
        <w:rPr>
          <w:rFonts w:hint="eastAsia"/>
          <w:color w:val="000000" w:themeColor="text1"/>
        </w:rPr>
        <w:t>及鄉(鎮、市)得審視歲入執行狀況，於其當年度預算原編列債務之</w:t>
      </w:r>
      <w:proofErr w:type="gramStart"/>
      <w:r w:rsidR="00432928" w:rsidRPr="00DA5594">
        <w:rPr>
          <w:rFonts w:hint="eastAsia"/>
          <w:color w:val="000000" w:themeColor="text1"/>
        </w:rPr>
        <w:t>償還數外</w:t>
      </w:r>
      <w:proofErr w:type="gramEnd"/>
      <w:r w:rsidR="00432928" w:rsidRPr="00DA5594">
        <w:rPr>
          <w:rFonts w:hint="eastAsia"/>
          <w:color w:val="000000" w:themeColor="text1"/>
        </w:rPr>
        <w:t>，增加還本數額。」</w:t>
      </w:r>
      <w:r w:rsidR="0001190C" w:rsidRPr="00DA5594">
        <w:rPr>
          <w:color w:val="000000" w:themeColor="text1"/>
        </w:rPr>
        <w:t>中央政府得審視歲入執行情況，於原編列債務還本數額外增加還本。查近年中央政府雖多次以</w:t>
      </w:r>
      <w:r w:rsidR="0001190C" w:rsidRPr="00DA5594">
        <w:rPr>
          <w:rFonts w:hint="eastAsia"/>
          <w:color w:val="000000" w:themeColor="text1"/>
        </w:rPr>
        <w:t>稅收</w:t>
      </w:r>
      <w:r w:rsidR="0001190C" w:rsidRPr="00DA5594">
        <w:rPr>
          <w:color w:val="000000" w:themeColor="text1"/>
        </w:rPr>
        <w:t>執行優於預期為由增加還</w:t>
      </w:r>
      <w:r w:rsidR="00672041" w:rsidRPr="00DA5594">
        <w:rPr>
          <w:rFonts w:hint="eastAsia"/>
          <w:color w:val="000000" w:themeColor="text1"/>
        </w:rPr>
        <w:t>債</w:t>
      </w:r>
      <w:r w:rsidR="0001190C" w:rsidRPr="00DA5594">
        <w:rPr>
          <w:color w:val="000000" w:themeColor="text1"/>
        </w:rPr>
        <w:t>，例如</w:t>
      </w:r>
      <w:r w:rsidR="00672041" w:rsidRPr="00DA5594">
        <w:rPr>
          <w:rFonts w:hint="eastAsia"/>
          <w:color w:val="000000" w:themeColor="text1"/>
        </w:rPr>
        <w:t>110、</w:t>
      </w:r>
      <w:r w:rsidR="0001190C" w:rsidRPr="00DA5594">
        <w:rPr>
          <w:color w:val="000000" w:themeColor="text1"/>
        </w:rPr>
        <w:t>111</w:t>
      </w:r>
      <w:r w:rsidR="00672041" w:rsidRPr="00DA5594">
        <w:rPr>
          <w:rFonts w:hint="eastAsia"/>
          <w:color w:val="000000" w:themeColor="text1"/>
        </w:rPr>
        <w:t>、112及</w:t>
      </w:r>
      <w:proofErr w:type="gramStart"/>
      <w:r w:rsidR="00672041" w:rsidRPr="00DA5594">
        <w:rPr>
          <w:rFonts w:hint="eastAsia"/>
          <w:color w:val="000000" w:themeColor="text1"/>
        </w:rPr>
        <w:t>113</w:t>
      </w:r>
      <w:proofErr w:type="gramEnd"/>
      <w:r w:rsidR="0001190C" w:rsidRPr="00DA5594">
        <w:rPr>
          <w:color w:val="000000" w:themeColor="text1"/>
        </w:rPr>
        <w:t>年度</w:t>
      </w:r>
      <w:r w:rsidR="00672041" w:rsidRPr="00DA5594">
        <w:rPr>
          <w:rFonts w:hint="eastAsia"/>
          <w:color w:val="000000" w:themeColor="text1"/>
        </w:rPr>
        <w:t>各</w:t>
      </w:r>
      <w:r w:rsidR="0001190C" w:rsidRPr="00DA5594">
        <w:rPr>
          <w:color w:val="000000" w:themeColor="text1"/>
        </w:rPr>
        <w:t>增加還</w:t>
      </w:r>
      <w:r w:rsidR="00672041" w:rsidRPr="00DA5594">
        <w:rPr>
          <w:rFonts w:hint="eastAsia"/>
          <w:color w:val="000000" w:themeColor="text1"/>
        </w:rPr>
        <w:t>債350億、</w:t>
      </w:r>
      <w:r w:rsidR="0001190C" w:rsidRPr="00DA5594">
        <w:rPr>
          <w:color w:val="000000" w:themeColor="text1"/>
        </w:rPr>
        <w:t>540</w:t>
      </w:r>
      <w:r w:rsidR="00672041" w:rsidRPr="00DA5594">
        <w:rPr>
          <w:rFonts w:hint="eastAsia"/>
          <w:color w:val="000000" w:themeColor="text1"/>
        </w:rPr>
        <w:t>億、150億及</w:t>
      </w:r>
      <w:r w:rsidR="0001190C" w:rsidRPr="00DA5594">
        <w:rPr>
          <w:color w:val="000000" w:themeColor="text1"/>
        </w:rPr>
        <w:t>20</w:t>
      </w:r>
      <w:r w:rsidR="00672041" w:rsidRPr="00DA5594">
        <w:rPr>
          <w:rFonts w:hint="eastAsia"/>
          <w:color w:val="000000" w:themeColor="text1"/>
        </w:rPr>
        <w:t>8</w:t>
      </w:r>
      <w:r w:rsidR="0001190C" w:rsidRPr="00DA5594">
        <w:rPr>
          <w:color w:val="000000" w:themeColor="text1"/>
        </w:rPr>
        <w:t>億元</w:t>
      </w:r>
      <w:r w:rsidR="00672041" w:rsidRPr="00DA5594">
        <w:rPr>
          <w:rFonts w:hint="eastAsia"/>
          <w:color w:val="000000" w:themeColor="text1"/>
        </w:rPr>
        <w:t>(</w:t>
      </w:r>
      <w:proofErr w:type="gramStart"/>
      <w:r w:rsidR="00672041" w:rsidRPr="00DA5594">
        <w:rPr>
          <w:rFonts w:hint="eastAsia"/>
          <w:color w:val="000000" w:themeColor="text1"/>
        </w:rPr>
        <w:t>詳表</w:t>
      </w:r>
      <w:proofErr w:type="gramEnd"/>
      <w:r w:rsidR="00922FDA" w:rsidRPr="00DA5594">
        <w:rPr>
          <w:rFonts w:hint="eastAsia"/>
          <w:color w:val="000000" w:themeColor="text1"/>
        </w:rPr>
        <w:t>5</w:t>
      </w:r>
      <w:r w:rsidR="00672041" w:rsidRPr="00DA5594">
        <w:rPr>
          <w:rFonts w:hint="eastAsia"/>
          <w:color w:val="000000" w:themeColor="text1"/>
        </w:rPr>
        <w:t>)</w:t>
      </w:r>
      <w:r w:rsidR="0001190C" w:rsidRPr="00DA5594">
        <w:rPr>
          <w:color w:val="000000" w:themeColor="text1"/>
        </w:rPr>
        <w:t>，惟相較同期間中央政府連年數千億元之稅收實徵數高於預算規模，</w:t>
      </w:r>
      <w:r w:rsidRPr="00DA5594">
        <w:rPr>
          <w:rFonts w:hint="eastAsia"/>
          <w:color w:val="000000" w:themeColor="text1"/>
        </w:rPr>
        <w:t>再</w:t>
      </w:r>
      <w:r w:rsidR="00432928" w:rsidRPr="00DA5594">
        <w:rPr>
          <w:color w:val="000000" w:themeColor="text1"/>
        </w:rPr>
        <w:t>檢視近年中央政府債務情形</w:t>
      </w:r>
      <w:r w:rsidR="00432928" w:rsidRPr="00DA5594">
        <w:rPr>
          <w:rFonts w:hint="eastAsia"/>
          <w:color w:val="000000" w:themeColor="text1"/>
        </w:rPr>
        <w:t>(</w:t>
      </w:r>
      <w:proofErr w:type="gramStart"/>
      <w:r w:rsidR="00432928" w:rsidRPr="00DA5594">
        <w:rPr>
          <w:rFonts w:hint="eastAsia"/>
          <w:color w:val="000000" w:themeColor="text1"/>
        </w:rPr>
        <w:t>詳表</w:t>
      </w:r>
      <w:r w:rsidR="00922FDA" w:rsidRPr="00DA5594">
        <w:rPr>
          <w:rFonts w:hint="eastAsia"/>
          <w:color w:val="000000" w:themeColor="text1"/>
        </w:rPr>
        <w:t>6</w:t>
      </w:r>
      <w:r w:rsidR="00432928" w:rsidRPr="00DA5594">
        <w:rPr>
          <w:rFonts w:hint="eastAsia"/>
          <w:color w:val="000000" w:themeColor="text1"/>
        </w:rPr>
        <w:t>、</w:t>
      </w:r>
      <w:r w:rsidR="00922FDA" w:rsidRPr="00DA5594">
        <w:rPr>
          <w:rFonts w:hint="eastAsia"/>
          <w:color w:val="000000" w:themeColor="text1"/>
        </w:rPr>
        <w:t>7</w:t>
      </w:r>
      <w:proofErr w:type="gramEnd"/>
      <w:r w:rsidR="00432928" w:rsidRPr="00DA5594">
        <w:rPr>
          <w:rFonts w:hint="eastAsia"/>
          <w:color w:val="000000" w:themeColor="text1"/>
        </w:rPr>
        <w:t>)</w:t>
      </w:r>
      <w:r w:rsidR="00432928" w:rsidRPr="00DA5594">
        <w:rPr>
          <w:color w:val="000000" w:themeColor="text1"/>
        </w:rPr>
        <w:t>，並未出現明顯下降趨勢；部分年度中央政府債務</w:t>
      </w:r>
      <w:proofErr w:type="gramStart"/>
      <w:r w:rsidR="00432928" w:rsidRPr="00DA5594">
        <w:rPr>
          <w:color w:val="000000" w:themeColor="text1"/>
        </w:rPr>
        <w:t>未償</w:t>
      </w:r>
      <w:proofErr w:type="gramEnd"/>
      <w:r w:rsidR="00432928" w:rsidRPr="00DA5594">
        <w:rPr>
          <w:color w:val="000000" w:themeColor="text1"/>
        </w:rPr>
        <w:t>餘額仍持續增加，國債鐘平均每人負擔數額亦未明顯減輕。</w:t>
      </w:r>
      <w:r w:rsidRPr="00DA5594">
        <w:rPr>
          <w:color w:val="000000" w:themeColor="text1"/>
        </w:rPr>
        <w:t>顯示近年</w:t>
      </w:r>
      <w:r w:rsidRPr="00DA5594">
        <w:rPr>
          <w:rFonts w:hint="eastAsia"/>
          <w:color w:val="000000" w:themeColor="text1"/>
        </w:rPr>
        <w:t>稅收實徵數高於預算之</w:t>
      </w:r>
      <w:r w:rsidRPr="00DA5594">
        <w:rPr>
          <w:color w:val="000000" w:themeColor="text1"/>
        </w:rPr>
        <w:t>新增歲入雖部分用於減少原編列舉債數及增加債務還本，然相關財源並未全面優先投入</w:t>
      </w:r>
      <w:proofErr w:type="gramStart"/>
      <w:r w:rsidRPr="00DA5594">
        <w:rPr>
          <w:color w:val="000000" w:themeColor="text1"/>
        </w:rPr>
        <w:t>實質減債</w:t>
      </w:r>
      <w:proofErr w:type="gramEnd"/>
      <w:r w:rsidRPr="00DA5594">
        <w:rPr>
          <w:color w:val="000000" w:themeColor="text1"/>
        </w:rPr>
        <w:t>，亦有相當部分係透過新增政策支出等方式運用。本院諮詢學者專家亦指出，現行公共債務法第12條第2項僅規定政府「得」視歲入執行情形增加還本數額，並非強制規範，政府對於超出預期之歲入究竟優先</w:t>
      </w:r>
      <w:proofErr w:type="gramStart"/>
      <w:r w:rsidRPr="00DA5594">
        <w:rPr>
          <w:color w:val="000000" w:themeColor="text1"/>
        </w:rPr>
        <w:t>用於減債</w:t>
      </w:r>
      <w:proofErr w:type="gramEnd"/>
      <w:r w:rsidRPr="00DA5594">
        <w:rPr>
          <w:color w:val="000000" w:themeColor="text1"/>
        </w:rPr>
        <w:t>、擴增支出或其他政策</w:t>
      </w:r>
      <w:r w:rsidRPr="00DA5594">
        <w:rPr>
          <w:color w:val="000000" w:themeColor="text1"/>
        </w:rPr>
        <w:lastRenderedPageBreak/>
        <w:t>用途，仍具有相當裁量空間；再加上現行制度對於「稅課收入實徵數高於預算數」之用途欠缺明確制度化規範，易使相關財源形成類似「預算外財政空間」之效果，不利外界監督與長期財政紀律維持。</w:t>
      </w:r>
    </w:p>
    <w:p w14:paraId="09C2E4C7" w14:textId="0C6D9A8F" w:rsidR="00672041" w:rsidRPr="00DA5594" w:rsidRDefault="00672041" w:rsidP="004A61EE">
      <w:pPr>
        <w:pStyle w:val="a3"/>
        <w:ind w:left="851" w:hanging="851"/>
        <w:rPr>
          <w:rFonts w:hAnsi="標楷體"/>
          <w:color w:val="000000" w:themeColor="text1"/>
        </w:rPr>
      </w:pPr>
      <w:r w:rsidRPr="00DA5594">
        <w:rPr>
          <w:rFonts w:hAnsi="標楷體" w:hint="eastAsia"/>
          <w:color w:val="000000" w:themeColor="text1"/>
        </w:rPr>
        <w:t>稅收實徵數超過預算數部分用途</w:t>
      </w:r>
      <w:r w:rsidR="00C94D92" w:rsidRPr="00DA5594">
        <w:rPr>
          <w:rFonts w:hAnsi="標楷體" w:hint="eastAsia"/>
          <w:color w:val="000000" w:themeColor="text1"/>
        </w:rPr>
        <w:t>表</w:t>
      </w:r>
    </w:p>
    <w:p w14:paraId="55D337EA" w14:textId="77777777" w:rsidR="004A61EE" w:rsidRPr="00DA5594" w:rsidRDefault="004A61EE" w:rsidP="004A61EE">
      <w:pPr>
        <w:pStyle w:val="2"/>
        <w:numPr>
          <w:ilvl w:val="0"/>
          <w:numId w:val="0"/>
        </w:numPr>
        <w:adjustRightInd w:val="0"/>
        <w:snapToGrid w:val="0"/>
        <w:jc w:val="right"/>
        <w:rPr>
          <w:rFonts w:hAnsi="標楷體"/>
          <w:color w:val="000000" w:themeColor="text1"/>
          <w:sz w:val="24"/>
          <w:szCs w:val="24"/>
        </w:rPr>
      </w:pPr>
      <w:r w:rsidRPr="00DA5594">
        <w:rPr>
          <w:rFonts w:hAnsi="標楷體" w:hint="eastAsia"/>
          <w:color w:val="000000" w:themeColor="text1"/>
          <w:sz w:val="24"/>
          <w:szCs w:val="24"/>
        </w:rPr>
        <w:t>單位：億元</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9"/>
        <w:gridCol w:w="1206"/>
        <w:gridCol w:w="1136"/>
        <w:gridCol w:w="853"/>
        <w:gridCol w:w="1136"/>
        <w:gridCol w:w="568"/>
        <w:gridCol w:w="1136"/>
        <w:gridCol w:w="992"/>
        <w:gridCol w:w="1329"/>
      </w:tblGrid>
      <w:tr w:rsidR="00DA5594" w:rsidRPr="00DA5594" w14:paraId="12D83296" w14:textId="77777777" w:rsidTr="004A61EE">
        <w:trPr>
          <w:cantSplit/>
          <w:trHeight w:val="20"/>
          <w:tblHeader/>
        </w:trPr>
        <w:tc>
          <w:tcPr>
            <w:tcW w:w="276" w:type="pct"/>
            <w:vMerge w:val="restart"/>
            <w:shd w:val="clear" w:color="auto" w:fill="F2F2F2"/>
            <w:vAlign w:val="center"/>
          </w:tcPr>
          <w:p w14:paraId="14CF6B15"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年度</w:t>
            </w:r>
          </w:p>
        </w:tc>
        <w:tc>
          <w:tcPr>
            <w:tcW w:w="682" w:type="pct"/>
            <w:vMerge w:val="restart"/>
            <w:shd w:val="clear" w:color="auto" w:fill="F2F2F2"/>
            <w:vAlign w:val="center"/>
          </w:tcPr>
          <w:p w14:paraId="744BAE5C"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實徵數</w:t>
            </w:r>
          </w:p>
          <w:p w14:paraId="166D064C"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a</w:t>
            </w:r>
          </w:p>
        </w:tc>
        <w:tc>
          <w:tcPr>
            <w:tcW w:w="642" w:type="pct"/>
            <w:vMerge w:val="restart"/>
            <w:shd w:val="clear" w:color="auto" w:fill="F2F2F2"/>
            <w:vAlign w:val="center"/>
          </w:tcPr>
          <w:p w14:paraId="6F974349"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預算數</w:t>
            </w:r>
          </w:p>
          <w:p w14:paraId="18FD31C5"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b</w:t>
            </w:r>
          </w:p>
        </w:tc>
        <w:tc>
          <w:tcPr>
            <w:tcW w:w="482" w:type="pct"/>
            <w:vMerge w:val="restart"/>
            <w:shd w:val="clear" w:color="auto" w:fill="F2F2F2"/>
            <w:vAlign w:val="center"/>
          </w:tcPr>
          <w:p w14:paraId="446B1BEC" w14:textId="4430C08D" w:rsidR="00672041" w:rsidRPr="00DA5594" w:rsidRDefault="00702AF1" w:rsidP="00702AF1">
            <w:pPr>
              <w:keepNext/>
              <w:keepLines/>
              <w:kinsoku/>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a-</w:t>
            </w:r>
            <w:r w:rsidR="00672041" w:rsidRPr="00DA5594">
              <w:rPr>
                <w:rFonts w:hAnsi="標楷體" w:hint="eastAsia"/>
                <w:bCs/>
                <w:color w:val="000000" w:themeColor="text1"/>
                <w:spacing w:val="-40"/>
                <w:kern w:val="0"/>
                <w:sz w:val="24"/>
                <w:szCs w:val="24"/>
              </w:rPr>
              <w:t>b</w:t>
            </w:r>
          </w:p>
        </w:tc>
        <w:tc>
          <w:tcPr>
            <w:tcW w:w="2917" w:type="pct"/>
            <w:gridSpan w:val="5"/>
            <w:shd w:val="clear" w:color="auto" w:fill="F2F2F2"/>
            <w:vAlign w:val="center"/>
          </w:tcPr>
          <w:p w14:paraId="5C1AFFE7"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用途</w:t>
            </w:r>
          </w:p>
        </w:tc>
      </w:tr>
      <w:tr w:rsidR="00DA5594" w:rsidRPr="00DA5594" w14:paraId="266A5453" w14:textId="77777777" w:rsidTr="004A61EE">
        <w:trPr>
          <w:cantSplit/>
          <w:trHeight w:val="20"/>
          <w:tblHeader/>
        </w:trPr>
        <w:tc>
          <w:tcPr>
            <w:tcW w:w="276" w:type="pct"/>
            <w:vMerge/>
            <w:shd w:val="clear" w:color="auto" w:fill="auto"/>
            <w:vAlign w:val="center"/>
          </w:tcPr>
          <w:p w14:paraId="0B196D07"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p>
        </w:tc>
        <w:tc>
          <w:tcPr>
            <w:tcW w:w="682" w:type="pct"/>
            <w:vMerge/>
            <w:shd w:val="clear" w:color="auto" w:fill="F2F2F2"/>
            <w:vAlign w:val="center"/>
          </w:tcPr>
          <w:p w14:paraId="6978526C"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p>
        </w:tc>
        <w:tc>
          <w:tcPr>
            <w:tcW w:w="642" w:type="pct"/>
            <w:vMerge/>
            <w:shd w:val="clear" w:color="auto" w:fill="F2F2F2"/>
            <w:vAlign w:val="center"/>
          </w:tcPr>
          <w:p w14:paraId="47FEF1DE"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p>
        </w:tc>
        <w:tc>
          <w:tcPr>
            <w:tcW w:w="482" w:type="pct"/>
            <w:vMerge/>
            <w:shd w:val="clear" w:color="auto" w:fill="F2F2F2"/>
            <w:vAlign w:val="center"/>
          </w:tcPr>
          <w:p w14:paraId="1A91BC6D"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p>
        </w:tc>
        <w:tc>
          <w:tcPr>
            <w:tcW w:w="642" w:type="pct"/>
            <w:vMerge w:val="restart"/>
            <w:shd w:val="clear" w:color="auto" w:fill="F2F2F2"/>
            <w:vAlign w:val="center"/>
          </w:tcPr>
          <w:p w14:paraId="63F64EDA"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年度減少舉債(c)</w:t>
            </w:r>
          </w:p>
        </w:tc>
        <w:tc>
          <w:tcPr>
            <w:tcW w:w="963" w:type="pct"/>
            <w:gridSpan w:val="2"/>
            <w:shd w:val="clear" w:color="auto" w:fill="F2F2F2"/>
            <w:vAlign w:val="center"/>
          </w:tcPr>
          <w:p w14:paraId="7B3BF64E"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年度還債</w:t>
            </w:r>
          </w:p>
        </w:tc>
        <w:tc>
          <w:tcPr>
            <w:tcW w:w="561" w:type="pct"/>
            <w:vMerge w:val="restart"/>
            <w:shd w:val="clear" w:color="auto" w:fill="F2F2F2"/>
            <w:vAlign w:val="center"/>
          </w:tcPr>
          <w:p w14:paraId="46650ADE"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lang w:eastAsia="zh-HK"/>
              </w:rPr>
              <w:t>減少移用歲計賸餘</w:t>
            </w:r>
            <w:r w:rsidRPr="00DA5594">
              <w:rPr>
                <w:rFonts w:hAnsi="標楷體" w:hint="eastAsia"/>
                <w:bCs/>
                <w:color w:val="000000" w:themeColor="text1"/>
                <w:spacing w:val="-40"/>
                <w:kern w:val="0"/>
                <w:sz w:val="24"/>
                <w:szCs w:val="24"/>
              </w:rPr>
              <w:t>(e)</w:t>
            </w:r>
          </w:p>
        </w:tc>
        <w:tc>
          <w:tcPr>
            <w:tcW w:w="750" w:type="pct"/>
            <w:vMerge w:val="restart"/>
            <w:shd w:val="clear" w:color="auto" w:fill="F2F2F2"/>
            <w:vAlign w:val="center"/>
          </w:tcPr>
          <w:p w14:paraId="2D5EBC4B"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收支賸餘</w:t>
            </w:r>
            <w:r w:rsidRPr="00DA5594">
              <w:rPr>
                <w:rFonts w:hAnsi="標楷體" w:hint="eastAsia"/>
                <w:bCs/>
                <w:color w:val="000000" w:themeColor="text1"/>
                <w:spacing w:val="-40"/>
                <w:kern w:val="0"/>
                <w:sz w:val="24"/>
                <w:szCs w:val="24"/>
                <w:lang w:eastAsia="zh-HK"/>
              </w:rPr>
              <w:t>累計至歲計賸餘</w:t>
            </w:r>
            <w:r w:rsidRPr="00DA5594">
              <w:rPr>
                <w:rFonts w:hAnsi="標楷體" w:hint="eastAsia"/>
                <w:bCs/>
                <w:color w:val="000000" w:themeColor="text1"/>
                <w:spacing w:val="-40"/>
                <w:kern w:val="0"/>
                <w:sz w:val="24"/>
                <w:szCs w:val="24"/>
              </w:rPr>
              <w:t>(f)</w:t>
            </w:r>
          </w:p>
        </w:tc>
      </w:tr>
      <w:tr w:rsidR="00DA5594" w:rsidRPr="00DA5594" w14:paraId="7EE052A6" w14:textId="77777777" w:rsidTr="004A61EE">
        <w:trPr>
          <w:cantSplit/>
          <w:trHeight w:val="20"/>
          <w:tblHeader/>
        </w:trPr>
        <w:tc>
          <w:tcPr>
            <w:tcW w:w="276" w:type="pct"/>
            <w:vMerge/>
            <w:shd w:val="clear" w:color="auto" w:fill="auto"/>
            <w:vAlign w:val="center"/>
          </w:tcPr>
          <w:p w14:paraId="5831CE24" w14:textId="77777777" w:rsidR="00672041" w:rsidRPr="00DA5594" w:rsidRDefault="00672041" w:rsidP="00C719BA">
            <w:pPr>
              <w:keepNext/>
              <w:keepLines/>
              <w:spacing w:line="260" w:lineRule="exact"/>
              <w:jc w:val="center"/>
              <w:outlineLvl w:val="1"/>
              <w:rPr>
                <w:rFonts w:hAnsi="標楷體"/>
                <w:bCs/>
                <w:color w:val="000000" w:themeColor="text1"/>
                <w:spacing w:val="-20"/>
                <w:kern w:val="0"/>
                <w:sz w:val="24"/>
                <w:szCs w:val="24"/>
              </w:rPr>
            </w:pPr>
          </w:p>
        </w:tc>
        <w:tc>
          <w:tcPr>
            <w:tcW w:w="682" w:type="pct"/>
            <w:vMerge/>
            <w:shd w:val="clear" w:color="auto" w:fill="F2F2F2"/>
            <w:vAlign w:val="center"/>
          </w:tcPr>
          <w:p w14:paraId="09BE1AB1" w14:textId="77777777" w:rsidR="00672041" w:rsidRPr="00DA5594" w:rsidRDefault="00672041" w:rsidP="00C719BA">
            <w:pPr>
              <w:keepNext/>
              <w:keepLines/>
              <w:spacing w:line="260" w:lineRule="exact"/>
              <w:jc w:val="center"/>
              <w:outlineLvl w:val="1"/>
              <w:rPr>
                <w:rFonts w:hAnsi="標楷體"/>
                <w:bCs/>
                <w:color w:val="000000" w:themeColor="text1"/>
                <w:spacing w:val="-20"/>
                <w:kern w:val="0"/>
                <w:sz w:val="24"/>
                <w:szCs w:val="24"/>
              </w:rPr>
            </w:pPr>
          </w:p>
        </w:tc>
        <w:tc>
          <w:tcPr>
            <w:tcW w:w="642" w:type="pct"/>
            <w:vMerge/>
            <w:shd w:val="clear" w:color="auto" w:fill="F2F2F2"/>
            <w:vAlign w:val="center"/>
          </w:tcPr>
          <w:p w14:paraId="5D12A315" w14:textId="77777777" w:rsidR="00672041" w:rsidRPr="00DA5594" w:rsidRDefault="00672041" w:rsidP="00C719BA">
            <w:pPr>
              <w:keepNext/>
              <w:keepLines/>
              <w:spacing w:line="260" w:lineRule="exact"/>
              <w:jc w:val="center"/>
              <w:outlineLvl w:val="1"/>
              <w:rPr>
                <w:rFonts w:hAnsi="標楷體"/>
                <w:bCs/>
                <w:color w:val="000000" w:themeColor="text1"/>
                <w:spacing w:val="-20"/>
                <w:kern w:val="0"/>
                <w:sz w:val="24"/>
                <w:szCs w:val="24"/>
              </w:rPr>
            </w:pPr>
          </w:p>
        </w:tc>
        <w:tc>
          <w:tcPr>
            <w:tcW w:w="482" w:type="pct"/>
            <w:vMerge/>
            <w:shd w:val="clear" w:color="auto" w:fill="F2F2F2"/>
            <w:vAlign w:val="center"/>
          </w:tcPr>
          <w:p w14:paraId="2F0751F8" w14:textId="77777777" w:rsidR="00672041" w:rsidRPr="00DA5594" w:rsidRDefault="00672041" w:rsidP="00C719BA">
            <w:pPr>
              <w:keepNext/>
              <w:keepLines/>
              <w:spacing w:line="260" w:lineRule="exact"/>
              <w:jc w:val="center"/>
              <w:outlineLvl w:val="1"/>
              <w:rPr>
                <w:rFonts w:hAnsi="標楷體"/>
                <w:bCs/>
                <w:color w:val="000000" w:themeColor="text1"/>
                <w:spacing w:val="-20"/>
                <w:kern w:val="0"/>
                <w:sz w:val="24"/>
                <w:szCs w:val="24"/>
              </w:rPr>
            </w:pPr>
          </w:p>
        </w:tc>
        <w:tc>
          <w:tcPr>
            <w:tcW w:w="642" w:type="pct"/>
            <w:vMerge/>
            <w:shd w:val="clear" w:color="auto" w:fill="F2F2F2"/>
            <w:vAlign w:val="center"/>
          </w:tcPr>
          <w:p w14:paraId="46E05BCE"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p>
        </w:tc>
        <w:tc>
          <w:tcPr>
            <w:tcW w:w="321" w:type="pct"/>
            <w:shd w:val="clear" w:color="auto" w:fill="F2F2F2"/>
            <w:vAlign w:val="center"/>
          </w:tcPr>
          <w:p w14:paraId="282EB6F8"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p>
        </w:tc>
        <w:tc>
          <w:tcPr>
            <w:tcW w:w="642" w:type="pct"/>
            <w:shd w:val="clear" w:color="auto" w:fill="F2F2F2"/>
            <w:vAlign w:val="center"/>
          </w:tcPr>
          <w:p w14:paraId="232E065C"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r w:rsidRPr="00DA5594">
              <w:rPr>
                <w:rFonts w:hAnsi="標楷體" w:hint="eastAsia"/>
                <w:bCs/>
                <w:color w:val="000000" w:themeColor="text1"/>
                <w:spacing w:val="-40"/>
                <w:kern w:val="0"/>
                <w:sz w:val="24"/>
                <w:szCs w:val="24"/>
              </w:rPr>
              <w:t>增加還債(d)</w:t>
            </w:r>
          </w:p>
        </w:tc>
        <w:tc>
          <w:tcPr>
            <w:tcW w:w="561" w:type="pct"/>
            <w:vMerge/>
            <w:shd w:val="clear" w:color="auto" w:fill="F2F2F2"/>
            <w:vAlign w:val="center"/>
          </w:tcPr>
          <w:p w14:paraId="37B6CF17"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lang w:eastAsia="zh-HK"/>
              </w:rPr>
            </w:pPr>
          </w:p>
        </w:tc>
        <w:tc>
          <w:tcPr>
            <w:tcW w:w="750" w:type="pct"/>
            <w:vMerge/>
            <w:shd w:val="clear" w:color="auto" w:fill="F2F2F2"/>
            <w:vAlign w:val="center"/>
          </w:tcPr>
          <w:p w14:paraId="7B336CC2" w14:textId="77777777" w:rsidR="00672041" w:rsidRPr="00DA5594" w:rsidRDefault="00672041" w:rsidP="00C719BA">
            <w:pPr>
              <w:keepNext/>
              <w:keepLines/>
              <w:spacing w:line="260" w:lineRule="exact"/>
              <w:jc w:val="center"/>
              <w:outlineLvl w:val="1"/>
              <w:rPr>
                <w:rFonts w:hAnsi="標楷體"/>
                <w:bCs/>
                <w:color w:val="000000" w:themeColor="text1"/>
                <w:spacing w:val="-40"/>
                <w:kern w:val="0"/>
                <w:sz w:val="24"/>
                <w:szCs w:val="24"/>
              </w:rPr>
            </w:pPr>
          </w:p>
        </w:tc>
      </w:tr>
      <w:tr w:rsidR="00DA5594" w:rsidRPr="00DA5594" w14:paraId="6D6214D1" w14:textId="77777777" w:rsidTr="004A61EE">
        <w:trPr>
          <w:cantSplit/>
          <w:trHeight w:val="20"/>
        </w:trPr>
        <w:tc>
          <w:tcPr>
            <w:tcW w:w="276" w:type="pct"/>
            <w:vMerge w:val="restart"/>
            <w:shd w:val="clear" w:color="auto" w:fill="auto"/>
            <w:vAlign w:val="center"/>
          </w:tcPr>
          <w:p w14:paraId="7ECF9406" w14:textId="77777777" w:rsidR="00672041" w:rsidRPr="00DA5594" w:rsidRDefault="00672041" w:rsidP="00C719BA">
            <w:pPr>
              <w:keepNext/>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104</w:t>
            </w:r>
          </w:p>
        </w:tc>
        <w:tc>
          <w:tcPr>
            <w:tcW w:w="682" w:type="pct"/>
            <w:vMerge w:val="restart"/>
            <w:shd w:val="clear" w:color="auto" w:fill="auto"/>
            <w:vAlign w:val="center"/>
          </w:tcPr>
          <w:p w14:paraId="7C6EB5C5"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14</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651</w:t>
            </w:r>
          </w:p>
        </w:tc>
        <w:tc>
          <w:tcPr>
            <w:tcW w:w="642" w:type="pct"/>
            <w:vMerge w:val="restart"/>
            <w:shd w:val="clear" w:color="auto" w:fill="auto"/>
            <w:vAlign w:val="center"/>
          </w:tcPr>
          <w:p w14:paraId="3E402FB1"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13</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194</w:t>
            </w:r>
          </w:p>
        </w:tc>
        <w:tc>
          <w:tcPr>
            <w:tcW w:w="482" w:type="pct"/>
            <w:vMerge w:val="restart"/>
            <w:shd w:val="clear" w:color="auto" w:fill="auto"/>
            <w:vAlign w:val="center"/>
          </w:tcPr>
          <w:p w14:paraId="3F726D25"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457</w:t>
            </w:r>
          </w:p>
        </w:tc>
        <w:tc>
          <w:tcPr>
            <w:tcW w:w="642" w:type="pct"/>
            <w:vMerge w:val="restart"/>
            <w:shd w:val="clear" w:color="auto" w:fill="auto"/>
            <w:vAlign w:val="center"/>
          </w:tcPr>
          <w:p w14:paraId="23D20819"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479</w:t>
            </w:r>
          </w:p>
        </w:tc>
        <w:tc>
          <w:tcPr>
            <w:tcW w:w="963" w:type="pct"/>
            <w:gridSpan w:val="2"/>
            <w:shd w:val="clear" w:color="auto" w:fill="auto"/>
            <w:vAlign w:val="center"/>
          </w:tcPr>
          <w:p w14:paraId="4B8D70E3"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660</w:t>
            </w:r>
          </w:p>
        </w:tc>
        <w:tc>
          <w:tcPr>
            <w:tcW w:w="561" w:type="pct"/>
            <w:vMerge w:val="restart"/>
            <w:shd w:val="clear" w:color="auto" w:fill="auto"/>
            <w:vAlign w:val="center"/>
          </w:tcPr>
          <w:p w14:paraId="0C308B16"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3D547D92"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w:t>
            </w:r>
          </w:p>
        </w:tc>
      </w:tr>
      <w:tr w:rsidR="00DA5594" w:rsidRPr="00DA5594" w14:paraId="5799788E" w14:textId="77777777" w:rsidTr="004A61EE">
        <w:trPr>
          <w:cantSplit/>
          <w:trHeight w:val="20"/>
        </w:trPr>
        <w:tc>
          <w:tcPr>
            <w:tcW w:w="276" w:type="pct"/>
            <w:vMerge/>
            <w:shd w:val="clear" w:color="auto" w:fill="auto"/>
            <w:vAlign w:val="center"/>
          </w:tcPr>
          <w:p w14:paraId="66C57A67"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40F5B196"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2CAA9E1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2880711D"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62803050"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6ACA518A"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6EA70B39"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561" w:type="pct"/>
            <w:vMerge/>
            <w:shd w:val="clear" w:color="auto" w:fill="auto"/>
            <w:vAlign w:val="center"/>
          </w:tcPr>
          <w:p w14:paraId="19667FB9"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0C3E92F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6A6D82C1" w14:textId="77777777" w:rsidTr="004A61EE">
        <w:trPr>
          <w:cantSplit/>
          <w:trHeight w:val="20"/>
        </w:trPr>
        <w:tc>
          <w:tcPr>
            <w:tcW w:w="276" w:type="pct"/>
            <w:vMerge w:val="restart"/>
            <w:shd w:val="clear" w:color="auto" w:fill="auto"/>
            <w:vAlign w:val="center"/>
          </w:tcPr>
          <w:p w14:paraId="35B2C377" w14:textId="77777777" w:rsidR="00672041" w:rsidRPr="00DA5594" w:rsidRDefault="00672041" w:rsidP="00C719BA">
            <w:pPr>
              <w:keepNext/>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105</w:t>
            </w:r>
          </w:p>
        </w:tc>
        <w:tc>
          <w:tcPr>
            <w:tcW w:w="682" w:type="pct"/>
            <w:vMerge w:val="restart"/>
            <w:shd w:val="clear" w:color="auto" w:fill="auto"/>
            <w:vAlign w:val="center"/>
          </w:tcPr>
          <w:p w14:paraId="26018AF1"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15</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338</w:t>
            </w:r>
          </w:p>
        </w:tc>
        <w:tc>
          <w:tcPr>
            <w:tcW w:w="642" w:type="pct"/>
            <w:vMerge w:val="restart"/>
            <w:shd w:val="clear" w:color="auto" w:fill="auto"/>
            <w:vAlign w:val="center"/>
          </w:tcPr>
          <w:p w14:paraId="243C09CF"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14</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400</w:t>
            </w:r>
          </w:p>
        </w:tc>
        <w:tc>
          <w:tcPr>
            <w:tcW w:w="482" w:type="pct"/>
            <w:vMerge w:val="restart"/>
            <w:shd w:val="clear" w:color="auto" w:fill="auto"/>
            <w:vAlign w:val="center"/>
          </w:tcPr>
          <w:p w14:paraId="2E50FDE7"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938</w:t>
            </w:r>
          </w:p>
        </w:tc>
        <w:tc>
          <w:tcPr>
            <w:tcW w:w="642" w:type="pct"/>
            <w:vMerge w:val="restart"/>
            <w:shd w:val="clear" w:color="auto" w:fill="auto"/>
            <w:vAlign w:val="center"/>
          </w:tcPr>
          <w:p w14:paraId="74294721"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093</w:t>
            </w:r>
          </w:p>
        </w:tc>
        <w:tc>
          <w:tcPr>
            <w:tcW w:w="963" w:type="pct"/>
            <w:gridSpan w:val="2"/>
            <w:shd w:val="clear" w:color="auto" w:fill="auto"/>
            <w:vAlign w:val="center"/>
          </w:tcPr>
          <w:p w14:paraId="6E9AB060"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730</w:t>
            </w:r>
          </w:p>
        </w:tc>
        <w:tc>
          <w:tcPr>
            <w:tcW w:w="561" w:type="pct"/>
            <w:vMerge w:val="restart"/>
            <w:shd w:val="clear" w:color="auto" w:fill="auto"/>
            <w:vAlign w:val="center"/>
          </w:tcPr>
          <w:p w14:paraId="3F6D4896"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5E868A1E"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w:t>
            </w:r>
          </w:p>
        </w:tc>
      </w:tr>
      <w:tr w:rsidR="00DA5594" w:rsidRPr="00DA5594" w14:paraId="4CBA3D16" w14:textId="77777777" w:rsidTr="004A61EE">
        <w:trPr>
          <w:cantSplit/>
          <w:trHeight w:val="20"/>
        </w:trPr>
        <w:tc>
          <w:tcPr>
            <w:tcW w:w="276" w:type="pct"/>
            <w:vMerge/>
            <w:shd w:val="clear" w:color="auto" w:fill="auto"/>
            <w:vAlign w:val="center"/>
          </w:tcPr>
          <w:p w14:paraId="063E087F" w14:textId="77777777" w:rsidR="00672041" w:rsidRPr="00DA5594" w:rsidRDefault="00672041" w:rsidP="00C719BA">
            <w:pPr>
              <w:keepNext/>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14D8B693"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58E0CEFD"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4371927B"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770D58F7"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561AE53A"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60D8D8AE"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561" w:type="pct"/>
            <w:vMerge/>
            <w:shd w:val="clear" w:color="auto" w:fill="auto"/>
            <w:vAlign w:val="center"/>
          </w:tcPr>
          <w:p w14:paraId="79FD79A7"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0C30F1D5" w14:textId="77777777" w:rsidR="00672041" w:rsidRPr="00DA5594" w:rsidRDefault="00672041" w:rsidP="00C719BA">
            <w:pPr>
              <w:keepNext/>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70327BF4" w14:textId="77777777" w:rsidTr="004A61EE">
        <w:trPr>
          <w:cantSplit/>
          <w:trHeight w:val="20"/>
        </w:trPr>
        <w:tc>
          <w:tcPr>
            <w:tcW w:w="276" w:type="pct"/>
            <w:vMerge w:val="restart"/>
            <w:shd w:val="clear" w:color="auto" w:fill="auto"/>
            <w:vAlign w:val="center"/>
          </w:tcPr>
          <w:p w14:paraId="1FC6647D"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106</w:t>
            </w:r>
          </w:p>
        </w:tc>
        <w:tc>
          <w:tcPr>
            <w:tcW w:w="682" w:type="pct"/>
            <w:vMerge w:val="restart"/>
            <w:shd w:val="clear" w:color="auto" w:fill="auto"/>
            <w:vAlign w:val="center"/>
          </w:tcPr>
          <w:p w14:paraId="1909CDAE"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15</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229</w:t>
            </w:r>
          </w:p>
        </w:tc>
        <w:tc>
          <w:tcPr>
            <w:tcW w:w="642" w:type="pct"/>
            <w:vMerge w:val="restart"/>
            <w:shd w:val="clear" w:color="auto" w:fill="auto"/>
            <w:vAlign w:val="center"/>
          </w:tcPr>
          <w:p w14:paraId="28243D84"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14</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693</w:t>
            </w:r>
          </w:p>
        </w:tc>
        <w:tc>
          <w:tcPr>
            <w:tcW w:w="482" w:type="pct"/>
            <w:vMerge w:val="restart"/>
            <w:shd w:val="clear" w:color="auto" w:fill="auto"/>
            <w:vAlign w:val="center"/>
          </w:tcPr>
          <w:p w14:paraId="1158B85D"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536</w:t>
            </w:r>
          </w:p>
        </w:tc>
        <w:tc>
          <w:tcPr>
            <w:tcW w:w="642" w:type="pct"/>
            <w:vMerge w:val="restart"/>
            <w:shd w:val="clear" w:color="auto" w:fill="auto"/>
            <w:vAlign w:val="center"/>
          </w:tcPr>
          <w:p w14:paraId="13A57F3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235</w:t>
            </w:r>
          </w:p>
        </w:tc>
        <w:tc>
          <w:tcPr>
            <w:tcW w:w="963" w:type="pct"/>
            <w:gridSpan w:val="2"/>
            <w:shd w:val="clear" w:color="auto" w:fill="auto"/>
            <w:vAlign w:val="center"/>
          </w:tcPr>
          <w:p w14:paraId="4F0EE428"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743</w:t>
            </w:r>
          </w:p>
        </w:tc>
        <w:tc>
          <w:tcPr>
            <w:tcW w:w="561" w:type="pct"/>
            <w:vMerge w:val="restart"/>
            <w:shd w:val="clear" w:color="auto" w:fill="auto"/>
            <w:vAlign w:val="center"/>
          </w:tcPr>
          <w:p w14:paraId="0953B7B0"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6BBA96A7"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112</w:t>
            </w:r>
          </w:p>
        </w:tc>
      </w:tr>
      <w:tr w:rsidR="00DA5594" w:rsidRPr="00DA5594" w14:paraId="40F1C095" w14:textId="77777777" w:rsidTr="004A61EE">
        <w:trPr>
          <w:cantSplit/>
          <w:trHeight w:val="20"/>
        </w:trPr>
        <w:tc>
          <w:tcPr>
            <w:tcW w:w="276" w:type="pct"/>
            <w:vMerge/>
            <w:shd w:val="clear" w:color="auto" w:fill="auto"/>
            <w:vAlign w:val="center"/>
          </w:tcPr>
          <w:p w14:paraId="5BCA2012"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743D4A0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6E4EA3B2"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59EACEE3"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200FB19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151D6AAB"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2491D00E"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3</w:t>
            </w:r>
          </w:p>
        </w:tc>
        <w:tc>
          <w:tcPr>
            <w:tcW w:w="561" w:type="pct"/>
            <w:vMerge/>
            <w:shd w:val="clear" w:color="auto" w:fill="auto"/>
            <w:vAlign w:val="center"/>
          </w:tcPr>
          <w:p w14:paraId="08E769D4"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30D39B18"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739EAD85" w14:textId="77777777" w:rsidTr="004A61EE">
        <w:trPr>
          <w:cantSplit/>
          <w:trHeight w:val="20"/>
        </w:trPr>
        <w:tc>
          <w:tcPr>
            <w:tcW w:w="276" w:type="pct"/>
            <w:vMerge w:val="restart"/>
            <w:shd w:val="clear" w:color="auto" w:fill="auto"/>
            <w:vAlign w:val="center"/>
          </w:tcPr>
          <w:p w14:paraId="1575FE4E" w14:textId="77777777" w:rsidR="00672041" w:rsidRPr="00DA5594" w:rsidRDefault="00672041" w:rsidP="00D124F6">
            <w:pPr>
              <w:keepNext/>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107</w:t>
            </w:r>
          </w:p>
        </w:tc>
        <w:tc>
          <w:tcPr>
            <w:tcW w:w="682" w:type="pct"/>
            <w:vMerge w:val="restart"/>
            <w:shd w:val="clear" w:color="auto" w:fill="auto"/>
            <w:vAlign w:val="center"/>
          </w:tcPr>
          <w:p w14:paraId="6AA9B892" w14:textId="77777777" w:rsidR="00672041" w:rsidRPr="00DA5594" w:rsidRDefault="00672041" w:rsidP="00D124F6">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16</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392</w:t>
            </w:r>
          </w:p>
        </w:tc>
        <w:tc>
          <w:tcPr>
            <w:tcW w:w="642" w:type="pct"/>
            <w:vMerge w:val="restart"/>
            <w:shd w:val="clear" w:color="auto" w:fill="auto"/>
            <w:vAlign w:val="center"/>
          </w:tcPr>
          <w:p w14:paraId="0C1AA8C3" w14:textId="77777777" w:rsidR="00672041" w:rsidRPr="00DA5594" w:rsidRDefault="00672041" w:rsidP="00D124F6">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15</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775</w:t>
            </w:r>
          </w:p>
        </w:tc>
        <w:tc>
          <w:tcPr>
            <w:tcW w:w="482" w:type="pct"/>
            <w:vMerge w:val="restart"/>
            <w:shd w:val="clear" w:color="auto" w:fill="auto"/>
            <w:vAlign w:val="center"/>
          </w:tcPr>
          <w:p w14:paraId="75C8EDA5" w14:textId="77777777" w:rsidR="00672041" w:rsidRPr="00DA5594" w:rsidRDefault="00672041" w:rsidP="00D124F6">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617</w:t>
            </w:r>
          </w:p>
        </w:tc>
        <w:tc>
          <w:tcPr>
            <w:tcW w:w="642" w:type="pct"/>
            <w:vMerge w:val="restart"/>
            <w:shd w:val="clear" w:color="auto" w:fill="auto"/>
            <w:vAlign w:val="center"/>
          </w:tcPr>
          <w:p w14:paraId="3851C49C" w14:textId="77777777" w:rsidR="00672041" w:rsidRPr="00DA5594" w:rsidRDefault="00672041" w:rsidP="00D124F6">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267</w:t>
            </w:r>
          </w:p>
        </w:tc>
        <w:tc>
          <w:tcPr>
            <w:tcW w:w="963" w:type="pct"/>
            <w:gridSpan w:val="2"/>
            <w:shd w:val="clear" w:color="auto" w:fill="auto"/>
            <w:vAlign w:val="center"/>
          </w:tcPr>
          <w:p w14:paraId="33F05D47" w14:textId="77777777" w:rsidR="00672041" w:rsidRPr="00DA5594" w:rsidRDefault="00672041" w:rsidP="00D124F6">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792</w:t>
            </w:r>
          </w:p>
        </w:tc>
        <w:tc>
          <w:tcPr>
            <w:tcW w:w="561" w:type="pct"/>
            <w:vMerge w:val="restart"/>
            <w:shd w:val="clear" w:color="auto" w:fill="auto"/>
            <w:vAlign w:val="center"/>
          </w:tcPr>
          <w:p w14:paraId="27374702" w14:textId="77777777" w:rsidR="00672041" w:rsidRPr="00DA5594" w:rsidRDefault="00672041" w:rsidP="00D124F6">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0EABE5E1" w14:textId="77777777" w:rsidR="00672041" w:rsidRPr="00DA5594" w:rsidRDefault="00672041" w:rsidP="00D124F6">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317</w:t>
            </w:r>
          </w:p>
        </w:tc>
      </w:tr>
      <w:tr w:rsidR="00DA5594" w:rsidRPr="00DA5594" w14:paraId="6053C89C" w14:textId="77777777" w:rsidTr="004A61EE">
        <w:trPr>
          <w:cantSplit/>
          <w:trHeight w:val="20"/>
        </w:trPr>
        <w:tc>
          <w:tcPr>
            <w:tcW w:w="276" w:type="pct"/>
            <w:vMerge/>
            <w:shd w:val="clear" w:color="auto" w:fill="auto"/>
            <w:vAlign w:val="center"/>
          </w:tcPr>
          <w:p w14:paraId="2973BDC8"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58445BE0"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51857F62"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0974B8B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5DDFA783"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682A34AA"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36334310"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561" w:type="pct"/>
            <w:vMerge/>
            <w:shd w:val="clear" w:color="auto" w:fill="auto"/>
            <w:vAlign w:val="center"/>
          </w:tcPr>
          <w:p w14:paraId="67A08677"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14537247"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5140C97A" w14:textId="77777777" w:rsidTr="004A61EE">
        <w:trPr>
          <w:cantSplit/>
          <w:trHeight w:val="20"/>
        </w:trPr>
        <w:tc>
          <w:tcPr>
            <w:tcW w:w="276" w:type="pct"/>
            <w:vMerge w:val="restart"/>
            <w:shd w:val="clear" w:color="auto" w:fill="auto"/>
            <w:vAlign w:val="center"/>
          </w:tcPr>
          <w:p w14:paraId="0943F911" w14:textId="77777777" w:rsidR="00672041" w:rsidRPr="00DA5594" w:rsidRDefault="00672041" w:rsidP="009F60E8">
            <w:pPr>
              <w:keepNext/>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108</w:t>
            </w:r>
          </w:p>
        </w:tc>
        <w:tc>
          <w:tcPr>
            <w:tcW w:w="682" w:type="pct"/>
            <w:vMerge w:val="restart"/>
            <w:shd w:val="clear" w:color="auto" w:fill="auto"/>
            <w:vAlign w:val="center"/>
          </w:tcPr>
          <w:p w14:paraId="0FB6C656" w14:textId="77777777" w:rsidR="00672041" w:rsidRPr="00DA5594" w:rsidRDefault="00672041" w:rsidP="009F60E8">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16,861</w:t>
            </w:r>
          </w:p>
        </w:tc>
        <w:tc>
          <w:tcPr>
            <w:tcW w:w="642" w:type="pct"/>
            <w:vMerge w:val="restart"/>
            <w:shd w:val="clear" w:color="auto" w:fill="auto"/>
            <w:vAlign w:val="center"/>
          </w:tcPr>
          <w:p w14:paraId="71E39DD1" w14:textId="77777777" w:rsidR="00672041" w:rsidRPr="00DA5594" w:rsidRDefault="00672041" w:rsidP="009F60E8">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6,471</w:t>
            </w:r>
          </w:p>
        </w:tc>
        <w:tc>
          <w:tcPr>
            <w:tcW w:w="482" w:type="pct"/>
            <w:vMerge w:val="restart"/>
            <w:shd w:val="clear" w:color="auto" w:fill="auto"/>
            <w:vAlign w:val="center"/>
          </w:tcPr>
          <w:p w14:paraId="442A4D31" w14:textId="77777777" w:rsidR="00672041" w:rsidRPr="00DA5594" w:rsidRDefault="00672041" w:rsidP="009F60E8">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390</w:t>
            </w:r>
          </w:p>
        </w:tc>
        <w:tc>
          <w:tcPr>
            <w:tcW w:w="642" w:type="pct"/>
            <w:vMerge w:val="restart"/>
            <w:shd w:val="clear" w:color="auto" w:fill="auto"/>
            <w:vAlign w:val="center"/>
          </w:tcPr>
          <w:p w14:paraId="25E02ACB" w14:textId="77777777" w:rsidR="00672041" w:rsidRPr="00DA5594" w:rsidRDefault="00672041" w:rsidP="009F60E8">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889</w:t>
            </w:r>
          </w:p>
        </w:tc>
        <w:tc>
          <w:tcPr>
            <w:tcW w:w="963" w:type="pct"/>
            <w:gridSpan w:val="2"/>
            <w:shd w:val="clear" w:color="auto" w:fill="auto"/>
            <w:vAlign w:val="center"/>
          </w:tcPr>
          <w:p w14:paraId="23D666FE" w14:textId="77777777" w:rsidR="00672041" w:rsidRPr="00DA5594" w:rsidRDefault="00672041" w:rsidP="009F60E8">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885</w:t>
            </w:r>
          </w:p>
        </w:tc>
        <w:tc>
          <w:tcPr>
            <w:tcW w:w="561" w:type="pct"/>
            <w:vMerge w:val="restart"/>
            <w:shd w:val="clear" w:color="auto" w:fill="auto"/>
            <w:vAlign w:val="center"/>
          </w:tcPr>
          <w:p w14:paraId="7339EF6B" w14:textId="77777777" w:rsidR="00672041" w:rsidRPr="00DA5594" w:rsidRDefault="00672041" w:rsidP="009F60E8">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10A2D136" w14:textId="77777777" w:rsidR="00672041" w:rsidRPr="00DA5594" w:rsidRDefault="00672041" w:rsidP="009F60E8">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322</w:t>
            </w:r>
          </w:p>
        </w:tc>
      </w:tr>
      <w:tr w:rsidR="00DA5594" w:rsidRPr="00DA5594" w14:paraId="0D48F834" w14:textId="77777777" w:rsidTr="004A61EE">
        <w:trPr>
          <w:cantSplit/>
          <w:trHeight w:val="20"/>
        </w:trPr>
        <w:tc>
          <w:tcPr>
            <w:tcW w:w="276" w:type="pct"/>
            <w:vMerge/>
            <w:shd w:val="clear" w:color="auto" w:fill="auto"/>
            <w:vAlign w:val="center"/>
          </w:tcPr>
          <w:p w14:paraId="3D7E2463"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2B46C65A"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5534431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50FF6FE6"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7274A584"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7FFEA66B"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6743659B"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50</w:t>
            </w:r>
          </w:p>
        </w:tc>
        <w:tc>
          <w:tcPr>
            <w:tcW w:w="561" w:type="pct"/>
            <w:vMerge/>
            <w:shd w:val="clear" w:color="auto" w:fill="auto"/>
            <w:vAlign w:val="center"/>
          </w:tcPr>
          <w:p w14:paraId="1F9DEC90"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08891074"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724458B9" w14:textId="77777777" w:rsidTr="004A61EE">
        <w:trPr>
          <w:cantSplit/>
          <w:trHeight w:val="20"/>
        </w:trPr>
        <w:tc>
          <w:tcPr>
            <w:tcW w:w="276" w:type="pct"/>
            <w:vMerge w:val="restart"/>
            <w:shd w:val="clear" w:color="auto" w:fill="auto"/>
            <w:vAlign w:val="center"/>
          </w:tcPr>
          <w:p w14:paraId="43668FFF"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109</w:t>
            </w:r>
          </w:p>
        </w:tc>
        <w:tc>
          <w:tcPr>
            <w:tcW w:w="682" w:type="pct"/>
            <w:vMerge w:val="restart"/>
            <w:shd w:val="clear" w:color="auto" w:fill="auto"/>
            <w:vAlign w:val="center"/>
          </w:tcPr>
          <w:p w14:paraId="50AF10D0"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16</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054</w:t>
            </w:r>
          </w:p>
        </w:tc>
        <w:tc>
          <w:tcPr>
            <w:tcW w:w="642" w:type="pct"/>
            <w:vMerge w:val="restart"/>
            <w:shd w:val="clear" w:color="auto" w:fill="auto"/>
            <w:vAlign w:val="center"/>
          </w:tcPr>
          <w:p w14:paraId="6724D9F8"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16</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796</w:t>
            </w:r>
          </w:p>
        </w:tc>
        <w:tc>
          <w:tcPr>
            <w:tcW w:w="482" w:type="pct"/>
            <w:vMerge w:val="restart"/>
            <w:shd w:val="clear" w:color="auto" w:fill="auto"/>
            <w:vAlign w:val="center"/>
          </w:tcPr>
          <w:p w14:paraId="0BCAFA34"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-742</w:t>
            </w:r>
          </w:p>
        </w:tc>
        <w:tc>
          <w:tcPr>
            <w:tcW w:w="642" w:type="pct"/>
            <w:vMerge w:val="restart"/>
            <w:shd w:val="clear" w:color="auto" w:fill="auto"/>
            <w:vAlign w:val="center"/>
          </w:tcPr>
          <w:p w14:paraId="04ED6114"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555</w:t>
            </w:r>
          </w:p>
        </w:tc>
        <w:tc>
          <w:tcPr>
            <w:tcW w:w="963" w:type="pct"/>
            <w:gridSpan w:val="2"/>
            <w:shd w:val="clear" w:color="auto" w:fill="auto"/>
            <w:vAlign w:val="center"/>
          </w:tcPr>
          <w:p w14:paraId="21B1FAF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850</w:t>
            </w:r>
          </w:p>
        </w:tc>
        <w:tc>
          <w:tcPr>
            <w:tcW w:w="561" w:type="pct"/>
            <w:vMerge w:val="restart"/>
            <w:shd w:val="clear" w:color="auto" w:fill="auto"/>
            <w:vAlign w:val="center"/>
          </w:tcPr>
          <w:p w14:paraId="43F64A4C"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5A8D1AA7"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45</w:t>
            </w:r>
            <w:r w:rsidRPr="00DA5594">
              <w:rPr>
                <w:rFonts w:hAnsi="標楷體" w:hint="eastAsia"/>
                <w:bCs/>
                <w:color w:val="000000" w:themeColor="text1"/>
                <w:spacing w:val="-20"/>
                <w:kern w:val="0"/>
                <w:sz w:val="28"/>
                <w:szCs w:val="28"/>
              </w:rPr>
              <w:t>3</w:t>
            </w:r>
          </w:p>
        </w:tc>
      </w:tr>
      <w:tr w:rsidR="00DA5594" w:rsidRPr="00DA5594" w14:paraId="4E2D54EE" w14:textId="77777777" w:rsidTr="004A61EE">
        <w:trPr>
          <w:cantSplit/>
          <w:trHeight w:val="20"/>
        </w:trPr>
        <w:tc>
          <w:tcPr>
            <w:tcW w:w="276" w:type="pct"/>
            <w:vMerge/>
            <w:shd w:val="clear" w:color="auto" w:fill="auto"/>
            <w:vAlign w:val="center"/>
          </w:tcPr>
          <w:p w14:paraId="430CAC2A"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5835A3F1"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1CDF48D8"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3CFA3659"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6603D0CB"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3B6DDB21"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007C6399"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561" w:type="pct"/>
            <w:vMerge/>
            <w:shd w:val="clear" w:color="auto" w:fill="auto"/>
            <w:vAlign w:val="center"/>
          </w:tcPr>
          <w:p w14:paraId="3F05998F"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54E0C689" w14:textId="77777777" w:rsidR="00672041" w:rsidRPr="00DA5594" w:rsidRDefault="00672041" w:rsidP="00C719BA">
            <w:pPr>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102F697A" w14:textId="77777777" w:rsidTr="004A61EE">
        <w:trPr>
          <w:cantSplit/>
          <w:trHeight w:val="20"/>
        </w:trPr>
        <w:tc>
          <w:tcPr>
            <w:tcW w:w="276" w:type="pct"/>
            <w:vMerge w:val="restart"/>
            <w:shd w:val="clear" w:color="auto" w:fill="auto"/>
            <w:vAlign w:val="center"/>
          </w:tcPr>
          <w:p w14:paraId="3C1FFC2A" w14:textId="77777777" w:rsidR="00672041" w:rsidRPr="00DA5594" w:rsidRDefault="00672041" w:rsidP="00C719BA">
            <w:pPr>
              <w:keepNext/>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110</w:t>
            </w:r>
          </w:p>
        </w:tc>
        <w:tc>
          <w:tcPr>
            <w:tcW w:w="682" w:type="pct"/>
            <w:vMerge w:val="restart"/>
            <w:shd w:val="clear" w:color="auto" w:fill="auto"/>
            <w:vAlign w:val="center"/>
          </w:tcPr>
          <w:p w14:paraId="32199899"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20</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038</w:t>
            </w:r>
          </w:p>
        </w:tc>
        <w:tc>
          <w:tcPr>
            <w:tcW w:w="642" w:type="pct"/>
            <w:vMerge w:val="restart"/>
            <w:shd w:val="clear" w:color="auto" w:fill="auto"/>
            <w:vAlign w:val="center"/>
          </w:tcPr>
          <w:p w14:paraId="1AFFE80C"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16</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785</w:t>
            </w:r>
          </w:p>
        </w:tc>
        <w:tc>
          <w:tcPr>
            <w:tcW w:w="482" w:type="pct"/>
            <w:vMerge w:val="restart"/>
            <w:shd w:val="clear" w:color="auto" w:fill="auto"/>
            <w:vAlign w:val="center"/>
          </w:tcPr>
          <w:p w14:paraId="6675CC41"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3</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252</w:t>
            </w:r>
          </w:p>
        </w:tc>
        <w:tc>
          <w:tcPr>
            <w:tcW w:w="642" w:type="pct"/>
            <w:vMerge w:val="restart"/>
            <w:shd w:val="clear" w:color="auto" w:fill="auto"/>
            <w:vAlign w:val="center"/>
          </w:tcPr>
          <w:p w14:paraId="5029C6C8"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674</w:t>
            </w:r>
          </w:p>
        </w:tc>
        <w:tc>
          <w:tcPr>
            <w:tcW w:w="963" w:type="pct"/>
            <w:gridSpan w:val="2"/>
            <w:shd w:val="clear" w:color="auto" w:fill="auto"/>
            <w:vAlign w:val="center"/>
          </w:tcPr>
          <w:p w14:paraId="6DBBD972"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200</w:t>
            </w:r>
          </w:p>
        </w:tc>
        <w:tc>
          <w:tcPr>
            <w:tcW w:w="561" w:type="pct"/>
            <w:vMerge w:val="restart"/>
            <w:shd w:val="clear" w:color="auto" w:fill="auto"/>
            <w:vAlign w:val="center"/>
          </w:tcPr>
          <w:p w14:paraId="5A91CEBE"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26B53142"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1,77</w:t>
            </w:r>
            <w:r w:rsidRPr="00DA5594">
              <w:rPr>
                <w:rFonts w:hAnsi="標楷體" w:hint="eastAsia"/>
                <w:bCs/>
                <w:color w:val="000000" w:themeColor="text1"/>
                <w:spacing w:val="-20"/>
                <w:kern w:val="0"/>
                <w:sz w:val="28"/>
                <w:szCs w:val="28"/>
              </w:rPr>
              <w:t>9</w:t>
            </w:r>
          </w:p>
        </w:tc>
      </w:tr>
      <w:tr w:rsidR="00DA5594" w:rsidRPr="00DA5594" w14:paraId="4FBDE5E7" w14:textId="77777777" w:rsidTr="004A61EE">
        <w:trPr>
          <w:cantSplit/>
          <w:trHeight w:val="20"/>
        </w:trPr>
        <w:tc>
          <w:tcPr>
            <w:tcW w:w="276" w:type="pct"/>
            <w:vMerge/>
            <w:shd w:val="clear" w:color="auto" w:fill="auto"/>
            <w:vAlign w:val="center"/>
          </w:tcPr>
          <w:p w14:paraId="05EE1F27" w14:textId="77777777" w:rsidR="00672041" w:rsidRPr="00DA5594" w:rsidRDefault="00672041" w:rsidP="00C719BA">
            <w:pPr>
              <w:keepLines/>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1B2DC6A1"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4629CF73"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4D085B20"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549CA720"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18C461ED"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40ED78C5"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350</w:t>
            </w:r>
          </w:p>
        </w:tc>
        <w:tc>
          <w:tcPr>
            <w:tcW w:w="561" w:type="pct"/>
            <w:vMerge/>
            <w:shd w:val="clear" w:color="auto" w:fill="auto"/>
            <w:vAlign w:val="center"/>
          </w:tcPr>
          <w:p w14:paraId="713EF5D4"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1769C52C"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1679AE33" w14:textId="77777777" w:rsidTr="004A61EE">
        <w:trPr>
          <w:cantSplit/>
          <w:trHeight w:val="20"/>
        </w:trPr>
        <w:tc>
          <w:tcPr>
            <w:tcW w:w="276" w:type="pct"/>
            <w:vMerge w:val="restart"/>
            <w:shd w:val="clear" w:color="auto" w:fill="auto"/>
            <w:vAlign w:val="center"/>
          </w:tcPr>
          <w:p w14:paraId="43299C3E" w14:textId="77777777" w:rsidR="00672041" w:rsidRPr="00DA5594" w:rsidRDefault="00672041" w:rsidP="00C719BA">
            <w:pPr>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111</w:t>
            </w:r>
          </w:p>
        </w:tc>
        <w:tc>
          <w:tcPr>
            <w:tcW w:w="682" w:type="pct"/>
            <w:vMerge w:val="restart"/>
            <w:shd w:val="clear" w:color="auto" w:fill="auto"/>
            <w:vAlign w:val="center"/>
          </w:tcPr>
          <w:p w14:paraId="2E5BE1BF"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23</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040</w:t>
            </w:r>
          </w:p>
        </w:tc>
        <w:tc>
          <w:tcPr>
            <w:tcW w:w="642" w:type="pct"/>
            <w:vMerge w:val="restart"/>
            <w:shd w:val="clear" w:color="auto" w:fill="auto"/>
            <w:vAlign w:val="center"/>
          </w:tcPr>
          <w:p w14:paraId="15F03375"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19</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038</w:t>
            </w:r>
          </w:p>
        </w:tc>
        <w:tc>
          <w:tcPr>
            <w:tcW w:w="482" w:type="pct"/>
            <w:vMerge w:val="restart"/>
            <w:shd w:val="clear" w:color="auto" w:fill="auto"/>
            <w:vAlign w:val="center"/>
          </w:tcPr>
          <w:p w14:paraId="3AF2C587"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4</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002</w:t>
            </w:r>
          </w:p>
        </w:tc>
        <w:tc>
          <w:tcPr>
            <w:tcW w:w="642" w:type="pct"/>
            <w:vMerge w:val="restart"/>
            <w:shd w:val="clear" w:color="auto" w:fill="auto"/>
            <w:vAlign w:val="center"/>
          </w:tcPr>
          <w:p w14:paraId="0E90A476"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439</w:t>
            </w:r>
          </w:p>
        </w:tc>
        <w:tc>
          <w:tcPr>
            <w:tcW w:w="963" w:type="pct"/>
            <w:gridSpan w:val="2"/>
            <w:shd w:val="clear" w:color="auto" w:fill="auto"/>
            <w:vAlign w:val="center"/>
          </w:tcPr>
          <w:p w14:paraId="5E02033B"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w:t>
            </w:r>
            <w:r w:rsidRPr="00DA5594">
              <w:rPr>
                <w:rFonts w:hAnsi="標楷體"/>
                <w:bCs/>
                <w:color w:val="000000" w:themeColor="text1"/>
                <w:spacing w:val="-20"/>
                <w:kern w:val="0"/>
                <w:sz w:val="28"/>
                <w:szCs w:val="28"/>
              </w:rPr>
              <w:t>500</w:t>
            </w:r>
          </w:p>
        </w:tc>
        <w:tc>
          <w:tcPr>
            <w:tcW w:w="561" w:type="pct"/>
            <w:vMerge w:val="restart"/>
            <w:shd w:val="clear" w:color="auto" w:fill="auto"/>
            <w:vAlign w:val="center"/>
          </w:tcPr>
          <w:p w14:paraId="0E42C966"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361</w:t>
            </w:r>
          </w:p>
        </w:tc>
        <w:tc>
          <w:tcPr>
            <w:tcW w:w="750" w:type="pct"/>
            <w:vMerge w:val="restart"/>
            <w:shd w:val="clear" w:color="auto" w:fill="auto"/>
            <w:vAlign w:val="center"/>
          </w:tcPr>
          <w:p w14:paraId="3335152A"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3,49</w:t>
            </w:r>
            <w:r w:rsidRPr="00DA5594">
              <w:rPr>
                <w:rFonts w:hAnsi="標楷體" w:hint="eastAsia"/>
                <w:bCs/>
                <w:color w:val="000000" w:themeColor="text1"/>
                <w:spacing w:val="-20"/>
                <w:kern w:val="0"/>
                <w:sz w:val="28"/>
                <w:szCs w:val="28"/>
              </w:rPr>
              <w:t>3</w:t>
            </w:r>
          </w:p>
        </w:tc>
      </w:tr>
      <w:tr w:rsidR="00DA5594" w:rsidRPr="00DA5594" w14:paraId="507B5D21" w14:textId="77777777" w:rsidTr="004A61EE">
        <w:trPr>
          <w:cantSplit/>
          <w:trHeight w:val="20"/>
        </w:trPr>
        <w:tc>
          <w:tcPr>
            <w:tcW w:w="276" w:type="pct"/>
            <w:vMerge/>
            <w:shd w:val="clear" w:color="auto" w:fill="auto"/>
            <w:vAlign w:val="center"/>
          </w:tcPr>
          <w:p w14:paraId="551C8802" w14:textId="77777777" w:rsidR="00672041" w:rsidRPr="00DA5594" w:rsidRDefault="00672041" w:rsidP="00C719BA">
            <w:pPr>
              <w:keepLines/>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429A9862"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3FD4B168"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5DA6B966"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602356FE"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46CD3F6A"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4B06A9FC"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540</w:t>
            </w:r>
          </w:p>
        </w:tc>
        <w:tc>
          <w:tcPr>
            <w:tcW w:w="561" w:type="pct"/>
            <w:vMerge/>
            <w:shd w:val="clear" w:color="auto" w:fill="auto"/>
            <w:vAlign w:val="center"/>
          </w:tcPr>
          <w:p w14:paraId="59B418A3"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6D221B39"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77B08B43" w14:textId="77777777" w:rsidTr="004A61EE">
        <w:trPr>
          <w:cantSplit/>
          <w:trHeight w:val="20"/>
        </w:trPr>
        <w:tc>
          <w:tcPr>
            <w:tcW w:w="276" w:type="pct"/>
            <w:vMerge w:val="restart"/>
            <w:shd w:val="clear" w:color="auto" w:fill="auto"/>
            <w:vAlign w:val="center"/>
          </w:tcPr>
          <w:p w14:paraId="27B0ABE8" w14:textId="77777777" w:rsidR="00672041" w:rsidRPr="00DA5594" w:rsidRDefault="00672041" w:rsidP="00C719BA">
            <w:pPr>
              <w:keepNext/>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112</w:t>
            </w:r>
          </w:p>
        </w:tc>
        <w:tc>
          <w:tcPr>
            <w:tcW w:w="682" w:type="pct"/>
            <w:vMerge w:val="restart"/>
            <w:shd w:val="clear" w:color="auto" w:fill="auto"/>
            <w:vAlign w:val="center"/>
          </w:tcPr>
          <w:p w14:paraId="3FBFB2DB"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24</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883</w:t>
            </w:r>
          </w:p>
        </w:tc>
        <w:tc>
          <w:tcPr>
            <w:tcW w:w="642" w:type="pct"/>
            <w:vMerge w:val="restart"/>
            <w:shd w:val="clear" w:color="auto" w:fill="auto"/>
            <w:vAlign w:val="center"/>
          </w:tcPr>
          <w:p w14:paraId="383D51A7"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21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949</w:t>
            </w:r>
          </w:p>
        </w:tc>
        <w:tc>
          <w:tcPr>
            <w:tcW w:w="482" w:type="pct"/>
            <w:vMerge w:val="restart"/>
            <w:shd w:val="clear" w:color="auto" w:fill="auto"/>
            <w:vAlign w:val="center"/>
          </w:tcPr>
          <w:p w14:paraId="23724232"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2</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934</w:t>
            </w:r>
          </w:p>
        </w:tc>
        <w:tc>
          <w:tcPr>
            <w:tcW w:w="642" w:type="pct"/>
            <w:vMerge w:val="restart"/>
            <w:shd w:val="clear" w:color="auto" w:fill="auto"/>
            <w:vAlign w:val="center"/>
          </w:tcPr>
          <w:p w14:paraId="7162396D"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732</w:t>
            </w:r>
          </w:p>
        </w:tc>
        <w:tc>
          <w:tcPr>
            <w:tcW w:w="963" w:type="pct"/>
            <w:gridSpan w:val="2"/>
            <w:shd w:val="clear" w:color="auto" w:fill="auto"/>
            <w:vAlign w:val="center"/>
          </w:tcPr>
          <w:p w14:paraId="6041EC74"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260</w:t>
            </w:r>
          </w:p>
        </w:tc>
        <w:tc>
          <w:tcPr>
            <w:tcW w:w="561" w:type="pct"/>
            <w:vMerge w:val="restart"/>
            <w:shd w:val="clear" w:color="auto" w:fill="auto"/>
            <w:vAlign w:val="center"/>
          </w:tcPr>
          <w:p w14:paraId="5C1900AC"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473</w:t>
            </w:r>
          </w:p>
        </w:tc>
        <w:tc>
          <w:tcPr>
            <w:tcW w:w="750" w:type="pct"/>
            <w:vMerge w:val="restart"/>
            <w:shd w:val="clear" w:color="auto" w:fill="auto"/>
            <w:vAlign w:val="center"/>
          </w:tcPr>
          <w:p w14:paraId="463B9ADB"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1,536</w:t>
            </w:r>
          </w:p>
        </w:tc>
      </w:tr>
      <w:tr w:rsidR="00DA5594" w:rsidRPr="00DA5594" w14:paraId="6981882F" w14:textId="77777777" w:rsidTr="004A61EE">
        <w:trPr>
          <w:cantSplit/>
          <w:trHeight w:val="20"/>
        </w:trPr>
        <w:tc>
          <w:tcPr>
            <w:tcW w:w="276" w:type="pct"/>
            <w:vMerge/>
            <w:shd w:val="clear" w:color="auto" w:fill="auto"/>
            <w:vAlign w:val="center"/>
          </w:tcPr>
          <w:p w14:paraId="4ADB8306" w14:textId="77777777" w:rsidR="00672041" w:rsidRPr="00DA5594" w:rsidRDefault="00672041" w:rsidP="00C719BA">
            <w:pPr>
              <w:keepLines/>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623E566B"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0C862D87"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128D41AD"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501D5513"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1055A1D5"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402E1962"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150</w:t>
            </w:r>
          </w:p>
        </w:tc>
        <w:tc>
          <w:tcPr>
            <w:tcW w:w="561" w:type="pct"/>
            <w:vMerge/>
            <w:shd w:val="clear" w:color="auto" w:fill="auto"/>
            <w:vAlign w:val="center"/>
          </w:tcPr>
          <w:p w14:paraId="43909680"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1CEA746F"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3210E121" w14:textId="77777777" w:rsidTr="004A61EE">
        <w:trPr>
          <w:cantSplit/>
          <w:trHeight w:val="20"/>
        </w:trPr>
        <w:tc>
          <w:tcPr>
            <w:tcW w:w="276" w:type="pct"/>
            <w:vMerge w:val="restart"/>
            <w:shd w:val="clear" w:color="auto" w:fill="auto"/>
            <w:vAlign w:val="center"/>
          </w:tcPr>
          <w:p w14:paraId="29526651" w14:textId="77777777" w:rsidR="00672041" w:rsidRPr="00DA5594" w:rsidRDefault="00672041" w:rsidP="00C719BA">
            <w:pPr>
              <w:keepNext/>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113</w:t>
            </w:r>
          </w:p>
        </w:tc>
        <w:tc>
          <w:tcPr>
            <w:tcW w:w="682" w:type="pct"/>
            <w:vMerge w:val="restart"/>
            <w:shd w:val="clear" w:color="auto" w:fill="auto"/>
            <w:vAlign w:val="center"/>
          </w:tcPr>
          <w:p w14:paraId="592BF2D6"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26</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898</w:t>
            </w:r>
          </w:p>
        </w:tc>
        <w:tc>
          <w:tcPr>
            <w:tcW w:w="642" w:type="pct"/>
            <w:vMerge w:val="restart"/>
            <w:shd w:val="clear" w:color="auto" w:fill="auto"/>
            <w:vAlign w:val="center"/>
          </w:tcPr>
          <w:p w14:paraId="060FEB8A"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23</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140</w:t>
            </w:r>
          </w:p>
        </w:tc>
        <w:tc>
          <w:tcPr>
            <w:tcW w:w="482" w:type="pct"/>
            <w:vMerge w:val="restart"/>
            <w:shd w:val="clear" w:color="auto" w:fill="auto"/>
            <w:vAlign w:val="center"/>
          </w:tcPr>
          <w:p w14:paraId="2BCBC0E9"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3</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757</w:t>
            </w:r>
          </w:p>
        </w:tc>
        <w:tc>
          <w:tcPr>
            <w:tcW w:w="642" w:type="pct"/>
            <w:vMerge w:val="restart"/>
            <w:shd w:val="clear" w:color="auto" w:fill="auto"/>
            <w:vAlign w:val="center"/>
          </w:tcPr>
          <w:p w14:paraId="42B471D4"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568</w:t>
            </w:r>
          </w:p>
        </w:tc>
        <w:tc>
          <w:tcPr>
            <w:tcW w:w="963" w:type="pct"/>
            <w:gridSpan w:val="2"/>
            <w:shd w:val="clear" w:color="auto" w:fill="auto"/>
            <w:vAlign w:val="center"/>
          </w:tcPr>
          <w:p w14:paraId="1F7F9AEC"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w:t>
            </w:r>
            <w:r w:rsidRPr="00DA5594">
              <w:rPr>
                <w:rFonts w:hAnsi="標楷體" w:hint="eastAsia"/>
                <w:bCs/>
                <w:color w:val="000000" w:themeColor="text1"/>
                <w:spacing w:val="-20"/>
                <w:kern w:val="0"/>
                <w:sz w:val="28"/>
                <w:szCs w:val="28"/>
              </w:rPr>
              <w:t>,</w:t>
            </w:r>
            <w:r w:rsidRPr="00DA5594">
              <w:rPr>
                <w:rFonts w:hAnsi="標楷體"/>
                <w:bCs/>
                <w:color w:val="000000" w:themeColor="text1"/>
                <w:spacing w:val="-20"/>
                <w:kern w:val="0"/>
                <w:sz w:val="28"/>
                <w:szCs w:val="28"/>
              </w:rPr>
              <w:t>358</w:t>
            </w:r>
          </w:p>
        </w:tc>
        <w:tc>
          <w:tcPr>
            <w:tcW w:w="561" w:type="pct"/>
            <w:vMerge w:val="restart"/>
            <w:shd w:val="clear" w:color="auto" w:fill="auto"/>
            <w:vAlign w:val="center"/>
          </w:tcPr>
          <w:p w14:paraId="7D671F74"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846</w:t>
            </w:r>
          </w:p>
        </w:tc>
        <w:tc>
          <w:tcPr>
            <w:tcW w:w="750" w:type="pct"/>
            <w:vMerge w:val="restart"/>
            <w:shd w:val="clear" w:color="auto" w:fill="auto"/>
            <w:vAlign w:val="center"/>
          </w:tcPr>
          <w:p w14:paraId="782EAF88" w14:textId="77777777" w:rsidR="00672041" w:rsidRPr="00DA5594" w:rsidRDefault="00672041" w:rsidP="00C719BA">
            <w:pPr>
              <w:keepNext/>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bCs/>
                <w:color w:val="000000" w:themeColor="text1"/>
                <w:spacing w:val="-20"/>
                <w:kern w:val="0"/>
                <w:sz w:val="28"/>
                <w:szCs w:val="28"/>
              </w:rPr>
              <w:t>1,64</w:t>
            </w:r>
            <w:r w:rsidRPr="00DA5594">
              <w:rPr>
                <w:rFonts w:hAnsi="標楷體" w:hint="eastAsia"/>
                <w:bCs/>
                <w:color w:val="000000" w:themeColor="text1"/>
                <w:spacing w:val="-20"/>
                <w:kern w:val="0"/>
                <w:sz w:val="28"/>
                <w:szCs w:val="28"/>
              </w:rPr>
              <w:t>9</w:t>
            </w:r>
          </w:p>
        </w:tc>
      </w:tr>
      <w:tr w:rsidR="00DA5594" w:rsidRPr="00DA5594" w14:paraId="158F9200" w14:textId="77777777" w:rsidTr="004A61EE">
        <w:trPr>
          <w:cantSplit/>
          <w:trHeight w:val="20"/>
        </w:trPr>
        <w:tc>
          <w:tcPr>
            <w:tcW w:w="276" w:type="pct"/>
            <w:vMerge/>
            <w:shd w:val="clear" w:color="auto" w:fill="auto"/>
            <w:vAlign w:val="center"/>
          </w:tcPr>
          <w:p w14:paraId="4C99780B" w14:textId="77777777" w:rsidR="00672041" w:rsidRPr="00DA5594" w:rsidRDefault="00672041" w:rsidP="00C719BA">
            <w:pPr>
              <w:keepLines/>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369F1BA8"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10F4D7D2"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482" w:type="pct"/>
            <w:vMerge/>
            <w:shd w:val="clear" w:color="auto" w:fill="auto"/>
            <w:vAlign w:val="center"/>
          </w:tcPr>
          <w:p w14:paraId="1C085A53"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vMerge/>
            <w:shd w:val="clear" w:color="auto" w:fill="auto"/>
            <w:vAlign w:val="center"/>
          </w:tcPr>
          <w:p w14:paraId="077DDD20"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321" w:type="pct"/>
            <w:shd w:val="clear" w:color="auto" w:fill="auto"/>
            <w:vAlign w:val="center"/>
          </w:tcPr>
          <w:p w14:paraId="0298C63B"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642" w:type="pct"/>
            <w:shd w:val="clear" w:color="auto" w:fill="auto"/>
            <w:vAlign w:val="center"/>
          </w:tcPr>
          <w:p w14:paraId="39F9825A"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208</w:t>
            </w:r>
          </w:p>
        </w:tc>
        <w:tc>
          <w:tcPr>
            <w:tcW w:w="561" w:type="pct"/>
            <w:vMerge/>
            <w:shd w:val="clear" w:color="auto" w:fill="auto"/>
            <w:vAlign w:val="center"/>
          </w:tcPr>
          <w:p w14:paraId="340A8406"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c>
          <w:tcPr>
            <w:tcW w:w="750" w:type="pct"/>
            <w:vMerge/>
            <w:shd w:val="clear" w:color="auto" w:fill="auto"/>
            <w:vAlign w:val="center"/>
          </w:tcPr>
          <w:p w14:paraId="1277B60B"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p>
        </w:tc>
      </w:tr>
      <w:tr w:rsidR="00DA5594" w:rsidRPr="00DA5594" w14:paraId="27FF430E" w14:textId="77777777" w:rsidTr="004A61EE">
        <w:trPr>
          <w:cantSplit/>
          <w:trHeight w:val="20"/>
        </w:trPr>
        <w:tc>
          <w:tcPr>
            <w:tcW w:w="276" w:type="pct"/>
            <w:vMerge w:val="restart"/>
            <w:shd w:val="clear" w:color="auto" w:fill="auto"/>
            <w:vAlign w:val="center"/>
          </w:tcPr>
          <w:p w14:paraId="3FE0C0D9" w14:textId="77777777" w:rsidR="00672041" w:rsidRPr="00DA5594" w:rsidRDefault="00672041" w:rsidP="00C719BA">
            <w:pPr>
              <w:keepLines/>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114</w:t>
            </w:r>
          </w:p>
        </w:tc>
        <w:tc>
          <w:tcPr>
            <w:tcW w:w="682" w:type="pct"/>
            <w:vMerge w:val="restart"/>
            <w:shd w:val="clear" w:color="auto" w:fill="auto"/>
            <w:vAlign w:val="center"/>
          </w:tcPr>
          <w:p w14:paraId="2C531D2D"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27,594</w:t>
            </w:r>
          </w:p>
        </w:tc>
        <w:tc>
          <w:tcPr>
            <w:tcW w:w="642" w:type="pct"/>
            <w:vMerge w:val="restart"/>
            <w:shd w:val="clear" w:color="auto" w:fill="auto"/>
            <w:vAlign w:val="center"/>
          </w:tcPr>
          <w:p w14:paraId="0B9300BF"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27,845</w:t>
            </w:r>
          </w:p>
        </w:tc>
        <w:tc>
          <w:tcPr>
            <w:tcW w:w="482" w:type="pct"/>
            <w:vMerge w:val="restart"/>
            <w:shd w:val="clear" w:color="auto" w:fill="auto"/>
            <w:vAlign w:val="center"/>
          </w:tcPr>
          <w:p w14:paraId="2190581C"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-251</w:t>
            </w:r>
          </w:p>
        </w:tc>
        <w:tc>
          <w:tcPr>
            <w:tcW w:w="642" w:type="pct"/>
            <w:vMerge w:val="restart"/>
            <w:shd w:val="clear" w:color="auto" w:fill="auto"/>
            <w:vAlign w:val="center"/>
          </w:tcPr>
          <w:p w14:paraId="3990F0E8"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963" w:type="pct"/>
            <w:gridSpan w:val="2"/>
            <w:shd w:val="clear" w:color="auto" w:fill="auto"/>
            <w:vAlign w:val="center"/>
          </w:tcPr>
          <w:p w14:paraId="0876B9BE"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1,415</w:t>
            </w:r>
          </w:p>
        </w:tc>
        <w:tc>
          <w:tcPr>
            <w:tcW w:w="561" w:type="pct"/>
            <w:vMerge w:val="restart"/>
            <w:shd w:val="clear" w:color="auto" w:fill="auto"/>
            <w:vAlign w:val="center"/>
          </w:tcPr>
          <w:p w14:paraId="4DC0701C"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750" w:type="pct"/>
            <w:vMerge w:val="restart"/>
            <w:shd w:val="clear" w:color="auto" w:fill="auto"/>
            <w:vAlign w:val="center"/>
          </w:tcPr>
          <w:p w14:paraId="6A99C3F3" w14:textId="77777777" w:rsidR="00672041" w:rsidRPr="00DA5594" w:rsidRDefault="00672041" w:rsidP="00C719BA">
            <w:pPr>
              <w:keepLines/>
              <w:spacing w:line="300" w:lineRule="exact"/>
              <w:ind w:rightChars="32" w:right="109"/>
              <w:jc w:val="right"/>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w:t>
            </w:r>
          </w:p>
        </w:tc>
      </w:tr>
      <w:tr w:rsidR="00DA5594" w:rsidRPr="00DA5594" w14:paraId="0FD00B93" w14:textId="77777777" w:rsidTr="004A61EE">
        <w:trPr>
          <w:cantSplit/>
          <w:trHeight w:val="20"/>
        </w:trPr>
        <w:tc>
          <w:tcPr>
            <w:tcW w:w="276" w:type="pct"/>
            <w:vMerge/>
            <w:shd w:val="clear" w:color="auto" w:fill="auto"/>
            <w:vAlign w:val="center"/>
          </w:tcPr>
          <w:p w14:paraId="06BC3AA5"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82" w:type="pct"/>
            <w:vMerge/>
            <w:shd w:val="clear" w:color="auto" w:fill="auto"/>
            <w:vAlign w:val="center"/>
          </w:tcPr>
          <w:p w14:paraId="7E227526"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42" w:type="pct"/>
            <w:vMerge/>
            <w:shd w:val="clear" w:color="auto" w:fill="auto"/>
            <w:vAlign w:val="center"/>
          </w:tcPr>
          <w:p w14:paraId="0AF52F44"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482" w:type="pct"/>
            <w:vMerge/>
            <w:shd w:val="clear" w:color="auto" w:fill="auto"/>
            <w:vAlign w:val="center"/>
          </w:tcPr>
          <w:p w14:paraId="7B22EBF0"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42" w:type="pct"/>
            <w:vMerge/>
            <w:shd w:val="clear" w:color="auto" w:fill="auto"/>
            <w:vAlign w:val="center"/>
          </w:tcPr>
          <w:p w14:paraId="05C244C9"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321" w:type="pct"/>
            <w:shd w:val="clear" w:color="auto" w:fill="auto"/>
            <w:vAlign w:val="center"/>
          </w:tcPr>
          <w:p w14:paraId="08D58A65"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642" w:type="pct"/>
            <w:shd w:val="clear" w:color="auto" w:fill="auto"/>
            <w:vAlign w:val="center"/>
          </w:tcPr>
          <w:p w14:paraId="032B0116"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r w:rsidRPr="00DA5594">
              <w:rPr>
                <w:rFonts w:hAnsi="標楷體" w:hint="eastAsia"/>
                <w:bCs/>
                <w:color w:val="000000" w:themeColor="text1"/>
                <w:spacing w:val="-20"/>
                <w:kern w:val="0"/>
                <w:sz w:val="28"/>
                <w:szCs w:val="28"/>
              </w:rPr>
              <w:t>0</w:t>
            </w:r>
          </w:p>
        </w:tc>
        <w:tc>
          <w:tcPr>
            <w:tcW w:w="561" w:type="pct"/>
            <w:vMerge/>
            <w:shd w:val="clear" w:color="auto" w:fill="auto"/>
            <w:vAlign w:val="center"/>
          </w:tcPr>
          <w:p w14:paraId="23D56BE8"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c>
          <w:tcPr>
            <w:tcW w:w="750" w:type="pct"/>
            <w:vMerge/>
            <w:shd w:val="clear" w:color="auto" w:fill="auto"/>
            <w:vAlign w:val="center"/>
          </w:tcPr>
          <w:p w14:paraId="4D995EA0" w14:textId="77777777" w:rsidR="00672041" w:rsidRPr="00DA5594" w:rsidRDefault="00672041" w:rsidP="00C719BA">
            <w:pPr>
              <w:spacing w:line="300" w:lineRule="exact"/>
              <w:jc w:val="center"/>
              <w:outlineLvl w:val="1"/>
              <w:rPr>
                <w:rFonts w:hAnsi="標楷體"/>
                <w:bCs/>
                <w:color w:val="000000" w:themeColor="text1"/>
                <w:spacing w:val="-20"/>
                <w:kern w:val="0"/>
                <w:sz w:val="28"/>
                <w:szCs w:val="28"/>
              </w:rPr>
            </w:pPr>
          </w:p>
        </w:tc>
      </w:tr>
    </w:tbl>
    <w:p w14:paraId="3B58CC03" w14:textId="77777777" w:rsidR="00672041" w:rsidRPr="00DA5594" w:rsidRDefault="00672041" w:rsidP="00260C0D">
      <w:pPr>
        <w:pStyle w:val="af5"/>
        <w:spacing w:before="0" w:after="0" w:line="320" w:lineRule="exact"/>
        <w:rPr>
          <w:rFonts w:hAnsi="標楷體"/>
          <w:bCs/>
          <w:color w:val="000000" w:themeColor="text1"/>
          <w:spacing w:val="0"/>
        </w:rPr>
      </w:pPr>
      <w:r w:rsidRPr="00DA5594">
        <w:rPr>
          <w:rFonts w:hAnsi="標楷體" w:hint="eastAsia"/>
          <w:bCs/>
          <w:color w:val="000000" w:themeColor="text1"/>
          <w:spacing w:val="0"/>
        </w:rPr>
        <w:t>說明：</w:t>
      </w:r>
      <w:r w:rsidRPr="00DA5594">
        <w:rPr>
          <w:rFonts w:hAnsi="標楷體"/>
          <w:bCs/>
          <w:color w:val="000000" w:themeColor="text1"/>
          <w:spacing w:val="0"/>
        </w:rPr>
        <w:t>1.104至</w:t>
      </w:r>
      <w:proofErr w:type="gramStart"/>
      <w:r w:rsidRPr="00DA5594">
        <w:rPr>
          <w:rFonts w:hAnsi="標楷體"/>
          <w:bCs/>
          <w:color w:val="000000" w:themeColor="text1"/>
          <w:spacing w:val="0"/>
        </w:rPr>
        <w:t>113</w:t>
      </w:r>
      <w:proofErr w:type="gramEnd"/>
      <w:r w:rsidRPr="00DA5594">
        <w:rPr>
          <w:rFonts w:hAnsi="標楷體"/>
          <w:bCs/>
          <w:color w:val="000000" w:themeColor="text1"/>
          <w:spacing w:val="0"/>
        </w:rPr>
        <w:t>年度為審定決算數；</w:t>
      </w:r>
      <w:proofErr w:type="gramStart"/>
      <w:r w:rsidRPr="00DA5594">
        <w:rPr>
          <w:rFonts w:hAnsi="標楷體"/>
          <w:bCs/>
          <w:color w:val="000000" w:themeColor="text1"/>
          <w:spacing w:val="0"/>
        </w:rPr>
        <w:t>114</w:t>
      </w:r>
      <w:proofErr w:type="gramEnd"/>
      <w:r w:rsidRPr="00DA5594">
        <w:rPr>
          <w:rFonts w:hAnsi="標楷體"/>
          <w:bCs/>
          <w:color w:val="000000" w:themeColor="text1"/>
          <w:spacing w:val="0"/>
        </w:rPr>
        <w:t>年度為</w:t>
      </w:r>
      <w:r w:rsidRPr="00DA5594">
        <w:rPr>
          <w:rFonts w:hAnsi="標楷體" w:hint="eastAsia"/>
          <w:bCs/>
          <w:color w:val="000000" w:themeColor="text1"/>
          <w:spacing w:val="0"/>
        </w:rPr>
        <w:t>院編決算</w:t>
      </w:r>
      <w:r w:rsidRPr="00DA5594">
        <w:rPr>
          <w:rFonts w:hAnsi="標楷體"/>
          <w:bCs/>
          <w:color w:val="000000" w:themeColor="text1"/>
          <w:spacing w:val="0"/>
        </w:rPr>
        <w:t>數</w:t>
      </w:r>
      <w:r w:rsidRPr="00DA5594">
        <w:rPr>
          <w:rFonts w:hAnsi="標楷體" w:hint="eastAsia"/>
          <w:bCs/>
          <w:color w:val="000000" w:themeColor="text1"/>
          <w:spacing w:val="0"/>
        </w:rPr>
        <w:t>。</w:t>
      </w:r>
    </w:p>
    <w:p w14:paraId="58975F1D" w14:textId="77777777" w:rsidR="00672041" w:rsidRPr="00DA5594" w:rsidRDefault="00672041" w:rsidP="00260C0D">
      <w:pPr>
        <w:pStyle w:val="af5"/>
        <w:spacing w:before="0" w:after="0" w:line="320" w:lineRule="exact"/>
        <w:ind w:leftChars="270" w:left="1218" w:hangingChars="100" w:hanging="300"/>
        <w:rPr>
          <w:rFonts w:hAnsi="標楷體"/>
          <w:bCs/>
          <w:color w:val="000000" w:themeColor="text1"/>
          <w:spacing w:val="0"/>
        </w:rPr>
      </w:pPr>
      <w:r w:rsidRPr="00DA5594">
        <w:rPr>
          <w:rFonts w:hAnsi="標楷體"/>
          <w:bCs/>
          <w:color w:val="000000" w:themeColor="text1"/>
          <w:spacing w:val="0"/>
        </w:rPr>
        <w:t>2.</w:t>
      </w:r>
      <w:r w:rsidRPr="00DA5594">
        <w:rPr>
          <w:rFonts w:hAnsi="標楷體" w:hint="eastAsia"/>
          <w:bCs/>
          <w:color w:val="000000" w:themeColor="text1"/>
          <w:spacing w:val="0"/>
        </w:rPr>
        <w:t>收支賸餘為歲入(稅課收入+非稅課收入)扣除歲出及還債之結果</w:t>
      </w:r>
      <w:r w:rsidRPr="00DA5594">
        <w:rPr>
          <w:rFonts w:hAnsi="標楷體"/>
          <w:bCs/>
          <w:color w:val="000000" w:themeColor="text1"/>
          <w:spacing w:val="0"/>
        </w:rPr>
        <w:t>。</w:t>
      </w:r>
    </w:p>
    <w:p w14:paraId="4228B513" w14:textId="77777777" w:rsidR="00672041" w:rsidRPr="00DA5594" w:rsidRDefault="00672041" w:rsidP="00260C0D">
      <w:pPr>
        <w:pStyle w:val="af5"/>
        <w:spacing w:before="0" w:after="0" w:line="320" w:lineRule="exact"/>
        <w:ind w:leftChars="270" w:left="1218" w:hangingChars="100" w:hanging="300"/>
        <w:rPr>
          <w:rFonts w:hAnsi="標楷體"/>
          <w:bCs/>
          <w:color w:val="000000" w:themeColor="text1"/>
          <w:spacing w:val="0"/>
        </w:rPr>
      </w:pPr>
      <w:r w:rsidRPr="00DA5594">
        <w:rPr>
          <w:rFonts w:hAnsi="標楷體" w:hint="eastAsia"/>
          <w:bCs/>
          <w:color w:val="000000" w:themeColor="text1"/>
          <w:spacing w:val="0"/>
        </w:rPr>
        <w:t>3.a-b(稅收優於預期)並不完全等於</w:t>
      </w:r>
      <w:proofErr w:type="spellStart"/>
      <w:r w:rsidRPr="00DA5594">
        <w:rPr>
          <w:rFonts w:hAnsi="標楷體" w:hint="eastAsia"/>
          <w:bCs/>
          <w:color w:val="000000" w:themeColor="text1"/>
          <w:spacing w:val="0"/>
        </w:rPr>
        <w:t>c+d+e+f</w:t>
      </w:r>
      <w:proofErr w:type="spellEnd"/>
      <w:r w:rsidRPr="00DA5594">
        <w:rPr>
          <w:rFonts w:hAnsi="標楷體" w:hint="eastAsia"/>
          <w:bCs/>
          <w:color w:val="000000" w:themeColor="text1"/>
          <w:spacing w:val="0"/>
        </w:rPr>
        <w:t>，尚</w:t>
      </w:r>
      <w:proofErr w:type="gramStart"/>
      <w:r w:rsidRPr="00DA5594">
        <w:rPr>
          <w:rFonts w:hAnsi="標楷體" w:hint="eastAsia"/>
          <w:bCs/>
          <w:color w:val="000000" w:themeColor="text1"/>
          <w:spacing w:val="0"/>
        </w:rPr>
        <w:t>包含非稅課</w:t>
      </w:r>
      <w:proofErr w:type="gramEnd"/>
      <w:r w:rsidRPr="00DA5594">
        <w:rPr>
          <w:rFonts w:hAnsi="標楷體" w:hint="eastAsia"/>
          <w:bCs/>
          <w:color w:val="000000" w:themeColor="text1"/>
          <w:spacing w:val="0"/>
        </w:rPr>
        <w:t>收入及歲出</w:t>
      </w:r>
      <w:proofErr w:type="gramStart"/>
      <w:r w:rsidRPr="00DA5594">
        <w:rPr>
          <w:rFonts w:hAnsi="標楷體" w:hint="eastAsia"/>
          <w:bCs/>
          <w:color w:val="000000" w:themeColor="text1"/>
          <w:spacing w:val="0"/>
        </w:rPr>
        <w:t>撙</w:t>
      </w:r>
      <w:proofErr w:type="gramEnd"/>
      <w:r w:rsidRPr="00DA5594">
        <w:rPr>
          <w:rFonts w:hAnsi="標楷體" w:hint="eastAsia"/>
          <w:bCs/>
          <w:color w:val="000000" w:themeColor="text1"/>
          <w:spacing w:val="0"/>
        </w:rPr>
        <w:t>節等增減結果。</w:t>
      </w:r>
    </w:p>
    <w:p w14:paraId="2EB77611" w14:textId="77777777" w:rsidR="00672041" w:rsidRPr="00DA5594" w:rsidRDefault="00672041" w:rsidP="00672041">
      <w:pPr>
        <w:pStyle w:val="af5"/>
        <w:rPr>
          <w:rFonts w:hAnsi="標楷體"/>
          <w:bCs/>
          <w:color w:val="000000" w:themeColor="text1"/>
        </w:rPr>
      </w:pPr>
      <w:r w:rsidRPr="00DA5594">
        <w:rPr>
          <w:rFonts w:hAnsi="標楷體" w:hint="eastAsia"/>
          <w:bCs/>
          <w:color w:val="000000" w:themeColor="text1"/>
        </w:rPr>
        <w:t>資料來源：財政部提供本院資料。</w:t>
      </w:r>
    </w:p>
    <w:p w14:paraId="12D1C146" w14:textId="77777777" w:rsidR="00672041" w:rsidRPr="00DA5594" w:rsidRDefault="00672041" w:rsidP="00C94D92">
      <w:pPr>
        <w:pStyle w:val="a3"/>
        <w:keepLines/>
        <w:ind w:left="680" w:hanging="680"/>
        <w:rPr>
          <w:rFonts w:hAnsi="標楷體"/>
          <w:color w:val="000000" w:themeColor="text1"/>
        </w:rPr>
      </w:pPr>
      <w:r w:rsidRPr="00DA5594">
        <w:rPr>
          <w:rFonts w:hAnsi="標楷體" w:hint="eastAsia"/>
          <w:color w:val="000000" w:themeColor="text1"/>
        </w:rPr>
        <w:t>我國104至114年度長、短期</w:t>
      </w:r>
      <w:r w:rsidRPr="00DA5594">
        <w:rPr>
          <w:rFonts w:hAnsi="標楷體"/>
          <w:color w:val="000000" w:themeColor="text1"/>
        </w:rPr>
        <w:t>債務</w:t>
      </w:r>
      <w:r w:rsidRPr="00DA5594">
        <w:rPr>
          <w:rFonts w:hAnsi="標楷體" w:hint="eastAsia"/>
          <w:color w:val="000000" w:themeColor="text1"/>
        </w:rPr>
        <w:t>及</w:t>
      </w:r>
      <w:r w:rsidRPr="00DA5594">
        <w:rPr>
          <w:rFonts w:hAnsi="標楷體"/>
          <w:color w:val="000000" w:themeColor="text1"/>
        </w:rPr>
        <w:t>自償性債務</w:t>
      </w:r>
      <w:proofErr w:type="gramStart"/>
      <w:r w:rsidRPr="00DA5594">
        <w:rPr>
          <w:rFonts w:hAnsi="標楷體"/>
          <w:color w:val="000000" w:themeColor="text1"/>
        </w:rPr>
        <w:t>未償</w:t>
      </w:r>
      <w:proofErr w:type="gramEnd"/>
      <w:r w:rsidRPr="00DA5594">
        <w:rPr>
          <w:rFonts w:hAnsi="標楷體"/>
          <w:color w:val="000000" w:themeColor="text1"/>
        </w:rPr>
        <w:t>餘額</w:t>
      </w:r>
      <w:r w:rsidRPr="00DA5594">
        <w:rPr>
          <w:rFonts w:hAnsi="標楷體" w:hint="eastAsia"/>
          <w:color w:val="000000" w:themeColor="text1"/>
        </w:rPr>
        <w:t>表</w:t>
      </w:r>
    </w:p>
    <w:p w14:paraId="6C42079B" w14:textId="65DBFC56" w:rsidR="00C94D92" w:rsidRPr="00DA5594" w:rsidRDefault="00672041" w:rsidP="00C94D92">
      <w:pPr>
        <w:pStyle w:val="2"/>
        <w:numPr>
          <w:ilvl w:val="0"/>
          <w:numId w:val="0"/>
        </w:numPr>
        <w:adjustRightInd w:val="0"/>
        <w:snapToGrid w:val="0"/>
        <w:jc w:val="right"/>
        <w:rPr>
          <w:rFonts w:hAnsi="標楷體"/>
          <w:color w:val="000000" w:themeColor="text1"/>
          <w:sz w:val="24"/>
          <w:szCs w:val="24"/>
        </w:rPr>
      </w:pPr>
      <w:r w:rsidRPr="00DA5594">
        <w:rPr>
          <w:rFonts w:hAnsi="標楷體" w:hint="eastAsia"/>
          <w:color w:val="000000" w:themeColor="text1"/>
          <w:sz w:val="24"/>
          <w:szCs w:val="24"/>
        </w:rPr>
        <w:t>單位：億元</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3"/>
        <w:gridCol w:w="1033"/>
        <w:gridCol w:w="1034"/>
        <w:gridCol w:w="1032"/>
        <w:gridCol w:w="1030"/>
        <w:gridCol w:w="1030"/>
        <w:gridCol w:w="1032"/>
        <w:gridCol w:w="1030"/>
        <w:gridCol w:w="1029"/>
      </w:tblGrid>
      <w:tr w:rsidR="00DA5594" w:rsidRPr="00DA5594" w14:paraId="62F65272" w14:textId="77777777" w:rsidTr="009F60E8">
        <w:trPr>
          <w:trHeight w:val="397"/>
          <w:tblHeader/>
        </w:trPr>
        <w:tc>
          <w:tcPr>
            <w:tcW w:w="356" w:type="pct"/>
            <w:vMerge w:val="restart"/>
            <w:shd w:val="clear" w:color="auto" w:fill="F2F2F2"/>
            <w:vAlign w:val="center"/>
          </w:tcPr>
          <w:p w14:paraId="03A4BD92"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lastRenderedPageBreak/>
              <w:t>年度</w:t>
            </w:r>
          </w:p>
        </w:tc>
        <w:tc>
          <w:tcPr>
            <w:tcW w:w="1163" w:type="pct"/>
            <w:gridSpan w:val="2"/>
            <w:shd w:val="clear" w:color="auto" w:fill="F2F2F2"/>
            <w:vAlign w:val="center"/>
          </w:tcPr>
          <w:p w14:paraId="62094262"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短期債務a</w:t>
            </w:r>
          </w:p>
        </w:tc>
        <w:tc>
          <w:tcPr>
            <w:tcW w:w="1161" w:type="pct"/>
            <w:gridSpan w:val="2"/>
            <w:shd w:val="clear" w:color="auto" w:fill="F2F2F2"/>
            <w:vAlign w:val="center"/>
          </w:tcPr>
          <w:p w14:paraId="18449A39"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長期債務b</w:t>
            </w:r>
          </w:p>
        </w:tc>
        <w:tc>
          <w:tcPr>
            <w:tcW w:w="1161" w:type="pct"/>
            <w:gridSpan w:val="2"/>
            <w:shd w:val="clear" w:color="auto" w:fill="F2F2F2"/>
            <w:vAlign w:val="center"/>
          </w:tcPr>
          <w:p w14:paraId="1ADD3069"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自償性債務</w:t>
            </w:r>
            <w:proofErr w:type="gramStart"/>
            <w:r w:rsidRPr="00DA5594">
              <w:rPr>
                <w:rFonts w:hAnsi="標楷體" w:hint="eastAsia"/>
                <w:color w:val="000000" w:themeColor="text1"/>
                <w:spacing w:val="-20"/>
                <w:sz w:val="28"/>
                <w:szCs w:val="28"/>
              </w:rPr>
              <w:t>未償</w:t>
            </w:r>
            <w:proofErr w:type="gramEnd"/>
            <w:r w:rsidRPr="00DA5594">
              <w:rPr>
                <w:rFonts w:hAnsi="標楷體" w:hint="eastAsia"/>
                <w:color w:val="000000" w:themeColor="text1"/>
                <w:spacing w:val="-20"/>
                <w:sz w:val="28"/>
                <w:szCs w:val="28"/>
              </w:rPr>
              <w:t>c</w:t>
            </w:r>
          </w:p>
        </w:tc>
        <w:tc>
          <w:tcPr>
            <w:tcW w:w="1159" w:type="pct"/>
            <w:gridSpan w:val="2"/>
            <w:shd w:val="clear" w:color="auto" w:fill="F2F2F2"/>
            <w:vAlign w:val="center"/>
          </w:tcPr>
          <w:p w14:paraId="3296EC5C"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 xml:space="preserve">總計  </w:t>
            </w:r>
            <w:proofErr w:type="spellStart"/>
            <w:r w:rsidRPr="00DA5594">
              <w:rPr>
                <w:rFonts w:hAnsi="標楷體" w:hint="eastAsia"/>
                <w:color w:val="000000" w:themeColor="text1"/>
                <w:spacing w:val="-20"/>
                <w:sz w:val="28"/>
                <w:szCs w:val="28"/>
              </w:rPr>
              <w:t>a+b+c</w:t>
            </w:r>
            <w:proofErr w:type="spellEnd"/>
          </w:p>
        </w:tc>
      </w:tr>
      <w:tr w:rsidR="00DA5594" w:rsidRPr="00DA5594" w14:paraId="1C3959A3" w14:textId="77777777" w:rsidTr="009F60E8">
        <w:trPr>
          <w:trHeight w:val="397"/>
          <w:tblHeader/>
        </w:trPr>
        <w:tc>
          <w:tcPr>
            <w:tcW w:w="356" w:type="pct"/>
            <w:vMerge/>
            <w:shd w:val="clear" w:color="auto" w:fill="F2F2F2"/>
            <w:vAlign w:val="center"/>
          </w:tcPr>
          <w:p w14:paraId="1EC5D521"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p>
        </w:tc>
        <w:tc>
          <w:tcPr>
            <w:tcW w:w="581" w:type="pct"/>
            <w:shd w:val="clear" w:color="auto" w:fill="F2F2F2"/>
            <w:vAlign w:val="center"/>
          </w:tcPr>
          <w:p w14:paraId="268E142E"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餘額</w:t>
            </w:r>
          </w:p>
        </w:tc>
        <w:tc>
          <w:tcPr>
            <w:tcW w:w="582" w:type="pct"/>
            <w:shd w:val="clear" w:color="auto" w:fill="F2F2F2"/>
            <w:vAlign w:val="center"/>
          </w:tcPr>
          <w:p w14:paraId="33A8DD3D"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成長率</w:t>
            </w:r>
          </w:p>
        </w:tc>
        <w:tc>
          <w:tcPr>
            <w:tcW w:w="581" w:type="pct"/>
            <w:shd w:val="clear" w:color="auto" w:fill="F2F2F2"/>
            <w:vAlign w:val="center"/>
          </w:tcPr>
          <w:p w14:paraId="703C2D4C"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餘額</w:t>
            </w:r>
          </w:p>
        </w:tc>
        <w:tc>
          <w:tcPr>
            <w:tcW w:w="580" w:type="pct"/>
            <w:shd w:val="clear" w:color="auto" w:fill="F2F2F2"/>
            <w:vAlign w:val="center"/>
          </w:tcPr>
          <w:p w14:paraId="4FA2A908"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成長率</w:t>
            </w:r>
          </w:p>
        </w:tc>
        <w:tc>
          <w:tcPr>
            <w:tcW w:w="580" w:type="pct"/>
            <w:shd w:val="clear" w:color="auto" w:fill="F2F2F2"/>
            <w:vAlign w:val="center"/>
          </w:tcPr>
          <w:p w14:paraId="2E3B6B74"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餘額</w:t>
            </w:r>
          </w:p>
        </w:tc>
        <w:tc>
          <w:tcPr>
            <w:tcW w:w="581" w:type="pct"/>
            <w:shd w:val="clear" w:color="auto" w:fill="F2F2F2"/>
            <w:vAlign w:val="center"/>
          </w:tcPr>
          <w:p w14:paraId="389608EC"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成長率</w:t>
            </w:r>
          </w:p>
        </w:tc>
        <w:tc>
          <w:tcPr>
            <w:tcW w:w="580" w:type="pct"/>
            <w:shd w:val="clear" w:color="auto" w:fill="F2F2F2"/>
            <w:vAlign w:val="center"/>
          </w:tcPr>
          <w:p w14:paraId="6EE12005"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餘額</w:t>
            </w:r>
          </w:p>
        </w:tc>
        <w:tc>
          <w:tcPr>
            <w:tcW w:w="579" w:type="pct"/>
            <w:shd w:val="clear" w:color="auto" w:fill="F2F2F2"/>
            <w:vAlign w:val="center"/>
          </w:tcPr>
          <w:p w14:paraId="4D965B4C" w14:textId="77777777" w:rsidR="00672041" w:rsidRPr="00DA5594" w:rsidRDefault="00672041" w:rsidP="00C719BA">
            <w:pPr>
              <w:pStyle w:val="2"/>
              <w:keepNext/>
              <w:keepLines/>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成長率</w:t>
            </w:r>
          </w:p>
        </w:tc>
      </w:tr>
      <w:tr w:rsidR="00DA5594" w:rsidRPr="00DA5594" w14:paraId="0D01666A" w14:textId="77777777" w:rsidTr="00C719BA">
        <w:trPr>
          <w:trHeight w:val="397"/>
        </w:trPr>
        <w:tc>
          <w:tcPr>
            <w:tcW w:w="356" w:type="pct"/>
            <w:shd w:val="clear" w:color="auto" w:fill="auto"/>
            <w:vAlign w:val="center"/>
          </w:tcPr>
          <w:p w14:paraId="5F3092B0"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104</w:t>
            </w:r>
          </w:p>
        </w:tc>
        <w:tc>
          <w:tcPr>
            <w:tcW w:w="581" w:type="pct"/>
            <w:shd w:val="clear" w:color="auto" w:fill="auto"/>
            <w:vAlign w:val="center"/>
          </w:tcPr>
          <w:p w14:paraId="657846E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3,057</w:t>
            </w:r>
          </w:p>
        </w:tc>
        <w:tc>
          <w:tcPr>
            <w:tcW w:w="582" w:type="pct"/>
            <w:shd w:val="clear" w:color="auto" w:fill="auto"/>
            <w:vAlign w:val="center"/>
          </w:tcPr>
          <w:p w14:paraId="5245B588"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-18.95%</w:t>
            </w:r>
          </w:p>
        </w:tc>
        <w:tc>
          <w:tcPr>
            <w:tcW w:w="581" w:type="pct"/>
            <w:shd w:val="clear" w:color="auto" w:fill="auto"/>
            <w:vAlign w:val="center"/>
          </w:tcPr>
          <w:p w14:paraId="57520E87"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61,298</w:t>
            </w:r>
          </w:p>
        </w:tc>
        <w:tc>
          <w:tcPr>
            <w:tcW w:w="580" w:type="pct"/>
            <w:shd w:val="clear" w:color="auto" w:fill="auto"/>
            <w:vAlign w:val="center"/>
          </w:tcPr>
          <w:p w14:paraId="02042F02"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0.57%</w:t>
            </w:r>
          </w:p>
        </w:tc>
        <w:tc>
          <w:tcPr>
            <w:tcW w:w="580" w:type="pct"/>
            <w:shd w:val="clear" w:color="auto" w:fill="auto"/>
            <w:vAlign w:val="center"/>
          </w:tcPr>
          <w:p w14:paraId="758C0AA8"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4,349</w:t>
            </w:r>
          </w:p>
        </w:tc>
        <w:tc>
          <w:tcPr>
            <w:tcW w:w="581" w:type="pct"/>
            <w:shd w:val="clear" w:color="auto" w:fill="auto"/>
            <w:vAlign w:val="center"/>
          </w:tcPr>
          <w:p w14:paraId="1881D250"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-3.58%</w:t>
            </w:r>
          </w:p>
        </w:tc>
        <w:tc>
          <w:tcPr>
            <w:tcW w:w="580" w:type="pct"/>
            <w:shd w:val="clear" w:color="auto" w:fill="auto"/>
            <w:vAlign w:val="center"/>
          </w:tcPr>
          <w:p w14:paraId="476DF43E"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68,705</w:t>
            </w:r>
          </w:p>
        </w:tc>
        <w:tc>
          <w:tcPr>
            <w:tcW w:w="579" w:type="pct"/>
            <w:shd w:val="clear" w:color="auto" w:fill="auto"/>
            <w:vAlign w:val="center"/>
          </w:tcPr>
          <w:p w14:paraId="603FDCA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-0.76%</w:t>
            </w:r>
          </w:p>
        </w:tc>
      </w:tr>
      <w:tr w:rsidR="00DA5594" w:rsidRPr="00DA5594" w14:paraId="31D2686D" w14:textId="77777777" w:rsidTr="00C719BA">
        <w:trPr>
          <w:trHeight w:val="397"/>
        </w:trPr>
        <w:tc>
          <w:tcPr>
            <w:tcW w:w="356" w:type="pct"/>
            <w:shd w:val="clear" w:color="auto" w:fill="auto"/>
            <w:vAlign w:val="center"/>
          </w:tcPr>
          <w:p w14:paraId="09C29F44"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105</w:t>
            </w:r>
          </w:p>
        </w:tc>
        <w:tc>
          <w:tcPr>
            <w:tcW w:w="581" w:type="pct"/>
            <w:shd w:val="clear" w:color="auto" w:fill="auto"/>
            <w:vAlign w:val="center"/>
          </w:tcPr>
          <w:p w14:paraId="0A64B45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3,079</w:t>
            </w:r>
          </w:p>
        </w:tc>
        <w:tc>
          <w:tcPr>
            <w:tcW w:w="582" w:type="pct"/>
            <w:shd w:val="clear" w:color="auto" w:fill="auto"/>
            <w:vAlign w:val="center"/>
          </w:tcPr>
          <w:p w14:paraId="54684A9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0.71%</w:t>
            </w:r>
          </w:p>
        </w:tc>
        <w:tc>
          <w:tcPr>
            <w:tcW w:w="581" w:type="pct"/>
            <w:shd w:val="clear" w:color="auto" w:fill="auto"/>
            <w:vAlign w:val="center"/>
          </w:tcPr>
          <w:p w14:paraId="400392C0"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62,082</w:t>
            </w:r>
          </w:p>
        </w:tc>
        <w:tc>
          <w:tcPr>
            <w:tcW w:w="580" w:type="pct"/>
            <w:shd w:val="clear" w:color="auto" w:fill="auto"/>
            <w:vAlign w:val="center"/>
          </w:tcPr>
          <w:p w14:paraId="6421932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1.28%</w:t>
            </w:r>
          </w:p>
        </w:tc>
        <w:tc>
          <w:tcPr>
            <w:tcW w:w="580" w:type="pct"/>
            <w:shd w:val="clear" w:color="auto" w:fill="auto"/>
            <w:vAlign w:val="center"/>
          </w:tcPr>
          <w:p w14:paraId="77185E31"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4,392</w:t>
            </w:r>
          </w:p>
        </w:tc>
        <w:tc>
          <w:tcPr>
            <w:tcW w:w="581" w:type="pct"/>
            <w:shd w:val="clear" w:color="auto" w:fill="auto"/>
            <w:vAlign w:val="center"/>
          </w:tcPr>
          <w:p w14:paraId="7CE2821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1.00%</w:t>
            </w:r>
          </w:p>
        </w:tc>
        <w:tc>
          <w:tcPr>
            <w:tcW w:w="580" w:type="pct"/>
            <w:shd w:val="clear" w:color="auto" w:fill="auto"/>
            <w:vAlign w:val="center"/>
          </w:tcPr>
          <w:p w14:paraId="18A6D713"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69,553</w:t>
            </w:r>
          </w:p>
        </w:tc>
        <w:tc>
          <w:tcPr>
            <w:tcW w:w="579" w:type="pct"/>
            <w:shd w:val="clear" w:color="auto" w:fill="auto"/>
            <w:vAlign w:val="center"/>
          </w:tcPr>
          <w:p w14:paraId="5395B87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1.24%</w:t>
            </w:r>
          </w:p>
        </w:tc>
      </w:tr>
      <w:tr w:rsidR="00DA5594" w:rsidRPr="00DA5594" w14:paraId="001FFD9A" w14:textId="77777777" w:rsidTr="00C719BA">
        <w:trPr>
          <w:trHeight w:val="397"/>
        </w:trPr>
        <w:tc>
          <w:tcPr>
            <w:tcW w:w="356" w:type="pct"/>
            <w:shd w:val="clear" w:color="auto" w:fill="auto"/>
            <w:vAlign w:val="center"/>
          </w:tcPr>
          <w:p w14:paraId="6FFCE41A"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106</w:t>
            </w:r>
          </w:p>
        </w:tc>
        <w:tc>
          <w:tcPr>
            <w:tcW w:w="581" w:type="pct"/>
            <w:shd w:val="clear" w:color="auto" w:fill="auto"/>
            <w:vAlign w:val="center"/>
          </w:tcPr>
          <w:p w14:paraId="53C7B6B9"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1,980</w:t>
            </w:r>
          </w:p>
        </w:tc>
        <w:tc>
          <w:tcPr>
            <w:tcW w:w="582" w:type="pct"/>
            <w:shd w:val="clear" w:color="auto" w:fill="auto"/>
            <w:vAlign w:val="center"/>
          </w:tcPr>
          <w:p w14:paraId="2FB9CC0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-35.69%</w:t>
            </w:r>
          </w:p>
        </w:tc>
        <w:tc>
          <w:tcPr>
            <w:tcW w:w="581" w:type="pct"/>
            <w:shd w:val="clear" w:color="auto" w:fill="auto"/>
            <w:vAlign w:val="center"/>
          </w:tcPr>
          <w:p w14:paraId="05D4BC7A"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62,067</w:t>
            </w:r>
          </w:p>
        </w:tc>
        <w:tc>
          <w:tcPr>
            <w:tcW w:w="580" w:type="pct"/>
            <w:shd w:val="clear" w:color="auto" w:fill="auto"/>
            <w:vAlign w:val="center"/>
          </w:tcPr>
          <w:p w14:paraId="4D4F53E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-0.02%</w:t>
            </w:r>
          </w:p>
        </w:tc>
        <w:tc>
          <w:tcPr>
            <w:tcW w:w="580" w:type="pct"/>
            <w:shd w:val="clear" w:color="auto" w:fill="auto"/>
            <w:vAlign w:val="center"/>
          </w:tcPr>
          <w:p w14:paraId="7753D9D4"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4,489</w:t>
            </w:r>
          </w:p>
        </w:tc>
        <w:tc>
          <w:tcPr>
            <w:tcW w:w="581" w:type="pct"/>
            <w:shd w:val="clear" w:color="auto" w:fill="auto"/>
            <w:vAlign w:val="center"/>
          </w:tcPr>
          <w:p w14:paraId="66D88A55"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2.21%</w:t>
            </w:r>
          </w:p>
        </w:tc>
        <w:tc>
          <w:tcPr>
            <w:tcW w:w="580" w:type="pct"/>
            <w:shd w:val="clear" w:color="auto" w:fill="auto"/>
            <w:vAlign w:val="center"/>
          </w:tcPr>
          <w:p w14:paraId="1C3FC383"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68,536</w:t>
            </w:r>
          </w:p>
        </w:tc>
        <w:tc>
          <w:tcPr>
            <w:tcW w:w="579" w:type="pct"/>
            <w:shd w:val="clear" w:color="auto" w:fill="auto"/>
            <w:vAlign w:val="center"/>
          </w:tcPr>
          <w:p w14:paraId="553C29E4"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-1.46%</w:t>
            </w:r>
          </w:p>
        </w:tc>
      </w:tr>
      <w:tr w:rsidR="00DA5594" w:rsidRPr="00DA5594" w14:paraId="362B9FD8" w14:textId="77777777" w:rsidTr="00C719BA">
        <w:trPr>
          <w:trHeight w:val="397"/>
        </w:trPr>
        <w:tc>
          <w:tcPr>
            <w:tcW w:w="356" w:type="pct"/>
            <w:shd w:val="clear" w:color="auto" w:fill="auto"/>
            <w:vAlign w:val="center"/>
          </w:tcPr>
          <w:p w14:paraId="6650B464"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107</w:t>
            </w:r>
          </w:p>
        </w:tc>
        <w:tc>
          <w:tcPr>
            <w:tcW w:w="581" w:type="pct"/>
            <w:shd w:val="clear" w:color="auto" w:fill="auto"/>
            <w:vAlign w:val="center"/>
          </w:tcPr>
          <w:p w14:paraId="41254A0E"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1,890</w:t>
            </w:r>
          </w:p>
        </w:tc>
        <w:tc>
          <w:tcPr>
            <w:tcW w:w="582" w:type="pct"/>
            <w:shd w:val="clear" w:color="auto" w:fill="auto"/>
            <w:vAlign w:val="center"/>
          </w:tcPr>
          <w:p w14:paraId="4E96C843"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-4.55%</w:t>
            </w:r>
          </w:p>
        </w:tc>
        <w:tc>
          <w:tcPr>
            <w:tcW w:w="581" w:type="pct"/>
            <w:shd w:val="clear" w:color="auto" w:fill="auto"/>
            <w:vAlign w:val="center"/>
          </w:tcPr>
          <w:p w14:paraId="098D8FA1"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62,317</w:t>
            </w:r>
          </w:p>
        </w:tc>
        <w:tc>
          <w:tcPr>
            <w:tcW w:w="580" w:type="pct"/>
            <w:shd w:val="clear" w:color="auto" w:fill="auto"/>
            <w:vAlign w:val="center"/>
          </w:tcPr>
          <w:p w14:paraId="16CBCC70"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0.40%</w:t>
            </w:r>
          </w:p>
        </w:tc>
        <w:tc>
          <w:tcPr>
            <w:tcW w:w="580" w:type="pct"/>
            <w:shd w:val="clear" w:color="auto" w:fill="auto"/>
            <w:vAlign w:val="center"/>
          </w:tcPr>
          <w:p w14:paraId="236E99F7"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4,504</w:t>
            </w:r>
          </w:p>
        </w:tc>
        <w:tc>
          <w:tcPr>
            <w:tcW w:w="581" w:type="pct"/>
            <w:shd w:val="clear" w:color="auto" w:fill="auto"/>
            <w:vAlign w:val="center"/>
          </w:tcPr>
          <w:p w14:paraId="651551D3"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0.33%</w:t>
            </w:r>
          </w:p>
        </w:tc>
        <w:tc>
          <w:tcPr>
            <w:tcW w:w="580" w:type="pct"/>
            <w:shd w:val="clear" w:color="auto" w:fill="auto"/>
            <w:vAlign w:val="center"/>
          </w:tcPr>
          <w:p w14:paraId="7DF0F539"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68,711</w:t>
            </w:r>
          </w:p>
        </w:tc>
        <w:tc>
          <w:tcPr>
            <w:tcW w:w="579" w:type="pct"/>
            <w:shd w:val="clear" w:color="auto" w:fill="auto"/>
            <w:vAlign w:val="center"/>
          </w:tcPr>
          <w:p w14:paraId="1FFC894A"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0.25%</w:t>
            </w:r>
          </w:p>
        </w:tc>
      </w:tr>
      <w:tr w:rsidR="00DA5594" w:rsidRPr="00DA5594" w14:paraId="0055E8ED" w14:textId="77777777" w:rsidTr="00C719BA">
        <w:trPr>
          <w:trHeight w:val="397"/>
        </w:trPr>
        <w:tc>
          <w:tcPr>
            <w:tcW w:w="356" w:type="pct"/>
            <w:shd w:val="clear" w:color="auto" w:fill="auto"/>
            <w:vAlign w:val="center"/>
          </w:tcPr>
          <w:p w14:paraId="429FF1A4"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108</w:t>
            </w:r>
          </w:p>
        </w:tc>
        <w:tc>
          <w:tcPr>
            <w:tcW w:w="581" w:type="pct"/>
            <w:shd w:val="clear" w:color="auto" w:fill="auto"/>
            <w:vAlign w:val="center"/>
          </w:tcPr>
          <w:p w14:paraId="0D06080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2,052</w:t>
            </w:r>
          </w:p>
        </w:tc>
        <w:tc>
          <w:tcPr>
            <w:tcW w:w="582" w:type="pct"/>
            <w:shd w:val="clear" w:color="auto" w:fill="auto"/>
            <w:vAlign w:val="center"/>
          </w:tcPr>
          <w:p w14:paraId="3B6FD502"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8.60%</w:t>
            </w:r>
          </w:p>
        </w:tc>
        <w:tc>
          <w:tcPr>
            <w:tcW w:w="581" w:type="pct"/>
            <w:shd w:val="clear" w:color="auto" w:fill="auto"/>
            <w:vAlign w:val="center"/>
          </w:tcPr>
          <w:p w14:paraId="4C4B71F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61,878</w:t>
            </w:r>
          </w:p>
        </w:tc>
        <w:tc>
          <w:tcPr>
            <w:tcW w:w="580" w:type="pct"/>
            <w:shd w:val="clear" w:color="auto" w:fill="auto"/>
            <w:vAlign w:val="center"/>
          </w:tcPr>
          <w:p w14:paraId="0560BC99"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-0.70%</w:t>
            </w:r>
          </w:p>
        </w:tc>
        <w:tc>
          <w:tcPr>
            <w:tcW w:w="580" w:type="pct"/>
            <w:shd w:val="clear" w:color="auto" w:fill="auto"/>
            <w:vAlign w:val="center"/>
          </w:tcPr>
          <w:p w14:paraId="6B2FEA35"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4,330</w:t>
            </w:r>
          </w:p>
        </w:tc>
        <w:tc>
          <w:tcPr>
            <w:tcW w:w="581" w:type="pct"/>
            <w:shd w:val="clear" w:color="auto" w:fill="auto"/>
            <w:vAlign w:val="center"/>
          </w:tcPr>
          <w:p w14:paraId="2838EF0A"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-3.88%</w:t>
            </w:r>
          </w:p>
        </w:tc>
        <w:tc>
          <w:tcPr>
            <w:tcW w:w="580" w:type="pct"/>
            <w:shd w:val="clear" w:color="auto" w:fill="auto"/>
            <w:vAlign w:val="center"/>
          </w:tcPr>
          <w:p w14:paraId="2B3708C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68,260</w:t>
            </w:r>
          </w:p>
        </w:tc>
        <w:tc>
          <w:tcPr>
            <w:tcW w:w="579" w:type="pct"/>
            <w:shd w:val="clear" w:color="auto" w:fill="auto"/>
            <w:vAlign w:val="center"/>
          </w:tcPr>
          <w:p w14:paraId="7959AD2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-0.66%</w:t>
            </w:r>
          </w:p>
        </w:tc>
      </w:tr>
      <w:tr w:rsidR="00DA5594" w:rsidRPr="00DA5594" w14:paraId="3BD71D34" w14:textId="77777777" w:rsidTr="00C719BA">
        <w:trPr>
          <w:trHeight w:val="397"/>
        </w:trPr>
        <w:tc>
          <w:tcPr>
            <w:tcW w:w="356" w:type="pct"/>
            <w:shd w:val="clear" w:color="auto" w:fill="auto"/>
            <w:vAlign w:val="center"/>
          </w:tcPr>
          <w:p w14:paraId="7AD58185"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109</w:t>
            </w:r>
          </w:p>
        </w:tc>
        <w:tc>
          <w:tcPr>
            <w:tcW w:w="581" w:type="pct"/>
            <w:shd w:val="clear" w:color="auto" w:fill="auto"/>
            <w:vAlign w:val="center"/>
          </w:tcPr>
          <w:p w14:paraId="6BD6B8B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2,457</w:t>
            </w:r>
          </w:p>
        </w:tc>
        <w:tc>
          <w:tcPr>
            <w:tcW w:w="582" w:type="pct"/>
            <w:shd w:val="clear" w:color="auto" w:fill="auto"/>
            <w:vAlign w:val="center"/>
          </w:tcPr>
          <w:p w14:paraId="27790DD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19.69%</w:t>
            </w:r>
          </w:p>
        </w:tc>
        <w:tc>
          <w:tcPr>
            <w:tcW w:w="581" w:type="pct"/>
            <w:shd w:val="clear" w:color="auto" w:fill="auto"/>
            <w:vAlign w:val="center"/>
          </w:tcPr>
          <w:p w14:paraId="6A149DF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63,990</w:t>
            </w:r>
          </w:p>
        </w:tc>
        <w:tc>
          <w:tcPr>
            <w:tcW w:w="580" w:type="pct"/>
            <w:shd w:val="clear" w:color="auto" w:fill="auto"/>
            <w:vAlign w:val="center"/>
          </w:tcPr>
          <w:p w14:paraId="33FDC52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3.41%</w:t>
            </w:r>
          </w:p>
        </w:tc>
        <w:tc>
          <w:tcPr>
            <w:tcW w:w="580" w:type="pct"/>
            <w:shd w:val="clear" w:color="auto" w:fill="auto"/>
            <w:vAlign w:val="center"/>
          </w:tcPr>
          <w:p w14:paraId="2982607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4,334</w:t>
            </w:r>
          </w:p>
        </w:tc>
        <w:tc>
          <w:tcPr>
            <w:tcW w:w="581" w:type="pct"/>
            <w:shd w:val="clear" w:color="auto" w:fill="auto"/>
            <w:vAlign w:val="center"/>
          </w:tcPr>
          <w:p w14:paraId="09BC48A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0.09%</w:t>
            </w:r>
          </w:p>
        </w:tc>
        <w:tc>
          <w:tcPr>
            <w:tcW w:w="580" w:type="pct"/>
            <w:shd w:val="clear" w:color="auto" w:fill="auto"/>
            <w:vAlign w:val="center"/>
          </w:tcPr>
          <w:p w14:paraId="173C96E0"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70,781</w:t>
            </w:r>
          </w:p>
        </w:tc>
        <w:tc>
          <w:tcPr>
            <w:tcW w:w="579" w:type="pct"/>
            <w:shd w:val="clear" w:color="auto" w:fill="auto"/>
            <w:vAlign w:val="center"/>
          </w:tcPr>
          <w:p w14:paraId="0A74BF2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3.69%</w:t>
            </w:r>
          </w:p>
        </w:tc>
      </w:tr>
      <w:tr w:rsidR="00DA5594" w:rsidRPr="00DA5594" w14:paraId="6B448AD2" w14:textId="77777777" w:rsidTr="00C719BA">
        <w:trPr>
          <w:trHeight w:val="397"/>
        </w:trPr>
        <w:tc>
          <w:tcPr>
            <w:tcW w:w="356" w:type="pct"/>
            <w:shd w:val="clear" w:color="auto" w:fill="auto"/>
            <w:vAlign w:val="center"/>
          </w:tcPr>
          <w:p w14:paraId="46883765"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110</w:t>
            </w:r>
          </w:p>
        </w:tc>
        <w:tc>
          <w:tcPr>
            <w:tcW w:w="581" w:type="pct"/>
            <w:shd w:val="clear" w:color="auto" w:fill="auto"/>
            <w:vAlign w:val="center"/>
          </w:tcPr>
          <w:p w14:paraId="72C1FFE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2,105</w:t>
            </w:r>
          </w:p>
        </w:tc>
        <w:tc>
          <w:tcPr>
            <w:tcW w:w="582" w:type="pct"/>
            <w:shd w:val="clear" w:color="auto" w:fill="auto"/>
            <w:vAlign w:val="center"/>
          </w:tcPr>
          <w:p w14:paraId="1783DF99"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-14.31%</w:t>
            </w:r>
          </w:p>
        </w:tc>
        <w:tc>
          <w:tcPr>
            <w:tcW w:w="581" w:type="pct"/>
            <w:shd w:val="clear" w:color="auto" w:fill="auto"/>
            <w:vAlign w:val="center"/>
          </w:tcPr>
          <w:p w14:paraId="3925A28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65,504</w:t>
            </w:r>
          </w:p>
        </w:tc>
        <w:tc>
          <w:tcPr>
            <w:tcW w:w="580" w:type="pct"/>
            <w:shd w:val="clear" w:color="auto" w:fill="auto"/>
            <w:vAlign w:val="center"/>
          </w:tcPr>
          <w:p w14:paraId="73DA27B4"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2.37%</w:t>
            </w:r>
          </w:p>
        </w:tc>
        <w:tc>
          <w:tcPr>
            <w:tcW w:w="580" w:type="pct"/>
            <w:shd w:val="clear" w:color="auto" w:fill="auto"/>
            <w:vAlign w:val="center"/>
          </w:tcPr>
          <w:p w14:paraId="133229D7"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5,164</w:t>
            </w:r>
          </w:p>
        </w:tc>
        <w:tc>
          <w:tcPr>
            <w:tcW w:w="581" w:type="pct"/>
            <w:shd w:val="clear" w:color="auto" w:fill="auto"/>
            <w:vAlign w:val="center"/>
          </w:tcPr>
          <w:p w14:paraId="067BE3E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19.17%</w:t>
            </w:r>
          </w:p>
        </w:tc>
        <w:tc>
          <w:tcPr>
            <w:tcW w:w="580" w:type="pct"/>
            <w:shd w:val="clear" w:color="auto" w:fill="auto"/>
            <w:vAlign w:val="center"/>
          </w:tcPr>
          <w:p w14:paraId="59E3546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72,774</w:t>
            </w:r>
          </w:p>
        </w:tc>
        <w:tc>
          <w:tcPr>
            <w:tcW w:w="579" w:type="pct"/>
            <w:shd w:val="clear" w:color="auto" w:fill="auto"/>
            <w:vAlign w:val="center"/>
          </w:tcPr>
          <w:p w14:paraId="012B0AA8"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2.82%</w:t>
            </w:r>
          </w:p>
        </w:tc>
      </w:tr>
      <w:tr w:rsidR="00DA5594" w:rsidRPr="00DA5594" w14:paraId="0E50F281" w14:textId="77777777" w:rsidTr="00C719BA">
        <w:trPr>
          <w:trHeight w:val="397"/>
        </w:trPr>
        <w:tc>
          <w:tcPr>
            <w:tcW w:w="356" w:type="pct"/>
            <w:shd w:val="clear" w:color="auto" w:fill="auto"/>
            <w:vAlign w:val="center"/>
          </w:tcPr>
          <w:p w14:paraId="3F8E988B"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111</w:t>
            </w:r>
          </w:p>
        </w:tc>
        <w:tc>
          <w:tcPr>
            <w:tcW w:w="581" w:type="pct"/>
            <w:shd w:val="clear" w:color="auto" w:fill="auto"/>
            <w:vAlign w:val="center"/>
          </w:tcPr>
          <w:p w14:paraId="5C7EF46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1,147</w:t>
            </w:r>
          </w:p>
        </w:tc>
        <w:tc>
          <w:tcPr>
            <w:tcW w:w="582" w:type="pct"/>
            <w:shd w:val="clear" w:color="auto" w:fill="auto"/>
            <w:vAlign w:val="center"/>
          </w:tcPr>
          <w:p w14:paraId="0D73AA9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-45.50%</w:t>
            </w:r>
          </w:p>
        </w:tc>
        <w:tc>
          <w:tcPr>
            <w:tcW w:w="581" w:type="pct"/>
            <w:shd w:val="clear" w:color="auto" w:fill="auto"/>
            <w:vAlign w:val="center"/>
          </w:tcPr>
          <w:p w14:paraId="2964A7D8"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67,277</w:t>
            </w:r>
          </w:p>
        </w:tc>
        <w:tc>
          <w:tcPr>
            <w:tcW w:w="580" w:type="pct"/>
            <w:shd w:val="clear" w:color="auto" w:fill="auto"/>
            <w:vAlign w:val="center"/>
          </w:tcPr>
          <w:p w14:paraId="1587D167"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2.71%</w:t>
            </w:r>
          </w:p>
        </w:tc>
        <w:tc>
          <w:tcPr>
            <w:tcW w:w="580" w:type="pct"/>
            <w:shd w:val="clear" w:color="auto" w:fill="auto"/>
            <w:vAlign w:val="center"/>
          </w:tcPr>
          <w:p w14:paraId="16791E48"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5,955</w:t>
            </w:r>
          </w:p>
        </w:tc>
        <w:tc>
          <w:tcPr>
            <w:tcW w:w="581" w:type="pct"/>
            <w:shd w:val="clear" w:color="auto" w:fill="auto"/>
            <w:vAlign w:val="center"/>
          </w:tcPr>
          <w:p w14:paraId="3F8B7D08"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15.31%</w:t>
            </w:r>
          </w:p>
        </w:tc>
        <w:tc>
          <w:tcPr>
            <w:tcW w:w="580" w:type="pct"/>
            <w:shd w:val="clear" w:color="auto" w:fill="auto"/>
            <w:vAlign w:val="center"/>
          </w:tcPr>
          <w:p w14:paraId="654883AE"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74,380</w:t>
            </w:r>
          </w:p>
        </w:tc>
        <w:tc>
          <w:tcPr>
            <w:tcW w:w="579" w:type="pct"/>
            <w:shd w:val="clear" w:color="auto" w:fill="auto"/>
            <w:vAlign w:val="center"/>
          </w:tcPr>
          <w:p w14:paraId="29F09A01"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2.21%</w:t>
            </w:r>
          </w:p>
        </w:tc>
      </w:tr>
      <w:tr w:rsidR="00DA5594" w:rsidRPr="00DA5594" w14:paraId="71D1A518" w14:textId="77777777" w:rsidTr="00C719BA">
        <w:trPr>
          <w:trHeight w:val="397"/>
        </w:trPr>
        <w:tc>
          <w:tcPr>
            <w:tcW w:w="356" w:type="pct"/>
            <w:shd w:val="clear" w:color="auto" w:fill="auto"/>
            <w:vAlign w:val="center"/>
          </w:tcPr>
          <w:p w14:paraId="5274060B"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112</w:t>
            </w:r>
          </w:p>
        </w:tc>
        <w:tc>
          <w:tcPr>
            <w:tcW w:w="581" w:type="pct"/>
            <w:shd w:val="clear" w:color="auto" w:fill="auto"/>
            <w:vAlign w:val="center"/>
          </w:tcPr>
          <w:p w14:paraId="4818C344"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919</w:t>
            </w:r>
          </w:p>
        </w:tc>
        <w:tc>
          <w:tcPr>
            <w:tcW w:w="582" w:type="pct"/>
            <w:shd w:val="clear" w:color="auto" w:fill="auto"/>
            <w:vAlign w:val="center"/>
          </w:tcPr>
          <w:p w14:paraId="7907D76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-19.90%</w:t>
            </w:r>
          </w:p>
        </w:tc>
        <w:tc>
          <w:tcPr>
            <w:tcW w:w="581" w:type="pct"/>
            <w:shd w:val="clear" w:color="auto" w:fill="auto"/>
            <w:vAlign w:val="center"/>
          </w:tcPr>
          <w:p w14:paraId="3CE054A1"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68,481</w:t>
            </w:r>
          </w:p>
        </w:tc>
        <w:tc>
          <w:tcPr>
            <w:tcW w:w="580" w:type="pct"/>
            <w:shd w:val="clear" w:color="auto" w:fill="auto"/>
            <w:vAlign w:val="center"/>
          </w:tcPr>
          <w:p w14:paraId="051B6ADA"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1.79%</w:t>
            </w:r>
          </w:p>
        </w:tc>
        <w:tc>
          <w:tcPr>
            <w:tcW w:w="580" w:type="pct"/>
            <w:shd w:val="clear" w:color="auto" w:fill="auto"/>
            <w:vAlign w:val="center"/>
          </w:tcPr>
          <w:p w14:paraId="07DECFD1"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6,584</w:t>
            </w:r>
          </w:p>
        </w:tc>
        <w:tc>
          <w:tcPr>
            <w:tcW w:w="581" w:type="pct"/>
            <w:shd w:val="clear" w:color="auto" w:fill="auto"/>
            <w:vAlign w:val="center"/>
          </w:tcPr>
          <w:p w14:paraId="09D73542"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10.56%</w:t>
            </w:r>
          </w:p>
        </w:tc>
        <w:tc>
          <w:tcPr>
            <w:tcW w:w="580" w:type="pct"/>
            <w:shd w:val="clear" w:color="auto" w:fill="auto"/>
            <w:vAlign w:val="center"/>
          </w:tcPr>
          <w:p w14:paraId="2022DE8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75,984</w:t>
            </w:r>
          </w:p>
        </w:tc>
        <w:tc>
          <w:tcPr>
            <w:tcW w:w="579" w:type="pct"/>
            <w:shd w:val="clear" w:color="auto" w:fill="auto"/>
            <w:vAlign w:val="center"/>
          </w:tcPr>
          <w:p w14:paraId="74BF815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2.16%</w:t>
            </w:r>
          </w:p>
        </w:tc>
      </w:tr>
      <w:tr w:rsidR="00DA5594" w:rsidRPr="00DA5594" w14:paraId="62E60719" w14:textId="77777777" w:rsidTr="00C719BA">
        <w:trPr>
          <w:trHeight w:val="397"/>
        </w:trPr>
        <w:tc>
          <w:tcPr>
            <w:tcW w:w="356" w:type="pct"/>
            <w:shd w:val="clear" w:color="auto" w:fill="auto"/>
            <w:vAlign w:val="center"/>
          </w:tcPr>
          <w:p w14:paraId="12B77671"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113</w:t>
            </w:r>
          </w:p>
        </w:tc>
        <w:tc>
          <w:tcPr>
            <w:tcW w:w="581" w:type="pct"/>
            <w:shd w:val="clear" w:color="auto" w:fill="auto"/>
            <w:vAlign w:val="center"/>
          </w:tcPr>
          <w:p w14:paraId="2347961C"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726</w:t>
            </w:r>
          </w:p>
        </w:tc>
        <w:tc>
          <w:tcPr>
            <w:tcW w:w="582" w:type="pct"/>
            <w:shd w:val="clear" w:color="auto" w:fill="auto"/>
            <w:vAlign w:val="center"/>
          </w:tcPr>
          <w:p w14:paraId="0C566779"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-20.97%</w:t>
            </w:r>
          </w:p>
        </w:tc>
        <w:tc>
          <w:tcPr>
            <w:tcW w:w="581" w:type="pct"/>
            <w:shd w:val="clear" w:color="auto" w:fill="auto"/>
            <w:vAlign w:val="center"/>
          </w:tcPr>
          <w:p w14:paraId="69CC4261"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68,923</w:t>
            </w:r>
          </w:p>
        </w:tc>
        <w:tc>
          <w:tcPr>
            <w:tcW w:w="580" w:type="pct"/>
            <w:shd w:val="clear" w:color="auto" w:fill="auto"/>
            <w:vAlign w:val="center"/>
          </w:tcPr>
          <w:p w14:paraId="5C1B70A2"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0.65%</w:t>
            </w:r>
          </w:p>
        </w:tc>
        <w:tc>
          <w:tcPr>
            <w:tcW w:w="580" w:type="pct"/>
            <w:shd w:val="clear" w:color="auto" w:fill="auto"/>
            <w:vAlign w:val="center"/>
          </w:tcPr>
          <w:p w14:paraId="23BCD82F"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6,887</w:t>
            </w:r>
          </w:p>
        </w:tc>
        <w:tc>
          <w:tcPr>
            <w:tcW w:w="581" w:type="pct"/>
            <w:shd w:val="clear" w:color="auto" w:fill="auto"/>
            <w:vAlign w:val="center"/>
          </w:tcPr>
          <w:p w14:paraId="1EBE5B0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4.60%</w:t>
            </w:r>
          </w:p>
        </w:tc>
        <w:tc>
          <w:tcPr>
            <w:tcW w:w="580" w:type="pct"/>
            <w:shd w:val="clear" w:color="auto" w:fill="auto"/>
            <w:vAlign w:val="center"/>
          </w:tcPr>
          <w:p w14:paraId="07B771E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76,536</w:t>
            </w:r>
          </w:p>
        </w:tc>
        <w:tc>
          <w:tcPr>
            <w:tcW w:w="579" w:type="pct"/>
            <w:shd w:val="clear" w:color="auto" w:fill="auto"/>
            <w:vAlign w:val="center"/>
          </w:tcPr>
          <w:p w14:paraId="2399EB5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0.73%</w:t>
            </w:r>
          </w:p>
        </w:tc>
      </w:tr>
      <w:tr w:rsidR="00DA5594" w:rsidRPr="00DA5594" w14:paraId="28FB64E2" w14:textId="77777777" w:rsidTr="00C719BA">
        <w:trPr>
          <w:trHeight w:val="397"/>
        </w:trPr>
        <w:tc>
          <w:tcPr>
            <w:tcW w:w="356" w:type="pct"/>
            <w:shd w:val="clear" w:color="auto" w:fill="auto"/>
            <w:vAlign w:val="center"/>
          </w:tcPr>
          <w:p w14:paraId="2DAB4783" w14:textId="77777777" w:rsidR="00672041" w:rsidRPr="00DA5594" w:rsidRDefault="00672041" w:rsidP="00C719BA">
            <w:pPr>
              <w:pStyle w:val="2"/>
              <w:numPr>
                <w:ilvl w:val="0"/>
                <w:numId w:val="0"/>
              </w:numPr>
              <w:kinsoku/>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114</w:t>
            </w:r>
          </w:p>
        </w:tc>
        <w:tc>
          <w:tcPr>
            <w:tcW w:w="581" w:type="pct"/>
            <w:shd w:val="clear" w:color="auto" w:fill="auto"/>
            <w:vAlign w:val="center"/>
          </w:tcPr>
          <w:p w14:paraId="1EE348F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1,065</w:t>
            </w:r>
          </w:p>
        </w:tc>
        <w:tc>
          <w:tcPr>
            <w:tcW w:w="582" w:type="pct"/>
            <w:shd w:val="clear" w:color="auto" w:fill="auto"/>
            <w:vAlign w:val="center"/>
          </w:tcPr>
          <w:p w14:paraId="1073773D"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46.65%</w:t>
            </w:r>
          </w:p>
        </w:tc>
        <w:tc>
          <w:tcPr>
            <w:tcW w:w="581" w:type="pct"/>
            <w:shd w:val="clear" w:color="auto" w:fill="auto"/>
            <w:vAlign w:val="center"/>
          </w:tcPr>
          <w:p w14:paraId="38B21F86"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64,371</w:t>
            </w:r>
          </w:p>
        </w:tc>
        <w:tc>
          <w:tcPr>
            <w:tcW w:w="580" w:type="pct"/>
            <w:shd w:val="clear" w:color="auto" w:fill="auto"/>
            <w:vAlign w:val="center"/>
          </w:tcPr>
          <w:p w14:paraId="247032A5"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-6.60%</w:t>
            </w:r>
          </w:p>
        </w:tc>
        <w:tc>
          <w:tcPr>
            <w:tcW w:w="580" w:type="pct"/>
            <w:shd w:val="clear" w:color="auto" w:fill="auto"/>
            <w:vAlign w:val="center"/>
          </w:tcPr>
          <w:p w14:paraId="7F53AB0B"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7,242</w:t>
            </w:r>
          </w:p>
        </w:tc>
        <w:tc>
          <w:tcPr>
            <w:tcW w:w="581" w:type="pct"/>
            <w:shd w:val="clear" w:color="auto" w:fill="auto"/>
            <w:vAlign w:val="center"/>
          </w:tcPr>
          <w:p w14:paraId="47D5D3A9"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5.15%</w:t>
            </w:r>
          </w:p>
        </w:tc>
        <w:tc>
          <w:tcPr>
            <w:tcW w:w="580" w:type="pct"/>
            <w:shd w:val="clear" w:color="auto" w:fill="auto"/>
            <w:vAlign w:val="center"/>
          </w:tcPr>
          <w:p w14:paraId="7125CE3D"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72,678</w:t>
            </w:r>
          </w:p>
        </w:tc>
        <w:tc>
          <w:tcPr>
            <w:tcW w:w="579" w:type="pct"/>
            <w:shd w:val="clear" w:color="auto" w:fill="auto"/>
            <w:vAlign w:val="center"/>
          </w:tcPr>
          <w:p w14:paraId="5265DDD0" w14:textId="77777777" w:rsidR="00672041" w:rsidRPr="00DA5594" w:rsidRDefault="00672041" w:rsidP="00C719BA">
            <w:pPr>
              <w:pStyle w:val="2"/>
              <w:numPr>
                <w:ilvl w:val="0"/>
                <w:numId w:val="0"/>
              </w:numPr>
              <w:kinsoku/>
              <w:spacing w:line="300" w:lineRule="exact"/>
              <w:ind w:rightChars="26" w:right="88"/>
              <w:jc w:val="right"/>
              <w:rPr>
                <w:rFonts w:hAnsi="標楷體"/>
                <w:color w:val="000000" w:themeColor="text1"/>
                <w:spacing w:val="-20"/>
                <w:sz w:val="26"/>
                <w:szCs w:val="26"/>
              </w:rPr>
            </w:pPr>
            <w:r w:rsidRPr="00DA5594">
              <w:rPr>
                <w:rFonts w:hAnsi="標楷體"/>
                <w:color w:val="000000" w:themeColor="text1"/>
                <w:spacing w:val="-20"/>
                <w:sz w:val="26"/>
                <w:szCs w:val="26"/>
              </w:rPr>
              <w:t>-5.04%</w:t>
            </w:r>
          </w:p>
        </w:tc>
      </w:tr>
    </w:tbl>
    <w:p w14:paraId="4F59F04B" w14:textId="77777777" w:rsidR="00672041" w:rsidRPr="00DA5594" w:rsidRDefault="00672041" w:rsidP="00672041">
      <w:pPr>
        <w:pStyle w:val="af5"/>
        <w:spacing w:after="40"/>
        <w:rPr>
          <w:rFonts w:hAnsi="標楷體"/>
          <w:bCs/>
          <w:color w:val="000000" w:themeColor="text1"/>
          <w:spacing w:val="0"/>
        </w:rPr>
      </w:pPr>
      <w:r w:rsidRPr="00DA5594">
        <w:rPr>
          <w:rFonts w:hAnsi="標楷體" w:hint="eastAsia"/>
          <w:bCs/>
          <w:color w:val="000000" w:themeColor="text1"/>
          <w:spacing w:val="0"/>
        </w:rPr>
        <w:t>說明：</w:t>
      </w:r>
      <w:r w:rsidRPr="00DA5594">
        <w:rPr>
          <w:rFonts w:hAnsi="標楷體"/>
          <w:color w:val="000000" w:themeColor="text1"/>
          <w:szCs w:val="28"/>
        </w:rPr>
        <w:t>104至113年度為審定決算數；</w:t>
      </w:r>
      <w:proofErr w:type="gramStart"/>
      <w:r w:rsidRPr="00DA5594">
        <w:rPr>
          <w:rFonts w:hAnsi="標楷體"/>
          <w:color w:val="000000" w:themeColor="text1"/>
          <w:szCs w:val="28"/>
        </w:rPr>
        <w:t>114</w:t>
      </w:r>
      <w:proofErr w:type="gramEnd"/>
      <w:r w:rsidRPr="00DA5594">
        <w:rPr>
          <w:rFonts w:hAnsi="標楷體"/>
          <w:color w:val="000000" w:themeColor="text1"/>
          <w:szCs w:val="28"/>
        </w:rPr>
        <w:t>年度為截至12月底實際數</w:t>
      </w:r>
      <w:r w:rsidRPr="00DA5594">
        <w:rPr>
          <w:rFonts w:hAnsi="標楷體" w:hint="eastAsia"/>
          <w:bCs/>
          <w:color w:val="000000" w:themeColor="text1"/>
          <w:spacing w:val="0"/>
        </w:rPr>
        <w:t>。</w:t>
      </w:r>
    </w:p>
    <w:p w14:paraId="48643DF2" w14:textId="77777777" w:rsidR="00672041" w:rsidRPr="00DA5594" w:rsidRDefault="00672041" w:rsidP="00672041">
      <w:pPr>
        <w:pStyle w:val="af5"/>
        <w:rPr>
          <w:rFonts w:hAnsi="標楷體"/>
          <w:bCs/>
          <w:color w:val="000000" w:themeColor="text1"/>
        </w:rPr>
      </w:pPr>
      <w:r w:rsidRPr="00DA5594">
        <w:rPr>
          <w:rFonts w:hAnsi="標楷體" w:hint="eastAsia"/>
          <w:bCs/>
          <w:color w:val="000000" w:themeColor="text1"/>
        </w:rPr>
        <w:t>資料來源：財政部提供本院資料。</w:t>
      </w:r>
    </w:p>
    <w:p w14:paraId="48A93871" w14:textId="69058F74" w:rsidR="00672041" w:rsidRPr="00DA5594" w:rsidRDefault="00672041" w:rsidP="004A61EE">
      <w:pPr>
        <w:pStyle w:val="a3"/>
        <w:keepLines/>
        <w:ind w:left="680" w:hanging="680"/>
        <w:rPr>
          <w:rFonts w:hAnsi="標楷體"/>
          <w:color w:val="000000" w:themeColor="text1"/>
        </w:rPr>
      </w:pPr>
      <w:r w:rsidRPr="00DA5594">
        <w:rPr>
          <w:rFonts w:hAnsi="標楷體"/>
          <w:color w:val="000000" w:themeColor="text1"/>
        </w:rPr>
        <w:t>10</w:t>
      </w:r>
      <w:r w:rsidRPr="00DA5594">
        <w:rPr>
          <w:rFonts w:hAnsi="標楷體" w:hint="eastAsia"/>
          <w:color w:val="000000" w:themeColor="text1"/>
        </w:rPr>
        <w:t>4</w:t>
      </w:r>
      <w:r w:rsidRPr="00DA5594">
        <w:rPr>
          <w:rFonts w:hAnsi="標楷體"/>
          <w:color w:val="000000" w:themeColor="text1"/>
        </w:rPr>
        <w:t>至11</w:t>
      </w:r>
      <w:r w:rsidRPr="00DA5594">
        <w:rPr>
          <w:rFonts w:hAnsi="標楷體" w:hint="eastAsia"/>
          <w:color w:val="000000" w:themeColor="text1"/>
        </w:rPr>
        <w:t>4</w:t>
      </w:r>
      <w:r w:rsidRPr="00DA5594">
        <w:rPr>
          <w:rFonts w:hAnsi="標楷體"/>
          <w:color w:val="000000" w:themeColor="text1"/>
        </w:rPr>
        <w:t>年度中央政府</w:t>
      </w:r>
      <w:proofErr w:type="gramStart"/>
      <w:r w:rsidRPr="00DA5594">
        <w:rPr>
          <w:rFonts w:hAnsi="標楷體"/>
          <w:color w:val="000000" w:themeColor="text1"/>
        </w:rPr>
        <w:t>未償</w:t>
      </w:r>
      <w:proofErr w:type="gramEnd"/>
      <w:r w:rsidRPr="00DA5594">
        <w:rPr>
          <w:rFonts w:hAnsi="標楷體"/>
          <w:color w:val="000000" w:themeColor="text1"/>
        </w:rPr>
        <w:t>債務餘額及國債鐘資料表</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415"/>
        <w:gridCol w:w="1134"/>
        <w:gridCol w:w="1421"/>
        <w:gridCol w:w="2962"/>
      </w:tblGrid>
      <w:tr w:rsidR="00DA5594" w:rsidRPr="00DA5594" w14:paraId="767448F4" w14:textId="77777777" w:rsidTr="00CE4454">
        <w:trPr>
          <w:trHeight w:val="440"/>
          <w:tblHeader/>
        </w:trPr>
        <w:tc>
          <w:tcPr>
            <w:tcW w:w="1111" w:type="pct"/>
            <w:vMerge w:val="restart"/>
            <w:shd w:val="clear" w:color="auto" w:fill="F2F2F2"/>
            <w:vAlign w:val="bottom"/>
          </w:tcPr>
          <w:p w14:paraId="742259B9" w14:textId="77777777" w:rsidR="004A61EE" w:rsidRPr="00DA5594" w:rsidRDefault="004A61EE" w:rsidP="00CE4454">
            <w:pPr>
              <w:pStyle w:val="2"/>
              <w:numPr>
                <w:ilvl w:val="0"/>
                <w:numId w:val="0"/>
              </w:numPr>
              <w:kinsoku/>
              <w:adjustRightInd w:val="0"/>
              <w:snapToGrid w:val="0"/>
              <w:spacing w:line="280" w:lineRule="exact"/>
              <w:jc w:val="right"/>
              <w:rPr>
                <w:rFonts w:hAnsi="標楷體"/>
                <w:color w:val="000000" w:themeColor="text1"/>
                <w:spacing w:val="-20"/>
                <w:sz w:val="28"/>
                <w:szCs w:val="28"/>
              </w:rPr>
            </w:pPr>
            <w:r w:rsidRPr="00DA5594">
              <w:rPr>
                <w:rFonts w:hAnsi="標楷體" w:hint="eastAsia"/>
                <w:color w:val="000000" w:themeColor="text1"/>
                <w:spacing w:val="-20"/>
                <w:sz w:val="28"/>
                <w:szCs w:val="28"/>
              </w:rPr>
              <w:t>項目</w:t>
            </w:r>
          </w:p>
          <w:p w14:paraId="64D8F861" w14:textId="77777777" w:rsidR="004A61EE" w:rsidRPr="00DA5594" w:rsidRDefault="004A61EE" w:rsidP="00CE4454">
            <w:pPr>
              <w:pStyle w:val="2"/>
              <w:numPr>
                <w:ilvl w:val="0"/>
                <w:numId w:val="0"/>
              </w:numPr>
              <w:kinsoku/>
              <w:adjustRightInd w:val="0"/>
              <w:snapToGrid w:val="0"/>
              <w:spacing w:line="280" w:lineRule="exact"/>
              <w:rPr>
                <w:rFonts w:hAnsi="標楷體"/>
                <w:color w:val="000000" w:themeColor="text1"/>
                <w:spacing w:val="-20"/>
                <w:sz w:val="28"/>
                <w:szCs w:val="28"/>
              </w:rPr>
            </w:pPr>
          </w:p>
          <w:p w14:paraId="72BD89E9" w14:textId="77777777" w:rsidR="004A61EE" w:rsidRPr="00DA5594" w:rsidRDefault="004A61EE" w:rsidP="00CE4454">
            <w:pPr>
              <w:pStyle w:val="2"/>
              <w:numPr>
                <w:ilvl w:val="0"/>
                <w:numId w:val="0"/>
              </w:numPr>
              <w:kinsoku/>
              <w:adjustRightInd w:val="0"/>
              <w:snapToGrid w:val="0"/>
              <w:spacing w:line="280" w:lineRule="exact"/>
              <w:rPr>
                <w:rFonts w:hAnsi="標楷體"/>
                <w:color w:val="000000" w:themeColor="text1"/>
                <w:spacing w:val="-20"/>
                <w:sz w:val="28"/>
                <w:szCs w:val="28"/>
              </w:rPr>
            </w:pPr>
            <w:r w:rsidRPr="00DA5594">
              <w:rPr>
                <w:rFonts w:hAnsi="標楷體" w:hint="eastAsia"/>
                <w:color w:val="000000" w:themeColor="text1"/>
                <w:spacing w:val="-20"/>
                <w:sz w:val="28"/>
                <w:szCs w:val="28"/>
              </w:rPr>
              <w:t>截至日期</w:t>
            </w:r>
          </w:p>
        </w:tc>
        <w:tc>
          <w:tcPr>
            <w:tcW w:w="2227" w:type="pct"/>
            <w:gridSpan w:val="3"/>
            <w:shd w:val="clear" w:color="auto" w:fill="F2F2F2"/>
            <w:vAlign w:val="center"/>
          </w:tcPr>
          <w:p w14:paraId="6C60A654" w14:textId="77777777" w:rsidR="004A61EE" w:rsidRPr="00DA5594" w:rsidRDefault="004A61EE" w:rsidP="00CE4454">
            <w:pPr>
              <w:pStyle w:val="2"/>
              <w:numPr>
                <w:ilvl w:val="0"/>
                <w:numId w:val="0"/>
              </w:numPr>
              <w:kinsoku/>
              <w:adjustRightInd w:val="0"/>
              <w:snapToGrid w:val="0"/>
              <w:spacing w:line="280" w:lineRule="exact"/>
              <w:jc w:val="center"/>
              <w:rPr>
                <w:rFonts w:hAnsi="標楷體"/>
                <w:color w:val="000000" w:themeColor="text1"/>
                <w:spacing w:val="-20"/>
                <w:sz w:val="28"/>
                <w:szCs w:val="28"/>
              </w:rPr>
            </w:pPr>
            <w:r w:rsidRPr="00DA5594">
              <w:rPr>
                <w:rFonts w:hAnsi="標楷體"/>
                <w:color w:val="000000" w:themeColor="text1"/>
                <w:spacing w:val="-20"/>
                <w:sz w:val="28"/>
                <w:szCs w:val="28"/>
              </w:rPr>
              <w:t>中央政府</w:t>
            </w:r>
            <w:proofErr w:type="gramStart"/>
            <w:r w:rsidRPr="00DA5594">
              <w:rPr>
                <w:rFonts w:hAnsi="標楷體"/>
                <w:color w:val="000000" w:themeColor="text1"/>
                <w:spacing w:val="-20"/>
                <w:sz w:val="28"/>
                <w:szCs w:val="28"/>
              </w:rPr>
              <w:t>未償</w:t>
            </w:r>
            <w:proofErr w:type="gramEnd"/>
            <w:r w:rsidRPr="00DA5594">
              <w:rPr>
                <w:rFonts w:hAnsi="標楷體"/>
                <w:color w:val="000000" w:themeColor="text1"/>
                <w:spacing w:val="-20"/>
                <w:sz w:val="28"/>
                <w:szCs w:val="28"/>
              </w:rPr>
              <w:t>債務餘額(億元)</w:t>
            </w:r>
          </w:p>
        </w:tc>
        <w:tc>
          <w:tcPr>
            <w:tcW w:w="1662" w:type="pct"/>
            <w:vMerge w:val="restart"/>
            <w:shd w:val="clear" w:color="auto" w:fill="F2F2F2"/>
            <w:vAlign w:val="center"/>
          </w:tcPr>
          <w:p w14:paraId="52D9D9ED" w14:textId="77777777" w:rsidR="004A61EE" w:rsidRPr="00DA5594" w:rsidRDefault="004A61EE" w:rsidP="00CE4454">
            <w:pPr>
              <w:pStyle w:val="2"/>
              <w:numPr>
                <w:ilvl w:val="0"/>
                <w:numId w:val="0"/>
              </w:numPr>
              <w:kinsoku/>
              <w:adjustRightInd w:val="0"/>
              <w:snapToGrid w:val="0"/>
              <w:spacing w:line="320" w:lineRule="exact"/>
              <w:jc w:val="center"/>
              <w:rPr>
                <w:rFonts w:hAnsi="標楷體"/>
                <w:color w:val="000000" w:themeColor="text1"/>
                <w:spacing w:val="-20"/>
                <w:sz w:val="28"/>
                <w:szCs w:val="28"/>
              </w:rPr>
            </w:pPr>
            <w:r w:rsidRPr="00DA5594">
              <w:rPr>
                <w:rFonts w:hAnsi="標楷體"/>
                <w:color w:val="000000" w:themeColor="text1"/>
                <w:spacing w:val="-20"/>
                <w:sz w:val="28"/>
                <w:szCs w:val="28"/>
              </w:rPr>
              <w:t>國債鐘資料(萬元)</w:t>
            </w:r>
          </w:p>
          <w:p w14:paraId="0A8A4B38" w14:textId="77777777" w:rsidR="004A61EE" w:rsidRPr="00DA5594" w:rsidRDefault="004A61EE" w:rsidP="00CE4454">
            <w:pPr>
              <w:pStyle w:val="2"/>
              <w:numPr>
                <w:ilvl w:val="0"/>
                <w:numId w:val="0"/>
              </w:numPr>
              <w:kinsoku/>
              <w:adjustRightInd w:val="0"/>
              <w:snapToGrid w:val="0"/>
              <w:spacing w:line="320" w:lineRule="exact"/>
              <w:jc w:val="center"/>
              <w:rPr>
                <w:rFonts w:hAnsi="標楷體"/>
                <w:color w:val="000000" w:themeColor="text1"/>
                <w:spacing w:val="-20"/>
                <w:sz w:val="28"/>
                <w:szCs w:val="28"/>
              </w:rPr>
            </w:pPr>
            <w:r w:rsidRPr="00DA5594">
              <w:rPr>
                <w:rFonts w:hAnsi="標楷體"/>
                <w:color w:val="000000" w:themeColor="text1"/>
                <w:spacing w:val="-20"/>
                <w:sz w:val="28"/>
                <w:szCs w:val="28"/>
              </w:rPr>
              <w:t>平均每人負擔債務</w:t>
            </w:r>
          </w:p>
        </w:tc>
      </w:tr>
      <w:tr w:rsidR="00DA5594" w:rsidRPr="00DA5594" w14:paraId="4B761D8C" w14:textId="77777777" w:rsidTr="00CE4454">
        <w:trPr>
          <w:trHeight w:val="397"/>
          <w:tblHeader/>
        </w:trPr>
        <w:tc>
          <w:tcPr>
            <w:tcW w:w="1111" w:type="pct"/>
            <w:vMerge/>
            <w:shd w:val="clear" w:color="auto" w:fill="F2F2F2"/>
            <w:vAlign w:val="center"/>
          </w:tcPr>
          <w:p w14:paraId="661FBFE2" w14:textId="77777777" w:rsidR="004A61EE" w:rsidRPr="00DA5594" w:rsidRDefault="004A61EE" w:rsidP="00CE4454">
            <w:pPr>
              <w:pStyle w:val="2"/>
              <w:numPr>
                <w:ilvl w:val="0"/>
                <w:numId w:val="0"/>
              </w:numPr>
              <w:kinsoku/>
              <w:adjustRightInd w:val="0"/>
              <w:snapToGrid w:val="0"/>
              <w:spacing w:line="280" w:lineRule="exact"/>
              <w:jc w:val="center"/>
              <w:rPr>
                <w:rFonts w:hAnsi="標楷體"/>
                <w:color w:val="000000" w:themeColor="text1"/>
                <w:spacing w:val="-20"/>
                <w:sz w:val="28"/>
                <w:szCs w:val="28"/>
              </w:rPr>
            </w:pPr>
          </w:p>
        </w:tc>
        <w:tc>
          <w:tcPr>
            <w:tcW w:w="794" w:type="pct"/>
            <w:shd w:val="clear" w:color="auto" w:fill="F2F2F2"/>
            <w:vAlign w:val="center"/>
          </w:tcPr>
          <w:p w14:paraId="6B113C0E" w14:textId="77777777" w:rsidR="004A61EE" w:rsidRPr="00DA5594" w:rsidRDefault="004A61EE" w:rsidP="00CE4454">
            <w:pPr>
              <w:pStyle w:val="2"/>
              <w:numPr>
                <w:ilvl w:val="0"/>
                <w:numId w:val="0"/>
              </w:numPr>
              <w:kinsoku/>
              <w:adjustRightInd w:val="0"/>
              <w:snapToGrid w:val="0"/>
              <w:spacing w:line="280" w:lineRule="exact"/>
              <w:jc w:val="center"/>
              <w:rPr>
                <w:rFonts w:hAnsi="標楷體"/>
                <w:color w:val="000000" w:themeColor="text1"/>
                <w:spacing w:val="-20"/>
                <w:sz w:val="28"/>
                <w:szCs w:val="28"/>
              </w:rPr>
            </w:pPr>
            <w:r w:rsidRPr="00DA5594">
              <w:rPr>
                <w:rFonts w:hAnsi="標楷體"/>
                <w:color w:val="000000" w:themeColor="text1"/>
                <w:spacing w:val="-20"/>
                <w:sz w:val="28"/>
                <w:szCs w:val="28"/>
              </w:rPr>
              <w:t>1年以上</w:t>
            </w:r>
          </w:p>
        </w:tc>
        <w:tc>
          <w:tcPr>
            <w:tcW w:w="636" w:type="pct"/>
            <w:shd w:val="clear" w:color="auto" w:fill="F2F2F2"/>
            <w:vAlign w:val="center"/>
          </w:tcPr>
          <w:p w14:paraId="0F39E810" w14:textId="77777777" w:rsidR="004A61EE" w:rsidRPr="00DA5594" w:rsidRDefault="004A61EE" w:rsidP="00CE4454">
            <w:pPr>
              <w:pStyle w:val="2"/>
              <w:numPr>
                <w:ilvl w:val="0"/>
                <w:numId w:val="0"/>
              </w:numPr>
              <w:kinsoku/>
              <w:adjustRightInd w:val="0"/>
              <w:snapToGrid w:val="0"/>
              <w:spacing w:line="280" w:lineRule="exact"/>
              <w:jc w:val="center"/>
              <w:rPr>
                <w:rFonts w:hAnsi="標楷體"/>
                <w:color w:val="000000" w:themeColor="text1"/>
                <w:spacing w:val="-20"/>
                <w:sz w:val="28"/>
                <w:szCs w:val="28"/>
              </w:rPr>
            </w:pPr>
            <w:r w:rsidRPr="00DA5594">
              <w:rPr>
                <w:rFonts w:hAnsi="標楷體"/>
                <w:color w:val="000000" w:themeColor="text1"/>
                <w:spacing w:val="-20"/>
                <w:sz w:val="28"/>
                <w:szCs w:val="28"/>
              </w:rPr>
              <w:t>短期</w:t>
            </w:r>
          </w:p>
        </w:tc>
        <w:tc>
          <w:tcPr>
            <w:tcW w:w="797" w:type="pct"/>
            <w:shd w:val="clear" w:color="auto" w:fill="F2F2F2"/>
            <w:vAlign w:val="center"/>
          </w:tcPr>
          <w:p w14:paraId="3B8874C5" w14:textId="77777777" w:rsidR="004A61EE" w:rsidRPr="00DA5594" w:rsidRDefault="004A61EE" w:rsidP="00CE4454">
            <w:pPr>
              <w:pStyle w:val="2"/>
              <w:numPr>
                <w:ilvl w:val="0"/>
                <w:numId w:val="0"/>
              </w:numPr>
              <w:kinsoku/>
              <w:adjustRightInd w:val="0"/>
              <w:snapToGrid w:val="0"/>
              <w:spacing w:line="28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合計</w:t>
            </w:r>
          </w:p>
        </w:tc>
        <w:tc>
          <w:tcPr>
            <w:tcW w:w="1662" w:type="pct"/>
            <w:vMerge/>
            <w:shd w:val="clear" w:color="auto" w:fill="F2F2F2"/>
            <w:vAlign w:val="center"/>
          </w:tcPr>
          <w:p w14:paraId="7CF483ED" w14:textId="77777777" w:rsidR="004A61EE" w:rsidRPr="00DA5594" w:rsidRDefault="004A61EE" w:rsidP="00CE4454">
            <w:pPr>
              <w:pStyle w:val="2"/>
              <w:numPr>
                <w:ilvl w:val="0"/>
                <w:numId w:val="0"/>
              </w:numPr>
              <w:kinsoku/>
              <w:adjustRightInd w:val="0"/>
              <w:snapToGrid w:val="0"/>
              <w:spacing w:line="280" w:lineRule="exact"/>
              <w:jc w:val="center"/>
              <w:rPr>
                <w:rFonts w:hAnsi="標楷體"/>
                <w:color w:val="000000" w:themeColor="text1"/>
                <w:spacing w:val="-20"/>
                <w:sz w:val="28"/>
                <w:szCs w:val="28"/>
              </w:rPr>
            </w:pPr>
          </w:p>
        </w:tc>
      </w:tr>
      <w:tr w:rsidR="00DA5594" w:rsidRPr="00DA5594" w14:paraId="4060214F" w14:textId="77777777" w:rsidTr="00CE4454">
        <w:trPr>
          <w:trHeight w:val="397"/>
        </w:trPr>
        <w:tc>
          <w:tcPr>
            <w:tcW w:w="1111" w:type="pct"/>
            <w:shd w:val="clear" w:color="auto" w:fill="auto"/>
            <w:vAlign w:val="center"/>
          </w:tcPr>
          <w:p w14:paraId="0D5866D8"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104年12月31日</w:t>
            </w:r>
          </w:p>
        </w:tc>
        <w:tc>
          <w:tcPr>
            <w:tcW w:w="794" w:type="pct"/>
            <w:shd w:val="clear" w:color="auto" w:fill="auto"/>
            <w:vAlign w:val="center"/>
          </w:tcPr>
          <w:p w14:paraId="136E1DED"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53,129</w:t>
            </w:r>
          </w:p>
        </w:tc>
        <w:tc>
          <w:tcPr>
            <w:tcW w:w="636" w:type="pct"/>
            <w:shd w:val="clear" w:color="auto" w:fill="auto"/>
            <w:vAlign w:val="center"/>
          </w:tcPr>
          <w:p w14:paraId="027EBC15"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1,340</w:t>
            </w:r>
          </w:p>
        </w:tc>
        <w:tc>
          <w:tcPr>
            <w:tcW w:w="797" w:type="pct"/>
            <w:shd w:val="clear" w:color="auto" w:fill="auto"/>
            <w:vAlign w:val="center"/>
          </w:tcPr>
          <w:p w14:paraId="530220D5"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54,469</w:t>
            </w:r>
          </w:p>
        </w:tc>
        <w:tc>
          <w:tcPr>
            <w:tcW w:w="1662" w:type="pct"/>
            <w:shd w:val="clear" w:color="auto" w:fill="auto"/>
            <w:vAlign w:val="center"/>
          </w:tcPr>
          <w:p w14:paraId="13B275DB"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23.2</w:t>
            </w:r>
          </w:p>
        </w:tc>
      </w:tr>
      <w:tr w:rsidR="00DA5594" w:rsidRPr="00DA5594" w14:paraId="4A492759" w14:textId="77777777" w:rsidTr="00CE4454">
        <w:trPr>
          <w:trHeight w:val="397"/>
        </w:trPr>
        <w:tc>
          <w:tcPr>
            <w:tcW w:w="1111" w:type="pct"/>
            <w:shd w:val="clear" w:color="auto" w:fill="auto"/>
            <w:vAlign w:val="center"/>
          </w:tcPr>
          <w:p w14:paraId="42EAA9DE"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105年12月31日</w:t>
            </w:r>
          </w:p>
        </w:tc>
        <w:tc>
          <w:tcPr>
            <w:tcW w:w="794" w:type="pct"/>
            <w:shd w:val="clear" w:color="auto" w:fill="auto"/>
            <w:vAlign w:val="center"/>
          </w:tcPr>
          <w:p w14:paraId="3F837F24"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53,258</w:t>
            </w:r>
          </w:p>
        </w:tc>
        <w:tc>
          <w:tcPr>
            <w:tcW w:w="636" w:type="pct"/>
            <w:shd w:val="clear" w:color="auto" w:fill="auto"/>
            <w:vAlign w:val="center"/>
          </w:tcPr>
          <w:p w14:paraId="32B16B96"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1,429</w:t>
            </w:r>
          </w:p>
        </w:tc>
        <w:tc>
          <w:tcPr>
            <w:tcW w:w="797" w:type="pct"/>
            <w:shd w:val="clear" w:color="auto" w:fill="auto"/>
            <w:vAlign w:val="center"/>
          </w:tcPr>
          <w:p w14:paraId="5B79155C"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54,687</w:t>
            </w:r>
          </w:p>
        </w:tc>
        <w:tc>
          <w:tcPr>
            <w:tcW w:w="1662" w:type="pct"/>
            <w:shd w:val="clear" w:color="auto" w:fill="auto"/>
            <w:vAlign w:val="center"/>
          </w:tcPr>
          <w:p w14:paraId="4F354948"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23.2</w:t>
            </w:r>
          </w:p>
        </w:tc>
      </w:tr>
      <w:tr w:rsidR="00DA5594" w:rsidRPr="00DA5594" w14:paraId="4E4605F4" w14:textId="77777777" w:rsidTr="00CE4454">
        <w:trPr>
          <w:trHeight w:val="397"/>
        </w:trPr>
        <w:tc>
          <w:tcPr>
            <w:tcW w:w="1111" w:type="pct"/>
            <w:shd w:val="clear" w:color="auto" w:fill="auto"/>
            <w:vAlign w:val="center"/>
          </w:tcPr>
          <w:p w14:paraId="73775327"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106年12月31日</w:t>
            </w:r>
          </w:p>
        </w:tc>
        <w:tc>
          <w:tcPr>
            <w:tcW w:w="794" w:type="pct"/>
            <w:shd w:val="clear" w:color="auto" w:fill="auto"/>
            <w:vAlign w:val="center"/>
          </w:tcPr>
          <w:p w14:paraId="43BDE67F"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53,615</w:t>
            </w:r>
          </w:p>
        </w:tc>
        <w:tc>
          <w:tcPr>
            <w:tcW w:w="636" w:type="pct"/>
            <w:shd w:val="clear" w:color="auto" w:fill="auto"/>
            <w:vAlign w:val="center"/>
          </w:tcPr>
          <w:p w14:paraId="67405C31"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430</w:t>
            </w:r>
          </w:p>
        </w:tc>
        <w:tc>
          <w:tcPr>
            <w:tcW w:w="797" w:type="pct"/>
            <w:shd w:val="clear" w:color="auto" w:fill="auto"/>
            <w:vAlign w:val="center"/>
          </w:tcPr>
          <w:p w14:paraId="2B1DBDA3"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54,045</w:t>
            </w:r>
          </w:p>
        </w:tc>
        <w:tc>
          <w:tcPr>
            <w:tcW w:w="1662" w:type="pct"/>
            <w:shd w:val="clear" w:color="auto" w:fill="auto"/>
            <w:vAlign w:val="center"/>
          </w:tcPr>
          <w:p w14:paraId="2F00D707"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22.9</w:t>
            </w:r>
          </w:p>
        </w:tc>
      </w:tr>
      <w:tr w:rsidR="00DA5594" w:rsidRPr="00DA5594" w14:paraId="5C3D34A4" w14:textId="77777777" w:rsidTr="00CE4454">
        <w:trPr>
          <w:trHeight w:val="397"/>
        </w:trPr>
        <w:tc>
          <w:tcPr>
            <w:tcW w:w="1111" w:type="pct"/>
            <w:shd w:val="clear" w:color="auto" w:fill="auto"/>
            <w:vAlign w:val="center"/>
          </w:tcPr>
          <w:p w14:paraId="6F5F3662"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color w:val="000000" w:themeColor="text1"/>
                <w:spacing w:val="-20"/>
                <w:sz w:val="28"/>
                <w:szCs w:val="28"/>
              </w:rPr>
              <w:t>107</w:t>
            </w:r>
            <w:r w:rsidRPr="00DA5594">
              <w:rPr>
                <w:rFonts w:hAnsi="標楷體" w:hint="eastAsia"/>
                <w:color w:val="000000" w:themeColor="text1"/>
                <w:spacing w:val="-20"/>
                <w:sz w:val="28"/>
                <w:szCs w:val="28"/>
              </w:rPr>
              <w:t>年12月31日</w:t>
            </w:r>
          </w:p>
        </w:tc>
        <w:tc>
          <w:tcPr>
            <w:tcW w:w="794" w:type="pct"/>
            <w:shd w:val="clear" w:color="auto" w:fill="auto"/>
            <w:vAlign w:val="center"/>
          </w:tcPr>
          <w:p w14:paraId="32B63827"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53,121</w:t>
            </w:r>
          </w:p>
        </w:tc>
        <w:tc>
          <w:tcPr>
            <w:tcW w:w="636" w:type="pct"/>
            <w:shd w:val="clear" w:color="auto" w:fill="auto"/>
            <w:vAlign w:val="center"/>
          </w:tcPr>
          <w:p w14:paraId="1394EF09"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510</w:t>
            </w:r>
          </w:p>
        </w:tc>
        <w:tc>
          <w:tcPr>
            <w:tcW w:w="797" w:type="pct"/>
            <w:shd w:val="clear" w:color="auto" w:fill="auto"/>
            <w:vAlign w:val="center"/>
          </w:tcPr>
          <w:p w14:paraId="53A2EEF4"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53,631</w:t>
            </w:r>
          </w:p>
        </w:tc>
        <w:tc>
          <w:tcPr>
            <w:tcW w:w="1662" w:type="pct"/>
            <w:shd w:val="clear" w:color="auto" w:fill="auto"/>
            <w:vAlign w:val="center"/>
          </w:tcPr>
          <w:p w14:paraId="2CB5F9CF"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22.7</w:t>
            </w:r>
          </w:p>
        </w:tc>
      </w:tr>
      <w:tr w:rsidR="00DA5594" w:rsidRPr="00DA5594" w14:paraId="1E9A4666" w14:textId="77777777" w:rsidTr="00CE4454">
        <w:trPr>
          <w:trHeight w:val="397"/>
        </w:trPr>
        <w:tc>
          <w:tcPr>
            <w:tcW w:w="1111" w:type="pct"/>
            <w:shd w:val="clear" w:color="auto" w:fill="auto"/>
            <w:vAlign w:val="center"/>
          </w:tcPr>
          <w:p w14:paraId="33196B7E"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color w:val="000000" w:themeColor="text1"/>
                <w:spacing w:val="-20"/>
                <w:sz w:val="28"/>
                <w:szCs w:val="28"/>
              </w:rPr>
              <w:t>108</w:t>
            </w:r>
            <w:r w:rsidRPr="00DA5594">
              <w:rPr>
                <w:rFonts w:hAnsi="標楷體" w:hint="eastAsia"/>
                <w:color w:val="000000" w:themeColor="text1"/>
                <w:spacing w:val="-20"/>
                <w:sz w:val="28"/>
                <w:szCs w:val="28"/>
              </w:rPr>
              <w:t>年12月31日</w:t>
            </w:r>
          </w:p>
        </w:tc>
        <w:tc>
          <w:tcPr>
            <w:tcW w:w="794" w:type="pct"/>
            <w:shd w:val="clear" w:color="auto" w:fill="auto"/>
            <w:vAlign w:val="center"/>
          </w:tcPr>
          <w:p w14:paraId="713D9A89"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53,158</w:t>
            </w:r>
          </w:p>
        </w:tc>
        <w:tc>
          <w:tcPr>
            <w:tcW w:w="636" w:type="pct"/>
            <w:shd w:val="clear" w:color="auto" w:fill="auto"/>
            <w:vAlign w:val="center"/>
          </w:tcPr>
          <w:p w14:paraId="635E6AD6"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650</w:t>
            </w:r>
          </w:p>
        </w:tc>
        <w:tc>
          <w:tcPr>
            <w:tcW w:w="797" w:type="pct"/>
            <w:shd w:val="clear" w:color="auto" w:fill="auto"/>
            <w:vAlign w:val="center"/>
          </w:tcPr>
          <w:p w14:paraId="38357154"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53,808</w:t>
            </w:r>
          </w:p>
        </w:tc>
        <w:tc>
          <w:tcPr>
            <w:tcW w:w="1662" w:type="pct"/>
            <w:shd w:val="clear" w:color="auto" w:fill="auto"/>
            <w:vAlign w:val="center"/>
          </w:tcPr>
          <w:p w14:paraId="75497855"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22.8</w:t>
            </w:r>
          </w:p>
        </w:tc>
      </w:tr>
      <w:tr w:rsidR="00DA5594" w:rsidRPr="00DA5594" w14:paraId="0A728BEF" w14:textId="77777777" w:rsidTr="00CE4454">
        <w:trPr>
          <w:trHeight w:val="397"/>
        </w:trPr>
        <w:tc>
          <w:tcPr>
            <w:tcW w:w="1111" w:type="pct"/>
            <w:shd w:val="clear" w:color="auto" w:fill="auto"/>
            <w:vAlign w:val="center"/>
          </w:tcPr>
          <w:p w14:paraId="1F8B71BA"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color w:val="000000" w:themeColor="text1"/>
                <w:spacing w:val="-20"/>
                <w:sz w:val="28"/>
                <w:szCs w:val="28"/>
              </w:rPr>
              <w:t>109</w:t>
            </w:r>
            <w:r w:rsidRPr="00DA5594">
              <w:rPr>
                <w:rFonts w:hAnsi="標楷體" w:hint="eastAsia"/>
                <w:color w:val="000000" w:themeColor="text1"/>
                <w:spacing w:val="-20"/>
                <w:sz w:val="28"/>
                <w:szCs w:val="28"/>
              </w:rPr>
              <w:t>年12月31日</w:t>
            </w:r>
          </w:p>
        </w:tc>
        <w:tc>
          <w:tcPr>
            <w:tcW w:w="794" w:type="pct"/>
            <w:shd w:val="clear" w:color="auto" w:fill="auto"/>
            <w:vAlign w:val="center"/>
          </w:tcPr>
          <w:p w14:paraId="4396A8AA"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54,778</w:t>
            </w:r>
          </w:p>
        </w:tc>
        <w:tc>
          <w:tcPr>
            <w:tcW w:w="636" w:type="pct"/>
            <w:shd w:val="clear" w:color="auto" w:fill="auto"/>
            <w:vAlign w:val="center"/>
          </w:tcPr>
          <w:p w14:paraId="05D14F2A"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1,250</w:t>
            </w:r>
          </w:p>
        </w:tc>
        <w:tc>
          <w:tcPr>
            <w:tcW w:w="797" w:type="pct"/>
            <w:shd w:val="clear" w:color="auto" w:fill="auto"/>
            <w:vAlign w:val="center"/>
          </w:tcPr>
          <w:p w14:paraId="49D6A3B9"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56,028</w:t>
            </w:r>
          </w:p>
        </w:tc>
        <w:tc>
          <w:tcPr>
            <w:tcW w:w="1662" w:type="pct"/>
            <w:shd w:val="clear" w:color="auto" w:fill="auto"/>
            <w:vAlign w:val="center"/>
          </w:tcPr>
          <w:p w14:paraId="4A53C327"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23.8</w:t>
            </w:r>
          </w:p>
        </w:tc>
      </w:tr>
      <w:tr w:rsidR="00DA5594" w:rsidRPr="00DA5594" w14:paraId="46874F77" w14:textId="77777777" w:rsidTr="00CE4454">
        <w:trPr>
          <w:trHeight w:val="397"/>
        </w:trPr>
        <w:tc>
          <w:tcPr>
            <w:tcW w:w="1111" w:type="pct"/>
            <w:shd w:val="clear" w:color="auto" w:fill="auto"/>
            <w:vAlign w:val="center"/>
          </w:tcPr>
          <w:p w14:paraId="676EFE5A"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color w:val="000000" w:themeColor="text1"/>
                <w:spacing w:val="-20"/>
                <w:sz w:val="28"/>
                <w:szCs w:val="28"/>
              </w:rPr>
              <w:t>110</w:t>
            </w:r>
            <w:r w:rsidRPr="00DA5594">
              <w:rPr>
                <w:rFonts w:hAnsi="標楷體" w:hint="eastAsia"/>
                <w:color w:val="000000" w:themeColor="text1"/>
                <w:spacing w:val="-20"/>
                <w:sz w:val="28"/>
                <w:szCs w:val="28"/>
              </w:rPr>
              <w:t>年12月31日</w:t>
            </w:r>
          </w:p>
        </w:tc>
        <w:tc>
          <w:tcPr>
            <w:tcW w:w="794" w:type="pct"/>
            <w:shd w:val="clear" w:color="auto" w:fill="auto"/>
            <w:vAlign w:val="center"/>
          </w:tcPr>
          <w:p w14:paraId="2820BB2F"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56,948</w:t>
            </w:r>
          </w:p>
        </w:tc>
        <w:tc>
          <w:tcPr>
            <w:tcW w:w="636" w:type="pct"/>
            <w:shd w:val="clear" w:color="auto" w:fill="auto"/>
            <w:vAlign w:val="center"/>
          </w:tcPr>
          <w:p w14:paraId="0AB9B08D"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1,150</w:t>
            </w:r>
          </w:p>
        </w:tc>
        <w:tc>
          <w:tcPr>
            <w:tcW w:w="797" w:type="pct"/>
            <w:shd w:val="clear" w:color="auto" w:fill="auto"/>
            <w:vAlign w:val="center"/>
          </w:tcPr>
          <w:p w14:paraId="10B6C6BA"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58,098</w:t>
            </w:r>
          </w:p>
        </w:tc>
        <w:tc>
          <w:tcPr>
            <w:tcW w:w="1662" w:type="pct"/>
            <w:shd w:val="clear" w:color="auto" w:fill="auto"/>
            <w:vAlign w:val="center"/>
          </w:tcPr>
          <w:p w14:paraId="4EF27535"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24.8</w:t>
            </w:r>
          </w:p>
        </w:tc>
      </w:tr>
      <w:tr w:rsidR="00DA5594" w:rsidRPr="00DA5594" w14:paraId="47FABD8A" w14:textId="77777777" w:rsidTr="00CE4454">
        <w:trPr>
          <w:trHeight w:val="397"/>
        </w:trPr>
        <w:tc>
          <w:tcPr>
            <w:tcW w:w="1111" w:type="pct"/>
            <w:shd w:val="clear" w:color="auto" w:fill="auto"/>
            <w:vAlign w:val="center"/>
          </w:tcPr>
          <w:p w14:paraId="50006092"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color w:val="000000" w:themeColor="text1"/>
                <w:spacing w:val="-20"/>
                <w:sz w:val="28"/>
                <w:szCs w:val="28"/>
              </w:rPr>
              <w:t>111</w:t>
            </w:r>
            <w:r w:rsidRPr="00DA5594">
              <w:rPr>
                <w:rFonts w:hAnsi="標楷體" w:hint="eastAsia"/>
                <w:color w:val="000000" w:themeColor="text1"/>
                <w:spacing w:val="-20"/>
                <w:sz w:val="28"/>
                <w:szCs w:val="28"/>
              </w:rPr>
              <w:t>年12月31日</w:t>
            </w:r>
          </w:p>
        </w:tc>
        <w:tc>
          <w:tcPr>
            <w:tcW w:w="794" w:type="pct"/>
            <w:shd w:val="clear" w:color="auto" w:fill="auto"/>
            <w:vAlign w:val="center"/>
          </w:tcPr>
          <w:p w14:paraId="3985A0CC"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56,998</w:t>
            </w:r>
          </w:p>
        </w:tc>
        <w:tc>
          <w:tcPr>
            <w:tcW w:w="636" w:type="pct"/>
            <w:shd w:val="clear" w:color="auto" w:fill="auto"/>
            <w:vAlign w:val="center"/>
          </w:tcPr>
          <w:p w14:paraId="56769131"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300</w:t>
            </w:r>
          </w:p>
        </w:tc>
        <w:tc>
          <w:tcPr>
            <w:tcW w:w="797" w:type="pct"/>
            <w:shd w:val="clear" w:color="auto" w:fill="auto"/>
            <w:vAlign w:val="center"/>
          </w:tcPr>
          <w:p w14:paraId="1DACF1E6"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57,298</w:t>
            </w:r>
          </w:p>
        </w:tc>
        <w:tc>
          <w:tcPr>
            <w:tcW w:w="1662" w:type="pct"/>
            <w:shd w:val="clear" w:color="auto" w:fill="auto"/>
            <w:vAlign w:val="center"/>
          </w:tcPr>
          <w:p w14:paraId="0EC8CA04"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24.7</w:t>
            </w:r>
          </w:p>
        </w:tc>
      </w:tr>
      <w:tr w:rsidR="00DA5594" w:rsidRPr="00DA5594" w14:paraId="2BE99B6D" w14:textId="77777777" w:rsidTr="00CE4454">
        <w:trPr>
          <w:trHeight w:val="397"/>
        </w:trPr>
        <w:tc>
          <w:tcPr>
            <w:tcW w:w="1111" w:type="pct"/>
            <w:shd w:val="clear" w:color="auto" w:fill="auto"/>
            <w:vAlign w:val="center"/>
          </w:tcPr>
          <w:p w14:paraId="794638E9"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112年12月31日</w:t>
            </w:r>
          </w:p>
        </w:tc>
        <w:tc>
          <w:tcPr>
            <w:tcW w:w="794" w:type="pct"/>
            <w:shd w:val="clear" w:color="auto" w:fill="auto"/>
            <w:vAlign w:val="center"/>
          </w:tcPr>
          <w:p w14:paraId="1602446C"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58,188</w:t>
            </w:r>
          </w:p>
        </w:tc>
        <w:tc>
          <w:tcPr>
            <w:tcW w:w="636" w:type="pct"/>
            <w:shd w:val="clear" w:color="auto" w:fill="auto"/>
            <w:vAlign w:val="center"/>
          </w:tcPr>
          <w:p w14:paraId="7007ADC9"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300</w:t>
            </w:r>
          </w:p>
        </w:tc>
        <w:tc>
          <w:tcPr>
            <w:tcW w:w="797" w:type="pct"/>
            <w:shd w:val="clear" w:color="auto" w:fill="auto"/>
            <w:vAlign w:val="center"/>
          </w:tcPr>
          <w:p w14:paraId="71A2EDF4"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58,488</w:t>
            </w:r>
          </w:p>
        </w:tc>
        <w:tc>
          <w:tcPr>
            <w:tcW w:w="1662" w:type="pct"/>
            <w:shd w:val="clear" w:color="auto" w:fill="auto"/>
            <w:vAlign w:val="center"/>
          </w:tcPr>
          <w:p w14:paraId="128FA640"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25.0</w:t>
            </w:r>
          </w:p>
        </w:tc>
      </w:tr>
      <w:tr w:rsidR="00DA5594" w:rsidRPr="00DA5594" w14:paraId="214717F9" w14:textId="77777777" w:rsidTr="00CE4454">
        <w:trPr>
          <w:trHeight w:val="397"/>
        </w:trPr>
        <w:tc>
          <w:tcPr>
            <w:tcW w:w="1111" w:type="pct"/>
            <w:shd w:val="clear" w:color="auto" w:fill="auto"/>
            <w:vAlign w:val="center"/>
          </w:tcPr>
          <w:p w14:paraId="3BFC6496"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113年12月31日</w:t>
            </w:r>
          </w:p>
        </w:tc>
        <w:tc>
          <w:tcPr>
            <w:tcW w:w="794" w:type="pct"/>
            <w:shd w:val="clear" w:color="auto" w:fill="auto"/>
            <w:vAlign w:val="center"/>
          </w:tcPr>
          <w:p w14:paraId="5CABACFA"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58,580</w:t>
            </w:r>
          </w:p>
        </w:tc>
        <w:tc>
          <w:tcPr>
            <w:tcW w:w="636" w:type="pct"/>
            <w:shd w:val="clear" w:color="auto" w:fill="auto"/>
            <w:vAlign w:val="center"/>
          </w:tcPr>
          <w:p w14:paraId="4117CE88"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300</w:t>
            </w:r>
          </w:p>
        </w:tc>
        <w:tc>
          <w:tcPr>
            <w:tcW w:w="797" w:type="pct"/>
            <w:shd w:val="clear" w:color="auto" w:fill="auto"/>
            <w:vAlign w:val="center"/>
          </w:tcPr>
          <w:p w14:paraId="495B1DD5"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58,880</w:t>
            </w:r>
          </w:p>
        </w:tc>
        <w:tc>
          <w:tcPr>
            <w:tcW w:w="1662" w:type="pct"/>
            <w:shd w:val="clear" w:color="auto" w:fill="auto"/>
            <w:vAlign w:val="center"/>
          </w:tcPr>
          <w:p w14:paraId="479459D5"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25.2</w:t>
            </w:r>
          </w:p>
        </w:tc>
      </w:tr>
      <w:tr w:rsidR="00DA5594" w:rsidRPr="00DA5594" w14:paraId="03BB9316" w14:textId="77777777" w:rsidTr="00CE4454">
        <w:trPr>
          <w:trHeight w:val="397"/>
        </w:trPr>
        <w:tc>
          <w:tcPr>
            <w:tcW w:w="1111" w:type="pct"/>
            <w:shd w:val="clear" w:color="auto" w:fill="auto"/>
            <w:vAlign w:val="center"/>
          </w:tcPr>
          <w:p w14:paraId="3F6F6BE5" w14:textId="77777777" w:rsidR="004A61EE" w:rsidRPr="00DA5594" w:rsidRDefault="004A61EE" w:rsidP="00CE4454">
            <w:pPr>
              <w:pStyle w:val="2"/>
              <w:numPr>
                <w:ilvl w:val="0"/>
                <w:numId w:val="0"/>
              </w:numPr>
              <w:kinsoku/>
              <w:adjustRightInd w:val="0"/>
              <w:snapToGrid w:val="0"/>
              <w:spacing w:line="300" w:lineRule="exact"/>
              <w:jc w:val="center"/>
              <w:rPr>
                <w:rFonts w:hAnsi="標楷體"/>
                <w:color w:val="000000" w:themeColor="text1"/>
                <w:spacing w:val="-20"/>
                <w:sz w:val="28"/>
                <w:szCs w:val="28"/>
              </w:rPr>
            </w:pPr>
            <w:r w:rsidRPr="00DA5594">
              <w:rPr>
                <w:rFonts w:hAnsi="標楷體" w:hint="eastAsia"/>
                <w:color w:val="000000" w:themeColor="text1"/>
                <w:spacing w:val="-20"/>
                <w:sz w:val="28"/>
                <w:szCs w:val="28"/>
              </w:rPr>
              <w:t>114年12月31日</w:t>
            </w:r>
          </w:p>
        </w:tc>
        <w:tc>
          <w:tcPr>
            <w:tcW w:w="794" w:type="pct"/>
            <w:shd w:val="clear" w:color="auto" w:fill="auto"/>
            <w:vAlign w:val="center"/>
          </w:tcPr>
          <w:p w14:paraId="308B1220"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58,379</w:t>
            </w:r>
          </w:p>
        </w:tc>
        <w:tc>
          <w:tcPr>
            <w:tcW w:w="636" w:type="pct"/>
            <w:shd w:val="clear" w:color="auto" w:fill="auto"/>
            <w:vAlign w:val="center"/>
          </w:tcPr>
          <w:p w14:paraId="6243189C"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700</w:t>
            </w:r>
          </w:p>
        </w:tc>
        <w:tc>
          <w:tcPr>
            <w:tcW w:w="797" w:type="pct"/>
            <w:shd w:val="clear" w:color="auto" w:fill="auto"/>
            <w:vAlign w:val="center"/>
          </w:tcPr>
          <w:p w14:paraId="43140159" w14:textId="77777777" w:rsidR="004A61EE" w:rsidRPr="00DA5594" w:rsidRDefault="004A61EE" w:rsidP="00CE4454">
            <w:pPr>
              <w:pStyle w:val="2"/>
              <w:numPr>
                <w:ilvl w:val="0"/>
                <w:numId w:val="0"/>
              </w:numPr>
              <w:kinsoku/>
              <w:adjustRightInd w:val="0"/>
              <w:snapToGrid w:val="0"/>
              <w:spacing w:line="300" w:lineRule="exact"/>
              <w:ind w:rightChars="31" w:right="105"/>
              <w:jc w:val="right"/>
              <w:rPr>
                <w:rFonts w:hAnsi="標楷體"/>
                <w:color w:val="000000" w:themeColor="text1"/>
                <w:spacing w:val="-20"/>
                <w:sz w:val="28"/>
                <w:szCs w:val="28"/>
              </w:rPr>
            </w:pPr>
            <w:r w:rsidRPr="00DA5594">
              <w:rPr>
                <w:rFonts w:hAnsi="標楷體"/>
                <w:color w:val="000000" w:themeColor="text1"/>
                <w:spacing w:val="-20"/>
                <w:sz w:val="28"/>
                <w:szCs w:val="28"/>
              </w:rPr>
              <w:t>59,079</w:t>
            </w:r>
          </w:p>
        </w:tc>
        <w:tc>
          <w:tcPr>
            <w:tcW w:w="1662" w:type="pct"/>
            <w:shd w:val="clear" w:color="auto" w:fill="auto"/>
            <w:vAlign w:val="center"/>
          </w:tcPr>
          <w:p w14:paraId="718483A7" w14:textId="77777777" w:rsidR="004A61EE" w:rsidRPr="00DA5594" w:rsidRDefault="004A61EE" w:rsidP="00CE4454">
            <w:pPr>
              <w:pStyle w:val="2"/>
              <w:numPr>
                <w:ilvl w:val="0"/>
                <w:numId w:val="0"/>
              </w:numPr>
              <w:kinsoku/>
              <w:adjustRightInd w:val="0"/>
              <w:snapToGrid w:val="0"/>
              <w:spacing w:line="300" w:lineRule="exact"/>
              <w:ind w:rightChars="31" w:right="105"/>
              <w:jc w:val="center"/>
              <w:rPr>
                <w:rFonts w:hAnsi="標楷體"/>
                <w:color w:val="000000" w:themeColor="text1"/>
                <w:spacing w:val="-20"/>
                <w:sz w:val="28"/>
                <w:szCs w:val="28"/>
              </w:rPr>
            </w:pPr>
            <w:r w:rsidRPr="00DA5594">
              <w:rPr>
                <w:rFonts w:hAnsi="標楷體"/>
                <w:color w:val="000000" w:themeColor="text1"/>
                <w:spacing w:val="-20"/>
                <w:sz w:val="28"/>
                <w:szCs w:val="28"/>
              </w:rPr>
              <w:t>25.3</w:t>
            </w:r>
          </w:p>
        </w:tc>
      </w:tr>
    </w:tbl>
    <w:p w14:paraId="17103F60" w14:textId="77777777" w:rsidR="00672041" w:rsidRPr="00DA5594" w:rsidRDefault="00672041" w:rsidP="00672041">
      <w:pPr>
        <w:pStyle w:val="af5"/>
        <w:rPr>
          <w:rFonts w:hAnsi="標楷體"/>
          <w:bCs/>
          <w:color w:val="000000" w:themeColor="text1"/>
        </w:rPr>
      </w:pPr>
      <w:r w:rsidRPr="00DA5594">
        <w:rPr>
          <w:rFonts w:hAnsi="標楷體" w:hint="eastAsia"/>
          <w:bCs/>
          <w:color w:val="000000" w:themeColor="text1"/>
        </w:rPr>
        <w:t>資料來源：財政部提供本院資料。</w:t>
      </w:r>
    </w:p>
    <w:p w14:paraId="523C6197" w14:textId="2CE9DCD4" w:rsidR="0001190C" w:rsidRPr="00DA5594" w:rsidRDefault="0001190C" w:rsidP="004D7091">
      <w:pPr>
        <w:pStyle w:val="3"/>
        <w:rPr>
          <w:color w:val="000000" w:themeColor="text1"/>
        </w:rPr>
      </w:pPr>
      <w:r w:rsidRPr="00DA5594">
        <w:rPr>
          <w:color w:val="000000" w:themeColor="text1"/>
        </w:rPr>
        <w:t>是</w:t>
      </w:r>
      <w:proofErr w:type="gramStart"/>
      <w:r w:rsidRPr="00DA5594">
        <w:rPr>
          <w:color w:val="000000" w:themeColor="text1"/>
        </w:rPr>
        <w:t>以</w:t>
      </w:r>
      <w:proofErr w:type="gramEnd"/>
      <w:r w:rsidRPr="00DA5594">
        <w:rPr>
          <w:color w:val="000000" w:themeColor="text1"/>
        </w:rPr>
        <w:t>，當年度若因稅收實徵數高於預算，而減少原本總預算預定舉借數額，政府整體財政空間即相對</w:t>
      </w:r>
      <w:r w:rsidRPr="00DA5594">
        <w:rPr>
          <w:color w:val="000000" w:themeColor="text1"/>
        </w:rPr>
        <w:lastRenderedPageBreak/>
        <w:t>增加；</w:t>
      </w:r>
      <w:r w:rsidRPr="00DA5594">
        <w:rPr>
          <w:color w:val="000000" w:themeColor="text1"/>
          <w:u w:val="single"/>
        </w:rPr>
        <w:t>本院諮詢專家學者另指出，社會近年對「</w:t>
      </w:r>
      <w:r w:rsidR="007801CA" w:rsidRPr="00DA5594">
        <w:rPr>
          <w:color w:val="000000" w:themeColor="text1"/>
          <w:u w:val="single"/>
        </w:rPr>
        <w:t>稅收</w:t>
      </w:r>
      <w:r w:rsidRPr="00DA5594">
        <w:rPr>
          <w:color w:val="000000" w:themeColor="text1"/>
          <w:u w:val="single"/>
        </w:rPr>
        <w:t>超徵」之爭議，部分亦源於民眾未能完整理解國家整體財政運作。</w:t>
      </w:r>
      <w:r w:rsidRPr="00DA5594">
        <w:rPr>
          <w:color w:val="000000" w:themeColor="text1"/>
        </w:rPr>
        <w:t>實際上，中央政府</w:t>
      </w:r>
      <w:r w:rsidRPr="00DA5594">
        <w:rPr>
          <w:color w:val="000000" w:themeColor="text1"/>
          <w:u w:val="single"/>
        </w:rPr>
        <w:t>即使年度歲入高於預算，整體財政仍可能存在歲出壓力及長期債務負擔</w:t>
      </w:r>
      <w:r w:rsidRPr="00DA5594">
        <w:rPr>
          <w:color w:val="000000" w:themeColor="text1"/>
        </w:rPr>
        <w:t>；而部分</w:t>
      </w:r>
      <w:r w:rsidR="00AC24AB" w:rsidRPr="00DA5594">
        <w:rPr>
          <w:color w:val="000000" w:themeColor="text1"/>
        </w:rPr>
        <w:t>稅收實徵數高於預算</w:t>
      </w:r>
      <w:r w:rsidR="00AC24AB" w:rsidRPr="00DA5594">
        <w:rPr>
          <w:rFonts w:hint="eastAsia"/>
          <w:color w:val="000000" w:themeColor="text1"/>
        </w:rPr>
        <w:t>部分</w:t>
      </w:r>
      <w:r w:rsidRPr="00DA5594">
        <w:rPr>
          <w:color w:val="000000" w:themeColor="text1"/>
        </w:rPr>
        <w:t>可能僅係短期景氣循環、資本市場熱絡或特定產業獲利擴張所形成，未必具有長期穩定性。</w:t>
      </w:r>
      <w:r w:rsidRPr="00DA5594">
        <w:rPr>
          <w:color w:val="000000" w:themeColor="text1"/>
          <w:u w:val="single"/>
        </w:rPr>
        <w:t>若將所有</w:t>
      </w:r>
      <w:r w:rsidR="00AC24AB" w:rsidRPr="00DA5594">
        <w:rPr>
          <w:color w:val="000000" w:themeColor="text1"/>
          <w:u w:val="single"/>
        </w:rPr>
        <w:t>稅收實徵數高於預算</w:t>
      </w:r>
      <w:r w:rsidR="00AC24AB" w:rsidRPr="00DA5594">
        <w:rPr>
          <w:rFonts w:hint="eastAsia"/>
          <w:color w:val="000000" w:themeColor="text1"/>
          <w:u w:val="single"/>
        </w:rPr>
        <w:t>部分</w:t>
      </w:r>
      <w:r w:rsidRPr="00DA5594">
        <w:rPr>
          <w:color w:val="000000" w:themeColor="text1"/>
          <w:u w:val="single"/>
        </w:rPr>
        <w:t>均視為「政府多收的錢」</w:t>
      </w:r>
      <w:r w:rsidRPr="00DA5594">
        <w:rPr>
          <w:color w:val="000000" w:themeColor="text1"/>
        </w:rPr>
        <w:t>或主張應全面「</w:t>
      </w:r>
      <w:proofErr w:type="gramStart"/>
      <w:r w:rsidRPr="00DA5594">
        <w:rPr>
          <w:color w:val="000000" w:themeColor="text1"/>
        </w:rPr>
        <w:t>還稅於</w:t>
      </w:r>
      <w:proofErr w:type="gramEnd"/>
      <w:r w:rsidRPr="00DA5594">
        <w:rPr>
          <w:color w:val="000000" w:themeColor="text1"/>
        </w:rPr>
        <w:t>民」，恐</w:t>
      </w:r>
      <w:r w:rsidRPr="00DA5594">
        <w:rPr>
          <w:color w:val="000000" w:themeColor="text1"/>
          <w:u w:val="single"/>
        </w:rPr>
        <w:t>過度簡化財政問題，忽略國家</w:t>
      </w:r>
      <w:r w:rsidR="00661675" w:rsidRPr="00DA5594">
        <w:rPr>
          <w:rFonts w:hint="eastAsia"/>
          <w:color w:val="000000" w:themeColor="text1"/>
          <w:u w:val="single"/>
        </w:rPr>
        <w:t>因應</w:t>
      </w:r>
      <w:r w:rsidRPr="00DA5594">
        <w:rPr>
          <w:color w:val="000000" w:themeColor="text1"/>
          <w:u w:val="single"/>
        </w:rPr>
        <w:t>長期基礎建設、社會保險、人口老化、國防安全及重大公共建設等跨年度財政需求</w:t>
      </w:r>
      <w:r w:rsidRPr="00DA5594">
        <w:rPr>
          <w:color w:val="000000" w:themeColor="text1"/>
        </w:rPr>
        <w:t>。</w:t>
      </w:r>
      <w:r w:rsidR="00CD1632" w:rsidRPr="00DA5594">
        <w:rPr>
          <w:rFonts w:hint="eastAsia"/>
          <w:color w:val="000000" w:themeColor="text1"/>
        </w:rPr>
        <w:t>又本院諮詢</w:t>
      </w:r>
      <w:r w:rsidRPr="00DA5594">
        <w:rPr>
          <w:color w:val="000000" w:themeColor="text1"/>
        </w:rPr>
        <w:t>學者亦認為，政府既長期存在大幅高於預算之歲入執行情形，即</w:t>
      </w:r>
      <w:r w:rsidRPr="00DA5594">
        <w:rPr>
          <w:color w:val="000000" w:themeColor="text1"/>
          <w:u w:val="single"/>
        </w:rPr>
        <w:t>應建立更明確透明之制度規範，</w:t>
      </w:r>
      <w:r w:rsidR="00D124F6" w:rsidRPr="00DA5594">
        <w:rPr>
          <w:rFonts w:hint="eastAsia"/>
          <w:color w:val="000000" w:themeColor="text1"/>
          <w:u w:val="single"/>
        </w:rPr>
        <w:t>例如</w:t>
      </w:r>
      <w:proofErr w:type="gramStart"/>
      <w:r w:rsidR="00D124F6" w:rsidRPr="00DA5594">
        <w:rPr>
          <w:color w:val="000000" w:themeColor="text1"/>
          <w:u w:val="single"/>
        </w:rPr>
        <w:t>研</w:t>
      </w:r>
      <w:proofErr w:type="gramEnd"/>
      <w:r w:rsidR="00D124F6" w:rsidRPr="00DA5594">
        <w:rPr>
          <w:color w:val="000000" w:themeColor="text1"/>
          <w:u w:val="single"/>
        </w:rPr>
        <w:t>議建立超過一定合理預測區間之歲入，自動優先撥入債務還本基金或償債專戶之制度</w:t>
      </w:r>
      <w:r w:rsidR="00D124F6" w:rsidRPr="00DA5594">
        <w:rPr>
          <w:rFonts w:hint="eastAsia"/>
          <w:color w:val="000000" w:themeColor="text1"/>
          <w:u w:val="single"/>
        </w:rPr>
        <w:t>等，包括</w:t>
      </w:r>
      <w:r w:rsidRPr="00DA5594">
        <w:rPr>
          <w:color w:val="000000" w:themeColor="text1"/>
          <w:u w:val="single"/>
        </w:rPr>
        <w:t>超額歲入之優先用途、還本比例</w:t>
      </w:r>
      <w:r w:rsidR="00C8591E" w:rsidRPr="00DA5594">
        <w:rPr>
          <w:color w:val="000000" w:themeColor="text1"/>
          <w:u w:val="single"/>
        </w:rPr>
        <w:t>及</w:t>
      </w:r>
      <w:r w:rsidRPr="00DA5594">
        <w:rPr>
          <w:color w:val="000000" w:themeColor="text1"/>
          <w:u w:val="single"/>
        </w:rPr>
        <w:t>資訊揭露</w:t>
      </w:r>
      <w:r w:rsidR="00D124F6" w:rsidRPr="00DA5594">
        <w:rPr>
          <w:color w:val="000000" w:themeColor="text1"/>
          <w:u w:val="single"/>
        </w:rPr>
        <w:t>等</w:t>
      </w:r>
      <w:r w:rsidRPr="00DA5594">
        <w:rPr>
          <w:color w:val="000000" w:themeColor="text1"/>
          <w:u w:val="single"/>
        </w:rPr>
        <w:t>機制，以</w:t>
      </w:r>
      <w:r w:rsidR="00D124F6" w:rsidRPr="00DA5594">
        <w:rPr>
          <w:color w:val="000000" w:themeColor="text1"/>
          <w:u w:val="single"/>
        </w:rPr>
        <w:t>強化財政紀律、降低政治操作爭議，並兼顧世代財政公平</w:t>
      </w:r>
      <w:r w:rsidR="00D124F6" w:rsidRPr="00DA5594">
        <w:rPr>
          <w:rFonts w:hint="eastAsia"/>
          <w:color w:val="000000" w:themeColor="text1"/>
        </w:rPr>
        <w:t>，並</w:t>
      </w:r>
      <w:r w:rsidRPr="00DA5594">
        <w:rPr>
          <w:color w:val="000000" w:themeColor="text1"/>
        </w:rPr>
        <w:t>避免外界產生行政部門刻意低估歲入、保留財政操作空間或形成「選舉金庫」之疑慮。</w:t>
      </w:r>
    </w:p>
    <w:p w14:paraId="7178C721" w14:textId="46F02B95" w:rsidR="0001190C" w:rsidRPr="00DA5594" w:rsidRDefault="0001190C" w:rsidP="0001190C">
      <w:pPr>
        <w:pStyle w:val="3"/>
        <w:rPr>
          <w:color w:val="000000" w:themeColor="text1"/>
        </w:rPr>
      </w:pPr>
      <w:r w:rsidRPr="00DA5594">
        <w:rPr>
          <w:color w:val="000000" w:themeColor="text1"/>
        </w:rPr>
        <w:t>綜上，中央政府近</w:t>
      </w:r>
      <w:r w:rsidR="00AC24AB" w:rsidRPr="00DA5594">
        <w:rPr>
          <w:rFonts w:hint="eastAsia"/>
          <w:color w:val="000000" w:themeColor="text1"/>
        </w:rPr>
        <w:t>年</w:t>
      </w:r>
      <w:r w:rsidRPr="00DA5594">
        <w:rPr>
          <w:color w:val="000000" w:themeColor="text1"/>
        </w:rPr>
        <w:t>稅課收入實徵數</w:t>
      </w:r>
      <w:r w:rsidR="004A61EE" w:rsidRPr="00DA5594">
        <w:rPr>
          <w:rFonts w:hint="eastAsia"/>
          <w:color w:val="000000" w:themeColor="text1"/>
        </w:rPr>
        <w:t>屢屢</w:t>
      </w:r>
      <w:r w:rsidR="00AC24AB" w:rsidRPr="00DA5594">
        <w:rPr>
          <w:rFonts w:hint="eastAsia"/>
          <w:color w:val="000000" w:themeColor="text1"/>
        </w:rPr>
        <w:t>鉅額</w:t>
      </w:r>
      <w:r w:rsidRPr="00DA5594">
        <w:rPr>
          <w:color w:val="000000" w:themeColor="text1"/>
        </w:rPr>
        <w:t>高於預算數，雖依現行預算法及公共債務法等規定，得優先減少債務舉借及增加債務還本，惟現行制度對於超出預期之</w:t>
      </w:r>
      <w:r w:rsidR="00AC24AB" w:rsidRPr="00DA5594">
        <w:rPr>
          <w:rFonts w:hint="eastAsia"/>
          <w:color w:val="000000" w:themeColor="text1"/>
        </w:rPr>
        <w:t>稅課收入</w:t>
      </w:r>
      <w:r w:rsidRPr="00DA5594">
        <w:rPr>
          <w:color w:val="000000" w:themeColor="text1"/>
        </w:rPr>
        <w:t>，欠缺明確且具拘束力之制度化運用規範，</w:t>
      </w:r>
      <w:proofErr w:type="gramStart"/>
      <w:r w:rsidR="00AC24AB" w:rsidRPr="00DA5594">
        <w:rPr>
          <w:rFonts w:hint="eastAsia"/>
          <w:color w:val="000000" w:themeColor="text1"/>
        </w:rPr>
        <w:t>爰</w:t>
      </w:r>
      <w:proofErr w:type="gramEnd"/>
      <w:r w:rsidRPr="00DA5594">
        <w:rPr>
          <w:color w:val="000000" w:themeColor="text1"/>
        </w:rPr>
        <w:t>財政部允</w:t>
      </w:r>
      <w:r w:rsidR="00F340CF" w:rsidRPr="00DA5594">
        <w:rPr>
          <w:rFonts w:hint="eastAsia"/>
          <w:color w:val="000000" w:themeColor="text1"/>
        </w:rPr>
        <w:t>應</w:t>
      </w:r>
      <w:r w:rsidRPr="00DA5594">
        <w:rPr>
          <w:color w:val="000000" w:themeColor="text1"/>
        </w:rPr>
        <w:t>會同主計總處等相關機關，</w:t>
      </w:r>
      <w:proofErr w:type="gramStart"/>
      <w:r w:rsidR="00C62D9B" w:rsidRPr="00DA5594">
        <w:rPr>
          <w:rFonts w:hint="eastAsia"/>
          <w:color w:val="000000" w:themeColor="text1"/>
        </w:rPr>
        <w:t>研</w:t>
      </w:r>
      <w:proofErr w:type="gramEnd"/>
      <w:r w:rsidR="00C62D9B" w:rsidRPr="00DA5594">
        <w:rPr>
          <w:rFonts w:hint="eastAsia"/>
          <w:color w:val="000000" w:themeColor="text1"/>
        </w:rPr>
        <w:t>議</w:t>
      </w:r>
      <w:r w:rsidRPr="00DA5594">
        <w:rPr>
          <w:color w:val="000000" w:themeColor="text1"/>
        </w:rPr>
        <w:t>建立</w:t>
      </w:r>
      <w:r w:rsidR="00AC24AB" w:rsidRPr="00DA5594">
        <w:rPr>
          <w:color w:val="000000" w:themeColor="text1"/>
        </w:rPr>
        <w:t>稅收實徵數高於預算</w:t>
      </w:r>
      <w:r w:rsidR="00AC24AB" w:rsidRPr="00DA5594">
        <w:rPr>
          <w:rFonts w:hint="eastAsia"/>
          <w:color w:val="000000" w:themeColor="text1"/>
        </w:rPr>
        <w:t>部分</w:t>
      </w:r>
      <w:r w:rsidRPr="00DA5594">
        <w:rPr>
          <w:color w:val="000000" w:themeColor="text1"/>
        </w:rPr>
        <w:t>之制度化運用原則，包括優先償債機制、合理還本比例</w:t>
      </w:r>
      <w:r w:rsidR="00C8591E" w:rsidRPr="00DA5594">
        <w:rPr>
          <w:color w:val="000000" w:themeColor="text1"/>
        </w:rPr>
        <w:t>及</w:t>
      </w:r>
      <w:r w:rsidRPr="00DA5594">
        <w:rPr>
          <w:color w:val="000000" w:themeColor="text1"/>
        </w:rPr>
        <w:t>超額歲入資訊揭露等，以強化財政紀律、提升政府財政透明度及增進社會信賴。</w:t>
      </w:r>
    </w:p>
    <w:p w14:paraId="121D3106" w14:textId="2EB4CAD5" w:rsidR="00E25849" w:rsidRPr="00DA5594" w:rsidRDefault="00E25849" w:rsidP="004E05A1">
      <w:pPr>
        <w:pStyle w:val="1"/>
        <w:ind w:left="2380" w:hanging="2380"/>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r w:rsidRPr="00DA5594">
        <w:rPr>
          <w:color w:val="000000" w:themeColor="text1"/>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DA5594">
        <w:rPr>
          <w:rFonts w:hint="eastAsia"/>
          <w:color w:val="000000" w:themeColor="text1"/>
        </w:rPr>
        <w:lastRenderedPageBreak/>
        <w:t>處理辦法</w:t>
      </w:r>
      <w:r w:rsidRPr="00DA5594">
        <w:rPr>
          <w:rFonts w:hint="eastAsia"/>
          <w:color w:val="000000" w:themeColor="text1"/>
          <w:sz w:val="36"/>
          <w:szCs w:val="36"/>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4EE7CD7" w14:textId="6BE6DF05" w:rsidR="00FB7770" w:rsidRPr="00DA5594" w:rsidRDefault="00FB7770" w:rsidP="00770453">
      <w:pPr>
        <w:pStyle w:val="2"/>
        <w:spacing w:beforeLines="25" w:before="114"/>
        <w:ind w:left="1020" w:hanging="680"/>
        <w:rPr>
          <w:color w:val="000000" w:themeColor="text1"/>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DA5594">
        <w:rPr>
          <w:rFonts w:hint="eastAsia"/>
          <w:color w:val="000000" w:themeColor="text1"/>
        </w:rPr>
        <w:t>調查意見</w:t>
      </w:r>
      <w:proofErr w:type="gramStart"/>
      <w:r w:rsidR="00F340CF" w:rsidRPr="00DA5594">
        <w:rPr>
          <w:rFonts w:hint="eastAsia"/>
          <w:color w:val="000000" w:themeColor="text1"/>
        </w:rPr>
        <w:t>一</w:t>
      </w:r>
      <w:proofErr w:type="gramEnd"/>
      <w:r w:rsidR="00F340CF" w:rsidRPr="00DA5594">
        <w:rPr>
          <w:rFonts w:hint="eastAsia"/>
          <w:color w:val="000000" w:themeColor="text1"/>
        </w:rPr>
        <w:t>及二</w:t>
      </w:r>
      <w:r w:rsidRPr="00DA5594">
        <w:rPr>
          <w:rFonts w:hint="eastAsia"/>
          <w:color w:val="000000" w:themeColor="text1"/>
        </w:rPr>
        <w:t>，</w:t>
      </w:r>
      <w:r w:rsidR="00C62D9B" w:rsidRPr="00DA5594">
        <w:rPr>
          <w:rFonts w:hint="eastAsia"/>
          <w:color w:val="000000" w:themeColor="text1"/>
        </w:rPr>
        <w:t>函請</w:t>
      </w:r>
      <w:r w:rsidR="00F340CF" w:rsidRPr="00DA5594">
        <w:rPr>
          <w:rFonts w:hint="eastAsia"/>
          <w:color w:val="000000" w:themeColor="text1"/>
        </w:rPr>
        <w:t>財政部</w:t>
      </w:r>
      <w:r w:rsidR="00C62D9B" w:rsidRPr="00DA5594">
        <w:rPr>
          <w:rFonts w:hint="eastAsia"/>
          <w:color w:val="000000" w:themeColor="text1"/>
        </w:rPr>
        <w:t>確實檢討</w:t>
      </w:r>
      <w:proofErr w:type="gramStart"/>
      <w:r w:rsidR="00C62D9B" w:rsidRPr="00DA5594">
        <w:rPr>
          <w:rFonts w:hint="eastAsia"/>
          <w:color w:val="000000" w:themeColor="text1"/>
        </w:rPr>
        <w:t>見復</w:t>
      </w:r>
      <w:r w:rsidRPr="00DA5594">
        <w:rPr>
          <w:rFonts w:hAnsi="標楷體" w:hint="eastAsia"/>
          <w:color w:val="000000" w:themeColor="text1"/>
        </w:rPr>
        <w:t>。</w:t>
      </w:r>
      <w:bookmarkEnd w:id="80"/>
      <w:bookmarkEnd w:id="81"/>
      <w:bookmarkEnd w:id="82"/>
      <w:bookmarkEnd w:id="83"/>
      <w:bookmarkEnd w:id="84"/>
      <w:bookmarkEnd w:id="85"/>
      <w:bookmarkEnd w:id="86"/>
      <w:proofErr w:type="gramEnd"/>
    </w:p>
    <w:p w14:paraId="4C37E66C" w14:textId="33D17BBE" w:rsidR="00E25849" w:rsidRPr="00DA5594" w:rsidRDefault="00E25849">
      <w:pPr>
        <w:pStyle w:val="2"/>
        <w:rPr>
          <w:color w:val="000000" w:themeColor="text1"/>
        </w:rPr>
      </w:pPr>
      <w:bookmarkStart w:id="106" w:name="_Toc421794877"/>
      <w:bookmarkStart w:id="107" w:name="_Toc421795443"/>
      <w:bookmarkStart w:id="108" w:name="_Toc421796024"/>
      <w:bookmarkStart w:id="109" w:name="_Toc422728959"/>
      <w:bookmarkStart w:id="110" w:name="_Toc422834162"/>
      <w:r w:rsidRPr="00DA5594">
        <w:rPr>
          <w:rFonts w:hint="eastAsia"/>
          <w:color w:val="000000" w:themeColor="text1"/>
        </w:rPr>
        <w:t>調查意見</w:t>
      </w:r>
      <w:proofErr w:type="gramStart"/>
      <w:r w:rsidR="00B539A3" w:rsidRPr="00DA5594">
        <w:rPr>
          <w:rFonts w:hint="eastAsia"/>
          <w:color w:val="000000" w:themeColor="text1"/>
        </w:rPr>
        <w:t>三</w:t>
      </w:r>
      <w:proofErr w:type="gramEnd"/>
      <w:r w:rsidRPr="00DA5594">
        <w:rPr>
          <w:rFonts w:hint="eastAsia"/>
          <w:color w:val="000000" w:themeColor="text1"/>
        </w:rPr>
        <w:t>，函請</w:t>
      </w:r>
      <w:r w:rsidR="00C11F2E" w:rsidRPr="00DA5594">
        <w:rPr>
          <w:rFonts w:hint="eastAsia"/>
          <w:color w:val="000000" w:themeColor="text1"/>
        </w:rPr>
        <w:t>財政部會同行政院主計總</w:t>
      </w:r>
      <w:proofErr w:type="gramStart"/>
      <w:r w:rsidR="00C11F2E" w:rsidRPr="00DA5594">
        <w:rPr>
          <w:rFonts w:hint="eastAsia"/>
          <w:color w:val="000000" w:themeColor="text1"/>
        </w:rPr>
        <w:t>處</w:t>
      </w:r>
      <w:r w:rsidR="00C62D9B" w:rsidRPr="00DA5594">
        <w:rPr>
          <w:rFonts w:hint="eastAsia"/>
          <w:color w:val="000000" w:themeColor="text1"/>
        </w:rPr>
        <w:t>參處</w:t>
      </w:r>
      <w:r w:rsidRPr="00DA5594">
        <w:rPr>
          <w:rFonts w:hint="eastAsia"/>
          <w:color w:val="000000" w:themeColor="text1"/>
        </w:rPr>
        <w:t>見復。</w:t>
      </w:r>
      <w:bookmarkEnd w:id="87"/>
      <w:bookmarkEnd w:id="88"/>
      <w:bookmarkEnd w:id="89"/>
      <w:bookmarkEnd w:id="90"/>
      <w:bookmarkEnd w:id="91"/>
      <w:bookmarkEnd w:id="92"/>
      <w:bookmarkEnd w:id="93"/>
      <w:bookmarkEnd w:id="94"/>
      <w:bookmarkEnd w:id="106"/>
      <w:bookmarkEnd w:id="107"/>
      <w:bookmarkEnd w:id="108"/>
      <w:bookmarkEnd w:id="109"/>
      <w:bookmarkEnd w:id="110"/>
      <w:proofErr w:type="gramEnd"/>
    </w:p>
    <w:p w14:paraId="6F7778CC" w14:textId="2198D210" w:rsidR="00560DDA" w:rsidRPr="00DA5594" w:rsidRDefault="00560DDA" w:rsidP="00560DDA">
      <w:pPr>
        <w:pStyle w:val="2"/>
        <w:rPr>
          <w:color w:val="000000" w:themeColor="text1"/>
        </w:rPr>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5"/>
      <w:bookmarkEnd w:id="96"/>
      <w:bookmarkEnd w:id="97"/>
      <w:bookmarkEnd w:id="98"/>
      <w:bookmarkEnd w:id="99"/>
      <w:bookmarkEnd w:id="100"/>
      <w:bookmarkEnd w:id="101"/>
      <w:bookmarkEnd w:id="102"/>
      <w:bookmarkEnd w:id="103"/>
      <w:bookmarkEnd w:id="104"/>
      <w:bookmarkEnd w:id="105"/>
      <w:r w:rsidRPr="00DA5594">
        <w:rPr>
          <w:rFonts w:hint="eastAsia"/>
          <w:color w:val="000000" w:themeColor="text1"/>
        </w:rPr>
        <w:t>調查</w:t>
      </w:r>
      <w:r w:rsidR="00442F14" w:rsidRPr="00DA5594">
        <w:rPr>
          <w:rFonts w:hint="eastAsia"/>
          <w:color w:val="000000" w:themeColor="text1"/>
        </w:rPr>
        <w:t>意見</w:t>
      </w:r>
      <w:r w:rsidR="00207F36" w:rsidRPr="00DA5594">
        <w:rPr>
          <w:rFonts w:hAnsi="標楷體" w:hint="eastAsia"/>
          <w:color w:val="000000" w:themeColor="text1"/>
        </w:rPr>
        <w:t>(</w:t>
      </w:r>
      <w:proofErr w:type="gramStart"/>
      <w:r w:rsidR="00770453" w:rsidRPr="00DA5594">
        <w:rPr>
          <w:rFonts w:hint="eastAsia"/>
          <w:color w:val="000000" w:themeColor="text1"/>
        </w:rPr>
        <w:t>含</w:t>
      </w:r>
      <w:r w:rsidRPr="00DA5594">
        <w:rPr>
          <w:rFonts w:hint="eastAsia"/>
          <w:color w:val="000000" w:themeColor="text1"/>
        </w:rPr>
        <w:t>表</w:t>
      </w:r>
      <w:proofErr w:type="gramEnd"/>
      <w:r w:rsidR="00207F36" w:rsidRPr="00DA5594">
        <w:rPr>
          <w:rFonts w:hAnsi="標楷體" w:hint="eastAsia"/>
          <w:color w:val="000000" w:themeColor="text1"/>
        </w:rPr>
        <w:t>)</w:t>
      </w:r>
      <w:r w:rsidRPr="00DA5594">
        <w:rPr>
          <w:rFonts w:hint="eastAsia"/>
          <w:color w:val="000000" w:themeColor="text1"/>
        </w:rPr>
        <w:t>經委員會討論通過後公布。</w:t>
      </w:r>
    </w:p>
    <w:bookmarkEnd w:id="111"/>
    <w:bookmarkEnd w:id="112"/>
    <w:bookmarkEnd w:id="113"/>
    <w:bookmarkEnd w:id="114"/>
    <w:bookmarkEnd w:id="115"/>
    <w:bookmarkEnd w:id="116"/>
    <w:bookmarkEnd w:id="117"/>
    <w:bookmarkEnd w:id="118"/>
    <w:bookmarkEnd w:id="119"/>
    <w:bookmarkEnd w:id="120"/>
    <w:bookmarkEnd w:id="121"/>
    <w:bookmarkEnd w:id="122"/>
    <w:bookmarkEnd w:id="123"/>
    <w:p w14:paraId="17F6CB19" w14:textId="77777777" w:rsidR="00FD5015" w:rsidRPr="00DA5594" w:rsidRDefault="00FD5015" w:rsidP="00FD5015">
      <w:pPr>
        <w:pStyle w:val="2"/>
        <w:numPr>
          <w:ilvl w:val="0"/>
          <w:numId w:val="0"/>
        </w:numPr>
        <w:ind w:left="1021"/>
        <w:rPr>
          <w:color w:val="000000" w:themeColor="text1"/>
        </w:rPr>
      </w:pPr>
    </w:p>
    <w:p w14:paraId="34F23CC5" w14:textId="74F0CA04" w:rsidR="00770453" w:rsidRPr="00DA5594" w:rsidRDefault="00E25849" w:rsidP="002F4913">
      <w:pPr>
        <w:pStyle w:val="aa"/>
        <w:spacing w:beforeLines="50" w:before="228" w:afterLines="100" w:after="457"/>
        <w:ind w:leftChars="1100" w:left="3742"/>
        <w:rPr>
          <w:rFonts w:ascii="Times New Roman"/>
          <w:b w:val="0"/>
          <w:bCs/>
          <w:snapToGrid/>
          <w:color w:val="000000" w:themeColor="text1"/>
          <w:spacing w:val="0"/>
          <w:kern w:val="0"/>
          <w:sz w:val="40"/>
        </w:rPr>
      </w:pPr>
      <w:r w:rsidRPr="00DA5594">
        <w:rPr>
          <w:rFonts w:hint="eastAsia"/>
          <w:b w:val="0"/>
          <w:bCs/>
          <w:snapToGrid/>
          <w:color w:val="000000" w:themeColor="text1"/>
          <w:spacing w:val="12"/>
          <w:kern w:val="0"/>
          <w:sz w:val="40"/>
        </w:rPr>
        <w:t>調查委員：</w:t>
      </w:r>
      <w:r w:rsidR="002F4913" w:rsidRPr="00DA5594">
        <w:rPr>
          <w:rFonts w:ascii="Times New Roman" w:hint="eastAsia"/>
          <w:b w:val="0"/>
          <w:bCs/>
          <w:snapToGrid/>
          <w:color w:val="000000" w:themeColor="text1"/>
          <w:spacing w:val="0"/>
          <w:kern w:val="0"/>
          <w:sz w:val="40"/>
        </w:rPr>
        <w:t>賴振昌</w:t>
      </w:r>
    </w:p>
    <w:p w14:paraId="04F5EE42" w14:textId="40114CF3" w:rsidR="00C62D9B" w:rsidRPr="00DA5594" w:rsidRDefault="002F4913" w:rsidP="002F4913">
      <w:pPr>
        <w:pStyle w:val="aa"/>
        <w:spacing w:before="0" w:after="0"/>
        <w:ind w:leftChars="1100" w:left="3742" w:firstLineChars="445" w:firstLine="1870"/>
        <w:rPr>
          <w:rFonts w:ascii="Times New Roman"/>
          <w:b w:val="0"/>
          <w:bCs/>
          <w:snapToGrid/>
          <w:color w:val="000000" w:themeColor="text1"/>
          <w:spacing w:val="0"/>
          <w:kern w:val="0"/>
          <w:sz w:val="40"/>
        </w:rPr>
      </w:pPr>
      <w:r w:rsidRPr="00DA5594">
        <w:rPr>
          <w:rFonts w:ascii="Times New Roman" w:hint="eastAsia"/>
          <w:b w:val="0"/>
          <w:bCs/>
          <w:snapToGrid/>
          <w:color w:val="000000" w:themeColor="text1"/>
          <w:spacing w:val="0"/>
          <w:kern w:val="0"/>
          <w:sz w:val="40"/>
        </w:rPr>
        <w:t xml:space="preserve">  </w:t>
      </w:r>
      <w:r w:rsidRPr="00DA5594">
        <w:rPr>
          <w:rFonts w:ascii="Times New Roman" w:hint="eastAsia"/>
          <w:b w:val="0"/>
          <w:bCs/>
          <w:snapToGrid/>
          <w:color w:val="000000" w:themeColor="text1"/>
          <w:spacing w:val="0"/>
          <w:kern w:val="0"/>
          <w:sz w:val="40"/>
        </w:rPr>
        <w:t>田秋</w:t>
      </w:r>
      <w:proofErr w:type="gramStart"/>
      <w:r w:rsidRPr="00DA5594">
        <w:rPr>
          <w:rFonts w:ascii="Times New Roman"/>
          <w:b w:val="0"/>
          <w:bCs/>
          <w:snapToGrid/>
          <w:color w:val="000000" w:themeColor="text1"/>
          <w:spacing w:val="0"/>
          <w:kern w:val="0"/>
          <w:sz w:val="40"/>
        </w:rPr>
        <w:t>堇</w:t>
      </w:r>
      <w:proofErr w:type="gramEnd"/>
    </w:p>
    <w:p w14:paraId="769DAFB3" w14:textId="77777777" w:rsidR="00E056B9" w:rsidRPr="00DA5594" w:rsidRDefault="00E056B9" w:rsidP="00770453">
      <w:pPr>
        <w:pStyle w:val="aa"/>
        <w:spacing w:before="0" w:after="0"/>
        <w:ind w:leftChars="1100" w:left="3742"/>
        <w:rPr>
          <w:rFonts w:ascii="Times New Roman"/>
          <w:b w:val="0"/>
          <w:bCs/>
          <w:snapToGrid/>
          <w:color w:val="000000" w:themeColor="text1"/>
          <w:spacing w:val="0"/>
          <w:kern w:val="0"/>
          <w:sz w:val="40"/>
        </w:rPr>
      </w:pPr>
    </w:p>
    <w:p w14:paraId="7D8AA67E" w14:textId="77777777" w:rsidR="00E056B9" w:rsidRPr="00DA5594" w:rsidRDefault="00E056B9" w:rsidP="00770453">
      <w:pPr>
        <w:pStyle w:val="aa"/>
        <w:spacing w:before="0" w:after="0"/>
        <w:ind w:leftChars="1100" w:left="3742"/>
        <w:rPr>
          <w:rFonts w:ascii="Times New Roman"/>
          <w:b w:val="0"/>
          <w:bCs/>
          <w:snapToGrid/>
          <w:color w:val="000000" w:themeColor="text1"/>
          <w:spacing w:val="0"/>
          <w:kern w:val="0"/>
          <w:sz w:val="40"/>
        </w:rPr>
      </w:pPr>
    </w:p>
    <w:p w14:paraId="4C121E98" w14:textId="710BD77D" w:rsidR="00E25849" w:rsidRPr="00DA5594" w:rsidRDefault="00E25849">
      <w:pPr>
        <w:pStyle w:val="af"/>
        <w:rPr>
          <w:rFonts w:hAnsi="標楷體"/>
          <w:bCs/>
          <w:color w:val="000000" w:themeColor="text1"/>
        </w:rPr>
      </w:pPr>
      <w:r w:rsidRPr="00DA5594">
        <w:rPr>
          <w:rFonts w:hAnsi="標楷體" w:hint="eastAsia"/>
          <w:bCs/>
          <w:color w:val="000000" w:themeColor="text1"/>
        </w:rPr>
        <w:t>中</w:t>
      </w:r>
      <w:r w:rsidR="00B5484D" w:rsidRPr="00DA5594">
        <w:rPr>
          <w:rFonts w:hAnsi="標楷體" w:hint="eastAsia"/>
          <w:bCs/>
          <w:color w:val="000000" w:themeColor="text1"/>
        </w:rPr>
        <w:t xml:space="preserve">  </w:t>
      </w:r>
      <w:r w:rsidRPr="00DA5594">
        <w:rPr>
          <w:rFonts w:hAnsi="標楷體" w:hint="eastAsia"/>
          <w:bCs/>
          <w:color w:val="000000" w:themeColor="text1"/>
        </w:rPr>
        <w:t>華</w:t>
      </w:r>
      <w:r w:rsidR="00B5484D" w:rsidRPr="00DA5594">
        <w:rPr>
          <w:rFonts w:hAnsi="標楷體" w:hint="eastAsia"/>
          <w:bCs/>
          <w:color w:val="000000" w:themeColor="text1"/>
        </w:rPr>
        <w:t xml:space="preserve">  </w:t>
      </w:r>
      <w:r w:rsidRPr="00DA5594">
        <w:rPr>
          <w:rFonts w:hAnsi="標楷體" w:hint="eastAsia"/>
          <w:bCs/>
          <w:color w:val="000000" w:themeColor="text1"/>
        </w:rPr>
        <w:t>民</w:t>
      </w:r>
      <w:r w:rsidR="00B5484D" w:rsidRPr="00DA5594">
        <w:rPr>
          <w:rFonts w:hAnsi="標楷體" w:hint="eastAsia"/>
          <w:bCs/>
          <w:color w:val="000000" w:themeColor="text1"/>
        </w:rPr>
        <w:t xml:space="preserve">  </w:t>
      </w:r>
      <w:r w:rsidRPr="00DA5594">
        <w:rPr>
          <w:rFonts w:hAnsi="標楷體" w:hint="eastAsia"/>
          <w:bCs/>
          <w:color w:val="000000" w:themeColor="text1"/>
        </w:rPr>
        <w:t xml:space="preserve">國　</w:t>
      </w:r>
      <w:r w:rsidR="001E74C2" w:rsidRPr="00DA5594">
        <w:rPr>
          <w:rFonts w:hAnsi="標楷體" w:hint="eastAsia"/>
          <w:bCs/>
          <w:color w:val="000000" w:themeColor="text1"/>
        </w:rPr>
        <w:t>1</w:t>
      </w:r>
      <w:r w:rsidR="00442F14" w:rsidRPr="00DA5594">
        <w:rPr>
          <w:rFonts w:hAnsi="標楷體" w:hint="eastAsia"/>
          <w:bCs/>
          <w:color w:val="000000" w:themeColor="text1"/>
        </w:rPr>
        <w:t>15</w:t>
      </w:r>
      <w:r w:rsidRPr="00DA5594">
        <w:rPr>
          <w:rFonts w:hAnsi="標楷體" w:hint="eastAsia"/>
          <w:bCs/>
          <w:color w:val="000000" w:themeColor="text1"/>
        </w:rPr>
        <w:t xml:space="preserve">　年</w:t>
      </w:r>
      <w:r w:rsidR="002F4913" w:rsidRPr="00DA5594">
        <w:rPr>
          <w:rFonts w:hAnsi="標楷體" w:hint="eastAsia"/>
          <w:bCs/>
          <w:color w:val="000000" w:themeColor="text1"/>
        </w:rPr>
        <w:t xml:space="preserve"> 6 </w:t>
      </w:r>
      <w:r w:rsidRPr="00DA5594">
        <w:rPr>
          <w:rFonts w:hAnsi="標楷體" w:hint="eastAsia"/>
          <w:bCs/>
          <w:color w:val="000000" w:themeColor="text1"/>
        </w:rPr>
        <w:t>月</w:t>
      </w:r>
      <w:r w:rsidR="002F4913" w:rsidRPr="00DA5594">
        <w:rPr>
          <w:rFonts w:hAnsi="標楷體" w:hint="eastAsia"/>
          <w:bCs/>
          <w:color w:val="000000" w:themeColor="text1"/>
        </w:rPr>
        <w:t xml:space="preserve"> 3 </w:t>
      </w:r>
      <w:r w:rsidRPr="00DA5594">
        <w:rPr>
          <w:rFonts w:hAnsi="標楷體" w:hint="eastAsia"/>
          <w:bCs/>
          <w:color w:val="000000" w:themeColor="text1"/>
        </w:rPr>
        <w:t>日</w:t>
      </w:r>
    </w:p>
    <w:sectPr w:rsidR="00E25849" w:rsidRPr="00DA5594" w:rsidSect="000730B0">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1CAA" w14:textId="77777777" w:rsidR="00114D84" w:rsidRDefault="00114D84">
      <w:r>
        <w:separator/>
      </w:r>
    </w:p>
  </w:endnote>
  <w:endnote w:type="continuationSeparator" w:id="0">
    <w:p w14:paraId="7A66AD5F" w14:textId="77777777" w:rsidR="00114D84" w:rsidRDefault="0011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hu-SB-Estd-BF">
    <w:altName w:val="MS Gothic"/>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9108" w14:textId="77777777" w:rsidR="00114D84" w:rsidRDefault="00114D84">
      <w:r>
        <w:separator/>
      </w:r>
    </w:p>
  </w:footnote>
  <w:footnote w:type="continuationSeparator" w:id="0">
    <w:p w14:paraId="5134C1E2" w14:textId="77777777" w:rsidR="00114D84" w:rsidRDefault="00114D84">
      <w:r>
        <w:continuationSeparator/>
      </w:r>
    </w:p>
  </w:footnote>
  <w:footnote w:id="1">
    <w:p w14:paraId="52C7DF08" w14:textId="1640C44C" w:rsidR="00E55EA3" w:rsidRDefault="00E55EA3" w:rsidP="00223E3E">
      <w:pPr>
        <w:pStyle w:val="afe"/>
        <w:ind w:left="242" w:hangingChars="110" w:hanging="242"/>
        <w:jc w:val="both"/>
      </w:pPr>
      <w:r w:rsidRPr="00E55EA3">
        <w:footnoteRef/>
      </w:r>
      <w:r>
        <w:rPr>
          <w:rFonts w:hint="eastAsia"/>
        </w:rPr>
        <w:t>.</w:t>
      </w:r>
      <w:r w:rsidRPr="00E55EA3">
        <w:t>預測弱理性原則</w:t>
      </w:r>
      <w:r w:rsidR="00223E3E">
        <w:rPr>
          <w:rFonts w:hint="eastAsia"/>
        </w:rPr>
        <w:t>(</w:t>
      </w:r>
      <w:r w:rsidRPr="00E55EA3">
        <w:t>Weak Rationality</w:t>
      </w:r>
      <w:r w:rsidR="00223E3E">
        <w:rPr>
          <w:rFonts w:hint="eastAsia"/>
        </w:rPr>
        <w:t>)</w:t>
      </w:r>
      <w:r w:rsidRPr="00E55EA3">
        <w:t>是指預測者已充分利用自身當下所能掌握的歷史資訊來做出最佳估計，且預測誤差的期望值為零，不會出現系統性的高估或</w:t>
      </w:r>
      <w:proofErr w:type="gramStart"/>
      <w:r w:rsidRPr="00E55EA3">
        <w:t>低估偏誤</w:t>
      </w:r>
      <w:proofErr w:type="gramEnd"/>
      <w:r w:rsidRPr="00E55EA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D23997"/>
    <w:multiLevelType w:val="hybridMultilevel"/>
    <w:tmpl w:val="A5EE3D98"/>
    <w:lvl w:ilvl="0" w:tplc="6F9AD1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1614"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758256762">
    <w:abstractNumId w:val="6"/>
  </w:num>
  <w:num w:numId="5" w16cid:durableId="1070537949">
    <w:abstractNumId w:val="4"/>
  </w:num>
  <w:num w:numId="6" w16cid:durableId="1664700336">
    <w:abstractNumId w:val="7"/>
  </w:num>
  <w:num w:numId="7" w16cid:durableId="1481389400">
    <w:abstractNumId w:val="1"/>
  </w:num>
  <w:num w:numId="8" w16cid:durableId="1598440368">
    <w:abstractNumId w:val="8"/>
  </w:num>
  <w:num w:numId="9" w16cid:durableId="1751611214">
    <w:abstractNumId w:val="5"/>
  </w:num>
  <w:num w:numId="10" w16cid:durableId="576285220">
    <w:abstractNumId w:val="3"/>
  </w:num>
  <w:num w:numId="11" w16cid:durableId="1410881954">
    <w:abstractNumId w:val="6"/>
  </w:num>
  <w:num w:numId="12" w16cid:durableId="1189755788">
    <w:abstractNumId w:val="6"/>
  </w:num>
  <w:num w:numId="13" w16cid:durableId="1651252015">
    <w:abstractNumId w:val="6"/>
  </w:num>
  <w:num w:numId="14" w16cid:durableId="925335235">
    <w:abstractNumId w:val="6"/>
  </w:num>
  <w:num w:numId="15" w16cid:durableId="583682521">
    <w:abstractNumId w:val="1"/>
  </w:num>
  <w:num w:numId="16" w16cid:durableId="1892766788">
    <w:abstractNumId w:val="6"/>
  </w:num>
  <w:num w:numId="17" w16cid:durableId="988175481">
    <w:abstractNumId w:val="6"/>
  </w:num>
  <w:num w:numId="18" w16cid:durableId="1288927568">
    <w:abstractNumId w:val="6"/>
  </w:num>
  <w:num w:numId="19" w16cid:durableId="1759906344">
    <w:abstractNumId w:val="6"/>
  </w:num>
  <w:num w:numId="20" w16cid:durableId="1172917788">
    <w:abstractNumId w:val="6"/>
  </w:num>
  <w:num w:numId="21" w16cid:durableId="734356334">
    <w:abstractNumId w:val="6"/>
  </w:num>
  <w:num w:numId="22" w16cid:durableId="1272275904">
    <w:abstractNumId w:val="6"/>
  </w:num>
  <w:num w:numId="23" w16cid:durableId="1545749808">
    <w:abstractNumId w:val="6"/>
  </w:num>
  <w:num w:numId="24" w16cid:durableId="1115441128">
    <w:abstractNumId w:val="6"/>
  </w:num>
  <w:num w:numId="25" w16cid:durableId="97734577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687"/>
    <w:rsid w:val="000112BF"/>
    <w:rsid w:val="0001190C"/>
    <w:rsid w:val="00012233"/>
    <w:rsid w:val="00017318"/>
    <w:rsid w:val="000229AD"/>
    <w:rsid w:val="000246F7"/>
    <w:rsid w:val="0003114D"/>
    <w:rsid w:val="00036D76"/>
    <w:rsid w:val="00041DD2"/>
    <w:rsid w:val="000436B1"/>
    <w:rsid w:val="00046B39"/>
    <w:rsid w:val="00053EF2"/>
    <w:rsid w:val="00057F32"/>
    <w:rsid w:val="00061B10"/>
    <w:rsid w:val="00062A25"/>
    <w:rsid w:val="000730B0"/>
    <w:rsid w:val="00073CB5"/>
    <w:rsid w:val="0007425C"/>
    <w:rsid w:val="00077553"/>
    <w:rsid w:val="000851A2"/>
    <w:rsid w:val="00093368"/>
    <w:rsid w:val="0009352E"/>
    <w:rsid w:val="00096B96"/>
    <w:rsid w:val="000A2F3F"/>
    <w:rsid w:val="000A42DA"/>
    <w:rsid w:val="000A6587"/>
    <w:rsid w:val="000B0B4A"/>
    <w:rsid w:val="000B279A"/>
    <w:rsid w:val="000B3001"/>
    <w:rsid w:val="000B61D2"/>
    <w:rsid w:val="000B70A7"/>
    <w:rsid w:val="000B73DD"/>
    <w:rsid w:val="000C495F"/>
    <w:rsid w:val="000D66D9"/>
    <w:rsid w:val="000D6EA4"/>
    <w:rsid w:val="000E6431"/>
    <w:rsid w:val="000F21A5"/>
    <w:rsid w:val="000F509F"/>
    <w:rsid w:val="000F6201"/>
    <w:rsid w:val="00102B9F"/>
    <w:rsid w:val="00103540"/>
    <w:rsid w:val="001047E9"/>
    <w:rsid w:val="00105596"/>
    <w:rsid w:val="00112637"/>
    <w:rsid w:val="00112ABC"/>
    <w:rsid w:val="00113315"/>
    <w:rsid w:val="00114D84"/>
    <w:rsid w:val="00115B0B"/>
    <w:rsid w:val="0012001E"/>
    <w:rsid w:val="00126A55"/>
    <w:rsid w:val="00131895"/>
    <w:rsid w:val="00133F08"/>
    <w:rsid w:val="001345E6"/>
    <w:rsid w:val="001378B0"/>
    <w:rsid w:val="00141BBD"/>
    <w:rsid w:val="00142E00"/>
    <w:rsid w:val="00143603"/>
    <w:rsid w:val="00145574"/>
    <w:rsid w:val="00152793"/>
    <w:rsid w:val="00153B7E"/>
    <w:rsid w:val="0015405B"/>
    <w:rsid w:val="001545A9"/>
    <w:rsid w:val="00156987"/>
    <w:rsid w:val="001637C7"/>
    <w:rsid w:val="0016480E"/>
    <w:rsid w:val="0016557D"/>
    <w:rsid w:val="00174297"/>
    <w:rsid w:val="00180E06"/>
    <w:rsid w:val="001817B3"/>
    <w:rsid w:val="00182354"/>
    <w:rsid w:val="00183014"/>
    <w:rsid w:val="00191446"/>
    <w:rsid w:val="001959C2"/>
    <w:rsid w:val="001A51E3"/>
    <w:rsid w:val="001A656C"/>
    <w:rsid w:val="001A7968"/>
    <w:rsid w:val="001B02A1"/>
    <w:rsid w:val="001B2E98"/>
    <w:rsid w:val="001B3483"/>
    <w:rsid w:val="001B3C1E"/>
    <w:rsid w:val="001B42C4"/>
    <w:rsid w:val="001B4494"/>
    <w:rsid w:val="001B4923"/>
    <w:rsid w:val="001C0D8B"/>
    <w:rsid w:val="001C0DA8"/>
    <w:rsid w:val="001C3C02"/>
    <w:rsid w:val="001D4AD7"/>
    <w:rsid w:val="001D68DE"/>
    <w:rsid w:val="001D6CCB"/>
    <w:rsid w:val="001E0D8A"/>
    <w:rsid w:val="001E67BA"/>
    <w:rsid w:val="001E74C2"/>
    <w:rsid w:val="001F290A"/>
    <w:rsid w:val="001F4E9C"/>
    <w:rsid w:val="001F4F82"/>
    <w:rsid w:val="001F5A48"/>
    <w:rsid w:val="001F6260"/>
    <w:rsid w:val="00200007"/>
    <w:rsid w:val="002023DE"/>
    <w:rsid w:val="002030A5"/>
    <w:rsid w:val="00203131"/>
    <w:rsid w:val="00207F36"/>
    <w:rsid w:val="00212E88"/>
    <w:rsid w:val="00213C9C"/>
    <w:rsid w:val="002147A9"/>
    <w:rsid w:val="0022009E"/>
    <w:rsid w:val="002220DD"/>
    <w:rsid w:val="00223241"/>
    <w:rsid w:val="00223E3E"/>
    <w:rsid w:val="0022425C"/>
    <w:rsid w:val="002246DE"/>
    <w:rsid w:val="00227085"/>
    <w:rsid w:val="002344B7"/>
    <w:rsid w:val="002429E2"/>
    <w:rsid w:val="00244EAF"/>
    <w:rsid w:val="00245278"/>
    <w:rsid w:val="00251785"/>
    <w:rsid w:val="00252BC4"/>
    <w:rsid w:val="00254014"/>
    <w:rsid w:val="00254B39"/>
    <w:rsid w:val="00255AD4"/>
    <w:rsid w:val="00260C0D"/>
    <w:rsid w:val="0026504D"/>
    <w:rsid w:val="00267E8C"/>
    <w:rsid w:val="0027061F"/>
    <w:rsid w:val="00273A2F"/>
    <w:rsid w:val="00274154"/>
    <w:rsid w:val="00280986"/>
    <w:rsid w:val="00281ECE"/>
    <w:rsid w:val="002831C7"/>
    <w:rsid w:val="002840C6"/>
    <w:rsid w:val="00295174"/>
    <w:rsid w:val="00296172"/>
    <w:rsid w:val="00296B92"/>
    <w:rsid w:val="002A2C22"/>
    <w:rsid w:val="002B02EB"/>
    <w:rsid w:val="002B07F2"/>
    <w:rsid w:val="002C0602"/>
    <w:rsid w:val="002D5C16"/>
    <w:rsid w:val="002E21E3"/>
    <w:rsid w:val="002F2476"/>
    <w:rsid w:val="002F3DFF"/>
    <w:rsid w:val="002F4913"/>
    <w:rsid w:val="002F5E05"/>
    <w:rsid w:val="00300EFF"/>
    <w:rsid w:val="00307A76"/>
    <w:rsid w:val="0031455E"/>
    <w:rsid w:val="003146FA"/>
    <w:rsid w:val="00314763"/>
    <w:rsid w:val="00315A16"/>
    <w:rsid w:val="00317053"/>
    <w:rsid w:val="003207E2"/>
    <w:rsid w:val="0032109C"/>
    <w:rsid w:val="00322B45"/>
    <w:rsid w:val="00323809"/>
    <w:rsid w:val="00323D41"/>
    <w:rsid w:val="00325414"/>
    <w:rsid w:val="003302F1"/>
    <w:rsid w:val="00344097"/>
    <w:rsid w:val="0034470E"/>
    <w:rsid w:val="00350830"/>
    <w:rsid w:val="00352DB0"/>
    <w:rsid w:val="00354AAE"/>
    <w:rsid w:val="00361063"/>
    <w:rsid w:val="0037094A"/>
    <w:rsid w:val="00371ED3"/>
    <w:rsid w:val="00372659"/>
    <w:rsid w:val="00372FFC"/>
    <w:rsid w:val="00373772"/>
    <w:rsid w:val="0037728A"/>
    <w:rsid w:val="00380B7D"/>
    <w:rsid w:val="00381A99"/>
    <w:rsid w:val="003829C2"/>
    <w:rsid w:val="003830B2"/>
    <w:rsid w:val="00384724"/>
    <w:rsid w:val="00386A3C"/>
    <w:rsid w:val="00390B46"/>
    <w:rsid w:val="003919B7"/>
    <w:rsid w:val="00391D57"/>
    <w:rsid w:val="00392292"/>
    <w:rsid w:val="00394F45"/>
    <w:rsid w:val="003A28B7"/>
    <w:rsid w:val="003A5927"/>
    <w:rsid w:val="003B1017"/>
    <w:rsid w:val="003B3C07"/>
    <w:rsid w:val="003B4244"/>
    <w:rsid w:val="003B6081"/>
    <w:rsid w:val="003B6775"/>
    <w:rsid w:val="003C0D58"/>
    <w:rsid w:val="003C2202"/>
    <w:rsid w:val="003C5FE2"/>
    <w:rsid w:val="003C7C6A"/>
    <w:rsid w:val="003D05FB"/>
    <w:rsid w:val="003D1B16"/>
    <w:rsid w:val="003D45BF"/>
    <w:rsid w:val="003D508A"/>
    <w:rsid w:val="003D537F"/>
    <w:rsid w:val="003D7B75"/>
    <w:rsid w:val="003E00CE"/>
    <w:rsid w:val="003E0208"/>
    <w:rsid w:val="003E4B57"/>
    <w:rsid w:val="003E73F1"/>
    <w:rsid w:val="003F143E"/>
    <w:rsid w:val="003F27E1"/>
    <w:rsid w:val="003F2D4C"/>
    <w:rsid w:val="003F2D94"/>
    <w:rsid w:val="003F34CD"/>
    <w:rsid w:val="003F437A"/>
    <w:rsid w:val="003F5C2B"/>
    <w:rsid w:val="003F67CF"/>
    <w:rsid w:val="00402240"/>
    <w:rsid w:val="004023E9"/>
    <w:rsid w:val="0040454A"/>
    <w:rsid w:val="00407162"/>
    <w:rsid w:val="0041023F"/>
    <w:rsid w:val="00413F83"/>
    <w:rsid w:val="0041490C"/>
    <w:rsid w:val="00416191"/>
    <w:rsid w:val="00416721"/>
    <w:rsid w:val="00421EF0"/>
    <w:rsid w:val="004224FA"/>
    <w:rsid w:val="00423D07"/>
    <w:rsid w:val="00427936"/>
    <w:rsid w:val="00432928"/>
    <w:rsid w:val="004408EA"/>
    <w:rsid w:val="00440D79"/>
    <w:rsid w:val="00442F14"/>
    <w:rsid w:val="0044346F"/>
    <w:rsid w:val="00453FF6"/>
    <w:rsid w:val="004578E4"/>
    <w:rsid w:val="0046005C"/>
    <w:rsid w:val="0046520A"/>
    <w:rsid w:val="004671C7"/>
    <w:rsid w:val="004672AB"/>
    <w:rsid w:val="004714FE"/>
    <w:rsid w:val="00477BAA"/>
    <w:rsid w:val="004874F4"/>
    <w:rsid w:val="00495053"/>
    <w:rsid w:val="004A1F59"/>
    <w:rsid w:val="004A29BE"/>
    <w:rsid w:val="004A3225"/>
    <w:rsid w:val="004A33EE"/>
    <w:rsid w:val="004A3AA8"/>
    <w:rsid w:val="004A61EE"/>
    <w:rsid w:val="004B13C7"/>
    <w:rsid w:val="004B778F"/>
    <w:rsid w:val="004C0609"/>
    <w:rsid w:val="004C639F"/>
    <w:rsid w:val="004D141F"/>
    <w:rsid w:val="004D2742"/>
    <w:rsid w:val="004D2EA9"/>
    <w:rsid w:val="004D6310"/>
    <w:rsid w:val="004E0062"/>
    <w:rsid w:val="004E05A1"/>
    <w:rsid w:val="004E2A6E"/>
    <w:rsid w:val="004E57F8"/>
    <w:rsid w:val="004E7F21"/>
    <w:rsid w:val="004F472A"/>
    <w:rsid w:val="004F5E57"/>
    <w:rsid w:val="004F6710"/>
    <w:rsid w:val="00500C3E"/>
    <w:rsid w:val="00502849"/>
    <w:rsid w:val="00504334"/>
    <w:rsid w:val="0050498D"/>
    <w:rsid w:val="005104D7"/>
    <w:rsid w:val="00510B9E"/>
    <w:rsid w:val="005168CF"/>
    <w:rsid w:val="00517F83"/>
    <w:rsid w:val="00536BC2"/>
    <w:rsid w:val="00540D23"/>
    <w:rsid w:val="005425E1"/>
    <w:rsid w:val="005427C5"/>
    <w:rsid w:val="00542CF6"/>
    <w:rsid w:val="00550C77"/>
    <w:rsid w:val="00553C03"/>
    <w:rsid w:val="005548E7"/>
    <w:rsid w:val="005562DA"/>
    <w:rsid w:val="00557264"/>
    <w:rsid w:val="00560DDA"/>
    <w:rsid w:val="00563692"/>
    <w:rsid w:val="00566D4E"/>
    <w:rsid w:val="00571679"/>
    <w:rsid w:val="00571E06"/>
    <w:rsid w:val="00572794"/>
    <w:rsid w:val="00576171"/>
    <w:rsid w:val="00577A9A"/>
    <w:rsid w:val="00584235"/>
    <w:rsid w:val="005844E7"/>
    <w:rsid w:val="005847F1"/>
    <w:rsid w:val="00590004"/>
    <w:rsid w:val="005908B8"/>
    <w:rsid w:val="0059512E"/>
    <w:rsid w:val="005968BB"/>
    <w:rsid w:val="005A1BFA"/>
    <w:rsid w:val="005A6DD2"/>
    <w:rsid w:val="005B43EF"/>
    <w:rsid w:val="005C385D"/>
    <w:rsid w:val="005C3B5A"/>
    <w:rsid w:val="005D3B20"/>
    <w:rsid w:val="005D71B7"/>
    <w:rsid w:val="005E1798"/>
    <w:rsid w:val="005E462A"/>
    <w:rsid w:val="005E4759"/>
    <w:rsid w:val="005E5C68"/>
    <w:rsid w:val="005E65C0"/>
    <w:rsid w:val="005F0390"/>
    <w:rsid w:val="005F53A0"/>
    <w:rsid w:val="005F755B"/>
    <w:rsid w:val="00604EB6"/>
    <w:rsid w:val="00604F38"/>
    <w:rsid w:val="006072CD"/>
    <w:rsid w:val="0060773A"/>
    <w:rsid w:val="00607B89"/>
    <w:rsid w:val="00612023"/>
    <w:rsid w:val="00614190"/>
    <w:rsid w:val="006167D4"/>
    <w:rsid w:val="00622A99"/>
    <w:rsid w:val="00622E67"/>
    <w:rsid w:val="00625DAB"/>
    <w:rsid w:val="00626B57"/>
    <w:rsid w:val="00626EDC"/>
    <w:rsid w:val="0064434E"/>
    <w:rsid w:val="006452D3"/>
    <w:rsid w:val="006470EC"/>
    <w:rsid w:val="006478E1"/>
    <w:rsid w:val="006542D6"/>
    <w:rsid w:val="00654FF9"/>
    <w:rsid w:val="0065598E"/>
    <w:rsid w:val="00655AF2"/>
    <w:rsid w:val="00655BC5"/>
    <w:rsid w:val="006568BE"/>
    <w:rsid w:val="00656903"/>
    <w:rsid w:val="0066025D"/>
    <w:rsid w:val="0066091A"/>
    <w:rsid w:val="00661675"/>
    <w:rsid w:val="00672041"/>
    <w:rsid w:val="0067433C"/>
    <w:rsid w:val="00675EBF"/>
    <w:rsid w:val="006773EC"/>
    <w:rsid w:val="00677FCD"/>
    <w:rsid w:val="00680504"/>
    <w:rsid w:val="00681CD9"/>
    <w:rsid w:val="0068347B"/>
    <w:rsid w:val="00683E30"/>
    <w:rsid w:val="00687024"/>
    <w:rsid w:val="006915CB"/>
    <w:rsid w:val="00695E22"/>
    <w:rsid w:val="00697242"/>
    <w:rsid w:val="006A2AD9"/>
    <w:rsid w:val="006B7093"/>
    <w:rsid w:val="006B7417"/>
    <w:rsid w:val="006B750E"/>
    <w:rsid w:val="006C0257"/>
    <w:rsid w:val="006C5D04"/>
    <w:rsid w:val="006D2309"/>
    <w:rsid w:val="006D31F9"/>
    <w:rsid w:val="006D3691"/>
    <w:rsid w:val="006E0765"/>
    <w:rsid w:val="006E5EF0"/>
    <w:rsid w:val="006F3117"/>
    <w:rsid w:val="006F3563"/>
    <w:rsid w:val="006F42B9"/>
    <w:rsid w:val="006F6103"/>
    <w:rsid w:val="0070082F"/>
    <w:rsid w:val="00702AF1"/>
    <w:rsid w:val="0070426D"/>
    <w:rsid w:val="00704B9C"/>
    <w:rsid w:val="00704E00"/>
    <w:rsid w:val="007209E7"/>
    <w:rsid w:val="00722D57"/>
    <w:rsid w:val="00723EB9"/>
    <w:rsid w:val="00726182"/>
    <w:rsid w:val="00727635"/>
    <w:rsid w:val="00732329"/>
    <w:rsid w:val="007337CA"/>
    <w:rsid w:val="00733C98"/>
    <w:rsid w:val="00734CE4"/>
    <w:rsid w:val="00735123"/>
    <w:rsid w:val="00741837"/>
    <w:rsid w:val="007453E6"/>
    <w:rsid w:val="00753ACC"/>
    <w:rsid w:val="00754789"/>
    <w:rsid w:val="007548E3"/>
    <w:rsid w:val="007571AA"/>
    <w:rsid w:val="007700D6"/>
    <w:rsid w:val="00770453"/>
    <w:rsid w:val="0077309D"/>
    <w:rsid w:val="007772C1"/>
    <w:rsid w:val="007774EE"/>
    <w:rsid w:val="007801CA"/>
    <w:rsid w:val="00781822"/>
    <w:rsid w:val="00783F21"/>
    <w:rsid w:val="00784DF2"/>
    <w:rsid w:val="00786AE0"/>
    <w:rsid w:val="00787159"/>
    <w:rsid w:val="0079043A"/>
    <w:rsid w:val="00791668"/>
    <w:rsid w:val="00791AA1"/>
    <w:rsid w:val="007A119A"/>
    <w:rsid w:val="007A3793"/>
    <w:rsid w:val="007B157B"/>
    <w:rsid w:val="007B17D8"/>
    <w:rsid w:val="007B585B"/>
    <w:rsid w:val="007C1BA2"/>
    <w:rsid w:val="007C2B48"/>
    <w:rsid w:val="007D20E9"/>
    <w:rsid w:val="007D363D"/>
    <w:rsid w:val="007D7881"/>
    <w:rsid w:val="007D7E3A"/>
    <w:rsid w:val="007E0E10"/>
    <w:rsid w:val="007E3873"/>
    <w:rsid w:val="007E4768"/>
    <w:rsid w:val="007E61D9"/>
    <w:rsid w:val="007E777B"/>
    <w:rsid w:val="007F2070"/>
    <w:rsid w:val="007F272C"/>
    <w:rsid w:val="007F63C1"/>
    <w:rsid w:val="008047E0"/>
    <w:rsid w:val="008053F5"/>
    <w:rsid w:val="00805FB2"/>
    <w:rsid w:val="00807AF7"/>
    <w:rsid w:val="00810198"/>
    <w:rsid w:val="00812DAB"/>
    <w:rsid w:val="00814DC3"/>
    <w:rsid w:val="00815DA8"/>
    <w:rsid w:val="0082194D"/>
    <w:rsid w:val="008221F9"/>
    <w:rsid w:val="00823A38"/>
    <w:rsid w:val="00824930"/>
    <w:rsid w:val="00826EF5"/>
    <w:rsid w:val="00831693"/>
    <w:rsid w:val="00836847"/>
    <w:rsid w:val="00840104"/>
    <w:rsid w:val="00840C1F"/>
    <w:rsid w:val="008411C9"/>
    <w:rsid w:val="00841FC5"/>
    <w:rsid w:val="0084293C"/>
    <w:rsid w:val="00842A71"/>
    <w:rsid w:val="00843D0F"/>
    <w:rsid w:val="00845709"/>
    <w:rsid w:val="008576BD"/>
    <w:rsid w:val="00860463"/>
    <w:rsid w:val="008649F1"/>
    <w:rsid w:val="00865314"/>
    <w:rsid w:val="00872E93"/>
    <w:rsid w:val="008733DA"/>
    <w:rsid w:val="008823CA"/>
    <w:rsid w:val="008850E4"/>
    <w:rsid w:val="00886965"/>
    <w:rsid w:val="008904A0"/>
    <w:rsid w:val="008939AB"/>
    <w:rsid w:val="008946AD"/>
    <w:rsid w:val="00897783"/>
    <w:rsid w:val="008A12F5"/>
    <w:rsid w:val="008A3671"/>
    <w:rsid w:val="008B1587"/>
    <w:rsid w:val="008B1B01"/>
    <w:rsid w:val="008B33A5"/>
    <w:rsid w:val="008B3BCD"/>
    <w:rsid w:val="008B6DF8"/>
    <w:rsid w:val="008C106C"/>
    <w:rsid w:val="008C10F1"/>
    <w:rsid w:val="008C1926"/>
    <w:rsid w:val="008C1E99"/>
    <w:rsid w:val="008D6DA3"/>
    <w:rsid w:val="008E0085"/>
    <w:rsid w:val="008E05B9"/>
    <w:rsid w:val="008E2AA6"/>
    <w:rsid w:val="008E311B"/>
    <w:rsid w:val="008F1458"/>
    <w:rsid w:val="008F42CF"/>
    <w:rsid w:val="008F46E7"/>
    <w:rsid w:val="008F64CA"/>
    <w:rsid w:val="008F6F0B"/>
    <w:rsid w:val="008F7E4B"/>
    <w:rsid w:val="00907BA7"/>
    <w:rsid w:val="0091064E"/>
    <w:rsid w:val="00911FC5"/>
    <w:rsid w:val="00914D60"/>
    <w:rsid w:val="00922FDA"/>
    <w:rsid w:val="00931A10"/>
    <w:rsid w:val="00944AD2"/>
    <w:rsid w:val="00947967"/>
    <w:rsid w:val="00955201"/>
    <w:rsid w:val="00965200"/>
    <w:rsid w:val="009668B3"/>
    <w:rsid w:val="0097032A"/>
    <w:rsid w:val="00971471"/>
    <w:rsid w:val="0097280C"/>
    <w:rsid w:val="00973FCC"/>
    <w:rsid w:val="00981469"/>
    <w:rsid w:val="00981DB1"/>
    <w:rsid w:val="0098417E"/>
    <w:rsid w:val="009845B6"/>
    <w:rsid w:val="009849C2"/>
    <w:rsid w:val="00984D24"/>
    <w:rsid w:val="009858EB"/>
    <w:rsid w:val="00995D62"/>
    <w:rsid w:val="00996BC0"/>
    <w:rsid w:val="009A3F47"/>
    <w:rsid w:val="009B0046"/>
    <w:rsid w:val="009B41B2"/>
    <w:rsid w:val="009B5192"/>
    <w:rsid w:val="009C1440"/>
    <w:rsid w:val="009C2107"/>
    <w:rsid w:val="009C4F6A"/>
    <w:rsid w:val="009C5D9E"/>
    <w:rsid w:val="009C789A"/>
    <w:rsid w:val="009D2C3E"/>
    <w:rsid w:val="009D54AC"/>
    <w:rsid w:val="009D72D0"/>
    <w:rsid w:val="009E0625"/>
    <w:rsid w:val="009E2F64"/>
    <w:rsid w:val="009E3034"/>
    <w:rsid w:val="009E549F"/>
    <w:rsid w:val="009F1D02"/>
    <w:rsid w:val="009F28A8"/>
    <w:rsid w:val="009F473E"/>
    <w:rsid w:val="009F48AD"/>
    <w:rsid w:val="009F5247"/>
    <w:rsid w:val="009F58D1"/>
    <w:rsid w:val="009F60E8"/>
    <w:rsid w:val="009F682A"/>
    <w:rsid w:val="00A022BE"/>
    <w:rsid w:val="00A07AD9"/>
    <w:rsid w:val="00A07B4B"/>
    <w:rsid w:val="00A07E34"/>
    <w:rsid w:val="00A2420F"/>
    <w:rsid w:val="00A24245"/>
    <w:rsid w:val="00A24C95"/>
    <w:rsid w:val="00A2599A"/>
    <w:rsid w:val="00A26094"/>
    <w:rsid w:val="00A301BF"/>
    <w:rsid w:val="00A302B2"/>
    <w:rsid w:val="00A331B4"/>
    <w:rsid w:val="00A3484E"/>
    <w:rsid w:val="00A356D3"/>
    <w:rsid w:val="00A36ADA"/>
    <w:rsid w:val="00A37C4D"/>
    <w:rsid w:val="00A413A5"/>
    <w:rsid w:val="00A438D8"/>
    <w:rsid w:val="00A45050"/>
    <w:rsid w:val="00A473F5"/>
    <w:rsid w:val="00A51F9D"/>
    <w:rsid w:val="00A5416A"/>
    <w:rsid w:val="00A56D07"/>
    <w:rsid w:val="00A639F4"/>
    <w:rsid w:val="00A65864"/>
    <w:rsid w:val="00A65FAE"/>
    <w:rsid w:val="00A6613A"/>
    <w:rsid w:val="00A70FCD"/>
    <w:rsid w:val="00A73C40"/>
    <w:rsid w:val="00A81A32"/>
    <w:rsid w:val="00A835BD"/>
    <w:rsid w:val="00A864A3"/>
    <w:rsid w:val="00A90729"/>
    <w:rsid w:val="00A95DB6"/>
    <w:rsid w:val="00A97B15"/>
    <w:rsid w:val="00AA42D5"/>
    <w:rsid w:val="00AB2FAB"/>
    <w:rsid w:val="00AB5C14"/>
    <w:rsid w:val="00AC1EE7"/>
    <w:rsid w:val="00AC24AB"/>
    <w:rsid w:val="00AC333F"/>
    <w:rsid w:val="00AC585C"/>
    <w:rsid w:val="00AD0096"/>
    <w:rsid w:val="00AD1925"/>
    <w:rsid w:val="00AE067D"/>
    <w:rsid w:val="00AF1181"/>
    <w:rsid w:val="00AF2F79"/>
    <w:rsid w:val="00AF4653"/>
    <w:rsid w:val="00AF7DB7"/>
    <w:rsid w:val="00B01F7F"/>
    <w:rsid w:val="00B10D02"/>
    <w:rsid w:val="00B146FC"/>
    <w:rsid w:val="00B201E2"/>
    <w:rsid w:val="00B33324"/>
    <w:rsid w:val="00B42B1D"/>
    <w:rsid w:val="00B443E4"/>
    <w:rsid w:val="00B50DB2"/>
    <w:rsid w:val="00B5356C"/>
    <w:rsid w:val="00B539A3"/>
    <w:rsid w:val="00B5484D"/>
    <w:rsid w:val="00B563EA"/>
    <w:rsid w:val="00B56CDF"/>
    <w:rsid w:val="00B60471"/>
    <w:rsid w:val="00B60E51"/>
    <w:rsid w:val="00B61BA9"/>
    <w:rsid w:val="00B63A54"/>
    <w:rsid w:val="00B728FA"/>
    <w:rsid w:val="00B77D18"/>
    <w:rsid w:val="00B8313A"/>
    <w:rsid w:val="00B9180E"/>
    <w:rsid w:val="00B93503"/>
    <w:rsid w:val="00BA21FB"/>
    <w:rsid w:val="00BA31E8"/>
    <w:rsid w:val="00BA43CB"/>
    <w:rsid w:val="00BA55E0"/>
    <w:rsid w:val="00BA6BD4"/>
    <w:rsid w:val="00BA6C7A"/>
    <w:rsid w:val="00BB17D1"/>
    <w:rsid w:val="00BB3752"/>
    <w:rsid w:val="00BB5DDE"/>
    <w:rsid w:val="00BB65EA"/>
    <w:rsid w:val="00BB6688"/>
    <w:rsid w:val="00BC26D4"/>
    <w:rsid w:val="00BC3EE0"/>
    <w:rsid w:val="00BC42FF"/>
    <w:rsid w:val="00BC567B"/>
    <w:rsid w:val="00BC61AA"/>
    <w:rsid w:val="00BD6A13"/>
    <w:rsid w:val="00BE0C80"/>
    <w:rsid w:val="00BF1B20"/>
    <w:rsid w:val="00BF2A42"/>
    <w:rsid w:val="00C03D8C"/>
    <w:rsid w:val="00C055EC"/>
    <w:rsid w:val="00C10DC9"/>
    <w:rsid w:val="00C11CED"/>
    <w:rsid w:val="00C11F2E"/>
    <w:rsid w:val="00C12FB3"/>
    <w:rsid w:val="00C13F0D"/>
    <w:rsid w:val="00C17341"/>
    <w:rsid w:val="00C20638"/>
    <w:rsid w:val="00C21D69"/>
    <w:rsid w:val="00C22500"/>
    <w:rsid w:val="00C24EEF"/>
    <w:rsid w:val="00C25CF6"/>
    <w:rsid w:val="00C26C36"/>
    <w:rsid w:val="00C27D5C"/>
    <w:rsid w:val="00C32768"/>
    <w:rsid w:val="00C34B43"/>
    <w:rsid w:val="00C431DF"/>
    <w:rsid w:val="00C456BD"/>
    <w:rsid w:val="00C45D43"/>
    <w:rsid w:val="00C460B3"/>
    <w:rsid w:val="00C530DC"/>
    <w:rsid w:val="00C5350D"/>
    <w:rsid w:val="00C53E59"/>
    <w:rsid w:val="00C6123C"/>
    <w:rsid w:val="00C62D9B"/>
    <w:rsid w:val="00C6311A"/>
    <w:rsid w:val="00C6316E"/>
    <w:rsid w:val="00C7084D"/>
    <w:rsid w:val="00C71808"/>
    <w:rsid w:val="00C71ADE"/>
    <w:rsid w:val="00C71F29"/>
    <w:rsid w:val="00C7315E"/>
    <w:rsid w:val="00C75895"/>
    <w:rsid w:val="00C8140D"/>
    <w:rsid w:val="00C83149"/>
    <w:rsid w:val="00C83C9F"/>
    <w:rsid w:val="00C84B96"/>
    <w:rsid w:val="00C8591E"/>
    <w:rsid w:val="00C94519"/>
    <w:rsid w:val="00C94840"/>
    <w:rsid w:val="00C94D92"/>
    <w:rsid w:val="00C956EF"/>
    <w:rsid w:val="00CA06E1"/>
    <w:rsid w:val="00CA4EE3"/>
    <w:rsid w:val="00CB027F"/>
    <w:rsid w:val="00CC0EBB"/>
    <w:rsid w:val="00CC351F"/>
    <w:rsid w:val="00CC6297"/>
    <w:rsid w:val="00CC7690"/>
    <w:rsid w:val="00CC7887"/>
    <w:rsid w:val="00CD1632"/>
    <w:rsid w:val="00CD1986"/>
    <w:rsid w:val="00CD54BF"/>
    <w:rsid w:val="00CD65AE"/>
    <w:rsid w:val="00CD6777"/>
    <w:rsid w:val="00CE4D5C"/>
    <w:rsid w:val="00CF05DA"/>
    <w:rsid w:val="00CF4A1E"/>
    <w:rsid w:val="00CF58EB"/>
    <w:rsid w:val="00CF6FEC"/>
    <w:rsid w:val="00D0106E"/>
    <w:rsid w:val="00D033D5"/>
    <w:rsid w:val="00D06383"/>
    <w:rsid w:val="00D1000E"/>
    <w:rsid w:val="00D124F6"/>
    <w:rsid w:val="00D15516"/>
    <w:rsid w:val="00D20D26"/>
    <w:rsid w:val="00D20E85"/>
    <w:rsid w:val="00D24615"/>
    <w:rsid w:val="00D255C8"/>
    <w:rsid w:val="00D36C85"/>
    <w:rsid w:val="00D37842"/>
    <w:rsid w:val="00D42DC2"/>
    <w:rsid w:val="00D4302B"/>
    <w:rsid w:val="00D537E1"/>
    <w:rsid w:val="00D54A05"/>
    <w:rsid w:val="00D5573E"/>
    <w:rsid w:val="00D55BB2"/>
    <w:rsid w:val="00D5799C"/>
    <w:rsid w:val="00D6091A"/>
    <w:rsid w:val="00D637F3"/>
    <w:rsid w:val="00D65DB9"/>
    <w:rsid w:val="00D6605A"/>
    <w:rsid w:val="00D6695F"/>
    <w:rsid w:val="00D72355"/>
    <w:rsid w:val="00D75644"/>
    <w:rsid w:val="00D81656"/>
    <w:rsid w:val="00D83D87"/>
    <w:rsid w:val="00D846D0"/>
    <w:rsid w:val="00D84A6D"/>
    <w:rsid w:val="00D85A80"/>
    <w:rsid w:val="00D86A30"/>
    <w:rsid w:val="00D97CB4"/>
    <w:rsid w:val="00D97DD4"/>
    <w:rsid w:val="00DA5594"/>
    <w:rsid w:val="00DA5A8A"/>
    <w:rsid w:val="00DB1170"/>
    <w:rsid w:val="00DB26CD"/>
    <w:rsid w:val="00DB441C"/>
    <w:rsid w:val="00DB44AF"/>
    <w:rsid w:val="00DC001D"/>
    <w:rsid w:val="00DC1F58"/>
    <w:rsid w:val="00DC339B"/>
    <w:rsid w:val="00DC5D40"/>
    <w:rsid w:val="00DC69A7"/>
    <w:rsid w:val="00DD30E9"/>
    <w:rsid w:val="00DD4F47"/>
    <w:rsid w:val="00DD7FBB"/>
    <w:rsid w:val="00DE0B9F"/>
    <w:rsid w:val="00DE2A9E"/>
    <w:rsid w:val="00DE4238"/>
    <w:rsid w:val="00DE5C44"/>
    <w:rsid w:val="00DE657F"/>
    <w:rsid w:val="00DE7509"/>
    <w:rsid w:val="00DF1218"/>
    <w:rsid w:val="00DF5822"/>
    <w:rsid w:val="00DF6462"/>
    <w:rsid w:val="00E02FA0"/>
    <w:rsid w:val="00E036DC"/>
    <w:rsid w:val="00E056B9"/>
    <w:rsid w:val="00E06D5E"/>
    <w:rsid w:val="00E07477"/>
    <w:rsid w:val="00E10454"/>
    <w:rsid w:val="00E112E5"/>
    <w:rsid w:val="00E122D8"/>
    <w:rsid w:val="00E12CC8"/>
    <w:rsid w:val="00E15352"/>
    <w:rsid w:val="00E21CC7"/>
    <w:rsid w:val="00E24D9E"/>
    <w:rsid w:val="00E25849"/>
    <w:rsid w:val="00E3197E"/>
    <w:rsid w:val="00E342F8"/>
    <w:rsid w:val="00E351ED"/>
    <w:rsid w:val="00E42B19"/>
    <w:rsid w:val="00E55EA3"/>
    <w:rsid w:val="00E6034B"/>
    <w:rsid w:val="00E603F1"/>
    <w:rsid w:val="00E6549E"/>
    <w:rsid w:val="00E65EDE"/>
    <w:rsid w:val="00E70F81"/>
    <w:rsid w:val="00E7321C"/>
    <w:rsid w:val="00E77055"/>
    <w:rsid w:val="00E77460"/>
    <w:rsid w:val="00E83ABC"/>
    <w:rsid w:val="00E844F2"/>
    <w:rsid w:val="00E90AD0"/>
    <w:rsid w:val="00E92FCB"/>
    <w:rsid w:val="00E94AA3"/>
    <w:rsid w:val="00E94FA6"/>
    <w:rsid w:val="00E95056"/>
    <w:rsid w:val="00EA147F"/>
    <w:rsid w:val="00EA4881"/>
    <w:rsid w:val="00EA4A27"/>
    <w:rsid w:val="00EA4FA6"/>
    <w:rsid w:val="00EA5295"/>
    <w:rsid w:val="00EA7745"/>
    <w:rsid w:val="00EB1A25"/>
    <w:rsid w:val="00EC234A"/>
    <w:rsid w:val="00EC7363"/>
    <w:rsid w:val="00ED03AB"/>
    <w:rsid w:val="00ED1963"/>
    <w:rsid w:val="00ED1CD4"/>
    <w:rsid w:val="00ED1D2B"/>
    <w:rsid w:val="00ED33AE"/>
    <w:rsid w:val="00ED64B5"/>
    <w:rsid w:val="00EE78D3"/>
    <w:rsid w:val="00EE7CCA"/>
    <w:rsid w:val="00EF30EB"/>
    <w:rsid w:val="00EF54A5"/>
    <w:rsid w:val="00F02149"/>
    <w:rsid w:val="00F06E53"/>
    <w:rsid w:val="00F07F82"/>
    <w:rsid w:val="00F1284C"/>
    <w:rsid w:val="00F16A14"/>
    <w:rsid w:val="00F31532"/>
    <w:rsid w:val="00F33ED8"/>
    <w:rsid w:val="00F340CF"/>
    <w:rsid w:val="00F34A93"/>
    <w:rsid w:val="00F362D7"/>
    <w:rsid w:val="00F37D7B"/>
    <w:rsid w:val="00F44910"/>
    <w:rsid w:val="00F5314C"/>
    <w:rsid w:val="00F5688C"/>
    <w:rsid w:val="00F60048"/>
    <w:rsid w:val="00F635DD"/>
    <w:rsid w:val="00F6627B"/>
    <w:rsid w:val="00F7336E"/>
    <w:rsid w:val="00F734F2"/>
    <w:rsid w:val="00F75052"/>
    <w:rsid w:val="00F77268"/>
    <w:rsid w:val="00F804D3"/>
    <w:rsid w:val="00F816CB"/>
    <w:rsid w:val="00F81CD2"/>
    <w:rsid w:val="00F82641"/>
    <w:rsid w:val="00F8337F"/>
    <w:rsid w:val="00F90F18"/>
    <w:rsid w:val="00F937E4"/>
    <w:rsid w:val="00F9384F"/>
    <w:rsid w:val="00F95EE7"/>
    <w:rsid w:val="00F97239"/>
    <w:rsid w:val="00FA39E6"/>
    <w:rsid w:val="00FA7BC9"/>
    <w:rsid w:val="00FB378E"/>
    <w:rsid w:val="00FB37F1"/>
    <w:rsid w:val="00FB47C0"/>
    <w:rsid w:val="00FB501B"/>
    <w:rsid w:val="00FB719A"/>
    <w:rsid w:val="00FB7770"/>
    <w:rsid w:val="00FB7C00"/>
    <w:rsid w:val="00FC0864"/>
    <w:rsid w:val="00FD231D"/>
    <w:rsid w:val="00FD2F83"/>
    <w:rsid w:val="00FD3B91"/>
    <w:rsid w:val="00FD5015"/>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題 (4),List Paragraph,(二),1.1.1.1清單段落,列點,清單段落2,1.1,參考文獻,01章名,樣式A,圖標,卑南壹,詳細說明,Footnote Sam,List Paragraph (numbered (a)),Text,Noise heading,RUS List,Rec para,Dot pt,F5 List Paragraph,No Spacing1,List Paragraph Char Char Char,Indicator Text,numbered"/>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8E05B9"/>
    <w:rPr>
      <w:rFonts w:ascii="標楷體" w:eastAsia="標楷體" w:hAnsi="Arial"/>
      <w:bCs/>
      <w:kern w:val="32"/>
      <w:sz w:val="32"/>
      <w:szCs w:val="36"/>
    </w:rPr>
  </w:style>
  <w:style w:type="character" w:customStyle="1" w:styleId="40">
    <w:name w:val="標題 4 字元"/>
    <w:aliases w:val="表格 字元,一 字元"/>
    <w:basedOn w:val="a7"/>
    <w:link w:val="4"/>
    <w:rsid w:val="008E05B9"/>
    <w:rPr>
      <w:rFonts w:ascii="標楷體" w:eastAsia="標楷體" w:hAnsi="Arial"/>
      <w:kern w:val="32"/>
      <w:sz w:val="32"/>
      <w:szCs w:val="36"/>
    </w:rPr>
  </w:style>
  <w:style w:type="paragraph" w:styleId="afd">
    <w:name w:val="Revision"/>
    <w:hidden/>
    <w:uiPriority w:val="99"/>
    <w:semiHidden/>
    <w:rsid w:val="008E05B9"/>
    <w:rPr>
      <w:rFonts w:ascii="標楷體" w:eastAsia="標楷體"/>
      <w:kern w:val="2"/>
      <w:sz w:val="32"/>
    </w:rPr>
  </w:style>
  <w:style w:type="paragraph" w:styleId="afe">
    <w:name w:val="footnote text"/>
    <w:basedOn w:val="a6"/>
    <w:link w:val="aff"/>
    <w:uiPriority w:val="99"/>
    <w:semiHidden/>
    <w:unhideWhenUsed/>
    <w:rsid w:val="008E05B9"/>
    <w:pPr>
      <w:snapToGrid w:val="0"/>
      <w:jc w:val="left"/>
    </w:pPr>
    <w:rPr>
      <w:sz w:val="20"/>
    </w:rPr>
  </w:style>
  <w:style w:type="character" w:customStyle="1" w:styleId="aff">
    <w:name w:val="註腳文字 字元"/>
    <w:basedOn w:val="a7"/>
    <w:link w:val="afe"/>
    <w:uiPriority w:val="99"/>
    <w:semiHidden/>
    <w:rsid w:val="008E05B9"/>
    <w:rPr>
      <w:rFonts w:ascii="標楷體" w:eastAsia="標楷體"/>
      <w:kern w:val="2"/>
    </w:rPr>
  </w:style>
  <w:style w:type="character" w:styleId="aff0">
    <w:name w:val="footnote reference"/>
    <w:basedOn w:val="a7"/>
    <w:uiPriority w:val="99"/>
    <w:semiHidden/>
    <w:unhideWhenUsed/>
    <w:rsid w:val="008E05B9"/>
    <w:rPr>
      <w:vertAlign w:val="superscript"/>
    </w:rPr>
  </w:style>
  <w:style w:type="character" w:customStyle="1" w:styleId="af8">
    <w:name w:val="清單段落 字元"/>
    <w:aliases w:val="標題 (4) 字元,List Paragraph 字元,(二) 字元,1.1.1.1清單段落 字元,列點 字元,清單段落2 字元,1.1 字元,參考文獻 字元,01章名 字元,樣式A 字元,圖標 字元,卑南壹 字元,詳細說明 字元,Footnote Sam 字元,List Paragraph (numbered (a)) 字元,Text 字元,Noise heading 字元,RUS List 字元,Rec para 字元,Dot pt 字元,F5 List Paragraph 字元"/>
    <w:basedOn w:val="a7"/>
    <w:link w:val="af7"/>
    <w:uiPriority w:val="34"/>
    <w:qFormat/>
    <w:rsid w:val="007F272C"/>
    <w:rPr>
      <w:rFonts w:ascii="標楷體" w:eastAsia="標楷體"/>
      <w:kern w:val="2"/>
      <w:sz w:val="32"/>
    </w:rPr>
  </w:style>
  <w:style w:type="paragraph" w:styleId="aff1">
    <w:name w:val="Body Text"/>
    <w:basedOn w:val="a6"/>
    <w:link w:val="aff2"/>
    <w:rsid w:val="001D68DE"/>
    <w:pPr>
      <w:kinsoku/>
      <w:overflowPunct/>
      <w:autoSpaceDE/>
      <w:autoSpaceDN/>
      <w:spacing w:after="120"/>
      <w:jc w:val="left"/>
    </w:pPr>
    <w:rPr>
      <w:rFonts w:ascii="Times New Roman"/>
      <w:sz w:val="36"/>
    </w:rPr>
  </w:style>
  <w:style w:type="character" w:customStyle="1" w:styleId="aff2">
    <w:name w:val="本文 字元"/>
    <w:basedOn w:val="a7"/>
    <w:link w:val="aff1"/>
    <w:rsid w:val="001D68DE"/>
    <w:rPr>
      <w:rFonts w:eastAsia="標楷體"/>
      <w:kern w:val="2"/>
      <w:sz w:val="36"/>
    </w:rPr>
  </w:style>
  <w:style w:type="paragraph" w:customStyle="1" w:styleId="-1">
    <w:name w:val="-1"/>
    <w:basedOn w:val="a6"/>
    <w:rsid w:val="001D68DE"/>
    <w:pPr>
      <w:kinsoku/>
      <w:overflowPunct/>
      <w:autoSpaceDE/>
      <w:autoSpaceDN/>
      <w:spacing w:line="305" w:lineRule="auto"/>
      <w:ind w:left="964" w:firstLine="646"/>
    </w:pPr>
  </w:style>
  <w:style w:type="paragraph" w:customStyle="1" w:styleId="13">
    <w:name w:val="1"/>
    <w:basedOn w:val="-1"/>
    <w:rsid w:val="001D68DE"/>
    <w:pPr>
      <w:ind w:left="1304" w:hanging="323"/>
    </w:pPr>
  </w:style>
  <w:style w:type="paragraph" w:styleId="Web">
    <w:name w:val="Normal (Web)"/>
    <w:basedOn w:val="a6"/>
    <w:uiPriority w:val="99"/>
    <w:unhideWhenUsed/>
    <w:rsid w:val="00F97239"/>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5">
    <w:name w:val="註解文字 字元1"/>
    <w:link w:val="aff3"/>
    <w:semiHidden/>
    <w:rsid w:val="0064434E"/>
    <w:rPr>
      <w:rFonts w:eastAsia="標楷體"/>
      <w:kern w:val="2"/>
      <w:sz w:val="32"/>
    </w:rPr>
  </w:style>
  <w:style w:type="paragraph" w:styleId="aff3">
    <w:name w:val="annotation text"/>
    <w:basedOn w:val="a6"/>
    <w:link w:val="15"/>
    <w:semiHidden/>
    <w:unhideWhenUsed/>
    <w:rsid w:val="0064434E"/>
    <w:pPr>
      <w:jc w:val="left"/>
    </w:pPr>
    <w:rPr>
      <w:rFonts w:ascii="Times New Roman"/>
    </w:rPr>
  </w:style>
  <w:style w:type="character" w:customStyle="1" w:styleId="aff4">
    <w:name w:val="註解文字 字元"/>
    <w:basedOn w:val="a7"/>
    <w:uiPriority w:val="99"/>
    <w:semiHidden/>
    <w:rsid w:val="0064434E"/>
    <w:rPr>
      <w:rFonts w:ascii="標楷體" w:eastAsia="標楷體"/>
      <w:kern w:val="2"/>
      <w:sz w:val="32"/>
    </w:rPr>
  </w:style>
  <w:style w:type="character" w:styleId="aff5">
    <w:name w:val="Unresolved Mention"/>
    <w:basedOn w:val="a7"/>
    <w:uiPriority w:val="99"/>
    <w:semiHidden/>
    <w:unhideWhenUsed/>
    <w:rsid w:val="006167D4"/>
    <w:rPr>
      <w:color w:val="605E5C"/>
      <w:shd w:val="clear" w:color="auto" w:fill="E1DFDD"/>
    </w:rPr>
  </w:style>
  <w:style w:type="paragraph" w:customStyle="1" w:styleId="z1qcye">
    <w:name w:val="z1qcye"/>
    <w:basedOn w:val="a6"/>
    <w:rsid w:val="009F48AD"/>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286pc">
    <w:name w:val="t286pc"/>
    <w:basedOn w:val="a7"/>
    <w:rsid w:val="009F48AD"/>
  </w:style>
  <w:style w:type="character" w:styleId="aff6">
    <w:name w:val="Strong"/>
    <w:basedOn w:val="a7"/>
    <w:uiPriority w:val="22"/>
    <w:qFormat/>
    <w:rsid w:val="009F48AD"/>
    <w:rPr>
      <w:b/>
      <w:bCs/>
    </w:rPr>
  </w:style>
  <w:style w:type="character" w:styleId="aff7">
    <w:name w:val="endnote reference"/>
    <w:basedOn w:val="a7"/>
    <w:uiPriority w:val="99"/>
    <w:semiHidden/>
    <w:unhideWhenUsed/>
    <w:rsid w:val="008D6DA3"/>
    <w:rPr>
      <w:vertAlign w:val="superscript"/>
    </w:rPr>
  </w:style>
  <w:style w:type="character" w:styleId="aff8">
    <w:name w:val="Placeholder Text"/>
    <w:basedOn w:val="a7"/>
    <w:uiPriority w:val="99"/>
    <w:semiHidden/>
    <w:rsid w:val="00041D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3704">
      <w:bodyDiv w:val="1"/>
      <w:marLeft w:val="0"/>
      <w:marRight w:val="0"/>
      <w:marTop w:val="0"/>
      <w:marBottom w:val="0"/>
      <w:divBdr>
        <w:top w:val="none" w:sz="0" w:space="0" w:color="auto"/>
        <w:left w:val="none" w:sz="0" w:space="0" w:color="auto"/>
        <w:bottom w:val="none" w:sz="0" w:space="0" w:color="auto"/>
        <w:right w:val="none" w:sz="0" w:space="0" w:color="auto"/>
      </w:divBdr>
    </w:div>
    <w:div w:id="27521346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4990692">
      <w:bodyDiv w:val="1"/>
      <w:marLeft w:val="0"/>
      <w:marRight w:val="0"/>
      <w:marTop w:val="0"/>
      <w:marBottom w:val="0"/>
      <w:divBdr>
        <w:top w:val="none" w:sz="0" w:space="0" w:color="auto"/>
        <w:left w:val="none" w:sz="0" w:space="0" w:color="auto"/>
        <w:bottom w:val="none" w:sz="0" w:space="0" w:color="auto"/>
        <w:right w:val="none" w:sz="0" w:space="0" w:color="auto"/>
      </w:divBdr>
      <w:divsChild>
        <w:div w:id="1123695577">
          <w:marLeft w:val="240"/>
          <w:marRight w:val="0"/>
          <w:marTop w:val="0"/>
          <w:marBottom w:val="120"/>
          <w:divBdr>
            <w:top w:val="none" w:sz="0" w:space="0" w:color="auto"/>
            <w:left w:val="none" w:sz="0" w:space="0" w:color="auto"/>
            <w:bottom w:val="none" w:sz="0" w:space="0" w:color="auto"/>
            <w:right w:val="none" w:sz="0" w:space="0" w:color="auto"/>
          </w:divBdr>
        </w:div>
        <w:div w:id="31000430">
          <w:marLeft w:val="240"/>
          <w:marRight w:val="0"/>
          <w:marTop w:val="0"/>
          <w:marBottom w:val="120"/>
          <w:divBdr>
            <w:top w:val="none" w:sz="0" w:space="0" w:color="auto"/>
            <w:left w:val="none" w:sz="0" w:space="0" w:color="auto"/>
            <w:bottom w:val="none" w:sz="0" w:space="0" w:color="auto"/>
            <w:right w:val="none" w:sz="0" w:space="0" w:color="auto"/>
          </w:divBdr>
        </w:div>
        <w:div w:id="29916957">
          <w:marLeft w:val="240"/>
          <w:marRight w:val="0"/>
          <w:marTop w:val="0"/>
          <w:marBottom w:val="120"/>
          <w:divBdr>
            <w:top w:val="none" w:sz="0" w:space="0" w:color="auto"/>
            <w:left w:val="none" w:sz="0" w:space="0" w:color="auto"/>
            <w:bottom w:val="none" w:sz="0" w:space="0" w:color="auto"/>
            <w:right w:val="none" w:sz="0" w:space="0" w:color="auto"/>
          </w:divBdr>
        </w:div>
      </w:divsChild>
    </w:div>
    <w:div w:id="775910287">
      <w:bodyDiv w:val="1"/>
      <w:marLeft w:val="0"/>
      <w:marRight w:val="0"/>
      <w:marTop w:val="0"/>
      <w:marBottom w:val="0"/>
      <w:divBdr>
        <w:top w:val="none" w:sz="0" w:space="0" w:color="auto"/>
        <w:left w:val="none" w:sz="0" w:space="0" w:color="auto"/>
        <w:bottom w:val="none" w:sz="0" w:space="0" w:color="auto"/>
        <w:right w:val="none" w:sz="0" w:space="0" w:color="auto"/>
      </w:divBdr>
      <w:divsChild>
        <w:div w:id="1220674715">
          <w:marLeft w:val="0"/>
          <w:marRight w:val="0"/>
          <w:marTop w:val="0"/>
          <w:marBottom w:val="180"/>
          <w:divBdr>
            <w:top w:val="none" w:sz="0" w:space="0" w:color="auto"/>
            <w:left w:val="none" w:sz="0" w:space="0" w:color="auto"/>
            <w:bottom w:val="none" w:sz="0" w:space="0" w:color="auto"/>
            <w:right w:val="none" w:sz="0" w:space="0" w:color="auto"/>
          </w:divBdr>
        </w:div>
        <w:div w:id="713500818">
          <w:marLeft w:val="0"/>
          <w:marRight w:val="0"/>
          <w:marTop w:val="180"/>
          <w:marBottom w:val="180"/>
          <w:divBdr>
            <w:top w:val="none" w:sz="0" w:space="0" w:color="auto"/>
            <w:left w:val="none" w:sz="0" w:space="0" w:color="auto"/>
            <w:bottom w:val="none" w:sz="0" w:space="0" w:color="auto"/>
            <w:right w:val="none" w:sz="0" w:space="0" w:color="auto"/>
          </w:divBdr>
        </w:div>
        <w:div w:id="1831632070">
          <w:marLeft w:val="0"/>
          <w:marRight w:val="0"/>
          <w:marTop w:val="540"/>
          <w:marBottom w:val="180"/>
          <w:divBdr>
            <w:top w:val="none" w:sz="0" w:space="0" w:color="auto"/>
            <w:left w:val="none" w:sz="0" w:space="0" w:color="auto"/>
            <w:bottom w:val="none" w:sz="0" w:space="0" w:color="auto"/>
            <w:right w:val="none" w:sz="0" w:space="0" w:color="auto"/>
          </w:divBdr>
        </w:div>
        <w:div w:id="1929194138">
          <w:marLeft w:val="0"/>
          <w:marRight w:val="0"/>
          <w:marTop w:val="180"/>
          <w:marBottom w:val="180"/>
          <w:divBdr>
            <w:top w:val="none" w:sz="0" w:space="0" w:color="auto"/>
            <w:left w:val="none" w:sz="0" w:space="0" w:color="auto"/>
            <w:bottom w:val="none" w:sz="0" w:space="0" w:color="auto"/>
            <w:right w:val="none" w:sz="0" w:space="0" w:color="auto"/>
          </w:divBdr>
        </w:div>
        <w:div w:id="1689718268">
          <w:marLeft w:val="0"/>
          <w:marRight w:val="0"/>
          <w:marTop w:val="540"/>
          <w:marBottom w:val="180"/>
          <w:divBdr>
            <w:top w:val="none" w:sz="0" w:space="0" w:color="auto"/>
            <w:left w:val="none" w:sz="0" w:space="0" w:color="auto"/>
            <w:bottom w:val="none" w:sz="0" w:space="0" w:color="auto"/>
            <w:right w:val="none" w:sz="0" w:space="0" w:color="auto"/>
          </w:divBdr>
        </w:div>
        <w:div w:id="2102793691">
          <w:marLeft w:val="0"/>
          <w:marRight w:val="0"/>
          <w:marTop w:val="180"/>
          <w:marBottom w:val="180"/>
          <w:divBdr>
            <w:top w:val="none" w:sz="0" w:space="0" w:color="auto"/>
            <w:left w:val="none" w:sz="0" w:space="0" w:color="auto"/>
            <w:bottom w:val="none" w:sz="0" w:space="0" w:color="auto"/>
            <w:right w:val="none" w:sz="0" w:space="0" w:color="auto"/>
          </w:divBdr>
        </w:div>
        <w:div w:id="503013608">
          <w:marLeft w:val="0"/>
          <w:marRight w:val="0"/>
          <w:marTop w:val="540"/>
          <w:marBottom w:val="180"/>
          <w:divBdr>
            <w:top w:val="none" w:sz="0" w:space="0" w:color="auto"/>
            <w:left w:val="none" w:sz="0" w:space="0" w:color="auto"/>
            <w:bottom w:val="none" w:sz="0" w:space="0" w:color="auto"/>
            <w:right w:val="none" w:sz="0" w:space="0" w:color="auto"/>
          </w:divBdr>
        </w:div>
      </w:divsChild>
    </w:div>
    <w:div w:id="7937208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26506661">
      <w:bodyDiv w:val="1"/>
      <w:marLeft w:val="0"/>
      <w:marRight w:val="0"/>
      <w:marTop w:val="0"/>
      <w:marBottom w:val="0"/>
      <w:divBdr>
        <w:top w:val="none" w:sz="0" w:space="0" w:color="auto"/>
        <w:left w:val="none" w:sz="0" w:space="0" w:color="auto"/>
        <w:bottom w:val="none" w:sz="0" w:space="0" w:color="auto"/>
        <w:right w:val="none" w:sz="0" w:space="0" w:color="auto"/>
      </w:divBdr>
      <w:divsChild>
        <w:div w:id="926770335">
          <w:marLeft w:val="0"/>
          <w:marRight w:val="0"/>
          <w:marTop w:val="0"/>
          <w:marBottom w:val="180"/>
          <w:divBdr>
            <w:top w:val="none" w:sz="0" w:space="0" w:color="auto"/>
            <w:left w:val="none" w:sz="0" w:space="0" w:color="auto"/>
            <w:bottom w:val="none" w:sz="0" w:space="0" w:color="auto"/>
            <w:right w:val="none" w:sz="0" w:space="0" w:color="auto"/>
          </w:divBdr>
        </w:div>
        <w:div w:id="1114180282">
          <w:marLeft w:val="0"/>
          <w:marRight w:val="0"/>
          <w:marTop w:val="180"/>
          <w:marBottom w:val="180"/>
          <w:divBdr>
            <w:top w:val="none" w:sz="0" w:space="0" w:color="auto"/>
            <w:left w:val="none" w:sz="0" w:space="0" w:color="auto"/>
            <w:bottom w:val="none" w:sz="0" w:space="0" w:color="auto"/>
            <w:right w:val="none" w:sz="0" w:space="0" w:color="auto"/>
          </w:divBdr>
        </w:div>
        <w:div w:id="111443679">
          <w:marLeft w:val="0"/>
          <w:marRight w:val="0"/>
          <w:marTop w:val="540"/>
          <w:marBottom w:val="180"/>
          <w:divBdr>
            <w:top w:val="none" w:sz="0" w:space="0" w:color="auto"/>
            <w:left w:val="none" w:sz="0" w:space="0" w:color="auto"/>
            <w:bottom w:val="none" w:sz="0" w:space="0" w:color="auto"/>
            <w:right w:val="none" w:sz="0" w:space="0" w:color="auto"/>
          </w:divBdr>
        </w:div>
        <w:div w:id="1676953506">
          <w:marLeft w:val="0"/>
          <w:marRight w:val="0"/>
          <w:marTop w:val="180"/>
          <w:marBottom w:val="180"/>
          <w:divBdr>
            <w:top w:val="none" w:sz="0" w:space="0" w:color="auto"/>
            <w:left w:val="none" w:sz="0" w:space="0" w:color="auto"/>
            <w:bottom w:val="none" w:sz="0" w:space="0" w:color="auto"/>
            <w:right w:val="none" w:sz="0" w:space="0" w:color="auto"/>
          </w:divBdr>
        </w:div>
        <w:div w:id="1638416750">
          <w:marLeft w:val="0"/>
          <w:marRight w:val="0"/>
          <w:marTop w:val="540"/>
          <w:marBottom w:val="180"/>
          <w:divBdr>
            <w:top w:val="none" w:sz="0" w:space="0" w:color="auto"/>
            <w:left w:val="none" w:sz="0" w:space="0" w:color="auto"/>
            <w:bottom w:val="none" w:sz="0" w:space="0" w:color="auto"/>
            <w:right w:val="none" w:sz="0" w:space="0" w:color="auto"/>
          </w:divBdr>
        </w:div>
        <w:div w:id="1020623681">
          <w:marLeft w:val="0"/>
          <w:marRight w:val="0"/>
          <w:marTop w:val="180"/>
          <w:marBottom w:val="180"/>
          <w:divBdr>
            <w:top w:val="none" w:sz="0" w:space="0" w:color="auto"/>
            <w:left w:val="none" w:sz="0" w:space="0" w:color="auto"/>
            <w:bottom w:val="none" w:sz="0" w:space="0" w:color="auto"/>
            <w:right w:val="none" w:sz="0" w:space="0" w:color="auto"/>
          </w:divBdr>
        </w:div>
        <w:div w:id="53896680">
          <w:marLeft w:val="0"/>
          <w:marRight w:val="0"/>
          <w:marTop w:val="540"/>
          <w:marBottom w:val="180"/>
          <w:divBdr>
            <w:top w:val="none" w:sz="0" w:space="0" w:color="auto"/>
            <w:left w:val="none" w:sz="0" w:space="0" w:color="auto"/>
            <w:bottom w:val="none" w:sz="0" w:space="0" w:color="auto"/>
            <w:right w:val="none" w:sz="0" w:space="0" w:color="auto"/>
          </w:divBdr>
        </w:div>
      </w:divsChild>
    </w:div>
    <w:div w:id="1185634227">
      <w:bodyDiv w:val="1"/>
      <w:marLeft w:val="0"/>
      <w:marRight w:val="0"/>
      <w:marTop w:val="0"/>
      <w:marBottom w:val="0"/>
      <w:divBdr>
        <w:top w:val="none" w:sz="0" w:space="0" w:color="auto"/>
        <w:left w:val="none" w:sz="0" w:space="0" w:color="auto"/>
        <w:bottom w:val="none" w:sz="0" w:space="0" w:color="auto"/>
        <w:right w:val="none" w:sz="0" w:space="0" w:color="auto"/>
      </w:divBdr>
    </w:div>
    <w:div w:id="1272127930">
      <w:bodyDiv w:val="1"/>
      <w:marLeft w:val="0"/>
      <w:marRight w:val="0"/>
      <w:marTop w:val="0"/>
      <w:marBottom w:val="0"/>
      <w:divBdr>
        <w:top w:val="none" w:sz="0" w:space="0" w:color="auto"/>
        <w:left w:val="none" w:sz="0" w:space="0" w:color="auto"/>
        <w:bottom w:val="none" w:sz="0" w:space="0" w:color="auto"/>
        <w:right w:val="none" w:sz="0" w:space="0" w:color="auto"/>
      </w:divBdr>
    </w:div>
    <w:div w:id="1841045172">
      <w:bodyDiv w:val="1"/>
      <w:marLeft w:val="0"/>
      <w:marRight w:val="0"/>
      <w:marTop w:val="0"/>
      <w:marBottom w:val="0"/>
      <w:divBdr>
        <w:top w:val="none" w:sz="0" w:space="0" w:color="auto"/>
        <w:left w:val="none" w:sz="0" w:space="0" w:color="auto"/>
        <w:bottom w:val="none" w:sz="0" w:space="0" w:color="auto"/>
        <w:right w:val="none" w:sz="0" w:space="0" w:color="auto"/>
      </w:divBdr>
    </w:div>
    <w:div w:id="1860194600">
      <w:bodyDiv w:val="1"/>
      <w:marLeft w:val="0"/>
      <w:marRight w:val="0"/>
      <w:marTop w:val="0"/>
      <w:marBottom w:val="0"/>
      <w:divBdr>
        <w:top w:val="none" w:sz="0" w:space="0" w:color="auto"/>
        <w:left w:val="none" w:sz="0" w:space="0" w:color="auto"/>
        <w:bottom w:val="none" w:sz="0" w:space="0" w:color="auto"/>
        <w:right w:val="none" w:sz="0" w:space="0" w:color="auto"/>
      </w:divBdr>
    </w:div>
    <w:div w:id="1915627569">
      <w:bodyDiv w:val="1"/>
      <w:marLeft w:val="0"/>
      <w:marRight w:val="0"/>
      <w:marTop w:val="0"/>
      <w:marBottom w:val="0"/>
      <w:divBdr>
        <w:top w:val="none" w:sz="0" w:space="0" w:color="auto"/>
        <w:left w:val="none" w:sz="0" w:space="0" w:color="auto"/>
        <w:bottom w:val="none" w:sz="0" w:space="0" w:color="auto"/>
        <w:right w:val="none" w:sz="0" w:space="0" w:color="auto"/>
      </w:divBdr>
    </w:div>
    <w:div w:id="2007005632">
      <w:bodyDiv w:val="1"/>
      <w:marLeft w:val="0"/>
      <w:marRight w:val="0"/>
      <w:marTop w:val="0"/>
      <w:marBottom w:val="0"/>
      <w:divBdr>
        <w:top w:val="none" w:sz="0" w:space="0" w:color="auto"/>
        <w:left w:val="none" w:sz="0" w:space="0" w:color="auto"/>
        <w:bottom w:val="none" w:sz="0" w:space="0" w:color="auto"/>
        <w:right w:val="none" w:sz="0" w:space="0" w:color="auto"/>
      </w:divBdr>
      <w:divsChild>
        <w:div w:id="345062375">
          <w:marLeft w:val="0"/>
          <w:marRight w:val="0"/>
          <w:marTop w:val="540"/>
          <w:marBottom w:val="180"/>
          <w:divBdr>
            <w:top w:val="none" w:sz="0" w:space="0" w:color="auto"/>
            <w:left w:val="none" w:sz="0" w:space="0" w:color="auto"/>
            <w:bottom w:val="none" w:sz="0" w:space="0" w:color="auto"/>
            <w:right w:val="none" w:sz="0" w:space="0" w:color="auto"/>
          </w:divBdr>
        </w:div>
        <w:div w:id="551888646">
          <w:marLeft w:val="0"/>
          <w:marRight w:val="0"/>
          <w:marTop w:val="180"/>
          <w:marBottom w:val="180"/>
          <w:divBdr>
            <w:top w:val="none" w:sz="0" w:space="0" w:color="auto"/>
            <w:left w:val="none" w:sz="0" w:space="0" w:color="auto"/>
            <w:bottom w:val="none" w:sz="0" w:space="0" w:color="auto"/>
            <w:right w:val="none" w:sz="0" w:space="0" w:color="auto"/>
          </w:divBdr>
        </w:div>
      </w:divsChild>
    </w:div>
    <w:div w:id="2088375948">
      <w:bodyDiv w:val="1"/>
      <w:marLeft w:val="0"/>
      <w:marRight w:val="0"/>
      <w:marTop w:val="0"/>
      <w:marBottom w:val="0"/>
      <w:divBdr>
        <w:top w:val="none" w:sz="0" w:space="0" w:color="auto"/>
        <w:left w:val="none" w:sz="0" w:space="0" w:color="auto"/>
        <w:bottom w:val="none" w:sz="0" w:space="0" w:color="auto"/>
        <w:right w:val="none" w:sz="0" w:space="0" w:color="auto"/>
      </w:divBdr>
      <w:divsChild>
        <w:div w:id="658271142">
          <w:marLeft w:val="240"/>
          <w:marRight w:val="0"/>
          <w:marTop w:val="0"/>
          <w:marBottom w:val="120"/>
          <w:divBdr>
            <w:top w:val="none" w:sz="0" w:space="0" w:color="auto"/>
            <w:left w:val="none" w:sz="0" w:space="0" w:color="auto"/>
            <w:bottom w:val="none" w:sz="0" w:space="0" w:color="auto"/>
            <w:right w:val="none" w:sz="0" w:space="0" w:color="auto"/>
          </w:divBdr>
        </w:div>
        <w:div w:id="1707370798">
          <w:marLeft w:val="240"/>
          <w:marRight w:val="0"/>
          <w:marTop w:val="0"/>
          <w:marBottom w:val="120"/>
          <w:divBdr>
            <w:top w:val="none" w:sz="0" w:space="0" w:color="auto"/>
            <w:left w:val="none" w:sz="0" w:space="0" w:color="auto"/>
            <w:bottom w:val="none" w:sz="0" w:space="0" w:color="auto"/>
            <w:right w:val="none" w:sz="0" w:space="0" w:color="auto"/>
          </w:divBdr>
        </w:div>
        <w:div w:id="581182867">
          <w:marLeft w:val="24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dgbas.gov.tw/LawContent.aspx?id=FL01756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3273</Words>
  <Characters>18658</Characters>
  <Application>Microsoft Office Word</Application>
  <DocSecurity>0</DocSecurity>
  <Lines>155</Lines>
  <Paragraphs>43</Paragraphs>
  <ScaleCrop>false</ScaleCrop>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2026-06-12T02:39:00Z</dcterms:created>
  <dcterms:modified xsi:type="dcterms:W3CDTF">2026-06-15T02:26:00Z</dcterms:modified>
  <cp:contentStatus/>
</cp:coreProperties>
</file>