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82B6" w14:textId="352D92C3" w:rsidR="00D75644" w:rsidRPr="001B537E" w:rsidRDefault="000B49AB" w:rsidP="00F37D7B">
      <w:pPr>
        <w:pStyle w:val="af2"/>
        <w:rPr>
          <w:rFonts w:hAnsi="標楷體"/>
        </w:rPr>
      </w:pPr>
      <w:r>
        <w:rPr>
          <w:rFonts w:hAnsi="標楷體" w:hint="eastAsia"/>
        </w:rPr>
        <w:t>調查</w:t>
      </w:r>
      <w:r w:rsidR="00D20D26" w:rsidRPr="001B537E">
        <w:rPr>
          <w:rFonts w:hAnsi="標楷體" w:hint="eastAsia"/>
        </w:rPr>
        <w:t>報告</w:t>
      </w:r>
    </w:p>
    <w:p w14:paraId="75008711" w14:textId="40E74E1C" w:rsidR="00E25849" w:rsidRPr="001B537E"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B537E">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5C18" w:rsidRPr="00375C18">
        <w:rPr>
          <w:rFonts w:hAnsi="標楷體" w:hint="eastAsia"/>
        </w:rPr>
        <w:t>據審計部函報，財政部國有財產署經管國有非公用土地遭砂石場長期占用違法經營，疑有效能過低等情。究</w:t>
      </w:r>
      <w:r w:rsidR="00FE204C">
        <w:rPr>
          <w:rFonts w:hAnsi="標楷體" w:hint="eastAsia"/>
        </w:rPr>
        <w:t>該</w:t>
      </w:r>
      <w:r w:rsidR="00375C18" w:rsidRPr="00375C18">
        <w:rPr>
          <w:rFonts w:hAnsi="標楷體" w:hint="eastAsia"/>
        </w:rPr>
        <w:t>署目前列管及提起排除侵害訴訟之辦理情形為何？是否仍有新增占用土地之不法情事？有無其他配套措施能有限控管？與相關目的事業主管機關有無建立橫向聯繫機制或建立相關占用人之輔導方案？攸關國有非公用土地使用補償金之國庫收益及如何避免國有土地遭違法占用、減少耗費政府訴訟能量等，有深入瞭解之必要案。</w:t>
      </w:r>
    </w:p>
    <w:p w14:paraId="6C07B45B" w14:textId="1E0C831F" w:rsidR="00E25849" w:rsidRPr="001B537E" w:rsidRDefault="006A2246"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B537E">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E9EF4AD" w14:textId="5E095DAB" w:rsidR="00552AFE" w:rsidRPr="001B537E" w:rsidRDefault="00552AFE" w:rsidP="00A639F4">
      <w:pPr>
        <w:pStyle w:val="10"/>
        <w:ind w:left="680" w:firstLine="680"/>
        <w:rPr>
          <w:rFonts w:hAnsi="標楷體"/>
        </w:rPr>
      </w:pPr>
      <w:bookmarkStart w:id="49" w:name="_Toc524902730"/>
      <w:r w:rsidRPr="001B537E">
        <w:rPr>
          <w:rFonts w:hAnsi="標楷體" w:hint="eastAsia"/>
        </w:rPr>
        <w:t>本案</w:t>
      </w:r>
      <w:r w:rsidR="00D41935">
        <w:rPr>
          <w:rFonts w:hAnsi="標楷體" w:hint="eastAsia"/>
        </w:rPr>
        <w:t>緣於審計部前以民國（下同）111年6月9日台審部三字第1110059645號函，指出</w:t>
      </w:r>
      <w:r w:rsidR="00114EDA">
        <w:rPr>
          <w:rFonts w:hAnsi="標楷體" w:hint="eastAsia"/>
        </w:rPr>
        <w:t>財政部國有財產署（下稱</w:t>
      </w:r>
      <w:r w:rsidR="00D41935">
        <w:rPr>
          <w:rFonts w:hAnsi="標楷體" w:hint="eastAsia"/>
        </w:rPr>
        <w:t>國產署</w:t>
      </w:r>
      <w:r w:rsidR="00114EDA">
        <w:rPr>
          <w:rFonts w:hAnsi="標楷體" w:hint="eastAsia"/>
        </w:rPr>
        <w:t>）</w:t>
      </w:r>
      <w:r w:rsidR="00D41935">
        <w:rPr>
          <w:rFonts w:hAnsi="標楷體" w:hint="eastAsia"/>
        </w:rPr>
        <w:t>經管國有非公用土地遭砂石場長期占用違法經營，涉有效能過低等情，</w:t>
      </w:r>
      <w:r w:rsidR="00114EDA">
        <w:rPr>
          <w:rFonts w:hAnsi="標楷體" w:hint="eastAsia"/>
        </w:rPr>
        <w:t>並</w:t>
      </w:r>
      <w:r w:rsidR="00D41935">
        <w:rPr>
          <w:rFonts w:hAnsi="標楷體" w:hint="eastAsia"/>
        </w:rPr>
        <w:t>依審計法第69條第1項前段規定</w:t>
      </w:r>
      <w:r w:rsidR="00E552C5">
        <w:rPr>
          <w:rStyle w:val="afe"/>
          <w:rFonts w:hAnsi="標楷體"/>
        </w:rPr>
        <w:footnoteReference w:id="1"/>
      </w:r>
      <w:r w:rsidR="00D41935">
        <w:rPr>
          <w:rFonts w:hAnsi="標楷體" w:hint="eastAsia"/>
        </w:rPr>
        <w:t>，</w:t>
      </w:r>
      <w:r w:rsidR="00114EDA">
        <w:rPr>
          <w:rFonts w:hAnsi="標楷體" w:hint="eastAsia"/>
        </w:rPr>
        <w:t>通知</w:t>
      </w:r>
      <w:r w:rsidR="00D41935">
        <w:rPr>
          <w:rFonts w:hAnsi="標楷體" w:hint="eastAsia"/>
        </w:rPr>
        <w:t>財政部</w:t>
      </w:r>
      <w:r w:rsidR="00114EDA">
        <w:rPr>
          <w:rFonts w:hAnsi="標楷體" w:hint="eastAsia"/>
        </w:rPr>
        <w:t>，同時</w:t>
      </w:r>
      <w:r w:rsidR="00D41935">
        <w:rPr>
          <w:rFonts w:hAnsi="標楷體" w:hint="eastAsia"/>
        </w:rPr>
        <w:t>副知本院。嗣經</w:t>
      </w:r>
      <w:r w:rsidR="009A4944">
        <w:rPr>
          <w:rFonts w:hAnsi="標楷體" w:hint="eastAsia"/>
        </w:rPr>
        <w:t>本院</w:t>
      </w:r>
      <w:r w:rsidR="00D41935">
        <w:rPr>
          <w:rFonts w:hAnsi="標楷體" w:hint="eastAsia"/>
        </w:rPr>
        <w:t>監察業務處持續追蹤多年，惟該署於處理效能</w:t>
      </w:r>
      <w:r w:rsidR="0023159C">
        <w:rPr>
          <w:rFonts w:hAnsi="標楷體" w:hint="eastAsia"/>
        </w:rPr>
        <w:t>及</w:t>
      </w:r>
      <w:r w:rsidR="00D41935">
        <w:rPr>
          <w:rFonts w:hAnsi="標楷體" w:hint="eastAsia"/>
        </w:rPr>
        <w:t>使用補償金</w:t>
      </w:r>
      <w:r w:rsidR="0023159C">
        <w:rPr>
          <w:rFonts w:hAnsi="標楷體" w:hint="eastAsia"/>
        </w:rPr>
        <w:t>計收基準</w:t>
      </w:r>
      <w:r w:rsidR="00D41935">
        <w:rPr>
          <w:rFonts w:hAnsi="標楷體" w:hint="eastAsia"/>
        </w:rPr>
        <w:t>等面向，仍有未盡明確之處，爰申請自動調查。案</w:t>
      </w:r>
      <w:r w:rsidR="00D41935" w:rsidRPr="001B537E">
        <w:rPr>
          <w:rFonts w:hAnsi="標楷體" w:hint="eastAsia"/>
        </w:rPr>
        <w:t>經函請</w:t>
      </w:r>
      <w:r w:rsidR="00D41935">
        <w:rPr>
          <w:rFonts w:hAnsi="標楷體" w:hint="eastAsia"/>
        </w:rPr>
        <w:t>國產署、經濟部地質調查及礦業管理中心（下稱地礦中心）</w:t>
      </w:r>
      <w:r w:rsidR="00D41935" w:rsidRPr="001B537E">
        <w:rPr>
          <w:rFonts w:hAnsi="標楷體" w:hint="eastAsia"/>
        </w:rPr>
        <w:t>說明</w:t>
      </w:r>
      <w:r w:rsidR="00114EDA" w:rsidRPr="001B537E">
        <w:rPr>
          <w:rFonts w:hAnsi="標楷體" w:hint="eastAsia"/>
        </w:rPr>
        <w:t>處理情形並提供卷證資料</w:t>
      </w:r>
      <w:r w:rsidR="00D41935">
        <w:rPr>
          <w:rFonts w:hAnsi="標楷體" w:hint="eastAsia"/>
        </w:rPr>
        <w:t>，</w:t>
      </w:r>
      <w:r w:rsidR="00114EDA">
        <w:rPr>
          <w:rFonts w:hAnsi="標楷體" w:hint="eastAsia"/>
        </w:rPr>
        <w:t>再</w:t>
      </w:r>
      <w:r w:rsidR="00D41935">
        <w:rPr>
          <w:rFonts w:hAnsi="標楷體" w:hint="eastAsia"/>
        </w:rPr>
        <w:t>於115年3月30日詢問國產署相關業務主管人員，復經該署於115年4月16日補充說明到院</w:t>
      </w:r>
      <w:r w:rsidR="00D41935" w:rsidRPr="001B537E">
        <w:rPr>
          <w:rFonts w:hAnsi="標楷體" w:hint="eastAsia"/>
        </w:rPr>
        <w:t>，</w:t>
      </w:r>
      <w:r w:rsidR="00D41935">
        <w:rPr>
          <w:rFonts w:hAnsi="標楷體" w:hint="eastAsia"/>
        </w:rPr>
        <w:t>業已調查完畢。</w:t>
      </w:r>
      <w:r w:rsidR="00D41935" w:rsidRPr="001B537E">
        <w:rPr>
          <w:rFonts w:hAnsi="標楷體" w:hint="eastAsia"/>
        </w:rPr>
        <w:t>茲將</w:t>
      </w:r>
      <w:r w:rsidRPr="001B537E">
        <w:rPr>
          <w:rFonts w:hAnsi="標楷體" w:hint="eastAsia"/>
        </w:rPr>
        <w:t>調查意見臚述如下：</w:t>
      </w:r>
    </w:p>
    <w:p w14:paraId="331D8729" w14:textId="54B70E01" w:rsidR="00552AFE" w:rsidRPr="007010A8" w:rsidRDefault="007010A8" w:rsidP="004829F3">
      <w:pPr>
        <w:pStyle w:val="2"/>
        <w:spacing w:beforeLines="50" w:before="228"/>
        <w:ind w:left="1020" w:hanging="680"/>
        <w:rPr>
          <w:rFonts w:hAnsi="標楷體"/>
          <w:b/>
          <w:bCs w:val="0"/>
        </w:rPr>
      </w:pPr>
      <w:r w:rsidRPr="007010A8">
        <w:rPr>
          <w:rFonts w:hint="eastAsia"/>
          <w:b/>
          <w:bCs w:val="0"/>
        </w:rPr>
        <w:t>國產署對於砂石場占</w:t>
      </w:r>
      <w:r w:rsidR="00953545">
        <w:rPr>
          <w:rFonts w:hint="eastAsia"/>
          <w:b/>
          <w:bCs w:val="0"/>
        </w:rPr>
        <w:t>用國有非公用土地案件，長期採取「優先輔導合法化」之處理模式，雖係</w:t>
      </w:r>
      <w:r w:rsidRPr="007010A8">
        <w:rPr>
          <w:rFonts w:hint="eastAsia"/>
          <w:b/>
          <w:bCs w:val="0"/>
        </w:rPr>
        <w:t>配合國家砂</w:t>
      </w:r>
      <w:r w:rsidRPr="007010A8">
        <w:rPr>
          <w:rFonts w:hint="eastAsia"/>
          <w:b/>
          <w:bCs w:val="0"/>
        </w:rPr>
        <w:lastRenderedPageBreak/>
        <w:t>石供應政策及</w:t>
      </w:r>
      <w:r w:rsidR="00953545">
        <w:rPr>
          <w:rFonts w:hint="eastAsia"/>
          <w:b/>
          <w:bCs w:val="0"/>
        </w:rPr>
        <w:t>產業管理需求</w:t>
      </w:r>
      <w:r w:rsidRPr="007010A8">
        <w:rPr>
          <w:rFonts w:hint="eastAsia"/>
          <w:b/>
          <w:bCs w:val="0"/>
        </w:rPr>
        <w:t>，並稱近年已強化巡查、列管及科技監測等管理措施，使列管案件數逐步下降。然而，截至114年6月底止，列管案件仍高達92家，占用面積達116萬餘平方公尺，規模龐鉅，且其中仍有25家尚未提起排除侵害民事訴訟</w:t>
      </w:r>
      <w:r w:rsidRPr="007010A8">
        <w:rPr>
          <w:b/>
          <w:bCs w:val="0"/>
        </w:rPr>
        <w:t>，</w:t>
      </w:r>
      <w:r w:rsidRPr="007010A8">
        <w:rPr>
          <w:rFonts w:hint="eastAsia"/>
          <w:b/>
          <w:bCs w:val="0"/>
        </w:rPr>
        <w:t>另有6家</w:t>
      </w:r>
      <w:r w:rsidRPr="007010A8">
        <w:rPr>
          <w:b/>
          <w:bCs w:val="0"/>
        </w:rPr>
        <w:t>列管</w:t>
      </w:r>
      <w:r w:rsidRPr="007010A8">
        <w:rPr>
          <w:rFonts w:hint="eastAsia"/>
          <w:b/>
          <w:bCs w:val="0"/>
        </w:rPr>
        <w:t>逾</w:t>
      </w:r>
      <w:r w:rsidRPr="007010A8">
        <w:rPr>
          <w:b/>
          <w:bCs w:val="0"/>
        </w:rPr>
        <w:t>20年迄未有效排除</w:t>
      </w:r>
      <w:r w:rsidRPr="007010A8">
        <w:rPr>
          <w:rFonts w:hint="eastAsia"/>
          <w:b/>
          <w:bCs w:val="0"/>
        </w:rPr>
        <w:t>，部分案件更因延宕處理而罹於刑事追訴時效。顯示該署對於砂石場違規占用行為，長期欠缺積極有效之遏止及究責作為，未能</w:t>
      </w:r>
      <w:r w:rsidR="00B477A9">
        <w:rPr>
          <w:rFonts w:hint="eastAsia"/>
          <w:b/>
          <w:bCs w:val="0"/>
        </w:rPr>
        <w:t>充分落實</w:t>
      </w:r>
      <w:r w:rsidRPr="007010A8">
        <w:rPr>
          <w:rFonts w:hint="eastAsia"/>
          <w:b/>
          <w:bCs w:val="0"/>
        </w:rPr>
        <w:t>國有財產管理責任，洵有未當</w:t>
      </w:r>
      <w:r w:rsidR="004E22A9" w:rsidRPr="007010A8">
        <w:rPr>
          <w:rFonts w:hAnsi="標楷體" w:hint="eastAsia"/>
          <w:b/>
          <w:bCs w:val="0"/>
        </w:rPr>
        <w:t>。</w:t>
      </w:r>
    </w:p>
    <w:p w14:paraId="0ED7028B" w14:textId="54E860D2" w:rsidR="00A96AAE" w:rsidRPr="00B04B1F" w:rsidRDefault="00A144A8" w:rsidP="00953545">
      <w:pPr>
        <w:pStyle w:val="3"/>
        <w:rPr>
          <w:rFonts w:hAnsi="標楷體"/>
        </w:rPr>
      </w:pPr>
      <w:r w:rsidRPr="00B04B1F">
        <w:rPr>
          <w:rFonts w:hAnsi="標楷體" w:hint="eastAsia"/>
        </w:rPr>
        <w:t>按國有非公用不動產被占用處理要點</w:t>
      </w:r>
      <w:r w:rsidR="00071F82" w:rsidRPr="00B04B1F">
        <w:rPr>
          <w:rFonts w:hAnsi="標楷體" w:hint="eastAsia"/>
        </w:rPr>
        <w:t>第5點第1項規定：</w:t>
      </w:r>
      <w:r w:rsidRPr="00B04B1F">
        <w:rPr>
          <w:rFonts w:hAnsi="標楷體" w:hint="eastAsia"/>
        </w:rPr>
        <w:t>「</w:t>
      </w:r>
      <w:r w:rsidR="00071F82" w:rsidRPr="00B04B1F">
        <w:rPr>
          <w:rFonts w:hAnsi="標楷體" w:hint="eastAsia"/>
        </w:rPr>
        <w:t>國有非公用不動產被公司組織之公營事業或私人占用，執行機關應瞭解占用成因，分類處理，妥為評估處理方式，並避免紛爭；其符合國有財產法及相關法令規定者，得以出租、讓售、專案讓售、視為空地標售、現狀標售或委託經營等方式處理。」同點第2項規定：「被占用不動產無法依前項後段方式處理者，應通知占用人自行拆除或騰空交還，並得依下列方式處理：(一)違反相關法律或土地使用管制者，通知或協調主管機關依法處理。(二)以民事訴訟排除。(三)依中華民國刑法第320條、第349條規定移請地方警察機關偵辦或逕向檢察機關告訴。占用情形影響國土保安或公共安全者，優先移送。</w:t>
      </w:r>
      <w:r w:rsidRPr="00B04B1F">
        <w:rPr>
          <w:rFonts w:hAnsi="標楷體" w:hint="eastAsia"/>
        </w:rPr>
        <w:t>」</w:t>
      </w:r>
      <w:r w:rsidR="00E00360" w:rsidRPr="00B04B1F">
        <w:rPr>
          <w:rFonts w:hAnsi="標楷體" w:hint="eastAsia"/>
        </w:rPr>
        <w:t>是以，國產署處理國有</w:t>
      </w:r>
      <w:r w:rsidR="0023159C" w:rsidRPr="00B04B1F">
        <w:rPr>
          <w:rFonts w:hAnsi="標楷體" w:hint="eastAsia"/>
        </w:rPr>
        <w:t>非公用</w:t>
      </w:r>
      <w:r w:rsidR="00E00360" w:rsidRPr="00B04B1F">
        <w:rPr>
          <w:rFonts w:hAnsi="標楷體" w:hint="eastAsia"/>
        </w:rPr>
        <w:t>土地</w:t>
      </w:r>
      <w:r w:rsidR="0023159C" w:rsidRPr="00B04B1F">
        <w:rPr>
          <w:rFonts w:hAnsi="標楷體" w:hint="eastAsia"/>
        </w:rPr>
        <w:t>被占用</w:t>
      </w:r>
      <w:r w:rsidR="00E00360" w:rsidRPr="00B04B1F">
        <w:rPr>
          <w:rFonts w:hAnsi="標楷體" w:hint="eastAsia"/>
        </w:rPr>
        <w:t>案件，係以輔導占用人依法取得合法使用權源為優先</w:t>
      </w:r>
      <w:r w:rsidR="00B04B1F">
        <w:rPr>
          <w:rFonts w:hAnsi="標楷體" w:hint="eastAsia"/>
        </w:rPr>
        <w:t>措施</w:t>
      </w:r>
      <w:r w:rsidR="00E00360" w:rsidRPr="00B04B1F">
        <w:rPr>
          <w:rFonts w:hAnsi="標楷體" w:hint="eastAsia"/>
        </w:rPr>
        <w:t>，無法合法化者</w:t>
      </w:r>
      <w:r w:rsidR="00B04B1F">
        <w:rPr>
          <w:rFonts w:hAnsi="標楷體" w:hint="eastAsia"/>
        </w:rPr>
        <w:t>（包</w:t>
      </w:r>
      <w:r w:rsidR="00A538C2">
        <w:rPr>
          <w:rFonts w:hAnsi="標楷體" w:hint="eastAsia"/>
        </w:rPr>
        <w:t>括</w:t>
      </w:r>
      <w:r w:rsidR="00B04B1F">
        <w:rPr>
          <w:rFonts w:hAnsi="標楷體" w:hint="eastAsia"/>
        </w:rPr>
        <w:t>審查不符規定或不配合申請者）</w:t>
      </w:r>
      <w:r w:rsidR="00E00360" w:rsidRPr="00B04B1F">
        <w:rPr>
          <w:rFonts w:hAnsi="標楷體" w:hint="eastAsia"/>
        </w:rPr>
        <w:t>始辦理排除占用</w:t>
      </w:r>
      <w:r w:rsidR="00671205" w:rsidRPr="00B04B1F">
        <w:rPr>
          <w:rFonts w:hAnsi="標楷體" w:hint="eastAsia"/>
        </w:rPr>
        <w:t>，並得視個案情形提起民事訴訟或移送刑事偵辦。</w:t>
      </w:r>
      <w:r w:rsidR="00D75D84">
        <w:rPr>
          <w:rFonts w:hAnsi="標楷體" w:hint="eastAsia"/>
        </w:rPr>
        <w:t>該署</w:t>
      </w:r>
      <w:r w:rsidR="00FF1F7A">
        <w:rPr>
          <w:rFonts w:hAnsi="標楷體" w:hint="eastAsia"/>
        </w:rPr>
        <w:t>對於砂石場占用案件，係以專案列管方式追蹤處理進度，其處理方式與其他類型占用案件</w:t>
      </w:r>
      <w:r w:rsidR="00522516" w:rsidRPr="00A538C2">
        <w:rPr>
          <w:rFonts w:hAnsi="標楷體" w:hint="eastAsia"/>
        </w:rPr>
        <w:t>均採一致標準</w:t>
      </w:r>
      <w:r w:rsidR="00FF1F7A">
        <w:rPr>
          <w:rFonts w:hAnsi="標楷體" w:hint="eastAsia"/>
        </w:rPr>
        <w:t>。</w:t>
      </w:r>
    </w:p>
    <w:p w14:paraId="307FFF53" w14:textId="7BF829C5" w:rsidR="00BE73C6" w:rsidRPr="00975A0C" w:rsidRDefault="00FF1F7A" w:rsidP="00953545">
      <w:pPr>
        <w:pStyle w:val="3"/>
        <w:rPr>
          <w:rFonts w:hAnsi="標楷體"/>
        </w:rPr>
      </w:pPr>
      <w:r w:rsidRPr="00975A0C">
        <w:rPr>
          <w:rFonts w:hAnsi="標楷體" w:hint="eastAsia"/>
        </w:rPr>
        <w:t>依</w:t>
      </w:r>
      <w:r w:rsidR="00BE73C6" w:rsidRPr="00975A0C">
        <w:rPr>
          <w:rFonts w:hAnsi="標楷體" w:hint="eastAsia"/>
        </w:rPr>
        <w:t>統計資料顯示，</w:t>
      </w:r>
      <w:r w:rsidRPr="00975A0C">
        <w:rPr>
          <w:rFonts w:hAnsi="標楷體" w:hint="eastAsia"/>
        </w:rPr>
        <w:t>國產署</w:t>
      </w:r>
      <w:r w:rsidR="003512C2" w:rsidRPr="00975A0C">
        <w:rPr>
          <w:rFonts w:hAnsi="標楷體" w:hint="eastAsia"/>
        </w:rPr>
        <w:t>近年</w:t>
      </w:r>
      <w:r w:rsidRPr="00975A0C">
        <w:rPr>
          <w:rFonts w:hAnsi="標楷體" w:hint="eastAsia"/>
        </w:rPr>
        <w:t>列管</w:t>
      </w:r>
      <w:r w:rsidR="00975A0C" w:rsidRPr="00975A0C">
        <w:rPr>
          <w:rFonts w:hAnsi="標楷體" w:hint="eastAsia"/>
        </w:rPr>
        <w:t>之</w:t>
      </w:r>
      <w:r w:rsidRPr="00975A0C">
        <w:rPr>
          <w:rFonts w:hAnsi="標楷體" w:hint="eastAsia"/>
        </w:rPr>
        <w:t>砂石場占用案</w:t>
      </w:r>
      <w:r w:rsidRPr="00975A0C">
        <w:rPr>
          <w:rFonts w:hAnsi="標楷體" w:hint="eastAsia"/>
        </w:rPr>
        <w:lastRenderedPageBreak/>
        <w:t>件</w:t>
      </w:r>
      <w:r w:rsidR="003512C2" w:rsidRPr="00975A0C">
        <w:rPr>
          <w:rFonts w:hAnsi="標楷體" w:hint="eastAsia"/>
        </w:rPr>
        <w:t>數</w:t>
      </w:r>
      <w:r w:rsidRPr="00975A0C">
        <w:rPr>
          <w:rFonts w:hAnsi="標楷體" w:hint="eastAsia"/>
        </w:rPr>
        <w:t>，</w:t>
      </w:r>
      <w:r w:rsidR="00FA03E1">
        <w:rPr>
          <w:rFonts w:hAnsi="標楷體" w:hint="eastAsia"/>
        </w:rPr>
        <w:t>已由</w:t>
      </w:r>
      <w:r w:rsidR="00BE73C6" w:rsidRPr="00975A0C">
        <w:rPr>
          <w:rFonts w:hAnsi="標楷體" w:hint="eastAsia"/>
        </w:rPr>
        <w:t>111年底</w:t>
      </w:r>
      <w:r w:rsidR="00FA03E1">
        <w:rPr>
          <w:rFonts w:hAnsi="標楷體" w:hint="eastAsia"/>
        </w:rPr>
        <w:t>之</w:t>
      </w:r>
      <w:r w:rsidR="00BE73C6" w:rsidRPr="00975A0C">
        <w:rPr>
          <w:rFonts w:hAnsi="標楷體" w:hint="eastAsia"/>
        </w:rPr>
        <w:t>133家</w:t>
      </w:r>
      <w:r w:rsidR="00FA03E1">
        <w:rPr>
          <w:rFonts w:hAnsi="標楷體" w:hint="eastAsia"/>
        </w:rPr>
        <w:t>，下降</w:t>
      </w:r>
      <w:r w:rsidR="00A538C2">
        <w:rPr>
          <w:rFonts w:hAnsi="標楷體" w:hint="eastAsia"/>
        </w:rPr>
        <w:t>至</w:t>
      </w:r>
      <w:r w:rsidR="00BE73C6" w:rsidRPr="00975A0C">
        <w:rPr>
          <w:rFonts w:hAnsi="標楷體" w:hint="eastAsia"/>
        </w:rPr>
        <w:t>114年6月底</w:t>
      </w:r>
      <w:r w:rsidR="00FA03E1">
        <w:rPr>
          <w:rFonts w:hAnsi="標楷體" w:hint="eastAsia"/>
        </w:rPr>
        <w:t>之</w:t>
      </w:r>
      <w:r w:rsidR="00BE73C6" w:rsidRPr="00975A0C">
        <w:rPr>
          <w:rFonts w:hAnsi="標楷體" w:hint="eastAsia"/>
        </w:rPr>
        <w:t>92家</w:t>
      </w:r>
      <w:r w:rsidR="00FA03E1">
        <w:rPr>
          <w:rFonts w:hAnsi="標楷體" w:hint="eastAsia"/>
        </w:rPr>
        <w:t>，</w:t>
      </w:r>
      <w:r w:rsidR="003512C2" w:rsidRPr="00975A0C">
        <w:rPr>
          <w:rFonts w:hint="eastAsia"/>
        </w:rPr>
        <w:t>列管占用面積</w:t>
      </w:r>
      <w:r w:rsidR="00FA03E1">
        <w:rPr>
          <w:rFonts w:hint="eastAsia"/>
        </w:rPr>
        <w:t>亦由</w:t>
      </w:r>
      <w:r w:rsidR="00386F88">
        <w:rPr>
          <w:rFonts w:hint="eastAsia"/>
        </w:rPr>
        <w:t>126萬8</w:t>
      </w:r>
      <w:r w:rsidR="00386F88">
        <w:t>,</w:t>
      </w:r>
      <w:r w:rsidR="00386F88">
        <w:rPr>
          <w:rFonts w:hint="eastAsia"/>
        </w:rPr>
        <w:t>204平方公尺，</w:t>
      </w:r>
      <w:r w:rsidR="00FA03E1">
        <w:rPr>
          <w:rFonts w:hint="eastAsia"/>
        </w:rPr>
        <w:t>減少至</w:t>
      </w:r>
      <w:r w:rsidR="003512C2" w:rsidRPr="00975A0C">
        <w:rPr>
          <w:rFonts w:hint="eastAsia"/>
        </w:rPr>
        <w:t>116萬5,14</w:t>
      </w:r>
      <w:r w:rsidR="00386F88">
        <w:rPr>
          <w:rFonts w:hint="eastAsia"/>
        </w:rPr>
        <w:t>7</w:t>
      </w:r>
      <w:r w:rsidR="003512C2" w:rsidRPr="00975A0C">
        <w:rPr>
          <w:rFonts w:hint="eastAsia"/>
        </w:rPr>
        <w:t>平方公尺</w:t>
      </w:r>
      <w:r w:rsidR="00BE73C6" w:rsidRPr="00975A0C">
        <w:rPr>
          <w:rFonts w:hAnsi="標楷體" w:hint="eastAsia"/>
        </w:rPr>
        <w:t>。</w:t>
      </w:r>
      <w:r w:rsidR="00A538C2">
        <w:rPr>
          <w:rFonts w:hAnsi="標楷體" w:hint="eastAsia"/>
        </w:rPr>
        <w:t>所</w:t>
      </w:r>
      <w:r w:rsidR="00386F88">
        <w:rPr>
          <w:rFonts w:hAnsi="標楷體" w:hint="eastAsia"/>
        </w:rPr>
        <w:t>列管之92家</w:t>
      </w:r>
      <w:r w:rsidR="00D41DB4">
        <w:rPr>
          <w:rFonts w:hAnsi="標楷體" w:hint="eastAsia"/>
        </w:rPr>
        <w:t>案件</w:t>
      </w:r>
      <w:r w:rsidR="00386F88">
        <w:rPr>
          <w:rFonts w:hAnsi="標楷體" w:hint="eastAsia"/>
        </w:rPr>
        <w:t>中</w:t>
      </w:r>
      <w:r w:rsidR="00BE73C6" w:rsidRPr="00975A0C">
        <w:rPr>
          <w:rFonts w:hAnsi="標楷體" w:hint="eastAsia"/>
        </w:rPr>
        <w:t>，</w:t>
      </w:r>
      <w:r w:rsidR="00F504E8" w:rsidRPr="00975A0C">
        <w:rPr>
          <w:rFonts w:hAnsi="標楷體" w:hint="eastAsia"/>
        </w:rPr>
        <w:t>已提起</w:t>
      </w:r>
      <w:r w:rsidR="00386F88">
        <w:rPr>
          <w:rFonts w:hAnsi="標楷體" w:hint="eastAsia"/>
        </w:rPr>
        <w:t>排除侵害</w:t>
      </w:r>
      <w:r w:rsidR="00F504E8" w:rsidRPr="00975A0C">
        <w:rPr>
          <w:rFonts w:hAnsi="標楷體" w:hint="eastAsia"/>
        </w:rPr>
        <w:t>民事訴訟者</w:t>
      </w:r>
      <w:r w:rsidR="00386F88">
        <w:rPr>
          <w:rFonts w:hAnsi="標楷體" w:hint="eastAsia"/>
        </w:rPr>
        <w:t>計</w:t>
      </w:r>
      <w:r w:rsidR="00F504E8" w:rsidRPr="00975A0C">
        <w:rPr>
          <w:rFonts w:hAnsi="標楷體" w:hint="eastAsia"/>
        </w:rPr>
        <w:t>67家，惟仍有25家</w:t>
      </w:r>
      <w:r w:rsidR="00BE73C6" w:rsidRPr="00975A0C">
        <w:rPr>
          <w:rFonts w:hAnsi="標楷體" w:hint="eastAsia"/>
        </w:rPr>
        <w:t>尚未提起</w:t>
      </w:r>
      <w:r w:rsidR="00F504E8" w:rsidRPr="00975A0C">
        <w:rPr>
          <w:rFonts w:hAnsi="標楷體" w:hint="eastAsia"/>
        </w:rPr>
        <w:t>民事</w:t>
      </w:r>
      <w:r w:rsidR="00BE73C6" w:rsidRPr="00975A0C">
        <w:rPr>
          <w:rFonts w:hAnsi="標楷體" w:hint="eastAsia"/>
        </w:rPr>
        <w:t>訴訟</w:t>
      </w:r>
      <w:r w:rsidR="00D41DB4">
        <w:rPr>
          <w:rFonts w:hAnsi="標楷體" w:hint="eastAsia"/>
        </w:rPr>
        <w:t>，</w:t>
      </w:r>
      <w:r w:rsidR="00975A0C" w:rsidRPr="00975A0C">
        <w:rPr>
          <w:rFonts w:hint="eastAsia"/>
        </w:rPr>
        <w:t>占用面積</w:t>
      </w:r>
      <w:r w:rsidR="00D41DB4">
        <w:rPr>
          <w:rFonts w:hint="eastAsia"/>
        </w:rPr>
        <w:t>合計</w:t>
      </w:r>
      <w:r w:rsidR="00975A0C" w:rsidRPr="00975A0C">
        <w:rPr>
          <w:rFonts w:hint="eastAsia"/>
        </w:rPr>
        <w:t>38萬7,189平方公尺</w:t>
      </w:r>
      <w:r w:rsidR="00D41DB4">
        <w:rPr>
          <w:rFonts w:hint="eastAsia"/>
        </w:rPr>
        <w:t>。其未提起訴訟</w:t>
      </w:r>
      <w:r w:rsidR="00F504E8" w:rsidRPr="00975A0C">
        <w:rPr>
          <w:rFonts w:hAnsi="標楷體" w:hint="eastAsia"/>
        </w:rPr>
        <w:t>原因</w:t>
      </w:r>
      <w:r w:rsidR="00D41DB4">
        <w:rPr>
          <w:rFonts w:hAnsi="標楷體" w:hint="eastAsia"/>
        </w:rPr>
        <w:t>，</w:t>
      </w:r>
      <w:r w:rsidR="00F504E8" w:rsidRPr="00975A0C">
        <w:rPr>
          <w:rFonts w:hAnsi="標楷體" w:hint="eastAsia"/>
        </w:rPr>
        <w:t>包括</w:t>
      </w:r>
      <w:r w:rsidR="00BE73C6" w:rsidRPr="00975A0C">
        <w:rPr>
          <w:rFonts w:hAnsi="標楷體" w:hint="eastAsia"/>
        </w:rPr>
        <w:t>申請合法</w:t>
      </w:r>
      <w:r w:rsidR="00F504E8" w:rsidRPr="00975A0C">
        <w:rPr>
          <w:rFonts w:hAnsi="標楷體" w:hint="eastAsia"/>
        </w:rPr>
        <w:t>使用權審辦</w:t>
      </w:r>
      <w:r w:rsidR="00BE73C6" w:rsidRPr="00975A0C">
        <w:rPr>
          <w:rFonts w:hAnsi="標楷體" w:hint="eastAsia"/>
        </w:rPr>
        <w:t>中</w:t>
      </w:r>
      <w:r w:rsidR="00975A0C" w:rsidRPr="00975A0C">
        <w:rPr>
          <w:rFonts w:hAnsi="標楷體" w:hint="eastAsia"/>
        </w:rPr>
        <w:t>21家</w:t>
      </w:r>
      <w:r w:rsidR="00F504E8" w:rsidRPr="00975A0C">
        <w:rPr>
          <w:rFonts w:hAnsi="標楷體" w:hint="eastAsia"/>
        </w:rPr>
        <w:t>；</w:t>
      </w:r>
      <w:r w:rsidR="00D41DB4">
        <w:rPr>
          <w:rFonts w:hAnsi="標楷體" w:hint="eastAsia"/>
        </w:rPr>
        <w:t>因</w:t>
      </w:r>
      <w:r w:rsidR="00F504E8" w:rsidRPr="00975A0C">
        <w:rPr>
          <w:rFonts w:hAnsi="標楷體" w:hint="eastAsia"/>
        </w:rPr>
        <w:t>占用人配合繳交使用補償金及承諾相關配合事項，</w:t>
      </w:r>
      <w:r w:rsidR="00D41DB4">
        <w:rPr>
          <w:rFonts w:hAnsi="標楷體" w:hint="eastAsia"/>
        </w:rPr>
        <w:t>而</w:t>
      </w:r>
      <w:r w:rsidR="00BE73C6" w:rsidRPr="00975A0C">
        <w:rPr>
          <w:rFonts w:hAnsi="標楷體" w:hint="eastAsia"/>
        </w:rPr>
        <w:t>暫緩</w:t>
      </w:r>
      <w:r w:rsidR="00F504E8" w:rsidRPr="00975A0C">
        <w:rPr>
          <w:rFonts w:hAnsi="標楷體" w:hint="eastAsia"/>
        </w:rPr>
        <w:t>提起民事訴訟</w:t>
      </w:r>
      <w:r w:rsidR="00D41DB4">
        <w:rPr>
          <w:rFonts w:hAnsi="標楷體" w:hint="eastAsia"/>
        </w:rPr>
        <w:t>者</w:t>
      </w:r>
      <w:r w:rsidR="00975A0C" w:rsidRPr="00975A0C">
        <w:rPr>
          <w:rFonts w:hAnsi="標楷體" w:hint="eastAsia"/>
        </w:rPr>
        <w:t>1家</w:t>
      </w:r>
      <w:r w:rsidR="00F504E8" w:rsidRPr="00975A0C">
        <w:rPr>
          <w:rFonts w:hAnsi="標楷體" w:hint="eastAsia"/>
        </w:rPr>
        <w:t>；</w:t>
      </w:r>
      <w:r w:rsidR="00D41DB4">
        <w:rPr>
          <w:rFonts w:hAnsi="標楷體" w:hint="eastAsia"/>
        </w:rPr>
        <w:t>占用人</w:t>
      </w:r>
      <w:r w:rsidR="00BE73C6" w:rsidRPr="00975A0C">
        <w:rPr>
          <w:rFonts w:hAnsi="標楷體" w:hint="eastAsia"/>
        </w:rPr>
        <w:t>配合</w:t>
      </w:r>
      <w:r w:rsidR="00F504E8" w:rsidRPr="00975A0C">
        <w:rPr>
          <w:rFonts w:hAnsi="標楷體" w:hint="eastAsia"/>
        </w:rPr>
        <w:t>自行</w:t>
      </w:r>
      <w:r w:rsidR="00BE73C6" w:rsidRPr="00975A0C">
        <w:rPr>
          <w:rFonts w:hAnsi="標楷體" w:hint="eastAsia"/>
        </w:rPr>
        <w:t>騰空返還</w:t>
      </w:r>
      <w:r w:rsidR="00D41DB4">
        <w:rPr>
          <w:rFonts w:hAnsi="標楷體" w:hint="eastAsia"/>
        </w:rPr>
        <w:t>者</w:t>
      </w:r>
      <w:r w:rsidR="00975A0C" w:rsidRPr="00975A0C">
        <w:rPr>
          <w:rFonts w:hAnsi="標楷體" w:hint="eastAsia"/>
        </w:rPr>
        <w:t>1家</w:t>
      </w:r>
      <w:r w:rsidR="00F504E8" w:rsidRPr="00975A0C">
        <w:rPr>
          <w:rFonts w:hAnsi="標楷體" w:hint="eastAsia"/>
        </w:rPr>
        <w:t>；</w:t>
      </w:r>
      <w:r w:rsidR="00D41DB4">
        <w:rPr>
          <w:rFonts w:hAnsi="標楷體" w:hint="eastAsia"/>
        </w:rPr>
        <w:t>另有2家尚在</w:t>
      </w:r>
      <w:r w:rsidR="00BE73C6" w:rsidRPr="00975A0C">
        <w:rPr>
          <w:rFonts w:hAnsi="標楷體" w:hint="eastAsia"/>
        </w:rPr>
        <w:t>查找占用人中</w:t>
      </w:r>
      <w:r w:rsidR="00F504E8" w:rsidRPr="00975A0C">
        <w:rPr>
          <w:rFonts w:hAnsi="標楷體" w:hint="eastAsia"/>
        </w:rPr>
        <w:t>。</w:t>
      </w:r>
    </w:p>
    <w:p w14:paraId="4B2AEED9" w14:textId="5625F8EB" w:rsidR="00354827" w:rsidRPr="00A538C2" w:rsidRDefault="00354827" w:rsidP="00953545">
      <w:pPr>
        <w:pStyle w:val="3"/>
        <w:rPr>
          <w:rFonts w:hAnsi="標楷體"/>
        </w:rPr>
      </w:pPr>
      <w:r w:rsidRPr="00A538C2">
        <w:rPr>
          <w:rFonts w:hAnsi="標楷體" w:hint="eastAsia"/>
        </w:rPr>
        <w:t>國產署</w:t>
      </w:r>
      <w:r w:rsidR="00A538C2" w:rsidRPr="00A538C2">
        <w:rPr>
          <w:rFonts w:hAnsi="標楷體" w:hint="eastAsia"/>
        </w:rPr>
        <w:t>針對國有非公用土地遭砂石場占用案件之巡查、列管及提起排除侵害民事訴訟等具體作為</w:t>
      </w:r>
      <w:r w:rsidR="00FA03E1">
        <w:rPr>
          <w:rFonts w:hAnsi="標楷體" w:hint="eastAsia"/>
        </w:rPr>
        <w:t>，</w:t>
      </w:r>
      <w:r w:rsidR="00A538C2" w:rsidRPr="00A538C2">
        <w:rPr>
          <w:rFonts w:hAnsi="標楷體" w:hint="eastAsia"/>
        </w:rPr>
        <w:t>進一步</w:t>
      </w:r>
      <w:r w:rsidRPr="00A538C2">
        <w:rPr>
          <w:rFonts w:hAnsi="標楷體" w:hint="eastAsia"/>
        </w:rPr>
        <w:t>表示</w:t>
      </w:r>
      <w:r w:rsidR="00FA03E1">
        <w:rPr>
          <w:rFonts w:hAnsi="標楷體" w:hint="eastAsia"/>
        </w:rPr>
        <w:t>如下</w:t>
      </w:r>
      <w:r w:rsidRPr="00A538C2">
        <w:rPr>
          <w:rFonts w:hAnsi="標楷體" w:hint="eastAsia"/>
        </w:rPr>
        <w:t>：</w:t>
      </w:r>
    </w:p>
    <w:p w14:paraId="2486C872" w14:textId="5445E958" w:rsidR="00354827" w:rsidRDefault="00522516" w:rsidP="00953545">
      <w:pPr>
        <w:pStyle w:val="4"/>
      </w:pPr>
      <w:bookmarkStart w:id="50" w:name="_Hlk229822590"/>
      <w:r w:rsidRPr="00DD20F5">
        <w:rPr>
          <w:rFonts w:hint="eastAsia"/>
        </w:rPr>
        <w:t>為提升國有非公用不動產巡管量能及建立後續管控機制，該署訂有相關</w:t>
      </w:r>
      <w:r w:rsidR="00FA03E1">
        <w:rPr>
          <w:rFonts w:hint="eastAsia"/>
        </w:rPr>
        <w:t>巡查及列管</w:t>
      </w:r>
      <w:r w:rsidRPr="00DD20F5">
        <w:rPr>
          <w:rFonts w:hint="eastAsia"/>
        </w:rPr>
        <w:t>書表，並依土地現況辦理定期巡查。針對砂石場占用案件，已納入專案巡管，其中列管中案件每季巡管1次，已排除占用</w:t>
      </w:r>
      <w:r w:rsidR="00FA03E1">
        <w:rPr>
          <w:rFonts w:hint="eastAsia"/>
        </w:rPr>
        <w:t>並</w:t>
      </w:r>
      <w:r w:rsidRPr="00DD20F5">
        <w:rPr>
          <w:rFonts w:hint="eastAsia"/>
        </w:rPr>
        <w:t>收回土地案件</w:t>
      </w:r>
      <w:r w:rsidR="00FA03E1">
        <w:rPr>
          <w:rFonts w:hint="eastAsia"/>
        </w:rPr>
        <w:t>則</w:t>
      </w:r>
      <w:r w:rsidRPr="00DD20F5">
        <w:rPr>
          <w:rFonts w:hint="eastAsia"/>
        </w:rPr>
        <w:t>每半年巡管1次；如發現擴占或複占情形，除循民、刑事途徑處理外，並通報主管機關依相關法令查處，以防杜砂石場擴大占用或收回土地後再</w:t>
      </w:r>
      <w:r w:rsidR="00FA03E1">
        <w:rPr>
          <w:rFonts w:hint="eastAsia"/>
        </w:rPr>
        <w:t>行</w:t>
      </w:r>
      <w:r w:rsidRPr="00DD20F5">
        <w:rPr>
          <w:rFonts w:hint="eastAsia"/>
        </w:rPr>
        <w:t>占用</w:t>
      </w:r>
      <w:bookmarkEnd w:id="50"/>
      <w:r w:rsidRPr="00DD20F5">
        <w:rPr>
          <w:rFonts w:hint="eastAsia"/>
        </w:rPr>
        <w:t>。</w:t>
      </w:r>
    </w:p>
    <w:p w14:paraId="27E12597" w14:textId="3D22B645" w:rsidR="00DD20F5" w:rsidRPr="00DD20F5" w:rsidRDefault="00FA03E1" w:rsidP="00953545">
      <w:pPr>
        <w:pStyle w:val="4"/>
      </w:pPr>
      <w:r>
        <w:rPr>
          <w:rFonts w:hint="eastAsia"/>
        </w:rPr>
        <w:t>由於</w:t>
      </w:r>
      <w:r w:rsidR="00DD20F5" w:rsidRPr="00DD20F5">
        <w:rPr>
          <w:rFonts w:hint="eastAsia"/>
        </w:rPr>
        <w:t>國有非公用土地數量龐大且分布零星，囿於管理人力及經費有限，難以全面仰賴人力辦理高頻率巡管</w:t>
      </w:r>
      <w:r>
        <w:rPr>
          <w:rFonts w:hint="eastAsia"/>
        </w:rPr>
        <w:t>，爰已</w:t>
      </w:r>
      <w:r w:rsidR="00DD20F5" w:rsidRPr="00DD20F5">
        <w:rPr>
          <w:rFonts w:hint="eastAsia"/>
        </w:rPr>
        <w:t>導入衛星監測、航照影像及即時通報等科技</w:t>
      </w:r>
      <w:r w:rsidR="00F950D3">
        <w:rPr>
          <w:rFonts w:hint="eastAsia"/>
        </w:rPr>
        <w:t>系統</w:t>
      </w:r>
      <w:r w:rsidR="00DD20F5" w:rsidRPr="00DD20F5">
        <w:rPr>
          <w:rFonts w:hint="eastAsia"/>
        </w:rPr>
        <w:t>，</w:t>
      </w:r>
      <w:r>
        <w:rPr>
          <w:rFonts w:hint="eastAsia"/>
        </w:rPr>
        <w:t>以</w:t>
      </w:r>
      <w:r w:rsidR="00DD20F5" w:rsidRPr="00DD20F5">
        <w:rPr>
          <w:rFonts w:hint="eastAsia"/>
        </w:rPr>
        <w:t>掌握國有土地利用及變異情形，並於發現地形地貌異常變異</w:t>
      </w:r>
      <w:r w:rsidR="00F828E6">
        <w:rPr>
          <w:rFonts w:hint="eastAsia"/>
        </w:rPr>
        <w:t>時</w:t>
      </w:r>
      <w:r w:rsidR="00DD20F5" w:rsidRPr="00DD20F5">
        <w:rPr>
          <w:rFonts w:hint="eastAsia"/>
        </w:rPr>
        <w:t>即啟動查察</w:t>
      </w:r>
      <w:r>
        <w:rPr>
          <w:rFonts w:hint="eastAsia"/>
        </w:rPr>
        <w:t>機制</w:t>
      </w:r>
      <w:r w:rsidR="00DD20F5" w:rsidRPr="00DD20F5">
        <w:rPr>
          <w:rFonts w:hint="eastAsia"/>
        </w:rPr>
        <w:t>，以即時防杜違規占用。近年</w:t>
      </w:r>
      <w:r>
        <w:rPr>
          <w:rFonts w:hint="eastAsia"/>
        </w:rPr>
        <w:t>亦</w:t>
      </w:r>
      <w:r w:rsidR="00DD20F5" w:rsidRPr="00DD20F5">
        <w:rPr>
          <w:rFonts w:hint="eastAsia"/>
        </w:rPr>
        <w:t>運用無人飛行載具（UAV）輔助巡管，提升監測效能並節省人力。</w:t>
      </w:r>
    </w:p>
    <w:p w14:paraId="11EEB447" w14:textId="135EBCF6" w:rsidR="00E762DE" w:rsidRPr="00E762DE" w:rsidRDefault="00FA03E1" w:rsidP="00D97012">
      <w:pPr>
        <w:pStyle w:val="4"/>
      </w:pPr>
      <w:r>
        <w:rPr>
          <w:rFonts w:hint="eastAsia"/>
        </w:rPr>
        <w:t>該署並</w:t>
      </w:r>
      <w:r w:rsidR="00E762DE" w:rsidRPr="00E762DE">
        <w:rPr>
          <w:rFonts w:hint="eastAsia"/>
        </w:rPr>
        <w:t>指示各分署及辦事處</w:t>
      </w:r>
      <w:r>
        <w:rPr>
          <w:rFonts w:hint="eastAsia"/>
        </w:rPr>
        <w:t>，</w:t>
      </w:r>
      <w:r w:rsidR="00E762DE" w:rsidRPr="00E762DE">
        <w:rPr>
          <w:rFonts w:hint="eastAsia"/>
        </w:rPr>
        <w:t>就列管案件通知地方政府依法查處或取締；另</w:t>
      </w:r>
      <w:r w:rsidR="00F950D3">
        <w:rPr>
          <w:rFonts w:hint="eastAsia"/>
        </w:rPr>
        <w:t>函</w:t>
      </w:r>
      <w:r w:rsidR="00E762DE" w:rsidRPr="00E762DE">
        <w:rPr>
          <w:rFonts w:hint="eastAsia"/>
        </w:rPr>
        <w:t>請經濟部及地方政府，如查</w:t>
      </w:r>
      <w:r w:rsidR="00F950D3">
        <w:rPr>
          <w:rFonts w:hint="eastAsia"/>
        </w:rPr>
        <w:t>獲</w:t>
      </w:r>
      <w:r w:rsidR="00E762DE" w:rsidRPr="00E762DE">
        <w:rPr>
          <w:rFonts w:hint="eastAsia"/>
        </w:rPr>
        <w:t>涉及國有非公用土地之砂石場案件，</w:t>
      </w:r>
      <w:r w:rsidR="00E762DE" w:rsidRPr="00E762DE">
        <w:rPr>
          <w:rFonts w:hint="eastAsia"/>
        </w:rPr>
        <w:lastRenderedPageBreak/>
        <w:t>應即時通報並提供相關事證資料，以利列管處理。同時，亦定期彙整砂石場占用案件清冊及處理情形，函送地礦中心及經濟部產業發展署參處，以強化跨機關資訊交流</w:t>
      </w:r>
      <w:r>
        <w:rPr>
          <w:rFonts w:hint="eastAsia"/>
        </w:rPr>
        <w:t>及橫向</w:t>
      </w:r>
      <w:r w:rsidR="00E762DE" w:rsidRPr="00E762DE">
        <w:rPr>
          <w:rFonts w:hint="eastAsia"/>
        </w:rPr>
        <w:t>協調聯繫。</w:t>
      </w:r>
    </w:p>
    <w:p w14:paraId="32C6D7D0" w14:textId="07B21D7C" w:rsidR="009A78BF" w:rsidRPr="00352AC0" w:rsidRDefault="009A78BF" w:rsidP="00953545">
      <w:pPr>
        <w:pStyle w:val="4"/>
      </w:pPr>
      <w:r w:rsidRPr="00352AC0">
        <w:rPr>
          <w:rFonts w:hint="eastAsia"/>
        </w:rPr>
        <w:t>配合經濟部</w:t>
      </w:r>
      <w:r w:rsidR="00A41FCB" w:rsidRPr="00352AC0">
        <w:rPr>
          <w:rFonts w:hint="eastAsia"/>
        </w:rPr>
        <w:t>基於</w:t>
      </w:r>
      <w:r w:rsidRPr="00352AC0">
        <w:rPr>
          <w:rFonts w:hint="eastAsia"/>
        </w:rPr>
        <w:t>國家整體建設砂石供應需求</w:t>
      </w:r>
      <w:r w:rsidR="00A41FCB" w:rsidRPr="00352AC0">
        <w:rPr>
          <w:rFonts w:hint="eastAsia"/>
        </w:rPr>
        <w:t>所</w:t>
      </w:r>
      <w:r w:rsidRPr="00352AC0">
        <w:rPr>
          <w:rFonts w:hint="eastAsia"/>
        </w:rPr>
        <w:t>研議之「既存未合法或合法另有擴大使用土地之砂石碎解洗選場輔導方案」（下稱輔導方案），國產署</w:t>
      </w:r>
      <w:r w:rsidR="00A41FCB" w:rsidRPr="00352AC0">
        <w:rPr>
          <w:rFonts w:hint="eastAsia"/>
        </w:rPr>
        <w:t>於111年</w:t>
      </w:r>
      <w:r w:rsidRPr="00352AC0">
        <w:rPr>
          <w:rFonts w:hint="eastAsia"/>
        </w:rPr>
        <w:t>輔導方案核定前之過渡期間</w:t>
      </w:r>
      <w:r w:rsidR="004B7B61" w:rsidRPr="00352AC0">
        <w:rPr>
          <w:rFonts w:hint="eastAsia"/>
        </w:rPr>
        <w:t>，建立</w:t>
      </w:r>
      <w:r w:rsidRPr="00352AC0">
        <w:rPr>
          <w:rFonts w:hint="eastAsia"/>
        </w:rPr>
        <w:t>暫緩提起排除侵害民事訴訟及辦理訴訟上和解等</w:t>
      </w:r>
      <w:r w:rsidR="004B7B61" w:rsidRPr="00352AC0">
        <w:rPr>
          <w:rFonts w:hint="eastAsia"/>
        </w:rPr>
        <w:t>配套措施</w:t>
      </w:r>
      <w:r w:rsidRPr="00352AC0">
        <w:rPr>
          <w:rFonts w:hint="eastAsia"/>
        </w:rPr>
        <w:t>，</w:t>
      </w:r>
      <w:r w:rsidR="004B7B61" w:rsidRPr="00352AC0">
        <w:rPr>
          <w:rFonts w:hint="eastAsia"/>
        </w:rPr>
        <w:t>以</w:t>
      </w:r>
      <w:r w:rsidRPr="00352AC0">
        <w:rPr>
          <w:rFonts w:hint="eastAsia"/>
        </w:rPr>
        <w:t>配合政策輔導占用人取得合法使用權，並藉由要求占用人出具切結書或辦理訴訟和解筆錄，確保占用人不得擴大占用及繳納使用補償金，以兼顧國產權益保障及減輕訴訟負擔。其後，行政院於114年7月18日核定「砂石碎解洗選場強化經營及管理方案」（下稱經營管理方案），</w:t>
      </w:r>
      <w:r w:rsidR="00D75D84">
        <w:rPr>
          <w:rFonts w:hint="eastAsia"/>
        </w:rPr>
        <w:t>該署</w:t>
      </w:r>
      <w:r w:rsidRPr="00352AC0">
        <w:rPr>
          <w:rFonts w:hint="eastAsia"/>
        </w:rPr>
        <w:t>並</w:t>
      </w:r>
      <w:r w:rsidR="00C34D4A">
        <w:rPr>
          <w:rFonts w:hint="eastAsia"/>
        </w:rPr>
        <w:t>依該院</w:t>
      </w:r>
      <w:r w:rsidR="0016290A" w:rsidRPr="002F16CD">
        <w:rPr>
          <w:rFonts w:hint="eastAsia"/>
        </w:rPr>
        <w:t>指示</w:t>
      </w:r>
      <w:r w:rsidR="00C34D4A">
        <w:rPr>
          <w:rFonts w:hint="eastAsia"/>
        </w:rPr>
        <w:t>之處理</w:t>
      </w:r>
      <w:r w:rsidR="0016290A" w:rsidRPr="002F16CD">
        <w:rPr>
          <w:rFonts w:hint="eastAsia"/>
        </w:rPr>
        <w:t>原則</w:t>
      </w:r>
      <w:r w:rsidR="00C34D4A" w:rsidRPr="00352AC0">
        <w:rPr>
          <w:rFonts w:hint="eastAsia"/>
        </w:rPr>
        <w:t>調整</w:t>
      </w:r>
      <w:r w:rsidR="00FA03E1">
        <w:rPr>
          <w:rFonts w:hint="eastAsia"/>
        </w:rPr>
        <w:t>後續作法</w:t>
      </w:r>
      <w:r w:rsidR="00C34D4A">
        <w:rPr>
          <w:rFonts w:hint="eastAsia"/>
        </w:rPr>
        <w:t>，即</w:t>
      </w:r>
      <w:r w:rsidR="00FA03E1">
        <w:rPr>
          <w:rFonts w:hint="eastAsia"/>
        </w:rPr>
        <w:t>對於經營管理</w:t>
      </w:r>
      <w:r w:rsidRPr="00352AC0">
        <w:rPr>
          <w:rFonts w:hint="eastAsia"/>
        </w:rPr>
        <w:t>方案適用對象中，已經法院判決確定或調解成立之案件，依判決或調解內容辦理；</w:t>
      </w:r>
      <w:r w:rsidR="00C34D4A">
        <w:rPr>
          <w:rFonts w:hint="eastAsia"/>
        </w:rPr>
        <w:t>如</w:t>
      </w:r>
      <w:r w:rsidRPr="00352AC0">
        <w:rPr>
          <w:rFonts w:hint="eastAsia"/>
        </w:rPr>
        <w:t>訴訟繫屬中者，則於判決確定前撤回起訴</w:t>
      </w:r>
      <w:r w:rsidR="00E83E35" w:rsidRPr="00352AC0">
        <w:rPr>
          <w:rFonts w:hint="eastAsia"/>
        </w:rPr>
        <w:t>。</w:t>
      </w:r>
    </w:p>
    <w:p w14:paraId="4387D345" w14:textId="1845295A" w:rsidR="00E762DE" w:rsidRPr="00352AC0" w:rsidRDefault="00352AC0" w:rsidP="00953545">
      <w:pPr>
        <w:pStyle w:val="4"/>
      </w:pPr>
      <w:r w:rsidRPr="00352AC0">
        <w:rPr>
          <w:rFonts w:hint="eastAsia"/>
        </w:rPr>
        <w:t>國產</w:t>
      </w:r>
      <w:r w:rsidR="009A78BF" w:rsidRPr="00352AC0">
        <w:rPr>
          <w:rFonts w:hint="eastAsia"/>
        </w:rPr>
        <w:t>署</w:t>
      </w:r>
      <w:r w:rsidRPr="00352AC0">
        <w:rPr>
          <w:rFonts w:hint="eastAsia"/>
        </w:rPr>
        <w:t>另表示，</w:t>
      </w:r>
      <w:r w:rsidR="009A78BF" w:rsidRPr="00352AC0">
        <w:rPr>
          <w:rFonts w:hint="eastAsia"/>
        </w:rPr>
        <w:t>列管砂石場占用案件多屬建物、機具占用或堆置砂石等情形，未涉及挖掘土石</w:t>
      </w:r>
      <w:r w:rsidRPr="00352AC0">
        <w:rPr>
          <w:rFonts w:hint="eastAsia"/>
        </w:rPr>
        <w:t>致</w:t>
      </w:r>
      <w:r w:rsidR="009A78BF" w:rsidRPr="00352AC0">
        <w:rPr>
          <w:rFonts w:hint="eastAsia"/>
        </w:rPr>
        <w:t>損害國有土地地形地貌</w:t>
      </w:r>
      <w:r w:rsidR="00C34D4A">
        <w:rPr>
          <w:rFonts w:hint="eastAsia"/>
        </w:rPr>
        <w:t>，爰</w:t>
      </w:r>
      <w:r w:rsidR="00FA03E1">
        <w:rPr>
          <w:rFonts w:hint="eastAsia"/>
        </w:rPr>
        <w:t>對於</w:t>
      </w:r>
      <w:r w:rsidR="009A78BF" w:rsidRPr="00352AC0">
        <w:rPr>
          <w:rFonts w:hint="eastAsia"/>
        </w:rPr>
        <w:t>有意配合政策取得合法使用權</w:t>
      </w:r>
      <w:r w:rsidRPr="00352AC0">
        <w:rPr>
          <w:rFonts w:hint="eastAsia"/>
        </w:rPr>
        <w:t>之占用人</w:t>
      </w:r>
      <w:r w:rsidR="009A78BF" w:rsidRPr="00352AC0">
        <w:rPr>
          <w:rFonts w:hint="eastAsia"/>
        </w:rPr>
        <w:t>，</w:t>
      </w:r>
      <w:r w:rsidRPr="00352AC0">
        <w:rPr>
          <w:rFonts w:hint="eastAsia"/>
        </w:rPr>
        <w:t>並</w:t>
      </w:r>
      <w:r w:rsidR="009A78BF" w:rsidRPr="00352AC0">
        <w:rPr>
          <w:rFonts w:hint="eastAsia"/>
        </w:rPr>
        <w:t>未全面採</w:t>
      </w:r>
      <w:r w:rsidRPr="00352AC0">
        <w:rPr>
          <w:rFonts w:hint="eastAsia"/>
        </w:rPr>
        <w:t>取</w:t>
      </w:r>
      <w:r w:rsidR="009A78BF" w:rsidRPr="00352AC0">
        <w:rPr>
          <w:rFonts w:hint="eastAsia"/>
        </w:rPr>
        <w:t>移送檢警機關偵辦竊佔罪之方式處理。</w:t>
      </w:r>
    </w:p>
    <w:p w14:paraId="5C14A009" w14:textId="71387141" w:rsidR="00D97012" w:rsidRPr="009E6B50" w:rsidRDefault="00D97012" w:rsidP="00D97012">
      <w:pPr>
        <w:pStyle w:val="3"/>
      </w:pPr>
      <w:r w:rsidRPr="009E6B50">
        <w:rPr>
          <w:rFonts w:hint="eastAsia"/>
        </w:rPr>
        <w:t>惟查：</w:t>
      </w:r>
    </w:p>
    <w:p w14:paraId="4F53AA83" w14:textId="52A3D57E" w:rsidR="00B477A9" w:rsidRPr="00554E41" w:rsidRDefault="003C1437" w:rsidP="00554E41">
      <w:pPr>
        <w:pStyle w:val="4"/>
      </w:pPr>
      <w:r w:rsidRPr="009E6B50">
        <w:rPr>
          <w:rFonts w:hint="eastAsia"/>
        </w:rPr>
        <w:t>國產署對於砂石場占用國有非公用土地情形，長期未能有效遏止，截至114年6月底止，列管案件仍高達92家，占用面積達116萬餘平方公尺</w:t>
      </w:r>
      <w:r w:rsidR="00284CA1" w:rsidRPr="009E6B50">
        <w:rPr>
          <w:rFonts w:hint="eastAsia"/>
        </w:rPr>
        <w:t>（以大安森林公園</w:t>
      </w:r>
      <w:r w:rsidR="005309D6" w:rsidRPr="009E6B50">
        <w:rPr>
          <w:rFonts w:hint="eastAsia"/>
        </w:rPr>
        <w:t>面積</w:t>
      </w:r>
      <w:r w:rsidR="00284CA1" w:rsidRPr="009E6B50">
        <w:rPr>
          <w:rFonts w:hint="eastAsia"/>
        </w:rPr>
        <w:t>約25.9公頃</w:t>
      </w:r>
      <w:r w:rsidR="00FF1D0C" w:rsidRPr="009E6B50">
        <w:rPr>
          <w:rFonts w:hint="eastAsia"/>
        </w:rPr>
        <w:t>計算</w:t>
      </w:r>
      <w:r w:rsidR="00284CA1" w:rsidRPr="009E6B50">
        <w:rPr>
          <w:rFonts w:hint="eastAsia"/>
        </w:rPr>
        <w:t>，占用面積約相</w:t>
      </w:r>
      <w:r w:rsidR="00284CA1" w:rsidRPr="009E6B50">
        <w:rPr>
          <w:rFonts w:hint="eastAsia"/>
        </w:rPr>
        <w:lastRenderedPageBreak/>
        <w:t>當於4.5座大安森林公園</w:t>
      </w:r>
      <w:r w:rsidR="005309D6" w:rsidRPr="009E6B50">
        <w:rPr>
          <w:rFonts w:hint="eastAsia"/>
        </w:rPr>
        <w:t>），規模龐鉅</w:t>
      </w:r>
      <w:r w:rsidR="00284CA1" w:rsidRPr="009E6B50">
        <w:rPr>
          <w:rFonts w:hint="eastAsia"/>
        </w:rPr>
        <w:t>，</w:t>
      </w:r>
      <w:r w:rsidRPr="009E6B50">
        <w:rPr>
          <w:rFonts w:hint="eastAsia"/>
        </w:rPr>
        <w:t>且其中仍有25家尚未提起排除侵害民事訴訟。尤有甚者，列管期間逾20年者計有6案，其中1案更已逾30年</w:t>
      </w:r>
      <w:r w:rsidR="0059398A" w:rsidRPr="009E6B50">
        <w:rPr>
          <w:rFonts w:hint="eastAsia"/>
        </w:rPr>
        <w:t>（詳如下表）</w:t>
      </w:r>
      <w:r w:rsidRPr="009E6B50">
        <w:rPr>
          <w:rFonts w:hint="eastAsia"/>
        </w:rPr>
        <w:t>，顯示部分案件長期處於占用狀態</w:t>
      </w:r>
      <w:r w:rsidR="00981454" w:rsidRPr="009E6B50">
        <w:rPr>
          <w:rFonts w:hint="eastAsia"/>
        </w:rPr>
        <w:t>而</w:t>
      </w:r>
      <w:r w:rsidRPr="009E6B50">
        <w:rPr>
          <w:rFonts w:hint="eastAsia"/>
        </w:rPr>
        <w:t>未能有效排除</w:t>
      </w:r>
      <w:r w:rsidR="00981454" w:rsidRPr="009E6B50">
        <w:rPr>
          <w:rFonts w:hint="eastAsia"/>
        </w:rPr>
        <w:t>。</w:t>
      </w:r>
    </w:p>
    <w:p w14:paraId="0048A799" w14:textId="290F699E" w:rsidR="0059398A" w:rsidRPr="009E6B50" w:rsidRDefault="0059398A" w:rsidP="0059398A">
      <w:pPr>
        <w:pStyle w:val="4"/>
        <w:numPr>
          <w:ilvl w:val="0"/>
          <w:numId w:val="0"/>
        </w:numPr>
        <w:spacing w:beforeLines="50" w:before="228"/>
        <w:ind w:left="1418"/>
        <w:rPr>
          <w:b/>
          <w:bCs/>
          <w:sz w:val="28"/>
          <w:szCs w:val="32"/>
        </w:rPr>
      </w:pPr>
      <w:r w:rsidRPr="009E6B50">
        <w:rPr>
          <w:rFonts w:hint="eastAsia"/>
          <w:b/>
          <w:bCs/>
          <w:sz w:val="28"/>
          <w:szCs w:val="32"/>
        </w:rPr>
        <w:t>國產署列管逾20年仍未排除占用之砂石場案件一覽表</w:t>
      </w:r>
    </w:p>
    <w:p w14:paraId="7AA515EC" w14:textId="5944CF79" w:rsidR="0059398A" w:rsidRPr="009E6B50" w:rsidRDefault="0059398A" w:rsidP="0059398A">
      <w:pPr>
        <w:pStyle w:val="4"/>
        <w:numPr>
          <w:ilvl w:val="0"/>
          <w:numId w:val="0"/>
        </w:numPr>
        <w:ind w:left="1418"/>
        <w:jc w:val="right"/>
        <w:rPr>
          <w:sz w:val="24"/>
          <w:szCs w:val="24"/>
        </w:rPr>
      </w:pPr>
      <w:r w:rsidRPr="009E6B50">
        <w:rPr>
          <w:rFonts w:hint="eastAsia"/>
          <w:sz w:val="24"/>
          <w:szCs w:val="24"/>
        </w:rPr>
        <w:t>資料時間：截至114年6月底止</w:t>
      </w:r>
    </w:p>
    <w:tbl>
      <w:tblPr>
        <w:tblStyle w:val="af6"/>
        <w:tblW w:w="7881" w:type="dxa"/>
        <w:tblInd w:w="1045" w:type="dxa"/>
        <w:tblLook w:val="04A0" w:firstRow="1" w:lastRow="0" w:firstColumn="1" w:lastColumn="0" w:noHBand="0" w:noVBand="1"/>
      </w:tblPr>
      <w:tblGrid>
        <w:gridCol w:w="752"/>
        <w:gridCol w:w="3443"/>
        <w:gridCol w:w="1824"/>
        <w:gridCol w:w="1862"/>
      </w:tblGrid>
      <w:tr w:rsidR="009E6B50" w:rsidRPr="009E6B50" w14:paraId="2E6070E1" w14:textId="0BDB3727" w:rsidTr="000D3482">
        <w:trPr>
          <w:trHeight w:val="397"/>
        </w:trPr>
        <w:tc>
          <w:tcPr>
            <w:tcW w:w="752" w:type="dxa"/>
            <w:shd w:val="clear" w:color="auto" w:fill="FDE9D9" w:themeFill="accent6" w:themeFillTint="33"/>
            <w:vAlign w:val="center"/>
          </w:tcPr>
          <w:p w14:paraId="4ECB58B3"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項次</w:t>
            </w:r>
          </w:p>
        </w:tc>
        <w:tc>
          <w:tcPr>
            <w:tcW w:w="3443" w:type="dxa"/>
            <w:shd w:val="clear" w:color="auto" w:fill="FDE9D9" w:themeFill="accent6" w:themeFillTint="33"/>
            <w:vAlign w:val="center"/>
          </w:tcPr>
          <w:p w14:paraId="6A169DD2"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占用人</w:t>
            </w:r>
          </w:p>
        </w:tc>
        <w:tc>
          <w:tcPr>
            <w:tcW w:w="1824" w:type="dxa"/>
            <w:shd w:val="clear" w:color="auto" w:fill="FDE9D9" w:themeFill="accent6" w:themeFillTint="33"/>
            <w:vAlign w:val="center"/>
          </w:tcPr>
          <w:p w14:paraId="4BEB2978" w14:textId="77777777" w:rsidR="0059398A" w:rsidRDefault="0059398A" w:rsidP="00953545">
            <w:pPr>
              <w:pStyle w:val="2"/>
              <w:numPr>
                <w:ilvl w:val="0"/>
                <w:numId w:val="0"/>
              </w:numPr>
              <w:snapToGrid w:val="0"/>
              <w:jc w:val="center"/>
              <w:rPr>
                <w:sz w:val="24"/>
                <w:szCs w:val="24"/>
              </w:rPr>
            </w:pPr>
            <w:r w:rsidRPr="009E6B50">
              <w:rPr>
                <w:rFonts w:hint="eastAsia"/>
                <w:sz w:val="24"/>
                <w:szCs w:val="24"/>
              </w:rPr>
              <w:t>占用列管起日</w:t>
            </w:r>
          </w:p>
          <w:p w14:paraId="331B0375" w14:textId="2776F606" w:rsidR="009A4944" w:rsidRPr="009E6B50" w:rsidRDefault="009A4944" w:rsidP="00953545">
            <w:pPr>
              <w:pStyle w:val="2"/>
              <w:numPr>
                <w:ilvl w:val="0"/>
                <w:numId w:val="0"/>
              </w:numPr>
              <w:snapToGrid w:val="0"/>
              <w:jc w:val="center"/>
              <w:rPr>
                <w:sz w:val="24"/>
                <w:szCs w:val="24"/>
              </w:rPr>
            </w:pPr>
            <w:r>
              <w:rPr>
                <w:rFonts w:hint="eastAsia"/>
                <w:sz w:val="24"/>
                <w:szCs w:val="24"/>
              </w:rPr>
              <w:t>（年.月.日）</w:t>
            </w:r>
          </w:p>
        </w:tc>
        <w:tc>
          <w:tcPr>
            <w:tcW w:w="1862" w:type="dxa"/>
            <w:shd w:val="clear" w:color="auto" w:fill="FDE9D9" w:themeFill="accent6" w:themeFillTint="33"/>
            <w:vAlign w:val="center"/>
          </w:tcPr>
          <w:p w14:paraId="73DF9028" w14:textId="7466ABD8" w:rsidR="0059398A" w:rsidRPr="009E6B50" w:rsidRDefault="0059398A" w:rsidP="0059398A">
            <w:pPr>
              <w:pStyle w:val="2"/>
              <w:numPr>
                <w:ilvl w:val="0"/>
                <w:numId w:val="0"/>
              </w:numPr>
              <w:snapToGrid w:val="0"/>
              <w:jc w:val="center"/>
              <w:rPr>
                <w:sz w:val="24"/>
                <w:szCs w:val="24"/>
              </w:rPr>
            </w:pPr>
            <w:r w:rsidRPr="009E6B50">
              <w:rPr>
                <w:rFonts w:hint="eastAsia"/>
                <w:sz w:val="24"/>
                <w:szCs w:val="24"/>
              </w:rPr>
              <w:t>辦理情形</w:t>
            </w:r>
          </w:p>
        </w:tc>
      </w:tr>
      <w:tr w:rsidR="009E6B50" w:rsidRPr="009E6B50" w14:paraId="44C35151" w14:textId="62AA4930" w:rsidTr="000D3482">
        <w:trPr>
          <w:trHeight w:val="397"/>
        </w:trPr>
        <w:tc>
          <w:tcPr>
            <w:tcW w:w="752" w:type="dxa"/>
            <w:vAlign w:val="center"/>
          </w:tcPr>
          <w:p w14:paraId="44D730C2"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1</w:t>
            </w:r>
          </w:p>
        </w:tc>
        <w:tc>
          <w:tcPr>
            <w:tcW w:w="3443" w:type="dxa"/>
            <w:vAlign w:val="center"/>
          </w:tcPr>
          <w:p w14:paraId="0E764979" w14:textId="778066F5" w:rsidR="0059398A" w:rsidRPr="009E6B50" w:rsidRDefault="0059398A" w:rsidP="00953545">
            <w:pPr>
              <w:pStyle w:val="2"/>
              <w:numPr>
                <w:ilvl w:val="0"/>
                <w:numId w:val="0"/>
              </w:numPr>
              <w:snapToGrid w:val="0"/>
              <w:jc w:val="center"/>
              <w:rPr>
                <w:sz w:val="24"/>
                <w:szCs w:val="24"/>
              </w:rPr>
            </w:pPr>
            <w:r w:rsidRPr="009E6B50">
              <w:rPr>
                <w:rFonts w:hint="eastAsia"/>
                <w:sz w:val="24"/>
                <w:szCs w:val="24"/>
              </w:rPr>
              <w:t>中</w:t>
            </w:r>
            <w:r w:rsidR="00554E41">
              <w:rPr>
                <w:rFonts w:hint="eastAsia"/>
                <w:sz w:val="24"/>
                <w:szCs w:val="24"/>
              </w:rPr>
              <w:t>○</w:t>
            </w:r>
            <w:r w:rsidRPr="009E6B50">
              <w:rPr>
                <w:rFonts w:hint="eastAsia"/>
                <w:sz w:val="24"/>
                <w:szCs w:val="24"/>
              </w:rPr>
              <w:t>砂石企業股份有限公司</w:t>
            </w:r>
          </w:p>
        </w:tc>
        <w:tc>
          <w:tcPr>
            <w:tcW w:w="1824" w:type="dxa"/>
            <w:vAlign w:val="center"/>
          </w:tcPr>
          <w:p w14:paraId="322B5E09"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92.2.1</w:t>
            </w:r>
          </w:p>
        </w:tc>
        <w:tc>
          <w:tcPr>
            <w:tcW w:w="1862" w:type="dxa"/>
            <w:vAlign w:val="center"/>
          </w:tcPr>
          <w:p w14:paraId="39C69D9D" w14:textId="73B7FD76" w:rsidR="0059398A" w:rsidRPr="009E6B50" w:rsidRDefault="0059398A" w:rsidP="0059398A">
            <w:pPr>
              <w:pStyle w:val="2"/>
              <w:numPr>
                <w:ilvl w:val="0"/>
                <w:numId w:val="0"/>
              </w:numPr>
              <w:snapToGrid w:val="0"/>
              <w:jc w:val="center"/>
              <w:rPr>
                <w:sz w:val="24"/>
                <w:szCs w:val="24"/>
                <w:vertAlign w:val="superscript"/>
              </w:rPr>
            </w:pPr>
            <w:r w:rsidRPr="009E6B50">
              <w:rPr>
                <w:rFonts w:hint="eastAsia"/>
                <w:sz w:val="24"/>
                <w:szCs w:val="24"/>
              </w:rPr>
              <w:t>暫緩提起民事訴訟</w:t>
            </w:r>
            <w:r w:rsidRPr="009E6B50">
              <w:rPr>
                <w:rFonts w:hint="eastAsia"/>
                <w:sz w:val="24"/>
                <w:szCs w:val="24"/>
                <w:vertAlign w:val="superscript"/>
              </w:rPr>
              <w:t>註1</w:t>
            </w:r>
          </w:p>
        </w:tc>
      </w:tr>
      <w:tr w:rsidR="009E6B50" w:rsidRPr="009E6B50" w14:paraId="3F22D5A8" w14:textId="13996E73" w:rsidTr="000D3482">
        <w:trPr>
          <w:trHeight w:val="397"/>
        </w:trPr>
        <w:tc>
          <w:tcPr>
            <w:tcW w:w="752" w:type="dxa"/>
            <w:vAlign w:val="center"/>
          </w:tcPr>
          <w:p w14:paraId="1413664C"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2</w:t>
            </w:r>
          </w:p>
        </w:tc>
        <w:tc>
          <w:tcPr>
            <w:tcW w:w="3443" w:type="dxa"/>
            <w:vAlign w:val="center"/>
          </w:tcPr>
          <w:p w14:paraId="47482B3B" w14:textId="116C0FF9" w:rsidR="0059398A" w:rsidRPr="009E6B50" w:rsidRDefault="0059398A" w:rsidP="00953545">
            <w:pPr>
              <w:pStyle w:val="2"/>
              <w:numPr>
                <w:ilvl w:val="0"/>
                <w:numId w:val="0"/>
              </w:numPr>
              <w:snapToGrid w:val="0"/>
              <w:jc w:val="center"/>
              <w:rPr>
                <w:sz w:val="24"/>
                <w:szCs w:val="24"/>
              </w:rPr>
            </w:pPr>
            <w:r w:rsidRPr="009E6B50">
              <w:rPr>
                <w:rFonts w:hint="eastAsia"/>
                <w:sz w:val="24"/>
                <w:szCs w:val="24"/>
              </w:rPr>
              <w:t>高</w:t>
            </w:r>
            <w:r w:rsidR="00554E41">
              <w:rPr>
                <w:rFonts w:hint="eastAsia"/>
                <w:sz w:val="24"/>
                <w:szCs w:val="24"/>
              </w:rPr>
              <w:t>○</w:t>
            </w:r>
            <w:r w:rsidRPr="009E6B50">
              <w:rPr>
                <w:rFonts w:hint="eastAsia"/>
                <w:sz w:val="24"/>
                <w:szCs w:val="24"/>
              </w:rPr>
              <w:t>砂石企業股份有限公司</w:t>
            </w:r>
          </w:p>
        </w:tc>
        <w:tc>
          <w:tcPr>
            <w:tcW w:w="1824" w:type="dxa"/>
            <w:vAlign w:val="center"/>
          </w:tcPr>
          <w:p w14:paraId="7CD2D42E"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95.5.1</w:t>
            </w:r>
          </w:p>
        </w:tc>
        <w:tc>
          <w:tcPr>
            <w:tcW w:w="1862" w:type="dxa"/>
            <w:vMerge w:val="restart"/>
            <w:vAlign w:val="center"/>
          </w:tcPr>
          <w:p w14:paraId="0B452030" w14:textId="77777777" w:rsidR="0059398A" w:rsidRPr="009E6B50" w:rsidRDefault="0059398A" w:rsidP="0059398A">
            <w:pPr>
              <w:pStyle w:val="2"/>
              <w:numPr>
                <w:ilvl w:val="0"/>
                <w:numId w:val="0"/>
              </w:numPr>
              <w:snapToGrid w:val="0"/>
              <w:jc w:val="center"/>
              <w:rPr>
                <w:sz w:val="24"/>
                <w:szCs w:val="24"/>
              </w:rPr>
            </w:pPr>
            <w:r w:rsidRPr="009E6B50">
              <w:rPr>
                <w:rFonts w:hint="eastAsia"/>
                <w:sz w:val="24"/>
                <w:szCs w:val="24"/>
              </w:rPr>
              <w:t>申請</w:t>
            </w:r>
          </w:p>
          <w:p w14:paraId="002EE02A" w14:textId="1F25E168" w:rsidR="0059398A" w:rsidRPr="009E6B50" w:rsidRDefault="0059398A" w:rsidP="0059398A">
            <w:pPr>
              <w:pStyle w:val="2"/>
              <w:numPr>
                <w:ilvl w:val="0"/>
                <w:numId w:val="0"/>
              </w:numPr>
              <w:snapToGrid w:val="0"/>
              <w:jc w:val="center"/>
              <w:rPr>
                <w:sz w:val="24"/>
                <w:szCs w:val="24"/>
              </w:rPr>
            </w:pPr>
            <w:r w:rsidRPr="009E6B50">
              <w:rPr>
                <w:rFonts w:hint="eastAsia"/>
                <w:sz w:val="24"/>
                <w:szCs w:val="24"/>
              </w:rPr>
              <w:t>合法使用權中</w:t>
            </w:r>
          </w:p>
        </w:tc>
      </w:tr>
      <w:tr w:rsidR="009E6B50" w:rsidRPr="009E6B50" w14:paraId="0B5DF16C" w14:textId="215A4915" w:rsidTr="000D3482">
        <w:trPr>
          <w:trHeight w:val="397"/>
        </w:trPr>
        <w:tc>
          <w:tcPr>
            <w:tcW w:w="752" w:type="dxa"/>
            <w:vAlign w:val="center"/>
          </w:tcPr>
          <w:p w14:paraId="366B6C11"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3</w:t>
            </w:r>
          </w:p>
        </w:tc>
        <w:tc>
          <w:tcPr>
            <w:tcW w:w="3443" w:type="dxa"/>
            <w:vAlign w:val="center"/>
          </w:tcPr>
          <w:p w14:paraId="521DA071" w14:textId="1C2E40DA" w:rsidR="0059398A" w:rsidRPr="009E6B50" w:rsidRDefault="0059398A" w:rsidP="00953545">
            <w:pPr>
              <w:pStyle w:val="2"/>
              <w:numPr>
                <w:ilvl w:val="0"/>
                <w:numId w:val="0"/>
              </w:numPr>
              <w:snapToGrid w:val="0"/>
              <w:jc w:val="center"/>
              <w:rPr>
                <w:sz w:val="24"/>
                <w:szCs w:val="24"/>
              </w:rPr>
            </w:pPr>
            <w:r w:rsidRPr="009E6B50">
              <w:rPr>
                <w:rFonts w:hint="eastAsia"/>
                <w:sz w:val="24"/>
                <w:szCs w:val="24"/>
              </w:rPr>
              <w:t>威</w:t>
            </w:r>
            <w:r w:rsidR="00554E41">
              <w:rPr>
                <w:rFonts w:hint="eastAsia"/>
                <w:sz w:val="24"/>
                <w:szCs w:val="24"/>
              </w:rPr>
              <w:t>○</w:t>
            </w:r>
            <w:r w:rsidRPr="009E6B50">
              <w:rPr>
                <w:rFonts w:hint="eastAsia"/>
                <w:sz w:val="24"/>
                <w:szCs w:val="24"/>
              </w:rPr>
              <w:t>企業股份有限公司</w:t>
            </w:r>
          </w:p>
        </w:tc>
        <w:tc>
          <w:tcPr>
            <w:tcW w:w="1824" w:type="dxa"/>
            <w:vAlign w:val="center"/>
          </w:tcPr>
          <w:p w14:paraId="18EB0650"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89.6.1</w:t>
            </w:r>
          </w:p>
        </w:tc>
        <w:tc>
          <w:tcPr>
            <w:tcW w:w="1862" w:type="dxa"/>
            <w:vMerge/>
            <w:vAlign w:val="center"/>
          </w:tcPr>
          <w:p w14:paraId="1FB26959" w14:textId="77777777" w:rsidR="0059398A" w:rsidRPr="009E6B50" w:rsidRDefault="0059398A" w:rsidP="0059398A">
            <w:pPr>
              <w:pStyle w:val="2"/>
              <w:numPr>
                <w:ilvl w:val="0"/>
                <w:numId w:val="0"/>
              </w:numPr>
              <w:snapToGrid w:val="0"/>
              <w:jc w:val="center"/>
              <w:rPr>
                <w:sz w:val="24"/>
                <w:szCs w:val="24"/>
              </w:rPr>
            </w:pPr>
          </w:p>
        </w:tc>
      </w:tr>
      <w:tr w:rsidR="009E6B50" w:rsidRPr="009E6B50" w14:paraId="63262F2F" w14:textId="1A803E78" w:rsidTr="000D3482">
        <w:trPr>
          <w:trHeight w:val="397"/>
        </w:trPr>
        <w:tc>
          <w:tcPr>
            <w:tcW w:w="752" w:type="dxa"/>
            <w:vAlign w:val="center"/>
          </w:tcPr>
          <w:p w14:paraId="2E038537"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4</w:t>
            </w:r>
          </w:p>
        </w:tc>
        <w:tc>
          <w:tcPr>
            <w:tcW w:w="3443" w:type="dxa"/>
            <w:vAlign w:val="center"/>
          </w:tcPr>
          <w:p w14:paraId="581A65AC" w14:textId="1A5705FF" w:rsidR="0059398A" w:rsidRPr="009E6B50" w:rsidRDefault="0059398A" w:rsidP="00953545">
            <w:pPr>
              <w:pStyle w:val="2"/>
              <w:numPr>
                <w:ilvl w:val="0"/>
                <w:numId w:val="0"/>
              </w:numPr>
              <w:snapToGrid w:val="0"/>
              <w:jc w:val="center"/>
              <w:rPr>
                <w:sz w:val="24"/>
                <w:szCs w:val="24"/>
              </w:rPr>
            </w:pPr>
            <w:r w:rsidRPr="009E6B50">
              <w:rPr>
                <w:rFonts w:hint="eastAsia"/>
                <w:sz w:val="24"/>
                <w:szCs w:val="24"/>
              </w:rPr>
              <w:t>富</w:t>
            </w:r>
            <w:r w:rsidR="00554E41">
              <w:rPr>
                <w:rFonts w:hint="eastAsia"/>
                <w:sz w:val="24"/>
                <w:szCs w:val="24"/>
              </w:rPr>
              <w:t>○</w:t>
            </w:r>
            <w:r w:rsidRPr="009E6B50">
              <w:rPr>
                <w:rFonts w:hint="eastAsia"/>
                <w:sz w:val="24"/>
                <w:szCs w:val="24"/>
              </w:rPr>
              <w:t>開發實業股份有限公司</w:t>
            </w:r>
          </w:p>
        </w:tc>
        <w:tc>
          <w:tcPr>
            <w:tcW w:w="1824" w:type="dxa"/>
            <w:vAlign w:val="center"/>
          </w:tcPr>
          <w:p w14:paraId="39148459"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95.1.1</w:t>
            </w:r>
          </w:p>
        </w:tc>
        <w:tc>
          <w:tcPr>
            <w:tcW w:w="1862" w:type="dxa"/>
            <w:vMerge/>
            <w:vAlign w:val="center"/>
          </w:tcPr>
          <w:p w14:paraId="44E951D8" w14:textId="77777777" w:rsidR="0059398A" w:rsidRPr="009E6B50" w:rsidRDefault="0059398A" w:rsidP="0059398A">
            <w:pPr>
              <w:pStyle w:val="2"/>
              <w:numPr>
                <w:ilvl w:val="0"/>
                <w:numId w:val="0"/>
              </w:numPr>
              <w:snapToGrid w:val="0"/>
              <w:jc w:val="center"/>
              <w:rPr>
                <w:sz w:val="24"/>
                <w:szCs w:val="24"/>
              </w:rPr>
            </w:pPr>
          </w:p>
        </w:tc>
      </w:tr>
      <w:tr w:rsidR="009E6B50" w:rsidRPr="009E6B50" w14:paraId="7EDC43FC" w14:textId="45F5938D" w:rsidTr="000D3482">
        <w:trPr>
          <w:trHeight w:val="397"/>
        </w:trPr>
        <w:tc>
          <w:tcPr>
            <w:tcW w:w="752" w:type="dxa"/>
            <w:vAlign w:val="center"/>
          </w:tcPr>
          <w:p w14:paraId="4AED0AA5"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5</w:t>
            </w:r>
          </w:p>
        </w:tc>
        <w:tc>
          <w:tcPr>
            <w:tcW w:w="3443" w:type="dxa"/>
            <w:vAlign w:val="center"/>
          </w:tcPr>
          <w:p w14:paraId="02BE3D5A" w14:textId="171B030F" w:rsidR="0059398A" w:rsidRPr="009E6B50" w:rsidRDefault="0059398A" w:rsidP="00953545">
            <w:pPr>
              <w:pStyle w:val="2"/>
              <w:numPr>
                <w:ilvl w:val="0"/>
                <w:numId w:val="0"/>
              </w:numPr>
              <w:snapToGrid w:val="0"/>
              <w:jc w:val="center"/>
              <w:rPr>
                <w:sz w:val="24"/>
                <w:szCs w:val="24"/>
              </w:rPr>
            </w:pPr>
            <w:r w:rsidRPr="009E6B50">
              <w:rPr>
                <w:rFonts w:hint="eastAsia"/>
                <w:sz w:val="24"/>
                <w:szCs w:val="24"/>
              </w:rPr>
              <w:t>鳳</w:t>
            </w:r>
            <w:r w:rsidR="00554E41">
              <w:rPr>
                <w:rFonts w:hint="eastAsia"/>
                <w:sz w:val="24"/>
                <w:szCs w:val="24"/>
              </w:rPr>
              <w:t>○</w:t>
            </w:r>
            <w:r w:rsidRPr="009E6B50">
              <w:rPr>
                <w:rFonts w:hint="eastAsia"/>
                <w:sz w:val="24"/>
                <w:szCs w:val="24"/>
              </w:rPr>
              <w:t>實業股份有限公司</w:t>
            </w:r>
          </w:p>
        </w:tc>
        <w:tc>
          <w:tcPr>
            <w:tcW w:w="1824" w:type="dxa"/>
            <w:vAlign w:val="center"/>
          </w:tcPr>
          <w:p w14:paraId="74E135DD"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80.7.1</w:t>
            </w:r>
          </w:p>
        </w:tc>
        <w:tc>
          <w:tcPr>
            <w:tcW w:w="1862" w:type="dxa"/>
            <w:vMerge/>
            <w:vAlign w:val="center"/>
          </w:tcPr>
          <w:p w14:paraId="792A5805" w14:textId="77777777" w:rsidR="0059398A" w:rsidRPr="009E6B50" w:rsidRDefault="0059398A" w:rsidP="0059398A">
            <w:pPr>
              <w:pStyle w:val="2"/>
              <w:numPr>
                <w:ilvl w:val="0"/>
                <w:numId w:val="0"/>
              </w:numPr>
              <w:snapToGrid w:val="0"/>
              <w:jc w:val="center"/>
              <w:rPr>
                <w:sz w:val="24"/>
                <w:szCs w:val="24"/>
              </w:rPr>
            </w:pPr>
          </w:p>
        </w:tc>
      </w:tr>
      <w:tr w:rsidR="009E6B50" w:rsidRPr="009E6B50" w14:paraId="02288D45" w14:textId="687FA2D0" w:rsidTr="000D3482">
        <w:trPr>
          <w:trHeight w:val="397"/>
        </w:trPr>
        <w:tc>
          <w:tcPr>
            <w:tcW w:w="752" w:type="dxa"/>
            <w:vAlign w:val="center"/>
          </w:tcPr>
          <w:p w14:paraId="63291F8B"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6</w:t>
            </w:r>
          </w:p>
        </w:tc>
        <w:tc>
          <w:tcPr>
            <w:tcW w:w="3443" w:type="dxa"/>
            <w:vAlign w:val="center"/>
          </w:tcPr>
          <w:p w14:paraId="3BAC0138" w14:textId="05229AEB" w:rsidR="0059398A" w:rsidRPr="000D3482" w:rsidRDefault="0059398A" w:rsidP="000D3482">
            <w:pPr>
              <w:pStyle w:val="2"/>
              <w:numPr>
                <w:ilvl w:val="0"/>
                <w:numId w:val="0"/>
              </w:numPr>
              <w:snapToGrid w:val="0"/>
              <w:ind w:leftChars="-17" w:left="-58" w:rightChars="-33" w:right="-112"/>
              <w:jc w:val="center"/>
              <w:rPr>
                <w:spacing w:val="-10"/>
                <w:sz w:val="24"/>
                <w:szCs w:val="24"/>
              </w:rPr>
            </w:pPr>
            <w:r w:rsidRPr="000D3482">
              <w:rPr>
                <w:rFonts w:hint="eastAsia"/>
                <w:spacing w:val="-10"/>
                <w:sz w:val="24"/>
                <w:szCs w:val="24"/>
              </w:rPr>
              <w:t>信</w:t>
            </w:r>
            <w:r w:rsidR="00554E41">
              <w:rPr>
                <w:rFonts w:hint="eastAsia"/>
                <w:spacing w:val="-10"/>
                <w:sz w:val="24"/>
                <w:szCs w:val="24"/>
              </w:rPr>
              <w:t>○</w:t>
            </w:r>
            <w:r w:rsidRPr="000D3482">
              <w:rPr>
                <w:rFonts w:hint="eastAsia"/>
                <w:spacing w:val="-10"/>
                <w:sz w:val="24"/>
                <w:szCs w:val="24"/>
              </w:rPr>
              <w:t>工程行(祥</w:t>
            </w:r>
            <w:r w:rsidR="00554E41">
              <w:rPr>
                <w:rFonts w:hint="eastAsia"/>
                <w:spacing w:val="-10"/>
                <w:sz w:val="24"/>
                <w:szCs w:val="24"/>
              </w:rPr>
              <w:t>○</w:t>
            </w:r>
            <w:r w:rsidRPr="000D3482">
              <w:rPr>
                <w:rFonts w:hint="eastAsia"/>
                <w:spacing w:val="-10"/>
                <w:sz w:val="24"/>
                <w:szCs w:val="24"/>
              </w:rPr>
              <w:t>砂石場更名)</w:t>
            </w:r>
          </w:p>
        </w:tc>
        <w:tc>
          <w:tcPr>
            <w:tcW w:w="1824" w:type="dxa"/>
            <w:vAlign w:val="center"/>
          </w:tcPr>
          <w:p w14:paraId="307B3838" w14:textId="77777777" w:rsidR="0059398A" w:rsidRPr="009E6B50" w:rsidRDefault="0059398A" w:rsidP="00953545">
            <w:pPr>
              <w:pStyle w:val="2"/>
              <w:numPr>
                <w:ilvl w:val="0"/>
                <w:numId w:val="0"/>
              </w:numPr>
              <w:snapToGrid w:val="0"/>
              <w:jc w:val="center"/>
              <w:rPr>
                <w:sz w:val="24"/>
                <w:szCs w:val="24"/>
              </w:rPr>
            </w:pPr>
            <w:r w:rsidRPr="009E6B50">
              <w:rPr>
                <w:rFonts w:hint="eastAsia"/>
                <w:sz w:val="24"/>
                <w:szCs w:val="24"/>
              </w:rPr>
              <w:t>94.5.1</w:t>
            </w:r>
          </w:p>
        </w:tc>
        <w:tc>
          <w:tcPr>
            <w:tcW w:w="1862" w:type="dxa"/>
            <w:vMerge/>
            <w:vAlign w:val="center"/>
          </w:tcPr>
          <w:p w14:paraId="0395EE17" w14:textId="77777777" w:rsidR="0059398A" w:rsidRPr="009E6B50" w:rsidRDefault="0059398A" w:rsidP="0059398A">
            <w:pPr>
              <w:pStyle w:val="2"/>
              <w:numPr>
                <w:ilvl w:val="0"/>
                <w:numId w:val="0"/>
              </w:numPr>
              <w:snapToGrid w:val="0"/>
              <w:jc w:val="center"/>
              <w:rPr>
                <w:sz w:val="24"/>
                <w:szCs w:val="24"/>
              </w:rPr>
            </w:pPr>
          </w:p>
        </w:tc>
      </w:tr>
    </w:tbl>
    <w:p w14:paraId="41AD8426" w14:textId="55C9A2C5" w:rsidR="0059398A" w:rsidRPr="009E6B50" w:rsidRDefault="0059398A" w:rsidP="0059398A">
      <w:pPr>
        <w:pStyle w:val="4"/>
        <w:numPr>
          <w:ilvl w:val="0"/>
          <w:numId w:val="0"/>
        </w:numPr>
        <w:snapToGrid w:val="0"/>
        <w:ind w:leftChars="333" w:left="1783" w:hangingChars="250" w:hanging="650"/>
        <w:rPr>
          <w:sz w:val="24"/>
          <w:szCs w:val="28"/>
        </w:rPr>
      </w:pPr>
      <w:r w:rsidRPr="009E6B50">
        <w:rPr>
          <w:rFonts w:hint="eastAsia"/>
          <w:sz w:val="24"/>
          <w:szCs w:val="28"/>
        </w:rPr>
        <w:t>註1：因占用人配合繳交使用補償金及承諾相關事項而暫緩提起民事訴訟。</w:t>
      </w:r>
    </w:p>
    <w:p w14:paraId="5ADE0CEF" w14:textId="376FBF55" w:rsidR="0059398A" w:rsidRPr="009E6B50" w:rsidRDefault="0059398A" w:rsidP="0059398A">
      <w:pPr>
        <w:pStyle w:val="4"/>
        <w:numPr>
          <w:ilvl w:val="0"/>
          <w:numId w:val="0"/>
        </w:numPr>
        <w:snapToGrid w:val="0"/>
        <w:spacing w:afterLines="50" w:after="228"/>
        <w:ind w:left="1134"/>
        <w:rPr>
          <w:sz w:val="24"/>
          <w:szCs w:val="28"/>
        </w:rPr>
      </w:pPr>
      <w:r w:rsidRPr="009E6B50">
        <w:rPr>
          <w:rFonts w:hint="eastAsia"/>
          <w:sz w:val="24"/>
          <w:szCs w:val="28"/>
        </w:rPr>
        <w:t>資料來源：依國產署提供資料整理製作。</w:t>
      </w:r>
    </w:p>
    <w:p w14:paraId="34360638" w14:textId="2A98A620" w:rsidR="003C1437" w:rsidRPr="009E6B50" w:rsidRDefault="003C1437" w:rsidP="003C1437">
      <w:pPr>
        <w:pStyle w:val="4"/>
      </w:pPr>
      <w:r w:rsidRPr="009E6B50">
        <w:rPr>
          <w:rFonts w:hint="eastAsia"/>
        </w:rPr>
        <w:t>又上述92家列管案件中，移送刑事偵辦者僅11件（包括偵辦中1件、起訴3件及不起訴7件），其中因追訴權時效完成而經檢察官為不起訴處分者即有3件，占不起訴案件比率</w:t>
      </w:r>
      <w:r w:rsidR="005309D6" w:rsidRPr="009E6B50">
        <w:rPr>
          <w:rFonts w:hint="eastAsia"/>
        </w:rPr>
        <w:t>超過4</w:t>
      </w:r>
      <w:r w:rsidRPr="009E6B50">
        <w:rPr>
          <w:rFonts w:hint="eastAsia"/>
        </w:rPr>
        <w:t>成，</w:t>
      </w:r>
      <w:r w:rsidR="00D75D84">
        <w:rPr>
          <w:rFonts w:hint="eastAsia"/>
        </w:rPr>
        <w:t>亦證</w:t>
      </w:r>
      <w:r w:rsidR="005309D6" w:rsidRPr="009E6B50">
        <w:rPr>
          <w:rFonts w:hint="eastAsia"/>
        </w:rPr>
        <w:t>該署對於砂石場違規占用</w:t>
      </w:r>
      <w:r w:rsidR="001339B3" w:rsidRPr="009E6B50">
        <w:rPr>
          <w:rFonts w:hint="eastAsia"/>
        </w:rPr>
        <w:t>案件</w:t>
      </w:r>
      <w:r w:rsidR="005309D6" w:rsidRPr="009E6B50">
        <w:rPr>
          <w:rFonts w:hint="eastAsia"/>
        </w:rPr>
        <w:t>之</w:t>
      </w:r>
      <w:r w:rsidR="00981454" w:rsidRPr="009E6B50">
        <w:rPr>
          <w:rFonts w:hint="eastAsia"/>
        </w:rPr>
        <w:t>排除</w:t>
      </w:r>
      <w:r w:rsidRPr="009E6B50">
        <w:rPr>
          <w:rFonts w:hint="eastAsia"/>
        </w:rPr>
        <w:t>及</w:t>
      </w:r>
      <w:r w:rsidR="00981454" w:rsidRPr="009E6B50">
        <w:rPr>
          <w:rFonts w:hint="eastAsia"/>
        </w:rPr>
        <w:t>責任追究</w:t>
      </w:r>
      <w:r w:rsidRPr="009E6B50">
        <w:rPr>
          <w:rFonts w:hint="eastAsia"/>
        </w:rPr>
        <w:t>，</w:t>
      </w:r>
      <w:r w:rsidR="00981454" w:rsidRPr="009E6B50">
        <w:rPr>
          <w:rFonts w:hint="eastAsia"/>
        </w:rPr>
        <w:t>欠缺積極有效之執法作為</w:t>
      </w:r>
      <w:r w:rsidRPr="009E6B50">
        <w:rPr>
          <w:rFonts w:hint="eastAsia"/>
        </w:rPr>
        <w:t>。</w:t>
      </w:r>
    </w:p>
    <w:p w14:paraId="7EF4C889" w14:textId="1238F4F0" w:rsidR="003C1437" w:rsidRPr="009E6B50" w:rsidRDefault="003C1437" w:rsidP="003C1437">
      <w:pPr>
        <w:pStyle w:val="4"/>
      </w:pPr>
      <w:r w:rsidRPr="009E6B50">
        <w:rPr>
          <w:rFonts w:hint="eastAsia"/>
        </w:rPr>
        <w:t>國產署雖於110年間邀集法務部等相關機關研議重大占用案件差異化處理機制，並函示各分署得視個案情節，依民法第184條請求損害賠償，或於刑事程序中主張沒收不法所得，以加強對重大違規案件之追償及究責，惟據該署說明，截至目前為止，尚無針對砂石場占用案件實際請求損害賠</w:t>
      </w:r>
      <w:r w:rsidRPr="009E6B50">
        <w:rPr>
          <w:rFonts w:hint="eastAsia"/>
        </w:rPr>
        <w:lastRenderedPageBreak/>
        <w:t>償或成功沒收犯罪所得之案例，</w:t>
      </w:r>
      <w:r w:rsidR="00981454" w:rsidRPr="009E6B50">
        <w:rPr>
          <w:rFonts w:hint="eastAsia"/>
        </w:rPr>
        <w:t>亦</w:t>
      </w:r>
      <w:r w:rsidRPr="009E6B50">
        <w:rPr>
          <w:rFonts w:hint="eastAsia"/>
        </w:rPr>
        <w:t>顯示相關差異化處理機制迄未具體落實，對重大違規占用行為之嚇阻效果</w:t>
      </w:r>
      <w:r w:rsidR="001339B3" w:rsidRPr="009E6B50">
        <w:rPr>
          <w:rFonts w:hint="eastAsia"/>
        </w:rPr>
        <w:t>洵</w:t>
      </w:r>
      <w:r w:rsidRPr="009E6B50">
        <w:rPr>
          <w:rFonts w:hint="eastAsia"/>
        </w:rPr>
        <w:t>屬有限。</w:t>
      </w:r>
    </w:p>
    <w:p w14:paraId="1BDC9A64" w14:textId="61ED1583" w:rsidR="003C1437" w:rsidRPr="009E6B50" w:rsidRDefault="003C1437" w:rsidP="003C1437">
      <w:pPr>
        <w:pStyle w:val="4"/>
      </w:pPr>
      <w:r w:rsidRPr="009E6B50">
        <w:rPr>
          <w:rFonts w:hint="eastAsia"/>
        </w:rPr>
        <w:t>國產署對於砂石場占用國有非公用土地案件，長期採取「</w:t>
      </w:r>
      <w:r w:rsidR="007010A8">
        <w:rPr>
          <w:rFonts w:hint="eastAsia"/>
        </w:rPr>
        <w:t>優先</w:t>
      </w:r>
      <w:r w:rsidRPr="009E6B50">
        <w:rPr>
          <w:rFonts w:hint="eastAsia"/>
        </w:rPr>
        <w:t>輔導合法化」之處理模式，雖有配合國家砂石供應政策及產業管理需求之考量，並有助於案件列管及後續管理，</w:t>
      </w:r>
      <w:r w:rsidR="00D8205E" w:rsidRPr="009E6B50">
        <w:rPr>
          <w:rFonts w:hint="eastAsia"/>
        </w:rPr>
        <w:t>然而</w:t>
      </w:r>
      <w:r w:rsidRPr="009E6B50">
        <w:rPr>
          <w:rFonts w:hint="eastAsia"/>
        </w:rPr>
        <w:t>對於長期占用、面積龐大或情節重大之案件，</w:t>
      </w:r>
      <w:r w:rsidR="001339B3" w:rsidRPr="009E6B50">
        <w:rPr>
          <w:rFonts w:hint="eastAsia"/>
        </w:rPr>
        <w:t>如</w:t>
      </w:r>
      <w:r w:rsidRPr="009E6B50">
        <w:rPr>
          <w:rFonts w:hint="eastAsia"/>
        </w:rPr>
        <w:t>未能建立</w:t>
      </w:r>
      <w:r w:rsidR="00D8205E" w:rsidRPr="009E6B50">
        <w:rPr>
          <w:rFonts w:hint="eastAsia"/>
        </w:rPr>
        <w:t>並</w:t>
      </w:r>
      <w:r w:rsidR="00E001C6" w:rsidRPr="009E6B50">
        <w:rPr>
          <w:rFonts w:hint="eastAsia"/>
        </w:rPr>
        <w:t>落實</w:t>
      </w:r>
      <w:r w:rsidR="00D8205E" w:rsidRPr="009E6B50">
        <w:rPr>
          <w:rFonts w:hint="eastAsia"/>
        </w:rPr>
        <w:t>採取</w:t>
      </w:r>
      <w:r w:rsidR="001339B3" w:rsidRPr="009E6B50">
        <w:rPr>
          <w:rFonts w:hint="eastAsia"/>
        </w:rPr>
        <w:t>具體</w:t>
      </w:r>
      <w:r w:rsidRPr="009E6B50">
        <w:rPr>
          <w:rFonts w:hint="eastAsia"/>
        </w:rPr>
        <w:t>明確且</w:t>
      </w:r>
      <w:r w:rsidR="001339B3" w:rsidRPr="009E6B50">
        <w:rPr>
          <w:rFonts w:hint="eastAsia"/>
        </w:rPr>
        <w:t>積極有效</w:t>
      </w:r>
      <w:r w:rsidRPr="009E6B50">
        <w:rPr>
          <w:rFonts w:hint="eastAsia"/>
        </w:rPr>
        <w:t>之</w:t>
      </w:r>
      <w:r w:rsidR="00D8205E" w:rsidRPr="009E6B50">
        <w:rPr>
          <w:rFonts w:hint="eastAsia"/>
        </w:rPr>
        <w:t>遏止及</w:t>
      </w:r>
      <w:r w:rsidRPr="009E6B50">
        <w:rPr>
          <w:rFonts w:hint="eastAsia"/>
        </w:rPr>
        <w:t>究責機制，易使違規業者產生「先占用、後合法化」之預期心理，不僅弱化國有土地管理</w:t>
      </w:r>
      <w:r w:rsidR="00D8205E" w:rsidRPr="009E6B50">
        <w:rPr>
          <w:rFonts w:hint="eastAsia"/>
        </w:rPr>
        <w:t>機關之權責</w:t>
      </w:r>
      <w:r w:rsidRPr="009E6B50">
        <w:rPr>
          <w:rFonts w:hint="eastAsia"/>
        </w:rPr>
        <w:t>，亦難杜絕「先占先贏」之道德風險。</w:t>
      </w:r>
    </w:p>
    <w:p w14:paraId="13B092DD" w14:textId="2DDF124C" w:rsidR="001B06A3" w:rsidRPr="009E6B50" w:rsidRDefault="001B06A3" w:rsidP="00981454">
      <w:pPr>
        <w:pStyle w:val="3"/>
      </w:pPr>
      <w:r w:rsidRPr="009E6B50">
        <w:rPr>
          <w:rFonts w:hint="eastAsia"/>
        </w:rPr>
        <w:t>綜上所述，國產署對於砂石場占用國有非公用土地案件，長期採取「</w:t>
      </w:r>
      <w:r w:rsidR="007010A8">
        <w:rPr>
          <w:rFonts w:hint="eastAsia"/>
        </w:rPr>
        <w:t>優先</w:t>
      </w:r>
      <w:r w:rsidR="00D75D84">
        <w:rPr>
          <w:rFonts w:hint="eastAsia"/>
        </w:rPr>
        <w:t>輔導合法化」之處理模式，雖係</w:t>
      </w:r>
      <w:r w:rsidRPr="009E6B50">
        <w:rPr>
          <w:rFonts w:hint="eastAsia"/>
        </w:rPr>
        <w:t>配合國家砂石供應政策及產業管理需求，</w:t>
      </w:r>
      <w:r w:rsidR="00D75D84">
        <w:rPr>
          <w:rFonts w:hint="eastAsia"/>
        </w:rPr>
        <w:t>該署</w:t>
      </w:r>
      <w:r w:rsidRPr="009E6B50">
        <w:rPr>
          <w:rFonts w:hint="eastAsia"/>
        </w:rPr>
        <w:t>並稱近年已強化</w:t>
      </w:r>
      <w:r w:rsidR="007010A8">
        <w:rPr>
          <w:rFonts w:hint="eastAsia"/>
        </w:rPr>
        <w:t>巡查、</w:t>
      </w:r>
      <w:r w:rsidRPr="009E6B50">
        <w:rPr>
          <w:rFonts w:hint="eastAsia"/>
        </w:rPr>
        <w:t>列管及科技監測等管理措施，使列管案件數逐步下降</w:t>
      </w:r>
      <w:r w:rsidR="007010A8">
        <w:rPr>
          <w:rFonts w:hint="eastAsia"/>
        </w:rPr>
        <w:t>。</w:t>
      </w:r>
      <w:r w:rsidRPr="009E6B50">
        <w:rPr>
          <w:rFonts w:hint="eastAsia"/>
        </w:rPr>
        <w:t>然</w:t>
      </w:r>
      <w:r w:rsidR="007010A8">
        <w:rPr>
          <w:rFonts w:hint="eastAsia"/>
        </w:rPr>
        <w:t>而，截</w:t>
      </w:r>
      <w:r w:rsidRPr="009E6B50">
        <w:rPr>
          <w:rFonts w:hint="eastAsia"/>
        </w:rPr>
        <w:t>至114年6月底止，列管案件仍高達92家，占用面積達116萬餘平方公尺，</w:t>
      </w:r>
      <w:r w:rsidR="009E6B50" w:rsidRPr="009E6B50">
        <w:rPr>
          <w:rFonts w:hint="eastAsia"/>
        </w:rPr>
        <w:t>規模龐鉅，</w:t>
      </w:r>
      <w:r w:rsidRPr="009E6B50">
        <w:rPr>
          <w:rFonts w:hint="eastAsia"/>
        </w:rPr>
        <w:t>且其中仍有25家尚未提起排除侵害民事訴訟</w:t>
      </w:r>
      <w:r w:rsidR="00C51C05" w:rsidRPr="009E6B50">
        <w:t>，</w:t>
      </w:r>
      <w:r w:rsidR="007010A8">
        <w:rPr>
          <w:rFonts w:hint="eastAsia"/>
        </w:rPr>
        <w:t>另有</w:t>
      </w:r>
      <w:r w:rsidR="00C51C05" w:rsidRPr="009E6B50">
        <w:rPr>
          <w:rFonts w:hint="eastAsia"/>
        </w:rPr>
        <w:t>6家</w:t>
      </w:r>
      <w:r w:rsidR="00C51C05" w:rsidRPr="009E6B50">
        <w:t>列管</w:t>
      </w:r>
      <w:r w:rsidR="00C51C05" w:rsidRPr="009E6B50">
        <w:rPr>
          <w:rFonts w:hint="eastAsia"/>
        </w:rPr>
        <w:t>逾</w:t>
      </w:r>
      <w:r w:rsidR="00C51C05" w:rsidRPr="009E6B50">
        <w:t>20年迄未有效排除</w:t>
      </w:r>
      <w:r w:rsidR="00C51C05" w:rsidRPr="009E6B50">
        <w:rPr>
          <w:rFonts w:hint="eastAsia"/>
        </w:rPr>
        <w:t>，</w:t>
      </w:r>
      <w:r w:rsidR="009E6B50" w:rsidRPr="009E6B50">
        <w:rPr>
          <w:rFonts w:hint="eastAsia"/>
        </w:rPr>
        <w:t>部分案件更因延宕處理而罹於刑事追訴時效</w:t>
      </w:r>
      <w:r w:rsidR="007010A8">
        <w:rPr>
          <w:rFonts w:hint="eastAsia"/>
        </w:rPr>
        <w:t>。顯示該</w:t>
      </w:r>
      <w:r w:rsidR="00C51C05" w:rsidRPr="009E6B50">
        <w:rPr>
          <w:rFonts w:hint="eastAsia"/>
        </w:rPr>
        <w:t>署對</w:t>
      </w:r>
      <w:r w:rsidR="009E6B50" w:rsidRPr="009E6B50">
        <w:rPr>
          <w:rFonts w:hint="eastAsia"/>
        </w:rPr>
        <w:t>於</w:t>
      </w:r>
      <w:r w:rsidR="00C51C05" w:rsidRPr="009E6B50">
        <w:rPr>
          <w:rFonts w:hint="eastAsia"/>
        </w:rPr>
        <w:t>砂石場違規占用</w:t>
      </w:r>
      <w:r w:rsidR="009E6B50" w:rsidRPr="009E6B50">
        <w:rPr>
          <w:rFonts w:hint="eastAsia"/>
        </w:rPr>
        <w:t>行為，</w:t>
      </w:r>
      <w:r w:rsidR="007010A8">
        <w:rPr>
          <w:rFonts w:hint="eastAsia"/>
        </w:rPr>
        <w:t>長期</w:t>
      </w:r>
      <w:r w:rsidR="009E6B50" w:rsidRPr="009E6B50">
        <w:rPr>
          <w:rFonts w:hint="eastAsia"/>
        </w:rPr>
        <w:t>欠缺</w:t>
      </w:r>
      <w:r w:rsidR="00C51C05" w:rsidRPr="009E6B50">
        <w:rPr>
          <w:rFonts w:hint="eastAsia"/>
        </w:rPr>
        <w:t>積極有效之</w:t>
      </w:r>
      <w:r w:rsidR="009E6B50" w:rsidRPr="009E6B50">
        <w:rPr>
          <w:rFonts w:hint="eastAsia"/>
        </w:rPr>
        <w:t>遏止及究責作為，未能</w:t>
      </w:r>
      <w:r w:rsidR="00B477A9">
        <w:rPr>
          <w:rFonts w:hint="eastAsia"/>
        </w:rPr>
        <w:t>充分落實</w:t>
      </w:r>
      <w:r w:rsidR="009E6B50" w:rsidRPr="009E6B50">
        <w:rPr>
          <w:rFonts w:hint="eastAsia"/>
        </w:rPr>
        <w:t>國有財產管理責</w:t>
      </w:r>
      <w:r w:rsidR="007010A8">
        <w:rPr>
          <w:rFonts w:hint="eastAsia"/>
        </w:rPr>
        <w:t>任</w:t>
      </w:r>
      <w:r w:rsidR="009E6B50" w:rsidRPr="009E6B50">
        <w:rPr>
          <w:rFonts w:hint="eastAsia"/>
        </w:rPr>
        <w:t>，洵有未當</w:t>
      </w:r>
      <w:r w:rsidR="009E6B50">
        <w:rPr>
          <w:rFonts w:hint="eastAsia"/>
        </w:rPr>
        <w:t>。</w:t>
      </w:r>
    </w:p>
    <w:p w14:paraId="395138CF" w14:textId="2E7173B9" w:rsidR="00552AFE" w:rsidRPr="00D44145" w:rsidRDefault="00582B1B" w:rsidP="00A732F9">
      <w:pPr>
        <w:pStyle w:val="2"/>
        <w:spacing w:beforeLines="50" w:before="228"/>
        <w:ind w:left="1020" w:hanging="680"/>
        <w:rPr>
          <w:rFonts w:hAnsi="標楷體"/>
          <w:b/>
          <w:bCs w:val="0"/>
        </w:rPr>
      </w:pPr>
      <w:r w:rsidRPr="00D44145">
        <w:rPr>
          <w:rFonts w:hint="eastAsia"/>
          <w:b/>
        </w:rPr>
        <w:t>國產署係本於民法第179條不當得利返還請求權規定，以無權占有土地所受相當於租金之利益</w:t>
      </w:r>
      <w:r w:rsidR="00D44145" w:rsidRPr="00D44145">
        <w:rPr>
          <w:rFonts w:hint="eastAsia"/>
          <w:b/>
        </w:rPr>
        <w:t>，</w:t>
      </w:r>
      <w:r w:rsidRPr="00D44145">
        <w:rPr>
          <w:rFonts w:hint="eastAsia"/>
          <w:b/>
        </w:rPr>
        <w:t>作為</w:t>
      </w:r>
      <w:r w:rsidR="009F0DC0" w:rsidRPr="00D44145">
        <w:rPr>
          <w:rFonts w:hint="eastAsia"/>
          <w:b/>
        </w:rPr>
        <w:t>使用補償金</w:t>
      </w:r>
      <w:r w:rsidRPr="00D44145">
        <w:rPr>
          <w:rFonts w:hint="eastAsia"/>
          <w:b/>
        </w:rPr>
        <w:t>計算基礎，並依國有非公用不動產被占用處理要點第6點、第7點規定，按占用土地類型及法定租金基準，向占用人追收使用補償金。是以，</w:t>
      </w:r>
      <w:r w:rsidR="00D44145" w:rsidRPr="00D44145">
        <w:rPr>
          <w:rFonts w:hint="eastAsia"/>
          <w:b/>
        </w:rPr>
        <w:t>國有非公</w:t>
      </w:r>
      <w:r w:rsidR="00D44145" w:rsidRPr="00D44145">
        <w:rPr>
          <w:rFonts w:hint="eastAsia"/>
          <w:b/>
        </w:rPr>
        <w:lastRenderedPageBreak/>
        <w:t>用土地遭</w:t>
      </w:r>
      <w:r w:rsidRPr="00D44145">
        <w:rPr>
          <w:rFonts w:hAnsi="標楷體" w:hint="eastAsia"/>
          <w:b/>
        </w:rPr>
        <w:t>占用</w:t>
      </w:r>
      <w:r w:rsidR="00D44145" w:rsidRPr="00D44145">
        <w:rPr>
          <w:rFonts w:hAnsi="標楷體" w:hint="eastAsia"/>
          <w:b/>
        </w:rPr>
        <w:t>所應計收之</w:t>
      </w:r>
      <w:r w:rsidRPr="00D44145">
        <w:rPr>
          <w:rFonts w:hAnsi="標楷體" w:hint="eastAsia"/>
          <w:b/>
        </w:rPr>
        <w:t>使用補償金，與</w:t>
      </w:r>
      <w:r w:rsidR="00D44145" w:rsidRPr="00D44145">
        <w:rPr>
          <w:rFonts w:hAnsi="標楷體" w:hint="eastAsia"/>
          <w:b/>
        </w:rPr>
        <w:t>其</w:t>
      </w:r>
      <w:r w:rsidRPr="00D44145">
        <w:rPr>
          <w:rFonts w:hAnsi="標楷體" w:hint="eastAsia"/>
          <w:b/>
        </w:rPr>
        <w:t>法定租金標準密切相關。</w:t>
      </w:r>
      <w:r w:rsidR="00D44145" w:rsidRPr="00D44145">
        <w:rPr>
          <w:rFonts w:hAnsi="標楷體" w:hint="eastAsia"/>
          <w:b/>
        </w:rPr>
        <w:t>惟查，國產</w:t>
      </w:r>
      <w:r w:rsidR="0023681F" w:rsidRPr="00D44145">
        <w:rPr>
          <w:rFonts w:hAnsi="標楷體" w:hint="eastAsia"/>
          <w:b/>
        </w:rPr>
        <w:t>署未衡酌砂石場屬高營利產業，</w:t>
      </w:r>
      <w:r w:rsidR="009D5E62" w:rsidRPr="00D44145">
        <w:rPr>
          <w:rFonts w:hAnsi="標楷體" w:hint="eastAsia"/>
          <w:b/>
        </w:rPr>
        <w:t>長期</w:t>
      </w:r>
      <w:r w:rsidRPr="00D44145">
        <w:rPr>
          <w:rFonts w:hAnsi="標楷體" w:hint="eastAsia"/>
          <w:b/>
        </w:rPr>
        <w:t>固定以申報地價年息5%</w:t>
      </w:r>
      <w:r w:rsidR="00D44145" w:rsidRPr="00D44145">
        <w:rPr>
          <w:rFonts w:hAnsi="標楷體" w:hint="eastAsia"/>
          <w:b/>
        </w:rPr>
        <w:t>計收</w:t>
      </w:r>
      <w:r w:rsidR="009D5E62" w:rsidRPr="00D44145">
        <w:rPr>
          <w:rFonts w:hAnsi="標楷體" w:hint="eastAsia"/>
          <w:b/>
        </w:rPr>
        <w:t>租金及使用補償金</w:t>
      </w:r>
      <w:r w:rsidR="0023681F" w:rsidRPr="00D44145">
        <w:rPr>
          <w:rFonts w:hAnsi="標楷體" w:hint="eastAsia"/>
          <w:b/>
        </w:rPr>
        <w:t>，</w:t>
      </w:r>
      <w:r w:rsidR="00D44145" w:rsidRPr="00D44145">
        <w:rPr>
          <w:rFonts w:hAnsi="標楷體" w:hint="eastAsia"/>
          <w:b/>
        </w:rPr>
        <w:t>除難以反映國有土地實際經濟價值，亦致違規占用成本偏低，對於長期、大面積且高獲利之占用行為，難以發揮嚇阻效果，不利國有財產權益之維護，殊值檢討</w:t>
      </w:r>
      <w:r w:rsidRPr="00D44145">
        <w:rPr>
          <w:rFonts w:hAnsi="標楷體" w:hint="eastAsia"/>
          <w:b/>
        </w:rPr>
        <w:t>。</w:t>
      </w:r>
    </w:p>
    <w:p w14:paraId="25CEB7D6" w14:textId="1F046AE0" w:rsidR="00C3143D" w:rsidRDefault="00D75D84" w:rsidP="00060C7B">
      <w:pPr>
        <w:pStyle w:val="3"/>
      </w:pPr>
      <w:r w:rsidRPr="00C3143D">
        <w:rPr>
          <w:rFonts w:hint="eastAsia"/>
        </w:rPr>
        <w:t>按</w:t>
      </w:r>
      <w:r w:rsidR="009E43BE" w:rsidRPr="00C3143D">
        <w:rPr>
          <w:rFonts w:hint="eastAsia"/>
        </w:rPr>
        <w:t>國有非公用不動產被占用處理要點</w:t>
      </w:r>
      <w:r w:rsidRPr="00C3143D">
        <w:rPr>
          <w:rFonts w:hint="eastAsia"/>
        </w:rPr>
        <w:t>第6點第1項前段規定：「被占用之不動產，在占用人未取得合法使用權源或騰空交還前，執行機關先依民法不當得利之規定，向占用人追溯收取使用補償金。」</w:t>
      </w:r>
      <w:r w:rsidR="009E43BE" w:rsidRPr="00C3143D">
        <w:rPr>
          <w:rFonts w:hint="eastAsia"/>
        </w:rPr>
        <w:t>第7點</w:t>
      </w:r>
      <w:r w:rsidR="00C3143D">
        <w:rPr>
          <w:rFonts w:hint="eastAsia"/>
        </w:rPr>
        <w:t>第1項前段規定：「</w:t>
      </w:r>
      <w:r w:rsidR="00C3143D" w:rsidRPr="00C3143D">
        <w:rPr>
          <w:rFonts w:hAnsi="標楷體" w:hint="eastAsia"/>
        </w:rPr>
        <w:t>占用期間使用補償金，按占用情形依附表基準向實際占用人追收。占用人如未於限繳期限內繳納者，應依民法第229條第1項請求其支付自繳納期限屆滿後至實際繳交之日之遲延利息。</w:t>
      </w:r>
      <w:r w:rsidR="00C3143D">
        <w:rPr>
          <w:rFonts w:hint="eastAsia"/>
        </w:rPr>
        <w:t>」</w:t>
      </w:r>
      <w:r w:rsidR="00BE3749">
        <w:rPr>
          <w:rFonts w:hint="eastAsia"/>
        </w:rPr>
        <w:t>準此</w:t>
      </w:r>
      <w:r w:rsidR="00C3143D">
        <w:rPr>
          <w:rFonts w:hint="eastAsia"/>
        </w:rPr>
        <w:t>，</w:t>
      </w:r>
      <w:r w:rsidR="00C3143D" w:rsidRPr="00C3143D">
        <w:rPr>
          <w:rFonts w:hint="eastAsia"/>
        </w:rPr>
        <w:t>被占用之</w:t>
      </w:r>
      <w:r w:rsidR="00BE3749">
        <w:rPr>
          <w:rFonts w:hint="eastAsia"/>
        </w:rPr>
        <w:t>國有非公用不動產，於</w:t>
      </w:r>
      <w:r w:rsidR="00C3143D" w:rsidRPr="00C3143D">
        <w:rPr>
          <w:rFonts w:hint="eastAsia"/>
        </w:rPr>
        <w:t>占用人</w:t>
      </w:r>
      <w:r w:rsidR="00BE3749">
        <w:rPr>
          <w:rFonts w:hint="eastAsia"/>
        </w:rPr>
        <w:t>尚未取得合法使用權源或騰空返還前，國產署各分署及</w:t>
      </w:r>
      <w:r w:rsidR="00C3143D" w:rsidRPr="00C3143D">
        <w:rPr>
          <w:rFonts w:hint="eastAsia"/>
        </w:rPr>
        <w:t>辦事處</w:t>
      </w:r>
      <w:r w:rsidR="00BE3749">
        <w:rPr>
          <w:rFonts w:hint="eastAsia"/>
        </w:rPr>
        <w:t>應依民法不當得利</w:t>
      </w:r>
      <w:r w:rsidR="00C3143D" w:rsidRPr="00C3143D">
        <w:rPr>
          <w:rFonts w:hint="eastAsia"/>
        </w:rPr>
        <w:t>規定，向</w:t>
      </w:r>
      <w:r w:rsidR="00BE3749">
        <w:rPr>
          <w:rFonts w:hint="eastAsia"/>
        </w:rPr>
        <w:t>實際</w:t>
      </w:r>
      <w:r w:rsidR="00C3143D" w:rsidRPr="00C3143D">
        <w:rPr>
          <w:rFonts w:hint="eastAsia"/>
        </w:rPr>
        <w:t>占用人追溯收取使用補償金；</w:t>
      </w:r>
      <w:r w:rsidR="00BE3749">
        <w:rPr>
          <w:rFonts w:hint="eastAsia"/>
        </w:rPr>
        <w:t>其計收方式，則依占用情形按</w:t>
      </w:r>
      <w:r w:rsidR="00C3143D" w:rsidRPr="00C3143D">
        <w:rPr>
          <w:rFonts w:hint="eastAsia"/>
        </w:rPr>
        <w:t>附表</w:t>
      </w:r>
      <w:r w:rsidR="00BE3749">
        <w:rPr>
          <w:rFonts w:hint="eastAsia"/>
        </w:rPr>
        <w:t>所定</w:t>
      </w:r>
      <w:r w:rsidR="00C3143D" w:rsidRPr="00C3143D">
        <w:rPr>
          <w:rFonts w:hint="eastAsia"/>
        </w:rPr>
        <w:t>基準</w:t>
      </w:r>
      <w:r w:rsidR="00BE3749">
        <w:rPr>
          <w:rFonts w:hint="eastAsia"/>
        </w:rPr>
        <w:t>辦理。前開</w:t>
      </w:r>
      <w:r w:rsidR="00C3143D" w:rsidRPr="00C3143D">
        <w:rPr>
          <w:rFonts w:hint="eastAsia"/>
        </w:rPr>
        <w:t>附表</w:t>
      </w:r>
      <w:r w:rsidR="00BA60A8">
        <w:rPr>
          <w:rFonts w:hint="eastAsia"/>
        </w:rPr>
        <w:t>並</w:t>
      </w:r>
      <w:r w:rsidR="00BE3749">
        <w:rPr>
          <w:rFonts w:hint="eastAsia"/>
        </w:rPr>
        <w:t>依</w:t>
      </w:r>
      <w:r w:rsidR="00C3143D" w:rsidRPr="00C3143D">
        <w:rPr>
          <w:rFonts w:hint="eastAsia"/>
        </w:rPr>
        <w:t>占用</w:t>
      </w:r>
      <w:r w:rsidR="00BE3749">
        <w:rPr>
          <w:rFonts w:hint="eastAsia"/>
        </w:rPr>
        <w:t>態樣</w:t>
      </w:r>
      <w:r w:rsidR="00BA60A8">
        <w:rPr>
          <w:rFonts w:hint="eastAsia"/>
        </w:rPr>
        <w:t>，區分為</w:t>
      </w:r>
      <w:r w:rsidR="00C3143D" w:rsidRPr="00C3143D">
        <w:rPr>
          <w:rFonts w:hint="eastAsia"/>
        </w:rPr>
        <w:t>房地、基地、農作、畜牧、養殖及造林</w:t>
      </w:r>
      <w:r w:rsidR="00060C7B">
        <w:rPr>
          <w:rFonts w:hint="eastAsia"/>
        </w:rPr>
        <w:t>等</w:t>
      </w:r>
      <w:r w:rsidR="00BA60A8">
        <w:rPr>
          <w:rFonts w:hint="eastAsia"/>
        </w:rPr>
        <w:t>類型</w:t>
      </w:r>
      <w:r w:rsidR="00060C7B">
        <w:rPr>
          <w:rFonts w:hint="eastAsia"/>
        </w:rPr>
        <w:t>，分別</w:t>
      </w:r>
      <w:r w:rsidR="00BE3749">
        <w:rPr>
          <w:rFonts w:hint="eastAsia"/>
        </w:rPr>
        <w:t>訂</w:t>
      </w:r>
      <w:r w:rsidR="00060C7B">
        <w:rPr>
          <w:rFonts w:hint="eastAsia"/>
        </w:rPr>
        <w:t>定</w:t>
      </w:r>
      <w:r w:rsidR="00C3143D" w:rsidRPr="00C3143D">
        <w:rPr>
          <w:rFonts w:hint="eastAsia"/>
        </w:rPr>
        <w:t>使用補償金計收基準。</w:t>
      </w:r>
      <w:r w:rsidR="00060C7B">
        <w:rPr>
          <w:rFonts w:hint="eastAsia"/>
        </w:rPr>
        <w:t>以「房地或基地」</w:t>
      </w:r>
      <w:r w:rsidR="00BE3749">
        <w:rPr>
          <w:rFonts w:hint="eastAsia"/>
        </w:rPr>
        <w:t>占用</w:t>
      </w:r>
      <w:r w:rsidR="00060C7B">
        <w:rPr>
          <w:rFonts w:hint="eastAsia"/>
        </w:rPr>
        <w:t>為例，其土地部分</w:t>
      </w:r>
      <w:r w:rsidR="00BE3749">
        <w:rPr>
          <w:rFonts w:hint="eastAsia"/>
        </w:rPr>
        <w:t>之使用補償金，係按</w:t>
      </w:r>
      <w:r w:rsidR="00135EB9">
        <w:rPr>
          <w:rFonts w:hint="eastAsia"/>
        </w:rPr>
        <w:t>「</w:t>
      </w:r>
      <w:r w:rsidR="00060C7B" w:rsidRPr="00060C7B">
        <w:rPr>
          <w:rFonts w:hint="eastAsia"/>
        </w:rPr>
        <w:t>當期</w:t>
      </w:r>
      <w:r w:rsidR="00135EB9">
        <w:rPr>
          <w:rFonts w:hint="eastAsia"/>
        </w:rPr>
        <w:t>申報地價總額5%」</w:t>
      </w:r>
      <w:r w:rsidR="00060C7B" w:rsidRPr="00060C7B">
        <w:rPr>
          <w:rFonts w:hint="eastAsia"/>
        </w:rPr>
        <w:t>計收</w:t>
      </w:r>
      <w:r w:rsidR="00135EB9">
        <w:rPr>
          <w:rFonts w:hint="eastAsia"/>
        </w:rPr>
        <w:t>。</w:t>
      </w:r>
    </w:p>
    <w:p w14:paraId="3EAA955F" w14:textId="2E0D1F7F" w:rsidR="00810924" w:rsidRPr="00810924" w:rsidRDefault="00810924" w:rsidP="00810924">
      <w:pPr>
        <w:pStyle w:val="3"/>
        <w:rPr>
          <w:rFonts w:hAnsi="標楷體"/>
        </w:rPr>
      </w:pPr>
      <w:r w:rsidRPr="00810924">
        <w:rPr>
          <w:rFonts w:hAnsi="標楷體" w:hint="eastAsia"/>
        </w:rPr>
        <w:t>國產署</w:t>
      </w:r>
      <w:r w:rsidR="0009445D">
        <w:rPr>
          <w:rFonts w:hAnsi="標楷體" w:hint="eastAsia"/>
        </w:rPr>
        <w:t>進一步表示</w:t>
      </w:r>
      <w:r w:rsidRPr="00810924">
        <w:rPr>
          <w:rFonts w:hAnsi="標楷體" w:hint="eastAsia"/>
        </w:rPr>
        <w:t>，</w:t>
      </w:r>
      <w:r w:rsidR="00E73891" w:rsidRPr="00C3143D">
        <w:rPr>
          <w:rFonts w:hint="eastAsia"/>
        </w:rPr>
        <w:t>其向占用人追收使用補償金，係本於民法第179條</w:t>
      </w:r>
      <w:r w:rsidR="00917A36">
        <w:rPr>
          <w:rStyle w:val="afe"/>
        </w:rPr>
        <w:footnoteReference w:id="2"/>
      </w:r>
      <w:r w:rsidR="00E73891" w:rsidRPr="00C3143D">
        <w:rPr>
          <w:rFonts w:hint="eastAsia"/>
        </w:rPr>
        <w:t>不當得利返還請求權規定辦理，並參照最高法院</w:t>
      </w:r>
      <w:r w:rsidR="00917A36">
        <w:rPr>
          <w:rFonts w:hint="eastAsia"/>
        </w:rPr>
        <w:t>61年台上字第1695號</w:t>
      </w:r>
      <w:r w:rsidR="00E73891" w:rsidRPr="00C3143D">
        <w:rPr>
          <w:rFonts w:hint="eastAsia"/>
        </w:rPr>
        <w:t>判例</w:t>
      </w:r>
      <w:r w:rsidR="00917A36">
        <w:rPr>
          <w:rFonts w:hint="eastAsia"/>
        </w:rPr>
        <w:t>意</w:t>
      </w:r>
      <w:r w:rsidR="00917A36">
        <w:rPr>
          <w:rFonts w:hint="eastAsia"/>
        </w:rPr>
        <w:lastRenderedPageBreak/>
        <w:t>旨</w:t>
      </w:r>
      <w:r w:rsidR="00E73891" w:rsidRPr="00C3143D">
        <w:rPr>
          <w:rFonts w:hint="eastAsia"/>
        </w:rPr>
        <w:t>，以無權占有土地所受相當租金利益作為計算基礎。</w:t>
      </w:r>
      <w:r w:rsidR="00B50B7F">
        <w:rPr>
          <w:rFonts w:hint="eastAsia"/>
        </w:rPr>
        <w:t>另外，</w:t>
      </w:r>
      <w:r w:rsidRPr="00810924">
        <w:rPr>
          <w:rFonts w:hAnsi="標楷體" w:hint="eastAsia"/>
        </w:rPr>
        <w:t>該署前於87年11月24日以台財產局管第87026724號函示</w:t>
      </w:r>
      <w:r w:rsidR="00BE3749">
        <w:rPr>
          <w:rFonts w:hAnsi="標楷體" w:hint="eastAsia"/>
        </w:rPr>
        <w:t>略以</w:t>
      </w:r>
      <w:r w:rsidRPr="00810924">
        <w:rPr>
          <w:rFonts w:hAnsi="標楷體" w:hint="eastAsia"/>
        </w:rPr>
        <w:t>，考量採取訴訟方式排除侵害案件，多屬面積大、價值高、收回後具處理價值，或積欠使用補償金額較高、占用情形嚴重者，</w:t>
      </w:r>
      <w:r w:rsidR="00BE3749">
        <w:rPr>
          <w:rFonts w:hAnsi="標楷體" w:hint="eastAsia"/>
        </w:rPr>
        <w:t>且法院判決占用人返還不當得利之認定標準，時有低於起訴請求金額之情形，爰規定各分署及</w:t>
      </w:r>
      <w:r w:rsidRPr="00810924">
        <w:rPr>
          <w:rFonts w:hAnsi="標楷體" w:hint="eastAsia"/>
        </w:rPr>
        <w:t>辦事處於提起排除侵害民事訴訟時，得以當期公告地價10%作為請求返還不當得利之計算標準，以發揮警示作用。</w:t>
      </w:r>
      <w:r w:rsidR="0009445D">
        <w:rPr>
          <w:rFonts w:hAnsi="標楷體" w:hint="eastAsia"/>
        </w:rPr>
        <w:t>惟後續司法</w:t>
      </w:r>
      <w:r w:rsidR="00BE3749">
        <w:rPr>
          <w:rFonts w:hAnsi="標楷體" w:hint="eastAsia"/>
        </w:rPr>
        <w:t>實務多認為</w:t>
      </w:r>
      <w:r w:rsidRPr="00810924">
        <w:rPr>
          <w:rFonts w:hAnsi="標楷體" w:hint="eastAsia"/>
        </w:rPr>
        <w:t>國有土地使用補償金應按法定租金標準計算，</w:t>
      </w:r>
      <w:r w:rsidR="00B50B7F">
        <w:rPr>
          <w:rFonts w:hAnsi="標楷體" w:hint="eastAsia"/>
        </w:rPr>
        <w:t>逾越</w:t>
      </w:r>
      <w:r w:rsidRPr="00810924">
        <w:rPr>
          <w:rFonts w:hAnsi="標楷體" w:hint="eastAsia"/>
        </w:rPr>
        <w:t>該</w:t>
      </w:r>
      <w:r w:rsidR="00B50B7F">
        <w:rPr>
          <w:rFonts w:hAnsi="標楷體" w:hint="eastAsia"/>
        </w:rPr>
        <w:t>範圍</w:t>
      </w:r>
      <w:r w:rsidRPr="00810924">
        <w:rPr>
          <w:rFonts w:hAnsi="標楷體" w:hint="eastAsia"/>
        </w:rPr>
        <w:t>之請求欠缺依據，</w:t>
      </w:r>
      <w:r w:rsidR="00BE3749">
        <w:rPr>
          <w:rFonts w:hAnsi="標楷體" w:hint="eastAsia"/>
        </w:rPr>
        <w:t>致該署</w:t>
      </w:r>
      <w:r w:rsidRPr="00810924">
        <w:rPr>
          <w:rFonts w:hAnsi="標楷體" w:hint="eastAsia"/>
        </w:rPr>
        <w:t>屢遭敗訴</w:t>
      </w:r>
      <w:r w:rsidR="00BE3749">
        <w:rPr>
          <w:rFonts w:hAnsi="標楷體" w:hint="eastAsia"/>
        </w:rPr>
        <w:t>，並須負擔相應</w:t>
      </w:r>
      <w:r w:rsidRPr="00810924">
        <w:rPr>
          <w:rFonts w:hAnsi="標楷體" w:hint="eastAsia"/>
        </w:rPr>
        <w:t>訴訟費用。</w:t>
      </w:r>
      <w:r>
        <w:rPr>
          <w:rFonts w:hAnsi="標楷體" w:hint="eastAsia"/>
        </w:rPr>
        <w:t>該</w:t>
      </w:r>
      <w:r w:rsidRPr="00810924">
        <w:rPr>
          <w:rFonts w:hAnsi="標楷體" w:hint="eastAsia"/>
        </w:rPr>
        <w:t>署爰於102年6月4日以台財產署管字第10240012390號函示各分署及辦事處，辦理訴訟排除侵害案件時，請求返還不當得利之計算標準，應依國有非公用不動產被占用處理要點第7點規定辦理，並將</w:t>
      </w:r>
      <w:r w:rsidR="00BE3749">
        <w:rPr>
          <w:rFonts w:hAnsi="標楷體" w:hint="eastAsia"/>
        </w:rPr>
        <w:t>前開</w:t>
      </w:r>
      <w:r w:rsidRPr="00810924">
        <w:rPr>
          <w:rFonts w:hAnsi="標楷體" w:hint="eastAsia"/>
        </w:rPr>
        <w:t>87年11月24日函示停止適用。</w:t>
      </w:r>
    </w:p>
    <w:p w14:paraId="623D686C" w14:textId="2BB6D042" w:rsidR="009E43BE" w:rsidRPr="00CB2D34" w:rsidRDefault="001A01DA" w:rsidP="00867EC3">
      <w:pPr>
        <w:pStyle w:val="3"/>
        <w:rPr>
          <w:rFonts w:hAnsi="標楷體"/>
        </w:rPr>
      </w:pPr>
      <w:r>
        <w:rPr>
          <w:rFonts w:hint="eastAsia"/>
        </w:rPr>
        <w:t>惟查，</w:t>
      </w:r>
      <w:r w:rsidR="006A25FF">
        <w:rPr>
          <w:rFonts w:hint="eastAsia"/>
        </w:rPr>
        <w:t>行政院雖</w:t>
      </w:r>
      <w:r w:rsidR="00E73891" w:rsidRPr="00CB2D34">
        <w:rPr>
          <w:rFonts w:hint="eastAsia"/>
        </w:rPr>
        <w:t>於82年4月23日以台82財字第11153號函訂頒「國有出租基地租金率調整方案」，並於第1項規定：「國有出租基地，自82年7月1日起，一律依照土地申報地價年息5%計收租金。」</w:t>
      </w:r>
      <w:r w:rsidR="00E14355">
        <w:rPr>
          <w:rFonts w:hint="eastAsia"/>
        </w:rPr>
        <w:t>然</w:t>
      </w:r>
      <w:r w:rsidR="00A6337D" w:rsidRPr="00CB2D34">
        <w:rPr>
          <w:rFonts w:hAnsi="標楷體" w:hint="eastAsia"/>
        </w:rPr>
        <w:t>砂石場屬高營利性產業，</w:t>
      </w:r>
      <w:r w:rsidR="006A25FF">
        <w:rPr>
          <w:rFonts w:hAnsi="標楷體" w:hint="eastAsia"/>
        </w:rPr>
        <w:t>其土地用途涵蓋</w:t>
      </w:r>
      <w:r w:rsidR="00A6337D" w:rsidRPr="00CB2D34">
        <w:rPr>
          <w:rFonts w:hAnsi="標楷體" w:hint="eastAsia"/>
        </w:rPr>
        <w:t>砂石堆置、</w:t>
      </w:r>
      <w:r w:rsidR="00A6337D">
        <w:rPr>
          <w:rFonts w:hAnsi="標楷體" w:hint="eastAsia"/>
        </w:rPr>
        <w:t>碎解</w:t>
      </w:r>
      <w:r w:rsidR="00A6337D" w:rsidRPr="00CB2D34">
        <w:rPr>
          <w:rFonts w:hAnsi="標楷體" w:hint="eastAsia"/>
        </w:rPr>
        <w:t>洗選加工、</w:t>
      </w:r>
      <w:r w:rsidR="00A6337D">
        <w:rPr>
          <w:rFonts w:hAnsi="標楷體" w:hint="eastAsia"/>
        </w:rPr>
        <w:t>車輛進出</w:t>
      </w:r>
      <w:r w:rsidR="00A6337D" w:rsidRPr="00CB2D34">
        <w:rPr>
          <w:rFonts w:hAnsi="標楷體" w:hint="eastAsia"/>
        </w:rPr>
        <w:t>及廠區使用等，</w:t>
      </w:r>
      <w:r w:rsidR="006A25FF">
        <w:rPr>
          <w:rFonts w:hAnsi="標楷體" w:hint="eastAsia"/>
        </w:rPr>
        <w:t>營運收益遠高於一般土地利用型</w:t>
      </w:r>
      <w:r w:rsidR="00AE3E04">
        <w:rPr>
          <w:rFonts w:hAnsi="標楷體" w:hint="eastAsia"/>
        </w:rPr>
        <w:t>態，加以</w:t>
      </w:r>
      <w:r w:rsidR="0009445D" w:rsidRPr="00CB2D34">
        <w:rPr>
          <w:rFonts w:hint="eastAsia"/>
        </w:rPr>
        <w:t>申報地價本低於市場正常交易價格，復以</w:t>
      </w:r>
      <w:r w:rsidR="00867EC3">
        <w:rPr>
          <w:rFonts w:hint="eastAsia"/>
        </w:rPr>
        <w:t>年息</w:t>
      </w:r>
      <w:r w:rsidR="0009445D" w:rsidRPr="00CB2D34">
        <w:rPr>
          <w:rFonts w:hint="eastAsia"/>
        </w:rPr>
        <w:t>5%作為</w:t>
      </w:r>
      <w:r w:rsidR="00AE3E04">
        <w:rPr>
          <w:rFonts w:hint="eastAsia"/>
        </w:rPr>
        <w:t>租金及使用補償金</w:t>
      </w:r>
      <w:r w:rsidR="0009445D" w:rsidRPr="00CB2D34">
        <w:rPr>
          <w:rFonts w:hint="eastAsia"/>
        </w:rPr>
        <w:t>計</w:t>
      </w:r>
      <w:r w:rsidR="00867EC3">
        <w:rPr>
          <w:rFonts w:hint="eastAsia"/>
        </w:rPr>
        <w:t>收</w:t>
      </w:r>
      <w:r w:rsidR="0009445D" w:rsidRPr="00CB2D34">
        <w:rPr>
          <w:rFonts w:hint="eastAsia"/>
        </w:rPr>
        <w:t>基礎，其</w:t>
      </w:r>
      <w:r w:rsidR="00867EC3">
        <w:rPr>
          <w:rFonts w:hint="eastAsia"/>
        </w:rPr>
        <w:t>所得</w:t>
      </w:r>
      <w:r w:rsidR="0009445D" w:rsidRPr="00CB2D34">
        <w:rPr>
          <w:rFonts w:hint="eastAsia"/>
        </w:rPr>
        <w:t>金額與砂石</w:t>
      </w:r>
      <w:r w:rsidR="00CB2D34">
        <w:rPr>
          <w:rFonts w:hint="eastAsia"/>
        </w:rPr>
        <w:t>場實際營運利益，顯不相當，</w:t>
      </w:r>
      <w:r w:rsidR="00CB2D34" w:rsidRPr="00CB2D34">
        <w:rPr>
          <w:rFonts w:hAnsi="標楷體" w:hint="eastAsia"/>
        </w:rPr>
        <w:t>能否確切反映</w:t>
      </w:r>
      <w:r w:rsidR="00AE3E04">
        <w:rPr>
          <w:rFonts w:hAnsi="標楷體" w:hint="eastAsia"/>
        </w:rPr>
        <w:t>國有土地</w:t>
      </w:r>
      <w:r w:rsidR="00CB2D34" w:rsidRPr="00CB2D34">
        <w:rPr>
          <w:rFonts w:hAnsi="標楷體" w:hint="eastAsia"/>
        </w:rPr>
        <w:t>之經濟價值</w:t>
      </w:r>
      <w:r w:rsidR="00867EC3">
        <w:rPr>
          <w:rFonts w:hAnsi="標楷體" w:hint="eastAsia"/>
        </w:rPr>
        <w:t>及</w:t>
      </w:r>
      <w:r w:rsidR="00AE3E04">
        <w:rPr>
          <w:rFonts w:hAnsi="標楷體" w:hint="eastAsia"/>
        </w:rPr>
        <w:t>應有</w:t>
      </w:r>
      <w:r w:rsidR="00867EC3">
        <w:rPr>
          <w:rFonts w:hAnsi="標楷體" w:hint="eastAsia"/>
        </w:rPr>
        <w:t>收益</w:t>
      </w:r>
      <w:r w:rsidR="00CB2D34" w:rsidRPr="00CB2D34">
        <w:rPr>
          <w:rFonts w:hAnsi="標楷體" w:hint="eastAsia"/>
        </w:rPr>
        <w:t>，殊值商榷。</w:t>
      </w:r>
    </w:p>
    <w:p w14:paraId="4A7EE243" w14:textId="6BB775B4" w:rsidR="00863BE8" w:rsidRPr="00B50B7F" w:rsidRDefault="00E25901" w:rsidP="00863BE8">
      <w:pPr>
        <w:pStyle w:val="3"/>
      </w:pPr>
      <w:r w:rsidRPr="00B50B7F">
        <w:rPr>
          <w:rFonts w:hint="eastAsia"/>
        </w:rPr>
        <w:t>再查，</w:t>
      </w:r>
      <w:r w:rsidR="008C2E76" w:rsidRPr="00B50B7F">
        <w:rPr>
          <w:rFonts w:hint="eastAsia"/>
        </w:rPr>
        <w:t>審計部</w:t>
      </w:r>
      <w:r w:rsidR="00AE3E04">
        <w:rPr>
          <w:rFonts w:hint="eastAsia"/>
        </w:rPr>
        <w:t>於</w:t>
      </w:r>
      <w:r w:rsidR="008C2E76" w:rsidRPr="00B50B7F">
        <w:rPr>
          <w:rFonts w:hint="eastAsia"/>
        </w:rPr>
        <w:t>106</w:t>
      </w:r>
      <w:r w:rsidR="00863BE8" w:rsidRPr="00B50B7F">
        <w:rPr>
          <w:rFonts w:hint="eastAsia"/>
        </w:rPr>
        <w:t>年</w:t>
      </w:r>
      <w:r w:rsidR="00AE3E04">
        <w:rPr>
          <w:rFonts w:hint="eastAsia"/>
        </w:rPr>
        <w:t>間</w:t>
      </w:r>
      <w:r w:rsidR="00863BE8" w:rsidRPr="00B50B7F">
        <w:rPr>
          <w:rFonts w:hint="eastAsia"/>
        </w:rPr>
        <w:t>查核國有土地逕予出租供營業使用之租金計收情形，發現</w:t>
      </w:r>
      <w:r w:rsidR="008C2E76" w:rsidRPr="00B50B7F">
        <w:rPr>
          <w:rFonts w:hint="eastAsia"/>
        </w:rPr>
        <w:t>部分機關經管國有土</w:t>
      </w:r>
      <w:r w:rsidR="008C2E76" w:rsidRPr="00B50B7F">
        <w:rPr>
          <w:rFonts w:hint="eastAsia"/>
        </w:rPr>
        <w:lastRenderedPageBreak/>
        <w:t>地逕予出租</w:t>
      </w:r>
      <w:r w:rsidR="00863BE8" w:rsidRPr="00B50B7F">
        <w:rPr>
          <w:rFonts w:hint="eastAsia"/>
        </w:rPr>
        <w:t>供</w:t>
      </w:r>
      <w:r w:rsidR="008C2E76" w:rsidRPr="00B50B7F">
        <w:rPr>
          <w:rFonts w:hint="eastAsia"/>
        </w:rPr>
        <w:t>特定對象經營旅館、觀光飯店等營利</w:t>
      </w:r>
      <w:r w:rsidR="00863BE8" w:rsidRPr="00B50B7F">
        <w:rPr>
          <w:rFonts w:hint="eastAsia"/>
        </w:rPr>
        <w:t>使用</w:t>
      </w:r>
      <w:r w:rsidR="00867EC3" w:rsidRPr="00B50B7F">
        <w:rPr>
          <w:rFonts w:hint="eastAsia"/>
        </w:rPr>
        <w:t>時</w:t>
      </w:r>
      <w:r w:rsidR="008C2E76" w:rsidRPr="00B50B7F">
        <w:rPr>
          <w:rFonts w:hint="eastAsia"/>
        </w:rPr>
        <w:t>，未考量土地使用用途或經濟效益，一律按公告地價年息5%</w:t>
      </w:r>
      <w:r w:rsidR="00863BE8" w:rsidRPr="00B50B7F">
        <w:rPr>
          <w:rFonts w:hint="eastAsia"/>
        </w:rPr>
        <w:t>計收年租金，間有承租面積廣大、</w:t>
      </w:r>
      <w:r w:rsidR="008C2E76" w:rsidRPr="00B50B7F">
        <w:rPr>
          <w:rFonts w:hint="eastAsia"/>
        </w:rPr>
        <w:t>租金異常低廉</w:t>
      </w:r>
      <w:r w:rsidR="00863BE8" w:rsidRPr="00B50B7F">
        <w:rPr>
          <w:rFonts w:hint="eastAsia"/>
        </w:rPr>
        <w:t>等情事，與承租人</w:t>
      </w:r>
      <w:r w:rsidR="008C2E76" w:rsidRPr="00B50B7F">
        <w:rPr>
          <w:rFonts w:hint="eastAsia"/>
        </w:rPr>
        <w:t>營利所獲收益顯不相當</w:t>
      </w:r>
      <w:r w:rsidR="00E73891" w:rsidRPr="00B50B7F">
        <w:rPr>
          <w:rFonts w:hint="eastAsia"/>
        </w:rPr>
        <w:t>。</w:t>
      </w:r>
      <w:r w:rsidR="008C2E76" w:rsidRPr="00B50B7F">
        <w:rPr>
          <w:rFonts w:hint="eastAsia"/>
        </w:rPr>
        <w:t>財政部隨即於106年3月28日以台財產公字第10635003300</w:t>
      </w:r>
      <w:r w:rsidR="00E73891" w:rsidRPr="00B50B7F">
        <w:rPr>
          <w:rFonts w:hint="eastAsia"/>
        </w:rPr>
        <w:t>號函</w:t>
      </w:r>
      <w:r w:rsidR="00CB2D34" w:rsidRPr="00B50B7F">
        <w:rPr>
          <w:rFonts w:hint="eastAsia"/>
        </w:rPr>
        <w:t>示略以</w:t>
      </w:r>
      <w:r w:rsidR="008C2E76" w:rsidRPr="00B50B7F">
        <w:rPr>
          <w:rFonts w:hint="eastAsia"/>
        </w:rPr>
        <w:t>：「國有公用不動產收益原則第4點所定租金為最低標準，各機關得考量出租標的區位條件、市場行情、承租人是否作營業使用等因素酌予調高。」</w:t>
      </w:r>
      <w:r w:rsidR="00CB2D34" w:rsidRPr="00B50B7F">
        <w:rPr>
          <w:rFonts w:hint="eastAsia"/>
        </w:rPr>
        <w:t>嗣</w:t>
      </w:r>
      <w:r w:rsidR="008C2E76" w:rsidRPr="00B50B7F">
        <w:rPr>
          <w:rFonts w:hint="eastAsia"/>
        </w:rPr>
        <w:t>於109年8月13日修正國有公用不動產收益原則，並於修正後第5點第1</w:t>
      </w:r>
      <w:r w:rsidR="00863BE8" w:rsidRPr="00B50B7F">
        <w:rPr>
          <w:rFonts w:hint="eastAsia"/>
        </w:rPr>
        <w:t>款</w:t>
      </w:r>
      <w:r w:rsidR="008C2E76" w:rsidRPr="00B50B7F">
        <w:rPr>
          <w:rFonts w:hint="eastAsia"/>
        </w:rPr>
        <w:t>第4</w:t>
      </w:r>
      <w:r w:rsidR="00863BE8" w:rsidRPr="00B50B7F">
        <w:rPr>
          <w:rFonts w:hint="eastAsia"/>
        </w:rPr>
        <w:t>目</w:t>
      </w:r>
      <w:r w:rsidR="008C2E76" w:rsidRPr="00B50B7F">
        <w:rPr>
          <w:rFonts w:hint="eastAsia"/>
        </w:rPr>
        <w:t>明定</w:t>
      </w:r>
      <w:r w:rsidR="00863BE8" w:rsidRPr="00B50B7F">
        <w:rPr>
          <w:rFonts w:hint="eastAsia"/>
        </w:rPr>
        <w:t>：</w:t>
      </w:r>
      <w:r w:rsidR="008C2E76" w:rsidRPr="00B50B7F">
        <w:rPr>
          <w:rFonts w:hint="eastAsia"/>
        </w:rPr>
        <w:t>「前3目年租金計收基準，得由管理機關考量不動產使用方式、區位條件、市場行情、稅費支出等因素（以下統稱定價因素）調高之</w:t>
      </w:r>
      <w:r w:rsidR="00CB2D34" w:rsidRPr="00B50B7F">
        <w:rPr>
          <w:rFonts w:hint="eastAsia"/>
        </w:rPr>
        <w:t>。</w:t>
      </w:r>
      <w:r w:rsidR="008C2E76" w:rsidRPr="00B50B7F">
        <w:rPr>
          <w:rFonts w:hint="eastAsia"/>
        </w:rPr>
        <w:t>」</w:t>
      </w:r>
      <w:r w:rsidR="00AE3E04">
        <w:rPr>
          <w:rFonts w:hAnsi="標楷體" w:hint="eastAsia"/>
        </w:rPr>
        <w:t>顯見財政部已肯認國有</w:t>
      </w:r>
      <w:r w:rsidR="009F0DC0">
        <w:rPr>
          <w:rFonts w:hAnsi="標楷體" w:hint="eastAsia"/>
        </w:rPr>
        <w:t>公用不動產</w:t>
      </w:r>
      <w:r w:rsidR="00AE3E04">
        <w:rPr>
          <w:rFonts w:hAnsi="標楷體" w:hint="eastAsia"/>
        </w:rPr>
        <w:t>如出租供營業使用，倘仍僅按固定且偏低之</w:t>
      </w:r>
      <w:r w:rsidR="00863BE8" w:rsidRPr="00B50B7F">
        <w:rPr>
          <w:rFonts w:hAnsi="標楷體" w:hint="eastAsia"/>
        </w:rPr>
        <w:t>標準計收租金，恐</w:t>
      </w:r>
      <w:r w:rsidR="00B50B7F">
        <w:rPr>
          <w:rFonts w:hAnsi="標楷體" w:hint="eastAsia"/>
        </w:rPr>
        <w:t>難</w:t>
      </w:r>
      <w:r w:rsidR="00863BE8" w:rsidRPr="00B50B7F">
        <w:rPr>
          <w:rFonts w:hAnsi="標楷體" w:hint="eastAsia"/>
        </w:rPr>
        <w:t>合理反映土地利用價值及國家應有收益，爰授權管理機關得視個案情形彈性調整租金標準。</w:t>
      </w:r>
    </w:p>
    <w:p w14:paraId="21A4A5F8" w14:textId="1A08D1F0" w:rsidR="00E25901" w:rsidRPr="009E0DF1" w:rsidRDefault="00863BE8" w:rsidP="00863BE8">
      <w:pPr>
        <w:pStyle w:val="3"/>
        <w:rPr>
          <w:rFonts w:hAnsi="標楷體"/>
        </w:rPr>
      </w:pPr>
      <w:r w:rsidRPr="009E0DF1">
        <w:rPr>
          <w:rFonts w:hAnsi="標楷體" w:hint="eastAsia"/>
        </w:rPr>
        <w:t>然而，上述修正僅適用於國有公用不動產，至</w:t>
      </w:r>
      <w:r w:rsidR="00E25901" w:rsidRPr="009E0DF1">
        <w:rPr>
          <w:rFonts w:hAnsi="標楷體" w:hint="eastAsia"/>
        </w:rPr>
        <w:t>於</w:t>
      </w:r>
      <w:r w:rsidRPr="009E0DF1">
        <w:rPr>
          <w:rFonts w:hAnsi="標楷體" w:hint="eastAsia"/>
        </w:rPr>
        <w:t>國有非公用不動產</w:t>
      </w:r>
      <w:r w:rsidR="009E2A9D">
        <w:rPr>
          <w:rFonts w:hAnsi="標楷體" w:hint="eastAsia"/>
        </w:rPr>
        <w:t>部分</w:t>
      </w:r>
      <w:r w:rsidR="00AE3E04">
        <w:rPr>
          <w:rFonts w:hAnsi="標楷體" w:hint="eastAsia"/>
        </w:rPr>
        <w:t>，</w:t>
      </w:r>
      <w:r w:rsidR="009E2A9D">
        <w:rPr>
          <w:rFonts w:hAnsi="標楷體" w:hint="eastAsia"/>
        </w:rPr>
        <w:t>並</w:t>
      </w:r>
      <w:r w:rsidR="00AE3E04">
        <w:rPr>
          <w:rFonts w:hAnsi="標楷體" w:hint="eastAsia"/>
        </w:rPr>
        <w:t>未</w:t>
      </w:r>
      <w:r w:rsidR="009E2A9D">
        <w:rPr>
          <w:rFonts w:hAnsi="標楷體" w:hint="eastAsia"/>
        </w:rPr>
        <w:t>一併納入修法範圍</w:t>
      </w:r>
      <w:r w:rsidR="00AE3E04">
        <w:rPr>
          <w:rFonts w:hAnsi="標楷體" w:hint="eastAsia"/>
        </w:rPr>
        <w:t>。</w:t>
      </w:r>
      <w:r w:rsidRPr="009E0DF1">
        <w:rPr>
          <w:rFonts w:hAnsi="標楷體" w:hint="eastAsia"/>
        </w:rPr>
        <w:t>國產署</w:t>
      </w:r>
      <w:r w:rsidR="00B50B7F" w:rsidRPr="009E0DF1">
        <w:rPr>
          <w:rFonts w:hAnsi="標楷體" w:hint="eastAsia"/>
        </w:rPr>
        <w:t>對於國有</w:t>
      </w:r>
      <w:r w:rsidR="004A22B1">
        <w:rPr>
          <w:rFonts w:hAnsi="標楷體" w:hint="eastAsia"/>
        </w:rPr>
        <w:t>非公用</w:t>
      </w:r>
      <w:r w:rsidR="00B50B7F" w:rsidRPr="009E0DF1">
        <w:rPr>
          <w:rFonts w:hAnsi="標楷體" w:hint="eastAsia"/>
        </w:rPr>
        <w:t>基地出租</w:t>
      </w:r>
      <w:r w:rsidR="009E2A9D">
        <w:rPr>
          <w:rFonts w:hAnsi="標楷體" w:hint="eastAsia"/>
        </w:rPr>
        <w:t>及占用案件使用補償金之計收</w:t>
      </w:r>
      <w:r w:rsidR="00B50B7F" w:rsidRPr="009E0DF1">
        <w:rPr>
          <w:rFonts w:hAnsi="標楷體" w:hint="eastAsia"/>
        </w:rPr>
        <w:t>，</w:t>
      </w:r>
      <w:r w:rsidR="00E25901" w:rsidRPr="009E0DF1">
        <w:rPr>
          <w:rFonts w:hAnsi="標楷體" w:hint="eastAsia"/>
        </w:rPr>
        <w:t>長期</w:t>
      </w:r>
      <w:r w:rsidRPr="009E0DF1">
        <w:rPr>
          <w:rFonts w:hAnsi="標楷體" w:hint="eastAsia"/>
        </w:rPr>
        <w:t>沿用申報地價年息5%</w:t>
      </w:r>
      <w:r w:rsidR="009E2A9D">
        <w:rPr>
          <w:rFonts w:hAnsi="標楷體" w:hint="eastAsia"/>
        </w:rPr>
        <w:t>之固定標準</w:t>
      </w:r>
      <w:r w:rsidRPr="009E0DF1">
        <w:rPr>
          <w:rFonts w:hAnsi="標楷體" w:hint="eastAsia"/>
        </w:rPr>
        <w:t>，</w:t>
      </w:r>
      <w:r w:rsidR="00E14355">
        <w:rPr>
          <w:rFonts w:hAnsi="標楷體" w:hint="eastAsia"/>
        </w:rPr>
        <w:t>未</w:t>
      </w:r>
      <w:r w:rsidR="009E0DF1" w:rsidRPr="009E0DF1">
        <w:rPr>
          <w:rFonts w:hAnsi="標楷體" w:hint="eastAsia"/>
        </w:rPr>
        <w:t>衡酌</w:t>
      </w:r>
      <w:r w:rsidR="00E14355">
        <w:rPr>
          <w:rFonts w:hAnsi="標楷體" w:hint="eastAsia"/>
        </w:rPr>
        <w:t>土地</w:t>
      </w:r>
      <w:r w:rsidR="009E0DF1" w:rsidRPr="009E0DF1">
        <w:rPr>
          <w:rFonts w:hAnsi="標楷體" w:hint="eastAsia"/>
        </w:rPr>
        <w:t>用途</w:t>
      </w:r>
      <w:r w:rsidR="00AE3E04">
        <w:rPr>
          <w:rFonts w:hAnsi="標楷體" w:hint="eastAsia"/>
        </w:rPr>
        <w:t>、產業特性、使用強度及實際獲利情形進行區分</w:t>
      </w:r>
      <w:r w:rsidR="00E25901" w:rsidRPr="009E0DF1">
        <w:rPr>
          <w:rFonts w:hAnsi="標楷體" w:hint="eastAsia"/>
        </w:rPr>
        <w:t>，</w:t>
      </w:r>
      <w:r w:rsidR="00E14355">
        <w:rPr>
          <w:rFonts w:hAnsi="標楷體" w:hint="eastAsia"/>
        </w:rPr>
        <w:t>不僅</w:t>
      </w:r>
      <w:r w:rsidR="009E2A9D">
        <w:rPr>
          <w:rFonts w:hAnsi="標楷體" w:hint="eastAsia"/>
        </w:rPr>
        <w:t>難以</w:t>
      </w:r>
      <w:r w:rsidR="00E14355" w:rsidRPr="009E0DF1">
        <w:rPr>
          <w:rFonts w:hAnsi="標楷體" w:hint="eastAsia"/>
        </w:rPr>
        <w:t>充分反映國有土地實際經濟價</w:t>
      </w:r>
      <w:r w:rsidR="00AE3E04">
        <w:rPr>
          <w:rFonts w:hAnsi="標楷體" w:hint="eastAsia"/>
        </w:rPr>
        <w:t>值</w:t>
      </w:r>
      <w:r w:rsidR="00E14355">
        <w:rPr>
          <w:rFonts w:hAnsi="標楷體" w:hint="eastAsia"/>
        </w:rPr>
        <w:t>，</w:t>
      </w:r>
      <w:r w:rsidR="009E2A9D">
        <w:rPr>
          <w:rFonts w:hAnsi="標楷體" w:hint="eastAsia"/>
        </w:rPr>
        <w:t>亦造成</w:t>
      </w:r>
      <w:r w:rsidR="00E14355">
        <w:rPr>
          <w:rFonts w:hAnsi="標楷體" w:hint="eastAsia"/>
        </w:rPr>
        <w:t>違規業者</w:t>
      </w:r>
      <w:r w:rsidR="00E14355" w:rsidRPr="009E43BE">
        <w:rPr>
          <w:rFonts w:hAnsi="標楷體" w:hint="eastAsia"/>
        </w:rPr>
        <w:t>占用成本偏低</w:t>
      </w:r>
      <w:r w:rsidR="00D0596F" w:rsidRPr="009E0DF1">
        <w:rPr>
          <w:rFonts w:hAnsi="標楷體" w:hint="eastAsia"/>
        </w:rPr>
        <w:t>，對於長期、大面積且高獲利之違規占用行為，難</w:t>
      </w:r>
      <w:r w:rsidR="009E0DF1" w:rsidRPr="009E0DF1">
        <w:rPr>
          <w:rFonts w:hAnsi="標楷體" w:hint="eastAsia"/>
        </w:rPr>
        <w:t>以形成</w:t>
      </w:r>
      <w:r w:rsidR="00D0596F" w:rsidRPr="009E0DF1">
        <w:rPr>
          <w:rFonts w:hAnsi="標楷體" w:hint="eastAsia"/>
        </w:rPr>
        <w:t>嚇阻效果，</w:t>
      </w:r>
      <w:r w:rsidR="00E14355">
        <w:rPr>
          <w:rFonts w:hAnsi="標楷體" w:hint="eastAsia"/>
        </w:rPr>
        <w:t>無法</w:t>
      </w:r>
      <w:r w:rsidR="00D0596F" w:rsidRPr="009E0DF1">
        <w:rPr>
          <w:rFonts w:hAnsi="標楷體" w:hint="eastAsia"/>
        </w:rPr>
        <w:t>發揮遏止</w:t>
      </w:r>
      <w:r w:rsidR="00E25901" w:rsidRPr="009E0DF1">
        <w:rPr>
          <w:rFonts w:hAnsi="標楷體" w:hint="eastAsia"/>
        </w:rPr>
        <w:t>占用及維護國產權益之功能</w:t>
      </w:r>
      <w:r w:rsidR="00D0596F" w:rsidRPr="009E0DF1">
        <w:rPr>
          <w:rFonts w:hAnsi="標楷體" w:hint="eastAsia"/>
        </w:rPr>
        <w:t>。</w:t>
      </w:r>
    </w:p>
    <w:p w14:paraId="41B9E4F4" w14:textId="37492292" w:rsidR="00552AFE" w:rsidRPr="00AD02C1" w:rsidRDefault="00E14355" w:rsidP="00AD02C1">
      <w:pPr>
        <w:pStyle w:val="3"/>
      </w:pPr>
      <w:r w:rsidRPr="00AD02C1">
        <w:rPr>
          <w:rFonts w:hint="eastAsia"/>
        </w:rPr>
        <w:t>綜上所述，</w:t>
      </w:r>
      <w:r w:rsidR="00D44145" w:rsidRPr="00AD02C1">
        <w:rPr>
          <w:rFonts w:hint="eastAsia"/>
        </w:rPr>
        <w:t>國產署係本於民法第179條不當得利返還請求權規定，以無權占有土地所受相當於租金之利益，作為使用補償金計算基礎，並依國有非公用不</w:t>
      </w:r>
      <w:r w:rsidR="00D44145" w:rsidRPr="00AD02C1">
        <w:rPr>
          <w:rFonts w:hint="eastAsia"/>
        </w:rPr>
        <w:lastRenderedPageBreak/>
        <w:t>動產被占用處理要點第6點、第7點規定，按占用土地類型及法定租金基準，向占用人追收使用補償金。是以，國有非公用土地遭</w:t>
      </w:r>
      <w:r w:rsidR="00D44145" w:rsidRPr="00AD02C1">
        <w:rPr>
          <w:rFonts w:hAnsi="標楷體" w:hint="eastAsia"/>
        </w:rPr>
        <w:t>占用所應計收之使用補償金，與其法定租金標準密切相關。惟</w:t>
      </w:r>
      <w:r w:rsidR="00AD02C1">
        <w:rPr>
          <w:rFonts w:hAnsi="標楷體" w:hint="eastAsia"/>
        </w:rPr>
        <w:t>該</w:t>
      </w:r>
      <w:r w:rsidR="00D44145" w:rsidRPr="00AD02C1">
        <w:rPr>
          <w:rFonts w:hAnsi="標楷體" w:hint="eastAsia"/>
        </w:rPr>
        <w:t>署</w:t>
      </w:r>
      <w:r w:rsidR="00AD02C1">
        <w:rPr>
          <w:rFonts w:hAnsi="標楷體" w:hint="eastAsia"/>
        </w:rPr>
        <w:t>迄</w:t>
      </w:r>
      <w:r w:rsidR="00D44145" w:rsidRPr="00AD02C1">
        <w:rPr>
          <w:rFonts w:hAnsi="標楷體" w:hint="eastAsia"/>
        </w:rPr>
        <w:t>未衡酌砂石場屬高營利產業，長期固定以申報地價年息5%計收租金及使用補償金，除難以反映國有土地實際經濟價值，亦致違規占用成本偏低，對於長期、大面積且高獲利之占用行為，難以發揮嚇阻效果，不利國有財產權益之維護，殊值檢討。</w:t>
      </w:r>
    </w:p>
    <w:p w14:paraId="13912ADA" w14:textId="1988D397" w:rsidR="00E25849" w:rsidRPr="001B537E" w:rsidRDefault="00552AFE" w:rsidP="00944377">
      <w:pPr>
        <w:pStyle w:val="1"/>
        <w:ind w:left="0" w:firstLine="0"/>
        <w:rPr>
          <w:rFonts w:hAnsi="標楷體"/>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1B537E">
        <w:rPr>
          <w:rFonts w:hAnsi="標楷體"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325A83D" w14:textId="474FC0D8" w:rsidR="00656745" w:rsidRPr="00EB48FF" w:rsidRDefault="00656745" w:rsidP="00770453">
      <w:pPr>
        <w:pStyle w:val="2"/>
        <w:spacing w:beforeLines="25" w:before="114"/>
        <w:ind w:left="1020" w:hanging="680"/>
        <w:rPr>
          <w:rFonts w:hAnsi="標楷體"/>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EB48FF">
        <w:rPr>
          <w:rFonts w:hAnsi="標楷體" w:hint="eastAsia"/>
        </w:rPr>
        <w:t>調查意見，</w:t>
      </w:r>
      <w:r w:rsidR="00EB48FF" w:rsidRPr="00EB48FF">
        <w:rPr>
          <w:rFonts w:hAnsi="標楷體" w:hint="eastAsia"/>
        </w:rPr>
        <w:t>函請財政部督促所屬國有財產署確實檢討改進</w:t>
      </w:r>
      <w:r w:rsidR="00E566FD">
        <w:rPr>
          <w:rFonts w:hAnsi="標楷體" w:hint="eastAsia"/>
        </w:rPr>
        <w:t>見復</w:t>
      </w:r>
      <w:r w:rsidRPr="00EB48FF">
        <w:rPr>
          <w:rFonts w:hAnsi="標楷體" w:hint="eastAsia"/>
        </w:rPr>
        <w:t>。</w:t>
      </w:r>
      <w:bookmarkEnd w:id="78"/>
      <w:bookmarkEnd w:id="79"/>
      <w:bookmarkEnd w:id="80"/>
      <w:bookmarkEnd w:id="81"/>
      <w:bookmarkEnd w:id="82"/>
      <w:bookmarkEnd w:id="83"/>
      <w:bookmarkEnd w:id="84"/>
    </w:p>
    <w:p w14:paraId="16B40B19" w14:textId="58F1F161" w:rsidR="00E25849" w:rsidRPr="00EB48FF" w:rsidRDefault="00656745">
      <w:pPr>
        <w:pStyle w:val="2"/>
        <w:rPr>
          <w:rFonts w:hAnsi="標楷體"/>
        </w:rPr>
      </w:pPr>
      <w:bookmarkStart w:id="104" w:name="_Toc421794877"/>
      <w:bookmarkStart w:id="105" w:name="_Toc421795443"/>
      <w:bookmarkStart w:id="106" w:name="_Toc421796024"/>
      <w:bookmarkStart w:id="107" w:name="_Toc422728959"/>
      <w:bookmarkStart w:id="108" w:name="_Toc422834162"/>
      <w:r w:rsidRPr="00EB48FF">
        <w:rPr>
          <w:rFonts w:hAnsi="標楷體" w:hint="eastAsia"/>
        </w:rPr>
        <w:t>調查意見，函復</w:t>
      </w:r>
      <w:r w:rsidR="000D5732" w:rsidRPr="00EB48FF">
        <w:rPr>
          <w:rFonts w:hAnsi="標楷體" w:hint="eastAsia"/>
        </w:rPr>
        <w:t>審計部</w:t>
      </w:r>
      <w:r w:rsidRPr="00EB48FF">
        <w:rPr>
          <w:rFonts w:hAnsi="標楷體" w:hint="eastAsia"/>
        </w:rPr>
        <w:t>。</w:t>
      </w:r>
      <w:bookmarkEnd w:id="85"/>
      <w:bookmarkEnd w:id="86"/>
      <w:bookmarkEnd w:id="87"/>
      <w:bookmarkEnd w:id="88"/>
      <w:bookmarkEnd w:id="89"/>
      <w:bookmarkEnd w:id="90"/>
      <w:bookmarkEnd w:id="91"/>
      <w:bookmarkEnd w:id="92"/>
      <w:bookmarkEnd w:id="104"/>
      <w:bookmarkEnd w:id="105"/>
      <w:bookmarkEnd w:id="106"/>
      <w:bookmarkEnd w:id="107"/>
      <w:bookmarkEnd w:id="108"/>
    </w:p>
    <w:p w14:paraId="564F6370" w14:textId="13AFCCD4" w:rsidR="00E25849" w:rsidRPr="00EB48FF" w:rsidRDefault="00F919A1" w:rsidP="004F4177">
      <w:pPr>
        <w:pStyle w:val="2"/>
        <w:rPr>
          <w:rFonts w:hAnsi="標楷體"/>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rsidRPr="00EB48FF">
        <w:rPr>
          <w:rFonts w:hAnsi="標楷體" w:hint="eastAsia"/>
        </w:rPr>
        <w:t>調查報告之案由、調查意見及處理辦法，於個資隱匿後，上網公布。</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3EA6A763" w14:textId="1AB4E01B" w:rsidR="00E25849" w:rsidRDefault="00E25849" w:rsidP="00770453">
      <w:pPr>
        <w:pStyle w:val="aa"/>
        <w:spacing w:beforeLines="50" w:before="228" w:afterLines="100" w:after="457"/>
        <w:ind w:leftChars="1100" w:left="3742"/>
        <w:rPr>
          <w:rFonts w:hAnsi="標楷體"/>
          <w:b w:val="0"/>
          <w:bCs/>
          <w:snapToGrid/>
          <w:spacing w:val="12"/>
          <w:kern w:val="0"/>
          <w:sz w:val="40"/>
        </w:rPr>
      </w:pPr>
      <w:r w:rsidRPr="001B537E">
        <w:rPr>
          <w:rFonts w:hAnsi="標楷體" w:hint="eastAsia"/>
          <w:b w:val="0"/>
          <w:bCs/>
          <w:snapToGrid/>
          <w:spacing w:val="12"/>
          <w:kern w:val="0"/>
          <w:sz w:val="40"/>
        </w:rPr>
        <w:t>調查委員：</w:t>
      </w:r>
      <w:r w:rsidR="00554E41">
        <w:rPr>
          <w:rFonts w:hAnsi="標楷體" w:hint="eastAsia"/>
          <w:b w:val="0"/>
          <w:bCs/>
          <w:snapToGrid/>
          <w:spacing w:val="12"/>
          <w:kern w:val="0"/>
          <w:sz w:val="40"/>
        </w:rPr>
        <w:t>蔡崇義</w:t>
      </w:r>
    </w:p>
    <w:p w14:paraId="12315601" w14:textId="686AD377" w:rsidR="00554E41" w:rsidRPr="001B537E" w:rsidRDefault="00554E41" w:rsidP="00554E41">
      <w:pPr>
        <w:pStyle w:val="aa"/>
        <w:spacing w:beforeLines="50" w:before="228" w:afterLines="100" w:after="457"/>
        <w:ind w:leftChars="1751" w:left="5956"/>
        <w:rPr>
          <w:rFonts w:hAnsi="標楷體"/>
          <w:b w:val="0"/>
          <w:bCs/>
          <w:snapToGrid/>
          <w:spacing w:val="12"/>
          <w:kern w:val="0"/>
          <w:sz w:val="40"/>
        </w:rPr>
      </w:pPr>
      <w:r>
        <w:rPr>
          <w:rFonts w:hAnsi="標楷體" w:hint="eastAsia"/>
          <w:b w:val="0"/>
          <w:bCs/>
          <w:snapToGrid/>
          <w:spacing w:val="12"/>
          <w:kern w:val="0"/>
          <w:sz w:val="40"/>
        </w:rPr>
        <w:t>陳景峻</w:t>
      </w:r>
    </w:p>
    <w:sectPr w:rsidR="00554E41" w:rsidRPr="001B537E" w:rsidSect="003119D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4029" w14:textId="77777777" w:rsidR="00775E19" w:rsidRDefault="00775E19">
      <w:r>
        <w:separator/>
      </w:r>
    </w:p>
  </w:endnote>
  <w:endnote w:type="continuationSeparator" w:id="0">
    <w:p w14:paraId="0ACF1402" w14:textId="77777777" w:rsidR="00775E19" w:rsidRDefault="0077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BD7C" w14:textId="77777777" w:rsidR="006A25FF" w:rsidRDefault="006A25F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B48FF">
      <w:rPr>
        <w:rStyle w:val="ac"/>
        <w:noProof/>
        <w:sz w:val="24"/>
      </w:rPr>
      <w:t>40</w:t>
    </w:r>
    <w:r>
      <w:rPr>
        <w:rStyle w:val="ac"/>
        <w:sz w:val="24"/>
      </w:rPr>
      <w:fldChar w:fldCharType="end"/>
    </w:r>
  </w:p>
  <w:p w14:paraId="4184F0A0" w14:textId="77777777" w:rsidR="006A25FF" w:rsidRDefault="006A25F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1FB" w14:textId="77777777" w:rsidR="00775E19" w:rsidRDefault="00775E19">
      <w:r>
        <w:separator/>
      </w:r>
    </w:p>
  </w:footnote>
  <w:footnote w:type="continuationSeparator" w:id="0">
    <w:p w14:paraId="073E0FE7" w14:textId="77777777" w:rsidR="00775E19" w:rsidRDefault="00775E19">
      <w:r>
        <w:continuationSeparator/>
      </w:r>
    </w:p>
  </w:footnote>
  <w:footnote w:id="1">
    <w:p w14:paraId="0F4C527A" w14:textId="344A271B" w:rsidR="006A25FF" w:rsidRDefault="006A25FF" w:rsidP="00E552C5">
      <w:pPr>
        <w:pStyle w:val="afc"/>
        <w:ind w:left="176" w:hangingChars="80" w:hanging="176"/>
        <w:jc w:val="both"/>
      </w:pPr>
      <w:r>
        <w:rPr>
          <w:rStyle w:val="afe"/>
        </w:rPr>
        <w:footnoteRef/>
      </w:r>
      <w:r>
        <w:t xml:space="preserve"> </w:t>
      </w:r>
      <w:r w:rsidRPr="00E552C5">
        <w:rPr>
          <w:rFonts w:hint="eastAsia"/>
        </w:rPr>
        <w:t>審計法第69條第1項規定：「審計機關考核各機關之績效，如認為有未盡職責或效能過低者，除通知其上級機關長官外，並應報告監察院……。」</w:t>
      </w:r>
    </w:p>
  </w:footnote>
  <w:footnote w:id="2">
    <w:p w14:paraId="55AB1712" w14:textId="6A2410E1" w:rsidR="00917A36" w:rsidRDefault="00917A36" w:rsidP="00917A36">
      <w:pPr>
        <w:pStyle w:val="afc"/>
        <w:ind w:left="176" w:hangingChars="80" w:hanging="176"/>
        <w:jc w:val="both"/>
      </w:pPr>
      <w:r>
        <w:rPr>
          <w:rStyle w:val="afe"/>
        </w:rPr>
        <w:footnoteRef/>
      </w:r>
      <w:r>
        <w:t xml:space="preserve"> </w:t>
      </w:r>
      <w:r>
        <w:rPr>
          <w:rFonts w:hint="eastAsia"/>
        </w:rPr>
        <w:t>民法第179條規定：「</w:t>
      </w:r>
      <w:r w:rsidRPr="00917A36">
        <w:rPr>
          <w:rFonts w:hint="eastAsia"/>
        </w:rPr>
        <w:t>無法律上之原因而受利益，致他人受損害者，應返還其利益。雖有法律上之原因，而其後已不存在者，亦同。</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9CCF3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92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1E3AE064"/>
    <w:lvl w:ilvl="0" w:tplc="1C48743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F0D4AA34"/>
    <w:lvl w:ilvl="0" w:tplc="29A29E6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4766510">
    <w:abstractNumId w:val="2"/>
  </w:num>
  <w:num w:numId="2" w16cid:durableId="1797411368">
    <w:abstractNumId w:val="0"/>
  </w:num>
  <w:num w:numId="3" w16cid:durableId="496191759">
    <w:abstractNumId w:val="5"/>
  </w:num>
  <w:num w:numId="4" w16cid:durableId="503906501">
    <w:abstractNumId w:val="3"/>
  </w:num>
  <w:num w:numId="5" w16cid:durableId="1029379272">
    <w:abstractNumId w:val="6"/>
  </w:num>
  <w:num w:numId="6" w16cid:durableId="1454783066">
    <w:abstractNumId w:val="1"/>
  </w:num>
  <w:num w:numId="7" w16cid:durableId="509218982">
    <w:abstractNumId w:val="7"/>
  </w:num>
  <w:num w:numId="8" w16cid:durableId="523322729">
    <w:abstractNumId w:val="4"/>
  </w:num>
  <w:num w:numId="9" w16cid:durableId="361520971">
    <w:abstractNumId w:val="3"/>
    <w:lvlOverride w:ilvl="0">
      <w:startOverride w:val="1"/>
    </w:lvlOverride>
  </w:num>
  <w:num w:numId="10" w16cid:durableId="647050526">
    <w:abstractNumId w:val="3"/>
  </w:num>
  <w:num w:numId="11" w16cid:durableId="236207566">
    <w:abstractNumId w:val="1"/>
  </w:num>
  <w:num w:numId="12" w16cid:durableId="1633365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405070">
    <w:abstractNumId w:val="1"/>
  </w:num>
  <w:num w:numId="14" w16cid:durableId="1022782307">
    <w:abstractNumId w:val="1"/>
  </w:num>
  <w:num w:numId="15" w16cid:durableId="1966541746">
    <w:abstractNumId w:val="1"/>
  </w:num>
  <w:num w:numId="16" w16cid:durableId="2047172814">
    <w:abstractNumId w:val="1"/>
  </w:num>
  <w:num w:numId="17" w16cid:durableId="1692494315">
    <w:abstractNumId w:val="1"/>
  </w:num>
  <w:num w:numId="18" w16cid:durableId="1150637827">
    <w:abstractNumId w:val="1"/>
  </w:num>
  <w:num w:numId="19" w16cid:durableId="2128812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4655518">
    <w:abstractNumId w:val="1"/>
  </w:num>
  <w:num w:numId="21" w16cid:durableId="637225780">
    <w:abstractNumId w:val="1"/>
  </w:num>
  <w:num w:numId="22" w16cid:durableId="1250962015">
    <w:abstractNumId w:val="1"/>
  </w:num>
  <w:num w:numId="23" w16cid:durableId="783378993">
    <w:abstractNumId w:val="1"/>
  </w:num>
  <w:num w:numId="24" w16cid:durableId="1186942292">
    <w:abstractNumId w:val="1"/>
  </w:num>
  <w:num w:numId="25" w16cid:durableId="589848324">
    <w:abstractNumId w:val="1"/>
  </w:num>
  <w:num w:numId="26" w16cid:durableId="1087531527">
    <w:abstractNumId w:val="1"/>
  </w:num>
  <w:num w:numId="27" w16cid:durableId="1450971502">
    <w:abstractNumId w:val="1"/>
  </w:num>
  <w:num w:numId="28" w16cid:durableId="1399211062">
    <w:abstractNumId w:val="1"/>
  </w:num>
  <w:num w:numId="29" w16cid:durableId="1444614175">
    <w:abstractNumId w:val="1"/>
  </w:num>
  <w:num w:numId="30" w16cid:durableId="1766920690">
    <w:abstractNumId w:val="1"/>
  </w:num>
  <w:num w:numId="31" w16cid:durableId="1363285812">
    <w:abstractNumId w:val="1"/>
  </w:num>
  <w:num w:numId="32" w16cid:durableId="1254779474">
    <w:abstractNumId w:val="1"/>
  </w:num>
  <w:num w:numId="33" w16cid:durableId="1919093895">
    <w:abstractNumId w:val="1"/>
  </w:num>
  <w:num w:numId="34" w16cid:durableId="706103247">
    <w:abstractNumId w:val="1"/>
  </w:num>
  <w:num w:numId="35" w16cid:durableId="1576282740">
    <w:abstractNumId w:val="1"/>
  </w:num>
  <w:num w:numId="36" w16cid:durableId="530803268">
    <w:abstractNumId w:val="1"/>
  </w:num>
  <w:num w:numId="37" w16cid:durableId="334847929">
    <w:abstractNumId w:val="1"/>
  </w:num>
  <w:num w:numId="38" w16cid:durableId="10530446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1A3"/>
    <w:rsid w:val="000042E6"/>
    <w:rsid w:val="0000456F"/>
    <w:rsid w:val="00004641"/>
    <w:rsid w:val="000047C6"/>
    <w:rsid w:val="00004D1D"/>
    <w:rsid w:val="00005E32"/>
    <w:rsid w:val="00006961"/>
    <w:rsid w:val="000072D8"/>
    <w:rsid w:val="000073BF"/>
    <w:rsid w:val="00007FD9"/>
    <w:rsid w:val="0001036B"/>
    <w:rsid w:val="000112BF"/>
    <w:rsid w:val="00012233"/>
    <w:rsid w:val="00014071"/>
    <w:rsid w:val="00014654"/>
    <w:rsid w:val="00016746"/>
    <w:rsid w:val="00016CA4"/>
    <w:rsid w:val="00017318"/>
    <w:rsid w:val="00017EDD"/>
    <w:rsid w:val="00021248"/>
    <w:rsid w:val="0002288F"/>
    <w:rsid w:val="000229AD"/>
    <w:rsid w:val="00023101"/>
    <w:rsid w:val="000246F7"/>
    <w:rsid w:val="00025835"/>
    <w:rsid w:val="00026281"/>
    <w:rsid w:val="00026DC2"/>
    <w:rsid w:val="00027007"/>
    <w:rsid w:val="00030322"/>
    <w:rsid w:val="0003114D"/>
    <w:rsid w:val="00032FD0"/>
    <w:rsid w:val="000332E5"/>
    <w:rsid w:val="00033AB1"/>
    <w:rsid w:val="00034730"/>
    <w:rsid w:val="0003524E"/>
    <w:rsid w:val="00036D76"/>
    <w:rsid w:val="00041F38"/>
    <w:rsid w:val="000428C7"/>
    <w:rsid w:val="00044F51"/>
    <w:rsid w:val="000453F7"/>
    <w:rsid w:val="000456EE"/>
    <w:rsid w:val="000500F4"/>
    <w:rsid w:val="0005047E"/>
    <w:rsid w:val="00050627"/>
    <w:rsid w:val="00054B45"/>
    <w:rsid w:val="00057B47"/>
    <w:rsid w:val="00057F32"/>
    <w:rsid w:val="00060C7B"/>
    <w:rsid w:val="00061C47"/>
    <w:rsid w:val="00062A25"/>
    <w:rsid w:val="00062C68"/>
    <w:rsid w:val="00063866"/>
    <w:rsid w:val="00064009"/>
    <w:rsid w:val="0006596E"/>
    <w:rsid w:val="00067276"/>
    <w:rsid w:val="000673BD"/>
    <w:rsid w:val="000673CE"/>
    <w:rsid w:val="000710CB"/>
    <w:rsid w:val="000713DC"/>
    <w:rsid w:val="00071F82"/>
    <w:rsid w:val="00072219"/>
    <w:rsid w:val="0007394F"/>
    <w:rsid w:val="00073A91"/>
    <w:rsid w:val="00073B7C"/>
    <w:rsid w:val="00073CB5"/>
    <w:rsid w:val="0007425C"/>
    <w:rsid w:val="00075026"/>
    <w:rsid w:val="000763BC"/>
    <w:rsid w:val="00077553"/>
    <w:rsid w:val="00080105"/>
    <w:rsid w:val="000801FF"/>
    <w:rsid w:val="00080657"/>
    <w:rsid w:val="0008178E"/>
    <w:rsid w:val="00083ED2"/>
    <w:rsid w:val="0008409A"/>
    <w:rsid w:val="00084289"/>
    <w:rsid w:val="000851A2"/>
    <w:rsid w:val="00086BEE"/>
    <w:rsid w:val="00087127"/>
    <w:rsid w:val="00087795"/>
    <w:rsid w:val="000909DE"/>
    <w:rsid w:val="000926CA"/>
    <w:rsid w:val="0009337A"/>
    <w:rsid w:val="0009352E"/>
    <w:rsid w:val="0009445D"/>
    <w:rsid w:val="00094922"/>
    <w:rsid w:val="00095FFE"/>
    <w:rsid w:val="00096B96"/>
    <w:rsid w:val="0009758B"/>
    <w:rsid w:val="00097617"/>
    <w:rsid w:val="000976BC"/>
    <w:rsid w:val="00097810"/>
    <w:rsid w:val="00097D83"/>
    <w:rsid w:val="000A072F"/>
    <w:rsid w:val="000A2C39"/>
    <w:rsid w:val="000A2F3F"/>
    <w:rsid w:val="000A497A"/>
    <w:rsid w:val="000A5998"/>
    <w:rsid w:val="000A6014"/>
    <w:rsid w:val="000A6051"/>
    <w:rsid w:val="000B0AFA"/>
    <w:rsid w:val="000B0B4A"/>
    <w:rsid w:val="000B1D71"/>
    <w:rsid w:val="000B279A"/>
    <w:rsid w:val="000B331A"/>
    <w:rsid w:val="000B49AB"/>
    <w:rsid w:val="000B53BF"/>
    <w:rsid w:val="000B61D2"/>
    <w:rsid w:val="000B702D"/>
    <w:rsid w:val="000B70A7"/>
    <w:rsid w:val="000B73DD"/>
    <w:rsid w:val="000C14BE"/>
    <w:rsid w:val="000C1A00"/>
    <w:rsid w:val="000C265D"/>
    <w:rsid w:val="000C44AB"/>
    <w:rsid w:val="000C495F"/>
    <w:rsid w:val="000C4D72"/>
    <w:rsid w:val="000C70CC"/>
    <w:rsid w:val="000C7DE3"/>
    <w:rsid w:val="000D081B"/>
    <w:rsid w:val="000D2206"/>
    <w:rsid w:val="000D272A"/>
    <w:rsid w:val="000D2B35"/>
    <w:rsid w:val="000D3482"/>
    <w:rsid w:val="000D3CC6"/>
    <w:rsid w:val="000D5732"/>
    <w:rsid w:val="000D5D7D"/>
    <w:rsid w:val="000D66D9"/>
    <w:rsid w:val="000D68D7"/>
    <w:rsid w:val="000D6EA4"/>
    <w:rsid w:val="000E093E"/>
    <w:rsid w:val="000E23D4"/>
    <w:rsid w:val="000E5B9A"/>
    <w:rsid w:val="000E6431"/>
    <w:rsid w:val="000E64D4"/>
    <w:rsid w:val="000E7175"/>
    <w:rsid w:val="000F027B"/>
    <w:rsid w:val="000F1264"/>
    <w:rsid w:val="000F21A5"/>
    <w:rsid w:val="000F246A"/>
    <w:rsid w:val="000F34B8"/>
    <w:rsid w:val="000F6388"/>
    <w:rsid w:val="00101453"/>
    <w:rsid w:val="00102B9F"/>
    <w:rsid w:val="0010310D"/>
    <w:rsid w:val="00104090"/>
    <w:rsid w:val="00105BBF"/>
    <w:rsid w:val="001068CA"/>
    <w:rsid w:val="00107278"/>
    <w:rsid w:val="00110606"/>
    <w:rsid w:val="00112637"/>
    <w:rsid w:val="0011287F"/>
    <w:rsid w:val="00112ABC"/>
    <w:rsid w:val="00113397"/>
    <w:rsid w:val="00113DF5"/>
    <w:rsid w:val="00114EDA"/>
    <w:rsid w:val="001153EF"/>
    <w:rsid w:val="001153FC"/>
    <w:rsid w:val="00115EED"/>
    <w:rsid w:val="00116F48"/>
    <w:rsid w:val="00117F10"/>
    <w:rsid w:val="0012001E"/>
    <w:rsid w:val="00121043"/>
    <w:rsid w:val="00122ADE"/>
    <w:rsid w:val="001247ED"/>
    <w:rsid w:val="00125E9F"/>
    <w:rsid w:val="00126A55"/>
    <w:rsid w:val="00126BD8"/>
    <w:rsid w:val="001274CB"/>
    <w:rsid w:val="00127E3C"/>
    <w:rsid w:val="00130301"/>
    <w:rsid w:val="00131866"/>
    <w:rsid w:val="0013193C"/>
    <w:rsid w:val="001339B3"/>
    <w:rsid w:val="00133ED7"/>
    <w:rsid w:val="00133F08"/>
    <w:rsid w:val="00134504"/>
    <w:rsid w:val="001345E6"/>
    <w:rsid w:val="00134747"/>
    <w:rsid w:val="001349EB"/>
    <w:rsid w:val="00135141"/>
    <w:rsid w:val="00135971"/>
    <w:rsid w:val="00135EB9"/>
    <w:rsid w:val="00135ED6"/>
    <w:rsid w:val="00136893"/>
    <w:rsid w:val="001378B0"/>
    <w:rsid w:val="00137DFA"/>
    <w:rsid w:val="001412CB"/>
    <w:rsid w:val="0014146F"/>
    <w:rsid w:val="001416D6"/>
    <w:rsid w:val="0014208C"/>
    <w:rsid w:val="00142E00"/>
    <w:rsid w:val="001432DA"/>
    <w:rsid w:val="001434ED"/>
    <w:rsid w:val="0014417B"/>
    <w:rsid w:val="00145642"/>
    <w:rsid w:val="00147D08"/>
    <w:rsid w:val="00151AB9"/>
    <w:rsid w:val="00152438"/>
    <w:rsid w:val="00152793"/>
    <w:rsid w:val="00152E93"/>
    <w:rsid w:val="00153B7E"/>
    <w:rsid w:val="001543F4"/>
    <w:rsid w:val="001545A9"/>
    <w:rsid w:val="001550AF"/>
    <w:rsid w:val="0015578F"/>
    <w:rsid w:val="00155C91"/>
    <w:rsid w:val="00156C6A"/>
    <w:rsid w:val="001602AE"/>
    <w:rsid w:val="0016271D"/>
    <w:rsid w:val="0016290A"/>
    <w:rsid w:val="001637C7"/>
    <w:rsid w:val="0016480E"/>
    <w:rsid w:val="00165E04"/>
    <w:rsid w:val="001710CE"/>
    <w:rsid w:val="001716BE"/>
    <w:rsid w:val="0017186A"/>
    <w:rsid w:val="00174297"/>
    <w:rsid w:val="00176A27"/>
    <w:rsid w:val="00177818"/>
    <w:rsid w:val="00177D50"/>
    <w:rsid w:val="00180B4D"/>
    <w:rsid w:val="00180E06"/>
    <w:rsid w:val="001817B3"/>
    <w:rsid w:val="0018215F"/>
    <w:rsid w:val="00183014"/>
    <w:rsid w:val="00184121"/>
    <w:rsid w:val="001860CB"/>
    <w:rsid w:val="00191B05"/>
    <w:rsid w:val="00192751"/>
    <w:rsid w:val="00192942"/>
    <w:rsid w:val="00193271"/>
    <w:rsid w:val="00193399"/>
    <w:rsid w:val="0019356C"/>
    <w:rsid w:val="001953C2"/>
    <w:rsid w:val="001959C2"/>
    <w:rsid w:val="001A01DA"/>
    <w:rsid w:val="001A05E8"/>
    <w:rsid w:val="001A0661"/>
    <w:rsid w:val="001A13D4"/>
    <w:rsid w:val="001A177C"/>
    <w:rsid w:val="001A1E82"/>
    <w:rsid w:val="001A3DB1"/>
    <w:rsid w:val="001A42F7"/>
    <w:rsid w:val="001A51E3"/>
    <w:rsid w:val="001A73B2"/>
    <w:rsid w:val="001A7968"/>
    <w:rsid w:val="001B02A1"/>
    <w:rsid w:val="001B06A3"/>
    <w:rsid w:val="001B233E"/>
    <w:rsid w:val="001B262B"/>
    <w:rsid w:val="001B2888"/>
    <w:rsid w:val="001B2B3E"/>
    <w:rsid w:val="001B2E98"/>
    <w:rsid w:val="001B3483"/>
    <w:rsid w:val="001B3C1E"/>
    <w:rsid w:val="001B4494"/>
    <w:rsid w:val="001B537E"/>
    <w:rsid w:val="001B55CD"/>
    <w:rsid w:val="001B69B7"/>
    <w:rsid w:val="001C01BC"/>
    <w:rsid w:val="001C0D8B"/>
    <w:rsid w:val="001C0DA8"/>
    <w:rsid w:val="001C21ED"/>
    <w:rsid w:val="001C3C02"/>
    <w:rsid w:val="001C7212"/>
    <w:rsid w:val="001D2EC4"/>
    <w:rsid w:val="001D435D"/>
    <w:rsid w:val="001D44DB"/>
    <w:rsid w:val="001D44F6"/>
    <w:rsid w:val="001D4AD7"/>
    <w:rsid w:val="001D5F53"/>
    <w:rsid w:val="001E0D8A"/>
    <w:rsid w:val="001E1036"/>
    <w:rsid w:val="001E1608"/>
    <w:rsid w:val="001E33A9"/>
    <w:rsid w:val="001E3C55"/>
    <w:rsid w:val="001E3C86"/>
    <w:rsid w:val="001E6072"/>
    <w:rsid w:val="001E67BA"/>
    <w:rsid w:val="001E74C2"/>
    <w:rsid w:val="001F0E16"/>
    <w:rsid w:val="001F2B15"/>
    <w:rsid w:val="001F2D97"/>
    <w:rsid w:val="001F3A5A"/>
    <w:rsid w:val="001F3DCE"/>
    <w:rsid w:val="001F402A"/>
    <w:rsid w:val="001F4F82"/>
    <w:rsid w:val="001F5A48"/>
    <w:rsid w:val="001F6260"/>
    <w:rsid w:val="00200007"/>
    <w:rsid w:val="002000E1"/>
    <w:rsid w:val="0020078D"/>
    <w:rsid w:val="00200CB5"/>
    <w:rsid w:val="00201BC3"/>
    <w:rsid w:val="002030A5"/>
    <w:rsid w:val="00203131"/>
    <w:rsid w:val="00203CA5"/>
    <w:rsid w:val="00206456"/>
    <w:rsid w:val="00206A92"/>
    <w:rsid w:val="00207EC7"/>
    <w:rsid w:val="00211BBA"/>
    <w:rsid w:val="00212E88"/>
    <w:rsid w:val="00213C9C"/>
    <w:rsid w:val="00214FD0"/>
    <w:rsid w:val="00216AD2"/>
    <w:rsid w:val="00216DDB"/>
    <w:rsid w:val="00217224"/>
    <w:rsid w:val="0022009E"/>
    <w:rsid w:val="00223241"/>
    <w:rsid w:val="002233DA"/>
    <w:rsid w:val="00223468"/>
    <w:rsid w:val="0022425C"/>
    <w:rsid w:val="002246DE"/>
    <w:rsid w:val="0022633F"/>
    <w:rsid w:val="0023026B"/>
    <w:rsid w:val="00230367"/>
    <w:rsid w:val="0023070C"/>
    <w:rsid w:val="00230D6F"/>
    <w:rsid w:val="00231469"/>
    <w:rsid w:val="0023159C"/>
    <w:rsid w:val="002321C9"/>
    <w:rsid w:val="00232FA8"/>
    <w:rsid w:val="00233ABE"/>
    <w:rsid w:val="002343BE"/>
    <w:rsid w:val="0023492E"/>
    <w:rsid w:val="0023681F"/>
    <w:rsid w:val="00237C7C"/>
    <w:rsid w:val="00237F3D"/>
    <w:rsid w:val="0024010B"/>
    <w:rsid w:val="002408F3"/>
    <w:rsid w:val="0024111D"/>
    <w:rsid w:val="00241E70"/>
    <w:rsid w:val="002429E2"/>
    <w:rsid w:val="00242BE1"/>
    <w:rsid w:val="00242E39"/>
    <w:rsid w:val="0024351A"/>
    <w:rsid w:val="00245B00"/>
    <w:rsid w:val="002471BC"/>
    <w:rsid w:val="00247DFF"/>
    <w:rsid w:val="00247E04"/>
    <w:rsid w:val="00250444"/>
    <w:rsid w:val="0025070B"/>
    <w:rsid w:val="002511FE"/>
    <w:rsid w:val="00251B43"/>
    <w:rsid w:val="00251B7C"/>
    <w:rsid w:val="002526F7"/>
    <w:rsid w:val="002528EE"/>
    <w:rsid w:val="00252BC4"/>
    <w:rsid w:val="00254014"/>
    <w:rsid w:val="00254B39"/>
    <w:rsid w:val="00254D01"/>
    <w:rsid w:val="0025551A"/>
    <w:rsid w:val="00260DCA"/>
    <w:rsid w:val="002618BD"/>
    <w:rsid w:val="00261CE3"/>
    <w:rsid w:val="00262582"/>
    <w:rsid w:val="00263FE6"/>
    <w:rsid w:val="0026504D"/>
    <w:rsid w:val="00267007"/>
    <w:rsid w:val="00267B72"/>
    <w:rsid w:val="00270DF2"/>
    <w:rsid w:val="0027141D"/>
    <w:rsid w:val="00273A2F"/>
    <w:rsid w:val="0027418E"/>
    <w:rsid w:val="00275904"/>
    <w:rsid w:val="00275C5D"/>
    <w:rsid w:val="00275F0C"/>
    <w:rsid w:val="002765DA"/>
    <w:rsid w:val="00277B7F"/>
    <w:rsid w:val="00280986"/>
    <w:rsid w:val="00280C1B"/>
    <w:rsid w:val="00281ECE"/>
    <w:rsid w:val="002831C7"/>
    <w:rsid w:val="002840C6"/>
    <w:rsid w:val="00284CA1"/>
    <w:rsid w:val="00285BA0"/>
    <w:rsid w:val="00285DFE"/>
    <w:rsid w:val="00290EF3"/>
    <w:rsid w:val="002946FE"/>
    <w:rsid w:val="00295174"/>
    <w:rsid w:val="002952E1"/>
    <w:rsid w:val="00295974"/>
    <w:rsid w:val="00296172"/>
    <w:rsid w:val="00296B92"/>
    <w:rsid w:val="00297B27"/>
    <w:rsid w:val="002A0529"/>
    <w:rsid w:val="002A1938"/>
    <w:rsid w:val="002A2C22"/>
    <w:rsid w:val="002A3939"/>
    <w:rsid w:val="002A631A"/>
    <w:rsid w:val="002A6B9D"/>
    <w:rsid w:val="002B02EB"/>
    <w:rsid w:val="002B0A23"/>
    <w:rsid w:val="002B0C58"/>
    <w:rsid w:val="002B124E"/>
    <w:rsid w:val="002B211E"/>
    <w:rsid w:val="002B24B2"/>
    <w:rsid w:val="002B2BC7"/>
    <w:rsid w:val="002C05D5"/>
    <w:rsid w:val="002C0602"/>
    <w:rsid w:val="002C3A4A"/>
    <w:rsid w:val="002C606F"/>
    <w:rsid w:val="002D1A69"/>
    <w:rsid w:val="002D2B10"/>
    <w:rsid w:val="002D36EF"/>
    <w:rsid w:val="002D5C16"/>
    <w:rsid w:val="002D6F5C"/>
    <w:rsid w:val="002E3265"/>
    <w:rsid w:val="002E45E1"/>
    <w:rsid w:val="002E50E4"/>
    <w:rsid w:val="002F16CD"/>
    <w:rsid w:val="002F2476"/>
    <w:rsid w:val="002F3303"/>
    <w:rsid w:val="002F3892"/>
    <w:rsid w:val="002F3DFF"/>
    <w:rsid w:val="002F45F5"/>
    <w:rsid w:val="002F4616"/>
    <w:rsid w:val="002F5037"/>
    <w:rsid w:val="002F5A1E"/>
    <w:rsid w:val="002F5E05"/>
    <w:rsid w:val="002F6A1B"/>
    <w:rsid w:val="002F6DFF"/>
    <w:rsid w:val="002F75CF"/>
    <w:rsid w:val="002F79BF"/>
    <w:rsid w:val="0030006B"/>
    <w:rsid w:val="003027A8"/>
    <w:rsid w:val="003031FC"/>
    <w:rsid w:val="0030507D"/>
    <w:rsid w:val="00305C73"/>
    <w:rsid w:val="00306326"/>
    <w:rsid w:val="00306736"/>
    <w:rsid w:val="00306889"/>
    <w:rsid w:val="00307A76"/>
    <w:rsid w:val="003103EA"/>
    <w:rsid w:val="003119DE"/>
    <w:rsid w:val="0031455E"/>
    <w:rsid w:val="00315A16"/>
    <w:rsid w:val="003163F3"/>
    <w:rsid w:val="00317053"/>
    <w:rsid w:val="00317BA6"/>
    <w:rsid w:val="00317F2E"/>
    <w:rsid w:val="003203AC"/>
    <w:rsid w:val="0032109C"/>
    <w:rsid w:val="00322B45"/>
    <w:rsid w:val="00323809"/>
    <w:rsid w:val="00323D41"/>
    <w:rsid w:val="00325215"/>
    <w:rsid w:val="00325414"/>
    <w:rsid w:val="0032584F"/>
    <w:rsid w:val="003258E5"/>
    <w:rsid w:val="00325F6D"/>
    <w:rsid w:val="00327802"/>
    <w:rsid w:val="003278B5"/>
    <w:rsid w:val="00327A1C"/>
    <w:rsid w:val="003302F1"/>
    <w:rsid w:val="00331EB5"/>
    <w:rsid w:val="00332E35"/>
    <w:rsid w:val="00334F08"/>
    <w:rsid w:val="00335A6E"/>
    <w:rsid w:val="00335B93"/>
    <w:rsid w:val="00341BBF"/>
    <w:rsid w:val="0034470E"/>
    <w:rsid w:val="00345FCD"/>
    <w:rsid w:val="00346B9D"/>
    <w:rsid w:val="00346C0A"/>
    <w:rsid w:val="00347591"/>
    <w:rsid w:val="00347B0F"/>
    <w:rsid w:val="00347E1F"/>
    <w:rsid w:val="00350B9C"/>
    <w:rsid w:val="003512C2"/>
    <w:rsid w:val="00351FB0"/>
    <w:rsid w:val="00352AC0"/>
    <w:rsid w:val="00352DB0"/>
    <w:rsid w:val="00352FA1"/>
    <w:rsid w:val="00353F65"/>
    <w:rsid w:val="00354827"/>
    <w:rsid w:val="00354CF1"/>
    <w:rsid w:val="003607CE"/>
    <w:rsid w:val="00361063"/>
    <w:rsid w:val="00361C2F"/>
    <w:rsid w:val="0036272A"/>
    <w:rsid w:val="00362B41"/>
    <w:rsid w:val="00363936"/>
    <w:rsid w:val="00365995"/>
    <w:rsid w:val="003672BB"/>
    <w:rsid w:val="0037094A"/>
    <w:rsid w:val="003709CE"/>
    <w:rsid w:val="00370C59"/>
    <w:rsid w:val="00371ED3"/>
    <w:rsid w:val="00372354"/>
    <w:rsid w:val="00372659"/>
    <w:rsid w:val="00372B27"/>
    <w:rsid w:val="00372FFC"/>
    <w:rsid w:val="0037317A"/>
    <w:rsid w:val="00373BB8"/>
    <w:rsid w:val="003758AC"/>
    <w:rsid w:val="00375C18"/>
    <w:rsid w:val="00376A7D"/>
    <w:rsid w:val="00376B60"/>
    <w:rsid w:val="0037725C"/>
    <w:rsid w:val="0037728A"/>
    <w:rsid w:val="00380B7D"/>
    <w:rsid w:val="00381A99"/>
    <w:rsid w:val="003829C2"/>
    <w:rsid w:val="003830B2"/>
    <w:rsid w:val="0038392F"/>
    <w:rsid w:val="00383A01"/>
    <w:rsid w:val="00384724"/>
    <w:rsid w:val="00384D4E"/>
    <w:rsid w:val="00384F05"/>
    <w:rsid w:val="00385FA7"/>
    <w:rsid w:val="00386794"/>
    <w:rsid w:val="00386F88"/>
    <w:rsid w:val="00387D3F"/>
    <w:rsid w:val="00390D57"/>
    <w:rsid w:val="00390E9B"/>
    <w:rsid w:val="003919B7"/>
    <w:rsid w:val="00391D57"/>
    <w:rsid w:val="00392292"/>
    <w:rsid w:val="00393ED1"/>
    <w:rsid w:val="003946FF"/>
    <w:rsid w:val="00394D43"/>
    <w:rsid w:val="00394F45"/>
    <w:rsid w:val="00395074"/>
    <w:rsid w:val="00395AB9"/>
    <w:rsid w:val="003A1A6E"/>
    <w:rsid w:val="003A393B"/>
    <w:rsid w:val="003A54CC"/>
    <w:rsid w:val="003A5927"/>
    <w:rsid w:val="003A5DA8"/>
    <w:rsid w:val="003B07B2"/>
    <w:rsid w:val="003B0A97"/>
    <w:rsid w:val="003B1017"/>
    <w:rsid w:val="003B3C07"/>
    <w:rsid w:val="003B5447"/>
    <w:rsid w:val="003B5982"/>
    <w:rsid w:val="003B6081"/>
    <w:rsid w:val="003B6257"/>
    <w:rsid w:val="003B6508"/>
    <w:rsid w:val="003B6775"/>
    <w:rsid w:val="003B73A7"/>
    <w:rsid w:val="003B79E3"/>
    <w:rsid w:val="003C1437"/>
    <w:rsid w:val="003C19A6"/>
    <w:rsid w:val="003C2230"/>
    <w:rsid w:val="003C2DCB"/>
    <w:rsid w:val="003C36AD"/>
    <w:rsid w:val="003C5564"/>
    <w:rsid w:val="003C5FE2"/>
    <w:rsid w:val="003C73E9"/>
    <w:rsid w:val="003D05FB"/>
    <w:rsid w:val="003D0ADD"/>
    <w:rsid w:val="003D0B23"/>
    <w:rsid w:val="003D1B16"/>
    <w:rsid w:val="003D3D17"/>
    <w:rsid w:val="003D45BF"/>
    <w:rsid w:val="003D508A"/>
    <w:rsid w:val="003D537F"/>
    <w:rsid w:val="003D56F9"/>
    <w:rsid w:val="003D5C4B"/>
    <w:rsid w:val="003D61F1"/>
    <w:rsid w:val="003D6DE3"/>
    <w:rsid w:val="003D78B9"/>
    <w:rsid w:val="003D7B75"/>
    <w:rsid w:val="003E0208"/>
    <w:rsid w:val="003E343F"/>
    <w:rsid w:val="003E3DB4"/>
    <w:rsid w:val="003E4B57"/>
    <w:rsid w:val="003E4E9D"/>
    <w:rsid w:val="003E76FC"/>
    <w:rsid w:val="003E7FEB"/>
    <w:rsid w:val="003F1784"/>
    <w:rsid w:val="003F27E1"/>
    <w:rsid w:val="003F2A74"/>
    <w:rsid w:val="003F4179"/>
    <w:rsid w:val="003F42C5"/>
    <w:rsid w:val="003F437A"/>
    <w:rsid w:val="003F463B"/>
    <w:rsid w:val="003F538B"/>
    <w:rsid w:val="003F5C2B"/>
    <w:rsid w:val="003F706A"/>
    <w:rsid w:val="00400C8C"/>
    <w:rsid w:val="00401688"/>
    <w:rsid w:val="004018DB"/>
    <w:rsid w:val="0040196C"/>
    <w:rsid w:val="00402240"/>
    <w:rsid w:val="004023E9"/>
    <w:rsid w:val="00402CFC"/>
    <w:rsid w:val="0040454A"/>
    <w:rsid w:val="00406A6D"/>
    <w:rsid w:val="00407987"/>
    <w:rsid w:val="004134D5"/>
    <w:rsid w:val="00413F83"/>
    <w:rsid w:val="0041490C"/>
    <w:rsid w:val="0041504F"/>
    <w:rsid w:val="004157D0"/>
    <w:rsid w:val="00416191"/>
    <w:rsid w:val="00416646"/>
    <w:rsid w:val="00416721"/>
    <w:rsid w:val="00417DAC"/>
    <w:rsid w:val="0042132F"/>
    <w:rsid w:val="00421EF0"/>
    <w:rsid w:val="004224FA"/>
    <w:rsid w:val="00422A68"/>
    <w:rsid w:val="00423D07"/>
    <w:rsid w:val="00424995"/>
    <w:rsid w:val="00424BF9"/>
    <w:rsid w:val="00424CF4"/>
    <w:rsid w:val="0042520D"/>
    <w:rsid w:val="0042521F"/>
    <w:rsid w:val="0042688C"/>
    <w:rsid w:val="00426C85"/>
    <w:rsid w:val="00427936"/>
    <w:rsid w:val="0043070C"/>
    <w:rsid w:val="0043248C"/>
    <w:rsid w:val="00432B0A"/>
    <w:rsid w:val="00432E97"/>
    <w:rsid w:val="0043309B"/>
    <w:rsid w:val="00435EFC"/>
    <w:rsid w:val="00437FF2"/>
    <w:rsid w:val="004404B1"/>
    <w:rsid w:val="004408EA"/>
    <w:rsid w:val="00440B0F"/>
    <w:rsid w:val="0044346F"/>
    <w:rsid w:val="004445C2"/>
    <w:rsid w:val="00447306"/>
    <w:rsid w:val="00447CFD"/>
    <w:rsid w:val="004508D1"/>
    <w:rsid w:val="00451C6A"/>
    <w:rsid w:val="00453046"/>
    <w:rsid w:val="00453AB1"/>
    <w:rsid w:val="00453FF6"/>
    <w:rsid w:val="004545E7"/>
    <w:rsid w:val="00455B53"/>
    <w:rsid w:val="0045642A"/>
    <w:rsid w:val="004564B8"/>
    <w:rsid w:val="004566FC"/>
    <w:rsid w:val="00457B16"/>
    <w:rsid w:val="0046282A"/>
    <w:rsid w:val="004629B1"/>
    <w:rsid w:val="0046309C"/>
    <w:rsid w:val="00463BA2"/>
    <w:rsid w:val="00464883"/>
    <w:rsid w:val="0046520A"/>
    <w:rsid w:val="00465D9C"/>
    <w:rsid w:val="0046639B"/>
    <w:rsid w:val="00466DA0"/>
    <w:rsid w:val="00466E49"/>
    <w:rsid w:val="004671C7"/>
    <w:rsid w:val="004672AB"/>
    <w:rsid w:val="004700A7"/>
    <w:rsid w:val="004710C4"/>
    <w:rsid w:val="004714FE"/>
    <w:rsid w:val="004718DD"/>
    <w:rsid w:val="0047587C"/>
    <w:rsid w:val="00475E3E"/>
    <w:rsid w:val="00476449"/>
    <w:rsid w:val="00477221"/>
    <w:rsid w:val="00477BAA"/>
    <w:rsid w:val="0048172A"/>
    <w:rsid w:val="0048197D"/>
    <w:rsid w:val="004829F3"/>
    <w:rsid w:val="00482DEB"/>
    <w:rsid w:val="00483645"/>
    <w:rsid w:val="004837D3"/>
    <w:rsid w:val="00493099"/>
    <w:rsid w:val="00495053"/>
    <w:rsid w:val="00495218"/>
    <w:rsid w:val="00495C07"/>
    <w:rsid w:val="00496390"/>
    <w:rsid w:val="004A1F59"/>
    <w:rsid w:val="004A203C"/>
    <w:rsid w:val="004A22B1"/>
    <w:rsid w:val="004A29BE"/>
    <w:rsid w:val="004A3225"/>
    <w:rsid w:val="004A33EE"/>
    <w:rsid w:val="004A3AA8"/>
    <w:rsid w:val="004A47EC"/>
    <w:rsid w:val="004A4BEF"/>
    <w:rsid w:val="004A5DA0"/>
    <w:rsid w:val="004A6135"/>
    <w:rsid w:val="004A6746"/>
    <w:rsid w:val="004A7963"/>
    <w:rsid w:val="004B13C7"/>
    <w:rsid w:val="004B4F50"/>
    <w:rsid w:val="004B5BF0"/>
    <w:rsid w:val="004B625C"/>
    <w:rsid w:val="004B6389"/>
    <w:rsid w:val="004B778F"/>
    <w:rsid w:val="004B792F"/>
    <w:rsid w:val="004B7B61"/>
    <w:rsid w:val="004C0609"/>
    <w:rsid w:val="004C2F0D"/>
    <w:rsid w:val="004C3BE7"/>
    <w:rsid w:val="004C4950"/>
    <w:rsid w:val="004C49B5"/>
    <w:rsid w:val="004C5369"/>
    <w:rsid w:val="004C59C4"/>
    <w:rsid w:val="004C639F"/>
    <w:rsid w:val="004C6F04"/>
    <w:rsid w:val="004C73EF"/>
    <w:rsid w:val="004C7E2A"/>
    <w:rsid w:val="004D07ED"/>
    <w:rsid w:val="004D141F"/>
    <w:rsid w:val="004D2742"/>
    <w:rsid w:val="004D4A74"/>
    <w:rsid w:val="004D59BF"/>
    <w:rsid w:val="004D6310"/>
    <w:rsid w:val="004D742F"/>
    <w:rsid w:val="004D7449"/>
    <w:rsid w:val="004E0062"/>
    <w:rsid w:val="004E05A1"/>
    <w:rsid w:val="004E095A"/>
    <w:rsid w:val="004E22A9"/>
    <w:rsid w:val="004E44B9"/>
    <w:rsid w:val="004E4B0B"/>
    <w:rsid w:val="004E7F21"/>
    <w:rsid w:val="004F0BB4"/>
    <w:rsid w:val="004F1957"/>
    <w:rsid w:val="004F21AA"/>
    <w:rsid w:val="004F4177"/>
    <w:rsid w:val="004F41C9"/>
    <w:rsid w:val="004F472A"/>
    <w:rsid w:val="004F4B27"/>
    <w:rsid w:val="004F5708"/>
    <w:rsid w:val="004F5D76"/>
    <w:rsid w:val="004F5E57"/>
    <w:rsid w:val="004F6710"/>
    <w:rsid w:val="004F6D24"/>
    <w:rsid w:val="005005CD"/>
    <w:rsid w:val="00500615"/>
    <w:rsid w:val="00500C3E"/>
    <w:rsid w:val="005012F1"/>
    <w:rsid w:val="005015C5"/>
    <w:rsid w:val="005021F8"/>
    <w:rsid w:val="00502849"/>
    <w:rsid w:val="00504334"/>
    <w:rsid w:val="00504763"/>
    <w:rsid w:val="0050498D"/>
    <w:rsid w:val="00507F06"/>
    <w:rsid w:val="005104D7"/>
    <w:rsid w:val="00510B9E"/>
    <w:rsid w:val="00511283"/>
    <w:rsid w:val="00511492"/>
    <w:rsid w:val="0051333B"/>
    <w:rsid w:val="00513B13"/>
    <w:rsid w:val="0051540B"/>
    <w:rsid w:val="00516976"/>
    <w:rsid w:val="0052243E"/>
    <w:rsid w:val="00522516"/>
    <w:rsid w:val="00522B32"/>
    <w:rsid w:val="00522BD8"/>
    <w:rsid w:val="00523A35"/>
    <w:rsid w:val="00523A63"/>
    <w:rsid w:val="0052413E"/>
    <w:rsid w:val="0053027F"/>
    <w:rsid w:val="005309D6"/>
    <w:rsid w:val="00532395"/>
    <w:rsid w:val="00533129"/>
    <w:rsid w:val="00533CDF"/>
    <w:rsid w:val="00535BFE"/>
    <w:rsid w:val="00536BC2"/>
    <w:rsid w:val="0053785F"/>
    <w:rsid w:val="00541340"/>
    <w:rsid w:val="005425E1"/>
    <w:rsid w:val="005427C5"/>
    <w:rsid w:val="00542919"/>
    <w:rsid w:val="00542CF6"/>
    <w:rsid w:val="00543313"/>
    <w:rsid w:val="00543A6F"/>
    <w:rsid w:val="00543F77"/>
    <w:rsid w:val="00544557"/>
    <w:rsid w:val="005478D0"/>
    <w:rsid w:val="0055070F"/>
    <w:rsid w:val="00552AFE"/>
    <w:rsid w:val="00553715"/>
    <w:rsid w:val="00553C03"/>
    <w:rsid w:val="005548E7"/>
    <w:rsid w:val="00554BC3"/>
    <w:rsid w:val="00554E41"/>
    <w:rsid w:val="00555066"/>
    <w:rsid w:val="005554EE"/>
    <w:rsid w:val="00556A25"/>
    <w:rsid w:val="00556DA6"/>
    <w:rsid w:val="00560DDA"/>
    <w:rsid w:val="00560F0F"/>
    <w:rsid w:val="00561156"/>
    <w:rsid w:val="005632B6"/>
    <w:rsid w:val="00563692"/>
    <w:rsid w:val="005641C8"/>
    <w:rsid w:val="00565AA6"/>
    <w:rsid w:val="00567A42"/>
    <w:rsid w:val="00567EDF"/>
    <w:rsid w:val="00571679"/>
    <w:rsid w:val="005724B8"/>
    <w:rsid w:val="00572794"/>
    <w:rsid w:val="00572F39"/>
    <w:rsid w:val="00573905"/>
    <w:rsid w:val="005740C5"/>
    <w:rsid w:val="005746CC"/>
    <w:rsid w:val="00574C98"/>
    <w:rsid w:val="005755BC"/>
    <w:rsid w:val="0057784F"/>
    <w:rsid w:val="00577D7F"/>
    <w:rsid w:val="00580E12"/>
    <w:rsid w:val="00582B1B"/>
    <w:rsid w:val="00584235"/>
    <w:rsid w:val="00584303"/>
    <w:rsid w:val="005844E7"/>
    <w:rsid w:val="005859FD"/>
    <w:rsid w:val="005908B8"/>
    <w:rsid w:val="00590B96"/>
    <w:rsid w:val="00591710"/>
    <w:rsid w:val="0059182D"/>
    <w:rsid w:val="00592384"/>
    <w:rsid w:val="005924C0"/>
    <w:rsid w:val="00592C31"/>
    <w:rsid w:val="0059398A"/>
    <w:rsid w:val="0059512E"/>
    <w:rsid w:val="005953B8"/>
    <w:rsid w:val="0059620F"/>
    <w:rsid w:val="005A069B"/>
    <w:rsid w:val="005A0E1C"/>
    <w:rsid w:val="005A1EB1"/>
    <w:rsid w:val="005A1F50"/>
    <w:rsid w:val="005A27AA"/>
    <w:rsid w:val="005A3DE4"/>
    <w:rsid w:val="005A4536"/>
    <w:rsid w:val="005A555A"/>
    <w:rsid w:val="005A5625"/>
    <w:rsid w:val="005A5C71"/>
    <w:rsid w:val="005A5DE0"/>
    <w:rsid w:val="005A6DD2"/>
    <w:rsid w:val="005A77CA"/>
    <w:rsid w:val="005B064E"/>
    <w:rsid w:val="005B12D2"/>
    <w:rsid w:val="005B37CD"/>
    <w:rsid w:val="005B47E8"/>
    <w:rsid w:val="005B57E8"/>
    <w:rsid w:val="005B5A74"/>
    <w:rsid w:val="005B5BF2"/>
    <w:rsid w:val="005B79CB"/>
    <w:rsid w:val="005C0485"/>
    <w:rsid w:val="005C2139"/>
    <w:rsid w:val="005C385D"/>
    <w:rsid w:val="005C40B9"/>
    <w:rsid w:val="005C4236"/>
    <w:rsid w:val="005C4C1B"/>
    <w:rsid w:val="005C546A"/>
    <w:rsid w:val="005C7DC1"/>
    <w:rsid w:val="005D025F"/>
    <w:rsid w:val="005D259B"/>
    <w:rsid w:val="005D386C"/>
    <w:rsid w:val="005D3B20"/>
    <w:rsid w:val="005D4AD8"/>
    <w:rsid w:val="005D4BCB"/>
    <w:rsid w:val="005D59A9"/>
    <w:rsid w:val="005D71B7"/>
    <w:rsid w:val="005E042D"/>
    <w:rsid w:val="005E1EE2"/>
    <w:rsid w:val="005E1FD6"/>
    <w:rsid w:val="005E2BD0"/>
    <w:rsid w:val="005E4759"/>
    <w:rsid w:val="005E51C3"/>
    <w:rsid w:val="005E5C68"/>
    <w:rsid w:val="005E65C0"/>
    <w:rsid w:val="005E67E1"/>
    <w:rsid w:val="005E70E0"/>
    <w:rsid w:val="005E726D"/>
    <w:rsid w:val="005E7CF3"/>
    <w:rsid w:val="005F0390"/>
    <w:rsid w:val="005F24B2"/>
    <w:rsid w:val="005F2541"/>
    <w:rsid w:val="005F4A95"/>
    <w:rsid w:val="005F5A1D"/>
    <w:rsid w:val="005F6D46"/>
    <w:rsid w:val="00600F1D"/>
    <w:rsid w:val="00602251"/>
    <w:rsid w:val="0060345F"/>
    <w:rsid w:val="00603CF4"/>
    <w:rsid w:val="006040D0"/>
    <w:rsid w:val="00605F03"/>
    <w:rsid w:val="006072CD"/>
    <w:rsid w:val="00607F8A"/>
    <w:rsid w:val="00612023"/>
    <w:rsid w:val="00612997"/>
    <w:rsid w:val="00612D94"/>
    <w:rsid w:val="0061341B"/>
    <w:rsid w:val="0061407E"/>
    <w:rsid w:val="00614190"/>
    <w:rsid w:val="00614BC4"/>
    <w:rsid w:val="00614EF5"/>
    <w:rsid w:val="006165E1"/>
    <w:rsid w:val="00617B1A"/>
    <w:rsid w:val="00617B46"/>
    <w:rsid w:val="00620FD9"/>
    <w:rsid w:val="00621B84"/>
    <w:rsid w:val="00622A99"/>
    <w:rsid w:val="00622CF1"/>
    <w:rsid w:val="00622E67"/>
    <w:rsid w:val="006256CC"/>
    <w:rsid w:val="00626B57"/>
    <w:rsid w:val="00626EDC"/>
    <w:rsid w:val="006277C5"/>
    <w:rsid w:val="0062786A"/>
    <w:rsid w:val="00631178"/>
    <w:rsid w:val="00634D33"/>
    <w:rsid w:val="00636E79"/>
    <w:rsid w:val="0064109E"/>
    <w:rsid w:val="00642126"/>
    <w:rsid w:val="006433A0"/>
    <w:rsid w:val="006435CF"/>
    <w:rsid w:val="006452D3"/>
    <w:rsid w:val="0064622A"/>
    <w:rsid w:val="006470EC"/>
    <w:rsid w:val="00647253"/>
    <w:rsid w:val="00647450"/>
    <w:rsid w:val="00647696"/>
    <w:rsid w:val="00647E6C"/>
    <w:rsid w:val="0065173A"/>
    <w:rsid w:val="0065254D"/>
    <w:rsid w:val="006542D6"/>
    <w:rsid w:val="0065450E"/>
    <w:rsid w:val="00654833"/>
    <w:rsid w:val="00654B86"/>
    <w:rsid w:val="00654E1D"/>
    <w:rsid w:val="0065546E"/>
    <w:rsid w:val="0065598E"/>
    <w:rsid w:val="00655AF2"/>
    <w:rsid w:val="00655BC5"/>
    <w:rsid w:val="0065656E"/>
    <w:rsid w:val="00656745"/>
    <w:rsid w:val="006568BE"/>
    <w:rsid w:val="0066025D"/>
    <w:rsid w:val="0066091A"/>
    <w:rsid w:val="00665031"/>
    <w:rsid w:val="00665C3E"/>
    <w:rsid w:val="00665ECB"/>
    <w:rsid w:val="0066714D"/>
    <w:rsid w:val="00670169"/>
    <w:rsid w:val="006709FC"/>
    <w:rsid w:val="00670AA0"/>
    <w:rsid w:val="00671205"/>
    <w:rsid w:val="00673979"/>
    <w:rsid w:val="00675C37"/>
    <w:rsid w:val="006773EC"/>
    <w:rsid w:val="00677619"/>
    <w:rsid w:val="006776DA"/>
    <w:rsid w:val="00680504"/>
    <w:rsid w:val="00680521"/>
    <w:rsid w:val="00681CD9"/>
    <w:rsid w:val="00682601"/>
    <w:rsid w:val="00682CA0"/>
    <w:rsid w:val="00683E30"/>
    <w:rsid w:val="00686ED3"/>
    <w:rsid w:val="00687024"/>
    <w:rsid w:val="006929B6"/>
    <w:rsid w:val="006954BD"/>
    <w:rsid w:val="00695A6E"/>
    <w:rsid w:val="00695CDD"/>
    <w:rsid w:val="00695E22"/>
    <w:rsid w:val="00696A9A"/>
    <w:rsid w:val="00697B0F"/>
    <w:rsid w:val="006A0F0C"/>
    <w:rsid w:val="006A1881"/>
    <w:rsid w:val="006A2246"/>
    <w:rsid w:val="006A25FF"/>
    <w:rsid w:val="006A4656"/>
    <w:rsid w:val="006A547D"/>
    <w:rsid w:val="006A5697"/>
    <w:rsid w:val="006A7FF5"/>
    <w:rsid w:val="006B0494"/>
    <w:rsid w:val="006B0DCF"/>
    <w:rsid w:val="006B3DE8"/>
    <w:rsid w:val="006B6556"/>
    <w:rsid w:val="006B7040"/>
    <w:rsid w:val="006B7093"/>
    <w:rsid w:val="006B7301"/>
    <w:rsid w:val="006B7417"/>
    <w:rsid w:val="006B7B92"/>
    <w:rsid w:val="006B7F5D"/>
    <w:rsid w:val="006C0118"/>
    <w:rsid w:val="006C25A4"/>
    <w:rsid w:val="006C34FF"/>
    <w:rsid w:val="006C3E1F"/>
    <w:rsid w:val="006C4099"/>
    <w:rsid w:val="006C5791"/>
    <w:rsid w:val="006C57B7"/>
    <w:rsid w:val="006C5FD3"/>
    <w:rsid w:val="006C79E8"/>
    <w:rsid w:val="006D0723"/>
    <w:rsid w:val="006D0C8F"/>
    <w:rsid w:val="006D0CCA"/>
    <w:rsid w:val="006D17CC"/>
    <w:rsid w:val="006D1BFD"/>
    <w:rsid w:val="006D31F9"/>
    <w:rsid w:val="006D3691"/>
    <w:rsid w:val="006D5BF8"/>
    <w:rsid w:val="006E04F0"/>
    <w:rsid w:val="006E20E0"/>
    <w:rsid w:val="006E2E02"/>
    <w:rsid w:val="006E5EF0"/>
    <w:rsid w:val="006E758C"/>
    <w:rsid w:val="006F003F"/>
    <w:rsid w:val="006F1B3B"/>
    <w:rsid w:val="006F3117"/>
    <w:rsid w:val="006F3563"/>
    <w:rsid w:val="006F42B9"/>
    <w:rsid w:val="006F6103"/>
    <w:rsid w:val="006F6D6D"/>
    <w:rsid w:val="006F6F67"/>
    <w:rsid w:val="006F77C8"/>
    <w:rsid w:val="007010A8"/>
    <w:rsid w:val="007037D9"/>
    <w:rsid w:val="007048A4"/>
    <w:rsid w:val="00704B99"/>
    <w:rsid w:val="00704E00"/>
    <w:rsid w:val="007117B1"/>
    <w:rsid w:val="00712DE0"/>
    <w:rsid w:val="00714921"/>
    <w:rsid w:val="00715498"/>
    <w:rsid w:val="00716C80"/>
    <w:rsid w:val="00717707"/>
    <w:rsid w:val="00717AE6"/>
    <w:rsid w:val="0072000F"/>
    <w:rsid w:val="007200EA"/>
    <w:rsid w:val="00720415"/>
    <w:rsid w:val="00720614"/>
    <w:rsid w:val="007209E7"/>
    <w:rsid w:val="00720CDC"/>
    <w:rsid w:val="00720D62"/>
    <w:rsid w:val="00724923"/>
    <w:rsid w:val="00724EBD"/>
    <w:rsid w:val="0072501E"/>
    <w:rsid w:val="00725F1E"/>
    <w:rsid w:val="00726182"/>
    <w:rsid w:val="00727635"/>
    <w:rsid w:val="00731C56"/>
    <w:rsid w:val="00732146"/>
    <w:rsid w:val="00732329"/>
    <w:rsid w:val="007326D4"/>
    <w:rsid w:val="007337CA"/>
    <w:rsid w:val="0073400A"/>
    <w:rsid w:val="00734CE4"/>
    <w:rsid w:val="00735123"/>
    <w:rsid w:val="007361CE"/>
    <w:rsid w:val="0073692C"/>
    <w:rsid w:val="00741159"/>
    <w:rsid w:val="00741837"/>
    <w:rsid w:val="00741E76"/>
    <w:rsid w:val="00742AC7"/>
    <w:rsid w:val="00742DEA"/>
    <w:rsid w:val="0074350A"/>
    <w:rsid w:val="00743F27"/>
    <w:rsid w:val="007453E6"/>
    <w:rsid w:val="007469F6"/>
    <w:rsid w:val="00751162"/>
    <w:rsid w:val="00752972"/>
    <w:rsid w:val="0075298E"/>
    <w:rsid w:val="00754789"/>
    <w:rsid w:val="007557C9"/>
    <w:rsid w:val="00757AA9"/>
    <w:rsid w:val="007606A2"/>
    <w:rsid w:val="00761FF4"/>
    <w:rsid w:val="00762687"/>
    <w:rsid w:val="00763AA8"/>
    <w:rsid w:val="00764549"/>
    <w:rsid w:val="007664C9"/>
    <w:rsid w:val="0076693C"/>
    <w:rsid w:val="007703B5"/>
    <w:rsid w:val="00770453"/>
    <w:rsid w:val="0077138F"/>
    <w:rsid w:val="00771F42"/>
    <w:rsid w:val="007727C7"/>
    <w:rsid w:val="0077309D"/>
    <w:rsid w:val="007730BC"/>
    <w:rsid w:val="00773EB5"/>
    <w:rsid w:val="0077467C"/>
    <w:rsid w:val="007747ED"/>
    <w:rsid w:val="0077525B"/>
    <w:rsid w:val="00775E19"/>
    <w:rsid w:val="00776EAD"/>
    <w:rsid w:val="007774EE"/>
    <w:rsid w:val="007775E0"/>
    <w:rsid w:val="00780436"/>
    <w:rsid w:val="007807D8"/>
    <w:rsid w:val="00780D7E"/>
    <w:rsid w:val="00780F7D"/>
    <w:rsid w:val="00781822"/>
    <w:rsid w:val="00781A49"/>
    <w:rsid w:val="00782B92"/>
    <w:rsid w:val="00783772"/>
    <w:rsid w:val="00783F21"/>
    <w:rsid w:val="007848FE"/>
    <w:rsid w:val="007863D7"/>
    <w:rsid w:val="00786AE0"/>
    <w:rsid w:val="00787159"/>
    <w:rsid w:val="007875A5"/>
    <w:rsid w:val="00787A54"/>
    <w:rsid w:val="0079011B"/>
    <w:rsid w:val="0079043A"/>
    <w:rsid w:val="00791309"/>
    <w:rsid w:val="00791668"/>
    <w:rsid w:val="00791AA1"/>
    <w:rsid w:val="00791EC8"/>
    <w:rsid w:val="00792CAA"/>
    <w:rsid w:val="00793652"/>
    <w:rsid w:val="0079372F"/>
    <w:rsid w:val="007937BE"/>
    <w:rsid w:val="00793F15"/>
    <w:rsid w:val="0079424A"/>
    <w:rsid w:val="0079577F"/>
    <w:rsid w:val="00797E1D"/>
    <w:rsid w:val="007A0572"/>
    <w:rsid w:val="007A07BD"/>
    <w:rsid w:val="007A30B7"/>
    <w:rsid w:val="007A3793"/>
    <w:rsid w:val="007A399B"/>
    <w:rsid w:val="007A3EA5"/>
    <w:rsid w:val="007A47F5"/>
    <w:rsid w:val="007A4A82"/>
    <w:rsid w:val="007A5888"/>
    <w:rsid w:val="007A5C7E"/>
    <w:rsid w:val="007A5CA7"/>
    <w:rsid w:val="007A626E"/>
    <w:rsid w:val="007B0789"/>
    <w:rsid w:val="007B0D57"/>
    <w:rsid w:val="007B1686"/>
    <w:rsid w:val="007B343B"/>
    <w:rsid w:val="007B5AE9"/>
    <w:rsid w:val="007B68EF"/>
    <w:rsid w:val="007B7542"/>
    <w:rsid w:val="007B7933"/>
    <w:rsid w:val="007C0438"/>
    <w:rsid w:val="007C14BF"/>
    <w:rsid w:val="007C1BA2"/>
    <w:rsid w:val="007C21EA"/>
    <w:rsid w:val="007C2B48"/>
    <w:rsid w:val="007C30EE"/>
    <w:rsid w:val="007C4177"/>
    <w:rsid w:val="007C55BD"/>
    <w:rsid w:val="007C5967"/>
    <w:rsid w:val="007C7247"/>
    <w:rsid w:val="007C7714"/>
    <w:rsid w:val="007C7FE3"/>
    <w:rsid w:val="007D05C0"/>
    <w:rsid w:val="007D1FB9"/>
    <w:rsid w:val="007D20E9"/>
    <w:rsid w:val="007D29C7"/>
    <w:rsid w:val="007D2B13"/>
    <w:rsid w:val="007D363D"/>
    <w:rsid w:val="007D3951"/>
    <w:rsid w:val="007D429E"/>
    <w:rsid w:val="007D6587"/>
    <w:rsid w:val="007D7881"/>
    <w:rsid w:val="007D7D4D"/>
    <w:rsid w:val="007D7E3A"/>
    <w:rsid w:val="007E037E"/>
    <w:rsid w:val="007E0459"/>
    <w:rsid w:val="007E0E10"/>
    <w:rsid w:val="007E1868"/>
    <w:rsid w:val="007E31F1"/>
    <w:rsid w:val="007E4768"/>
    <w:rsid w:val="007E494C"/>
    <w:rsid w:val="007E5835"/>
    <w:rsid w:val="007E614F"/>
    <w:rsid w:val="007E6941"/>
    <w:rsid w:val="007E762D"/>
    <w:rsid w:val="007E777B"/>
    <w:rsid w:val="007E7A97"/>
    <w:rsid w:val="007F12FC"/>
    <w:rsid w:val="007F2070"/>
    <w:rsid w:val="007F2AC2"/>
    <w:rsid w:val="007F3B84"/>
    <w:rsid w:val="007F4303"/>
    <w:rsid w:val="007F5B0B"/>
    <w:rsid w:val="007F63C1"/>
    <w:rsid w:val="00800FDC"/>
    <w:rsid w:val="008013EF"/>
    <w:rsid w:val="0080159C"/>
    <w:rsid w:val="00804121"/>
    <w:rsid w:val="0080439C"/>
    <w:rsid w:val="00804A89"/>
    <w:rsid w:val="008053F5"/>
    <w:rsid w:val="008054FC"/>
    <w:rsid w:val="00807AF7"/>
    <w:rsid w:val="00810198"/>
    <w:rsid w:val="00810855"/>
    <w:rsid w:val="00810924"/>
    <w:rsid w:val="008117DA"/>
    <w:rsid w:val="00812A4D"/>
    <w:rsid w:val="00815D49"/>
    <w:rsid w:val="00815DA8"/>
    <w:rsid w:val="008164B5"/>
    <w:rsid w:val="00816E57"/>
    <w:rsid w:val="008203F4"/>
    <w:rsid w:val="008204E6"/>
    <w:rsid w:val="008206F9"/>
    <w:rsid w:val="0082090E"/>
    <w:rsid w:val="0082096B"/>
    <w:rsid w:val="0082194D"/>
    <w:rsid w:val="008221F9"/>
    <w:rsid w:val="008231E4"/>
    <w:rsid w:val="0082339C"/>
    <w:rsid w:val="00823B77"/>
    <w:rsid w:val="00825F5F"/>
    <w:rsid w:val="0082607C"/>
    <w:rsid w:val="00826EF5"/>
    <w:rsid w:val="00830672"/>
    <w:rsid w:val="00831693"/>
    <w:rsid w:val="0083271D"/>
    <w:rsid w:val="00832A5E"/>
    <w:rsid w:val="00832D49"/>
    <w:rsid w:val="00832F22"/>
    <w:rsid w:val="00833A13"/>
    <w:rsid w:val="00833FAF"/>
    <w:rsid w:val="008355C0"/>
    <w:rsid w:val="00836CED"/>
    <w:rsid w:val="00840104"/>
    <w:rsid w:val="00840866"/>
    <w:rsid w:val="00840C1F"/>
    <w:rsid w:val="008411C9"/>
    <w:rsid w:val="00841FC5"/>
    <w:rsid w:val="0084234E"/>
    <w:rsid w:val="00842429"/>
    <w:rsid w:val="0084293C"/>
    <w:rsid w:val="008432C0"/>
    <w:rsid w:val="00843D0F"/>
    <w:rsid w:val="008448C8"/>
    <w:rsid w:val="0084496E"/>
    <w:rsid w:val="0084512F"/>
    <w:rsid w:val="00845709"/>
    <w:rsid w:val="00846F9B"/>
    <w:rsid w:val="00850372"/>
    <w:rsid w:val="00853FDD"/>
    <w:rsid w:val="0085439D"/>
    <w:rsid w:val="008554AC"/>
    <w:rsid w:val="0085615A"/>
    <w:rsid w:val="00856BE0"/>
    <w:rsid w:val="008576BD"/>
    <w:rsid w:val="00860463"/>
    <w:rsid w:val="00860FD2"/>
    <w:rsid w:val="008611CD"/>
    <w:rsid w:val="00861781"/>
    <w:rsid w:val="00863BE8"/>
    <w:rsid w:val="00864154"/>
    <w:rsid w:val="00864EE4"/>
    <w:rsid w:val="008661AA"/>
    <w:rsid w:val="00866CD2"/>
    <w:rsid w:val="00867EC3"/>
    <w:rsid w:val="00872E93"/>
    <w:rsid w:val="008733DA"/>
    <w:rsid w:val="00877F9C"/>
    <w:rsid w:val="0088053E"/>
    <w:rsid w:val="008807ED"/>
    <w:rsid w:val="00880A42"/>
    <w:rsid w:val="00882986"/>
    <w:rsid w:val="00882C2F"/>
    <w:rsid w:val="00883E52"/>
    <w:rsid w:val="0088494B"/>
    <w:rsid w:val="00884BBA"/>
    <w:rsid w:val="008850E4"/>
    <w:rsid w:val="00886198"/>
    <w:rsid w:val="0088642D"/>
    <w:rsid w:val="00886AAB"/>
    <w:rsid w:val="00886ACC"/>
    <w:rsid w:val="008873B2"/>
    <w:rsid w:val="0089197C"/>
    <w:rsid w:val="008939AB"/>
    <w:rsid w:val="0089475F"/>
    <w:rsid w:val="0089562E"/>
    <w:rsid w:val="00895AA9"/>
    <w:rsid w:val="00895B96"/>
    <w:rsid w:val="008A12F5"/>
    <w:rsid w:val="008A2266"/>
    <w:rsid w:val="008A226A"/>
    <w:rsid w:val="008A22C8"/>
    <w:rsid w:val="008A238D"/>
    <w:rsid w:val="008A255B"/>
    <w:rsid w:val="008A3A36"/>
    <w:rsid w:val="008A3AA5"/>
    <w:rsid w:val="008A54AE"/>
    <w:rsid w:val="008B14B2"/>
    <w:rsid w:val="008B1587"/>
    <w:rsid w:val="008B1B01"/>
    <w:rsid w:val="008B1E60"/>
    <w:rsid w:val="008B2BAC"/>
    <w:rsid w:val="008B3497"/>
    <w:rsid w:val="008B36E7"/>
    <w:rsid w:val="008B3BCD"/>
    <w:rsid w:val="008B44CE"/>
    <w:rsid w:val="008B4CA7"/>
    <w:rsid w:val="008B51B2"/>
    <w:rsid w:val="008B5416"/>
    <w:rsid w:val="008B5479"/>
    <w:rsid w:val="008B6CAA"/>
    <w:rsid w:val="008B6DF8"/>
    <w:rsid w:val="008C106C"/>
    <w:rsid w:val="008C10F1"/>
    <w:rsid w:val="008C1926"/>
    <w:rsid w:val="008C1E99"/>
    <w:rsid w:val="008C2A58"/>
    <w:rsid w:val="008C2E76"/>
    <w:rsid w:val="008C31C3"/>
    <w:rsid w:val="008C39C4"/>
    <w:rsid w:val="008C7AE5"/>
    <w:rsid w:val="008D2267"/>
    <w:rsid w:val="008D2C88"/>
    <w:rsid w:val="008D400B"/>
    <w:rsid w:val="008D4380"/>
    <w:rsid w:val="008D44F7"/>
    <w:rsid w:val="008E0085"/>
    <w:rsid w:val="008E024F"/>
    <w:rsid w:val="008E223D"/>
    <w:rsid w:val="008E25C9"/>
    <w:rsid w:val="008E2AA6"/>
    <w:rsid w:val="008E311B"/>
    <w:rsid w:val="008E33D4"/>
    <w:rsid w:val="008E4E57"/>
    <w:rsid w:val="008E4E9F"/>
    <w:rsid w:val="008E65A6"/>
    <w:rsid w:val="008E7620"/>
    <w:rsid w:val="008F0B2F"/>
    <w:rsid w:val="008F22DE"/>
    <w:rsid w:val="008F2B4F"/>
    <w:rsid w:val="008F300A"/>
    <w:rsid w:val="008F3CB3"/>
    <w:rsid w:val="008F3DF4"/>
    <w:rsid w:val="008F3EA4"/>
    <w:rsid w:val="008F434B"/>
    <w:rsid w:val="008F46E7"/>
    <w:rsid w:val="008F5FA2"/>
    <w:rsid w:val="008F64CA"/>
    <w:rsid w:val="008F6F0B"/>
    <w:rsid w:val="008F7084"/>
    <w:rsid w:val="008F7E4B"/>
    <w:rsid w:val="008F7E89"/>
    <w:rsid w:val="009001F2"/>
    <w:rsid w:val="0090093A"/>
    <w:rsid w:val="009024BB"/>
    <w:rsid w:val="00902DF4"/>
    <w:rsid w:val="009036C8"/>
    <w:rsid w:val="00906947"/>
    <w:rsid w:val="00907450"/>
    <w:rsid w:val="00907BA7"/>
    <w:rsid w:val="00910000"/>
    <w:rsid w:val="0091064E"/>
    <w:rsid w:val="009117B9"/>
    <w:rsid w:val="00911F0B"/>
    <w:rsid w:val="00911FC5"/>
    <w:rsid w:val="009148CC"/>
    <w:rsid w:val="00914C6F"/>
    <w:rsid w:val="00914F7E"/>
    <w:rsid w:val="00915644"/>
    <w:rsid w:val="009165DC"/>
    <w:rsid w:val="009167FB"/>
    <w:rsid w:val="00917A36"/>
    <w:rsid w:val="009212ED"/>
    <w:rsid w:val="009222C7"/>
    <w:rsid w:val="00923E1B"/>
    <w:rsid w:val="0092429F"/>
    <w:rsid w:val="00924D91"/>
    <w:rsid w:val="00925813"/>
    <w:rsid w:val="00926FDE"/>
    <w:rsid w:val="009279CF"/>
    <w:rsid w:val="009301EA"/>
    <w:rsid w:val="009307BE"/>
    <w:rsid w:val="00930992"/>
    <w:rsid w:val="00931A10"/>
    <w:rsid w:val="00932C01"/>
    <w:rsid w:val="00932ECC"/>
    <w:rsid w:val="00932F31"/>
    <w:rsid w:val="0093706A"/>
    <w:rsid w:val="009408B2"/>
    <w:rsid w:val="00941F7B"/>
    <w:rsid w:val="00942DED"/>
    <w:rsid w:val="00944377"/>
    <w:rsid w:val="00944C68"/>
    <w:rsid w:val="0094592E"/>
    <w:rsid w:val="00947967"/>
    <w:rsid w:val="00947B63"/>
    <w:rsid w:val="0095000D"/>
    <w:rsid w:val="0095146D"/>
    <w:rsid w:val="00951766"/>
    <w:rsid w:val="00952ECF"/>
    <w:rsid w:val="009532C2"/>
    <w:rsid w:val="00953349"/>
    <w:rsid w:val="00953545"/>
    <w:rsid w:val="009542E5"/>
    <w:rsid w:val="00954E7C"/>
    <w:rsid w:val="00955201"/>
    <w:rsid w:val="0096010D"/>
    <w:rsid w:val="009632C9"/>
    <w:rsid w:val="0096352F"/>
    <w:rsid w:val="00963A0E"/>
    <w:rsid w:val="00964E5F"/>
    <w:rsid w:val="00965200"/>
    <w:rsid w:val="00965415"/>
    <w:rsid w:val="009668B3"/>
    <w:rsid w:val="00970E49"/>
    <w:rsid w:val="00971471"/>
    <w:rsid w:val="00971CA9"/>
    <w:rsid w:val="00972193"/>
    <w:rsid w:val="0097261D"/>
    <w:rsid w:val="00973479"/>
    <w:rsid w:val="009737B6"/>
    <w:rsid w:val="009748DB"/>
    <w:rsid w:val="00974EA9"/>
    <w:rsid w:val="00975745"/>
    <w:rsid w:val="00975A0C"/>
    <w:rsid w:val="00976C44"/>
    <w:rsid w:val="00981454"/>
    <w:rsid w:val="0098209D"/>
    <w:rsid w:val="00982CCC"/>
    <w:rsid w:val="009845B6"/>
    <w:rsid w:val="009849C2"/>
    <w:rsid w:val="00984A12"/>
    <w:rsid w:val="00984B48"/>
    <w:rsid w:val="00984D24"/>
    <w:rsid w:val="009858EB"/>
    <w:rsid w:val="00985A47"/>
    <w:rsid w:val="00990FD0"/>
    <w:rsid w:val="00992A13"/>
    <w:rsid w:val="00993795"/>
    <w:rsid w:val="00994849"/>
    <w:rsid w:val="00994913"/>
    <w:rsid w:val="00994D39"/>
    <w:rsid w:val="009956B1"/>
    <w:rsid w:val="00996C65"/>
    <w:rsid w:val="0099737F"/>
    <w:rsid w:val="0099768D"/>
    <w:rsid w:val="00997876"/>
    <w:rsid w:val="009A01D9"/>
    <w:rsid w:val="009A0FD0"/>
    <w:rsid w:val="009A38E2"/>
    <w:rsid w:val="009A3F47"/>
    <w:rsid w:val="009A4944"/>
    <w:rsid w:val="009A4C3B"/>
    <w:rsid w:val="009A4F5F"/>
    <w:rsid w:val="009A6612"/>
    <w:rsid w:val="009A6652"/>
    <w:rsid w:val="009A6998"/>
    <w:rsid w:val="009A78BF"/>
    <w:rsid w:val="009A78F6"/>
    <w:rsid w:val="009B0046"/>
    <w:rsid w:val="009B0862"/>
    <w:rsid w:val="009B0A5F"/>
    <w:rsid w:val="009B41E9"/>
    <w:rsid w:val="009B561A"/>
    <w:rsid w:val="009B7854"/>
    <w:rsid w:val="009B7AA3"/>
    <w:rsid w:val="009C1440"/>
    <w:rsid w:val="009C2107"/>
    <w:rsid w:val="009C27D9"/>
    <w:rsid w:val="009C57DF"/>
    <w:rsid w:val="009C58C9"/>
    <w:rsid w:val="009C594C"/>
    <w:rsid w:val="009C5A67"/>
    <w:rsid w:val="009C5D9E"/>
    <w:rsid w:val="009C5FCF"/>
    <w:rsid w:val="009C69AE"/>
    <w:rsid w:val="009D162E"/>
    <w:rsid w:val="009D219F"/>
    <w:rsid w:val="009D2A92"/>
    <w:rsid w:val="009D2C3E"/>
    <w:rsid w:val="009D32DC"/>
    <w:rsid w:val="009D3C60"/>
    <w:rsid w:val="009D4F48"/>
    <w:rsid w:val="009D51CB"/>
    <w:rsid w:val="009D57E7"/>
    <w:rsid w:val="009D5E62"/>
    <w:rsid w:val="009D5F8B"/>
    <w:rsid w:val="009D65B1"/>
    <w:rsid w:val="009D6B3B"/>
    <w:rsid w:val="009D6DFF"/>
    <w:rsid w:val="009E0191"/>
    <w:rsid w:val="009E0625"/>
    <w:rsid w:val="009E069E"/>
    <w:rsid w:val="009E07B4"/>
    <w:rsid w:val="009E0DF1"/>
    <w:rsid w:val="009E2A9D"/>
    <w:rsid w:val="009E3034"/>
    <w:rsid w:val="009E3B04"/>
    <w:rsid w:val="009E43BE"/>
    <w:rsid w:val="009E549F"/>
    <w:rsid w:val="009E6B50"/>
    <w:rsid w:val="009E7BC4"/>
    <w:rsid w:val="009E7F0E"/>
    <w:rsid w:val="009F0DC0"/>
    <w:rsid w:val="009F2107"/>
    <w:rsid w:val="009F28A8"/>
    <w:rsid w:val="009F3619"/>
    <w:rsid w:val="009F44DF"/>
    <w:rsid w:val="009F473E"/>
    <w:rsid w:val="009F5247"/>
    <w:rsid w:val="009F5E41"/>
    <w:rsid w:val="009F682A"/>
    <w:rsid w:val="00A00D9C"/>
    <w:rsid w:val="00A022BE"/>
    <w:rsid w:val="00A03C69"/>
    <w:rsid w:val="00A048EB"/>
    <w:rsid w:val="00A04FC3"/>
    <w:rsid w:val="00A068F1"/>
    <w:rsid w:val="00A07B4B"/>
    <w:rsid w:val="00A12161"/>
    <w:rsid w:val="00A129B1"/>
    <w:rsid w:val="00A12D8C"/>
    <w:rsid w:val="00A144A8"/>
    <w:rsid w:val="00A16911"/>
    <w:rsid w:val="00A207E5"/>
    <w:rsid w:val="00A24C95"/>
    <w:rsid w:val="00A2599A"/>
    <w:rsid w:val="00A26094"/>
    <w:rsid w:val="00A273E3"/>
    <w:rsid w:val="00A301BF"/>
    <w:rsid w:val="00A302B2"/>
    <w:rsid w:val="00A30A4E"/>
    <w:rsid w:val="00A30EB7"/>
    <w:rsid w:val="00A331B4"/>
    <w:rsid w:val="00A3484E"/>
    <w:rsid w:val="00A356D3"/>
    <w:rsid w:val="00A36ADA"/>
    <w:rsid w:val="00A36B15"/>
    <w:rsid w:val="00A3744A"/>
    <w:rsid w:val="00A37C4D"/>
    <w:rsid w:val="00A41643"/>
    <w:rsid w:val="00A41762"/>
    <w:rsid w:val="00A41FCB"/>
    <w:rsid w:val="00A438D8"/>
    <w:rsid w:val="00A442F8"/>
    <w:rsid w:val="00A4500E"/>
    <w:rsid w:val="00A45246"/>
    <w:rsid w:val="00A458CD"/>
    <w:rsid w:val="00A4598B"/>
    <w:rsid w:val="00A473F5"/>
    <w:rsid w:val="00A51CEF"/>
    <w:rsid w:val="00A51F18"/>
    <w:rsid w:val="00A51F9D"/>
    <w:rsid w:val="00A538C2"/>
    <w:rsid w:val="00A53A93"/>
    <w:rsid w:val="00A53B51"/>
    <w:rsid w:val="00A5416A"/>
    <w:rsid w:val="00A5676B"/>
    <w:rsid w:val="00A56FC4"/>
    <w:rsid w:val="00A60941"/>
    <w:rsid w:val="00A6337D"/>
    <w:rsid w:val="00A63776"/>
    <w:rsid w:val="00A639F4"/>
    <w:rsid w:val="00A65313"/>
    <w:rsid w:val="00A65864"/>
    <w:rsid w:val="00A65942"/>
    <w:rsid w:val="00A65FAE"/>
    <w:rsid w:val="00A71FB2"/>
    <w:rsid w:val="00A732F9"/>
    <w:rsid w:val="00A736DE"/>
    <w:rsid w:val="00A73E2A"/>
    <w:rsid w:val="00A74E37"/>
    <w:rsid w:val="00A753FF"/>
    <w:rsid w:val="00A81A32"/>
    <w:rsid w:val="00A826D0"/>
    <w:rsid w:val="00A83128"/>
    <w:rsid w:val="00A835BD"/>
    <w:rsid w:val="00A8592F"/>
    <w:rsid w:val="00A8763F"/>
    <w:rsid w:val="00A9037C"/>
    <w:rsid w:val="00A94241"/>
    <w:rsid w:val="00A95FC3"/>
    <w:rsid w:val="00A96AAE"/>
    <w:rsid w:val="00A96FD2"/>
    <w:rsid w:val="00A97356"/>
    <w:rsid w:val="00A97B15"/>
    <w:rsid w:val="00AA0B82"/>
    <w:rsid w:val="00AA222F"/>
    <w:rsid w:val="00AA42D5"/>
    <w:rsid w:val="00AB02DC"/>
    <w:rsid w:val="00AB1693"/>
    <w:rsid w:val="00AB2FAB"/>
    <w:rsid w:val="00AB35F7"/>
    <w:rsid w:val="00AB5857"/>
    <w:rsid w:val="00AB5C14"/>
    <w:rsid w:val="00AC1EE7"/>
    <w:rsid w:val="00AC3102"/>
    <w:rsid w:val="00AC333F"/>
    <w:rsid w:val="00AC585C"/>
    <w:rsid w:val="00AC5E46"/>
    <w:rsid w:val="00AC6645"/>
    <w:rsid w:val="00AC70AF"/>
    <w:rsid w:val="00AC7EED"/>
    <w:rsid w:val="00AD02C1"/>
    <w:rsid w:val="00AD1430"/>
    <w:rsid w:val="00AD1925"/>
    <w:rsid w:val="00AD19A3"/>
    <w:rsid w:val="00AD1F76"/>
    <w:rsid w:val="00AD43DD"/>
    <w:rsid w:val="00AD68F0"/>
    <w:rsid w:val="00AD7BB3"/>
    <w:rsid w:val="00AE0143"/>
    <w:rsid w:val="00AE067D"/>
    <w:rsid w:val="00AE2D1C"/>
    <w:rsid w:val="00AE3E04"/>
    <w:rsid w:val="00AE435D"/>
    <w:rsid w:val="00AE5903"/>
    <w:rsid w:val="00AE5B2E"/>
    <w:rsid w:val="00AE6DE9"/>
    <w:rsid w:val="00AE7010"/>
    <w:rsid w:val="00AF0BB0"/>
    <w:rsid w:val="00AF107C"/>
    <w:rsid w:val="00AF1181"/>
    <w:rsid w:val="00AF2B2D"/>
    <w:rsid w:val="00AF2F79"/>
    <w:rsid w:val="00AF345B"/>
    <w:rsid w:val="00AF3E8C"/>
    <w:rsid w:val="00AF4397"/>
    <w:rsid w:val="00AF4653"/>
    <w:rsid w:val="00AF532C"/>
    <w:rsid w:val="00AF56A0"/>
    <w:rsid w:val="00AF699A"/>
    <w:rsid w:val="00AF7DB7"/>
    <w:rsid w:val="00AF7F96"/>
    <w:rsid w:val="00B00EE7"/>
    <w:rsid w:val="00B02161"/>
    <w:rsid w:val="00B03DA9"/>
    <w:rsid w:val="00B04B1F"/>
    <w:rsid w:val="00B04F7A"/>
    <w:rsid w:val="00B07E86"/>
    <w:rsid w:val="00B10D02"/>
    <w:rsid w:val="00B1130F"/>
    <w:rsid w:val="00B126F0"/>
    <w:rsid w:val="00B12E02"/>
    <w:rsid w:val="00B1470E"/>
    <w:rsid w:val="00B15CF0"/>
    <w:rsid w:val="00B15E09"/>
    <w:rsid w:val="00B17F19"/>
    <w:rsid w:val="00B201E2"/>
    <w:rsid w:val="00B2046D"/>
    <w:rsid w:val="00B22FDA"/>
    <w:rsid w:val="00B2519B"/>
    <w:rsid w:val="00B251D8"/>
    <w:rsid w:val="00B254AD"/>
    <w:rsid w:val="00B2639E"/>
    <w:rsid w:val="00B277EA"/>
    <w:rsid w:val="00B301CB"/>
    <w:rsid w:val="00B30945"/>
    <w:rsid w:val="00B31A62"/>
    <w:rsid w:val="00B3207C"/>
    <w:rsid w:val="00B33324"/>
    <w:rsid w:val="00B34889"/>
    <w:rsid w:val="00B36C29"/>
    <w:rsid w:val="00B37CD1"/>
    <w:rsid w:val="00B40512"/>
    <w:rsid w:val="00B415D5"/>
    <w:rsid w:val="00B41A68"/>
    <w:rsid w:val="00B42CCA"/>
    <w:rsid w:val="00B440B1"/>
    <w:rsid w:val="00B443E4"/>
    <w:rsid w:val="00B45905"/>
    <w:rsid w:val="00B46330"/>
    <w:rsid w:val="00B477A9"/>
    <w:rsid w:val="00B47C86"/>
    <w:rsid w:val="00B50B7F"/>
    <w:rsid w:val="00B50FC2"/>
    <w:rsid w:val="00B52670"/>
    <w:rsid w:val="00B5479D"/>
    <w:rsid w:val="00B5484D"/>
    <w:rsid w:val="00B54BAD"/>
    <w:rsid w:val="00B563EA"/>
    <w:rsid w:val="00B56947"/>
    <w:rsid w:val="00B56B71"/>
    <w:rsid w:val="00B56CDF"/>
    <w:rsid w:val="00B57D2A"/>
    <w:rsid w:val="00B60109"/>
    <w:rsid w:val="00B60E51"/>
    <w:rsid w:val="00B622EA"/>
    <w:rsid w:val="00B63059"/>
    <w:rsid w:val="00B63411"/>
    <w:rsid w:val="00B63A54"/>
    <w:rsid w:val="00B64505"/>
    <w:rsid w:val="00B64C36"/>
    <w:rsid w:val="00B65BBA"/>
    <w:rsid w:val="00B67E04"/>
    <w:rsid w:val="00B7313F"/>
    <w:rsid w:val="00B7322B"/>
    <w:rsid w:val="00B73D59"/>
    <w:rsid w:val="00B743E4"/>
    <w:rsid w:val="00B75475"/>
    <w:rsid w:val="00B756DE"/>
    <w:rsid w:val="00B75B52"/>
    <w:rsid w:val="00B770B6"/>
    <w:rsid w:val="00B77D18"/>
    <w:rsid w:val="00B804BC"/>
    <w:rsid w:val="00B806B9"/>
    <w:rsid w:val="00B80B30"/>
    <w:rsid w:val="00B82501"/>
    <w:rsid w:val="00B82BBA"/>
    <w:rsid w:val="00B8313A"/>
    <w:rsid w:val="00B83336"/>
    <w:rsid w:val="00B839A0"/>
    <w:rsid w:val="00B83BCB"/>
    <w:rsid w:val="00B852F9"/>
    <w:rsid w:val="00B85E23"/>
    <w:rsid w:val="00B90785"/>
    <w:rsid w:val="00B90986"/>
    <w:rsid w:val="00B91F91"/>
    <w:rsid w:val="00B93503"/>
    <w:rsid w:val="00BA086F"/>
    <w:rsid w:val="00BA31E8"/>
    <w:rsid w:val="00BA4293"/>
    <w:rsid w:val="00BA449F"/>
    <w:rsid w:val="00BA54B7"/>
    <w:rsid w:val="00BA55E0"/>
    <w:rsid w:val="00BA60A8"/>
    <w:rsid w:val="00BA6BD4"/>
    <w:rsid w:val="00BA6C7A"/>
    <w:rsid w:val="00BA70ED"/>
    <w:rsid w:val="00BB17D1"/>
    <w:rsid w:val="00BB22D8"/>
    <w:rsid w:val="00BB2FA4"/>
    <w:rsid w:val="00BB32AA"/>
    <w:rsid w:val="00BB33D5"/>
    <w:rsid w:val="00BB3752"/>
    <w:rsid w:val="00BB3905"/>
    <w:rsid w:val="00BB63E6"/>
    <w:rsid w:val="00BB6688"/>
    <w:rsid w:val="00BC21D7"/>
    <w:rsid w:val="00BC26D4"/>
    <w:rsid w:val="00BC567B"/>
    <w:rsid w:val="00BC5E93"/>
    <w:rsid w:val="00BC69EB"/>
    <w:rsid w:val="00BC70FA"/>
    <w:rsid w:val="00BD22A1"/>
    <w:rsid w:val="00BD6465"/>
    <w:rsid w:val="00BE019E"/>
    <w:rsid w:val="00BE0C80"/>
    <w:rsid w:val="00BE0D69"/>
    <w:rsid w:val="00BE3378"/>
    <w:rsid w:val="00BE3749"/>
    <w:rsid w:val="00BE4F98"/>
    <w:rsid w:val="00BE5202"/>
    <w:rsid w:val="00BE5C25"/>
    <w:rsid w:val="00BE6589"/>
    <w:rsid w:val="00BE73C6"/>
    <w:rsid w:val="00BF014F"/>
    <w:rsid w:val="00BF0842"/>
    <w:rsid w:val="00BF133C"/>
    <w:rsid w:val="00BF2243"/>
    <w:rsid w:val="00BF2A42"/>
    <w:rsid w:val="00BF7BA0"/>
    <w:rsid w:val="00C00A48"/>
    <w:rsid w:val="00C011EA"/>
    <w:rsid w:val="00C0123A"/>
    <w:rsid w:val="00C027C1"/>
    <w:rsid w:val="00C02855"/>
    <w:rsid w:val="00C02B9A"/>
    <w:rsid w:val="00C03120"/>
    <w:rsid w:val="00C03D8C"/>
    <w:rsid w:val="00C041DC"/>
    <w:rsid w:val="00C055EC"/>
    <w:rsid w:val="00C058AE"/>
    <w:rsid w:val="00C10DC9"/>
    <w:rsid w:val="00C12FB3"/>
    <w:rsid w:val="00C15399"/>
    <w:rsid w:val="00C158C0"/>
    <w:rsid w:val="00C1609A"/>
    <w:rsid w:val="00C17341"/>
    <w:rsid w:val="00C17F63"/>
    <w:rsid w:val="00C20063"/>
    <w:rsid w:val="00C22500"/>
    <w:rsid w:val="00C2396F"/>
    <w:rsid w:val="00C242D5"/>
    <w:rsid w:val="00C2451D"/>
    <w:rsid w:val="00C24EEF"/>
    <w:rsid w:val="00C24F87"/>
    <w:rsid w:val="00C257C1"/>
    <w:rsid w:val="00C25CF6"/>
    <w:rsid w:val="00C2606B"/>
    <w:rsid w:val="00C26C36"/>
    <w:rsid w:val="00C30ECD"/>
    <w:rsid w:val="00C3143D"/>
    <w:rsid w:val="00C32626"/>
    <w:rsid w:val="00C32768"/>
    <w:rsid w:val="00C33051"/>
    <w:rsid w:val="00C34D4A"/>
    <w:rsid w:val="00C35BA1"/>
    <w:rsid w:val="00C368FB"/>
    <w:rsid w:val="00C37617"/>
    <w:rsid w:val="00C431DF"/>
    <w:rsid w:val="00C43DFF"/>
    <w:rsid w:val="00C452E6"/>
    <w:rsid w:val="00C4535D"/>
    <w:rsid w:val="00C456BD"/>
    <w:rsid w:val="00C460B3"/>
    <w:rsid w:val="00C509AE"/>
    <w:rsid w:val="00C50CBD"/>
    <w:rsid w:val="00C51C05"/>
    <w:rsid w:val="00C530DC"/>
    <w:rsid w:val="00C5350D"/>
    <w:rsid w:val="00C53EFA"/>
    <w:rsid w:val="00C54B37"/>
    <w:rsid w:val="00C607A9"/>
    <w:rsid w:val="00C60BCA"/>
    <w:rsid w:val="00C60C1C"/>
    <w:rsid w:val="00C6123C"/>
    <w:rsid w:val="00C61BDD"/>
    <w:rsid w:val="00C6311A"/>
    <w:rsid w:val="00C63BC3"/>
    <w:rsid w:val="00C678CD"/>
    <w:rsid w:val="00C679AA"/>
    <w:rsid w:val="00C67E0A"/>
    <w:rsid w:val="00C7084D"/>
    <w:rsid w:val="00C70872"/>
    <w:rsid w:val="00C70DD5"/>
    <w:rsid w:val="00C71949"/>
    <w:rsid w:val="00C720F0"/>
    <w:rsid w:val="00C7315E"/>
    <w:rsid w:val="00C7545C"/>
    <w:rsid w:val="00C75895"/>
    <w:rsid w:val="00C81AC3"/>
    <w:rsid w:val="00C8371A"/>
    <w:rsid w:val="00C83C9F"/>
    <w:rsid w:val="00C86A2F"/>
    <w:rsid w:val="00C90307"/>
    <w:rsid w:val="00C917D8"/>
    <w:rsid w:val="00C918FC"/>
    <w:rsid w:val="00C92366"/>
    <w:rsid w:val="00C92459"/>
    <w:rsid w:val="00C94519"/>
    <w:rsid w:val="00C94840"/>
    <w:rsid w:val="00C95A37"/>
    <w:rsid w:val="00C96199"/>
    <w:rsid w:val="00C9724C"/>
    <w:rsid w:val="00C97602"/>
    <w:rsid w:val="00CA0A34"/>
    <w:rsid w:val="00CA13A2"/>
    <w:rsid w:val="00CA167D"/>
    <w:rsid w:val="00CA2079"/>
    <w:rsid w:val="00CA2AE6"/>
    <w:rsid w:val="00CA4D0C"/>
    <w:rsid w:val="00CA4EE3"/>
    <w:rsid w:val="00CA76C4"/>
    <w:rsid w:val="00CB027F"/>
    <w:rsid w:val="00CB0714"/>
    <w:rsid w:val="00CB0C14"/>
    <w:rsid w:val="00CB14E2"/>
    <w:rsid w:val="00CB1C14"/>
    <w:rsid w:val="00CB2D34"/>
    <w:rsid w:val="00CB3104"/>
    <w:rsid w:val="00CB428F"/>
    <w:rsid w:val="00CB4856"/>
    <w:rsid w:val="00CB62C7"/>
    <w:rsid w:val="00CB75D2"/>
    <w:rsid w:val="00CC0782"/>
    <w:rsid w:val="00CC0EBB"/>
    <w:rsid w:val="00CC0ECB"/>
    <w:rsid w:val="00CC15EC"/>
    <w:rsid w:val="00CC2945"/>
    <w:rsid w:val="00CC3515"/>
    <w:rsid w:val="00CC448E"/>
    <w:rsid w:val="00CC5008"/>
    <w:rsid w:val="00CC53B3"/>
    <w:rsid w:val="00CC5E61"/>
    <w:rsid w:val="00CC6297"/>
    <w:rsid w:val="00CC70BE"/>
    <w:rsid w:val="00CC7690"/>
    <w:rsid w:val="00CD1986"/>
    <w:rsid w:val="00CD24A1"/>
    <w:rsid w:val="00CD4727"/>
    <w:rsid w:val="00CD4D94"/>
    <w:rsid w:val="00CD54BF"/>
    <w:rsid w:val="00CD554D"/>
    <w:rsid w:val="00CD6D87"/>
    <w:rsid w:val="00CD7844"/>
    <w:rsid w:val="00CE0959"/>
    <w:rsid w:val="00CE15D1"/>
    <w:rsid w:val="00CE426A"/>
    <w:rsid w:val="00CE42D1"/>
    <w:rsid w:val="00CE48BD"/>
    <w:rsid w:val="00CE4D5C"/>
    <w:rsid w:val="00CE6CDE"/>
    <w:rsid w:val="00CE7D9F"/>
    <w:rsid w:val="00CF05DA"/>
    <w:rsid w:val="00CF1517"/>
    <w:rsid w:val="00CF2547"/>
    <w:rsid w:val="00CF3295"/>
    <w:rsid w:val="00CF3E56"/>
    <w:rsid w:val="00CF3FD2"/>
    <w:rsid w:val="00CF580E"/>
    <w:rsid w:val="00CF58EB"/>
    <w:rsid w:val="00CF6FEC"/>
    <w:rsid w:val="00D0106E"/>
    <w:rsid w:val="00D0158A"/>
    <w:rsid w:val="00D01A32"/>
    <w:rsid w:val="00D02683"/>
    <w:rsid w:val="00D027BE"/>
    <w:rsid w:val="00D034A7"/>
    <w:rsid w:val="00D04835"/>
    <w:rsid w:val="00D053FF"/>
    <w:rsid w:val="00D0596F"/>
    <w:rsid w:val="00D05C5D"/>
    <w:rsid w:val="00D06383"/>
    <w:rsid w:val="00D0653E"/>
    <w:rsid w:val="00D06A18"/>
    <w:rsid w:val="00D104EE"/>
    <w:rsid w:val="00D108CF"/>
    <w:rsid w:val="00D11DC7"/>
    <w:rsid w:val="00D13B10"/>
    <w:rsid w:val="00D15A11"/>
    <w:rsid w:val="00D15BDD"/>
    <w:rsid w:val="00D16914"/>
    <w:rsid w:val="00D17B2D"/>
    <w:rsid w:val="00D17D52"/>
    <w:rsid w:val="00D2033F"/>
    <w:rsid w:val="00D20B07"/>
    <w:rsid w:val="00D20D26"/>
    <w:rsid w:val="00D20E85"/>
    <w:rsid w:val="00D213EB"/>
    <w:rsid w:val="00D21A65"/>
    <w:rsid w:val="00D24615"/>
    <w:rsid w:val="00D305ED"/>
    <w:rsid w:val="00D31B16"/>
    <w:rsid w:val="00D33A8E"/>
    <w:rsid w:val="00D345A9"/>
    <w:rsid w:val="00D34AB6"/>
    <w:rsid w:val="00D358C1"/>
    <w:rsid w:val="00D36C85"/>
    <w:rsid w:val="00D37842"/>
    <w:rsid w:val="00D40828"/>
    <w:rsid w:val="00D41935"/>
    <w:rsid w:val="00D41DB4"/>
    <w:rsid w:val="00D42DC2"/>
    <w:rsid w:val="00D4302B"/>
    <w:rsid w:val="00D433C5"/>
    <w:rsid w:val="00D44145"/>
    <w:rsid w:val="00D442B8"/>
    <w:rsid w:val="00D46CCB"/>
    <w:rsid w:val="00D475E4"/>
    <w:rsid w:val="00D50C7C"/>
    <w:rsid w:val="00D50E74"/>
    <w:rsid w:val="00D51B38"/>
    <w:rsid w:val="00D52CD5"/>
    <w:rsid w:val="00D53318"/>
    <w:rsid w:val="00D5354B"/>
    <w:rsid w:val="00D537E1"/>
    <w:rsid w:val="00D539B0"/>
    <w:rsid w:val="00D55BB2"/>
    <w:rsid w:val="00D57555"/>
    <w:rsid w:val="00D6091A"/>
    <w:rsid w:val="00D62043"/>
    <w:rsid w:val="00D65E8A"/>
    <w:rsid w:val="00D65EC3"/>
    <w:rsid w:val="00D65FF2"/>
    <w:rsid w:val="00D6605A"/>
    <w:rsid w:val="00D6695F"/>
    <w:rsid w:val="00D672C9"/>
    <w:rsid w:val="00D675F4"/>
    <w:rsid w:val="00D70D71"/>
    <w:rsid w:val="00D7129D"/>
    <w:rsid w:val="00D7219E"/>
    <w:rsid w:val="00D72B15"/>
    <w:rsid w:val="00D737F8"/>
    <w:rsid w:val="00D7471F"/>
    <w:rsid w:val="00D75644"/>
    <w:rsid w:val="00D75B47"/>
    <w:rsid w:val="00D75D84"/>
    <w:rsid w:val="00D81656"/>
    <w:rsid w:val="00D8205E"/>
    <w:rsid w:val="00D82FE7"/>
    <w:rsid w:val="00D83D87"/>
    <w:rsid w:val="00D84A6D"/>
    <w:rsid w:val="00D86A0C"/>
    <w:rsid w:val="00D86A30"/>
    <w:rsid w:val="00D879EB"/>
    <w:rsid w:val="00D91ED5"/>
    <w:rsid w:val="00D9344B"/>
    <w:rsid w:val="00D9430E"/>
    <w:rsid w:val="00D97012"/>
    <w:rsid w:val="00D97BD5"/>
    <w:rsid w:val="00D97C42"/>
    <w:rsid w:val="00D97CB4"/>
    <w:rsid w:val="00D97DD4"/>
    <w:rsid w:val="00DA11B2"/>
    <w:rsid w:val="00DA25A2"/>
    <w:rsid w:val="00DA3A33"/>
    <w:rsid w:val="00DA3B14"/>
    <w:rsid w:val="00DA3E8D"/>
    <w:rsid w:val="00DA4862"/>
    <w:rsid w:val="00DA5A8A"/>
    <w:rsid w:val="00DA6151"/>
    <w:rsid w:val="00DB0401"/>
    <w:rsid w:val="00DB1149"/>
    <w:rsid w:val="00DB1170"/>
    <w:rsid w:val="00DB1430"/>
    <w:rsid w:val="00DB1B9A"/>
    <w:rsid w:val="00DB1C00"/>
    <w:rsid w:val="00DB1C48"/>
    <w:rsid w:val="00DB26CD"/>
    <w:rsid w:val="00DB2F23"/>
    <w:rsid w:val="00DB441C"/>
    <w:rsid w:val="00DB44AF"/>
    <w:rsid w:val="00DB4557"/>
    <w:rsid w:val="00DB4C2A"/>
    <w:rsid w:val="00DB5AD4"/>
    <w:rsid w:val="00DB68F0"/>
    <w:rsid w:val="00DB6F76"/>
    <w:rsid w:val="00DB73B8"/>
    <w:rsid w:val="00DB747A"/>
    <w:rsid w:val="00DB78DC"/>
    <w:rsid w:val="00DC088F"/>
    <w:rsid w:val="00DC13E5"/>
    <w:rsid w:val="00DC1F58"/>
    <w:rsid w:val="00DC339B"/>
    <w:rsid w:val="00DC425F"/>
    <w:rsid w:val="00DC51C3"/>
    <w:rsid w:val="00DC5D40"/>
    <w:rsid w:val="00DC69A7"/>
    <w:rsid w:val="00DD0F11"/>
    <w:rsid w:val="00DD20F5"/>
    <w:rsid w:val="00DD2980"/>
    <w:rsid w:val="00DD30E9"/>
    <w:rsid w:val="00DD4F47"/>
    <w:rsid w:val="00DD5D8E"/>
    <w:rsid w:val="00DD7140"/>
    <w:rsid w:val="00DD7FBB"/>
    <w:rsid w:val="00DE0847"/>
    <w:rsid w:val="00DE0B9F"/>
    <w:rsid w:val="00DE1531"/>
    <w:rsid w:val="00DE241B"/>
    <w:rsid w:val="00DE2A9E"/>
    <w:rsid w:val="00DE4238"/>
    <w:rsid w:val="00DE59DC"/>
    <w:rsid w:val="00DE657F"/>
    <w:rsid w:val="00DF0295"/>
    <w:rsid w:val="00DF06C9"/>
    <w:rsid w:val="00DF1218"/>
    <w:rsid w:val="00DF20F8"/>
    <w:rsid w:val="00DF5E4C"/>
    <w:rsid w:val="00DF6393"/>
    <w:rsid w:val="00DF6462"/>
    <w:rsid w:val="00DF6EB3"/>
    <w:rsid w:val="00DF78D4"/>
    <w:rsid w:val="00E001C6"/>
    <w:rsid w:val="00E00360"/>
    <w:rsid w:val="00E02496"/>
    <w:rsid w:val="00E02FA0"/>
    <w:rsid w:val="00E036DC"/>
    <w:rsid w:val="00E037F8"/>
    <w:rsid w:val="00E0576E"/>
    <w:rsid w:val="00E0614D"/>
    <w:rsid w:val="00E10454"/>
    <w:rsid w:val="00E10C63"/>
    <w:rsid w:val="00E112E5"/>
    <w:rsid w:val="00E11865"/>
    <w:rsid w:val="00E120AD"/>
    <w:rsid w:val="00E122D8"/>
    <w:rsid w:val="00E12BBC"/>
    <w:rsid w:val="00E12CC8"/>
    <w:rsid w:val="00E13C7B"/>
    <w:rsid w:val="00E13CD9"/>
    <w:rsid w:val="00E14284"/>
    <w:rsid w:val="00E14355"/>
    <w:rsid w:val="00E148F5"/>
    <w:rsid w:val="00E15352"/>
    <w:rsid w:val="00E156D4"/>
    <w:rsid w:val="00E159F5"/>
    <w:rsid w:val="00E1685E"/>
    <w:rsid w:val="00E1793E"/>
    <w:rsid w:val="00E20C6E"/>
    <w:rsid w:val="00E21CC7"/>
    <w:rsid w:val="00E225A5"/>
    <w:rsid w:val="00E2292C"/>
    <w:rsid w:val="00E243AE"/>
    <w:rsid w:val="00E24444"/>
    <w:rsid w:val="00E24D9E"/>
    <w:rsid w:val="00E255B4"/>
    <w:rsid w:val="00E25849"/>
    <w:rsid w:val="00E25901"/>
    <w:rsid w:val="00E2697B"/>
    <w:rsid w:val="00E26B69"/>
    <w:rsid w:val="00E3197E"/>
    <w:rsid w:val="00E32FCE"/>
    <w:rsid w:val="00E33772"/>
    <w:rsid w:val="00E342F8"/>
    <w:rsid w:val="00E34433"/>
    <w:rsid w:val="00E34D0D"/>
    <w:rsid w:val="00E351ED"/>
    <w:rsid w:val="00E35408"/>
    <w:rsid w:val="00E357B3"/>
    <w:rsid w:val="00E41101"/>
    <w:rsid w:val="00E4227C"/>
    <w:rsid w:val="00E42B19"/>
    <w:rsid w:val="00E465D7"/>
    <w:rsid w:val="00E47E57"/>
    <w:rsid w:val="00E47F56"/>
    <w:rsid w:val="00E50E99"/>
    <w:rsid w:val="00E512E6"/>
    <w:rsid w:val="00E5273A"/>
    <w:rsid w:val="00E53B06"/>
    <w:rsid w:val="00E552C5"/>
    <w:rsid w:val="00E556BB"/>
    <w:rsid w:val="00E55A81"/>
    <w:rsid w:val="00E56046"/>
    <w:rsid w:val="00E566FD"/>
    <w:rsid w:val="00E5704C"/>
    <w:rsid w:val="00E57069"/>
    <w:rsid w:val="00E57477"/>
    <w:rsid w:val="00E6023F"/>
    <w:rsid w:val="00E6034B"/>
    <w:rsid w:val="00E60517"/>
    <w:rsid w:val="00E609D5"/>
    <w:rsid w:val="00E62938"/>
    <w:rsid w:val="00E62AED"/>
    <w:rsid w:val="00E63F62"/>
    <w:rsid w:val="00E64E43"/>
    <w:rsid w:val="00E64F6E"/>
    <w:rsid w:val="00E6549E"/>
    <w:rsid w:val="00E65A87"/>
    <w:rsid w:val="00E65E64"/>
    <w:rsid w:val="00E65EDE"/>
    <w:rsid w:val="00E66AB6"/>
    <w:rsid w:val="00E6714F"/>
    <w:rsid w:val="00E671FC"/>
    <w:rsid w:val="00E70F81"/>
    <w:rsid w:val="00E71006"/>
    <w:rsid w:val="00E7169C"/>
    <w:rsid w:val="00E721E2"/>
    <w:rsid w:val="00E728A9"/>
    <w:rsid w:val="00E728D6"/>
    <w:rsid w:val="00E734C1"/>
    <w:rsid w:val="00E73891"/>
    <w:rsid w:val="00E741F0"/>
    <w:rsid w:val="00E7428F"/>
    <w:rsid w:val="00E752B4"/>
    <w:rsid w:val="00E75FCD"/>
    <w:rsid w:val="00E762DE"/>
    <w:rsid w:val="00E765A4"/>
    <w:rsid w:val="00E766C8"/>
    <w:rsid w:val="00E77055"/>
    <w:rsid w:val="00E77460"/>
    <w:rsid w:val="00E811D4"/>
    <w:rsid w:val="00E8233D"/>
    <w:rsid w:val="00E8246B"/>
    <w:rsid w:val="00E82DAB"/>
    <w:rsid w:val="00E83ABC"/>
    <w:rsid w:val="00E83E0C"/>
    <w:rsid w:val="00E83E35"/>
    <w:rsid w:val="00E844F2"/>
    <w:rsid w:val="00E86B8C"/>
    <w:rsid w:val="00E9046B"/>
    <w:rsid w:val="00E90710"/>
    <w:rsid w:val="00E90AD0"/>
    <w:rsid w:val="00E91E78"/>
    <w:rsid w:val="00E92FCB"/>
    <w:rsid w:val="00E9305E"/>
    <w:rsid w:val="00E942CC"/>
    <w:rsid w:val="00E9434F"/>
    <w:rsid w:val="00E94FA6"/>
    <w:rsid w:val="00EA147F"/>
    <w:rsid w:val="00EA1CE5"/>
    <w:rsid w:val="00EA2ACD"/>
    <w:rsid w:val="00EA4477"/>
    <w:rsid w:val="00EA4A27"/>
    <w:rsid w:val="00EA4FA6"/>
    <w:rsid w:val="00EA5F8F"/>
    <w:rsid w:val="00EA656A"/>
    <w:rsid w:val="00EB0CCC"/>
    <w:rsid w:val="00EB1A25"/>
    <w:rsid w:val="00EB1F3E"/>
    <w:rsid w:val="00EB3055"/>
    <w:rsid w:val="00EB43E8"/>
    <w:rsid w:val="00EB48FF"/>
    <w:rsid w:val="00EB5D74"/>
    <w:rsid w:val="00EB60BB"/>
    <w:rsid w:val="00EB679A"/>
    <w:rsid w:val="00EB71C1"/>
    <w:rsid w:val="00EB784D"/>
    <w:rsid w:val="00EC2DE4"/>
    <w:rsid w:val="00EC3951"/>
    <w:rsid w:val="00EC7363"/>
    <w:rsid w:val="00EC7E12"/>
    <w:rsid w:val="00ED03AB"/>
    <w:rsid w:val="00ED06D8"/>
    <w:rsid w:val="00ED1963"/>
    <w:rsid w:val="00ED1CD4"/>
    <w:rsid w:val="00ED1D2B"/>
    <w:rsid w:val="00ED21A8"/>
    <w:rsid w:val="00ED2473"/>
    <w:rsid w:val="00ED2D06"/>
    <w:rsid w:val="00ED38BA"/>
    <w:rsid w:val="00ED504B"/>
    <w:rsid w:val="00ED64B5"/>
    <w:rsid w:val="00ED6F25"/>
    <w:rsid w:val="00EE122B"/>
    <w:rsid w:val="00EE1DDE"/>
    <w:rsid w:val="00EE2119"/>
    <w:rsid w:val="00EE2EDF"/>
    <w:rsid w:val="00EE75FE"/>
    <w:rsid w:val="00EE7CCA"/>
    <w:rsid w:val="00EE7D03"/>
    <w:rsid w:val="00EE7D14"/>
    <w:rsid w:val="00EF1B59"/>
    <w:rsid w:val="00EF24FE"/>
    <w:rsid w:val="00EF2765"/>
    <w:rsid w:val="00EF43C1"/>
    <w:rsid w:val="00EF61BE"/>
    <w:rsid w:val="00F00402"/>
    <w:rsid w:val="00F03920"/>
    <w:rsid w:val="00F0400A"/>
    <w:rsid w:val="00F05003"/>
    <w:rsid w:val="00F05588"/>
    <w:rsid w:val="00F06E53"/>
    <w:rsid w:val="00F07B41"/>
    <w:rsid w:val="00F07E5A"/>
    <w:rsid w:val="00F07F82"/>
    <w:rsid w:val="00F1169D"/>
    <w:rsid w:val="00F13B73"/>
    <w:rsid w:val="00F16A14"/>
    <w:rsid w:val="00F17EAE"/>
    <w:rsid w:val="00F20E1F"/>
    <w:rsid w:val="00F236C4"/>
    <w:rsid w:val="00F238C3"/>
    <w:rsid w:val="00F25056"/>
    <w:rsid w:val="00F258F7"/>
    <w:rsid w:val="00F25AEF"/>
    <w:rsid w:val="00F2613F"/>
    <w:rsid w:val="00F272E7"/>
    <w:rsid w:val="00F274E3"/>
    <w:rsid w:val="00F31135"/>
    <w:rsid w:val="00F311E8"/>
    <w:rsid w:val="00F318B1"/>
    <w:rsid w:val="00F31C0C"/>
    <w:rsid w:val="00F34FB5"/>
    <w:rsid w:val="00F362D7"/>
    <w:rsid w:val="00F372F7"/>
    <w:rsid w:val="00F37D7B"/>
    <w:rsid w:val="00F37F23"/>
    <w:rsid w:val="00F42F7F"/>
    <w:rsid w:val="00F432FC"/>
    <w:rsid w:val="00F438CB"/>
    <w:rsid w:val="00F4469F"/>
    <w:rsid w:val="00F44E83"/>
    <w:rsid w:val="00F47E06"/>
    <w:rsid w:val="00F504E8"/>
    <w:rsid w:val="00F5093E"/>
    <w:rsid w:val="00F5314C"/>
    <w:rsid w:val="00F53A57"/>
    <w:rsid w:val="00F53BB6"/>
    <w:rsid w:val="00F5470E"/>
    <w:rsid w:val="00F54FE2"/>
    <w:rsid w:val="00F5688C"/>
    <w:rsid w:val="00F60048"/>
    <w:rsid w:val="00F6024A"/>
    <w:rsid w:val="00F635DD"/>
    <w:rsid w:val="00F646A9"/>
    <w:rsid w:val="00F6598F"/>
    <w:rsid w:val="00F6627B"/>
    <w:rsid w:val="00F677D1"/>
    <w:rsid w:val="00F70C26"/>
    <w:rsid w:val="00F71222"/>
    <w:rsid w:val="00F7137A"/>
    <w:rsid w:val="00F71996"/>
    <w:rsid w:val="00F7336E"/>
    <w:rsid w:val="00F734AD"/>
    <w:rsid w:val="00F734F2"/>
    <w:rsid w:val="00F75052"/>
    <w:rsid w:val="00F762C4"/>
    <w:rsid w:val="00F765D0"/>
    <w:rsid w:val="00F77131"/>
    <w:rsid w:val="00F77BD3"/>
    <w:rsid w:val="00F77DF9"/>
    <w:rsid w:val="00F80040"/>
    <w:rsid w:val="00F804D3"/>
    <w:rsid w:val="00F80EE7"/>
    <w:rsid w:val="00F816CB"/>
    <w:rsid w:val="00F81CD2"/>
    <w:rsid w:val="00F82641"/>
    <w:rsid w:val="00F828E6"/>
    <w:rsid w:val="00F83AEA"/>
    <w:rsid w:val="00F83B10"/>
    <w:rsid w:val="00F84194"/>
    <w:rsid w:val="00F8633C"/>
    <w:rsid w:val="00F871C7"/>
    <w:rsid w:val="00F87940"/>
    <w:rsid w:val="00F90F18"/>
    <w:rsid w:val="00F919A1"/>
    <w:rsid w:val="00F91D2F"/>
    <w:rsid w:val="00F93110"/>
    <w:rsid w:val="00F937E4"/>
    <w:rsid w:val="00F93AB9"/>
    <w:rsid w:val="00F950D3"/>
    <w:rsid w:val="00F9538D"/>
    <w:rsid w:val="00F95EE7"/>
    <w:rsid w:val="00F966DE"/>
    <w:rsid w:val="00F97748"/>
    <w:rsid w:val="00FA03E1"/>
    <w:rsid w:val="00FA142D"/>
    <w:rsid w:val="00FA39E6"/>
    <w:rsid w:val="00FA39F4"/>
    <w:rsid w:val="00FA4B20"/>
    <w:rsid w:val="00FA50D2"/>
    <w:rsid w:val="00FA64F9"/>
    <w:rsid w:val="00FA654A"/>
    <w:rsid w:val="00FA6F99"/>
    <w:rsid w:val="00FA7BC9"/>
    <w:rsid w:val="00FB147E"/>
    <w:rsid w:val="00FB2039"/>
    <w:rsid w:val="00FB2D12"/>
    <w:rsid w:val="00FB378E"/>
    <w:rsid w:val="00FB37F1"/>
    <w:rsid w:val="00FB47C0"/>
    <w:rsid w:val="00FB501B"/>
    <w:rsid w:val="00FB719A"/>
    <w:rsid w:val="00FB7770"/>
    <w:rsid w:val="00FB7A92"/>
    <w:rsid w:val="00FC16CC"/>
    <w:rsid w:val="00FC44D9"/>
    <w:rsid w:val="00FC495E"/>
    <w:rsid w:val="00FC7E7E"/>
    <w:rsid w:val="00FD151D"/>
    <w:rsid w:val="00FD31D2"/>
    <w:rsid w:val="00FD3B91"/>
    <w:rsid w:val="00FD3D9F"/>
    <w:rsid w:val="00FD576B"/>
    <w:rsid w:val="00FD579E"/>
    <w:rsid w:val="00FD6845"/>
    <w:rsid w:val="00FD6B24"/>
    <w:rsid w:val="00FE1BAB"/>
    <w:rsid w:val="00FE204C"/>
    <w:rsid w:val="00FE4017"/>
    <w:rsid w:val="00FE4061"/>
    <w:rsid w:val="00FE4516"/>
    <w:rsid w:val="00FE467C"/>
    <w:rsid w:val="00FE64C8"/>
    <w:rsid w:val="00FF0FDD"/>
    <w:rsid w:val="00FF1D0C"/>
    <w:rsid w:val="00FF1F7A"/>
    <w:rsid w:val="00FF4324"/>
    <w:rsid w:val="00FF62CD"/>
    <w:rsid w:val="00FF6847"/>
    <w:rsid w:val="00FF6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0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82DAB"/>
    <w:pPr>
      <w:snapToGrid w:val="0"/>
      <w:jc w:val="left"/>
    </w:pPr>
    <w:rPr>
      <w:sz w:val="20"/>
    </w:rPr>
  </w:style>
  <w:style w:type="character" w:customStyle="1" w:styleId="afd">
    <w:name w:val="註腳文字 字元"/>
    <w:basedOn w:val="a7"/>
    <w:link w:val="afc"/>
    <w:uiPriority w:val="99"/>
    <w:semiHidden/>
    <w:rsid w:val="00E82DAB"/>
    <w:rPr>
      <w:rFonts w:ascii="標楷體" w:eastAsia="標楷體"/>
      <w:kern w:val="2"/>
    </w:rPr>
  </w:style>
  <w:style w:type="character" w:styleId="afe">
    <w:name w:val="footnote reference"/>
    <w:basedOn w:val="a7"/>
    <w:uiPriority w:val="99"/>
    <w:semiHidden/>
    <w:unhideWhenUsed/>
    <w:rsid w:val="00E82DAB"/>
    <w:rPr>
      <w:vertAlign w:val="superscript"/>
    </w:rPr>
  </w:style>
  <w:style w:type="paragraph" w:styleId="Web">
    <w:name w:val="Normal (Web)"/>
    <w:basedOn w:val="a6"/>
    <w:uiPriority w:val="99"/>
    <w:semiHidden/>
    <w:unhideWhenUsed/>
    <w:rsid w:val="00B839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6B7040"/>
    <w:rPr>
      <w:rFonts w:ascii="標楷體" w:eastAsia="標楷體" w:hAnsi="Arial"/>
      <w:bCs/>
      <w:kern w:val="32"/>
      <w:sz w:val="32"/>
      <w:szCs w:val="36"/>
    </w:rPr>
  </w:style>
  <w:style w:type="table" w:customStyle="1" w:styleId="13">
    <w:name w:val="表格格線1"/>
    <w:basedOn w:val="a8"/>
    <w:next w:val="af6"/>
    <w:uiPriority w:val="39"/>
    <w:rsid w:val="006F1B3B"/>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7268">
      <w:bodyDiv w:val="1"/>
      <w:marLeft w:val="0"/>
      <w:marRight w:val="0"/>
      <w:marTop w:val="0"/>
      <w:marBottom w:val="0"/>
      <w:divBdr>
        <w:top w:val="none" w:sz="0" w:space="0" w:color="auto"/>
        <w:left w:val="none" w:sz="0" w:space="0" w:color="auto"/>
        <w:bottom w:val="none" w:sz="0" w:space="0" w:color="auto"/>
        <w:right w:val="none" w:sz="0" w:space="0" w:color="auto"/>
      </w:divBdr>
    </w:div>
    <w:div w:id="309747331">
      <w:bodyDiv w:val="1"/>
      <w:marLeft w:val="0"/>
      <w:marRight w:val="0"/>
      <w:marTop w:val="0"/>
      <w:marBottom w:val="0"/>
      <w:divBdr>
        <w:top w:val="none" w:sz="0" w:space="0" w:color="auto"/>
        <w:left w:val="none" w:sz="0" w:space="0" w:color="auto"/>
        <w:bottom w:val="none" w:sz="0" w:space="0" w:color="auto"/>
        <w:right w:val="none" w:sz="0" w:space="0" w:color="auto"/>
      </w:divBdr>
      <w:divsChild>
        <w:div w:id="1968388907">
          <w:marLeft w:val="480"/>
          <w:marRight w:val="0"/>
          <w:marTop w:val="0"/>
          <w:marBottom w:val="0"/>
          <w:divBdr>
            <w:top w:val="none" w:sz="0" w:space="0" w:color="auto"/>
            <w:left w:val="none" w:sz="0" w:space="0" w:color="auto"/>
            <w:bottom w:val="none" w:sz="0" w:space="0" w:color="auto"/>
            <w:right w:val="none" w:sz="0" w:space="0" w:color="auto"/>
          </w:divBdr>
        </w:div>
        <w:div w:id="2130664850">
          <w:marLeft w:val="720"/>
          <w:marRight w:val="0"/>
          <w:marTop w:val="0"/>
          <w:marBottom w:val="0"/>
          <w:divBdr>
            <w:top w:val="none" w:sz="0" w:space="0" w:color="auto"/>
            <w:left w:val="none" w:sz="0" w:space="0" w:color="auto"/>
            <w:bottom w:val="none" w:sz="0" w:space="0" w:color="auto"/>
            <w:right w:val="none" w:sz="0" w:space="0" w:color="auto"/>
          </w:divBdr>
        </w:div>
        <w:div w:id="1253515354">
          <w:marLeft w:val="960"/>
          <w:marRight w:val="0"/>
          <w:marTop w:val="0"/>
          <w:marBottom w:val="0"/>
          <w:divBdr>
            <w:top w:val="none" w:sz="0" w:space="0" w:color="auto"/>
            <w:left w:val="none" w:sz="0" w:space="0" w:color="auto"/>
            <w:bottom w:val="none" w:sz="0" w:space="0" w:color="auto"/>
            <w:right w:val="none" w:sz="0" w:space="0" w:color="auto"/>
          </w:divBdr>
        </w:div>
        <w:div w:id="750664405">
          <w:marLeft w:val="960"/>
          <w:marRight w:val="0"/>
          <w:marTop w:val="0"/>
          <w:marBottom w:val="0"/>
          <w:divBdr>
            <w:top w:val="none" w:sz="0" w:space="0" w:color="auto"/>
            <w:left w:val="none" w:sz="0" w:space="0" w:color="auto"/>
            <w:bottom w:val="none" w:sz="0" w:space="0" w:color="auto"/>
            <w:right w:val="none" w:sz="0" w:space="0" w:color="auto"/>
          </w:divBdr>
        </w:div>
        <w:div w:id="131800458">
          <w:marLeft w:val="720"/>
          <w:marRight w:val="0"/>
          <w:marTop w:val="0"/>
          <w:marBottom w:val="0"/>
          <w:divBdr>
            <w:top w:val="none" w:sz="0" w:space="0" w:color="auto"/>
            <w:left w:val="none" w:sz="0" w:space="0" w:color="auto"/>
            <w:bottom w:val="none" w:sz="0" w:space="0" w:color="auto"/>
            <w:right w:val="none" w:sz="0" w:space="0" w:color="auto"/>
          </w:divBdr>
        </w:div>
        <w:div w:id="1253003257">
          <w:marLeft w:val="720"/>
          <w:marRight w:val="0"/>
          <w:marTop w:val="0"/>
          <w:marBottom w:val="0"/>
          <w:divBdr>
            <w:top w:val="none" w:sz="0" w:space="0" w:color="auto"/>
            <w:left w:val="none" w:sz="0" w:space="0" w:color="auto"/>
            <w:bottom w:val="none" w:sz="0" w:space="0" w:color="auto"/>
            <w:right w:val="none" w:sz="0" w:space="0" w:color="auto"/>
          </w:divBdr>
        </w:div>
        <w:div w:id="275983379">
          <w:marLeft w:val="480"/>
          <w:marRight w:val="0"/>
          <w:marTop w:val="0"/>
          <w:marBottom w:val="0"/>
          <w:divBdr>
            <w:top w:val="none" w:sz="0" w:space="0" w:color="auto"/>
            <w:left w:val="none" w:sz="0" w:space="0" w:color="auto"/>
            <w:bottom w:val="none" w:sz="0" w:space="0" w:color="auto"/>
            <w:right w:val="none" w:sz="0" w:space="0" w:color="auto"/>
          </w:divBdr>
        </w:div>
        <w:div w:id="2028754610">
          <w:marLeft w:val="480"/>
          <w:marRight w:val="0"/>
          <w:marTop w:val="0"/>
          <w:marBottom w:val="0"/>
          <w:divBdr>
            <w:top w:val="none" w:sz="0" w:space="0" w:color="auto"/>
            <w:left w:val="none" w:sz="0" w:space="0" w:color="auto"/>
            <w:bottom w:val="none" w:sz="0" w:space="0" w:color="auto"/>
            <w:right w:val="none" w:sz="0" w:space="0" w:color="auto"/>
          </w:divBdr>
        </w:div>
      </w:divsChild>
    </w:div>
    <w:div w:id="370150261">
      <w:bodyDiv w:val="1"/>
      <w:marLeft w:val="0"/>
      <w:marRight w:val="0"/>
      <w:marTop w:val="0"/>
      <w:marBottom w:val="0"/>
      <w:divBdr>
        <w:top w:val="none" w:sz="0" w:space="0" w:color="auto"/>
        <w:left w:val="none" w:sz="0" w:space="0" w:color="auto"/>
        <w:bottom w:val="none" w:sz="0" w:space="0" w:color="auto"/>
        <w:right w:val="none" w:sz="0" w:space="0" w:color="auto"/>
      </w:divBdr>
      <w:divsChild>
        <w:div w:id="1790733401">
          <w:marLeft w:val="480"/>
          <w:marRight w:val="0"/>
          <w:marTop w:val="0"/>
          <w:marBottom w:val="0"/>
          <w:divBdr>
            <w:top w:val="none" w:sz="0" w:space="0" w:color="auto"/>
            <w:left w:val="none" w:sz="0" w:space="0" w:color="auto"/>
            <w:bottom w:val="none" w:sz="0" w:space="0" w:color="auto"/>
            <w:right w:val="none" w:sz="0" w:space="0" w:color="auto"/>
          </w:divBdr>
        </w:div>
        <w:div w:id="920800400">
          <w:marLeft w:val="480"/>
          <w:marRight w:val="0"/>
          <w:marTop w:val="0"/>
          <w:marBottom w:val="0"/>
          <w:divBdr>
            <w:top w:val="none" w:sz="0" w:space="0" w:color="auto"/>
            <w:left w:val="none" w:sz="0" w:space="0" w:color="auto"/>
            <w:bottom w:val="none" w:sz="0" w:space="0" w:color="auto"/>
            <w:right w:val="none" w:sz="0" w:space="0" w:color="auto"/>
          </w:divBdr>
        </w:div>
        <w:div w:id="1161119673">
          <w:marLeft w:val="480"/>
          <w:marRight w:val="0"/>
          <w:marTop w:val="0"/>
          <w:marBottom w:val="0"/>
          <w:divBdr>
            <w:top w:val="none" w:sz="0" w:space="0" w:color="auto"/>
            <w:left w:val="none" w:sz="0" w:space="0" w:color="auto"/>
            <w:bottom w:val="none" w:sz="0" w:space="0" w:color="auto"/>
            <w:right w:val="none" w:sz="0" w:space="0" w:color="auto"/>
          </w:divBdr>
        </w:div>
        <w:div w:id="684020449">
          <w:marLeft w:val="480"/>
          <w:marRight w:val="0"/>
          <w:marTop w:val="0"/>
          <w:marBottom w:val="0"/>
          <w:divBdr>
            <w:top w:val="none" w:sz="0" w:space="0" w:color="auto"/>
            <w:left w:val="none" w:sz="0" w:space="0" w:color="auto"/>
            <w:bottom w:val="none" w:sz="0" w:space="0" w:color="auto"/>
            <w:right w:val="none" w:sz="0" w:space="0" w:color="auto"/>
          </w:divBdr>
        </w:div>
        <w:div w:id="507401555">
          <w:marLeft w:val="480"/>
          <w:marRight w:val="0"/>
          <w:marTop w:val="0"/>
          <w:marBottom w:val="0"/>
          <w:divBdr>
            <w:top w:val="none" w:sz="0" w:space="0" w:color="auto"/>
            <w:left w:val="none" w:sz="0" w:space="0" w:color="auto"/>
            <w:bottom w:val="none" w:sz="0" w:space="0" w:color="auto"/>
            <w:right w:val="none" w:sz="0" w:space="0" w:color="auto"/>
          </w:divBdr>
        </w:div>
        <w:div w:id="1801728618">
          <w:marLeft w:val="480"/>
          <w:marRight w:val="0"/>
          <w:marTop w:val="0"/>
          <w:marBottom w:val="0"/>
          <w:divBdr>
            <w:top w:val="none" w:sz="0" w:space="0" w:color="auto"/>
            <w:left w:val="none" w:sz="0" w:space="0" w:color="auto"/>
            <w:bottom w:val="none" w:sz="0" w:space="0" w:color="auto"/>
            <w:right w:val="none" w:sz="0" w:space="0" w:color="auto"/>
          </w:divBdr>
        </w:div>
      </w:divsChild>
    </w:div>
    <w:div w:id="389696347">
      <w:bodyDiv w:val="1"/>
      <w:marLeft w:val="0"/>
      <w:marRight w:val="0"/>
      <w:marTop w:val="0"/>
      <w:marBottom w:val="0"/>
      <w:divBdr>
        <w:top w:val="none" w:sz="0" w:space="0" w:color="auto"/>
        <w:left w:val="none" w:sz="0" w:space="0" w:color="auto"/>
        <w:bottom w:val="none" w:sz="0" w:space="0" w:color="auto"/>
        <w:right w:val="none" w:sz="0" w:space="0" w:color="auto"/>
      </w:divBdr>
      <w:divsChild>
        <w:div w:id="517700259">
          <w:marLeft w:val="480"/>
          <w:marRight w:val="0"/>
          <w:marTop w:val="0"/>
          <w:marBottom w:val="0"/>
          <w:divBdr>
            <w:top w:val="none" w:sz="0" w:space="0" w:color="auto"/>
            <w:left w:val="none" w:sz="0" w:space="0" w:color="auto"/>
            <w:bottom w:val="none" w:sz="0" w:space="0" w:color="auto"/>
            <w:right w:val="none" w:sz="0" w:space="0" w:color="auto"/>
          </w:divBdr>
        </w:div>
        <w:div w:id="1662003820">
          <w:marLeft w:val="720"/>
          <w:marRight w:val="0"/>
          <w:marTop w:val="0"/>
          <w:marBottom w:val="0"/>
          <w:divBdr>
            <w:top w:val="none" w:sz="0" w:space="0" w:color="auto"/>
            <w:left w:val="none" w:sz="0" w:space="0" w:color="auto"/>
            <w:bottom w:val="none" w:sz="0" w:space="0" w:color="auto"/>
            <w:right w:val="none" w:sz="0" w:space="0" w:color="auto"/>
          </w:divBdr>
        </w:div>
        <w:div w:id="139882300">
          <w:marLeft w:val="960"/>
          <w:marRight w:val="0"/>
          <w:marTop w:val="0"/>
          <w:marBottom w:val="0"/>
          <w:divBdr>
            <w:top w:val="none" w:sz="0" w:space="0" w:color="auto"/>
            <w:left w:val="none" w:sz="0" w:space="0" w:color="auto"/>
            <w:bottom w:val="none" w:sz="0" w:space="0" w:color="auto"/>
            <w:right w:val="none" w:sz="0" w:space="0" w:color="auto"/>
          </w:divBdr>
        </w:div>
        <w:div w:id="187565188">
          <w:marLeft w:val="960"/>
          <w:marRight w:val="0"/>
          <w:marTop w:val="0"/>
          <w:marBottom w:val="0"/>
          <w:divBdr>
            <w:top w:val="none" w:sz="0" w:space="0" w:color="auto"/>
            <w:left w:val="none" w:sz="0" w:space="0" w:color="auto"/>
            <w:bottom w:val="none" w:sz="0" w:space="0" w:color="auto"/>
            <w:right w:val="none" w:sz="0" w:space="0" w:color="auto"/>
          </w:divBdr>
        </w:div>
        <w:div w:id="1151167270">
          <w:marLeft w:val="720"/>
          <w:marRight w:val="0"/>
          <w:marTop w:val="0"/>
          <w:marBottom w:val="0"/>
          <w:divBdr>
            <w:top w:val="none" w:sz="0" w:space="0" w:color="auto"/>
            <w:left w:val="none" w:sz="0" w:space="0" w:color="auto"/>
            <w:bottom w:val="none" w:sz="0" w:space="0" w:color="auto"/>
            <w:right w:val="none" w:sz="0" w:space="0" w:color="auto"/>
          </w:divBdr>
        </w:div>
        <w:div w:id="1235238624">
          <w:marLeft w:val="720"/>
          <w:marRight w:val="0"/>
          <w:marTop w:val="0"/>
          <w:marBottom w:val="0"/>
          <w:divBdr>
            <w:top w:val="none" w:sz="0" w:space="0" w:color="auto"/>
            <w:left w:val="none" w:sz="0" w:space="0" w:color="auto"/>
            <w:bottom w:val="none" w:sz="0" w:space="0" w:color="auto"/>
            <w:right w:val="none" w:sz="0" w:space="0" w:color="auto"/>
          </w:divBdr>
        </w:div>
        <w:div w:id="862980867">
          <w:marLeft w:val="480"/>
          <w:marRight w:val="0"/>
          <w:marTop w:val="0"/>
          <w:marBottom w:val="0"/>
          <w:divBdr>
            <w:top w:val="none" w:sz="0" w:space="0" w:color="auto"/>
            <w:left w:val="none" w:sz="0" w:space="0" w:color="auto"/>
            <w:bottom w:val="none" w:sz="0" w:space="0" w:color="auto"/>
            <w:right w:val="none" w:sz="0" w:space="0" w:color="auto"/>
          </w:divBdr>
        </w:div>
        <w:div w:id="61565386">
          <w:marLeft w:val="48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3241641">
      <w:bodyDiv w:val="1"/>
      <w:marLeft w:val="0"/>
      <w:marRight w:val="0"/>
      <w:marTop w:val="0"/>
      <w:marBottom w:val="0"/>
      <w:divBdr>
        <w:top w:val="none" w:sz="0" w:space="0" w:color="auto"/>
        <w:left w:val="none" w:sz="0" w:space="0" w:color="auto"/>
        <w:bottom w:val="none" w:sz="0" w:space="0" w:color="auto"/>
        <w:right w:val="none" w:sz="0" w:space="0" w:color="auto"/>
      </w:divBdr>
    </w:div>
    <w:div w:id="1141071849">
      <w:bodyDiv w:val="1"/>
      <w:marLeft w:val="0"/>
      <w:marRight w:val="0"/>
      <w:marTop w:val="0"/>
      <w:marBottom w:val="0"/>
      <w:divBdr>
        <w:top w:val="none" w:sz="0" w:space="0" w:color="auto"/>
        <w:left w:val="none" w:sz="0" w:space="0" w:color="auto"/>
        <w:bottom w:val="none" w:sz="0" w:space="0" w:color="auto"/>
        <w:right w:val="none" w:sz="0" w:space="0" w:color="auto"/>
      </w:divBdr>
      <w:divsChild>
        <w:div w:id="210043845">
          <w:marLeft w:val="480"/>
          <w:marRight w:val="0"/>
          <w:marTop w:val="0"/>
          <w:marBottom w:val="0"/>
          <w:divBdr>
            <w:top w:val="none" w:sz="0" w:space="0" w:color="auto"/>
            <w:left w:val="none" w:sz="0" w:space="0" w:color="auto"/>
            <w:bottom w:val="none" w:sz="0" w:space="0" w:color="auto"/>
            <w:right w:val="none" w:sz="0" w:space="0" w:color="auto"/>
          </w:divBdr>
        </w:div>
        <w:div w:id="760369703">
          <w:marLeft w:val="480"/>
          <w:marRight w:val="0"/>
          <w:marTop w:val="0"/>
          <w:marBottom w:val="0"/>
          <w:divBdr>
            <w:top w:val="none" w:sz="0" w:space="0" w:color="auto"/>
            <w:left w:val="none" w:sz="0" w:space="0" w:color="auto"/>
            <w:bottom w:val="none" w:sz="0" w:space="0" w:color="auto"/>
            <w:right w:val="none" w:sz="0" w:space="0" w:color="auto"/>
          </w:divBdr>
        </w:div>
        <w:div w:id="1298996424">
          <w:marLeft w:val="480"/>
          <w:marRight w:val="0"/>
          <w:marTop w:val="0"/>
          <w:marBottom w:val="0"/>
          <w:divBdr>
            <w:top w:val="none" w:sz="0" w:space="0" w:color="auto"/>
            <w:left w:val="none" w:sz="0" w:space="0" w:color="auto"/>
            <w:bottom w:val="none" w:sz="0" w:space="0" w:color="auto"/>
            <w:right w:val="none" w:sz="0" w:space="0" w:color="auto"/>
          </w:divBdr>
        </w:div>
        <w:div w:id="1009482235">
          <w:marLeft w:val="480"/>
          <w:marRight w:val="0"/>
          <w:marTop w:val="0"/>
          <w:marBottom w:val="0"/>
          <w:divBdr>
            <w:top w:val="none" w:sz="0" w:space="0" w:color="auto"/>
            <w:left w:val="none" w:sz="0" w:space="0" w:color="auto"/>
            <w:bottom w:val="none" w:sz="0" w:space="0" w:color="auto"/>
            <w:right w:val="none" w:sz="0" w:space="0" w:color="auto"/>
          </w:divBdr>
        </w:div>
        <w:div w:id="994450523">
          <w:marLeft w:val="480"/>
          <w:marRight w:val="0"/>
          <w:marTop w:val="0"/>
          <w:marBottom w:val="0"/>
          <w:divBdr>
            <w:top w:val="none" w:sz="0" w:space="0" w:color="auto"/>
            <w:left w:val="none" w:sz="0" w:space="0" w:color="auto"/>
            <w:bottom w:val="none" w:sz="0" w:space="0" w:color="auto"/>
            <w:right w:val="none" w:sz="0" w:space="0" w:color="auto"/>
          </w:divBdr>
        </w:div>
        <w:div w:id="1585067557">
          <w:marLeft w:val="480"/>
          <w:marRight w:val="0"/>
          <w:marTop w:val="0"/>
          <w:marBottom w:val="0"/>
          <w:divBdr>
            <w:top w:val="none" w:sz="0" w:space="0" w:color="auto"/>
            <w:left w:val="none" w:sz="0" w:space="0" w:color="auto"/>
            <w:bottom w:val="none" w:sz="0" w:space="0" w:color="auto"/>
            <w:right w:val="none" w:sz="0" w:space="0" w:color="auto"/>
          </w:divBdr>
        </w:div>
      </w:divsChild>
    </w:div>
    <w:div w:id="1678652166">
      <w:bodyDiv w:val="1"/>
      <w:marLeft w:val="0"/>
      <w:marRight w:val="0"/>
      <w:marTop w:val="0"/>
      <w:marBottom w:val="0"/>
      <w:divBdr>
        <w:top w:val="none" w:sz="0" w:space="0" w:color="auto"/>
        <w:left w:val="none" w:sz="0" w:space="0" w:color="auto"/>
        <w:bottom w:val="none" w:sz="0" w:space="0" w:color="auto"/>
        <w:right w:val="none" w:sz="0" w:space="0" w:color="auto"/>
      </w:divBdr>
    </w:div>
    <w:div w:id="1731801108">
      <w:bodyDiv w:val="1"/>
      <w:marLeft w:val="0"/>
      <w:marRight w:val="0"/>
      <w:marTop w:val="0"/>
      <w:marBottom w:val="0"/>
      <w:divBdr>
        <w:top w:val="none" w:sz="0" w:space="0" w:color="auto"/>
        <w:left w:val="none" w:sz="0" w:space="0" w:color="auto"/>
        <w:bottom w:val="none" w:sz="0" w:space="0" w:color="auto"/>
        <w:right w:val="none" w:sz="0" w:space="0" w:color="auto"/>
      </w:divBdr>
      <w:divsChild>
        <w:div w:id="830490925">
          <w:marLeft w:val="480"/>
          <w:marRight w:val="0"/>
          <w:marTop w:val="0"/>
          <w:marBottom w:val="48"/>
          <w:divBdr>
            <w:top w:val="none" w:sz="0" w:space="0" w:color="auto"/>
            <w:left w:val="none" w:sz="0" w:space="0" w:color="auto"/>
            <w:bottom w:val="none" w:sz="0" w:space="0" w:color="auto"/>
            <w:right w:val="none" w:sz="0" w:space="0" w:color="auto"/>
          </w:divBdr>
        </w:div>
        <w:div w:id="1176069917">
          <w:marLeft w:val="480"/>
          <w:marRight w:val="0"/>
          <w:marTop w:val="0"/>
          <w:marBottom w:val="48"/>
          <w:divBdr>
            <w:top w:val="none" w:sz="0" w:space="0" w:color="auto"/>
            <w:left w:val="none" w:sz="0" w:space="0" w:color="auto"/>
            <w:bottom w:val="none" w:sz="0" w:space="0" w:color="auto"/>
            <w:right w:val="none" w:sz="0" w:space="0" w:color="auto"/>
          </w:divBdr>
        </w:div>
        <w:div w:id="1602109736">
          <w:marLeft w:val="480"/>
          <w:marRight w:val="0"/>
          <w:marTop w:val="0"/>
          <w:marBottom w:val="48"/>
          <w:divBdr>
            <w:top w:val="none" w:sz="0" w:space="0" w:color="auto"/>
            <w:left w:val="none" w:sz="0" w:space="0" w:color="auto"/>
            <w:bottom w:val="none" w:sz="0" w:space="0" w:color="auto"/>
            <w:right w:val="none" w:sz="0" w:space="0" w:color="auto"/>
          </w:divBdr>
        </w:div>
      </w:divsChild>
    </w:div>
    <w:div w:id="192934105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2AF8-96FA-4733-A4EC-59CC5EDA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2026-05-27T00:43:00Z</dcterms:created>
  <dcterms:modified xsi:type="dcterms:W3CDTF">2026-06-04T02:10:00Z</dcterms:modified>
  <cp:contentStatus/>
</cp:coreProperties>
</file>