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245" w:rsidRPr="00AC60BF" w:rsidRDefault="003C721C" w:rsidP="0017541C">
      <w:pPr>
        <w:pStyle w:val="a5"/>
        <w:kinsoku w:val="0"/>
        <w:spacing w:before="0"/>
        <w:ind w:left="0" w:firstLine="0"/>
        <w:jc w:val="center"/>
        <w:rPr>
          <w:bCs/>
          <w:snapToGrid/>
          <w:kern w:val="0"/>
          <w:sz w:val="40"/>
        </w:rPr>
      </w:pPr>
      <w:r w:rsidRPr="00AC60BF">
        <w:rPr>
          <w:rFonts w:hint="eastAsia"/>
          <w:bCs/>
          <w:snapToGrid/>
          <w:spacing w:val="200"/>
          <w:kern w:val="0"/>
          <w:sz w:val="40"/>
        </w:rPr>
        <w:t>糾正案文</w:t>
      </w:r>
    </w:p>
    <w:p w:rsidR="005B5245" w:rsidRPr="00AC60BF" w:rsidRDefault="003C721C">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AC60BF">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5A0A23" w:rsidRPr="00AC60BF">
        <w:rPr>
          <w:rFonts w:hint="eastAsia"/>
        </w:rPr>
        <w:t>臺</w:t>
      </w:r>
      <w:r w:rsidR="001A3433" w:rsidRPr="00AC60BF">
        <w:rPr>
          <w:rFonts w:hint="eastAsia"/>
        </w:rPr>
        <w:t>灣高等法院檢察署、</w:t>
      </w:r>
      <w:r w:rsidR="005A0A23" w:rsidRPr="00AC60BF">
        <w:rPr>
          <w:rFonts w:hint="eastAsia"/>
        </w:rPr>
        <w:t>臺</w:t>
      </w:r>
      <w:r w:rsidR="001A3433" w:rsidRPr="00AC60BF">
        <w:rPr>
          <w:rFonts w:hint="eastAsia"/>
        </w:rPr>
        <w:t>灣新北地方法院檢察署</w:t>
      </w:r>
      <w:r w:rsidRPr="00AC60BF">
        <w:rPr>
          <w:rFonts w:hint="eastAsia"/>
        </w:rPr>
        <w:t>。</w:t>
      </w:r>
    </w:p>
    <w:p w:rsidR="005B5245" w:rsidRPr="00AC60BF" w:rsidRDefault="003C721C" w:rsidP="00257A93">
      <w:pPr>
        <w:pStyle w:val="1"/>
        <w:ind w:left="2721" w:hanging="2721"/>
      </w:pPr>
      <w:bookmarkStart w:id="14" w:name="_Toc529218255"/>
      <w:bookmarkStart w:id="15" w:name="_Toc529222678"/>
      <w:bookmarkStart w:id="16" w:name="_Toc529223100"/>
      <w:bookmarkStart w:id="17" w:name="_Toc529223851"/>
      <w:bookmarkStart w:id="18" w:name="_Toc529228247"/>
      <w:r w:rsidRPr="00AC60BF">
        <w:rPr>
          <w:rFonts w:hint="eastAsia"/>
        </w:rPr>
        <w:t>案　　　由：</w:t>
      </w:r>
      <w:r w:rsidR="005A0A23" w:rsidRPr="00AC60BF">
        <w:rPr>
          <w:rFonts w:hAnsi="標楷體" w:cs="細明體" w:hint="eastAsia"/>
          <w:szCs w:val="32"/>
        </w:rPr>
        <w:t>臺灣新北地方法院檢察署（前臺灣板橋地方法院檢察署）</w:t>
      </w:r>
      <w:r w:rsidR="00630BF9" w:rsidRPr="00AC60BF">
        <w:rPr>
          <w:rFonts w:hAnsi="標楷體" w:cs="細明體" w:hint="eastAsia"/>
          <w:szCs w:val="32"/>
        </w:rPr>
        <w:t>對陳玉珍偵辦簡易案件逾期未結，未詳實督考，致陳玉珍得利用後案</w:t>
      </w:r>
      <w:proofErr w:type="gramStart"/>
      <w:r w:rsidR="00630BF9" w:rsidRPr="00AC60BF">
        <w:rPr>
          <w:rFonts w:hAnsi="標楷體" w:cs="細明體" w:hint="eastAsia"/>
          <w:szCs w:val="32"/>
        </w:rPr>
        <w:t>併</w:t>
      </w:r>
      <w:proofErr w:type="gramEnd"/>
      <w:r w:rsidR="00630BF9" w:rsidRPr="00AC60BF">
        <w:rPr>
          <w:rFonts w:hAnsi="標楷體" w:cs="細明體" w:hint="eastAsia"/>
          <w:szCs w:val="32"/>
        </w:rPr>
        <w:t>前案規定遂行貪瀆情事；</w:t>
      </w:r>
      <w:r w:rsidR="00100EDE" w:rsidRPr="00AC60BF">
        <w:rPr>
          <w:rFonts w:hAnsi="標楷體" w:cs="細明體" w:hint="eastAsia"/>
          <w:szCs w:val="32"/>
        </w:rPr>
        <w:t>臺灣新北地方法院檢察署</w:t>
      </w:r>
      <w:r w:rsidR="00630BF9" w:rsidRPr="00AC60BF">
        <w:rPr>
          <w:rFonts w:hAnsi="標楷體" w:cs="細明體" w:hint="eastAsia"/>
          <w:szCs w:val="32"/>
        </w:rPr>
        <w:t>及</w:t>
      </w:r>
      <w:r w:rsidR="00100EDE" w:rsidRPr="00AC60BF">
        <w:rPr>
          <w:rFonts w:hAnsi="標楷體" w:cs="細明體" w:hint="eastAsia"/>
          <w:szCs w:val="32"/>
        </w:rPr>
        <w:t>臺灣高等法院檢察署</w:t>
      </w:r>
      <w:r w:rsidR="00630BF9" w:rsidRPr="00AC60BF">
        <w:rPr>
          <w:rFonts w:hAnsi="標楷體" w:cs="細明體" w:hint="eastAsia"/>
          <w:szCs w:val="32"/>
        </w:rPr>
        <w:t>對於陳玉珍長期與電玩業者密切往來、收受賄款、關說等事實均渾然不覺，在陳玉珍收賄</w:t>
      </w:r>
      <w:proofErr w:type="gramStart"/>
      <w:r w:rsidR="00630BF9" w:rsidRPr="00AC60BF">
        <w:rPr>
          <w:rFonts w:hAnsi="標楷體" w:cs="細明體" w:hint="eastAsia"/>
          <w:szCs w:val="32"/>
        </w:rPr>
        <w:t>期間，</w:t>
      </w:r>
      <w:proofErr w:type="gramEnd"/>
      <w:r w:rsidR="00630BF9" w:rsidRPr="00AC60BF">
        <w:rPr>
          <w:rFonts w:hAnsi="標楷體" w:cs="細明體" w:hint="eastAsia"/>
          <w:szCs w:val="32"/>
        </w:rPr>
        <w:t>歷任首長竟給予陳玉珍考績甲等，</w:t>
      </w:r>
      <w:r w:rsidR="00630BF9" w:rsidRPr="00AC60BF">
        <w:rPr>
          <w:rFonts w:hint="eastAsia"/>
        </w:rPr>
        <w:t>及「認真負責」、「腳踏實地」、「學養俱豐」、「明察秋毫」、「處事明快」、</w:t>
      </w:r>
      <w:r w:rsidR="00630BF9" w:rsidRPr="00AC60BF">
        <w:rPr>
          <w:rFonts w:ascii="新細明體" w:eastAsia="新細明體" w:hAnsi="新細明體" w:hint="eastAsia"/>
        </w:rPr>
        <w:t>「</w:t>
      </w:r>
      <w:r w:rsidR="00630BF9" w:rsidRPr="00AC60BF">
        <w:rPr>
          <w:rFonts w:ascii="新細明體" w:hAnsi="新細明體" w:hint="eastAsia"/>
        </w:rPr>
        <w:t>視野宏觀」、</w:t>
      </w:r>
      <w:r w:rsidR="00630BF9" w:rsidRPr="00AC60BF">
        <w:rPr>
          <w:rFonts w:ascii="新細明體" w:eastAsia="新細明體" w:hAnsi="新細明體" w:hint="eastAsia"/>
        </w:rPr>
        <w:t>「</w:t>
      </w:r>
      <w:r w:rsidR="00630BF9" w:rsidRPr="00AC60BF">
        <w:rPr>
          <w:rFonts w:ascii="新細明體" w:hAnsi="新細明體" w:hint="eastAsia"/>
        </w:rPr>
        <w:t>辦案迅速」及就品德操守項目等級為</w:t>
      </w:r>
      <w:r w:rsidR="00630BF9" w:rsidRPr="00AC60BF">
        <w:rPr>
          <w:rFonts w:hAnsi="標楷體" w:hint="eastAsia"/>
        </w:rPr>
        <w:t>A</w:t>
      </w:r>
      <w:r w:rsidR="00630BF9" w:rsidRPr="00AC60BF">
        <w:rPr>
          <w:rFonts w:ascii="新細明體" w:eastAsia="新細明體" w:hAnsi="新細明體" w:hint="eastAsia"/>
        </w:rPr>
        <w:t>（</w:t>
      </w:r>
      <w:r w:rsidR="00630BF9" w:rsidRPr="00AC60BF">
        <w:rPr>
          <w:rFonts w:ascii="新細明體" w:hAnsi="新細明體" w:hint="eastAsia"/>
        </w:rPr>
        <w:t>足為楷模</w:t>
      </w:r>
      <w:r w:rsidR="00630BF9" w:rsidRPr="00AC60BF">
        <w:rPr>
          <w:rFonts w:ascii="新細明體" w:eastAsia="新細明體" w:hAnsi="新細明體" w:hint="eastAsia"/>
        </w:rPr>
        <w:t>）</w:t>
      </w:r>
      <w:r w:rsidR="00630BF9" w:rsidRPr="00AC60BF">
        <w:rPr>
          <w:rFonts w:hAnsi="標楷體" w:cs="細明體" w:hint="eastAsia"/>
          <w:szCs w:val="32"/>
        </w:rPr>
        <w:t>等考評，核有違失</w:t>
      </w:r>
      <w:r w:rsidRPr="00AC60BF">
        <w:rPr>
          <w:rFonts w:hint="eastAsia"/>
        </w:rPr>
        <w:t>。</w:t>
      </w:r>
      <w:bookmarkEnd w:id="14"/>
      <w:bookmarkEnd w:id="15"/>
      <w:bookmarkEnd w:id="16"/>
      <w:bookmarkEnd w:id="17"/>
      <w:bookmarkEnd w:id="18"/>
    </w:p>
    <w:p w:rsidR="005B5245" w:rsidRPr="00AC60BF" w:rsidRDefault="003C721C">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AC60BF">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B5245" w:rsidRPr="00AC60BF" w:rsidRDefault="009D6EE8" w:rsidP="008B1CC0">
      <w:pPr>
        <w:pStyle w:val="11"/>
        <w:ind w:left="680" w:firstLine="680"/>
        <w:rPr>
          <w:bCs/>
        </w:rPr>
      </w:pPr>
      <w:r w:rsidRPr="00AC60BF">
        <w:rPr>
          <w:rFonts w:hint="eastAsia"/>
          <w:szCs w:val="32"/>
        </w:rPr>
        <w:t>本案經函法務部、臺灣臺北地方法院（下稱臺北地院）、臺灣新北地方法院檢察署（下稱新北地檢署）、臺灣高等法院檢察署（下稱</w:t>
      </w:r>
      <w:r w:rsidR="00556E5C" w:rsidRPr="00AC60BF">
        <w:rPr>
          <w:rFonts w:hint="eastAsia"/>
        </w:rPr>
        <w:t>臺灣</w:t>
      </w:r>
      <w:r w:rsidRPr="00AC60BF">
        <w:rPr>
          <w:rFonts w:hint="eastAsia"/>
          <w:szCs w:val="32"/>
        </w:rPr>
        <w:t>高檢署）政風室、新北地檢署政風室、新北市政府警察局等機關調閱本案偵查卷及相關資料，並於102年6月4日、7月18日約詢</w:t>
      </w:r>
      <w:r w:rsidR="00556E5C" w:rsidRPr="00AC60BF">
        <w:rPr>
          <w:rFonts w:hint="eastAsia"/>
        </w:rPr>
        <w:t>臺灣</w:t>
      </w:r>
      <w:r w:rsidRPr="00AC60BF">
        <w:rPr>
          <w:rFonts w:hint="eastAsia"/>
          <w:szCs w:val="32"/>
        </w:rPr>
        <w:t>高檢署檢察官陳玉珍（現停職中）、6月18日詢問被調查人前臺灣板橋地方法院檢察署（於102年1月1日更名為新北地檢署，下稱板橋地檢署）檢察長楊森土、前主任檢察官郭學廉；另於6月20日詢問前板橋地檢署檢察官及前</w:t>
      </w:r>
      <w:r w:rsidR="00AE69CD" w:rsidRPr="00AC60BF">
        <w:rPr>
          <w:rFonts w:hint="eastAsia"/>
        </w:rPr>
        <w:t>臺灣</w:t>
      </w:r>
      <w:r w:rsidRPr="00AC60BF">
        <w:rPr>
          <w:rFonts w:hint="eastAsia"/>
          <w:szCs w:val="32"/>
        </w:rPr>
        <w:t>高檢署調辦事檢察官</w:t>
      </w:r>
      <w:r w:rsidR="005F5774">
        <w:rPr>
          <w:rFonts w:hint="eastAsia"/>
          <w:szCs w:val="32"/>
        </w:rPr>
        <w:t>吳○蘭</w:t>
      </w:r>
      <w:r w:rsidRPr="00AC60BF">
        <w:rPr>
          <w:rFonts w:hint="eastAsia"/>
          <w:szCs w:val="32"/>
        </w:rPr>
        <w:t>（現為臺灣臺北地方法院檢察署(下稱臺北地檢署）主任檢察官）、前板橋地檢署檢察官簡</w:t>
      </w:r>
      <w:r w:rsidR="005F5774">
        <w:rPr>
          <w:rFonts w:hint="eastAsia"/>
          <w:szCs w:val="32"/>
        </w:rPr>
        <w:t>○</w:t>
      </w:r>
      <w:r w:rsidRPr="00AC60BF">
        <w:rPr>
          <w:rFonts w:hint="eastAsia"/>
          <w:szCs w:val="32"/>
        </w:rPr>
        <w:t>慧（現為法務部調部辦事主任</w:t>
      </w:r>
      <w:r w:rsidRPr="00AC60BF">
        <w:rPr>
          <w:rFonts w:hint="eastAsia"/>
          <w:szCs w:val="32"/>
        </w:rPr>
        <w:lastRenderedPageBreak/>
        <w:t>檢察官）；6月26日詢問前板橋地檢署檢察長凌</w:t>
      </w:r>
      <w:r w:rsidR="00D16FF6">
        <w:rPr>
          <w:rFonts w:hint="eastAsia"/>
          <w:szCs w:val="32"/>
        </w:rPr>
        <w:t>○</w:t>
      </w:r>
      <w:r w:rsidRPr="00AC60BF">
        <w:rPr>
          <w:rFonts w:hint="eastAsia"/>
          <w:szCs w:val="32"/>
        </w:rPr>
        <w:t>志、前襄閱主任檢察官曾</w:t>
      </w:r>
      <w:r w:rsidR="00D16FF6">
        <w:rPr>
          <w:rFonts w:hint="eastAsia"/>
          <w:szCs w:val="32"/>
        </w:rPr>
        <w:t>○</w:t>
      </w:r>
      <w:r w:rsidRPr="00AC60BF">
        <w:rPr>
          <w:rFonts w:hint="eastAsia"/>
          <w:szCs w:val="32"/>
        </w:rPr>
        <w:t>哲（現為</w:t>
      </w:r>
      <w:r w:rsidR="00AE69CD" w:rsidRPr="00AC60BF">
        <w:rPr>
          <w:rFonts w:hint="eastAsia"/>
          <w:szCs w:val="32"/>
        </w:rPr>
        <w:t>臺灣高檢署</w:t>
      </w:r>
      <w:r w:rsidRPr="00AC60BF">
        <w:rPr>
          <w:rFonts w:hint="eastAsia"/>
          <w:szCs w:val="32"/>
        </w:rPr>
        <w:t>檢察官）及黃</w:t>
      </w:r>
      <w:r w:rsidR="00382CD0">
        <w:rPr>
          <w:rFonts w:hint="eastAsia"/>
          <w:szCs w:val="32"/>
        </w:rPr>
        <w:t>○</w:t>
      </w:r>
      <w:r w:rsidRPr="00AC60BF">
        <w:rPr>
          <w:rFonts w:hint="eastAsia"/>
          <w:szCs w:val="32"/>
        </w:rPr>
        <w:t>齡（現為</w:t>
      </w:r>
      <w:r w:rsidR="00AE69CD" w:rsidRPr="00AC60BF">
        <w:rPr>
          <w:rFonts w:hint="eastAsia"/>
          <w:szCs w:val="32"/>
        </w:rPr>
        <w:t>臺灣高檢署</w:t>
      </w:r>
      <w:r w:rsidRPr="00AC60BF">
        <w:rPr>
          <w:rFonts w:hint="eastAsia"/>
          <w:szCs w:val="32"/>
        </w:rPr>
        <w:t>檢察官）、前政風室科員林</w:t>
      </w:r>
      <w:r w:rsidR="00D16FF6">
        <w:rPr>
          <w:rFonts w:hint="eastAsia"/>
          <w:szCs w:val="32"/>
        </w:rPr>
        <w:t>○</w:t>
      </w:r>
      <w:r w:rsidRPr="00AC60BF">
        <w:rPr>
          <w:rFonts w:hint="eastAsia"/>
          <w:szCs w:val="32"/>
        </w:rPr>
        <w:t>賢（現為新北市政府工務局政風室主任）等相關人員業經調查竣事</w:t>
      </w:r>
      <w:r w:rsidR="008B1CC0" w:rsidRPr="00AC60BF">
        <w:rPr>
          <w:rFonts w:hint="eastAsia"/>
        </w:rPr>
        <w:t>。</w:t>
      </w:r>
      <w:proofErr w:type="gramStart"/>
      <w:r w:rsidR="00396B23" w:rsidRPr="00AC60BF">
        <w:rPr>
          <w:rFonts w:ascii="Times New Roman"/>
          <w:bCs/>
        </w:rPr>
        <w:t>茲</w:t>
      </w:r>
      <w:r w:rsidR="00396B23" w:rsidRPr="00AC60BF">
        <w:rPr>
          <w:rFonts w:hint="eastAsia"/>
        </w:rPr>
        <w:t>謹</w:t>
      </w:r>
      <w:r w:rsidR="00396B23" w:rsidRPr="00AC60BF">
        <w:rPr>
          <w:rFonts w:ascii="Times New Roman" w:hint="eastAsia"/>
        </w:rPr>
        <w:t>就</w:t>
      </w:r>
      <w:proofErr w:type="gramEnd"/>
      <w:r w:rsidR="00396B23" w:rsidRPr="00AC60BF">
        <w:rPr>
          <w:rFonts w:ascii="Times New Roman" w:hint="eastAsia"/>
        </w:rPr>
        <w:t>提案缺失說明事實與理由如下</w:t>
      </w:r>
      <w:r w:rsidR="00F433ED" w:rsidRPr="00AC60BF">
        <w:rPr>
          <w:rFonts w:ascii="Times New Roman" w:hint="eastAsia"/>
          <w:bCs/>
        </w:rPr>
        <w:t>：</w:t>
      </w:r>
      <w:bookmarkStart w:id="33" w:name="_Toc525070834"/>
      <w:bookmarkStart w:id="34" w:name="_Toc525938374"/>
      <w:bookmarkStart w:id="35" w:name="_Toc525939222"/>
      <w:bookmarkStart w:id="36" w:name="_Toc525939727"/>
      <w:bookmarkStart w:id="37" w:name="_Toc524892372"/>
      <w:bookmarkStart w:id="38" w:name="_Toc525066144"/>
    </w:p>
    <w:p w:rsidR="008B1CC0" w:rsidRPr="00AC60BF" w:rsidRDefault="00D62051" w:rsidP="00AF4B3A">
      <w:pPr>
        <w:pStyle w:val="2"/>
        <w:rPr>
          <w:rFonts w:cs="細明體"/>
          <w:lang w:val="zh-TW"/>
        </w:r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End w:id="33"/>
      <w:bookmarkEnd w:id="34"/>
      <w:bookmarkEnd w:id="35"/>
      <w:bookmarkEnd w:id="36"/>
      <w:bookmarkEnd w:id="37"/>
      <w:bookmarkEnd w:id="38"/>
      <w:r w:rsidRPr="00AC60BF">
        <w:rPr>
          <w:rFonts w:hint="eastAsia"/>
        </w:rPr>
        <w:t>按「檢察機關辦案期限及防止</w:t>
      </w:r>
      <w:proofErr w:type="gramStart"/>
      <w:r w:rsidRPr="00AC60BF">
        <w:rPr>
          <w:rFonts w:hint="eastAsia"/>
        </w:rPr>
        <w:t>稽</w:t>
      </w:r>
      <w:proofErr w:type="gramEnd"/>
      <w:r w:rsidRPr="00AC60BF">
        <w:rPr>
          <w:rFonts w:hint="eastAsia"/>
        </w:rPr>
        <w:t>延實施要點」(下稱辦案期限要點)第2點規定：「檢察機關首長對於本機關主任檢察官、檢察官，主任檢察官</w:t>
      </w:r>
      <w:proofErr w:type="gramStart"/>
      <w:r w:rsidRPr="00AC60BF">
        <w:rPr>
          <w:rFonts w:hint="eastAsia"/>
        </w:rPr>
        <w:t>對於本組檢察官</w:t>
      </w:r>
      <w:proofErr w:type="gramEnd"/>
      <w:r w:rsidRPr="00AC60BF">
        <w:rPr>
          <w:rFonts w:hint="eastAsia"/>
        </w:rPr>
        <w:t>辦理案件，</w:t>
      </w:r>
      <w:proofErr w:type="gramStart"/>
      <w:r w:rsidRPr="00AC60BF">
        <w:rPr>
          <w:rFonts w:hint="eastAsia"/>
        </w:rPr>
        <w:t>均應加強</w:t>
      </w:r>
      <w:proofErr w:type="gramEnd"/>
      <w:r w:rsidRPr="00AC60BF">
        <w:rPr>
          <w:rFonts w:hint="eastAsia"/>
        </w:rPr>
        <w:t>監督。」第33點規定第1項規定：「案件之進行，應接續為之。各法院檢察署如發現有逾三月未進行者，應即自行查明原因，設法改進。」第34點第1項規定：「檢察機關應依第33點規定，指定研考科按月檢查案件進行紀錄，如有逾三月未進行者，應填具檢查通知單通知檢察官，檢察官對於未進行案件如有正當事由，應於收受通知後七日內敘明未進行原因，層報首長核定後送研考科及統計室備查。」第35點第1項第1款規定：「案件自收案之日起，逾下列期限尚未終結者，由研考科會同統計室，按月填具逾期未結案件催辦通知單（格式如附件二），層報檢察長核閱後，通知檢察官，促其注意迅速進行結案：（一）一般偵查案件逾八個月…」。</w:t>
      </w:r>
    </w:p>
    <w:p w:rsidR="008B1CC0" w:rsidRPr="00AC60BF" w:rsidRDefault="00D62051" w:rsidP="003E372F">
      <w:pPr>
        <w:pStyle w:val="2"/>
        <w:rPr>
          <w:rFonts w:hAnsi="標楷體" w:cs="新細明體"/>
          <w:szCs w:val="32"/>
        </w:rPr>
      </w:pPr>
      <w:r w:rsidRPr="00AC60BF">
        <w:rPr>
          <w:rFonts w:hAnsi="標楷體" w:cs="新細明體" w:hint="eastAsia"/>
          <w:szCs w:val="32"/>
        </w:rPr>
        <w:t>陳玉珍於89年3月21日調任板橋地檢署主任檢察官後，藉由87年12月14日法務部所訂頒之檢察案件編號計數分</w:t>
      </w:r>
      <w:proofErr w:type="gramStart"/>
      <w:r w:rsidRPr="00AC60BF">
        <w:rPr>
          <w:rFonts w:hAnsi="標楷體" w:cs="新細明體" w:hint="eastAsia"/>
          <w:szCs w:val="32"/>
        </w:rPr>
        <w:t>案報結實施</w:t>
      </w:r>
      <w:proofErr w:type="gramEnd"/>
      <w:r w:rsidRPr="00AC60BF">
        <w:rPr>
          <w:rFonts w:hAnsi="標楷體" w:cs="新細明體" w:hint="eastAsia"/>
          <w:szCs w:val="32"/>
        </w:rPr>
        <w:t>要點第7點（已於100年8月1日改列第20點）之「後案</w:t>
      </w:r>
      <w:proofErr w:type="gramStart"/>
      <w:r w:rsidRPr="00AC60BF">
        <w:rPr>
          <w:rFonts w:hAnsi="標楷體" w:cs="新細明體" w:hint="eastAsia"/>
          <w:szCs w:val="32"/>
        </w:rPr>
        <w:t>併</w:t>
      </w:r>
      <w:proofErr w:type="gramEnd"/>
      <w:r w:rsidRPr="00AC60BF">
        <w:rPr>
          <w:rFonts w:hAnsi="標楷體" w:cs="新細明體" w:hint="eastAsia"/>
          <w:szCs w:val="32"/>
        </w:rPr>
        <w:t>前案」分案規定，自89年8月14日就華加電玩店部分累計獨攬19件，又就永佳電玩店部分累計獨攬12件（其中92年度</w:t>
      </w:r>
      <w:proofErr w:type="gramStart"/>
      <w:r w:rsidRPr="00AC60BF">
        <w:rPr>
          <w:rFonts w:hAnsi="標楷體" w:cs="新細明體" w:hint="eastAsia"/>
          <w:szCs w:val="32"/>
        </w:rPr>
        <w:t>偵</w:t>
      </w:r>
      <w:proofErr w:type="gramEnd"/>
      <w:r w:rsidRPr="00AC60BF">
        <w:rPr>
          <w:rFonts w:hAnsi="標楷體" w:cs="新細明體" w:hint="eastAsia"/>
          <w:szCs w:val="32"/>
        </w:rPr>
        <w:t>字第15170號永佳電玩店部分係92年8月13日分案），總計獨攬31件</w:t>
      </w:r>
      <w:r w:rsidR="00D16FF6">
        <w:rPr>
          <w:rFonts w:hAnsi="標楷體" w:cs="新細明體" w:hint="eastAsia"/>
          <w:szCs w:val="32"/>
        </w:rPr>
        <w:t>陳○雄</w:t>
      </w:r>
      <w:r w:rsidRPr="00AC60BF">
        <w:rPr>
          <w:rFonts w:hAnsi="標楷體" w:cs="新細明體" w:hint="eastAsia"/>
          <w:szCs w:val="32"/>
        </w:rPr>
        <w:t>違反電子遊戲場業管理條例案件，且為操控案件留存於該股，導致有8件逾期未結</w:t>
      </w:r>
      <w:r w:rsidRPr="00AC60BF">
        <w:rPr>
          <w:rFonts w:hAnsi="標楷體" w:cs="新細明體" w:hint="eastAsia"/>
          <w:szCs w:val="32"/>
        </w:rPr>
        <w:lastRenderedPageBreak/>
        <w:t>(89年8月14收案1件，9月18日收案3件，89年10月6日、11月7日及90年1月4日各收案1件，</w:t>
      </w:r>
      <w:proofErr w:type="gramStart"/>
      <w:r w:rsidRPr="00AC60BF">
        <w:rPr>
          <w:rFonts w:hAnsi="標楷體" w:cs="新細明體" w:hint="eastAsia"/>
          <w:szCs w:val="32"/>
        </w:rPr>
        <w:t>均遲至</w:t>
      </w:r>
      <w:proofErr w:type="gramEnd"/>
      <w:r w:rsidRPr="00AC60BF">
        <w:rPr>
          <w:rFonts w:hAnsi="標楷體" w:cs="新細明體" w:hint="eastAsia"/>
          <w:szCs w:val="32"/>
        </w:rPr>
        <w:t>90年9月11日始為不起訴處分結案；91年6月21日收案遲至92年2月25日始</w:t>
      </w:r>
      <w:proofErr w:type="gramStart"/>
      <w:r w:rsidRPr="00AC60BF">
        <w:rPr>
          <w:rFonts w:hAnsi="標楷體" w:cs="新細明體" w:hint="eastAsia"/>
          <w:szCs w:val="32"/>
        </w:rPr>
        <w:t>併</w:t>
      </w:r>
      <w:proofErr w:type="gramEnd"/>
      <w:r w:rsidRPr="00AC60BF">
        <w:rPr>
          <w:rFonts w:hAnsi="標楷體" w:cs="新細明體" w:hint="eastAsia"/>
          <w:szCs w:val="32"/>
        </w:rPr>
        <w:t>案結案)，有新北地檢署</w:t>
      </w:r>
      <w:proofErr w:type="gramStart"/>
      <w:r w:rsidRPr="00AC60BF">
        <w:rPr>
          <w:rFonts w:hAnsi="標楷體" w:cs="新細明體" w:hint="eastAsia"/>
          <w:szCs w:val="32"/>
        </w:rPr>
        <w:t>函復本院</w:t>
      </w:r>
      <w:proofErr w:type="gramEnd"/>
      <w:r w:rsidRPr="00AC60BF">
        <w:rPr>
          <w:rFonts w:hAnsi="標楷體" w:cs="新細明體" w:hint="eastAsia"/>
          <w:szCs w:val="32"/>
        </w:rPr>
        <w:t>陳玉珍檢察官偵辦</w:t>
      </w:r>
      <w:r w:rsidR="00D16FF6">
        <w:rPr>
          <w:rFonts w:hAnsi="標楷體" w:cs="新細明體" w:hint="eastAsia"/>
          <w:szCs w:val="32"/>
        </w:rPr>
        <w:t>陳○雄</w:t>
      </w:r>
      <w:r w:rsidRPr="00AC60BF">
        <w:rPr>
          <w:rFonts w:hAnsi="標楷體" w:cs="新細明體" w:hint="eastAsia"/>
          <w:szCs w:val="32"/>
        </w:rPr>
        <w:t>電玩案件表可</w:t>
      </w:r>
      <w:proofErr w:type="gramStart"/>
      <w:r w:rsidRPr="00AC60BF">
        <w:rPr>
          <w:rFonts w:hAnsi="標楷體" w:cs="新細明體" w:hint="eastAsia"/>
          <w:szCs w:val="32"/>
        </w:rPr>
        <w:t>稽</w:t>
      </w:r>
      <w:proofErr w:type="gramEnd"/>
      <w:r w:rsidRPr="00AC60BF">
        <w:rPr>
          <w:rFonts w:hAnsi="標楷體" w:cs="新細明體" w:hint="eastAsia"/>
          <w:szCs w:val="32"/>
        </w:rPr>
        <w:t>。</w:t>
      </w:r>
    </w:p>
    <w:p w:rsidR="003E372F" w:rsidRPr="00AC60BF" w:rsidRDefault="003E372F" w:rsidP="00AF4B3A">
      <w:pPr>
        <w:pStyle w:val="2"/>
        <w:rPr>
          <w:rFonts w:hAnsi="標楷體"/>
          <w:szCs w:val="32"/>
        </w:rPr>
      </w:pPr>
      <w:r w:rsidRPr="00AC60BF">
        <w:rPr>
          <w:rFonts w:hAnsi="標楷體" w:hint="eastAsia"/>
          <w:szCs w:val="32"/>
        </w:rPr>
        <w:t>楊森土於90年4月27日至92年7月30日任職板橋地檢署，陳玉珍上開8件逾8個月辦案期限未結案件，</w:t>
      </w:r>
      <w:proofErr w:type="gramStart"/>
      <w:r w:rsidRPr="00AC60BF">
        <w:rPr>
          <w:rFonts w:hAnsi="標楷體" w:hint="eastAsia"/>
          <w:szCs w:val="32"/>
        </w:rPr>
        <w:t>均於楊森土</w:t>
      </w:r>
      <w:proofErr w:type="gramEnd"/>
      <w:r w:rsidRPr="00AC60BF">
        <w:rPr>
          <w:rFonts w:hAnsi="標楷體" w:hint="eastAsia"/>
          <w:szCs w:val="32"/>
        </w:rPr>
        <w:t>任職該署檢察長期間發生遲延情事，楊森土並未切實依照前開辦案期限要點第2點之規定，對所屬主任檢察官陳玉珍所辦理案件加強監督，該署研考科亦未上開要點規定切實進行催辦及通知檢察官促其迅速進行結案，致陳玉珍得以長期利用後案</w:t>
      </w:r>
      <w:proofErr w:type="gramStart"/>
      <w:r w:rsidRPr="00AC60BF">
        <w:rPr>
          <w:rFonts w:hAnsi="標楷體" w:hint="eastAsia"/>
          <w:szCs w:val="32"/>
        </w:rPr>
        <w:t>併</w:t>
      </w:r>
      <w:proofErr w:type="gramEnd"/>
      <w:r w:rsidRPr="00AC60BF">
        <w:rPr>
          <w:rFonts w:hAnsi="標楷體" w:hint="eastAsia"/>
          <w:szCs w:val="32"/>
        </w:rPr>
        <w:t>前案及累積多案不結方式，遂行貪瀆情事，核有違失。</w:t>
      </w:r>
      <w:proofErr w:type="gramStart"/>
      <w:r w:rsidRPr="00AC60BF">
        <w:rPr>
          <w:rFonts w:hAnsi="標楷體" w:hint="eastAsia"/>
          <w:szCs w:val="32"/>
        </w:rPr>
        <w:t>再者，</w:t>
      </w:r>
      <w:proofErr w:type="gramEnd"/>
      <w:r w:rsidRPr="00AC60BF">
        <w:rPr>
          <w:rFonts w:hAnsi="標楷體" w:hint="eastAsia"/>
          <w:szCs w:val="32"/>
        </w:rPr>
        <w:t>板橋地檢署及</w:t>
      </w:r>
      <w:r w:rsidR="00AE69CD" w:rsidRPr="00AC60BF">
        <w:rPr>
          <w:rFonts w:hAnsi="標楷體" w:hint="eastAsia"/>
          <w:szCs w:val="32"/>
        </w:rPr>
        <w:t>臺灣高檢署</w:t>
      </w:r>
      <w:r w:rsidRPr="00AC60BF">
        <w:rPr>
          <w:rFonts w:hAnsi="標楷體" w:hint="eastAsia"/>
          <w:szCs w:val="32"/>
        </w:rPr>
        <w:t>對於陳玉珍長期與電玩業者密切往來、收受賄款及關說等事實均渾然不覺，在陳玉珍自89年起至95年止之收賄</w:t>
      </w:r>
      <w:proofErr w:type="gramStart"/>
      <w:r w:rsidRPr="00AC60BF">
        <w:rPr>
          <w:rFonts w:hAnsi="標楷體" w:hint="eastAsia"/>
          <w:szCs w:val="32"/>
        </w:rPr>
        <w:t>期間，</w:t>
      </w:r>
      <w:proofErr w:type="gramEnd"/>
      <w:r w:rsidRPr="00AC60BF">
        <w:rPr>
          <w:rFonts w:hAnsi="標楷體" w:hint="eastAsia"/>
          <w:szCs w:val="32"/>
        </w:rPr>
        <w:t>歷任首長竟給予陳玉珍考績甲等，及「認真負責」「腳踏實地」、「學養俱豐」、「明察秋毫」、「處事明快」、「視野宏觀」、「辦案迅速」及就品德操守項目等級為A（足為楷模）等考評，有陳玉珍考評紀錄可</w:t>
      </w:r>
      <w:proofErr w:type="gramStart"/>
      <w:r w:rsidRPr="00AC60BF">
        <w:rPr>
          <w:rFonts w:hAnsi="標楷體" w:hint="eastAsia"/>
          <w:szCs w:val="32"/>
        </w:rPr>
        <w:t>稽</w:t>
      </w:r>
      <w:proofErr w:type="gramEnd"/>
      <w:r w:rsidRPr="00AC60BF">
        <w:rPr>
          <w:rFonts w:hAnsi="標楷體" w:hint="eastAsia"/>
          <w:szCs w:val="32"/>
        </w:rPr>
        <w:t>，</w:t>
      </w:r>
      <w:proofErr w:type="gramStart"/>
      <w:r w:rsidRPr="00AC60BF">
        <w:rPr>
          <w:rFonts w:hAnsi="標楷體" w:hint="eastAsia"/>
          <w:szCs w:val="32"/>
        </w:rPr>
        <w:t>均有違</w:t>
      </w:r>
      <w:proofErr w:type="gramEnd"/>
      <w:r w:rsidRPr="00AC60BF">
        <w:rPr>
          <w:rFonts w:hAnsi="標楷體" w:hint="eastAsia"/>
          <w:szCs w:val="32"/>
        </w:rPr>
        <w:t>失。</w:t>
      </w:r>
    </w:p>
    <w:p w:rsidR="005B5245" w:rsidRPr="00AC60BF" w:rsidRDefault="00AF4B3A" w:rsidP="00382CD0">
      <w:pPr>
        <w:pStyle w:val="11"/>
        <w:spacing w:beforeLines="100"/>
        <w:ind w:left="680" w:firstLine="680"/>
      </w:pPr>
      <w:r w:rsidRPr="00AC60BF">
        <w:rPr>
          <w:rFonts w:hint="eastAsia"/>
        </w:rPr>
        <w:t>綜上所述，</w:t>
      </w:r>
      <w:r w:rsidR="00F83919" w:rsidRPr="00AC60BF">
        <w:rPr>
          <w:rFonts w:hAnsi="標楷體" w:cs="細明體" w:hint="eastAsia"/>
          <w:szCs w:val="32"/>
        </w:rPr>
        <w:t>新北地檢署對陳玉珍偵辦簡易案件逾期未結，未詳實督考，致陳玉珍得利用後案</w:t>
      </w:r>
      <w:proofErr w:type="gramStart"/>
      <w:r w:rsidR="00F83919" w:rsidRPr="00AC60BF">
        <w:rPr>
          <w:rFonts w:hAnsi="標楷體" w:cs="細明體" w:hint="eastAsia"/>
          <w:szCs w:val="32"/>
        </w:rPr>
        <w:t>併</w:t>
      </w:r>
      <w:proofErr w:type="gramEnd"/>
      <w:r w:rsidR="00F83919" w:rsidRPr="00AC60BF">
        <w:rPr>
          <w:rFonts w:hAnsi="標楷體" w:cs="細明體" w:hint="eastAsia"/>
          <w:szCs w:val="32"/>
        </w:rPr>
        <w:t>前案規定遂行貪瀆情事；</w:t>
      </w:r>
      <w:r w:rsidR="00AA773C" w:rsidRPr="00AC60BF">
        <w:rPr>
          <w:rFonts w:hAnsi="標楷體" w:cs="細明體" w:hint="eastAsia"/>
          <w:szCs w:val="32"/>
        </w:rPr>
        <w:t>新北地檢署</w:t>
      </w:r>
      <w:r w:rsidR="00F83919" w:rsidRPr="00AC60BF">
        <w:rPr>
          <w:rFonts w:hAnsi="標楷體" w:cs="細明體" w:hint="eastAsia"/>
          <w:szCs w:val="32"/>
        </w:rPr>
        <w:t>及臺灣高檢署對於陳玉珍長期與電玩業者密切往來、收受賄款、關說等事實均渾然不覺，在陳玉珍收賄</w:t>
      </w:r>
      <w:proofErr w:type="gramStart"/>
      <w:r w:rsidR="00F83919" w:rsidRPr="00AC60BF">
        <w:rPr>
          <w:rFonts w:hAnsi="標楷體" w:cs="細明體" w:hint="eastAsia"/>
          <w:szCs w:val="32"/>
        </w:rPr>
        <w:t>期間，</w:t>
      </w:r>
      <w:proofErr w:type="gramEnd"/>
      <w:r w:rsidR="00F83919" w:rsidRPr="00AC60BF">
        <w:rPr>
          <w:rFonts w:hAnsi="標楷體" w:cs="細明體" w:hint="eastAsia"/>
          <w:szCs w:val="32"/>
        </w:rPr>
        <w:t>歷任首長竟給予陳玉珍考績甲等，</w:t>
      </w:r>
      <w:r w:rsidR="00F83919" w:rsidRPr="00AC60BF">
        <w:rPr>
          <w:rFonts w:hint="eastAsia"/>
        </w:rPr>
        <w:t>及「認真負責」、「腳踏實地」、「學養俱豐」、「明察秋毫」、「處事明快」、</w:t>
      </w:r>
      <w:r w:rsidR="00F83919" w:rsidRPr="00AC60BF">
        <w:rPr>
          <w:rFonts w:ascii="新細明體" w:eastAsia="新細明體" w:hAnsi="新細明體" w:hint="eastAsia"/>
        </w:rPr>
        <w:t>「</w:t>
      </w:r>
      <w:r w:rsidR="00F83919" w:rsidRPr="00AC60BF">
        <w:rPr>
          <w:rFonts w:ascii="新細明體" w:hAnsi="新細明體" w:hint="eastAsia"/>
        </w:rPr>
        <w:t>視野宏觀」、</w:t>
      </w:r>
      <w:r w:rsidR="00F83919" w:rsidRPr="00AC60BF">
        <w:rPr>
          <w:rFonts w:ascii="新細明體" w:eastAsia="新細明體" w:hAnsi="新細明體" w:hint="eastAsia"/>
        </w:rPr>
        <w:t>「</w:t>
      </w:r>
      <w:r w:rsidR="00F83919" w:rsidRPr="00AC60BF">
        <w:rPr>
          <w:rFonts w:ascii="新細明體" w:hAnsi="新細明體" w:hint="eastAsia"/>
        </w:rPr>
        <w:t>辦案</w:t>
      </w:r>
      <w:r w:rsidR="00F83919" w:rsidRPr="00AC60BF">
        <w:rPr>
          <w:rFonts w:ascii="新細明體" w:hAnsi="新細明體" w:hint="eastAsia"/>
        </w:rPr>
        <w:lastRenderedPageBreak/>
        <w:t>迅速」及就品德操守項目等級為</w:t>
      </w:r>
      <w:r w:rsidR="00F83919" w:rsidRPr="00AC60BF">
        <w:rPr>
          <w:rFonts w:hAnsi="標楷體" w:hint="eastAsia"/>
        </w:rPr>
        <w:t>A</w:t>
      </w:r>
      <w:r w:rsidR="00F83919" w:rsidRPr="00AC60BF">
        <w:rPr>
          <w:rFonts w:ascii="新細明體" w:eastAsia="新細明體" w:hAnsi="新細明體" w:hint="eastAsia"/>
        </w:rPr>
        <w:t>（</w:t>
      </w:r>
      <w:r w:rsidR="00F83919" w:rsidRPr="00AC60BF">
        <w:rPr>
          <w:rFonts w:ascii="新細明體" w:hAnsi="新細明體" w:hint="eastAsia"/>
        </w:rPr>
        <w:t>足為楷模</w:t>
      </w:r>
      <w:r w:rsidR="00F83919" w:rsidRPr="00AC60BF">
        <w:rPr>
          <w:rFonts w:ascii="新細明體" w:eastAsia="新細明體" w:hAnsi="新細明體" w:hint="eastAsia"/>
        </w:rPr>
        <w:t>）</w:t>
      </w:r>
      <w:r w:rsidR="00F83919" w:rsidRPr="00AC60BF">
        <w:rPr>
          <w:rFonts w:hAnsi="標楷體" w:cs="細明體" w:hint="eastAsia"/>
          <w:szCs w:val="32"/>
        </w:rPr>
        <w:t>等考評，</w:t>
      </w:r>
      <w:r w:rsidR="001F2261" w:rsidRPr="00AC60BF">
        <w:rPr>
          <w:rFonts w:hint="eastAsia"/>
        </w:rPr>
        <w:t>顯</w:t>
      </w:r>
      <w:r w:rsidR="00F83919" w:rsidRPr="00AC60BF">
        <w:rPr>
          <w:rFonts w:hAnsi="標楷體" w:cs="細明體" w:hint="eastAsia"/>
          <w:szCs w:val="32"/>
        </w:rPr>
        <w:t>有違失</w:t>
      </w:r>
      <w:r w:rsidR="003C721C" w:rsidRPr="00AC60BF">
        <w:rPr>
          <w:rFonts w:hint="eastAsia"/>
        </w:rPr>
        <w:t>，</w:t>
      </w:r>
      <w:proofErr w:type="gramStart"/>
      <w:r w:rsidR="003C721C" w:rsidRPr="00AC60BF">
        <w:rPr>
          <w:rFonts w:hint="eastAsia"/>
        </w:rPr>
        <w:t>爰</w:t>
      </w:r>
      <w:proofErr w:type="gramEnd"/>
      <w:r w:rsidR="003C721C" w:rsidRPr="00AC60BF">
        <w:rPr>
          <w:rFonts w:hint="eastAsia"/>
        </w:rPr>
        <w:t>依監察法第24條提案糾正，移送</w:t>
      </w:r>
      <w:r w:rsidRPr="00AC60BF">
        <w:rPr>
          <w:rFonts w:hint="eastAsia"/>
        </w:rPr>
        <w:t>法務部</w:t>
      </w:r>
      <w:r w:rsidR="003C721C" w:rsidRPr="00AC60BF">
        <w:rPr>
          <w:rFonts w:hint="eastAsia"/>
        </w:rPr>
        <w:t>轉</w:t>
      </w:r>
      <w:proofErr w:type="gramStart"/>
      <w:r w:rsidR="003C721C" w:rsidRPr="00AC60BF">
        <w:rPr>
          <w:rFonts w:hint="eastAsia"/>
        </w:rPr>
        <w:t>飭</w:t>
      </w:r>
      <w:proofErr w:type="gramEnd"/>
      <w:r w:rsidR="003C721C" w:rsidRPr="00AC60BF">
        <w:rPr>
          <w:rFonts w:hint="eastAsia"/>
        </w:rPr>
        <w:t>所屬確實檢討改善</w:t>
      </w:r>
      <w:proofErr w:type="gramStart"/>
      <w:r w:rsidR="003C721C" w:rsidRPr="00AC60BF">
        <w:rPr>
          <w:rFonts w:hint="eastAsia"/>
        </w:rPr>
        <w:t>見復。</w:t>
      </w:r>
      <w:bookmarkEnd w:id="39"/>
      <w:bookmarkEnd w:id="40"/>
      <w:bookmarkEnd w:id="41"/>
      <w:bookmarkEnd w:id="42"/>
      <w:bookmarkEnd w:id="43"/>
      <w:bookmarkEnd w:id="44"/>
      <w:bookmarkEnd w:id="45"/>
      <w:bookmarkEnd w:id="46"/>
      <w:bookmarkEnd w:id="47"/>
      <w:bookmarkEnd w:id="48"/>
      <w:bookmarkEnd w:id="49"/>
      <w:bookmarkEnd w:id="50"/>
      <w:bookmarkEnd w:id="51"/>
      <w:bookmarkEnd w:id="52"/>
      <w:proofErr w:type="gramEnd"/>
    </w:p>
    <w:p w:rsidR="005B5245" w:rsidRPr="00AC60BF" w:rsidRDefault="003C721C">
      <w:pPr>
        <w:pStyle w:val="a4"/>
        <w:spacing w:before="0" w:after="0"/>
        <w:ind w:leftChars="1100" w:left="3742"/>
        <w:jc w:val="both"/>
        <w:rPr>
          <w:b w:val="0"/>
          <w:bCs/>
          <w:snapToGrid/>
          <w:spacing w:val="0"/>
          <w:kern w:val="0"/>
          <w:sz w:val="40"/>
        </w:rPr>
      </w:pPr>
      <w:bookmarkStart w:id="53" w:name="_Toc524895649"/>
      <w:bookmarkStart w:id="54" w:name="_Toc524896195"/>
      <w:bookmarkStart w:id="55" w:name="_Toc524896225"/>
      <w:bookmarkEnd w:id="53"/>
      <w:bookmarkEnd w:id="54"/>
      <w:bookmarkEnd w:id="55"/>
      <w:r w:rsidRPr="00AC60BF">
        <w:rPr>
          <w:rFonts w:hint="eastAsia"/>
          <w:b w:val="0"/>
          <w:bCs/>
          <w:snapToGrid/>
          <w:spacing w:val="12"/>
          <w:kern w:val="0"/>
          <w:sz w:val="40"/>
        </w:rPr>
        <w:t>提案委員：</w:t>
      </w:r>
      <w:r w:rsidR="007B12AE">
        <w:rPr>
          <w:rFonts w:hint="eastAsia"/>
          <w:b w:val="0"/>
          <w:bCs/>
          <w:snapToGrid/>
          <w:spacing w:val="12"/>
          <w:kern w:val="0"/>
          <w:sz w:val="40"/>
        </w:rPr>
        <w:t>趙昌平</w:t>
      </w:r>
    </w:p>
    <w:p w:rsidR="005B5245" w:rsidRPr="00AC60BF" w:rsidRDefault="007B12AE">
      <w:pPr>
        <w:pStyle w:val="a4"/>
        <w:spacing w:before="0" w:after="0"/>
        <w:ind w:leftChars="1100" w:left="3742" w:firstLineChars="500" w:firstLine="1901"/>
        <w:jc w:val="both"/>
        <w:rPr>
          <w:b w:val="0"/>
          <w:bCs/>
          <w:snapToGrid/>
          <w:spacing w:val="0"/>
          <w:kern w:val="0"/>
        </w:rPr>
      </w:pPr>
      <w:r>
        <w:rPr>
          <w:rFonts w:hint="eastAsia"/>
          <w:b w:val="0"/>
          <w:bCs/>
          <w:snapToGrid/>
          <w:spacing w:val="0"/>
          <w:kern w:val="0"/>
        </w:rPr>
        <w:t xml:space="preserve">  高鳳仙</w:t>
      </w:r>
    </w:p>
    <w:p w:rsidR="005B5245" w:rsidRPr="00AC60BF" w:rsidRDefault="005B5245">
      <w:pPr>
        <w:pStyle w:val="a4"/>
        <w:spacing w:before="0" w:after="0"/>
        <w:ind w:leftChars="1100" w:left="3742" w:firstLineChars="500" w:firstLine="1901"/>
        <w:jc w:val="both"/>
        <w:rPr>
          <w:b w:val="0"/>
          <w:bCs/>
          <w:snapToGrid/>
          <w:spacing w:val="0"/>
          <w:kern w:val="0"/>
        </w:rPr>
      </w:pPr>
    </w:p>
    <w:p w:rsidR="005B5245" w:rsidRPr="00AC60BF" w:rsidRDefault="005B5245">
      <w:pPr>
        <w:pStyle w:val="a4"/>
        <w:spacing w:before="0" w:after="0"/>
        <w:ind w:leftChars="1100" w:left="3742" w:firstLineChars="500" w:firstLine="1901"/>
        <w:jc w:val="both"/>
        <w:rPr>
          <w:b w:val="0"/>
          <w:bCs/>
          <w:snapToGrid/>
          <w:spacing w:val="0"/>
          <w:kern w:val="0"/>
        </w:rPr>
      </w:pPr>
    </w:p>
    <w:sectPr w:rsidR="005B5245" w:rsidRPr="00AC60BF" w:rsidSect="004E0649">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467" w:rsidRDefault="00D90467" w:rsidP="00381EF6">
      <w:r>
        <w:separator/>
      </w:r>
    </w:p>
  </w:endnote>
  <w:endnote w:type="continuationSeparator" w:id="0">
    <w:p w:rsidR="00D90467" w:rsidRDefault="00D90467" w:rsidP="00381EF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F43" w:rsidRDefault="00F67280">
    <w:pPr>
      <w:pStyle w:val="a9"/>
      <w:framePr w:wrap="around" w:vAnchor="text" w:hAnchor="margin" w:xAlign="center" w:y="1"/>
      <w:rPr>
        <w:rStyle w:val="a6"/>
        <w:sz w:val="24"/>
      </w:rPr>
    </w:pPr>
    <w:r>
      <w:rPr>
        <w:rStyle w:val="a6"/>
        <w:sz w:val="24"/>
      </w:rPr>
      <w:fldChar w:fldCharType="begin"/>
    </w:r>
    <w:r w:rsidR="00632F43">
      <w:rPr>
        <w:rStyle w:val="a6"/>
        <w:sz w:val="24"/>
      </w:rPr>
      <w:instrText xml:space="preserve">PAGE  </w:instrText>
    </w:r>
    <w:r>
      <w:rPr>
        <w:rStyle w:val="a6"/>
        <w:sz w:val="24"/>
      </w:rPr>
      <w:fldChar w:fldCharType="separate"/>
    </w:r>
    <w:r w:rsidR="00382CD0">
      <w:rPr>
        <w:rStyle w:val="a6"/>
        <w:noProof/>
        <w:sz w:val="24"/>
      </w:rPr>
      <w:t>2</w:t>
    </w:r>
    <w:r>
      <w:rPr>
        <w:rStyle w:val="a6"/>
        <w:sz w:val="24"/>
      </w:rPr>
      <w:fldChar w:fldCharType="end"/>
    </w:r>
  </w:p>
  <w:p w:rsidR="00632F43" w:rsidRDefault="00632F43">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467" w:rsidRDefault="00D90467" w:rsidP="00381EF6">
      <w:r>
        <w:separator/>
      </w:r>
    </w:p>
  </w:footnote>
  <w:footnote w:type="continuationSeparator" w:id="0">
    <w:p w:rsidR="00D90467" w:rsidRDefault="00D90467" w:rsidP="00381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3">
    <w:abstractNumId w:val="0"/>
  </w:num>
  <w:num w:numId="4">
    <w:abstractNumId w:val="0"/>
  </w:num>
  <w:num w:numId="5">
    <w:abstractNumId w:val="0"/>
  </w:num>
  <w:num w:numId="6">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57A93"/>
    <w:rsid w:val="00042A1A"/>
    <w:rsid w:val="00053C75"/>
    <w:rsid w:val="00094A35"/>
    <w:rsid w:val="000B0ED9"/>
    <w:rsid w:val="000C32D9"/>
    <w:rsid w:val="000D0C9D"/>
    <w:rsid w:val="000D44BB"/>
    <w:rsid w:val="000F6CE6"/>
    <w:rsid w:val="00100EDE"/>
    <w:rsid w:val="00131D93"/>
    <w:rsid w:val="0017541C"/>
    <w:rsid w:val="0018646A"/>
    <w:rsid w:val="001940C8"/>
    <w:rsid w:val="001A3433"/>
    <w:rsid w:val="001F2261"/>
    <w:rsid w:val="00206A22"/>
    <w:rsid w:val="00224991"/>
    <w:rsid w:val="00256AFE"/>
    <w:rsid w:val="00257A93"/>
    <w:rsid w:val="002E0309"/>
    <w:rsid w:val="002E13C7"/>
    <w:rsid w:val="002F47E3"/>
    <w:rsid w:val="00300243"/>
    <w:rsid w:val="0030351D"/>
    <w:rsid w:val="00330CB6"/>
    <w:rsid w:val="003467EA"/>
    <w:rsid w:val="00382CD0"/>
    <w:rsid w:val="00396B23"/>
    <w:rsid w:val="003B4975"/>
    <w:rsid w:val="003C721C"/>
    <w:rsid w:val="003D5272"/>
    <w:rsid w:val="003E372F"/>
    <w:rsid w:val="003F1F9E"/>
    <w:rsid w:val="00425846"/>
    <w:rsid w:val="00485377"/>
    <w:rsid w:val="004E0649"/>
    <w:rsid w:val="00511228"/>
    <w:rsid w:val="00513DA3"/>
    <w:rsid w:val="00520A1D"/>
    <w:rsid w:val="005312AD"/>
    <w:rsid w:val="00556E5C"/>
    <w:rsid w:val="005A0A23"/>
    <w:rsid w:val="005B5245"/>
    <w:rsid w:val="005B59C7"/>
    <w:rsid w:val="005D7AD9"/>
    <w:rsid w:val="005F4204"/>
    <w:rsid w:val="005F5774"/>
    <w:rsid w:val="005F6E9E"/>
    <w:rsid w:val="00622EF1"/>
    <w:rsid w:val="00630BF9"/>
    <w:rsid w:val="00632F43"/>
    <w:rsid w:val="00682DEA"/>
    <w:rsid w:val="006C208C"/>
    <w:rsid w:val="007A736B"/>
    <w:rsid w:val="007B12AE"/>
    <w:rsid w:val="008328FD"/>
    <w:rsid w:val="008409F0"/>
    <w:rsid w:val="00883A01"/>
    <w:rsid w:val="008954D0"/>
    <w:rsid w:val="008B1CC0"/>
    <w:rsid w:val="008D2BCD"/>
    <w:rsid w:val="0090646C"/>
    <w:rsid w:val="0097107F"/>
    <w:rsid w:val="00986103"/>
    <w:rsid w:val="009A26CC"/>
    <w:rsid w:val="009D2676"/>
    <w:rsid w:val="009D6EE8"/>
    <w:rsid w:val="00A04156"/>
    <w:rsid w:val="00A123B5"/>
    <w:rsid w:val="00A42137"/>
    <w:rsid w:val="00AA773C"/>
    <w:rsid w:val="00AC60BF"/>
    <w:rsid w:val="00AD54BB"/>
    <w:rsid w:val="00AE69CD"/>
    <w:rsid w:val="00AF4B3A"/>
    <w:rsid w:val="00B70465"/>
    <w:rsid w:val="00BC45DD"/>
    <w:rsid w:val="00C16BE2"/>
    <w:rsid w:val="00C30368"/>
    <w:rsid w:val="00C314CE"/>
    <w:rsid w:val="00C31BD7"/>
    <w:rsid w:val="00CA1140"/>
    <w:rsid w:val="00CB00DF"/>
    <w:rsid w:val="00CD0150"/>
    <w:rsid w:val="00D166FC"/>
    <w:rsid w:val="00D16FF6"/>
    <w:rsid w:val="00D425C7"/>
    <w:rsid w:val="00D62051"/>
    <w:rsid w:val="00D73557"/>
    <w:rsid w:val="00D90467"/>
    <w:rsid w:val="00DB5DC8"/>
    <w:rsid w:val="00E33195"/>
    <w:rsid w:val="00E67750"/>
    <w:rsid w:val="00E951EF"/>
    <w:rsid w:val="00ED7C0B"/>
    <w:rsid w:val="00EF1629"/>
    <w:rsid w:val="00F216E7"/>
    <w:rsid w:val="00F433ED"/>
    <w:rsid w:val="00F546EF"/>
    <w:rsid w:val="00F64F24"/>
    <w:rsid w:val="00F67280"/>
    <w:rsid w:val="00F83919"/>
    <w:rsid w:val="00F92411"/>
    <w:rsid w:val="00F938AF"/>
    <w:rsid w:val="00FA21F1"/>
    <w:rsid w:val="00FD6940"/>
    <w:rsid w:val="00FF2E46"/>
    <w:rsid w:val="00FF4E5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5245"/>
    <w:pPr>
      <w:widowControl w:val="0"/>
    </w:pPr>
    <w:rPr>
      <w:rFonts w:eastAsia="標楷體"/>
      <w:kern w:val="2"/>
      <w:sz w:val="32"/>
    </w:rPr>
  </w:style>
  <w:style w:type="paragraph" w:styleId="1">
    <w:name w:val="heading 1"/>
    <w:basedOn w:val="a0"/>
    <w:qFormat/>
    <w:rsid w:val="005B5245"/>
    <w:pPr>
      <w:numPr>
        <w:numId w:val="1"/>
      </w:numPr>
      <w:kinsoku w:val="0"/>
      <w:jc w:val="both"/>
      <w:outlineLvl w:val="0"/>
    </w:pPr>
    <w:rPr>
      <w:rFonts w:ascii="標楷體" w:hAnsi="Arial"/>
      <w:bCs/>
      <w:kern w:val="0"/>
      <w:szCs w:val="52"/>
    </w:rPr>
  </w:style>
  <w:style w:type="paragraph" w:styleId="2">
    <w:name w:val="heading 2"/>
    <w:basedOn w:val="a0"/>
    <w:qFormat/>
    <w:rsid w:val="005B5245"/>
    <w:pPr>
      <w:numPr>
        <w:ilvl w:val="1"/>
        <w:numId w:val="1"/>
      </w:numPr>
      <w:jc w:val="both"/>
      <w:outlineLvl w:val="1"/>
    </w:pPr>
    <w:rPr>
      <w:rFonts w:ascii="標楷體" w:hAnsi="Arial"/>
      <w:bCs/>
      <w:kern w:val="0"/>
      <w:szCs w:val="48"/>
    </w:rPr>
  </w:style>
  <w:style w:type="paragraph" w:styleId="3">
    <w:name w:val="heading 3"/>
    <w:basedOn w:val="a0"/>
    <w:qFormat/>
    <w:rsid w:val="005B5245"/>
    <w:pPr>
      <w:numPr>
        <w:ilvl w:val="2"/>
        <w:numId w:val="1"/>
      </w:numPr>
      <w:jc w:val="both"/>
      <w:outlineLvl w:val="2"/>
    </w:pPr>
    <w:rPr>
      <w:rFonts w:ascii="標楷體" w:hAnsi="Arial"/>
      <w:bCs/>
      <w:kern w:val="0"/>
      <w:szCs w:val="36"/>
    </w:rPr>
  </w:style>
  <w:style w:type="paragraph" w:styleId="4">
    <w:name w:val="heading 4"/>
    <w:basedOn w:val="a0"/>
    <w:qFormat/>
    <w:rsid w:val="005B5245"/>
    <w:pPr>
      <w:numPr>
        <w:ilvl w:val="3"/>
        <w:numId w:val="1"/>
      </w:numPr>
      <w:jc w:val="both"/>
      <w:outlineLvl w:val="3"/>
    </w:pPr>
    <w:rPr>
      <w:rFonts w:ascii="標楷體" w:hAnsi="Arial"/>
      <w:szCs w:val="36"/>
    </w:rPr>
  </w:style>
  <w:style w:type="paragraph" w:styleId="5">
    <w:name w:val="heading 5"/>
    <w:basedOn w:val="a0"/>
    <w:qFormat/>
    <w:rsid w:val="005B5245"/>
    <w:pPr>
      <w:numPr>
        <w:ilvl w:val="4"/>
        <w:numId w:val="1"/>
      </w:numPr>
      <w:jc w:val="both"/>
      <w:outlineLvl w:val="4"/>
    </w:pPr>
    <w:rPr>
      <w:rFonts w:ascii="標楷體" w:hAnsi="Arial"/>
      <w:bCs/>
      <w:szCs w:val="36"/>
    </w:rPr>
  </w:style>
  <w:style w:type="paragraph" w:styleId="6">
    <w:name w:val="heading 6"/>
    <w:basedOn w:val="a0"/>
    <w:qFormat/>
    <w:rsid w:val="005B5245"/>
    <w:pPr>
      <w:numPr>
        <w:ilvl w:val="5"/>
        <w:numId w:val="1"/>
      </w:numPr>
      <w:tabs>
        <w:tab w:val="left" w:pos="2094"/>
      </w:tabs>
      <w:jc w:val="both"/>
      <w:outlineLvl w:val="5"/>
    </w:pPr>
    <w:rPr>
      <w:rFonts w:ascii="標楷體" w:hAnsi="Arial"/>
      <w:szCs w:val="36"/>
    </w:rPr>
  </w:style>
  <w:style w:type="paragraph" w:styleId="7">
    <w:name w:val="heading 7"/>
    <w:basedOn w:val="a0"/>
    <w:qFormat/>
    <w:rsid w:val="005B5245"/>
    <w:pPr>
      <w:numPr>
        <w:ilvl w:val="6"/>
        <w:numId w:val="1"/>
      </w:numPr>
      <w:jc w:val="both"/>
      <w:outlineLvl w:val="6"/>
    </w:pPr>
    <w:rPr>
      <w:rFonts w:ascii="標楷體" w:hAnsi="Arial"/>
      <w:bCs/>
      <w:szCs w:val="36"/>
    </w:rPr>
  </w:style>
  <w:style w:type="paragraph" w:styleId="8">
    <w:name w:val="heading 8"/>
    <w:basedOn w:val="a0"/>
    <w:qFormat/>
    <w:rsid w:val="005B5245"/>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5B5245"/>
    <w:pPr>
      <w:ind w:leftChars="400" w:left="400"/>
    </w:pPr>
  </w:style>
  <w:style w:type="paragraph" w:customStyle="1" w:styleId="20">
    <w:name w:val="段落樣式2"/>
    <w:basedOn w:val="a0"/>
    <w:rsid w:val="005B5245"/>
    <w:pPr>
      <w:tabs>
        <w:tab w:val="left" w:pos="567"/>
      </w:tabs>
      <w:ind w:leftChars="300" w:left="300" w:firstLineChars="200" w:firstLine="200"/>
      <w:jc w:val="both"/>
    </w:pPr>
    <w:rPr>
      <w:rFonts w:ascii="標楷體"/>
      <w:kern w:val="0"/>
    </w:rPr>
  </w:style>
  <w:style w:type="paragraph" w:customStyle="1" w:styleId="40">
    <w:name w:val="段落樣式4"/>
    <w:basedOn w:val="30"/>
    <w:rsid w:val="005B5245"/>
    <w:pPr>
      <w:ind w:leftChars="500" w:left="500"/>
    </w:pPr>
  </w:style>
  <w:style w:type="paragraph" w:customStyle="1" w:styleId="50">
    <w:name w:val="段落樣式5"/>
    <w:basedOn w:val="40"/>
    <w:rsid w:val="005B5245"/>
    <w:pPr>
      <w:ind w:leftChars="600" w:left="600"/>
    </w:pPr>
  </w:style>
  <w:style w:type="paragraph" w:customStyle="1" w:styleId="60">
    <w:name w:val="段落樣式6"/>
    <w:basedOn w:val="50"/>
    <w:rsid w:val="005B5245"/>
    <w:pPr>
      <w:ind w:leftChars="700" w:left="700"/>
    </w:pPr>
  </w:style>
  <w:style w:type="paragraph" w:customStyle="1" w:styleId="70">
    <w:name w:val="段落樣式7"/>
    <w:basedOn w:val="60"/>
    <w:rsid w:val="005B5245"/>
  </w:style>
  <w:style w:type="paragraph" w:customStyle="1" w:styleId="80">
    <w:name w:val="段落樣式8"/>
    <w:basedOn w:val="70"/>
    <w:rsid w:val="005B5245"/>
    <w:pPr>
      <w:ind w:leftChars="800" w:left="800"/>
    </w:pPr>
  </w:style>
  <w:style w:type="paragraph" w:styleId="a4">
    <w:name w:val="Signature"/>
    <w:basedOn w:val="a0"/>
    <w:semiHidden/>
    <w:rsid w:val="005B5245"/>
    <w:pPr>
      <w:spacing w:before="720" w:after="720"/>
      <w:ind w:left="7371"/>
    </w:pPr>
    <w:rPr>
      <w:rFonts w:ascii="標楷體"/>
      <w:b/>
      <w:snapToGrid w:val="0"/>
      <w:spacing w:val="10"/>
      <w:sz w:val="36"/>
    </w:rPr>
  </w:style>
  <w:style w:type="paragraph" w:styleId="a5">
    <w:name w:val="endnote text"/>
    <w:basedOn w:val="a0"/>
    <w:semiHidden/>
    <w:rsid w:val="005B5245"/>
    <w:pPr>
      <w:spacing w:before="240"/>
      <w:ind w:left="1021" w:hanging="1021"/>
      <w:jc w:val="both"/>
    </w:pPr>
    <w:rPr>
      <w:rFonts w:ascii="標楷體"/>
      <w:snapToGrid w:val="0"/>
      <w:spacing w:val="10"/>
    </w:rPr>
  </w:style>
  <w:style w:type="character" w:styleId="a6">
    <w:name w:val="page number"/>
    <w:basedOn w:val="a1"/>
    <w:semiHidden/>
    <w:rsid w:val="005B5245"/>
    <w:rPr>
      <w:rFonts w:ascii="標楷體" w:eastAsia="標楷體"/>
      <w:sz w:val="20"/>
    </w:rPr>
  </w:style>
  <w:style w:type="paragraph" w:styleId="10">
    <w:name w:val="toc 1"/>
    <w:basedOn w:val="a0"/>
    <w:next w:val="a0"/>
    <w:semiHidden/>
    <w:rsid w:val="005B5245"/>
    <w:pPr>
      <w:ind w:left="200" w:hangingChars="200" w:hanging="200"/>
      <w:jc w:val="both"/>
    </w:pPr>
    <w:rPr>
      <w:rFonts w:ascii="標楷體"/>
    </w:rPr>
  </w:style>
  <w:style w:type="paragraph" w:styleId="21">
    <w:name w:val="toc 2"/>
    <w:basedOn w:val="a0"/>
    <w:next w:val="a0"/>
    <w:autoRedefine/>
    <w:semiHidden/>
    <w:rsid w:val="005B5245"/>
    <w:pPr>
      <w:ind w:leftChars="100" w:left="300" w:hangingChars="200" w:hanging="200"/>
      <w:jc w:val="both"/>
    </w:pPr>
    <w:rPr>
      <w:rFonts w:ascii="標楷體"/>
    </w:rPr>
  </w:style>
  <w:style w:type="paragraph" w:styleId="31">
    <w:name w:val="toc 3"/>
    <w:basedOn w:val="a0"/>
    <w:next w:val="a0"/>
    <w:semiHidden/>
    <w:rsid w:val="005B5245"/>
    <w:pPr>
      <w:ind w:leftChars="200" w:left="400" w:hangingChars="200" w:hanging="200"/>
      <w:jc w:val="both"/>
    </w:pPr>
    <w:rPr>
      <w:rFonts w:ascii="標楷體"/>
      <w:noProof/>
    </w:rPr>
  </w:style>
  <w:style w:type="paragraph" w:styleId="41">
    <w:name w:val="toc 4"/>
    <w:basedOn w:val="a0"/>
    <w:next w:val="a0"/>
    <w:semiHidden/>
    <w:rsid w:val="005B5245"/>
    <w:pPr>
      <w:kinsoku w:val="0"/>
      <w:ind w:leftChars="300" w:left="500" w:hangingChars="200" w:hanging="200"/>
      <w:jc w:val="both"/>
    </w:pPr>
    <w:rPr>
      <w:rFonts w:ascii="標楷體"/>
    </w:rPr>
  </w:style>
  <w:style w:type="paragraph" w:styleId="51">
    <w:name w:val="toc 5"/>
    <w:basedOn w:val="a0"/>
    <w:next w:val="a0"/>
    <w:autoRedefine/>
    <w:semiHidden/>
    <w:rsid w:val="005B5245"/>
    <w:pPr>
      <w:kinsoku w:val="0"/>
      <w:ind w:leftChars="400" w:left="600" w:hangingChars="200" w:hanging="200"/>
      <w:jc w:val="both"/>
    </w:pPr>
    <w:rPr>
      <w:rFonts w:ascii="標楷體"/>
    </w:rPr>
  </w:style>
  <w:style w:type="paragraph" w:styleId="61">
    <w:name w:val="toc 6"/>
    <w:basedOn w:val="a0"/>
    <w:next w:val="a0"/>
    <w:autoRedefine/>
    <w:semiHidden/>
    <w:rsid w:val="005B5245"/>
    <w:pPr>
      <w:ind w:leftChars="500" w:left="700" w:hangingChars="200" w:hanging="200"/>
    </w:pPr>
    <w:rPr>
      <w:rFonts w:ascii="標楷體"/>
    </w:rPr>
  </w:style>
  <w:style w:type="paragraph" w:styleId="71">
    <w:name w:val="toc 7"/>
    <w:basedOn w:val="a0"/>
    <w:next w:val="a0"/>
    <w:autoRedefine/>
    <w:semiHidden/>
    <w:rsid w:val="005B5245"/>
    <w:pPr>
      <w:ind w:leftChars="600" w:left="700" w:hangingChars="100" w:hanging="100"/>
    </w:pPr>
    <w:rPr>
      <w:rFonts w:ascii="標楷體"/>
    </w:rPr>
  </w:style>
  <w:style w:type="paragraph" w:styleId="81">
    <w:name w:val="toc 8"/>
    <w:basedOn w:val="a0"/>
    <w:next w:val="a0"/>
    <w:autoRedefine/>
    <w:semiHidden/>
    <w:rsid w:val="005B5245"/>
    <w:pPr>
      <w:ind w:leftChars="700" w:left="2792" w:hangingChars="100" w:hanging="349"/>
    </w:pPr>
    <w:rPr>
      <w:rFonts w:ascii="標楷體"/>
    </w:rPr>
  </w:style>
  <w:style w:type="paragraph" w:styleId="9">
    <w:name w:val="toc 9"/>
    <w:basedOn w:val="a0"/>
    <w:next w:val="a0"/>
    <w:autoRedefine/>
    <w:semiHidden/>
    <w:rsid w:val="005B5245"/>
    <w:pPr>
      <w:ind w:leftChars="1600" w:left="3840"/>
    </w:pPr>
  </w:style>
  <w:style w:type="character" w:styleId="a7">
    <w:name w:val="Hyperlink"/>
    <w:basedOn w:val="a1"/>
    <w:semiHidden/>
    <w:rsid w:val="005B5245"/>
    <w:rPr>
      <w:color w:val="0000FF"/>
      <w:u w:val="single"/>
    </w:rPr>
  </w:style>
  <w:style w:type="paragraph" w:customStyle="1" w:styleId="11">
    <w:name w:val="段落樣式1"/>
    <w:basedOn w:val="a0"/>
    <w:rsid w:val="005B5245"/>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5B5245"/>
    <w:pPr>
      <w:ind w:leftChars="200" w:left="200" w:firstLineChars="0" w:firstLine="0"/>
    </w:pPr>
  </w:style>
  <w:style w:type="paragraph" w:styleId="a8">
    <w:name w:val="header"/>
    <w:basedOn w:val="a0"/>
    <w:semiHidden/>
    <w:rsid w:val="005B5245"/>
    <w:pPr>
      <w:tabs>
        <w:tab w:val="center" w:pos="4153"/>
        <w:tab w:val="right" w:pos="8306"/>
      </w:tabs>
      <w:snapToGrid w:val="0"/>
    </w:pPr>
    <w:rPr>
      <w:sz w:val="20"/>
    </w:rPr>
  </w:style>
  <w:style w:type="paragraph" w:styleId="a9">
    <w:name w:val="footer"/>
    <w:basedOn w:val="a0"/>
    <w:semiHidden/>
    <w:rsid w:val="005B5245"/>
    <w:pPr>
      <w:tabs>
        <w:tab w:val="center" w:pos="4153"/>
        <w:tab w:val="right" w:pos="8306"/>
      </w:tabs>
      <w:snapToGrid w:val="0"/>
    </w:pPr>
    <w:rPr>
      <w:sz w:val="20"/>
    </w:rPr>
  </w:style>
  <w:style w:type="paragraph" w:customStyle="1" w:styleId="aa">
    <w:name w:val="簽名日期"/>
    <w:basedOn w:val="a0"/>
    <w:rsid w:val="005B5245"/>
    <w:pPr>
      <w:kinsoku w:val="0"/>
      <w:jc w:val="distribute"/>
    </w:pPr>
    <w:rPr>
      <w:kern w:val="0"/>
    </w:rPr>
  </w:style>
  <w:style w:type="paragraph" w:customStyle="1" w:styleId="a">
    <w:name w:val="表樣式"/>
    <w:basedOn w:val="a0"/>
    <w:next w:val="a0"/>
    <w:rsid w:val="00632F43"/>
    <w:pPr>
      <w:numPr>
        <w:numId w:val="6"/>
      </w:numPr>
      <w:jc w:val="both"/>
    </w:pPr>
    <w:rPr>
      <w:rFonts w:ascii="標楷體"/>
      <w:kern w:val="0"/>
    </w:rPr>
  </w:style>
  <w:style w:type="table" w:styleId="ab">
    <w:name w:val="Table Grid"/>
    <w:basedOn w:val="a2"/>
    <w:uiPriority w:val="59"/>
    <w:rsid w:val="00632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0645485">
      <w:bodyDiv w:val="1"/>
      <w:marLeft w:val="0"/>
      <w:marRight w:val="0"/>
      <w:marTop w:val="0"/>
      <w:marBottom w:val="0"/>
      <w:divBdr>
        <w:top w:val="none" w:sz="0" w:space="0" w:color="auto"/>
        <w:left w:val="none" w:sz="0" w:space="0" w:color="auto"/>
        <w:bottom w:val="none" w:sz="0" w:space="0" w:color="auto"/>
        <w:right w:val="none" w:sz="0" w:space="0" w:color="auto"/>
      </w:divBdr>
    </w:div>
    <w:div w:id="128191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iu\Desktop\&#24120;&#29992;\&#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92FE3-1A19-4878-A13B-F55243C7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2</TotalTime>
  <Pages>4</Pages>
  <Words>298</Words>
  <Characters>1701</Characters>
  <Application>Microsoft Office Word</Application>
  <DocSecurity>0</DocSecurity>
  <Lines>14</Lines>
  <Paragraphs>3</Paragraphs>
  <ScaleCrop>false</ScaleCrop>
  <Company>cy</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ylliu</dc:creator>
  <cp:lastModifiedBy>Administrator</cp:lastModifiedBy>
  <cp:revision>2</cp:revision>
  <cp:lastPrinted>2008-07-16T06:54:00Z</cp:lastPrinted>
  <dcterms:created xsi:type="dcterms:W3CDTF">2013-12-24T06:48:00Z</dcterms:created>
  <dcterms:modified xsi:type="dcterms:W3CDTF">2013-12-24T06:48:00Z</dcterms:modified>
</cp:coreProperties>
</file>