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39" w:rsidRPr="005D1764" w:rsidRDefault="00C80539">
      <w:pPr>
        <w:pStyle w:val="a4"/>
        <w:kinsoku w:val="0"/>
        <w:spacing w:before="0"/>
        <w:ind w:leftChars="700" w:left="2381" w:firstLine="0"/>
        <w:rPr>
          <w:rFonts w:hint="eastAsia"/>
          <w:bCs/>
          <w:snapToGrid/>
          <w:color w:val="000000"/>
          <w:kern w:val="0"/>
          <w:sz w:val="40"/>
        </w:rPr>
      </w:pPr>
      <w:r w:rsidRPr="005D1764">
        <w:rPr>
          <w:rFonts w:hint="eastAsia"/>
          <w:bCs/>
          <w:snapToGrid/>
          <w:color w:val="000000"/>
          <w:spacing w:val="200"/>
          <w:kern w:val="0"/>
          <w:sz w:val="40"/>
        </w:rPr>
        <w:t>糾正案文</w:t>
      </w:r>
    </w:p>
    <w:p w:rsidR="00C80539" w:rsidRPr="005D1764" w:rsidRDefault="00C80539" w:rsidP="005D1764">
      <w:pPr>
        <w:pStyle w:val="1"/>
        <w:ind w:left="2721" w:hanging="2721"/>
        <w:rPr>
          <w:rFonts w:hint="eastAsia"/>
          <w:color w:val="000000"/>
        </w:rPr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 w:rsidRPr="005D1764">
        <w:rPr>
          <w:rFonts w:hint="eastAsia"/>
          <w:color w:val="000000"/>
        </w:rPr>
        <w:t>被糾正機關：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FE0F59">
        <w:rPr>
          <w:rFonts w:hint="eastAsia"/>
        </w:rPr>
        <w:t>台北市政府</w:t>
      </w:r>
      <w:r w:rsidR="000E491D" w:rsidRPr="000E491D">
        <w:rPr>
          <w:rFonts w:hint="eastAsia"/>
        </w:rPr>
        <w:t>。</w:t>
      </w:r>
    </w:p>
    <w:p w:rsidR="00C80539" w:rsidRDefault="00C80539" w:rsidP="003B388C">
      <w:pPr>
        <w:pStyle w:val="1"/>
        <w:ind w:left="2721" w:hanging="2721"/>
        <w:rPr>
          <w:rFonts w:hint="eastAsia"/>
          <w:color w:val="000000"/>
        </w:rPr>
      </w:pPr>
      <w:bookmarkStart w:id="14" w:name="_Toc529218255"/>
      <w:bookmarkStart w:id="15" w:name="_Toc529222678"/>
      <w:bookmarkStart w:id="16" w:name="_Toc529223100"/>
      <w:bookmarkStart w:id="17" w:name="_Toc529223851"/>
      <w:bookmarkStart w:id="18" w:name="_Toc529228247"/>
      <w:r w:rsidRPr="005D1764">
        <w:rPr>
          <w:rFonts w:hint="eastAsia"/>
          <w:color w:val="000000"/>
        </w:rPr>
        <w:t>案　　　由：</w:t>
      </w:r>
      <w:bookmarkEnd w:id="14"/>
      <w:bookmarkEnd w:id="15"/>
      <w:bookmarkEnd w:id="16"/>
      <w:bookmarkEnd w:id="17"/>
      <w:bookmarkEnd w:id="18"/>
      <w:r w:rsidR="00FE0F59">
        <w:rPr>
          <w:rFonts w:hint="eastAsia"/>
        </w:rPr>
        <w:t>台北市政府辦理</w:t>
      </w:r>
      <w:r w:rsidR="00FE0F59" w:rsidRPr="00FE0F59">
        <w:rPr>
          <w:rFonts w:hint="eastAsia"/>
        </w:rPr>
        <w:t>捷運系統木柵（內湖）延伸線內湖站用地</w:t>
      </w:r>
      <w:r w:rsidR="003862F0">
        <w:rPr>
          <w:rFonts w:hint="eastAsia"/>
        </w:rPr>
        <w:t>（交十一）</w:t>
      </w:r>
      <w:r w:rsidR="003862F0" w:rsidRPr="00FE0F59">
        <w:rPr>
          <w:rFonts w:hint="eastAsia"/>
        </w:rPr>
        <w:t>聯合開發案</w:t>
      </w:r>
      <w:r w:rsidR="003862F0">
        <w:rPr>
          <w:rFonts w:hint="eastAsia"/>
        </w:rPr>
        <w:t>（下稱本案）</w:t>
      </w:r>
      <w:r w:rsidR="00FE0F59" w:rsidRPr="00FE0F59">
        <w:rPr>
          <w:rFonts w:hint="eastAsia"/>
        </w:rPr>
        <w:t>，強制徵收全區高達84.65%之土地，實際作為公用事業之捷運設施使用僅</w:t>
      </w:r>
      <w:proofErr w:type="gramStart"/>
      <w:r w:rsidR="00FE0F59" w:rsidRPr="00FE0F59">
        <w:rPr>
          <w:rFonts w:hint="eastAsia"/>
        </w:rPr>
        <w:t>佔</w:t>
      </w:r>
      <w:proofErr w:type="gramEnd"/>
      <w:r w:rsidR="00FE0F59" w:rsidRPr="00FE0F59">
        <w:rPr>
          <w:rFonts w:hint="eastAsia"/>
        </w:rPr>
        <w:t>基地面積12.62%，徵收範圍顯已踰越事業之所需，另將徵收取得之公有土地轉為私有，明顯倒果為因，不合比例原則，復未落實依法行政原則，亦有</w:t>
      </w:r>
      <w:proofErr w:type="gramStart"/>
      <w:r w:rsidR="00FE0F59" w:rsidRPr="00FE0F59">
        <w:rPr>
          <w:rFonts w:hint="eastAsia"/>
        </w:rPr>
        <w:t>違</w:t>
      </w:r>
      <w:proofErr w:type="gramEnd"/>
      <w:r w:rsidR="00FE0F59" w:rsidRPr="00FE0F59">
        <w:rPr>
          <w:rFonts w:hint="eastAsia"/>
        </w:rPr>
        <w:t>政府徵收目的。本案91年間強制徵收取得土地後，竟於93</w:t>
      </w:r>
      <w:r w:rsidR="005234B0">
        <w:rPr>
          <w:rFonts w:hint="eastAsia"/>
        </w:rPr>
        <w:t>年間變更該用地之都市計畫，放寬商業使用面積，</w:t>
      </w:r>
      <w:r w:rsidR="00FE0F59" w:rsidRPr="00FE0F59">
        <w:rPr>
          <w:rFonts w:hint="eastAsia"/>
        </w:rPr>
        <w:t>由「不得超過…」之「上限」規定改為「其餘…可作商業使用」之「下限」規定，汽車停車位數由徵收前之1082部車位變更為僅需配置863部車位，失信於被徵收之土地所有權人，辦理過程顯有違失</w:t>
      </w:r>
      <w:r w:rsidR="009563D8" w:rsidRPr="00CA419F">
        <w:rPr>
          <w:rFonts w:hint="eastAsia"/>
          <w:color w:val="000000"/>
        </w:rPr>
        <w:t>，</w:t>
      </w:r>
      <w:proofErr w:type="gramStart"/>
      <w:r w:rsidR="00870D6C" w:rsidRPr="005D1764">
        <w:rPr>
          <w:rFonts w:hint="eastAsia"/>
          <w:color w:val="000000"/>
        </w:rPr>
        <w:t>爰</w:t>
      </w:r>
      <w:proofErr w:type="gramEnd"/>
      <w:r w:rsidR="00870D6C" w:rsidRPr="005D1764">
        <w:rPr>
          <w:rFonts w:hint="eastAsia"/>
          <w:color w:val="000000"/>
        </w:rPr>
        <w:t>依法</w:t>
      </w:r>
      <w:r w:rsidRPr="005D1764">
        <w:rPr>
          <w:rFonts w:hint="eastAsia"/>
          <w:color w:val="000000"/>
        </w:rPr>
        <w:t>提案糾正。</w:t>
      </w:r>
    </w:p>
    <w:p w:rsidR="00C80539" w:rsidRPr="005D1764" w:rsidRDefault="00C80539" w:rsidP="005D1764">
      <w:pPr>
        <w:pStyle w:val="1"/>
        <w:ind w:left="2381" w:hangingChars="700" w:hanging="2381"/>
        <w:rPr>
          <w:rFonts w:hint="eastAsia"/>
          <w:bCs w:val="0"/>
          <w:color w:val="000000"/>
        </w:rPr>
      </w:pPr>
      <w:bookmarkStart w:id="19" w:name="_Toc524895646"/>
      <w:bookmarkStart w:id="20" w:name="_Toc524896192"/>
      <w:bookmarkStart w:id="21" w:name="_Toc524896222"/>
      <w:bookmarkStart w:id="22" w:name="_Toc524902729"/>
      <w:bookmarkStart w:id="23" w:name="_Toc525066145"/>
      <w:bookmarkStart w:id="24" w:name="_Toc525070836"/>
      <w:bookmarkStart w:id="25" w:name="_Toc525938376"/>
      <w:bookmarkStart w:id="26" w:name="_Toc525939224"/>
      <w:bookmarkStart w:id="27" w:name="_Toc525939729"/>
      <w:bookmarkStart w:id="28" w:name="_Toc529218269"/>
      <w:bookmarkStart w:id="29" w:name="_Toc529222686"/>
      <w:bookmarkStart w:id="30" w:name="_Toc529223108"/>
      <w:bookmarkStart w:id="31" w:name="_Toc529223859"/>
      <w:bookmarkStart w:id="32" w:name="_Toc529228262"/>
      <w:r w:rsidRPr="005D1764">
        <w:rPr>
          <w:rFonts w:hint="eastAsia"/>
          <w:color w:val="000000"/>
        </w:rPr>
        <w:t>事實與理由：</w:t>
      </w:r>
      <w:bookmarkStart w:id="33" w:name="_Toc524892372"/>
      <w:bookmarkStart w:id="34" w:name="_Toc525066144"/>
      <w:bookmarkStart w:id="35" w:name="_Toc525070834"/>
      <w:bookmarkStart w:id="36" w:name="_Toc525938374"/>
      <w:bookmarkStart w:id="37" w:name="_Toc525939222"/>
      <w:bookmarkStart w:id="38" w:name="_Toc525939727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FE0F59" w:rsidRPr="00853D95" w:rsidRDefault="00FE0F59" w:rsidP="00FE0F59">
      <w:pPr>
        <w:pStyle w:val="2"/>
        <w:kinsoku w:val="0"/>
        <w:autoSpaceDE w:val="0"/>
        <w:autoSpaceDN w:val="0"/>
        <w:ind w:left="1020" w:hanging="680"/>
        <w:rPr>
          <w:rFonts w:hint="eastAsia"/>
          <w:szCs w:val="36"/>
        </w:rPr>
      </w:pPr>
      <w:bookmarkStart w:id="39" w:name="_Toc524895648"/>
      <w:bookmarkStart w:id="40" w:name="_Toc524896194"/>
      <w:bookmarkStart w:id="41" w:name="_Toc524896224"/>
      <w:bookmarkStart w:id="42" w:name="_Toc524902734"/>
      <w:bookmarkStart w:id="43" w:name="_Toc525066148"/>
      <w:bookmarkStart w:id="44" w:name="_Toc525070839"/>
      <w:bookmarkStart w:id="45" w:name="_Toc525938379"/>
      <w:bookmarkStart w:id="46" w:name="_Toc525939227"/>
      <w:bookmarkStart w:id="47" w:name="_Toc525939732"/>
      <w:bookmarkStart w:id="48" w:name="_Toc529218272"/>
      <w:bookmarkEnd w:id="33"/>
      <w:bookmarkEnd w:id="34"/>
      <w:bookmarkEnd w:id="35"/>
      <w:bookmarkEnd w:id="36"/>
      <w:bookmarkEnd w:id="37"/>
      <w:bookmarkEnd w:id="38"/>
      <w:r w:rsidRPr="00853D95">
        <w:rPr>
          <w:rFonts w:hint="eastAsia"/>
        </w:rPr>
        <w:t>本案（交十一）之基地</w:t>
      </w:r>
      <w:r>
        <w:rPr>
          <w:rFonts w:hint="eastAsia"/>
        </w:rPr>
        <w:t>共8166平方公尺</w:t>
      </w:r>
      <w:r w:rsidRPr="00853D95">
        <w:rPr>
          <w:rFonts w:hint="eastAsia"/>
        </w:rPr>
        <w:t>，政府最初以</w:t>
      </w:r>
      <w:r w:rsidRPr="004E5345">
        <w:rPr>
          <w:rFonts w:hAnsi="標楷體" w:hint="eastAsia"/>
        </w:rPr>
        <w:t>興辦</w:t>
      </w:r>
      <w:r w:rsidRPr="00853D95">
        <w:rPr>
          <w:rFonts w:hint="eastAsia"/>
        </w:rPr>
        <w:t>交通事業為由，強制徵收</w:t>
      </w:r>
      <w:r>
        <w:rPr>
          <w:rFonts w:hint="eastAsia"/>
        </w:rPr>
        <w:t>全區</w:t>
      </w:r>
      <w:r w:rsidRPr="00853D95">
        <w:rPr>
          <w:rFonts w:hint="eastAsia"/>
        </w:rPr>
        <w:t>高達84.65%之土地，</w:t>
      </w:r>
      <w:r>
        <w:rPr>
          <w:rFonts w:hint="eastAsia"/>
        </w:rPr>
        <w:t>餘</w:t>
      </w:r>
      <w:proofErr w:type="gramStart"/>
      <w:r w:rsidRPr="00853D95">
        <w:rPr>
          <w:rFonts w:hint="eastAsia"/>
        </w:rPr>
        <w:t>採</w:t>
      </w:r>
      <w:proofErr w:type="gramEnd"/>
      <w:r w:rsidRPr="00853D95">
        <w:rPr>
          <w:rFonts w:hint="eastAsia"/>
        </w:rPr>
        <w:t>有償撥用、接管或協議價購</w:t>
      </w:r>
      <w:r>
        <w:rPr>
          <w:rFonts w:hint="eastAsia"/>
        </w:rPr>
        <w:t>，</w:t>
      </w:r>
      <w:r w:rsidRPr="00853D95">
        <w:rPr>
          <w:rFonts w:hint="eastAsia"/>
        </w:rPr>
        <w:t>僅</w:t>
      </w:r>
      <w:proofErr w:type="gramStart"/>
      <w:r w:rsidRPr="00853D95">
        <w:rPr>
          <w:rFonts w:hint="eastAsia"/>
        </w:rPr>
        <w:t>佔</w:t>
      </w:r>
      <w:proofErr w:type="gramEnd"/>
      <w:r>
        <w:rPr>
          <w:rFonts w:hint="eastAsia"/>
        </w:rPr>
        <w:t>全區之</w:t>
      </w:r>
      <w:r w:rsidRPr="00853D95">
        <w:rPr>
          <w:rFonts w:hint="eastAsia"/>
        </w:rPr>
        <w:t>15.35%；然經聯合開發後，實際作為公用事業之捷運設施使用僅</w:t>
      </w:r>
      <w:proofErr w:type="gramStart"/>
      <w:r w:rsidRPr="00853D95">
        <w:rPr>
          <w:rFonts w:hint="eastAsia"/>
        </w:rPr>
        <w:t>佔</w:t>
      </w:r>
      <w:proofErr w:type="gramEnd"/>
      <w:r w:rsidRPr="00853D95">
        <w:rPr>
          <w:rFonts w:hint="eastAsia"/>
        </w:rPr>
        <w:t>基地面積12.62%，</w:t>
      </w:r>
      <w:r>
        <w:rPr>
          <w:rFonts w:hint="eastAsia"/>
        </w:rPr>
        <w:t>徵收範圍顯</w:t>
      </w:r>
      <w:r w:rsidRPr="00853D95">
        <w:rPr>
          <w:rFonts w:hint="eastAsia"/>
        </w:rPr>
        <w:t>已踰越事業之所需，</w:t>
      </w:r>
      <w:r>
        <w:rPr>
          <w:rFonts w:hint="eastAsia"/>
        </w:rPr>
        <w:t>另</w:t>
      </w:r>
      <w:r w:rsidRPr="00853D95">
        <w:rPr>
          <w:rFonts w:hint="eastAsia"/>
        </w:rPr>
        <w:t>將徵收取得之公有土地轉為私有，明顯倒果為因，不合比例原則，</w:t>
      </w:r>
      <w:r>
        <w:rPr>
          <w:rFonts w:hint="eastAsia"/>
        </w:rPr>
        <w:t>復未落實依法行政原則，</w:t>
      </w:r>
      <w:r w:rsidRPr="00853D95">
        <w:rPr>
          <w:rFonts w:hint="eastAsia"/>
        </w:rPr>
        <w:t>亦有</w:t>
      </w:r>
      <w:proofErr w:type="gramStart"/>
      <w:r w:rsidRPr="00853D95">
        <w:rPr>
          <w:rFonts w:hint="eastAsia"/>
        </w:rPr>
        <w:t>違</w:t>
      </w:r>
      <w:proofErr w:type="gramEnd"/>
      <w:r w:rsidRPr="00853D95">
        <w:rPr>
          <w:rFonts w:hint="eastAsia"/>
        </w:rPr>
        <w:t>政府徵收目的</w:t>
      </w:r>
      <w:r>
        <w:rPr>
          <w:rFonts w:hint="eastAsia"/>
        </w:rPr>
        <w:t>及相關法令。</w:t>
      </w:r>
    </w:p>
    <w:p w:rsidR="00FE0F59" w:rsidRPr="00816EE2" w:rsidRDefault="00FE0F59" w:rsidP="00FE0F59">
      <w:pPr>
        <w:pStyle w:val="3"/>
        <w:kinsoku w:val="0"/>
        <w:rPr>
          <w:rFonts w:hAnsi="標楷體" w:hint="eastAsia"/>
        </w:rPr>
      </w:pPr>
      <w:r w:rsidRPr="00816EE2">
        <w:rPr>
          <w:rFonts w:hAnsi="標楷體" w:hint="eastAsia"/>
        </w:rPr>
        <w:t>關於強制徵收私有土地，透過聯合開發程序將公有土地轉為私有問題</w:t>
      </w:r>
      <w:r w:rsidRPr="000F0EB3">
        <w:rPr>
          <w:rFonts w:hAnsi="標楷體" w:hint="eastAsia"/>
        </w:rPr>
        <w:t>，以本院前糾正</w:t>
      </w:r>
      <w:r w:rsidRPr="00816EE2">
        <w:rPr>
          <w:rFonts w:hint="eastAsia"/>
          <w:szCs w:val="32"/>
        </w:rPr>
        <w:t>臺北市政府興辦</w:t>
      </w:r>
      <w:r w:rsidRPr="00816EE2">
        <w:rPr>
          <w:rFonts w:hAnsi="標楷體"/>
        </w:rPr>
        <w:lastRenderedPageBreak/>
        <w:t>「</w:t>
      </w:r>
      <w:proofErr w:type="gramStart"/>
      <w:r w:rsidRPr="00816EE2">
        <w:rPr>
          <w:rFonts w:hint="eastAsia"/>
          <w:szCs w:val="32"/>
        </w:rPr>
        <w:t>臺</w:t>
      </w:r>
      <w:proofErr w:type="gramEnd"/>
      <w:r w:rsidRPr="00816EE2">
        <w:rPr>
          <w:rFonts w:hint="eastAsia"/>
          <w:szCs w:val="32"/>
        </w:rPr>
        <w:t>北都會區大眾捷運系統新店線新店機廠聯合開發案，其聯合開發建築物分配機制，是否公允妥適</w:t>
      </w:r>
      <w:r w:rsidRPr="00816EE2">
        <w:rPr>
          <w:rFonts w:hAnsi="標楷體"/>
        </w:rPr>
        <w:t>乙案」</w:t>
      </w:r>
      <w:r w:rsidRPr="00816EE2">
        <w:rPr>
          <w:rFonts w:hAnsi="標楷體" w:hint="eastAsia"/>
        </w:rPr>
        <w:t>為例</w:t>
      </w:r>
      <w:r w:rsidRPr="00816EE2">
        <w:rPr>
          <w:rFonts w:hAnsi="標楷體"/>
        </w:rPr>
        <w:t>，</w:t>
      </w:r>
      <w:r w:rsidRPr="00816EE2">
        <w:rPr>
          <w:rFonts w:hAnsi="標楷體" w:hint="eastAsia"/>
        </w:rPr>
        <w:t>市府捷運局將高達99.24%之基地強制徵收（85.41%）或公有撥用（13.94%），反而參與聯合開發者</w:t>
      </w:r>
      <w:r>
        <w:rPr>
          <w:rFonts w:hAnsi="標楷體" w:hint="eastAsia"/>
        </w:rPr>
        <w:t>反</w:t>
      </w:r>
      <w:r w:rsidRPr="00816EE2">
        <w:rPr>
          <w:rFonts w:hAnsi="標楷體" w:hint="eastAsia"/>
        </w:rPr>
        <w:t>僅</w:t>
      </w:r>
      <w:proofErr w:type="gramStart"/>
      <w:r w:rsidRPr="00816EE2">
        <w:rPr>
          <w:rFonts w:hAnsi="標楷體" w:hint="eastAsia"/>
        </w:rPr>
        <w:t>佔</w:t>
      </w:r>
      <w:proofErr w:type="gramEnd"/>
      <w:r w:rsidRPr="00816EE2">
        <w:rPr>
          <w:rFonts w:hAnsi="標楷體" w:hint="eastAsia"/>
        </w:rPr>
        <w:t>0.65%（合併登記亦僅</w:t>
      </w:r>
      <w:proofErr w:type="gramStart"/>
      <w:r w:rsidRPr="00816EE2">
        <w:rPr>
          <w:rFonts w:hAnsi="標楷體" w:hint="eastAsia"/>
        </w:rPr>
        <w:t>佔</w:t>
      </w:r>
      <w:proofErr w:type="gramEnd"/>
      <w:r w:rsidRPr="00816EE2">
        <w:rPr>
          <w:rFonts w:hAnsi="標楷體" w:hint="eastAsia"/>
        </w:rPr>
        <w:t>0.76%），</w:t>
      </w:r>
      <w:proofErr w:type="gramStart"/>
      <w:r w:rsidRPr="00816EE2">
        <w:rPr>
          <w:rFonts w:hAnsi="標楷體" w:hint="eastAsia"/>
        </w:rPr>
        <w:t>嗣</w:t>
      </w:r>
      <w:proofErr w:type="gramEnd"/>
      <w:r w:rsidRPr="00816EE2">
        <w:rPr>
          <w:rFonts w:hAnsi="標楷體" w:hint="eastAsia"/>
        </w:rPr>
        <w:t>再透過聯合開發之</w:t>
      </w:r>
      <w:proofErr w:type="gramStart"/>
      <w:r w:rsidRPr="00816EE2">
        <w:rPr>
          <w:rFonts w:hAnsi="標楷體" w:hint="eastAsia"/>
        </w:rPr>
        <w:t>權配竟</w:t>
      </w:r>
      <w:proofErr w:type="gramEnd"/>
      <w:r w:rsidRPr="00816EE2">
        <w:rPr>
          <w:rFonts w:hAnsi="標楷體" w:hint="eastAsia"/>
        </w:rPr>
        <w:t>導致69.25%公有土地轉為私有，政府機關透過徵收手段</w:t>
      </w:r>
      <w:proofErr w:type="gramStart"/>
      <w:r w:rsidRPr="00816EE2">
        <w:rPr>
          <w:rFonts w:hAnsi="標楷體" w:hint="eastAsia"/>
        </w:rPr>
        <w:t>併</w:t>
      </w:r>
      <w:proofErr w:type="gramEnd"/>
      <w:r w:rsidRPr="00816EE2">
        <w:rPr>
          <w:rFonts w:hAnsi="標楷體" w:hint="eastAsia"/>
        </w:rPr>
        <w:t>同聯合開發程序「強制徵收」民眾土地再辦理聯合開發即轉為「私有」，既不符合公平正義，亦不合比例原則，亦有</w:t>
      </w:r>
      <w:proofErr w:type="gramStart"/>
      <w:r w:rsidRPr="00816EE2">
        <w:rPr>
          <w:rFonts w:hAnsi="標楷體" w:hint="eastAsia"/>
        </w:rPr>
        <w:t>違</w:t>
      </w:r>
      <w:proofErr w:type="gramEnd"/>
      <w:r w:rsidRPr="00816EE2">
        <w:rPr>
          <w:rFonts w:hAnsi="標楷體" w:hint="eastAsia"/>
        </w:rPr>
        <w:t>政府徵收目的。次按土地所有權</w:t>
      </w:r>
      <w:proofErr w:type="gramStart"/>
      <w:r w:rsidRPr="00816EE2">
        <w:rPr>
          <w:rFonts w:hAnsi="標楷體" w:hint="eastAsia"/>
        </w:rPr>
        <w:t>之得喪變更</w:t>
      </w:r>
      <w:proofErr w:type="gramEnd"/>
      <w:r w:rsidRPr="00816EE2">
        <w:rPr>
          <w:rFonts w:hAnsi="標楷體" w:hint="eastAsia"/>
        </w:rPr>
        <w:t>，應以法律定之，查大眾捷運法第7條僅規定大眾捷運系統路線、場、站土地及其毗鄰地區土地得聯合開發，並未明定土地得轉為私有，惟交通部</w:t>
      </w:r>
      <w:proofErr w:type="gramStart"/>
      <w:r w:rsidRPr="00816EE2">
        <w:rPr>
          <w:rFonts w:hAnsi="標楷體" w:hint="eastAsia"/>
        </w:rPr>
        <w:t>83年6月7日</w:t>
      </w:r>
      <w:r w:rsidRPr="00816EE2">
        <w:rPr>
          <w:rFonts w:hint="eastAsia"/>
          <w:color w:val="000000"/>
        </w:rPr>
        <w:t>交路</w:t>
      </w:r>
      <w:proofErr w:type="gramEnd"/>
      <w:r w:rsidRPr="00816EE2">
        <w:rPr>
          <w:color w:val="000000"/>
        </w:rPr>
        <w:t>(83)</w:t>
      </w:r>
      <w:r w:rsidRPr="00816EE2">
        <w:rPr>
          <w:rFonts w:hint="eastAsia"/>
          <w:color w:val="000000"/>
        </w:rPr>
        <w:t>字第</w:t>
      </w:r>
      <w:r w:rsidRPr="00816EE2">
        <w:rPr>
          <w:color w:val="000000"/>
        </w:rPr>
        <w:t>021466</w:t>
      </w:r>
      <w:r w:rsidRPr="00816EE2">
        <w:rPr>
          <w:rFonts w:hint="eastAsia"/>
          <w:color w:val="000000"/>
        </w:rPr>
        <w:t>號函復略</w:t>
      </w:r>
      <w:proofErr w:type="gramStart"/>
      <w:r w:rsidRPr="00816EE2">
        <w:rPr>
          <w:rFonts w:hint="eastAsia"/>
          <w:color w:val="000000"/>
        </w:rPr>
        <w:t>以</w:t>
      </w:r>
      <w:proofErr w:type="gramEnd"/>
      <w:r w:rsidRPr="00816EE2">
        <w:rPr>
          <w:rFonts w:hint="eastAsia"/>
          <w:color w:val="000000"/>
        </w:rPr>
        <w:t>：「本案</w:t>
      </w:r>
      <w:proofErr w:type="gramStart"/>
      <w:r w:rsidRPr="00816EE2">
        <w:rPr>
          <w:rFonts w:hint="eastAsia"/>
          <w:color w:val="000000"/>
        </w:rPr>
        <w:t>經轉據內政部</w:t>
      </w:r>
      <w:proofErr w:type="gramEnd"/>
      <w:r w:rsidRPr="00816EE2">
        <w:rPr>
          <w:color w:val="000000"/>
        </w:rPr>
        <w:t>83</w:t>
      </w:r>
      <w:r w:rsidRPr="00816EE2">
        <w:rPr>
          <w:rFonts w:hint="eastAsia"/>
          <w:color w:val="000000"/>
        </w:rPr>
        <w:t>年</w:t>
      </w:r>
      <w:r w:rsidRPr="00816EE2">
        <w:rPr>
          <w:color w:val="000000"/>
        </w:rPr>
        <w:t>5</w:t>
      </w:r>
      <w:r w:rsidRPr="00816EE2">
        <w:rPr>
          <w:rFonts w:hint="eastAsia"/>
          <w:color w:val="000000"/>
        </w:rPr>
        <w:t>月</w:t>
      </w:r>
      <w:r w:rsidRPr="00816EE2">
        <w:rPr>
          <w:color w:val="000000"/>
        </w:rPr>
        <w:t>23</w:t>
      </w:r>
      <w:r w:rsidRPr="00816EE2">
        <w:rPr>
          <w:rFonts w:hint="eastAsia"/>
          <w:color w:val="000000"/>
        </w:rPr>
        <w:t>日台</w:t>
      </w:r>
      <w:r w:rsidRPr="00816EE2">
        <w:rPr>
          <w:color w:val="000000"/>
        </w:rPr>
        <w:t>(83)</w:t>
      </w:r>
      <w:r w:rsidRPr="00816EE2">
        <w:rPr>
          <w:rFonts w:hint="eastAsia"/>
          <w:color w:val="000000"/>
        </w:rPr>
        <w:t>內地字第</w:t>
      </w:r>
      <w:r w:rsidRPr="00816EE2">
        <w:rPr>
          <w:color w:val="000000"/>
        </w:rPr>
        <w:t>8306536</w:t>
      </w:r>
      <w:r w:rsidRPr="00816EE2">
        <w:rPr>
          <w:rFonts w:hint="eastAsia"/>
          <w:color w:val="000000"/>
        </w:rPr>
        <w:t>號函釋：同意依本部</w:t>
      </w:r>
      <w:proofErr w:type="gramStart"/>
      <w:r w:rsidRPr="00816EE2">
        <w:rPr>
          <w:color w:val="000000"/>
        </w:rPr>
        <w:t>83</w:t>
      </w:r>
      <w:r w:rsidRPr="00816EE2">
        <w:rPr>
          <w:rFonts w:hint="eastAsia"/>
          <w:color w:val="000000"/>
        </w:rPr>
        <w:t>年</w:t>
      </w:r>
      <w:r w:rsidRPr="00816EE2">
        <w:rPr>
          <w:color w:val="000000"/>
        </w:rPr>
        <w:t>5</w:t>
      </w:r>
      <w:r w:rsidRPr="00816EE2">
        <w:rPr>
          <w:rFonts w:hint="eastAsia"/>
          <w:color w:val="000000"/>
        </w:rPr>
        <w:t>月</w:t>
      </w:r>
      <w:r w:rsidRPr="00816EE2">
        <w:rPr>
          <w:color w:val="000000"/>
        </w:rPr>
        <w:t>12</w:t>
      </w:r>
      <w:r w:rsidRPr="00816EE2">
        <w:rPr>
          <w:rFonts w:hint="eastAsia"/>
          <w:color w:val="000000"/>
        </w:rPr>
        <w:t>日交路</w:t>
      </w:r>
      <w:proofErr w:type="gramEnd"/>
      <w:r w:rsidRPr="00816EE2">
        <w:rPr>
          <w:color w:val="000000"/>
        </w:rPr>
        <w:t>(83)</w:t>
      </w:r>
      <w:r w:rsidRPr="00816EE2">
        <w:rPr>
          <w:rFonts w:hint="eastAsia"/>
          <w:color w:val="000000"/>
        </w:rPr>
        <w:t>字第</w:t>
      </w:r>
      <w:r w:rsidRPr="00816EE2">
        <w:rPr>
          <w:color w:val="000000"/>
        </w:rPr>
        <w:t>015992</w:t>
      </w:r>
      <w:r w:rsidRPr="00816EE2">
        <w:rPr>
          <w:rFonts w:hint="eastAsia"/>
          <w:color w:val="000000"/>
        </w:rPr>
        <w:t>號函說明</w:t>
      </w:r>
      <w:proofErr w:type="gramStart"/>
      <w:r w:rsidRPr="00816EE2">
        <w:rPr>
          <w:rFonts w:hint="eastAsia"/>
          <w:color w:val="000000"/>
        </w:rPr>
        <w:t>三</w:t>
      </w:r>
      <w:proofErr w:type="gramEnd"/>
      <w:r w:rsidRPr="00816EE2">
        <w:rPr>
          <w:rFonts w:hint="eastAsia"/>
          <w:color w:val="000000"/>
        </w:rPr>
        <w:t>辦理，其意旨為：按大眾捷運系統係指行使於專用路權上可快速、大量、安全、準確服務之大眾運輸，供捷運系統使用之土地，除已做道路、河道…</w:t>
      </w:r>
      <w:proofErr w:type="gramStart"/>
      <w:r w:rsidRPr="00816EE2">
        <w:rPr>
          <w:rFonts w:hint="eastAsia"/>
          <w:color w:val="000000"/>
        </w:rPr>
        <w:t>…</w:t>
      </w:r>
      <w:proofErr w:type="gramEnd"/>
      <w:r w:rsidRPr="00816EE2">
        <w:rPr>
          <w:rFonts w:hint="eastAsia"/>
          <w:color w:val="000000"/>
        </w:rPr>
        <w:t>等公共設施外，其路線、場、站部分大多</w:t>
      </w:r>
      <w:proofErr w:type="gramStart"/>
      <w:r w:rsidRPr="00816EE2">
        <w:rPr>
          <w:rFonts w:hint="eastAsia"/>
          <w:color w:val="000000"/>
        </w:rPr>
        <w:t>循</w:t>
      </w:r>
      <w:proofErr w:type="gramEnd"/>
      <w:r w:rsidRPr="00816EE2">
        <w:rPr>
          <w:rFonts w:hint="eastAsia"/>
          <w:color w:val="000000"/>
        </w:rPr>
        <w:t>都市計畫程序變更為捷運交通用地，而一般公共交通道路於都市計畫說明書中亦明載得作為其他</w:t>
      </w:r>
      <w:proofErr w:type="gramStart"/>
      <w:r w:rsidRPr="00816EE2">
        <w:rPr>
          <w:rFonts w:hint="eastAsia"/>
          <w:color w:val="000000"/>
        </w:rPr>
        <w:t>使用或敘明</w:t>
      </w:r>
      <w:proofErr w:type="gramEnd"/>
      <w:r w:rsidRPr="00816EE2">
        <w:rPr>
          <w:rFonts w:hint="eastAsia"/>
          <w:color w:val="000000"/>
        </w:rPr>
        <w:t>『須另擬定細部計畫』，又大眾捷運法第七條既明定捷運場、站與路線之土地得與私人、團體聯合開發，在聯合開發之型態下，其土地所有權部分移轉參與開發之私人所有係屬必然，因此有關辦理聯合開發之捷運交通用地，不受土地法第十四條第一項第五款之限制」云云，顯有違法律保留原則</w:t>
      </w:r>
      <w:r>
        <w:rPr>
          <w:rFonts w:hAnsi="標楷體" w:hint="eastAsia"/>
        </w:rPr>
        <w:t>，前經本院於101年12月13日以院</w:t>
      </w:r>
      <w:proofErr w:type="gramStart"/>
      <w:r>
        <w:rPr>
          <w:rFonts w:hAnsi="標楷體" w:hint="eastAsia"/>
        </w:rPr>
        <w:t>台交字第1012530431號</w:t>
      </w:r>
      <w:proofErr w:type="gramEnd"/>
      <w:r>
        <w:rPr>
          <w:rFonts w:hAnsi="標楷體" w:hint="eastAsia"/>
        </w:rPr>
        <w:t>函對台北市政府</w:t>
      </w:r>
      <w:r>
        <w:rPr>
          <w:rFonts w:hAnsi="標楷體" w:hint="eastAsia"/>
        </w:rPr>
        <w:lastRenderedPageBreak/>
        <w:t>糾正有案，</w:t>
      </w:r>
      <w:proofErr w:type="gramStart"/>
      <w:r>
        <w:rPr>
          <w:rFonts w:hAnsi="標楷體" w:hint="eastAsia"/>
        </w:rPr>
        <w:t>合先敘</w:t>
      </w:r>
      <w:proofErr w:type="gramEnd"/>
      <w:r>
        <w:rPr>
          <w:rFonts w:hAnsi="標楷體" w:hint="eastAsia"/>
        </w:rPr>
        <w:t>明</w:t>
      </w:r>
      <w:r w:rsidRPr="00902A91">
        <w:rPr>
          <w:rFonts w:hAnsi="標楷體" w:hint="eastAsia"/>
        </w:rPr>
        <w:t>。</w:t>
      </w:r>
    </w:p>
    <w:p w:rsidR="00FE0F59" w:rsidRDefault="00FE0F59" w:rsidP="00FE0F59">
      <w:pPr>
        <w:pStyle w:val="3"/>
        <w:kinsoku w:val="0"/>
        <w:rPr>
          <w:rFonts w:hAnsi="標楷體" w:hint="eastAsia"/>
        </w:rPr>
      </w:pPr>
      <w:proofErr w:type="gramStart"/>
      <w:r w:rsidRPr="00195E3D">
        <w:rPr>
          <w:rFonts w:hAnsi="標楷體" w:hint="eastAsia"/>
        </w:rPr>
        <w:t>復按大眾</w:t>
      </w:r>
      <w:proofErr w:type="gramEnd"/>
      <w:r w:rsidRPr="00195E3D">
        <w:rPr>
          <w:rFonts w:hAnsi="標楷體" w:hint="eastAsia"/>
        </w:rPr>
        <w:t>捷運法第</w:t>
      </w:r>
      <w:r w:rsidRPr="00195E3D">
        <w:rPr>
          <w:rFonts w:hAnsi="標楷體"/>
        </w:rPr>
        <w:t>6</w:t>
      </w:r>
      <w:r w:rsidRPr="00195E3D">
        <w:rPr>
          <w:rFonts w:hAnsi="標楷體" w:hint="eastAsia"/>
        </w:rPr>
        <w:t>條</w:t>
      </w:r>
      <w:r>
        <w:rPr>
          <w:rStyle w:val="af"/>
          <w:rFonts w:hAnsi="標楷體"/>
        </w:rPr>
        <w:footnoteReference w:id="2"/>
      </w:r>
      <w:r w:rsidRPr="00195E3D">
        <w:rPr>
          <w:rFonts w:hAnsi="標楷體" w:hint="eastAsia"/>
        </w:rPr>
        <w:t>規定：「大眾捷運系統需用之土地，得依法徵收或撥用之。」、第</w:t>
      </w:r>
      <w:r w:rsidRPr="00195E3D">
        <w:rPr>
          <w:rFonts w:hAnsi="標楷體"/>
        </w:rPr>
        <w:t>7</w:t>
      </w:r>
      <w:r w:rsidRPr="00195E3D">
        <w:rPr>
          <w:rFonts w:hAnsi="標楷體" w:hint="eastAsia"/>
        </w:rPr>
        <w:t>條</w:t>
      </w:r>
      <w:r>
        <w:rPr>
          <w:rStyle w:val="af"/>
          <w:rFonts w:hAnsi="標楷體"/>
        </w:rPr>
        <w:footnoteReference w:id="3"/>
      </w:r>
      <w:r w:rsidRPr="00195E3D">
        <w:rPr>
          <w:rFonts w:hAnsi="標楷體" w:hint="eastAsia"/>
        </w:rPr>
        <w:t>規定：「為有效利用土地資源，促進地區發展，主管機關得辦理大眾捷運系統路線、場、站土地及其毗鄰地區土地之開發。…</w:t>
      </w:r>
      <w:proofErr w:type="gramStart"/>
      <w:r w:rsidRPr="00195E3D">
        <w:rPr>
          <w:rFonts w:hAnsi="標楷體" w:hint="eastAsia"/>
        </w:rPr>
        <w:t>…</w:t>
      </w:r>
      <w:proofErr w:type="gramEnd"/>
      <w:r w:rsidRPr="00195E3D">
        <w:rPr>
          <w:rFonts w:hAnsi="標楷體" w:hint="eastAsia"/>
        </w:rPr>
        <w:t>大眾捷運系統路線、場、站及其毗鄰地區辦理開發所需之土地，得依有償撥用、協議價購、</w:t>
      </w:r>
      <w:proofErr w:type="gramStart"/>
      <w:r w:rsidRPr="00195E3D">
        <w:rPr>
          <w:rFonts w:hAnsi="標楷體" w:hint="eastAsia"/>
        </w:rPr>
        <w:t>巿</w:t>
      </w:r>
      <w:proofErr w:type="gramEnd"/>
      <w:r w:rsidRPr="00195E3D">
        <w:rPr>
          <w:rFonts w:hAnsi="標楷體" w:hint="eastAsia"/>
        </w:rPr>
        <w:t>地重劃或區段徵收方式取得之；其依協議價購方式辦理者，主管機關應訂定優惠辦法，經協議不成者，得由主管機關依法報請徵收。…</w:t>
      </w:r>
      <w:proofErr w:type="gramStart"/>
      <w:r w:rsidRPr="00195E3D">
        <w:rPr>
          <w:rFonts w:hAnsi="標楷體" w:hint="eastAsia"/>
        </w:rPr>
        <w:t>…</w:t>
      </w:r>
      <w:proofErr w:type="gramEnd"/>
      <w:r w:rsidRPr="00195E3D">
        <w:rPr>
          <w:rFonts w:hAnsi="標楷體" w:hint="eastAsia"/>
        </w:rPr>
        <w:t>主管機關辦理開發之公有土地及因開發所取得之不動產，其處分、設定負擔、租賃或收益，不受土地法第二十五條、國有財產法第二十八條及地方政府公產管理法令之限制」。</w:t>
      </w:r>
      <w:r w:rsidRPr="00652A45">
        <w:rPr>
          <w:rFonts w:hAnsi="標楷體" w:hint="eastAsia"/>
        </w:rPr>
        <w:t>本案</w:t>
      </w:r>
      <w:r w:rsidRPr="00195E3D">
        <w:rPr>
          <w:rFonts w:hAnsi="標楷體" w:hint="eastAsia"/>
        </w:rPr>
        <w:t>內湖站（交十一）基地</w:t>
      </w:r>
      <w:r>
        <w:rPr>
          <w:rFonts w:hAnsi="標楷體" w:hint="eastAsia"/>
        </w:rPr>
        <w:t>開發</w:t>
      </w:r>
      <w:r w:rsidRPr="00195E3D">
        <w:rPr>
          <w:rFonts w:hAnsi="標楷體" w:hint="eastAsia"/>
        </w:rPr>
        <w:t>範圍</w:t>
      </w:r>
      <w:r>
        <w:rPr>
          <w:rFonts w:hAnsi="標楷體" w:hint="eastAsia"/>
        </w:rPr>
        <w:t>涵</w:t>
      </w:r>
      <w:proofErr w:type="gramStart"/>
      <w:r>
        <w:rPr>
          <w:rFonts w:hAnsi="標楷體" w:hint="eastAsia"/>
        </w:rPr>
        <w:t>括</w:t>
      </w:r>
      <w:proofErr w:type="gramEnd"/>
      <w:r w:rsidRPr="00195E3D">
        <w:rPr>
          <w:rFonts w:hAnsi="標楷體" w:hint="eastAsia"/>
        </w:rPr>
        <w:t>台北市內湖區康寧段3小段199地號等26筆土地，總面積為8</w:t>
      </w:r>
      <w:r w:rsidRPr="00195E3D">
        <w:rPr>
          <w:rFonts w:hAnsi="標楷體"/>
        </w:rPr>
        <w:t>,</w:t>
      </w:r>
      <w:r w:rsidRPr="00195E3D">
        <w:rPr>
          <w:rFonts w:hAnsi="標楷體" w:hint="eastAsia"/>
        </w:rPr>
        <w:t>166</w:t>
      </w:r>
      <w:r w:rsidRPr="00195E3D">
        <w:rPr>
          <w:rFonts w:hAnsi="標楷體"/>
        </w:rPr>
        <w:t>平方公尺</w:t>
      </w:r>
      <w:r w:rsidRPr="00195E3D">
        <w:rPr>
          <w:rFonts w:hAnsi="標楷體" w:hint="eastAsia"/>
        </w:rPr>
        <w:t>，其中除2筆為國有地、1筆市有地外，餘23筆土地為私有地。</w:t>
      </w:r>
      <w:r>
        <w:rPr>
          <w:rFonts w:hAnsi="標楷體" w:hint="eastAsia"/>
        </w:rPr>
        <w:t>依臺北市政府</w:t>
      </w:r>
      <w:r w:rsidRPr="00652A45">
        <w:rPr>
          <w:rFonts w:hAnsi="標楷體" w:hint="eastAsia"/>
        </w:rPr>
        <w:t>81年1月28日第六次審查會議（交十一交通用地）主席</w:t>
      </w:r>
      <w:r>
        <w:rPr>
          <w:rFonts w:hAnsi="標楷體" w:hint="eastAsia"/>
        </w:rPr>
        <w:t>所</w:t>
      </w:r>
      <w:r w:rsidRPr="00652A45">
        <w:rPr>
          <w:rFonts w:hAnsi="標楷體" w:hint="eastAsia"/>
        </w:rPr>
        <w:t>裁示：「（一）原則同意以全部停車場用地劃定為聯合開發範圍。（二）本案仍以全部停車場用地變更為交通用地辦理</w:t>
      </w:r>
      <w:r w:rsidRPr="00652A45">
        <w:rPr>
          <w:rFonts w:hAnsi="標楷體" w:hint="eastAsia"/>
        </w:rPr>
        <w:lastRenderedPageBreak/>
        <w:t>聯合開發為原則，…」</w:t>
      </w:r>
      <w:proofErr w:type="gramStart"/>
      <w:r w:rsidRPr="00902A91">
        <w:rPr>
          <w:rFonts w:hAnsi="標楷體" w:hint="eastAsia"/>
        </w:rPr>
        <w:t>嗣</w:t>
      </w:r>
      <w:proofErr w:type="gramEnd"/>
      <w:r>
        <w:rPr>
          <w:rFonts w:hAnsi="標楷體" w:hint="eastAsia"/>
        </w:rPr>
        <w:t>該</w:t>
      </w:r>
      <w:r w:rsidRPr="00902A91">
        <w:rPr>
          <w:rFonts w:hAnsi="標楷體" w:hint="eastAsia"/>
        </w:rPr>
        <w:t>府為辦理內湖站用地開發及取得範圍內土地，分別於91年5月2日及7月2日</w:t>
      </w:r>
      <w:r>
        <w:rPr>
          <w:rFonts w:hAnsi="標楷體" w:hint="eastAsia"/>
        </w:rPr>
        <w:t>，</w:t>
      </w:r>
      <w:r w:rsidRPr="00902A91">
        <w:rPr>
          <w:rFonts w:hAnsi="標楷體" w:hint="eastAsia"/>
        </w:rPr>
        <w:t>召開2次「捷運系統木柵（內湖）延伸線內湖站（交十一）用地聯合開發協議會暨徵收前價購及地上物拆遷補償協議會」，</w:t>
      </w:r>
      <w:r>
        <w:rPr>
          <w:rFonts w:hAnsi="標楷體" w:hint="eastAsia"/>
        </w:rPr>
        <w:t>據該府表示，當時會議已清楚</w:t>
      </w:r>
      <w:r w:rsidRPr="00902A91">
        <w:rPr>
          <w:rFonts w:hAnsi="標楷體" w:hint="eastAsia"/>
        </w:rPr>
        <w:t>說明</w:t>
      </w:r>
      <w:r>
        <w:rPr>
          <w:rFonts w:hAnsi="標楷體" w:hint="eastAsia"/>
        </w:rPr>
        <w:t>開發</w:t>
      </w:r>
      <w:r w:rsidRPr="00902A91">
        <w:rPr>
          <w:rFonts w:hAnsi="標楷體" w:hint="eastAsia"/>
        </w:rPr>
        <w:t>方式係</w:t>
      </w:r>
      <w:proofErr w:type="gramStart"/>
      <w:r w:rsidRPr="00902A91">
        <w:rPr>
          <w:rFonts w:hAnsi="標楷體" w:hint="eastAsia"/>
        </w:rPr>
        <w:t>採</w:t>
      </w:r>
      <w:proofErr w:type="gramEnd"/>
      <w:r w:rsidRPr="00902A91">
        <w:rPr>
          <w:rFonts w:hAnsi="標楷體" w:hint="eastAsia"/>
        </w:rPr>
        <w:t>聯合開發，然因土地所有權人無人選擇參與聯合開發方式，故未能達成協議。其後遂由該府於</w:t>
      </w:r>
      <w:proofErr w:type="gramStart"/>
      <w:r w:rsidRPr="00902A91">
        <w:rPr>
          <w:rFonts w:hAnsi="標楷體" w:hint="eastAsia"/>
        </w:rPr>
        <w:t>91年9月間依土地</w:t>
      </w:r>
      <w:proofErr w:type="gramEnd"/>
      <w:r w:rsidRPr="00902A91">
        <w:rPr>
          <w:rFonts w:hAnsi="標楷體" w:hint="eastAsia"/>
        </w:rPr>
        <w:t>徵收條例規定，報請內政部核准辦理私有土地徵收</w:t>
      </w:r>
      <w:r w:rsidRPr="00AE65E1">
        <w:rPr>
          <w:rFonts w:hAnsi="標楷體" w:hint="eastAsia"/>
          <w:color w:val="000000"/>
        </w:rPr>
        <w:t>，內政部並於91年10月1日核准徵收。</w:t>
      </w:r>
      <w:r>
        <w:rPr>
          <w:rFonts w:hAnsi="標楷體" w:hint="eastAsia"/>
        </w:rPr>
        <w:t>經清查，</w:t>
      </w:r>
      <w:r w:rsidRPr="00902A91">
        <w:rPr>
          <w:rFonts w:hAnsi="標楷體" w:hint="eastAsia"/>
        </w:rPr>
        <w:t>本案聯合開發範圍內土地，因</w:t>
      </w:r>
      <w:r>
        <w:rPr>
          <w:rFonts w:hAnsi="標楷體" w:hint="eastAsia"/>
        </w:rPr>
        <w:t>強制</w:t>
      </w:r>
      <w:r w:rsidRPr="00902A91">
        <w:rPr>
          <w:rFonts w:hAnsi="標楷體" w:hint="eastAsia"/>
        </w:rPr>
        <w:t>徵收取得比例，達開發</w:t>
      </w:r>
      <w:r w:rsidRPr="00902A91">
        <w:rPr>
          <w:rFonts w:hAnsi="標楷體"/>
        </w:rPr>
        <w:t>基地總面積</w:t>
      </w:r>
      <w:r w:rsidRPr="00902A91">
        <w:rPr>
          <w:rFonts w:hAnsi="標楷體" w:hint="eastAsia"/>
        </w:rPr>
        <w:t>之84.65</w:t>
      </w:r>
      <w:r w:rsidRPr="00902A91">
        <w:rPr>
          <w:rFonts w:hAnsi="標楷體"/>
        </w:rPr>
        <w:t>％</w:t>
      </w:r>
      <w:r>
        <w:rPr>
          <w:rStyle w:val="af"/>
          <w:rFonts w:hAnsi="標楷體"/>
        </w:rPr>
        <w:footnoteReference w:id="4"/>
      </w:r>
      <w:r w:rsidRPr="00902A91">
        <w:rPr>
          <w:rFonts w:hAnsi="標楷體" w:hint="eastAsia"/>
        </w:rPr>
        <w:t>，其餘</w:t>
      </w:r>
      <w:proofErr w:type="gramStart"/>
      <w:r w:rsidRPr="00902A91">
        <w:rPr>
          <w:rFonts w:hAnsi="標楷體" w:hint="eastAsia"/>
        </w:rPr>
        <w:t>採</w:t>
      </w:r>
      <w:proofErr w:type="gramEnd"/>
      <w:r w:rsidRPr="00902A91">
        <w:rPr>
          <w:rFonts w:hAnsi="標楷體" w:hint="eastAsia"/>
        </w:rPr>
        <w:t>有償撥用、接管或協議價購取得之土地比例僅</w:t>
      </w:r>
      <w:proofErr w:type="gramStart"/>
      <w:r w:rsidRPr="00902A91">
        <w:rPr>
          <w:rFonts w:hAnsi="標楷體" w:hint="eastAsia"/>
        </w:rPr>
        <w:t>佔</w:t>
      </w:r>
      <w:proofErr w:type="gramEnd"/>
      <w:r w:rsidRPr="00902A91">
        <w:rPr>
          <w:rFonts w:hAnsi="標楷體" w:hint="eastAsia"/>
        </w:rPr>
        <w:t>15.35</w:t>
      </w:r>
      <w:r>
        <w:rPr>
          <w:rFonts w:hAnsi="標楷體" w:hint="eastAsia"/>
        </w:rPr>
        <w:t>％，</w:t>
      </w:r>
      <w:r w:rsidRPr="00530B2A">
        <w:rPr>
          <w:rFonts w:hAnsi="標楷體" w:hint="eastAsia"/>
        </w:rPr>
        <w:t>本案實際所需</w:t>
      </w:r>
      <w:r w:rsidRPr="002654EE">
        <w:rPr>
          <w:rFonts w:hAnsi="標楷體" w:hint="eastAsia"/>
        </w:rPr>
        <w:t>捷運設施</w:t>
      </w:r>
      <w:r>
        <w:rPr>
          <w:rFonts w:hAnsi="標楷體" w:hint="eastAsia"/>
        </w:rPr>
        <w:t>投影</w:t>
      </w:r>
      <w:r w:rsidRPr="002654EE">
        <w:rPr>
          <w:rFonts w:hAnsi="標楷體" w:hint="eastAsia"/>
        </w:rPr>
        <w:t>面積</w:t>
      </w:r>
      <w:r>
        <w:rPr>
          <w:rFonts w:hAnsi="標楷體" w:hint="eastAsia"/>
        </w:rPr>
        <w:t>僅占整體開發面積之12</w:t>
      </w:r>
      <w:r w:rsidRPr="00902A91">
        <w:rPr>
          <w:rFonts w:hAnsi="標楷體" w:hint="eastAsia"/>
        </w:rPr>
        <w:t>.</w:t>
      </w:r>
      <w:r>
        <w:rPr>
          <w:rFonts w:hAnsi="標楷體" w:hint="eastAsia"/>
        </w:rPr>
        <w:t>62</w:t>
      </w:r>
      <w:r w:rsidRPr="00902A91">
        <w:rPr>
          <w:rFonts w:hAnsi="標楷體" w:hint="eastAsia"/>
        </w:rPr>
        <w:t>％</w:t>
      </w:r>
      <w:r>
        <w:rPr>
          <w:rStyle w:val="af"/>
          <w:rFonts w:hAnsi="標楷體"/>
        </w:rPr>
        <w:footnoteReference w:id="5"/>
      </w:r>
      <w:r>
        <w:rPr>
          <w:rFonts w:hAnsi="標楷體" w:hint="eastAsia"/>
        </w:rPr>
        <w:t>，</w:t>
      </w:r>
      <w:proofErr w:type="gramStart"/>
      <w:r>
        <w:rPr>
          <w:rFonts w:hAnsi="標楷體" w:hint="eastAsia"/>
        </w:rPr>
        <w:t>顯可由</w:t>
      </w:r>
      <w:proofErr w:type="gramEnd"/>
      <w:r>
        <w:rPr>
          <w:rFonts w:hAnsi="標楷體" w:hint="eastAsia"/>
        </w:rPr>
        <w:t>公有土地</w:t>
      </w:r>
      <w:r w:rsidRPr="00902A91">
        <w:rPr>
          <w:rFonts w:hAnsi="標楷體" w:hint="eastAsia"/>
        </w:rPr>
        <w:t>有償撥用、接管或協議價購取得土地之</w:t>
      </w:r>
      <w:r>
        <w:rPr>
          <w:rFonts w:hAnsi="標楷體" w:hint="eastAsia"/>
        </w:rPr>
        <w:t>15.35%即可滿足，不須徵求民地，顯已</w:t>
      </w:r>
      <w:r w:rsidRPr="00530B2A">
        <w:rPr>
          <w:rFonts w:hAnsi="標楷體" w:hint="eastAsia"/>
        </w:rPr>
        <w:t>逾越必要程度</w:t>
      </w:r>
      <w:r>
        <w:rPr>
          <w:rFonts w:hAnsi="標楷體" w:hint="eastAsia"/>
        </w:rPr>
        <w:t>，欠缺強制徵收之正當性，有違土地徵收條例。</w:t>
      </w:r>
    </w:p>
    <w:p w:rsidR="00FE0F59" w:rsidRPr="004C78D7" w:rsidRDefault="00FE0F59" w:rsidP="00FE0F59">
      <w:pPr>
        <w:pStyle w:val="3"/>
        <w:kinsoku w:val="0"/>
        <w:rPr>
          <w:rFonts w:hAnsi="標楷體" w:hint="eastAsia"/>
        </w:rPr>
      </w:pPr>
      <w:r w:rsidRPr="004C78D7">
        <w:rPr>
          <w:rFonts w:hAnsi="標楷體" w:hint="eastAsia"/>
        </w:rPr>
        <w:t>本案臺北市政府當時徵收土地計畫書所載明徵收土地原因，係為興辦</w:t>
      </w:r>
      <w:proofErr w:type="gramStart"/>
      <w:r w:rsidRPr="004C78D7">
        <w:rPr>
          <w:rFonts w:hAnsi="標楷體" w:hint="eastAsia"/>
        </w:rPr>
        <w:t>臺</w:t>
      </w:r>
      <w:proofErr w:type="gramEnd"/>
      <w:r w:rsidRPr="004C78D7">
        <w:rPr>
          <w:rFonts w:hAnsi="標楷體" w:hint="eastAsia"/>
        </w:rPr>
        <w:t>北都會區大眾捷運系統木柵延伸（內湖）線工程必需，而使用本案土地；興辦事業之法令，是以土地徵收條例第3條第2款、都市計畫法</w:t>
      </w:r>
      <w:proofErr w:type="gramStart"/>
      <w:r w:rsidRPr="004C78D7">
        <w:rPr>
          <w:rFonts w:hAnsi="標楷體" w:hint="eastAsia"/>
        </w:rPr>
        <w:t>第48條暨</w:t>
      </w:r>
      <w:proofErr w:type="gramEnd"/>
      <w:r w:rsidRPr="004C78D7">
        <w:rPr>
          <w:rFonts w:hAnsi="標楷體" w:hint="eastAsia"/>
        </w:rPr>
        <w:t>大眾捷運法第6條、第7條規定為依據。為</w:t>
      </w:r>
      <w:proofErr w:type="gramStart"/>
      <w:r w:rsidRPr="004C78D7">
        <w:rPr>
          <w:rFonts w:hAnsi="標楷體" w:hint="eastAsia"/>
        </w:rPr>
        <w:t>釐</w:t>
      </w:r>
      <w:proofErr w:type="gramEnd"/>
      <w:r w:rsidRPr="004C78D7">
        <w:rPr>
          <w:rFonts w:hAnsi="標楷體" w:hint="eastAsia"/>
        </w:rPr>
        <w:t>清前述政府辦理捷運聯合開發案過程中，如以公共利益為由先辦理徵收私有土地後，卻於聯合開發模式權益分配方式下，合理化該等徵收取得公有地再轉為私有之行為，引發是否抵觸相關規定及人民財產權益之保障，前經本院諮詢學者</w:t>
      </w:r>
      <w:r w:rsidRPr="004C78D7">
        <w:rPr>
          <w:rFonts w:hAnsi="標楷體" w:hint="eastAsia"/>
        </w:rPr>
        <w:lastRenderedPageBreak/>
        <w:t>略</w:t>
      </w:r>
      <w:proofErr w:type="gramStart"/>
      <w:r w:rsidRPr="004C78D7">
        <w:rPr>
          <w:rFonts w:hAnsi="標楷體" w:hint="eastAsia"/>
        </w:rPr>
        <w:t>以</w:t>
      </w:r>
      <w:proofErr w:type="gramEnd"/>
      <w:r w:rsidRPr="004C78D7">
        <w:rPr>
          <w:rFonts w:hAnsi="標楷體" w:hint="eastAsia"/>
        </w:rPr>
        <w:t>，依大眾捷運法第6條規定，徵收土地即須符合「大眾捷運系統需用」之目的；若依大眾捷運法第7條規定辦理大眾捷運系統路線、場、站土地及其毗鄰地區土地之開發，則必須符合該條第4項規定依有償撥用、協議價購、市地重劃或區段徵收方式取得之，依協議價購方式辦理者，應訂定優惠辦法，經協議不成者，始得報請徵收，不應回溯第6條之適用。</w:t>
      </w:r>
      <w:r w:rsidRPr="00E558C5">
        <w:rPr>
          <w:rFonts w:hAnsi="標楷體" w:hint="eastAsia"/>
          <w:color w:val="000000"/>
        </w:rPr>
        <w:t>換言之，以大眾捷運法第6條辦理公用事業所必須徵收之土地，其「基地範圍」應以最小其事業所必須者為限，其餘方依大眾捷運法第7條規定以「毗鄰土地」之方式參與聯合開發。本案經查，臺北市捷運內湖線係</w:t>
      </w:r>
      <w:proofErr w:type="gramStart"/>
      <w:r w:rsidRPr="00E558C5">
        <w:rPr>
          <w:rFonts w:hAnsi="標楷體" w:hint="eastAsia"/>
          <w:color w:val="000000"/>
        </w:rPr>
        <w:t>採</w:t>
      </w:r>
      <w:proofErr w:type="gramEnd"/>
      <w:r w:rsidRPr="00E558C5">
        <w:rPr>
          <w:rFonts w:hAnsi="標楷體" w:hint="eastAsia"/>
          <w:color w:val="000000"/>
        </w:rPr>
        <w:t>地面上行車系統，捷運路線並非位於交十一基地正下方，聯通方式係由成功路4段道路上之捷運內湖站（約地上3樓處）設置通廊，藉由通廊聯接到交十一用地，並於交十一用地留設捷運出入口（捷運1號出口）之關係，</w:t>
      </w:r>
      <w:proofErr w:type="gramStart"/>
      <w:r w:rsidRPr="00E558C5">
        <w:rPr>
          <w:rFonts w:hAnsi="標楷體" w:hint="eastAsia"/>
          <w:color w:val="000000"/>
        </w:rPr>
        <w:t>據圖顯示當層</w:t>
      </w:r>
      <w:proofErr w:type="gramEnd"/>
      <w:r w:rsidRPr="00E558C5">
        <w:rPr>
          <w:rFonts w:hAnsi="標楷體" w:hint="eastAsia"/>
          <w:color w:val="000000"/>
        </w:rPr>
        <w:t>最大捷運設施面積（3樓）僅為1</w:t>
      </w:r>
      <w:r w:rsidRPr="00E558C5">
        <w:rPr>
          <w:rFonts w:hAnsi="標楷體"/>
          <w:color w:val="000000"/>
        </w:rPr>
        <w:t>,</w:t>
      </w:r>
      <w:r w:rsidRPr="00E558C5">
        <w:rPr>
          <w:rFonts w:hAnsi="標楷體" w:hint="eastAsia"/>
          <w:color w:val="000000"/>
        </w:rPr>
        <w:t>031平方公尺，</w:t>
      </w:r>
      <w:r w:rsidRPr="004C78D7">
        <w:rPr>
          <w:rFonts w:hAnsi="標楷體" w:hint="eastAsia"/>
        </w:rPr>
        <w:t>實際所需捷運設施(投影)面積僅占整體開發面積之12.62％</w:t>
      </w:r>
      <w:r>
        <w:rPr>
          <w:rFonts w:hAnsi="標楷體" w:hint="eastAsia"/>
        </w:rPr>
        <w:t>，</w:t>
      </w:r>
      <w:r w:rsidRPr="00E558C5">
        <w:rPr>
          <w:rFonts w:hAnsi="標楷體" w:hint="eastAsia"/>
          <w:color w:val="000000"/>
        </w:rPr>
        <w:t>不須以開發為藉口取得8</w:t>
      </w:r>
      <w:r w:rsidRPr="00E558C5">
        <w:rPr>
          <w:rFonts w:hAnsi="標楷體"/>
          <w:color w:val="000000"/>
        </w:rPr>
        <w:t>,</w:t>
      </w:r>
      <w:r w:rsidRPr="00E558C5">
        <w:rPr>
          <w:rFonts w:hAnsi="標楷體" w:hint="eastAsia"/>
          <w:color w:val="000000"/>
        </w:rPr>
        <w:t>166平方公尺之基地面積，即可維持該公用事業之必須，對此，應留設捷運設施面積多寡，顯應</w:t>
      </w:r>
      <w:proofErr w:type="gramStart"/>
      <w:r w:rsidRPr="00E558C5">
        <w:rPr>
          <w:rFonts w:hAnsi="標楷體" w:hint="eastAsia"/>
          <w:color w:val="000000"/>
        </w:rPr>
        <w:t>覈</w:t>
      </w:r>
      <w:proofErr w:type="gramEnd"/>
      <w:r w:rsidRPr="00E558C5">
        <w:rPr>
          <w:rFonts w:hAnsi="標楷體" w:hint="eastAsia"/>
          <w:color w:val="000000"/>
        </w:rPr>
        <w:t>實規劃評量，或僅需留設捷運出入口部分</w:t>
      </w:r>
      <w:r>
        <w:rPr>
          <w:rFonts w:hAnsi="標楷體" w:hint="eastAsia"/>
          <w:color w:val="000000"/>
        </w:rPr>
        <w:t>之</w:t>
      </w:r>
      <w:r>
        <w:rPr>
          <w:rFonts w:hAnsi="標楷體" w:hint="eastAsia"/>
        </w:rPr>
        <w:t>土地</w:t>
      </w:r>
      <w:r w:rsidRPr="00E558C5">
        <w:rPr>
          <w:rFonts w:hAnsi="標楷體" w:hint="eastAsia"/>
          <w:color w:val="000000"/>
        </w:rPr>
        <w:t>辦理徵收。</w:t>
      </w:r>
      <w:r w:rsidRPr="004C78D7">
        <w:rPr>
          <w:rFonts w:hAnsi="標楷體" w:hint="eastAsia"/>
        </w:rPr>
        <w:t>本案彰顯出此種「徵收」民眾土地後再轉為「私有」之開發方式，不僅不符公平正義</w:t>
      </w:r>
      <w:r>
        <w:rPr>
          <w:rFonts w:hAnsi="標楷體" w:hint="eastAsia"/>
        </w:rPr>
        <w:t>，且有侵害憲法財產權保障之虞，對</w:t>
      </w:r>
      <w:r w:rsidRPr="004C78D7">
        <w:rPr>
          <w:rFonts w:hAnsi="標楷體" w:hint="eastAsia"/>
        </w:rPr>
        <w:t>此本案徵收</w:t>
      </w:r>
      <w:r>
        <w:rPr>
          <w:rFonts w:hAnsi="標楷體" w:hint="eastAsia"/>
        </w:rPr>
        <w:t>範圍顯已逾越</w:t>
      </w:r>
      <w:r w:rsidRPr="004C78D7">
        <w:rPr>
          <w:rFonts w:hAnsi="標楷體" w:hint="eastAsia"/>
        </w:rPr>
        <w:t>「公共事業」、「公益需要」或「實施經濟政策」之必要，以及「非此不可」、「遂行公益所必要」之「最後手段」</w:t>
      </w:r>
      <w:r>
        <w:rPr>
          <w:rFonts w:hAnsi="標楷體" w:hint="eastAsia"/>
        </w:rPr>
        <w:t>，亦不合比例原則</w:t>
      </w:r>
      <w:r w:rsidRPr="004C78D7">
        <w:rPr>
          <w:rFonts w:hAnsi="標楷體" w:hint="eastAsia"/>
        </w:rPr>
        <w:t>。</w:t>
      </w:r>
    </w:p>
    <w:p w:rsidR="00FE0F59" w:rsidRPr="004C78D7" w:rsidRDefault="00FE0F59" w:rsidP="00FE0F59">
      <w:pPr>
        <w:pStyle w:val="3"/>
        <w:kinsoku w:val="0"/>
        <w:rPr>
          <w:rFonts w:hAnsi="標楷體" w:hint="eastAsia"/>
          <w:lang w:val="zh-TW"/>
        </w:rPr>
      </w:pPr>
      <w:r w:rsidRPr="00530B2A">
        <w:rPr>
          <w:rFonts w:hAnsi="標楷體"/>
        </w:rPr>
        <w:t>綜上，</w:t>
      </w:r>
      <w:r w:rsidRPr="00DB0DF2">
        <w:rPr>
          <w:rFonts w:hAnsi="標楷體" w:hint="eastAsia"/>
        </w:rPr>
        <w:t>本案（交十一）用地</w:t>
      </w:r>
      <w:r>
        <w:rPr>
          <w:rFonts w:hAnsi="標楷體" w:hint="eastAsia"/>
        </w:rPr>
        <w:t>高達84.65%比例</w:t>
      </w:r>
      <w:r w:rsidRPr="00DB0DF2">
        <w:rPr>
          <w:rFonts w:hAnsi="標楷體" w:hint="eastAsia"/>
        </w:rPr>
        <w:t>係透過徵收之強制取得，</w:t>
      </w:r>
      <w:proofErr w:type="gramStart"/>
      <w:r w:rsidRPr="00853D95">
        <w:rPr>
          <w:rFonts w:hint="eastAsia"/>
        </w:rPr>
        <w:t>採</w:t>
      </w:r>
      <w:proofErr w:type="gramEnd"/>
      <w:r w:rsidRPr="00853D95">
        <w:rPr>
          <w:rFonts w:hint="eastAsia"/>
        </w:rPr>
        <w:t>有償撥用、接管或協議價購者</w:t>
      </w:r>
      <w:proofErr w:type="gramStart"/>
      <w:r w:rsidRPr="00853D95">
        <w:rPr>
          <w:rFonts w:hint="eastAsia"/>
        </w:rPr>
        <w:lastRenderedPageBreak/>
        <w:t>佔</w:t>
      </w:r>
      <w:proofErr w:type="gramEnd"/>
      <w:r w:rsidRPr="00853D95">
        <w:rPr>
          <w:rFonts w:hint="eastAsia"/>
        </w:rPr>
        <w:t>15.35%</w:t>
      </w:r>
      <w:r>
        <w:rPr>
          <w:rFonts w:hint="eastAsia"/>
        </w:rPr>
        <w:t>，</w:t>
      </w:r>
      <w:r>
        <w:rPr>
          <w:rFonts w:hAnsi="標楷體" w:hint="eastAsia"/>
        </w:rPr>
        <w:t>惟實際作為公用事業捷運設施使用之投影面積僅</w:t>
      </w:r>
      <w:proofErr w:type="gramStart"/>
      <w:r>
        <w:rPr>
          <w:rFonts w:hAnsi="標楷體" w:hint="eastAsia"/>
        </w:rPr>
        <w:t>佔</w:t>
      </w:r>
      <w:proofErr w:type="gramEnd"/>
      <w:r>
        <w:rPr>
          <w:rFonts w:hAnsi="標楷體" w:hint="eastAsia"/>
        </w:rPr>
        <w:t>12.62%，</w:t>
      </w:r>
      <w:proofErr w:type="gramStart"/>
      <w:r>
        <w:rPr>
          <w:rFonts w:hAnsi="標楷體" w:hint="eastAsia"/>
        </w:rPr>
        <w:t>顯可由</w:t>
      </w:r>
      <w:proofErr w:type="gramEnd"/>
      <w:r>
        <w:rPr>
          <w:rFonts w:hAnsi="標楷體" w:hint="eastAsia"/>
        </w:rPr>
        <w:t>公有土地</w:t>
      </w:r>
      <w:r w:rsidRPr="00902A91">
        <w:rPr>
          <w:rFonts w:hAnsi="標楷體" w:hint="eastAsia"/>
        </w:rPr>
        <w:t>有償撥用、接管或協議價購取得土地之</w:t>
      </w:r>
      <w:r>
        <w:rPr>
          <w:rFonts w:hAnsi="標楷體" w:hint="eastAsia"/>
        </w:rPr>
        <w:t>15.35%即可滿足，不須徵求民地，市府作為已</w:t>
      </w:r>
      <w:r w:rsidRPr="00530B2A">
        <w:rPr>
          <w:rFonts w:hAnsi="標楷體" w:hint="eastAsia"/>
        </w:rPr>
        <w:t>逾越必要程度</w:t>
      </w:r>
      <w:r>
        <w:rPr>
          <w:rFonts w:hAnsi="標楷體" w:hint="eastAsia"/>
        </w:rPr>
        <w:t>，明顯倒果為因，欠缺強制徵收之正當性，亦不合比例原則，</w:t>
      </w:r>
      <w:r>
        <w:rPr>
          <w:rFonts w:hint="eastAsia"/>
        </w:rPr>
        <w:t>復</w:t>
      </w:r>
      <w:r>
        <w:rPr>
          <w:rFonts w:hAnsi="標楷體" w:hint="eastAsia"/>
        </w:rPr>
        <w:t>未落實依法行政原則，更與政府徵收目的有違。</w:t>
      </w:r>
    </w:p>
    <w:p w:rsidR="00FE0F59" w:rsidRPr="00902A91" w:rsidRDefault="00FE0F59" w:rsidP="00FE0F59">
      <w:pPr>
        <w:pStyle w:val="2"/>
        <w:kinsoku w:val="0"/>
        <w:wordWrap w:val="0"/>
        <w:autoSpaceDE w:val="0"/>
        <w:autoSpaceDN w:val="0"/>
        <w:ind w:left="1020" w:hanging="680"/>
        <w:rPr>
          <w:rFonts w:hAnsi="標楷體" w:hint="eastAsia"/>
          <w:b/>
        </w:rPr>
      </w:pPr>
      <w:r w:rsidRPr="00902A91">
        <w:rPr>
          <w:rFonts w:hAnsi="標楷體"/>
          <w:b/>
        </w:rPr>
        <w:t>本案</w:t>
      </w:r>
      <w:r w:rsidRPr="00902A91">
        <w:rPr>
          <w:rFonts w:hAnsi="標楷體" w:hint="eastAsia"/>
          <w:b/>
        </w:rPr>
        <w:t>（交十一）於91年間召開2次「聯合開發協議會徵收前價購及地上物拆遷補償協議會」，然並未獲土地所有權人同意參與聯合開發，待地價協議未成而強制徵收取得土地後，竟於93年間變更該用地之都市計畫，放寬商業使用面積由「不得超過…」之「上限」規定改為「其餘…可作商業使用」之「下限」規定，汽車停車位數由徵收前之1082部車位變更為僅需配置863部車位，失信於被徵收之</w:t>
      </w:r>
      <w:r>
        <w:rPr>
          <w:rFonts w:hAnsi="標楷體" w:hint="eastAsia"/>
          <w:b/>
        </w:rPr>
        <w:t>土地所有權人</w:t>
      </w:r>
      <w:r w:rsidRPr="00902A91">
        <w:rPr>
          <w:rFonts w:hAnsi="標楷體" w:hint="eastAsia"/>
          <w:b/>
        </w:rPr>
        <w:t>，辦理過程顯有</w:t>
      </w:r>
      <w:r>
        <w:rPr>
          <w:rFonts w:hAnsi="標楷體" w:hint="eastAsia"/>
          <w:b/>
        </w:rPr>
        <w:t>違失</w:t>
      </w:r>
      <w:r w:rsidRPr="00902A91">
        <w:rPr>
          <w:rFonts w:hAnsi="標楷體" w:hint="eastAsia"/>
          <w:b/>
        </w:rPr>
        <w:t>。</w:t>
      </w:r>
    </w:p>
    <w:p w:rsidR="00FE0F59" w:rsidRPr="0009173F" w:rsidRDefault="00FE0F59" w:rsidP="00FE0F59">
      <w:pPr>
        <w:pStyle w:val="3"/>
        <w:kinsoku w:val="0"/>
        <w:wordWrap w:val="0"/>
        <w:autoSpaceDE w:val="0"/>
        <w:autoSpaceDN w:val="0"/>
        <w:rPr>
          <w:rFonts w:hAnsi="標楷體" w:hint="eastAsia"/>
        </w:rPr>
      </w:pPr>
      <w:r>
        <w:rPr>
          <w:rFonts w:hAnsi="標楷體" w:hint="eastAsia"/>
        </w:rPr>
        <w:t>按行政程序法第8條：「</w:t>
      </w:r>
      <w:r w:rsidRPr="00CD34C4">
        <w:rPr>
          <w:rFonts w:hAnsi="標楷體" w:hint="eastAsia"/>
        </w:rPr>
        <w:t>行政行為，應以誠實信用之方法為之，並應保護人民正當合理之信賴</w:t>
      </w:r>
      <w:r>
        <w:rPr>
          <w:rFonts w:hAnsi="標楷體" w:hint="eastAsia"/>
        </w:rPr>
        <w:t>」。本案</w:t>
      </w:r>
      <w:r w:rsidRPr="0009173F">
        <w:rPr>
          <w:rFonts w:hAnsi="標楷體" w:hint="eastAsia"/>
        </w:rPr>
        <w:t>臺北市政府辦理大眾捷運系統聯合開發之流程</w:t>
      </w:r>
      <w:r>
        <w:rPr>
          <w:rFonts w:hAnsi="標楷體" w:hint="eastAsia"/>
        </w:rPr>
        <w:t>略</w:t>
      </w:r>
      <w:proofErr w:type="gramStart"/>
      <w:r>
        <w:rPr>
          <w:rFonts w:hAnsi="標楷體" w:hint="eastAsia"/>
        </w:rPr>
        <w:t>以</w:t>
      </w:r>
      <w:proofErr w:type="gramEnd"/>
      <w:r>
        <w:rPr>
          <w:rFonts w:hAnsi="標楷體" w:hint="eastAsia"/>
        </w:rPr>
        <w:t>：</w:t>
      </w:r>
      <w:r w:rsidRPr="0009173F">
        <w:rPr>
          <w:rFonts w:hAnsi="標楷體" w:hint="eastAsia"/>
        </w:rPr>
        <w:t>(</w:t>
      </w:r>
      <w:proofErr w:type="gramStart"/>
      <w:r w:rsidRPr="0009173F">
        <w:rPr>
          <w:rFonts w:hAnsi="標楷體" w:hint="eastAsia"/>
        </w:rPr>
        <w:t>一</w:t>
      </w:r>
      <w:proofErr w:type="gramEnd"/>
      <w:r w:rsidRPr="0009173F">
        <w:rPr>
          <w:rFonts w:hAnsi="標楷體" w:hint="eastAsia"/>
        </w:rPr>
        <w:t>)捷運場站規劃及聯合開發基地評選</w:t>
      </w:r>
      <w:r>
        <w:rPr>
          <w:rFonts w:hAnsi="標楷體" w:hint="eastAsia"/>
        </w:rPr>
        <w:t>。</w:t>
      </w:r>
      <w:r w:rsidRPr="0009173F">
        <w:rPr>
          <w:rFonts w:hAnsi="標楷體" w:hint="eastAsia"/>
        </w:rPr>
        <w:t>(二)辦理變更都市計畫程序（變更土地使用分區為捷運用地並核定聯合開發基地）。(三)用地取得：先行協議價購，未達成協議者，私地辦理徵收，公地申請有償撥用（依93年5月12日修正後之大眾捷運法第7條修法理由，為簡化開發流程及縮短時程，故修正大眾捷運系統土地開發由主管機關依有償撥用、協議價購、市地重劃或區段徵收方式全部取得，並變更為公有土地，以主導辦理開發事宜）。(四)與公私地主協議簽約並辦理預告登記。(五)聯合開發計畫審議、核定及公告實施。</w:t>
      </w:r>
      <w:r>
        <w:rPr>
          <w:rFonts w:hAnsi="標楷體" w:hint="eastAsia"/>
        </w:rPr>
        <w:t>（六）公開徵求投資人辦理聯合開發。</w:t>
      </w:r>
    </w:p>
    <w:p w:rsidR="00FE0F59" w:rsidRDefault="00FE0F59" w:rsidP="00FE0F59">
      <w:pPr>
        <w:pStyle w:val="3"/>
        <w:kinsoku w:val="0"/>
        <w:wordWrap w:val="0"/>
        <w:autoSpaceDE w:val="0"/>
        <w:autoSpaceDN w:val="0"/>
        <w:rPr>
          <w:rFonts w:hAnsi="標楷體" w:hint="eastAsia"/>
        </w:rPr>
      </w:pPr>
      <w:r w:rsidRPr="0009173F">
        <w:rPr>
          <w:rFonts w:hAnsi="標楷體" w:hint="eastAsia"/>
        </w:rPr>
        <w:lastRenderedPageBreak/>
        <w:t>經查，本案（交十一）於聯合開發基地評選階段時，台北市政府捷運局於80年12月6日召開「捷運系統內湖線工程用地</w:t>
      </w:r>
      <w:proofErr w:type="gramStart"/>
      <w:r w:rsidRPr="0009173F">
        <w:rPr>
          <w:rFonts w:hAnsi="標楷體" w:hint="eastAsia"/>
        </w:rPr>
        <w:t>逕</w:t>
      </w:r>
      <w:proofErr w:type="gramEnd"/>
      <w:r w:rsidRPr="0009173F">
        <w:rPr>
          <w:rFonts w:hAnsi="標楷體" w:hint="eastAsia"/>
        </w:rPr>
        <w:t>為變更都市計畫事宜</w:t>
      </w:r>
      <w:proofErr w:type="gramStart"/>
      <w:r w:rsidRPr="0009173F">
        <w:rPr>
          <w:rFonts w:hAnsi="標楷體" w:hint="eastAsia"/>
        </w:rPr>
        <w:t>研</w:t>
      </w:r>
      <w:proofErr w:type="gramEnd"/>
      <w:r w:rsidRPr="0009173F">
        <w:rPr>
          <w:rFonts w:hAnsi="標楷體" w:hint="eastAsia"/>
        </w:rPr>
        <w:t>商會議」時，市府交通局停管處表示：「1.請於說明書中註明，若進行任何開發最少須保留1,082個停車位。」之意見，並於會議結論：「1.本案原則上以全基地變更為交通用地。2.本基地將來開發時，除滿足交通局停管處最少須保留1,082個停車位之需求，…」。後於81年1月29日「</w:t>
      </w:r>
      <w:proofErr w:type="gramStart"/>
      <w:r w:rsidRPr="0009173F">
        <w:rPr>
          <w:rFonts w:hAnsi="標楷體" w:hint="eastAsia"/>
        </w:rPr>
        <w:t>臺</w:t>
      </w:r>
      <w:proofErr w:type="gramEnd"/>
      <w:r w:rsidRPr="0009173F">
        <w:rPr>
          <w:rFonts w:hAnsi="標楷體" w:hint="eastAsia"/>
        </w:rPr>
        <w:t>北都會區大眾捷運系統土地聯合開發審查委員會（第2組）第6次審查會」會議決議通過：「（一）原則同意以全部停車場用地劃定為聯合開發範圍。（二）本案仍以全部停車場用地變更為交通用地辦理聯合開發為原則，….」</w:t>
      </w:r>
      <w:r>
        <w:rPr>
          <w:rFonts w:hAnsi="標楷體" w:hint="eastAsia"/>
        </w:rPr>
        <w:t>等開發條件規定。</w:t>
      </w:r>
    </w:p>
    <w:p w:rsidR="00FE0F59" w:rsidRPr="0009173F" w:rsidRDefault="00FE0F59" w:rsidP="00FE0F59">
      <w:pPr>
        <w:pStyle w:val="3"/>
        <w:kinsoku w:val="0"/>
        <w:wordWrap w:val="0"/>
        <w:autoSpaceDE w:val="0"/>
        <w:autoSpaceDN w:val="0"/>
        <w:rPr>
          <w:rFonts w:hAnsi="標楷體" w:hint="eastAsia"/>
        </w:rPr>
      </w:pPr>
      <w:r>
        <w:rPr>
          <w:rFonts w:hAnsi="標楷體" w:hint="eastAsia"/>
        </w:rPr>
        <w:t>本案</w:t>
      </w:r>
      <w:r w:rsidRPr="0009173F">
        <w:rPr>
          <w:rFonts w:hAnsi="標楷體" w:hint="eastAsia"/>
        </w:rPr>
        <w:t>後於辦理變更都市計畫程序（變更土地使用分區為捷運用地並核定聯合開發基地）階段時，經臺北市政府都市計畫委員會</w:t>
      </w:r>
      <w:r w:rsidRPr="0009173F">
        <w:rPr>
          <w:rFonts w:hAnsi="標楷體"/>
        </w:rPr>
        <w:t>83</w:t>
      </w:r>
      <w:r w:rsidRPr="0009173F">
        <w:rPr>
          <w:rFonts w:hAnsi="標楷體" w:hint="eastAsia"/>
        </w:rPr>
        <w:t>年</w:t>
      </w:r>
      <w:r w:rsidRPr="0009173F">
        <w:rPr>
          <w:rFonts w:hAnsi="標楷體"/>
        </w:rPr>
        <w:t>6</w:t>
      </w:r>
      <w:r w:rsidRPr="0009173F">
        <w:rPr>
          <w:rFonts w:hAnsi="標楷體" w:hint="eastAsia"/>
        </w:rPr>
        <w:t>月3日審議通過及公告實施該土地之都市計畫案變更「停車場用地區」為「交通用地」，供捷運車站（含轉乘設施及其相關設施）使用，並供作聯合開發基地（B6車站），另註明捷運車站相關設施與停車場整體規劃興建，</w:t>
      </w:r>
      <w:r w:rsidRPr="0009173F">
        <w:rPr>
          <w:rFonts w:hAnsi="標楷體" w:hint="eastAsia"/>
          <w:b/>
        </w:rPr>
        <w:t>維持原停車場功能。</w:t>
      </w:r>
      <w:proofErr w:type="gramStart"/>
      <w:r w:rsidRPr="0009173F">
        <w:rPr>
          <w:rFonts w:hAnsi="標楷體" w:hint="eastAsia"/>
        </w:rPr>
        <w:t>另</w:t>
      </w:r>
      <w:proofErr w:type="gramEnd"/>
      <w:r w:rsidRPr="0009173F">
        <w:rPr>
          <w:rFonts w:hAnsi="標楷體" w:hint="eastAsia"/>
        </w:rPr>
        <w:t>，依</w:t>
      </w:r>
      <w:r w:rsidRPr="0009173F">
        <w:rPr>
          <w:rFonts w:hAnsi="標楷體"/>
        </w:rPr>
        <w:t>83</w:t>
      </w:r>
      <w:r w:rsidRPr="0009173F">
        <w:rPr>
          <w:rFonts w:hAnsi="標楷體" w:hint="eastAsia"/>
        </w:rPr>
        <w:t>年</w:t>
      </w:r>
      <w:r w:rsidRPr="0009173F">
        <w:rPr>
          <w:rFonts w:hAnsi="標楷體"/>
        </w:rPr>
        <w:t>6</w:t>
      </w:r>
      <w:r w:rsidRPr="0009173F">
        <w:rPr>
          <w:rFonts w:hAnsi="標楷體" w:hint="eastAsia"/>
        </w:rPr>
        <w:t>月3日臺北市「</w:t>
      </w:r>
      <w:r w:rsidRPr="0009173F">
        <w:rPr>
          <w:rFonts w:hAnsi="標楷體"/>
        </w:rPr>
        <w:t>內湖線B1站~B9站捷運設施用地變更都市計畫案</w:t>
      </w:r>
      <w:r w:rsidRPr="0009173F">
        <w:rPr>
          <w:rFonts w:hAnsi="標楷體" w:hint="eastAsia"/>
        </w:rPr>
        <w:t>」之</w:t>
      </w:r>
      <w:r w:rsidRPr="0009173F">
        <w:rPr>
          <w:rFonts w:hAnsi="標楷體" w:hint="eastAsia"/>
          <w:b/>
        </w:rPr>
        <w:t>都市計畫說明書</w:t>
      </w:r>
      <w:r w:rsidRPr="0009173F">
        <w:rPr>
          <w:rFonts w:hAnsi="標楷體" w:hint="eastAsia"/>
        </w:rPr>
        <w:t>中第肆點有關土地使用分區管制二（三）規定：「交十一（B6車站）：容積率560%，建蔽率80%，使用類別：</w:t>
      </w:r>
      <w:r w:rsidRPr="0009173F">
        <w:rPr>
          <w:rFonts w:hAnsi="標楷體" w:hint="eastAsia"/>
          <w:b/>
        </w:rPr>
        <w:t>1.作商業使用樓地板面積不得超過總樓地板面積之1/3，其使用類別比照商</w:t>
      </w:r>
      <w:proofErr w:type="gramStart"/>
      <w:r w:rsidRPr="0009173F">
        <w:rPr>
          <w:rFonts w:hAnsi="標楷體" w:hint="eastAsia"/>
          <w:b/>
        </w:rPr>
        <w:t>三</w:t>
      </w:r>
      <w:proofErr w:type="gramEnd"/>
      <w:r w:rsidRPr="0009173F">
        <w:rPr>
          <w:rFonts w:hAnsi="標楷體" w:hint="eastAsia"/>
          <w:b/>
        </w:rPr>
        <w:t>。2.至少設置1,082個停車位，以維持原停車場功能</w:t>
      </w:r>
      <w:r w:rsidRPr="0009173F">
        <w:rPr>
          <w:rFonts w:hAnsi="標楷體" w:hint="eastAsia"/>
        </w:rPr>
        <w:t>」</w:t>
      </w:r>
      <w:r>
        <w:rPr>
          <w:rFonts w:hAnsi="標楷體" w:hint="eastAsia"/>
        </w:rPr>
        <w:t>等訂定都市計畫位階之開發條件規定</w:t>
      </w:r>
      <w:r w:rsidRPr="0009173F">
        <w:rPr>
          <w:rFonts w:hAnsi="標楷體" w:hint="eastAsia"/>
        </w:rPr>
        <w:t>。</w:t>
      </w:r>
    </w:p>
    <w:p w:rsidR="00FE0F59" w:rsidRPr="00902A91" w:rsidRDefault="00FE0F59" w:rsidP="00FE0F59">
      <w:pPr>
        <w:pStyle w:val="3"/>
        <w:kinsoku w:val="0"/>
        <w:autoSpaceDE w:val="0"/>
        <w:autoSpaceDN w:val="0"/>
        <w:ind w:left="1394"/>
        <w:rPr>
          <w:rFonts w:hAnsi="標楷體" w:hint="eastAsia"/>
        </w:rPr>
      </w:pPr>
      <w:proofErr w:type="gramStart"/>
      <w:r>
        <w:rPr>
          <w:rFonts w:hAnsi="標楷體" w:hint="eastAsia"/>
        </w:rPr>
        <w:t>另</w:t>
      </w:r>
      <w:proofErr w:type="gramEnd"/>
      <w:r>
        <w:rPr>
          <w:rFonts w:hAnsi="標楷體" w:hint="eastAsia"/>
        </w:rPr>
        <w:t>，本案（交十一）於</w:t>
      </w:r>
      <w:r w:rsidRPr="0009173F">
        <w:rPr>
          <w:rFonts w:hAnsi="標楷體" w:hint="eastAsia"/>
        </w:rPr>
        <w:t>用地取得</w:t>
      </w:r>
      <w:r>
        <w:rPr>
          <w:rFonts w:hAnsi="標楷體" w:hint="eastAsia"/>
        </w:rPr>
        <w:t>階段時（與私地主</w:t>
      </w:r>
      <w:r>
        <w:rPr>
          <w:rFonts w:hAnsi="標楷體" w:hint="eastAsia"/>
        </w:rPr>
        <w:lastRenderedPageBreak/>
        <w:t>簡報說明參與聯合開發，</w:t>
      </w:r>
      <w:r w:rsidRPr="0009173F">
        <w:rPr>
          <w:rFonts w:hAnsi="標楷體" w:hint="eastAsia"/>
        </w:rPr>
        <w:t>未達成協議者，私地辦理徵收，公地申請有償撥用</w:t>
      </w:r>
      <w:r>
        <w:rPr>
          <w:rFonts w:hAnsi="標楷體" w:hint="eastAsia"/>
        </w:rPr>
        <w:t>），</w:t>
      </w:r>
      <w:r w:rsidRPr="00902A91">
        <w:rPr>
          <w:rFonts w:hAnsi="標楷體" w:hint="eastAsia"/>
        </w:rPr>
        <w:t>依據91年5月2日捷運局與該土地所有權人協議之簡報資料，亦載明都市計畫土地使用分區管制內容：「本交通用地辦理聯合開發建蔽率80％，容積率560％，使用類別比照商</w:t>
      </w:r>
      <w:proofErr w:type="gramStart"/>
      <w:r w:rsidRPr="00902A91">
        <w:rPr>
          <w:rFonts w:hAnsi="標楷體" w:hint="eastAsia"/>
        </w:rPr>
        <w:t>三</w:t>
      </w:r>
      <w:proofErr w:type="gramEnd"/>
      <w:r w:rsidRPr="00902A91">
        <w:rPr>
          <w:rFonts w:hAnsi="標楷體" w:hint="eastAsia"/>
        </w:rPr>
        <w:t>，</w:t>
      </w:r>
      <w:r w:rsidRPr="00902A91">
        <w:rPr>
          <w:rFonts w:hAnsi="標楷體" w:hint="eastAsia"/>
          <w:b/>
        </w:rPr>
        <w:t>作商業使用樓地板面積不得超過總樓地板面積之1/3，且需設置原停車場用地需求1082個停車位</w:t>
      </w:r>
      <w:r w:rsidRPr="00902A91">
        <w:rPr>
          <w:rFonts w:hAnsi="標楷體" w:hint="eastAsia"/>
        </w:rPr>
        <w:t>」公示於原徵收土地之地主</w:t>
      </w:r>
      <w:r>
        <w:rPr>
          <w:rFonts w:hAnsi="標楷體" w:hint="eastAsia"/>
        </w:rPr>
        <w:t>，後於</w:t>
      </w:r>
      <w:r w:rsidRPr="00902A91">
        <w:rPr>
          <w:rFonts w:hAnsi="標楷體" w:hint="eastAsia"/>
        </w:rPr>
        <w:t>91年1月23日起辦理徵收作業，</w:t>
      </w:r>
      <w:r>
        <w:rPr>
          <w:rFonts w:hAnsi="標楷體" w:hint="eastAsia"/>
        </w:rPr>
        <w:t>並</w:t>
      </w:r>
      <w:r w:rsidRPr="00902A91">
        <w:rPr>
          <w:rFonts w:hAnsi="標楷體" w:hint="eastAsia"/>
        </w:rPr>
        <w:t>於91年5月2日、7月2日召開2次用地聯合開發協議會暨徵收前價購及地上物拆遷補償協議會，惟土地所有權人考量當時都市計畫規定及開發條件</w:t>
      </w:r>
      <w:r>
        <w:rPr>
          <w:rFonts w:hAnsi="標楷體" w:hint="eastAsia"/>
        </w:rPr>
        <w:t>限制</w:t>
      </w:r>
      <w:r w:rsidRPr="00902A91">
        <w:rPr>
          <w:rFonts w:hAnsi="標楷體" w:hint="eastAsia"/>
        </w:rPr>
        <w:t>，並未選擇參與聯合開發，待地價協議未成而確定需以徵收方式取得土地後，於91年10月1日經內政部函准徵收，於92年1月6日完成徵收作業，將該等土地管理機關登記為捷運局</w:t>
      </w:r>
      <w:r>
        <w:rPr>
          <w:rFonts w:hAnsi="標楷體" w:hint="eastAsia"/>
        </w:rPr>
        <w:t>所有</w:t>
      </w:r>
      <w:r w:rsidRPr="00902A91">
        <w:rPr>
          <w:rFonts w:hAnsi="標楷體" w:hint="eastAsia"/>
        </w:rPr>
        <w:t>。</w:t>
      </w:r>
    </w:p>
    <w:p w:rsidR="00FE0F59" w:rsidRDefault="00FE0F59" w:rsidP="00FE0F59">
      <w:pPr>
        <w:pStyle w:val="3"/>
        <w:kinsoku w:val="0"/>
        <w:wordWrap w:val="0"/>
        <w:autoSpaceDE w:val="0"/>
        <w:autoSpaceDN w:val="0"/>
        <w:rPr>
          <w:rFonts w:hAnsi="標楷體" w:hint="eastAsia"/>
        </w:rPr>
      </w:pPr>
      <w:proofErr w:type="gramStart"/>
      <w:r>
        <w:rPr>
          <w:rFonts w:hAnsi="標楷體" w:hint="eastAsia"/>
        </w:rPr>
        <w:t>惟</w:t>
      </w:r>
      <w:proofErr w:type="gramEnd"/>
      <w:r w:rsidRPr="00902A91">
        <w:rPr>
          <w:rFonts w:hAnsi="標楷體" w:hint="eastAsia"/>
        </w:rPr>
        <w:t>，</w:t>
      </w:r>
      <w:r>
        <w:rPr>
          <w:rFonts w:hAnsi="標楷體" w:hint="eastAsia"/>
        </w:rPr>
        <w:t>市府捷運局於完成（交十一）用地徵收作業後，竟於</w:t>
      </w:r>
      <w:r w:rsidRPr="00902A91">
        <w:rPr>
          <w:rFonts w:hAnsi="標楷體" w:hint="eastAsia"/>
        </w:rPr>
        <w:t>92年5月12日就</w:t>
      </w:r>
      <w:r>
        <w:rPr>
          <w:rFonts w:hAnsi="標楷體" w:hint="eastAsia"/>
        </w:rPr>
        <w:t>本案</w:t>
      </w:r>
      <w:r w:rsidRPr="00902A91">
        <w:rPr>
          <w:rFonts w:hAnsi="標楷體" w:hint="eastAsia"/>
        </w:rPr>
        <w:t>都市計畫所規定之公共停車位數量辦理變更設計，</w:t>
      </w:r>
      <w:r>
        <w:rPr>
          <w:rFonts w:hAnsi="標楷體" w:hint="eastAsia"/>
        </w:rPr>
        <w:t>並</w:t>
      </w:r>
      <w:r w:rsidRPr="00902A91">
        <w:rPr>
          <w:rFonts w:hAnsi="標楷體" w:hint="eastAsia"/>
        </w:rPr>
        <w:t>簽會該府交通局及都市發展</w:t>
      </w:r>
      <w:proofErr w:type="gramStart"/>
      <w:r w:rsidRPr="00902A91">
        <w:rPr>
          <w:rFonts w:hAnsi="標楷體" w:hint="eastAsia"/>
        </w:rPr>
        <w:t>局</w:t>
      </w:r>
      <w:r>
        <w:rPr>
          <w:rFonts w:hAnsi="標楷體" w:hint="eastAsia"/>
        </w:rPr>
        <w:t>後</w:t>
      </w:r>
      <w:r w:rsidRPr="00902A91">
        <w:rPr>
          <w:rFonts w:hAnsi="標楷體" w:hint="eastAsia"/>
        </w:rPr>
        <w:t>專簽</w:t>
      </w:r>
      <w:proofErr w:type="gramEnd"/>
      <w:r w:rsidRPr="00902A91">
        <w:rPr>
          <w:rFonts w:hAnsi="標楷體" w:hint="eastAsia"/>
        </w:rPr>
        <w:t>報府，</w:t>
      </w:r>
      <w:r>
        <w:rPr>
          <w:rFonts w:hAnsi="標楷體" w:hint="eastAsia"/>
        </w:rPr>
        <w:t>於</w:t>
      </w:r>
      <w:r w:rsidRPr="00902A91">
        <w:rPr>
          <w:rFonts w:hAnsi="標楷體" w:hint="eastAsia"/>
        </w:rPr>
        <w:t>92年6月3日簽奉市長</w:t>
      </w:r>
      <w:proofErr w:type="gramStart"/>
      <w:r>
        <w:rPr>
          <w:rFonts w:hAnsi="標楷體" w:hint="eastAsia"/>
        </w:rPr>
        <w:t>（</w:t>
      </w:r>
      <w:proofErr w:type="gramEnd"/>
      <w:r>
        <w:rPr>
          <w:rFonts w:hAnsi="標楷體" w:hint="eastAsia"/>
        </w:rPr>
        <w:t>時任臺北市市長馬</w:t>
      </w:r>
      <w:r w:rsidR="00AB6E06">
        <w:rPr>
          <w:rFonts w:hint="eastAsia"/>
          <w:snapToGrid w:val="0"/>
          <w:szCs w:val="32"/>
        </w:rPr>
        <w:t>○○</w:t>
      </w:r>
      <w:r>
        <w:rPr>
          <w:rFonts w:hAnsi="標楷體" w:hint="eastAsia"/>
        </w:rPr>
        <w:t>甲章；時任臺北市副市長歐</w:t>
      </w:r>
      <w:r w:rsidR="00AB6E06">
        <w:rPr>
          <w:rFonts w:hint="eastAsia"/>
          <w:snapToGrid w:val="0"/>
          <w:szCs w:val="32"/>
        </w:rPr>
        <w:t>○○</w:t>
      </w:r>
      <w:proofErr w:type="gramStart"/>
      <w:r>
        <w:rPr>
          <w:rFonts w:hAnsi="標楷體" w:hint="eastAsia"/>
        </w:rPr>
        <w:t>）</w:t>
      </w:r>
      <w:proofErr w:type="gramEnd"/>
      <w:r w:rsidRPr="00902A91">
        <w:rPr>
          <w:rFonts w:hAnsi="標楷體" w:hint="eastAsia"/>
        </w:rPr>
        <w:t>核定</w:t>
      </w:r>
      <w:r>
        <w:rPr>
          <w:rFonts w:hAnsi="標楷體" w:hint="eastAsia"/>
        </w:rPr>
        <w:t>：</w:t>
      </w:r>
      <w:r w:rsidRPr="00902A91">
        <w:rPr>
          <w:rFonts w:hAnsi="標楷體" w:hint="eastAsia"/>
        </w:rPr>
        <w:t>「可，停車位問題，請對民眾充分說明」，後於92年12月23日起公開展覽30天（刊登於92年12月23日聯合報、92年12月24日中國時報），並於92年12月25日（假中山區成功區民活動中心）、93年1月8日（假內湖區行政中心五樓會議室）辦理</w:t>
      </w:r>
      <w:r>
        <w:rPr>
          <w:rFonts w:hAnsi="標楷體" w:hint="eastAsia"/>
        </w:rPr>
        <w:t>都市計畫變更</w:t>
      </w:r>
      <w:r w:rsidRPr="00902A91">
        <w:rPr>
          <w:rFonts w:hAnsi="標楷體" w:hint="eastAsia"/>
        </w:rPr>
        <w:t>說明會，變更內容於93年3月10日經臺北市都市計畫委員會第525次委員會審議決議修正通過，該府93年11月15日府都</w:t>
      </w:r>
      <w:proofErr w:type="gramStart"/>
      <w:r w:rsidRPr="00902A91">
        <w:rPr>
          <w:rFonts w:hAnsi="標楷體" w:hint="eastAsia"/>
        </w:rPr>
        <w:t>規</w:t>
      </w:r>
      <w:proofErr w:type="gramEnd"/>
      <w:r w:rsidRPr="00902A91">
        <w:rPr>
          <w:rFonts w:hAnsi="標楷體" w:hint="eastAsia"/>
        </w:rPr>
        <w:t>字第09321532300號函公告實施「配合臺北市捷運系統內湖線工程</w:t>
      </w:r>
      <w:r w:rsidRPr="00902A91">
        <w:rPr>
          <w:rFonts w:hAnsi="標楷體" w:hint="eastAsia"/>
        </w:rPr>
        <w:lastRenderedPageBreak/>
        <w:t>修訂西湖市場用地、交通用地（交十一）土地使用管制計畫案」，並修正該細部計畫為「</w:t>
      </w:r>
      <w:r w:rsidRPr="00902A91">
        <w:rPr>
          <w:rFonts w:hAnsi="標楷體" w:hint="eastAsia"/>
          <w:b/>
        </w:rPr>
        <w:t>法定容積（百分之</w:t>
      </w:r>
      <w:proofErr w:type="gramStart"/>
      <w:r w:rsidRPr="00902A91">
        <w:rPr>
          <w:rFonts w:hAnsi="標楷體" w:hint="eastAsia"/>
          <w:b/>
        </w:rPr>
        <w:t>560</w:t>
      </w:r>
      <w:proofErr w:type="gramEnd"/>
      <w:r w:rsidRPr="00902A91">
        <w:rPr>
          <w:rFonts w:hAnsi="標楷體" w:hint="eastAsia"/>
          <w:b/>
        </w:rPr>
        <w:t>）之2/3應限制作為停車使用，以維持原停車場功能；其餘法定容積及捷運獎勵之樓地板面積可做商業使用</w:t>
      </w:r>
      <w:r w:rsidRPr="00902A91">
        <w:rPr>
          <w:rFonts w:hAnsi="標楷體" w:hint="eastAsia"/>
        </w:rPr>
        <w:t>，其使用項目比照商</w:t>
      </w:r>
      <w:proofErr w:type="gramStart"/>
      <w:r w:rsidRPr="00902A91">
        <w:rPr>
          <w:rFonts w:hAnsi="標楷體" w:hint="eastAsia"/>
        </w:rPr>
        <w:t>三</w:t>
      </w:r>
      <w:proofErr w:type="gramEnd"/>
      <w:r w:rsidRPr="00902A91">
        <w:rPr>
          <w:rFonts w:hAnsi="標楷體" w:hint="eastAsia"/>
        </w:rPr>
        <w:t>，惟應另依『臺北市土地使用分區管制規則』規定檢討停車位數</w:t>
      </w:r>
      <w:r>
        <w:rPr>
          <w:rFonts w:hAnsi="標楷體" w:hint="eastAsia"/>
        </w:rPr>
        <w:t>」。據此，</w:t>
      </w:r>
      <w:r w:rsidRPr="00902A91">
        <w:rPr>
          <w:rFonts w:hAnsi="標楷體" w:hint="eastAsia"/>
        </w:rPr>
        <w:t>修正該</w:t>
      </w:r>
      <w:r>
        <w:rPr>
          <w:rFonts w:hAnsi="標楷體" w:hint="eastAsia"/>
        </w:rPr>
        <w:t>都市計畫</w:t>
      </w:r>
      <w:r w:rsidRPr="00902A91">
        <w:rPr>
          <w:rFonts w:hAnsi="標楷體" w:hint="eastAsia"/>
        </w:rPr>
        <w:t>細部計畫後造成問題如下：１、該都市計畫細部計畫規定由83年商業使用面積</w:t>
      </w:r>
      <w:proofErr w:type="gramStart"/>
      <w:r w:rsidRPr="00902A91">
        <w:rPr>
          <w:rFonts w:hAnsi="標楷體" w:hint="eastAsia"/>
        </w:rPr>
        <w:t>採</w:t>
      </w:r>
      <w:proofErr w:type="gramEnd"/>
      <w:r w:rsidRPr="00902A91">
        <w:rPr>
          <w:rFonts w:hAnsi="標楷體" w:hint="eastAsia"/>
        </w:rPr>
        <w:t>「不得超過….」之「上限」規定，後於93年間放寬為「其餘…可作商業使用」之「下限」規定。２、停車位數量由83年之1082部，下修為93年之「法定容積（百分之</w:t>
      </w:r>
      <w:proofErr w:type="gramStart"/>
      <w:r w:rsidRPr="00902A91">
        <w:rPr>
          <w:rFonts w:hAnsi="標楷體" w:hint="eastAsia"/>
        </w:rPr>
        <w:t>560</w:t>
      </w:r>
      <w:proofErr w:type="gramEnd"/>
      <w:r w:rsidRPr="00902A91">
        <w:rPr>
          <w:rFonts w:hAnsi="標楷體" w:hint="eastAsia"/>
        </w:rPr>
        <w:t>）之2/3應限制作為停車使用」，本案依據建造執照所載，僅配置汽車停車位863部。</w:t>
      </w:r>
      <w:r>
        <w:rPr>
          <w:rFonts w:hAnsi="標楷體" w:hint="eastAsia"/>
        </w:rPr>
        <w:t>3、</w:t>
      </w:r>
      <w:r w:rsidRPr="00044892">
        <w:rPr>
          <w:rFonts w:hAnsi="標楷體" w:hint="eastAsia"/>
        </w:rPr>
        <w:t>目前規劃整棟大樓超過1/3作為商業用途，汽車停車格僅86</w:t>
      </w:r>
      <w:r>
        <w:rPr>
          <w:rFonts w:hAnsi="標楷體" w:hint="eastAsia"/>
        </w:rPr>
        <w:t>3</w:t>
      </w:r>
      <w:r w:rsidRPr="00044892">
        <w:rPr>
          <w:rFonts w:hAnsi="標楷體" w:hint="eastAsia"/>
        </w:rPr>
        <w:t>個，與當初86年黃大洲市長、93年馬</w:t>
      </w:r>
      <w:r w:rsidR="00AB6E06">
        <w:rPr>
          <w:rFonts w:hint="eastAsia"/>
          <w:snapToGrid w:val="0"/>
          <w:szCs w:val="32"/>
        </w:rPr>
        <w:t>○○</w:t>
      </w:r>
      <w:r w:rsidRPr="00044892">
        <w:rPr>
          <w:rFonts w:hAnsi="標楷體" w:hint="eastAsia"/>
        </w:rPr>
        <w:t>市長時期「商業用途不能超過總樓地板面積三分之一，至少設置1082個停車位」規劃不同</w:t>
      </w:r>
      <w:r>
        <w:rPr>
          <w:rFonts w:hAnsi="標楷體" w:hint="eastAsia"/>
        </w:rPr>
        <w:t>，</w:t>
      </w:r>
      <w:r w:rsidRPr="00044892">
        <w:rPr>
          <w:rFonts w:hAnsi="標楷體" w:hint="eastAsia"/>
        </w:rPr>
        <w:t>且原計畫僅規劃地上9樓，97年量體改為地上15</w:t>
      </w:r>
      <w:r>
        <w:rPr>
          <w:rFonts w:hAnsi="標楷體" w:hint="eastAsia"/>
        </w:rPr>
        <w:t>層。對此，捷運局彙整其差異如下表所示：</w:t>
      </w:r>
    </w:p>
    <w:p w:rsidR="00FE0F59" w:rsidRPr="00902A91" w:rsidRDefault="00FE0F59" w:rsidP="00FE0F59">
      <w:pPr>
        <w:pStyle w:val="3"/>
        <w:numPr>
          <w:ilvl w:val="0"/>
          <w:numId w:val="0"/>
        </w:numPr>
        <w:ind w:left="-340"/>
        <w:rPr>
          <w:rFonts w:hAnsi="標楷體" w:hint="eastAsia"/>
        </w:rPr>
      </w:pPr>
      <w:r>
        <w:rPr>
          <w:noProof/>
        </w:rPr>
        <w:lastRenderedPageBreak/>
        <w:pict>
          <v:rect id="_x0000_s1028" style="position:absolute;left:0;text-align:left;margin-left:365.5pt;margin-top:0;width:119pt;height:525.55pt;z-index:251657728" filled="f" strokecolor="red" strokeweight="3pt">
            <v:stroke dashstyle="1 1"/>
          </v:rect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65pt;height:521.3pt" o:allowoverlap="f">
            <v:imagedata r:id="rId7" o:title=""/>
          </v:shape>
        </w:pict>
      </w:r>
    </w:p>
    <w:p w:rsidR="00FE0F59" w:rsidRPr="00902A91" w:rsidRDefault="00FE0F59" w:rsidP="00FE0F59">
      <w:pPr>
        <w:pStyle w:val="3"/>
        <w:kinsoku w:val="0"/>
        <w:wordWrap w:val="0"/>
        <w:autoSpaceDE w:val="0"/>
        <w:autoSpaceDN w:val="0"/>
        <w:rPr>
          <w:rFonts w:hAnsi="標楷體" w:hint="eastAsia"/>
        </w:rPr>
      </w:pPr>
      <w:proofErr w:type="gramStart"/>
      <w:r w:rsidRPr="00902A91">
        <w:rPr>
          <w:rFonts w:hAnsi="標楷體" w:hint="eastAsia"/>
        </w:rPr>
        <w:t>詢</w:t>
      </w:r>
      <w:proofErr w:type="gramEnd"/>
      <w:r w:rsidRPr="00902A91">
        <w:rPr>
          <w:rFonts w:hAnsi="標楷體" w:hint="eastAsia"/>
        </w:rPr>
        <w:t>據市府說明：「本開發案後續公開徵求之投資人潤泰創新國際股份有限公司，依據93年修正後之都市計畫規定，設計配置863個平面式汽車位。兩者之差別在於停車位設計方式及實用性之不同。另若將本案目前設計之機車及自行車位（=1,064=804＋260）換算汽車當量約213個車位（依建築物交通影響評估準則之規定，5個機車位相當於1個汽車位）</w:t>
      </w:r>
      <w:r w:rsidRPr="00902A91">
        <w:rPr>
          <w:rFonts w:hAnsi="標楷體" w:hint="eastAsia"/>
        </w:rPr>
        <w:lastRenderedPageBreak/>
        <w:t>，並加計6個裝卸車位，則本案相當於設置1,082個汽車位（=1,082=863＋213＋6）…</w:t>
      </w:r>
      <w:proofErr w:type="gramStart"/>
      <w:r w:rsidRPr="00902A91">
        <w:rPr>
          <w:rFonts w:hAnsi="標楷體" w:hint="eastAsia"/>
        </w:rPr>
        <w:t>…</w:t>
      </w:r>
      <w:proofErr w:type="gramEnd"/>
      <w:r w:rsidRPr="00902A91">
        <w:rPr>
          <w:rFonts w:hAnsi="標楷體" w:hint="eastAsia"/>
        </w:rPr>
        <w:t>」等語</w:t>
      </w:r>
      <w:r>
        <w:rPr>
          <w:rFonts w:hAnsi="標楷體" w:hint="eastAsia"/>
        </w:rPr>
        <w:t>，該府仍稱符合變更都市計畫前</w:t>
      </w:r>
      <w:r w:rsidRPr="00902A91">
        <w:rPr>
          <w:rFonts w:hAnsi="標楷體" w:hint="eastAsia"/>
        </w:rPr>
        <w:t>設置1,082個汽車位</w:t>
      </w:r>
      <w:r>
        <w:rPr>
          <w:rFonts w:hAnsi="標楷體" w:hint="eastAsia"/>
        </w:rPr>
        <w:t>規定，</w:t>
      </w:r>
      <w:r w:rsidRPr="00902A91">
        <w:rPr>
          <w:rFonts w:hAnsi="標楷體" w:hint="eastAsia"/>
        </w:rPr>
        <w:t>係</w:t>
      </w:r>
      <w:proofErr w:type="gramStart"/>
      <w:r w:rsidRPr="00902A91">
        <w:rPr>
          <w:rFonts w:hAnsi="標楷體" w:hint="eastAsia"/>
        </w:rPr>
        <w:t>辯駁背理之</w:t>
      </w:r>
      <w:proofErr w:type="gramEnd"/>
      <w:r w:rsidRPr="00902A91">
        <w:rPr>
          <w:rFonts w:hAnsi="標楷體" w:hint="eastAsia"/>
        </w:rPr>
        <w:t>詞，</w:t>
      </w:r>
      <w:proofErr w:type="gramStart"/>
      <w:r w:rsidRPr="00902A91">
        <w:rPr>
          <w:rFonts w:hAnsi="標楷體" w:hint="eastAsia"/>
        </w:rPr>
        <w:t>況</w:t>
      </w:r>
      <w:proofErr w:type="gramEnd"/>
      <w:r w:rsidRPr="00902A91">
        <w:rPr>
          <w:rFonts w:hAnsi="標楷體" w:hint="eastAsia"/>
        </w:rPr>
        <w:t>徵收土地後方辦理都市計畫</w:t>
      </w:r>
      <w:r>
        <w:rPr>
          <w:rFonts w:hAnsi="標楷體" w:hint="eastAsia"/>
        </w:rPr>
        <w:t>變更</w:t>
      </w:r>
      <w:r w:rsidRPr="00902A91">
        <w:rPr>
          <w:rFonts w:hAnsi="標楷體" w:hint="eastAsia"/>
        </w:rPr>
        <w:t>，</w:t>
      </w:r>
      <w:r>
        <w:rPr>
          <w:rFonts w:hAnsi="標楷體" w:hint="eastAsia"/>
        </w:rPr>
        <w:t>開發條件變更如上表，</w:t>
      </w:r>
      <w:r w:rsidRPr="00902A91">
        <w:rPr>
          <w:rFonts w:hAnsi="標楷體" w:hint="eastAsia"/>
        </w:rPr>
        <w:t>失信於被徵收土地之</w:t>
      </w:r>
      <w:r>
        <w:rPr>
          <w:rFonts w:hAnsi="標楷體" w:hint="eastAsia"/>
        </w:rPr>
        <w:t>所有權人，</w:t>
      </w:r>
      <w:proofErr w:type="gramStart"/>
      <w:r>
        <w:rPr>
          <w:rFonts w:hAnsi="標楷體" w:hint="eastAsia"/>
        </w:rPr>
        <w:t>核其所為</w:t>
      </w:r>
      <w:proofErr w:type="gramEnd"/>
      <w:r>
        <w:rPr>
          <w:rFonts w:hAnsi="標楷體" w:hint="eastAsia"/>
        </w:rPr>
        <w:t>，顯有違誠實信用原則</w:t>
      </w:r>
      <w:r w:rsidRPr="00902A91">
        <w:rPr>
          <w:rFonts w:hAnsi="標楷體" w:hint="eastAsia"/>
        </w:rPr>
        <w:t>。</w:t>
      </w:r>
    </w:p>
    <w:p w:rsidR="00FE0F59" w:rsidRPr="00B1104B" w:rsidRDefault="00FE0F59" w:rsidP="00FE0F59">
      <w:pPr>
        <w:pStyle w:val="3"/>
        <w:kinsoku w:val="0"/>
        <w:wordWrap w:val="0"/>
        <w:autoSpaceDE w:val="0"/>
        <w:autoSpaceDN w:val="0"/>
        <w:rPr>
          <w:rFonts w:hint="eastAsia"/>
        </w:rPr>
      </w:pPr>
      <w:r w:rsidRPr="00902A91">
        <w:rPr>
          <w:rFonts w:hint="eastAsia"/>
        </w:rPr>
        <w:t>綜上，本計畫</w:t>
      </w:r>
      <w:proofErr w:type="gramStart"/>
      <w:r w:rsidRPr="00902A91">
        <w:rPr>
          <w:rFonts w:hint="eastAsia"/>
        </w:rPr>
        <w:t>用地既於83年</w:t>
      </w:r>
      <w:proofErr w:type="gramEnd"/>
      <w:r w:rsidRPr="00902A91">
        <w:rPr>
          <w:rFonts w:hint="eastAsia"/>
        </w:rPr>
        <w:t>由「停車場用地」變更為「交通用地（交十一）」以供捷運相關設施使用並辦理聯合開發，市府雖於91年5月2日、7月2日召開2次用地聯合開發協議會暨徵收前價購及地上物拆遷補償協議會，惟土地所有權人考量當時都市計劃規定及開發條件，並未選擇參與聯合開發，</w:t>
      </w:r>
      <w:proofErr w:type="gramStart"/>
      <w:r w:rsidRPr="00902A91">
        <w:rPr>
          <w:rFonts w:hint="eastAsia"/>
        </w:rPr>
        <w:t>然待徵收</w:t>
      </w:r>
      <w:proofErr w:type="gramEnd"/>
      <w:r w:rsidRPr="00902A91">
        <w:rPr>
          <w:rFonts w:hint="eastAsia"/>
        </w:rPr>
        <w:t>取得土地後，市府卻於93年間以前述理由辦理變更都市計畫，商業使用面積由83年</w:t>
      </w:r>
      <w:proofErr w:type="gramStart"/>
      <w:r w:rsidRPr="00902A91">
        <w:rPr>
          <w:rFonts w:hint="eastAsia"/>
        </w:rPr>
        <w:t>採</w:t>
      </w:r>
      <w:proofErr w:type="gramEnd"/>
      <w:r w:rsidRPr="00902A91">
        <w:rPr>
          <w:rFonts w:hint="eastAsia"/>
        </w:rPr>
        <w:t>「不得超過….」之「上限」規定，放寬為「其餘…可作商業使用」之「下限」規定。該府雖一再表示91年協議價購及拆遷補償協議會當時，針對地主權益試算部分，已明確向地主說明係</w:t>
      </w:r>
      <w:proofErr w:type="gramStart"/>
      <w:r w:rsidRPr="00902A91">
        <w:rPr>
          <w:rFonts w:hint="eastAsia"/>
        </w:rPr>
        <w:t>採</w:t>
      </w:r>
      <w:proofErr w:type="gramEnd"/>
      <w:r w:rsidRPr="00902A91">
        <w:rPr>
          <w:rFonts w:hint="eastAsia"/>
        </w:rPr>
        <w:t>機械雙層汽車位方式進行評估，然92年完成徵收後，卻旋即於93年</w:t>
      </w:r>
      <w:r>
        <w:rPr>
          <w:rFonts w:hint="eastAsia"/>
        </w:rPr>
        <w:t>變更</w:t>
      </w:r>
      <w:r w:rsidRPr="00902A91">
        <w:rPr>
          <w:rFonts w:hint="eastAsia"/>
        </w:rPr>
        <w:t>都市計畫細部計畫之內容</w:t>
      </w:r>
      <w:r w:rsidRPr="00B1104B">
        <w:rPr>
          <w:rFonts w:hint="eastAsia"/>
        </w:rPr>
        <w:t>，失信於被徵收之</w:t>
      </w:r>
      <w:r>
        <w:rPr>
          <w:rFonts w:hint="eastAsia"/>
        </w:rPr>
        <w:t>土地</w:t>
      </w:r>
      <w:r>
        <w:rPr>
          <w:rFonts w:hAnsi="標楷體" w:hint="eastAsia"/>
        </w:rPr>
        <w:t>所有權人</w:t>
      </w:r>
      <w:r w:rsidRPr="00B1104B">
        <w:rPr>
          <w:rFonts w:hint="eastAsia"/>
        </w:rPr>
        <w:t>，辦理過程顯有</w:t>
      </w:r>
      <w:r>
        <w:rPr>
          <w:rFonts w:hint="eastAsia"/>
        </w:rPr>
        <w:t>違失</w:t>
      </w:r>
      <w:r w:rsidRPr="00B1104B">
        <w:rPr>
          <w:rFonts w:hint="eastAsia"/>
        </w:rPr>
        <w:t>。</w:t>
      </w:r>
    </w:p>
    <w:p w:rsidR="00CA419F" w:rsidRPr="0010478B" w:rsidRDefault="00CA419F" w:rsidP="00CA419F">
      <w:pPr>
        <w:pStyle w:val="3"/>
        <w:numPr>
          <w:ilvl w:val="0"/>
          <w:numId w:val="0"/>
        </w:numPr>
        <w:kinsoku w:val="0"/>
        <w:wordWrap w:val="0"/>
        <w:autoSpaceDE w:val="0"/>
        <w:autoSpaceDN w:val="0"/>
        <w:ind w:left="697"/>
        <w:rPr>
          <w:rFonts w:hint="eastAsia"/>
        </w:rPr>
      </w:pPr>
    </w:p>
    <w:p w:rsidR="00870D6C" w:rsidRPr="005D1764" w:rsidRDefault="00870D6C" w:rsidP="005D1764">
      <w:pPr>
        <w:pStyle w:val="3"/>
        <w:numPr>
          <w:ilvl w:val="0"/>
          <w:numId w:val="0"/>
        </w:numPr>
        <w:ind w:leftChars="205" w:left="697" w:firstLineChars="200" w:firstLine="680"/>
        <w:rPr>
          <w:rFonts w:hint="eastAsia"/>
          <w:color w:val="000000"/>
        </w:rPr>
      </w:pPr>
      <w:r w:rsidRPr="005D1764">
        <w:rPr>
          <w:rFonts w:hint="eastAsia"/>
          <w:color w:val="000000"/>
        </w:rPr>
        <w:t>據</w:t>
      </w:r>
      <w:proofErr w:type="gramStart"/>
      <w:r w:rsidRPr="005D1764">
        <w:rPr>
          <w:rFonts w:hint="eastAsia"/>
          <w:color w:val="000000"/>
        </w:rPr>
        <w:t>上論結</w:t>
      </w:r>
      <w:proofErr w:type="gramEnd"/>
      <w:r w:rsidRPr="005D1764">
        <w:rPr>
          <w:rFonts w:hint="eastAsia"/>
          <w:color w:val="000000"/>
        </w:rPr>
        <w:t>，</w:t>
      </w:r>
      <w:r w:rsidR="005234B0">
        <w:rPr>
          <w:rFonts w:hint="eastAsia"/>
        </w:rPr>
        <w:t>台北市政府辦理</w:t>
      </w:r>
      <w:r w:rsidR="005234B0" w:rsidRPr="00FE0F59">
        <w:rPr>
          <w:rFonts w:hint="eastAsia"/>
        </w:rPr>
        <w:t>捷運系統木柵（內湖）延伸線內湖站用地聯合開發案，強制徵收全區高達84.65%之土地，實際作為公用事業之捷運設施使用僅</w:t>
      </w:r>
      <w:proofErr w:type="gramStart"/>
      <w:r w:rsidR="005234B0" w:rsidRPr="00FE0F59">
        <w:rPr>
          <w:rFonts w:hint="eastAsia"/>
        </w:rPr>
        <w:t>佔</w:t>
      </w:r>
      <w:proofErr w:type="gramEnd"/>
      <w:r w:rsidR="005234B0" w:rsidRPr="00FE0F59">
        <w:rPr>
          <w:rFonts w:hint="eastAsia"/>
        </w:rPr>
        <w:t>基地面積12.62%，徵收範圍顯已踰越事業之所需，另將徵收取得之公有土地轉為私有，明顯倒果為因，不合比例原則，復未落實依法行政原則，亦有</w:t>
      </w:r>
      <w:proofErr w:type="gramStart"/>
      <w:r w:rsidR="005234B0" w:rsidRPr="00FE0F59">
        <w:rPr>
          <w:rFonts w:hint="eastAsia"/>
        </w:rPr>
        <w:t>違</w:t>
      </w:r>
      <w:proofErr w:type="gramEnd"/>
      <w:r w:rsidR="005234B0" w:rsidRPr="00FE0F59">
        <w:rPr>
          <w:rFonts w:hint="eastAsia"/>
        </w:rPr>
        <w:t>政府徵收目的。本案91年間強制徵收取得土地後，竟於93</w:t>
      </w:r>
      <w:r w:rsidR="005234B0">
        <w:rPr>
          <w:rFonts w:hint="eastAsia"/>
        </w:rPr>
        <w:t>年間變更該用地之都市計畫，放寬商業使用面積，</w:t>
      </w:r>
      <w:r w:rsidR="005234B0" w:rsidRPr="00FE0F59">
        <w:rPr>
          <w:rFonts w:hint="eastAsia"/>
        </w:rPr>
        <w:t>由「不得超</w:t>
      </w:r>
      <w:r w:rsidR="005234B0" w:rsidRPr="00FE0F59">
        <w:rPr>
          <w:rFonts w:hint="eastAsia"/>
        </w:rPr>
        <w:lastRenderedPageBreak/>
        <w:t>過…」之「上限」規定改為「其餘…可作商業使用」之「下限」規定，汽車停車位數由徵收前之1082部車位變更為僅需配置863部車位，失信於被徵收之土地所有權人，辦理過程顯有違失</w:t>
      </w:r>
      <w:r w:rsidR="00886847" w:rsidRPr="00886847">
        <w:rPr>
          <w:rFonts w:hint="eastAsia"/>
        </w:rPr>
        <w:t>，</w:t>
      </w:r>
      <w:proofErr w:type="gramStart"/>
      <w:r w:rsidR="00140A84" w:rsidRPr="005D1764">
        <w:rPr>
          <w:rFonts w:hint="eastAsia"/>
          <w:color w:val="000000"/>
        </w:rPr>
        <w:t>爰</w:t>
      </w:r>
      <w:proofErr w:type="gramEnd"/>
      <w:r w:rsidR="00140A84" w:rsidRPr="005D1764">
        <w:rPr>
          <w:rFonts w:hint="eastAsia"/>
          <w:color w:val="000000"/>
        </w:rPr>
        <w:t>依監察法第24條提案糾正，移送行政院轉</w:t>
      </w:r>
      <w:proofErr w:type="gramStart"/>
      <w:r w:rsidR="00140A84" w:rsidRPr="005D1764">
        <w:rPr>
          <w:rFonts w:hint="eastAsia"/>
          <w:color w:val="000000"/>
        </w:rPr>
        <w:t>飭</w:t>
      </w:r>
      <w:proofErr w:type="gramEnd"/>
      <w:r w:rsidR="00140A84" w:rsidRPr="005D1764">
        <w:rPr>
          <w:rFonts w:hint="eastAsia"/>
          <w:color w:val="000000"/>
        </w:rPr>
        <w:t>所屬確實檢討改善</w:t>
      </w:r>
      <w:proofErr w:type="gramStart"/>
      <w:r w:rsidR="00140A84" w:rsidRPr="005D1764">
        <w:rPr>
          <w:rFonts w:hint="eastAsia"/>
          <w:color w:val="000000"/>
        </w:rPr>
        <w:t>見復。</w:t>
      </w:r>
      <w:proofErr w:type="gramEnd"/>
    </w:p>
    <w:p w:rsidR="00140A84" w:rsidRDefault="00140A84" w:rsidP="005D1764">
      <w:pPr>
        <w:pStyle w:val="3"/>
        <w:numPr>
          <w:ilvl w:val="0"/>
          <w:numId w:val="0"/>
        </w:numPr>
        <w:ind w:leftChars="205" w:left="697" w:firstLineChars="200" w:firstLine="680"/>
        <w:rPr>
          <w:rFonts w:hint="eastAsia"/>
          <w:noProof/>
          <w:color w:val="000000"/>
        </w:rPr>
      </w:pPr>
    </w:p>
    <w:p w:rsidR="00A353B4" w:rsidRDefault="00A353B4" w:rsidP="005D1764">
      <w:pPr>
        <w:pStyle w:val="3"/>
        <w:numPr>
          <w:ilvl w:val="0"/>
          <w:numId w:val="0"/>
        </w:numPr>
        <w:ind w:leftChars="205" w:left="697" w:firstLineChars="200" w:firstLine="680"/>
        <w:rPr>
          <w:rFonts w:hint="eastAsia"/>
          <w:noProof/>
          <w:color w:val="000000"/>
        </w:rPr>
      </w:pPr>
    </w:p>
    <w:p w:rsidR="00A353B4" w:rsidRDefault="00A353B4" w:rsidP="005D1764">
      <w:pPr>
        <w:pStyle w:val="3"/>
        <w:numPr>
          <w:ilvl w:val="0"/>
          <w:numId w:val="0"/>
        </w:numPr>
        <w:ind w:leftChars="205" w:left="697" w:firstLineChars="200" w:firstLine="680"/>
        <w:rPr>
          <w:rFonts w:hint="eastAsia"/>
          <w:noProof/>
          <w:color w:val="000000"/>
        </w:rPr>
      </w:pPr>
    </w:p>
    <w:p w:rsidR="00A353B4" w:rsidRPr="005D1764" w:rsidRDefault="00A353B4" w:rsidP="005D1764">
      <w:pPr>
        <w:pStyle w:val="3"/>
        <w:numPr>
          <w:ilvl w:val="0"/>
          <w:numId w:val="0"/>
        </w:numPr>
        <w:ind w:leftChars="205" w:left="697" w:firstLineChars="200" w:firstLine="680"/>
        <w:rPr>
          <w:rFonts w:hint="eastAsia"/>
          <w:noProof/>
          <w:color w:val="000000"/>
        </w:rPr>
      </w:pPr>
    </w:p>
    <w:p w:rsidR="00C80539" w:rsidRPr="005D1764" w:rsidRDefault="00C80539" w:rsidP="00A353B4">
      <w:pPr>
        <w:pStyle w:val="3"/>
        <w:numPr>
          <w:ilvl w:val="0"/>
          <w:numId w:val="0"/>
        </w:numPr>
        <w:ind w:left="3261"/>
        <w:rPr>
          <w:rFonts w:hint="eastAsia"/>
          <w:bCs w:val="0"/>
          <w:color w:val="000000"/>
          <w:sz w:val="40"/>
        </w:rPr>
      </w:pPr>
      <w:bookmarkStart w:id="49" w:name="_Toc524895649"/>
      <w:bookmarkStart w:id="50" w:name="_Toc524896195"/>
      <w:bookmarkStart w:id="51" w:name="_Toc524896225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5D1764">
        <w:rPr>
          <w:rFonts w:hint="eastAsia"/>
          <w:bCs w:val="0"/>
          <w:color w:val="000000"/>
          <w:spacing w:val="12"/>
          <w:sz w:val="40"/>
        </w:rPr>
        <w:t>提案委員：</w:t>
      </w:r>
      <w:r w:rsidR="0008599E">
        <w:rPr>
          <w:rFonts w:hint="eastAsia"/>
          <w:bCs w:val="0"/>
          <w:color w:val="000000"/>
          <w:spacing w:val="12"/>
          <w:sz w:val="40"/>
        </w:rPr>
        <w:t xml:space="preserve">馬以工 </w:t>
      </w:r>
    </w:p>
    <w:p w:rsidR="00C80539" w:rsidRPr="0008599E" w:rsidRDefault="0008599E" w:rsidP="00A353B4">
      <w:pPr>
        <w:pStyle w:val="a3"/>
        <w:spacing w:before="0" w:after="0"/>
        <w:ind w:leftChars="1610" w:left="5529" w:hangingChars="12" w:hanging="53"/>
        <w:jc w:val="both"/>
        <w:rPr>
          <w:rFonts w:hAnsi="Arial" w:hint="eastAsia"/>
          <w:b w:val="0"/>
          <w:snapToGrid/>
          <w:color w:val="000000"/>
          <w:spacing w:val="12"/>
          <w:kern w:val="0"/>
          <w:sz w:val="40"/>
          <w:szCs w:val="36"/>
        </w:rPr>
      </w:pPr>
      <w:r w:rsidRPr="0008599E">
        <w:rPr>
          <w:rFonts w:hAnsi="Arial" w:hint="eastAsia"/>
          <w:b w:val="0"/>
          <w:snapToGrid/>
          <w:color w:val="000000"/>
          <w:spacing w:val="12"/>
          <w:kern w:val="0"/>
          <w:sz w:val="40"/>
          <w:szCs w:val="36"/>
        </w:rPr>
        <w:t>李復</w:t>
      </w:r>
      <w:proofErr w:type="gramStart"/>
      <w:r w:rsidRPr="0008599E">
        <w:rPr>
          <w:rFonts w:hAnsi="Arial" w:hint="eastAsia"/>
          <w:b w:val="0"/>
          <w:snapToGrid/>
          <w:color w:val="000000"/>
          <w:spacing w:val="12"/>
          <w:kern w:val="0"/>
          <w:sz w:val="40"/>
          <w:szCs w:val="36"/>
        </w:rPr>
        <w:t>甸</w:t>
      </w:r>
      <w:proofErr w:type="gramEnd"/>
    </w:p>
    <w:p w:rsidR="00C80539" w:rsidRPr="0008599E" w:rsidRDefault="0008599E" w:rsidP="00A353B4">
      <w:pPr>
        <w:pStyle w:val="a3"/>
        <w:spacing w:before="0" w:after="0"/>
        <w:ind w:leftChars="1610" w:left="5529" w:hangingChars="12" w:hanging="53"/>
        <w:jc w:val="both"/>
        <w:rPr>
          <w:rFonts w:hAnsi="Arial" w:hint="eastAsia"/>
          <w:b w:val="0"/>
          <w:snapToGrid/>
          <w:color w:val="000000"/>
          <w:spacing w:val="12"/>
          <w:kern w:val="0"/>
          <w:sz w:val="40"/>
          <w:szCs w:val="36"/>
        </w:rPr>
      </w:pPr>
      <w:r w:rsidRPr="0008599E">
        <w:rPr>
          <w:rFonts w:hAnsi="Arial" w:hint="eastAsia"/>
          <w:b w:val="0"/>
          <w:snapToGrid/>
          <w:color w:val="000000"/>
          <w:spacing w:val="12"/>
          <w:kern w:val="0"/>
          <w:sz w:val="40"/>
          <w:szCs w:val="36"/>
        </w:rPr>
        <w:t>林鉅</w:t>
      </w:r>
      <w:proofErr w:type="gramStart"/>
      <w:r w:rsidRPr="0008599E">
        <w:rPr>
          <w:rFonts w:hAnsi="Arial" w:hint="eastAsia"/>
          <w:b w:val="0"/>
          <w:snapToGrid/>
          <w:color w:val="000000"/>
          <w:spacing w:val="12"/>
          <w:kern w:val="0"/>
          <w:sz w:val="40"/>
          <w:szCs w:val="36"/>
        </w:rPr>
        <w:t>鋃</w:t>
      </w:r>
      <w:proofErr w:type="gramEnd"/>
    </w:p>
    <w:p w:rsidR="001B1E07" w:rsidRPr="005D1764" w:rsidRDefault="001B1E07" w:rsidP="005D1764">
      <w:pPr>
        <w:pStyle w:val="a3"/>
        <w:spacing w:before="0" w:after="0"/>
        <w:ind w:leftChars="1100" w:left="3742" w:firstLineChars="500" w:firstLine="1901"/>
        <w:jc w:val="both"/>
        <w:rPr>
          <w:rFonts w:hint="eastAsia"/>
          <w:b w:val="0"/>
          <w:bCs/>
          <w:snapToGrid/>
          <w:color w:val="000000"/>
          <w:spacing w:val="0"/>
          <w:kern w:val="0"/>
        </w:rPr>
      </w:pPr>
    </w:p>
    <w:p w:rsidR="00C80539" w:rsidRPr="005D1764" w:rsidRDefault="00C80539" w:rsidP="005D1764">
      <w:pPr>
        <w:pStyle w:val="a3"/>
        <w:spacing w:before="0" w:after="0"/>
        <w:ind w:leftChars="1100" w:left="3742" w:firstLineChars="500" w:firstLine="1901"/>
        <w:jc w:val="both"/>
        <w:rPr>
          <w:rFonts w:hint="eastAsia"/>
          <w:b w:val="0"/>
          <w:bCs/>
          <w:snapToGrid/>
          <w:color w:val="000000"/>
          <w:spacing w:val="0"/>
          <w:kern w:val="0"/>
        </w:rPr>
      </w:pPr>
    </w:p>
    <w:sectPr w:rsidR="00C80539" w:rsidRPr="005D1764">
      <w:footerReference w:type="even" r:id="rId8"/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8AE" w:rsidRDefault="00D528AE">
      <w:r>
        <w:separator/>
      </w:r>
    </w:p>
  </w:endnote>
  <w:endnote w:type="continuationSeparator" w:id="1">
    <w:p w:rsidR="00D528AE" w:rsidRDefault="00D52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539" w:rsidRDefault="00C80539">
    <w:pPr>
      <w:framePr w:wrap="around" w:vAnchor="text" w:hAnchor="margin" w:xAlign="center" w:y="1"/>
      <w:ind w:left="640" w:firstLine="400"/>
      <w:textDirection w:val="btL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C80539" w:rsidRDefault="00C80539">
    <w:pPr>
      <w:ind w:left="768" w:right="360" w:hanging="4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539" w:rsidRDefault="00C80539">
    <w:pPr>
      <w:pStyle w:val="a8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AB6E06">
      <w:rPr>
        <w:rStyle w:val="a5"/>
        <w:noProof/>
        <w:sz w:val="24"/>
      </w:rPr>
      <w:t>9</w:t>
    </w:r>
    <w:r>
      <w:rPr>
        <w:rStyle w:val="a5"/>
        <w:sz w:val="24"/>
      </w:rPr>
      <w:fldChar w:fldCharType="end"/>
    </w:r>
  </w:p>
  <w:p w:rsidR="00C80539" w:rsidRDefault="00C80539">
    <w:pPr>
      <w:ind w:left="640" w:right="360" w:firstLine="4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8AE" w:rsidRDefault="00D528AE">
      <w:r>
        <w:separator/>
      </w:r>
    </w:p>
  </w:footnote>
  <w:footnote w:type="continuationSeparator" w:id="1">
    <w:p w:rsidR="00D528AE" w:rsidRDefault="00D528AE">
      <w:r>
        <w:continuationSeparator/>
      </w:r>
    </w:p>
  </w:footnote>
  <w:footnote w:id="2">
    <w:p w:rsidR="00FE0F59" w:rsidRPr="00D33A93" w:rsidRDefault="00FE0F59" w:rsidP="00FE0F59">
      <w:pPr>
        <w:pStyle w:val="ad"/>
        <w:rPr>
          <w:rFonts w:hint="eastAsia"/>
        </w:rPr>
      </w:pPr>
      <w:r w:rsidRPr="00AC1744">
        <w:rPr>
          <w:rStyle w:val="af"/>
          <w:sz w:val="28"/>
          <w:szCs w:val="28"/>
        </w:rPr>
        <w:footnoteRef/>
      </w:r>
      <w:r w:rsidRPr="00D33A93">
        <w:rPr>
          <w:rFonts w:hint="eastAsia"/>
        </w:rPr>
        <w:t>卷查</w:t>
      </w:r>
      <w:r w:rsidRPr="00D33A93">
        <w:rPr>
          <w:rFonts w:hAnsi="標楷體" w:hint="eastAsia"/>
        </w:rPr>
        <w:t>大眾捷運法第</w:t>
      </w:r>
      <w:r w:rsidRPr="00D33A93">
        <w:rPr>
          <w:rFonts w:hAnsi="標楷體"/>
        </w:rPr>
        <w:t>6</w:t>
      </w:r>
      <w:r w:rsidRPr="00D33A93">
        <w:rPr>
          <w:rFonts w:hAnsi="標楷體" w:hint="eastAsia"/>
        </w:rPr>
        <w:t>條之</w:t>
      </w:r>
      <w:r w:rsidRPr="00D33A93">
        <w:rPr>
          <w:rFonts w:hAnsi="標楷體" w:hint="eastAsia"/>
          <w:u w:val="single"/>
        </w:rPr>
        <w:t>立法目的</w:t>
      </w:r>
      <w:r w:rsidRPr="00D33A93">
        <w:rPr>
          <w:rFonts w:hAnsi="標楷體" w:hint="eastAsia"/>
        </w:rPr>
        <w:t>：</w:t>
      </w:r>
      <w:r w:rsidRPr="00D33A93">
        <w:rPr>
          <w:rFonts w:hAnsi="標楷體" w:hint="eastAsia"/>
          <w:b/>
        </w:rPr>
        <w:t>大眾捷運系統係屬公用事業</w:t>
      </w:r>
      <w:r w:rsidRPr="00D33A93">
        <w:rPr>
          <w:rFonts w:hAnsi="標楷體" w:hint="eastAsia"/>
        </w:rPr>
        <w:t>，於其</w:t>
      </w:r>
      <w:r w:rsidRPr="00D33A93">
        <w:rPr>
          <w:rFonts w:hAnsi="標楷體" w:hint="eastAsia"/>
          <w:b/>
        </w:rPr>
        <w:t>事業範圍</w:t>
      </w:r>
      <w:r w:rsidRPr="00D33A93">
        <w:rPr>
          <w:rFonts w:hAnsi="標楷體" w:hint="eastAsia"/>
        </w:rPr>
        <w:t>內所需之公、私有土地，得依土地法、都市計畫法、國有財產法等有關法律徵收或撥用。</w:t>
      </w:r>
      <w:proofErr w:type="gramStart"/>
      <w:r w:rsidRPr="00D33A93">
        <w:rPr>
          <w:rFonts w:hint="eastAsia"/>
        </w:rPr>
        <w:t>（</w:t>
      </w:r>
      <w:proofErr w:type="gramEnd"/>
      <w:r w:rsidRPr="00D33A93">
        <w:rPr>
          <w:rFonts w:hint="eastAsia"/>
        </w:rPr>
        <w:t>來源：立法院公報第</w:t>
      </w:r>
      <w:r w:rsidRPr="00D33A93">
        <w:rPr>
          <w:rFonts w:hint="eastAsia"/>
        </w:rPr>
        <w:t>77</w:t>
      </w:r>
      <w:r w:rsidRPr="00D33A93">
        <w:rPr>
          <w:rFonts w:hint="eastAsia"/>
        </w:rPr>
        <w:t>卷</w:t>
      </w:r>
      <w:r w:rsidRPr="00D33A93">
        <w:rPr>
          <w:rFonts w:hint="eastAsia"/>
        </w:rPr>
        <w:t>46</w:t>
      </w:r>
      <w:r w:rsidRPr="00D33A93">
        <w:rPr>
          <w:rFonts w:hint="eastAsia"/>
        </w:rPr>
        <w:t>期</w:t>
      </w:r>
      <w:r w:rsidRPr="00D33A93">
        <w:rPr>
          <w:rFonts w:hint="eastAsia"/>
        </w:rPr>
        <w:t>2157</w:t>
      </w:r>
      <w:r w:rsidRPr="00D33A93">
        <w:rPr>
          <w:rFonts w:hint="eastAsia"/>
        </w:rPr>
        <w:t>號</w:t>
      </w:r>
      <w:r w:rsidRPr="00D33A93">
        <w:rPr>
          <w:rFonts w:hint="eastAsia"/>
        </w:rPr>
        <w:t>43</w:t>
      </w:r>
      <w:r w:rsidRPr="00D33A93">
        <w:rPr>
          <w:rFonts w:hint="eastAsia"/>
        </w:rPr>
        <w:t>頁</w:t>
      </w:r>
      <w:proofErr w:type="gramStart"/>
      <w:r w:rsidRPr="00D33A93">
        <w:rPr>
          <w:rFonts w:hint="eastAsia"/>
        </w:rPr>
        <w:t>）</w:t>
      </w:r>
      <w:proofErr w:type="gramEnd"/>
    </w:p>
  </w:footnote>
  <w:footnote w:id="3">
    <w:p w:rsidR="00FE0F59" w:rsidRPr="00D33A93" w:rsidRDefault="00FE0F59" w:rsidP="00FE0F59">
      <w:pPr>
        <w:pStyle w:val="ad"/>
        <w:rPr>
          <w:rFonts w:hAnsi="標楷體" w:hint="eastAsia"/>
        </w:rPr>
      </w:pPr>
      <w:r w:rsidRPr="00D33A93">
        <w:rPr>
          <w:rStyle w:val="af"/>
        </w:rPr>
        <w:footnoteRef/>
      </w:r>
      <w:r w:rsidRPr="00D33A93">
        <w:rPr>
          <w:rFonts w:hint="eastAsia"/>
        </w:rPr>
        <w:t>卷查</w:t>
      </w:r>
      <w:r w:rsidRPr="00D33A93">
        <w:rPr>
          <w:rFonts w:hAnsi="標楷體" w:hint="eastAsia"/>
        </w:rPr>
        <w:t>大眾捷運法第</w:t>
      </w:r>
      <w:r w:rsidRPr="00D33A93">
        <w:rPr>
          <w:rFonts w:hAnsi="標楷體" w:hint="eastAsia"/>
        </w:rPr>
        <w:t>7</w:t>
      </w:r>
      <w:r w:rsidRPr="00D33A93">
        <w:rPr>
          <w:rFonts w:hAnsi="標楷體" w:hint="eastAsia"/>
        </w:rPr>
        <w:t>條之</w:t>
      </w:r>
      <w:r w:rsidRPr="00D33A93">
        <w:rPr>
          <w:rFonts w:hAnsi="標楷體" w:hint="eastAsia"/>
          <w:u w:val="single"/>
        </w:rPr>
        <w:t>立法目的</w:t>
      </w:r>
      <w:r w:rsidRPr="00D33A93">
        <w:rPr>
          <w:rFonts w:hAnsi="標楷體" w:hint="eastAsia"/>
        </w:rPr>
        <w:t>：一、為有效利用土地資源，促進地區發展並利大眾捷運系統建設經費之取得，</w:t>
      </w:r>
      <w:proofErr w:type="gramStart"/>
      <w:r w:rsidRPr="00D33A93">
        <w:rPr>
          <w:rFonts w:hAnsi="標楷體" w:hint="eastAsia"/>
        </w:rPr>
        <w:t>爰</w:t>
      </w:r>
      <w:proofErr w:type="gramEnd"/>
      <w:r w:rsidRPr="00D33A93">
        <w:rPr>
          <w:rFonts w:hAnsi="標楷體" w:hint="eastAsia"/>
        </w:rPr>
        <w:t>明定地方主關機關得自行開發或與私人、團體聯合開發大眾捷運系統場站、路線之土地。二、毗鄰大眾捷運系統場站、路線之私人土地，則需依有關法律或商請該土地所有權人聯合開發。三、第二項明定開發辦法授權由交通部會同內政部定之</w:t>
      </w:r>
      <w:proofErr w:type="gramStart"/>
      <w:r w:rsidRPr="00D33A93">
        <w:rPr>
          <w:rFonts w:hint="eastAsia"/>
        </w:rPr>
        <w:t>（</w:t>
      </w:r>
      <w:proofErr w:type="gramEnd"/>
      <w:r w:rsidRPr="00D33A93">
        <w:rPr>
          <w:rFonts w:hint="eastAsia"/>
        </w:rPr>
        <w:t>來源：立法院公報第</w:t>
      </w:r>
      <w:r w:rsidRPr="00D33A93">
        <w:rPr>
          <w:rFonts w:hint="eastAsia"/>
        </w:rPr>
        <w:t>77</w:t>
      </w:r>
      <w:r w:rsidRPr="00D33A93">
        <w:rPr>
          <w:rFonts w:hint="eastAsia"/>
        </w:rPr>
        <w:t>卷</w:t>
      </w:r>
      <w:r w:rsidRPr="00D33A93">
        <w:rPr>
          <w:rFonts w:hint="eastAsia"/>
        </w:rPr>
        <w:t>46</w:t>
      </w:r>
      <w:r w:rsidRPr="00D33A93">
        <w:rPr>
          <w:rFonts w:hint="eastAsia"/>
        </w:rPr>
        <w:t>期</w:t>
      </w:r>
      <w:r w:rsidRPr="00D33A93">
        <w:rPr>
          <w:rFonts w:hint="eastAsia"/>
        </w:rPr>
        <w:t>2157</w:t>
      </w:r>
      <w:r w:rsidRPr="00D33A93">
        <w:rPr>
          <w:rFonts w:hint="eastAsia"/>
        </w:rPr>
        <w:t>號</w:t>
      </w:r>
      <w:r w:rsidRPr="00D33A93">
        <w:rPr>
          <w:rFonts w:hint="eastAsia"/>
        </w:rPr>
        <w:t>44-45</w:t>
      </w:r>
      <w:r w:rsidRPr="00D33A93">
        <w:rPr>
          <w:rFonts w:hint="eastAsia"/>
        </w:rPr>
        <w:t>頁</w:t>
      </w:r>
      <w:proofErr w:type="gramStart"/>
      <w:r w:rsidRPr="00D33A93">
        <w:rPr>
          <w:rFonts w:hint="eastAsia"/>
        </w:rPr>
        <w:t>）</w:t>
      </w:r>
      <w:proofErr w:type="gramEnd"/>
      <w:r w:rsidRPr="00D33A93">
        <w:rPr>
          <w:rFonts w:hAnsi="標楷體" w:hint="eastAsia"/>
        </w:rPr>
        <w:t>。</w:t>
      </w:r>
    </w:p>
    <w:p w:rsidR="00FE0F59" w:rsidRPr="00AC1744" w:rsidRDefault="00FE0F59" w:rsidP="00FE0F59">
      <w:pPr>
        <w:pStyle w:val="ad"/>
        <w:rPr>
          <w:rFonts w:hint="eastAsia"/>
          <w:sz w:val="28"/>
          <w:szCs w:val="28"/>
        </w:rPr>
      </w:pPr>
      <w:proofErr w:type="gramStart"/>
      <w:r w:rsidRPr="00D33A93">
        <w:rPr>
          <w:rFonts w:hAnsi="標楷體" w:hint="eastAsia"/>
        </w:rPr>
        <w:t>另</w:t>
      </w:r>
      <w:proofErr w:type="gramEnd"/>
      <w:r w:rsidRPr="00D33A93">
        <w:rPr>
          <w:rFonts w:hAnsi="標楷體" w:hint="eastAsia"/>
        </w:rPr>
        <w:t>，大眾捷運法第</w:t>
      </w:r>
      <w:r w:rsidRPr="00D33A93">
        <w:rPr>
          <w:rFonts w:hAnsi="標楷體" w:hint="eastAsia"/>
        </w:rPr>
        <w:t>7</w:t>
      </w:r>
      <w:r w:rsidRPr="00D33A93">
        <w:rPr>
          <w:rFonts w:hAnsi="標楷體" w:hint="eastAsia"/>
        </w:rPr>
        <w:t>條之</w:t>
      </w:r>
      <w:r w:rsidRPr="00D33A93">
        <w:rPr>
          <w:rFonts w:hAnsi="標楷體" w:hint="eastAsia"/>
          <w:u w:val="single"/>
        </w:rPr>
        <w:t>修法說明</w:t>
      </w:r>
      <w:r w:rsidRPr="00D33A93">
        <w:rPr>
          <w:rFonts w:hAnsi="標楷體" w:hint="eastAsia"/>
        </w:rPr>
        <w:t>：基於簡化開發流程及縮短時程等之考量，並由主管機關主導開發，開發用地由主管機關依有償撥用、協議價購、市地重劃或區段徵收方式全部取得並變更為公有土地，以主導辦理開發事宜，而未來地主仍可依協議價購優惠辦法優先承購，</w:t>
      </w:r>
      <w:proofErr w:type="gramStart"/>
      <w:r w:rsidRPr="00D33A93">
        <w:rPr>
          <w:rFonts w:hAnsi="標楷體" w:hint="eastAsia"/>
        </w:rPr>
        <w:t>爰</w:t>
      </w:r>
      <w:proofErr w:type="gramEnd"/>
      <w:r w:rsidRPr="00D33A93">
        <w:rPr>
          <w:rFonts w:hAnsi="標楷體" w:hint="eastAsia"/>
        </w:rPr>
        <w:t>將現行條文第一項所稱「主管機關得自行或與私人、團體聯合辦理…</w:t>
      </w:r>
      <w:r w:rsidRPr="00D33A93">
        <w:rPr>
          <w:rFonts w:hAnsi="標楷體" w:hint="eastAsia"/>
        </w:rPr>
        <w:t>.</w:t>
      </w:r>
      <w:r w:rsidRPr="00D33A93">
        <w:rPr>
          <w:rFonts w:hAnsi="標楷體" w:hint="eastAsia"/>
        </w:rPr>
        <w:t>土地之開發」等文字修正為「主管機關得辦理…</w:t>
      </w:r>
      <w:r w:rsidRPr="00D33A93">
        <w:rPr>
          <w:rFonts w:hAnsi="標楷體" w:hint="eastAsia"/>
        </w:rPr>
        <w:t>.</w:t>
      </w:r>
      <w:r w:rsidRPr="00D33A93">
        <w:rPr>
          <w:rFonts w:hAnsi="標楷體" w:hint="eastAsia"/>
        </w:rPr>
        <w:t>土地之開發」（依立法院議案關係文書院總第</w:t>
      </w:r>
      <w:r w:rsidRPr="00D33A93">
        <w:rPr>
          <w:rFonts w:hAnsi="標楷體" w:hint="eastAsia"/>
        </w:rPr>
        <w:t>1429</w:t>
      </w:r>
      <w:r w:rsidRPr="00D33A93">
        <w:rPr>
          <w:rFonts w:hAnsi="標楷體" w:hint="eastAsia"/>
        </w:rPr>
        <w:t>號之修法說明）。</w:t>
      </w:r>
    </w:p>
  </w:footnote>
  <w:footnote w:id="4">
    <w:p w:rsidR="00FE0F59" w:rsidRDefault="00FE0F59" w:rsidP="00FE0F59">
      <w:pPr>
        <w:pStyle w:val="ad"/>
        <w:rPr>
          <w:rFonts w:hint="eastAsia"/>
        </w:rPr>
      </w:pPr>
      <w:r>
        <w:rPr>
          <w:rStyle w:val="af"/>
        </w:rPr>
        <w:footnoteRef/>
      </w:r>
      <w:r>
        <w:t xml:space="preserve"> </w:t>
      </w:r>
      <w:r>
        <w:rPr>
          <w:rFonts w:hint="eastAsia"/>
        </w:rPr>
        <w:t>強制徵收面積</w:t>
      </w:r>
      <w:r>
        <w:rPr>
          <w:rFonts w:hint="eastAsia"/>
        </w:rPr>
        <w:t>6913</w:t>
      </w:r>
      <w:r>
        <w:rPr>
          <w:rFonts w:hint="eastAsia"/>
        </w:rPr>
        <w:t>平方公尺</w:t>
      </w:r>
      <w:r>
        <w:rPr>
          <w:rFonts w:hint="eastAsia"/>
        </w:rPr>
        <w:t>/</w:t>
      </w:r>
      <w:r>
        <w:rPr>
          <w:rFonts w:hint="eastAsia"/>
        </w:rPr>
        <w:t>聯合開發總面積</w:t>
      </w:r>
      <w:r>
        <w:rPr>
          <w:rFonts w:hint="eastAsia"/>
        </w:rPr>
        <w:t>8166</w:t>
      </w:r>
      <w:r>
        <w:rPr>
          <w:rFonts w:hint="eastAsia"/>
        </w:rPr>
        <w:t>平方公尺＝</w:t>
      </w:r>
      <w:r>
        <w:rPr>
          <w:rFonts w:hint="eastAsia"/>
        </w:rPr>
        <w:t>84.65%</w:t>
      </w:r>
    </w:p>
  </w:footnote>
  <w:footnote w:id="5">
    <w:p w:rsidR="00FE0F59" w:rsidRDefault="00FE0F59" w:rsidP="00FE0F59">
      <w:pPr>
        <w:pStyle w:val="ad"/>
        <w:rPr>
          <w:rFonts w:hint="eastAsia"/>
        </w:rPr>
      </w:pPr>
      <w:r>
        <w:rPr>
          <w:rStyle w:val="af"/>
        </w:rPr>
        <w:footnoteRef/>
      </w:r>
      <w:r>
        <w:rPr>
          <w:rFonts w:hint="eastAsia"/>
        </w:rPr>
        <w:t>本案</w:t>
      </w:r>
      <w:r w:rsidRPr="00AE65E1">
        <w:rPr>
          <w:rFonts w:hint="eastAsia"/>
        </w:rPr>
        <w:t>實際所需捷運設施投影面積</w:t>
      </w:r>
      <w:r w:rsidRPr="00AE65E1">
        <w:rPr>
          <w:rFonts w:hint="eastAsia"/>
        </w:rPr>
        <w:t>1031</w:t>
      </w:r>
      <w:r w:rsidRPr="00AE65E1">
        <w:rPr>
          <w:rFonts w:hint="eastAsia"/>
        </w:rPr>
        <w:t>平方公尺</w:t>
      </w:r>
      <w:r>
        <w:rPr>
          <w:rFonts w:hint="eastAsia"/>
        </w:rPr>
        <w:t>/</w:t>
      </w:r>
      <w:r w:rsidRPr="00AE65E1">
        <w:rPr>
          <w:rFonts w:hint="eastAsia"/>
        </w:rPr>
        <w:t>整體開發面積</w:t>
      </w:r>
      <w:r w:rsidRPr="00AE65E1">
        <w:rPr>
          <w:rFonts w:hint="eastAsia"/>
        </w:rPr>
        <w:t>8166</w:t>
      </w:r>
      <w:r w:rsidRPr="00AE65E1">
        <w:rPr>
          <w:rFonts w:hint="eastAsia"/>
        </w:rPr>
        <w:t>平方公尺</w:t>
      </w:r>
      <w:r>
        <w:rPr>
          <w:rFonts w:hint="eastAsia"/>
        </w:rPr>
        <w:t>＝</w:t>
      </w:r>
      <w:r>
        <w:rPr>
          <w:rFonts w:hint="eastAsia"/>
        </w:rPr>
        <w:t>12.62%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10C"/>
    <w:multiLevelType w:val="multilevel"/>
    <w:tmpl w:val="DD3256F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1">
    <w:nsid w:val="19532EFC"/>
    <w:multiLevelType w:val="hybridMultilevel"/>
    <w:tmpl w:val="7CBA69F8"/>
    <w:lvl w:ilvl="0" w:tplc="178A5CEA">
      <w:start w:val="1"/>
      <w:numFmt w:val="taiwaneseCountingThousand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attachedTemplate r:id="rId1"/>
  <w:doNotTrackMoves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6212"/>
    <w:rsid w:val="00013830"/>
    <w:rsid w:val="0002645E"/>
    <w:rsid w:val="000553C0"/>
    <w:rsid w:val="0008599E"/>
    <w:rsid w:val="000967CB"/>
    <w:rsid w:val="000E491D"/>
    <w:rsid w:val="000F11F4"/>
    <w:rsid w:val="0010478B"/>
    <w:rsid w:val="00115C25"/>
    <w:rsid w:val="00122E78"/>
    <w:rsid w:val="00140A84"/>
    <w:rsid w:val="00155DF2"/>
    <w:rsid w:val="00192781"/>
    <w:rsid w:val="001B1E07"/>
    <w:rsid w:val="001B3D43"/>
    <w:rsid w:val="00214065"/>
    <w:rsid w:val="00226BAE"/>
    <w:rsid w:val="00244BD7"/>
    <w:rsid w:val="00280B24"/>
    <w:rsid w:val="00292FF5"/>
    <w:rsid w:val="002F6930"/>
    <w:rsid w:val="003175EC"/>
    <w:rsid w:val="00325AD1"/>
    <w:rsid w:val="00330CE2"/>
    <w:rsid w:val="00333F1A"/>
    <w:rsid w:val="00334B45"/>
    <w:rsid w:val="00336451"/>
    <w:rsid w:val="003565C1"/>
    <w:rsid w:val="0036210D"/>
    <w:rsid w:val="0038590D"/>
    <w:rsid w:val="003862F0"/>
    <w:rsid w:val="00392BE8"/>
    <w:rsid w:val="003B388C"/>
    <w:rsid w:val="003D1ED6"/>
    <w:rsid w:val="003D5AD2"/>
    <w:rsid w:val="003E0303"/>
    <w:rsid w:val="00452B32"/>
    <w:rsid w:val="00483EAF"/>
    <w:rsid w:val="004850E9"/>
    <w:rsid w:val="004A0BD2"/>
    <w:rsid w:val="004B07E1"/>
    <w:rsid w:val="004D2739"/>
    <w:rsid w:val="004E01D7"/>
    <w:rsid w:val="005234B0"/>
    <w:rsid w:val="00535EF8"/>
    <w:rsid w:val="005461AD"/>
    <w:rsid w:val="005552F1"/>
    <w:rsid w:val="00575397"/>
    <w:rsid w:val="005A2721"/>
    <w:rsid w:val="005A49D1"/>
    <w:rsid w:val="005C7E64"/>
    <w:rsid w:val="005D1764"/>
    <w:rsid w:val="005D47A8"/>
    <w:rsid w:val="0060080A"/>
    <w:rsid w:val="00623527"/>
    <w:rsid w:val="006613C0"/>
    <w:rsid w:val="006D53FC"/>
    <w:rsid w:val="006D6AEF"/>
    <w:rsid w:val="006D6B67"/>
    <w:rsid w:val="006D733F"/>
    <w:rsid w:val="0070465D"/>
    <w:rsid w:val="007200DD"/>
    <w:rsid w:val="00723A23"/>
    <w:rsid w:val="00751194"/>
    <w:rsid w:val="007541E7"/>
    <w:rsid w:val="00767D34"/>
    <w:rsid w:val="0079298F"/>
    <w:rsid w:val="00870D6C"/>
    <w:rsid w:val="00886847"/>
    <w:rsid w:val="008905B6"/>
    <w:rsid w:val="00892B00"/>
    <w:rsid w:val="008A550C"/>
    <w:rsid w:val="008B342F"/>
    <w:rsid w:val="008D4301"/>
    <w:rsid w:val="008F68D4"/>
    <w:rsid w:val="00900624"/>
    <w:rsid w:val="009374FD"/>
    <w:rsid w:val="009509DB"/>
    <w:rsid w:val="009558F4"/>
    <w:rsid w:val="009563D8"/>
    <w:rsid w:val="009B1F4E"/>
    <w:rsid w:val="009D6212"/>
    <w:rsid w:val="00A12A42"/>
    <w:rsid w:val="00A1579C"/>
    <w:rsid w:val="00A353B4"/>
    <w:rsid w:val="00A6739A"/>
    <w:rsid w:val="00AB6E06"/>
    <w:rsid w:val="00AC16C7"/>
    <w:rsid w:val="00AD2823"/>
    <w:rsid w:val="00B11B4F"/>
    <w:rsid w:val="00B152E2"/>
    <w:rsid w:val="00B208C6"/>
    <w:rsid w:val="00B243D6"/>
    <w:rsid w:val="00B365BD"/>
    <w:rsid w:val="00B40347"/>
    <w:rsid w:val="00B77C86"/>
    <w:rsid w:val="00BA1FEA"/>
    <w:rsid w:val="00BF06B9"/>
    <w:rsid w:val="00C10632"/>
    <w:rsid w:val="00C12FCB"/>
    <w:rsid w:val="00C4246E"/>
    <w:rsid w:val="00C45527"/>
    <w:rsid w:val="00C610AF"/>
    <w:rsid w:val="00C63FA1"/>
    <w:rsid w:val="00C80539"/>
    <w:rsid w:val="00C93823"/>
    <w:rsid w:val="00CA419F"/>
    <w:rsid w:val="00CE1C73"/>
    <w:rsid w:val="00CF15BF"/>
    <w:rsid w:val="00D3112C"/>
    <w:rsid w:val="00D36A02"/>
    <w:rsid w:val="00D528AE"/>
    <w:rsid w:val="00D56D69"/>
    <w:rsid w:val="00D70DA4"/>
    <w:rsid w:val="00D761E6"/>
    <w:rsid w:val="00DA6E86"/>
    <w:rsid w:val="00DD19FC"/>
    <w:rsid w:val="00E11DA0"/>
    <w:rsid w:val="00E16A21"/>
    <w:rsid w:val="00EC03A7"/>
    <w:rsid w:val="00ED01CA"/>
    <w:rsid w:val="00EE18E7"/>
    <w:rsid w:val="00F2050B"/>
    <w:rsid w:val="00F24755"/>
    <w:rsid w:val="00F422D9"/>
    <w:rsid w:val="00F572BC"/>
    <w:rsid w:val="00F72372"/>
    <w:rsid w:val="00FA2CDC"/>
    <w:rsid w:val="00FD60D4"/>
    <w:rsid w:val="00FE0F59"/>
    <w:rsid w:val="00FF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"/>
    <w:uiPriority w:val="9"/>
    <w:qFormat/>
    <w:pPr>
      <w:numPr>
        <w:numId w:val="1"/>
      </w:numPr>
      <w:kinsoku w:val="0"/>
      <w:ind w:left="800" w:hangingChars="800" w:hanging="80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qFormat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"/>
    <w:qFormat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"/>
    <w:qFormat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uiPriority w:val="9"/>
    <w:qFormat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uiPriority w:val="9"/>
    <w:qFormat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uiPriority w:val="9"/>
    <w:qFormat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uiPriority w:val="9"/>
    <w:qFormat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0"/>
    <w:pPr>
      <w:ind w:leftChars="400" w:left="400"/>
    </w:pPr>
  </w:style>
  <w:style w:type="paragraph" w:customStyle="1" w:styleId="20">
    <w:name w:val="段落樣式2"/>
    <w:basedOn w:val="a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pPr>
      <w:ind w:leftChars="500" w:left="500"/>
    </w:pPr>
  </w:style>
  <w:style w:type="paragraph" w:customStyle="1" w:styleId="50">
    <w:name w:val="段落樣式5"/>
    <w:basedOn w:val="40"/>
    <w:pPr>
      <w:ind w:leftChars="600" w:left="600"/>
    </w:pPr>
  </w:style>
  <w:style w:type="paragraph" w:customStyle="1" w:styleId="60">
    <w:name w:val="段落樣式6"/>
    <w:basedOn w:val="50"/>
    <w:pPr>
      <w:ind w:leftChars="700" w:left="700"/>
    </w:pPr>
  </w:style>
  <w:style w:type="paragraph" w:customStyle="1" w:styleId="70">
    <w:name w:val="段落樣式7"/>
    <w:basedOn w:val="60"/>
  </w:style>
  <w:style w:type="paragraph" w:customStyle="1" w:styleId="80">
    <w:name w:val="段落樣式8"/>
    <w:basedOn w:val="70"/>
    <w:pPr>
      <w:ind w:leftChars="800" w:left="800"/>
    </w:pPr>
  </w:style>
  <w:style w:type="paragraph" w:styleId="a3">
    <w:name w:val="Signature"/>
    <w:basedOn w:val="a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4">
    <w:name w:val="endnote text"/>
    <w:basedOn w:val="a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5">
    <w:name w:val="page number"/>
    <w:basedOn w:val="a0"/>
    <w:semiHidden/>
    <w:rPr>
      <w:rFonts w:ascii="標楷體" w:eastAsia="標楷體"/>
      <w:sz w:val="20"/>
    </w:rPr>
  </w:style>
  <w:style w:type="paragraph" w:styleId="10">
    <w:name w:val="toc 1"/>
    <w:basedOn w:val="a"/>
    <w:next w:val="a"/>
    <w:semiHidden/>
    <w:pPr>
      <w:ind w:left="200" w:hangingChars="200" w:hanging="200"/>
      <w:jc w:val="both"/>
    </w:pPr>
    <w:rPr>
      <w:rFonts w:ascii="標楷體"/>
    </w:rPr>
  </w:style>
  <w:style w:type="paragraph" w:styleId="21">
    <w:name w:val="toc 2"/>
    <w:basedOn w:val="a"/>
    <w:next w:val="a"/>
    <w:autoRedefine/>
    <w:semiHidden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"/>
    <w:next w:val="a"/>
    <w:semiHidden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pPr>
      <w:ind w:leftChars="1600" w:left="3840"/>
    </w:pPr>
  </w:style>
  <w:style w:type="character" w:styleId="a6">
    <w:name w:val="Hyperlink"/>
    <w:basedOn w:val="a0"/>
    <w:semiHidden/>
    <w:rPr>
      <w:color w:val="0000FF"/>
      <w:u w:val="single"/>
    </w:rPr>
  </w:style>
  <w:style w:type="paragraph" w:customStyle="1" w:styleId="11">
    <w:name w:val="段落樣式1"/>
    <w:basedOn w:val="a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0"/>
    <w:pPr>
      <w:ind w:leftChars="200" w:left="200" w:firstLineChars="0" w:firstLine="0"/>
    </w:pPr>
  </w:style>
  <w:style w:type="paragraph" w:styleId="a7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簽名日期"/>
    <w:basedOn w:val="a"/>
    <w:pPr>
      <w:kinsoku w:val="0"/>
      <w:jc w:val="distribute"/>
    </w:pPr>
    <w:rPr>
      <w:kern w:val="0"/>
    </w:rPr>
  </w:style>
  <w:style w:type="paragraph" w:customStyle="1" w:styleId="aa">
    <w:name w:val="表樣式"/>
    <w:basedOn w:val="a"/>
    <w:next w:val="a"/>
    <w:pPr>
      <w:numPr>
        <w:numId w:val="2"/>
      </w:numPr>
      <w:jc w:val="both"/>
    </w:pPr>
    <w:rPr>
      <w:rFonts w:ascii="標楷體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140A84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40A84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5461AD"/>
    <w:pPr>
      <w:wordWrap w:val="0"/>
      <w:autoSpaceDE w:val="0"/>
      <w:autoSpaceDN w:val="0"/>
      <w:snapToGrid w:val="0"/>
    </w:pPr>
    <w:rPr>
      <w:sz w:val="20"/>
    </w:rPr>
  </w:style>
  <w:style w:type="character" w:customStyle="1" w:styleId="ae">
    <w:name w:val="註腳文字 字元"/>
    <w:basedOn w:val="a0"/>
    <w:link w:val="ad"/>
    <w:uiPriority w:val="99"/>
    <w:semiHidden/>
    <w:rsid w:val="005461AD"/>
    <w:rPr>
      <w:rFonts w:eastAsia="標楷體"/>
      <w:kern w:val="2"/>
    </w:rPr>
  </w:style>
  <w:style w:type="character" w:styleId="af">
    <w:name w:val="footnote reference"/>
    <w:basedOn w:val="a0"/>
    <w:uiPriority w:val="99"/>
    <w:semiHidden/>
    <w:unhideWhenUsed/>
    <w:rsid w:val="005461AD"/>
    <w:rPr>
      <w:vertAlign w:val="superscript"/>
    </w:rPr>
  </w:style>
  <w:style w:type="paragraph" w:styleId="HTML">
    <w:name w:val="HTML Preformatted"/>
    <w:basedOn w:val="a"/>
    <w:link w:val="HTML0"/>
    <w:unhideWhenUsed/>
    <w:rsid w:val="005461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rsid w:val="005461AD"/>
    <w:rPr>
      <w:rFonts w:ascii="細明體" w:eastAsia="細明體" w:hAnsi="細明體" w:cs="細明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802\Application%20Data\Microsoft\Templates\&#27243;&#24335;&#35519;&#26597;&#34920;&#21934;\C031&#31998;&#27491;&#26696;&#25991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C031糾正案文格式體例(橫式)</Template>
  <TotalTime>4</TotalTime>
  <Pages>12</Pages>
  <Words>6082</Words>
  <Characters>347</Characters>
  <Application>Microsoft Office Word</Application>
  <DocSecurity>0</DocSecurity>
  <Lines>2</Lines>
  <Paragraphs>12</Paragraphs>
  <ScaleCrop>false</ScaleCrop>
  <Company>cy</Company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subject/>
  <dc:creator>t880</dc:creator>
  <cp:keywords/>
  <cp:lastModifiedBy>user</cp:lastModifiedBy>
  <cp:revision>2</cp:revision>
  <cp:lastPrinted>2013-02-27T06:07:00Z</cp:lastPrinted>
  <dcterms:created xsi:type="dcterms:W3CDTF">2016-12-08T14:27:00Z</dcterms:created>
  <dcterms:modified xsi:type="dcterms:W3CDTF">2016-12-08T14:27:00Z</dcterms:modified>
</cp:coreProperties>
</file>