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77792A8E" w14:textId="77777777" w:rsidR="00CB1878" w:rsidRPr="00C1788C" w:rsidRDefault="00BB5491">
      <w:pPr>
        <w:pStyle w:val="af2"/>
        <w:rPr>
          <w:rFonts w:hAnsi="標楷體"/>
        </w:rPr>
      </w:pPr>
      <w:r w:rsidRPr="00C1788C">
        <w:rPr>
          <w:rFonts w:hAnsi="標楷體" w:hint="eastAsia"/>
        </w:rPr>
        <w:t>調查報告</w:t>
      </w:r>
    </w:p>
    <w:p w14:paraId="5BB4566F" w14:textId="77777777" w:rsidR="00CB1878" w:rsidRPr="00C1788C" w:rsidRDefault="00BB549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788C">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C1788C">
        <w:rPr>
          <w:rFonts w:hAnsi="標楷體" w:hint="eastAsia"/>
        </w:rPr>
        <w:t>據悉，蝦皮購物平台其母公司冬海集團(Sea Limited)過去</w:t>
      </w:r>
      <w:proofErr w:type="gramStart"/>
      <w:r w:rsidRPr="00C1788C">
        <w:rPr>
          <w:rFonts w:hAnsi="標楷體" w:hint="eastAsia"/>
        </w:rPr>
        <w:t>接受騰訊</w:t>
      </w:r>
      <w:proofErr w:type="gramEnd"/>
      <w:r w:rsidRPr="00C1788C">
        <w:rPr>
          <w:rFonts w:hAnsi="標楷體" w:hint="eastAsia"/>
        </w:rPr>
        <w:t>等中資巨頭投資，現任董事與中共政商背景人士具高度關聯，恐涉實質中資控制，加上其平台掌握大量國人</w:t>
      </w:r>
      <w:proofErr w:type="gramStart"/>
      <w:r w:rsidRPr="00C1788C">
        <w:rPr>
          <w:rFonts w:hAnsi="標楷體" w:hint="eastAsia"/>
        </w:rPr>
        <w:t>個</w:t>
      </w:r>
      <w:proofErr w:type="gramEnd"/>
      <w:r w:rsidRPr="00C1788C">
        <w:rPr>
          <w:rFonts w:hAnsi="標楷體" w:hint="eastAsia"/>
        </w:rPr>
        <w:t>資與金流資訊，惟涉及</w:t>
      </w:r>
      <w:proofErr w:type="gramStart"/>
      <w:r w:rsidRPr="00C1788C">
        <w:rPr>
          <w:rFonts w:hAnsi="標楷體" w:hint="eastAsia"/>
        </w:rPr>
        <w:t>我國資安與</w:t>
      </w:r>
      <w:proofErr w:type="gramEnd"/>
      <w:r w:rsidRPr="00C1788C">
        <w:rPr>
          <w:rFonts w:hAnsi="標楷體" w:hint="eastAsia"/>
        </w:rPr>
        <w:t>經濟主權重大風險。究經濟部及金融監督管理委員會對該平台來</w:t>
      </w:r>
      <w:proofErr w:type="gramStart"/>
      <w:r w:rsidRPr="00C1788C">
        <w:rPr>
          <w:rFonts w:hAnsi="標楷體" w:hint="eastAsia"/>
        </w:rPr>
        <w:t>臺</w:t>
      </w:r>
      <w:proofErr w:type="gramEnd"/>
      <w:r w:rsidRPr="00C1788C">
        <w:rPr>
          <w:rFonts w:hAnsi="標楷體" w:hint="eastAsia"/>
        </w:rPr>
        <w:t>投資及電子支付業務之申請，是否確依法審查及監管？數位</w:t>
      </w:r>
      <w:proofErr w:type="gramStart"/>
      <w:r w:rsidRPr="00C1788C">
        <w:rPr>
          <w:rFonts w:hAnsi="標楷體" w:hint="eastAsia"/>
        </w:rPr>
        <w:t>發展部有無</w:t>
      </w:r>
      <w:proofErr w:type="gramEnd"/>
      <w:r w:rsidRPr="00C1788C">
        <w:rPr>
          <w:rFonts w:hAnsi="標楷體" w:hint="eastAsia"/>
        </w:rPr>
        <w:t>主動查核該平台是否符合</w:t>
      </w:r>
      <w:proofErr w:type="gramStart"/>
      <w:r w:rsidRPr="00C1788C">
        <w:rPr>
          <w:rFonts w:hAnsi="標楷體" w:hint="eastAsia"/>
        </w:rPr>
        <w:t>我國資安標準</w:t>
      </w:r>
      <w:proofErr w:type="gramEnd"/>
      <w:r w:rsidRPr="00C1788C">
        <w:rPr>
          <w:rFonts w:hAnsi="標楷體" w:hint="eastAsia"/>
        </w:rPr>
        <w:t>？</w:t>
      </w:r>
      <w:proofErr w:type="gramStart"/>
      <w:r w:rsidRPr="00C1788C">
        <w:rPr>
          <w:rFonts w:hAnsi="標楷體" w:hint="eastAsia"/>
        </w:rPr>
        <w:t>均有深入</w:t>
      </w:r>
      <w:proofErr w:type="gramEnd"/>
      <w:r w:rsidRPr="00C1788C">
        <w:rPr>
          <w:rFonts w:hAnsi="標楷體" w:hint="eastAsia"/>
        </w:rPr>
        <w:t>了解之必要案。</w:t>
      </w:r>
    </w:p>
    <w:p w14:paraId="673666D7" w14:textId="11D0577A" w:rsidR="00CB1878" w:rsidRPr="00C1788C" w:rsidRDefault="00363BD0">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1788C">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D143886" w14:textId="61E710FC" w:rsidR="00CB1878" w:rsidRPr="00C1788C" w:rsidRDefault="0088388B">
      <w:pPr>
        <w:pStyle w:val="10"/>
        <w:ind w:left="680" w:firstLine="680"/>
        <w:rPr>
          <w:rFonts w:hAnsi="標楷體"/>
        </w:rPr>
      </w:pPr>
      <w:bookmarkStart w:id="49" w:name="_Toc524902730"/>
      <w:r w:rsidRPr="00C1788C">
        <w:rPr>
          <w:rFonts w:hAnsi="標楷體" w:hint="eastAsia"/>
        </w:rPr>
        <w:t>據悉，蝦皮購物平台其母公司冬海集團(Sea Limited)過去</w:t>
      </w:r>
      <w:proofErr w:type="gramStart"/>
      <w:r w:rsidRPr="00C1788C">
        <w:rPr>
          <w:rFonts w:hAnsi="標楷體" w:hint="eastAsia"/>
        </w:rPr>
        <w:t>接受騰訊</w:t>
      </w:r>
      <w:proofErr w:type="gramEnd"/>
      <w:r w:rsidRPr="00C1788C">
        <w:rPr>
          <w:rFonts w:hAnsi="標楷體" w:hint="eastAsia"/>
        </w:rPr>
        <w:t>等中資巨頭投資，現任董事與中共政商背景人士具高度關聯，恐涉實質中資控制，加上其平台掌握大量國人</w:t>
      </w:r>
      <w:proofErr w:type="gramStart"/>
      <w:r w:rsidRPr="00C1788C">
        <w:rPr>
          <w:rFonts w:hAnsi="標楷體" w:hint="eastAsia"/>
        </w:rPr>
        <w:t>個</w:t>
      </w:r>
      <w:proofErr w:type="gramEnd"/>
      <w:r w:rsidRPr="00C1788C">
        <w:rPr>
          <w:rFonts w:hAnsi="標楷體" w:hint="eastAsia"/>
        </w:rPr>
        <w:t>資與金流資訊，惟涉及</w:t>
      </w:r>
      <w:proofErr w:type="gramStart"/>
      <w:r w:rsidRPr="00C1788C">
        <w:rPr>
          <w:rFonts w:hAnsi="標楷體" w:hint="eastAsia"/>
        </w:rPr>
        <w:t>我國資安與</w:t>
      </w:r>
      <w:proofErr w:type="gramEnd"/>
      <w:r w:rsidRPr="00C1788C">
        <w:rPr>
          <w:rFonts w:hAnsi="標楷體" w:hint="eastAsia"/>
        </w:rPr>
        <w:t>經濟主權重大風險。究經濟部及金融</w:t>
      </w:r>
      <w:r w:rsidR="000C5D69" w:rsidRPr="00C1788C">
        <w:rPr>
          <w:rFonts w:hAnsi="標楷體" w:hint="eastAsia"/>
        </w:rPr>
        <w:t>監督</w:t>
      </w:r>
      <w:r w:rsidR="00805988" w:rsidRPr="00C1788C">
        <w:rPr>
          <w:rFonts w:hAnsi="標楷體" w:hint="eastAsia"/>
        </w:rPr>
        <w:t>管理</w:t>
      </w:r>
      <w:r w:rsidRPr="00C1788C">
        <w:rPr>
          <w:rFonts w:hAnsi="標楷體" w:hint="eastAsia"/>
        </w:rPr>
        <w:t>委員會</w:t>
      </w:r>
      <w:r w:rsidR="003316C6" w:rsidRPr="00C1788C">
        <w:rPr>
          <w:rFonts w:hAnsi="標楷體" w:hint="eastAsia"/>
        </w:rPr>
        <w:t>(</w:t>
      </w:r>
      <w:r w:rsidRPr="00C1788C">
        <w:rPr>
          <w:rFonts w:hAnsi="標楷體" w:hint="eastAsia"/>
        </w:rPr>
        <w:t>下稱金管會</w:t>
      </w:r>
      <w:r w:rsidR="003316C6" w:rsidRPr="00C1788C">
        <w:rPr>
          <w:rFonts w:hAnsi="標楷體" w:hint="eastAsia"/>
        </w:rPr>
        <w:t>)</w:t>
      </w:r>
      <w:r w:rsidRPr="00C1788C">
        <w:rPr>
          <w:rFonts w:hAnsi="標楷體" w:hint="eastAsia"/>
        </w:rPr>
        <w:t>對該平台來</w:t>
      </w:r>
      <w:proofErr w:type="gramStart"/>
      <w:r w:rsidRPr="00C1788C">
        <w:rPr>
          <w:rFonts w:hAnsi="標楷體" w:hint="eastAsia"/>
        </w:rPr>
        <w:t>臺</w:t>
      </w:r>
      <w:proofErr w:type="gramEnd"/>
      <w:r w:rsidRPr="00C1788C">
        <w:rPr>
          <w:rFonts w:hAnsi="標楷體" w:hint="eastAsia"/>
        </w:rPr>
        <w:t>投資及電子支付業務之申請，是否確依法審查及監管？數位發展部</w:t>
      </w:r>
      <w:r w:rsidR="003316C6" w:rsidRPr="00C1788C">
        <w:rPr>
          <w:rFonts w:hAnsi="標楷體" w:hint="eastAsia"/>
        </w:rPr>
        <w:t>(</w:t>
      </w:r>
      <w:r w:rsidRPr="00C1788C">
        <w:rPr>
          <w:rFonts w:hAnsi="標楷體" w:hint="eastAsia"/>
        </w:rPr>
        <w:t>下稱數發部</w:t>
      </w:r>
      <w:r w:rsidR="003316C6" w:rsidRPr="00C1788C">
        <w:rPr>
          <w:rFonts w:hAnsi="標楷體" w:hint="eastAsia"/>
        </w:rPr>
        <w:t>)</w:t>
      </w:r>
      <w:r w:rsidRPr="00C1788C">
        <w:rPr>
          <w:rFonts w:hAnsi="標楷體" w:hint="eastAsia"/>
        </w:rPr>
        <w:t>有無主動查核該平台是否符合</w:t>
      </w:r>
      <w:proofErr w:type="gramStart"/>
      <w:r w:rsidRPr="00C1788C">
        <w:rPr>
          <w:rFonts w:hAnsi="標楷體" w:hint="eastAsia"/>
        </w:rPr>
        <w:t>我國資安標準</w:t>
      </w:r>
      <w:proofErr w:type="gramEnd"/>
      <w:r w:rsidRPr="00C1788C">
        <w:rPr>
          <w:rFonts w:hAnsi="標楷體" w:hint="eastAsia"/>
        </w:rPr>
        <w:t>？</w:t>
      </w:r>
      <w:proofErr w:type="gramStart"/>
      <w:r w:rsidRPr="00C1788C">
        <w:rPr>
          <w:rFonts w:hAnsi="標楷體" w:hint="eastAsia"/>
        </w:rPr>
        <w:t>均有深入</w:t>
      </w:r>
      <w:proofErr w:type="gramEnd"/>
      <w:r w:rsidRPr="00C1788C">
        <w:rPr>
          <w:rFonts w:hAnsi="標楷體" w:hint="eastAsia"/>
        </w:rPr>
        <w:t>了解之必要</w:t>
      </w:r>
      <w:r w:rsidR="003316C6" w:rsidRPr="00C1788C">
        <w:rPr>
          <w:rFonts w:hAnsi="標楷體" w:hint="eastAsia"/>
        </w:rPr>
        <w:t>，</w:t>
      </w:r>
      <w:r w:rsidR="005E7A8E" w:rsidRPr="00C1788C">
        <w:rPr>
          <w:rFonts w:hAnsi="標楷體" w:hint="eastAsia"/>
        </w:rPr>
        <w:t>案</w:t>
      </w:r>
      <w:r w:rsidRPr="00C1788C">
        <w:rPr>
          <w:rFonts w:hAnsi="標楷體" w:hint="eastAsia"/>
        </w:rPr>
        <w:t>經函請經濟部、金管會</w:t>
      </w:r>
      <w:r w:rsidR="00D22BEF" w:rsidRPr="00C1788C">
        <w:rPr>
          <w:rFonts w:hAnsi="標楷體" w:hint="eastAsia"/>
        </w:rPr>
        <w:t>及</w:t>
      </w:r>
      <w:r w:rsidRPr="00C1788C">
        <w:rPr>
          <w:rFonts w:hAnsi="標楷體" w:hint="eastAsia"/>
        </w:rPr>
        <w:t>數</w:t>
      </w:r>
      <w:proofErr w:type="gramStart"/>
      <w:r w:rsidRPr="00C1788C">
        <w:rPr>
          <w:rFonts w:hAnsi="標楷體" w:hint="eastAsia"/>
        </w:rPr>
        <w:t>發部等機關</w:t>
      </w:r>
      <w:proofErr w:type="gramEnd"/>
      <w:r w:rsidRPr="00C1788C">
        <w:rPr>
          <w:rFonts w:hAnsi="標楷體" w:hint="eastAsia"/>
        </w:rPr>
        <w:t>提供相關卷證資料，</w:t>
      </w:r>
      <w:proofErr w:type="gramStart"/>
      <w:r w:rsidR="00F971D4" w:rsidRPr="00C1788C">
        <w:rPr>
          <w:rFonts w:hAnsi="標楷體" w:hint="eastAsia"/>
        </w:rPr>
        <w:t>嗣</w:t>
      </w:r>
      <w:proofErr w:type="gramEnd"/>
      <w:r w:rsidRPr="00C1788C">
        <w:rPr>
          <w:rFonts w:hAnsi="標楷體" w:hint="eastAsia"/>
        </w:rPr>
        <w:t>於民國(下同)114年12月12日諮詢銘傳大學犯罪防治系所王伯頎副教授、國防安全研究院戰略資源所楊長蓉助理研究員及</w:t>
      </w:r>
      <w:proofErr w:type="gramStart"/>
      <w:r w:rsidRPr="00C1788C">
        <w:rPr>
          <w:rFonts w:hAnsi="標楷體" w:hint="eastAsia"/>
        </w:rPr>
        <w:t>恒</w:t>
      </w:r>
      <w:proofErr w:type="gramEnd"/>
      <w:r w:rsidRPr="00C1788C">
        <w:rPr>
          <w:rFonts w:hAnsi="標楷體" w:hint="eastAsia"/>
        </w:rPr>
        <w:t>達法律事務所賴中強律師等</w:t>
      </w:r>
      <w:r w:rsidR="00D22BEF" w:rsidRPr="00C1788C">
        <w:rPr>
          <w:rFonts w:hAnsi="標楷體" w:hint="eastAsia"/>
        </w:rPr>
        <w:t>專家學者之</w:t>
      </w:r>
      <w:r w:rsidRPr="00C1788C">
        <w:rPr>
          <w:rFonts w:hAnsi="標楷體" w:hint="eastAsia"/>
        </w:rPr>
        <w:t>意見</w:t>
      </w:r>
      <w:r w:rsidR="005E7A8E" w:rsidRPr="00C1788C">
        <w:rPr>
          <w:rFonts w:hAnsi="標楷體" w:hint="eastAsia"/>
        </w:rPr>
        <w:t>；</w:t>
      </w:r>
      <w:r w:rsidRPr="00C1788C">
        <w:rPr>
          <w:rFonts w:hAnsi="標楷體" w:hint="eastAsia"/>
        </w:rPr>
        <w:t>復於同年12月31日詢問經濟部江</w:t>
      </w:r>
      <w:r w:rsidR="001E6499" w:rsidRPr="00C1788C">
        <w:rPr>
          <w:rFonts w:hAnsi="標楷體" w:hint="eastAsia"/>
        </w:rPr>
        <w:t>文若</w:t>
      </w:r>
      <w:r w:rsidRPr="00C1788C">
        <w:rPr>
          <w:rFonts w:hAnsi="標楷體" w:hint="eastAsia"/>
        </w:rPr>
        <w:t>政務次長、金管會陳</w:t>
      </w:r>
      <w:r w:rsidR="001E6499" w:rsidRPr="00C1788C">
        <w:rPr>
          <w:rFonts w:hAnsi="標楷體" w:hint="eastAsia"/>
        </w:rPr>
        <w:t>彥良</w:t>
      </w:r>
      <w:r w:rsidRPr="00C1788C">
        <w:rPr>
          <w:rFonts w:hAnsi="標楷體" w:hint="eastAsia"/>
        </w:rPr>
        <w:t>副主任委員、</w:t>
      </w:r>
      <w:r w:rsidR="00F971D4" w:rsidRPr="00C1788C">
        <w:rPr>
          <w:rFonts w:hAnsi="標楷體" w:hint="eastAsia"/>
        </w:rPr>
        <w:t>數發部侯</w:t>
      </w:r>
      <w:r w:rsidR="001E6499" w:rsidRPr="00C1788C">
        <w:rPr>
          <w:rFonts w:hAnsi="標楷體" w:hint="eastAsia"/>
        </w:rPr>
        <w:t>宜秀</w:t>
      </w:r>
      <w:r w:rsidR="00F971D4" w:rsidRPr="00C1788C">
        <w:rPr>
          <w:rFonts w:hAnsi="標楷體" w:hint="eastAsia"/>
        </w:rPr>
        <w:t>政務次長、</w:t>
      </w:r>
      <w:r w:rsidR="00D22BEF" w:rsidRPr="00C1788C">
        <w:rPr>
          <w:rFonts w:hAnsi="標楷體" w:hint="eastAsia"/>
        </w:rPr>
        <w:t>國家安全局(</w:t>
      </w:r>
      <w:proofErr w:type="gramStart"/>
      <w:r w:rsidR="00D22BEF" w:rsidRPr="00C1788C">
        <w:rPr>
          <w:rFonts w:hAnsi="標楷體" w:hint="eastAsia"/>
        </w:rPr>
        <w:t>下稱國安</w:t>
      </w:r>
      <w:proofErr w:type="gramEnd"/>
      <w:r w:rsidR="00D22BEF" w:rsidRPr="00C1788C">
        <w:rPr>
          <w:rFonts w:hAnsi="標楷體" w:hint="eastAsia"/>
        </w:rPr>
        <w:t>局)</w:t>
      </w:r>
      <w:r w:rsidRPr="00C1788C">
        <w:rPr>
          <w:rFonts w:hAnsi="標楷體" w:hint="eastAsia"/>
        </w:rPr>
        <w:t>陳</w:t>
      </w:r>
      <w:r w:rsidR="001E6499" w:rsidRPr="00C1788C">
        <w:rPr>
          <w:rFonts w:hAnsi="標楷體" w:hint="eastAsia"/>
        </w:rPr>
        <w:t>松吉</w:t>
      </w:r>
      <w:r w:rsidRPr="00C1788C">
        <w:rPr>
          <w:rFonts w:hAnsi="標楷體" w:hint="eastAsia"/>
        </w:rPr>
        <w:t>副局長</w:t>
      </w:r>
      <w:r w:rsidR="00F971D4" w:rsidRPr="00C1788C">
        <w:rPr>
          <w:rFonts w:hAnsi="標楷體" w:hint="eastAsia"/>
        </w:rPr>
        <w:t>等相關主管及承辦人員</w:t>
      </w:r>
      <w:r w:rsidR="00D22BEF" w:rsidRPr="00C1788C">
        <w:rPr>
          <w:rFonts w:hAnsi="標楷體" w:hint="eastAsia"/>
        </w:rPr>
        <w:t>，</w:t>
      </w:r>
      <w:r w:rsidR="005E7A8E" w:rsidRPr="00C1788C">
        <w:rPr>
          <w:rFonts w:hAnsi="標楷體" w:hint="eastAsia"/>
        </w:rPr>
        <w:t>已調查完畢，</w:t>
      </w:r>
      <w:r w:rsidR="00BB5491" w:rsidRPr="00C1788C">
        <w:rPr>
          <w:rFonts w:hAnsi="標楷體" w:hint="eastAsia"/>
        </w:rPr>
        <w:t>茲</w:t>
      </w:r>
      <w:proofErr w:type="gramStart"/>
      <w:r w:rsidR="00BB5491" w:rsidRPr="00C1788C">
        <w:rPr>
          <w:rFonts w:hAnsi="標楷體" w:hint="eastAsia"/>
        </w:rPr>
        <w:t>臚</w:t>
      </w:r>
      <w:proofErr w:type="gramEnd"/>
      <w:r w:rsidR="00BB5491" w:rsidRPr="00C1788C">
        <w:rPr>
          <w:rFonts w:hAnsi="標楷體" w:hint="eastAsia"/>
        </w:rPr>
        <w:t>列調查意見如下：</w:t>
      </w:r>
    </w:p>
    <w:p w14:paraId="1830FE3F" w14:textId="56ED1BD4" w:rsidR="00AC507B" w:rsidRPr="00C1788C" w:rsidRDefault="00AC507B" w:rsidP="00AC507B">
      <w:pPr>
        <w:pStyle w:val="2"/>
        <w:rPr>
          <w:rFonts w:hAnsi="標楷體"/>
          <w:b/>
          <w:bCs w:val="0"/>
        </w:rPr>
      </w:pPr>
      <w:r w:rsidRPr="00C1788C">
        <w:rPr>
          <w:rFonts w:hAnsi="標楷體" w:hint="eastAsia"/>
          <w:b/>
        </w:rPr>
        <w:lastRenderedPageBreak/>
        <w:t>現行經濟部</w:t>
      </w:r>
      <w:r w:rsidR="005E7A8E" w:rsidRPr="00C1788C">
        <w:rPr>
          <w:rFonts w:hAnsi="標楷體" w:hint="eastAsia"/>
          <w:b/>
        </w:rPr>
        <w:t>投資審議司(下</w:t>
      </w:r>
      <w:proofErr w:type="gramStart"/>
      <w:r w:rsidR="005E7A8E" w:rsidRPr="00C1788C">
        <w:rPr>
          <w:rFonts w:hAnsi="標楷體" w:hint="eastAsia"/>
          <w:b/>
        </w:rPr>
        <w:t>稱</w:t>
      </w:r>
      <w:r w:rsidRPr="00C1788C">
        <w:rPr>
          <w:rFonts w:hAnsi="標楷體" w:hint="eastAsia"/>
          <w:b/>
        </w:rPr>
        <w:t>投審司</w:t>
      </w:r>
      <w:proofErr w:type="gramEnd"/>
      <w:r w:rsidR="005E7A8E" w:rsidRPr="00C1788C">
        <w:rPr>
          <w:rFonts w:hAnsi="標楷體" w:hint="eastAsia"/>
          <w:b/>
        </w:rPr>
        <w:t>)</w:t>
      </w:r>
      <w:r w:rsidRPr="00C1788C">
        <w:rPr>
          <w:rFonts w:hAnsi="標楷體" w:hint="eastAsia"/>
          <w:b/>
        </w:rPr>
        <w:t>對於外資與陸資認定係以股權比例與形式控制為核心，</w:t>
      </w:r>
      <w:r w:rsidR="00E36448" w:rsidRPr="00C1788C">
        <w:rPr>
          <w:rFonts w:hAnsi="標楷體" w:hint="eastAsia"/>
          <w:b/>
        </w:rPr>
        <w:t>雖</w:t>
      </w:r>
      <w:r w:rsidRPr="00C1788C">
        <w:rPr>
          <w:rFonts w:hAnsi="標楷體" w:hint="eastAsia"/>
          <w:b/>
        </w:rPr>
        <w:t>依相關法令審查，並經跨機關確認是否</w:t>
      </w:r>
      <w:proofErr w:type="gramStart"/>
      <w:r w:rsidRPr="00C1788C">
        <w:rPr>
          <w:rFonts w:hAnsi="標楷體" w:hint="eastAsia"/>
          <w:b/>
        </w:rPr>
        <w:t>未具陸資</w:t>
      </w:r>
      <w:proofErr w:type="gramEnd"/>
      <w:r w:rsidRPr="00C1788C">
        <w:rPr>
          <w:rFonts w:hAnsi="標楷體" w:hint="eastAsia"/>
          <w:b/>
        </w:rPr>
        <w:t>控制情形，然該司實務審查多以股權比例為核心依據，高度依賴形式文件與投資人揭露資料，對於跨國企業常見</w:t>
      </w:r>
      <w:proofErr w:type="gramStart"/>
      <w:r w:rsidRPr="00C1788C">
        <w:rPr>
          <w:rFonts w:hAnsi="標楷體" w:hint="eastAsia"/>
          <w:b/>
        </w:rPr>
        <w:t>之多層控股</w:t>
      </w:r>
      <w:proofErr w:type="gramEnd"/>
      <w:r w:rsidRPr="00C1788C">
        <w:rPr>
          <w:rFonts w:hAnsi="標楷體" w:hint="eastAsia"/>
          <w:b/>
        </w:rPr>
        <w:t>架構、</w:t>
      </w:r>
      <w:r w:rsidRPr="00C1788C">
        <w:rPr>
          <w:rFonts w:hAnsi="標楷體"/>
          <w:b/>
        </w:rPr>
        <w:t>董事會影響力、策略決策權、資金依賴程度等</w:t>
      </w:r>
      <w:r w:rsidRPr="00C1788C">
        <w:rPr>
          <w:rFonts w:hAnsi="標楷體" w:hint="eastAsia"/>
          <w:b/>
        </w:rPr>
        <w:t>「實質控制力」之判斷，尚乏具體操作準則，現行審查機制</w:t>
      </w:r>
      <w:proofErr w:type="gramStart"/>
      <w:r w:rsidR="005E7A8E" w:rsidRPr="00C1788C">
        <w:rPr>
          <w:rFonts w:hAnsi="標楷體" w:hint="eastAsia"/>
          <w:b/>
          <w:bCs w:val="0"/>
        </w:rPr>
        <w:t>恐</w:t>
      </w:r>
      <w:proofErr w:type="gramEnd"/>
      <w:r w:rsidR="005E7A8E" w:rsidRPr="00C1788C">
        <w:rPr>
          <w:rFonts w:hAnsi="標楷體"/>
          <w:b/>
          <w:bCs w:val="0"/>
        </w:rPr>
        <w:t>難</w:t>
      </w:r>
      <w:r w:rsidR="005E7A8E" w:rsidRPr="00C1788C">
        <w:rPr>
          <w:rFonts w:hAnsi="標楷體" w:hint="eastAsia"/>
          <w:b/>
          <w:bCs w:val="0"/>
        </w:rPr>
        <w:t>以</w:t>
      </w:r>
      <w:r w:rsidRPr="00C1788C">
        <w:rPr>
          <w:rFonts w:hAnsi="標楷體" w:hint="eastAsia"/>
          <w:b/>
        </w:rPr>
        <w:t>充分掌握</w:t>
      </w:r>
      <w:r w:rsidR="00F45E5A" w:rsidRPr="00C1788C">
        <w:rPr>
          <w:rFonts w:hAnsi="標楷體" w:hint="eastAsia"/>
          <w:b/>
          <w:bCs w:val="0"/>
        </w:rPr>
        <w:t>；況且核准後</w:t>
      </w:r>
      <w:r w:rsidR="00F45E5A" w:rsidRPr="00C1788C">
        <w:rPr>
          <w:rFonts w:hAnsi="標楷體"/>
          <w:b/>
          <w:bCs w:val="0"/>
        </w:rPr>
        <w:t>持續監理與股權變動追蹤機制</w:t>
      </w:r>
      <w:r w:rsidR="00E36448" w:rsidRPr="00C1788C">
        <w:rPr>
          <w:rFonts w:hAnsi="標楷體" w:hint="eastAsia"/>
          <w:b/>
          <w:bCs w:val="0"/>
        </w:rPr>
        <w:t>流於</w:t>
      </w:r>
      <w:r w:rsidR="00F45E5A" w:rsidRPr="00C1788C">
        <w:rPr>
          <w:rFonts w:hAnsi="標楷體"/>
          <w:b/>
          <w:bCs w:val="0"/>
        </w:rPr>
        <w:t>被動，</w:t>
      </w:r>
      <w:r w:rsidR="00F45E5A" w:rsidRPr="00C1788C">
        <w:rPr>
          <w:rFonts w:hAnsi="標楷體" w:hint="eastAsia"/>
          <w:b/>
          <w:bCs w:val="0"/>
        </w:rPr>
        <w:t>亦</w:t>
      </w:r>
      <w:r w:rsidR="00F45E5A" w:rsidRPr="00C1788C">
        <w:rPr>
          <w:rFonts w:hAnsi="標楷體"/>
          <w:b/>
          <w:bCs w:val="0"/>
        </w:rPr>
        <w:t>不足以防範投資結構變異風險</w:t>
      </w:r>
      <w:r w:rsidRPr="00C1788C">
        <w:rPr>
          <w:rFonts w:hAnsi="標楷體" w:hint="eastAsia"/>
          <w:b/>
        </w:rPr>
        <w:t>。</w:t>
      </w:r>
      <w:r w:rsidR="00F45E5A" w:rsidRPr="00C1788C">
        <w:rPr>
          <w:rFonts w:hAnsi="標楷體" w:hint="eastAsia"/>
          <w:b/>
          <w:bCs w:val="0"/>
        </w:rPr>
        <w:t>是以</w:t>
      </w:r>
      <w:r w:rsidR="00F45E5A" w:rsidRPr="00C1788C">
        <w:rPr>
          <w:rFonts w:hAnsi="標楷體" w:hint="eastAsia"/>
          <w:b/>
          <w:bCs w:val="0"/>
          <w:szCs w:val="36"/>
        </w:rPr>
        <w:t>經濟部允宜持續參酌</w:t>
      </w:r>
      <w:proofErr w:type="gramStart"/>
      <w:r w:rsidR="00F45E5A" w:rsidRPr="00C1788C">
        <w:rPr>
          <w:rFonts w:hAnsi="標楷體" w:hint="eastAsia"/>
          <w:b/>
          <w:bCs w:val="0"/>
          <w:szCs w:val="36"/>
        </w:rPr>
        <w:t>國際反避稅</w:t>
      </w:r>
      <w:proofErr w:type="gramEnd"/>
      <w:r w:rsidR="00F45E5A" w:rsidRPr="00C1788C">
        <w:rPr>
          <w:rFonts w:hAnsi="標楷體" w:hint="eastAsia"/>
          <w:b/>
          <w:bCs w:val="0"/>
          <w:szCs w:val="36"/>
        </w:rPr>
        <w:t>及反洗錢制度</w:t>
      </w:r>
      <w:r w:rsidR="00F45E5A" w:rsidRPr="00C1788C">
        <w:rPr>
          <w:rFonts w:hAnsi="標楷體"/>
          <w:b/>
          <w:bCs w:val="0"/>
        </w:rPr>
        <w:t>(</w:t>
      </w:r>
      <w:r w:rsidR="00F45E5A" w:rsidRPr="00C1788C">
        <w:rPr>
          <w:rFonts w:hAnsi="標楷體" w:hint="eastAsia"/>
          <w:b/>
          <w:bCs w:val="0"/>
          <w:szCs w:val="36"/>
        </w:rPr>
        <w:t>如最終受益人揭露機制</w:t>
      </w:r>
      <w:r w:rsidR="00F45E5A" w:rsidRPr="00C1788C">
        <w:rPr>
          <w:rFonts w:hAnsi="標楷體"/>
          <w:b/>
          <w:bCs w:val="0"/>
        </w:rPr>
        <w:t>)</w:t>
      </w:r>
      <w:r w:rsidR="00F45E5A" w:rsidRPr="00C1788C">
        <w:rPr>
          <w:rFonts w:hAnsi="標楷體" w:hint="eastAsia"/>
          <w:b/>
          <w:bCs w:val="0"/>
          <w:szCs w:val="36"/>
        </w:rPr>
        <w:t>之作法，建立穿透式審查機制及明確判斷指標，以</w:t>
      </w:r>
      <w:proofErr w:type="gramStart"/>
      <w:r w:rsidR="00F45E5A" w:rsidRPr="00C1788C">
        <w:rPr>
          <w:rFonts w:hAnsi="標楷體" w:hint="eastAsia"/>
          <w:b/>
          <w:bCs w:val="0"/>
          <w:szCs w:val="36"/>
        </w:rPr>
        <w:t>精進跨境</w:t>
      </w:r>
      <w:proofErr w:type="gramEnd"/>
      <w:r w:rsidR="00F45E5A" w:rsidRPr="00C1788C">
        <w:rPr>
          <w:rFonts w:hAnsi="標楷體" w:hint="eastAsia"/>
          <w:b/>
          <w:bCs w:val="0"/>
          <w:szCs w:val="36"/>
        </w:rPr>
        <w:t>投資穿透分析及強化對隱性控制關係之辨識能力，並</w:t>
      </w:r>
      <w:proofErr w:type="gramStart"/>
      <w:r w:rsidR="00F45E5A" w:rsidRPr="00C1788C">
        <w:rPr>
          <w:rFonts w:hAnsi="標楷體" w:hint="eastAsia"/>
          <w:b/>
          <w:bCs w:val="0"/>
          <w:szCs w:val="36"/>
        </w:rPr>
        <w:t>研</w:t>
      </w:r>
      <w:proofErr w:type="gramEnd"/>
      <w:r w:rsidR="00F45E5A" w:rsidRPr="00C1788C">
        <w:rPr>
          <w:rFonts w:hAnsi="標楷體" w:hint="eastAsia"/>
          <w:b/>
          <w:bCs w:val="0"/>
          <w:szCs w:val="36"/>
        </w:rPr>
        <w:t>議引進風險導向審查方法，</w:t>
      </w:r>
      <w:r w:rsidR="00F45E5A" w:rsidRPr="00C1788C">
        <w:rPr>
          <w:rFonts w:hAnsi="標楷體" w:hint="eastAsia"/>
          <w:b/>
          <w:bCs w:val="0"/>
        </w:rPr>
        <w:t>建立常態化監測、資料串接及風險預警制度，強化查核權限與資訊揭露要求，</w:t>
      </w:r>
      <w:r w:rsidR="00F45E5A" w:rsidRPr="00C1788C">
        <w:rPr>
          <w:rFonts w:hAnsi="標楷體" w:hint="eastAsia"/>
          <w:b/>
          <w:bCs w:val="0"/>
          <w:szCs w:val="36"/>
        </w:rPr>
        <w:t>以因應新型態資本結構之挑戰</w:t>
      </w:r>
      <w:r w:rsidR="00F45E5A" w:rsidRPr="00C1788C">
        <w:rPr>
          <w:rFonts w:hAnsi="標楷體" w:hint="eastAsia"/>
          <w:b/>
          <w:bCs w:val="0"/>
        </w:rPr>
        <w:t>，及時掌握股權變動與實質控制變化，確保投資案持續符合法規及國安要求</w:t>
      </w:r>
      <w:r w:rsidRPr="00C1788C">
        <w:rPr>
          <w:rFonts w:hAnsi="標楷體" w:hint="eastAsia"/>
          <w:b/>
          <w:bCs w:val="0"/>
        </w:rPr>
        <w:t>：</w:t>
      </w:r>
    </w:p>
    <w:p w14:paraId="66A288EC" w14:textId="4DAE8665" w:rsidR="00FD5188" w:rsidRPr="00C1788C" w:rsidRDefault="00AD7DA5" w:rsidP="00320890">
      <w:pPr>
        <w:pStyle w:val="3"/>
        <w:numPr>
          <w:ilvl w:val="2"/>
          <w:numId w:val="1"/>
        </w:numPr>
        <w:ind w:left="1360" w:hanging="680"/>
        <w:rPr>
          <w:rFonts w:hAnsi="標楷體"/>
        </w:rPr>
      </w:pPr>
      <w:r w:rsidRPr="00C1788C">
        <w:rPr>
          <w:rFonts w:hAnsi="標楷體"/>
        </w:rPr>
        <w:t>依外國人投資條例</w:t>
      </w:r>
      <w:r w:rsidR="003928CC" w:rsidRPr="00C1788C">
        <w:rPr>
          <w:rFonts w:hAnsi="標楷體" w:hint="eastAsia"/>
        </w:rPr>
        <w:t>第1條規定：「外國人在中華民國境內之投資、保障、限制及處理，依本條例之規定。」及</w:t>
      </w:r>
      <w:r w:rsidR="00460710" w:rsidRPr="00C1788C">
        <w:rPr>
          <w:rFonts w:hAnsi="標楷體" w:hint="eastAsia"/>
        </w:rPr>
        <w:t>同條例</w:t>
      </w:r>
      <w:r w:rsidR="003928CC" w:rsidRPr="00C1788C">
        <w:rPr>
          <w:rFonts w:hAnsi="標楷體" w:hint="eastAsia"/>
        </w:rPr>
        <w:t>第</w:t>
      </w:r>
      <w:r w:rsidR="00FD5188" w:rsidRPr="00C1788C">
        <w:rPr>
          <w:rFonts w:hAnsi="標楷體" w:hint="eastAsia"/>
        </w:rPr>
        <w:t>8</w:t>
      </w:r>
      <w:r w:rsidR="003928CC" w:rsidRPr="00C1788C">
        <w:rPr>
          <w:rFonts w:hAnsi="標楷體" w:hint="eastAsia"/>
        </w:rPr>
        <w:t>條</w:t>
      </w:r>
      <w:r w:rsidR="0059718C" w:rsidRPr="00C1788C">
        <w:rPr>
          <w:rFonts w:hAnsi="標楷體" w:hint="eastAsia"/>
        </w:rPr>
        <w:t>第1項</w:t>
      </w:r>
      <w:r w:rsidRPr="00C1788C">
        <w:rPr>
          <w:rFonts w:hAnsi="標楷體"/>
        </w:rPr>
        <w:t>規定</w:t>
      </w:r>
      <w:r w:rsidR="003928CC" w:rsidRPr="00C1788C">
        <w:rPr>
          <w:rFonts w:hAnsi="標楷體" w:hint="eastAsia"/>
        </w:rPr>
        <w:t>：「</w:t>
      </w:r>
      <w:r w:rsidR="00FD5188" w:rsidRPr="00C1788C">
        <w:rPr>
          <w:rFonts w:hAnsi="標楷體" w:hint="eastAsia"/>
        </w:rPr>
        <w:t>投資人依本條例投資者，應填具投資申請書，檢附投資計畫及有關證件，向主管機關申請核准。投資計畫變更時，亦同。</w:t>
      </w:r>
      <w:r w:rsidR="003928CC" w:rsidRPr="00C1788C">
        <w:rPr>
          <w:rFonts w:hAnsi="標楷體" w:hint="eastAsia"/>
        </w:rPr>
        <w:t>」</w:t>
      </w:r>
      <w:r w:rsidR="0059718C" w:rsidRPr="00C1788C">
        <w:rPr>
          <w:rFonts w:hAnsi="標楷體" w:hint="eastAsia"/>
        </w:rPr>
        <w:t>復</w:t>
      </w:r>
      <w:r w:rsidR="006B7474" w:rsidRPr="00C1788C">
        <w:rPr>
          <w:rFonts w:hAnsi="標楷體" w:hint="eastAsia"/>
          <w:bCs w:val="0"/>
          <w:szCs w:val="48"/>
        </w:rPr>
        <w:t>依</w:t>
      </w:r>
      <w:r w:rsidR="006B7474" w:rsidRPr="00C1788C">
        <w:rPr>
          <w:rFonts w:hAnsi="標楷體"/>
          <w:bCs w:val="0"/>
          <w:szCs w:val="48"/>
        </w:rPr>
        <w:t>臺灣地區與大陸地區人民關係條例</w:t>
      </w:r>
      <w:r w:rsidR="000B1925" w:rsidRPr="00C1788C">
        <w:rPr>
          <w:rFonts w:hAnsi="標楷體" w:hint="eastAsia"/>
          <w:bCs w:val="0"/>
          <w:szCs w:val="48"/>
        </w:rPr>
        <w:t>(下稱兩岸條例)</w:t>
      </w:r>
      <w:r w:rsidR="006B7474" w:rsidRPr="00C1788C">
        <w:rPr>
          <w:rFonts w:hAnsi="標楷體"/>
          <w:bCs w:val="0"/>
          <w:szCs w:val="48"/>
        </w:rPr>
        <w:t>第73條</w:t>
      </w:r>
      <w:r w:rsidR="006B7474" w:rsidRPr="00C1788C">
        <w:rPr>
          <w:rFonts w:hAnsi="標楷體" w:hint="eastAsia"/>
          <w:bCs w:val="0"/>
          <w:szCs w:val="48"/>
        </w:rPr>
        <w:t>規定：「</w:t>
      </w:r>
      <w:r w:rsidR="006B7474" w:rsidRPr="00C1788C">
        <w:rPr>
          <w:rFonts w:hAnsi="標楷體"/>
          <w:bCs w:val="0"/>
        </w:rPr>
        <w:t>大陸地區人民、法人、團體、其他機構或其於第三地區投資之公司，非經主管機關許可，不得在臺灣地區從事投資行為。</w:t>
      </w:r>
      <w:r w:rsidR="000B1925" w:rsidRPr="00C1788C">
        <w:rPr>
          <w:rFonts w:hAnsi="標楷體" w:hint="eastAsia"/>
          <w:bCs w:val="0"/>
        </w:rPr>
        <w:t>…</w:t>
      </w:r>
      <w:proofErr w:type="gramStart"/>
      <w:r w:rsidR="000B1925" w:rsidRPr="00C1788C">
        <w:rPr>
          <w:rFonts w:hAnsi="標楷體" w:hint="eastAsia"/>
          <w:bCs w:val="0"/>
        </w:rPr>
        <w:t>…</w:t>
      </w:r>
      <w:proofErr w:type="gramEnd"/>
      <w:r w:rsidR="006B7474" w:rsidRPr="00C1788C">
        <w:rPr>
          <w:rFonts w:hAnsi="標楷體"/>
          <w:bCs w:val="0"/>
        </w:rPr>
        <w:t>依第</w:t>
      </w:r>
      <w:r w:rsidR="005E7A8E" w:rsidRPr="00C1788C">
        <w:rPr>
          <w:rFonts w:hAnsi="標楷體" w:hint="eastAsia"/>
          <w:bCs w:val="0"/>
        </w:rPr>
        <w:t>1</w:t>
      </w:r>
      <w:r w:rsidR="006B7474" w:rsidRPr="00C1788C">
        <w:rPr>
          <w:rFonts w:hAnsi="標楷體"/>
          <w:bCs w:val="0"/>
        </w:rPr>
        <w:t>項規定投資之事業，應依前項所定辦法規定或主管機關命令申報財務報表、股東持股變化或其他指定之資料；主管機關得派員前往檢查，投資事業不得規避、妨礙或拒絕。投資人轉讓其投資時，轉讓</w:t>
      </w:r>
      <w:r w:rsidR="006B7474" w:rsidRPr="00C1788C">
        <w:rPr>
          <w:rFonts w:hAnsi="標楷體"/>
          <w:bCs w:val="0"/>
        </w:rPr>
        <w:lastRenderedPageBreak/>
        <w:t>人及受讓人應會同向主管機關申請許可。</w:t>
      </w:r>
      <w:r w:rsidR="006B7474" w:rsidRPr="00C1788C">
        <w:rPr>
          <w:rFonts w:hAnsi="標楷體" w:hint="eastAsia"/>
          <w:bCs w:val="0"/>
        </w:rPr>
        <w:t>」</w:t>
      </w:r>
      <w:r w:rsidR="0059718C" w:rsidRPr="00C1788C">
        <w:rPr>
          <w:rFonts w:hAnsi="標楷體" w:hint="eastAsia"/>
        </w:rPr>
        <w:t>再</w:t>
      </w:r>
      <w:r w:rsidRPr="00C1788C">
        <w:rPr>
          <w:rFonts w:hAnsi="標楷體"/>
        </w:rPr>
        <w:t>依大陸地區人民來</w:t>
      </w:r>
      <w:proofErr w:type="gramStart"/>
      <w:r w:rsidRPr="00C1788C">
        <w:rPr>
          <w:rFonts w:hAnsi="標楷體"/>
        </w:rPr>
        <w:t>臺</w:t>
      </w:r>
      <w:proofErr w:type="gramEnd"/>
      <w:r w:rsidRPr="00C1788C">
        <w:rPr>
          <w:rFonts w:hAnsi="標楷體"/>
        </w:rPr>
        <w:t>投資許可辦法</w:t>
      </w:r>
      <w:r w:rsidR="00460710" w:rsidRPr="00C1788C">
        <w:rPr>
          <w:rFonts w:hAnsi="標楷體" w:hint="eastAsia"/>
        </w:rPr>
        <w:t>(</w:t>
      </w:r>
      <w:proofErr w:type="gramStart"/>
      <w:r w:rsidR="00460710" w:rsidRPr="00C1788C">
        <w:rPr>
          <w:rFonts w:hAnsi="標楷體" w:hint="eastAsia"/>
        </w:rPr>
        <w:t>下稱陸資</w:t>
      </w:r>
      <w:proofErr w:type="gramEnd"/>
      <w:r w:rsidR="00460710" w:rsidRPr="00C1788C">
        <w:rPr>
          <w:rFonts w:hAnsi="標楷體" w:hint="eastAsia"/>
        </w:rPr>
        <w:t>許可辦法)</w:t>
      </w:r>
      <w:r w:rsidRPr="00C1788C">
        <w:rPr>
          <w:rFonts w:hAnsi="標楷體"/>
        </w:rPr>
        <w:t>第3條規定</w:t>
      </w:r>
      <w:r w:rsidR="003928CC" w:rsidRPr="00C1788C">
        <w:rPr>
          <w:rFonts w:hAnsi="標楷體" w:hint="eastAsia"/>
        </w:rPr>
        <w:t>：「本辦法所稱投資人，指大陸地區人民、法人、團體、其他機構或其於第三地區投資之公司，依本辦法規定在臺灣地區從事投資行為者。前項所稱第三地區投資之公司，指大陸地區人民、法人、團體或其他機構對於第三地區之公司有下列情形之</w:t>
      </w:r>
      <w:proofErr w:type="gramStart"/>
      <w:r w:rsidR="003928CC" w:rsidRPr="00C1788C">
        <w:rPr>
          <w:rFonts w:hAnsi="標楷體" w:hint="eastAsia"/>
        </w:rPr>
        <w:t>一</w:t>
      </w:r>
      <w:proofErr w:type="gramEnd"/>
      <w:r w:rsidR="003928CC" w:rsidRPr="00C1788C">
        <w:rPr>
          <w:rFonts w:hAnsi="標楷體" w:hint="eastAsia"/>
        </w:rPr>
        <w:t>者：一、直接或間接持有該第三地區公司股份或出資總額逾百分之三十。二、對該第三地區公司具有控制能力。前項第三地區投資之公司在臺灣地區之投資，不適用外國人投資條例之規定。」</w:t>
      </w:r>
      <w:proofErr w:type="gramStart"/>
      <w:r w:rsidR="00AC507B" w:rsidRPr="00C1788C">
        <w:rPr>
          <w:rFonts w:hAnsi="標楷體" w:hint="eastAsia"/>
        </w:rPr>
        <w:t>爰</w:t>
      </w:r>
      <w:proofErr w:type="gramEnd"/>
      <w:r w:rsidR="00F172A9" w:rsidRPr="00C1788C">
        <w:rPr>
          <w:rFonts w:hAnsi="標楷體"/>
        </w:rPr>
        <w:t>陸資之認定標準包括：</w:t>
      </w:r>
      <w:r w:rsidR="00F172A9" w:rsidRPr="00C1788C">
        <w:rPr>
          <w:rFonts w:hAnsi="標楷體" w:hint="eastAsia"/>
        </w:rPr>
        <w:t>1</w:t>
      </w:r>
      <w:r w:rsidR="00F172A9" w:rsidRPr="00C1788C">
        <w:rPr>
          <w:rFonts w:hAnsi="標楷體"/>
        </w:rPr>
        <w:t>、直接或間接持股達30%以上；</w:t>
      </w:r>
      <w:r w:rsidR="00F172A9" w:rsidRPr="00C1788C">
        <w:rPr>
          <w:rFonts w:hAnsi="標楷體" w:hint="eastAsia"/>
        </w:rPr>
        <w:t>2</w:t>
      </w:r>
      <w:r w:rsidR="00F172A9" w:rsidRPr="00C1788C">
        <w:rPr>
          <w:rFonts w:hAnsi="標楷體"/>
        </w:rPr>
        <w:t>、對公司具有控制能力者。</w:t>
      </w:r>
      <w:r w:rsidR="00FD5188" w:rsidRPr="00C1788C">
        <w:rPr>
          <w:rFonts w:hAnsi="標楷體" w:hint="eastAsia"/>
        </w:rPr>
        <w:t>據</w:t>
      </w:r>
      <w:r w:rsidR="00C24A08" w:rsidRPr="00C1788C">
        <w:rPr>
          <w:rFonts w:hAnsi="標楷體" w:hint="eastAsia"/>
        </w:rPr>
        <w:t>經濟部說明</w:t>
      </w:r>
      <w:r w:rsidR="00363CD6" w:rsidRPr="00C1788C">
        <w:rPr>
          <w:rFonts w:hAnsi="標楷體" w:hint="eastAsia"/>
        </w:rPr>
        <w:t>，</w:t>
      </w:r>
      <w:r w:rsidR="00293A7B" w:rsidRPr="00C1788C">
        <w:rPr>
          <w:rFonts w:hAnsi="標楷體" w:hint="eastAsia"/>
        </w:rPr>
        <w:t>為防堵「假外資、</w:t>
      </w:r>
      <w:proofErr w:type="gramStart"/>
      <w:r w:rsidR="00293A7B" w:rsidRPr="00C1788C">
        <w:rPr>
          <w:rFonts w:hAnsi="標楷體" w:hint="eastAsia"/>
        </w:rPr>
        <w:t>真陸資</w:t>
      </w:r>
      <w:proofErr w:type="gramEnd"/>
      <w:r w:rsidR="00293A7B" w:rsidRPr="00C1788C">
        <w:rPr>
          <w:rFonts w:hAnsi="標楷體" w:hint="eastAsia"/>
        </w:rPr>
        <w:t>」來</w:t>
      </w:r>
      <w:proofErr w:type="gramStart"/>
      <w:r w:rsidR="00293A7B" w:rsidRPr="00C1788C">
        <w:rPr>
          <w:rFonts w:hAnsi="標楷體" w:hint="eastAsia"/>
        </w:rPr>
        <w:t>臺</w:t>
      </w:r>
      <w:proofErr w:type="gramEnd"/>
      <w:r w:rsidR="00293A7B" w:rsidRPr="00C1788C">
        <w:rPr>
          <w:rFonts w:hAnsi="標楷體" w:hint="eastAsia"/>
        </w:rPr>
        <w:t>投資，於</w:t>
      </w:r>
      <w:r w:rsidR="00C24A08" w:rsidRPr="00C1788C">
        <w:rPr>
          <w:rFonts w:hAnsi="標楷體" w:hint="eastAsia"/>
        </w:rPr>
        <w:t>109年12月30日修正對於陸資「30%計算方式」，由綜合持股計算法改為分層認定計算法，以及對「控制能力」之解</w:t>
      </w:r>
      <w:r w:rsidR="00C24A08" w:rsidRPr="00C1788C">
        <w:rPr>
          <w:rFonts w:hAnsi="標楷體" w:hint="eastAsia"/>
        </w:rPr>
        <w:lastRenderedPageBreak/>
        <w:t>釋令</w:t>
      </w:r>
      <w:r w:rsidR="00C24A08" w:rsidRPr="00C1788C">
        <w:rPr>
          <w:rStyle w:val="afe"/>
          <w:rFonts w:hAnsi="標楷體"/>
        </w:rPr>
        <w:footnoteReference w:id="1"/>
      </w:r>
      <w:r w:rsidR="00C24A08" w:rsidRPr="00C1788C">
        <w:rPr>
          <w:rFonts w:hAnsi="標楷體" w:hint="eastAsia"/>
        </w:rPr>
        <w:t>。</w:t>
      </w:r>
      <w:r w:rsidR="00FD5188" w:rsidRPr="00C1788C">
        <w:rPr>
          <w:rFonts w:hAnsi="標楷體" w:hint="eastAsia"/>
        </w:rPr>
        <w:t>並於111年6月修正兩岸條例第40條之1</w:t>
      </w:r>
      <w:r w:rsidR="00D51800" w:rsidRPr="00C1788C">
        <w:rPr>
          <w:rStyle w:val="afe"/>
          <w:rFonts w:hAnsi="標楷體"/>
        </w:rPr>
        <w:footnoteReference w:id="2"/>
      </w:r>
      <w:r w:rsidR="00FD5188" w:rsidRPr="00C1788C">
        <w:rPr>
          <w:rFonts w:hAnsi="標楷體" w:hint="eastAsia"/>
        </w:rPr>
        <w:t>、第93條之1</w:t>
      </w:r>
      <w:r w:rsidR="00D51800" w:rsidRPr="00C1788C">
        <w:rPr>
          <w:rStyle w:val="afe"/>
          <w:rFonts w:hAnsi="標楷體"/>
        </w:rPr>
        <w:footnoteReference w:id="3"/>
      </w:r>
      <w:r w:rsidR="00FD5188" w:rsidRPr="00C1788C">
        <w:rPr>
          <w:rFonts w:hAnsi="標楷體" w:hint="eastAsia"/>
        </w:rPr>
        <w:t>及第93條之2</w:t>
      </w:r>
      <w:r w:rsidR="00D51800" w:rsidRPr="00C1788C">
        <w:rPr>
          <w:rStyle w:val="afe"/>
          <w:rFonts w:hAnsi="標楷體"/>
        </w:rPr>
        <w:footnoteReference w:id="4"/>
      </w:r>
      <w:r w:rsidR="00FD5188" w:rsidRPr="00C1788C">
        <w:rPr>
          <w:rFonts w:hAnsi="標楷體" w:hint="eastAsia"/>
        </w:rPr>
        <w:t>規定，加強對陸資繞道第三</w:t>
      </w:r>
      <w:r w:rsidR="00FD5188" w:rsidRPr="00C1788C">
        <w:rPr>
          <w:rFonts w:hAnsi="標楷體" w:hint="eastAsia"/>
        </w:rPr>
        <w:lastRenderedPageBreak/>
        <w:t>地及藉由臺灣人頭在</w:t>
      </w:r>
      <w:proofErr w:type="gramStart"/>
      <w:r w:rsidR="00FD5188" w:rsidRPr="00C1788C">
        <w:rPr>
          <w:rFonts w:hAnsi="標楷體" w:hint="eastAsia"/>
        </w:rPr>
        <w:t>臺</w:t>
      </w:r>
      <w:proofErr w:type="gramEnd"/>
      <w:r w:rsidR="00FD5188" w:rsidRPr="00C1788C">
        <w:rPr>
          <w:rFonts w:hAnsi="標楷體" w:hint="eastAsia"/>
        </w:rPr>
        <w:t>從事業務活動的管理機制，及明確規範人頭為處罰對象，得由主管機關處</w:t>
      </w:r>
      <w:r w:rsidR="008F76F0" w:rsidRPr="00C1788C">
        <w:rPr>
          <w:rFonts w:hAnsi="標楷體" w:hint="eastAsia"/>
        </w:rPr>
        <w:t>新臺幣(下同)</w:t>
      </w:r>
      <w:r w:rsidR="00FD5188" w:rsidRPr="00C1788C">
        <w:rPr>
          <w:rFonts w:hAnsi="標楷體" w:hint="eastAsia"/>
        </w:rPr>
        <w:t>12萬</w:t>
      </w:r>
      <w:r w:rsidR="005E7A8E" w:rsidRPr="00C1788C">
        <w:rPr>
          <w:rFonts w:hAnsi="標楷體" w:hint="eastAsia"/>
        </w:rPr>
        <w:t>元</w:t>
      </w:r>
      <w:r w:rsidR="00FD5188" w:rsidRPr="00C1788C">
        <w:rPr>
          <w:rFonts w:hAnsi="標楷體" w:hint="eastAsia"/>
        </w:rPr>
        <w:t>以上2,500萬元以下罰鍰。</w:t>
      </w:r>
    </w:p>
    <w:p w14:paraId="271433ED" w14:textId="04321104" w:rsidR="004449AC" w:rsidRPr="00C1788C" w:rsidRDefault="00363CD6" w:rsidP="00320890">
      <w:pPr>
        <w:pStyle w:val="3"/>
        <w:rPr>
          <w:rFonts w:hAnsi="標楷體"/>
        </w:rPr>
      </w:pPr>
      <w:r w:rsidRPr="00C1788C">
        <w:rPr>
          <w:rFonts w:hAnsi="標楷體" w:hint="eastAsia"/>
        </w:rPr>
        <w:t>復</w:t>
      </w:r>
      <w:r w:rsidR="00293A7B" w:rsidRPr="00C1788C">
        <w:rPr>
          <w:rFonts w:hAnsi="標楷體" w:hint="eastAsia"/>
        </w:rPr>
        <w:t>據經濟部說明，為</w:t>
      </w:r>
      <w:r w:rsidR="00C24A08" w:rsidRPr="00C1788C">
        <w:rPr>
          <w:rFonts w:hAnsi="標楷體" w:hint="eastAsia"/>
        </w:rPr>
        <w:t>強化投資審查機制</w:t>
      </w:r>
      <w:r w:rsidR="00293A7B" w:rsidRPr="00C1788C">
        <w:rPr>
          <w:rFonts w:hAnsi="標楷體" w:hint="eastAsia"/>
        </w:rPr>
        <w:t>，</w:t>
      </w:r>
      <w:r w:rsidR="00C24A08" w:rsidRPr="00C1788C">
        <w:rPr>
          <w:rFonts w:hAnsi="標楷體" w:hint="eastAsia"/>
        </w:rPr>
        <w:t>加重投資人資訊揭露義務，要求揭露最終受益人資訊，必要時，則應</w:t>
      </w:r>
      <w:proofErr w:type="gramStart"/>
      <w:r w:rsidR="00C24A08" w:rsidRPr="00C1788C">
        <w:rPr>
          <w:rFonts w:hAnsi="標楷體" w:hint="eastAsia"/>
        </w:rPr>
        <w:t>檢附不具</w:t>
      </w:r>
      <w:proofErr w:type="gramEnd"/>
      <w:r w:rsidR="00C24A08" w:rsidRPr="00C1788C">
        <w:rPr>
          <w:rFonts w:hAnsi="標楷體" w:hint="eastAsia"/>
        </w:rPr>
        <w:t>利害關係之獨立會計師針對投資人進行查核並出具該法人非屬大陸地區投資人之查核報告書，以審核實質受益人及控制力。</w:t>
      </w:r>
      <w:r w:rsidR="00293A7B" w:rsidRPr="00C1788C">
        <w:rPr>
          <w:rFonts w:hAnsi="標楷體" w:hint="eastAsia"/>
        </w:rPr>
        <w:t>該</w:t>
      </w:r>
      <w:proofErr w:type="gramStart"/>
      <w:r w:rsidR="00293A7B" w:rsidRPr="00C1788C">
        <w:rPr>
          <w:rFonts w:hAnsi="標楷體" w:hint="eastAsia"/>
        </w:rPr>
        <w:t>部</w:t>
      </w:r>
      <w:r w:rsidR="00C24A08" w:rsidRPr="00C1788C">
        <w:rPr>
          <w:rFonts w:hAnsi="標楷體" w:hint="eastAsia"/>
        </w:rPr>
        <w:t>投審司</w:t>
      </w:r>
      <w:proofErr w:type="gramEnd"/>
      <w:r w:rsidR="00C24A08" w:rsidRPr="00C1788C">
        <w:rPr>
          <w:rFonts w:hAnsi="標楷體" w:hint="eastAsia"/>
        </w:rPr>
        <w:t>審查僑外資公司</w:t>
      </w:r>
      <w:r w:rsidR="0043105E" w:rsidRPr="00C1788C">
        <w:rPr>
          <w:rFonts w:hAnsi="標楷體" w:hint="eastAsia"/>
        </w:rPr>
        <w:t>來</w:t>
      </w:r>
      <w:proofErr w:type="gramStart"/>
      <w:r w:rsidR="0043105E" w:rsidRPr="00C1788C">
        <w:rPr>
          <w:rFonts w:hAnsi="標楷體" w:hint="eastAsia"/>
        </w:rPr>
        <w:t>臺</w:t>
      </w:r>
      <w:proofErr w:type="gramEnd"/>
      <w:r w:rsidR="0043105E" w:rsidRPr="00C1788C">
        <w:rPr>
          <w:rFonts w:hAnsi="標楷體" w:hint="eastAsia"/>
        </w:rPr>
        <w:t>投資</w:t>
      </w:r>
      <w:proofErr w:type="gramStart"/>
      <w:r w:rsidR="00C24A08" w:rsidRPr="00C1788C">
        <w:rPr>
          <w:rFonts w:hAnsi="標楷體" w:hint="eastAsia"/>
        </w:rPr>
        <w:t>如</w:t>
      </w:r>
      <w:r w:rsidR="0043105E" w:rsidRPr="00C1788C">
        <w:rPr>
          <w:rFonts w:hAnsi="標楷體" w:hint="eastAsia"/>
        </w:rPr>
        <w:t>樂購</w:t>
      </w:r>
      <w:proofErr w:type="gramEnd"/>
      <w:r w:rsidR="0043105E" w:rsidRPr="00C1788C">
        <w:rPr>
          <w:rFonts w:hAnsi="標楷體" w:hint="eastAsia"/>
        </w:rPr>
        <w:t>蝦皮</w:t>
      </w:r>
      <w:r w:rsidR="0043105E" w:rsidRPr="00C1788C">
        <w:rPr>
          <w:rFonts w:hAnsi="標楷體"/>
        </w:rPr>
        <w:t>股份有限公司(</w:t>
      </w:r>
      <w:r w:rsidR="0043105E" w:rsidRPr="00C1788C">
        <w:rPr>
          <w:rFonts w:hAnsi="標楷體" w:hint="eastAsia"/>
        </w:rPr>
        <w:t>下</w:t>
      </w:r>
      <w:proofErr w:type="gramStart"/>
      <w:r w:rsidR="0043105E" w:rsidRPr="00C1788C">
        <w:rPr>
          <w:rFonts w:hAnsi="標楷體"/>
        </w:rPr>
        <w:t>稱樂購</w:t>
      </w:r>
      <w:proofErr w:type="gramEnd"/>
      <w:r w:rsidR="0043105E" w:rsidRPr="00C1788C">
        <w:rPr>
          <w:rFonts w:hAnsi="標楷體"/>
        </w:rPr>
        <w:t>蝦皮公司)</w:t>
      </w:r>
      <w:r w:rsidR="00C24A08" w:rsidRPr="00C1788C">
        <w:rPr>
          <w:rFonts w:hAnsi="標楷體" w:hint="eastAsia"/>
        </w:rPr>
        <w:t>及</w:t>
      </w:r>
      <w:r w:rsidR="0043105E" w:rsidRPr="00C1788C">
        <w:rPr>
          <w:rFonts w:hAnsi="標楷體"/>
        </w:rPr>
        <w:t>蝦皮支付股份有限公司(下稱蝦皮支付</w:t>
      </w:r>
      <w:r w:rsidR="0043105E" w:rsidRPr="00C1788C">
        <w:rPr>
          <w:rFonts w:hAnsi="標楷體" w:hint="eastAsia"/>
        </w:rPr>
        <w:t>公司</w:t>
      </w:r>
      <w:r w:rsidR="0043105E" w:rsidRPr="00C1788C">
        <w:rPr>
          <w:rFonts w:hAnsi="標楷體"/>
        </w:rPr>
        <w:t>，原名</w:t>
      </w:r>
      <w:proofErr w:type="gramStart"/>
      <w:r w:rsidR="0043105E" w:rsidRPr="00C1788C">
        <w:rPr>
          <w:rFonts w:hAnsi="標楷體"/>
        </w:rPr>
        <w:t>稱為愛貝股份有限公司</w:t>
      </w:r>
      <w:proofErr w:type="gramEnd"/>
      <w:r w:rsidR="0043105E" w:rsidRPr="00C1788C">
        <w:rPr>
          <w:rFonts w:hAnsi="標楷體"/>
        </w:rPr>
        <w:t>，於109</w:t>
      </w:r>
      <w:r w:rsidR="0043105E" w:rsidRPr="00C1788C">
        <w:rPr>
          <w:rFonts w:hAnsi="標楷體" w:hint="eastAsia"/>
        </w:rPr>
        <w:t>年</w:t>
      </w:r>
      <w:r w:rsidR="0043105E" w:rsidRPr="00C1788C">
        <w:rPr>
          <w:rFonts w:hAnsi="標楷體"/>
        </w:rPr>
        <w:t>6</w:t>
      </w:r>
      <w:r w:rsidR="0043105E" w:rsidRPr="00C1788C">
        <w:rPr>
          <w:rFonts w:hAnsi="標楷體" w:hint="eastAsia"/>
        </w:rPr>
        <w:t>月</w:t>
      </w:r>
      <w:r w:rsidR="0043105E" w:rsidRPr="00C1788C">
        <w:rPr>
          <w:rFonts w:hAnsi="標楷體"/>
        </w:rPr>
        <w:t>29</w:t>
      </w:r>
      <w:r w:rsidR="0043105E" w:rsidRPr="00C1788C">
        <w:rPr>
          <w:rFonts w:hAnsi="標楷體" w:hint="eastAsia"/>
        </w:rPr>
        <w:t>日</w:t>
      </w:r>
      <w:r w:rsidR="0043105E" w:rsidRPr="00C1788C">
        <w:rPr>
          <w:rFonts w:hAnsi="標楷體"/>
        </w:rPr>
        <w:t>獲臺北市政府核准變更公司名稱)</w:t>
      </w:r>
      <w:r w:rsidR="00C24A08" w:rsidRPr="00C1788C">
        <w:rPr>
          <w:rFonts w:hAnsi="標楷體" w:hint="eastAsia"/>
        </w:rPr>
        <w:t>相關申請案，</w:t>
      </w:r>
      <w:proofErr w:type="gramStart"/>
      <w:r w:rsidR="00C24A08" w:rsidRPr="00C1788C">
        <w:rPr>
          <w:rFonts w:hAnsi="標楷體" w:hint="eastAsia"/>
        </w:rPr>
        <w:t>均依前述</w:t>
      </w:r>
      <w:proofErr w:type="gramEnd"/>
      <w:r w:rsidR="00C24A08" w:rsidRPr="00C1788C">
        <w:rPr>
          <w:rFonts w:hAnsi="標楷體" w:hint="eastAsia"/>
        </w:rPr>
        <w:t>法規及審查機制從嚴審查。另經濟部係依申請人提供之股權結構及專家意見書等資料，洽請相關機關</w:t>
      </w:r>
      <w:r w:rsidR="00C24A08" w:rsidRPr="00C1788C">
        <w:rPr>
          <w:rFonts w:hAnsi="標楷體"/>
        </w:rPr>
        <w:t>(</w:t>
      </w:r>
      <w:r w:rsidR="00C24A08" w:rsidRPr="00C1788C">
        <w:rPr>
          <w:rFonts w:hAnsi="標楷體" w:hint="eastAsia"/>
        </w:rPr>
        <w:t>含國安單位)協助審查上層股權有無陸資持股逾30%或陸資是否具有控制權，</w:t>
      </w:r>
      <w:proofErr w:type="gramStart"/>
      <w:r w:rsidR="00C24A08" w:rsidRPr="00C1788C">
        <w:rPr>
          <w:rFonts w:hAnsi="標楷體" w:hint="eastAsia"/>
        </w:rPr>
        <w:t>並均於核准</w:t>
      </w:r>
      <w:proofErr w:type="gramEnd"/>
      <w:r w:rsidR="00C24A08" w:rsidRPr="00C1788C">
        <w:rPr>
          <w:rFonts w:hAnsi="標楷體" w:hint="eastAsia"/>
        </w:rPr>
        <w:t>函加</w:t>
      </w:r>
      <w:proofErr w:type="gramStart"/>
      <w:r w:rsidR="00C24A08" w:rsidRPr="00C1788C">
        <w:rPr>
          <w:rFonts w:hAnsi="標楷體" w:hint="eastAsia"/>
        </w:rPr>
        <w:t>註</w:t>
      </w:r>
      <w:proofErr w:type="gramEnd"/>
      <w:r w:rsidR="00C24A08" w:rsidRPr="00C1788C">
        <w:rPr>
          <w:rFonts w:hAnsi="標楷體" w:hint="eastAsia"/>
        </w:rPr>
        <w:t>「未來投資人如因股權結構變更，而為『</w:t>
      </w:r>
      <w:r w:rsidR="00293A7B" w:rsidRPr="00C1788C">
        <w:rPr>
          <w:rFonts w:hAnsi="標楷體" w:hint="eastAsia"/>
        </w:rPr>
        <w:t>大陸地區人民來</w:t>
      </w:r>
      <w:proofErr w:type="gramStart"/>
      <w:r w:rsidR="00293A7B" w:rsidRPr="00C1788C">
        <w:rPr>
          <w:rFonts w:hAnsi="標楷體" w:hint="eastAsia"/>
        </w:rPr>
        <w:t>臺</w:t>
      </w:r>
      <w:proofErr w:type="gramEnd"/>
      <w:r w:rsidR="00293A7B" w:rsidRPr="00C1788C">
        <w:rPr>
          <w:rFonts w:hAnsi="標楷體" w:hint="eastAsia"/>
        </w:rPr>
        <w:t>投資許可辦法</w:t>
      </w:r>
      <w:r w:rsidR="00C24A08" w:rsidRPr="00C1788C">
        <w:rPr>
          <w:rFonts w:hAnsi="標楷體" w:hint="eastAsia"/>
        </w:rPr>
        <w:t>』第3條所稱之投資人，應依前述許可辦法向經濟部申請許可」</w:t>
      </w:r>
      <w:r w:rsidR="00293A7B" w:rsidRPr="00C1788C">
        <w:rPr>
          <w:rFonts w:hAnsi="標楷體" w:hint="eastAsia"/>
        </w:rPr>
        <w:t>，</w:t>
      </w:r>
      <w:proofErr w:type="gramStart"/>
      <w:r w:rsidR="00293A7B" w:rsidRPr="00C1788C">
        <w:rPr>
          <w:rFonts w:hAnsi="標楷體" w:hint="eastAsia"/>
        </w:rPr>
        <w:t>嗣</w:t>
      </w:r>
      <w:proofErr w:type="gramEnd"/>
      <w:r w:rsidR="00293A7B" w:rsidRPr="00C1788C">
        <w:rPr>
          <w:rFonts w:hAnsi="標楷體" w:hint="eastAsia"/>
        </w:rPr>
        <w:t>經檢討後再加</w:t>
      </w:r>
      <w:proofErr w:type="gramStart"/>
      <w:r w:rsidR="00293A7B" w:rsidRPr="00C1788C">
        <w:rPr>
          <w:rFonts w:hAnsi="標楷體" w:hint="eastAsia"/>
        </w:rPr>
        <w:t>註以下附款提醒</w:t>
      </w:r>
      <w:proofErr w:type="gramEnd"/>
      <w:r w:rsidR="00293A7B" w:rsidRPr="00C1788C">
        <w:rPr>
          <w:rFonts w:hAnsi="標楷體" w:hint="eastAsia"/>
        </w:rPr>
        <w:t>投資人注意：「投資人業已簽署外資資格聲明書，並承諾於</w:t>
      </w:r>
      <w:r w:rsidR="008F76F0" w:rsidRPr="00C1788C">
        <w:rPr>
          <w:rFonts w:hAnsi="標楷體" w:hint="eastAsia"/>
        </w:rPr>
        <w:t>經濟</w:t>
      </w:r>
      <w:r w:rsidR="00293A7B" w:rsidRPr="00C1788C">
        <w:rPr>
          <w:rFonts w:hAnsi="標楷體" w:hint="eastAsia"/>
        </w:rPr>
        <w:t>部為必要查核時，投資人願意配合提供上層法人股東含國籍之董事及股東名冊至最終受益人、本案實質受益人及海外控股架構圖暨與本投資架構或本投資案有關之相關協議等資料，以證明投資人無『大陸地區人民來</w:t>
      </w:r>
      <w:proofErr w:type="gramStart"/>
      <w:r w:rsidR="00293A7B" w:rsidRPr="00C1788C">
        <w:rPr>
          <w:rFonts w:hAnsi="標楷體" w:hint="eastAsia"/>
        </w:rPr>
        <w:t>臺</w:t>
      </w:r>
      <w:proofErr w:type="gramEnd"/>
      <w:r w:rsidR="00293A7B" w:rsidRPr="00C1788C">
        <w:rPr>
          <w:rFonts w:hAnsi="標楷體" w:hint="eastAsia"/>
        </w:rPr>
        <w:t>投資許可辦法』第3條所稱投資人之情形；投資人如未能履行前揭證明責任，經濟部得廢止投資許可」。</w:t>
      </w:r>
      <w:r w:rsidR="008F76F0" w:rsidRPr="00C1788C">
        <w:rPr>
          <w:rFonts w:hAnsi="標楷體" w:hint="eastAsia"/>
        </w:rPr>
        <w:t>倘有特殊個案，經濟部認後續有查核必要者，將另加</w:t>
      </w:r>
      <w:proofErr w:type="gramStart"/>
      <w:r w:rsidR="008F76F0" w:rsidRPr="00C1788C">
        <w:rPr>
          <w:rFonts w:hAnsi="標楷體" w:hint="eastAsia"/>
        </w:rPr>
        <w:t>註附款</w:t>
      </w:r>
      <w:proofErr w:type="gramEnd"/>
      <w:r w:rsidR="008F76F0" w:rsidRPr="00C1788C">
        <w:rPr>
          <w:rFonts w:hAnsi="標楷體" w:hint="eastAsia"/>
        </w:rPr>
        <w:t>「投資人應於本投資案存續</w:t>
      </w:r>
      <w:proofErr w:type="gramStart"/>
      <w:r w:rsidR="008F76F0" w:rsidRPr="00C1788C">
        <w:rPr>
          <w:rFonts w:hAnsi="標楷體" w:hint="eastAsia"/>
        </w:rPr>
        <w:t>期間，</w:t>
      </w:r>
      <w:proofErr w:type="gramEnd"/>
      <w:r w:rsidR="008F76F0" w:rsidRPr="00C1788C">
        <w:rPr>
          <w:rFonts w:hAnsi="標楷體" w:hint="eastAsia"/>
        </w:rPr>
        <w:t>於投資事業會計年度結束後2個</w:t>
      </w:r>
      <w:r w:rsidR="008F76F0" w:rsidRPr="00C1788C">
        <w:rPr>
          <w:rFonts w:hAnsi="標楷體" w:hint="eastAsia"/>
        </w:rPr>
        <w:lastRenderedPageBreak/>
        <w:t>月內，檢送上層股東結構資料報請經濟部備查。」，並註記審議系統供</w:t>
      </w:r>
      <w:proofErr w:type="gramStart"/>
      <w:r w:rsidR="008F76F0" w:rsidRPr="00C1788C">
        <w:rPr>
          <w:rFonts w:hAnsi="標楷體" w:hint="eastAsia"/>
        </w:rPr>
        <w:t>查核附款履行</w:t>
      </w:r>
      <w:proofErr w:type="gramEnd"/>
      <w:r w:rsidR="008F76F0" w:rsidRPr="00C1788C">
        <w:rPr>
          <w:rFonts w:hAnsi="標楷體" w:hint="eastAsia"/>
        </w:rPr>
        <w:t>情形；後續亦就個案內所涉人流、金流等予以查核。</w:t>
      </w:r>
    </w:p>
    <w:p w14:paraId="53802070" w14:textId="38BC0D78" w:rsidR="008F76F0" w:rsidRPr="00C1788C" w:rsidRDefault="008F76F0" w:rsidP="00320890">
      <w:pPr>
        <w:pStyle w:val="3"/>
        <w:rPr>
          <w:rFonts w:hAnsi="標楷體"/>
        </w:rPr>
      </w:pPr>
      <w:r w:rsidRPr="00C1788C">
        <w:rPr>
          <w:rFonts w:hAnsi="標楷體" w:hint="eastAsia"/>
        </w:rPr>
        <w:t>另</w:t>
      </w:r>
      <w:r w:rsidR="004449AC" w:rsidRPr="00C1788C">
        <w:rPr>
          <w:rFonts w:hAnsi="標楷體" w:hint="eastAsia"/>
        </w:rPr>
        <w:t>經濟部</w:t>
      </w:r>
      <w:r w:rsidRPr="00C1788C">
        <w:rPr>
          <w:rFonts w:hAnsi="標楷體" w:hint="eastAsia"/>
        </w:rPr>
        <w:t>投審司近期陸續購置國際商情資料庫，期藉以有效</w:t>
      </w:r>
      <w:proofErr w:type="gramStart"/>
      <w:r w:rsidRPr="00C1788C">
        <w:rPr>
          <w:rFonts w:hAnsi="標楷體" w:hint="eastAsia"/>
        </w:rPr>
        <w:t>查察經核准</w:t>
      </w:r>
      <w:proofErr w:type="gramEnd"/>
      <w:r w:rsidRPr="00C1788C">
        <w:rPr>
          <w:rFonts w:hAnsi="標楷體" w:hint="eastAsia"/>
        </w:rPr>
        <w:t>後外資上層股權結構異動情形。該司每日蒐集相關輿情，若發現疑似違規案件即主動展開調查；另接獲民眾檢舉或他機關提供</w:t>
      </w:r>
      <w:proofErr w:type="gramStart"/>
      <w:r w:rsidRPr="00C1788C">
        <w:rPr>
          <w:rFonts w:hAnsi="標楷體" w:hint="eastAsia"/>
        </w:rPr>
        <w:t>相關情資</w:t>
      </w:r>
      <w:proofErr w:type="gramEnd"/>
      <w:r w:rsidRPr="00C1788C">
        <w:rPr>
          <w:rFonts w:hAnsi="標楷體" w:hint="eastAsia"/>
        </w:rPr>
        <w:t>，亦就涉違規情事積極查辦。陸資為規避經濟部審查迂迴來</w:t>
      </w:r>
      <w:proofErr w:type="gramStart"/>
      <w:r w:rsidRPr="00C1788C">
        <w:rPr>
          <w:rFonts w:hAnsi="標楷體" w:hint="eastAsia"/>
        </w:rPr>
        <w:t>臺</w:t>
      </w:r>
      <w:proofErr w:type="gramEnd"/>
      <w:r w:rsidRPr="00C1788C">
        <w:rPr>
          <w:rFonts w:hAnsi="標楷體" w:hint="eastAsia"/>
        </w:rPr>
        <w:t>投資者，其行為涉違反兩岸條例第40條之1大陸地區營利事業未經許可在</w:t>
      </w:r>
      <w:proofErr w:type="gramStart"/>
      <w:r w:rsidRPr="00C1788C">
        <w:rPr>
          <w:rFonts w:hAnsi="標楷體" w:hint="eastAsia"/>
        </w:rPr>
        <w:t>臺</w:t>
      </w:r>
      <w:proofErr w:type="gramEnd"/>
      <w:r w:rsidRPr="00C1788C">
        <w:rPr>
          <w:rFonts w:hAnsi="標楷體" w:hint="eastAsia"/>
        </w:rPr>
        <w:t>從事業務活動之行為，依據兩岸條例第93條之2規定，行為人須負刑事責任。</w:t>
      </w:r>
      <w:proofErr w:type="gramStart"/>
      <w:r w:rsidRPr="00C1788C">
        <w:rPr>
          <w:rFonts w:hAnsi="標楷體" w:hint="eastAsia"/>
        </w:rPr>
        <w:t>該部如經</w:t>
      </w:r>
      <w:proofErr w:type="gramEnd"/>
      <w:r w:rsidRPr="00C1788C">
        <w:rPr>
          <w:rFonts w:hAnsi="標楷體" w:hint="eastAsia"/>
        </w:rPr>
        <w:t>行政調查發現該投資事業經營模式異常或與陸資有高度相關者，會依前述規定移請法務部調查局偵辦。為有效</w:t>
      </w:r>
      <w:r w:rsidRPr="00C1788C">
        <w:rPr>
          <w:rFonts w:hAnsi="標楷體"/>
        </w:rPr>
        <w:tab/>
      </w:r>
      <w:r w:rsidRPr="00C1788C">
        <w:rPr>
          <w:rFonts w:hAnsi="標楷體" w:hint="eastAsia"/>
        </w:rPr>
        <w:t>查核投資人上層股權變動調整過程，如陸資持股逾30%或有控制力者，應依陸資許可辦法事先申請核准。如經查獲有陸資持股超過30%或陸資具有控制力的情形，依兩岸條例第93條之1規定最重可處2,500萬元罰鍰，並得命其撤資。</w:t>
      </w:r>
    </w:p>
    <w:p w14:paraId="1E06A45F" w14:textId="159D6165" w:rsidR="00C24A08" w:rsidRPr="00C1788C" w:rsidRDefault="004449AC" w:rsidP="00320890">
      <w:pPr>
        <w:pStyle w:val="3"/>
        <w:rPr>
          <w:rFonts w:hAnsi="標楷體"/>
        </w:rPr>
      </w:pPr>
      <w:r w:rsidRPr="00C1788C">
        <w:rPr>
          <w:rFonts w:hAnsi="標楷體" w:hint="eastAsia"/>
        </w:rPr>
        <w:t>又</w:t>
      </w:r>
      <w:r w:rsidR="00C24A08" w:rsidRPr="00C1788C">
        <w:rPr>
          <w:rFonts w:hAnsi="標楷體" w:hint="eastAsia"/>
        </w:rPr>
        <w:t>經濟部商業發展署</w:t>
      </w:r>
      <w:r w:rsidR="002B14CA" w:rsidRPr="00C1788C">
        <w:rPr>
          <w:rFonts w:hAnsi="標楷體" w:hint="eastAsia"/>
        </w:rPr>
        <w:t>(下</w:t>
      </w:r>
      <w:proofErr w:type="gramStart"/>
      <w:r w:rsidR="002B14CA" w:rsidRPr="00C1788C">
        <w:rPr>
          <w:rFonts w:hAnsi="標楷體" w:hint="eastAsia"/>
        </w:rPr>
        <w:t>稱商發署</w:t>
      </w:r>
      <w:proofErr w:type="gramEnd"/>
      <w:r w:rsidR="002B14CA" w:rsidRPr="00C1788C">
        <w:rPr>
          <w:rFonts w:hAnsi="標楷體" w:hint="eastAsia"/>
        </w:rPr>
        <w:t>)</w:t>
      </w:r>
      <w:r w:rsidR="00C24A08" w:rsidRPr="00C1788C">
        <w:rPr>
          <w:rFonts w:hAnsi="標楷體" w:hint="eastAsia"/>
        </w:rPr>
        <w:t>於受理外國公司在</w:t>
      </w:r>
      <w:proofErr w:type="gramStart"/>
      <w:r w:rsidR="00C24A08" w:rsidRPr="00C1788C">
        <w:rPr>
          <w:rFonts w:hAnsi="標楷體" w:hint="eastAsia"/>
        </w:rPr>
        <w:t>臺</w:t>
      </w:r>
      <w:proofErr w:type="gramEnd"/>
      <w:r w:rsidR="00C24A08" w:rsidRPr="00C1788C">
        <w:rPr>
          <w:rFonts w:hAnsi="標楷體" w:hint="eastAsia"/>
        </w:rPr>
        <w:t>設立分公司登記案件，如申請人有涉陸資疑義之情形，除檢附公司法及公司登記辦法規定之應</w:t>
      </w:r>
      <w:proofErr w:type="gramStart"/>
      <w:r w:rsidR="00C24A08" w:rsidRPr="00C1788C">
        <w:rPr>
          <w:rFonts w:hAnsi="標楷體" w:hint="eastAsia"/>
        </w:rPr>
        <w:t>備書件外</w:t>
      </w:r>
      <w:proofErr w:type="gramEnd"/>
      <w:r w:rsidR="00C24A08" w:rsidRPr="00C1788C">
        <w:rPr>
          <w:rFonts w:hAnsi="標楷體" w:hint="eastAsia"/>
        </w:rPr>
        <w:t>，申請人另應檢附董事及股東名冊至最終受益人，內容包含國籍、姓名及持股比例、海外控股架構圖、外資資格聲明書等股東結構及背景資料，將再檢送相關申請書件由</w:t>
      </w:r>
      <w:proofErr w:type="gramStart"/>
      <w:r w:rsidR="00C24A08" w:rsidRPr="00C1788C">
        <w:rPr>
          <w:rFonts w:hAnsi="標楷體" w:hint="eastAsia"/>
        </w:rPr>
        <w:t>投審司協助</w:t>
      </w:r>
      <w:proofErr w:type="gramEnd"/>
      <w:r w:rsidR="00C24A08" w:rsidRPr="00C1788C">
        <w:rPr>
          <w:rFonts w:hAnsi="標楷體" w:hint="eastAsia"/>
        </w:rPr>
        <w:t>檢視，申請人是否具有陸資許可辦法相關規定之情形，必要時亦函請相關主管機關大陸委員會</w:t>
      </w:r>
      <w:r w:rsidR="009A6CEA" w:rsidRPr="00C1788C">
        <w:rPr>
          <w:rFonts w:hAnsi="標楷體" w:hint="eastAsia"/>
        </w:rPr>
        <w:t>(下稱陸委會)</w:t>
      </w:r>
      <w:r w:rsidR="00C24A08" w:rsidRPr="00C1788C">
        <w:rPr>
          <w:rFonts w:hAnsi="標楷體" w:hint="eastAsia"/>
        </w:rPr>
        <w:t>、國安局、產業主管機關等會審，並依其</w:t>
      </w:r>
      <w:proofErr w:type="gramStart"/>
      <w:r w:rsidR="00C24A08" w:rsidRPr="00C1788C">
        <w:rPr>
          <w:rFonts w:hAnsi="標楷體" w:hint="eastAsia"/>
        </w:rPr>
        <w:t>意見憑判是否</w:t>
      </w:r>
      <w:proofErr w:type="gramEnd"/>
      <w:r w:rsidR="00C24A08" w:rsidRPr="00C1788C">
        <w:rPr>
          <w:rFonts w:hAnsi="標楷體" w:hint="eastAsia"/>
        </w:rPr>
        <w:t>核准其設立分公司。</w:t>
      </w:r>
      <w:proofErr w:type="gramStart"/>
      <w:r w:rsidR="00C24A08" w:rsidRPr="00C1788C">
        <w:rPr>
          <w:rFonts w:hAnsi="標楷體" w:hint="eastAsia"/>
        </w:rPr>
        <w:t>倘經審</w:t>
      </w:r>
      <w:proofErr w:type="gramEnd"/>
      <w:r w:rsidR="00C24A08" w:rsidRPr="00C1788C">
        <w:rPr>
          <w:rFonts w:hAnsi="標楷體" w:hint="eastAsia"/>
        </w:rPr>
        <w:t>認公司</w:t>
      </w:r>
      <w:proofErr w:type="gramStart"/>
      <w:r w:rsidR="00C24A08" w:rsidRPr="00C1788C">
        <w:rPr>
          <w:rFonts w:hAnsi="標楷體" w:hint="eastAsia"/>
        </w:rPr>
        <w:t>有屬陸資</w:t>
      </w:r>
      <w:proofErr w:type="gramEnd"/>
      <w:r w:rsidR="00C24A08" w:rsidRPr="00C1788C">
        <w:rPr>
          <w:rFonts w:hAnsi="標楷體" w:hint="eastAsia"/>
        </w:rPr>
        <w:t>情事，即</w:t>
      </w:r>
      <w:r w:rsidR="00C24A08" w:rsidRPr="00C1788C">
        <w:rPr>
          <w:rFonts w:hAnsi="標楷體" w:hint="eastAsia"/>
        </w:rPr>
        <w:lastRenderedPageBreak/>
        <w:t>不予登記。依外國人投資條例第7條第1項規定，對國家安全、公共秩序、善良風俗或國民健康有不利影響者，禁止投資。</w:t>
      </w:r>
      <w:proofErr w:type="gramStart"/>
      <w:r w:rsidR="00C24A08" w:rsidRPr="00C1788C">
        <w:rPr>
          <w:rFonts w:hAnsi="標楷體" w:hint="eastAsia"/>
        </w:rPr>
        <w:t>爰</w:t>
      </w:r>
      <w:proofErr w:type="gramEnd"/>
      <w:r w:rsidR="00C24A08" w:rsidRPr="00C1788C">
        <w:rPr>
          <w:rFonts w:hAnsi="標楷體" w:hint="eastAsia"/>
        </w:rPr>
        <w:t>經濟部針對疑似陸資刻意規避「第三地持股30%」案件，</w:t>
      </w:r>
      <w:proofErr w:type="gramStart"/>
      <w:r w:rsidR="00C24A08" w:rsidRPr="00C1788C">
        <w:rPr>
          <w:rFonts w:hAnsi="標楷體" w:hint="eastAsia"/>
        </w:rPr>
        <w:t>除嚴審</w:t>
      </w:r>
      <w:proofErr w:type="gramEnd"/>
      <w:r w:rsidR="00C24A08" w:rsidRPr="00C1788C">
        <w:rPr>
          <w:rFonts w:hAnsi="標楷體" w:hint="eastAsia"/>
        </w:rPr>
        <w:t>其是否對第三地具控制能力外，亦就國家安全、公共秩序、善良風俗或國民健康等層面洽詢相關主管機關</w:t>
      </w:r>
      <w:proofErr w:type="gramStart"/>
      <w:r w:rsidR="00C24A08" w:rsidRPr="00C1788C">
        <w:rPr>
          <w:rFonts w:hAnsi="標楷體" w:hint="eastAsia"/>
        </w:rPr>
        <w:t>意見綜整考量</w:t>
      </w:r>
      <w:proofErr w:type="gramEnd"/>
      <w:r w:rsidR="00C24A08" w:rsidRPr="00C1788C">
        <w:rPr>
          <w:rFonts w:hAnsi="標楷體" w:hint="eastAsia"/>
        </w:rPr>
        <w:t>，若審議結果認定為應禁止投資案件，則予以駁回；例如經濟部曾於108年</w:t>
      </w:r>
      <w:r w:rsidR="004E6732" w:rsidRPr="00C1788C">
        <w:rPr>
          <w:rFonts w:hAnsi="標楷體" w:hint="eastAsia"/>
        </w:rPr>
        <w:t>考量百慕達南海控股的財報揭露南海集團應視中國內地為集團的註冊國家，中國大陸人士高度參與百慕達南海控股的營運與政策方向；又香港南海發展的股票，已全部質押給香港中國數碼公司，而中國大陸籍人士對香港中國數碼公司具控制力，並高度參與香港商中國數碼公司營運、財務、人事方針等因素，該部認定南海集團有受中國大陸政府或人民掌控或影響該國內事業營運的疑慮；該部基於風險控管、國家安全、公共利益等因素之考量，認定本案對國家安全有不利影響，予以</w:t>
      </w:r>
      <w:r w:rsidR="00C24A08" w:rsidRPr="00C1788C">
        <w:rPr>
          <w:rFonts w:hAnsi="標楷體" w:hint="eastAsia"/>
        </w:rPr>
        <w:t>駁回南海集團投資雙子星申請案。</w:t>
      </w:r>
    </w:p>
    <w:p w14:paraId="142F60D2" w14:textId="171162FB" w:rsidR="009D6778" w:rsidRPr="00C1788C" w:rsidRDefault="004F5741" w:rsidP="00D51800">
      <w:pPr>
        <w:pStyle w:val="3"/>
        <w:rPr>
          <w:rFonts w:hAnsi="標楷體"/>
        </w:rPr>
      </w:pPr>
      <w:r w:rsidRPr="00C1788C">
        <w:rPr>
          <w:rFonts w:hAnsi="標楷體" w:hint="eastAsia"/>
        </w:rPr>
        <w:t>查新加坡商歡樂蝦皮拍賣有限公司(</w:t>
      </w:r>
      <w:r w:rsidRPr="00C1788C">
        <w:rPr>
          <w:rFonts w:hAnsi="標楷體"/>
        </w:rPr>
        <w:t>Shopee Taiwan Private Limited</w:t>
      </w:r>
      <w:r w:rsidRPr="00C1788C">
        <w:rPr>
          <w:rFonts w:hAnsi="標楷體" w:hint="eastAsia"/>
        </w:rPr>
        <w:t>，下稱</w:t>
      </w:r>
      <w:r w:rsidR="00670082" w:rsidRPr="00C1788C">
        <w:rPr>
          <w:rFonts w:hAnsi="標楷體" w:hint="eastAsia"/>
        </w:rPr>
        <w:t>歡樂蝦皮公司</w:t>
      </w:r>
      <w:r w:rsidR="009D6778" w:rsidRPr="00C1788C">
        <w:rPr>
          <w:rFonts w:hAnsi="標楷體" w:hint="eastAsia"/>
        </w:rPr>
        <w:t>，</w:t>
      </w:r>
      <w:r w:rsidR="009D6778" w:rsidRPr="00C1788C">
        <w:rPr>
          <w:rFonts w:hAnsi="標楷體" w:hint="eastAsia"/>
          <w:szCs w:val="28"/>
        </w:rPr>
        <w:t>後於</w:t>
      </w:r>
      <w:r w:rsidR="009D6778" w:rsidRPr="00C1788C">
        <w:rPr>
          <w:rFonts w:hAnsi="標楷體"/>
          <w:szCs w:val="28"/>
        </w:rPr>
        <w:t>109</w:t>
      </w:r>
      <w:r w:rsidR="009D6778" w:rsidRPr="00C1788C">
        <w:rPr>
          <w:rFonts w:hAnsi="標楷體" w:hint="eastAsia"/>
          <w:szCs w:val="28"/>
        </w:rPr>
        <w:t>年</w:t>
      </w:r>
      <w:r w:rsidR="009D6778" w:rsidRPr="00C1788C">
        <w:rPr>
          <w:rFonts w:hAnsi="標楷體"/>
          <w:szCs w:val="28"/>
        </w:rPr>
        <w:t>8</w:t>
      </w:r>
      <w:r w:rsidR="009D6778" w:rsidRPr="00C1788C">
        <w:rPr>
          <w:rFonts w:hAnsi="標楷體" w:hint="eastAsia"/>
          <w:szCs w:val="28"/>
        </w:rPr>
        <w:t>月</w:t>
      </w:r>
      <w:r w:rsidR="009D6778" w:rsidRPr="00C1788C">
        <w:rPr>
          <w:rFonts w:hAnsi="標楷體"/>
          <w:szCs w:val="28"/>
        </w:rPr>
        <w:t>10</w:t>
      </w:r>
      <w:r w:rsidR="009D6778" w:rsidRPr="00C1788C">
        <w:rPr>
          <w:rFonts w:hAnsi="標楷體" w:hint="eastAsia"/>
          <w:szCs w:val="28"/>
        </w:rPr>
        <w:t>日經該部核准變更公司中文名稱為</w:t>
      </w:r>
      <w:r w:rsidR="009D6778" w:rsidRPr="00C1788C">
        <w:rPr>
          <w:rFonts w:hAnsi="標楷體"/>
        </w:rPr>
        <w:t>新加坡商蝦皮娛樂電商有限公司臺灣分公司</w:t>
      </w:r>
      <w:r w:rsidR="009D6778" w:rsidRPr="00C1788C">
        <w:rPr>
          <w:rFonts w:hAnsi="標楷體" w:hint="eastAsia"/>
        </w:rPr>
        <w:t>，</w:t>
      </w:r>
      <w:r w:rsidR="009D6778" w:rsidRPr="00C1788C">
        <w:rPr>
          <w:rFonts w:hAnsi="標楷體"/>
        </w:rPr>
        <w:t>下稱蝦皮娛樂公司</w:t>
      </w:r>
      <w:r w:rsidRPr="00C1788C">
        <w:rPr>
          <w:rFonts w:hAnsi="標楷體" w:hint="eastAsia"/>
        </w:rPr>
        <w:t>)來</w:t>
      </w:r>
      <w:proofErr w:type="gramStart"/>
      <w:r w:rsidRPr="00C1788C">
        <w:rPr>
          <w:rFonts w:hAnsi="標楷體" w:hint="eastAsia"/>
        </w:rPr>
        <w:t>臺投資</w:t>
      </w:r>
      <w:r w:rsidR="00670082" w:rsidRPr="00C1788C">
        <w:rPr>
          <w:rFonts w:hAnsi="標楷體"/>
        </w:rPr>
        <w:t>樂購蝦皮</w:t>
      </w:r>
      <w:proofErr w:type="gramEnd"/>
      <w:r w:rsidR="00670082" w:rsidRPr="00C1788C">
        <w:rPr>
          <w:rFonts w:hAnsi="標楷體"/>
        </w:rPr>
        <w:t>公司</w:t>
      </w:r>
      <w:r w:rsidRPr="00C1788C">
        <w:rPr>
          <w:rFonts w:hAnsi="標楷體" w:hint="eastAsia"/>
        </w:rPr>
        <w:t>案</w:t>
      </w:r>
      <w:r w:rsidR="0047686F" w:rsidRPr="00C1788C">
        <w:rPr>
          <w:rFonts w:hAnsi="標楷體" w:hint="eastAsia"/>
        </w:rPr>
        <w:t>(下稱</w:t>
      </w:r>
      <w:r w:rsidR="0047049F" w:rsidRPr="00C1788C">
        <w:rPr>
          <w:rFonts w:hAnsi="標楷體" w:hint="eastAsia"/>
        </w:rPr>
        <w:t>蝦皮投資</w:t>
      </w:r>
      <w:r w:rsidR="0047686F" w:rsidRPr="00C1788C">
        <w:rPr>
          <w:rFonts w:hAnsi="標楷體" w:hint="eastAsia"/>
        </w:rPr>
        <w:t>案)</w:t>
      </w:r>
      <w:r w:rsidRPr="00C1788C">
        <w:rPr>
          <w:rFonts w:hAnsi="標楷體" w:hint="eastAsia"/>
        </w:rPr>
        <w:t>中</w:t>
      </w:r>
      <w:r w:rsidR="00C445C4" w:rsidRPr="00C1788C">
        <w:rPr>
          <w:rFonts w:hAnsi="標楷體" w:hint="eastAsia"/>
        </w:rPr>
        <w:t>，</w:t>
      </w:r>
      <w:r w:rsidR="00AD7DA5" w:rsidRPr="00C1788C">
        <w:rPr>
          <w:rFonts w:hAnsi="標楷體"/>
        </w:rPr>
        <w:t>投資人</w:t>
      </w:r>
      <w:r w:rsidR="00A7642D" w:rsidRPr="00C1788C">
        <w:rPr>
          <w:rFonts w:hAnsi="標楷體"/>
        </w:rPr>
        <w:t>(</w:t>
      </w:r>
      <w:r w:rsidR="00AD7DA5" w:rsidRPr="00C1788C">
        <w:rPr>
          <w:rFonts w:hAnsi="標楷體"/>
        </w:rPr>
        <w:t>冬海集團</w:t>
      </w:r>
      <w:r w:rsidR="00A7642D" w:rsidRPr="00C1788C">
        <w:rPr>
          <w:rFonts w:hAnsi="標楷體"/>
        </w:rPr>
        <w:t>)</w:t>
      </w:r>
      <w:r w:rsidR="00AD7DA5" w:rsidRPr="00C1788C">
        <w:rPr>
          <w:rFonts w:hAnsi="標楷體"/>
        </w:rPr>
        <w:t>係以境外控股架構進行投資，經濟部投審司於審查過程中，要求申請人提出完整股權結構圖、最終受益人名單、資金來源說明及外資聲明文件，並針對是否涉陸資疑義，分別函</w:t>
      </w:r>
      <w:proofErr w:type="gramStart"/>
      <w:r w:rsidR="00AD7DA5" w:rsidRPr="00C1788C">
        <w:rPr>
          <w:rFonts w:hAnsi="標楷體"/>
        </w:rPr>
        <w:t>詢</w:t>
      </w:r>
      <w:proofErr w:type="gramEnd"/>
      <w:r w:rsidR="00AD7DA5" w:rsidRPr="00C1788C">
        <w:rPr>
          <w:rFonts w:hAnsi="標楷體"/>
        </w:rPr>
        <w:t>國安局、</w:t>
      </w:r>
      <w:r w:rsidR="00CE7191" w:rsidRPr="00C1788C">
        <w:rPr>
          <w:rFonts w:hAnsi="標楷體"/>
        </w:rPr>
        <w:t>陸委會</w:t>
      </w:r>
      <w:r w:rsidR="00AD7DA5" w:rsidRPr="00C1788C">
        <w:rPr>
          <w:rFonts w:hAnsi="標楷體"/>
        </w:rPr>
        <w:t>、</w:t>
      </w:r>
      <w:r w:rsidR="00CE7191" w:rsidRPr="00C1788C">
        <w:rPr>
          <w:rFonts w:hAnsi="標楷體" w:hint="eastAsia"/>
        </w:rPr>
        <w:t>內政部</w:t>
      </w:r>
      <w:r w:rsidR="00AD7DA5" w:rsidRPr="00C1788C">
        <w:rPr>
          <w:rFonts w:hAnsi="標楷體"/>
        </w:rPr>
        <w:t>移民署、外交部及金管會等機關。各機關回復意見大致認為，未發現具體證據足認有陸資持股達30%以上或具控制能力之情形</w:t>
      </w:r>
      <w:r w:rsidR="00AD7DA5" w:rsidRPr="00C1788C">
        <w:rPr>
          <w:rFonts w:hAnsi="標楷體"/>
        </w:rPr>
        <w:lastRenderedPageBreak/>
        <w:t>；其中國安機關亦表示未掌握違反外國人投資限制之資訊。</w:t>
      </w:r>
      <w:proofErr w:type="gramStart"/>
      <w:r w:rsidR="00A7642D" w:rsidRPr="00C1788C">
        <w:rPr>
          <w:rFonts w:hAnsi="標楷體" w:hint="eastAsia"/>
        </w:rPr>
        <w:t>嗣</w:t>
      </w:r>
      <w:r w:rsidR="00AD7DA5" w:rsidRPr="00C1788C">
        <w:rPr>
          <w:rFonts w:hAnsi="標楷體"/>
        </w:rPr>
        <w:t>經濟部</w:t>
      </w:r>
      <w:r w:rsidR="00A7642D" w:rsidRPr="00C1788C">
        <w:rPr>
          <w:rFonts w:hAnsi="標楷體" w:hint="eastAsia"/>
        </w:rPr>
        <w:t>投審司</w:t>
      </w:r>
      <w:r w:rsidR="00AD7DA5" w:rsidRPr="00C1788C">
        <w:rPr>
          <w:rFonts w:hAnsi="標楷體"/>
        </w:rPr>
        <w:t>綜整相關</w:t>
      </w:r>
      <w:proofErr w:type="gramEnd"/>
      <w:r w:rsidR="00AD7DA5" w:rsidRPr="00C1788C">
        <w:rPr>
          <w:rFonts w:hAnsi="標楷體"/>
        </w:rPr>
        <w:t>意見</w:t>
      </w:r>
      <w:r w:rsidR="004E6732" w:rsidRPr="00C1788C">
        <w:rPr>
          <w:rFonts w:hAnsi="標楷體" w:hint="eastAsia"/>
        </w:rPr>
        <w:t>邀集相關機關召開工作小組會議討論</w:t>
      </w:r>
      <w:r w:rsidR="00AD7DA5" w:rsidRPr="00C1788C">
        <w:rPr>
          <w:rFonts w:hAnsi="標楷體"/>
        </w:rPr>
        <w:t>後，認定</w:t>
      </w:r>
      <w:r w:rsidR="0047049F" w:rsidRPr="00C1788C">
        <w:rPr>
          <w:rFonts w:hAnsi="標楷體"/>
        </w:rPr>
        <w:t>蝦皮投資案</w:t>
      </w:r>
      <w:r w:rsidR="00AD7DA5" w:rsidRPr="00C1788C">
        <w:rPr>
          <w:rFonts w:hAnsi="標楷體"/>
        </w:rPr>
        <w:t>屬外資投資，依法予以核准。</w:t>
      </w:r>
    </w:p>
    <w:p w14:paraId="541C722F" w14:textId="3079B0F1" w:rsidR="00AD7DA5" w:rsidRPr="00C1788C" w:rsidRDefault="004F5741" w:rsidP="00D51800">
      <w:pPr>
        <w:pStyle w:val="3"/>
        <w:rPr>
          <w:rFonts w:hAnsi="標楷體"/>
        </w:rPr>
      </w:pPr>
      <w:proofErr w:type="gramStart"/>
      <w:r w:rsidRPr="00C1788C">
        <w:rPr>
          <w:rFonts w:hAnsi="標楷體" w:hint="eastAsia"/>
        </w:rPr>
        <w:t>揆以上開</w:t>
      </w:r>
      <w:r w:rsidR="00A7642D" w:rsidRPr="00C1788C">
        <w:rPr>
          <w:rFonts w:hAnsi="標楷體" w:hint="eastAsia"/>
        </w:rPr>
        <w:t>陸資</w:t>
      </w:r>
      <w:proofErr w:type="gramEnd"/>
      <w:r w:rsidR="00A7642D" w:rsidRPr="00C1788C">
        <w:rPr>
          <w:rFonts w:hAnsi="標楷體" w:hint="eastAsia"/>
        </w:rPr>
        <w:t>審查</w:t>
      </w:r>
      <w:r w:rsidRPr="00C1788C">
        <w:rPr>
          <w:rFonts w:hAnsi="標楷體" w:hint="eastAsia"/>
        </w:rPr>
        <w:t>規定除形式持股比例外，亦明文納入「控制能力」作為認定標準，其規範重點顯不以形式股權為限，而在於實質影響力之掌握。然</w:t>
      </w:r>
      <w:r w:rsidR="00A7642D" w:rsidRPr="00C1788C">
        <w:rPr>
          <w:rFonts w:hAnsi="標楷體" w:hint="eastAsia"/>
        </w:rPr>
        <w:t>該司</w:t>
      </w:r>
      <w:r w:rsidRPr="00C1788C">
        <w:rPr>
          <w:rFonts w:hAnsi="標楷體" w:hint="eastAsia"/>
        </w:rPr>
        <w:t>實務審查多以股權比例為核心依據，</w:t>
      </w:r>
      <w:r w:rsidRPr="00C1788C">
        <w:rPr>
          <w:rFonts w:hAnsi="標楷體"/>
        </w:rPr>
        <w:t>高度依賴形式文件與投資人揭露資料</w:t>
      </w:r>
      <w:r w:rsidRPr="00C1788C">
        <w:rPr>
          <w:rFonts w:hAnsi="標楷體" w:hint="eastAsia"/>
        </w:rPr>
        <w:t>，對於</w:t>
      </w:r>
      <w:r w:rsidRPr="00C1788C">
        <w:rPr>
          <w:rFonts w:hAnsi="標楷體"/>
        </w:rPr>
        <w:t>跨國企業常見</w:t>
      </w:r>
      <w:proofErr w:type="gramStart"/>
      <w:r w:rsidRPr="00C1788C">
        <w:rPr>
          <w:rFonts w:hAnsi="標楷體"/>
        </w:rPr>
        <w:t>之多層控股</w:t>
      </w:r>
      <w:proofErr w:type="gramEnd"/>
      <w:r w:rsidRPr="00C1788C">
        <w:rPr>
          <w:rFonts w:hAnsi="標楷體"/>
        </w:rPr>
        <w:t>架構、</w:t>
      </w:r>
      <w:r w:rsidRPr="00C1788C">
        <w:rPr>
          <w:rFonts w:hAnsi="標楷體" w:hint="eastAsia"/>
        </w:rPr>
        <w:t>董事席次安排、經營決策影響、資金來源依附、策略合作關係等「實質控制力」之判斷，尚乏具體操作準則</w:t>
      </w:r>
      <w:r w:rsidR="009D6778" w:rsidRPr="00C1788C">
        <w:rPr>
          <w:rFonts w:hAnsi="標楷體" w:hint="eastAsia"/>
        </w:rPr>
        <w:t>，因而以本件</w:t>
      </w:r>
      <w:r w:rsidR="0047049F" w:rsidRPr="00C1788C">
        <w:rPr>
          <w:rFonts w:hAnsi="標楷體" w:hint="eastAsia"/>
        </w:rPr>
        <w:t>蝦皮投資案</w:t>
      </w:r>
      <w:r w:rsidR="009D6778" w:rsidRPr="00C1788C">
        <w:rPr>
          <w:rFonts w:hAnsi="標楷體" w:hint="eastAsia"/>
        </w:rPr>
        <w:t>而言，其</w:t>
      </w:r>
      <w:r w:rsidRPr="00C1788C">
        <w:rPr>
          <w:rFonts w:hAnsi="標楷體" w:hint="eastAsia"/>
        </w:rPr>
        <w:t>涉及</w:t>
      </w:r>
      <w:proofErr w:type="gramStart"/>
      <w:r w:rsidRPr="00C1788C">
        <w:rPr>
          <w:rFonts w:hAnsi="標楷體" w:hint="eastAsia"/>
        </w:rPr>
        <w:t>多層控股</w:t>
      </w:r>
      <w:proofErr w:type="gramEnd"/>
      <w:r w:rsidRPr="00C1788C">
        <w:rPr>
          <w:rFonts w:hAnsi="標楷體" w:hint="eastAsia"/>
        </w:rPr>
        <w:t>結構，且上層股東</w:t>
      </w:r>
      <w:proofErr w:type="gramStart"/>
      <w:r w:rsidRPr="00C1788C">
        <w:rPr>
          <w:rFonts w:hAnsi="標楷體" w:hint="eastAsia"/>
        </w:rPr>
        <w:t>包含具陸資</w:t>
      </w:r>
      <w:proofErr w:type="gramEnd"/>
      <w:r w:rsidRPr="00C1788C">
        <w:rPr>
          <w:rFonts w:hAnsi="標楷體" w:hint="eastAsia"/>
        </w:rPr>
        <w:t>背景之企業及人士，雖形式上未達</w:t>
      </w:r>
      <w:r w:rsidRPr="00C1788C">
        <w:rPr>
          <w:rFonts w:hAnsi="標楷體"/>
        </w:rPr>
        <w:t>30%</w:t>
      </w:r>
      <w:r w:rsidRPr="00C1788C">
        <w:rPr>
          <w:rFonts w:hAnsi="標楷體" w:hint="eastAsia"/>
        </w:rPr>
        <w:t>門檻，然是否透過協議、董事會運作或資金控制等</w:t>
      </w:r>
      <w:r w:rsidRPr="00C1788C">
        <w:rPr>
          <w:rFonts w:hAnsi="標楷體"/>
        </w:rPr>
        <w:t>非股權方式</w:t>
      </w:r>
      <w:r w:rsidRPr="00C1788C">
        <w:rPr>
          <w:rFonts w:hAnsi="標楷體" w:hint="eastAsia"/>
        </w:rPr>
        <w:t>形成實質影響</w:t>
      </w:r>
      <w:r w:rsidRPr="00C1788C">
        <w:rPr>
          <w:rFonts w:hAnsi="標楷體"/>
        </w:rPr>
        <w:t>經營決策</w:t>
      </w:r>
      <w:r w:rsidRPr="00C1788C">
        <w:rPr>
          <w:rFonts w:hAnsi="標楷體" w:hint="eastAsia"/>
        </w:rPr>
        <w:t>，</w:t>
      </w:r>
      <w:r w:rsidR="00A7642D" w:rsidRPr="00C1788C">
        <w:rPr>
          <w:rFonts w:hAnsi="標楷體" w:hint="eastAsia"/>
        </w:rPr>
        <w:t>以</w:t>
      </w:r>
      <w:r w:rsidRPr="00C1788C">
        <w:rPr>
          <w:rFonts w:hAnsi="標楷體"/>
        </w:rPr>
        <w:t>現行審查機制</w:t>
      </w:r>
      <w:r w:rsidR="00BE0410" w:rsidRPr="00C1788C">
        <w:rPr>
          <w:rFonts w:hAnsi="標楷體" w:hint="eastAsia"/>
        </w:rPr>
        <w:t>，</w:t>
      </w:r>
      <w:r w:rsidR="00A7642D" w:rsidRPr="00C1788C">
        <w:rPr>
          <w:rFonts w:hAnsi="標楷體" w:hint="eastAsia"/>
        </w:rPr>
        <w:t>恐</w:t>
      </w:r>
      <w:r w:rsidRPr="00C1788C">
        <w:rPr>
          <w:rFonts w:hAnsi="標楷體"/>
        </w:rPr>
        <w:t>難</w:t>
      </w:r>
      <w:r w:rsidR="00BE0410" w:rsidRPr="00C1788C">
        <w:rPr>
          <w:rFonts w:hAnsi="標楷體" w:hint="eastAsia"/>
        </w:rPr>
        <w:t>以</w:t>
      </w:r>
      <w:r w:rsidRPr="00C1788C">
        <w:rPr>
          <w:rFonts w:hAnsi="標楷體"/>
        </w:rPr>
        <w:t>充分掌握。</w:t>
      </w:r>
      <w:r w:rsidR="00F45E5A" w:rsidRPr="00C1788C">
        <w:rPr>
          <w:rFonts w:hAnsi="標楷體" w:hint="eastAsia"/>
        </w:rPr>
        <w:t>又</w:t>
      </w:r>
      <w:proofErr w:type="gramStart"/>
      <w:r w:rsidR="00F45E5A" w:rsidRPr="00C1788C">
        <w:rPr>
          <w:rFonts w:hAnsi="標楷體" w:hint="eastAsia"/>
        </w:rPr>
        <w:t>該</w:t>
      </w:r>
      <w:r w:rsidR="00F45E5A" w:rsidRPr="00C1788C">
        <w:rPr>
          <w:rFonts w:hAnsi="標楷體"/>
        </w:rPr>
        <w:t>部於核准</w:t>
      </w:r>
      <w:proofErr w:type="gramEnd"/>
      <w:r w:rsidR="00F45E5A" w:rsidRPr="00C1788C">
        <w:rPr>
          <w:rFonts w:hAnsi="標楷體"/>
        </w:rPr>
        <w:t>投資案時，雖依權限加</w:t>
      </w:r>
      <w:proofErr w:type="gramStart"/>
      <w:r w:rsidR="00F45E5A" w:rsidRPr="00C1788C">
        <w:rPr>
          <w:rFonts w:hAnsi="標楷體"/>
        </w:rPr>
        <w:t>註附款</w:t>
      </w:r>
      <w:proofErr w:type="gramEnd"/>
      <w:r w:rsidR="00F45E5A" w:rsidRPr="00C1788C">
        <w:rPr>
          <w:rFonts w:hAnsi="標楷體"/>
        </w:rPr>
        <w:t>，要求投資人如有股權變動或成為陸資應重新申請，並得要求定期申報股權結構及最終受益人資訊。</w:t>
      </w:r>
      <w:r w:rsidR="00F45E5A" w:rsidRPr="00C1788C">
        <w:rPr>
          <w:rFonts w:hAnsi="標楷體" w:hint="eastAsia"/>
        </w:rPr>
        <w:t>然</w:t>
      </w:r>
      <w:r w:rsidR="00F45E5A" w:rsidRPr="00C1788C">
        <w:rPr>
          <w:rFonts w:hAnsi="標楷體"/>
        </w:rPr>
        <w:t>上述機制多屬「被動申報」性質，仰賴投資人誠實揭露，對於跨國企業常見之快速股權變動、多層架構轉換或隱匿控制關係等情形，難以及時掌握。</w:t>
      </w:r>
      <w:r w:rsidR="00F45E5A" w:rsidRPr="00C1788C">
        <w:rPr>
          <w:rFonts w:hAnsi="標楷體" w:hint="eastAsia"/>
        </w:rPr>
        <w:t>經濟部顯</w:t>
      </w:r>
      <w:r w:rsidR="00F45E5A" w:rsidRPr="00C1788C">
        <w:rPr>
          <w:rFonts w:hAnsi="標楷體"/>
        </w:rPr>
        <w:t>缺乏即時監測工具及主動查核制度，一旦投資結構發生實質變化，可能無法即時發現並採取必要處置，影響國家安全及監理有效性。</w:t>
      </w:r>
    </w:p>
    <w:p w14:paraId="28742CE6" w14:textId="0B189A24" w:rsidR="00AD7DA5" w:rsidRPr="00C1788C" w:rsidRDefault="00AD7DA5" w:rsidP="00D51800">
      <w:pPr>
        <w:pStyle w:val="3"/>
        <w:rPr>
          <w:rFonts w:hAnsi="標楷體"/>
        </w:rPr>
      </w:pPr>
      <w:r w:rsidRPr="00C1788C">
        <w:rPr>
          <w:rFonts w:hAnsi="標楷體"/>
        </w:rPr>
        <w:t>就制度面而言，現行以「持股比例」結合「控制能力」作為判</w:t>
      </w:r>
      <w:proofErr w:type="gramStart"/>
      <w:r w:rsidRPr="00C1788C">
        <w:rPr>
          <w:rFonts w:hAnsi="標楷體"/>
        </w:rPr>
        <w:t>準</w:t>
      </w:r>
      <w:proofErr w:type="gramEnd"/>
      <w:r w:rsidRPr="00C1788C">
        <w:rPr>
          <w:rFonts w:hAnsi="標楷體"/>
        </w:rPr>
        <w:t>，具有法律明確性及行政可操作性，能提供審查機關具體依據，避免過度抽象判斷所生之不確定性。然而，隨著國際資本市場發展，企業常透過</w:t>
      </w:r>
      <w:proofErr w:type="gramStart"/>
      <w:r w:rsidRPr="00C1788C">
        <w:rPr>
          <w:rFonts w:hAnsi="標楷體"/>
        </w:rPr>
        <w:t>多層控股</w:t>
      </w:r>
      <w:proofErr w:type="gramEnd"/>
      <w:r w:rsidRPr="00C1788C">
        <w:rPr>
          <w:rFonts w:hAnsi="標楷體"/>
        </w:rPr>
        <w:t>公司、境外特殊目的公司</w:t>
      </w:r>
      <w:r w:rsidR="00A7642D" w:rsidRPr="00C1788C">
        <w:rPr>
          <w:rFonts w:hAnsi="標楷體"/>
        </w:rPr>
        <w:t>(</w:t>
      </w:r>
      <w:r w:rsidRPr="00C1788C">
        <w:rPr>
          <w:rFonts w:hAnsi="標楷體"/>
        </w:rPr>
        <w:t xml:space="preserve">Special </w:t>
      </w:r>
      <w:r w:rsidRPr="00C1788C">
        <w:rPr>
          <w:rFonts w:hAnsi="標楷體"/>
        </w:rPr>
        <w:lastRenderedPageBreak/>
        <w:t>Purpose Vehicle</w:t>
      </w:r>
      <w:r w:rsidRPr="00C1788C">
        <w:rPr>
          <w:rFonts w:hAnsi="標楷體" w:hint="eastAsia"/>
        </w:rPr>
        <w:t>，簡稱</w:t>
      </w:r>
      <w:r w:rsidRPr="00C1788C">
        <w:rPr>
          <w:rFonts w:hAnsi="標楷體"/>
        </w:rPr>
        <w:t>SPV</w:t>
      </w:r>
      <w:r w:rsidR="00A7642D" w:rsidRPr="00C1788C">
        <w:rPr>
          <w:rFonts w:hAnsi="標楷體"/>
        </w:rPr>
        <w:t>)</w:t>
      </w:r>
      <w:r w:rsidRPr="00C1788C">
        <w:rPr>
          <w:rFonts w:hAnsi="標楷體"/>
        </w:rPr>
        <w:t>、信託安排或協議控制</w:t>
      </w:r>
      <w:r w:rsidR="00A7642D" w:rsidRPr="00C1788C">
        <w:rPr>
          <w:rFonts w:hAnsi="標楷體"/>
        </w:rPr>
        <w:t>(</w:t>
      </w:r>
      <w:r w:rsidRPr="00C1788C">
        <w:rPr>
          <w:rFonts w:hAnsi="標楷體"/>
        </w:rPr>
        <w:t>如股東協議、投票權委託</w:t>
      </w:r>
      <w:r w:rsidR="00A7642D" w:rsidRPr="00C1788C">
        <w:rPr>
          <w:rFonts w:hAnsi="標楷體"/>
        </w:rPr>
        <w:t>)</w:t>
      </w:r>
      <w:r w:rsidRPr="00C1788C">
        <w:rPr>
          <w:rFonts w:hAnsi="標楷體"/>
        </w:rPr>
        <w:t>等方式，形成與表面股權結構不完全一致之實質控制關係。此類安排可能使實際影響力未充分反映於持股比例，進而增加認定難度。</w:t>
      </w:r>
      <w:proofErr w:type="gramStart"/>
      <w:r w:rsidRPr="00C1788C">
        <w:rPr>
          <w:rFonts w:hAnsi="標楷體"/>
        </w:rPr>
        <w:t>此外，</w:t>
      </w:r>
      <w:proofErr w:type="gramEnd"/>
      <w:r w:rsidR="0047049F" w:rsidRPr="00C1788C">
        <w:rPr>
          <w:rFonts w:hAnsi="標楷體"/>
        </w:rPr>
        <w:t>蝦皮投資案</w:t>
      </w:r>
      <w:r w:rsidRPr="00C1788C">
        <w:rPr>
          <w:rFonts w:hAnsi="標楷體"/>
        </w:rPr>
        <w:t>部分關鍵資訊</w:t>
      </w:r>
      <w:r w:rsidR="00A7642D" w:rsidRPr="00C1788C">
        <w:rPr>
          <w:rFonts w:hAnsi="標楷體"/>
        </w:rPr>
        <w:t>(</w:t>
      </w:r>
      <w:r w:rsidRPr="00C1788C">
        <w:rPr>
          <w:rFonts w:hAnsi="標楷體"/>
        </w:rPr>
        <w:t>如最終受益人之國籍或實際影響力</w:t>
      </w:r>
      <w:r w:rsidR="00A7642D" w:rsidRPr="00C1788C">
        <w:rPr>
          <w:rFonts w:hAnsi="標楷體"/>
        </w:rPr>
        <w:t>)</w:t>
      </w:r>
      <w:r w:rsidRPr="00C1788C">
        <w:rPr>
          <w:rFonts w:hAnsi="標楷體"/>
        </w:rPr>
        <w:t>係仰賴投資人申報及各機關既有資料庫交叉比對，當資訊來源</w:t>
      </w:r>
      <w:r w:rsidR="009D6778" w:rsidRPr="00C1788C">
        <w:rPr>
          <w:rFonts w:hAnsi="標楷體" w:hint="eastAsia"/>
        </w:rPr>
        <w:t>受到</w:t>
      </w:r>
      <w:r w:rsidRPr="00C1788C">
        <w:rPr>
          <w:rFonts w:hAnsi="標楷體"/>
        </w:rPr>
        <w:t>限制時，審查結論</w:t>
      </w:r>
      <w:proofErr w:type="gramStart"/>
      <w:r w:rsidR="009D6778" w:rsidRPr="00C1788C">
        <w:rPr>
          <w:rFonts w:hAnsi="標楷體" w:hint="eastAsia"/>
        </w:rPr>
        <w:t>縱</w:t>
      </w:r>
      <w:proofErr w:type="gramEnd"/>
      <w:r w:rsidRPr="00C1788C">
        <w:rPr>
          <w:rFonts w:hAnsi="標楷體"/>
        </w:rPr>
        <w:t>符合法令，仍可能存在資訊不完全之</w:t>
      </w:r>
      <w:r w:rsidR="00BE0410" w:rsidRPr="00C1788C">
        <w:rPr>
          <w:rFonts w:hAnsi="標楷體" w:hint="eastAsia"/>
        </w:rPr>
        <w:t>情形</w:t>
      </w:r>
      <w:r w:rsidRPr="00C1788C">
        <w:rPr>
          <w:rFonts w:hAnsi="標楷體"/>
        </w:rPr>
        <w:t>。</w:t>
      </w:r>
      <w:proofErr w:type="gramStart"/>
      <w:r w:rsidRPr="00C1788C">
        <w:rPr>
          <w:rFonts w:hAnsi="標楷體"/>
        </w:rPr>
        <w:t>再者，</w:t>
      </w:r>
      <w:proofErr w:type="gramEnd"/>
      <w:r w:rsidRPr="00C1788C">
        <w:rPr>
          <w:rFonts w:hAnsi="標楷體"/>
        </w:rPr>
        <w:t>國際間對於「實質受益人」</w:t>
      </w:r>
      <w:r w:rsidR="00A7642D" w:rsidRPr="00C1788C">
        <w:rPr>
          <w:rFonts w:hAnsi="標楷體"/>
        </w:rPr>
        <w:t>(</w:t>
      </w:r>
      <w:r w:rsidRPr="00C1788C">
        <w:rPr>
          <w:rFonts w:hAnsi="標楷體"/>
        </w:rPr>
        <w:t>Beneficial Owner</w:t>
      </w:r>
      <w:r w:rsidR="00A7642D" w:rsidRPr="00C1788C">
        <w:rPr>
          <w:rFonts w:hAnsi="標楷體"/>
        </w:rPr>
        <w:t>)</w:t>
      </w:r>
      <w:r w:rsidRPr="00C1788C">
        <w:rPr>
          <w:rFonts w:hAnsi="標楷體"/>
        </w:rPr>
        <w:t>之揭露要求日益重視，部分國家已建立更嚴格之穿透式審查制度，以掌握最終控制權。</w:t>
      </w:r>
      <w:r w:rsidR="0047049F" w:rsidRPr="00C1788C">
        <w:rPr>
          <w:rFonts w:hAnsi="標楷體"/>
        </w:rPr>
        <w:t>蝦皮投資案</w:t>
      </w:r>
      <w:r w:rsidRPr="00C1788C">
        <w:rPr>
          <w:rFonts w:hAnsi="標楷體"/>
        </w:rPr>
        <w:t>審查模式雖已具初步穿透效果，惟在面對複雜跨境架構時，仍有深化空間。</w:t>
      </w:r>
    </w:p>
    <w:p w14:paraId="285E981C" w14:textId="29976D57" w:rsidR="00AD7DA5" w:rsidRPr="00C1788C" w:rsidRDefault="00B62C0B" w:rsidP="00320890">
      <w:pPr>
        <w:pStyle w:val="3"/>
        <w:rPr>
          <w:rFonts w:hAnsi="標楷體"/>
        </w:rPr>
      </w:pPr>
      <w:r w:rsidRPr="00C1788C">
        <w:rPr>
          <w:rFonts w:hAnsi="標楷體" w:hint="eastAsia"/>
        </w:rPr>
        <w:t>基</w:t>
      </w:r>
      <w:r w:rsidR="00293A7B" w:rsidRPr="00C1788C">
        <w:rPr>
          <w:rFonts w:hAnsi="標楷體"/>
        </w:rPr>
        <w:t>上，從制度演進觀點觀之，未來如何在維持法制明確性與行政效率之前提下，提升對實質控制之辨識能力，為重要課題。</w:t>
      </w:r>
      <w:r w:rsidRPr="00C1788C">
        <w:rPr>
          <w:rFonts w:hAnsi="標楷體" w:hint="eastAsia"/>
        </w:rPr>
        <w:t>現行經濟部投審司對於外資與陸資認定係以股權比例與形式控制為核心，</w:t>
      </w:r>
      <w:r w:rsidR="009D6778" w:rsidRPr="00C1788C">
        <w:rPr>
          <w:rFonts w:hAnsi="標楷體" w:hint="eastAsia"/>
        </w:rPr>
        <w:t>雖</w:t>
      </w:r>
      <w:r w:rsidRPr="00C1788C">
        <w:rPr>
          <w:rFonts w:hAnsi="標楷體" w:hint="eastAsia"/>
        </w:rPr>
        <w:t>係依相關法令審查，並經跨機關確認是否</w:t>
      </w:r>
      <w:proofErr w:type="gramStart"/>
      <w:r w:rsidRPr="00C1788C">
        <w:rPr>
          <w:rFonts w:hAnsi="標楷體" w:hint="eastAsia"/>
        </w:rPr>
        <w:t>未具陸資</w:t>
      </w:r>
      <w:proofErr w:type="gramEnd"/>
      <w:r w:rsidRPr="00C1788C">
        <w:rPr>
          <w:rFonts w:hAnsi="標楷體" w:hint="eastAsia"/>
        </w:rPr>
        <w:t>控制情形，然</w:t>
      </w:r>
      <w:r w:rsidR="004F5741" w:rsidRPr="00C1788C">
        <w:rPr>
          <w:rFonts w:hAnsi="標楷體" w:hint="eastAsia"/>
        </w:rPr>
        <w:t>該</w:t>
      </w:r>
      <w:r w:rsidRPr="00C1788C">
        <w:rPr>
          <w:rFonts w:hAnsi="標楷體" w:hint="eastAsia"/>
        </w:rPr>
        <w:t>司</w:t>
      </w:r>
      <w:r w:rsidR="004F5741" w:rsidRPr="00C1788C">
        <w:rPr>
          <w:rFonts w:hAnsi="標楷體" w:hint="eastAsia"/>
        </w:rPr>
        <w:t>實務審查多以股權比例為核心依據，</w:t>
      </w:r>
      <w:r w:rsidR="004F5741" w:rsidRPr="00C1788C">
        <w:rPr>
          <w:rFonts w:hAnsi="標楷體"/>
        </w:rPr>
        <w:t>高度依賴形式文件與投資人揭露資料</w:t>
      </w:r>
      <w:r w:rsidR="004F5741" w:rsidRPr="00C1788C">
        <w:rPr>
          <w:rFonts w:hAnsi="標楷體" w:hint="eastAsia"/>
        </w:rPr>
        <w:t>，對於</w:t>
      </w:r>
      <w:r w:rsidR="004F5741" w:rsidRPr="00C1788C">
        <w:rPr>
          <w:rFonts w:hAnsi="標楷體"/>
        </w:rPr>
        <w:t>跨國企業常見</w:t>
      </w:r>
      <w:proofErr w:type="gramStart"/>
      <w:r w:rsidR="004F5741" w:rsidRPr="00C1788C">
        <w:rPr>
          <w:rFonts w:hAnsi="標楷體"/>
        </w:rPr>
        <w:t>之多層控股</w:t>
      </w:r>
      <w:proofErr w:type="gramEnd"/>
      <w:r w:rsidR="004F5741" w:rsidRPr="00C1788C">
        <w:rPr>
          <w:rFonts w:hAnsi="標楷體"/>
        </w:rPr>
        <w:t>架構、</w:t>
      </w:r>
      <w:r w:rsidR="00AC507B" w:rsidRPr="00C1788C">
        <w:rPr>
          <w:rFonts w:hAnsi="標楷體"/>
        </w:rPr>
        <w:t>董事會影響力、策略決策權、資金依賴程度等</w:t>
      </w:r>
      <w:r w:rsidR="004F5741" w:rsidRPr="00C1788C">
        <w:rPr>
          <w:rFonts w:hAnsi="標楷體" w:hint="eastAsia"/>
        </w:rPr>
        <w:t>「實質控制力」之判斷，尚乏具體操作準則，</w:t>
      </w:r>
      <w:r w:rsidR="009D6778" w:rsidRPr="00C1788C">
        <w:rPr>
          <w:rFonts w:hAnsi="標楷體"/>
        </w:rPr>
        <w:t>現行審查機制</w:t>
      </w:r>
      <w:proofErr w:type="gramStart"/>
      <w:r w:rsidR="00A4373C" w:rsidRPr="00C1788C">
        <w:rPr>
          <w:rFonts w:hAnsi="標楷體" w:hint="eastAsia"/>
        </w:rPr>
        <w:t>恐</w:t>
      </w:r>
      <w:proofErr w:type="gramEnd"/>
      <w:r w:rsidR="00A4373C" w:rsidRPr="00C1788C">
        <w:rPr>
          <w:rFonts w:hAnsi="標楷體"/>
        </w:rPr>
        <w:t>難</w:t>
      </w:r>
      <w:r w:rsidR="00A7642D" w:rsidRPr="00C1788C">
        <w:rPr>
          <w:rFonts w:hAnsi="標楷體" w:hint="eastAsia"/>
        </w:rPr>
        <w:t>以</w:t>
      </w:r>
      <w:r w:rsidR="004F5741" w:rsidRPr="00C1788C">
        <w:rPr>
          <w:rFonts w:hAnsi="標楷體"/>
        </w:rPr>
        <w:t>充分掌握</w:t>
      </w:r>
      <w:r w:rsidR="00F45E5A" w:rsidRPr="00C1788C">
        <w:rPr>
          <w:rFonts w:hAnsi="標楷體" w:hint="eastAsia"/>
        </w:rPr>
        <w:t>；況且核准後持續監理與股權變動追蹤機制</w:t>
      </w:r>
      <w:r w:rsidR="009D6778" w:rsidRPr="00C1788C">
        <w:rPr>
          <w:rFonts w:hAnsi="標楷體" w:hint="eastAsia"/>
        </w:rPr>
        <w:t>流於</w:t>
      </w:r>
      <w:r w:rsidR="00F45E5A" w:rsidRPr="00C1788C">
        <w:rPr>
          <w:rFonts w:hAnsi="標楷體" w:hint="eastAsia"/>
        </w:rPr>
        <w:t>被動，亦不足以防範投資結構變異風險。是以經濟部允宜持續參酌</w:t>
      </w:r>
      <w:proofErr w:type="gramStart"/>
      <w:r w:rsidR="00F45E5A" w:rsidRPr="00C1788C">
        <w:rPr>
          <w:rFonts w:hAnsi="標楷體" w:hint="eastAsia"/>
        </w:rPr>
        <w:t>國際反避稅</w:t>
      </w:r>
      <w:proofErr w:type="gramEnd"/>
      <w:r w:rsidR="00F45E5A" w:rsidRPr="00C1788C">
        <w:rPr>
          <w:rFonts w:hAnsi="標楷體" w:hint="eastAsia"/>
        </w:rPr>
        <w:t>及反洗錢制度</w:t>
      </w:r>
      <w:r w:rsidR="00F45E5A" w:rsidRPr="00C1788C">
        <w:rPr>
          <w:rFonts w:hAnsi="標楷體"/>
        </w:rPr>
        <w:t>(</w:t>
      </w:r>
      <w:r w:rsidR="00F45E5A" w:rsidRPr="00C1788C">
        <w:rPr>
          <w:rFonts w:hAnsi="標楷體" w:hint="eastAsia"/>
        </w:rPr>
        <w:t>如最終受益人揭露機制</w:t>
      </w:r>
      <w:r w:rsidR="00F45E5A" w:rsidRPr="00C1788C">
        <w:rPr>
          <w:rFonts w:hAnsi="標楷體"/>
        </w:rPr>
        <w:t>)</w:t>
      </w:r>
      <w:r w:rsidR="00F45E5A" w:rsidRPr="00C1788C">
        <w:rPr>
          <w:rFonts w:hAnsi="標楷體" w:hint="eastAsia"/>
        </w:rPr>
        <w:t>之作法，建立穿透式審查機制及明確判斷指標，以</w:t>
      </w:r>
      <w:proofErr w:type="gramStart"/>
      <w:r w:rsidR="00F45E5A" w:rsidRPr="00C1788C">
        <w:rPr>
          <w:rFonts w:hAnsi="標楷體" w:hint="eastAsia"/>
        </w:rPr>
        <w:t>精進跨境</w:t>
      </w:r>
      <w:proofErr w:type="gramEnd"/>
      <w:r w:rsidR="00F45E5A" w:rsidRPr="00C1788C">
        <w:rPr>
          <w:rFonts w:hAnsi="標楷體" w:hint="eastAsia"/>
        </w:rPr>
        <w:t>投資穿透分析及強化對隱性控制關係之辨識能力，並</w:t>
      </w:r>
      <w:proofErr w:type="gramStart"/>
      <w:r w:rsidR="00F45E5A" w:rsidRPr="00C1788C">
        <w:rPr>
          <w:rFonts w:hAnsi="標楷體" w:hint="eastAsia"/>
        </w:rPr>
        <w:t>研</w:t>
      </w:r>
      <w:proofErr w:type="gramEnd"/>
      <w:r w:rsidR="00F45E5A" w:rsidRPr="00C1788C">
        <w:rPr>
          <w:rFonts w:hAnsi="標楷體" w:hint="eastAsia"/>
        </w:rPr>
        <w:t>議引進風險導向審查方法，</w:t>
      </w:r>
      <w:r w:rsidR="00F45E5A" w:rsidRPr="00C1788C">
        <w:rPr>
          <w:rFonts w:hAnsi="標楷體"/>
        </w:rPr>
        <w:t>建立常態化監測、資料串接及風險預警制度</w:t>
      </w:r>
      <w:r w:rsidR="00F45E5A" w:rsidRPr="00C1788C">
        <w:rPr>
          <w:rFonts w:hAnsi="標楷體" w:hint="eastAsia"/>
        </w:rPr>
        <w:lastRenderedPageBreak/>
        <w:t>，</w:t>
      </w:r>
      <w:r w:rsidR="00F45E5A" w:rsidRPr="00C1788C">
        <w:rPr>
          <w:rFonts w:hAnsi="標楷體"/>
        </w:rPr>
        <w:t>強化查核權限與資訊揭露要求，</w:t>
      </w:r>
      <w:r w:rsidR="00F45E5A" w:rsidRPr="00C1788C">
        <w:rPr>
          <w:rFonts w:hAnsi="標楷體" w:hint="eastAsia"/>
        </w:rPr>
        <w:t>以因應新型態資本結構之挑戰，及時掌握股權變動與實質控制變化，</w:t>
      </w:r>
      <w:r w:rsidR="00F45E5A" w:rsidRPr="00C1788C">
        <w:rPr>
          <w:rFonts w:hAnsi="標楷體"/>
        </w:rPr>
        <w:t>確保投資案持續符合法規及國安要求</w:t>
      </w:r>
      <w:r w:rsidR="00AD7DA5" w:rsidRPr="00C1788C">
        <w:rPr>
          <w:rFonts w:hAnsi="標楷體"/>
        </w:rPr>
        <w:t>。</w:t>
      </w:r>
    </w:p>
    <w:p w14:paraId="5EBD0EA7" w14:textId="7CB0E0D4" w:rsidR="00A4373C" w:rsidRPr="00C1788C" w:rsidRDefault="00887C22" w:rsidP="00320890">
      <w:pPr>
        <w:pStyle w:val="2"/>
        <w:rPr>
          <w:rFonts w:hAnsi="標楷體"/>
          <w:b/>
          <w:bCs w:val="0"/>
        </w:rPr>
      </w:pPr>
      <w:r w:rsidRPr="00C1788C">
        <w:rPr>
          <w:rFonts w:hAnsi="標楷體" w:hint="eastAsia"/>
          <w:b/>
          <w:bCs w:val="0"/>
        </w:rPr>
        <w:t>經濟部</w:t>
      </w:r>
      <w:r w:rsidR="00C445C4" w:rsidRPr="00C1788C">
        <w:rPr>
          <w:rFonts w:hAnsi="標楷體" w:hint="eastAsia"/>
          <w:b/>
        </w:rPr>
        <w:t>投審司</w:t>
      </w:r>
      <w:r w:rsidRPr="00C1788C">
        <w:rPr>
          <w:rFonts w:hAnsi="標楷體" w:hint="eastAsia"/>
          <w:b/>
        </w:rPr>
        <w:t>審核</w:t>
      </w:r>
      <w:r w:rsidR="00E36448" w:rsidRPr="00C1788C">
        <w:rPr>
          <w:rFonts w:hAnsi="標楷體" w:hint="eastAsia"/>
          <w:b/>
        </w:rPr>
        <w:t>蝦皮投資</w:t>
      </w:r>
      <w:r w:rsidRPr="00C1788C">
        <w:rPr>
          <w:rFonts w:hAnsi="標楷體" w:hint="eastAsia"/>
          <w:b/>
        </w:rPr>
        <w:t>案是否為</w:t>
      </w:r>
      <w:r w:rsidR="00A4373C" w:rsidRPr="00C1788C">
        <w:rPr>
          <w:rFonts w:hAnsi="標楷體" w:hint="eastAsia"/>
          <w:b/>
        </w:rPr>
        <w:t>陸資</w:t>
      </w:r>
      <w:r w:rsidRPr="00C1788C">
        <w:rPr>
          <w:rFonts w:hAnsi="標楷體" w:hint="eastAsia"/>
          <w:b/>
        </w:rPr>
        <w:t>之</w:t>
      </w:r>
      <w:r w:rsidR="00A4373C" w:rsidRPr="00C1788C">
        <w:rPr>
          <w:rFonts w:hAnsi="標楷體" w:hint="eastAsia"/>
          <w:b/>
        </w:rPr>
        <w:t>審查機制</w:t>
      </w:r>
      <w:r w:rsidR="003C6A1E" w:rsidRPr="00C1788C">
        <w:rPr>
          <w:rFonts w:hAnsi="標楷體" w:hint="eastAsia"/>
          <w:b/>
        </w:rPr>
        <w:t>，</w:t>
      </w:r>
      <w:r w:rsidRPr="00C1788C">
        <w:rPr>
          <w:rFonts w:hAnsi="標楷體" w:hint="eastAsia"/>
          <w:b/>
        </w:rPr>
        <w:t>係</w:t>
      </w:r>
      <w:r w:rsidR="00B82F1B" w:rsidRPr="00C1788C">
        <w:rPr>
          <w:rFonts w:hAnsi="標楷體" w:hint="eastAsia"/>
          <w:b/>
        </w:rPr>
        <w:t>先</w:t>
      </w:r>
      <w:proofErr w:type="gramStart"/>
      <w:r w:rsidR="00A4373C" w:rsidRPr="00C1788C">
        <w:rPr>
          <w:rFonts w:hAnsi="標楷體" w:hint="eastAsia"/>
          <w:b/>
        </w:rPr>
        <w:t>採</w:t>
      </w:r>
      <w:proofErr w:type="gramEnd"/>
      <w:r w:rsidR="00B82F1B" w:rsidRPr="00C1788C">
        <w:rPr>
          <w:rFonts w:hAnsi="標楷體" w:hint="eastAsia"/>
          <w:b/>
        </w:rPr>
        <w:t>數次函</w:t>
      </w:r>
      <w:proofErr w:type="gramStart"/>
      <w:r w:rsidR="00B82F1B" w:rsidRPr="00C1788C">
        <w:rPr>
          <w:rFonts w:hAnsi="標楷體" w:hint="eastAsia"/>
          <w:b/>
        </w:rPr>
        <w:t>詢</w:t>
      </w:r>
      <w:proofErr w:type="gramEnd"/>
      <w:r w:rsidR="00B82F1B" w:rsidRPr="00C1788C">
        <w:rPr>
          <w:rFonts w:hAnsi="標楷體" w:hint="eastAsia"/>
          <w:b/>
        </w:rPr>
        <w:t>相關</w:t>
      </w:r>
      <w:r w:rsidR="00A4373C" w:rsidRPr="00C1788C">
        <w:rPr>
          <w:rFonts w:hAnsi="標楷體" w:hint="eastAsia"/>
          <w:b/>
        </w:rPr>
        <w:t>機關，並多次</w:t>
      </w:r>
      <w:r w:rsidR="00B82F1B" w:rsidRPr="00C1788C">
        <w:rPr>
          <w:rFonts w:hAnsi="標楷體" w:hint="eastAsia"/>
          <w:b/>
        </w:rPr>
        <w:t>函請申請人</w:t>
      </w:r>
      <w:r w:rsidR="00A4373C" w:rsidRPr="00C1788C">
        <w:rPr>
          <w:rFonts w:hAnsi="標楷體" w:hint="eastAsia"/>
          <w:b/>
        </w:rPr>
        <w:t>補正資料以</w:t>
      </w:r>
      <w:proofErr w:type="gramStart"/>
      <w:r w:rsidR="00A4373C" w:rsidRPr="00C1788C">
        <w:rPr>
          <w:rFonts w:hAnsi="標楷體" w:hint="eastAsia"/>
          <w:b/>
        </w:rPr>
        <w:t>釐清爭</w:t>
      </w:r>
      <w:proofErr w:type="gramEnd"/>
      <w:r w:rsidR="00A4373C" w:rsidRPr="00C1788C">
        <w:rPr>
          <w:rFonts w:hAnsi="標楷體" w:hint="eastAsia"/>
          <w:b/>
        </w:rPr>
        <w:t>點，</w:t>
      </w:r>
      <w:r w:rsidR="00190306" w:rsidRPr="00C1788C">
        <w:rPr>
          <w:rFonts w:hAnsi="標楷體" w:hint="eastAsia"/>
          <w:b/>
        </w:rPr>
        <w:t>審諸</w:t>
      </w:r>
      <w:r w:rsidR="00A4373C" w:rsidRPr="00C1788C">
        <w:rPr>
          <w:rFonts w:hAnsi="標楷體" w:hint="eastAsia"/>
          <w:b/>
        </w:rPr>
        <w:t>各機關資訊掌握差異</w:t>
      </w:r>
      <w:r w:rsidR="00695F2A" w:rsidRPr="00C1788C">
        <w:rPr>
          <w:rFonts w:hAnsi="標楷體" w:hint="eastAsia"/>
          <w:b/>
        </w:rPr>
        <w:t>，</w:t>
      </w:r>
      <w:r w:rsidR="00A4373C" w:rsidRPr="00C1788C">
        <w:rPr>
          <w:rFonts w:hAnsi="標楷體" w:hint="eastAsia"/>
          <w:b/>
        </w:rPr>
        <w:t>及審查流程反覆往返，且</w:t>
      </w:r>
      <w:r w:rsidR="00A4373C" w:rsidRPr="00C1788C">
        <w:rPr>
          <w:rFonts w:hAnsi="標楷體"/>
          <w:b/>
        </w:rPr>
        <w:t>對關鍵疑義未形成具拘束力之整合判斷，決策責任分散，</w:t>
      </w:r>
      <w:r w:rsidRPr="00C1788C">
        <w:rPr>
          <w:rFonts w:hAnsi="標楷體" w:hint="eastAsia"/>
          <w:b/>
        </w:rPr>
        <w:t>亦</w:t>
      </w:r>
      <w:r w:rsidR="00A4373C" w:rsidRPr="00C1788C">
        <w:rPr>
          <w:rFonts w:hAnsi="標楷體"/>
          <w:b/>
        </w:rPr>
        <w:t>影響審查嚴謹性</w:t>
      </w:r>
      <w:r w:rsidR="008B712E" w:rsidRPr="00C1788C">
        <w:rPr>
          <w:rFonts w:hAnsi="標楷體" w:hint="eastAsia"/>
          <w:b/>
        </w:rPr>
        <w:t>，</w:t>
      </w:r>
      <w:proofErr w:type="gramStart"/>
      <w:r w:rsidR="001D43F5" w:rsidRPr="00C1788C">
        <w:rPr>
          <w:rFonts w:hAnsi="標楷體" w:hint="eastAsia"/>
          <w:b/>
        </w:rPr>
        <w:t>嗣</w:t>
      </w:r>
      <w:proofErr w:type="gramEnd"/>
      <w:r w:rsidR="00C445C4" w:rsidRPr="00C1788C">
        <w:rPr>
          <w:rFonts w:hAnsi="標楷體" w:hint="eastAsia"/>
          <w:b/>
        </w:rPr>
        <w:t>該</w:t>
      </w:r>
      <w:r w:rsidR="001D43F5" w:rsidRPr="00C1788C">
        <w:rPr>
          <w:rFonts w:hAnsi="標楷體" w:hint="eastAsia"/>
          <w:b/>
        </w:rPr>
        <w:t>司召開工作小組會議整合意見後</w:t>
      </w:r>
      <w:r w:rsidRPr="00C1788C">
        <w:rPr>
          <w:rFonts w:hAnsi="標楷體" w:hint="eastAsia"/>
          <w:b/>
        </w:rPr>
        <w:t>方</w:t>
      </w:r>
      <w:r w:rsidR="001D43F5" w:rsidRPr="00C1788C">
        <w:rPr>
          <w:rFonts w:hAnsi="標楷體" w:hint="eastAsia"/>
          <w:b/>
        </w:rPr>
        <w:t>作成決定</w:t>
      </w:r>
      <w:r w:rsidR="00786AA3" w:rsidRPr="00C1788C">
        <w:rPr>
          <w:rFonts w:hAnsi="標楷體" w:hint="eastAsia"/>
          <w:b/>
        </w:rPr>
        <w:t>。</w:t>
      </w:r>
      <w:r w:rsidRPr="00C1788C">
        <w:rPr>
          <w:rFonts w:hAnsi="標楷體" w:hint="eastAsia"/>
          <w:b/>
        </w:rPr>
        <w:t>惟</w:t>
      </w:r>
      <w:r w:rsidR="001D43F5" w:rsidRPr="00C1788C">
        <w:rPr>
          <w:rFonts w:hAnsi="標楷體" w:hint="eastAsia"/>
          <w:b/>
        </w:rPr>
        <w:t>自申</w:t>
      </w:r>
      <w:r w:rsidR="001D43F5" w:rsidRPr="00C1788C">
        <w:rPr>
          <w:rFonts w:hAnsi="標楷體"/>
          <w:b/>
        </w:rPr>
        <w:t>請至核准歷時逾半年</w:t>
      </w:r>
      <w:r w:rsidRPr="00C1788C">
        <w:rPr>
          <w:rFonts w:hAnsi="標楷體" w:hint="eastAsia"/>
          <w:b/>
        </w:rPr>
        <w:t>，</w:t>
      </w:r>
      <w:r w:rsidR="003171EB" w:rsidRPr="00C1788C">
        <w:rPr>
          <w:rFonts w:hAnsi="標楷體" w:hint="eastAsia"/>
          <w:b/>
        </w:rPr>
        <w:t>較</w:t>
      </w:r>
      <w:r w:rsidR="003171EB" w:rsidRPr="00C1788C">
        <w:rPr>
          <w:rFonts w:hAnsi="標楷體"/>
          <w:b/>
        </w:rPr>
        <w:t>外國人投資條例第8條所定涉及其他目的事業主管機關權限案件2個月之處理期間</w:t>
      </w:r>
      <w:r w:rsidR="003171EB" w:rsidRPr="00C1788C">
        <w:rPr>
          <w:rFonts w:hAnsi="標楷體" w:hint="eastAsia"/>
          <w:b/>
        </w:rPr>
        <w:t>為長</w:t>
      </w:r>
      <w:r w:rsidR="00786AA3" w:rsidRPr="00C1788C">
        <w:rPr>
          <w:rFonts w:hAnsi="標楷體" w:hint="eastAsia"/>
          <w:b/>
        </w:rPr>
        <w:t>，</w:t>
      </w:r>
      <w:r w:rsidR="003171EB" w:rsidRPr="00C1788C">
        <w:rPr>
          <w:rFonts w:hAnsi="標楷體"/>
          <w:b/>
        </w:rPr>
        <w:t>雖</w:t>
      </w:r>
      <w:r w:rsidR="003171EB" w:rsidRPr="00C1788C">
        <w:rPr>
          <w:rFonts w:hAnsi="標楷體" w:hint="eastAsia"/>
          <w:b/>
        </w:rPr>
        <w:t>該司</w:t>
      </w:r>
      <w:r w:rsidR="003171EB" w:rsidRPr="00C1788C">
        <w:rPr>
          <w:rFonts w:hAnsi="標楷體"/>
          <w:b/>
        </w:rPr>
        <w:t>得以申請資料尚未完備、須待補正及跨機關</w:t>
      </w:r>
      <w:proofErr w:type="gramStart"/>
      <w:r w:rsidR="003171EB" w:rsidRPr="00C1788C">
        <w:rPr>
          <w:rFonts w:hAnsi="標楷體"/>
          <w:b/>
        </w:rPr>
        <w:t>釐</w:t>
      </w:r>
      <w:proofErr w:type="gramEnd"/>
      <w:r w:rsidR="003171EB" w:rsidRPr="00C1788C">
        <w:rPr>
          <w:rFonts w:hAnsi="標楷體"/>
          <w:b/>
        </w:rPr>
        <w:t>清後始得起算法定期間為由</w:t>
      </w:r>
      <w:r w:rsidR="001D43F5" w:rsidRPr="00C1788C">
        <w:rPr>
          <w:rFonts w:hAnsi="標楷體"/>
          <w:b/>
        </w:rPr>
        <w:t>，</w:t>
      </w:r>
      <w:r w:rsidR="00891A53" w:rsidRPr="00C1788C">
        <w:rPr>
          <w:rFonts w:hAnsi="標楷體" w:hint="eastAsia"/>
          <w:b/>
        </w:rPr>
        <w:t>仍</w:t>
      </w:r>
      <w:r w:rsidR="00A4373C" w:rsidRPr="00C1788C">
        <w:rPr>
          <w:rFonts w:hAnsi="標楷體" w:hint="eastAsia"/>
          <w:b/>
        </w:rPr>
        <w:t>顯示跨機關整合</w:t>
      </w:r>
      <w:r w:rsidR="00E36448" w:rsidRPr="00C1788C">
        <w:rPr>
          <w:rFonts w:hAnsi="標楷體" w:hint="eastAsia"/>
          <w:b/>
        </w:rPr>
        <w:t>意見</w:t>
      </w:r>
      <w:r w:rsidR="00A4373C" w:rsidRPr="00C1788C">
        <w:rPr>
          <w:rFonts w:hAnsi="標楷體" w:hint="eastAsia"/>
          <w:b/>
        </w:rPr>
        <w:t>與審查效率</w:t>
      </w:r>
      <w:r w:rsidR="00891A53" w:rsidRPr="00C1788C">
        <w:rPr>
          <w:rFonts w:hAnsi="標楷體" w:hint="eastAsia"/>
          <w:b/>
        </w:rPr>
        <w:t>尚</w:t>
      </w:r>
      <w:r w:rsidR="00A4373C" w:rsidRPr="00C1788C">
        <w:rPr>
          <w:rFonts w:hAnsi="標楷體" w:hint="eastAsia"/>
          <w:b/>
        </w:rPr>
        <w:t>有精進</w:t>
      </w:r>
      <w:r w:rsidR="0058501F" w:rsidRPr="00C1788C">
        <w:rPr>
          <w:rFonts w:hAnsi="標楷體" w:hint="eastAsia"/>
          <w:b/>
        </w:rPr>
        <w:t>之必要</w:t>
      </w:r>
      <w:r w:rsidR="00BE7799" w:rsidRPr="00C1788C">
        <w:rPr>
          <w:rFonts w:hAnsi="標楷體" w:hint="eastAsia"/>
          <w:b/>
        </w:rPr>
        <w:t>。經濟部允宜檢討投資審查</w:t>
      </w:r>
      <w:r w:rsidR="00BE7799" w:rsidRPr="00C1788C">
        <w:rPr>
          <w:rFonts w:hAnsi="標楷體"/>
          <w:b/>
        </w:rPr>
        <w:t>跨機關協作啟動時機、資訊整合方式及審查時程控管機制，逐步建立制度化作業模式，以兼顧審查品質與行政效率</w:t>
      </w:r>
      <w:r w:rsidR="008B712E" w:rsidRPr="00C1788C">
        <w:rPr>
          <w:rFonts w:hAnsi="標楷體" w:hint="eastAsia"/>
          <w:b/>
          <w:bCs w:val="0"/>
        </w:rPr>
        <w:t>：</w:t>
      </w:r>
    </w:p>
    <w:p w14:paraId="5D9B48EA" w14:textId="63666BF3" w:rsidR="00190306" w:rsidRPr="00C1788C" w:rsidRDefault="0059718C">
      <w:pPr>
        <w:pStyle w:val="3"/>
        <w:rPr>
          <w:rFonts w:hAnsi="標楷體"/>
        </w:rPr>
      </w:pPr>
      <w:r w:rsidRPr="00C1788C">
        <w:rPr>
          <w:rFonts w:hAnsi="標楷體"/>
        </w:rPr>
        <w:t>依外國人投資條例</w:t>
      </w:r>
      <w:r w:rsidRPr="00C1788C">
        <w:rPr>
          <w:rFonts w:hAnsi="標楷體" w:hint="eastAsia"/>
        </w:rPr>
        <w:t>第8條</w:t>
      </w:r>
      <w:r w:rsidRPr="00C1788C">
        <w:rPr>
          <w:rFonts w:hAnsi="標楷體"/>
        </w:rPr>
        <w:t>規定</w:t>
      </w:r>
      <w:r w:rsidRPr="00C1788C">
        <w:rPr>
          <w:rFonts w:hAnsi="標楷體" w:hint="eastAsia"/>
        </w:rPr>
        <w:t>：「投資人依本條例投資者，應填具投資申請書，檢附投資計畫及有關證件，向主管機關申請核准。投資計畫變更時，亦同。前項投資申請書格式，由主管機關定之。主管機關對於申請投資案件，應於其申請手續完備後</w:t>
      </w:r>
      <w:r w:rsidR="00E36448" w:rsidRPr="00C1788C">
        <w:rPr>
          <w:rFonts w:hAnsi="標楷體" w:hint="eastAsia"/>
        </w:rPr>
        <w:t>1</w:t>
      </w:r>
      <w:r w:rsidRPr="00C1788C">
        <w:rPr>
          <w:rFonts w:hAnsi="標楷體" w:hint="eastAsia"/>
        </w:rPr>
        <w:t>個月內核定之；牽涉到其他相關目的事業主管機關權限者，應於</w:t>
      </w:r>
      <w:r w:rsidR="00E36448" w:rsidRPr="00C1788C">
        <w:rPr>
          <w:rFonts w:hAnsi="標楷體" w:hint="eastAsia"/>
        </w:rPr>
        <w:t>2</w:t>
      </w:r>
      <w:r w:rsidRPr="00C1788C">
        <w:rPr>
          <w:rFonts w:hAnsi="標楷體" w:hint="eastAsia"/>
        </w:rPr>
        <w:t>個月內核定之。投資人投資證券之管理辦法，由行政院定之。」</w:t>
      </w:r>
      <w:proofErr w:type="gramStart"/>
      <w:r w:rsidRPr="00C1788C">
        <w:rPr>
          <w:rFonts w:hAnsi="標楷體" w:hint="eastAsia"/>
        </w:rPr>
        <w:t>復</w:t>
      </w:r>
      <w:r w:rsidR="00695F2A" w:rsidRPr="00C1788C">
        <w:rPr>
          <w:rFonts w:hAnsi="標楷體" w:hint="eastAsia"/>
        </w:rPr>
        <w:t>依陸資</w:t>
      </w:r>
      <w:proofErr w:type="gramEnd"/>
      <w:r w:rsidR="00695F2A" w:rsidRPr="00C1788C">
        <w:rPr>
          <w:rFonts w:hAnsi="標楷體" w:hint="eastAsia"/>
        </w:rPr>
        <w:t>許可辦法第2條規定：「本辦法之主管機關為經濟部。第</w:t>
      </w:r>
      <w:r w:rsidR="00E36448" w:rsidRPr="00C1788C">
        <w:rPr>
          <w:rFonts w:hAnsi="標楷體" w:hint="eastAsia"/>
        </w:rPr>
        <w:t>9</w:t>
      </w:r>
      <w:r w:rsidR="00695F2A" w:rsidRPr="00C1788C">
        <w:rPr>
          <w:rFonts w:hAnsi="標楷體" w:hint="eastAsia"/>
        </w:rPr>
        <w:t>條至第</w:t>
      </w:r>
      <w:r w:rsidR="00E36448" w:rsidRPr="00C1788C">
        <w:rPr>
          <w:rFonts w:hAnsi="標楷體" w:hint="eastAsia"/>
        </w:rPr>
        <w:t>12</w:t>
      </w:r>
      <w:r w:rsidR="00695F2A" w:rsidRPr="00C1788C">
        <w:rPr>
          <w:rFonts w:hAnsi="標楷體" w:hint="eastAsia"/>
        </w:rPr>
        <w:t>條所定投資案件及未來投資計畫變更事項之審理、查核、管理等事項，主管機關得委任所屬機關或委託其他機關</w:t>
      </w:r>
      <w:r w:rsidR="008F7828" w:rsidRPr="00C1788C">
        <w:rPr>
          <w:rFonts w:hAnsi="標楷體" w:hint="eastAsia"/>
        </w:rPr>
        <w:t>(</w:t>
      </w:r>
      <w:r w:rsidR="00695F2A" w:rsidRPr="00C1788C">
        <w:rPr>
          <w:rFonts w:hAnsi="標楷體" w:hint="eastAsia"/>
        </w:rPr>
        <w:t>構</w:t>
      </w:r>
      <w:r w:rsidR="008F7828" w:rsidRPr="00C1788C">
        <w:rPr>
          <w:rFonts w:hAnsi="標楷體" w:hint="eastAsia"/>
        </w:rPr>
        <w:t>)</w:t>
      </w:r>
      <w:r w:rsidR="00695F2A" w:rsidRPr="00C1788C">
        <w:rPr>
          <w:rFonts w:hAnsi="標楷體" w:hint="eastAsia"/>
        </w:rPr>
        <w:t>辦理。」</w:t>
      </w:r>
      <w:r w:rsidR="00190306" w:rsidRPr="00C1788C">
        <w:rPr>
          <w:rFonts w:hAnsi="標楷體"/>
        </w:rPr>
        <w:t>主管機關對於</w:t>
      </w:r>
      <w:r w:rsidR="00190306" w:rsidRPr="00C1788C">
        <w:rPr>
          <w:rFonts w:hAnsi="標楷體" w:hint="eastAsia"/>
        </w:rPr>
        <w:t>外國人</w:t>
      </w:r>
      <w:r w:rsidR="00190306" w:rsidRPr="00C1788C">
        <w:rPr>
          <w:rFonts w:hAnsi="標楷體"/>
        </w:rPr>
        <w:t>申請投資案件，應於其申請手續完備後1個月內核定之；如</w:t>
      </w:r>
      <w:r w:rsidR="00190306" w:rsidRPr="00C1788C">
        <w:rPr>
          <w:rFonts w:hAnsi="標楷體"/>
        </w:rPr>
        <w:lastRenderedPageBreak/>
        <w:t>案件牽涉其他相關目的事業主管機關權限者，則應於2個月內核定之。上開規定，係在確保投資審查兼顧審慎性之同時，亦要求行政機關應於合理期間內完成審查，以維持行政效率及投資環境之穩定性與可預期性。</w:t>
      </w:r>
      <w:proofErr w:type="gramStart"/>
      <w:r w:rsidR="00E82CD0" w:rsidRPr="00C1788C">
        <w:rPr>
          <w:rFonts w:hAnsi="標楷體" w:hint="eastAsia"/>
        </w:rPr>
        <w:t>復</w:t>
      </w:r>
      <w:r w:rsidR="00695F2A" w:rsidRPr="00C1788C">
        <w:rPr>
          <w:rFonts w:hAnsi="標楷體" w:hint="eastAsia"/>
        </w:rPr>
        <w:t>按</w:t>
      </w:r>
      <w:r w:rsidR="00A4373C" w:rsidRPr="00C1788C">
        <w:rPr>
          <w:rFonts w:hAnsi="標楷體"/>
        </w:rPr>
        <w:t>行政</w:t>
      </w:r>
      <w:proofErr w:type="gramEnd"/>
      <w:r w:rsidR="00A4373C" w:rsidRPr="00C1788C">
        <w:rPr>
          <w:rFonts w:hAnsi="標楷體"/>
        </w:rPr>
        <w:t>機關分工原則及投資審查實務，重大投資案件得由主管機關會同相關機關</w:t>
      </w:r>
      <w:r w:rsidR="004D16F4" w:rsidRPr="00C1788C">
        <w:rPr>
          <w:rFonts w:hAnsi="標楷體" w:hint="eastAsia"/>
        </w:rPr>
        <w:t>辦理</w:t>
      </w:r>
      <w:r w:rsidR="00A4373C" w:rsidRPr="00C1788C">
        <w:rPr>
          <w:rFonts w:hAnsi="標楷體"/>
        </w:rPr>
        <w:t>審查，</w:t>
      </w:r>
      <w:r w:rsidR="004D16F4" w:rsidRPr="00C1788C">
        <w:rPr>
          <w:rFonts w:hAnsi="標楷體"/>
        </w:rPr>
        <w:t>透過跨機關協力，</w:t>
      </w:r>
      <w:r w:rsidR="00A4373C" w:rsidRPr="00C1788C">
        <w:rPr>
          <w:rFonts w:hAnsi="標楷體"/>
        </w:rPr>
        <w:t>以兼顧國家安全、產業政策、金融監理及資訊安全等面向</w:t>
      </w:r>
      <w:r w:rsidR="004D16F4" w:rsidRPr="00C1788C">
        <w:rPr>
          <w:rFonts w:hAnsi="標楷體" w:hint="eastAsia"/>
        </w:rPr>
        <w:t>，並</w:t>
      </w:r>
      <w:r w:rsidR="004D16F4" w:rsidRPr="00C1788C">
        <w:rPr>
          <w:rFonts w:hAnsi="標楷體"/>
        </w:rPr>
        <w:t>確保決策兼顧各面向風險評估</w:t>
      </w:r>
      <w:r w:rsidR="00A4373C" w:rsidRPr="00C1788C">
        <w:rPr>
          <w:rFonts w:hAnsi="標楷體"/>
        </w:rPr>
        <w:t>。</w:t>
      </w:r>
      <w:proofErr w:type="gramStart"/>
      <w:r w:rsidR="00E82CD0" w:rsidRPr="00C1788C">
        <w:rPr>
          <w:rFonts w:hAnsi="標楷體" w:hint="eastAsia"/>
        </w:rPr>
        <w:t>爰</w:t>
      </w:r>
      <w:proofErr w:type="gramEnd"/>
      <w:r w:rsidR="00EE2EA0" w:rsidRPr="00C1788C">
        <w:rPr>
          <w:rFonts w:hAnsi="標楷體"/>
        </w:rPr>
        <w:t>依</w:t>
      </w:r>
      <w:r w:rsidR="004D16F4" w:rsidRPr="00C1788C">
        <w:rPr>
          <w:rFonts w:hAnsi="標楷體" w:hint="eastAsia"/>
        </w:rPr>
        <w:t>上開</w:t>
      </w:r>
      <w:r w:rsidR="00EE2EA0" w:rsidRPr="00C1788C">
        <w:rPr>
          <w:rFonts w:hAnsi="標楷體"/>
        </w:rPr>
        <w:t>投資審查</w:t>
      </w:r>
      <w:r w:rsidR="004D16F4" w:rsidRPr="00C1788C">
        <w:rPr>
          <w:rFonts w:hAnsi="標楷體" w:hint="eastAsia"/>
        </w:rPr>
        <w:t>規範</w:t>
      </w:r>
      <w:r w:rsidR="00EE2EA0" w:rsidRPr="00C1788C">
        <w:rPr>
          <w:rFonts w:hAnsi="標楷體"/>
        </w:rPr>
        <w:t>，經濟部</w:t>
      </w:r>
      <w:r w:rsidR="004D16F4" w:rsidRPr="00C1788C">
        <w:rPr>
          <w:rFonts w:hAnsi="標楷體" w:hint="eastAsia"/>
        </w:rPr>
        <w:t>投審司</w:t>
      </w:r>
      <w:r w:rsidR="00EE2EA0" w:rsidRPr="00C1788C">
        <w:rPr>
          <w:rFonts w:hAnsi="標楷體"/>
        </w:rPr>
        <w:t>就涉有國安</w:t>
      </w:r>
      <w:r w:rsidR="004D16F4" w:rsidRPr="00C1788C">
        <w:rPr>
          <w:rFonts w:hAnsi="標楷體" w:hint="eastAsia"/>
        </w:rPr>
        <w:t>、</w:t>
      </w:r>
      <w:proofErr w:type="gramStart"/>
      <w:r w:rsidR="004D16F4" w:rsidRPr="00C1788C">
        <w:rPr>
          <w:rFonts w:hAnsi="標楷體"/>
        </w:rPr>
        <w:t>資安疑慮</w:t>
      </w:r>
      <w:proofErr w:type="gramEnd"/>
      <w:r w:rsidR="004D16F4" w:rsidRPr="00C1788C">
        <w:rPr>
          <w:rFonts w:hAnsi="標楷體"/>
        </w:rPr>
        <w:t>或重大產業影響之投資</w:t>
      </w:r>
      <w:r w:rsidR="00EE2EA0" w:rsidRPr="00C1788C">
        <w:rPr>
          <w:rFonts w:hAnsi="標楷體"/>
        </w:rPr>
        <w:t>案件，得函</w:t>
      </w:r>
      <w:proofErr w:type="gramStart"/>
      <w:r w:rsidR="00EE2EA0" w:rsidRPr="00C1788C">
        <w:rPr>
          <w:rFonts w:hAnsi="標楷體"/>
        </w:rPr>
        <w:t>詢</w:t>
      </w:r>
      <w:proofErr w:type="gramEnd"/>
      <w:r w:rsidR="004E4C91" w:rsidRPr="00C1788C">
        <w:rPr>
          <w:rFonts w:hAnsi="標楷體" w:hint="eastAsia"/>
        </w:rPr>
        <w:t>陸委會</w:t>
      </w:r>
      <w:r w:rsidR="00EE2EA0" w:rsidRPr="00C1788C">
        <w:rPr>
          <w:rFonts w:hAnsi="標楷體"/>
        </w:rPr>
        <w:t>、國安局、</w:t>
      </w:r>
      <w:r w:rsidR="00EE2EA0" w:rsidRPr="00C1788C">
        <w:rPr>
          <w:rFonts w:hAnsi="標楷體" w:hint="eastAsia"/>
        </w:rPr>
        <w:t>內政部</w:t>
      </w:r>
      <w:r w:rsidR="00EE2EA0" w:rsidRPr="00C1788C">
        <w:rPr>
          <w:rFonts w:hAnsi="標楷體"/>
        </w:rPr>
        <w:t>移民署等機關提供意見。</w:t>
      </w:r>
    </w:p>
    <w:p w14:paraId="19E67CFE" w14:textId="4CEE42D3" w:rsidR="00E82CD0" w:rsidRPr="00C1788C" w:rsidRDefault="00E82CD0" w:rsidP="00320890">
      <w:pPr>
        <w:pStyle w:val="3"/>
        <w:rPr>
          <w:rFonts w:hAnsi="標楷體"/>
        </w:rPr>
      </w:pPr>
      <w:r w:rsidRPr="00C1788C">
        <w:rPr>
          <w:rFonts w:hAnsi="標楷體" w:hint="eastAsia"/>
        </w:rPr>
        <w:t>查</w:t>
      </w:r>
      <w:r w:rsidRPr="00C1788C">
        <w:rPr>
          <w:rFonts w:hAnsi="標楷體"/>
          <w:bCs w:val="0"/>
        </w:rPr>
        <w:t>經濟部</w:t>
      </w:r>
      <w:r w:rsidR="00E36448" w:rsidRPr="00C1788C">
        <w:rPr>
          <w:rFonts w:hAnsi="標楷體" w:hint="eastAsia"/>
          <w:bCs w:val="0"/>
        </w:rPr>
        <w:t>於113年5月30日</w:t>
      </w:r>
      <w:r w:rsidRPr="00C1788C">
        <w:rPr>
          <w:rFonts w:hAnsi="標楷體"/>
          <w:bCs w:val="0"/>
        </w:rPr>
        <w:t>受理</w:t>
      </w:r>
      <w:r w:rsidR="00E36448" w:rsidRPr="00C1788C">
        <w:rPr>
          <w:rFonts w:hAnsi="標楷體" w:hint="eastAsia"/>
          <w:bCs w:val="0"/>
        </w:rPr>
        <w:t>蝦皮投資案</w:t>
      </w:r>
      <w:r w:rsidRPr="00C1788C">
        <w:rPr>
          <w:rFonts w:hAnsi="標楷體"/>
          <w:bCs w:val="0"/>
        </w:rPr>
        <w:t>後</w:t>
      </w:r>
      <w:r w:rsidR="007A2DA2" w:rsidRPr="00C1788C">
        <w:rPr>
          <w:rFonts w:hAnsi="標楷體" w:hint="eastAsia"/>
        </w:rPr>
        <w:t>審查過程中</w:t>
      </w:r>
      <w:r w:rsidRPr="00C1788C">
        <w:rPr>
          <w:rFonts w:hAnsi="標楷體"/>
          <w:bCs w:val="0"/>
        </w:rPr>
        <w:t>，於</w:t>
      </w:r>
      <w:r w:rsidRPr="00C1788C">
        <w:rPr>
          <w:rFonts w:hAnsi="標楷體" w:hint="eastAsia"/>
        </w:rPr>
        <w:t>同</w:t>
      </w:r>
      <w:r w:rsidRPr="00C1788C">
        <w:rPr>
          <w:rFonts w:hAnsi="標楷體"/>
          <w:bCs w:val="0"/>
        </w:rPr>
        <w:t>年</w:t>
      </w:r>
      <w:r w:rsidR="00B30BD0" w:rsidRPr="00C1788C">
        <w:rPr>
          <w:rFonts w:hAnsi="標楷體" w:hint="eastAsia"/>
        </w:rPr>
        <w:t>7</w:t>
      </w:r>
      <w:r w:rsidRPr="00C1788C">
        <w:rPr>
          <w:rFonts w:hAnsi="標楷體"/>
          <w:bCs w:val="0"/>
        </w:rPr>
        <w:t>月18日</w:t>
      </w:r>
      <w:r w:rsidR="00994D26" w:rsidRPr="00C1788C">
        <w:rPr>
          <w:rFonts w:hAnsi="標楷體" w:hint="eastAsia"/>
        </w:rPr>
        <w:t>及</w:t>
      </w:r>
      <w:r w:rsidR="00FB61BE" w:rsidRPr="00C1788C">
        <w:rPr>
          <w:rFonts w:hAnsi="標楷體" w:hint="eastAsia"/>
        </w:rPr>
        <w:t>9</w:t>
      </w:r>
      <w:r w:rsidR="00994D26" w:rsidRPr="00C1788C">
        <w:rPr>
          <w:rFonts w:hAnsi="標楷體" w:hint="eastAsia"/>
        </w:rPr>
        <w:t>月</w:t>
      </w:r>
      <w:r w:rsidR="00FB61BE" w:rsidRPr="00C1788C">
        <w:rPr>
          <w:rFonts w:hAnsi="標楷體" w:hint="eastAsia"/>
        </w:rPr>
        <w:t>13</w:t>
      </w:r>
      <w:r w:rsidR="00994D26" w:rsidRPr="00C1788C">
        <w:rPr>
          <w:rFonts w:hAnsi="標楷體" w:hint="eastAsia"/>
        </w:rPr>
        <w:t>日分別</w:t>
      </w:r>
      <w:r w:rsidRPr="00C1788C">
        <w:rPr>
          <w:rFonts w:hAnsi="標楷體"/>
          <w:bCs w:val="0"/>
        </w:rPr>
        <w:t>函</w:t>
      </w:r>
      <w:proofErr w:type="gramStart"/>
      <w:r w:rsidRPr="00C1788C">
        <w:rPr>
          <w:rFonts w:hAnsi="標楷體"/>
          <w:bCs w:val="0"/>
        </w:rPr>
        <w:t>詢</w:t>
      </w:r>
      <w:proofErr w:type="gramEnd"/>
      <w:r w:rsidR="004E4C91" w:rsidRPr="00C1788C">
        <w:rPr>
          <w:rFonts w:hAnsi="標楷體"/>
        </w:rPr>
        <w:t>陸委會</w:t>
      </w:r>
      <w:r w:rsidR="00FB61BE" w:rsidRPr="00C1788C">
        <w:rPr>
          <w:rFonts w:hAnsi="標楷體" w:hint="eastAsia"/>
        </w:rPr>
        <w:t>(2次)</w:t>
      </w:r>
      <w:r w:rsidR="00B30BD0" w:rsidRPr="00C1788C">
        <w:rPr>
          <w:rFonts w:hAnsi="標楷體"/>
        </w:rPr>
        <w:t>、</w:t>
      </w:r>
      <w:r w:rsidR="00B30BD0" w:rsidRPr="00C1788C">
        <w:rPr>
          <w:rFonts w:hAnsi="標楷體" w:hint="eastAsia"/>
        </w:rPr>
        <w:t>國安局</w:t>
      </w:r>
      <w:r w:rsidR="00B30BD0" w:rsidRPr="00C1788C">
        <w:rPr>
          <w:rFonts w:hAnsi="標楷體"/>
        </w:rPr>
        <w:t>、</w:t>
      </w:r>
      <w:r w:rsidR="00B30BD0" w:rsidRPr="00C1788C">
        <w:rPr>
          <w:rFonts w:hAnsi="標楷體" w:hint="eastAsia"/>
        </w:rPr>
        <w:t>金管會</w:t>
      </w:r>
      <w:r w:rsidR="00B30BD0" w:rsidRPr="00C1788C">
        <w:rPr>
          <w:rFonts w:hAnsi="標楷體"/>
        </w:rPr>
        <w:t>、</w:t>
      </w:r>
      <w:r w:rsidR="00B30BD0" w:rsidRPr="00C1788C">
        <w:rPr>
          <w:rFonts w:hAnsi="標楷體" w:hint="eastAsia"/>
        </w:rPr>
        <w:t>數發部</w:t>
      </w:r>
      <w:r w:rsidR="00994D26" w:rsidRPr="00C1788C">
        <w:rPr>
          <w:rFonts w:hAnsi="標楷體" w:hint="eastAsia"/>
        </w:rPr>
        <w:t>、</w:t>
      </w:r>
      <w:r w:rsidR="00B30BD0" w:rsidRPr="00C1788C">
        <w:rPr>
          <w:rFonts w:hAnsi="標楷體" w:hint="eastAsia"/>
        </w:rPr>
        <w:t>該</w:t>
      </w:r>
      <w:proofErr w:type="gramStart"/>
      <w:r w:rsidR="00B30BD0" w:rsidRPr="00C1788C">
        <w:rPr>
          <w:rFonts w:hAnsi="標楷體" w:hint="eastAsia"/>
        </w:rPr>
        <w:t>部商發署</w:t>
      </w:r>
      <w:proofErr w:type="gramEnd"/>
      <w:r w:rsidR="00FB61BE" w:rsidRPr="00C1788C">
        <w:rPr>
          <w:rFonts w:hAnsi="標楷體" w:hint="eastAsia"/>
        </w:rPr>
        <w:t>(2次)</w:t>
      </w:r>
      <w:r w:rsidR="00994D26" w:rsidRPr="00C1788C">
        <w:rPr>
          <w:rFonts w:hAnsi="標楷體" w:hint="eastAsia"/>
        </w:rPr>
        <w:t>及外交部、內政部移民署</w:t>
      </w:r>
      <w:r w:rsidR="00FB61BE" w:rsidRPr="00C1788C">
        <w:rPr>
          <w:rFonts w:hAnsi="標楷體" w:hint="eastAsia"/>
        </w:rPr>
        <w:t>(2次)</w:t>
      </w:r>
      <w:r w:rsidRPr="00C1788C">
        <w:rPr>
          <w:rFonts w:hAnsi="標楷體"/>
          <w:bCs w:val="0"/>
        </w:rPr>
        <w:t>等相關機關意見，</w:t>
      </w:r>
      <w:proofErr w:type="gramStart"/>
      <w:r w:rsidR="00FB61BE" w:rsidRPr="00C1788C">
        <w:rPr>
          <w:rFonts w:hAnsi="標楷體" w:hint="eastAsia"/>
        </w:rPr>
        <w:t>嗣</w:t>
      </w:r>
      <w:proofErr w:type="gramEnd"/>
      <w:r w:rsidR="00FB61BE" w:rsidRPr="00C1788C">
        <w:rPr>
          <w:rFonts w:hAnsi="標楷體" w:hint="eastAsia"/>
        </w:rPr>
        <w:t>上開</w:t>
      </w:r>
      <w:r w:rsidRPr="00C1788C">
        <w:rPr>
          <w:rFonts w:hAnsi="標楷體"/>
          <w:bCs w:val="0"/>
        </w:rPr>
        <w:t>各機關於同年8月8</w:t>
      </w:r>
      <w:r w:rsidR="00FB61BE" w:rsidRPr="00C1788C">
        <w:rPr>
          <w:rFonts w:hAnsi="標楷體" w:hint="eastAsia"/>
        </w:rPr>
        <w:t>日</w:t>
      </w:r>
      <w:r w:rsidR="00994D26" w:rsidRPr="00C1788C">
        <w:rPr>
          <w:rFonts w:hAnsi="標楷體" w:hint="eastAsia"/>
        </w:rPr>
        <w:t>至</w:t>
      </w:r>
      <w:r w:rsidR="005C3974" w:rsidRPr="00C1788C">
        <w:rPr>
          <w:rFonts w:hAnsi="標楷體" w:hint="eastAsia"/>
        </w:rPr>
        <w:t>9月</w:t>
      </w:r>
      <w:r w:rsidR="00994D26" w:rsidRPr="00C1788C">
        <w:rPr>
          <w:rFonts w:hAnsi="標楷體" w:hint="eastAsia"/>
        </w:rPr>
        <w:t>27</w:t>
      </w:r>
      <w:r w:rsidRPr="00C1788C">
        <w:rPr>
          <w:rFonts w:hAnsi="標楷體"/>
          <w:bCs w:val="0"/>
        </w:rPr>
        <w:t>日間陸續回復</w:t>
      </w:r>
      <w:r w:rsidR="005C3974" w:rsidRPr="00C1788C">
        <w:rPr>
          <w:rFonts w:hAnsi="標楷體" w:hint="eastAsia"/>
        </w:rPr>
        <w:t>後，投</w:t>
      </w:r>
      <w:proofErr w:type="gramStart"/>
      <w:r w:rsidR="005C3974" w:rsidRPr="00C1788C">
        <w:rPr>
          <w:rFonts w:hAnsi="標楷體" w:hint="eastAsia"/>
        </w:rPr>
        <w:t>審司視</w:t>
      </w:r>
      <w:proofErr w:type="gramEnd"/>
      <w:r w:rsidR="005C3974" w:rsidRPr="00C1788C">
        <w:rPr>
          <w:rFonts w:hAnsi="標楷體" w:hint="eastAsia"/>
        </w:rPr>
        <w:t>審查申請資料及各機關提出需</w:t>
      </w:r>
      <w:proofErr w:type="gramStart"/>
      <w:r w:rsidR="005C3974" w:rsidRPr="00C1788C">
        <w:rPr>
          <w:rFonts w:hAnsi="標楷體" w:hint="eastAsia"/>
        </w:rPr>
        <w:t>釐</w:t>
      </w:r>
      <w:proofErr w:type="gramEnd"/>
      <w:r w:rsidR="005C3974" w:rsidRPr="00C1788C">
        <w:rPr>
          <w:rFonts w:hAnsi="標楷體" w:hint="eastAsia"/>
        </w:rPr>
        <w:t>清事項，3度函請</w:t>
      </w:r>
      <w:r w:rsidR="005C3974" w:rsidRPr="00C1788C">
        <w:rPr>
          <w:rFonts w:hAnsi="標楷體"/>
        </w:rPr>
        <w:t>申請人補正相關資料</w:t>
      </w:r>
      <w:r w:rsidR="005C3974" w:rsidRPr="00C1788C">
        <w:rPr>
          <w:rFonts w:hAnsi="標楷體" w:hint="eastAsia"/>
        </w:rPr>
        <w:t>，最後</w:t>
      </w:r>
      <w:r w:rsidRPr="00C1788C">
        <w:rPr>
          <w:rFonts w:hAnsi="標楷體"/>
          <w:bCs w:val="0"/>
        </w:rPr>
        <w:t>於</w:t>
      </w:r>
      <w:r w:rsidR="005C3974" w:rsidRPr="00C1788C">
        <w:rPr>
          <w:rFonts w:hAnsi="標楷體" w:hint="eastAsia"/>
        </w:rPr>
        <w:t>同</w:t>
      </w:r>
      <w:r w:rsidRPr="00C1788C">
        <w:rPr>
          <w:rFonts w:hAnsi="標楷體"/>
          <w:bCs w:val="0"/>
        </w:rPr>
        <w:t>年11月15日召開跨機關工作小組會議，就</w:t>
      </w:r>
      <w:r w:rsidR="0047049F" w:rsidRPr="00C1788C">
        <w:rPr>
          <w:rFonts w:hAnsi="標楷體"/>
          <w:bCs w:val="0"/>
        </w:rPr>
        <w:t>蝦皮投資案</w:t>
      </w:r>
      <w:r w:rsidRPr="00C1788C">
        <w:rPr>
          <w:rFonts w:hAnsi="標楷體"/>
          <w:bCs w:val="0"/>
        </w:rPr>
        <w:t>關鍵爭點進行討論與整合判斷。會議中針對投資人股權結構、最終受益人背景及控制關係等事項進行綜合審認，並就下列重點加以</w:t>
      </w:r>
      <w:proofErr w:type="gramStart"/>
      <w:r w:rsidRPr="00C1788C">
        <w:rPr>
          <w:rFonts w:hAnsi="標楷體"/>
          <w:bCs w:val="0"/>
        </w:rPr>
        <w:t>釐</w:t>
      </w:r>
      <w:proofErr w:type="gramEnd"/>
      <w:r w:rsidRPr="00C1788C">
        <w:rPr>
          <w:rFonts w:hAnsi="標楷體"/>
          <w:bCs w:val="0"/>
        </w:rPr>
        <w:t>清：</w:t>
      </w:r>
      <w:r w:rsidR="005C3974" w:rsidRPr="00C1788C">
        <w:rPr>
          <w:rFonts w:hAnsi="標楷體" w:hint="eastAsia"/>
        </w:rPr>
        <w:t>1、</w:t>
      </w:r>
      <w:r w:rsidRPr="00C1788C">
        <w:rPr>
          <w:rFonts w:hAnsi="標楷體"/>
          <w:bCs w:val="0"/>
        </w:rPr>
        <w:t>就李小冬之國籍及身分疑義，透過相關機關資料查證及資訊比對，確認其身分狀態，並評估其對陸資認定之影響</w:t>
      </w:r>
      <w:r w:rsidR="005C3974" w:rsidRPr="00C1788C">
        <w:rPr>
          <w:rFonts w:hAnsi="標楷體" w:hint="eastAsia"/>
        </w:rPr>
        <w:t>；2、</w:t>
      </w:r>
      <w:proofErr w:type="gramStart"/>
      <w:r w:rsidRPr="00C1788C">
        <w:rPr>
          <w:rFonts w:hAnsi="標楷體"/>
          <w:bCs w:val="0"/>
        </w:rPr>
        <w:t>就騰訊</w:t>
      </w:r>
      <w:proofErr w:type="gramEnd"/>
      <w:r w:rsidRPr="00C1788C">
        <w:rPr>
          <w:rFonts w:hAnsi="標楷體"/>
          <w:bCs w:val="0"/>
        </w:rPr>
        <w:t>集團對冬海集團之持股情形，確認其持股比例約為18%，未達法規所定30%門檻，且未具控制能力，據以納入陸資認定之整體判斷</w:t>
      </w:r>
      <w:r w:rsidR="005C3974" w:rsidRPr="00C1788C">
        <w:rPr>
          <w:rFonts w:hAnsi="標楷體" w:hint="eastAsia"/>
        </w:rPr>
        <w:t>；3、</w:t>
      </w:r>
      <w:r w:rsidRPr="00C1788C">
        <w:rPr>
          <w:rFonts w:hAnsi="標楷體"/>
        </w:rPr>
        <w:t>就</w:t>
      </w:r>
      <w:proofErr w:type="gramStart"/>
      <w:r w:rsidRPr="00C1788C">
        <w:rPr>
          <w:rFonts w:hAnsi="標楷體"/>
        </w:rPr>
        <w:t>多層控股</w:t>
      </w:r>
      <w:proofErr w:type="gramEnd"/>
      <w:r w:rsidRPr="00C1788C">
        <w:rPr>
          <w:rFonts w:hAnsi="標楷體"/>
        </w:rPr>
        <w:t>架構及資金來源，要求投資人補充說明相關股權關係及資金流向，以利進行實質審查。經濟部</w:t>
      </w:r>
      <w:r w:rsidR="00C445C4" w:rsidRPr="00C1788C">
        <w:rPr>
          <w:rFonts w:hAnsi="標楷體" w:hint="eastAsia"/>
        </w:rPr>
        <w:t>投審司</w:t>
      </w:r>
      <w:proofErr w:type="gramStart"/>
      <w:r w:rsidRPr="00C1788C">
        <w:rPr>
          <w:rFonts w:hAnsi="標楷體"/>
        </w:rPr>
        <w:t>於</w:t>
      </w:r>
      <w:r w:rsidRPr="00C1788C">
        <w:rPr>
          <w:rFonts w:hAnsi="標楷體"/>
        </w:rPr>
        <w:lastRenderedPageBreak/>
        <w:t>綜整</w:t>
      </w:r>
      <w:proofErr w:type="gramEnd"/>
      <w:r w:rsidRPr="00C1788C">
        <w:rPr>
          <w:rFonts w:hAnsi="標楷體"/>
        </w:rPr>
        <w:t>各機關函復意見及工作小組會議結論後，認定</w:t>
      </w:r>
      <w:r w:rsidR="0047049F" w:rsidRPr="00C1788C">
        <w:rPr>
          <w:rFonts w:hAnsi="標楷體"/>
        </w:rPr>
        <w:t>蝦皮投資案</w:t>
      </w:r>
      <w:r w:rsidRPr="00C1788C">
        <w:rPr>
          <w:rFonts w:hAnsi="標楷體"/>
        </w:rPr>
        <w:t>尚無違反相關法令之情事，並於113年12月12日核准</w:t>
      </w:r>
      <w:r w:rsidR="0047049F" w:rsidRPr="00C1788C">
        <w:rPr>
          <w:rFonts w:hAnsi="標楷體"/>
        </w:rPr>
        <w:t>蝦皮投資案</w:t>
      </w:r>
      <w:r w:rsidRPr="00C1788C">
        <w:rPr>
          <w:rFonts w:hAnsi="標楷體"/>
        </w:rPr>
        <w:t>投資申請。</w:t>
      </w:r>
    </w:p>
    <w:p w14:paraId="730FADC1" w14:textId="77777777" w:rsidR="009D6778" w:rsidRPr="00C1788C" w:rsidRDefault="009D6778" w:rsidP="009D6778">
      <w:pPr>
        <w:pStyle w:val="a3"/>
        <w:rPr>
          <w:rFonts w:hAnsi="標楷體"/>
        </w:rPr>
      </w:pPr>
      <w:r w:rsidRPr="00C1788C">
        <w:rPr>
          <w:rFonts w:hAnsi="標楷體" w:hint="eastAsia"/>
        </w:rPr>
        <w:t>經濟部審核新加坡商蝦皮娛樂公司(原歡樂蝦皮公司於</w:t>
      </w:r>
      <w:r w:rsidRPr="00C1788C">
        <w:rPr>
          <w:rFonts w:hAnsi="標楷體"/>
        </w:rPr>
        <w:t>109</w:t>
      </w:r>
      <w:r w:rsidRPr="00C1788C">
        <w:rPr>
          <w:rFonts w:hAnsi="標楷體" w:hint="eastAsia"/>
        </w:rPr>
        <w:t>年</w:t>
      </w:r>
      <w:r w:rsidRPr="00C1788C">
        <w:rPr>
          <w:rFonts w:hAnsi="標楷體"/>
        </w:rPr>
        <w:t>8</w:t>
      </w:r>
      <w:r w:rsidRPr="00C1788C">
        <w:rPr>
          <w:rFonts w:hAnsi="標楷體" w:hint="eastAsia"/>
        </w:rPr>
        <w:t>月</w:t>
      </w:r>
      <w:r w:rsidRPr="00C1788C">
        <w:rPr>
          <w:rFonts w:hAnsi="標楷體"/>
        </w:rPr>
        <w:t>10</w:t>
      </w:r>
      <w:r w:rsidRPr="00C1788C">
        <w:rPr>
          <w:rFonts w:hAnsi="標楷體" w:hint="eastAsia"/>
        </w:rPr>
        <w:t>日更名)</w:t>
      </w:r>
      <w:proofErr w:type="gramStart"/>
      <w:r w:rsidRPr="00C1788C">
        <w:rPr>
          <w:rFonts w:hAnsi="標楷體" w:hint="eastAsia"/>
        </w:rPr>
        <w:t>投資樂購蝦皮</w:t>
      </w:r>
      <w:proofErr w:type="gramEnd"/>
      <w:r w:rsidRPr="00C1788C">
        <w:rPr>
          <w:rFonts w:hAnsi="標楷體" w:hint="eastAsia"/>
        </w:rPr>
        <w:t>公司大事紀表</w:t>
      </w:r>
    </w:p>
    <w:tbl>
      <w:tblPr>
        <w:tblStyle w:val="af6"/>
        <w:tblW w:w="5000" w:type="pct"/>
        <w:tblLayout w:type="fixed"/>
        <w:tblCellMar>
          <w:left w:w="28" w:type="dxa"/>
          <w:right w:w="28" w:type="dxa"/>
        </w:tblCellMar>
        <w:tblLook w:val="04A0" w:firstRow="1" w:lastRow="0" w:firstColumn="1" w:lastColumn="0" w:noHBand="0" w:noVBand="1"/>
      </w:tblPr>
      <w:tblGrid>
        <w:gridCol w:w="1413"/>
        <w:gridCol w:w="1843"/>
        <w:gridCol w:w="5578"/>
      </w:tblGrid>
      <w:tr w:rsidR="009D6778" w:rsidRPr="00C1788C" w14:paraId="5FBFBE57" w14:textId="77777777" w:rsidTr="00EE4465">
        <w:trPr>
          <w:trHeight w:val="340"/>
          <w:tblHeader/>
        </w:trPr>
        <w:tc>
          <w:tcPr>
            <w:tcW w:w="800" w:type="pct"/>
            <w:shd w:val="clear" w:color="auto" w:fill="EEECE1" w:themeFill="background2"/>
            <w:vAlign w:val="center"/>
          </w:tcPr>
          <w:p w14:paraId="3B89C1B8" w14:textId="77777777" w:rsidR="009D6778" w:rsidRPr="00C1788C" w:rsidRDefault="009D6778" w:rsidP="00BA164C">
            <w:pPr>
              <w:pStyle w:val="af7"/>
              <w:adjustRightInd w:val="0"/>
              <w:snapToGrid w:val="0"/>
              <w:spacing w:line="320" w:lineRule="exact"/>
              <w:ind w:leftChars="0" w:left="0"/>
              <w:jc w:val="center"/>
              <w:rPr>
                <w:rFonts w:hAnsi="標楷體"/>
                <w:bCs/>
                <w:spacing w:val="-40"/>
                <w:sz w:val="28"/>
                <w:szCs w:val="28"/>
              </w:rPr>
            </w:pPr>
            <w:r w:rsidRPr="00C1788C">
              <w:rPr>
                <w:rFonts w:hAnsi="標楷體" w:hint="eastAsia"/>
                <w:bCs/>
                <w:spacing w:val="-40"/>
                <w:sz w:val="28"/>
                <w:szCs w:val="28"/>
              </w:rPr>
              <w:t>日期(年月日)</w:t>
            </w:r>
          </w:p>
        </w:tc>
        <w:tc>
          <w:tcPr>
            <w:tcW w:w="1043" w:type="pct"/>
            <w:shd w:val="clear" w:color="auto" w:fill="EEECE1" w:themeFill="background2"/>
            <w:vAlign w:val="center"/>
          </w:tcPr>
          <w:p w14:paraId="2ED98C62" w14:textId="77777777" w:rsidR="009D6778" w:rsidRPr="00C1788C" w:rsidRDefault="009D6778" w:rsidP="00BA164C">
            <w:pPr>
              <w:pStyle w:val="af7"/>
              <w:adjustRightInd w:val="0"/>
              <w:snapToGrid w:val="0"/>
              <w:spacing w:line="320" w:lineRule="exact"/>
              <w:ind w:leftChars="0" w:left="0"/>
              <w:jc w:val="center"/>
              <w:rPr>
                <w:rFonts w:hAnsi="標楷體"/>
                <w:bCs/>
                <w:sz w:val="28"/>
                <w:szCs w:val="28"/>
              </w:rPr>
            </w:pPr>
            <w:r w:rsidRPr="00C1788C">
              <w:rPr>
                <w:rFonts w:hAnsi="標楷體" w:hint="eastAsia"/>
                <w:bCs/>
                <w:sz w:val="28"/>
                <w:szCs w:val="28"/>
              </w:rPr>
              <w:t>文號</w:t>
            </w:r>
          </w:p>
        </w:tc>
        <w:tc>
          <w:tcPr>
            <w:tcW w:w="3157" w:type="pct"/>
            <w:shd w:val="clear" w:color="auto" w:fill="EEECE1" w:themeFill="background2"/>
            <w:vAlign w:val="center"/>
          </w:tcPr>
          <w:p w14:paraId="6AEB4B97" w14:textId="77777777" w:rsidR="009D6778" w:rsidRPr="00C1788C" w:rsidRDefault="009D6778" w:rsidP="00BA164C">
            <w:pPr>
              <w:pStyle w:val="af7"/>
              <w:adjustRightInd w:val="0"/>
              <w:snapToGrid w:val="0"/>
              <w:spacing w:line="320" w:lineRule="exact"/>
              <w:ind w:leftChars="0" w:left="0"/>
              <w:jc w:val="center"/>
              <w:rPr>
                <w:rFonts w:hAnsi="標楷體"/>
                <w:bCs/>
                <w:sz w:val="28"/>
                <w:szCs w:val="28"/>
              </w:rPr>
            </w:pPr>
            <w:r w:rsidRPr="00C1788C">
              <w:rPr>
                <w:rFonts w:hAnsi="標楷體" w:hint="eastAsia"/>
                <w:bCs/>
                <w:sz w:val="28"/>
                <w:szCs w:val="28"/>
              </w:rPr>
              <w:t>內容</w:t>
            </w:r>
          </w:p>
        </w:tc>
      </w:tr>
      <w:tr w:rsidR="009D6778" w:rsidRPr="00C1788C" w14:paraId="4D120019" w14:textId="77777777" w:rsidTr="00EE4465">
        <w:trPr>
          <w:trHeight w:val="340"/>
        </w:trPr>
        <w:tc>
          <w:tcPr>
            <w:tcW w:w="800" w:type="pct"/>
            <w:vAlign w:val="center"/>
          </w:tcPr>
          <w:p w14:paraId="59F5EB6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07.10.11</w:t>
            </w:r>
          </w:p>
        </w:tc>
        <w:tc>
          <w:tcPr>
            <w:tcW w:w="1043" w:type="pct"/>
            <w:vAlign w:val="center"/>
          </w:tcPr>
          <w:p w14:paraId="4A5448B9"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
        </w:tc>
        <w:tc>
          <w:tcPr>
            <w:tcW w:w="3157" w:type="pct"/>
            <w:vAlign w:val="center"/>
          </w:tcPr>
          <w:p w14:paraId="1E76C28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歡樂蝦皮公司申請受讓國內股東持有</w:t>
            </w:r>
            <w:proofErr w:type="gramStart"/>
            <w:r w:rsidRPr="00C1788C">
              <w:rPr>
                <w:rFonts w:hAnsi="標楷體" w:hint="eastAsia"/>
                <w:bCs/>
                <w:spacing w:val="-20"/>
                <w:sz w:val="28"/>
                <w:szCs w:val="28"/>
              </w:rPr>
              <w:t>之樂購蝦皮</w:t>
            </w:r>
            <w:proofErr w:type="gramEnd"/>
            <w:r w:rsidRPr="00C1788C">
              <w:rPr>
                <w:rFonts w:hAnsi="標楷體" w:hint="eastAsia"/>
                <w:bCs/>
                <w:spacing w:val="-20"/>
                <w:sz w:val="28"/>
                <w:szCs w:val="28"/>
              </w:rPr>
              <w:t>公司出資額5</w:t>
            </w:r>
            <w:r w:rsidRPr="00C1788C">
              <w:rPr>
                <w:rFonts w:hAnsi="標楷體"/>
                <w:bCs/>
                <w:spacing w:val="-20"/>
                <w:sz w:val="28"/>
                <w:szCs w:val="28"/>
              </w:rPr>
              <w:t>00</w:t>
            </w:r>
            <w:r w:rsidRPr="00C1788C">
              <w:rPr>
                <w:rFonts w:hAnsi="標楷體" w:hint="eastAsia"/>
                <w:bCs/>
                <w:spacing w:val="-20"/>
                <w:sz w:val="28"/>
                <w:szCs w:val="28"/>
              </w:rPr>
              <w:t>萬元</w:t>
            </w:r>
            <w:r w:rsidRPr="00C1788C">
              <w:rPr>
                <w:rStyle w:val="afe"/>
                <w:rFonts w:hAnsi="標楷體"/>
                <w:bCs/>
                <w:spacing w:val="-20"/>
                <w:sz w:val="28"/>
                <w:szCs w:val="28"/>
              </w:rPr>
              <w:footnoteReference w:id="5"/>
            </w:r>
            <w:r w:rsidRPr="00C1788C">
              <w:rPr>
                <w:rFonts w:hAnsi="標楷體" w:hint="eastAsia"/>
                <w:bCs/>
                <w:spacing w:val="-20"/>
                <w:sz w:val="28"/>
                <w:szCs w:val="28"/>
              </w:rPr>
              <w:t>。</w:t>
            </w:r>
          </w:p>
        </w:tc>
      </w:tr>
      <w:tr w:rsidR="009D6778" w:rsidRPr="00C1788C" w14:paraId="6EBC1BDC" w14:textId="77777777" w:rsidTr="00EE4465">
        <w:trPr>
          <w:trHeight w:val="340"/>
        </w:trPr>
        <w:tc>
          <w:tcPr>
            <w:tcW w:w="800" w:type="pct"/>
            <w:vAlign w:val="center"/>
          </w:tcPr>
          <w:p w14:paraId="469AA25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07.11.16</w:t>
            </w:r>
          </w:p>
        </w:tc>
        <w:tc>
          <w:tcPr>
            <w:tcW w:w="1043" w:type="pct"/>
            <w:vAlign w:val="center"/>
          </w:tcPr>
          <w:p w14:paraId="3553971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經審一字第2</w:t>
            </w:r>
            <w:r w:rsidRPr="00C1788C">
              <w:rPr>
                <w:rFonts w:hAnsi="標楷體"/>
                <w:bCs/>
                <w:spacing w:val="-20"/>
                <w:sz w:val="28"/>
                <w:szCs w:val="28"/>
              </w:rPr>
              <w:t>62080</w:t>
            </w:r>
            <w:r w:rsidRPr="00C1788C">
              <w:rPr>
                <w:rFonts w:hAnsi="標楷體" w:hint="eastAsia"/>
                <w:bCs/>
                <w:spacing w:val="-20"/>
                <w:sz w:val="28"/>
                <w:szCs w:val="28"/>
              </w:rPr>
              <w:t>號</w:t>
            </w:r>
          </w:p>
        </w:tc>
        <w:tc>
          <w:tcPr>
            <w:tcW w:w="3157" w:type="pct"/>
            <w:vAlign w:val="center"/>
          </w:tcPr>
          <w:p w14:paraId="62D8F86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函請新加坡商歡樂蝦皮公司補正：</w:t>
            </w:r>
          </w:p>
          <w:p w14:paraId="38BE11C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bCs/>
                <w:spacing w:val="-20"/>
                <w:sz w:val="28"/>
                <w:szCs w:val="28"/>
              </w:rPr>
              <w:t>上層股權架構</w:t>
            </w:r>
            <w:r w:rsidRPr="00C1788C">
              <w:rPr>
                <w:rFonts w:hAnsi="標楷體" w:hint="eastAsia"/>
                <w:bCs/>
                <w:spacing w:val="-20"/>
                <w:sz w:val="28"/>
                <w:szCs w:val="28"/>
              </w:rPr>
              <w:t>圖</w:t>
            </w:r>
            <w:r w:rsidRPr="00C1788C">
              <w:rPr>
                <w:rFonts w:hAnsi="標楷體"/>
                <w:bCs/>
                <w:spacing w:val="-20"/>
                <w:sz w:val="28"/>
                <w:szCs w:val="28"/>
              </w:rPr>
              <w:t>、資金來源、投資事業營運現況、</w:t>
            </w:r>
            <w:r w:rsidRPr="00C1788C">
              <w:rPr>
                <w:rFonts w:hAnsi="標楷體" w:hint="eastAsia"/>
                <w:bCs/>
                <w:spacing w:val="-20"/>
                <w:sz w:val="28"/>
                <w:szCs w:val="28"/>
              </w:rPr>
              <w:t>買賣合約</w:t>
            </w:r>
            <w:r w:rsidRPr="00C1788C">
              <w:rPr>
                <w:rFonts w:hAnsi="標楷體"/>
                <w:bCs/>
                <w:spacing w:val="-20"/>
                <w:sz w:val="28"/>
                <w:szCs w:val="28"/>
              </w:rPr>
              <w:t>、</w:t>
            </w:r>
            <w:r w:rsidRPr="00C1788C">
              <w:rPr>
                <w:rFonts w:hAnsi="標楷體" w:hint="eastAsia"/>
                <w:bCs/>
                <w:spacing w:val="-20"/>
                <w:sz w:val="28"/>
                <w:szCs w:val="28"/>
              </w:rPr>
              <w:t>與在</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分公司業務往來關係</w:t>
            </w:r>
            <w:r w:rsidRPr="00C1788C">
              <w:rPr>
                <w:rFonts w:hAnsi="標楷體"/>
                <w:bCs/>
                <w:spacing w:val="-20"/>
                <w:sz w:val="28"/>
                <w:szCs w:val="28"/>
              </w:rPr>
              <w:t>等</w:t>
            </w:r>
            <w:r w:rsidRPr="00C1788C">
              <w:rPr>
                <w:rFonts w:hAnsi="標楷體" w:hint="eastAsia"/>
                <w:bCs/>
                <w:spacing w:val="-20"/>
                <w:sz w:val="28"/>
                <w:szCs w:val="28"/>
              </w:rPr>
              <w:t>資料。</w:t>
            </w:r>
          </w:p>
        </w:tc>
      </w:tr>
      <w:tr w:rsidR="009D6778" w:rsidRPr="00C1788C" w14:paraId="02112B60" w14:textId="77777777" w:rsidTr="00EE4465">
        <w:trPr>
          <w:trHeight w:val="340"/>
        </w:trPr>
        <w:tc>
          <w:tcPr>
            <w:tcW w:w="800" w:type="pct"/>
            <w:vAlign w:val="center"/>
          </w:tcPr>
          <w:p w14:paraId="4185C5B3"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07.11.28</w:t>
            </w:r>
          </w:p>
        </w:tc>
        <w:tc>
          <w:tcPr>
            <w:tcW w:w="1043" w:type="pct"/>
            <w:vAlign w:val="center"/>
          </w:tcPr>
          <w:p w14:paraId="43FE4AC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協合字第2</w:t>
            </w:r>
            <w:r w:rsidRPr="00C1788C">
              <w:rPr>
                <w:rFonts w:hAnsi="標楷體"/>
                <w:bCs/>
                <w:spacing w:val="-20"/>
                <w:sz w:val="28"/>
                <w:szCs w:val="28"/>
              </w:rPr>
              <w:t>0181118</w:t>
            </w:r>
            <w:r w:rsidRPr="00C1788C">
              <w:rPr>
                <w:rFonts w:hAnsi="標楷體" w:hint="eastAsia"/>
                <w:bCs/>
                <w:spacing w:val="-20"/>
                <w:sz w:val="28"/>
                <w:szCs w:val="28"/>
              </w:rPr>
              <w:t>號</w:t>
            </w:r>
            <w:proofErr w:type="gramEnd"/>
          </w:p>
        </w:tc>
        <w:tc>
          <w:tcPr>
            <w:tcW w:w="3157" w:type="pct"/>
            <w:vAlign w:val="center"/>
          </w:tcPr>
          <w:p w14:paraId="0D86A91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歡樂蝦皮公司補正相關資料。</w:t>
            </w:r>
          </w:p>
        </w:tc>
      </w:tr>
      <w:tr w:rsidR="009D6778" w:rsidRPr="00C1788C" w14:paraId="23A505CA" w14:textId="77777777" w:rsidTr="00EE4465">
        <w:trPr>
          <w:trHeight w:val="340"/>
        </w:trPr>
        <w:tc>
          <w:tcPr>
            <w:tcW w:w="800" w:type="pct"/>
            <w:vAlign w:val="center"/>
          </w:tcPr>
          <w:p w14:paraId="67B9C3CF"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07.12.24</w:t>
            </w:r>
          </w:p>
        </w:tc>
        <w:tc>
          <w:tcPr>
            <w:tcW w:w="1043" w:type="pct"/>
            <w:vAlign w:val="center"/>
          </w:tcPr>
          <w:p w14:paraId="5C99D668"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經審一字第1</w:t>
            </w:r>
            <w:r w:rsidRPr="00C1788C">
              <w:rPr>
                <w:rFonts w:hAnsi="標楷體"/>
                <w:bCs/>
                <w:spacing w:val="-20"/>
                <w:sz w:val="28"/>
                <w:szCs w:val="28"/>
              </w:rPr>
              <w:t>0700262080</w:t>
            </w:r>
            <w:r w:rsidRPr="00C1788C">
              <w:rPr>
                <w:rFonts w:hAnsi="標楷體" w:hint="eastAsia"/>
                <w:bCs/>
                <w:spacing w:val="-20"/>
                <w:sz w:val="28"/>
                <w:szCs w:val="28"/>
              </w:rPr>
              <w:t>號</w:t>
            </w:r>
          </w:p>
        </w:tc>
        <w:tc>
          <w:tcPr>
            <w:tcW w:w="3157" w:type="pct"/>
            <w:vAlign w:val="center"/>
          </w:tcPr>
          <w:p w14:paraId="14C34E7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核准投資。</w:t>
            </w:r>
          </w:p>
        </w:tc>
      </w:tr>
      <w:tr w:rsidR="009D6778" w:rsidRPr="00C1788C" w14:paraId="2B966E4D" w14:textId="77777777" w:rsidTr="00EE4465">
        <w:trPr>
          <w:trHeight w:val="340"/>
        </w:trPr>
        <w:tc>
          <w:tcPr>
            <w:tcW w:w="800" w:type="pct"/>
          </w:tcPr>
          <w:p w14:paraId="0CDBEDD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13.5.30</w:t>
            </w:r>
          </w:p>
        </w:tc>
        <w:tc>
          <w:tcPr>
            <w:tcW w:w="1043" w:type="pct"/>
          </w:tcPr>
          <w:p w14:paraId="6C3F908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
        </w:tc>
        <w:tc>
          <w:tcPr>
            <w:tcW w:w="3157" w:type="pct"/>
          </w:tcPr>
          <w:p w14:paraId="5D98022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新加坡商蝦皮娛樂公司申請增加</w:t>
            </w:r>
            <w:proofErr w:type="gramStart"/>
            <w:r w:rsidRPr="00C1788C">
              <w:rPr>
                <w:rFonts w:hAnsi="標楷體" w:hint="eastAsia"/>
                <w:bCs/>
                <w:spacing w:val="-20"/>
                <w:sz w:val="28"/>
                <w:szCs w:val="28"/>
              </w:rPr>
              <w:t>投資樂購蝦皮</w:t>
            </w:r>
            <w:proofErr w:type="gramEnd"/>
            <w:r w:rsidRPr="00C1788C">
              <w:rPr>
                <w:rFonts w:hAnsi="標楷體" w:hint="eastAsia"/>
                <w:bCs/>
                <w:spacing w:val="-20"/>
                <w:sz w:val="28"/>
                <w:szCs w:val="28"/>
              </w:rPr>
              <w:t>公司4</w:t>
            </w:r>
            <w:r w:rsidRPr="00C1788C">
              <w:rPr>
                <w:rFonts w:hAnsi="標楷體"/>
                <w:bCs/>
                <w:spacing w:val="-20"/>
                <w:sz w:val="28"/>
                <w:szCs w:val="28"/>
              </w:rPr>
              <w:t>.9</w:t>
            </w:r>
            <w:r w:rsidRPr="00C1788C">
              <w:rPr>
                <w:rFonts w:hAnsi="標楷體" w:hint="eastAsia"/>
                <w:bCs/>
                <w:spacing w:val="-20"/>
                <w:sz w:val="28"/>
                <w:szCs w:val="28"/>
              </w:rPr>
              <w:t>5億元。</w:t>
            </w:r>
          </w:p>
        </w:tc>
      </w:tr>
      <w:tr w:rsidR="009D6778" w:rsidRPr="00C1788C" w14:paraId="3EA779B9" w14:textId="77777777" w:rsidTr="00EE4465">
        <w:trPr>
          <w:trHeight w:val="340"/>
        </w:trPr>
        <w:tc>
          <w:tcPr>
            <w:tcW w:w="800" w:type="pct"/>
          </w:tcPr>
          <w:p w14:paraId="4512504C"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13.6.12</w:t>
            </w:r>
          </w:p>
        </w:tc>
        <w:tc>
          <w:tcPr>
            <w:tcW w:w="1043" w:type="pct"/>
          </w:tcPr>
          <w:p w14:paraId="6A9F42A8"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w:t>
            </w:r>
            <w:r w:rsidRPr="00C1788C">
              <w:rPr>
                <w:rFonts w:hAnsi="標楷體"/>
                <w:bCs/>
                <w:spacing w:val="-20"/>
                <w:sz w:val="28"/>
                <w:szCs w:val="28"/>
              </w:rPr>
              <w:t>11320128111</w:t>
            </w:r>
            <w:r w:rsidRPr="00C1788C">
              <w:rPr>
                <w:rFonts w:hAnsi="標楷體" w:hint="eastAsia"/>
                <w:bCs/>
                <w:spacing w:val="-20"/>
                <w:sz w:val="28"/>
                <w:szCs w:val="28"/>
              </w:rPr>
              <w:t>號</w:t>
            </w:r>
          </w:p>
        </w:tc>
        <w:tc>
          <w:tcPr>
            <w:tcW w:w="3157" w:type="pct"/>
          </w:tcPr>
          <w:p w14:paraId="7ACD191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函請蝦皮娛樂公司補正：</w:t>
            </w:r>
          </w:p>
          <w:p w14:paraId="2947B2E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bCs/>
                <w:spacing w:val="-20"/>
                <w:sz w:val="28"/>
                <w:szCs w:val="28"/>
              </w:rPr>
              <w:t>上層</w:t>
            </w:r>
            <w:r w:rsidRPr="00C1788C">
              <w:rPr>
                <w:rFonts w:hAnsi="標楷體" w:hint="eastAsia"/>
                <w:bCs/>
                <w:spacing w:val="-20"/>
                <w:sz w:val="28"/>
                <w:szCs w:val="28"/>
              </w:rPr>
              <w:t>實質受益人</w:t>
            </w:r>
            <w:r w:rsidRPr="00C1788C">
              <w:rPr>
                <w:rFonts w:hAnsi="標楷體"/>
                <w:bCs/>
                <w:spacing w:val="-20"/>
                <w:sz w:val="28"/>
                <w:szCs w:val="28"/>
              </w:rPr>
              <w:t>、資金來源、</w:t>
            </w:r>
            <w:r w:rsidRPr="00C1788C">
              <w:rPr>
                <w:rFonts w:hAnsi="標楷體" w:hint="eastAsia"/>
                <w:bCs/>
                <w:spacing w:val="-20"/>
                <w:sz w:val="28"/>
                <w:szCs w:val="28"/>
              </w:rPr>
              <w:t>在</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投資架構圖</w:t>
            </w:r>
            <w:r w:rsidRPr="00C1788C">
              <w:rPr>
                <w:rFonts w:hAnsi="標楷體"/>
                <w:bCs/>
                <w:spacing w:val="-20"/>
                <w:sz w:val="28"/>
                <w:szCs w:val="28"/>
              </w:rPr>
              <w:t>、</w:t>
            </w:r>
            <w:r w:rsidRPr="00C1788C">
              <w:rPr>
                <w:rFonts w:hAnsi="標楷體" w:hint="eastAsia"/>
                <w:bCs/>
                <w:spacing w:val="-20"/>
                <w:sz w:val="28"/>
                <w:szCs w:val="28"/>
              </w:rPr>
              <w:t>出具</w:t>
            </w:r>
            <w:proofErr w:type="gramStart"/>
            <w:r w:rsidRPr="00C1788C">
              <w:rPr>
                <w:rFonts w:hAnsi="標楷體" w:hint="eastAsia"/>
                <w:bCs/>
                <w:spacing w:val="-20"/>
                <w:sz w:val="28"/>
                <w:szCs w:val="28"/>
              </w:rPr>
              <w:t>非屬陸資</w:t>
            </w:r>
            <w:proofErr w:type="gramEnd"/>
            <w:r w:rsidRPr="00C1788C">
              <w:rPr>
                <w:rFonts w:hAnsi="標楷體" w:hint="eastAsia"/>
                <w:bCs/>
                <w:spacing w:val="-20"/>
                <w:sz w:val="28"/>
                <w:szCs w:val="28"/>
              </w:rPr>
              <w:t>之特殊目的查核報告</w:t>
            </w:r>
            <w:r w:rsidRPr="00C1788C">
              <w:rPr>
                <w:rFonts w:hAnsi="標楷體"/>
                <w:bCs/>
                <w:spacing w:val="-20"/>
                <w:sz w:val="28"/>
                <w:szCs w:val="28"/>
              </w:rPr>
              <w:t>等</w:t>
            </w:r>
            <w:r w:rsidRPr="00C1788C">
              <w:rPr>
                <w:rFonts w:hAnsi="標楷體" w:hint="eastAsia"/>
                <w:bCs/>
                <w:spacing w:val="-20"/>
                <w:sz w:val="28"/>
                <w:szCs w:val="28"/>
              </w:rPr>
              <w:t>資料。</w:t>
            </w:r>
          </w:p>
        </w:tc>
      </w:tr>
      <w:tr w:rsidR="009D6778" w:rsidRPr="00C1788C" w14:paraId="53B381C4" w14:textId="77777777" w:rsidTr="00EE4465">
        <w:trPr>
          <w:trHeight w:val="340"/>
        </w:trPr>
        <w:tc>
          <w:tcPr>
            <w:tcW w:w="800" w:type="pct"/>
          </w:tcPr>
          <w:p w14:paraId="39F5895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13.7.1</w:t>
            </w:r>
          </w:p>
          <w:p w14:paraId="1BA1E3D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13.7.10</w:t>
            </w:r>
          </w:p>
        </w:tc>
        <w:tc>
          <w:tcPr>
            <w:tcW w:w="1043" w:type="pct"/>
          </w:tcPr>
          <w:p w14:paraId="2CAE427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
        </w:tc>
        <w:tc>
          <w:tcPr>
            <w:tcW w:w="3157" w:type="pct"/>
          </w:tcPr>
          <w:p w14:paraId="34379748"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蝦皮娛樂公司補正相關資料。</w:t>
            </w:r>
          </w:p>
        </w:tc>
      </w:tr>
      <w:tr w:rsidR="009D6778" w:rsidRPr="00C1788C" w14:paraId="6A96B688" w14:textId="77777777" w:rsidTr="00EE4465">
        <w:trPr>
          <w:trHeight w:val="340"/>
        </w:trPr>
        <w:tc>
          <w:tcPr>
            <w:tcW w:w="800" w:type="pct"/>
          </w:tcPr>
          <w:p w14:paraId="2886298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13.7.18</w:t>
            </w:r>
          </w:p>
        </w:tc>
        <w:tc>
          <w:tcPr>
            <w:tcW w:w="1043" w:type="pct"/>
          </w:tcPr>
          <w:p w14:paraId="3DF3D40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w:t>
            </w:r>
            <w:r w:rsidRPr="00C1788C">
              <w:rPr>
                <w:rFonts w:hAnsi="標楷體"/>
                <w:bCs/>
                <w:spacing w:val="-20"/>
                <w:sz w:val="28"/>
                <w:szCs w:val="28"/>
              </w:rPr>
              <w:t>11320128112</w:t>
            </w:r>
            <w:r w:rsidRPr="00C1788C">
              <w:rPr>
                <w:rFonts w:hAnsi="標楷體" w:hint="eastAsia"/>
                <w:bCs/>
                <w:spacing w:val="-20"/>
                <w:sz w:val="28"/>
                <w:szCs w:val="28"/>
              </w:rPr>
              <w:t>號</w:t>
            </w:r>
          </w:p>
        </w:tc>
        <w:tc>
          <w:tcPr>
            <w:tcW w:w="3157" w:type="pct"/>
          </w:tcPr>
          <w:p w14:paraId="4E1A8615" w14:textId="00BBC540"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函請陸委會</w:t>
            </w:r>
            <w:r w:rsidRPr="00C1788C">
              <w:rPr>
                <w:rFonts w:hAnsi="標楷體"/>
                <w:bCs/>
                <w:spacing w:val="-20"/>
                <w:sz w:val="28"/>
                <w:szCs w:val="28"/>
              </w:rPr>
              <w:t>、</w:t>
            </w:r>
            <w:r w:rsidRPr="00C1788C">
              <w:rPr>
                <w:rFonts w:hAnsi="標楷體" w:hint="eastAsia"/>
                <w:bCs/>
                <w:spacing w:val="-20"/>
                <w:sz w:val="28"/>
                <w:szCs w:val="28"/>
              </w:rPr>
              <w:t>國安局</w:t>
            </w:r>
            <w:r w:rsidRPr="00C1788C">
              <w:rPr>
                <w:rFonts w:hAnsi="標楷體"/>
                <w:bCs/>
                <w:spacing w:val="-20"/>
                <w:sz w:val="28"/>
                <w:szCs w:val="28"/>
              </w:rPr>
              <w:t>、</w:t>
            </w:r>
            <w:r w:rsidRPr="00C1788C">
              <w:rPr>
                <w:rFonts w:hAnsi="標楷體" w:hint="eastAsia"/>
                <w:bCs/>
                <w:spacing w:val="-20"/>
                <w:sz w:val="28"/>
                <w:szCs w:val="28"/>
              </w:rPr>
              <w:t>金管會</w:t>
            </w:r>
            <w:r w:rsidRPr="00C1788C">
              <w:rPr>
                <w:rFonts w:hAnsi="標楷體"/>
                <w:bCs/>
                <w:spacing w:val="-20"/>
                <w:sz w:val="28"/>
                <w:szCs w:val="28"/>
              </w:rPr>
              <w:t>、</w:t>
            </w:r>
            <w:r w:rsidRPr="00C1788C">
              <w:rPr>
                <w:rFonts w:hAnsi="標楷體" w:hint="eastAsia"/>
                <w:bCs/>
                <w:spacing w:val="-20"/>
                <w:sz w:val="28"/>
                <w:szCs w:val="28"/>
              </w:rPr>
              <w:t>數發</w:t>
            </w:r>
            <w:proofErr w:type="gramStart"/>
            <w:r w:rsidRPr="00C1788C">
              <w:rPr>
                <w:rFonts w:hAnsi="標楷體" w:hint="eastAsia"/>
                <w:bCs/>
                <w:spacing w:val="-20"/>
                <w:sz w:val="28"/>
                <w:szCs w:val="28"/>
              </w:rPr>
              <w:t>部及該部商發署</w:t>
            </w:r>
            <w:proofErr w:type="gramEnd"/>
            <w:r w:rsidRPr="00C1788C">
              <w:rPr>
                <w:rFonts w:hAnsi="標楷體" w:hint="eastAsia"/>
                <w:bCs/>
                <w:spacing w:val="-20"/>
                <w:sz w:val="28"/>
                <w:szCs w:val="28"/>
              </w:rPr>
              <w:t>進行審查。</w:t>
            </w:r>
          </w:p>
        </w:tc>
      </w:tr>
      <w:tr w:rsidR="009D6778" w:rsidRPr="00C1788C" w14:paraId="12290151" w14:textId="77777777" w:rsidTr="00EE4465">
        <w:trPr>
          <w:trHeight w:val="340"/>
        </w:trPr>
        <w:tc>
          <w:tcPr>
            <w:tcW w:w="800" w:type="pct"/>
          </w:tcPr>
          <w:p w14:paraId="32E5769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13.8.8</w:t>
            </w:r>
          </w:p>
        </w:tc>
        <w:tc>
          <w:tcPr>
            <w:tcW w:w="1043" w:type="pct"/>
          </w:tcPr>
          <w:p w14:paraId="280464D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數授產經字</w:t>
            </w:r>
            <w:proofErr w:type="gramEnd"/>
            <w:r w:rsidRPr="00C1788C">
              <w:rPr>
                <w:rFonts w:hAnsi="標楷體" w:hint="eastAsia"/>
                <w:bCs/>
                <w:spacing w:val="-20"/>
                <w:sz w:val="28"/>
                <w:szCs w:val="28"/>
              </w:rPr>
              <w:t>第1</w:t>
            </w:r>
            <w:r w:rsidRPr="00C1788C">
              <w:rPr>
                <w:rFonts w:hAnsi="標楷體"/>
                <w:bCs/>
                <w:spacing w:val="-20"/>
                <w:sz w:val="28"/>
                <w:szCs w:val="28"/>
              </w:rPr>
              <w:t>130006118</w:t>
            </w:r>
            <w:r w:rsidRPr="00C1788C">
              <w:rPr>
                <w:rFonts w:hAnsi="標楷體" w:hint="eastAsia"/>
                <w:bCs/>
                <w:spacing w:val="-20"/>
                <w:sz w:val="28"/>
                <w:szCs w:val="28"/>
              </w:rPr>
              <w:t>號</w:t>
            </w:r>
          </w:p>
        </w:tc>
        <w:tc>
          <w:tcPr>
            <w:tcW w:w="3157" w:type="pct"/>
          </w:tcPr>
          <w:p w14:paraId="4B9E477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數發部回復，國內公司</w:t>
            </w:r>
            <w:proofErr w:type="gramStart"/>
            <w:r w:rsidRPr="00C1788C">
              <w:rPr>
                <w:rFonts w:hAnsi="標楷體" w:hint="eastAsia"/>
                <w:bCs/>
                <w:spacing w:val="-20"/>
                <w:sz w:val="28"/>
                <w:szCs w:val="28"/>
              </w:rPr>
              <w:t>個</w:t>
            </w:r>
            <w:proofErr w:type="gramEnd"/>
            <w:r w:rsidRPr="00C1788C">
              <w:rPr>
                <w:rFonts w:hAnsi="標楷體" w:hint="eastAsia"/>
                <w:bCs/>
                <w:spacing w:val="-20"/>
                <w:sz w:val="28"/>
                <w:szCs w:val="28"/>
              </w:rPr>
              <w:t>資維護計畫尚無違反規定，有關申請人增加投資原投資</w:t>
            </w:r>
            <w:proofErr w:type="gramStart"/>
            <w:r w:rsidRPr="00C1788C">
              <w:rPr>
                <w:rFonts w:hAnsi="標楷體" w:hint="eastAsia"/>
                <w:bCs/>
                <w:spacing w:val="-20"/>
                <w:sz w:val="28"/>
                <w:szCs w:val="28"/>
              </w:rPr>
              <w:t>事業樂購蝦皮</w:t>
            </w:r>
            <w:proofErr w:type="gramEnd"/>
            <w:r w:rsidRPr="00C1788C">
              <w:rPr>
                <w:rFonts w:hAnsi="標楷體" w:hint="eastAsia"/>
                <w:bCs/>
                <w:spacing w:val="-20"/>
                <w:sz w:val="28"/>
                <w:szCs w:val="28"/>
              </w:rPr>
              <w:t>公司一案，無意見。</w:t>
            </w:r>
          </w:p>
        </w:tc>
      </w:tr>
      <w:tr w:rsidR="009D6778" w:rsidRPr="00C1788C" w14:paraId="73CBBA81" w14:textId="77777777" w:rsidTr="00EE4465">
        <w:trPr>
          <w:trHeight w:val="340"/>
        </w:trPr>
        <w:tc>
          <w:tcPr>
            <w:tcW w:w="800" w:type="pct"/>
          </w:tcPr>
          <w:p w14:paraId="4A244CC7"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13.8.9</w:t>
            </w:r>
          </w:p>
        </w:tc>
        <w:tc>
          <w:tcPr>
            <w:tcW w:w="1043" w:type="pct"/>
          </w:tcPr>
          <w:p w14:paraId="6DA24BA7"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字第1</w:t>
            </w:r>
            <w:r w:rsidRPr="00C1788C">
              <w:rPr>
                <w:rFonts w:hAnsi="標楷體"/>
                <w:bCs/>
                <w:spacing w:val="-20"/>
                <w:sz w:val="28"/>
                <w:szCs w:val="28"/>
              </w:rPr>
              <w:t>1320128113</w:t>
            </w:r>
            <w:r w:rsidRPr="00C1788C">
              <w:rPr>
                <w:rFonts w:hAnsi="標楷體" w:hint="eastAsia"/>
                <w:bCs/>
                <w:spacing w:val="-20"/>
                <w:sz w:val="28"/>
                <w:szCs w:val="28"/>
              </w:rPr>
              <w:t>號</w:t>
            </w:r>
          </w:p>
        </w:tc>
        <w:tc>
          <w:tcPr>
            <w:tcW w:w="3157" w:type="pct"/>
          </w:tcPr>
          <w:p w14:paraId="063D2BF3"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函請外交部及內政部移民署等進行審查。</w:t>
            </w:r>
          </w:p>
        </w:tc>
      </w:tr>
      <w:tr w:rsidR="009D6778" w:rsidRPr="00C1788C" w14:paraId="73EBCDFF" w14:textId="77777777" w:rsidTr="00EE4465">
        <w:trPr>
          <w:trHeight w:val="340"/>
        </w:trPr>
        <w:tc>
          <w:tcPr>
            <w:tcW w:w="800" w:type="pct"/>
          </w:tcPr>
          <w:p w14:paraId="69BECDA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13.8.14</w:t>
            </w:r>
          </w:p>
        </w:tc>
        <w:tc>
          <w:tcPr>
            <w:tcW w:w="1043" w:type="pct"/>
          </w:tcPr>
          <w:p w14:paraId="57E4D4B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陸經字</w:t>
            </w:r>
            <w:proofErr w:type="gramEnd"/>
            <w:r w:rsidRPr="00C1788C">
              <w:rPr>
                <w:rFonts w:hAnsi="標楷體" w:hint="eastAsia"/>
                <w:bCs/>
                <w:spacing w:val="-20"/>
                <w:sz w:val="28"/>
                <w:szCs w:val="28"/>
              </w:rPr>
              <w:t>第1</w:t>
            </w:r>
            <w:r w:rsidRPr="00C1788C">
              <w:rPr>
                <w:rFonts w:hAnsi="標楷體"/>
                <w:bCs/>
                <w:spacing w:val="-20"/>
                <w:sz w:val="28"/>
                <w:szCs w:val="28"/>
              </w:rPr>
              <w:t>130003242</w:t>
            </w:r>
            <w:r w:rsidRPr="00C1788C">
              <w:rPr>
                <w:rFonts w:hAnsi="標楷體" w:hint="eastAsia"/>
                <w:bCs/>
                <w:spacing w:val="-20"/>
                <w:sz w:val="28"/>
                <w:szCs w:val="28"/>
              </w:rPr>
              <w:t>號</w:t>
            </w:r>
          </w:p>
        </w:tc>
        <w:tc>
          <w:tcPr>
            <w:tcW w:w="3157" w:type="pct"/>
          </w:tcPr>
          <w:p w14:paraId="00C04D4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陸委會回復如下：</w:t>
            </w:r>
          </w:p>
          <w:p w14:paraId="6C61D231" w14:textId="619A4F8A" w:rsidR="009D6778" w:rsidRPr="00BA164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1.</w:t>
            </w:r>
            <w:r w:rsidR="009D6778" w:rsidRPr="00BA164C">
              <w:rPr>
                <w:rFonts w:hAnsi="標楷體" w:hint="eastAsia"/>
                <w:bCs/>
                <w:spacing w:val="-20"/>
                <w:sz w:val="28"/>
                <w:szCs w:val="28"/>
              </w:rPr>
              <w:t>申請人是否屬陸資投資人，請依陸資許可辦法規定審認。</w:t>
            </w:r>
          </w:p>
          <w:p w14:paraId="7FC9987C" w14:textId="6FB73632" w:rsidR="009D6778" w:rsidRPr="00BA164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2.</w:t>
            </w:r>
            <w:r w:rsidR="009D6778" w:rsidRPr="00BA164C">
              <w:rPr>
                <w:rFonts w:hAnsi="標楷體" w:hint="eastAsia"/>
                <w:bCs/>
                <w:spacing w:val="-20"/>
                <w:sz w:val="28"/>
                <w:szCs w:val="28"/>
              </w:rPr>
              <w:t>有關申請人最終控股母公司之董事李小冬</w:t>
            </w:r>
            <w:r w:rsidR="009D6778" w:rsidRPr="00BA164C">
              <w:rPr>
                <w:rFonts w:hAnsi="標楷體"/>
                <w:bCs/>
                <w:spacing w:val="-20"/>
                <w:sz w:val="28"/>
                <w:szCs w:val="28"/>
              </w:rPr>
              <w:t>Forrest Li</w:t>
            </w:r>
            <w:r w:rsidR="009D6778" w:rsidRPr="00BA164C">
              <w:rPr>
                <w:rFonts w:hAnsi="標楷體" w:hint="eastAsia"/>
                <w:bCs/>
                <w:spacing w:val="-20"/>
                <w:sz w:val="28"/>
                <w:szCs w:val="28"/>
              </w:rPr>
              <w:t>之身分是否為新加坡人民，請</w:t>
            </w:r>
            <w:proofErr w:type="gramStart"/>
            <w:r w:rsidR="009D6778" w:rsidRPr="00BA164C">
              <w:rPr>
                <w:rFonts w:hAnsi="標楷體" w:hint="eastAsia"/>
                <w:bCs/>
                <w:spacing w:val="-20"/>
                <w:sz w:val="28"/>
                <w:szCs w:val="28"/>
              </w:rPr>
              <w:t>併</w:t>
            </w:r>
            <w:proofErr w:type="gramEnd"/>
            <w:r w:rsidR="009D6778" w:rsidRPr="00BA164C">
              <w:rPr>
                <w:rFonts w:hAnsi="標楷體" w:hint="eastAsia"/>
                <w:bCs/>
                <w:spacing w:val="-20"/>
                <w:sz w:val="28"/>
                <w:szCs w:val="28"/>
              </w:rPr>
              <w:t>洽內政部移民署意見。</w:t>
            </w:r>
          </w:p>
        </w:tc>
      </w:tr>
      <w:tr w:rsidR="009D6778" w:rsidRPr="00C1788C" w14:paraId="1F46C3BC" w14:textId="77777777" w:rsidTr="00EE4465">
        <w:trPr>
          <w:trHeight w:val="340"/>
        </w:trPr>
        <w:tc>
          <w:tcPr>
            <w:tcW w:w="800" w:type="pct"/>
          </w:tcPr>
          <w:p w14:paraId="384AA0B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lastRenderedPageBreak/>
              <w:t>1</w:t>
            </w:r>
            <w:r w:rsidRPr="00C1788C">
              <w:rPr>
                <w:rFonts w:hAnsi="標楷體"/>
                <w:bCs/>
                <w:spacing w:val="-20"/>
                <w:sz w:val="28"/>
                <w:szCs w:val="28"/>
              </w:rPr>
              <w:t>13.8.14</w:t>
            </w:r>
          </w:p>
        </w:tc>
        <w:tc>
          <w:tcPr>
            <w:tcW w:w="1043" w:type="pct"/>
          </w:tcPr>
          <w:p w14:paraId="2203F6F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外授領</w:t>
            </w:r>
            <w:proofErr w:type="gramEnd"/>
            <w:r w:rsidRPr="00C1788C">
              <w:rPr>
                <w:rFonts w:hAnsi="標楷體" w:hint="eastAsia"/>
                <w:bCs/>
                <w:spacing w:val="-20"/>
                <w:sz w:val="28"/>
                <w:szCs w:val="28"/>
              </w:rPr>
              <w:t>二字第1</w:t>
            </w:r>
            <w:r w:rsidRPr="00C1788C">
              <w:rPr>
                <w:rFonts w:hAnsi="標楷體"/>
                <w:bCs/>
                <w:spacing w:val="-20"/>
                <w:sz w:val="28"/>
                <w:szCs w:val="28"/>
              </w:rPr>
              <w:t>135120718</w:t>
            </w:r>
            <w:r w:rsidRPr="00C1788C">
              <w:rPr>
                <w:rFonts w:hAnsi="標楷體" w:hint="eastAsia"/>
                <w:bCs/>
                <w:spacing w:val="-20"/>
                <w:sz w:val="28"/>
                <w:szCs w:val="28"/>
              </w:rPr>
              <w:t>號</w:t>
            </w:r>
          </w:p>
        </w:tc>
        <w:tc>
          <w:tcPr>
            <w:tcW w:w="3157" w:type="pct"/>
          </w:tcPr>
          <w:p w14:paraId="0D26A9A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外交部回復略</w:t>
            </w:r>
            <w:proofErr w:type="gramStart"/>
            <w:r w:rsidRPr="00C1788C">
              <w:rPr>
                <w:rFonts w:hAnsi="標楷體" w:hint="eastAsia"/>
                <w:bCs/>
                <w:spacing w:val="-20"/>
                <w:sz w:val="28"/>
                <w:szCs w:val="28"/>
              </w:rPr>
              <w:t>以</w:t>
            </w:r>
            <w:proofErr w:type="gramEnd"/>
            <w:r w:rsidRPr="00C1788C">
              <w:rPr>
                <w:rFonts w:hAnsi="標楷體" w:hint="eastAsia"/>
                <w:bCs/>
                <w:spacing w:val="-20"/>
                <w:sz w:val="28"/>
                <w:szCs w:val="28"/>
              </w:rPr>
              <w:t>：領事事務局現存無新加坡籍人士Forrest Li</w:t>
            </w:r>
            <w:r w:rsidRPr="00C1788C">
              <w:rPr>
                <w:rFonts w:hAnsi="標楷體"/>
                <w:bCs/>
                <w:spacing w:val="-20"/>
                <w:sz w:val="28"/>
                <w:szCs w:val="28"/>
              </w:rPr>
              <w:t>(李小冬)申請來</w:t>
            </w:r>
            <w:proofErr w:type="gramStart"/>
            <w:r w:rsidRPr="00C1788C">
              <w:rPr>
                <w:rFonts w:hAnsi="標楷體"/>
                <w:bCs/>
                <w:spacing w:val="-20"/>
                <w:sz w:val="28"/>
                <w:szCs w:val="28"/>
              </w:rPr>
              <w:t>臺</w:t>
            </w:r>
            <w:proofErr w:type="gramEnd"/>
            <w:r w:rsidRPr="00C1788C">
              <w:rPr>
                <w:rFonts w:hAnsi="標楷體"/>
                <w:bCs/>
                <w:spacing w:val="-20"/>
                <w:sz w:val="28"/>
                <w:szCs w:val="28"/>
              </w:rPr>
              <w:t>紀錄</w:t>
            </w:r>
            <w:r w:rsidRPr="00C1788C">
              <w:rPr>
                <w:rFonts w:hAnsi="標楷體" w:hint="eastAsia"/>
                <w:bCs/>
                <w:spacing w:val="-20"/>
                <w:sz w:val="28"/>
                <w:szCs w:val="28"/>
              </w:rPr>
              <w:t>，</w:t>
            </w:r>
            <w:proofErr w:type="gramStart"/>
            <w:r w:rsidRPr="00C1788C">
              <w:rPr>
                <w:rFonts w:hAnsi="標楷體" w:hint="eastAsia"/>
                <w:bCs/>
                <w:spacing w:val="-20"/>
                <w:sz w:val="28"/>
                <w:szCs w:val="28"/>
              </w:rPr>
              <w:t>爰</w:t>
            </w:r>
            <w:proofErr w:type="gramEnd"/>
            <w:r w:rsidRPr="00C1788C">
              <w:rPr>
                <w:rFonts w:hAnsi="標楷體" w:hint="eastAsia"/>
                <w:bCs/>
                <w:spacing w:val="-20"/>
                <w:sz w:val="28"/>
                <w:szCs w:val="28"/>
              </w:rPr>
              <w:t>無法據以查悉其申請簽證資料。</w:t>
            </w:r>
            <w:proofErr w:type="gramStart"/>
            <w:r w:rsidRPr="00C1788C">
              <w:rPr>
                <w:rFonts w:hAnsi="標楷體" w:hint="eastAsia"/>
                <w:bCs/>
                <w:spacing w:val="-20"/>
                <w:sz w:val="28"/>
                <w:szCs w:val="28"/>
              </w:rPr>
              <w:t>至渠是否</w:t>
            </w:r>
            <w:proofErr w:type="gramEnd"/>
            <w:r w:rsidRPr="00C1788C">
              <w:rPr>
                <w:rFonts w:hAnsi="標楷體" w:hint="eastAsia"/>
                <w:bCs/>
                <w:spacing w:val="-20"/>
                <w:sz w:val="28"/>
                <w:szCs w:val="28"/>
              </w:rPr>
              <w:t>已</w:t>
            </w:r>
            <w:proofErr w:type="gramStart"/>
            <w:r w:rsidRPr="00C1788C">
              <w:rPr>
                <w:rFonts w:hAnsi="標楷體" w:hint="eastAsia"/>
                <w:bCs/>
                <w:spacing w:val="-20"/>
                <w:sz w:val="28"/>
                <w:szCs w:val="28"/>
              </w:rPr>
              <w:t>符陸裔</w:t>
            </w:r>
            <w:proofErr w:type="gramEnd"/>
            <w:r w:rsidRPr="00C1788C">
              <w:rPr>
                <w:rFonts w:hAnsi="標楷體" w:hint="eastAsia"/>
                <w:bCs/>
                <w:spacing w:val="-20"/>
                <w:sz w:val="28"/>
                <w:szCs w:val="28"/>
              </w:rPr>
              <w:t>人士已旅居海外</w:t>
            </w:r>
            <w:r w:rsidRPr="00C1788C">
              <w:rPr>
                <w:rFonts w:hAnsi="標楷體"/>
                <w:bCs/>
                <w:spacing w:val="-20"/>
                <w:sz w:val="28"/>
                <w:szCs w:val="28"/>
              </w:rPr>
              <w:t>4年及取得外籍護照得以外籍人士申請，尊重內政部移民署</w:t>
            </w:r>
            <w:r w:rsidRPr="00C1788C">
              <w:rPr>
                <w:rFonts w:hAnsi="標楷體" w:hint="eastAsia"/>
                <w:bCs/>
                <w:spacing w:val="-20"/>
                <w:sz w:val="28"/>
                <w:szCs w:val="28"/>
              </w:rPr>
              <w:t>及</w:t>
            </w:r>
            <w:proofErr w:type="gramStart"/>
            <w:r w:rsidRPr="00C1788C">
              <w:rPr>
                <w:rFonts w:hAnsi="標楷體" w:hint="eastAsia"/>
                <w:bCs/>
                <w:spacing w:val="-20"/>
                <w:sz w:val="28"/>
                <w:szCs w:val="28"/>
              </w:rPr>
              <w:t>投審司審核</w:t>
            </w:r>
            <w:proofErr w:type="gramEnd"/>
            <w:r w:rsidRPr="00C1788C">
              <w:rPr>
                <w:rFonts w:hAnsi="標楷體" w:hint="eastAsia"/>
                <w:bCs/>
                <w:spacing w:val="-20"/>
                <w:sz w:val="28"/>
                <w:szCs w:val="28"/>
              </w:rPr>
              <w:t>。</w:t>
            </w:r>
          </w:p>
        </w:tc>
      </w:tr>
      <w:tr w:rsidR="009D6778" w:rsidRPr="00C1788C" w14:paraId="1F8D209A" w14:textId="77777777" w:rsidTr="00EE4465">
        <w:trPr>
          <w:trHeight w:val="340"/>
        </w:trPr>
        <w:tc>
          <w:tcPr>
            <w:tcW w:w="800" w:type="pct"/>
          </w:tcPr>
          <w:p w14:paraId="78CFBDE3"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13.8.19</w:t>
            </w:r>
          </w:p>
        </w:tc>
        <w:tc>
          <w:tcPr>
            <w:tcW w:w="1043" w:type="pct"/>
          </w:tcPr>
          <w:p w14:paraId="54B4AF5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移署移字</w:t>
            </w:r>
            <w:proofErr w:type="gramEnd"/>
            <w:r w:rsidRPr="00C1788C">
              <w:rPr>
                <w:rFonts w:hAnsi="標楷體" w:hint="eastAsia"/>
                <w:bCs/>
                <w:spacing w:val="-20"/>
                <w:sz w:val="28"/>
                <w:szCs w:val="28"/>
              </w:rPr>
              <w:t>第1</w:t>
            </w:r>
            <w:r w:rsidRPr="00C1788C">
              <w:rPr>
                <w:rFonts w:hAnsi="標楷體"/>
                <w:bCs/>
                <w:spacing w:val="-20"/>
                <w:sz w:val="28"/>
                <w:szCs w:val="28"/>
              </w:rPr>
              <w:t>130096295</w:t>
            </w:r>
            <w:r w:rsidRPr="00C1788C">
              <w:rPr>
                <w:rFonts w:hAnsi="標楷體" w:hint="eastAsia"/>
                <w:bCs/>
                <w:spacing w:val="-20"/>
                <w:sz w:val="28"/>
                <w:szCs w:val="28"/>
              </w:rPr>
              <w:t>號</w:t>
            </w:r>
          </w:p>
        </w:tc>
        <w:tc>
          <w:tcPr>
            <w:tcW w:w="3157" w:type="pct"/>
          </w:tcPr>
          <w:p w14:paraId="32B6880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內政部移民署回復略</w:t>
            </w:r>
            <w:proofErr w:type="gramStart"/>
            <w:r w:rsidRPr="00C1788C">
              <w:rPr>
                <w:rFonts w:hAnsi="標楷體" w:hint="eastAsia"/>
                <w:bCs/>
                <w:spacing w:val="-20"/>
                <w:sz w:val="28"/>
                <w:szCs w:val="28"/>
              </w:rPr>
              <w:t>以</w:t>
            </w:r>
            <w:proofErr w:type="gramEnd"/>
            <w:r w:rsidRPr="00C1788C">
              <w:rPr>
                <w:rFonts w:hAnsi="標楷體" w:hint="eastAsia"/>
                <w:bCs/>
                <w:spacing w:val="-20"/>
                <w:sz w:val="28"/>
                <w:szCs w:val="28"/>
              </w:rPr>
              <w:t>，</w:t>
            </w:r>
            <w:proofErr w:type="gramStart"/>
            <w:r w:rsidRPr="00C1788C">
              <w:rPr>
                <w:rFonts w:hAnsi="標楷體" w:hint="eastAsia"/>
                <w:bCs/>
                <w:spacing w:val="-20"/>
                <w:sz w:val="28"/>
                <w:szCs w:val="28"/>
              </w:rPr>
              <w:t>依案附資料</w:t>
            </w:r>
            <w:proofErr w:type="gramEnd"/>
            <w:r w:rsidRPr="00C1788C">
              <w:rPr>
                <w:rFonts w:hAnsi="標楷體" w:hint="eastAsia"/>
                <w:bCs/>
                <w:spacing w:val="-20"/>
                <w:sz w:val="28"/>
                <w:szCs w:val="28"/>
              </w:rPr>
              <w:t>無法得知李小冬明確基本資料；查李小冬為中國大陸籍及英文姓名為</w:t>
            </w:r>
            <w:r w:rsidRPr="00C1788C">
              <w:rPr>
                <w:rFonts w:hAnsi="標楷體"/>
                <w:bCs/>
                <w:spacing w:val="-20"/>
                <w:sz w:val="28"/>
                <w:szCs w:val="28"/>
              </w:rPr>
              <w:t>L</w:t>
            </w:r>
            <w:r w:rsidRPr="00C1788C">
              <w:rPr>
                <w:rFonts w:hAnsi="標楷體" w:hint="eastAsia"/>
                <w:bCs/>
                <w:spacing w:val="-20"/>
                <w:sz w:val="28"/>
                <w:szCs w:val="28"/>
              </w:rPr>
              <w:t>i</w:t>
            </w:r>
            <w:r w:rsidRPr="00C1788C">
              <w:rPr>
                <w:rFonts w:hAnsi="標楷體"/>
                <w:bCs/>
                <w:spacing w:val="-20"/>
                <w:sz w:val="28"/>
                <w:szCs w:val="28"/>
              </w:rPr>
              <w:t xml:space="preserve"> X</w:t>
            </w:r>
            <w:r w:rsidRPr="00C1788C">
              <w:rPr>
                <w:rFonts w:hAnsi="標楷體" w:hint="eastAsia"/>
                <w:bCs/>
                <w:spacing w:val="-20"/>
                <w:sz w:val="28"/>
                <w:szCs w:val="28"/>
              </w:rPr>
              <w:t>iao Dong，渠未曾申請外僑居留紀錄，且無兼具新加坡國籍等雙籍相關資料，李君適用來</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之身分條件仍有疑慮，請依職權從嚴審酌，該署尊重審查決定。</w:t>
            </w:r>
          </w:p>
        </w:tc>
      </w:tr>
      <w:tr w:rsidR="009D6778" w:rsidRPr="00C1788C" w14:paraId="1898B441" w14:textId="77777777" w:rsidTr="00EE4465">
        <w:trPr>
          <w:trHeight w:val="340"/>
        </w:trPr>
        <w:tc>
          <w:tcPr>
            <w:tcW w:w="800" w:type="pct"/>
          </w:tcPr>
          <w:p w14:paraId="0428864C"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13.8.21</w:t>
            </w:r>
          </w:p>
        </w:tc>
        <w:tc>
          <w:tcPr>
            <w:tcW w:w="1043" w:type="pct"/>
          </w:tcPr>
          <w:p w14:paraId="21B4B6A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金管銀票字第1</w:t>
            </w:r>
            <w:r w:rsidRPr="00C1788C">
              <w:rPr>
                <w:rFonts w:hAnsi="標楷體"/>
                <w:bCs/>
                <w:spacing w:val="-20"/>
                <w:sz w:val="28"/>
                <w:szCs w:val="28"/>
              </w:rPr>
              <w:t>130142864</w:t>
            </w:r>
            <w:r w:rsidRPr="00C1788C">
              <w:rPr>
                <w:rFonts w:hAnsi="標楷體" w:hint="eastAsia"/>
                <w:bCs/>
                <w:spacing w:val="-20"/>
                <w:sz w:val="28"/>
                <w:szCs w:val="28"/>
              </w:rPr>
              <w:t>號</w:t>
            </w:r>
          </w:p>
        </w:tc>
        <w:tc>
          <w:tcPr>
            <w:tcW w:w="3157" w:type="pct"/>
          </w:tcPr>
          <w:p w14:paraId="2CCEE7A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金管會回復，該公司於</w:t>
            </w:r>
            <w:r w:rsidRPr="00C1788C">
              <w:rPr>
                <w:rFonts w:hAnsi="標楷體"/>
                <w:bCs/>
                <w:spacing w:val="-20"/>
                <w:sz w:val="28"/>
                <w:szCs w:val="28"/>
              </w:rPr>
              <w:t>113年3月15日函復</w:t>
            </w:r>
            <w:proofErr w:type="gramStart"/>
            <w:r w:rsidRPr="00C1788C">
              <w:rPr>
                <w:rFonts w:hAnsi="標楷體"/>
                <w:bCs/>
                <w:spacing w:val="-20"/>
                <w:sz w:val="28"/>
                <w:szCs w:val="28"/>
              </w:rPr>
              <w:t>112</w:t>
            </w:r>
            <w:proofErr w:type="gramEnd"/>
            <w:r w:rsidRPr="00C1788C">
              <w:rPr>
                <w:rFonts w:hAnsi="標楷體" w:hint="eastAsia"/>
                <w:bCs/>
                <w:spacing w:val="-20"/>
                <w:sz w:val="28"/>
                <w:szCs w:val="28"/>
              </w:rPr>
              <w:t>年度</w:t>
            </w:r>
            <w:proofErr w:type="gramStart"/>
            <w:r w:rsidRPr="00C1788C">
              <w:rPr>
                <w:rFonts w:hAnsi="標楷體" w:hint="eastAsia"/>
                <w:bCs/>
                <w:spacing w:val="-20"/>
                <w:sz w:val="28"/>
                <w:szCs w:val="28"/>
              </w:rPr>
              <w:t>日均額約</w:t>
            </w:r>
            <w:proofErr w:type="gramEnd"/>
            <w:r w:rsidRPr="00C1788C">
              <w:rPr>
                <w:rFonts w:hAnsi="標楷體"/>
                <w:bCs/>
                <w:spacing w:val="-20"/>
                <w:sz w:val="28"/>
                <w:szCs w:val="28"/>
              </w:rPr>
              <w:t>7.55億元，</w:t>
            </w:r>
            <w:r w:rsidRPr="00C1788C">
              <w:rPr>
                <w:rFonts w:hAnsi="標楷體" w:hint="eastAsia"/>
                <w:bCs/>
                <w:spacing w:val="-20"/>
                <w:sz w:val="28"/>
                <w:szCs w:val="28"/>
              </w:rPr>
              <w:t>因未達應依</w:t>
            </w:r>
            <w:proofErr w:type="gramStart"/>
            <w:r w:rsidRPr="00C1788C">
              <w:rPr>
                <w:rFonts w:hAnsi="標楷體" w:hint="eastAsia"/>
                <w:bCs/>
                <w:spacing w:val="-20"/>
                <w:sz w:val="28"/>
                <w:szCs w:val="28"/>
              </w:rPr>
              <w:t>規</w:t>
            </w:r>
            <w:proofErr w:type="gramEnd"/>
            <w:r w:rsidRPr="00C1788C">
              <w:rPr>
                <w:rFonts w:hAnsi="標楷體" w:hint="eastAsia"/>
                <w:bCs/>
                <w:spacing w:val="-20"/>
                <w:sz w:val="28"/>
                <w:szCs w:val="28"/>
              </w:rPr>
              <w:t>申請設立電子支付機構之門檻，</w:t>
            </w:r>
            <w:proofErr w:type="gramStart"/>
            <w:r w:rsidRPr="00C1788C">
              <w:rPr>
                <w:rFonts w:hAnsi="標楷體" w:hint="eastAsia"/>
                <w:bCs/>
                <w:spacing w:val="-20"/>
                <w:sz w:val="28"/>
                <w:szCs w:val="28"/>
              </w:rPr>
              <w:t>爰</w:t>
            </w:r>
            <w:proofErr w:type="gramEnd"/>
            <w:r w:rsidRPr="00C1788C">
              <w:rPr>
                <w:rFonts w:hAnsi="標楷體" w:hint="eastAsia"/>
                <w:bCs/>
                <w:spacing w:val="-20"/>
                <w:sz w:val="28"/>
                <w:szCs w:val="28"/>
              </w:rPr>
              <w:t>仍屬第三方支付服務業，由數</w:t>
            </w:r>
            <w:proofErr w:type="gramStart"/>
            <w:r w:rsidRPr="00C1788C">
              <w:rPr>
                <w:rFonts w:hAnsi="標楷體" w:hint="eastAsia"/>
                <w:bCs/>
                <w:spacing w:val="-20"/>
                <w:sz w:val="28"/>
                <w:szCs w:val="28"/>
              </w:rPr>
              <w:t>發部依其</w:t>
            </w:r>
            <w:proofErr w:type="gramEnd"/>
            <w:r w:rsidRPr="00C1788C">
              <w:rPr>
                <w:rFonts w:hAnsi="標楷體" w:hint="eastAsia"/>
                <w:bCs/>
                <w:spacing w:val="-20"/>
                <w:sz w:val="28"/>
                <w:szCs w:val="28"/>
              </w:rPr>
              <w:t>權責進行監理。</w:t>
            </w:r>
          </w:p>
        </w:tc>
      </w:tr>
      <w:tr w:rsidR="009D6778" w:rsidRPr="00C1788C" w14:paraId="78654995" w14:textId="77777777" w:rsidTr="00EE4465">
        <w:trPr>
          <w:trHeight w:val="340"/>
        </w:trPr>
        <w:tc>
          <w:tcPr>
            <w:tcW w:w="800" w:type="pct"/>
          </w:tcPr>
          <w:p w14:paraId="3547CDE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13.8.27</w:t>
            </w:r>
          </w:p>
        </w:tc>
        <w:tc>
          <w:tcPr>
            <w:tcW w:w="1043" w:type="pct"/>
          </w:tcPr>
          <w:p w14:paraId="1EB2B17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商登字第1</w:t>
            </w:r>
            <w:r w:rsidRPr="00C1788C">
              <w:rPr>
                <w:rFonts w:hAnsi="標楷體"/>
                <w:bCs/>
                <w:spacing w:val="-20"/>
                <w:sz w:val="28"/>
                <w:szCs w:val="28"/>
              </w:rPr>
              <w:t>1300720970</w:t>
            </w:r>
            <w:r w:rsidRPr="00C1788C">
              <w:rPr>
                <w:rFonts w:hAnsi="標楷體" w:hint="eastAsia"/>
                <w:bCs/>
                <w:spacing w:val="-20"/>
                <w:sz w:val="28"/>
                <w:szCs w:val="28"/>
              </w:rPr>
              <w:t>號</w:t>
            </w:r>
            <w:proofErr w:type="gramEnd"/>
          </w:p>
        </w:tc>
        <w:tc>
          <w:tcPr>
            <w:tcW w:w="3157" w:type="pct"/>
          </w:tcPr>
          <w:p w14:paraId="484E216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經濟部</w:t>
            </w:r>
            <w:proofErr w:type="gramStart"/>
            <w:r w:rsidRPr="00C1788C">
              <w:rPr>
                <w:rFonts w:hAnsi="標楷體" w:hint="eastAsia"/>
                <w:bCs/>
                <w:spacing w:val="-20"/>
                <w:sz w:val="28"/>
                <w:szCs w:val="28"/>
              </w:rPr>
              <w:t>商發署回復</w:t>
            </w:r>
            <w:proofErr w:type="gramEnd"/>
            <w:r w:rsidRPr="00C1788C">
              <w:rPr>
                <w:rFonts w:hAnsi="標楷體" w:hint="eastAsia"/>
                <w:bCs/>
                <w:spacing w:val="-20"/>
                <w:sz w:val="28"/>
                <w:szCs w:val="28"/>
              </w:rPr>
              <w:t>，經</w:t>
            </w:r>
            <w:proofErr w:type="gramStart"/>
            <w:r w:rsidRPr="00C1788C">
              <w:rPr>
                <w:rFonts w:hAnsi="標楷體" w:hint="eastAsia"/>
                <w:bCs/>
                <w:spacing w:val="-20"/>
                <w:sz w:val="28"/>
                <w:szCs w:val="28"/>
              </w:rPr>
              <w:t>檢視樂購蝦皮</w:t>
            </w:r>
            <w:proofErr w:type="gramEnd"/>
            <w:r w:rsidRPr="00C1788C">
              <w:rPr>
                <w:rFonts w:hAnsi="標楷體" w:hint="eastAsia"/>
                <w:bCs/>
                <w:spacing w:val="-20"/>
                <w:sz w:val="28"/>
                <w:szCs w:val="28"/>
              </w:rPr>
              <w:t>公司係以董事會議事錄而非董事同意書記載發行新股之案由，且未見關於修正章程案由之記載，敬請洽申請人</w:t>
            </w:r>
            <w:proofErr w:type="gramStart"/>
            <w:r w:rsidRPr="00C1788C">
              <w:rPr>
                <w:rFonts w:hAnsi="標楷體" w:hint="eastAsia"/>
                <w:bCs/>
                <w:spacing w:val="-20"/>
                <w:sz w:val="28"/>
                <w:szCs w:val="28"/>
              </w:rPr>
              <w:t>釐</w:t>
            </w:r>
            <w:proofErr w:type="gramEnd"/>
            <w:r w:rsidRPr="00C1788C">
              <w:rPr>
                <w:rFonts w:hAnsi="標楷體" w:hint="eastAsia"/>
                <w:bCs/>
                <w:spacing w:val="-20"/>
                <w:sz w:val="28"/>
                <w:szCs w:val="28"/>
              </w:rPr>
              <w:t>清。</w:t>
            </w:r>
          </w:p>
        </w:tc>
      </w:tr>
      <w:tr w:rsidR="009D6778" w:rsidRPr="00C1788C" w14:paraId="667C52B7" w14:textId="77777777" w:rsidTr="00EE4465">
        <w:trPr>
          <w:trHeight w:val="340"/>
        </w:trPr>
        <w:tc>
          <w:tcPr>
            <w:tcW w:w="800" w:type="pct"/>
          </w:tcPr>
          <w:p w14:paraId="60C4C40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13.8.28</w:t>
            </w:r>
          </w:p>
        </w:tc>
        <w:tc>
          <w:tcPr>
            <w:tcW w:w="1043" w:type="pct"/>
          </w:tcPr>
          <w:p w14:paraId="77A2085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字第1</w:t>
            </w:r>
            <w:r w:rsidRPr="00C1788C">
              <w:rPr>
                <w:rFonts w:hAnsi="標楷體"/>
                <w:bCs/>
                <w:spacing w:val="-20"/>
                <w:sz w:val="28"/>
                <w:szCs w:val="28"/>
              </w:rPr>
              <w:t>1320128115</w:t>
            </w:r>
            <w:r w:rsidRPr="00C1788C">
              <w:rPr>
                <w:rFonts w:hAnsi="標楷體" w:hint="eastAsia"/>
                <w:bCs/>
                <w:spacing w:val="-20"/>
                <w:sz w:val="28"/>
                <w:szCs w:val="28"/>
              </w:rPr>
              <w:t>號</w:t>
            </w:r>
          </w:p>
        </w:tc>
        <w:tc>
          <w:tcPr>
            <w:tcW w:w="3157" w:type="pct"/>
          </w:tcPr>
          <w:p w14:paraId="1E275889"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再函請內政部移民署</w:t>
            </w:r>
            <w:proofErr w:type="gramStart"/>
            <w:r w:rsidRPr="00C1788C">
              <w:rPr>
                <w:rFonts w:hAnsi="標楷體" w:hint="eastAsia"/>
                <w:bCs/>
                <w:spacing w:val="-20"/>
                <w:sz w:val="28"/>
                <w:szCs w:val="28"/>
              </w:rPr>
              <w:t>併</w:t>
            </w:r>
            <w:proofErr w:type="gramEnd"/>
            <w:r w:rsidRPr="00C1788C">
              <w:rPr>
                <w:rFonts w:hAnsi="標楷體" w:hint="eastAsia"/>
                <w:bCs/>
                <w:spacing w:val="-20"/>
                <w:sz w:val="28"/>
                <w:szCs w:val="28"/>
              </w:rPr>
              <w:t>案審查。</w:t>
            </w:r>
          </w:p>
        </w:tc>
      </w:tr>
      <w:tr w:rsidR="009D6778" w:rsidRPr="00C1788C" w14:paraId="1399D51D" w14:textId="77777777" w:rsidTr="00EE4465">
        <w:trPr>
          <w:trHeight w:val="340"/>
        </w:trPr>
        <w:tc>
          <w:tcPr>
            <w:tcW w:w="800" w:type="pct"/>
          </w:tcPr>
          <w:p w14:paraId="4A7E133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13.9.2</w:t>
            </w:r>
          </w:p>
        </w:tc>
        <w:tc>
          <w:tcPr>
            <w:tcW w:w="1043" w:type="pct"/>
          </w:tcPr>
          <w:p w14:paraId="61B5066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移署移字</w:t>
            </w:r>
            <w:proofErr w:type="gramEnd"/>
            <w:r w:rsidRPr="00C1788C">
              <w:rPr>
                <w:rFonts w:hAnsi="標楷體" w:hint="eastAsia"/>
                <w:bCs/>
                <w:spacing w:val="-20"/>
                <w:sz w:val="28"/>
                <w:szCs w:val="28"/>
              </w:rPr>
              <w:t>第1</w:t>
            </w:r>
            <w:r w:rsidRPr="00C1788C">
              <w:rPr>
                <w:rFonts w:hAnsi="標楷體"/>
                <w:bCs/>
                <w:spacing w:val="-20"/>
                <w:sz w:val="28"/>
                <w:szCs w:val="28"/>
              </w:rPr>
              <w:t>130103531</w:t>
            </w:r>
            <w:r w:rsidRPr="00C1788C">
              <w:rPr>
                <w:rFonts w:hAnsi="標楷體" w:hint="eastAsia"/>
                <w:bCs/>
                <w:spacing w:val="-20"/>
                <w:sz w:val="28"/>
                <w:szCs w:val="28"/>
              </w:rPr>
              <w:t>號</w:t>
            </w:r>
          </w:p>
        </w:tc>
        <w:tc>
          <w:tcPr>
            <w:tcW w:w="3157" w:type="pct"/>
          </w:tcPr>
          <w:p w14:paraId="78C408F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內政部移民署回復，因尚未能提供李小冬之護照號碼或統一證號，</w:t>
            </w:r>
            <w:proofErr w:type="gramStart"/>
            <w:r w:rsidRPr="00C1788C">
              <w:rPr>
                <w:rFonts w:hAnsi="標楷體" w:hint="eastAsia"/>
                <w:bCs/>
                <w:spacing w:val="-20"/>
                <w:sz w:val="28"/>
                <w:szCs w:val="28"/>
              </w:rPr>
              <w:t>爰</w:t>
            </w:r>
            <w:proofErr w:type="gramEnd"/>
            <w:r w:rsidRPr="00C1788C">
              <w:rPr>
                <w:rFonts w:hAnsi="標楷體" w:hint="eastAsia"/>
                <w:bCs/>
                <w:spacing w:val="-20"/>
                <w:sz w:val="28"/>
                <w:szCs w:val="28"/>
              </w:rPr>
              <w:t>得依其中文姓名及出生日期模糊比對申請案及機場入出境等相關資訊。</w:t>
            </w:r>
          </w:p>
        </w:tc>
      </w:tr>
      <w:tr w:rsidR="009D6778" w:rsidRPr="00C1788C" w14:paraId="7C62117A" w14:textId="77777777" w:rsidTr="00EE4465">
        <w:trPr>
          <w:trHeight w:val="340"/>
        </w:trPr>
        <w:tc>
          <w:tcPr>
            <w:tcW w:w="800" w:type="pct"/>
          </w:tcPr>
          <w:p w14:paraId="0F916F1D"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13.9.2</w:t>
            </w:r>
          </w:p>
        </w:tc>
        <w:tc>
          <w:tcPr>
            <w:tcW w:w="1043" w:type="pct"/>
          </w:tcPr>
          <w:p w14:paraId="59605A24"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字第1</w:t>
            </w:r>
            <w:r w:rsidRPr="00C1788C">
              <w:rPr>
                <w:rFonts w:hAnsi="標楷體"/>
                <w:bCs/>
                <w:spacing w:val="-20"/>
                <w:sz w:val="28"/>
                <w:szCs w:val="28"/>
              </w:rPr>
              <w:t>1320128116</w:t>
            </w:r>
            <w:r w:rsidRPr="00C1788C">
              <w:rPr>
                <w:rFonts w:hAnsi="標楷體" w:hint="eastAsia"/>
                <w:bCs/>
                <w:spacing w:val="-20"/>
                <w:sz w:val="28"/>
                <w:szCs w:val="28"/>
              </w:rPr>
              <w:t>號</w:t>
            </w:r>
          </w:p>
        </w:tc>
        <w:tc>
          <w:tcPr>
            <w:tcW w:w="3157" w:type="pct"/>
          </w:tcPr>
          <w:p w14:paraId="606EF02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函請蝦皮娛樂公司補正：</w:t>
            </w:r>
          </w:p>
          <w:p w14:paraId="1B007A57"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國內事業修章程及增資之董事同意書、上層股東英屬開</w:t>
            </w:r>
            <w:proofErr w:type="gramStart"/>
            <w:r w:rsidRPr="00C1788C">
              <w:rPr>
                <w:rFonts w:hAnsi="標楷體" w:hint="eastAsia"/>
                <w:bCs/>
                <w:spacing w:val="-20"/>
                <w:sz w:val="28"/>
                <w:szCs w:val="28"/>
              </w:rPr>
              <w:t>曼</w:t>
            </w:r>
            <w:proofErr w:type="gramEnd"/>
            <w:r w:rsidRPr="00C1788C">
              <w:rPr>
                <w:rFonts w:hAnsi="標楷體" w:hint="eastAsia"/>
                <w:bCs/>
                <w:spacing w:val="-20"/>
                <w:sz w:val="28"/>
                <w:szCs w:val="28"/>
              </w:rPr>
              <w:t>群島商</w:t>
            </w:r>
            <w:r w:rsidRPr="00C1788C">
              <w:rPr>
                <w:rFonts w:hAnsi="標楷體"/>
                <w:bCs/>
                <w:spacing w:val="-20"/>
                <w:sz w:val="28"/>
                <w:szCs w:val="28"/>
              </w:rPr>
              <w:t>Sea Limited(含所屬集團)與陸資騰訊集團之間業務</w:t>
            </w:r>
            <w:r w:rsidRPr="00C1788C">
              <w:rPr>
                <w:rFonts w:hAnsi="標楷體" w:hint="eastAsia"/>
                <w:bCs/>
                <w:spacing w:val="-20"/>
                <w:sz w:val="28"/>
                <w:szCs w:val="28"/>
              </w:rPr>
              <w:t>往來關係等。</w:t>
            </w:r>
          </w:p>
        </w:tc>
      </w:tr>
      <w:tr w:rsidR="009D6778" w:rsidRPr="00C1788C" w14:paraId="2F83329F" w14:textId="77777777" w:rsidTr="00EE4465">
        <w:trPr>
          <w:trHeight w:val="340"/>
        </w:trPr>
        <w:tc>
          <w:tcPr>
            <w:tcW w:w="800" w:type="pct"/>
          </w:tcPr>
          <w:p w14:paraId="59456629"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13.9.4</w:t>
            </w:r>
          </w:p>
        </w:tc>
        <w:tc>
          <w:tcPr>
            <w:tcW w:w="1043" w:type="pct"/>
          </w:tcPr>
          <w:p w14:paraId="566D2203"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衡安字</w:t>
            </w:r>
            <w:proofErr w:type="gramEnd"/>
            <w:r w:rsidRPr="00C1788C">
              <w:rPr>
                <w:rFonts w:hAnsi="標楷體" w:hint="eastAsia"/>
                <w:bCs/>
                <w:spacing w:val="-20"/>
                <w:sz w:val="28"/>
                <w:szCs w:val="28"/>
              </w:rPr>
              <w:t>第1</w:t>
            </w:r>
            <w:r w:rsidRPr="00C1788C">
              <w:rPr>
                <w:rFonts w:hAnsi="標楷體"/>
                <w:bCs/>
                <w:spacing w:val="-20"/>
                <w:sz w:val="28"/>
                <w:szCs w:val="28"/>
              </w:rPr>
              <w:t>130006895</w:t>
            </w:r>
            <w:r w:rsidRPr="00C1788C">
              <w:rPr>
                <w:rFonts w:hAnsi="標楷體" w:hint="eastAsia"/>
                <w:bCs/>
                <w:spacing w:val="-20"/>
                <w:sz w:val="28"/>
                <w:szCs w:val="28"/>
              </w:rPr>
              <w:t>號</w:t>
            </w:r>
          </w:p>
        </w:tc>
        <w:tc>
          <w:tcPr>
            <w:tcW w:w="3157" w:type="pct"/>
          </w:tcPr>
          <w:p w14:paraId="33BEB53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國安局審查意見如下：</w:t>
            </w:r>
          </w:p>
          <w:p w14:paraId="363BD16F" w14:textId="06C643C5"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1.</w:t>
            </w:r>
            <w:r w:rsidR="009D6778" w:rsidRPr="00C1788C">
              <w:rPr>
                <w:rFonts w:hAnsi="標楷體" w:hint="eastAsia"/>
                <w:bCs/>
                <w:spacing w:val="-20"/>
                <w:sz w:val="28"/>
                <w:szCs w:val="28"/>
              </w:rPr>
              <w:t>尚無資料證明陸資申請人直接或間接持有股份、出資額逾</w:t>
            </w:r>
            <w:r w:rsidR="009D6778" w:rsidRPr="00C1788C">
              <w:rPr>
                <w:rFonts w:hAnsi="標楷體"/>
                <w:bCs/>
                <w:spacing w:val="-20"/>
                <w:sz w:val="28"/>
                <w:szCs w:val="28"/>
              </w:rPr>
              <w:t>30%。</w:t>
            </w:r>
          </w:p>
          <w:p w14:paraId="2FDE54DC" w14:textId="6CF6DC6A"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2.</w:t>
            </w:r>
            <w:r w:rsidR="009D6778" w:rsidRPr="00C1788C">
              <w:rPr>
                <w:rFonts w:hAnsi="標楷體" w:hint="eastAsia"/>
                <w:bCs/>
                <w:spacing w:val="-20"/>
                <w:sz w:val="28"/>
                <w:szCs w:val="28"/>
              </w:rPr>
              <w:t>尚無資料顯示本案有應依外國人投資條例禁止其來</w:t>
            </w:r>
            <w:proofErr w:type="gramStart"/>
            <w:r w:rsidR="009D6778" w:rsidRPr="00C1788C">
              <w:rPr>
                <w:rFonts w:hAnsi="標楷體" w:hint="eastAsia"/>
                <w:bCs/>
                <w:spacing w:val="-20"/>
                <w:sz w:val="28"/>
                <w:szCs w:val="28"/>
              </w:rPr>
              <w:t>臺</w:t>
            </w:r>
            <w:proofErr w:type="gramEnd"/>
            <w:r w:rsidR="009D6778" w:rsidRPr="00C1788C">
              <w:rPr>
                <w:rFonts w:hAnsi="標楷體" w:hint="eastAsia"/>
                <w:bCs/>
                <w:spacing w:val="-20"/>
                <w:sz w:val="28"/>
                <w:szCs w:val="28"/>
              </w:rPr>
              <w:t>投資情事。</w:t>
            </w:r>
          </w:p>
          <w:p w14:paraId="7F6A44F9" w14:textId="58D20854"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3.</w:t>
            </w:r>
            <w:r w:rsidR="009D6778" w:rsidRPr="00C1788C">
              <w:rPr>
                <w:rFonts w:hAnsi="標楷體" w:hint="eastAsia"/>
                <w:bCs/>
                <w:spacing w:val="-20"/>
                <w:sz w:val="28"/>
                <w:szCs w:val="28"/>
              </w:rPr>
              <w:t>申請人上層母公司為新加坡商</w:t>
            </w:r>
            <w:r w:rsidR="009D6778" w:rsidRPr="00C1788C">
              <w:rPr>
                <w:rFonts w:hAnsi="標楷體"/>
                <w:bCs/>
                <w:spacing w:val="-20"/>
                <w:sz w:val="28"/>
                <w:szCs w:val="28"/>
              </w:rPr>
              <w:t>Sea Limited，該公司主要股東為英屬開曼群島商T</w:t>
            </w:r>
            <w:r w:rsidR="009D6778" w:rsidRPr="00C1788C">
              <w:rPr>
                <w:rFonts w:hAnsi="標楷體" w:hint="eastAsia"/>
                <w:bCs/>
                <w:spacing w:val="-20"/>
                <w:sz w:val="28"/>
                <w:szCs w:val="28"/>
              </w:rPr>
              <w:t>encent</w:t>
            </w:r>
            <w:r w:rsidR="009D6778" w:rsidRPr="00C1788C">
              <w:rPr>
                <w:rFonts w:hAnsi="標楷體"/>
                <w:bCs/>
                <w:spacing w:val="-20"/>
                <w:sz w:val="28"/>
                <w:szCs w:val="28"/>
              </w:rPr>
              <w:t xml:space="preserve"> H</w:t>
            </w:r>
            <w:r w:rsidR="009D6778" w:rsidRPr="00C1788C">
              <w:rPr>
                <w:rFonts w:hAnsi="標楷體" w:hint="eastAsia"/>
                <w:bCs/>
                <w:spacing w:val="-20"/>
                <w:sz w:val="28"/>
                <w:szCs w:val="28"/>
              </w:rPr>
              <w:t>oldings</w:t>
            </w:r>
            <w:r w:rsidR="009D6778" w:rsidRPr="00C1788C">
              <w:rPr>
                <w:rFonts w:hAnsi="標楷體"/>
                <w:bCs/>
                <w:spacing w:val="-20"/>
                <w:sz w:val="28"/>
                <w:szCs w:val="28"/>
              </w:rPr>
              <w:t xml:space="preserve"> L</w:t>
            </w:r>
            <w:r w:rsidR="009D6778" w:rsidRPr="00C1788C">
              <w:rPr>
                <w:rFonts w:hAnsi="標楷體" w:hint="eastAsia"/>
                <w:bCs/>
                <w:spacing w:val="-20"/>
                <w:sz w:val="28"/>
                <w:szCs w:val="28"/>
              </w:rPr>
              <w:t>imited</w:t>
            </w:r>
            <w:r w:rsidR="009D6778" w:rsidRPr="00C1788C">
              <w:rPr>
                <w:rFonts w:hAnsi="標楷體"/>
                <w:bCs/>
                <w:spacing w:val="-20"/>
                <w:sz w:val="28"/>
                <w:szCs w:val="28"/>
              </w:rPr>
              <w:t>、</w:t>
            </w:r>
            <w:r w:rsidR="009D6778" w:rsidRPr="00C1788C">
              <w:rPr>
                <w:rFonts w:hAnsi="標楷體" w:hint="eastAsia"/>
                <w:bCs/>
                <w:spacing w:val="-20"/>
                <w:sz w:val="28"/>
                <w:szCs w:val="28"/>
              </w:rPr>
              <w:t>陸裔新加坡籍人士</w:t>
            </w:r>
            <w:r w:rsidR="009D6778" w:rsidRPr="00C1788C">
              <w:rPr>
                <w:rFonts w:hAnsi="標楷體"/>
                <w:bCs/>
                <w:spacing w:val="-20"/>
                <w:sz w:val="28"/>
                <w:szCs w:val="28"/>
              </w:rPr>
              <w:t>F</w:t>
            </w:r>
            <w:r w:rsidR="009D6778" w:rsidRPr="00C1788C">
              <w:rPr>
                <w:rFonts w:hAnsi="標楷體" w:hint="eastAsia"/>
                <w:bCs/>
                <w:spacing w:val="-20"/>
                <w:sz w:val="28"/>
                <w:szCs w:val="28"/>
              </w:rPr>
              <w:t>orrest</w:t>
            </w:r>
            <w:r w:rsidR="009D6778" w:rsidRPr="00C1788C">
              <w:rPr>
                <w:rFonts w:hAnsi="標楷體"/>
                <w:bCs/>
                <w:spacing w:val="-20"/>
                <w:sz w:val="28"/>
                <w:szCs w:val="28"/>
              </w:rPr>
              <w:t xml:space="preserve"> L</w:t>
            </w:r>
            <w:r w:rsidR="009D6778" w:rsidRPr="00C1788C">
              <w:rPr>
                <w:rFonts w:hAnsi="標楷體" w:hint="eastAsia"/>
                <w:bCs/>
                <w:spacing w:val="-20"/>
                <w:sz w:val="28"/>
                <w:szCs w:val="28"/>
              </w:rPr>
              <w:t>i</w:t>
            </w:r>
            <w:r w:rsidR="009D6778" w:rsidRPr="00C1788C">
              <w:rPr>
                <w:rFonts w:hAnsi="標楷體"/>
                <w:bCs/>
                <w:spacing w:val="-20"/>
                <w:sz w:val="28"/>
                <w:szCs w:val="28"/>
              </w:rPr>
              <w:t>、G</w:t>
            </w:r>
            <w:r w:rsidR="009D6778" w:rsidRPr="00C1788C">
              <w:rPr>
                <w:rFonts w:hAnsi="標楷體" w:hint="eastAsia"/>
                <w:bCs/>
                <w:spacing w:val="-20"/>
                <w:sz w:val="28"/>
                <w:szCs w:val="28"/>
              </w:rPr>
              <w:t>ang</w:t>
            </w:r>
            <w:r w:rsidR="009D6778" w:rsidRPr="00C1788C">
              <w:rPr>
                <w:rFonts w:hAnsi="標楷體"/>
                <w:bCs/>
                <w:spacing w:val="-20"/>
                <w:sz w:val="28"/>
                <w:szCs w:val="28"/>
              </w:rPr>
              <w:t xml:space="preserve"> Y</w:t>
            </w:r>
            <w:r w:rsidR="009D6778" w:rsidRPr="00C1788C">
              <w:rPr>
                <w:rFonts w:hAnsi="標楷體" w:hint="eastAsia"/>
                <w:bCs/>
                <w:spacing w:val="-20"/>
                <w:sz w:val="28"/>
                <w:szCs w:val="28"/>
              </w:rPr>
              <w:t>e</w:t>
            </w:r>
            <w:r w:rsidR="009D6778" w:rsidRPr="00C1788C">
              <w:rPr>
                <w:rFonts w:hAnsi="標楷體"/>
                <w:bCs/>
                <w:spacing w:val="-20"/>
                <w:sz w:val="28"/>
                <w:szCs w:val="28"/>
              </w:rPr>
              <w:t>。</w:t>
            </w:r>
          </w:p>
          <w:p w14:paraId="2AE5087B" w14:textId="02FB7C5E"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4.</w:t>
            </w:r>
            <w:r w:rsidR="009D6778" w:rsidRPr="00C1788C">
              <w:rPr>
                <w:rFonts w:hAnsi="標楷體" w:hint="eastAsia"/>
                <w:bCs/>
                <w:spacing w:val="-20"/>
                <w:sz w:val="28"/>
                <w:szCs w:val="28"/>
              </w:rPr>
              <w:t>建議若核准本案，宜附帶要求該集團應妥善保護臺灣客戶資料，不得傳輸至境外地區。</w:t>
            </w:r>
          </w:p>
        </w:tc>
      </w:tr>
      <w:tr w:rsidR="009D6778" w:rsidRPr="00C1788C" w14:paraId="504C646D" w14:textId="77777777" w:rsidTr="00EE4465">
        <w:trPr>
          <w:trHeight w:val="340"/>
        </w:trPr>
        <w:tc>
          <w:tcPr>
            <w:tcW w:w="800" w:type="pct"/>
          </w:tcPr>
          <w:p w14:paraId="5739D2B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13.9.10</w:t>
            </w:r>
          </w:p>
        </w:tc>
        <w:tc>
          <w:tcPr>
            <w:tcW w:w="1043" w:type="pct"/>
          </w:tcPr>
          <w:p w14:paraId="6056290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
        </w:tc>
        <w:tc>
          <w:tcPr>
            <w:tcW w:w="3157" w:type="pct"/>
          </w:tcPr>
          <w:p w14:paraId="6470A3E5" w14:textId="77777777" w:rsidR="009D6778" w:rsidRPr="00C1788C" w:rsidRDefault="009D6778" w:rsidP="00BA164C">
            <w:pPr>
              <w:kinsoku/>
              <w:overflowPunct/>
              <w:autoSpaceDE/>
              <w:autoSpaceDN/>
              <w:adjustRightInd w:val="0"/>
              <w:snapToGrid w:val="0"/>
              <w:spacing w:line="320" w:lineRule="exact"/>
              <w:rPr>
                <w:rFonts w:hAnsi="標楷體"/>
                <w:bCs/>
                <w:spacing w:val="-20"/>
                <w:sz w:val="28"/>
                <w:szCs w:val="28"/>
              </w:rPr>
            </w:pPr>
            <w:r w:rsidRPr="00C1788C">
              <w:rPr>
                <w:rFonts w:hAnsi="標楷體" w:hint="eastAsia"/>
                <w:bCs/>
                <w:spacing w:val="-20"/>
                <w:sz w:val="28"/>
                <w:szCs w:val="28"/>
              </w:rPr>
              <w:t>蝦皮娛樂公司補正相關資料。</w:t>
            </w:r>
          </w:p>
        </w:tc>
      </w:tr>
      <w:tr w:rsidR="009D6778" w:rsidRPr="00C1788C" w14:paraId="0248F36C" w14:textId="77777777" w:rsidTr="00EE4465">
        <w:trPr>
          <w:trHeight w:val="340"/>
        </w:trPr>
        <w:tc>
          <w:tcPr>
            <w:tcW w:w="800" w:type="pct"/>
          </w:tcPr>
          <w:p w14:paraId="1DB59A7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13.9.13</w:t>
            </w:r>
          </w:p>
        </w:tc>
        <w:tc>
          <w:tcPr>
            <w:tcW w:w="1043" w:type="pct"/>
          </w:tcPr>
          <w:p w14:paraId="5AF2A9A8"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w:t>
            </w:r>
            <w:r w:rsidRPr="00C1788C">
              <w:rPr>
                <w:rFonts w:hAnsi="標楷體" w:hint="eastAsia"/>
                <w:bCs/>
                <w:spacing w:val="-20"/>
                <w:sz w:val="28"/>
                <w:szCs w:val="28"/>
              </w:rPr>
              <w:lastRenderedPageBreak/>
              <w:t>1</w:t>
            </w:r>
            <w:r w:rsidRPr="00C1788C">
              <w:rPr>
                <w:rFonts w:hAnsi="標楷體"/>
                <w:bCs/>
                <w:spacing w:val="-20"/>
                <w:sz w:val="28"/>
                <w:szCs w:val="28"/>
              </w:rPr>
              <w:t>1320128117</w:t>
            </w:r>
            <w:r w:rsidRPr="00C1788C">
              <w:rPr>
                <w:rFonts w:hAnsi="標楷體" w:hint="eastAsia"/>
                <w:bCs/>
                <w:spacing w:val="-20"/>
                <w:sz w:val="28"/>
                <w:szCs w:val="28"/>
              </w:rPr>
              <w:t>、</w:t>
            </w:r>
          </w:p>
          <w:p w14:paraId="2A636C3F"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1320128118</w:t>
            </w:r>
            <w:r w:rsidRPr="00C1788C">
              <w:rPr>
                <w:rFonts w:hAnsi="標楷體" w:hint="eastAsia"/>
                <w:bCs/>
                <w:spacing w:val="-20"/>
                <w:sz w:val="28"/>
                <w:szCs w:val="28"/>
              </w:rPr>
              <w:t>號</w:t>
            </w:r>
          </w:p>
        </w:tc>
        <w:tc>
          <w:tcPr>
            <w:tcW w:w="3157" w:type="pct"/>
          </w:tcPr>
          <w:p w14:paraId="433C7B09" w14:textId="77777777" w:rsidR="009D6778" w:rsidRPr="00C1788C" w:rsidRDefault="009D6778" w:rsidP="00BA164C">
            <w:pPr>
              <w:kinsoku/>
              <w:overflowPunct/>
              <w:autoSpaceDE/>
              <w:autoSpaceDN/>
              <w:adjustRightInd w:val="0"/>
              <w:snapToGrid w:val="0"/>
              <w:spacing w:line="320" w:lineRule="exact"/>
              <w:rPr>
                <w:rFonts w:hAnsi="標楷體"/>
                <w:bCs/>
                <w:spacing w:val="-20"/>
                <w:sz w:val="28"/>
                <w:szCs w:val="28"/>
              </w:rPr>
            </w:pPr>
            <w:r w:rsidRPr="00C1788C">
              <w:rPr>
                <w:rFonts w:hAnsi="標楷體" w:hint="eastAsia"/>
                <w:bCs/>
                <w:spacing w:val="-20"/>
                <w:sz w:val="28"/>
                <w:szCs w:val="28"/>
              </w:rPr>
              <w:lastRenderedPageBreak/>
              <w:t>再函請該</w:t>
            </w:r>
            <w:proofErr w:type="gramStart"/>
            <w:r w:rsidRPr="00C1788C">
              <w:rPr>
                <w:rFonts w:hAnsi="標楷體" w:hint="eastAsia"/>
                <w:bCs/>
                <w:spacing w:val="-20"/>
                <w:sz w:val="28"/>
                <w:szCs w:val="28"/>
              </w:rPr>
              <w:t>部商發署</w:t>
            </w:r>
            <w:proofErr w:type="gramEnd"/>
            <w:r w:rsidRPr="00C1788C">
              <w:rPr>
                <w:rFonts w:hAnsi="標楷體" w:hint="eastAsia"/>
                <w:bCs/>
                <w:spacing w:val="-20"/>
                <w:sz w:val="28"/>
                <w:szCs w:val="28"/>
              </w:rPr>
              <w:t>、陸委會</w:t>
            </w:r>
            <w:proofErr w:type="gramStart"/>
            <w:r w:rsidRPr="00C1788C">
              <w:rPr>
                <w:rFonts w:hAnsi="標楷體" w:hint="eastAsia"/>
                <w:bCs/>
                <w:spacing w:val="-20"/>
                <w:sz w:val="28"/>
                <w:szCs w:val="28"/>
              </w:rPr>
              <w:t>併</w:t>
            </w:r>
            <w:proofErr w:type="gramEnd"/>
            <w:r w:rsidRPr="00C1788C">
              <w:rPr>
                <w:rFonts w:hAnsi="標楷體" w:hint="eastAsia"/>
                <w:bCs/>
                <w:spacing w:val="-20"/>
                <w:sz w:val="28"/>
                <w:szCs w:val="28"/>
              </w:rPr>
              <w:t>案審查。</w:t>
            </w:r>
          </w:p>
        </w:tc>
      </w:tr>
      <w:tr w:rsidR="009D6778" w:rsidRPr="00C1788C" w14:paraId="40E2FA18" w14:textId="77777777" w:rsidTr="00EE4465">
        <w:trPr>
          <w:trHeight w:val="340"/>
        </w:trPr>
        <w:tc>
          <w:tcPr>
            <w:tcW w:w="800" w:type="pct"/>
          </w:tcPr>
          <w:p w14:paraId="43AF1FF8"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13.9.23</w:t>
            </w:r>
          </w:p>
        </w:tc>
        <w:tc>
          <w:tcPr>
            <w:tcW w:w="1043" w:type="pct"/>
          </w:tcPr>
          <w:p w14:paraId="306A4D9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商登字第1</w:t>
            </w:r>
            <w:r w:rsidRPr="00C1788C">
              <w:rPr>
                <w:rFonts w:hAnsi="標楷體"/>
                <w:bCs/>
                <w:spacing w:val="-20"/>
                <w:sz w:val="28"/>
                <w:szCs w:val="28"/>
              </w:rPr>
              <w:t>1300749790</w:t>
            </w:r>
            <w:r w:rsidRPr="00C1788C">
              <w:rPr>
                <w:rFonts w:hAnsi="標楷體" w:hint="eastAsia"/>
                <w:bCs/>
                <w:spacing w:val="-20"/>
                <w:sz w:val="28"/>
                <w:szCs w:val="28"/>
              </w:rPr>
              <w:t>號</w:t>
            </w:r>
            <w:proofErr w:type="gramEnd"/>
          </w:p>
        </w:tc>
        <w:tc>
          <w:tcPr>
            <w:tcW w:w="3157" w:type="pct"/>
          </w:tcPr>
          <w:p w14:paraId="792FFBFC" w14:textId="77777777" w:rsidR="009D6778" w:rsidRPr="00C1788C" w:rsidRDefault="009D6778" w:rsidP="00BA164C">
            <w:pPr>
              <w:kinsoku/>
              <w:overflowPunct/>
              <w:autoSpaceDE/>
              <w:autoSpaceDN/>
              <w:adjustRightInd w:val="0"/>
              <w:snapToGrid w:val="0"/>
              <w:spacing w:line="320" w:lineRule="exact"/>
              <w:rPr>
                <w:rFonts w:hAnsi="標楷體"/>
                <w:bCs/>
                <w:spacing w:val="-20"/>
                <w:sz w:val="28"/>
                <w:szCs w:val="28"/>
              </w:rPr>
            </w:pPr>
            <w:r w:rsidRPr="00C1788C">
              <w:rPr>
                <w:rFonts w:hAnsi="標楷體" w:hint="eastAsia"/>
                <w:bCs/>
                <w:spacing w:val="-20"/>
                <w:sz w:val="28"/>
                <w:szCs w:val="28"/>
              </w:rPr>
              <w:t>經濟部</w:t>
            </w:r>
            <w:proofErr w:type="gramStart"/>
            <w:r w:rsidRPr="00C1788C">
              <w:rPr>
                <w:rFonts w:hAnsi="標楷體" w:hint="eastAsia"/>
                <w:bCs/>
                <w:spacing w:val="-20"/>
                <w:sz w:val="28"/>
                <w:szCs w:val="28"/>
              </w:rPr>
              <w:t>商發署回函</w:t>
            </w:r>
            <w:proofErr w:type="gramEnd"/>
            <w:r w:rsidRPr="00C1788C">
              <w:rPr>
                <w:rFonts w:hAnsi="標楷體" w:hint="eastAsia"/>
                <w:bCs/>
                <w:spacing w:val="-20"/>
                <w:sz w:val="28"/>
                <w:szCs w:val="28"/>
              </w:rPr>
              <w:t>，該公司如依相關規定，由董事同意修正章程及發行新股案，該署無意見。</w:t>
            </w:r>
          </w:p>
        </w:tc>
      </w:tr>
      <w:tr w:rsidR="009D6778" w:rsidRPr="00C1788C" w14:paraId="6B508F09" w14:textId="77777777" w:rsidTr="00EE4465">
        <w:trPr>
          <w:trHeight w:val="340"/>
        </w:trPr>
        <w:tc>
          <w:tcPr>
            <w:tcW w:w="800" w:type="pct"/>
          </w:tcPr>
          <w:p w14:paraId="5EA134D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13.9.27</w:t>
            </w:r>
          </w:p>
        </w:tc>
        <w:tc>
          <w:tcPr>
            <w:tcW w:w="1043" w:type="pct"/>
          </w:tcPr>
          <w:p w14:paraId="69744EC7"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roofErr w:type="gramStart"/>
            <w:r w:rsidRPr="00C1788C">
              <w:rPr>
                <w:rFonts w:hAnsi="標楷體" w:hint="eastAsia"/>
                <w:bCs/>
                <w:spacing w:val="-20"/>
                <w:sz w:val="28"/>
                <w:szCs w:val="28"/>
              </w:rPr>
              <w:t>陸經字</w:t>
            </w:r>
            <w:proofErr w:type="gramEnd"/>
            <w:r w:rsidRPr="00C1788C">
              <w:rPr>
                <w:rFonts w:hAnsi="標楷體" w:hint="eastAsia"/>
                <w:bCs/>
                <w:spacing w:val="-20"/>
                <w:sz w:val="28"/>
                <w:szCs w:val="28"/>
              </w:rPr>
              <w:t>第1</w:t>
            </w:r>
            <w:r w:rsidRPr="00C1788C">
              <w:rPr>
                <w:rFonts w:hAnsi="標楷體"/>
                <w:bCs/>
                <w:spacing w:val="-20"/>
                <w:sz w:val="28"/>
                <w:szCs w:val="28"/>
              </w:rPr>
              <w:t>139907221</w:t>
            </w:r>
            <w:r w:rsidRPr="00C1788C">
              <w:rPr>
                <w:rFonts w:hAnsi="標楷體" w:hint="eastAsia"/>
                <w:bCs/>
                <w:spacing w:val="-20"/>
                <w:sz w:val="28"/>
                <w:szCs w:val="28"/>
              </w:rPr>
              <w:t>號</w:t>
            </w:r>
          </w:p>
        </w:tc>
        <w:tc>
          <w:tcPr>
            <w:tcW w:w="3157" w:type="pct"/>
          </w:tcPr>
          <w:p w14:paraId="2DFF171D" w14:textId="77777777" w:rsidR="009D6778" w:rsidRPr="00C1788C" w:rsidRDefault="009D6778" w:rsidP="00BA164C">
            <w:pPr>
              <w:kinsoku/>
              <w:overflowPunct/>
              <w:autoSpaceDE/>
              <w:autoSpaceDN/>
              <w:adjustRightInd w:val="0"/>
              <w:snapToGrid w:val="0"/>
              <w:spacing w:line="320" w:lineRule="exact"/>
              <w:rPr>
                <w:rFonts w:hAnsi="標楷體"/>
                <w:bCs/>
                <w:spacing w:val="-20"/>
                <w:sz w:val="28"/>
                <w:szCs w:val="28"/>
              </w:rPr>
            </w:pPr>
            <w:r w:rsidRPr="00C1788C">
              <w:rPr>
                <w:rFonts w:hAnsi="標楷體" w:hint="eastAsia"/>
                <w:bCs/>
                <w:spacing w:val="-20"/>
                <w:sz w:val="28"/>
                <w:szCs w:val="28"/>
              </w:rPr>
              <w:t>陸委會審查意見如下：</w:t>
            </w:r>
          </w:p>
          <w:p w14:paraId="2E267FD0" w14:textId="326FF44E"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1.</w:t>
            </w:r>
            <w:r w:rsidR="009D6778" w:rsidRPr="00C1788C">
              <w:rPr>
                <w:rFonts w:hAnsi="標楷體" w:hint="eastAsia"/>
                <w:bCs/>
                <w:spacing w:val="-20"/>
                <w:sz w:val="28"/>
                <w:szCs w:val="28"/>
              </w:rPr>
              <w:t>來</w:t>
            </w:r>
            <w:proofErr w:type="gramStart"/>
            <w:r w:rsidR="009D6778" w:rsidRPr="00C1788C">
              <w:rPr>
                <w:rFonts w:hAnsi="標楷體" w:hint="eastAsia"/>
                <w:bCs/>
                <w:spacing w:val="-20"/>
                <w:sz w:val="28"/>
                <w:szCs w:val="28"/>
              </w:rPr>
              <w:t>詢</w:t>
            </w:r>
            <w:proofErr w:type="gramEnd"/>
            <w:r w:rsidR="009D6778" w:rsidRPr="00C1788C">
              <w:rPr>
                <w:rFonts w:hAnsi="標楷體" w:hint="eastAsia"/>
                <w:bCs/>
                <w:spacing w:val="-20"/>
                <w:sz w:val="28"/>
                <w:szCs w:val="28"/>
              </w:rPr>
              <w:t>個案身分是否為新加坡人民或</w:t>
            </w:r>
            <w:r w:rsidR="009D6778" w:rsidRPr="00C1788C">
              <w:rPr>
                <w:rFonts w:hAnsi="標楷體"/>
                <w:bCs/>
                <w:spacing w:val="-20"/>
                <w:sz w:val="28"/>
                <w:szCs w:val="28"/>
              </w:rPr>
              <w:t>臺灣地區與大陸地區人民關係條例</w:t>
            </w:r>
            <w:r w:rsidR="009D6778" w:rsidRPr="00C1788C">
              <w:rPr>
                <w:rFonts w:hAnsi="標楷體" w:hint="eastAsia"/>
                <w:bCs/>
                <w:spacing w:val="-20"/>
                <w:sz w:val="28"/>
                <w:szCs w:val="28"/>
              </w:rPr>
              <w:t>(下稱兩岸條例)及其施行細則所規定之中國大陸人民，</w:t>
            </w:r>
            <w:proofErr w:type="gramStart"/>
            <w:r w:rsidR="009D6778" w:rsidRPr="00C1788C">
              <w:rPr>
                <w:rFonts w:hAnsi="標楷體" w:hint="eastAsia"/>
                <w:bCs/>
                <w:spacing w:val="-20"/>
                <w:sz w:val="28"/>
                <w:szCs w:val="28"/>
              </w:rPr>
              <w:t>核屬事實</w:t>
            </w:r>
            <w:proofErr w:type="gramEnd"/>
            <w:r w:rsidR="009D6778" w:rsidRPr="00C1788C">
              <w:rPr>
                <w:rFonts w:hAnsi="標楷體" w:hint="eastAsia"/>
                <w:bCs/>
                <w:spacing w:val="-20"/>
                <w:sz w:val="28"/>
                <w:szCs w:val="28"/>
              </w:rPr>
              <w:t>認定問題，請本於權責依法審認。</w:t>
            </w:r>
          </w:p>
          <w:p w14:paraId="160224F5" w14:textId="63567399" w:rsidR="009D6778" w:rsidRPr="00C1788C" w:rsidRDefault="00BA164C" w:rsidP="00BA164C">
            <w:pPr>
              <w:kinsoku/>
              <w:overflowPunct/>
              <w:autoSpaceDE/>
              <w:autoSpaceDN/>
              <w:adjustRightInd w:val="0"/>
              <w:snapToGrid w:val="0"/>
              <w:spacing w:line="320" w:lineRule="exact"/>
              <w:ind w:left="250" w:hangingChars="96" w:hanging="250"/>
              <w:rPr>
                <w:rFonts w:hAnsi="標楷體"/>
                <w:bCs/>
                <w:spacing w:val="-20"/>
                <w:sz w:val="28"/>
                <w:szCs w:val="28"/>
              </w:rPr>
            </w:pPr>
            <w:r>
              <w:rPr>
                <w:rFonts w:hAnsi="標楷體" w:hint="eastAsia"/>
                <w:bCs/>
                <w:spacing w:val="-20"/>
                <w:sz w:val="28"/>
                <w:szCs w:val="28"/>
              </w:rPr>
              <w:t>2.</w:t>
            </w:r>
            <w:r w:rsidR="009D6778" w:rsidRPr="00C1788C">
              <w:rPr>
                <w:rFonts w:hAnsi="標楷體" w:hint="eastAsia"/>
                <w:bCs/>
                <w:spacing w:val="-20"/>
                <w:sz w:val="28"/>
                <w:szCs w:val="28"/>
              </w:rPr>
              <w:t>另申請人未說明港籍人士「</w:t>
            </w:r>
            <w:r w:rsidR="009D6778" w:rsidRPr="00C1788C">
              <w:rPr>
                <w:rFonts w:hAnsi="標楷體"/>
                <w:bCs/>
                <w:spacing w:val="-20"/>
                <w:sz w:val="28"/>
                <w:szCs w:val="28"/>
              </w:rPr>
              <w:t>Yang</w:t>
            </w:r>
            <w:r w:rsidR="009D6778" w:rsidRPr="00C1788C">
              <w:rPr>
                <w:rFonts w:hAnsi="標楷體" w:hint="eastAsia"/>
                <w:bCs/>
                <w:spacing w:val="-20"/>
                <w:sz w:val="28"/>
                <w:szCs w:val="28"/>
              </w:rPr>
              <w:t xml:space="preserve"> </w:t>
            </w:r>
            <w:r w:rsidR="009D6778" w:rsidRPr="00C1788C">
              <w:rPr>
                <w:rFonts w:hAnsi="標楷體"/>
                <w:bCs/>
                <w:spacing w:val="-20"/>
                <w:sz w:val="28"/>
                <w:szCs w:val="28"/>
              </w:rPr>
              <w:t>Siu</w:t>
            </w:r>
            <w:r w:rsidR="009D6778" w:rsidRPr="00C1788C">
              <w:rPr>
                <w:rFonts w:hAnsi="標楷體" w:hint="eastAsia"/>
                <w:bCs/>
                <w:spacing w:val="-20"/>
                <w:sz w:val="28"/>
                <w:szCs w:val="28"/>
              </w:rPr>
              <w:t xml:space="preserve"> </w:t>
            </w:r>
            <w:r w:rsidR="009D6778" w:rsidRPr="00C1788C">
              <w:rPr>
                <w:rFonts w:hAnsi="標楷體"/>
                <w:bCs/>
                <w:spacing w:val="-20"/>
                <w:sz w:val="28"/>
                <w:szCs w:val="28"/>
              </w:rPr>
              <w:t>Shun</w:t>
            </w:r>
            <w:r w:rsidR="009D6778" w:rsidRPr="00C1788C">
              <w:rPr>
                <w:rFonts w:hAnsi="標楷體" w:hint="eastAsia"/>
                <w:bCs/>
                <w:spacing w:val="-20"/>
                <w:sz w:val="28"/>
                <w:szCs w:val="28"/>
              </w:rPr>
              <w:t>」</w:t>
            </w:r>
            <w:r w:rsidR="009D6778" w:rsidRPr="00C1788C">
              <w:rPr>
                <w:rFonts w:hAnsi="標楷體"/>
                <w:bCs/>
                <w:spacing w:val="-20"/>
                <w:sz w:val="28"/>
                <w:szCs w:val="28"/>
              </w:rPr>
              <w:t>(楊紹信)</w:t>
            </w:r>
            <w:proofErr w:type="gramStart"/>
            <w:r w:rsidR="009D6778" w:rsidRPr="00C1788C">
              <w:rPr>
                <w:rFonts w:hAnsi="標楷體" w:hint="eastAsia"/>
                <w:bCs/>
                <w:spacing w:val="-20"/>
                <w:sz w:val="28"/>
                <w:szCs w:val="28"/>
              </w:rPr>
              <w:t>究否具</w:t>
            </w:r>
            <w:proofErr w:type="gramEnd"/>
            <w:r w:rsidR="009D6778" w:rsidRPr="00C1788C">
              <w:rPr>
                <w:rFonts w:hAnsi="標楷體" w:hint="eastAsia"/>
                <w:bCs/>
                <w:spacing w:val="-20"/>
                <w:sz w:val="28"/>
                <w:szCs w:val="28"/>
              </w:rPr>
              <w:t>中共全國政協委員身分，請洽再行確認。</w:t>
            </w:r>
          </w:p>
        </w:tc>
      </w:tr>
      <w:tr w:rsidR="009D6778" w:rsidRPr="00C1788C" w14:paraId="5BEF64B4" w14:textId="77777777" w:rsidTr="00EE4465">
        <w:trPr>
          <w:trHeight w:val="340"/>
        </w:trPr>
        <w:tc>
          <w:tcPr>
            <w:tcW w:w="800" w:type="pct"/>
          </w:tcPr>
          <w:p w14:paraId="0C8C49C7"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13.9.30</w:t>
            </w:r>
          </w:p>
        </w:tc>
        <w:tc>
          <w:tcPr>
            <w:tcW w:w="1043" w:type="pct"/>
          </w:tcPr>
          <w:p w14:paraId="7CF7145B"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字第1</w:t>
            </w:r>
            <w:r w:rsidRPr="00C1788C">
              <w:rPr>
                <w:rFonts w:hAnsi="標楷體"/>
                <w:bCs/>
                <w:spacing w:val="-20"/>
                <w:sz w:val="28"/>
                <w:szCs w:val="28"/>
              </w:rPr>
              <w:t>1320128119</w:t>
            </w:r>
            <w:r w:rsidRPr="00C1788C">
              <w:rPr>
                <w:rFonts w:hAnsi="標楷體" w:hint="eastAsia"/>
                <w:bCs/>
                <w:spacing w:val="-20"/>
                <w:sz w:val="28"/>
                <w:szCs w:val="28"/>
              </w:rPr>
              <w:t>號</w:t>
            </w:r>
          </w:p>
        </w:tc>
        <w:tc>
          <w:tcPr>
            <w:tcW w:w="3157" w:type="pct"/>
          </w:tcPr>
          <w:p w14:paraId="2DD4E8B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函請蝦皮娛樂公司補正上層股權結構中股東是否具中共全國政協委員身分。</w:t>
            </w:r>
          </w:p>
        </w:tc>
      </w:tr>
      <w:tr w:rsidR="009D6778" w:rsidRPr="00C1788C" w14:paraId="5EA9D689" w14:textId="77777777" w:rsidTr="00EE4465">
        <w:trPr>
          <w:trHeight w:val="340"/>
        </w:trPr>
        <w:tc>
          <w:tcPr>
            <w:tcW w:w="800" w:type="pct"/>
          </w:tcPr>
          <w:p w14:paraId="09F73326"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13.10.15</w:t>
            </w:r>
          </w:p>
          <w:p w14:paraId="6B71DF8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bCs/>
                <w:spacing w:val="-20"/>
                <w:sz w:val="28"/>
                <w:szCs w:val="28"/>
              </w:rPr>
              <w:t>113.10.23</w:t>
            </w:r>
          </w:p>
        </w:tc>
        <w:tc>
          <w:tcPr>
            <w:tcW w:w="1043" w:type="pct"/>
          </w:tcPr>
          <w:p w14:paraId="0A99ADD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p>
        </w:tc>
        <w:tc>
          <w:tcPr>
            <w:tcW w:w="3157" w:type="pct"/>
          </w:tcPr>
          <w:p w14:paraId="44ADE7F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蝦皮娛樂公司補正相關資料：港籍人士「</w:t>
            </w:r>
            <w:r w:rsidRPr="00C1788C">
              <w:rPr>
                <w:rFonts w:hAnsi="標楷體"/>
                <w:bCs/>
                <w:spacing w:val="-20"/>
                <w:sz w:val="28"/>
                <w:szCs w:val="28"/>
              </w:rPr>
              <w:t>Yang</w:t>
            </w:r>
            <w:r w:rsidRPr="00C1788C">
              <w:rPr>
                <w:rFonts w:hAnsi="標楷體" w:hint="eastAsia"/>
                <w:bCs/>
                <w:spacing w:val="-20"/>
                <w:sz w:val="28"/>
                <w:szCs w:val="28"/>
              </w:rPr>
              <w:t xml:space="preserve"> </w:t>
            </w:r>
            <w:r w:rsidRPr="00C1788C">
              <w:rPr>
                <w:rFonts w:hAnsi="標楷體"/>
                <w:bCs/>
                <w:spacing w:val="-20"/>
                <w:sz w:val="28"/>
                <w:szCs w:val="28"/>
              </w:rPr>
              <w:t>Siu</w:t>
            </w:r>
            <w:r w:rsidRPr="00C1788C">
              <w:rPr>
                <w:rFonts w:hAnsi="標楷體" w:hint="eastAsia"/>
                <w:bCs/>
                <w:spacing w:val="-20"/>
                <w:sz w:val="28"/>
                <w:szCs w:val="28"/>
              </w:rPr>
              <w:t xml:space="preserve"> </w:t>
            </w:r>
            <w:r w:rsidRPr="00C1788C">
              <w:rPr>
                <w:rFonts w:hAnsi="標楷體"/>
                <w:bCs/>
                <w:spacing w:val="-20"/>
                <w:sz w:val="28"/>
                <w:szCs w:val="28"/>
              </w:rPr>
              <w:t>Shun</w:t>
            </w:r>
            <w:r w:rsidRPr="00C1788C">
              <w:rPr>
                <w:rFonts w:hAnsi="標楷體" w:hint="eastAsia"/>
                <w:bCs/>
                <w:spacing w:val="-20"/>
                <w:sz w:val="28"/>
                <w:szCs w:val="28"/>
              </w:rPr>
              <w:t>」</w:t>
            </w:r>
            <w:r w:rsidRPr="00C1788C">
              <w:rPr>
                <w:rFonts w:hAnsi="標楷體"/>
                <w:bCs/>
                <w:spacing w:val="-20"/>
                <w:sz w:val="28"/>
                <w:szCs w:val="28"/>
              </w:rPr>
              <w:t>(楊紹信)</w:t>
            </w:r>
            <w:r w:rsidRPr="00C1788C">
              <w:rPr>
                <w:rFonts w:hAnsi="標楷體" w:hint="eastAsia"/>
                <w:bCs/>
                <w:spacing w:val="-20"/>
                <w:sz w:val="28"/>
                <w:szCs w:val="28"/>
              </w:rPr>
              <w:t>僅</w:t>
            </w:r>
            <w:proofErr w:type="gramStart"/>
            <w:r w:rsidRPr="00C1788C">
              <w:rPr>
                <w:rFonts w:hAnsi="標楷體" w:hint="eastAsia"/>
                <w:bCs/>
                <w:spacing w:val="-20"/>
                <w:sz w:val="28"/>
                <w:szCs w:val="28"/>
              </w:rPr>
              <w:t>係騰訊控</w:t>
            </w:r>
            <w:proofErr w:type="gramEnd"/>
            <w:r w:rsidRPr="00C1788C">
              <w:rPr>
                <w:rFonts w:hAnsi="標楷體" w:hint="eastAsia"/>
                <w:bCs/>
                <w:spacing w:val="-20"/>
                <w:sz w:val="28"/>
                <w:szCs w:val="28"/>
              </w:rPr>
              <w:t>股之獨立非執行董事，</w:t>
            </w:r>
            <w:proofErr w:type="gramStart"/>
            <w:r w:rsidRPr="00C1788C">
              <w:rPr>
                <w:rFonts w:hAnsi="標楷體" w:hint="eastAsia"/>
                <w:bCs/>
                <w:spacing w:val="-20"/>
                <w:sz w:val="28"/>
                <w:szCs w:val="28"/>
              </w:rPr>
              <w:t>騰訊控</w:t>
            </w:r>
            <w:proofErr w:type="gramEnd"/>
            <w:r w:rsidRPr="00C1788C">
              <w:rPr>
                <w:rFonts w:hAnsi="標楷體" w:hint="eastAsia"/>
                <w:bCs/>
                <w:spacing w:val="-20"/>
                <w:sz w:val="28"/>
                <w:szCs w:val="28"/>
              </w:rPr>
              <w:t>股對</w:t>
            </w:r>
            <w:r w:rsidRPr="00C1788C">
              <w:rPr>
                <w:rFonts w:hAnsi="標楷體"/>
                <w:bCs/>
                <w:spacing w:val="-20"/>
                <w:sz w:val="28"/>
                <w:szCs w:val="28"/>
              </w:rPr>
              <w:t>Sea Limited</w:t>
            </w:r>
            <w:r w:rsidRPr="00C1788C">
              <w:rPr>
                <w:rFonts w:hAnsi="標楷體" w:hint="eastAsia"/>
                <w:bCs/>
                <w:spacing w:val="-20"/>
                <w:sz w:val="28"/>
                <w:szCs w:val="28"/>
              </w:rPr>
              <w:t>之持股約</w:t>
            </w:r>
            <w:r w:rsidRPr="00C1788C">
              <w:rPr>
                <w:rFonts w:hAnsi="標楷體"/>
                <w:bCs/>
                <w:spacing w:val="-20"/>
                <w:sz w:val="28"/>
                <w:szCs w:val="28"/>
              </w:rPr>
              <w:t>18%，</w:t>
            </w:r>
            <w:r w:rsidRPr="00C1788C">
              <w:rPr>
                <w:rFonts w:hAnsi="標楷體" w:hint="eastAsia"/>
                <w:bCs/>
                <w:spacing w:val="-20"/>
                <w:sz w:val="28"/>
                <w:szCs w:val="28"/>
              </w:rPr>
              <w:t>且無控制力。</w:t>
            </w:r>
          </w:p>
        </w:tc>
      </w:tr>
      <w:tr w:rsidR="009D6778" w:rsidRPr="00C1788C" w14:paraId="2BA451D3" w14:textId="77777777" w:rsidTr="00EE4465">
        <w:trPr>
          <w:trHeight w:val="340"/>
        </w:trPr>
        <w:tc>
          <w:tcPr>
            <w:tcW w:w="800" w:type="pct"/>
          </w:tcPr>
          <w:p w14:paraId="349828C0"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13.11.8</w:t>
            </w:r>
          </w:p>
          <w:p w14:paraId="4C602591"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13.12.20</w:t>
            </w:r>
          </w:p>
        </w:tc>
        <w:tc>
          <w:tcPr>
            <w:tcW w:w="1043" w:type="pct"/>
          </w:tcPr>
          <w:p w14:paraId="1F8E0105"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w:t>
            </w:r>
            <w:r w:rsidRPr="00C1788C">
              <w:rPr>
                <w:rFonts w:hAnsi="標楷體"/>
                <w:bCs/>
                <w:spacing w:val="-20"/>
                <w:sz w:val="28"/>
                <w:szCs w:val="28"/>
              </w:rPr>
              <w:t>11320900990</w:t>
            </w:r>
            <w:r w:rsidRPr="00C1788C">
              <w:rPr>
                <w:rFonts w:hAnsi="標楷體" w:hint="eastAsia"/>
                <w:bCs/>
                <w:spacing w:val="-20"/>
                <w:sz w:val="28"/>
                <w:szCs w:val="28"/>
              </w:rPr>
              <w:t>、</w:t>
            </w:r>
            <w:r w:rsidRPr="00C1788C">
              <w:rPr>
                <w:rFonts w:hAnsi="標楷體"/>
                <w:bCs/>
                <w:spacing w:val="-20"/>
                <w:sz w:val="28"/>
                <w:szCs w:val="28"/>
              </w:rPr>
              <w:t>11320901020</w:t>
            </w:r>
            <w:r w:rsidRPr="00C1788C">
              <w:rPr>
                <w:rFonts w:hAnsi="標楷體" w:hint="eastAsia"/>
                <w:bCs/>
                <w:spacing w:val="-20"/>
                <w:sz w:val="28"/>
                <w:szCs w:val="28"/>
              </w:rPr>
              <w:t>號</w:t>
            </w:r>
          </w:p>
        </w:tc>
        <w:tc>
          <w:tcPr>
            <w:tcW w:w="3157" w:type="pct"/>
          </w:tcPr>
          <w:p w14:paraId="25C9F263"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邀請陸委會、國安局等單位召開工作小組會議，會議決議申請人應符合外國人投資條例之規定，</w:t>
            </w:r>
            <w:proofErr w:type="gramStart"/>
            <w:r w:rsidRPr="00C1788C">
              <w:rPr>
                <w:rFonts w:hAnsi="標楷體" w:hint="eastAsia"/>
                <w:bCs/>
                <w:spacing w:val="-20"/>
                <w:sz w:val="28"/>
                <w:szCs w:val="28"/>
              </w:rPr>
              <w:t>另附款要求</w:t>
            </w:r>
            <w:proofErr w:type="gramEnd"/>
            <w:r w:rsidRPr="00C1788C">
              <w:rPr>
                <w:rFonts w:hAnsi="標楷體" w:hint="eastAsia"/>
                <w:bCs/>
                <w:spacing w:val="-20"/>
                <w:sz w:val="28"/>
                <w:szCs w:val="28"/>
              </w:rPr>
              <w:t>應善盡保護客戶資料並遵循個資等相關規定。</w:t>
            </w:r>
          </w:p>
          <w:p w14:paraId="4F648413" w14:textId="77777777" w:rsidR="009D6778" w:rsidRPr="00C1788C" w:rsidRDefault="009D6778" w:rsidP="00BA164C">
            <w:pPr>
              <w:pStyle w:val="af7"/>
              <w:adjustRightInd w:val="0"/>
              <w:snapToGrid w:val="0"/>
              <w:spacing w:line="320" w:lineRule="exact"/>
              <w:ind w:leftChars="0" w:left="224" w:hangingChars="86" w:hanging="224"/>
              <w:rPr>
                <w:rFonts w:hAnsi="標楷體"/>
                <w:bCs/>
                <w:spacing w:val="-20"/>
                <w:sz w:val="28"/>
                <w:szCs w:val="28"/>
              </w:rPr>
            </w:pPr>
            <w:r w:rsidRPr="00C1788C">
              <w:rPr>
                <w:rFonts w:hAnsi="標楷體" w:hint="eastAsia"/>
                <w:bCs/>
                <w:spacing w:val="-20"/>
                <w:sz w:val="28"/>
                <w:szCs w:val="28"/>
              </w:rPr>
              <w:t>1.本案申請人及其上層股權結構中主要控制股東尚無陸資持股超過30%，或具有控制能力。</w:t>
            </w:r>
          </w:p>
          <w:p w14:paraId="5E2BAB03" w14:textId="77777777" w:rsidR="009D6778" w:rsidRPr="00C1788C" w:rsidRDefault="009D6778" w:rsidP="00BA164C">
            <w:pPr>
              <w:pStyle w:val="af7"/>
              <w:adjustRightInd w:val="0"/>
              <w:snapToGrid w:val="0"/>
              <w:spacing w:line="320" w:lineRule="exact"/>
              <w:ind w:leftChars="0" w:left="224" w:hangingChars="86" w:hanging="224"/>
              <w:rPr>
                <w:rFonts w:hAnsi="標楷體"/>
                <w:bCs/>
                <w:spacing w:val="-20"/>
                <w:sz w:val="28"/>
                <w:szCs w:val="28"/>
              </w:rPr>
            </w:pPr>
            <w:r w:rsidRPr="00C1788C">
              <w:rPr>
                <w:rFonts w:hAnsi="標楷體" w:hint="eastAsia"/>
                <w:bCs/>
                <w:spacing w:val="-20"/>
                <w:sz w:val="28"/>
                <w:szCs w:val="28"/>
              </w:rPr>
              <w:t>2.</w:t>
            </w:r>
            <w:proofErr w:type="gramStart"/>
            <w:r w:rsidRPr="00C1788C">
              <w:rPr>
                <w:rFonts w:hAnsi="標楷體" w:hint="eastAsia"/>
                <w:bCs/>
                <w:spacing w:val="-20"/>
                <w:sz w:val="28"/>
                <w:szCs w:val="28"/>
              </w:rPr>
              <w:t>依案附獨立</w:t>
            </w:r>
            <w:proofErr w:type="gramEnd"/>
            <w:r w:rsidRPr="00C1788C">
              <w:rPr>
                <w:rFonts w:hAnsi="標楷體" w:hint="eastAsia"/>
                <w:bCs/>
                <w:spacing w:val="-20"/>
                <w:sz w:val="28"/>
                <w:szCs w:val="28"/>
              </w:rPr>
              <w:t>會計師唐民澤會計師出具之查核及評估報告表示，申請人之</w:t>
            </w:r>
            <w:proofErr w:type="gramStart"/>
            <w:r w:rsidRPr="00C1788C">
              <w:rPr>
                <w:rFonts w:hAnsi="標楷體" w:hint="eastAsia"/>
                <w:bCs/>
                <w:spacing w:val="-20"/>
                <w:sz w:val="28"/>
                <w:szCs w:val="28"/>
              </w:rPr>
              <w:t>上層控</w:t>
            </w:r>
            <w:proofErr w:type="gramEnd"/>
            <w:r w:rsidRPr="00C1788C">
              <w:rPr>
                <w:rFonts w:hAnsi="標楷體" w:hint="eastAsia"/>
                <w:bCs/>
                <w:spacing w:val="-20"/>
                <w:sz w:val="28"/>
                <w:szCs w:val="28"/>
              </w:rPr>
              <w:t>股公司中，並無證據顯示各該</w:t>
            </w:r>
            <w:proofErr w:type="gramStart"/>
            <w:r w:rsidRPr="00C1788C">
              <w:rPr>
                <w:rFonts w:hAnsi="標楷體" w:hint="eastAsia"/>
                <w:bCs/>
                <w:spacing w:val="-20"/>
                <w:sz w:val="28"/>
                <w:szCs w:val="28"/>
              </w:rPr>
              <w:t>公司屬陸資</w:t>
            </w:r>
            <w:proofErr w:type="gramEnd"/>
            <w:r w:rsidRPr="00C1788C">
              <w:rPr>
                <w:rFonts w:hAnsi="標楷體" w:hint="eastAsia"/>
                <w:bCs/>
                <w:spacing w:val="-20"/>
                <w:sz w:val="28"/>
                <w:szCs w:val="28"/>
              </w:rPr>
              <w:t>於第三地區投資之公司，亦無證據顯示陸資對各該公司具有控制能力。</w:t>
            </w:r>
          </w:p>
          <w:p w14:paraId="4C4C7153" w14:textId="77777777" w:rsidR="009D6778" w:rsidRPr="00C1788C" w:rsidRDefault="009D6778" w:rsidP="00BA164C">
            <w:pPr>
              <w:pStyle w:val="af7"/>
              <w:adjustRightInd w:val="0"/>
              <w:snapToGrid w:val="0"/>
              <w:spacing w:line="320" w:lineRule="exact"/>
              <w:ind w:leftChars="0" w:left="224" w:hangingChars="86" w:hanging="224"/>
              <w:rPr>
                <w:rFonts w:hAnsi="標楷體"/>
                <w:bCs/>
                <w:spacing w:val="-20"/>
                <w:sz w:val="28"/>
                <w:szCs w:val="28"/>
              </w:rPr>
            </w:pPr>
            <w:r w:rsidRPr="00C1788C">
              <w:rPr>
                <w:rFonts w:hAnsi="標楷體" w:hint="eastAsia"/>
                <w:bCs/>
                <w:spacing w:val="-20"/>
                <w:sz w:val="28"/>
                <w:szCs w:val="28"/>
              </w:rPr>
              <w:t>3.對Sea Limited具有控制力之新加坡籍創辦人Forrest Li雖出生於中國大陸，惟已於西元(下同)2016年6月取得新加坡國籍。又依國安局資料，Forrest Li於2016年6月改持新加坡護照入境我國；另一名主要個人股東Gang Ye亦為大陸出生，自2010年持新加坡護照入出境我國。</w:t>
            </w:r>
          </w:p>
        </w:tc>
      </w:tr>
      <w:tr w:rsidR="009D6778" w:rsidRPr="00C1788C" w14:paraId="45E5799B" w14:textId="77777777" w:rsidTr="00EE4465">
        <w:trPr>
          <w:trHeight w:val="340"/>
        </w:trPr>
        <w:tc>
          <w:tcPr>
            <w:tcW w:w="800" w:type="pct"/>
          </w:tcPr>
          <w:p w14:paraId="59E3C8DE"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1</w:t>
            </w:r>
            <w:r w:rsidRPr="00C1788C">
              <w:rPr>
                <w:rFonts w:hAnsi="標楷體"/>
                <w:bCs/>
                <w:spacing w:val="-20"/>
                <w:sz w:val="28"/>
                <w:szCs w:val="28"/>
              </w:rPr>
              <w:t>13.12.12</w:t>
            </w:r>
          </w:p>
        </w:tc>
        <w:tc>
          <w:tcPr>
            <w:tcW w:w="1043" w:type="pct"/>
          </w:tcPr>
          <w:p w14:paraId="129DD5DA"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經審</w:t>
            </w:r>
            <w:proofErr w:type="gramStart"/>
            <w:r w:rsidRPr="00C1788C">
              <w:rPr>
                <w:rFonts w:hAnsi="標楷體" w:hint="eastAsia"/>
                <w:bCs/>
                <w:spacing w:val="-20"/>
                <w:sz w:val="28"/>
                <w:szCs w:val="28"/>
              </w:rPr>
              <w:t>臺</w:t>
            </w:r>
            <w:proofErr w:type="gramEnd"/>
            <w:r w:rsidRPr="00C1788C">
              <w:rPr>
                <w:rFonts w:hAnsi="標楷體" w:hint="eastAsia"/>
                <w:bCs/>
                <w:spacing w:val="-20"/>
                <w:sz w:val="28"/>
                <w:szCs w:val="28"/>
              </w:rPr>
              <w:t>字第1</w:t>
            </w:r>
            <w:r w:rsidRPr="00C1788C">
              <w:rPr>
                <w:rFonts w:hAnsi="標楷體"/>
                <w:bCs/>
                <w:spacing w:val="-20"/>
                <w:sz w:val="28"/>
                <w:szCs w:val="28"/>
              </w:rPr>
              <w:t>1320128110</w:t>
            </w:r>
            <w:r w:rsidRPr="00C1788C">
              <w:rPr>
                <w:rFonts w:hAnsi="標楷體" w:hint="eastAsia"/>
                <w:bCs/>
                <w:spacing w:val="-20"/>
                <w:sz w:val="28"/>
                <w:szCs w:val="28"/>
              </w:rPr>
              <w:t>號</w:t>
            </w:r>
          </w:p>
        </w:tc>
        <w:tc>
          <w:tcPr>
            <w:tcW w:w="3157" w:type="pct"/>
          </w:tcPr>
          <w:p w14:paraId="4C21C092" w14:textId="77777777" w:rsidR="009D6778" w:rsidRPr="00C1788C" w:rsidRDefault="009D6778" w:rsidP="00BA164C">
            <w:pPr>
              <w:pStyle w:val="af7"/>
              <w:adjustRightInd w:val="0"/>
              <w:snapToGrid w:val="0"/>
              <w:spacing w:line="320" w:lineRule="exact"/>
              <w:ind w:leftChars="0" w:left="0"/>
              <w:rPr>
                <w:rFonts w:hAnsi="標楷體"/>
                <w:bCs/>
                <w:spacing w:val="-20"/>
                <w:sz w:val="28"/>
                <w:szCs w:val="28"/>
              </w:rPr>
            </w:pPr>
            <w:r w:rsidRPr="00C1788C">
              <w:rPr>
                <w:rFonts w:hAnsi="標楷體" w:hint="eastAsia"/>
                <w:bCs/>
                <w:spacing w:val="-20"/>
                <w:sz w:val="28"/>
                <w:szCs w:val="28"/>
              </w:rPr>
              <w:t>核准投資，惟於</w:t>
            </w:r>
            <w:proofErr w:type="gramStart"/>
            <w:r w:rsidRPr="00C1788C">
              <w:rPr>
                <w:rFonts w:hAnsi="標楷體" w:hint="eastAsia"/>
                <w:bCs/>
                <w:spacing w:val="-20"/>
                <w:sz w:val="28"/>
                <w:szCs w:val="28"/>
              </w:rPr>
              <w:t>核准函列示</w:t>
            </w:r>
            <w:proofErr w:type="gramEnd"/>
            <w:r w:rsidRPr="00C1788C">
              <w:rPr>
                <w:rFonts w:hAnsi="標楷體" w:hint="eastAsia"/>
                <w:bCs/>
                <w:spacing w:val="-20"/>
                <w:sz w:val="28"/>
                <w:szCs w:val="28"/>
              </w:rPr>
              <w:t>，應遵循個人資料保護法(</w:t>
            </w:r>
            <w:proofErr w:type="gramStart"/>
            <w:r w:rsidRPr="00C1788C">
              <w:rPr>
                <w:rFonts w:hAnsi="標楷體" w:hint="eastAsia"/>
                <w:bCs/>
                <w:spacing w:val="-20"/>
                <w:sz w:val="28"/>
                <w:szCs w:val="28"/>
              </w:rPr>
              <w:t>下稱個資</w:t>
            </w:r>
            <w:proofErr w:type="gramEnd"/>
            <w:r w:rsidRPr="00C1788C">
              <w:rPr>
                <w:rFonts w:hAnsi="標楷體" w:hint="eastAsia"/>
                <w:bCs/>
                <w:spacing w:val="-20"/>
                <w:sz w:val="28"/>
                <w:szCs w:val="28"/>
              </w:rPr>
              <w:t>法)規定。</w:t>
            </w:r>
          </w:p>
        </w:tc>
      </w:tr>
    </w:tbl>
    <w:p w14:paraId="0F76FD9D" w14:textId="77777777" w:rsidR="009D6778" w:rsidRPr="00C1788C" w:rsidRDefault="009D6778" w:rsidP="009D6778">
      <w:pPr>
        <w:pStyle w:val="af5"/>
        <w:rPr>
          <w:rFonts w:hAnsi="標楷體"/>
        </w:rPr>
      </w:pPr>
      <w:r w:rsidRPr="00C1788C">
        <w:rPr>
          <w:rFonts w:hAnsi="標楷體" w:hint="eastAsia"/>
        </w:rPr>
        <w:t>資料來源：經濟部提供本院資料。</w:t>
      </w:r>
    </w:p>
    <w:p w14:paraId="3017E43F" w14:textId="7F61578B" w:rsidR="00B82F1B" w:rsidRPr="00C1788C" w:rsidRDefault="00B82F1B" w:rsidP="00320890">
      <w:pPr>
        <w:pStyle w:val="3"/>
        <w:rPr>
          <w:rFonts w:hAnsi="標楷體"/>
        </w:rPr>
      </w:pPr>
      <w:proofErr w:type="gramStart"/>
      <w:r w:rsidRPr="00C1788C">
        <w:rPr>
          <w:rFonts w:hAnsi="標楷體" w:hint="eastAsia"/>
        </w:rPr>
        <w:t>揆</w:t>
      </w:r>
      <w:proofErr w:type="gramEnd"/>
      <w:r w:rsidRPr="00C1788C">
        <w:rPr>
          <w:rFonts w:hAnsi="標楷體" w:hint="eastAsia"/>
        </w:rPr>
        <w:t>以</w:t>
      </w:r>
      <w:r w:rsidR="0047049F" w:rsidRPr="00C1788C">
        <w:rPr>
          <w:rFonts w:hAnsi="標楷體"/>
        </w:rPr>
        <w:t>蝦皮投資案</w:t>
      </w:r>
      <w:r w:rsidRPr="00C1788C">
        <w:rPr>
          <w:rFonts w:hAnsi="標楷體"/>
        </w:rPr>
        <w:t>審查過程，</w:t>
      </w:r>
      <w:r w:rsidRPr="00C1788C">
        <w:rPr>
          <w:rFonts w:hAnsi="標楷體" w:hint="eastAsia"/>
        </w:rPr>
        <w:t>經濟部投審司先</w:t>
      </w:r>
      <w:r w:rsidRPr="00C1788C">
        <w:rPr>
          <w:rFonts w:hAnsi="標楷體"/>
        </w:rPr>
        <w:t>依循既</w:t>
      </w:r>
      <w:r w:rsidRPr="00C1788C">
        <w:rPr>
          <w:rFonts w:hAnsi="標楷體"/>
        </w:rPr>
        <w:lastRenderedPageBreak/>
        <w:t>有函</w:t>
      </w:r>
      <w:proofErr w:type="gramStart"/>
      <w:r w:rsidRPr="00C1788C">
        <w:rPr>
          <w:rFonts w:hAnsi="標楷體"/>
        </w:rPr>
        <w:t>詢</w:t>
      </w:r>
      <w:proofErr w:type="gramEnd"/>
      <w:r w:rsidRPr="00C1788C">
        <w:rPr>
          <w:rFonts w:hAnsi="標楷體" w:hint="eastAsia"/>
        </w:rPr>
        <w:t>相關機關</w:t>
      </w:r>
      <w:r w:rsidRPr="00C1788C">
        <w:rPr>
          <w:rFonts w:hAnsi="標楷體"/>
        </w:rPr>
        <w:t>程序</w:t>
      </w:r>
      <w:r w:rsidRPr="00C1788C">
        <w:rPr>
          <w:rFonts w:hAnsi="標楷體" w:hint="eastAsia"/>
        </w:rPr>
        <w:t>，依各機關回復尚有資料不足需</w:t>
      </w:r>
      <w:proofErr w:type="gramStart"/>
      <w:r w:rsidRPr="00C1788C">
        <w:rPr>
          <w:rFonts w:hAnsi="標楷體" w:hint="eastAsia"/>
        </w:rPr>
        <w:t>釐</w:t>
      </w:r>
      <w:proofErr w:type="gramEnd"/>
      <w:r w:rsidRPr="00C1788C">
        <w:rPr>
          <w:rFonts w:hAnsi="標楷體" w:hint="eastAsia"/>
        </w:rPr>
        <w:t>清部分，</w:t>
      </w:r>
      <w:r w:rsidR="00A63CDB" w:rsidRPr="00C1788C">
        <w:rPr>
          <w:rFonts w:hAnsi="標楷體" w:hint="eastAsia"/>
        </w:rPr>
        <w:t>再</w:t>
      </w:r>
      <w:r w:rsidRPr="00C1788C">
        <w:rPr>
          <w:rFonts w:hAnsi="標楷體" w:hint="eastAsia"/>
        </w:rPr>
        <w:t>分次請申請人補正資料，</w:t>
      </w:r>
      <w:proofErr w:type="gramStart"/>
      <w:r w:rsidR="00A63CDB" w:rsidRPr="00C1788C">
        <w:rPr>
          <w:rFonts w:hAnsi="標楷體" w:hint="eastAsia"/>
        </w:rPr>
        <w:t>嗣</w:t>
      </w:r>
      <w:proofErr w:type="gramEnd"/>
      <w:r w:rsidR="00A63CDB" w:rsidRPr="00C1788C">
        <w:rPr>
          <w:rFonts w:hAnsi="標楷體" w:hint="eastAsia"/>
        </w:rPr>
        <w:t>申請人補正資料後，</w:t>
      </w:r>
      <w:proofErr w:type="gramStart"/>
      <w:r w:rsidR="00A63CDB" w:rsidRPr="00C1788C">
        <w:rPr>
          <w:rFonts w:hAnsi="標楷體" w:hint="eastAsia"/>
        </w:rPr>
        <w:t>又轉函送</w:t>
      </w:r>
      <w:proofErr w:type="gramEnd"/>
      <w:r w:rsidR="00A63CDB" w:rsidRPr="00C1788C">
        <w:rPr>
          <w:rFonts w:hAnsi="標楷體" w:hint="eastAsia"/>
        </w:rPr>
        <w:t>各機關審查</w:t>
      </w:r>
      <w:r w:rsidRPr="00C1788C">
        <w:rPr>
          <w:rFonts w:hAnsi="標楷體"/>
        </w:rPr>
        <w:t>，</w:t>
      </w:r>
      <w:r w:rsidR="00A63CDB" w:rsidRPr="00C1788C">
        <w:rPr>
          <w:rFonts w:hAnsi="標楷體" w:hint="eastAsia"/>
        </w:rPr>
        <w:t>最後才</w:t>
      </w:r>
      <w:r w:rsidRPr="00C1788C">
        <w:rPr>
          <w:rFonts w:hAnsi="標楷體"/>
        </w:rPr>
        <w:t>進一步透過召開跨機關工作小組會議方式，針對複雜爭點進行集中討論與整合判斷，</w:t>
      </w:r>
      <w:r w:rsidR="00A63CDB" w:rsidRPr="00C1788C">
        <w:rPr>
          <w:rFonts w:hAnsi="標楷體" w:hint="eastAsia"/>
        </w:rPr>
        <w:t>方作成結論。</w:t>
      </w:r>
      <w:r w:rsidRPr="00C1788C">
        <w:rPr>
          <w:rFonts w:hAnsi="標楷體"/>
        </w:rPr>
        <w:t>惟從行政程序與制度面觀之，</w:t>
      </w:r>
      <w:r w:rsidR="0047049F" w:rsidRPr="00C1788C">
        <w:rPr>
          <w:rFonts w:hAnsi="標楷體"/>
        </w:rPr>
        <w:t>蝦皮投資案</w:t>
      </w:r>
      <w:r w:rsidRPr="00C1788C">
        <w:rPr>
          <w:rFonts w:hAnsi="標楷體"/>
        </w:rPr>
        <w:t>自113年5月30日提出申請，至</w:t>
      </w:r>
      <w:r w:rsidR="00BE7799" w:rsidRPr="00C1788C">
        <w:rPr>
          <w:rFonts w:hAnsi="標楷體" w:hint="eastAsia"/>
        </w:rPr>
        <w:t>同</w:t>
      </w:r>
      <w:r w:rsidRPr="00C1788C">
        <w:rPr>
          <w:rFonts w:hAnsi="標楷體"/>
        </w:rPr>
        <w:t>年12月12日核准，歷時</w:t>
      </w:r>
      <w:r w:rsidR="00BE7799" w:rsidRPr="00C1788C">
        <w:rPr>
          <w:rFonts w:hAnsi="標楷體" w:hint="eastAsia"/>
        </w:rPr>
        <w:t>約</w:t>
      </w:r>
      <w:r w:rsidRPr="00C1788C">
        <w:rPr>
          <w:rFonts w:hAnsi="標楷體"/>
        </w:rPr>
        <w:t>6個半月，</w:t>
      </w:r>
      <w:r w:rsidR="00BE7799" w:rsidRPr="00C1788C">
        <w:rPr>
          <w:rFonts w:hAnsi="標楷體" w:hint="eastAsia"/>
        </w:rPr>
        <w:t>較</w:t>
      </w:r>
      <w:r w:rsidR="00BE7799" w:rsidRPr="00C1788C">
        <w:rPr>
          <w:rFonts w:hAnsi="標楷體"/>
        </w:rPr>
        <w:t>外國人投資條例第8條所定涉及其他目的事業主管機關權限案件2個月之處理期間</w:t>
      </w:r>
      <w:r w:rsidR="00BE7799" w:rsidRPr="00C1788C">
        <w:rPr>
          <w:rFonts w:hAnsi="標楷體" w:hint="eastAsia"/>
        </w:rPr>
        <w:t>為長</w:t>
      </w:r>
      <w:r w:rsidR="00BE7799" w:rsidRPr="00C1788C">
        <w:rPr>
          <w:rFonts w:hAnsi="標楷體"/>
        </w:rPr>
        <w:t>。雖</w:t>
      </w:r>
      <w:r w:rsidR="00BE7799" w:rsidRPr="00C1788C">
        <w:rPr>
          <w:rFonts w:hAnsi="標楷體" w:hint="eastAsia"/>
        </w:rPr>
        <w:t>經濟部</w:t>
      </w:r>
      <w:r w:rsidR="00BE7799" w:rsidRPr="00C1788C">
        <w:rPr>
          <w:rFonts w:hAnsi="標楷體"/>
        </w:rPr>
        <w:t>得以申請資料尚未完備、須待補正及跨機關</w:t>
      </w:r>
      <w:proofErr w:type="gramStart"/>
      <w:r w:rsidR="00BE7799" w:rsidRPr="00C1788C">
        <w:rPr>
          <w:rFonts w:hAnsi="標楷體"/>
        </w:rPr>
        <w:t>釐</w:t>
      </w:r>
      <w:proofErr w:type="gramEnd"/>
      <w:r w:rsidR="00BE7799" w:rsidRPr="00C1788C">
        <w:rPr>
          <w:rFonts w:hAnsi="標楷體"/>
        </w:rPr>
        <w:t>清後始得起算法定期間為由</w:t>
      </w:r>
      <w:r w:rsidRPr="00C1788C">
        <w:rPr>
          <w:rFonts w:hAnsi="標楷體"/>
        </w:rPr>
        <w:t>，仍反映現行審查時程控管機制，在面對複雜案件時尚有不足</w:t>
      </w:r>
      <w:r w:rsidR="00BE7799" w:rsidRPr="00C1788C">
        <w:rPr>
          <w:rFonts w:hAnsi="標楷體" w:hint="eastAsia"/>
        </w:rPr>
        <w:t>，</w:t>
      </w:r>
      <w:r w:rsidR="00BE7799" w:rsidRPr="00C1788C">
        <w:rPr>
          <w:rFonts w:hAnsi="標楷體"/>
        </w:rPr>
        <w:t>亦</w:t>
      </w:r>
      <w:r w:rsidR="00BE7799" w:rsidRPr="00C1788C">
        <w:rPr>
          <w:rFonts w:hAnsi="標楷體" w:hint="eastAsia"/>
        </w:rPr>
        <w:t>顯示</w:t>
      </w:r>
      <w:r w:rsidR="00BE7799" w:rsidRPr="00C1788C">
        <w:rPr>
          <w:rFonts w:hAnsi="標楷體"/>
        </w:rPr>
        <w:t>現行跨機關審查與補件流程，仍欠缺較明確之期限管理及標準化作業機制</w:t>
      </w:r>
      <w:r w:rsidRPr="00C1788C">
        <w:rPr>
          <w:rFonts w:hAnsi="標楷體"/>
        </w:rPr>
        <w:t>。進一步觀察，</w:t>
      </w:r>
      <w:r w:rsidR="0047049F" w:rsidRPr="00C1788C">
        <w:rPr>
          <w:rFonts w:hAnsi="標楷體"/>
        </w:rPr>
        <w:t>蝦皮投資案</w:t>
      </w:r>
      <w:r w:rsidRPr="00C1788C">
        <w:rPr>
          <w:rFonts w:hAnsi="標楷體"/>
        </w:rPr>
        <w:t>審查歷程中，補件、函</w:t>
      </w:r>
      <w:proofErr w:type="gramStart"/>
      <w:r w:rsidRPr="00C1788C">
        <w:rPr>
          <w:rFonts w:hAnsi="標楷體"/>
        </w:rPr>
        <w:t>詢</w:t>
      </w:r>
      <w:proofErr w:type="gramEnd"/>
      <w:r w:rsidRPr="00C1788C">
        <w:rPr>
          <w:rFonts w:hAnsi="標楷體"/>
        </w:rPr>
        <w:t>及會議召開等程序多屬逐步進行，部分審查</w:t>
      </w:r>
      <w:proofErr w:type="gramStart"/>
      <w:r w:rsidRPr="00C1788C">
        <w:rPr>
          <w:rFonts w:hAnsi="標楷體"/>
        </w:rPr>
        <w:t>節點間尚有</w:t>
      </w:r>
      <w:proofErr w:type="gramEnd"/>
      <w:r w:rsidRPr="00C1788C">
        <w:rPr>
          <w:rFonts w:hAnsi="標楷體"/>
        </w:rPr>
        <w:t>時間落差，顯示整體流程仍偏向「序列式處理」</w:t>
      </w:r>
      <w:r w:rsidR="00BE0410" w:rsidRPr="00C1788C">
        <w:rPr>
          <w:rFonts w:hAnsi="標楷體" w:hint="eastAsia"/>
        </w:rPr>
        <w:t>模式</w:t>
      </w:r>
      <w:r w:rsidRPr="00C1788C">
        <w:rPr>
          <w:rFonts w:hAnsi="標楷體"/>
        </w:rPr>
        <w:t>，尚未發展為高度整合之並行審查機制。</w:t>
      </w:r>
      <w:proofErr w:type="gramStart"/>
      <w:r w:rsidRPr="00C1788C">
        <w:rPr>
          <w:rFonts w:hAnsi="標楷體"/>
        </w:rPr>
        <w:t>此外，</w:t>
      </w:r>
      <w:proofErr w:type="gramEnd"/>
      <w:r w:rsidRPr="00C1788C">
        <w:rPr>
          <w:rFonts w:hAnsi="標楷體"/>
        </w:rPr>
        <w:t>跨機關會議雖有助於整合意見，惟其啟動時點較晚</w:t>
      </w:r>
      <w:r w:rsidR="00891A53" w:rsidRPr="00C1788C">
        <w:rPr>
          <w:rFonts w:hAnsi="標楷體" w:hint="eastAsia"/>
        </w:rPr>
        <w:t>(</w:t>
      </w:r>
      <w:r w:rsidRPr="00C1788C">
        <w:rPr>
          <w:rFonts w:hAnsi="標楷體"/>
        </w:rPr>
        <w:t>於</w:t>
      </w:r>
      <w:r w:rsidR="00891A53" w:rsidRPr="00C1788C">
        <w:rPr>
          <w:rFonts w:hAnsi="標楷體" w:hint="eastAsia"/>
        </w:rPr>
        <w:t>同年</w:t>
      </w:r>
      <w:r w:rsidRPr="00C1788C">
        <w:rPr>
          <w:rFonts w:hAnsi="標楷體"/>
        </w:rPr>
        <w:t>11月</w:t>
      </w:r>
      <w:r w:rsidR="00E36448" w:rsidRPr="00C1788C">
        <w:rPr>
          <w:rFonts w:hAnsi="標楷體" w:hint="eastAsia"/>
        </w:rPr>
        <w:t>15日</w:t>
      </w:r>
      <w:r w:rsidRPr="00C1788C">
        <w:rPr>
          <w:rFonts w:hAnsi="標楷體"/>
        </w:rPr>
        <w:t>始召開</w:t>
      </w:r>
      <w:r w:rsidR="00891A53" w:rsidRPr="00C1788C">
        <w:rPr>
          <w:rFonts w:hAnsi="標楷體" w:hint="eastAsia"/>
        </w:rPr>
        <w:t>)</w:t>
      </w:r>
      <w:r w:rsidRPr="00C1788C">
        <w:rPr>
          <w:rFonts w:hAnsi="標楷體"/>
        </w:rPr>
        <w:t>，亦可能影響整體審查時程。</w:t>
      </w:r>
      <w:r w:rsidR="00BE7799" w:rsidRPr="00C1788C">
        <w:rPr>
          <w:rFonts w:hAnsi="標楷體"/>
        </w:rPr>
        <w:t>是</w:t>
      </w:r>
      <w:proofErr w:type="gramStart"/>
      <w:r w:rsidR="00BE7799" w:rsidRPr="00C1788C">
        <w:rPr>
          <w:rFonts w:hAnsi="標楷體"/>
        </w:rPr>
        <w:t>以</w:t>
      </w:r>
      <w:proofErr w:type="gramEnd"/>
      <w:r w:rsidR="00BE7799" w:rsidRPr="00C1788C">
        <w:rPr>
          <w:rFonts w:hAnsi="標楷體"/>
        </w:rPr>
        <w:t>，未來如能於案件初期即啟動跨機關協作機制，並同步進行資料審查與意見整合，或建立明確之審查節點與時程控管方式，將有助於縮短整體審查期間。</w:t>
      </w:r>
      <w:proofErr w:type="gramStart"/>
      <w:r w:rsidR="00BE7799" w:rsidRPr="00C1788C">
        <w:rPr>
          <w:rFonts w:hAnsi="標楷體"/>
        </w:rPr>
        <w:t>此外，</w:t>
      </w:r>
      <w:proofErr w:type="gramEnd"/>
      <w:r w:rsidR="00BE7799" w:rsidRPr="00C1788C">
        <w:rPr>
          <w:rFonts w:hAnsi="標楷體"/>
        </w:rPr>
        <w:t>對於補件程序、機關回復期限及會議運作模式，如能進一步制度化與標準化，亦可提升審查效率並降低個案差異。</w:t>
      </w:r>
    </w:p>
    <w:p w14:paraId="1351E0C2" w14:textId="1D72693C" w:rsidR="00BE7799" w:rsidRPr="00C1788C" w:rsidRDefault="00BE7799">
      <w:pPr>
        <w:pStyle w:val="3"/>
        <w:rPr>
          <w:rFonts w:hAnsi="標楷體"/>
        </w:rPr>
      </w:pPr>
      <w:r w:rsidRPr="00C1788C">
        <w:rPr>
          <w:rFonts w:hAnsi="標楷體" w:hint="eastAsia"/>
        </w:rPr>
        <w:t>據上，經濟部投審司審核</w:t>
      </w:r>
      <w:r w:rsidR="00670082" w:rsidRPr="00C1788C">
        <w:rPr>
          <w:rFonts w:hAnsi="標楷體" w:hint="eastAsia"/>
        </w:rPr>
        <w:t>蝦皮</w:t>
      </w:r>
      <w:r w:rsidRPr="00C1788C">
        <w:rPr>
          <w:rFonts w:hAnsi="標楷體" w:hint="eastAsia"/>
        </w:rPr>
        <w:t>投資案是否為陸資之審查機制</w:t>
      </w:r>
      <w:r w:rsidR="003C6A1E" w:rsidRPr="00C1788C">
        <w:rPr>
          <w:rFonts w:hAnsi="標楷體" w:hint="eastAsia"/>
        </w:rPr>
        <w:t>，</w:t>
      </w:r>
      <w:r w:rsidRPr="00C1788C">
        <w:rPr>
          <w:rFonts w:hAnsi="標楷體" w:hint="eastAsia"/>
        </w:rPr>
        <w:t>係先</w:t>
      </w:r>
      <w:proofErr w:type="gramStart"/>
      <w:r w:rsidRPr="00C1788C">
        <w:rPr>
          <w:rFonts w:hAnsi="標楷體" w:hint="eastAsia"/>
        </w:rPr>
        <w:t>採</w:t>
      </w:r>
      <w:proofErr w:type="gramEnd"/>
      <w:r w:rsidRPr="00C1788C">
        <w:rPr>
          <w:rFonts w:hAnsi="標楷體" w:hint="eastAsia"/>
        </w:rPr>
        <w:t>數次函</w:t>
      </w:r>
      <w:proofErr w:type="gramStart"/>
      <w:r w:rsidRPr="00C1788C">
        <w:rPr>
          <w:rFonts w:hAnsi="標楷體" w:hint="eastAsia"/>
        </w:rPr>
        <w:t>詢</w:t>
      </w:r>
      <w:proofErr w:type="gramEnd"/>
      <w:r w:rsidRPr="00C1788C">
        <w:rPr>
          <w:rFonts w:hAnsi="標楷體" w:hint="eastAsia"/>
        </w:rPr>
        <w:t>相關機關，並多次函請申請人補正資料以</w:t>
      </w:r>
      <w:proofErr w:type="gramStart"/>
      <w:r w:rsidRPr="00C1788C">
        <w:rPr>
          <w:rFonts w:hAnsi="標楷體" w:hint="eastAsia"/>
        </w:rPr>
        <w:t>釐清爭</w:t>
      </w:r>
      <w:proofErr w:type="gramEnd"/>
      <w:r w:rsidRPr="00C1788C">
        <w:rPr>
          <w:rFonts w:hAnsi="標楷體" w:hint="eastAsia"/>
        </w:rPr>
        <w:t>點，審諸各機關資訊掌握差異，及審查流程反覆往返，且</w:t>
      </w:r>
      <w:r w:rsidRPr="00C1788C">
        <w:rPr>
          <w:rFonts w:hAnsi="標楷體"/>
        </w:rPr>
        <w:t>對關鍵疑義未形成</w:t>
      </w:r>
      <w:r w:rsidRPr="00C1788C">
        <w:rPr>
          <w:rFonts w:hAnsi="標楷體"/>
        </w:rPr>
        <w:lastRenderedPageBreak/>
        <w:t>具拘束力之整合判斷，決策責任分散，</w:t>
      </w:r>
      <w:r w:rsidRPr="00C1788C">
        <w:rPr>
          <w:rFonts w:hAnsi="標楷體" w:hint="eastAsia"/>
        </w:rPr>
        <w:t>亦</w:t>
      </w:r>
      <w:r w:rsidRPr="00C1788C">
        <w:rPr>
          <w:rFonts w:hAnsi="標楷體"/>
        </w:rPr>
        <w:t>影響審查嚴謹性</w:t>
      </w:r>
      <w:r w:rsidRPr="00C1788C">
        <w:rPr>
          <w:rFonts w:hAnsi="標楷體" w:hint="eastAsia"/>
        </w:rPr>
        <w:t>，</w:t>
      </w:r>
      <w:proofErr w:type="gramStart"/>
      <w:r w:rsidRPr="00C1788C">
        <w:rPr>
          <w:rFonts w:hAnsi="標楷體" w:hint="eastAsia"/>
        </w:rPr>
        <w:t>嗣</w:t>
      </w:r>
      <w:proofErr w:type="gramEnd"/>
      <w:r w:rsidRPr="00C1788C">
        <w:rPr>
          <w:rFonts w:hAnsi="標楷體" w:hint="eastAsia"/>
        </w:rPr>
        <w:t>該司召開工作小組會議整合意見後方作成決定</w:t>
      </w:r>
      <w:r w:rsidR="00786AA3" w:rsidRPr="00C1788C">
        <w:rPr>
          <w:rFonts w:hAnsi="標楷體" w:hint="eastAsia"/>
        </w:rPr>
        <w:t>。</w:t>
      </w:r>
      <w:r w:rsidRPr="00C1788C">
        <w:rPr>
          <w:rFonts w:hAnsi="標楷體" w:hint="eastAsia"/>
        </w:rPr>
        <w:t>惟自申</w:t>
      </w:r>
      <w:r w:rsidRPr="00C1788C">
        <w:rPr>
          <w:rFonts w:hAnsi="標楷體"/>
        </w:rPr>
        <w:t>請至核准歷時逾半年</w:t>
      </w:r>
      <w:r w:rsidR="003171EB" w:rsidRPr="00C1788C">
        <w:rPr>
          <w:rFonts w:hAnsi="標楷體" w:hint="eastAsia"/>
        </w:rPr>
        <w:t>，較</w:t>
      </w:r>
      <w:r w:rsidR="003171EB" w:rsidRPr="00C1788C">
        <w:rPr>
          <w:rFonts w:hAnsi="標楷體"/>
        </w:rPr>
        <w:t>外國人投資條例第8條所定涉及其他目的事業主管機關權限案件2個月之處理期間</w:t>
      </w:r>
      <w:r w:rsidR="003171EB" w:rsidRPr="00C1788C">
        <w:rPr>
          <w:rFonts w:hAnsi="標楷體" w:hint="eastAsia"/>
        </w:rPr>
        <w:t>為長</w:t>
      </w:r>
      <w:r w:rsidR="00786AA3" w:rsidRPr="00C1788C">
        <w:rPr>
          <w:rFonts w:hAnsi="標楷體" w:hint="eastAsia"/>
        </w:rPr>
        <w:t>，</w:t>
      </w:r>
      <w:r w:rsidR="003171EB" w:rsidRPr="00C1788C">
        <w:rPr>
          <w:rFonts w:hAnsi="標楷體"/>
        </w:rPr>
        <w:t>雖</w:t>
      </w:r>
      <w:r w:rsidR="003171EB" w:rsidRPr="00C1788C">
        <w:rPr>
          <w:rFonts w:hAnsi="標楷體" w:hint="eastAsia"/>
        </w:rPr>
        <w:t>該司</w:t>
      </w:r>
      <w:r w:rsidR="003171EB" w:rsidRPr="00C1788C">
        <w:rPr>
          <w:rFonts w:hAnsi="標楷體"/>
        </w:rPr>
        <w:t>得以申請資料尚未完備、須待補正及跨機關</w:t>
      </w:r>
      <w:proofErr w:type="gramStart"/>
      <w:r w:rsidR="003171EB" w:rsidRPr="00C1788C">
        <w:rPr>
          <w:rFonts w:hAnsi="標楷體"/>
        </w:rPr>
        <w:t>釐</w:t>
      </w:r>
      <w:proofErr w:type="gramEnd"/>
      <w:r w:rsidR="003171EB" w:rsidRPr="00C1788C">
        <w:rPr>
          <w:rFonts w:hAnsi="標楷體"/>
        </w:rPr>
        <w:t>清後始得起算法定期間為由，</w:t>
      </w:r>
      <w:r w:rsidRPr="00C1788C">
        <w:rPr>
          <w:rFonts w:hAnsi="標楷體" w:hint="eastAsia"/>
        </w:rPr>
        <w:t>仍顯示跨機關整合</w:t>
      </w:r>
      <w:r w:rsidR="00E36448" w:rsidRPr="00C1788C">
        <w:rPr>
          <w:rFonts w:hAnsi="標楷體" w:hint="eastAsia"/>
        </w:rPr>
        <w:t>意見</w:t>
      </w:r>
      <w:r w:rsidRPr="00C1788C">
        <w:rPr>
          <w:rFonts w:hAnsi="標楷體" w:hint="eastAsia"/>
        </w:rPr>
        <w:t>與審查效率尚有精進</w:t>
      </w:r>
      <w:r w:rsidR="0058501F" w:rsidRPr="00C1788C">
        <w:rPr>
          <w:rFonts w:hAnsi="標楷體" w:hint="eastAsia"/>
        </w:rPr>
        <w:t>之必要</w:t>
      </w:r>
      <w:r w:rsidRPr="00C1788C">
        <w:rPr>
          <w:rFonts w:hAnsi="標楷體" w:hint="eastAsia"/>
        </w:rPr>
        <w:t>。經濟部允宜檢討投資審查</w:t>
      </w:r>
      <w:r w:rsidRPr="00C1788C">
        <w:rPr>
          <w:rFonts w:hAnsi="標楷體"/>
        </w:rPr>
        <w:t>跨機關協作啟動時機、資訊整合方式及審查時程控管機制，逐步建立制度化作業模式，以兼顧審查品質與行政效率</w:t>
      </w:r>
      <w:r w:rsidRPr="00C1788C">
        <w:rPr>
          <w:rFonts w:hAnsi="標楷體" w:hint="eastAsia"/>
        </w:rPr>
        <w:t>。</w:t>
      </w:r>
    </w:p>
    <w:p w14:paraId="5F801615" w14:textId="51EA3C37" w:rsidR="0060127D" w:rsidRPr="00C1788C" w:rsidRDefault="0047049F" w:rsidP="00320890">
      <w:pPr>
        <w:pStyle w:val="2"/>
        <w:rPr>
          <w:rFonts w:hAnsi="標楷體"/>
          <w:b/>
          <w:bCs w:val="0"/>
        </w:rPr>
      </w:pPr>
      <w:r w:rsidRPr="00C1788C">
        <w:rPr>
          <w:rFonts w:hAnsi="標楷體"/>
          <w:b/>
          <w:bCs w:val="0"/>
        </w:rPr>
        <w:t>個人資料保護規範於蝦皮投資案審查中已</w:t>
      </w:r>
      <w:proofErr w:type="gramStart"/>
      <w:r w:rsidRPr="00C1788C">
        <w:rPr>
          <w:rFonts w:hAnsi="標楷體"/>
          <w:b/>
          <w:bCs w:val="0"/>
        </w:rPr>
        <w:t>納入附款要求</w:t>
      </w:r>
      <w:proofErr w:type="gramEnd"/>
      <w:r w:rsidRPr="00C1788C">
        <w:rPr>
          <w:rFonts w:hAnsi="標楷體"/>
          <w:b/>
          <w:bCs w:val="0"/>
        </w:rPr>
        <w:t>業者遵循現行法令並妥善保護個資，</w:t>
      </w:r>
      <w:r w:rsidRPr="00C1788C">
        <w:rPr>
          <w:rFonts w:hAnsi="標楷體" w:hint="eastAsia"/>
          <w:b/>
          <w:bCs w:val="0"/>
        </w:rPr>
        <w:t>數發部</w:t>
      </w:r>
      <w:r w:rsidRPr="00C1788C">
        <w:rPr>
          <w:rFonts w:hAnsi="標楷體"/>
          <w:b/>
          <w:bCs w:val="0"/>
        </w:rPr>
        <w:t>表示現行制度未禁止</w:t>
      </w:r>
      <w:r w:rsidR="003C6A1E" w:rsidRPr="00C1788C">
        <w:rPr>
          <w:rFonts w:hAnsi="標楷體" w:hint="eastAsia"/>
          <w:b/>
          <w:bCs w:val="0"/>
        </w:rPr>
        <w:t>電商或</w:t>
      </w:r>
      <w:r w:rsidRPr="00C1788C">
        <w:rPr>
          <w:rFonts w:hAnsi="標楷體"/>
          <w:b/>
          <w:bCs w:val="0"/>
        </w:rPr>
        <w:t>第三方支付</w:t>
      </w:r>
      <w:r w:rsidR="00BB67C3" w:rsidRPr="00C1788C">
        <w:rPr>
          <w:rFonts w:hAnsi="標楷體" w:hint="eastAsia"/>
          <w:b/>
          <w:bCs w:val="0"/>
        </w:rPr>
        <w:t>服務</w:t>
      </w:r>
      <w:r w:rsidRPr="00C1788C">
        <w:rPr>
          <w:rFonts w:hAnsi="標楷體"/>
          <w:b/>
          <w:bCs w:val="0"/>
        </w:rPr>
        <w:t>業者</w:t>
      </w:r>
      <w:r w:rsidR="00BB67C3" w:rsidRPr="00C1788C">
        <w:rPr>
          <w:rFonts w:hAnsi="標楷體" w:hint="eastAsia"/>
          <w:b/>
          <w:bCs w:val="0"/>
        </w:rPr>
        <w:t>(下稱三支業者)</w:t>
      </w:r>
      <w:r w:rsidRPr="00C1788C">
        <w:rPr>
          <w:rFonts w:hAnsi="標楷體"/>
          <w:b/>
          <w:bCs w:val="0"/>
        </w:rPr>
        <w:t>進行跨境資料傳輸</w:t>
      </w:r>
      <w:r w:rsidRPr="00C1788C">
        <w:rPr>
          <w:rFonts w:hAnsi="標楷體" w:hint="eastAsia"/>
          <w:b/>
          <w:bCs w:val="0"/>
        </w:rPr>
        <w:t>，僅能</w:t>
      </w:r>
      <w:r w:rsidRPr="00C1788C">
        <w:rPr>
          <w:rFonts w:hAnsi="標楷體"/>
          <w:b/>
          <w:bCs w:val="0"/>
        </w:rPr>
        <w:t>以揭露及一般義務為主要管理方式，惟面對大型電商平台蒐集大量國人資料</w:t>
      </w:r>
      <w:r w:rsidRPr="00C1788C">
        <w:rPr>
          <w:rFonts w:hAnsi="標楷體" w:hint="eastAsia"/>
          <w:b/>
          <w:bCs w:val="0"/>
        </w:rPr>
        <w:t>，</w:t>
      </w:r>
      <w:r w:rsidRPr="00C1788C">
        <w:rPr>
          <w:rFonts w:hAnsi="標楷體"/>
          <w:b/>
          <w:bCs w:val="0"/>
        </w:rPr>
        <w:t>並可能涉及跨境流通之情形，現行對跨境資料傳輸之具體管制及風險分級機制仍屬有限，</w:t>
      </w:r>
      <w:r w:rsidR="00606DB7" w:rsidRPr="00C1788C">
        <w:rPr>
          <w:rFonts w:hAnsi="標楷體" w:hint="eastAsia"/>
          <w:b/>
          <w:bCs w:val="0"/>
        </w:rPr>
        <w:t>數</w:t>
      </w:r>
      <w:proofErr w:type="gramStart"/>
      <w:r w:rsidR="00606DB7" w:rsidRPr="00C1788C">
        <w:rPr>
          <w:rFonts w:hAnsi="標楷體" w:hint="eastAsia"/>
          <w:b/>
          <w:bCs w:val="0"/>
        </w:rPr>
        <w:t>發部</w:t>
      </w:r>
      <w:r w:rsidR="00606DB7" w:rsidRPr="00C1788C">
        <w:rPr>
          <w:rFonts w:hAnsi="標楷體"/>
          <w:b/>
          <w:bCs w:val="0"/>
        </w:rPr>
        <w:t>允應</w:t>
      </w:r>
      <w:proofErr w:type="gramEnd"/>
      <w:r w:rsidR="00606DB7" w:rsidRPr="00C1788C">
        <w:rPr>
          <w:rFonts w:hAnsi="標楷體"/>
          <w:b/>
          <w:bCs w:val="0"/>
        </w:rPr>
        <w:t>確實檢討相關制度，並</w:t>
      </w:r>
      <w:proofErr w:type="gramStart"/>
      <w:r w:rsidR="00606DB7" w:rsidRPr="00C1788C">
        <w:rPr>
          <w:rFonts w:hAnsi="標楷體"/>
          <w:b/>
          <w:bCs w:val="0"/>
        </w:rPr>
        <w:t>研</w:t>
      </w:r>
      <w:proofErr w:type="gramEnd"/>
      <w:r w:rsidR="00606DB7" w:rsidRPr="00C1788C">
        <w:rPr>
          <w:rFonts w:hAnsi="標楷體"/>
          <w:b/>
          <w:bCs w:val="0"/>
        </w:rPr>
        <w:t>議建立分級管理機制</w:t>
      </w:r>
      <w:r w:rsidR="00606DB7" w:rsidRPr="00C1788C">
        <w:rPr>
          <w:rFonts w:hAnsi="標楷體" w:hint="eastAsia"/>
          <w:b/>
          <w:bCs w:val="0"/>
        </w:rPr>
        <w:t>，</w:t>
      </w:r>
      <w:r w:rsidR="00606DB7" w:rsidRPr="00C1788C">
        <w:rPr>
          <w:rFonts w:hAnsi="標楷體"/>
          <w:b/>
          <w:bCs w:val="0"/>
        </w:rPr>
        <w:t>以強化資料安全與使用者權益保障</w:t>
      </w:r>
      <w:r w:rsidR="00606DB7" w:rsidRPr="00C1788C">
        <w:rPr>
          <w:rFonts w:hAnsi="標楷體" w:hint="eastAsia"/>
          <w:b/>
          <w:bCs w:val="0"/>
        </w:rPr>
        <w:t>之監理效能</w:t>
      </w:r>
      <w:r w:rsidRPr="00C1788C">
        <w:rPr>
          <w:rFonts w:hAnsi="標楷體" w:hint="eastAsia"/>
          <w:b/>
          <w:bCs w:val="0"/>
        </w:rPr>
        <w:t>：</w:t>
      </w:r>
    </w:p>
    <w:p w14:paraId="2CB1B965" w14:textId="6BB32969" w:rsidR="0040126C" w:rsidRPr="00C1788C" w:rsidRDefault="0040126C" w:rsidP="00DA32FC">
      <w:pPr>
        <w:pStyle w:val="3"/>
        <w:rPr>
          <w:rFonts w:hAnsi="標楷體"/>
        </w:rPr>
      </w:pPr>
      <w:r w:rsidRPr="00C1788C">
        <w:rPr>
          <w:rFonts w:hAnsi="標楷體"/>
        </w:rPr>
        <w:t>依</w:t>
      </w:r>
      <w:r w:rsidRPr="00C1788C">
        <w:rPr>
          <w:rFonts w:hAnsi="標楷體" w:hint="eastAsia"/>
        </w:rPr>
        <w:t>個資法</w:t>
      </w:r>
      <w:r w:rsidRPr="00C1788C">
        <w:rPr>
          <w:rFonts w:hAnsi="標楷體"/>
        </w:rPr>
        <w:t>第19條</w:t>
      </w:r>
      <w:r w:rsidRPr="00C1788C">
        <w:rPr>
          <w:rFonts w:hAnsi="標楷體" w:hint="eastAsia"/>
        </w:rPr>
        <w:t>規定：「非公務機關對個人資料之蒐集或處理，除第</w:t>
      </w:r>
      <w:r w:rsidR="001463F1" w:rsidRPr="00C1788C">
        <w:rPr>
          <w:rFonts w:hAnsi="標楷體" w:hint="eastAsia"/>
        </w:rPr>
        <w:t>6</w:t>
      </w:r>
      <w:r w:rsidRPr="00C1788C">
        <w:rPr>
          <w:rFonts w:hAnsi="標楷體" w:hint="eastAsia"/>
        </w:rPr>
        <w:t>條第</w:t>
      </w:r>
      <w:r w:rsidR="001463F1" w:rsidRPr="00C1788C">
        <w:rPr>
          <w:rFonts w:hAnsi="標楷體" w:hint="eastAsia"/>
        </w:rPr>
        <w:t>1</w:t>
      </w:r>
      <w:r w:rsidRPr="00C1788C">
        <w:rPr>
          <w:rFonts w:hAnsi="標楷體" w:hint="eastAsia"/>
        </w:rPr>
        <w:t>項所規定資料外，應有特定目的，並符合下列情形之</w:t>
      </w:r>
      <w:proofErr w:type="gramStart"/>
      <w:r w:rsidRPr="00C1788C">
        <w:rPr>
          <w:rFonts w:hAnsi="標楷體" w:hint="eastAsia"/>
        </w:rPr>
        <w:t>一</w:t>
      </w:r>
      <w:proofErr w:type="gramEnd"/>
      <w:r w:rsidRPr="00C1788C">
        <w:rPr>
          <w:rFonts w:hAnsi="標楷體" w:hint="eastAsia"/>
        </w:rPr>
        <w:t>者：一、法律明文規定。二、與當事人有契約或類似契約之關係，且已採取適當之安全措施。…</w:t>
      </w:r>
      <w:proofErr w:type="gramStart"/>
      <w:r w:rsidRPr="00C1788C">
        <w:rPr>
          <w:rFonts w:hAnsi="標楷體" w:hint="eastAsia"/>
        </w:rPr>
        <w:t>…</w:t>
      </w:r>
      <w:proofErr w:type="gramEnd"/>
      <w:r w:rsidRPr="00C1788C">
        <w:rPr>
          <w:rFonts w:hAnsi="標楷體" w:hint="eastAsia"/>
        </w:rPr>
        <w:t>五、經當事人同意。…</w:t>
      </w:r>
      <w:proofErr w:type="gramStart"/>
      <w:r w:rsidRPr="00C1788C">
        <w:rPr>
          <w:rFonts w:hAnsi="標楷體" w:hint="eastAsia"/>
        </w:rPr>
        <w:t>…</w:t>
      </w:r>
      <w:proofErr w:type="gramEnd"/>
      <w:r w:rsidRPr="00C1788C">
        <w:rPr>
          <w:rFonts w:hAnsi="標楷體" w:hint="eastAsia"/>
        </w:rPr>
        <w:t>七、個人資料取自於一般可得之來源。但當事人對該資料之禁止處理或利用，顯有更值得保護之重大利益者，不在此限。八、對當事人權益無侵害。蒐集或處理者知悉或經當事人通知依前項第</w:t>
      </w:r>
      <w:r w:rsidR="001463F1" w:rsidRPr="00C1788C">
        <w:rPr>
          <w:rFonts w:hAnsi="標楷體" w:hint="eastAsia"/>
        </w:rPr>
        <w:t>7</w:t>
      </w:r>
      <w:r w:rsidRPr="00C1788C">
        <w:rPr>
          <w:rFonts w:hAnsi="標楷體" w:hint="eastAsia"/>
        </w:rPr>
        <w:t>款但書規定禁止對該資料之處理或利用時，應主動或依當</w:t>
      </w:r>
      <w:r w:rsidRPr="00C1788C">
        <w:rPr>
          <w:rFonts w:hAnsi="標楷體" w:hint="eastAsia"/>
        </w:rPr>
        <w:lastRenderedPageBreak/>
        <w:t>事人之請求，刪除、停止處理或利用該個人資料。」</w:t>
      </w:r>
      <w:r w:rsidRPr="00C1788C">
        <w:rPr>
          <w:rFonts w:hAnsi="標楷體"/>
        </w:rPr>
        <w:t>及</w:t>
      </w:r>
      <w:r w:rsidRPr="00C1788C">
        <w:rPr>
          <w:rFonts w:hAnsi="標楷體" w:hint="eastAsia"/>
        </w:rPr>
        <w:t>同法</w:t>
      </w:r>
      <w:r w:rsidRPr="00C1788C">
        <w:rPr>
          <w:rFonts w:hAnsi="標楷體"/>
        </w:rPr>
        <w:t>第20條規定</w:t>
      </w:r>
      <w:r w:rsidRPr="00C1788C">
        <w:rPr>
          <w:rFonts w:hAnsi="標楷體" w:hint="eastAsia"/>
        </w:rPr>
        <w:t>：「</w:t>
      </w:r>
      <w:r w:rsidR="00893A83" w:rsidRPr="00C1788C">
        <w:rPr>
          <w:rFonts w:hAnsi="標楷體" w:hint="eastAsia"/>
        </w:rPr>
        <w:t>非公務機關對個人資料之利用，除第</w:t>
      </w:r>
      <w:r w:rsidR="001463F1" w:rsidRPr="00C1788C">
        <w:rPr>
          <w:rFonts w:hAnsi="標楷體" w:hint="eastAsia"/>
        </w:rPr>
        <w:t>6</w:t>
      </w:r>
      <w:r w:rsidR="00893A83" w:rsidRPr="00C1788C">
        <w:rPr>
          <w:rFonts w:hAnsi="標楷體" w:hint="eastAsia"/>
        </w:rPr>
        <w:t>條第</w:t>
      </w:r>
      <w:r w:rsidR="001463F1" w:rsidRPr="00C1788C">
        <w:rPr>
          <w:rFonts w:hAnsi="標楷體" w:hint="eastAsia"/>
        </w:rPr>
        <w:t>1</w:t>
      </w:r>
      <w:r w:rsidR="00893A83" w:rsidRPr="00C1788C">
        <w:rPr>
          <w:rFonts w:hAnsi="標楷體" w:hint="eastAsia"/>
        </w:rPr>
        <w:t>項所規定資料外，應於蒐集之特定目的必要範圍內為之。但有下列情形之</w:t>
      </w:r>
      <w:proofErr w:type="gramStart"/>
      <w:r w:rsidR="00893A83" w:rsidRPr="00C1788C">
        <w:rPr>
          <w:rFonts w:hAnsi="標楷體" w:hint="eastAsia"/>
        </w:rPr>
        <w:t>一</w:t>
      </w:r>
      <w:proofErr w:type="gramEnd"/>
      <w:r w:rsidR="00893A83" w:rsidRPr="00C1788C">
        <w:rPr>
          <w:rFonts w:hAnsi="標楷體" w:hint="eastAsia"/>
        </w:rPr>
        <w:t>者，得為特定目的外之利用：一、法律明文規定。…</w:t>
      </w:r>
      <w:proofErr w:type="gramStart"/>
      <w:r w:rsidR="00893A83" w:rsidRPr="00C1788C">
        <w:rPr>
          <w:rFonts w:hAnsi="標楷體" w:hint="eastAsia"/>
        </w:rPr>
        <w:t>…</w:t>
      </w:r>
      <w:proofErr w:type="gramEnd"/>
      <w:r w:rsidR="00893A83" w:rsidRPr="00C1788C">
        <w:rPr>
          <w:rFonts w:hAnsi="標楷體" w:hint="eastAsia"/>
        </w:rPr>
        <w:t>六、經當事人同意。七、有利於當事人權益。非公務機關依前項規定利用個人資料行銷者，當事人表示拒絕接受行銷時，應即停止利用其個人資料行銷。非公務機關於首次行銷時，應提供當事人表示拒絕接受行銷之方式，並支付所需費用。」是以</w:t>
      </w:r>
      <w:r w:rsidRPr="00C1788C">
        <w:rPr>
          <w:rFonts w:hAnsi="標楷體"/>
        </w:rPr>
        <w:t>非公務機關蒐集、處理及利用個人資料，應於特定目的之必要範圍內為之，並不得逾越合理使用</w:t>
      </w:r>
      <w:r w:rsidRPr="00C1788C">
        <w:rPr>
          <w:rFonts w:hAnsi="標楷體" w:hint="eastAsia"/>
        </w:rPr>
        <w:t>範圍</w:t>
      </w:r>
      <w:r w:rsidRPr="00C1788C">
        <w:rPr>
          <w:rFonts w:hAnsi="標楷體"/>
        </w:rPr>
        <w:t>；另同法第21條規定</w:t>
      </w:r>
      <w:r w:rsidR="00893A83" w:rsidRPr="00C1788C">
        <w:rPr>
          <w:rFonts w:hAnsi="標楷體" w:hint="eastAsia"/>
        </w:rPr>
        <w:t>：「非公務機關為國際傳輸個人資料，而有下列情形之</w:t>
      </w:r>
      <w:proofErr w:type="gramStart"/>
      <w:r w:rsidR="00893A83" w:rsidRPr="00C1788C">
        <w:rPr>
          <w:rFonts w:hAnsi="標楷體" w:hint="eastAsia"/>
        </w:rPr>
        <w:t>一</w:t>
      </w:r>
      <w:proofErr w:type="gramEnd"/>
      <w:r w:rsidR="00893A83" w:rsidRPr="00C1788C">
        <w:rPr>
          <w:rFonts w:hAnsi="標楷體" w:hint="eastAsia"/>
        </w:rPr>
        <w:t>者，主管機關得限制之：一、涉及國家重大利益。二、國際條約或協定有特別規定。三、接受國對於個人資料之保護未有完善之法規，致有損當事人權益之虞。四、以迂迴方法</w:t>
      </w:r>
      <w:proofErr w:type="gramStart"/>
      <w:r w:rsidR="00893A83" w:rsidRPr="00C1788C">
        <w:rPr>
          <w:rFonts w:hAnsi="標楷體" w:hint="eastAsia"/>
        </w:rPr>
        <w:t>向第三國</w:t>
      </w:r>
      <w:proofErr w:type="gramEnd"/>
      <w:r w:rsidR="008F7828" w:rsidRPr="00C1788C">
        <w:rPr>
          <w:rFonts w:hAnsi="標楷體" w:hint="eastAsia"/>
        </w:rPr>
        <w:t>(</w:t>
      </w:r>
      <w:r w:rsidR="00893A83" w:rsidRPr="00C1788C">
        <w:rPr>
          <w:rFonts w:hAnsi="標楷體" w:hint="eastAsia"/>
        </w:rPr>
        <w:t>地區</w:t>
      </w:r>
      <w:r w:rsidR="008F7828" w:rsidRPr="00C1788C">
        <w:rPr>
          <w:rFonts w:hAnsi="標楷體" w:hint="eastAsia"/>
        </w:rPr>
        <w:t>)</w:t>
      </w:r>
      <w:r w:rsidR="00893A83" w:rsidRPr="00C1788C">
        <w:rPr>
          <w:rFonts w:hAnsi="標楷體" w:hint="eastAsia"/>
        </w:rPr>
        <w:t>傳輸個人資料規避本法。」</w:t>
      </w:r>
      <w:r w:rsidR="00BC375B" w:rsidRPr="00C1788C">
        <w:rPr>
          <w:rFonts w:hAnsi="標楷體" w:hint="eastAsia"/>
        </w:rPr>
        <w:t>故</w:t>
      </w:r>
      <w:proofErr w:type="gramStart"/>
      <w:r w:rsidRPr="00C1788C">
        <w:rPr>
          <w:rFonts w:hAnsi="標楷體"/>
        </w:rPr>
        <w:t>主管機關於認有</w:t>
      </w:r>
      <w:proofErr w:type="gramEnd"/>
      <w:r w:rsidRPr="00C1788C">
        <w:rPr>
          <w:rFonts w:hAnsi="標楷體"/>
        </w:rPr>
        <w:t>危害國家重大利益、妨害國際合作或其他重大情形者，得限制個人資料之國際傳輸。復依同法第22條第1項規定</w:t>
      </w:r>
      <w:r w:rsidR="00893A83" w:rsidRPr="00C1788C">
        <w:rPr>
          <w:rFonts w:hAnsi="標楷體" w:hint="eastAsia"/>
        </w:rPr>
        <w:t>：「主管機關認非公務機關有違反本法規定之虞，或為檢視其落實本法情形而認有必要時，得依下列方式進行檢查：一、通知非公務機關或其相關人員陳述意見。二、通知非公務機關或其相關人員提供必要之文書、資料、物品或為其他配合措施。三、自行或會同中央目的事業主管機關、直轄市、縣</w:t>
      </w:r>
      <w:r w:rsidR="008F7828" w:rsidRPr="00C1788C">
        <w:rPr>
          <w:rFonts w:hAnsi="標楷體" w:hint="eastAsia"/>
        </w:rPr>
        <w:t>(</w:t>
      </w:r>
      <w:r w:rsidR="00893A83" w:rsidRPr="00C1788C">
        <w:rPr>
          <w:rFonts w:hAnsi="標楷體" w:hint="eastAsia"/>
        </w:rPr>
        <w:t>市</w:t>
      </w:r>
      <w:r w:rsidR="008F7828" w:rsidRPr="00C1788C">
        <w:rPr>
          <w:rFonts w:hAnsi="標楷體" w:hint="eastAsia"/>
        </w:rPr>
        <w:t>)</w:t>
      </w:r>
      <w:r w:rsidR="00893A83" w:rsidRPr="00C1788C">
        <w:rPr>
          <w:rFonts w:hAnsi="標楷體" w:hint="eastAsia"/>
        </w:rPr>
        <w:t>政府或其他有關機關派員攜帶執行職務證明文件進入檢查，並得令相關人員為必要之說明、配合措施或提供相關證明資料。」</w:t>
      </w:r>
      <w:proofErr w:type="gramStart"/>
      <w:r w:rsidR="00BC375B" w:rsidRPr="00C1788C">
        <w:rPr>
          <w:rFonts w:hAnsi="標楷體" w:hint="eastAsia"/>
        </w:rPr>
        <w:t>爰</w:t>
      </w:r>
      <w:proofErr w:type="gramEnd"/>
      <w:r w:rsidRPr="00C1788C">
        <w:rPr>
          <w:rFonts w:hAnsi="標楷體"/>
        </w:rPr>
        <w:t>主管機關得為執行資料檔案安全維護或國際傳輸限制等事</w:t>
      </w:r>
      <w:r w:rsidRPr="00C1788C">
        <w:rPr>
          <w:rFonts w:hAnsi="標楷體"/>
        </w:rPr>
        <w:lastRenderedPageBreak/>
        <w:t>項之檢查，派員進入檢查並命業者提供相關資料；</w:t>
      </w:r>
      <w:r w:rsidR="00BC375B" w:rsidRPr="00C1788C">
        <w:rPr>
          <w:rFonts w:hAnsi="標楷體" w:hint="eastAsia"/>
        </w:rPr>
        <w:t>又</w:t>
      </w:r>
      <w:r w:rsidRPr="00C1788C">
        <w:rPr>
          <w:rFonts w:hAnsi="標楷體"/>
        </w:rPr>
        <w:t>數</w:t>
      </w:r>
      <w:proofErr w:type="gramStart"/>
      <w:r w:rsidRPr="00C1788C">
        <w:rPr>
          <w:rFonts w:hAnsi="標楷體"/>
        </w:rPr>
        <w:t>發部</w:t>
      </w:r>
      <w:r w:rsidR="00BC375B" w:rsidRPr="00C1788C">
        <w:rPr>
          <w:rFonts w:hAnsi="標楷體" w:hint="eastAsia"/>
        </w:rPr>
        <w:t>亦訂</w:t>
      </w:r>
      <w:proofErr w:type="gramEnd"/>
      <w:r w:rsidR="00BC375B" w:rsidRPr="00C1788C">
        <w:rPr>
          <w:rFonts w:hAnsi="標楷體" w:hint="eastAsia"/>
        </w:rPr>
        <w:t>頒</w:t>
      </w:r>
      <w:r w:rsidRPr="00C1788C">
        <w:rPr>
          <w:rFonts w:hAnsi="標楷體"/>
        </w:rPr>
        <w:t>「數位經濟相關產業個人資料檔案安全維護管理辦法」，</w:t>
      </w:r>
      <w:r w:rsidR="00BC375B" w:rsidRPr="00C1788C">
        <w:rPr>
          <w:rFonts w:hAnsi="標楷體" w:hint="eastAsia"/>
        </w:rPr>
        <w:t>規定</w:t>
      </w:r>
      <w:r w:rsidRPr="00C1788C">
        <w:rPr>
          <w:rFonts w:hAnsi="標楷體"/>
        </w:rPr>
        <w:t>業者</w:t>
      </w:r>
      <w:r w:rsidR="00BC375B" w:rsidRPr="00C1788C">
        <w:rPr>
          <w:rFonts w:hAnsi="標楷體" w:hint="eastAsia"/>
        </w:rPr>
        <w:t>應</w:t>
      </w:r>
      <w:r w:rsidRPr="00C1788C">
        <w:rPr>
          <w:rFonts w:hAnsi="標楷體"/>
        </w:rPr>
        <w:t>訂定並執行個人資料安全維護計畫，並得就其實施情形進行審查。上開規範構成現行對電商平台及</w:t>
      </w:r>
      <w:r w:rsidR="00BB67C3" w:rsidRPr="00C1788C">
        <w:rPr>
          <w:rFonts w:hAnsi="標楷體"/>
        </w:rPr>
        <w:t>三支業者</w:t>
      </w:r>
      <w:proofErr w:type="gramStart"/>
      <w:r w:rsidRPr="00C1788C">
        <w:rPr>
          <w:rFonts w:hAnsi="標楷體"/>
        </w:rPr>
        <w:t>個</w:t>
      </w:r>
      <w:proofErr w:type="gramEnd"/>
      <w:r w:rsidRPr="00C1788C">
        <w:rPr>
          <w:rFonts w:hAnsi="標楷體"/>
        </w:rPr>
        <w:t>資管理與監督之主要法制基礎。</w:t>
      </w:r>
    </w:p>
    <w:p w14:paraId="04840322" w14:textId="2E201A24" w:rsidR="00893A83" w:rsidRPr="00C1788C" w:rsidRDefault="00893A83" w:rsidP="00DA32FC">
      <w:pPr>
        <w:pStyle w:val="3"/>
        <w:rPr>
          <w:rFonts w:hAnsi="標楷體"/>
        </w:rPr>
      </w:pPr>
      <w:r w:rsidRPr="00C1788C">
        <w:rPr>
          <w:rFonts w:hAnsi="標楷體" w:hint="eastAsia"/>
        </w:rPr>
        <w:t>蝦皮投資</w:t>
      </w:r>
      <w:r w:rsidRPr="00C1788C">
        <w:rPr>
          <w:rFonts w:hAnsi="標楷體"/>
        </w:rPr>
        <w:t>案於投資審查過程中，經濟部曾就個人資料保護及</w:t>
      </w:r>
      <w:proofErr w:type="gramStart"/>
      <w:r w:rsidRPr="00C1788C">
        <w:rPr>
          <w:rFonts w:hAnsi="標楷體"/>
        </w:rPr>
        <w:t>相關資安議題</w:t>
      </w:r>
      <w:proofErr w:type="gramEnd"/>
      <w:r w:rsidRPr="00C1788C">
        <w:rPr>
          <w:rFonts w:hAnsi="標楷體"/>
        </w:rPr>
        <w:t>函</w:t>
      </w:r>
      <w:proofErr w:type="gramStart"/>
      <w:r w:rsidRPr="00C1788C">
        <w:rPr>
          <w:rFonts w:hAnsi="標楷體"/>
        </w:rPr>
        <w:t>詢</w:t>
      </w:r>
      <w:proofErr w:type="gramEnd"/>
      <w:r w:rsidRPr="00C1788C">
        <w:rPr>
          <w:rFonts w:hAnsi="標楷體"/>
        </w:rPr>
        <w:t>數發部意見。</w:t>
      </w:r>
      <w:r w:rsidRPr="00C1788C">
        <w:rPr>
          <w:rFonts w:hAnsi="標楷體" w:hint="eastAsia"/>
        </w:rPr>
        <w:t>據</w:t>
      </w:r>
      <w:r w:rsidRPr="00C1788C">
        <w:rPr>
          <w:rFonts w:hAnsi="標楷體"/>
        </w:rPr>
        <w:t>數發部說明，現行法規並未全面禁止電商或</w:t>
      </w:r>
      <w:r w:rsidR="00BB67C3" w:rsidRPr="00C1788C">
        <w:rPr>
          <w:rFonts w:hAnsi="標楷體"/>
        </w:rPr>
        <w:t>三支業者</w:t>
      </w:r>
      <w:r w:rsidRPr="00C1788C">
        <w:rPr>
          <w:rFonts w:hAnsi="標楷體"/>
        </w:rPr>
        <w:t>將個人資料進行跨境傳輸，其管理方式</w:t>
      </w:r>
      <w:r w:rsidR="00BE0410" w:rsidRPr="00C1788C">
        <w:rPr>
          <w:rFonts w:hAnsi="標楷體" w:hint="eastAsia"/>
        </w:rPr>
        <w:t>以</w:t>
      </w:r>
      <w:r w:rsidRPr="00C1788C">
        <w:rPr>
          <w:rFonts w:hAnsi="標楷體"/>
        </w:rPr>
        <w:t>要求業者揭露資料蒐集、處理、利用及傳輸之範圍、地區及對象，並應符合個資法相關規定為主。另於</w:t>
      </w:r>
      <w:r w:rsidRPr="00C1788C">
        <w:rPr>
          <w:rFonts w:hAnsi="標楷體" w:hint="eastAsia"/>
        </w:rPr>
        <w:t>蝦皮投資</w:t>
      </w:r>
      <w:r w:rsidRPr="00C1788C">
        <w:rPr>
          <w:rFonts w:hAnsi="標楷體"/>
        </w:rPr>
        <w:t>案核准投資時，</w:t>
      </w:r>
      <w:r w:rsidRPr="00C1788C">
        <w:rPr>
          <w:rFonts w:hAnsi="標楷體" w:hint="eastAsia"/>
        </w:rPr>
        <w:t>經濟部</w:t>
      </w:r>
      <w:r w:rsidRPr="00C1788C">
        <w:rPr>
          <w:rFonts w:hAnsi="標楷體"/>
        </w:rPr>
        <w:t>並未就跨境資料傳輸設置具體限制條件，而係附加要求業者應遵循相關法令並妥善保護個人資料之</w:t>
      </w:r>
      <w:proofErr w:type="gramStart"/>
      <w:r w:rsidRPr="00C1788C">
        <w:rPr>
          <w:rFonts w:hAnsi="標楷體"/>
        </w:rPr>
        <w:t>一般性附款</w:t>
      </w:r>
      <w:proofErr w:type="gramEnd"/>
      <w:r w:rsidRPr="00C1788C">
        <w:rPr>
          <w:rFonts w:hAnsi="標楷體"/>
        </w:rPr>
        <w:t>。在後續監理方面，</w:t>
      </w:r>
      <w:r w:rsidRPr="00C1788C">
        <w:rPr>
          <w:rFonts w:hAnsi="標楷體" w:hint="eastAsia"/>
        </w:rPr>
        <w:t>相關</w:t>
      </w:r>
      <w:r w:rsidRPr="00C1788C">
        <w:rPr>
          <w:rFonts w:hAnsi="標楷體"/>
        </w:rPr>
        <w:t>主管機關已針對蝦皮相關業者進行個資行政監督措施。例如：經濟部曾於107年裁罰相關業者，並於110年及111年間要求業者依個資法改善；數發部成立後承接相關業務，並依個資法第22條規定辦理行政檢查，另依前揭安全維護管理辦法，要求業者提出個人資料安全維護計畫及其執行情形。</w:t>
      </w:r>
      <w:proofErr w:type="gramStart"/>
      <w:r w:rsidRPr="00C1788C">
        <w:rPr>
          <w:rFonts w:hAnsi="標楷體"/>
        </w:rPr>
        <w:t>此外，</w:t>
      </w:r>
      <w:proofErr w:type="gramEnd"/>
      <w:r w:rsidRPr="00C1788C">
        <w:rPr>
          <w:rFonts w:hAnsi="標楷體"/>
        </w:rPr>
        <w:t>數</w:t>
      </w:r>
      <w:proofErr w:type="gramStart"/>
      <w:r w:rsidRPr="00C1788C">
        <w:rPr>
          <w:rFonts w:hAnsi="標楷體"/>
        </w:rPr>
        <w:t>發部亦曾</w:t>
      </w:r>
      <w:proofErr w:type="gramEnd"/>
      <w:r w:rsidRPr="00C1788C">
        <w:rPr>
          <w:rFonts w:hAnsi="標楷體"/>
        </w:rPr>
        <w:t>召開多次跨機關會議，</w:t>
      </w:r>
      <w:proofErr w:type="gramStart"/>
      <w:r w:rsidRPr="00C1788C">
        <w:rPr>
          <w:rFonts w:hAnsi="標楷體"/>
        </w:rPr>
        <w:t>就電商</w:t>
      </w:r>
      <w:proofErr w:type="gramEnd"/>
      <w:r w:rsidRPr="00C1788C">
        <w:rPr>
          <w:rFonts w:hAnsi="標楷體"/>
        </w:rPr>
        <w:t>平台實名認證</w:t>
      </w:r>
      <w:r w:rsidR="008F7828" w:rsidRPr="00C1788C">
        <w:rPr>
          <w:rFonts w:hAnsi="標楷體"/>
        </w:rPr>
        <w:t>(</w:t>
      </w:r>
      <w:r w:rsidR="00BC375B" w:rsidRPr="00C1788C">
        <w:rPr>
          <w:rFonts w:hAnsi="標楷體" w:hint="eastAsia"/>
        </w:rPr>
        <w:t>Know Your Customer，簡稱</w:t>
      </w:r>
      <w:r w:rsidRPr="00C1788C">
        <w:rPr>
          <w:rFonts w:hAnsi="標楷體"/>
        </w:rPr>
        <w:t>KYC</w:t>
      </w:r>
      <w:r w:rsidR="008F7828" w:rsidRPr="00C1788C">
        <w:rPr>
          <w:rFonts w:hAnsi="標楷體"/>
        </w:rPr>
        <w:t>)</w:t>
      </w:r>
      <w:r w:rsidRPr="00C1788C">
        <w:rPr>
          <w:rFonts w:hAnsi="標楷體"/>
        </w:rPr>
        <w:t>、資料蒐集範圍及利用方式等議題進行討論，並強調業者於蒐集、處理或利用用戶及其相關人員</w:t>
      </w:r>
      <w:proofErr w:type="gramStart"/>
      <w:r w:rsidRPr="00C1788C">
        <w:rPr>
          <w:rFonts w:hAnsi="標楷體"/>
        </w:rPr>
        <w:t>個</w:t>
      </w:r>
      <w:proofErr w:type="gramEnd"/>
      <w:r w:rsidRPr="00C1788C">
        <w:rPr>
          <w:rFonts w:hAnsi="標楷體"/>
        </w:rPr>
        <w:t>資時，應符合特定目的必要性及正當合理關聯性原則。整體而言，相關主管機關已依現行法制，透過</w:t>
      </w:r>
      <w:proofErr w:type="gramStart"/>
      <w:r w:rsidRPr="00C1788C">
        <w:rPr>
          <w:rFonts w:hAnsi="標楷體"/>
        </w:rPr>
        <w:t>審查附款</w:t>
      </w:r>
      <w:proofErr w:type="gramEnd"/>
      <w:r w:rsidRPr="00C1788C">
        <w:rPr>
          <w:rFonts w:hAnsi="標楷體"/>
        </w:rPr>
        <w:t>、行政檢查及業務監督等方式，對個資保護事項進行管理。</w:t>
      </w:r>
    </w:p>
    <w:p w14:paraId="1A495718" w14:textId="79A2A663" w:rsidR="00893A83" w:rsidRPr="00C1788C" w:rsidRDefault="00893A83" w:rsidP="00DA32FC">
      <w:pPr>
        <w:pStyle w:val="3"/>
        <w:rPr>
          <w:rFonts w:hAnsi="標楷體"/>
        </w:rPr>
      </w:pPr>
      <w:r w:rsidRPr="00C1788C">
        <w:rPr>
          <w:rFonts w:hAnsi="標楷體" w:hint="eastAsia"/>
        </w:rPr>
        <w:t>依</w:t>
      </w:r>
      <w:r w:rsidRPr="00C1788C">
        <w:rPr>
          <w:rFonts w:hAnsi="標楷體"/>
        </w:rPr>
        <w:t>現行制度對跨境資料傳輸之規範，係</w:t>
      </w:r>
      <w:proofErr w:type="gramStart"/>
      <w:r w:rsidRPr="00C1788C">
        <w:rPr>
          <w:rFonts w:hAnsi="標楷體"/>
        </w:rPr>
        <w:t>採</w:t>
      </w:r>
      <w:proofErr w:type="gramEnd"/>
      <w:r w:rsidRPr="00C1788C">
        <w:rPr>
          <w:rFonts w:hAnsi="標楷體"/>
        </w:rPr>
        <w:t>「原則允</w:t>
      </w:r>
      <w:r w:rsidRPr="00C1788C">
        <w:rPr>
          <w:rFonts w:hAnsi="標楷體"/>
        </w:rPr>
        <w:lastRenderedPageBreak/>
        <w:t>許、例外限制」之架構，即除非主管機關依個資法第21條認定有特定重大事由，否則並未設置事前審查或全面禁止機制，而係透過揭露義務、事後監督及一般安全維護責任加以規範。此一制度設計，係在兼顧數位經濟發展與資料流通需求下所為之政策選擇，具有一定彈性。</w:t>
      </w:r>
      <w:proofErr w:type="gramStart"/>
      <w:r w:rsidRPr="00C1788C">
        <w:rPr>
          <w:rFonts w:hAnsi="標楷體"/>
        </w:rPr>
        <w:t>惟隨電子商務</w:t>
      </w:r>
      <w:proofErr w:type="gramEnd"/>
      <w:r w:rsidRPr="00C1788C">
        <w:rPr>
          <w:rFonts w:hAnsi="標楷體"/>
        </w:rPr>
        <w:t>及數位平台之發展，大型平台業者所蒐集之資料種類及規模日益龐大，包含使用者基本資料、交易紀錄、消費行為及支付資訊等，部分資料亦可能涉及</w:t>
      </w:r>
      <w:r w:rsidR="00BE0410" w:rsidRPr="00C1788C">
        <w:rPr>
          <w:rFonts w:hAnsi="標楷體" w:hint="eastAsia"/>
        </w:rPr>
        <w:t>具</w:t>
      </w:r>
      <w:r w:rsidRPr="00C1788C">
        <w:rPr>
          <w:rFonts w:hAnsi="標楷體"/>
        </w:rPr>
        <w:t>敏感性或高度關聯性</w:t>
      </w:r>
      <w:r w:rsidR="00BE0410" w:rsidRPr="00C1788C">
        <w:rPr>
          <w:rFonts w:hAnsi="標楷體" w:hint="eastAsia"/>
        </w:rPr>
        <w:t>之</w:t>
      </w:r>
      <w:r w:rsidRPr="00C1788C">
        <w:rPr>
          <w:rFonts w:hAnsi="標楷體"/>
        </w:rPr>
        <w:t>資訊。如該等資料進行跨境儲存或處理，其風險已不限於單一</w:t>
      </w:r>
      <w:proofErr w:type="gramStart"/>
      <w:r w:rsidRPr="00C1788C">
        <w:rPr>
          <w:rFonts w:hAnsi="標楷體"/>
        </w:rPr>
        <w:t>企業資安管理</w:t>
      </w:r>
      <w:proofErr w:type="gramEnd"/>
      <w:r w:rsidRPr="00C1788C">
        <w:rPr>
          <w:rFonts w:hAnsi="標楷體"/>
        </w:rPr>
        <w:t>問題，尚可能涉及資料外</w:t>
      </w:r>
      <w:proofErr w:type="gramStart"/>
      <w:r w:rsidRPr="00C1788C">
        <w:rPr>
          <w:rFonts w:hAnsi="標楷體"/>
        </w:rPr>
        <w:t>洩</w:t>
      </w:r>
      <w:proofErr w:type="gramEnd"/>
      <w:r w:rsidRPr="00C1788C">
        <w:rPr>
          <w:rFonts w:hAnsi="標楷體"/>
        </w:rPr>
        <w:t>、跨境監管差異及資料利用透明度等議題。再者，</w:t>
      </w:r>
      <w:proofErr w:type="gramStart"/>
      <w:r w:rsidR="00EC47E5" w:rsidRPr="00C1788C">
        <w:rPr>
          <w:rFonts w:hAnsi="標楷體" w:hint="eastAsia"/>
        </w:rPr>
        <w:t>揆</w:t>
      </w:r>
      <w:proofErr w:type="gramEnd"/>
      <w:r w:rsidR="00EC47E5" w:rsidRPr="00C1788C">
        <w:rPr>
          <w:rFonts w:hAnsi="標楷體" w:hint="eastAsia"/>
        </w:rPr>
        <w:t>以蝦皮投資</w:t>
      </w:r>
      <w:r w:rsidRPr="00C1788C">
        <w:rPr>
          <w:rFonts w:hAnsi="標楷體"/>
        </w:rPr>
        <w:t>案</w:t>
      </w:r>
      <w:r w:rsidR="00EC47E5" w:rsidRPr="00C1788C">
        <w:rPr>
          <w:rFonts w:hAnsi="標楷體" w:hint="eastAsia"/>
        </w:rPr>
        <w:t>審查結果</w:t>
      </w:r>
      <w:r w:rsidRPr="00C1788C">
        <w:rPr>
          <w:rFonts w:hAnsi="標楷體"/>
        </w:rPr>
        <w:t>，主管機關對於跨境資料傳輸之管理，主要仍以要求業者揭露及遵循一般性法令義務為主，對於不同規模或風險程度之業者，尚未建立明確之差異化管理機制。例如，對於掌握大量國人資料之大型平台，是否應有較高之資料治理要求，或對跨境傳輸行為進行更具體之風險評估與管理，目前制度尚未明確規範。</w:t>
      </w:r>
      <w:proofErr w:type="gramStart"/>
      <w:r w:rsidRPr="00C1788C">
        <w:rPr>
          <w:rFonts w:hAnsi="標楷體"/>
        </w:rPr>
        <w:t>此外，</w:t>
      </w:r>
      <w:proofErr w:type="gramEnd"/>
      <w:r w:rsidR="00EC47E5" w:rsidRPr="00C1788C">
        <w:rPr>
          <w:rFonts w:hAnsi="標楷體" w:hint="eastAsia"/>
        </w:rPr>
        <w:t>蝦皮投資</w:t>
      </w:r>
      <w:r w:rsidRPr="00C1788C">
        <w:rPr>
          <w:rFonts w:hAnsi="標楷體"/>
        </w:rPr>
        <w:t>案</w:t>
      </w:r>
      <w:proofErr w:type="gramStart"/>
      <w:r w:rsidRPr="00C1788C">
        <w:rPr>
          <w:rFonts w:hAnsi="標楷體"/>
        </w:rPr>
        <w:t>核准附款內容</w:t>
      </w:r>
      <w:proofErr w:type="gramEnd"/>
      <w:r w:rsidRPr="00C1788C">
        <w:rPr>
          <w:rFonts w:hAnsi="標楷體"/>
        </w:rPr>
        <w:t>屬原則性要求，雖符合現行法制，但其規範密度相對有限，對於特定高風險情境之預防效果，仍</w:t>
      </w:r>
      <w:r w:rsidR="0058501F" w:rsidRPr="00C1788C">
        <w:rPr>
          <w:rFonts w:hAnsi="標楷體" w:hint="eastAsia"/>
        </w:rPr>
        <w:t>尚待</w:t>
      </w:r>
      <w:r w:rsidRPr="00C1788C">
        <w:rPr>
          <w:rFonts w:hAnsi="標楷體"/>
        </w:rPr>
        <w:t>進一步強化。如何在不影響產業正常運作之前提下，針對高風險資料運用情形，逐步建立更具體之管理工具，</w:t>
      </w:r>
      <w:r w:rsidR="00EC47E5" w:rsidRPr="00C1788C">
        <w:rPr>
          <w:rFonts w:hAnsi="標楷體" w:hint="eastAsia"/>
        </w:rPr>
        <w:t>實</w:t>
      </w:r>
      <w:r w:rsidRPr="00C1788C">
        <w:rPr>
          <w:rFonts w:hAnsi="標楷體"/>
        </w:rPr>
        <w:t>為未來制度發展可思考之方向。</w:t>
      </w:r>
    </w:p>
    <w:p w14:paraId="4CB3B24C" w14:textId="32DE755F" w:rsidR="00EC47E5" w:rsidRPr="00C1788C" w:rsidRDefault="00EC47E5" w:rsidP="00DA32FC">
      <w:pPr>
        <w:pStyle w:val="3"/>
        <w:rPr>
          <w:rFonts w:hAnsi="標楷體"/>
        </w:rPr>
      </w:pPr>
      <w:r w:rsidRPr="00C1788C">
        <w:rPr>
          <w:rFonts w:hAnsi="標楷體"/>
        </w:rPr>
        <w:t>從產業發展趨勢觀察，大型電商平台及</w:t>
      </w:r>
      <w:r w:rsidR="00BB67C3" w:rsidRPr="00C1788C">
        <w:rPr>
          <w:rFonts w:hAnsi="標楷體"/>
        </w:rPr>
        <w:t>三支業者</w:t>
      </w:r>
      <w:r w:rsidRPr="00C1788C">
        <w:rPr>
          <w:rFonts w:hAnsi="標楷體"/>
        </w:rPr>
        <w:t>，因其營運模式涉及大量使用者註冊資料、交易紀錄及行為資訊之蒐集與分析，所持有之資料規模及敏感性均顯著提高。若相關資料涉及跨境儲存或處理，除可能</w:t>
      </w:r>
      <w:proofErr w:type="gramStart"/>
      <w:r w:rsidRPr="00C1788C">
        <w:rPr>
          <w:rFonts w:hAnsi="標楷體"/>
        </w:rPr>
        <w:t>產生資安風險</w:t>
      </w:r>
      <w:proofErr w:type="gramEnd"/>
      <w:r w:rsidRPr="00C1788C">
        <w:rPr>
          <w:rFonts w:hAnsi="標楷體"/>
        </w:rPr>
        <w:t>外，亦涉及資料主權及使用</w:t>
      </w:r>
      <w:r w:rsidRPr="00C1788C">
        <w:rPr>
          <w:rFonts w:hAnsi="標楷體"/>
        </w:rPr>
        <w:lastRenderedPageBreak/>
        <w:t>者權益保障等議題。</w:t>
      </w:r>
      <w:proofErr w:type="gramStart"/>
      <w:r w:rsidRPr="00C1788C">
        <w:rPr>
          <w:rFonts w:hAnsi="標楷體"/>
        </w:rPr>
        <w:t>此外，</w:t>
      </w:r>
      <w:proofErr w:type="gramEnd"/>
      <w:r w:rsidRPr="00C1788C">
        <w:rPr>
          <w:rFonts w:hAnsi="標楷體"/>
        </w:rPr>
        <w:t>跨境資料傳輸之風險，往往與資料儲存地之法制環境、</w:t>
      </w:r>
      <w:proofErr w:type="gramStart"/>
      <w:r w:rsidRPr="00C1788C">
        <w:rPr>
          <w:rFonts w:hAnsi="標楷體"/>
        </w:rPr>
        <w:t>資安標準</w:t>
      </w:r>
      <w:proofErr w:type="gramEnd"/>
      <w:r w:rsidRPr="00C1788C">
        <w:rPr>
          <w:rFonts w:hAnsi="標楷體"/>
        </w:rPr>
        <w:t>及監管強度有關，而現行制度主要以「揭露義務」及「事後責任」為核心，對於不同風險程度之資料傳輸行為，尚未建立明確之分級管理機制。例如，對於涉及大量交易資料之大型平台，與一般中小型業者，是否應採取不同強度之管理措施，現行制度尚未明確區分。</w:t>
      </w:r>
      <w:r w:rsidR="00BC375B" w:rsidRPr="00C1788C">
        <w:rPr>
          <w:rFonts w:hAnsi="標楷體" w:hint="eastAsia"/>
        </w:rPr>
        <w:t>雖</w:t>
      </w:r>
      <w:r w:rsidRPr="00C1788C">
        <w:rPr>
          <w:rFonts w:hAnsi="標楷體"/>
        </w:rPr>
        <w:t>個人資料保護規範於蝦皮投資案審查中已</w:t>
      </w:r>
      <w:proofErr w:type="gramStart"/>
      <w:r w:rsidRPr="00C1788C">
        <w:rPr>
          <w:rFonts w:hAnsi="標楷體"/>
        </w:rPr>
        <w:t>納入附款要求</w:t>
      </w:r>
      <w:proofErr w:type="gramEnd"/>
      <w:r w:rsidRPr="00C1788C">
        <w:rPr>
          <w:rFonts w:hAnsi="標楷體"/>
        </w:rPr>
        <w:t>業者遵循現行法令並妥善保護個資，</w:t>
      </w:r>
      <w:r w:rsidRPr="00C1788C">
        <w:rPr>
          <w:rFonts w:hAnsi="標楷體" w:hint="eastAsia"/>
        </w:rPr>
        <w:t>數</w:t>
      </w:r>
      <w:proofErr w:type="gramStart"/>
      <w:r w:rsidRPr="00C1788C">
        <w:rPr>
          <w:rFonts w:hAnsi="標楷體" w:hint="eastAsia"/>
        </w:rPr>
        <w:t>發部</w:t>
      </w:r>
      <w:r w:rsidR="00BC375B" w:rsidRPr="00C1788C">
        <w:rPr>
          <w:rFonts w:hAnsi="標楷體" w:hint="eastAsia"/>
        </w:rPr>
        <w:t>亦</w:t>
      </w:r>
      <w:r w:rsidRPr="00C1788C">
        <w:rPr>
          <w:rFonts w:hAnsi="標楷體"/>
        </w:rPr>
        <w:t>表示</w:t>
      </w:r>
      <w:proofErr w:type="gramEnd"/>
      <w:r w:rsidRPr="00C1788C">
        <w:rPr>
          <w:rFonts w:hAnsi="標楷體"/>
        </w:rPr>
        <w:t>現行制度未禁止</w:t>
      </w:r>
      <w:r w:rsidR="003C6A1E" w:rsidRPr="00C1788C">
        <w:rPr>
          <w:rFonts w:hAnsi="標楷體" w:hint="eastAsia"/>
        </w:rPr>
        <w:t>電商或</w:t>
      </w:r>
      <w:r w:rsidR="00BB67C3" w:rsidRPr="00C1788C">
        <w:rPr>
          <w:rFonts w:hAnsi="標楷體"/>
        </w:rPr>
        <w:t>三支業者</w:t>
      </w:r>
      <w:r w:rsidRPr="00C1788C">
        <w:rPr>
          <w:rFonts w:hAnsi="標楷體"/>
        </w:rPr>
        <w:t>進行跨境資料傳輸</w:t>
      </w:r>
      <w:r w:rsidRPr="00C1788C">
        <w:rPr>
          <w:rFonts w:hAnsi="標楷體" w:hint="eastAsia"/>
        </w:rPr>
        <w:t>，僅能</w:t>
      </w:r>
      <w:r w:rsidRPr="00C1788C">
        <w:rPr>
          <w:rFonts w:hAnsi="標楷體"/>
        </w:rPr>
        <w:t>以揭露及一般義務為主要管理方式，惟面對大型電商平台蒐集大量國人資料</w:t>
      </w:r>
      <w:r w:rsidRPr="00C1788C">
        <w:rPr>
          <w:rFonts w:hAnsi="標楷體" w:hint="eastAsia"/>
        </w:rPr>
        <w:t>，</w:t>
      </w:r>
      <w:r w:rsidRPr="00C1788C">
        <w:rPr>
          <w:rFonts w:hAnsi="標楷體"/>
        </w:rPr>
        <w:t>並可能涉及跨境流通之情形，現行對跨境資料傳輸之具體管制及風險分級機制仍屬有限，</w:t>
      </w:r>
      <w:r w:rsidRPr="00C1788C">
        <w:rPr>
          <w:rFonts w:hAnsi="標楷體" w:hint="eastAsia"/>
        </w:rPr>
        <w:t>數</w:t>
      </w:r>
      <w:proofErr w:type="gramStart"/>
      <w:r w:rsidRPr="00C1788C">
        <w:rPr>
          <w:rFonts w:hAnsi="標楷體" w:hint="eastAsia"/>
        </w:rPr>
        <w:t>發部</w:t>
      </w:r>
      <w:r w:rsidRPr="00C1788C">
        <w:rPr>
          <w:rFonts w:hAnsi="標楷體"/>
        </w:rPr>
        <w:t>允</w:t>
      </w:r>
      <w:r w:rsidR="00606DB7" w:rsidRPr="00C1788C">
        <w:rPr>
          <w:rFonts w:hAnsi="標楷體"/>
        </w:rPr>
        <w:t>應</w:t>
      </w:r>
      <w:proofErr w:type="gramEnd"/>
      <w:r w:rsidR="00606DB7" w:rsidRPr="00C1788C">
        <w:rPr>
          <w:rFonts w:hAnsi="標楷體"/>
        </w:rPr>
        <w:t>確實檢討相關制度，並</w:t>
      </w:r>
      <w:proofErr w:type="gramStart"/>
      <w:r w:rsidR="00606DB7" w:rsidRPr="00C1788C">
        <w:rPr>
          <w:rFonts w:hAnsi="標楷體"/>
        </w:rPr>
        <w:t>研</w:t>
      </w:r>
      <w:proofErr w:type="gramEnd"/>
      <w:r w:rsidR="00606DB7" w:rsidRPr="00C1788C">
        <w:rPr>
          <w:rFonts w:hAnsi="標楷體"/>
        </w:rPr>
        <w:t>議建立分級管理機制</w:t>
      </w:r>
      <w:r w:rsidRPr="00C1788C">
        <w:rPr>
          <w:rFonts w:hAnsi="標楷體" w:hint="eastAsia"/>
        </w:rPr>
        <w:t>，</w:t>
      </w:r>
      <w:r w:rsidRPr="00C1788C">
        <w:rPr>
          <w:rFonts w:hAnsi="標楷體"/>
        </w:rPr>
        <w:t>以強化資料安全與使用者權益保障</w:t>
      </w:r>
      <w:r w:rsidR="00606DB7" w:rsidRPr="00C1788C">
        <w:rPr>
          <w:rFonts w:hAnsi="標楷體" w:hint="eastAsia"/>
        </w:rPr>
        <w:t>之監理效能</w:t>
      </w:r>
      <w:r w:rsidRPr="00C1788C">
        <w:rPr>
          <w:rFonts w:hAnsi="標楷體" w:hint="eastAsia"/>
        </w:rPr>
        <w:t>。</w:t>
      </w:r>
    </w:p>
    <w:p w14:paraId="3A0A513C" w14:textId="7F6E08F1" w:rsidR="00D77B32" w:rsidRPr="00C1788C" w:rsidRDefault="00A87FBA" w:rsidP="00320890">
      <w:pPr>
        <w:pStyle w:val="2"/>
        <w:rPr>
          <w:rFonts w:hAnsi="標楷體"/>
          <w:b/>
          <w:bCs w:val="0"/>
        </w:rPr>
      </w:pPr>
      <w:r w:rsidRPr="00C1788C">
        <w:rPr>
          <w:rFonts w:hAnsi="標楷體" w:hint="eastAsia"/>
          <w:b/>
          <w:bCs w:val="0"/>
        </w:rPr>
        <w:t>因應美國對等關稅差異可能誘發高關稅產品經由第三地轉運，並透過變更產地標示或簡易加工，以規避關稅之風險，相關主管機關</w:t>
      </w:r>
      <w:r w:rsidR="003C4139" w:rsidRPr="00C1788C">
        <w:rPr>
          <w:rFonts w:hAnsi="標楷體" w:hint="eastAsia"/>
          <w:b/>
          <w:bCs w:val="0"/>
        </w:rPr>
        <w:t>已</w:t>
      </w:r>
      <w:r w:rsidRPr="00C1788C">
        <w:rPr>
          <w:rFonts w:hAnsi="標楷體" w:hint="eastAsia"/>
          <w:b/>
          <w:bCs w:val="0"/>
        </w:rPr>
        <w:t>依相關法令規範建立</w:t>
      </w:r>
      <w:proofErr w:type="gramStart"/>
      <w:r w:rsidRPr="00C1788C">
        <w:rPr>
          <w:rFonts w:hAnsi="標楷體" w:hint="eastAsia"/>
          <w:b/>
          <w:bCs w:val="0"/>
        </w:rPr>
        <w:t>多層防杜</w:t>
      </w:r>
      <w:proofErr w:type="gramEnd"/>
      <w:r w:rsidRPr="00C1788C">
        <w:rPr>
          <w:rFonts w:hAnsi="標楷體" w:hint="eastAsia"/>
          <w:b/>
          <w:bCs w:val="0"/>
        </w:rPr>
        <w:t>「洗產地」之管理機制，並透過產地認定、大數據風險分析、邊境查驗及電商平台管理等措施具體執行；</w:t>
      </w:r>
      <w:proofErr w:type="gramStart"/>
      <w:r w:rsidRPr="00C1788C">
        <w:rPr>
          <w:rFonts w:hAnsi="標楷體" w:hint="eastAsia"/>
          <w:b/>
          <w:bCs w:val="0"/>
        </w:rPr>
        <w:t>惟</w:t>
      </w:r>
      <w:proofErr w:type="gramEnd"/>
      <w:r w:rsidRPr="00C1788C">
        <w:rPr>
          <w:rFonts w:hAnsi="標楷體" w:hint="eastAsia"/>
          <w:b/>
          <w:bCs w:val="0"/>
        </w:rPr>
        <w:t>面對國際貿易環境變動、跨境供應鏈複雜化及違規轉運模式演變，實有持續強化風險預警、跨機關資訊整合及國內外市場監測連結等機制之必要，以進一步維護我國貿易秩序與國際信譽</w:t>
      </w:r>
      <w:r w:rsidR="00D77B32" w:rsidRPr="00C1788C">
        <w:rPr>
          <w:rFonts w:hAnsi="標楷體" w:hint="eastAsia"/>
          <w:b/>
          <w:bCs w:val="0"/>
        </w:rPr>
        <w:t>：</w:t>
      </w:r>
    </w:p>
    <w:p w14:paraId="5622CB9B" w14:textId="4FB3CA88" w:rsidR="00D77B32" w:rsidRPr="00C1788C" w:rsidRDefault="00FA419F" w:rsidP="003A67A0">
      <w:pPr>
        <w:pStyle w:val="3"/>
        <w:rPr>
          <w:rFonts w:hAnsi="標楷體"/>
        </w:rPr>
      </w:pPr>
      <w:r w:rsidRPr="00C1788C">
        <w:rPr>
          <w:rFonts w:hAnsi="標楷體"/>
        </w:rPr>
        <w:t>依貿易法第17條規定</w:t>
      </w:r>
      <w:r w:rsidRPr="00C1788C">
        <w:rPr>
          <w:rFonts w:hAnsi="標楷體" w:hint="eastAsia"/>
        </w:rPr>
        <w:t>：「出進口人不得有下列行為：一、侵害我國或他國依法保護之智慧財產權。二、未依規定標示來源識別、產地或標示不實。三、未依規定申報來源識別碼、商標或申報不實。四、以虛偽不實之方式申請相關貿易許可、證明文件，或</w:t>
      </w:r>
      <w:r w:rsidRPr="00C1788C">
        <w:rPr>
          <w:rFonts w:hAnsi="標楷體" w:hint="eastAsia"/>
        </w:rPr>
        <w:lastRenderedPageBreak/>
        <w:t>使用該許可、證明文件。五、未依誠實及信用方法履行交易契約。六、以不正當方法擾亂貿易秩序。七、其他有損害我國商譽或產生貿易障礙之行為。」</w:t>
      </w:r>
      <w:r w:rsidRPr="00C1788C">
        <w:rPr>
          <w:rFonts w:hAnsi="標楷體"/>
        </w:rPr>
        <w:t>輸出入貨品不得有虛偽標示產地等情事，</w:t>
      </w:r>
      <w:r w:rsidRPr="00C1788C">
        <w:rPr>
          <w:rFonts w:hAnsi="標楷體" w:hint="eastAsia"/>
        </w:rPr>
        <w:t>及同法</w:t>
      </w:r>
      <w:r w:rsidRPr="00C1788C">
        <w:rPr>
          <w:rFonts w:hAnsi="標楷體"/>
        </w:rPr>
        <w:t>第28條規定</w:t>
      </w:r>
      <w:r w:rsidRPr="00C1788C">
        <w:rPr>
          <w:rFonts w:hAnsi="標楷體" w:hint="eastAsia"/>
        </w:rPr>
        <w:t>：「出進口人有下列情形之</w:t>
      </w:r>
      <w:proofErr w:type="gramStart"/>
      <w:r w:rsidRPr="00C1788C">
        <w:rPr>
          <w:rFonts w:hAnsi="標楷體" w:hint="eastAsia"/>
        </w:rPr>
        <w:t>一</w:t>
      </w:r>
      <w:proofErr w:type="gramEnd"/>
      <w:r w:rsidRPr="00C1788C">
        <w:rPr>
          <w:rFonts w:hAnsi="標楷體" w:hint="eastAsia"/>
        </w:rPr>
        <w:t>者，經濟部國際貿易局得予以警告、處新臺幣</w:t>
      </w:r>
      <w:r w:rsidR="006527D3" w:rsidRPr="00C1788C">
        <w:rPr>
          <w:rFonts w:hAnsi="標楷體" w:hint="eastAsia"/>
        </w:rPr>
        <w:t>6</w:t>
      </w:r>
      <w:r w:rsidRPr="00C1788C">
        <w:rPr>
          <w:rFonts w:hAnsi="標楷體" w:hint="eastAsia"/>
        </w:rPr>
        <w:t>萬元以上</w:t>
      </w:r>
      <w:r w:rsidR="006527D3" w:rsidRPr="00C1788C">
        <w:rPr>
          <w:rFonts w:hAnsi="標楷體" w:hint="eastAsia"/>
        </w:rPr>
        <w:t>300</w:t>
      </w:r>
      <w:r w:rsidRPr="00C1788C">
        <w:rPr>
          <w:rFonts w:hAnsi="標楷體" w:hint="eastAsia"/>
        </w:rPr>
        <w:t>萬元以下罰鍰或停止其</w:t>
      </w:r>
      <w:r w:rsidR="006527D3" w:rsidRPr="00C1788C">
        <w:rPr>
          <w:rFonts w:hAnsi="標楷體" w:hint="eastAsia"/>
        </w:rPr>
        <w:t>1</w:t>
      </w:r>
      <w:r w:rsidRPr="00C1788C">
        <w:rPr>
          <w:rFonts w:hAnsi="標楷體" w:hint="eastAsia"/>
        </w:rPr>
        <w:t>個月以上</w:t>
      </w:r>
      <w:r w:rsidR="006527D3" w:rsidRPr="00C1788C">
        <w:rPr>
          <w:rFonts w:hAnsi="標楷體" w:hint="eastAsia"/>
        </w:rPr>
        <w:t>1</w:t>
      </w:r>
      <w:r w:rsidRPr="00C1788C">
        <w:rPr>
          <w:rFonts w:hAnsi="標楷體" w:hint="eastAsia"/>
        </w:rPr>
        <w:t>年以下輸出、輸入或輸出入貨品：一、違反第</w:t>
      </w:r>
      <w:r w:rsidR="006527D3" w:rsidRPr="00C1788C">
        <w:rPr>
          <w:rFonts w:hAnsi="標楷體" w:hint="eastAsia"/>
        </w:rPr>
        <w:t>5</w:t>
      </w:r>
      <w:r w:rsidRPr="00C1788C">
        <w:rPr>
          <w:rFonts w:hAnsi="標楷體" w:hint="eastAsia"/>
        </w:rPr>
        <w:t>條規定，與禁止或管制國家或地區為貿易行為。…</w:t>
      </w:r>
      <w:proofErr w:type="gramStart"/>
      <w:r w:rsidRPr="00C1788C">
        <w:rPr>
          <w:rFonts w:hAnsi="標楷體" w:hint="eastAsia"/>
        </w:rPr>
        <w:t>…</w:t>
      </w:r>
      <w:proofErr w:type="gramEnd"/>
      <w:r w:rsidRPr="00C1788C">
        <w:rPr>
          <w:rFonts w:hAnsi="標楷體" w:hint="eastAsia"/>
        </w:rPr>
        <w:t>六、有第</w:t>
      </w:r>
      <w:r w:rsidR="006527D3" w:rsidRPr="00C1788C">
        <w:rPr>
          <w:rFonts w:hAnsi="標楷體" w:hint="eastAsia"/>
        </w:rPr>
        <w:t>17</w:t>
      </w:r>
      <w:r w:rsidRPr="00C1788C">
        <w:rPr>
          <w:rFonts w:hAnsi="標楷體" w:hint="eastAsia"/>
        </w:rPr>
        <w:t>條各款所定禁止行為之</w:t>
      </w:r>
      <w:proofErr w:type="gramStart"/>
      <w:r w:rsidRPr="00C1788C">
        <w:rPr>
          <w:rFonts w:hAnsi="標楷體" w:hint="eastAsia"/>
        </w:rPr>
        <w:t>一</w:t>
      </w:r>
      <w:proofErr w:type="gramEnd"/>
      <w:r w:rsidRPr="00C1788C">
        <w:rPr>
          <w:rFonts w:hAnsi="標楷體" w:hint="eastAsia"/>
        </w:rPr>
        <w:t>。…</w:t>
      </w:r>
      <w:proofErr w:type="gramStart"/>
      <w:r w:rsidRPr="00C1788C">
        <w:rPr>
          <w:rFonts w:hAnsi="標楷體" w:hint="eastAsia"/>
        </w:rPr>
        <w:t>…</w:t>
      </w:r>
      <w:proofErr w:type="gramEnd"/>
      <w:r w:rsidRPr="00C1788C">
        <w:rPr>
          <w:rFonts w:hAnsi="標楷體" w:hint="eastAsia"/>
        </w:rPr>
        <w:t>有前項第</w:t>
      </w:r>
      <w:r w:rsidR="006527D3" w:rsidRPr="00C1788C">
        <w:rPr>
          <w:rFonts w:hAnsi="標楷體" w:hint="eastAsia"/>
        </w:rPr>
        <w:t>1</w:t>
      </w:r>
      <w:r w:rsidRPr="00C1788C">
        <w:rPr>
          <w:rFonts w:hAnsi="標楷體" w:hint="eastAsia"/>
        </w:rPr>
        <w:t>款至第</w:t>
      </w:r>
      <w:r w:rsidR="006527D3" w:rsidRPr="00C1788C">
        <w:rPr>
          <w:rFonts w:hAnsi="標楷體" w:hint="eastAsia"/>
        </w:rPr>
        <w:t>6</w:t>
      </w:r>
      <w:r w:rsidRPr="00C1788C">
        <w:rPr>
          <w:rFonts w:hAnsi="標楷體" w:hint="eastAsia"/>
        </w:rPr>
        <w:t>款規定情形之一，其情節重大者，經濟部國際貿易局除得依前項規定處罰外，並得廢止其出進口廠商登記。…</w:t>
      </w:r>
      <w:proofErr w:type="gramStart"/>
      <w:r w:rsidRPr="00C1788C">
        <w:rPr>
          <w:rFonts w:hAnsi="標楷體" w:hint="eastAsia"/>
        </w:rPr>
        <w:t>…</w:t>
      </w:r>
      <w:proofErr w:type="gramEnd"/>
      <w:r w:rsidRPr="00C1788C">
        <w:rPr>
          <w:rFonts w:hAnsi="標楷體" w:hint="eastAsia"/>
        </w:rPr>
        <w:t>。」</w:t>
      </w:r>
      <w:r w:rsidRPr="00C1788C">
        <w:rPr>
          <w:rFonts w:hAnsi="標楷體"/>
        </w:rPr>
        <w:t>違反者得處罰鍰或廢止其出進口廠商資格；情節重大者</w:t>
      </w:r>
      <w:r w:rsidR="00D43469">
        <w:rPr>
          <w:rFonts w:hAnsi="標楷體" w:hint="eastAsia"/>
        </w:rPr>
        <w:t>，</w:t>
      </w:r>
      <w:r w:rsidR="00D43469" w:rsidRPr="00D43469">
        <w:rPr>
          <w:rFonts w:hAnsi="標楷體"/>
        </w:rPr>
        <w:t>涉嫌違反刑法虛偽標記商品罪</w:t>
      </w:r>
      <w:r w:rsidR="00D43469" w:rsidRPr="00D43469">
        <w:rPr>
          <w:rFonts w:hAnsi="標楷體" w:hint="eastAsia"/>
        </w:rPr>
        <w:t>(</w:t>
      </w:r>
      <w:r w:rsidR="00D43469" w:rsidRPr="00D43469">
        <w:rPr>
          <w:rFonts w:hAnsi="標楷體"/>
        </w:rPr>
        <w:t>第255條</w:t>
      </w:r>
      <w:r w:rsidR="00D43469">
        <w:rPr>
          <w:rFonts w:hAnsi="標楷體" w:hint="eastAsia"/>
        </w:rPr>
        <w:t>)、偽造文書罪、詐欺罪</w:t>
      </w:r>
      <w:r w:rsidR="00501371">
        <w:rPr>
          <w:rFonts w:hAnsi="標楷體" w:hint="eastAsia"/>
        </w:rPr>
        <w:t>等</w:t>
      </w:r>
      <w:r w:rsidR="00D43469">
        <w:rPr>
          <w:rFonts w:hAnsi="標楷體" w:hint="eastAsia"/>
        </w:rPr>
        <w:t>、或違反稅捐</w:t>
      </w:r>
      <w:proofErr w:type="gramStart"/>
      <w:r w:rsidR="00D43469">
        <w:rPr>
          <w:rFonts w:hAnsi="標楷體" w:hint="eastAsia"/>
        </w:rPr>
        <w:t>稽</w:t>
      </w:r>
      <w:proofErr w:type="gramEnd"/>
      <w:r w:rsidR="00D43469">
        <w:rPr>
          <w:rFonts w:hAnsi="標楷體" w:hint="eastAsia"/>
        </w:rPr>
        <w:t>徵法、懲治走私條例等</w:t>
      </w:r>
      <w:r w:rsidRPr="00C1788C">
        <w:rPr>
          <w:rFonts w:hAnsi="標楷體"/>
        </w:rPr>
        <w:t>，並得移送司法機關偵辦。另依關稅法及海關緝私條例相關規定，海關對於進出口貨物申報不實或產地標示不符者，得進行查驗並予以處分。復依商品標示法第14條及商品檢驗法相關規定，商品於國內市場流通時，應依規定標示原產地及相關資訊，違反者得由地方主管機關查處。另經濟部依原產地證明書及加工證明書管理辦法，負責產地認定及證明文件之核發與管理，作為輸出入管理之重要依據。上開</w:t>
      </w:r>
      <w:r w:rsidRPr="00C1788C">
        <w:rPr>
          <w:rFonts w:hAnsi="標楷體" w:hint="eastAsia"/>
        </w:rPr>
        <w:t>法令</w:t>
      </w:r>
      <w:r w:rsidRPr="00C1788C">
        <w:rPr>
          <w:rFonts w:hAnsi="標楷體"/>
        </w:rPr>
        <w:t>規範構成</w:t>
      </w:r>
      <w:proofErr w:type="gramStart"/>
      <w:r w:rsidRPr="00C1788C">
        <w:rPr>
          <w:rFonts w:hAnsi="標楷體"/>
        </w:rPr>
        <w:t>防杜不實</w:t>
      </w:r>
      <w:proofErr w:type="gramEnd"/>
      <w:r w:rsidRPr="00C1788C">
        <w:rPr>
          <w:rFonts w:hAnsi="標楷體"/>
        </w:rPr>
        <w:t>產地標示及違規轉運</w:t>
      </w:r>
      <w:r w:rsidRPr="00C1788C">
        <w:rPr>
          <w:rFonts w:hAnsi="標楷體" w:hint="eastAsia"/>
        </w:rPr>
        <w:t>(</w:t>
      </w:r>
      <w:r w:rsidRPr="00C1788C">
        <w:rPr>
          <w:rFonts w:hAnsi="標楷體"/>
        </w:rPr>
        <w:t>俗稱洗產地</w:t>
      </w:r>
      <w:r w:rsidRPr="00C1788C">
        <w:rPr>
          <w:rFonts w:hAnsi="標楷體" w:hint="eastAsia"/>
        </w:rPr>
        <w:t>)</w:t>
      </w:r>
      <w:r w:rsidRPr="00C1788C">
        <w:rPr>
          <w:rFonts w:hAnsi="標楷體"/>
        </w:rPr>
        <w:t>之主要法制基礎</w:t>
      </w:r>
      <w:r w:rsidR="00D77B32" w:rsidRPr="00C1788C">
        <w:rPr>
          <w:rFonts w:hAnsi="標楷體"/>
        </w:rPr>
        <w:t>。</w:t>
      </w:r>
    </w:p>
    <w:p w14:paraId="2BE8D752" w14:textId="34BE2E96" w:rsidR="00FA419F" w:rsidRPr="00C1788C" w:rsidRDefault="00FA419F" w:rsidP="00A143B9">
      <w:pPr>
        <w:pStyle w:val="3"/>
        <w:rPr>
          <w:rFonts w:hAnsi="標楷體"/>
        </w:rPr>
      </w:pPr>
      <w:proofErr w:type="gramStart"/>
      <w:r w:rsidRPr="00C1788C">
        <w:rPr>
          <w:rFonts w:hAnsi="標楷體"/>
        </w:rPr>
        <w:t>鑑</w:t>
      </w:r>
      <w:proofErr w:type="gramEnd"/>
      <w:r w:rsidRPr="00C1788C">
        <w:rPr>
          <w:rFonts w:hAnsi="標楷體"/>
        </w:rPr>
        <w:t>於美國對各國課徵差異化關稅，可能誘發高稅率國家產品經由第三地轉運，並透過更換產地標示、重新包裝或簡單加工等方式規避關稅，</w:t>
      </w:r>
      <w:proofErr w:type="gramStart"/>
      <w:r w:rsidRPr="00C1788C">
        <w:rPr>
          <w:rFonts w:hAnsi="標楷體" w:hint="eastAsia"/>
        </w:rPr>
        <w:t>詢</w:t>
      </w:r>
      <w:proofErr w:type="gramEnd"/>
      <w:r w:rsidRPr="00C1788C">
        <w:rPr>
          <w:rFonts w:hAnsi="標楷體" w:hint="eastAsia"/>
        </w:rPr>
        <w:t>據相關機關</w:t>
      </w:r>
      <w:r w:rsidR="00BE0410" w:rsidRPr="00C1788C">
        <w:rPr>
          <w:rFonts w:hAnsi="標楷體" w:hint="eastAsia"/>
        </w:rPr>
        <w:t>表示</w:t>
      </w:r>
      <w:r w:rsidRPr="00C1788C">
        <w:rPr>
          <w:rFonts w:hAnsi="標楷體" w:hint="eastAsia"/>
        </w:rPr>
        <w:t>採取下列防杜措施：</w:t>
      </w:r>
    </w:p>
    <w:p w14:paraId="2A8A4BD3" w14:textId="299C1C2F" w:rsidR="00FA419F" w:rsidRPr="00C1788C" w:rsidRDefault="00FA419F" w:rsidP="00320890">
      <w:pPr>
        <w:pStyle w:val="4"/>
        <w:rPr>
          <w:rFonts w:hAnsi="標楷體"/>
        </w:rPr>
      </w:pPr>
      <w:r w:rsidRPr="00C1788C">
        <w:rPr>
          <w:rFonts w:hAnsi="標楷體"/>
          <w:bCs/>
        </w:rPr>
        <w:t>經濟部與</w:t>
      </w:r>
      <w:r w:rsidRPr="00C1788C">
        <w:rPr>
          <w:rFonts w:hAnsi="標楷體" w:hint="eastAsia"/>
          <w:bCs/>
        </w:rPr>
        <w:t>財政部</w:t>
      </w:r>
      <w:r w:rsidRPr="00C1788C">
        <w:rPr>
          <w:rFonts w:hAnsi="標楷體"/>
          <w:bCs/>
        </w:rPr>
        <w:t>關務署合作之五大管控措施</w:t>
      </w:r>
      <w:r w:rsidR="009A697F" w:rsidRPr="00C1788C">
        <w:rPr>
          <w:rFonts w:hAnsi="標楷體" w:hint="eastAsia"/>
          <w:bCs/>
        </w:rPr>
        <w:t>有</w:t>
      </w:r>
      <w:r w:rsidRPr="00C1788C">
        <w:rPr>
          <w:rFonts w:hAnsi="標楷體"/>
        </w:rPr>
        <w:t>：</w:t>
      </w:r>
      <w:r w:rsidR="008F7828" w:rsidRPr="00C1788C">
        <w:rPr>
          <w:rFonts w:hAnsi="標楷體"/>
        </w:rPr>
        <w:lastRenderedPageBreak/>
        <w:t>(</w:t>
      </w:r>
      <w:r w:rsidRPr="00C1788C">
        <w:rPr>
          <w:rFonts w:hAnsi="標楷體"/>
        </w:rPr>
        <w:t>1</w:t>
      </w:r>
      <w:r w:rsidR="008F7828" w:rsidRPr="00C1788C">
        <w:rPr>
          <w:rFonts w:hAnsi="標楷體"/>
        </w:rPr>
        <w:t>)</w:t>
      </w:r>
      <w:r w:rsidRPr="00C1788C">
        <w:rPr>
          <w:rFonts w:hAnsi="標楷體"/>
        </w:rPr>
        <w:t>透過比對進出口通關資料，監測貿易量異常，篩選高風險廠商並請海關加強查驗；</w:t>
      </w:r>
      <w:r w:rsidR="008F7828" w:rsidRPr="00C1788C">
        <w:rPr>
          <w:rFonts w:hAnsi="標楷體"/>
        </w:rPr>
        <w:t>(</w:t>
      </w:r>
      <w:r w:rsidRPr="00C1788C">
        <w:rPr>
          <w:rFonts w:hAnsi="標楷體"/>
        </w:rPr>
        <w:t>2</w:t>
      </w:r>
      <w:r w:rsidR="008F7828" w:rsidRPr="00C1788C">
        <w:rPr>
          <w:rFonts w:hAnsi="標楷體"/>
        </w:rPr>
        <w:t>)</w:t>
      </w:r>
      <w:r w:rsidRPr="00C1788C">
        <w:rPr>
          <w:rFonts w:hAnsi="標楷體"/>
        </w:rPr>
        <w:t>自114年5月7日起，要求輸美貨品須具結產地屬實；</w:t>
      </w:r>
      <w:r w:rsidR="008F7828" w:rsidRPr="00C1788C">
        <w:rPr>
          <w:rFonts w:hAnsi="標楷體"/>
        </w:rPr>
        <w:t>(</w:t>
      </w:r>
      <w:r w:rsidRPr="00C1788C">
        <w:rPr>
          <w:rFonts w:hAnsi="標楷體"/>
        </w:rPr>
        <w:t>3</w:t>
      </w:r>
      <w:r w:rsidR="008F7828" w:rsidRPr="00C1788C">
        <w:rPr>
          <w:rFonts w:hAnsi="標楷體"/>
        </w:rPr>
        <w:t>)</w:t>
      </w:r>
      <w:r w:rsidRPr="00C1788C">
        <w:rPr>
          <w:rFonts w:hAnsi="標楷體"/>
        </w:rPr>
        <w:t>財政部關務署成立查核小組，加強產地標示查驗；</w:t>
      </w:r>
      <w:r w:rsidR="008F7828" w:rsidRPr="00C1788C">
        <w:rPr>
          <w:rFonts w:hAnsi="標楷體"/>
        </w:rPr>
        <w:t>(</w:t>
      </w:r>
      <w:r w:rsidRPr="00C1788C">
        <w:rPr>
          <w:rFonts w:hAnsi="標楷體"/>
        </w:rPr>
        <w:t>4</w:t>
      </w:r>
      <w:r w:rsidR="008F7828" w:rsidRPr="00C1788C">
        <w:rPr>
          <w:rFonts w:hAnsi="標楷體"/>
        </w:rPr>
        <w:t>)</w:t>
      </w:r>
      <w:r w:rsidRPr="00C1788C">
        <w:rPr>
          <w:rFonts w:hAnsi="標楷體"/>
        </w:rPr>
        <w:t>依貿易法加重裁罰違規案件，並對具結不實者移送司法機關；</w:t>
      </w:r>
      <w:r w:rsidR="008F7828" w:rsidRPr="00C1788C">
        <w:rPr>
          <w:rFonts w:hAnsi="標楷體"/>
        </w:rPr>
        <w:t>(</w:t>
      </w:r>
      <w:r w:rsidRPr="00C1788C">
        <w:rPr>
          <w:rFonts w:hAnsi="標楷體"/>
        </w:rPr>
        <w:t>5</w:t>
      </w:r>
      <w:r w:rsidR="008F7828" w:rsidRPr="00C1788C">
        <w:rPr>
          <w:rFonts w:hAnsi="標楷體"/>
        </w:rPr>
        <w:t>)</w:t>
      </w:r>
      <w:r w:rsidRPr="00C1788C">
        <w:rPr>
          <w:rFonts w:hAnsi="標楷體"/>
        </w:rPr>
        <w:t>透過宣導及說明會提升業者法</w:t>
      </w:r>
      <w:proofErr w:type="gramStart"/>
      <w:r w:rsidRPr="00C1788C">
        <w:rPr>
          <w:rFonts w:hAnsi="標楷體"/>
        </w:rPr>
        <w:t>遵</w:t>
      </w:r>
      <w:proofErr w:type="gramEnd"/>
      <w:r w:rsidRPr="00C1788C">
        <w:rPr>
          <w:rFonts w:hAnsi="標楷體"/>
        </w:rPr>
        <w:t>意識。</w:t>
      </w:r>
      <w:r w:rsidR="009A697F" w:rsidRPr="00C1788C">
        <w:rPr>
          <w:rFonts w:hAnsi="標楷體"/>
        </w:rPr>
        <w:t>自114年2月起，從至少300萬筆資料中篩選63家高風險廠商，已查獲10家違規；另查獲產地標示違規190案，其中28案屬輸出非臺灣製造卻標示臺灣產製；並辦理多場宣導活動，累計逾萬家次業者參與。</w:t>
      </w:r>
    </w:p>
    <w:p w14:paraId="069B6A83" w14:textId="0C60A865" w:rsidR="00FA419F" w:rsidRPr="00C1788C" w:rsidRDefault="00FA419F" w:rsidP="00320890">
      <w:pPr>
        <w:pStyle w:val="4"/>
        <w:rPr>
          <w:rFonts w:hAnsi="標楷體"/>
        </w:rPr>
      </w:pPr>
      <w:r w:rsidRPr="00C1788C">
        <w:rPr>
          <w:rFonts w:hAnsi="標楷體"/>
        </w:rPr>
        <w:t>邊境管理與違規轉運防堵：海關負責查驗違規轉運行為，並透過申報電商平台與</w:t>
      </w:r>
      <w:proofErr w:type="gramStart"/>
      <w:r w:rsidRPr="00C1788C">
        <w:rPr>
          <w:rFonts w:hAnsi="標楷體"/>
        </w:rPr>
        <w:t>集運商資訊</w:t>
      </w:r>
      <w:proofErr w:type="gramEnd"/>
      <w:r w:rsidRPr="00C1788C">
        <w:rPr>
          <w:rFonts w:hAnsi="標楷體"/>
        </w:rPr>
        <w:t>及風險分析機制，掌握高風險來源；經濟部則依海關移送案件進行後續處分。</w:t>
      </w:r>
    </w:p>
    <w:p w14:paraId="1351E288" w14:textId="56755A0C" w:rsidR="00FA419F" w:rsidRPr="00C1788C" w:rsidRDefault="00FA419F" w:rsidP="00320890">
      <w:pPr>
        <w:pStyle w:val="4"/>
        <w:rPr>
          <w:rFonts w:hAnsi="標楷體"/>
        </w:rPr>
      </w:pPr>
      <w:r w:rsidRPr="00C1788C">
        <w:rPr>
          <w:rFonts w:hAnsi="標楷體"/>
        </w:rPr>
        <w:t>國內市場查核機制：</w:t>
      </w:r>
      <w:r w:rsidR="009A697F" w:rsidRPr="00C1788C">
        <w:rPr>
          <w:rFonts w:hAnsi="標楷體" w:hint="eastAsia"/>
        </w:rPr>
        <w:t>經濟部</w:t>
      </w:r>
      <w:r w:rsidRPr="00C1788C">
        <w:rPr>
          <w:rFonts w:hAnsi="標楷體"/>
        </w:rPr>
        <w:t>標準檢驗局</w:t>
      </w:r>
      <w:r w:rsidR="001A32A8" w:rsidRPr="00C1788C">
        <w:rPr>
          <w:rFonts w:hAnsi="標楷體" w:hint="eastAsia"/>
        </w:rPr>
        <w:t>(</w:t>
      </w:r>
      <w:proofErr w:type="gramStart"/>
      <w:r w:rsidR="001A32A8" w:rsidRPr="00C1788C">
        <w:rPr>
          <w:rFonts w:hAnsi="標楷體" w:hint="eastAsia"/>
        </w:rPr>
        <w:t>下稱標檢</w:t>
      </w:r>
      <w:proofErr w:type="gramEnd"/>
      <w:r w:rsidR="001A32A8" w:rsidRPr="00C1788C">
        <w:rPr>
          <w:rFonts w:hAnsi="標楷體" w:hint="eastAsia"/>
        </w:rPr>
        <w:t>局)</w:t>
      </w:r>
      <w:r w:rsidRPr="00C1788C">
        <w:rPr>
          <w:rFonts w:hAnsi="標楷體"/>
        </w:rPr>
        <w:t>針對國內販售商品標示進行管理，並與電商平台建立合作機制，包括商品上架提醒、標識查核及違規處置等；另</w:t>
      </w:r>
      <w:proofErr w:type="gramStart"/>
      <w:r w:rsidRPr="00C1788C">
        <w:rPr>
          <w:rFonts w:hAnsi="標楷體"/>
        </w:rPr>
        <w:t>透過爬網及</w:t>
      </w:r>
      <w:proofErr w:type="gramEnd"/>
      <w:r w:rsidRPr="00C1788C">
        <w:rPr>
          <w:rFonts w:hAnsi="標楷體"/>
        </w:rPr>
        <w:t>檢舉機制進行監督。</w:t>
      </w:r>
    </w:p>
    <w:p w14:paraId="476C4510" w14:textId="54FF6C89" w:rsidR="00FA419F" w:rsidRPr="00C1788C" w:rsidRDefault="00FA419F" w:rsidP="00320890">
      <w:pPr>
        <w:pStyle w:val="4"/>
        <w:rPr>
          <w:rFonts w:hAnsi="標楷體"/>
        </w:rPr>
      </w:pPr>
      <w:r w:rsidRPr="00C1788C">
        <w:rPr>
          <w:rFonts w:hAnsi="標楷體"/>
        </w:rPr>
        <w:t>電商平台與跨機關合作：數</w:t>
      </w:r>
      <w:proofErr w:type="gramStart"/>
      <w:r w:rsidRPr="00C1788C">
        <w:rPr>
          <w:rFonts w:hAnsi="標楷體"/>
        </w:rPr>
        <w:t>發部已召開</w:t>
      </w:r>
      <w:proofErr w:type="gramEnd"/>
      <w:r w:rsidRPr="00C1788C">
        <w:rPr>
          <w:rFonts w:hAnsi="標楷體"/>
        </w:rPr>
        <w:t>跨機關及電商業者會議，要求平台強化商品上架管理，並要求業者提供產地證明；目前尚未發現中國產品透過電商平台進行低價傾銷或洗產地之情形。</w:t>
      </w:r>
    </w:p>
    <w:p w14:paraId="1FA23F7F" w14:textId="206AAD0D" w:rsidR="00FA419F" w:rsidRPr="00C1788C" w:rsidRDefault="00FA419F" w:rsidP="00320890">
      <w:pPr>
        <w:pStyle w:val="4"/>
        <w:rPr>
          <w:rFonts w:hAnsi="標楷體"/>
        </w:rPr>
      </w:pPr>
      <w:r w:rsidRPr="00C1788C">
        <w:rPr>
          <w:rFonts w:hAnsi="標楷體"/>
        </w:rPr>
        <w:t>國安</w:t>
      </w:r>
      <w:proofErr w:type="gramStart"/>
      <w:r w:rsidRPr="00C1788C">
        <w:rPr>
          <w:rFonts w:hAnsi="標楷體"/>
        </w:rPr>
        <w:t>及資安面向</w:t>
      </w:r>
      <w:proofErr w:type="gramEnd"/>
      <w:r w:rsidRPr="00C1788C">
        <w:rPr>
          <w:rFonts w:hAnsi="標楷體"/>
        </w:rPr>
        <w:t>：透過</w:t>
      </w:r>
      <w:r w:rsidR="006527D3" w:rsidRPr="00C1788C">
        <w:rPr>
          <w:rFonts w:hAnsi="標楷體" w:hint="eastAsia"/>
        </w:rPr>
        <w:t>海外包裹實名認證</w:t>
      </w:r>
      <w:r w:rsidR="0038241F">
        <w:rPr>
          <w:rFonts w:hAnsi="標楷體" w:hint="eastAsia"/>
        </w:rPr>
        <w:t>應用程式</w:t>
      </w:r>
      <w:r w:rsidR="006527D3" w:rsidRPr="00C1788C">
        <w:rPr>
          <w:rFonts w:hAnsi="標楷體" w:hint="eastAsia"/>
        </w:rPr>
        <w:t>「EZ WAY易利委」(下稱EZ WAY)</w:t>
      </w:r>
      <w:r w:rsidRPr="00C1788C">
        <w:rPr>
          <w:rFonts w:hAnsi="標楷體"/>
        </w:rPr>
        <w:t>及包裹資訊申報制度，加強掌握境外寄件人資訊，並針對高風險國家貨物加強抽檢。</w:t>
      </w:r>
      <w:r w:rsidR="00A230F9" w:rsidRPr="00C1788C">
        <w:rPr>
          <w:rFonts w:hAnsi="標楷體" w:hint="eastAsia"/>
        </w:rPr>
        <w:t>國安局前已召集</w:t>
      </w:r>
      <w:r w:rsidR="005353B2" w:rsidRPr="00C1788C">
        <w:rPr>
          <w:rFonts w:hAnsi="標楷體" w:hint="eastAsia"/>
        </w:rPr>
        <w:t>財政部</w:t>
      </w:r>
      <w:r w:rsidR="00A230F9" w:rsidRPr="00C1788C">
        <w:rPr>
          <w:rFonts w:hAnsi="標楷體" w:hint="eastAsia"/>
        </w:rPr>
        <w:t>關務署、</w:t>
      </w:r>
      <w:r w:rsidR="005353B2" w:rsidRPr="00C1788C">
        <w:rPr>
          <w:rFonts w:hAnsi="標楷體" w:hint="eastAsia"/>
        </w:rPr>
        <w:t>經濟部</w:t>
      </w:r>
      <w:r w:rsidR="00A230F9" w:rsidRPr="00C1788C">
        <w:rPr>
          <w:rFonts w:hAnsi="標楷體" w:hint="eastAsia"/>
        </w:rPr>
        <w:t>國</w:t>
      </w:r>
      <w:r w:rsidR="005353B2" w:rsidRPr="00C1788C">
        <w:rPr>
          <w:rFonts w:hAnsi="標楷體" w:hint="eastAsia"/>
        </w:rPr>
        <w:t>際</w:t>
      </w:r>
      <w:r w:rsidR="00A230F9" w:rsidRPr="00C1788C">
        <w:rPr>
          <w:rFonts w:hAnsi="標楷體" w:hint="eastAsia"/>
        </w:rPr>
        <w:t>貿</w:t>
      </w:r>
      <w:r w:rsidR="005353B2" w:rsidRPr="00C1788C">
        <w:rPr>
          <w:rFonts w:hAnsi="標楷體" w:hint="eastAsia"/>
        </w:rPr>
        <w:t>易</w:t>
      </w:r>
      <w:r w:rsidR="00A230F9" w:rsidRPr="00C1788C">
        <w:rPr>
          <w:rFonts w:hAnsi="標楷體" w:hint="eastAsia"/>
        </w:rPr>
        <w:t>署等單位，加強抽檢特定高風險國家包裹，強化相關安檢措施，如</w:t>
      </w:r>
      <w:proofErr w:type="gramStart"/>
      <w:r w:rsidR="00A230F9" w:rsidRPr="00C1788C">
        <w:rPr>
          <w:rFonts w:hAnsi="標楷體" w:hint="eastAsia"/>
        </w:rPr>
        <w:t>蒐</w:t>
      </w:r>
      <w:proofErr w:type="gramEnd"/>
      <w:r w:rsidR="00A230F9" w:rsidRPr="00C1788C">
        <w:rPr>
          <w:rFonts w:hAnsi="標楷體" w:hint="eastAsia"/>
        </w:rPr>
        <w:t>獲運</w:t>
      </w:r>
      <w:r w:rsidR="00A230F9" w:rsidRPr="00C1788C">
        <w:rPr>
          <w:rFonts w:hAnsi="標楷體" w:hint="eastAsia"/>
        </w:rPr>
        <w:lastRenderedPageBreak/>
        <w:t>送違禁品等</w:t>
      </w:r>
      <w:proofErr w:type="gramStart"/>
      <w:r w:rsidR="00A230F9" w:rsidRPr="00C1788C">
        <w:rPr>
          <w:rFonts w:hAnsi="標楷體" w:hint="eastAsia"/>
        </w:rPr>
        <w:t>相關情資</w:t>
      </w:r>
      <w:proofErr w:type="gramEnd"/>
      <w:r w:rsidR="00A230F9" w:rsidRPr="00C1788C">
        <w:rPr>
          <w:rFonts w:hAnsi="標楷體" w:hint="eastAsia"/>
        </w:rPr>
        <w:t>，將即時通報警調單位偵辦。</w:t>
      </w:r>
    </w:p>
    <w:p w14:paraId="17751509" w14:textId="4418590F" w:rsidR="009A697F" w:rsidRPr="00C1788C" w:rsidRDefault="009A697F" w:rsidP="00320890">
      <w:pPr>
        <w:pStyle w:val="3"/>
        <w:rPr>
          <w:rFonts w:hAnsi="標楷體"/>
        </w:rPr>
      </w:pPr>
      <w:r w:rsidRPr="00C1788C">
        <w:rPr>
          <w:rFonts w:hAnsi="標楷體"/>
        </w:rPr>
        <w:t>隨國際貿易環境變動及供應鏈重組，企業可能採取更為複雜之運作模式，例如多層轉運、分段加工或利用不同通路</w:t>
      </w:r>
      <w:r w:rsidRPr="00C1788C">
        <w:rPr>
          <w:rFonts w:hAnsi="標楷體" w:hint="eastAsia"/>
        </w:rPr>
        <w:t>(</w:t>
      </w:r>
      <w:r w:rsidRPr="00C1788C">
        <w:rPr>
          <w:rFonts w:hAnsi="標楷體"/>
        </w:rPr>
        <w:t>含電商平台</w:t>
      </w:r>
      <w:r w:rsidRPr="00C1788C">
        <w:rPr>
          <w:rFonts w:hAnsi="標楷體" w:hint="eastAsia"/>
        </w:rPr>
        <w:t>)</w:t>
      </w:r>
      <w:r w:rsidRPr="00C1788C">
        <w:rPr>
          <w:rFonts w:hAnsi="標楷體"/>
        </w:rPr>
        <w:t>進行規避，增加查核難度。現行制度雖已建立基本架構，</w:t>
      </w:r>
      <w:r w:rsidRPr="00C1788C">
        <w:rPr>
          <w:rFonts w:hAnsi="標楷體" w:hint="eastAsia"/>
        </w:rPr>
        <w:t>並</w:t>
      </w:r>
      <w:r w:rsidRPr="00C1788C">
        <w:rPr>
          <w:rFonts w:hAnsi="標楷體"/>
        </w:rPr>
        <w:t>已運用通關資料進行分析，</w:t>
      </w:r>
      <w:proofErr w:type="gramStart"/>
      <w:r w:rsidRPr="00C1788C">
        <w:rPr>
          <w:rFonts w:hAnsi="標楷體"/>
        </w:rPr>
        <w:t>惟跨機關</w:t>
      </w:r>
      <w:proofErr w:type="gramEnd"/>
      <w:r w:rsidRPr="00C1788C">
        <w:rPr>
          <w:rFonts w:hAnsi="標楷體"/>
        </w:rPr>
        <w:t>資料整合及長期趨勢分析機制，</w:t>
      </w:r>
      <w:r w:rsidRPr="00C1788C">
        <w:rPr>
          <w:rFonts w:hAnsi="標楷體" w:hint="eastAsia"/>
        </w:rPr>
        <w:t>有待</w:t>
      </w:r>
      <w:r w:rsidRPr="00C1788C">
        <w:rPr>
          <w:rFonts w:hAnsi="標楷體"/>
        </w:rPr>
        <w:t>進一步強化。邊境查驗與國內市場查核機制</w:t>
      </w:r>
      <w:r w:rsidR="009530A1" w:rsidRPr="00C1788C">
        <w:rPr>
          <w:rFonts w:hAnsi="標楷體" w:hint="eastAsia"/>
        </w:rPr>
        <w:t>仍</w:t>
      </w:r>
      <w:r w:rsidRPr="00C1788C">
        <w:rPr>
          <w:rFonts w:hAnsi="標楷體"/>
        </w:rPr>
        <w:t>屬分工運作，</w:t>
      </w:r>
      <w:r w:rsidR="009530A1" w:rsidRPr="00C1788C">
        <w:rPr>
          <w:rFonts w:hAnsi="標楷體" w:hint="eastAsia"/>
        </w:rPr>
        <w:t>尚需</w:t>
      </w:r>
      <w:r w:rsidRPr="00C1788C">
        <w:rPr>
          <w:rFonts w:hAnsi="標楷體"/>
        </w:rPr>
        <w:t>加強資訊回饋及整合，以提升整體監理效能。目前</w:t>
      </w:r>
      <w:r w:rsidRPr="00C1788C">
        <w:rPr>
          <w:rFonts w:hAnsi="標楷體" w:hint="eastAsia"/>
        </w:rPr>
        <w:t>雖</w:t>
      </w:r>
      <w:r w:rsidRPr="00C1788C">
        <w:rPr>
          <w:rFonts w:hAnsi="標楷體"/>
        </w:rPr>
        <w:t>未發現具體違規情形，</w:t>
      </w:r>
      <w:proofErr w:type="gramStart"/>
      <w:r w:rsidRPr="00C1788C">
        <w:rPr>
          <w:rFonts w:hAnsi="標楷體" w:hint="eastAsia"/>
        </w:rPr>
        <w:t>然</w:t>
      </w:r>
      <w:r w:rsidRPr="00C1788C">
        <w:rPr>
          <w:rFonts w:hAnsi="標楷體"/>
        </w:rPr>
        <w:t>電商</w:t>
      </w:r>
      <w:proofErr w:type="gramEnd"/>
      <w:r w:rsidRPr="00C1788C">
        <w:rPr>
          <w:rFonts w:hAnsi="標楷體"/>
        </w:rPr>
        <w:t>交易具有跨境及即時性特性，</w:t>
      </w:r>
      <w:r w:rsidR="009530A1" w:rsidRPr="00C1788C">
        <w:rPr>
          <w:rFonts w:hAnsi="標楷體" w:hint="eastAsia"/>
        </w:rPr>
        <w:t>允</w:t>
      </w:r>
      <w:r w:rsidRPr="00C1788C">
        <w:rPr>
          <w:rFonts w:hAnsi="標楷體"/>
        </w:rPr>
        <w:t>宜持續強化平台端風險管理。現行多為專案或會議形式，未來可朝</w:t>
      </w:r>
      <w:r w:rsidR="009530A1" w:rsidRPr="00C1788C">
        <w:rPr>
          <w:rFonts w:hAnsi="標楷體" w:hint="eastAsia"/>
        </w:rPr>
        <w:t>建立</w:t>
      </w:r>
      <w:r w:rsidRPr="00C1788C">
        <w:rPr>
          <w:rFonts w:hAnsi="標楷體"/>
        </w:rPr>
        <w:t>常態化機制發展。整體而言，現行制度在面對新型態違規模式時，</w:t>
      </w:r>
      <w:r w:rsidR="00A87FBA" w:rsidRPr="00C1788C">
        <w:rPr>
          <w:rFonts w:hAnsi="標楷體" w:hint="eastAsia"/>
        </w:rPr>
        <w:t>尚</w:t>
      </w:r>
      <w:r w:rsidR="00A87FBA" w:rsidRPr="00C1788C">
        <w:rPr>
          <w:rFonts w:hAnsi="標楷體"/>
        </w:rPr>
        <w:t>有持續精進</w:t>
      </w:r>
      <w:r w:rsidR="0058501F" w:rsidRPr="00C1788C">
        <w:rPr>
          <w:rFonts w:hAnsi="標楷體" w:hint="eastAsia"/>
        </w:rPr>
        <w:t>之必要</w:t>
      </w:r>
      <w:r w:rsidRPr="00C1788C">
        <w:rPr>
          <w:rFonts w:hAnsi="標楷體"/>
        </w:rPr>
        <w:t>。</w:t>
      </w:r>
    </w:p>
    <w:p w14:paraId="6D5C27AF" w14:textId="5E0A1D7F" w:rsidR="00012328" w:rsidRPr="00C1788C" w:rsidRDefault="00BA737F" w:rsidP="00DA32FC">
      <w:pPr>
        <w:pStyle w:val="3"/>
        <w:rPr>
          <w:rFonts w:hAnsi="標楷體"/>
        </w:rPr>
      </w:pPr>
      <w:r w:rsidRPr="00C1788C">
        <w:rPr>
          <w:rFonts w:hAnsi="標楷體" w:hint="eastAsia"/>
        </w:rPr>
        <w:t>綜上</w:t>
      </w:r>
      <w:r w:rsidR="009A697F" w:rsidRPr="00C1788C">
        <w:rPr>
          <w:rFonts w:hAnsi="標楷體" w:hint="eastAsia"/>
        </w:rPr>
        <w:t>，</w:t>
      </w:r>
      <w:r w:rsidR="009A697F" w:rsidRPr="00C1788C">
        <w:rPr>
          <w:rFonts w:hAnsi="標楷體"/>
        </w:rPr>
        <w:t>因應美國對等關稅差異可能誘發高關稅產品經由第三地轉運</w:t>
      </w:r>
      <w:r w:rsidR="009A697F" w:rsidRPr="00C1788C">
        <w:rPr>
          <w:rFonts w:hAnsi="標楷體" w:hint="eastAsia"/>
        </w:rPr>
        <w:t>，</w:t>
      </w:r>
      <w:r w:rsidR="009A697F" w:rsidRPr="00C1788C">
        <w:rPr>
          <w:rFonts w:hAnsi="標楷體"/>
        </w:rPr>
        <w:t>並透過變更產地標示或簡易加工</w:t>
      </w:r>
      <w:r w:rsidR="009A697F" w:rsidRPr="00C1788C">
        <w:rPr>
          <w:rFonts w:hAnsi="標楷體" w:hint="eastAsia"/>
        </w:rPr>
        <w:t>，以</w:t>
      </w:r>
      <w:r w:rsidR="009A697F" w:rsidRPr="00C1788C">
        <w:rPr>
          <w:rFonts w:hAnsi="標楷體"/>
        </w:rPr>
        <w:t>規避關稅之風險，</w:t>
      </w:r>
      <w:r w:rsidR="009A697F" w:rsidRPr="00C1788C">
        <w:rPr>
          <w:rFonts w:hAnsi="標楷體" w:hint="eastAsia"/>
        </w:rPr>
        <w:t>相關主管機關</w:t>
      </w:r>
      <w:r w:rsidR="003C4139" w:rsidRPr="00C1788C">
        <w:rPr>
          <w:rFonts w:hAnsi="標楷體" w:hint="eastAsia"/>
        </w:rPr>
        <w:t>已</w:t>
      </w:r>
      <w:r w:rsidR="009A697F" w:rsidRPr="00C1788C">
        <w:rPr>
          <w:rFonts w:hAnsi="標楷體" w:hint="eastAsia"/>
        </w:rPr>
        <w:t>依相關法令規範建立</w:t>
      </w:r>
      <w:proofErr w:type="gramStart"/>
      <w:r w:rsidR="009A697F" w:rsidRPr="00C1788C">
        <w:rPr>
          <w:rFonts w:hAnsi="標楷體" w:hint="eastAsia"/>
        </w:rPr>
        <w:t>多層防杜</w:t>
      </w:r>
      <w:proofErr w:type="gramEnd"/>
      <w:r w:rsidR="009A697F" w:rsidRPr="00C1788C">
        <w:rPr>
          <w:rFonts w:hAnsi="標楷體" w:hint="eastAsia"/>
        </w:rPr>
        <w:t>「洗產地」之管理機制，並透過</w:t>
      </w:r>
      <w:r w:rsidR="009A697F" w:rsidRPr="00C1788C">
        <w:rPr>
          <w:rFonts w:hAnsi="標楷體"/>
        </w:rPr>
        <w:t>產地認定、</w:t>
      </w:r>
      <w:r w:rsidR="009A697F" w:rsidRPr="00C1788C">
        <w:rPr>
          <w:rFonts w:hAnsi="標楷體" w:hint="eastAsia"/>
        </w:rPr>
        <w:t>大數據</w:t>
      </w:r>
      <w:r w:rsidR="009A697F" w:rsidRPr="00C1788C">
        <w:rPr>
          <w:rFonts w:hAnsi="標楷體"/>
        </w:rPr>
        <w:t>風險</w:t>
      </w:r>
      <w:r w:rsidR="009A697F" w:rsidRPr="00C1788C">
        <w:rPr>
          <w:rFonts w:hAnsi="標楷體" w:hint="eastAsia"/>
        </w:rPr>
        <w:t>分析、邊境查驗及電商平台管理等措施具體執行；</w:t>
      </w:r>
      <w:proofErr w:type="gramStart"/>
      <w:r w:rsidR="009A697F" w:rsidRPr="00C1788C">
        <w:rPr>
          <w:rFonts w:hAnsi="標楷體" w:hint="eastAsia"/>
        </w:rPr>
        <w:t>惟</w:t>
      </w:r>
      <w:proofErr w:type="gramEnd"/>
      <w:r w:rsidR="009A697F" w:rsidRPr="00C1788C">
        <w:rPr>
          <w:rFonts w:hAnsi="標楷體" w:hint="eastAsia"/>
        </w:rPr>
        <w:t>面對國際貿易環境變動</w:t>
      </w:r>
      <w:r w:rsidR="00A143B9" w:rsidRPr="00C1788C">
        <w:rPr>
          <w:rFonts w:hAnsi="標楷體" w:hint="eastAsia"/>
        </w:rPr>
        <w:t>、</w:t>
      </w:r>
      <w:r w:rsidR="00A143B9" w:rsidRPr="00C1788C">
        <w:rPr>
          <w:rFonts w:hAnsi="標楷體"/>
        </w:rPr>
        <w:t>跨境供應鏈複雜化</w:t>
      </w:r>
      <w:r w:rsidR="009A697F" w:rsidRPr="00C1788C">
        <w:rPr>
          <w:rFonts w:hAnsi="標楷體" w:hint="eastAsia"/>
        </w:rPr>
        <w:t>及違規</w:t>
      </w:r>
      <w:r w:rsidR="00A143B9" w:rsidRPr="00C1788C">
        <w:rPr>
          <w:rFonts w:hAnsi="標楷體"/>
        </w:rPr>
        <w:t>轉運</w:t>
      </w:r>
      <w:r w:rsidR="009A697F" w:rsidRPr="00C1788C">
        <w:rPr>
          <w:rFonts w:hAnsi="標楷體" w:hint="eastAsia"/>
        </w:rPr>
        <w:t>模式演變，實有持續強化風險預警、跨機關資訊整合及</w:t>
      </w:r>
      <w:r w:rsidR="00A143B9" w:rsidRPr="00C1788C">
        <w:rPr>
          <w:rFonts w:hAnsi="標楷體"/>
        </w:rPr>
        <w:t>國內外</w:t>
      </w:r>
      <w:r w:rsidR="009A697F" w:rsidRPr="00C1788C">
        <w:rPr>
          <w:rFonts w:hAnsi="標楷體" w:hint="eastAsia"/>
        </w:rPr>
        <w:t>市場監測</w:t>
      </w:r>
      <w:r w:rsidR="00A143B9" w:rsidRPr="00C1788C">
        <w:rPr>
          <w:rFonts w:hAnsi="標楷體"/>
        </w:rPr>
        <w:t>連結</w:t>
      </w:r>
      <w:r w:rsidR="00A143B9" w:rsidRPr="00C1788C">
        <w:rPr>
          <w:rFonts w:hAnsi="標楷體" w:hint="eastAsia"/>
        </w:rPr>
        <w:t>等</w:t>
      </w:r>
      <w:r w:rsidR="009A697F" w:rsidRPr="00C1788C">
        <w:rPr>
          <w:rFonts w:hAnsi="標楷體" w:hint="eastAsia"/>
        </w:rPr>
        <w:t>機制之必要，以進一步維護我國貿易秩序與國際信譽。</w:t>
      </w:r>
    </w:p>
    <w:p w14:paraId="5CFE8716" w14:textId="3E5E34F9" w:rsidR="00B460CB" w:rsidRPr="00C1788C" w:rsidRDefault="00FA5B2D" w:rsidP="00320890">
      <w:pPr>
        <w:pStyle w:val="2"/>
        <w:rPr>
          <w:rFonts w:hAnsi="標楷體"/>
          <w:b/>
          <w:bCs w:val="0"/>
        </w:rPr>
      </w:pPr>
      <w:r w:rsidRPr="00C1788C">
        <w:rPr>
          <w:rFonts w:hAnsi="標楷體" w:hint="eastAsia"/>
          <w:b/>
          <w:bCs w:val="0"/>
        </w:rPr>
        <w:t>目前蝦皮購物平台</w:t>
      </w:r>
      <w:proofErr w:type="gramStart"/>
      <w:r w:rsidRPr="00C1788C">
        <w:rPr>
          <w:rFonts w:hAnsi="標楷體" w:hint="eastAsia"/>
          <w:b/>
          <w:bCs w:val="0"/>
        </w:rPr>
        <w:t>廣設店到</w:t>
      </w:r>
      <w:proofErr w:type="gramEnd"/>
      <w:r w:rsidRPr="00C1788C">
        <w:rPr>
          <w:rFonts w:hAnsi="標楷體" w:hint="eastAsia"/>
          <w:b/>
          <w:bCs w:val="0"/>
        </w:rPr>
        <w:t>店及無人取貨據點，結合</w:t>
      </w:r>
      <w:proofErr w:type="gramStart"/>
      <w:r w:rsidRPr="00C1788C">
        <w:rPr>
          <w:rFonts w:hAnsi="標楷體" w:hint="eastAsia"/>
          <w:b/>
          <w:bCs w:val="0"/>
        </w:rPr>
        <w:t>跨境電商</w:t>
      </w:r>
      <w:proofErr w:type="gramEnd"/>
      <w:r w:rsidRPr="00C1788C">
        <w:rPr>
          <w:rFonts w:hAnsi="標楷體" w:hint="eastAsia"/>
          <w:b/>
          <w:bCs w:val="0"/>
        </w:rPr>
        <w:t>及</w:t>
      </w:r>
      <w:proofErr w:type="gramStart"/>
      <w:r w:rsidRPr="00C1788C">
        <w:rPr>
          <w:rFonts w:hAnsi="標楷體" w:hint="eastAsia"/>
          <w:b/>
          <w:bCs w:val="0"/>
        </w:rPr>
        <w:t>集運物流</w:t>
      </w:r>
      <w:proofErr w:type="gramEnd"/>
      <w:r w:rsidRPr="00C1788C">
        <w:rPr>
          <w:rFonts w:hAnsi="標楷體" w:hint="eastAsia"/>
          <w:b/>
          <w:bCs w:val="0"/>
        </w:rPr>
        <w:t>形成高度分散且深入末端之配送網絡情形，經本院諮詢學者專家指出，於犯罪防制、</w:t>
      </w:r>
      <w:r w:rsidR="00D77645" w:rsidRPr="00C1788C">
        <w:rPr>
          <w:rFonts w:hAnsi="標楷體"/>
          <w:b/>
          <w:bCs w:val="0"/>
        </w:rPr>
        <w:t>治安維護</w:t>
      </w:r>
      <w:r w:rsidR="00D77645" w:rsidRPr="00C1788C">
        <w:rPr>
          <w:rFonts w:hAnsi="標楷體" w:hint="eastAsia"/>
          <w:b/>
          <w:bCs w:val="0"/>
        </w:rPr>
        <w:t>、</w:t>
      </w:r>
      <w:r w:rsidRPr="00C1788C">
        <w:rPr>
          <w:rFonts w:hAnsi="標楷體" w:hint="eastAsia"/>
          <w:b/>
          <w:bCs w:val="0"/>
        </w:rPr>
        <w:t>違禁物流通、集運查核及戰時物資運輸等面向，仍可能衍生潛在風險，顯示現行分散式管理架構於整體風險辨識與橫向跨機關資訊整合上，實</w:t>
      </w:r>
      <w:r w:rsidR="0058501F" w:rsidRPr="00C1788C">
        <w:rPr>
          <w:rFonts w:hAnsi="標楷體" w:hint="eastAsia"/>
          <w:b/>
          <w:bCs w:val="0"/>
        </w:rPr>
        <w:t>尚</w:t>
      </w:r>
      <w:r w:rsidR="0058501F" w:rsidRPr="00C1788C">
        <w:rPr>
          <w:rFonts w:hAnsi="標楷體" w:hint="eastAsia"/>
          <w:b/>
          <w:bCs w:val="0"/>
        </w:rPr>
        <w:lastRenderedPageBreak/>
        <w:t>待</w:t>
      </w:r>
      <w:r w:rsidRPr="00C1788C">
        <w:rPr>
          <w:rFonts w:hAnsi="標楷體" w:hint="eastAsia"/>
          <w:b/>
          <w:bCs w:val="0"/>
        </w:rPr>
        <w:t>強化，相關主管機關允宜從國家安全及公共治理角度持續檢討精進相關治理機制</w:t>
      </w:r>
      <w:r w:rsidR="00EF6D74" w:rsidRPr="00C1788C">
        <w:rPr>
          <w:rFonts w:hAnsi="標楷體" w:hint="eastAsia"/>
          <w:b/>
          <w:bCs w:val="0"/>
        </w:rPr>
        <w:t>：</w:t>
      </w:r>
    </w:p>
    <w:p w14:paraId="044F028A" w14:textId="67972A5D" w:rsidR="00B460CB" w:rsidRPr="00C1788C" w:rsidRDefault="00EF6D74" w:rsidP="00DA32FC">
      <w:pPr>
        <w:pStyle w:val="3"/>
        <w:rPr>
          <w:rFonts w:hAnsi="標楷體"/>
        </w:rPr>
      </w:pPr>
      <w:r w:rsidRPr="00C1788C">
        <w:rPr>
          <w:rFonts w:hAnsi="標楷體"/>
        </w:rPr>
        <w:t>依電子商務相關管理規範及現行行政分工，電商平台之營運管理，主要由數</w:t>
      </w:r>
      <w:proofErr w:type="gramStart"/>
      <w:r w:rsidRPr="00C1788C">
        <w:rPr>
          <w:rFonts w:hAnsi="標楷體"/>
        </w:rPr>
        <w:t>發部依產業</w:t>
      </w:r>
      <w:proofErr w:type="gramEnd"/>
      <w:r w:rsidRPr="00C1788C">
        <w:rPr>
          <w:rFonts w:hAnsi="標楷體"/>
        </w:rPr>
        <w:t>及資訊服務相關規範進行監督；店鋪經營及商品交易涉及商業登記法及商品標示法等規範，</w:t>
      </w:r>
      <w:r w:rsidRPr="00C1788C">
        <w:rPr>
          <w:rFonts w:hAnsi="標楷體" w:hint="eastAsia"/>
        </w:rPr>
        <w:t>係</w:t>
      </w:r>
      <w:r w:rsidRPr="00C1788C">
        <w:rPr>
          <w:rFonts w:hAnsi="標楷體"/>
        </w:rPr>
        <w:t>屬經濟部</w:t>
      </w:r>
      <w:r w:rsidRPr="00C1788C">
        <w:rPr>
          <w:rFonts w:hAnsi="標楷體" w:hint="eastAsia"/>
        </w:rPr>
        <w:t>之</w:t>
      </w:r>
      <w:r w:rsidRPr="00C1788C">
        <w:rPr>
          <w:rFonts w:hAnsi="標楷體"/>
        </w:rPr>
        <w:t>權責；貨物流通及進出口部分，依關稅法、海關緝私條例及相關通關規定，由財政部關務署負責查驗與管理；金流部分則依電子支付機構管理條例</w:t>
      </w:r>
      <w:r w:rsidR="00215EB4" w:rsidRPr="00C1788C">
        <w:rPr>
          <w:rFonts w:hAnsi="標楷體" w:hint="eastAsia"/>
        </w:rPr>
        <w:t>(</w:t>
      </w:r>
      <w:r w:rsidR="00215EB4" w:rsidRPr="00C1788C">
        <w:rPr>
          <w:rFonts w:hAnsi="標楷體"/>
        </w:rPr>
        <w:t>下</w:t>
      </w:r>
      <w:proofErr w:type="gramStart"/>
      <w:r w:rsidR="00215EB4" w:rsidRPr="00C1788C">
        <w:rPr>
          <w:rFonts w:hAnsi="標楷體"/>
        </w:rPr>
        <w:t>稱電支</w:t>
      </w:r>
      <w:proofErr w:type="gramEnd"/>
      <w:r w:rsidR="00215EB4" w:rsidRPr="00C1788C">
        <w:rPr>
          <w:rFonts w:hAnsi="標楷體"/>
        </w:rPr>
        <w:t>條例</w:t>
      </w:r>
      <w:r w:rsidR="00215EB4" w:rsidRPr="00C1788C">
        <w:rPr>
          <w:rFonts w:hAnsi="標楷體" w:hint="eastAsia"/>
        </w:rPr>
        <w:t>)</w:t>
      </w:r>
      <w:r w:rsidRPr="00C1788C">
        <w:rPr>
          <w:rFonts w:hAnsi="標楷體"/>
        </w:rPr>
        <w:t>及相關規範，由金管會監理。</w:t>
      </w:r>
      <w:proofErr w:type="gramStart"/>
      <w:r w:rsidRPr="00C1788C">
        <w:rPr>
          <w:rFonts w:hAnsi="標楷體"/>
        </w:rPr>
        <w:t>此外，</w:t>
      </w:r>
      <w:proofErr w:type="gramEnd"/>
      <w:r w:rsidRPr="00C1788C">
        <w:rPr>
          <w:rFonts w:hAnsi="標楷體"/>
        </w:rPr>
        <w:t>涉及公共安全部分，店面設置須符合消防法及建築相關規範；如涉及違禁物品運輸，則依槍砲彈藥刀械管制條例、毒品危害防制條例等相關刑事法規處理</w:t>
      </w:r>
      <w:r w:rsidR="00D77645" w:rsidRPr="00C1788C">
        <w:rPr>
          <w:rFonts w:hAnsi="標楷體"/>
        </w:rPr>
        <w:t>，並由內政部警政署及所屬各級警察機關依法負責犯罪預防、偵查及治安維護等事項</w:t>
      </w:r>
      <w:r w:rsidRPr="00C1788C">
        <w:rPr>
          <w:rFonts w:hAnsi="標楷體"/>
        </w:rPr>
        <w:t>。上開制度顯示，對於電商平台及其物流體系，目前係</w:t>
      </w:r>
      <w:proofErr w:type="gramStart"/>
      <w:r w:rsidRPr="00C1788C">
        <w:rPr>
          <w:rFonts w:hAnsi="標楷體"/>
        </w:rPr>
        <w:t>採</w:t>
      </w:r>
      <w:proofErr w:type="gramEnd"/>
      <w:r w:rsidRPr="00C1788C">
        <w:rPr>
          <w:rFonts w:hAnsi="標楷體"/>
        </w:rPr>
        <w:t>多機關分工管理之架構。</w:t>
      </w:r>
    </w:p>
    <w:p w14:paraId="0EF35B44" w14:textId="68EA0655" w:rsidR="00EF6D74" w:rsidRPr="00C1788C" w:rsidRDefault="00EF6D74" w:rsidP="00F21CC5">
      <w:pPr>
        <w:pStyle w:val="3"/>
        <w:rPr>
          <w:rFonts w:hAnsi="標楷體"/>
        </w:rPr>
      </w:pPr>
      <w:r w:rsidRPr="00C1788C">
        <w:rPr>
          <w:rFonts w:hAnsi="標楷體" w:hint="eastAsia"/>
        </w:rPr>
        <w:t>查</w:t>
      </w:r>
      <w:r w:rsidRPr="00C1788C">
        <w:rPr>
          <w:rFonts w:hAnsi="標楷體"/>
        </w:rPr>
        <w:t>蝦皮</w:t>
      </w:r>
      <w:r w:rsidR="006527D3" w:rsidRPr="00C1788C">
        <w:rPr>
          <w:rFonts w:hAnsi="標楷體" w:hint="eastAsia"/>
        </w:rPr>
        <w:t>購物</w:t>
      </w:r>
      <w:r w:rsidRPr="00C1788C">
        <w:rPr>
          <w:rFonts w:hAnsi="標楷體"/>
        </w:rPr>
        <w:t>平台近年透過「店到店」及「智取店</w:t>
      </w:r>
      <w:r w:rsidRPr="00C1788C">
        <w:rPr>
          <w:rFonts w:hAnsi="標楷體" w:hint="eastAsia"/>
        </w:rPr>
        <w:t>(</w:t>
      </w:r>
      <w:r w:rsidRPr="00C1788C">
        <w:rPr>
          <w:rFonts w:hAnsi="標楷體"/>
        </w:rPr>
        <w:t>無人取貨據點</w:t>
      </w:r>
      <w:r w:rsidRPr="00C1788C">
        <w:rPr>
          <w:rFonts w:hAnsi="標楷體" w:hint="eastAsia"/>
        </w:rPr>
        <w:t>)</w:t>
      </w:r>
      <w:r w:rsidRPr="00C1788C">
        <w:rPr>
          <w:rFonts w:hAnsi="標楷體"/>
        </w:rPr>
        <w:t>」擴展物流網絡，使貨物流通深入社區末端，並結合</w:t>
      </w:r>
      <w:proofErr w:type="gramStart"/>
      <w:r w:rsidRPr="00C1788C">
        <w:rPr>
          <w:rFonts w:hAnsi="標楷體"/>
        </w:rPr>
        <w:t>跨境電商</w:t>
      </w:r>
      <w:proofErr w:type="gramEnd"/>
      <w:r w:rsidRPr="00C1788C">
        <w:rPr>
          <w:rFonts w:hAnsi="標楷體"/>
        </w:rPr>
        <w:t>及集運模式，形成高度分散且具規模之配送體系。</w:t>
      </w:r>
      <w:r w:rsidRPr="00C1788C">
        <w:rPr>
          <w:rFonts w:hAnsi="標楷體" w:hint="eastAsia"/>
        </w:rPr>
        <w:t>經查</w:t>
      </w:r>
      <w:r w:rsidRPr="00C1788C">
        <w:rPr>
          <w:rFonts w:hAnsi="標楷體"/>
        </w:rPr>
        <w:t>現行制度下各</w:t>
      </w:r>
      <w:r w:rsidRPr="00C1788C">
        <w:rPr>
          <w:rFonts w:hAnsi="標楷體" w:hint="eastAsia"/>
        </w:rPr>
        <w:t>主管</w:t>
      </w:r>
      <w:r w:rsidRPr="00C1788C">
        <w:rPr>
          <w:rFonts w:hAnsi="標楷體"/>
        </w:rPr>
        <w:t>機關就不同面向進行管理，例如：</w:t>
      </w:r>
      <w:r w:rsidRPr="00C1788C">
        <w:rPr>
          <w:rFonts w:hAnsi="標楷體" w:hint="eastAsia"/>
        </w:rPr>
        <w:t>邊境查驗與報關機制</w:t>
      </w:r>
      <w:r w:rsidRPr="00C1788C">
        <w:rPr>
          <w:rFonts w:hAnsi="標楷體"/>
        </w:rPr>
        <w:t>透過海關抽驗制度及EZ WAY實名認證，掌握進口貨物資訊；</w:t>
      </w:r>
      <w:r w:rsidRPr="00C1788C">
        <w:rPr>
          <w:rFonts w:hAnsi="標楷體" w:hint="eastAsia"/>
        </w:rPr>
        <w:t>電商平台管理</w:t>
      </w:r>
      <w:r w:rsidRPr="00C1788C">
        <w:rPr>
          <w:rFonts w:hAnsi="標楷體"/>
        </w:rPr>
        <w:t>由數發部負責平台管理，並要求業者建立商品上架及查核機制；</w:t>
      </w:r>
      <w:r w:rsidRPr="00C1788C">
        <w:rPr>
          <w:rFonts w:hAnsi="標楷體" w:hint="eastAsia"/>
        </w:rPr>
        <w:t>商品標示與市場查核</w:t>
      </w:r>
      <w:r w:rsidRPr="00C1788C">
        <w:rPr>
          <w:rFonts w:hAnsi="標楷體"/>
        </w:rPr>
        <w:t>由經濟部標檢局依商品標示及檢驗規定進行管理；</w:t>
      </w:r>
      <w:r w:rsidRPr="00C1788C">
        <w:rPr>
          <w:rFonts w:hAnsi="標楷體" w:hint="eastAsia"/>
        </w:rPr>
        <w:t>金流監理</w:t>
      </w:r>
      <w:r w:rsidRPr="00C1788C">
        <w:rPr>
          <w:rFonts w:hAnsi="標楷體"/>
        </w:rPr>
        <w:t>由金管會針對電子支付及代收代付機制進行監督；</w:t>
      </w:r>
      <w:r w:rsidRPr="00C1788C">
        <w:rPr>
          <w:rFonts w:hAnsi="標楷體" w:hint="eastAsia"/>
        </w:rPr>
        <w:t>店面及公共安全管理</w:t>
      </w:r>
      <w:r w:rsidRPr="00C1788C">
        <w:rPr>
          <w:rFonts w:hAnsi="標楷體"/>
        </w:rPr>
        <w:t>由地方政府及相關主管機關依消防及建築規範管理</w:t>
      </w:r>
      <w:r w:rsidR="00D77645" w:rsidRPr="00C1788C">
        <w:rPr>
          <w:rFonts w:hAnsi="標楷體"/>
        </w:rPr>
        <w:t>；另就涉及犯罪行為之查處，則由警政機關依刑事訴訟法及相</w:t>
      </w:r>
      <w:r w:rsidR="00D77645" w:rsidRPr="00C1788C">
        <w:rPr>
          <w:rFonts w:hAnsi="標楷體"/>
        </w:rPr>
        <w:lastRenderedPageBreak/>
        <w:t>關特別法規進行偵辦。</w:t>
      </w:r>
      <w:r w:rsidRPr="00C1788C">
        <w:rPr>
          <w:rFonts w:hAnsi="標楷體"/>
        </w:rPr>
        <w:t>整體而言，現行制度係依功能別分由不同機關負責，並未針對「店</w:t>
      </w:r>
      <w:proofErr w:type="gramStart"/>
      <w:r w:rsidRPr="00C1788C">
        <w:rPr>
          <w:rFonts w:hAnsi="標楷體"/>
        </w:rPr>
        <w:t>到店物流</w:t>
      </w:r>
      <w:proofErr w:type="gramEnd"/>
      <w:r w:rsidRPr="00C1788C">
        <w:rPr>
          <w:rFonts w:hAnsi="標楷體"/>
        </w:rPr>
        <w:t>體系」作為單一整體進行專法或專責管理。另</w:t>
      </w:r>
      <w:r w:rsidRPr="00C1788C">
        <w:rPr>
          <w:rFonts w:hAnsi="標楷體" w:hint="eastAsia"/>
        </w:rPr>
        <w:t>經本院諮詢</w:t>
      </w:r>
      <w:r w:rsidRPr="00C1788C">
        <w:rPr>
          <w:rFonts w:hAnsi="標楷體"/>
        </w:rPr>
        <w:t>學者專家意見，實務上曾有非法物品透過物流或超商取貨之案例，顯示無人取貨據點</w:t>
      </w:r>
      <w:r w:rsidR="009530A1" w:rsidRPr="00C1788C">
        <w:rPr>
          <w:rFonts w:hAnsi="標楷體" w:hint="eastAsia"/>
        </w:rPr>
        <w:t>於</w:t>
      </w:r>
      <w:r w:rsidRPr="00C1788C">
        <w:rPr>
          <w:rFonts w:hAnsi="標楷體"/>
        </w:rPr>
        <w:t>缺乏人工辨識之情況下，對於貨物內容之掌握較為有限；</w:t>
      </w:r>
      <w:proofErr w:type="gramStart"/>
      <w:r w:rsidRPr="00C1788C">
        <w:rPr>
          <w:rFonts w:hAnsi="標楷體"/>
        </w:rPr>
        <w:t>另集運</w:t>
      </w:r>
      <w:proofErr w:type="gramEnd"/>
      <w:r w:rsidRPr="00C1788C">
        <w:rPr>
          <w:rFonts w:hAnsi="標楷體"/>
        </w:rPr>
        <w:t>模式將多筆貨物集中後再分送，亦可能增加查核難度。部分意見並指出，</w:t>
      </w:r>
      <w:proofErr w:type="gramStart"/>
      <w:r w:rsidRPr="00C1788C">
        <w:rPr>
          <w:rFonts w:hAnsi="標楷體"/>
        </w:rPr>
        <w:t>跨境電商</w:t>
      </w:r>
      <w:proofErr w:type="gramEnd"/>
      <w:r w:rsidRPr="00C1788C">
        <w:rPr>
          <w:rFonts w:hAnsi="標楷體"/>
        </w:rPr>
        <w:t>帳號可能遭不當利用，或存在違規交易風險，惟目前制度仍以個案查核為主。</w:t>
      </w:r>
    </w:p>
    <w:p w14:paraId="4EDF1AD6" w14:textId="23D8548F" w:rsidR="00EF6D74" w:rsidRPr="00C1788C" w:rsidRDefault="00EF6D74" w:rsidP="00320890">
      <w:pPr>
        <w:pStyle w:val="3"/>
        <w:rPr>
          <w:rFonts w:hAnsi="標楷體"/>
        </w:rPr>
      </w:pPr>
      <w:proofErr w:type="gramStart"/>
      <w:r w:rsidRPr="00C1788C">
        <w:rPr>
          <w:rFonts w:hAnsi="標楷體" w:hint="eastAsia"/>
        </w:rPr>
        <w:t>揆</w:t>
      </w:r>
      <w:proofErr w:type="gramEnd"/>
      <w:r w:rsidRPr="00C1788C">
        <w:rPr>
          <w:rFonts w:hAnsi="標楷體" w:hint="eastAsia"/>
        </w:rPr>
        <w:t>以</w:t>
      </w:r>
      <w:r w:rsidRPr="00C1788C">
        <w:rPr>
          <w:rFonts w:hAnsi="標楷體"/>
        </w:rPr>
        <w:t>蝦皮</w:t>
      </w:r>
      <w:r w:rsidR="006527D3" w:rsidRPr="00C1788C">
        <w:rPr>
          <w:rFonts w:hAnsi="標楷體" w:hint="eastAsia"/>
        </w:rPr>
        <w:t>購物</w:t>
      </w:r>
      <w:r w:rsidRPr="00C1788C">
        <w:rPr>
          <w:rFonts w:hAnsi="標楷體"/>
        </w:rPr>
        <w:t>平台所建構之物流體系，</w:t>
      </w:r>
      <w:proofErr w:type="gramStart"/>
      <w:r w:rsidRPr="00C1788C">
        <w:rPr>
          <w:rFonts w:hAnsi="標楷體"/>
        </w:rPr>
        <w:t>係隨電商</w:t>
      </w:r>
      <w:proofErr w:type="gramEnd"/>
      <w:r w:rsidRPr="00C1788C">
        <w:rPr>
          <w:rFonts w:hAnsi="標楷體"/>
        </w:rPr>
        <w:t>產業發展而形成之新型配送模式，透過店到店及無人據點提升物流效率與便利性，對於消費者及產業發展具有一定正面效益。現行主管機關依各自職掌，對平台、貨物、金流及場所等面向進行管理，惟該等物流模式具有「去中心化、分散化及自動化」特性，與傳統以人工檢核為主之管理模式有所差異，可能在特定情境下產生風險。例如：</w:t>
      </w:r>
      <w:r w:rsidRPr="00C1788C">
        <w:rPr>
          <w:rFonts w:hAnsi="標楷體" w:hint="eastAsia"/>
        </w:rPr>
        <w:t>1、</w:t>
      </w:r>
      <w:r w:rsidRPr="00C1788C">
        <w:rPr>
          <w:rFonts w:hAnsi="標楷體"/>
        </w:rPr>
        <w:t>貨物內容辨識困難：無人取貨據點缺乏即時人工檢核機制，貨物內容主要依事前申報及邊境查驗掌握，若</w:t>
      </w:r>
      <w:proofErr w:type="gramStart"/>
      <w:r w:rsidRPr="00C1788C">
        <w:rPr>
          <w:rFonts w:hAnsi="標楷體"/>
        </w:rPr>
        <w:t>前端控管</w:t>
      </w:r>
      <w:proofErr w:type="gramEnd"/>
      <w:r w:rsidRPr="00C1788C">
        <w:rPr>
          <w:rFonts w:hAnsi="標楷體"/>
        </w:rPr>
        <w:t>不足，</w:t>
      </w:r>
      <w:proofErr w:type="gramStart"/>
      <w:r w:rsidRPr="00C1788C">
        <w:rPr>
          <w:rFonts w:hAnsi="標楷體"/>
        </w:rPr>
        <w:t>後端較難</w:t>
      </w:r>
      <w:proofErr w:type="gramEnd"/>
      <w:r w:rsidRPr="00C1788C">
        <w:rPr>
          <w:rFonts w:hAnsi="標楷體"/>
        </w:rPr>
        <w:t>補強</w:t>
      </w:r>
      <w:r w:rsidRPr="00C1788C">
        <w:rPr>
          <w:rFonts w:hAnsi="標楷體" w:hint="eastAsia"/>
        </w:rPr>
        <w:t>；2、</w:t>
      </w:r>
      <w:r w:rsidRPr="00C1788C">
        <w:rPr>
          <w:rFonts w:hAnsi="標楷體"/>
        </w:rPr>
        <w:t>集運模式查核難度：多筆貨物集中運輸後再分送，可能增加邊境查驗及來源追溯之複雜性</w:t>
      </w:r>
      <w:r w:rsidRPr="00C1788C">
        <w:rPr>
          <w:rFonts w:hAnsi="標楷體" w:hint="eastAsia"/>
        </w:rPr>
        <w:t>；3、</w:t>
      </w:r>
      <w:r w:rsidRPr="00C1788C">
        <w:rPr>
          <w:rFonts w:hAnsi="標楷體"/>
        </w:rPr>
        <w:t>跨機關資訊分散：現行制度由不同機關分別掌握部分資訊，整體風險</w:t>
      </w:r>
      <w:proofErr w:type="gramStart"/>
      <w:r w:rsidRPr="00C1788C">
        <w:rPr>
          <w:rFonts w:hAnsi="標楷體"/>
        </w:rPr>
        <w:t>樣貌需透過</w:t>
      </w:r>
      <w:proofErr w:type="gramEnd"/>
      <w:r w:rsidRPr="00C1788C">
        <w:rPr>
          <w:rFonts w:hAnsi="標楷體"/>
        </w:rPr>
        <w:t>整合分析方能完整呈現</w:t>
      </w:r>
      <w:r w:rsidRPr="00C1788C">
        <w:rPr>
          <w:rFonts w:hAnsi="標楷體" w:hint="eastAsia"/>
        </w:rPr>
        <w:t>；4、</w:t>
      </w:r>
      <w:r w:rsidRPr="00C1788C">
        <w:rPr>
          <w:rFonts w:hAnsi="標楷體"/>
        </w:rPr>
        <w:t>新型態風險辨識：</w:t>
      </w:r>
      <w:proofErr w:type="gramStart"/>
      <w:r w:rsidRPr="00C1788C">
        <w:rPr>
          <w:rFonts w:hAnsi="標楷體"/>
        </w:rPr>
        <w:t>隨跨境電</w:t>
      </w:r>
      <w:proofErr w:type="gramEnd"/>
      <w:r w:rsidRPr="00C1788C">
        <w:rPr>
          <w:rFonts w:hAnsi="標楷體"/>
        </w:rPr>
        <w:t>商及物流模式演變，部分違規行為可能呈現更隱蔽或分散之特性，對傳統查核機制形成挑戰。另</w:t>
      </w:r>
      <w:r w:rsidR="00FA5B2D" w:rsidRPr="00C1788C">
        <w:rPr>
          <w:rFonts w:hAnsi="標楷體" w:hint="eastAsia"/>
        </w:rPr>
        <w:t>本院諮詢</w:t>
      </w:r>
      <w:r w:rsidRPr="00C1788C">
        <w:rPr>
          <w:rFonts w:hAnsi="標楷體"/>
        </w:rPr>
        <w:t>學者專家亦從國家安全角度提出觀察，認為物流通路於極端情境</w:t>
      </w:r>
      <w:r w:rsidR="00FA5B2D" w:rsidRPr="00C1788C">
        <w:rPr>
          <w:rFonts w:hAnsi="標楷體" w:hint="eastAsia"/>
        </w:rPr>
        <w:t>(</w:t>
      </w:r>
      <w:r w:rsidRPr="00C1788C">
        <w:rPr>
          <w:rFonts w:hAnsi="標楷體"/>
        </w:rPr>
        <w:t>如重大危機或戰時</w:t>
      </w:r>
      <w:r w:rsidR="00FA5B2D" w:rsidRPr="00C1788C">
        <w:rPr>
          <w:rFonts w:hAnsi="標楷體" w:hint="eastAsia"/>
        </w:rPr>
        <w:t>)</w:t>
      </w:r>
      <w:r w:rsidRPr="00C1788C">
        <w:rPr>
          <w:rFonts w:hAnsi="標楷體"/>
        </w:rPr>
        <w:t>可能具有物資運輸之戰略意義。此類意見係基於風險推</w:t>
      </w:r>
      <w:r w:rsidRPr="00C1788C">
        <w:rPr>
          <w:rFonts w:hAnsi="標楷體"/>
        </w:rPr>
        <w:lastRenderedPageBreak/>
        <w:t>估所提出之觀點，雖非具體事證，仍顯示大型物流通路在整體社會運作中之重要性，相關主管機關於制度規劃時，可納入長期發展趨勢加以審酌。整體而言，現行制度並非無管理，而係以分工方式運作；</w:t>
      </w:r>
      <w:proofErr w:type="gramStart"/>
      <w:r w:rsidRPr="00C1788C">
        <w:rPr>
          <w:rFonts w:hAnsi="標楷體"/>
        </w:rPr>
        <w:t>惟</w:t>
      </w:r>
      <w:proofErr w:type="gramEnd"/>
      <w:r w:rsidRPr="00C1788C">
        <w:rPr>
          <w:rFonts w:hAnsi="標楷體"/>
        </w:rPr>
        <w:t>面對新型態</w:t>
      </w:r>
      <w:proofErr w:type="gramStart"/>
      <w:r w:rsidRPr="00C1788C">
        <w:rPr>
          <w:rFonts w:hAnsi="標楷體"/>
        </w:rPr>
        <w:t>電商物流</w:t>
      </w:r>
      <w:proofErr w:type="gramEnd"/>
      <w:r w:rsidRPr="00C1788C">
        <w:rPr>
          <w:rFonts w:hAnsi="標楷體"/>
        </w:rPr>
        <w:t>體系，如何在不影響產業發展之前提下，強化跨機關整合</w:t>
      </w:r>
      <w:r w:rsidR="00D77645" w:rsidRPr="00C1788C">
        <w:rPr>
          <w:rFonts w:hAnsi="標楷體" w:hint="eastAsia"/>
        </w:rPr>
        <w:t>(</w:t>
      </w:r>
      <w:r w:rsidR="00D77645" w:rsidRPr="00C1788C">
        <w:rPr>
          <w:rFonts w:hAnsi="標楷體"/>
        </w:rPr>
        <w:t>含警政、關務及產業主管機關</w:t>
      </w:r>
      <w:r w:rsidR="00D77645" w:rsidRPr="00C1788C">
        <w:rPr>
          <w:rFonts w:hAnsi="標楷體" w:hint="eastAsia"/>
        </w:rPr>
        <w:t>)</w:t>
      </w:r>
      <w:r w:rsidRPr="00C1788C">
        <w:rPr>
          <w:rFonts w:hAnsi="標楷體"/>
        </w:rPr>
        <w:t>、風險預警及制度一致性，為後續可精進方向。</w:t>
      </w:r>
    </w:p>
    <w:p w14:paraId="66C95AA1" w14:textId="26BFCB5B" w:rsidR="00EF6D74" w:rsidRPr="00C1788C" w:rsidRDefault="00FA5B2D" w:rsidP="00320890">
      <w:pPr>
        <w:pStyle w:val="3"/>
        <w:rPr>
          <w:rFonts w:hAnsi="標楷體"/>
        </w:rPr>
      </w:pPr>
      <w:r w:rsidRPr="00C1788C">
        <w:rPr>
          <w:rFonts w:hAnsi="標楷體" w:hint="eastAsia"/>
        </w:rPr>
        <w:t>要言之，目前蝦皮購物平台</w:t>
      </w:r>
      <w:proofErr w:type="gramStart"/>
      <w:r w:rsidRPr="00C1788C">
        <w:rPr>
          <w:rFonts w:hAnsi="標楷體" w:hint="eastAsia"/>
        </w:rPr>
        <w:t>廣設店到</w:t>
      </w:r>
      <w:proofErr w:type="gramEnd"/>
      <w:r w:rsidRPr="00C1788C">
        <w:rPr>
          <w:rFonts w:hAnsi="標楷體" w:hint="eastAsia"/>
        </w:rPr>
        <w:t>店及無人取貨據點，結合</w:t>
      </w:r>
      <w:proofErr w:type="gramStart"/>
      <w:r w:rsidRPr="00C1788C">
        <w:rPr>
          <w:rFonts w:hAnsi="標楷體" w:hint="eastAsia"/>
        </w:rPr>
        <w:t>跨境電商</w:t>
      </w:r>
      <w:proofErr w:type="gramEnd"/>
      <w:r w:rsidRPr="00C1788C">
        <w:rPr>
          <w:rFonts w:hAnsi="標楷體" w:hint="eastAsia"/>
        </w:rPr>
        <w:t>及</w:t>
      </w:r>
      <w:proofErr w:type="gramStart"/>
      <w:r w:rsidRPr="00C1788C">
        <w:rPr>
          <w:rFonts w:hAnsi="標楷體" w:hint="eastAsia"/>
        </w:rPr>
        <w:t>集運物流</w:t>
      </w:r>
      <w:proofErr w:type="gramEnd"/>
      <w:r w:rsidRPr="00C1788C">
        <w:rPr>
          <w:rFonts w:hAnsi="標楷體" w:hint="eastAsia"/>
        </w:rPr>
        <w:t>形成高度分散且深入末端之配送網絡情形，經本院諮詢學者專家指出，於犯罪防制</w:t>
      </w:r>
      <w:r w:rsidR="00D77645" w:rsidRPr="00C1788C">
        <w:rPr>
          <w:rFonts w:hAnsi="標楷體" w:hint="eastAsia"/>
        </w:rPr>
        <w:t>、</w:t>
      </w:r>
      <w:r w:rsidR="00D77645" w:rsidRPr="00C1788C">
        <w:rPr>
          <w:rFonts w:hAnsi="標楷體"/>
        </w:rPr>
        <w:t>治安維護</w:t>
      </w:r>
      <w:r w:rsidRPr="00C1788C">
        <w:rPr>
          <w:rFonts w:hAnsi="標楷體" w:hint="eastAsia"/>
        </w:rPr>
        <w:t>、違禁物流通、集運查核及戰時物資運輸等面向，仍可能衍生潛在風險，顯示現行分散式管理架構於整體風險辨識與橫向跨機關資訊整合上，實</w:t>
      </w:r>
      <w:r w:rsidR="0058501F" w:rsidRPr="00C1788C">
        <w:rPr>
          <w:rFonts w:hAnsi="標楷體" w:hint="eastAsia"/>
        </w:rPr>
        <w:t>尚待</w:t>
      </w:r>
      <w:r w:rsidRPr="00C1788C">
        <w:rPr>
          <w:rFonts w:hAnsi="標楷體" w:hint="eastAsia"/>
        </w:rPr>
        <w:t>強化，相關主管機關允宜從國家安全及公共治理角度持續檢討精進相關治理機制。</w:t>
      </w:r>
    </w:p>
    <w:p w14:paraId="77B14454" w14:textId="362C26AD" w:rsidR="00D77645" w:rsidRPr="00C1788C" w:rsidRDefault="00786AA3" w:rsidP="00D4450D">
      <w:pPr>
        <w:pStyle w:val="2"/>
        <w:rPr>
          <w:rFonts w:hAnsi="標楷體"/>
          <w:b/>
          <w:bCs w:val="0"/>
          <w:kern w:val="0"/>
          <w:sz w:val="24"/>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C1788C">
        <w:rPr>
          <w:rFonts w:hAnsi="標楷體"/>
          <w:b/>
          <w:bCs w:val="0"/>
        </w:rPr>
        <w:t>基於監理重要性原則及國際比較所建立</w:t>
      </w:r>
      <w:r w:rsidRPr="00C1788C">
        <w:rPr>
          <w:rFonts w:hAnsi="標楷體" w:hint="eastAsia"/>
          <w:b/>
          <w:bCs w:val="0"/>
        </w:rPr>
        <w:t>之</w:t>
      </w:r>
      <w:r w:rsidR="0088074F" w:rsidRPr="00C1788C">
        <w:rPr>
          <w:rFonts w:hAnsi="標楷體"/>
          <w:b/>
          <w:bCs w:val="0"/>
        </w:rPr>
        <w:t>第三方支付與電子支付機構之分流監理制度，係以是否涉及</w:t>
      </w:r>
      <w:proofErr w:type="gramStart"/>
      <w:r w:rsidR="0088074F" w:rsidRPr="00C1788C">
        <w:rPr>
          <w:rFonts w:hAnsi="標楷體"/>
          <w:b/>
          <w:bCs w:val="0"/>
        </w:rPr>
        <w:t>收受儲值</w:t>
      </w:r>
      <w:proofErr w:type="gramEnd"/>
      <w:r w:rsidR="0088074F" w:rsidRPr="00C1788C">
        <w:rPr>
          <w:rFonts w:hAnsi="標楷體"/>
          <w:b/>
          <w:bCs w:val="0"/>
        </w:rPr>
        <w:t>款項及代理收付款項規模達一定門檻作為納管依據，並透過門檻調整、跨機關合作及確信報告機制</w:t>
      </w:r>
      <w:r w:rsidR="00267C3E">
        <w:rPr>
          <w:rFonts w:hAnsi="標楷體" w:hint="eastAsia"/>
          <w:b/>
          <w:bCs w:val="0"/>
        </w:rPr>
        <w:t>進行監理</w:t>
      </w:r>
      <w:r w:rsidR="0088074F" w:rsidRPr="00C1788C">
        <w:rPr>
          <w:rFonts w:hAnsi="標楷體" w:hint="eastAsia"/>
          <w:b/>
          <w:bCs w:val="0"/>
        </w:rPr>
        <w:t>，</w:t>
      </w:r>
      <w:proofErr w:type="gramStart"/>
      <w:r w:rsidR="0088074F" w:rsidRPr="00C1788C">
        <w:rPr>
          <w:rFonts w:hAnsi="標楷體"/>
          <w:b/>
          <w:bCs w:val="0"/>
        </w:rPr>
        <w:t>惟隨電子商務</w:t>
      </w:r>
      <w:proofErr w:type="gramEnd"/>
      <w:r w:rsidR="0088074F" w:rsidRPr="00C1788C">
        <w:rPr>
          <w:rFonts w:hAnsi="標楷體"/>
          <w:b/>
          <w:bCs w:val="0"/>
        </w:rPr>
        <w:t>發展及資金流動模式改變，部分業者透過調整資金流動方式及交易結構，致其實際經營規模與監理分類間出現落差，現行以「一年日均餘額」為核心之單一監理指標，對於反映短期資金流量及整體風險承擔能力，易形成監理密度</w:t>
      </w:r>
      <w:r w:rsidR="0088074F" w:rsidRPr="00C1788C">
        <w:rPr>
          <w:rFonts w:hAnsi="標楷體" w:hint="eastAsia"/>
          <w:b/>
          <w:bCs w:val="0"/>
        </w:rPr>
        <w:t>及</w:t>
      </w:r>
      <w:r w:rsidR="0088074F" w:rsidRPr="00C1788C">
        <w:rPr>
          <w:rFonts w:hAnsi="標楷體"/>
          <w:b/>
          <w:bCs w:val="0"/>
        </w:rPr>
        <w:t>實質經營規模</w:t>
      </w:r>
      <w:r w:rsidR="0088074F" w:rsidRPr="00C1788C">
        <w:rPr>
          <w:rFonts w:hAnsi="標楷體" w:hint="eastAsia"/>
          <w:b/>
          <w:bCs w:val="0"/>
        </w:rPr>
        <w:t>與</w:t>
      </w:r>
      <w:r w:rsidR="0088074F" w:rsidRPr="00C1788C">
        <w:rPr>
          <w:rFonts w:hAnsi="標楷體"/>
          <w:b/>
          <w:bCs w:val="0"/>
        </w:rPr>
        <w:t>風險程度未完全對應，</w:t>
      </w:r>
      <w:r w:rsidR="00267C3E">
        <w:rPr>
          <w:rFonts w:hAnsi="標楷體" w:hint="eastAsia"/>
          <w:b/>
          <w:bCs w:val="0"/>
        </w:rPr>
        <w:t>顯</w:t>
      </w:r>
      <w:r w:rsidR="0088074F" w:rsidRPr="00C1788C">
        <w:rPr>
          <w:rFonts w:hAnsi="標楷體"/>
          <w:b/>
          <w:bCs w:val="0"/>
        </w:rPr>
        <w:t>有其侷限。</w:t>
      </w:r>
      <w:r w:rsidR="0088074F" w:rsidRPr="00C1788C">
        <w:rPr>
          <w:rFonts w:hAnsi="標楷體" w:hint="eastAsia"/>
          <w:b/>
          <w:bCs w:val="0"/>
        </w:rPr>
        <w:t>數</w:t>
      </w:r>
      <w:proofErr w:type="gramStart"/>
      <w:r w:rsidR="0088074F" w:rsidRPr="00C1788C">
        <w:rPr>
          <w:rFonts w:hAnsi="標楷體" w:hint="eastAsia"/>
          <w:b/>
          <w:bCs w:val="0"/>
        </w:rPr>
        <w:t>發部及金管會</w:t>
      </w:r>
      <w:proofErr w:type="gramEnd"/>
      <w:r w:rsidR="0088074F" w:rsidRPr="00C1788C">
        <w:rPr>
          <w:rFonts w:hAnsi="標楷體"/>
          <w:b/>
          <w:bCs w:val="0"/>
        </w:rPr>
        <w:t>允宜在兼顧制度穩定性與產業發展之前提下，持續觀察市場變化，審慎評估是否引入補充性風險指標或多元判斷機制，以提升監理分類與實質風</w:t>
      </w:r>
      <w:r w:rsidR="0088074F" w:rsidRPr="00C1788C">
        <w:rPr>
          <w:rFonts w:hAnsi="標楷體"/>
          <w:b/>
          <w:bCs w:val="0"/>
        </w:rPr>
        <w:lastRenderedPageBreak/>
        <w:t>險之對應程度，避免產生監理落差，並確保金融秩序及消費者權益之保障</w:t>
      </w:r>
      <w:r w:rsidR="0088074F" w:rsidRPr="00C1788C">
        <w:rPr>
          <w:rFonts w:hAnsi="標楷體" w:hint="eastAsia"/>
          <w:b/>
          <w:bCs w:val="0"/>
        </w:rPr>
        <w:t>：</w:t>
      </w:r>
    </w:p>
    <w:p w14:paraId="357E9D1F" w14:textId="7CAD8ED0" w:rsidR="00D77645" w:rsidRPr="00C1788C" w:rsidRDefault="00D77645" w:rsidP="009A294C">
      <w:pPr>
        <w:pStyle w:val="3"/>
        <w:rPr>
          <w:rFonts w:hAnsi="標楷體"/>
        </w:rPr>
      </w:pPr>
      <w:proofErr w:type="gramStart"/>
      <w:r w:rsidRPr="00C1788C">
        <w:rPr>
          <w:rFonts w:hAnsi="標楷體"/>
        </w:rPr>
        <w:t>按電支</w:t>
      </w:r>
      <w:proofErr w:type="gramEnd"/>
      <w:r w:rsidRPr="00C1788C">
        <w:rPr>
          <w:rFonts w:hAnsi="標楷體"/>
        </w:rPr>
        <w:t>條例規定，電子支付機構係屬金融特許業務，其業務範圍包括</w:t>
      </w:r>
      <w:proofErr w:type="gramStart"/>
      <w:r w:rsidRPr="00C1788C">
        <w:rPr>
          <w:rFonts w:hAnsi="標楷體"/>
        </w:rPr>
        <w:t>收受儲值</w:t>
      </w:r>
      <w:proofErr w:type="gramEnd"/>
      <w:r w:rsidRPr="00C1788C">
        <w:rPr>
          <w:rFonts w:hAnsi="標楷體"/>
        </w:rPr>
        <w:t>款項及辦理代理收付款項等涉及資金移轉之行為，應經主管機關許可始得經營。依同條例第5條第2項及授權辦法規定，對於僅經營代理收付款項之</w:t>
      </w:r>
      <w:r w:rsidR="00BB67C3" w:rsidRPr="00C1788C">
        <w:rPr>
          <w:rFonts w:hAnsi="標楷體"/>
        </w:rPr>
        <w:t>三支業者</w:t>
      </w:r>
      <w:r w:rsidRPr="00C1788C">
        <w:rPr>
          <w:rFonts w:hAnsi="標楷體"/>
        </w:rPr>
        <w:t>，倘其所保管代理收付款項總餘額達主管機關所定「一定金額」，即應申請電子支付機構許可，納入較高強度之金融監理；未依規定申請或經不予許可仍經營者，</w:t>
      </w:r>
      <w:proofErr w:type="gramStart"/>
      <w:r w:rsidRPr="00C1788C">
        <w:rPr>
          <w:rFonts w:hAnsi="標楷體"/>
        </w:rPr>
        <w:t>並涉同條例</w:t>
      </w:r>
      <w:proofErr w:type="gramEnd"/>
      <w:r w:rsidRPr="00C1788C">
        <w:rPr>
          <w:rFonts w:hAnsi="標楷體"/>
        </w:rPr>
        <w:t>第46條刑事責任。另依</w:t>
      </w:r>
      <w:r w:rsidRPr="00C1788C">
        <w:rPr>
          <w:rStyle w:val="whitespace-normal"/>
          <w:rFonts w:hAnsi="標楷體"/>
        </w:rPr>
        <w:t>行政程序法</w:t>
      </w:r>
      <w:r w:rsidRPr="00C1788C">
        <w:rPr>
          <w:rFonts w:hAnsi="標楷體"/>
        </w:rPr>
        <w:t>第123條及第125條規定，主管機關對授益行政處分，於符合法定事由時得予廢止，並自廢止</w:t>
      </w:r>
      <w:proofErr w:type="gramStart"/>
      <w:r w:rsidRPr="00C1788C">
        <w:rPr>
          <w:rFonts w:hAnsi="標楷體"/>
        </w:rPr>
        <w:t>時起失其</w:t>
      </w:r>
      <w:proofErr w:type="gramEnd"/>
      <w:r w:rsidRPr="00C1788C">
        <w:rPr>
          <w:rFonts w:hAnsi="標楷體"/>
        </w:rPr>
        <w:t>效力。是</w:t>
      </w:r>
      <w:proofErr w:type="gramStart"/>
      <w:r w:rsidRPr="00C1788C">
        <w:rPr>
          <w:rFonts w:hAnsi="標楷體"/>
        </w:rPr>
        <w:t>以</w:t>
      </w:r>
      <w:proofErr w:type="gramEnd"/>
      <w:r w:rsidRPr="00C1788C">
        <w:rPr>
          <w:rFonts w:hAnsi="標楷體"/>
        </w:rPr>
        <w:t>，現行制度係以「業務性質」及「規模門檻」為雙重標準，作為第三方支付與電子支付機構分流監理之基礎架構</w:t>
      </w:r>
      <w:r w:rsidR="0088074F" w:rsidRPr="00C1788C">
        <w:rPr>
          <w:rFonts w:hAnsi="標楷體" w:hint="eastAsia"/>
        </w:rPr>
        <w:t>(</w:t>
      </w:r>
      <w:proofErr w:type="gramStart"/>
      <w:r w:rsidR="0088074F" w:rsidRPr="00C1788C">
        <w:rPr>
          <w:rFonts w:hAnsi="標楷體" w:hint="eastAsia"/>
        </w:rPr>
        <w:t>詳表</w:t>
      </w:r>
      <w:proofErr w:type="gramEnd"/>
      <w:r w:rsidR="0088074F" w:rsidRPr="00C1788C">
        <w:rPr>
          <w:rFonts w:hAnsi="標楷體" w:hint="eastAsia"/>
        </w:rPr>
        <w:t>7)</w:t>
      </w:r>
      <w:r w:rsidRPr="00C1788C">
        <w:rPr>
          <w:rFonts w:hAnsi="標楷體"/>
        </w:rPr>
        <w:t>，兼顧監理必要性與產業發展彈性。</w:t>
      </w:r>
    </w:p>
    <w:p w14:paraId="2E80D2B8" w14:textId="77777777" w:rsidR="0088074F" w:rsidRPr="00C1788C" w:rsidRDefault="0088074F" w:rsidP="0088074F">
      <w:pPr>
        <w:pStyle w:val="a3"/>
        <w:rPr>
          <w:rFonts w:hAnsi="標楷體"/>
        </w:rPr>
      </w:pPr>
      <w:r w:rsidRPr="00C1788C">
        <w:rPr>
          <w:rFonts w:hAnsi="標楷體" w:hint="eastAsia"/>
        </w:rPr>
        <w:t>第三方支付與電子支付法令規定比較表</w:t>
      </w:r>
    </w:p>
    <w:tbl>
      <w:tblPr>
        <w:tblStyle w:val="af6"/>
        <w:tblW w:w="5000" w:type="pct"/>
        <w:tblCellMar>
          <w:left w:w="28" w:type="dxa"/>
          <w:right w:w="28" w:type="dxa"/>
        </w:tblCellMar>
        <w:tblLook w:val="04A0" w:firstRow="1" w:lastRow="0" w:firstColumn="1" w:lastColumn="0" w:noHBand="0" w:noVBand="1"/>
      </w:tblPr>
      <w:tblGrid>
        <w:gridCol w:w="880"/>
        <w:gridCol w:w="3936"/>
        <w:gridCol w:w="4018"/>
      </w:tblGrid>
      <w:tr w:rsidR="0088074F" w:rsidRPr="00C1788C" w14:paraId="0A53AA38" w14:textId="77777777" w:rsidTr="006125DB">
        <w:trPr>
          <w:tblHeader/>
        </w:trPr>
        <w:tc>
          <w:tcPr>
            <w:tcW w:w="498" w:type="pct"/>
            <w:shd w:val="clear" w:color="auto" w:fill="C6D9F1" w:themeFill="text2" w:themeFillTint="33"/>
            <w:vAlign w:val="center"/>
          </w:tcPr>
          <w:p w14:paraId="1F20A0F5"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項目</w:t>
            </w:r>
          </w:p>
        </w:tc>
        <w:tc>
          <w:tcPr>
            <w:tcW w:w="2228" w:type="pct"/>
            <w:shd w:val="clear" w:color="auto" w:fill="C6D9F1" w:themeFill="text2" w:themeFillTint="33"/>
          </w:tcPr>
          <w:p w14:paraId="41CB8EC0"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第三方支付</w:t>
            </w:r>
          </w:p>
        </w:tc>
        <w:tc>
          <w:tcPr>
            <w:tcW w:w="2275" w:type="pct"/>
            <w:shd w:val="clear" w:color="auto" w:fill="C6D9F1" w:themeFill="text2" w:themeFillTint="33"/>
          </w:tcPr>
          <w:p w14:paraId="39303AFC"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電子支付</w:t>
            </w:r>
          </w:p>
        </w:tc>
      </w:tr>
      <w:tr w:rsidR="0088074F" w:rsidRPr="00C1788C" w14:paraId="56BD470F" w14:textId="77777777" w:rsidTr="006125DB">
        <w:tc>
          <w:tcPr>
            <w:tcW w:w="498" w:type="pct"/>
            <w:vAlign w:val="center"/>
          </w:tcPr>
          <w:p w14:paraId="46B5E38F"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依據</w:t>
            </w:r>
          </w:p>
        </w:tc>
        <w:tc>
          <w:tcPr>
            <w:tcW w:w="2228" w:type="pct"/>
          </w:tcPr>
          <w:p w14:paraId="4AE7CE26"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第三方支付服務定型化契約應記載及不得記載事項</w:t>
            </w:r>
          </w:p>
        </w:tc>
        <w:tc>
          <w:tcPr>
            <w:tcW w:w="2275" w:type="pct"/>
          </w:tcPr>
          <w:p w14:paraId="39DC628B" w14:textId="77777777" w:rsidR="0088074F" w:rsidRPr="00C1788C" w:rsidRDefault="0088074F" w:rsidP="006125DB">
            <w:pPr>
              <w:outlineLvl w:val="2"/>
              <w:rPr>
                <w:rFonts w:hAnsi="標楷體"/>
                <w:bCs/>
                <w:kern w:val="32"/>
                <w:sz w:val="28"/>
                <w:szCs w:val="28"/>
              </w:rPr>
            </w:pPr>
            <w:proofErr w:type="gramStart"/>
            <w:r w:rsidRPr="00C1788C">
              <w:rPr>
                <w:rFonts w:hAnsi="標楷體" w:hint="eastAsia"/>
                <w:bCs/>
                <w:kern w:val="32"/>
                <w:sz w:val="28"/>
                <w:szCs w:val="28"/>
              </w:rPr>
              <w:t>電支條例</w:t>
            </w:r>
            <w:proofErr w:type="gramEnd"/>
          </w:p>
        </w:tc>
      </w:tr>
      <w:tr w:rsidR="0088074F" w:rsidRPr="00C1788C" w14:paraId="6E08A9A3" w14:textId="77777777" w:rsidTr="006125DB">
        <w:tc>
          <w:tcPr>
            <w:tcW w:w="498" w:type="pct"/>
            <w:vAlign w:val="center"/>
          </w:tcPr>
          <w:p w14:paraId="365BFF1D"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主管機關</w:t>
            </w:r>
          </w:p>
        </w:tc>
        <w:tc>
          <w:tcPr>
            <w:tcW w:w="2228" w:type="pct"/>
          </w:tcPr>
          <w:p w14:paraId="0256CE43"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數發部</w:t>
            </w:r>
          </w:p>
        </w:tc>
        <w:tc>
          <w:tcPr>
            <w:tcW w:w="2275" w:type="pct"/>
          </w:tcPr>
          <w:p w14:paraId="573381D5"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金管會</w:t>
            </w:r>
          </w:p>
        </w:tc>
      </w:tr>
      <w:tr w:rsidR="0088074F" w:rsidRPr="00C1788C" w14:paraId="165CBE33" w14:textId="77777777" w:rsidTr="006125DB">
        <w:tc>
          <w:tcPr>
            <w:tcW w:w="498" w:type="pct"/>
            <w:vAlign w:val="center"/>
          </w:tcPr>
          <w:p w14:paraId="5D60BA37"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定義</w:t>
            </w:r>
          </w:p>
        </w:tc>
        <w:tc>
          <w:tcPr>
            <w:tcW w:w="2228" w:type="pct"/>
          </w:tcPr>
          <w:p w14:paraId="62D4AE50"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提供代理收付網路實質交易款項服務之業者</w:t>
            </w:r>
          </w:p>
        </w:tc>
        <w:tc>
          <w:tcPr>
            <w:tcW w:w="2275" w:type="pct"/>
          </w:tcPr>
          <w:p w14:paraId="14302734"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提供安全便利之資金移轉服務，並保障消費者權益</w:t>
            </w:r>
          </w:p>
        </w:tc>
      </w:tr>
      <w:tr w:rsidR="0088074F" w:rsidRPr="00C1788C" w14:paraId="078C26E5" w14:textId="77777777" w:rsidTr="006125DB">
        <w:tc>
          <w:tcPr>
            <w:tcW w:w="498" w:type="pct"/>
            <w:vAlign w:val="center"/>
          </w:tcPr>
          <w:p w14:paraId="7EF968DD"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功能</w:t>
            </w:r>
          </w:p>
        </w:tc>
        <w:tc>
          <w:tcPr>
            <w:tcW w:w="2228" w:type="pct"/>
          </w:tcPr>
          <w:p w14:paraId="4138EB48"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只可代收代付，為買賣雙方的中介平台</w:t>
            </w:r>
          </w:p>
        </w:tc>
        <w:tc>
          <w:tcPr>
            <w:tcW w:w="2275" w:type="pct"/>
          </w:tcPr>
          <w:p w14:paraId="3FA712E1"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透過電子裝置，可代收代付、</w:t>
            </w:r>
            <w:proofErr w:type="gramStart"/>
            <w:r w:rsidRPr="00C1788C">
              <w:rPr>
                <w:rFonts w:hAnsi="標楷體" w:hint="eastAsia"/>
                <w:bCs/>
                <w:kern w:val="32"/>
                <w:sz w:val="28"/>
                <w:szCs w:val="28"/>
              </w:rPr>
              <w:t>掃碼式</w:t>
            </w:r>
            <w:proofErr w:type="gramEnd"/>
            <w:r w:rsidRPr="00C1788C">
              <w:rPr>
                <w:rFonts w:hAnsi="標楷體" w:hint="eastAsia"/>
                <w:bCs/>
                <w:kern w:val="32"/>
                <w:sz w:val="28"/>
                <w:szCs w:val="28"/>
              </w:rPr>
              <w:t>支付、轉帳、儲值、提領</w:t>
            </w:r>
          </w:p>
        </w:tc>
      </w:tr>
      <w:tr w:rsidR="0088074F" w:rsidRPr="00C1788C" w14:paraId="06E947E2" w14:textId="77777777" w:rsidTr="006125DB">
        <w:tc>
          <w:tcPr>
            <w:tcW w:w="498" w:type="pct"/>
            <w:vAlign w:val="center"/>
          </w:tcPr>
          <w:p w14:paraId="26BCDAE9" w14:textId="77777777" w:rsidR="0088074F" w:rsidRPr="00C1788C" w:rsidRDefault="0088074F" w:rsidP="006125DB">
            <w:pPr>
              <w:jc w:val="center"/>
              <w:outlineLvl w:val="2"/>
              <w:rPr>
                <w:rFonts w:hAnsi="標楷體"/>
                <w:bCs/>
                <w:kern w:val="32"/>
                <w:sz w:val="28"/>
                <w:szCs w:val="28"/>
              </w:rPr>
            </w:pPr>
            <w:r w:rsidRPr="00C1788C">
              <w:rPr>
                <w:rFonts w:hAnsi="標楷體" w:hint="eastAsia"/>
                <w:bCs/>
                <w:kern w:val="32"/>
                <w:sz w:val="28"/>
                <w:szCs w:val="28"/>
              </w:rPr>
              <w:t>機構申請條件</w:t>
            </w:r>
          </w:p>
        </w:tc>
        <w:tc>
          <w:tcPr>
            <w:tcW w:w="2228" w:type="pct"/>
          </w:tcPr>
          <w:p w14:paraId="3626ED91" w14:textId="77777777" w:rsidR="0088074F" w:rsidRPr="00C1788C" w:rsidRDefault="0088074F" w:rsidP="006125DB">
            <w:pPr>
              <w:numPr>
                <w:ilvl w:val="0"/>
                <w:numId w:val="41"/>
              </w:numPr>
              <w:outlineLvl w:val="2"/>
              <w:rPr>
                <w:rFonts w:hAnsi="標楷體"/>
                <w:bCs/>
                <w:kern w:val="32"/>
                <w:sz w:val="28"/>
                <w:szCs w:val="28"/>
              </w:rPr>
            </w:pPr>
            <w:r w:rsidRPr="00C1788C">
              <w:rPr>
                <w:rFonts w:hAnsi="標楷體" w:hint="eastAsia"/>
                <w:bCs/>
                <w:kern w:val="32"/>
                <w:sz w:val="28"/>
                <w:szCs w:val="28"/>
              </w:rPr>
              <w:t>無資本額限制，僅需公司登記。</w:t>
            </w:r>
          </w:p>
          <w:p w14:paraId="0E74B41D" w14:textId="77777777" w:rsidR="0088074F" w:rsidRPr="00C1788C" w:rsidRDefault="0088074F" w:rsidP="006125DB">
            <w:pPr>
              <w:numPr>
                <w:ilvl w:val="0"/>
                <w:numId w:val="41"/>
              </w:numPr>
              <w:outlineLvl w:val="2"/>
              <w:rPr>
                <w:rFonts w:hAnsi="標楷體"/>
                <w:bCs/>
                <w:kern w:val="32"/>
                <w:sz w:val="28"/>
                <w:szCs w:val="28"/>
              </w:rPr>
            </w:pPr>
            <w:r w:rsidRPr="00C1788C">
              <w:rPr>
                <w:rFonts w:hAnsi="標楷體" w:hint="eastAsia"/>
                <w:bCs/>
                <w:kern w:val="32"/>
                <w:sz w:val="28"/>
                <w:szCs w:val="28"/>
              </w:rPr>
              <w:t>代理</w:t>
            </w:r>
            <w:proofErr w:type="gramStart"/>
            <w:r w:rsidRPr="00C1788C">
              <w:rPr>
                <w:rFonts w:hAnsi="標楷體" w:hint="eastAsia"/>
                <w:bCs/>
                <w:kern w:val="32"/>
                <w:sz w:val="28"/>
                <w:szCs w:val="28"/>
              </w:rPr>
              <w:t>收付日平均</w:t>
            </w:r>
            <w:proofErr w:type="gramEnd"/>
            <w:r w:rsidRPr="00C1788C">
              <w:rPr>
                <w:rFonts w:hAnsi="標楷體" w:hint="eastAsia"/>
                <w:bCs/>
                <w:kern w:val="32"/>
                <w:sz w:val="28"/>
                <w:szCs w:val="28"/>
              </w:rPr>
              <w:t>餘額若超過20億元，需向金管會申請為電子支付機構。</w:t>
            </w:r>
          </w:p>
          <w:p w14:paraId="2E2E673F" w14:textId="77777777" w:rsidR="0088074F" w:rsidRPr="00C1788C" w:rsidRDefault="0088074F" w:rsidP="006125DB">
            <w:pPr>
              <w:outlineLvl w:val="2"/>
              <w:rPr>
                <w:rFonts w:hAnsi="標楷體"/>
                <w:bCs/>
                <w:kern w:val="32"/>
                <w:sz w:val="28"/>
                <w:szCs w:val="28"/>
              </w:rPr>
            </w:pPr>
          </w:p>
        </w:tc>
        <w:tc>
          <w:tcPr>
            <w:tcW w:w="2275" w:type="pct"/>
          </w:tcPr>
          <w:p w14:paraId="453BA3E5"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lastRenderedPageBreak/>
              <w:t>原則：實收資本額為5億元。</w:t>
            </w:r>
          </w:p>
          <w:p w14:paraId="1C0B5106" w14:textId="77777777" w:rsidR="0088074F" w:rsidRPr="00C1788C" w:rsidRDefault="0088074F" w:rsidP="006125DB">
            <w:pPr>
              <w:outlineLvl w:val="2"/>
              <w:rPr>
                <w:rFonts w:hAnsi="標楷體"/>
                <w:bCs/>
                <w:kern w:val="32"/>
                <w:sz w:val="28"/>
                <w:szCs w:val="28"/>
              </w:rPr>
            </w:pPr>
            <w:r w:rsidRPr="00C1788C">
              <w:rPr>
                <w:rFonts w:hAnsi="標楷體" w:hint="eastAsia"/>
                <w:bCs/>
                <w:kern w:val="32"/>
                <w:sz w:val="28"/>
                <w:szCs w:val="28"/>
              </w:rPr>
              <w:t>例外：</w:t>
            </w:r>
          </w:p>
          <w:p w14:paraId="79301BEF" w14:textId="77777777" w:rsidR="0088074F" w:rsidRPr="00C1788C" w:rsidRDefault="0088074F" w:rsidP="006125DB">
            <w:pPr>
              <w:numPr>
                <w:ilvl w:val="0"/>
                <w:numId w:val="40"/>
              </w:numPr>
              <w:outlineLvl w:val="2"/>
              <w:rPr>
                <w:rFonts w:hAnsi="標楷體"/>
                <w:bCs/>
                <w:kern w:val="32"/>
                <w:sz w:val="28"/>
                <w:szCs w:val="28"/>
              </w:rPr>
            </w:pPr>
            <w:r w:rsidRPr="00C1788C">
              <w:rPr>
                <w:rFonts w:hAnsi="標楷體" w:hint="eastAsia"/>
                <w:bCs/>
                <w:kern w:val="32"/>
                <w:sz w:val="28"/>
                <w:szCs w:val="28"/>
              </w:rPr>
              <w:t>未經營</w:t>
            </w:r>
            <w:proofErr w:type="gramStart"/>
            <w:r w:rsidRPr="00C1788C">
              <w:rPr>
                <w:rFonts w:hAnsi="標楷體" w:hint="eastAsia"/>
                <w:bCs/>
                <w:kern w:val="32"/>
                <w:sz w:val="28"/>
                <w:szCs w:val="28"/>
              </w:rPr>
              <w:t>收受儲值</w:t>
            </w:r>
            <w:proofErr w:type="gramEnd"/>
            <w:r w:rsidRPr="00C1788C">
              <w:rPr>
                <w:rFonts w:hAnsi="標楷體" w:hint="eastAsia"/>
                <w:bCs/>
                <w:kern w:val="32"/>
                <w:sz w:val="28"/>
                <w:szCs w:val="28"/>
              </w:rPr>
              <w:t>款項、辦理國內外小額匯兌業務者，實收資本1億元。</w:t>
            </w:r>
          </w:p>
          <w:p w14:paraId="45AC87F9" w14:textId="77777777" w:rsidR="0088074F" w:rsidRPr="00C1788C" w:rsidRDefault="0088074F" w:rsidP="006125DB">
            <w:pPr>
              <w:numPr>
                <w:ilvl w:val="0"/>
                <w:numId w:val="40"/>
              </w:numPr>
              <w:outlineLvl w:val="2"/>
              <w:rPr>
                <w:rFonts w:hAnsi="標楷體"/>
                <w:bCs/>
                <w:kern w:val="32"/>
                <w:sz w:val="28"/>
                <w:szCs w:val="28"/>
              </w:rPr>
            </w:pPr>
            <w:r w:rsidRPr="00C1788C">
              <w:rPr>
                <w:rFonts w:hAnsi="標楷體" w:hint="eastAsia"/>
                <w:bCs/>
                <w:kern w:val="32"/>
                <w:sz w:val="28"/>
                <w:szCs w:val="28"/>
              </w:rPr>
              <w:lastRenderedPageBreak/>
              <w:t>未經營辦理國內外小額匯兌業務者，實收資本3億元。</w:t>
            </w:r>
          </w:p>
        </w:tc>
      </w:tr>
    </w:tbl>
    <w:p w14:paraId="3E775635" w14:textId="77777777" w:rsidR="0088074F" w:rsidRPr="00C1788C" w:rsidRDefault="0088074F" w:rsidP="0088074F">
      <w:pPr>
        <w:pStyle w:val="af5"/>
        <w:rPr>
          <w:rFonts w:hAnsi="標楷體"/>
          <w:bCs/>
          <w:szCs w:val="28"/>
        </w:rPr>
      </w:pPr>
      <w:r w:rsidRPr="00C1788C">
        <w:rPr>
          <w:rFonts w:hAnsi="標楷體" w:hint="eastAsia"/>
          <w:bCs/>
          <w:szCs w:val="28"/>
        </w:rPr>
        <w:lastRenderedPageBreak/>
        <w:t>資料來源：本案自行整理。</w:t>
      </w:r>
    </w:p>
    <w:p w14:paraId="23925C80" w14:textId="0A19330F" w:rsidR="00D77645" w:rsidRPr="00C1788C" w:rsidRDefault="00D424C1" w:rsidP="001043D9">
      <w:pPr>
        <w:pStyle w:val="3"/>
        <w:rPr>
          <w:rFonts w:hAnsi="標楷體"/>
        </w:rPr>
      </w:pPr>
      <w:r w:rsidRPr="00C1788C">
        <w:rPr>
          <w:rFonts w:hAnsi="標楷體" w:hint="eastAsia"/>
        </w:rPr>
        <w:t>查</w:t>
      </w:r>
      <w:r w:rsidR="00327CB9" w:rsidRPr="00C1788C">
        <w:rPr>
          <w:rFonts w:hAnsi="標楷體"/>
        </w:rPr>
        <w:t>蝦皮支付公司</w:t>
      </w:r>
      <w:r w:rsidR="00D77645" w:rsidRPr="00C1788C">
        <w:rPr>
          <w:rFonts w:hAnsi="標楷體"/>
        </w:rPr>
        <w:t>原經金管會於109年11月13日同意經營電子支付機構業務，惟須</w:t>
      </w:r>
      <w:proofErr w:type="gramStart"/>
      <w:r w:rsidR="00D77645" w:rsidRPr="00C1788C">
        <w:rPr>
          <w:rFonts w:hAnsi="標楷體"/>
        </w:rPr>
        <w:t>依電支條例</w:t>
      </w:r>
      <w:proofErr w:type="gramEnd"/>
      <w:r w:rsidR="00D77645" w:rsidRPr="00C1788C">
        <w:rPr>
          <w:rFonts w:hAnsi="標楷體"/>
        </w:rPr>
        <w:t>規定完成增資至實收資本額5億元，並於許可後6個月內申請核發營業執照。該公司因須</w:t>
      </w:r>
      <w:proofErr w:type="gramStart"/>
      <w:r w:rsidR="00D77645" w:rsidRPr="00C1788C">
        <w:rPr>
          <w:rFonts w:hAnsi="標楷體"/>
        </w:rPr>
        <w:t>俟</w:t>
      </w:r>
      <w:proofErr w:type="gramEnd"/>
      <w:r w:rsidR="00D77645" w:rsidRPr="00C1788C">
        <w:rPr>
          <w:rFonts w:hAnsi="標楷體"/>
        </w:rPr>
        <w:t>其母公司</w:t>
      </w:r>
      <w:r w:rsidR="0043105E" w:rsidRPr="00C1788C">
        <w:rPr>
          <w:rFonts w:hAnsi="標楷體" w:hint="eastAsia"/>
        </w:rPr>
        <w:t>新加坡商</w:t>
      </w:r>
      <w:proofErr w:type="spellStart"/>
      <w:r w:rsidR="0043105E" w:rsidRPr="00C1788C">
        <w:rPr>
          <w:rFonts w:hAnsi="標楷體"/>
        </w:rPr>
        <w:t>SeaMoney</w:t>
      </w:r>
      <w:proofErr w:type="spellEnd"/>
      <w:r w:rsidR="0043105E" w:rsidRPr="00C1788C">
        <w:rPr>
          <w:rFonts w:hAnsi="標楷體"/>
        </w:rPr>
        <w:t xml:space="preserve"> (Payment) TW Private Limited</w:t>
      </w:r>
      <w:r w:rsidR="00D77645" w:rsidRPr="00C1788C">
        <w:rPr>
          <w:rFonts w:hAnsi="標楷體"/>
        </w:rPr>
        <w:t>完成投審程序及資金匯入等作業，未能於原期限內</w:t>
      </w:r>
      <w:proofErr w:type="gramStart"/>
      <w:r w:rsidR="00D77645" w:rsidRPr="00C1788C">
        <w:rPr>
          <w:rFonts w:hAnsi="標楷體"/>
        </w:rPr>
        <w:t>完成申照</w:t>
      </w:r>
      <w:proofErr w:type="gramEnd"/>
      <w:r w:rsidR="00D77645" w:rsidRPr="00C1788C">
        <w:rPr>
          <w:rFonts w:hAnsi="標楷體"/>
        </w:rPr>
        <w:t>，經金管會核准展延至110年8月13日，惟最終仍未於期限內申請核發營業執照，</w:t>
      </w:r>
      <w:proofErr w:type="gramStart"/>
      <w:r w:rsidR="00D77645" w:rsidRPr="00C1788C">
        <w:rPr>
          <w:rFonts w:hAnsi="標楷體"/>
        </w:rPr>
        <w:t>爰</w:t>
      </w:r>
      <w:proofErr w:type="gramEnd"/>
      <w:r w:rsidR="00D77645" w:rsidRPr="00C1788C">
        <w:rPr>
          <w:rFonts w:hAnsi="標楷體"/>
        </w:rPr>
        <w:t>金管會</w:t>
      </w:r>
      <w:proofErr w:type="gramStart"/>
      <w:r w:rsidR="00D77645" w:rsidRPr="00C1788C">
        <w:rPr>
          <w:rFonts w:hAnsi="標楷體"/>
        </w:rPr>
        <w:t>依電支條例</w:t>
      </w:r>
      <w:proofErr w:type="gramEnd"/>
      <w:r w:rsidR="00D77645" w:rsidRPr="00C1788C">
        <w:rPr>
          <w:rFonts w:hAnsi="標楷體"/>
        </w:rPr>
        <w:t>第13條第3項規定，於110年8月14日起廢止其專營電子支付機構業務許可。其後，</w:t>
      </w:r>
      <w:r w:rsidR="00327CB9" w:rsidRPr="00C1788C">
        <w:rPr>
          <w:rFonts w:hAnsi="標楷體"/>
        </w:rPr>
        <w:t>蝦皮支付公司</w:t>
      </w:r>
      <w:r w:rsidR="00D77645" w:rsidRPr="00C1788C">
        <w:rPr>
          <w:rFonts w:hAnsi="標楷體"/>
        </w:rPr>
        <w:t>即未再經營電子支付業務，而</w:t>
      </w:r>
      <w:r w:rsidR="00BD30E3" w:rsidRPr="00C1788C">
        <w:rPr>
          <w:rFonts w:hAnsi="標楷體"/>
        </w:rPr>
        <w:t>蝦皮購物平台</w:t>
      </w:r>
      <w:r w:rsidR="00D77645" w:rsidRPr="00C1788C">
        <w:rPr>
          <w:rFonts w:hAnsi="標楷體"/>
        </w:rPr>
        <w:t>之代收付業務，改</w:t>
      </w:r>
      <w:proofErr w:type="gramStart"/>
      <w:r w:rsidR="00D77645" w:rsidRPr="00C1788C">
        <w:rPr>
          <w:rFonts w:hAnsi="標楷體"/>
        </w:rPr>
        <w:t>由</w:t>
      </w:r>
      <w:r w:rsidR="00670082" w:rsidRPr="00C1788C">
        <w:rPr>
          <w:rFonts w:hAnsi="標楷體"/>
        </w:rPr>
        <w:t>樂購蝦皮</w:t>
      </w:r>
      <w:proofErr w:type="gramEnd"/>
      <w:r w:rsidR="00670082" w:rsidRPr="00C1788C">
        <w:rPr>
          <w:rFonts w:hAnsi="標楷體"/>
        </w:rPr>
        <w:t>公司</w:t>
      </w:r>
      <w:r w:rsidR="00D77645" w:rsidRPr="00C1788C">
        <w:rPr>
          <w:rFonts w:hAnsi="標楷體"/>
        </w:rPr>
        <w:t>以</w:t>
      </w:r>
      <w:r w:rsidR="00BB67C3" w:rsidRPr="00C1788C">
        <w:rPr>
          <w:rFonts w:hAnsi="標楷體"/>
        </w:rPr>
        <w:t>三支業者</w:t>
      </w:r>
      <w:r w:rsidR="00D77645" w:rsidRPr="00C1788C">
        <w:rPr>
          <w:rFonts w:hAnsi="標楷體"/>
        </w:rPr>
        <w:t>身分提供。另依金管會說明，現行對</w:t>
      </w:r>
      <w:r w:rsidR="00BB67C3" w:rsidRPr="00C1788C">
        <w:rPr>
          <w:rFonts w:hAnsi="標楷體"/>
        </w:rPr>
        <w:t>三支業者</w:t>
      </w:r>
      <w:r w:rsidR="00D77645" w:rsidRPr="00C1788C">
        <w:rPr>
          <w:rFonts w:hAnsi="標楷體"/>
        </w:rPr>
        <w:t>是否納入電子支付監理，係以「所保管代理收付款項一年日平均餘額」作為判斷標準，並於104年訂定門檻為10億元，</w:t>
      </w:r>
      <w:proofErr w:type="gramStart"/>
      <w:r w:rsidR="00D77645" w:rsidRPr="00C1788C">
        <w:rPr>
          <w:rFonts w:hAnsi="標楷體"/>
        </w:rPr>
        <w:t>嗣</w:t>
      </w:r>
      <w:proofErr w:type="gramEnd"/>
      <w:r w:rsidR="00D77645" w:rsidRPr="00C1788C">
        <w:rPr>
          <w:rFonts w:hAnsi="標楷體"/>
        </w:rPr>
        <w:t>考量電子商務發展及非現金支付成長趨勢，於110年修正為20億元。其制度設計，</w:t>
      </w:r>
      <w:r w:rsidR="0043105E" w:rsidRPr="00C1788C">
        <w:rPr>
          <w:rFonts w:hAnsi="標楷體" w:hint="eastAsia"/>
        </w:rPr>
        <w:t>乃</w:t>
      </w:r>
      <w:r w:rsidR="00D77645" w:rsidRPr="00C1788C">
        <w:rPr>
          <w:rFonts w:hAnsi="標楷體"/>
        </w:rPr>
        <w:t>基於代理收付業務係以實質交易為基礎，交易金額易受節慶或促銷影響，</w:t>
      </w:r>
      <w:proofErr w:type="gramStart"/>
      <w:r w:rsidR="00D77645" w:rsidRPr="00C1788C">
        <w:rPr>
          <w:rFonts w:hAnsi="標楷體"/>
        </w:rPr>
        <w:t>爰採</w:t>
      </w:r>
      <w:proofErr w:type="gramEnd"/>
      <w:r w:rsidR="00D77645" w:rsidRPr="00C1788C">
        <w:rPr>
          <w:rFonts w:hAnsi="標楷體"/>
        </w:rPr>
        <w:t>一年期間平均數，以避免短期波動影響監理判斷，並符合監理重要性與顯著性原則。</w:t>
      </w:r>
      <w:r w:rsidRPr="00C1788C">
        <w:rPr>
          <w:rFonts w:hAnsi="標楷體" w:hint="eastAsia"/>
        </w:rPr>
        <w:t>復</w:t>
      </w:r>
      <w:proofErr w:type="gramStart"/>
      <w:r w:rsidR="00D77645" w:rsidRPr="00C1788C">
        <w:rPr>
          <w:rFonts w:hAnsi="標楷體"/>
        </w:rPr>
        <w:t>查</w:t>
      </w:r>
      <w:r w:rsidR="00670082" w:rsidRPr="00C1788C">
        <w:rPr>
          <w:rFonts w:hAnsi="標楷體"/>
        </w:rPr>
        <w:t>樂購</w:t>
      </w:r>
      <w:proofErr w:type="gramEnd"/>
      <w:r w:rsidR="00670082" w:rsidRPr="00C1788C">
        <w:rPr>
          <w:rFonts w:hAnsi="標楷體"/>
        </w:rPr>
        <w:t>蝦皮公司</w:t>
      </w:r>
      <w:r w:rsidR="00D77645" w:rsidRPr="00C1788C">
        <w:rPr>
          <w:rFonts w:hAnsi="標楷體"/>
        </w:rPr>
        <w:t>近年函報之日均餘額，</w:t>
      </w:r>
      <w:proofErr w:type="gramStart"/>
      <w:r w:rsidR="00D77645" w:rsidRPr="00C1788C">
        <w:rPr>
          <w:rFonts w:hAnsi="標楷體"/>
        </w:rPr>
        <w:t>110</w:t>
      </w:r>
      <w:proofErr w:type="gramEnd"/>
      <w:r w:rsidR="00D77645" w:rsidRPr="00C1788C">
        <w:rPr>
          <w:rFonts w:hAnsi="標楷體"/>
        </w:rPr>
        <w:t>年度為16.50億元、</w:t>
      </w:r>
      <w:proofErr w:type="gramStart"/>
      <w:r w:rsidR="00D77645" w:rsidRPr="00C1788C">
        <w:rPr>
          <w:rFonts w:hAnsi="標楷體"/>
        </w:rPr>
        <w:t>111</w:t>
      </w:r>
      <w:proofErr w:type="gramEnd"/>
      <w:r w:rsidR="00D77645" w:rsidRPr="00C1788C">
        <w:rPr>
          <w:rFonts w:hAnsi="標楷體"/>
        </w:rPr>
        <w:t>年度為9.77億元、</w:t>
      </w:r>
      <w:proofErr w:type="gramStart"/>
      <w:r w:rsidR="00D77645" w:rsidRPr="00C1788C">
        <w:rPr>
          <w:rFonts w:hAnsi="標楷體"/>
        </w:rPr>
        <w:t>112</w:t>
      </w:r>
      <w:proofErr w:type="gramEnd"/>
      <w:r w:rsidR="00D77645" w:rsidRPr="00C1788C">
        <w:rPr>
          <w:rFonts w:hAnsi="標楷體"/>
        </w:rPr>
        <w:t>年度為7.55億元、</w:t>
      </w:r>
      <w:proofErr w:type="gramStart"/>
      <w:r w:rsidR="00D77645" w:rsidRPr="00C1788C">
        <w:rPr>
          <w:rFonts w:hAnsi="標楷體"/>
        </w:rPr>
        <w:t>113</w:t>
      </w:r>
      <w:proofErr w:type="gramEnd"/>
      <w:r w:rsidR="00D77645" w:rsidRPr="00C1788C">
        <w:rPr>
          <w:rFonts w:hAnsi="標楷體"/>
        </w:rPr>
        <w:t>年度為13.72億元，</w:t>
      </w:r>
      <w:proofErr w:type="gramStart"/>
      <w:r w:rsidR="00D77645" w:rsidRPr="00C1788C">
        <w:rPr>
          <w:rFonts w:hAnsi="標楷體"/>
        </w:rPr>
        <w:t>均未達</w:t>
      </w:r>
      <w:proofErr w:type="gramEnd"/>
      <w:r w:rsidR="00D77645" w:rsidRPr="00C1788C">
        <w:rPr>
          <w:rFonts w:hAnsi="標楷體"/>
        </w:rPr>
        <w:t>20億元門檻，尚無須申請電子支付機構許可。金管會並表示，</w:t>
      </w:r>
      <w:proofErr w:type="gramStart"/>
      <w:r w:rsidR="00670082" w:rsidRPr="00C1788C">
        <w:rPr>
          <w:rFonts w:hAnsi="標楷體" w:hint="eastAsia"/>
        </w:rPr>
        <w:t>樂購蝦皮</w:t>
      </w:r>
      <w:proofErr w:type="gramEnd"/>
      <w:r w:rsidR="00670082" w:rsidRPr="00C1788C">
        <w:rPr>
          <w:rFonts w:hAnsi="標楷體" w:hint="eastAsia"/>
        </w:rPr>
        <w:t>公司</w:t>
      </w:r>
      <w:r w:rsidR="00723828" w:rsidRPr="00C1788C">
        <w:rPr>
          <w:rFonts w:hAnsi="標楷體" w:hint="eastAsia"/>
        </w:rPr>
        <w:t>經營第三方支付服務所保管代理收付款項之受託銀行為中國信託商業銀行(下稱中信銀行</w:t>
      </w:r>
      <w:r w:rsidR="00723828" w:rsidRPr="00C1788C">
        <w:rPr>
          <w:rFonts w:hAnsi="標楷體" w:hint="eastAsia"/>
        </w:rPr>
        <w:lastRenderedPageBreak/>
        <w:t>)。金管會前向中信銀行</w:t>
      </w:r>
      <w:proofErr w:type="gramStart"/>
      <w:r w:rsidR="00723828" w:rsidRPr="00C1788C">
        <w:rPr>
          <w:rFonts w:hAnsi="標楷體" w:hint="eastAsia"/>
        </w:rPr>
        <w:t>瞭解</w:t>
      </w:r>
      <w:r w:rsidR="00670082" w:rsidRPr="00C1788C">
        <w:rPr>
          <w:rFonts w:hAnsi="標楷體" w:hint="eastAsia"/>
        </w:rPr>
        <w:t>樂購蝦皮</w:t>
      </w:r>
      <w:proofErr w:type="gramEnd"/>
      <w:r w:rsidR="00670082" w:rsidRPr="00C1788C">
        <w:rPr>
          <w:rFonts w:hAnsi="標楷體" w:hint="eastAsia"/>
        </w:rPr>
        <w:t>公司</w:t>
      </w:r>
      <w:r w:rsidR="00723828" w:rsidRPr="00C1788C">
        <w:rPr>
          <w:rFonts w:hAnsi="標楷體" w:hint="eastAsia"/>
        </w:rPr>
        <w:t>信託帳戶餘額減少原因，該行</w:t>
      </w:r>
      <w:proofErr w:type="gramStart"/>
      <w:r w:rsidR="00723828" w:rsidRPr="00C1788C">
        <w:rPr>
          <w:rFonts w:hAnsi="標楷體" w:hint="eastAsia"/>
        </w:rPr>
        <w:t>表示</w:t>
      </w:r>
      <w:r w:rsidR="00670082" w:rsidRPr="00C1788C">
        <w:rPr>
          <w:rFonts w:hAnsi="標楷體" w:hint="eastAsia"/>
        </w:rPr>
        <w:t>樂購蝦皮</w:t>
      </w:r>
      <w:proofErr w:type="gramEnd"/>
      <w:r w:rsidR="00670082" w:rsidRPr="00C1788C">
        <w:rPr>
          <w:rFonts w:hAnsi="標楷體" w:hint="eastAsia"/>
        </w:rPr>
        <w:t>公司</w:t>
      </w:r>
      <w:r w:rsidR="00723828" w:rsidRPr="00C1788C">
        <w:rPr>
          <w:rFonts w:hAnsi="標楷體" w:hint="eastAsia"/>
        </w:rPr>
        <w:t>於</w:t>
      </w:r>
      <w:r w:rsidR="00723828" w:rsidRPr="00C1788C">
        <w:rPr>
          <w:rFonts w:hAnsi="標楷體"/>
        </w:rPr>
        <w:t>111年起將每日交易完成之訂單，主動指示該行自信託專戶將應撥付</w:t>
      </w:r>
      <w:proofErr w:type="gramStart"/>
      <w:r w:rsidR="00723828" w:rsidRPr="00C1788C">
        <w:rPr>
          <w:rFonts w:hAnsi="標楷體"/>
        </w:rPr>
        <w:t>予收</w:t>
      </w:r>
      <w:proofErr w:type="gramEnd"/>
      <w:r w:rsidR="00723828" w:rsidRPr="00C1788C">
        <w:rPr>
          <w:rFonts w:hAnsi="標楷體"/>
        </w:rPr>
        <w:t>款方之款項於一定期間逕行撥付，使該等應撥付款項停留信託帳戶期間得以縮短</w:t>
      </w:r>
      <w:r w:rsidR="00723828" w:rsidRPr="00C1788C">
        <w:rPr>
          <w:rFonts w:hAnsi="標楷體" w:hint="eastAsia"/>
        </w:rPr>
        <w:t>；另中信銀行表示，針對</w:t>
      </w:r>
      <w:r w:rsidR="00BD30E3" w:rsidRPr="00C1788C">
        <w:rPr>
          <w:rFonts w:hAnsi="標楷體" w:hint="eastAsia"/>
        </w:rPr>
        <w:t>蝦皮購物平台</w:t>
      </w:r>
      <w:r w:rsidR="00723828" w:rsidRPr="00C1788C">
        <w:rPr>
          <w:rFonts w:hAnsi="標楷體" w:hint="eastAsia"/>
        </w:rPr>
        <w:t>提供蝦皮店到店取貨付款服務，該服務係由</w:t>
      </w:r>
      <w:r w:rsidR="003655B3" w:rsidRPr="00C1788C">
        <w:rPr>
          <w:rFonts w:hAnsi="標楷體" w:hint="eastAsia"/>
        </w:rPr>
        <w:t>蝦皮娛樂公司</w:t>
      </w:r>
      <w:r w:rsidR="00723828" w:rsidRPr="00C1788C">
        <w:rPr>
          <w:rFonts w:hAnsi="標楷體" w:hint="eastAsia"/>
        </w:rPr>
        <w:t>登記為便利商店業所提供之代收服務，即比照委託超商代收模式，代收款項亦</w:t>
      </w:r>
      <w:proofErr w:type="gramStart"/>
      <w:r w:rsidR="00723828" w:rsidRPr="00C1788C">
        <w:rPr>
          <w:rFonts w:hAnsi="標楷體" w:hint="eastAsia"/>
        </w:rPr>
        <w:t>交付</w:t>
      </w:r>
      <w:r w:rsidR="00670082" w:rsidRPr="00C1788C">
        <w:rPr>
          <w:rFonts w:hAnsi="標楷體" w:hint="eastAsia"/>
        </w:rPr>
        <w:t>樂購蝦皮</w:t>
      </w:r>
      <w:proofErr w:type="gramEnd"/>
      <w:r w:rsidR="00670082" w:rsidRPr="00C1788C">
        <w:rPr>
          <w:rFonts w:hAnsi="標楷體" w:hint="eastAsia"/>
        </w:rPr>
        <w:t>公司</w:t>
      </w:r>
      <w:r w:rsidR="00723828" w:rsidRPr="00C1788C">
        <w:rPr>
          <w:rFonts w:hAnsi="標楷體" w:hint="eastAsia"/>
        </w:rPr>
        <w:t>，</w:t>
      </w:r>
      <w:proofErr w:type="gramStart"/>
      <w:r w:rsidR="00723828" w:rsidRPr="00C1788C">
        <w:rPr>
          <w:rFonts w:hAnsi="標楷體" w:hint="eastAsia"/>
        </w:rPr>
        <w:t>爰</w:t>
      </w:r>
      <w:proofErr w:type="gramEnd"/>
      <w:r w:rsidR="00723828" w:rsidRPr="00C1788C">
        <w:rPr>
          <w:rFonts w:hAnsi="標楷體" w:hint="eastAsia"/>
        </w:rPr>
        <w:t>相關代收款項仍計</w:t>
      </w:r>
      <w:proofErr w:type="gramStart"/>
      <w:r w:rsidR="00723828" w:rsidRPr="00C1788C">
        <w:rPr>
          <w:rFonts w:hAnsi="標楷體" w:hint="eastAsia"/>
        </w:rPr>
        <w:t>入</w:t>
      </w:r>
      <w:r w:rsidR="00670082" w:rsidRPr="00C1788C">
        <w:rPr>
          <w:rFonts w:hAnsi="標楷體" w:hint="eastAsia"/>
        </w:rPr>
        <w:t>樂購</w:t>
      </w:r>
      <w:proofErr w:type="gramEnd"/>
      <w:r w:rsidR="00670082" w:rsidRPr="00C1788C">
        <w:rPr>
          <w:rFonts w:hAnsi="標楷體" w:hint="eastAsia"/>
        </w:rPr>
        <w:t>蝦皮公司</w:t>
      </w:r>
      <w:proofErr w:type="gramStart"/>
      <w:r w:rsidR="00723828" w:rsidRPr="00C1788C">
        <w:rPr>
          <w:rFonts w:hAnsi="標楷體" w:hint="eastAsia"/>
        </w:rPr>
        <w:t>日均額</w:t>
      </w:r>
      <w:proofErr w:type="gramEnd"/>
      <w:r w:rsidR="00723828" w:rsidRPr="00C1788C">
        <w:rPr>
          <w:rFonts w:hAnsi="標楷體" w:hint="eastAsia"/>
        </w:rPr>
        <w:t>。</w:t>
      </w:r>
      <w:r w:rsidR="00D77645" w:rsidRPr="00C1788C">
        <w:rPr>
          <w:rFonts w:hAnsi="標楷體"/>
        </w:rPr>
        <w:t>整體而言，現行</w:t>
      </w:r>
      <w:proofErr w:type="gramStart"/>
      <w:r w:rsidR="00D77645" w:rsidRPr="00C1788C">
        <w:rPr>
          <w:rFonts w:hAnsi="標楷體"/>
        </w:rPr>
        <w:t>監理係依</w:t>
      </w:r>
      <w:proofErr w:type="gramEnd"/>
      <w:r w:rsidR="00D77645" w:rsidRPr="00C1788C">
        <w:rPr>
          <w:rFonts w:hAnsi="標楷體"/>
        </w:rPr>
        <w:t>業者申報資料及銀行回饋資訊進行掌握，並導入會計師確信報告機制，以強化資料可信度。</w:t>
      </w:r>
    </w:p>
    <w:p w14:paraId="55A0AC57" w14:textId="6E324101" w:rsidR="00D77645" w:rsidRPr="00C1788C" w:rsidRDefault="00D77645" w:rsidP="00793788">
      <w:pPr>
        <w:pStyle w:val="3"/>
        <w:rPr>
          <w:rFonts w:hAnsi="標楷體"/>
        </w:rPr>
      </w:pPr>
      <w:r w:rsidRPr="00C1788C">
        <w:rPr>
          <w:rFonts w:hAnsi="標楷體"/>
        </w:rPr>
        <w:t>從制度運作與個案觀察，現行分流監理機制雖具法制基礎與操作明確性，仍可能出現監理分類與實際經營風險未完全對應之情形。蓋以「一年日均餘額」作為唯一門檻，固可平滑短期波動，然對於資金流動頻率高、週轉速度快之電商平台業者，其短期資金流量規模及交易頻率，未必能充分反映於平均餘額之中；又業者如透過縮短資金停留</w:t>
      </w:r>
      <w:proofErr w:type="gramStart"/>
      <w:r w:rsidRPr="00C1788C">
        <w:rPr>
          <w:rFonts w:hAnsi="標楷體"/>
        </w:rPr>
        <w:t>期間，</w:t>
      </w:r>
      <w:proofErr w:type="gramEnd"/>
      <w:r w:rsidRPr="00C1788C">
        <w:rPr>
          <w:rFonts w:hAnsi="標楷體"/>
        </w:rPr>
        <w:t>即可能在維持交易規模之情形下，降低日均餘額水準，使其未達監理門檻。此種情形，尚屬制度設計下之合理結果，惟在監理效果上，可能形成實際經營規模與監理強度間之落差。</w:t>
      </w:r>
      <w:proofErr w:type="gramStart"/>
      <w:r w:rsidRPr="00C1788C">
        <w:rPr>
          <w:rFonts w:hAnsi="標楷體"/>
        </w:rPr>
        <w:t>再者，</w:t>
      </w:r>
      <w:proofErr w:type="gramEnd"/>
      <w:r w:rsidRPr="00C1788C">
        <w:rPr>
          <w:rFonts w:hAnsi="標楷體"/>
        </w:rPr>
        <w:t>現行制度係以「是否</w:t>
      </w:r>
      <w:proofErr w:type="gramStart"/>
      <w:r w:rsidRPr="00C1788C">
        <w:rPr>
          <w:rFonts w:hAnsi="標楷體"/>
        </w:rPr>
        <w:t>收受儲值</w:t>
      </w:r>
      <w:proofErr w:type="gramEnd"/>
      <w:r w:rsidRPr="00C1788C">
        <w:rPr>
          <w:rFonts w:hAnsi="標楷體"/>
        </w:rPr>
        <w:t>款項」及「代理收付款項規模」作為區分標準，對於未涉及儲值功能之</w:t>
      </w:r>
      <w:r w:rsidR="00BB67C3" w:rsidRPr="00C1788C">
        <w:rPr>
          <w:rFonts w:hAnsi="標楷體"/>
        </w:rPr>
        <w:t>三支業者</w:t>
      </w:r>
      <w:r w:rsidRPr="00C1788C">
        <w:rPr>
          <w:rFonts w:hAnsi="標楷體"/>
        </w:rPr>
        <w:t>，</w:t>
      </w:r>
      <w:proofErr w:type="gramStart"/>
      <w:r w:rsidRPr="00C1788C">
        <w:rPr>
          <w:rFonts w:hAnsi="標楷體"/>
        </w:rPr>
        <w:t>採</w:t>
      </w:r>
      <w:proofErr w:type="gramEnd"/>
      <w:r w:rsidRPr="00C1788C">
        <w:rPr>
          <w:rFonts w:hAnsi="標楷體"/>
        </w:rPr>
        <w:t>相對較低密度之監理，並由數</w:t>
      </w:r>
      <w:proofErr w:type="gramStart"/>
      <w:r w:rsidRPr="00C1788C">
        <w:rPr>
          <w:rFonts w:hAnsi="標楷體"/>
        </w:rPr>
        <w:t>發部及消費者保護</w:t>
      </w:r>
      <w:proofErr w:type="gramEnd"/>
      <w:r w:rsidRPr="00C1788C">
        <w:rPr>
          <w:rFonts w:hAnsi="標楷體"/>
        </w:rPr>
        <w:t>機制予以管理。</w:t>
      </w:r>
      <w:proofErr w:type="gramStart"/>
      <w:r w:rsidRPr="00C1788C">
        <w:rPr>
          <w:rFonts w:hAnsi="標楷體"/>
        </w:rPr>
        <w:t>惟隨大型</w:t>
      </w:r>
      <w:proofErr w:type="gramEnd"/>
      <w:r w:rsidRPr="00C1788C">
        <w:rPr>
          <w:rFonts w:hAnsi="標楷體"/>
        </w:rPr>
        <w:t>電商平台整合金流、物流及平台服務，其營運規模及對消費者影響程度，已非早期中小型</w:t>
      </w:r>
      <w:r w:rsidR="00BB67C3" w:rsidRPr="00C1788C">
        <w:rPr>
          <w:rFonts w:hAnsi="標楷體"/>
        </w:rPr>
        <w:t>三支業者</w:t>
      </w:r>
      <w:r w:rsidRPr="00C1788C">
        <w:rPr>
          <w:rFonts w:hAnsi="標楷體"/>
        </w:rPr>
        <w:t>可比，是否僅以單一量化門檻作為納管依據，於面對新型態商業模式時，尚有進一步</w:t>
      </w:r>
      <w:r w:rsidRPr="00C1788C">
        <w:rPr>
          <w:rFonts w:hAnsi="標楷體"/>
        </w:rPr>
        <w:lastRenderedPageBreak/>
        <w:t>觀察</w:t>
      </w:r>
      <w:r w:rsidR="0088074F" w:rsidRPr="00C1788C">
        <w:rPr>
          <w:rFonts w:hAnsi="標楷體" w:hint="eastAsia"/>
        </w:rPr>
        <w:t>之必要</w:t>
      </w:r>
      <w:r w:rsidRPr="00C1788C">
        <w:rPr>
          <w:rFonts w:hAnsi="標楷體"/>
        </w:rPr>
        <w:t>。</w:t>
      </w:r>
    </w:p>
    <w:p w14:paraId="1000593B" w14:textId="64ECFE96" w:rsidR="00D77645" w:rsidRPr="00C1788C" w:rsidRDefault="00D424C1" w:rsidP="009A294C">
      <w:pPr>
        <w:pStyle w:val="3"/>
        <w:rPr>
          <w:rFonts w:hAnsi="標楷體"/>
        </w:rPr>
      </w:pPr>
      <w:proofErr w:type="gramStart"/>
      <w:r w:rsidRPr="00C1788C">
        <w:rPr>
          <w:rFonts w:hAnsi="標楷體" w:hint="eastAsia"/>
        </w:rPr>
        <w:t>準</w:t>
      </w:r>
      <w:proofErr w:type="gramEnd"/>
      <w:r w:rsidRPr="00C1788C">
        <w:rPr>
          <w:rFonts w:hAnsi="標楷體" w:hint="eastAsia"/>
        </w:rPr>
        <w:t>此</w:t>
      </w:r>
      <w:r w:rsidR="00D77645" w:rsidRPr="00C1788C">
        <w:rPr>
          <w:rFonts w:hAnsi="標楷體"/>
        </w:rPr>
        <w:t>，</w:t>
      </w:r>
      <w:r w:rsidR="00786AA3" w:rsidRPr="00C1788C">
        <w:rPr>
          <w:rFonts w:hAnsi="標楷體"/>
        </w:rPr>
        <w:t>基於監理重要性原則及國際比較所建立</w:t>
      </w:r>
      <w:r w:rsidR="00D77645" w:rsidRPr="00C1788C">
        <w:rPr>
          <w:rFonts w:hAnsi="標楷體"/>
        </w:rPr>
        <w:t>第三方支付與電子支付機構之分流監理制度，係</w:t>
      </w:r>
      <w:r w:rsidRPr="00C1788C">
        <w:rPr>
          <w:rFonts w:hAnsi="標楷體"/>
        </w:rPr>
        <w:t>以是否涉及</w:t>
      </w:r>
      <w:proofErr w:type="gramStart"/>
      <w:r w:rsidRPr="00C1788C">
        <w:rPr>
          <w:rFonts w:hAnsi="標楷體"/>
        </w:rPr>
        <w:t>收受儲值</w:t>
      </w:r>
      <w:proofErr w:type="gramEnd"/>
      <w:r w:rsidRPr="00C1788C">
        <w:rPr>
          <w:rFonts w:hAnsi="標楷體"/>
        </w:rPr>
        <w:t>款項及代理收付款項規模達一定門檻作為納管依據，並透過門檻調整、跨機關合作及確信報告</w:t>
      </w:r>
      <w:r w:rsidR="00D77645" w:rsidRPr="00C1788C">
        <w:rPr>
          <w:rFonts w:hAnsi="標楷體"/>
        </w:rPr>
        <w:t>機制</w:t>
      </w:r>
      <w:r w:rsidR="00267C3E">
        <w:rPr>
          <w:rFonts w:hAnsi="標楷體" w:hint="eastAsia"/>
        </w:rPr>
        <w:t>進行監理</w:t>
      </w:r>
      <w:r w:rsidRPr="00C1788C">
        <w:rPr>
          <w:rFonts w:hAnsi="標楷體" w:hint="eastAsia"/>
        </w:rPr>
        <w:t>，</w:t>
      </w:r>
      <w:proofErr w:type="gramStart"/>
      <w:r w:rsidR="00D77645" w:rsidRPr="00C1788C">
        <w:rPr>
          <w:rFonts w:hAnsi="標楷體"/>
        </w:rPr>
        <w:t>惟隨電子商務</w:t>
      </w:r>
      <w:proofErr w:type="gramEnd"/>
      <w:r w:rsidR="00D77645" w:rsidRPr="00C1788C">
        <w:rPr>
          <w:rFonts w:hAnsi="標楷體"/>
        </w:rPr>
        <w:t>發展及資金流動模式改變，</w:t>
      </w:r>
      <w:r w:rsidRPr="00C1788C">
        <w:rPr>
          <w:rFonts w:hAnsi="標楷體"/>
        </w:rPr>
        <w:t>部分業者透過調整資金流動方式及交易結構，致其實際經營規模與監理分類間出現落差，</w:t>
      </w:r>
      <w:r w:rsidR="00D77645" w:rsidRPr="00C1788C">
        <w:rPr>
          <w:rFonts w:hAnsi="標楷體"/>
        </w:rPr>
        <w:t>現行以「一年日均餘額」為核心之單一</w:t>
      </w:r>
      <w:r w:rsidRPr="00C1788C">
        <w:rPr>
          <w:rFonts w:hAnsi="標楷體"/>
        </w:rPr>
        <w:t>監理</w:t>
      </w:r>
      <w:r w:rsidR="00D77645" w:rsidRPr="00C1788C">
        <w:rPr>
          <w:rFonts w:hAnsi="標楷體"/>
        </w:rPr>
        <w:t>指標，對於</w:t>
      </w:r>
      <w:r w:rsidRPr="00C1788C">
        <w:rPr>
          <w:rFonts w:hAnsi="標楷體"/>
        </w:rPr>
        <w:t>反映短期資金流量及整體風險承擔能力，易形成監理密度</w:t>
      </w:r>
      <w:r w:rsidR="0088074F" w:rsidRPr="00C1788C">
        <w:rPr>
          <w:rFonts w:hAnsi="標楷體" w:hint="eastAsia"/>
        </w:rPr>
        <w:t>及</w:t>
      </w:r>
      <w:r w:rsidRPr="00C1788C">
        <w:rPr>
          <w:rFonts w:hAnsi="標楷體"/>
        </w:rPr>
        <w:t>實質經營規模</w:t>
      </w:r>
      <w:r w:rsidR="0088074F" w:rsidRPr="00C1788C">
        <w:rPr>
          <w:rFonts w:hAnsi="標楷體" w:hint="eastAsia"/>
        </w:rPr>
        <w:t>與</w:t>
      </w:r>
      <w:r w:rsidRPr="00C1788C">
        <w:rPr>
          <w:rFonts w:hAnsi="標楷體"/>
        </w:rPr>
        <w:t>風險程度未完全對應</w:t>
      </w:r>
      <w:r w:rsidR="00D77645" w:rsidRPr="00C1788C">
        <w:rPr>
          <w:rFonts w:hAnsi="標楷體"/>
        </w:rPr>
        <w:t>，</w:t>
      </w:r>
      <w:r w:rsidR="00267C3E">
        <w:rPr>
          <w:rFonts w:hAnsi="標楷體" w:hint="eastAsia"/>
        </w:rPr>
        <w:t>顯</w:t>
      </w:r>
      <w:r w:rsidR="00D77645" w:rsidRPr="00C1788C">
        <w:rPr>
          <w:rFonts w:hAnsi="標楷體"/>
        </w:rPr>
        <w:t>有其侷限。</w:t>
      </w:r>
      <w:r w:rsidRPr="00C1788C">
        <w:rPr>
          <w:rFonts w:hAnsi="標楷體" w:hint="eastAsia"/>
        </w:rPr>
        <w:t>數</w:t>
      </w:r>
      <w:proofErr w:type="gramStart"/>
      <w:r w:rsidRPr="00C1788C">
        <w:rPr>
          <w:rFonts w:hAnsi="標楷體" w:hint="eastAsia"/>
        </w:rPr>
        <w:t>發部及金管會</w:t>
      </w:r>
      <w:proofErr w:type="gramEnd"/>
      <w:r w:rsidR="00D77645" w:rsidRPr="00C1788C">
        <w:rPr>
          <w:rFonts w:hAnsi="標楷體"/>
        </w:rPr>
        <w:t>允宜在兼顧制度穩定性與產業發展之前提下，持續觀察市場變化，審慎評估是否引入補充性風險指標或多元判斷機制，以提升監理分類與實質風險之對應程度，避免產生監理落差，並確保金融秩序及消費者權益之保障。</w:t>
      </w:r>
    </w:p>
    <w:p w14:paraId="5D81E037" w14:textId="77777777" w:rsidR="00D77645" w:rsidRPr="00C1788C" w:rsidRDefault="00D77645" w:rsidP="00D77645">
      <w:pPr>
        <w:pStyle w:val="1"/>
        <w:numPr>
          <w:ilvl w:val="0"/>
          <w:numId w:val="0"/>
        </w:numPr>
        <w:ind w:left="2380"/>
        <w:rPr>
          <w:rFonts w:hAnsi="標楷體"/>
        </w:rPr>
      </w:pPr>
    </w:p>
    <w:p w14:paraId="5710E0E5" w14:textId="0D219C9D" w:rsidR="00CB1878" w:rsidRPr="00C1788C" w:rsidRDefault="00BB5491">
      <w:pPr>
        <w:pStyle w:val="1"/>
        <w:ind w:left="2380" w:hanging="2380"/>
        <w:rPr>
          <w:rFonts w:hAnsi="標楷體"/>
        </w:rPr>
      </w:pPr>
      <w:r w:rsidRPr="00C1788C">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C1788C">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A6D32EB" w14:textId="410356AC" w:rsidR="000C7A7C" w:rsidRDefault="000C7A7C" w:rsidP="000C7A7C">
      <w:pPr>
        <w:pStyle w:val="2"/>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Ansi="標楷體" w:hint="eastAsia"/>
        </w:rPr>
        <w:t>抄</w:t>
      </w:r>
      <w:r w:rsidRPr="00C1788C">
        <w:rPr>
          <w:rFonts w:hAnsi="標楷體" w:hint="eastAsia"/>
        </w:rPr>
        <w:t>調查意見，函請行政院督促</w:t>
      </w:r>
      <w:r>
        <w:rPr>
          <w:rFonts w:hAnsi="標楷體" w:hint="eastAsia"/>
        </w:rPr>
        <w:t>(會同)</w:t>
      </w:r>
      <w:r w:rsidRPr="00C1788C">
        <w:rPr>
          <w:rFonts w:hAnsi="標楷體" w:hint="eastAsia"/>
        </w:rPr>
        <w:t>經濟部</w:t>
      </w: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End w:id="77"/>
      <w:bookmarkEnd w:id="78"/>
      <w:bookmarkEnd w:id="79"/>
      <w:bookmarkEnd w:id="80"/>
      <w:bookmarkEnd w:id="81"/>
      <w:bookmarkEnd w:id="82"/>
      <w:bookmarkEnd w:id="83"/>
      <w:bookmarkEnd w:id="84"/>
      <w:bookmarkEnd w:id="85"/>
      <w:bookmarkEnd w:id="86"/>
      <w:bookmarkEnd w:id="87"/>
      <w:bookmarkEnd w:id="88"/>
      <w:bookmarkEnd w:id="89"/>
      <w:r w:rsidRPr="00C1788C">
        <w:rPr>
          <w:rFonts w:hAnsi="標楷體" w:hint="eastAsia"/>
        </w:rPr>
        <w:t>、數位發展部、財政部、內政部</w:t>
      </w:r>
      <w:r>
        <w:rPr>
          <w:rFonts w:hAnsi="標楷體" w:hint="eastAsia"/>
        </w:rPr>
        <w:t>、</w:t>
      </w:r>
      <w:r w:rsidRPr="00C1788C">
        <w:rPr>
          <w:rFonts w:hAnsi="標楷體" w:hint="eastAsia"/>
        </w:rPr>
        <w:t>金融監督管理委員會</w:t>
      </w:r>
      <w:r>
        <w:rPr>
          <w:rFonts w:hAnsi="標楷體" w:hint="eastAsia"/>
        </w:rPr>
        <w:t>及國家安全局</w:t>
      </w:r>
      <w:r w:rsidRPr="00C1788C">
        <w:rPr>
          <w:rFonts w:hAnsi="標楷體" w:hint="eastAsia"/>
        </w:rPr>
        <w:t>等</w:t>
      </w:r>
      <w:r>
        <w:rPr>
          <w:rFonts w:hAnsi="標楷體" w:hint="eastAsia"/>
        </w:rPr>
        <w:t>權責機關</w:t>
      </w:r>
      <w:r w:rsidRPr="00C1788C">
        <w:rPr>
          <w:rFonts w:hAnsi="標楷體" w:hint="eastAsia"/>
        </w:rPr>
        <w:t>參處</w:t>
      </w:r>
      <w:proofErr w:type="gramStart"/>
      <w:r w:rsidRPr="00C1788C">
        <w:rPr>
          <w:rFonts w:hAnsi="標楷體" w:hint="eastAsia"/>
        </w:rPr>
        <w:t>見復。</w:t>
      </w:r>
      <w:proofErr w:type="gramEnd"/>
    </w:p>
    <w:p w14:paraId="4A475F53" w14:textId="77777777" w:rsidR="000C7A7C" w:rsidRPr="00C1788C" w:rsidRDefault="000C7A7C" w:rsidP="000C7A7C">
      <w:pPr>
        <w:pStyle w:val="2"/>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Ansi="標楷體" w:hint="eastAsia"/>
        </w:rPr>
        <w:t>調查報告之案由、</w:t>
      </w:r>
      <w:r w:rsidRPr="00C1788C">
        <w:rPr>
          <w:rFonts w:hAnsi="標楷體" w:hint="eastAsia"/>
        </w:rPr>
        <w:t>調查意見</w:t>
      </w:r>
      <w:r>
        <w:rPr>
          <w:rFonts w:hAnsi="標楷體" w:hint="eastAsia"/>
        </w:rPr>
        <w:t>及處理辦法上網公布</w:t>
      </w:r>
      <w:r w:rsidRPr="00C1788C">
        <w:rPr>
          <w:rFonts w:hAnsi="標楷體" w:hint="eastAsia"/>
        </w:rPr>
        <w:t>。</w:t>
      </w:r>
    </w:p>
    <w:bookmarkEnd w:id="110"/>
    <w:bookmarkEnd w:id="111"/>
    <w:bookmarkEnd w:id="112"/>
    <w:bookmarkEnd w:id="113"/>
    <w:bookmarkEnd w:id="114"/>
    <w:bookmarkEnd w:id="115"/>
    <w:bookmarkEnd w:id="116"/>
    <w:bookmarkEnd w:id="117"/>
    <w:bookmarkEnd w:id="118"/>
    <w:bookmarkEnd w:id="119"/>
    <w:bookmarkEnd w:id="120"/>
    <w:bookmarkEnd w:id="121"/>
    <w:bookmarkEnd w:id="122"/>
    <w:p w14:paraId="2F20DA08" w14:textId="77777777" w:rsidR="000C7A7C" w:rsidRPr="00C1788C" w:rsidRDefault="000C7A7C" w:rsidP="000C7A7C">
      <w:pPr>
        <w:pStyle w:val="aa"/>
        <w:spacing w:beforeLines="50" w:before="228" w:afterLines="100" w:after="457"/>
        <w:ind w:leftChars="1100" w:left="3742"/>
        <w:rPr>
          <w:rFonts w:hAnsi="標楷體"/>
          <w:b w:val="0"/>
          <w:bCs/>
          <w:snapToGrid/>
          <w:spacing w:val="12"/>
          <w:kern w:val="0"/>
          <w:sz w:val="40"/>
        </w:rPr>
      </w:pPr>
    </w:p>
    <w:p w14:paraId="1A592772" w14:textId="77777777" w:rsidR="000C7A7C" w:rsidRPr="00C1788C" w:rsidRDefault="000C7A7C" w:rsidP="000C7A7C">
      <w:pPr>
        <w:pStyle w:val="aa"/>
        <w:spacing w:beforeLines="50" w:before="228" w:after="0"/>
        <w:ind w:leftChars="1100" w:left="3742"/>
        <w:rPr>
          <w:rFonts w:hAnsi="標楷體"/>
          <w:b w:val="0"/>
          <w:bCs/>
          <w:snapToGrid/>
          <w:spacing w:val="12"/>
          <w:kern w:val="0"/>
          <w:sz w:val="40"/>
        </w:rPr>
      </w:pPr>
      <w:r w:rsidRPr="00C1788C">
        <w:rPr>
          <w:rFonts w:hAnsi="標楷體" w:hint="eastAsia"/>
          <w:b w:val="0"/>
          <w:bCs/>
          <w:snapToGrid/>
          <w:spacing w:val="12"/>
          <w:kern w:val="0"/>
          <w:sz w:val="40"/>
        </w:rPr>
        <w:t>調查委員：</w:t>
      </w:r>
      <w:r>
        <w:rPr>
          <w:rFonts w:hAnsi="標楷體" w:hint="eastAsia"/>
          <w:b w:val="0"/>
          <w:bCs/>
          <w:snapToGrid/>
          <w:spacing w:val="12"/>
          <w:kern w:val="0"/>
          <w:sz w:val="40"/>
        </w:rPr>
        <w:t>賴振昌</w:t>
      </w:r>
    </w:p>
    <w:p w14:paraId="694AFF47" w14:textId="77777777" w:rsidR="000C7A7C" w:rsidRDefault="000C7A7C" w:rsidP="000C7A7C">
      <w:pPr>
        <w:pStyle w:val="aa"/>
        <w:spacing w:before="0" w:after="0"/>
        <w:ind w:leftChars="1750" w:left="5953"/>
        <w:rPr>
          <w:rFonts w:hAnsi="標楷體"/>
          <w:b w:val="0"/>
          <w:bCs/>
          <w:snapToGrid/>
          <w:spacing w:val="0"/>
          <w:kern w:val="0"/>
          <w:sz w:val="40"/>
        </w:rPr>
      </w:pPr>
      <w:r>
        <w:rPr>
          <w:rFonts w:hAnsi="標楷體"/>
          <w:b w:val="0"/>
          <w:bCs/>
          <w:snapToGrid/>
          <w:spacing w:val="0"/>
          <w:kern w:val="0"/>
          <w:sz w:val="40"/>
        </w:rPr>
        <w:tab/>
      </w:r>
      <w:r w:rsidRPr="000543FF">
        <w:rPr>
          <w:rFonts w:hAnsi="標楷體" w:hint="eastAsia"/>
          <w:b w:val="0"/>
          <w:bCs/>
          <w:snapToGrid/>
          <w:spacing w:val="12"/>
          <w:kern w:val="0"/>
          <w:sz w:val="40"/>
        </w:rPr>
        <w:t>賴鼎銘</w:t>
      </w:r>
    </w:p>
    <w:p w14:paraId="7D302FD7" w14:textId="77777777" w:rsidR="000C7A7C" w:rsidRDefault="000C7A7C" w:rsidP="000C7A7C">
      <w:pPr>
        <w:pStyle w:val="aa"/>
        <w:spacing w:before="0" w:after="0"/>
        <w:ind w:leftChars="1100" w:left="3742"/>
        <w:rPr>
          <w:rFonts w:hAnsi="標楷體"/>
          <w:b w:val="0"/>
          <w:bCs/>
          <w:snapToGrid/>
          <w:spacing w:val="0"/>
          <w:kern w:val="0"/>
          <w:sz w:val="40"/>
        </w:rPr>
      </w:pPr>
    </w:p>
    <w:p w14:paraId="3CA83E45" w14:textId="77777777" w:rsidR="000C7A7C" w:rsidRPr="00C1788C" w:rsidRDefault="000C7A7C" w:rsidP="000C7A7C">
      <w:pPr>
        <w:pStyle w:val="aa"/>
        <w:spacing w:before="0" w:after="0"/>
        <w:ind w:leftChars="1100" w:left="3742"/>
        <w:rPr>
          <w:rFonts w:hAnsi="標楷體"/>
          <w:b w:val="0"/>
          <w:bCs/>
          <w:snapToGrid/>
          <w:spacing w:val="0"/>
          <w:kern w:val="0"/>
          <w:sz w:val="40"/>
        </w:rPr>
      </w:pPr>
    </w:p>
    <w:p w14:paraId="1D69BDF3" w14:textId="77777777" w:rsidR="000C7A7C" w:rsidRPr="00C1788C" w:rsidRDefault="000C7A7C" w:rsidP="000C7A7C">
      <w:pPr>
        <w:pStyle w:val="aa"/>
        <w:spacing w:before="0" w:after="0"/>
        <w:ind w:leftChars="1100" w:left="3742"/>
        <w:rPr>
          <w:rFonts w:hAnsi="標楷體"/>
          <w:b w:val="0"/>
          <w:bCs/>
          <w:snapToGrid/>
          <w:spacing w:val="0"/>
          <w:kern w:val="0"/>
          <w:sz w:val="40"/>
        </w:rPr>
      </w:pPr>
    </w:p>
    <w:p w14:paraId="7CA8E7CB" w14:textId="77777777" w:rsidR="000C7A7C" w:rsidRPr="00C1788C" w:rsidRDefault="000C7A7C" w:rsidP="000C7A7C">
      <w:pPr>
        <w:pStyle w:val="af"/>
        <w:rPr>
          <w:rFonts w:hAnsi="標楷體"/>
          <w:bCs/>
        </w:rPr>
      </w:pPr>
      <w:r w:rsidRPr="00C1788C">
        <w:rPr>
          <w:rFonts w:hAnsi="標楷體" w:hint="eastAsia"/>
          <w:bCs/>
        </w:rPr>
        <w:t xml:space="preserve">中  華  民  國　115　年　</w:t>
      </w:r>
      <w:r>
        <w:rPr>
          <w:rFonts w:hAnsi="標楷體" w:hint="eastAsia"/>
          <w:bCs/>
        </w:rPr>
        <w:t>5</w:t>
      </w:r>
      <w:r w:rsidRPr="00C1788C">
        <w:rPr>
          <w:rFonts w:hAnsi="標楷體" w:hint="eastAsia"/>
          <w:bCs/>
        </w:rPr>
        <w:t xml:space="preserve">　月　</w:t>
      </w:r>
      <w:r>
        <w:rPr>
          <w:rFonts w:hAnsi="標楷體" w:hint="eastAsia"/>
          <w:bCs/>
        </w:rPr>
        <w:t>8</w:t>
      </w:r>
      <w:r w:rsidRPr="00C1788C">
        <w:rPr>
          <w:rFonts w:hAnsi="標楷體" w:hint="eastAsia"/>
          <w:bCs/>
        </w:rPr>
        <w:t xml:space="preserve">　日</w:t>
      </w:r>
    </w:p>
    <w:p w14:paraId="01AAC716" w14:textId="68E00C0A" w:rsidR="00CB1878" w:rsidRPr="00C1788C" w:rsidRDefault="00CB1878" w:rsidP="00320890">
      <w:pPr>
        <w:widowControl/>
        <w:overflowPunct/>
        <w:autoSpaceDE/>
        <w:autoSpaceDN/>
        <w:jc w:val="left"/>
        <w:rPr>
          <w:rFonts w:hAnsi="標楷體"/>
          <w:szCs w:val="32"/>
        </w:rPr>
      </w:pPr>
      <w:bookmarkStart w:id="123" w:name="_Toc421794883"/>
      <w:bookmarkStart w:id="124" w:name="_Toc421794885"/>
      <w:bookmarkEnd w:id="123"/>
      <w:bookmarkEnd w:id="124"/>
    </w:p>
    <w:sectPr w:rsidR="00CB1878" w:rsidRPr="00C1788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6B40" w14:textId="77777777" w:rsidR="00D57242" w:rsidRDefault="00D57242">
      <w:r>
        <w:separator/>
      </w:r>
    </w:p>
  </w:endnote>
  <w:endnote w:type="continuationSeparator" w:id="0">
    <w:p w14:paraId="3D4A50D0" w14:textId="77777777" w:rsidR="00D57242" w:rsidRDefault="00D57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標">
    <w:altName w:val="新細明體"/>
    <w:panose1 w:val="00000000000000000000"/>
    <w:charset w:val="88"/>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DE8A" w14:textId="77777777" w:rsidR="00CB1878" w:rsidRDefault="00BB549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037FDDE" w14:textId="77777777" w:rsidR="00CB1878" w:rsidRDefault="00CB187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2A05F" w14:textId="77777777" w:rsidR="00D57242" w:rsidRDefault="00D57242">
      <w:r>
        <w:separator/>
      </w:r>
    </w:p>
  </w:footnote>
  <w:footnote w:type="continuationSeparator" w:id="0">
    <w:p w14:paraId="576E8AE3" w14:textId="77777777" w:rsidR="00D57242" w:rsidRDefault="00D57242">
      <w:r>
        <w:continuationSeparator/>
      </w:r>
    </w:p>
  </w:footnote>
  <w:footnote w:id="1">
    <w:p w14:paraId="01452A62" w14:textId="77777777" w:rsidR="00C24A08" w:rsidRDefault="00C24A08" w:rsidP="00C24A08">
      <w:pPr>
        <w:pStyle w:val="afc"/>
      </w:pPr>
      <w:r w:rsidRPr="00302264">
        <w:footnoteRef/>
      </w:r>
      <w:r>
        <w:rPr>
          <w:rFonts w:hint="eastAsia"/>
        </w:rPr>
        <w:t>.國外第三地區公司為陸資投資人認定</w:t>
      </w:r>
      <w:proofErr w:type="gramStart"/>
      <w:r>
        <w:rPr>
          <w:rFonts w:hint="eastAsia"/>
        </w:rPr>
        <w:t>標準釋例</w:t>
      </w:r>
      <w:proofErr w:type="gramEnd"/>
      <w:r>
        <w:rPr>
          <w:rFonts w:hint="eastAsia"/>
        </w:rPr>
        <w:t>：</w:t>
      </w:r>
    </w:p>
    <w:p w14:paraId="5577B02A" w14:textId="3BB6A623" w:rsidR="00C24A08" w:rsidRDefault="00C24A08" w:rsidP="00C24A08">
      <w:pPr>
        <w:pStyle w:val="afc"/>
      </w:pPr>
      <w:r>
        <w:rPr>
          <w:rFonts w:hint="eastAsia"/>
        </w:rPr>
        <w:t>※股權計算：</w:t>
      </w:r>
    </w:p>
    <w:p w14:paraId="6BAE2ECC" w14:textId="77777777" w:rsidR="00C24A08" w:rsidRDefault="00C24A08" w:rsidP="00C24A08">
      <w:pPr>
        <w:pStyle w:val="afc"/>
        <w:ind w:leftChars="100" w:left="560" w:hangingChars="100" w:hanging="220"/>
      </w:pPr>
      <w:r>
        <w:rPr>
          <w:rFonts w:hint="eastAsia"/>
        </w:rPr>
        <w:t>1.</w:t>
      </w:r>
      <w:r>
        <w:rPr>
          <w:rFonts w:hint="eastAsia"/>
        </w:rPr>
        <w:tab/>
        <w:t>以第三地區公司現有出資總額或已發行流通在外之普通股及特別股來計算，不包含其所持有之認股權、股份買權或可轉換為普通股之債券或權益等商品。</w:t>
      </w:r>
    </w:p>
    <w:p w14:paraId="144630DD" w14:textId="77777777" w:rsidR="00C24A08" w:rsidRDefault="00C24A08" w:rsidP="00C24A08">
      <w:pPr>
        <w:pStyle w:val="afc"/>
        <w:ind w:leftChars="100" w:left="560" w:hangingChars="100" w:hanging="220"/>
      </w:pPr>
      <w:r>
        <w:rPr>
          <w:rFonts w:hint="eastAsia"/>
        </w:rPr>
        <w:t>2.</w:t>
      </w:r>
      <w:r>
        <w:rPr>
          <w:rFonts w:hint="eastAsia"/>
        </w:rPr>
        <w:tab/>
        <w:t>直接或間接股份或出資比率之計算採分層認定計算法:(經濟部109年12月30日經審字第10904606730號解釋令)</w:t>
      </w:r>
    </w:p>
    <w:p w14:paraId="63CD3F5D" w14:textId="368AD31E" w:rsidR="00C24A08" w:rsidRDefault="00C24A08" w:rsidP="00C24A08">
      <w:pPr>
        <w:pStyle w:val="afc"/>
        <w:ind w:leftChars="100" w:left="560" w:hangingChars="100" w:hanging="220"/>
      </w:pPr>
      <w:r>
        <w:t>3.</w:t>
      </w:r>
      <w:r>
        <w:rPr>
          <w:rFonts w:hint="eastAsia"/>
        </w:rPr>
        <w:t>陸資許可辦法第</w:t>
      </w:r>
      <w:r w:rsidR="005E7A8E">
        <w:rPr>
          <w:rFonts w:hint="eastAsia"/>
        </w:rPr>
        <w:t>3</w:t>
      </w:r>
      <w:r>
        <w:rPr>
          <w:rFonts w:hint="eastAsia"/>
        </w:rPr>
        <w:t>條第</w:t>
      </w:r>
      <w:r w:rsidR="005E7A8E">
        <w:rPr>
          <w:rFonts w:hint="eastAsia"/>
        </w:rPr>
        <w:t>2</w:t>
      </w:r>
      <w:r>
        <w:rPr>
          <w:rFonts w:hint="eastAsia"/>
        </w:rPr>
        <w:t>項第</w:t>
      </w:r>
      <w:r w:rsidR="005E7A8E">
        <w:rPr>
          <w:rFonts w:hint="eastAsia"/>
        </w:rPr>
        <w:t>1</w:t>
      </w:r>
      <w:r>
        <w:rPr>
          <w:rFonts w:hint="eastAsia"/>
        </w:rPr>
        <w:t>款所規定「百分之三十」之計算方式如下：</w:t>
      </w:r>
    </w:p>
    <w:p w14:paraId="5404ABA6" w14:textId="77777777" w:rsidR="00C24A08" w:rsidRDefault="00C24A08" w:rsidP="00C24A08">
      <w:pPr>
        <w:pStyle w:val="afc"/>
        <w:ind w:leftChars="150" w:left="840" w:hangingChars="150" w:hanging="330"/>
      </w:pPr>
      <w:r>
        <w:rPr>
          <w:rFonts w:hint="eastAsia"/>
        </w:rPr>
        <w:t>(1)</w:t>
      </w:r>
      <w:r>
        <w:rPr>
          <w:rFonts w:hint="eastAsia"/>
        </w:rPr>
        <w:tab/>
        <w:t>投資申請人為第三地區公司時，其陸資持股比例計算方式，係將投資申請人之上一層股東中屬「大陸地區投資人」者，該大陸地區投資人對投資申請人之持股，全數計入投資申請人之陸資。</w:t>
      </w:r>
    </w:p>
    <w:p w14:paraId="5239E97A" w14:textId="77777777" w:rsidR="00C24A08" w:rsidRDefault="00C24A08" w:rsidP="00C24A08">
      <w:pPr>
        <w:pStyle w:val="afc"/>
        <w:ind w:leftChars="150" w:left="840" w:hangingChars="150" w:hanging="330"/>
      </w:pPr>
      <w:r>
        <w:rPr>
          <w:rFonts w:hint="eastAsia"/>
        </w:rPr>
        <w:t>(2)</w:t>
      </w:r>
      <w:r>
        <w:rPr>
          <w:rFonts w:hint="eastAsia"/>
        </w:rPr>
        <w:tab/>
        <w:t>投資申請人上一層股東倘為第三地區公司(下稱第二層股東)，且大陸地區人民、法人、團體或其他機構對第二層股東持股逾百分之三十或具控制能力，則該第二層股東視為大陸地區投資人，該第二層股東對第一層股東之持股，全數計入第一層股東之陸資。</w:t>
      </w:r>
    </w:p>
    <w:p w14:paraId="12BED5EC" w14:textId="77777777" w:rsidR="00C24A08" w:rsidRDefault="00C24A08" w:rsidP="00C24A08">
      <w:pPr>
        <w:pStyle w:val="afc"/>
        <w:ind w:leftChars="150" w:left="840" w:hangingChars="150" w:hanging="330"/>
      </w:pPr>
      <w:r>
        <w:rPr>
          <w:rFonts w:hint="eastAsia"/>
        </w:rPr>
        <w:t>(3)</w:t>
      </w:r>
      <w:r>
        <w:rPr>
          <w:rFonts w:hint="eastAsia"/>
        </w:rPr>
        <w:tab/>
        <w:t>第二層股東上一層股東倘為第三地區公司(下稱第三層股東)，且大陸地區人民、法人、團體或其他機構對該第三層股東持股逾百分之三十或具控制能力，則該第三層股東視為大陸地區投資人，該第三層股東對第二層股東之持股，全數計入第二層股東之陸資，依此再計算，如加計大陸地區人民、法人、團體或其他機構對第二層股東持股逾百分之三十或具控制能力，則該第二層股東視為大陸地區投資人，其對申請人之持股，全數計入第一層股東之陸資，以此類推。</w:t>
      </w:r>
    </w:p>
    <w:p w14:paraId="3E218817" w14:textId="77777777" w:rsidR="00C24A08" w:rsidRDefault="00C24A08" w:rsidP="00C24A08">
      <w:pPr>
        <w:pStyle w:val="afc"/>
        <w:ind w:leftChars="100" w:left="560" w:hangingChars="100" w:hanging="220"/>
      </w:pPr>
      <w:r>
        <w:t>4.</w:t>
      </w:r>
      <w:r>
        <w:rPr>
          <w:rFonts w:hint="eastAsia"/>
        </w:rPr>
        <w:tab/>
        <w:t>境外第三地區來台投資公司及其上層股東架構中之公司如為國外證券交易所上市、櫃公司，以其最近一次停止過戶期限後所指定之特定基準日，該日股東名冊列名者所持股權，計算股份或出資總額之比率。</w:t>
      </w:r>
    </w:p>
    <w:p w14:paraId="276EAD87" w14:textId="75DDC5A7" w:rsidR="00C24A08" w:rsidRDefault="00C24A08" w:rsidP="00C24A08">
      <w:pPr>
        <w:pStyle w:val="afc"/>
      </w:pPr>
      <w:r>
        <w:rPr>
          <w:rFonts w:hint="eastAsia"/>
        </w:rPr>
        <w:t>※控制能力：(經濟部109年12月30日經審字第10904606720號解釋令)</w:t>
      </w:r>
    </w:p>
    <w:p w14:paraId="5C03DF58" w14:textId="2BD22E84" w:rsidR="00C24A08" w:rsidRDefault="00C24A08" w:rsidP="00C24A08">
      <w:pPr>
        <w:pStyle w:val="afc"/>
        <w:ind w:leftChars="150" w:left="510" w:firstLineChars="180" w:firstLine="396"/>
      </w:pPr>
      <w:r>
        <w:rPr>
          <w:rFonts w:hint="eastAsia"/>
        </w:rPr>
        <w:t>陸資許可辦法第</w:t>
      </w:r>
      <w:r w:rsidR="005E7A8E">
        <w:rPr>
          <w:rFonts w:hint="eastAsia"/>
        </w:rPr>
        <w:t>3</w:t>
      </w:r>
      <w:r>
        <w:rPr>
          <w:rFonts w:hint="eastAsia"/>
        </w:rPr>
        <w:t>條第</w:t>
      </w:r>
      <w:r w:rsidR="005E7A8E">
        <w:rPr>
          <w:rFonts w:hint="eastAsia"/>
        </w:rPr>
        <w:t>2</w:t>
      </w:r>
      <w:r>
        <w:rPr>
          <w:rFonts w:hint="eastAsia"/>
        </w:rPr>
        <w:t>項第</w:t>
      </w:r>
      <w:r w:rsidR="005E7A8E">
        <w:rPr>
          <w:rFonts w:hint="eastAsia"/>
        </w:rPr>
        <w:t>2</w:t>
      </w:r>
      <w:r>
        <w:rPr>
          <w:rFonts w:hint="eastAsia"/>
        </w:rPr>
        <w:t>款，所規稱「具有控制能力」，指大陸地區人民、法人、團體或其他機構對第三第區公司具有下列情形之一者：</w:t>
      </w:r>
    </w:p>
    <w:p w14:paraId="1B9C21DD" w14:textId="77777777" w:rsidR="00C24A08" w:rsidRDefault="00C24A08" w:rsidP="00C24A08">
      <w:pPr>
        <w:pStyle w:val="afc"/>
        <w:ind w:leftChars="100" w:left="560" w:hangingChars="100" w:hanging="220"/>
      </w:pPr>
      <w:r>
        <w:rPr>
          <w:rFonts w:hint="eastAsia"/>
        </w:rPr>
        <w:t>1.</w:t>
      </w:r>
      <w:r>
        <w:rPr>
          <w:rFonts w:hint="eastAsia"/>
        </w:rPr>
        <w:tab/>
        <w:t>與其他投資人約定下，具超過半數之有表決權股份之能力。</w:t>
      </w:r>
    </w:p>
    <w:p w14:paraId="4FCBEE88" w14:textId="77777777" w:rsidR="00C24A08" w:rsidRDefault="00C24A08" w:rsidP="00C24A08">
      <w:pPr>
        <w:pStyle w:val="afc"/>
        <w:ind w:leftChars="100" w:left="560" w:hangingChars="100" w:hanging="220"/>
      </w:pPr>
      <w:r>
        <w:rPr>
          <w:rFonts w:hint="eastAsia"/>
        </w:rPr>
        <w:t>2.</w:t>
      </w:r>
      <w:r>
        <w:rPr>
          <w:rFonts w:hint="eastAsia"/>
        </w:rPr>
        <w:tab/>
        <w:t>依法令或契約約定，可操控公司之財務、營運及人事方針。</w:t>
      </w:r>
    </w:p>
    <w:p w14:paraId="5D8AA9AD" w14:textId="77777777" w:rsidR="00C24A08" w:rsidRDefault="00C24A08" w:rsidP="00C24A08">
      <w:pPr>
        <w:pStyle w:val="afc"/>
        <w:ind w:leftChars="100" w:left="560" w:hangingChars="100" w:hanging="220"/>
      </w:pPr>
      <w:r>
        <w:rPr>
          <w:rFonts w:hint="eastAsia"/>
        </w:rPr>
        <w:t>3.</w:t>
      </w:r>
      <w:r>
        <w:rPr>
          <w:rFonts w:hint="eastAsia"/>
        </w:rPr>
        <w:tab/>
        <w:t>有權任免董事會或其他可決定公司營運方針之組織超過半數之主要成員，且公司之控制操控於該董事會或其他可決定公司營運方針之組織。</w:t>
      </w:r>
    </w:p>
    <w:p w14:paraId="2B9C3C9F" w14:textId="77777777" w:rsidR="00C24A08" w:rsidRDefault="00C24A08" w:rsidP="00C24A08">
      <w:pPr>
        <w:pStyle w:val="afc"/>
        <w:ind w:leftChars="100" w:left="560" w:hangingChars="100" w:hanging="220"/>
      </w:pPr>
      <w:r>
        <w:rPr>
          <w:rFonts w:hint="eastAsia"/>
        </w:rPr>
        <w:t>4.</w:t>
      </w:r>
      <w:r>
        <w:rPr>
          <w:rFonts w:hint="eastAsia"/>
        </w:rPr>
        <w:tab/>
        <w:t>有權主導董事會或其他可決定公司營運方針之組織超過半數之投票權，且公司之控制操控於該董事會或其他可決定公司營運方針之組織。</w:t>
      </w:r>
    </w:p>
    <w:p w14:paraId="23CE7362" w14:textId="77777777" w:rsidR="00C24A08" w:rsidRDefault="00C24A08" w:rsidP="00C24A08">
      <w:pPr>
        <w:pStyle w:val="afc"/>
        <w:ind w:leftChars="100" w:left="560" w:hangingChars="100" w:hanging="220"/>
      </w:pPr>
      <w:r>
        <w:rPr>
          <w:rFonts w:hint="eastAsia"/>
        </w:rPr>
        <w:t>5.</w:t>
      </w:r>
      <w:r>
        <w:rPr>
          <w:rFonts w:hint="eastAsia"/>
        </w:rPr>
        <w:tab/>
        <w:t>其他依據國際財務報導準則或企業會計準則公報具有控制情形者。</w:t>
      </w:r>
    </w:p>
  </w:footnote>
  <w:footnote w:id="2">
    <w:p w14:paraId="2440C315" w14:textId="74068321" w:rsidR="00D51800" w:rsidRPr="00D51800" w:rsidRDefault="00D51800" w:rsidP="00320890">
      <w:pPr>
        <w:pStyle w:val="afc"/>
        <w:adjustRightInd w:val="0"/>
        <w:ind w:left="308" w:hangingChars="140" w:hanging="308"/>
        <w:jc w:val="both"/>
      </w:pPr>
      <w:r w:rsidRPr="00320890">
        <w:footnoteRef/>
      </w:r>
      <w:r>
        <w:rPr>
          <w:rFonts w:hint="eastAsia"/>
        </w:rPr>
        <w:t>.兩岸條例第40</w:t>
      </w:r>
      <w:r w:rsidRPr="00320890">
        <w:rPr>
          <w:rFonts w:hint="eastAsia"/>
        </w:rPr>
        <w:t>條之</w:t>
      </w:r>
      <w:r w:rsidRPr="00320890">
        <w:t>1規定：「</w:t>
      </w:r>
      <w:r w:rsidRPr="00D51800">
        <w:t>大陸地區之營利事業，非經主管機關許可，並在臺灣地區設立分公司或辦事處，不得在臺從事業務活動；其分公司在臺營業，準用公司法第</w:t>
      </w:r>
      <w:r w:rsidR="005E7A8E">
        <w:rPr>
          <w:rFonts w:hint="eastAsia"/>
        </w:rPr>
        <w:t>9</w:t>
      </w:r>
      <w:r w:rsidRPr="00D51800">
        <w:t>條、</w:t>
      </w:r>
      <w:r>
        <w:rPr>
          <w:rFonts w:hint="eastAsia"/>
        </w:rPr>
        <w:t>……</w:t>
      </w:r>
      <w:r w:rsidRPr="00D51800">
        <w:t>規定。</w:t>
      </w:r>
      <w:r>
        <w:rPr>
          <w:rFonts w:hint="eastAsia"/>
        </w:rPr>
        <w:t xml:space="preserve">  </w:t>
      </w:r>
      <w:r w:rsidRPr="00D51800">
        <w:t>前項業務活動範圍、許可條件、申請程序、申報事項、應備文件、撤回、撤銷或廢止許可及其他應遵行事項之辦法，由經濟部擬訂，報請行政院核定之。</w:t>
      </w:r>
      <w:r>
        <w:rPr>
          <w:rFonts w:hint="eastAsia"/>
        </w:rPr>
        <w:t>」</w:t>
      </w:r>
    </w:p>
  </w:footnote>
  <w:footnote w:id="3">
    <w:p w14:paraId="76FA7652" w14:textId="182FC593" w:rsidR="00D51800" w:rsidRPr="00D51800" w:rsidRDefault="00D51800" w:rsidP="00320890">
      <w:pPr>
        <w:pStyle w:val="afc"/>
        <w:adjustRightInd w:val="0"/>
        <w:ind w:left="308" w:hangingChars="140" w:hanging="308"/>
        <w:jc w:val="both"/>
      </w:pPr>
      <w:r w:rsidRPr="00320890">
        <w:footnoteRef/>
      </w:r>
      <w:r>
        <w:rPr>
          <w:rFonts w:hint="eastAsia"/>
        </w:rPr>
        <w:t>.兩岸條例第93條之1規定：「</w:t>
      </w:r>
      <w:r w:rsidRPr="00D51800">
        <w:t>違反第</w:t>
      </w:r>
      <w:r w:rsidR="005E7A8E">
        <w:rPr>
          <w:rFonts w:hint="eastAsia"/>
        </w:rPr>
        <w:t>73</w:t>
      </w:r>
      <w:r w:rsidRPr="00D51800">
        <w:t>條第</w:t>
      </w:r>
      <w:r w:rsidR="005E7A8E">
        <w:rPr>
          <w:rFonts w:hint="eastAsia"/>
        </w:rPr>
        <w:t>1</w:t>
      </w:r>
      <w:r w:rsidRPr="00D51800">
        <w:t>項規定從事投資者，由主管機關處新臺幣</w:t>
      </w:r>
      <w:r w:rsidR="005E7A8E">
        <w:rPr>
          <w:rFonts w:hint="eastAsia"/>
        </w:rPr>
        <w:t>12</w:t>
      </w:r>
      <w:r w:rsidRPr="00D51800">
        <w:t>萬元以上</w:t>
      </w:r>
      <w:r w:rsidR="005E7A8E">
        <w:rPr>
          <w:rFonts w:hint="eastAsia"/>
        </w:rPr>
        <w:t>2,500</w:t>
      </w:r>
      <w:r w:rsidRPr="00D51800">
        <w:t>百萬元以下罰鍰，並得限期命其停止、撤回投資或改正，必要時得停止其股東權利；屆期仍未停止、撤回投資或改正者，得按次處罰至其停止、撤回投資或改正為止；必要時得通知登記主管機關撤銷或廢止其認許或登記。</w:t>
      </w:r>
      <w:r>
        <w:rPr>
          <w:rFonts w:hint="eastAsia"/>
        </w:rPr>
        <w:t>……。」</w:t>
      </w:r>
    </w:p>
  </w:footnote>
  <w:footnote w:id="4">
    <w:p w14:paraId="2D5345AA" w14:textId="5B0159EA" w:rsidR="00D51800" w:rsidRPr="00D51800" w:rsidRDefault="00D51800" w:rsidP="00320890">
      <w:pPr>
        <w:pStyle w:val="afc"/>
        <w:adjustRightInd w:val="0"/>
        <w:ind w:left="308" w:hangingChars="140" w:hanging="308"/>
        <w:jc w:val="both"/>
      </w:pPr>
      <w:r w:rsidRPr="00320890">
        <w:footnoteRef/>
      </w:r>
      <w:r>
        <w:rPr>
          <w:rFonts w:hint="eastAsia"/>
        </w:rPr>
        <w:t>.兩岸條例第93條之2規定：「</w:t>
      </w:r>
      <w:r w:rsidRPr="00D51800">
        <w:t>違反第</w:t>
      </w:r>
      <w:r w:rsidR="005E7A8E">
        <w:rPr>
          <w:rFonts w:hint="eastAsia"/>
        </w:rPr>
        <w:t>40</w:t>
      </w:r>
      <w:r w:rsidRPr="00D51800">
        <w:t>條之</w:t>
      </w:r>
      <w:r w:rsidR="005E7A8E">
        <w:rPr>
          <w:rFonts w:hint="eastAsia"/>
        </w:rPr>
        <w:t>1</w:t>
      </w:r>
      <w:r w:rsidRPr="00D51800">
        <w:t>第</w:t>
      </w:r>
      <w:r w:rsidR="005E7A8E">
        <w:rPr>
          <w:rFonts w:hint="eastAsia"/>
        </w:rPr>
        <w:t>1</w:t>
      </w:r>
      <w:r w:rsidRPr="00D51800">
        <w:t>項規定未經許可而為業務活動者，處行為人</w:t>
      </w:r>
      <w:r w:rsidR="005E7A8E">
        <w:rPr>
          <w:rFonts w:hint="eastAsia"/>
        </w:rPr>
        <w:t>1</w:t>
      </w:r>
      <w:r w:rsidRPr="00D51800">
        <w:t>年以下有期徒刑、拘役或科或併科新臺幣</w:t>
      </w:r>
      <w:r w:rsidR="005E7A8E">
        <w:rPr>
          <w:rFonts w:hint="eastAsia"/>
        </w:rPr>
        <w:t>15</w:t>
      </w:r>
      <w:r w:rsidRPr="00D51800">
        <w:t>萬元以下罰金，並自負民事責任；行為人有</w:t>
      </w:r>
      <w:r w:rsidR="005E7A8E">
        <w:rPr>
          <w:rFonts w:hint="eastAsia"/>
        </w:rPr>
        <w:t>2</w:t>
      </w:r>
      <w:r w:rsidRPr="00D51800">
        <w:t>人以上者，連帶負民事責任，並由主管機關禁止其使用公司名稱。違反依第</w:t>
      </w:r>
      <w:r w:rsidR="005E7A8E">
        <w:rPr>
          <w:rFonts w:hint="eastAsia"/>
        </w:rPr>
        <w:t>40</w:t>
      </w:r>
      <w:r w:rsidRPr="00D51800">
        <w:t>條之</w:t>
      </w:r>
      <w:r w:rsidR="005E7A8E">
        <w:rPr>
          <w:rFonts w:hint="eastAsia"/>
        </w:rPr>
        <w:t>1</w:t>
      </w:r>
      <w:r w:rsidRPr="00D51800">
        <w:t>第</w:t>
      </w:r>
      <w:r w:rsidR="005E7A8E">
        <w:rPr>
          <w:rFonts w:hint="eastAsia"/>
        </w:rPr>
        <w:t>2</w:t>
      </w:r>
      <w:r w:rsidRPr="00D51800">
        <w:t>項所定辦法之強制或禁止規定者，處新臺幣</w:t>
      </w:r>
      <w:r w:rsidR="005E7A8E">
        <w:rPr>
          <w:rFonts w:hint="eastAsia"/>
        </w:rPr>
        <w:t>2</w:t>
      </w:r>
      <w:r w:rsidRPr="00D51800">
        <w:t>萬元以上</w:t>
      </w:r>
      <w:r w:rsidR="005E7A8E">
        <w:rPr>
          <w:rFonts w:hint="eastAsia"/>
        </w:rPr>
        <w:t>10</w:t>
      </w:r>
      <w:r w:rsidRPr="00D51800">
        <w:t>萬元以下罰鍰，並得限期命其停止或改正；屆期未停止或改正者，得連續處罰。</w:t>
      </w:r>
      <w:r>
        <w:rPr>
          <w:rFonts w:hint="eastAsia"/>
        </w:rPr>
        <w:t>」</w:t>
      </w:r>
    </w:p>
    <w:p w14:paraId="2F3AAB9C" w14:textId="6EA460B3" w:rsidR="00D51800" w:rsidRPr="00D51800" w:rsidRDefault="00D51800" w:rsidP="00320890">
      <w:pPr>
        <w:pStyle w:val="afc"/>
        <w:adjustRightInd w:val="0"/>
        <w:ind w:left="308" w:hangingChars="140" w:hanging="308"/>
        <w:jc w:val="both"/>
      </w:pPr>
    </w:p>
  </w:footnote>
  <w:footnote w:id="5">
    <w:p w14:paraId="62EC1C64" w14:textId="77777777" w:rsidR="009D6778" w:rsidRPr="003F3605" w:rsidRDefault="009D6778" w:rsidP="009D6778">
      <w:pPr>
        <w:pStyle w:val="afc"/>
        <w:ind w:leftChars="5" w:left="140" w:hangingChars="56" w:hanging="123"/>
        <w:jc w:val="both"/>
        <w:rPr>
          <w:color w:val="FF0000"/>
        </w:rPr>
      </w:pPr>
      <w:r w:rsidRPr="00BD6E46">
        <w:rPr>
          <w:color w:val="000000" w:themeColor="text1"/>
        </w:rPr>
        <w:footnoteRef/>
      </w:r>
      <w:r w:rsidRPr="00BD6E46">
        <w:rPr>
          <w:rFonts w:hint="eastAsia"/>
          <w:color w:val="000000" w:themeColor="text1"/>
        </w:rPr>
        <w:t>.依申報書所載</w:t>
      </w:r>
      <w:r>
        <w:rPr>
          <w:rFonts w:hint="eastAsia"/>
          <w:color w:val="000000" w:themeColor="text1"/>
        </w:rPr>
        <w:t>：歡樂蝦皮公司</w:t>
      </w:r>
      <w:r w:rsidRPr="00BD6E46">
        <w:rPr>
          <w:rFonts w:hint="eastAsia"/>
          <w:color w:val="000000" w:themeColor="text1"/>
        </w:rPr>
        <w:t>(設立日期103年7月4日)主要提供網際網路平台服務，截至107年8月31日投資人員工數共有0人、淨值為美金負92,000元、年淨營業收入為美金負5,000元，投資國內公司</w:t>
      </w:r>
      <w:r>
        <w:rPr>
          <w:rFonts w:hint="eastAsia"/>
          <w:color w:val="000000" w:themeColor="text1"/>
        </w:rPr>
        <w:t>樂購蝦皮公司</w:t>
      </w:r>
      <w:r w:rsidRPr="00BD6E46">
        <w:rPr>
          <w:rFonts w:hint="eastAsia"/>
          <w:color w:val="000000" w:themeColor="text1"/>
        </w:rPr>
        <w:t>(設立日期104年3月4日)，主要經營電子商務</w:t>
      </w:r>
      <w:r>
        <w:rPr>
          <w:rFonts w:hint="eastAsia"/>
          <w:color w:val="000000" w:themeColor="text1"/>
        </w:rPr>
        <w:t>平台</w:t>
      </w:r>
      <w:r w:rsidRPr="00BD6E46">
        <w:rPr>
          <w:rFonts w:hint="eastAsia"/>
          <w:color w:val="000000" w:themeColor="text1"/>
        </w:rPr>
        <w:t>，其於107年8月31日止之會計年度，營業收入約為美金負46,582,000元。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042"/>
    <w:multiLevelType w:val="multilevel"/>
    <w:tmpl w:val="33B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B76126"/>
    <w:multiLevelType w:val="hybridMultilevel"/>
    <w:tmpl w:val="71124DF0"/>
    <w:lvl w:ilvl="0" w:tplc="4F7C99EC">
      <w:start w:val="1"/>
      <w:numFmt w:val="ideographLegalTraditional"/>
      <w:lvlText w:val="%1、"/>
      <w:lvlJc w:val="left"/>
      <w:pPr>
        <w:ind w:left="480" w:hanging="480"/>
      </w:pPr>
      <w:rPr>
        <w:b/>
      </w:rPr>
    </w:lvl>
    <w:lvl w:ilvl="1" w:tplc="58D8D648">
      <w:start w:val="1"/>
      <w:numFmt w:val="taiwaneseCountingThousand"/>
      <w:lvlText w:val="%2、"/>
      <w:lvlJc w:val="left"/>
      <w:pPr>
        <w:ind w:left="960" w:hanging="480"/>
      </w:pPr>
      <w:rPr>
        <w:rFonts w:ascii="標楷體" w:eastAsia="標楷體" w:hAnsi="標楷體"/>
        <w:b w:val="0"/>
        <w:sz w:val="32"/>
        <w:szCs w:val="32"/>
        <w:lang w:val="en-US"/>
      </w:rPr>
    </w:lvl>
    <w:lvl w:ilvl="2" w:tplc="4E8C9EA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1364C5"/>
    <w:multiLevelType w:val="hybridMultilevel"/>
    <w:tmpl w:val="9EEEB03C"/>
    <w:lvl w:ilvl="0" w:tplc="36BC333C">
      <w:start w:val="1"/>
      <w:numFmt w:val="decimal"/>
      <w:suff w:val="nothing"/>
      <w:lvlText w:val="%1."/>
      <w:lvlJc w:val="left"/>
      <w:pPr>
        <w:ind w:left="160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CA7777"/>
    <w:multiLevelType w:val="hybridMultilevel"/>
    <w:tmpl w:val="A5346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0202A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284841"/>
    <w:multiLevelType w:val="hybridMultilevel"/>
    <w:tmpl w:val="1934597C"/>
    <w:lvl w:ilvl="0" w:tplc="94E6A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4756E8"/>
    <w:multiLevelType w:val="multilevel"/>
    <w:tmpl w:val="99DAE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CD6949"/>
    <w:multiLevelType w:val="multilevel"/>
    <w:tmpl w:val="A6F2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862A80"/>
    <w:multiLevelType w:val="multilevel"/>
    <w:tmpl w:val="3AF658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EB4950"/>
    <w:multiLevelType w:val="multilevel"/>
    <w:tmpl w:val="AD447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C24BAD"/>
    <w:multiLevelType w:val="multilevel"/>
    <w:tmpl w:val="C82A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902B5"/>
    <w:multiLevelType w:val="multilevel"/>
    <w:tmpl w:val="0B56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186AE6"/>
    <w:multiLevelType w:val="multilevel"/>
    <w:tmpl w:val="7D42B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4313F2"/>
    <w:multiLevelType w:val="multilevel"/>
    <w:tmpl w:val="E086F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8A2756"/>
    <w:multiLevelType w:val="multilevel"/>
    <w:tmpl w:val="A610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FE780E"/>
    <w:multiLevelType w:val="multilevel"/>
    <w:tmpl w:val="06180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9E31C7"/>
    <w:multiLevelType w:val="multilevel"/>
    <w:tmpl w:val="B2DAE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791926"/>
    <w:multiLevelType w:val="multilevel"/>
    <w:tmpl w:val="01383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EE1FB7"/>
    <w:multiLevelType w:val="multilevel"/>
    <w:tmpl w:val="BA3E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39291E"/>
    <w:multiLevelType w:val="multilevel"/>
    <w:tmpl w:val="48F08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0D36775"/>
    <w:multiLevelType w:val="multilevel"/>
    <w:tmpl w:val="83BAF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866F70"/>
    <w:multiLevelType w:val="hybridMultilevel"/>
    <w:tmpl w:val="56509226"/>
    <w:lvl w:ilvl="0" w:tplc="DADCBE14">
      <w:start w:val="1"/>
      <w:numFmt w:val="taiwaneseCountingThousand"/>
      <w:suff w:val="nothing"/>
      <w:lvlText w:val="%1、"/>
      <w:lvlJc w:val="left"/>
      <w:pPr>
        <w:ind w:left="480" w:hanging="480"/>
      </w:pPr>
      <w:rPr>
        <w:rFonts w:asciiTheme="minorHAnsi" w:hAnsiTheme="minorHAnsi" w:hint="default"/>
        <w:b/>
        <w:bCs/>
        <w:lang w:val="en-US"/>
      </w:rPr>
    </w:lvl>
    <w:lvl w:ilvl="1" w:tplc="69648B34">
      <w:start w:val="1"/>
      <w:numFmt w:val="taiwaneseCountingThousand"/>
      <w:suff w:val="nothing"/>
      <w:lvlText w:val="(%2)"/>
      <w:lvlJc w:val="left"/>
      <w:pPr>
        <w:ind w:left="960" w:hanging="480"/>
      </w:pPr>
      <w:rPr>
        <w:rFonts w:ascii="標楷體" w:eastAsia="標楷體" w:hAnsi="標楷體" w:hint="default"/>
      </w:rPr>
    </w:lvl>
    <w:lvl w:ilvl="2" w:tplc="CB565994">
      <w:start w:val="1"/>
      <w:numFmt w:val="decimal"/>
      <w:lvlText w:val="%3."/>
      <w:lvlJc w:val="left"/>
      <w:pPr>
        <w:ind w:left="1440" w:hanging="480"/>
      </w:pPr>
      <w:rPr>
        <w:rFonts w:eastAsia="標" w:hint="eastAsia"/>
      </w:rPr>
    </w:lvl>
    <w:lvl w:ilvl="3" w:tplc="B1349ECE">
      <w:start w:val="1"/>
      <w:numFmt w:val="decimal"/>
      <w:lvlText w:val="(%4)"/>
      <w:lvlJc w:val="left"/>
      <w:pPr>
        <w:ind w:left="1920" w:hanging="480"/>
      </w:pPr>
      <w:rPr>
        <w:rFonts w:hint="eastAsia"/>
      </w:rPr>
    </w:lvl>
    <w:lvl w:ilvl="4" w:tplc="04090011">
      <w:start w:val="1"/>
      <w:numFmt w:val="upp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C87B2E"/>
    <w:multiLevelType w:val="multilevel"/>
    <w:tmpl w:val="C412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A54051"/>
    <w:multiLevelType w:val="multilevel"/>
    <w:tmpl w:val="412E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706A04"/>
    <w:multiLevelType w:val="hybridMultilevel"/>
    <w:tmpl w:val="769EE5BC"/>
    <w:lvl w:ilvl="0" w:tplc="149264E0">
      <w:start w:val="1"/>
      <w:numFmt w:val="decimal"/>
      <w:lvlText w:val="%1."/>
      <w:lvlJc w:val="left"/>
      <w:pPr>
        <w:ind w:left="1440" w:hanging="482"/>
      </w:pPr>
      <w:rPr>
        <w:rFonts w:eastAsia="標"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803807"/>
    <w:multiLevelType w:val="hybridMultilevel"/>
    <w:tmpl w:val="1D6AD936"/>
    <w:lvl w:ilvl="0" w:tplc="22905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317640"/>
    <w:multiLevelType w:val="multilevel"/>
    <w:tmpl w:val="74F2D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4342D3"/>
    <w:multiLevelType w:val="multilevel"/>
    <w:tmpl w:val="CD52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540497"/>
    <w:multiLevelType w:val="multilevel"/>
    <w:tmpl w:val="7720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9A539B"/>
    <w:multiLevelType w:val="multilevel"/>
    <w:tmpl w:val="4B9C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6B109F"/>
    <w:multiLevelType w:val="hybridMultilevel"/>
    <w:tmpl w:val="46EE9F76"/>
    <w:lvl w:ilvl="0" w:tplc="36BC333C">
      <w:start w:val="1"/>
      <w:numFmt w:val="decimal"/>
      <w:suff w:val="nothing"/>
      <w:lvlText w:val="%1."/>
      <w:lvlJc w:val="left"/>
      <w:pPr>
        <w:ind w:left="1604" w:hanging="480"/>
      </w:pPr>
      <w:rPr>
        <w:rFonts w:hint="eastAsia"/>
      </w:rPr>
    </w:lvl>
    <w:lvl w:ilvl="1" w:tplc="B1349ECE">
      <w:start w:val="1"/>
      <w:numFmt w:val="decimal"/>
      <w:lvlText w:val="(%2)"/>
      <w:lvlJc w:val="left"/>
      <w:pPr>
        <w:ind w:left="2084" w:hanging="480"/>
      </w:pPr>
      <w:rPr>
        <w:rFonts w:hint="eastAsia"/>
      </w:rPr>
    </w:lvl>
    <w:lvl w:ilvl="2" w:tplc="0409001B" w:tentative="1">
      <w:start w:val="1"/>
      <w:numFmt w:val="lowerRoman"/>
      <w:lvlText w:val="%3."/>
      <w:lvlJc w:val="right"/>
      <w:pPr>
        <w:ind w:left="2564" w:hanging="480"/>
      </w:pPr>
    </w:lvl>
    <w:lvl w:ilvl="3" w:tplc="0409000F" w:tentative="1">
      <w:start w:val="1"/>
      <w:numFmt w:val="decimal"/>
      <w:lvlText w:val="%4."/>
      <w:lvlJc w:val="left"/>
      <w:pPr>
        <w:ind w:left="3044" w:hanging="480"/>
      </w:pPr>
    </w:lvl>
    <w:lvl w:ilvl="4" w:tplc="04090019" w:tentative="1">
      <w:start w:val="1"/>
      <w:numFmt w:val="ideographTraditional"/>
      <w:lvlText w:val="%5、"/>
      <w:lvlJc w:val="left"/>
      <w:pPr>
        <w:ind w:left="3524" w:hanging="480"/>
      </w:pPr>
    </w:lvl>
    <w:lvl w:ilvl="5" w:tplc="0409001B" w:tentative="1">
      <w:start w:val="1"/>
      <w:numFmt w:val="lowerRoman"/>
      <w:lvlText w:val="%6."/>
      <w:lvlJc w:val="right"/>
      <w:pPr>
        <w:ind w:left="4004" w:hanging="480"/>
      </w:pPr>
    </w:lvl>
    <w:lvl w:ilvl="6" w:tplc="0409000F" w:tentative="1">
      <w:start w:val="1"/>
      <w:numFmt w:val="decimal"/>
      <w:lvlText w:val="%7."/>
      <w:lvlJc w:val="left"/>
      <w:pPr>
        <w:ind w:left="4484" w:hanging="480"/>
      </w:pPr>
    </w:lvl>
    <w:lvl w:ilvl="7" w:tplc="04090019" w:tentative="1">
      <w:start w:val="1"/>
      <w:numFmt w:val="ideographTraditional"/>
      <w:lvlText w:val="%8、"/>
      <w:lvlJc w:val="left"/>
      <w:pPr>
        <w:ind w:left="4964" w:hanging="480"/>
      </w:pPr>
    </w:lvl>
    <w:lvl w:ilvl="8" w:tplc="0409001B" w:tentative="1">
      <w:start w:val="1"/>
      <w:numFmt w:val="lowerRoman"/>
      <w:lvlText w:val="%9."/>
      <w:lvlJc w:val="right"/>
      <w:pPr>
        <w:ind w:left="5444" w:hanging="480"/>
      </w:pPr>
    </w:lvl>
  </w:abstractNum>
  <w:abstractNum w:abstractNumId="39" w15:restartNumberingAfterBreak="0">
    <w:nsid w:val="74606825"/>
    <w:multiLevelType w:val="multilevel"/>
    <w:tmpl w:val="62084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332231"/>
    <w:multiLevelType w:val="multilevel"/>
    <w:tmpl w:val="D144A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B070B4"/>
    <w:multiLevelType w:val="multilevel"/>
    <w:tmpl w:val="1270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207664">
    <w:abstractNumId w:val="5"/>
  </w:num>
  <w:num w:numId="2" w16cid:durableId="2119987696">
    <w:abstractNumId w:val="10"/>
  </w:num>
  <w:num w:numId="3" w16cid:durableId="1897819640">
    <w:abstractNumId w:val="1"/>
  </w:num>
  <w:num w:numId="4" w16cid:durableId="75829524">
    <w:abstractNumId w:val="5"/>
  </w:num>
  <w:num w:numId="5" w16cid:durableId="517500954">
    <w:abstractNumId w:val="5"/>
  </w:num>
  <w:num w:numId="6" w16cid:durableId="1217399545">
    <w:abstractNumId w:val="5"/>
  </w:num>
  <w:num w:numId="7" w16cid:durableId="149710516">
    <w:abstractNumId w:val="5"/>
  </w:num>
  <w:num w:numId="8" w16cid:durableId="1140999058">
    <w:abstractNumId w:val="5"/>
  </w:num>
  <w:num w:numId="9" w16cid:durableId="577205061">
    <w:abstractNumId w:val="5"/>
  </w:num>
  <w:num w:numId="10" w16cid:durableId="459419880">
    <w:abstractNumId w:val="5"/>
  </w:num>
  <w:num w:numId="11" w16cid:durableId="1049500081">
    <w:abstractNumId w:val="5"/>
  </w:num>
  <w:num w:numId="12" w16cid:durableId="13270799">
    <w:abstractNumId w:val="5"/>
  </w:num>
  <w:num w:numId="13" w16cid:durableId="1272280514">
    <w:abstractNumId w:val="5"/>
  </w:num>
  <w:num w:numId="14" w16cid:durableId="1838688733">
    <w:abstractNumId w:val="5"/>
  </w:num>
  <w:num w:numId="15" w16cid:durableId="1162551076">
    <w:abstractNumId w:val="5"/>
  </w:num>
  <w:num w:numId="16" w16cid:durableId="1434859332">
    <w:abstractNumId w:val="5"/>
  </w:num>
  <w:num w:numId="17" w16cid:durableId="1272514219">
    <w:abstractNumId w:val="5"/>
  </w:num>
  <w:num w:numId="18" w16cid:durableId="26755976">
    <w:abstractNumId w:val="10"/>
  </w:num>
  <w:num w:numId="19" w16cid:durableId="831070373">
    <w:abstractNumId w:val="10"/>
    <w:lvlOverride w:ilvl="0">
      <w:startOverride w:val="1"/>
    </w:lvlOverride>
  </w:num>
  <w:num w:numId="20" w16cid:durableId="672417348">
    <w:abstractNumId w:val="5"/>
  </w:num>
  <w:num w:numId="21" w16cid:durableId="192960337">
    <w:abstractNumId w:val="10"/>
  </w:num>
  <w:num w:numId="22" w16cid:durableId="384183879">
    <w:abstractNumId w:val="25"/>
  </w:num>
  <w:num w:numId="23" w16cid:durableId="345133766">
    <w:abstractNumId w:val="17"/>
  </w:num>
  <w:num w:numId="24" w16cid:durableId="1343817590">
    <w:abstractNumId w:val="27"/>
  </w:num>
  <w:num w:numId="25" w16cid:durableId="1291202436">
    <w:abstractNumId w:val="5"/>
  </w:num>
  <w:num w:numId="26" w16cid:durableId="1264264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8820116">
    <w:abstractNumId w:val="5"/>
  </w:num>
  <w:num w:numId="28" w16cid:durableId="1643658408">
    <w:abstractNumId w:val="30"/>
  </w:num>
  <w:num w:numId="29" w16cid:durableId="965429322">
    <w:abstractNumId w:val="30"/>
  </w:num>
  <w:num w:numId="30" w16cid:durableId="1002124856">
    <w:abstractNumId w:val="20"/>
  </w:num>
  <w:num w:numId="31" w16cid:durableId="1261062929">
    <w:abstractNumId w:val="20"/>
  </w:num>
  <w:num w:numId="32" w16cid:durableId="1749302585">
    <w:abstractNumId w:val="5"/>
  </w:num>
  <w:num w:numId="33" w16cid:durableId="12340035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9360356">
    <w:abstractNumId w:val="5"/>
  </w:num>
  <w:num w:numId="35" w16cid:durableId="1834832737">
    <w:abstractNumId w:val="28"/>
  </w:num>
  <w:num w:numId="36" w16cid:durableId="1169563692">
    <w:abstractNumId w:val="32"/>
  </w:num>
  <w:num w:numId="37" w16cid:durableId="856773207">
    <w:abstractNumId w:val="38"/>
  </w:num>
  <w:num w:numId="38" w16cid:durableId="216477458">
    <w:abstractNumId w:val="3"/>
  </w:num>
  <w:num w:numId="39" w16cid:durableId="1196848051">
    <w:abstractNumId w:val="4"/>
  </w:num>
  <w:num w:numId="40" w16cid:durableId="2142266948">
    <w:abstractNumId w:val="6"/>
  </w:num>
  <w:num w:numId="41" w16cid:durableId="1354068408">
    <w:abstractNumId w:val="33"/>
  </w:num>
  <w:num w:numId="42" w16cid:durableId="8839514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351859">
    <w:abstractNumId w:val="5"/>
  </w:num>
  <w:num w:numId="44" w16cid:durableId="1567643716">
    <w:abstractNumId w:val="5"/>
  </w:num>
  <w:num w:numId="45" w16cid:durableId="1756975569">
    <w:abstractNumId w:val="5"/>
  </w:num>
  <w:num w:numId="46" w16cid:durableId="1490362345">
    <w:abstractNumId w:val="5"/>
  </w:num>
  <w:num w:numId="47" w16cid:durableId="1226144723">
    <w:abstractNumId w:val="5"/>
  </w:num>
  <w:num w:numId="48" w16cid:durableId="1242134667">
    <w:abstractNumId w:val="5"/>
  </w:num>
  <w:num w:numId="49" w16cid:durableId="1329794731">
    <w:abstractNumId w:val="5"/>
  </w:num>
  <w:num w:numId="50" w16cid:durableId="756634319">
    <w:abstractNumId w:val="5"/>
  </w:num>
  <w:num w:numId="51" w16cid:durableId="1767118636">
    <w:abstractNumId w:val="5"/>
  </w:num>
  <w:num w:numId="52" w16cid:durableId="399862306">
    <w:abstractNumId w:val="5"/>
  </w:num>
  <w:num w:numId="53" w16cid:durableId="813989251">
    <w:abstractNumId w:val="5"/>
  </w:num>
  <w:num w:numId="54" w16cid:durableId="82264850">
    <w:abstractNumId w:val="5"/>
  </w:num>
  <w:num w:numId="55" w16cid:durableId="1107307224">
    <w:abstractNumId w:val="5"/>
  </w:num>
  <w:num w:numId="56" w16cid:durableId="961301035">
    <w:abstractNumId w:val="5"/>
  </w:num>
  <w:num w:numId="57" w16cid:durableId="1278173443">
    <w:abstractNumId w:val="5"/>
  </w:num>
  <w:num w:numId="58" w16cid:durableId="1707026451">
    <w:abstractNumId w:val="5"/>
  </w:num>
  <w:num w:numId="59" w16cid:durableId="1663584192">
    <w:abstractNumId w:val="5"/>
  </w:num>
  <w:num w:numId="60" w16cid:durableId="847138271">
    <w:abstractNumId w:val="5"/>
  </w:num>
  <w:num w:numId="61" w16cid:durableId="1452699441">
    <w:abstractNumId w:val="5"/>
  </w:num>
  <w:num w:numId="62" w16cid:durableId="195626007">
    <w:abstractNumId w:val="5"/>
  </w:num>
  <w:num w:numId="63" w16cid:durableId="1160003050">
    <w:abstractNumId w:val="5"/>
  </w:num>
  <w:num w:numId="64" w16cid:durableId="1610506762">
    <w:abstractNumId w:val="5"/>
  </w:num>
  <w:num w:numId="65" w16cid:durableId="1779593602">
    <w:abstractNumId w:val="5"/>
  </w:num>
  <w:num w:numId="66" w16cid:durableId="1187714196">
    <w:abstractNumId w:val="5"/>
  </w:num>
  <w:num w:numId="67" w16cid:durableId="1497376618">
    <w:abstractNumId w:val="5"/>
  </w:num>
  <w:num w:numId="68" w16cid:durableId="433601522">
    <w:abstractNumId w:val="5"/>
  </w:num>
  <w:num w:numId="69" w16cid:durableId="1254557420">
    <w:abstractNumId w:val="5"/>
  </w:num>
  <w:num w:numId="70" w16cid:durableId="1294361941">
    <w:abstractNumId w:val="5"/>
  </w:num>
  <w:num w:numId="71" w16cid:durableId="760104284">
    <w:abstractNumId w:val="5"/>
  </w:num>
  <w:num w:numId="72" w16cid:durableId="28534454">
    <w:abstractNumId w:val="5"/>
  </w:num>
  <w:num w:numId="73" w16cid:durableId="1735930076">
    <w:abstractNumId w:val="5"/>
  </w:num>
  <w:num w:numId="74" w16cid:durableId="1902331338">
    <w:abstractNumId w:val="5"/>
  </w:num>
  <w:num w:numId="75" w16cid:durableId="1781366683">
    <w:abstractNumId w:val="5"/>
  </w:num>
  <w:num w:numId="76" w16cid:durableId="1245186553">
    <w:abstractNumId w:val="5"/>
  </w:num>
  <w:num w:numId="77" w16cid:durableId="34428908">
    <w:abstractNumId w:val="5"/>
  </w:num>
  <w:num w:numId="78" w16cid:durableId="1005474681">
    <w:abstractNumId w:val="5"/>
  </w:num>
  <w:num w:numId="79" w16cid:durableId="760490657">
    <w:abstractNumId w:val="5"/>
  </w:num>
  <w:num w:numId="80" w16cid:durableId="1972785691">
    <w:abstractNumId w:val="5"/>
  </w:num>
  <w:num w:numId="81" w16cid:durableId="1494106656">
    <w:abstractNumId w:val="5"/>
  </w:num>
  <w:num w:numId="82" w16cid:durableId="1339697354">
    <w:abstractNumId w:val="5"/>
  </w:num>
  <w:num w:numId="83" w16cid:durableId="992608346">
    <w:abstractNumId w:val="5"/>
  </w:num>
  <w:num w:numId="84" w16cid:durableId="1878543470">
    <w:abstractNumId w:val="5"/>
  </w:num>
  <w:num w:numId="85" w16cid:durableId="1278559379">
    <w:abstractNumId w:val="5"/>
  </w:num>
  <w:num w:numId="86" w16cid:durableId="2067946665">
    <w:abstractNumId w:val="5"/>
  </w:num>
  <w:num w:numId="87" w16cid:durableId="1011029975">
    <w:abstractNumId w:val="5"/>
  </w:num>
  <w:num w:numId="88" w16cid:durableId="937103629">
    <w:abstractNumId w:val="5"/>
  </w:num>
  <w:num w:numId="89" w16cid:durableId="2083599513">
    <w:abstractNumId w:val="5"/>
  </w:num>
  <w:num w:numId="90" w16cid:durableId="471095968">
    <w:abstractNumId w:val="5"/>
  </w:num>
  <w:num w:numId="91" w16cid:durableId="1322923993">
    <w:abstractNumId w:val="5"/>
  </w:num>
  <w:num w:numId="92" w16cid:durableId="1983734710">
    <w:abstractNumId w:val="5"/>
  </w:num>
  <w:num w:numId="93" w16cid:durableId="1178613467">
    <w:abstractNumId w:val="5"/>
  </w:num>
  <w:num w:numId="94" w16cid:durableId="885875681">
    <w:abstractNumId w:val="5"/>
  </w:num>
  <w:num w:numId="95" w16cid:durableId="1714692903">
    <w:abstractNumId w:val="5"/>
  </w:num>
  <w:num w:numId="96" w16cid:durableId="1991519902">
    <w:abstractNumId w:val="5"/>
  </w:num>
  <w:num w:numId="97" w16cid:durableId="134689798">
    <w:abstractNumId w:val="5"/>
  </w:num>
  <w:num w:numId="98" w16cid:durableId="292105941">
    <w:abstractNumId w:val="5"/>
  </w:num>
  <w:num w:numId="99" w16cid:durableId="2086560712">
    <w:abstractNumId w:val="5"/>
  </w:num>
  <w:num w:numId="100" w16cid:durableId="1019089442">
    <w:abstractNumId w:val="5"/>
  </w:num>
  <w:num w:numId="101" w16cid:durableId="1497726809">
    <w:abstractNumId w:val="5"/>
  </w:num>
  <w:num w:numId="102" w16cid:durableId="1580017461">
    <w:abstractNumId w:val="5"/>
  </w:num>
  <w:num w:numId="103" w16cid:durableId="1123429292">
    <w:abstractNumId w:val="5"/>
  </w:num>
  <w:num w:numId="104" w16cid:durableId="651757925">
    <w:abstractNumId w:val="5"/>
  </w:num>
  <w:num w:numId="105" w16cid:durableId="1922836732">
    <w:abstractNumId w:val="5"/>
  </w:num>
  <w:num w:numId="106" w16cid:durableId="879778234">
    <w:abstractNumId w:val="5"/>
  </w:num>
  <w:num w:numId="107" w16cid:durableId="1731029075">
    <w:abstractNumId w:val="5"/>
  </w:num>
  <w:num w:numId="108" w16cid:durableId="1592928737">
    <w:abstractNumId w:val="5"/>
  </w:num>
  <w:num w:numId="109" w16cid:durableId="1300693171">
    <w:abstractNumId w:val="5"/>
  </w:num>
  <w:num w:numId="110" w16cid:durableId="1502087984">
    <w:abstractNumId w:val="5"/>
  </w:num>
  <w:num w:numId="111" w16cid:durableId="199175295">
    <w:abstractNumId w:val="5"/>
  </w:num>
  <w:num w:numId="112" w16cid:durableId="1376662433">
    <w:abstractNumId w:val="5"/>
  </w:num>
  <w:num w:numId="113" w16cid:durableId="1973826661">
    <w:abstractNumId w:val="5"/>
  </w:num>
  <w:num w:numId="114" w16cid:durableId="1811092115">
    <w:abstractNumId w:val="5"/>
  </w:num>
  <w:num w:numId="115" w16cid:durableId="1397701896">
    <w:abstractNumId w:val="5"/>
  </w:num>
  <w:num w:numId="116" w16cid:durableId="212812859">
    <w:abstractNumId w:val="5"/>
  </w:num>
  <w:num w:numId="117" w16cid:durableId="1822891366">
    <w:abstractNumId w:val="5"/>
  </w:num>
  <w:num w:numId="118" w16cid:durableId="959264726">
    <w:abstractNumId w:val="5"/>
  </w:num>
  <w:num w:numId="119" w16cid:durableId="1985350772">
    <w:abstractNumId w:val="5"/>
  </w:num>
  <w:num w:numId="120" w16cid:durableId="1782916152">
    <w:abstractNumId w:val="5"/>
  </w:num>
  <w:num w:numId="121" w16cid:durableId="1697459248">
    <w:abstractNumId w:val="5"/>
  </w:num>
  <w:num w:numId="122" w16cid:durableId="1187864071">
    <w:abstractNumId w:val="5"/>
  </w:num>
  <w:num w:numId="123" w16cid:durableId="782305340">
    <w:abstractNumId w:val="5"/>
  </w:num>
  <w:num w:numId="124" w16cid:durableId="1484541710">
    <w:abstractNumId w:val="5"/>
  </w:num>
  <w:num w:numId="125" w16cid:durableId="353576416">
    <w:abstractNumId w:val="5"/>
  </w:num>
  <w:num w:numId="126" w16cid:durableId="1813016923">
    <w:abstractNumId w:val="5"/>
  </w:num>
  <w:num w:numId="127" w16cid:durableId="897210881">
    <w:abstractNumId w:val="5"/>
  </w:num>
  <w:num w:numId="128" w16cid:durableId="553349374">
    <w:abstractNumId w:val="5"/>
  </w:num>
  <w:num w:numId="129" w16cid:durableId="1581595918">
    <w:abstractNumId w:val="5"/>
  </w:num>
  <w:num w:numId="130" w16cid:durableId="582378280">
    <w:abstractNumId w:val="5"/>
  </w:num>
  <w:num w:numId="131" w16cid:durableId="1878272829">
    <w:abstractNumId w:val="5"/>
  </w:num>
  <w:num w:numId="132" w16cid:durableId="1366826127">
    <w:abstractNumId w:val="5"/>
  </w:num>
  <w:num w:numId="133" w16cid:durableId="109709131">
    <w:abstractNumId w:val="5"/>
  </w:num>
  <w:num w:numId="134" w16cid:durableId="1666085783">
    <w:abstractNumId w:val="5"/>
  </w:num>
  <w:num w:numId="135" w16cid:durableId="649288939">
    <w:abstractNumId w:val="5"/>
  </w:num>
  <w:num w:numId="136" w16cid:durableId="2084444056">
    <w:abstractNumId w:val="5"/>
  </w:num>
  <w:num w:numId="137" w16cid:durableId="463937330">
    <w:abstractNumId w:val="5"/>
  </w:num>
  <w:num w:numId="138" w16cid:durableId="149904890">
    <w:abstractNumId w:val="5"/>
  </w:num>
  <w:num w:numId="139" w16cid:durableId="320545814">
    <w:abstractNumId w:val="5"/>
  </w:num>
  <w:num w:numId="140" w16cid:durableId="1684089808">
    <w:abstractNumId w:val="5"/>
  </w:num>
  <w:num w:numId="141" w16cid:durableId="1877934315">
    <w:abstractNumId w:val="5"/>
  </w:num>
  <w:num w:numId="142" w16cid:durableId="1291588791">
    <w:abstractNumId w:val="5"/>
  </w:num>
  <w:num w:numId="143" w16cid:durableId="2034376583">
    <w:abstractNumId w:val="5"/>
  </w:num>
  <w:num w:numId="144" w16cid:durableId="252973584">
    <w:abstractNumId w:val="5"/>
  </w:num>
  <w:num w:numId="145" w16cid:durableId="1118135521">
    <w:abstractNumId w:val="5"/>
  </w:num>
  <w:num w:numId="146" w16cid:durableId="981426936">
    <w:abstractNumId w:val="5"/>
  </w:num>
  <w:num w:numId="147" w16cid:durableId="570887511">
    <w:abstractNumId w:val="5"/>
  </w:num>
  <w:num w:numId="148" w16cid:durableId="43218153">
    <w:abstractNumId w:val="5"/>
  </w:num>
  <w:num w:numId="149" w16cid:durableId="1082944840">
    <w:abstractNumId w:val="5"/>
  </w:num>
  <w:num w:numId="150" w16cid:durableId="1950241358">
    <w:abstractNumId w:val="5"/>
  </w:num>
  <w:num w:numId="151" w16cid:durableId="1059016887">
    <w:abstractNumId w:val="25"/>
  </w:num>
  <w:num w:numId="152" w16cid:durableId="608776996">
    <w:abstractNumId w:val="5"/>
  </w:num>
  <w:num w:numId="153" w16cid:durableId="1083145074">
    <w:abstractNumId w:val="5"/>
  </w:num>
  <w:num w:numId="154" w16cid:durableId="904949158">
    <w:abstractNumId w:val="5"/>
  </w:num>
  <w:num w:numId="155" w16cid:durableId="1631784598">
    <w:abstractNumId w:val="5"/>
  </w:num>
  <w:num w:numId="156" w16cid:durableId="1166672194">
    <w:abstractNumId w:val="5"/>
  </w:num>
  <w:num w:numId="157" w16cid:durableId="581719760">
    <w:abstractNumId w:val="5"/>
  </w:num>
  <w:num w:numId="158" w16cid:durableId="1797986053">
    <w:abstractNumId w:val="31"/>
    <w:lvlOverride w:ilvl="0">
      <w:lvl w:ilvl="0">
        <w:numFmt w:val="bullet"/>
        <w:lvlText w:val=""/>
        <w:lvlJc w:val="left"/>
        <w:pPr>
          <w:tabs>
            <w:tab w:val="num" w:pos="720"/>
          </w:tabs>
          <w:ind w:left="720" w:hanging="360"/>
        </w:pPr>
        <w:rPr>
          <w:rFonts w:ascii="Symbol" w:hAnsi="Symbol" w:hint="default"/>
          <w:sz w:val="20"/>
        </w:rPr>
      </w:lvl>
    </w:lvlOverride>
  </w:num>
  <w:num w:numId="159" w16cid:durableId="1077829288">
    <w:abstractNumId w:val="31"/>
    <w:lvlOverride w:ilvl="0">
      <w:lvl w:ilvl="0">
        <w:numFmt w:val="bullet"/>
        <w:lvlText w:val=""/>
        <w:lvlJc w:val="left"/>
        <w:pPr>
          <w:tabs>
            <w:tab w:val="num" w:pos="720"/>
          </w:tabs>
          <w:ind w:left="720" w:hanging="360"/>
        </w:pPr>
        <w:rPr>
          <w:rFonts w:ascii="Symbol" w:hAnsi="Symbol" w:hint="default"/>
          <w:sz w:val="20"/>
        </w:rPr>
      </w:lvl>
    </w:lvlOverride>
  </w:num>
  <w:num w:numId="160" w16cid:durableId="1542132584">
    <w:abstractNumId w:val="31"/>
    <w:lvlOverride w:ilvl="0">
      <w:lvl w:ilvl="0">
        <w:numFmt w:val="bullet"/>
        <w:lvlText w:val=""/>
        <w:lvlJc w:val="left"/>
        <w:pPr>
          <w:tabs>
            <w:tab w:val="num" w:pos="720"/>
          </w:tabs>
          <w:ind w:left="720" w:hanging="360"/>
        </w:pPr>
        <w:rPr>
          <w:rFonts w:ascii="Symbol" w:hAnsi="Symbol" w:hint="default"/>
          <w:sz w:val="20"/>
        </w:rPr>
      </w:lvl>
    </w:lvlOverride>
  </w:num>
  <w:num w:numId="161" w16cid:durableId="2115441791">
    <w:abstractNumId w:val="31"/>
    <w:lvlOverride w:ilvl="0">
      <w:lvl w:ilvl="0">
        <w:numFmt w:val="bullet"/>
        <w:lvlText w:val=""/>
        <w:lvlJc w:val="left"/>
        <w:pPr>
          <w:tabs>
            <w:tab w:val="num" w:pos="720"/>
          </w:tabs>
          <w:ind w:left="720" w:hanging="360"/>
        </w:pPr>
        <w:rPr>
          <w:rFonts w:ascii="Symbol" w:hAnsi="Symbol" w:hint="default"/>
          <w:sz w:val="20"/>
        </w:rPr>
      </w:lvl>
    </w:lvlOverride>
  </w:num>
  <w:num w:numId="162" w16cid:durableId="52773624">
    <w:abstractNumId w:val="31"/>
    <w:lvlOverride w:ilvl="0">
      <w:lvl w:ilvl="0">
        <w:numFmt w:val="bullet"/>
        <w:lvlText w:val=""/>
        <w:lvlJc w:val="left"/>
        <w:pPr>
          <w:tabs>
            <w:tab w:val="num" w:pos="720"/>
          </w:tabs>
          <w:ind w:left="720" w:hanging="360"/>
        </w:pPr>
        <w:rPr>
          <w:rFonts w:ascii="Symbol" w:hAnsi="Symbol" w:hint="default"/>
          <w:sz w:val="20"/>
        </w:rPr>
      </w:lvl>
    </w:lvlOverride>
  </w:num>
  <w:num w:numId="163" w16cid:durableId="2141341363">
    <w:abstractNumId w:val="5"/>
  </w:num>
  <w:num w:numId="164" w16cid:durableId="27536930">
    <w:abstractNumId w:val="5"/>
  </w:num>
  <w:num w:numId="165" w16cid:durableId="552085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394625293">
    <w:abstractNumId w:val="5"/>
  </w:num>
  <w:num w:numId="167" w16cid:durableId="1569147068">
    <w:abstractNumId w:val="5"/>
  </w:num>
  <w:num w:numId="168" w16cid:durableId="628827206">
    <w:abstractNumId w:val="5"/>
  </w:num>
  <w:num w:numId="169" w16cid:durableId="661280937">
    <w:abstractNumId w:val="5"/>
  </w:num>
  <w:num w:numId="170" w16cid:durableId="470750024">
    <w:abstractNumId w:val="5"/>
  </w:num>
  <w:num w:numId="171" w16cid:durableId="2051344594">
    <w:abstractNumId w:val="5"/>
  </w:num>
  <w:num w:numId="172" w16cid:durableId="245697287">
    <w:abstractNumId w:val="5"/>
  </w:num>
  <w:num w:numId="173" w16cid:durableId="1550918370">
    <w:abstractNumId w:val="5"/>
  </w:num>
  <w:num w:numId="174" w16cid:durableId="767047774">
    <w:abstractNumId w:val="5"/>
  </w:num>
  <w:num w:numId="175" w16cid:durableId="34740916">
    <w:abstractNumId w:val="5"/>
  </w:num>
  <w:num w:numId="176" w16cid:durableId="2085178130">
    <w:abstractNumId w:val="5"/>
  </w:num>
  <w:num w:numId="177" w16cid:durableId="1301307290">
    <w:abstractNumId w:val="5"/>
  </w:num>
  <w:num w:numId="178" w16cid:durableId="2119374904">
    <w:abstractNumId w:val="5"/>
  </w:num>
  <w:num w:numId="179" w16cid:durableId="610015182">
    <w:abstractNumId w:val="5"/>
  </w:num>
  <w:num w:numId="180" w16cid:durableId="831524080">
    <w:abstractNumId w:val="5"/>
  </w:num>
  <w:num w:numId="181" w16cid:durableId="1382554272">
    <w:abstractNumId w:val="5"/>
  </w:num>
  <w:num w:numId="182" w16cid:durableId="844824748">
    <w:abstractNumId w:val="5"/>
  </w:num>
  <w:num w:numId="183" w16cid:durableId="1878656924">
    <w:abstractNumId w:val="5"/>
  </w:num>
  <w:num w:numId="184" w16cid:durableId="1199129325">
    <w:abstractNumId w:val="5"/>
  </w:num>
  <w:num w:numId="185" w16cid:durableId="1775632594">
    <w:abstractNumId w:val="5"/>
  </w:num>
  <w:num w:numId="186" w16cid:durableId="62215892">
    <w:abstractNumId w:val="5"/>
  </w:num>
  <w:num w:numId="187" w16cid:durableId="1049915126">
    <w:abstractNumId w:val="5"/>
  </w:num>
  <w:num w:numId="188" w16cid:durableId="605697579">
    <w:abstractNumId w:val="5"/>
  </w:num>
  <w:num w:numId="189" w16cid:durableId="68620074">
    <w:abstractNumId w:val="5"/>
  </w:num>
  <w:num w:numId="190" w16cid:durableId="1575041103">
    <w:abstractNumId w:val="5"/>
  </w:num>
  <w:num w:numId="191" w16cid:durableId="1297837326">
    <w:abstractNumId w:val="5"/>
  </w:num>
  <w:num w:numId="192" w16cid:durableId="399838090">
    <w:abstractNumId w:val="5"/>
  </w:num>
  <w:num w:numId="193" w16cid:durableId="835613902">
    <w:abstractNumId w:val="5"/>
  </w:num>
  <w:num w:numId="194" w16cid:durableId="735587502">
    <w:abstractNumId w:val="5"/>
  </w:num>
  <w:num w:numId="195" w16cid:durableId="1907105089">
    <w:abstractNumId w:val="25"/>
  </w:num>
  <w:num w:numId="196" w16cid:durableId="413433790">
    <w:abstractNumId w:val="5"/>
  </w:num>
  <w:num w:numId="197" w16cid:durableId="874194355">
    <w:abstractNumId w:val="5"/>
  </w:num>
  <w:num w:numId="198" w16cid:durableId="1870948458">
    <w:abstractNumId w:val="5"/>
  </w:num>
  <w:num w:numId="199" w16cid:durableId="1129126439">
    <w:abstractNumId w:val="5"/>
  </w:num>
  <w:num w:numId="200" w16cid:durableId="72624080">
    <w:abstractNumId w:val="5"/>
  </w:num>
  <w:num w:numId="201" w16cid:durableId="34544623">
    <w:abstractNumId w:val="5"/>
  </w:num>
  <w:num w:numId="202" w16cid:durableId="1487816434">
    <w:abstractNumId w:val="5"/>
  </w:num>
  <w:num w:numId="203" w16cid:durableId="142242660">
    <w:abstractNumId w:val="5"/>
  </w:num>
  <w:num w:numId="204" w16cid:durableId="1238176694">
    <w:abstractNumId w:val="5"/>
  </w:num>
  <w:num w:numId="205" w16cid:durableId="1766656382">
    <w:abstractNumId w:val="5"/>
  </w:num>
  <w:num w:numId="206" w16cid:durableId="108863523">
    <w:abstractNumId w:val="5"/>
  </w:num>
  <w:num w:numId="207" w16cid:durableId="437142842">
    <w:abstractNumId w:val="5"/>
  </w:num>
  <w:num w:numId="208" w16cid:durableId="160391542">
    <w:abstractNumId w:val="5"/>
  </w:num>
  <w:num w:numId="209" w16cid:durableId="22560582">
    <w:abstractNumId w:val="5"/>
  </w:num>
  <w:num w:numId="210" w16cid:durableId="1060439805">
    <w:abstractNumId w:val="5"/>
  </w:num>
  <w:num w:numId="211" w16cid:durableId="888765300">
    <w:abstractNumId w:val="5"/>
  </w:num>
  <w:num w:numId="212" w16cid:durableId="2100715929">
    <w:abstractNumId w:val="5"/>
  </w:num>
  <w:num w:numId="213" w16cid:durableId="2131196854">
    <w:abstractNumId w:val="5"/>
  </w:num>
  <w:num w:numId="214" w16cid:durableId="2076585495">
    <w:abstractNumId w:val="5"/>
  </w:num>
  <w:num w:numId="215" w16cid:durableId="346832375">
    <w:abstractNumId w:val="5"/>
  </w:num>
  <w:num w:numId="216" w16cid:durableId="1071849874">
    <w:abstractNumId w:val="5"/>
  </w:num>
  <w:num w:numId="217" w16cid:durableId="2025864991">
    <w:abstractNumId w:val="5"/>
  </w:num>
  <w:num w:numId="218" w16cid:durableId="2141222422">
    <w:abstractNumId w:val="5"/>
  </w:num>
  <w:num w:numId="219" w16cid:durableId="201553991">
    <w:abstractNumId w:val="5"/>
  </w:num>
  <w:num w:numId="220" w16cid:durableId="956526795">
    <w:abstractNumId w:val="5"/>
  </w:num>
  <w:num w:numId="221" w16cid:durableId="749085581">
    <w:abstractNumId w:val="5"/>
  </w:num>
  <w:num w:numId="222" w16cid:durableId="112091828">
    <w:abstractNumId w:val="5"/>
  </w:num>
  <w:num w:numId="223" w16cid:durableId="1169710692">
    <w:abstractNumId w:val="5"/>
  </w:num>
  <w:num w:numId="224" w16cid:durableId="1589541674">
    <w:abstractNumId w:val="5"/>
  </w:num>
  <w:num w:numId="225" w16cid:durableId="497962224">
    <w:abstractNumId w:val="5"/>
  </w:num>
  <w:num w:numId="226" w16cid:durableId="1796024158">
    <w:abstractNumId w:val="5"/>
  </w:num>
  <w:num w:numId="227" w16cid:durableId="1129007405">
    <w:abstractNumId w:val="5"/>
  </w:num>
  <w:num w:numId="228" w16cid:durableId="1770395208">
    <w:abstractNumId w:val="5"/>
  </w:num>
  <w:num w:numId="229" w16cid:durableId="611328013">
    <w:abstractNumId w:val="5"/>
  </w:num>
  <w:num w:numId="230" w16cid:durableId="2112777744">
    <w:abstractNumId w:val="5"/>
  </w:num>
  <w:num w:numId="231" w16cid:durableId="2130078444">
    <w:abstractNumId w:val="5"/>
  </w:num>
  <w:num w:numId="232" w16cid:durableId="1934583492">
    <w:abstractNumId w:val="5"/>
  </w:num>
  <w:num w:numId="233" w16cid:durableId="1858736828">
    <w:abstractNumId w:val="5"/>
  </w:num>
  <w:num w:numId="234" w16cid:durableId="885528240">
    <w:abstractNumId w:val="5"/>
  </w:num>
  <w:num w:numId="235" w16cid:durableId="414322124">
    <w:abstractNumId w:val="5"/>
  </w:num>
  <w:num w:numId="236" w16cid:durableId="1849563883">
    <w:abstractNumId w:val="5"/>
  </w:num>
  <w:num w:numId="237" w16cid:durableId="121507846">
    <w:abstractNumId w:val="5"/>
  </w:num>
  <w:num w:numId="238" w16cid:durableId="1044060832">
    <w:abstractNumId w:val="5"/>
  </w:num>
  <w:num w:numId="239" w16cid:durableId="381950881">
    <w:abstractNumId w:val="5"/>
  </w:num>
  <w:num w:numId="240" w16cid:durableId="989863231">
    <w:abstractNumId w:val="5"/>
  </w:num>
  <w:num w:numId="241" w16cid:durableId="1437024698">
    <w:abstractNumId w:val="5"/>
  </w:num>
  <w:num w:numId="242" w16cid:durableId="1612203373">
    <w:abstractNumId w:val="5"/>
  </w:num>
  <w:num w:numId="243" w16cid:durableId="463930791">
    <w:abstractNumId w:val="5"/>
  </w:num>
  <w:num w:numId="244" w16cid:durableId="1990547847">
    <w:abstractNumId w:val="5"/>
  </w:num>
  <w:num w:numId="245" w16cid:durableId="924386754">
    <w:abstractNumId w:val="5"/>
  </w:num>
  <w:num w:numId="246" w16cid:durableId="1221551721">
    <w:abstractNumId w:val="5"/>
  </w:num>
  <w:num w:numId="247" w16cid:durableId="1623489567">
    <w:abstractNumId w:val="5"/>
  </w:num>
  <w:num w:numId="248" w16cid:durableId="769816760">
    <w:abstractNumId w:val="5"/>
  </w:num>
  <w:num w:numId="249" w16cid:durableId="179659843">
    <w:abstractNumId w:val="5"/>
  </w:num>
  <w:num w:numId="250" w16cid:durableId="479618229">
    <w:abstractNumId w:val="5"/>
  </w:num>
  <w:num w:numId="251" w16cid:durableId="280696102">
    <w:abstractNumId w:val="5"/>
  </w:num>
  <w:num w:numId="252" w16cid:durableId="525682473">
    <w:abstractNumId w:val="5"/>
  </w:num>
  <w:num w:numId="253" w16cid:durableId="1128012864">
    <w:abstractNumId w:val="5"/>
  </w:num>
  <w:num w:numId="254" w16cid:durableId="1179543525">
    <w:abstractNumId w:val="2"/>
  </w:num>
  <w:num w:numId="255" w16cid:durableId="481385313">
    <w:abstractNumId w:val="5"/>
  </w:num>
  <w:num w:numId="256" w16cid:durableId="468285470">
    <w:abstractNumId w:val="5"/>
  </w:num>
  <w:num w:numId="257" w16cid:durableId="971397809">
    <w:abstractNumId w:val="5"/>
  </w:num>
  <w:num w:numId="258" w16cid:durableId="1368139558">
    <w:abstractNumId w:val="5"/>
  </w:num>
  <w:num w:numId="259" w16cid:durableId="636880692">
    <w:abstractNumId w:val="5"/>
  </w:num>
  <w:num w:numId="260" w16cid:durableId="778181716">
    <w:abstractNumId w:val="14"/>
  </w:num>
  <w:num w:numId="261" w16cid:durableId="1131008">
    <w:abstractNumId w:val="40"/>
  </w:num>
  <w:num w:numId="262" w16cid:durableId="514923254">
    <w:abstractNumId w:val="34"/>
  </w:num>
  <w:num w:numId="263" w16cid:durableId="296372072">
    <w:abstractNumId w:val="8"/>
  </w:num>
  <w:num w:numId="264" w16cid:durableId="2144348569">
    <w:abstractNumId w:val="13"/>
  </w:num>
  <w:num w:numId="265" w16cid:durableId="1658992590">
    <w:abstractNumId w:val="11"/>
  </w:num>
  <w:num w:numId="266" w16cid:durableId="1530989074">
    <w:abstractNumId w:val="26"/>
  </w:num>
  <w:num w:numId="267" w16cid:durableId="1761951648">
    <w:abstractNumId w:val="39"/>
  </w:num>
  <w:num w:numId="268" w16cid:durableId="691345307">
    <w:abstractNumId w:val="41"/>
  </w:num>
  <w:num w:numId="269" w16cid:durableId="159929506">
    <w:abstractNumId w:val="18"/>
  </w:num>
  <w:num w:numId="270" w16cid:durableId="1590692523">
    <w:abstractNumId w:val="5"/>
  </w:num>
  <w:num w:numId="271" w16cid:durableId="1874615946">
    <w:abstractNumId w:val="5"/>
  </w:num>
  <w:num w:numId="272" w16cid:durableId="220167668">
    <w:abstractNumId w:val="5"/>
  </w:num>
  <w:num w:numId="273" w16cid:durableId="1372001967">
    <w:abstractNumId w:val="5"/>
  </w:num>
  <w:num w:numId="274" w16cid:durableId="1456487364">
    <w:abstractNumId w:val="5"/>
  </w:num>
  <w:num w:numId="275" w16cid:durableId="1839464657">
    <w:abstractNumId w:val="5"/>
  </w:num>
  <w:num w:numId="276" w16cid:durableId="599069000">
    <w:abstractNumId w:val="5"/>
  </w:num>
  <w:num w:numId="277" w16cid:durableId="1334525593">
    <w:abstractNumId w:val="5"/>
  </w:num>
  <w:num w:numId="278" w16cid:durableId="817383011">
    <w:abstractNumId w:val="5"/>
  </w:num>
  <w:num w:numId="279" w16cid:durableId="1012148800">
    <w:abstractNumId w:val="5"/>
  </w:num>
  <w:num w:numId="280" w16cid:durableId="1315989383">
    <w:abstractNumId w:val="5"/>
  </w:num>
  <w:num w:numId="281" w16cid:durableId="652684158">
    <w:abstractNumId w:val="5"/>
  </w:num>
  <w:num w:numId="282" w16cid:durableId="186522966">
    <w:abstractNumId w:val="5"/>
  </w:num>
  <w:num w:numId="283" w16cid:durableId="814687130">
    <w:abstractNumId w:val="5"/>
  </w:num>
  <w:num w:numId="284" w16cid:durableId="120269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969116790">
    <w:abstractNumId w:val="5"/>
  </w:num>
  <w:num w:numId="286" w16cid:durableId="748308742">
    <w:abstractNumId w:val="15"/>
  </w:num>
  <w:num w:numId="287" w16cid:durableId="1337927882">
    <w:abstractNumId w:val="5"/>
  </w:num>
  <w:num w:numId="288" w16cid:durableId="373627088">
    <w:abstractNumId w:val="5"/>
  </w:num>
  <w:num w:numId="289" w16cid:durableId="647175881">
    <w:abstractNumId w:val="7"/>
  </w:num>
  <w:num w:numId="290" w16cid:durableId="541091962">
    <w:abstractNumId w:val="5"/>
  </w:num>
  <w:num w:numId="291" w16cid:durableId="1023092388">
    <w:abstractNumId w:val="5"/>
  </w:num>
  <w:num w:numId="292" w16cid:durableId="580139145">
    <w:abstractNumId w:val="24"/>
  </w:num>
  <w:num w:numId="293" w16cid:durableId="858541035">
    <w:abstractNumId w:val="5"/>
  </w:num>
  <w:num w:numId="294" w16cid:durableId="779881194">
    <w:abstractNumId w:val="22"/>
  </w:num>
  <w:num w:numId="295" w16cid:durableId="466896419">
    <w:abstractNumId w:val="5"/>
  </w:num>
  <w:num w:numId="296" w16cid:durableId="1590579589">
    <w:abstractNumId w:val="23"/>
  </w:num>
  <w:num w:numId="297" w16cid:durableId="957225582">
    <w:abstractNumId w:val="5"/>
  </w:num>
  <w:num w:numId="298" w16cid:durableId="1865366328">
    <w:abstractNumId w:val="9"/>
  </w:num>
  <w:num w:numId="299" w16cid:durableId="1796289622">
    <w:abstractNumId w:val="5"/>
  </w:num>
  <w:num w:numId="300" w16cid:durableId="1547990681">
    <w:abstractNumId w:val="5"/>
  </w:num>
  <w:num w:numId="301" w16cid:durableId="936518555">
    <w:abstractNumId w:val="5"/>
  </w:num>
  <w:num w:numId="302" w16cid:durableId="453715611">
    <w:abstractNumId w:val="5"/>
  </w:num>
  <w:num w:numId="303" w16cid:durableId="1168598047">
    <w:abstractNumId w:val="5"/>
  </w:num>
  <w:num w:numId="304" w16cid:durableId="1530488474">
    <w:abstractNumId w:val="5"/>
  </w:num>
  <w:num w:numId="305" w16cid:durableId="1217475517">
    <w:abstractNumId w:val="5"/>
  </w:num>
  <w:num w:numId="306" w16cid:durableId="252786139">
    <w:abstractNumId w:val="5"/>
  </w:num>
  <w:num w:numId="307" w16cid:durableId="1120536028">
    <w:abstractNumId w:val="5"/>
  </w:num>
  <w:num w:numId="308" w16cid:durableId="1964192481">
    <w:abstractNumId w:val="35"/>
  </w:num>
  <w:num w:numId="309" w16cid:durableId="264113339">
    <w:abstractNumId w:val="12"/>
  </w:num>
  <w:num w:numId="310" w16cid:durableId="2048407941">
    <w:abstractNumId w:val="0"/>
  </w:num>
  <w:num w:numId="311" w16cid:durableId="1381898722">
    <w:abstractNumId w:val="5"/>
  </w:num>
  <w:num w:numId="312" w16cid:durableId="328563550">
    <w:abstractNumId w:val="5"/>
  </w:num>
  <w:num w:numId="313" w16cid:durableId="1769349668">
    <w:abstractNumId w:val="5"/>
  </w:num>
  <w:num w:numId="314" w16cid:durableId="892807770">
    <w:abstractNumId w:val="5"/>
  </w:num>
  <w:num w:numId="315" w16cid:durableId="1634747525">
    <w:abstractNumId w:val="5"/>
  </w:num>
  <w:num w:numId="316" w16cid:durableId="1550914159">
    <w:abstractNumId w:val="5"/>
  </w:num>
  <w:num w:numId="317" w16cid:durableId="143207654">
    <w:abstractNumId w:val="5"/>
  </w:num>
  <w:num w:numId="318" w16cid:durableId="1161778420">
    <w:abstractNumId w:val="21"/>
  </w:num>
  <w:num w:numId="319" w16cid:durableId="2042240317">
    <w:abstractNumId w:val="29"/>
  </w:num>
  <w:num w:numId="320" w16cid:durableId="2107189913">
    <w:abstractNumId w:val="36"/>
  </w:num>
  <w:num w:numId="321" w16cid:durableId="558981211">
    <w:abstractNumId w:val="37"/>
  </w:num>
  <w:num w:numId="322" w16cid:durableId="102653753">
    <w:abstractNumId w:val="19"/>
  </w:num>
  <w:num w:numId="323" w16cid:durableId="447510954">
    <w:abstractNumId w:val="5"/>
  </w:num>
  <w:num w:numId="324" w16cid:durableId="1929732238">
    <w:abstractNumId w:val="5"/>
  </w:num>
  <w:num w:numId="325" w16cid:durableId="473060230">
    <w:abstractNumId w:val="5"/>
  </w:num>
  <w:num w:numId="326" w16cid:durableId="1347051031">
    <w:abstractNumId w:val="5"/>
  </w:num>
  <w:num w:numId="327" w16cid:durableId="2012102777">
    <w:abstractNumId w:val="5"/>
  </w:num>
  <w:num w:numId="328" w16cid:durableId="264966752">
    <w:abstractNumId w:val="5"/>
  </w:num>
  <w:num w:numId="329" w16cid:durableId="1422873394">
    <w:abstractNumId w:val="5"/>
  </w:num>
  <w:num w:numId="330" w16cid:durableId="21349055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996109508">
    <w:abstractNumId w:val="5"/>
  </w:num>
  <w:num w:numId="332" w16cid:durableId="1517038222">
    <w:abstractNumId w:val="5"/>
  </w:num>
  <w:numIdMacAtCleanup w:val="2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78"/>
    <w:rsid w:val="00012328"/>
    <w:rsid w:val="0001571A"/>
    <w:rsid w:val="00016D26"/>
    <w:rsid w:val="00017BC9"/>
    <w:rsid w:val="0002577A"/>
    <w:rsid w:val="00036068"/>
    <w:rsid w:val="000526D1"/>
    <w:rsid w:val="00065109"/>
    <w:rsid w:val="00075F4D"/>
    <w:rsid w:val="00085059"/>
    <w:rsid w:val="000A6C7C"/>
    <w:rsid w:val="000B1925"/>
    <w:rsid w:val="000C0B2C"/>
    <w:rsid w:val="000C18E9"/>
    <w:rsid w:val="000C5013"/>
    <w:rsid w:val="000C5D69"/>
    <w:rsid w:val="000C6481"/>
    <w:rsid w:val="000C6AC3"/>
    <w:rsid w:val="000C7A7C"/>
    <w:rsid w:val="000D6D36"/>
    <w:rsid w:val="000E6856"/>
    <w:rsid w:val="00104A5F"/>
    <w:rsid w:val="0010503B"/>
    <w:rsid w:val="00107D05"/>
    <w:rsid w:val="001166A5"/>
    <w:rsid w:val="001446CC"/>
    <w:rsid w:val="001463F1"/>
    <w:rsid w:val="00147BB6"/>
    <w:rsid w:val="00155E72"/>
    <w:rsid w:val="001640D1"/>
    <w:rsid w:val="00165979"/>
    <w:rsid w:val="001712A6"/>
    <w:rsid w:val="00172A3B"/>
    <w:rsid w:val="001842F0"/>
    <w:rsid w:val="00190306"/>
    <w:rsid w:val="00191300"/>
    <w:rsid w:val="00195D22"/>
    <w:rsid w:val="00196AAA"/>
    <w:rsid w:val="001A32A8"/>
    <w:rsid w:val="001B48BC"/>
    <w:rsid w:val="001B6593"/>
    <w:rsid w:val="001D05E2"/>
    <w:rsid w:val="001D2746"/>
    <w:rsid w:val="001D43F5"/>
    <w:rsid w:val="001E5345"/>
    <w:rsid w:val="001E6499"/>
    <w:rsid w:val="001F2260"/>
    <w:rsid w:val="00215EB4"/>
    <w:rsid w:val="00223110"/>
    <w:rsid w:val="002342D3"/>
    <w:rsid w:val="00240138"/>
    <w:rsid w:val="002423C6"/>
    <w:rsid w:val="0024279A"/>
    <w:rsid w:val="00267C3E"/>
    <w:rsid w:val="002828BE"/>
    <w:rsid w:val="00293A7B"/>
    <w:rsid w:val="002961B8"/>
    <w:rsid w:val="0029736B"/>
    <w:rsid w:val="002A507C"/>
    <w:rsid w:val="002B14CA"/>
    <w:rsid w:val="002C53DC"/>
    <w:rsid w:val="002D0E37"/>
    <w:rsid w:val="002D59EC"/>
    <w:rsid w:val="002F2EBC"/>
    <w:rsid w:val="002F69B1"/>
    <w:rsid w:val="00302081"/>
    <w:rsid w:val="003053DA"/>
    <w:rsid w:val="003066EF"/>
    <w:rsid w:val="003079B5"/>
    <w:rsid w:val="003171EB"/>
    <w:rsid w:val="0031722E"/>
    <w:rsid w:val="00320890"/>
    <w:rsid w:val="00325AE2"/>
    <w:rsid w:val="00327CB9"/>
    <w:rsid w:val="003316C6"/>
    <w:rsid w:val="00331BA2"/>
    <w:rsid w:val="00335A11"/>
    <w:rsid w:val="00337591"/>
    <w:rsid w:val="00342319"/>
    <w:rsid w:val="0035097E"/>
    <w:rsid w:val="00350F77"/>
    <w:rsid w:val="00361954"/>
    <w:rsid w:val="00363BD0"/>
    <w:rsid w:val="00363CD6"/>
    <w:rsid w:val="00364E5E"/>
    <w:rsid w:val="00365583"/>
    <w:rsid w:val="003655B3"/>
    <w:rsid w:val="00377453"/>
    <w:rsid w:val="0038188F"/>
    <w:rsid w:val="0038241F"/>
    <w:rsid w:val="003830CC"/>
    <w:rsid w:val="003844F2"/>
    <w:rsid w:val="0038585C"/>
    <w:rsid w:val="003876C0"/>
    <w:rsid w:val="003928CC"/>
    <w:rsid w:val="00395099"/>
    <w:rsid w:val="003970DF"/>
    <w:rsid w:val="003A6CD3"/>
    <w:rsid w:val="003B0B7E"/>
    <w:rsid w:val="003B1D83"/>
    <w:rsid w:val="003C4139"/>
    <w:rsid w:val="003C499E"/>
    <w:rsid w:val="003C64CA"/>
    <w:rsid w:val="003C6A1E"/>
    <w:rsid w:val="003F3EB5"/>
    <w:rsid w:val="0040126C"/>
    <w:rsid w:val="0040749E"/>
    <w:rsid w:val="00411AC1"/>
    <w:rsid w:val="004138C4"/>
    <w:rsid w:val="0043105E"/>
    <w:rsid w:val="004449AC"/>
    <w:rsid w:val="0044569D"/>
    <w:rsid w:val="00460710"/>
    <w:rsid w:val="00462790"/>
    <w:rsid w:val="00467D23"/>
    <w:rsid w:val="00470250"/>
    <w:rsid w:val="0047049F"/>
    <w:rsid w:val="0047686F"/>
    <w:rsid w:val="004C4D10"/>
    <w:rsid w:val="004D16F4"/>
    <w:rsid w:val="004E4C91"/>
    <w:rsid w:val="004E6732"/>
    <w:rsid w:val="004F2D69"/>
    <w:rsid w:val="004F5741"/>
    <w:rsid w:val="00501371"/>
    <w:rsid w:val="00505485"/>
    <w:rsid w:val="00513826"/>
    <w:rsid w:val="00530BF1"/>
    <w:rsid w:val="00533B45"/>
    <w:rsid w:val="005353B2"/>
    <w:rsid w:val="00550E40"/>
    <w:rsid w:val="00555841"/>
    <w:rsid w:val="00562AC9"/>
    <w:rsid w:val="00574181"/>
    <w:rsid w:val="0058501F"/>
    <w:rsid w:val="00590E22"/>
    <w:rsid w:val="0059718C"/>
    <w:rsid w:val="005A27B9"/>
    <w:rsid w:val="005A7BB7"/>
    <w:rsid w:val="005C28D1"/>
    <w:rsid w:val="005C3974"/>
    <w:rsid w:val="005D04B0"/>
    <w:rsid w:val="005D5C0B"/>
    <w:rsid w:val="005E7A8E"/>
    <w:rsid w:val="005F2521"/>
    <w:rsid w:val="0060127D"/>
    <w:rsid w:val="00606DB7"/>
    <w:rsid w:val="00610073"/>
    <w:rsid w:val="00626ADB"/>
    <w:rsid w:val="00627EEA"/>
    <w:rsid w:val="00634C47"/>
    <w:rsid w:val="006371D2"/>
    <w:rsid w:val="00647B6A"/>
    <w:rsid w:val="006527D3"/>
    <w:rsid w:val="00670082"/>
    <w:rsid w:val="00670CB9"/>
    <w:rsid w:val="00687D90"/>
    <w:rsid w:val="00692797"/>
    <w:rsid w:val="00695D63"/>
    <w:rsid w:val="00695F2A"/>
    <w:rsid w:val="006A1D97"/>
    <w:rsid w:val="006A5FA8"/>
    <w:rsid w:val="006B1ADE"/>
    <w:rsid w:val="006B574A"/>
    <w:rsid w:val="006B7474"/>
    <w:rsid w:val="006C3D91"/>
    <w:rsid w:val="006D5C66"/>
    <w:rsid w:val="006D6094"/>
    <w:rsid w:val="006F2149"/>
    <w:rsid w:val="00702B83"/>
    <w:rsid w:val="00706530"/>
    <w:rsid w:val="00723828"/>
    <w:rsid w:val="007243A4"/>
    <w:rsid w:val="0073037B"/>
    <w:rsid w:val="007449A0"/>
    <w:rsid w:val="007679AC"/>
    <w:rsid w:val="00781CE9"/>
    <w:rsid w:val="00786AA3"/>
    <w:rsid w:val="007A03DF"/>
    <w:rsid w:val="007A2DA2"/>
    <w:rsid w:val="007A5F4D"/>
    <w:rsid w:val="007B1940"/>
    <w:rsid w:val="007B6D4D"/>
    <w:rsid w:val="007C1EB5"/>
    <w:rsid w:val="007D3C1E"/>
    <w:rsid w:val="007E081D"/>
    <w:rsid w:val="007E294F"/>
    <w:rsid w:val="007E2CDC"/>
    <w:rsid w:val="00801C4B"/>
    <w:rsid w:val="00805988"/>
    <w:rsid w:val="00814E55"/>
    <w:rsid w:val="00817E98"/>
    <w:rsid w:val="0082020A"/>
    <w:rsid w:val="008261E1"/>
    <w:rsid w:val="008426F2"/>
    <w:rsid w:val="00850290"/>
    <w:rsid w:val="008509AA"/>
    <w:rsid w:val="008549F6"/>
    <w:rsid w:val="00854F4C"/>
    <w:rsid w:val="0087765E"/>
    <w:rsid w:val="0088074F"/>
    <w:rsid w:val="0088388B"/>
    <w:rsid w:val="00887C22"/>
    <w:rsid w:val="00887D0A"/>
    <w:rsid w:val="00891A53"/>
    <w:rsid w:val="00893A83"/>
    <w:rsid w:val="008959AC"/>
    <w:rsid w:val="008A31D5"/>
    <w:rsid w:val="008A5742"/>
    <w:rsid w:val="008B6535"/>
    <w:rsid w:val="008B712E"/>
    <w:rsid w:val="008C4507"/>
    <w:rsid w:val="008C683F"/>
    <w:rsid w:val="008C7C79"/>
    <w:rsid w:val="008E2279"/>
    <w:rsid w:val="008F0EFA"/>
    <w:rsid w:val="008F76F0"/>
    <w:rsid w:val="008F7828"/>
    <w:rsid w:val="009009FA"/>
    <w:rsid w:val="0091271C"/>
    <w:rsid w:val="009148AC"/>
    <w:rsid w:val="0093314C"/>
    <w:rsid w:val="009335E9"/>
    <w:rsid w:val="00935CBF"/>
    <w:rsid w:val="0094683B"/>
    <w:rsid w:val="009530A1"/>
    <w:rsid w:val="0095678C"/>
    <w:rsid w:val="00961324"/>
    <w:rsid w:val="009627DB"/>
    <w:rsid w:val="00994D26"/>
    <w:rsid w:val="00997F92"/>
    <w:rsid w:val="009A1946"/>
    <w:rsid w:val="009A2459"/>
    <w:rsid w:val="009A294C"/>
    <w:rsid w:val="009A697F"/>
    <w:rsid w:val="009A6CEA"/>
    <w:rsid w:val="009A7138"/>
    <w:rsid w:val="009C1185"/>
    <w:rsid w:val="009D666E"/>
    <w:rsid w:val="009D6778"/>
    <w:rsid w:val="009F0221"/>
    <w:rsid w:val="00A143B9"/>
    <w:rsid w:val="00A230F9"/>
    <w:rsid w:val="00A26849"/>
    <w:rsid w:val="00A4373C"/>
    <w:rsid w:val="00A43BEF"/>
    <w:rsid w:val="00A63CDB"/>
    <w:rsid w:val="00A74923"/>
    <w:rsid w:val="00A7642D"/>
    <w:rsid w:val="00A7663A"/>
    <w:rsid w:val="00A77020"/>
    <w:rsid w:val="00A87FBA"/>
    <w:rsid w:val="00A946AE"/>
    <w:rsid w:val="00AA082E"/>
    <w:rsid w:val="00AB31A9"/>
    <w:rsid w:val="00AC507B"/>
    <w:rsid w:val="00AD1006"/>
    <w:rsid w:val="00AD7DA5"/>
    <w:rsid w:val="00B175B2"/>
    <w:rsid w:val="00B30BD0"/>
    <w:rsid w:val="00B43942"/>
    <w:rsid w:val="00B460CB"/>
    <w:rsid w:val="00B47D7F"/>
    <w:rsid w:val="00B62C0B"/>
    <w:rsid w:val="00B64BE7"/>
    <w:rsid w:val="00B67FDC"/>
    <w:rsid w:val="00B713C0"/>
    <w:rsid w:val="00B756B3"/>
    <w:rsid w:val="00B82F1B"/>
    <w:rsid w:val="00BA164C"/>
    <w:rsid w:val="00BA5250"/>
    <w:rsid w:val="00BA737F"/>
    <w:rsid w:val="00BB5491"/>
    <w:rsid w:val="00BB67C3"/>
    <w:rsid w:val="00BC222D"/>
    <w:rsid w:val="00BC375B"/>
    <w:rsid w:val="00BC469D"/>
    <w:rsid w:val="00BD30E3"/>
    <w:rsid w:val="00BD6765"/>
    <w:rsid w:val="00BD6E46"/>
    <w:rsid w:val="00BE0410"/>
    <w:rsid w:val="00BE6800"/>
    <w:rsid w:val="00BE7799"/>
    <w:rsid w:val="00BF27BF"/>
    <w:rsid w:val="00BF7E59"/>
    <w:rsid w:val="00C06335"/>
    <w:rsid w:val="00C15DC1"/>
    <w:rsid w:val="00C16F52"/>
    <w:rsid w:val="00C1788C"/>
    <w:rsid w:val="00C24A08"/>
    <w:rsid w:val="00C252EB"/>
    <w:rsid w:val="00C319E3"/>
    <w:rsid w:val="00C33594"/>
    <w:rsid w:val="00C33D23"/>
    <w:rsid w:val="00C43178"/>
    <w:rsid w:val="00C445C4"/>
    <w:rsid w:val="00C55443"/>
    <w:rsid w:val="00C97251"/>
    <w:rsid w:val="00CA266A"/>
    <w:rsid w:val="00CB0B71"/>
    <w:rsid w:val="00CB1878"/>
    <w:rsid w:val="00CB1B2E"/>
    <w:rsid w:val="00CC1646"/>
    <w:rsid w:val="00CC24AF"/>
    <w:rsid w:val="00CD26D6"/>
    <w:rsid w:val="00CE4E32"/>
    <w:rsid w:val="00CE4E50"/>
    <w:rsid w:val="00CE7191"/>
    <w:rsid w:val="00D01494"/>
    <w:rsid w:val="00D04F32"/>
    <w:rsid w:val="00D14BEC"/>
    <w:rsid w:val="00D17E96"/>
    <w:rsid w:val="00D22BEF"/>
    <w:rsid w:val="00D40EC8"/>
    <w:rsid w:val="00D4237C"/>
    <w:rsid w:val="00D424C1"/>
    <w:rsid w:val="00D43469"/>
    <w:rsid w:val="00D4450D"/>
    <w:rsid w:val="00D51800"/>
    <w:rsid w:val="00D56C07"/>
    <w:rsid w:val="00D57242"/>
    <w:rsid w:val="00D73599"/>
    <w:rsid w:val="00D77645"/>
    <w:rsid w:val="00D77B32"/>
    <w:rsid w:val="00D8792B"/>
    <w:rsid w:val="00D910E0"/>
    <w:rsid w:val="00D9213B"/>
    <w:rsid w:val="00D9288E"/>
    <w:rsid w:val="00DA32FC"/>
    <w:rsid w:val="00DA5FB9"/>
    <w:rsid w:val="00DB2CD5"/>
    <w:rsid w:val="00DB663E"/>
    <w:rsid w:val="00DD16F0"/>
    <w:rsid w:val="00DD5CB0"/>
    <w:rsid w:val="00DE7008"/>
    <w:rsid w:val="00DF1B59"/>
    <w:rsid w:val="00E246FA"/>
    <w:rsid w:val="00E33CF1"/>
    <w:rsid w:val="00E36448"/>
    <w:rsid w:val="00E40DBC"/>
    <w:rsid w:val="00E418D5"/>
    <w:rsid w:val="00E46DC8"/>
    <w:rsid w:val="00E61B99"/>
    <w:rsid w:val="00E7660B"/>
    <w:rsid w:val="00E82CD0"/>
    <w:rsid w:val="00E86E7C"/>
    <w:rsid w:val="00EB5A4A"/>
    <w:rsid w:val="00EB6577"/>
    <w:rsid w:val="00EC3636"/>
    <w:rsid w:val="00EC47E5"/>
    <w:rsid w:val="00EC4E10"/>
    <w:rsid w:val="00ED2AA3"/>
    <w:rsid w:val="00EE2EA0"/>
    <w:rsid w:val="00EE4465"/>
    <w:rsid w:val="00EE55EB"/>
    <w:rsid w:val="00EE625F"/>
    <w:rsid w:val="00EF6D74"/>
    <w:rsid w:val="00F000A8"/>
    <w:rsid w:val="00F12E94"/>
    <w:rsid w:val="00F16D71"/>
    <w:rsid w:val="00F172A9"/>
    <w:rsid w:val="00F248F2"/>
    <w:rsid w:val="00F25176"/>
    <w:rsid w:val="00F26E16"/>
    <w:rsid w:val="00F40FD1"/>
    <w:rsid w:val="00F43B0F"/>
    <w:rsid w:val="00F45E5A"/>
    <w:rsid w:val="00F50970"/>
    <w:rsid w:val="00F56BCB"/>
    <w:rsid w:val="00F6243E"/>
    <w:rsid w:val="00F640B4"/>
    <w:rsid w:val="00F70853"/>
    <w:rsid w:val="00F71584"/>
    <w:rsid w:val="00F8692E"/>
    <w:rsid w:val="00F971D4"/>
    <w:rsid w:val="00FA08BC"/>
    <w:rsid w:val="00FA419F"/>
    <w:rsid w:val="00FA45BF"/>
    <w:rsid w:val="00FA5B2D"/>
    <w:rsid w:val="00FA5D20"/>
    <w:rsid w:val="00FB61BE"/>
    <w:rsid w:val="00FD5188"/>
    <w:rsid w:val="00FE3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3CF4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kinsoku w:val="0"/>
      <w:overflowPunct w:val="0"/>
      <w:autoSpaceDE w:val="0"/>
      <w:autoSpaceDN w:val="0"/>
      <w:jc w:val="both"/>
    </w:pPr>
    <w:rPr>
      <w:rFonts w:ascii="標楷體" w:eastAsia="標楷體"/>
      <w:kern w:val="2"/>
      <w:sz w:val="32"/>
    </w:rPr>
  </w:style>
  <w:style w:type="paragraph" w:styleId="1">
    <w:name w:val="heading 1"/>
    <w:aliases w:val="題號1"/>
    <w:basedOn w:val="a6"/>
    <w:qFormat/>
    <w:pPr>
      <w:numPr>
        <w:numId w:val="25"/>
      </w:numPr>
      <w:outlineLvl w:val="0"/>
    </w:pPr>
    <w:rPr>
      <w:rFonts w:hAnsi="Arial"/>
      <w:bCs/>
      <w:kern w:val="32"/>
      <w:szCs w:val="52"/>
    </w:rPr>
  </w:style>
  <w:style w:type="paragraph" w:styleId="2">
    <w:name w:val="heading 2"/>
    <w:aliases w:val="標題110/111,節,節1"/>
    <w:basedOn w:val="a6"/>
    <w:link w:val="20"/>
    <w:qFormat/>
    <w:pPr>
      <w:numPr>
        <w:ilvl w:val="1"/>
        <w:numId w:val="25"/>
      </w:numPr>
      <w:outlineLvl w:val="1"/>
    </w:pPr>
    <w:rPr>
      <w:rFonts w:hAnsi="Arial"/>
      <w:bCs/>
      <w:kern w:val="32"/>
      <w:szCs w:val="48"/>
    </w:rPr>
  </w:style>
  <w:style w:type="paragraph" w:styleId="3">
    <w:name w:val="heading 3"/>
    <w:basedOn w:val="a6"/>
    <w:link w:val="30"/>
    <w:qFormat/>
    <w:pPr>
      <w:numPr>
        <w:ilvl w:val="2"/>
        <w:numId w:val="25"/>
      </w:numPr>
      <w:outlineLvl w:val="2"/>
    </w:pPr>
    <w:rPr>
      <w:rFonts w:hAnsi="Arial"/>
      <w:bCs/>
      <w:kern w:val="32"/>
      <w:szCs w:val="36"/>
    </w:rPr>
  </w:style>
  <w:style w:type="paragraph" w:styleId="4">
    <w:name w:val="heading 4"/>
    <w:aliases w:val="表格"/>
    <w:basedOn w:val="a6"/>
    <w:link w:val="40"/>
    <w:qFormat/>
    <w:pPr>
      <w:numPr>
        <w:ilvl w:val="3"/>
        <w:numId w:val="25"/>
      </w:numPr>
      <w:outlineLvl w:val="3"/>
    </w:pPr>
    <w:rPr>
      <w:rFonts w:hAnsi="Arial"/>
      <w:kern w:val="32"/>
      <w:szCs w:val="36"/>
    </w:rPr>
  </w:style>
  <w:style w:type="paragraph" w:styleId="5">
    <w:name w:val="heading 5"/>
    <w:basedOn w:val="a6"/>
    <w:qFormat/>
    <w:pPr>
      <w:numPr>
        <w:ilvl w:val="4"/>
        <w:numId w:val="25"/>
      </w:numPr>
      <w:outlineLvl w:val="4"/>
    </w:pPr>
    <w:rPr>
      <w:rFonts w:hAnsi="Arial"/>
      <w:bCs/>
      <w:kern w:val="32"/>
      <w:szCs w:val="36"/>
    </w:rPr>
  </w:style>
  <w:style w:type="paragraph" w:styleId="6">
    <w:name w:val="heading 6"/>
    <w:basedOn w:val="a6"/>
    <w:qFormat/>
    <w:pPr>
      <w:numPr>
        <w:ilvl w:val="5"/>
        <w:numId w:val="25"/>
      </w:numPr>
      <w:tabs>
        <w:tab w:val="left" w:pos="2094"/>
      </w:tabs>
      <w:outlineLvl w:val="5"/>
    </w:pPr>
    <w:rPr>
      <w:rFonts w:hAnsi="Arial"/>
      <w:kern w:val="32"/>
      <w:szCs w:val="36"/>
    </w:rPr>
  </w:style>
  <w:style w:type="paragraph" w:styleId="7">
    <w:name w:val="heading 7"/>
    <w:basedOn w:val="a6"/>
    <w:qFormat/>
    <w:pPr>
      <w:numPr>
        <w:ilvl w:val="6"/>
        <w:numId w:val="25"/>
      </w:numPr>
      <w:outlineLvl w:val="6"/>
    </w:pPr>
    <w:rPr>
      <w:rFonts w:hAnsi="Arial"/>
      <w:bCs/>
      <w:kern w:val="32"/>
      <w:szCs w:val="36"/>
    </w:rPr>
  </w:style>
  <w:style w:type="paragraph" w:styleId="8">
    <w:name w:val="heading 8"/>
    <w:basedOn w:val="a6"/>
    <w:qFormat/>
    <w:pPr>
      <w:numPr>
        <w:ilvl w:val="7"/>
        <w:numId w:val="25"/>
      </w:numPr>
      <w:outlineLvl w:val="7"/>
    </w:pPr>
    <w:rPr>
      <w:rFonts w:hAnsi="Arial"/>
      <w:kern w:val="32"/>
      <w:szCs w:val="36"/>
    </w:rPr>
  </w:style>
  <w:style w:type="paragraph" w:styleId="9">
    <w:name w:val="heading 9"/>
    <w:basedOn w:val="a6"/>
    <w:link w:val="90"/>
    <w:uiPriority w:val="9"/>
    <w:unhideWhenUsed/>
    <w:qFormat/>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ind w:leftChars="200" w:left="1360" w:rightChars="100" w:right="340" w:hangingChars="200" w:hanging="680"/>
    </w:pPr>
    <w:rPr>
      <w:noProof/>
    </w:rPr>
  </w:style>
  <w:style w:type="paragraph" w:styleId="41">
    <w:name w:val="toc 4"/>
    <w:basedOn w:val="a6"/>
    <w:next w:val="a6"/>
    <w:autoRedefine/>
    <w:semiHidden/>
    <w:pPr>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24"/>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30"/>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Pr>
      <w:rFonts w:ascii="標楷體" w:eastAsia="標楷體" w:hAnsi="Arial"/>
      <w:bCs/>
      <w:kern w:val="32"/>
      <w:sz w:val="32"/>
      <w:szCs w:val="48"/>
    </w:rPr>
  </w:style>
  <w:style w:type="character" w:customStyle="1" w:styleId="40">
    <w:name w:val="標題 4 字元"/>
    <w:aliases w:val="表格 字元"/>
    <w:basedOn w:val="a7"/>
    <w:link w:val="4"/>
    <w:rsid w:val="00C252EB"/>
    <w:rPr>
      <w:rFonts w:ascii="標楷體" w:eastAsia="標楷體" w:hAnsi="Arial"/>
      <w:kern w:val="32"/>
      <w:sz w:val="32"/>
      <w:szCs w:val="36"/>
    </w:rPr>
  </w:style>
  <w:style w:type="paragraph" w:styleId="afc">
    <w:name w:val="footnote text"/>
    <w:basedOn w:val="a6"/>
    <w:link w:val="afd"/>
    <w:uiPriority w:val="99"/>
    <w:unhideWhenUsed/>
    <w:rsid w:val="00C252EB"/>
    <w:pPr>
      <w:snapToGrid w:val="0"/>
      <w:jc w:val="left"/>
    </w:pPr>
    <w:rPr>
      <w:sz w:val="20"/>
    </w:rPr>
  </w:style>
  <w:style w:type="character" w:customStyle="1" w:styleId="afd">
    <w:name w:val="註腳文字 字元"/>
    <w:basedOn w:val="a7"/>
    <w:link w:val="afc"/>
    <w:uiPriority w:val="99"/>
    <w:rsid w:val="00C252EB"/>
    <w:rPr>
      <w:rFonts w:ascii="標楷體" w:eastAsia="標楷體"/>
      <w:kern w:val="2"/>
    </w:rPr>
  </w:style>
  <w:style w:type="character" w:styleId="afe">
    <w:name w:val="footnote reference"/>
    <w:basedOn w:val="a7"/>
    <w:uiPriority w:val="99"/>
    <w:semiHidden/>
    <w:unhideWhenUsed/>
    <w:rsid w:val="00C252EB"/>
    <w:rPr>
      <w:vertAlign w:val="superscript"/>
    </w:rPr>
  </w:style>
  <w:style w:type="paragraph" w:styleId="aff">
    <w:name w:val="Revision"/>
    <w:hidden/>
    <w:uiPriority w:val="99"/>
    <w:semiHidden/>
    <w:rsid w:val="003316C6"/>
    <w:rPr>
      <w:rFonts w:ascii="標楷體" w:eastAsia="標楷體"/>
      <w:kern w:val="2"/>
      <w:sz w:val="32"/>
    </w:rPr>
  </w:style>
  <w:style w:type="character" w:customStyle="1" w:styleId="30">
    <w:name w:val="標題 3 字元"/>
    <w:basedOn w:val="a7"/>
    <w:link w:val="3"/>
    <w:rsid w:val="006A5FA8"/>
    <w:rPr>
      <w:rFonts w:ascii="標楷體" w:eastAsia="標楷體" w:hAnsi="Arial"/>
      <w:bCs/>
      <w:kern w:val="32"/>
      <w:sz w:val="32"/>
      <w:szCs w:val="36"/>
    </w:rPr>
  </w:style>
  <w:style w:type="paragraph" w:customStyle="1" w:styleId="p0num">
    <w:name w:val="p0_num"/>
    <w:basedOn w:val="a6"/>
    <w:rsid w:val="00172A3B"/>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0">
    <w:name w:val="p0"/>
    <w:basedOn w:val="a6"/>
    <w:rsid w:val="00172A3B"/>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96132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FA419F"/>
    <w:rPr>
      <w:b/>
      <w:bCs/>
    </w:rPr>
  </w:style>
  <w:style w:type="character" w:customStyle="1" w:styleId="whitespace-normal">
    <w:name w:val="whitespace-normal"/>
    <w:basedOn w:val="a7"/>
    <w:rsid w:val="00D7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0557">
      <w:bodyDiv w:val="1"/>
      <w:marLeft w:val="0"/>
      <w:marRight w:val="0"/>
      <w:marTop w:val="0"/>
      <w:marBottom w:val="0"/>
      <w:divBdr>
        <w:top w:val="none" w:sz="0" w:space="0" w:color="auto"/>
        <w:left w:val="none" w:sz="0" w:space="0" w:color="auto"/>
        <w:bottom w:val="none" w:sz="0" w:space="0" w:color="auto"/>
        <w:right w:val="none" w:sz="0" w:space="0" w:color="auto"/>
      </w:divBdr>
    </w:div>
    <w:div w:id="93021082">
      <w:bodyDiv w:val="1"/>
      <w:marLeft w:val="0"/>
      <w:marRight w:val="0"/>
      <w:marTop w:val="0"/>
      <w:marBottom w:val="0"/>
      <w:divBdr>
        <w:top w:val="none" w:sz="0" w:space="0" w:color="auto"/>
        <w:left w:val="none" w:sz="0" w:space="0" w:color="auto"/>
        <w:bottom w:val="none" w:sz="0" w:space="0" w:color="auto"/>
        <w:right w:val="none" w:sz="0" w:space="0" w:color="auto"/>
      </w:divBdr>
    </w:div>
    <w:div w:id="95486915">
      <w:bodyDiv w:val="1"/>
      <w:marLeft w:val="0"/>
      <w:marRight w:val="0"/>
      <w:marTop w:val="0"/>
      <w:marBottom w:val="0"/>
      <w:divBdr>
        <w:top w:val="none" w:sz="0" w:space="0" w:color="auto"/>
        <w:left w:val="none" w:sz="0" w:space="0" w:color="auto"/>
        <w:bottom w:val="none" w:sz="0" w:space="0" w:color="auto"/>
        <w:right w:val="none" w:sz="0" w:space="0" w:color="auto"/>
      </w:divBdr>
      <w:divsChild>
        <w:div w:id="2146584913">
          <w:marLeft w:val="240"/>
          <w:marRight w:val="0"/>
          <w:marTop w:val="0"/>
          <w:marBottom w:val="120"/>
          <w:divBdr>
            <w:top w:val="none" w:sz="0" w:space="0" w:color="auto"/>
            <w:left w:val="none" w:sz="0" w:space="0" w:color="auto"/>
            <w:bottom w:val="none" w:sz="0" w:space="0" w:color="auto"/>
            <w:right w:val="none" w:sz="0" w:space="0" w:color="auto"/>
          </w:divBdr>
        </w:div>
        <w:div w:id="1386835489">
          <w:marLeft w:val="720"/>
          <w:marRight w:val="0"/>
          <w:marTop w:val="0"/>
          <w:marBottom w:val="120"/>
          <w:divBdr>
            <w:top w:val="none" w:sz="0" w:space="0" w:color="auto"/>
            <w:left w:val="none" w:sz="0" w:space="0" w:color="auto"/>
            <w:bottom w:val="none" w:sz="0" w:space="0" w:color="auto"/>
            <w:right w:val="none" w:sz="0" w:space="0" w:color="auto"/>
          </w:divBdr>
        </w:div>
        <w:div w:id="214316058">
          <w:marLeft w:val="720"/>
          <w:marRight w:val="0"/>
          <w:marTop w:val="0"/>
          <w:marBottom w:val="120"/>
          <w:divBdr>
            <w:top w:val="none" w:sz="0" w:space="0" w:color="auto"/>
            <w:left w:val="none" w:sz="0" w:space="0" w:color="auto"/>
            <w:bottom w:val="none" w:sz="0" w:space="0" w:color="auto"/>
            <w:right w:val="none" w:sz="0" w:space="0" w:color="auto"/>
          </w:divBdr>
        </w:div>
        <w:div w:id="1307971997">
          <w:marLeft w:val="720"/>
          <w:marRight w:val="0"/>
          <w:marTop w:val="0"/>
          <w:marBottom w:val="120"/>
          <w:divBdr>
            <w:top w:val="none" w:sz="0" w:space="0" w:color="auto"/>
            <w:left w:val="none" w:sz="0" w:space="0" w:color="auto"/>
            <w:bottom w:val="none" w:sz="0" w:space="0" w:color="auto"/>
            <w:right w:val="none" w:sz="0" w:space="0" w:color="auto"/>
          </w:divBdr>
        </w:div>
        <w:div w:id="880440252">
          <w:marLeft w:val="720"/>
          <w:marRight w:val="0"/>
          <w:marTop w:val="0"/>
          <w:marBottom w:val="120"/>
          <w:divBdr>
            <w:top w:val="none" w:sz="0" w:space="0" w:color="auto"/>
            <w:left w:val="none" w:sz="0" w:space="0" w:color="auto"/>
            <w:bottom w:val="none" w:sz="0" w:space="0" w:color="auto"/>
            <w:right w:val="none" w:sz="0" w:space="0" w:color="auto"/>
          </w:divBdr>
        </w:div>
        <w:div w:id="705299095">
          <w:marLeft w:val="720"/>
          <w:marRight w:val="0"/>
          <w:marTop w:val="0"/>
          <w:marBottom w:val="120"/>
          <w:divBdr>
            <w:top w:val="none" w:sz="0" w:space="0" w:color="auto"/>
            <w:left w:val="none" w:sz="0" w:space="0" w:color="auto"/>
            <w:bottom w:val="none" w:sz="0" w:space="0" w:color="auto"/>
            <w:right w:val="none" w:sz="0" w:space="0" w:color="auto"/>
          </w:divBdr>
        </w:div>
        <w:div w:id="1786077633">
          <w:marLeft w:val="720"/>
          <w:marRight w:val="0"/>
          <w:marTop w:val="0"/>
          <w:marBottom w:val="120"/>
          <w:divBdr>
            <w:top w:val="none" w:sz="0" w:space="0" w:color="auto"/>
            <w:left w:val="none" w:sz="0" w:space="0" w:color="auto"/>
            <w:bottom w:val="none" w:sz="0" w:space="0" w:color="auto"/>
            <w:right w:val="none" w:sz="0" w:space="0" w:color="auto"/>
          </w:divBdr>
        </w:div>
        <w:div w:id="1093237411">
          <w:marLeft w:val="720"/>
          <w:marRight w:val="0"/>
          <w:marTop w:val="0"/>
          <w:marBottom w:val="120"/>
          <w:divBdr>
            <w:top w:val="none" w:sz="0" w:space="0" w:color="auto"/>
            <w:left w:val="none" w:sz="0" w:space="0" w:color="auto"/>
            <w:bottom w:val="none" w:sz="0" w:space="0" w:color="auto"/>
            <w:right w:val="none" w:sz="0" w:space="0" w:color="auto"/>
          </w:divBdr>
        </w:div>
        <w:div w:id="1557741299">
          <w:marLeft w:val="720"/>
          <w:marRight w:val="0"/>
          <w:marTop w:val="0"/>
          <w:marBottom w:val="120"/>
          <w:divBdr>
            <w:top w:val="none" w:sz="0" w:space="0" w:color="auto"/>
            <w:left w:val="none" w:sz="0" w:space="0" w:color="auto"/>
            <w:bottom w:val="none" w:sz="0" w:space="0" w:color="auto"/>
            <w:right w:val="none" w:sz="0" w:space="0" w:color="auto"/>
          </w:divBdr>
        </w:div>
        <w:div w:id="2133287406">
          <w:marLeft w:val="240"/>
          <w:marRight w:val="0"/>
          <w:marTop w:val="0"/>
          <w:marBottom w:val="120"/>
          <w:divBdr>
            <w:top w:val="none" w:sz="0" w:space="0" w:color="auto"/>
            <w:left w:val="none" w:sz="0" w:space="0" w:color="auto"/>
            <w:bottom w:val="none" w:sz="0" w:space="0" w:color="auto"/>
            <w:right w:val="none" w:sz="0" w:space="0" w:color="auto"/>
          </w:divBdr>
        </w:div>
        <w:div w:id="369652243">
          <w:marLeft w:val="240"/>
          <w:marRight w:val="0"/>
          <w:marTop w:val="0"/>
          <w:marBottom w:val="120"/>
          <w:divBdr>
            <w:top w:val="none" w:sz="0" w:space="0" w:color="auto"/>
            <w:left w:val="none" w:sz="0" w:space="0" w:color="auto"/>
            <w:bottom w:val="none" w:sz="0" w:space="0" w:color="auto"/>
            <w:right w:val="none" w:sz="0" w:space="0" w:color="auto"/>
          </w:divBdr>
        </w:div>
        <w:div w:id="1640181693">
          <w:marLeft w:val="240"/>
          <w:marRight w:val="0"/>
          <w:marTop w:val="0"/>
          <w:marBottom w:val="120"/>
          <w:divBdr>
            <w:top w:val="none" w:sz="0" w:space="0" w:color="auto"/>
            <w:left w:val="none" w:sz="0" w:space="0" w:color="auto"/>
            <w:bottom w:val="none" w:sz="0" w:space="0" w:color="auto"/>
            <w:right w:val="none" w:sz="0" w:space="0" w:color="auto"/>
          </w:divBdr>
        </w:div>
      </w:divsChild>
    </w:div>
    <w:div w:id="113719163">
      <w:bodyDiv w:val="1"/>
      <w:marLeft w:val="0"/>
      <w:marRight w:val="0"/>
      <w:marTop w:val="0"/>
      <w:marBottom w:val="0"/>
      <w:divBdr>
        <w:top w:val="none" w:sz="0" w:space="0" w:color="auto"/>
        <w:left w:val="none" w:sz="0" w:space="0" w:color="auto"/>
        <w:bottom w:val="none" w:sz="0" w:space="0" w:color="auto"/>
        <w:right w:val="none" w:sz="0" w:space="0" w:color="auto"/>
      </w:divBdr>
    </w:div>
    <w:div w:id="147022738">
      <w:bodyDiv w:val="1"/>
      <w:marLeft w:val="0"/>
      <w:marRight w:val="0"/>
      <w:marTop w:val="0"/>
      <w:marBottom w:val="0"/>
      <w:divBdr>
        <w:top w:val="none" w:sz="0" w:space="0" w:color="auto"/>
        <w:left w:val="none" w:sz="0" w:space="0" w:color="auto"/>
        <w:bottom w:val="none" w:sz="0" w:space="0" w:color="auto"/>
        <w:right w:val="none" w:sz="0" w:space="0" w:color="auto"/>
      </w:divBdr>
    </w:div>
    <w:div w:id="234556668">
      <w:bodyDiv w:val="1"/>
      <w:marLeft w:val="0"/>
      <w:marRight w:val="0"/>
      <w:marTop w:val="0"/>
      <w:marBottom w:val="0"/>
      <w:divBdr>
        <w:top w:val="none" w:sz="0" w:space="0" w:color="auto"/>
        <w:left w:val="none" w:sz="0" w:space="0" w:color="auto"/>
        <w:bottom w:val="none" w:sz="0" w:space="0" w:color="auto"/>
        <w:right w:val="none" w:sz="0" w:space="0" w:color="auto"/>
      </w:divBdr>
    </w:div>
    <w:div w:id="240023832">
      <w:bodyDiv w:val="1"/>
      <w:marLeft w:val="0"/>
      <w:marRight w:val="0"/>
      <w:marTop w:val="0"/>
      <w:marBottom w:val="0"/>
      <w:divBdr>
        <w:top w:val="none" w:sz="0" w:space="0" w:color="auto"/>
        <w:left w:val="none" w:sz="0" w:space="0" w:color="auto"/>
        <w:bottom w:val="none" w:sz="0" w:space="0" w:color="auto"/>
        <w:right w:val="none" w:sz="0" w:space="0" w:color="auto"/>
      </w:divBdr>
      <w:divsChild>
        <w:div w:id="1933471915">
          <w:marLeft w:val="240"/>
          <w:marRight w:val="0"/>
          <w:marTop w:val="0"/>
          <w:marBottom w:val="120"/>
          <w:divBdr>
            <w:top w:val="none" w:sz="0" w:space="0" w:color="auto"/>
            <w:left w:val="none" w:sz="0" w:space="0" w:color="auto"/>
            <w:bottom w:val="none" w:sz="0" w:space="0" w:color="auto"/>
            <w:right w:val="none" w:sz="0" w:space="0" w:color="auto"/>
          </w:divBdr>
        </w:div>
        <w:div w:id="1767119488">
          <w:marLeft w:val="720"/>
          <w:marRight w:val="0"/>
          <w:marTop w:val="0"/>
          <w:marBottom w:val="120"/>
          <w:divBdr>
            <w:top w:val="none" w:sz="0" w:space="0" w:color="auto"/>
            <w:left w:val="none" w:sz="0" w:space="0" w:color="auto"/>
            <w:bottom w:val="none" w:sz="0" w:space="0" w:color="auto"/>
            <w:right w:val="none" w:sz="0" w:space="0" w:color="auto"/>
          </w:divBdr>
        </w:div>
        <w:div w:id="823089505">
          <w:marLeft w:val="720"/>
          <w:marRight w:val="0"/>
          <w:marTop w:val="0"/>
          <w:marBottom w:val="120"/>
          <w:divBdr>
            <w:top w:val="none" w:sz="0" w:space="0" w:color="auto"/>
            <w:left w:val="none" w:sz="0" w:space="0" w:color="auto"/>
            <w:bottom w:val="none" w:sz="0" w:space="0" w:color="auto"/>
            <w:right w:val="none" w:sz="0" w:space="0" w:color="auto"/>
          </w:divBdr>
        </w:div>
        <w:div w:id="2045935136">
          <w:marLeft w:val="720"/>
          <w:marRight w:val="0"/>
          <w:marTop w:val="0"/>
          <w:marBottom w:val="120"/>
          <w:divBdr>
            <w:top w:val="none" w:sz="0" w:space="0" w:color="auto"/>
            <w:left w:val="none" w:sz="0" w:space="0" w:color="auto"/>
            <w:bottom w:val="none" w:sz="0" w:space="0" w:color="auto"/>
            <w:right w:val="none" w:sz="0" w:space="0" w:color="auto"/>
          </w:divBdr>
        </w:div>
        <w:div w:id="829179532">
          <w:marLeft w:val="720"/>
          <w:marRight w:val="0"/>
          <w:marTop w:val="0"/>
          <w:marBottom w:val="120"/>
          <w:divBdr>
            <w:top w:val="none" w:sz="0" w:space="0" w:color="auto"/>
            <w:left w:val="none" w:sz="0" w:space="0" w:color="auto"/>
            <w:bottom w:val="none" w:sz="0" w:space="0" w:color="auto"/>
            <w:right w:val="none" w:sz="0" w:space="0" w:color="auto"/>
          </w:divBdr>
        </w:div>
        <w:div w:id="324628335">
          <w:marLeft w:val="720"/>
          <w:marRight w:val="0"/>
          <w:marTop w:val="0"/>
          <w:marBottom w:val="120"/>
          <w:divBdr>
            <w:top w:val="none" w:sz="0" w:space="0" w:color="auto"/>
            <w:left w:val="none" w:sz="0" w:space="0" w:color="auto"/>
            <w:bottom w:val="none" w:sz="0" w:space="0" w:color="auto"/>
            <w:right w:val="none" w:sz="0" w:space="0" w:color="auto"/>
          </w:divBdr>
        </w:div>
        <w:div w:id="639770506">
          <w:marLeft w:val="720"/>
          <w:marRight w:val="0"/>
          <w:marTop w:val="0"/>
          <w:marBottom w:val="120"/>
          <w:divBdr>
            <w:top w:val="none" w:sz="0" w:space="0" w:color="auto"/>
            <w:left w:val="none" w:sz="0" w:space="0" w:color="auto"/>
            <w:bottom w:val="none" w:sz="0" w:space="0" w:color="auto"/>
            <w:right w:val="none" w:sz="0" w:space="0" w:color="auto"/>
          </w:divBdr>
        </w:div>
        <w:div w:id="1925843891">
          <w:marLeft w:val="720"/>
          <w:marRight w:val="0"/>
          <w:marTop w:val="0"/>
          <w:marBottom w:val="120"/>
          <w:divBdr>
            <w:top w:val="none" w:sz="0" w:space="0" w:color="auto"/>
            <w:left w:val="none" w:sz="0" w:space="0" w:color="auto"/>
            <w:bottom w:val="none" w:sz="0" w:space="0" w:color="auto"/>
            <w:right w:val="none" w:sz="0" w:space="0" w:color="auto"/>
          </w:divBdr>
        </w:div>
        <w:div w:id="1828088730">
          <w:marLeft w:val="720"/>
          <w:marRight w:val="0"/>
          <w:marTop w:val="0"/>
          <w:marBottom w:val="120"/>
          <w:divBdr>
            <w:top w:val="none" w:sz="0" w:space="0" w:color="auto"/>
            <w:left w:val="none" w:sz="0" w:space="0" w:color="auto"/>
            <w:bottom w:val="none" w:sz="0" w:space="0" w:color="auto"/>
            <w:right w:val="none" w:sz="0" w:space="0" w:color="auto"/>
          </w:divBdr>
        </w:div>
        <w:div w:id="337738320">
          <w:marLeft w:val="240"/>
          <w:marRight w:val="0"/>
          <w:marTop w:val="0"/>
          <w:marBottom w:val="120"/>
          <w:divBdr>
            <w:top w:val="none" w:sz="0" w:space="0" w:color="auto"/>
            <w:left w:val="none" w:sz="0" w:space="0" w:color="auto"/>
            <w:bottom w:val="none" w:sz="0" w:space="0" w:color="auto"/>
            <w:right w:val="none" w:sz="0" w:space="0" w:color="auto"/>
          </w:divBdr>
        </w:div>
      </w:divsChild>
    </w:div>
    <w:div w:id="297496721">
      <w:bodyDiv w:val="1"/>
      <w:marLeft w:val="0"/>
      <w:marRight w:val="0"/>
      <w:marTop w:val="0"/>
      <w:marBottom w:val="0"/>
      <w:divBdr>
        <w:top w:val="none" w:sz="0" w:space="0" w:color="auto"/>
        <w:left w:val="none" w:sz="0" w:space="0" w:color="auto"/>
        <w:bottom w:val="none" w:sz="0" w:space="0" w:color="auto"/>
        <w:right w:val="none" w:sz="0" w:space="0" w:color="auto"/>
      </w:divBdr>
      <w:divsChild>
        <w:div w:id="442381799">
          <w:marLeft w:val="240"/>
          <w:marRight w:val="0"/>
          <w:marTop w:val="0"/>
          <w:marBottom w:val="120"/>
          <w:divBdr>
            <w:top w:val="none" w:sz="0" w:space="0" w:color="auto"/>
            <w:left w:val="none" w:sz="0" w:space="0" w:color="auto"/>
            <w:bottom w:val="none" w:sz="0" w:space="0" w:color="auto"/>
            <w:right w:val="none" w:sz="0" w:space="0" w:color="auto"/>
          </w:divBdr>
        </w:div>
        <w:div w:id="1751779131">
          <w:marLeft w:val="720"/>
          <w:marRight w:val="0"/>
          <w:marTop w:val="0"/>
          <w:marBottom w:val="120"/>
          <w:divBdr>
            <w:top w:val="none" w:sz="0" w:space="0" w:color="auto"/>
            <w:left w:val="none" w:sz="0" w:space="0" w:color="auto"/>
            <w:bottom w:val="none" w:sz="0" w:space="0" w:color="auto"/>
            <w:right w:val="none" w:sz="0" w:space="0" w:color="auto"/>
          </w:divBdr>
        </w:div>
        <w:div w:id="1964386452">
          <w:marLeft w:val="720"/>
          <w:marRight w:val="0"/>
          <w:marTop w:val="0"/>
          <w:marBottom w:val="120"/>
          <w:divBdr>
            <w:top w:val="none" w:sz="0" w:space="0" w:color="auto"/>
            <w:left w:val="none" w:sz="0" w:space="0" w:color="auto"/>
            <w:bottom w:val="none" w:sz="0" w:space="0" w:color="auto"/>
            <w:right w:val="none" w:sz="0" w:space="0" w:color="auto"/>
          </w:divBdr>
        </w:div>
        <w:div w:id="1258834315">
          <w:marLeft w:val="720"/>
          <w:marRight w:val="0"/>
          <w:marTop w:val="0"/>
          <w:marBottom w:val="120"/>
          <w:divBdr>
            <w:top w:val="none" w:sz="0" w:space="0" w:color="auto"/>
            <w:left w:val="none" w:sz="0" w:space="0" w:color="auto"/>
            <w:bottom w:val="none" w:sz="0" w:space="0" w:color="auto"/>
            <w:right w:val="none" w:sz="0" w:space="0" w:color="auto"/>
          </w:divBdr>
        </w:div>
        <w:div w:id="2010676603">
          <w:marLeft w:val="720"/>
          <w:marRight w:val="0"/>
          <w:marTop w:val="0"/>
          <w:marBottom w:val="120"/>
          <w:divBdr>
            <w:top w:val="none" w:sz="0" w:space="0" w:color="auto"/>
            <w:left w:val="none" w:sz="0" w:space="0" w:color="auto"/>
            <w:bottom w:val="none" w:sz="0" w:space="0" w:color="auto"/>
            <w:right w:val="none" w:sz="0" w:space="0" w:color="auto"/>
          </w:divBdr>
        </w:div>
        <w:div w:id="2143840013">
          <w:marLeft w:val="720"/>
          <w:marRight w:val="0"/>
          <w:marTop w:val="0"/>
          <w:marBottom w:val="120"/>
          <w:divBdr>
            <w:top w:val="none" w:sz="0" w:space="0" w:color="auto"/>
            <w:left w:val="none" w:sz="0" w:space="0" w:color="auto"/>
            <w:bottom w:val="none" w:sz="0" w:space="0" w:color="auto"/>
            <w:right w:val="none" w:sz="0" w:space="0" w:color="auto"/>
          </w:divBdr>
        </w:div>
        <w:div w:id="2099402214">
          <w:marLeft w:val="720"/>
          <w:marRight w:val="0"/>
          <w:marTop w:val="0"/>
          <w:marBottom w:val="120"/>
          <w:divBdr>
            <w:top w:val="none" w:sz="0" w:space="0" w:color="auto"/>
            <w:left w:val="none" w:sz="0" w:space="0" w:color="auto"/>
            <w:bottom w:val="none" w:sz="0" w:space="0" w:color="auto"/>
            <w:right w:val="none" w:sz="0" w:space="0" w:color="auto"/>
          </w:divBdr>
        </w:div>
        <w:div w:id="2142378857">
          <w:marLeft w:val="720"/>
          <w:marRight w:val="0"/>
          <w:marTop w:val="0"/>
          <w:marBottom w:val="120"/>
          <w:divBdr>
            <w:top w:val="none" w:sz="0" w:space="0" w:color="auto"/>
            <w:left w:val="none" w:sz="0" w:space="0" w:color="auto"/>
            <w:bottom w:val="none" w:sz="0" w:space="0" w:color="auto"/>
            <w:right w:val="none" w:sz="0" w:space="0" w:color="auto"/>
          </w:divBdr>
        </w:div>
      </w:divsChild>
    </w:div>
    <w:div w:id="302540415">
      <w:bodyDiv w:val="1"/>
      <w:marLeft w:val="0"/>
      <w:marRight w:val="0"/>
      <w:marTop w:val="0"/>
      <w:marBottom w:val="0"/>
      <w:divBdr>
        <w:top w:val="none" w:sz="0" w:space="0" w:color="auto"/>
        <w:left w:val="none" w:sz="0" w:space="0" w:color="auto"/>
        <w:bottom w:val="none" w:sz="0" w:space="0" w:color="auto"/>
        <w:right w:val="none" w:sz="0" w:space="0" w:color="auto"/>
      </w:divBdr>
    </w:div>
    <w:div w:id="371422301">
      <w:bodyDiv w:val="1"/>
      <w:marLeft w:val="0"/>
      <w:marRight w:val="0"/>
      <w:marTop w:val="0"/>
      <w:marBottom w:val="0"/>
      <w:divBdr>
        <w:top w:val="none" w:sz="0" w:space="0" w:color="auto"/>
        <w:left w:val="none" w:sz="0" w:space="0" w:color="auto"/>
        <w:bottom w:val="none" w:sz="0" w:space="0" w:color="auto"/>
        <w:right w:val="none" w:sz="0" w:space="0" w:color="auto"/>
      </w:divBdr>
    </w:div>
    <w:div w:id="400447658">
      <w:bodyDiv w:val="1"/>
      <w:marLeft w:val="0"/>
      <w:marRight w:val="0"/>
      <w:marTop w:val="0"/>
      <w:marBottom w:val="0"/>
      <w:divBdr>
        <w:top w:val="none" w:sz="0" w:space="0" w:color="auto"/>
        <w:left w:val="none" w:sz="0" w:space="0" w:color="auto"/>
        <w:bottom w:val="none" w:sz="0" w:space="0" w:color="auto"/>
        <w:right w:val="none" w:sz="0" w:space="0" w:color="auto"/>
      </w:divBdr>
    </w:div>
    <w:div w:id="418530202">
      <w:bodyDiv w:val="1"/>
      <w:marLeft w:val="0"/>
      <w:marRight w:val="0"/>
      <w:marTop w:val="0"/>
      <w:marBottom w:val="0"/>
      <w:divBdr>
        <w:top w:val="none" w:sz="0" w:space="0" w:color="auto"/>
        <w:left w:val="none" w:sz="0" w:space="0" w:color="auto"/>
        <w:bottom w:val="none" w:sz="0" w:space="0" w:color="auto"/>
        <w:right w:val="none" w:sz="0" w:space="0" w:color="auto"/>
      </w:divBdr>
    </w:div>
    <w:div w:id="470680838">
      <w:bodyDiv w:val="1"/>
      <w:marLeft w:val="0"/>
      <w:marRight w:val="0"/>
      <w:marTop w:val="0"/>
      <w:marBottom w:val="0"/>
      <w:divBdr>
        <w:top w:val="none" w:sz="0" w:space="0" w:color="auto"/>
        <w:left w:val="none" w:sz="0" w:space="0" w:color="auto"/>
        <w:bottom w:val="none" w:sz="0" w:space="0" w:color="auto"/>
        <w:right w:val="none" w:sz="0" w:space="0" w:color="auto"/>
      </w:divBdr>
    </w:div>
    <w:div w:id="493108377">
      <w:bodyDiv w:val="1"/>
      <w:marLeft w:val="0"/>
      <w:marRight w:val="0"/>
      <w:marTop w:val="0"/>
      <w:marBottom w:val="0"/>
      <w:divBdr>
        <w:top w:val="none" w:sz="0" w:space="0" w:color="auto"/>
        <w:left w:val="none" w:sz="0" w:space="0" w:color="auto"/>
        <w:bottom w:val="none" w:sz="0" w:space="0" w:color="auto"/>
        <w:right w:val="none" w:sz="0" w:space="0" w:color="auto"/>
      </w:divBdr>
    </w:div>
    <w:div w:id="514879999">
      <w:bodyDiv w:val="1"/>
      <w:marLeft w:val="0"/>
      <w:marRight w:val="0"/>
      <w:marTop w:val="0"/>
      <w:marBottom w:val="0"/>
      <w:divBdr>
        <w:top w:val="none" w:sz="0" w:space="0" w:color="auto"/>
        <w:left w:val="none" w:sz="0" w:space="0" w:color="auto"/>
        <w:bottom w:val="none" w:sz="0" w:space="0" w:color="auto"/>
        <w:right w:val="none" w:sz="0" w:space="0" w:color="auto"/>
      </w:divBdr>
    </w:div>
    <w:div w:id="54460898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9552758">
      <w:bodyDiv w:val="1"/>
      <w:marLeft w:val="0"/>
      <w:marRight w:val="0"/>
      <w:marTop w:val="0"/>
      <w:marBottom w:val="0"/>
      <w:divBdr>
        <w:top w:val="none" w:sz="0" w:space="0" w:color="auto"/>
        <w:left w:val="none" w:sz="0" w:space="0" w:color="auto"/>
        <w:bottom w:val="none" w:sz="0" w:space="0" w:color="auto"/>
        <w:right w:val="none" w:sz="0" w:space="0" w:color="auto"/>
      </w:divBdr>
      <w:divsChild>
        <w:div w:id="1855222832">
          <w:marLeft w:val="240"/>
          <w:marRight w:val="0"/>
          <w:marTop w:val="0"/>
          <w:marBottom w:val="120"/>
          <w:divBdr>
            <w:top w:val="none" w:sz="0" w:space="0" w:color="auto"/>
            <w:left w:val="none" w:sz="0" w:space="0" w:color="auto"/>
            <w:bottom w:val="none" w:sz="0" w:space="0" w:color="auto"/>
            <w:right w:val="none" w:sz="0" w:space="0" w:color="auto"/>
          </w:divBdr>
        </w:div>
        <w:div w:id="2068187594">
          <w:marLeft w:val="240"/>
          <w:marRight w:val="0"/>
          <w:marTop w:val="0"/>
          <w:marBottom w:val="120"/>
          <w:divBdr>
            <w:top w:val="none" w:sz="0" w:space="0" w:color="auto"/>
            <w:left w:val="none" w:sz="0" w:space="0" w:color="auto"/>
            <w:bottom w:val="none" w:sz="0" w:space="0" w:color="auto"/>
            <w:right w:val="none" w:sz="0" w:space="0" w:color="auto"/>
          </w:divBdr>
        </w:div>
        <w:div w:id="85425410">
          <w:marLeft w:val="240"/>
          <w:marRight w:val="0"/>
          <w:marTop w:val="0"/>
          <w:marBottom w:val="120"/>
          <w:divBdr>
            <w:top w:val="none" w:sz="0" w:space="0" w:color="auto"/>
            <w:left w:val="none" w:sz="0" w:space="0" w:color="auto"/>
            <w:bottom w:val="none" w:sz="0" w:space="0" w:color="auto"/>
            <w:right w:val="none" w:sz="0" w:space="0" w:color="auto"/>
          </w:divBdr>
        </w:div>
        <w:div w:id="1662344389">
          <w:marLeft w:val="240"/>
          <w:marRight w:val="0"/>
          <w:marTop w:val="0"/>
          <w:marBottom w:val="120"/>
          <w:divBdr>
            <w:top w:val="none" w:sz="0" w:space="0" w:color="auto"/>
            <w:left w:val="none" w:sz="0" w:space="0" w:color="auto"/>
            <w:bottom w:val="none" w:sz="0" w:space="0" w:color="auto"/>
            <w:right w:val="none" w:sz="0" w:space="0" w:color="auto"/>
          </w:divBdr>
        </w:div>
      </w:divsChild>
    </w:div>
    <w:div w:id="699479335">
      <w:bodyDiv w:val="1"/>
      <w:marLeft w:val="0"/>
      <w:marRight w:val="0"/>
      <w:marTop w:val="0"/>
      <w:marBottom w:val="0"/>
      <w:divBdr>
        <w:top w:val="none" w:sz="0" w:space="0" w:color="auto"/>
        <w:left w:val="none" w:sz="0" w:space="0" w:color="auto"/>
        <w:bottom w:val="none" w:sz="0" w:space="0" w:color="auto"/>
        <w:right w:val="none" w:sz="0" w:space="0" w:color="auto"/>
      </w:divBdr>
    </w:div>
    <w:div w:id="710155920">
      <w:bodyDiv w:val="1"/>
      <w:marLeft w:val="0"/>
      <w:marRight w:val="0"/>
      <w:marTop w:val="0"/>
      <w:marBottom w:val="0"/>
      <w:divBdr>
        <w:top w:val="none" w:sz="0" w:space="0" w:color="auto"/>
        <w:left w:val="none" w:sz="0" w:space="0" w:color="auto"/>
        <w:bottom w:val="none" w:sz="0" w:space="0" w:color="auto"/>
        <w:right w:val="none" w:sz="0" w:space="0" w:color="auto"/>
      </w:divBdr>
    </w:div>
    <w:div w:id="753160748">
      <w:bodyDiv w:val="1"/>
      <w:marLeft w:val="0"/>
      <w:marRight w:val="0"/>
      <w:marTop w:val="0"/>
      <w:marBottom w:val="0"/>
      <w:divBdr>
        <w:top w:val="none" w:sz="0" w:space="0" w:color="auto"/>
        <w:left w:val="none" w:sz="0" w:space="0" w:color="auto"/>
        <w:bottom w:val="none" w:sz="0" w:space="0" w:color="auto"/>
        <w:right w:val="none" w:sz="0" w:space="0" w:color="auto"/>
      </w:divBdr>
    </w:div>
    <w:div w:id="8139078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8346584">
      <w:bodyDiv w:val="1"/>
      <w:marLeft w:val="0"/>
      <w:marRight w:val="0"/>
      <w:marTop w:val="0"/>
      <w:marBottom w:val="0"/>
      <w:divBdr>
        <w:top w:val="none" w:sz="0" w:space="0" w:color="auto"/>
        <w:left w:val="none" w:sz="0" w:space="0" w:color="auto"/>
        <w:bottom w:val="none" w:sz="0" w:space="0" w:color="auto"/>
        <w:right w:val="none" w:sz="0" w:space="0" w:color="auto"/>
      </w:divBdr>
      <w:divsChild>
        <w:div w:id="2039351945">
          <w:marLeft w:val="240"/>
          <w:marRight w:val="0"/>
          <w:marTop w:val="0"/>
          <w:marBottom w:val="120"/>
          <w:divBdr>
            <w:top w:val="none" w:sz="0" w:space="0" w:color="auto"/>
            <w:left w:val="none" w:sz="0" w:space="0" w:color="auto"/>
            <w:bottom w:val="none" w:sz="0" w:space="0" w:color="auto"/>
            <w:right w:val="none" w:sz="0" w:space="0" w:color="auto"/>
          </w:divBdr>
        </w:div>
        <w:div w:id="954874600">
          <w:marLeft w:val="720"/>
          <w:marRight w:val="0"/>
          <w:marTop w:val="0"/>
          <w:marBottom w:val="120"/>
          <w:divBdr>
            <w:top w:val="none" w:sz="0" w:space="0" w:color="auto"/>
            <w:left w:val="none" w:sz="0" w:space="0" w:color="auto"/>
            <w:bottom w:val="none" w:sz="0" w:space="0" w:color="auto"/>
            <w:right w:val="none" w:sz="0" w:space="0" w:color="auto"/>
          </w:divBdr>
        </w:div>
        <w:div w:id="1566062581">
          <w:marLeft w:val="720"/>
          <w:marRight w:val="0"/>
          <w:marTop w:val="0"/>
          <w:marBottom w:val="120"/>
          <w:divBdr>
            <w:top w:val="none" w:sz="0" w:space="0" w:color="auto"/>
            <w:left w:val="none" w:sz="0" w:space="0" w:color="auto"/>
            <w:bottom w:val="none" w:sz="0" w:space="0" w:color="auto"/>
            <w:right w:val="none" w:sz="0" w:space="0" w:color="auto"/>
          </w:divBdr>
        </w:div>
        <w:div w:id="1398282808">
          <w:marLeft w:val="720"/>
          <w:marRight w:val="0"/>
          <w:marTop w:val="0"/>
          <w:marBottom w:val="120"/>
          <w:divBdr>
            <w:top w:val="none" w:sz="0" w:space="0" w:color="auto"/>
            <w:left w:val="none" w:sz="0" w:space="0" w:color="auto"/>
            <w:bottom w:val="none" w:sz="0" w:space="0" w:color="auto"/>
            <w:right w:val="none" w:sz="0" w:space="0" w:color="auto"/>
          </w:divBdr>
        </w:div>
        <w:div w:id="1871408350">
          <w:marLeft w:val="720"/>
          <w:marRight w:val="0"/>
          <w:marTop w:val="0"/>
          <w:marBottom w:val="120"/>
          <w:divBdr>
            <w:top w:val="none" w:sz="0" w:space="0" w:color="auto"/>
            <w:left w:val="none" w:sz="0" w:space="0" w:color="auto"/>
            <w:bottom w:val="none" w:sz="0" w:space="0" w:color="auto"/>
            <w:right w:val="none" w:sz="0" w:space="0" w:color="auto"/>
          </w:divBdr>
        </w:div>
      </w:divsChild>
    </w:div>
    <w:div w:id="846988634">
      <w:bodyDiv w:val="1"/>
      <w:marLeft w:val="0"/>
      <w:marRight w:val="0"/>
      <w:marTop w:val="0"/>
      <w:marBottom w:val="0"/>
      <w:divBdr>
        <w:top w:val="none" w:sz="0" w:space="0" w:color="auto"/>
        <w:left w:val="none" w:sz="0" w:space="0" w:color="auto"/>
        <w:bottom w:val="none" w:sz="0" w:space="0" w:color="auto"/>
        <w:right w:val="none" w:sz="0" w:space="0" w:color="auto"/>
      </w:divBdr>
    </w:div>
    <w:div w:id="851142713">
      <w:bodyDiv w:val="1"/>
      <w:marLeft w:val="0"/>
      <w:marRight w:val="0"/>
      <w:marTop w:val="0"/>
      <w:marBottom w:val="0"/>
      <w:divBdr>
        <w:top w:val="none" w:sz="0" w:space="0" w:color="auto"/>
        <w:left w:val="none" w:sz="0" w:space="0" w:color="auto"/>
        <w:bottom w:val="none" w:sz="0" w:space="0" w:color="auto"/>
        <w:right w:val="none" w:sz="0" w:space="0" w:color="auto"/>
      </w:divBdr>
    </w:div>
    <w:div w:id="939684837">
      <w:bodyDiv w:val="1"/>
      <w:marLeft w:val="0"/>
      <w:marRight w:val="0"/>
      <w:marTop w:val="0"/>
      <w:marBottom w:val="0"/>
      <w:divBdr>
        <w:top w:val="none" w:sz="0" w:space="0" w:color="auto"/>
        <w:left w:val="none" w:sz="0" w:space="0" w:color="auto"/>
        <w:bottom w:val="none" w:sz="0" w:space="0" w:color="auto"/>
        <w:right w:val="none" w:sz="0" w:space="0" w:color="auto"/>
      </w:divBdr>
    </w:div>
    <w:div w:id="977031940">
      <w:bodyDiv w:val="1"/>
      <w:marLeft w:val="0"/>
      <w:marRight w:val="0"/>
      <w:marTop w:val="0"/>
      <w:marBottom w:val="0"/>
      <w:divBdr>
        <w:top w:val="none" w:sz="0" w:space="0" w:color="auto"/>
        <w:left w:val="none" w:sz="0" w:space="0" w:color="auto"/>
        <w:bottom w:val="none" w:sz="0" w:space="0" w:color="auto"/>
        <w:right w:val="none" w:sz="0" w:space="0" w:color="auto"/>
      </w:divBdr>
    </w:div>
    <w:div w:id="979191823">
      <w:bodyDiv w:val="1"/>
      <w:marLeft w:val="0"/>
      <w:marRight w:val="0"/>
      <w:marTop w:val="0"/>
      <w:marBottom w:val="0"/>
      <w:divBdr>
        <w:top w:val="none" w:sz="0" w:space="0" w:color="auto"/>
        <w:left w:val="none" w:sz="0" w:space="0" w:color="auto"/>
        <w:bottom w:val="none" w:sz="0" w:space="0" w:color="auto"/>
        <w:right w:val="none" w:sz="0" w:space="0" w:color="auto"/>
      </w:divBdr>
      <w:divsChild>
        <w:div w:id="320472762">
          <w:marLeft w:val="240"/>
          <w:marRight w:val="0"/>
          <w:marTop w:val="0"/>
          <w:marBottom w:val="120"/>
          <w:divBdr>
            <w:top w:val="none" w:sz="0" w:space="0" w:color="auto"/>
            <w:left w:val="none" w:sz="0" w:space="0" w:color="auto"/>
            <w:bottom w:val="none" w:sz="0" w:space="0" w:color="auto"/>
            <w:right w:val="none" w:sz="0" w:space="0" w:color="auto"/>
          </w:divBdr>
        </w:div>
        <w:div w:id="210117993">
          <w:marLeft w:val="720"/>
          <w:marRight w:val="0"/>
          <w:marTop w:val="0"/>
          <w:marBottom w:val="120"/>
          <w:divBdr>
            <w:top w:val="none" w:sz="0" w:space="0" w:color="auto"/>
            <w:left w:val="none" w:sz="0" w:space="0" w:color="auto"/>
            <w:bottom w:val="none" w:sz="0" w:space="0" w:color="auto"/>
            <w:right w:val="none" w:sz="0" w:space="0" w:color="auto"/>
          </w:divBdr>
        </w:div>
        <w:div w:id="1077246098">
          <w:marLeft w:val="720"/>
          <w:marRight w:val="0"/>
          <w:marTop w:val="0"/>
          <w:marBottom w:val="120"/>
          <w:divBdr>
            <w:top w:val="none" w:sz="0" w:space="0" w:color="auto"/>
            <w:left w:val="none" w:sz="0" w:space="0" w:color="auto"/>
            <w:bottom w:val="none" w:sz="0" w:space="0" w:color="auto"/>
            <w:right w:val="none" w:sz="0" w:space="0" w:color="auto"/>
          </w:divBdr>
        </w:div>
        <w:div w:id="518352867">
          <w:marLeft w:val="720"/>
          <w:marRight w:val="0"/>
          <w:marTop w:val="0"/>
          <w:marBottom w:val="120"/>
          <w:divBdr>
            <w:top w:val="none" w:sz="0" w:space="0" w:color="auto"/>
            <w:left w:val="none" w:sz="0" w:space="0" w:color="auto"/>
            <w:bottom w:val="none" w:sz="0" w:space="0" w:color="auto"/>
            <w:right w:val="none" w:sz="0" w:space="0" w:color="auto"/>
          </w:divBdr>
        </w:div>
        <w:div w:id="1873806371">
          <w:marLeft w:val="720"/>
          <w:marRight w:val="0"/>
          <w:marTop w:val="0"/>
          <w:marBottom w:val="120"/>
          <w:divBdr>
            <w:top w:val="none" w:sz="0" w:space="0" w:color="auto"/>
            <w:left w:val="none" w:sz="0" w:space="0" w:color="auto"/>
            <w:bottom w:val="none" w:sz="0" w:space="0" w:color="auto"/>
            <w:right w:val="none" w:sz="0" w:space="0" w:color="auto"/>
          </w:divBdr>
        </w:div>
        <w:div w:id="1093748422">
          <w:marLeft w:val="720"/>
          <w:marRight w:val="0"/>
          <w:marTop w:val="0"/>
          <w:marBottom w:val="120"/>
          <w:divBdr>
            <w:top w:val="none" w:sz="0" w:space="0" w:color="auto"/>
            <w:left w:val="none" w:sz="0" w:space="0" w:color="auto"/>
            <w:bottom w:val="none" w:sz="0" w:space="0" w:color="auto"/>
            <w:right w:val="none" w:sz="0" w:space="0" w:color="auto"/>
          </w:divBdr>
        </w:div>
        <w:div w:id="644820436">
          <w:marLeft w:val="720"/>
          <w:marRight w:val="0"/>
          <w:marTop w:val="0"/>
          <w:marBottom w:val="120"/>
          <w:divBdr>
            <w:top w:val="none" w:sz="0" w:space="0" w:color="auto"/>
            <w:left w:val="none" w:sz="0" w:space="0" w:color="auto"/>
            <w:bottom w:val="none" w:sz="0" w:space="0" w:color="auto"/>
            <w:right w:val="none" w:sz="0" w:space="0" w:color="auto"/>
          </w:divBdr>
        </w:div>
        <w:div w:id="905460191">
          <w:marLeft w:val="720"/>
          <w:marRight w:val="0"/>
          <w:marTop w:val="0"/>
          <w:marBottom w:val="120"/>
          <w:divBdr>
            <w:top w:val="none" w:sz="0" w:space="0" w:color="auto"/>
            <w:left w:val="none" w:sz="0" w:space="0" w:color="auto"/>
            <w:bottom w:val="none" w:sz="0" w:space="0" w:color="auto"/>
            <w:right w:val="none" w:sz="0" w:space="0" w:color="auto"/>
          </w:divBdr>
        </w:div>
        <w:div w:id="990863571">
          <w:marLeft w:val="720"/>
          <w:marRight w:val="0"/>
          <w:marTop w:val="0"/>
          <w:marBottom w:val="120"/>
          <w:divBdr>
            <w:top w:val="none" w:sz="0" w:space="0" w:color="auto"/>
            <w:left w:val="none" w:sz="0" w:space="0" w:color="auto"/>
            <w:bottom w:val="none" w:sz="0" w:space="0" w:color="auto"/>
            <w:right w:val="none" w:sz="0" w:space="0" w:color="auto"/>
          </w:divBdr>
        </w:div>
        <w:div w:id="456609397">
          <w:marLeft w:val="240"/>
          <w:marRight w:val="0"/>
          <w:marTop w:val="0"/>
          <w:marBottom w:val="120"/>
          <w:divBdr>
            <w:top w:val="none" w:sz="0" w:space="0" w:color="auto"/>
            <w:left w:val="none" w:sz="0" w:space="0" w:color="auto"/>
            <w:bottom w:val="none" w:sz="0" w:space="0" w:color="auto"/>
            <w:right w:val="none" w:sz="0" w:space="0" w:color="auto"/>
          </w:divBdr>
        </w:div>
        <w:div w:id="164633240">
          <w:marLeft w:val="240"/>
          <w:marRight w:val="0"/>
          <w:marTop w:val="0"/>
          <w:marBottom w:val="120"/>
          <w:divBdr>
            <w:top w:val="none" w:sz="0" w:space="0" w:color="auto"/>
            <w:left w:val="none" w:sz="0" w:space="0" w:color="auto"/>
            <w:bottom w:val="none" w:sz="0" w:space="0" w:color="auto"/>
            <w:right w:val="none" w:sz="0" w:space="0" w:color="auto"/>
          </w:divBdr>
        </w:div>
        <w:div w:id="1154028580">
          <w:marLeft w:val="240"/>
          <w:marRight w:val="0"/>
          <w:marTop w:val="0"/>
          <w:marBottom w:val="120"/>
          <w:divBdr>
            <w:top w:val="none" w:sz="0" w:space="0" w:color="auto"/>
            <w:left w:val="none" w:sz="0" w:space="0" w:color="auto"/>
            <w:bottom w:val="none" w:sz="0" w:space="0" w:color="auto"/>
            <w:right w:val="none" w:sz="0" w:space="0" w:color="auto"/>
          </w:divBdr>
        </w:div>
      </w:divsChild>
    </w:div>
    <w:div w:id="987241920">
      <w:bodyDiv w:val="1"/>
      <w:marLeft w:val="0"/>
      <w:marRight w:val="0"/>
      <w:marTop w:val="0"/>
      <w:marBottom w:val="0"/>
      <w:divBdr>
        <w:top w:val="none" w:sz="0" w:space="0" w:color="auto"/>
        <w:left w:val="none" w:sz="0" w:space="0" w:color="auto"/>
        <w:bottom w:val="none" w:sz="0" w:space="0" w:color="auto"/>
        <w:right w:val="none" w:sz="0" w:space="0" w:color="auto"/>
      </w:divBdr>
    </w:div>
    <w:div w:id="987972612">
      <w:bodyDiv w:val="1"/>
      <w:marLeft w:val="0"/>
      <w:marRight w:val="0"/>
      <w:marTop w:val="0"/>
      <w:marBottom w:val="0"/>
      <w:divBdr>
        <w:top w:val="none" w:sz="0" w:space="0" w:color="auto"/>
        <w:left w:val="none" w:sz="0" w:space="0" w:color="auto"/>
        <w:bottom w:val="none" w:sz="0" w:space="0" w:color="auto"/>
        <w:right w:val="none" w:sz="0" w:space="0" w:color="auto"/>
      </w:divBdr>
      <w:divsChild>
        <w:div w:id="183633531">
          <w:marLeft w:val="240"/>
          <w:marRight w:val="0"/>
          <w:marTop w:val="0"/>
          <w:marBottom w:val="120"/>
          <w:divBdr>
            <w:top w:val="none" w:sz="0" w:space="0" w:color="auto"/>
            <w:left w:val="none" w:sz="0" w:space="0" w:color="auto"/>
            <w:bottom w:val="none" w:sz="0" w:space="0" w:color="auto"/>
            <w:right w:val="none" w:sz="0" w:space="0" w:color="auto"/>
          </w:divBdr>
        </w:div>
        <w:div w:id="670528426">
          <w:marLeft w:val="720"/>
          <w:marRight w:val="0"/>
          <w:marTop w:val="0"/>
          <w:marBottom w:val="120"/>
          <w:divBdr>
            <w:top w:val="none" w:sz="0" w:space="0" w:color="auto"/>
            <w:left w:val="none" w:sz="0" w:space="0" w:color="auto"/>
            <w:bottom w:val="none" w:sz="0" w:space="0" w:color="auto"/>
            <w:right w:val="none" w:sz="0" w:space="0" w:color="auto"/>
          </w:divBdr>
        </w:div>
        <w:div w:id="1908103506">
          <w:marLeft w:val="720"/>
          <w:marRight w:val="0"/>
          <w:marTop w:val="0"/>
          <w:marBottom w:val="120"/>
          <w:divBdr>
            <w:top w:val="none" w:sz="0" w:space="0" w:color="auto"/>
            <w:left w:val="none" w:sz="0" w:space="0" w:color="auto"/>
            <w:bottom w:val="none" w:sz="0" w:space="0" w:color="auto"/>
            <w:right w:val="none" w:sz="0" w:space="0" w:color="auto"/>
          </w:divBdr>
        </w:div>
        <w:div w:id="1052509441">
          <w:marLeft w:val="720"/>
          <w:marRight w:val="0"/>
          <w:marTop w:val="0"/>
          <w:marBottom w:val="120"/>
          <w:divBdr>
            <w:top w:val="none" w:sz="0" w:space="0" w:color="auto"/>
            <w:left w:val="none" w:sz="0" w:space="0" w:color="auto"/>
            <w:bottom w:val="none" w:sz="0" w:space="0" w:color="auto"/>
            <w:right w:val="none" w:sz="0" w:space="0" w:color="auto"/>
          </w:divBdr>
        </w:div>
        <w:div w:id="1933006368">
          <w:marLeft w:val="720"/>
          <w:marRight w:val="0"/>
          <w:marTop w:val="0"/>
          <w:marBottom w:val="120"/>
          <w:divBdr>
            <w:top w:val="none" w:sz="0" w:space="0" w:color="auto"/>
            <w:left w:val="none" w:sz="0" w:space="0" w:color="auto"/>
            <w:bottom w:val="none" w:sz="0" w:space="0" w:color="auto"/>
            <w:right w:val="none" w:sz="0" w:space="0" w:color="auto"/>
          </w:divBdr>
        </w:div>
        <w:div w:id="746418507">
          <w:marLeft w:val="720"/>
          <w:marRight w:val="0"/>
          <w:marTop w:val="0"/>
          <w:marBottom w:val="120"/>
          <w:divBdr>
            <w:top w:val="none" w:sz="0" w:space="0" w:color="auto"/>
            <w:left w:val="none" w:sz="0" w:space="0" w:color="auto"/>
            <w:bottom w:val="none" w:sz="0" w:space="0" w:color="auto"/>
            <w:right w:val="none" w:sz="0" w:space="0" w:color="auto"/>
          </w:divBdr>
        </w:div>
        <w:div w:id="1850680130">
          <w:marLeft w:val="720"/>
          <w:marRight w:val="0"/>
          <w:marTop w:val="0"/>
          <w:marBottom w:val="120"/>
          <w:divBdr>
            <w:top w:val="none" w:sz="0" w:space="0" w:color="auto"/>
            <w:left w:val="none" w:sz="0" w:space="0" w:color="auto"/>
            <w:bottom w:val="none" w:sz="0" w:space="0" w:color="auto"/>
            <w:right w:val="none" w:sz="0" w:space="0" w:color="auto"/>
          </w:divBdr>
        </w:div>
        <w:div w:id="787158689">
          <w:marLeft w:val="720"/>
          <w:marRight w:val="0"/>
          <w:marTop w:val="0"/>
          <w:marBottom w:val="120"/>
          <w:divBdr>
            <w:top w:val="none" w:sz="0" w:space="0" w:color="auto"/>
            <w:left w:val="none" w:sz="0" w:space="0" w:color="auto"/>
            <w:bottom w:val="none" w:sz="0" w:space="0" w:color="auto"/>
            <w:right w:val="none" w:sz="0" w:space="0" w:color="auto"/>
          </w:divBdr>
        </w:div>
      </w:divsChild>
    </w:div>
    <w:div w:id="1048722719">
      <w:bodyDiv w:val="1"/>
      <w:marLeft w:val="0"/>
      <w:marRight w:val="0"/>
      <w:marTop w:val="0"/>
      <w:marBottom w:val="0"/>
      <w:divBdr>
        <w:top w:val="none" w:sz="0" w:space="0" w:color="auto"/>
        <w:left w:val="none" w:sz="0" w:space="0" w:color="auto"/>
        <w:bottom w:val="none" w:sz="0" w:space="0" w:color="auto"/>
        <w:right w:val="none" w:sz="0" w:space="0" w:color="auto"/>
      </w:divBdr>
    </w:div>
    <w:div w:id="1085884701">
      <w:bodyDiv w:val="1"/>
      <w:marLeft w:val="0"/>
      <w:marRight w:val="0"/>
      <w:marTop w:val="0"/>
      <w:marBottom w:val="0"/>
      <w:divBdr>
        <w:top w:val="none" w:sz="0" w:space="0" w:color="auto"/>
        <w:left w:val="none" w:sz="0" w:space="0" w:color="auto"/>
        <w:bottom w:val="none" w:sz="0" w:space="0" w:color="auto"/>
        <w:right w:val="none" w:sz="0" w:space="0" w:color="auto"/>
      </w:divBdr>
      <w:divsChild>
        <w:div w:id="1374386672">
          <w:marLeft w:val="240"/>
          <w:marRight w:val="0"/>
          <w:marTop w:val="0"/>
          <w:marBottom w:val="120"/>
          <w:divBdr>
            <w:top w:val="none" w:sz="0" w:space="0" w:color="auto"/>
            <w:left w:val="none" w:sz="0" w:space="0" w:color="auto"/>
            <w:bottom w:val="none" w:sz="0" w:space="0" w:color="auto"/>
            <w:right w:val="none" w:sz="0" w:space="0" w:color="auto"/>
          </w:divBdr>
        </w:div>
        <w:div w:id="162747235">
          <w:marLeft w:val="720"/>
          <w:marRight w:val="0"/>
          <w:marTop w:val="0"/>
          <w:marBottom w:val="120"/>
          <w:divBdr>
            <w:top w:val="none" w:sz="0" w:space="0" w:color="auto"/>
            <w:left w:val="none" w:sz="0" w:space="0" w:color="auto"/>
            <w:bottom w:val="none" w:sz="0" w:space="0" w:color="auto"/>
            <w:right w:val="none" w:sz="0" w:space="0" w:color="auto"/>
          </w:divBdr>
        </w:div>
        <w:div w:id="504058511">
          <w:marLeft w:val="720"/>
          <w:marRight w:val="0"/>
          <w:marTop w:val="0"/>
          <w:marBottom w:val="120"/>
          <w:divBdr>
            <w:top w:val="none" w:sz="0" w:space="0" w:color="auto"/>
            <w:left w:val="none" w:sz="0" w:space="0" w:color="auto"/>
            <w:bottom w:val="none" w:sz="0" w:space="0" w:color="auto"/>
            <w:right w:val="none" w:sz="0" w:space="0" w:color="auto"/>
          </w:divBdr>
        </w:div>
        <w:div w:id="1758937657">
          <w:marLeft w:val="720"/>
          <w:marRight w:val="0"/>
          <w:marTop w:val="0"/>
          <w:marBottom w:val="120"/>
          <w:divBdr>
            <w:top w:val="none" w:sz="0" w:space="0" w:color="auto"/>
            <w:left w:val="none" w:sz="0" w:space="0" w:color="auto"/>
            <w:bottom w:val="none" w:sz="0" w:space="0" w:color="auto"/>
            <w:right w:val="none" w:sz="0" w:space="0" w:color="auto"/>
          </w:divBdr>
        </w:div>
        <w:div w:id="333607450">
          <w:marLeft w:val="720"/>
          <w:marRight w:val="0"/>
          <w:marTop w:val="0"/>
          <w:marBottom w:val="120"/>
          <w:divBdr>
            <w:top w:val="none" w:sz="0" w:space="0" w:color="auto"/>
            <w:left w:val="none" w:sz="0" w:space="0" w:color="auto"/>
            <w:bottom w:val="none" w:sz="0" w:space="0" w:color="auto"/>
            <w:right w:val="none" w:sz="0" w:space="0" w:color="auto"/>
          </w:divBdr>
        </w:div>
        <w:div w:id="2080132103">
          <w:marLeft w:val="720"/>
          <w:marRight w:val="0"/>
          <w:marTop w:val="0"/>
          <w:marBottom w:val="120"/>
          <w:divBdr>
            <w:top w:val="none" w:sz="0" w:space="0" w:color="auto"/>
            <w:left w:val="none" w:sz="0" w:space="0" w:color="auto"/>
            <w:bottom w:val="none" w:sz="0" w:space="0" w:color="auto"/>
            <w:right w:val="none" w:sz="0" w:space="0" w:color="auto"/>
          </w:divBdr>
        </w:div>
        <w:div w:id="1068386354">
          <w:marLeft w:val="720"/>
          <w:marRight w:val="0"/>
          <w:marTop w:val="0"/>
          <w:marBottom w:val="120"/>
          <w:divBdr>
            <w:top w:val="none" w:sz="0" w:space="0" w:color="auto"/>
            <w:left w:val="none" w:sz="0" w:space="0" w:color="auto"/>
            <w:bottom w:val="none" w:sz="0" w:space="0" w:color="auto"/>
            <w:right w:val="none" w:sz="0" w:space="0" w:color="auto"/>
          </w:divBdr>
        </w:div>
        <w:div w:id="829373263">
          <w:marLeft w:val="720"/>
          <w:marRight w:val="0"/>
          <w:marTop w:val="0"/>
          <w:marBottom w:val="120"/>
          <w:divBdr>
            <w:top w:val="none" w:sz="0" w:space="0" w:color="auto"/>
            <w:left w:val="none" w:sz="0" w:space="0" w:color="auto"/>
            <w:bottom w:val="none" w:sz="0" w:space="0" w:color="auto"/>
            <w:right w:val="none" w:sz="0" w:space="0" w:color="auto"/>
          </w:divBdr>
        </w:div>
        <w:div w:id="1740515947">
          <w:marLeft w:val="720"/>
          <w:marRight w:val="0"/>
          <w:marTop w:val="0"/>
          <w:marBottom w:val="120"/>
          <w:divBdr>
            <w:top w:val="none" w:sz="0" w:space="0" w:color="auto"/>
            <w:left w:val="none" w:sz="0" w:space="0" w:color="auto"/>
            <w:bottom w:val="none" w:sz="0" w:space="0" w:color="auto"/>
            <w:right w:val="none" w:sz="0" w:space="0" w:color="auto"/>
          </w:divBdr>
        </w:div>
        <w:div w:id="1472626175">
          <w:marLeft w:val="240"/>
          <w:marRight w:val="0"/>
          <w:marTop w:val="0"/>
          <w:marBottom w:val="120"/>
          <w:divBdr>
            <w:top w:val="none" w:sz="0" w:space="0" w:color="auto"/>
            <w:left w:val="none" w:sz="0" w:space="0" w:color="auto"/>
            <w:bottom w:val="none" w:sz="0" w:space="0" w:color="auto"/>
            <w:right w:val="none" w:sz="0" w:space="0" w:color="auto"/>
          </w:divBdr>
        </w:div>
      </w:divsChild>
    </w:div>
    <w:div w:id="1099639413">
      <w:bodyDiv w:val="1"/>
      <w:marLeft w:val="0"/>
      <w:marRight w:val="0"/>
      <w:marTop w:val="0"/>
      <w:marBottom w:val="0"/>
      <w:divBdr>
        <w:top w:val="none" w:sz="0" w:space="0" w:color="auto"/>
        <w:left w:val="none" w:sz="0" w:space="0" w:color="auto"/>
        <w:bottom w:val="none" w:sz="0" w:space="0" w:color="auto"/>
        <w:right w:val="none" w:sz="0" w:space="0" w:color="auto"/>
      </w:divBdr>
    </w:div>
    <w:div w:id="1150251596">
      <w:bodyDiv w:val="1"/>
      <w:marLeft w:val="0"/>
      <w:marRight w:val="0"/>
      <w:marTop w:val="0"/>
      <w:marBottom w:val="0"/>
      <w:divBdr>
        <w:top w:val="none" w:sz="0" w:space="0" w:color="auto"/>
        <w:left w:val="none" w:sz="0" w:space="0" w:color="auto"/>
        <w:bottom w:val="none" w:sz="0" w:space="0" w:color="auto"/>
        <w:right w:val="none" w:sz="0" w:space="0" w:color="auto"/>
      </w:divBdr>
      <w:divsChild>
        <w:div w:id="1454910509">
          <w:marLeft w:val="240"/>
          <w:marRight w:val="0"/>
          <w:marTop w:val="0"/>
          <w:marBottom w:val="120"/>
          <w:divBdr>
            <w:top w:val="none" w:sz="0" w:space="0" w:color="auto"/>
            <w:left w:val="none" w:sz="0" w:space="0" w:color="auto"/>
            <w:bottom w:val="none" w:sz="0" w:space="0" w:color="auto"/>
            <w:right w:val="none" w:sz="0" w:space="0" w:color="auto"/>
          </w:divBdr>
        </w:div>
        <w:div w:id="1648436414">
          <w:marLeft w:val="720"/>
          <w:marRight w:val="0"/>
          <w:marTop w:val="0"/>
          <w:marBottom w:val="120"/>
          <w:divBdr>
            <w:top w:val="none" w:sz="0" w:space="0" w:color="auto"/>
            <w:left w:val="none" w:sz="0" w:space="0" w:color="auto"/>
            <w:bottom w:val="none" w:sz="0" w:space="0" w:color="auto"/>
            <w:right w:val="none" w:sz="0" w:space="0" w:color="auto"/>
          </w:divBdr>
        </w:div>
        <w:div w:id="662196282">
          <w:marLeft w:val="720"/>
          <w:marRight w:val="0"/>
          <w:marTop w:val="0"/>
          <w:marBottom w:val="120"/>
          <w:divBdr>
            <w:top w:val="none" w:sz="0" w:space="0" w:color="auto"/>
            <w:left w:val="none" w:sz="0" w:space="0" w:color="auto"/>
            <w:bottom w:val="none" w:sz="0" w:space="0" w:color="auto"/>
            <w:right w:val="none" w:sz="0" w:space="0" w:color="auto"/>
          </w:divBdr>
        </w:div>
        <w:div w:id="1616980948">
          <w:marLeft w:val="720"/>
          <w:marRight w:val="0"/>
          <w:marTop w:val="0"/>
          <w:marBottom w:val="120"/>
          <w:divBdr>
            <w:top w:val="none" w:sz="0" w:space="0" w:color="auto"/>
            <w:left w:val="none" w:sz="0" w:space="0" w:color="auto"/>
            <w:bottom w:val="none" w:sz="0" w:space="0" w:color="auto"/>
            <w:right w:val="none" w:sz="0" w:space="0" w:color="auto"/>
          </w:divBdr>
        </w:div>
        <w:div w:id="2050689473">
          <w:marLeft w:val="720"/>
          <w:marRight w:val="0"/>
          <w:marTop w:val="0"/>
          <w:marBottom w:val="120"/>
          <w:divBdr>
            <w:top w:val="none" w:sz="0" w:space="0" w:color="auto"/>
            <w:left w:val="none" w:sz="0" w:space="0" w:color="auto"/>
            <w:bottom w:val="none" w:sz="0" w:space="0" w:color="auto"/>
            <w:right w:val="none" w:sz="0" w:space="0" w:color="auto"/>
          </w:divBdr>
        </w:div>
        <w:div w:id="894004206">
          <w:marLeft w:val="720"/>
          <w:marRight w:val="0"/>
          <w:marTop w:val="0"/>
          <w:marBottom w:val="120"/>
          <w:divBdr>
            <w:top w:val="none" w:sz="0" w:space="0" w:color="auto"/>
            <w:left w:val="none" w:sz="0" w:space="0" w:color="auto"/>
            <w:bottom w:val="none" w:sz="0" w:space="0" w:color="auto"/>
            <w:right w:val="none" w:sz="0" w:space="0" w:color="auto"/>
          </w:divBdr>
        </w:div>
        <w:div w:id="681124950">
          <w:marLeft w:val="720"/>
          <w:marRight w:val="0"/>
          <w:marTop w:val="0"/>
          <w:marBottom w:val="120"/>
          <w:divBdr>
            <w:top w:val="none" w:sz="0" w:space="0" w:color="auto"/>
            <w:left w:val="none" w:sz="0" w:space="0" w:color="auto"/>
            <w:bottom w:val="none" w:sz="0" w:space="0" w:color="auto"/>
            <w:right w:val="none" w:sz="0" w:space="0" w:color="auto"/>
          </w:divBdr>
        </w:div>
        <w:div w:id="201065229">
          <w:marLeft w:val="720"/>
          <w:marRight w:val="0"/>
          <w:marTop w:val="0"/>
          <w:marBottom w:val="120"/>
          <w:divBdr>
            <w:top w:val="none" w:sz="0" w:space="0" w:color="auto"/>
            <w:left w:val="none" w:sz="0" w:space="0" w:color="auto"/>
            <w:bottom w:val="none" w:sz="0" w:space="0" w:color="auto"/>
            <w:right w:val="none" w:sz="0" w:space="0" w:color="auto"/>
          </w:divBdr>
        </w:div>
        <w:div w:id="2143570611">
          <w:marLeft w:val="240"/>
          <w:marRight w:val="0"/>
          <w:marTop w:val="0"/>
          <w:marBottom w:val="120"/>
          <w:divBdr>
            <w:top w:val="none" w:sz="0" w:space="0" w:color="auto"/>
            <w:left w:val="none" w:sz="0" w:space="0" w:color="auto"/>
            <w:bottom w:val="none" w:sz="0" w:space="0" w:color="auto"/>
            <w:right w:val="none" w:sz="0" w:space="0" w:color="auto"/>
          </w:divBdr>
        </w:div>
        <w:div w:id="1358192515">
          <w:marLeft w:val="240"/>
          <w:marRight w:val="0"/>
          <w:marTop w:val="0"/>
          <w:marBottom w:val="120"/>
          <w:divBdr>
            <w:top w:val="none" w:sz="0" w:space="0" w:color="auto"/>
            <w:left w:val="none" w:sz="0" w:space="0" w:color="auto"/>
            <w:bottom w:val="none" w:sz="0" w:space="0" w:color="auto"/>
            <w:right w:val="none" w:sz="0" w:space="0" w:color="auto"/>
          </w:divBdr>
        </w:div>
      </w:divsChild>
    </w:div>
    <w:div w:id="1150903195">
      <w:bodyDiv w:val="1"/>
      <w:marLeft w:val="0"/>
      <w:marRight w:val="0"/>
      <w:marTop w:val="0"/>
      <w:marBottom w:val="0"/>
      <w:divBdr>
        <w:top w:val="none" w:sz="0" w:space="0" w:color="auto"/>
        <w:left w:val="none" w:sz="0" w:space="0" w:color="auto"/>
        <w:bottom w:val="none" w:sz="0" w:space="0" w:color="auto"/>
        <w:right w:val="none" w:sz="0" w:space="0" w:color="auto"/>
      </w:divBdr>
      <w:divsChild>
        <w:div w:id="1005211919">
          <w:marLeft w:val="240"/>
          <w:marRight w:val="0"/>
          <w:marTop w:val="0"/>
          <w:marBottom w:val="120"/>
          <w:divBdr>
            <w:top w:val="none" w:sz="0" w:space="0" w:color="auto"/>
            <w:left w:val="none" w:sz="0" w:space="0" w:color="auto"/>
            <w:bottom w:val="none" w:sz="0" w:space="0" w:color="auto"/>
            <w:right w:val="none" w:sz="0" w:space="0" w:color="auto"/>
          </w:divBdr>
        </w:div>
        <w:div w:id="1517770260">
          <w:marLeft w:val="720"/>
          <w:marRight w:val="0"/>
          <w:marTop w:val="0"/>
          <w:marBottom w:val="120"/>
          <w:divBdr>
            <w:top w:val="none" w:sz="0" w:space="0" w:color="auto"/>
            <w:left w:val="none" w:sz="0" w:space="0" w:color="auto"/>
            <w:bottom w:val="none" w:sz="0" w:space="0" w:color="auto"/>
            <w:right w:val="none" w:sz="0" w:space="0" w:color="auto"/>
          </w:divBdr>
        </w:div>
        <w:div w:id="1449591308">
          <w:marLeft w:val="720"/>
          <w:marRight w:val="0"/>
          <w:marTop w:val="0"/>
          <w:marBottom w:val="120"/>
          <w:divBdr>
            <w:top w:val="none" w:sz="0" w:space="0" w:color="auto"/>
            <w:left w:val="none" w:sz="0" w:space="0" w:color="auto"/>
            <w:bottom w:val="none" w:sz="0" w:space="0" w:color="auto"/>
            <w:right w:val="none" w:sz="0" w:space="0" w:color="auto"/>
          </w:divBdr>
        </w:div>
        <w:div w:id="486557236">
          <w:marLeft w:val="720"/>
          <w:marRight w:val="0"/>
          <w:marTop w:val="0"/>
          <w:marBottom w:val="120"/>
          <w:divBdr>
            <w:top w:val="none" w:sz="0" w:space="0" w:color="auto"/>
            <w:left w:val="none" w:sz="0" w:space="0" w:color="auto"/>
            <w:bottom w:val="none" w:sz="0" w:space="0" w:color="auto"/>
            <w:right w:val="none" w:sz="0" w:space="0" w:color="auto"/>
          </w:divBdr>
        </w:div>
      </w:divsChild>
    </w:div>
    <w:div w:id="1277253707">
      <w:bodyDiv w:val="1"/>
      <w:marLeft w:val="0"/>
      <w:marRight w:val="0"/>
      <w:marTop w:val="0"/>
      <w:marBottom w:val="0"/>
      <w:divBdr>
        <w:top w:val="none" w:sz="0" w:space="0" w:color="auto"/>
        <w:left w:val="none" w:sz="0" w:space="0" w:color="auto"/>
        <w:bottom w:val="none" w:sz="0" w:space="0" w:color="auto"/>
        <w:right w:val="none" w:sz="0" w:space="0" w:color="auto"/>
      </w:divBdr>
    </w:div>
    <w:div w:id="1285962831">
      <w:bodyDiv w:val="1"/>
      <w:marLeft w:val="0"/>
      <w:marRight w:val="0"/>
      <w:marTop w:val="0"/>
      <w:marBottom w:val="0"/>
      <w:divBdr>
        <w:top w:val="none" w:sz="0" w:space="0" w:color="auto"/>
        <w:left w:val="none" w:sz="0" w:space="0" w:color="auto"/>
        <w:bottom w:val="none" w:sz="0" w:space="0" w:color="auto"/>
        <w:right w:val="none" w:sz="0" w:space="0" w:color="auto"/>
      </w:divBdr>
    </w:div>
    <w:div w:id="1320842227">
      <w:bodyDiv w:val="1"/>
      <w:marLeft w:val="0"/>
      <w:marRight w:val="0"/>
      <w:marTop w:val="0"/>
      <w:marBottom w:val="0"/>
      <w:divBdr>
        <w:top w:val="none" w:sz="0" w:space="0" w:color="auto"/>
        <w:left w:val="none" w:sz="0" w:space="0" w:color="auto"/>
        <w:bottom w:val="none" w:sz="0" w:space="0" w:color="auto"/>
        <w:right w:val="none" w:sz="0" w:space="0" w:color="auto"/>
      </w:divBdr>
    </w:div>
    <w:div w:id="1328243440">
      <w:bodyDiv w:val="1"/>
      <w:marLeft w:val="0"/>
      <w:marRight w:val="0"/>
      <w:marTop w:val="0"/>
      <w:marBottom w:val="0"/>
      <w:divBdr>
        <w:top w:val="none" w:sz="0" w:space="0" w:color="auto"/>
        <w:left w:val="none" w:sz="0" w:space="0" w:color="auto"/>
        <w:bottom w:val="none" w:sz="0" w:space="0" w:color="auto"/>
        <w:right w:val="none" w:sz="0" w:space="0" w:color="auto"/>
      </w:divBdr>
    </w:div>
    <w:div w:id="1356807933">
      <w:bodyDiv w:val="1"/>
      <w:marLeft w:val="0"/>
      <w:marRight w:val="0"/>
      <w:marTop w:val="0"/>
      <w:marBottom w:val="0"/>
      <w:divBdr>
        <w:top w:val="none" w:sz="0" w:space="0" w:color="auto"/>
        <w:left w:val="none" w:sz="0" w:space="0" w:color="auto"/>
        <w:bottom w:val="none" w:sz="0" w:space="0" w:color="auto"/>
        <w:right w:val="none" w:sz="0" w:space="0" w:color="auto"/>
      </w:divBdr>
    </w:div>
    <w:div w:id="1361593633">
      <w:bodyDiv w:val="1"/>
      <w:marLeft w:val="0"/>
      <w:marRight w:val="0"/>
      <w:marTop w:val="0"/>
      <w:marBottom w:val="0"/>
      <w:divBdr>
        <w:top w:val="none" w:sz="0" w:space="0" w:color="auto"/>
        <w:left w:val="none" w:sz="0" w:space="0" w:color="auto"/>
        <w:bottom w:val="none" w:sz="0" w:space="0" w:color="auto"/>
        <w:right w:val="none" w:sz="0" w:space="0" w:color="auto"/>
      </w:divBdr>
      <w:divsChild>
        <w:div w:id="576979157">
          <w:marLeft w:val="240"/>
          <w:marRight w:val="0"/>
          <w:marTop w:val="0"/>
          <w:marBottom w:val="120"/>
          <w:divBdr>
            <w:top w:val="none" w:sz="0" w:space="0" w:color="auto"/>
            <w:left w:val="none" w:sz="0" w:space="0" w:color="auto"/>
            <w:bottom w:val="none" w:sz="0" w:space="0" w:color="auto"/>
            <w:right w:val="none" w:sz="0" w:space="0" w:color="auto"/>
          </w:divBdr>
        </w:div>
        <w:div w:id="1733773363">
          <w:marLeft w:val="240"/>
          <w:marRight w:val="0"/>
          <w:marTop w:val="0"/>
          <w:marBottom w:val="120"/>
          <w:divBdr>
            <w:top w:val="none" w:sz="0" w:space="0" w:color="auto"/>
            <w:left w:val="none" w:sz="0" w:space="0" w:color="auto"/>
            <w:bottom w:val="none" w:sz="0" w:space="0" w:color="auto"/>
            <w:right w:val="none" w:sz="0" w:space="0" w:color="auto"/>
          </w:divBdr>
        </w:div>
        <w:div w:id="1989090989">
          <w:marLeft w:val="240"/>
          <w:marRight w:val="0"/>
          <w:marTop w:val="0"/>
          <w:marBottom w:val="120"/>
          <w:divBdr>
            <w:top w:val="none" w:sz="0" w:space="0" w:color="auto"/>
            <w:left w:val="none" w:sz="0" w:space="0" w:color="auto"/>
            <w:bottom w:val="none" w:sz="0" w:space="0" w:color="auto"/>
            <w:right w:val="none" w:sz="0" w:space="0" w:color="auto"/>
          </w:divBdr>
        </w:div>
        <w:div w:id="1628774975">
          <w:marLeft w:val="240"/>
          <w:marRight w:val="0"/>
          <w:marTop w:val="0"/>
          <w:marBottom w:val="120"/>
          <w:divBdr>
            <w:top w:val="none" w:sz="0" w:space="0" w:color="auto"/>
            <w:left w:val="none" w:sz="0" w:space="0" w:color="auto"/>
            <w:bottom w:val="none" w:sz="0" w:space="0" w:color="auto"/>
            <w:right w:val="none" w:sz="0" w:space="0" w:color="auto"/>
          </w:divBdr>
        </w:div>
      </w:divsChild>
    </w:div>
    <w:div w:id="1505440664">
      <w:bodyDiv w:val="1"/>
      <w:marLeft w:val="0"/>
      <w:marRight w:val="0"/>
      <w:marTop w:val="0"/>
      <w:marBottom w:val="0"/>
      <w:divBdr>
        <w:top w:val="none" w:sz="0" w:space="0" w:color="auto"/>
        <w:left w:val="none" w:sz="0" w:space="0" w:color="auto"/>
        <w:bottom w:val="none" w:sz="0" w:space="0" w:color="auto"/>
        <w:right w:val="none" w:sz="0" w:space="0" w:color="auto"/>
      </w:divBdr>
    </w:div>
    <w:div w:id="1594317314">
      <w:bodyDiv w:val="1"/>
      <w:marLeft w:val="0"/>
      <w:marRight w:val="0"/>
      <w:marTop w:val="0"/>
      <w:marBottom w:val="0"/>
      <w:divBdr>
        <w:top w:val="none" w:sz="0" w:space="0" w:color="auto"/>
        <w:left w:val="none" w:sz="0" w:space="0" w:color="auto"/>
        <w:bottom w:val="none" w:sz="0" w:space="0" w:color="auto"/>
        <w:right w:val="none" w:sz="0" w:space="0" w:color="auto"/>
      </w:divBdr>
    </w:div>
    <w:div w:id="1597398406">
      <w:bodyDiv w:val="1"/>
      <w:marLeft w:val="0"/>
      <w:marRight w:val="0"/>
      <w:marTop w:val="0"/>
      <w:marBottom w:val="0"/>
      <w:divBdr>
        <w:top w:val="none" w:sz="0" w:space="0" w:color="auto"/>
        <w:left w:val="none" w:sz="0" w:space="0" w:color="auto"/>
        <w:bottom w:val="none" w:sz="0" w:space="0" w:color="auto"/>
        <w:right w:val="none" w:sz="0" w:space="0" w:color="auto"/>
      </w:divBdr>
      <w:divsChild>
        <w:div w:id="1922569213">
          <w:marLeft w:val="240"/>
          <w:marRight w:val="0"/>
          <w:marTop w:val="0"/>
          <w:marBottom w:val="120"/>
          <w:divBdr>
            <w:top w:val="none" w:sz="0" w:space="0" w:color="auto"/>
            <w:left w:val="none" w:sz="0" w:space="0" w:color="auto"/>
            <w:bottom w:val="none" w:sz="0" w:space="0" w:color="auto"/>
            <w:right w:val="none" w:sz="0" w:space="0" w:color="auto"/>
          </w:divBdr>
        </w:div>
        <w:div w:id="1554198861">
          <w:marLeft w:val="720"/>
          <w:marRight w:val="0"/>
          <w:marTop w:val="0"/>
          <w:marBottom w:val="120"/>
          <w:divBdr>
            <w:top w:val="none" w:sz="0" w:space="0" w:color="auto"/>
            <w:left w:val="none" w:sz="0" w:space="0" w:color="auto"/>
            <w:bottom w:val="none" w:sz="0" w:space="0" w:color="auto"/>
            <w:right w:val="none" w:sz="0" w:space="0" w:color="auto"/>
          </w:divBdr>
        </w:div>
        <w:div w:id="2039353372">
          <w:marLeft w:val="720"/>
          <w:marRight w:val="0"/>
          <w:marTop w:val="0"/>
          <w:marBottom w:val="120"/>
          <w:divBdr>
            <w:top w:val="none" w:sz="0" w:space="0" w:color="auto"/>
            <w:left w:val="none" w:sz="0" w:space="0" w:color="auto"/>
            <w:bottom w:val="none" w:sz="0" w:space="0" w:color="auto"/>
            <w:right w:val="none" w:sz="0" w:space="0" w:color="auto"/>
          </w:divBdr>
        </w:div>
        <w:div w:id="74015683">
          <w:marLeft w:val="720"/>
          <w:marRight w:val="0"/>
          <w:marTop w:val="0"/>
          <w:marBottom w:val="120"/>
          <w:divBdr>
            <w:top w:val="none" w:sz="0" w:space="0" w:color="auto"/>
            <w:left w:val="none" w:sz="0" w:space="0" w:color="auto"/>
            <w:bottom w:val="none" w:sz="0" w:space="0" w:color="auto"/>
            <w:right w:val="none" w:sz="0" w:space="0" w:color="auto"/>
          </w:divBdr>
        </w:div>
      </w:divsChild>
    </w:div>
    <w:div w:id="1610352525">
      <w:bodyDiv w:val="1"/>
      <w:marLeft w:val="0"/>
      <w:marRight w:val="0"/>
      <w:marTop w:val="0"/>
      <w:marBottom w:val="0"/>
      <w:divBdr>
        <w:top w:val="none" w:sz="0" w:space="0" w:color="auto"/>
        <w:left w:val="none" w:sz="0" w:space="0" w:color="auto"/>
        <w:bottom w:val="none" w:sz="0" w:space="0" w:color="auto"/>
        <w:right w:val="none" w:sz="0" w:space="0" w:color="auto"/>
      </w:divBdr>
    </w:div>
    <w:div w:id="1679501320">
      <w:bodyDiv w:val="1"/>
      <w:marLeft w:val="0"/>
      <w:marRight w:val="0"/>
      <w:marTop w:val="0"/>
      <w:marBottom w:val="0"/>
      <w:divBdr>
        <w:top w:val="none" w:sz="0" w:space="0" w:color="auto"/>
        <w:left w:val="none" w:sz="0" w:space="0" w:color="auto"/>
        <w:bottom w:val="none" w:sz="0" w:space="0" w:color="auto"/>
        <w:right w:val="none" w:sz="0" w:space="0" w:color="auto"/>
      </w:divBdr>
    </w:div>
    <w:div w:id="1877622784">
      <w:bodyDiv w:val="1"/>
      <w:marLeft w:val="0"/>
      <w:marRight w:val="0"/>
      <w:marTop w:val="0"/>
      <w:marBottom w:val="0"/>
      <w:divBdr>
        <w:top w:val="none" w:sz="0" w:space="0" w:color="auto"/>
        <w:left w:val="none" w:sz="0" w:space="0" w:color="auto"/>
        <w:bottom w:val="none" w:sz="0" w:space="0" w:color="auto"/>
        <w:right w:val="none" w:sz="0" w:space="0" w:color="auto"/>
      </w:divBdr>
    </w:div>
    <w:div w:id="1943564574">
      <w:bodyDiv w:val="1"/>
      <w:marLeft w:val="0"/>
      <w:marRight w:val="0"/>
      <w:marTop w:val="0"/>
      <w:marBottom w:val="0"/>
      <w:divBdr>
        <w:top w:val="none" w:sz="0" w:space="0" w:color="auto"/>
        <w:left w:val="none" w:sz="0" w:space="0" w:color="auto"/>
        <w:bottom w:val="none" w:sz="0" w:space="0" w:color="auto"/>
        <w:right w:val="none" w:sz="0" w:space="0" w:color="auto"/>
      </w:divBdr>
    </w:div>
    <w:div w:id="19849613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031173">
      <w:bodyDiv w:val="1"/>
      <w:marLeft w:val="0"/>
      <w:marRight w:val="0"/>
      <w:marTop w:val="0"/>
      <w:marBottom w:val="0"/>
      <w:divBdr>
        <w:top w:val="none" w:sz="0" w:space="0" w:color="auto"/>
        <w:left w:val="none" w:sz="0" w:space="0" w:color="auto"/>
        <w:bottom w:val="none" w:sz="0" w:space="0" w:color="auto"/>
        <w:right w:val="none" w:sz="0" w:space="0" w:color="auto"/>
      </w:divBdr>
      <w:divsChild>
        <w:div w:id="725296776">
          <w:marLeft w:val="240"/>
          <w:marRight w:val="0"/>
          <w:marTop w:val="0"/>
          <w:marBottom w:val="120"/>
          <w:divBdr>
            <w:top w:val="none" w:sz="0" w:space="0" w:color="auto"/>
            <w:left w:val="none" w:sz="0" w:space="0" w:color="auto"/>
            <w:bottom w:val="none" w:sz="0" w:space="0" w:color="auto"/>
            <w:right w:val="none" w:sz="0" w:space="0" w:color="auto"/>
          </w:divBdr>
        </w:div>
        <w:div w:id="975572036">
          <w:marLeft w:val="720"/>
          <w:marRight w:val="0"/>
          <w:marTop w:val="0"/>
          <w:marBottom w:val="120"/>
          <w:divBdr>
            <w:top w:val="none" w:sz="0" w:space="0" w:color="auto"/>
            <w:left w:val="none" w:sz="0" w:space="0" w:color="auto"/>
            <w:bottom w:val="none" w:sz="0" w:space="0" w:color="auto"/>
            <w:right w:val="none" w:sz="0" w:space="0" w:color="auto"/>
          </w:divBdr>
        </w:div>
        <w:div w:id="490175139">
          <w:marLeft w:val="720"/>
          <w:marRight w:val="0"/>
          <w:marTop w:val="0"/>
          <w:marBottom w:val="120"/>
          <w:divBdr>
            <w:top w:val="none" w:sz="0" w:space="0" w:color="auto"/>
            <w:left w:val="none" w:sz="0" w:space="0" w:color="auto"/>
            <w:bottom w:val="none" w:sz="0" w:space="0" w:color="auto"/>
            <w:right w:val="none" w:sz="0" w:space="0" w:color="auto"/>
          </w:divBdr>
        </w:div>
        <w:div w:id="1589119071">
          <w:marLeft w:val="720"/>
          <w:marRight w:val="0"/>
          <w:marTop w:val="0"/>
          <w:marBottom w:val="120"/>
          <w:divBdr>
            <w:top w:val="none" w:sz="0" w:space="0" w:color="auto"/>
            <w:left w:val="none" w:sz="0" w:space="0" w:color="auto"/>
            <w:bottom w:val="none" w:sz="0" w:space="0" w:color="auto"/>
            <w:right w:val="none" w:sz="0" w:space="0" w:color="auto"/>
          </w:divBdr>
        </w:div>
        <w:div w:id="579170982">
          <w:marLeft w:val="720"/>
          <w:marRight w:val="0"/>
          <w:marTop w:val="0"/>
          <w:marBottom w:val="120"/>
          <w:divBdr>
            <w:top w:val="none" w:sz="0" w:space="0" w:color="auto"/>
            <w:left w:val="none" w:sz="0" w:space="0" w:color="auto"/>
            <w:bottom w:val="none" w:sz="0" w:space="0" w:color="auto"/>
            <w:right w:val="none" w:sz="0" w:space="0" w:color="auto"/>
          </w:divBdr>
        </w:div>
        <w:div w:id="84228374">
          <w:marLeft w:val="720"/>
          <w:marRight w:val="0"/>
          <w:marTop w:val="0"/>
          <w:marBottom w:val="120"/>
          <w:divBdr>
            <w:top w:val="none" w:sz="0" w:space="0" w:color="auto"/>
            <w:left w:val="none" w:sz="0" w:space="0" w:color="auto"/>
            <w:bottom w:val="none" w:sz="0" w:space="0" w:color="auto"/>
            <w:right w:val="none" w:sz="0" w:space="0" w:color="auto"/>
          </w:divBdr>
        </w:div>
        <w:div w:id="454449176">
          <w:marLeft w:val="720"/>
          <w:marRight w:val="0"/>
          <w:marTop w:val="0"/>
          <w:marBottom w:val="120"/>
          <w:divBdr>
            <w:top w:val="none" w:sz="0" w:space="0" w:color="auto"/>
            <w:left w:val="none" w:sz="0" w:space="0" w:color="auto"/>
            <w:bottom w:val="none" w:sz="0" w:space="0" w:color="auto"/>
            <w:right w:val="none" w:sz="0" w:space="0" w:color="auto"/>
          </w:divBdr>
        </w:div>
        <w:div w:id="1104151804">
          <w:marLeft w:val="720"/>
          <w:marRight w:val="0"/>
          <w:marTop w:val="0"/>
          <w:marBottom w:val="120"/>
          <w:divBdr>
            <w:top w:val="none" w:sz="0" w:space="0" w:color="auto"/>
            <w:left w:val="none" w:sz="0" w:space="0" w:color="auto"/>
            <w:bottom w:val="none" w:sz="0" w:space="0" w:color="auto"/>
            <w:right w:val="none" w:sz="0" w:space="0" w:color="auto"/>
          </w:divBdr>
        </w:div>
        <w:div w:id="1189374961">
          <w:marLeft w:val="240"/>
          <w:marRight w:val="0"/>
          <w:marTop w:val="0"/>
          <w:marBottom w:val="120"/>
          <w:divBdr>
            <w:top w:val="none" w:sz="0" w:space="0" w:color="auto"/>
            <w:left w:val="none" w:sz="0" w:space="0" w:color="auto"/>
            <w:bottom w:val="none" w:sz="0" w:space="0" w:color="auto"/>
            <w:right w:val="none" w:sz="0" w:space="0" w:color="auto"/>
          </w:divBdr>
        </w:div>
        <w:div w:id="411120860">
          <w:marLeft w:val="240"/>
          <w:marRight w:val="0"/>
          <w:marTop w:val="0"/>
          <w:marBottom w:val="120"/>
          <w:divBdr>
            <w:top w:val="none" w:sz="0" w:space="0" w:color="auto"/>
            <w:left w:val="none" w:sz="0" w:space="0" w:color="auto"/>
            <w:bottom w:val="none" w:sz="0" w:space="0" w:color="auto"/>
            <w:right w:val="none" w:sz="0" w:space="0" w:color="auto"/>
          </w:divBdr>
        </w:div>
      </w:divsChild>
    </w:div>
    <w:div w:id="2135514550">
      <w:bodyDiv w:val="1"/>
      <w:marLeft w:val="0"/>
      <w:marRight w:val="0"/>
      <w:marTop w:val="0"/>
      <w:marBottom w:val="0"/>
      <w:divBdr>
        <w:top w:val="none" w:sz="0" w:space="0" w:color="auto"/>
        <w:left w:val="none" w:sz="0" w:space="0" w:color="auto"/>
        <w:bottom w:val="none" w:sz="0" w:space="0" w:color="auto"/>
        <w:right w:val="none" w:sz="0" w:space="0" w:color="auto"/>
      </w:divBdr>
      <w:divsChild>
        <w:div w:id="1533952980">
          <w:marLeft w:val="240"/>
          <w:marRight w:val="0"/>
          <w:marTop w:val="0"/>
          <w:marBottom w:val="120"/>
          <w:divBdr>
            <w:top w:val="none" w:sz="0" w:space="0" w:color="auto"/>
            <w:left w:val="none" w:sz="0" w:space="0" w:color="auto"/>
            <w:bottom w:val="none" w:sz="0" w:space="0" w:color="auto"/>
            <w:right w:val="none" w:sz="0" w:space="0" w:color="auto"/>
          </w:divBdr>
        </w:div>
        <w:div w:id="1168398822">
          <w:marLeft w:val="240"/>
          <w:marRight w:val="0"/>
          <w:marTop w:val="0"/>
          <w:marBottom w:val="120"/>
          <w:divBdr>
            <w:top w:val="none" w:sz="0" w:space="0" w:color="auto"/>
            <w:left w:val="none" w:sz="0" w:space="0" w:color="auto"/>
            <w:bottom w:val="none" w:sz="0" w:space="0" w:color="auto"/>
            <w:right w:val="none" w:sz="0" w:space="0" w:color="auto"/>
          </w:divBdr>
        </w:div>
      </w:divsChild>
    </w:div>
    <w:div w:id="2139837499">
      <w:bodyDiv w:val="1"/>
      <w:marLeft w:val="0"/>
      <w:marRight w:val="0"/>
      <w:marTop w:val="0"/>
      <w:marBottom w:val="0"/>
      <w:divBdr>
        <w:top w:val="none" w:sz="0" w:space="0" w:color="auto"/>
        <w:left w:val="none" w:sz="0" w:space="0" w:color="auto"/>
        <w:bottom w:val="none" w:sz="0" w:space="0" w:color="auto"/>
        <w:right w:val="none" w:sz="0" w:space="0" w:color="auto"/>
      </w:divBdr>
      <w:divsChild>
        <w:div w:id="1890144067">
          <w:marLeft w:val="240"/>
          <w:marRight w:val="0"/>
          <w:marTop w:val="0"/>
          <w:marBottom w:val="120"/>
          <w:divBdr>
            <w:top w:val="none" w:sz="0" w:space="0" w:color="auto"/>
            <w:left w:val="none" w:sz="0" w:space="0" w:color="auto"/>
            <w:bottom w:val="none" w:sz="0" w:space="0" w:color="auto"/>
            <w:right w:val="none" w:sz="0" w:space="0" w:color="auto"/>
          </w:divBdr>
        </w:div>
        <w:div w:id="1680346381">
          <w:marLeft w:val="720"/>
          <w:marRight w:val="0"/>
          <w:marTop w:val="0"/>
          <w:marBottom w:val="120"/>
          <w:divBdr>
            <w:top w:val="none" w:sz="0" w:space="0" w:color="auto"/>
            <w:left w:val="none" w:sz="0" w:space="0" w:color="auto"/>
            <w:bottom w:val="none" w:sz="0" w:space="0" w:color="auto"/>
            <w:right w:val="none" w:sz="0" w:space="0" w:color="auto"/>
          </w:divBdr>
        </w:div>
        <w:div w:id="865093869">
          <w:marLeft w:val="720"/>
          <w:marRight w:val="0"/>
          <w:marTop w:val="0"/>
          <w:marBottom w:val="120"/>
          <w:divBdr>
            <w:top w:val="none" w:sz="0" w:space="0" w:color="auto"/>
            <w:left w:val="none" w:sz="0" w:space="0" w:color="auto"/>
            <w:bottom w:val="none" w:sz="0" w:space="0" w:color="auto"/>
            <w:right w:val="none" w:sz="0" w:space="0" w:color="auto"/>
          </w:divBdr>
        </w:div>
        <w:div w:id="1176072840">
          <w:marLeft w:val="720"/>
          <w:marRight w:val="0"/>
          <w:marTop w:val="0"/>
          <w:marBottom w:val="120"/>
          <w:divBdr>
            <w:top w:val="none" w:sz="0" w:space="0" w:color="auto"/>
            <w:left w:val="none" w:sz="0" w:space="0" w:color="auto"/>
            <w:bottom w:val="none" w:sz="0" w:space="0" w:color="auto"/>
            <w:right w:val="none" w:sz="0" w:space="0" w:color="auto"/>
          </w:divBdr>
        </w:div>
        <w:div w:id="203935782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E33A7-B32B-4DCB-984B-AA06B90F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2879</Words>
  <Characters>16412</Characters>
  <Application>Microsoft Office Word</Application>
  <DocSecurity>0</DocSecurity>
  <Lines>136</Lines>
  <Paragraphs>38</Paragraphs>
  <ScaleCrop>false</ScaleCrop>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2026-05-08T01:54:00Z</dcterms:created>
  <dcterms:modified xsi:type="dcterms:W3CDTF">2026-05-08T01:54:00Z</dcterms:modified>
  <cp:contentStatus/>
</cp:coreProperties>
</file>