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0F5BD2" w14:textId="0B24539A" w:rsidR="00F321E0" w:rsidRPr="00992165" w:rsidRDefault="00F321E0" w:rsidP="00B447DF">
      <w:pPr>
        <w:pStyle w:val="af3"/>
        <w:rPr>
          <w:rFonts w:hAnsi="標楷體"/>
        </w:rPr>
      </w:pPr>
      <w:r w:rsidRPr="00992165">
        <w:rPr>
          <w:rFonts w:hAnsi="標楷體" w:hint="eastAsia"/>
        </w:rPr>
        <w:t>調查報告</w:t>
      </w:r>
      <w:r w:rsidR="00626108">
        <w:rPr>
          <w:rFonts w:hAnsi="標楷體" w:hint="eastAsia"/>
        </w:rPr>
        <w:t>(公布版)</w:t>
      </w:r>
    </w:p>
    <w:p w14:paraId="3DCD750C" w14:textId="34FC843A" w:rsidR="00F321E0" w:rsidRPr="00192C31" w:rsidRDefault="00F321E0" w:rsidP="00192C31">
      <w:pPr>
        <w:pStyle w:val="1"/>
        <w:overflowPunct/>
        <w:autoSpaceDE/>
        <w:autoSpaceDN/>
        <w:ind w:left="2380" w:hanging="2380"/>
        <w:rPr>
          <w:rFonts w:hAnsi="標楷體"/>
        </w:rPr>
      </w:pPr>
      <w:r w:rsidRPr="00192C31">
        <w:rPr>
          <w:rFonts w:hAnsi="標楷體" w:hint="eastAsia"/>
        </w:rPr>
        <w:t>案</w:t>
      </w:r>
      <w:r w:rsidR="006F1E88" w:rsidRPr="00992165">
        <w:rPr>
          <w:rFonts w:hAnsi="標楷體" w:hint="eastAsia"/>
        </w:rPr>
        <w:t xml:space="preserve">   </w:t>
      </w:r>
      <w:r w:rsidRPr="00192C31">
        <w:rPr>
          <w:rFonts w:hAnsi="標楷體" w:hint="eastAsia"/>
        </w:rPr>
        <w:t>由：</w:t>
      </w:r>
      <w:r w:rsidRPr="00192C31">
        <w:rPr>
          <w:rFonts w:hAnsi="標楷體"/>
        </w:rPr>
        <w:t>據陳宥臻君陳訴，最高法院審理109年度台上字第1598號</w:t>
      </w:r>
      <w:r w:rsidR="005B1E60">
        <w:rPr>
          <w:rFonts w:hAnsi="標楷體"/>
        </w:rPr>
        <w:t>黃○剛</w:t>
      </w:r>
      <w:r w:rsidRPr="00192C31">
        <w:rPr>
          <w:rFonts w:hAnsi="標楷體"/>
        </w:rPr>
        <w:t>違反毒品危害防制條例等案件，疑未審酌該案之犯罪情節與</w:t>
      </w:r>
      <w:r w:rsidR="002E1859" w:rsidRPr="00192C31">
        <w:rPr>
          <w:rFonts w:hAnsi="標楷體"/>
        </w:rPr>
        <w:t>司法院釋字第</w:t>
      </w:r>
      <w:r w:rsidRPr="00192C31">
        <w:rPr>
          <w:rFonts w:hAnsi="標楷體"/>
        </w:rPr>
        <w:t>790號解釋原因案件相似，竟未將審判程序延至新法修正公布或該解釋公布之日起1年後，始予終結，即率為不利判決，且原確定判決疑有違背法令等情案。</w:t>
      </w:r>
    </w:p>
    <w:p w14:paraId="2B75F44D" w14:textId="6A6E4722" w:rsidR="00F321E0" w:rsidRPr="00992165" w:rsidRDefault="00F321E0" w:rsidP="00B447DF">
      <w:pPr>
        <w:pStyle w:val="1"/>
        <w:wordWrap w:val="0"/>
        <w:ind w:left="2380" w:hanging="2380"/>
        <w:rPr>
          <w:rFonts w:hAnsi="標楷體"/>
        </w:rPr>
      </w:pPr>
      <w:r w:rsidRPr="00992165">
        <w:rPr>
          <w:rFonts w:hAnsi="標楷體" w:hint="eastAsia"/>
        </w:rPr>
        <w:t>調查意見：</w:t>
      </w:r>
    </w:p>
    <w:p w14:paraId="6729F5AD" w14:textId="247C2D41" w:rsidR="00F321E0" w:rsidRPr="00E31C0B" w:rsidRDefault="00A71C13" w:rsidP="00B447DF">
      <w:pPr>
        <w:pStyle w:val="11"/>
        <w:ind w:left="680" w:firstLine="680"/>
        <w:rPr>
          <w:rFonts w:hAnsi="標楷體"/>
        </w:rPr>
      </w:pPr>
      <w:r w:rsidRPr="00E31C0B">
        <w:rPr>
          <w:rFonts w:hAnsi="標楷體"/>
          <w:szCs w:val="32"/>
        </w:rPr>
        <w:t>據陳宥臻君陳訴</w:t>
      </w:r>
      <w:r w:rsidR="006B7BCE" w:rsidRPr="00E31C0B">
        <w:rPr>
          <w:rFonts w:hAnsi="標楷體" w:hint="eastAsia"/>
          <w:szCs w:val="32"/>
        </w:rPr>
        <w:t>，「</w:t>
      </w:r>
      <w:r w:rsidR="006B7BCE" w:rsidRPr="00E31C0B">
        <w:rPr>
          <w:rFonts w:hAnsi="標楷體"/>
          <w:szCs w:val="32"/>
        </w:rPr>
        <w:t>最高法院審理109年度台上字第1598號</w:t>
      </w:r>
      <w:r w:rsidR="005B1E60" w:rsidRPr="00E31C0B">
        <w:rPr>
          <w:rFonts w:hAnsi="標楷體"/>
          <w:szCs w:val="32"/>
        </w:rPr>
        <w:t>黃○剛</w:t>
      </w:r>
      <w:r w:rsidR="006B7BCE" w:rsidRPr="00E31C0B">
        <w:rPr>
          <w:rFonts w:hAnsi="標楷體"/>
          <w:szCs w:val="32"/>
        </w:rPr>
        <w:t>違反毒品危害防制條例等案件，疑未審酌該案之犯罪情節與司法院釋字第790號解釋</w:t>
      </w:r>
      <w:r w:rsidR="00E6231E" w:rsidRPr="00E31C0B">
        <w:rPr>
          <w:rFonts w:hAnsi="標楷體" w:hint="eastAsia"/>
        </w:rPr>
        <w:t>（毒品危害防制條例第12條第2項</w:t>
      </w:r>
      <w:r w:rsidR="001272F1" w:rsidRPr="00E31C0B">
        <w:rPr>
          <w:rFonts w:hAnsi="標楷體" w:hint="eastAsia"/>
        </w:rPr>
        <w:t>規定之違憲</w:t>
      </w:r>
      <w:r w:rsidR="00E6231E" w:rsidRPr="00E31C0B">
        <w:rPr>
          <w:rFonts w:hAnsi="標楷體" w:hint="eastAsia"/>
        </w:rPr>
        <w:t>，</w:t>
      </w:r>
      <w:r w:rsidR="00154E63" w:rsidRPr="00E31C0B">
        <w:rPr>
          <w:rFonts w:hAnsi="標楷體" w:hint="eastAsia"/>
        </w:rPr>
        <w:t>以下簡稱：</w:t>
      </w:r>
      <w:r w:rsidR="00E6231E" w:rsidRPr="00E31C0B">
        <w:rPr>
          <w:rFonts w:hAnsi="標楷體" w:hint="eastAsia"/>
        </w:rPr>
        <w:t>系爭規定）</w:t>
      </w:r>
      <w:r w:rsidR="006B7BCE" w:rsidRPr="00E31C0B">
        <w:rPr>
          <w:rFonts w:hAnsi="標楷體"/>
          <w:szCs w:val="32"/>
        </w:rPr>
        <w:t>原因案件相似，竟未將審判程序延至新法修正公布或該解釋公布之日起1年後，始予終結，即率為不利判決，且原確定判決疑有違背法令</w:t>
      </w:r>
      <w:r w:rsidR="00166B5A" w:rsidRPr="00E31C0B">
        <w:rPr>
          <w:rFonts w:hAnsi="標楷體" w:hint="eastAsia"/>
          <w:szCs w:val="32"/>
        </w:rPr>
        <w:t>」</w:t>
      </w:r>
      <w:r w:rsidR="006B7BCE" w:rsidRPr="00E31C0B">
        <w:rPr>
          <w:rFonts w:hAnsi="標楷體"/>
          <w:szCs w:val="32"/>
        </w:rPr>
        <w:t>等情案</w:t>
      </w:r>
      <w:r w:rsidR="006B7BCE" w:rsidRPr="00E31C0B">
        <w:rPr>
          <w:rFonts w:hAnsi="標楷體" w:hint="eastAsia"/>
          <w:szCs w:val="32"/>
        </w:rPr>
        <w:t>（</w:t>
      </w:r>
      <w:r w:rsidR="00154E63" w:rsidRPr="00E31C0B">
        <w:rPr>
          <w:rFonts w:hAnsi="標楷體" w:hint="eastAsia"/>
          <w:szCs w:val="32"/>
        </w:rPr>
        <w:t>以下簡稱：</w:t>
      </w:r>
      <w:r w:rsidR="00A13003" w:rsidRPr="00E31C0B">
        <w:rPr>
          <w:rFonts w:hAnsi="標楷體" w:hint="eastAsia"/>
          <w:szCs w:val="32"/>
        </w:rPr>
        <w:t>本件系爭案件</w:t>
      </w:r>
      <w:r w:rsidR="006B7BCE" w:rsidRPr="00E31C0B">
        <w:rPr>
          <w:rFonts w:hAnsi="標楷體" w:hint="eastAsia"/>
          <w:szCs w:val="32"/>
        </w:rPr>
        <w:t>）</w:t>
      </w:r>
      <w:r w:rsidRPr="00E31C0B">
        <w:rPr>
          <w:rFonts w:hAnsi="標楷體"/>
          <w:szCs w:val="32"/>
        </w:rPr>
        <w:t>。</w:t>
      </w:r>
      <w:r w:rsidRPr="00E31C0B">
        <w:rPr>
          <w:rFonts w:hAnsi="標楷體" w:hint="eastAsia"/>
        </w:rPr>
        <w:t>經向司法院</w:t>
      </w:r>
      <w:r w:rsidRPr="00E31C0B">
        <w:rPr>
          <w:rFonts w:hAnsi="標楷體"/>
        </w:rPr>
        <w:t>及</w:t>
      </w:r>
      <w:r w:rsidRPr="00E31C0B">
        <w:rPr>
          <w:rFonts w:hAnsi="標楷體" w:hint="eastAsia"/>
        </w:rPr>
        <w:t>臺灣桃園地方檢察署調取</w:t>
      </w:r>
      <w:r w:rsidR="00A13003" w:rsidRPr="00E31C0B">
        <w:rPr>
          <w:rFonts w:hAnsi="標楷體" w:hint="eastAsia"/>
        </w:rPr>
        <w:t>本件系爭案件</w:t>
      </w:r>
      <w:r w:rsidRPr="00E31C0B">
        <w:rPr>
          <w:rFonts w:hAnsi="標楷體" w:hint="eastAsia"/>
        </w:rPr>
        <w:t>司法審理全卷及相關查復資料；民國（下同）</w:t>
      </w:r>
      <w:r w:rsidRPr="00E31C0B">
        <w:rPr>
          <w:rFonts w:hAnsi="標楷體" w:hint="eastAsia"/>
          <w:szCs w:val="32"/>
        </w:rPr>
        <w:t>1</w:t>
      </w:r>
      <w:r w:rsidRPr="00E31C0B">
        <w:rPr>
          <w:rFonts w:hAnsi="標楷體"/>
          <w:szCs w:val="32"/>
        </w:rPr>
        <w:t>14</w:t>
      </w:r>
      <w:r w:rsidRPr="00E31C0B">
        <w:rPr>
          <w:rFonts w:hAnsi="標楷體" w:hint="eastAsia"/>
          <w:szCs w:val="32"/>
        </w:rPr>
        <w:t>年9月15日諮詢專家學者</w:t>
      </w:r>
      <w:r w:rsidR="005B1E60" w:rsidRPr="00E31C0B">
        <w:rPr>
          <w:rFonts w:hAnsi="標楷體" w:hint="eastAsia"/>
        </w:rPr>
        <w:t>吳○華</w:t>
      </w:r>
      <w:r w:rsidRPr="00E31C0B">
        <w:rPr>
          <w:rFonts w:hAnsi="標楷體" w:hint="eastAsia"/>
        </w:rPr>
        <w:t>教授</w:t>
      </w:r>
      <w:r w:rsidRPr="00E31C0B">
        <w:rPr>
          <w:rFonts w:hAnsi="標楷體" w:hint="eastAsia"/>
          <w:szCs w:val="32"/>
        </w:rPr>
        <w:t>及錢</w:t>
      </w:r>
      <w:r w:rsidR="005B1E60" w:rsidRPr="00E31C0B">
        <w:rPr>
          <w:rFonts w:hAnsi="標楷體" w:hint="eastAsia"/>
        </w:rPr>
        <w:t>○</w:t>
      </w:r>
      <w:r w:rsidRPr="00E31C0B">
        <w:rPr>
          <w:rFonts w:hAnsi="標楷體" w:hint="eastAsia"/>
          <w:szCs w:val="32"/>
        </w:rPr>
        <w:t>榮</w:t>
      </w:r>
      <w:r w:rsidRPr="00E31C0B">
        <w:rPr>
          <w:rFonts w:hAnsi="標楷體"/>
          <w:szCs w:val="32"/>
        </w:rPr>
        <w:t>律師</w:t>
      </w:r>
      <w:r w:rsidRPr="00E31C0B">
        <w:rPr>
          <w:rFonts w:hAnsi="標楷體" w:hint="eastAsia"/>
        </w:rPr>
        <w:t>，</w:t>
      </w:r>
      <w:r w:rsidR="00F321E0" w:rsidRPr="00E31C0B">
        <w:rPr>
          <w:rFonts w:hAnsi="標楷體" w:hint="eastAsia"/>
          <w:szCs w:val="32"/>
        </w:rPr>
        <w:t>業調查竣事，臚列調</w:t>
      </w:r>
      <w:r w:rsidR="00F321E0" w:rsidRPr="00E31C0B">
        <w:rPr>
          <w:rFonts w:hAnsi="標楷體" w:hint="eastAsia"/>
        </w:rPr>
        <w:t>查意見如下：</w:t>
      </w:r>
    </w:p>
    <w:p w14:paraId="139AD8E6" w14:textId="68928550" w:rsidR="00A544E6" w:rsidRPr="00992165" w:rsidRDefault="00A544E6" w:rsidP="00B447DF">
      <w:pPr>
        <w:pStyle w:val="2"/>
        <w:rPr>
          <w:rFonts w:hAnsi="標楷體"/>
          <w:b/>
          <w:bCs w:val="0"/>
        </w:rPr>
      </w:pPr>
      <w:bookmarkStart w:id="0" w:name="_Hlk140504507"/>
      <w:r w:rsidRPr="00992165">
        <w:rPr>
          <w:rFonts w:hAnsi="標楷體"/>
          <w:b/>
          <w:bCs w:val="0"/>
          <w:szCs w:val="36"/>
        </w:rPr>
        <w:t>最高法院</w:t>
      </w:r>
      <w:r w:rsidR="00B85450">
        <w:rPr>
          <w:rFonts w:hAnsi="標楷體" w:hint="eastAsia"/>
          <w:b/>
          <w:bCs w:val="0"/>
          <w:szCs w:val="36"/>
        </w:rPr>
        <w:t>審理</w:t>
      </w:r>
      <w:r w:rsidRPr="00992165">
        <w:rPr>
          <w:rFonts w:hAnsi="標楷體"/>
          <w:b/>
          <w:bCs w:val="0"/>
          <w:szCs w:val="36"/>
        </w:rPr>
        <w:t>109年度台上字第1598號毒品危害防制條例案件</w:t>
      </w:r>
      <w:r w:rsidRPr="00992165">
        <w:rPr>
          <w:rFonts w:hAnsi="標楷體" w:hint="eastAsia"/>
          <w:b/>
          <w:bCs w:val="0"/>
        </w:rPr>
        <w:t>為判決時（</w:t>
      </w:r>
      <w:r w:rsidRPr="00992165">
        <w:rPr>
          <w:rFonts w:hAnsi="標楷體" w:hint="eastAsia"/>
          <w:b/>
          <w:bCs w:val="0"/>
          <w:szCs w:val="36"/>
        </w:rPr>
        <w:t>109年4月16日</w:t>
      </w:r>
      <w:r w:rsidRPr="00992165">
        <w:rPr>
          <w:rFonts w:hAnsi="標楷體" w:hint="eastAsia"/>
          <w:b/>
          <w:bCs w:val="0"/>
        </w:rPr>
        <w:t>），司法院釋字第790號解釋已公布（</w:t>
      </w:r>
      <w:r w:rsidRPr="00992165">
        <w:rPr>
          <w:rFonts w:hAnsi="標楷體" w:hint="eastAsia"/>
          <w:b/>
          <w:bCs w:val="0"/>
          <w:szCs w:val="36"/>
        </w:rPr>
        <w:t>109年3月20日</w:t>
      </w:r>
      <w:r w:rsidRPr="00992165">
        <w:rPr>
          <w:rFonts w:hAnsi="標楷體" w:hint="eastAsia"/>
          <w:b/>
          <w:bCs w:val="0"/>
        </w:rPr>
        <w:t>），</w:t>
      </w:r>
      <w:r w:rsidRPr="00992165">
        <w:rPr>
          <w:rFonts w:hAnsi="標楷體" w:hint="eastAsia"/>
          <w:b/>
          <w:bCs w:val="0"/>
          <w:szCs w:val="36"/>
        </w:rPr>
        <w:t>且當事人（即被告黃</w:t>
      </w:r>
      <w:r w:rsidR="005B1E60">
        <w:rPr>
          <w:rFonts w:hAnsi="標楷體" w:hint="eastAsia"/>
        </w:rPr>
        <w:t>○</w:t>
      </w:r>
      <w:r w:rsidRPr="00992165">
        <w:rPr>
          <w:rFonts w:hAnsi="標楷體" w:hint="eastAsia"/>
          <w:b/>
          <w:bCs w:val="0"/>
          <w:szCs w:val="36"/>
        </w:rPr>
        <w:t>剛）旋即於109年3月21日向</w:t>
      </w:r>
      <w:r w:rsidRPr="00992165">
        <w:rPr>
          <w:rFonts w:hAnsi="標楷體" w:hint="eastAsia"/>
          <w:b/>
          <w:bCs w:val="0"/>
        </w:rPr>
        <w:t>最高法院</w:t>
      </w:r>
      <w:r w:rsidRPr="00992165">
        <w:rPr>
          <w:rFonts w:hAnsi="標楷體" w:hint="eastAsia"/>
          <w:b/>
          <w:bCs w:val="0"/>
          <w:szCs w:val="36"/>
        </w:rPr>
        <w:t>提出</w:t>
      </w:r>
      <w:r w:rsidRPr="00992165">
        <w:rPr>
          <w:rFonts w:hAnsi="標楷體" w:hint="eastAsia"/>
          <w:b/>
          <w:bCs w:val="0"/>
        </w:rPr>
        <w:t>補充上訴理由狀，略以：「</w:t>
      </w:r>
      <w:r w:rsidRPr="00992165">
        <w:rPr>
          <w:rFonts w:hAnsi="標楷體"/>
          <w:b/>
          <w:bCs w:val="0"/>
        </w:rPr>
        <w:t>……</w:t>
      </w:r>
      <w:r w:rsidRPr="00992165">
        <w:rPr>
          <w:rFonts w:hAnsi="標楷體" w:hint="eastAsia"/>
          <w:b/>
          <w:bCs w:val="0"/>
        </w:rPr>
        <w:t>原審（</w:t>
      </w:r>
      <w:r w:rsidRPr="00992165">
        <w:rPr>
          <w:rFonts w:hAnsi="標楷體" w:hint="eastAsia"/>
          <w:b/>
          <w:bCs w:val="0"/>
          <w:szCs w:val="36"/>
        </w:rPr>
        <w:t>臺灣高等法院</w:t>
      </w:r>
      <w:r w:rsidRPr="00992165">
        <w:rPr>
          <w:rFonts w:hAnsi="標楷體" w:hint="eastAsia"/>
          <w:b/>
          <w:bCs w:val="0"/>
        </w:rPr>
        <w:t>）判決就被告所涉犯行，僅有</w:t>
      </w:r>
      <w:r w:rsidR="00757E96" w:rsidRPr="00992165">
        <w:rPr>
          <w:rFonts w:hAnsi="標楷體" w:hint="eastAsia"/>
          <w:b/>
          <w:bCs w:val="0"/>
        </w:rPr>
        <w:t>依刑法</w:t>
      </w:r>
      <w:r w:rsidRPr="00992165">
        <w:rPr>
          <w:rFonts w:hAnsi="標楷體" w:hint="eastAsia"/>
          <w:b/>
          <w:bCs w:val="0"/>
        </w:rPr>
        <w:t>第</w:t>
      </w:r>
      <w:r w:rsidRPr="00992165">
        <w:rPr>
          <w:rFonts w:hAnsi="標楷體"/>
          <w:b/>
          <w:bCs w:val="0"/>
        </w:rPr>
        <w:t>59</w:t>
      </w:r>
      <w:r w:rsidRPr="00992165">
        <w:rPr>
          <w:rFonts w:hAnsi="標楷體" w:hint="eastAsia"/>
          <w:b/>
          <w:bCs w:val="0"/>
        </w:rPr>
        <w:t>條予以減輕其刑，惟對被告可能構成顯然過苛之處罰，而無兼顧實質正義等情節輕微酌加考量，實有違</w:t>
      </w:r>
      <w:r w:rsidR="00166B5A">
        <w:rPr>
          <w:rFonts w:hAnsi="標楷體" w:hint="eastAsia"/>
          <w:b/>
          <w:bCs w:val="0"/>
        </w:rPr>
        <w:t>司法院釋</w:t>
      </w:r>
      <w:r w:rsidRPr="00992165">
        <w:rPr>
          <w:rFonts w:hAnsi="標楷體" w:hint="eastAsia"/>
          <w:b/>
          <w:bCs w:val="0"/>
        </w:rPr>
        <w:t>字第</w:t>
      </w:r>
      <w:r w:rsidRPr="00992165">
        <w:rPr>
          <w:rFonts w:hAnsi="標楷體"/>
          <w:b/>
          <w:bCs w:val="0"/>
        </w:rPr>
        <w:t>790</w:t>
      </w:r>
      <w:r w:rsidRPr="00992165">
        <w:rPr>
          <w:rFonts w:hAnsi="標楷體" w:hint="eastAsia"/>
          <w:b/>
          <w:bCs w:val="0"/>
        </w:rPr>
        <w:t>號解釋意旨，而司法院解釋憲法，作成解釋，自有拘束</w:t>
      </w:r>
      <w:r w:rsidRPr="00992165">
        <w:rPr>
          <w:rFonts w:hAnsi="標楷體" w:hint="eastAsia"/>
          <w:b/>
          <w:bCs w:val="0"/>
        </w:rPr>
        <w:lastRenderedPageBreak/>
        <w:t>法院之效力，應認原審判決有判決違背法令之處，得為</w:t>
      </w:r>
      <w:r w:rsidR="00100F55">
        <w:rPr>
          <w:rFonts w:hAnsi="標楷體" w:hint="eastAsia"/>
          <w:b/>
          <w:bCs w:val="0"/>
        </w:rPr>
        <w:t>上訴第三審</w:t>
      </w:r>
      <w:r w:rsidRPr="00992165">
        <w:rPr>
          <w:rFonts w:hAnsi="標楷體" w:hint="eastAsia"/>
          <w:b/>
          <w:bCs w:val="0"/>
        </w:rPr>
        <w:t>之理由。</w:t>
      </w:r>
      <w:r w:rsidRPr="00992165">
        <w:rPr>
          <w:rFonts w:hAnsi="標楷體"/>
          <w:b/>
          <w:bCs w:val="0"/>
        </w:rPr>
        <w:t>……</w:t>
      </w:r>
      <w:r w:rsidRPr="00992165">
        <w:rPr>
          <w:rFonts w:hAnsi="標楷體" w:hint="eastAsia"/>
          <w:b/>
          <w:bCs w:val="0"/>
        </w:rPr>
        <w:t>原審判決確有當然違背法令之情形，敬請發回更為審理或逕為適法判決，</w:t>
      </w:r>
      <w:r w:rsidRPr="00992165">
        <w:rPr>
          <w:rFonts w:hAnsi="標楷體"/>
          <w:b/>
          <w:bCs w:val="0"/>
        </w:rPr>
        <w:t>……</w:t>
      </w:r>
      <w:r w:rsidRPr="00992165">
        <w:rPr>
          <w:rFonts w:hAnsi="標楷體" w:hint="eastAsia"/>
          <w:b/>
          <w:bCs w:val="0"/>
        </w:rPr>
        <w:t>」</w:t>
      </w:r>
      <w:r w:rsidR="00B85450">
        <w:rPr>
          <w:rFonts w:hAnsi="標楷體" w:hint="eastAsia"/>
          <w:b/>
          <w:bCs w:val="0"/>
        </w:rPr>
        <w:t>即</w:t>
      </w:r>
      <w:r w:rsidRPr="00992165">
        <w:rPr>
          <w:rFonts w:hAnsi="標楷體" w:hint="eastAsia"/>
          <w:b/>
          <w:bCs w:val="0"/>
        </w:rPr>
        <w:t>原審</w:t>
      </w:r>
      <w:r w:rsidRPr="00992165">
        <w:rPr>
          <w:rFonts w:hAnsi="標楷體" w:hint="eastAsia"/>
          <w:b/>
          <w:bCs w:val="0"/>
          <w:szCs w:val="36"/>
        </w:rPr>
        <w:t>臺灣高等法院為</w:t>
      </w:r>
      <w:r w:rsidR="00E115DD">
        <w:rPr>
          <w:rFonts w:hAnsi="標楷體" w:hint="eastAsia"/>
          <w:b/>
          <w:bCs w:val="0"/>
          <w:szCs w:val="36"/>
        </w:rPr>
        <w:t>本件</w:t>
      </w:r>
      <w:r w:rsidRPr="00992165">
        <w:rPr>
          <w:rFonts w:hAnsi="標楷體" w:hint="eastAsia"/>
          <w:b/>
          <w:bCs w:val="0"/>
        </w:rPr>
        <w:t>系爭案件判決時，司法院釋字第790號解釋尚未公</w:t>
      </w:r>
      <w:r w:rsidR="00A758AE">
        <w:rPr>
          <w:rFonts w:hAnsi="標楷體" w:hint="eastAsia"/>
          <w:b/>
          <w:bCs w:val="0"/>
        </w:rPr>
        <w:t>布，故僅</w:t>
      </w:r>
      <w:r w:rsidRPr="00992165">
        <w:rPr>
          <w:rFonts w:hAnsi="標楷體" w:hint="eastAsia"/>
          <w:b/>
          <w:bCs w:val="0"/>
        </w:rPr>
        <w:t>能</w:t>
      </w:r>
      <w:r w:rsidR="00757E96" w:rsidRPr="00992165">
        <w:rPr>
          <w:rFonts w:hAnsi="標楷體" w:hint="eastAsia"/>
          <w:b/>
          <w:bCs w:val="0"/>
        </w:rPr>
        <w:t>依刑法</w:t>
      </w:r>
      <w:r w:rsidRPr="00992165">
        <w:rPr>
          <w:rFonts w:hAnsi="標楷體" w:hint="eastAsia"/>
          <w:b/>
          <w:bCs w:val="0"/>
        </w:rPr>
        <w:t>第</w:t>
      </w:r>
      <w:r w:rsidRPr="00992165">
        <w:rPr>
          <w:rFonts w:hAnsi="標楷體"/>
          <w:b/>
          <w:bCs w:val="0"/>
        </w:rPr>
        <w:t>59</w:t>
      </w:r>
      <w:r w:rsidRPr="00992165">
        <w:rPr>
          <w:rFonts w:hAnsi="標楷體" w:hint="eastAsia"/>
          <w:b/>
          <w:bCs w:val="0"/>
        </w:rPr>
        <w:t>條規定，對系爭案件量刑（原系爭規定之法定刑）予以減輕其刑。但司法院釋字第790號解釋公布後，形同系爭規定之法定刑不論修法進度及內容如何，可預見將較輕於原規定，而適用較輕之新規定，亦可再適用刑法第</w:t>
      </w:r>
      <w:r w:rsidRPr="00992165">
        <w:rPr>
          <w:rFonts w:hAnsi="標楷體"/>
          <w:b/>
          <w:bCs w:val="0"/>
        </w:rPr>
        <w:t>59</w:t>
      </w:r>
      <w:r w:rsidRPr="00992165">
        <w:rPr>
          <w:rFonts w:hAnsi="標楷體" w:hint="eastAsia"/>
          <w:b/>
          <w:bCs w:val="0"/>
        </w:rPr>
        <w:t>條規定量刑上之予以減輕，顯對訴訟尚未終結之被告有可期待之雙重利益。惟最高法院遽採原審</w:t>
      </w:r>
      <w:r w:rsidRPr="00992165">
        <w:rPr>
          <w:rFonts w:hAnsi="標楷體" w:hint="eastAsia"/>
          <w:b/>
          <w:bCs w:val="0"/>
          <w:szCs w:val="36"/>
        </w:rPr>
        <w:t>臺灣高等法院</w:t>
      </w:r>
      <w:r w:rsidRPr="00992165">
        <w:rPr>
          <w:rFonts w:hAnsi="標楷體" w:hint="eastAsia"/>
          <w:b/>
          <w:bCs w:val="0"/>
        </w:rPr>
        <w:t>判決時，時空背景歧異之系爭規定見解，</w:t>
      </w:r>
      <w:r w:rsidR="002E0096">
        <w:rPr>
          <w:rFonts w:hAnsi="標楷體" w:hint="eastAsia"/>
          <w:b/>
          <w:bCs w:val="0"/>
        </w:rPr>
        <w:t>未將本件系爭案件</w:t>
      </w:r>
      <w:r w:rsidRPr="00992165">
        <w:rPr>
          <w:rFonts w:hAnsi="標楷體" w:hint="eastAsia"/>
          <w:b/>
          <w:bCs w:val="0"/>
        </w:rPr>
        <w:t>之審判程序延至新法修正公布</w:t>
      </w:r>
      <w:r w:rsidR="00D02CC6">
        <w:rPr>
          <w:rFonts w:hAnsi="標楷體" w:hint="eastAsia"/>
          <w:b/>
          <w:bCs w:val="0"/>
        </w:rPr>
        <w:t>後，或</w:t>
      </w:r>
      <w:r w:rsidRPr="00992165">
        <w:rPr>
          <w:rFonts w:hAnsi="標楷體" w:hint="eastAsia"/>
          <w:b/>
          <w:bCs w:val="0"/>
        </w:rPr>
        <w:t>司法院釋字第790號解釋公布之日起1年後，始予終結，或發回</w:t>
      </w:r>
      <w:r w:rsidRPr="00992165">
        <w:rPr>
          <w:rFonts w:hAnsi="標楷體" w:hint="eastAsia"/>
          <w:b/>
          <w:bCs w:val="0"/>
          <w:szCs w:val="36"/>
        </w:rPr>
        <w:t>臺灣高等法院</w:t>
      </w:r>
      <w:r w:rsidRPr="00992165">
        <w:rPr>
          <w:rFonts w:hAnsi="標楷體" w:hint="eastAsia"/>
          <w:b/>
          <w:bCs w:val="0"/>
        </w:rPr>
        <w:t>更為審理，實有違刑法第2條應適用最有利於行為人之法律原則，有悖憲法保障人民基本權之重要原則，而有</w:t>
      </w:r>
      <w:r w:rsidRPr="00992165">
        <w:rPr>
          <w:rFonts w:hAnsi="標楷體"/>
          <w:b/>
          <w:bCs w:val="0"/>
          <w:szCs w:val="36"/>
        </w:rPr>
        <w:t>判決不適用法則或適用不當者</w:t>
      </w:r>
      <w:r w:rsidRPr="00992165">
        <w:rPr>
          <w:rFonts w:hAnsi="標楷體" w:hint="eastAsia"/>
          <w:b/>
          <w:bCs w:val="0"/>
          <w:szCs w:val="36"/>
        </w:rPr>
        <w:t>之</w:t>
      </w:r>
      <w:r w:rsidRPr="00992165">
        <w:rPr>
          <w:rFonts w:hAnsi="標楷體"/>
          <w:b/>
          <w:bCs w:val="0"/>
          <w:szCs w:val="36"/>
        </w:rPr>
        <w:t>違背法令</w:t>
      </w:r>
      <w:r w:rsidRPr="00992165">
        <w:rPr>
          <w:rFonts w:hAnsi="標楷體" w:hint="eastAsia"/>
          <w:b/>
          <w:bCs w:val="0"/>
          <w:szCs w:val="36"/>
        </w:rPr>
        <w:t>情事</w:t>
      </w:r>
      <w:r w:rsidRPr="00992165">
        <w:rPr>
          <w:rFonts w:hAnsi="標楷體" w:hint="eastAsia"/>
          <w:b/>
          <w:bCs w:val="0"/>
        </w:rPr>
        <w:t>。</w:t>
      </w:r>
    </w:p>
    <w:p w14:paraId="5C7BFDDB" w14:textId="7D7C5D49" w:rsidR="00362243" w:rsidRPr="00E31C0B" w:rsidRDefault="00362243" w:rsidP="00B447DF">
      <w:pPr>
        <w:pStyle w:val="3"/>
        <w:rPr>
          <w:rFonts w:hAnsi="標楷體"/>
          <w:szCs w:val="32"/>
        </w:rPr>
      </w:pPr>
      <w:r w:rsidRPr="00E31C0B">
        <w:rPr>
          <w:rFonts w:hAnsi="標楷體"/>
        </w:rPr>
        <w:t>刑事訴訟法</w:t>
      </w:r>
      <w:r w:rsidRPr="00E31C0B">
        <w:rPr>
          <w:rFonts w:hAnsi="標楷體"/>
          <w:szCs w:val="32"/>
        </w:rPr>
        <w:t>第378條</w:t>
      </w:r>
      <w:r w:rsidRPr="00E31C0B">
        <w:rPr>
          <w:rFonts w:hAnsi="標楷體" w:hint="eastAsia"/>
          <w:szCs w:val="32"/>
        </w:rPr>
        <w:t>規定</w:t>
      </w:r>
      <w:r w:rsidR="00AB092F" w:rsidRPr="00E31C0B">
        <w:rPr>
          <w:rFonts w:hAnsi="標楷體" w:hint="eastAsia"/>
          <w:szCs w:val="32"/>
        </w:rPr>
        <w:t>：「</w:t>
      </w:r>
      <w:r w:rsidRPr="00E31C0B">
        <w:rPr>
          <w:rFonts w:hAnsi="標楷體"/>
          <w:szCs w:val="32"/>
        </w:rPr>
        <w:t>判決不適用法則或適用不當者，為違背法令。</w:t>
      </w:r>
      <w:r w:rsidR="00AB092F" w:rsidRPr="00E31C0B">
        <w:rPr>
          <w:rFonts w:hAnsi="標楷體" w:hint="eastAsia"/>
          <w:szCs w:val="32"/>
        </w:rPr>
        <w:t>」</w:t>
      </w:r>
      <w:r w:rsidRPr="00E31C0B">
        <w:rPr>
          <w:rFonts w:hAnsi="標楷體"/>
          <w:szCs w:val="32"/>
        </w:rPr>
        <w:t>第379條</w:t>
      </w:r>
      <w:r w:rsidR="00AB092F" w:rsidRPr="00E31C0B">
        <w:rPr>
          <w:rFonts w:hAnsi="標楷體" w:hint="eastAsia"/>
          <w:szCs w:val="32"/>
        </w:rPr>
        <w:t>規定：「</w:t>
      </w:r>
      <w:r w:rsidRPr="00E31C0B">
        <w:rPr>
          <w:rFonts w:hAnsi="標楷體"/>
          <w:szCs w:val="32"/>
        </w:rPr>
        <w:t>有左列情形之一者，其判決當然違背法令︰</w:t>
      </w:r>
      <w:r w:rsidR="00812120" w:rsidRPr="00E31C0B">
        <w:rPr>
          <w:rFonts w:hAnsi="標楷體"/>
          <w:szCs w:val="32"/>
        </w:rPr>
        <w:t>……</w:t>
      </w:r>
      <w:r w:rsidRPr="00E31C0B">
        <w:rPr>
          <w:rFonts w:hAnsi="標楷體"/>
          <w:szCs w:val="32"/>
        </w:rPr>
        <w:t>。九、依本法應停止或更新審判而未經停止或更新者。十、依本法應於審判期日調查之證據而未予調查者。</w:t>
      </w:r>
      <w:r w:rsidR="00812120" w:rsidRPr="00E31C0B">
        <w:rPr>
          <w:rFonts w:hAnsi="標楷體"/>
          <w:szCs w:val="32"/>
        </w:rPr>
        <w:t>……</w:t>
      </w:r>
      <w:r w:rsidRPr="00E31C0B">
        <w:rPr>
          <w:rFonts w:hAnsi="標楷體"/>
          <w:szCs w:val="32"/>
        </w:rPr>
        <w:t>。十二、除本法有特別規定外，已受請求之事項未予判決，或未受請求之事項予以判決者。</w:t>
      </w:r>
      <w:r w:rsidR="00812120" w:rsidRPr="00E31C0B">
        <w:rPr>
          <w:rFonts w:hAnsi="標楷體"/>
          <w:szCs w:val="32"/>
        </w:rPr>
        <w:t>……</w:t>
      </w:r>
      <w:r w:rsidRPr="00E31C0B">
        <w:rPr>
          <w:rFonts w:hAnsi="標楷體"/>
          <w:szCs w:val="32"/>
        </w:rPr>
        <w:t>。十四、判決不載理由或所載理由矛盾者。</w:t>
      </w:r>
      <w:r w:rsidRPr="00E31C0B">
        <w:rPr>
          <w:rFonts w:hAnsi="標楷體" w:hint="eastAsia"/>
          <w:szCs w:val="32"/>
        </w:rPr>
        <w:t>」</w:t>
      </w:r>
      <w:r w:rsidR="00AB092F" w:rsidRPr="00E31C0B">
        <w:rPr>
          <w:rFonts w:hAnsi="標楷體"/>
          <w:szCs w:val="32"/>
        </w:rPr>
        <w:t>第441條</w:t>
      </w:r>
      <w:r w:rsidR="00AB092F" w:rsidRPr="00E31C0B">
        <w:rPr>
          <w:rFonts w:hAnsi="標楷體" w:hint="eastAsia"/>
          <w:szCs w:val="32"/>
        </w:rPr>
        <w:t>：「</w:t>
      </w:r>
      <w:r w:rsidR="00AB092F" w:rsidRPr="00E31C0B">
        <w:rPr>
          <w:rFonts w:hAnsi="標楷體"/>
          <w:szCs w:val="32"/>
        </w:rPr>
        <w:t>判決確定後，發見該案件之審判係違背法令者，最高檢察署檢察總長得向最高</w:t>
      </w:r>
      <w:r w:rsidR="00AB092F" w:rsidRPr="00E31C0B">
        <w:rPr>
          <w:rFonts w:hAnsi="標楷體"/>
        </w:rPr>
        <w:t>法院提起非常上訴。</w:t>
      </w:r>
      <w:r w:rsidR="00AB092F" w:rsidRPr="00E31C0B">
        <w:rPr>
          <w:rFonts w:hAnsi="標楷體" w:hint="eastAsia"/>
        </w:rPr>
        <w:t>」</w:t>
      </w:r>
    </w:p>
    <w:p w14:paraId="2E0A5D5C" w14:textId="265E153F" w:rsidR="008277DD" w:rsidRPr="00E31C0B" w:rsidRDefault="00A13003" w:rsidP="00B447DF">
      <w:pPr>
        <w:pStyle w:val="3"/>
        <w:rPr>
          <w:rFonts w:hAnsi="標楷體"/>
          <w:szCs w:val="32"/>
        </w:rPr>
      </w:pPr>
      <w:r w:rsidRPr="00E31C0B">
        <w:rPr>
          <w:rFonts w:hAnsi="標楷體" w:hint="eastAsia"/>
          <w:szCs w:val="32"/>
        </w:rPr>
        <w:t>本件系爭案件</w:t>
      </w:r>
      <w:r w:rsidR="00C862E9" w:rsidRPr="00E31C0B">
        <w:rPr>
          <w:rFonts w:hAnsi="標楷體" w:hint="eastAsia"/>
          <w:szCs w:val="32"/>
        </w:rPr>
        <w:t>及司法院釋字第790號解釋</w:t>
      </w:r>
      <w:r w:rsidR="00266581" w:rsidRPr="00E31C0B">
        <w:rPr>
          <w:rFonts w:hAnsi="標楷體" w:hint="eastAsia"/>
          <w:szCs w:val="32"/>
        </w:rPr>
        <w:t>涉及之相</w:t>
      </w:r>
      <w:r w:rsidR="00266581" w:rsidRPr="00E31C0B">
        <w:rPr>
          <w:rFonts w:hAnsi="標楷體" w:hint="eastAsia"/>
          <w:szCs w:val="32"/>
        </w:rPr>
        <w:lastRenderedPageBreak/>
        <w:t>關法律規定爭議，</w:t>
      </w:r>
      <w:r w:rsidR="008277DD" w:rsidRPr="00E31C0B">
        <w:rPr>
          <w:rFonts w:hAnsi="標楷體" w:hint="eastAsia"/>
          <w:szCs w:val="32"/>
        </w:rPr>
        <w:t>按時序分述如下：</w:t>
      </w:r>
    </w:p>
    <w:p w14:paraId="0526BA56" w14:textId="7B708F67" w:rsidR="008277DD" w:rsidRPr="00E31C0B" w:rsidRDefault="008277DD" w:rsidP="00B447DF">
      <w:pPr>
        <w:pStyle w:val="4"/>
        <w:rPr>
          <w:rFonts w:hAnsi="標楷體"/>
          <w:bCs/>
        </w:rPr>
      </w:pPr>
      <w:r w:rsidRPr="00E31C0B">
        <w:rPr>
          <w:rFonts w:hAnsi="標楷體" w:hint="eastAsia"/>
          <w:bCs/>
          <w:szCs w:val="32"/>
        </w:rPr>
        <w:t>108年4月30日臺灣高等法院108年度上訴字第814號刑事判決，</w:t>
      </w:r>
      <w:r w:rsidR="00A13003" w:rsidRPr="00E31C0B">
        <w:rPr>
          <w:rFonts w:hAnsi="標楷體" w:hint="eastAsia"/>
          <w:bCs/>
        </w:rPr>
        <w:t>本件系爭案件</w:t>
      </w:r>
      <w:r w:rsidRPr="00E31C0B">
        <w:rPr>
          <w:rFonts w:hAnsi="標楷體" w:hint="eastAsia"/>
          <w:bCs/>
          <w:szCs w:val="32"/>
        </w:rPr>
        <w:t>被告</w:t>
      </w:r>
      <w:r w:rsidR="005B1E60" w:rsidRPr="00E31C0B">
        <w:rPr>
          <w:rFonts w:hAnsi="標楷體" w:hint="eastAsia"/>
          <w:bCs/>
          <w:szCs w:val="32"/>
        </w:rPr>
        <w:t>黃○剛</w:t>
      </w:r>
      <w:r w:rsidRPr="00E31C0B">
        <w:rPr>
          <w:rFonts w:hAnsi="標楷體" w:hint="eastAsia"/>
          <w:bCs/>
          <w:szCs w:val="32"/>
        </w:rPr>
        <w:t>不服臺灣桃園地方法院107年12月24日</w:t>
      </w:r>
      <w:hyperlink r:id="rId9" w:tgtFrame="_blank" w:history="1">
        <w:r w:rsidRPr="00E31C0B">
          <w:rPr>
            <w:rFonts w:hAnsi="標楷體" w:hint="eastAsia"/>
            <w:bCs/>
            <w:szCs w:val="32"/>
          </w:rPr>
          <w:t>107年度訴字第273</w:t>
        </w:r>
      </w:hyperlink>
      <w:r w:rsidRPr="00E31C0B">
        <w:rPr>
          <w:rFonts w:hAnsi="標楷體" w:hint="eastAsia"/>
          <w:bCs/>
          <w:szCs w:val="32"/>
        </w:rPr>
        <w:t>號判決，提起上訴，</w:t>
      </w:r>
      <w:r w:rsidR="002E0096" w:rsidRPr="00E31C0B">
        <w:rPr>
          <w:rFonts w:hAnsi="標楷體" w:hint="eastAsia"/>
          <w:bCs/>
          <w:szCs w:val="32"/>
        </w:rPr>
        <w:t>改</w:t>
      </w:r>
      <w:r w:rsidRPr="00E31C0B">
        <w:rPr>
          <w:rFonts w:hAnsi="標楷體" w:hint="eastAsia"/>
          <w:bCs/>
          <w:szCs w:val="32"/>
        </w:rPr>
        <w:t>判</w:t>
      </w:r>
      <w:r w:rsidR="005B1E60" w:rsidRPr="00E31C0B">
        <w:rPr>
          <w:rFonts w:hAnsi="標楷體" w:hint="eastAsia"/>
          <w:bCs/>
        </w:rPr>
        <w:t>黃○剛</w:t>
      </w:r>
      <w:r w:rsidRPr="00E31C0B">
        <w:rPr>
          <w:rFonts w:hAnsi="標楷體" w:hint="eastAsia"/>
          <w:bCs/>
        </w:rPr>
        <w:t>犯意圖供製造毒品之用，而栽種大麻罪，處有期徒刑2年7月</w:t>
      </w:r>
      <w:r w:rsidR="00511057" w:rsidRPr="00E31C0B">
        <w:rPr>
          <w:rFonts w:hAnsi="標楷體" w:hint="eastAsia"/>
          <w:bCs/>
        </w:rPr>
        <w:t>（主文）</w:t>
      </w:r>
      <w:r w:rsidR="00A873B6" w:rsidRPr="00E31C0B">
        <w:rPr>
          <w:rFonts w:hAnsi="標楷體" w:hint="eastAsia"/>
          <w:bCs/>
        </w:rPr>
        <w:t>，</w:t>
      </w:r>
      <w:r w:rsidR="00A873B6" w:rsidRPr="00E31C0B">
        <w:rPr>
          <w:rFonts w:hAnsi="標楷體" w:hint="eastAsia"/>
          <w:bCs/>
          <w:szCs w:val="32"/>
        </w:rPr>
        <w:t>判決</w:t>
      </w:r>
      <w:r w:rsidRPr="00E31C0B">
        <w:rPr>
          <w:rFonts w:hAnsi="標楷體" w:hint="eastAsia"/>
          <w:bCs/>
        </w:rPr>
        <w:t>事實</w:t>
      </w:r>
      <w:r w:rsidR="00A873B6" w:rsidRPr="00E31C0B">
        <w:rPr>
          <w:rFonts w:hAnsi="標楷體" w:hint="eastAsia"/>
          <w:bCs/>
        </w:rPr>
        <w:t>、</w:t>
      </w:r>
      <w:r w:rsidRPr="00E31C0B">
        <w:rPr>
          <w:rFonts w:hAnsi="標楷體" w:hint="eastAsia"/>
          <w:bCs/>
        </w:rPr>
        <w:t>理由</w:t>
      </w:r>
      <w:r w:rsidR="00A873B6" w:rsidRPr="00E31C0B">
        <w:rPr>
          <w:rFonts w:hAnsi="標楷體" w:hint="eastAsia"/>
          <w:bCs/>
        </w:rPr>
        <w:t>及論罪量刑，</w:t>
      </w:r>
      <w:r w:rsidRPr="00E31C0B">
        <w:rPr>
          <w:rFonts w:hAnsi="標楷體" w:hint="eastAsia"/>
          <w:bCs/>
        </w:rPr>
        <w:t>摘錄如下：</w:t>
      </w:r>
    </w:p>
    <w:p w14:paraId="39C72858" w14:textId="640E5243" w:rsidR="008277DD" w:rsidRPr="00E31C0B" w:rsidRDefault="005B1E60" w:rsidP="00B447DF">
      <w:pPr>
        <w:pStyle w:val="5"/>
        <w:rPr>
          <w:rFonts w:hAnsi="標楷體"/>
        </w:rPr>
      </w:pPr>
      <w:r w:rsidRPr="00E31C0B">
        <w:rPr>
          <w:rFonts w:hAnsi="標楷體" w:hint="eastAsia"/>
        </w:rPr>
        <w:t>黃○剛</w:t>
      </w:r>
      <w:r w:rsidR="008277DD" w:rsidRPr="00E31C0B">
        <w:rPr>
          <w:rFonts w:hAnsi="標楷體" w:hint="eastAsia"/>
        </w:rPr>
        <w:t>明知大麻種子係</w:t>
      </w:r>
      <w:hyperlink r:id="rId10" w:tgtFrame="_blank" w:history="1">
        <w:r w:rsidR="008277DD" w:rsidRPr="00E31C0B">
          <w:rPr>
            <w:rFonts w:hAnsi="標楷體" w:hint="eastAsia"/>
          </w:rPr>
          <w:t>毒品危害防制條例</w:t>
        </w:r>
      </w:hyperlink>
      <w:r w:rsidR="008277DD" w:rsidRPr="00E31C0B">
        <w:rPr>
          <w:rFonts w:hAnsi="標楷體" w:hint="eastAsia"/>
        </w:rPr>
        <w:t>禁止意圖供栽種之用而運輸及禁止持有之物品，亦係行政院依</w:t>
      </w:r>
      <w:hyperlink r:id="rId11" w:tgtFrame="_blank" w:history="1">
        <w:r w:rsidR="008277DD" w:rsidRPr="00E31C0B">
          <w:rPr>
            <w:rFonts w:hAnsi="標楷體" w:hint="eastAsia"/>
          </w:rPr>
          <w:t>懲治走私條例</w:t>
        </w:r>
      </w:hyperlink>
      <w:r w:rsidR="008277DD" w:rsidRPr="00E31C0B">
        <w:rPr>
          <w:rFonts w:hAnsi="標楷體" w:hint="eastAsia"/>
        </w:rPr>
        <w:t>授權公告之管制進出口物品，不得私運進口，竟分別為下列犯行：</w:t>
      </w:r>
    </w:p>
    <w:p w14:paraId="28638D2A" w14:textId="27834582" w:rsidR="008277DD" w:rsidRPr="00E31C0B" w:rsidRDefault="008277DD" w:rsidP="00B447DF">
      <w:pPr>
        <w:pStyle w:val="6"/>
        <w:rPr>
          <w:rFonts w:hAnsi="標楷體"/>
          <w:bCs/>
        </w:rPr>
      </w:pPr>
      <w:r w:rsidRPr="00E31C0B">
        <w:rPr>
          <w:rFonts w:hAnsi="標楷體" w:hint="eastAsia"/>
          <w:bCs/>
        </w:rPr>
        <w:t>基於意圖供栽種之用而運輸大麻種子及私運管制物品大麻種子進口之犯意（</w:t>
      </w:r>
      <w:r w:rsidR="00154E63" w:rsidRPr="00E31C0B">
        <w:rPr>
          <w:rFonts w:hAnsi="標楷體" w:hint="eastAsia"/>
          <w:bCs/>
        </w:rPr>
        <w:t>以下簡稱：</w:t>
      </w:r>
      <w:r w:rsidRPr="00E31C0B">
        <w:rPr>
          <w:rFonts w:hAnsi="標楷體" w:hint="eastAsia"/>
          <w:bCs/>
        </w:rPr>
        <w:t>犯罪事實</w:t>
      </w:r>
      <w:r w:rsidR="007F1130" w:rsidRPr="00E31C0B">
        <w:rPr>
          <w:rFonts w:hAnsi="標楷體" w:hint="eastAsia"/>
          <w:bCs/>
        </w:rPr>
        <w:t>一</w:t>
      </w:r>
      <w:r w:rsidRPr="00E31C0B">
        <w:rPr>
          <w:rFonts w:hAnsi="標楷體" w:hint="eastAsia"/>
          <w:bCs/>
        </w:rPr>
        <w:t>），於105年7月間某日，在其位於桃園市</w:t>
      </w:r>
      <w:r w:rsidR="003F14E6" w:rsidRPr="00E31C0B">
        <w:rPr>
          <w:rFonts w:hAnsi="標楷體" w:hint="eastAsia"/>
          <w:bCs/>
        </w:rPr>
        <w:t>○○</w:t>
      </w:r>
      <w:r w:rsidRPr="00E31C0B">
        <w:rPr>
          <w:rFonts w:hAnsi="標楷體" w:hint="eastAsia"/>
          <w:bCs/>
        </w:rPr>
        <w:t>區○○路</w:t>
      </w:r>
      <w:r w:rsidR="002E0096" w:rsidRPr="00E31C0B">
        <w:rPr>
          <w:rFonts w:hAnsi="標楷體" w:hint="eastAsia"/>
          <w:bCs/>
        </w:rPr>
        <w:t>○○段○○號</w:t>
      </w:r>
      <w:r w:rsidRPr="00E31C0B">
        <w:rPr>
          <w:rFonts w:hAnsi="標楷體" w:hint="eastAsia"/>
          <w:bCs/>
        </w:rPr>
        <w:t>住處，以電腦相關設備連接網際網路，並連結至英國販售大麻種子之「https：//www.seed-city.com」種子城網站，以每顆新臺幣（下同）50元之價格，訂購大麻種子36顆，並指定上址住處為收件地址，再至某全家便利超商，以虛擬貨幣比特幣（Bitcoin）匯款至網站所指定之虛擬電子錢包內而給付上開貨款後，種子城網站員工即利用不知情之郵遞人員以國際郵寄包裹之方式，並以上址住處為收件地址，交由該不知情之郵遞人員以航空運輸起運，嗣於同月間某日，運抵臺灣桃園國際機場，復由不知情之郵遞人員將之配送至上開住處，而將上開管制物品即大麻種子</w:t>
      </w:r>
      <w:r w:rsidRPr="00E31C0B">
        <w:rPr>
          <w:rFonts w:hAnsi="標楷體" w:hint="eastAsia"/>
          <w:bCs/>
        </w:rPr>
        <w:lastRenderedPageBreak/>
        <w:t>未依規定自英國輸入臺灣。</w:t>
      </w:r>
    </w:p>
    <w:p w14:paraId="0E2B4BE5" w14:textId="29AB7960" w:rsidR="008277DD" w:rsidRPr="00E31C0B" w:rsidRDefault="005B1E60" w:rsidP="00B447DF">
      <w:pPr>
        <w:pStyle w:val="6"/>
        <w:rPr>
          <w:rFonts w:hAnsi="標楷體"/>
          <w:bCs/>
        </w:rPr>
      </w:pPr>
      <w:r w:rsidRPr="00E31C0B">
        <w:rPr>
          <w:rFonts w:hAnsi="標楷體" w:hint="eastAsia"/>
          <w:bCs/>
        </w:rPr>
        <w:t>黃○剛</w:t>
      </w:r>
      <w:r w:rsidR="008277DD" w:rsidRPr="00E31C0B">
        <w:rPr>
          <w:rFonts w:hAnsi="標楷體" w:hint="eastAsia"/>
          <w:bCs/>
        </w:rPr>
        <w:t>取得上開大麻種子後，另基於意圖供製造毒品而栽種大麻（</w:t>
      </w:r>
      <w:r w:rsidR="00154E63" w:rsidRPr="00E31C0B">
        <w:rPr>
          <w:rFonts w:hAnsi="標楷體" w:hint="eastAsia"/>
          <w:bCs/>
        </w:rPr>
        <w:t>以下簡稱：</w:t>
      </w:r>
      <w:r w:rsidR="007F1130" w:rsidRPr="00E31C0B">
        <w:rPr>
          <w:rFonts w:hAnsi="標楷體" w:hint="eastAsia"/>
          <w:bCs/>
        </w:rPr>
        <w:t>犯罪事實二</w:t>
      </w:r>
      <w:r w:rsidR="008277DD" w:rsidRPr="00E31C0B">
        <w:rPr>
          <w:rFonts w:hAnsi="標楷體" w:hint="eastAsia"/>
          <w:bCs/>
        </w:rPr>
        <w:t>）之犯意，接續於105年8月</w:t>
      </w:r>
      <w:r w:rsidR="00DE1F3D" w:rsidRPr="00E31C0B">
        <w:rPr>
          <w:rFonts w:hAnsi="標楷體" w:hint="eastAsia"/>
          <w:bCs/>
        </w:rPr>
        <w:t>起至</w:t>
      </w:r>
      <w:r w:rsidR="008277DD" w:rsidRPr="00E31C0B">
        <w:rPr>
          <w:rFonts w:hAnsi="標楷體" w:hint="eastAsia"/>
          <w:bCs/>
        </w:rPr>
        <w:t>同年11月止，購買如附表一編號3至13所示各項栽種設備，並在上址住處內，自前揭私運進口之大麻種子中取出3顆，以土耕法將種子播種，期間並定期施以水分及肥料，以待其冒芽成株並開花，以此方法栽種大麻，其後大麻種子雖均已出苗，惟僅1株長成大麻植株，終因疏於照料全數枯萎。</w:t>
      </w:r>
    </w:p>
    <w:p w14:paraId="018BC185" w14:textId="114EA04F" w:rsidR="008277DD" w:rsidRPr="00E31C0B" w:rsidRDefault="008277DD" w:rsidP="00B447DF">
      <w:pPr>
        <w:pStyle w:val="5"/>
        <w:rPr>
          <w:rFonts w:hAnsi="標楷體"/>
        </w:rPr>
      </w:pPr>
      <w:r w:rsidRPr="00E31C0B">
        <w:rPr>
          <w:rFonts w:hAnsi="標楷體" w:hint="eastAsia"/>
        </w:rPr>
        <w:t>上開犯罪事實</w:t>
      </w:r>
      <w:r w:rsidR="007F1130" w:rsidRPr="00E31C0B">
        <w:rPr>
          <w:rFonts w:hAnsi="標楷體" w:hint="eastAsia"/>
        </w:rPr>
        <w:t>一</w:t>
      </w:r>
      <w:r w:rsidRPr="00E31C0B">
        <w:rPr>
          <w:rFonts w:hAnsi="標楷體" w:hint="eastAsia"/>
        </w:rPr>
        <w:t>基於意圖供栽種之用而運輸大麻種子及私運管制物品大麻種子進口之犯意部分，業據上訴人即被告</w:t>
      </w:r>
      <w:r w:rsidR="005B1E60" w:rsidRPr="00E31C0B">
        <w:rPr>
          <w:rFonts w:hAnsi="標楷體" w:hint="eastAsia"/>
        </w:rPr>
        <w:t>黃○剛</w:t>
      </w:r>
      <w:r w:rsidRPr="00E31C0B">
        <w:rPr>
          <w:rFonts w:hAnsi="標楷體" w:hint="eastAsia"/>
        </w:rPr>
        <w:t>於原審及</w:t>
      </w:r>
      <w:r w:rsidRPr="00E31C0B">
        <w:rPr>
          <w:rFonts w:hAnsi="標楷體" w:hint="eastAsia"/>
          <w:szCs w:val="32"/>
        </w:rPr>
        <w:t>臺灣高等法院</w:t>
      </w:r>
      <w:r w:rsidRPr="00E31C0B">
        <w:rPr>
          <w:rFonts w:hAnsi="標楷體" w:hint="eastAsia"/>
        </w:rPr>
        <w:t>審理時均坦承不諱，並有臺中市政府警察局清水分局警察局搜索扣押筆錄、扣押物品目錄表、大麻種子之照片在卷可稽，復有大麻種子33顆扣案足佐。又被告為警查獲時所扣得之上開種子33顆，經送法務部調查局濫用藥物實驗室鑑驗，經檢視種子外觀均與大麻種子一致，隨機抽樣6顆進行發芽試驗，發現其中3顆具發芽能力且含有第二級毒品大麻成分乙節，有該局濫用藥物實驗室107年2月1日調科壹字第10723002220號鑑定書在卷可憑，顯見被告任意性之自白與事實相符，足信為真實。</w:t>
      </w:r>
    </w:p>
    <w:p w14:paraId="698BCBC1" w14:textId="6CEABDBC" w:rsidR="008277DD" w:rsidRPr="00E31C0B" w:rsidRDefault="008277DD" w:rsidP="00B447DF">
      <w:pPr>
        <w:pStyle w:val="5"/>
        <w:rPr>
          <w:rFonts w:hAnsi="標楷體"/>
        </w:rPr>
      </w:pPr>
      <w:r w:rsidRPr="00E31C0B">
        <w:rPr>
          <w:rFonts w:hAnsi="標楷體" w:hint="eastAsia"/>
        </w:rPr>
        <w:t>上開</w:t>
      </w:r>
      <w:r w:rsidR="007F1130" w:rsidRPr="00E31C0B">
        <w:rPr>
          <w:rFonts w:hAnsi="標楷體" w:hint="eastAsia"/>
        </w:rPr>
        <w:t>犯罪事實二</w:t>
      </w:r>
      <w:r w:rsidRPr="00E31C0B">
        <w:rPr>
          <w:rFonts w:hAnsi="標楷體" w:hint="eastAsia"/>
        </w:rPr>
        <w:t>意圖供製造毒品而栽種大麻部分，業據上訴人即被告於警詢、偵查及臺灣高等法院審理時坦承不諱，並有臺中市政府警察局清水分局警察局搜索扣押筆錄、扣押物品目錄表、大麻成株1株之照片附卷可查，復有扣</w:t>
      </w:r>
      <w:r w:rsidRPr="00E31C0B">
        <w:rPr>
          <w:rFonts w:hAnsi="標楷體" w:hint="eastAsia"/>
        </w:rPr>
        <w:lastRenderedPageBreak/>
        <w:t>案之大麻成株1株、剪刀1把、菸紙4包、吸食大麻用混加菸草3包、菸斗1支、菸斗濾網4片、菸斗濾嘴1包、菸草7.2公克（經送法務部調查局檢驗未含有法定毒品成分）扣案可佐。又被告為警查獲時所扣得之上開成株1株，經送法務部調查局鑑驗，經檢視葉片具大麻特徵，檢驗亦確含有第二級毒品大麻成份等情，有該局濫用藥物實驗室107年2月1日調科壹字第10723002220號鑑定書，可見被告前開於警詢、偵查及臺灣高等法院審理時出於任意性之自白核與事實相符，足信為真實。</w:t>
      </w:r>
    </w:p>
    <w:p w14:paraId="33148D0C" w14:textId="4645B33B" w:rsidR="008277DD" w:rsidRPr="00E31C0B" w:rsidRDefault="008277DD" w:rsidP="00B447DF">
      <w:pPr>
        <w:pStyle w:val="5"/>
        <w:rPr>
          <w:rFonts w:hAnsi="標楷體"/>
        </w:rPr>
      </w:pPr>
      <w:r w:rsidRPr="00E31C0B">
        <w:rPr>
          <w:rFonts w:hAnsi="標楷體" w:hint="eastAsia"/>
        </w:rPr>
        <w:t>按</w:t>
      </w:r>
      <w:hyperlink r:id="rId12" w:tgtFrame="_blank" w:history="1">
        <w:r w:rsidRPr="00E31C0B">
          <w:rPr>
            <w:rFonts w:hAnsi="標楷體" w:hint="eastAsia"/>
          </w:rPr>
          <w:t>毒品危害防制條例第12</w:t>
        </w:r>
      </w:hyperlink>
      <w:r w:rsidRPr="00E31C0B">
        <w:rPr>
          <w:rFonts w:hAnsi="標楷體" w:hint="eastAsia"/>
        </w:rPr>
        <w:t>條第2項之罪，以意圖供製造毒品之用，而栽種大麻，為其構成要件，行為人只需主觀上基於供製造毒品之用之意圖而栽種大麻，即屬該當，不以行為人尚有製造或施用大麻毒品之行為為必要。又大麻植株可製造之毒品計有</w:t>
      </w:r>
      <w:r w:rsidR="00C60F0E" w:rsidRPr="00E31C0B">
        <w:rPr>
          <w:rFonts w:hAnsi="標楷體" w:hint="eastAsia"/>
        </w:rPr>
        <w:t>該條例所定</w:t>
      </w:r>
      <w:r w:rsidRPr="00E31C0B">
        <w:rPr>
          <w:rFonts w:hAnsi="標楷體" w:hint="eastAsia"/>
        </w:rPr>
        <w:t>第二級毒品附表二之第24項大麻、第25項大麻脂、第26項大麻浸膏、第27項大麻酊、第155項四氫大麻酚等毒品。其中大麻脂、大麻浸膏、大麻酊等毒品固均需經泡製、浸溶、過濾等步驟始可取得，而需特殊器具，亦需某種程度之技術；四氫大麻酚更需較高技術層次之化學萃取分離步驟始可取得；然大麻毒品則可直接摘取植株上之葉及嫩莖乾燥而得。大麻植株既係製造毒品之原料，而大麻毒品之獲得方法，又可直接摘取植株上之葉及嫩莖乾燥而得，從而大麻植株摘葉曬乾或烤乾，乃目前大麻毒品使用者較為普遍之處理程序，並無須使用特別之工具或設備，故直接摘取大麻植株上之葉及嫩莖乾燥而成，</w:t>
      </w:r>
      <w:r w:rsidRPr="00E31C0B">
        <w:rPr>
          <w:rFonts w:hAnsi="標楷體" w:hint="eastAsia"/>
        </w:rPr>
        <w:lastRenderedPageBreak/>
        <w:t>自屬製造大麻毒品方法之一（最高法院</w:t>
      </w:r>
      <w:hyperlink r:id="rId13" w:tgtFrame="_blank" w:history="1">
        <w:r w:rsidRPr="00E31C0B">
          <w:rPr>
            <w:rFonts w:hAnsi="標楷體" w:hint="eastAsia"/>
          </w:rPr>
          <w:t>98年度台上字第5663號</w:t>
        </w:r>
      </w:hyperlink>
      <w:r w:rsidRPr="00E31C0B">
        <w:rPr>
          <w:rFonts w:hAnsi="標楷體" w:hint="eastAsia"/>
        </w:rPr>
        <w:t>判決意旨參照）。</w:t>
      </w:r>
      <w:r w:rsidR="00D07E78" w:rsidRPr="00E31C0B">
        <w:rPr>
          <w:rFonts w:hAnsi="標楷體" w:hint="eastAsia"/>
        </w:rPr>
        <w:t>被告</w:t>
      </w:r>
      <w:r w:rsidRPr="00E31C0B">
        <w:rPr>
          <w:rFonts w:hAnsi="標楷體" w:hint="eastAsia"/>
        </w:rPr>
        <w:t>栽種大麻植株至其出苗長葉，客觀上已達可供乾燥施用之程度，且其栽種之目的，係在於供自己吸食施用等節，業據被告坦白在卷，被告之行為自已該當意圖供製造毒品之用，而栽種大麻之構成要件。</w:t>
      </w:r>
    </w:p>
    <w:p w14:paraId="14918CDC" w14:textId="77777777" w:rsidR="008277DD" w:rsidRPr="00E31C0B" w:rsidRDefault="008277DD" w:rsidP="00B447DF">
      <w:pPr>
        <w:pStyle w:val="5"/>
        <w:rPr>
          <w:rFonts w:hAnsi="標楷體"/>
        </w:rPr>
      </w:pPr>
      <w:r w:rsidRPr="00E31C0B">
        <w:rPr>
          <w:rFonts w:hAnsi="標楷體" w:hint="eastAsia"/>
        </w:rPr>
        <w:t>論罪之說明：</w:t>
      </w:r>
    </w:p>
    <w:p w14:paraId="5289D0C6" w14:textId="229A5B7E" w:rsidR="008277DD" w:rsidRPr="00E31C0B" w:rsidRDefault="008277DD" w:rsidP="00B447DF">
      <w:pPr>
        <w:pStyle w:val="6"/>
        <w:rPr>
          <w:rFonts w:hAnsi="標楷體"/>
          <w:bCs/>
        </w:rPr>
      </w:pPr>
      <w:r w:rsidRPr="00E31C0B">
        <w:rPr>
          <w:rFonts w:hAnsi="標楷體" w:hint="eastAsia"/>
          <w:bCs/>
        </w:rPr>
        <w:t>被告就犯罪事實</w:t>
      </w:r>
      <w:r w:rsidR="007F1130" w:rsidRPr="00E31C0B">
        <w:rPr>
          <w:rFonts w:hAnsi="標楷體" w:hint="eastAsia"/>
          <w:bCs/>
        </w:rPr>
        <w:t>一</w:t>
      </w:r>
      <w:r w:rsidRPr="00E31C0B">
        <w:rPr>
          <w:rFonts w:hAnsi="標楷體" w:hint="eastAsia"/>
          <w:bCs/>
        </w:rPr>
        <w:t>部分行為，係為供栽種之用而自英國種子城網站購買大麻種子後，並以郵寄方式運送入境，</w:t>
      </w:r>
      <w:r w:rsidR="00D07E78" w:rsidRPr="00E31C0B">
        <w:rPr>
          <w:rFonts w:hAnsi="標楷體" w:hint="eastAsia"/>
          <w:bCs/>
        </w:rPr>
        <w:t>被告</w:t>
      </w:r>
      <w:r w:rsidRPr="00E31C0B">
        <w:rPr>
          <w:rFonts w:hAnsi="標楷體" w:hint="eastAsia"/>
          <w:bCs/>
        </w:rPr>
        <w:t>此部分所為，係犯</w:t>
      </w:r>
      <w:hyperlink r:id="rId14" w:tgtFrame="_blank" w:history="1">
        <w:r w:rsidRPr="00E31C0B">
          <w:rPr>
            <w:rFonts w:hAnsi="標楷體" w:hint="eastAsia"/>
            <w:bCs/>
          </w:rPr>
          <w:t>毒品危害防制條例第13</w:t>
        </w:r>
      </w:hyperlink>
      <w:r w:rsidRPr="00E31C0B">
        <w:rPr>
          <w:rFonts w:hAnsi="標楷體" w:hint="eastAsia"/>
          <w:bCs/>
        </w:rPr>
        <w:t>條第2項之意圖供栽種之用而運輸大麻種子罪、</w:t>
      </w:r>
      <w:hyperlink r:id="rId15" w:tgtFrame="_blank" w:history="1">
        <w:r w:rsidRPr="00E31C0B">
          <w:rPr>
            <w:rFonts w:hAnsi="標楷體" w:hint="eastAsia"/>
            <w:bCs/>
          </w:rPr>
          <w:t>懲治走私條例第2</w:t>
        </w:r>
      </w:hyperlink>
      <w:r w:rsidRPr="00E31C0B">
        <w:rPr>
          <w:rFonts w:hAnsi="標楷體" w:hint="eastAsia"/>
          <w:bCs/>
        </w:rPr>
        <w:t>條第1項之私運管制物品進口罪。被告意圖供栽種之用，而利用不知情之郵遞人員運輸大麻種子並私運管制物品大麻種子進口至我國國內，為間接正犯。另被告意圖供栽種之用而運輸大麻種子犯行及私運管制物品進口犯行，係以一行為觸犯數構成要件不同之罪名，為想像競合犯，依</w:t>
      </w:r>
      <w:hyperlink r:id="rId16" w:tgtFrame="_blank" w:history="1">
        <w:r w:rsidRPr="00E31C0B">
          <w:rPr>
            <w:rFonts w:hAnsi="標楷體" w:hint="eastAsia"/>
            <w:bCs/>
          </w:rPr>
          <w:t>刑法第55</w:t>
        </w:r>
      </w:hyperlink>
      <w:r w:rsidRPr="00E31C0B">
        <w:rPr>
          <w:rFonts w:hAnsi="標楷體" w:hint="eastAsia"/>
          <w:bCs/>
        </w:rPr>
        <w:t>條之規定，應從一重之私運管制物品進口罪論處。</w:t>
      </w:r>
    </w:p>
    <w:p w14:paraId="0C1B2C40" w14:textId="2C332FBB" w:rsidR="008277DD" w:rsidRPr="00E31C0B" w:rsidRDefault="008277DD" w:rsidP="00B447DF">
      <w:pPr>
        <w:pStyle w:val="6"/>
        <w:rPr>
          <w:rFonts w:hAnsi="標楷體"/>
          <w:bCs/>
        </w:rPr>
      </w:pPr>
      <w:r w:rsidRPr="00E31C0B">
        <w:rPr>
          <w:rFonts w:hAnsi="標楷體" w:hint="eastAsia"/>
          <w:bCs/>
        </w:rPr>
        <w:t>被告就</w:t>
      </w:r>
      <w:r w:rsidR="007F1130" w:rsidRPr="00E31C0B">
        <w:rPr>
          <w:rFonts w:hAnsi="標楷體" w:hint="eastAsia"/>
          <w:bCs/>
        </w:rPr>
        <w:t>犯罪事實二</w:t>
      </w:r>
      <w:r w:rsidRPr="00E31C0B">
        <w:rPr>
          <w:rFonts w:hAnsi="標楷體" w:hint="eastAsia"/>
          <w:bCs/>
        </w:rPr>
        <w:t>部分行為，係意圖供製造毒品之用，而栽種大麻，且大麻已有出苗，並長成大麻植株，且具大麻成分而達可供製造毒品使用，其意圖供製造毒品之用，而栽種大麻之犯罪行為，自已達既遂階段；而因扣案之植株，仍種於盆栽內，有大麻成株1株之照片可佐，尚屬栽種行為，且扣案菸草亦未檢驗出含法定毒品成分乙節，有法務部調查局濫用藥物實驗室107年2月1日調科壹字</w:t>
      </w:r>
      <w:r w:rsidRPr="00E31C0B">
        <w:rPr>
          <w:rFonts w:hAnsi="標楷體" w:hint="eastAsia"/>
          <w:bCs/>
        </w:rPr>
        <w:lastRenderedPageBreak/>
        <w:t>第10723002220號鑑定書在卷可憑，尚無證據可認被告之犯行已達製造第二級毒品大麻之階段，而僅能認定被告係意圖供製造毒品之用而栽種大麻。</w:t>
      </w:r>
      <w:r w:rsidR="00D07E78" w:rsidRPr="00E31C0B">
        <w:rPr>
          <w:rFonts w:hAnsi="標楷體" w:hint="eastAsia"/>
          <w:bCs/>
        </w:rPr>
        <w:t>被告</w:t>
      </w:r>
      <w:r w:rsidRPr="00E31C0B">
        <w:rPr>
          <w:rFonts w:hAnsi="標楷體" w:hint="eastAsia"/>
          <w:bCs/>
        </w:rPr>
        <w:t>此部分所為，係犯</w:t>
      </w:r>
      <w:hyperlink r:id="rId17" w:tgtFrame="_blank" w:history="1">
        <w:r w:rsidRPr="00E31C0B">
          <w:rPr>
            <w:rFonts w:hAnsi="標楷體" w:hint="eastAsia"/>
            <w:bCs/>
          </w:rPr>
          <w:t>毒品危害防制條例第12</w:t>
        </w:r>
      </w:hyperlink>
      <w:r w:rsidRPr="00E31C0B">
        <w:rPr>
          <w:rFonts w:hAnsi="標楷體" w:hint="eastAsia"/>
          <w:bCs/>
        </w:rPr>
        <w:t>條第2項之意圖供製造毒品之用，而栽種大麻罪。其持有大麻種子之低度行為，應為意圖製造毒品之用而栽種大麻之高度行為所吸收，不另論罪。</w:t>
      </w:r>
    </w:p>
    <w:p w14:paraId="1BE35D08" w14:textId="77777777" w:rsidR="00C80F64" w:rsidRPr="00E31C0B" w:rsidRDefault="008277DD" w:rsidP="00B447DF">
      <w:pPr>
        <w:pStyle w:val="6"/>
        <w:rPr>
          <w:rFonts w:hAnsi="標楷體"/>
          <w:bCs/>
        </w:rPr>
      </w:pPr>
      <w:r w:rsidRPr="00E31C0B">
        <w:rPr>
          <w:rFonts w:hAnsi="標楷體" w:hint="eastAsia"/>
          <w:bCs/>
        </w:rPr>
        <w:t>被告所犯私運管制物品罪及意圖供製造毒品之用而栽種大麻罪，二者行為態樣互異，各犯行之性質或結果並非當然含有他罪之成分在內，故應予分論併罰。本件就所犯意圖供製造毒品之用，而栽種大麻罪部分，有</w:t>
      </w:r>
      <w:hyperlink r:id="rId18" w:tgtFrame="_blank" w:history="1">
        <w:r w:rsidRPr="00E31C0B">
          <w:rPr>
            <w:rFonts w:hAnsi="標楷體" w:hint="eastAsia"/>
            <w:bCs/>
          </w:rPr>
          <w:t>刑法第59</w:t>
        </w:r>
      </w:hyperlink>
      <w:r w:rsidRPr="00E31C0B">
        <w:rPr>
          <w:rFonts w:hAnsi="標楷體" w:hint="eastAsia"/>
          <w:bCs/>
        </w:rPr>
        <w:t>條規定之適用：</w:t>
      </w:r>
    </w:p>
    <w:p w14:paraId="3DC7A8B8" w14:textId="77777777" w:rsidR="00C80F64" w:rsidRPr="00E31C0B" w:rsidRDefault="008277DD" w:rsidP="00C80F64">
      <w:pPr>
        <w:pStyle w:val="7"/>
      </w:pPr>
      <w:r w:rsidRPr="00E31C0B">
        <w:rPr>
          <w:rFonts w:hint="eastAsia"/>
        </w:rPr>
        <w:t>按犯罪之情狀顯可憫恕，認科以最低刑度仍嫌過重者，得酌量減輕其刑，</w:t>
      </w:r>
      <w:hyperlink r:id="rId19" w:tgtFrame="_blank" w:history="1">
        <w:r w:rsidRPr="00E31C0B">
          <w:rPr>
            <w:rFonts w:hint="eastAsia"/>
          </w:rPr>
          <w:t>刑法第59</w:t>
        </w:r>
      </w:hyperlink>
      <w:r w:rsidRPr="00E31C0B">
        <w:rPr>
          <w:rFonts w:hint="eastAsia"/>
        </w:rPr>
        <w:t>條定有明文。所謂「顯可憫恕」，係指被告之犯行有情輕法重之情，客觀上足以引起一般人同情，處以法定最低刑度仍失之過苛，尚堪憫恕之情形而言。</w:t>
      </w:r>
    </w:p>
    <w:p w14:paraId="46838D47" w14:textId="35B00BF6" w:rsidR="008277DD" w:rsidRPr="00E31C0B" w:rsidRDefault="008277DD" w:rsidP="00C80F64">
      <w:pPr>
        <w:pStyle w:val="7"/>
      </w:pPr>
      <w:r w:rsidRPr="00E31C0B">
        <w:rPr>
          <w:rFonts w:hint="eastAsia"/>
        </w:rPr>
        <w:t>本件被告意圖供製造毒品之用，而栽種大麻，其無視國家對於杜絕毒品危害之禁令固屬不當，本應予責難，然被告栽種大麻種子之時間非長，栽種之數量亦僅3顆，本件遭查獲時更早已停止栽種，復佐以被告栽種大麻之目的僅</w:t>
      </w:r>
      <w:r w:rsidR="003F14E6" w:rsidRPr="00E31C0B">
        <w:rPr>
          <w:rFonts w:hint="eastAsia"/>
        </w:rPr>
        <w:t>供己</w:t>
      </w:r>
      <w:r w:rsidRPr="00E31C0B">
        <w:rPr>
          <w:rFonts w:hint="eastAsia"/>
        </w:rPr>
        <w:t>施用，與製造毒品對外販售以求牟利之動機有所差別，對社會治安及國民健康之危害相對較小，其犯罪情節尚非至惡重大，是審酌上情，倘就被告仍遽依</w:t>
      </w:r>
      <w:hyperlink r:id="rId20" w:tgtFrame="_blank" w:history="1">
        <w:r w:rsidRPr="00E31C0B">
          <w:rPr>
            <w:rFonts w:hint="eastAsia"/>
          </w:rPr>
          <w:t>毒品危害防制條例第12</w:t>
        </w:r>
      </w:hyperlink>
      <w:r w:rsidRPr="00E31C0B">
        <w:rPr>
          <w:rFonts w:hint="eastAsia"/>
        </w:rPr>
        <w:t>條第2</w:t>
      </w:r>
      <w:r w:rsidRPr="00E31C0B">
        <w:rPr>
          <w:rFonts w:hint="eastAsia"/>
        </w:rPr>
        <w:lastRenderedPageBreak/>
        <w:t>項規定處以最輕法定本刑「5年以上有期徒刑」，無異失之過苛，在客觀上足以引起一般人之同情，確有情輕法重之失衡情狀，爰就被告所犯意圖供製造毒品之用，而栽種大麻之犯行，依</w:t>
      </w:r>
      <w:hyperlink r:id="rId21" w:tgtFrame="_blank" w:history="1">
        <w:r w:rsidRPr="00E31C0B">
          <w:rPr>
            <w:rFonts w:hint="eastAsia"/>
          </w:rPr>
          <w:t>刑法第59</w:t>
        </w:r>
      </w:hyperlink>
      <w:r w:rsidRPr="00E31C0B">
        <w:rPr>
          <w:rFonts w:hint="eastAsia"/>
        </w:rPr>
        <w:t>條予以酌量減輕其刑。</w:t>
      </w:r>
    </w:p>
    <w:p w14:paraId="19BF6680" w14:textId="77777777" w:rsidR="008277DD" w:rsidRPr="00E31C0B" w:rsidRDefault="008277DD" w:rsidP="00B447DF">
      <w:pPr>
        <w:pStyle w:val="6"/>
        <w:rPr>
          <w:rFonts w:hAnsi="標楷體"/>
          <w:bCs/>
        </w:rPr>
      </w:pPr>
      <w:r w:rsidRPr="00E31C0B">
        <w:rPr>
          <w:rFonts w:hAnsi="標楷體" w:hint="eastAsia"/>
          <w:bCs/>
        </w:rPr>
        <w:t>爰審酌被告明知大麻種子為不得任意栽種之違禁物，竟無視國家禁令，意圖製造毒品供自己施用而栽種大麻，所為應予非難，雖於原審審理時否認此部分犯行，惟於臺灣高等法院審理時終能坦承犯行之態度，及其於警詢時自陳大學畢業之智識程度、從事水電工程師工作、家庭經濟狀況小康，暨其所栽種之大麻植株數量僅3顆、動機、目的係一時好奇圖便、所生危害等一切情狀，量處如主文所示之刑。</w:t>
      </w:r>
    </w:p>
    <w:p w14:paraId="5ECBF8AA" w14:textId="77777777" w:rsidR="008277DD" w:rsidRPr="00E31C0B" w:rsidRDefault="008277DD" w:rsidP="00B447DF">
      <w:pPr>
        <w:rPr>
          <w:rFonts w:hAnsi="標楷體"/>
          <w:bCs/>
        </w:rPr>
      </w:pPr>
    </w:p>
    <w:p w14:paraId="520F8C7D" w14:textId="77777777" w:rsidR="008277DD" w:rsidRPr="00E31C0B" w:rsidRDefault="008277DD" w:rsidP="00B447DF">
      <w:pPr>
        <w:rPr>
          <w:rFonts w:hAnsi="標楷體"/>
          <w:bCs/>
        </w:rPr>
      </w:pPr>
      <w:r w:rsidRPr="00E31C0B">
        <w:rPr>
          <w:rFonts w:hAnsi="標楷體" w:hint="eastAsia"/>
          <w:bCs/>
        </w:rPr>
        <w:t>附表一（應沒收或沒收銷燬之物）：</w:t>
      </w:r>
    </w:p>
    <w:tbl>
      <w:tblPr>
        <w:tblStyle w:val="af8"/>
        <w:tblW w:w="9923" w:type="dxa"/>
        <w:tblInd w:w="-572" w:type="dxa"/>
        <w:tblLook w:val="04A0" w:firstRow="1" w:lastRow="0" w:firstColumn="1" w:lastColumn="0" w:noHBand="0" w:noVBand="1"/>
      </w:tblPr>
      <w:tblGrid>
        <w:gridCol w:w="557"/>
        <w:gridCol w:w="3916"/>
        <w:gridCol w:w="5450"/>
      </w:tblGrid>
      <w:tr w:rsidR="008277DD" w:rsidRPr="00E31C0B" w14:paraId="48A70899" w14:textId="77777777" w:rsidTr="0079363F">
        <w:tc>
          <w:tcPr>
            <w:tcW w:w="425" w:type="dxa"/>
          </w:tcPr>
          <w:p w14:paraId="398D857B" w14:textId="77777777" w:rsidR="008277DD" w:rsidRPr="00E31C0B" w:rsidRDefault="008277DD" w:rsidP="00B447DF">
            <w:pPr>
              <w:rPr>
                <w:rFonts w:hAnsi="標楷體"/>
                <w:bCs/>
              </w:rPr>
            </w:pPr>
            <w:r w:rsidRPr="00E31C0B">
              <w:rPr>
                <w:rFonts w:hAnsi="標楷體" w:hint="eastAsia"/>
                <w:bCs/>
              </w:rPr>
              <w:t>編號</w:t>
            </w:r>
          </w:p>
        </w:tc>
        <w:tc>
          <w:tcPr>
            <w:tcW w:w="3970" w:type="dxa"/>
          </w:tcPr>
          <w:p w14:paraId="05469302" w14:textId="77777777" w:rsidR="008277DD" w:rsidRPr="00E31C0B" w:rsidRDefault="008277DD" w:rsidP="00B447DF">
            <w:pPr>
              <w:rPr>
                <w:rFonts w:hAnsi="標楷體"/>
                <w:bCs/>
              </w:rPr>
            </w:pPr>
            <w:r w:rsidRPr="00E31C0B">
              <w:rPr>
                <w:rFonts w:hAnsi="標楷體" w:hint="eastAsia"/>
                <w:bCs/>
              </w:rPr>
              <w:t>物品名稱</w:t>
            </w:r>
          </w:p>
        </w:tc>
        <w:tc>
          <w:tcPr>
            <w:tcW w:w="5528" w:type="dxa"/>
          </w:tcPr>
          <w:p w14:paraId="7F826699" w14:textId="77777777" w:rsidR="008277DD" w:rsidRPr="00E31C0B" w:rsidRDefault="008277DD" w:rsidP="00B447DF">
            <w:pPr>
              <w:rPr>
                <w:rFonts w:hAnsi="標楷體"/>
                <w:bCs/>
              </w:rPr>
            </w:pPr>
            <w:r w:rsidRPr="00E31C0B">
              <w:rPr>
                <w:rFonts w:hAnsi="標楷體" w:hint="eastAsia"/>
                <w:bCs/>
              </w:rPr>
              <w:t>數量</w:t>
            </w:r>
          </w:p>
        </w:tc>
      </w:tr>
      <w:tr w:rsidR="008277DD" w:rsidRPr="00E31C0B" w14:paraId="499E394D" w14:textId="77777777" w:rsidTr="0079363F">
        <w:tc>
          <w:tcPr>
            <w:tcW w:w="425" w:type="dxa"/>
          </w:tcPr>
          <w:p w14:paraId="4B01A9BA" w14:textId="77777777" w:rsidR="008277DD" w:rsidRPr="00E31C0B" w:rsidRDefault="008277DD" w:rsidP="00B447DF">
            <w:pPr>
              <w:rPr>
                <w:rFonts w:hAnsi="標楷體"/>
                <w:bCs/>
              </w:rPr>
            </w:pPr>
            <w:r w:rsidRPr="00E31C0B">
              <w:rPr>
                <w:rFonts w:hAnsi="標楷體" w:hint="eastAsia"/>
                <w:bCs/>
              </w:rPr>
              <w:t>1</w:t>
            </w:r>
          </w:p>
        </w:tc>
        <w:tc>
          <w:tcPr>
            <w:tcW w:w="3970" w:type="dxa"/>
          </w:tcPr>
          <w:p w14:paraId="19D91DBD" w14:textId="77777777" w:rsidR="008277DD" w:rsidRPr="00E31C0B" w:rsidRDefault="008277DD" w:rsidP="00B447DF">
            <w:pPr>
              <w:rPr>
                <w:rFonts w:hAnsi="標楷體"/>
                <w:bCs/>
              </w:rPr>
            </w:pPr>
            <w:r w:rsidRPr="00E31C0B">
              <w:rPr>
                <w:rFonts w:hAnsi="標楷體" w:hint="eastAsia"/>
                <w:bCs/>
              </w:rPr>
              <w:t>大麻植株</w:t>
            </w:r>
          </w:p>
        </w:tc>
        <w:tc>
          <w:tcPr>
            <w:tcW w:w="5528" w:type="dxa"/>
          </w:tcPr>
          <w:p w14:paraId="395694FB" w14:textId="77777777" w:rsidR="008277DD" w:rsidRPr="00E31C0B" w:rsidRDefault="008277DD" w:rsidP="00B447DF">
            <w:pPr>
              <w:rPr>
                <w:rFonts w:hAnsi="標楷體"/>
                <w:bCs/>
              </w:rPr>
            </w:pPr>
            <w:r w:rsidRPr="00E31C0B">
              <w:rPr>
                <w:rFonts w:hAnsi="標楷體" w:hint="eastAsia"/>
                <w:bCs/>
              </w:rPr>
              <w:t>1株</w:t>
            </w:r>
          </w:p>
        </w:tc>
      </w:tr>
      <w:tr w:rsidR="008277DD" w:rsidRPr="00E31C0B" w14:paraId="3F8E8F1C" w14:textId="77777777" w:rsidTr="0079363F">
        <w:tc>
          <w:tcPr>
            <w:tcW w:w="425" w:type="dxa"/>
          </w:tcPr>
          <w:p w14:paraId="560909D3" w14:textId="77777777" w:rsidR="008277DD" w:rsidRPr="00E31C0B" w:rsidRDefault="008277DD" w:rsidP="00B447DF">
            <w:pPr>
              <w:rPr>
                <w:rFonts w:hAnsi="標楷體"/>
                <w:bCs/>
              </w:rPr>
            </w:pPr>
            <w:r w:rsidRPr="00E31C0B">
              <w:rPr>
                <w:rFonts w:hAnsi="標楷體" w:hint="eastAsia"/>
                <w:bCs/>
              </w:rPr>
              <w:t>2</w:t>
            </w:r>
          </w:p>
        </w:tc>
        <w:tc>
          <w:tcPr>
            <w:tcW w:w="3970" w:type="dxa"/>
          </w:tcPr>
          <w:p w14:paraId="33CACF1A" w14:textId="77777777" w:rsidR="008277DD" w:rsidRPr="00E31C0B" w:rsidRDefault="008277DD" w:rsidP="00B447DF">
            <w:pPr>
              <w:rPr>
                <w:rFonts w:hAnsi="標楷體"/>
                <w:bCs/>
              </w:rPr>
            </w:pPr>
            <w:r w:rsidRPr="00E31C0B">
              <w:rPr>
                <w:rFonts w:hAnsi="標楷體" w:hint="eastAsia"/>
                <w:bCs/>
              </w:rPr>
              <w:t>大麻種子</w:t>
            </w:r>
          </w:p>
        </w:tc>
        <w:tc>
          <w:tcPr>
            <w:tcW w:w="5528" w:type="dxa"/>
          </w:tcPr>
          <w:p w14:paraId="0677DE0F" w14:textId="77777777" w:rsidR="008277DD" w:rsidRPr="00E31C0B" w:rsidRDefault="008277DD" w:rsidP="00B447DF">
            <w:pPr>
              <w:rPr>
                <w:rFonts w:hAnsi="標楷體"/>
                <w:bCs/>
              </w:rPr>
            </w:pPr>
            <w:r w:rsidRPr="00E31C0B">
              <w:rPr>
                <w:rFonts w:hAnsi="標楷體" w:hint="eastAsia"/>
                <w:bCs/>
              </w:rPr>
              <w:t>27顆（含裝置管6支）（原扣得33顆，其中6顆因鑑定機關取樣鑑驗而用罄，無從宣告沒收）</w:t>
            </w:r>
          </w:p>
        </w:tc>
      </w:tr>
      <w:tr w:rsidR="008277DD" w:rsidRPr="00E31C0B" w14:paraId="4B184DD9" w14:textId="77777777" w:rsidTr="0079363F">
        <w:tc>
          <w:tcPr>
            <w:tcW w:w="425" w:type="dxa"/>
          </w:tcPr>
          <w:p w14:paraId="5B14FEB6" w14:textId="77777777" w:rsidR="008277DD" w:rsidRPr="00E31C0B" w:rsidRDefault="008277DD" w:rsidP="00B447DF">
            <w:pPr>
              <w:rPr>
                <w:rFonts w:hAnsi="標楷體"/>
                <w:bCs/>
              </w:rPr>
            </w:pPr>
            <w:r w:rsidRPr="00E31C0B">
              <w:rPr>
                <w:rFonts w:hAnsi="標楷體" w:hint="eastAsia"/>
                <w:bCs/>
              </w:rPr>
              <w:t>3</w:t>
            </w:r>
          </w:p>
        </w:tc>
        <w:tc>
          <w:tcPr>
            <w:tcW w:w="3970" w:type="dxa"/>
          </w:tcPr>
          <w:p w14:paraId="4F7C6847" w14:textId="77777777" w:rsidR="008277DD" w:rsidRPr="00E31C0B" w:rsidRDefault="008277DD" w:rsidP="00B447DF">
            <w:pPr>
              <w:rPr>
                <w:rFonts w:hAnsi="標楷體"/>
                <w:bCs/>
              </w:rPr>
            </w:pPr>
            <w:r w:rsidRPr="00E31C0B">
              <w:rPr>
                <w:rFonts w:hAnsi="標楷體" w:hint="eastAsia"/>
                <w:bCs/>
              </w:rPr>
              <w:t>裝置大麻種子夾鍊布袋</w:t>
            </w:r>
          </w:p>
        </w:tc>
        <w:tc>
          <w:tcPr>
            <w:tcW w:w="5528" w:type="dxa"/>
          </w:tcPr>
          <w:p w14:paraId="72B955AA" w14:textId="77777777" w:rsidR="008277DD" w:rsidRPr="00E31C0B" w:rsidRDefault="008277DD" w:rsidP="00B447DF">
            <w:pPr>
              <w:rPr>
                <w:rFonts w:hAnsi="標楷體"/>
                <w:bCs/>
              </w:rPr>
            </w:pPr>
            <w:r w:rsidRPr="00E31C0B">
              <w:rPr>
                <w:rFonts w:hAnsi="標楷體" w:hint="eastAsia"/>
                <w:bCs/>
              </w:rPr>
              <w:t>1個</w:t>
            </w:r>
          </w:p>
        </w:tc>
      </w:tr>
      <w:tr w:rsidR="008277DD" w:rsidRPr="00E31C0B" w14:paraId="1DA211B4" w14:textId="77777777" w:rsidTr="0079363F">
        <w:tc>
          <w:tcPr>
            <w:tcW w:w="425" w:type="dxa"/>
          </w:tcPr>
          <w:p w14:paraId="7E6F57AB" w14:textId="77777777" w:rsidR="008277DD" w:rsidRPr="00E31C0B" w:rsidRDefault="008277DD" w:rsidP="00B447DF">
            <w:pPr>
              <w:rPr>
                <w:rFonts w:hAnsi="標楷體"/>
                <w:bCs/>
              </w:rPr>
            </w:pPr>
            <w:r w:rsidRPr="00E31C0B">
              <w:rPr>
                <w:rFonts w:hAnsi="標楷體" w:hint="eastAsia"/>
                <w:bCs/>
              </w:rPr>
              <w:t>4</w:t>
            </w:r>
          </w:p>
        </w:tc>
        <w:tc>
          <w:tcPr>
            <w:tcW w:w="3970" w:type="dxa"/>
          </w:tcPr>
          <w:p w14:paraId="10833329" w14:textId="77777777" w:rsidR="008277DD" w:rsidRPr="00E31C0B" w:rsidRDefault="008277DD" w:rsidP="00B447DF">
            <w:pPr>
              <w:rPr>
                <w:rFonts w:hAnsi="標楷體"/>
                <w:bCs/>
              </w:rPr>
            </w:pPr>
            <w:r w:rsidRPr="00E31C0B">
              <w:rPr>
                <w:rFonts w:hAnsi="標楷體" w:hint="eastAsia"/>
                <w:bCs/>
              </w:rPr>
              <w:t>培養液</w:t>
            </w:r>
          </w:p>
        </w:tc>
        <w:tc>
          <w:tcPr>
            <w:tcW w:w="5528" w:type="dxa"/>
          </w:tcPr>
          <w:p w14:paraId="144E5F13" w14:textId="77777777" w:rsidR="008277DD" w:rsidRPr="00E31C0B" w:rsidRDefault="008277DD" w:rsidP="00B447DF">
            <w:pPr>
              <w:rPr>
                <w:rFonts w:hAnsi="標楷體"/>
                <w:bCs/>
              </w:rPr>
            </w:pPr>
            <w:r w:rsidRPr="00E31C0B">
              <w:rPr>
                <w:rFonts w:hAnsi="標楷體" w:hint="eastAsia"/>
                <w:bCs/>
              </w:rPr>
              <w:t>1瓶</w:t>
            </w:r>
          </w:p>
        </w:tc>
      </w:tr>
      <w:tr w:rsidR="008277DD" w:rsidRPr="00E31C0B" w14:paraId="07ECF868" w14:textId="77777777" w:rsidTr="0079363F">
        <w:tc>
          <w:tcPr>
            <w:tcW w:w="425" w:type="dxa"/>
          </w:tcPr>
          <w:p w14:paraId="6D8DE9E6" w14:textId="77777777" w:rsidR="008277DD" w:rsidRPr="00E31C0B" w:rsidRDefault="008277DD" w:rsidP="00B447DF">
            <w:pPr>
              <w:rPr>
                <w:rFonts w:hAnsi="標楷體"/>
                <w:bCs/>
              </w:rPr>
            </w:pPr>
            <w:r w:rsidRPr="00E31C0B">
              <w:rPr>
                <w:rFonts w:hAnsi="標楷體" w:hint="eastAsia"/>
                <w:bCs/>
              </w:rPr>
              <w:t>5</w:t>
            </w:r>
          </w:p>
        </w:tc>
        <w:tc>
          <w:tcPr>
            <w:tcW w:w="3970" w:type="dxa"/>
          </w:tcPr>
          <w:p w14:paraId="78530FA4" w14:textId="77777777" w:rsidR="008277DD" w:rsidRPr="00E31C0B" w:rsidRDefault="008277DD" w:rsidP="00B447DF">
            <w:pPr>
              <w:rPr>
                <w:rFonts w:hAnsi="標楷體"/>
                <w:bCs/>
              </w:rPr>
            </w:pPr>
            <w:r w:rsidRPr="00E31C0B">
              <w:rPr>
                <w:rFonts w:hAnsi="標楷體" w:hint="eastAsia"/>
                <w:bCs/>
              </w:rPr>
              <w:t>礦泉水瓶（已稀釋培養液）</w:t>
            </w:r>
          </w:p>
        </w:tc>
        <w:tc>
          <w:tcPr>
            <w:tcW w:w="5528" w:type="dxa"/>
          </w:tcPr>
          <w:p w14:paraId="258C06C8" w14:textId="77777777" w:rsidR="008277DD" w:rsidRPr="00E31C0B" w:rsidRDefault="008277DD" w:rsidP="00B447DF">
            <w:pPr>
              <w:rPr>
                <w:rFonts w:hAnsi="標楷體"/>
                <w:bCs/>
              </w:rPr>
            </w:pPr>
            <w:r w:rsidRPr="00E31C0B">
              <w:rPr>
                <w:rFonts w:hAnsi="標楷體" w:hint="eastAsia"/>
                <w:bCs/>
              </w:rPr>
              <w:t>2瓶</w:t>
            </w:r>
          </w:p>
        </w:tc>
      </w:tr>
      <w:tr w:rsidR="008277DD" w:rsidRPr="00E31C0B" w14:paraId="5F89F387" w14:textId="77777777" w:rsidTr="0079363F">
        <w:tc>
          <w:tcPr>
            <w:tcW w:w="425" w:type="dxa"/>
          </w:tcPr>
          <w:p w14:paraId="290267C7" w14:textId="77777777" w:rsidR="008277DD" w:rsidRPr="00E31C0B" w:rsidRDefault="008277DD" w:rsidP="00B447DF">
            <w:pPr>
              <w:rPr>
                <w:rFonts w:hAnsi="標楷體"/>
                <w:bCs/>
              </w:rPr>
            </w:pPr>
            <w:r w:rsidRPr="00E31C0B">
              <w:rPr>
                <w:rFonts w:hAnsi="標楷體" w:hint="eastAsia"/>
                <w:bCs/>
              </w:rPr>
              <w:t>6</w:t>
            </w:r>
          </w:p>
        </w:tc>
        <w:tc>
          <w:tcPr>
            <w:tcW w:w="3970" w:type="dxa"/>
          </w:tcPr>
          <w:p w14:paraId="5C540765" w14:textId="77777777" w:rsidR="008277DD" w:rsidRPr="00E31C0B" w:rsidRDefault="008277DD" w:rsidP="00B447DF">
            <w:pPr>
              <w:rPr>
                <w:rFonts w:hAnsi="標楷體"/>
                <w:bCs/>
              </w:rPr>
            </w:pPr>
            <w:r w:rsidRPr="00E31C0B">
              <w:rPr>
                <w:rFonts w:hAnsi="標楷體" w:hint="eastAsia"/>
                <w:bCs/>
              </w:rPr>
              <w:t>剪刀</w:t>
            </w:r>
          </w:p>
        </w:tc>
        <w:tc>
          <w:tcPr>
            <w:tcW w:w="5528" w:type="dxa"/>
          </w:tcPr>
          <w:p w14:paraId="1EACA02F" w14:textId="77777777" w:rsidR="008277DD" w:rsidRPr="00E31C0B" w:rsidRDefault="008277DD" w:rsidP="00B447DF">
            <w:pPr>
              <w:rPr>
                <w:rFonts w:hAnsi="標楷體"/>
                <w:bCs/>
              </w:rPr>
            </w:pPr>
            <w:r w:rsidRPr="00E31C0B">
              <w:rPr>
                <w:rFonts w:hAnsi="標楷體" w:hint="eastAsia"/>
                <w:bCs/>
              </w:rPr>
              <w:t>1把</w:t>
            </w:r>
          </w:p>
        </w:tc>
      </w:tr>
      <w:tr w:rsidR="008277DD" w:rsidRPr="00E31C0B" w14:paraId="28794A22" w14:textId="77777777" w:rsidTr="0079363F">
        <w:tc>
          <w:tcPr>
            <w:tcW w:w="425" w:type="dxa"/>
          </w:tcPr>
          <w:p w14:paraId="4A5074AF" w14:textId="77777777" w:rsidR="008277DD" w:rsidRPr="00E31C0B" w:rsidRDefault="008277DD" w:rsidP="00B447DF">
            <w:pPr>
              <w:rPr>
                <w:rFonts w:hAnsi="標楷體"/>
                <w:bCs/>
              </w:rPr>
            </w:pPr>
            <w:r w:rsidRPr="00E31C0B">
              <w:rPr>
                <w:rFonts w:hAnsi="標楷體" w:hint="eastAsia"/>
                <w:bCs/>
              </w:rPr>
              <w:t>7</w:t>
            </w:r>
          </w:p>
        </w:tc>
        <w:tc>
          <w:tcPr>
            <w:tcW w:w="3970" w:type="dxa"/>
          </w:tcPr>
          <w:p w14:paraId="0B9933F8" w14:textId="77777777" w:rsidR="008277DD" w:rsidRPr="00E31C0B" w:rsidRDefault="008277DD" w:rsidP="00B447DF">
            <w:pPr>
              <w:rPr>
                <w:rFonts w:hAnsi="標楷體"/>
                <w:bCs/>
              </w:rPr>
            </w:pPr>
            <w:r w:rsidRPr="00E31C0B">
              <w:rPr>
                <w:rFonts w:hAnsi="標楷體" w:hint="eastAsia"/>
                <w:bCs/>
              </w:rPr>
              <w:t>培養土酸鹼值測試器</w:t>
            </w:r>
          </w:p>
        </w:tc>
        <w:tc>
          <w:tcPr>
            <w:tcW w:w="5528" w:type="dxa"/>
          </w:tcPr>
          <w:p w14:paraId="0F6B7522" w14:textId="77777777" w:rsidR="008277DD" w:rsidRPr="00E31C0B" w:rsidRDefault="008277DD" w:rsidP="00B447DF">
            <w:pPr>
              <w:rPr>
                <w:rFonts w:hAnsi="標楷體"/>
                <w:bCs/>
              </w:rPr>
            </w:pPr>
            <w:r w:rsidRPr="00E31C0B">
              <w:rPr>
                <w:rFonts w:hAnsi="標楷體" w:hint="eastAsia"/>
                <w:bCs/>
              </w:rPr>
              <w:t>1支</w:t>
            </w:r>
          </w:p>
        </w:tc>
      </w:tr>
      <w:tr w:rsidR="008277DD" w:rsidRPr="00E31C0B" w14:paraId="6F270A7D" w14:textId="77777777" w:rsidTr="0079363F">
        <w:tc>
          <w:tcPr>
            <w:tcW w:w="425" w:type="dxa"/>
          </w:tcPr>
          <w:p w14:paraId="501DB758" w14:textId="77777777" w:rsidR="008277DD" w:rsidRPr="00E31C0B" w:rsidRDefault="008277DD" w:rsidP="00B447DF">
            <w:pPr>
              <w:rPr>
                <w:rFonts w:hAnsi="標楷體"/>
                <w:bCs/>
              </w:rPr>
            </w:pPr>
            <w:r w:rsidRPr="00E31C0B">
              <w:rPr>
                <w:rFonts w:hAnsi="標楷體" w:hint="eastAsia"/>
                <w:bCs/>
              </w:rPr>
              <w:lastRenderedPageBreak/>
              <w:t>8</w:t>
            </w:r>
          </w:p>
        </w:tc>
        <w:tc>
          <w:tcPr>
            <w:tcW w:w="3970" w:type="dxa"/>
          </w:tcPr>
          <w:p w14:paraId="1F0F7F44" w14:textId="77777777" w:rsidR="008277DD" w:rsidRPr="00E31C0B" w:rsidRDefault="008277DD" w:rsidP="00B447DF">
            <w:pPr>
              <w:rPr>
                <w:rFonts w:hAnsi="標楷體"/>
                <w:bCs/>
              </w:rPr>
            </w:pPr>
            <w:r w:rsidRPr="00E31C0B">
              <w:rPr>
                <w:rFonts w:hAnsi="標楷體" w:hint="eastAsia"/>
                <w:bCs/>
              </w:rPr>
              <w:t>種植大麻用衣櫥</w:t>
            </w:r>
          </w:p>
        </w:tc>
        <w:tc>
          <w:tcPr>
            <w:tcW w:w="5528" w:type="dxa"/>
          </w:tcPr>
          <w:p w14:paraId="30921471" w14:textId="77777777" w:rsidR="008277DD" w:rsidRPr="00E31C0B" w:rsidRDefault="008277DD" w:rsidP="00B447DF">
            <w:pPr>
              <w:rPr>
                <w:rFonts w:hAnsi="標楷體"/>
                <w:bCs/>
              </w:rPr>
            </w:pPr>
            <w:r w:rsidRPr="00E31C0B">
              <w:rPr>
                <w:rFonts w:hAnsi="標楷體" w:hint="eastAsia"/>
                <w:bCs/>
              </w:rPr>
              <w:t>1組（含鐵管8支、層架3個、帆布1件）</w:t>
            </w:r>
          </w:p>
        </w:tc>
      </w:tr>
      <w:tr w:rsidR="008277DD" w:rsidRPr="00E31C0B" w14:paraId="0C5778D1" w14:textId="77777777" w:rsidTr="0079363F">
        <w:tc>
          <w:tcPr>
            <w:tcW w:w="425" w:type="dxa"/>
          </w:tcPr>
          <w:p w14:paraId="47CA5CA3" w14:textId="77777777" w:rsidR="008277DD" w:rsidRPr="00E31C0B" w:rsidRDefault="008277DD" w:rsidP="00B447DF">
            <w:pPr>
              <w:rPr>
                <w:rFonts w:hAnsi="標楷體"/>
                <w:bCs/>
              </w:rPr>
            </w:pPr>
            <w:r w:rsidRPr="00E31C0B">
              <w:rPr>
                <w:rFonts w:hAnsi="標楷體" w:hint="eastAsia"/>
                <w:bCs/>
              </w:rPr>
              <w:t>9</w:t>
            </w:r>
          </w:p>
        </w:tc>
        <w:tc>
          <w:tcPr>
            <w:tcW w:w="3970" w:type="dxa"/>
          </w:tcPr>
          <w:p w14:paraId="3950C38A" w14:textId="77777777" w:rsidR="008277DD" w:rsidRPr="00E31C0B" w:rsidRDefault="008277DD" w:rsidP="00B447DF">
            <w:pPr>
              <w:rPr>
                <w:rFonts w:hAnsi="標楷體"/>
                <w:bCs/>
              </w:rPr>
            </w:pPr>
            <w:r w:rsidRPr="00E31C0B">
              <w:rPr>
                <w:rFonts w:hAnsi="標楷體" w:hint="eastAsia"/>
                <w:bCs/>
              </w:rPr>
              <w:t>種植大麻用遮光簾</w:t>
            </w:r>
          </w:p>
        </w:tc>
        <w:tc>
          <w:tcPr>
            <w:tcW w:w="5528" w:type="dxa"/>
          </w:tcPr>
          <w:p w14:paraId="6A6A554E" w14:textId="77777777" w:rsidR="008277DD" w:rsidRPr="00E31C0B" w:rsidRDefault="008277DD" w:rsidP="00B447DF">
            <w:pPr>
              <w:rPr>
                <w:rFonts w:hAnsi="標楷體"/>
                <w:bCs/>
              </w:rPr>
            </w:pPr>
            <w:r w:rsidRPr="00E31C0B">
              <w:rPr>
                <w:rFonts w:hAnsi="標楷體" w:hint="eastAsia"/>
                <w:bCs/>
              </w:rPr>
              <w:t>1件</w:t>
            </w:r>
          </w:p>
        </w:tc>
      </w:tr>
      <w:tr w:rsidR="008277DD" w:rsidRPr="00E31C0B" w14:paraId="4A4B0698" w14:textId="77777777" w:rsidTr="0079363F">
        <w:tc>
          <w:tcPr>
            <w:tcW w:w="425" w:type="dxa"/>
          </w:tcPr>
          <w:p w14:paraId="12C2977C" w14:textId="77777777" w:rsidR="008277DD" w:rsidRPr="00E31C0B" w:rsidRDefault="008277DD" w:rsidP="00B447DF">
            <w:pPr>
              <w:rPr>
                <w:rFonts w:hAnsi="標楷體"/>
                <w:bCs/>
              </w:rPr>
            </w:pPr>
            <w:r w:rsidRPr="00E31C0B">
              <w:rPr>
                <w:rFonts w:hAnsi="標楷體" w:hint="eastAsia"/>
                <w:bCs/>
              </w:rPr>
              <w:t>10</w:t>
            </w:r>
          </w:p>
        </w:tc>
        <w:tc>
          <w:tcPr>
            <w:tcW w:w="3970" w:type="dxa"/>
          </w:tcPr>
          <w:p w14:paraId="4E3A344E" w14:textId="77777777" w:rsidR="008277DD" w:rsidRPr="00E31C0B" w:rsidRDefault="008277DD" w:rsidP="00B447DF">
            <w:pPr>
              <w:rPr>
                <w:rFonts w:hAnsi="標楷體"/>
                <w:bCs/>
              </w:rPr>
            </w:pPr>
            <w:r w:rsidRPr="00E31C0B">
              <w:rPr>
                <w:rFonts w:hAnsi="標楷體" w:hint="eastAsia"/>
                <w:bCs/>
              </w:rPr>
              <w:t>大麻培養盒</w:t>
            </w:r>
          </w:p>
        </w:tc>
        <w:tc>
          <w:tcPr>
            <w:tcW w:w="5528" w:type="dxa"/>
          </w:tcPr>
          <w:p w14:paraId="29F58062" w14:textId="77777777" w:rsidR="008277DD" w:rsidRPr="00E31C0B" w:rsidRDefault="008277DD" w:rsidP="00B447DF">
            <w:pPr>
              <w:rPr>
                <w:rFonts w:hAnsi="標楷體"/>
                <w:bCs/>
              </w:rPr>
            </w:pPr>
            <w:r w:rsidRPr="00E31C0B">
              <w:rPr>
                <w:rFonts w:hAnsi="標楷體" w:hint="eastAsia"/>
                <w:bCs/>
              </w:rPr>
              <w:t>1盒（含大麻根殘株）</w:t>
            </w:r>
          </w:p>
        </w:tc>
      </w:tr>
      <w:tr w:rsidR="008277DD" w:rsidRPr="00E31C0B" w14:paraId="7B238314" w14:textId="77777777" w:rsidTr="0079363F">
        <w:tc>
          <w:tcPr>
            <w:tcW w:w="425" w:type="dxa"/>
          </w:tcPr>
          <w:p w14:paraId="3B48CAA3" w14:textId="77777777" w:rsidR="008277DD" w:rsidRPr="00E31C0B" w:rsidRDefault="008277DD" w:rsidP="00B447DF">
            <w:pPr>
              <w:rPr>
                <w:rFonts w:hAnsi="標楷體"/>
                <w:bCs/>
              </w:rPr>
            </w:pPr>
            <w:r w:rsidRPr="00E31C0B">
              <w:rPr>
                <w:rFonts w:hAnsi="標楷體" w:hint="eastAsia"/>
                <w:bCs/>
              </w:rPr>
              <w:t>11</w:t>
            </w:r>
          </w:p>
        </w:tc>
        <w:tc>
          <w:tcPr>
            <w:tcW w:w="3970" w:type="dxa"/>
          </w:tcPr>
          <w:p w14:paraId="7292ABC0" w14:textId="77777777" w:rsidR="008277DD" w:rsidRPr="00E31C0B" w:rsidRDefault="008277DD" w:rsidP="00B447DF">
            <w:pPr>
              <w:rPr>
                <w:rFonts w:hAnsi="標楷體"/>
                <w:bCs/>
              </w:rPr>
            </w:pPr>
            <w:r w:rsidRPr="00E31C0B">
              <w:rPr>
                <w:rFonts w:hAnsi="標楷體" w:hint="eastAsia"/>
                <w:bCs/>
              </w:rPr>
              <w:t>種植大麻用吊燈</w:t>
            </w:r>
          </w:p>
        </w:tc>
        <w:tc>
          <w:tcPr>
            <w:tcW w:w="5528" w:type="dxa"/>
          </w:tcPr>
          <w:p w14:paraId="7FD3CB19" w14:textId="77777777" w:rsidR="008277DD" w:rsidRPr="00E31C0B" w:rsidRDefault="008277DD" w:rsidP="00B447DF">
            <w:pPr>
              <w:rPr>
                <w:rFonts w:hAnsi="標楷體"/>
                <w:bCs/>
              </w:rPr>
            </w:pPr>
            <w:r w:rsidRPr="00E31C0B">
              <w:rPr>
                <w:rFonts w:hAnsi="標楷體" w:hint="eastAsia"/>
                <w:bCs/>
              </w:rPr>
              <w:t>1具</w:t>
            </w:r>
          </w:p>
        </w:tc>
      </w:tr>
      <w:tr w:rsidR="008277DD" w:rsidRPr="00E31C0B" w14:paraId="4F865927" w14:textId="77777777" w:rsidTr="0079363F">
        <w:tc>
          <w:tcPr>
            <w:tcW w:w="425" w:type="dxa"/>
          </w:tcPr>
          <w:p w14:paraId="1C687FFE" w14:textId="77777777" w:rsidR="008277DD" w:rsidRPr="00E31C0B" w:rsidRDefault="008277DD" w:rsidP="00B447DF">
            <w:pPr>
              <w:rPr>
                <w:rFonts w:hAnsi="標楷體"/>
                <w:bCs/>
              </w:rPr>
            </w:pPr>
            <w:r w:rsidRPr="00E31C0B">
              <w:rPr>
                <w:rFonts w:hAnsi="標楷體" w:hint="eastAsia"/>
                <w:bCs/>
              </w:rPr>
              <w:t>12</w:t>
            </w:r>
          </w:p>
        </w:tc>
        <w:tc>
          <w:tcPr>
            <w:tcW w:w="3970" w:type="dxa"/>
          </w:tcPr>
          <w:p w14:paraId="7002F223" w14:textId="77777777" w:rsidR="008277DD" w:rsidRPr="00E31C0B" w:rsidRDefault="008277DD" w:rsidP="00B447DF">
            <w:pPr>
              <w:rPr>
                <w:rFonts w:hAnsi="標楷體"/>
                <w:bCs/>
              </w:rPr>
            </w:pPr>
            <w:r w:rsidRPr="00E31C0B">
              <w:rPr>
                <w:rFonts w:hAnsi="標楷體" w:hint="eastAsia"/>
                <w:bCs/>
              </w:rPr>
              <w:t>種植大麻用工具盒</w:t>
            </w:r>
          </w:p>
        </w:tc>
        <w:tc>
          <w:tcPr>
            <w:tcW w:w="5528" w:type="dxa"/>
          </w:tcPr>
          <w:p w14:paraId="3C1011C4" w14:textId="77777777" w:rsidR="008277DD" w:rsidRPr="00E31C0B" w:rsidRDefault="008277DD" w:rsidP="00B447DF">
            <w:pPr>
              <w:rPr>
                <w:rFonts w:hAnsi="標楷體"/>
                <w:bCs/>
              </w:rPr>
            </w:pPr>
            <w:r w:rsidRPr="00E31C0B">
              <w:rPr>
                <w:rFonts w:hAnsi="標楷體" w:hint="eastAsia"/>
                <w:bCs/>
              </w:rPr>
              <w:t>1盒</w:t>
            </w:r>
          </w:p>
        </w:tc>
      </w:tr>
      <w:tr w:rsidR="008277DD" w:rsidRPr="00E31C0B" w14:paraId="7AEE3714" w14:textId="77777777" w:rsidTr="0079363F">
        <w:tc>
          <w:tcPr>
            <w:tcW w:w="425" w:type="dxa"/>
          </w:tcPr>
          <w:p w14:paraId="70171BE9" w14:textId="77777777" w:rsidR="008277DD" w:rsidRPr="00E31C0B" w:rsidRDefault="008277DD" w:rsidP="00B447DF">
            <w:pPr>
              <w:rPr>
                <w:rFonts w:hAnsi="標楷體"/>
                <w:bCs/>
              </w:rPr>
            </w:pPr>
            <w:r w:rsidRPr="00E31C0B">
              <w:rPr>
                <w:rFonts w:hAnsi="標楷體" w:hint="eastAsia"/>
                <w:bCs/>
              </w:rPr>
              <w:t>13</w:t>
            </w:r>
          </w:p>
        </w:tc>
        <w:tc>
          <w:tcPr>
            <w:tcW w:w="3970" w:type="dxa"/>
          </w:tcPr>
          <w:p w14:paraId="4196A551" w14:textId="77777777" w:rsidR="008277DD" w:rsidRPr="00E31C0B" w:rsidRDefault="008277DD" w:rsidP="00B447DF">
            <w:pPr>
              <w:rPr>
                <w:rFonts w:hAnsi="標楷體"/>
                <w:bCs/>
              </w:rPr>
            </w:pPr>
            <w:r w:rsidRPr="00E31C0B">
              <w:rPr>
                <w:rFonts w:hAnsi="標楷體" w:hint="eastAsia"/>
                <w:bCs/>
              </w:rPr>
              <w:t>種植大麻遮光用6吋管帽</w:t>
            </w:r>
          </w:p>
        </w:tc>
        <w:tc>
          <w:tcPr>
            <w:tcW w:w="5528" w:type="dxa"/>
          </w:tcPr>
          <w:p w14:paraId="4B50EF04" w14:textId="77777777" w:rsidR="008277DD" w:rsidRPr="00E31C0B" w:rsidRDefault="008277DD" w:rsidP="00B447DF">
            <w:pPr>
              <w:rPr>
                <w:rFonts w:hAnsi="標楷體"/>
                <w:bCs/>
              </w:rPr>
            </w:pPr>
            <w:r w:rsidRPr="00E31C0B">
              <w:rPr>
                <w:rFonts w:hAnsi="標楷體" w:hint="eastAsia"/>
                <w:bCs/>
              </w:rPr>
              <w:t>1個</w:t>
            </w:r>
          </w:p>
        </w:tc>
      </w:tr>
    </w:tbl>
    <w:p w14:paraId="1FC3F72C" w14:textId="77777777" w:rsidR="008277DD" w:rsidRPr="00E31C0B" w:rsidRDefault="008277DD" w:rsidP="00B447DF">
      <w:pPr>
        <w:rPr>
          <w:rFonts w:hAnsi="標楷體"/>
          <w:bCs/>
        </w:rPr>
      </w:pPr>
      <w:r w:rsidRPr="00E31C0B">
        <w:rPr>
          <w:rFonts w:hAnsi="標楷體" w:hint="eastAsia"/>
          <w:bCs/>
        </w:rPr>
        <w:t>附表二（不予沒收之物）：</w:t>
      </w:r>
    </w:p>
    <w:tbl>
      <w:tblPr>
        <w:tblStyle w:val="af8"/>
        <w:tblW w:w="9923" w:type="dxa"/>
        <w:tblInd w:w="-572" w:type="dxa"/>
        <w:tblLook w:val="04A0" w:firstRow="1" w:lastRow="0" w:firstColumn="1" w:lastColumn="0" w:noHBand="0" w:noVBand="1"/>
      </w:tblPr>
      <w:tblGrid>
        <w:gridCol w:w="557"/>
        <w:gridCol w:w="3645"/>
        <w:gridCol w:w="5721"/>
      </w:tblGrid>
      <w:tr w:rsidR="008277DD" w:rsidRPr="00E31C0B" w14:paraId="13C15EA3" w14:textId="77777777" w:rsidTr="0079363F">
        <w:tc>
          <w:tcPr>
            <w:tcW w:w="425" w:type="dxa"/>
          </w:tcPr>
          <w:p w14:paraId="3BEE2508" w14:textId="77777777" w:rsidR="008277DD" w:rsidRPr="00E31C0B" w:rsidRDefault="008277DD" w:rsidP="00B447DF">
            <w:pPr>
              <w:rPr>
                <w:rFonts w:hAnsi="標楷體"/>
                <w:bCs/>
              </w:rPr>
            </w:pPr>
            <w:r w:rsidRPr="00E31C0B">
              <w:rPr>
                <w:rFonts w:hAnsi="標楷體" w:hint="eastAsia"/>
                <w:bCs/>
              </w:rPr>
              <w:t>編號</w:t>
            </w:r>
          </w:p>
        </w:tc>
        <w:tc>
          <w:tcPr>
            <w:tcW w:w="3686" w:type="dxa"/>
          </w:tcPr>
          <w:p w14:paraId="3A0F79C6" w14:textId="77777777" w:rsidR="008277DD" w:rsidRPr="00E31C0B" w:rsidRDefault="008277DD" w:rsidP="00B447DF">
            <w:pPr>
              <w:rPr>
                <w:rFonts w:hAnsi="標楷體"/>
                <w:bCs/>
              </w:rPr>
            </w:pPr>
            <w:r w:rsidRPr="00E31C0B">
              <w:rPr>
                <w:rFonts w:hAnsi="標楷體" w:hint="eastAsia"/>
                <w:bCs/>
              </w:rPr>
              <w:t>物品名稱</w:t>
            </w:r>
          </w:p>
        </w:tc>
        <w:tc>
          <w:tcPr>
            <w:tcW w:w="5812" w:type="dxa"/>
          </w:tcPr>
          <w:p w14:paraId="7EBF80E9" w14:textId="77777777" w:rsidR="008277DD" w:rsidRPr="00E31C0B" w:rsidRDefault="008277DD" w:rsidP="00B447DF">
            <w:pPr>
              <w:rPr>
                <w:rFonts w:hAnsi="標楷體"/>
                <w:bCs/>
              </w:rPr>
            </w:pPr>
            <w:r w:rsidRPr="00E31C0B">
              <w:rPr>
                <w:rFonts w:hAnsi="標楷體" w:hint="eastAsia"/>
                <w:bCs/>
              </w:rPr>
              <w:t>數量</w:t>
            </w:r>
          </w:p>
        </w:tc>
      </w:tr>
      <w:tr w:rsidR="008277DD" w:rsidRPr="00E31C0B" w14:paraId="7A767773" w14:textId="77777777" w:rsidTr="0079363F">
        <w:tc>
          <w:tcPr>
            <w:tcW w:w="425" w:type="dxa"/>
          </w:tcPr>
          <w:p w14:paraId="7C584D95" w14:textId="77777777" w:rsidR="008277DD" w:rsidRPr="00E31C0B" w:rsidRDefault="008277DD" w:rsidP="00B447DF">
            <w:pPr>
              <w:rPr>
                <w:rFonts w:hAnsi="標楷體"/>
                <w:bCs/>
              </w:rPr>
            </w:pPr>
            <w:r w:rsidRPr="00E31C0B">
              <w:rPr>
                <w:rFonts w:hAnsi="標楷體" w:hint="eastAsia"/>
                <w:bCs/>
              </w:rPr>
              <w:t>1</w:t>
            </w:r>
          </w:p>
        </w:tc>
        <w:tc>
          <w:tcPr>
            <w:tcW w:w="3686" w:type="dxa"/>
          </w:tcPr>
          <w:p w14:paraId="62A53A13" w14:textId="77777777" w:rsidR="008277DD" w:rsidRPr="00E31C0B" w:rsidRDefault="008277DD" w:rsidP="00B447DF">
            <w:pPr>
              <w:rPr>
                <w:rFonts w:hAnsi="標楷體"/>
                <w:bCs/>
              </w:rPr>
            </w:pPr>
            <w:r w:rsidRPr="00E31C0B">
              <w:rPr>
                <w:rFonts w:hAnsi="標楷體" w:hint="eastAsia"/>
                <w:bCs/>
              </w:rPr>
              <w:t>菸紙</w:t>
            </w:r>
          </w:p>
        </w:tc>
        <w:tc>
          <w:tcPr>
            <w:tcW w:w="5812" w:type="dxa"/>
          </w:tcPr>
          <w:p w14:paraId="77B1C8EF" w14:textId="77777777" w:rsidR="008277DD" w:rsidRPr="00E31C0B" w:rsidRDefault="008277DD" w:rsidP="00B447DF">
            <w:pPr>
              <w:rPr>
                <w:rFonts w:hAnsi="標楷體"/>
                <w:bCs/>
              </w:rPr>
            </w:pPr>
            <w:r w:rsidRPr="00E31C0B">
              <w:rPr>
                <w:rFonts w:hAnsi="標楷體" w:hint="eastAsia"/>
                <w:bCs/>
              </w:rPr>
              <w:t>4包</w:t>
            </w:r>
          </w:p>
        </w:tc>
      </w:tr>
      <w:tr w:rsidR="008277DD" w:rsidRPr="00E31C0B" w14:paraId="7BCC4DF5" w14:textId="77777777" w:rsidTr="0079363F">
        <w:tc>
          <w:tcPr>
            <w:tcW w:w="425" w:type="dxa"/>
          </w:tcPr>
          <w:p w14:paraId="2DD17615" w14:textId="77777777" w:rsidR="008277DD" w:rsidRPr="00E31C0B" w:rsidRDefault="008277DD" w:rsidP="00B447DF">
            <w:pPr>
              <w:rPr>
                <w:rFonts w:hAnsi="標楷體"/>
                <w:bCs/>
              </w:rPr>
            </w:pPr>
            <w:r w:rsidRPr="00E31C0B">
              <w:rPr>
                <w:rFonts w:hAnsi="標楷體" w:hint="eastAsia"/>
                <w:bCs/>
              </w:rPr>
              <w:t>2</w:t>
            </w:r>
          </w:p>
        </w:tc>
        <w:tc>
          <w:tcPr>
            <w:tcW w:w="3686" w:type="dxa"/>
          </w:tcPr>
          <w:p w14:paraId="57ABCE7B" w14:textId="77777777" w:rsidR="008277DD" w:rsidRPr="00E31C0B" w:rsidRDefault="008277DD" w:rsidP="00B447DF">
            <w:pPr>
              <w:rPr>
                <w:rFonts w:hAnsi="標楷體"/>
                <w:bCs/>
              </w:rPr>
            </w:pPr>
            <w:r w:rsidRPr="00E31C0B">
              <w:rPr>
                <w:rFonts w:hAnsi="標楷體" w:hint="eastAsia"/>
                <w:bCs/>
              </w:rPr>
              <w:t>吸食大麻用混加菸草</w:t>
            </w:r>
          </w:p>
        </w:tc>
        <w:tc>
          <w:tcPr>
            <w:tcW w:w="5812" w:type="dxa"/>
          </w:tcPr>
          <w:p w14:paraId="751D3021" w14:textId="77777777" w:rsidR="008277DD" w:rsidRPr="00E31C0B" w:rsidRDefault="008277DD" w:rsidP="00B447DF">
            <w:pPr>
              <w:rPr>
                <w:rFonts w:hAnsi="標楷體"/>
                <w:bCs/>
              </w:rPr>
            </w:pPr>
            <w:r w:rsidRPr="00E31C0B">
              <w:rPr>
                <w:rFonts w:hAnsi="標楷體" w:hint="eastAsia"/>
                <w:bCs/>
              </w:rPr>
              <w:t>3包</w:t>
            </w:r>
          </w:p>
        </w:tc>
      </w:tr>
      <w:tr w:rsidR="008277DD" w:rsidRPr="00E31C0B" w14:paraId="5841C42A" w14:textId="77777777" w:rsidTr="0079363F">
        <w:tc>
          <w:tcPr>
            <w:tcW w:w="425" w:type="dxa"/>
          </w:tcPr>
          <w:p w14:paraId="67D7A677" w14:textId="77777777" w:rsidR="008277DD" w:rsidRPr="00E31C0B" w:rsidRDefault="008277DD" w:rsidP="00B447DF">
            <w:pPr>
              <w:rPr>
                <w:rFonts w:hAnsi="標楷體"/>
                <w:bCs/>
              </w:rPr>
            </w:pPr>
            <w:r w:rsidRPr="00E31C0B">
              <w:rPr>
                <w:rFonts w:hAnsi="標楷體" w:hint="eastAsia"/>
                <w:bCs/>
              </w:rPr>
              <w:t>3</w:t>
            </w:r>
          </w:p>
        </w:tc>
        <w:tc>
          <w:tcPr>
            <w:tcW w:w="3686" w:type="dxa"/>
          </w:tcPr>
          <w:p w14:paraId="571A03D0" w14:textId="77777777" w:rsidR="008277DD" w:rsidRPr="00E31C0B" w:rsidRDefault="008277DD" w:rsidP="00B447DF">
            <w:pPr>
              <w:rPr>
                <w:rFonts w:hAnsi="標楷體"/>
                <w:bCs/>
              </w:rPr>
            </w:pPr>
            <w:r w:rsidRPr="00E31C0B">
              <w:rPr>
                <w:rFonts w:hAnsi="標楷體" w:hint="eastAsia"/>
                <w:bCs/>
              </w:rPr>
              <w:t>煙斗</w:t>
            </w:r>
          </w:p>
        </w:tc>
        <w:tc>
          <w:tcPr>
            <w:tcW w:w="5812" w:type="dxa"/>
          </w:tcPr>
          <w:p w14:paraId="1C112193" w14:textId="77777777" w:rsidR="008277DD" w:rsidRPr="00E31C0B" w:rsidRDefault="008277DD" w:rsidP="00B447DF">
            <w:pPr>
              <w:rPr>
                <w:rFonts w:hAnsi="標楷體"/>
                <w:bCs/>
              </w:rPr>
            </w:pPr>
            <w:r w:rsidRPr="00E31C0B">
              <w:rPr>
                <w:rFonts w:hAnsi="標楷體" w:hint="eastAsia"/>
                <w:bCs/>
              </w:rPr>
              <w:t>1支</w:t>
            </w:r>
          </w:p>
        </w:tc>
      </w:tr>
      <w:tr w:rsidR="008277DD" w:rsidRPr="00E31C0B" w14:paraId="62A3CCC6" w14:textId="77777777" w:rsidTr="0079363F">
        <w:tc>
          <w:tcPr>
            <w:tcW w:w="425" w:type="dxa"/>
          </w:tcPr>
          <w:p w14:paraId="6E0F6F33" w14:textId="77777777" w:rsidR="008277DD" w:rsidRPr="00E31C0B" w:rsidRDefault="008277DD" w:rsidP="00B447DF">
            <w:pPr>
              <w:rPr>
                <w:rFonts w:hAnsi="標楷體"/>
                <w:bCs/>
              </w:rPr>
            </w:pPr>
            <w:r w:rsidRPr="00E31C0B">
              <w:rPr>
                <w:rFonts w:hAnsi="標楷體" w:hint="eastAsia"/>
                <w:bCs/>
              </w:rPr>
              <w:t>4</w:t>
            </w:r>
          </w:p>
        </w:tc>
        <w:tc>
          <w:tcPr>
            <w:tcW w:w="3686" w:type="dxa"/>
          </w:tcPr>
          <w:p w14:paraId="6129DF9A" w14:textId="77777777" w:rsidR="008277DD" w:rsidRPr="00E31C0B" w:rsidRDefault="008277DD" w:rsidP="00B447DF">
            <w:pPr>
              <w:rPr>
                <w:rFonts w:hAnsi="標楷體"/>
                <w:bCs/>
              </w:rPr>
            </w:pPr>
            <w:r w:rsidRPr="00E31C0B">
              <w:rPr>
                <w:rFonts w:hAnsi="標楷體" w:hint="eastAsia"/>
                <w:bCs/>
              </w:rPr>
              <w:t>煙斗濾網</w:t>
            </w:r>
          </w:p>
        </w:tc>
        <w:tc>
          <w:tcPr>
            <w:tcW w:w="5812" w:type="dxa"/>
          </w:tcPr>
          <w:p w14:paraId="1E73FC53" w14:textId="77777777" w:rsidR="008277DD" w:rsidRPr="00E31C0B" w:rsidRDefault="008277DD" w:rsidP="00B447DF">
            <w:pPr>
              <w:rPr>
                <w:rFonts w:hAnsi="標楷體"/>
                <w:bCs/>
              </w:rPr>
            </w:pPr>
            <w:r w:rsidRPr="00E31C0B">
              <w:rPr>
                <w:rFonts w:hAnsi="標楷體" w:hint="eastAsia"/>
                <w:bCs/>
              </w:rPr>
              <w:t>4片</w:t>
            </w:r>
          </w:p>
        </w:tc>
      </w:tr>
      <w:tr w:rsidR="008277DD" w:rsidRPr="00E31C0B" w14:paraId="72A7BAAD" w14:textId="77777777" w:rsidTr="0079363F">
        <w:tc>
          <w:tcPr>
            <w:tcW w:w="425" w:type="dxa"/>
          </w:tcPr>
          <w:p w14:paraId="40F3B2DA" w14:textId="77777777" w:rsidR="008277DD" w:rsidRPr="00E31C0B" w:rsidRDefault="008277DD" w:rsidP="00B447DF">
            <w:pPr>
              <w:rPr>
                <w:rFonts w:hAnsi="標楷體"/>
                <w:bCs/>
              </w:rPr>
            </w:pPr>
            <w:r w:rsidRPr="00E31C0B">
              <w:rPr>
                <w:rFonts w:hAnsi="標楷體" w:hint="eastAsia"/>
                <w:bCs/>
              </w:rPr>
              <w:t>5</w:t>
            </w:r>
          </w:p>
        </w:tc>
        <w:tc>
          <w:tcPr>
            <w:tcW w:w="3686" w:type="dxa"/>
          </w:tcPr>
          <w:p w14:paraId="602136C0" w14:textId="77777777" w:rsidR="008277DD" w:rsidRPr="00E31C0B" w:rsidRDefault="008277DD" w:rsidP="00B447DF">
            <w:pPr>
              <w:rPr>
                <w:rFonts w:hAnsi="標楷體"/>
                <w:bCs/>
              </w:rPr>
            </w:pPr>
            <w:r w:rsidRPr="00E31C0B">
              <w:rPr>
                <w:rFonts w:hAnsi="標楷體" w:hint="eastAsia"/>
                <w:bCs/>
              </w:rPr>
              <w:t>夾鍊袋</w:t>
            </w:r>
          </w:p>
        </w:tc>
        <w:tc>
          <w:tcPr>
            <w:tcW w:w="5812" w:type="dxa"/>
          </w:tcPr>
          <w:p w14:paraId="753E509E" w14:textId="77777777" w:rsidR="008277DD" w:rsidRPr="00E31C0B" w:rsidRDefault="008277DD" w:rsidP="00B447DF">
            <w:pPr>
              <w:rPr>
                <w:rFonts w:hAnsi="標楷體"/>
                <w:bCs/>
              </w:rPr>
            </w:pPr>
            <w:r w:rsidRPr="00E31C0B">
              <w:rPr>
                <w:rFonts w:hAnsi="標楷體" w:hint="eastAsia"/>
                <w:bCs/>
              </w:rPr>
              <w:t>1包</w:t>
            </w:r>
          </w:p>
        </w:tc>
      </w:tr>
      <w:tr w:rsidR="008277DD" w:rsidRPr="00E31C0B" w14:paraId="1494A9ED" w14:textId="77777777" w:rsidTr="0079363F">
        <w:tc>
          <w:tcPr>
            <w:tcW w:w="425" w:type="dxa"/>
          </w:tcPr>
          <w:p w14:paraId="27B173AA" w14:textId="77777777" w:rsidR="008277DD" w:rsidRPr="00E31C0B" w:rsidRDefault="008277DD" w:rsidP="00B447DF">
            <w:pPr>
              <w:rPr>
                <w:rFonts w:hAnsi="標楷體"/>
                <w:bCs/>
              </w:rPr>
            </w:pPr>
            <w:r w:rsidRPr="00E31C0B">
              <w:rPr>
                <w:rFonts w:hAnsi="標楷體" w:hint="eastAsia"/>
                <w:bCs/>
              </w:rPr>
              <w:t>6</w:t>
            </w:r>
          </w:p>
        </w:tc>
        <w:tc>
          <w:tcPr>
            <w:tcW w:w="3686" w:type="dxa"/>
          </w:tcPr>
          <w:p w14:paraId="5DAEFB20" w14:textId="77777777" w:rsidR="008277DD" w:rsidRPr="00E31C0B" w:rsidRDefault="008277DD" w:rsidP="00B447DF">
            <w:pPr>
              <w:rPr>
                <w:rFonts w:hAnsi="標楷體"/>
                <w:bCs/>
              </w:rPr>
            </w:pPr>
            <w:r w:rsidRPr="00E31C0B">
              <w:rPr>
                <w:rFonts w:hAnsi="標楷體" w:hint="eastAsia"/>
                <w:bCs/>
              </w:rPr>
              <w:t>煙斗濾嘴</w:t>
            </w:r>
          </w:p>
        </w:tc>
        <w:tc>
          <w:tcPr>
            <w:tcW w:w="5812" w:type="dxa"/>
          </w:tcPr>
          <w:p w14:paraId="1CE4E793" w14:textId="77777777" w:rsidR="008277DD" w:rsidRPr="00E31C0B" w:rsidRDefault="008277DD" w:rsidP="00B447DF">
            <w:pPr>
              <w:rPr>
                <w:rFonts w:hAnsi="標楷體"/>
                <w:bCs/>
              </w:rPr>
            </w:pPr>
            <w:r w:rsidRPr="00E31C0B">
              <w:rPr>
                <w:rFonts w:hAnsi="標楷體" w:hint="eastAsia"/>
                <w:bCs/>
              </w:rPr>
              <w:t>1包</w:t>
            </w:r>
          </w:p>
        </w:tc>
      </w:tr>
      <w:tr w:rsidR="008277DD" w:rsidRPr="00E31C0B" w14:paraId="66FAB050" w14:textId="77777777" w:rsidTr="0079363F">
        <w:tc>
          <w:tcPr>
            <w:tcW w:w="425" w:type="dxa"/>
          </w:tcPr>
          <w:p w14:paraId="2647B36E" w14:textId="77777777" w:rsidR="008277DD" w:rsidRPr="00E31C0B" w:rsidRDefault="008277DD" w:rsidP="00B447DF">
            <w:pPr>
              <w:rPr>
                <w:rFonts w:hAnsi="標楷體"/>
                <w:bCs/>
              </w:rPr>
            </w:pPr>
            <w:r w:rsidRPr="00E31C0B">
              <w:rPr>
                <w:rFonts w:hAnsi="標楷體" w:hint="eastAsia"/>
                <w:bCs/>
              </w:rPr>
              <w:t>7</w:t>
            </w:r>
          </w:p>
        </w:tc>
        <w:tc>
          <w:tcPr>
            <w:tcW w:w="3686" w:type="dxa"/>
          </w:tcPr>
          <w:p w14:paraId="27BB3DA2" w14:textId="77777777" w:rsidR="008277DD" w:rsidRPr="00E31C0B" w:rsidRDefault="008277DD" w:rsidP="00B447DF">
            <w:pPr>
              <w:rPr>
                <w:rFonts w:hAnsi="標楷體"/>
                <w:bCs/>
              </w:rPr>
            </w:pPr>
            <w:r w:rsidRPr="00E31C0B">
              <w:rPr>
                <w:rFonts w:hAnsi="標楷體" w:hint="eastAsia"/>
                <w:bCs/>
              </w:rPr>
              <w:t>菸草</w:t>
            </w:r>
          </w:p>
        </w:tc>
        <w:tc>
          <w:tcPr>
            <w:tcW w:w="5812" w:type="dxa"/>
          </w:tcPr>
          <w:p w14:paraId="55382BF1" w14:textId="77777777" w:rsidR="008277DD" w:rsidRPr="00E31C0B" w:rsidRDefault="008277DD" w:rsidP="00B447DF">
            <w:pPr>
              <w:rPr>
                <w:rFonts w:hAnsi="標楷體"/>
                <w:bCs/>
              </w:rPr>
            </w:pPr>
            <w:r w:rsidRPr="00E31C0B">
              <w:rPr>
                <w:rFonts w:hAnsi="標楷體" w:hint="eastAsia"/>
                <w:bCs/>
              </w:rPr>
              <w:t>7.2公克（經檢驗未含法定毒品成分）</w:t>
            </w:r>
          </w:p>
        </w:tc>
      </w:tr>
      <w:tr w:rsidR="008277DD" w:rsidRPr="00E31C0B" w14:paraId="594E6802" w14:textId="77777777" w:rsidTr="0079363F">
        <w:tc>
          <w:tcPr>
            <w:tcW w:w="425" w:type="dxa"/>
          </w:tcPr>
          <w:p w14:paraId="3A4ADF41" w14:textId="77777777" w:rsidR="008277DD" w:rsidRPr="00E31C0B" w:rsidRDefault="008277DD" w:rsidP="00B447DF">
            <w:pPr>
              <w:rPr>
                <w:rFonts w:hAnsi="標楷體"/>
                <w:bCs/>
              </w:rPr>
            </w:pPr>
            <w:r w:rsidRPr="00E31C0B">
              <w:rPr>
                <w:rFonts w:hAnsi="標楷體" w:hint="eastAsia"/>
                <w:bCs/>
              </w:rPr>
              <w:t>8</w:t>
            </w:r>
          </w:p>
        </w:tc>
        <w:tc>
          <w:tcPr>
            <w:tcW w:w="3686" w:type="dxa"/>
          </w:tcPr>
          <w:p w14:paraId="6563938F" w14:textId="77777777" w:rsidR="008277DD" w:rsidRPr="00E31C0B" w:rsidRDefault="008277DD" w:rsidP="00B447DF">
            <w:pPr>
              <w:rPr>
                <w:rFonts w:hAnsi="標楷體"/>
                <w:bCs/>
              </w:rPr>
            </w:pPr>
            <w:r w:rsidRPr="00E31C0B">
              <w:rPr>
                <w:rFonts w:hAnsi="標楷體" w:hint="eastAsia"/>
                <w:bCs/>
              </w:rPr>
              <w:t>HITACHI日立廠牌分離式冷氣機</w:t>
            </w:r>
          </w:p>
        </w:tc>
        <w:tc>
          <w:tcPr>
            <w:tcW w:w="5812" w:type="dxa"/>
          </w:tcPr>
          <w:p w14:paraId="3820B1B6" w14:textId="77777777" w:rsidR="008277DD" w:rsidRPr="00E31C0B" w:rsidRDefault="008277DD" w:rsidP="00B447DF">
            <w:pPr>
              <w:rPr>
                <w:rFonts w:hAnsi="標楷體"/>
                <w:bCs/>
              </w:rPr>
            </w:pPr>
            <w:r w:rsidRPr="00E31C0B">
              <w:rPr>
                <w:rFonts w:hAnsi="標楷體" w:hint="eastAsia"/>
                <w:bCs/>
              </w:rPr>
              <w:t>1組</w:t>
            </w:r>
          </w:p>
        </w:tc>
      </w:tr>
    </w:tbl>
    <w:p w14:paraId="2FF90D36" w14:textId="77777777" w:rsidR="008277DD" w:rsidRPr="00E31C0B" w:rsidRDefault="008277DD" w:rsidP="00B447DF">
      <w:pPr>
        <w:pStyle w:val="5"/>
        <w:numPr>
          <w:ilvl w:val="0"/>
          <w:numId w:val="0"/>
        </w:numPr>
        <w:rPr>
          <w:rFonts w:hAnsi="標楷體"/>
        </w:rPr>
      </w:pPr>
    </w:p>
    <w:p w14:paraId="007CAD75" w14:textId="0BB3357C" w:rsidR="008277DD" w:rsidRPr="00E31C0B" w:rsidRDefault="008277DD" w:rsidP="00B447DF">
      <w:pPr>
        <w:pStyle w:val="4"/>
        <w:rPr>
          <w:rFonts w:hAnsi="標楷體"/>
          <w:bCs/>
        </w:rPr>
      </w:pPr>
      <w:r w:rsidRPr="00E31C0B">
        <w:rPr>
          <w:rFonts w:hAnsi="標楷體" w:hint="eastAsia"/>
          <w:bCs/>
          <w:szCs w:val="32"/>
        </w:rPr>
        <w:t>109年3月20日</w:t>
      </w:r>
      <w:r w:rsidRPr="00E31C0B">
        <w:rPr>
          <w:rFonts w:hAnsi="標楷體" w:hint="eastAsia"/>
          <w:bCs/>
        </w:rPr>
        <w:t>司法院釋字第790號解釋：毒品危害防制條例第12條第2項規定：「意圖供製造毒品之用，而栽種大麻者，處5年以上有期徒刑，得併科500萬元以下罰金。」不論行為人犯罪情節之輕重，均以5年以上有期徒刑之重度自由刑相繩，對違法情節輕微、顯可憫恕之個案，法院縱適用刑法第59條規定酌減其刑，最低刑度仍達2年6月之有期徒刑，無從具體考量行為人所應負責任之輕微，為易科罰金或緩刑之宣告，尚嫌情輕法重，致罪責與處罰不相當。上開規定對犯該罪而情節輕微者，未併為得減輕其刑或另為適當刑度之規</w:t>
      </w:r>
      <w:r w:rsidRPr="00E31C0B">
        <w:rPr>
          <w:rFonts w:hAnsi="標楷體" w:hint="eastAsia"/>
          <w:bCs/>
        </w:rPr>
        <w:lastRenderedPageBreak/>
        <w:t>定，於此範圍內，對人民受憲法第8條保障人身自由權所為之限制，與憲法罪刑相當原則不符，有違憲法第23條比例原則。相關機關應自本解釋公布之日起1年內，依本解釋意旨修正之；逾期未修正，其情節輕微者，法院得依本解釋意旨減輕其法定刑至二分之一。</w:t>
      </w:r>
    </w:p>
    <w:p w14:paraId="4A171701" w14:textId="1B2168D7" w:rsidR="008277DD" w:rsidRPr="00E31C0B" w:rsidRDefault="008277DD" w:rsidP="00B447DF">
      <w:pPr>
        <w:pStyle w:val="4"/>
        <w:rPr>
          <w:rFonts w:hAnsi="標楷體"/>
          <w:bCs/>
        </w:rPr>
      </w:pPr>
      <w:r w:rsidRPr="00E31C0B">
        <w:rPr>
          <w:rFonts w:hAnsi="標楷體" w:hint="eastAsia"/>
          <w:bCs/>
        </w:rPr>
        <w:t>109年4月16日</w:t>
      </w:r>
      <w:r w:rsidR="00CF76A1" w:rsidRPr="00E31C0B">
        <w:rPr>
          <w:rFonts w:hAnsi="標楷體" w:hint="eastAsia"/>
          <w:bCs/>
        </w:rPr>
        <w:t>最高法院</w:t>
      </w:r>
      <w:r w:rsidRPr="00E31C0B">
        <w:rPr>
          <w:rFonts w:hAnsi="標楷體" w:hint="eastAsia"/>
          <w:bCs/>
        </w:rPr>
        <w:t>109年度台上字第1598號駁回</w:t>
      </w:r>
      <w:r w:rsidR="005B1E60" w:rsidRPr="00E31C0B">
        <w:rPr>
          <w:rFonts w:hAnsi="標楷體" w:hint="eastAsia"/>
          <w:bCs/>
        </w:rPr>
        <w:t>黃○剛</w:t>
      </w:r>
      <w:r w:rsidRPr="00E31C0B">
        <w:rPr>
          <w:rFonts w:hAnsi="標楷體" w:hint="eastAsia"/>
          <w:bCs/>
        </w:rPr>
        <w:t>上訴，判決理由摘錄如下：</w:t>
      </w:r>
    </w:p>
    <w:p w14:paraId="3C238B76" w14:textId="366CF4E0" w:rsidR="008277DD" w:rsidRPr="00E31C0B" w:rsidRDefault="008277DD" w:rsidP="00B447DF">
      <w:pPr>
        <w:pStyle w:val="5"/>
        <w:rPr>
          <w:rFonts w:hAnsi="標楷體"/>
        </w:rPr>
      </w:pPr>
      <w:r w:rsidRPr="00E31C0B">
        <w:rPr>
          <w:rFonts w:hAnsi="標楷體" w:hint="eastAsia"/>
        </w:rPr>
        <w:t>刑罰之量定，係屬事實審法院得依職權自由裁量之事項，量刑判斷當否之準據，應就判決之整體觀察為綜合考量，不可摭拾其中片段，遽予評斷，倘以被告之責任為基礎，說明審酌</w:t>
      </w:r>
      <w:hyperlink r:id="rId22" w:tgtFrame="_blank" w:history="1">
        <w:r w:rsidRPr="00E31C0B">
          <w:rPr>
            <w:rFonts w:hAnsi="標楷體" w:hint="eastAsia"/>
          </w:rPr>
          <w:t>刑法第57</w:t>
        </w:r>
      </w:hyperlink>
      <w:r w:rsidRPr="00E31C0B">
        <w:rPr>
          <w:rFonts w:hAnsi="標楷體" w:hint="eastAsia"/>
        </w:rPr>
        <w:t>條所列事項而為刑之量定，若未逾越法定刑度，亦未濫用其權限，即無違法可言。原判決關於刑之減輕與酌科，已載述上訴人</w:t>
      </w:r>
      <w:r w:rsidR="006D6C41" w:rsidRPr="00E31C0B">
        <w:rPr>
          <w:rFonts w:hAnsi="標楷體" w:hint="eastAsia"/>
        </w:rPr>
        <w:t>（即</w:t>
      </w:r>
      <w:r w:rsidR="006D6C41" w:rsidRPr="00E31C0B">
        <w:rPr>
          <w:rFonts w:hAnsi="標楷體" w:hint="eastAsia"/>
          <w:szCs w:val="32"/>
        </w:rPr>
        <w:t>被告</w:t>
      </w:r>
      <w:r w:rsidR="005B1E60" w:rsidRPr="00E31C0B">
        <w:rPr>
          <w:rFonts w:hAnsi="標楷體" w:hint="eastAsia"/>
          <w:szCs w:val="32"/>
        </w:rPr>
        <w:t>黃○剛</w:t>
      </w:r>
      <w:r w:rsidR="006D6C41" w:rsidRPr="00E31C0B">
        <w:rPr>
          <w:rFonts w:hAnsi="標楷體" w:hint="eastAsia"/>
        </w:rPr>
        <w:t>）</w:t>
      </w:r>
      <w:r w:rsidRPr="00E31C0B">
        <w:rPr>
          <w:rFonts w:hAnsi="標楷體" w:hint="eastAsia"/>
        </w:rPr>
        <w:t>就原判決犯罪事實</w:t>
      </w:r>
      <w:r w:rsidR="007F1130" w:rsidRPr="00E31C0B">
        <w:rPr>
          <w:rFonts w:hAnsi="標楷體" w:hint="eastAsia"/>
        </w:rPr>
        <w:t>二</w:t>
      </w:r>
      <w:r w:rsidRPr="00E31C0B">
        <w:rPr>
          <w:rFonts w:hAnsi="標楷體" w:hint="eastAsia"/>
        </w:rPr>
        <w:t>部分所為，係犯</w:t>
      </w:r>
      <w:hyperlink r:id="rId23" w:tgtFrame="_blank" w:history="1">
        <w:r w:rsidRPr="00E31C0B">
          <w:rPr>
            <w:rFonts w:hAnsi="標楷體" w:hint="eastAsia"/>
          </w:rPr>
          <w:t>毒品危害防制條例第12</w:t>
        </w:r>
      </w:hyperlink>
      <w:r w:rsidRPr="00E31C0B">
        <w:rPr>
          <w:rFonts w:hAnsi="標楷體" w:hint="eastAsia"/>
        </w:rPr>
        <w:t>條第2項之意圖供製造毒品之用，而栽種大麻罪，非屬同條例第17條第2項規定，以犯第4條至第8條之罪於偵查及審判中均自白者為限，始得減輕其刑之罪，自無該條之適用。惟衡以其栽種大麻之時間不長、數量不多，於遭查獲時已停止栽種，栽種之目的僅在</w:t>
      </w:r>
      <w:r w:rsidR="003F14E6" w:rsidRPr="00E31C0B">
        <w:rPr>
          <w:rFonts w:hAnsi="標楷體" w:hint="eastAsia"/>
        </w:rPr>
        <w:t>供己</w:t>
      </w:r>
      <w:r w:rsidRPr="00E31C0B">
        <w:rPr>
          <w:rFonts w:hAnsi="標楷體" w:hint="eastAsia"/>
        </w:rPr>
        <w:t>施用，非製造毒品販售牟利，於社會治安及國民健康之危害較小，犯罪情節並非重大，倘逕依</w:t>
      </w:r>
      <w:hyperlink r:id="rId24" w:tgtFrame="_blank" w:history="1">
        <w:r w:rsidRPr="00E31C0B">
          <w:rPr>
            <w:rFonts w:hAnsi="標楷體" w:hint="eastAsia"/>
          </w:rPr>
          <w:t>毒品危害防制條例第12</w:t>
        </w:r>
      </w:hyperlink>
      <w:r w:rsidRPr="00E31C0B">
        <w:rPr>
          <w:rFonts w:hAnsi="標楷體" w:hint="eastAsia"/>
        </w:rPr>
        <w:t>條第2項規定處以最輕法定本刑「5年以上有期徒刑」，失之苛酷，仍嫌過重，在客觀上足以引起一般人之同情，爰就其所犯意圖供製造毒品之用，而栽種大麻犯行，依</w:t>
      </w:r>
      <w:hyperlink r:id="rId25" w:tgtFrame="_blank" w:history="1">
        <w:r w:rsidRPr="00E31C0B">
          <w:rPr>
            <w:rFonts w:hAnsi="標楷體" w:hint="eastAsia"/>
          </w:rPr>
          <w:t>刑法第59</w:t>
        </w:r>
      </w:hyperlink>
      <w:r w:rsidRPr="00E31C0B">
        <w:rPr>
          <w:rFonts w:hAnsi="標楷體" w:hint="eastAsia"/>
        </w:rPr>
        <w:t>條規定酌減其刑。審酌上訴人明知大麻種子為不得任意栽種</w:t>
      </w:r>
      <w:r w:rsidRPr="00E31C0B">
        <w:rPr>
          <w:rFonts w:hAnsi="標楷體" w:hint="eastAsia"/>
        </w:rPr>
        <w:lastRenderedPageBreak/>
        <w:t>之違禁物，竟無視國家禁令，意圖製造毒品供自己施用而栽種大麻，所為應予非難，雖於第一審審理時否認此部分犯行，惟於原審審理時終能坦承犯行之態度，及其於警詢時自陳大學畢業之智識程度、</w:t>
      </w:r>
      <w:r w:rsidR="00AD6607" w:rsidRPr="00E31C0B">
        <w:rPr>
          <w:rFonts w:hAnsi="標楷體" w:hint="eastAsia"/>
        </w:rPr>
        <w:t>從事</w:t>
      </w:r>
      <w:r w:rsidRPr="00E31C0B">
        <w:rPr>
          <w:rFonts w:hAnsi="標楷體" w:hint="eastAsia"/>
        </w:rPr>
        <w:t>水電工程師工作、家庭經濟狀況小康，暨其所栽種之大麻植株數量僅3顆、動機、目的係一時好奇圖便、所生危害等一切情狀而為刑之量定。已詳述對於上訴人酌減其刑之依據及理由，暨已以行為人之責任為基礎，具體審酌</w:t>
      </w:r>
      <w:hyperlink r:id="rId26" w:tgtFrame="_blank" w:history="1">
        <w:r w:rsidRPr="00E31C0B">
          <w:rPr>
            <w:rFonts w:hAnsi="標楷體" w:hint="eastAsia"/>
          </w:rPr>
          <w:t>刑法第57</w:t>
        </w:r>
      </w:hyperlink>
      <w:r w:rsidRPr="00E31C0B">
        <w:rPr>
          <w:rFonts w:hAnsi="標楷體" w:hint="eastAsia"/>
        </w:rPr>
        <w:t>條所列各款事項而為裁量，既未逾越法定刑度，亦未濫用自由裁量權限。要屬事實審法院刑罰裁量職權之適法行使。又上訴人行為後，司法院釋字第790號固解釋：</w:t>
      </w:r>
      <w:hyperlink r:id="rId27" w:tgtFrame="_blank" w:history="1">
        <w:r w:rsidRPr="00E31C0B">
          <w:rPr>
            <w:rFonts w:hAnsi="標楷體" w:hint="eastAsia"/>
          </w:rPr>
          <w:t>毒品危害防制條例第12</w:t>
        </w:r>
      </w:hyperlink>
      <w:r w:rsidRPr="00E31C0B">
        <w:rPr>
          <w:rFonts w:hAnsi="標楷體" w:hint="eastAsia"/>
        </w:rPr>
        <w:t>條第2項規定：「意圖供製造毒品之用，而栽種大麻者，處5年以上有期徒刑，得併科500萬元以下罰金。」不論行為人犯罪情節之輕重，均以5年以上有期徒刑之重度自由刑相繩，對違法情節輕微、顯可憫恕之個案，法院縱適用</w:t>
      </w:r>
      <w:hyperlink r:id="rId28" w:tgtFrame="_blank" w:history="1">
        <w:r w:rsidRPr="00E31C0B">
          <w:rPr>
            <w:rFonts w:hAnsi="標楷體" w:hint="eastAsia"/>
          </w:rPr>
          <w:t>刑法第59</w:t>
        </w:r>
      </w:hyperlink>
      <w:r w:rsidRPr="00E31C0B">
        <w:rPr>
          <w:rFonts w:hAnsi="標楷體" w:hint="eastAsia"/>
        </w:rPr>
        <w:t>條規定酌減其刑，最低刑度仍達2年6月之有期徒刑，無從具體考量行為人所應負責任之輕微，為易科罰金或緩刑之宣告，尚嫌情輕法重，致罪責與處罰不相當。上開規定對犯該罪而情節輕微者，未併為得減輕其刑或另為適當刑度之規定，於此範圍內，對人民受</w:t>
      </w:r>
      <w:hyperlink r:id="rId29" w:tgtFrame="_blank" w:history="1">
        <w:r w:rsidRPr="00E31C0B">
          <w:rPr>
            <w:rFonts w:hAnsi="標楷體" w:hint="eastAsia"/>
          </w:rPr>
          <w:t>憲法第8</w:t>
        </w:r>
      </w:hyperlink>
      <w:r w:rsidRPr="00E31C0B">
        <w:rPr>
          <w:rFonts w:hAnsi="標楷體" w:hint="eastAsia"/>
        </w:rPr>
        <w:t>條保障人身自由權所為之限制，與憲法罪刑相當原則不符，有違</w:t>
      </w:r>
      <w:hyperlink r:id="rId30" w:tgtFrame="_blank" w:history="1">
        <w:r w:rsidRPr="00E31C0B">
          <w:rPr>
            <w:rFonts w:hAnsi="標楷體" w:hint="eastAsia"/>
          </w:rPr>
          <w:t>憲法第23</w:t>
        </w:r>
      </w:hyperlink>
      <w:r w:rsidRPr="00E31C0B">
        <w:rPr>
          <w:rFonts w:hAnsi="標楷體" w:hint="eastAsia"/>
        </w:rPr>
        <w:t>條比例原則。相關機關應自本解釋公布之日起1年內，依本解釋意旨修正之；逾期未修正，其情節輕微者，法院得依本解釋意旨減輕其法定刑至二分之一。惟原判決依其量刑職權之</w:t>
      </w:r>
      <w:r w:rsidRPr="00E31C0B">
        <w:rPr>
          <w:rFonts w:hAnsi="標楷體" w:hint="eastAsia"/>
        </w:rPr>
        <w:lastRenderedPageBreak/>
        <w:t>適法行使，已具體審酌上訴人違法情節輕微、顯可憫恕之程度，適用</w:t>
      </w:r>
      <w:hyperlink r:id="rId31" w:tgtFrame="_blank" w:history="1">
        <w:r w:rsidRPr="00E31C0B">
          <w:rPr>
            <w:rFonts w:hAnsi="標楷體" w:hint="eastAsia"/>
          </w:rPr>
          <w:t>刑法第59</w:t>
        </w:r>
      </w:hyperlink>
      <w:r w:rsidRPr="00E31C0B">
        <w:rPr>
          <w:rFonts w:hAnsi="標楷體" w:hint="eastAsia"/>
        </w:rPr>
        <w:t>條規定酌減其刑後，仍量處逾2年6月之有期徒刑，並說明其理由，尚與無從具體考量行為人所應負責任之輕微，宣告易科罰金或緩刑，致罪責與處罰不相當之情形有別，自未違背上開解釋意旨，不容任意指摘為違法。</w:t>
      </w:r>
    </w:p>
    <w:p w14:paraId="3AA9FE44" w14:textId="77777777" w:rsidR="008277DD" w:rsidRPr="00E31C0B" w:rsidRDefault="008277DD" w:rsidP="00B447DF">
      <w:pPr>
        <w:pStyle w:val="5"/>
        <w:rPr>
          <w:rFonts w:hAnsi="標楷體"/>
        </w:rPr>
      </w:pPr>
      <w:r w:rsidRPr="00E31C0B">
        <w:rPr>
          <w:rFonts w:hAnsi="標楷體" w:hint="eastAsia"/>
        </w:rPr>
        <w:t>上訴意旨置原判決之明白論敘於不顧，泛謂上訴人已自承將栽種之大麻葉風乾，使成易於施用之大麻製品，所為應屬製造毒品未遂之行為，原判決未據以論科，並依</w:t>
      </w:r>
      <w:hyperlink r:id="rId32" w:tgtFrame="_blank" w:history="1">
        <w:r w:rsidRPr="00E31C0B">
          <w:rPr>
            <w:rFonts w:hAnsi="標楷體" w:hint="eastAsia"/>
          </w:rPr>
          <w:t>毒品危害防制條例第17</w:t>
        </w:r>
      </w:hyperlink>
      <w:r w:rsidRPr="00E31C0B">
        <w:rPr>
          <w:rFonts w:hAnsi="標楷體" w:hint="eastAsia"/>
        </w:rPr>
        <w:t>條第2項規定減輕其刑，與案內證據不符，理由矛盾，復未依司法院釋字第790號解釋意旨酌加考量其刑，其判決違背法令，扣案之大麻植株為製造大麻毒品之原料，依同條例第18條第1項前段規定宣告沒收銷燬之，於法亦有未合。上訴人有祖父母及未成年子女待養，請從輕量刑云云。無非就原審採證認事及刑罰裁量等職權之適當行使，任憑己見漫為指摘，與法律規定得為第三審上訴理由之違法情形不相適合，揆之首揭說明，其上訴為違背法律上之程式。</w:t>
      </w:r>
    </w:p>
    <w:p w14:paraId="268C4CB9" w14:textId="0DA99257" w:rsidR="008277DD" w:rsidRPr="00E31C0B" w:rsidRDefault="008277DD" w:rsidP="00B447DF">
      <w:pPr>
        <w:pStyle w:val="4"/>
        <w:rPr>
          <w:rFonts w:hAnsi="標楷體"/>
          <w:bCs/>
        </w:rPr>
      </w:pPr>
      <w:r w:rsidRPr="00E31C0B">
        <w:rPr>
          <w:rFonts w:hAnsi="標楷體" w:hint="eastAsia"/>
          <w:bCs/>
          <w:szCs w:val="32"/>
        </w:rPr>
        <w:t>111年1月4日</w:t>
      </w:r>
      <w:r w:rsidRPr="00E31C0B">
        <w:rPr>
          <w:rFonts w:hAnsi="標楷體" w:hint="eastAsia"/>
          <w:bCs/>
        </w:rPr>
        <w:t>憲法訴訟法</w:t>
      </w:r>
      <w:r w:rsidR="00DC7CFD" w:rsidRPr="00E31C0B">
        <w:rPr>
          <w:rStyle w:val="aff8"/>
          <w:rFonts w:hAnsi="標楷體"/>
          <w:bCs/>
        </w:rPr>
        <w:footnoteReference w:id="1"/>
      </w:r>
      <w:r w:rsidRPr="00E31C0B">
        <w:rPr>
          <w:rFonts w:hAnsi="標楷體" w:hint="eastAsia"/>
          <w:bCs/>
        </w:rPr>
        <w:t>第54條第1項規定：「判決宣告法律位階法規範定期失效者，除主文另有諭知外，於期限屆至前，各法院審理案件，仍應適用該法規範。但各法院應審酌人權保障及公共利益之均衡維護，於必要時得依職權或當事人之聲請，裁定停止審理程序，俟該法規範修正後，</w:t>
      </w:r>
      <w:r w:rsidRPr="00E31C0B">
        <w:rPr>
          <w:rFonts w:hAnsi="標楷體" w:hint="eastAsia"/>
          <w:bCs/>
        </w:rPr>
        <w:lastRenderedPageBreak/>
        <w:t>依新法續行審理。</w:t>
      </w:r>
      <w:r w:rsidR="00306E08" w:rsidRPr="00E31C0B">
        <w:rPr>
          <w:rFonts w:hAnsi="標楷體" w:hint="eastAsia"/>
          <w:bCs/>
        </w:rPr>
        <w:t>」</w:t>
      </w:r>
    </w:p>
    <w:p w14:paraId="6F681CC3" w14:textId="58D534EA" w:rsidR="008277DD" w:rsidRPr="00E31C0B" w:rsidRDefault="008277DD" w:rsidP="00B447DF">
      <w:pPr>
        <w:pStyle w:val="4"/>
        <w:rPr>
          <w:rFonts w:hAnsi="標楷體"/>
          <w:bCs/>
        </w:rPr>
      </w:pPr>
      <w:r w:rsidRPr="00E31C0B">
        <w:rPr>
          <w:rFonts w:hAnsi="標楷體" w:hint="eastAsia"/>
          <w:bCs/>
        </w:rPr>
        <w:t>111年5月4日修正公布毒品危害防制條例第12條</w:t>
      </w:r>
      <w:r w:rsidR="00AD6607" w:rsidRPr="00E31C0B">
        <w:rPr>
          <w:rFonts w:hAnsi="標楷體" w:hint="eastAsia"/>
          <w:bCs/>
        </w:rPr>
        <w:t>，增</w:t>
      </w:r>
      <w:r w:rsidRPr="00E31C0B">
        <w:rPr>
          <w:rFonts w:hAnsi="標楷體" w:hint="eastAsia"/>
          <w:bCs/>
        </w:rPr>
        <w:t>訂第3項：「因供自己施用而犯前項之罪，且情節輕微者，處1年以上7年以下有期徒刑，得併科1百萬元以下罰金。」</w:t>
      </w:r>
    </w:p>
    <w:p w14:paraId="08245097" w14:textId="77777777" w:rsidR="008277DD" w:rsidRPr="00E31C0B" w:rsidRDefault="008277DD" w:rsidP="00B447DF">
      <w:pPr>
        <w:pStyle w:val="4"/>
        <w:rPr>
          <w:rFonts w:hAnsi="標楷體"/>
          <w:bCs/>
          <w:szCs w:val="32"/>
        </w:rPr>
      </w:pPr>
      <w:r w:rsidRPr="00E31C0B">
        <w:rPr>
          <w:rFonts w:hAnsi="標楷體" w:hint="eastAsia"/>
          <w:bCs/>
          <w:szCs w:val="32"/>
        </w:rPr>
        <w:t>111年</w:t>
      </w:r>
      <w:r w:rsidRPr="00E31C0B">
        <w:rPr>
          <w:rFonts w:hAnsi="標楷體"/>
          <w:bCs/>
          <w:szCs w:val="32"/>
        </w:rPr>
        <w:t>6</w:t>
      </w:r>
      <w:r w:rsidRPr="00E31C0B">
        <w:rPr>
          <w:rFonts w:hAnsi="標楷體" w:hint="eastAsia"/>
          <w:bCs/>
          <w:szCs w:val="32"/>
        </w:rPr>
        <w:t>月2</w:t>
      </w:r>
      <w:r w:rsidRPr="00E31C0B">
        <w:rPr>
          <w:rFonts w:hAnsi="標楷體"/>
          <w:bCs/>
          <w:szCs w:val="32"/>
        </w:rPr>
        <w:t>2</w:t>
      </w:r>
      <w:r w:rsidRPr="00E31C0B">
        <w:rPr>
          <w:rFonts w:hAnsi="標楷體" w:hint="eastAsia"/>
          <w:bCs/>
          <w:szCs w:val="32"/>
        </w:rPr>
        <w:t>日</w:t>
      </w:r>
      <w:r w:rsidRPr="00E31C0B">
        <w:rPr>
          <w:rFonts w:hAnsi="標楷體" w:hint="eastAsia"/>
          <w:bCs/>
        </w:rPr>
        <w:t>最高法院110年度台上大字第446號刑事裁定：</w:t>
      </w:r>
    </w:p>
    <w:p w14:paraId="74346C1F" w14:textId="77777777" w:rsidR="008277DD" w:rsidRPr="00E31C0B" w:rsidRDefault="008277DD" w:rsidP="00B447DF">
      <w:pPr>
        <w:pStyle w:val="5"/>
        <w:rPr>
          <w:rFonts w:hAnsi="標楷體"/>
        </w:rPr>
      </w:pPr>
      <w:r w:rsidRPr="00E31C0B">
        <w:rPr>
          <w:rFonts w:hAnsi="標楷體" w:hint="eastAsia"/>
        </w:rPr>
        <w:t>本則裁定係最高法院刑事第八庭就法院對於犯毒品危害防制條例第12條第2項之罪而情節輕微之個案被告，在司法院釋字第790號解釋諭知之1年限期修法期間內，得否依該號解釋意旨減輕其刑？經評議後擬採之法律見解與最高法院先前裁判歧異，且所涉法律見解具有原則性，經徵詢其他各庭意見後，見解仍有歧異，爰依法提案予刑事大法庭裁判。下列法律問題，該庭就受理案件經評議後，認擬採為裁判基礎之法律見解，具有原則重要性，爰提案予刑事大法庭裁判。本案提案之法律問題法院對於犯毒品危害防制條例第12條第2項之罪而情節輕微之個案被告，在109年3月20日司法院釋字第790號解釋諭知之1年限期修法期間內，得否依該號解釋意旨減輕其刑？</w:t>
      </w:r>
    </w:p>
    <w:p w14:paraId="1A24D51A" w14:textId="77777777" w:rsidR="008277DD" w:rsidRPr="00E31C0B" w:rsidRDefault="008277DD" w:rsidP="00B447DF">
      <w:pPr>
        <w:pStyle w:val="5"/>
        <w:rPr>
          <w:rFonts w:hAnsi="標楷體"/>
        </w:rPr>
      </w:pPr>
      <w:r w:rsidRPr="00E31C0B">
        <w:rPr>
          <w:rFonts w:hAnsi="標楷體" w:hint="eastAsia"/>
        </w:rPr>
        <w:t>本案基礎事實：上訴人即被告隋智翔、謝凱倫、謝厚浩共同犯意圖供製造毒品之用而栽種大麻罪，原審認其等犯罪情節輕微，於109年4月16日判決依司法院釋字第790號解釋意旨減輕其刑。檢察官以原判決未待該號解釋諭知之1年限期修法期間（即自109年3月20日解釋公布之日起1年內）屆至，逕依該號解釋意旨減輕其刑，違反權力分立原則，有適用法則不當之違法</w:t>
      </w:r>
      <w:r w:rsidRPr="00E31C0B">
        <w:rPr>
          <w:rFonts w:hAnsi="標楷體" w:hint="eastAsia"/>
        </w:rPr>
        <w:lastRenderedPageBreak/>
        <w:t>為由，提起上訴。最高法院先前裁判所持之見解已有歧異，且所涉法律見解具有原則性，而提出徵詢：</w:t>
      </w:r>
    </w:p>
    <w:p w14:paraId="12101965" w14:textId="33C4A2E8" w:rsidR="008277DD" w:rsidRPr="00E31C0B" w:rsidRDefault="008277DD" w:rsidP="00B447DF">
      <w:pPr>
        <w:pStyle w:val="6"/>
        <w:rPr>
          <w:rFonts w:hAnsi="標楷體"/>
          <w:bCs/>
        </w:rPr>
      </w:pPr>
      <w:r w:rsidRPr="00E31C0B">
        <w:rPr>
          <w:rFonts w:hAnsi="標楷體" w:hint="eastAsia"/>
          <w:bCs/>
        </w:rPr>
        <w:t>甲說</w:t>
      </w:r>
      <w:r w:rsidR="00154E63" w:rsidRPr="00E31C0B">
        <w:rPr>
          <w:rFonts w:hAnsi="標楷體" w:hint="eastAsia"/>
          <w:bCs/>
        </w:rPr>
        <w:t>（以下簡稱：甲說）</w:t>
      </w:r>
      <w:r w:rsidRPr="00E31C0B">
        <w:rPr>
          <w:rFonts w:hAnsi="標楷體" w:hint="eastAsia"/>
          <w:bCs/>
        </w:rPr>
        <w:t>：法院得參酌司法院釋字第790號解釋之精神，依該號解釋意旨減輕其刑（109年度台上字第5460號判決）。</w:t>
      </w:r>
    </w:p>
    <w:p w14:paraId="0EAAEE18" w14:textId="4B7121C2" w:rsidR="008277DD" w:rsidRPr="00E31C0B" w:rsidRDefault="008277DD" w:rsidP="00B447DF">
      <w:pPr>
        <w:pStyle w:val="6"/>
        <w:rPr>
          <w:rFonts w:hAnsi="標楷體"/>
          <w:bCs/>
        </w:rPr>
      </w:pPr>
      <w:r w:rsidRPr="00E31C0B">
        <w:rPr>
          <w:rFonts w:hAnsi="標楷體" w:hint="eastAsia"/>
          <w:bCs/>
        </w:rPr>
        <w:t>乙說</w:t>
      </w:r>
      <w:r w:rsidR="00154E63" w:rsidRPr="00E31C0B">
        <w:rPr>
          <w:rFonts w:hAnsi="標楷體" w:hint="eastAsia"/>
          <w:bCs/>
        </w:rPr>
        <w:t>（以下簡稱：乙說）</w:t>
      </w:r>
      <w:r w:rsidRPr="00E31C0B">
        <w:rPr>
          <w:rFonts w:hAnsi="標楷體" w:hint="eastAsia"/>
          <w:bCs/>
        </w:rPr>
        <w:t>：法院應將個案之審判程序延至新法修正公布</w:t>
      </w:r>
      <w:r w:rsidR="00D02CC6" w:rsidRPr="00E31C0B">
        <w:rPr>
          <w:rFonts w:hAnsi="標楷體" w:hint="eastAsia"/>
          <w:bCs/>
        </w:rPr>
        <w:t>後，或</w:t>
      </w:r>
      <w:r w:rsidRPr="00E31C0B">
        <w:rPr>
          <w:rFonts w:hAnsi="標楷體" w:hint="eastAsia"/>
          <w:bCs/>
        </w:rPr>
        <w:t>司法院釋字第790號解釋公布之日起1年後始予以終結，俾得適用有利於行為人之法律或依上開解釋意旨減輕其刑（109年度台上字第1525號、第5177號等判決）。</w:t>
      </w:r>
    </w:p>
    <w:p w14:paraId="4E7CBD40" w14:textId="77777777" w:rsidR="008277DD" w:rsidRPr="00E31C0B" w:rsidRDefault="008277DD" w:rsidP="00B447DF">
      <w:pPr>
        <w:pStyle w:val="5"/>
        <w:rPr>
          <w:rFonts w:hAnsi="標楷體"/>
        </w:rPr>
      </w:pPr>
      <w:r w:rsidRPr="00E31C0B">
        <w:rPr>
          <w:rFonts w:hAnsi="標楷體" w:hint="eastAsia"/>
        </w:rPr>
        <w:t>採乙說見解，理由如下：</w:t>
      </w:r>
    </w:p>
    <w:p w14:paraId="22751260" w14:textId="77777777" w:rsidR="008277DD" w:rsidRPr="00E31C0B" w:rsidRDefault="008277DD" w:rsidP="00B447DF">
      <w:pPr>
        <w:pStyle w:val="6"/>
        <w:rPr>
          <w:rFonts w:hAnsi="標楷體"/>
          <w:bCs/>
        </w:rPr>
      </w:pPr>
      <w:r w:rsidRPr="00E31C0B">
        <w:rPr>
          <w:rFonts w:hAnsi="標楷體" w:hint="eastAsia"/>
          <w:bCs/>
        </w:rPr>
        <w:t>司法院解釋憲法，並有統一解釋法律及命令之權。其所為之解釋，有拘束全國各機關（包括法院）及人民之效力。各機關處理有關事項，應依解釋意旨為之。已繫屬於各級法院尚未確定之案件，法院應依解釋意旨為裁判。</w:t>
      </w:r>
    </w:p>
    <w:p w14:paraId="004EA35A" w14:textId="77777777" w:rsidR="008277DD" w:rsidRPr="00E31C0B" w:rsidRDefault="008277DD" w:rsidP="00B447DF">
      <w:pPr>
        <w:pStyle w:val="6"/>
        <w:rPr>
          <w:rFonts w:hAnsi="標楷體"/>
          <w:bCs/>
        </w:rPr>
      </w:pPr>
      <w:r w:rsidRPr="00E31C0B">
        <w:rPr>
          <w:rFonts w:hAnsi="標楷體" w:hint="eastAsia"/>
          <w:bCs/>
        </w:rPr>
        <w:t>司法院釋字第790號解釋並未宣告毒品危害防制條例第12條第2項之構成要件違憲，只是認為上開規定對犯該罪而情節輕微者，未併為得減輕其刑或另為適當刑度之規定，對違法情節輕微、顯可憫恕之個案，罪責與處罰不相當，刑罰過苛而違憲。該號解釋明確諭知：「相關機關應自本解釋公布之日起1年內，依本解釋意旨修正之；逾期未修正，其情節輕微者，法院得依本解釋意旨減輕法定刑至二分之一。」係採定期修法，逾期未修，情節輕微個案，得減輕其刑之宣告方式。此</w:t>
      </w:r>
      <w:r w:rsidRPr="00E31C0B">
        <w:rPr>
          <w:rFonts w:hAnsi="標楷體" w:hint="eastAsia"/>
          <w:bCs/>
        </w:rPr>
        <w:lastRenderedPageBreak/>
        <w:t>定期修法之宣告方式，係為尊重立法形成自由，亦係大法官為避免造成法律真空狀態，權衡法安定性與法正確性的決定。至指示法院於逾期未修法時，得依解釋意旨減輕法定刑至二分之一，則係大法官為即時保障人身自由權，基於解釋憲法及對規範進行合憲性控制的職權，扮演「積極立法者」之角色，自行造法提出定期修法期限過後至立法完成前之過渡規範，以大法官所決定的合憲秩序直接替代立法缺漏（學者稱此積極立法的類型為「剛性替代立法者」）。此一模式，定期修法已尊重立法者優先立法的權限，且待立法完成即不必再適用過渡規範，大法官並未終局地取代立法者，只是在立法者放棄機會不作為時暫時遞補，並未真正侵奪立法權，符合權力分立原則的要求。</w:t>
      </w:r>
    </w:p>
    <w:p w14:paraId="63DD6931" w14:textId="77777777" w:rsidR="008277DD" w:rsidRPr="00E31C0B" w:rsidRDefault="008277DD" w:rsidP="00B447DF">
      <w:pPr>
        <w:pStyle w:val="6"/>
        <w:rPr>
          <w:rFonts w:hAnsi="標楷體"/>
          <w:bCs/>
        </w:rPr>
      </w:pPr>
      <w:r w:rsidRPr="00E31C0B">
        <w:rPr>
          <w:rFonts w:hAnsi="標楷體" w:hint="eastAsia"/>
          <w:bCs/>
        </w:rPr>
        <w:t>大法官斟酌立法缺漏對基本權利實現的影響程度及急迫性、所涉事物領域及相關憲法規範課予何項憲法要求等因素，決定過渡規範之內涵及何時適用，全國各機關（包括法院）應受其拘束。且此項裁量職權之行使專屬大法官，其他法官既無該項造法權限，自應避免取代立法者的地位，逾越權力分立的界限，不顧大法官決定之過渡規範適用時期，予以提前適用。</w:t>
      </w:r>
    </w:p>
    <w:p w14:paraId="4019712B" w14:textId="77777777" w:rsidR="008277DD" w:rsidRPr="00E31C0B" w:rsidRDefault="008277DD" w:rsidP="00B447DF">
      <w:pPr>
        <w:pStyle w:val="6"/>
        <w:rPr>
          <w:rFonts w:hAnsi="標楷體"/>
          <w:bCs/>
        </w:rPr>
      </w:pPr>
      <w:r w:rsidRPr="00E31C0B">
        <w:rPr>
          <w:rFonts w:hAnsi="標楷體" w:hint="eastAsia"/>
          <w:bCs/>
        </w:rPr>
        <w:t>因此，法院於司法院釋字第790號解釋諭知之1年限期修法期間內，應依解釋意旨審酌個案被告是否情節輕微，將情節輕微之個案審判程序延至該號解釋公布之日（109年3月20日）起1年後始予以終結，俾得適用該號解釋</w:t>
      </w:r>
      <w:r w:rsidRPr="00E31C0B">
        <w:rPr>
          <w:rFonts w:hAnsi="標楷體" w:hint="eastAsia"/>
          <w:bCs/>
        </w:rPr>
        <w:lastRenderedPageBreak/>
        <w:t>意旨減輕其刑。尚不得於1年限期修法期間內，即依該號解釋意旨對情節輕微之個案被告減輕其刑。</w:t>
      </w:r>
    </w:p>
    <w:p w14:paraId="2B1743DB" w14:textId="11D3A261" w:rsidR="008277DD" w:rsidRPr="00E31C0B" w:rsidRDefault="008277DD" w:rsidP="00B447DF">
      <w:pPr>
        <w:pStyle w:val="4"/>
        <w:rPr>
          <w:rFonts w:hAnsi="標楷體"/>
          <w:bCs/>
        </w:rPr>
      </w:pPr>
      <w:r w:rsidRPr="00E31C0B">
        <w:rPr>
          <w:rFonts w:hAnsi="標楷體" w:hint="eastAsia"/>
          <w:bCs/>
          <w:szCs w:val="32"/>
        </w:rPr>
        <w:t>111年6月22日最高法院110年台上字第446號刑事判決（類同個案）</w:t>
      </w:r>
      <w:r w:rsidR="00A46D2E" w:rsidRPr="00E31C0B">
        <w:rPr>
          <w:rFonts w:hAnsi="標楷體" w:hint="eastAsia"/>
          <w:bCs/>
          <w:szCs w:val="32"/>
        </w:rPr>
        <w:t>要旨</w:t>
      </w:r>
      <w:r w:rsidRPr="00E31C0B">
        <w:rPr>
          <w:rFonts w:hAnsi="標楷體" w:hint="eastAsia"/>
          <w:bCs/>
          <w:szCs w:val="32"/>
        </w:rPr>
        <w:t>：</w:t>
      </w:r>
      <w:r w:rsidRPr="00E31C0B">
        <w:rPr>
          <w:rFonts w:hAnsi="標楷體" w:hint="eastAsia"/>
          <w:bCs/>
        </w:rPr>
        <w:t>司法院釋字第790號解釋僅諭知限期修法期限過後至立法完成前之期間內，法院就尚未確定之情節輕微之非原因案件，得適用過渡規範，並未諭知於修法期限屆至前，亦有過渡規範之適用。再者，法院將類似案件之審判程序延至新法修正公布</w:t>
      </w:r>
      <w:r w:rsidR="00D02CC6" w:rsidRPr="00E31C0B">
        <w:rPr>
          <w:rFonts w:hAnsi="標楷體" w:hint="eastAsia"/>
          <w:bCs/>
        </w:rPr>
        <w:t>後，或</w:t>
      </w:r>
      <w:r w:rsidRPr="00E31C0B">
        <w:rPr>
          <w:rFonts w:hAnsi="標楷體" w:hint="eastAsia"/>
          <w:bCs/>
        </w:rPr>
        <w:t>司法院釋字第790號解釋公布之日起1年後，始予終結，較符合已於111年1月4日施行之憲法訴訟法第54條第1項規定之立法價值取向。況系爭規定於修法後，有可能較適用過渡規範，對被告更為有利。法院對於犯111年5月4日修正公布前毒品危害防制條例第12條第2項之罪，而情節輕微之被告，於司法院釋字第790號解釋諭知之1年限期修法期間內，不得依該號解釋意旨減輕其刑。</w:t>
      </w:r>
    </w:p>
    <w:p w14:paraId="3FDE5F97" w14:textId="21C368F4" w:rsidR="008277DD" w:rsidRPr="00E31C0B" w:rsidRDefault="00A13003" w:rsidP="00B447DF">
      <w:pPr>
        <w:pStyle w:val="3"/>
        <w:rPr>
          <w:rFonts w:hAnsi="標楷體"/>
        </w:rPr>
      </w:pPr>
      <w:r w:rsidRPr="00E31C0B">
        <w:rPr>
          <w:rFonts w:hAnsi="標楷體" w:hint="eastAsia"/>
        </w:rPr>
        <w:t>本件系爭案件</w:t>
      </w:r>
      <w:r w:rsidR="008277DD" w:rsidRPr="00E31C0B">
        <w:rPr>
          <w:rFonts w:hAnsi="標楷體" w:hint="eastAsia"/>
        </w:rPr>
        <w:t>爭議所在</w:t>
      </w:r>
      <w:r w:rsidR="00D22F3A" w:rsidRPr="00E31C0B">
        <w:rPr>
          <w:rFonts w:hAnsi="標楷體" w:hint="eastAsia"/>
        </w:rPr>
        <w:t>，</w:t>
      </w:r>
      <w:r w:rsidR="007E313B" w:rsidRPr="00E31C0B">
        <w:rPr>
          <w:rFonts w:hAnsi="標楷體" w:hint="eastAsia"/>
        </w:rPr>
        <w:t>即</w:t>
      </w:r>
      <w:r w:rsidR="008277DD" w:rsidRPr="00E31C0B">
        <w:rPr>
          <w:rFonts w:hAnsi="標楷體" w:hint="eastAsia"/>
        </w:rPr>
        <w:t>109年3月20日司法院釋字第790號</w:t>
      </w:r>
      <w:r w:rsidR="00D22F3A" w:rsidRPr="00E31C0B">
        <w:rPr>
          <w:rFonts w:hAnsi="標楷體" w:hint="eastAsia"/>
        </w:rPr>
        <w:t>解釋公布之日起1年內，</w:t>
      </w:r>
      <w:r w:rsidR="008277DD" w:rsidRPr="00E31C0B">
        <w:rPr>
          <w:rFonts w:hAnsi="標楷體" w:hint="eastAsia"/>
        </w:rPr>
        <w:t>各級法院在審理</w:t>
      </w:r>
      <w:r w:rsidR="008B6FF7" w:rsidRPr="00E31C0B">
        <w:rPr>
          <w:rFonts w:hAnsi="標楷體" w:hint="eastAsia"/>
        </w:rPr>
        <w:t>未修正</w:t>
      </w:r>
      <w:r w:rsidR="008277DD" w:rsidRPr="00E31C0B">
        <w:rPr>
          <w:rFonts w:hAnsi="標楷體" w:hint="eastAsia"/>
        </w:rPr>
        <w:t>系爭規定之罪</w:t>
      </w:r>
      <w:r w:rsidR="008B6FF7" w:rsidRPr="00E31C0B">
        <w:rPr>
          <w:rFonts w:hAnsi="標楷體" w:hint="eastAsia"/>
        </w:rPr>
        <w:t>時，</w:t>
      </w:r>
      <w:r w:rsidR="00614C83" w:rsidRPr="00E31C0B">
        <w:rPr>
          <w:rFonts w:hAnsi="標楷體" w:hint="eastAsia"/>
        </w:rPr>
        <w:t>產生歧異</w:t>
      </w:r>
      <w:r w:rsidR="008277DD" w:rsidRPr="00E31C0B">
        <w:rPr>
          <w:rFonts w:hAnsi="標楷體" w:hint="eastAsia"/>
        </w:rPr>
        <w:t>之</w:t>
      </w:r>
      <w:r w:rsidR="008277DD" w:rsidRPr="00E31C0B">
        <w:rPr>
          <w:rFonts w:hAnsi="標楷體" w:hint="eastAsia"/>
          <w:szCs w:val="32"/>
        </w:rPr>
        <w:t>適法性問題</w:t>
      </w:r>
      <w:r w:rsidR="007E313B" w:rsidRPr="00E31C0B">
        <w:rPr>
          <w:rFonts w:hAnsi="標楷體" w:hint="eastAsia"/>
          <w:szCs w:val="32"/>
        </w:rPr>
        <w:t>，在審理上可能有以下之類型：</w:t>
      </w:r>
    </w:p>
    <w:p w14:paraId="5105FE25" w14:textId="51C4DC47" w:rsidR="008277DD" w:rsidRPr="00E31C0B" w:rsidRDefault="008277DD" w:rsidP="00B447DF">
      <w:pPr>
        <w:pStyle w:val="4"/>
        <w:rPr>
          <w:rFonts w:hAnsi="標楷體"/>
          <w:bCs/>
        </w:rPr>
      </w:pPr>
      <w:r w:rsidRPr="00E31C0B">
        <w:rPr>
          <w:rFonts w:hAnsi="標楷體" w:hint="eastAsia"/>
          <w:bCs/>
        </w:rPr>
        <w:t>類型1，如</w:t>
      </w:r>
      <w:r w:rsidR="00A46D2E" w:rsidRPr="00E31C0B">
        <w:rPr>
          <w:rFonts w:hAnsi="標楷體" w:hint="eastAsia"/>
          <w:bCs/>
        </w:rPr>
        <w:t>本件</w:t>
      </w:r>
      <w:r w:rsidR="00A13003" w:rsidRPr="00E31C0B">
        <w:rPr>
          <w:rFonts w:hAnsi="標楷體" w:hint="eastAsia"/>
          <w:bCs/>
        </w:rPr>
        <w:t>系爭案件</w:t>
      </w:r>
      <w:r w:rsidR="00EC0DD8" w:rsidRPr="00E31C0B">
        <w:rPr>
          <w:rFonts w:hAnsi="標楷體" w:hint="eastAsia"/>
          <w:bCs/>
        </w:rPr>
        <w:t>，</w:t>
      </w:r>
      <w:r w:rsidR="008B6FF7" w:rsidRPr="00E31C0B">
        <w:rPr>
          <w:rFonts w:hAnsi="標楷體" w:hint="eastAsia"/>
          <w:bCs/>
        </w:rPr>
        <w:t>仍</w:t>
      </w:r>
      <w:r w:rsidR="00EC0DD8" w:rsidRPr="00E31C0B">
        <w:rPr>
          <w:rFonts w:hAnsi="標楷體" w:hint="eastAsia"/>
          <w:bCs/>
        </w:rPr>
        <w:t>適用尚未修正</w:t>
      </w:r>
      <w:r w:rsidR="00AD6607" w:rsidRPr="00E31C0B">
        <w:rPr>
          <w:rFonts w:hAnsi="標楷體" w:hint="eastAsia"/>
          <w:bCs/>
        </w:rPr>
        <w:t>之系爭規定</w:t>
      </w:r>
      <w:r w:rsidRPr="00E31C0B">
        <w:rPr>
          <w:rFonts w:hAnsi="標楷體" w:hint="eastAsia"/>
          <w:bCs/>
        </w:rPr>
        <w:t>，</w:t>
      </w:r>
      <w:r w:rsidR="008B6FF7" w:rsidRPr="00E31C0B">
        <w:rPr>
          <w:rFonts w:hAnsi="標楷體" w:hint="eastAsia"/>
          <w:bCs/>
        </w:rPr>
        <w:t>即</w:t>
      </w:r>
      <w:r w:rsidRPr="00E31C0B">
        <w:rPr>
          <w:rFonts w:hAnsi="標楷體" w:hint="eastAsia"/>
          <w:bCs/>
        </w:rPr>
        <w:t>最高法院（</w:t>
      </w:r>
      <w:r w:rsidRPr="00E31C0B">
        <w:rPr>
          <w:rFonts w:hAnsi="標楷體" w:hint="eastAsia"/>
          <w:bCs/>
          <w:szCs w:val="32"/>
        </w:rPr>
        <w:t>109年4月16日</w:t>
      </w:r>
      <w:r w:rsidRPr="00E31C0B">
        <w:rPr>
          <w:rFonts w:hAnsi="標楷體" w:hint="eastAsia"/>
          <w:bCs/>
        </w:rPr>
        <w:t>）</w:t>
      </w:r>
      <w:r w:rsidR="003158A0" w:rsidRPr="00E31C0B">
        <w:rPr>
          <w:rFonts w:hAnsi="標楷體" w:hint="eastAsia"/>
          <w:bCs/>
        </w:rPr>
        <w:t>認定臺灣高等法院原判決</w:t>
      </w:r>
      <w:r w:rsidRPr="00E31C0B">
        <w:rPr>
          <w:rFonts w:hAnsi="標楷體" w:hint="eastAsia"/>
          <w:bCs/>
        </w:rPr>
        <w:t>依其量刑職權之適法行使，已具體審酌上訴人違法情節輕微、顯可憫恕之程度，適用</w:t>
      </w:r>
      <w:hyperlink r:id="rId33" w:tgtFrame="_blank" w:history="1">
        <w:r w:rsidRPr="00E31C0B">
          <w:rPr>
            <w:rFonts w:hAnsi="標楷體" w:hint="eastAsia"/>
            <w:bCs/>
          </w:rPr>
          <w:t>刑法第59</w:t>
        </w:r>
      </w:hyperlink>
      <w:r w:rsidRPr="00E31C0B">
        <w:rPr>
          <w:rFonts w:hAnsi="標楷體" w:hint="eastAsia"/>
          <w:bCs/>
        </w:rPr>
        <w:t>條規定酌減其刑後，仍量處逾2年6月之有期徒刑，並說明其理由，尚與無從具體考量行為人所應負責任之輕微，宣告易科罰金或緩刑，致罪責與處罰不相當之情形有別，</w:t>
      </w:r>
      <w:r w:rsidR="007E313B" w:rsidRPr="00E31C0B">
        <w:rPr>
          <w:rFonts w:hAnsi="標楷體" w:hint="eastAsia"/>
          <w:bCs/>
        </w:rPr>
        <w:t>有無</w:t>
      </w:r>
      <w:r w:rsidRPr="00E31C0B">
        <w:rPr>
          <w:rFonts w:hAnsi="標楷體" w:hint="eastAsia"/>
          <w:bCs/>
        </w:rPr>
        <w:t>違背司</w:t>
      </w:r>
      <w:r w:rsidRPr="00E31C0B">
        <w:rPr>
          <w:rFonts w:hAnsi="標楷體" w:hint="eastAsia"/>
          <w:bCs/>
        </w:rPr>
        <w:lastRenderedPageBreak/>
        <w:t>法院釋字</w:t>
      </w:r>
      <w:r w:rsidR="00A46D2E" w:rsidRPr="00E31C0B">
        <w:rPr>
          <w:rFonts w:hAnsi="標楷體" w:hint="eastAsia"/>
          <w:bCs/>
        </w:rPr>
        <w:t>第790號解釋意旨。</w:t>
      </w:r>
    </w:p>
    <w:p w14:paraId="6DF3A68F" w14:textId="53BEFC1A" w:rsidR="008277DD" w:rsidRPr="00E31C0B" w:rsidRDefault="008277DD" w:rsidP="00B447DF">
      <w:pPr>
        <w:pStyle w:val="4"/>
        <w:rPr>
          <w:rFonts w:hAnsi="標楷體"/>
          <w:bCs/>
        </w:rPr>
      </w:pPr>
      <w:r w:rsidRPr="00E31C0B">
        <w:rPr>
          <w:rFonts w:hAnsi="標楷體" w:hint="eastAsia"/>
          <w:bCs/>
        </w:rPr>
        <w:t>類型</w:t>
      </w:r>
      <w:r w:rsidRPr="00E31C0B">
        <w:rPr>
          <w:rFonts w:hAnsi="標楷體"/>
          <w:bCs/>
        </w:rPr>
        <w:t>2</w:t>
      </w:r>
      <w:r w:rsidRPr="00E31C0B">
        <w:rPr>
          <w:rFonts w:hAnsi="標楷體" w:hint="eastAsia"/>
          <w:bCs/>
        </w:rPr>
        <w:t>，採</w:t>
      </w:r>
      <w:r w:rsidR="008B6FF7" w:rsidRPr="00E31C0B">
        <w:rPr>
          <w:rFonts w:hAnsi="標楷體" w:hint="eastAsia"/>
          <w:bCs/>
        </w:rPr>
        <w:t>最高法院110年度台上大字第446號刑事裁定</w:t>
      </w:r>
      <w:r w:rsidRPr="00E31C0B">
        <w:rPr>
          <w:rFonts w:hAnsi="標楷體" w:hint="eastAsia"/>
          <w:bCs/>
        </w:rPr>
        <w:t>甲說見解，法院參酌司法院釋字第790號解釋之精神，依該號解釋意旨減輕其刑，於台上大字第446號刑事裁定後，可否據以提起非常上訴（效力不及當事人），造成司法資源耗費。</w:t>
      </w:r>
    </w:p>
    <w:p w14:paraId="3749A2FA" w14:textId="77777777" w:rsidR="008277DD" w:rsidRPr="00E31C0B" w:rsidRDefault="008277DD" w:rsidP="00B447DF">
      <w:pPr>
        <w:pStyle w:val="4"/>
        <w:rPr>
          <w:rFonts w:hAnsi="標楷體"/>
          <w:bCs/>
        </w:rPr>
      </w:pPr>
      <w:r w:rsidRPr="00E31C0B">
        <w:rPr>
          <w:rFonts w:hAnsi="標楷體" w:hint="eastAsia"/>
          <w:bCs/>
        </w:rPr>
        <w:t>類型</w:t>
      </w:r>
      <w:r w:rsidRPr="00E31C0B">
        <w:rPr>
          <w:rFonts w:hAnsi="標楷體"/>
          <w:bCs/>
        </w:rPr>
        <w:t>3</w:t>
      </w:r>
      <w:r w:rsidRPr="00E31C0B">
        <w:rPr>
          <w:rFonts w:hAnsi="標楷體" w:hint="eastAsia"/>
          <w:bCs/>
        </w:rPr>
        <w:t>，法院未參酌司法院釋字第790號解釋之精神，依該號解釋意旨減輕其刑，亦未適用</w:t>
      </w:r>
      <w:hyperlink r:id="rId34" w:tgtFrame="_blank" w:history="1">
        <w:r w:rsidRPr="00E31C0B">
          <w:rPr>
            <w:rFonts w:hAnsi="標楷體" w:hint="eastAsia"/>
            <w:bCs/>
          </w:rPr>
          <w:t>刑法第59</w:t>
        </w:r>
      </w:hyperlink>
      <w:r w:rsidRPr="00E31C0B">
        <w:rPr>
          <w:rFonts w:hAnsi="標楷體" w:hint="eastAsia"/>
          <w:bCs/>
        </w:rPr>
        <w:t>條規定酌減其刑後，逕為判決。</w:t>
      </w:r>
    </w:p>
    <w:p w14:paraId="7ECC3FC1" w14:textId="66C32619" w:rsidR="008277DD" w:rsidRPr="00E31C0B" w:rsidRDefault="00A82640" w:rsidP="00B447DF">
      <w:pPr>
        <w:pStyle w:val="3"/>
        <w:rPr>
          <w:rFonts w:hAnsi="標楷體"/>
        </w:rPr>
      </w:pPr>
      <w:r w:rsidRPr="00E31C0B">
        <w:rPr>
          <w:rFonts w:hAnsi="標楷體" w:hint="eastAsia"/>
        </w:rPr>
        <w:t>承上，本院</w:t>
      </w:r>
      <w:r w:rsidR="008277DD" w:rsidRPr="00E31C0B">
        <w:rPr>
          <w:rFonts w:hAnsi="標楷體" w:hint="eastAsia"/>
        </w:rPr>
        <w:t>於1</w:t>
      </w:r>
      <w:r w:rsidR="008277DD" w:rsidRPr="00E31C0B">
        <w:rPr>
          <w:rFonts w:hAnsi="標楷體"/>
        </w:rPr>
        <w:t>14</w:t>
      </w:r>
      <w:r w:rsidR="008277DD" w:rsidRPr="00E31C0B">
        <w:rPr>
          <w:rFonts w:hAnsi="標楷體" w:hint="eastAsia"/>
        </w:rPr>
        <w:t>年9月15日諮詢專家學者</w:t>
      </w:r>
      <w:r w:rsidR="003158A0" w:rsidRPr="00E31C0B">
        <w:rPr>
          <w:rFonts w:hAnsi="標楷體" w:hint="eastAsia"/>
        </w:rPr>
        <w:t>國立中正</w:t>
      </w:r>
      <w:r w:rsidR="00EF5823" w:rsidRPr="00E31C0B">
        <w:rPr>
          <w:rFonts w:hAnsi="標楷體" w:hint="eastAsia"/>
        </w:rPr>
        <w:t>大學法律學系</w:t>
      </w:r>
      <w:r w:rsidR="005B1E60" w:rsidRPr="00E31C0B">
        <w:rPr>
          <w:rFonts w:hAnsi="標楷體" w:hint="eastAsia"/>
        </w:rPr>
        <w:t>吳○華</w:t>
      </w:r>
      <w:r w:rsidR="008277DD" w:rsidRPr="00E31C0B">
        <w:rPr>
          <w:rFonts w:hAnsi="標楷體" w:hint="eastAsia"/>
        </w:rPr>
        <w:t>教授</w:t>
      </w:r>
      <w:r w:rsidR="00EF5823" w:rsidRPr="00E31C0B">
        <w:rPr>
          <w:rStyle w:val="aff8"/>
          <w:rFonts w:hAnsi="標楷體"/>
        </w:rPr>
        <w:footnoteReference w:id="2"/>
      </w:r>
      <w:r w:rsidR="008277DD" w:rsidRPr="00E31C0B">
        <w:rPr>
          <w:rFonts w:hAnsi="標楷體" w:hint="eastAsia"/>
        </w:rPr>
        <w:t>及</w:t>
      </w:r>
      <w:r w:rsidR="005B1E60" w:rsidRPr="00E31C0B">
        <w:rPr>
          <w:rFonts w:hAnsi="標楷體" w:hint="eastAsia"/>
        </w:rPr>
        <w:t>錢○榮</w:t>
      </w:r>
      <w:r w:rsidR="008277DD" w:rsidRPr="00E31C0B">
        <w:rPr>
          <w:rFonts w:hAnsi="標楷體"/>
        </w:rPr>
        <w:t>律師</w:t>
      </w:r>
      <w:r w:rsidR="00B210E9" w:rsidRPr="00E31C0B">
        <w:rPr>
          <w:rStyle w:val="aff8"/>
          <w:rFonts w:hAnsi="標楷體"/>
        </w:rPr>
        <w:footnoteReference w:id="3"/>
      </w:r>
      <w:r w:rsidR="008277DD" w:rsidRPr="00E31C0B">
        <w:rPr>
          <w:rFonts w:hAnsi="標楷體" w:hint="eastAsia"/>
        </w:rPr>
        <w:t>，摘錄如下：</w:t>
      </w:r>
    </w:p>
    <w:p w14:paraId="70C5EB7B" w14:textId="1BF86A8B" w:rsidR="008277DD" w:rsidRPr="00E31C0B" w:rsidRDefault="005B1E60" w:rsidP="00B447DF">
      <w:pPr>
        <w:pStyle w:val="4"/>
        <w:rPr>
          <w:rFonts w:hAnsi="標楷體"/>
          <w:bCs/>
        </w:rPr>
      </w:pPr>
      <w:r w:rsidRPr="00E31C0B">
        <w:rPr>
          <w:rFonts w:hAnsi="標楷體" w:hint="eastAsia"/>
          <w:bCs/>
        </w:rPr>
        <w:t>吳○華</w:t>
      </w:r>
      <w:r w:rsidR="008277DD" w:rsidRPr="00E31C0B">
        <w:rPr>
          <w:rFonts w:hAnsi="標楷體" w:hint="eastAsia"/>
          <w:bCs/>
        </w:rPr>
        <w:t>教授意見：</w:t>
      </w:r>
    </w:p>
    <w:p w14:paraId="73E7CE2F" w14:textId="60A55633" w:rsidR="008277DD" w:rsidRPr="00E31C0B" w:rsidRDefault="008277DD" w:rsidP="00B447DF">
      <w:pPr>
        <w:pStyle w:val="5"/>
        <w:rPr>
          <w:rFonts w:hAnsi="標楷體"/>
        </w:rPr>
      </w:pPr>
      <w:r w:rsidRPr="00E31C0B">
        <w:rPr>
          <w:rFonts w:hAnsi="標楷體" w:hint="eastAsia"/>
        </w:rPr>
        <w:t>本案有2主要爭點如下：</w:t>
      </w:r>
    </w:p>
    <w:p w14:paraId="1EDDCEB2" w14:textId="0D052149" w:rsidR="008277DD" w:rsidRPr="00E31C0B" w:rsidRDefault="008277DD" w:rsidP="00B447DF">
      <w:pPr>
        <w:pStyle w:val="6"/>
        <w:rPr>
          <w:rFonts w:hAnsi="標楷體"/>
          <w:bCs/>
        </w:rPr>
      </w:pPr>
      <w:r w:rsidRPr="00E31C0B">
        <w:rPr>
          <w:rFonts w:hAnsi="標楷體" w:hint="eastAsia"/>
          <w:bCs/>
        </w:rPr>
        <w:t>爭點</w:t>
      </w:r>
      <w:r w:rsidR="00EE63C7" w:rsidRPr="00E31C0B">
        <w:rPr>
          <w:rFonts w:hAnsi="標楷體" w:hint="eastAsia"/>
          <w:bCs/>
        </w:rPr>
        <w:t>1：</w:t>
      </w:r>
      <w:r w:rsidRPr="00E31C0B">
        <w:rPr>
          <w:rFonts w:hAnsi="標楷體" w:hint="eastAsia"/>
          <w:bCs/>
        </w:rPr>
        <w:t>於修法期限屆滿前，各法院審理案件應如何處理？</w:t>
      </w:r>
    </w:p>
    <w:p w14:paraId="3E4F529D" w14:textId="77777777" w:rsidR="008277DD" w:rsidRPr="00E31C0B" w:rsidRDefault="008277DD" w:rsidP="00B447DF">
      <w:pPr>
        <w:pStyle w:val="6"/>
        <w:rPr>
          <w:rFonts w:hAnsi="標楷體"/>
          <w:bCs/>
        </w:rPr>
      </w:pPr>
      <w:r w:rsidRPr="00E31C0B">
        <w:rPr>
          <w:rFonts w:hAnsi="標楷體" w:hint="eastAsia"/>
          <w:bCs/>
        </w:rPr>
        <w:t>爭點2：該號解釋所指示法院得適用過渡規範之時期，是否拘束各法院？法官於期限屆至前，提前適用過渡規範，有無逾越法官填補法律漏洞或解釋適用法律的界限？</w:t>
      </w:r>
    </w:p>
    <w:p w14:paraId="0421239C" w14:textId="7810FD5A" w:rsidR="008277DD" w:rsidRPr="00E31C0B" w:rsidRDefault="008277DD" w:rsidP="00B447DF">
      <w:pPr>
        <w:pStyle w:val="5"/>
        <w:rPr>
          <w:rFonts w:hAnsi="標楷體"/>
        </w:rPr>
      </w:pPr>
      <w:r w:rsidRPr="00E31C0B">
        <w:rPr>
          <w:rFonts w:hAnsi="標楷體" w:hint="eastAsia"/>
        </w:rPr>
        <w:t>大法官解釋（或</w:t>
      </w:r>
      <w:r w:rsidR="003158A0" w:rsidRPr="00E31C0B">
        <w:rPr>
          <w:rFonts w:hAnsi="標楷體" w:hint="eastAsia"/>
        </w:rPr>
        <w:t>憲法法庭</w:t>
      </w:r>
      <w:r w:rsidRPr="00E31C0B">
        <w:rPr>
          <w:rFonts w:hAnsi="標楷體" w:hint="eastAsia"/>
        </w:rPr>
        <w:t>裁判）宣告法規範「違憲定期失效」，於該期限內，法院對審理中（尚未確定）之「類似案件」，就「個案」（如本案裁定）及所延伸「通案」（日後類此案例）之處理情狀問題；爭點2具體所涉及者即「於該期限屆至前，法院可否依法理、自為判斷而裁判（減輕）」，根本上即係大法官解釋（或</w:t>
      </w:r>
      <w:r w:rsidR="003158A0" w:rsidRPr="00E31C0B">
        <w:rPr>
          <w:rFonts w:hAnsi="標楷體" w:hint="eastAsia"/>
        </w:rPr>
        <w:t>憲法法</w:t>
      </w:r>
      <w:r w:rsidR="003158A0" w:rsidRPr="00E31C0B">
        <w:rPr>
          <w:rFonts w:hAnsi="標楷體" w:hint="eastAsia"/>
        </w:rPr>
        <w:lastRenderedPageBreak/>
        <w:t>庭</w:t>
      </w:r>
      <w:r w:rsidRPr="00E31C0B">
        <w:rPr>
          <w:rFonts w:hAnsi="標楷體" w:hint="eastAsia"/>
        </w:rPr>
        <w:t>裁判）之相關諭知、法院應受如何之拘束問題。又此「類似案件」於本意見書中即指有合於「情節輕微」之要件（而可減輕刑）者，以下亦不再特別指陳。就</w:t>
      </w:r>
      <w:r w:rsidR="007F1204" w:rsidRPr="00E31C0B">
        <w:rPr>
          <w:rFonts w:hAnsi="標楷體" w:hint="eastAsia"/>
        </w:rPr>
        <w:t>最高法院</w:t>
      </w:r>
      <w:r w:rsidRPr="00E31C0B">
        <w:rPr>
          <w:rFonts w:hAnsi="標楷體" w:hint="eastAsia"/>
        </w:rPr>
        <w:t>前述爭點，本案所涉及者，</w:t>
      </w:r>
      <w:r w:rsidR="00F80129" w:rsidRPr="00E31C0B">
        <w:rPr>
          <w:rFonts w:hAnsi="標楷體" w:hint="eastAsia"/>
        </w:rPr>
        <w:t>有如下二個基礎問題應予釐清</w:t>
      </w:r>
      <w:r w:rsidRPr="00E31C0B">
        <w:rPr>
          <w:rFonts w:hAnsi="標楷體"/>
        </w:rPr>
        <w:t>：</w:t>
      </w:r>
    </w:p>
    <w:p w14:paraId="065FD198" w14:textId="7A01DC03" w:rsidR="008277DD" w:rsidRPr="00E31C0B" w:rsidRDefault="008277DD" w:rsidP="00B447DF">
      <w:pPr>
        <w:pStyle w:val="6"/>
        <w:rPr>
          <w:rFonts w:hAnsi="標楷體"/>
          <w:bCs/>
        </w:rPr>
      </w:pPr>
      <w:r w:rsidRPr="00E31C0B">
        <w:rPr>
          <w:rFonts w:hAnsi="標楷體" w:hint="eastAsia"/>
          <w:bCs/>
        </w:rPr>
        <w:t>本案屬違憲「定期失效」抑或「立即失效」？本案首先的一個基礎問題即在於，大法官認系爭規定一違憲後即謂：「相關機關應自本解釋公布之日起</w:t>
      </w:r>
      <w:r w:rsidRPr="00E31C0B">
        <w:rPr>
          <w:rFonts w:hAnsi="標楷體"/>
          <w:bCs/>
        </w:rPr>
        <w:t>1</w:t>
      </w:r>
      <w:r w:rsidRPr="00E31C0B">
        <w:rPr>
          <w:rFonts w:hAnsi="標楷體" w:hint="eastAsia"/>
          <w:bCs/>
        </w:rPr>
        <w:t>年內，依本解釋意旨修正之……。」此解讀上究係法規範違憲「定期失效」、抑或是「立即失效」之宣告？蓋此二者對相關案件產生的後續效力並不相同。此爭議之緣由即在於，相對於大法官先前就「違憲定期失效」之宣告，會明確為「（系爭規定）應自本解釋公布之日起，至遲於屆滿</w:t>
      </w:r>
      <w:r w:rsidR="00B623B0" w:rsidRPr="00E31C0B">
        <w:rPr>
          <w:rFonts w:hAnsi="標楷體"/>
          <w:bCs/>
        </w:rPr>
        <w:t>○</w:t>
      </w:r>
      <w:r w:rsidRPr="00E31C0B">
        <w:rPr>
          <w:rFonts w:hAnsi="標楷體" w:hint="eastAsia"/>
          <w:bCs/>
        </w:rPr>
        <w:t>年時，失其效力。」的類似用語，然本號解釋之該段論述並非如是，反而偏向於對相關機關修法義務的課予；然若謂係「立即失效」，則似應有「自本解釋公布日起失其效力」之文字，前述用語亦非如是。就此尚不知大法官有無特別用意，但應非無心疏漏。此種宣告的文字雖非典型，惟非無前例，解讀上非無可能係「大法官為立即失效之用意，該</w:t>
      </w:r>
      <w:r w:rsidR="00EA544D" w:rsidRPr="00E31C0B">
        <w:rPr>
          <w:rFonts w:hAnsi="標楷體" w:hint="eastAsia"/>
          <w:bCs/>
        </w:rPr>
        <w:t>1年</w:t>
      </w:r>
      <w:r w:rsidRPr="00E31C0B">
        <w:rPr>
          <w:rFonts w:hAnsi="標楷體" w:hint="eastAsia"/>
          <w:bCs/>
        </w:rPr>
        <w:t>期限係予立法者之修法期限</w:t>
      </w:r>
      <w:r w:rsidR="006E7A15" w:rsidRPr="00E31C0B">
        <w:rPr>
          <w:rFonts w:hAnsi="標楷體" w:hint="eastAsia"/>
          <w:bCs/>
        </w:rPr>
        <w:t>。」</w:t>
      </w:r>
      <w:r w:rsidRPr="00E31C0B">
        <w:rPr>
          <w:rFonts w:hAnsi="標楷體" w:hint="eastAsia"/>
          <w:bCs/>
        </w:rPr>
        <w:t>然若係此種「立即失效」，其法律效果直接且強大，因之如大法官未直接為「自本解釋公布日起失其效力」之明確文字，則任意解讀屬此，即或有不精確之處；且大法官亦諭知有「</w:t>
      </w:r>
      <w:r w:rsidR="00EA544D" w:rsidRPr="00E31C0B">
        <w:rPr>
          <w:rFonts w:hAnsi="標楷體" w:hint="eastAsia"/>
          <w:bCs/>
        </w:rPr>
        <w:t>1年</w:t>
      </w:r>
      <w:r w:rsidRPr="00E31C0B">
        <w:rPr>
          <w:rFonts w:hAnsi="標楷體" w:hint="eastAsia"/>
          <w:bCs/>
        </w:rPr>
        <w:t>逾期未修正、法院應如何處理」的文字，即如係立即失效、法律自解釋公布日起不再適用</w:t>
      </w:r>
      <w:r w:rsidRPr="00E31C0B">
        <w:rPr>
          <w:rFonts w:hAnsi="標楷體" w:hint="eastAsia"/>
          <w:bCs/>
        </w:rPr>
        <w:lastRenderedPageBreak/>
        <w:t>，大法官應係為「『現時』法院應如何處理」之諭知，否則即有欠周延。因之於此應認為屬「違憲定期失效」的宣告。</w:t>
      </w:r>
    </w:p>
    <w:p w14:paraId="24F8775B" w14:textId="359B188D" w:rsidR="008277DD" w:rsidRPr="00E31C0B" w:rsidRDefault="008277DD" w:rsidP="00B447DF">
      <w:pPr>
        <w:pStyle w:val="6"/>
        <w:rPr>
          <w:rFonts w:hAnsi="標楷體"/>
          <w:bCs/>
        </w:rPr>
      </w:pPr>
      <w:r w:rsidRPr="00E31C0B">
        <w:rPr>
          <w:rFonts w:hAnsi="標楷體" w:hint="eastAsia"/>
          <w:bCs/>
        </w:rPr>
        <w:t>本案接續所涉之另一基礎問題即在於，大法官本號解釋所為「相關機關應自本解釋公布之日起</w:t>
      </w:r>
      <w:r w:rsidRPr="00E31C0B">
        <w:rPr>
          <w:rFonts w:hAnsi="標楷體"/>
          <w:bCs/>
        </w:rPr>
        <w:t>1</w:t>
      </w:r>
      <w:r w:rsidRPr="00E31C0B">
        <w:rPr>
          <w:rFonts w:hAnsi="標楷體" w:hint="eastAsia"/>
          <w:bCs/>
        </w:rPr>
        <w:t>年內，依本解釋意旨修正之；逾期未修正，其情節輕微者，法院得依本解釋意旨減輕其法定刑至二分之一。」之諭知，其意涵亦非無討論空間，而又應依何種方法為其意旨之考證探究？首先如對該諭知為文義上的解讀，其字句「逾期未修正，其情節輕微者，法院得依本解釋意旨減輕其法定刑至二分之一。」應尚屬明確，亦即以「逾期未修正」為其前提，法院審理類似案件方得依本解釋意旨為減輕，此於理解上應無疑義。而另於體系上觀察大法官近期相關解釋，如為「法規範違憲定期失效」併同「處理之諭知」者，其文字亦屬明確，或則僅單純「定一定期限」（而有關機關於期限內應為修正），或則明確諭知各機關於期限內（修法前）處理之方式。依此情狀判斷，大法官就本號解釋之該段諭知亦應屬有意為之，即其合理目的在於，立法院或可能於此</w:t>
      </w:r>
      <w:r w:rsidR="00EA544D" w:rsidRPr="00E31C0B">
        <w:rPr>
          <w:rFonts w:hAnsi="標楷體" w:hint="eastAsia"/>
          <w:bCs/>
        </w:rPr>
        <w:t>1年</w:t>
      </w:r>
      <w:r w:rsidRPr="00E31C0B">
        <w:rPr>
          <w:rFonts w:hAnsi="標楷體" w:hint="eastAsia"/>
          <w:bCs/>
        </w:rPr>
        <w:t>內為修法，如此則期限屆至前法院即可依新法為審理；而如期限屆至未有修法者，法院方再依解釋意旨為減輕。且儘管此種諭知之文字（在期限屆滿「後」之處理）似無前例，然確有必要，蓋如無此一諭知，則期限後（若亦無新法）法院就個案得否依刑法（第</w:t>
      </w:r>
      <w:r w:rsidRPr="00E31C0B">
        <w:rPr>
          <w:rFonts w:hAnsi="標楷體"/>
          <w:bCs/>
        </w:rPr>
        <w:t>59</w:t>
      </w:r>
      <w:r w:rsidRPr="00E31C0B">
        <w:rPr>
          <w:rFonts w:hAnsi="標楷體" w:hint="eastAsia"/>
          <w:bCs/>
        </w:rPr>
        <w:t>條）減輕後、再依本解釋之意旨為減輕，即恐生爭議了</w:t>
      </w:r>
      <w:r w:rsidRPr="00E31C0B">
        <w:rPr>
          <w:rFonts w:hAnsi="標楷體" w:hint="eastAsia"/>
          <w:bCs/>
        </w:rPr>
        <w:lastRenderedPageBreak/>
        <w:t>。而大法官另一考量或在於，本號解釋作成時憲法訴訟法已立法通過（</w:t>
      </w:r>
      <w:r w:rsidRPr="00E31C0B">
        <w:rPr>
          <w:rFonts w:hAnsi="標楷體"/>
          <w:bCs/>
        </w:rPr>
        <w:t>107</w:t>
      </w:r>
      <w:r w:rsidRPr="00E31C0B">
        <w:rPr>
          <w:rFonts w:hAnsi="標楷體" w:hint="eastAsia"/>
          <w:bCs/>
        </w:rPr>
        <w:t>年</w:t>
      </w:r>
      <w:r w:rsidRPr="00E31C0B">
        <w:rPr>
          <w:rFonts w:hAnsi="標楷體"/>
          <w:bCs/>
        </w:rPr>
        <w:t>12</w:t>
      </w:r>
      <w:r w:rsidRPr="00E31C0B">
        <w:rPr>
          <w:rFonts w:hAnsi="標楷體" w:hint="eastAsia"/>
          <w:bCs/>
        </w:rPr>
        <w:t>月</w:t>
      </w:r>
      <w:r w:rsidRPr="00E31C0B">
        <w:rPr>
          <w:rFonts w:hAnsi="標楷體"/>
          <w:bCs/>
        </w:rPr>
        <w:t>18</w:t>
      </w:r>
      <w:r w:rsidRPr="00E31C0B">
        <w:rPr>
          <w:rFonts w:hAnsi="標楷體" w:hint="eastAsia"/>
          <w:bCs/>
        </w:rPr>
        <w:t>日）且公布（</w:t>
      </w:r>
      <w:r w:rsidRPr="00E31C0B">
        <w:rPr>
          <w:rFonts w:hAnsi="標楷體"/>
          <w:bCs/>
        </w:rPr>
        <w:t>108</w:t>
      </w:r>
      <w:r w:rsidRPr="00E31C0B">
        <w:rPr>
          <w:rFonts w:hAnsi="標楷體" w:hint="eastAsia"/>
          <w:bCs/>
        </w:rPr>
        <w:t>年</w:t>
      </w:r>
      <w:r w:rsidRPr="00E31C0B">
        <w:rPr>
          <w:rFonts w:hAnsi="標楷體"/>
          <w:bCs/>
        </w:rPr>
        <w:t>1</w:t>
      </w:r>
      <w:r w:rsidRPr="00E31C0B">
        <w:rPr>
          <w:rFonts w:hAnsi="標楷體" w:hint="eastAsia"/>
          <w:bCs/>
        </w:rPr>
        <w:t>月</w:t>
      </w:r>
      <w:r w:rsidRPr="00E31C0B">
        <w:rPr>
          <w:rFonts w:hAnsi="標楷體"/>
          <w:bCs/>
        </w:rPr>
        <w:t>4</w:t>
      </w:r>
      <w:r w:rsidRPr="00E31C0B">
        <w:rPr>
          <w:rFonts w:hAnsi="標楷體" w:hint="eastAsia"/>
          <w:bCs/>
        </w:rPr>
        <w:t>日），雖尚未正式生效（</w:t>
      </w:r>
      <w:r w:rsidRPr="00E31C0B">
        <w:rPr>
          <w:rFonts w:hAnsi="標楷體"/>
          <w:bCs/>
        </w:rPr>
        <w:t>111</w:t>
      </w:r>
      <w:r w:rsidRPr="00E31C0B">
        <w:rPr>
          <w:rFonts w:hAnsi="標楷體" w:hint="eastAsia"/>
          <w:bCs/>
        </w:rPr>
        <w:t>年</w:t>
      </w:r>
      <w:r w:rsidRPr="00E31C0B">
        <w:rPr>
          <w:rFonts w:hAnsi="標楷體"/>
          <w:bCs/>
        </w:rPr>
        <w:t>1</w:t>
      </w:r>
      <w:r w:rsidRPr="00E31C0B">
        <w:rPr>
          <w:rFonts w:hAnsi="標楷體" w:hint="eastAsia"/>
          <w:bCs/>
        </w:rPr>
        <w:t>月</w:t>
      </w:r>
      <w:r w:rsidRPr="00E31C0B">
        <w:rPr>
          <w:rFonts w:hAnsi="標楷體"/>
          <w:bCs/>
        </w:rPr>
        <w:t>4</w:t>
      </w:r>
      <w:r w:rsidRPr="00E31C0B">
        <w:rPr>
          <w:rFonts w:hAnsi="標楷體" w:hint="eastAsia"/>
          <w:bCs/>
        </w:rPr>
        <w:t>日），然法理上即應可參考憲法訴訟法第</w:t>
      </w:r>
      <w:r w:rsidRPr="00E31C0B">
        <w:rPr>
          <w:rFonts w:hAnsi="標楷體"/>
          <w:bCs/>
        </w:rPr>
        <w:t>54</w:t>
      </w:r>
      <w:r w:rsidRPr="00E31C0B">
        <w:rPr>
          <w:rFonts w:hAnsi="標楷體" w:hint="eastAsia"/>
          <w:bCs/>
        </w:rPr>
        <w:t>條第</w:t>
      </w:r>
      <w:r w:rsidRPr="00E31C0B">
        <w:rPr>
          <w:rFonts w:hAnsi="標楷體"/>
          <w:bCs/>
        </w:rPr>
        <w:t>1</w:t>
      </w:r>
      <w:r w:rsidRPr="00E31C0B">
        <w:rPr>
          <w:rFonts w:hAnsi="標楷體" w:hint="eastAsia"/>
          <w:bCs/>
        </w:rPr>
        <w:t>項：「判決宣告法律位階法規範定期失效者，除主文另有諭知外，於期限屆至前，各法院審理案件，仍應適用該法規範。但各法院應審酌人權保障及公共利益之均衡維護，於必要時得依職權或當事人之聲請，裁定停止審理程序，俟該法規範修正後，依新法續行審理。」即各法院審理「類似案件」（依法理）應先可參酌本項前段</w:t>
      </w:r>
      <w:r w:rsidR="005D36FA" w:rsidRPr="00E31C0B">
        <w:rPr>
          <w:rFonts w:hAnsi="標楷體" w:hint="eastAsia"/>
          <w:bCs/>
        </w:rPr>
        <w:t>；如</w:t>
      </w:r>
      <w:r w:rsidRPr="00E31C0B">
        <w:rPr>
          <w:rFonts w:hAnsi="標楷體" w:hint="eastAsia"/>
          <w:bCs/>
        </w:rPr>
        <w:t>有本項但書情狀，此亦係各級法院應為處理者，大法官尚無法（於本案中或亦無必要）替代各級法院為認事用法的判斷，或亦屬其職掌釋憲權分際謹守之展現。</w:t>
      </w:r>
    </w:p>
    <w:p w14:paraId="6B07AE4E" w14:textId="4E0C49D9" w:rsidR="008277DD" w:rsidRPr="00E31C0B" w:rsidRDefault="00992165" w:rsidP="00B447DF">
      <w:pPr>
        <w:pStyle w:val="5"/>
        <w:rPr>
          <w:rFonts w:hAnsi="標楷體"/>
        </w:rPr>
      </w:pPr>
      <w:r w:rsidRPr="00E31C0B">
        <w:rPr>
          <w:rFonts w:hAnsi="標楷體" w:hint="eastAsia"/>
        </w:rPr>
        <w:t>本案即衍生「期限屆至前法院應如何處理」、以及「該適用法律諭知之拘束效力」的相關問題，分予論述</w:t>
      </w:r>
      <w:r w:rsidR="008277DD" w:rsidRPr="00E31C0B">
        <w:rPr>
          <w:rFonts w:hAnsi="標楷體" w:hint="eastAsia"/>
        </w:rPr>
        <w:t>：</w:t>
      </w:r>
    </w:p>
    <w:p w14:paraId="20B6D4C8" w14:textId="45AD9F6C" w:rsidR="008277DD" w:rsidRPr="00E31C0B" w:rsidRDefault="008277DD" w:rsidP="00B447DF">
      <w:pPr>
        <w:pStyle w:val="6"/>
        <w:rPr>
          <w:rFonts w:hAnsi="標楷體"/>
          <w:bCs/>
        </w:rPr>
      </w:pPr>
      <w:r w:rsidRPr="00E31C0B">
        <w:rPr>
          <w:rFonts w:hAnsi="標楷體" w:hint="eastAsia"/>
          <w:bCs/>
        </w:rPr>
        <w:t>「違憲定期失效」宣告下「期限屆至前」法院的處理本號解釋就「</w:t>
      </w:r>
      <w:r w:rsidR="00EA544D" w:rsidRPr="00E31C0B">
        <w:rPr>
          <w:rFonts w:hAnsi="標楷體" w:hint="eastAsia"/>
          <w:bCs/>
        </w:rPr>
        <w:t>1年</w:t>
      </w:r>
      <w:r w:rsidRPr="00E31C0B">
        <w:rPr>
          <w:rFonts w:hAnsi="標楷體" w:hint="eastAsia"/>
          <w:bCs/>
        </w:rPr>
        <w:t>期限內」、法院對「未確定類似案件」之審理，並未予以指示，此即應回歸至大法官解釋（或</w:t>
      </w:r>
      <w:r w:rsidR="003158A0" w:rsidRPr="00E31C0B">
        <w:rPr>
          <w:rFonts w:hAnsi="標楷體" w:hint="eastAsia"/>
          <w:bCs/>
        </w:rPr>
        <w:t>憲法法庭</w:t>
      </w:r>
      <w:r w:rsidRPr="00E31C0B">
        <w:rPr>
          <w:rFonts w:hAnsi="標楷體" w:hint="eastAsia"/>
          <w:bCs/>
        </w:rPr>
        <w:t>裁判）宣告法規範「違憲定期失效」、後續延伸</w:t>
      </w:r>
      <w:r w:rsidR="003E6219" w:rsidRPr="00E31C0B">
        <w:rPr>
          <w:rFonts w:hAnsi="標楷體" w:hint="eastAsia"/>
          <w:bCs/>
        </w:rPr>
        <w:t>法律效果</w:t>
      </w:r>
      <w:r w:rsidRPr="00E31C0B">
        <w:rPr>
          <w:rFonts w:hAnsi="標楷體" w:hint="eastAsia"/>
          <w:bCs/>
        </w:rPr>
        <w:t>之法理，而為問題解決之根基。此具體爭議之處即為，大法官對違憲的法規範，於「法安定性」及「法實效性」（等各種法益）之衡平考量下，常折衷採行「違憲定期失效」的宣告。則於此期限內，該「違憲、但尚未失效」的法規範得否繼續適用？此法</w:t>
      </w:r>
      <w:r w:rsidRPr="00E31C0B">
        <w:rPr>
          <w:rFonts w:hAnsi="標楷體" w:hint="eastAsia"/>
          <w:bCs/>
        </w:rPr>
        <w:lastRenderedPageBreak/>
        <w:t>理上見解尚不一致，在憲法訴訟法生效前，實務上多認「該法規範尚未失效」即繼續適用，此當不能謂無理由。</w:t>
      </w:r>
    </w:p>
    <w:p w14:paraId="210DCC9B" w14:textId="30764130" w:rsidR="008277DD" w:rsidRPr="00E31C0B" w:rsidRDefault="00F61EA8" w:rsidP="00B447DF">
      <w:pPr>
        <w:pStyle w:val="6"/>
        <w:rPr>
          <w:rFonts w:hAnsi="標楷體"/>
          <w:bCs/>
        </w:rPr>
      </w:pPr>
      <w:r w:rsidRPr="00E31C0B">
        <w:rPr>
          <w:rFonts w:hAnsi="標楷體" w:hint="eastAsia"/>
          <w:bCs/>
        </w:rPr>
        <w:t>法官有</w:t>
      </w:r>
      <w:r w:rsidR="008277DD" w:rsidRPr="00E31C0B">
        <w:rPr>
          <w:rFonts w:hAnsi="標楷體" w:hint="eastAsia"/>
          <w:bCs/>
        </w:rPr>
        <w:t>適用合憲法律之義務，此亦係法官「依憲法審判」（憲法第</w:t>
      </w:r>
      <w:r w:rsidR="008277DD" w:rsidRPr="00E31C0B">
        <w:rPr>
          <w:rFonts w:hAnsi="標楷體"/>
          <w:bCs/>
        </w:rPr>
        <w:t>80</w:t>
      </w:r>
      <w:r w:rsidR="008277DD" w:rsidRPr="00E31C0B">
        <w:rPr>
          <w:rFonts w:hAnsi="標楷體" w:hint="eastAsia"/>
          <w:bCs/>
        </w:rPr>
        <w:t>條參照）之意旨彰顯；現該法律已被大法官認屬違憲，雖尚未失效，惟如仍予適用，即與憲法此一意旨有所扞格。而於憲法訴訟法生效後，前述第</w:t>
      </w:r>
      <w:r w:rsidR="008277DD" w:rsidRPr="00E31C0B">
        <w:rPr>
          <w:rFonts w:hAnsi="標楷體"/>
          <w:bCs/>
        </w:rPr>
        <w:t>54</w:t>
      </w:r>
      <w:r w:rsidR="008277DD" w:rsidRPr="00E31C0B">
        <w:rPr>
          <w:rFonts w:hAnsi="標楷體" w:hint="eastAsia"/>
          <w:bCs/>
        </w:rPr>
        <w:t>條第</w:t>
      </w:r>
      <w:r w:rsidR="008277DD" w:rsidRPr="00E31C0B">
        <w:rPr>
          <w:rFonts w:hAnsi="標楷體"/>
          <w:bCs/>
        </w:rPr>
        <w:t>1</w:t>
      </w:r>
      <w:r w:rsidR="008277DD" w:rsidRPr="00E31C0B">
        <w:rPr>
          <w:rFonts w:hAnsi="標楷體" w:hint="eastAsia"/>
          <w:bCs/>
        </w:rPr>
        <w:t>項採行「原則上繼續適用」之立法，惟亦有「但書」之衡平考量。此一立法當不能謂係有違誤，蓋於法規範「違憲定期失效」之宣告模式下，該法律適用與否，本即存在兩難情狀。如謂本號解釋作成於憲法訴訟法生效前，而參酌其宣告內容、並結合相關法理而論斷，應確係「期限屆滿後」（如未修法者）方得減輕其刑。然如於期限屆至前（合於要件下）而為減刑之處理，法理上亦不能謂有所違誤，蓋法院較行政機關有更嚴格適用合憲法律之義務。此即</w:t>
      </w:r>
      <w:r w:rsidR="007F1204" w:rsidRPr="00E31C0B">
        <w:rPr>
          <w:rFonts w:hAnsi="標楷體" w:hint="eastAsia"/>
          <w:bCs/>
        </w:rPr>
        <w:t>最高法院</w:t>
      </w:r>
      <w:r w:rsidR="008277DD" w:rsidRPr="00E31C0B">
        <w:rPr>
          <w:rFonts w:hAnsi="標楷體" w:hint="eastAsia"/>
          <w:bCs/>
        </w:rPr>
        <w:t>提案裁定上之「甲說」，而有其理由謂</w:t>
      </w:r>
      <w:r w:rsidR="00AA2F63" w:rsidRPr="00E31C0B">
        <w:rPr>
          <w:rFonts w:hAnsi="標楷體"/>
          <w:bCs/>
        </w:rPr>
        <w:t>：</w:t>
      </w:r>
      <w:r w:rsidR="008277DD" w:rsidRPr="00E31C0B">
        <w:rPr>
          <w:rFonts w:hAnsi="標楷體" w:hint="eastAsia"/>
          <w:bCs/>
        </w:rPr>
        <w:t>「釋字第</w:t>
      </w:r>
      <w:r w:rsidR="008277DD" w:rsidRPr="00E31C0B">
        <w:rPr>
          <w:rFonts w:hAnsi="標楷體"/>
          <w:bCs/>
        </w:rPr>
        <w:t>790</w:t>
      </w:r>
      <w:r w:rsidR="008277DD" w:rsidRPr="00E31C0B">
        <w:rPr>
          <w:rFonts w:hAnsi="標楷體" w:hint="eastAsia"/>
          <w:bCs/>
        </w:rPr>
        <w:t>號解釋文並未諭知法院在修法過渡期間內應如何適用法律，</w:t>
      </w:r>
      <w:r w:rsidR="008277DD" w:rsidRPr="00E31C0B">
        <w:rPr>
          <w:rFonts w:hAnsi="標楷體"/>
          <w:bCs/>
        </w:rPr>
        <w:t>1</w:t>
      </w:r>
      <w:r w:rsidR="008277DD" w:rsidRPr="00E31C0B">
        <w:rPr>
          <w:rFonts w:hAnsi="標楷體" w:hint="eastAsia"/>
          <w:bCs/>
        </w:rPr>
        <w:t>年期限是要求相關機關修法之期限。法院於期限屆至前，倘仍適用已被宣告違反罪刑相當原則、比例原則及保障人身自由權意旨之毒品危害防制條例第</w:t>
      </w:r>
      <w:r w:rsidR="008277DD" w:rsidRPr="00E31C0B">
        <w:rPr>
          <w:rFonts w:hAnsi="標楷體"/>
          <w:bCs/>
        </w:rPr>
        <w:t>12</w:t>
      </w:r>
      <w:r w:rsidR="008277DD" w:rsidRPr="00E31C0B">
        <w:rPr>
          <w:rFonts w:hAnsi="標楷體" w:hint="eastAsia"/>
          <w:bCs/>
        </w:rPr>
        <w:t>條第</w:t>
      </w:r>
      <w:r w:rsidR="008277DD" w:rsidRPr="00E31C0B">
        <w:rPr>
          <w:rFonts w:hAnsi="標楷體"/>
          <w:bCs/>
        </w:rPr>
        <w:t>2</w:t>
      </w:r>
      <w:r w:rsidR="008277DD" w:rsidRPr="00E31C0B">
        <w:rPr>
          <w:rFonts w:hAnsi="標楷體" w:hint="eastAsia"/>
          <w:bCs/>
        </w:rPr>
        <w:t>項規定之法定刑而為裁判，將陷入『罪刑相當』與『法安定性』間之價值衝突與矛盾，法院允宜依合憲性解釋，就個案參酌該號解釋意旨減輕其刑，始符憲法平等原則及保障人權之意旨。」在前述二種思考均有其理的情</w:t>
      </w:r>
      <w:r w:rsidR="008277DD" w:rsidRPr="00E31C0B">
        <w:rPr>
          <w:rFonts w:hAnsi="標楷體" w:hint="eastAsia"/>
          <w:bCs/>
        </w:rPr>
        <w:lastRenderedPageBreak/>
        <w:t>況下，本意見書認為，於本案之情形下，採裁定書上之「乙說」較屬適切，即「法院應將個案之審判程序延至新法修正公布</w:t>
      </w:r>
      <w:r w:rsidR="00D02CC6" w:rsidRPr="00E31C0B">
        <w:rPr>
          <w:rFonts w:hAnsi="標楷體" w:hint="eastAsia"/>
          <w:bCs/>
        </w:rPr>
        <w:t>後，或</w:t>
      </w:r>
      <w:r w:rsidR="008277DD" w:rsidRPr="00E31C0B">
        <w:rPr>
          <w:rFonts w:hAnsi="標楷體" w:hint="eastAsia"/>
          <w:bCs/>
        </w:rPr>
        <w:t>釋字第</w:t>
      </w:r>
      <w:r w:rsidR="008277DD" w:rsidRPr="00E31C0B">
        <w:rPr>
          <w:rFonts w:hAnsi="標楷體"/>
          <w:bCs/>
        </w:rPr>
        <w:t>790</w:t>
      </w:r>
      <w:r w:rsidR="008277DD" w:rsidRPr="00E31C0B">
        <w:rPr>
          <w:rFonts w:hAnsi="標楷體" w:hint="eastAsia"/>
          <w:bCs/>
        </w:rPr>
        <w:t>號解釋公布之日起</w:t>
      </w:r>
      <w:r w:rsidR="008277DD" w:rsidRPr="00E31C0B">
        <w:rPr>
          <w:rFonts w:hAnsi="標楷體"/>
          <w:bCs/>
        </w:rPr>
        <w:t>1</w:t>
      </w:r>
      <w:r w:rsidR="008277DD" w:rsidRPr="00E31C0B">
        <w:rPr>
          <w:rFonts w:hAnsi="標楷體" w:hint="eastAsia"/>
          <w:bCs/>
        </w:rPr>
        <w:t>年後始予以終結，俾得適用有利於行為人之法律或依上開解釋意旨減輕其刑。」蓋如此先可避免「期限內是否仍應適用系爭規定一」之法理上無定論的兩難，且如對案件（以實際</w:t>
      </w:r>
      <w:r w:rsidR="00EA544D" w:rsidRPr="00E31C0B">
        <w:rPr>
          <w:rFonts w:hAnsi="標楷體" w:hint="eastAsia"/>
          <w:bCs/>
        </w:rPr>
        <w:t>操作面而言</w:t>
      </w:r>
      <w:r w:rsidR="008277DD" w:rsidRPr="00E31C0B">
        <w:rPr>
          <w:rFonts w:hAnsi="標楷體" w:hint="eastAsia"/>
          <w:bCs/>
        </w:rPr>
        <w:t>）延至新法公布</w:t>
      </w:r>
      <w:r w:rsidR="00EA544D" w:rsidRPr="00E31C0B">
        <w:rPr>
          <w:rFonts w:hAnsi="標楷體" w:hint="eastAsia"/>
          <w:bCs/>
        </w:rPr>
        <w:t>或1年</w:t>
      </w:r>
      <w:r w:rsidR="008277DD" w:rsidRPr="00E31C0B">
        <w:rPr>
          <w:rFonts w:hAnsi="標楷體" w:hint="eastAsia"/>
          <w:bCs/>
        </w:rPr>
        <w:t>之期限屆滿尚無困難者，既無損於當事人權益之維護（以及法院案件審理之公益目的），現實上亦可合理避免大法官前述宣告及諭知內容（不得已）的不均衡。當然此一處理方式並不直接合於現今憲法訴訟法第</w:t>
      </w:r>
      <w:r w:rsidR="008277DD" w:rsidRPr="00E31C0B">
        <w:rPr>
          <w:rFonts w:hAnsi="標楷體"/>
          <w:bCs/>
        </w:rPr>
        <w:t>54</w:t>
      </w:r>
      <w:r w:rsidR="008277DD" w:rsidRPr="00E31C0B">
        <w:rPr>
          <w:rFonts w:hAnsi="標楷體" w:hint="eastAsia"/>
          <w:bCs/>
        </w:rPr>
        <w:t>條第</w:t>
      </w:r>
      <w:r w:rsidR="008277DD" w:rsidRPr="00E31C0B">
        <w:rPr>
          <w:rFonts w:hAnsi="標楷體"/>
          <w:bCs/>
        </w:rPr>
        <w:t>1</w:t>
      </w:r>
      <w:r w:rsidR="008277DD" w:rsidRPr="00E31C0B">
        <w:rPr>
          <w:rFonts w:hAnsi="標楷體" w:hint="eastAsia"/>
          <w:bCs/>
        </w:rPr>
        <w:t>項前段所規範之意旨，惟幸而本號解釋作成時、乃至所宣告之</w:t>
      </w:r>
      <w:r w:rsidR="00EA544D" w:rsidRPr="00E31C0B">
        <w:rPr>
          <w:rFonts w:hAnsi="標楷體" w:hint="eastAsia"/>
          <w:bCs/>
        </w:rPr>
        <w:t>1年</w:t>
      </w:r>
      <w:r w:rsidR="008277DD" w:rsidRPr="00E31C0B">
        <w:rPr>
          <w:rFonts w:hAnsi="標楷體" w:hint="eastAsia"/>
          <w:bCs/>
        </w:rPr>
        <w:t>期限屆滿後，該法均尚未生效，爰此</w:t>
      </w:r>
      <w:r w:rsidR="00EE63C7" w:rsidRPr="00E31C0B">
        <w:rPr>
          <w:rFonts w:hAnsi="標楷體" w:hint="eastAsia"/>
          <w:bCs/>
        </w:rPr>
        <w:t>部分</w:t>
      </w:r>
      <w:r w:rsidR="008277DD" w:rsidRPr="00E31C0B">
        <w:rPr>
          <w:rFonts w:hAnsi="標楷體" w:hint="eastAsia"/>
          <w:bCs/>
        </w:rPr>
        <w:t>之爭議即較不存在。至如有案件因囿於「辦案期限」而無法如是處理；或法院對未確定之類似案件欲一律停止審理（</w:t>
      </w:r>
      <w:r w:rsidR="00306E08" w:rsidRPr="00E31C0B">
        <w:rPr>
          <w:rFonts w:hAnsi="標楷體" w:hint="eastAsia"/>
          <w:bCs/>
        </w:rPr>
        <w:t>待新法修正公布後</w:t>
      </w:r>
      <w:r w:rsidR="008277DD" w:rsidRPr="00E31C0B">
        <w:rPr>
          <w:rFonts w:hAnsi="標楷體" w:hint="eastAsia"/>
          <w:bCs/>
        </w:rPr>
        <w:t>再行處理），就此確亦合於法理，然應係全面性的問題，建議法院審判體系應就此再具體研議相關均衡之處置方式。反而問題較會存在於，憲法訴訟法生效後，因有第</w:t>
      </w:r>
      <w:r w:rsidR="008277DD" w:rsidRPr="00E31C0B">
        <w:rPr>
          <w:rFonts w:hAnsi="標楷體"/>
          <w:bCs/>
        </w:rPr>
        <w:t>54</w:t>
      </w:r>
      <w:r w:rsidR="008277DD" w:rsidRPr="00E31C0B">
        <w:rPr>
          <w:rFonts w:hAnsi="標楷體" w:hint="eastAsia"/>
          <w:bCs/>
        </w:rPr>
        <w:t>條第</w:t>
      </w:r>
      <w:r w:rsidR="008277DD" w:rsidRPr="00E31C0B">
        <w:rPr>
          <w:rFonts w:hAnsi="標楷體"/>
          <w:bCs/>
        </w:rPr>
        <w:t>1</w:t>
      </w:r>
      <w:r w:rsidR="008277DD" w:rsidRPr="00E31C0B">
        <w:rPr>
          <w:rFonts w:hAnsi="標楷體" w:hint="eastAsia"/>
          <w:bCs/>
        </w:rPr>
        <w:t>項之明文，期限內原則上應適用該法律。綜合上述，本案</w:t>
      </w:r>
      <w:r w:rsidR="007F1204" w:rsidRPr="00E31C0B">
        <w:rPr>
          <w:rFonts w:hAnsi="標楷體" w:hint="eastAsia"/>
          <w:bCs/>
        </w:rPr>
        <w:t>最高法院</w:t>
      </w:r>
      <w:r w:rsidR="008277DD" w:rsidRPr="00E31C0B">
        <w:rPr>
          <w:rFonts w:hAnsi="標楷體" w:hint="eastAsia"/>
          <w:bCs/>
        </w:rPr>
        <w:t>所提之爭點1：「司法院釋字第</w:t>
      </w:r>
      <w:r w:rsidR="008277DD" w:rsidRPr="00E31C0B">
        <w:rPr>
          <w:rFonts w:hAnsi="標楷體"/>
          <w:bCs/>
        </w:rPr>
        <w:t>790</w:t>
      </w:r>
      <w:r w:rsidR="008277DD" w:rsidRPr="00E31C0B">
        <w:rPr>
          <w:rFonts w:hAnsi="標楷體" w:hint="eastAsia"/>
          <w:bCs/>
        </w:rPr>
        <w:t>號解釋文僅諭知相關機關逾期未修正，法院得適用過渡規範（即情節輕微者，法院得依解釋意旨減輕法定刑至</w:t>
      </w:r>
      <w:r w:rsidR="008277DD" w:rsidRPr="00E31C0B">
        <w:rPr>
          <w:rFonts w:hAnsi="標楷體"/>
          <w:bCs/>
        </w:rPr>
        <w:t>二分之一</w:t>
      </w:r>
      <w:r w:rsidR="008277DD" w:rsidRPr="00E31C0B">
        <w:rPr>
          <w:rFonts w:hAnsi="標楷體" w:hint="eastAsia"/>
          <w:bCs/>
        </w:rPr>
        <w:t>），則於修法期限屆滿前，各法院審理案件應如何處理？」</w:t>
      </w:r>
      <w:r w:rsidR="00992165" w:rsidRPr="00E31C0B">
        <w:rPr>
          <w:rFonts w:hAnsi="標楷體" w:hint="eastAsia"/>
          <w:bCs/>
        </w:rPr>
        <w:t>以認「乙說」之見解應係較妥</w:t>
      </w:r>
      <w:r w:rsidR="00992165" w:rsidRPr="00E31C0B">
        <w:rPr>
          <w:rFonts w:hAnsi="標楷體" w:hint="eastAsia"/>
          <w:bCs/>
        </w:rPr>
        <w:lastRenderedPageBreak/>
        <w:t>適之處理方式</w:t>
      </w:r>
      <w:r w:rsidR="008277DD" w:rsidRPr="00E31C0B">
        <w:rPr>
          <w:rFonts w:hAnsi="標楷體" w:hint="eastAsia"/>
          <w:bCs/>
        </w:rPr>
        <w:t>。</w:t>
      </w:r>
    </w:p>
    <w:p w14:paraId="296F28E2" w14:textId="55352843" w:rsidR="008277DD" w:rsidRPr="00E31C0B" w:rsidRDefault="008277DD" w:rsidP="00B447DF">
      <w:pPr>
        <w:pStyle w:val="5"/>
        <w:rPr>
          <w:rFonts w:hAnsi="標楷體"/>
        </w:rPr>
      </w:pPr>
      <w:r w:rsidRPr="00E31C0B">
        <w:rPr>
          <w:rFonts w:hAnsi="標楷體" w:hint="eastAsia"/>
        </w:rPr>
        <w:t>「執行」</w:t>
      </w:r>
      <w:r w:rsidR="00EE63C7" w:rsidRPr="00E31C0B">
        <w:rPr>
          <w:rFonts w:hAnsi="標楷體" w:hint="eastAsia"/>
        </w:rPr>
        <w:t>諭知之效力：</w:t>
      </w:r>
    </w:p>
    <w:p w14:paraId="28802006" w14:textId="33692B55" w:rsidR="008277DD" w:rsidRPr="00E31C0B" w:rsidRDefault="008277DD" w:rsidP="00B447DF">
      <w:pPr>
        <w:pStyle w:val="6"/>
        <w:rPr>
          <w:rFonts w:hAnsi="標楷體"/>
          <w:bCs/>
        </w:rPr>
      </w:pPr>
      <w:r w:rsidRPr="00E31C0B">
        <w:rPr>
          <w:rFonts w:hAnsi="標楷體" w:hint="eastAsia"/>
          <w:bCs/>
        </w:rPr>
        <w:t>爭點2主要即係該</w:t>
      </w:r>
      <w:r w:rsidR="00EA544D" w:rsidRPr="00E31C0B">
        <w:rPr>
          <w:rFonts w:hAnsi="標楷體" w:hint="eastAsia"/>
          <w:bCs/>
        </w:rPr>
        <w:t>1年</w:t>
      </w:r>
      <w:r w:rsidRPr="00E31C0B">
        <w:rPr>
          <w:rFonts w:hAnsi="標楷體" w:hint="eastAsia"/>
          <w:bCs/>
        </w:rPr>
        <w:t>期限之諭知，對法院是否、或有如何之拘束力？對此首應說明者為，大法官於此一解釋主文（或憲法法庭判決主文）中所為之說明，具體指示相關機關就該案件之處理方式者，於憲法訴訟之學理上乃界定屬一種「執行」之諭知，此即係為釋憲機關判決內容的實現而所存在之制度，釋憲實務上尤其常伴隨「違憲定期失效」之宣告而為之，欲解決期限屆至前後（尤其法院）對類似案件的處理問題。在此制度有明文規範且合於釋憲法理之情況下，此一「執行」之諭知</w:t>
      </w:r>
      <w:r w:rsidRPr="00E31C0B">
        <w:rPr>
          <w:rFonts w:hAnsi="標楷體"/>
          <w:bCs/>
        </w:rPr>
        <w:t>，</w:t>
      </w:r>
      <w:r w:rsidRPr="00E31C0B">
        <w:rPr>
          <w:rFonts w:hAnsi="標楷體" w:hint="eastAsia"/>
          <w:bCs/>
        </w:rPr>
        <w:t>不論係「內容」抑或「時間」等</w:t>
      </w:r>
      <w:r w:rsidRPr="00E31C0B">
        <w:rPr>
          <w:rFonts w:hAnsi="標楷體"/>
          <w:bCs/>
        </w:rPr>
        <w:t>，</w:t>
      </w:r>
      <w:r w:rsidRPr="00E31C0B">
        <w:rPr>
          <w:rFonts w:hAnsi="標楷體" w:hint="eastAsia"/>
          <w:bCs/>
        </w:rPr>
        <w:t>原則上當有拘束法院之效力，並無疑問。在大法官相關宣告文字合理闡釋之情況下，（配合本意見書前述說明）法院應在</w:t>
      </w:r>
      <w:r w:rsidR="00EA544D" w:rsidRPr="00E31C0B">
        <w:rPr>
          <w:rFonts w:hAnsi="標楷體" w:hint="eastAsia"/>
          <w:bCs/>
        </w:rPr>
        <w:t>1年</w:t>
      </w:r>
      <w:r w:rsidRPr="00E31C0B">
        <w:rPr>
          <w:rFonts w:hAnsi="標楷體" w:hint="eastAsia"/>
          <w:bCs/>
        </w:rPr>
        <w:t>期限屆滿後，再依解釋意旨減輕其刑。至可討論者為，「法官於期限屆至前，提前適用過渡規範，有無逾越法官填補法律漏洞或解釋適用法律的界限？」此可先理解者即，其意應指「法院提前於</w:t>
      </w:r>
      <w:r w:rsidR="00EA544D" w:rsidRPr="00E31C0B">
        <w:rPr>
          <w:rFonts w:hAnsi="標楷體" w:hint="eastAsia"/>
          <w:bCs/>
        </w:rPr>
        <w:t>1年</w:t>
      </w:r>
      <w:r w:rsidRPr="00E31C0B">
        <w:rPr>
          <w:rFonts w:hAnsi="標楷體" w:hint="eastAsia"/>
          <w:bCs/>
        </w:rPr>
        <w:t>的期限屆滿前，即（就合於要件之案件）予以減輕」</w:t>
      </w:r>
      <w:r w:rsidRPr="00E31C0B">
        <w:rPr>
          <w:rFonts w:hAnsi="標楷體"/>
          <w:bCs/>
        </w:rPr>
        <w:t>，</w:t>
      </w:r>
      <w:r w:rsidRPr="00E31C0B">
        <w:rPr>
          <w:rFonts w:hAnsi="標楷體" w:hint="eastAsia"/>
          <w:bCs/>
        </w:rPr>
        <w:t>是否亦屬合法之處置？</w:t>
      </w:r>
    </w:p>
    <w:p w14:paraId="56594950" w14:textId="727472B1" w:rsidR="008277DD" w:rsidRPr="00E31C0B" w:rsidRDefault="008277DD" w:rsidP="00B447DF">
      <w:pPr>
        <w:pStyle w:val="6"/>
        <w:rPr>
          <w:rFonts w:hAnsi="標楷體"/>
          <w:bCs/>
        </w:rPr>
      </w:pPr>
      <w:r w:rsidRPr="00E31C0B">
        <w:rPr>
          <w:rFonts w:hAnsi="標楷體" w:hint="eastAsia"/>
          <w:bCs/>
        </w:rPr>
        <w:t>大法官於其解釋（或裁判）中所為具體之「執行」諭知有其拘束效力，即最高法院110年度台上大字第446號刑事裁定中，應係期限屆至後方再減輕，或略為折衷採行「乙說」、延至期限後再行審理終結。惟如依「甲說」，「法官依憲法審判」及「維護當事人權益」之</w:t>
      </w:r>
      <w:r w:rsidRPr="00E31C0B">
        <w:rPr>
          <w:rFonts w:hAnsi="標楷體" w:hint="eastAsia"/>
          <w:bCs/>
        </w:rPr>
        <w:lastRenderedPageBreak/>
        <w:t>目的，且現實上之情況亦無甚影響，故即不能謂屬違法。此法理上亦即，大法官所為執行之諭知固有其拘束效力，然現實上如何對之遵循，仍應由受諭知之機關依合宜之方式處理，本案即屬如是。而如依</w:t>
      </w:r>
      <w:r w:rsidR="007F1204" w:rsidRPr="00E31C0B">
        <w:rPr>
          <w:rFonts w:hAnsi="標楷體" w:hint="eastAsia"/>
          <w:bCs/>
        </w:rPr>
        <w:t>最高法院</w:t>
      </w:r>
      <w:r w:rsidRPr="00E31C0B">
        <w:rPr>
          <w:rFonts w:hAnsi="標楷體" w:hint="eastAsia"/>
          <w:bCs/>
        </w:rPr>
        <w:t>所提具體問題，即「提前適用有無逾越法官填補法律漏洞或解釋適用法律的界限」，則本意見書之見解認為，此應即法官「解釋法律有無違法」的問題。而如上所述，於本案中法院提前減輕如尚有其保障人民權利與依憲法審判之法理依據，即不能謂屬違法的法律解釋。於此反而所可討論者毋寧為，如未予遵行該大法官之諭知，則會產生何種</w:t>
      </w:r>
      <w:r w:rsidR="003E6219" w:rsidRPr="00E31C0B">
        <w:rPr>
          <w:rFonts w:hAnsi="標楷體" w:hint="eastAsia"/>
          <w:bCs/>
        </w:rPr>
        <w:t>法律效果</w:t>
      </w:r>
      <w:r w:rsidRPr="00E31C0B">
        <w:rPr>
          <w:rFonts w:hAnsi="標楷體" w:hint="eastAsia"/>
          <w:bCs/>
        </w:rPr>
        <w:t>。就此尚須視個案而定，確可能有違法情狀。惟如以本案而言，如（未遵循大法官意旨）於期限前即予減輕而認為有所疑慮，則或於上訴審時該期限即屆至而亦應減輕，結論上即無差異；或認為依此提前減輕而判決已確定，屬判決違背法令（違反大法官解釋的違誤），理論上檢察總長可提起非常上訴（刑事訴訟法第</w:t>
      </w:r>
      <w:r w:rsidRPr="00E31C0B">
        <w:rPr>
          <w:rFonts w:hAnsi="標楷體"/>
          <w:bCs/>
        </w:rPr>
        <w:t>441</w:t>
      </w:r>
      <w:r w:rsidRPr="00E31C0B">
        <w:rPr>
          <w:rFonts w:hAnsi="標楷體" w:hint="eastAsia"/>
          <w:bCs/>
        </w:rPr>
        <w:t>條），此當屬糾正原確定判決法律錯誤之機制。然如上所述，提前減輕之適法性非無法理依據；或即使法院撤銷該減輕之判決（同法第</w:t>
      </w:r>
      <w:r w:rsidRPr="00E31C0B">
        <w:rPr>
          <w:rFonts w:hAnsi="標楷體"/>
          <w:bCs/>
        </w:rPr>
        <w:t>447</w:t>
      </w:r>
      <w:r w:rsidRPr="00E31C0B">
        <w:rPr>
          <w:rFonts w:hAnsi="標楷體" w:hint="eastAsia"/>
          <w:bCs/>
        </w:rPr>
        <w:t>條第</w:t>
      </w:r>
      <w:r w:rsidRPr="00E31C0B">
        <w:rPr>
          <w:rFonts w:hAnsi="標楷體"/>
          <w:bCs/>
        </w:rPr>
        <w:t>1</w:t>
      </w:r>
      <w:r w:rsidRPr="00E31C0B">
        <w:rPr>
          <w:rFonts w:hAnsi="標楷體" w:hint="eastAsia"/>
          <w:bCs/>
        </w:rPr>
        <w:t>項第</w:t>
      </w:r>
      <w:r w:rsidRPr="00E31C0B">
        <w:rPr>
          <w:rFonts w:hAnsi="標楷體"/>
          <w:bCs/>
        </w:rPr>
        <w:t>1</w:t>
      </w:r>
      <w:r w:rsidRPr="00E31C0B">
        <w:rPr>
          <w:rFonts w:hAnsi="標楷體" w:hint="eastAsia"/>
          <w:bCs/>
        </w:rPr>
        <w:t>款），於檢方或已達到該論理之效力而有實益；原確定判決尚非不利於被告，非常上訴判決之效力對之即不及於（刑事訴訟法第</w:t>
      </w:r>
      <w:r w:rsidRPr="00E31C0B">
        <w:rPr>
          <w:rFonts w:hAnsi="標楷體"/>
          <w:bCs/>
        </w:rPr>
        <w:t>448</w:t>
      </w:r>
      <w:r w:rsidRPr="00E31C0B">
        <w:rPr>
          <w:rFonts w:hAnsi="標楷體" w:hint="eastAsia"/>
          <w:bCs/>
        </w:rPr>
        <w:t>條），後續並不會影響被告的權利。</w:t>
      </w:r>
    </w:p>
    <w:p w14:paraId="3A5E78AD" w14:textId="2FDB3CBD" w:rsidR="008277DD" w:rsidRPr="00E31C0B" w:rsidRDefault="003F6CE6" w:rsidP="00B447DF">
      <w:pPr>
        <w:pStyle w:val="6"/>
        <w:rPr>
          <w:rFonts w:hAnsi="標楷體"/>
          <w:bCs/>
        </w:rPr>
      </w:pPr>
      <w:r w:rsidRPr="00E31C0B">
        <w:rPr>
          <w:rFonts w:hAnsi="標楷體" w:hint="eastAsia"/>
          <w:bCs/>
        </w:rPr>
        <w:t>綜上，</w:t>
      </w:r>
      <w:r w:rsidR="008277DD" w:rsidRPr="00E31C0B">
        <w:rPr>
          <w:rFonts w:hAnsi="標楷體" w:hint="eastAsia"/>
          <w:bCs/>
        </w:rPr>
        <w:t>就本案爭點2：「該號解釋所指示法院得適用過渡規範之時期，是否拘束各法院？</w:t>
      </w:r>
      <w:r w:rsidR="008277DD" w:rsidRPr="00E31C0B">
        <w:rPr>
          <w:rFonts w:hAnsi="標楷體" w:hint="eastAsia"/>
          <w:bCs/>
        </w:rPr>
        <w:lastRenderedPageBreak/>
        <w:t>法官於期限屆至前，提前適用過渡規範，有無逾越法官填補法律漏洞或解釋適用法律的界限？」即依本文所述，該諭知確有拘束各法院之效力；至該個案諭知是否妥適，則依個案再行判斷，本案亦毋庸言及有逾越法官解釋法律界限之問題。</w:t>
      </w:r>
    </w:p>
    <w:p w14:paraId="55484CED" w14:textId="29F42CE2" w:rsidR="008277DD" w:rsidRPr="00E31C0B" w:rsidRDefault="008277DD" w:rsidP="00B447DF">
      <w:pPr>
        <w:pStyle w:val="5"/>
        <w:rPr>
          <w:rFonts w:hAnsi="標楷體"/>
        </w:rPr>
      </w:pPr>
      <w:r w:rsidRPr="00E31C0B">
        <w:rPr>
          <w:rFonts w:hAnsi="標楷體" w:hint="eastAsia"/>
        </w:rPr>
        <w:t>未來法院對憲法法庭「違憲定期失效」宣告的處理而如謂本案具有「原則重要性」之處，應尚非係所涉個案審理之</w:t>
      </w:r>
      <w:r w:rsidR="00EE63C7" w:rsidRPr="00E31C0B">
        <w:rPr>
          <w:rFonts w:hAnsi="標楷體" w:hint="eastAsia"/>
        </w:rPr>
        <w:t>部分</w:t>
      </w:r>
      <w:r w:rsidRPr="00E31C0B">
        <w:rPr>
          <w:rFonts w:hAnsi="標楷體" w:hint="eastAsia"/>
        </w:rPr>
        <w:t>，毋寧在於對未來案件的審理，亦必多將有類此情形發生。申言之，現依「憲法訴訟法」，大法官行使「法規範憲法審查」的權限，如認為該法規範違憲者，即得為「立即失效」、「溯及失效」或「定期失效」之宣告。而依循釋憲實務之慣行運作、且顧及法安定性與各種法益之均衡考量，應多會採行「違憲定期失效」之宣告模式。依此即均會產生，在該定期之「期限內」，法院對相關案件（包含「原因案件」以及「類似案件」）應為如何處理之問題。除法官自身聲請釋憲外，實則更可能所面臨者係「人民聲請釋憲」之類型，分述之：</w:t>
      </w:r>
    </w:p>
    <w:p w14:paraId="51BC1642" w14:textId="77777777" w:rsidR="008277DD" w:rsidRPr="00E31C0B" w:rsidRDefault="008277DD" w:rsidP="00B447DF">
      <w:pPr>
        <w:pStyle w:val="6"/>
        <w:rPr>
          <w:rFonts w:hAnsi="標楷體"/>
          <w:bCs/>
        </w:rPr>
      </w:pPr>
      <w:r w:rsidRPr="00E31C0B">
        <w:rPr>
          <w:rFonts w:hAnsi="標楷體" w:hint="eastAsia"/>
          <w:bCs/>
        </w:rPr>
        <w:t>「法官聲請釋憲」</w:t>
      </w:r>
    </w:p>
    <w:p w14:paraId="37AECCFA" w14:textId="1FFAF7ED" w:rsidR="008277DD" w:rsidRPr="00E31C0B" w:rsidRDefault="008277DD" w:rsidP="00B447DF">
      <w:pPr>
        <w:pStyle w:val="7"/>
        <w:rPr>
          <w:rFonts w:hAnsi="標楷體"/>
        </w:rPr>
      </w:pPr>
      <w:r w:rsidRPr="00E31C0B">
        <w:rPr>
          <w:rFonts w:hAnsi="標楷體" w:hint="eastAsia"/>
        </w:rPr>
        <w:t>對「原因案件」憲法訴訟法第</w:t>
      </w:r>
      <w:r w:rsidRPr="00E31C0B">
        <w:rPr>
          <w:rFonts w:hAnsi="標楷體"/>
        </w:rPr>
        <w:t>55</w:t>
      </w:r>
      <w:r w:rsidRPr="00E31C0B">
        <w:rPr>
          <w:rFonts w:hAnsi="標楷體" w:hint="eastAsia"/>
        </w:rPr>
        <w:t>條規定：「各法院就其審理之案件，對裁判上所應適用之法律位階法規範，依其合理確信，認有牴觸憲法，且於該案件之裁判結果有直接影響者，得聲請憲法法庭為宣告違憲之判決。」即「法官聲請釋憲」之依據。法官如聲請後，大法官對之為「違憲定期失效」之宣告，則期限內法院應如何繼續</w:t>
      </w:r>
      <w:r w:rsidRPr="00E31C0B">
        <w:rPr>
          <w:rFonts w:hAnsi="標楷體" w:hint="eastAsia"/>
        </w:rPr>
        <w:lastRenderedPageBreak/>
        <w:t>審理該原因案件？對此憲法訴訟法非完全無規定，然卻有所爭議，即依</w:t>
      </w:r>
      <w:r w:rsidR="001568B6" w:rsidRPr="00E31C0B">
        <w:rPr>
          <w:rFonts w:hAnsi="標楷體" w:hint="eastAsia"/>
        </w:rPr>
        <w:t>第58條規定</w:t>
      </w:r>
      <w:r w:rsidR="007912AB" w:rsidRPr="00E31C0B">
        <w:rPr>
          <w:rFonts w:hAnsi="標楷體" w:hint="eastAsia"/>
        </w:rPr>
        <w:t>準用同法第54條</w:t>
      </w:r>
      <w:r w:rsidR="001568B6" w:rsidRPr="00E31C0B">
        <w:rPr>
          <w:rFonts w:hAnsi="標楷體" w:hint="eastAsia"/>
        </w:rPr>
        <w:t>規定</w:t>
      </w:r>
      <w:r w:rsidRPr="00E31C0B">
        <w:rPr>
          <w:rFonts w:hAnsi="標楷體" w:hint="eastAsia"/>
        </w:rPr>
        <w:t>；而第</w:t>
      </w:r>
      <w:r w:rsidRPr="00E31C0B">
        <w:rPr>
          <w:rFonts w:hAnsi="標楷體"/>
        </w:rPr>
        <w:t>54</w:t>
      </w:r>
      <w:r w:rsidRPr="00E31C0B">
        <w:rPr>
          <w:rFonts w:hAnsi="標楷體" w:hint="eastAsia"/>
        </w:rPr>
        <w:t>條第</w:t>
      </w:r>
      <w:r w:rsidRPr="00E31C0B">
        <w:rPr>
          <w:rFonts w:hAnsi="標楷體"/>
        </w:rPr>
        <w:t>1</w:t>
      </w:r>
      <w:r w:rsidRPr="00E31C0B">
        <w:rPr>
          <w:rFonts w:hAnsi="標楷體" w:hint="eastAsia"/>
        </w:rPr>
        <w:t>項前段之規定為：「判決宣告法律位階法規範定期失效者，除主文另有諭知外，於期限屆至前，各法院審理案件，仍應適用該法規範。」此處之「各法院」，是否包含聲請釋憲之該法院？此於文義解釋上並未直接排除，然解讀上確有爭議。然於理論上而言，法官聲請釋憲須已「確信」該法律為違憲（憲法訴訟法第</w:t>
      </w:r>
      <w:r w:rsidRPr="00E31C0B">
        <w:rPr>
          <w:rFonts w:hAnsi="標楷體"/>
        </w:rPr>
        <w:t>55</w:t>
      </w:r>
      <w:r w:rsidRPr="00E31C0B">
        <w:rPr>
          <w:rFonts w:hAnsi="標楷體" w:hint="eastAsia"/>
        </w:rPr>
        <w:t>條），如大法官已認定該法律屬違憲，即使尚未失效，該原因案件的審理法官亦應難以再依該法律繼續審理，否則即可能有違反法官依憲法審判之意旨（憲法第</w:t>
      </w:r>
      <w:r w:rsidRPr="00E31C0B">
        <w:rPr>
          <w:rFonts w:hAnsi="標楷體"/>
        </w:rPr>
        <w:t>80</w:t>
      </w:r>
      <w:r w:rsidRPr="00E31C0B">
        <w:rPr>
          <w:rFonts w:hAnsi="標楷體" w:hint="eastAsia"/>
        </w:rPr>
        <w:t>條參照）。對此問題如係「人民聲請釋憲」的情狀，則依憲法訴訟法第</w:t>
      </w:r>
      <w:r w:rsidRPr="00E31C0B">
        <w:rPr>
          <w:rFonts w:hAnsi="標楷體"/>
        </w:rPr>
        <w:t>64</w:t>
      </w:r>
      <w:r w:rsidRPr="00E31C0B">
        <w:rPr>
          <w:rFonts w:hAnsi="標楷體" w:hint="eastAsia"/>
        </w:rPr>
        <w:t>條第</w:t>
      </w:r>
      <w:r w:rsidRPr="00E31C0B">
        <w:rPr>
          <w:rFonts w:hAnsi="標楷體"/>
        </w:rPr>
        <w:t>1</w:t>
      </w:r>
      <w:r w:rsidRPr="00E31C0B">
        <w:rPr>
          <w:rFonts w:hAnsi="標楷體" w:hint="eastAsia"/>
        </w:rPr>
        <w:t>項前段：「判決宣告法規範定期失效者，於期限屆至前，審理原因案件之法院應依判決宣告法規範違憲之意旨為裁判，不受該定期失效期限之拘束。」即對原因案件（於期限內）可予救濟，則法官聲請釋憲若謂原因案件無法救濟，恐失卻均衡。然依此法理上能否類推此一規定為適用，非無討論空間，蓋該規定明確係對「人民聲請釋憲」之類型所設，其主觀權益維護之考量多於法官聲請釋憲。若於法理上為類推而直接以之為依據，恐亦非屬適切。此明顯係立法疏漏，理想之解決方式即大法官於此種情狀中應為相關諭知，但恐無法完全期待，該審理</w:t>
      </w:r>
      <w:r w:rsidRPr="00E31C0B">
        <w:rPr>
          <w:rFonts w:hAnsi="標楷體" w:hint="eastAsia"/>
        </w:rPr>
        <w:lastRenderedPageBreak/>
        <w:t>原因案件的法官不應再適用該法規範，法理依據即本文上述之「法官依合憲法律審判」的憲法義務，此較（有爭議之）類推第</w:t>
      </w:r>
      <w:r w:rsidRPr="00E31C0B">
        <w:rPr>
          <w:rFonts w:hAnsi="標楷體"/>
        </w:rPr>
        <w:t>64</w:t>
      </w:r>
      <w:r w:rsidRPr="00E31C0B">
        <w:rPr>
          <w:rFonts w:hAnsi="標楷體" w:hint="eastAsia"/>
        </w:rPr>
        <w:t>條第</w:t>
      </w:r>
      <w:r w:rsidRPr="00E31C0B">
        <w:rPr>
          <w:rFonts w:hAnsi="標楷體"/>
        </w:rPr>
        <w:t>1</w:t>
      </w:r>
      <w:r w:rsidRPr="00E31C0B">
        <w:rPr>
          <w:rFonts w:hAnsi="標楷體" w:hint="eastAsia"/>
        </w:rPr>
        <w:t>項屬更適切的法理；且亦依此法理而限縮第</w:t>
      </w:r>
      <w:r w:rsidRPr="00E31C0B">
        <w:rPr>
          <w:rFonts w:hAnsi="標楷體"/>
        </w:rPr>
        <w:t>54</w:t>
      </w:r>
      <w:r w:rsidRPr="00E31C0B">
        <w:rPr>
          <w:rFonts w:hAnsi="標楷體" w:hint="eastAsia"/>
        </w:rPr>
        <w:t>條第</w:t>
      </w:r>
      <w:r w:rsidRPr="00E31C0B">
        <w:rPr>
          <w:rFonts w:hAnsi="標楷體"/>
        </w:rPr>
        <w:t>1</w:t>
      </w:r>
      <w:r w:rsidRPr="00E31C0B">
        <w:rPr>
          <w:rFonts w:hAnsi="標楷體" w:hint="eastAsia"/>
        </w:rPr>
        <w:t>項但書之「各法院」之文義、排除「聲請釋憲之原因案件審理法院</w:t>
      </w:r>
      <w:r w:rsidR="006E7A15" w:rsidRPr="00E31C0B">
        <w:rPr>
          <w:rFonts w:hAnsi="標楷體" w:hint="eastAsia"/>
        </w:rPr>
        <w:t>。」</w:t>
      </w:r>
    </w:p>
    <w:p w14:paraId="47FA54FB" w14:textId="3DFB1337" w:rsidR="008277DD" w:rsidRPr="00E31C0B" w:rsidRDefault="008277DD" w:rsidP="00B447DF">
      <w:pPr>
        <w:pStyle w:val="7"/>
        <w:rPr>
          <w:rFonts w:hAnsi="標楷體"/>
        </w:rPr>
      </w:pPr>
      <w:r w:rsidRPr="00E31C0B">
        <w:rPr>
          <w:rFonts w:hAnsi="標楷體" w:hint="eastAsia"/>
        </w:rPr>
        <w:t>對「類似案件」就非屬聲請釋憲之法院，於大法官就法規範為違憲定期失效之宣告後，於此期限內對類似案件應如何處理，憲法訴訟法已有規範，即前述第</w:t>
      </w:r>
      <w:r w:rsidRPr="00E31C0B">
        <w:rPr>
          <w:rFonts w:hAnsi="標楷體"/>
        </w:rPr>
        <w:t>54</w:t>
      </w:r>
      <w:r w:rsidRPr="00E31C0B">
        <w:rPr>
          <w:rFonts w:hAnsi="標楷體" w:hint="eastAsia"/>
        </w:rPr>
        <w:t>條第</w:t>
      </w:r>
      <w:r w:rsidRPr="00E31C0B">
        <w:rPr>
          <w:rFonts w:hAnsi="標楷體"/>
        </w:rPr>
        <w:t>1</w:t>
      </w:r>
      <w:r w:rsidRPr="00E31C0B">
        <w:rPr>
          <w:rFonts w:hAnsi="標楷體" w:hint="eastAsia"/>
        </w:rPr>
        <w:t>項。依本項規定，即先視主文有無相關諭知，如有即依該諭知內容處理；若主文未有相關諭知者，則原則上依憲法訴訟法第</w:t>
      </w:r>
      <w:r w:rsidRPr="00E31C0B">
        <w:rPr>
          <w:rFonts w:hAnsi="標楷體"/>
        </w:rPr>
        <w:t>54</w:t>
      </w:r>
      <w:r w:rsidRPr="00E31C0B">
        <w:rPr>
          <w:rFonts w:hAnsi="標楷體" w:hint="eastAsia"/>
        </w:rPr>
        <w:t>條第</w:t>
      </w:r>
      <w:r w:rsidRPr="00E31C0B">
        <w:rPr>
          <w:rFonts w:hAnsi="標楷體"/>
        </w:rPr>
        <w:t>1</w:t>
      </w:r>
      <w:r w:rsidRPr="00E31C0B">
        <w:rPr>
          <w:rFonts w:hAnsi="標楷體" w:hint="eastAsia"/>
        </w:rPr>
        <w:t>項前段，「於期限屆至前，各法院審理案件，仍應適用該法規範。」然重要者毋寧為本項但書之規定，惟案件</w:t>
      </w:r>
      <w:r w:rsidR="003E6219" w:rsidRPr="00E31C0B">
        <w:rPr>
          <w:rFonts w:hAnsi="標楷體" w:hint="eastAsia"/>
        </w:rPr>
        <w:t>是否有</w:t>
      </w:r>
      <w:r w:rsidRPr="00E31C0B">
        <w:rPr>
          <w:rFonts w:hAnsi="標楷體" w:hint="eastAsia"/>
        </w:rPr>
        <w:t>「人權保障及公共利益之均衡維護」之情狀而可停止審理，則仍應依個案判斷之，相關機關（司法院、各級法院）應注意為通盤性之考量，以避免發生各該案件審理不均衡之情狀。</w:t>
      </w:r>
    </w:p>
    <w:p w14:paraId="699B09EE" w14:textId="77777777" w:rsidR="008277DD" w:rsidRPr="00E31C0B" w:rsidRDefault="008277DD" w:rsidP="00B447DF">
      <w:pPr>
        <w:pStyle w:val="6"/>
        <w:rPr>
          <w:rFonts w:hAnsi="標楷體"/>
          <w:bCs/>
        </w:rPr>
      </w:pPr>
      <w:r w:rsidRPr="00E31C0B">
        <w:rPr>
          <w:rFonts w:hAnsi="標楷體" w:hint="eastAsia"/>
          <w:bCs/>
        </w:rPr>
        <w:t>「人民聲請釋憲」</w:t>
      </w:r>
    </w:p>
    <w:p w14:paraId="7BD8ED1D" w14:textId="5ADDCE18" w:rsidR="008277DD" w:rsidRPr="00E31C0B" w:rsidRDefault="008277DD" w:rsidP="00B447DF">
      <w:pPr>
        <w:pStyle w:val="7"/>
        <w:rPr>
          <w:rFonts w:hAnsi="標楷體"/>
        </w:rPr>
      </w:pPr>
      <w:r w:rsidRPr="00E31C0B">
        <w:rPr>
          <w:rFonts w:hAnsi="標楷體" w:hint="eastAsia"/>
        </w:rPr>
        <w:t>對「原因案件」就大法官為法規範違憲定期失效之宣告，對法院案件之審理亦有影響者，亦會發生於人民聲請法規範審查的類型中。蓋於此對該（已確定之）原因案件，大法官如就裁判上所適用之法規範宣告「違憲定期失效」，則會發回管轄法院</w:t>
      </w:r>
      <w:r w:rsidR="003E6219" w:rsidRPr="00E31C0B">
        <w:rPr>
          <w:rFonts w:hAnsi="標楷體" w:hint="eastAsia"/>
        </w:rPr>
        <w:t>（憲法訴訟法第62條第1項）</w:t>
      </w:r>
      <w:r w:rsidRPr="00E31C0B">
        <w:rPr>
          <w:rFonts w:hAnsi="標楷體" w:hint="eastAsia"/>
        </w:rPr>
        <w:t>，法院即應對之</w:t>
      </w:r>
      <w:r w:rsidRPr="00E31C0B">
        <w:rPr>
          <w:rFonts w:hAnsi="標楷體" w:hint="eastAsia"/>
        </w:rPr>
        <w:lastRenderedPageBreak/>
        <w:t>審理。此際憲法訴訟法第</w:t>
      </w:r>
      <w:r w:rsidRPr="00E31C0B">
        <w:rPr>
          <w:rFonts w:hAnsi="標楷體"/>
        </w:rPr>
        <w:t>64</w:t>
      </w:r>
      <w:r w:rsidRPr="00E31C0B">
        <w:rPr>
          <w:rFonts w:hAnsi="標楷體" w:hint="eastAsia"/>
        </w:rPr>
        <w:t>條第</w:t>
      </w:r>
      <w:r w:rsidRPr="00E31C0B">
        <w:rPr>
          <w:rFonts w:hAnsi="標楷體"/>
        </w:rPr>
        <w:t>1</w:t>
      </w:r>
      <w:r w:rsidRPr="00E31C0B">
        <w:rPr>
          <w:rFonts w:hAnsi="標楷體" w:hint="eastAsia"/>
        </w:rPr>
        <w:t>項有明確規範：「判決宣告法規範定期失效者，於期限屆至前，審理原因案件之法院應依判決宣告法規範違憲之意旨為裁判，不受該定期失效期限之拘束。但判決主文另有諭知者，依其諭知。」即依此而處理。</w:t>
      </w:r>
    </w:p>
    <w:p w14:paraId="4C0D62D4" w14:textId="05FA972E" w:rsidR="008277DD" w:rsidRPr="00E31C0B" w:rsidRDefault="008277DD" w:rsidP="00B447DF">
      <w:pPr>
        <w:pStyle w:val="7"/>
        <w:rPr>
          <w:rFonts w:hAnsi="標楷體"/>
        </w:rPr>
      </w:pPr>
      <w:r w:rsidRPr="00E31C0B">
        <w:rPr>
          <w:rFonts w:hAnsi="標楷體" w:hint="eastAsia"/>
        </w:rPr>
        <w:t>對「類似案件」</w:t>
      </w:r>
      <w:r w:rsidR="003E6219" w:rsidRPr="00E31C0B">
        <w:rPr>
          <w:rFonts w:hAnsi="標楷體" w:hint="eastAsia"/>
        </w:rPr>
        <w:t>若</w:t>
      </w:r>
      <w:r w:rsidRPr="00E31C0B">
        <w:rPr>
          <w:rFonts w:hAnsi="標楷體" w:hint="eastAsia"/>
        </w:rPr>
        <w:t>在人民聲請法規範憲法審查、而大法官宣告「違憲定期失效」，對尚在法院審理中之案件，則憲法訴訟法第</w:t>
      </w:r>
      <w:r w:rsidRPr="00E31C0B">
        <w:rPr>
          <w:rFonts w:hAnsi="標楷體"/>
        </w:rPr>
        <w:t>64</w:t>
      </w:r>
      <w:r w:rsidRPr="00E31C0B">
        <w:rPr>
          <w:rFonts w:hAnsi="標楷體" w:hint="eastAsia"/>
        </w:rPr>
        <w:t>條第</w:t>
      </w:r>
      <w:r w:rsidRPr="00E31C0B">
        <w:rPr>
          <w:rFonts w:hAnsi="標楷體"/>
        </w:rPr>
        <w:t>2</w:t>
      </w:r>
      <w:r w:rsidRPr="00E31C0B">
        <w:rPr>
          <w:rFonts w:hAnsi="標楷體" w:hint="eastAsia"/>
        </w:rPr>
        <w:t>項即有規定：「前項法規範定期失效之情形，各法院於審理其他案件時，準用第54條規定。」</w:t>
      </w:r>
    </w:p>
    <w:p w14:paraId="38952B12" w14:textId="148C0163" w:rsidR="008277DD" w:rsidRPr="00E31C0B" w:rsidRDefault="008277DD" w:rsidP="00B447DF">
      <w:pPr>
        <w:pStyle w:val="5"/>
        <w:rPr>
          <w:rFonts w:hAnsi="標楷體"/>
        </w:rPr>
      </w:pPr>
      <w:r w:rsidRPr="00E31C0B">
        <w:rPr>
          <w:rFonts w:hAnsi="標楷體" w:hint="eastAsia"/>
        </w:rPr>
        <w:t>結論，大法官與各級法院法官實無大小或階級之分，均為憲法規範下職司司法權之機關，僅執掌之事務有所區別。惟基於憲法最高性之維護，當應予釋憲機關所為之裁判有各種相對於一般法院裁判之特殊效力，尤其「（一般）拘束力」，此即憲法訴訟法第</w:t>
      </w:r>
      <w:r w:rsidRPr="00E31C0B">
        <w:rPr>
          <w:rFonts w:hAnsi="標楷體"/>
        </w:rPr>
        <w:t>38</w:t>
      </w:r>
      <w:r w:rsidRPr="00E31C0B">
        <w:rPr>
          <w:rFonts w:hAnsi="標楷體" w:hint="eastAsia"/>
        </w:rPr>
        <w:t>條第</w:t>
      </w:r>
      <w:r w:rsidRPr="00E31C0B">
        <w:rPr>
          <w:rFonts w:hAnsi="標楷體"/>
        </w:rPr>
        <w:t>1</w:t>
      </w:r>
      <w:r w:rsidRPr="00E31C0B">
        <w:rPr>
          <w:rFonts w:hAnsi="標楷體" w:hint="eastAsia"/>
        </w:rPr>
        <w:t>項規定「判決，有拘束各機關及人民之效力；各機關並有實現判決內容之義務。」之所設。「各級法院」作為國家機關，當應受大法官解釋、憲法法庭裁判之拘束，就此而言，如大法官既於其審理之案件中宣告法規範「違憲定期失效」，該期間（及解釋或判決的相關內容）即有拘束各級法院之效力，並無疑問</w:t>
      </w:r>
      <w:r w:rsidR="005D36FA" w:rsidRPr="00E31C0B">
        <w:rPr>
          <w:rFonts w:hAnsi="標楷體" w:hint="eastAsia"/>
        </w:rPr>
        <w:t>；如</w:t>
      </w:r>
      <w:r w:rsidRPr="00E31C0B">
        <w:rPr>
          <w:rFonts w:hAnsi="標楷體" w:hint="eastAsia"/>
        </w:rPr>
        <w:t>有個案適用上的疑慮，則依相關法理解決之。至於就「執行」諭知</w:t>
      </w:r>
      <w:r w:rsidR="00EE63C7" w:rsidRPr="00E31C0B">
        <w:rPr>
          <w:rFonts w:hAnsi="標楷體" w:hint="eastAsia"/>
        </w:rPr>
        <w:t>部分</w:t>
      </w:r>
      <w:r w:rsidRPr="00E31C0B">
        <w:rPr>
          <w:rFonts w:hAnsi="標楷體" w:hint="eastAsia"/>
        </w:rPr>
        <w:t>，同上法理，亦產生有拘束法院的效力，惟此並不表示法官於個案中更為均衡（合於大法官解釋或裁判意旨下）之處理即屬違法。</w:t>
      </w:r>
    </w:p>
    <w:p w14:paraId="2F90FC9C" w14:textId="083E41A9" w:rsidR="00EF5823" w:rsidRPr="00E31C0B" w:rsidRDefault="005B1E60" w:rsidP="00B447DF">
      <w:pPr>
        <w:pStyle w:val="4"/>
        <w:rPr>
          <w:rFonts w:hAnsi="標楷體"/>
          <w:bCs/>
          <w:szCs w:val="32"/>
        </w:rPr>
      </w:pPr>
      <w:r w:rsidRPr="00E31C0B">
        <w:rPr>
          <w:rFonts w:hAnsi="標楷體" w:hint="eastAsia"/>
          <w:bCs/>
        </w:rPr>
        <w:t>錢○榮</w:t>
      </w:r>
      <w:r w:rsidR="00EF5823" w:rsidRPr="00E31C0B">
        <w:rPr>
          <w:rFonts w:hAnsi="標楷體"/>
          <w:bCs/>
        </w:rPr>
        <w:t>律師</w:t>
      </w:r>
      <w:r w:rsidR="00EF5823" w:rsidRPr="00E31C0B">
        <w:rPr>
          <w:rFonts w:hAnsi="標楷體" w:hint="eastAsia"/>
          <w:bCs/>
        </w:rPr>
        <w:t>意見：</w:t>
      </w:r>
    </w:p>
    <w:p w14:paraId="6837AD1C" w14:textId="77777777" w:rsidR="00EF5823" w:rsidRPr="00E31C0B" w:rsidRDefault="00EF5823" w:rsidP="00B447DF">
      <w:pPr>
        <w:pStyle w:val="5"/>
        <w:rPr>
          <w:rFonts w:hAnsi="標楷體"/>
        </w:rPr>
      </w:pPr>
      <w:r w:rsidRPr="00E31C0B">
        <w:rPr>
          <w:rFonts w:hAnsi="標楷體" w:hint="eastAsia"/>
        </w:rPr>
        <w:lastRenderedPageBreak/>
        <w:t>折衷說模式一：區分定期失效的法規範性質，如係侵害行政或刑罰法規範，依最高法院110年度台上大字第446號刑事裁定甲說於失效期限內適用大法官解釋意旨；如係授益、給付福利行政法規範，則依乙說待法律修正後適用修正新法。本件為刑事法律性質，且為有利被告之違憲宣告，自應適用甲說。折衷說模式二：僅有原因案件之聲請人，包括人民聲請與法官聲請案件，於失效期限前依甲說辦理；其他非原因案件之當事人，法官則僅能依乙說辦理。</w:t>
      </w:r>
    </w:p>
    <w:p w14:paraId="3AF8ED1B" w14:textId="77777777" w:rsidR="00EF5823" w:rsidRPr="00E31C0B" w:rsidRDefault="00EF5823" w:rsidP="00B447DF">
      <w:pPr>
        <w:pStyle w:val="5"/>
        <w:rPr>
          <w:rFonts w:hAnsi="標楷體"/>
        </w:rPr>
      </w:pPr>
      <w:r w:rsidRPr="00E31C0B">
        <w:rPr>
          <w:rFonts w:hAnsi="標楷體" w:hint="eastAsia"/>
        </w:rPr>
        <w:t>大法官解釋的效力，除分別為立即失效及定期失效解釋外，尚有單純違憲宣告及警告性裁判等，司法院釋字第790號解釋屬定期失效宣告之解釋，涉及大法官定期失效解釋對於普通法院拘束力之重要爭議，以及法官於個案上如何因應與適用，非僅如最高法院110年度台上大字第446號刑事裁定所考慮甲說、乙說能截然劃分的理由，說明如下：</w:t>
      </w:r>
    </w:p>
    <w:p w14:paraId="7AACE7CB" w14:textId="77777777" w:rsidR="00EF5823" w:rsidRPr="00E31C0B" w:rsidRDefault="00EF5823" w:rsidP="00B447DF">
      <w:pPr>
        <w:pStyle w:val="6"/>
        <w:rPr>
          <w:rFonts w:hAnsi="標楷體"/>
          <w:bCs/>
        </w:rPr>
      </w:pPr>
      <w:r w:rsidRPr="00E31C0B">
        <w:rPr>
          <w:rFonts w:hAnsi="標楷體" w:hint="eastAsia"/>
          <w:bCs/>
        </w:rPr>
        <w:t>定期失效宣告的制度成因與法理</w:t>
      </w:r>
    </w:p>
    <w:p w14:paraId="56453F6B" w14:textId="7B7A37AA" w:rsidR="00EF5823" w:rsidRPr="00E31C0B" w:rsidRDefault="00EF5823" w:rsidP="00B447DF">
      <w:pPr>
        <w:pStyle w:val="7"/>
        <w:rPr>
          <w:rFonts w:hAnsi="標楷體"/>
        </w:rPr>
      </w:pPr>
      <w:r w:rsidRPr="00E31C0B">
        <w:rPr>
          <w:rFonts w:hAnsi="標楷體" w:hint="eastAsia"/>
        </w:rPr>
        <w:t>按法律與憲法牴觸者無效；命令與憲法或法律牴觸者</w:t>
      </w:r>
      <w:r w:rsidR="005D36FA" w:rsidRPr="00E31C0B">
        <w:rPr>
          <w:rFonts w:hAnsi="標楷體" w:hint="eastAsia"/>
        </w:rPr>
        <w:t>無效，憲法</w:t>
      </w:r>
      <w:r w:rsidRPr="00E31C0B">
        <w:rPr>
          <w:rFonts w:hAnsi="標楷體" w:hint="eastAsia"/>
        </w:rPr>
        <w:t>第171條第1項、第172條分別定有明文。而所謂「無效」係指「自始、當然、確定無效</w:t>
      </w:r>
      <w:r w:rsidR="006E7A15" w:rsidRPr="00E31C0B">
        <w:rPr>
          <w:rFonts w:hAnsi="標楷體" w:hint="eastAsia"/>
        </w:rPr>
        <w:t>。」</w:t>
      </w:r>
      <w:r w:rsidRPr="00E31C0B">
        <w:rPr>
          <w:rFonts w:hAnsi="標楷體" w:hint="eastAsia"/>
        </w:rPr>
        <w:t>惟基於權力分立與民主原則，大法官為尊重代表民意之立法權，也為維護法安定性原則，避免法律真空造成的不平等或更大危害，法諺有云：「法雖不善，猶愈於無法</w:t>
      </w:r>
      <w:r w:rsidR="006E7A15" w:rsidRPr="00E31C0B">
        <w:rPr>
          <w:rFonts w:hAnsi="標楷體" w:hint="eastAsia"/>
        </w:rPr>
        <w:t>。」</w:t>
      </w:r>
      <w:r w:rsidRPr="00E31C0B">
        <w:rPr>
          <w:rFonts w:hAnsi="標楷體" w:hint="eastAsia"/>
        </w:rPr>
        <w:t>因而就違憲的法律或命令，採取「定期失效宣告」之解釋模式，給予立法者有制定合乎憲法意旨且取代違憲法律或命令可能性的</w:t>
      </w:r>
      <w:r w:rsidRPr="00E31C0B">
        <w:rPr>
          <w:rFonts w:hAnsi="標楷體" w:hint="eastAsia"/>
        </w:rPr>
        <w:lastRenderedPageBreak/>
        <w:t>空間。乃我國自司法院釋字第218號解釋（命令違憲宣告）、司法院釋字第224號解釋（法律違憲宣告）以降，所習用之違憲宣告模式。</w:t>
      </w:r>
    </w:p>
    <w:p w14:paraId="399EE2A2" w14:textId="6A1F5520" w:rsidR="00EF5823" w:rsidRPr="00E31C0B" w:rsidRDefault="00EF5823" w:rsidP="00B447DF">
      <w:pPr>
        <w:pStyle w:val="7"/>
        <w:rPr>
          <w:rFonts w:hAnsi="標楷體"/>
        </w:rPr>
      </w:pPr>
      <w:r w:rsidRPr="00E31C0B">
        <w:rPr>
          <w:rFonts w:hAnsi="標楷體" w:hint="eastAsia"/>
        </w:rPr>
        <w:t>定期失效宣告之解釋的基本法理在於避免法律真</w:t>
      </w:r>
      <w:r w:rsidR="00EE63C7" w:rsidRPr="00E31C0B">
        <w:rPr>
          <w:rFonts w:hAnsi="標楷體" w:hint="eastAsia"/>
        </w:rPr>
        <w:t>空，倘</w:t>
      </w:r>
      <w:r w:rsidRPr="00E31C0B">
        <w:rPr>
          <w:rFonts w:hAnsi="標楷體" w:hint="eastAsia"/>
        </w:rPr>
        <w:t>使法律立即失效所造成的負面效果重於賦予立法過渡期間，給予立法者有制定新法取代舊法的時間即有必要。前</w:t>
      </w:r>
      <w:r w:rsidR="005D36FA" w:rsidRPr="00E31C0B">
        <w:rPr>
          <w:rFonts w:hAnsi="標楷體" w:hint="eastAsia"/>
        </w:rPr>
        <w:t>司法院院長</w:t>
      </w:r>
      <w:r w:rsidRPr="00E31C0B">
        <w:rPr>
          <w:rFonts w:hAnsi="標楷體" w:hint="eastAsia"/>
        </w:rPr>
        <w:t>、首席大法官翁岳生於司法院釋字第455號解釋，首次打破他歷來保持沉默的態度，罕見更是首見的提出協同意見書，即一語道破此種制度的意義所在：「宣告法規無效時，若其將使現行法秩序發生紊亂，或對公共利益造成重大影響者，自不宜率然為之，而有容許其暫時存在之必要，以避免造成法真空狀態，並維持法安定性</w:t>
      </w:r>
      <w:r w:rsidR="006E7A15" w:rsidRPr="00E31C0B">
        <w:rPr>
          <w:rFonts w:hAnsi="標楷體" w:hint="eastAsia"/>
        </w:rPr>
        <w:t>。」</w:t>
      </w:r>
    </w:p>
    <w:p w14:paraId="1F6936DF" w14:textId="77777777" w:rsidR="00EF5823" w:rsidRPr="00E31C0B" w:rsidRDefault="00EF5823" w:rsidP="00B447DF">
      <w:pPr>
        <w:pStyle w:val="6"/>
        <w:rPr>
          <w:rFonts w:hAnsi="標楷體"/>
          <w:bCs/>
        </w:rPr>
      </w:pPr>
      <w:r w:rsidRPr="00E31C0B">
        <w:rPr>
          <w:rFonts w:hAnsi="標楷體" w:hint="eastAsia"/>
          <w:bCs/>
        </w:rPr>
        <w:t>定期失效制度的檢討</w:t>
      </w:r>
    </w:p>
    <w:p w14:paraId="226AD092" w14:textId="1F972FEE" w:rsidR="00EF5823" w:rsidRPr="00E31C0B" w:rsidRDefault="00EF5823" w:rsidP="00B447DF">
      <w:pPr>
        <w:pStyle w:val="7"/>
        <w:rPr>
          <w:rFonts w:hAnsi="標楷體"/>
        </w:rPr>
      </w:pPr>
      <w:r w:rsidRPr="00E31C0B">
        <w:rPr>
          <w:rFonts w:hAnsi="標楷體" w:hint="eastAsia"/>
        </w:rPr>
        <w:t>然而定期失效宣告制度，在法律適用邏輯上是矛盾的。蓋大法官既然宣告法規範違憲，許玉秀大法官在司法院釋字第613號解釋提出部分協同意見書即直言：「不管是因為侵害基本權、破壞權力分立或違反其他憲法原則，只要它存在一天，都是正在破壞憲法價值，理當立即失效，才能排除對人權及憲法的傷害，如果各級法院及行政機關繼續適用違憲規範，豈不是繼續實施違憲行為，侵害人民基本權、破壞憲法所保障的價值？而且如果聲請解釋的個案可以請求特別救濟，不適用違憲規範</w:t>
      </w:r>
      <w:r w:rsidRPr="00E31C0B">
        <w:rPr>
          <w:rFonts w:hAnsi="標楷體" w:hint="eastAsia"/>
        </w:rPr>
        <w:lastRenderedPageBreak/>
        <w:t>，其他尚未確定的個案，卻必須適用違憲規範，也造成不公平的現象，這個矛盾邏輯確實是定期失效制度的根本缺陷</w:t>
      </w:r>
      <w:r w:rsidR="006E7A15" w:rsidRPr="00E31C0B">
        <w:rPr>
          <w:rFonts w:hAnsi="標楷體" w:hint="eastAsia"/>
        </w:rPr>
        <w:t>。」</w:t>
      </w:r>
    </w:p>
    <w:p w14:paraId="76D0366B" w14:textId="486E4E84" w:rsidR="00EF5823" w:rsidRPr="00E31C0B" w:rsidRDefault="00EF5823" w:rsidP="00B447DF">
      <w:pPr>
        <w:pStyle w:val="7"/>
        <w:rPr>
          <w:rFonts w:hAnsi="標楷體"/>
        </w:rPr>
      </w:pPr>
      <w:r w:rsidRPr="00E31C0B">
        <w:rPr>
          <w:rFonts w:hAnsi="標楷體" w:hint="eastAsia"/>
        </w:rPr>
        <w:t>惟普通法院司法實務仍就形式法律適用邏輯出發，根本上即否定原因案件聲請人，在法規範失效期限之前的救濟可能性。最具代表性者即最高行政法院97年判字第615號判例意旨：司法院釋字第185號解釋所指「確定終局裁判所適用之法律或命令，依人民聲請解釋認為與憲法意旨不符，其受不利確定終局裁判者，得以該解釋為再審或非常上訴之理由」等語，僅係重申司法院釋字第177號解釋「</w:t>
      </w:r>
      <w:r w:rsidR="003B3A8F" w:rsidRPr="00E31C0B">
        <w:rPr>
          <w:rFonts w:hAnsi="標楷體" w:hint="eastAsia"/>
        </w:rPr>
        <w:t>司法院</w:t>
      </w:r>
      <w:r w:rsidRPr="00E31C0B">
        <w:rPr>
          <w:rFonts w:hAnsi="標楷體" w:hint="eastAsia"/>
        </w:rPr>
        <w:t>依人民聲請所為之解釋，對聲請人據以聲請之案件，亦有效力」之意旨，須解釋未另定違憲法令失效日者，對於聲請人據以聲請之案件方有溯及之效力。如經解釋確定終局裁判所適用之法規違憲，且該法規於一定期限內尚屬有效者，自無從對於聲請人據以聲請之案件發生溯及之效力。</w:t>
      </w:r>
    </w:p>
    <w:p w14:paraId="2CC4AEB8" w14:textId="27FCE195" w:rsidR="00EF5823" w:rsidRPr="00E31C0B" w:rsidRDefault="00EF5823" w:rsidP="00B447DF">
      <w:pPr>
        <w:pStyle w:val="7"/>
        <w:rPr>
          <w:rFonts w:hAnsi="標楷體"/>
        </w:rPr>
      </w:pPr>
      <w:r w:rsidRPr="00E31C0B">
        <w:rPr>
          <w:rFonts w:hAnsi="標楷體" w:hint="eastAsia"/>
        </w:rPr>
        <w:t>換言之，即使是成功打贏憲法官司的人民，經大法官認定適用於其原因案件的法律違憲，但只要大法官係宣告定期失效，即使其原因個案可以聲請再審或非常上訴，但是在失效期限未屆至前，該違憲法律仍然有效，這種再審或非常上訴官司，仍然會遭到駁回而敗訴，所謂「贏了解釋，卻輸了官司</w:t>
      </w:r>
      <w:r w:rsidR="006E7A15" w:rsidRPr="00E31C0B">
        <w:rPr>
          <w:rFonts w:hAnsi="標楷體" w:hint="eastAsia"/>
        </w:rPr>
        <w:t>。」</w:t>
      </w:r>
    </w:p>
    <w:p w14:paraId="106F8876" w14:textId="1A3AD3EA" w:rsidR="00EF5823" w:rsidRPr="00E31C0B" w:rsidRDefault="00EF5823" w:rsidP="00B447DF">
      <w:pPr>
        <w:pStyle w:val="7"/>
        <w:rPr>
          <w:rFonts w:hAnsi="標楷體"/>
        </w:rPr>
      </w:pPr>
      <w:r w:rsidRPr="00E31C0B">
        <w:rPr>
          <w:rFonts w:hAnsi="標楷體" w:hint="eastAsia"/>
        </w:rPr>
        <w:t>實則歷來大法官解釋均認為對原因案件聲請人具有溯及效力。司法院釋字第177</w:t>
      </w:r>
      <w:r w:rsidRPr="00E31C0B">
        <w:rPr>
          <w:rFonts w:hAnsi="標楷體" w:hint="eastAsia"/>
        </w:rPr>
        <w:lastRenderedPageBreak/>
        <w:t>號解釋：</w:t>
      </w:r>
      <w:r w:rsidR="005D36FA" w:rsidRPr="00E31C0B">
        <w:rPr>
          <w:rFonts w:hAnsi="標楷體" w:hint="eastAsia"/>
        </w:rPr>
        <w:t>「</w:t>
      </w:r>
      <w:r w:rsidR="003B3A8F" w:rsidRPr="00E31C0B">
        <w:rPr>
          <w:rFonts w:hAnsi="標楷體"/>
        </w:rPr>
        <w:t>司法院</w:t>
      </w:r>
      <w:r w:rsidRPr="00E31C0B">
        <w:rPr>
          <w:rFonts w:hAnsi="標楷體"/>
        </w:rPr>
        <w:t>依人民聲請所為之解</w:t>
      </w:r>
      <w:r w:rsidRPr="00E31C0B">
        <w:rPr>
          <w:rFonts w:hAnsi="標楷體" w:hint="eastAsia"/>
        </w:rPr>
        <w:t>釋</w:t>
      </w:r>
      <w:r w:rsidRPr="00E31C0B">
        <w:rPr>
          <w:rFonts w:hAnsi="標楷體"/>
        </w:rPr>
        <w:t>，對聲請人據以聲請之案件，亦有效力。</w:t>
      </w:r>
      <w:r w:rsidR="005D36FA" w:rsidRPr="00E31C0B">
        <w:rPr>
          <w:rFonts w:hAnsi="標楷體" w:hint="eastAsia"/>
        </w:rPr>
        <w:t>」</w:t>
      </w:r>
      <w:r w:rsidRPr="00E31C0B">
        <w:rPr>
          <w:rFonts w:hAnsi="標楷體" w:hint="eastAsia"/>
        </w:rPr>
        <w:t>其後司法院釋字第185號解釋，為了准予人民聲請再審，特別宣示：</w:t>
      </w:r>
      <w:r w:rsidRPr="00E31C0B">
        <w:rPr>
          <w:rFonts w:hAnsi="標楷體"/>
        </w:rPr>
        <w:t>司法院解釋憲法，並有統一解釋法律及命令之權，為憲法第</w:t>
      </w:r>
      <w:r w:rsidRPr="00E31C0B">
        <w:rPr>
          <w:rFonts w:hAnsi="標楷體" w:hint="eastAsia"/>
        </w:rPr>
        <w:t>78</w:t>
      </w:r>
      <w:r w:rsidRPr="00E31C0B">
        <w:rPr>
          <w:rFonts w:hAnsi="標楷體"/>
        </w:rPr>
        <w:t>條所明定，其所為之解釋，自有拘束全國各機關及人民之效力，各機關處理有關事項，應依解釋意旨為之，違背解釋之判例，當然失其效力。</w:t>
      </w:r>
      <w:r w:rsidRPr="00E31C0B">
        <w:rPr>
          <w:rFonts w:hAnsi="標楷體" w:hint="eastAsia"/>
        </w:rPr>
        <w:t>司法院釋字第193號解釋再強調：</w:t>
      </w:r>
      <w:r w:rsidRPr="00E31C0B">
        <w:rPr>
          <w:rFonts w:hAnsi="標楷體"/>
        </w:rPr>
        <w:t>司法院釋字第</w:t>
      </w:r>
      <w:r w:rsidRPr="00E31C0B">
        <w:rPr>
          <w:rFonts w:hAnsi="標楷體" w:hint="eastAsia"/>
        </w:rPr>
        <w:t>177</w:t>
      </w:r>
      <w:r w:rsidRPr="00E31C0B">
        <w:rPr>
          <w:rFonts w:hAnsi="標楷體"/>
        </w:rPr>
        <w:t>號解釋所稱：「</w:t>
      </w:r>
      <w:r w:rsidR="003B3A8F" w:rsidRPr="00E31C0B">
        <w:rPr>
          <w:rFonts w:hAnsi="標楷體"/>
        </w:rPr>
        <w:t>司法院</w:t>
      </w:r>
      <w:r w:rsidRPr="00E31C0B">
        <w:rPr>
          <w:rFonts w:hAnsi="標楷體"/>
        </w:rPr>
        <w:t>依人民聲請所為之解釋，對聲請人據以聲請之案件，亦有效力」，於聲請人以同一法令牴觸憲法疑義而已聲請解釋之各案件，亦可適用。</w:t>
      </w:r>
      <w:r w:rsidRPr="00E31C0B">
        <w:rPr>
          <w:rFonts w:hAnsi="標楷體" w:hint="eastAsia"/>
        </w:rPr>
        <w:t>換言之，所稱的定期失效，尤其是人民聲請違憲審查之案例，係針對聲請人以外之人而言，至於原因案件的聲請人，仍舊依據司法院釋字第177號、第185號等解釋，應同時取得如再審等非常救濟的程序權與個案實體權利。</w:t>
      </w:r>
    </w:p>
    <w:p w14:paraId="21D2D283" w14:textId="77777777" w:rsidR="00EF5823" w:rsidRPr="00E31C0B" w:rsidRDefault="00EF5823" w:rsidP="00B447DF">
      <w:pPr>
        <w:pStyle w:val="6"/>
        <w:rPr>
          <w:rFonts w:hAnsi="標楷體"/>
          <w:bCs/>
        </w:rPr>
      </w:pPr>
      <w:r w:rsidRPr="00E31C0B">
        <w:rPr>
          <w:rFonts w:hAnsi="標楷體" w:hint="eastAsia"/>
          <w:bCs/>
        </w:rPr>
        <w:t>司法院釋字第725號、第741號解釋強調對於所有原因案件當事人均適用</w:t>
      </w:r>
    </w:p>
    <w:p w14:paraId="2FE2B58C" w14:textId="07B1B23A" w:rsidR="00EF5823" w:rsidRPr="00E31C0B" w:rsidRDefault="00EF5823" w:rsidP="00B447DF">
      <w:pPr>
        <w:pStyle w:val="7"/>
        <w:rPr>
          <w:rFonts w:hAnsi="標楷體"/>
        </w:rPr>
      </w:pPr>
      <w:r w:rsidRPr="00E31C0B">
        <w:rPr>
          <w:rFonts w:hAnsi="標楷體" w:hint="eastAsia"/>
        </w:rPr>
        <w:t>司法院釋字第725號解釋為了解決定期失效解釋的聲請人仍被法院拒於門外的現象，將最高行政法院97年判字第615號判例一併宣告違憲。解釋謂：「</w:t>
      </w:r>
      <w:r w:rsidR="003B3A8F" w:rsidRPr="00E31C0B">
        <w:rPr>
          <w:rFonts w:hAnsi="標楷體"/>
        </w:rPr>
        <w:t>司法院</w:t>
      </w:r>
      <w:r w:rsidRPr="00E31C0B">
        <w:rPr>
          <w:rFonts w:hAnsi="標楷體"/>
        </w:rPr>
        <w:t>就人民聲請解釋憲法，宣告確定終局裁判所適用之法令於一定期限後失效者，聲請人就聲請釋憲之原因案件即得據以請求再審或其他救濟，檢察總長亦得據以提起非常上</w:t>
      </w:r>
      <w:r w:rsidRPr="00E31C0B">
        <w:rPr>
          <w:rFonts w:hAnsi="標楷體"/>
        </w:rPr>
        <w:lastRenderedPageBreak/>
        <w:t>訴；法院不得以該法令於該期限內仍屬有效為理由駁回。如</w:t>
      </w:r>
      <w:r w:rsidR="003B3A8F" w:rsidRPr="00E31C0B">
        <w:rPr>
          <w:rFonts w:hAnsi="標楷體"/>
        </w:rPr>
        <w:t>司法院</w:t>
      </w:r>
      <w:r w:rsidRPr="00E31C0B">
        <w:rPr>
          <w:rFonts w:hAnsi="標楷體"/>
        </w:rPr>
        <w:t>解釋諭知原因案件具體之救濟方法者，依其諭知；如未諭知，則俟新法令公布、發布生效後依新法令裁判。司法院釋字第</w:t>
      </w:r>
      <w:r w:rsidRPr="00E31C0B">
        <w:rPr>
          <w:rFonts w:hAnsi="標楷體" w:hint="eastAsia"/>
        </w:rPr>
        <w:t>177</w:t>
      </w:r>
      <w:r w:rsidRPr="00E31C0B">
        <w:rPr>
          <w:rFonts w:hAnsi="標楷體"/>
        </w:rPr>
        <w:t>號及第</w:t>
      </w:r>
      <w:r w:rsidRPr="00E31C0B">
        <w:rPr>
          <w:rFonts w:hAnsi="標楷體" w:hint="eastAsia"/>
        </w:rPr>
        <w:t>185</w:t>
      </w:r>
      <w:r w:rsidRPr="00E31C0B">
        <w:rPr>
          <w:rFonts w:hAnsi="標楷體"/>
        </w:rPr>
        <w:t>號解釋應予補充。最高行政法院</w:t>
      </w:r>
      <w:r w:rsidRPr="00E31C0B">
        <w:rPr>
          <w:rFonts w:hAnsi="標楷體" w:hint="eastAsia"/>
        </w:rPr>
        <w:t>97</w:t>
      </w:r>
      <w:r w:rsidRPr="00E31C0B">
        <w:rPr>
          <w:rFonts w:hAnsi="標楷體"/>
        </w:rPr>
        <w:t>年判字第</w:t>
      </w:r>
      <w:r w:rsidRPr="00E31C0B">
        <w:rPr>
          <w:rFonts w:hAnsi="標楷體" w:hint="eastAsia"/>
        </w:rPr>
        <w:t>615</w:t>
      </w:r>
      <w:r w:rsidRPr="00E31C0B">
        <w:rPr>
          <w:rFonts w:hAnsi="標楷體"/>
        </w:rPr>
        <w:t>號判例與本解釋意旨不符部分，應不再援用。行政訴訟法第</w:t>
      </w:r>
      <w:r w:rsidRPr="00E31C0B">
        <w:rPr>
          <w:rFonts w:hAnsi="標楷體" w:hint="eastAsia"/>
        </w:rPr>
        <w:t>273</w:t>
      </w:r>
      <w:r w:rsidRPr="00E31C0B">
        <w:rPr>
          <w:rFonts w:hAnsi="標楷體"/>
        </w:rPr>
        <w:t>條第</w:t>
      </w:r>
      <w:r w:rsidRPr="00E31C0B">
        <w:rPr>
          <w:rFonts w:hAnsi="標楷體" w:hint="eastAsia"/>
        </w:rPr>
        <w:t>2</w:t>
      </w:r>
      <w:r w:rsidRPr="00E31C0B">
        <w:rPr>
          <w:rFonts w:hAnsi="標楷體"/>
        </w:rPr>
        <w:t>項得提起再審之訴之規定，並不排除確定終局判決所適用之法令經</w:t>
      </w:r>
      <w:r w:rsidR="003B3A8F" w:rsidRPr="00E31C0B">
        <w:rPr>
          <w:rFonts w:hAnsi="標楷體"/>
        </w:rPr>
        <w:t>司法院</w:t>
      </w:r>
      <w:r w:rsidRPr="00E31C0B">
        <w:rPr>
          <w:rFonts w:hAnsi="標楷體"/>
        </w:rPr>
        <w:t>解釋為牴觸憲法而宣告定期失效之情形。」</w:t>
      </w:r>
    </w:p>
    <w:p w14:paraId="275B7A0D" w14:textId="287CD939" w:rsidR="00EF5823" w:rsidRPr="00E31C0B" w:rsidRDefault="00EF5823" w:rsidP="00B447DF">
      <w:pPr>
        <w:pStyle w:val="7"/>
        <w:rPr>
          <w:rFonts w:hAnsi="標楷體"/>
        </w:rPr>
      </w:pPr>
      <w:r w:rsidRPr="00E31C0B">
        <w:rPr>
          <w:rFonts w:hAnsi="標楷體" w:hint="eastAsia"/>
        </w:rPr>
        <w:t>司法院釋字第7</w:t>
      </w:r>
      <w:r w:rsidRPr="00E31C0B">
        <w:rPr>
          <w:rFonts w:hAnsi="標楷體"/>
        </w:rPr>
        <w:t>41</w:t>
      </w:r>
      <w:r w:rsidRPr="00E31C0B">
        <w:rPr>
          <w:rFonts w:hAnsi="標楷體" w:hint="eastAsia"/>
        </w:rPr>
        <w:t>號解釋再將適用範圍擴及所有曾聲請大法官解釋之原因案件當事人：「</w:t>
      </w:r>
      <w:r w:rsidRPr="00E31C0B">
        <w:rPr>
          <w:rFonts w:hAnsi="標楷體"/>
        </w:rPr>
        <w:t>凡</w:t>
      </w:r>
      <w:r w:rsidR="003B3A8F" w:rsidRPr="00E31C0B">
        <w:rPr>
          <w:rFonts w:hAnsi="標楷體"/>
        </w:rPr>
        <w:t>司法院</w:t>
      </w:r>
      <w:r w:rsidRPr="00E31C0B">
        <w:rPr>
          <w:rFonts w:hAnsi="標楷體"/>
        </w:rPr>
        <w:t>曾就人民聲請解釋憲法，宣告聲請人據以聲請之確定終局裁判所適用之法令，於一定期限後失效者，各該解釋之聲請人均得就其原因案件據以請求再審或其他救濟，檢察總長亦得據以提起非常上訴，以保障釋憲聲請人之權益。司法院釋字第</w:t>
      </w:r>
      <w:r w:rsidRPr="00E31C0B">
        <w:rPr>
          <w:rFonts w:hAnsi="標楷體" w:hint="eastAsia"/>
        </w:rPr>
        <w:t>725</w:t>
      </w:r>
      <w:r w:rsidRPr="00E31C0B">
        <w:rPr>
          <w:rFonts w:hAnsi="標楷體"/>
        </w:rPr>
        <w:t>號解釋前所為定期失效解釋之原因案件亦有其適用。司法院釋字第</w:t>
      </w:r>
      <w:r w:rsidRPr="00E31C0B">
        <w:rPr>
          <w:rFonts w:hAnsi="標楷體" w:hint="eastAsia"/>
        </w:rPr>
        <w:t>725</w:t>
      </w:r>
      <w:r w:rsidRPr="00E31C0B">
        <w:rPr>
          <w:rFonts w:hAnsi="標楷體"/>
        </w:rPr>
        <w:t>號解釋</w:t>
      </w:r>
      <w:r w:rsidR="00BF3A71" w:rsidRPr="00E31C0B">
        <w:rPr>
          <w:rFonts w:hAnsi="標楷體"/>
        </w:rPr>
        <w:t>應予補充。」</w:t>
      </w:r>
    </w:p>
    <w:p w14:paraId="7B66156B" w14:textId="2BF0DA89" w:rsidR="00EF5823" w:rsidRPr="00E31C0B" w:rsidRDefault="00BF3A71" w:rsidP="00B447DF">
      <w:pPr>
        <w:pStyle w:val="7"/>
        <w:rPr>
          <w:rFonts w:hAnsi="標楷體"/>
        </w:rPr>
      </w:pPr>
      <w:r w:rsidRPr="00E31C0B">
        <w:rPr>
          <w:rFonts w:hAnsi="標楷體" w:hint="eastAsia"/>
        </w:rPr>
        <w:t>按</w:t>
      </w:r>
      <w:r w:rsidR="00EF5823" w:rsidRPr="00E31C0B">
        <w:rPr>
          <w:rFonts w:hAnsi="標楷體" w:hint="eastAsia"/>
        </w:rPr>
        <w:t>司法院釋字第7</w:t>
      </w:r>
      <w:r w:rsidR="00EF5823" w:rsidRPr="00E31C0B">
        <w:rPr>
          <w:rFonts w:hAnsi="標楷體"/>
        </w:rPr>
        <w:t>41</w:t>
      </w:r>
      <w:r w:rsidR="00EF5823" w:rsidRPr="00E31C0B">
        <w:rPr>
          <w:rFonts w:hAnsi="標楷體" w:hint="eastAsia"/>
        </w:rPr>
        <w:t>號解釋解釋理由書</w:t>
      </w:r>
      <w:r w:rsidRPr="00E31C0B">
        <w:rPr>
          <w:rFonts w:hAnsi="標楷體" w:hint="eastAsia"/>
        </w:rPr>
        <w:t>，</w:t>
      </w:r>
      <w:r w:rsidR="003B3A8F" w:rsidRPr="00E31C0B">
        <w:rPr>
          <w:rFonts w:hAnsi="標楷體"/>
        </w:rPr>
        <w:t>司法院</w:t>
      </w:r>
      <w:r w:rsidR="00EF5823" w:rsidRPr="00E31C0B">
        <w:rPr>
          <w:rFonts w:hAnsi="標楷體"/>
        </w:rPr>
        <w:t>解釋憲法宣告法令違憲並應失效者，使聲請人得依據該解釋請求再審或由檢察總長提起非常上訴等法定程序，以對其原因案件循求個案救濟，係在保障聲請人之權益，並肯定其對維護憲法之貢獻（系爭解釋理由書參照），原不因</w:t>
      </w:r>
      <w:r w:rsidR="003B3A8F" w:rsidRPr="00E31C0B">
        <w:rPr>
          <w:rFonts w:hAnsi="標楷體"/>
        </w:rPr>
        <w:t>司法院</w:t>
      </w:r>
      <w:r w:rsidR="00EF5823" w:rsidRPr="00E31C0B">
        <w:rPr>
          <w:rFonts w:hAnsi="標楷體"/>
        </w:rPr>
        <w:t>宣告違憲之法令立即失效或定期失效，而有</w:t>
      </w:r>
      <w:r w:rsidR="00EF5823" w:rsidRPr="00E31C0B">
        <w:rPr>
          <w:rFonts w:hAnsi="標楷體"/>
        </w:rPr>
        <w:lastRenderedPageBreak/>
        <w:t>不同。系爭解釋本於此旨，宣示確定終局裁判所適用之法令定期失效者，聲請人即得據以就聲請釋憲之原因案件請求再審等救濟。該解釋雖未就「聲請人就聲請釋憲之原因案件」等語，明定其適用範圍，然由系爭解釋所稱「</w:t>
      </w:r>
      <w:r w:rsidR="003B3A8F" w:rsidRPr="00E31C0B">
        <w:rPr>
          <w:rFonts w:hAnsi="標楷體"/>
        </w:rPr>
        <w:t>司法院</w:t>
      </w:r>
      <w:r w:rsidR="00EF5823" w:rsidRPr="00E31C0B">
        <w:rPr>
          <w:rFonts w:hAnsi="標楷體"/>
        </w:rPr>
        <w:t>就人民聲請解釋憲法，宣告確定終局裁判所適用之法令於一定期限後失效者」等語</w:t>
      </w:r>
      <w:r w:rsidR="00884B2F" w:rsidRPr="00E31C0B">
        <w:rPr>
          <w:rFonts w:hAnsi="標楷體"/>
        </w:rPr>
        <w:t>可知，凡司法</w:t>
      </w:r>
      <w:r w:rsidR="003B3A8F" w:rsidRPr="00E31C0B">
        <w:rPr>
          <w:rFonts w:hAnsi="標楷體"/>
        </w:rPr>
        <w:t>院</w:t>
      </w:r>
      <w:r w:rsidR="00EF5823" w:rsidRPr="00E31C0B">
        <w:rPr>
          <w:rFonts w:hAnsi="標楷體"/>
        </w:rPr>
        <w:t>曾宣告確定終局裁判所適用之法令於一定期限後失效之解釋原因案件，均應予再審等個案救濟之機會。且系爭解釋係針對</w:t>
      </w:r>
      <w:r w:rsidR="003B3A8F" w:rsidRPr="00E31C0B">
        <w:rPr>
          <w:rFonts w:hAnsi="標楷體"/>
        </w:rPr>
        <w:t>司法院</w:t>
      </w:r>
      <w:r w:rsidR="00EF5823" w:rsidRPr="00E31C0B">
        <w:rPr>
          <w:rFonts w:hAnsi="標楷體"/>
        </w:rPr>
        <w:t>為法令定期失效宣告之解釋，應係制度性之通案規範，其適用範圍自應包括凡</w:t>
      </w:r>
      <w:r w:rsidR="003B3A8F" w:rsidRPr="00E31C0B">
        <w:rPr>
          <w:rFonts w:hAnsi="標楷體"/>
        </w:rPr>
        <w:t>司法院</w:t>
      </w:r>
      <w:r w:rsidR="00EF5823" w:rsidRPr="00E31C0B">
        <w:rPr>
          <w:rFonts w:hAnsi="標楷體"/>
        </w:rPr>
        <w:t>曾宣告違憲法令定期失效之解釋（含司法院釋字第</w:t>
      </w:r>
      <w:r w:rsidR="00EF5823" w:rsidRPr="00E31C0B">
        <w:rPr>
          <w:rFonts w:hAnsi="標楷體" w:hint="eastAsia"/>
        </w:rPr>
        <w:t>725</w:t>
      </w:r>
      <w:r w:rsidR="00EF5823" w:rsidRPr="00E31C0B">
        <w:rPr>
          <w:rFonts w:hAnsi="標楷體"/>
        </w:rPr>
        <w:t>號前之宣告違憲法令定期失效之解釋），各該解釋之聲請人均得就其原因案件循求個案救濟，以保障釋憲聲請人之權益，而非僅限於系爭解釋之聲請人始得就其據以聲請該號解釋之原因案件請求救濟，俾使系爭解釋以外其他聲請</w:t>
      </w:r>
      <w:r w:rsidR="003B3A8F" w:rsidRPr="00E31C0B">
        <w:rPr>
          <w:rFonts w:hAnsi="標楷體"/>
        </w:rPr>
        <w:t>司法院</w:t>
      </w:r>
      <w:r w:rsidR="00EF5823" w:rsidRPr="00E31C0B">
        <w:rPr>
          <w:rFonts w:hAnsi="標楷體"/>
        </w:rPr>
        <w:t>解釋之聲請人，於</w:t>
      </w:r>
      <w:r w:rsidR="003B3A8F" w:rsidRPr="00E31C0B">
        <w:rPr>
          <w:rFonts w:hAnsi="標楷體"/>
        </w:rPr>
        <w:t>司法院</w:t>
      </w:r>
      <w:r w:rsidR="00EF5823" w:rsidRPr="00E31C0B">
        <w:rPr>
          <w:rFonts w:hAnsi="標楷體"/>
        </w:rPr>
        <w:t>宣告確定終局裁判所適用之法令違憲並定期失效後，皆能獲得應有之救濟，以符合憲法保障人民訴訟權之意旨，並肯定其維護憲法之貢獻。至各該原因案件之聲請人就其個案是否符合提起再審等救濟期限與其他程序之規範，及有無理由，法院仍應依相關規定予以審查，</w:t>
      </w:r>
      <w:r w:rsidR="00884B2F" w:rsidRPr="00E31C0B">
        <w:rPr>
          <w:rFonts w:hAnsi="標楷體"/>
        </w:rPr>
        <w:t>自屬當然。</w:t>
      </w:r>
    </w:p>
    <w:p w14:paraId="16509BC4" w14:textId="77777777" w:rsidR="00EF5823" w:rsidRPr="00E31C0B" w:rsidRDefault="00EF5823" w:rsidP="00B447DF">
      <w:pPr>
        <w:pStyle w:val="7"/>
        <w:rPr>
          <w:rFonts w:hAnsi="標楷體"/>
        </w:rPr>
      </w:pPr>
      <w:r w:rsidRPr="00E31C0B">
        <w:rPr>
          <w:rFonts w:hAnsi="標楷體" w:hint="eastAsia"/>
        </w:rPr>
        <w:t>從而，司法院釋字第790號解釋的聲請人民</w:t>
      </w:r>
      <w:r w:rsidRPr="00E31C0B">
        <w:rPr>
          <w:rFonts w:hAnsi="標楷體"/>
        </w:rPr>
        <w:t>黃獻璋</w:t>
      </w:r>
      <w:r w:rsidRPr="00E31C0B">
        <w:rPr>
          <w:rFonts w:hAnsi="標楷體" w:hint="eastAsia"/>
        </w:rPr>
        <w:t>應得據以聲請再審或由檢察總</w:t>
      </w:r>
      <w:r w:rsidRPr="00E31C0B">
        <w:rPr>
          <w:rFonts w:hAnsi="標楷體" w:hint="eastAsia"/>
        </w:rPr>
        <w:lastRenderedPageBreak/>
        <w:t>長為之提起非常上訴，在毒品危害防制條例第12條未失效期間，其仍應享有該解釋所指</w:t>
      </w:r>
      <w:r w:rsidRPr="00E31C0B">
        <w:rPr>
          <w:rFonts w:hAnsi="標楷體"/>
        </w:rPr>
        <w:t>減輕其法定刑至</w:t>
      </w:r>
      <w:r w:rsidRPr="00E31C0B">
        <w:rPr>
          <w:rFonts w:hAnsi="標楷體" w:hint="eastAsia"/>
        </w:rPr>
        <w:t>二分之一的適用餘地。惟經查似無</w:t>
      </w:r>
      <w:r w:rsidRPr="00E31C0B">
        <w:rPr>
          <w:rFonts w:hAnsi="標楷體"/>
        </w:rPr>
        <w:t>黃獻璋</w:t>
      </w:r>
      <w:r w:rsidRPr="00E31C0B">
        <w:rPr>
          <w:rFonts w:hAnsi="標楷體" w:hint="eastAsia"/>
        </w:rPr>
        <w:t>的非常救濟案件繫屬原審或最高法院。</w:t>
      </w:r>
    </w:p>
    <w:p w14:paraId="2D746547" w14:textId="22C19E00" w:rsidR="00EF5823" w:rsidRPr="00E31C0B" w:rsidRDefault="00EF5823" w:rsidP="00B447DF">
      <w:pPr>
        <w:pStyle w:val="6"/>
        <w:rPr>
          <w:rFonts w:hAnsi="標楷體"/>
          <w:bCs/>
        </w:rPr>
      </w:pPr>
      <w:r w:rsidRPr="00E31C0B">
        <w:rPr>
          <w:rFonts w:hAnsi="標楷體" w:hint="eastAsia"/>
          <w:bCs/>
        </w:rPr>
        <w:t>法官聲請案件的原因</w:t>
      </w:r>
      <w:r w:rsidR="006E7A15" w:rsidRPr="00E31C0B">
        <w:rPr>
          <w:rFonts w:hAnsi="標楷體" w:hint="eastAsia"/>
          <w:bCs/>
        </w:rPr>
        <w:t>案件於法規範失效期限</w:t>
      </w:r>
      <w:r w:rsidRPr="00E31C0B">
        <w:rPr>
          <w:rFonts w:hAnsi="標楷體" w:hint="eastAsia"/>
          <w:bCs/>
        </w:rPr>
        <w:t>前亦得適用大法官解釋意旨</w:t>
      </w:r>
    </w:p>
    <w:p w14:paraId="655E1BAC" w14:textId="0E5294A2" w:rsidR="00EF5823" w:rsidRPr="00E31C0B" w:rsidRDefault="00EF5823" w:rsidP="00B447DF">
      <w:pPr>
        <w:pStyle w:val="7"/>
        <w:rPr>
          <w:rFonts w:hAnsi="標楷體"/>
        </w:rPr>
      </w:pPr>
      <w:r w:rsidRPr="00E31C0B">
        <w:rPr>
          <w:rFonts w:hAnsi="標楷體" w:hint="eastAsia"/>
        </w:rPr>
        <w:t>在違憲法令失效前，選擇「正面迎戰」，以憲法為念，將大法官解釋意旨注入個案裁判中，恐怕才是法官回應大法官用心良苦的直接作為。這也是司法院釋字第725號解釋所以要強調「</w:t>
      </w:r>
      <w:r w:rsidRPr="00E31C0B">
        <w:rPr>
          <w:rFonts w:hAnsi="標楷體"/>
        </w:rPr>
        <w:t>如</w:t>
      </w:r>
      <w:r w:rsidR="003B3A8F" w:rsidRPr="00E31C0B">
        <w:rPr>
          <w:rFonts w:hAnsi="標楷體"/>
        </w:rPr>
        <w:t>司法院</w:t>
      </w:r>
      <w:r w:rsidRPr="00E31C0B">
        <w:rPr>
          <w:rFonts w:hAnsi="標楷體"/>
        </w:rPr>
        <w:t>解釋諭知原因案件具體之救濟方法者，依其諭知</w:t>
      </w:r>
      <w:r w:rsidRPr="00E31C0B">
        <w:rPr>
          <w:rFonts w:hAnsi="標楷體" w:hint="eastAsia"/>
        </w:rPr>
        <w:t>」之理。只是所謂</w:t>
      </w:r>
      <w:r w:rsidRPr="00E31C0B">
        <w:rPr>
          <w:rFonts w:hAnsi="標楷體"/>
        </w:rPr>
        <w:t>諭知原因案件具體之救濟方法者</w:t>
      </w:r>
      <w:r w:rsidRPr="00E31C0B">
        <w:rPr>
          <w:rFonts w:hAnsi="標楷體" w:hint="eastAsia"/>
        </w:rPr>
        <w:t>的解釋，麟毛鳳角，大法官大多僅願意「指導」立法者修法方向。</w:t>
      </w:r>
    </w:p>
    <w:p w14:paraId="66588F3E" w14:textId="06C570F6" w:rsidR="00EF5823" w:rsidRPr="00E31C0B" w:rsidRDefault="00EF5823" w:rsidP="00B447DF">
      <w:pPr>
        <w:pStyle w:val="7"/>
        <w:rPr>
          <w:rFonts w:hAnsi="標楷體"/>
        </w:rPr>
      </w:pPr>
      <w:r w:rsidRPr="00E31C0B">
        <w:rPr>
          <w:rFonts w:hAnsi="標楷體" w:hint="eastAsia"/>
        </w:rPr>
        <w:t>實則，大法官宣告法令違憲總有具體理由，即使未針對聲請個案為具體諭知，但對於該個案所要適用的抽象規範已有諭知，這也是不論人民或法官聲請時，所要「請教」大法官者。從而，此類違憲的具體理由，難道不就是「</w:t>
      </w:r>
      <w:r w:rsidRPr="00E31C0B">
        <w:rPr>
          <w:rFonts w:hAnsi="標楷體"/>
        </w:rPr>
        <w:t>諭知原因案件具體之救濟方法者</w:t>
      </w:r>
      <w:r w:rsidRPr="00E31C0B">
        <w:rPr>
          <w:rFonts w:hAnsi="標楷體" w:hint="eastAsia"/>
        </w:rPr>
        <w:t>」？執著於大法官非要就原因案件為具體諭知，卻忽略具體案件所應適用法令的違憲諭知得以適用於原因案件的可能性與必要性，</w:t>
      </w:r>
      <w:r w:rsidR="006E7A15" w:rsidRPr="00E31C0B">
        <w:rPr>
          <w:rFonts w:hAnsi="標楷體" w:hint="eastAsia"/>
        </w:rPr>
        <w:t>才是最重要癥結所在</w:t>
      </w:r>
      <w:r w:rsidRPr="00E31C0B">
        <w:rPr>
          <w:rFonts w:hAnsi="標楷體" w:hint="eastAsia"/>
        </w:rPr>
        <w:t>。</w:t>
      </w:r>
    </w:p>
    <w:p w14:paraId="6E7C1DBB" w14:textId="08C1F924" w:rsidR="00EF5823" w:rsidRPr="00E31C0B" w:rsidRDefault="005F258E" w:rsidP="00B447DF">
      <w:pPr>
        <w:pStyle w:val="7"/>
        <w:rPr>
          <w:rFonts w:hAnsi="標楷體"/>
        </w:rPr>
      </w:pPr>
      <w:r w:rsidRPr="00E31C0B">
        <w:rPr>
          <w:rFonts w:hAnsi="標楷體" w:hint="eastAsia"/>
        </w:rPr>
        <w:t>另</w:t>
      </w:r>
      <w:r w:rsidR="00EF5823" w:rsidRPr="00E31C0B">
        <w:rPr>
          <w:rFonts w:hAnsi="標楷體" w:hint="eastAsia"/>
        </w:rPr>
        <w:t>就法官所為聲請的解釋案，在司法院釋字第477號解釋理由書第一段即稱：「</w:t>
      </w:r>
      <w:r w:rsidR="003B3A8F" w:rsidRPr="00E31C0B">
        <w:rPr>
          <w:rFonts w:hAnsi="標楷體" w:hint="eastAsia"/>
        </w:rPr>
        <w:t>司法院</w:t>
      </w:r>
      <w:r w:rsidR="00EF5823" w:rsidRPr="00E31C0B">
        <w:rPr>
          <w:rFonts w:hAnsi="標楷體" w:hint="eastAsia"/>
        </w:rPr>
        <w:t>受理憲法解釋案件，如係各級法院法官依司法院釋字第371號解釋提出聲請，而</w:t>
      </w:r>
      <w:r w:rsidR="00EF5823" w:rsidRPr="00E31C0B">
        <w:rPr>
          <w:rFonts w:hAnsi="標楷體" w:hint="eastAsia"/>
        </w:rPr>
        <w:lastRenderedPageBreak/>
        <w:t>經</w:t>
      </w:r>
      <w:r w:rsidR="003B3A8F" w:rsidRPr="00E31C0B">
        <w:rPr>
          <w:rFonts w:hAnsi="標楷體" w:hint="eastAsia"/>
        </w:rPr>
        <w:t>司法院</w:t>
      </w:r>
      <w:r w:rsidR="00EF5823" w:rsidRPr="00E31C0B">
        <w:rPr>
          <w:rFonts w:hAnsi="標楷體" w:hint="eastAsia"/>
        </w:rPr>
        <w:t>解釋之相關法律與憲法意旨不符時，為避免繫屬中案件久懸不決，且釋示有關機關於短期間內完成修法程序，既有事實上之困難，</w:t>
      </w:r>
      <w:r w:rsidR="003B3A8F" w:rsidRPr="00E31C0B">
        <w:rPr>
          <w:rFonts w:hAnsi="標楷體" w:hint="eastAsia"/>
        </w:rPr>
        <w:t>司法院</w:t>
      </w:r>
      <w:r w:rsidR="00EF5823" w:rsidRPr="00E31C0B">
        <w:rPr>
          <w:rFonts w:hAnsi="標楷體" w:hint="eastAsia"/>
        </w:rPr>
        <w:t>得諭知符合憲法之解釋內容，俾審判上得及時援用</w:t>
      </w:r>
      <w:r w:rsidR="006E7A15" w:rsidRPr="00E31C0B">
        <w:rPr>
          <w:rFonts w:hAnsi="標楷體" w:hint="eastAsia"/>
        </w:rPr>
        <w:t>。」</w:t>
      </w:r>
      <w:r w:rsidR="00EF5823" w:rsidRPr="00E31C0B">
        <w:rPr>
          <w:rFonts w:hAnsi="標楷體" w:hint="eastAsia"/>
        </w:rPr>
        <w:t>另外，同為法官聲請的司法院釋字第641號解釋，大法官亦有具體指示：「系爭規定修正前，依該規定裁罰及審判而有造成個案顯然過苛處罰之虞者，應依菸酒稅法第21條規定之立法目的與個案實質正義之要求，斟酌出售價格、販賣數量、實際獲利情形、影響交易秩序之程度，及個案其他相關情狀等，依本解釋意旨另為符合比例原則之適當處置，併予指明」等語。</w:t>
      </w:r>
    </w:p>
    <w:p w14:paraId="2A8D7177" w14:textId="3ECFA335" w:rsidR="00EF5823" w:rsidRPr="00E31C0B" w:rsidRDefault="00EF5823" w:rsidP="00B447DF">
      <w:pPr>
        <w:pStyle w:val="7"/>
        <w:rPr>
          <w:rFonts w:hAnsi="標楷體"/>
        </w:rPr>
      </w:pPr>
      <w:r w:rsidRPr="00E31C0B">
        <w:rPr>
          <w:rFonts w:hAnsi="標楷體" w:hint="eastAsia"/>
        </w:rPr>
        <w:t>足見定期失效宣告的違憲法律，在立法者修法的尚未失效期間，非謂即應適用違憲法律，大法官得「諭知符合憲法之解釋內容，俾審判上得及時援用」，亦即至少就聲請法官而言，仍得依據大法官解釋所宣示的合乎憲法意旨內容，於審判個案時援用，不必非得被動的等待修法後始能審理。</w:t>
      </w:r>
    </w:p>
    <w:p w14:paraId="0F46B6AE" w14:textId="77777777" w:rsidR="00EF5823" w:rsidRPr="00E31C0B" w:rsidRDefault="00EF5823" w:rsidP="00B447DF">
      <w:pPr>
        <w:pStyle w:val="6"/>
        <w:rPr>
          <w:rFonts w:hAnsi="標楷體"/>
          <w:bCs/>
        </w:rPr>
      </w:pPr>
      <w:r w:rsidRPr="00E31C0B">
        <w:rPr>
          <w:rFonts w:hAnsi="標楷體" w:hint="eastAsia"/>
          <w:bCs/>
        </w:rPr>
        <w:t>對於其他非聲請案件的效力</w:t>
      </w:r>
    </w:p>
    <w:p w14:paraId="7D6E7867" w14:textId="75A71740" w:rsidR="00EF5823" w:rsidRPr="00E31C0B" w:rsidRDefault="00EF5823" w:rsidP="00132D62">
      <w:pPr>
        <w:pStyle w:val="7"/>
        <w:rPr>
          <w:rFonts w:hAnsi="標楷體"/>
        </w:rPr>
      </w:pPr>
      <w:r w:rsidRPr="00E31C0B">
        <w:rPr>
          <w:rFonts w:hAnsi="標楷體" w:hint="eastAsia"/>
        </w:rPr>
        <w:t>現</w:t>
      </w:r>
      <w:r w:rsidRPr="00E31C0B">
        <w:rPr>
          <w:rFonts w:hAnsi="標楷體"/>
        </w:rPr>
        <w:t>繫屬</w:t>
      </w:r>
      <w:r w:rsidRPr="00E31C0B">
        <w:rPr>
          <w:rFonts w:hAnsi="標楷體" w:hint="eastAsia"/>
        </w:rPr>
        <w:t>法院的相類案件</w:t>
      </w:r>
      <w:r w:rsidRPr="00E31C0B">
        <w:rPr>
          <w:rFonts w:hAnsi="標楷體"/>
        </w:rPr>
        <w:t>，在大法官所定</w:t>
      </w:r>
      <w:r w:rsidRPr="00E31C0B">
        <w:rPr>
          <w:rFonts w:hAnsi="標楷體" w:hint="eastAsia"/>
        </w:rPr>
        <w:t>失效</w:t>
      </w:r>
      <w:r w:rsidRPr="00E31C0B">
        <w:rPr>
          <w:rFonts w:hAnsi="標楷體"/>
        </w:rPr>
        <w:t>期限內，法院是否仍受</w:t>
      </w:r>
      <w:r w:rsidRPr="00E31C0B">
        <w:rPr>
          <w:rFonts w:hAnsi="標楷體" w:hint="eastAsia"/>
        </w:rPr>
        <w:t>該</w:t>
      </w:r>
      <w:r w:rsidRPr="00E31C0B">
        <w:rPr>
          <w:rFonts w:hAnsi="標楷體"/>
        </w:rPr>
        <w:t>被宣告違憲</w:t>
      </w:r>
      <w:r w:rsidRPr="00E31C0B">
        <w:rPr>
          <w:rFonts w:hAnsi="標楷體" w:hint="eastAsia"/>
        </w:rPr>
        <w:t>形式上卻</w:t>
      </w:r>
      <w:r w:rsidRPr="00E31C0B">
        <w:rPr>
          <w:rFonts w:hAnsi="標楷體"/>
        </w:rPr>
        <w:t>仍有效法律的拘束？法</w:t>
      </w:r>
      <w:r w:rsidRPr="00E31C0B">
        <w:rPr>
          <w:rFonts w:hAnsi="標楷體" w:hint="eastAsia"/>
        </w:rPr>
        <w:t>官是</w:t>
      </w:r>
      <w:r w:rsidRPr="00E31C0B">
        <w:rPr>
          <w:rFonts w:hAnsi="標楷體"/>
        </w:rPr>
        <w:t>否</w:t>
      </w:r>
      <w:r w:rsidRPr="00E31C0B">
        <w:rPr>
          <w:rFonts w:hAnsi="標楷體" w:hint="eastAsia"/>
        </w:rPr>
        <w:t>得</w:t>
      </w:r>
      <w:r w:rsidRPr="00E31C0B">
        <w:rPr>
          <w:rFonts w:hAnsi="標楷體"/>
        </w:rPr>
        <w:t>參酌解釋意旨</w:t>
      </w:r>
      <w:r w:rsidRPr="00E31C0B">
        <w:rPr>
          <w:rFonts w:hAnsi="標楷體" w:hint="eastAsia"/>
        </w:rPr>
        <w:t>於個案中為裁判</w:t>
      </w:r>
      <w:r w:rsidRPr="00E31C0B">
        <w:rPr>
          <w:rFonts w:hAnsi="標楷體"/>
        </w:rPr>
        <w:t>？</w:t>
      </w:r>
      <w:r w:rsidRPr="00E31C0B">
        <w:rPr>
          <w:rFonts w:hAnsi="標楷體" w:hint="eastAsia"/>
        </w:rPr>
        <w:t>實則，定期失效宣告之解釋，應僅能適用於違反平等原則的授益性、給付福利性的法律領域。因為這涉及分配正義的規範，如果國家財政一時不能滿足平等的要求，自然必須</w:t>
      </w:r>
      <w:r w:rsidRPr="00E31C0B">
        <w:rPr>
          <w:rFonts w:hAnsi="標楷體" w:hint="eastAsia"/>
        </w:rPr>
        <w:lastRenderedPageBreak/>
        <w:t>給予一定期間，尤其立法者，去謀求符合憲法意旨的改進。就此而言，為維護已享有利益者的合法信賴，自不宜冒然宣告法律立即失效，反而導致更多人無法據以享有利益，這才是定期失效宣告解釋的實質意義所在。至於侵益行政領域，或甚至裁罰性、刑罰性等限制、侵害人民權利的法律，既經法官宣告違憲，實在沒有理由再使其存在一天，而繼續侵害更多人民。正如許玉秀大法官於司法院釋字第613號釋釋部分協同意見書所主張：「</w:t>
      </w:r>
      <w:r w:rsidRPr="00E31C0B">
        <w:rPr>
          <w:rFonts w:hAnsi="標楷體"/>
        </w:rPr>
        <w:t>定期失效制度包含一個矛盾邏輯。</w:t>
      </w:r>
      <w:r w:rsidRPr="00E31C0B">
        <w:rPr>
          <w:rFonts w:hAnsi="標楷體" w:hint="eastAsia"/>
        </w:rPr>
        <w:t>既然規範違憲，不管是因為侵害基本權、破壞權力分立或違反其他憲法原則，只要它存在一天，都是正在破壞憲法價值，理當立即失效，才能排除對人權及憲法的傷害，如果各級法院及行政機關繼續適用違憲規範，豈不是繼續實施違憲行為，侵害人民基本權、破壞憲法所保障的價值？</w:t>
      </w:r>
      <w:r w:rsidR="00B77536" w:rsidRPr="00E31C0B">
        <w:rPr>
          <w:rFonts w:hAnsi="標楷體"/>
        </w:rPr>
        <w:t>……</w:t>
      </w:r>
      <w:r w:rsidRPr="00E31C0B">
        <w:rPr>
          <w:rFonts w:hAnsi="標楷體" w:hint="eastAsia"/>
        </w:rPr>
        <w:t>但是在某些規範，尤其是涉及平等爭議的福利措施，也就是涉及分配正義的規範，如果國家財政一時不能滿足平等的要求，自然必須給予一定期間，謀求符合憲法意旨的改進。換言之，就某些類型的規範而言，本席以為定期失效制度，可以作為一種具有補充性的例外裁判類型，但是不能當作一種常態裁判類型，而且在所定期限內，並非必然應該繼續有效適用，在某些只是為了讓立法者有立法時間的情形，也不妨於宣告系爭規範定期失效的同時，諭知各級法院不</w:t>
      </w:r>
      <w:r w:rsidRPr="00E31C0B">
        <w:rPr>
          <w:rFonts w:hAnsi="標楷體" w:hint="eastAsia"/>
        </w:rPr>
        <w:lastRenderedPageBreak/>
        <w:t>得適用違憲規範</w:t>
      </w:r>
      <w:r w:rsidR="006E7A15" w:rsidRPr="00E31C0B">
        <w:rPr>
          <w:rFonts w:hAnsi="標楷體" w:hint="eastAsia"/>
        </w:rPr>
        <w:t>。」</w:t>
      </w:r>
    </w:p>
    <w:p w14:paraId="120DFB09" w14:textId="77777777" w:rsidR="00EF5823" w:rsidRPr="00E31C0B" w:rsidRDefault="00EF5823" w:rsidP="00B447DF">
      <w:pPr>
        <w:pStyle w:val="7"/>
        <w:rPr>
          <w:rFonts w:hAnsi="標楷體"/>
        </w:rPr>
      </w:pPr>
      <w:r w:rsidRPr="00E31C0B">
        <w:rPr>
          <w:rFonts w:hAnsi="標楷體" w:hint="eastAsia"/>
        </w:rPr>
        <w:t>就此而言，司法院釋字第790號解釋已明白謂：毒品危害防制條例第12條</w:t>
      </w:r>
      <w:r w:rsidRPr="00E31C0B">
        <w:rPr>
          <w:rFonts w:hAnsi="標楷體"/>
        </w:rPr>
        <w:t>對犯該罪而情節輕微者，未併為得減輕其刑或另為適當刑度之規定，於此範圍內，對人民受憲法第8條保障人身自由權所為之限制，與憲法罪刑相當原則不符，有違憲法第23條比例原則。相關機關應自本解釋公布之日起1年內，依本解釋意旨修正之；逾期未修正，其情節輕微者，法院得依本解釋意旨減輕其法定刑至二分之一。</w:t>
      </w:r>
    </w:p>
    <w:p w14:paraId="3D64463C" w14:textId="77777777" w:rsidR="00EF5823" w:rsidRPr="00E31C0B" w:rsidRDefault="00EF5823" w:rsidP="00B447DF">
      <w:pPr>
        <w:pStyle w:val="7"/>
        <w:rPr>
          <w:rFonts w:hAnsi="標楷體"/>
        </w:rPr>
      </w:pPr>
      <w:r w:rsidRPr="00E31C0B">
        <w:rPr>
          <w:rFonts w:hAnsi="標楷體" w:hint="eastAsia"/>
        </w:rPr>
        <w:t>上述1年的失效期間應視為對於立法者及法律主管機關的修法期限，而對於受理個案的法院則不受該期限限制。基於權力分立原則，即使是違憲侵害人民權利的法律，司法權還是不惜繼續侵害人民一定期間，而以定期失效方式，給予立法者修法的準備期間，不論是原因案件或其他類似案件的當事人，都只能「忍受」違憲法律的侵害，這可以說是司法權對於立法權「最大的退讓及尊重」，結果立法者（正確的說法是總統的法律公布權）卻不尊重司法權，任憑法律失效期間屆至，而遲未公布修正法律。</w:t>
      </w:r>
    </w:p>
    <w:p w14:paraId="26A66189" w14:textId="77777777" w:rsidR="00EF5823" w:rsidRPr="00E31C0B" w:rsidRDefault="00EF5823" w:rsidP="00B447DF">
      <w:pPr>
        <w:pStyle w:val="7"/>
        <w:rPr>
          <w:rFonts w:hAnsi="標楷體"/>
        </w:rPr>
      </w:pPr>
      <w:r w:rsidRPr="00E31C0B">
        <w:rPr>
          <w:rFonts w:hAnsi="標楷體" w:hint="eastAsia"/>
        </w:rPr>
        <w:t>從而，提出折衷說模式一：區分定期失效的法規範性質，如係侵害行政或刑罰法規範，依甲說於失效期限內適用大法官解釋意旨；如係授益、給付福利行政法規範，則依乙說待法律修正後適用修正新法。本件為刑事法律性質，且為有利被告之違憲</w:t>
      </w:r>
      <w:r w:rsidRPr="00E31C0B">
        <w:rPr>
          <w:rFonts w:hAnsi="標楷體" w:hint="eastAsia"/>
        </w:rPr>
        <w:lastRenderedPageBreak/>
        <w:t>宣告，自應適用甲說。</w:t>
      </w:r>
    </w:p>
    <w:p w14:paraId="57F87AB7" w14:textId="652E84BA" w:rsidR="00EF5823" w:rsidRPr="00E31C0B" w:rsidRDefault="00EF5823" w:rsidP="00B447DF">
      <w:pPr>
        <w:pStyle w:val="6"/>
        <w:rPr>
          <w:rFonts w:hAnsi="標楷體"/>
          <w:bCs/>
        </w:rPr>
      </w:pPr>
      <w:r w:rsidRPr="00E31C0B">
        <w:rPr>
          <w:rFonts w:hAnsi="標楷體" w:hint="eastAsia"/>
          <w:bCs/>
        </w:rPr>
        <w:t>關於現行已生效的</w:t>
      </w:r>
      <w:r w:rsidR="00571325" w:rsidRPr="00E31C0B">
        <w:rPr>
          <w:rFonts w:hAnsi="標楷體" w:hint="eastAsia"/>
          <w:bCs/>
        </w:rPr>
        <w:t>憲法訴訟法</w:t>
      </w:r>
      <w:r w:rsidRPr="00E31C0B">
        <w:rPr>
          <w:rFonts w:hAnsi="標楷體" w:hint="eastAsia"/>
          <w:bCs/>
        </w:rPr>
        <w:t>規範</w:t>
      </w:r>
    </w:p>
    <w:p w14:paraId="7288B64A" w14:textId="0EC7DF21" w:rsidR="00EF5823" w:rsidRPr="00E31C0B" w:rsidRDefault="00EF5823" w:rsidP="00B447DF">
      <w:pPr>
        <w:pStyle w:val="7"/>
        <w:rPr>
          <w:rFonts w:hAnsi="標楷體"/>
        </w:rPr>
      </w:pPr>
      <w:r w:rsidRPr="00E31C0B">
        <w:rPr>
          <w:rFonts w:hAnsi="標楷體" w:hint="eastAsia"/>
        </w:rPr>
        <w:t>憲法訴訟法雖於111年1月4日生效，惟相關規定係規範大法官「判決」的效力問題，解釋上係向後適用於大法官「判決」，而非舊法時代的大法官「解釋」，對於本法生效前的大法官「解釋」效力問題，雖具參考性，但原則上仍應依據以往大法官解釋是否對此有所指示而定。</w:t>
      </w:r>
    </w:p>
    <w:p w14:paraId="01C61FBC" w14:textId="5B938130" w:rsidR="00EF5823" w:rsidRPr="00E31C0B" w:rsidRDefault="00EF5823" w:rsidP="00B447DF">
      <w:pPr>
        <w:pStyle w:val="7"/>
        <w:rPr>
          <w:rFonts w:hAnsi="標楷體"/>
        </w:rPr>
      </w:pPr>
      <w:r w:rsidRPr="00E31C0B">
        <w:rPr>
          <w:rFonts w:hAnsi="標楷體" w:hint="eastAsia"/>
        </w:rPr>
        <w:t>憲法訴訟法</w:t>
      </w:r>
      <w:r w:rsidR="00C1792F" w:rsidRPr="00E31C0B">
        <w:rPr>
          <w:rFonts w:hAnsi="標楷體" w:hint="eastAsia"/>
        </w:rPr>
        <w:t>第54條第1項</w:t>
      </w:r>
      <w:r w:rsidRPr="00E31C0B">
        <w:rPr>
          <w:rFonts w:hAnsi="標楷體" w:hint="eastAsia"/>
        </w:rPr>
        <w:t>規定：「判決宣告法律位階法規範定期失效者，除主文另有諭知外，於期限屆至前，各法院審理案件，仍應適用該法規範。但各法院應審酌人權保障及公共利益之均衡維護，於必要時得依職權或當事人之聲請，裁定停止審理程序，俟該法規範修正後，依新法續行審理</w:t>
      </w:r>
      <w:r w:rsidR="006E7A15" w:rsidRPr="00E31C0B">
        <w:rPr>
          <w:rFonts w:hAnsi="標楷體" w:hint="eastAsia"/>
        </w:rPr>
        <w:t>。」</w:t>
      </w:r>
      <w:r w:rsidRPr="00E31C0B">
        <w:rPr>
          <w:rFonts w:hAnsi="標楷體" w:hint="eastAsia"/>
        </w:rPr>
        <w:t>須注意者，</w:t>
      </w:r>
      <w:r w:rsidR="00C1792F" w:rsidRPr="00E31C0B">
        <w:rPr>
          <w:rFonts w:hAnsi="標楷體" w:hint="eastAsia"/>
        </w:rPr>
        <w:t>本條文是</w:t>
      </w:r>
      <w:r w:rsidRPr="00E31C0B">
        <w:rPr>
          <w:rFonts w:hAnsi="標楷體" w:hint="eastAsia"/>
        </w:rPr>
        <w:t>規定在「</w:t>
      </w:r>
      <w:r w:rsidRPr="00E31C0B">
        <w:rPr>
          <w:rFonts w:hAnsi="標楷體"/>
        </w:rPr>
        <w:t>國家機關、立法委員聲請法規範憲法審查</w:t>
      </w:r>
      <w:r w:rsidRPr="00E31C0B">
        <w:rPr>
          <w:rFonts w:hAnsi="標楷體" w:hint="eastAsia"/>
        </w:rPr>
        <w:t>」章，司法院釋字第790號解釋則是人民、法官聲請解釋，應參考的是不是本條，而是各該章節的第64條、</w:t>
      </w:r>
      <w:r w:rsidR="001568B6" w:rsidRPr="00E31C0B">
        <w:rPr>
          <w:rFonts w:hAnsi="標楷體" w:hint="eastAsia"/>
        </w:rPr>
        <w:t>第58條規定</w:t>
      </w:r>
      <w:r w:rsidRPr="00E31C0B">
        <w:rPr>
          <w:rFonts w:hAnsi="標楷體" w:hint="eastAsia"/>
        </w:rPr>
        <w:t>。</w:t>
      </w:r>
    </w:p>
    <w:p w14:paraId="28BC23AC" w14:textId="519C5E8C" w:rsidR="00EF5823" w:rsidRPr="00E31C0B" w:rsidRDefault="00EF5823" w:rsidP="00B447DF">
      <w:pPr>
        <w:pStyle w:val="7"/>
        <w:rPr>
          <w:rFonts w:hAnsi="標楷體"/>
        </w:rPr>
      </w:pPr>
      <w:r w:rsidRPr="00E31C0B">
        <w:rPr>
          <w:rFonts w:hAnsi="標楷體" w:hint="eastAsia"/>
        </w:rPr>
        <w:t>人民聲請的</w:t>
      </w:r>
      <w:r w:rsidR="00884B2F" w:rsidRPr="00E31C0B">
        <w:rPr>
          <w:rFonts w:hAnsi="標楷體" w:hint="eastAsia"/>
        </w:rPr>
        <w:t>憲法法庭判決</w:t>
      </w:r>
      <w:r w:rsidRPr="00E31C0B">
        <w:rPr>
          <w:rFonts w:hAnsi="標楷體" w:hint="eastAsia"/>
        </w:rPr>
        <w:t>（解釋），</w:t>
      </w:r>
      <w:r w:rsidR="00884B2F" w:rsidRPr="00E31C0B">
        <w:rPr>
          <w:rFonts w:hAnsi="標楷體" w:hint="eastAsia"/>
        </w:rPr>
        <w:t>憲法訴訟法</w:t>
      </w:r>
      <w:r w:rsidRPr="00E31C0B">
        <w:rPr>
          <w:rFonts w:hAnsi="標楷體" w:hint="eastAsia"/>
        </w:rPr>
        <w:t>第64條規定：「判決宣告法規範定期失效者，於期限屆至前，審理原因案件之法院應依判決宣告法規範違憲之意旨為裁判，不受該定期失效期限之拘束。但判決主文另有諭知者，依其諭知（</w:t>
      </w:r>
      <w:r w:rsidR="00127A26" w:rsidRPr="00E31C0B">
        <w:rPr>
          <w:rFonts w:hAnsi="標楷體" w:hint="eastAsia"/>
        </w:rPr>
        <w:t>第1項</w:t>
      </w:r>
      <w:r w:rsidRPr="00E31C0B">
        <w:rPr>
          <w:rFonts w:hAnsi="標楷體" w:hint="eastAsia"/>
        </w:rPr>
        <w:t>）。前項法規範定期失效之情形，各法院於審理其他案件時，準用第</w:t>
      </w:r>
      <w:r w:rsidR="00127A26" w:rsidRPr="00E31C0B">
        <w:rPr>
          <w:rFonts w:hAnsi="標楷體" w:hint="eastAsia"/>
        </w:rPr>
        <w:t>54</w:t>
      </w:r>
      <w:r w:rsidRPr="00E31C0B">
        <w:rPr>
          <w:rFonts w:hAnsi="標楷體" w:hint="eastAsia"/>
        </w:rPr>
        <w:t>條規定（第</w:t>
      </w:r>
      <w:r w:rsidR="00127A26" w:rsidRPr="00E31C0B">
        <w:rPr>
          <w:rFonts w:hAnsi="標楷體" w:hint="eastAsia"/>
        </w:rPr>
        <w:t>2項</w:t>
      </w:r>
      <w:r w:rsidRPr="00E31C0B">
        <w:rPr>
          <w:rFonts w:hAnsi="標楷體" w:hint="eastAsia"/>
        </w:rPr>
        <w:t>）</w:t>
      </w:r>
      <w:r w:rsidR="006E7A15" w:rsidRPr="00E31C0B">
        <w:rPr>
          <w:rFonts w:hAnsi="標楷體" w:hint="eastAsia"/>
        </w:rPr>
        <w:t>。」</w:t>
      </w:r>
      <w:r w:rsidRPr="00E31C0B">
        <w:rPr>
          <w:rFonts w:hAnsi="標楷體" w:hint="eastAsia"/>
        </w:rPr>
        <w:t>換言之，原因案件不受失效期限限制</w:t>
      </w:r>
      <w:r w:rsidRPr="00E31C0B">
        <w:rPr>
          <w:rFonts w:hAnsi="標楷體" w:hint="eastAsia"/>
        </w:rPr>
        <w:lastRenderedPageBreak/>
        <w:t>，僅係其他非聲請案件</w:t>
      </w:r>
      <w:r w:rsidR="007912AB" w:rsidRPr="00E31C0B">
        <w:rPr>
          <w:rFonts w:hAnsi="標楷體" w:hint="eastAsia"/>
        </w:rPr>
        <w:t>準用同法第54條</w:t>
      </w:r>
      <w:r w:rsidR="001568B6" w:rsidRPr="00E31C0B">
        <w:rPr>
          <w:rFonts w:hAnsi="標楷體" w:hint="eastAsia"/>
        </w:rPr>
        <w:t>規定</w:t>
      </w:r>
      <w:r w:rsidRPr="00E31C0B">
        <w:rPr>
          <w:rFonts w:hAnsi="標楷體" w:hint="eastAsia"/>
        </w:rPr>
        <w:t>：各法院審理案件，仍應適用該法規範；但各法院仍得依職權或當事人之聲請，裁定停止審理程序，俟該法規範修正後，依新法續行審理。</w:t>
      </w:r>
    </w:p>
    <w:p w14:paraId="54B1560D" w14:textId="77499EAC" w:rsidR="00EF5823" w:rsidRPr="00E31C0B" w:rsidRDefault="00EF5823" w:rsidP="00B447DF">
      <w:pPr>
        <w:pStyle w:val="7"/>
        <w:rPr>
          <w:rFonts w:hAnsi="標楷體"/>
        </w:rPr>
      </w:pPr>
      <w:r w:rsidRPr="00E31C0B">
        <w:rPr>
          <w:rFonts w:hAnsi="標楷體" w:hint="eastAsia"/>
        </w:rPr>
        <w:t>就此而言，司法院應增列此類案件辦案期限延長的管考規定，否則法官礙於管考期限，當有可能不理會當事人聲請，遑論依職權裁定停止審判，</w:t>
      </w:r>
      <w:r w:rsidR="007912AB" w:rsidRPr="00E31C0B">
        <w:rPr>
          <w:rFonts w:hAnsi="標楷體" w:hint="eastAsia"/>
        </w:rPr>
        <w:t>憲法訴訟法</w:t>
      </w:r>
      <w:r w:rsidR="00C1792F" w:rsidRPr="00E31C0B">
        <w:rPr>
          <w:rFonts w:hAnsi="標楷體" w:hint="eastAsia"/>
        </w:rPr>
        <w:t>第54條第1項</w:t>
      </w:r>
      <w:r w:rsidRPr="00E31C0B">
        <w:rPr>
          <w:rFonts w:hAnsi="標楷體" w:hint="eastAsia"/>
        </w:rPr>
        <w:t>但書在管考壓力下形同具文。相信這也是徵詢庭所擬甲說中下級審竟有如此多數的法官不待法律修正，即行依據大法官解釋意旨判決的緣故。</w:t>
      </w:r>
    </w:p>
    <w:p w14:paraId="323F1607" w14:textId="5667CA10" w:rsidR="00EF5823" w:rsidRPr="00E31C0B" w:rsidRDefault="00EF5823" w:rsidP="00B447DF">
      <w:pPr>
        <w:pStyle w:val="7"/>
        <w:rPr>
          <w:rFonts w:hAnsi="標楷體"/>
        </w:rPr>
      </w:pPr>
      <w:r w:rsidRPr="00E31C0B">
        <w:rPr>
          <w:rFonts w:hAnsi="標楷體" w:hint="eastAsia"/>
        </w:rPr>
        <w:t>至於法官聲請解釋的案件，依據憲法訴訟法</w:t>
      </w:r>
      <w:r w:rsidR="001568B6" w:rsidRPr="00E31C0B">
        <w:rPr>
          <w:rFonts w:hAnsi="標楷體" w:hint="eastAsia"/>
        </w:rPr>
        <w:t>第58條規定</w:t>
      </w:r>
      <w:r w:rsidRPr="00E31C0B">
        <w:rPr>
          <w:rFonts w:hAnsi="標楷體" w:hint="eastAsia"/>
        </w:rPr>
        <w:t>，則是直接</w:t>
      </w:r>
      <w:r w:rsidR="007912AB" w:rsidRPr="00E31C0B">
        <w:rPr>
          <w:rFonts w:hAnsi="標楷體" w:hint="eastAsia"/>
        </w:rPr>
        <w:t>準用同法第54條</w:t>
      </w:r>
      <w:r w:rsidR="00C03399" w:rsidRPr="00E31C0B">
        <w:rPr>
          <w:rFonts w:hAnsi="標楷體" w:hint="eastAsia"/>
        </w:rPr>
        <w:t>規定</w:t>
      </w:r>
      <w:r w:rsidRPr="00E31C0B">
        <w:rPr>
          <w:rFonts w:hAnsi="標楷體" w:hint="eastAsia"/>
        </w:rPr>
        <w:t>，解釋上似無</w:t>
      </w:r>
      <w:r w:rsidR="007912AB" w:rsidRPr="00E31C0B">
        <w:rPr>
          <w:rFonts w:hAnsi="標楷體" w:hint="eastAsia"/>
        </w:rPr>
        <w:t>適用同法第64條</w:t>
      </w:r>
      <w:r w:rsidRPr="00E31C0B">
        <w:rPr>
          <w:rFonts w:hAnsi="標楷體" w:hint="eastAsia"/>
        </w:rPr>
        <w:t>第1項之餘地。然而，對於聲請法官而言，仍須待法律修正始得適用個案，不僅與司法院釋字第477、641號解釋所指：「為避免繫屬中案件久懸不決，且釋示有關機關於短期間內完成修法程序，既有事實上之困難，</w:t>
      </w:r>
      <w:r w:rsidR="003B3A8F" w:rsidRPr="00E31C0B">
        <w:rPr>
          <w:rFonts w:hAnsi="標楷體" w:hint="eastAsia"/>
        </w:rPr>
        <w:t>司法院</w:t>
      </w:r>
      <w:r w:rsidRPr="00E31C0B">
        <w:rPr>
          <w:rFonts w:hAnsi="標楷體" w:hint="eastAsia"/>
        </w:rPr>
        <w:t>得諭知符合憲法之解釋內容，俾審判上得及時援用」等意旨有悖，更侵害聲請法官在大法官作成違憲解釋後，符合該法官的違憲確信，卻強要在失效期限內仍適用違憲法律審判，而不能如人民聲請案般，直接依據大法官解釋（判決）意旨審判。對於法官憲法意識的養成，似更為倒退，遑論對於該聲請案中的當事人人民造成不公（乾脆讓法官判決，用盡訴訟救濟</w:t>
      </w:r>
      <w:r w:rsidRPr="00E31C0B">
        <w:rPr>
          <w:rFonts w:hAnsi="標楷體" w:hint="eastAsia"/>
        </w:rPr>
        <w:lastRenderedPageBreak/>
        <w:t>途徑後，</w:t>
      </w:r>
      <w:r w:rsidR="007912AB" w:rsidRPr="00E31C0B">
        <w:rPr>
          <w:rFonts w:hAnsi="標楷體" w:hint="eastAsia"/>
        </w:rPr>
        <w:t>自己再來聲請</w:t>
      </w:r>
      <w:r w:rsidR="00884B2F" w:rsidRPr="00E31C0B">
        <w:rPr>
          <w:rFonts w:hAnsi="標楷體" w:hint="eastAsia"/>
        </w:rPr>
        <w:t>憲法法庭判決</w:t>
      </w:r>
      <w:r w:rsidRPr="00E31C0B">
        <w:rPr>
          <w:rFonts w:hAnsi="標楷體" w:hint="eastAsia"/>
        </w:rPr>
        <w:t>，反而能翻案救濟），實不無檢討餘地。</w:t>
      </w:r>
    </w:p>
    <w:p w14:paraId="393CD433" w14:textId="77777777" w:rsidR="00EF5823" w:rsidRPr="00E31C0B" w:rsidRDefault="00EF5823" w:rsidP="00B447DF">
      <w:pPr>
        <w:pStyle w:val="7"/>
        <w:rPr>
          <w:rFonts w:hAnsi="標楷體"/>
        </w:rPr>
      </w:pPr>
      <w:r w:rsidRPr="00E31C0B">
        <w:rPr>
          <w:rFonts w:hAnsi="標楷體" w:hint="eastAsia"/>
        </w:rPr>
        <w:t>從而，如果全然依據憲法訴訟規定觀之，所提出的折衷說，就可能採取模式二，而非模式一，非無可能。且折衷說模式二：僅有原因案件之聲請人，包括人民聲請與法官聲請案件，於失效期限前依甲說辦理；其他非原因案件之當事人，法官則僅能依乙說辦理。就法官聲請案件而言，該法官亦僅能依乙說辦理。</w:t>
      </w:r>
    </w:p>
    <w:p w14:paraId="7EF4DF6F" w14:textId="77777777" w:rsidR="00EF5823" w:rsidRPr="00E31C0B" w:rsidRDefault="00EF5823" w:rsidP="00B447DF">
      <w:pPr>
        <w:pStyle w:val="6"/>
        <w:rPr>
          <w:rFonts w:hAnsi="標楷體"/>
          <w:bCs/>
        </w:rPr>
      </w:pPr>
      <w:r w:rsidRPr="00E31C0B">
        <w:rPr>
          <w:rFonts w:hAnsi="標楷體" w:hint="eastAsia"/>
          <w:bCs/>
        </w:rPr>
        <w:t>結論</w:t>
      </w:r>
    </w:p>
    <w:p w14:paraId="132C95CB" w14:textId="251B23CD" w:rsidR="00EF5823" w:rsidRPr="00E31C0B" w:rsidRDefault="00EF5823" w:rsidP="00B447DF">
      <w:pPr>
        <w:pStyle w:val="7"/>
        <w:rPr>
          <w:rFonts w:hAnsi="標楷體"/>
        </w:rPr>
      </w:pPr>
      <w:r w:rsidRPr="00E31C0B">
        <w:rPr>
          <w:rFonts w:hAnsi="標楷體" w:hint="eastAsia"/>
        </w:rPr>
        <w:t>以宣告違憲的法規範性質區分定期失效的制度與功能意義，應採取折衷說模式一：區分定期失效的法規範性質，如係侵害行政或刑罰法規範，依甲說於失效期限內適用大法官解釋意旨；如係授益、給付福利行政法規範，則依乙說待法律修正後適用修正新法。本件為刑事法律性質，且為有利被告之違憲宣告，自應適用甲說。</w:t>
      </w:r>
    </w:p>
    <w:p w14:paraId="0AEFE0D5" w14:textId="307B58F3" w:rsidR="00EF5823" w:rsidRPr="00E31C0B" w:rsidRDefault="00EF5823" w:rsidP="00B447DF">
      <w:pPr>
        <w:pStyle w:val="7"/>
        <w:rPr>
          <w:rFonts w:hAnsi="標楷體"/>
        </w:rPr>
      </w:pPr>
      <w:r w:rsidRPr="00E31C0B">
        <w:rPr>
          <w:rFonts w:hAnsi="標楷體" w:hint="eastAsia"/>
        </w:rPr>
        <w:t>如果不區分法規範性質（惟觀察近來大法官解釋，對於刑事法規範已幾乎採取立即失效宣告，而不採定期施效宣告），且參考憲法訴訟法規定，則採取折衷說模式二：僅有原因案件之聲請人，包括人民聲請與法官聲請案件，於失效期限前依甲說辦理；其他非原因案件之當事人，法官則僅能依乙說辦理。</w:t>
      </w:r>
    </w:p>
    <w:p w14:paraId="033925A6" w14:textId="4E10982A" w:rsidR="00F321E0" w:rsidRPr="00E31C0B" w:rsidRDefault="007912AB" w:rsidP="00B447DF">
      <w:pPr>
        <w:pStyle w:val="3"/>
        <w:rPr>
          <w:rFonts w:hAnsi="標楷體"/>
        </w:rPr>
      </w:pPr>
      <w:r w:rsidRPr="00E31C0B">
        <w:rPr>
          <w:rFonts w:hAnsi="標楷體" w:hint="eastAsia"/>
          <w:szCs w:val="32"/>
        </w:rPr>
        <w:t>承前</w:t>
      </w:r>
      <w:r w:rsidR="00482D46" w:rsidRPr="00E31C0B">
        <w:rPr>
          <w:rFonts w:hAnsi="標楷體" w:hint="eastAsia"/>
          <w:szCs w:val="32"/>
        </w:rPr>
        <w:t>，</w:t>
      </w:r>
      <w:r w:rsidR="002E1859" w:rsidRPr="00E31C0B">
        <w:rPr>
          <w:rFonts w:hAnsi="標楷體" w:hint="eastAsia"/>
          <w:szCs w:val="32"/>
        </w:rPr>
        <w:t>司法院釋字第</w:t>
      </w:r>
      <w:r w:rsidR="00E338B5" w:rsidRPr="00E31C0B">
        <w:rPr>
          <w:rFonts w:hAnsi="標楷體" w:hint="eastAsia"/>
          <w:szCs w:val="32"/>
        </w:rPr>
        <w:t>790號解釋並未宣告系爭規定之罪之構成要件違憲，只是認為系爭規定對犯該罪而情節輕微者，未併為得減輕其刑或另為適當刑度之</w:t>
      </w:r>
      <w:r w:rsidR="00E338B5" w:rsidRPr="00E31C0B">
        <w:rPr>
          <w:rFonts w:hAnsi="標楷體" w:hint="eastAsia"/>
          <w:szCs w:val="32"/>
        </w:rPr>
        <w:lastRenderedPageBreak/>
        <w:t>規定，於此範圍內，與憲法罪刑相當原則不符，有違憲法第23條比例原則。關於「相關機關應自本解釋公布之日起1年內，依本解釋意旨修正之」部分，應係為尊重立法形成自由（立法院或可能於1年內即修法，內容或併為得減輕其刑或另為適當刑度之規定），基於法安定性及法實效性之衡平考量，所採違憲「定期失效」的宣告。至</w:t>
      </w:r>
      <w:r w:rsidR="00672A5F" w:rsidRPr="00E31C0B">
        <w:rPr>
          <w:rFonts w:hAnsi="標楷體" w:hint="eastAsia"/>
          <w:szCs w:val="32"/>
        </w:rPr>
        <w:t>解釋</w:t>
      </w:r>
      <w:r w:rsidR="00E338B5" w:rsidRPr="00E31C0B">
        <w:rPr>
          <w:rFonts w:hAnsi="標楷體" w:hint="eastAsia"/>
          <w:szCs w:val="32"/>
        </w:rPr>
        <w:t>有關「逾期未修正，其情節輕微者，法院得依</w:t>
      </w:r>
      <w:r w:rsidR="00482D46" w:rsidRPr="00E31C0B">
        <w:rPr>
          <w:rFonts w:hAnsi="標楷體" w:hint="eastAsia"/>
          <w:szCs w:val="32"/>
        </w:rPr>
        <w:t>該解釋意旨</w:t>
      </w:r>
      <w:r w:rsidR="00E338B5" w:rsidRPr="00E31C0B">
        <w:rPr>
          <w:rFonts w:hAnsi="標楷體" w:hint="eastAsia"/>
          <w:szCs w:val="32"/>
        </w:rPr>
        <w:t>減輕其法定刑至二分之一」部分，則係為即時保障人身自由權，提出過渡規範，具體指示法院於修法期限過後至立法完成前，得於裁判中對情節輕微之被告，減輕其法定刑至二分之一，以實現解釋的內容。上開「定期失效」的宣告及其配套的過渡規範暨相關執行措施之諭知，皆有拘束各級法院之效力。法院將類似案件之審判程序延至新法修正公布</w:t>
      </w:r>
      <w:r w:rsidR="00D02CC6" w:rsidRPr="00E31C0B">
        <w:rPr>
          <w:rFonts w:hAnsi="標楷體" w:hint="eastAsia"/>
          <w:szCs w:val="32"/>
        </w:rPr>
        <w:t>後，或</w:t>
      </w:r>
      <w:r w:rsidR="002E1859" w:rsidRPr="00E31C0B">
        <w:rPr>
          <w:rFonts w:hAnsi="標楷體" w:hint="eastAsia"/>
          <w:szCs w:val="32"/>
        </w:rPr>
        <w:t>司法院釋字第</w:t>
      </w:r>
      <w:r w:rsidR="00E338B5" w:rsidRPr="00E31C0B">
        <w:rPr>
          <w:rFonts w:hAnsi="標楷體" w:hint="eastAsia"/>
          <w:szCs w:val="32"/>
        </w:rPr>
        <w:t>790號解釋公布之日起1年後，始予終結，較符合已於111年1月4日施行之憲法訴訟法第54條第1項規定之立法價值取向。況系爭規定於修法後，有可能較適用過渡規範，對被告更為有利。</w:t>
      </w:r>
      <w:r w:rsidR="00E7798C" w:rsidRPr="00E31C0B">
        <w:rPr>
          <w:rFonts w:hAnsi="標楷體" w:hint="eastAsia"/>
          <w:szCs w:val="32"/>
        </w:rPr>
        <w:t>再者，</w:t>
      </w:r>
      <w:r w:rsidR="00E7798C" w:rsidRPr="00E31C0B">
        <w:rPr>
          <w:rFonts w:hAnsi="標楷體" w:hint="eastAsia"/>
        </w:rPr>
        <w:t>刑法第2條規定：「行為後法律有變更者，適用行為時之法律。但行為後之法律有利於行為人者，適用最有利於行為人之法律。</w:t>
      </w:r>
      <w:r w:rsidR="00E7798C" w:rsidRPr="00E31C0B">
        <w:rPr>
          <w:rFonts w:hAnsi="標楷體"/>
        </w:rPr>
        <w:t>……</w:t>
      </w:r>
      <w:r w:rsidR="00E7798C" w:rsidRPr="00E31C0B">
        <w:rPr>
          <w:rFonts w:hAnsi="標楷體" w:hint="eastAsia"/>
        </w:rPr>
        <w:t>。」</w:t>
      </w:r>
      <w:r w:rsidR="00481343" w:rsidRPr="00E31C0B">
        <w:rPr>
          <w:rFonts w:hAnsi="標楷體" w:hint="eastAsia"/>
        </w:rPr>
        <w:t>乃</w:t>
      </w:r>
      <w:r w:rsidR="00E7798C" w:rsidRPr="00E31C0B">
        <w:rPr>
          <w:rFonts w:hAnsi="標楷體" w:hint="eastAsia"/>
        </w:rPr>
        <w:t>罪刑法定主義</w:t>
      </w:r>
      <w:r w:rsidR="005654F2" w:rsidRPr="00E31C0B">
        <w:rPr>
          <w:rFonts w:hAnsi="標楷體" w:hint="eastAsia"/>
        </w:rPr>
        <w:t>法律不溯及既往</w:t>
      </w:r>
      <w:r w:rsidR="0015184A" w:rsidRPr="00E31C0B">
        <w:rPr>
          <w:rFonts w:hAnsi="標楷體" w:hint="eastAsia"/>
        </w:rPr>
        <w:t>且應適用最有利於行為人之法律原則</w:t>
      </w:r>
      <w:r w:rsidR="00E7798C" w:rsidRPr="00E31C0B">
        <w:rPr>
          <w:rStyle w:val="aff8"/>
          <w:rFonts w:hAnsi="標楷體"/>
        </w:rPr>
        <w:footnoteReference w:id="4"/>
      </w:r>
      <w:r w:rsidR="00E7798C" w:rsidRPr="00E31C0B">
        <w:rPr>
          <w:rFonts w:hAnsi="標楷體" w:hint="eastAsia"/>
        </w:rPr>
        <w:t>，</w:t>
      </w:r>
      <w:r w:rsidR="00481343" w:rsidRPr="00E31C0B">
        <w:rPr>
          <w:rFonts w:hAnsi="標楷體" w:hint="eastAsia"/>
        </w:rPr>
        <w:t>亦為</w:t>
      </w:r>
      <w:r w:rsidR="00E7798C" w:rsidRPr="00E31C0B">
        <w:rPr>
          <w:rFonts w:hAnsi="標楷體" w:hint="eastAsia"/>
        </w:rPr>
        <w:t>憲法保障人民基本權之重要</w:t>
      </w:r>
      <w:r w:rsidR="005654F2" w:rsidRPr="00E31C0B">
        <w:rPr>
          <w:rFonts w:hAnsi="標楷體" w:hint="eastAsia"/>
        </w:rPr>
        <w:t>原則。</w:t>
      </w:r>
    </w:p>
    <w:p w14:paraId="6DE44060" w14:textId="172FFAE5" w:rsidR="00976EB8" w:rsidRPr="00E31C0B" w:rsidRDefault="00482D46" w:rsidP="00B447DF">
      <w:pPr>
        <w:pStyle w:val="3"/>
        <w:rPr>
          <w:rFonts w:hAnsi="標楷體"/>
        </w:rPr>
      </w:pPr>
      <w:r w:rsidRPr="00E31C0B">
        <w:rPr>
          <w:rFonts w:hAnsi="標楷體" w:hint="eastAsia"/>
        </w:rPr>
        <w:t>惟查，</w:t>
      </w:r>
      <w:r w:rsidR="00266581" w:rsidRPr="00E31C0B">
        <w:rPr>
          <w:rFonts w:hAnsi="標楷體" w:hint="eastAsia"/>
        </w:rPr>
        <w:t>本件系爭案件，最高法院</w:t>
      </w:r>
      <w:r w:rsidR="00643177" w:rsidRPr="00E31C0B">
        <w:rPr>
          <w:rFonts w:hAnsi="標楷體" w:hint="eastAsia"/>
        </w:rPr>
        <w:t>為判決時，</w:t>
      </w:r>
      <w:r w:rsidR="00266581" w:rsidRPr="00E31C0B">
        <w:rPr>
          <w:rFonts w:hAnsi="標楷體" w:hint="eastAsia"/>
        </w:rPr>
        <w:t>司法院釋字第790號解釋</w:t>
      </w:r>
      <w:r w:rsidR="00360AAD" w:rsidRPr="00E31C0B">
        <w:rPr>
          <w:rFonts w:hAnsi="標楷體" w:hint="eastAsia"/>
        </w:rPr>
        <w:t>已</w:t>
      </w:r>
      <w:r w:rsidR="00643177" w:rsidRPr="00E31C0B">
        <w:rPr>
          <w:rFonts w:hAnsi="標楷體" w:hint="eastAsia"/>
        </w:rPr>
        <w:t>公布</w:t>
      </w:r>
      <w:r w:rsidR="00976EB8" w:rsidRPr="00E31C0B">
        <w:rPr>
          <w:rFonts w:hAnsi="標楷體" w:hint="eastAsia"/>
        </w:rPr>
        <w:t>，</w:t>
      </w:r>
      <w:r w:rsidR="00481343" w:rsidRPr="00E31C0B">
        <w:rPr>
          <w:rFonts w:hAnsi="標楷體" w:hint="eastAsia"/>
          <w:szCs w:val="32"/>
        </w:rPr>
        <w:t>且當事人</w:t>
      </w:r>
      <w:r w:rsidR="00976EB8" w:rsidRPr="00E31C0B">
        <w:rPr>
          <w:rFonts w:hAnsi="標楷體" w:hint="eastAsia"/>
          <w:szCs w:val="32"/>
        </w:rPr>
        <w:t>（</w:t>
      </w:r>
      <w:r w:rsidR="0005068E" w:rsidRPr="00E31C0B">
        <w:rPr>
          <w:rFonts w:hAnsi="標楷體" w:hint="eastAsia"/>
          <w:szCs w:val="32"/>
        </w:rPr>
        <w:t>即</w:t>
      </w:r>
      <w:r w:rsidR="00976EB8" w:rsidRPr="00E31C0B">
        <w:rPr>
          <w:rFonts w:hAnsi="標楷體" w:hint="eastAsia"/>
          <w:szCs w:val="32"/>
        </w:rPr>
        <w:t>被告</w:t>
      </w:r>
      <w:r w:rsidR="005B1E60" w:rsidRPr="00E31C0B">
        <w:rPr>
          <w:rFonts w:hAnsi="標楷體" w:hint="eastAsia"/>
          <w:szCs w:val="32"/>
        </w:rPr>
        <w:t>黃○剛</w:t>
      </w:r>
      <w:r w:rsidR="00976EB8" w:rsidRPr="00E31C0B">
        <w:rPr>
          <w:rFonts w:hAnsi="標楷體" w:hint="eastAsia"/>
          <w:szCs w:val="32"/>
        </w:rPr>
        <w:t>）旋即於109年3月21日向</w:t>
      </w:r>
      <w:r w:rsidR="00976EB8" w:rsidRPr="00E31C0B">
        <w:rPr>
          <w:rFonts w:hAnsi="標楷體" w:hint="eastAsia"/>
        </w:rPr>
        <w:t>最高法院</w:t>
      </w:r>
      <w:r w:rsidR="00976EB8" w:rsidRPr="00E31C0B">
        <w:rPr>
          <w:rFonts w:hAnsi="標楷體" w:hint="eastAsia"/>
          <w:szCs w:val="32"/>
        </w:rPr>
        <w:t>提出</w:t>
      </w:r>
      <w:r w:rsidR="00481343" w:rsidRPr="00E31C0B">
        <w:rPr>
          <w:rFonts w:hAnsi="標楷體" w:hint="eastAsia"/>
        </w:rPr>
        <w:t>補充上訴理由</w:t>
      </w:r>
      <w:r w:rsidR="00976EB8" w:rsidRPr="00E31C0B">
        <w:rPr>
          <w:rFonts w:hAnsi="標楷體" w:hint="eastAsia"/>
        </w:rPr>
        <w:t>狀（詳附件），</w:t>
      </w:r>
      <w:r w:rsidR="00227997" w:rsidRPr="00E31C0B">
        <w:rPr>
          <w:rFonts w:hAnsi="標楷體" w:hint="eastAsia"/>
        </w:rPr>
        <w:t>略以：「</w:t>
      </w:r>
      <w:r w:rsidR="00227997" w:rsidRPr="00E31C0B">
        <w:rPr>
          <w:rFonts w:hAnsi="標楷體"/>
        </w:rPr>
        <w:t>……</w:t>
      </w:r>
      <w:r w:rsidR="00976EB8" w:rsidRPr="00E31C0B">
        <w:rPr>
          <w:rFonts w:hAnsi="標楷體" w:hint="eastAsia"/>
        </w:rPr>
        <w:t>原審</w:t>
      </w:r>
      <w:r w:rsidR="00227997" w:rsidRPr="00E31C0B">
        <w:rPr>
          <w:rFonts w:hAnsi="標楷體" w:hint="eastAsia"/>
        </w:rPr>
        <w:t>（</w:t>
      </w:r>
      <w:r w:rsidR="00227997" w:rsidRPr="00E31C0B">
        <w:rPr>
          <w:rFonts w:hAnsi="標楷體" w:hint="eastAsia"/>
          <w:szCs w:val="32"/>
        </w:rPr>
        <w:t>臺灣高等法院</w:t>
      </w:r>
      <w:r w:rsidR="00227997" w:rsidRPr="00E31C0B">
        <w:rPr>
          <w:rFonts w:hAnsi="標楷體" w:hint="eastAsia"/>
        </w:rPr>
        <w:lastRenderedPageBreak/>
        <w:t>）</w:t>
      </w:r>
      <w:r w:rsidR="00976EB8" w:rsidRPr="00E31C0B">
        <w:rPr>
          <w:rFonts w:hAnsi="標楷體" w:hint="eastAsia"/>
        </w:rPr>
        <w:t>判決就被告所涉犯行，僅有</w:t>
      </w:r>
      <w:r w:rsidR="00757E96" w:rsidRPr="00E31C0B">
        <w:rPr>
          <w:rFonts w:hAnsi="標楷體" w:hint="eastAsia"/>
        </w:rPr>
        <w:t>依刑法</w:t>
      </w:r>
      <w:r w:rsidR="00976EB8" w:rsidRPr="00E31C0B">
        <w:rPr>
          <w:rFonts w:hAnsi="標楷體" w:hint="eastAsia"/>
        </w:rPr>
        <w:t>第</w:t>
      </w:r>
      <w:r w:rsidR="00976EB8" w:rsidRPr="00E31C0B">
        <w:rPr>
          <w:rFonts w:hAnsi="標楷體"/>
        </w:rPr>
        <w:t>59</w:t>
      </w:r>
      <w:r w:rsidR="00976EB8" w:rsidRPr="00E31C0B">
        <w:rPr>
          <w:rFonts w:hAnsi="標楷體" w:hint="eastAsia"/>
        </w:rPr>
        <w:t>條予以減輕其刑，惟對被告可能構成顯然過苛之處罰，而無兼顧實質正義等情節輕微酌加考量，實有違</w:t>
      </w:r>
      <w:r w:rsidR="00166B5A" w:rsidRPr="00E31C0B">
        <w:rPr>
          <w:rFonts w:hAnsi="標楷體" w:hint="eastAsia"/>
        </w:rPr>
        <w:t>司法院釋</w:t>
      </w:r>
      <w:r w:rsidR="00976EB8" w:rsidRPr="00E31C0B">
        <w:rPr>
          <w:rFonts w:hAnsi="標楷體" w:hint="eastAsia"/>
        </w:rPr>
        <w:t>字第</w:t>
      </w:r>
      <w:r w:rsidR="00976EB8" w:rsidRPr="00E31C0B">
        <w:rPr>
          <w:rFonts w:hAnsi="標楷體"/>
        </w:rPr>
        <w:t>790</w:t>
      </w:r>
      <w:r w:rsidR="00976EB8" w:rsidRPr="00E31C0B">
        <w:rPr>
          <w:rFonts w:hAnsi="標楷體" w:hint="eastAsia"/>
        </w:rPr>
        <w:t>號解釋意旨，而司法院解釋憲法，作成解釋，自有拘束法院之效力，應認原審判決有判決違背法令之處，得為</w:t>
      </w:r>
      <w:r w:rsidR="00100F55" w:rsidRPr="00E31C0B">
        <w:rPr>
          <w:rFonts w:hAnsi="標楷體" w:hint="eastAsia"/>
        </w:rPr>
        <w:t>上訴第三審</w:t>
      </w:r>
      <w:r w:rsidR="00976EB8" w:rsidRPr="00E31C0B">
        <w:rPr>
          <w:rFonts w:hAnsi="標楷體" w:hint="eastAsia"/>
        </w:rPr>
        <w:t>之理由。</w:t>
      </w:r>
      <w:r w:rsidR="00227997" w:rsidRPr="00E31C0B">
        <w:rPr>
          <w:rFonts w:hAnsi="標楷體"/>
        </w:rPr>
        <w:t>……</w:t>
      </w:r>
      <w:r w:rsidR="00976EB8" w:rsidRPr="00E31C0B">
        <w:rPr>
          <w:rFonts w:hAnsi="標楷體" w:hint="eastAsia"/>
        </w:rPr>
        <w:t>原審判決確有當然違背法令之情形，敬請發回更為審理或逕為適法判決，</w:t>
      </w:r>
      <w:r w:rsidR="00227997" w:rsidRPr="00E31C0B">
        <w:rPr>
          <w:rFonts w:hAnsi="標楷體"/>
        </w:rPr>
        <w:t>……</w:t>
      </w:r>
      <w:r w:rsidR="00227997" w:rsidRPr="00E31C0B">
        <w:rPr>
          <w:rFonts w:hAnsi="標楷體" w:hint="eastAsia"/>
        </w:rPr>
        <w:t>」</w:t>
      </w:r>
      <w:r w:rsidR="00E74420" w:rsidRPr="00E31C0B">
        <w:rPr>
          <w:rFonts w:hAnsi="標楷體" w:hint="eastAsia"/>
        </w:rPr>
        <w:t>即</w:t>
      </w:r>
      <w:r w:rsidR="00227997" w:rsidRPr="00E31C0B">
        <w:rPr>
          <w:rFonts w:hAnsi="標楷體" w:hint="eastAsia"/>
        </w:rPr>
        <w:t>原審</w:t>
      </w:r>
      <w:r w:rsidR="00227997" w:rsidRPr="00E31C0B">
        <w:rPr>
          <w:rFonts w:hAnsi="標楷體" w:hint="eastAsia"/>
          <w:szCs w:val="32"/>
        </w:rPr>
        <w:t>臺灣高等法院</w:t>
      </w:r>
      <w:r w:rsidR="008310B7" w:rsidRPr="00E31C0B">
        <w:rPr>
          <w:rFonts w:hAnsi="標楷體" w:hint="eastAsia"/>
          <w:szCs w:val="32"/>
        </w:rPr>
        <w:t>為</w:t>
      </w:r>
      <w:r w:rsidR="009533E2" w:rsidRPr="00E31C0B">
        <w:rPr>
          <w:rFonts w:hAnsi="標楷體" w:hint="eastAsia"/>
        </w:rPr>
        <w:t>系爭案件</w:t>
      </w:r>
      <w:r w:rsidR="00227997" w:rsidRPr="00E31C0B">
        <w:rPr>
          <w:rFonts w:hAnsi="標楷體" w:hint="eastAsia"/>
        </w:rPr>
        <w:t>判決</w:t>
      </w:r>
      <w:r w:rsidR="007F3A4C" w:rsidRPr="00E31C0B">
        <w:rPr>
          <w:rFonts w:hAnsi="標楷體" w:hint="eastAsia"/>
        </w:rPr>
        <w:t>時，司法院釋字第790號解釋尚未公</w:t>
      </w:r>
      <w:r w:rsidR="00A758AE" w:rsidRPr="00E31C0B">
        <w:rPr>
          <w:rFonts w:hAnsi="標楷體" w:hint="eastAsia"/>
        </w:rPr>
        <w:t>布，故僅</w:t>
      </w:r>
      <w:r w:rsidR="008310B7" w:rsidRPr="00E31C0B">
        <w:rPr>
          <w:rFonts w:hAnsi="標楷體" w:hint="eastAsia"/>
        </w:rPr>
        <w:t>能</w:t>
      </w:r>
      <w:r w:rsidR="00757E96" w:rsidRPr="00E31C0B">
        <w:rPr>
          <w:rFonts w:hAnsi="標楷體" w:hint="eastAsia"/>
        </w:rPr>
        <w:t>依刑法</w:t>
      </w:r>
      <w:r w:rsidR="007F3A4C" w:rsidRPr="00E31C0B">
        <w:rPr>
          <w:rFonts w:hAnsi="標楷體" w:hint="eastAsia"/>
        </w:rPr>
        <w:t>第</w:t>
      </w:r>
      <w:r w:rsidR="007F3A4C" w:rsidRPr="00E31C0B">
        <w:rPr>
          <w:rFonts w:hAnsi="標楷體"/>
        </w:rPr>
        <w:t>59</w:t>
      </w:r>
      <w:r w:rsidR="007F3A4C" w:rsidRPr="00E31C0B">
        <w:rPr>
          <w:rFonts w:hAnsi="標楷體" w:hint="eastAsia"/>
        </w:rPr>
        <w:t>條</w:t>
      </w:r>
      <w:r w:rsidR="008310B7" w:rsidRPr="00E31C0B">
        <w:rPr>
          <w:rFonts w:hAnsi="標楷體" w:hint="eastAsia"/>
        </w:rPr>
        <w:t>規定，對系爭案件</w:t>
      </w:r>
      <w:r w:rsidR="00F77AB8" w:rsidRPr="00E31C0B">
        <w:rPr>
          <w:rFonts w:hAnsi="標楷體" w:hint="eastAsia"/>
        </w:rPr>
        <w:t>量刑（</w:t>
      </w:r>
      <w:r w:rsidR="009533E2" w:rsidRPr="00E31C0B">
        <w:rPr>
          <w:rFonts w:hAnsi="標楷體" w:hint="eastAsia"/>
        </w:rPr>
        <w:t>原系爭規定之</w:t>
      </w:r>
      <w:r w:rsidR="00F77AB8" w:rsidRPr="00E31C0B">
        <w:rPr>
          <w:rFonts w:hAnsi="標楷體" w:hint="eastAsia"/>
        </w:rPr>
        <w:t>法定刑）</w:t>
      </w:r>
      <w:r w:rsidR="007F3A4C" w:rsidRPr="00E31C0B">
        <w:rPr>
          <w:rFonts w:hAnsi="標楷體" w:hint="eastAsia"/>
        </w:rPr>
        <w:t>予以減輕其刑</w:t>
      </w:r>
      <w:r w:rsidR="00812120" w:rsidRPr="00E31C0B">
        <w:rPr>
          <w:rFonts w:hAnsi="標楷體" w:hint="eastAsia"/>
        </w:rPr>
        <w:t>。</w:t>
      </w:r>
    </w:p>
    <w:p w14:paraId="11D3AFBE" w14:textId="1F2F4BD8" w:rsidR="004419FD" w:rsidRPr="00E31C0B" w:rsidRDefault="003F6CE6" w:rsidP="00B447DF">
      <w:pPr>
        <w:pStyle w:val="3"/>
        <w:rPr>
          <w:rFonts w:hAnsi="標楷體"/>
        </w:rPr>
      </w:pPr>
      <w:r w:rsidRPr="00E31C0B">
        <w:rPr>
          <w:rFonts w:hAnsi="標楷體" w:hint="eastAsia"/>
        </w:rPr>
        <w:t>綜上，</w:t>
      </w:r>
      <w:r w:rsidR="00787966" w:rsidRPr="00E31C0B">
        <w:rPr>
          <w:rFonts w:hAnsi="標楷體" w:hint="eastAsia"/>
        </w:rPr>
        <w:t>本件系爭案件，最高法院為判決時（</w:t>
      </w:r>
      <w:r w:rsidR="00787966" w:rsidRPr="00E31C0B">
        <w:rPr>
          <w:rFonts w:hAnsi="標楷體" w:hint="eastAsia"/>
          <w:szCs w:val="32"/>
        </w:rPr>
        <w:t>109年4月16日</w:t>
      </w:r>
      <w:r w:rsidR="00787966" w:rsidRPr="00E31C0B">
        <w:rPr>
          <w:rFonts w:hAnsi="標楷體" w:hint="eastAsia"/>
        </w:rPr>
        <w:t>），司法院釋字第790號解釋已公布（</w:t>
      </w:r>
      <w:r w:rsidR="00787966" w:rsidRPr="00E31C0B">
        <w:rPr>
          <w:rFonts w:hAnsi="標楷體" w:hint="eastAsia"/>
          <w:szCs w:val="32"/>
        </w:rPr>
        <w:t>109年3月20日</w:t>
      </w:r>
      <w:r w:rsidR="00787966" w:rsidRPr="00E31C0B">
        <w:rPr>
          <w:rFonts w:hAnsi="標楷體" w:hint="eastAsia"/>
        </w:rPr>
        <w:t>），</w:t>
      </w:r>
      <w:r w:rsidR="00787966" w:rsidRPr="00E31C0B">
        <w:rPr>
          <w:rFonts w:hAnsi="標楷體" w:hint="eastAsia"/>
          <w:szCs w:val="32"/>
        </w:rPr>
        <w:t>且當事人（即被告</w:t>
      </w:r>
      <w:r w:rsidR="005B1E60" w:rsidRPr="00E31C0B">
        <w:rPr>
          <w:rFonts w:hAnsi="標楷體" w:hint="eastAsia"/>
          <w:szCs w:val="32"/>
        </w:rPr>
        <w:t>黃○剛</w:t>
      </w:r>
      <w:r w:rsidR="00787966" w:rsidRPr="00E31C0B">
        <w:rPr>
          <w:rFonts w:hAnsi="標楷體" w:hint="eastAsia"/>
          <w:szCs w:val="32"/>
        </w:rPr>
        <w:t>）旋即於109年3月21日向</w:t>
      </w:r>
      <w:r w:rsidR="00787966" w:rsidRPr="00E31C0B">
        <w:rPr>
          <w:rFonts w:hAnsi="標楷體" w:hint="eastAsia"/>
        </w:rPr>
        <w:t>最高法院</w:t>
      </w:r>
      <w:r w:rsidR="00787966" w:rsidRPr="00E31C0B">
        <w:rPr>
          <w:rFonts w:hAnsi="標楷體" w:hint="eastAsia"/>
          <w:szCs w:val="32"/>
        </w:rPr>
        <w:t>提出</w:t>
      </w:r>
      <w:r w:rsidR="00787966" w:rsidRPr="00E31C0B">
        <w:rPr>
          <w:rFonts w:hAnsi="標楷體" w:hint="eastAsia"/>
        </w:rPr>
        <w:t>補充上訴理由狀（詳附件），略以：「</w:t>
      </w:r>
      <w:r w:rsidR="00787966" w:rsidRPr="00E31C0B">
        <w:rPr>
          <w:rFonts w:hAnsi="標楷體"/>
        </w:rPr>
        <w:t>……</w:t>
      </w:r>
      <w:r w:rsidR="00787966" w:rsidRPr="00E31C0B">
        <w:rPr>
          <w:rFonts w:hAnsi="標楷體" w:hint="eastAsia"/>
        </w:rPr>
        <w:t>原審（</w:t>
      </w:r>
      <w:r w:rsidR="00787966" w:rsidRPr="00E31C0B">
        <w:rPr>
          <w:rFonts w:hAnsi="標楷體" w:hint="eastAsia"/>
          <w:szCs w:val="32"/>
        </w:rPr>
        <w:t>臺灣高等法院</w:t>
      </w:r>
      <w:r w:rsidR="00787966" w:rsidRPr="00E31C0B">
        <w:rPr>
          <w:rFonts w:hAnsi="標楷體" w:hint="eastAsia"/>
        </w:rPr>
        <w:t>）判決就被告所涉犯行，僅有</w:t>
      </w:r>
      <w:r w:rsidR="00757E96" w:rsidRPr="00E31C0B">
        <w:rPr>
          <w:rFonts w:hAnsi="標楷體" w:hint="eastAsia"/>
        </w:rPr>
        <w:t>依刑法</w:t>
      </w:r>
      <w:r w:rsidR="00787966" w:rsidRPr="00E31C0B">
        <w:rPr>
          <w:rFonts w:hAnsi="標楷體" w:hint="eastAsia"/>
        </w:rPr>
        <w:t>第</w:t>
      </w:r>
      <w:r w:rsidR="00787966" w:rsidRPr="00E31C0B">
        <w:rPr>
          <w:rFonts w:hAnsi="標楷體"/>
        </w:rPr>
        <w:t>59</w:t>
      </w:r>
      <w:r w:rsidR="00787966" w:rsidRPr="00E31C0B">
        <w:rPr>
          <w:rFonts w:hAnsi="標楷體" w:hint="eastAsia"/>
        </w:rPr>
        <w:t>條予以減輕其刑，惟對被告可能構成顯然過苛之處罰，而無兼顧實質正義等情節輕微酌加考量，實有違</w:t>
      </w:r>
      <w:r w:rsidR="00166B5A" w:rsidRPr="00E31C0B">
        <w:rPr>
          <w:rFonts w:hAnsi="標楷體" w:hint="eastAsia"/>
        </w:rPr>
        <w:t>司法院釋</w:t>
      </w:r>
      <w:r w:rsidR="00787966" w:rsidRPr="00E31C0B">
        <w:rPr>
          <w:rFonts w:hAnsi="標楷體" w:hint="eastAsia"/>
        </w:rPr>
        <w:t>字第</w:t>
      </w:r>
      <w:r w:rsidR="00787966" w:rsidRPr="00E31C0B">
        <w:rPr>
          <w:rFonts w:hAnsi="標楷體"/>
        </w:rPr>
        <w:t>790</w:t>
      </w:r>
      <w:r w:rsidR="00787966" w:rsidRPr="00E31C0B">
        <w:rPr>
          <w:rFonts w:hAnsi="標楷體" w:hint="eastAsia"/>
        </w:rPr>
        <w:t>號解釋意旨，而司法院解釋憲法，作成解釋，自有拘束法院之效力，應認原審判決有判決違背法令之處，得為</w:t>
      </w:r>
      <w:r w:rsidR="00100F55" w:rsidRPr="00E31C0B">
        <w:rPr>
          <w:rFonts w:hAnsi="標楷體" w:hint="eastAsia"/>
        </w:rPr>
        <w:t>上訴第三審</w:t>
      </w:r>
      <w:r w:rsidR="00787966" w:rsidRPr="00E31C0B">
        <w:rPr>
          <w:rFonts w:hAnsi="標楷體" w:hint="eastAsia"/>
        </w:rPr>
        <w:t>之理由。</w:t>
      </w:r>
      <w:r w:rsidR="00787966" w:rsidRPr="00E31C0B">
        <w:rPr>
          <w:rFonts w:hAnsi="標楷體"/>
        </w:rPr>
        <w:t>……</w:t>
      </w:r>
      <w:r w:rsidR="00787966" w:rsidRPr="00E31C0B">
        <w:rPr>
          <w:rFonts w:hAnsi="標楷體" w:hint="eastAsia"/>
        </w:rPr>
        <w:t>原審判決確有當然違背法令之情形，敬請發回更為審理或逕為適法判決，</w:t>
      </w:r>
      <w:r w:rsidR="00787966" w:rsidRPr="00E31C0B">
        <w:rPr>
          <w:rFonts w:hAnsi="標楷體"/>
        </w:rPr>
        <w:t>……</w:t>
      </w:r>
      <w:r w:rsidR="00E82DB0" w:rsidRPr="00E31C0B">
        <w:rPr>
          <w:rFonts w:hAnsi="標楷體" w:hint="eastAsia"/>
        </w:rPr>
        <w:t>」申言之，即原審</w:t>
      </w:r>
      <w:r w:rsidR="00787966" w:rsidRPr="00E31C0B">
        <w:rPr>
          <w:rFonts w:hAnsi="標楷體" w:hint="eastAsia"/>
          <w:szCs w:val="32"/>
        </w:rPr>
        <w:t>臺灣高等法院為</w:t>
      </w:r>
      <w:r w:rsidR="00787966" w:rsidRPr="00E31C0B">
        <w:rPr>
          <w:rFonts w:hAnsi="標楷體" w:hint="eastAsia"/>
        </w:rPr>
        <w:t>系爭案件判決時，司法院釋字第790號解釋尚未公</w:t>
      </w:r>
      <w:r w:rsidR="00A758AE" w:rsidRPr="00E31C0B">
        <w:rPr>
          <w:rFonts w:hAnsi="標楷體" w:hint="eastAsia"/>
        </w:rPr>
        <w:t>布，故僅</w:t>
      </w:r>
      <w:r w:rsidR="00787966" w:rsidRPr="00E31C0B">
        <w:rPr>
          <w:rFonts w:hAnsi="標楷體" w:hint="eastAsia"/>
        </w:rPr>
        <w:t>能</w:t>
      </w:r>
      <w:r w:rsidR="00757E96" w:rsidRPr="00E31C0B">
        <w:rPr>
          <w:rFonts w:hAnsi="標楷體" w:hint="eastAsia"/>
        </w:rPr>
        <w:t>依刑法</w:t>
      </w:r>
      <w:r w:rsidR="00787966" w:rsidRPr="00E31C0B">
        <w:rPr>
          <w:rFonts w:hAnsi="標楷體" w:hint="eastAsia"/>
        </w:rPr>
        <w:t>第</w:t>
      </w:r>
      <w:r w:rsidR="00787966" w:rsidRPr="00E31C0B">
        <w:rPr>
          <w:rFonts w:hAnsi="標楷體"/>
        </w:rPr>
        <w:t>59</w:t>
      </w:r>
      <w:r w:rsidR="00787966" w:rsidRPr="00E31C0B">
        <w:rPr>
          <w:rFonts w:hAnsi="標楷體" w:hint="eastAsia"/>
        </w:rPr>
        <w:t>條規定，對系爭案件量刑（原系爭規定之法定刑）予以減輕其刑。但司法院釋字第790號解釋公布後，形同系爭規定之法定刑不論修法進度及內容如何，可預見將較輕於原規定，而適用較輕之新規定，亦可再適用刑法第</w:t>
      </w:r>
      <w:r w:rsidR="00787966" w:rsidRPr="00E31C0B">
        <w:rPr>
          <w:rFonts w:hAnsi="標楷體"/>
        </w:rPr>
        <w:t>59</w:t>
      </w:r>
      <w:r w:rsidR="00787966" w:rsidRPr="00E31C0B">
        <w:rPr>
          <w:rFonts w:hAnsi="標楷體" w:hint="eastAsia"/>
        </w:rPr>
        <w:t>條規定量刑上之予以</w:t>
      </w:r>
      <w:r w:rsidR="00787966" w:rsidRPr="00E31C0B">
        <w:rPr>
          <w:rFonts w:hAnsi="標楷體" w:hint="eastAsia"/>
        </w:rPr>
        <w:lastRenderedPageBreak/>
        <w:t>減輕，顯對訴訟尚未終結之被告有可期待之雙重利益。惟最高法院遽採原審</w:t>
      </w:r>
      <w:r w:rsidR="00787966" w:rsidRPr="00E31C0B">
        <w:rPr>
          <w:rFonts w:hAnsi="標楷體" w:hint="eastAsia"/>
          <w:szCs w:val="32"/>
        </w:rPr>
        <w:t>臺灣高等法院</w:t>
      </w:r>
      <w:r w:rsidR="00787966" w:rsidRPr="00E31C0B">
        <w:rPr>
          <w:rFonts w:hAnsi="標楷體" w:hint="eastAsia"/>
        </w:rPr>
        <w:t>判決時，時空背景歧異之系爭規定見解，</w:t>
      </w:r>
      <w:r w:rsidR="002E0096" w:rsidRPr="00E31C0B">
        <w:rPr>
          <w:rFonts w:hAnsi="標楷體" w:hint="eastAsia"/>
        </w:rPr>
        <w:t>未將本件系爭案件</w:t>
      </w:r>
      <w:r w:rsidR="00787966" w:rsidRPr="00E31C0B">
        <w:rPr>
          <w:rFonts w:hAnsi="標楷體" w:hint="eastAsia"/>
        </w:rPr>
        <w:t>之審判程序延至新法修正公布</w:t>
      </w:r>
      <w:r w:rsidR="00D02CC6" w:rsidRPr="00E31C0B">
        <w:rPr>
          <w:rFonts w:hAnsi="標楷體" w:hint="eastAsia"/>
        </w:rPr>
        <w:t>後，或</w:t>
      </w:r>
      <w:r w:rsidR="00787966" w:rsidRPr="00E31C0B">
        <w:rPr>
          <w:rFonts w:hAnsi="標楷體" w:hint="eastAsia"/>
        </w:rPr>
        <w:t>司法院釋字第790號解釋公布之日起1年後，始予終結，或發回</w:t>
      </w:r>
      <w:r w:rsidR="00787966" w:rsidRPr="00E31C0B">
        <w:rPr>
          <w:rFonts w:hAnsi="標楷體" w:hint="eastAsia"/>
          <w:szCs w:val="32"/>
        </w:rPr>
        <w:t>臺灣高等法院</w:t>
      </w:r>
      <w:r w:rsidR="00787966" w:rsidRPr="00E31C0B">
        <w:rPr>
          <w:rFonts w:hAnsi="標楷體" w:hint="eastAsia"/>
        </w:rPr>
        <w:t>更為審理，實有違刑法第2條罪刑法定主義應適用最有利於行為人之法律原則，有悖憲法保障人民基本權之重要原則，而有</w:t>
      </w:r>
      <w:r w:rsidR="00787966" w:rsidRPr="00E31C0B">
        <w:rPr>
          <w:rFonts w:hAnsi="標楷體"/>
          <w:szCs w:val="32"/>
        </w:rPr>
        <w:t>判決不適用法則或適用不當者</w:t>
      </w:r>
      <w:r w:rsidR="00787966" w:rsidRPr="00E31C0B">
        <w:rPr>
          <w:rFonts w:hAnsi="標楷體" w:hint="eastAsia"/>
          <w:szCs w:val="32"/>
        </w:rPr>
        <w:t>之</w:t>
      </w:r>
      <w:r w:rsidR="00787966" w:rsidRPr="00E31C0B">
        <w:rPr>
          <w:rFonts w:hAnsi="標楷體"/>
          <w:szCs w:val="32"/>
        </w:rPr>
        <w:t>違背法令</w:t>
      </w:r>
      <w:r w:rsidR="00787966" w:rsidRPr="00E31C0B">
        <w:rPr>
          <w:rFonts w:hAnsi="標楷體" w:hint="eastAsia"/>
          <w:szCs w:val="32"/>
        </w:rPr>
        <w:t>情事</w:t>
      </w:r>
      <w:r w:rsidR="004419FD" w:rsidRPr="00E31C0B">
        <w:rPr>
          <w:rFonts w:hAnsi="標楷體" w:hint="eastAsia"/>
        </w:rPr>
        <w:t>。</w:t>
      </w:r>
    </w:p>
    <w:p w14:paraId="5EBED24D" w14:textId="7D380CA0" w:rsidR="00E051EF" w:rsidRPr="00992165" w:rsidRDefault="00E051EF" w:rsidP="00B447DF">
      <w:pPr>
        <w:pStyle w:val="2"/>
        <w:rPr>
          <w:rFonts w:hAnsi="標楷體"/>
          <w:b/>
          <w:bCs w:val="0"/>
        </w:rPr>
      </w:pPr>
      <w:r w:rsidRPr="00992165">
        <w:rPr>
          <w:rFonts w:hAnsi="標楷體" w:hint="eastAsia"/>
          <w:b/>
          <w:bCs w:val="0"/>
        </w:rPr>
        <w:t>司法院釋字第790號解釋公布後，形同系爭規定之法定刑不論修法進度及內容如何，可預見將較輕於原規定，而適用較輕之新規定，始符合刑法第2條罪刑法定主義法律不溯及既往且應適用最有利於行為人之法律原則，及憲法保障人民基本權之重要原則。</w:t>
      </w:r>
      <w:r w:rsidR="00306E08">
        <w:rPr>
          <w:rFonts w:hAnsi="標楷體" w:hint="eastAsia"/>
          <w:b/>
          <w:bCs w:val="0"/>
        </w:rPr>
        <w:t>爰為避免</w:t>
      </w:r>
      <w:r w:rsidRPr="00992165">
        <w:rPr>
          <w:rFonts w:hAnsi="標楷體"/>
          <w:b/>
          <w:bCs w:val="0"/>
        </w:rPr>
        <w:t>各級法院</w:t>
      </w:r>
      <w:r w:rsidRPr="00992165">
        <w:rPr>
          <w:rFonts w:hAnsi="標楷體" w:hint="eastAsia"/>
          <w:b/>
          <w:bCs w:val="0"/>
        </w:rPr>
        <w:t>在審理</w:t>
      </w:r>
      <w:r w:rsidRPr="00992165">
        <w:rPr>
          <w:rFonts w:hAnsi="標楷體"/>
          <w:b/>
          <w:bCs w:val="0"/>
        </w:rPr>
        <w:t>類似案件</w:t>
      </w:r>
      <w:r w:rsidRPr="00992165">
        <w:rPr>
          <w:rFonts w:hAnsi="標楷體" w:hint="eastAsia"/>
          <w:b/>
          <w:bCs w:val="0"/>
        </w:rPr>
        <w:t>，急於在辦案管考期限內，將案件終結，以致忽視</w:t>
      </w:r>
      <w:r w:rsidRPr="00992165">
        <w:rPr>
          <w:rFonts w:hAnsi="標楷體"/>
          <w:b/>
          <w:bCs w:val="0"/>
        </w:rPr>
        <w:t>司法院釋字第790號解釋公布後</w:t>
      </w:r>
      <w:r w:rsidRPr="00992165">
        <w:rPr>
          <w:rFonts w:hAnsi="標楷體" w:hint="eastAsia"/>
          <w:b/>
          <w:bCs w:val="0"/>
        </w:rPr>
        <w:t>，應適用最有利於行為人之法律原則</w:t>
      </w:r>
      <w:r w:rsidRPr="00992165">
        <w:rPr>
          <w:rFonts w:hAnsi="標楷體"/>
          <w:b/>
          <w:bCs w:val="0"/>
        </w:rPr>
        <w:t>。</w:t>
      </w:r>
      <w:r w:rsidRPr="00992165">
        <w:rPr>
          <w:rFonts w:hAnsi="標楷體" w:hint="eastAsia"/>
          <w:b/>
          <w:bCs w:val="0"/>
        </w:rPr>
        <w:t>司法院允宜研議修正現行「</w:t>
      </w:r>
      <w:r w:rsidRPr="00992165">
        <w:rPr>
          <w:rFonts w:hAnsi="標楷體"/>
          <w:b/>
          <w:bCs w:val="0"/>
        </w:rPr>
        <w:t>各級法院辦案期限實施要點」</w:t>
      </w:r>
      <w:r w:rsidRPr="00992165">
        <w:rPr>
          <w:rFonts w:hAnsi="標楷體" w:hint="eastAsia"/>
          <w:b/>
          <w:bCs w:val="0"/>
        </w:rPr>
        <w:t>如有類如系爭案件因囿於「辦案期限」該如何處理，或法院對未確定之類似案件欲一律停止審理（</w:t>
      </w:r>
      <w:r w:rsidR="00306E08">
        <w:rPr>
          <w:rFonts w:hAnsi="標楷體" w:hint="eastAsia"/>
          <w:b/>
          <w:bCs w:val="0"/>
        </w:rPr>
        <w:t>待新法修正公布後</w:t>
      </w:r>
      <w:r w:rsidRPr="00992165">
        <w:rPr>
          <w:rFonts w:hAnsi="標楷體" w:hint="eastAsia"/>
          <w:b/>
          <w:bCs w:val="0"/>
        </w:rPr>
        <w:t>再行處理）等，相關均衡之處理方式，以維司法公信力。</w:t>
      </w:r>
    </w:p>
    <w:p w14:paraId="40DE1AE5" w14:textId="7CAC6F24" w:rsidR="00D6496D" w:rsidRPr="00992165" w:rsidRDefault="00D6496D" w:rsidP="00B447DF">
      <w:pPr>
        <w:pStyle w:val="3"/>
        <w:rPr>
          <w:rFonts w:hAnsi="標楷體"/>
          <w:szCs w:val="48"/>
        </w:rPr>
      </w:pPr>
      <w:r w:rsidRPr="00992165">
        <w:rPr>
          <w:rFonts w:hAnsi="標楷體" w:hint="eastAsia"/>
        </w:rPr>
        <w:t>憲法訴訟法第54條第1項規定：「</w:t>
      </w:r>
      <w:r w:rsidRPr="00992165">
        <w:rPr>
          <w:rFonts w:hAnsi="標楷體" w:hint="eastAsia"/>
          <w:szCs w:val="48"/>
        </w:rPr>
        <w:t>判決宣告法律位階法規範定期失效者，除主文另有諭知外，於期限屆至前，各法院審理案件，仍應適用該法規範。但各法院應審酌人權保障及公共利益之均衡維護，於必要時得依職權或當事人之聲請，裁定停止審理程序，俟該法規範修正後，依新法續行審理。</w:t>
      </w:r>
      <w:r w:rsidR="00306E08">
        <w:rPr>
          <w:rFonts w:hAnsi="標楷體" w:hint="eastAsia"/>
          <w:szCs w:val="48"/>
        </w:rPr>
        <w:t>」</w:t>
      </w:r>
    </w:p>
    <w:p w14:paraId="3D788EB1" w14:textId="0236E64A" w:rsidR="00D6496D" w:rsidRPr="00992165" w:rsidRDefault="00D6496D" w:rsidP="00B447DF">
      <w:pPr>
        <w:pStyle w:val="3"/>
        <w:rPr>
          <w:rFonts w:hAnsi="標楷體"/>
        </w:rPr>
      </w:pPr>
      <w:r w:rsidRPr="00992165">
        <w:rPr>
          <w:rFonts w:hAnsi="標楷體"/>
          <w:szCs w:val="48"/>
        </w:rPr>
        <w:t>各級法院於司法院釋字第790號解釋公布</w:t>
      </w:r>
      <w:r w:rsidRPr="00992165">
        <w:rPr>
          <w:rFonts w:hAnsi="標楷體"/>
        </w:rPr>
        <w:t>之日起1年</w:t>
      </w:r>
      <w:r w:rsidR="00D02CC6">
        <w:rPr>
          <w:rFonts w:hAnsi="標楷體"/>
        </w:rPr>
        <w:t>後，至</w:t>
      </w:r>
      <w:r w:rsidRPr="00992165">
        <w:rPr>
          <w:rFonts w:hAnsi="標楷體"/>
        </w:rPr>
        <w:t>毒品危害防制條例第12條第2項立法完成前（</w:t>
      </w:r>
      <w:r w:rsidRPr="00992165">
        <w:rPr>
          <w:rFonts w:hAnsi="標楷體"/>
        </w:rPr>
        <w:lastRenderedPageBreak/>
        <w:t>即110年3月20日至111年5月4日）</w:t>
      </w:r>
      <w:r w:rsidRPr="00992165">
        <w:rPr>
          <w:rFonts w:hAnsi="標楷體" w:hint="eastAsia"/>
        </w:rPr>
        <w:t>，有無依該號解釋意旨減刑</w:t>
      </w:r>
      <w:r w:rsidR="0039253D" w:rsidRPr="00992165">
        <w:rPr>
          <w:rFonts w:hAnsi="標楷體" w:hint="eastAsia"/>
        </w:rPr>
        <w:t>。另</w:t>
      </w:r>
      <w:r w:rsidRPr="00992165">
        <w:rPr>
          <w:rFonts w:hAnsi="標楷體" w:hint="eastAsia"/>
        </w:rPr>
        <w:t>各級法院將類似案件之審判程序延至新法修正公布</w:t>
      </w:r>
      <w:r w:rsidR="00D02CC6">
        <w:rPr>
          <w:rFonts w:hAnsi="標楷體" w:hint="eastAsia"/>
        </w:rPr>
        <w:t>後，或</w:t>
      </w:r>
      <w:r w:rsidRPr="00992165">
        <w:rPr>
          <w:rFonts w:hAnsi="標楷體" w:hint="eastAsia"/>
        </w:rPr>
        <w:t>釋字第790號解釋公布之日起1年後，始予終結，以致有違司法院發布之</w:t>
      </w:r>
      <w:r w:rsidR="00F047ED" w:rsidRPr="00992165">
        <w:rPr>
          <w:rFonts w:hAnsi="標楷體" w:hint="eastAsia"/>
        </w:rPr>
        <w:t>「</w:t>
      </w:r>
      <w:r w:rsidR="00F047ED" w:rsidRPr="00992165">
        <w:rPr>
          <w:rFonts w:hAnsi="標楷體"/>
        </w:rPr>
        <w:t>各級法院辦案期限實施要點」</w:t>
      </w:r>
      <w:r w:rsidRPr="00992165">
        <w:rPr>
          <w:rStyle w:val="aff8"/>
          <w:rFonts w:hAnsi="標楷體"/>
        </w:rPr>
        <w:footnoteReference w:id="5"/>
      </w:r>
      <w:r w:rsidRPr="00992165">
        <w:rPr>
          <w:rFonts w:hAnsi="標楷體" w:hint="eastAsia"/>
        </w:rPr>
        <w:t>規定，而造成案件遲延，是否不列入</w:t>
      </w:r>
      <w:r w:rsidRPr="00992165">
        <w:rPr>
          <w:rFonts w:hAnsi="標楷體"/>
        </w:rPr>
        <w:t>遲延案件之期限與管制</w:t>
      </w:r>
      <w:r w:rsidRPr="00992165">
        <w:rPr>
          <w:rFonts w:hAnsi="標楷體" w:hint="eastAsia"/>
        </w:rPr>
        <w:t>，視為不遲延案件？</w:t>
      </w:r>
      <w:r w:rsidR="00306E08">
        <w:rPr>
          <w:rFonts w:hAnsi="標楷體" w:hint="eastAsia"/>
        </w:rPr>
        <w:t>據</w:t>
      </w:r>
      <w:r w:rsidRPr="00992165">
        <w:rPr>
          <w:rFonts w:hAnsi="標楷體" w:hint="eastAsia"/>
          <w:szCs w:val="32"/>
        </w:rPr>
        <w:t>司法院</w:t>
      </w:r>
      <w:r w:rsidR="00166B5A">
        <w:rPr>
          <w:rStyle w:val="aff8"/>
          <w:rFonts w:hAnsi="標楷體"/>
          <w:szCs w:val="32"/>
        </w:rPr>
        <w:footnoteReference w:id="6"/>
      </w:r>
      <w:r w:rsidRPr="00992165">
        <w:rPr>
          <w:rFonts w:hAnsi="標楷體" w:hint="eastAsia"/>
          <w:szCs w:val="32"/>
        </w:rPr>
        <w:t>說明</w:t>
      </w:r>
      <w:r w:rsidRPr="00992165">
        <w:rPr>
          <w:rFonts w:hAnsi="標楷體" w:hint="eastAsia"/>
        </w:rPr>
        <w:t>如下：</w:t>
      </w:r>
    </w:p>
    <w:p w14:paraId="231D0217" w14:textId="3261F0F9" w:rsidR="00CC6175" w:rsidRPr="00992165" w:rsidRDefault="00CC6175" w:rsidP="00B447DF">
      <w:pPr>
        <w:pStyle w:val="4"/>
        <w:rPr>
          <w:rFonts w:hAnsi="標楷體"/>
        </w:rPr>
      </w:pPr>
      <w:r w:rsidRPr="00992165">
        <w:rPr>
          <w:rFonts w:hAnsi="標楷體"/>
        </w:rPr>
        <w:t>各級法院於司法院釋字第790號解釋公布之日起1年</w:t>
      </w:r>
      <w:r w:rsidR="00D02CC6">
        <w:rPr>
          <w:rFonts w:hAnsi="標楷體"/>
        </w:rPr>
        <w:t>後，至</w:t>
      </w:r>
      <w:r w:rsidRPr="00992165">
        <w:rPr>
          <w:rFonts w:hAnsi="標楷體"/>
        </w:rPr>
        <w:t>毒品危害防制條例第12條第2項立法完成前，始予終結之判決相關資料如</w:t>
      </w:r>
      <w:r w:rsidRPr="00992165">
        <w:rPr>
          <w:rFonts w:hAnsi="標楷體" w:hint="eastAsia"/>
        </w:rPr>
        <w:t>下表</w:t>
      </w:r>
      <w:r w:rsidRPr="00992165">
        <w:rPr>
          <w:rFonts w:hAnsi="標楷體"/>
        </w:rPr>
        <w:t>1至3。因前開資料係由法院統計系統搜集產生，又裁判書之撰寫，事涉審判核心，且法無明文規定判決若有減輕，其文字內容應載明有無依司法院釋字第790號解釋意旨減輕其刑</w:t>
      </w:r>
      <w:r w:rsidR="007F1204" w:rsidRPr="00992165">
        <w:rPr>
          <w:rFonts w:hAnsi="標楷體" w:hint="eastAsia"/>
        </w:rPr>
        <w:t>，</w:t>
      </w:r>
      <w:r w:rsidRPr="00992165">
        <w:rPr>
          <w:rFonts w:hAnsi="標楷體"/>
        </w:rPr>
        <w:t>是提供之相關資料尚無法完全呈現有無適用司法院釋字第790號之全部情況，僅供參考。</w:t>
      </w:r>
    </w:p>
    <w:p w14:paraId="2AE5EFB8" w14:textId="4E5024FF" w:rsidR="00CC6175" w:rsidRPr="00992165" w:rsidRDefault="00CC6175" w:rsidP="00B447DF">
      <w:pPr>
        <w:pStyle w:val="4"/>
        <w:rPr>
          <w:rFonts w:hAnsi="標楷體"/>
        </w:rPr>
      </w:pPr>
      <w:r w:rsidRPr="00992165">
        <w:rPr>
          <w:rFonts w:hAnsi="標楷體"/>
        </w:rPr>
        <w:t>有關各級法院將類似案件之審判程序延至新法修正公布</w:t>
      </w:r>
      <w:r w:rsidR="00D02CC6">
        <w:rPr>
          <w:rFonts w:hAnsi="標楷體"/>
        </w:rPr>
        <w:t>後，或</w:t>
      </w:r>
      <w:r w:rsidRPr="00992165">
        <w:rPr>
          <w:rFonts w:hAnsi="標楷體"/>
        </w:rPr>
        <w:t>司法院釋字第790號解釋公布之日起1年後，始予終結，以致有違</w:t>
      </w:r>
      <w:r w:rsidR="00D6496D" w:rsidRPr="00992165">
        <w:rPr>
          <w:rFonts w:hAnsi="標楷體"/>
        </w:rPr>
        <w:t>司法院發布</w:t>
      </w:r>
      <w:r w:rsidRPr="00992165">
        <w:rPr>
          <w:rFonts w:hAnsi="標楷體"/>
        </w:rPr>
        <w:t>之</w:t>
      </w:r>
      <w:r w:rsidR="00F047ED" w:rsidRPr="00992165">
        <w:rPr>
          <w:rFonts w:hAnsi="標楷體" w:hint="eastAsia"/>
        </w:rPr>
        <w:t>「</w:t>
      </w:r>
      <w:r w:rsidR="00F047ED" w:rsidRPr="00992165">
        <w:rPr>
          <w:rFonts w:hAnsi="標楷體"/>
        </w:rPr>
        <w:t>各級法院辦案期限實施要點」</w:t>
      </w:r>
      <w:r w:rsidRPr="00992165">
        <w:rPr>
          <w:rFonts w:hAnsi="標楷體"/>
        </w:rPr>
        <w:t>規定，而造成案件遲延，是否不列入遲延案件之期限與管制，視為不遲延案件部分，依前揭要點第14點第1款規定，因依刑事訴訟法或其他法律規定或承辦法官聲請憲法法庭為宣告違憲之判決停止審判程序者，經承辦法官敘明理由，報請該管法院院長核可者，視為不遲延案件。是就法院審理類似個案，如欲將審判程序延至毒品危害防制條例修正公布</w:t>
      </w:r>
      <w:r w:rsidR="00D02CC6">
        <w:rPr>
          <w:rFonts w:hAnsi="標楷體"/>
        </w:rPr>
        <w:lastRenderedPageBreak/>
        <w:t>後，或</w:t>
      </w:r>
      <w:r w:rsidRPr="00992165">
        <w:rPr>
          <w:rFonts w:hAnsi="標楷體"/>
        </w:rPr>
        <w:t>司法院釋字第790號解釋公布之日起1年後，尚須依法停止審判程序，始得依上開規定簽請視為不遲延案件。</w:t>
      </w:r>
    </w:p>
    <w:p w14:paraId="51F3300E" w14:textId="67D80D4A" w:rsidR="00195FA9" w:rsidRPr="00992165" w:rsidRDefault="0000104C" w:rsidP="00B447DF">
      <w:pPr>
        <w:pStyle w:val="3"/>
        <w:rPr>
          <w:rFonts w:hAnsi="標楷體"/>
        </w:rPr>
      </w:pPr>
      <w:r>
        <w:rPr>
          <w:rFonts w:hAnsi="標楷體" w:hint="eastAsia"/>
        </w:rPr>
        <w:t>惟查，</w:t>
      </w:r>
      <w:r w:rsidR="00C809B3" w:rsidRPr="00992165">
        <w:rPr>
          <w:rFonts w:hAnsi="標楷體" w:hint="eastAsia"/>
        </w:rPr>
        <w:t>司法院釋字第790號解釋公布後，形同系爭規定之法定刑不論修法進度及內容如何，可預見將較輕於原規定，而適用較輕之新規定，始符合刑法第2條罪刑法定主義法律不溯及既往且應適用最有利於行為人之法律原則，及憲法保障人民基本權之重要原則</w:t>
      </w:r>
      <w:r w:rsidR="005F258E">
        <w:rPr>
          <w:rFonts w:hAnsi="標楷體" w:hint="eastAsia"/>
        </w:rPr>
        <w:t>，已如前述</w:t>
      </w:r>
      <w:r w:rsidR="00C809B3" w:rsidRPr="00992165">
        <w:rPr>
          <w:rFonts w:hAnsi="標楷體" w:hint="eastAsia"/>
        </w:rPr>
        <w:t>。惟</w:t>
      </w:r>
      <w:r w:rsidR="00FB7E5D" w:rsidRPr="00992165">
        <w:rPr>
          <w:rFonts w:hAnsi="標楷體" w:hint="eastAsia"/>
        </w:rPr>
        <w:t>依</w:t>
      </w:r>
      <w:r w:rsidR="00195FA9" w:rsidRPr="00992165">
        <w:rPr>
          <w:rFonts w:hAnsi="標楷體" w:hint="eastAsia"/>
        </w:rPr>
        <w:t>現行</w:t>
      </w:r>
      <w:r w:rsidR="00C878DC" w:rsidRPr="00992165">
        <w:rPr>
          <w:rFonts w:hAnsi="標楷體" w:hint="eastAsia"/>
        </w:rPr>
        <w:t>司法院發布之</w:t>
      </w:r>
      <w:r w:rsidR="00F047ED" w:rsidRPr="00992165">
        <w:rPr>
          <w:rFonts w:hAnsi="標楷體" w:hint="eastAsia"/>
        </w:rPr>
        <w:t>「</w:t>
      </w:r>
      <w:r w:rsidR="00F047ED" w:rsidRPr="00992165">
        <w:rPr>
          <w:rFonts w:hAnsi="標楷體"/>
        </w:rPr>
        <w:t>各級法院辦案期限實施要點」</w:t>
      </w:r>
      <w:r w:rsidR="00C878DC" w:rsidRPr="00992165">
        <w:rPr>
          <w:rFonts w:hAnsi="標楷體" w:hint="eastAsia"/>
        </w:rPr>
        <w:t>相關管考規定，</w:t>
      </w:r>
      <w:r w:rsidR="00195FA9" w:rsidRPr="00992165">
        <w:rPr>
          <w:rFonts w:hAnsi="標楷體"/>
        </w:rPr>
        <w:t>因依刑事訴訟法或其他法律規定或承辦法官聲請憲法法庭為宣告違憲之判決停止審判程序者，經承辦法官敘明理由，報請該管法院院長核可者，</w:t>
      </w:r>
      <w:r w:rsidR="00FB7E5D" w:rsidRPr="00992165">
        <w:rPr>
          <w:rFonts w:hAnsi="標楷體" w:hint="eastAsia"/>
        </w:rPr>
        <w:t>始</w:t>
      </w:r>
      <w:r w:rsidR="00195FA9" w:rsidRPr="00992165">
        <w:rPr>
          <w:rFonts w:hAnsi="標楷體"/>
        </w:rPr>
        <w:t>視為不遲延案件。</w:t>
      </w:r>
      <w:r w:rsidR="00F047ED" w:rsidRPr="00992165">
        <w:rPr>
          <w:rFonts w:hAnsi="標楷體" w:hint="eastAsia"/>
          <w:szCs w:val="32"/>
        </w:rPr>
        <w:t>因此，</w:t>
      </w:r>
      <w:r w:rsidR="00F047ED" w:rsidRPr="00992165">
        <w:rPr>
          <w:rFonts w:hAnsi="標楷體"/>
        </w:rPr>
        <w:t>各級法院</w:t>
      </w:r>
      <w:r w:rsidR="00F047ED" w:rsidRPr="00992165">
        <w:rPr>
          <w:rFonts w:hAnsi="標楷體" w:hint="eastAsia"/>
        </w:rPr>
        <w:t>在審理</w:t>
      </w:r>
      <w:r w:rsidR="00F047ED" w:rsidRPr="00992165">
        <w:rPr>
          <w:rFonts w:hAnsi="標楷體"/>
        </w:rPr>
        <w:t>類似案件</w:t>
      </w:r>
      <w:r w:rsidR="00C809B3" w:rsidRPr="00992165">
        <w:rPr>
          <w:rFonts w:hAnsi="標楷體" w:hint="eastAsia"/>
        </w:rPr>
        <w:t>，可能會</w:t>
      </w:r>
      <w:r w:rsidR="00306E08">
        <w:rPr>
          <w:rFonts w:hAnsi="標楷體" w:hint="eastAsia"/>
        </w:rPr>
        <w:t>為避免</w:t>
      </w:r>
      <w:r w:rsidR="00C809B3" w:rsidRPr="00992165">
        <w:rPr>
          <w:rFonts w:hAnsi="標楷體"/>
        </w:rPr>
        <w:t>遲延</w:t>
      </w:r>
      <w:r w:rsidR="00C809B3" w:rsidRPr="00992165">
        <w:rPr>
          <w:rFonts w:hAnsi="標楷體" w:hint="eastAsia"/>
        </w:rPr>
        <w:t>，乃</w:t>
      </w:r>
      <w:r w:rsidR="00FB7E5D" w:rsidRPr="00992165">
        <w:rPr>
          <w:rFonts w:hAnsi="標楷體" w:hint="eastAsia"/>
        </w:rPr>
        <w:t>急於在辦案管考期限內，將案件終結，以致忽</w:t>
      </w:r>
      <w:r w:rsidR="00C809B3" w:rsidRPr="00992165">
        <w:rPr>
          <w:rFonts w:hAnsi="標楷體" w:hint="eastAsia"/>
        </w:rPr>
        <w:t>視</w:t>
      </w:r>
      <w:r w:rsidR="00195FA9" w:rsidRPr="00992165">
        <w:rPr>
          <w:rFonts w:hAnsi="標楷體"/>
        </w:rPr>
        <w:t>司法院釋字第790號解釋公布後</w:t>
      </w:r>
      <w:r w:rsidR="006F1C1F" w:rsidRPr="00992165">
        <w:rPr>
          <w:rFonts w:hAnsi="標楷體" w:hint="eastAsia"/>
        </w:rPr>
        <w:t>，應適用最有利於行為人之法律原則</w:t>
      </w:r>
      <w:r w:rsidR="00195FA9" w:rsidRPr="00992165">
        <w:rPr>
          <w:rFonts w:hAnsi="標楷體"/>
        </w:rPr>
        <w:t>。</w:t>
      </w:r>
      <w:r w:rsidR="006F1C1F" w:rsidRPr="00992165">
        <w:rPr>
          <w:rFonts w:hAnsi="標楷體" w:hint="eastAsia"/>
        </w:rPr>
        <w:t>再者，</w:t>
      </w:r>
      <w:r w:rsidR="00F047ED" w:rsidRPr="00992165">
        <w:rPr>
          <w:rFonts w:hAnsi="標楷體" w:hint="eastAsia"/>
        </w:rPr>
        <w:t>雖言審判獨立，但從司法院提供之</w:t>
      </w:r>
      <w:r w:rsidR="00F047ED" w:rsidRPr="00992165">
        <w:rPr>
          <w:rFonts w:hAnsi="標楷體"/>
        </w:rPr>
        <w:t>各級法院於司法院釋字第790號解釋公布之日起1年</w:t>
      </w:r>
      <w:r w:rsidR="00D02CC6">
        <w:rPr>
          <w:rFonts w:hAnsi="標楷體"/>
        </w:rPr>
        <w:t>後，至</w:t>
      </w:r>
      <w:r w:rsidR="00F047ED" w:rsidRPr="00992165">
        <w:rPr>
          <w:rFonts w:hAnsi="標楷體"/>
        </w:rPr>
        <w:t>毒品危害防制條例第12條第2項立法完成前，始予終結之判決相關資料</w:t>
      </w:r>
      <w:r w:rsidR="00F047ED" w:rsidRPr="00992165">
        <w:rPr>
          <w:rFonts w:hAnsi="標楷體" w:hint="eastAsia"/>
        </w:rPr>
        <w:t>，</w:t>
      </w:r>
      <w:r w:rsidR="00F047ED" w:rsidRPr="00992165">
        <w:rPr>
          <w:rFonts w:hAnsi="標楷體"/>
        </w:rPr>
        <w:t>有無依司法院釋字第790號解釋意旨減輕其刑</w:t>
      </w:r>
      <w:r w:rsidR="00F047ED" w:rsidRPr="00992165">
        <w:rPr>
          <w:rFonts w:hAnsi="標楷體" w:hint="eastAsia"/>
        </w:rPr>
        <w:t>，並未一致，確實會發生相類似之案件卻為不同之審理及判決，恐將斲喪司法公信力。</w:t>
      </w:r>
    </w:p>
    <w:p w14:paraId="247BE9BE" w14:textId="18653E94" w:rsidR="006F1C1F" w:rsidRDefault="006F1C1F" w:rsidP="00B447DF">
      <w:pPr>
        <w:pStyle w:val="3"/>
        <w:rPr>
          <w:rFonts w:hAnsi="標楷體"/>
        </w:rPr>
      </w:pPr>
      <w:r w:rsidRPr="00992165">
        <w:rPr>
          <w:rFonts w:hAnsi="標楷體" w:hint="eastAsia"/>
        </w:rPr>
        <w:t>綜上，司法院釋字第790號解釋公布後，形同系爭規定之法定刑不論修法進度及內容如何，可預見將較輕於原規定，而適用較輕之新規定，始符合刑法第2條罪刑法定主義應適用最有利於行為人之法律原則，及憲法保障人民基本權之重要原則。</w:t>
      </w:r>
      <w:r w:rsidR="00FC3AB6" w:rsidRPr="00992165">
        <w:rPr>
          <w:rFonts w:hAnsi="標楷體" w:hint="eastAsia"/>
        </w:rPr>
        <w:t>因此，</w:t>
      </w:r>
      <w:r w:rsidR="00306E08">
        <w:rPr>
          <w:rFonts w:hAnsi="標楷體" w:hint="eastAsia"/>
        </w:rPr>
        <w:t>爰為避免</w:t>
      </w:r>
      <w:r w:rsidR="00FC3AB6" w:rsidRPr="00992165">
        <w:rPr>
          <w:rFonts w:hAnsi="標楷體"/>
        </w:rPr>
        <w:t>各級法院</w:t>
      </w:r>
      <w:r w:rsidR="00FC3AB6" w:rsidRPr="00992165">
        <w:rPr>
          <w:rFonts w:hAnsi="標楷體" w:hint="eastAsia"/>
        </w:rPr>
        <w:t>在審理</w:t>
      </w:r>
      <w:r w:rsidR="00FC3AB6" w:rsidRPr="00992165">
        <w:rPr>
          <w:rFonts w:hAnsi="標楷體"/>
        </w:rPr>
        <w:t>類似案件</w:t>
      </w:r>
      <w:r w:rsidR="00FC3AB6" w:rsidRPr="00992165">
        <w:rPr>
          <w:rFonts w:hAnsi="標楷體" w:hint="eastAsia"/>
        </w:rPr>
        <w:t>，急於在辦案管考期限內，將案件終結，以致忽視</w:t>
      </w:r>
      <w:r w:rsidR="00FC3AB6" w:rsidRPr="00992165">
        <w:rPr>
          <w:rFonts w:hAnsi="標楷體"/>
        </w:rPr>
        <w:t>司法院釋字第790號</w:t>
      </w:r>
      <w:r w:rsidR="00FC3AB6" w:rsidRPr="00992165">
        <w:rPr>
          <w:rFonts w:hAnsi="標楷體"/>
        </w:rPr>
        <w:lastRenderedPageBreak/>
        <w:t>解釋公布後</w:t>
      </w:r>
      <w:r w:rsidR="00FC3AB6" w:rsidRPr="00992165">
        <w:rPr>
          <w:rFonts w:hAnsi="標楷體" w:hint="eastAsia"/>
        </w:rPr>
        <w:t>，應適用最有利於行為人之法律原則</w:t>
      </w:r>
      <w:r w:rsidR="00FC3AB6" w:rsidRPr="00992165">
        <w:rPr>
          <w:rFonts w:hAnsi="標楷體"/>
        </w:rPr>
        <w:t>。</w:t>
      </w:r>
      <w:r w:rsidR="00FC3AB6" w:rsidRPr="00992165">
        <w:rPr>
          <w:rFonts w:hAnsi="標楷體" w:hint="eastAsia"/>
        </w:rPr>
        <w:t>司法院允宜研議修正現行「</w:t>
      </w:r>
      <w:r w:rsidR="00FC3AB6" w:rsidRPr="00992165">
        <w:rPr>
          <w:rFonts w:hAnsi="標楷體"/>
        </w:rPr>
        <w:t>各級法院辦案期限實施要點」</w:t>
      </w:r>
      <w:r w:rsidR="000B7898" w:rsidRPr="00992165">
        <w:rPr>
          <w:rFonts w:hAnsi="標楷體" w:hint="eastAsia"/>
        </w:rPr>
        <w:t>如有</w:t>
      </w:r>
      <w:r w:rsidR="00E665BA" w:rsidRPr="00992165">
        <w:rPr>
          <w:rFonts w:hAnsi="標楷體" w:hint="eastAsia"/>
        </w:rPr>
        <w:t>類如系爭</w:t>
      </w:r>
      <w:r w:rsidR="000B7898" w:rsidRPr="00992165">
        <w:rPr>
          <w:rFonts w:hAnsi="標楷體" w:hint="eastAsia"/>
        </w:rPr>
        <w:t>案件因囿於「辦案期限」</w:t>
      </w:r>
      <w:r w:rsidR="00E665BA" w:rsidRPr="00992165">
        <w:rPr>
          <w:rFonts w:hAnsi="標楷體" w:hint="eastAsia"/>
        </w:rPr>
        <w:t>該如何</w:t>
      </w:r>
      <w:r w:rsidR="000B7898" w:rsidRPr="00992165">
        <w:rPr>
          <w:rFonts w:hAnsi="標楷體" w:hint="eastAsia"/>
        </w:rPr>
        <w:t>處理</w:t>
      </w:r>
      <w:r w:rsidR="00E665BA" w:rsidRPr="00992165">
        <w:rPr>
          <w:rFonts w:hAnsi="標楷體" w:hint="eastAsia"/>
        </w:rPr>
        <w:t>，</w:t>
      </w:r>
      <w:r w:rsidR="000B7898" w:rsidRPr="00992165">
        <w:rPr>
          <w:rFonts w:hAnsi="標楷體" w:hint="eastAsia"/>
        </w:rPr>
        <w:t>或法院對未確定之類似案件欲一律停止審理（</w:t>
      </w:r>
      <w:r w:rsidR="00306E08">
        <w:rPr>
          <w:rFonts w:hAnsi="標楷體" w:hint="eastAsia"/>
        </w:rPr>
        <w:t>待新法修正公布後</w:t>
      </w:r>
      <w:r w:rsidR="000B7898" w:rsidRPr="00992165">
        <w:rPr>
          <w:rFonts w:hAnsi="標楷體" w:hint="eastAsia"/>
        </w:rPr>
        <w:t>再行處理）</w:t>
      </w:r>
      <w:r w:rsidR="00E665BA" w:rsidRPr="00992165">
        <w:rPr>
          <w:rFonts w:hAnsi="標楷體" w:hint="eastAsia"/>
        </w:rPr>
        <w:t>等，</w:t>
      </w:r>
      <w:r w:rsidR="000B7898" w:rsidRPr="00992165">
        <w:rPr>
          <w:rFonts w:hAnsi="標楷體" w:hint="eastAsia"/>
        </w:rPr>
        <w:t>相關均衡之處</w:t>
      </w:r>
      <w:r w:rsidR="00D2763B" w:rsidRPr="00992165">
        <w:rPr>
          <w:rFonts w:hAnsi="標楷體" w:hint="eastAsia"/>
        </w:rPr>
        <w:t>理</w:t>
      </w:r>
      <w:r w:rsidR="000B7898" w:rsidRPr="00992165">
        <w:rPr>
          <w:rFonts w:hAnsi="標楷體" w:hint="eastAsia"/>
        </w:rPr>
        <w:t>方式</w:t>
      </w:r>
      <w:r w:rsidR="00D2763B" w:rsidRPr="00992165">
        <w:rPr>
          <w:rFonts w:hAnsi="標楷體" w:hint="eastAsia"/>
        </w:rPr>
        <w:t>，以維司法公信力。</w:t>
      </w:r>
    </w:p>
    <w:p w14:paraId="0B80ADCE" w14:textId="77777777" w:rsidR="00B52B54" w:rsidRDefault="00B52B54">
      <w:pPr>
        <w:widowControl/>
        <w:kinsoku/>
        <w:overflowPunct/>
        <w:autoSpaceDE/>
        <w:autoSpaceDN/>
        <w:jc w:val="left"/>
        <w:rPr>
          <w:rFonts w:hAnsi="標楷體"/>
          <w:bCs/>
          <w:kern w:val="32"/>
          <w:szCs w:val="36"/>
        </w:rPr>
      </w:pPr>
      <w:r>
        <w:rPr>
          <w:rFonts w:hAnsi="標楷體"/>
        </w:rPr>
        <w:br w:type="page"/>
      </w:r>
    </w:p>
    <w:p w14:paraId="25E6BC06" w14:textId="67387B8C" w:rsidR="00B52B54" w:rsidRPr="00E31C0B" w:rsidRDefault="00B52B54" w:rsidP="00B52B54">
      <w:pPr>
        <w:pStyle w:val="3"/>
        <w:widowControl/>
        <w:numPr>
          <w:ilvl w:val="0"/>
          <w:numId w:val="0"/>
        </w:numPr>
        <w:overflowPunct/>
        <w:autoSpaceDE/>
        <w:autoSpaceDN/>
        <w:ind w:leftChars="-216" w:left="165" w:hangingChars="300" w:hanging="900"/>
        <w:rPr>
          <w:rFonts w:hAnsi="標楷體"/>
          <w:sz w:val="28"/>
          <w:szCs w:val="28"/>
        </w:rPr>
      </w:pPr>
      <w:r w:rsidRPr="00E31C0B">
        <w:rPr>
          <w:rFonts w:hAnsi="標楷體" w:hint="eastAsia"/>
          <w:sz w:val="28"/>
          <w:szCs w:val="28"/>
        </w:rPr>
        <w:lastRenderedPageBreak/>
        <w:t>附表：</w:t>
      </w:r>
      <w:r w:rsidRPr="00E31C0B">
        <w:rPr>
          <w:rFonts w:hAnsi="標楷體"/>
          <w:sz w:val="28"/>
          <w:szCs w:val="28"/>
        </w:rPr>
        <w:t>司法院釋字第790號解釋公布至毒品危害防制條例第12條第2項立法完成前（110年3月20日至111年5月4日），各級法院</w:t>
      </w:r>
      <w:r w:rsidRPr="00E31C0B">
        <w:rPr>
          <w:rFonts w:hAnsi="標楷體" w:hint="eastAsia"/>
          <w:sz w:val="28"/>
          <w:szCs w:val="28"/>
        </w:rPr>
        <w:t>終結</w:t>
      </w:r>
      <w:r w:rsidRPr="00E31C0B">
        <w:rPr>
          <w:rFonts w:hAnsi="標楷體"/>
          <w:sz w:val="28"/>
          <w:szCs w:val="28"/>
        </w:rPr>
        <w:t>判決</w:t>
      </w:r>
      <w:r w:rsidRPr="00E31C0B">
        <w:rPr>
          <w:rFonts w:hAnsi="標楷體" w:hint="eastAsia"/>
          <w:sz w:val="28"/>
          <w:szCs w:val="28"/>
        </w:rPr>
        <w:t>結案清單（資料來源：司法院）</w:t>
      </w:r>
    </w:p>
    <w:p w14:paraId="58D5FF52" w14:textId="6BB633C4" w:rsidR="00CC6175" w:rsidRPr="00992165" w:rsidRDefault="00CC6175" w:rsidP="00B447DF">
      <w:pPr>
        <w:pStyle w:val="3"/>
        <w:numPr>
          <w:ilvl w:val="0"/>
          <w:numId w:val="0"/>
        </w:numPr>
        <w:rPr>
          <w:rFonts w:hAnsi="標楷體"/>
        </w:rPr>
      </w:pPr>
      <w:r w:rsidRPr="00992165">
        <w:rPr>
          <w:rFonts w:hAnsi="標楷體" w:hint="eastAsia"/>
          <w:noProof/>
        </w:rPr>
        <w:drawing>
          <wp:inline distT="0" distB="0" distL="0" distR="0" wp14:anchorId="2D33DAFD" wp14:editId="31021C4E">
            <wp:extent cx="5615940" cy="7322820"/>
            <wp:effectExtent l="0" t="0" r="3810" b="0"/>
            <wp:docPr id="6" name="圖片 6" descr="一張含有 文字, 數字, 螢幕擷取畫面, 平行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圖片 18" descr="一張含有 文字, 數字, 螢幕擷取畫面, 平行 的圖片&#10;&#10;AI 產生的內容可能不正確。"/>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615940" cy="7322820"/>
                    </a:xfrm>
                    <a:prstGeom prst="rect">
                      <a:avLst/>
                    </a:prstGeom>
                  </pic:spPr>
                </pic:pic>
              </a:graphicData>
            </a:graphic>
          </wp:inline>
        </w:drawing>
      </w:r>
      <w:r w:rsidRPr="00992165">
        <w:rPr>
          <w:rFonts w:hAnsi="標楷體" w:hint="eastAsia"/>
          <w:noProof/>
        </w:rPr>
        <w:lastRenderedPageBreak/>
        <w:drawing>
          <wp:inline distT="0" distB="0" distL="0" distR="0" wp14:anchorId="6F6E6CDA" wp14:editId="47ECD805">
            <wp:extent cx="5615940" cy="7452360"/>
            <wp:effectExtent l="0" t="0" r="3810" b="0"/>
            <wp:docPr id="7" name="圖片 7" descr="一張含有 文字, 數字, 平行, 螢幕擷取畫面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圖片 19" descr="一張含有 文字, 數字, 平行, 螢幕擷取畫面 的圖片&#10;&#10;AI 產生的內容可能不正確。"/>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615940" cy="7452360"/>
                    </a:xfrm>
                    <a:prstGeom prst="rect">
                      <a:avLst/>
                    </a:prstGeom>
                  </pic:spPr>
                </pic:pic>
              </a:graphicData>
            </a:graphic>
          </wp:inline>
        </w:drawing>
      </w:r>
      <w:r w:rsidRPr="00992165">
        <w:rPr>
          <w:rFonts w:hAnsi="標楷體" w:hint="eastAsia"/>
          <w:noProof/>
        </w:rPr>
        <w:lastRenderedPageBreak/>
        <w:drawing>
          <wp:inline distT="0" distB="0" distL="0" distR="0" wp14:anchorId="594A8863" wp14:editId="6BF6876C">
            <wp:extent cx="5615940" cy="7943215"/>
            <wp:effectExtent l="0" t="0" r="3810" b="635"/>
            <wp:docPr id="8" name="圖片 8" descr="一張含有 文字, 數字, 螢幕擷取畫面, 平行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圖片 28" descr="一張含有 文字, 數字, 螢幕擷取畫面, 平行 的圖片&#10;&#10;AI 產生的內容可能不正確。"/>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615940" cy="7943215"/>
                    </a:xfrm>
                    <a:prstGeom prst="rect">
                      <a:avLst/>
                    </a:prstGeom>
                  </pic:spPr>
                </pic:pic>
              </a:graphicData>
            </a:graphic>
          </wp:inline>
        </w:drawing>
      </w:r>
      <w:r w:rsidRPr="00992165">
        <w:rPr>
          <w:rFonts w:hAnsi="標楷體" w:hint="eastAsia"/>
          <w:noProof/>
        </w:rPr>
        <w:lastRenderedPageBreak/>
        <w:drawing>
          <wp:inline distT="0" distB="0" distL="0" distR="0" wp14:anchorId="2BF8764D" wp14:editId="7CDBF031">
            <wp:extent cx="5615940" cy="7943215"/>
            <wp:effectExtent l="0" t="0" r="3810" b="635"/>
            <wp:docPr id="9" name="圖片 9" descr="一張含有 文字, 圖表, 筆跡, 平行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圖片 29" descr="一張含有 文字, 圖表, 筆跡, 平行 的圖片&#10;&#10;AI 產生的內容可能不正確。"/>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615940" cy="7943215"/>
                    </a:xfrm>
                    <a:prstGeom prst="rect">
                      <a:avLst/>
                    </a:prstGeom>
                  </pic:spPr>
                </pic:pic>
              </a:graphicData>
            </a:graphic>
          </wp:inline>
        </w:drawing>
      </w:r>
    </w:p>
    <w:p w14:paraId="24B0C9A1" w14:textId="77777777" w:rsidR="00CC6175" w:rsidRPr="00992165" w:rsidRDefault="00CC6175" w:rsidP="00B447DF">
      <w:pPr>
        <w:pStyle w:val="82"/>
        <w:ind w:left="3061" w:firstLine="680"/>
        <w:rPr>
          <w:rFonts w:hAnsi="標楷體"/>
        </w:rPr>
      </w:pPr>
    </w:p>
    <w:p w14:paraId="774A6DBE" w14:textId="6DAF7557" w:rsidR="00CC6175" w:rsidRPr="00992165" w:rsidRDefault="00CC6175" w:rsidP="00B447DF">
      <w:pPr>
        <w:pStyle w:val="3"/>
        <w:numPr>
          <w:ilvl w:val="0"/>
          <w:numId w:val="0"/>
        </w:numPr>
        <w:rPr>
          <w:rFonts w:hAnsi="標楷體"/>
        </w:rPr>
      </w:pPr>
    </w:p>
    <w:bookmarkEnd w:id="0"/>
    <w:p w14:paraId="26D75841" w14:textId="77777777" w:rsidR="00626108" w:rsidRDefault="00F321E0" w:rsidP="00626108">
      <w:pPr>
        <w:ind w:left="2381" w:hangingChars="700" w:hanging="2381"/>
        <w:rPr>
          <w:rFonts w:hAnsi="標楷體"/>
        </w:rPr>
      </w:pPr>
      <w:r w:rsidRPr="00992165">
        <w:rPr>
          <w:rFonts w:hAnsi="標楷體" w:hint="eastAsia"/>
          <w:szCs w:val="48"/>
        </w:rPr>
        <w:br w:type="page"/>
      </w:r>
      <w:r w:rsidRPr="00992165">
        <w:rPr>
          <w:rFonts w:hAnsi="標楷體" w:hint="eastAsia"/>
        </w:rPr>
        <w:lastRenderedPageBreak/>
        <w:t>處理辦法：</w:t>
      </w:r>
      <w:bookmarkStart w:id="1" w:name="_Toc499733727"/>
      <w:bookmarkStart w:id="2" w:name="_Toc499740002"/>
    </w:p>
    <w:p w14:paraId="49F5F36A" w14:textId="117B80DE" w:rsidR="00F321E0" w:rsidRPr="00992165" w:rsidRDefault="00626108" w:rsidP="00626108">
      <w:pPr>
        <w:ind w:left="993" w:hangingChars="292" w:hanging="993"/>
        <w:rPr>
          <w:rFonts w:hAnsi="標楷體"/>
        </w:rPr>
      </w:pPr>
      <w:r>
        <w:rPr>
          <w:rFonts w:hAnsi="標楷體" w:hint="eastAsia"/>
        </w:rPr>
        <w:t xml:space="preserve">  一、</w:t>
      </w:r>
      <w:r w:rsidR="00C36E6B" w:rsidRPr="00992165">
        <w:rPr>
          <w:rFonts w:hAnsi="標楷體" w:hint="eastAsia"/>
        </w:rPr>
        <w:t>調查意見一，建議函請法務部轉最高檢察署檢察總長研提非常上訴，以資救濟。</w:t>
      </w:r>
      <w:bookmarkEnd w:id="1"/>
      <w:bookmarkEnd w:id="2"/>
    </w:p>
    <w:p w14:paraId="3AEF81C0" w14:textId="77777777" w:rsidR="00887538" w:rsidRPr="00626108" w:rsidRDefault="00F321E0" w:rsidP="00626108">
      <w:pPr>
        <w:pStyle w:val="2"/>
        <w:numPr>
          <w:ilvl w:val="1"/>
          <w:numId w:val="91"/>
        </w:numPr>
        <w:rPr>
          <w:rFonts w:hAnsi="標楷體"/>
        </w:rPr>
      </w:pPr>
      <w:bookmarkStart w:id="3" w:name="_Toc499733728"/>
      <w:bookmarkStart w:id="4" w:name="_Toc499740003"/>
      <w:r w:rsidRPr="00626108">
        <w:rPr>
          <w:rFonts w:hAnsi="標楷體" w:hint="eastAsia"/>
        </w:rPr>
        <w:t>調查意見</w:t>
      </w:r>
      <w:r w:rsidR="00887538" w:rsidRPr="00626108">
        <w:rPr>
          <w:rFonts w:hAnsi="標楷體" w:hint="eastAsia"/>
        </w:rPr>
        <w:t>一</w:t>
      </w:r>
      <w:r w:rsidRPr="00626108">
        <w:rPr>
          <w:rFonts w:hAnsi="標楷體" w:hint="eastAsia"/>
        </w:rPr>
        <w:t>，函請司法院參酌</w:t>
      </w:r>
      <w:r w:rsidR="00887538" w:rsidRPr="00626108">
        <w:rPr>
          <w:rFonts w:hAnsi="標楷體" w:hint="eastAsia"/>
        </w:rPr>
        <w:t>。</w:t>
      </w:r>
    </w:p>
    <w:p w14:paraId="454A4D3E" w14:textId="5EC19057" w:rsidR="00C36E6B" w:rsidRPr="00992165" w:rsidRDefault="00C36E6B" w:rsidP="00B447DF">
      <w:pPr>
        <w:pStyle w:val="2"/>
        <w:rPr>
          <w:rFonts w:hAnsi="標楷體"/>
        </w:rPr>
      </w:pPr>
      <w:r w:rsidRPr="00992165">
        <w:rPr>
          <w:rFonts w:hAnsi="標楷體" w:hint="eastAsia"/>
        </w:rPr>
        <w:t>調查意見二</w:t>
      </w:r>
      <w:r w:rsidR="00887538" w:rsidRPr="00992165">
        <w:rPr>
          <w:rFonts w:hAnsi="標楷體" w:hint="eastAsia"/>
        </w:rPr>
        <w:t>，函請司法院研處見復。</w:t>
      </w:r>
    </w:p>
    <w:p w14:paraId="2D458FE0" w14:textId="16D12E1D" w:rsidR="00F321E0" w:rsidRDefault="00F321E0" w:rsidP="00B447DF">
      <w:pPr>
        <w:pStyle w:val="2"/>
        <w:rPr>
          <w:rFonts w:hAnsi="標楷體"/>
        </w:rPr>
      </w:pPr>
      <w:bookmarkStart w:id="5" w:name="_Toc499733729"/>
      <w:bookmarkStart w:id="6" w:name="_Toc499740004"/>
      <w:bookmarkEnd w:id="3"/>
      <w:bookmarkEnd w:id="4"/>
      <w:r w:rsidRPr="00992165">
        <w:rPr>
          <w:rFonts w:hAnsi="標楷體" w:hint="eastAsia"/>
        </w:rPr>
        <w:t>調查意見，函復陳訴人。</w:t>
      </w:r>
      <w:bookmarkEnd w:id="5"/>
      <w:bookmarkEnd w:id="6"/>
    </w:p>
    <w:p w14:paraId="267B5942" w14:textId="011879F0" w:rsidR="00626108" w:rsidRPr="00626108" w:rsidRDefault="00626108" w:rsidP="00B447DF">
      <w:pPr>
        <w:pStyle w:val="2"/>
        <w:rPr>
          <w:rFonts w:hAnsi="標楷體"/>
        </w:rPr>
      </w:pPr>
      <w:r w:rsidRPr="00626108">
        <w:rPr>
          <w:rFonts w:hAnsi="Times New Roman" w:hint="eastAsia"/>
          <w:kern w:val="0"/>
          <w:szCs w:val="32"/>
        </w:rPr>
        <w:t>調查意見（含案由、處理辦法、調查委員姓名；不含附件）隱匿個資後上網公布。</w:t>
      </w:r>
    </w:p>
    <w:p w14:paraId="0B897C8B" w14:textId="77777777" w:rsidR="00626108" w:rsidRDefault="00626108" w:rsidP="00B447DF">
      <w:pPr>
        <w:pStyle w:val="aa"/>
        <w:spacing w:before="0" w:after="0"/>
        <w:ind w:leftChars="1100" w:left="4631" w:right="680" w:hanging="889"/>
        <w:rPr>
          <w:rFonts w:hAnsi="標楷體"/>
          <w:b w:val="0"/>
          <w:bCs/>
          <w:spacing w:val="12"/>
          <w:kern w:val="0"/>
          <w:sz w:val="40"/>
        </w:rPr>
      </w:pPr>
    </w:p>
    <w:p w14:paraId="16A1B048" w14:textId="7D7BA583" w:rsidR="00F321E0" w:rsidRPr="00992165" w:rsidRDefault="00F321E0" w:rsidP="00B447DF">
      <w:pPr>
        <w:pStyle w:val="aa"/>
        <w:spacing w:before="0" w:after="0"/>
        <w:ind w:leftChars="1100" w:left="4631" w:right="680" w:hanging="889"/>
        <w:rPr>
          <w:rFonts w:hAnsi="標楷體"/>
          <w:b w:val="0"/>
          <w:bCs/>
          <w:spacing w:val="12"/>
          <w:kern w:val="0"/>
          <w:sz w:val="40"/>
        </w:rPr>
      </w:pPr>
      <w:r w:rsidRPr="00992165">
        <w:rPr>
          <w:rFonts w:hAnsi="標楷體" w:hint="eastAsia"/>
          <w:b w:val="0"/>
          <w:bCs/>
          <w:spacing w:val="12"/>
          <w:kern w:val="0"/>
          <w:sz w:val="40"/>
        </w:rPr>
        <w:t>調查委員：</w:t>
      </w:r>
      <w:r w:rsidR="00626108">
        <w:rPr>
          <w:rFonts w:hAnsi="標楷體" w:hint="eastAsia"/>
          <w:b w:val="0"/>
          <w:bCs/>
          <w:spacing w:val="12"/>
          <w:kern w:val="0"/>
          <w:sz w:val="40"/>
        </w:rPr>
        <w:t>高涌誠</w:t>
      </w:r>
    </w:p>
    <w:p w14:paraId="718F3357" w14:textId="77777777" w:rsidR="00657928" w:rsidRPr="00992165" w:rsidRDefault="00657928" w:rsidP="00B447DF">
      <w:pPr>
        <w:pStyle w:val="aa"/>
        <w:spacing w:before="0" w:after="0"/>
        <w:ind w:leftChars="1100" w:left="4631" w:right="680" w:hanging="889"/>
        <w:rPr>
          <w:rFonts w:hAnsi="標楷體"/>
          <w:b w:val="0"/>
          <w:bCs/>
          <w:spacing w:val="0"/>
          <w:kern w:val="0"/>
          <w:sz w:val="40"/>
        </w:rPr>
      </w:pPr>
    </w:p>
    <w:p w14:paraId="669CA94D" w14:textId="77777777" w:rsidR="00F321E0" w:rsidRPr="00992165" w:rsidRDefault="00F321E0" w:rsidP="00B447DF">
      <w:pPr>
        <w:pStyle w:val="aa"/>
        <w:spacing w:before="0" w:after="0"/>
        <w:ind w:leftChars="1100" w:left="3742" w:right="680" w:firstLineChars="500" w:firstLine="2021"/>
        <w:rPr>
          <w:rFonts w:hAnsi="標楷體"/>
          <w:b w:val="0"/>
          <w:bCs/>
          <w:spacing w:val="12"/>
          <w:kern w:val="0"/>
        </w:rPr>
      </w:pPr>
    </w:p>
    <w:p w14:paraId="37BB8942" w14:textId="1A3142B1" w:rsidR="00F34804" w:rsidRDefault="00F34804" w:rsidP="005B1E60">
      <w:pPr>
        <w:widowControl/>
        <w:kinsoku/>
        <w:overflowPunct/>
        <w:autoSpaceDE/>
        <w:autoSpaceDN/>
        <w:rPr>
          <w:rFonts w:hAnsi="標楷體"/>
          <w:bCs/>
          <w:kern w:val="0"/>
        </w:rPr>
      </w:pPr>
    </w:p>
    <w:sectPr w:rsidR="00F34804" w:rsidSect="000730B0">
      <w:footerReference w:type="default" r:id="rId3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FB3DFC" w14:textId="77777777" w:rsidR="0024139E" w:rsidRDefault="0024139E">
      <w:r>
        <w:separator/>
      </w:r>
    </w:p>
  </w:endnote>
  <w:endnote w:type="continuationSeparator" w:id="0">
    <w:p w14:paraId="28DCE665" w14:textId="77777777" w:rsidR="0024139E" w:rsidRDefault="002413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37AFF" w14:textId="77777777" w:rsidR="0068347B" w:rsidRDefault="0068347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23A786" w14:textId="77777777" w:rsidR="0024139E" w:rsidRDefault="0024139E">
      <w:r>
        <w:separator/>
      </w:r>
    </w:p>
  </w:footnote>
  <w:footnote w:type="continuationSeparator" w:id="0">
    <w:p w14:paraId="4412D9B3" w14:textId="77777777" w:rsidR="0024139E" w:rsidRDefault="0024139E">
      <w:r>
        <w:continuationSeparator/>
      </w:r>
    </w:p>
  </w:footnote>
  <w:footnote w:id="1">
    <w:p w14:paraId="6E9137FE" w14:textId="0B0B47A3" w:rsidR="00DC7CFD" w:rsidRPr="00DC7CFD" w:rsidRDefault="00DC7CFD">
      <w:pPr>
        <w:pStyle w:val="aff6"/>
      </w:pPr>
      <w:r>
        <w:rPr>
          <w:rStyle w:val="aff8"/>
        </w:rPr>
        <w:footnoteRef/>
      </w:r>
      <w:r>
        <w:t xml:space="preserve"> </w:t>
      </w:r>
      <w:r w:rsidRPr="006D6C41">
        <w:rPr>
          <w:rFonts w:hint="eastAsia"/>
        </w:rPr>
        <w:t>1</w:t>
      </w:r>
      <w:r w:rsidRPr="006D6C41">
        <w:t>08</w:t>
      </w:r>
      <w:r w:rsidRPr="006D6C41">
        <w:rPr>
          <w:rFonts w:hint="eastAsia"/>
        </w:rPr>
        <w:t>年</w:t>
      </w:r>
      <w:r w:rsidRPr="006D6C41">
        <w:rPr>
          <w:rFonts w:hint="eastAsia"/>
        </w:rPr>
        <w:t>1</w:t>
      </w:r>
      <w:r w:rsidRPr="006D6C41">
        <w:rPr>
          <w:rFonts w:hint="eastAsia"/>
        </w:rPr>
        <w:t>月</w:t>
      </w:r>
      <w:r w:rsidRPr="006D6C41">
        <w:rPr>
          <w:rFonts w:hint="eastAsia"/>
        </w:rPr>
        <w:t>4</w:t>
      </w:r>
      <w:r w:rsidRPr="006D6C41">
        <w:rPr>
          <w:rFonts w:hint="eastAsia"/>
        </w:rPr>
        <w:t>日修正公布名稱及全文</w:t>
      </w:r>
      <w:r w:rsidRPr="006D6C41">
        <w:rPr>
          <w:rFonts w:hint="eastAsia"/>
        </w:rPr>
        <w:t>95</w:t>
      </w:r>
      <w:r w:rsidRPr="006D6C41">
        <w:rPr>
          <w:rFonts w:hint="eastAsia"/>
        </w:rPr>
        <w:t>條；並自公布後</w:t>
      </w:r>
      <w:r w:rsidRPr="006D6C41">
        <w:rPr>
          <w:rFonts w:hint="eastAsia"/>
        </w:rPr>
        <w:t>3</w:t>
      </w:r>
      <w:r w:rsidRPr="006D6C41">
        <w:rPr>
          <w:rFonts w:hint="eastAsia"/>
        </w:rPr>
        <w:t>年施行</w:t>
      </w:r>
      <w:r>
        <w:rPr>
          <w:rFonts w:hint="eastAsia"/>
        </w:rPr>
        <w:t>。</w:t>
      </w:r>
    </w:p>
  </w:footnote>
  <w:footnote w:id="2">
    <w:p w14:paraId="2D646289" w14:textId="2FA42A8D" w:rsidR="00EF5823" w:rsidRPr="00EF5823" w:rsidRDefault="00EF5823">
      <w:pPr>
        <w:pStyle w:val="aff6"/>
      </w:pPr>
      <w:r>
        <w:rPr>
          <w:rStyle w:val="aff8"/>
        </w:rPr>
        <w:footnoteRef/>
      </w:r>
      <w:r>
        <w:rPr>
          <w:rFonts w:hint="eastAsia"/>
        </w:rPr>
        <w:t xml:space="preserve"> </w:t>
      </w:r>
      <w:r w:rsidRPr="00EF5823">
        <w:t>德國杜賓根大學法學博士</w:t>
      </w:r>
      <w:r>
        <w:rPr>
          <w:rFonts w:hint="eastAsia"/>
        </w:rPr>
        <w:t>，</w:t>
      </w:r>
      <w:r w:rsidRPr="00EF5823">
        <w:rPr>
          <w:rFonts w:hint="eastAsia"/>
        </w:rPr>
        <w:t>最高法院</w:t>
      </w:r>
      <w:r w:rsidRPr="00EF5823">
        <w:rPr>
          <w:rFonts w:hint="eastAsia"/>
        </w:rPr>
        <w:t>110</w:t>
      </w:r>
      <w:r w:rsidRPr="00EF5823">
        <w:rPr>
          <w:rFonts w:hint="eastAsia"/>
        </w:rPr>
        <w:t>年度台上大字第</w:t>
      </w:r>
      <w:r w:rsidRPr="00EF5823">
        <w:rPr>
          <w:rFonts w:hint="eastAsia"/>
        </w:rPr>
        <w:t>446</w:t>
      </w:r>
      <w:r w:rsidRPr="00EF5823">
        <w:rPr>
          <w:rFonts w:hint="eastAsia"/>
        </w:rPr>
        <w:t>號刑事大法庭案件（即本案系爭規定）法律問題鑑定人</w:t>
      </w:r>
      <w:r>
        <w:rPr>
          <w:rFonts w:hint="eastAsia"/>
        </w:rPr>
        <w:t>。</w:t>
      </w:r>
    </w:p>
  </w:footnote>
  <w:footnote w:id="3">
    <w:p w14:paraId="3062C6D2" w14:textId="0B6CD654" w:rsidR="00B210E9" w:rsidRPr="00B210E9" w:rsidRDefault="00B210E9">
      <w:pPr>
        <w:pStyle w:val="aff6"/>
      </w:pPr>
      <w:r>
        <w:rPr>
          <w:rStyle w:val="aff8"/>
        </w:rPr>
        <w:footnoteRef/>
      </w:r>
      <w:r>
        <w:t xml:space="preserve"> </w:t>
      </w:r>
      <w:r w:rsidR="00EA544D">
        <w:rPr>
          <w:rFonts w:hAnsi="標楷體"/>
        </w:rPr>
        <w:t>國立臺灣大學</w:t>
      </w:r>
      <w:r w:rsidRPr="00200CEF">
        <w:rPr>
          <w:rFonts w:hAnsi="標楷體"/>
        </w:rPr>
        <w:t>法律研究所博士班、最高法院法官</w:t>
      </w:r>
      <w:r w:rsidRPr="00200CEF">
        <w:rPr>
          <w:rFonts w:hAnsi="標楷體" w:hint="eastAsia"/>
        </w:rPr>
        <w:t>、逢甲大學</w:t>
      </w:r>
      <w:r w:rsidRPr="00200CEF">
        <w:rPr>
          <w:rFonts w:hAnsi="標楷體"/>
        </w:rPr>
        <w:t>兼任助理教授</w:t>
      </w:r>
      <w:r>
        <w:rPr>
          <w:rFonts w:hAnsi="標楷體"/>
        </w:rPr>
        <w:t>……</w:t>
      </w:r>
      <w:r>
        <w:rPr>
          <w:rFonts w:hAnsi="標楷體" w:hint="eastAsia"/>
        </w:rPr>
        <w:t>。</w:t>
      </w:r>
    </w:p>
  </w:footnote>
  <w:footnote w:id="4">
    <w:p w14:paraId="22741E8A" w14:textId="2635F9B1" w:rsidR="00E7798C" w:rsidRPr="00E7798C" w:rsidRDefault="00E7798C">
      <w:pPr>
        <w:pStyle w:val="aff6"/>
      </w:pPr>
      <w:r>
        <w:rPr>
          <w:rStyle w:val="aff8"/>
        </w:rPr>
        <w:footnoteRef/>
      </w:r>
      <w:r w:rsidRPr="00E7798C">
        <w:rPr>
          <w:rFonts w:ascii="標楷體" w:hAnsi="標楷體" w:hint="eastAsia"/>
        </w:rPr>
        <w:t>學理上稱之為</w:t>
      </w:r>
      <w:r w:rsidR="005654F2" w:rsidRPr="00E7798C">
        <w:rPr>
          <w:rFonts w:ascii="標楷體" w:hAnsi="標楷體" w:hint="eastAsia"/>
        </w:rPr>
        <w:t>罪刑法定主義</w:t>
      </w:r>
      <w:r w:rsidRPr="00E7798C">
        <w:rPr>
          <w:rFonts w:ascii="標楷體" w:hAnsi="標楷體" w:hint="eastAsia"/>
        </w:rPr>
        <w:t>「派生原則」</w:t>
      </w:r>
      <w:r w:rsidR="005654F2">
        <w:rPr>
          <w:rFonts w:ascii="標楷體" w:hAnsi="標楷體" w:hint="eastAsia"/>
        </w:rPr>
        <w:t>。</w:t>
      </w:r>
    </w:p>
  </w:footnote>
  <w:footnote w:id="5">
    <w:p w14:paraId="5506DFCF" w14:textId="77777777" w:rsidR="00D6496D" w:rsidRDefault="00D6496D" w:rsidP="00D6496D">
      <w:pPr>
        <w:pStyle w:val="aff6"/>
      </w:pPr>
      <w:r>
        <w:rPr>
          <w:rStyle w:val="aff8"/>
        </w:rPr>
        <w:footnoteRef/>
      </w:r>
      <w:r>
        <w:t xml:space="preserve"> </w:t>
      </w:r>
      <w:r>
        <w:rPr>
          <w:rFonts w:hint="eastAsia"/>
        </w:rPr>
        <w:t>除係該要點第</w:t>
      </w:r>
      <w:r>
        <w:rPr>
          <w:rFonts w:hint="eastAsia"/>
        </w:rPr>
        <w:t>14</w:t>
      </w:r>
      <w:r>
        <w:rPr>
          <w:rFonts w:hint="eastAsia"/>
        </w:rPr>
        <w:t>點第</w:t>
      </w:r>
      <w:r>
        <w:rPr>
          <w:rFonts w:hint="eastAsia"/>
        </w:rPr>
        <w:t>1</w:t>
      </w:r>
      <w:r>
        <w:rPr>
          <w:rFonts w:hint="eastAsia"/>
        </w:rPr>
        <w:t>款：「</w:t>
      </w:r>
      <w:r w:rsidRPr="00166B5A">
        <w:rPr>
          <w:rFonts w:hint="eastAsia"/>
        </w:rPr>
        <w:t>因依刑事訴訟法或其他法律規定或承辦法官聲請憲法法庭為宣告違憲之判決停止審判程序者。」即聲請釋憲之原因案件承審法院。</w:t>
      </w:r>
    </w:p>
  </w:footnote>
  <w:footnote w:id="6">
    <w:p w14:paraId="4E44C70E" w14:textId="4B84B4AC" w:rsidR="00166B5A" w:rsidRDefault="00166B5A">
      <w:pPr>
        <w:pStyle w:val="aff6"/>
      </w:pPr>
      <w:r>
        <w:rPr>
          <w:rStyle w:val="aff8"/>
        </w:rPr>
        <w:footnoteRef/>
      </w:r>
      <w:r>
        <w:t xml:space="preserve"> </w:t>
      </w:r>
      <w:r>
        <w:rPr>
          <w:rFonts w:hint="eastAsia"/>
        </w:rPr>
        <w:t>司法院</w:t>
      </w:r>
      <w:r>
        <w:rPr>
          <w:rFonts w:hint="eastAsia"/>
        </w:rPr>
        <w:t>114</w:t>
      </w:r>
      <w:r>
        <w:rPr>
          <w:rFonts w:hint="eastAsia"/>
        </w:rPr>
        <w:t>年</w:t>
      </w:r>
      <w:r>
        <w:rPr>
          <w:rFonts w:hint="eastAsia"/>
        </w:rPr>
        <w:t>10</w:t>
      </w:r>
      <w:r>
        <w:rPr>
          <w:rFonts w:hint="eastAsia"/>
        </w:rPr>
        <w:t>月</w:t>
      </w:r>
      <w:r>
        <w:rPr>
          <w:rFonts w:hint="eastAsia"/>
        </w:rPr>
        <w:t>14</w:t>
      </w:r>
      <w:r>
        <w:rPr>
          <w:rFonts w:hint="eastAsia"/>
        </w:rPr>
        <w:t>日院台廳刑一字第</w:t>
      </w:r>
      <w:r>
        <w:rPr>
          <w:rFonts w:hint="eastAsia"/>
        </w:rPr>
        <w:t>1140027205</w:t>
      </w:r>
      <w:r>
        <w:rPr>
          <w:rFonts w:hint="eastAsia"/>
        </w:rPr>
        <w:t>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23802BB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bCs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1105D4E"/>
    <w:multiLevelType w:val="multilevel"/>
    <w:tmpl w:val="A65A7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CEC57DF"/>
    <w:multiLevelType w:val="hybridMultilevel"/>
    <w:tmpl w:val="7F96440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623071443">
    <w:abstractNumId w:val="1"/>
  </w:num>
  <w:num w:numId="2" w16cid:durableId="242682620">
    <w:abstractNumId w:val="2"/>
  </w:num>
  <w:num w:numId="3" w16cid:durableId="2078555219">
    <w:abstractNumId w:val="0"/>
  </w:num>
  <w:num w:numId="4" w16cid:durableId="891036273">
    <w:abstractNumId w:val="2"/>
    <w:lvlOverride w:ilvl="0">
      <w:startOverride w:val="1"/>
    </w:lvlOverride>
  </w:num>
  <w:num w:numId="5" w16cid:durableId="758256762">
    <w:abstractNumId w:val="6"/>
  </w:num>
  <w:num w:numId="6" w16cid:durableId="1070537949">
    <w:abstractNumId w:val="4"/>
  </w:num>
  <w:num w:numId="7" w16cid:durableId="1664700336">
    <w:abstractNumId w:val="7"/>
  </w:num>
  <w:num w:numId="8" w16cid:durableId="1481389400">
    <w:abstractNumId w:val="1"/>
  </w:num>
  <w:num w:numId="9" w16cid:durableId="1598440368">
    <w:abstractNumId w:val="8"/>
  </w:num>
  <w:num w:numId="10" w16cid:durableId="1751611214">
    <w:abstractNumId w:val="5"/>
  </w:num>
  <w:num w:numId="11" w16cid:durableId="650781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663581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13" w16cid:durableId="705368182">
    <w:abstractNumId w:val="1"/>
  </w:num>
  <w:num w:numId="14" w16cid:durableId="1667513949">
    <w:abstractNumId w:val="1"/>
  </w:num>
  <w:num w:numId="15" w16cid:durableId="1735204333">
    <w:abstractNumId w:val="1"/>
  </w:num>
  <w:num w:numId="16" w16cid:durableId="1840777618">
    <w:abstractNumId w:val="1"/>
  </w:num>
  <w:num w:numId="17" w16cid:durableId="482236463">
    <w:abstractNumId w:val="1"/>
  </w:num>
  <w:num w:numId="18" w16cid:durableId="1926717417">
    <w:abstractNumId w:val="1"/>
  </w:num>
  <w:num w:numId="19" w16cid:durableId="982931039">
    <w:abstractNumId w:val="1"/>
  </w:num>
  <w:num w:numId="20" w16cid:durableId="1110734585">
    <w:abstractNumId w:val="1"/>
  </w:num>
  <w:num w:numId="21" w16cid:durableId="1931695361">
    <w:abstractNumId w:val="1"/>
  </w:num>
  <w:num w:numId="22" w16cid:durableId="1825050956">
    <w:abstractNumId w:val="1"/>
  </w:num>
  <w:num w:numId="23" w16cid:durableId="1066025179">
    <w:abstractNumId w:val="1"/>
  </w:num>
  <w:num w:numId="24" w16cid:durableId="1295326478">
    <w:abstractNumId w:val="1"/>
  </w:num>
  <w:num w:numId="25" w16cid:durableId="1945992016">
    <w:abstractNumId w:val="1"/>
  </w:num>
  <w:num w:numId="26" w16cid:durableId="1443300714">
    <w:abstractNumId w:val="1"/>
  </w:num>
  <w:num w:numId="27" w16cid:durableId="2059356215">
    <w:abstractNumId w:val="1"/>
  </w:num>
  <w:num w:numId="28" w16cid:durableId="2044204306">
    <w:abstractNumId w:val="1"/>
  </w:num>
  <w:num w:numId="29" w16cid:durableId="15554597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1866221">
    <w:abstractNumId w:val="1"/>
  </w:num>
  <w:num w:numId="31" w16cid:durableId="166411481">
    <w:abstractNumId w:val="1"/>
  </w:num>
  <w:num w:numId="32" w16cid:durableId="380831164">
    <w:abstractNumId w:val="1"/>
  </w:num>
  <w:num w:numId="33" w16cid:durableId="1690528684">
    <w:abstractNumId w:val="1"/>
  </w:num>
  <w:num w:numId="34" w16cid:durableId="1629966566">
    <w:abstractNumId w:val="1"/>
  </w:num>
  <w:num w:numId="35" w16cid:durableId="658583714">
    <w:abstractNumId w:val="1"/>
  </w:num>
  <w:num w:numId="36" w16cid:durableId="622271045">
    <w:abstractNumId w:val="1"/>
  </w:num>
  <w:num w:numId="37" w16cid:durableId="1765026760">
    <w:abstractNumId w:val="1"/>
  </w:num>
  <w:num w:numId="38" w16cid:durableId="1610308061">
    <w:abstractNumId w:val="9"/>
  </w:num>
  <w:num w:numId="39" w16cid:durableId="1407801754">
    <w:abstractNumId w:val="1"/>
  </w:num>
  <w:num w:numId="40" w16cid:durableId="928973042">
    <w:abstractNumId w:val="1"/>
  </w:num>
  <w:num w:numId="41" w16cid:durableId="851796709">
    <w:abstractNumId w:val="1"/>
  </w:num>
  <w:num w:numId="42" w16cid:durableId="336546261">
    <w:abstractNumId w:val="1"/>
  </w:num>
  <w:num w:numId="43" w16cid:durableId="6958873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startOverride w:val="1"/>
    </w:lvlOverride>
    <w:lvlOverride w:ilvl="8">
      <w:startOverride w:val="1"/>
    </w:lvlOverride>
  </w:num>
  <w:num w:numId="44" w16cid:durableId="463085514">
    <w:abstractNumId w:val="1"/>
  </w:num>
  <w:num w:numId="45" w16cid:durableId="759446077">
    <w:abstractNumId w:val="1"/>
  </w:num>
  <w:num w:numId="46" w16cid:durableId="566964244">
    <w:abstractNumId w:val="1"/>
  </w:num>
  <w:num w:numId="47" w16cid:durableId="516358330">
    <w:abstractNumId w:val="1"/>
  </w:num>
  <w:num w:numId="48" w16cid:durableId="283923110">
    <w:abstractNumId w:val="1"/>
  </w:num>
  <w:num w:numId="49" w16cid:durableId="1957978025">
    <w:abstractNumId w:val="10"/>
  </w:num>
  <w:num w:numId="50" w16cid:durableId="28377696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146043608">
    <w:abstractNumId w:val="1"/>
  </w:num>
  <w:num w:numId="52" w16cid:durableId="6173853">
    <w:abstractNumId w:val="1"/>
  </w:num>
  <w:num w:numId="53" w16cid:durableId="94979664">
    <w:abstractNumId w:val="1"/>
  </w:num>
  <w:num w:numId="54" w16cid:durableId="94861388">
    <w:abstractNumId w:val="1"/>
  </w:num>
  <w:num w:numId="55" w16cid:durableId="847646151">
    <w:abstractNumId w:val="1"/>
  </w:num>
  <w:num w:numId="56" w16cid:durableId="1427309249">
    <w:abstractNumId w:val="1"/>
  </w:num>
  <w:num w:numId="57" w16cid:durableId="1820611698">
    <w:abstractNumId w:val="1"/>
  </w:num>
  <w:num w:numId="58" w16cid:durableId="1472945283">
    <w:abstractNumId w:val="1"/>
  </w:num>
  <w:num w:numId="59" w16cid:durableId="1207453937">
    <w:abstractNumId w:val="1"/>
  </w:num>
  <w:num w:numId="60" w16cid:durableId="1757481142">
    <w:abstractNumId w:val="1"/>
  </w:num>
  <w:num w:numId="61" w16cid:durableId="1582180378">
    <w:abstractNumId w:val="1"/>
  </w:num>
  <w:num w:numId="62" w16cid:durableId="1706055430">
    <w:abstractNumId w:val="1"/>
  </w:num>
  <w:num w:numId="63" w16cid:durableId="1018388780">
    <w:abstractNumId w:val="1"/>
  </w:num>
  <w:num w:numId="64" w16cid:durableId="1607541576">
    <w:abstractNumId w:val="1"/>
  </w:num>
  <w:num w:numId="65" w16cid:durableId="917251923">
    <w:abstractNumId w:val="1"/>
  </w:num>
  <w:num w:numId="66" w16cid:durableId="436755296">
    <w:abstractNumId w:val="1"/>
  </w:num>
  <w:num w:numId="67" w16cid:durableId="1361122173">
    <w:abstractNumId w:val="1"/>
  </w:num>
  <w:num w:numId="68" w16cid:durableId="1152409455">
    <w:abstractNumId w:val="1"/>
  </w:num>
  <w:num w:numId="69" w16cid:durableId="1276450273">
    <w:abstractNumId w:val="1"/>
  </w:num>
  <w:num w:numId="70" w16cid:durableId="326594572">
    <w:abstractNumId w:val="1"/>
  </w:num>
  <w:num w:numId="71" w16cid:durableId="1939676832">
    <w:abstractNumId w:val="1"/>
  </w:num>
  <w:num w:numId="72" w16cid:durableId="564487294">
    <w:abstractNumId w:val="1"/>
  </w:num>
  <w:num w:numId="73" w16cid:durableId="585573152">
    <w:abstractNumId w:val="1"/>
  </w:num>
  <w:num w:numId="74" w16cid:durableId="467864440">
    <w:abstractNumId w:val="1"/>
  </w:num>
  <w:num w:numId="75" w16cid:durableId="321201078">
    <w:abstractNumId w:val="1"/>
  </w:num>
  <w:num w:numId="76" w16cid:durableId="15268641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519858370">
    <w:abstractNumId w:val="1"/>
  </w:num>
  <w:num w:numId="78" w16cid:durableId="633943665">
    <w:abstractNumId w:val="1"/>
  </w:num>
  <w:num w:numId="79" w16cid:durableId="1845783452">
    <w:abstractNumId w:val="1"/>
  </w:num>
  <w:num w:numId="80" w16cid:durableId="586577711">
    <w:abstractNumId w:val="1"/>
  </w:num>
  <w:num w:numId="81" w16cid:durableId="1138764825">
    <w:abstractNumId w:val="1"/>
  </w:num>
  <w:num w:numId="82" w16cid:durableId="1048145854">
    <w:abstractNumId w:val="1"/>
  </w:num>
  <w:num w:numId="83" w16cid:durableId="693383499">
    <w:abstractNumId w:val="1"/>
  </w:num>
  <w:num w:numId="84" w16cid:durableId="1398747189">
    <w:abstractNumId w:val="1"/>
  </w:num>
  <w:num w:numId="85" w16cid:durableId="417404298">
    <w:abstractNumId w:val="1"/>
  </w:num>
  <w:num w:numId="86" w16cid:durableId="1775860034">
    <w:abstractNumId w:val="1"/>
  </w:num>
  <w:num w:numId="87" w16cid:durableId="494416882">
    <w:abstractNumId w:val="1"/>
  </w:num>
  <w:num w:numId="88" w16cid:durableId="584539173">
    <w:abstractNumId w:val="1"/>
  </w:num>
  <w:num w:numId="89" w16cid:durableId="567377361">
    <w:abstractNumId w:val="1"/>
  </w:num>
  <w:num w:numId="90" w16cid:durableId="1235167088">
    <w:abstractNumId w:val="1"/>
  </w:num>
  <w:num w:numId="91" w16cid:durableId="1203329445">
    <w:abstractNumId w:val="1"/>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o:colormru v:ext="edit" colors="#ef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04C"/>
    <w:rsid w:val="0000168D"/>
    <w:rsid w:val="000021E0"/>
    <w:rsid w:val="00006961"/>
    <w:rsid w:val="000112BF"/>
    <w:rsid w:val="00012233"/>
    <w:rsid w:val="00017318"/>
    <w:rsid w:val="000229AD"/>
    <w:rsid w:val="000246F7"/>
    <w:rsid w:val="000273D4"/>
    <w:rsid w:val="0003114D"/>
    <w:rsid w:val="000330BA"/>
    <w:rsid w:val="00036D76"/>
    <w:rsid w:val="00044A41"/>
    <w:rsid w:val="0005068E"/>
    <w:rsid w:val="00057F32"/>
    <w:rsid w:val="00062A25"/>
    <w:rsid w:val="000730B0"/>
    <w:rsid w:val="00073CB5"/>
    <w:rsid w:val="0007425C"/>
    <w:rsid w:val="00077553"/>
    <w:rsid w:val="000851A2"/>
    <w:rsid w:val="0009352E"/>
    <w:rsid w:val="0009408E"/>
    <w:rsid w:val="00096B96"/>
    <w:rsid w:val="000A15E0"/>
    <w:rsid w:val="000A2F3F"/>
    <w:rsid w:val="000B0B4A"/>
    <w:rsid w:val="000B279A"/>
    <w:rsid w:val="000B472A"/>
    <w:rsid w:val="000B61D2"/>
    <w:rsid w:val="000B70A7"/>
    <w:rsid w:val="000B73DD"/>
    <w:rsid w:val="000B7898"/>
    <w:rsid w:val="000C01D0"/>
    <w:rsid w:val="000C495F"/>
    <w:rsid w:val="000D5D85"/>
    <w:rsid w:val="000D66D9"/>
    <w:rsid w:val="000D6EA4"/>
    <w:rsid w:val="000E55F1"/>
    <w:rsid w:val="000E6431"/>
    <w:rsid w:val="000E773C"/>
    <w:rsid w:val="000F21A5"/>
    <w:rsid w:val="000F3FBB"/>
    <w:rsid w:val="000F736F"/>
    <w:rsid w:val="000F7FC0"/>
    <w:rsid w:val="00100F55"/>
    <w:rsid w:val="00102B9F"/>
    <w:rsid w:val="00112637"/>
    <w:rsid w:val="00112ABC"/>
    <w:rsid w:val="0012001E"/>
    <w:rsid w:val="0012477F"/>
    <w:rsid w:val="00126A55"/>
    <w:rsid w:val="001272F1"/>
    <w:rsid w:val="00127A26"/>
    <w:rsid w:val="00132D62"/>
    <w:rsid w:val="00133F08"/>
    <w:rsid w:val="001345E6"/>
    <w:rsid w:val="001378B0"/>
    <w:rsid w:val="00142E00"/>
    <w:rsid w:val="0015184A"/>
    <w:rsid w:val="00152793"/>
    <w:rsid w:val="00153477"/>
    <w:rsid w:val="00153B7E"/>
    <w:rsid w:val="001545A9"/>
    <w:rsid w:val="00154E63"/>
    <w:rsid w:val="001568B6"/>
    <w:rsid w:val="001637C7"/>
    <w:rsid w:val="0016480E"/>
    <w:rsid w:val="00166219"/>
    <w:rsid w:val="00166B5A"/>
    <w:rsid w:val="0017226A"/>
    <w:rsid w:val="00174297"/>
    <w:rsid w:val="00177EE7"/>
    <w:rsid w:val="00180E06"/>
    <w:rsid w:val="001817B3"/>
    <w:rsid w:val="00183014"/>
    <w:rsid w:val="00192C31"/>
    <w:rsid w:val="001959C2"/>
    <w:rsid w:val="00195FA9"/>
    <w:rsid w:val="001A51E3"/>
    <w:rsid w:val="001A7968"/>
    <w:rsid w:val="001B02A1"/>
    <w:rsid w:val="001B2E98"/>
    <w:rsid w:val="001B30E4"/>
    <w:rsid w:val="001B3483"/>
    <w:rsid w:val="001B3B61"/>
    <w:rsid w:val="001B3C1E"/>
    <w:rsid w:val="001B4494"/>
    <w:rsid w:val="001B4F21"/>
    <w:rsid w:val="001C0D8B"/>
    <w:rsid w:val="001C0DA8"/>
    <w:rsid w:val="001C3C02"/>
    <w:rsid w:val="001C70A1"/>
    <w:rsid w:val="001D16BD"/>
    <w:rsid w:val="001D2EF1"/>
    <w:rsid w:val="001D4AD7"/>
    <w:rsid w:val="001E0D8A"/>
    <w:rsid w:val="001E67BA"/>
    <w:rsid w:val="001E6897"/>
    <w:rsid w:val="001E74C2"/>
    <w:rsid w:val="001F4F82"/>
    <w:rsid w:val="001F5A48"/>
    <w:rsid w:val="001F6260"/>
    <w:rsid w:val="00200007"/>
    <w:rsid w:val="00202E9B"/>
    <w:rsid w:val="002030A5"/>
    <w:rsid w:val="00203131"/>
    <w:rsid w:val="00212E88"/>
    <w:rsid w:val="00213C9C"/>
    <w:rsid w:val="0022009E"/>
    <w:rsid w:val="00223241"/>
    <w:rsid w:val="0022425C"/>
    <w:rsid w:val="002246DE"/>
    <w:rsid w:val="00227997"/>
    <w:rsid w:val="0024139E"/>
    <w:rsid w:val="002429E2"/>
    <w:rsid w:val="00252BC4"/>
    <w:rsid w:val="00254014"/>
    <w:rsid w:val="00254B39"/>
    <w:rsid w:val="00254DB7"/>
    <w:rsid w:val="0026504D"/>
    <w:rsid w:val="00266581"/>
    <w:rsid w:val="00273A2F"/>
    <w:rsid w:val="00280986"/>
    <w:rsid w:val="00281ECE"/>
    <w:rsid w:val="002831C7"/>
    <w:rsid w:val="002840C6"/>
    <w:rsid w:val="00295174"/>
    <w:rsid w:val="00296172"/>
    <w:rsid w:val="00296B92"/>
    <w:rsid w:val="002A2C22"/>
    <w:rsid w:val="002B02EB"/>
    <w:rsid w:val="002C0602"/>
    <w:rsid w:val="002D5C16"/>
    <w:rsid w:val="002E0096"/>
    <w:rsid w:val="002E1859"/>
    <w:rsid w:val="002F2476"/>
    <w:rsid w:val="002F3DFF"/>
    <w:rsid w:val="002F5E05"/>
    <w:rsid w:val="002F6820"/>
    <w:rsid w:val="00306E08"/>
    <w:rsid w:val="00307A76"/>
    <w:rsid w:val="0031455E"/>
    <w:rsid w:val="003158A0"/>
    <w:rsid w:val="00315A16"/>
    <w:rsid w:val="00317053"/>
    <w:rsid w:val="0032109C"/>
    <w:rsid w:val="00322B45"/>
    <w:rsid w:val="00323809"/>
    <w:rsid w:val="00323D41"/>
    <w:rsid w:val="00325414"/>
    <w:rsid w:val="003302F1"/>
    <w:rsid w:val="0033618D"/>
    <w:rsid w:val="0034470E"/>
    <w:rsid w:val="00352B7A"/>
    <w:rsid w:val="00352DB0"/>
    <w:rsid w:val="003568B1"/>
    <w:rsid w:val="00360AAD"/>
    <w:rsid w:val="00361063"/>
    <w:rsid w:val="00362243"/>
    <w:rsid w:val="0037094A"/>
    <w:rsid w:val="00371ED3"/>
    <w:rsid w:val="00372659"/>
    <w:rsid w:val="00372FFC"/>
    <w:rsid w:val="0037527A"/>
    <w:rsid w:val="0037728A"/>
    <w:rsid w:val="00380B7D"/>
    <w:rsid w:val="00381A99"/>
    <w:rsid w:val="003829C2"/>
    <w:rsid w:val="003830B2"/>
    <w:rsid w:val="00384724"/>
    <w:rsid w:val="003919B7"/>
    <w:rsid w:val="00391D57"/>
    <w:rsid w:val="00392292"/>
    <w:rsid w:val="0039253D"/>
    <w:rsid w:val="00394F45"/>
    <w:rsid w:val="003A5927"/>
    <w:rsid w:val="003A6419"/>
    <w:rsid w:val="003B1017"/>
    <w:rsid w:val="003B3A8F"/>
    <w:rsid w:val="003B3C07"/>
    <w:rsid w:val="003B3FDE"/>
    <w:rsid w:val="003B6081"/>
    <w:rsid w:val="003B65B2"/>
    <w:rsid w:val="003B6775"/>
    <w:rsid w:val="003C5FE2"/>
    <w:rsid w:val="003D05FB"/>
    <w:rsid w:val="003D1B16"/>
    <w:rsid w:val="003D45BF"/>
    <w:rsid w:val="003D508A"/>
    <w:rsid w:val="003D537F"/>
    <w:rsid w:val="003D7B75"/>
    <w:rsid w:val="003E0208"/>
    <w:rsid w:val="003E3D1E"/>
    <w:rsid w:val="003E4B57"/>
    <w:rsid w:val="003E6219"/>
    <w:rsid w:val="003F14E6"/>
    <w:rsid w:val="003F27E1"/>
    <w:rsid w:val="003F437A"/>
    <w:rsid w:val="003F5C2B"/>
    <w:rsid w:val="003F6CE6"/>
    <w:rsid w:val="00402240"/>
    <w:rsid w:val="004023E9"/>
    <w:rsid w:val="0040454A"/>
    <w:rsid w:val="00413F83"/>
    <w:rsid w:val="0041490C"/>
    <w:rsid w:val="00416191"/>
    <w:rsid w:val="00416721"/>
    <w:rsid w:val="00421EF0"/>
    <w:rsid w:val="004224FA"/>
    <w:rsid w:val="00423D07"/>
    <w:rsid w:val="00427936"/>
    <w:rsid w:val="004408EA"/>
    <w:rsid w:val="004419FD"/>
    <w:rsid w:val="0044346F"/>
    <w:rsid w:val="004513FE"/>
    <w:rsid w:val="00453FF6"/>
    <w:rsid w:val="0046005C"/>
    <w:rsid w:val="0046520A"/>
    <w:rsid w:val="004671C7"/>
    <w:rsid w:val="004672AB"/>
    <w:rsid w:val="00467F7B"/>
    <w:rsid w:val="004714FE"/>
    <w:rsid w:val="00472726"/>
    <w:rsid w:val="00476F0E"/>
    <w:rsid w:val="00477BAA"/>
    <w:rsid w:val="00481343"/>
    <w:rsid w:val="00482D46"/>
    <w:rsid w:val="00483B52"/>
    <w:rsid w:val="00490D84"/>
    <w:rsid w:val="00492C97"/>
    <w:rsid w:val="00495053"/>
    <w:rsid w:val="004A1F59"/>
    <w:rsid w:val="004A29BE"/>
    <w:rsid w:val="004A3225"/>
    <w:rsid w:val="004A33EE"/>
    <w:rsid w:val="004A3AA8"/>
    <w:rsid w:val="004B13C7"/>
    <w:rsid w:val="004B778F"/>
    <w:rsid w:val="004C0609"/>
    <w:rsid w:val="004C639F"/>
    <w:rsid w:val="004C6828"/>
    <w:rsid w:val="004D141F"/>
    <w:rsid w:val="004D2742"/>
    <w:rsid w:val="004D6310"/>
    <w:rsid w:val="004E0062"/>
    <w:rsid w:val="004E05A1"/>
    <w:rsid w:val="004E363B"/>
    <w:rsid w:val="004E7F21"/>
    <w:rsid w:val="004F471C"/>
    <w:rsid w:val="004F472A"/>
    <w:rsid w:val="004F5494"/>
    <w:rsid w:val="004F5E57"/>
    <w:rsid w:val="004F6710"/>
    <w:rsid w:val="00500C3E"/>
    <w:rsid w:val="00502849"/>
    <w:rsid w:val="00504334"/>
    <w:rsid w:val="0050498D"/>
    <w:rsid w:val="005104D7"/>
    <w:rsid w:val="00510B9E"/>
    <w:rsid w:val="00511057"/>
    <w:rsid w:val="00524F02"/>
    <w:rsid w:val="00530D27"/>
    <w:rsid w:val="00536BC2"/>
    <w:rsid w:val="005425E1"/>
    <w:rsid w:val="005427C5"/>
    <w:rsid w:val="00542868"/>
    <w:rsid w:val="00542CF6"/>
    <w:rsid w:val="00551019"/>
    <w:rsid w:val="00553C03"/>
    <w:rsid w:val="00553F79"/>
    <w:rsid w:val="005548E7"/>
    <w:rsid w:val="0056068F"/>
    <w:rsid w:val="00560DDA"/>
    <w:rsid w:val="00563692"/>
    <w:rsid w:val="005654F2"/>
    <w:rsid w:val="00571325"/>
    <w:rsid w:val="00571679"/>
    <w:rsid w:val="00572794"/>
    <w:rsid w:val="00584235"/>
    <w:rsid w:val="005844E7"/>
    <w:rsid w:val="005908B8"/>
    <w:rsid w:val="0059512E"/>
    <w:rsid w:val="005A006C"/>
    <w:rsid w:val="005A6DD2"/>
    <w:rsid w:val="005B1E60"/>
    <w:rsid w:val="005B24C9"/>
    <w:rsid w:val="005C385D"/>
    <w:rsid w:val="005D101B"/>
    <w:rsid w:val="005D36FA"/>
    <w:rsid w:val="005D3B20"/>
    <w:rsid w:val="005D71B7"/>
    <w:rsid w:val="005E4759"/>
    <w:rsid w:val="005E5C68"/>
    <w:rsid w:val="005E65C0"/>
    <w:rsid w:val="005F0390"/>
    <w:rsid w:val="005F258E"/>
    <w:rsid w:val="0060372A"/>
    <w:rsid w:val="006072CD"/>
    <w:rsid w:val="00612023"/>
    <w:rsid w:val="00614190"/>
    <w:rsid w:val="00614C83"/>
    <w:rsid w:val="00622A99"/>
    <w:rsid w:val="00622E67"/>
    <w:rsid w:val="00626108"/>
    <w:rsid w:val="00626B57"/>
    <w:rsid w:val="00626EDC"/>
    <w:rsid w:val="00634998"/>
    <w:rsid w:val="00643177"/>
    <w:rsid w:val="006452D3"/>
    <w:rsid w:val="006470EC"/>
    <w:rsid w:val="006542D6"/>
    <w:rsid w:val="0065598E"/>
    <w:rsid w:val="00655AF2"/>
    <w:rsid w:val="00655BC5"/>
    <w:rsid w:val="006568BE"/>
    <w:rsid w:val="00657928"/>
    <w:rsid w:val="0066025D"/>
    <w:rsid w:val="0066091A"/>
    <w:rsid w:val="00672A5F"/>
    <w:rsid w:val="00672DCA"/>
    <w:rsid w:val="006773EC"/>
    <w:rsid w:val="00680504"/>
    <w:rsid w:val="00681CD9"/>
    <w:rsid w:val="0068347B"/>
    <w:rsid w:val="00683E30"/>
    <w:rsid w:val="00687024"/>
    <w:rsid w:val="0069527C"/>
    <w:rsid w:val="00695720"/>
    <w:rsid w:val="00695E22"/>
    <w:rsid w:val="00697DFD"/>
    <w:rsid w:val="006A2548"/>
    <w:rsid w:val="006B2B80"/>
    <w:rsid w:val="006B3570"/>
    <w:rsid w:val="006B7093"/>
    <w:rsid w:val="006B7417"/>
    <w:rsid w:val="006B7BCE"/>
    <w:rsid w:val="006C01AA"/>
    <w:rsid w:val="006C209F"/>
    <w:rsid w:val="006D1917"/>
    <w:rsid w:val="006D31F9"/>
    <w:rsid w:val="006D3691"/>
    <w:rsid w:val="006D3A59"/>
    <w:rsid w:val="006D6C41"/>
    <w:rsid w:val="006E5EF0"/>
    <w:rsid w:val="006E7A15"/>
    <w:rsid w:val="006F0EE7"/>
    <w:rsid w:val="006F1C1F"/>
    <w:rsid w:val="006F1E88"/>
    <w:rsid w:val="006F3117"/>
    <w:rsid w:val="006F3563"/>
    <w:rsid w:val="006F42B9"/>
    <w:rsid w:val="006F6103"/>
    <w:rsid w:val="006F7C96"/>
    <w:rsid w:val="00704B9C"/>
    <w:rsid w:val="00704E00"/>
    <w:rsid w:val="00715328"/>
    <w:rsid w:val="007209E7"/>
    <w:rsid w:val="00726182"/>
    <w:rsid w:val="00727635"/>
    <w:rsid w:val="00732329"/>
    <w:rsid w:val="007337CA"/>
    <w:rsid w:val="00734CE4"/>
    <w:rsid w:val="00735123"/>
    <w:rsid w:val="00741837"/>
    <w:rsid w:val="007421C7"/>
    <w:rsid w:val="00742A46"/>
    <w:rsid w:val="007453E6"/>
    <w:rsid w:val="00752AF9"/>
    <w:rsid w:val="00753955"/>
    <w:rsid w:val="00754789"/>
    <w:rsid w:val="00757E96"/>
    <w:rsid w:val="00770453"/>
    <w:rsid w:val="0077309D"/>
    <w:rsid w:val="007774EE"/>
    <w:rsid w:val="00781822"/>
    <w:rsid w:val="00783F21"/>
    <w:rsid w:val="00786AE0"/>
    <w:rsid w:val="00787159"/>
    <w:rsid w:val="00787966"/>
    <w:rsid w:val="0079043A"/>
    <w:rsid w:val="00790638"/>
    <w:rsid w:val="007912AB"/>
    <w:rsid w:val="00791668"/>
    <w:rsid w:val="00791AA1"/>
    <w:rsid w:val="0079363F"/>
    <w:rsid w:val="007940A5"/>
    <w:rsid w:val="00797E93"/>
    <w:rsid w:val="007A3793"/>
    <w:rsid w:val="007C1BA2"/>
    <w:rsid w:val="007C2B48"/>
    <w:rsid w:val="007D20E9"/>
    <w:rsid w:val="007D293B"/>
    <w:rsid w:val="007D363D"/>
    <w:rsid w:val="007D7881"/>
    <w:rsid w:val="007D7E3A"/>
    <w:rsid w:val="007E0E10"/>
    <w:rsid w:val="007E313B"/>
    <w:rsid w:val="007E4768"/>
    <w:rsid w:val="007E7279"/>
    <w:rsid w:val="007E777B"/>
    <w:rsid w:val="007F1130"/>
    <w:rsid w:val="007F1204"/>
    <w:rsid w:val="007F2070"/>
    <w:rsid w:val="007F3A4C"/>
    <w:rsid w:val="007F63C1"/>
    <w:rsid w:val="007F6B9C"/>
    <w:rsid w:val="00801D5B"/>
    <w:rsid w:val="008053F5"/>
    <w:rsid w:val="00807AF7"/>
    <w:rsid w:val="00810198"/>
    <w:rsid w:val="00810C68"/>
    <w:rsid w:val="00812120"/>
    <w:rsid w:val="00815DA8"/>
    <w:rsid w:val="0082194D"/>
    <w:rsid w:val="008221F9"/>
    <w:rsid w:val="008245AF"/>
    <w:rsid w:val="008267D2"/>
    <w:rsid w:val="00826D2D"/>
    <w:rsid w:val="00826EF5"/>
    <w:rsid w:val="008277DD"/>
    <w:rsid w:val="008310B7"/>
    <w:rsid w:val="00831693"/>
    <w:rsid w:val="00836086"/>
    <w:rsid w:val="00840104"/>
    <w:rsid w:val="00840C1F"/>
    <w:rsid w:val="008411C9"/>
    <w:rsid w:val="00841DD3"/>
    <w:rsid w:val="00841FC5"/>
    <w:rsid w:val="0084293C"/>
    <w:rsid w:val="00843D0F"/>
    <w:rsid w:val="00845709"/>
    <w:rsid w:val="008535B1"/>
    <w:rsid w:val="008576BD"/>
    <w:rsid w:val="00860463"/>
    <w:rsid w:val="00872E93"/>
    <w:rsid w:val="008733DA"/>
    <w:rsid w:val="00875E33"/>
    <w:rsid w:val="00884B2F"/>
    <w:rsid w:val="008850BE"/>
    <w:rsid w:val="008850E4"/>
    <w:rsid w:val="00887538"/>
    <w:rsid w:val="008939AB"/>
    <w:rsid w:val="008946AD"/>
    <w:rsid w:val="008A12F5"/>
    <w:rsid w:val="008B1587"/>
    <w:rsid w:val="008B1B01"/>
    <w:rsid w:val="008B3BCD"/>
    <w:rsid w:val="008B48DB"/>
    <w:rsid w:val="008B6016"/>
    <w:rsid w:val="008B6DF8"/>
    <w:rsid w:val="008B6FF7"/>
    <w:rsid w:val="008C106C"/>
    <w:rsid w:val="008C10F1"/>
    <w:rsid w:val="008C1926"/>
    <w:rsid w:val="008C1E99"/>
    <w:rsid w:val="008C2420"/>
    <w:rsid w:val="008C3765"/>
    <w:rsid w:val="008E0085"/>
    <w:rsid w:val="008E2AA6"/>
    <w:rsid w:val="008E311B"/>
    <w:rsid w:val="008F46E7"/>
    <w:rsid w:val="008F63DD"/>
    <w:rsid w:val="008F64CA"/>
    <w:rsid w:val="008F6F0B"/>
    <w:rsid w:val="008F7E4B"/>
    <w:rsid w:val="009010A4"/>
    <w:rsid w:val="00901924"/>
    <w:rsid w:val="00907BA7"/>
    <w:rsid w:val="0091064E"/>
    <w:rsid w:val="00911FC5"/>
    <w:rsid w:val="00925D69"/>
    <w:rsid w:val="009272AE"/>
    <w:rsid w:val="00927370"/>
    <w:rsid w:val="00931A10"/>
    <w:rsid w:val="009442BF"/>
    <w:rsid w:val="00947967"/>
    <w:rsid w:val="009528EE"/>
    <w:rsid w:val="009533E2"/>
    <w:rsid w:val="00955201"/>
    <w:rsid w:val="00965200"/>
    <w:rsid w:val="009668B3"/>
    <w:rsid w:val="00971471"/>
    <w:rsid w:val="00973FCC"/>
    <w:rsid w:val="00976EB8"/>
    <w:rsid w:val="009845B6"/>
    <w:rsid w:val="009849C2"/>
    <w:rsid w:val="00984D24"/>
    <w:rsid w:val="00985394"/>
    <w:rsid w:val="009858EB"/>
    <w:rsid w:val="00987FA2"/>
    <w:rsid w:val="00992165"/>
    <w:rsid w:val="009A3F47"/>
    <w:rsid w:val="009A5B76"/>
    <w:rsid w:val="009A70EC"/>
    <w:rsid w:val="009B0046"/>
    <w:rsid w:val="009C06FE"/>
    <w:rsid w:val="009C1440"/>
    <w:rsid w:val="009C2107"/>
    <w:rsid w:val="009C211C"/>
    <w:rsid w:val="009C5D9E"/>
    <w:rsid w:val="009D2C3E"/>
    <w:rsid w:val="009E0625"/>
    <w:rsid w:val="009E3034"/>
    <w:rsid w:val="009E3263"/>
    <w:rsid w:val="009E549F"/>
    <w:rsid w:val="009F28A8"/>
    <w:rsid w:val="009F473E"/>
    <w:rsid w:val="009F5247"/>
    <w:rsid w:val="009F682A"/>
    <w:rsid w:val="00A022BE"/>
    <w:rsid w:val="00A06BE6"/>
    <w:rsid w:val="00A07B4B"/>
    <w:rsid w:val="00A13003"/>
    <w:rsid w:val="00A24C95"/>
    <w:rsid w:val="00A2599A"/>
    <w:rsid w:val="00A26094"/>
    <w:rsid w:val="00A27606"/>
    <w:rsid w:val="00A301BF"/>
    <w:rsid w:val="00A302B2"/>
    <w:rsid w:val="00A331B4"/>
    <w:rsid w:val="00A3484E"/>
    <w:rsid w:val="00A356D3"/>
    <w:rsid w:val="00A36ADA"/>
    <w:rsid w:val="00A37287"/>
    <w:rsid w:val="00A37C4D"/>
    <w:rsid w:val="00A438D8"/>
    <w:rsid w:val="00A46D2E"/>
    <w:rsid w:val="00A473F5"/>
    <w:rsid w:val="00A51F9D"/>
    <w:rsid w:val="00A5416A"/>
    <w:rsid w:val="00A544E6"/>
    <w:rsid w:val="00A639F4"/>
    <w:rsid w:val="00A65864"/>
    <w:rsid w:val="00A65FAE"/>
    <w:rsid w:val="00A66BFA"/>
    <w:rsid w:val="00A71C13"/>
    <w:rsid w:val="00A758AE"/>
    <w:rsid w:val="00A76D7B"/>
    <w:rsid w:val="00A81A32"/>
    <w:rsid w:val="00A82640"/>
    <w:rsid w:val="00A835BD"/>
    <w:rsid w:val="00A873B6"/>
    <w:rsid w:val="00A97B15"/>
    <w:rsid w:val="00AA2F63"/>
    <w:rsid w:val="00AA42D5"/>
    <w:rsid w:val="00AB092F"/>
    <w:rsid w:val="00AB1B74"/>
    <w:rsid w:val="00AB2FAB"/>
    <w:rsid w:val="00AB5C14"/>
    <w:rsid w:val="00AB623D"/>
    <w:rsid w:val="00AC1EE7"/>
    <w:rsid w:val="00AC222D"/>
    <w:rsid w:val="00AC24A3"/>
    <w:rsid w:val="00AC333F"/>
    <w:rsid w:val="00AC585C"/>
    <w:rsid w:val="00AC65E2"/>
    <w:rsid w:val="00AD1925"/>
    <w:rsid w:val="00AD217D"/>
    <w:rsid w:val="00AD6607"/>
    <w:rsid w:val="00AE067D"/>
    <w:rsid w:val="00AF1181"/>
    <w:rsid w:val="00AF2F79"/>
    <w:rsid w:val="00AF4653"/>
    <w:rsid w:val="00AF7DB7"/>
    <w:rsid w:val="00B0496A"/>
    <w:rsid w:val="00B10D02"/>
    <w:rsid w:val="00B129B7"/>
    <w:rsid w:val="00B201E2"/>
    <w:rsid w:val="00B205BD"/>
    <w:rsid w:val="00B210E9"/>
    <w:rsid w:val="00B32219"/>
    <w:rsid w:val="00B33324"/>
    <w:rsid w:val="00B443E4"/>
    <w:rsid w:val="00B447DF"/>
    <w:rsid w:val="00B52B54"/>
    <w:rsid w:val="00B5484D"/>
    <w:rsid w:val="00B563EA"/>
    <w:rsid w:val="00B56817"/>
    <w:rsid w:val="00B56CDF"/>
    <w:rsid w:val="00B60B78"/>
    <w:rsid w:val="00B60E51"/>
    <w:rsid w:val="00B623B0"/>
    <w:rsid w:val="00B63A54"/>
    <w:rsid w:val="00B6636C"/>
    <w:rsid w:val="00B669D4"/>
    <w:rsid w:val="00B75C78"/>
    <w:rsid w:val="00B77536"/>
    <w:rsid w:val="00B77D18"/>
    <w:rsid w:val="00B8313A"/>
    <w:rsid w:val="00B85450"/>
    <w:rsid w:val="00B85E02"/>
    <w:rsid w:val="00B93503"/>
    <w:rsid w:val="00BA31E8"/>
    <w:rsid w:val="00BA55E0"/>
    <w:rsid w:val="00BA6BD4"/>
    <w:rsid w:val="00BA6C7A"/>
    <w:rsid w:val="00BB17D1"/>
    <w:rsid w:val="00BB3752"/>
    <w:rsid w:val="00BB6688"/>
    <w:rsid w:val="00BC26D4"/>
    <w:rsid w:val="00BC3EE0"/>
    <w:rsid w:val="00BC567B"/>
    <w:rsid w:val="00BE0C80"/>
    <w:rsid w:val="00BE2865"/>
    <w:rsid w:val="00BE2C0B"/>
    <w:rsid w:val="00BF26B7"/>
    <w:rsid w:val="00BF2A42"/>
    <w:rsid w:val="00BF3A71"/>
    <w:rsid w:val="00C02B35"/>
    <w:rsid w:val="00C03399"/>
    <w:rsid w:val="00C03D8C"/>
    <w:rsid w:val="00C055EC"/>
    <w:rsid w:val="00C10DC9"/>
    <w:rsid w:val="00C12FB3"/>
    <w:rsid w:val="00C13F0D"/>
    <w:rsid w:val="00C17341"/>
    <w:rsid w:val="00C1792F"/>
    <w:rsid w:val="00C22500"/>
    <w:rsid w:val="00C24EEF"/>
    <w:rsid w:val="00C25CF6"/>
    <w:rsid w:val="00C26C36"/>
    <w:rsid w:val="00C31432"/>
    <w:rsid w:val="00C32768"/>
    <w:rsid w:val="00C35A36"/>
    <w:rsid w:val="00C36E6B"/>
    <w:rsid w:val="00C431DF"/>
    <w:rsid w:val="00C44C31"/>
    <w:rsid w:val="00C456BD"/>
    <w:rsid w:val="00C45933"/>
    <w:rsid w:val="00C460B3"/>
    <w:rsid w:val="00C530DC"/>
    <w:rsid w:val="00C5350D"/>
    <w:rsid w:val="00C60F0E"/>
    <w:rsid w:val="00C6123C"/>
    <w:rsid w:val="00C6311A"/>
    <w:rsid w:val="00C7084D"/>
    <w:rsid w:val="00C70EA3"/>
    <w:rsid w:val="00C714A9"/>
    <w:rsid w:val="00C7315E"/>
    <w:rsid w:val="00C75895"/>
    <w:rsid w:val="00C77C48"/>
    <w:rsid w:val="00C809B3"/>
    <w:rsid w:val="00C80F64"/>
    <w:rsid w:val="00C81EF3"/>
    <w:rsid w:val="00C83C9F"/>
    <w:rsid w:val="00C8511A"/>
    <w:rsid w:val="00C862E9"/>
    <w:rsid w:val="00C86BA5"/>
    <w:rsid w:val="00C878DC"/>
    <w:rsid w:val="00C9382C"/>
    <w:rsid w:val="00C94519"/>
    <w:rsid w:val="00C94840"/>
    <w:rsid w:val="00CA4EE3"/>
    <w:rsid w:val="00CA5DEC"/>
    <w:rsid w:val="00CA7D49"/>
    <w:rsid w:val="00CB027F"/>
    <w:rsid w:val="00CB70F0"/>
    <w:rsid w:val="00CC056C"/>
    <w:rsid w:val="00CC0EBB"/>
    <w:rsid w:val="00CC6175"/>
    <w:rsid w:val="00CC6297"/>
    <w:rsid w:val="00CC7690"/>
    <w:rsid w:val="00CD1986"/>
    <w:rsid w:val="00CD54BF"/>
    <w:rsid w:val="00CE4D5C"/>
    <w:rsid w:val="00CF05DA"/>
    <w:rsid w:val="00CF58EB"/>
    <w:rsid w:val="00CF5F1C"/>
    <w:rsid w:val="00CF6FEC"/>
    <w:rsid w:val="00CF76A1"/>
    <w:rsid w:val="00D0106E"/>
    <w:rsid w:val="00D012C5"/>
    <w:rsid w:val="00D013EA"/>
    <w:rsid w:val="00D02CC6"/>
    <w:rsid w:val="00D06383"/>
    <w:rsid w:val="00D07E78"/>
    <w:rsid w:val="00D115FA"/>
    <w:rsid w:val="00D20D26"/>
    <w:rsid w:val="00D20E85"/>
    <w:rsid w:val="00D22F3A"/>
    <w:rsid w:val="00D24615"/>
    <w:rsid w:val="00D2763B"/>
    <w:rsid w:val="00D36C85"/>
    <w:rsid w:val="00D37842"/>
    <w:rsid w:val="00D42DC2"/>
    <w:rsid w:val="00D4302B"/>
    <w:rsid w:val="00D537E1"/>
    <w:rsid w:val="00D55BB2"/>
    <w:rsid w:val="00D56710"/>
    <w:rsid w:val="00D6091A"/>
    <w:rsid w:val="00D614B1"/>
    <w:rsid w:val="00D6496D"/>
    <w:rsid w:val="00D65DB9"/>
    <w:rsid w:val="00D6605A"/>
    <w:rsid w:val="00D6695F"/>
    <w:rsid w:val="00D75644"/>
    <w:rsid w:val="00D81656"/>
    <w:rsid w:val="00D83D87"/>
    <w:rsid w:val="00D846D0"/>
    <w:rsid w:val="00D84A6D"/>
    <w:rsid w:val="00D86A30"/>
    <w:rsid w:val="00D90F93"/>
    <w:rsid w:val="00D97CB4"/>
    <w:rsid w:val="00D97DD4"/>
    <w:rsid w:val="00DA2630"/>
    <w:rsid w:val="00DA5A8A"/>
    <w:rsid w:val="00DB1170"/>
    <w:rsid w:val="00DB26CD"/>
    <w:rsid w:val="00DB441C"/>
    <w:rsid w:val="00DB44AF"/>
    <w:rsid w:val="00DB63B7"/>
    <w:rsid w:val="00DC1F58"/>
    <w:rsid w:val="00DC339B"/>
    <w:rsid w:val="00DC5D40"/>
    <w:rsid w:val="00DC69A7"/>
    <w:rsid w:val="00DC7CFD"/>
    <w:rsid w:val="00DD0724"/>
    <w:rsid w:val="00DD30E9"/>
    <w:rsid w:val="00DD34CE"/>
    <w:rsid w:val="00DD3EC5"/>
    <w:rsid w:val="00DD4422"/>
    <w:rsid w:val="00DD4F47"/>
    <w:rsid w:val="00DD7FBB"/>
    <w:rsid w:val="00DE0B9F"/>
    <w:rsid w:val="00DE1F3D"/>
    <w:rsid w:val="00DE2A9E"/>
    <w:rsid w:val="00DE4238"/>
    <w:rsid w:val="00DE657F"/>
    <w:rsid w:val="00DF1218"/>
    <w:rsid w:val="00DF6462"/>
    <w:rsid w:val="00DF665D"/>
    <w:rsid w:val="00E02FA0"/>
    <w:rsid w:val="00E036DC"/>
    <w:rsid w:val="00E051EF"/>
    <w:rsid w:val="00E10454"/>
    <w:rsid w:val="00E112E5"/>
    <w:rsid w:val="00E115DD"/>
    <w:rsid w:val="00E122D8"/>
    <w:rsid w:val="00E12CC8"/>
    <w:rsid w:val="00E15352"/>
    <w:rsid w:val="00E21CC7"/>
    <w:rsid w:val="00E24D9E"/>
    <w:rsid w:val="00E25849"/>
    <w:rsid w:val="00E3197E"/>
    <w:rsid w:val="00E31C0B"/>
    <w:rsid w:val="00E338B5"/>
    <w:rsid w:val="00E342F8"/>
    <w:rsid w:val="00E351ED"/>
    <w:rsid w:val="00E403BE"/>
    <w:rsid w:val="00E42B19"/>
    <w:rsid w:val="00E6034B"/>
    <w:rsid w:val="00E6231E"/>
    <w:rsid w:val="00E6496D"/>
    <w:rsid w:val="00E6549E"/>
    <w:rsid w:val="00E65BBC"/>
    <w:rsid w:val="00E65EDE"/>
    <w:rsid w:val="00E665BA"/>
    <w:rsid w:val="00E70D24"/>
    <w:rsid w:val="00E70F81"/>
    <w:rsid w:val="00E74420"/>
    <w:rsid w:val="00E74E6B"/>
    <w:rsid w:val="00E77055"/>
    <w:rsid w:val="00E77460"/>
    <w:rsid w:val="00E7798C"/>
    <w:rsid w:val="00E82DB0"/>
    <w:rsid w:val="00E83ABC"/>
    <w:rsid w:val="00E83C86"/>
    <w:rsid w:val="00E844F2"/>
    <w:rsid w:val="00E90AD0"/>
    <w:rsid w:val="00E92FCB"/>
    <w:rsid w:val="00E94571"/>
    <w:rsid w:val="00E94FA6"/>
    <w:rsid w:val="00EA147F"/>
    <w:rsid w:val="00EA4A27"/>
    <w:rsid w:val="00EA4FA6"/>
    <w:rsid w:val="00EA544D"/>
    <w:rsid w:val="00EB19F6"/>
    <w:rsid w:val="00EB1A25"/>
    <w:rsid w:val="00EC0DD8"/>
    <w:rsid w:val="00EC7363"/>
    <w:rsid w:val="00ED03AB"/>
    <w:rsid w:val="00ED1963"/>
    <w:rsid w:val="00ED1CD4"/>
    <w:rsid w:val="00ED1D2B"/>
    <w:rsid w:val="00ED324A"/>
    <w:rsid w:val="00ED5D95"/>
    <w:rsid w:val="00ED64B5"/>
    <w:rsid w:val="00ED6DFC"/>
    <w:rsid w:val="00EE63C7"/>
    <w:rsid w:val="00EE7296"/>
    <w:rsid w:val="00EE7CCA"/>
    <w:rsid w:val="00EF5823"/>
    <w:rsid w:val="00EF5B8D"/>
    <w:rsid w:val="00F047ED"/>
    <w:rsid w:val="00F06E53"/>
    <w:rsid w:val="00F07F82"/>
    <w:rsid w:val="00F15331"/>
    <w:rsid w:val="00F16A14"/>
    <w:rsid w:val="00F30669"/>
    <w:rsid w:val="00F321E0"/>
    <w:rsid w:val="00F34804"/>
    <w:rsid w:val="00F3518C"/>
    <w:rsid w:val="00F362D7"/>
    <w:rsid w:val="00F37D7B"/>
    <w:rsid w:val="00F5314C"/>
    <w:rsid w:val="00F5678B"/>
    <w:rsid w:val="00F5688C"/>
    <w:rsid w:val="00F60048"/>
    <w:rsid w:val="00F61EA8"/>
    <w:rsid w:val="00F635DD"/>
    <w:rsid w:val="00F6557B"/>
    <w:rsid w:val="00F6627B"/>
    <w:rsid w:val="00F7336E"/>
    <w:rsid w:val="00F734F2"/>
    <w:rsid w:val="00F75052"/>
    <w:rsid w:val="00F77AB8"/>
    <w:rsid w:val="00F80129"/>
    <w:rsid w:val="00F804D3"/>
    <w:rsid w:val="00F816CB"/>
    <w:rsid w:val="00F81CD2"/>
    <w:rsid w:val="00F82641"/>
    <w:rsid w:val="00F90F18"/>
    <w:rsid w:val="00F92786"/>
    <w:rsid w:val="00F937E4"/>
    <w:rsid w:val="00F95EE7"/>
    <w:rsid w:val="00F9779F"/>
    <w:rsid w:val="00FA39E6"/>
    <w:rsid w:val="00FA58B9"/>
    <w:rsid w:val="00FA7BC9"/>
    <w:rsid w:val="00FB378E"/>
    <w:rsid w:val="00FB37F1"/>
    <w:rsid w:val="00FB47C0"/>
    <w:rsid w:val="00FB501B"/>
    <w:rsid w:val="00FB719A"/>
    <w:rsid w:val="00FB7770"/>
    <w:rsid w:val="00FB7E5D"/>
    <w:rsid w:val="00FC3AB6"/>
    <w:rsid w:val="00FC5115"/>
    <w:rsid w:val="00FC5804"/>
    <w:rsid w:val="00FD3B91"/>
    <w:rsid w:val="00FD576B"/>
    <w:rsid w:val="00FD579E"/>
    <w:rsid w:val="00FD6845"/>
    <w:rsid w:val="00FE4516"/>
    <w:rsid w:val="00FE64C8"/>
    <w:rsid w:val="00FF75C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fe"/>
    </o:shapedefaults>
    <o:shapelayout v:ext="edit">
      <o:idmap v:ext="edit" data="2"/>
    </o:shapelayout>
  </w:shapeDefaults>
  <w:decimalSymbol w:val="."/>
  <w:listSeparator w:val=","/>
  <w14:docId w14:val="5EE3E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BC3EE0"/>
    <w:pPr>
      <w:widowControl w:val="0"/>
      <w:kinsoku w:val="0"/>
      <w:overflowPunct w:val="0"/>
      <w:autoSpaceDE w:val="0"/>
      <w:autoSpaceDN w:val="0"/>
      <w:jc w:val="both"/>
    </w:pPr>
    <w:rPr>
      <w:rFonts w:ascii="標楷體" w:eastAsia="標楷體"/>
      <w:kern w:val="2"/>
      <w:sz w:val="32"/>
    </w:rPr>
  </w:style>
  <w:style w:type="paragraph" w:styleId="1">
    <w:name w:val="heading 1"/>
    <w:aliases w:val="壹,題號1"/>
    <w:basedOn w:val="a6"/>
    <w:link w:val="10"/>
    <w:qFormat/>
    <w:rsid w:val="004F5E57"/>
    <w:pPr>
      <w:numPr>
        <w:numId w:val="1"/>
      </w:numPr>
      <w:outlineLvl w:val="0"/>
    </w:pPr>
    <w:rPr>
      <w:rFonts w:hAnsi="Arial"/>
      <w:bCs/>
      <w:kern w:val="32"/>
      <w:szCs w:val="52"/>
    </w:rPr>
  </w:style>
  <w:style w:type="paragraph" w:styleId="2">
    <w:name w:val="heading 2"/>
    <w:aliases w:val="標題110/111,標題110/111 字元,節,節1,一.,標題110/111 + 內文,標題 2 一、"/>
    <w:basedOn w:val="a6"/>
    <w:link w:val="20"/>
    <w:qFormat/>
    <w:rsid w:val="004F5E57"/>
    <w:pPr>
      <w:numPr>
        <w:ilvl w:val="1"/>
        <w:numId w:val="1"/>
      </w:numPr>
      <w:outlineLvl w:val="1"/>
    </w:pPr>
    <w:rPr>
      <w:rFonts w:hAnsi="Arial"/>
      <w:bCs/>
      <w:kern w:val="32"/>
      <w:szCs w:val="48"/>
    </w:rPr>
  </w:style>
  <w:style w:type="paragraph" w:styleId="3">
    <w:name w:val="heading 3"/>
    <w:aliases w:val="(一)"/>
    <w:basedOn w:val="a6"/>
    <w:link w:val="30"/>
    <w:qFormat/>
    <w:rsid w:val="004F5E57"/>
    <w:pPr>
      <w:numPr>
        <w:ilvl w:val="2"/>
        <w:numId w:val="1"/>
      </w:numPr>
      <w:outlineLvl w:val="2"/>
    </w:pPr>
    <w:rPr>
      <w:rFonts w:hAnsi="Arial"/>
      <w:bCs/>
      <w:kern w:val="32"/>
      <w:szCs w:val="36"/>
    </w:rPr>
  </w:style>
  <w:style w:type="paragraph" w:styleId="4">
    <w:name w:val="heading 4"/>
    <w:aliases w:val="表格,一,1、,1."/>
    <w:basedOn w:val="a6"/>
    <w:link w:val="40"/>
    <w:qFormat/>
    <w:rsid w:val="004F5E57"/>
    <w:pPr>
      <w:numPr>
        <w:ilvl w:val="3"/>
        <w:numId w:val="1"/>
      </w:numPr>
      <w:outlineLvl w:val="3"/>
    </w:pPr>
    <w:rPr>
      <w:rFonts w:hAnsi="Arial"/>
      <w:kern w:val="32"/>
      <w:szCs w:val="36"/>
    </w:rPr>
  </w:style>
  <w:style w:type="paragraph" w:styleId="5">
    <w:name w:val="heading 5"/>
    <w:aliases w:val="標題 5 （1）"/>
    <w:basedOn w:val="a6"/>
    <w:link w:val="50"/>
    <w:qFormat/>
    <w:rsid w:val="004F5E57"/>
    <w:pPr>
      <w:numPr>
        <w:ilvl w:val="4"/>
        <w:numId w:val="1"/>
      </w:numPr>
      <w:outlineLvl w:val="4"/>
    </w:pPr>
    <w:rPr>
      <w:rFonts w:hAnsi="Arial"/>
      <w:bCs/>
      <w:kern w:val="32"/>
      <w:szCs w:val="36"/>
    </w:rPr>
  </w:style>
  <w:style w:type="paragraph" w:styleId="6">
    <w:name w:val="heading 6"/>
    <w:aliases w:val="1"/>
    <w:basedOn w:val="a6"/>
    <w:link w:val="60"/>
    <w:qFormat/>
    <w:rsid w:val="004F5E57"/>
    <w:pPr>
      <w:numPr>
        <w:ilvl w:val="5"/>
        <w:numId w:val="1"/>
      </w:numPr>
      <w:tabs>
        <w:tab w:val="left" w:pos="2094"/>
      </w:tabs>
      <w:outlineLvl w:val="5"/>
    </w:pPr>
    <w:rPr>
      <w:rFonts w:hAnsi="Arial"/>
      <w:kern w:val="32"/>
      <w:szCs w:val="36"/>
    </w:rPr>
  </w:style>
  <w:style w:type="paragraph" w:styleId="7">
    <w:name w:val="heading 7"/>
    <w:aliases w:val="(1)"/>
    <w:basedOn w:val="a6"/>
    <w:link w:val="70"/>
    <w:qFormat/>
    <w:rsid w:val="004F5E57"/>
    <w:pPr>
      <w:numPr>
        <w:ilvl w:val="6"/>
        <w:numId w:val="1"/>
      </w:numPr>
      <w:outlineLvl w:val="6"/>
    </w:pPr>
    <w:rPr>
      <w:rFonts w:hAnsi="Arial"/>
      <w:bCs/>
      <w:kern w:val="32"/>
      <w:szCs w:val="36"/>
    </w:rPr>
  </w:style>
  <w:style w:type="paragraph" w:styleId="8">
    <w:name w:val="heading 8"/>
    <w:basedOn w:val="a6"/>
    <w:link w:val="80"/>
    <w:qFormat/>
    <w:rsid w:val="004F5E57"/>
    <w:pPr>
      <w:numPr>
        <w:ilvl w:val="7"/>
        <w:numId w:val="1"/>
      </w:numPr>
      <w:outlineLvl w:val="7"/>
    </w:pPr>
    <w:rPr>
      <w:rFonts w:hAnsi="Arial"/>
      <w:kern w:val="32"/>
      <w:szCs w:val="36"/>
    </w:rPr>
  </w:style>
  <w:style w:type="paragraph" w:styleId="9">
    <w:name w:val="heading 9"/>
    <w:basedOn w:val="a6"/>
    <w:link w:val="90"/>
    <w:unhideWhenUsed/>
    <w:qFormat/>
    <w:rsid w:val="00C055EC"/>
    <w:pPr>
      <w:numPr>
        <w:ilvl w:val="8"/>
        <w:numId w:val="1"/>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1">
    <w:name w:val="toc 6"/>
    <w:basedOn w:val="a6"/>
    <w:next w:val="a6"/>
    <w:autoRedefine/>
    <w:uiPriority w:val="39"/>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1">
    <w:name w:val="toc 4"/>
    <w:basedOn w:val="a6"/>
    <w:next w:val="a6"/>
    <w:autoRedefine/>
    <w:uiPriority w:val="39"/>
    <w:rsid w:val="004E0062"/>
    <w:pPr>
      <w:ind w:leftChars="300" w:left="500" w:rightChars="200" w:right="200" w:hangingChars="200" w:hanging="200"/>
    </w:pPr>
  </w:style>
  <w:style w:type="paragraph" w:styleId="71">
    <w:name w:val="toc 7"/>
    <w:basedOn w:val="a6"/>
    <w:next w:val="a6"/>
    <w:autoRedefine/>
    <w:uiPriority w:val="39"/>
    <w:rsid w:val="004E0062"/>
    <w:pPr>
      <w:ind w:leftChars="600" w:left="800" w:hangingChars="200" w:hanging="200"/>
    </w:pPr>
  </w:style>
  <w:style w:type="paragraph" w:styleId="81">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9">
    <w:name w:val="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c">
    <w:name w:val="Plain Text"/>
    <w:basedOn w:val="a6"/>
    <w:link w:val="afd"/>
    <w:uiPriority w:val="99"/>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7"/>
    <w:link w:val="afc"/>
    <w:uiPriority w:val="99"/>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標題110/111 字元 字元,節 字元,節1 字元,一. 字元,標題110/111 + 內文 字元,標題 2 一、 字元"/>
    <w:basedOn w:val="a7"/>
    <w:link w:val="2"/>
    <w:rsid w:val="0031455E"/>
    <w:rPr>
      <w:rFonts w:ascii="標楷體" w:eastAsia="標楷體" w:hAnsi="Arial"/>
      <w:bCs/>
      <w:kern w:val="32"/>
      <w:sz w:val="32"/>
      <w:szCs w:val="48"/>
    </w:rPr>
  </w:style>
  <w:style w:type="paragraph" w:customStyle="1" w:styleId="afe">
    <w:name w:val="表樣式"/>
    <w:basedOn w:val="a6"/>
    <w:next w:val="a6"/>
    <w:rsid w:val="00F321E0"/>
    <w:pPr>
      <w:tabs>
        <w:tab w:val="num" w:pos="1440"/>
      </w:tabs>
      <w:kinsoku/>
      <w:wordWrap w:val="0"/>
      <w:overflowPunct/>
      <w:ind w:left="400" w:hangingChars="400" w:hanging="400"/>
    </w:pPr>
    <w:rPr>
      <w:kern w:val="0"/>
    </w:rPr>
  </w:style>
  <w:style w:type="paragraph" w:customStyle="1" w:styleId="aff">
    <w:name w:val="圖樣式"/>
    <w:basedOn w:val="a6"/>
    <w:next w:val="a6"/>
    <w:rsid w:val="00F321E0"/>
    <w:pPr>
      <w:kinsoku/>
      <w:wordWrap w:val="0"/>
      <w:overflowPunct/>
      <w:ind w:left="400" w:hangingChars="400" w:hanging="400"/>
    </w:pPr>
  </w:style>
  <w:style w:type="paragraph" w:customStyle="1" w:styleId="aff0">
    <w:name w:val="分項段落"/>
    <w:basedOn w:val="a6"/>
    <w:rsid w:val="00F321E0"/>
    <w:pPr>
      <w:kinsoku/>
      <w:overflowPunct/>
      <w:autoSpaceDE/>
      <w:autoSpaceDN/>
      <w:jc w:val="left"/>
    </w:pPr>
    <w:rPr>
      <w:rFonts w:ascii="Times New Roman" w:eastAsia="新細明體"/>
      <w:sz w:val="24"/>
    </w:rPr>
  </w:style>
  <w:style w:type="paragraph" w:styleId="HTML">
    <w:name w:val="HTML Preformatted"/>
    <w:basedOn w:val="a6"/>
    <w:link w:val="HTML0"/>
    <w:uiPriority w:val="99"/>
    <w:unhideWhenUsed/>
    <w:rsid w:val="00F321E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F321E0"/>
    <w:rPr>
      <w:rFonts w:ascii="細明體" w:eastAsia="細明體" w:hAnsi="細明體" w:cs="細明體"/>
      <w:sz w:val="24"/>
      <w:szCs w:val="24"/>
    </w:rPr>
  </w:style>
  <w:style w:type="paragraph" w:styleId="aff1">
    <w:name w:val="Body Text"/>
    <w:basedOn w:val="a6"/>
    <w:link w:val="aff2"/>
    <w:uiPriority w:val="99"/>
    <w:semiHidden/>
    <w:unhideWhenUsed/>
    <w:rsid w:val="00F321E0"/>
    <w:pPr>
      <w:kinsoku/>
      <w:wordWrap w:val="0"/>
      <w:overflowPunct/>
      <w:spacing w:after="120"/>
      <w:jc w:val="left"/>
    </w:pPr>
    <w:rPr>
      <w:rFonts w:ascii="Times New Roman"/>
    </w:rPr>
  </w:style>
  <w:style w:type="character" w:customStyle="1" w:styleId="aff2">
    <w:name w:val="本文 字元"/>
    <w:basedOn w:val="a7"/>
    <w:link w:val="aff1"/>
    <w:uiPriority w:val="99"/>
    <w:semiHidden/>
    <w:rsid w:val="00F321E0"/>
    <w:rPr>
      <w:rFonts w:eastAsia="標楷體"/>
      <w:kern w:val="2"/>
      <w:sz w:val="32"/>
    </w:rPr>
  </w:style>
  <w:style w:type="character" w:customStyle="1" w:styleId="ab">
    <w:name w:val="簽名 字元"/>
    <w:link w:val="aa"/>
    <w:semiHidden/>
    <w:rsid w:val="00F321E0"/>
    <w:rPr>
      <w:rFonts w:ascii="標楷體" w:eastAsia="標楷體"/>
      <w:b/>
      <w:snapToGrid w:val="0"/>
      <w:spacing w:val="10"/>
      <w:kern w:val="2"/>
      <w:sz w:val="36"/>
    </w:rPr>
  </w:style>
  <w:style w:type="paragraph" w:styleId="23">
    <w:name w:val="Body Text Indent 2"/>
    <w:basedOn w:val="a6"/>
    <w:link w:val="24"/>
    <w:semiHidden/>
    <w:unhideWhenUsed/>
    <w:rsid w:val="00F321E0"/>
    <w:pPr>
      <w:kinsoku/>
      <w:wordWrap w:val="0"/>
      <w:overflowPunct/>
      <w:spacing w:after="120" w:line="480" w:lineRule="auto"/>
      <w:ind w:leftChars="200" w:left="480"/>
      <w:jc w:val="left"/>
    </w:pPr>
    <w:rPr>
      <w:rFonts w:ascii="Times New Roman"/>
    </w:rPr>
  </w:style>
  <w:style w:type="character" w:customStyle="1" w:styleId="24">
    <w:name w:val="本文縮排 2 字元"/>
    <w:basedOn w:val="a7"/>
    <w:link w:val="23"/>
    <w:semiHidden/>
    <w:rsid w:val="00F321E0"/>
    <w:rPr>
      <w:rFonts w:eastAsia="標楷體"/>
      <w:kern w:val="2"/>
      <w:sz w:val="32"/>
    </w:rPr>
  </w:style>
  <w:style w:type="character" w:customStyle="1" w:styleId="10">
    <w:name w:val="標題 1 字元"/>
    <w:aliases w:val="壹 字元,題號1 字元"/>
    <w:link w:val="1"/>
    <w:rsid w:val="00F321E0"/>
    <w:rPr>
      <w:rFonts w:ascii="標楷體" w:eastAsia="標楷體" w:hAnsi="Arial"/>
      <w:bCs/>
      <w:kern w:val="32"/>
      <w:sz w:val="32"/>
      <w:szCs w:val="52"/>
    </w:rPr>
  </w:style>
  <w:style w:type="paragraph" w:styleId="Web">
    <w:name w:val="Normal (Web)"/>
    <w:basedOn w:val="a6"/>
    <w:uiPriority w:val="99"/>
    <w:semiHidden/>
    <w:unhideWhenUsed/>
    <w:rsid w:val="00F321E0"/>
    <w:pPr>
      <w:widowControl/>
      <w:kinsoku/>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f01">
    <w:name w:val="f01"/>
    <w:basedOn w:val="a6"/>
    <w:rsid w:val="00F321E0"/>
    <w:pPr>
      <w:widowControl/>
      <w:kinsoku/>
      <w:overflowPunct/>
      <w:autoSpaceDE/>
      <w:autoSpaceDN/>
      <w:spacing w:before="100" w:beforeAutospacing="1" w:after="100" w:afterAutospacing="1"/>
      <w:jc w:val="left"/>
    </w:pPr>
    <w:rPr>
      <w:rFonts w:ascii="新細明體" w:eastAsia="新細明體" w:hAnsi="新細明體" w:cs="新細明體"/>
      <w:b/>
      <w:bCs/>
      <w:kern w:val="0"/>
      <w:sz w:val="42"/>
      <w:szCs w:val="42"/>
    </w:rPr>
  </w:style>
  <w:style w:type="character" w:styleId="aff3">
    <w:name w:val="Strong"/>
    <w:uiPriority w:val="22"/>
    <w:qFormat/>
    <w:rsid w:val="00F321E0"/>
    <w:rPr>
      <w:b/>
      <w:bCs/>
    </w:rPr>
  </w:style>
  <w:style w:type="paragraph" w:customStyle="1" w:styleId="aff4">
    <w:name w:val="密等"/>
    <w:basedOn w:val="a6"/>
    <w:rsid w:val="00F321E0"/>
    <w:pPr>
      <w:kinsoku/>
      <w:overflowPunct/>
      <w:autoSpaceDE/>
      <w:autoSpaceDN/>
      <w:snapToGrid w:val="0"/>
      <w:spacing w:line="280" w:lineRule="exact"/>
      <w:jc w:val="left"/>
    </w:pPr>
    <w:rPr>
      <w:rFonts w:ascii="Times New Roman"/>
      <w:sz w:val="24"/>
    </w:rPr>
  </w:style>
  <w:style w:type="character" w:styleId="aff5">
    <w:name w:val="endnote reference"/>
    <w:uiPriority w:val="99"/>
    <w:semiHidden/>
    <w:unhideWhenUsed/>
    <w:rsid w:val="00F321E0"/>
    <w:rPr>
      <w:vertAlign w:val="superscript"/>
    </w:rPr>
  </w:style>
  <w:style w:type="paragraph" w:styleId="aff6">
    <w:name w:val="footnote text"/>
    <w:aliases w:val="字元,註腳文字 字元 字元 字元,註腳文字 字元 字元"/>
    <w:basedOn w:val="a6"/>
    <w:link w:val="aff7"/>
    <w:uiPriority w:val="99"/>
    <w:unhideWhenUsed/>
    <w:rsid w:val="00F321E0"/>
    <w:pPr>
      <w:kinsoku/>
      <w:overflowPunct/>
      <w:autoSpaceDE/>
      <w:autoSpaceDN/>
      <w:snapToGrid w:val="0"/>
      <w:jc w:val="left"/>
    </w:pPr>
    <w:rPr>
      <w:rFonts w:ascii="Times New Roman"/>
      <w:sz w:val="20"/>
    </w:rPr>
  </w:style>
  <w:style w:type="character" w:customStyle="1" w:styleId="aff7">
    <w:name w:val="註腳文字 字元"/>
    <w:aliases w:val="字元 字元,註腳文字 字元 字元 字元 字元,註腳文字 字元 字元 字元1"/>
    <w:basedOn w:val="a7"/>
    <w:link w:val="aff6"/>
    <w:uiPriority w:val="99"/>
    <w:rsid w:val="00F321E0"/>
    <w:rPr>
      <w:rFonts w:eastAsia="標楷體"/>
      <w:kern w:val="2"/>
    </w:rPr>
  </w:style>
  <w:style w:type="character" w:styleId="aff8">
    <w:name w:val="footnote reference"/>
    <w:aliases w:val="FR,Ref,de nota al pie,註腳內容,Error-Fußnotenzeichen5,Error-Fußnotenzeichen6,Error-Fußnotenzeichen3"/>
    <w:uiPriority w:val="99"/>
    <w:unhideWhenUsed/>
    <w:rsid w:val="00F321E0"/>
    <w:rPr>
      <w:vertAlign w:val="superscript"/>
    </w:rPr>
  </w:style>
  <w:style w:type="character" w:customStyle="1" w:styleId="30">
    <w:name w:val="標題 3 字元"/>
    <w:aliases w:val="(一) 字元"/>
    <w:link w:val="3"/>
    <w:rsid w:val="00F321E0"/>
    <w:rPr>
      <w:rFonts w:ascii="標楷體" w:eastAsia="標楷體" w:hAnsi="Arial"/>
      <w:bCs/>
      <w:kern w:val="32"/>
      <w:sz w:val="32"/>
      <w:szCs w:val="36"/>
    </w:rPr>
  </w:style>
  <w:style w:type="character" w:customStyle="1" w:styleId="50">
    <w:name w:val="標題 5 字元"/>
    <w:aliases w:val="標題 5 （1） 字元"/>
    <w:link w:val="5"/>
    <w:rsid w:val="00F321E0"/>
    <w:rPr>
      <w:rFonts w:ascii="標楷體" w:eastAsia="標楷體" w:hAnsi="Arial"/>
      <w:bCs/>
      <w:kern w:val="32"/>
      <w:sz w:val="32"/>
      <w:szCs w:val="36"/>
    </w:rPr>
  </w:style>
  <w:style w:type="paragraph" w:customStyle="1" w:styleId="aff9">
    <w:name w:val="主旨"/>
    <w:basedOn w:val="a6"/>
    <w:rsid w:val="00F321E0"/>
    <w:pPr>
      <w:overflowPunct/>
      <w:autoSpaceDE/>
      <w:autoSpaceDN/>
      <w:adjustRightInd w:val="0"/>
      <w:snapToGrid w:val="0"/>
      <w:spacing w:line="440" w:lineRule="exact"/>
      <w:ind w:left="992" w:hanging="992"/>
    </w:pPr>
    <w:rPr>
      <w:rFonts w:hAnsi="標楷體"/>
      <w:snapToGrid w:val="0"/>
      <w:kern w:val="0"/>
      <w:szCs w:val="32"/>
    </w:rPr>
  </w:style>
  <w:style w:type="paragraph" w:customStyle="1" w:styleId="affa">
    <w:name w:val="說明"/>
    <w:basedOn w:val="a6"/>
    <w:rsid w:val="00F321E0"/>
    <w:pPr>
      <w:overflowPunct/>
      <w:autoSpaceDE/>
      <w:autoSpaceDN/>
      <w:adjustRightInd w:val="0"/>
      <w:snapToGrid w:val="0"/>
      <w:spacing w:line="440" w:lineRule="exact"/>
      <w:ind w:left="851" w:hanging="851"/>
    </w:pPr>
    <w:rPr>
      <w:rFonts w:hAnsi="標楷體"/>
      <w:szCs w:val="32"/>
    </w:rPr>
  </w:style>
  <w:style w:type="character" w:customStyle="1" w:styleId="60">
    <w:name w:val="標題 6 字元"/>
    <w:aliases w:val="1 字元"/>
    <w:basedOn w:val="a7"/>
    <w:link w:val="6"/>
    <w:rsid w:val="00F321E0"/>
    <w:rPr>
      <w:rFonts w:ascii="標楷體" w:eastAsia="標楷體" w:hAnsi="Arial"/>
      <w:kern w:val="32"/>
      <w:sz w:val="32"/>
      <w:szCs w:val="36"/>
    </w:rPr>
  </w:style>
  <w:style w:type="character" w:customStyle="1" w:styleId="40">
    <w:name w:val="標題 4 字元"/>
    <w:aliases w:val="表格 字元,一 字元,1、 字元,1. 字元"/>
    <w:basedOn w:val="a7"/>
    <w:link w:val="4"/>
    <w:rsid w:val="00F321E0"/>
    <w:rPr>
      <w:rFonts w:ascii="標楷體" w:eastAsia="標楷體" w:hAnsi="Arial"/>
      <w:kern w:val="32"/>
      <w:sz w:val="32"/>
      <w:szCs w:val="36"/>
    </w:rPr>
  </w:style>
  <w:style w:type="character" w:customStyle="1" w:styleId="termhoverp">
    <w:name w:val="termhover_p"/>
    <w:basedOn w:val="a7"/>
    <w:rsid w:val="00F321E0"/>
  </w:style>
  <w:style w:type="character" w:customStyle="1" w:styleId="highlight1">
    <w:name w:val="highlight1"/>
    <w:rsid w:val="00F321E0"/>
    <w:rPr>
      <w:color w:val="FF0000"/>
    </w:rPr>
  </w:style>
  <w:style w:type="character" w:customStyle="1" w:styleId="highlight">
    <w:name w:val="highlight"/>
    <w:rsid w:val="00F321E0"/>
  </w:style>
  <w:style w:type="character" w:customStyle="1" w:styleId="70">
    <w:name w:val="標題 7 字元"/>
    <w:aliases w:val="(1) 字元"/>
    <w:basedOn w:val="a7"/>
    <w:link w:val="7"/>
    <w:rsid w:val="00F321E0"/>
    <w:rPr>
      <w:rFonts w:ascii="標楷體" w:eastAsia="標楷體" w:hAnsi="Arial"/>
      <w:bCs/>
      <w:kern w:val="32"/>
      <w:sz w:val="32"/>
      <w:szCs w:val="36"/>
    </w:rPr>
  </w:style>
  <w:style w:type="character" w:customStyle="1" w:styleId="80">
    <w:name w:val="標題 8 字元"/>
    <w:basedOn w:val="a7"/>
    <w:link w:val="8"/>
    <w:rsid w:val="00F321E0"/>
    <w:rPr>
      <w:rFonts w:ascii="標楷體" w:eastAsia="標楷體" w:hAnsi="Arial"/>
      <w:kern w:val="32"/>
      <w:sz w:val="32"/>
      <w:szCs w:val="36"/>
    </w:rPr>
  </w:style>
  <w:style w:type="character" w:customStyle="1" w:styleId="af5">
    <w:name w:val="頁尾 字元"/>
    <w:basedOn w:val="a7"/>
    <w:link w:val="af4"/>
    <w:uiPriority w:val="99"/>
    <w:rsid w:val="00B6636C"/>
    <w:rPr>
      <w:rFonts w:ascii="標楷體"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80090718">
      <w:bodyDiv w:val="1"/>
      <w:marLeft w:val="0"/>
      <w:marRight w:val="0"/>
      <w:marTop w:val="0"/>
      <w:marBottom w:val="0"/>
      <w:divBdr>
        <w:top w:val="none" w:sz="0" w:space="0" w:color="auto"/>
        <w:left w:val="none" w:sz="0" w:space="0" w:color="auto"/>
        <w:bottom w:val="none" w:sz="0" w:space="0" w:color="auto"/>
        <w:right w:val="none" w:sz="0" w:space="0" w:color="auto"/>
      </w:divBdr>
      <w:divsChild>
        <w:div w:id="1607615303">
          <w:marLeft w:val="0"/>
          <w:marRight w:val="0"/>
          <w:marTop w:val="0"/>
          <w:marBottom w:val="0"/>
          <w:divBdr>
            <w:top w:val="none" w:sz="0" w:space="0" w:color="auto"/>
            <w:left w:val="none" w:sz="0" w:space="0" w:color="auto"/>
            <w:bottom w:val="none" w:sz="0" w:space="0" w:color="auto"/>
            <w:right w:val="none" w:sz="0" w:space="0" w:color="auto"/>
          </w:divBdr>
          <w:divsChild>
            <w:div w:id="39304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926871">
      <w:bodyDiv w:val="1"/>
      <w:marLeft w:val="0"/>
      <w:marRight w:val="0"/>
      <w:marTop w:val="0"/>
      <w:marBottom w:val="0"/>
      <w:divBdr>
        <w:top w:val="none" w:sz="0" w:space="0" w:color="auto"/>
        <w:left w:val="none" w:sz="0" w:space="0" w:color="auto"/>
        <w:bottom w:val="none" w:sz="0" w:space="0" w:color="auto"/>
        <w:right w:val="none" w:sz="0" w:space="0" w:color="auto"/>
      </w:divBdr>
    </w:div>
    <w:div w:id="1263763319">
      <w:bodyDiv w:val="1"/>
      <w:marLeft w:val="0"/>
      <w:marRight w:val="0"/>
      <w:marTop w:val="0"/>
      <w:marBottom w:val="0"/>
      <w:divBdr>
        <w:top w:val="none" w:sz="0" w:space="0" w:color="auto"/>
        <w:left w:val="none" w:sz="0" w:space="0" w:color="auto"/>
        <w:bottom w:val="none" w:sz="0" w:space="0" w:color="auto"/>
        <w:right w:val="none" w:sz="0" w:space="0" w:color="auto"/>
      </w:divBdr>
    </w:div>
    <w:div w:id="1592469698">
      <w:bodyDiv w:val="1"/>
      <w:marLeft w:val="0"/>
      <w:marRight w:val="0"/>
      <w:marTop w:val="0"/>
      <w:marBottom w:val="0"/>
      <w:divBdr>
        <w:top w:val="none" w:sz="0" w:space="0" w:color="auto"/>
        <w:left w:val="none" w:sz="0" w:space="0" w:color="auto"/>
        <w:bottom w:val="none" w:sz="0" w:space="0" w:color="auto"/>
        <w:right w:val="none" w:sz="0" w:space="0" w:color="auto"/>
      </w:divBdr>
      <w:divsChild>
        <w:div w:id="676346562">
          <w:marLeft w:val="0"/>
          <w:marRight w:val="0"/>
          <w:marTop w:val="0"/>
          <w:marBottom w:val="0"/>
          <w:divBdr>
            <w:top w:val="none" w:sz="0" w:space="0" w:color="auto"/>
            <w:left w:val="none" w:sz="0" w:space="0" w:color="auto"/>
            <w:bottom w:val="none" w:sz="0" w:space="0" w:color="auto"/>
            <w:right w:val="none" w:sz="0" w:space="0" w:color="auto"/>
          </w:divBdr>
          <w:divsChild>
            <w:div w:id="151526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yjud.lawbank.com.tw/judcontent.aspx?p=ExKZIgGGiQD19KUxjSulmXrorG3s9lsGTwT0dDyGfwsqh0knKVNrwYqMuP5AXQRwfCv0vCyMuOFBOulj0kx8eg%3d%3d" TargetMode="External"/><Relationship Id="rId18" Type="http://schemas.openxmlformats.org/officeDocument/2006/relationships/hyperlink" Target="https://db.lawbank.com.tw/FLAW/FLAWDOC04.aspx?lsid=FL001424&amp;lno=59&amp;ldate=20180613" TargetMode="External"/><Relationship Id="rId26" Type="http://schemas.openxmlformats.org/officeDocument/2006/relationships/hyperlink" Target="https://db.lawbank.com.tw/FLAW/FLAWDOC04.aspx?lsid=FL001424&amp;lno=57&amp;ldate=20200115" TargetMode="External"/><Relationship Id="rId39" Type="http://schemas.openxmlformats.org/officeDocument/2006/relationships/footer" Target="footer1.xml"/><Relationship Id="rId21" Type="http://schemas.openxmlformats.org/officeDocument/2006/relationships/hyperlink" Target="https://db.lawbank.com.tw/FLAW/FLAWDOC04.aspx?lsid=FL001424&amp;lno=59&amp;ldate=20180613" TargetMode="External"/><Relationship Id="rId34" Type="http://schemas.openxmlformats.org/officeDocument/2006/relationships/hyperlink" Target="https://db.lawbank.com.tw/FLAW/FLAWDOC04.aspx?lsid=FL001424&amp;lno=59&amp;ldate=20200115" TargetMode="External"/><Relationship Id="rId7" Type="http://schemas.openxmlformats.org/officeDocument/2006/relationships/footnotes" Target="footnotes.xml"/><Relationship Id="rId2" Type="http://schemas.openxmlformats.org/officeDocument/2006/relationships/customXml" Target="../customXml/item1.xml"/><Relationship Id="rId16" Type="http://schemas.openxmlformats.org/officeDocument/2006/relationships/hyperlink" Target="https://db.lawbank.com.tw/FLAW/FLAWDOC04.aspx?lsid=FL001424&amp;lno=55&amp;ldate=20180613" TargetMode="External"/><Relationship Id="rId20" Type="http://schemas.openxmlformats.org/officeDocument/2006/relationships/hyperlink" Target="https://db.lawbank.com.tw/FLAW/FLAWDOC04.aspx?lsid=FL001431&amp;lno=12&amp;ldate=20170614" TargetMode="External"/><Relationship Id="rId29" Type="http://schemas.openxmlformats.org/officeDocument/2006/relationships/hyperlink" Target="https://db.lawbank.com.tw/FLAW/FLAWDOC01.aspx?lsid=FL000001&amp;lno=8" TargetMode="External"/><Relationship Id="rId41"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s://db.lawbank.com.tw/FLAW/FLAWDAT01.aspx?lsid=FL001429" TargetMode="External"/><Relationship Id="rId24" Type="http://schemas.openxmlformats.org/officeDocument/2006/relationships/hyperlink" Target="https://db.lawbank.com.tw/FLAW/FLAWDOC04.aspx?lsid=FL001431&amp;lno=12&amp;ldate=20200115" TargetMode="External"/><Relationship Id="rId32" Type="http://schemas.openxmlformats.org/officeDocument/2006/relationships/hyperlink" Target="https://db.lawbank.com.tw/FLAW/FLAWDOC04.aspx?lsid=FL001431&amp;lno=17&amp;ldate=20200115" TargetMode="External"/><Relationship Id="rId37" Type="http://schemas.openxmlformats.org/officeDocument/2006/relationships/image" Target="media/image3.jpeg"/><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db.lawbank.com.tw/FLAW/FLAWDOC01.aspx?lsid=FL001429&amp;lno=2" TargetMode="External"/><Relationship Id="rId23" Type="http://schemas.openxmlformats.org/officeDocument/2006/relationships/hyperlink" Target="https://db.lawbank.com.tw/FLAW/FLAWDOC04.aspx?lsid=FL001431&amp;lno=12&amp;ldate=20200115" TargetMode="External"/><Relationship Id="rId28" Type="http://schemas.openxmlformats.org/officeDocument/2006/relationships/hyperlink" Target="https://db.lawbank.com.tw/FLAW/FLAWDOC04.aspx?lsid=FL001424&amp;lno=59&amp;ldate=20200115" TargetMode="External"/><Relationship Id="rId36" Type="http://schemas.openxmlformats.org/officeDocument/2006/relationships/image" Target="media/image2.jpeg"/><Relationship Id="rId10" Type="http://schemas.openxmlformats.org/officeDocument/2006/relationships/hyperlink" Target="https://db.lawbank.com.tw/FLAW/FLAWDAT01.aspx?lsid=FL001431" TargetMode="External"/><Relationship Id="rId19" Type="http://schemas.openxmlformats.org/officeDocument/2006/relationships/hyperlink" Target="https://db.lawbank.com.tw/FLAW/FLAWDOC04.aspx?lsid=FL001424&amp;lno=59&amp;ldate=20180613" TargetMode="External"/><Relationship Id="rId31" Type="http://schemas.openxmlformats.org/officeDocument/2006/relationships/hyperlink" Target="https://db.lawbank.com.tw/FLAW/FLAWDOC04.aspx?lsid=FL001424&amp;lno=59&amp;ldate=20200115" TargetMode="External"/><Relationship Id="rId4" Type="http://schemas.openxmlformats.org/officeDocument/2006/relationships/styles" Target="styles.xml"/><Relationship Id="rId9" Type="http://schemas.openxmlformats.org/officeDocument/2006/relationships/hyperlink" Target="https://fyjud.lawbank.com.tw/judcontent.aspx?p=TVPaN%2b2wHeYpdNSZ0xyywpicAS4rb6KN0cxBmhhE5Sbm%2fPSUBY4sUS4oZ3MqjMceheKrk4NmIhGvgAkMQHY2WQ%3d%3d" TargetMode="External"/><Relationship Id="rId14" Type="http://schemas.openxmlformats.org/officeDocument/2006/relationships/hyperlink" Target="https://db.lawbank.com.tw/FLAW/FLAWDOC04.aspx?lsid=FL001431&amp;lno=13&amp;ldate=20170614" TargetMode="External"/><Relationship Id="rId22" Type="http://schemas.openxmlformats.org/officeDocument/2006/relationships/hyperlink" Target="https://db.lawbank.com.tw/FLAW/FLAWDOC04.aspx?lsid=FL001424&amp;lno=57&amp;ldate=20200115" TargetMode="External"/><Relationship Id="rId27" Type="http://schemas.openxmlformats.org/officeDocument/2006/relationships/hyperlink" Target="https://db.lawbank.com.tw/FLAW/FLAWDOC04.aspx?lsid=FL001431&amp;lno=12&amp;ldate=20200115" TargetMode="External"/><Relationship Id="rId30" Type="http://schemas.openxmlformats.org/officeDocument/2006/relationships/hyperlink" Target="https://db.lawbank.com.tw/FLAW/FLAWDOC01.aspx?lsid=FL000001&amp;lno=23" TargetMode="External"/><Relationship Id="rId35" Type="http://schemas.openxmlformats.org/officeDocument/2006/relationships/image" Target="media/image1.jpeg"/><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s://db.lawbank.com.tw/FLAW/FLAWDOC04.aspx?lsid=FL001431&amp;lno=12&amp;ldate=20170614" TargetMode="External"/><Relationship Id="rId17" Type="http://schemas.openxmlformats.org/officeDocument/2006/relationships/hyperlink" Target="https://db.lawbank.com.tw/FLAW/FLAWDOC04.aspx?lsid=FL001431&amp;lno=12&amp;ldate=20170614" TargetMode="External"/><Relationship Id="rId25" Type="http://schemas.openxmlformats.org/officeDocument/2006/relationships/hyperlink" Target="https://db.lawbank.com.tw/FLAW/FLAWDOC04.aspx?lsid=FL001424&amp;lno=59&amp;ldate=20200115" TargetMode="External"/><Relationship Id="rId33" Type="http://schemas.openxmlformats.org/officeDocument/2006/relationships/hyperlink" Target="https://db.lawbank.com.tw/FLAW/FLAWDOC04.aspx?lsid=FL001424&amp;lno=59&amp;ldate=20200115" TargetMode="External"/><Relationship Id="rId38" Type="http://schemas.openxmlformats.org/officeDocument/2006/relationships/image" Target="media/image4.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949C7E-8844-4BBD-91EC-6C1DE0CFA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52</Pages>
  <Words>4368</Words>
  <Characters>24902</Characters>
  <Application>Microsoft Office Word</Application>
  <DocSecurity>0</DocSecurity>
  <Lines>207</Lines>
  <Paragraphs>58</Paragraphs>
  <ScaleCrop>false</ScaleCrop>
  <Company/>
  <LinksUpToDate>false</LinksUpToDate>
  <CharactersWithSpaces>29212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2026-03-12T08:09:00Z</dcterms:created>
  <dcterms:modified xsi:type="dcterms:W3CDTF">2026-03-12T08:09:00Z</dcterms:modified>
  <cp:contentStatus/>
</cp:coreProperties>
</file>