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77690" w14:textId="310DC1AA" w:rsidR="00D75644" w:rsidRPr="00535039" w:rsidRDefault="00166DB4" w:rsidP="00F37D7B">
      <w:pPr>
        <w:pStyle w:val="af2"/>
        <w:rPr>
          <w:rFonts w:hAnsi="標楷體"/>
        </w:rPr>
      </w:pPr>
      <w:r w:rsidRPr="00535039">
        <w:rPr>
          <w:rFonts w:hAnsi="標楷體" w:hint="eastAsia"/>
        </w:rPr>
        <w:t>調查</w:t>
      </w:r>
      <w:r w:rsidR="00EC0CBB">
        <w:rPr>
          <w:rFonts w:hAnsi="標楷體" w:hint="eastAsia"/>
        </w:rPr>
        <w:t>意見</w:t>
      </w:r>
    </w:p>
    <w:p w14:paraId="276FDEEB" w14:textId="77777777" w:rsidR="00E25849" w:rsidRPr="00535039"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35039">
        <w:rPr>
          <w:rFonts w:hAnsi="標楷體" w:hint="eastAsia"/>
        </w:rPr>
        <w:t>案　　由：</w:t>
      </w:r>
      <w:bookmarkEnd w:id="0"/>
      <w:bookmarkEnd w:id="1"/>
      <w:bookmarkEnd w:id="2"/>
      <w:bookmarkEnd w:id="3"/>
      <w:bookmarkEnd w:id="4"/>
      <w:bookmarkEnd w:id="5"/>
      <w:bookmarkEnd w:id="6"/>
      <w:bookmarkEnd w:id="7"/>
      <w:bookmarkEnd w:id="8"/>
      <w:bookmarkEnd w:id="9"/>
      <w:r w:rsidR="00A12C5C" w:rsidRPr="00535039">
        <w:rPr>
          <w:rFonts w:hAnsi="標楷體" w:hint="eastAsia"/>
        </w:rPr>
        <w:t>近年國際逐漸重視塑膠微粒及塑化劑對於環境與生物之危害，並持續研究其對人體健康之影響。究</w:t>
      </w:r>
      <w:bookmarkStart w:id="25" w:name="_Hlk191978872"/>
      <w:r w:rsidR="00A12C5C" w:rsidRPr="00535039">
        <w:rPr>
          <w:rFonts w:hAnsi="標楷體" w:hint="eastAsia"/>
        </w:rPr>
        <w:t>相關主管機關對於國人暴露風險及健康潛在影響，有否順應國際趨勢</w:t>
      </w:r>
      <w:proofErr w:type="gramStart"/>
      <w:r w:rsidR="00A12C5C" w:rsidRPr="00535039">
        <w:rPr>
          <w:rFonts w:hAnsi="標楷體" w:hint="eastAsia"/>
        </w:rPr>
        <w:t>研</w:t>
      </w:r>
      <w:proofErr w:type="gramEnd"/>
      <w:r w:rsidR="00A12C5C" w:rsidRPr="00535039">
        <w:rPr>
          <w:rFonts w:hAnsi="標楷體" w:hint="eastAsia"/>
        </w:rPr>
        <w:t>擬因應作為並進行相關研究？</w:t>
      </w:r>
      <w:bookmarkEnd w:id="25"/>
      <w:r w:rsidR="00A12C5C" w:rsidRPr="00535039">
        <w:rPr>
          <w:rFonts w:hAnsi="標楷體" w:hint="eastAsia"/>
        </w:rPr>
        <w:t>減少暴露風險之機制與政策是否妥適？有無積極降低食（用）品中塑化劑含量？應否建立相關消費風險警示？</w:t>
      </w:r>
      <w:proofErr w:type="gramStart"/>
      <w:r w:rsidR="00A12C5C" w:rsidRPr="00535039">
        <w:rPr>
          <w:rFonts w:hAnsi="標楷體" w:hint="eastAsia"/>
        </w:rPr>
        <w:t>均有深入</w:t>
      </w:r>
      <w:proofErr w:type="gramEnd"/>
      <w:r w:rsidR="00A12C5C" w:rsidRPr="00535039">
        <w:rPr>
          <w:rFonts w:hAnsi="標楷體" w:hint="eastAsia"/>
        </w:rPr>
        <w:t>瞭解之必要案。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566E6DFC" w14:textId="366B7647" w:rsidR="004D675F" w:rsidRPr="00535039" w:rsidRDefault="004D675F" w:rsidP="004E05A1">
      <w:pPr>
        <w:pStyle w:val="1"/>
        <w:ind w:left="2380" w:hanging="2380"/>
        <w:rPr>
          <w:rFonts w:hAnsi="標楷體"/>
        </w:rPr>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End w:id="26"/>
      <w:bookmarkEnd w:id="27"/>
      <w:bookmarkEnd w:id="28"/>
      <w:bookmarkEnd w:id="29"/>
      <w:bookmarkEnd w:id="30"/>
      <w:bookmarkEnd w:id="31"/>
      <w:bookmarkEnd w:id="32"/>
      <w:bookmarkEnd w:id="33"/>
      <w:bookmarkEnd w:id="34"/>
      <w:bookmarkEnd w:id="35"/>
      <w:r w:rsidRPr="00535039">
        <w:rPr>
          <w:rFonts w:hAnsi="標楷體" w:hint="eastAsia"/>
        </w:rPr>
        <w:t>調查意見：</w:t>
      </w:r>
    </w:p>
    <w:p w14:paraId="70F34D88" w14:textId="1FCFCAA3" w:rsidR="004F1EAF" w:rsidRPr="00535039" w:rsidRDefault="004F1EAF" w:rsidP="004F1EAF">
      <w:pPr>
        <w:pStyle w:val="10"/>
        <w:ind w:left="680" w:firstLine="680"/>
        <w:rPr>
          <w:rFonts w:hAnsi="標楷體"/>
        </w:rPr>
      </w:pPr>
      <w:r w:rsidRPr="00535039">
        <w:rPr>
          <w:rFonts w:hAnsi="標楷體" w:hint="eastAsia"/>
        </w:rPr>
        <w:t>本案經調閱衛生福利部（下稱衛福部）、環境部、經濟部、行政院消費者保護處（下稱行政院消保處）等機關卷證資料，復於民國（下同）114年6月17日諮詢學者專家，再於114年10月15日詢問行政院消保處、</w:t>
      </w:r>
      <w:proofErr w:type="gramStart"/>
      <w:r w:rsidRPr="00535039">
        <w:rPr>
          <w:rFonts w:hAnsi="標楷體" w:hint="eastAsia"/>
        </w:rPr>
        <w:t>環境部</w:t>
      </w:r>
      <w:r w:rsidR="002620FE" w:rsidRPr="00535039">
        <w:rPr>
          <w:rFonts w:hAnsi="標楷體" w:hint="eastAsia"/>
        </w:rPr>
        <w:t>及國家</w:t>
      </w:r>
      <w:proofErr w:type="gramEnd"/>
      <w:r w:rsidR="002620FE" w:rsidRPr="00535039">
        <w:rPr>
          <w:rFonts w:hAnsi="標楷體" w:hint="eastAsia"/>
        </w:rPr>
        <w:t>環境研究院（下稱國環院）</w:t>
      </w:r>
      <w:r w:rsidRPr="00535039">
        <w:rPr>
          <w:rFonts w:hAnsi="標楷體" w:hint="eastAsia"/>
        </w:rPr>
        <w:t>、海洋委員會（下稱海委會）海洋保育署（下稱海保署）</w:t>
      </w:r>
      <w:r w:rsidR="002620FE" w:rsidRPr="00535039">
        <w:rPr>
          <w:rFonts w:hAnsi="標楷體" w:hint="eastAsia"/>
        </w:rPr>
        <w:t>及</w:t>
      </w:r>
      <w:r w:rsidRPr="00535039">
        <w:rPr>
          <w:rFonts w:hAnsi="標楷體" w:hint="eastAsia"/>
        </w:rPr>
        <w:t>國家海洋研究院</w:t>
      </w:r>
      <w:r w:rsidR="002620FE" w:rsidRPr="00535039">
        <w:rPr>
          <w:rFonts w:hAnsi="標楷體" w:hint="eastAsia"/>
        </w:rPr>
        <w:t>（下稱國海院）</w:t>
      </w:r>
      <w:r w:rsidRPr="00535039">
        <w:rPr>
          <w:rFonts w:hAnsi="標楷體" w:hint="eastAsia"/>
        </w:rPr>
        <w:t>、</w:t>
      </w:r>
      <w:proofErr w:type="gramStart"/>
      <w:r w:rsidRPr="00535039">
        <w:rPr>
          <w:rFonts w:hAnsi="標楷體" w:hint="eastAsia"/>
        </w:rPr>
        <w:t>衛福部</w:t>
      </w:r>
      <w:proofErr w:type="gramEnd"/>
      <w:r w:rsidRPr="00535039">
        <w:rPr>
          <w:rFonts w:hAnsi="標楷體" w:hint="eastAsia"/>
        </w:rPr>
        <w:t>食品藥物管理署（下稱食藥署）</w:t>
      </w:r>
      <w:r w:rsidR="002620FE" w:rsidRPr="00535039">
        <w:rPr>
          <w:rFonts w:hAnsi="標楷體" w:hint="eastAsia"/>
        </w:rPr>
        <w:t>及</w:t>
      </w:r>
      <w:r w:rsidR="00A94EC0" w:rsidRPr="00535039">
        <w:rPr>
          <w:rFonts w:hAnsi="標楷體" w:hint="eastAsia"/>
        </w:rPr>
        <w:t>國家衛生研究院</w:t>
      </w:r>
      <w:r w:rsidR="002620FE" w:rsidRPr="00535039">
        <w:rPr>
          <w:rFonts w:hAnsi="標楷體" w:hint="eastAsia"/>
        </w:rPr>
        <w:t>（下稱國衛院）與</w:t>
      </w:r>
      <w:r w:rsidRPr="00535039">
        <w:rPr>
          <w:rFonts w:hAnsi="標楷體" w:hint="eastAsia"/>
        </w:rPr>
        <w:t>經濟部標準檢驗局（下稱標準局）等相關人員後，已調查完畢，茲</w:t>
      </w:r>
      <w:r w:rsidR="00A94EC0" w:rsidRPr="00535039">
        <w:rPr>
          <w:rFonts w:hAnsi="標楷體" w:hint="eastAsia"/>
        </w:rPr>
        <w:t>提出調查意見</w:t>
      </w:r>
      <w:r w:rsidRPr="00535039">
        <w:rPr>
          <w:rFonts w:hAnsi="標楷體" w:hint="eastAsia"/>
        </w:rPr>
        <w:t>如下：</w:t>
      </w:r>
    </w:p>
    <w:p w14:paraId="221DEBFF" w14:textId="0E8F883B" w:rsidR="004F1EAF" w:rsidRPr="00535039" w:rsidRDefault="00C90189" w:rsidP="00586255">
      <w:pPr>
        <w:pStyle w:val="2"/>
        <w:rPr>
          <w:rFonts w:hAnsi="標楷體"/>
          <w:b/>
          <w:bCs w:val="0"/>
        </w:rPr>
      </w:pPr>
      <w:proofErr w:type="gramStart"/>
      <w:r w:rsidRPr="00535039">
        <w:rPr>
          <w:rFonts w:hAnsi="標楷體" w:hint="eastAsia"/>
          <w:b/>
          <w:bCs w:val="0"/>
        </w:rPr>
        <w:t>環境部</w:t>
      </w:r>
      <w:r w:rsidR="0051331A" w:rsidRPr="00535039">
        <w:rPr>
          <w:rFonts w:hAnsi="標楷體" w:hint="eastAsia"/>
          <w:b/>
          <w:bCs w:val="0"/>
        </w:rPr>
        <w:t>於105年</w:t>
      </w:r>
      <w:proofErr w:type="gramEnd"/>
      <w:r w:rsidR="0051331A" w:rsidRPr="00535039">
        <w:rPr>
          <w:rFonts w:hAnsi="標楷體" w:hint="eastAsia"/>
          <w:b/>
          <w:bCs w:val="0"/>
        </w:rPr>
        <w:t>及107年執行臺灣近海或沙灘塑膠微粒調查，</w:t>
      </w:r>
      <w:proofErr w:type="gramStart"/>
      <w:r w:rsidR="0051331A" w:rsidRPr="00535039">
        <w:rPr>
          <w:rFonts w:hAnsi="標楷體" w:hint="eastAsia"/>
          <w:b/>
          <w:bCs w:val="0"/>
        </w:rPr>
        <w:t>海委會</w:t>
      </w:r>
      <w:proofErr w:type="gramEnd"/>
      <w:r w:rsidR="0051331A" w:rsidRPr="00535039">
        <w:rPr>
          <w:rFonts w:hAnsi="標楷體" w:hint="eastAsia"/>
          <w:b/>
          <w:bCs w:val="0"/>
        </w:rPr>
        <w:t>則自109年起</w:t>
      </w:r>
      <w:r w:rsidR="006B1BAB" w:rsidRPr="00535039">
        <w:rPr>
          <w:rFonts w:hAnsi="標楷體" w:hint="eastAsia"/>
          <w:b/>
          <w:bCs w:val="0"/>
        </w:rPr>
        <w:t>對河川出海口處海水及生物體之塑膠微粒調查</w:t>
      </w:r>
      <w:r w:rsidR="00950075" w:rsidRPr="00535039">
        <w:rPr>
          <w:rFonts w:hAnsi="標楷體" w:hint="eastAsia"/>
          <w:b/>
          <w:bCs w:val="0"/>
        </w:rPr>
        <w:t>，</w:t>
      </w:r>
      <w:r w:rsidR="00287167" w:rsidRPr="00535039">
        <w:rPr>
          <w:rFonts w:hAnsi="標楷體" w:hint="eastAsia"/>
          <w:b/>
          <w:bCs w:val="0"/>
        </w:rPr>
        <w:t>均認定與</w:t>
      </w:r>
      <w:r w:rsidR="00287167" w:rsidRPr="00535039">
        <w:rPr>
          <w:rFonts w:hAnsi="標楷體" w:hint="eastAsia"/>
          <w:b/>
          <w:bCs w:val="0"/>
          <w:lang w:eastAsia="zh-HK"/>
        </w:rPr>
        <w:t>國際調查研究結果相當，</w:t>
      </w:r>
      <w:proofErr w:type="gramStart"/>
      <w:r w:rsidR="00287167" w:rsidRPr="00535039">
        <w:rPr>
          <w:rFonts w:hAnsi="標楷體" w:hint="eastAsia"/>
          <w:b/>
          <w:bCs w:val="0"/>
          <w:lang w:eastAsia="zh-HK"/>
        </w:rPr>
        <w:t>然查</w:t>
      </w:r>
      <w:proofErr w:type="gramEnd"/>
      <w:r w:rsidR="00CC3597">
        <w:rPr>
          <w:rFonts w:hAnsi="標楷體" w:hint="eastAsia"/>
          <w:b/>
          <w:bCs w:val="0"/>
          <w:lang w:eastAsia="zh-HK"/>
        </w:rPr>
        <w:t>二機關之</w:t>
      </w:r>
      <w:r w:rsidR="00950075" w:rsidRPr="00535039">
        <w:rPr>
          <w:rFonts w:hAnsi="標楷體" w:hint="eastAsia"/>
          <w:b/>
          <w:bCs w:val="0"/>
          <w:lang w:eastAsia="zh-HK"/>
        </w:rPr>
        <w:t>調查</w:t>
      </w:r>
      <w:r w:rsidR="00287167" w:rsidRPr="00535039">
        <w:rPr>
          <w:rFonts w:hAnsi="標楷體" w:hint="eastAsia"/>
          <w:b/>
          <w:bCs w:val="0"/>
          <w:lang w:eastAsia="zh-HK"/>
        </w:rPr>
        <w:t>結果差異</w:t>
      </w:r>
      <w:r w:rsidR="00287167" w:rsidRPr="00535039">
        <w:rPr>
          <w:rFonts w:hAnsi="標楷體" w:hint="eastAsia"/>
          <w:b/>
          <w:bCs w:val="0"/>
        </w:rPr>
        <w:t>極</w:t>
      </w:r>
      <w:r w:rsidR="00287167" w:rsidRPr="00535039">
        <w:rPr>
          <w:rFonts w:hAnsi="標楷體" w:hint="eastAsia"/>
          <w:b/>
          <w:bCs w:val="0"/>
          <w:lang w:eastAsia="zh-HK"/>
        </w:rPr>
        <w:t>大，究其原因係塑膠微粒成分及型態、</w:t>
      </w:r>
      <w:proofErr w:type="gramStart"/>
      <w:r w:rsidRPr="00535039">
        <w:rPr>
          <w:rFonts w:hAnsi="標楷體" w:hint="eastAsia"/>
          <w:b/>
          <w:bCs w:val="0"/>
        </w:rPr>
        <w:t>採</w:t>
      </w:r>
      <w:proofErr w:type="gramEnd"/>
      <w:r w:rsidRPr="00535039">
        <w:rPr>
          <w:rFonts w:hAnsi="標楷體" w:hint="eastAsia"/>
          <w:b/>
          <w:bCs w:val="0"/>
        </w:rPr>
        <w:t>樣地點</w:t>
      </w:r>
      <w:r w:rsidR="00287167" w:rsidRPr="00535039">
        <w:rPr>
          <w:rFonts w:hAnsi="標楷體" w:hint="eastAsia"/>
          <w:b/>
          <w:bCs w:val="0"/>
        </w:rPr>
        <w:t>及方式、</w:t>
      </w:r>
      <w:r w:rsidRPr="00535039">
        <w:rPr>
          <w:rFonts w:hAnsi="標楷體" w:hint="eastAsia"/>
          <w:b/>
          <w:bCs w:val="0"/>
        </w:rPr>
        <w:t>檢驗方法</w:t>
      </w:r>
      <w:r w:rsidR="00287167" w:rsidRPr="00535039">
        <w:rPr>
          <w:rFonts w:hAnsi="標楷體" w:hint="eastAsia"/>
          <w:b/>
          <w:bCs w:val="0"/>
        </w:rPr>
        <w:t>等諸多</w:t>
      </w:r>
      <w:r w:rsidR="00CC3597" w:rsidRPr="00535039">
        <w:rPr>
          <w:rFonts w:hAnsi="標楷體" w:hint="eastAsia"/>
          <w:b/>
          <w:bCs w:val="0"/>
        </w:rPr>
        <w:t>因素</w:t>
      </w:r>
      <w:r w:rsidR="00287167" w:rsidRPr="00535039">
        <w:rPr>
          <w:rFonts w:hAnsi="標楷體" w:hint="eastAsia"/>
          <w:b/>
          <w:bCs w:val="0"/>
        </w:rPr>
        <w:t>不同</w:t>
      </w:r>
      <w:r w:rsidR="0081045C" w:rsidRPr="00535039">
        <w:rPr>
          <w:rFonts w:hAnsi="標楷體" w:hint="eastAsia"/>
          <w:b/>
          <w:bCs w:val="0"/>
        </w:rPr>
        <w:t>所致，因而各部會調查</w:t>
      </w:r>
      <w:proofErr w:type="gramStart"/>
      <w:r w:rsidR="0081045C" w:rsidRPr="00535039">
        <w:rPr>
          <w:rFonts w:hAnsi="標楷體" w:hint="eastAsia"/>
          <w:b/>
          <w:bCs w:val="0"/>
        </w:rPr>
        <w:t>成果間及國際</w:t>
      </w:r>
      <w:proofErr w:type="gramEnd"/>
      <w:r w:rsidR="0081045C" w:rsidRPr="00535039">
        <w:rPr>
          <w:rFonts w:hAnsi="標楷體" w:hint="eastAsia"/>
          <w:b/>
          <w:bCs w:val="0"/>
        </w:rPr>
        <w:t>研究數據之比較</w:t>
      </w:r>
      <w:proofErr w:type="gramStart"/>
      <w:r w:rsidR="0081045C" w:rsidRPr="00535039">
        <w:rPr>
          <w:rFonts w:hAnsi="標楷體" w:hint="eastAsia"/>
          <w:b/>
          <w:bCs w:val="0"/>
        </w:rPr>
        <w:t>基礎</w:t>
      </w:r>
      <w:r w:rsidR="00CC3597">
        <w:rPr>
          <w:rFonts w:hAnsi="標楷體" w:hint="eastAsia"/>
          <w:b/>
          <w:bCs w:val="0"/>
        </w:rPr>
        <w:t>既</w:t>
      </w:r>
      <w:r w:rsidR="0081045C" w:rsidRPr="00535039">
        <w:rPr>
          <w:rFonts w:hAnsi="標楷體" w:hint="eastAsia"/>
          <w:b/>
          <w:bCs w:val="0"/>
        </w:rPr>
        <w:t>顯有</w:t>
      </w:r>
      <w:proofErr w:type="gramEnd"/>
      <w:r w:rsidR="0081045C" w:rsidRPr="00535039">
        <w:rPr>
          <w:rFonts w:hAnsi="標楷體" w:hint="eastAsia"/>
          <w:b/>
          <w:bCs w:val="0"/>
        </w:rPr>
        <w:t>落差</w:t>
      </w:r>
      <w:r w:rsidR="00C15D6E" w:rsidRPr="00535039">
        <w:rPr>
          <w:rFonts w:hAnsi="標楷體" w:hint="eastAsia"/>
          <w:b/>
          <w:bCs w:val="0"/>
        </w:rPr>
        <w:t>，</w:t>
      </w:r>
      <w:r w:rsidR="007C53BD">
        <w:rPr>
          <w:rFonts w:hAnsi="標楷體" w:hint="eastAsia"/>
          <w:b/>
          <w:bCs w:val="0"/>
        </w:rPr>
        <w:t>自</w:t>
      </w:r>
      <w:r w:rsidR="00616509" w:rsidRPr="00535039">
        <w:rPr>
          <w:rFonts w:hAnsi="標楷體" w:hint="eastAsia"/>
          <w:b/>
          <w:bCs w:val="0"/>
        </w:rPr>
        <w:t>難以相互比較印證</w:t>
      </w:r>
      <w:r w:rsidR="00672CA3" w:rsidRPr="00535039">
        <w:rPr>
          <w:rFonts w:hAnsi="標楷體" w:hint="eastAsia"/>
          <w:b/>
          <w:bCs w:val="0"/>
        </w:rPr>
        <w:t>且無從</w:t>
      </w:r>
      <w:r w:rsidR="00616509" w:rsidRPr="00535039">
        <w:rPr>
          <w:rFonts w:hAnsi="標楷體" w:hint="eastAsia"/>
          <w:b/>
          <w:bCs w:val="0"/>
        </w:rPr>
        <w:t>追蹤塑膠微粒於</w:t>
      </w:r>
      <w:r w:rsidR="00466A3C">
        <w:rPr>
          <w:rFonts w:hAnsi="標楷體" w:hint="eastAsia"/>
          <w:b/>
          <w:bCs w:val="0"/>
        </w:rPr>
        <w:t>國內</w:t>
      </w:r>
      <w:r w:rsidR="00616509" w:rsidRPr="00535039">
        <w:rPr>
          <w:rFonts w:hAnsi="標楷體" w:hint="eastAsia"/>
          <w:b/>
          <w:bCs w:val="0"/>
        </w:rPr>
        <w:t>環境中長期間存在及累積等變化情形</w:t>
      </w:r>
      <w:r w:rsidR="00C15D6E" w:rsidRPr="00535039">
        <w:rPr>
          <w:rFonts w:hAnsi="標楷體" w:hint="eastAsia"/>
          <w:b/>
          <w:bCs w:val="0"/>
        </w:rPr>
        <w:t>。</w:t>
      </w:r>
      <w:proofErr w:type="gramStart"/>
      <w:r w:rsidR="001954CB">
        <w:rPr>
          <w:rFonts w:hAnsi="標楷體" w:hint="eastAsia"/>
          <w:b/>
          <w:bCs w:val="0"/>
        </w:rPr>
        <w:t>爰</w:t>
      </w:r>
      <w:proofErr w:type="gramEnd"/>
      <w:r w:rsidR="00BF7619" w:rsidRPr="00535039">
        <w:rPr>
          <w:rFonts w:hAnsi="標楷體" w:hint="eastAsia"/>
          <w:b/>
          <w:bCs w:val="0"/>
        </w:rPr>
        <w:t>環境</w:t>
      </w:r>
      <w:proofErr w:type="gramStart"/>
      <w:r w:rsidR="00BF7619" w:rsidRPr="00535039">
        <w:rPr>
          <w:rFonts w:hAnsi="標楷體" w:hint="eastAsia"/>
          <w:b/>
          <w:bCs w:val="0"/>
        </w:rPr>
        <w:t>部及海委會允</w:t>
      </w:r>
      <w:proofErr w:type="gramEnd"/>
      <w:r w:rsidR="00BF7619" w:rsidRPr="00535039">
        <w:rPr>
          <w:rFonts w:hAnsi="標楷體" w:hint="eastAsia"/>
          <w:b/>
          <w:bCs w:val="0"/>
        </w:rPr>
        <w:t>宜整合相關</w:t>
      </w:r>
      <w:r w:rsidR="00B338D6" w:rsidRPr="00535039">
        <w:rPr>
          <w:rFonts w:hAnsi="標楷體" w:hint="eastAsia"/>
          <w:b/>
          <w:bCs w:val="0"/>
        </w:rPr>
        <w:t>資源</w:t>
      </w:r>
      <w:r w:rsidR="00B338D6" w:rsidRPr="00535039">
        <w:rPr>
          <w:rFonts w:hAnsi="標楷體" w:hint="eastAsia"/>
          <w:b/>
          <w:bCs w:val="0"/>
        </w:rPr>
        <w:lastRenderedPageBreak/>
        <w:t>並</w:t>
      </w:r>
      <w:r w:rsidR="009015A2" w:rsidRPr="00535039">
        <w:rPr>
          <w:rFonts w:hAnsi="標楷體" w:hint="eastAsia"/>
          <w:b/>
          <w:bCs w:val="0"/>
        </w:rPr>
        <w:t>完備</w:t>
      </w:r>
      <w:r w:rsidR="00B338D6" w:rsidRPr="00535039">
        <w:rPr>
          <w:rFonts w:hAnsi="標楷體" w:hint="eastAsia"/>
          <w:b/>
          <w:bCs w:val="0"/>
        </w:rPr>
        <w:t>檢測技術，</w:t>
      </w:r>
      <w:r w:rsidR="005E2282" w:rsidRPr="00535039">
        <w:rPr>
          <w:rFonts w:hAnsi="標楷體" w:hint="eastAsia"/>
          <w:b/>
          <w:bCs w:val="0"/>
        </w:rPr>
        <w:t>逐步調查並建立</w:t>
      </w:r>
      <w:r w:rsidR="009015A2" w:rsidRPr="00535039">
        <w:rPr>
          <w:rFonts w:hAnsi="標楷體" w:hint="eastAsia"/>
          <w:b/>
          <w:bCs w:val="0"/>
        </w:rPr>
        <w:t>臺灣海域、</w:t>
      </w:r>
      <w:r w:rsidR="007E6847" w:rsidRPr="00535039">
        <w:rPr>
          <w:rFonts w:hAnsi="標楷體" w:hint="eastAsia"/>
          <w:b/>
          <w:bCs w:val="0"/>
        </w:rPr>
        <w:t>地面水體</w:t>
      </w:r>
      <w:r w:rsidR="009015A2" w:rsidRPr="00535039">
        <w:rPr>
          <w:rFonts w:hAnsi="標楷體" w:hint="eastAsia"/>
          <w:b/>
          <w:bCs w:val="0"/>
        </w:rPr>
        <w:t>及</w:t>
      </w:r>
      <w:r w:rsidR="007E6847" w:rsidRPr="00535039">
        <w:rPr>
          <w:rFonts w:hAnsi="標楷體" w:hint="eastAsia"/>
          <w:b/>
          <w:bCs w:val="0"/>
        </w:rPr>
        <w:t>指標生物</w:t>
      </w:r>
      <w:r w:rsidR="009015A2" w:rsidRPr="00535039">
        <w:rPr>
          <w:rFonts w:hAnsi="標楷體" w:hint="eastAsia"/>
          <w:b/>
          <w:bCs w:val="0"/>
        </w:rPr>
        <w:t>之塑膠微粒環境背景資料，</w:t>
      </w:r>
      <w:proofErr w:type="gramStart"/>
      <w:r w:rsidR="005E2282" w:rsidRPr="00535039">
        <w:rPr>
          <w:rFonts w:hAnsi="標楷體" w:hint="eastAsia"/>
          <w:b/>
          <w:bCs w:val="0"/>
        </w:rPr>
        <w:t>俾</w:t>
      </w:r>
      <w:proofErr w:type="gramEnd"/>
      <w:r w:rsidR="007E6847" w:rsidRPr="00535039">
        <w:rPr>
          <w:rFonts w:hAnsi="標楷體" w:hint="eastAsia"/>
          <w:b/>
          <w:bCs w:val="0"/>
        </w:rPr>
        <w:t>掌握塑膠微粒於環境流布及食物鏈累積情形，</w:t>
      </w:r>
      <w:r w:rsidR="00FC0224" w:rsidRPr="00535039">
        <w:rPr>
          <w:rFonts w:hAnsi="標楷體" w:hint="eastAsia"/>
          <w:b/>
          <w:bCs w:val="0"/>
        </w:rPr>
        <w:t>以</w:t>
      </w:r>
      <w:r w:rsidR="005E2282" w:rsidRPr="00535039">
        <w:rPr>
          <w:rFonts w:hAnsi="標楷體" w:hint="eastAsia"/>
          <w:b/>
          <w:bCs w:val="0"/>
        </w:rPr>
        <w:t>作為行政管制措施</w:t>
      </w:r>
      <w:proofErr w:type="gramStart"/>
      <w:r w:rsidR="005E2282" w:rsidRPr="00535039">
        <w:rPr>
          <w:rFonts w:hAnsi="標楷體" w:hint="eastAsia"/>
          <w:b/>
          <w:bCs w:val="0"/>
        </w:rPr>
        <w:t>之</w:t>
      </w:r>
      <w:r w:rsidR="00404BF8" w:rsidRPr="00535039">
        <w:rPr>
          <w:rFonts w:hAnsi="標楷體" w:hint="eastAsia"/>
          <w:b/>
          <w:bCs w:val="0"/>
        </w:rPr>
        <w:t>參</w:t>
      </w:r>
      <w:r w:rsidR="005E2282" w:rsidRPr="00535039">
        <w:rPr>
          <w:rFonts w:hAnsi="標楷體" w:hint="eastAsia"/>
          <w:b/>
          <w:bCs w:val="0"/>
        </w:rPr>
        <w:t>據</w:t>
      </w:r>
      <w:proofErr w:type="gramEnd"/>
      <w:r w:rsidR="005E2282" w:rsidRPr="00535039">
        <w:rPr>
          <w:rFonts w:hAnsi="標楷體" w:hint="eastAsia"/>
          <w:b/>
          <w:bCs w:val="0"/>
        </w:rPr>
        <w:t>，減少塑膠微粒之危害風險。</w:t>
      </w:r>
    </w:p>
    <w:p w14:paraId="321B9B94" w14:textId="44A42393" w:rsidR="003F4C54" w:rsidRPr="00535039" w:rsidRDefault="003F4C54" w:rsidP="00FE691E">
      <w:pPr>
        <w:pStyle w:val="3"/>
        <w:rPr>
          <w:rFonts w:hAnsi="標楷體"/>
        </w:rPr>
      </w:pPr>
      <w:r w:rsidRPr="00535039">
        <w:rPr>
          <w:rFonts w:hAnsi="標楷體" w:hint="eastAsia"/>
        </w:rPr>
        <w:t>根據美國國家海洋暨大氣總署（National Oceanic and Atmospheric Administration, NOAA）所定義，所謂塑膠微粒</w:t>
      </w:r>
      <w:r w:rsidR="00D71EEC" w:rsidRPr="00535039">
        <w:rPr>
          <w:rFonts w:hAnsi="標楷體" w:hint="eastAsia"/>
          <w:bCs w:val="0"/>
        </w:rPr>
        <w:t>（或稱微型塑膠、微塑膠、微塑料）</w:t>
      </w:r>
      <w:r w:rsidRPr="00535039">
        <w:rPr>
          <w:rFonts w:hAnsi="標楷體" w:hint="eastAsia"/>
        </w:rPr>
        <w:t>為尺寸小於5毫米（millimeters, mm）之微小塑膠碎片，可能是原本製成就很小的初級（Primary）塑膠，或是從較大塑膠分解而來的次級（Secondary）塑膠，常見型態有顆粒、碎片、薄片與纖維等。</w:t>
      </w:r>
      <w:r w:rsidR="001143D9" w:rsidRPr="00535039">
        <w:rPr>
          <w:rFonts w:hAnsi="標楷體" w:hint="eastAsia"/>
        </w:rPr>
        <w:t>常見的塑膠微粒材質有六種，分別為：聚丙烯（PP）、聚乙烯（PE）、</w:t>
      </w:r>
      <w:proofErr w:type="gramStart"/>
      <w:r w:rsidR="001143D9" w:rsidRPr="00535039">
        <w:rPr>
          <w:rFonts w:hAnsi="標楷體" w:hint="eastAsia"/>
        </w:rPr>
        <w:t>聚對苯</w:t>
      </w:r>
      <w:proofErr w:type="gramEnd"/>
      <w:r w:rsidR="001143D9" w:rsidRPr="00535039">
        <w:rPr>
          <w:rFonts w:hAnsi="標楷體" w:hint="eastAsia"/>
        </w:rPr>
        <w:t>二甲酸</w:t>
      </w:r>
      <w:proofErr w:type="gramStart"/>
      <w:r w:rsidR="001143D9" w:rsidRPr="00535039">
        <w:rPr>
          <w:rFonts w:hAnsi="標楷體" w:hint="eastAsia"/>
        </w:rPr>
        <w:t>乙二醇酯（</w:t>
      </w:r>
      <w:proofErr w:type="gramEnd"/>
      <w:r w:rsidR="001143D9" w:rsidRPr="00535039">
        <w:rPr>
          <w:rFonts w:hAnsi="標楷體" w:hint="eastAsia"/>
        </w:rPr>
        <w:t>PET）、聚苯乙烯（PS）、聚氯乙烯（PVC），以及俗稱尼龍的聚醯胺纖維（PA）</w:t>
      </w:r>
      <w:r w:rsidR="009E1E9B" w:rsidRPr="00535039">
        <w:rPr>
          <w:rStyle w:val="afe"/>
          <w:rFonts w:hAnsi="標楷體"/>
        </w:rPr>
        <w:footnoteReference w:id="1"/>
      </w:r>
      <w:r w:rsidR="001143D9" w:rsidRPr="00535039">
        <w:rPr>
          <w:rFonts w:hAnsi="標楷體" w:hint="eastAsia"/>
        </w:rPr>
        <w:t>。</w:t>
      </w:r>
    </w:p>
    <w:p w14:paraId="4949F50C" w14:textId="15F3BEA9" w:rsidR="001143D9" w:rsidRPr="00535039" w:rsidRDefault="001143D9" w:rsidP="00FE691E">
      <w:pPr>
        <w:pStyle w:val="3"/>
        <w:rPr>
          <w:rFonts w:hAnsi="標楷體"/>
        </w:rPr>
      </w:pPr>
      <w:r w:rsidRPr="00535039">
        <w:rPr>
          <w:rFonts w:hAnsi="標楷體" w:hint="eastAsia"/>
        </w:rPr>
        <w:t>據</w:t>
      </w:r>
      <w:proofErr w:type="gramStart"/>
      <w:r w:rsidRPr="00535039">
        <w:rPr>
          <w:rFonts w:hAnsi="標楷體" w:hint="eastAsia"/>
        </w:rPr>
        <w:t>環境部查復</w:t>
      </w:r>
      <w:proofErr w:type="gramEnd"/>
      <w:r w:rsidRPr="00535039">
        <w:rPr>
          <w:rFonts w:hAnsi="標楷體" w:hint="eastAsia"/>
        </w:rPr>
        <w:t>，國環院(</w:t>
      </w:r>
      <w:r w:rsidR="00646E4D" w:rsidRPr="00535039">
        <w:rPr>
          <w:rFonts w:hAnsi="標楷體" w:hint="eastAsia"/>
        </w:rPr>
        <w:t>原行政院環境保護署環境檢驗所</w:t>
      </w:r>
      <w:r w:rsidR="001F7F70" w:rsidRPr="00535039">
        <w:rPr>
          <w:rFonts w:hAnsi="標楷體" w:hint="eastAsia"/>
        </w:rPr>
        <w:t>，下同</w:t>
      </w:r>
      <w:r w:rsidRPr="00535039">
        <w:rPr>
          <w:rFonts w:hAnsi="標楷體" w:hint="eastAsia"/>
        </w:rPr>
        <w:t>)曾於105年、107年分別執行「海洋中塑膠微粒初步探測計畫」、「臺灣沿海、澎湖及馬祖海域海水、沙灘砂礫及生物之塑膠微粒調查計畫」調查環境中塑膠微粒含量，其檢測結果與國際檢測值相近，摘要如下：</w:t>
      </w:r>
    </w:p>
    <w:p w14:paraId="354AA34E" w14:textId="77777777" w:rsidR="001143D9" w:rsidRPr="00535039" w:rsidRDefault="001143D9" w:rsidP="008E5B40">
      <w:pPr>
        <w:pStyle w:val="4"/>
        <w:rPr>
          <w:rFonts w:hAnsi="標楷體"/>
        </w:rPr>
      </w:pPr>
      <w:r w:rsidRPr="00535039">
        <w:rPr>
          <w:rFonts w:hAnsi="標楷體" w:hint="eastAsia"/>
        </w:rPr>
        <w:t>105年「海洋中塑膠微粒初步探測計畫」結論：</w:t>
      </w:r>
    </w:p>
    <w:p w14:paraId="0B67A7ED" w14:textId="45A76CDA" w:rsidR="001143D9" w:rsidRPr="00535039" w:rsidRDefault="001143D9" w:rsidP="008E5B40">
      <w:pPr>
        <w:pStyle w:val="5"/>
        <w:rPr>
          <w:rFonts w:hAnsi="標楷體"/>
        </w:rPr>
      </w:pPr>
      <w:r w:rsidRPr="00535039">
        <w:rPr>
          <w:rFonts w:hAnsi="標楷體" w:hint="eastAsia"/>
        </w:rPr>
        <w:t>參考美國海洋暨大氣總署</w:t>
      </w:r>
      <w:r w:rsidR="001F7F70" w:rsidRPr="00535039">
        <w:rPr>
          <w:rFonts w:hAnsi="標楷體" w:hint="eastAsia"/>
        </w:rPr>
        <w:t>西元</w:t>
      </w:r>
      <w:r w:rsidR="001F7F70" w:rsidRPr="00535039">
        <w:rPr>
          <w:rFonts w:hAnsi="標楷體"/>
        </w:rPr>
        <w:t>（涉及國際年</w:t>
      </w:r>
      <w:r w:rsidR="001F7F70" w:rsidRPr="00535039">
        <w:rPr>
          <w:rFonts w:hAnsi="標楷體" w:hint="eastAsia"/>
        </w:rPr>
        <w:t>份</w:t>
      </w:r>
      <w:r w:rsidR="001F7F70" w:rsidRPr="00535039">
        <w:rPr>
          <w:rFonts w:hAnsi="標楷體"/>
        </w:rPr>
        <w:t>以西元表示之，下同）</w:t>
      </w:r>
      <w:r w:rsidRPr="00535039">
        <w:rPr>
          <w:rFonts w:hAnsi="標楷體" w:hint="eastAsia"/>
        </w:rPr>
        <w:t>2015年方法檢測流程，分別於</w:t>
      </w:r>
      <w:r w:rsidR="001F7F70" w:rsidRPr="00535039">
        <w:rPr>
          <w:rFonts w:hAnsi="標楷體" w:hint="eastAsia"/>
        </w:rPr>
        <w:t>105年</w:t>
      </w:r>
      <w:r w:rsidRPr="00535039">
        <w:rPr>
          <w:rFonts w:hAnsi="標楷體" w:hint="eastAsia"/>
        </w:rPr>
        <w:t>4至5月間採集臺灣北中南</w:t>
      </w:r>
      <w:r w:rsidR="001F7F70" w:rsidRPr="00535039">
        <w:rPr>
          <w:rFonts w:hAnsi="標楷體" w:hint="eastAsia"/>
        </w:rPr>
        <w:t>3</w:t>
      </w:r>
      <w:r w:rsidRPr="00535039">
        <w:rPr>
          <w:rFonts w:hAnsi="標楷體" w:hint="eastAsia"/>
        </w:rPr>
        <w:t>處近海海域八里外海、大肚溪河口及高屏溪河口表層海水樣品，粒徑介於0.02至5mm之塑膠微粒，海</w:t>
      </w:r>
      <w:r w:rsidRPr="00535039">
        <w:rPr>
          <w:rFonts w:hAnsi="標楷體" w:hint="eastAsia"/>
        </w:rPr>
        <w:lastRenderedPageBreak/>
        <w:t>域塑膠微粒量以表層樣品較高，</w:t>
      </w:r>
      <w:proofErr w:type="gramStart"/>
      <w:r w:rsidRPr="00535039">
        <w:rPr>
          <w:rFonts w:hAnsi="標楷體" w:hint="eastAsia"/>
        </w:rPr>
        <w:t>豐度為</w:t>
      </w:r>
      <w:proofErr w:type="gramEnd"/>
      <w:r w:rsidRPr="00535039">
        <w:rPr>
          <w:rFonts w:hAnsi="標楷體" w:hint="eastAsia"/>
        </w:rPr>
        <w:t>19.7~133.9個/m</w:t>
      </w:r>
      <w:r w:rsidRPr="00535039">
        <w:rPr>
          <w:rFonts w:hAnsi="標楷體" w:hint="eastAsia"/>
          <w:vertAlign w:val="superscript"/>
        </w:rPr>
        <w:t>3</w:t>
      </w:r>
      <w:r w:rsidRPr="00535039">
        <w:rPr>
          <w:rFonts w:hAnsi="標楷體" w:hint="eastAsia"/>
        </w:rPr>
        <w:t>，以高屏溪口表層塑膠微粒量最高，與2015年丹麥技術大學水生生物資源研究所調查歐洲海岸到北大西洋亞熱帶環流塑膠微粒量13~501個/m</w:t>
      </w:r>
      <w:r w:rsidRPr="00535039">
        <w:rPr>
          <w:rFonts w:hAnsi="標楷體" w:hint="eastAsia"/>
          <w:vertAlign w:val="superscript"/>
        </w:rPr>
        <w:t>3</w:t>
      </w:r>
      <w:r w:rsidRPr="00535039">
        <w:rPr>
          <w:rFonts w:hAnsi="標楷體" w:hint="eastAsia"/>
        </w:rPr>
        <w:t>結果相近。中層水樣塑膠</w:t>
      </w:r>
      <w:proofErr w:type="gramStart"/>
      <w:r w:rsidRPr="00535039">
        <w:rPr>
          <w:rFonts w:hAnsi="標楷體" w:hint="eastAsia"/>
        </w:rPr>
        <w:t>微粒豐度為</w:t>
      </w:r>
      <w:proofErr w:type="gramEnd"/>
      <w:r w:rsidRPr="00535039">
        <w:rPr>
          <w:rFonts w:hAnsi="標楷體" w:hint="eastAsia"/>
        </w:rPr>
        <w:t>未檢出</w:t>
      </w:r>
      <w:r w:rsidR="00CB3BD4" w:rsidRPr="00535039">
        <w:rPr>
          <w:rFonts w:hAnsi="標楷體" w:hint="eastAsia"/>
        </w:rPr>
        <w:t>至</w:t>
      </w:r>
      <w:r w:rsidRPr="00535039">
        <w:rPr>
          <w:rFonts w:hAnsi="標楷體" w:hint="eastAsia"/>
        </w:rPr>
        <w:t>14.3個/m</w:t>
      </w:r>
      <w:r w:rsidRPr="00535039">
        <w:rPr>
          <w:rFonts w:hAnsi="標楷體" w:hint="eastAsia"/>
          <w:vertAlign w:val="superscript"/>
        </w:rPr>
        <w:t>3</w:t>
      </w:r>
      <w:r w:rsidRPr="00535039">
        <w:rPr>
          <w:rFonts w:hAnsi="標楷體" w:hint="eastAsia"/>
        </w:rPr>
        <w:t>，</w:t>
      </w:r>
      <w:proofErr w:type="gramStart"/>
      <w:r w:rsidRPr="00535039">
        <w:rPr>
          <w:rFonts w:hAnsi="標楷體" w:hint="eastAsia"/>
        </w:rPr>
        <w:t>底泥樣品</w:t>
      </w:r>
      <w:proofErr w:type="gramEnd"/>
      <w:r w:rsidRPr="00535039">
        <w:rPr>
          <w:rFonts w:hAnsi="標楷體" w:hint="eastAsia"/>
        </w:rPr>
        <w:t>僅大溪口檢出7.4±2.4個/Kg</w:t>
      </w:r>
      <w:proofErr w:type="gramStart"/>
      <w:r w:rsidRPr="00535039">
        <w:rPr>
          <w:rFonts w:hAnsi="標楷體" w:hint="eastAsia"/>
        </w:rPr>
        <w:t>乾重</w:t>
      </w:r>
      <w:proofErr w:type="gramEnd"/>
      <w:r w:rsidRPr="00535039">
        <w:rPr>
          <w:rFonts w:hAnsi="標楷體" w:hint="eastAsia"/>
        </w:rPr>
        <w:t>，與比利時2014年調查高潮線</w:t>
      </w:r>
      <w:proofErr w:type="gramStart"/>
      <w:r w:rsidRPr="00535039">
        <w:rPr>
          <w:rFonts w:hAnsi="標楷體" w:hint="eastAsia"/>
        </w:rPr>
        <w:t>下底泥</w:t>
      </w:r>
      <w:proofErr w:type="gramEnd"/>
      <w:r w:rsidRPr="00535039">
        <w:rPr>
          <w:rFonts w:hAnsi="標楷體" w:hint="eastAsia"/>
        </w:rPr>
        <w:t>塑膠微粒量相近。</w:t>
      </w:r>
    </w:p>
    <w:p w14:paraId="22A1F89B" w14:textId="2B486DE1" w:rsidR="001143D9" w:rsidRPr="00535039" w:rsidRDefault="001143D9" w:rsidP="008E5B40">
      <w:pPr>
        <w:pStyle w:val="5"/>
        <w:rPr>
          <w:rFonts w:hAnsi="標楷體"/>
        </w:rPr>
      </w:pPr>
      <w:r w:rsidRPr="00535039">
        <w:rPr>
          <w:rFonts w:hAnsi="標楷體" w:hint="eastAsia"/>
        </w:rPr>
        <w:t>檢出塑膠微粒成分含有</w:t>
      </w:r>
      <w:r w:rsidR="00D74619" w:rsidRPr="00535039">
        <w:rPr>
          <w:rFonts w:hAnsi="標楷體" w:hint="eastAsia"/>
        </w:rPr>
        <w:t>聚乙烯（PE）</w:t>
      </w:r>
      <w:r w:rsidRPr="00535039">
        <w:rPr>
          <w:rFonts w:hAnsi="標楷體" w:hint="eastAsia"/>
        </w:rPr>
        <w:t>、</w:t>
      </w:r>
      <w:r w:rsidR="00D74619" w:rsidRPr="00535039">
        <w:rPr>
          <w:rFonts w:hAnsi="標楷體" w:hint="eastAsia"/>
        </w:rPr>
        <w:t>聚丙烯（PP）</w:t>
      </w:r>
      <w:r w:rsidRPr="00535039">
        <w:rPr>
          <w:rFonts w:hAnsi="標楷體" w:hint="eastAsia"/>
        </w:rPr>
        <w:t>、</w:t>
      </w:r>
      <w:r w:rsidR="00D74619" w:rsidRPr="00535039">
        <w:rPr>
          <w:rFonts w:hAnsi="標楷體" w:hint="eastAsia"/>
        </w:rPr>
        <w:t>聚苯乙烯（PS）</w:t>
      </w:r>
      <w:r w:rsidRPr="00535039">
        <w:rPr>
          <w:rFonts w:hAnsi="標楷體" w:hint="eastAsia"/>
        </w:rPr>
        <w:t>及</w:t>
      </w:r>
      <w:r w:rsidR="00C9749B" w:rsidRPr="00535039">
        <w:rPr>
          <w:rFonts w:hAnsi="標楷體" w:hint="eastAsia"/>
        </w:rPr>
        <w:t>尼龍(Nylon)</w:t>
      </w:r>
      <w:r w:rsidRPr="00535039">
        <w:rPr>
          <w:rFonts w:hAnsi="標楷體" w:hint="eastAsia"/>
        </w:rPr>
        <w:t>，八里外海表層水樣以</w:t>
      </w:r>
      <w:r w:rsidR="00D74619" w:rsidRPr="00535039">
        <w:rPr>
          <w:rFonts w:hAnsi="標楷體" w:hint="eastAsia"/>
        </w:rPr>
        <w:t>聚乙烯（PE）</w:t>
      </w:r>
      <w:r w:rsidRPr="00535039">
        <w:rPr>
          <w:rFonts w:hAnsi="標楷體" w:hint="eastAsia"/>
        </w:rPr>
        <w:t>最多，大肚溪口表層</w:t>
      </w:r>
      <w:r w:rsidR="00D74619" w:rsidRPr="00535039">
        <w:rPr>
          <w:rFonts w:hAnsi="標楷體" w:hint="eastAsia"/>
        </w:rPr>
        <w:t>聚丙烯（PP）</w:t>
      </w:r>
      <w:r w:rsidRPr="00535039">
        <w:rPr>
          <w:rFonts w:hAnsi="標楷體" w:hint="eastAsia"/>
        </w:rPr>
        <w:t>塑膠微粒量較高，高屏溪口則</w:t>
      </w:r>
      <w:r w:rsidR="00D74619" w:rsidRPr="00535039">
        <w:rPr>
          <w:rFonts w:hAnsi="標楷體" w:hint="eastAsia"/>
        </w:rPr>
        <w:t>聚乙烯（PE）</w:t>
      </w:r>
      <w:r w:rsidRPr="00535039">
        <w:rPr>
          <w:rFonts w:hAnsi="標楷體" w:hint="eastAsia"/>
        </w:rPr>
        <w:t>略高於</w:t>
      </w:r>
      <w:r w:rsidR="00D74619" w:rsidRPr="00535039">
        <w:rPr>
          <w:rFonts w:hAnsi="標楷體" w:hint="eastAsia"/>
        </w:rPr>
        <w:t>聚丙烯（PP）</w:t>
      </w:r>
      <w:r w:rsidRPr="00535039">
        <w:rPr>
          <w:rFonts w:hAnsi="標楷體" w:hint="eastAsia"/>
        </w:rPr>
        <w:t>。</w:t>
      </w:r>
    </w:p>
    <w:p w14:paraId="3ACB0D0E" w14:textId="4838874F" w:rsidR="001143D9" w:rsidRPr="00535039" w:rsidRDefault="001143D9" w:rsidP="008E5B40">
      <w:pPr>
        <w:pStyle w:val="5"/>
        <w:rPr>
          <w:rFonts w:hAnsi="標楷體"/>
        </w:rPr>
      </w:pPr>
      <w:proofErr w:type="gramStart"/>
      <w:r w:rsidRPr="00535039">
        <w:rPr>
          <w:rFonts w:hAnsi="標楷體" w:hint="eastAsia"/>
        </w:rPr>
        <w:t>採</w:t>
      </w:r>
      <w:proofErr w:type="gramEnd"/>
      <w:r w:rsidRPr="00535039">
        <w:rPr>
          <w:rFonts w:hAnsi="標楷體" w:hint="eastAsia"/>
        </w:rPr>
        <w:t>樣方式不同檢測結果略有差異，以抽水過濾方式檢測值高於浮游網方式，浮游網</w:t>
      </w:r>
      <w:proofErr w:type="gramStart"/>
      <w:r w:rsidRPr="00535039">
        <w:rPr>
          <w:rFonts w:hAnsi="標楷體" w:hint="eastAsia"/>
        </w:rPr>
        <w:t>方式所檢出</w:t>
      </w:r>
      <w:proofErr w:type="gramEnd"/>
      <w:r w:rsidRPr="00535039">
        <w:rPr>
          <w:rFonts w:hAnsi="標楷體" w:hint="eastAsia"/>
        </w:rPr>
        <w:t>之塑膠微粒</w:t>
      </w:r>
      <w:proofErr w:type="gramStart"/>
      <w:r w:rsidRPr="00535039">
        <w:rPr>
          <w:rFonts w:hAnsi="標楷體" w:hint="eastAsia"/>
        </w:rPr>
        <w:t>粒</w:t>
      </w:r>
      <w:proofErr w:type="gramEnd"/>
      <w:r w:rsidRPr="00535039">
        <w:rPr>
          <w:rFonts w:hAnsi="標楷體" w:hint="eastAsia"/>
        </w:rPr>
        <w:t>徑分布大多小於100</w:t>
      </w:r>
      <w:r w:rsidR="00E847FC" w:rsidRPr="00535039">
        <w:rPr>
          <w:rFonts w:hAnsi="標楷體" w:hint="eastAsia"/>
        </w:rPr>
        <w:t>µ</w:t>
      </w:r>
      <w:r w:rsidRPr="00535039">
        <w:rPr>
          <w:rFonts w:hAnsi="標楷體" w:hint="eastAsia"/>
        </w:rPr>
        <w:t>m，其中八里外海以浮游網採集方式粒徑小於100</w:t>
      </w:r>
      <w:r w:rsidR="00E847FC" w:rsidRPr="00535039">
        <w:rPr>
          <w:rFonts w:hAnsi="標楷體" w:hint="eastAsia"/>
        </w:rPr>
        <w:t>µ</w:t>
      </w:r>
      <w:r w:rsidRPr="00535039">
        <w:rPr>
          <w:rFonts w:hAnsi="標楷體" w:hint="eastAsia"/>
        </w:rPr>
        <w:t>m達93.2%，大肚溪口占77.6%，</w:t>
      </w:r>
      <w:proofErr w:type="gramStart"/>
      <w:r w:rsidRPr="00535039">
        <w:rPr>
          <w:rFonts w:hAnsi="標楷體" w:hint="eastAsia"/>
        </w:rPr>
        <w:t>採</w:t>
      </w:r>
      <w:proofErr w:type="gramEnd"/>
      <w:r w:rsidRPr="00535039">
        <w:rPr>
          <w:rFonts w:hAnsi="標楷體" w:hint="eastAsia"/>
        </w:rPr>
        <w:t>得</w:t>
      </w:r>
      <w:r w:rsidR="00D74619" w:rsidRPr="00535039">
        <w:rPr>
          <w:rFonts w:hAnsi="標楷體" w:hint="eastAsia"/>
        </w:rPr>
        <w:t>聚乙烯（PE）</w:t>
      </w:r>
      <w:r w:rsidRPr="00535039">
        <w:rPr>
          <w:rFonts w:hAnsi="標楷體" w:hint="eastAsia"/>
        </w:rPr>
        <w:t>塑膠微粒</w:t>
      </w:r>
      <w:r w:rsidR="00CA7E72">
        <w:rPr>
          <w:rFonts w:hAnsi="標楷體" w:hint="eastAsia"/>
        </w:rPr>
        <w:t>比率</w:t>
      </w:r>
      <w:r w:rsidRPr="00535039">
        <w:rPr>
          <w:rFonts w:hAnsi="標楷體" w:hint="eastAsia"/>
        </w:rPr>
        <w:t>較高，這可能是因為</w:t>
      </w:r>
      <w:r w:rsidR="00D74619" w:rsidRPr="00535039">
        <w:rPr>
          <w:rFonts w:hAnsi="標楷體" w:hint="eastAsia"/>
        </w:rPr>
        <w:t>聚乙烯（PE）</w:t>
      </w:r>
      <w:r w:rsidRPr="00535039">
        <w:rPr>
          <w:rFonts w:hAnsi="標楷體" w:hint="eastAsia"/>
        </w:rPr>
        <w:t>比重較</w:t>
      </w:r>
      <w:r w:rsidR="00D74619" w:rsidRPr="00535039">
        <w:rPr>
          <w:rFonts w:hAnsi="標楷體" w:hint="eastAsia"/>
        </w:rPr>
        <w:t>聚丙烯（PP）</w:t>
      </w:r>
      <w:r w:rsidRPr="00535039">
        <w:rPr>
          <w:rFonts w:hAnsi="標楷體" w:hint="eastAsia"/>
        </w:rPr>
        <w:t>小，受海浪等擾動後較快漂浮至水表層。</w:t>
      </w:r>
    </w:p>
    <w:p w14:paraId="093EC433" w14:textId="77777777" w:rsidR="001143D9" w:rsidRPr="00535039" w:rsidRDefault="001143D9" w:rsidP="008E5B40">
      <w:pPr>
        <w:pStyle w:val="4"/>
        <w:rPr>
          <w:rFonts w:hAnsi="標楷體"/>
        </w:rPr>
      </w:pPr>
      <w:r w:rsidRPr="00535039">
        <w:rPr>
          <w:rFonts w:hAnsi="標楷體" w:hint="eastAsia"/>
        </w:rPr>
        <w:t>107年「臺灣沿海、澎湖及馬祖海域海水、沙灘砂礫及生物之塑膠微粒調查計畫」結論：</w:t>
      </w:r>
    </w:p>
    <w:p w14:paraId="32F5EEF5" w14:textId="77777777" w:rsidR="000126B7" w:rsidRPr="00535039" w:rsidRDefault="000126B7" w:rsidP="000126B7">
      <w:pPr>
        <w:pStyle w:val="5"/>
        <w:rPr>
          <w:rFonts w:hAnsi="標楷體"/>
        </w:rPr>
      </w:pPr>
      <w:r w:rsidRPr="00535039">
        <w:rPr>
          <w:rFonts w:hAnsi="標楷體" w:hint="eastAsia"/>
        </w:rPr>
        <w:t>海水表層微型</w:t>
      </w:r>
      <w:proofErr w:type="gramStart"/>
      <w:r w:rsidRPr="00535039">
        <w:rPr>
          <w:rFonts w:hAnsi="標楷體" w:hint="eastAsia"/>
        </w:rPr>
        <w:t>塑膠豐度</w:t>
      </w:r>
      <w:proofErr w:type="gramEnd"/>
      <w:r w:rsidRPr="00535039">
        <w:rPr>
          <w:rFonts w:hAnsi="標楷體" w:hint="eastAsia"/>
        </w:rPr>
        <w:t>1,000~18,500個/1,000公升，高於綠色和平組織106年調查結果66~315個/1,000公升，比105年調查北中南之外海海水表層微型塑膠19.7~134個/1,</w:t>
      </w:r>
      <w:proofErr w:type="gramStart"/>
      <w:r w:rsidRPr="00535039">
        <w:rPr>
          <w:rFonts w:hAnsi="標楷體" w:hint="eastAsia"/>
        </w:rPr>
        <w:t>000公升豐度高</w:t>
      </w:r>
      <w:proofErr w:type="gramEnd"/>
      <w:r w:rsidRPr="00535039">
        <w:rPr>
          <w:rFonts w:hAnsi="標楷體" w:hint="eastAsia"/>
        </w:rPr>
        <w:t>，落於國際相關文獻檢出0~94,000個/1,000公升範圍內。</w:t>
      </w:r>
    </w:p>
    <w:p w14:paraId="1FDD02F3" w14:textId="77777777" w:rsidR="000126B7" w:rsidRPr="00535039" w:rsidRDefault="000126B7" w:rsidP="000126B7">
      <w:pPr>
        <w:pStyle w:val="5"/>
        <w:rPr>
          <w:rFonts w:hAnsi="標楷體"/>
        </w:rPr>
      </w:pPr>
      <w:r w:rsidRPr="00535039">
        <w:rPr>
          <w:rFonts w:hAnsi="標楷體" w:hint="eastAsia"/>
        </w:rPr>
        <w:t>沙灘砂礫中檢出微型塑膠約26~2,400個/公</w:t>
      </w:r>
      <w:r w:rsidRPr="00535039">
        <w:rPr>
          <w:rFonts w:hAnsi="標楷體" w:hint="eastAsia"/>
        </w:rPr>
        <w:lastRenderedPageBreak/>
        <w:t>斤，亦比國環院105年調查北中南之外海底層微型</w:t>
      </w:r>
      <w:proofErr w:type="gramStart"/>
      <w:r w:rsidRPr="00535039">
        <w:rPr>
          <w:rFonts w:hAnsi="標楷體" w:hint="eastAsia"/>
        </w:rPr>
        <w:t>塑膠豐度高</w:t>
      </w:r>
      <w:proofErr w:type="gramEnd"/>
      <w:r w:rsidRPr="00535039">
        <w:rPr>
          <w:rFonts w:hAnsi="標楷體" w:hint="eastAsia"/>
        </w:rPr>
        <w:t>，落於國際相關文獻檢出0~8,714個/公斤範圍內。</w:t>
      </w:r>
    </w:p>
    <w:p w14:paraId="7CC6E4DD" w14:textId="77777777" w:rsidR="000126B7" w:rsidRPr="00535039" w:rsidRDefault="000126B7" w:rsidP="000126B7">
      <w:pPr>
        <w:pStyle w:val="5"/>
        <w:rPr>
          <w:rFonts w:hAnsi="標楷體"/>
        </w:rPr>
      </w:pPr>
      <w:r w:rsidRPr="00535039">
        <w:rPr>
          <w:rFonts w:hAnsi="標楷體" w:hint="eastAsia"/>
        </w:rPr>
        <w:t>生物體內微型塑膠含量為0.20~6.96個/克，其中節肢動物</w:t>
      </w:r>
      <w:proofErr w:type="gramStart"/>
      <w:r w:rsidRPr="00535039">
        <w:rPr>
          <w:rFonts w:hAnsi="標楷體" w:hint="eastAsia"/>
        </w:rPr>
        <w:t>鵝頸藤壺</w:t>
      </w:r>
      <w:proofErr w:type="gramEnd"/>
      <w:r w:rsidRPr="00535039">
        <w:rPr>
          <w:rFonts w:hAnsi="標楷體" w:hint="eastAsia"/>
        </w:rPr>
        <w:t>含量最高為6.96個/克，其餘</w:t>
      </w:r>
      <w:proofErr w:type="gramStart"/>
      <w:r w:rsidRPr="00535039">
        <w:rPr>
          <w:rFonts w:hAnsi="標楷體" w:hint="eastAsia"/>
        </w:rPr>
        <w:t>生物均為貝類</w:t>
      </w:r>
      <w:proofErr w:type="gramEnd"/>
      <w:r w:rsidRPr="00535039">
        <w:rPr>
          <w:rFonts w:hAnsi="標楷體" w:hint="eastAsia"/>
        </w:rPr>
        <w:t>，含量為0.20~5.22個/克，落於國際文獻檢出0.4~10.5個/克範圍內。</w:t>
      </w:r>
    </w:p>
    <w:p w14:paraId="7546E226" w14:textId="77777777" w:rsidR="000126B7" w:rsidRPr="00535039" w:rsidRDefault="000126B7" w:rsidP="000126B7">
      <w:pPr>
        <w:pStyle w:val="5"/>
        <w:rPr>
          <w:rFonts w:hAnsi="標楷體"/>
        </w:rPr>
      </w:pPr>
      <w:r w:rsidRPr="00535039">
        <w:rPr>
          <w:rFonts w:hAnsi="標楷體" w:hint="eastAsia"/>
        </w:rPr>
        <w:t>同時採集石</w:t>
      </w:r>
      <w:proofErr w:type="gramStart"/>
      <w:r w:rsidRPr="00535039">
        <w:rPr>
          <w:rFonts w:hAnsi="標楷體" w:hint="eastAsia"/>
        </w:rPr>
        <w:t>蚵</w:t>
      </w:r>
      <w:proofErr w:type="gramEnd"/>
      <w:r w:rsidRPr="00535039">
        <w:rPr>
          <w:rFonts w:hAnsi="標楷體" w:hint="eastAsia"/>
        </w:rPr>
        <w:t>與牡蠣的</w:t>
      </w:r>
      <w:proofErr w:type="gramStart"/>
      <w:r w:rsidRPr="00535039">
        <w:rPr>
          <w:rFonts w:hAnsi="標楷體" w:hint="eastAsia"/>
        </w:rPr>
        <w:t>採樣點</w:t>
      </w:r>
      <w:proofErr w:type="gramEnd"/>
      <w:r w:rsidRPr="00535039">
        <w:rPr>
          <w:rFonts w:hAnsi="標楷體" w:hint="eastAsia"/>
        </w:rPr>
        <w:t>，如王</w:t>
      </w:r>
      <w:proofErr w:type="gramStart"/>
      <w:r w:rsidRPr="00535039">
        <w:rPr>
          <w:rFonts w:hAnsi="標楷體" w:hint="eastAsia"/>
        </w:rPr>
        <w:t>功區、臺</w:t>
      </w:r>
      <w:proofErr w:type="gramEnd"/>
      <w:r w:rsidRPr="00535039">
        <w:rPr>
          <w:rFonts w:hAnsi="標楷體" w:hint="eastAsia"/>
        </w:rPr>
        <w:t>西鄉、安平區等處，牡蠣含量均低於石</w:t>
      </w:r>
      <w:proofErr w:type="gramStart"/>
      <w:r w:rsidRPr="00535039">
        <w:rPr>
          <w:rFonts w:hAnsi="標楷體" w:hint="eastAsia"/>
        </w:rPr>
        <w:t>蚵</w:t>
      </w:r>
      <w:proofErr w:type="gramEnd"/>
      <w:r w:rsidRPr="00535039">
        <w:rPr>
          <w:rFonts w:hAnsi="標楷體" w:hint="eastAsia"/>
        </w:rPr>
        <w:t>含量，可能是因為石</w:t>
      </w:r>
      <w:proofErr w:type="gramStart"/>
      <w:r w:rsidRPr="00535039">
        <w:rPr>
          <w:rFonts w:hAnsi="標楷體" w:hint="eastAsia"/>
        </w:rPr>
        <w:t>蚵</w:t>
      </w:r>
      <w:proofErr w:type="gramEnd"/>
      <w:r w:rsidRPr="00535039">
        <w:rPr>
          <w:rFonts w:hAnsi="標楷體" w:hint="eastAsia"/>
        </w:rPr>
        <w:t>個體較小。而石</w:t>
      </w:r>
      <w:proofErr w:type="gramStart"/>
      <w:r w:rsidRPr="00535039">
        <w:rPr>
          <w:rFonts w:hAnsi="標楷體" w:hint="eastAsia"/>
        </w:rPr>
        <w:t>蚵</w:t>
      </w:r>
      <w:proofErr w:type="gramEnd"/>
      <w:r w:rsidRPr="00535039">
        <w:rPr>
          <w:rFonts w:hAnsi="標楷體" w:hint="eastAsia"/>
        </w:rPr>
        <w:t>與牡蠣地區不同，其微型塑膠含量變化一致，例如王</w:t>
      </w:r>
      <w:proofErr w:type="gramStart"/>
      <w:r w:rsidRPr="00535039">
        <w:rPr>
          <w:rFonts w:hAnsi="標楷體" w:hint="eastAsia"/>
        </w:rPr>
        <w:t>功區石蚵</w:t>
      </w:r>
      <w:proofErr w:type="gramEnd"/>
      <w:r w:rsidRPr="00535039">
        <w:rPr>
          <w:rFonts w:hAnsi="標楷體" w:hint="eastAsia"/>
        </w:rPr>
        <w:t>微型塑膠含量高，當地牡蠣微型塑膠含量也較其他地區高，反之安平區石</w:t>
      </w:r>
      <w:proofErr w:type="gramStart"/>
      <w:r w:rsidRPr="00535039">
        <w:rPr>
          <w:rFonts w:hAnsi="標楷體" w:hint="eastAsia"/>
        </w:rPr>
        <w:t>蚵</w:t>
      </w:r>
      <w:proofErr w:type="gramEnd"/>
      <w:r w:rsidRPr="00535039">
        <w:rPr>
          <w:rFonts w:hAnsi="標楷體" w:hint="eastAsia"/>
        </w:rPr>
        <w:t>微型塑膠含量較低，其牡蠣亦同。</w:t>
      </w:r>
    </w:p>
    <w:p w14:paraId="3B5ED35A" w14:textId="77777777" w:rsidR="000126B7" w:rsidRPr="00535039" w:rsidRDefault="000126B7" w:rsidP="000126B7">
      <w:pPr>
        <w:pStyle w:val="5"/>
        <w:rPr>
          <w:rFonts w:hAnsi="標楷體"/>
        </w:rPr>
      </w:pPr>
      <w:r w:rsidRPr="00535039">
        <w:rPr>
          <w:rFonts w:hAnsi="標楷體" w:hint="eastAsia"/>
        </w:rPr>
        <w:t>海水、沙灘砂礫與生物體內微型塑膠</w:t>
      </w:r>
      <w:proofErr w:type="gramStart"/>
      <w:r w:rsidRPr="00535039">
        <w:rPr>
          <w:rFonts w:hAnsi="標楷體" w:hint="eastAsia"/>
        </w:rPr>
        <w:t>成分均以聚乙烯</w:t>
      </w:r>
      <w:proofErr w:type="gramEnd"/>
      <w:r w:rsidRPr="00535039">
        <w:rPr>
          <w:rFonts w:hAnsi="標楷體" w:hint="eastAsia"/>
        </w:rPr>
        <w:t>（PE）和聚丙烯（PP）比率最高。</w:t>
      </w:r>
    </w:p>
    <w:p w14:paraId="3FDEEDCD" w14:textId="738759AD" w:rsidR="000126B7" w:rsidRPr="00535039" w:rsidRDefault="000126B7" w:rsidP="000126B7">
      <w:pPr>
        <w:pStyle w:val="5"/>
        <w:rPr>
          <w:rFonts w:hAnsi="標楷體"/>
        </w:rPr>
      </w:pPr>
      <w:r w:rsidRPr="00535039">
        <w:rPr>
          <w:rFonts w:hAnsi="標楷體" w:hint="eastAsia"/>
        </w:rPr>
        <w:t>生物</w:t>
      </w:r>
      <w:proofErr w:type="gramStart"/>
      <w:r w:rsidRPr="00535039">
        <w:rPr>
          <w:rFonts w:hAnsi="標楷體" w:hint="eastAsia"/>
        </w:rPr>
        <w:t>體內聚對苯</w:t>
      </w:r>
      <w:proofErr w:type="gramEnd"/>
      <w:r w:rsidRPr="00535039">
        <w:rPr>
          <w:rFonts w:hAnsi="標楷體" w:hint="eastAsia"/>
        </w:rPr>
        <w:t>二甲酸</w:t>
      </w:r>
      <w:proofErr w:type="gramStart"/>
      <w:r w:rsidRPr="00535039">
        <w:rPr>
          <w:rFonts w:hAnsi="標楷體" w:hint="eastAsia"/>
        </w:rPr>
        <w:t>乙二醇酯(</w:t>
      </w:r>
      <w:proofErr w:type="gramEnd"/>
      <w:r w:rsidRPr="00535039">
        <w:rPr>
          <w:rFonts w:hAnsi="標楷體" w:hint="eastAsia"/>
        </w:rPr>
        <w:t>PET)與尼龍(Nylon)比率高於海水、沙灘砂礫比率，這可能是在生物體中</w:t>
      </w:r>
      <w:proofErr w:type="gramStart"/>
      <w:r w:rsidRPr="00535039">
        <w:rPr>
          <w:rFonts w:hAnsi="標楷體" w:hint="eastAsia"/>
        </w:rPr>
        <w:t>檢出</w:t>
      </w:r>
      <w:r w:rsidR="00CB3BD4" w:rsidRPr="00535039">
        <w:rPr>
          <w:rFonts w:hAnsi="標楷體" w:hint="eastAsia"/>
        </w:rPr>
        <w:t>苯</w:t>
      </w:r>
      <w:proofErr w:type="gramEnd"/>
      <w:r w:rsidR="00CB3BD4" w:rsidRPr="00535039">
        <w:rPr>
          <w:rFonts w:hAnsi="標楷體" w:hint="eastAsia"/>
        </w:rPr>
        <w:t>二甲酸</w:t>
      </w:r>
      <w:proofErr w:type="gramStart"/>
      <w:r w:rsidR="00CB3BD4" w:rsidRPr="00535039">
        <w:rPr>
          <w:rFonts w:hAnsi="標楷體" w:hint="eastAsia"/>
        </w:rPr>
        <w:t>乙二醇酯(</w:t>
      </w:r>
      <w:proofErr w:type="gramEnd"/>
      <w:r w:rsidR="00CB3BD4" w:rsidRPr="00535039">
        <w:rPr>
          <w:rFonts w:hAnsi="標楷體" w:hint="eastAsia"/>
        </w:rPr>
        <w:t>PET)</w:t>
      </w:r>
      <w:r w:rsidRPr="00535039">
        <w:rPr>
          <w:rFonts w:hAnsi="標楷體" w:hint="eastAsia"/>
        </w:rPr>
        <w:t>、尼龍(Nylon)多為纖維狀(尤其是金門石</w:t>
      </w:r>
      <w:proofErr w:type="gramStart"/>
      <w:r w:rsidRPr="00535039">
        <w:rPr>
          <w:rFonts w:hAnsi="標楷體" w:hint="eastAsia"/>
        </w:rPr>
        <w:t>蚵</w:t>
      </w:r>
      <w:proofErr w:type="gramEnd"/>
      <w:r w:rsidRPr="00535039">
        <w:rPr>
          <w:rFonts w:hAnsi="標楷體" w:hint="eastAsia"/>
        </w:rPr>
        <w:t>、東石扇貝)或長條狀，適合</w:t>
      </w:r>
      <w:proofErr w:type="gramStart"/>
      <w:r w:rsidRPr="00535039">
        <w:rPr>
          <w:rFonts w:hAnsi="標楷體" w:hint="eastAsia"/>
        </w:rPr>
        <w:t>濾</w:t>
      </w:r>
      <w:proofErr w:type="gramEnd"/>
      <w:r w:rsidRPr="00535039">
        <w:rPr>
          <w:rFonts w:hAnsi="標楷體" w:hint="eastAsia"/>
        </w:rPr>
        <w:t>食性生物攝食。</w:t>
      </w:r>
    </w:p>
    <w:p w14:paraId="66559D99" w14:textId="77777777" w:rsidR="000126B7" w:rsidRPr="00535039" w:rsidRDefault="000126B7" w:rsidP="000126B7">
      <w:pPr>
        <w:pStyle w:val="5"/>
        <w:rPr>
          <w:rFonts w:hAnsi="標楷體"/>
        </w:rPr>
      </w:pPr>
      <w:r w:rsidRPr="00535039">
        <w:rPr>
          <w:rFonts w:hAnsi="標楷體" w:hint="eastAsia"/>
        </w:rPr>
        <w:t>金門花</w:t>
      </w:r>
      <w:proofErr w:type="gramStart"/>
      <w:r w:rsidRPr="00535039">
        <w:rPr>
          <w:rFonts w:hAnsi="標楷體" w:hint="eastAsia"/>
        </w:rPr>
        <w:t>蛤</w:t>
      </w:r>
      <w:proofErr w:type="gramEnd"/>
      <w:r w:rsidRPr="00535039">
        <w:rPr>
          <w:rFonts w:hAnsi="標楷體" w:hint="eastAsia"/>
        </w:rPr>
        <w:t>與石</w:t>
      </w:r>
      <w:proofErr w:type="gramStart"/>
      <w:r w:rsidRPr="00535039">
        <w:rPr>
          <w:rFonts w:hAnsi="標楷體" w:hint="eastAsia"/>
        </w:rPr>
        <w:t>蚵</w:t>
      </w:r>
      <w:proofErr w:type="gramEnd"/>
      <w:r w:rsidRPr="00535039">
        <w:rPr>
          <w:rFonts w:hAnsi="標楷體" w:hint="eastAsia"/>
        </w:rPr>
        <w:t>分別於料羅灣(海岸線背對大陸)與</w:t>
      </w:r>
      <w:proofErr w:type="gramStart"/>
      <w:r w:rsidRPr="00535039">
        <w:rPr>
          <w:rFonts w:hAnsi="標楷體" w:hint="eastAsia"/>
        </w:rPr>
        <w:t>后江灣</w:t>
      </w:r>
      <w:proofErr w:type="gramEnd"/>
      <w:r w:rsidRPr="00535039">
        <w:rPr>
          <w:rFonts w:hAnsi="標楷體" w:hint="eastAsia"/>
        </w:rPr>
        <w:t>(海岸線面向大陸)採集，採集種類微型塑膠含量與成分差異大，如金門花</w:t>
      </w:r>
      <w:proofErr w:type="gramStart"/>
      <w:r w:rsidRPr="00535039">
        <w:rPr>
          <w:rFonts w:hAnsi="標楷體" w:hint="eastAsia"/>
        </w:rPr>
        <w:t>蛤</w:t>
      </w:r>
      <w:proofErr w:type="gramEnd"/>
      <w:r w:rsidRPr="00535039">
        <w:rPr>
          <w:rFonts w:hAnsi="標楷體" w:hint="eastAsia"/>
        </w:rPr>
        <w:t>微型塑膠含量為0.2個/g，全為聚丙烯（PP），但石</w:t>
      </w:r>
      <w:proofErr w:type="gramStart"/>
      <w:r w:rsidRPr="00535039">
        <w:rPr>
          <w:rFonts w:hAnsi="標楷體" w:hint="eastAsia"/>
        </w:rPr>
        <w:t>蚵</w:t>
      </w:r>
      <w:proofErr w:type="gramEnd"/>
      <w:r w:rsidRPr="00535039">
        <w:rPr>
          <w:rFonts w:hAnsi="標楷體" w:hint="eastAsia"/>
        </w:rPr>
        <w:t>微型塑膠含量為5.22個/g，而以對苯二甲酸</w:t>
      </w:r>
      <w:proofErr w:type="gramStart"/>
      <w:r w:rsidRPr="00535039">
        <w:rPr>
          <w:rFonts w:hAnsi="標楷體" w:hint="eastAsia"/>
        </w:rPr>
        <w:t>乙二醇酯(</w:t>
      </w:r>
      <w:proofErr w:type="gramEnd"/>
      <w:r w:rsidRPr="00535039">
        <w:rPr>
          <w:rFonts w:hAnsi="標楷體" w:hint="eastAsia"/>
        </w:rPr>
        <w:t>PET)97.7%為最多。</w:t>
      </w:r>
    </w:p>
    <w:p w14:paraId="5104E327" w14:textId="38AFFAF0" w:rsidR="001143D9" w:rsidRPr="00535039" w:rsidRDefault="00236288" w:rsidP="00FE691E">
      <w:pPr>
        <w:pStyle w:val="3"/>
        <w:rPr>
          <w:rFonts w:hAnsi="標楷體"/>
        </w:rPr>
      </w:pPr>
      <w:proofErr w:type="gramStart"/>
      <w:r w:rsidRPr="00535039">
        <w:rPr>
          <w:rFonts w:hAnsi="標楷體" w:hint="eastAsia"/>
        </w:rPr>
        <w:t>次據</w:t>
      </w:r>
      <w:r w:rsidR="004337B7" w:rsidRPr="00535039">
        <w:rPr>
          <w:rFonts w:hAnsi="標楷體" w:hint="eastAsia"/>
        </w:rPr>
        <w:t>海委</w:t>
      </w:r>
      <w:proofErr w:type="gramEnd"/>
      <w:r w:rsidR="004337B7" w:rsidRPr="00535039">
        <w:rPr>
          <w:rFonts w:hAnsi="標楷體" w:hint="eastAsia"/>
        </w:rPr>
        <w:t>會</w:t>
      </w:r>
      <w:r w:rsidR="001143D9" w:rsidRPr="00535039">
        <w:rPr>
          <w:rFonts w:hAnsi="標楷體" w:hint="eastAsia"/>
        </w:rPr>
        <w:t>查復</w:t>
      </w:r>
      <w:r w:rsidRPr="00535039">
        <w:rPr>
          <w:rFonts w:hAnsi="標楷體" w:hint="eastAsia"/>
        </w:rPr>
        <w:t>，</w:t>
      </w:r>
      <w:proofErr w:type="gramStart"/>
      <w:r w:rsidR="003632EC" w:rsidRPr="00535039">
        <w:rPr>
          <w:rFonts w:hAnsi="標楷體" w:hint="eastAsia"/>
        </w:rPr>
        <w:t>海保署</w:t>
      </w:r>
      <w:proofErr w:type="gramEnd"/>
      <w:r w:rsidR="003632EC" w:rsidRPr="00535039">
        <w:rPr>
          <w:rFonts w:hAnsi="標楷體" w:hint="eastAsia"/>
        </w:rPr>
        <w:t>自109年起</w:t>
      </w:r>
      <w:r w:rsidR="003632EC" w:rsidRPr="00535039">
        <w:rPr>
          <w:rStyle w:val="afe"/>
          <w:rFonts w:hAnsi="標楷體"/>
        </w:rPr>
        <w:footnoteReference w:id="2"/>
      </w:r>
      <w:r w:rsidR="003632EC" w:rsidRPr="00535039">
        <w:rPr>
          <w:rFonts w:hAnsi="標楷體" w:hint="eastAsia"/>
        </w:rPr>
        <w:t>，每年針對河</w:t>
      </w:r>
      <w:r w:rsidR="003632EC" w:rsidRPr="00535039">
        <w:rPr>
          <w:rFonts w:hAnsi="標楷體" w:hint="eastAsia"/>
        </w:rPr>
        <w:lastRenderedPageBreak/>
        <w:t>川出海口處之海水及生物體（野生牡蠣）進行微型塑膠之調查，並將微型塑膠分為碎片、發泡塑膠、薄膜、纖維、顆粒等不同樣態進行分析，</w:t>
      </w:r>
      <w:r w:rsidR="001143D9" w:rsidRPr="00535039">
        <w:rPr>
          <w:rFonts w:hAnsi="標楷體" w:hint="eastAsia"/>
        </w:rPr>
        <w:t>臺灣海洋環境中有關塑膠微粒之相關研究、調查</w:t>
      </w:r>
      <w:proofErr w:type="gramStart"/>
      <w:r w:rsidR="001143D9" w:rsidRPr="00535039">
        <w:rPr>
          <w:rFonts w:hAnsi="標楷體" w:hint="eastAsia"/>
        </w:rPr>
        <w:t>成果綜整說明</w:t>
      </w:r>
      <w:proofErr w:type="gramEnd"/>
      <w:r w:rsidR="001143D9" w:rsidRPr="00535039">
        <w:rPr>
          <w:rFonts w:hAnsi="標楷體" w:hint="eastAsia"/>
        </w:rPr>
        <w:t>如下：</w:t>
      </w:r>
    </w:p>
    <w:p w14:paraId="0D10EBC7" w14:textId="48267935" w:rsidR="000126B7" w:rsidRPr="00535039" w:rsidRDefault="000126B7" w:rsidP="000126B7">
      <w:pPr>
        <w:pStyle w:val="4"/>
        <w:rPr>
          <w:rFonts w:hAnsi="標楷體"/>
        </w:rPr>
      </w:pPr>
      <w:r w:rsidRPr="00535039">
        <w:rPr>
          <w:rFonts w:hAnsi="標楷體" w:hint="eastAsia"/>
        </w:rPr>
        <w:t>海水微型塑膠：歷年調查結果濃度介於0~2.28個/立方公尺間，平均濃度約在0.17±0.65個/立方公尺。材質以聚乙烯(PE)、聚丙烯(PP)和聚苯乙烯(PS)為</w:t>
      </w:r>
      <w:proofErr w:type="gramStart"/>
      <w:r w:rsidRPr="00535039">
        <w:rPr>
          <w:rFonts w:hAnsi="標楷體" w:hint="eastAsia"/>
        </w:rPr>
        <w:t>大宗，</w:t>
      </w:r>
      <w:proofErr w:type="gramEnd"/>
      <w:r w:rsidRPr="00535039">
        <w:rPr>
          <w:rFonts w:hAnsi="標楷體" w:hint="eastAsia"/>
        </w:rPr>
        <w:t>這些常用塑膠製品是主要的陸</w:t>
      </w:r>
      <w:r w:rsidR="00AB6700">
        <w:rPr>
          <w:rFonts w:hAnsi="標楷體" w:hint="eastAsia"/>
        </w:rPr>
        <w:t>域</w:t>
      </w:r>
      <w:r w:rsidRPr="00535039">
        <w:rPr>
          <w:rFonts w:hAnsi="標楷體" w:hint="eastAsia"/>
        </w:rPr>
        <w:t>污染來源。形狀仍以塑膠碎片為最主要，且占整體微塑膠形狀</w:t>
      </w:r>
      <w:r w:rsidR="00CA7E72">
        <w:rPr>
          <w:rFonts w:hAnsi="標楷體" w:hint="eastAsia"/>
        </w:rPr>
        <w:t>比率</w:t>
      </w:r>
      <w:r w:rsidRPr="00535039">
        <w:rPr>
          <w:rFonts w:hAnsi="標楷體" w:hint="eastAsia"/>
        </w:rPr>
        <w:t>約達40%以上，其次為發泡塑膠，反映出塑膠廢棄物在海洋環境中經過物理或化學作用後，碎裂成微小顆粒的過程。</w:t>
      </w:r>
    </w:p>
    <w:p w14:paraId="5D31F4BA" w14:textId="77777777" w:rsidR="000126B7" w:rsidRPr="00535039" w:rsidRDefault="000126B7" w:rsidP="000126B7">
      <w:pPr>
        <w:pStyle w:val="4"/>
        <w:rPr>
          <w:rFonts w:hAnsi="標楷體"/>
        </w:rPr>
      </w:pPr>
      <w:r w:rsidRPr="00535039">
        <w:rPr>
          <w:rFonts w:hAnsi="標楷體" w:hint="eastAsia"/>
        </w:rPr>
        <w:t>海域生物體微型塑膠：海域生物體以野生牡蠣為主要調查指標，因</w:t>
      </w:r>
      <w:proofErr w:type="gramStart"/>
      <w:r w:rsidRPr="00535039">
        <w:rPr>
          <w:rFonts w:hAnsi="標楷體" w:hint="eastAsia"/>
        </w:rPr>
        <w:t>其濾食</w:t>
      </w:r>
      <w:proofErr w:type="gramEnd"/>
      <w:r w:rsidRPr="00535039">
        <w:rPr>
          <w:rFonts w:hAnsi="標楷體" w:hint="eastAsia"/>
        </w:rPr>
        <w:t>特性使其容易累積環境中的微粒污染物。歷年調查結果濃度介於0~2.58個/克（濕重）之間，平均濃度約在0.11±0.64個/克（濕重）。主要成分與型態以聚酯纖維、</w:t>
      </w:r>
      <w:proofErr w:type="gramStart"/>
      <w:r w:rsidRPr="00535039">
        <w:rPr>
          <w:rFonts w:hAnsi="標楷體" w:hint="eastAsia"/>
        </w:rPr>
        <w:t>嫘縈</w:t>
      </w:r>
      <w:proofErr w:type="gramEnd"/>
      <w:r w:rsidRPr="00535039">
        <w:rPr>
          <w:rFonts w:hAnsi="標楷體" w:hint="eastAsia"/>
        </w:rPr>
        <w:t>等人造纖維</w:t>
      </w:r>
      <w:proofErr w:type="gramStart"/>
      <w:r w:rsidRPr="00535039">
        <w:rPr>
          <w:rFonts w:hAnsi="標楷體" w:hint="eastAsia"/>
        </w:rPr>
        <w:t>占比極高</w:t>
      </w:r>
      <w:proofErr w:type="gramEnd"/>
      <w:r w:rsidRPr="00535039">
        <w:rPr>
          <w:rFonts w:hAnsi="標楷體" w:hint="eastAsia"/>
        </w:rPr>
        <w:t>（112年為98%，113年為84%）。型態為塑膠纖維，其次為塑膠碎片，與生物體內消化道結構</w:t>
      </w:r>
      <w:proofErr w:type="gramStart"/>
      <w:r w:rsidRPr="00535039">
        <w:rPr>
          <w:rFonts w:hAnsi="標楷體" w:hint="eastAsia"/>
        </w:rPr>
        <w:t>與濾食</w:t>
      </w:r>
      <w:proofErr w:type="gramEnd"/>
      <w:r w:rsidRPr="00535039">
        <w:rPr>
          <w:rFonts w:hAnsi="標楷體" w:hint="eastAsia"/>
        </w:rPr>
        <w:t>特性有關。</w:t>
      </w:r>
      <w:r w:rsidRPr="00535039">
        <w:rPr>
          <w:rFonts w:hAnsi="標楷體"/>
          <w:szCs w:val="32"/>
        </w:rPr>
        <w:t>依數據顯示每年的主要成分都不相同</w:t>
      </w:r>
      <w:r w:rsidRPr="00535039">
        <w:rPr>
          <w:rFonts w:hAnsi="標楷體" w:hint="eastAsia"/>
          <w:szCs w:val="32"/>
        </w:rPr>
        <w:t>，</w:t>
      </w:r>
      <w:r w:rsidRPr="00535039">
        <w:rPr>
          <w:rFonts w:hAnsi="標楷體"/>
          <w:szCs w:val="32"/>
        </w:rPr>
        <w:t>例如110年的主要成分是</w:t>
      </w:r>
      <w:r w:rsidRPr="00535039">
        <w:rPr>
          <w:rFonts w:hAnsi="標楷體" w:hint="eastAsia"/>
        </w:rPr>
        <w:t>聚丙烯（PP）</w:t>
      </w:r>
      <w:r w:rsidRPr="00535039">
        <w:rPr>
          <w:rFonts w:hAnsi="標楷體"/>
          <w:szCs w:val="32"/>
        </w:rPr>
        <w:t>(47%)，111年則變為PET(64%)，而112年</w:t>
      </w:r>
      <w:r w:rsidRPr="00535039">
        <w:rPr>
          <w:rFonts w:hAnsi="標楷體" w:hint="eastAsia"/>
          <w:szCs w:val="32"/>
        </w:rPr>
        <w:t>其他</w:t>
      </w:r>
      <w:r w:rsidRPr="00535039">
        <w:rPr>
          <w:rFonts w:hAnsi="標楷體"/>
          <w:szCs w:val="32"/>
        </w:rPr>
        <w:t>類別</w:t>
      </w:r>
      <w:r w:rsidRPr="00535039">
        <w:rPr>
          <w:rFonts w:hAnsi="標楷體" w:hint="eastAsia"/>
          <w:szCs w:val="32"/>
        </w:rPr>
        <w:t>占率</w:t>
      </w:r>
      <w:r w:rsidRPr="00535039">
        <w:rPr>
          <w:rFonts w:hAnsi="標楷體"/>
          <w:szCs w:val="32"/>
        </w:rPr>
        <w:t>高達98%，</w:t>
      </w:r>
      <w:r w:rsidRPr="00535039">
        <w:rPr>
          <w:rFonts w:hAnsi="標楷體" w:hint="eastAsia"/>
          <w:szCs w:val="32"/>
        </w:rPr>
        <w:t>其他類別</w:t>
      </w:r>
      <w:r w:rsidRPr="00535039">
        <w:rPr>
          <w:rFonts w:hAnsi="標楷體"/>
          <w:szCs w:val="32"/>
        </w:rPr>
        <w:t>包含聚酯纖維、</w:t>
      </w:r>
      <w:proofErr w:type="gramStart"/>
      <w:r w:rsidRPr="00535039">
        <w:rPr>
          <w:rFonts w:hAnsi="標楷體"/>
          <w:szCs w:val="32"/>
        </w:rPr>
        <w:t>嫘縈</w:t>
      </w:r>
      <w:proofErr w:type="gramEnd"/>
      <w:r w:rsidRPr="00535039">
        <w:rPr>
          <w:rFonts w:hAnsi="標楷體"/>
          <w:szCs w:val="32"/>
        </w:rPr>
        <w:t>、丙烯酸纖維、聚甲醛等。</w:t>
      </w:r>
      <w:r w:rsidRPr="00535039">
        <w:rPr>
          <w:rFonts w:hAnsi="標楷體" w:hint="eastAsia"/>
          <w:szCs w:val="32"/>
        </w:rPr>
        <w:t>此</w:t>
      </w:r>
      <w:r w:rsidRPr="00535039">
        <w:rPr>
          <w:rFonts w:hAnsi="標楷體"/>
          <w:szCs w:val="32"/>
        </w:rPr>
        <w:t>大幅度的波動，說明海域生物體持續暴露於變動的污染源中。</w:t>
      </w:r>
    </w:p>
    <w:p w14:paraId="12E7C3DE" w14:textId="77777777" w:rsidR="00BB67ED" w:rsidRPr="00535039" w:rsidRDefault="00BB67ED" w:rsidP="008E5B40">
      <w:pPr>
        <w:pStyle w:val="4"/>
        <w:rPr>
          <w:rFonts w:hAnsi="標楷體"/>
          <w:bCs/>
        </w:rPr>
      </w:pPr>
      <w:r w:rsidRPr="00535039">
        <w:rPr>
          <w:rFonts w:hAnsi="標楷體" w:hint="eastAsia"/>
          <w:bCs/>
        </w:rPr>
        <w:lastRenderedPageBreak/>
        <w:t>我國及其他國家有關</w:t>
      </w:r>
      <w:r w:rsidRPr="00535039">
        <w:rPr>
          <w:rFonts w:hAnsi="標楷體"/>
          <w:bCs/>
          <w:szCs w:val="32"/>
        </w:rPr>
        <w:t>海水微型塑膠</w:t>
      </w:r>
      <w:r w:rsidRPr="00535039">
        <w:rPr>
          <w:rFonts w:hAnsi="標楷體" w:hint="eastAsia"/>
          <w:bCs/>
        </w:rPr>
        <w:t>對海洋環境污染程度分析如下：</w:t>
      </w:r>
    </w:p>
    <w:p w14:paraId="6051C695" w14:textId="08A3B60A" w:rsidR="00BB67ED" w:rsidRPr="00535039" w:rsidRDefault="00BB67ED" w:rsidP="008E5B40">
      <w:pPr>
        <w:pStyle w:val="5"/>
        <w:rPr>
          <w:rFonts w:hAnsi="標楷體"/>
        </w:rPr>
      </w:pPr>
      <w:r w:rsidRPr="00535039">
        <w:rPr>
          <w:rFonts w:hAnsi="標楷體" w:hint="eastAsia"/>
        </w:rPr>
        <w:t>113年臺灣海域海水微型塑膠濃度範圍介於0.01</w:t>
      </w:r>
      <w:r w:rsidR="001432B9" w:rsidRPr="00535039">
        <w:rPr>
          <w:rFonts w:hAnsi="標楷體" w:hint="eastAsia"/>
        </w:rPr>
        <w:t>~</w:t>
      </w:r>
      <w:r w:rsidRPr="00535039">
        <w:rPr>
          <w:rFonts w:hAnsi="標楷體" w:hint="eastAsia"/>
        </w:rPr>
        <w:t>0.92個/立方公尺，平均微型塑膠濃度為0.17±0.21個/立方公尺，與中國</w:t>
      </w:r>
      <w:proofErr w:type="gramStart"/>
      <w:r w:rsidRPr="00535039">
        <w:rPr>
          <w:rFonts w:hAnsi="標楷體" w:hint="eastAsia"/>
        </w:rPr>
        <w:t>（</w:t>
      </w:r>
      <w:proofErr w:type="gramEnd"/>
      <w:r w:rsidRPr="00535039">
        <w:rPr>
          <w:rFonts w:hAnsi="標楷體" w:hint="eastAsia"/>
        </w:rPr>
        <w:t>0.03</w:t>
      </w:r>
      <w:r w:rsidR="001432B9" w:rsidRPr="00535039">
        <w:rPr>
          <w:rFonts w:hAnsi="標楷體" w:hint="eastAsia"/>
        </w:rPr>
        <w:t>~</w:t>
      </w:r>
      <w:r w:rsidRPr="00535039">
        <w:rPr>
          <w:rFonts w:hAnsi="標楷體" w:hint="eastAsia"/>
        </w:rPr>
        <w:t>0.455個/立方公尺；0.17±0.14個/立方公尺</w:t>
      </w:r>
      <w:proofErr w:type="gramStart"/>
      <w:r w:rsidRPr="00535039">
        <w:rPr>
          <w:rFonts w:hAnsi="標楷體" w:hint="eastAsia"/>
        </w:rPr>
        <w:t>）</w:t>
      </w:r>
      <w:proofErr w:type="gramEnd"/>
      <w:r w:rsidRPr="00535039">
        <w:rPr>
          <w:rFonts w:hAnsi="標楷體" w:hint="eastAsia"/>
        </w:rPr>
        <w:t>、愛爾蘭（0.16</w:t>
      </w:r>
      <w:r w:rsidR="001432B9" w:rsidRPr="00535039">
        <w:rPr>
          <w:rFonts w:hAnsi="標楷體" w:hint="eastAsia"/>
        </w:rPr>
        <w:t>~</w:t>
      </w:r>
      <w:r w:rsidRPr="00535039">
        <w:rPr>
          <w:rFonts w:hAnsi="標楷體" w:hint="eastAsia"/>
        </w:rPr>
        <w:t>1.67個/立方公尺）及伊朗（0.49±0.43個/立方公尺）等國研究結果相似，且低於土耳其（12.63個/立方公尺）、瑞典（3.11</w:t>
      </w:r>
      <w:r w:rsidR="001432B9" w:rsidRPr="00535039">
        <w:rPr>
          <w:rFonts w:hAnsi="標楷體" w:hint="eastAsia"/>
        </w:rPr>
        <w:t>~</w:t>
      </w:r>
      <w:r w:rsidRPr="00535039">
        <w:rPr>
          <w:rFonts w:hAnsi="標楷體" w:hint="eastAsia"/>
        </w:rPr>
        <w:t>7.73個/立方公尺）及美國（4.5±2.3個/立方公尺）等國之研究結果。</w:t>
      </w:r>
    </w:p>
    <w:p w14:paraId="21FD7114" w14:textId="0FBA6FF7" w:rsidR="00BB67ED" w:rsidRPr="00535039" w:rsidRDefault="005E0708" w:rsidP="008E5B40">
      <w:pPr>
        <w:pStyle w:val="5"/>
        <w:rPr>
          <w:rFonts w:hAnsi="標楷體"/>
        </w:rPr>
      </w:pPr>
      <w:r w:rsidRPr="00535039">
        <w:rPr>
          <w:rFonts w:hAnsi="標楷體" w:hint="eastAsia"/>
        </w:rPr>
        <w:t>113年我國採集生物體（野生牡蠣）微型塑膠濃度範圍介於0</w:t>
      </w:r>
      <w:r w:rsidR="001432B9" w:rsidRPr="00535039">
        <w:rPr>
          <w:rFonts w:hAnsi="標楷體" w:hint="eastAsia"/>
        </w:rPr>
        <w:t>~</w:t>
      </w:r>
      <w:r w:rsidRPr="00535039">
        <w:rPr>
          <w:rFonts w:hAnsi="標楷體" w:hint="eastAsia"/>
        </w:rPr>
        <w:t>0.98個/克（濕重），平均微型塑膠濃度為0.11±0.24個/克（濕重），與澳洲南部牡蠣0.83±0.08個/克（濕重）、韓國牡蠣0.94±0.69個/克（濕重）等國研究結果相似，澳洲貽貝平均微型塑膠濃度8.18±3.58個/克（濕重）</w:t>
      </w:r>
      <w:r w:rsidR="0065371A" w:rsidRPr="00535039">
        <w:rPr>
          <w:rFonts w:hAnsi="標楷體" w:hint="eastAsia"/>
        </w:rPr>
        <w:t>，</w:t>
      </w:r>
      <w:r w:rsidRPr="00535039">
        <w:rPr>
          <w:rFonts w:hAnsi="標楷體" w:hint="eastAsia"/>
        </w:rPr>
        <w:t>高於我國濃度。</w:t>
      </w:r>
    </w:p>
    <w:p w14:paraId="26D257A9" w14:textId="4307D44B" w:rsidR="00845D25" w:rsidRPr="00535039" w:rsidRDefault="00E67B94" w:rsidP="00FE691E">
      <w:pPr>
        <w:pStyle w:val="3"/>
        <w:rPr>
          <w:rFonts w:hAnsi="標楷體"/>
        </w:rPr>
      </w:pPr>
      <w:r w:rsidRPr="00535039">
        <w:rPr>
          <w:rFonts w:hAnsi="標楷體" w:hint="eastAsia"/>
        </w:rPr>
        <w:t>經審視上述調查成果，以環境部107年調查海水中塑膠微粒為1,000~18,500個/1,000公升（1,000公升相當於1立方公尺）</w:t>
      </w:r>
      <w:r w:rsidR="006F0075" w:rsidRPr="00535039">
        <w:rPr>
          <w:rFonts w:hAnsi="標楷體" w:hint="eastAsia"/>
        </w:rPr>
        <w:t>、生物體內微型塑膠含量為0.20</w:t>
      </w:r>
      <w:r w:rsidR="001432B9" w:rsidRPr="00535039">
        <w:rPr>
          <w:rFonts w:hAnsi="標楷體" w:hint="eastAsia"/>
        </w:rPr>
        <w:t>~</w:t>
      </w:r>
      <w:r w:rsidR="006F0075" w:rsidRPr="00535039">
        <w:rPr>
          <w:rFonts w:hAnsi="標楷體" w:hint="eastAsia"/>
        </w:rPr>
        <w:t>6.96個/克</w:t>
      </w:r>
      <w:r w:rsidRPr="00535039">
        <w:rPr>
          <w:rFonts w:hAnsi="標楷體" w:hint="eastAsia"/>
        </w:rPr>
        <w:t>，</w:t>
      </w:r>
      <w:proofErr w:type="gramStart"/>
      <w:r w:rsidRPr="00535039">
        <w:rPr>
          <w:rFonts w:hAnsi="標楷體" w:hint="eastAsia"/>
        </w:rPr>
        <w:t>而海委會</w:t>
      </w:r>
      <w:proofErr w:type="gramEnd"/>
      <w:r w:rsidRPr="00535039">
        <w:rPr>
          <w:rFonts w:hAnsi="標楷體" w:hint="eastAsia"/>
        </w:rPr>
        <w:t>提供海水微型塑膠調查成果之平均濃度範圍</w:t>
      </w:r>
      <w:r w:rsidRPr="00535039">
        <w:rPr>
          <w:rFonts w:hAnsi="標楷體"/>
        </w:rPr>
        <w:t>0.17±0.65</w:t>
      </w:r>
      <w:r w:rsidRPr="00535039">
        <w:rPr>
          <w:rFonts w:hAnsi="標楷體" w:hint="eastAsia"/>
        </w:rPr>
        <w:t>個/立方公尺</w:t>
      </w:r>
      <w:r w:rsidR="006F0075" w:rsidRPr="00535039">
        <w:rPr>
          <w:rFonts w:hAnsi="標楷體" w:hint="eastAsia"/>
        </w:rPr>
        <w:t>、生物體（野生牡蠣）平均濃度約在0.11±0.64個/克（濕重）</w:t>
      </w:r>
      <w:r w:rsidRPr="00535039">
        <w:rPr>
          <w:rFonts w:hAnsi="標楷體" w:hint="eastAsia"/>
        </w:rPr>
        <w:t>，可知其調查結果差異甚大</w:t>
      </w:r>
      <w:r w:rsidR="00493C35" w:rsidRPr="00535039">
        <w:rPr>
          <w:rFonts w:hAnsi="標楷體" w:hint="eastAsia"/>
        </w:rPr>
        <w:t>，</w:t>
      </w:r>
      <w:proofErr w:type="gramStart"/>
      <w:r w:rsidR="006F0075" w:rsidRPr="00535039">
        <w:rPr>
          <w:rFonts w:hAnsi="標楷體" w:hint="eastAsia"/>
        </w:rPr>
        <w:t>環境部</w:t>
      </w:r>
      <w:r w:rsidR="00493C35" w:rsidRPr="00535039">
        <w:rPr>
          <w:rFonts w:hAnsi="標楷體" w:hint="eastAsia"/>
        </w:rPr>
        <w:t>續</w:t>
      </w:r>
      <w:r w:rsidR="003746A3" w:rsidRPr="00535039">
        <w:rPr>
          <w:rFonts w:hAnsi="標楷體" w:hint="eastAsia"/>
        </w:rPr>
        <w:t>表示</w:t>
      </w:r>
      <w:proofErr w:type="gramEnd"/>
      <w:r w:rsidR="001C5A6D" w:rsidRPr="00535039">
        <w:rPr>
          <w:rFonts w:hAnsi="標楷體" w:hint="eastAsia"/>
        </w:rPr>
        <w:t>係因各計畫除</w:t>
      </w:r>
      <w:proofErr w:type="gramStart"/>
      <w:r w:rsidR="001C5A6D" w:rsidRPr="00535039">
        <w:rPr>
          <w:rFonts w:hAnsi="標楷體" w:hint="eastAsia"/>
        </w:rPr>
        <w:t>採</w:t>
      </w:r>
      <w:proofErr w:type="gramEnd"/>
      <w:r w:rsidR="001C5A6D" w:rsidRPr="00535039">
        <w:rPr>
          <w:rFonts w:hAnsi="標楷體" w:hint="eastAsia"/>
        </w:rPr>
        <w:t>樣地點不同外，</w:t>
      </w:r>
      <w:proofErr w:type="gramStart"/>
      <w:r w:rsidR="001C5A6D" w:rsidRPr="00535039">
        <w:rPr>
          <w:rFonts w:hAnsi="標楷體" w:hint="eastAsia"/>
        </w:rPr>
        <w:t>採</w:t>
      </w:r>
      <w:proofErr w:type="gramEnd"/>
      <w:r w:rsidR="001C5A6D" w:rsidRPr="00535039">
        <w:rPr>
          <w:rFonts w:hAnsi="標楷體" w:hint="eastAsia"/>
        </w:rPr>
        <w:t>樣方法與檢測</w:t>
      </w:r>
      <w:proofErr w:type="gramStart"/>
      <w:r w:rsidR="001C5A6D" w:rsidRPr="00535039">
        <w:rPr>
          <w:rFonts w:hAnsi="標楷體" w:hint="eastAsia"/>
        </w:rPr>
        <w:t>技術亦略有</w:t>
      </w:r>
      <w:proofErr w:type="gramEnd"/>
      <w:r w:rsidR="001C5A6D" w:rsidRPr="00535039">
        <w:rPr>
          <w:rFonts w:hAnsi="標楷體" w:hint="eastAsia"/>
        </w:rPr>
        <w:t>差異</w:t>
      </w:r>
      <w:r w:rsidR="00A351E9" w:rsidRPr="00535039">
        <w:rPr>
          <w:rFonts w:hAnsi="標楷體" w:hint="eastAsia"/>
        </w:rPr>
        <w:t>等因素</w:t>
      </w:r>
      <w:r w:rsidR="00A351E9" w:rsidRPr="00535039">
        <w:rPr>
          <w:rStyle w:val="afe"/>
          <w:rFonts w:hAnsi="標楷體"/>
        </w:rPr>
        <w:footnoteReference w:id="3"/>
      </w:r>
      <w:r w:rsidR="00A351E9" w:rsidRPr="00535039">
        <w:rPr>
          <w:rFonts w:hAnsi="標楷體" w:hint="eastAsia"/>
        </w:rPr>
        <w:t>所致</w:t>
      </w:r>
      <w:r w:rsidR="00493C35" w:rsidRPr="00535039">
        <w:rPr>
          <w:rFonts w:hAnsi="標楷體" w:hint="eastAsia"/>
        </w:rPr>
        <w:t>，可證各部會調查</w:t>
      </w:r>
      <w:proofErr w:type="gramStart"/>
      <w:r w:rsidR="00493C35" w:rsidRPr="00535039">
        <w:rPr>
          <w:rFonts w:hAnsi="標楷體" w:hint="eastAsia"/>
        </w:rPr>
        <w:t>成果間及國</w:t>
      </w:r>
      <w:r w:rsidR="00493C35" w:rsidRPr="00535039">
        <w:rPr>
          <w:rFonts w:hAnsi="標楷體" w:hint="eastAsia"/>
        </w:rPr>
        <w:lastRenderedPageBreak/>
        <w:t>際</w:t>
      </w:r>
      <w:proofErr w:type="gramEnd"/>
      <w:r w:rsidR="00493C35" w:rsidRPr="00535039">
        <w:rPr>
          <w:rFonts w:hAnsi="標楷體" w:hint="eastAsia"/>
        </w:rPr>
        <w:t>研究數據之比較基礎顯有落差，難以相互比較印證</w:t>
      </w:r>
      <w:r w:rsidR="00672CA3" w:rsidRPr="00535039">
        <w:rPr>
          <w:rFonts w:hAnsi="標楷體" w:hint="eastAsia"/>
        </w:rPr>
        <w:t>且無從</w:t>
      </w:r>
      <w:r w:rsidR="00493C35" w:rsidRPr="00535039">
        <w:rPr>
          <w:rFonts w:hAnsi="標楷體" w:hint="eastAsia"/>
        </w:rPr>
        <w:t>追蹤</w:t>
      </w:r>
      <w:r w:rsidR="00C15D6E" w:rsidRPr="00535039">
        <w:rPr>
          <w:rFonts w:hAnsi="標楷體" w:hint="eastAsia"/>
        </w:rPr>
        <w:t>塑膠微粒於環境中長期間存在</w:t>
      </w:r>
      <w:r w:rsidR="00616509" w:rsidRPr="00535039">
        <w:rPr>
          <w:rFonts w:hAnsi="標楷體" w:hint="eastAsia"/>
        </w:rPr>
        <w:t>及</w:t>
      </w:r>
      <w:r w:rsidR="00C15D6E" w:rsidRPr="00535039">
        <w:rPr>
          <w:rFonts w:hAnsi="標楷體" w:hint="eastAsia"/>
        </w:rPr>
        <w:t>累積等變化情形。</w:t>
      </w:r>
    </w:p>
    <w:p w14:paraId="3EC14018" w14:textId="045E2368" w:rsidR="00D6447C" w:rsidRPr="00535039" w:rsidRDefault="00672CA3" w:rsidP="00FE691E">
      <w:pPr>
        <w:pStyle w:val="3"/>
        <w:rPr>
          <w:rFonts w:hAnsi="標楷體"/>
        </w:rPr>
      </w:pPr>
      <w:r w:rsidRPr="00535039">
        <w:rPr>
          <w:rFonts w:hAnsi="標楷體" w:hint="eastAsia"/>
        </w:rPr>
        <w:t>查</w:t>
      </w:r>
      <w:r w:rsidR="00D6447C" w:rsidRPr="00535039">
        <w:rPr>
          <w:rFonts w:hAnsi="標楷體" w:hint="eastAsia"/>
        </w:rPr>
        <w:t>國環院</w:t>
      </w:r>
      <w:r w:rsidR="003746A3" w:rsidRPr="00535039">
        <w:rPr>
          <w:rFonts w:hAnsi="標楷體" w:hint="eastAsia"/>
        </w:rPr>
        <w:t>自105年起開發應用</w:t>
      </w:r>
      <w:r w:rsidR="00235947" w:rsidRPr="00535039">
        <w:rPr>
          <w:rFonts w:hAnsi="標楷體" w:hint="eastAsia"/>
        </w:rPr>
        <w:t>塑膠微粒檢測技術</w:t>
      </w:r>
      <w:r w:rsidR="003746A3" w:rsidRPr="00535039">
        <w:rPr>
          <w:rStyle w:val="afe"/>
          <w:rFonts w:hAnsi="標楷體"/>
        </w:rPr>
        <w:footnoteReference w:id="4"/>
      </w:r>
      <w:r w:rsidR="003746A3" w:rsidRPr="00535039">
        <w:rPr>
          <w:rFonts w:hAnsi="標楷體" w:hint="eastAsia"/>
        </w:rPr>
        <w:t>，並於109年公告水中微型塑膠檢測方法</w:t>
      </w:r>
      <w:proofErr w:type="gramStart"/>
      <w:r w:rsidR="003746A3" w:rsidRPr="00535039">
        <w:rPr>
          <w:rFonts w:hAnsi="標楷體" w:hint="eastAsia"/>
        </w:rPr>
        <w:t>—熱觸</w:t>
      </w:r>
      <w:proofErr w:type="gramEnd"/>
      <w:r w:rsidR="003746A3" w:rsidRPr="00535039">
        <w:rPr>
          <w:rFonts w:hAnsi="標楷體" w:hint="eastAsia"/>
        </w:rPr>
        <w:t>法（NIEA M909.00C）、113年精進並建置4項微塑膠檢測技術</w:t>
      </w:r>
      <w:r w:rsidR="003746A3" w:rsidRPr="00535039">
        <w:rPr>
          <w:rStyle w:val="afe"/>
          <w:rFonts w:hAnsi="標楷體"/>
        </w:rPr>
        <w:footnoteReference w:id="5"/>
      </w:r>
      <w:r w:rsidR="003746A3" w:rsidRPr="00535039">
        <w:rPr>
          <w:rFonts w:hAnsi="標楷體" w:hint="eastAsia"/>
        </w:rPr>
        <w:t>、114年優化飲用水中微塑膠檢測前處理程序</w:t>
      </w:r>
      <w:r w:rsidR="003746A3" w:rsidRPr="00535039">
        <w:rPr>
          <w:rStyle w:val="afe"/>
          <w:rFonts w:hAnsi="標楷體"/>
        </w:rPr>
        <w:footnoteReference w:id="6"/>
      </w:r>
      <w:r w:rsidR="003746A3" w:rsidRPr="00535039">
        <w:rPr>
          <w:rFonts w:hAnsi="標楷體" w:hint="eastAsia"/>
        </w:rPr>
        <w:t>。再查</w:t>
      </w:r>
      <w:r w:rsidR="001E774B" w:rsidRPr="00535039">
        <w:rPr>
          <w:rFonts w:hAnsi="標楷體" w:hint="eastAsia"/>
        </w:rPr>
        <w:t>因應歐盟委員擬修訂飲用水規範，其聯合研究中心為提供科學數據，113年發表Analytical methods to measure microplastics in drinking water</w:t>
      </w:r>
      <w:proofErr w:type="gramStart"/>
      <w:r w:rsidR="001E774B" w:rsidRPr="00535039">
        <w:rPr>
          <w:rFonts w:hAnsi="標楷體" w:hint="eastAsia"/>
        </w:rPr>
        <w:t>乙文指出</w:t>
      </w:r>
      <w:proofErr w:type="gramEnd"/>
      <w:r w:rsidR="001E774B" w:rsidRPr="00535039">
        <w:rPr>
          <w:rFonts w:hAnsi="標楷體" w:hint="eastAsia"/>
        </w:rPr>
        <w:t>：「對於塑膠微粒檢測方法評估儀器侷限性、樣品通量及投資成本考量下提出</w:t>
      </w:r>
      <w:r w:rsidR="001E774B" w:rsidRPr="00535039">
        <w:rPr>
          <w:rFonts w:hAnsi="標楷體" w:hint="eastAsia"/>
          <w:b/>
        </w:rPr>
        <w:t>塑膠微粒分析技術中沒有一種分析技術能夠完全長期識別和量化飲用水中微塑膠污染物，目前可依據檢測標的、尺寸範圍、靈敏度、可靠性及投資成本等需求，採用合適的檢測方法或組合方法</w:t>
      </w:r>
      <w:r w:rsidR="001E774B" w:rsidRPr="00535039">
        <w:rPr>
          <w:rFonts w:hAnsi="標楷體" w:hint="eastAsia"/>
        </w:rPr>
        <w:t>。」等</w:t>
      </w:r>
      <w:r w:rsidR="00265D7D" w:rsidRPr="00535039">
        <w:rPr>
          <w:rFonts w:hAnsi="標楷體" w:hint="eastAsia"/>
        </w:rPr>
        <w:t>內容</w:t>
      </w:r>
      <w:r w:rsidR="001E774B" w:rsidRPr="00535039">
        <w:rPr>
          <w:rFonts w:hAnsi="標楷體" w:hint="eastAsia"/>
        </w:rPr>
        <w:t>，</w:t>
      </w:r>
      <w:r w:rsidR="001E774B" w:rsidRPr="00535039">
        <w:rPr>
          <w:rFonts w:hAnsi="標楷體" w:hint="eastAsia"/>
          <w:u w:val="single"/>
        </w:rPr>
        <w:t>環境部</w:t>
      </w:r>
      <w:r w:rsidR="00265D7D" w:rsidRPr="00535039">
        <w:rPr>
          <w:rFonts w:hAnsi="標楷體" w:hint="eastAsia"/>
          <w:u w:val="single"/>
        </w:rPr>
        <w:t>業已</w:t>
      </w:r>
      <w:r w:rsidR="001E774B" w:rsidRPr="00535039">
        <w:rPr>
          <w:rFonts w:hAnsi="標楷體" w:hint="eastAsia"/>
          <w:u w:val="single"/>
        </w:rPr>
        <w:t>表示將</w:t>
      </w:r>
      <w:r w:rsidR="003746A3" w:rsidRPr="00535039">
        <w:rPr>
          <w:rFonts w:hAnsi="標楷體" w:hint="eastAsia"/>
          <w:u w:val="single"/>
        </w:rPr>
        <w:t>持續蒐集國際微塑膠檢測技術發展</w:t>
      </w:r>
      <w:r w:rsidR="003746A3" w:rsidRPr="00535039">
        <w:rPr>
          <w:rFonts w:hAnsi="標楷體" w:hint="eastAsia"/>
          <w:u w:val="single"/>
        </w:rPr>
        <w:lastRenderedPageBreak/>
        <w:t>動態，</w:t>
      </w:r>
      <w:proofErr w:type="gramStart"/>
      <w:r w:rsidR="003746A3" w:rsidRPr="00535039">
        <w:rPr>
          <w:rFonts w:hAnsi="標楷體" w:hint="eastAsia"/>
          <w:u w:val="single"/>
        </w:rPr>
        <w:t>研</w:t>
      </w:r>
      <w:proofErr w:type="gramEnd"/>
      <w:r w:rsidR="003746A3" w:rsidRPr="00535039">
        <w:rPr>
          <w:rFonts w:hAnsi="標楷體" w:hint="eastAsia"/>
          <w:u w:val="single"/>
        </w:rPr>
        <w:t>訂國內可供長期監測之標準化檢測方法</w:t>
      </w:r>
      <w:r w:rsidR="00F541DF" w:rsidRPr="00535039">
        <w:rPr>
          <w:rFonts w:hAnsi="標楷體" w:hint="eastAsia"/>
          <w:u w:val="single"/>
        </w:rPr>
        <w:t>，</w:t>
      </w:r>
      <w:r w:rsidR="00A90071" w:rsidRPr="00535039">
        <w:rPr>
          <w:rFonts w:hAnsi="標楷體" w:hint="eastAsia"/>
          <w:u w:val="single"/>
        </w:rPr>
        <w:t>應持續關注</w:t>
      </w:r>
      <w:r w:rsidR="00265D7D" w:rsidRPr="00535039">
        <w:rPr>
          <w:rFonts w:hAnsi="標楷體" w:hint="eastAsia"/>
          <w:u w:val="single"/>
        </w:rPr>
        <w:t>辦理</w:t>
      </w:r>
      <w:r w:rsidR="00265D7D" w:rsidRPr="00535039">
        <w:rPr>
          <w:rFonts w:hAnsi="標楷體" w:hint="eastAsia"/>
        </w:rPr>
        <w:t>。</w:t>
      </w:r>
    </w:p>
    <w:p w14:paraId="7D07E29D" w14:textId="22421955" w:rsidR="00235947" w:rsidRPr="00535039" w:rsidRDefault="006A7B16" w:rsidP="00FE691E">
      <w:pPr>
        <w:pStyle w:val="3"/>
        <w:rPr>
          <w:rFonts w:hAnsi="標楷體"/>
          <w:b/>
        </w:rPr>
      </w:pPr>
      <w:r w:rsidRPr="00535039">
        <w:rPr>
          <w:rFonts w:hAnsi="標楷體" w:hint="eastAsia"/>
        </w:rPr>
        <w:t>再</w:t>
      </w:r>
      <w:proofErr w:type="gramStart"/>
      <w:r w:rsidRPr="00535039">
        <w:rPr>
          <w:rFonts w:hAnsi="標楷體" w:hint="eastAsia"/>
        </w:rPr>
        <w:t>據海委會</w:t>
      </w:r>
      <w:proofErr w:type="gramEnd"/>
      <w:r w:rsidRPr="00535039">
        <w:rPr>
          <w:rFonts w:hAnsi="標楷體" w:hint="eastAsia"/>
        </w:rPr>
        <w:t>查復，</w:t>
      </w:r>
      <w:r w:rsidRPr="00535039">
        <w:rPr>
          <w:rFonts w:hAnsi="標楷體" w:hint="eastAsia"/>
          <w:b/>
          <w:bCs w:val="0"/>
        </w:rPr>
        <w:t>塑膠微粒來源分析分為境內及境</w:t>
      </w:r>
      <w:proofErr w:type="gramStart"/>
      <w:r w:rsidRPr="00535039">
        <w:rPr>
          <w:rFonts w:hAnsi="標楷體" w:hint="eastAsia"/>
          <w:b/>
          <w:bCs w:val="0"/>
        </w:rPr>
        <w:t>外</w:t>
      </w:r>
      <w:proofErr w:type="gramEnd"/>
      <w:r w:rsidRPr="00535039">
        <w:rPr>
          <w:rStyle w:val="afe"/>
          <w:rFonts w:hAnsi="標楷體"/>
          <w:b/>
          <w:bCs w:val="0"/>
        </w:rPr>
        <w:footnoteReference w:id="7"/>
      </w:r>
      <w:r w:rsidRPr="00535039">
        <w:rPr>
          <w:rFonts w:hAnsi="標楷體" w:hint="eastAsia"/>
          <w:b/>
          <w:bCs w:val="0"/>
        </w:rPr>
        <w:t>，境內來源以河川是主要傳輸途徑</w:t>
      </w:r>
      <w:r w:rsidRPr="00535039">
        <w:rPr>
          <w:rFonts w:hAnsi="標楷體" w:hint="eastAsia"/>
        </w:rPr>
        <w:t>，將陸地上的塑膠廢棄物帶入海洋，因</w:t>
      </w:r>
      <w:r w:rsidR="00901A98" w:rsidRPr="00535039">
        <w:rPr>
          <w:rFonts w:hAnsi="標楷體" w:hint="eastAsia"/>
        </w:rPr>
        <w:t>聚乙烯(PE)、聚丙烯(PP)和聚苯乙烯(PS)</w:t>
      </w:r>
      <w:r w:rsidRPr="00535039">
        <w:rPr>
          <w:rFonts w:hAnsi="標楷體" w:hint="eastAsia"/>
        </w:rPr>
        <w:t>等材質廣泛應用於</w:t>
      </w:r>
      <w:r w:rsidRPr="00535039">
        <w:rPr>
          <w:rFonts w:hAnsi="標楷體" w:hint="eastAsia"/>
          <w:u w:val="single"/>
        </w:rPr>
        <w:t>一次性塑膠容器與包裝，其流入海洋後分解，成為主要的微型塑膠來源。其他則有洗滌廢水（牡蠣體內檢出的大量人造纖維，主要來自於衣物在洗滌過程中脫落並隨家庭廢水排入環境，顯示</w:t>
      </w:r>
      <w:r w:rsidR="00716A64" w:rsidRPr="00535039">
        <w:rPr>
          <w:rFonts w:hAnsi="標楷體" w:hint="eastAsia"/>
          <w:u w:val="single"/>
        </w:rPr>
        <w:t>來自</w:t>
      </w:r>
      <w:r w:rsidRPr="00535039">
        <w:rPr>
          <w:rFonts w:hAnsi="標楷體" w:hint="eastAsia"/>
          <w:u w:val="single"/>
        </w:rPr>
        <w:t>非傳統塑膠製品如合成纖維）、養殖漁業</w:t>
      </w:r>
      <w:r w:rsidRPr="00535039">
        <w:rPr>
          <w:rFonts w:hAnsi="標楷體" w:hint="eastAsia"/>
        </w:rPr>
        <w:t>(南部海域在特定季節的發泡塑膠保麗龍污染與</w:t>
      </w:r>
      <w:proofErr w:type="gramStart"/>
      <w:r w:rsidRPr="00535039">
        <w:rPr>
          <w:rFonts w:hAnsi="標楷體" w:hint="eastAsia"/>
        </w:rPr>
        <w:t>蚵</w:t>
      </w:r>
      <w:proofErr w:type="gramEnd"/>
      <w:r w:rsidRPr="00535039">
        <w:rPr>
          <w:rFonts w:hAnsi="標楷體" w:hint="eastAsia"/>
        </w:rPr>
        <w:t>棚養殖活動有高度相關性，這類材料在長期使用過程中</w:t>
      </w:r>
      <w:proofErr w:type="gramStart"/>
      <w:r w:rsidRPr="00535039">
        <w:rPr>
          <w:rFonts w:hAnsi="標楷體" w:hint="eastAsia"/>
        </w:rPr>
        <w:t>容易劣</w:t>
      </w:r>
      <w:proofErr w:type="gramEnd"/>
      <w:r w:rsidRPr="00535039">
        <w:rPr>
          <w:rFonts w:hAnsi="標楷體" w:hint="eastAsia"/>
        </w:rPr>
        <w:t>化並釋出微粒)等情，又據</w:t>
      </w:r>
      <w:r w:rsidR="004259D7" w:rsidRPr="00535039">
        <w:rPr>
          <w:rFonts w:hAnsi="標楷體" w:hint="eastAsia"/>
        </w:rPr>
        <w:t>國衛院</w:t>
      </w:r>
      <w:r w:rsidRPr="00535039">
        <w:rPr>
          <w:rFonts w:hAnsi="標楷體" w:hint="eastAsia"/>
          <w:u w:val="single"/>
        </w:rPr>
        <w:t>國家環境毒物研究中心網站指出</w:t>
      </w:r>
      <w:r w:rsidRPr="00535039">
        <w:rPr>
          <w:rFonts w:hAnsi="標楷體" w:hint="eastAsia"/>
        </w:rPr>
        <w:t>，</w:t>
      </w:r>
      <w:r w:rsidR="00265D7D" w:rsidRPr="00535039">
        <w:rPr>
          <w:rFonts w:hAnsi="標楷體" w:hint="eastAsia"/>
        </w:rPr>
        <w:t>一般水樣本中的</w:t>
      </w:r>
      <w:r w:rsidR="00265D7D" w:rsidRPr="00535039">
        <w:rPr>
          <w:rFonts w:hAnsi="標楷體" w:hint="eastAsia"/>
          <w:u w:val="single"/>
        </w:rPr>
        <w:t>塑膠微粒來源多元，推測包括洗衣廢水之人工合成纖維、輪胎行駛道路磨損產生之粉塵、粉刷塗料產生之粉塵、塑膠廢棄物處理不當之二級</w:t>
      </w:r>
      <w:proofErr w:type="gramStart"/>
      <w:r w:rsidR="00265D7D" w:rsidRPr="00535039">
        <w:rPr>
          <w:rFonts w:hAnsi="標楷體" w:hint="eastAsia"/>
          <w:u w:val="single"/>
        </w:rPr>
        <w:t>衍生性微塑膠</w:t>
      </w:r>
      <w:proofErr w:type="gramEnd"/>
      <w:r w:rsidR="00265D7D" w:rsidRPr="00535039">
        <w:rPr>
          <w:rFonts w:hAnsi="標楷體" w:hint="eastAsia"/>
          <w:u w:val="single"/>
        </w:rPr>
        <w:t>、衣服摩擦飛至空氣中的人工合成纖維、洗面乳及</w:t>
      </w:r>
      <w:r w:rsidR="004259D7" w:rsidRPr="00535039">
        <w:rPr>
          <w:rFonts w:hAnsi="標楷體" w:hint="eastAsia"/>
          <w:u w:val="single"/>
        </w:rPr>
        <w:t>化</w:t>
      </w:r>
      <w:proofErr w:type="gramStart"/>
      <w:r w:rsidR="004259D7" w:rsidRPr="00535039">
        <w:rPr>
          <w:rFonts w:hAnsi="標楷體" w:hint="eastAsia"/>
          <w:u w:val="single"/>
        </w:rPr>
        <w:t>粧</w:t>
      </w:r>
      <w:proofErr w:type="gramEnd"/>
      <w:r w:rsidR="00265D7D" w:rsidRPr="00535039">
        <w:rPr>
          <w:rFonts w:hAnsi="標楷體" w:hint="eastAsia"/>
          <w:u w:val="single"/>
        </w:rPr>
        <w:t>品中添加</w:t>
      </w:r>
      <w:proofErr w:type="gramStart"/>
      <w:r w:rsidR="00265D7D" w:rsidRPr="00535039">
        <w:rPr>
          <w:rFonts w:hAnsi="標楷體" w:hint="eastAsia"/>
          <w:u w:val="single"/>
        </w:rPr>
        <w:t>之微珠</w:t>
      </w:r>
      <w:proofErr w:type="gramEnd"/>
      <w:r w:rsidR="00265D7D" w:rsidRPr="00535039">
        <w:rPr>
          <w:rFonts w:hAnsi="標楷體" w:hint="eastAsia"/>
          <w:u w:val="single"/>
        </w:rPr>
        <w:t>（Microbeads）。塑膠微粒</w:t>
      </w:r>
      <w:r w:rsidR="00265D7D" w:rsidRPr="00535039">
        <w:rPr>
          <w:rFonts w:hAnsi="標楷體" w:hint="eastAsia"/>
        </w:rPr>
        <w:t>會直接或間接藉由大氣循環而進入水循環，最終以懸浮或</w:t>
      </w:r>
      <w:proofErr w:type="gramStart"/>
      <w:r w:rsidR="00265D7D" w:rsidRPr="00535039">
        <w:rPr>
          <w:rFonts w:hAnsi="標楷體" w:hint="eastAsia"/>
        </w:rPr>
        <w:t>沉</w:t>
      </w:r>
      <w:proofErr w:type="gramEnd"/>
      <w:r w:rsidR="00265D7D" w:rsidRPr="00535039">
        <w:rPr>
          <w:rFonts w:hAnsi="標楷體" w:hint="eastAsia"/>
        </w:rPr>
        <w:t>積的形式存在於海洋中</w:t>
      </w:r>
      <w:r w:rsidRPr="00535039">
        <w:rPr>
          <w:rFonts w:hAnsi="標楷體" w:hint="eastAsia"/>
        </w:rPr>
        <w:t>，</w:t>
      </w:r>
      <w:r w:rsidR="00265D7D" w:rsidRPr="00535039">
        <w:rPr>
          <w:rFonts w:hAnsi="標楷體" w:hint="eastAsia"/>
        </w:rPr>
        <w:t>而海洋中的塑膠微粒可能藉由接觸或攝食而累積在於水生生物體內，甚至再</w:t>
      </w:r>
      <w:r w:rsidR="00265D7D" w:rsidRPr="00535039">
        <w:rPr>
          <w:rFonts w:hAnsi="標楷體" w:hint="eastAsia"/>
          <w:u w:val="single"/>
        </w:rPr>
        <w:t>透過生物累積與生物放大作用，轉移至食物鏈上層的生物體中</w:t>
      </w:r>
      <w:r w:rsidR="009E1E9B" w:rsidRPr="00535039">
        <w:rPr>
          <w:rStyle w:val="afe"/>
          <w:rFonts w:hAnsi="標楷體"/>
        </w:rPr>
        <w:footnoteReference w:id="8"/>
      </w:r>
      <w:r w:rsidR="00265D7D" w:rsidRPr="00535039">
        <w:rPr>
          <w:rFonts w:hAnsi="標楷體" w:hint="eastAsia"/>
        </w:rPr>
        <w:t>。</w:t>
      </w:r>
      <w:r w:rsidR="00046D16" w:rsidRPr="00535039">
        <w:rPr>
          <w:rFonts w:hAnsi="標楷體" w:hint="eastAsia"/>
          <w:b/>
        </w:rPr>
        <w:t>基此，塑膠微粒來源廣泛，環境</w:t>
      </w:r>
      <w:proofErr w:type="gramStart"/>
      <w:r w:rsidR="00046D16" w:rsidRPr="00535039">
        <w:rPr>
          <w:rFonts w:hAnsi="標楷體" w:hint="eastAsia"/>
          <w:b/>
        </w:rPr>
        <w:t>部及海委</w:t>
      </w:r>
      <w:proofErr w:type="gramEnd"/>
      <w:r w:rsidR="00046D16" w:rsidRPr="00535039">
        <w:rPr>
          <w:rFonts w:hAnsi="標楷體" w:hint="eastAsia"/>
          <w:b/>
        </w:rPr>
        <w:t>會</w:t>
      </w:r>
      <w:r w:rsidR="00FF525E">
        <w:rPr>
          <w:rFonts w:hAnsi="標楷體" w:hint="eastAsia"/>
          <w:b/>
        </w:rPr>
        <w:t>雖各</w:t>
      </w:r>
      <w:r w:rsidR="00046D16" w:rsidRPr="00535039">
        <w:rPr>
          <w:rFonts w:hAnsi="標楷體" w:hint="eastAsia"/>
          <w:b/>
        </w:rPr>
        <w:t>依職權委託進行環境中塑膠微粒之調查，但所得成果</w:t>
      </w:r>
      <w:r w:rsidR="00046D16" w:rsidRPr="00535039">
        <w:rPr>
          <w:rFonts w:hAnsi="標楷體" w:hint="eastAsia"/>
          <w:b/>
        </w:rPr>
        <w:lastRenderedPageBreak/>
        <w:t>難以相互印證或進行追蹤比較，殊</w:t>
      </w:r>
      <w:proofErr w:type="gramStart"/>
      <w:r w:rsidR="00046D16" w:rsidRPr="00535039">
        <w:rPr>
          <w:rFonts w:hAnsi="標楷體" w:hint="eastAsia"/>
          <w:b/>
        </w:rPr>
        <w:t>為可惜</w:t>
      </w:r>
      <w:proofErr w:type="gramEnd"/>
      <w:r w:rsidR="00046D16" w:rsidRPr="00535039">
        <w:rPr>
          <w:rFonts w:hAnsi="標楷體" w:hint="eastAsia"/>
          <w:b/>
        </w:rPr>
        <w:t>，允宜整合相關資源並完備檢測技術，</w:t>
      </w:r>
      <w:proofErr w:type="gramStart"/>
      <w:r w:rsidR="00046D16" w:rsidRPr="00535039">
        <w:rPr>
          <w:rFonts w:hAnsi="標楷體" w:hint="eastAsia"/>
          <w:b/>
        </w:rPr>
        <w:t>自已</w:t>
      </w:r>
      <w:proofErr w:type="gramEnd"/>
      <w:r w:rsidR="00046D16" w:rsidRPr="00535039">
        <w:rPr>
          <w:rFonts w:hAnsi="標楷體" w:hint="eastAsia"/>
          <w:b/>
        </w:rPr>
        <w:t>獲成果中再逐步調查並建立臺灣海域、指標生物及地面水體之塑膠微粒環境背景資料，</w:t>
      </w:r>
      <w:proofErr w:type="gramStart"/>
      <w:r w:rsidR="00046D16" w:rsidRPr="00535039">
        <w:rPr>
          <w:rFonts w:hAnsi="標楷體" w:hint="eastAsia"/>
          <w:b/>
        </w:rPr>
        <w:t>俾</w:t>
      </w:r>
      <w:proofErr w:type="gramEnd"/>
      <w:r w:rsidR="00046D16" w:rsidRPr="00535039">
        <w:rPr>
          <w:rFonts w:hAnsi="標楷體" w:hint="eastAsia"/>
          <w:b/>
        </w:rPr>
        <w:t>作為行政管制措施之依據，以減少塑膠微粒之危害風險。</w:t>
      </w:r>
    </w:p>
    <w:p w14:paraId="0077BB6E" w14:textId="1D233A74" w:rsidR="00235947" w:rsidRPr="00535039" w:rsidRDefault="00B30DE6" w:rsidP="00FE691E">
      <w:pPr>
        <w:pStyle w:val="3"/>
        <w:rPr>
          <w:rFonts w:hAnsi="標楷體"/>
        </w:rPr>
      </w:pPr>
      <w:r w:rsidRPr="00535039">
        <w:rPr>
          <w:rFonts w:hAnsi="標楷體" w:hint="eastAsia"/>
        </w:rPr>
        <w:t>綜上，</w:t>
      </w:r>
      <w:proofErr w:type="gramStart"/>
      <w:r w:rsidR="00CA7E72" w:rsidRPr="00CA7E72">
        <w:rPr>
          <w:rFonts w:hAnsi="標楷體" w:hint="eastAsia"/>
        </w:rPr>
        <w:t>環境部於105年</w:t>
      </w:r>
      <w:proofErr w:type="gramEnd"/>
      <w:r w:rsidR="00CA7E72" w:rsidRPr="00CA7E72">
        <w:rPr>
          <w:rFonts w:hAnsi="標楷體" w:hint="eastAsia"/>
        </w:rPr>
        <w:t>及107年執行臺灣近海或沙灘塑膠微粒調查，</w:t>
      </w:r>
      <w:proofErr w:type="gramStart"/>
      <w:r w:rsidR="00CA7E72" w:rsidRPr="00CA7E72">
        <w:rPr>
          <w:rFonts w:hAnsi="標楷體" w:hint="eastAsia"/>
        </w:rPr>
        <w:t>海委會</w:t>
      </w:r>
      <w:proofErr w:type="gramEnd"/>
      <w:r w:rsidR="00CA7E72" w:rsidRPr="00CA7E72">
        <w:rPr>
          <w:rFonts w:hAnsi="標楷體" w:hint="eastAsia"/>
        </w:rPr>
        <w:t>則自109年起對河川出海口處海水及生物體之塑膠微粒調查，均認定與</w:t>
      </w:r>
      <w:r w:rsidR="00CA7E72" w:rsidRPr="00CA7E72">
        <w:rPr>
          <w:rFonts w:hAnsi="標楷體" w:hint="eastAsia"/>
          <w:lang w:eastAsia="zh-HK"/>
        </w:rPr>
        <w:t>國際調查研究結果相當，</w:t>
      </w:r>
      <w:proofErr w:type="gramStart"/>
      <w:r w:rsidR="00CA7E72" w:rsidRPr="00CA7E72">
        <w:rPr>
          <w:rFonts w:hAnsi="標楷體" w:hint="eastAsia"/>
          <w:lang w:eastAsia="zh-HK"/>
        </w:rPr>
        <w:t>然查</w:t>
      </w:r>
      <w:proofErr w:type="gramEnd"/>
      <w:r w:rsidR="00CA7E72" w:rsidRPr="00CA7E72">
        <w:rPr>
          <w:rFonts w:hAnsi="標楷體" w:hint="eastAsia"/>
          <w:lang w:eastAsia="zh-HK"/>
        </w:rPr>
        <w:t>二機關之調查結果差異</w:t>
      </w:r>
      <w:r w:rsidR="00CA7E72" w:rsidRPr="00CA7E72">
        <w:rPr>
          <w:rFonts w:hAnsi="標楷體" w:hint="eastAsia"/>
        </w:rPr>
        <w:t>極</w:t>
      </w:r>
      <w:r w:rsidR="00CA7E72" w:rsidRPr="00CA7E72">
        <w:rPr>
          <w:rFonts w:hAnsi="標楷體" w:hint="eastAsia"/>
          <w:lang w:eastAsia="zh-HK"/>
        </w:rPr>
        <w:t>大，究其原因係塑膠微粒成分及型態、</w:t>
      </w:r>
      <w:proofErr w:type="gramStart"/>
      <w:r w:rsidR="00CA7E72" w:rsidRPr="00CA7E72">
        <w:rPr>
          <w:rFonts w:hAnsi="標楷體" w:hint="eastAsia"/>
        </w:rPr>
        <w:t>採</w:t>
      </w:r>
      <w:proofErr w:type="gramEnd"/>
      <w:r w:rsidR="00CA7E72" w:rsidRPr="00CA7E72">
        <w:rPr>
          <w:rFonts w:hAnsi="標楷體" w:hint="eastAsia"/>
        </w:rPr>
        <w:t>樣地點及方式、檢驗方法等諸多因素不同所致，因而各部會調查</w:t>
      </w:r>
      <w:proofErr w:type="gramStart"/>
      <w:r w:rsidR="00CA7E72" w:rsidRPr="00CA7E72">
        <w:rPr>
          <w:rFonts w:hAnsi="標楷體" w:hint="eastAsia"/>
        </w:rPr>
        <w:t>成果間及國際</w:t>
      </w:r>
      <w:proofErr w:type="gramEnd"/>
      <w:r w:rsidR="00CA7E72" w:rsidRPr="00CA7E72">
        <w:rPr>
          <w:rFonts w:hAnsi="標楷體" w:hint="eastAsia"/>
        </w:rPr>
        <w:t>研究數據之比較</w:t>
      </w:r>
      <w:proofErr w:type="gramStart"/>
      <w:r w:rsidR="00CA7E72" w:rsidRPr="00CA7E72">
        <w:rPr>
          <w:rFonts w:hAnsi="標楷體" w:hint="eastAsia"/>
        </w:rPr>
        <w:t>基礎既顯有</w:t>
      </w:r>
      <w:proofErr w:type="gramEnd"/>
      <w:r w:rsidR="00CA7E72" w:rsidRPr="00CA7E72">
        <w:rPr>
          <w:rFonts w:hAnsi="標楷體" w:hint="eastAsia"/>
        </w:rPr>
        <w:t>落差，自難以相互比較印證且無從追蹤塑膠微粒於國內環境中長期間存在及累積等變化情形。</w:t>
      </w:r>
      <w:proofErr w:type="gramStart"/>
      <w:r w:rsidR="00CA7E72" w:rsidRPr="00CA7E72">
        <w:rPr>
          <w:rFonts w:hAnsi="標楷體" w:hint="eastAsia"/>
        </w:rPr>
        <w:t>爰</w:t>
      </w:r>
      <w:proofErr w:type="gramEnd"/>
      <w:r w:rsidR="00CA7E72" w:rsidRPr="00CA7E72">
        <w:rPr>
          <w:rFonts w:hAnsi="標楷體" w:hint="eastAsia"/>
        </w:rPr>
        <w:t>環境</w:t>
      </w:r>
      <w:proofErr w:type="gramStart"/>
      <w:r w:rsidR="00CA7E72" w:rsidRPr="00CA7E72">
        <w:rPr>
          <w:rFonts w:hAnsi="標楷體" w:hint="eastAsia"/>
        </w:rPr>
        <w:t>部及海委會允</w:t>
      </w:r>
      <w:proofErr w:type="gramEnd"/>
      <w:r w:rsidR="00CA7E72" w:rsidRPr="00CA7E72">
        <w:rPr>
          <w:rFonts w:hAnsi="標楷體" w:hint="eastAsia"/>
        </w:rPr>
        <w:t>宜整合相關資源並完備檢測技術，逐步調查並建立臺灣海域、地面水體及指標生物之塑膠微粒環境背景資料，</w:t>
      </w:r>
      <w:proofErr w:type="gramStart"/>
      <w:r w:rsidR="00CA7E72" w:rsidRPr="00CA7E72">
        <w:rPr>
          <w:rFonts w:hAnsi="標楷體" w:hint="eastAsia"/>
        </w:rPr>
        <w:t>俾</w:t>
      </w:r>
      <w:proofErr w:type="gramEnd"/>
      <w:r w:rsidR="00CA7E72" w:rsidRPr="00CA7E72">
        <w:rPr>
          <w:rFonts w:hAnsi="標楷體" w:hint="eastAsia"/>
        </w:rPr>
        <w:t>掌握塑膠微粒於環境流布及食物鏈累積情形，以作為行政管制措施</w:t>
      </w:r>
      <w:proofErr w:type="gramStart"/>
      <w:r w:rsidR="00CA7E72" w:rsidRPr="00CA7E72">
        <w:rPr>
          <w:rFonts w:hAnsi="標楷體" w:hint="eastAsia"/>
        </w:rPr>
        <w:t>之參據</w:t>
      </w:r>
      <w:proofErr w:type="gramEnd"/>
      <w:r w:rsidR="00CA7E72" w:rsidRPr="00CA7E72">
        <w:rPr>
          <w:rFonts w:hAnsi="標楷體" w:hint="eastAsia"/>
        </w:rPr>
        <w:t>，減少塑膠微粒之危害風險。</w:t>
      </w:r>
    </w:p>
    <w:p w14:paraId="1A83EA9F" w14:textId="08CF9430" w:rsidR="005E0DBA" w:rsidRPr="00535039" w:rsidRDefault="00901A98" w:rsidP="003B1C49">
      <w:pPr>
        <w:pStyle w:val="2"/>
        <w:tabs>
          <w:tab w:val="left" w:pos="2552"/>
        </w:tabs>
        <w:rPr>
          <w:rFonts w:hAnsi="標楷體"/>
        </w:rPr>
      </w:pPr>
      <w:r w:rsidRPr="00535039">
        <w:rPr>
          <w:rFonts w:hAnsi="標楷體" w:hint="eastAsia"/>
          <w:b/>
          <w:bCs w:val="0"/>
        </w:rPr>
        <w:t>塑膠微粒主要來源為塑膠製品於廢棄後分解產生</w:t>
      </w:r>
      <w:r w:rsidR="00D26A63" w:rsidRPr="00535039">
        <w:rPr>
          <w:rFonts w:hAnsi="標楷體" w:hint="eastAsia"/>
          <w:b/>
          <w:bCs w:val="0"/>
        </w:rPr>
        <w:t>，且因塑膠微粒暴露普遍存在，</w:t>
      </w:r>
      <w:proofErr w:type="gramStart"/>
      <w:r w:rsidR="00D26A63" w:rsidRPr="00535039">
        <w:rPr>
          <w:rFonts w:hAnsi="標楷體" w:hint="eastAsia"/>
          <w:b/>
          <w:bCs w:val="0"/>
        </w:rPr>
        <w:t>經攝入</w:t>
      </w:r>
      <w:proofErr w:type="gramEnd"/>
      <w:r w:rsidR="00D26A63" w:rsidRPr="00535039">
        <w:rPr>
          <w:rFonts w:hAnsi="標楷體" w:hint="eastAsia"/>
          <w:b/>
          <w:bCs w:val="0"/>
        </w:rPr>
        <w:t>、吸入可進入人體組織而造成健康風險，</w:t>
      </w:r>
      <w:proofErr w:type="gramStart"/>
      <w:r w:rsidR="00C00963" w:rsidRPr="00535039">
        <w:rPr>
          <w:rFonts w:hAnsi="標楷體" w:hint="eastAsia"/>
          <w:b/>
          <w:bCs w:val="0"/>
        </w:rPr>
        <w:t>環境部</w:t>
      </w:r>
      <w:r w:rsidR="00D26A63" w:rsidRPr="00535039">
        <w:rPr>
          <w:rFonts w:hAnsi="標楷體" w:hint="eastAsia"/>
          <w:b/>
          <w:bCs w:val="0"/>
        </w:rPr>
        <w:t>已</w:t>
      </w:r>
      <w:r w:rsidR="00C00963" w:rsidRPr="00535039">
        <w:rPr>
          <w:rFonts w:hAnsi="標楷體" w:hint="eastAsia"/>
          <w:b/>
          <w:bCs w:val="0"/>
        </w:rPr>
        <w:t>自</w:t>
      </w:r>
      <w:proofErr w:type="gramEnd"/>
      <w:r w:rsidR="00C00963" w:rsidRPr="00535039">
        <w:rPr>
          <w:rFonts w:hAnsi="標楷體" w:hint="eastAsia"/>
          <w:b/>
          <w:bCs w:val="0"/>
        </w:rPr>
        <w:t>91年起</w:t>
      </w:r>
      <w:proofErr w:type="gramStart"/>
      <w:r w:rsidR="00C00963" w:rsidRPr="00535039">
        <w:rPr>
          <w:rFonts w:hAnsi="標楷體" w:hint="eastAsia"/>
          <w:b/>
          <w:bCs w:val="0"/>
        </w:rPr>
        <w:t>推動限塑政策</w:t>
      </w:r>
      <w:proofErr w:type="gramEnd"/>
      <w:r w:rsidR="00C00963" w:rsidRPr="00535039">
        <w:rPr>
          <w:rFonts w:hAnsi="標楷體" w:hint="eastAsia"/>
          <w:b/>
          <w:bCs w:val="0"/>
        </w:rPr>
        <w:t>，由購物用塑膠袋及免洗餐具開始管制，逐步擴大相關塑膠</w:t>
      </w:r>
      <w:r w:rsidR="00D92CA0" w:rsidRPr="00535039">
        <w:rPr>
          <w:rFonts w:hAnsi="標楷體" w:hint="eastAsia"/>
          <w:b/>
          <w:bCs w:val="0"/>
        </w:rPr>
        <w:t>製品使用，</w:t>
      </w:r>
      <w:r w:rsidR="00F43A24" w:rsidRPr="00535039">
        <w:rPr>
          <w:rFonts w:hAnsi="標楷體" w:hint="eastAsia"/>
          <w:b/>
          <w:bCs w:val="0"/>
        </w:rPr>
        <w:t>採取禁止、限制運作、鼓勵自備、提供循環服務等管理方式，</w:t>
      </w:r>
      <w:r w:rsidR="00C00963" w:rsidRPr="00535039">
        <w:rPr>
          <w:rFonts w:hAnsi="標楷體" w:hint="eastAsia"/>
          <w:b/>
          <w:bCs w:val="0"/>
        </w:rPr>
        <w:t>引導業者改變產品設計、改變民眾消費與生活習慣，以減少廢棄物產生與對環境的衝擊</w:t>
      </w:r>
      <w:r w:rsidR="000B5484" w:rsidRPr="00535039">
        <w:rPr>
          <w:rFonts w:hAnsi="標楷體" w:hint="eastAsia"/>
          <w:b/>
          <w:bCs w:val="0"/>
        </w:rPr>
        <w:t>。</w:t>
      </w:r>
      <w:r w:rsidR="00D26A63" w:rsidRPr="00535039">
        <w:rPr>
          <w:rFonts w:hAnsi="標楷體" w:hint="eastAsia"/>
          <w:b/>
          <w:bCs w:val="0"/>
        </w:rPr>
        <w:t>又</w:t>
      </w:r>
      <w:r w:rsidR="00094963" w:rsidRPr="00535039">
        <w:rPr>
          <w:rFonts w:hAnsi="標楷體" w:hint="eastAsia"/>
          <w:b/>
          <w:bCs w:val="0"/>
        </w:rPr>
        <w:t>我國於「臺灣2050</w:t>
      </w:r>
      <w:proofErr w:type="gramStart"/>
      <w:r w:rsidR="00094963" w:rsidRPr="00535039">
        <w:rPr>
          <w:rFonts w:hAnsi="標楷體" w:hint="eastAsia"/>
          <w:b/>
          <w:bCs w:val="0"/>
        </w:rPr>
        <w:t>淨零轉型</w:t>
      </w:r>
      <w:proofErr w:type="gramEnd"/>
      <w:r w:rsidR="00094963" w:rsidRPr="00535039">
        <w:rPr>
          <w:rFonts w:hAnsi="標楷體" w:hint="eastAsia"/>
          <w:b/>
          <w:bCs w:val="0"/>
        </w:rPr>
        <w:t>『資源循環零廢棄』關鍵戰略行動計畫（112年4月核定本）」</w:t>
      </w:r>
      <w:r w:rsidR="00616480">
        <w:rPr>
          <w:rFonts w:hAnsi="標楷體" w:hint="eastAsia"/>
          <w:b/>
          <w:bCs w:val="0"/>
        </w:rPr>
        <w:t>業列明</w:t>
      </w:r>
      <w:r w:rsidR="00094963" w:rsidRPr="00535039">
        <w:rPr>
          <w:rFonts w:hAnsi="標楷體" w:hint="eastAsia"/>
          <w:b/>
          <w:bCs w:val="0"/>
        </w:rPr>
        <w:t>塑膠項目指標，至2030年短期推動工作目標（以2020年為基準）為「一次性塑膠包裝用量減少率25%」、</w:t>
      </w:r>
      <w:r w:rsidR="00094963" w:rsidRPr="00535039">
        <w:rPr>
          <w:rFonts w:hAnsi="標楷體" w:hint="eastAsia"/>
          <w:b/>
          <w:bCs w:val="0"/>
        </w:rPr>
        <w:lastRenderedPageBreak/>
        <w:t>「塑膠包裝容器回收率70%」、「塑膠包裝添加再生料比例25%」等</w:t>
      </w:r>
      <w:r w:rsidR="009C6F48" w:rsidRPr="00535039">
        <w:rPr>
          <w:rFonts w:hAnsi="標楷體" w:hint="eastAsia"/>
          <w:b/>
          <w:bCs w:val="0"/>
        </w:rPr>
        <w:t>目</w:t>
      </w:r>
      <w:r w:rsidR="00616480">
        <w:rPr>
          <w:rFonts w:hAnsi="標楷體" w:hint="eastAsia"/>
          <w:b/>
          <w:bCs w:val="0"/>
        </w:rPr>
        <w:t>標</w:t>
      </w:r>
      <w:r w:rsidR="000F2395" w:rsidRPr="00535039">
        <w:rPr>
          <w:rFonts w:hAnsi="標楷體" w:hint="eastAsia"/>
          <w:b/>
          <w:bCs w:val="0"/>
        </w:rPr>
        <w:t>，然據</w:t>
      </w:r>
      <w:r w:rsidR="006F1ED0" w:rsidRPr="00535039">
        <w:rPr>
          <w:rFonts w:hAnsi="標楷體" w:hint="eastAsia"/>
          <w:b/>
          <w:bCs w:val="0"/>
        </w:rPr>
        <w:t>歐盟「零污染行動計畫</w:t>
      </w:r>
      <w:r w:rsidR="000F2395" w:rsidRPr="00535039">
        <w:rPr>
          <w:rFonts w:hAnsi="標楷體" w:hint="eastAsia"/>
          <w:b/>
          <w:bCs w:val="0"/>
        </w:rPr>
        <w:t>（2021年）</w:t>
      </w:r>
      <w:r w:rsidR="006F1ED0" w:rsidRPr="00535039">
        <w:rPr>
          <w:rFonts w:hAnsi="標楷體" w:hint="eastAsia"/>
          <w:b/>
          <w:bCs w:val="0"/>
        </w:rPr>
        <w:t>」設定於2030年前（以2016年為基準）將環境中塑膠微粒排放量減少30%的目標</w:t>
      </w:r>
      <w:r w:rsidR="00B95412" w:rsidRPr="00535039">
        <w:rPr>
          <w:rFonts w:hAnsi="標楷體" w:hint="eastAsia"/>
          <w:b/>
          <w:bCs w:val="0"/>
        </w:rPr>
        <w:t>，</w:t>
      </w:r>
      <w:r w:rsidR="008D6A8C" w:rsidRPr="00535039">
        <w:rPr>
          <w:rFonts w:hAnsi="標楷體" w:hint="eastAsia"/>
          <w:b/>
          <w:bCs w:val="0"/>
        </w:rPr>
        <w:t>係</w:t>
      </w:r>
      <w:r w:rsidR="00B95412" w:rsidRPr="00535039">
        <w:rPr>
          <w:rFonts w:hAnsi="標楷體" w:hint="eastAsia"/>
          <w:b/>
          <w:bCs w:val="0"/>
        </w:rPr>
        <w:t>藉由減少塑膠污染（會分解成塑膠</w:t>
      </w:r>
      <w:r w:rsidR="008D6A8C" w:rsidRPr="00535039">
        <w:rPr>
          <w:rFonts w:hAnsi="標楷體" w:hint="eastAsia"/>
          <w:b/>
          <w:bCs w:val="0"/>
        </w:rPr>
        <w:t>微粒</w:t>
      </w:r>
      <w:r w:rsidR="00B95412" w:rsidRPr="00535039">
        <w:rPr>
          <w:rFonts w:hAnsi="標楷體" w:hint="eastAsia"/>
          <w:b/>
          <w:bCs w:val="0"/>
        </w:rPr>
        <w:t>）、限制產品中添加</w:t>
      </w:r>
      <w:r w:rsidR="00CF7DB4" w:rsidRPr="00535039">
        <w:rPr>
          <w:rFonts w:hAnsi="標楷體" w:hint="eastAsia"/>
          <w:b/>
          <w:bCs w:val="0"/>
        </w:rPr>
        <w:t>塑膠微粒</w:t>
      </w:r>
      <w:r w:rsidR="00B95412" w:rsidRPr="00535039">
        <w:rPr>
          <w:rFonts w:hAnsi="標楷體" w:hint="eastAsia"/>
          <w:b/>
          <w:bCs w:val="0"/>
        </w:rPr>
        <w:t>及減少塑膠微粒的意外</w:t>
      </w:r>
      <w:r w:rsidR="00A14305" w:rsidRPr="00535039">
        <w:rPr>
          <w:rFonts w:hAnsi="標楷體" w:hint="eastAsia"/>
          <w:b/>
          <w:bCs w:val="0"/>
        </w:rPr>
        <w:t>排放等</w:t>
      </w:r>
      <w:r w:rsidR="009C6F48" w:rsidRPr="00535039">
        <w:rPr>
          <w:rFonts w:hAnsi="標楷體" w:hint="eastAsia"/>
          <w:b/>
          <w:bCs w:val="0"/>
        </w:rPr>
        <w:t>作為</w:t>
      </w:r>
      <w:r w:rsidR="006F1ED0" w:rsidRPr="00535039">
        <w:rPr>
          <w:rFonts w:hAnsi="標楷體" w:hint="eastAsia"/>
          <w:b/>
          <w:bCs w:val="0"/>
        </w:rPr>
        <w:t>，</w:t>
      </w:r>
      <w:r w:rsidR="009C6F48" w:rsidRPr="00535039">
        <w:rPr>
          <w:rFonts w:hAnsi="標楷體" w:hint="eastAsia"/>
          <w:b/>
          <w:bCs w:val="0"/>
        </w:rPr>
        <w:t>而</w:t>
      </w:r>
      <w:r w:rsidR="000F2395" w:rsidRPr="00535039">
        <w:rPr>
          <w:rFonts w:hAnsi="標楷體" w:hint="eastAsia"/>
          <w:b/>
          <w:bCs w:val="0"/>
        </w:rPr>
        <w:t>我國相關政策目標之</w:t>
      </w:r>
      <w:r w:rsidR="00B95A5C" w:rsidRPr="00535039">
        <w:rPr>
          <w:rFonts w:hAnsi="標楷體" w:hint="eastAsia"/>
          <w:b/>
          <w:bCs w:val="0"/>
        </w:rPr>
        <w:t>基準年設定、</w:t>
      </w:r>
      <w:proofErr w:type="gramStart"/>
      <w:r w:rsidR="0019340E" w:rsidRPr="00535039">
        <w:rPr>
          <w:rFonts w:hAnsi="標楷體" w:hint="eastAsia"/>
          <w:b/>
          <w:bCs w:val="0"/>
        </w:rPr>
        <w:t>限塑</w:t>
      </w:r>
      <w:r w:rsidR="00B95A5C" w:rsidRPr="00535039">
        <w:rPr>
          <w:rFonts w:hAnsi="標楷體" w:hint="eastAsia"/>
          <w:b/>
          <w:bCs w:val="0"/>
        </w:rPr>
        <w:t>目標值</w:t>
      </w:r>
      <w:proofErr w:type="gramEnd"/>
      <w:r w:rsidR="00E05BA2" w:rsidRPr="00535039">
        <w:rPr>
          <w:rFonts w:hAnsi="標楷體" w:hint="eastAsia"/>
          <w:b/>
          <w:bCs w:val="0"/>
        </w:rPr>
        <w:t>，與歐盟「零污染行動計畫」</w:t>
      </w:r>
      <w:r w:rsidR="00B95A5C" w:rsidRPr="00535039">
        <w:rPr>
          <w:rFonts w:hAnsi="標楷體" w:hint="eastAsia"/>
          <w:b/>
          <w:bCs w:val="0"/>
        </w:rPr>
        <w:t>有</w:t>
      </w:r>
      <w:r w:rsidR="0019340E" w:rsidRPr="00535039">
        <w:rPr>
          <w:rFonts w:hAnsi="標楷體" w:hint="eastAsia"/>
          <w:b/>
          <w:bCs w:val="0"/>
        </w:rPr>
        <w:t>所落差</w:t>
      </w:r>
      <w:r w:rsidR="008D6A8C" w:rsidRPr="00535039">
        <w:rPr>
          <w:rFonts w:hAnsi="標楷體" w:hint="eastAsia"/>
          <w:b/>
          <w:bCs w:val="0"/>
        </w:rPr>
        <w:t>，且</w:t>
      </w:r>
      <w:r w:rsidR="00D91354" w:rsidRPr="00535039">
        <w:rPr>
          <w:rFonts w:hAnsi="標楷體" w:hint="eastAsia"/>
          <w:b/>
          <w:bCs w:val="0"/>
        </w:rPr>
        <w:t>該</w:t>
      </w:r>
      <w:r w:rsidR="008D6A8C" w:rsidRPr="00535039">
        <w:rPr>
          <w:rFonts w:hAnsi="標楷體" w:hint="eastAsia"/>
          <w:b/>
          <w:bCs w:val="0"/>
        </w:rPr>
        <w:t>目標</w:t>
      </w:r>
      <w:r w:rsidR="00D91354" w:rsidRPr="00535039">
        <w:rPr>
          <w:rFonts w:hAnsi="標楷體" w:hint="eastAsia"/>
          <w:b/>
          <w:bCs w:val="0"/>
        </w:rPr>
        <w:t>值</w:t>
      </w:r>
      <w:r w:rsidR="008D6A8C" w:rsidRPr="00535039">
        <w:rPr>
          <w:rFonts w:hAnsi="標楷體" w:hint="eastAsia"/>
          <w:b/>
          <w:bCs w:val="0"/>
        </w:rPr>
        <w:t>與塑膠微粒排放</w:t>
      </w:r>
      <w:proofErr w:type="gramStart"/>
      <w:r w:rsidR="008D6A8C" w:rsidRPr="00535039">
        <w:rPr>
          <w:rFonts w:hAnsi="標楷體" w:hint="eastAsia"/>
          <w:b/>
          <w:bCs w:val="0"/>
        </w:rPr>
        <w:t>量間</w:t>
      </w:r>
      <w:r w:rsidR="00D91354" w:rsidRPr="00535039">
        <w:rPr>
          <w:rFonts w:hAnsi="標楷體" w:hint="eastAsia"/>
          <w:b/>
          <w:bCs w:val="0"/>
        </w:rPr>
        <w:t>亦</w:t>
      </w:r>
      <w:r w:rsidR="008D6A8C" w:rsidRPr="00535039">
        <w:rPr>
          <w:rFonts w:hAnsi="標楷體" w:hint="eastAsia"/>
          <w:b/>
          <w:bCs w:val="0"/>
        </w:rPr>
        <w:t>欠缺</w:t>
      </w:r>
      <w:proofErr w:type="gramEnd"/>
      <w:r w:rsidR="008D6A8C" w:rsidRPr="00535039">
        <w:rPr>
          <w:rFonts w:hAnsi="標楷體" w:hint="eastAsia"/>
          <w:b/>
          <w:bCs w:val="0"/>
        </w:rPr>
        <w:t>關聯性，</w:t>
      </w:r>
      <w:r w:rsidR="00FC6B12" w:rsidRPr="00535039">
        <w:rPr>
          <w:rFonts w:hAnsi="標楷體" w:hint="eastAsia"/>
          <w:b/>
          <w:bCs w:val="0"/>
        </w:rPr>
        <w:t>宜詳</w:t>
      </w:r>
      <w:proofErr w:type="gramStart"/>
      <w:r w:rsidR="00FC6B12" w:rsidRPr="00535039">
        <w:rPr>
          <w:rFonts w:hAnsi="標楷體" w:hint="eastAsia"/>
          <w:b/>
          <w:bCs w:val="0"/>
        </w:rPr>
        <w:t>予</w:t>
      </w:r>
      <w:r w:rsidR="008D6A8C" w:rsidRPr="00535039">
        <w:rPr>
          <w:rFonts w:hAnsi="標楷體" w:hint="eastAsia"/>
          <w:b/>
          <w:bCs w:val="0"/>
        </w:rPr>
        <w:t>審</w:t>
      </w:r>
      <w:proofErr w:type="gramEnd"/>
      <w:r w:rsidR="008D6A8C" w:rsidRPr="00535039">
        <w:rPr>
          <w:rFonts w:hAnsi="標楷體" w:hint="eastAsia"/>
          <w:b/>
          <w:bCs w:val="0"/>
        </w:rPr>
        <w:t>視並檢討改進。</w:t>
      </w:r>
    </w:p>
    <w:p w14:paraId="74984AFE" w14:textId="175D8AFB" w:rsidR="00391349" w:rsidRPr="00535039" w:rsidRDefault="00D26A63" w:rsidP="00CF3921">
      <w:pPr>
        <w:pStyle w:val="3"/>
        <w:rPr>
          <w:rFonts w:hAnsi="標楷體"/>
        </w:rPr>
      </w:pPr>
      <w:r w:rsidRPr="00535039">
        <w:rPr>
          <w:rFonts w:hAnsi="標楷體" w:hint="eastAsia"/>
        </w:rPr>
        <w:t>塑膠微粒主要來源為塑膠製品於廢棄後分解產生</w:t>
      </w:r>
      <w:r w:rsidR="004259D7" w:rsidRPr="00535039">
        <w:rPr>
          <w:rFonts w:hAnsi="標楷體" w:hint="eastAsia"/>
        </w:rPr>
        <w:t>，</w:t>
      </w:r>
      <w:r w:rsidRPr="00535039">
        <w:rPr>
          <w:rFonts w:hAnsi="標楷體" w:hint="eastAsia"/>
        </w:rPr>
        <w:t>已如前述，</w:t>
      </w:r>
      <w:r w:rsidR="00391349" w:rsidRPr="00535039">
        <w:rPr>
          <w:rFonts w:hAnsi="標楷體" w:hint="eastAsia"/>
        </w:rPr>
        <w:t>復據相關媒體報導如「歐盟</w:t>
      </w:r>
      <w:proofErr w:type="gramStart"/>
      <w:r w:rsidR="00391349" w:rsidRPr="00535039">
        <w:rPr>
          <w:rFonts w:hAnsi="標楷體" w:hint="eastAsia"/>
        </w:rPr>
        <w:t>2021年起禁塑</w:t>
      </w:r>
      <w:proofErr w:type="gramEnd"/>
      <w:r w:rsidR="00391349" w:rsidRPr="00535039">
        <w:rPr>
          <w:rFonts w:hAnsi="標楷體" w:hint="eastAsia"/>
        </w:rPr>
        <w:t>，加紐等國將跟進 當人體器官驗出塑膠微粒：</w:t>
      </w:r>
      <w:proofErr w:type="gramStart"/>
      <w:r w:rsidR="00391349" w:rsidRPr="00535039">
        <w:rPr>
          <w:rFonts w:hAnsi="標楷體" w:hint="eastAsia"/>
        </w:rPr>
        <w:t>台灣限塑18年</w:t>
      </w:r>
      <w:proofErr w:type="gramEnd"/>
      <w:r w:rsidR="00391349" w:rsidRPr="00535039">
        <w:rPr>
          <w:rFonts w:hAnsi="標楷體" w:hint="eastAsia"/>
        </w:rPr>
        <w:t>，然後呢？(</w:t>
      </w:r>
      <w:r w:rsidR="00391349" w:rsidRPr="00535039">
        <w:rPr>
          <w:rFonts w:hAnsi="標楷體"/>
        </w:rPr>
        <w:t>2020</w:t>
      </w:r>
      <w:r w:rsidR="00391349" w:rsidRPr="00535039">
        <w:rPr>
          <w:rFonts w:hAnsi="標楷體" w:hint="eastAsia"/>
        </w:rPr>
        <w:t>年</w:t>
      </w:r>
      <w:r w:rsidR="00391349" w:rsidRPr="00535039">
        <w:rPr>
          <w:rFonts w:hAnsi="標楷體"/>
        </w:rPr>
        <w:t>9</w:t>
      </w:r>
      <w:r w:rsidR="00391349" w:rsidRPr="00535039">
        <w:rPr>
          <w:rFonts w:hAnsi="標楷體" w:hint="eastAsia"/>
        </w:rPr>
        <w:t>月3</w:t>
      </w:r>
      <w:r w:rsidR="00391349" w:rsidRPr="00535039">
        <w:rPr>
          <w:rFonts w:hAnsi="標楷體"/>
        </w:rPr>
        <w:t>0</w:t>
      </w:r>
      <w:r w:rsidR="00391349" w:rsidRPr="00535039">
        <w:rPr>
          <w:rFonts w:hAnsi="標楷體" w:hint="eastAsia"/>
        </w:rPr>
        <w:t>日</w:t>
      </w:r>
      <w:r w:rsidR="00391349" w:rsidRPr="00535039">
        <w:rPr>
          <w:rFonts w:hAnsi="標楷體"/>
        </w:rPr>
        <w:t>)</w:t>
      </w:r>
      <w:r w:rsidR="00391349" w:rsidRPr="00535039">
        <w:rPr>
          <w:rStyle w:val="afe"/>
          <w:rFonts w:hAnsi="標楷體"/>
        </w:rPr>
        <w:footnoteReference w:id="9"/>
      </w:r>
      <w:r w:rsidR="00391349" w:rsidRPr="00535039">
        <w:rPr>
          <w:rFonts w:hAnsi="標楷體" w:hint="eastAsia"/>
        </w:rPr>
        <w:t>」「國人體內塑化劑濃度『高歐美2至7倍』！北醫調查：與食品包裝有關(</w:t>
      </w:r>
      <w:r w:rsidR="00391349" w:rsidRPr="00535039">
        <w:rPr>
          <w:rFonts w:hAnsi="標楷體"/>
        </w:rPr>
        <w:t>2024</w:t>
      </w:r>
      <w:r w:rsidR="00391349" w:rsidRPr="00535039">
        <w:rPr>
          <w:rFonts w:hAnsi="標楷體" w:hint="eastAsia"/>
        </w:rPr>
        <w:t>年6月6日</w:t>
      </w:r>
      <w:r w:rsidR="00391349" w:rsidRPr="00535039">
        <w:rPr>
          <w:rFonts w:hAnsi="標楷體"/>
        </w:rPr>
        <w:t>)</w:t>
      </w:r>
      <w:r w:rsidR="00391349" w:rsidRPr="00535039">
        <w:rPr>
          <w:rStyle w:val="afe"/>
          <w:rFonts w:hAnsi="標楷體"/>
        </w:rPr>
        <w:footnoteReference w:id="10"/>
      </w:r>
      <w:r w:rsidR="00391349" w:rsidRPr="00535039">
        <w:rPr>
          <w:rFonts w:hAnsi="標楷體" w:hint="eastAsia"/>
        </w:rPr>
        <w:t>」「大腦塑膠微粒多到『能做湯匙』</w:t>
      </w:r>
      <w:proofErr w:type="gramStart"/>
      <w:r w:rsidR="00391349" w:rsidRPr="00535039">
        <w:rPr>
          <w:rFonts w:hAnsi="標楷體" w:hint="eastAsia"/>
        </w:rPr>
        <w:t>研究揭少喝</w:t>
      </w:r>
      <w:proofErr w:type="gramEnd"/>
      <w:r w:rsidR="00391349" w:rsidRPr="00535039">
        <w:rPr>
          <w:rFonts w:hAnsi="標楷體" w:hint="eastAsia"/>
        </w:rPr>
        <w:t>1物改善90％(</w:t>
      </w:r>
      <w:r w:rsidR="00391349" w:rsidRPr="00535039">
        <w:rPr>
          <w:rFonts w:hAnsi="標楷體"/>
        </w:rPr>
        <w:t>202</w:t>
      </w:r>
      <w:r w:rsidR="00391349" w:rsidRPr="00535039">
        <w:rPr>
          <w:rFonts w:hAnsi="標楷體" w:hint="eastAsia"/>
        </w:rPr>
        <w:t>5年3月6日</w:t>
      </w:r>
      <w:r w:rsidR="00391349" w:rsidRPr="00535039">
        <w:rPr>
          <w:rFonts w:hAnsi="標楷體"/>
        </w:rPr>
        <w:t>)</w:t>
      </w:r>
      <w:r w:rsidR="00391349" w:rsidRPr="00535039">
        <w:rPr>
          <w:rStyle w:val="afe"/>
          <w:rFonts w:hAnsi="標楷體"/>
        </w:rPr>
        <w:footnoteReference w:id="11"/>
      </w:r>
      <w:r w:rsidR="00391349" w:rsidRPr="00535039">
        <w:rPr>
          <w:rFonts w:hAnsi="標楷體" w:hint="eastAsia"/>
        </w:rPr>
        <w:t>」，可知塑膠微粒暴露普遍存在且可進入多種人體組織，且有</w:t>
      </w:r>
      <w:proofErr w:type="gramStart"/>
      <w:r w:rsidR="00391349" w:rsidRPr="00535039">
        <w:rPr>
          <w:rFonts w:hAnsi="標楷體" w:hint="eastAsia"/>
        </w:rPr>
        <w:t>衛福部查</w:t>
      </w:r>
      <w:proofErr w:type="gramEnd"/>
      <w:r w:rsidR="00391349" w:rsidRPr="00535039">
        <w:rPr>
          <w:rFonts w:hAnsi="標楷體" w:hint="eastAsia"/>
        </w:rPr>
        <w:t>復：「</w:t>
      </w:r>
      <w:r w:rsidR="00B3081B">
        <w:rPr>
          <w:rFonts w:hAnsi="標楷體" w:hint="eastAsia"/>
        </w:rPr>
        <w:t>因</w:t>
      </w:r>
      <w:r w:rsidR="00391349" w:rsidRPr="00535039">
        <w:rPr>
          <w:rFonts w:hAnsi="標楷體" w:hint="eastAsia"/>
        </w:rPr>
        <w:t>塑膠微粒廣布於各種環境介質中</w:t>
      </w:r>
      <w:r w:rsidR="00B3081B">
        <w:rPr>
          <w:rFonts w:hAnsi="標楷體" w:hint="eastAsia"/>
        </w:rPr>
        <w:t>，</w:t>
      </w:r>
      <w:r w:rsidR="00391349" w:rsidRPr="00535039">
        <w:rPr>
          <w:rFonts w:hAnsi="標楷體" w:hint="eastAsia"/>
        </w:rPr>
        <w:t>對於塑膠微粒之管理，源頭</w:t>
      </w:r>
      <w:proofErr w:type="gramStart"/>
      <w:r w:rsidR="00391349" w:rsidRPr="00535039">
        <w:rPr>
          <w:rFonts w:hAnsi="標楷體" w:hint="eastAsia"/>
        </w:rPr>
        <w:t>管控才是</w:t>
      </w:r>
      <w:proofErr w:type="gramEnd"/>
      <w:r w:rsidR="00391349" w:rsidRPr="00535039">
        <w:rPr>
          <w:rFonts w:hAnsi="標楷體" w:hint="eastAsia"/>
        </w:rPr>
        <w:t>減少塑膠微粒污染環境之關鍵。宣導落實生活</w:t>
      </w:r>
      <w:proofErr w:type="gramStart"/>
      <w:r w:rsidR="00391349" w:rsidRPr="00535039">
        <w:rPr>
          <w:rFonts w:hAnsi="標楷體" w:hint="eastAsia"/>
        </w:rPr>
        <w:t>中減塑</w:t>
      </w:r>
      <w:proofErr w:type="gramEnd"/>
      <w:r w:rsidR="00391349" w:rsidRPr="00535039">
        <w:rPr>
          <w:rFonts w:hAnsi="標楷體" w:hint="eastAsia"/>
        </w:rPr>
        <w:t>，不使用一次性塑膠產品與塑膠製包裝材料，並選擇環保且能重複利用之產品，是最有效能降低塑膠微粒的暴露風險，一次性塑膠類產品減少使用由環境部推動。」以及</w:t>
      </w:r>
      <w:r w:rsidR="00391349" w:rsidRPr="00535039">
        <w:rPr>
          <w:rFonts w:hAnsi="標楷體" w:hint="eastAsia"/>
          <w:u w:val="single"/>
        </w:rPr>
        <w:t>國</w:t>
      </w:r>
      <w:proofErr w:type="gramStart"/>
      <w:r w:rsidR="00391349" w:rsidRPr="00535039">
        <w:rPr>
          <w:rFonts w:hAnsi="標楷體" w:hint="eastAsia"/>
          <w:u w:val="single"/>
        </w:rPr>
        <w:t>衛院查復</w:t>
      </w:r>
      <w:proofErr w:type="gramEnd"/>
      <w:r w:rsidR="00391349" w:rsidRPr="00535039">
        <w:rPr>
          <w:rFonts w:hAnsi="標楷體" w:hint="eastAsia"/>
        </w:rPr>
        <w:t>：「目前國際文獻探討塑膠微粒對人體健康影響的研究相當有限，尚無因果關係之研究。目前只有報導人體內可檢測到</w:t>
      </w:r>
      <w:r w:rsidR="00391349" w:rsidRPr="00535039">
        <w:rPr>
          <w:rFonts w:hAnsi="標楷體" w:hint="eastAsia"/>
        </w:rPr>
        <w:lastRenderedPageBreak/>
        <w:t>塑膠微粒，或者某些</w:t>
      </w:r>
      <w:proofErr w:type="gramStart"/>
      <w:r w:rsidR="00391349" w:rsidRPr="00535039">
        <w:rPr>
          <w:rFonts w:hAnsi="標楷體" w:hint="eastAsia"/>
        </w:rPr>
        <w:t>患者體比正</w:t>
      </w:r>
      <w:proofErr w:type="gramEnd"/>
      <w:r w:rsidR="00391349" w:rsidRPr="00535039">
        <w:rPr>
          <w:rFonts w:hAnsi="標楷體" w:hint="eastAsia"/>
        </w:rPr>
        <w:t>常人體內較多塑膠微粒，但是無法證實塑膠微粒的存在與疾病發生有關。</w:t>
      </w:r>
      <w:r w:rsidR="00391349" w:rsidRPr="00535039">
        <w:rPr>
          <w:rFonts w:hAnsi="標楷體"/>
        </w:rPr>
        <w:t>…</w:t>
      </w:r>
      <w:proofErr w:type="gramStart"/>
      <w:r w:rsidR="00391349" w:rsidRPr="00535039">
        <w:rPr>
          <w:rFonts w:hAnsi="標楷體"/>
        </w:rPr>
        <w:t>…</w:t>
      </w:r>
      <w:proofErr w:type="gramEnd"/>
      <w:r w:rsidR="00391349" w:rsidRPr="00535039">
        <w:rPr>
          <w:rFonts w:hAnsi="標楷體" w:hint="eastAsia"/>
          <w:u w:val="single"/>
        </w:rPr>
        <w:t>塑膠微粒暴露主要途徑包括攝入與吸入，然而，吸入途徑的健康風險可能更高，因為顆粒能直接到達肺泡，部分甚至進入血液循環與腦部</w:t>
      </w:r>
      <w:r w:rsidR="00391349" w:rsidRPr="00535039">
        <w:rPr>
          <w:rFonts w:hAnsi="標楷體" w:hint="eastAsia"/>
        </w:rPr>
        <w:t>；</w:t>
      </w:r>
      <w:proofErr w:type="gramStart"/>
      <w:r w:rsidR="00391349" w:rsidRPr="00535039">
        <w:rPr>
          <w:rFonts w:hAnsi="標楷體" w:hint="eastAsia"/>
        </w:rPr>
        <w:t>而攝入</w:t>
      </w:r>
      <w:proofErr w:type="gramEnd"/>
      <w:r w:rsidR="00391349" w:rsidRPr="00535039">
        <w:rPr>
          <w:rFonts w:hAnsi="標楷體" w:hint="eastAsia"/>
        </w:rPr>
        <w:t>顆粒部分可經糞便排出。</w:t>
      </w:r>
      <w:r w:rsidR="00391349" w:rsidRPr="00535039">
        <w:rPr>
          <w:rFonts w:hAnsi="標楷體"/>
        </w:rPr>
        <w:t>…</w:t>
      </w:r>
      <w:proofErr w:type="gramStart"/>
      <w:r w:rsidR="00391349" w:rsidRPr="00535039">
        <w:rPr>
          <w:rFonts w:hAnsi="標楷體"/>
        </w:rPr>
        <w:t>…</w:t>
      </w:r>
      <w:proofErr w:type="gramEnd"/>
      <w:r w:rsidR="00391349" w:rsidRPr="00535039">
        <w:rPr>
          <w:rFonts w:hAnsi="標楷體" w:hint="eastAsia"/>
        </w:rPr>
        <w:t>對於危害人體致病的相關性，目前尚無科學實證研究發現，而依據</w:t>
      </w:r>
      <w:r w:rsidR="00391349" w:rsidRPr="00535039">
        <w:rPr>
          <w:rFonts w:hAnsi="標楷體" w:hint="eastAsia"/>
          <w:u w:val="single"/>
        </w:rPr>
        <w:t>現有的國際臨床與流行病學發現與推測：心血管疾病（動脈粥樣斑塊中檢出MNP</w:t>
      </w:r>
      <w:r w:rsidR="00391349" w:rsidRPr="00535039">
        <w:rPr>
          <w:rStyle w:val="afe"/>
          <w:rFonts w:hAnsi="標楷體"/>
          <w:u w:val="single"/>
        </w:rPr>
        <w:footnoteReference w:id="12"/>
      </w:r>
      <w:r w:rsidR="00391349" w:rsidRPr="00535039">
        <w:rPr>
          <w:rFonts w:hAnsi="標楷體" w:hint="eastAsia"/>
          <w:u w:val="single"/>
        </w:rPr>
        <w:t>，與發炎反應升高及心血管事件相關）、神經疾病（失智與腦組織中發現MNP，推測會影響血腦屏障與基因表達）、腸道疾病（炎症性腸病患者糞便中MNP水準較高）、癌症（某些腫瘤組織中發現MNP，並伴隨免疫細胞數下降）、生殖影響（精液、卵泡液、胎盤與羊水中均檢出，推測影響精子品質與卵泡發育）</w:t>
      </w:r>
      <w:r w:rsidR="00391349" w:rsidRPr="00535039">
        <w:rPr>
          <w:rFonts w:hAnsi="標楷體"/>
        </w:rPr>
        <w:t>…</w:t>
      </w:r>
      <w:proofErr w:type="gramStart"/>
      <w:r w:rsidR="00391349" w:rsidRPr="00535039">
        <w:rPr>
          <w:rFonts w:hAnsi="標楷體"/>
        </w:rPr>
        <w:t>…</w:t>
      </w:r>
      <w:proofErr w:type="gramEnd"/>
      <w:r w:rsidR="00391349" w:rsidRPr="00535039">
        <w:rPr>
          <w:rFonts w:hAnsi="標楷體" w:hint="eastAsia"/>
        </w:rPr>
        <w:t>由於塑膠微粒暴露普遍存在且可進入多種人體組織，已在人體多種生物樣本中檢出MNP</w:t>
      </w:r>
      <w:r w:rsidR="00391349" w:rsidRPr="00535039">
        <w:rPr>
          <w:rFonts w:hAnsi="標楷體"/>
        </w:rPr>
        <w:t>…</w:t>
      </w:r>
      <w:proofErr w:type="gramStart"/>
      <w:r w:rsidR="00391349" w:rsidRPr="00535039">
        <w:rPr>
          <w:rFonts w:hAnsi="標楷體"/>
        </w:rPr>
        <w:t>…</w:t>
      </w:r>
      <w:proofErr w:type="gramEnd"/>
      <w:r w:rsidR="00391349" w:rsidRPr="00535039">
        <w:rPr>
          <w:rFonts w:hAnsi="標楷體" w:hint="eastAsia"/>
          <w:u w:val="single"/>
        </w:rPr>
        <w:t>應發展國家級人體監測與研究計畫；同時，應建立暴露-</w:t>
      </w:r>
      <w:proofErr w:type="gramStart"/>
      <w:r w:rsidR="00391349" w:rsidRPr="00535039">
        <w:rPr>
          <w:rFonts w:hAnsi="標楷體" w:hint="eastAsia"/>
          <w:u w:val="single"/>
        </w:rPr>
        <w:t>毒理</w:t>
      </w:r>
      <w:proofErr w:type="gramEnd"/>
      <w:r w:rsidR="00391349" w:rsidRPr="00535039">
        <w:rPr>
          <w:rFonts w:hAnsi="標楷體" w:hint="eastAsia"/>
          <w:u w:val="single"/>
        </w:rPr>
        <w:t>-健康整合架構，完善風險評估與政策</w:t>
      </w:r>
      <w:r w:rsidR="00646B73">
        <w:rPr>
          <w:rFonts w:hAnsi="標楷體" w:hint="eastAsia"/>
          <w:u w:val="single"/>
        </w:rPr>
        <w:t>。</w:t>
      </w:r>
      <w:r w:rsidR="00391349" w:rsidRPr="00535039">
        <w:rPr>
          <w:rFonts w:hAnsi="標楷體" w:hint="eastAsia"/>
          <w:u w:val="single"/>
        </w:rPr>
        <w:t>」</w:t>
      </w:r>
      <w:r w:rsidR="00391349" w:rsidRPr="00535039">
        <w:rPr>
          <w:rFonts w:hAnsi="標楷體" w:hint="eastAsia"/>
        </w:rPr>
        <w:t>等內容可</w:t>
      </w:r>
      <w:proofErr w:type="gramStart"/>
      <w:r w:rsidR="00391349" w:rsidRPr="00535039">
        <w:rPr>
          <w:rFonts w:hAnsi="標楷體" w:hint="eastAsia"/>
        </w:rPr>
        <w:t>稽</w:t>
      </w:r>
      <w:proofErr w:type="gramEnd"/>
      <w:r w:rsidR="00391349" w:rsidRPr="00535039">
        <w:rPr>
          <w:rFonts w:hAnsi="標楷體" w:hint="eastAsia"/>
        </w:rPr>
        <w:t>。</w:t>
      </w:r>
    </w:p>
    <w:p w14:paraId="5654BD0C" w14:textId="6A31BF64" w:rsidR="000351D0" w:rsidRPr="00535039" w:rsidRDefault="00FE691E" w:rsidP="00CF3921">
      <w:pPr>
        <w:pStyle w:val="3"/>
        <w:rPr>
          <w:rFonts w:hAnsi="標楷體"/>
        </w:rPr>
      </w:pPr>
      <w:proofErr w:type="gramStart"/>
      <w:r w:rsidRPr="00535039">
        <w:rPr>
          <w:rFonts w:hAnsi="標楷體" w:hint="eastAsia"/>
          <w:bCs w:val="0"/>
          <w:u w:val="single"/>
        </w:rPr>
        <w:t>環境部為減</w:t>
      </w:r>
      <w:r w:rsidRPr="00535039">
        <w:rPr>
          <w:rFonts w:hAnsi="標楷體" w:hint="eastAsia"/>
          <w:u w:val="single"/>
        </w:rPr>
        <w:t>少</w:t>
      </w:r>
      <w:proofErr w:type="gramEnd"/>
      <w:r w:rsidRPr="00535039">
        <w:rPr>
          <w:rFonts w:hAnsi="標楷體" w:hint="eastAsia"/>
          <w:u w:val="single"/>
        </w:rPr>
        <w:t>塑膠微粒進入環境，已參考美國「無微粒水域法</w:t>
      </w:r>
      <w:r w:rsidRPr="00535039">
        <w:rPr>
          <w:rFonts w:hAnsi="標楷體" w:hint="eastAsia"/>
        </w:rPr>
        <w:t>（</w:t>
      </w:r>
      <w:r w:rsidRPr="00535039">
        <w:rPr>
          <w:rFonts w:hAnsi="標楷體"/>
        </w:rPr>
        <w:t>Microbead-Free Waters Act of 2015</w:t>
      </w:r>
      <w:r w:rsidRPr="00535039">
        <w:rPr>
          <w:rFonts w:hAnsi="標楷體" w:hint="eastAsia"/>
        </w:rPr>
        <w:t>）」，於</w:t>
      </w:r>
      <w:r w:rsidRPr="00535039">
        <w:rPr>
          <w:rFonts w:hAnsi="標楷體"/>
        </w:rPr>
        <w:t>106</w:t>
      </w:r>
      <w:r w:rsidRPr="00535039">
        <w:rPr>
          <w:rFonts w:hAnsi="標楷體" w:hint="eastAsia"/>
        </w:rPr>
        <w:t>年訂定「限制含塑膠微粒之化</w:t>
      </w:r>
      <w:proofErr w:type="gramStart"/>
      <w:r w:rsidRPr="00535039">
        <w:rPr>
          <w:rFonts w:hAnsi="標楷體" w:hint="eastAsia"/>
        </w:rPr>
        <w:t>粧</w:t>
      </w:r>
      <w:proofErr w:type="gramEnd"/>
      <w:r w:rsidRPr="00535039">
        <w:rPr>
          <w:rFonts w:hAnsi="標楷體" w:hint="eastAsia"/>
        </w:rPr>
        <w:t>品與個人清潔用品製造、輸入及販賣」，</w:t>
      </w:r>
      <w:r w:rsidR="000F70B4" w:rsidRPr="00535039">
        <w:rPr>
          <w:rFonts w:hAnsi="標楷體" w:hint="eastAsia"/>
        </w:rPr>
        <w:t>公告</w:t>
      </w:r>
      <w:r w:rsidRPr="00535039">
        <w:rPr>
          <w:rFonts w:hAnsi="標楷體" w:hint="eastAsia"/>
        </w:rPr>
        <w:t>自</w:t>
      </w:r>
      <w:r w:rsidRPr="00535039">
        <w:rPr>
          <w:rFonts w:hAnsi="標楷體"/>
        </w:rPr>
        <w:t>107</w:t>
      </w:r>
      <w:r w:rsidRPr="00535039">
        <w:rPr>
          <w:rFonts w:hAnsi="標楷體" w:hint="eastAsia"/>
        </w:rPr>
        <w:t>年起分兩階段管制洗髮用化</w:t>
      </w:r>
      <w:proofErr w:type="gramStart"/>
      <w:r w:rsidRPr="00535039">
        <w:rPr>
          <w:rFonts w:hAnsi="標楷體" w:hint="eastAsia"/>
        </w:rPr>
        <w:t>粧</w:t>
      </w:r>
      <w:proofErr w:type="gramEnd"/>
      <w:r w:rsidRPr="00535039">
        <w:rPr>
          <w:rFonts w:hAnsi="標楷體" w:hint="eastAsia"/>
        </w:rPr>
        <w:t>品類、洗臉卸</w:t>
      </w:r>
      <w:proofErr w:type="gramStart"/>
      <w:r w:rsidRPr="00535039">
        <w:rPr>
          <w:rFonts w:hAnsi="標楷體" w:hint="eastAsia"/>
        </w:rPr>
        <w:t>粧</w:t>
      </w:r>
      <w:proofErr w:type="gramEnd"/>
      <w:r w:rsidRPr="00535039">
        <w:rPr>
          <w:rFonts w:hAnsi="標楷體" w:hint="eastAsia"/>
        </w:rPr>
        <w:t>用化</w:t>
      </w:r>
      <w:proofErr w:type="gramStart"/>
      <w:r w:rsidRPr="00535039">
        <w:rPr>
          <w:rFonts w:hAnsi="標楷體" w:hint="eastAsia"/>
        </w:rPr>
        <w:t>粧</w:t>
      </w:r>
      <w:proofErr w:type="gramEnd"/>
      <w:r w:rsidRPr="00535039">
        <w:rPr>
          <w:rFonts w:hAnsi="標楷體" w:hint="eastAsia"/>
        </w:rPr>
        <w:t>品類、沐浴用化</w:t>
      </w:r>
      <w:proofErr w:type="gramStart"/>
      <w:r w:rsidRPr="00535039">
        <w:rPr>
          <w:rFonts w:hAnsi="標楷體" w:hint="eastAsia"/>
        </w:rPr>
        <w:t>粧</w:t>
      </w:r>
      <w:proofErr w:type="gramEnd"/>
      <w:r w:rsidRPr="00535039">
        <w:rPr>
          <w:rFonts w:hAnsi="標楷體" w:hint="eastAsia"/>
        </w:rPr>
        <w:t>品類、香皂類、磨砂膏、牙膏等</w:t>
      </w:r>
      <w:proofErr w:type="gramStart"/>
      <w:r w:rsidR="000F70B4" w:rsidRPr="00535039">
        <w:rPr>
          <w:rFonts w:hAnsi="標楷體" w:hint="eastAsia"/>
        </w:rPr>
        <w:t>六</w:t>
      </w:r>
      <w:r w:rsidRPr="00535039">
        <w:rPr>
          <w:rFonts w:hAnsi="標楷體" w:hint="eastAsia"/>
        </w:rPr>
        <w:t>大類含塑膠</w:t>
      </w:r>
      <w:proofErr w:type="gramEnd"/>
      <w:r w:rsidRPr="00535039">
        <w:rPr>
          <w:rFonts w:hAnsi="標楷體" w:hint="eastAsia"/>
        </w:rPr>
        <w:t>微粒之化</w:t>
      </w:r>
      <w:proofErr w:type="gramStart"/>
      <w:r w:rsidRPr="00535039">
        <w:rPr>
          <w:rFonts w:hAnsi="標楷體" w:hint="eastAsia"/>
        </w:rPr>
        <w:t>粧</w:t>
      </w:r>
      <w:proofErr w:type="gramEnd"/>
      <w:r w:rsidRPr="00535039">
        <w:rPr>
          <w:rFonts w:hAnsi="標楷體" w:hint="eastAsia"/>
        </w:rPr>
        <w:t>品及個人清潔用品</w:t>
      </w:r>
      <w:r w:rsidR="006F11B2">
        <w:rPr>
          <w:rFonts w:hAnsi="標楷體" w:hint="eastAsia"/>
        </w:rPr>
        <w:t>措施略</w:t>
      </w:r>
      <w:proofErr w:type="gramStart"/>
      <w:r w:rsidR="006F11B2">
        <w:rPr>
          <w:rFonts w:hAnsi="標楷體" w:hint="eastAsia"/>
        </w:rPr>
        <w:t>以</w:t>
      </w:r>
      <w:proofErr w:type="gramEnd"/>
      <w:r w:rsidR="006F11B2">
        <w:rPr>
          <w:rFonts w:hAnsi="標楷體" w:hint="eastAsia"/>
        </w:rPr>
        <w:t>：</w:t>
      </w:r>
      <w:r w:rsidRPr="00535039">
        <w:rPr>
          <w:rFonts w:hAnsi="標楷體"/>
        </w:rPr>
        <w:t>107</w:t>
      </w:r>
      <w:r w:rsidRPr="00535039">
        <w:rPr>
          <w:rFonts w:hAnsi="標楷體" w:hint="eastAsia"/>
        </w:rPr>
        <w:t>年</w:t>
      </w:r>
      <w:r w:rsidRPr="00535039">
        <w:rPr>
          <w:rFonts w:hAnsi="標楷體"/>
        </w:rPr>
        <w:t>1</w:t>
      </w:r>
      <w:r w:rsidRPr="00535039">
        <w:rPr>
          <w:rFonts w:hAnsi="標楷體" w:hint="eastAsia"/>
        </w:rPr>
        <w:t>月</w:t>
      </w:r>
      <w:r w:rsidRPr="00535039">
        <w:rPr>
          <w:rFonts w:hAnsi="標楷體"/>
        </w:rPr>
        <w:t>1</w:t>
      </w:r>
      <w:r w:rsidRPr="00535039">
        <w:rPr>
          <w:rFonts w:hAnsi="標楷體" w:hint="eastAsia"/>
        </w:rPr>
        <w:t>日起國內不得製造及輸入、</w:t>
      </w:r>
      <w:r w:rsidR="000F70B4" w:rsidRPr="00535039">
        <w:rPr>
          <w:rFonts w:hAnsi="標楷體" w:hint="eastAsia"/>
        </w:rPr>
        <w:t>同年</w:t>
      </w:r>
      <w:r w:rsidRPr="00535039">
        <w:rPr>
          <w:rFonts w:hAnsi="標楷體"/>
        </w:rPr>
        <w:t>7</w:t>
      </w:r>
      <w:r w:rsidRPr="00535039">
        <w:rPr>
          <w:rFonts w:hAnsi="標楷體" w:hint="eastAsia"/>
        </w:rPr>
        <w:t>月</w:t>
      </w:r>
      <w:r w:rsidRPr="00535039">
        <w:rPr>
          <w:rFonts w:hAnsi="標楷體"/>
        </w:rPr>
        <w:t>1</w:t>
      </w:r>
      <w:r w:rsidRPr="00535039">
        <w:rPr>
          <w:rFonts w:hAnsi="標楷體" w:hint="eastAsia"/>
        </w:rPr>
        <w:t>日起不得販賣，以減少含塑膠微粒之產品；並訂有</w:t>
      </w:r>
      <w:r w:rsidRPr="00535039">
        <w:rPr>
          <w:rFonts w:hAnsi="標楷體" w:hint="eastAsia"/>
        </w:rPr>
        <w:lastRenderedPageBreak/>
        <w:t>「化</w:t>
      </w:r>
      <w:proofErr w:type="gramStart"/>
      <w:r w:rsidRPr="00535039">
        <w:rPr>
          <w:rFonts w:hAnsi="標楷體" w:hint="eastAsia"/>
        </w:rPr>
        <w:t>粧</w:t>
      </w:r>
      <w:proofErr w:type="gramEnd"/>
      <w:r w:rsidRPr="00535039">
        <w:rPr>
          <w:rFonts w:hAnsi="標楷體" w:hint="eastAsia"/>
        </w:rPr>
        <w:t>品及個人清潔用品中含塑膠微粒材質之定性檢測方法（</w:t>
      </w:r>
      <w:r w:rsidRPr="00535039">
        <w:rPr>
          <w:rFonts w:hAnsi="標楷體"/>
        </w:rPr>
        <w:t>NIEA M907.00B</w:t>
      </w:r>
      <w:r w:rsidRPr="00535039">
        <w:rPr>
          <w:rFonts w:hAnsi="標楷體" w:hint="eastAsia"/>
        </w:rPr>
        <w:t>）」作為管制政策之配套措施，以查驗國內業者於相關產品之運作是否符合規範。</w:t>
      </w:r>
      <w:r w:rsidRPr="00535039">
        <w:rPr>
          <w:rFonts w:hAnsi="標楷體" w:hint="eastAsia"/>
          <w:szCs w:val="32"/>
        </w:rPr>
        <w:t>另為減少塑膠產品棄置至環境中分解為塑膠微粒之可能性，</w:t>
      </w:r>
      <w:proofErr w:type="gramStart"/>
      <w:r w:rsidR="00F43A24" w:rsidRPr="00535039">
        <w:rPr>
          <w:rFonts w:hAnsi="標楷體" w:hint="eastAsia"/>
          <w:szCs w:val="32"/>
        </w:rPr>
        <w:t>環境部</w:t>
      </w:r>
      <w:r w:rsidR="009A2CF5" w:rsidRPr="00535039">
        <w:rPr>
          <w:rFonts w:hAnsi="標楷體" w:hint="eastAsia"/>
          <w:szCs w:val="32"/>
        </w:rPr>
        <w:t>已</w:t>
      </w:r>
      <w:r w:rsidR="00F43A24" w:rsidRPr="00535039">
        <w:rPr>
          <w:rFonts w:hAnsi="標楷體" w:hint="eastAsia"/>
          <w:szCs w:val="32"/>
        </w:rPr>
        <w:t>自</w:t>
      </w:r>
      <w:proofErr w:type="gramEnd"/>
      <w:r w:rsidRPr="00535039">
        <w:rPr>
          <w:rFonts w:hAnsi="標楷體"/>
          <w:szCs w:val="32"/>
        </w:rPr>
        <w:t>91</w:t>
      </w:r>
      <w:r w:rsidRPr="00535039">
        <w:rPr>
          <w:rFonts w:hAnsi="標楷體" w:hint="eastAsia"/>
          <w:szCs w:val="32"/>
        </w:rPr>
        <w:t>年</w:t>
      </w:r>
      <w:proofErr w:type="gramStart"/>
      <w:r w:rsidRPr="00535039">
        <w:rPr>
          <w:rFonts w:hAnsi="標楷體" w:hint="eastAsia"/>
          <w:szCs w:val="32"/>
        </w:rPr>
        <w:t>推動限塑政策</w:t>
      </w:r>
      <w:proofErr w:type="gramEnd"/>
      <w:r w:rsidRPr="00535039">
        <w:rPr>
          <w:rFonts w:hAnsi="標楷體" w:hint="eastAsia"/>
          <w:szCs w:val="32"/>
        </w:rPr>
        <w:t>，由購物用塑膠袋及免洗</w:t>
      </w:r>
      <w:r w:rsidRPr="00535039">
        <w:rPr>
          <w:rFonts w:hAnsi="標楷體" w:hint="eastAsia"/>
        </w:rPr>
        <w:t>餐具</w:t>
      </w:r>
      <w:r w:rsidRPr="00535039">
        <w:rPr>
          <w:rFonts w:hAnsi="標楷體" w:hint="eastAsia"/>
          <w:szCs w:val="32"/>
        </w:rPr>
        <w:t>開始管制，並逐步擴大至托盤</w:t>
      </w:r>
      <w:r w:rsidR="000F70B4" w:rsidRPr="00535039">
        <w:rPr>
          <w:rFonts w:hAnsi="標楷體" w:hint="eastAsia"/>
          <w:szCs w:val="32"/>
        </w:rPr>
        <w:t>、</w:t>
      </w:r>
      <w:r w:rsidRPr="00535039">
        <w:rPr>
          <w:rFonts w:hAnsi="標楷體" w:hint="eastAsia"/>
          <w:szCs w:val="32"/>
        </w:rPr>
        <w:t>包裝盒、飲料杯、塑膠吸管、</w:t>
      </w:r>
      <w:proofErr w:type="gramStart"/>
      <w:r w:rsidRPr="00535039">
        <w:rPr>
          <w:rFonts w:hAnsi="標楷體" w:hint="eastAsia"/>
          <w:szCs w:val="32"/>
        </w:rPr>
        <w:t>旅宿用品</w:t>
      </w:r>
      <w:proofErr w:type="gramEnd"/>
      <w:r w:rsidRPr="00535039">
        <w:rPr>
          <w:rFonts w:hAnsi="標楷體" w:hint="eastAsia"/>
          <w:szCs w:val="32"/>
        </w:rPr>
        <w:t>等，採取禁止、限制運作、鼓勵自備、提供循環服務等管理方式，引導業者改變產品設計、改變民眾消費與生活習慣，以減少廢棄物產生與對環境的衝擊，茲分述如下：</w:t>
      </w:r>
    </w:p>
    <w:p w14:paraId="73078428" w14:textId="7DDD6E01" w:rsidR="00201528" w:rsidRPr="00535039" w:rsidRDefault="00201528" w:rsidP="008E5B40">
      <w:pPr>
        <w:pStyle w:val="4"/>
        <w:rPr>
          <w:rFonts w:hAnsi="標楷體"/>
        </w:rPr>
      </w:pPr>
      <w:r w:rsidRPr="00535039">
        <w:rPr>
          <w:rFonts w:hAnsi="標楷體" w:hint="eastAsia"/>
          <w:bCs/>
        </w:rPr>
        <w:t>購物用塑膠袋部分：</w:t>
      </w:r>
      <w:r w:rsidR="00AD1CAB" w:rsidRPr="00535039">
        <w:rPr>
          <w:rFonts w:hAnsi="標楷體" w:hint="eastAsia"/>
          <w:bCs/>
        </w:rPr>
        <w:t>91年公告「購物用塑膠袋限制使用對象、實施方式及實施日期」及106年起擴大管制對象規範計14類</w:t>
      </w:r>
      <w:r w:rsidR="00AD1CAB" w:rsidRPr="00535039">
        <w:rPr>
          <w:rStyle w:val="afe"/>
          <w:rFonts w:hAnsi="標楷體"/>
          <w:bCs/>
        </w:rPr>
        <w:footnoteReference w:id="13"/>
      </w:r>
      <w:r w:rsidR="00AD1CAB" w:rsidRPr="00535039">
        <w:rPr>
          <w:rFonts w:hAnsi="標楷體" w:hint="eastAsia"/>
          <w:bCs/>
        </w:rPr>
        <w:t>，</w:t>
      </w:r>
      <w:proofErr w:type="gramStart"/>
      <w:r w:rsidR="00AD1CAB" w:rsidRPr="00535039">
        <w:rPr>
          <w:rFonts w:hAnsi="標楷體" w:hint="eastAsia"/>
          <w:bCs/>
        </w:rPr>
        <w:t>消費者裝</w:t>
      </w:r>
      <w:r w:rsidR="00AD1CAB" w:rsidRPr="00535039">
        <w:rPr>
          <w:rFonts w:hAnsi="標楷體" w:hint="eastAsia"/>
        </w:rPr>
        <w:t>提其</w:t>
      </w:r>
      <w:proofErr w:type="gramEnd"/>
      <w:r w:rsidR="00AD1CAB" w:rsidRPr="00535039">
        <w:rPr>
          <w:rFonts w:hAnsi="標楷體" w:hint="eastAsia"/>
        </w:rPr>
        <w:t>購買商品所需之購物用塑膠袋</w:t>
      </w:r>
      <w:r w:rsidR="000F70B4" w:rsidRPr="00535039">
        <w:rPr>
          <w:rFonts w:hAnsi="標楷體" w:hint="eastAsia"/>
        </w:rPr>
        <w:t>，</w:t>
      </w:r>
      <w:r w:rsidR="00AD1CAB" w:rsidRPr="00535039">
        <w:rPr>
          <w:rFonts w:hAnsi="標楷體" w:hint="eastAsia"/>
        </w:rPr>
        <w:t>不得免費提供，且購物用塑膠袋之售價</w:t>
      </w:r>
      <w:r w:rsidR="000F70B4" w:rsidRPr="00535039">
        <w:rPr>
          <w:rFonts w:hAnsi="標楷體" w:hint="eastAsia"/>
        </w:rPr>
        <w:t>，</w:t>
      </w:r>
      <w:r w:rsidR="00AD1CAB" w:rsidRPr="00535039">
        <w:rPr>
          <w:rFonts w:hAnsi="標楷體" w:hint="eastAsia"/>
        </w:rPr>
        <w:t>不得內含於消費者所購買之商品中。</w:t>
      </w:r>
      <w:r w:rsidR="000F70B4" w:rsidRPr="00535039">
        <w:rPr>
          <w:rFonts w:hAnsi="標楷體" w:hint="eastAsia"/>
        </w:rPr>
        <w:t>管制</w:t>
      </w:r>
      <w:r w:rsidR="00AD1CAB" w:rsidRPr="00535039">
        <w:rPr>
          <w:rFonts w:hAnsi="標楷體" w:hint="eastAsia"/>
        </w:rPr>
        <w:t>實施後，與112年使用購物用塑膠袋約100億個/年，較91年</w:t>
      </w:r>
      <w:proofErr w:type="gramStart"/>
      <w:r w:rsidR="00AD1CAB" w:rsidRPr="00535039">
        <w:rPr>
          <w:rFonts w:hAnsi="標楷體" w:hint="eastAsia"/>
        </w:rPr>
        <w:t>推動前減量</w:t>
      </w:r>
      <w:proofErr w:type="gramEnd"/>
      <w:r w:rsidR="00AD1CAB" w:rsidRPr="00535039">
        <w:rPr>
          <w:rFonts w:hAnsi="標楷體" w:hint="eastAsia"/>
        </w:rPr>
        <w:t>50%。持續</w:t>
      </w:r>
      <w:proofErr w:type="gramStart"/>
      <w:r w:rsidR="00AD1CAB" w:rsidRPr="00535039">
        <w:rPr>
          <w:rFonts w:hAnsi="標楷體" w:hint="eastAsia"/>
        </w:rPr>
        <w:t>研</w:t>
      </w:r>
      <w:proofErr w:type="gramEnd"/>
      <w:r w:rsidR="00AD1CAB" w:rsidRPr="00535039">
        <w:rPr>
          <w:rFonts w:hAnsi="標楷體" w:hint="eastAsia"/>
        </w:rPr>
        <w:t>擬購物用塑膠袋管制公告修正草案，並擴大兩用袋適用行業別，與相關產業業者溝通，引導民眾改變消費習慣，以及推動市場等非管制對象減量</w:t>
      </w:r>
      <w:r w:rsidR="00AD1CAB" w:rsidRPr="00535039">
        <w:rPr>
          <w:rStyle w:val="afe"/>
          <w:rFonts w:hAnsi="標楷體"/>
        </w:rPr>
        <w:footnoteReference w:id="14"/>
      </w:r>
      <w:r w:rsidR="00AD1CAB" w:rsidRPr="00535039">
        <w:rPr>
          <w:rFonts w:hAnsi="標楷體" w:hint="eastAsia"/>
        </w:rPr>
        <w:t>、建國假日花市</w:t>
      </w:r>
      <w:proofErr w:type="gramStart"/>
      <w:r w:rsidR="00AD1CAB" w:rsidRPr="00535039">
        <w:rPr>
          <w:rFonts w:hAnsi="標楷體" w:hint="eastAsia"/>
        </w:rPr>
        <w:t>推動減塑示範</w:t>
      </w:r>
      <w:proofErr w:type="gramEnd"/>
      <w:r w:rsidR="00AD1CAB" w:rsidRPr="00535039">
        <w:rPr>
          <w:rFonts w:hAnsi="標楷體" w:hint="eastAsia"/>
        </w:rPr>
        <w:t>活動</w:t>
      </w:r>
      <w:r w:rsidR="00AD1CAB" w:rsidRPr="00535039">
        <w:rPr>
          <w:rStyle w:val="afe"/>
          <w:rFonts w:hAnsi="標楷體"/>
        </w:rPr>
        <w:footnoteReference w:id="15"/>
      </w:r>
      <w:r w:rsidR="00AD1CAB" w:rsidRPr="00535039">
        <w:rPr>
          <w:rFonts w:hAnsi="標楷體" w:hint="eastAsia"/>
        </w:rPr>
        <w:t>。</w:t>
      </w:r>
    </w:p>
    <w:p w14:paraId="5A0911D4" w14:textId="024D782E" w:rsidR="00201528" w:rsidRPr="00535039" w:rsidRDefault="00201528" w:rsidP="008E5B40">
      <w:pPr>
        <w:pStyle w:val="4"/>
        <w:rPr>
          <w:rFonts w:hAnsi="標楷體"/>
        </w:rPr>
      </w:pPr>
      <w:proofErr w:type="gramStart"/>
      <w:r w:rsidRPr="00535039">
        <w:rPr>
          <w:rFonts w:hAnsi="標楷體" w:hint="eastAsia"/>
        </w:rPr>
        <w:lastRenderedPageBreak/>
        <w:t>塑膠類免洗</w:t>
      </w:r>
      <w:proofErr w:type="gramEnd"/>
      <w:r w:rsidRPr="00535039">
        <w:rPr>
          <w:rFonts w:hAnsi="標楷體" w:hint="eastAsia"/>
        </w:rPr>
        <w:t>餐具部分：自91年起推動「購物用塑膠袋及塑膠類（含保麗龍）免洗餐具限制使用對象、實施方式及實施日期」，限制使用</w:t>
      </w:r>
      <w:proofErr w:type="gramStart"/>
      <w:r w:rsidRPr="00535039">
        <w:rPr>
          <w:rFonts w:hAnsi="標楷體" w:hint="eastAsia"/>
        </w:rPr>
        <w:t>塑膠類免洗</w:t>
      </w:r>
      <w:proofErr w:type="gramEnd"/>
      <w:r w:rsidRPr="00535039">
        <w:rPr>
          <w:rFonts w:hAnsi="標楷體" w:hint="eastAsia"/>
        </w:rPr>
        <w:t>餐具</w:t>
      </w:r>
      <w:r w:rsidR="00AD1CAB" w:rsidRPr="00535039">
        <w:rPr>
          <w:rStyle w:val="afe"/>
          <w:rFonts w:hAnsi="標楷體"/>
        </w:rPr>
        <w:footnoteReference w:id="16"/>
      </w:r>
      <w:r w:rsidRPr="00535039">
        <w:rPr>
          <w:rFonts w:hAnsi="標楷體" w:hint="eastAsia"/>
        </w:rPr>
        <w:t>。其後於95</w:t>
      </w:r>
      <w:r w:rsidR="000F70B4" w:rsidRPr="00535039">
        <w:rPr>
          <w:rFonts w:hAnsi="標楷體" w:hint="eastAsia"/>
        </w:rPr>
        <w:t>年</w:t>
      </w:r>
      <w:r w:rsidRPr="00535039">
        <w:rPr>
          <w:rFonts w:hAnsi="標楷體" w:hint="eastAsia"/>
        </w:rPr>
        <w:t>及108年進一步規定公部門、學校、量販店、百貨公司及購物中心等四大業別之內用服務</w:t>
      </w:r>
      <w:r w:rsidR="00AD1CAB" w:rsidRPr="00535039">
        <w:rPr>
          <w:rStyle w:val="afe"/>
          <w:rFonts w:hAnsi="標楷體"/>
        </w:rPr>
        <w:footnoteReference w:id="17"/>
      </w:r>
      <w:r w:rsidRPr="00535039">
        <w:rPr>
          <w:rFonts w:hAnsi="標楷體" w:hint="eastAsia"/>
        </w:rPr>
        <w:t>，不得提供任何材質的免洗餐具。110年9月29日</w:t>
      </w:r>
      <w:proofErr w:type="gramStart"/>
      <w:r w:rsidRPr="00535039">
        <w:rPr>
          <w:rFonts w:hAnsi="標楷體" w:cs="標楷體" w:hint="eastAsia"/>
          <w:szCs w:val="32"/>
        </w:rPr>
        <w:t>函頒「</w:t>
      </w:r>
      <w:proofErr w:type="gramEnd"/>
      <w:r w:rsidRPr="00535039">
        <w:rPr>
          <w:rFonts w:hAnsi="標楷體" w:cs="標楷體" w:hint="eastAsia"/>
          <w:szCs w:val="32"/>
        </w:rPr>
        <w:t>政府機關、學校減少使用免洗餐具及包裝飲用水作業指引」</w:t>
      </w:r>
      <w:r w:rsidRPr="00535039">
        <w:rPr>
          <w:rFonts w:hAnsi="標楷體" w:hint="eastAsia"/>
        </w:rPr>
        <w:t>，要求政府機關及學校在辦理會議、訓練及活動時，應透過提供可重複清洗餐具、提供自備優惠、設置飲水機等方式，不使用一次用產品。並透過各項評比與競賽活動，鼓勵各界積極配合政策推動。</w:t>
      </w:r>
    </w:p>
    <w:p w14:paraId="28FDD29A" w14:textId="77777777" w:rsidR="00201528" w:rsidRPr="00535039" w:rsidRDefault="00201528" w:rsidP="008E5B40">
      <w:pPr>
        <w:pStyle w:val="4"/>
        <w:rPr>
          <w:rFonts w:hAnsi="標楷體"/>
        </w:rPr>
      </w:pPr>
      <w:r w:rsidRPr="00535039">
        <w:rPr>
          <w:rFonts w:hAnsi="標楷體"/>
        </w:rPr>
        <w:t>塑膠吸管</w:t>
      </w:r>
      <w:r w:rsidRPr="00535039">
        <w:rPr>
          <w:rFonts w:hAnsi="標楷體" w:hint="eastAsia"/>
        </w:rPr>
        <w:t>、一次用飲料杯部分：</w:t>
      </w:r>
    </w:p>
    <w:p w14:paraId="08C084FD" w14:textId="0EC0FEA8" w:rsidR="00201528" w:rsidRPr="00535039" w:rsidRDefault="00201528" w:rsidP="008E5B40">
      <w:pPr>
        <w:pStyle w:val="5"/>
        <w:rPr>
          <w:rFonts w:hAnsi="標楷體"/>
        </w:rPr>
      </w:pPr>
      <w:r w:rsidRPr="00535039">
        <w:rPr>
          <w:rFonts w:hAnsi="標楷體"/>
        </w:rPr>
        <w:t>於108年7月1日正式實施「一次用塑膠吸管限制使用對象及實施方式」</w:t>
      </w:r>
      <w:r w:rsidR="00C37A47" w:rsidRPr="00535039">
        <w:rPr>
          <w:rStyle w:val="afe"/>
          <w:rFonts w:hAnsi="標楷體"/>
        </w:rPr>
        <w:footnoteReference w:id="18"/>
      </w:r>
      <w:r w:rsidRPr="00535039">
        <w:rPr>
          <w:rFonts w:hAnsi="標楷體"/>
        </w:rPr>
        <w:t>，</w:t>
      </w:r>
      <w:r w:rsidR="00C37A47" w:rsidRPr="00535039">
        <w:rPr>
          <w:rFonts w:hAnsi="標楷體" w:hint="eastAsia"/>
        </w:rPr>
        <w:t>以及</w:t>
      </w:r>
      <w:r w:rsidRPr="00535039">
        <w:rPr>
          <w:rFonts w:hAnsi="標楷體" w:hint="eastAsia"/>
        </w:rPr>
        <w:t>部分非列入限制對象之業者自發響應，主動</w:t>
      </w:r>
      <w:proofErr w:type="gramStart"/>
      <w:r w:rsidRPr="00535039">
        <w:rPr>
          <w:rFonts w:hAnsi="標楷體" w:hint="eastAsia"/>
        </w:rPr>
        <w:t>採取減塑措施</w:t>
      </w:r>
      <w:proofErr w:type="gramEnd"/>
      <w:r w:rsidR="00C37A47" w:rsidRPr="00535039">
        <w:rPr>
          <w:rStyle w:val="afe"/>
          <w:rFonts w:hAnsi="標楷體"/>
        </w:rPr>
        <w:footnoteReference w:id="19"/>
      </w:r>
      <w:r w:rsidRPr="00535039">
        <w:rPr>
          <w:rFonts w:hAnsi="標楷體" w:hint="eastAsia"/>
        </w:rPr>
        <w:t>。顯示政策推動除達成管制目標外，亦產生明顯的外溢效益，促使更多業者主動</w:t>
      </w:r>
      <w:proofErr w:type="gramStart"/>
      <w:r w:rsidRPr="00535039">
        <w:rPr>
          <w:rFonts w:hAnsi="標楷體" w:hint="eastAsia"/>
        </w:rPr>
        <w:t>投入減塑行動</w:t>
      </w:r>
      <w:proofErr w:type="gramEnd"/>
      <w:r w:rsidRPr="00535039">
        <w:rPr>
          <w:rFonts w:hAnsi="標楷體" w:hint="eastAsia"/>
        </w:rPr>
        <w:t>。</w:t>
      </w:r>
    </w:p>
    <w:p w14:paraId="5CBA8120" w14:textId="1793DA6C" w:rsidR="00201528" w:rsidRPr="00535039" w:rsidRDefault="00201528" w:rsidP="008E5B40">
      <w:pPr>
        <w:pStyle w:val="5"/>
        <w:rPr>
          <w:rFonts w:hAnsi="標楷體"/>
        </w:rPr>
      </w:pPr>
      <w:r w:rsidRPr="00535039">
        <w:rPr>
          <w:rFonts w:hAnsi="標楷體" w:hint="eastAsia"/>
          <w:szCs w:val="32"/>
        </w:rPr>
        <w:t>「一次用飲料杯限制使用對象及實施方式」</w:t>
      </w:r>
      <w:r w:rsidRPr="00535039">
        <w:rPr>
          <w:rFonts w:hAnsi="標楷體" w:hint="eastAsia"/>
        </w:rPr>
        <w:t>於111年7月1日實施</w:t>
      </w:r>
      <w:r w:rsidR="00C37A47" w:rsidRPr="00535039">
        <w:rPr>
          <w:rStyle w:val="afe"/>
          <w:rFonts w:hAnsi="標楷體"/>
        </w:rPr>
        <w:footnoteReference w:id="20"/>
      </w:r>
      <w:r w:rsidR="00C37A47" w:rsidRPr="00535039">
        <w:rPr>
          <w:rFonts w:hAnsi="標楷體" w:hint="eastAsia"/>
        </w:rPr>
        <w:t>，以及</w:t>
      </w:r>
      <w:r w:rsidRPr="00535039">
        <w:rPr>
          <w:rFonts w:hAnsi="標楷體" w:hint="eastAsia"/>
        </w:rPr>
        <w:t>連鎖便利商店</w:t>
      </w:r>
      <w:r w:rsidR="00C37A47" w:rsidRPr="00535039">
        <w:rPr>
          <w:rFonts w:hAnsi="標楷體" w:hint="eastAsia"/>
        </w:rPr>
        <w:t>與</w:t>
      </w:r>
      <w:r w:rsidRPr="00535039">
        <w:rPr>
          <w:rFonts w:hAnsi="標楷體" w:hint="eastAsia"/>
        </w:rPr>
        <w:t>連鎖速食店於112年應提供循環杯借用服務，並授權地方提報禁用塑膠一次用飲料杯實施日期</w:t>
      </w:r>
      <w:r w:rsidRPr="00535039">
        <w:rPr>
          <w:rFonts w:hAnsi="標楷體" w:hint="eastAsia"/>
          <w:szCs w:val="32"/>
        </w:rPr>
        <w:t>，藉此養成民眾重複使用容器的習慣</w:t>
      </w:r>
      <w:r w:rsidRPr="00535039">
        <w:rPr>
          <w:rFonts w:hAnsi="標楷體" w:hint="eastAsia"/>
        </w:rPr>
        <w:t>。</w:t>
      </w:r>
    </w:p>
    <w:p w14:paraId="79F890B2" w14:textId="256112D3" w:rsidR="00201528" w:rsidRPr="00535039" w:rsidRDefault="00201528" w:rsidP="008E5B40">
      <w:pPr>
        <w:pStyle w:val="4"/>
        <w:rPr>
          <w:rFonts w:hAnsi="標楷體"/>
        </w:rPr>
      </w:pPr>
      <w:r w:rsidRPr="00535039">
        <w:rPr>
          <w:rFonts w:hAnsi="標楷體" w:hint="eastAsia"/>
        </w:rPr>
        <w:t>自109至111年透過補助地方環</w:t>
      </w:r>
      <w:r w:rsidR="00B3081B">
        <w:rPr>
          <w:rFonts w:hAnsi="標楷體" w:hint="eastAsia"/>
        </w:rPr>
        <w:t>境保護局（下稱環</w:t>
      </w:r>
      <w:r w:rsidR="00B3081B">
        <w:rPr>
          <w:rFonts w:hAnsi="標楷體" w:hint="eastAsia"/>
        </w:rPr>
        <w:lastRenderedPageBreak/>
        <w:t>保局）</w:t>
      </w:r>
      <w:r w:rsidRPr="00535039">
        <w:rPr>
          <w:rFonts w:hAnsi="標楷體" w:hint="eastAsia"/>
        </w:rPr>
        <w:t>輔導，與夜市、商圈攜手合作推動「環保夜市」，打造五面向環保環境，包含「使用重複清洗餐具」、「落實垃圾分類」、「裝設油煙防制設備」、「改善餐飲廢（污）水排放」以及「環境與公廁清潔」等措施。111年2月26日整理環保夜市各類環保面向改善作法，彙編「環保夜市推動指引」並下達縣市政府及環保局，由夜市或其主管機關自主依指引辦理。</w:t>
      </w:r>
    </w:p>
    <w:p w14:paraId="4FD40854" w14:textId="038BD5FF" w:rsidR="00201528" w:rsidRPr="00535039" w:rsidRDefault="00201528" w:rsidP="008E5B40">
      <w:pPr>
        <w:pStyle w:val="4"/>
        <w:rPr>
          <w:rFonts w:hAnsi="標楷體"/>
        </w:rPr>
      </w:pPr>
      <w:r w:rsidRPr="00535039">
        <w:rPr>
          <w:rFonts w:hAnsi="標楷體"/>
        </w:rPr>
        <w:t>109</w:t>
      </w:r>
      <w:r w:rsidRPr="00535039">
        <w:rPr>
          <w:rFonts w:hAnsi="標楷體" w:hint="eastAsia"/>
        </w:rPr>
        <w:t>年起與民間企業</w:t>
      </w:r>
      <w:r w:rsidRPr="00535039">
        <w:rPr>
          <w:rFonts w:hAnsi="標楷體"/>
        </w:rPr>
        <w:t>-</w:t>
      </w:r>
      <w:r w:rsidRPr="00535039">
        <w:rPr>
          <w:rFonts w:hAnsi="標楷體" w:hint="eastAsia"/>
        </w:rPr>
        <w:t>原點社會企業（</w:t>
      </w:r>
      <w:proofErr w:type="spellStart"/>
      <w:r w:rsidRPr="00535039">
        <w:rPr>
          <w:rFonts w:hAnsi="標楷體"/>
        </w:rPr>
        <w:t>Circuplus</w:t>
      </w:r>
      <w:proofErr w:type="spellEnd"/>
      <w:r w:rsidRPr="00535039">
        <w:rPr>
          <w:rFonts w:hAnsi="標楷體" w:hint="eastAsia"/>
        </w:rPr>
        <w:t>）團隊公私協力推動「奉茶行動」</w:t>
      </w:r>
      <w:r w:rsidR="00C37A47" w:rsidRPr="00535039">
        <w:rPr>
          <w:rFonts w:hAnsi="標楷體" w:hint="eastAsia"/>
        </w:rPr>
        <w:t>，</w:t>
      </w:r>
      <w:r w:rsidRPr="00535039">
        <w:rPr>
          <w:rFonts w:hAnsi="標楷體" w:hint="eastAsia"/>
        </w:rPr>
        <w:t>並協調各縣市環保局收集各地飲水站資料提供該企業，將其結合數位科技納入奉茶</w:t>
      </w:r>
      <w:r w:rsidRPr="00535039">
        <w:rPr>
          <w:rFonts w:hAnsi="標楷體"/>
        </w:rPr>
        <w:t>APP</w:t>
      </w:r>
      <w:r w:rsidRPr="00535039">
        <w:rPr>
          <w:rFonts w:hAnsi="標楷體" w:hint="eastAsia"/>
        </w:rPr>
        <w:t>地圖中。</w:t>
      </w:r>
    </w:p>
    <w:p w14:paraId="14506E89" w14:textId="77777777" w:rsidR="00201528" w:rsidRPr="00535039" w:rsidRDefault="00201528" w:rsidP="008E5B40">
      <w:pPr>
        <w:pStyle w:val="4"/>
        <w:rPr>
          <w:rFonts w:hAnsi="標楷體"/>
        </w:rPr>
      </w:pPr>
      <w:r w:rsidRPr="00535039">
        <w:rPr>
          <w:rFonts w:hAnsi="標楷體" w:hint="eastAsia"/>
        </w:rPr>
        <w:t>為呼應全球</w:t>
      </w:r>
      <w:proofErr w:type="gramStart"/>
      <w:r w:rsidRPr="00535039">
        <w:rPr>
          <w:rFonts w:hAnsi="標楷體" w:hint="eastAsia"/>
        </w:rPr>
        <w:t>旅遊減塑倡議</w:t>
      </w:r>
      <w:proofErr w:type="gramEnd"/>
      <w:r w:rsidRPr="00535039">
        <w:rPr>
          <w:rFonts w:hAnsi="標楷體" w:hint="eastAsia"/>
        </w:rPr>
        <w:t>及減少一次</w:t>
      </w:r>
      <w:proofErr w:type="gramStart"/>
      <w:r w:rsidRPr="00535039">
        <w:rPr>
          <w:rFonts w:hAnsi="標楷體" w:hint="eastAsia"/>
        </w:rPr>
        <w:t>用旅宿</w:t>
      </w:r>
      <w:proofErr w:type="gramEnd"/>
      <w:r w:rsidRPr="00535039">
        <w:rPr>
          <w:rFonts w:hAnsi="標楷體" w:hint="eastAsia"/>
        </w:rPr>
        <w:t>用品廢棄，112年7月17日公告「一次</w:t>
      </w:r>
      <w:proofErr w:type="gramStart"/>
      <w:r w:rsidRPr="00535039">
        <w:rPr>
          <w:rFonts w:hAnsi="標楷體" w:hint="eastAsia"/>
        </w:rPr>
        <w:t>用旅宿</w:t>
      </w:r>
      <w:proofErr w:type="gramEnd"/>
      <w:r w:rsidRPr="00535039">
        <w:rPr>
          <w:rFonts w:hAnsi="標楷體" w:hint="eastAsia"/>
        </w:rPr>
        <w:t>用品限制使用對象及實施方式」，自114年1月1日起，旅宿業不得提供容量小於180毫升之液態盥洗及保養用品（如洗髮乳等），亦不得於營業場所陳列個人衛生用品（如牙刷與牙膏等）供消費者自由取用。</w:t>
      </w:r>
    </w:p>
    <w:p w14:paraId="6CAD4673" w14:textId="64AF0069" w:rsidR="00201528" w:rsidRPr="00535039" w:rsidRDefault="00201528" w:rsidP="008E5B40">
      <w:pPr>
        <w:pStyle w:val="4"/>
        <w:rPr>
          <w:rFonts w:hAnsi="標楷體"/>
        </w:rPr>
      </w:pPr>
      <w:r w:rsidRPr="00535039">
        <w:rPr>
          <w:rFonts w:hAnsi="標楷體"/>
        </w:rPr>
        <w:t>112年2月16日公告「網際網路購物包裝限制使用對象及實施方式」，自112年7月1日起，網購包裝材料不得含PVC材質，並須符合回收紙混合率90%以上及塑膠再生料25%</w:t>
      </w:r>
      <w:proofErr w:type="gramStart"/>
      <w:r w:rsidRPr="00535039">
        <w:rPr>
          <w:rFonts w:hAnsi="標楷體"/>
        </w:rPr>
        <w:t>以上摻</w:t>
      </w:r>
      <w:proofErr w:type="gramEnd"/>
      <w:r w:rsidRPr="00535039">
        <w:rPr>
          <w:rFonts w:hAnsi="標楷體"/>
        </w:rPr>
        <w:t>配比。中型業者須符合分級商品包裝重量比值；大型業者須再擇</w:t>
      </w:r>
      <w:proofErr w:type="gramStart"/>
      <w:r w:rsidRPr="00535039">
        <w:rPr>
          <w:rFonts w:hAnsi="標楷體"/>
        </w:rPr>
        <w:t>一</w:t>
      </w:r>
      <w:proofErr w:type="gramEnd"/>
      <w:r w:rsidRPr="00535039">
        <w:rPr>
          <w:rFonts w:hAnsi="標楷體"/>
        </w:rPr>
        <w:t>達成平均包裝</w:t>
      </w:r>
      <w:proofErr w:type="gramStart"/>
      <w:r w:rsidRPr="00535039">
        <w:rPr>
          <w:rFonts w:hAnsi="標楷體"/>
        </w:rPr>
        <w:t>材減重率</w:t>
      </w:r>
      <w:proofErr w:type="gramEnd"/>
      <w:r w:rsidRPr="00535039">
        <w:rPr>
          <w:rFonts w:hAnsi="標楷體"/>
        </w:rPr>
        <w:t>或循環箱(袋)使用率之分年目標，113年規定為</w:t>
      </w:r>
      <w:r w:rsidRPr="00535039">
        <w:rPr>
          <w:rFonts w:hAnsi="標楷體"/>
          <w:kern w:val="3"/>
        </w:rPr>
        <w:t>平均包裝</w:t>
      </w:r>
      <w:proofErr w:type="gramStart"/>
      <w:r w:rsidRPr="00535039">
        <w:rPr>
          <w:rFonts w:hAnsi="標楷體"/>
          <w:kern w:val="3"/>
        </w:rPr>
        <w:t>材減重率</w:t>
      </w:r>
      <w:proofErr w:type="gramEnd"/>
      <w:r w:rsidRPr="00535039">
        <w:rPr>
          <w:rFonts w:hAnsi="標楷體"/>
          <w:kern w:val="3"/>
        </w:rPr>
        <w:t>至少</w:t>
      </w:r>
      <w:r w:rsidR="005E3BC7" w:rsidRPr="00535039">
        <w:rPr>
          <w:rFonts w:hAnsi="標楷體" w:hint="eastAsia"/>
          <w:kern w:val="3"/>
        </w:rPr>
        <w:t>達</w:t>
      </w:r>
      <w:r w:rsidRPr="00535039">
        <w:rPr>
          <w:rFonts w:hAnsi="標楷體"/>
          <w:kern w:val="3"/>
        </w:rPr>
        <w:t>25%或循環箱（袋）使用率至少</w:t>
      </w:r>
      <w:r w:rsidR="005E3BC7" w:rsidRPr="00535039">
        <w:rPr>
          <w:rFonts w:hAnsi="標楷體" w:hint="eastAsia"/>
          <w:kern w:val="3"/>
        </w:rPr>
        <w:t>達</w:t>
      </w:r>
      <w:r w:rsidRPr="00535039">
        <w:rPr>
          <w:rFonts w:hAnsi="標楷體"/>
          <w:kern w:val="3"/>
        </w:rPr>
        <w:t>2%</w:t>
      </w:r>
      <w:r w:rsidRPr="00535039">
        <w:rPr>
          <w:rFonts w:hAnsi="標楷體"/>
        </w:rPr>
        <w:t>。</w:t>
      </w:r>
    </w:p>
    <w:p w14:paraId="78E81481" w14:textId="64662A43" w:rsidR="000351D0" w:rsidRPr="00535039" w:rsidRDefault="00201528" w:rsidP="008E5B40">
      <w:pPr>
        <w:pStyle w:val="4"/>
        <w:rPr>
          <w:rFonts w:hAnsi="標楷體"/>
        </w:rPr>
      </w:pPr>
      <w:r w:rsidRPr="00535039">
        <w:rPr>
          <w:rFonts w:hAnsi="標楷體" w:hint="eastAsia"/>
        </w:rPr>
        <w:t>公告應回收廢塑膠容器回收量由110年2億369萬5,665公斤、111年2億434萬6,600</w:t>
      </w:r>
      <w:r w:rsidR="006D2CD0">
        <w:rPr>
          <w:rFonts w:hAnsi="標楷體" w:hint="eastAsia"/>
        </w:rPr>
        <w:t>公斤</w:t>
      </w:r>
      <w:r w:rsidRPr="00535039">
        <w:rPr>
          <w:rFonts w:hAnsi="標楷體" w:hint="eastAsia"/>
        </w:rPr>
        <w:t>至112年2億1,348萬9,151公斤，顯示廢塑膠容器回收量逐</w:t>
      </w:r>
      <w:r w:rsidRPr="00535039">
        <w:rPr>
          <w:rFonts w:hAnsi="標楷體" w:hint="eastAsia"/>
        </w:rPr>
        <w:lastRenderedPageBreak/>
        <w:t>年成長。持續以鼓勵或經濟誘因引導民眾改變消費習慣，減少一次性產品的使用，並已於「資源回收再利用法」修正草案中納入相關產品之指定業者應</w:t>
      </w:r>
      <w:proofErr w:type="gramStart"/>
      <w:r w:rsidRPr="00535039">
        <w:rPr>
          <w:rFonts w:hAnsi="標楷體" w:hint="eastAsia"/>
        </w:rPr>
        <w:t>提送產銷量</w:t>
      </w:r>
      <w:proofErr w:type="gramEnd"/>
      <w:r w:rsidRPr="00535039">
        <w:rPr>
          <w:rFonts w:hAnsi="標楷體" w:hint="eastAsia"/>
        </w:rPr>
        <w:t>與使用量等數據，以利追蹤管制成效。</w:t>
      </w:r>
    </w:p>
    <w:p w14:paraId="7B65E304" w14:textId="5FE8BCA0" w:rsidR="00827594" w:rsidRPr="00535039" w:rsidRDefault="009A2CF5" w:rsidP="001321E5">
      <w:pPr>
        <w:pStyle w:val="3"/>
        <w:rPr>
          <w:rFonts w:hAnsi="標楷體"/>
        </w:rPr>
      </w:pPr>
      <w:r w:rsidRPr="00535039">
        <w:rPr>
          <w:rFonts w:hAnsi="標楷體" w:hint="eastAsia"/>
        </w:rPr>
        <w:t>經查</w:t>
      </w:r>
      <w:r w:rsidR="00011D5E" w:rsidRPr="00535039">
        <w:rPr>
          <w:rFonts w:hAnsi="標楷體" w:hint="eastAsia"/>
        </w:rPr>
        <w:t>，</w:t>
      </w:r>
      <w:r w:rsidRPr="00535039">
        <w:rPr>
          <w:rFonts w:hAnsi="標楷體" w:hint="eastAsia"/>
        </w:rPr>
        <w:t>臺灣2050</w:t>
      </w:r>
      <w:proofErr w:type="gramStart"/>
      <w:r w:rsidRPr="00535039">
        <w:rPr>
          <w:rFonts w:hAnsi="標楷體" w:hint="eastAsia"/>
        </w:rPr>
        <w:t>淨零轉型</w:t>
      </w:r>
      <w:proofErr w:type="gramEnd"/>
      <w:r w:rsidRPr="00535039">
        <w:rPr>
          <w:rFonts w:hAnsi="標楷體" w:hint="eastAsia"/>
        </w:rPr>
        <w:t>「資源循環零廢棄」關鍵戰略行動計畫（112年4月核定本），資源循環推動架構中於塑膠部分之短期推動工作（2023~2030年）為</w:t>
      </w:r>
      <w:r w:rsidRPr="00535039">
        <w:rPr>
          <w:rFonts w:hAnsi="標楷體"/>
        </w:rPr>
        <w:t>「</w:t>
      </w:r>
      <w:r w:rsidRPr="00535039">
        <w:rPr>
          <w:rFonts w:hAnsi="標楷體" w:hint="eastAsia"/>
        </w:rPr>
        <w:t>源頭設計，淘汰非必要的塑膠包裝或產品、利於回收循環、提出替代作法</w:t>
      </w:r>
      <w:r w:rsidRPr="00535039">
        <w:rPr>
          <w:rFonts w:hAnsi="標楷體"/>
        </w:rPr>
        <w:t>」</w:t>
      </w:r>
      <w:r w:rsidRPr="00535039">
        <w:rPr>
          <w:rFonts w:hAnsi="標楷體" w:hint="eastAsia"/>
        </w:rPr>
        <w:t>、</w:t>
      </w:r>
      <w:r w:rsidRPr="00535039">
        <w:rPr>
          <w:rFonts w:hAnsi="標楷體"/>
        </w:rPr>
        <w:t>「</w:t>
      </w:r>
      <w:r w:rsidRPr="00535039">
        <w:rPr>
          <w:rFonts w:hAnsi="標楷體" w:hint="eastAsia"/>
        </w:rPr>
        <w:t>減少對塑膠需求，延長產品使用，鼓勵重複使用、商業模式創新</w:t>
      </w:r>
      <w:r w:rsidRPr="00535039">
        <w:rPr>
          <w:rFonts w:hAnsi="標楷體"/>
        </w:rPr>
        <w:t>」</w:t>
      </w:r>
      <w:r w:rsidRPr="00535039">
        <w:rPr>
          <w:rFonts w:hAnsi="標楷體" w:hint="eastAsia"/>
        </w:rPr>
        <w:t>、</w:t>
      </w:r>
      <w:r w:rsidRPr="00535039">
        <w:rPr>
          <w:rFonts w:hAnsi="標楷體"/>
        </w:rPr>
        <w:t>「</w:t>
      </w:r>
      <w:r w:rsidRPr="00535039">
        <w:rPr>
          <w:rFonts w:hAnsi="標楷體" w:hint="eastAsia"/>
        </w:rPr>
        <w:t>避免流入環境，有效收集處理，提升回收再利用量</w:t>
      </w:r>
      <w:r w:rsidRPr="00535039">
        <w:rPr>
          <w:rFonts w:hAnsi="標楷體"/>
        </w:rPr>
        <w:t>」</w:t>
      </w:r>
      <w:r w:rsidRPr="00535039">
        <w:rPr>
          <w:rFonts w:hAnsi="標楷體" w:hint="eastAsia"/>
        </w:rPr>
        <w:t>、</w:t>
      </w:r>
      <w:r w:rsidRPr="00535039">
        <w:rPr>
          <w:rFonts w:hAnsi="標楷體"/>
        </w:rPr>
        <w:t>「</w:t>
      </w:r>
      <w:r w:rsidRPr="00535039">
        <w:rPr>
          <w:rFonts w:hAnsi="標楷體" w:hint="eastAsia"/>
        </w:rPr>
        <w:t>驅動塑膠循環再生，創造再生料市場</w:t>
      </w:r>
      <w:r w:rsidRPr="00535039">
        <w:rPr>
          <w:rFonts w:hAnsi="標楷體"/>
        </w:rPr>
        <w:t>」</w:t>
      </w:r>
      <w:r w:rsidRPr="00535039">
        <w:rPr>
          <w:rFonts w:hAnsi="標楷體" w:hint="eastAsia"/>
        </w:rPr>
        <w:t>，中長期推動工作（2030~2050年）為</w:t>
      </w:r>
      <w:r w:rsidRPr="00535039">
        <w:rPr>
          <w:rFonts w:hAnsi="標楷體"/>
        </w:rPr>
        <w:t>「</w:t>
      </w:r>
      <w:r w:rsidRPr="00535039">
        <w:rPr>
          <w:rFonts w:hAnsi="標楷體" w:hint="eastAsia"/>
        </w:rPr>
        <w:t>減少一次性塑膠包裝使用量：2030年達到減少50%，包含以法令禁限用塑膠產品或業者自我宣示、訂定零售業包裝減量目標、推動重複使用商業模式（例如循環杯）等措施</w:t>
      </w:r>
      <w:r w:rsidRPr="00535039">
        <w:rPr>
          <w:rFonts w:hAnsi="標楷體"/>
        </w:rPr>
        <w:t>」</w:t>
      </w:r>
      <w:r w:rsidRPr="00535039">
        <w:rPr>
          <w:rFonts w:hAnsi="標楷體" w:hint="eastAsia"/>
        </w:rPr>
        <w:t>、</w:t>
      </w:r>
      <w:r w:rsidRPr="00535039">
        <w:rPr>
          <w:rFonts w:hAnsi="標楷體"/>
        </w:rPr>
        <w:t>「</w:t>
      </w:r>
      <w:r w:rsidRPr="00535039">
        <w:rPr>
          <w:rFonts w:hAnsi="標楷體" w:hint="eastAsia"/>
        </w:rPr>
        <w:t>包裝、容器回收：2030年達到回收率80%，包含推動北中南產業塑膠再生中心、導入智慧化分選技術、穩定SRF品質與使用管道</w:t>
      </w:r>
      <w:r w:rsidRPr="00535039">
        <w:rPr>
          <w:rFonts w:hAnsi="標楷體"/>
        </w:rPr>
        <w:t>」</w:t>
      </w:r>
      <w:r w:rsidRPr="00535039">
        <w:rPr>
          <w:rFonts w:hAnsi="標楷體" w:hint="eastAsia"/>
        </w:rPr>
        <w:t>、</w:t>
      </w:r>
      <w:r w:rsidRPr="00535039">
        <w:rPr>
          <w:rFonts w:hAnsi="標楷體"/>
        </w:rPr>
        <w:t>「</w:t>
      </w:r>
      <w:r w:rsidRPr="00535039">
        <w:rPr>
          <w:rFonts w:hAnsi="標楷體" w:hint="eastAsia"/>
        </w:rPr>
        <w:t>塑膠包裝添加再生料：2030年達到非食品接觸容器平均添加30%，包含開發回收創新循環關鍵技術、持續擴大市場需求等措施</w:t>
      </w:r>
      <w:r w:rsidRPr="00535039">
        <w:rPr>
          <w:rFonts w:hAnsi="標楷體"/>
        </w:rPr>
        <w:t>」</w:t>
      </w:r>
      <w:r w:rsidRPr="00535039">
        <w:rPr>
          <w:rFonts w:hAnsi="標楷體" w:hint="eastAsia"/>
        </w:rPr>
        <w:t>、</w:t>
      </w:r>
      <w:r w:rsidRPr="00535039">
        <w:rPr>
          <w:rFonts w:hAnsi="標楷體"/>
        </w:rPr>
        <w:t>「</w:t>
      </w:r>
      <w:r w:rsidRPr="00535039">
        <w:rPr>
          <w:rFonts w:hAnsi="標楷體" w:hint="eastAsia"/>
        </w:rPr>
        <w:t>可燃廢棄物燃料化，供大型工業鍋爐及燃燒設備使用，包含固體再生燃料(SRF)產品驗證、</w:t>
      </w:r>
      <w:proofErr w:type="gramStart"/>
      <w:r w:rsidRPr="00535039">
        <w:rPr>
          <w:rFonts w:hAnsi="標楷體" w:hint="eastAsia"/>
        </w:rPr>
        <w:t>研</w:t>
      </w:r>
      <w:proofErr w:type="gramEnd"/>
      <w:r w:rsidRPr="00535039">
        <w:rPr>
          <w:rFonts w:hAnsi="標楷體" w:hint="eastAsia"/>
        </w:rPr>
        <w:t>擬使用SRF產生再生能源之獎勵措施等</w:t>
      </w:r>
      <w:r w:rsidRPr="00535039">
        <w:rPr>
          <w:rFonts w:hAnsi="標楷體"/>
        </w:rPr>
        <w:t>」</w:t>
      </w:r>
      <w:r w:rsidRPr="00535039">
        <w:rPr>
          <w:rFonts w:hAnsi="標楷體" w:hint="eastAsia"/>
        </w:rPr>
        <w:t>，指標項目至2030年（以2020年為基準）為「一次性塑膠包裝用量減少率25%」、「塑膠包裝容器回收率70%」、「塑膠包裝添加再生料比例25%」等3項。</w:t>
      </w:r>
    </w:p>
    <w:p w14:paraId="51CD1058" w14:textId="162CBDFF" w:rsidR="00882605" w:rsidRPr="00535039" w:rsidRDefault="00011D5E" w:rsidP="00AF38C6">
      <w:pPr>
        <w:pStyle w:val="3"/>
        <w:rPr>
          <w:rFonts w:hAnsi="標楷體"/>
        </w:rPr>
      </w:pPr>
      <w:r w:rsidRPr="00535039">
        <w:rPr>
          <w:rFonts w:hAnsi="標楷體" w:hint="eastAsia"/>
        </w:rPr>
        <w:t>惟</w:t>
      </w:r>
      <w:r w:rsidR="00827594" w:rsidRPr="00535039">
        <w:rPr>
          <w:rFonts w:hAnsi="標楷體" w:hint="eastAsia"/>
        </w:rPr>
        <w:t>據</w:t>
      </w:r>
      <w:proofErr w:type="gramStart"/>
      <w:r w:rsidR="00827594" w:rsidRPr="00535039">
        <w:rPr>
          <w:rFonts w:hAnsi="標楷體" w:hint="eastAsia"/>
          <w:u w:val="single"/>
        </w:rPr>
        <w:t>環境部查復</w:t>
      </w:r>
      <w:proofErr w:type="gramEnd"/>
      <w:r w:rsidR="00827594" w:rsidRPr="00535039">
        <w:rPr>
          <w:rFonts w:hAnsi="標楷體" w:hint="eastAsia"/>
          <w:u w:val="single"/>
        </w:rPr>
        <w:t>，</w:t>
      </w:r>
      <w:r w:rsidR="00827594" w:rsidRPr="00535039">
        <w:rPr>
          <w:rFonts w:hAnsi="標楷體"/>
          <w:u w:val="single"/>
        </w:rPr>
        <w:t>114年歐洲人類健康與環境主題中心(ETC HE)與歐洲環境署(EEA)為支持歐盟「零污染</w:t>
      </w:r>
      <w:r w:rsidR="00827594" w:rsidRPr="00535039">
        <w:rPr>
          <w:rFonts w:hAnsi="標楷體"/>
          <w:u w:val="single"/>
        </w:rPr>
        <w:lastRenderedPageBreak/>
        <w:t>行動計畫」</w:t>
      </w:r>
      <w:r w:rsidR="00827594" w:rsidRPr="00535039">
        <w:rPr>
          <w:rFonts w:hAnsi="標楷體"/>
        </w:rPr>
        <w:t>(Zero Pollution Action Plan, ZPAP</w:t>
      </w:r>
      <w:r w:rsidR="009A2CF5" w:rsidRPr="00535039">
        <w:rPr>
          <w:rFonts w:hAnsi="標楷體" w:hint="eastAsia"/>
        </w:rPr>
        <w:t>, 2021年</w:t>
      </w:r>
      <w:r w:rsidR="000F2395" w:rsidRPr="00535039">
        <w:rPr>
          <w:rStyle w:val="afe"/>
          <w:rFonts w:hAnsi="標楷體"/>
        </w:rPr>
        <w:footnoteReference w:id="21"/>
      </w:r>
      <w:r w:rsidR="00827594" w:rsidRPr="00535039">
        <w:rPr>
          <w:rFonts w:hAnsi="標楷體"/>
        </w:rPr>
        <w:t>)，</w:t>
      </w:r>
      <w:r w:rsidR="00827594" w:rsidRPr="00535039">
        <w:rPr>
          <w:rFonts w:hAnsi="標楷體"/>
          <w:u w:val="single"/>
        </w:rPr>
        <w:t>於2030年前（以2016年為基準）將環境中塑膠微粒排放量減少30%</w:t>
      </w:r>
      <w:r w:rsidR="00827594" w:rsidRPr="00535039">
        <w:rPr>
          <w:rFonts w:hAnsi="標楷體"/>
        </w:rPr>
        <w:t>的目標，建立主要排放來源代理指標(proxy indicators)</w:t>
      </w:r>
      <w:r w:rsidR="00605421" w:rsidRPr="00535039">
        <w:rPr>
          <w:rFonts w:hAnsi="標楷體" w:hint="eastAsia"/>
        </w:rPr>
        <w:t>，</w:t>
      </w:r>
      <w:r w:rsidR="00827594" w:rsidRPr="00535039">
        <w:rPr>
          <w:rFonts w:hAnsi="標楷體"/>
        </w:rPr>
        <w:t>評估歐盟塑膠微粒主要來源分別為輪胎磨損、油漆剝落、洗滌紡織品、塑膠顆粒作業散失；</w:t>
      </w:r>
      <w:r w:rsidR="00605421" w:rsidRPr="00535039">
        <w:rPr>
          <w:rFonts w:hAnsi="標楷體" w:hint="eastAsia"/>
        </w:rPr>
        <w:t>資</w:t>
      </w:r>
      <w:r w:rsidR="00827594" w:rsidRPr="00535039">
        <w:rPr>
          <w:rFonts w:hAnsi="標楷體"/>
        </w:rPr>
        <w:t>料顯示，歐盟自</w:t>
      </w:r>
      <w:r w:rsidR="005E3BC7" w:rsidRPr="00535039">
        <w:rPr>
          <w:rFonts w:hAnsi="標楷體" w:hint="eastAsia"/>
        </w:rPr>
        <w:t>2016</w:t>
      </w:r>
      <w:r w:rsidR="00827594" w:rsidRPr="00535039">
        <w:rPr>
          <w:rFonts w:hAnsi="標楷體"/>
        </w:rPr>
        <w:t>年至</w:t>
      </w:r>
      <w:r w:rsidR="005E3BC7" w:rsidRPr="00535039">
        <w:rPr>
          <w:rFonts w:hAnsi="標楷體" w:hint="eastAsia"/>
        </w:rPr>
        <w:t>2022</w:t>
      </w:r>
      <w:r w:rsidR="00827594" w:rsidRPr="00535039">
        <w:rPr>
          <w:rFonts w:hAnsi="標楷體"/>
        </w:rPr>
        <w:t>年間塑膠微粒排放量不減反增，呈現略微上升趨勢</w:t>
      </w:r>
      <w:r w:rsidR="00B30311" w:rsidRPr="00535039">
        <w:rPr>
          <w:rFonts w:hAnsi="標楷體" w:hint="eastAsia"/>
        </w:rPr>
        <w:t>等內容</w:t>
      </w:r>
      <w:r w:rsidR="00827594" w:rsidRPr="00535039">
        <w:rPr>
          <w:rFonts w:hAnsi="標楷體"/>
        </w:rPr>
        <w:t>。</w:t>
      </w:r>
      <w:r w:rsidR="006D2CD0">
        <w:rPr>
          <w:rFonts w:hAnsi="標楷體" w:hint="eastAsia"/>
        </w:rPr>
        <w:t>且</w:t>
      </w:r>
      <w:r w:rsidR="00605421" w:rsidRPr="00535039">
        <w:rPr>
          <w:rFonts w:hAnsi="標楷體" w:hint="eastAsia"/>
        </w:rPr>
        <w:t>查</w:t>
      </w:r>
      <w:r w:rsidR="00605421" w:rsidRPr="00535039">
        <w:rPr>
          <w:rFonts w:hAnsi="標楷體" w:hint="eastAsia"/>
          <w:u w:val="single"/>
        </w:rPr>
        <w:t>歐盟「零污染行動計畫」為達成塑膠微粒排放量減少30%目標之方案</w:t>
      </w:r>
      <w:r w:rsidR="00A27657" w:rsidRPr="00535039">
        <w:rPr>
          <w:rFonts w:hAnsi="標楷體" w:hint="eastAsia"/>
          <w:u w:val="single"/>
        </w:rPr>
        <w:t>，將透過減少塑膠污染</w:t>
      </w:r>
      <w:r w:rsidR="00847220" w:rsidRPr="00535039">
        <w:rPr>
          <w:rFonts w:hAnsi="標楷體" w:hint="eastAsia"/>
          <w:u w:val="single"/>
        </w:rPr>
        <w:t>（會分解成塑膠</w:t>
      </w:r>
      <w:r w:rsidR="00B95412" w:rsidRPr="00535039">
        <w:rPr>
          <w:rFonts w:hAnsi="標楷體" w:hint="eastAsia"/>
          <w:u w:val="single"/>
        </w:rPr>
        <w:t>微粒</w:t>
      </w:r>
      <w:r w:rsidR="00847220" w:rsidRPr="00535039">
        <w:rPr>
          <w:rFonts w:hAnsi="標楷體" w:hint="eastAsia"/>
          <w:u w:val="single"/>
        </w:rPr>
        <w:t>）</w:t>
      </w:r>
      <w:r w:rsidR="00A27657" w:rsidRPr="00535039">
        <w:rPr>
          <w:rFonts w:hAnsi="標楷體" w:hint="eastAsia"/>
          <w:u w:val="single"/>
        </w:rPr>
        <w:t>、限制在產品中添加</w:t>
      </w:r>
      <w:r w:rsidR="0061237B" w:rsidRPr="00535039">
        <w:rPr>
          <w:rFonts w:hAnsi="標楷體" w:hint="eastAsia"/>
          <w:u w:val="single"/>
        </w:rPr>
        <w:t>塑膠微粒</w:t>
      </w:r>
      <w:r w:rsidR="00A27657" w:rsidRPr="00535039">
        <w:rPr>
          <w:rFonts w:hAnsi="標楷體" w:hint="eastAsia"/>
          <w:u w:val="single"/>
        </w:rPr>
        <w:t>以及減少</w:t>
      </w:r>
      <w:r w:rsidR="00847220" w:rsidRPr="00535039">
        <w:rPr>
          <w:rFonts w:hAnsi="標楷體" w:hint="eastAsia"/>
          <w:u w:val="single"/>
        </w:rPr>
        <w:t>塑膠微粒的</w:t>
      </w:r>
      <w:r w:rsidR="00A27657" w:rsidRPr="00535039">
        <w:rPr>
          <w:rFonts w:hAnsi="標楷體" w:hint="eastAsia"/>
          <w:u w:val="single"/>
        </w:rPr>
        <w:t>意外</w:t>
      </w:r>
      <w:r w:rsidR="00CF7DB4" w:rsidRPr="00535039">
        <w:rPr>
          <w:rFonts w:hAnsi="標楷體" w:hint="eastAsia"/>
          <w:u w:val="single"/>
        </w:rPr>
        <w:t>排</w:t>
      </w:r>
      <w:r w:rsidR="00A27657" w:rsidRPr="00535039">
        <w:rPr>
          <w:rFonts w:hAnsi="標楷體" w:hint="eastAsia"/>
          <w:u w:val="single"/>
        </w:rPr>
        <w:t>放</w:t>
      </w:r>
      <w:r w:rsidR="00485104" w:rsidRPr="00535039">
        <w:rPr>
          <w:rStyle w:val="afe"/>
          <w:rFonts w:hAnsi="標楷體"/>
          <w:u w:val="single"/>
        </w:rPr>
        <w:footnoteReference w:id="22"/>
      </w:r>
      <w:r w:rsidR="00A27657" w:rsidRPr="00535039">
        <w:rPr>
          <w:rFonts w:hAnsi="標楷體" w:hint="eastAsia"/>
          <w:u w:val="single"/>
        </w:rPr>
        <w:t>，</w:t>
      </w:r>
      <w:r w:rsidR="00605421" w:rsidRPr="00535039">
        <w:rPr>
          <w:rFonts w:hAnsi="標楷體" w:hint="eastAsia"/>
          <w:u w:val="single"/>
        </w:rPr>
        <w:t>包括設計與製造階段減少微塑膠使用與釋放、法規限制或禁止加入、供應鏈與原料管理於各階段(處理、運輸、儲存、清理)防範洩漏、污染監測與追蹤環境中塑膠微粒</w:t>
      </w:r>
      <w:r w:rsidR="00485104" w:rsidRPr="00535039">
        <w:rPr>
          <w:rFonts w:hAnsi="標楷體" w:hint="eastAsia"/>
          <w:u w:val="single"/>
        </w:rPr>
        <w:t>等，將塑膠微粒污</w:t>
      </w:r>
      <w:r w:rsidR="002914FC" w:rsidRPr="00535039">
        <w:rPr>
          <w:rFonts w:hAnsi="標楷體" w:hint="eastAsia"/>
          <w:u w:val="single"/>
        </w:rPr>
        <w:t>染</w:t>
      </w:r>
      <w:r w:rsidR="00485104" w:rsidRPr="00535039">
        <w:rPr>
          <w:rFonts w:hAnsi="標楷體" w:hint="eastAsia"/>
          <w:u w:val="single"/>
        </w:rPr>
        <w:t>預防作為納入其政策工具，以自源頭、設計、使用至廢棄等階段進行管理。</w:t>
      </w:r>
      <w:r w:rsidRPr="00535039">
        <w:rPr>
          <w:rFonts w:hAnsi="標楷體" w:hint="eastAsia"/>
        </w:rPr>
        <w:t>我國於</w:t>
      </w:r>
      <w:r w:rsidR="00D758E6" w:rsidRPr="00535039">
        <w:rPr>
          <w:rFonts w:hAnsi="標楷體" w:hint="eastAsia"/>
        </w:rPr>
        <w:t>「資源循環零廢棄」</w:t>
      </w:r>
      <w:proofErr w:type="gramStart"/>
      <w:r w:rsidR="00D758E6" w:rsidRPr="00535039">
        <w:rPr>
          <w:rFonts w:hAnsi="標楷體" w:hint="eastAsia"/>
        </w:rPr>
        <w:t>之限塑政策</w:t>
      </w:r>
      <w:proofErr w:type="gramEnd"/>
      <w:r w:rsidRPr="00535039">
        <w:rPr>
          <w:rFonts w:hAnsi="標楷體" w:hint="eastAsia"/>
        </w:rPr>
        <w:t>目標，</w:t>
      </w:r>
      <w:r w:rsidR="0054127D" w:rsidRPr="00535039">
        <w:rPr>
          <w:rFonts w:hAnsi="標楷體" w:hint="eastAsia"/>
        </w:rPr>
        <w:t>其基準年設定、</w:t>
      </w:r>
      <w:proofErr w:type="gramStart"/>
      <w:r w:rsidR="0054127D" w:rsidRPr="00535039">
        <w:rPr>
          <w:rFonts w:hAnsi="標楷體" w:hint="eastAsia"/>
        </w:rPr>
        <w:t>限塑目標值</w:t>
      </w:r>
      <w:proofErr w:type="gramEnd"/>
      <w:r w:rsidR="001946A5" w:rsidRPr="00535039">
        <w:rPr>
          <w:rFonts w:hAnsi="標楷體" w:hint="eastAsia"/>
        </w:rPr>
        <w:t>設定等</w:t>
      </w:r>
      <w:r w:rsidR="0054127D" w:rsidRPr="00535039">
        <w:rPr>
          <w:rFonts w:hAnsi="標楷體" w:hint="eastAsia"/>
        </w:rPr>
        <w:t>，與歐盟「零污染行動計畫」有所落差</w:t>
      </w:r>
      <w:r w:rsidR="009A519B" w:rsidRPr="00535039">
        <w:rPr>
          <w:rFonts w:hAnsi="標楷體" w:hint="eastAsia"/>
        </w:rPr>
        <w:t>，</w:t>
      </w:r>
      <w:proofErr w:type="gramStart"/>
      <w:r w:rsidR="00D758E6" w:rsidRPr="00535039">
        <w:rPr>
          <w:rFonts w:hAnsi="標楷體" w:hint="eastAsia"/>
        </w:rPr>
        <w:t>限塑政</w:t>
      </w:r>
      <w:r w:rsidR="00791F2C" w:rsidRPr="00535039">
        <w:rPr>
          <w:rFonts w:hAnsi="標楷體" w:hint="eastAsia"/>
        </w:rPr>
        <w:t>策</w:t>
      </w:r>
      <w:proofErr w:type="gramEnd"/>
      <w:r w:rsidR="004A02D5" w:rsidRPr="00535039">
        <w:rPr>
          <w:rFonts w:hAnsi="標楷體" w:hint="eastAsia"/>
        </w:rPr>
        <w:t>減量</w:t>
      </w:r>
      <w:r w:rsidR="00791F2C" w:rsidRPr="00535039">
        <w:rPr>
          <w:rFonts w:hAnsi="標楷體" w:hint="eastAsia"/>
        </w:rPr>
        <w:t>目標</w:t>
      </w:r>
      <w:r w:rsidR="001946A5" w:rsidRPr="00535039">
        <w:rPr>
          <w:rFonts w:hAnsi="標楷體" w:hint="eastAsia"/>
        </w:rPr>
        <w:t>與</w:t>
      </w:r>
      <w:r w:rsidR="002914FC" w:rsidRPr="00535039">
        <w:rPr>
          <w:rFonts w:hAnsi="標楷體" w:hint="eastAsia"/>
        </w:rPr>
        <w:t>塑膠微粒排放量</w:t>
      </w:r>
      <w:r w:rsidR="001946A5" w:rsidRPr="00535039">
        <w:rPr>
          <w:rFonts w:hAnsi="標楷體" w:hint="eastAsia"/>
        </w:rPr>
        <w:t>間欠缺關聯性</w:t>
      </w:r>
      <w:r w:rsidR="00F81A6A" w:rsidRPr="00535039">
        <w:rPr>
          <w:rFonts w:hAnsi="標楷體" w:hint="eastAsia"/>
        </w:rPr>
        <w:t>，</w:t>
      </w:r>
      <w:r w:rsidR="0054127D" w:rsidRPr="00535039">
        <w:rPr>
          <w:rFonts w:hAnsi="標楷體" w:hint="eastAsia"/>
        </w:rPr>
        <w:t>應</w:t>
      </w:r>
      <w:r w:rsidR="008E4A10" w:rsidRPr="00535039">
        <w:rPr>
          <w:rFonts w:hAnsi="標楷體" w:hint="eastAsia"/>
        </w:rPr>
        <w:t>重新審視並</w:t>
      </w:r>
      <w:r w:rsidR="0054127D" w:rsidRPr="00535039">
        <w:rPr>
          <w:rFonts w:hAnsi="標楷體" w:hint="eastAsia"/>
        </w:rPr>
        <w:t>檢討改進。</w:t>
      </w:r>
    </w:p>
    <w:p w14:paraId="77B79C12" w14:textId="2C2B620E" w:rsidR="00B4365E" w:rsidRPr="00535039" w:rsidRDefault="00A72042" w:rsidP="001321E5">
      <w:pPr>
        <w:pStyle w:val="3"/>
        <w:rPr>
          <w:rFonts w:hAnsi="標楷體"/>
        </w:rPr>
      </w:pPr>
      <w:r w:rsidRPr="00535039">
        <w:rPr>
          <w:rFonts w:hAnsi="標楷體" w:hint="eastAsia"/>
        </w:rPr>
        <w:t>綜上，</w:t>
      </w:r>
      <w:r w:rsidR="00646B73" w:rsidRPr="00646B73">
        <w:rPr>
          <w:rFonts w:hAnsi="標楷體" w:hint="eastAsia"/>
        </w:rPr>
        <w:t>塑膠微粒主要來源為塑膠製品於廢棄後分解產生，且因塑膠微粒暴露普遍存在，</w:t>
      </w:r>
      <w:proofErr w:type="gramStart"/>
      <w:r w:rsidR="00646B73" w:rsidRPr="00646B73">
        <w:rPr>
          <w:rFonts w:hAnsi="標楷體" w:hint="eastAsia"/>
        </w:rPr>
        <w:t>經攝入</w:t>
      </w:r>
      <w:proofErr w:type="gramEnd"/>
      <w:r w:rsidR="00646B73" w:rsidRPr="00646B73">
        <w:rPr>
          <w:rFonts w:hAnsi="標楷體" w:hint="eastAsia"/>
        </w:rPr>
        <w:t>、吸入可進入人體組織而造成健康風險，</w:t>
      </w:r>
      <w:proofErr w:type="gramStart"/>
      <w:r w:rsidR="00646B73" w:rsidRPr="00646B73">
        <w:rPr>
          <w:rFonts w:hAnsi="標楷體" w:hint="eastAsia"/>
        </w:rPr>
        <w:t>環境部已自</w:t>
      </w:r>
      <w:proofErr w:type="gramEnd"/>
      <w:r w:rsidR="00646B73" w:rsidRPr="00646B73">
        <w:rPr>
          <w:rFonts w:hAnsi="標楷體" w:hint="eastAsia"/>
        </w:rPr>
        <w:t>91年起</w:t>
      </w:r>
      <w:proofErr w:type="gramStart"/>
      <w:r w:rsidR="00646B73" w:rsidRPr="00646B73">
        <w:rPr>
          <w:rFonts w:hAnsi="標楷體" w:hint="eastAsia"/>
        </w:rPr>
        <w:t>推動限塑政策</w:t>
      </w:r>
      <w:proofErr w:type="gramEnd"/>
      <w:r w:rsidR="00646B73" w:rsidRPr="00646B73">
        <w:rPr>
          <w:rFonts w:hAnsi="標楷體" w:hint="eastAsia"/>
        </w:rPr>
        <w:t>，由購物用塑膠袋及免洗餐具開始管制，逐步擴大相關塑膠製品使用，採取禁止、限</w:t>
      </w:r>
      <w:r w:rsidR="00646B73" w:rsidRPr="00646B73">
        <w:rPr>
          <w:rFonts w:hAnsi="標楷體" w:hint="eastAsia"/>
        </w:rPr>
        <w:lastRenderedPageBreak/>
        <w:t>制運作、鼓勵自備、提供循環服務等管理方式，引導業者改變產品設計、改變民眾消費與生活習慣，以減少廢棄物產生與對環境的衝擊。又我國於「臺灣2050</w:t>
      </w:r>
      <w:proofErr w:type="gramStart"/>
      <w:r w:rsidR="00646B73" w:rsidRPr="00646B73">
        <w:rPr>
          <w:rFonts w:hAnsi="標楷體" w:hint="eastAsia"/>
        </w:rPr>
        <w:t>淨零轉型</w:t>
      </w:r>
      <w:proofErr w:type="gramEnd"/>
      <w:r w:rsidR="00646B73" w:rsidRPr="00646B73">
        <w:rPr>
          <w:rFonts w:hAnsi="標楷體" w:hint="eastAsia"/>
        </w:rPr>
        <w:t>『資源循環零廢棄』關鍵戰略行動計畫（112年4月核定本）」業列明塑膠項目指標，至2030年短期推動工作目標（以2020年為基準）為「一次性塑膠包裝用量減少率25%」、「塑膠包裝容器回收率70%」、「塑膠包裝添加再生料比例25%」等目標，然據歐盟「零污染行動計畫（2021年）」設定於2030年前（以2016年為基準）將環境中塑膠微粒排放量減少30%的目標，係藉由減少塑膠污染（會分解成塑膠微粒）、限制產品中添加塑膠微粒及減少塑膠微粒的意外排放等作為，而我國相關政策目標之基準年設定、</w:t>
      </w:r>
      <w:proofErr w:type="gramStart"/>
      <w:r w:rsidR="00646B73" w:rsidRPr="00646B73">
        <w:rPr>
          <w:rFonts w:hAnsi="標楷體" w:hint="eastAsia"/>
        </w:rPr>
        <w:t>限塑目標值</w:t>
      </w:r>
      <w:proofErr w:type="gramEnd"/>
      <w:r w:rsidR="00646B73" w:rsidRPr="00646B73">
        <w:rPr>
          <w:rFonts w:hAnsi="標楷體" w:hint="eastAsia"/>
        </w:rPr>
        <w:t>，與歐盟「零污染行動計畫」有所落差，且該目標值與塑膠微粒排放</w:t>
      </w:r>
      <w:proofErr w:type="gramStart"/>
      <w:r w:rsidR="00646B73" w:rsidRPr="00646B73">
        <w:rPr>
          <w:rFonts w:hAnsi="標楷體" w:hint="eastAsia"/>
        </w:rPr>
        <w:t>量間亦欠缺</w:t>
      </w:r>
      <w:proofErr w:type="gramEnd"/>
      <w:r w:rsidR="00646B73" w:rsidRPr="00646B73">
        <w:rPr>
          <w:rFonts w:hAnsi="標楷體" w:hint="eastAsia"/>
        </w:rPr>
        <w:t>關聯性，宜詳</w:t>
      </w:r>
      <w:proofErr w:type="gramStart"/>
      <w:r w:rsidR="00646B73" w:rsidRPr="00646B73">
        <w:rPr>
          <w:rFonts w:hAnsi="標楷體" w:hint="eastAsia"/>
        </w:rPr>
        <w:t>予審</w:t>
      </w:r>
      <w:proofErr w:type="gramEnd"/>
      <w:r w:rsidR="00646B73" w:rsidRPr="00646B73">
        <w:rPr>
          <w:rFonts w:hAnsi="標楷體" w:hint="eastAsia"/>
        </w:rPr>
        <w:t>視並檢討改進。</w:t>
      </w:r>
    </w:p>
    <w:p w14:paraId="631E6BB2" w14:textId="50FBAC9B" w:rsidR="000712F8" w:rsidRPr="00535039" w:rsidRDefault="000C4775" w:rsidP="004D675F">
      <w:pPr>
        <w:pStyle w:val="2"/>
        <w:rPr>
          <w:rFonts w:hAnsi="標楷體"/>
          <w:b/>
          <w:bCs w:val="0"/>
        </w:rPr>
      </w:pPr>
      <w:proofErr w:type="gramStart"/>
      <w:r w:rsidRPr="00535039">
        <w:rPr>
          <w:rFonts w:hAnsi="標楷體" w:hint="eastAsia"/>
          <w:b/>
          <w:bCs w:val="0"/>
        </w:rPr>
        <w:t>環境部</w:t>
      </w:r>
      <w:r w:rsidR="002B4533" w:rsidRPr="00535039">
        <w:rPr>
          <w:rFonts w:hAnsi="標楷體" w:hint="eastAsia"/>
          <w:b/>
          <w:bCs w:val="0"/>
        </w:rPr>
        <w:t>於106年</w:t>
      </w:r>
      <w:proofErr w:type="gramEnd"/>
      <w:r w:rsidR="00E71DBC" w:rsidRPr="00535039">
        <w:rPr>
          <w:rFonts w:hAnsi="標楷體" w:hint="eastAsia"/>
          <w:b/>
          <w:bCs w:val="0"/>
        </w:rPr>
        <w:t>及</w:t>
      </w:r>
      <w:r w:rsidR="002B4533" w:rsidRPr="00535039">
        <w:rPr>
          <w:rFonts w:hAnsi="標楷體" w:hint="eastAsia"/>
          <w:b/>
          <w:bCs w:val="0"/>
        </w:rPr>
        <w:t>107年</w:t>
      </w:r>
      <w:r w:rsidR="002C5767" w:rsidRPr="00535039">
        <w:rPr>
          <w:rFonts w:hAnsi="標楷體" w:hint="eastAsia"/>
          <w:b/>
          <w:bCs w:val="0"/>
        </w:rPr>
        <w:t>調查</w:t>
      </w:r>
      <w:r w:rsidR="00B468FC" w:rsidRPr="00535039">
        <w:rPr>
          <w:rFonts w:hAnsi="標楷體" w:hint="eastAsia"/>
          <w:b/>
          <w:bCs w:val="0"/>
        </w:rPr>
        <w:t>全國100處自來水淨水場</w:t>
      </w:r>
      <w:r w:rsidR="009A6C0F" w:rsidRPr="00535039">
        <w:rPr>
          <w:rFonts w:hAnsi="標楷體" w:hint="eastAsia"/>
          <w:b/>
          <w:bCs w:val="0"/>
        </w:rPr>
        <w:t>，</w:t>
      </w:r>
      <w:r w:rsidR="00B468FC" w:rsidRPr="00535039">
        <w:rPr>
          <w:rFonts w:hAnsi="標楷體" w:hint="eastAsia"/>
          <w:b/>
          <w:bCs w:val="0"/>
        </w:rPr>
        <w:t>飲用水</w:t>
      </w:r>
      <w:r w:rsidR="008B7AF9" w:rsidRPr="00535039">
        <w:rPr>
          <w:rFonts w:hAnsi="標楷體" w:hint="eastAsia"/>
          <w:b/>
          <w:bCs w:val="0"/>
        </w:rPr>
        <w:t>有44處</w:t>
      </w:r>
      <w:r w:rsidR="001B1DC6" w:rsidRPr="00535039">
        <w:rPr>
          <w:rFonts w:hAnsi="標楷體" w:hint="eastAsia"/>
          <w:b/>
          <w:bCs w:val="0"/>
        </w:rPr>
        <w:t>檢出塑膠微粒，</w:t>
      </w:r>
      <w:r w:rsidR="008B7AF9" w:rsidRPr="00535039">
        <w:rPr>
          <w:rFonts w:hAnsi="標楷體" w:hint="eastAsia"/>
          <w:b/>
          <w:bCs w:val="0"/>
        </w:rPr>
        <w:t>原</w:t>
      </w:r>
      <w:proofErr w:type="gramStart"/>
      <w:r w:rsidR="008B7AF9" w:rsidRPr="00535039">
        <w:rPr>
          <w:rFonts w:hAnsi="標楷體" w:hint="eastAsia"/>
          <w:b/>
          <w:bCs w:val="0"/>
        </w:rPr>
        <w:t>水</w:t>
      </w:r>
      <w:proofErr w:type="gramEnd"/>
      <w:r w:rsidR="008B7AF9" w:rsidRPr="00535039">
        <w:rPr>
          <w:rFonts w:hAnsi="標楷體" w:hint="eastAsia"/>
          <w:b/>
          <w:bCs w:val="0"/>
        </w:rPr>
        <w:t>水質23處有8處檢出塑膠微粒，</w:t>
      </w:r>
      <w:r w:rsidR="002B4533" w:rsidRPr="00535039">
        <w:rPr>
          <w:rFonts w:hAnsi="標楷體" w:hint="eastAsia"/>
          <w:b/>
          <w:bCs w:val="0"/>
        </w:rPr>
        <w:t>114年</w:t>
      </w:r>
      <w:r w:rsidR="009A6C0F" w:rsidRPr="00535039">
        <w:rPr>
          <w:rFonts w:hAnsi="標楷體" w:hint="eastAsia"/>
          <w:b/>
          <w:bCs w:val="0"/>
        </w:rPr>
        <w:t>調查</w:t>
      </w:r>
      <w:r w:rsidR="00B468FC" w:rsidRPr="00535039">
        <w:rPr>
          <w:rFonts w:hAnsi="標楷體" w:hint="eastAsia"/>
          <w:b/>
          <w:bCs w:val="0"/>
        </w:rPr>
        <w:t>37處淨水場</w:t>
      </w:r>
      <w:r w:rsidR="0012236C" w:rsidRPr="00535039">
        <w:rPr>
          <w:rFonts w:hAnsi="標楷體" w:hint="eastAsia"/>
          <w:b/>
          <w:bCs w:val="0"/>
        </w:rPr>
        <w:t>，經處理過之</w:t>
      </w:r>
      <w:r w:rsidR="006B6108" w:rsidRPr="00535039">
        <w:rPr>
          <w:rFonts w:hAnsi="標楷體" w:hint="eastAsia"/>
          <w:b/>
          <w:bCs w:val="0"/>
        </w:rPr>
        <w:t>飲用水水質</w:t>
      </w:r>
      <w:r w:rsidR="00166532" w:rsidRPr="00535039">
        <w:rPr>
          <w:rFonts w:hAnsi="標楷體" w:hint="eastAsia"/>
          <w:b/>
          <w:bCs w:val="0"/>
        </w:rPr>
        <w:t>，</w:t>
      </w:r>
      <w:r w:rsidR="00B468FC" w:rsidRPr="00535039">
        <w:rPr>
          <w:rFonts w:hAnsi="標楷體" w:hint="eastAsia"/>
          <w:b/>
          <w:bCs w:val="0"/>
        </w:rPr>
        <w:t>檢出8處</w:t>
      </w:r>
      <w:r w:rsidR="006B6108" w:rsidRPr="00535039">
        <w:rPr>
          <w:rFonts w:hAnsi="標楷體" w:hint="eastAsia"/>
          <w:b/>
          <w:bCs w:val="0"/>
        </w:rPr>
        <w:t>含有塑膠微粒</w:t>
      </w:r>
      <w:r w:rsidR="002C5767" w:rsidRPr="00535039">
        <w:rPr>
          <w:rFonts w:hAnsi="標楷體" w:hint="eastAsia"/>
          <w:b/>
          <w:bCs w:val="0"/>
        </w:rPr>
        <w:t>，</w:t>
      </w:r>
      <w:r w:rsidR="00E56022" w:rsidRPr="00535039">
        <w:rPr>
          <w:rFonts w:hAnsi="標楷體" w:hint="eastAsia"/>
          <w:b/>
          <w:bCs w:val="0"/>
        </w:rPr>
        <w:t>雖</w:t>
      </w:r>
      <w:r w:rsidR="00A75930" w:rsidRPr="00535039">
        <w:rPr>
          <w:rFonts w:hAnsi="標楷體" w:hint="eastAsia"/>
          <w:b/>
          <w:bCs w:val="0"/>
        </w:rPr>
        <w:t>經</w:t>
      </w:r>
      <w:r w:rsidR="00E56022" w:rsidRPr="00535039">
        <w:rPr>
          <w:rFonts w:hAnsi="標楷體" w:hint="eastAsia"/>
          <w:b/>
          <w:bCs w:val="0"/>
        </w:rPr>
        <w:t>淨水處理可去除99%塑膠微粒，但無法完全免除其危害風險，</w:t>
      </w:r>
      <w:r w:rsidR="00CA6568" w:rsidRPr="00535039">
        <w:rPr>
          <w:rFonts w:hAnsi="標楷體" w:hint="eastAsia"/>
          <w:b/>
          <w:bCs w:val="0"/>
        </w:rPr>
        <w:t>又因國際間尚未</w:t>
      </w:r>
      <w:r w:rsidR="00ED6A0A" w:rsidRPr="00535039">
        <w:rPr>
          <w:rFonts w:hAnsi="標楷體" w:hint="eastAsia"/>
          <w:b/>
          <w:bCs w:val="0"/>
        </w:rPr>
        <w:t>規範</w:t>
      </w:r>
      <w:r w:rsidR="00CA6568" w:rsidRPr="00535039">
        <w:rPr>
          <w:rFonts w:hAnsi="標楷體" w:hint="eastAsia"/>
          <w:b/>
          <w:bCs w:val="0"/>
        </w:rPr>
        <w:t>飲用水中塑膠微粒之限值，亦未納入定期水質監測，故無從掌握水源水質背景資料，更難以適時調整淨水處理程序，以減少民眾自飲用水攝入塑膠微粒</w:t>
      </w:r>
      <w:r w:rsidR="00FF2D3A" w:rsidRPr="00535039">
        <w:rPr>
          <w:rFonts w:hAnsi="標楷體" w:hint="eastAsia"/>
          <w:b/>
          <w:bCs w:val="0"/>
        </w:rPr>
        <w:t>之</w:t>
      </w:r>
      <w:r w:rsidR="00043BFA" w:rsidRPr="00535039">
        <w:rPr>
          <w:rFonts w:hAnsi="標楷體" w:hint="eastAsia"/>
          <w:b/>
          <w:bCs w:val="0"/>
        </w:rPr>
        <w:t>疑慮</w:t>
      </w:r>
      <w:r w:rsidR="00A75930" w:rsidRPr="00535039">
        <w:rPr>
          <w:rFonts w:hAnsi="標楷體" w:hint="eastAsia"/>
          <w:b/>
          <w:bCs w:val="0"/>
          <w:lang w:eastAsia="zh-HK"/>
        </w:rPr>
        <w:t>。</w:t>
      </w:r>
      <w:r w:rsidR="00940940" w:rsidRPr="00535039">
        <w:rPr>
          <w:rFonts w:hAnsi="標楷體" w:hint="eastAsia"/>
          <w:b/>
          <w:bCs w:val="0"/>
          <w:lang w:eastAsia="zh-HK"/>
        </w:rPr>
        <w:t>環境部</w:t>
      </w:r>
      <w:r w:rsidR="00043BFA" w:rsidRPr="00535039">
        <w:rPr>
          <w:rFonts w:hAnsi="標楷體" w:hint="eastAsia"/>
          <w:b/>
          <w:bCs w:val="0"/>
          <w:lang w:eastAsia="zh-HK"/>
        </w:rPr>
        <w:t>既已函請</w:t>
      </w:r>
      <w:r w:rsidR="00A1403A" w:rsidRPr="00535039">
        <w:rPr>
          <w:rFonts w:hAnsi="標楷體"/>
          <w:b/>
          <w:bCs w:val="0"/>
        </w:rPr>
        <w:t>經濟部水利署</w:t>
      </w:r>
      <w:r w:rsidR="00A1403A" w:rsidRPr="00535039">
        <w:rPr>
          <w:rFonts w:hAnsi="標楷體" w:hint="eastAsia"/>
          <w:b/>
          <w:bCs w:val="0"/>
        </w:rPr>
        <w:t>協助輔導</w:t>
      </w:r>
      <w:r w:rsidR="00043BFA" w:rsidRPr="00535039">
        <w:rPr>
          <w:rFonts w:hAnsi="標楷體" w:hint="eastAsia"/>
          <w:b/>
          <w:bCs w:val="0"/>
          <w:lang w:eastAsia="zh-HK"/>
        </w:rPr>
        <w:t>自來水事業單位</w:t>
      </w:r>
      <w:r w:rsidR="00A1403A" w:rsidRPr="00535039">
        <w:rPr>
          <w:rFonts w:hAnsi="標楷體" w:hint="eastAsia"/>
          <w:b/>
          <w:bCs w:val="0"/>
          <w:lang w:eastAsia="zh-HK"/>
        </w:rPr>
        <w:t>，</w:t>
      </w:r>
      <w:r w:rsidR="00043BFA" w:rsidRPr="00535039">
        <w:rPr>
          <w:rFonts w:hAnsi="標楷體" w:hint="eastAsia"/>
          <w:b/>
          <w:bCs w:val="0"/>
          <w:lang w:eastAsia="zh-HK"/>
        </w:rPr>
        <w:t>以風險預防管理</w:t>
      </w:r>
      <w:r w:rsidR="00EB012B" w:rsidRPr="00535039">
        <w:rPr>
          <w:rFonts w:hAnsi="標楷體" w:hint="eastAsia"/>
          <w:b/>
          <w:bCs w:val="0"/>
          <w:lang w:eastAsia="zh-HK"/>
        </w:rPr>
        <w:t>來</w:t>
      </w:r>
      <w:r w:rsidR="00A1403A" w:rsidRPr="00535039">
        <w:rPr>
          <w:rFonts w:hAnsi="標楷體" w:hint="eastAsia"/>
          <w:b/>
          <w:bCs w:val="0"/>
          <w:lang w:eastAsia="zh-HK"/>
        </w:rPr>
        <w:t>降低飲用水中</w:t>
      </w:r>
      <w:r w:rsidR="00EB012B" w:rsidRPr="00535039">
        <w:rPr>
          <w:rFonts w:hAnsi="標楷體" w:hint="eastAsia"/>
          <w:b/>
          <w:bCs w:val="0"/>
          <w:lang w:eastAsia="zh-HK"/>
        </w:rPr>
        <w:t>塑膠微粒</w:t>
      </w:r>
      <w:r w:rsidR="00A1403A" w:rsidRPr="00535039">
        <w:rPr>
          <w:rFonts w:hAnsi="標楷體" w:hint="eastAsia"/>
          <w:b/>
          <w:bCs w:val="0"/>
          <w:lang w:eastAsia="zh-HK"/>
        </w:rPr>
        <w:t>存在</w:t>
      </w:r>
      <w:r w:rsidR="00EB012B" w:rsidRPr="00535039">
        <w:rPr>
          <w:rFonts w:hAnsi="標楷體" w:hint="eastAsia"/>
          <w:b/>
          <w:bCs w:val="0"/>
          <w:lang w:eastAsia="zh-HK"/>
        </w:rPr>
        <w:t>風險，</w:t>
      </w:r>
      <w:r w:rsidR="00A1403A" w:rsidRPr="00535039">
        <w:rPr>
          <w:rFonts w:hAnsi="標楷體" w:hint="eastAsia"/>
          <w:b/>
          <w:bCs w:val="0"/>
          <w:lang w:eastAsia="zh-HK"/>
        </w:rPr>
        <w:t>並評估</w:t>
      </w:r>
      <w:r w:rsidR="00A1403A" w:rsidRPr="00535039">
        <w:rPr>
          <w:rFonts w:hAnsi="標楷體" w:hint="eastAsia"/>
          <w:b/>
          <w:bCs w:val="0"/>
        </w:rPr>
        <w:t>納入飲用水水質管制標準，允應持續</w:t>
      </w:r>
      <w:r w:rsidR="000712F8" w:rsidRPr="00535039">
        <w:rPr>
          <w:rFonts w:hAnsi="標楷體" w:hint="eastAsia"/>
          <w:b/>
          <w:bCs w:val="0"/>
        </w:rPr>
        <w:t>追蹤以</w:t>
      </w:r>
      <w:r w:rsidR="002448C7" w:rsidRPr="00535039">
        <w:rPr>
          <w:rFonts w:hAnsi="標楷體" w:hint="eastAsia"/>
          <w:b/>
          <w:bCs w:val="0"/>
        </w:rPr>
        <w:t>確保國人</w:t>
      </w:r>
      <w:r w:rsidR="002448C7" w:rsidRPr="00535039">
        <w:rPr>
          <w:rFonts w:hAnsi="標楷體"/>
          <w:b/>
          <w:bCs w:val="0"/>
        </w:rPr>
        <w:t>飲水安全無虞</w:t>
      </w:r>
      <w:r w:rsidR="000712F8" w:rsidRPr="00535039">
        <w:rPr>
          <w:rFonts w:hAnsi="標楷體" w:hint="eastAsia"/>
          <w:b/>
          <w:bCs w:val="0"/>
        </w:rPr>
        <w:t>。</w:t>
      </w:r>
    </w:p>
    <w:p w14:paraId="369453CC" w14:textId="7A44E56F" w:rsidR="000C4775" w:rsidRPr="00535039" w:rsidRDefault="006C4DE6" w:rsidP="000C4775">
      <w:pPr>
        <w:pStyle w:val="3"/>
        <w:rPr>
          <w:rFonts w:hAnsi="標楷體"/>
        </w:rPr>
      </w:pPr>
      <w:r w:rsidRPr="00535039">
        <w:rPr>
          <w:rFonts w:hAnsi="標楷體" w:hint="eastAsia"/>
          <w:lang w:eastAsia="zh-HK"/>
        </w:rPr>
        <w:t>環境部</w:t>
      </w:r>
      <w:r w:rsidRPr="00535039">
        <w:rPr>
          <w:rFonts w:hAnsi="標楷體" w:hint="eastAsia"/>
        </w:rPr>
        <w:t>查復</w:t>
      </w:r>
      <w:r w:rsidR="000C4775" w:rsidRPr="00535039">
        <w:rPr>
          <w:rFonts w:hAnsi="標楷體" w:hint="eastAsia"/>
        </w:rPr>
        <w:tab/>
        <w:t>國內飲用水中</w:t>
      </w:r>
      <w:r w:rsidRPr="00535039">
        <w:rPr>
          <w:rFonts w:hAnsi="標楷體" w:hint="eastAsia"/>
        </w:rPr>
        <w:t>含有</w:t>
      </w:r>
      <w:r w:rsidR="000C4775" w:rsidRPr="00535039">
        <w:rPr>
          <w:rFonts w:hAnsi="標楷體" w:hint="eastAsia"/>
        </w:rPr>
        <w:t>塑膠微粒</w:t>
      </w:r>
      <w:r w:rsidRPr="00535039">
        <w:rPr>
          <w:rFonts w:hAnsi="標楷體" w:hint="eastAsia"/>
        </w:rPr>
        <w:t>之</w:t>
      </w:r>
      <w:r w:rsidR="000C4775" w:rsidRPr="00535039">
        <w:rPr>
          <w:rFonts w:hAnsi="標楷體" w:hint="eastAsia"/>
        </w:rPr>
        <w:t>相關</w:t>
      </w:r>
      <w:r w:rsidRPr="00535039">
        <w:rPr>
          <w:rFonts w:hAnsi="標楷體" w:hint="eastAsia"/>
        </w:rPr>
        <w:t>研究調查情形如下：</w:t>
      </w:r>
    </w:p>
    <w:p w14:paraId="3207D555" w14:textId="5EE5F9CE" w:rsidR="0022692E" w:rsidRPr="00535039" w:rsidRDefault="000C4775" w:rsidP="008E5B40">
      <w:pPr>
        <w:pStyle w:val="4"/>
        <w:rPr>
          <w:rFonts w:hAnsi="標楷體"/>
        </w:rPr>
      </w:pPr>
      <w:r w:rsidRPr="00535039">
        <w:rPr>
          <w:rFonts w:hAnsi="標楷體" w:hint="eastAsia"/>
        </w:rPr>
        <w:lastRenderedPageBreak/>
        <w:t>國環院</w:t>
      </w:r>
      <w:r w:rsidR="006B6108" w:rsidRPr="00535039">
        <w:rPr>
          <w:rFonts w:hAnsi="標楷體" w:hint="eastAsia"/>
        </w:rPr>
        <w:t>執行</w:t>
      </w:r>
      <w:r w:rsidRPr="00535039">
        <w:rPr>
          <w:rFonts w:hAnsi="標楷體" w:hint="eastAsia"/>
        </w:rPr>
        <w:t>「自來水中微型塑膠纖維檢測技術建立及國內自來水供水水質現況調查」</w:t>
      </w:r>
      <w:r w:rsidR="006C4DE6" w:rsidRPr="00535039">
        <w:rPr>
          <w:rFonts w:hAnsi="標楷體" w:hint="eastAsia"/>
        </w:rPr>
        <w:t>，</w:t>
      </w:r>
      <w:r w:rsidRPr="00535039">
        <w:rPr>
          <w:rFonts w:hAnsi="標楷體" w:hint="eastAsia"/>
        </w:rPr>
        <w:t>於106年(11處)及107年(89處)共進行全國100處自來水淨水場清水(飲用水)之微型塑膠現況調查，總計自來水清水樣品共100件，檢出率為44%，檢出範圍為0</w:t>
      </w:r>
      <w:r w:rsidR="00030683" w:rsidRPr="00535039">
        <w:rPr>
          <w:rFonts w:hAnsi="標楷體" w:hint="eastAsia"/>
        </w:rPr>
        <w:t>~</w:t>
      </w:r>
      <w:r w:rsidRPr="00535039">
        <w:rPr>
          <w:rFonts w:hAnsi="標楷體" w:hint="eastAsia"/>
        </w:rPr>
        <w:t>6根/公升，平均值為0.75根/公升。</w:t>
      </w:r>
    </w:p>
    <w:p w14:paraId="7965B01C" w14:textId="2F9FA6FA" w:rsidR="0022692E" w:rsidRPr="00535039" w:rsidRDefault="0022692E" w:rsidP="008E5B40">
      <w:pPr>
        <w:pStyle w:val="4"/>
        <w:rPr>
          <w:rFonts w:hAnsi="標楷體"/>
        </w:rPr>
      </w:pPr>
      <w:r w:rsidRPr="00535039">
        <w:rPr>
          <w:rFonts w:hAnsi="標楷體" w:hint="eastAsia"/>
        </w:rPr>
        <w:t>水源水質相關檢測數據</w:t>
      </w:r>
      <w:r w:rsidR="001B6465" w:rsidRPr="00535039">
        <w:rPr>
          <w:rFonts w:hAnsi="標楷體" w:hint="eastAsia"/>
        </w:rPr>
        <w:t>於</w:t>
      </w:r>
      <w:r w:rsidRPr="00535039">
        <w:rPr>
          <w:rFonts w:hAnsi="標楷體" w:hint="eastAsia"/>
        </w:rPr>
        <w:t>106年(5處)及107年(18處)共進行全國23處自來水淨水場之原水(飲用水水源)微型塑膠現況調查，總計原水樣品共23件，檢出率為61%。</w:t>
      </w:r>
    </w:p>
    <w:p w14:paraId="264678A6" w14:textId="35D584F9" w:rsidR="00D04219" w:rsidRPr="00535039" w:rsidRDefault="000C4775" w:rsidP="008E5B40">
      <w:pPr>
        <w:pStyle w:val="4"/>
        <w:rPr>
          <w:rFonts w:hAnsi="標楷體"/>
        </w:rPr>
      </w:pPr>
      <w:r w:rsidRPr="00535039">
        <w:rPr>
          <w:rFonts w:hAnsi="標楷體" w:hint="eastAsia"/>
        </w:rPr>
        <w:t>與美國非營利組織Orb media檢測美國、歐盟及印度等10多個國家</w:t>
      </w:r>
      <w:r w:rsidR="0067781D" w:rsidRPr="00535039">
        <w:rPr>
          <w:rFonts w:hAnsi="標楷體" w:hint="eastAsia"/>
        </w:rPr>
        <w:t>的</w:t>
      </w:r>
      <w:r w:rsidRPr="00535039">
        <w:rPr>
          <w:rFonts w:hAnsi="標楷體" w:hint="eastAsia"/>
        </w:rPr>
        <w:t>159件樣品結果比較，不論是檢出率(我國44%，Orb media 83%)、數量範圍(我國0</w:t>
      </w:r>
      <w:r w:rsidR="0067781D" w:rsidRPr="00535039">
        <w:rPr>
          <w:rFonts w:hAnsi="標楷體" w:hint="eastAsia"/>
        </w:rPr>
        <w:t>~</w:t>
      </w:r>
      <w:r w:rsidRPr="00535039">
        <w:rPr>
          <w:rFonts w:hAnsi="標楷體" w:hint="eastAsia"/>
        </w:rPr>
        <w:t>6根/公升，Orb media 0</w:t>
      </w:r>
      <w:r w:rsidR="0067781D" w:rsidRPr="00535039">
        <w:rPr>
          <w:rFonts w:hAnsi="標楷體" w:hint="eastAsia"/>
        </w:rPr>
        <w:t>~</w:t>
      </w:r>
      <w:r w:rsidRPr="00535039">
        <w:rPr>
          <w:rFonts w:hAnsi="標楷體" w:hint="eastAsia"/>
        </w:rPr>
        <w:t>57根/公升)或平均值(我國0.75根/公升，Orb media 4.34根/公升)均優於Orb media檢測結果。</w:t>
      </w:r>
      <w:r w:rsidR="00D04219" w:rsidRPr="00535039">
        <w:rPr>
          <w:rFonts w:hAnsi="標楷體" w:hint="eastAsia"/>
        </w:rPr>
        <w:t>又</w:t>
      </w:r>
      <w:r w:rsidR="00D04219" w:rsidRPr="00535039">
        <w:rPr>
          <w:rFonts w:hAnsi="標楷體"/>
          <w:szCs w:val="32"/>
        </w:rPr>
        <w:t>歐盟委員會聯合研究中心於113年整理國際飲用水調查資料，發現</w:t>
      </w:r>
      <w:proofErr w:type="gramStart"/>
      <w:r w:rsidR="00D04219" w:rsidRPr="00535039">
        <w:rPr>
          <w:rFonts w:hAnsi="標楷體"/>
          <w:szCs w:val="32"/>
        </w:rPr>
        <w:t>水樣中顆粒</w:t>
      </w:r>
      <w:proofErr w:type="gramEnd"/>
      <w:r w:rsidR="00D04219" w:rsidRPr="00535039">
        <w:rPr>
          <w:rFonts w:hAnsi="標楷體"/>
          <w:szCs w:val="32"/>
        </w:rPr>
        <w:t>及纖維的數量濃度差異可達5個數量級，塑膠微粒含量約介於每公升100顆至0.01顆。</w:t>
      </w:r>
    </w:p>
    <w:p w14:paraId="2E313E9B" w14:textId="614349BB" w:rsidR="000C4775" w:rsidRPr="00535039" w:rsidRDefault="000C4775" w:rsidP="008E5B40">
      <w:pPr>
        <w:pStyle w:val="4"/>
        <w:rPr>
          <w:rFonts w:hAnsi="標楷體"/>
        </w:rPr>
      </w:pPr>
      <w:r w:rsidRPr="00535039">
        <w:rPr>
          <w:rFonts w:hAnsi="標楷體" w:hint="eastAsia"/>
        </w:rPr>
        <w:t>為持續掌握國內飲用水的塑膠微粒現況，</w:t>
      </w:r>
      <w:proofErr w:type="gramStart"/>
      <w:r w:rsidRPr="00535039">
        <w:rPr>
          <w:rFonts w:hAnsi="標楷體" w:hint="eastAsia"/>
        </w:rPr>
        <w:t>環境部於114年</w:t>
      </w:r>
      <w:proofErr w:type="gramEnd"/>
      <w:r w:rsidRPr="00535039">
        <w:rPr>
          <w:rFonts w:hAnsi="標楷體" w:hint="eastAsia"/>
        </w:rPr>
        <w:t>由</w:t>
      </w:r>
      <w:r w:rsidR="0067781D" w:rsidRPr="00535039">
        <w:rPr>
          <w:rFonts w:hAnsi="標楷體" w:hint="eastAsia"/>
        </w:rPr>
        <w:t>相關</w:t>
      </w:r>
      <w:r w:rsidRPr="00535039">
        <w:rPr>
          <w:rFonts w:hAnsi="標楷體" w:hint="eastAsia"/>
        </w:rPr>
        <w:t>環保局於國內供水量大的37處淨水場進行</w:t>
      </w:r>
      <w:proofErr w:type="gramStart"/>
      <w:r w:rsidRPr="00535039">
        <w:rPr>
          <w:rFonts w:hAnsi="標楷體" w:hint="eastAsia"/>
        </w:rPr>
        <w:t>採</w:t>
      </w:r>
      <w:proofErr w:type="gramEnd"/>
      <w:r w:rsidRPr="00535039">
        <w:rPr>
          <w:rFonts w:hAnsi="標楷體" w:hint="eastAsia"/>
        </w:rPr>
        <w:t>樣飲用水檢測，由該部國環院進行檢測。本次檢測採用「顯微傅立葉</w:t>
      </w:r>
      <w:proofErr w:type="gramStart"/>
      <w:r w:rsidRPr="00535039">
        <w:rPr>
          <w:rFonts w:hAnsi="標楷體" w:hint="eastAsia"/>
        </w:rPr>
        <w:t>轉換紅外光譜儀</w:t>
      </w:r>
      <w:proofErr w:type="gramEnd"/>
      <w:r w:rsidRPr="00535039">
        <w:rPr>
          <w:rFonts w:hAnsi="標楷體" w:hint="eastAsia"/>
        </w:rPr>
        <w:t>(µ-FTIR)」，並遵循歐洲實驗室聯合制定的</w:t>
      </w:r>
      <w:proofErr w:type="gramStart"/>
      <w:r w:rsidRPr="00535039">
        <w:rPr>
          <w:rFonts w:hAnsi="標楷體" w:hint="eastAsia"/>
        </w:rPr>
        <w:t>《</w:t>
      </w:r>
      <w:proofErr w:type="gramEnd"/>
      <w:r w:rsidRPr="00535039">
        <w:rPr>
          <w:rFonts w:hAnsi="標楷體" w:hint="eastAsia"/>
        </w:rPr>
        <w:t>使用微拉</w:t>
      </w:r>
      <w:proofErr w:type="gramStart"/>
      <w:r w:rsidRPr="00535039">
        <w:rPr>
          <w:rFonts w:hAnsi="標楷體" w:hint="eastAsia"/>
        </w:rPr>
        <w:t>曼</w:t>
      </w:r>
      <w:proofErr w:type="gramEnd"/>
      <w:r w:rsidRPr="00535039">
        <w:rPr>
          <w:rFonts w:hAnsi="標楷體" w:hint="eastAsia"/>
        </w:rPr>
        <w:t>和微紅外光譜分析飲用水和其他清潔水樣本中的塑膠微粒：最低要求和最佳實踐指南</w:t>
      </w:r>
      <w:proofErr w:type="gramStart"/>
      <w:r w:rsidRPr="00535039">
        <w:rPr>
          <w:rFonts w:hAnsi="標楷體" w:hint="eastAsia"/>
        </w:rPr>
        <w:t>》</w:t>
      </w:r>
      <w:proofErr w:type="gramEnd"/>
      <w:r w:rsidRPr="00535039">
        <w:rPr>
          <w:rFonts w:hAnsi="標楷體" w:hint="eastAsia"/>
        </w:rPr>
        <w:t>進行分析</w:t>
      </w:r>
      <w:r w:rsidR="00EF3D65" w:rsidRPr="00535039">
        <w:rPr>
          <w:rFonts w:hAnsi="標楷體" w:hint="eastAsia"/>
        </w:rPr>
        <w:t>，結果如下：</w:t>
      </w:r>
    </w:p>
    <w:p w14:paraId="323B98BA" w14:textId="123AFEE7" w:rsidR="000C4775" w:rsidRPr="00535039" w:rsidRDefault="000C4775" w:rsidP="008E5B40">
      <w:pPr>
        <w:pStyle w:val="5"/>
        <w:rPr>
          <w:rFonts w:hAnsi="標楷體"/>
        </w:rPr>
      </w:pPr>
      <w:r w:rsidRPr="00535039">
        <w:rPr>
          <w:rFonts w:hAnsi="標楷體" w:hint="eastAsia"/>
        </w:rPr>
        <w:t>整體檢出率：共8處淨水場</w:t>
      </w:r>
      <w:r w:rsidRPr="00535039">
        <w:rPr>
          <w:rStyle w:val="afe"/>
          <w:rFonts w:hAnsi="標楷體"/>
        </w:rPr>
        <w:footnoteReference w:id="23"/>
      </w:r>
      <w:r w:rsidRPr="00535039">
        <w:rPr>
          <w:rFonts w:hAnsi="標楷體" w:hint="eastAsia"/>
        </w:rPr>
        <w:t>檢出(8/37=22%)，</w:t>
      </w:r>
      <w:r w:rsidRPr="00535039">
        <w:rPr>
          <w:rFonts w:hAnsi="標楷體" w:hint="eastAsia"/>
        </w:rPr>
        <w:lastRenderedPageBreak/>
        <w:t>其中2處</w:t>
      </w:r>
      <w:proofErr w:type="gramStart"/>
      <w:r w:rsidRPr="00535039">
        <w:rPr>
          <w:rFonts w:hAnsi="標楷體" w:hint="eastAsia"/>
        </w:rPr>
        <w:t>淨水場檢出</w:t>
      </w:r>
      <w:proofErr w:type="gramEnd"/>
      <w:r w:rsidRPr="00535039">
        <w:rPr>
          <w:rFonts w:hAnsi="標楷體" w:hint="eastAsia"/>
        </w:rPr>
        <w:t>4個/L、1處</w:t>
      </w:r>
      <w:proofErr w:type="gramStart"/>
      <w:r w:rsidRPr="00535039">
        <w:rPr>
          <w:rFonts w:hAnsi="標楷體" w:hint="eastAsia"/>
        </w:rPr>
        <w:t>淨水場檢出</w:t>
      </w:r>
      <w:proofErr w:type="gramEnd"/>
      <w:r w:rsidRPr="00535039">
        <w:rPr>
          <w:rFonts w:hAnsi="標楷體" w:hint="eastAsia"/>
        </w:rPr>
        <w:t>2個/L、5處</w:t>
      </w:r>
      <w:proofErr w:type="gramStart"/>
      <w:r w:rsidRPr="00535039">
        <w:rPr>
          <w:rFonts w:hAnsi="標楷體" w:hint="eastAsia"/>
        </w:rPr>
        <w:t>淨水場檢出</w:t>
      </w:r>
      <w:proofErr w:type="gramEnd"/>
      <w:r w:rsidRPr="00535039">
        <w:rPr>
          <w:rFonts w:hAnsi="標楷體" w:hint="eastAsia"/>
        </w:rPr>
        <w:t>1個/L。</w:t>
      </w:r>
      <w:r w:rsidR="0067781D" w:rsidRPr="00535039">
        <w:rPr>
          <w:rFonts w:hAnsi="標楷體" w:hint="eastAsia"/>
        </w:rPr>
        <w:t>其餘</w:t>
      </w:r>
      <w:r w:rsidRPr="00535039">
        <w:rPr>
          <w:rFonts w:hAnsi="標楷體" w:hint="eastAsia"/>
        </w:rPr>
        <w:t>29處淨水場未檢出(29/37=78%)。</w:t>
      </w:r>
    </w:p>
    <w:p w14:paraId="335ED7EF" w14:textId="77777777" w:rsidR="000C4775" w:rsidRPr="00535039" w:rsidRDefault="000C4775" w:rsidP="008E5B40">
      <w:pPr>
        <w:pStyle w:val="5"/>
        <w:rPr>
          <w:rFonts w:hAnsi="標楷體"/>
        </w:rPr>
      </w:pPr>
      <w:r w:rsidRPr="00535039">
        <w:rPr>
          <w:rFonts w:hAnsi="標楷體" w:hint="eastAsia"/>
        </w:rPr>
        <w:t>檢出成分：以聚丙烯(PP)為主，此為日常生活中廣泛使用之塑膠材質。</w:t>
      </w:r>
    </w:p>
    <w:p w14:paraId="37CCF902" w14:textId="3EAC3FA0" w:rsidR="006C4DE6" w:rsidRPr="00535039" w:rsidRDefault="0029425A" w:rsidP="006C4DE6">
      <w:pPr>
        <w:pStyle w:val="3"/>
        <w:rPr>
          <w:rFonts w:hAnsi="標楷體"/>
        </w:rPr>
      </w:pPr>
      <w:proofErr w:type="gramStart"/>
      <w:r w:rsidRPr="00535039">
        <w:rPr>
          <w:rFonts w:hAnsi="標楷體" w:hint="eastAsia"/>
        </w:rPr>
        <w:t>次據</w:t>
      </w:r>
      <w:r w:rsidR="006C4DE6" w:rsidRPr="00535039">
        <w:rPr>
          <w:rFonts w:hAnsi="標楷體" w:hint="eastAsia"/>
        </w:rPr>
        <w:t>環境部查</w:t>
      </w:r>
      <w:proofErr w:type="gramEnd"/>
      <w:r w:rsidR="006C4DE6" w:rsidRPr="00535039">
        <w:rPr>
          <w:rFonts w:hAnsi="標楷體" w:hint="eastAsia"/>
        </w:rPr>
        <w:t>復</w:t>
      </w:r>
      <w:r w:rsidRPr="00535039">
        <w:rPr>
          <w:rFonts w:hAnsi="標楷體" w:hint="eastAsia"/>
        </w:rPr>
        <w:t>，</w:t>
      </w:r>
      <w:r w:rsidR="006C4DE6" w:rsidRPr="00535039">
        <w:rPr>
          <w:rFonts w:hAnsi="標楷體" w:hint="eastAsia"/>
        </w:rPr>
        <w:t>有關自來水、飲用水之水源水質中塑膠微粒，國內與國際之相關標準及建議管制值部分</w:t>
      </w:r>
      <w:r w:rsidR="002448C7" w:rsidRPr="00535039">
        <w:rPr>
          <w:rFonts w:hAnsi="標楷體" w:hint="eastAsia"/>
        </w:rPr>
        <w:t>如下：</w:t>
      </w:r>
    </w:p>
    <w:p w14:paraId="22E126A1" w14:textId="224E7AE2" w:rsidR="006C4DE6" w:rsidRPr="00535039" w:rsidRDefault="006C4DE6" w:rsidP="008E5B40">
      <w:pPr>
        <w:pStyle w:val="4"/>
        <w:rPr>
          <w:rFonts w:hAnsi="標楷體"/>
        </w:rPr>
      </w:pPr>
      <w:r w:rsidRPr="00535039">
        <w:rPr>
          <w:rFonts w:hAnsi="標楷體" w:hint="eastAsia"/>
        </w:rPr>
        <w:t>國際標準部分：</w:t>
      </w:r>
    </w:p>
    <w:p w14:paraId="3293A8B5" w14:textId="77777777" w:rsidR="006C4DE6" w:rsidRPr="00535039" w:rsidRDefault="006C4DE6" w:rsidP="008E5B40">
      <w:pPr>
        <w:pStyle w:val="5"/>
        <w:rPr>
          <w:rFonts w:hAnsi="標楷體"/>
        </w:rPr>
      </w:pPr>
      <w:r w:rsidRPr="00535039">
        <w:rPr>
          <w:rFonts w:hAnsi="標楷體" w:hint="eastAsia"/>
        </w:rPr>
        <w:t>國際間飲用水塑膠微粒管制現況：</w:t>
      </w:r>
      <w:proofErr w:type="gramStart"/>
      <w:r w:rsidRPr="00535039">
        <w:rPr>
          <w:rFonts w:hAnsi="標楷體" w:hint="eastAsia"/>
        </w:rPr>
        <w:t>查尚無</w:t>
      </w:r>
      <w:proofErr w:type="gramEnd"/>
      <w:r w:rsidRPr="00535039">
        <w:rPr>
          <w:rFonts w:hAnsi="標楷體" w:hint="eastAsia"/>
        </w:rPr>
        <w:t>法規管制值，僅歐盟111年4月27日發布2種塑膠微粒之建議指引值。</w:t>
      </w:r>
    </w:p>
    <w:p w14:paraId="65BC06C3" w14:textId="77777777" w:rsidR="006C4DE6" w:rsidRPr="00535039" w:rsidRDefault="006C4DE6" w:rsidP="008E5B40">
      <w:pPr>
        <w:pStyle w:val="5"/>
        <w:rPr>
          <w:rFonts w:hAnsi="標楷體"/>
        </w:rPr>
      </w:pPr>
      <w:r w:rsidRPr="00535039">
        <w:rPr>
          <w:rFonts w:hAnsi="標楷體" w:hint="eastAsia"/>
        </w:rPr>
        <w:t>美國：該環保署現無規範飲用水中塑膠微粒之管制法規，亦無相關管制草案；但加州</w:t>
      </w:r>
      <w:proofErr w:type="gramStart"/>
      <w:r w:rsidRPr="00535039">
        <w:rPr>
          <w:rFonts w:hAnsi="標楷體" w:hint="eastAsia"/>
        </w:rPr>
        <w:t>州</w:t>
      </w:r>
      <w:proofErr w:type="gramEnd"/>
      <w:r w:rsidRPr="00535039">
        <w:rPr>
          <w:rFonts w:hAnsi="標楷體" w:hint="eastAsia"/>
        </w:rPr>
        <w:t>政府有飲用水微型塑膠相關檢測措施，包括訂定塑膠微粒的定義，要求蒐集4年檢測報告，與建立檢測標準方法。</w:t>
      </w:r>
    </w:p>
    <w:p w14:paraId="795C4CF7" w14:textId="77777777" w:rsidR="006C4DE6" w:rsidRPr="00535039" w:rsidRDefault="006C4DE6" w:rsidP="008E5B40">
      <w:pPr>
        <w:pStyle w:val="5"/>
        <w:rPr>
          <w:rFonts w:hAnsi="標楷體"/>
        </w:rPr>
      </w:pPr>
      <w:r w:rsidRPr="00535039">
        <w:rPr>
          <w:rFonts w:hAnsi="標楷體" w:hint="eastAsia"/>
        </w:rPr>
        <w:t>歐盟：</w:t>
      </w:r>
    </w:p>
    <w:p w14:paraId="65018FAC" w14:textId="208ABCC1" w:rsidR="006C4DE6" w:rsidRPr="00535039" w:rsidRDefault="006C4DE6" w:rsidP="008E5B40">
      <w:pPr>
        <w:pStyle w:val="6"/>
        <w:rPr>
          <w:rFonts w:hAnsi="標楷體"/>
        </w:rPr>
      </w:pPr>
      <w:r w:rsidRPr="00535039">
        <w:rPr>
          <w:rFonts w:hAnsi="標楷體" w:hint="eastAsia"/>
        </w:rPr>
        <w:t>109年12月16日修訂歐盟《飲用水指令》(DWD)2020/2184第13條第6項：至113年1月12日前，歐盟會員國應制定一種飲用水中塑膠微粒的檢測方法，以將其納入</w:t>
      </w:r>
      <w:r w:rsidR="00D6466B">
        <w:rPr>
          <w:rFonts w:hAnsi="標楷體" w:hint="eastAsia"/>
        </w:rPr>
        <w:t>前揭指令</w:t>
      </w:r>
      <w:r w:rsidRPr="00535039">
        <w:rPr>
          <w:rFonts w:hAnsi="標楷體" w:hint="eastAsia"/>
        </w:rPr>
        <w:t>第8條觀察名單中，並補充於該指令中。</w:t>
      </w:r>
    </w:p>
    <w:p w14:paraId="07F1A1B7" w14:textId="77777777" w:rsidR="006C4DE6" w:rsidRPr="00535039" w:rsidRDefault="006C4DE6" w:rsidP="008E5B40">
      <w:pPr>
        <w:pStyle w:val="6"/>
        <w:rPr>
          <w:rFonts w:hAnsi="標楷體"/>
        </w:rPr>
      </w:pPr>
      <w:r w:rsidRPr="00535039">
        <w:rPr>
          <w:rFonts w:hAnsi="標楷體" w:hint="eastAsia"/>
        </w:rPr>
        <w:t>根據DWD 2020/2184規定，歐盟會員國委員會於111年4月27日發布第一份觀察清單2022/679，共2項具有內分泌干擾特性的塑膠微粒之指引值及測量方法等。</w:t>
      </w:r>
    </w:p>
    <w:p w14:paraId="5BD58FFE" w14:textId="77777777" w:rsidR="006C4DE6" w:rsidRPr="00535039" w:rsidRDefault="006C4DE6" w:rsidP="008E5B40">
      <w:pPr>
        <w:pStyle w:val="6"/>
        <w:rPr>
          <w:rFonts w:hAnsi="標楷體"/>
        </w:rPr>
      </w:pPr>
      <w:r w:rsidRPr="00535039">
        <w:rPr>
          <w:rFonts w:hAnsi="標楷體" w:hint="eastAsia"/>
        </w:rPr>
        <w:lastRenderedPageBreak/>
        <w:tab/>
        <w:t>113年3月11日歐盟會員國委員補充DWD 2020/2184指令中飲用水中塑膠微粒的檢測方法(2024/1441)，包括：A.塑膠術語的定義共24項、B.檢測技術、C.飲用水中塑膠微粒的測量方式。</w:t>
      </w:r>
    </w:p>
    <w:p w14:paraId="03A31B28" w14:textId="77777777" w:rsidR="006C4DE6" w:rsidRPr="00535039" w:rsidRDefault="006C4DE6" w:rsidP="008E5B40">
      <w:pPr>
        <w:pStyle w:val="5"/>
        <w:rPr>
          <w:rFonts w:hAnsi="標楷體"/>
        </w:rPr>
      </w:pPr>
      <w:r w:rsidRPr="00535039">
        <w:rPr>
          <w:rFonts w:hAnsi="標楷體" w:hint="eastAsia"/>
        </w:rPr>
        <w:t>加拿大：現無針對飲用水中塑膠微粒之管制法規，亦無相關管制草案；但正進行塑膠污染相關研究，其主題</w:t>
      </w:r>
      <w:proofErr w:type="gramStart"/>
      <w:r w:rsidRPr="00535039">
        <w:rPr>
          <w:rFonts w:hAnsi="標楷體" w:hint="eastAsia"/>
        </w:rPr>
        <w:t>不</w:t>
      </w:r>
      <w:proofErr w:type="gramEnd"/>
      <w:r w:rsidRPr="00535039">
        <w:rPr>
          <w:rFonts w:hAnsi="標楷體" w:hint="eastAsia"/>
        </w:rPr>
        <w:t>侷限於飲用水。</w:t>
      </w:r>
    </w:p>
    <w:p w14:paraId="2355814F" w14:textId="77777777" w:rsidR="006C4DE6" w:rsidRPr="00535039" w:rsidRDefault="006C4DE6" w:rsidP="008E5B40">
      <w:pPr>
        <w:pStyle w:val="5"/>
        <w:rPr>
          <w:rFonts w:hAnsi="標楷體"/>
        </w:rPr>
      </w:pPr>
      <w:r w:rsidRPr="00535039">
        <w:rPr>
          <w:rFonts w:hAnsi="標楷體" w:hint="eastAsia"/>
        </w:rPr>
        <w:t>英國：尚無飲用水中塑膠微粒之法規。</w:t>
      </w:r>
    </w:p>
    <w:p w14:paraId="35680F6C" w14:textId="112313BD" w:rsidR="00CA6568" w:rsidRPr="00535039" w:rsidRDefault="000C4775" w:rsidP="008E5B40">
      <w:pPr>
        <w:pStyle w:val="4"/>
        <w:rPr>
          <w:rFonts w:hAnsi="標楷體"/>
        </w:rPr>
      </w:pPr>
      <w:r w:rsidRPr="00535039">
        <w:rPr>
          <w:rFonts w:hAnsi="標楷體"/>
        </w:rPr>
        <w:t>國際</w:t>
      </w:r>
      <w:proofErr w:type="gramStart"/>
      <w:r w:rsidRPr="00535039">
        <w:rPr>
          <w:rFonts w:hAnsi="標楷體"/>
        </w:rPr>
        <w:t>間</w:t>
      </w:r>
      <w:r w:rsidR="00915F79" w:rsidRPr="00535039">
        <w:rPr>
          <w:rFonts w:hAnsi="標楷體" w:hint="eastAsia"/>
        </w:rPr>
        <w:t>仍</w:t>
      </w:r>
      <w:r w:rsidRPr="00535039">
        <w:rPr>
          <w:rFonts w:hAnsi="標楷體"/>
        </w:rPr>
        <w:t>尚係</w:t>
      </w:r>
      <w:proofErr w:type="gramEnd"/>
      <w:r w:rsidRPr="00535039">
        <w:rPr>
          <w:rFonts w:hAnsi="標楷體"/>
        </w:rPr>
        <w:t>以目標指引值建議強化水質管理，尚非以具體法規強制限值為主。以英國為例，尚未建立有關飲用水中塑膠微粒之法規之外，英國水務協會(Water UK)研究表明環境中未經處理之</w:t>
      </w:r>
      <w:proofErr w:type="gramStart"/>
      <w:r w:rsidRPr="00535039">
        <w:rPr>
          <w:rFonts w:hAnsi="標楷體"/>
        </w:rPr>
        <w:t>原水每公升</w:t>
      </w:r>
      <w:proofErr w:type="gramEnd"/>
      <w:r w:rsidRPr="00535039">
        <w:rPr>
          <w:rFonts w:hAnsi="標楷體"/>
        </w:rPr>
        <w:t>含有4.9個塑膠微粒，透過淨水處理後可去除99%塑膠微粒</w:t>
      </w:r>
      <w:r w:rsidRPr="00535039">
        <w:rPr>
          <w:rStyle w:val="afe"/>
          <w:rFonts w:hAnsi="標楷體"/>
          <w:szCs w:val="32"/>
        </w:rPr>
        <w:footnoteReference w:id="24"/>
      </w:r>
      <w:r w:rsidRPr="00535039">
        <w:rPr>
          <w:rFonts w:hAnsi="標楷體"/>
        </w:rPr>
        <w:t>。</w:t>
      </w:r>
    </w:p>
    <w:p w14:paraId="2374D8D6" w14:textId="723D335B" w:rsidR="0048741D" w:rsidRPr="00535039" w:rsidRDefault="00D42792" w:rsidP="00E93977">
      <w:pPr>
        <w:pStyle w:val="3"/>
        <w:rPr>
          <w:rFonts w:hAnsi="標楷體"/>
        </w:rPr>
      </w:pPr>
      <w:r w:rsidRPr="00535039">
        <w:rPr>
          <w:rFonts w:hAnsi="標楷體" w:hint="eastAsia"/>
        </w:rPr>
        <w:t>環境部</w:t>
      </w:r>
      <w:r w:rsidR="0048741D" w:rsidRPr="00535039">
        <w:rPr>
          <w:rFonts w:hAnsi="標楷體" w:hint="eastAsia"/>
        </w:rPr>
        <w:t>針對我國自來水水質的安全</w:t>
      </w:r>
      <w:r w:rsidRPr="00535039">
        <w:rPr>
          <w:rFonts w:hAnsi="標楷體" w:hint="eastAsia"/>
        </w:rPr>
        <w:t>表示</w:t>
      </w:r>
      <w:r w:rsidR="0048741D" w:rsidRPr="00535039">
        <w:rPr>
          <w:rFonts w:hAnsi="標楷體" w:hint="eastAsia"/>
        </w:rPr>
        <w:t>，目前已有多重的把關，包括水源水質管理、處理藥劑管理、淨水處理流程及設備維護管理等，統計106年1月至113年9月環保機關稽查管制結果顯示自來水水質、水源水質及飲用水設備水質合格率皆達99%以上。</w:t>
      </w:r>
      <w:r w:rsidRPr="00535039">
        <w:rPr>
          <w:rFonts w:hAnsi="標楷體" w:hint="eastAsia"/>
        </w:rPr>
        <w:t>又</w:t>
      </w:r>
      <w:r w:rsidR="0048741D" w:rsidRPr="00535039">
        <w:rPr>
          <w:rFonts w:hAnsi="標楷體" w:hint="eastAsia"/>
        </w:rPr>
        <w:t>依據「飲用水水質新興關注項目檢測管理及篩選作業指引」，</w:t>
      </w:r>
      <w:r w:rsidR="0048741D" w:rsidRPr="00535039">
        <w:rPr>
          <w:rFonts w:hAnsi="標楷體"/>
        </w:rPr>
        <w:t>將持續關注國際塑膠微粒檢測方法及對人體健康風險相關研究，</w:t>
      </w:r>
      <w:proofErr w:type="gramStart"/>
      <w:r w:rsidR="0048741D" w:rsidRPr="00535039">
        <w:rPr>
          <w:rFonts w:hAnsi="標楷體"/>
        </w:rPr>
        <w:t>俾</w:t>
      </w:r>
      <w:proofErr w:type="gramEnd"/>
      <w:r w:rsidR="0048741D" w:rsidRPr="00535039">
        <w:rPr>
          <w:rFonts w:hAnsi="標楷體"/>
        </w:rPr>
        <w:t>利評估是否納入飲用水水質管制，確保國人飲水安全。同時為擴大監測能量，亦已請國環院持續研發具成本效益及效率之標準檢測方法，輔導國內檢測機構提升檢測量能。</w:t>
      </w:r>
      <w:proofErr w:type="gramStart"/>
      <w:r w:rsidRPr="00535039">
        <w:rPr>
          <w:rFonts w:hAnsi="標楷體" w:hint="eastAsia"/>
        </w:rPr>
        <w:lastRenderedPageBreak/>
        <w:t>此外，</w:t>
      </w:r>
      <w:proofErr w:type="gramEnd"/>
      <w:r w:rsidRPr="00535039">
        <w:rPr>
          <w:rFonts w:hAnsi="標楷體" w:hint="eastAsia"/>
        </w:rPr>
        <w:t>該</w:t>
      </w:r>
      <w:r w:rsidRPr="00535039">
        <w:rPr>
          <w:rFonts w:hAnsi="標楷體"/>
        </w:rPr>
        <w:t>部將</w:t>
      </w:r>
      <w:r w:rsidRPr="00535039">
        <w:rPr>
          <w:rFonts w:hAnsi="標楷體" w:hint="eastAsia"/>
        </w:rPr>
        <w:t>114年所得</w:t>
      </w:r>
      <w:r w:rsidRPr="00535039">
        <w:rPr>
          <w:rFonts w:hAnsi="標楷體"/>
        </w:rPr>
        <w:t>檢驗結果</w:t>
      </w:r>
      <w:r w:rsidRPr="00535039">
        <w:rPr>
          <w:rFonts w:hAnsi="標楷體" w:hint="eastAsia"/>
        </w:rPr>
        <w:t>，於</w:t>
      </w:r>
      <w:r w:rsidRPr="00535039">
        <w:rPr>
          <w:rFonts w:hAnsi="標楷體"/>
        </w:rPr>
        <w:t>1</w:t>
      </w:r>
      <w:r w:rsidRPr="00535039">
        <w:rPr>
          <w:rFonts w:hAnsi="標楷體" w:hint="eastAsia"/>
        </w:rPr>
        <w:t>1</w:t>
      </w:r>
      <w:r w:rsidRPr="00535039">
        <w:rPr>
          <w:rFonts w:hAnsi="標楷體"/>
        </w:rPr>
        <w:t>4年8月18日</w:t>
      </w:r>
      <w:r w:rsidRPr="00535039">
        <w:rPr>
          <w:rFonts w:hAnsi="標楷體" w:hint="eastAsia"/>
        </w:rPr>
        <w:t>以</w:t>
      </w:r>
      <w:r w:rsidRPr="00535039">
        <w:rPr>
          <w:rFonts w:hAnsi="標楷體"/>
        </w:rPr>
        <w:t>環</w:t>
      </w:r>
      <w:proofErr w:type="gramStart"/>
      <w:r w:rsidRPr="00535039">
        <w:rPr>
          <w:rFonts w:hAnsi="標楷體"/>
        </w:rPr>
        <w:t>部水字</w:t>
      </w:r>
      <w:proofErr w:type="gramEnd"/>
      <w:r w:rsidRPr="00535039">
        <w:rPr>
          <w:rFonts w:hAnsi="標楷體"/>
        </w:rPr>
        <w:t>第1141053618號函</w:t>
      </w:r>
      <w:r w:rsidRPr="00535039">
        <w:rPr>
          <w:rFonts w:hAnsi="標楷體" w:hint="eastAsia"/>
        </w:rPr>
        <w:t>請</w:t>
      </w:r>
      <w:r w:rsidRPr="00535039">
        <w:rPr>
          <w:rFonts w:hAnsi="標楷體"/>
        </w:rPr>
        <w:t>自來水事業單位本於風險預防管理需要，建</w:t>
      </w:r>
      <w:proofErr w:type="gramStart"/>
      <w:r w:rsidRPr="00535039">
        <w:rPr>
          <w:rFonts w:hAnsi="標楷體"/>
        </w:rPr>
        <w:t>請妥處</w:t>
      </w:r>
      <w:proofErr w:type="gramEnd"/>
      <w:r w:rsidRPr="00535039">
        <w:rPr>
          <w:rFonts w:hAnsi="標楷體"/>
        </w:rPr>
        <w:t>與評估納入定期水質監測機制避免污染風險；必要時，針對有較大風險水廠適時強化淨水處理程序，另考量如有處理設施升級需要，故也同步函請經濟部</w:t>
      </w:r>
      <w:proofErr w:type="gramStart"/>
      <w:r w:rsidRPr="00535039">
        <w:rPr>
          <w:rFonts w:hAnsi="標楷體"/>
        </w:rPr>
        <w:t>水利署本自來水</w:t>
      </w:r>
      <w:proofErr w:type="gramEnd"/>
      <w:r w:rsidRPr="00535039">
        <w:rPr>
          <w:rFonts w:hAnsi="標楷體"/>
        </w:rPr>
        <w:t>法主管機關職權，予以協助督導輔導改善，以共同降低飲用水中塑膠微粒存在之風險，確保民眾飲水安全無虞。</w:t>
      </w:r>
      <w:r w:rsidR="00BC44BA" w:rsidRPr="00535039">
        <w:rPr>
          <w:rFonts w:hAnsi="標楷體" w:hint="eastAsia"/>
        </w:rPr>
        <w:t>台灣自來水股份有限公司</w:t>
      </w:r>
      <w:r w:rsidRPr="00535039">
        <w:rPr>
          <w:rFonts w:hAnsi="標楷體" w:hint="eastAsia"/>
        </w:rPr>
        <w:t>已</w:t>
      </w:r>
      <w:r w:rsidR="0048741D" w:rsidRPr="00535039">
        <w:rPr>
          <w:rFonts w:hAnsi="標楷體"/>
        </w:rPr>
        <w:t>依據環境部檢測結果，請</w:t>
      </w:r>
      <w:r w:rsidR="006B5282" w:rsidRPr="00535039">
        <w:rPr>
          <w:rFonts w:hAnsi="標楷體"/>
        </w:rPr>
        <w:t>國環院</w:t>
      </w:r>
      <w:r w:rsidR="0048741D" w:rsidRPr="00535039">
        <w:rPr>
          <w:rFonts w:hAnsi="標楷體"/>
        </w:rPr>
        <w:t>協助檢測5座淨水場共計16點次之伏流水與地面水中塑膠微粒樣品以掌握塑膠微粒濃度來源</w:t>
      </w:r>
      <w:r w:rsidR="0048741D" w:rsidRPr="00535039">
        <w:rPr>
          <w:rFonts w:hAnsi="標楷體" w:hint="eastAsia"/>
        </w:rPr>
        <w:t>，</w:t>
      </w:r>
      <w:r w:rsidR="00B37EBC">
        <w:rPr>
          <w:rFonts w:hAnsi="標楷體" w:hint="eastAsia"/>
        </w:rPr>
        <w:t>亦經</w:t>
      </w:r>
      <w:r w:rsidR="0048741D" w:rsidRPr="00535039">
        <w:rPr>
          <w:rFonts w:hAnsi="標楷體"/>
        </w:rPr>
        <w:t>國環院114</w:t>
      </w:r>
      <w:r w:rsidR="0048741D" w:rsidRPr="00535039">
        <w:rPr>
          <w:rFonts w:hAnsi="標楷體" w:hint="eastAsia"/>
        </w:rPr>
        <w:t>年</w:t>
      </w:r>
      <w:r w:rsidR="0048741D" w:rsidRPr="00535039">
        <w:rPr>
          <w:rFonts w:hAnsi="標楷體"/>
        </w:rPr>
        <w:t>9</w:t>
      </w:r>
      <w:r w:rsidR="0048741D" w:rsidRPr="00535039">
        <w:rPr>
          <w:rFonts w:hAnsi="標楷體" w:hint="eastAsia"/>
        </w:rPr>
        <w:t>月</w:t>
      </w:r>
      <w:r w:rsidR="0048741D" w:rsidRPr="00535039">
        <w:rPr>
          <w:rFonts w:hAnsi="標楷體"/>
        </w:rPr>
        <w:t>11</w:t>
      </w:r>
      <w:r w:rsidR="0048741D" w:rsidRPr="00535039">
        <w:rPr>
          <w:rFonts w:hAnsi="標楷體" w:hint="eastAsia"/>
        </w:rPr>
        <w:t>日</w:t>
      </w:r>
      <w:r w:rsidR="0048741D" w:rsidRPr="00535039">
        <w:rPr>
          <w:rFonts w:hAnsi="標楷體"/>
        </w:rPr>
        <w:t>函復同意協助</w:t>
      </w:r>
      <w:r w:rsidR="007D2F48" w:rsidRPr="00535039">
        <w:rPr>
          <w:rFonts w:hAnsi="標楷體" w:hint="eastAsia"/>
        </w:rPr>
        <w:t>辦理</w:t>
      </w:r>
      <w:r w:rsidR="0048741D" w:rsidRPr="00535039">
        <w:rPr>
          <w:rFonts w:hAnsi="標楷體"/>
        </w:rPr>
        <w:t>。</w:t>
      </w:r>
    </w:p>
    <w:p w14:paraId="055B1BEA" w14:textId="19006824" w:rsidR="0048741D" w:rsidRPr="00535039" w:rsidRDefault="008B3BBE" w:rsidP="00FE691E">
      <w:pPr>
        <w:pStyle w:val="3"/>
        <w:rPr>
          <w:rFonts w:hAnsi="標楷體"/>
        </w:rPr>
      </w:pPr>
      <w:r w:rsidRPr="00535039">
        <w:rPr>
          <w:rFonts w:hAnsi="標楷體" w:hint="eastAsia"/>
        </w:rPr>
        <w:t>綜上，</w:t>
      </w:r>
      <w:proofErr w:type="gramStart"/>
      <w:r w:rsidR="0012236C" w:rsidRPr="00535039">
        <w:rPr>
          <w:rFonts w:hAnsi="標楷體" w:hint="eastAsia"/>
        </w:rPr>
        <w:t>環境部於106年</w:t>
      </w:r>
      <w:proofErr w:type="gramEnd"/>
      <w:r w:rsidR="0012236C" w:rsidRPr="00535039">
        <w:rPr>
          <w:rFonts w:hAnsi="標楷體" w:hint="eastAsia"/>
        </w:rPr>
        <w:t>及107年調查全國100處自來水淨水場，飲用水有44處檢出塑膠微粒，原</w:t>
      </w:r>
      <w:proofErr w:type="gramStart"/>
      <w:r w:rsidR="0012236C" w:rsidRPr="00535039">
        <w:rPr>
          <w:rFonts w:hAnsi="標楷體" w:hint="eastAsia"/>
        </w:rPr>
        <w:t>水</w:t>
      </w:r>
      <w:proofErr w:type="gramEnd"/>
      <w:r w:rsidR="0012236C" w:rsidRPr="00535039">
        <w:rPr>
          <w:rFonts w:hAnsi="標楷體" w:hint="eastAsia"/>
        </w:rPr>
        <w:t>水質23處有8處檢出塑膠微粒，114年調查37處淨水場，經處理過之飲用水水質，檢出8處含有塑膠微粒，雖經淨水處理可去除99%塑膠微粒，但無法完全免除其危害風險，又因國際間尚未規範飲用水中塑膠微粒之限值，亦未納入定期水質監測，故無從掌握水源水質背景資料，更難以適時調整淨水處理程序，以減少民眾自飲用水攝入塑膠微粒之疑慮</w:t>
      </w:r>
      <w:r w:rsidR="0012236C" w:rsidRPr="00535039">
        <w:rPr>
          <w:rFonts w:hAnsi="標楷體" w:hint="eastAsia"/>
          <w:lang w:eastAsia="zh-HK"/>
        </w:rPr>
        <w:t>。環境部既已函請</w:t>
      </w:r>
      <w:r w:rsidR="0012236C" w:rsidRPr="00535039">
        <w:rPr>
          <w:rFonts w:hAnsi="標楷體"/>
        </w:rPr>
        <w:t>經濟部水利署</w:t>
      </w:r>
      <w:r w:rsidR="0012236C" w:rsidRPr="00535039">
        <w:rPr>
          <w:rFonts w:hAnsi="標楷體" w:hint="eastAsia"/>
        </w:rPr>
        <w:t>協助輔導</w:t>
      </w:r>
      <w:r w:rsidR="0012236C" w:rsidRPr="00535039">
        <w:rPr>
          <w:rFonts w:hAnsi="標楷體" w:hint="eastAsia"/>
          <w:lang w:eastAsia="zh-HK"/>
        </w:rPr>
        <w:t>自來水事業單位，以風險預防管理來降低飲用水中塑膠微粒存在風險，並評估</w:t>
      </w:r>
      <w:r w:rsidR="0012236C" w:rsidRPr="00535039">
        <w:rPr>
          <w:rFonts w:hAnsi="標楷體" w:hint="eastAsia"/>
        </w:rPr>
        <w:t>納入飲用水水質管制標準，允應持續追蹤以確保國人</w:t>
      </w:r>
      <w:r w:rsidR="0012236C" w:rsidRPr="00535039">
        <w:rPr>
          <w:rFonts w:hAnsi="標楷體"/>
        </w:rPr>
        <w:t>飲水安全無虞</w:t>
      </w:r>
      <w:r w:rsidR="0012236C" w:rsidRPr="00535039">
        <w:rPr>
          <w:rFonts w:hAnsi="標楷體" w:hint="eastAsia"/>
        </w:rPr>
        <w:t>。</w:t>
      </w:r>
    </w:p>
    <w:p w14:paraId="204610A1" w14:textId="76C9C6B5" w:rsidR="000C69CB" w:rsidRPr="00535039" w:rsidRDefault="004852CB" w:rsidP="000C69CB">
      <w:pPr>
        <w:pStyle w:val="2"/>
        <w:numPr>
          <w:ilvl w:val="1"/>
          <w:numId w:val="1"/>
        </w:numPr>
        <w:ind w:left="993"/>
        <w:rPr>
          <w:rFonts w:hAnsi="標楷體"/>
          <w:b/>
          <w:bCs w:val="0"/>
        </w:rPr>
      </w:pPr>
      <w:proofErr w:type="gramStart"/>
      <w:r w:rsidRPr="00535039">
        <w:rPr>
          <w:rFonts w:hAnsi="標楷體" w:hint="eastAsia"/>
          <w:b/>
          <w:bCs w:val="0"/>
        </w:rPr>
        <w:t>食藥署</w:t>
      </w:r>
      <w:proofErr w:type="gramEnd"/>
      <w:r w:rsidRPr="00535039">
        <w:rPr>
          <w:rFonts w:hAnsi="標楷體" w:hint="eastAsia"/>
          <w:b/>
          <w:bCs w:val="0"/>
        </w:rPr>
        <w:t>於107至110年調查市售食品器具</w:t>
      </w:r>
      <w:r w:rsidR="00FA7A1C" w:rsidRPr="00535039">
        <w:rPr>
          <w:rFonts w:hAnsi="標楷體" w:hint="eastAsia"/>
          <w:b/>
          <w:bCs w:val="0"/>
        </w:rPr>
        <w:t>、</w:t>
      </w:r>
      <w:r w:rsidRPr="00535039">
        <w:rPr>
          <w:rFonts w:hAnsi="標楷體" w:hint="eastAsia"/>
          <w:b/>
          <w:bCs w:val="0"/>
        </w:rPr>
        <w:t>容器</w:t>
      </w:r>
      <w:r w:rsidR="00FA7A1C" w:rsidRPr="00535039">
        <w:rPr>
          <w:rFonts w:hAnsi="標楷體" w:hint="eastAsia"/>
          <w:b/>
          <w:bCs w:val="0"/>
        </w:rPr>
        <w:t>及</w:t>
      </w:r>
      <w:r w:rsidRPr="00535039">
        <w:rPr>
          <w:rFonts w:hAnsi="標楷體" w:hint="eastAsia"/>
          <w:b/>
          <w:bCs w:val="0"/>
        </w:rPr>
        <w:t>包裝</w:t>
      </w:r>
      <w:r w:rsidR="00FA7A1C" w:rsidRPr="00535039">
        <w:rPr>
          <w:rFonts w:hAnsi="標楷體" w:hint="eastAsia"/>
          <w:b/>
          <w:bCs w:val="0"/>
        </w:rPr>
        <w:t>的</w:t>
      </w:r>
      <w:r w:rsidRPr="00535039">
        <w:rPr>
          <w:rFonts w:hAnsi="標楷體" w:hint="eastAsia"/>
          <w:b/>
          <w:bCs w:val="0"/>
        </w:rPr>
        <w:t>塑膠微粒釋出情形，結果顯示國人常使用的</w:t>
      </w:r>
      <w:proofErr w:type="gramStart"/>
      <w:r w:rsidRPr="00535039">
        <w:rPr>
          <w:rFonts w:hAnsi="標楷體" w:hint="eastAsia"/>
          <w:b/>
          <w:bCs w:val="0"/>
        </w:rPr>
        <w:t>塑膠杯碗</w:t>
      </w:r>
      <w:proofErr w:type="gramEnd"/>
      <w:r w:rsidRPr="00535039">
        <w:rPr>
          <w:rFonts w:hAnsi="標楷體" w:hint="eastAsia"/>
          <w:b/>
          <w:bCs w:val="0"/>
        </w:rPr>
        <w:t>、茶包等品項，不論係常溫靜置或以</w:t>
      </w:r>
      <w:r w:rsidRPr="00535039">
        <w:rPr>
          <w:rFonts w:hAnsi="標楷體"/>
          <w:b/>
          <w:bCs w:val="0"/>
        </w:rPr>
        <w:t>95</w:t>
      </w:r>
      <w:r w:rsidRPr="00535039">
        <w:rPr>
          <w:rFonts w:hAnsi="標楷體" w:hint="eastAsia"/>
          <w:b/>
          <w:bCs w:val="0"/>
        </w:rPr>
        <w:t>℃高溫熱水沖泡，檢出塑膠微粒比率極高，另2024及2025年國際</w:t>
      </w:r>
      <w:r w:rsidRPr="00535039">
        <w:rPr>
          <w:rFonts w:hAnsi="標楷體"/>
          <w:b/>
          <w:bCs w:val="0"/>
        </w:rPr>
        <w:lastRenderedPageBreak/>
        <w:t>最新研究已指出塑膠微粒與人類心血管</w:t>
      </w:r>
      <w:r w:rsidRPr="00535039">
        <w:rPr>
          <w:rFonts w:hAnsi="標楷體" w:hint="eastAsia"/>
          <w:b/>
          <w:bCs w:val="0"/>
        </w:rPr>
        <w:t>、</w:t>
      </w:r>
      <w:r w:rsidRPr="00535039">
        <w:rPr>
          <w:rFonts w:hAnsi="標楷體"/>
          <w:b/>
          <w:bCs w:val="0"/>
        </w:rPr>
        <w:t>神經系統疾病具相關性</w:t>
      </w:r>
      <w:r w:rsidRPr="00535039">
        <w:rPr>
          <w:rFonts w:hAnsi="標楷體" w:hint="eastAsia"/>
          <w:b/>
          <w:bCs w:val="0"/>
        </w:rPr>
        <w:t>；惟該署迄今仍以國際文獻有限、尚無明確定論及缺乏分析技術等詞為由，</w:t>
      </w:r>
      <w:r w:rsidR="00B16AEC">
        <w:rPr>
          <w:rFonts w:hAnsi="標楷體" w:hint="eastAsia"/>
          <w:b/>
          <w:bCs w:val="0"/>
        </w:rPr>
        <w:t>未能積極善盡</w:t>
      </w:r>
      <w:r w:rsidRPr="00535039">
        <w:rPr>
          <w:rFonts w:hAnsi="標楷體" w:hint="eastAsia"/>
          <w:b/>
          <w:bCs w:val="0"/>
        </w:rPr>
        <w:t>食品安全衛生管理法第4條</w:t>
      </w:r>
      <w:r w:rsidR="00B16AEC">
        <w:rPr>
          <w:rFonts w:hAnsi="標楷體" w:hint="eastAsia"/>
          <w:b/>
          <w:bCs w:val="0"/>
        </w:rPr>
        <w:t>明定</w:t>
      </w:r>
      <w:r w:rsidRPr="00535039">
        <w:rPr>
          <w:rFonts w:hAnsi="標楷體" w:hint="eastAsia"/>
          <w:b/>
          <w:bCs w:val="0"/>
        </w:rPr>
        <w:t>中央主管機關應建構完整風險評估及因應措施</w:t>
      </w:r>
      <w:r w:rsidR="00B16AEC">
        <w:rPr>
          <w:rFonts w:hAnsi="標楷體" w:hint="eastAsia"/>
          <w:b/>
          <w:bCs w:val="0"/>
        </w:rPr>
        <w:t>等</w:t>
      </w:r>
      <w:r w:rsidRPr="00535039">
        <w:rPr>
          <w:rFonts w:hAnsi="標楷體" w:hint="eastAsia"/>
          <w:b/>
          <w:bCs w:val="0"/>
        </w:rPr>
        <w:t>法定職責，且自110年「食品中塑膠微粒之安全及暴露風險評估」計畫完竣後，亦</w:t>
      </w:r>
      <w:r w:rsidRPr="00535039">
        <w:rPr>
          <w:rFonts w:hAnsi="標楷體"/>
          <w:b/>
          <w:bCs w:val="0"/>
        </w:rPr>
        <w:t>未再持續推動後續研究</w:t>
      </w:r>
      <w:r w:rsidRPr="00535039">
        <w:rPr>
          <w:rFonts w:hAnsi="標楷體" w:hint="eastAsia"/>
          <w:b/>
          <w:bCs w:val="0"/>
        </w:rPr>
        <w:t>，確有欠妥。</w:t>
      </w:r>
    </w:p>
    <w:p w14:paraId="3AF8B68C" w14:textId="77777777" w:rsidR="000C69CB" w:rsidRPr="00535039" w:rsidRDefault="000C69CB" w:rsidP="000C69CB">
      <w:pPr>
        <w:pStyle w:val="3"/>
        <w:numPr>
          <w:ilvl w:val="2"/>
          <w:numId w:val="1"/>
        </w:numPr>
        <w:ind w:left="1361"/>
        <w:rPr>
          <w:rFonts w:hAnsi="標楷體"/>
        </w:rPr>
      </w:pPr>
      <w:r w:rsidRPr="00535039">
        <w:rPr>
          <w:rFonts w:hAnsi="標楷體" w:hint="eastAsia"/>
        </w:rPr>
        <w:t>按食品安全衛生管理法(</w:t>
      </w:r>
      <w:proofErr w:type="gramStart"/>
      <w:r w:rsidRPr="00535039">
        <w:rPr>
          <w:rFonts w:hAnsi="標楷體" w:hint="eastAsia"/>
        </w:rPr>
        <w:t>下稱食安</w:t>
      </w:r>
      <w:proofErr w:type="gramEnd"/>
      <w:r w:rsidRPr="00535039">
        <w:rPr>
          <w:rFonts w:hAnsi="標楷體" w:hint="eastAsia"/>
        </w:rPr>
        <w:t>法)第2條規定：「本法所稱主管機關：在中央為衛生福利主管機關；在直轄市為直轄市政府；在縣（市）為縣（市）政府。」</w:t>
      </w:r>
      <w:r w:rsidRPr="00535039">
        <w:rPr>
          <w:rFonts w:hAnsi="標楷體"/>
        </w:rPr>
        <w:t>次按</w:t>
      </w:r>
      <w:r w:rsidRPr="00535039">
        <w:rPr>
          <w:rFonts w:hAnsi="標楷體" w:hint="eastAsia"/>
        </w:rPr>
        <w:t>「</w:t>
      </w:r>
      <w:r w:rsidRPr="00535039">
        <w:rPr>
          <w:rFonts w:hAnsi="標楷體"/>
        </w:rPr>
        <w:t>衛生福利部食品藥物管理署組織法</w:t>
      </w:r>
      <w:r w:rsidRPr="00535039">
        <w:rPr>
          <w:rFonts w:hAnsi="標楷體" w:hint="eastAsia"/>
        </w:rPr>
        <w:t>」</w:t>
      </w:r>
      <w:r w:rsidRPr="00535039">
        <w:rPr>
          <w:rFonts w:hAnsi="標楷體"/>
        </w:rPr>
        <w:t>第1條及第2條規定，</w:t>
      </w:r>
      <w:proofErr w:type="gramStart"/>
      <w:r w:rsidRPr="00535039">
        <w:rPr>
          <w:rFonts w:hAnsi="標楷體"/>
        </w:rPr>
        <w:t>衛福部為</w:t>
      </w:r>
      <w:proofErr w:type="gramEnd"/>
      <w:r w:rsidRPr="00535039">
        <w:rPr>
          <w:rFonts w:hAnsi="標楷體"/>
        </w:rPr>
        <w:t>辦理食品、藥物與化</w:t>
      </w:r>
      <w:proofErr w:type="gramStart"/>
      <w:r w:rsidRPr="00535039">
        <w:rPr>
          <w:rFonts w:hAnsi="標楷體"/>
        </w:rPr>
        <w:t>粧</w:t>
      </w:r>
      <w:proofErr w:type="gramEnd"/>
      <w:r w:rsidRPr="00535039">
        <w:rPr>
          <w:rFonts w:hAnsi="標楷體"/>
        </w:rPr>
        <w:t>品之管理，特設</w:t>
      </w:r>
      <w:proofErr w:type="gramStart"/>
      <w:r w:rsidRPr="00535039">
        <w:rPr>
          <w:rFonts w:hAnsi="標楷體"/>
        </w:rPr>
        <w:t>食藥署</w:t>
      </w:r>
      <w:proofErr w:type="gramEnd"/>
      <w:r w:rsidRPr="00535039">
        <w:rPr>
          <w:rFonts w:hAnsi="標楷體"/>
        </w:rPr>
        <w:t>，掌理食</w:t>
      </w:r>
      <w:r w:rsidRPr="00535039">
        <w:rPr>
          <w:rFonts w:hAnsi="標楷體" w:hint="eastAsia"/>
        </w:rPr>
        <w:t>品管理政策之規劃與</w:t>
      </w:r>
      <w:proofErr w:type="gramStart"/>
      <w:r w:rsidRPr="00535039">
        <w:rPr>
          <w:rFonts w:hAnsi="標楷體" w:hint="eastAsia"/>
        </w:rPr>
        <w:t>研</w:t>
      </w:r>
      <w:proofErr w:type="gramEnd"/>
      <w:r w:rsidRPr="00535039">
        <w:rPr>
          <w:rFonts w:hAnsi="標楷體" w:hint="eastAsia"/>
        </w:rPr>
        <w:t>擬</w:t>
      </w:r>
      <w:r w:rsidRPr="00535039">
        <w:rPr>
          <w:rFonts w:hAnsi="標楷體"/>
        </w:rPr>
        <w:t>等業務。</w:t>
      </w:r>
      <w:proofErr w:type="gramStart"/>
      <w:r w:rsidRPr="00535039">
        <w:rPr>
          <w:rFonts w:hAnsi="標楷體" w:hint="eastAsia"/>
        </w:rPr>
        <w:t>復按食</w:t>
      </w:r>
      <w:proofErr w:type="gramEnd"/>
      <w:r w:rsidRPr="00535039">
        <w:rPr>
          <w:rFonts w:hAnsi="標楷體" w:hint="eastAsia"/>
        </w:rPr>
        <w:t>安法第4條第1項規定：「主管機關</w:t>
      </w:r>
      <w:proofErr w:type="gramStart"/>
      <w:r w:rsidRPr="00535039">
        <w:rPr>
          <w:rFonts w:hAnsi="標楷體" w:hint="eastAsia"/>
        </w:rPr>
        <w:t>採</w:t>
      </w:r>
      <w:proofErr w:type="gramEnd"/>
      <w:r w:rsidRPr="00535039">
        <w:rPr>
          <w:rFonts w:hAnsi="標楷體" w:hint="eastAsia"/>
        </w:rPr>
        <w:t>行之食品安全衛生管理措施應以風險評估為基礎，符合滿足國民享有之健康、安全食品以及知的權利、科學證據原則、事先預防原則、資訊透明原則，建構風險評估以及</w:t>
      </w:r>
      <w:proofErr w:type="gramStart"/>
      <w:r w:rsidRPr="00535039">
        <w:rPr>
          <w:rFonts w:hAnsi="標楷體" w:hint="eastAsia"/>
        </w:rPr>
        <w:t>諮</w:t>
      </w:r>
      <w:proofErr w:type="gramEnd"/>
      <w:r w:rsidRPr="00535039">
        <w:rPr>
          <w:rFonts w:hAnsi="標楷體" w:hint="eastAsia"/>
        </w:rPr>
        <w:t>議體系。」</w:t>
      </w:r>
      <w:proofErr w:type="gramStart"/>
      <w:r w:rsidRPr="00535039">
        <w:rPr>
          <w:rFonts w:hAnsi="標楷體" w:hint="eastAsia"/>
        </w:rPr>
        <w:t>爰</w:t>
      </w:r>
      <w:proofErr w:type="gramEnd"/>
      <w:r w:rsidRPr="00535039">
        <w:rPr>
          <w:rFonts w:hAnsi="標楷體" w:hint="eastAsia"/>
        </w:rPr>
        <w:t>此，</w:t>
      </w:r>
      <w:proofErr w:type="gramStart"/>
      <w:r w:rsidRPr="00535039">
        <w:rPr>
          <w:rFonts w:hAnsi="標楷體" w:hint="eastAsia"/>
        </w:rPr>
        <w:t>食藥署</w:t>
      </w:r>
      <w:proofErr w:type="gramEnd"/>
      <w:r w:rsidRPr="00535039">
        <w:rPr>
          <w:rFonts w:hAnsi="標楷體" w:hint="eastAsia"/>
        </w:rPr>
        <w:t>應本於職責積極掌握及評估食品中對人體健康有害之風險因子，並建立相關管理策略。</w:t>
      </w:r>
    </w:p>
    <w:p w14:paraId="727FEC54" w14:textId="77777777" w:rsidR="000C69CB" w:rsidRPr="00535039" w:rsidRDefault="000C69CB" w:rsidP="000C69CB">
      <w:pPr>
        <w:pStyle w:val="3"/>
        <w:numPr>
          <w:ilvl w:val="2"/>
          <w:numId w:val="1"/>
        </w:numPr>
        <w:ind w:left="1361"/>
        <w:rPr>
          <w:rFonts w:hAnsi="標楷體"/>
        </w:rPr>
      </w:pPr>
      <w:proofErr w:type="gramStart"/>
      <w:r w:rsidRPr="00535039">
        <w:rPr>
          <w:rFonts w:hAnsi="標楷體" w:hint="eastAsia"/>
        </w:rPr>
        <w:t>查食藥署</w:t>
      </w:r>
      <w:proofErr w:type="gramEnd"/>
      <w:r w:rsidRPr="00535039">
        <w:rPr>
          <w:rFonts w:hAnsi="標楷體" w:hint="eastAsia"/>
        </w:rPr>
        <w:t>為瞭解我國塑膠類食品器具、容器及包裝(下稱器具容器包裝)之塑膠微粒背景值及探討其對人體健康的潛在影響，自107年開始委託辦理塑膠微粒相關研究計畫，成果摘要如下：</w:t>
      </w:r>
    </w:p>
    <w:p w14:paraId="309A39B1" w14:textId="77777777" w:rsidR="000C69CB" w:rsidRPr="00535039" w:rsidRDefault="000C69CB" w:rsidP="008E5B40">
      <w:pPr>
        <w:pStyle w:val="4"/>
        <w:rPr>
          <w:rFonts w:hAnsi="標楷體"/>
        </w:rPr>
      </w:pPr>
      <w:r w:rsidRPr="00535039">
        <w:rPr>
          <w:rFonts w:hAnsi="標楷體" w:hint="eastAsia"/>
        </w:rPr>
        <w:t>1</w:t>
      </w:r>
      <w:r w:rsidRPr="00535039">
        <w:rPr>
          <w:rFonts w:hAnsi="標楷體"/>
        </w:rPr>
        <w:t>07</w:t>
      </w:r>
      <w:r w:rsidRPr="00535039">
        <w:rPr>
          <w:rFonts w:hAnsi="標楷體" w:hint="eastAsia"/>
        </w:rPr>
        <w:t>年「</w:t>
      </w:r>
      <w:proofErr w:type="gramStart"/>
      <w:r w:rsidRPr="00535039">
        <w:rPr>
          <w:rFonts w:hAnsi="標楷體" w:hint="eastAsia"/>
        </w:rPr>
        <w:t>研</w:t>
      </w:r>
      <w:proofErr w:type="gramEnd"/>
      <w:r w:rsidRPr="00535039">
        <w:rPr>
          <w:rFonts w:hAnsi="標楷體" w:hint="eastAsia"/>
        </w:rPr>
        <w:t>析各國針對食品中塑膠微粒管理現況及風險評估之可行性研究」（</w:t>
      </w:r>
      <w:proofErr w:type="gramStart"/>
      <w:r w:rsidRPr="00535039">
        <w:rPr>
          <w:rFonts w:hAnsi="標楷體" w:hint="eastAsia"/>
        </w:rPr>
        <w:t>臺</w:t>
      </w:r>
      <w:proofErr w:type="gramEnd"/>
      <w:r w:rsidRPr="00535039">
        <w:rPr>
          <w:rFonts w:hAnsi="標楷體" w:hint="eastAsia"/>
        </w:rPr>
        <w:t>北醫學大學執行）：</w:t>
      </w:r>
    </w:p>
    <w:p w14:paraId="27A419CA" w14:textId="77777777" w:rsidR="000C69CB" w:rsidRPr="00535039" w:rsidRDefault="000C69CB" w:rsidP="0075060C">
      <w:pPr>
        <w:pStyle w:val="42"/>
        <w:ind w:left="1701" w:firstLine="680"/>
        <w:rPr>
          <w:rFonts w:hAnsi="標楷體"/>
        </w:rPr>
      </w:pPr>
      <w:r w:rsidRPr="00535039">
        <w:rPr>
          <w:rFonts w:hAnsi="標楷體" w:hint="eastAsia"/>
        </w:rPr>
        <w:t>該計畫針對國際間塑膠微粒背景資訊及風險評估之可行性進行初步資料蒐集，研究報告建議摘要如下：</w:t>
      </w:r>
    </w:p>
    <w:p w14:paraId="5D7E0FBB" w14:textId="77777777" w:rsidR="000C69CB" w:rsidRPr="00535039" w:rsidRDefault="000C69CB" w:rsidP="008E5B40">
      <w:pPr>
        <w:pStyle w:val="5"/>
        <w:rPr>
          <w:rFonts w:hAnsi="標楷體"/>
        </w:rPr>
      </w:pPr>
      <w:r w:rsidRPr="00535039">
        <w:rPr>
          <w:rFonts w:hAnsi="標楷體" w:hint="eastAsia"/>
        </w:rPr>
        <w:lastRenderedPageBreak/>
        <w:t>塑膠微粒對人體造成的危害在研究中尚未觀察到致命的威脅。更需要我們關注的議題是塑膠製品對地球的危害。塑膠微粒的產生，多來自於塑膠製品的氾濫，經由燃燒、廢棄、日照，進而成為塑膠微粒。因此，在關注塑膠微粒議題的同時，我們更該思考如何進行塑膠減量。目前國際與國內常見的塑膠減量方式，包括禁用塑膠吸管、禁用含塑膠微粒之化</w:t>
      </w:r>
      <w:proofErr w:type="gramStart"/>
      <w:r w:rsidRPr="00535039">
        <w:rPr>
          <w:rFonts w:hAnsi="標楷體" w:hint="eastAsia"/>
        </w:rPr>
        <w:t>粧</w:t>
      </w:r>
      <w:proofErr w:type="gramEnd"/>
      <w:r w:rsidRPr="00535039">
        <w:rPr>
          <w:rFonts w:hAnsi="標楷體" w:hint="eastAsia"/>
        </w:rPr>
        <w:t>品與個人清潔用品、禁用塑膠袋等。</w:t>
      </w:r>
    </w:p>
    <w:p w14:paraId="482E5F5C" w14:textId="77777777" w:rsidR="000C69CB" w:rsidRPr="00535039" w:rsidRDefault="000C69CB" w:rsidP="008E5B40">
      <w:pPr>
        <w:pStyle w:val="5"/>
        <w:rPr>
          <w:rFonts w:hAnsi="標楷體"/>
        </w:rPr>
      </w:pPr>
      <w:r w:rsidRPr="00535039">
        <w:rPr>
          <w:rFonts w:hAnsi="標楷體" w:hint="eastAsia"/>
        </w:rPr>
        <w:t>臺灣雖已</w:t>
      </w:r>
      <w:proofErr w:type="gramStart"/>
      <w:r w:rsidRPr="00535039">
        <w:rPr>
          <w:rFonts w:hAnsi="標楷體" w:hint="eastAsia"/>
        </w:rPr>
        <w:t>推動減塑政策</w:t>
      </w:r>
      <w:proofErr w:type="gramEnd"/>
      <w:r w:rsidRPr="00535039">
        <w:rPr>
          <w:rFonts w:hAnsi="標楷體" w:hint="eastAsia"/>
        </w:rPr>
        <w:t>，但目前對於塑膠袋的使用管理是民眾付費方式而非完全禁止。參考其他國家的政策後，可觀察到已開發國家因長期使用塑膠製品，難以割捨其便利性，</w:t>
      </w:r>
      <w:proofErr w:type="gramStart"/>
      <w:r w:rsidRPr="00535039">
        <w:rPr>
          <w:rFonts w:hAnsi="標楷體" w:hint="eastAsia"/>
        </w:rPr>
        <w:t>導致限塑政策</w:t>
      </w:r>
      <w:proofErr w:type="gramEnd"/>
      <w:r w:rsidRPr="00535039">
        <w:rPr>
          <w:rFonts w:hAnsi="標楷體" w:hint="eastAsia"/>
        </w:rPr>
        <w:t>窒礙難行。目前政府使用塑膠袋收費的方式，可使民眾慢慢意識到環保重要性、培養自備購物袋的好習慣。未來雖已計畫要逐步全面限用、禁用，但目前環保災害頻傳，政府的腳步或許可以再加快。</w:t>
      </w:r>
    </w:p>
    <w:p w14:paraId="360D31E0" w14:textId="77777777" w:rsidR="000C69CB" w:rsidRPr="00535039" w:rsidRDefault="000C69CB" w:rsidP="008E5B40">
      <w:pPr>
        <w:pStyle w:val="5"/>
        <w:rPr>
          <w:rFonts w:hAnsi="標楷體"/>
        </w:rPr>
      </w:pPr>
      <w:proofErr w:type="gramStart"/>
      <w:r w:rsidRPr="00535039">
        <w:rPr>
          <w:rFonts w:hAnsi="標楷體" w:hint="eastAsia"/>
        </w:rPr>
        <w:t>對於減塑方面</w:t>
      </w:r>
      <w:proofErr w:type="gramEnd"/>
      <w:r w:rsidRPr="00535039">
        <w:rPr>
          <w:rFonts w:hAnsi="標楷體" w:hint="eastAsia"/>
        </w:rPr>
        <w:t>，目前各國已致力於尋找可替代塑膠袋的環保材質。即使已有技術，政府仍然要面對這些材質要價較高、企業不願使用的現實面考量。在</w:t>
      </w:r>
      <w:proofErr w:type="gramStart"/>
      <w:r w:rsidRPr="00535039">
        <w:rPr>
          <w:rFonts w:hAnsi="標楷體" w:hint="eastAsia"/>
        </w:rPr>
        <w:t>積極減塑的</w:t>
      </w:r>
      <w:proofErr w:type="gramEnd"/>
      <w:r w:rsidRPr="00535039">
        <w:rPr>
          <w:rFonts w:hAnsi="標楷體" w:hint="eastAsia"/>
        </w:rPr>
        <w:t>同時，推動環保材質補助政策也是可考慮的方法。</w:t>
      </w:r>
      <w:proofErr w:type="gramStart"/>
      <w:r w:rsidRPr="00535039">
        <w:rPr>
          <w:rFonts w:hAnsi="標楷體" w:hint="eastAsia"/>
        </w:rPr>
        <w:t>此外，</w:t>
      </w:r>
      <w:proofErr w:type="gramEnd"/>
      <w:r w:rsidRPr="00535039">
        <w:rPr>
          <w:rFonts w:hAnsi="標楷體" w:hint="eastAsia"/>
        </w:rPr>
        <w:t>民間垃圾分類的風氣雖然盛行，但實際執行垃圾回收的業者卻因塑膠袋、碎片等難以處理且利潤較低，反而沒有將其回收。政府應對此嚴加監督、制定法規加以約束，才能實際落實環保。</w:t>
      </w:r>
    </w:p>
    <w:p w14:paraId="333F35F8" w14:textId="77777777" w:rsidR="000C69CB" w:rsidRPr="00535039" w:rsidRDefault="000C69CB" w:rsidP="008E5B40">
      <w:pPr>
        <w:pStyle w:val="4"/>
        <w:rPr>
          <w:rFonts w:hAnsi="標楷體"/>
        </w:rPr>
      </w:pPr>
      <w:r w:rsidRPr="00535039">
        <w:rPr>
          <w:rFonts w:hAnsi="標楷體" w:hint="eastAsia"/>
        </w:rPr>
        <w:t>109年「食品中塑膠微粒之風險研究」（國立成功大學食品安全衛生暨風險管理研究所執行）：</w:t>
      </w:r>
    </w:p>
    <w:p w14:paraId="1B062B89" w14:textId="5A7F660D" w:rsidR="000C69CB" w:rsidRPr="00535039" w:rsidRDefault="000C69CB" w:rsidP="00360073">
      <w:pPr>
        <w:pStyle w:val="42"/>
        <w:ind w:left="1701" w:firstLine="680"/>
        <w:rPr>
          <w:rFonts w:hAnsi="標楷體"/>
        </w:rPr>
      </w:pPr>
      <w:r w:rsidRPr="00535039">
        <w:rPr>
          <w:rFonts w:hAnsi="標楷體" w:hint="eastAsia"/>
        </w:rPr>
        <w:t>該計畫參考國際文獻研究方法，以拉</w:t>
      </w:r>
      <w:proofErr w:type="gramStart"/>
      <w:r w:rsidRPr="00535039">
        <w:rPr>
          <w:rFonts w:hAnsi="標楷體" w:hint="eastAsia"/>
        </w:rPr>
        <w:t>曼</w:t>
      </w:r>
      <w:proofErr w:type="gramEnd"/>
      <w:r w:rsidRPr="00535039">
        <w:rPr>
          <w:rFonts w:hAnsi="標楷體" w:hint="eastAsia"/>
        </w:rPr>
        <w:t>光譜</w:t>
      </w:r>
      <w:r w:rsidRPr="00535039">
        <w:rPr>
          <w:rFonts w:hAnsi="標楷體" w:hint="eastAsia"/>
        </w:rPr>
        <w:lastRenderedPageBreak/>
        <w:t>儀檢測50件市售塑膠器具容器包裝產品之塑膠微粒含量，</w:t>
      </w:r>
      <w:proofErr w:type="gramStart"/>
      <w:r w:rsidRPr="00535039">
        <w:rPr>
          <w:rFonts w:hAnsi="標楷體" w:hint="eastAsia"/>
        </w:rPr>
        <w:t>摘述研究</w:t>
      </w:r>
      <w:proofErr w:type="gramEnd"/>
      <w:r w:rsidRPr="00535039">
        <w:rPr>
          <w:rFonts w:hAnsi="標楷體" w:hint="eastAsia"/>
        </w:rPr>
        <w:t>成果如下：</w:t>
      </w:r>
    </w:p>
    <w:p w14:paraId="56C0E256" w14:textId="77777777" w:rsidR="000C69CB" w:rsidRPr="00535039" w:rsidRDefault="000C69CB" w:rsidP="008E5B40">
      <w:pPr>
        <w:pStyle w:val="5"/>
        <w:rPr>
          <w:rFonts w:hAnsi="標楷體"/>
        </w:rPr>
      </w:pPr>
      <w:r w:rsidRPr="00535039">
        <w:rPr>
          <w:rFonts w:hAnsi="標楷體"/>
        </w:rPr>
        <w:t>7</w:t>
      </w:r>
      <w:r w:rsidRPr="00535039">
        <w:rPr>
          <w:rFonts w:hAnsi="標楷體" w:hint="eastAsia"/>
        </w:rPr>
        <w:t>件</w:t>
      </w:r>
      <w:r w:rsidRPr="00535039">
        <w:rPr>
          <w:rFonts w:hAnsi="標楷體"/>
        </w:rPr>
        <w:t>1</w:t>
      </w:r>
      <w:r w:rsidRPr="00535039">
        <w:rPr>
          <w:rFonts w:hAnsi="標楷體" w:hint="eastAsia"/>
        </w:rPr>
        <w:t>次性</w:t>
      </w:r>
      <w:proofErr w:type="gramStart"/>
      <w:r w:rsidRPr="00535039">
        <w:rPr>
          <w:rFonts w:hAnsi="標楷體" w:hint="eastAsia"/>
        </w:rPr>
        <w:t>塑膠杯碗</w:t>
      </w:r>
      <w:proofErr w:type="gramEnd"/>
      <w:r w:rsidRPr="00535039">
        <w:rPr>
          <w:rFonts w:hAnsi="標楷體" w:hint="eastAsia"/>
        </w:rPr>
        <w:t>，盛裝</w:t>
      </w:r>
      <w:r w:rsidRPr="00535039">
        <w:rPr>
          <w:rFonts w:hAnsi="標楷體"/>
        </w:rPr>
        <w:t>25</w:t>
      </w:r>
      <w:r w:rsidRPr="00535039">
        <w:rPr>
          <w:rFonts w:hAnsi="標楷體" w:hint="eastAsia"/>
        </w:rPr>
        <w:t>℃常</w:t>
      </w:r>
      <w:proofErr w:type="gramStart"/>
      <w:r w:rsidRPr="00535039">
        <w:rPr>
          <w:rFonts w:hAnsi="標楷體" w:hint="eastAsia"/>
        </w:rPr>
        <w:t>溫水靜置後</w:t>
      </w:r>
      <w:proofErr w:type="gramEnd"/>
      <w:r w:rsidRPr="00535039">
        <w:rPr>
          <w:rFonts w:hAnsi="標楷體" w:hint="eastAsia"/>
        </w:rPr>
        <w:t>，計</w:t>
      </w:r>
      <w:r w:rsidRPr="00535039">
        <w:rPr>
          <w:rFonts w:hAnsi="標楷體"/>
        </w:rPr>
        <w:t>3</w:t>
      </w:r>
      <w:r w:rsidRPr="00535039">
        <w:rPr>
          <w:rFonts w:hAnsi="標楷體" w:hint="eastAsia"/>
        </w:rPr>
        <w:t>件檢出塑膠微粒，其平均數量為</w:t>
      </w:r>
      <w:r w:rsidRPr="00535039">
        <w:rPr>
          <w:rFonts w:hAnsi="標楷體"/>
        </w:rPr>
        <w:t>2.9</w:t>
      </w:r>
      <w:r w:rsidRPr="00535039">
        <w:rPr>
          <w:rFonts w:hAnsi="標楷體" w:hint="eastAsia"/>
        </w:rPr>
        <w:t xml:space="preserve"> </w:t>
      </w:r>
      <w:r w:rsidRPr="00535039">
        <w:rPr>
          <w:rFonts w:hAnsi="標楷體"/>
        </w:rPr>
        <w:t>particles/100mL</w:t>
      </w:r>
      <w:r w:rsidRPr="00535039">
        <w:rPr>
          <w:rFonts w:hAnsi="標楷體" w:hint="eastAsia"/>
        </w:rPr>
        <w:t>。</w:t>
      </w:r>
    </w:p>
    <w:p w14:paraId="40B7E697" w14:textId="77777777" w:rsidR="000C69CB" w:rsidRPr="00535039" w:rsidRDefault="000C69CB" w:rsidP="008E5B40">
      <w:pPr>
        <w:pStyle w:val="5"/>
        <w:rPr>
          <w:rFonts w:hAnsi="標楷體"/>
        </w:rPr>
      </w:pPr>
      <w:r w:rsidRPr="00535039">
        <w:rPr>
          <w:rFonts w:hAnsi="標楷體"/>
        </w:rPr>
        <w:t>12</w:t>
      </w:r>
      <w:r w:rsidRPr="00535039">
        <w:rPr>
          <w:rFonts w:hAnsi="標楷體" w:hint="eastAsia"/>
        </w:rPr>
        <w:t>件茶包、咖啡及</w:t>
      </w:r>
      <w:proofErr w:type="gramStart"/>
      <w:r w:rsidRPr="00535039">
        <w:rPr>
          <w:rFonts w:hAnsi="標楷體" w:hint="eastAsia"/>
        </w:rPr>
        <w:t>滷包袋</w:t>
      </w:r>
      <w:proofErr w:type="gramEnd"/>
      <w:r w:rsidRPr="00535039">
        <w:rPr>
          <w:rFonts w:hAnsi="標楷體" w:hint="eastAsia"/>
        </w:rPr>
        <w:t>，以</w:t>
      </w:r>
      <w:r w:rsidRPr="00535039">
        <w:rPr>
          <w:rFonts w:hAnsi="標楷體"/>
        </w:rPr>
        <w:t>95</w:t>
      </w:r>
      <w:r w:rsidRPr="00535039">
        <w:rPr>
          <w:rFonts w:hAnsi="標楷體" w:hint="eastAsia"/>
        </w:rPr>
        <w:t>℃高溫熱水沖泡後，</w:t>
      </w:r>
      <w:proofErr w:type="gramStart"/>
      <w:r w:rsidRPr="00535039">
        <w:rPr>
          <w:rFonts w:hAnsi="標楷體" w:hint="eastAsia"/>
        </w:rPr>
        <w:t>均檢出</w:t>
      </w:r>
      <w:proofErr w:type="gramEnd"/>
      <w:r w:rsidRPr="00535039">
        <w:rPr>
          <w:rFonts w:hAnsi="標楷體" w:hint="eastAsia"/>
        </w:rPr>
        <w:t>塑膠微粒，其平均數量為</w:t>
      </w:r>
      <w:r w:rsidRPr="00535039">
        <w:rPr>
          <w:rFonts w:hAnsi="標楷體"/>
        </w:rPr>
        <w:t>120.4 particles/200mL</w:t>
      </w:r>
      <w:r w:rsidRPr="00535039">
        <w:rPr>
          <w:rFonts w:hAnsi="標楷體" w:hint="eastAsia"/>
        </w:rPr>
        <w:t>，釋出之塑膠微粒結果和國際期刊論文研究相比，所釋出之塑膠微粒數低於國際數值</w:t>
      </w:r>
      <w:r w:rsidRPr="00535039">
        <w:rPr>
          <w:rStyle w:val="afe"/>
          <w:rFonts w:hAnsi="標楷體"/>
        </w:rPr>
        <w:footnoteReference w:id="25"/>
      </w:r>
      <w:r w:rsidRPr="00535039">
        <w:rPr>
          <w:rFonts w:hAnsi="標楷體" w:hint="eastAsia"/>
        </w:rPr>
        <w:t>。</w:t>
      </w:r>
    </w:p>
    <w:p w14:paraId="6A161787" w14:textId="42672D70" w:rsidR="000C69CB" w:rsidRPr="00535039" w:rsidRDefault="000C69CB" w:rsidP="008E5B40">
      <w:pPr>
        <w:pStyle w:val="5"/>
        <w:rPr>
          <w:rFonts w:hAnsi="標楷體"/>
        </w:rPr>
      </w:pPr>
      <w:r w:rsidRPr="00535039">
        <w:rPr>
          <w:rFonts w:hAnsi="標楷體"/>
        </w:rPr>
        <w:t>29</w:t>
      </w:r>
      <w:r w:rsidRPr="00535039">
        <w:rPr>
          <w:rFonts w:hAnsi="標楷體" w:hint="eastAsia"/>
        </w:rPr>
        <w:t>件對苯二甲酸乙二酯</w:t>
      </w:r>
      <w:r w:rsidRPr="00535039">
        <w:rPr>
          <w:rFonts w:hAnsi="標楷體"/>
        </w:rPr>
        <w:t>(PET)</w:t>
      </w:r>
      <w:r w:rsidRPr="00535039">
        <w:rPr>
          <w:rFonts w:hAnsi="標楷體" w:hint="eastAsia"/>
        </w:rPr>
        <w:t>材質之塑膠瓶，計</w:t>
      </w:r>
      <w:r w:rsidRPr="00535039">
        <w:rPr>
          <w:rFonts w:hAnsi="標楷體"/>
        </w:rPr>
        <w:t>18</w:t>
      </w:r>
      <w:r w:rsidRPr="00535039">
        <w:rPr>
          <w:rFonts w:hAnsi="標楷體" w:hint="eastAsia"/>
        </w:rPr>
        <w:t>件檢測到塑膠微粒，平均數量為</w:t>
      </w:r>
      <w:r w:rsidRPr="00535039">
        <w:rPr>
          <w:rFonts w:hAnsi="標楷體"/>
        </w:rPr>
        <w:t>30.8 particles/L</w:t>
      </w:r>
      <w:r w:rsidRPr="00535039">
        <w:rPr>
          <w:rFonts w:hAnsi="標楷體" w:hint="eastAsia"/>
        </w:rPr>
        <w:t>，進一步發現水中所測得之塑膠微粒</w:t>
      </w:r>
      <w:proofErr w:type="gramStart"/>
      <w:r w:rsidRPr="00535039">
        <w:rPr>
          <w:rFonts w:hAnsi="標楷體" w:hint="eastAsia"/>
        </w:rPr>
        <w:t>不僅有</w:t>
      </w:r>
      <w:r w:rsidR="00C4315E" w:rsidRPr="00535039">
        <w:rPr>
          <w:rFonts w:hAnsi="標楷體" w:hint="eastAsia"/>
        </w:rPr>
        <w:t>苯</w:t>
      </w:r>
      <w:proofErr w:type="gramEnd"/>
      <w:r w:rsidR="00C4315E" w:rsidRPr="00535039">
        <w:rPr>
          <w:rFonts w:hAnsi="標楷體" w:hint="eastAsia"/>
        </w:rPr>
        <w:t>二甲酸乙二酯</w:t>
      </w:r>
      <w:r w:rsidR="00C4315E" w:rsidRPr="00535039">
        <w:rPr>
          <w:rFonts w:hAnsi="標楷體"/>
        </w:rPr>
        <w:t>(PET)</w:t>
      </w:r>
      <w:r w:rsidRPr="00535039">
        <w:rPr>
          <w:rFonts w:hAnsi="標楷體" w:hint="eastAsia"/>
        </w:rPr>
        <w:t>，尚有其他種塑膠材質，可以推測瓶裝</w:t>
      </w:r>
      <w:proofErr w:type="gramStart"/>
      <w:r w:rsidRPr="00535039">
        <w:rPr>
          <w:rFonts w:hAnsi="標楷體" w:hint="eastAsia"/>
        </w:rPr>
        <w:t>水除瓶</w:t>
      </w:r>
      <w:proofErr w:type="gramEnd"/>
      <w:r w:rsidRPr="00535039">
        <w:rPr>
          <w:rFonts w:hAnsi="標楷體" w:hint="eastAsia"/>
        </w:rPr>
        <w:t>身材質是影響塑膠微粒濃度的因素之</w:t>
      </w:r>
      <w:proofErr w:type="gramStart"/>
      <w:r w:rsidRPr="00535039">
        <w:rPr>
          <w:rFonts w:hAnsi="標楷體" w:hint="eastAsia"/>
        </w:rPr>
        <w:t>一</w:t>
      </w:r>
      <w:proofErr w:type="gramEnd"/>
      <w:r w:rsidRPr="00535039">
        <w:rPr>
          <w:rFonts w:hAnsi="標楷體" w:hint="eastAsia"/>
        </w:rPr>
        <w:t>外，水源本身亦可能受塑膠微粒之污染。</w:t>
      </w:r>
    </w:p>
    <w:p w14:paraId="6C918CBA" w14:textId="77777777" w:rsidR="000C69CB" w:rsidRPr="00535039" w:rsidRDefault="000C69CB" w:rsidP="008E5B40">
      <w:pPr>
        <w:pStyle w:val="5"/>
        <w:rPr>
          <w:rFonts w:hAnsi="標楷體"/>
        </w:rPr>
      </w:pPr>
      <w:r w:rsidRPr="00535039">
        <w:rPr>
          <w:rFonts w:hAnsi="標楷體" w:hint="eastAsia"/>
        </w:rPr>
        <w:t>2件塑膠</w:t>
      </w:r>
      <w:proofErr w:type="gramStart"/>
      <w:r w:rsidRPr="00535039">
        <w:rPr>
          <w:rFonts w:hAnsi="標楷體" w:hint="eastAsia"/>
        </w:rPr>
        <w:t>耐熱袋</w:t>
      </w:r>
      <w:proofErr w:type="gramEnd"/>
      <w:r w:rsidRPr="00535039">
        <w:rPr>
          <w:rFonts w:hAnsi="標楷體" w:hint="eastAsia"/>
        </w:rPr>
        <w:t>，經95℃高溫熱水浸泡後，</w:t>
      </w:r>
      <w:proofErr w:type="gramStart"/>
      <w:r w:rsidRPr="00535039">
        <w:rPr>
          <w:rFonts w:hAnsi="標楷體" w:hint="eastAsia"/>
        </w:rPr>
        <w:t>均無檢</w:t>
      </w:r>
      <w:proofErr w:type="gramEnd"/>
      <w:r w:rsidRPr="00535039">
        <w:rPr>
          <w:rFonts w:hAnsi="標楷體" w:hint="eastAsia"/>
        </w:rPr>
        <w:t>出塑膠微粒。</w:t>
      </w:r>
    </w:p>
    <w:p w14:paraId="26D0B0FC" w14:textId="77777777" w:rsidR="000C69CB" w:rsidRPr="00535039" w:rsidRDefault="000C69CB" w:rsidP="008E5B40">
      <w:pPr>
        <w:pStyle w:val="5"/>
        <w:rPr>
          <w:rFonts w:hAnsi="標楷體"/>
        </w:rPr>
      </w:pPr>
      <w:r w:rsidRPr="00535039">
        <w:rPr>
          <w:rFonts w:hAnsi="標楷體" w:hint="eastAsia"/>
        </w:rPr>
        <w:t>依歐洲食品安全局及聯合國報告顯示，尚無塑膠微粒在體外細胞或</w:t>
      </w:r>
      <w:proofErr w:type="gramStart"/>
      <w:r w:rsidRPr="00535039">
        <w:rPr>
          <w:rFonts w:hAnsi="標楷體" w:hint="eastAsia"/>
        </w:rPr>
        <w:t>齧</w:t>
      </w:r>
      <w:proofErr w:type="gramEnd"/>
      <w:r w:rsidRPr="00535039">
        <w:rPr>
          <w:rFonts w:hAnsi="標楷體" w:hint="eastAsia"/>
        </w:rPr>
        <w:t>齒類毒性效應之研究，而毒性動力學缺乏代謝及排泄數據，科學界針對塑膠微粒對人體健康危害效應及暴露風險尚無明確共識。</w:t>
      </w:r>
    </w:p>
    <w:p w14:paraId="2F227F4D" w14:textId="77777777" w:rsidR="000C69CB" w:rsidRPr="00535039" w:rsidRDefault="000C69CB" w:rsidP="008E5B40">
      <w:pPr>
        <w:pStyle w:val="4"/>
        <w:rPr>
          <w:rFonts w:hAnsi="標楷體"/>
        </w:rPr>
      </w:pPr>
      <w:r w:rsidRPr="00535039">
        <w:rPr>
          <w:rFonts w:hAnsi="標楷體" w:hint="eastAsia"/>
        </w:rPr>
        <w:t>110年「食品中塑膠微粒之安全及暴露風險評估」（國立成功大學食品安全衛生暨風險管理研究執行）：</w:t>
      </w:r>
    </w:p>
    <w:p w14:paraId="597A78F3" w14:textId="77777777" w:rsidR="000C69CB" w:rsidRPr="00535039" w:rsidRDefault="000C69CB" w:rsidP="005746F7">
      <w:pPr>
        <w:pStyle w:val="42"/>
        <w:ind w:left="1701" w:firstLine="680"/>
        <w:rPr>
          <w:rFonts w:hAnsi="標楷體"/>
        </w:rPr>
      </w:pPr>
      <w:proofErr w:type="gramStart"/>
      <w:r w:rsidRPr="00535039">
        <w:rPr>
          <w:rFonts w:hAnsi="標楷體" w:hint="eastAsia"/>
        </w:rPr>
        <w:lastRenderedPageBreak/>
        <w:t>食藥署</w:t>
      </w:r>
      <w:proofErr w:type="gramEnd"/>
      <w:r w:rsidRPr="00535039">
        <w:rPr>
          <w:rFonts w:hAnsi="標楷體" w:hint="eastAsia"/>
        </w:rPr>
        <w:t>依據上開</w:t>
      </w:r>
      <w:proofErr w:type="gramStart"/>
      <w:r w:rsidRPr="00535039">
        <w:rPr>
          <w:rFonts w:hAnsi="標楷體" w:hint="eastAsia"/>
        </w:rPr>
        <w:t>109</w:t>
      </w:r>
      <w:proofErr w:type="gramEnd"/>
      <w:r w:rsidRPr="00535039">
        <w:rPr>
          <w:rFonts w:hAnsi="標楷體" w:hint="eastAsia"/>
        </w:rPr>
        <w:t>年度研究計畫成果，於110年我國食品藥物研究年報發表「</w:t>
      </w:r>
      <w:proofErr w:type="gramStart"/>
      <w:r w:rsidRPr="00535039">
        <w:rPr>
          <w:rFonts w:hAnsi="標楷體" w:hint="eastAsia"/>
        </w:rPr>
        <w:t>109</w:t>
      </w:r>
      <w:proofErr w:type="gramEnd"/>
      <w:r w:rsidRPr="00535039">
        <w:rPr>
          <w:rFonts w:hAnsi="標楷體" w:hint="eastAsia"/>
        </w:rPr>
        <w:t>年度市售塑膠類食品器具容器包裝產品含有及材料釋出之塑膠微粒調查研究」，並延續該研究及擴大樣本數，委託辦理110年「食品中塑膠微粒之安全及暴露風險評估」，再分析50件市售食品器具容器包裝產品之塑膠微粒含量，並探討塑膠微粒對腸道之影響，</w:t>
      </w:r>
      <w:proofErr w:type="gramStart"/>
      <w:r w:rsidRPr="00535039">
        <w:rPr>
          <w:rFonts w:hAnsi="標楷體" w:hint="eastAsia"/>
        </w:rPr>
        <w:t>摘述研究</w:t>
      </w:r>
      <w:proofErr w:type="gramEnd"/>
      <w:r w:rsidRPr="00535039">
        <w:rPr>
          <w:rFonts w:hAnsi="標楷體" w:hint="eastAsia"/>
        </w:rPr>
        <w:t>成果如下：</w:t>
      </w:r>
    </w:p>
    <w:p w14:paraId="4A7EE329" w14:textId="77777777" w:rsidR="000C69CB" w:rsidRPr="00535039" w:rsidRDefault="000C69CB" w:rsidP="008E5B40">
      <w:pPr>
        <w:pStyle w:val="5"/>
        <w:rPr>
          <w:rFonts w:hAnsi="標楷體"/>
        </w:rPr>
      </w:pPr>
      <w:r w:rsidRPr="00535039">
        <w:rPr>
          <w:rFonts w:hAnsi="標楷體" w:hint="eastAsia"/>
        </w:rPr>
        <w:t>分析</w:t>
      </w:r>
      <w:r w:rsidRPr="00535039">
        <w:rPr>
          <w:rFonts w:hAnsi="標楷體"/>
        </w:rPr>
        <w:t>50</w:t>
      </w:r>
      <w:r w:rsidRPr="00535039">
        <w:rPr>
          <w:rFonts w:hAnsi="標楷體" w:hint="eastAsia"/>
        </w:rPr>
        <w:t>件市售塑膠類食品器具容器包裝之塑膠微粒含量，包含</w:t>
      </w:r>
      <w:r w:rsidRPr="00535039">
        <w:rPr>
          <w:rFonts w:hAnsi="標楷體"/>
        </w:rPr>
        <w:t>10</w:t>
      </w:r>
      <w:r w:rsidRPr="00535039">
        <w:rPr>
          <w:rFonts w:hAnsi="標楷體" w:hint="eastAsia"/>
        </w:rPr>
        <w:t>件塑膠製奶瓶、</w:t>
      </w:r>
      <w:r w:rsidRPr="00535039">
        <w:rPr>
          <w:rFonts w:hAnsi="標楷體"/>
        </w:rPr>
        <w:t>10</w:t>
      </w:r>
      <w:r w:rsidRPr="00535039">
        <w:rPr>
          <w:rFonts w:hAnsi="標楷體" w:hint="eastAsia"/>
        </w:rPr>
        <w:t>件塑膠製微波餐盒、</w:t>
      </w:r>
      <w:r w:rsidRPr="00535039">
        <w:rPr>
          <w:rFonts w:hAnsi="標楷體"/>
        </w:rPr>
        <w:t>6</w:t>
      </w:r>
      <w:r w:rsidRPr="00535039">
        <w:rPr>
          <w:rFonts w:hAnsi="標楷體" w:hint="eastAsia"/>
        </w:rPr>
        <w:t>件塑膠</w:t>
      </w:r>
      <w:proofErr w:type="gramStart"/>
      <w:r w:rsidRPr="00535039">
        <w:rPr>
          <w:rFonts w:hAnsi="標楷體" w:hint="eastAsia"/>
        </w:rPr>
        <w:t>耐熱袋、</w:t>
      </w:r>
      <w:r w:rsidRPr="00535039">
        <w:rPr>
          <w:rFonts w:hAnsi="標楷體"/>
        </w:rPr>
        <w:t>6</w:t>
      </w:r>
      <w:r w:rsidRPr="00535039">
        <w:rPr>
          <w:rFonts w:hAnsi="標楷體" w:hint="eastAsia"/>
        </w:rPr>
        <w:t>件積層袋</w:t>
      </w:r>
      <w:proofErr w:type="gramEnd"/>
      <w:r w:rsidRPr="00535039">
        <w:rPr>
          <w:rFonts w:hAnsi="標楷體" w:hint="eastAsia"/>
        </w:rPr>
        <w:t>、</w:t>
      </w:r>
      <w:r w:rsidRPr="00535039">
        <w:rPr>
          <w:rFonts w:hAnsi="標楷體"/>
        </w:rPr>
        <w:t>6</w:t>
      </w:r>
      <w:r w:rsidRPr="00535039">
        <w:rPr>
          <w:rFonts w:hAnsi="標楷體" w:hint="eastAsia"/>
        </w:rPr>
        <w:t>件</w:t>
      </w:r>
      <w:r w:rsidRPr="00535039">
        <w:rPr>
          <w:rFonts w:hAnsi="標楷體"/>
        </w:rPr>
        <w:t>1</w:t>
      </w:r>
      <w:r w:rsidRPr="00535039">
        <w:rPr>
          <w:rFonts w:hAnsi="標楷體" w:hint="eastAsia"/>
        </w:rPr>
        <w:t>次性</w:t>
      </w:r>
      <w:proofErr w:type="gramStart"/>
      <w:r w:rsidRPr="00535039">
        <w:rPr>
          <w:rFonts w:hAnsi="標楷體" w:hint="eastAsia"/>
        </w:rPr>
        <w:t>塑膠杯碗</w:t>
      </w:r>
      <w:proofErr w:type="gramEnd"/>
      <w:r w:rsidRPr="00535039">
        <w:rPr>
          <w:rFonts w:hAnsi="標楷體" w:hint="eastAsia"/>
        </w:rPr>
        <w:t>、</w:t>
      </w:r>
      <w:r w:rsidRPr="00535039">
        <w:rPr>
          <w:rFonts w:hAnsi="標楷體"/>
        </w:rPr>
        <w:t>4</w:t>
      </w:r>
      <w:r w:rsidRPr="00535039">
        <w:rPr>
          <w:rFonts w:hAnsi="標楷體" w:hint="eastAsia"/>
        </w:rPr>
        <w:t>件一次</w:t>
      </w:r>
      <w:proofErr w:type="gramStart"/>
      <w:r w:rsidRPr="00535039">
        <w:rPr>
          <w:rFonts w:hAnsi="標楷體" w:hint="eastAsia"/>
        </w:rPr>
        <w:t>性淋膜</w:t>
      </w:r>
      <w:proofErr w:type="gramEnd"/>
      <w:r w:rsidRPr="00535039">
        <w:rPr>
          <w:rFonts w:hAnsi="標楷體" w:hint="eastAsia"/>
        </w:rPr>
        <w:t>紙杯碗、</w:t>
      </w:r>
      <w:r w:rsidRPr="00535039">
        <w:rPr>
          <w:rFonts w:hAnsi="標楷體"/>
        </w:rPr>
        <w:t>4</w:t>
      </w:r>
      <w:r w:rsidRPr="00535039">
        <w:rPr>
          <w:rFonts w:hAnsi="標楷體" w:hint="eastAsia"/>
        </w:rPr>
        <w:t>件茶包及咖啡袋，以及</w:t>
      </w:r>
      <w:r w:rsidRPr="00535039">
        <w:rPr>
          <w:rFonts w:hAnsi="標楷體"/>
        </w:rPr>
        <w:t>4</w:t>
      </w:r>
      <w:r w:rsidRPr="00535039">
        <w:rPr>
          <w:rFonts w:hAnsi="標楷體" w:hint="eastAsia"/>
        </w:rPr>
        <w:t>件塑膠製環保杯，相關檢測結果與</w:t>
      </w:r>
      <w:r w:rsidRPr="00535039">
        <w:rPr>
          <w:rFonts w:hAnsi="標楷體"/>
        </w:rPr>
        <w:t>109</w:t>
      </w:r>
      <w:r w:rsidRPr="00535039">
        <w:rPr>
          <w:rFonts w:hAnsi="標楷體" w:hint="eastAsia"/>
        </w:rPr>
        <w:t>年檢測之數值，初步彙整為背景值資料庫。</w:t>
      </w:r>
    </w:p>
    <w:p w14:paraId="00DD706B" w14:textId="77777777" w:rsidR="000C69CB" w:rsidRPr="00535039" w:rsidRDefault="000C69CB" w:rsidP="008E5B40">
      <w:pPr>
        <w:pStyle w:val="5"/>
        <w:rPr>
          <w:rFonts w:hAnsi="標楷體"/>
        </w:rPr>
      </w:pPr>
      <w:r w:rsidRPr="00535039">
        <w:rPr>
          <w:rFonts w:hAnsi="標楷體"/>
        </w:rPr>
        <w:t>109</w:t>
      </w:r>
      <w:r w:rsidRPr="00535039">
        <w:rPr>
          <w:rFonts w:hAnsi="標楷體" w:hint="eastAsia"/>
        </w:rPr>
        <w:t>年蒐集之資料顯示，歐洲食品安全局及聯合國報告缺乏代謝及排泄數據，因此，</w:t>
      </w:r>
      <w:r w:rsidRPr="00535039">
        <w:rPr>
          <w:rFonts w:hAnsi="標楷體"/>
        </w:rPr>
        <w:t>110</w:t>
      </w:r>
      <w:r w:rsidRPr="00535039">
        <w:rPr>
          <w:rFonts w:hAnsi="標楷體" w:hint="eastAsia"/>
        </w:rPr>
        <w:t>年「食品中塑膠微粒之安全及暴露風險評估」計畫，分別以人類腸細胞</w:t>
      </w:r>
      <w:r w:rsidRPr="00535039">
        <w:rPr>
          <w:rFonts w:hAnsi="標楷體"/>
        </w:rPr>
        <w:t>Caco-2</w:t>
      </w:r>
      <w:r w:rsidRPr="00535039">
        <w:rPr>
          <w:rFonts w:hAnsi="標楷體" w:hint="eastAsia"/>
        </w:rPr>
        <w:t>及實驗鼠</w:t>
      </w:r>
      <w:r w:rsidRPr="00535039">
        <w:rPr>
          <w:rFonts w:hAnsi="標楷體"/>
        </w:rPr>
        <w:t>C57BL/6</w:t>
      </w:r>
      <w:r w:rsidRPr="00535039">
        <w:rPr>
          <w:rFonts w:hAnsi="標楷體" w:hint="eastAsia"/>
        </w:rPr>
        <w:t>，進行先期小型研究，進而瞭解可能之潛在影響，研究結果發現塑膠微米微粒雖會於消化道中堆積，</w:t>
      </w:r>
      <w:proofErr w:type="gramStart"/>
      <w:r w:rsidRPr="00535039">
        <w:rPr>
          <w:rFonts w:hAnsi="標楷體" w:hint="eastAsia"/>
        </w:rPr>
        <w:t>惟隨時間</w:t>
      </w:r>
      <w:proofErr w:type="gramEnd"/>
      <w:r w:rsidRPr="00535039">
        <w:rPr>
          <w:rFonts w:hAnsi="標楷體" w:hint="eastAsia"/>
        </w:rPr>
        <w:t>之演進，最後超過</w:t>
      </w:r>
      <w:r w:rsidRPr="00535039">
        <w:rPr>
          <w:rFonts w:hAnsi="標楷體"/>
        </w:rPr>
        <w:t>90%</w:t>
      </w:r>
      <w:r w:rsidRPr="00535039">
        <w:rPr>
          <w:rFonts w:hAnsi="標楷體" w:hint="eastAsia"/>
        </w:rPr>
        <w:t>會由糞便排出生物體外。</w:t>
      </w:r>
    </w:p>
    <w:p w14:paraId="4A2E6827" w14:textId="77777777" w:rsidR="000C69CB" w:rsidRPr="00535039" w:rsidRDefault="000C69CB" w:rsidP="008E5B40">
      <w:pPr>
        <w:pStyle w:val="5"/>
        <w:rPr>
          <w:rFonts w:hAnsi="標楷體"/>
        </w:rPr>
      </w:pPr>
      <w:r w:rsidRPr="00535039">
        <w:rPr>
          <w:rFonts w:hAnsi="標楷體" w:hint="eastAsia"/>
        </w:rPr>
        <w:t>蒐集國際間塑膠微粒相關研究數據，由於已發表之研究文獻資料有限，故各國現階段尚無法針對風險進行估算，在未確定對人體造成之潛在健康危害前，無法訂定有效的管理政策。</w:t>
      </w:r>
    </w:p>
    <w:p w14:paraId="715E6B3F" w14:textId="6B5A9767" w:rsidR="000C69CB" w:rsidRPr="00535039" w:rsidRDefault="000C69CB" w:rsidP="00AF0D69">
      <w:pPr>
        <w:pStyle w:val="32"/>
        <w:ind w:left="1361" w:firstLine="680"/>
        <w:rPr>
          <w:rFonts w:hAnsi="標楷體"/>
        </w:rPr>
      </w:pPr>
      <w:r w:rsidRPr="00535039">
        <w:rPr>
          <w:rFonts w:hAnsi="標楷體" w:hint="eastAsia"/>
        </w:rPr>
        <w:t>基於上開研究計畫成果，</w:t>
      </w:r>
      <w:proofErr w:type="gramStart"/>
      <w:r w:rsidRPr="00535039">
        <w:rPr>
          <w:rFonts w:hAnsi="標楷體" w:hint="eastAsia"/>
        </w:rPr>
        <w:t>食藥署續</w:t>
      </w:r>
      <w:proofErr w:type="gramEnd"/>
      <w:r w:rsidRPr="00535039">
        <w:rPr>
          <w:rFonts w:hAnsi="標楷體" w:hint="eastAsia"/>
        </w:rPr>
        <w:t>說明有關減少塑膠微粒暴露風險之建議，</w:t>
      </w:r>
      <w:proofErr w:type="gramStart"/>
      <w:r w:rsidRPr="00535039">
        <w:rPr>
          <w:rFonts w:hAnsi="標楷體" w:hint="eastAsia"/>
        </w:rPr>
        <w:t>均為減少</w:t>
      </w:r>
      <w:proofErr w:type="gramEnd"/>
      <w:r w:rsidRPr="00535039">
        <w:rPr>
          <w:rFonts w:hAnsi="標楷體" w:hint="eastAsia"/>
        </w:rPr>
        <w:t>塑膠類製品或一次性塑膠類製品之使用，倘使用塑膠類食品器</w:t>
      </w:r>
      <w:r w:rsidRPr="00535039">
        <w:rPr>
          <w:rFonts w:hAnsi="標楷體" w:hint="eastAsia"/>
        </w:rPr>
        <w:lastRenderedPageBreak/>
        <w:t>具容器包裝，則應遵循塑膠類使用之一般性原則，例如使用食品器具容器包裝前，須依據用途選擇合適材質，並選購具有完整標示之產品；使用時，確認材質及耐熱溫度，依照產品標示資訊正確使用塑膠容器具，產品如有刮痕、變色、缺口或破裂等情況，應立即更換新品等語。</w:t>
      </w:r>
    </w:p>
    <w:p w14:paraId="4E453557" w14:textId="77777777" w:rsidR="000C69CB" w:rsidRPr="00535039" w:rsidRDefault="000C69CB" w:rsidP="000C69CB">
      <w:pPr>
        <w:pStyle w:val="3"/>
        <w:numPr>
          <w:ilvl w:val="2"/>
          <w:numId w:val="1"/>
        </w:numPr>
        <w:ind w:left="1361"/>
        <w:rPr>
          <w:rFonts w:hAnsi="標楷體"/>
        </w:rPr>
      </w:pPr>
      <w:r w:rsidRPr="00535039">
        <w:rPr>
          <w:rFonts w:hAnsi="標楷體" w:hint="eastAsia"/>
        </w:rPr>
        <w:t>至於上開研究計畫辦理完竣後，</w:t>
      </w:r>
      <w:proofErr w:type="gramStart"/>
      <w:r w:rsidRPr="00535039">
        <w:rPr>
          <w:rFonts w:hAnsi="標楷體" w:hint="eastAsia"/>
        </w:rPr>
        <w:t>食藥署</w:t>
      </w:r>
      <w:proofErr w:type="gramEnd"/>
      <w:r w:rsidRPr="00535039">
        <w:rPr>
          <w:rFonts w:hAnsi="標楷體" w:hint="eastAsia"/>
        </w:rPr>
        <w:t>對於食品器具容器包裝塑膠微粒風險評估及管理作為</w:t>
      </w:r>
      <w:proofErr w:type="gramStart"/>
      <w:r w:rsidRPr="00535039">
        <w:rPr>
          <w:rFonts w:hAnsi="標楷體" w:hint="eastAsia"/>
        </w:rPr>
        <w:t>研</w:t>
      </w:r>
      <w:proofErr w:type="gramEnd"/>
      <w:r w:rsidRPr="00535039">
        <w:rPr>
          <w:rFonts w:hAnsi="標楷體" w:hint="eastAsia"/>
        </w:rPr>
        <w:t>議情形，該署說明如下</w:t>
      </w:r>
      <w:r w:rsidRPr="00535039">
        <w:rPr>
          <w:rStyle w:val="afe"/>
          <w:rFonts w:hAnsi="標楷體"/>
        </w:rPr>
        <w:footnoteReference w:id="26"/>
      </w:r>
      <w:r w:rsidRPr="00535039">
        <w:rPr>
          <w:rFonts w:hAnsi="標楷體" w:hint="eastAsia"/>
        </w:rPr>
        <w:t>：</w:t>
      </w:r>
    </w:p>
    <w:p w14:paraId="501C2259" w14:textId="77777777" w:rsidR="000C69CB" w:rsidRPr="00535039" w:rsidRDefault="000C69CB" w:rsidP="008E5B40">
      <w:pPr>
        <w:pStyle w:val="4"/>
        <w:rPr>
          <w:rFonts w:hAnsi="標楷體"/>
        </w:rPr>
      </w:pPr>
      <w:r w:rsidRPr="00535039">
        <w:rPr>
          <w:rFonts w:hAnsi="標楷體" w:hint="eastAsia"/>
        </w:rPr>
        <w:t>國際間目前對塑膠微粒導致人體健康之風險，包括背景資料、粒徑、毒性及暴露量，</w:t>
      </w:r>
      <w:proofErr w:type="gramStart"/>
      <w:r w:rsidRPr="00535039">
        <w:rPr>
          <w:rFonts w:hAnsi="標楷體" w:hint="eastAsia"/>
        </w:rPr>
        <w:t>皆尚無</w:t>
      </w:r>
      <w:proofErr w:type="gramEnd"/>
      <w:r w:rsidRPr="00535039">
        <w:rPr>
          <w:rFonts w:hAnsi="標楷體" w:hint="eastAsia"/>
        </w:rPr>
        <w:t>明確之科學定論，且經國際認可及可靠之分析技術亦尚待建立。</w:t>
      </w:r>
    </w:p>
    <w:p w14:paraId="625E7EB5" w14:textId="77777777" w:rsidR="000C69CB" w:rsidRPr="00535039" w:rsidRDefault="000C69CB" w:rsidP="008E5B40">
      <w:pPr>
        <w:pStyle w:val="4"/>
        <w:rPr>
          <w:rFonts w:hAnsi="標楷體"/>
        </w:rPr>
      </w:pPr>
      <w:r w:rsidRPr="00535039">
        <w:rPr>
          <w:rFonts w:hAnsi="標楷體" w:hint="eastAsia"/>
        </w:rPr>
        <w:t>我國</w:t>
      </w:r>
      <w:proofErr w:type="gramStart"/>
      <w:r w:rsidRPr="00535039">
        <w:rPr>
          <w:rFonts w:hAnsi="標楷體" w:hint="eastAsia"/>
        </w:rPr>
        <w:t>研</w:t>
      </w:r>
      <w:proofErr w:type="gramEnd"/>
      <w:r w:rsidRPr="00535039">
        <w:rPr>
          <w:rFonts w:hAnsi="標楷體" w:hint="eastAsia"/>
        </w:rPr>
        <w:t>訂各種食品安全管制標準之原則，皆與國際組織及各先進國家相同，強調以科學證據為基礎，並兼顧風險必要性及管制合理性。現行食安法第16條規定，即已原則性規範食品器具容器包裝之安全性，應以不得導致健康危害為前提。我國身為世界貿易組織(WTO)會員國，所遵循食品衛生檢驗與動植物檢疫措施協定(SPS)之精神，亦強調各國採取之管制措施，應確保遵循國際標準、基於科學證據與必要性原則，避免產生不必要的貿易障礙。</w:t>
      </w:r>
    </w:p>
    <w:p w14:paraId="5E2FBF71" w14:textId="77777777" w:rsidR="000C69CB" w:rsidRPr="00535039" w:rsidRDefault="000C69CB" w:rsidP="008E5B40">
      <w:pPr>
        <w:pStyle w:val="4"/>
        <w:rPr>
          <w:rFonts w:hAnsi="標楷體"/>
        </w:rPr>
      </w:pPr>
      <w:r w:rsidRPr="00535039">
        <w:rPr>
          <w:rFonts w:hAnsi="標楷體" w:hint="eastAsia"/>
        </w:rPr>
        <w:t>各種因應市場需求所研發之新興食品接觸材質或產品，皆仍應遵循食安法第16條規定之基本要件；另外，也應符合消費者保護法（下稱消保法）第7條所規範，應確保所提供之商品，符合當時科技或專業水準可合理期待之安全性。</w:t>
      </w:r>
    </w:p>
    <w:p w14:paraId="68D03C26" w14:textId="77777777" w:rsidR="000C69CB" w:rsidRPr="00535039" w:rsidRDefault="000C69CB" w:rsidP="008E5B40">
      <w:pPr>
        <w:pStyle w:val="4"/>
        <w:rPr>
          <w:rFonts w:hAnsi="標楷體"/>
        </w:rPr>
      </w:pPr>
      <w:r w:rsidRPr="00535039">
        <w:rPr>
          <w:rFonts w:hAnsi="標楷體" w:hint="eastAsia"/>
        </w:rPr>
        <w:lastRenderedPageBreak/>
        <w:t>基於材料科學的演進，政府於行政資源有限之條件下，已竭力就各類可能污染食品之風險進行梳理，並依據風險優先性逐年規劃各種不同之科學研究，以利滾動調整管理政策及規範。</w:t>
      </w:r>
    </w:p>
    <w:p w14:paraId="17A05F70" w14:textId="2F312D0E" w:rsidR="000C69CB" w:rsidRPr="00535039" w:rsidRDefault="000C69CB" w:rsidP="000C69CB">
      <w:pPr>
        <w:pStyle w:val="3"/>
        <w:numPr>
          <w:ilvl w:val="2"/>
          <w:numId w:val="1"/>
        </w:numPr>
        <w:ind w:left="1361"/>
        <w:rPr>
          <w:rFonts w:hAnsi="標楷體"/>
        </w:rPr>
      </w:pPr>
      <w:r w:rsidRPr="00535039">
        <w:rPr>
          <w:rFonts w:hAnsi="標楷體" w:hint="eastAsia"/>
        </w:rPr>
        <w:t>惟據</w:t>
      </w:r>
      <w:r w:rsidRPr="00535039">
        <w:rPr>
          <w:rFonts w:hAnsi="標楷體" w:hint="eastAsia"/>
          <w:u w:val="single"/>
        </w:rPr>
        <w:t>國衛院於114年10月15日就</w:t>
      </w:r>
      <w:r w:rsidR="00C73EA2" w:rsidRPr="00535039">
        <w:rPr>
          <w:rFonts w:hAnsi="標楷體" w:hint="eastAsia"/>
          <w:u w:val="single"/>
        </w:rPr>
        <w:t>本院</w:t>
      </w:r>
      <w:r w:rsidRPr="00535039">
        <w:rPr>
          <w:rFonts w:hAnsi="標楷體" w:hint="eastAsia"/>
          <w:u w:val="single"/>
        </w:rPr>
        <w:t>詢問時</w:t>
      </w:r>
      <w:r w:rsidR="00C73EA2" w:rsidRPr="00535039">
        <w:rPr>
          <w:rFonts w:hAnsi="標楷體" w:hint="eastAsia"/>
          <w:u w:val="single"/>
        </w:rPr>
        <w:t>表示</w:t>
      </w:r>
      <w:r w:rsidRPr="00535039">
        <w:rPr>
          <w:rFonts w:hAnsi="標楷體" w:hint="eastAsia"/>
          <w:u w:val="single"/>
        </w:rPr>
        <w:t>，近期</w:t>
      </w:r>
      <w:proofErr w:type="gramStart"/>
      <w:r w:rsidRPr="00535039">
        <w:rPr>
          <w:rFonts w:hAnsi="標楷體" w:hint="eastAsia"/>
          <w:u w:val="single"/>
        </w:rPr>
        <w:t>國際間已有</w:t>
      </w:r>
      <w:proofErr w:type="gramEnd"/>
      <w:r w:rsidRPr="00535039">
        <w:rPr>
          <w:rFonts w:hAnsi="標楷體" w:hint="eastAsia"/>
          <w:u w:val="single"/>
        </w:rPr>
        <w:t>發表塑化微粒與人體疾病的相關性研究，</w:t>
      </w:r>
      <w:r w:rsidR="00C73EA2" w:rsidRPr="00535039">
        <w:rPr>
          <w:rFonts w:hAnsi="標楷體" w:hint="eastAsia"/>
          <w:u w:val="single"/>
        </w:rPr>
        <w:t>於2024及2025年國際最新研究已指出塑膠微粒與人類心血管及神經系統疾病具相關性的結果</w:t>
      </w:r>
      <w:r w:rsidR="00C73EA2" w:rsidRPr="00535039">
        <w:rPr>
          <w:rFonts w:hAnsi="標楷體" w:hint="eastAsia"/>
        </w:rPr>
        <w:t>，</w:t>
      </w:r>
      <w:r w:rsidRPr="00535039">
        <w:rPr>
          <w:rFonts w:hAnsi="標楷體" w:hint="eastAsia"/>
        </w:rPr>
        <w:t>相關</w:t>
      </w:r>
      <w:r w:rsidR="00C73EA2" w:rsidRPr="00535039">
        <w:rPr>
          <w:rFonts w:hAnsi="標楷體" w:hint="eastAsia"/>
        </w:rPr>
        <w:t>內容</w:t>
      </w:r>
      <w:r w:rsidRPr="00535039">
        <w:rPr>
          <w:rFonts w:hAnsi="標楷體" w:hint="eastAsia"/>
        </w:rPr>
        <w:t>如下：</w:t>
      </w:r>
    </w:p>
    <w:p w14:paraId="2D24330E" w14:textId="62336D71" w:rsidR="000C69CB" w:rsidRPr="00535039" w:rsidRDefault="000C69CB" w:rsidP="008E5B40">
      <w:pPr>
        <w:pStyle w:val="4"/>
        <w:rPr>
          <w:rFonts w:hAnsi="標楷體"/>
        </w:rPr>
      </w:pPr>
      <w:r w:rsidRPr="00535039">
        <w:rPr>
          <w:rFonts w:hAnsi="標楷體" w:hint="eastAsia"/>
          <w:u w:val="single"/>
        </w:rPr>
        <w:t>2024年</w:t>
      </w:r>
      <w:r w:rsidRPr="00535039">
        <w:rPr>
          <w:rFonts w:hAnsi="標楷體"/>
          <w:u w:val="single"/>
        </w:rPr>
        <w:t>New England Journal of Medicine</w:t>
      </w:r>
      <w:r w:rsidRPr="00535039">
        <w:rPr>
          <w:rFonts w:hAnsi="標楷體"/>
        </w:rPr>
        <w:t xml:space="preserve">《Microplastics and </w:t>
      </w:r>
      <w:proofErr w:type="spellStart"/>
      <w:r w:rsidRPr="00535039">
        <w:rPr>
          <w:rFonts w:hAnsi="標楷體"/>
        </w:rPr>
        <w:t>Nanoplastics</w:t>
      </w:r>
      <w:proofErr w:type="spellEnd"/>
      <w:r w:rsidRPr="00535039">
        <w:rPr>
          <w:rFonts w:hAnsi="標楷體"/>
        </w:rPr>
        <w:t xml:space="preserve"> in </w:t>
      </w:r>
      <w:proofErr w:type="spellStart"/>
      <w:r w:rsidRPr="00535039">
        <w:rPr>
          <w:rFonts w:hAnsi="標楷體"/>
        </w:rPr>
        <w:t>Atheromas</w:t>
      </w:r>
      <w:proofErr w:type="spellEnd"/>
      <w:r w:rsidRPr="00535039">
        <w:rPr>
          <w:rFonts w:hAnsi="標楷體"/>
        </w:rPr>
        <w:t xml:space="preserve"> and Cardiovascular Events》</w:t>
      </w:r>
      <w:r w:rsidRPr="00535039">
        <w:rPr>
          <w:rStyle w:val="afe"/>
          <w:rFonts w:hAnsi="標楷體"/>
        </w:rPr>
        <w:footnoteReference w:id="27"/>
      </w:r>
      <w:r w:rsidRPr="00535039">
        <w:rPr>
          <w:rFonts w:hAnsi="標楷體" w:hint="eastAsia"/>
        </w:rPr>
        <w:t>，</w:t>
      </w:r>
      <w:r w:rsidRPr="00535039">
        <w:rPr>
          <w:rFonts w:hAnsi="標楷體" w:hint="eastAsia"/>
          <w:u w:val="single"/>
        </w:rPr>
        <w:t>針對患有</w:t>
      </w:r>
      <w:proofErr w:type="gramStart"/>
      <w:r w:rsidRPr="00535039">
        <w:rPr>
          <w:rFonts w:hAnsi="標楷體"/>
          <w:u w:val="single"/>
        </w:rPr>
        <w:t>頸</w:t>
      </w:r>
      <w:proofErr w:type="gramEnd"/>
      <w:r w:rsidRPr="00535039">
        <w:rPr>
          <w:rFonts w:hAnsi="標楷體"/>
          <w:u w:val="single"/>
        </w:rPr>
        <w:t>動脈斑塊的患者</w:t>
      </w:r>
      <w:r w:rsidRPr="00535039">
        <w:rPr>
          <w:rFonts w:hAnsi="標楷體" w:hint="eastAsia"/>
          <w:u w:val="single"/>
        </w:rPr>
        <w:t>進行研究，結果發現</w:t>
      </w:r>
      <w:r w:rsidRPr="00535039">
        <w:rPr>
          <w:rFonts w:hAnsi="標楷體" w:hint="eastAsia"/>
        </w:rPr>
        <w:t>：</w:t>
      </w:r>
    </w:p>
    <w:p w14:paraId="60C76EFC" w14:textId="77777777" w:rsidR="000C69CB" w:rsidRPr="00535039" w:rsidRDefault="000C69CB" w:rsidP="008E5B40">
      <w:pPr>
        <w:pStyle w:val="5"/>
        <w:rPr>
          <w:rFonts w:hAnsi="標楷體"/>
        </w:rPr>
      </w:pPr>
      <w:r w:rsidRPr="00535039">
        <w:rPr>
          <w:rFonts w:hAnsi="標楷體" w:hint="eastAsia"/>
        </w:rPr>
        <w:t>在頸動脈斑塊中</w:t>
      </w:r>
      <w:proofErr w:type="gramStart"/>
      <w:r w:rsidRPr="00535039">
        <w:rPr>
          <w:rFonts w:hAnsi="標楷體" w:hint="eastAsia"/>
        </w:rPr>
        <w:t>檢測到微塑膠</w:t>
      </w:r>
      <w:proofErr w:type="gramEnd"/>
      <w:r w:rsidRPr="00535039">
        <w:rPr>
          <w:rFonts w:hAnsi="標楷體" w:hint="eastAsia"/>
        </w:rPr>
        <w:t>與奈米塑膠（MNPs）的患者，在34個月的追蹤</w:t>
      </w:r>
      <w:proofErr w:type="gramStart"/>
      <w:r w:rsidRPr="00535039">
        <w:rPr>
          <w:rFonts w:hAnsi="標楷體" w:hint="eastAsia"/>
        </w:rPr>
        <w:t>期間，</w:t>
      </w:r>
      <w:proofErr w:type="gramEnd"/>
      <w:r w:rsidRPr="00535039">
        <w:rPr>
          <w:rFonts w:hAnsi="標楷體" w:hint="eastAsia"/>
        </w:rPr>
        <w:t>發生心肌梗塞、中風或任何原因導致死亡的風險為未檢測到MNPs患者的4.53倍。</w:t>
      </w:r>
    </w:p>
    <w:p w14:paraId="5DF99DA6" w14:textId="09982719" w:rsidR="000C69CB" w:rsidRPr="00535039" w:rsidRDefault="000C69CB" w:rsidP="008E5B40">
      <w:pPr>
        <w:pStyle w:val="5"/>
        <w:rPr>
          <w:rFonts w:hAnsi="標楷體"/>
        </w:rPr>
      </w:pPr>
      <w:r w:rsidRPr="00535039">
        <w:rPr>
          <w:rFonts w:hAnsi="標楷體" w:hint="eastAsia"/>
        </w:rPr>
        <w:t xml:space="preserve">聚乙烯（PE）在150位患者（58.4%）的斑塊中被檢出，平均濃度為21.7±24.5 </w:t>
      </w:r>
      <w:r w:rsidR="00E847FC" w:rsidRPr="00535039">
        <w:rPr>
          <w:rFonts w:hAnsi="標楷體" w:hint="eastAsia"/>
        </w:rPr>
        <w:t>µ</w:t>
      </w:r>
      <w:r w:rsidRPr="00535039">
        <w:rPr>
          <w:rFonts w:hAnsi="標楷體" w:hint="eastAsia"/>
        </w:rPr>
        <w:t>g/mg。</w:t>
      </w:r>
    </w:p>
    <w:p w14:paraId="4C21DCEB" w14:textId="5A6864AB" w:rsidR="000C69CB" w:rsidRPr="00535039" w:rsidRDefault="000C69CB" w:rsidP="008E5B40">
      <w:pPr>
        <w:pStyle w:val="5"/>
        <w:rPr>
          <w:rFonts w:hAnsi="標楷體"/>
        </w:rPr>
      </w:pPr>
      <w:r w:rsidRPr="00535039">
        <w:rPr>
          <w:rFonts w:hAnsi="標楷體" w:hint="eastAsia"/>
        </w:rPr>
        <w:t>聚氯乙烯（PVC）在31位患者（12.1%）中被檢出，平均濃度為5.2±2.4</w:t>
      </w:r>
      <w:r w:rsidR="00E847FC" w:rsidRPr="00535039">
        <w:rPr>
          <w:rFonts w:hAnsi="標楷體" w:hint="eastAsia"/>
        </w:rPr>
        <w:t>µ</w:t>
      </w:r>
      <w:r w:rsidRPr="00535039">
        <w:rPr>
          <w:rFonts w:hAnsi="標楷體" w:hint="eastAsia"/>
        </w:rPr>
        <w:t>g/mg。</w:t>
      </w:r>
    </w:p>
    <w:p w14:paraId="4A2507A0" w14:textId="522E4378" w:rsidR="000C69CB" w:rsidRPr="00535039" w:rsidRDefault="000C69CB" w:rsidP="008E5B40">
      <w:pPr>
        <w:pStyle w:val="4"/>
        <w:rPr>
          <w:rFonts w:hAnsi="標楷體"/>
        </w:rPr>
      </w:pPr>
      <w:r w:rsidRPr="00535039">
        <w:rPr>
          <w:rFonts w:hAnsi="標楷體" w:hint="eastAsia"/>
          <w:u w:val="single"/>
        </w:rPr>
        <w:t>2025年2月Nature Medicine</w:t>
      </w:r>
      <w:r w:rsidRPr="00535039">
        <w:rPr>
          <w:rFonts w:hAnsi="標楷體"/>
        </w:rPr>
        <w:t>《Bi</w:t>
      </w:r>
      <w:r w:rsidR="00351D87" w:rsidRPr="00535039">
        <w:rPr>
          <w:rFonts w:hAnsi="標楷體" w:hint="eastAsia"/>
        </w:rPr>
        <w:t>oac</w:t>
      </w:r>
      <w:r w:rsidRPr="00535039">
        <w:rPr>
          <w:rFonts w:hAnsi="標楷體"/>
        </w:rPr>
        <w:t>cumulation of microplastics in</w:t>
      </w:r>
      <w:r w:rsidRPr="00535039">
        <w:rPr>
          <w:rFonts w:hAnsi="標楷體" w:hint="eastAsia"/>
        </w:rPr>
        <w:t xml:space="preserve"> </w:t>
      </w:r>
      <w:r w:rsidRPr="00535039">
        <w:rPr>
          <w:rFonts w:hAnsi="標楷體"/>
        </w:rPr>
        <w:t>decedent human brains》</w:t>
      </w:r>
      <w:r w:rsidRPr="00535039">
        <w:rPr>
          <w:rStyle w:val="afe"/>
          <w:rFonts w:hAnsi="標楷體"/>
        </w:rPr>
        <w:footnoteReference w:id="28"/>
      </w:r>
      <w:r w:rsidRPr="00535039">
        <w:rPr>
          <w:rFonts w:hAnsi="標楷體" w:hint="eastAsia"/>
        </w:rPr>
        <w:t>，研究全球環境中微塑膠與奈米塑膠（MNPs）濃度上升，引發對人類暴露與健康影響的關注，結果指出：</w:t>
      </w:r>
    </w:p>
    <w:p w14:paraId="09A26051" w14:textId="77777777" w:rsidR="000C69CB" w:rsidRPr="00535039" w:rsidRDefault="000C69CB" w:rsidP="008E5B40">
      <w:pPr>
        <w:pStyle w:val="5"/>
        <w:rPr>
          <w:rFonts w:hAnsi="標楷體"/>
        </w:rPr>
      </w:pPr>
      <w:r w:rsidRPr="00535039">
        <w:rPr>
          <w:rFonts w:hAnsi="標楷體" w:hint="eastAsia"/>
        </w:rPr>
        <w:lastRenderedPageBreak/>
        <w:t>在腎臟、肝臟與大腦中皆發現MNPs，主要為</w:t>
      </w:r>
      <w:r w:rsidRPr="00535039">
        <w:rPr>
          <w:rFonts w:hAnsi="標楷體"/>
        </w:rPr>
        <w:t>聚乙烯（PE）</w:t>
      </w:r>
      <w:r w:rsidRPr="00535039">
        <w:rPr>
          <w:rFonts w:hAnsi="標楷體" w:hint="eastAsia"/>
        </w:rPr>
        <w:t>，</w:t>
      </w:r>
      <w:r w:rsidRPr="00535039">
        <w:rPr>
          <w:rFonts w:hAnsi="標楷體"/>
        </w:rPr>
        <w:t>大腦中的聚乙烯</w:t>
      </w:r>
      <w:r w:rsidRPr="00535039">
        <w:rPr>
          <w:rFonts w:hAnsi="標楷體" w:hint="eastAsia"/>
        </w:rPr>
        <w:t>(</w:t>
      </w:r>
      <w:r w:rsidRPr="00535039">
        <w:rPr>
          <w:rFonts w:hAnsi="標楷體"/>
        </w:rPr>
        <w:t>PE</w:t>
      </w:r>
      <w:r w:rsidRPr="00535039">
        <w:rPr>
          <w:rFonts w:hAnsi="標楷體" w:hint="eastAsia"/>
        </w:rPr>
        <w:t>)累積量</w:t>
      </w:r>
      <w:r w:rsidRPr="00535039">
        <w:rPr>
          <w:rFonts w:hAnsi="標楷體"/>
        </w:rPr>
        <w:t>高於肝臟與腎臟</w:t>
      </w:r>
      <w:r w:rsidRPr="00535039">
        <w:rPr>
          <w:rFonts w:hAnsi="標楷體" w:hint="eastAsia"/>
        </w:rPr>
        <w:t>，且大腦中的</w:t>
      </w:r>
      <w:r w:rsidRPr="00535039">
        <w:rPr>
          <w:rFonts w:hAnsi="標楷體"/>
        </w:rPr>
        <w:t>MNPs呈現奈米級碎片狀</w:t>
      </w:r>
      <w:r w:rsidRPr="00535039">
        <w:rPr>
          <w:rFonts w:hAnsi="標楷體" w:hint="eastAsia"/>
        </w:rPr>
        <w:t>。</w:t>
      </w:r>
    </w:p>
    <w:p w14:paraId="3555B913" w14:textId="77777777" w:rsidR="000C69CB" w:rsidRPr="00535039" w:rsidRDefault="000C69CB" w:rsidP="008E5B40">
      <w:pPr>
        <w:pStyle w:val="5"/>
        <w:rPr>
          <w:rFonts w:hAnsi="標楷體"/>
        </w:rPr>
      </w:pPr>
      <w:r w:rsidRPr="00535039">
        <w:rPr>
          <w:rFonts w:hAnsi="標楷體"/>
        </w:rPr>
        <w:t>2016至2024年間，肝臟與大腦中的MNP</w:t>
      </w:r>
      <w:r w:rsidRPr="00535039">
        <w:rPr>
          <w:rFonts w:hAnsi="標楷體" w:hint="eastAsia"/>
        </w:rPr>
        <w:t>s</w:t>
      </w:r>
      <w:r w:rsidRPr="00535039">
        <w:rPr>
          <w:rFonts w:hAnsi="標楷體"/>
        </w:rPr>
        <w:t>濃度顯著上升</w:t>
      </w:r>
      <w:r w:rsidRPr="00535039">
        <w:rPr>
          <w:rFonts w:hAnsi="標楷體" w:hint="eastAsia"/>
        </w:rPr>
        <w:t>。</w:t>
      </w:r>
    </w:p>
    <w:p w14:paraId="34A9E9D7" w14:textId="77777777" w:rsidR="000C69CB" w:rsidRPr="00535039" w:rsidRDefault="000C69CB" w:rsidP="008E5B40">
      <w:pPr>
        <w:pStyle w:val="5"/>
        <w:rPr>
          <w:rFonts w:hAnsi="標楷體"/>
        </w:rPr>
      </w:pPr>
      <w:r w:rsidRPr="00535039">
        <w:rPr>
          <w:rFonts w:hAnsi="標楷體"/>
        </w:rPr>
        <w:t>年齡、性別、種族或死亡原因與MNP</w:t>
      </w:r>
      <w:r w:rsidRPr="00535039">
        <w:rPr>
          <w:rFonts w:hAnsi="標楷體" w:hint="eastAsia"/>
        </w:rPr>
        <w:t>s</w:t>
      </w:r>
      <w:r w:rsidRPr="00535039">
        <w:rPr>
          <w:rFonts w:hAnsi="標楷體"/>
        </w:rPr>
        <w:t>濃度無關</w:t>
      </w:r>
      <w:r w:rsidRPr="00535039">
        <w:rPr>
          <w:rFonts w:hAnsi="標楷體" w:hint="eastAsia"/>
        </w:rPr>
        <w:t>。</w:t>
      </w:r>
    </w:p>
    <w:p w14:paraId="757CB212" w14:textId="77777777" w:rsidR="000C69CB" w:rsidRPr="00535039" w:rsidRDefault="000C69CB" w:rsidP="008E5B40">
      <w:pPr>
        <w:pStyle w:val="5"/>
        <w:rPr>
          <w:rFonts w:hAnsi="標楷體"/>
        </w:rPr>
      </w:pPr>
      <w:r w:rsidRPr="00535039">
        <w:rPr>
          <w:rFonts w:hAnsi="標楷體" w:hint="eastAsia"/>
        </w:rPr>
        <w:t>與疾病的關聯：</w:t>
      </w:r>
    </w:p>
    <w:p w14:paraId="4BC85BFE" w14:textId="77777777" w:rsidR="000C69CB" w:rsidRPr="00535039" w:rsidRDefault="000C69CB" w:rsidP="008E5B40">
      <w:pPr>
        <w:pStyle w:val="6"/>
        <w:rPr>
          <w:rFonts w:hAnsi="標楷體"/>
        </w:rPr>
      </w:pPr>
      <w:r w:rsidRPr="00535039">
        <w:rPr>
          <w:rFonts w:hAnsi="標楷體"/>
        </w:rPr>
        <w:t>患有失智症的死者大腦中MNP</w:t>
      </w:r>
      <w:r w:rsidRPr="00535039">
        <w:rPr>
          <w:rFonts w:hAnsi="標楷體" w:hint="eastAsia"/>
        </w:rPr>
        <w:t>s</w:t>
      </w:r>
      <w:r w:rsidRPr="00535039">
        <w:rPr>
          <w:rFonts w:hAnsi="標楷體"/>
        </w:rPr>
        <w:t>累積更多</w:t>
      </w:r>
      <w:r w:rsidRPr="00535039">
        <w:rPr>
          <w:rFonts w:hAnsi="標楷體" w:hint="eastAsia"/>
        </w:rPr>
        <w:t>。</w:t>
      </w:r>
    </w:p>
    <w:p w14:paraId="607DF810" w14:textId="77777777" w:rsidR="000C69CB" w:rsidRPr="00535039" w:rsidRDefault="000C69CB" w:rsidP="008E5B40">
      <w:pPr>
        <w:pStyle w:val="6"/>
        <w:rPr>
          <w:rFonts w:hAnsi="標楷體"/>
        </w:rPr>
      </w:pPr>
      <w:r w:rsidRPr="00535039">
        <w:rPr>
          <w:rFonts w:hAnsi="標楷體"/>
        </w:rPr>
        <w:t>塑膠碎片</w:t>
      </w:r>
      <w:proofErr w:type="gramStart"/>
      <w:r w:rsidRPr="00535039">
        <w:rPr>
          <w:rFonts w:hAnsi="標楷體"/>
        </w:rPr>
        <w:t>沉</w:t>
      </w:r>
      <w:proofErr w:type="gramEnd"/>
      <w:r w:rsidRPr="00535039">
        <w:rPr>
          <w:rFonts w:hAnsi="標楷體"/>
        </w:rPr>
        <w:t>積於腦血管壁與免疫細胞中</w:t>
      </w:r>
      <w:r w:rsidRPr="00535039">
        <w:rPr>
          <w:rFonts w:hAnsi="標楷體" w:hint="eastAsia"/>
        </w:rPr>
        <w:t>。</w:t>
      </w:r>
    </w:p>
    <w:p w14:paraId="5BA26104" w14:textId="42E35389" w:rsidR="000C69CB" w:rsidRPr="00535039" w:rsidRDefault="000C69CB" w:rsidP="000C69CB">
      <w:pPr>
        <w:pStyle w:val="3"/>
        <w:numPr>
          <w:ilvl w:val="0"/>
          <w:numId w:val="0"/>
        </w:numPr>
        <w:ind w:left="1361" w:firstLineChars="192" w:firstLine="653"/>
        <w:rPr>
          <w:rFonts w:hAnsi="標楷體"/>
        </w:rPr>
      </w:pPr>
      <w:r w:rsidRPr="00535039">
        <w:rPr>
          <w:rFonts w:hAnsi="標楷體" w:hint="eastAsia"/>
        </w:rPr>
        <w:t>由上可知，</w:t>
      </w:r>
      <w:proofErr w:type="gramStart"/>
      <w:r w:rsidRPr="00535039">
        <w:rPr>
          <w:rFonts w:hAnsi="標楷體" w:hint="eastAsia"/>
        </w:rPr>
        <w:t>國際間的最新</w:t>
      </w:r>
      <w:proofErr w:type="gramEnd"/>
      <w:r w:rsidRPr="00535039">
        <w:rPr>
          <w:rFonts w:hAnsi="標楷體" w:hint="eastAsia"/>
        </w:rPr>
        <w:t>研究報告已指出塑膠微粒與人類心血管疾病風險的相關性，且以</w:t>
      </w:r>
      <w:r w:rsidRPr="00535039">
        <w:rPr>
          <w:rFonts w:hAnsi="標楷體"/>
        </w:rPr>
        <w:t>聚乙烯（PE）</w:t>
      </w:r>
      <w:r w:rsidRPr="00535039">
        <w:rPr>
          <w:rFonts w:hAnsi="標楷體" w:hint="eastAsia"/>
        </w:rPr>
        <w:t>在</w:t>
      </w:r>
      <w:r w:rsidRPr="00535039">
        <w:rPr>
          <w:rFonts w:hAnsi="標楷體"/>
        </w:rPr>
        <w:t>頸動脈斑塊中檢測</w:t>
      </w:r>
      <w:r w:rsidRPr="00535039">
        <w:rPr>
          <w:rFonts w:hAnsi="標楷體" w:hint="eastAsia"/>
        </w:rPr>
        <w:t>值最高，另塑膠微粒可能亦與人類神經系統疾病有關，該等</w:t>
      </w:r>
      <w:proofErr w:type="gramStart"/>
      <w:r w:rsidRPr="00535039">
        <w:rPr>
          <w:rFonts w:hAnsi="標楷體" w:hint="eastAsia"/>
        </w:rPr>
        <w:t>研究均具高度</w:t>
      </w:r>
      <w:proofErr w:type="gramEnd"/>
      <w:r w:rsidRPr="00535039">
        <w:rPr>
          <w:rFonts w:hAnsi="標楷體" w:hint="eastAsia"/>
        </w:rPr>
        <w:t>臨床與公共衛生意義，深值重視。反觀</w:t>
      </w:r>
      <w:proofErr w:type="gramStart"/>
      <w:r w:rsidRPr="00535039">
        <w:rPr>
          <w:rFonts w:hAnsi="標楷體" w:hint="eastAsia"/>
        </w:rPr>
        <w:t>食藥署</w:t>
      </w:r>
      <w:proofErr w:type="gramEnd"/>
      <w:r w:rsidR="0019681F" w:rsidRPr="00535039">
        <w:rPr>
          <w:rFonts w:hAnsi="標楷體" w:hint="eastAsia"/>
        </w:rPr>
        <w:t>於</w:t>
      </w:r>
      <w:r w:rsidRPr="00535039">
        <w:rPr>
          <w:rFonts w:hAnsi="標楷體" w:hint="eastAsia"/>
        </w:rPr>
        <w:t>107至110年辦理食品器具容器包裝塑膠微粒背景值調查及暴露風險相關委託計畫成果，已得知</w:t>
      </w:r>
      <w:proofErr w:type="gramStart"/>
      <w:r w:rsidRPr="00535039">
        <w:rPr>
          <w:rFonts w:hAnsi="標楷體" w:hint="eastAsia"/>
        </w:rPr>
        <w:t>塑膠杯碗</w:t>
      </w:r>
      <w:proofErr w:type="gramEnd"/>
      <w:r w:rsidRPr="00535039">
        <w:rPr>
          <w:rFonts w:hAnsi="標楷體" w:hint="eastAsia"/>
        </w:rPr>
        <w:t>、茶包、咖啡、</w:t>
      </w:r>
      <w:proofErr w:type="gramStart"/>
      <w:r w:rsidRPr="00535039">
        <w:rPr>
          <w:rFonts w:hAnsi="標楷體" w:hint="eastAsia"/>
        </w:rPr>
        <w:t>滷包袋</w:t>
      </w:r>
      <w:proofErr w:type="gramEnd"/>
      <w:r w:rsidRPr="00535039">
        <w:rPr>
          <w:rFonts w:hAnsi="標楷體" w:hint="eastAsia"/>
        </w:rPr>
        <w:t>…</w:t>
      </w:r>
      <w:proofErr w:type="gramStart"/>
      <w:r w:rsidRPr="00535039">
        <w:rPr>
          <w:rFonts w:hAnsi="標楷體" w:hint="eastAsia"/>
        </w:rPr>
        <w:t>…</w:t>
      </w:r>
      <w:proofErr w:type="gramEnd"/>
      <w:r w:rsidRPr="00535039">
        <w:rPr>
          <w:rFonts w:hAnsi="標楷體" w:hint="eastAsia"/>
        </w:rPr>
        <w:t>等，不論係常溫靜置或以</w:t>
      </w:r>
      <w:r w:rsidRPr="00535039">
        <w:rPr>
          <w:rFonts w:hAnsi="標楷體"/>
        </w:rPr>
        <w:t>95</w:t>
      </w:r>
      <w:r w:rsidRPr="00535039">
        <w:rPr>
          <w:rFonts w:hAnsi="標楷體" w:hint="eastAsia"/>
        </w:rPr>
        <w:t>℃高溫熱水沖泡，檢出塑膠微粒比率極高，該署迄今卻仍以國際文獻有限、尚無明確定論及缺乏分析技術等詞為由，顯未善盡應建構完整風險評估及管理措施之法定職責。</w:t>
      </w:r>
    </w:p>
    <w:p w14:paraId="7F70C32C" w14:textId="4561B84F" w:rsidR="000C69CB" w:rsidRPr="00535039" w:rsidRDefault="000C69CB" w:rsidP="000C69CB">
      <w:pPr>
        <w:pStyle w:val="3"/>
        <w:numPr>
          <w:ilvl w:val="2"/>
          <w:numId w:val="1"/>
        </w:numPr>
        <w:ind w:left="1361"/>
        <w:rPr>
          <w:rFonts w:hAnsi="標楷體"/>
        </w:rPr>
      </w:pPr>
      <w:r w:rsidRPr="00535039">
        <w:rPr>
          <w:rFonts w:hAnsi="標楷體" w:hint="eastAsia"/>
        </w:rPr>
        <w:t>據上，</w:t>
      </w:r>
      <w:proofErr w:type="gramStart"/>
      <w:r w:rsidR="004852CB" w:rsidRPr="00535039">
        <w:rPr>
          <w:rFonts w:hAnsi="標楷體" w:hint="eastAsia"/>
        </w:rPr>
        <w:t>食藥署</w:t>
      </w:r>
      <w:proofErr w:type="gramEnd"/>
      <w:r w:rsidR="004852CB" w:rsidRPr="00535039">
        <w:rPr>
          <w:rFonts w:hAnsi="標楷體" w:hint="eastAsia"/>
        </w:rPr>
        <w:t>於107至110年調查市售食品器具容器包裝之塑膠微粒釋出情形，結果顯示國人常使用的</w:t>
      </w:r>
      <w:proofErr w:type="gramStart"/>
      <w:r w:rsidR="004852CB" w:rsidRPr="00535039">
        <w:rPr>
          <w:rFonts w:hAnsi="標楷體" w:hint="eastAsia"/>
        </w:rPr>
        <w:t>塑膠杯碗</w:t>
      </w:r>
      <w:proofErr w:type="gramEnd"/>
      <w:r w:rsidR="004852CB" w:rsidRPr="00535039">
        <w:rPr>
          <w:rFonts w:hAnsi="標楷體" w:hint="eastAsia"/>
        </w:rPr>
        <w:t>、茶包等品項，不論係常溫靜置或以</w:t>
      </w:r>
      <w:r w:rsidR="004852CB" w:rsidRPr="00535039">
        <w:rPr>
          <w:rFonts w:hAnsi="標楷體"/>
        </w:rPr>
        <w:t>95</w:t>
      </w:r>
      <w:r w:rsidR="004852CB" w:rsidRPr="00535039">
        <w:rPr>
          <w:rFonts w:hAnsi="標楷體" w:hint="eastAsia"/>
        </w:rPr>
        <w:t>℃高溫熱水沖泡，檢出塑膠微粒比率極高，另2024及2025年國際</w:t>
      </w:r>
      <w:r w:rsidR="004852CB" w:rsidRPr="00535039">
        <w:rPr>
          <w:rFonts w:hAnsi="標楷體"/>
        </w:rPr>
        <w:t>最新研究已指出塑膠微粒與人類心血管</w:t>
      </w:r>
      <w:r w:rsidR="004852CB" w:rsidRPr="00535039">
        <w:rPr>
          <w:rFonts w:hAnsi="標楷體" w:hint="eastAsia"/>
        </w:rPr>
        <w:t>、</w:t>
      </w:r>
      <w:r w:rsidR="004852CB" w:rsidRPr="00535039">
        <w:rPr>
          <w:rFonts w:hAnsi="標楷體"/>
        </w:rPr>
        <w:t>神經系統疾病具相關性</w:t>
      </w:r>
      <w:r w:rsidR="004852CB" w:rsidRPr="00535039">
        <w:rPr>
          <w:rFonts w:hAnsi="標楷體" w:hint="eastAsia"/>
        </w:rPr>
        <w:t>；惟該署迄今仍以國際文獻有限、尚無明確定論及缺乏分析技術等詞為由，</w:t>
      </w:r>
      <w:r w:rsidR="00B16AEC">
        <w:rPr>
          <w:rFonts w:hAnsi="標楷體" w:hint="eastAsia"/>
        </w:rPr>
        <w:t>未能積極</w:t>
      </w:r>
      <w:proofErr w:type="gramStart"/>
      <w:r w:rsidR="00B16AEC">
        <w:rPr>
          <w:rFonts w:hAnsi="標楷體" w:hint="eastAsia"/>
        </w:rPr>
        <w:t>善盡食安</w:t>
      </w:r>
      <w:proofErr w:type="gramEnd"/>
      <w:r w:rsidR="00B16AEC">
        <w:rPr>
          <w:rFonts w:hAnsi="標楷體" w:hint="eastAsia"/>
        </w:rPr>
        <w:t>法</w:t>
      </w:r>
      <w:r w:rsidR="004852CB" w:rsidRPr="00535039">
        <w:rPr>
          <w:rFonts w:hAnsi="標楷體" w:hint="eastAsia"/>
        </w:rPr>
        <w:t>第4條</w:t>
      </w:r>
      <w:r w:rsidR="00B16AEC">
        <w:rPr>
          <w:rFonts w:hAnsi="標楷體" w:hint="eastAsia"/>
        </w:rPr>
        <w:t>明定</w:t>
      </w:r>
      <w:r w:rsidR="004852CB" w:rsidRPr="00535039">
        <w:rPr>
          <w:rFonts w:hAnsi="標楷體" w:hint="eastAsia"/>
        </w:rPr>
        <w:t>中央主管機關應建構完整風險評估及因應措施</w:t>
      </w:r>
      <w:r w:rsidR="00B16AEC">
        <w:rPr>
          <w:rFonts w:hAnsi="標楷體" w:hint="eastAsia"/>
        </w:rPr>
        <w:t>等</w:t>
      </w:r>
      <w:r w:rsidR="004852CB" w:rsidRPr="00535039">
        <w:rPr>
          <w:rFonts w:hAnsi="標楷體" w:hint="eastAsia"/>
        </w:rPr>
        <w:t>法定職責，且自</w:t>
      </w:r>
      <w:r w:rsidR="004852CB" w:rsidRPr="00535039">
        <w:rPr>
          <w:rFonts w:hAnsi="標楷體" w:hint="eastAsia"/>
        </w:rPr>
        <w:lastRenderedPageBreak/>
        <w:t>110年「食品中塑膠微粒之安全及暴露風險評估」計畫完竣後，亦</w:t>
      </w:r>
      <w:r w:rsidR="004852CB" w:rsidRPr="00535039">
        <w:rPr>
          <w:rFonts w:hAnsi="標楷體"/>
        </w:rPr>
        <w:t>未再持續推動後續研究</w:t>
      </w:r>
      <w:r w:rsidR="004852CB" w:rsidRPr="00535039">
        <w:rPr>
          <w:rFonts w:hAnsi="標楷體" w:hint="eastAsia"/>
        </w:rPr>
        <w:t>，確有欠妥。</w:t>
      </w:r>
    </w:p>
    <w:p w14:paraId="656C4340" w14:textId="25907246" w:rsidR="0033407B" w:rsidRPr="00535039" w:rsidRDefault="0033407B" w:rsidP="006066BF">
      <w:pPr>
        <w:pStyle w:val="2"/>
        <w:numPr>
          <w:ilvl w:val="1"/>
          <w:numId w:val="1"/>
        </w:numPr>
        <w:ind w:left="993"/>
        <w:rPr>
          <w:rFonts w:hAnsi="標楷體"/>
          <w:b/>
          <w:bCs w:val="0"/>
        </w:rPr>
      </w:pPr>
      <w:r w:rsidRPr="00535039">
        <w:rPr>
          <w:rFonts w:hAnsi="標楷體" w:hint="eastAsia"/>
          <w:b/>
          <w:bCs w:val="0"/>
        </w:rPr>
        <w:t>國際主要先進國家對於食品器具容器包裝之塑化劑管制規範中，日本採用正面表列方式，限制各項塑化劑於器具容器包裝材質之「個別含量」，而我國除規範「個別含量」外，針對聚氯乙烯(PVC)材質，另有規定塑化劑「總量」限制，相較日本嚴格；</w:t>
      </w:r>
      <w:proofErr w:type="gramStart"/>
      <w:r w:rsidRPr="00535039">
        <w:rPr>
          <w:rFonts w:hAnsi="標楷體" w:hint="eastAsia"/>
          <w:b/>
          <w:bCs w:val="0"/>
        </w:rPr>
        <w:t>惟</w:t>
      </w:r>
      <w:proofErr w:type="gramEnd"/>
      <w:r w:rsidRPr="00535039">
        <w:rPr>
          <w:rFonts w:hAnsi="標楷體" w:hint="eastAsia"/>
          <w:b/>
          <w:bCs w:val="0"/>
        </w:rPr>
        <w:t>歐盟已於2023年下</w:t>
      </w:r>
      <w:proofErr w:type="gramStart"/>
      <w:r w:rsidRPr="00535039">
        <w:rPr>
          <w:rFonts w:hAnsi="標楷體" w:hint="eastAsia"/>
          <w:b/>
          <w:bCs w:val="0"/>
        </w:rPr>
        <w:t>修鄰苯</w:t>
      </w:r>
      <w:proofErr w:type="gramEnd"/>
      <w:r w:rsidRPr="00535039">
        <w:rPr>
          <w:rFonts w:hAnsi="標楷體" w:hint="eastAsia"/>
          <w:b/>
          <w:bCs w:val="0"/>
        </w:rPr>
        <w:t>二甲酸二</w:t>
      </w:r>
      <w:proofErr w:type="gramStart"/>
      <w:r w:rsidRPr="00535039">
        <w:rPr>
          <w:rFonts w:hAnsi="標楷體" w:hint="eastAsia"/>
          <w:b/>
          <w:bCs w:val="0"/>
        </w:rPr>
        <w:t>丁酯(</w:t>
      </w:r>
      <w:proofErr w:type="gramEnd"/>
      <w:r w:rsidRPr="00535039">
        <w:rPr>
          <w:rFonts w:hAnsi="標楷體" w:hint="eastAsia"/>
          <w:b/>
          <w:bCs w:val="0"/>
        </w:rPr>
        <w:t>DBP)等6項塑化劑的遷移限量，美國亦於2024年大幅</w:t>
      </w:r>
      <w:proofErr w:type="gramStart"/>
      <w:r w:rsidRPr="00535039">
        <w:rPr>
          <w:rFonts w:hAnsi="標楷體" w:hint="eastAsia"/>
          <w:b/>
          <w:bCs w:val="0"/>
        </w:rPr>
        <w:t>刪除鄰苯</w:t>
      </w:r>
      <w:proofErr w:type="gramEnd"/>
      <w:r w:rsidRPr="00535039">
        <w:rPr>
          <w:rFonts w:hAnsi="標楷體" w:hint="eastAsia"/>
          <w:b/>
          <w:bCs w:val="0"/>
        </w:rPr>
        <w:t>二甲</w:t>
      </w:r>
      <w:proofErr w:type="gramStart"/>
      <w:r w:rsidRPr="00535039">
        <w:rPr>
          <w:rFonts w:hAnsi="標楷體" w:hint="eastAsia"/>
          <w:b/>
          <w:bCs w:val="0"/>
        </w:rPr>
        <w:t>酸丁苯甲酯(</w:t>
      </w:r>
      <w:proofErr w:type="gramEnd"/>
      <w:r w:rsidRPr="00535039">
        <w:rPr>
          <w:rFonts w:hAnsi="標楷體" w:hint="eastAsia"/>
          <w:b/>
          <w:bCs w:val="0"/>
        </w:rPr>
        <w:t>BBP)等25項供為「</w:t>
      </w:r>
      <w:proofErr w:type="gramStart"/>
      <w:r w:rsidRPr="00535039">
        <w:rPr>
          <w:rFonts w:hAnsi="標楷體" w:hint="eastAsia"/>
          <w:b/>
          <w:bCs w:val="0"/>
        </w:rPr>
        <w:t>增塑劑</w:t>
      </w:r>
      <w:proofErr w:type="gramEnd"/>
      <w:r w:rsidRPr="00535039">
        <w:rPr>
          <w:rFonts w:hAnsi="標楷體" w:hint="eastAsia"/>
          <w:b/>
          <w:bCs w:val="0"/>
        </w:rPr>
        <w:t>(plasticizer)」用途之塑化劑，而韓國早於2007年即限制</w:t>
      </w:r>
      <w:proofErr w:type="gramStart"/>
      <w:r w:rsidR="00B16AEC">
        <w:rPr>
          <w:rFonts w:hAnsi="標楷體" w:hint="eastAsia"/>
          <w:b/>
          <w:bCs w:val="0"/>
        </w:rPr>
        <w:t>使用</w:t>
      </w:r>
      <w:r w:rsidRPr="00535039">
        <w:rPr>
          <w:rFonts w:hAnsi="標楷體" w:hint="eastAsia"/>
          <w:b/>
          <w:bCs w:val="0"/>
        </w:rPr>
        <w:t>鄰苯</w:t>
      </w:r>
      <w:proofErr w:type="gramEnd"/>
      <w:r w:rsidRPr="00535039">
        <w:rPr>
          <w:rFonts w:hAnsi="標楷體" w:hint="eastAsia"/>
          <w:b/>
          <w:bCs w:val="0"/>
        </w:rPr>
        <w:t>二甲酸二（2-乙基己基）酯（DEHP），而我國卻仍准許</w:t>
      </w:r>
      <w:r w:rsidR="00B16AEC">
        <w:rPr>
          <w:rFonts w:hAnsi="標楷體" w:hint="eastAsia"/>
          <w:b/>
          <w:bCs w:val="0"/>
        </w:rPr>
        <w:t>使用</w:t>
      </w:r>
      <w:r w:rsidRPr="00535039">
        <w:rPr>
          <w:rFonts w:hAnsi="標楷體" w:hint="eastAsia"/>
          <w:b/>
          <w:bCs w:val="0"/>
        </w:rPr>
        <w:t>，</w:t>
      </w:r>
      <w:proofErr w:type="gramStart"/>
      <w:r w:rsidRPr="00535039">
        <w:rPr>
          <w:rFonts w:hAnsi="標楷體" w:hint="eastAsia"/>
          <w:b/>
          <w:bCs w:val="0"/>
        </w:rPr>
        <w:t>且衛福部</w:t>
      </w:r>
      <w:proofErr w:type="gramEnd"/>
      <w:r w:rsidRPr="00535039">
        <w:rPr>
          <w:rFonts w:hAnsi="標楷體" w:hint="eastAsia"/>
          <w:b/>
          <w:bCs w:val="0"/>
        </w:rPr>
        <w:t>「食品器具容器包裝衛生標準」關於塑化劑管理規定，自101年9月21日後即未有相關檢討，</w:t>
      </w:r>
      <w:r w:rsidR="009A02C5">
        <w:rPr>
          <w:rFonts w:hAnsi="標楷體" w:hint="eastAsia"/>
          <w:b/>
          <w:bCs w:val="0"/>
        </w:rPr>
        <w:t>顯難與國際同步管制，</w:t>
      </w:r>
      <w:proofErr w:type="gramStart"/>
      <w:r w:rsidR="009A02C5">
        <w:rPr>
          <w:rFonts w:hAnsi="標楷體" w:hint="eastAsia"/>
          <w:b/>
          <w:bCs w:val="0"/>
        </w:rPr>
        <w:t>該署</w:t>
      </w:r>
      <w:r w:rsidRPr="00535039">
        <w:rPr>
          <w:rFonts w:hAnsi="標楷體" w:hint="eastAsia"/>
          <w:b/>
          <w:bCs w:val="0"/>
        </w:rPr>
        <w:t>實應</w:t>
      </w:r>
      <w:proofErr w:type="gramEnd"/>
      <w:r w:rsidRPr="00535039">
        <w:rPr>
          <w:rFonts w:hAnsi="標楷體" w:hint="eastAsia"/>
          <w:b/>
          <w:bCs w:val="0"/>
        </w:rPr>
        <w:t>正視國際間針對塑化劑最新風險評估及管制動態，重新審視我國現行相關規範，以期保障國人飲食安全。</w:t>
      </w:r>
    </w:p>
    <w:p w14:paraId="6E10F7E7" w14:textId="665C66A5" w:rsidR="000C69CB" w:rsidRPr="00535039" w:rsidRDefault="000C69CB" w:rsidP="000C69CB">
      <w:pPr>
        <w:pStyle w:val="3"/>
        <w:numPr>
          <w:ilvl w:val="2"/>
          <w:numId w:val="1"/>
        </w:numPr>
        <w:ind w:left="1361"/>
        <w:rPr>
          <w:rFonts w:hAnsi="標楷體"/>
        </w:rPr>
      </w:pPr>
      <w:proofErr w:type="gramStart"/>
      <w:r w:rsidRPr="00535039">
        <w:rPr>
          <w:rFonts w:hAnsi="標楷體" w:hint="eastAsia"/>
        </w:rPr>
        <w:t>按食安</w:t>
      </w:r>
      <w:proofErr w:type="gramEnd"/>
      <w:r w:rsidRPr="00535039">
        <w:rPr>
          <w:rFonts w:hAnsi="標楷體" w:hint="eastAsia"/>
        </w:rPr>
        <w:t>法第17條規定：「販賣之食品、食品</w:t>
      </w:r>
      <w:proofErr w:type="gramStart"/>
      <w:r w:rsidRPr="00535039">
        <w:rPr>
          <w:rFonts w:hAnsi="標楷體" w:hint="eastAsia"/>
        </w:rPr>
        <w:t>用洗潔劑</w:t>
      </w:r>
      <w:proofErr w:type="gramEnd"/>
      <w:r w:rsidRPr="00535039">
        <w:rPr>
          <w:rFonts w:hAnsi="標楷體" w:hint="eastAsia"/>
        </w:rPr>
        <w:t>及其器具、容器或包裝，應符合衛生安全及品質之標準；其標準由中央主管機關定之。」基此，</w:t>
      </w:r>
      <w:proofErr w:type="gramStart"/>
      <w:r w:rsidR="002B2EBB" w:rsidRPr="00535039">
        <w:rPr>
          <w:rFonts w:hAnsi="標楷體" w:hint="eastAsia"/>
        </w:rPr>
        <w:t>衛福</w:t>
      </w:r>
      <w:r w:rsidR="007151ED">
        <w:rPr>
          <w:rFonts w:hAnsi="標楷體" w:hint="eastAsia"/>
        </w:rPr>
        <w:t>部</w:t>
      </w:r>
      <w:proofErr w:type="gramEnd"/>
      <w:r w:rsidR="002B2EBB" w:rsidRPr="00535039">
        <w:rPr>
          <w:rFonts w:hAnsi="標楷體" w:hint="eastAsia"/>
        </w:rPr>
        <w:t>（</w:t>
      </w:r>
      <w:r w:rsidRPr="00535039">
        <w:rPr>
          <w:rFonts w:hAnsi="標楷體" w:hint="eastAsia"/>
        </w:rPr>
        <w:t>原行政院衛生署，下同</w:t>
      </w:r>
      <w:r w:rsidR="002B2EBB" w:rsidRPr="00535039">
        <w:rPr>
          <w:rFonts w:hAnsi="標楷體" w:hint="eastAsia"/>
        </w:rPr>
        <w:t>）</w:t>
      </w:r>
      <w:r w:rsidRPr="00535039">
        <w:rPr>
          <w:rFonts w:hAnsi="標楷體" w:hint="eastAsia"/>
        </w:rPr>
        <w:t>於92年11月26日訂定發布「食品器具容器包裝衛生標準」，以確保</w:t>
      </w:r>
      <w:r w:rsidRPr="00535039">
        <w:rPr>
          <w:rFonts w:hAnsi="標楷體"/>
        </w:rPr>
        <w:t>食品接觸材料的安全，避免有害物質釋出或污染食品，保障消費者</w:t>
      </w:r>
      <w:r w:rsidRPr="00535039">
        <w:rPr>
          <w:rFonts w:hAnsi="標楷體" w:hint="eastAsia"/>
        </w:rPr>
        <w:t>飲食</w:t>
      </w:r>
      <w:r w:rsidRPr="00535039">
        <w:rPr>
          <w:rFonts w:hAnsi="標楷體"/>
        </w:rPr>
        <w:t>健康。</w:t>
      </w:r>
    </w:p>
    <w:p w14:paraId="1C033DB3" w14:textId="77777777" w:rsidR="000C69CB" w:rsidRPr="00535039" w:rsidRDefault="000C69CB" w:rsidP="000C69CB">
      <w:pPr>
        <w:pStyle w:val="3"/>
        <w:numPr>
          <w:ilvl w:val="2"/>
          <w:numId w:val="1"/>
        </w:numPr>
        <w:ind w:left="1361"/>
        <w:rPr>
          <w:rFonts w:hAnsi="標楷體"/>
        </w:rPr>
      </w:pPr>
      <w:proofErr w:type="gramStart"/>
      <w:r w:rsidRPr="00535039">
        <w:rPr>
          <w:rFonts w:hAnsi="標楷體" w:hint="eastAsia"/>
        </w:rPr>
        <w:t>食藥署</w:t>
      </w:r>
      <w:proofErr w:type="gramEnd"/>
      <w:r w:rsidRPr="00535039">
        <w:rPr>
          <w:rFonts w:hAnsi="標楷體" w:hint="eastAsia"/>
        </w:rPr>
        <w:t>於</w:t>
      </w:r>
      <w:proofErr w:type="gramStart"/>
      <w:r w:rsidRPr="00535039">
        <w:rPr>
          <w:rFonts w:hAnsi="標楷體"/>
        </w:rPr>
        <w:t>100</w:t>
      </w:r>
      <w:proofErr w:type="gramEnd"/>
      <w:r w:rsidRPr="00535039">
        <w:rPr>
          <w:rFonts w:hAnsi="標楷體" w:hint="eastAsia"/>
        </w:rPr>
        <w:t>年度辦理「食品</w:t>
      </w:r>
      <w:proofErr w:type="gramStart"/>
      <w:r w:rsidRPr="00535039">
        <w:rPr>
          <w:rFonts w:hAnsi="標楷體" w:hint="eastAsia"/>
        </w:rPr>
        <w:t>容器鄰苯</w:t>
      </w:r>
      <w:proofErr w:type="gramEnd"/>
      <w:r w:rsidRPr="00535039">
        <w:rPr>
          <w:rFonts w:hAnsi="標楷體" w:hint="eastAsia"/>
        </w:rPr>
        <w:t>二甲</w:t>
      </w:r>
      <w:proofErr w:type="gramStart"/>
      <w:r w:rsidRPr="00535039">
        <w:rPr>
          <w:rFonts w:hAnsi="標楷體" w:hint="eastAsia"/>
        </w:rPr>
        <w:t>酸酯類</w:t>
      </w:r>
      <w:proofErr w:type="gramEnd"/>
      <w:r w:rsidRPr="00535039">
        <w:rPr>
          <w:rFonts w:hAnsi="標楷體" w:hint="eastAsia"/>
        </w:rPr>
        <w:t>材質含量標準之研究」計畫，抽檢市售各類塑膠材質共計</w:t>
      </w:r>
      <w:r w:rsidRPr="00535039">
        <w:rPr>
          <w:rFonts w:hAnsi="標楷體"/>
        </w:rPr>
        <w:t>90</w:t>
      </w:r>
      <w:r w:rsidRPr="00535039">
        <w:rPr>
          <w:rFonts w:hAnsi="標楷體" w:hint="eastAsia"/>
        </w:rPr>
        <w:t>件樣品，進行塑化劑之材質及溶出試驗，並召開專家學者會議，及與產業界、消保團體等召開溝通會議後，據以提出管制基準，</w:t>
      </w:r>
      <w:proofErr w:type="gramStart"/>
      <w:r w:rsidRPr="00535039">
        <w:rPr>
          <w:rFonts w:hAnsi="標楷體" w:hint="eastAsia"/>
        </w:rPr>
        <w:t>衛福部於</w:t>
      </w:r>
      <w:proofErr w:type="gramEnd"/>
      <w:r w:rsidRPr="00535039">
        <w:rPr>
          <w:rFonts w:hAnsi="標楷體"/>
        </w:rPr>
        <w:t>101</w:t>
      </w:r>
      <w:r w:rsidRPr="00535039">
        <w:rPr>
          <w:rFonts w:hAnsi="標楷體" w:hint="eastAsia"/>
        </w:rPr>
        <w:t>年</w:t>
      </w:r>
      <w:r w:rsidRPr="00535039">
        <w:rPr>
          <w:rFonts w:hAnsi="標楷體"/>
        </w:rPr>
        <w:t>9</w:t>
      </w:r>
      <w:r w:rsidRPr="00535039">
        <w:rPr>
          <w:rFonts w:hAnsi="標楷體" w:hint="eastAsia"/>
        </w:rPr>
        <w:t>月</w:t>
      </w:r>
      <w:r w:rsidRPr="00535039">
        <w:rPr>
          <w:rFonts w:hAnsi="標楷體"/>
        </w:rPr>
        <w:t>21</w:t>
      </w:r>
      <w:r w:rsidRPr="00535039">
        <w:rPr>
          <w:rFonts w:hAnsi="標楷體" w:hint="eastAsia"/>
        </w:rPr>
        <w:t>日修正「食品器具容器包裝衛生標準」，該標準</w:t>
      </w:r>
      <w:r w:rsidRPr="00535039">
        <w:rPr>
          <w:rFonts w:hAnsi="標楷體" w:hint="eastAsia"/>
        </w:rPr>
        <w:lastRenderedPageBreak/>
        <w:t>關於塑化劑的規定沿用迄今，主要重點如下：</w:t>
      </w:r>
    </w:p>
    <w:p w14:paraId="4362BB58" w14:textId="77777777" w:rsidR="000C69CB" w:rsidRPr="00535039" w:rsidRDefault="000C69CB" w:rsidP="008E5B40">
      <w:pPr>
        <w:pStyle w:val="4"/>
        <w:rPr>
          <w:rFonts w:hAnsi="標楷體"/>
        </w:rPr>
      </w:pPr>
      <w:r w:rsidRPr="00535039">
        <w:rPr>
          <w:rFonts w:hAnsi="標楷體" w:hint="eastAsia"/>
        </w:rPr>
        <w:t>增訂專供3歲以下嬰幼兒使用之食品器具及容器，不得</w:t>
      </w:r>
      <w:proofErr w:type="gramStart"/>
      <w:r w:rsidRPr="00535039">
        <w:rPr>
          <w:rFonts w:hAnsi="標楷體" w:hint="eastAsia"/>
        </w:rPr>
        <w:t>添加鄰苯</w:t>
      </w:r>
      <w:proofErr w:type="gramEnd"/>
      <w:r w:rsidRPr="00535039">
        <w:rPr>
          <w:rFonts w:hAnsi="標楷體" w:hint="eastAsia"/>
        </w:rPr>
        <w:t>二甲酸二（</w:t>
      </w:r>
      <w:r w:rsidRPr="00535039">
        <w:rPr>
          <w:rFonts w:hAnsi="標楷體"/>
        </w:rPr>
        <w:t>2-</w:t>
      </w:r>
      <w:r w:rsidRPr="00535039">
        <w:rPr>
          <w:rFonts w:hAnsi="標楷體" w:hint="eastAsia"/>
        </w:rPr>
        <w:t>乙基己基）酯（</w:t>
      </w:r>
      <w:r w:rsidRPr="00535039">
        <w:rPr>
          <w:rFonts w:hAnsi="標楷體"/>
        </w:rPr>
        <w:t>DEHP</w:t>
      </w:r>
      <w:r w:rsidRPr="00535039">
        <w:rPr>
          <w:rFonts w:hAnsi="標楷體" w:hint="eastAsia"/>
        </w:rPr>
        <w:t>）、</w:t>
      </w:r>
      <w:proofErr w:type="gramStart"/>
      <w:r w:rsidRPr="00535039">
        <w:rPr>
          <w:rFonts w:hAnsi="標楷體" w:hint="eastAsia"/>
        </w:rPr>
        <w:t>鄰苯</w:t>
      </w:r>
      <w:proofErr w:type="gramEnd"/>
      <w:r w:rsidRPr="00535039">
        <w:rPr>
          <w:rFonts w:hAnsi="標楷體" w:hint="eastAsia"/>
        </w:rPr>
        <w:t>二甲酸二正</w:t>
      </w:r>
      <w:proofErr w:type="gramStart"/>
      <w:r w:rsidRPr="00535039">
        <w:rPr>
          <w:rFonts w:hAnsi="標楷體" w:hint="eastAsia"/>
        </w:rPr>
        <w:t>辛酯(</w:t>
      </w:r>
      <w:proofErr w:type="gramEnd"/>
      <w:r w:rsidRPr="00535039">
        <w:rPr>
          <w:rFonts w:hAnsi="標楷體"/>
        </w:rPr>
        <w:t>DNOP</w:t>
      </w:r>
      <w:r w:rsidRPr="00535039">
        <w:rPr>
          <w:rFonts w:hAnsi="標楷體" w:hint="eastAsia"/>
        </w:rPr>
        <w:t>)、</w:t>
      </w:r>
      <w:proofErr w:type="gramStart"/>
      <w:r w:rsidRPr="00535039">
        <w:rPr>
          <w:rFonts w:hAnsi="標楷體" w:hint="eastAsia"/>
        </w:rPr>
        <w:t>鄰苯</w:t>
      </w:r>
      <w:proofErr w:type="gramEnd"/>
      <w:r w:rsidRPr="00535039">
        <w:rPr>
          <w:rFonts w:hAnsi="標楷體" w:hint="eastAsia"/>
        </w:rPr>
        <w:t>二甲酸二</w:t>
      </w:r>
      <w:proofErr w:type="gramStart"/>
      <w:r w:rsidRPr="00535039">
        <w:rPr>
          <w:rFonts w:hAnsi="標楷體" w:hint="eastAsia"/>
        </w:rPr>
        <w:t>丁酯(</w:t>
      </w:r>
      <w:proofErr w:type="gramEnd"/>
      <w:r w:rsidRPr="00535039">
        <w:rPr>
          <w:rFonts w:hAnsi="標楷體"/>
        </w:rPr>
        <w:t>DBP</w:t>
      </w:r>
      <w:r w:rsidRPr="00535039">
        <w:rPr>
          <w:rFonts w:hAnsi="標楷體" w:hint="eastAsia"/>
        </w:rPr>
        <w:t>)、</w:t>
      </w:r>
      <w:proofErr w:type="gramStart"/>
      <w:r w:rsidRPr="00535039">
        <w:rPr>
          <w:rFonts w:hAnsi="標楷體" w:hint="eastAsia"/>
        </w:rPr>
        <w:t>鄰苯</w:t>
      </w:r>
      <w:proofErr w:type="gramEnd"/>
      <w:r w:rsidRPr="00535039">
        <w:rPr>
          <w:rFonts w:hAnsi="標楷體" w:hint="eastAsia"/>
        </w:rPr>
        <w:t>二甲</w:t>
      </w:r>
      <w:proofErr w:type="gramStart"/>
      <w:r w:rsidRPr="00535039">
        <w:rPr>
          <w:rFonts w:hAnsi="標楷體" w:hint="eastAsia"/>
        </w:rPr>
        <w:t>酸丁苯甲酯(</w:t>
      </w:r>
      <w:proofErr w:type="gramEnd"/>
      <w:r w:rsidRPr="00535039">
        <w:rPr>
          <w:rFonts w:hAnsi="標楷體"/>
        </w:rPr>
        <w:t>BBP</w:t>
      </w:r>
      <w:r w:rsidRPr="00535039">
        <w:rPr>
          <w:rFonts w:hAnsi="標楷體" w:hint="eastAsia"/>
        </w:rPr>
        <w:t>)</w:t>
      </w:r>
      <w:r w:rsidRPr="00535039">
        <w:rPr>
          <w:rFonts w:hAnsi="標楷體"/>
        </w:rPr>
        <w:t>4</w:t>
      </w:r>
      <w:r w:rsidRPr="00535039">
        <w:rPr>
          <w:rFonts w:hAnsi="標楷體" w:hint="eastAsia"/>
        </w:rPr>
        <w:t>項塑化劑。</w:t>
      </w:r>
    </w:p>
    <w:p w14:paraId="3DB9E51A" w14:textId="77777777" w:rsidR="000C69CB" w:rsidRPr="00535039" w:rsidRDefault="000C69CB" w:rsidP="008E5B40">
      <w:pPr>
        <w:pStyle w:val="4"/>
        <w:rPr>
          <w:rFonts w:hAnsi="標楷體"/>
        </w:rPr>
      </w:pPr>
      <w:r w:rsidRPr="00535039">
        <w:rPr>
          <w:rFonts w:hAnsi="標楷體" w:hint="eastAsia"/>
        </w:rPr>
        <w:t>增訂塑膠類一般規定中，</w:t>
      </w:r>
      <w:proofErr w:type="gramStart"/>
      <w:r w:rsidRPr="00535039">
        <w:rPr>
          <w:rFonts w:hAnsi="標楷體" w:hint="eastAsia"/>
        </w:rPr>
        <w:t>有關鄰苯</w:t>
      </w:r>
      <w:proofErr w:type="gramEnd"/>
      <w:r w:rsidRPr="00535039">
        <w:rPr>
          <w:rFonts w:hAnsi="標楷體" w:hint="eastAsia"/>
        </w:rPr>
        <w:t>二甲酸二（</w:t>
      </w:r>
      <w:r w:rsidRPr="00535039">
        <w:rPr>
          <w:rFonts w:hAnsi="標楷體"/>
        </w:rPr>
        <w:t>2-</w:t>
      </w:r>
      <w:r w:rsidRPr="00535039">
        <w:rPr>
          <w:rFonts w:hAnsi="標楷體" w:hint="eastAsia"/>
        </w:rPr>
        <w:t>乙基己基）酯（</w:t>
      </w:r>
      <w:r w:rsidRPr="00535039">
        <w:rPr>
          <w:rFonts w:hAnsi="標楷體"/>
        </w:rPr>
        <w:t>DEHP</w:t>
      </w:r>
      <w:r w:rsidRPr="00535039">
        <w:rPr>
          <w:rFonts w:hAnsi="標楷體" w:hint="eastAsia"/>
        </w:rPr>
        <w:t>）、</w:t>
      </w:r>
      <w:proofErr w:type="gramStart"/>
      <w:r w:rsidRPr="00535039">
        <w:rPr>
          <w:rFonts w:hAnsi="標楷體" w:hint="eastAsia"/>
        </w:rPr>
        <w:t>鄰苯</w:t>
      </w:r>
      <w:proofErr w:type="gramEnd"/>
      <w:r w:rsidRPr="00535039">
        <w:rPr>
          <w:rFonts w:hAnsi="標楷體" w:hint="eastAsia"/>
        </w:rPr>
        <w:t>二甲酸二</w:t>
      </w:r>
      <w:proofErr w:type="gramStart"/>
      <w:r w:rsidRPr="00535039">
        <w:rPr>
          <w:rFonts w:hAnsi="標楷體" w:hint="eastAsia"/>
        </w:rPr>
        <w:t>丁酯(</w:t>
      </w:r>
      <w:proofErr w:type="gramEnd"/>
      <w:r w:rsidRPr="00535039">
        <w:rPr>
          <w:rFonts w:hAnsi="標楷體"/>
        </w:rPr>
        <w:t>DBP</w:t>
      </w:r>
      <w:r w:rsidRPr="00535039">
        <w:rPr>
          <w:rFonts w:hAnsi="標楷體" w:hint="eastAsia"/>
        </w:rPr>
        <w:t>)、</w:t>
      </w:r>
      <w:proofErr w:type="gramStart"/>
      <w:r w:rsidRPr="00535039">
        <w:rPr>
          <w:rFonts w:hAnsi="標楷體" w:hint="eastAsia"/>
        </w:rPr>
        <w:t>鄰苯</w:t>
      </w:r>
      <w:proofErr w:type="gramEnd"/>
      <w:r w:rsidRPr="00535039">
        <w:rPr>
          <w:rFonts w:hAnsi="標楷體" w:hint="eastAsia"/>
        </w:rPr>
        <w:t>二甲</w:t>
      </w:r>
      <w:proofErr w:type="gramStart"/>
      <w:r w:rsidRPr="00535039">
        <w:rPr>
          <w:rFonts w:hAnsi="標楷體" w:hint="eastAsia"/>
        </w:rPr>
        <w:t>酸丁苯甲酯(</w:t>
      </w:r>
      <w:proofErr w:type="gramEnd"/>
      <w:r w:rsidRPr="00535039">
        <w:rPr>
          <w:rFonts w:hAnsi="標楷體"/>
        </w:rPr>
        <w:t>BBP</w:t>
      </w:r>
      <w:r w:rsidRPr="00535039">
        <w:rPr>
          <w:rFonts w:hAnsi="標楷體" w:hint="eastAsia"/>
        </w:rPr>
        <w:t>)、</w:t>
      </w:r>
      <w:proofErr w:type="gramStart"/>
      <w:r w:rsidRPr="00535039">
        <w:rPr>
          <w:rFonts w:hAnsi="標楷體" w:hint="eastAsia"/>
        </w:rPr>
        <w:t>鄰苯</w:t>
      </w:r>
      <w:proofErr w:type="gramEnd"/>
      <w:r w:rsidRPr="00535039">
        <w:rPr>
          <w:rFonts w:hAnsi="標楷體" w:hint="eastAsia"/>
        </w:rPr>
        <w:t>二甲酸二異</w:t>
      </w:r>
      <w:proofErr w:type="gramStart"/>
      <w:r w:rsidRPr="00535039">
        <w:rPr>
          <w:rFonts w:hAnsi="標楷體" w:hint="eastAsia"/>
        </w:rPr>
        <w:t>癸</w:t>
      </w:r>
      <w:proofErr w:type="gramEnd"/>
      <w:r w:rsidRPr="00535039">
        <w:rPr>
          <w:rFonts w:hAnsi="標楷體" w:hint="eastAsia"/>
        </w:rPr>
        <w:t>酯(</w:t>
      </w:r>
      <w:r w:rsidRPr="00535039">
        <w:rPr>
          <w:rFonts w:hAnsi="標楷體"/>
        </w:rPr>
        <w:t>DIDP</w:t>
      </w:r>
      <w:r w:rsidRPr="00535039">
        <w:rPr>
          <w:rFonts w:hAnsi="標楷體" w:hint="eastAsia"/>
        </w:rPr>
        <w:t>)、</w:t>
      </w:r>
      <w:proofErr w:type="gramStart"/>
      <w:r w:rsidRPr="00535039">
        <w:rPr>
          <w:rFonts w:hAnsi="標楷體" w:hint="eastAsia"/>
        </w:rPr>
        <w:t>鄰苯</w:t>
      </w:r>
      <w:proofErr w:type="gramEnd"/>
      <w:r w:rsidRPr="00535039">
        <w:rPr>
          <w:rFonts w:hAnsi="標楷體" w:hint="eastAsia"/>
        </w:rPr>
        <w:t>二甲酸二異</w:t>
      </w:r>
      <w:proofErr w:type="gramStart"/>
      <w:r w:rsidRPr="00535039">
        <w:rPr>
          <w:rFonts w:hAnsi="標楷體" w:hint="eastAsia"/>
        </w:rPr>
        <w:t>壬酯(</w:t>
      </w:r>
      <w:proofErr w:type="gramEnd"/>
      <w:r w:rsidRPr="00535039">
        <w:rPr>
          <w:rFonts w:hAnsi="標楷體"/>
        </w:rPr>
        <w:t>DINP</w:t>
      </w:r>
      <w:r w:rsidRPr="00535039">
        <w:rPr>
          <w:rFonts w:hAnsi="標楷體" w:hint="eastAsia"/>
        </w:rPr>
        <w:t>)、</w:t>
      </w:r>
      <w:proofErr w:type="gramStart"/>
      <w:r w:rsidRPr="00535039">
        <w:rPr>
          <w:rFonts w:hAnsi="標楷體" w:hint="eastAsia"/>
        </w:rPr>
        <w:t>鄰苯</w:t>
      </w:r>
      <w:proofErr w:type="gramEnd"/>
      <w:r w:rsidRPr="00535039">
        <w:rPr>
          <w:rFonts w:hAnsi="標楷體" w:hint="eastAsia"/>
        </w:rPr>
        <w:t>二甲酸二</w:t>
      </w:r>
      <w:proofErr w:type="gramStart"/>
      <w:r w:rsidRPr="00535039">
        <w:rPr>
          <w:rFonts w:hAnsi="標楷體" w:hint="eastAsia"/>
        </w:rPr>
        <w:t>甲酯(</w:t>
      </w:r>
      <w:proofErr w:type="gramEnd"/>
      <w:r w:rsidRPr="00535039">
        <w:rPr>
          <w:rFonts w:hAnsi="標楷體"/>
        </w:rPr>
        <w:t>DMP</w:t>
      </w:r>
      <w:r w:rsidRPr="00535039">
        <w:rPr>
          <w:rFonts w:hAnsi="標楷體" w:hint="eastAsia"/>
        </w:rPr>
        <w:t>)、</w:t>
      </w:r>
      <w:proofErr w:type="gramStart"/>
      <w:r w:rsidRPr="00535039">
        <w:rPr>
          <w:rFonts w:hAnsi="標楷體" w:hint="eastAsia"/>
        </w:rPr>
        <w:t>鄰苯</w:t>
      </w:r>
      <w:proofErr w:type="gramEnd"/>
      <w:r w:rsidRPr="00535039">
        <w:rPr>
          <w:rFonts w:hAnsi="標楷體" w:hint="eastAsia"/>
        </w:rPr>
        <w:t>二甲酸二正</w:t>
      </w:r>
      <w:proofErr w:type="gramStart"/>
      <w:r w:rsidRPr="00535039">
        <w:rPr>
          <w:rFonts w:hAnsi="標楷體" w:hint="eastAsia"/>
        </w:rPr>
        <w:t>辛酯(</w:t>
      </w:r>
      <w:proofErr w:type="gramEnd"/>
      <w:r w:rsidRPr="00535039">
        <w:rPr>
          <w:rFonts w:hAnsi="標楷體"/>
        </w:rPr>
        <w:t>DNOP</w:t>
      </w:r>
      <w:r w:rsidRPr="00535039">
        <w:rPr>
          <w:rFonts w:hAnsi="標楷體" w:hint="eastAsia"/>
        </w:rPr>
        <w:t>)、</w:t>
      </w:r>
      <w:proofErr w:type="gramStart"/>
      <w:r w:rsidRPr="00535039">
        <w:rPr>
          <w:rFonts w:hAnsi="標楷體" w:hint="eastAsia"/>
        </w:rPr>
        <w:t>鄰苯</w:t>
      </w:r>
      <w:proofErr w:type="gramEnd"/>
      <w:r w:rsidRPr="00535039">
        <w:rPr>
          <w:rFonts w:hAnsi="標楷體" w:hint="eastAsia"/>
        </w:rPr>
        <w:t>二甲酸二乙酯(</w:t>
      </w:r>
      <w:r w:rsidRPr="00535039">
        <w:rPr>
          <w:rFonts w:hAnsi="標楷體"/>
        </w:rPr>
        <w:t>DEP</w:t>
      </w:r>
      <w:r w:rsidRPr="00535039">
        <w:rPr>
          <w:rFonts w:hAnsi="標楷體" w:hint="eastAsia"/>
        </w:rPr>
        <w:t>)</w:t>
      </w:r>
      <w:r w:rsidRPr="00535039">
        <w:rPr>
          <w:rFonts w:hAnsi="標楷體"/>
        </w:rPr>
        <w:t>8</w:t>
      </w:r>
      <w:r w:rsidRPr="00535039">
        <w:rPr>
          <w:rFonts w:hAnsi="標楷體" w:hint="eastAsia"/>
        </w:rPr>
        <w:t>項塑化劑之材質試驗規定。</w:t>
      </w:r>
    </w:p>
    <w:p w14:paraId="1F96F0E3" w14:textId="77777777" w:rsidR="000C69CB" w:rsidRPr="00535039" w:rsidRDefault="000C69CB" w:rsidP="008E5B40">
      <w:pPr>
        <w:pStyle w:val="4"/>
        <w:rPr>
          <w:rFonts w:hAnsi="標楷體"/>
        </w:rPr>
      </w:pPr>
      <w:proofErr w:type="gramStart"/>
      <w:r w:rsidRPr="00535039">
        <w:rPr>
          <w:rFonts w:hAnsi="標楷體" w:hint="eastAsia"/>
        </w:rPr>
        <w:t>增訂鄰苯</w:t>
      </w:r>
      <w:proofErr w:type="gramEnd"/>
      <w:r w:rsidRPr="00535039">
        <w:rPr>
          <w:rFonts w:hAnsi="標楷體" w:hint="eastAsia"/>
        </w:rPr>
        <w:t>二甲</w:t>
      </w:r>
      <w:proofErr w:type="gramStart"/>
      <w:r w:rsidRPr="00535039">
        <w:rPr>
          <w:rFonts w:hAnsi="標楷體" w:hint="eastAsia"/>
        </w:rPr>
        <w:t>酸丁苯甲酯(</w:t>
      </w:r>
      <w:proofErr w:type="gramEnd"/>
      <w:r w:rsidRPr="00535039">
        <w:rPr>
          <w:rFonts w:hAnsi="標楷體"/>
        </w:rPr>
        <w:t>BBP</w:t>
      </w:r>
      <w:r w:rsidRPr="00535039">
        <w:rPr>
          <w:rFonts w:hAnsi="標楷體" w:hint="eastAsia"/>
        </w:rPr>
        <w:t>)、</w:t>
      </w:r>
      <w:proofErr w:type="gramStart"/>
      <w:r w:rsidRPr="00535039">
        <w:rPr>
          <w:rFonts w:hAnsi="標楷體" w:hint="eastAsia"/>
        </w:rPr>
        <w:t>鄰苯</w:t>
      </w:r>
      <w:proofErr w:type="gramEnd"/>
      <w:r w:rsidRPr="00535039">
        <w:rPr>
          <w:rFonts w:hAnsi="標楷體" w:hint="eastAsia"/>
        </w:rPr>
        <w:t>二甲酸二異</w:t>
      </w:r>
      <w:proofErr w:type="gramStart"/>
      <w:r w:rsidRPr="00535039">
        <w:rPr>
          <w:rFonts w:hAnsi="標楷體" w:hint="eastAsia"/>
        </w:rPr>
        <w:t>癸</w:t>
      </w:r>
      <w:proofErr w:type="gramEnd"/>
      <w:r w:rsidRPr="00535039">
        <w:rPr>
          <w:rFonts w:hAnsi="標楷體" w:hint="eastAsia"/>
        </w:rPr>
        <w:t>酯(</w:t>
      </w:r>
      <w:r w:rsidRPr="00535039">
        <w:rPr>
          <w:rFonts w:hAnsi="標楷體"/>
        </w:rPr>
        <w:t>DIDP</w:t>
      </w:r>
      <w:r w:rsidRPr="00535039">
        <w:rPr>
          <w:rFonts w:hAnsi="標楷體" w:hint="eastAsia"/>
        </w:rPr>
        <w:t>)、</w:t>
      </w:r>
      <w:proofErr w:type="gramStart"/>
      <w:r w:rsidRPr="00535039">
        <w:rPr>
          <w:rFonts w:hAnsi="標楷體" w:hint="eastAsia"/>
        </w:rPr>
        <w:t>鄰苯</w:t>
      </w:r>
      <w:proofErr w:type="gramEnd"/>
      <w:r w:rsidRPr="00535039">
        <w:rPr>
          <w:rFonts w:hAnsi="標楷體" w:hint="eastAsia"/>
        </w:rPr>
        <w:t>二甲酸二異</w:t>
      </w:r>
      <w:proofErr w:type="gramStart"/>
      <w:r w:rsidRPr="00535039">
        <w:rPr>
          <w:rFonts w:hAnsi="標楷體" w:hint="eastAsia"/>
        </w:rPr>
        <w:t>壬酯(</w:t>
      </w:r>
      <w:proofErr w:type="gramEnd"/>
      <w:r w:rsidRPr="00535039">
        <w:rPr>
          <w:rFonts w:hAnsi="標楷體"/>
        </w:rPr>
        <w:t>DINP</w:t>
      </w:r>
      <w:r w:rsidRPr="00535039">
        <w:rPr>
          <w:rFonts w:hAnsi="標楷體" w:hint="eastAsia"/>
        </w:rPr>
        <w:t>)、己二酸二</w:t>
      </w:r>
      <w:proofErr w:type="gramStart"/>
      <w:r w:rsidRPr="00535039">
        <w:rPr>
          <w:rFonts w:hAnsi="標楷體" w:hint="eastAsia"/>
        </w:rPr>
        <w:t>辛酯(</w:t>
      </w:r>
      <w:proofErr w:type="gramEnd"/>
      <w:r w:rsidRPr="00535039">
        <w:rPr>
          <w:rFonts w:hAnsi="標楷體"/>
        </w:rPr>
        <w:t>DEHA</w:t>
      </w:r>
      <w:r w:rsidRPr="00535039">
        <w:rPr>
          <w:rFonts w:hAnsi="標楷體" w:hint="eastAsia"/>
        </w:rPr>
        <w:t>)</w:t>
      </w:r>
      <w:r w:rsidRPr="00535039">
        <w:rPr>
          <w:rFonts w:hAnsi="標楷體"/>
        </w:rPr>
        <w:t>4</w:t>
      </w:r>
      <w:r w:rsidRPr="00535039">
        <w:rPr>
          <w:rFonts w:hAnsi="標楷體" w:hint="eastAsia"/>
        </w:rPr>
        <w:t>項</w:t>
      </w:r>
      <w:proofErr w:type="gramStart"/>
      <w:r w:rsidRPr="00535039">
        <w:rPr>
          <w:rFonts w:hAnsi="標楷體" w:hint="eastAsia"/>
        </w:rPr>
        <w:t>塑化劑之溶出</w:t>
      </w:r>
      <w:proofErr w:type="gramEnd"/>
      <w:r w:rsidRPr="00535039">
        <w:rPr>
          <w:rFonts w:hAnsi="標楷體" w:hint="eastAsia"/>
        </w:rPr>
        <w:t>試驗規定。</w:t>
      </w:r>
    </w:p>
    <w:p w14:paraId="7CA3F127" w14:textId="77777777" w:rsidR="000C69CB" w:rsidRPr="00535039" w:rsidRDefault="000C69CB" w:rsidP="008E5B40">
      <w:pPr>
        <w:pStyle w:val="4"/>
        <w:rPr>
          <w:rFonts w:hAnsi="標楷體"/>
        </w:rPr>
      </w:pPr>
      <w:r w:rsidRPr="00535039">
        <w:rPr>
          <w:rFonts w:hAnsi="標楷體" w:hint="eastAsia"/>
        </w:rPr>
        <w:t>針對聚氯乙烯（</w:t>
      </w:r>
      <w:r w:rsidRPr="00535039">
        <w:rPr>
          <w:rFonts w:hAnsi="標楷體"/>
        </w:rPr>
        <w:t>PVC</w:t>
      </w:r>
      <w:r w:rsidRPr="00535039">
        <w:rPr>
          <w:rFonts w:hAnsi="標楷體" w:hint="eastAsia"/>
        </w:rPr>
        <w:t>）材質塑膠，比照一般塑膠類材質</w:t>
      </w:r>
      <w:proofErr w:type="gramStart"/>
      <w:r w:rsidRPr="00535039">
        <w:rPr>
          <w:rFonts w:hAnsi="標楷體" w:hint="eastAsia"/>
        </w:rPr>
        <w:t>增訂鄰苯</w:t>
      </w:r>
      <w:proofErr w:type="gramEnd"/>
      <w:r w:rsidRPr="00535039">
        <w:rPr>
          <w:rFonts w:hAnsi="標楷體" w:hint="eastAsia"/>
        </w:rPr>
        <w:t>二甲酸二（</w:t>
      </w:r>
      <w:r w:rsidRPr="00535039">
        <w:rPr>
          <w:rFonts w:hAnsi="標楷體"/>
        </w:rPr>
        <w:t>2-</w:t>
      </w:r>
      <w:r w:rsidRPr="00535039">
        <w:rPr>
          <w:rFonts w:hAnsi="標楷體" w:hint="eastAsia"/>
        </w:rPr>
        <w:t>乙基己基）酯（</w:t>
      </w:r>
      <w:r w:rsidRPr="00535039">
        <w:rPr>
          <w:rFonts w:hAnsi="標楷體"/>
        </w:rPr>
        <w:t>DEHP</w:t>
      </w:r>
      <w:r w:rsidRPr="00535039">
        <w:rPr>
          <w:rFonts w:hAnsi="標楷體" w:hint="eastAsia"/>
        </w:rPr>
        <w:t>）等</w:t>
      </w:r>
      <w:r w:rsidRPr="00535039">
        <w:rPr>
          <w:rFonts w:hAnsi="標楷體"/>
        </w:rPr>
        <w:t>8</w:t>
      </w:r>
      <w:r w:rsidRPr="00535039">
        <w:rPr>
          <w:rFonts w:hAnsi="標楷體" w:hint="eastAsia"/>
        </w:rPr>
        <w:t>項塑化劑，</w:t>
      </w:r>
      <w:proofErr w:type="gramStart"/>
      <w:r w:rsidRPr="00535039">
        <w:rPr>
          <w:rFonts w:hAnsi="標楷體" w:hint="eastAsia"/>
        </w:rPr>
        <w:t>研</w:t>
      </w:r>
      <w:proofErr w:type="gramEnd"/>
      <w:r w:rsidRPr="00535039">
        <w:rPr>
          <w:rFonts w:hAnsi="標楷體" w:hint="eastAsia"/>
        </w:rPr>
        <w:t>訂更為嚴格之材質試驗限量規定，含量總和不得超過0.1%。</w:t>
      </w:r>
    </w:p>
    <w:p w14:paraId="38676A51" w14:textId="77777777" w:rsidR="000C69CB" w:rsidRPr="00535039" w:rsidRDefault="000C69CB" w:rsidP="000C69CB">
      <w:pPr>
        <w:pStyle w:val="3"/>
        <w:numPr>
          <w:ilvl w:val="2"/>
          <w:numId w:val="1"/>
        </w:numPr>
        <w:ind w:left="1361"/>
        <w:rPr>
          <w:rFonts w:hAnsi="標楷體"/>
        </w:rPr>
      </w:pPr>
      <w:r w:rsidRPr="00535039">
        <w:rPr>
          <w:rFonts w:hAnsi="標楷體" w:hint="eastAsia"/>
        </w:rPr>
        <w:t>有關國際主要先進國家對於食品</w:t>
      </w:r>
      <w:r w:rsidRPr="00535039">
        <w:rPr>
          <w:rFonts w:hAnsi="標楷體"/>
        </w:rPr>
        <w:t>器具容器包裝</w:t>
      </w:r>
      <w:r w:rsidRPr="00535039">
        <w:rPr>
          <w:rFonts w:hAnsi="標楷體" w:hint="eastAsia"/>
        </w:rPr>
        <w:t>之塑化劑限量管制規範，</w:t>
      </w:r>
      <w:proofErr w:type="gramStart"/>
      <w:r w:rsidRPr="00535039">
        <w:rPr>
          <w:rFonts w:hAnsi="標楷體" w:hint="eastAsia"/>
        </w:rPr>
        <w:t>據食藥署</w:t>
      </w:r>
      <w:proofErr w:type="gramEnd"/>
      <w:r w:rsidRPr="00535039">
        <w:rPr>
          <w:rFonts w:hAnsi="標楷體" w:hint="eastAsia"/>
        </w:rPr>
        <w:t>查復如下：</w:t>
      </w:r>
    </w:p>
    <w:p w14:paraId="726676B8" w14:textId="77777777" w:rsidR="000C69CB" w:rsidRPr="00535039" w:rsidRDefault="000C69CB" w:rsidP="008E5B40">
      <w:pPr>
        <w:pStyle w:val="4"/>
        <w:rPr>
          <w:rFonts w:hAnsi="標楷體"/>
        </w:rPr>
      </w:pPr>
      <w:r w:rsidRPr="00535039">
        <w:rPr>
          <w:rFonts w:hAnsi="標楷體" w:hint="eastAsia"/>
        </w:rPr>
        <w:t>歐盟：</w:t>
      </w:r>
    </w:p>
    <w:p w14:paraId="5FE5741E" w14:textId="35EA9296" w:rsidR="000C69CB" w:rsidRPr="00535039" w:rsidRDefault="000C69CB" w:rsidP="0031349E">
      <w:pPr>
        <w:pStyle w:val="42"/>
        <w:ind w:left="1701" w:firstLine="680"/>
        <w:rPr>
          <w:rFonts w:hAnsi="標楷體"/>
        </w:rPr>
      </w:pPr>
      <w:r w:rsidRPr="00535039">
        <w:rPr>
          <w:rFonts w:hAnsi="標楷體" w:hint="eastAsia"/>
        </w:rPr>
        <w:t>與食品接觸的塑膠材料和物品條例</w:t>
      </w:r>
      <w:r w:rsidRPr="00535039">
        <w:rPr>
          <w:rFonts w:hAnsi="標楷體"/>
        </w:rPr>
        <w:t>(EU No 10/2011)</w:t>
      </w:r>
      <w:r w:rsidRPr="00535039">
        <w:rPr>
          <w:rFonts w:hAnsi="標楷體" w:hint="eastAsia"/>
        </w:rPr>
        <w:t>於2023年以</w:t>
      </w:r>
      <w:r w:rsidRPr="00535039">
        <w:rPr>
          <w:rFonts w:hAnsi="標楷體"/>
        </w:rPr>
        <w:t>(EU)2023/1442</w:t>
      </w:r>
      <w:r w:rsidRPr="00535039">
        <w:rPr>
          <w:rStyle w:val="afe"/>
          <w:rFonts w:hAnsi="標楷體"/>
        </w:rPr>
        <w:footnoteReference w:id="29"/>
      </w:r>
      <w:r w:rsidRPr="00535039">
        <w:rPr>
          <w:rFonts w:hAnsi="標楷體" w:hint="eastAsia"/>
        </w:rPr>
        <w:t>重新評估，並修正公布塑化劑管制規範</w:t>
      </w:r>
      <w:r w:rsidR="0055587B" w:rsidRPr="00535039">
        <w:rPr>
          <w:rFonts w:hAnsi="標楷體" w:hint="eastAsia"/>
        </w:rPr>
        <w:t>；</w:t>
      </w:r>
      <w:proofErr w:type="gramStart"/>
      <w:r w:rsidRPr="00535039">
        <w:rPr>
          <w:rFonts w:hAnsi="標楷體" w:hint="eastAsia"/>
          <w:szCs w:val="32"/>
        </w:rPr>
        <w:t>鄰苯</w:t>
      </w:r>
      <w:proofErr w:type="gramEnd"/>
      <w:r w:rsidRPr="00535039">
        <w:rPr>
          <w:rFonts w:hAnsi="標楷體" w:hint="eastAsia"/>
          <w:szCs w:val="32"/>
        </w:rPr>
        <w:t>二甲酸二（</w:t>
      </w:r>
      <w:r w:rsidRPr="00535039">
        <w:rPr>
          <w:rFonts w:hAnsi="標楷體"/>
          <w:szCs w:val="32"/>
        </w:rPr>
        <w:t>2-</w:t>
      </w:r>
      <w:r w:rsidRPr="00535039">
        <w:rPr>
          <w:rFonts w:hAnsi="標楷體" w:hint="eastAsia"/>
          <w:szCs w:val="32"/>
        </w:rPr>
        <w:t>乙基己基）酯（</w:t>
      </w:r>
      <w:r w:rsidRPr="00535039">
        <w:rPr>
          <w:rFonts w:hAnsi="標楷體"/>
          <w:szCs w:val="32"/>
        </w:rPr>
        <w:t>DEHP</w:t>
      </w:r>
      <w:r w:rsidRPr="00535039">
        <w:rPr>
          <w:rFonts w:hAnsi="標楷體" w:hint="eastAsia"/>
          <w:szCs w:val="32"/>
        </w:rPr>
        <w:t>）等7</w:t>
      </w:r>
      <w:r w:rsidRPr="00535039">
        <w:rPr>
          <w:rFonts w:hAnsi="標楷體" w:hint="eastAsia"/>
        </w:rPr>
        <w:t>項</w:t>
      </w:r>
      <w:r w:rsidRPr="00535039">
        <w:rPr>
          <w:rFonts w:hAnsi="標楷體" w:hint="eastAsia"/>
          <w:szCs w:val="32"/>
        </w:rPr>
        <w:t>塑化劑中，僅</w:t>
      </w:r>
      <w:r w:rsidRPr="00535039">
        <w:rPr>
          <w:rFonts w:hAnsi="標楷體"/>
          <w:szCs w:val="32"/>
        </w:rPr>
        <w:t>DEHP</w:t>
      </w:r>
      <w:r w:rsidRPr="00535039">
        <w:rPr>
          <w:rFonts w:hAnsi="標楷體"/>
        </w:rPr>
        <w:t>個別物質</w:t>
      </w:r>
      <w:r w:rsidRPr="00535039">
        <w:rPr>
          <w:rFonts w:hAnsi="標楷體" w:hint="eastAsia"/>
          <w:szCs w:val="32"/>
        </w:rPr>
        <w:t>之</w:t>
      </w:r>
      <w:r w:rsidRPr="00535039">
        <w:rPr>
          <w:rFonts w:hAnsi="標楷體"/>
        </w:rPr>
        <w:t>遷移限量</w:t>
      </w:r>
      <w:r w:rsidRPr="00535039">
        <w:rPr>
          <w:rFonts w:hAnsi="標楷體" w:hint="eastAsia"/>
        </w:rPr>
        <w:t>(</w:t>
      </w:r>
      <w:r w:rsidRPr="00535039">
        <w:rPr>
          <w:rFonts w:hAnsi="標楷體"/>
        </w:rPr>
        <w:t>SM</w:t>
      </w:r>
      <w:r w:rsidRPr="00535039">
        <w:rPr>
          <w:rFonts w:hAnsi="標楷體" w:hint="eastAsia"/>
        </w:rPr>
        <w:t>L)或</w:t>
      </w:r>
      <w:r w:rsidRPr="00535039">
        <w:rPr>
          <w:rFonts w:hAnsi="標楷體"/>
        </w:rPr>
        <w:t>指定物質總和之遷移</w:t>
      </w:r>
      <w:r w:rsidRPr="00535039">
        <w:rPr>
          <w:rFonts w:hAnsi="標楷體"/>
        </w:rPr>
        <w:lastRenderedPageBreak/>
        <w:t>限量</w:t>
      </w:r>
      <w:r w:rsidRPr="00535039">
        <w:rPr>
          <w:rFonts w:hAnsi="標楷體" w:hint="eastAsia"/>
        </w:rPr>
        <w:t>【</w:t>
      </w:r>
      <w:r w:rsidRPr="00535039">
        <w:rPr>
          <w:rFonts w:hAnsi="標楷體"/>
        </w:rPr>
        <w:t>SML(T)</w:t>
      </w:r>
      <w:r w:rsidRPr="00535039">
        <w:rPr>
          <w:rFonts w:hAnsi="標楷體" w:hint="eastAsia"/>
        </w:rPr>
        <w:t>】未有調整，</w:t>
      </w:r>
      <w:proofErr w:type="gramStart"/>
      <w:r w:rsidRPr="00535039">
        <w:rPr>
          <w:rFonts w:hAnsi="標楷體" w:hint="eastAsia"/>
        </w:rPr>
        <w:t>其他</w:t>
      </w:r>
      <w:r w:rsidRPr="00535039">
        <w:rPr>
          <w:rFonts w:hAnsi="標楷體" w:hint="eastAsia"/>
          <w:szCs w:val="32"/>
        </w:rPr>
        <w:t>鄰苯</w:t>
      </w:r>
      <w:proofErr w:type="gramEnd"/>
      <w:r w:rsidRPr="00535039">
        <w:rPr>
          <w:rFonts w:hAnsi="標楷體" w:hint="eastAsia"/>
        </w:rPr>
        <w:t>二甲酸二</w:t>
      </w:r>
      <w:proofErr w:type="gramStart"/>
      <w:r w:rsidRPr="00535039">
        <w:rPr>
          <w:rFonts w:hAnsi="標楷體" w:hint="eastAsia"/>
        </w:rPr>
        <w:t>丁酯(</w:t>
      </w:r>
      <w:proofErr w:type="gramEnd"/>
      <w:r w:rsidRPr="00535039">
        <w:rPr>
          <w:rFonts w:hAnsi="標楷體"/>
        </w:rPr>
        <w:t>DBP</w:t>
      </w:r>
      <w:r w:rsidRPr="00535039">
        <w:rPr>
          <w:rFonts w:hAnsi="標楷體" w:hint="eastAsia"/>
        </w:rPr>
        <w:t>)等6項塑化劑之遷移</w:t>
      </w:r>
      <w:proofErr w:type="gramStart"/>
      <w:r w:rsidRPr="00535039">
        <w:rPr>
          <w:rFonts w:hAnsi="標楷體" w:hint="eastAsia"/>
        </w:rPr>
        <w:t>限量均下修</w:t>
      </w:r>
      <w:proofErr w:type="gramEnd"/>
      <w:r w:rsidRPr="00535039">
        <w:rPr>
          <w:rFonts w:hAnsi="標楷體" w:hint="eastAsia"/>
        </w:rPr>
        <w:t>(</w:t>
      </w:r>
      <w:proofErr w:type="gramStart"/>
      <w:r w:rsidRPr="00535039">
        <w:rPr>
          <w:rFonts w:hAnsi="標楷體" w:hint="eastAsia"/>
        </w:rPr>
        <w:t>詳表</w:t>
      </w:r>
      <w:proofErr w:type="gramEnd"/>
      <w:r w:rsidR="00A57236">
        <w:rPr>
          <w:rFonts w:hAnsi="標楷體" w:hint="eastAsia"/>
        </w:rPr>
        <w:t>1</w:t>
      </w:r>
      <w:r w:rsidRPr="00535039">
        <w:rPr>
          <w:rFonts w:hAnsi="標楷體" w:hint="eastAsia"/>
        </w:rPr>
        <w:t>)；理由</w:t>
      </w:r>
      <w:r w:rsidRPr="00535039">
        <w:rPr>
          <w:rFonts w:hAnsi="標楷體"/>
        </w:rPr>
        <w:t>係因應歐盟</w:t>
      </w:r>
      <w:r w:rsidRPr="00535039">
        <w:rPr>
          <w:rFonts w:hAnsi="標楷體" w:hint="eastAsia"/>
        </w:rPr>
        <w:t>於2019年</w:t>
      </w:r>
      <w:r w:rsidRPr="00535039">
        <w:rPr>
          <w:rFonts w:hAnsi="標楷體"/>
        </w:rPr>
        <w:t>修正暫定(temporary)每日</w:t>
      </w:r>
      <w:proofErr w:type="gramStart"/>
      <w:r w:rsidRPr="00535039">
        <w:rPr>
          <w:rFonts w:hAnsi="標楷體"/>
        </w:rPr>
        <w:t>耐受量</w:t>
      </w:r>
      <w:proofErr w:type="gramEnd"/>
      <w:r w:rsidRPr="00535039">
        <w:rPr>
          <w:rFonts w:hAnsi="標楷體"/>
        </w:rPr>
        <w:t>(</w:t>
      </w:r>
      <w:r w:rsidRPr="00535039">
        <w:rPr>
          <w:rFonts w:hAnsi="標楷體" w:hint="eastAsia"/>
        </w:rPr>
        <w:t>下稱</w:t>
      </w:r>
      <w:r w:rsidRPr="00535039">
        <w:rPr>
          <w:rFonts w:hAnsi="標楷體"/>
        </w:rPr>
        <w:t>t-TDI)，</w:t>
      </w:r>
      <w:proofErr w:type="gramStart"/>
      <w:r w:rsidRPr="00535039">
        <w:rPr>
          <w:rFonts w:hAnsi="標楷體"/>
        </w:rPr>
        <w:t>將</w:t>
      </w:r>
      <w:r w:rsidRPr="00535039">
        <w:rPr>
          <w:rFonts w:hAnsi="標楷體" w:hint="eastAsia"/>
          <w:szCs w:val="32"/>
        </w:rPr>
        <w:t>鄰苯</w:t>
      </w:r>
      <w:proofErr w:type="gramEnd"/>
      <w:r w:rsidRPr="00535039">
        <w:rPr>
          <w:rFonts w:hAnsi="標楷體" w:hint="eastAsia"/>
        </w:rPr>
        <w:t>二甲酸二</w:t>
      </w:r>
      <w:proofErr w:type="gramStart"/>
      <w:r w:rsidRPr="00535039">
        <w:rPr>
          <w:rFonts w:hAnsi="標楷體" w:hint="eastAsia"/>
        </w:rPr>
        <w:t>丁酯(</w:t>
      </w:r>
      <w:proofErr w:type="gramEnd"/>
      <w:r w:rsidRPr="00535039">
        <w:rPr>
          <w:rFonts w:hAnsi="標楷體"/>
        </w:rPr>
        <w:t>DBP</w:t>
      </w:r>
      <w:r w:rsidRPr="00535039">
        <w:rPr>
          <w:rFonts w:hAnsi="標楷體" w:hint="eastAsia"/>
        </w:rPr>
        <w:t>)</w:t>
      </w:r>
      <w:r w:rsidRPr="00535039">
        <w:rPr>
          <w:rFonts w:hAnsi="標楷體"/>
        </w:rPr>
        <w:t>、</w:t>
      </w:r>
      <w:proofErr w:type="gramStart"/>
      <w:r w:rsidRPr="00535039">
        <w:rPr>
          <w:rFonts w:hAnsi="標楷體" w:hint="eastAsia"/>
          <w:szCs w:val="32"/>
        </w:rPr>
        <w:t>鄰苯</w:t>
      </w:r>
      <w:proofErr w:type="gramEnd"/>
      <w:r w:rsidRPr="00535039">
        <w:rPr>
          <w:rFonts w:hAnsi="標楷體" w:hint="eastAsia"/>
        </w:rPr>
        <w:t>二甲</w:t>
      </w:r>
      <w:proofErr w:type="gramStart"/>
      <w:r w:rsidRPr="00535039">
        <w:rPr>
          <w:rFonts w:hAnsi="標楷體" w:hint="eastAsia"/>
        </w:rPr>
        <w:t>酸丁苯甲酯(</w:t>
      </w:r>
      <w:proofErr w:type="gramEnd"/>
      <w:r w:rsidRPr="00535039">
        <w:rPr>
          <w:rFonts w:hAnsi="標楷體"/>
        </w:rPr>
        <w:t>BBP</w:t>
      </w:r>
      <w:r w:rsidRPr="00535039">
        <w:rPr>
          <w:rFonts w:hAnsi="標楷體" w:hint="eastAsia"/>
        </w:rPr>
        <w:t>)</w:t>
      </w:r>
      <w:r w:rsidRPr="00535039">
        <w:rPr>
          <w:rFonts w:hAnsi="標楷體"/>
        </w:rPr>
        <w:t>、</w:t>
      </w:r>
      <w:r w:rsidRPr="00535039">
        <w:rPr>
          <w:rFonts w:hAnsi="標楷體" w:hint="eastAsia"/>
          <w:szCs w:val="32"/>
        </w:rPr>
        <w:t>苯二甲酸二（</w:t>
      </w:r>
      <w:r w:rsidRPr="00535039">
        <w:rPr>
          <w:rFonts w:hAnsi="標楷體"/>
          <w:szCs w:val="32"/>
        </w:rPr>
        <w:t>2-</w:t>
      </w:r>
      <w:r w:rsidRPr="00535039">
        <w:rPr>
          <w:rFonts w:hAnsi="標楷體" w:hint="eastAsia"/>
          <w:szCs w:val="32"/>
        </w:rPr>
        <w:t>乙基己基）酯（</w:t>
      </w:r>
      <w:r w:rsidRPr="00535039">
        <w:rPr>
          <w:rFonts w:hAnsi="標楷體"/>
          <w:szCs w:val="32"/>
        </w:rPr>
        <w:t>DEHP</w:t>
      </w:r>
      <w:r w:rsidRPr="00535039">
        <w:rPr>
          <w:rFonts w:hAnsi="標楷體" w:hint="eastAsia"/>
          <w:szCs w:val="32"/>
        </w:rPr>
        <w:t>）</w:t>
      </w:r>
      <w:proofErr w:type="gramStart"/>
      <w:r w:rsidRPr="00535039">
        <w:rPr>
          <w:rFonts w:hAnsi="標楷體"/>
        </w:rPr>
        <w:t>及</w:t>
      </w:r>
      <w:r w:rsidRPr="00535039">
        <w:rPr>
          <w:rFonts w:hAnsi="標楷體" w:hint="eastAsia"/>
        </w:rPr>
        <w:t>鄰苯</w:t>
      </w:r>
      <w:proofErr w:type="gramEnd"/>
      <w:r w:rsidRPr="00535039">
        <w:rPr>
          <w:rFonts w:hAnsi="標楷體" w:hint="eastAsia"/>
        </w:rPr>
        <w:t>二甲酸二異</w:t>
      </w:r>
      <w:proofErr w:type="gramStart"/>
      <w:r w:rsidRPr="00535039">
        <w:rPr>
          <w:rFonts w:hAnsi="標楷體" w:hint="eastAsia"/>
        </w:rPr>
        <w:t>壬酯(</w:t>
      </w:r>
      <w:proofErr w:type="gramEnd"/>
      <w:r w:rsidRPr="00535039">
        <w:rPr>
          <w:rFonts w:hAnsi="標楷體"/>
        </w:rPr>
        <w:t>DINP</w:t>
      </w:r>
      <w:r w:rsidRPr="00535039">
        <w:rPr>
          <w:rFonts w:hAnsi="標楷體" w:hint="eastAsia"/>
        </w:rPr>
        <w:t>)</w:t>
      </w:r>
      <w:r w:rsidRPr="00535039">
        <w:rPr>
          <w:rFonts w:hAnsi="標楷體"/>
        </w:rPr>
        <w:t>+</w:t>
      </w:r>
      <w:proofErr w:type="gramStart"/>
      <w:r w:rsidRPr="00535039">
        <w:rPr>
          <w:rFonts w:hAnsi="標楷體" w:hint="eastAsia"/>
        </w:rPr>
        <w:t>鄰苯</w:t>
      </w:r>
      <w:proofErr w:type="gramEnd"/>
      <w:r w:rsidRPr="00535039">
        <w:rPr>
          <w:rFonts w:hAnsi="標楷體" w:hint="eastAsia"/>
        </w:rPr>
        <w:t>二甲酸二異</w:t>
      </w:r>
      <w:proofErr w:type="gramStart"/>
      <w:r w:rsidRPr="00535039">
        <w:rPr>
          <w:rFonts w:hAnsi="標楷體" w:hint="eastAsia"/>
        </w:rPr>
        <w:t>癸</w:t>
      </w:r>
      <w:proofErr w:type="gramEnd"/>
      <w:r w:rsidRPr="00535039">
        <w:rPr>
          <w:rFonts w:hAnsi="標楷體" w:hint="eastAsia"/>
        </w:rPr>
        <w:t>酯(</w:t>
      </w:r>
      <w:r w:rsidRPr="00535039">
        <w:rPr>
          <w:rFonts w:hAnsi="標楷體"/>
        </w:rPr>
        <w:t>DIDP</w:t>
      </w:r>
      <w:r w:rsidRPr="00535039">
        <w:rPr>
          <w:rFonts w:hAnsi="標楷體" w:hint="eastAsia"/>
        </w:rPr>
        <w:t>)</w:t>
      </w:r>
      <w:r w:rsidRPr="00535039">
        <w:rPr>
          <w:rFonts w:hAnsi="標楷體"/>
        </w:rPr>
        <w:t>之t-TDI皆下修為0.05 mg/kg</w:t>
      </w:r>
      <w:r w:rsidRPr="00535039">
        <w:rPr>
          <w:rStyle w:val="afe"/>
          <w:rFonts w:hAnsi="標楷體"/>
        </w:rPr>
        <w:footnoteReference w:id="30"/>
      </w:r>
      <w:r w:rsidRPr="00535039">
        <w:rPr>
          <w:rFonts w:hAnsi="標楷體" w:hint="eastAsia"/>
        </w:rPr>
        <w:t>。</w:t>
      </w:r>
    </w:p>
    <w:p w14:paraId="00A485BC" w14:textId="77777777" w:rsidR="000C69CB" w:rsidRPr="00535039" w:rsidRDefault="000C69CB" w:rsidP="0055587B">
      <w:pPr>
        <w:pStyle w:val="a3"/>
        <w:ind w:left="480" w:firstLine="2355"/>
        <w:rPr>
          <w:rFonts w:hAnsi="標楷體"/>
        </w:rPr>
      </w:pPr>
      <w:r w:rsidRPr="00535039">
        <w:rPr>
          <w:rFonts w:hAnsi="標楷體" w:hint="eastAsia"/>
        </w:rPr>
        <w:t>歐盟2023年修正公布塑化劑管制規範</w:t>
      </w:r>
    </w:p>
    <w:p w14:paraId="42AB20D0" w14:textId="69149A61" w:rsidR="000C69CB" w:rsidRPr="00535039" w:rsidRDefault="000C69CB" w:rsidP="0031349E">
      <w:pPr>
        <w:jc w:val="right"/>
        <w:rPr>
          <w:rFonts w:hAnsi="標楷體"/>
          <w:sz w:val="24"/>
          <w:szCs w:val="24"/>
        </w:rPr>
      </w:pPr>
      <w:r w:rsidRPr="00535039">
        <w:rPr>
          <w:rFonts w:hAnsi="標楷體"/>
          <w:sz w:val="24"/>
          <w:szCs w:val="24"/>
        </w:rPr>
        <w:t>單位:</w:t>
      </w:r>
      <w:r w:rsidR="00344843" w:rsidRPr="00535039">
        <w:rPr>
          <w:rFonts w:hAnsi="標楷體" w:hint="eastAsia"/>
          <w:sz w:val="24"/>
          <w:szCs w:val="24"/>
        </w:rPr>
        <w:t>mg</w:t>
      </w:r>
      <w:r w:rsidRPr="00535039">
        <w:rPr>
          <w:rFonts w:hAnsi="標楷體" w:hint="eastAsia"/>
          <w:sz w:val="24"/>
          <w:szCs w:val="24"/>
        </w:rPr>
        <w:t>/</w:t>
      </w:r>
      <w:r w:rsidR="00344843" w:rsidRPr="00535039">
        <w:rPr>
          <w:rFonts w:hAnsi="標楷體" w:hint="eastAsia"/>
          <w:sz w:val="24"/>
          <w:szCs w:val="24"/>
        </w:rPr>
        <w:t>kg</w:t>
      </w:r>
    </w:p>
    <w:tbl>
      <w:tblPr>
        <w:tblStyle w:val="af6"/>
        <w:tblW w:w="7585" w:type="dxa"/>
        <w:jc w:val="right"/>
        <w:tblLook w:val="04A0" w:firstRow="1" w:lastRow="0" w:firstColumn="1" w:lastColumn="0" w:noHBand="0" w:noVBand="1"/>
      </w:tblPr>
      <w:tblGrid>
        <w:gridCol w:w="967"/>
        <w:gridCol w:w="1580"/>
        <w:gridCol w:w="1623"/>
        <w:gridCol w:w="3415"/>
      </w:tblGrid>
      <w:tr w:rsidR="00535039" w:rsidRPr="00535039" w14:paraId="080FF4DC" w14:textId="77777777" w:rsidTr="00E42F39">
        <w:trPr>
          <w:jc w:val="right"/>
        </w:trPr>
        <w:tc>
          <w:tcPr>
            <w:tcW w:w="967" w:type="dxa"/>
          </w:tcPr>
          <w:p w14:paraId="630F9B2E" w14:textId="77777777" w:rsidR="0055587B" w:rsidRPr="00535039" w:rsidRDefault="0055587B" w:rsidP="00E42F39">
            <w:pPr>
              <w:pStyle w:val="6"/>
              <w:numPr>
                <w:ilvl w:val="0"/>
                <w:numId w:val="0"/>
              </w:numPr>
              <w:jc w:val="center"/>
              <w:rPr>
                <w:rFonts w:hAnsi="標楷體"/>
                <w:sz w:val="28"/>
                <w:szCs w:val="28"/>
              </w:rPr>
            </w:pPr>
            <w:r w:rsidRPr="00535039">
              <w:rPr>
                <w:rFonts w:hAnsi="標楷體" w:hint="eastAsia"/>
                <w:sz w:val="28"/>
                <w:szCs w:val="28"/>
              </w:rPr>
              <w:t>項目</w:t>
            </w:r>
          </w:p>
        </w:tc>
        <w:tc>
          <w:tcPr>
            <w:tcW w:w="1580" w:type="dxa"/>
          </w:tcPr>
          <w:p w14:paraId="68C111E5" w14:textId="77777777" w:rsidR="0055587B" w:rsidRPr="00535039" w:rsidRDefault="0055587B" w:rsidP="00E42F39">
            <w:pPr>
              <w:pStyle w:val="6"/>
              <w:numPr>
                <w:ilvl w:val="0"/>
                <w:numId w:val="0"/>
              </w:numPr>
              <w:jc w:val="center"/>
              <w:rPr>
                <w:rFonts w:hAnsi="標楷體"/>
                <w:sz w:val="28"/>
                <w:szCs w:val="28"/>
              </w:rPr>
            </w:pPr>
            <w:r w:rsidRPr="00535039">
              <w:rPr>
                <w:rFonts w:hAnsi="標楷體"/>
                <w:sz w:val="28"/>
                <w:szCs w:val="28"/>
              </w:rPr>
              <w:t>物質名稱</w:t>
            </w:r>
            <w:r w:rsidRPr="00535039">
              <w:rPr>
                <w:rFonts w:hAnsi="標楷體" w:hint="eastAsia"/>
                <w:sz w:val="28"/>
                <w:szCs w:val="28"/>
                <w:vertAlign w:val="superscript"/>
              </w:rPr>
              <w:t>2</w:t>
            </w:r>
          </w:p>
        </w:tc>
        <w:tc>
          <w:tcPr>
            <w:tcW w:w="1623" w:type="dxa"/>
          </w:tcPr>
          <w:p w14:paraId="51D86465" w14:textId="77777777" w:rsidR="0055587B" w:rsidRPr="00535039" w:rsidRDefault="0055587B" w:rsidP="00E42F39">
            <w:pPr>
              <w:spacing w:line="400" w:lineRule="exact"/>
              <w:jc w:val="center"/>
              <w:rPr>
                <w:rFonts w:hAnsi="標楷體"/>
                <w:sz w:val="28"/>
                <w:szCs w:val="28"/>
              </w:rPr>
            </w:pPr>
            <w:r w:rsidRPr="00535039">
              <w:rPr>
                <w:rFonts w:hAnsi="標楷體" w:hint="eastAsia"/>
                <w:sz w:val="28"/>
                <w:szCs w:val="28"/>
              </w:rPr>
              <w:t>遷移限量</w:t>
            </w:r>
          </w:p>
          <w:p w14:paraId="7590473D" w14:textId="77777777" w:rsidR="0055587B" w:rsidRPr="00535039" w:rsidRDefault="0055587B" w:rsidP="00E42F39">
            <w:pPr>
              <w:pStyle w:val="6"/>
              <w:numPr>
                <w:ilvl w:val="0"/>
                <w:numId w:val="0"/>
              </w:numPr>
              <w:jc w:val="center"/>
              <w:rPr>
                <w:rFonts w:hAnsi="標楷體"/>
                <w:sz w:val="28"/>
                <w:szCs w:val="28"/>
              </w:rPr>
            </w:pPr>
            <w:r w:rsidRPr="00535039">
              <w:rPr>
                <w:rFonts w:hAnsi="標楷體"/>
                <w:sz w:val="28"/>
                <w:szCs w:val="28"/>
              </w:rPr>
              <w:t>SML</w:t>
            </w:r>
            <w:r w:rsidRPr="00535039">
              <w:rPr>
                <w:rFonts w:hAnsi="標楷體" w:hint="eastAsia"/>
                <w:sz w:val="28"/>
                <w:szCs w:val="28"/>
                <w:vertAlign w:val="superscript"/>
              </w:rPr>
              <w:t>1</w:t>
            </w:r>
          </w:p>
        </w:tc>
        <w:tc>
          <w:tcPr>
            <w:tcW w:w="3415" w:type="dxa"/>
          </w:tcPr>
          <w:p w14:paraId="3B09D31D" w14:textId="77777777" w:rsidR="0055587B" w:rsidRPr="00535039" w:rsidRDefault="0055587B" w:rsidP="00E42F39">
            <w:pPr>
              <w:spacing w:line="400" w:lineRule="exact"/>
              <w:jc w:val="center"/>
              <w:rPr>
                <w:rFonts w:hAnsi="標楷體"/>
                <w:sz w:val="28"/>
                <w:szCs w:val="28"/>
              </w:rPr>
            </w:pPr>
            <w:r w:rsidRPr="00535039">
              <w:rPr>
                <w:rFonts w:hAnsi="標楷體" w:hint="eastAsia"/>
                <w:sz w:val="28"/>
                <w:szCs w:val="28"/>
              </w:rPr>
              <w:t>總遷移限量</w:t>
            </w:r>
          </w:p>
          <w:p w14:paraId="02F4E55E" w14:textId="77777777" w:rsidR="0055587B" w:rsidRPr="00535039" w:rsidRDefault="0055587B" w:rsidP="00E42F39">
            <w:pPr>
              <w:pStyle w:val="6"/>
              <w:numPr>
                <w:ilvl w:val="0"/>
                <w:numId w:val="0"/>
              </w:numPr>
              <w:jc w:val="center"/>
              <w:rPr>
                <w:rFonts w:hAnsi="標楷體"/>
                <w:sz w:val="28"/>
                <w:szCs w:val="28"/>
              </w:rPr>
            </w:pPr>
            <w:r w:rsidRPr="00535039">
              <w:rPr>
                <w:rFonts w:hAnsi="標楷體"/>
                <w:sz w:val="28"/>
                <w:szCs w:val="28"/>
              </w:rPr>
              <w:t>SML(T)</w:t>
            </w:r>
            <w:r w:rsidRPr="00535039">
              <w:rPr>
                <w:rFonts w:hAnsi="標楷體" w:hint="eastAsia"/>
                <w:sz w:val="28"/>
                <w:szCs w:val="28"/>
                <w:vertAlign w:val="superscript"/>
              </w:rPr>
              <w:t>1</w:t>
            </w:r>
          </w:p>
        </w:tc>
      </w:tr>
      <w:tr w:rsidR="00535039" w:rsidRPr="00535039" w14:paraId="7896C2EC" w14:textId="77777777" w:rsidTr="00E42F39">
        <w:trPr>
          <w:jc w:val="right"/>
        </w:trPr>
        <w:tc>
          <w:tcPr>
            <w:tcW w:w="967" w:type="dxa"/>
          </w:tcPr>
          <w:p w14:paraId="673147C1" w14:textId="77777777" w:rsidR="0055587B" w:rsidRPr="00535039" w:rsidRDefault="0055587B" w:rsidP="00E42F39">
            <w:pPr>
              <w:pStyle w:val="6"/>
              <w:numPr>
                <w:ilvl w:val="0"/>
                <w:numId w:val="0"/>
              </w:numPr>
              <w:ind w:left="-34"/>
              <w:jc w:val="center"/>
              <w:rPr>
                <w:rFonts w:hAnsi="標楷體"/>
                <w:sz w:val="28"/>
                <w:szCs w:val="28"/>
              </w:rPr>
            </w:pPr>
            <w:r w:rsidRPr="00535039">
              <w:rPr>
                <w:rFonts w:hAnsi="標楷體"/>
                <w:sz w:val="28"/>
                <w:szCs w:val="28"/>
              </w:rPr>
              <w:t>a</w:t>
            </w:r>
          </w:p>
        </w:tc>
        <w:tc>
          <w:tcPr>
            <w:tcW w:w="1580" w:type="dxa"/>
          </w:tcPr>
          <w:p w14:paraId="689AB1E9" w14:textId="77777777" w:rsidR="0055587B" w:rsidRPr="00535039" w:rsidRDefault="0055587B" w:rsidP="00E42F39">
            <w:pPr>
              <w:pStyle w:val="6"/>
              <w:numPr>
                <w:ilvl w:val="0"/>
                <w:numId w:val="0"/>
              </w:numPr>
              <w:jc w:val="center"/>
              <w:rPr>
                <w:rFonts w:hAnsi="標楷體"/>
                <w:sz w:val="28"/>
                <w:szCs w:val="28"/>
              </w:rPr>
            </w:pPr>
            <w:r w:rsidRPr="00535039">
              <w:rPr>
                <w:rFonts w:hAnsi="標楷體"/>
                <w:sz w:val="28"/>
                <w:szCs w:val="28"/>
              </w:rPr>
              <w:t>DEHP</w:t>
            </w:r>
          </w:p>
        </w:tc>
        <w:tc>
          <w:tcPr>
            <w:tcW w:w="1623" w:type="dxa"/>
          </w:tcPr>
          <w:p w14:paraId="11A81D66" w14:textId="77777777" w:rsidR="0055587B" w:rsidRPr="00535039" w:rsidRDefault="0055587B" w:rsidP="00E42F39">
            <w:pPr>
              <w:pStyle w:val="6"/>
              <w:numPr>
                <w:ilvl w:val="0"/>
                <w:numId w:val="0"/>
              </w:numPr>
              <w:jc w:val="right"/>
              <w:rPr>
                <w:rFonts w:hAnsi="標楷體"/>
                <w:sz w:val="28"/>
                <w:szCs w:val="28"/>
              </w:rPr>
            </w:pPr>
            <w:r w:rsidRPr="00535039">
              <w:rPr>
                <w:rFonts w:hAnsi="標楷體"/>
                <w:sz w:val="28"/>
                <w:szCs w:val="28"/>
              </w:rPr>
              <w:t>0.6</w:t>
            </w:r>
          </w:p>
        </w:tc>
        <w:tc>
          <w:tcPr>
            <w:tcW w:w="3415" w:type="dxa"/>
            <w:vMerge w:val="restart"/>
          </w:tcPr>
          <w:p w14:paraId="797C9F27" w14:textId="77777777" w:rsidR="0055587B" w:rsidRPr="00535039" w:rsidRDefault="0055587B" w:rsidP="00E42F39">
            <w:pPr>
              <w:spacing w:line="400" w:lineRule="exact"/>
              <w:rPr>
                <w:rFonts w:hAnsi="標楷體"/>
                <w:sz w:val="28"/>
                <w:szCs w:val="28"/>
              </w:rPr>
            </w:pPr>
            <w:r w:rsidRPr="00535039">
              <w:rPr>
                <w:rFonts w:hAnsi="標楷體"/>
                <w:sz w:val="28"/>
                <w:szCs w:val="28"/>
              </w:rPr>
              <w:t>1.a+b+c+f=0.6</w:t>
            </w:r>
          </w:p>
          <w:p w14:paraId="3CF297D9" w14:textId="77777777" w:rsidR="0055587B" w:rsidRPr="00535039" w:rsidRDefault="0055587B" w:rsidP="00E42F39">
            <w:pPr>
              <w:spacing w:line="400" w:lineRule="exact"/>
              <w:ind w:leftChars="58" w:left="372" w:hangingChars="60" w:hanging="175"/>
              <w:rPr>
                <w:rFonts w:hAnsi="標楷體"/>
                <w:spacing w:val="-4"/>
                <w:sz w:val="28"/>
                <w:szCs w:val="28"/>
              </w:rPr>
            </w:pPr>
            <w:r w:rsidRPr="00535039">
              <w:rPr>
                <w:rFonts w:hAnsi="標楷體"/>
                <w:spacing w:val="-4"/>
                <w:sz w:val="28"/>
                <w:szCs w:val="28"/>
              </w:rPr>
              <w:t>(以DEHP當量計，公式為b*5+f*4+c*0)</w:t>
            </w:r>
          </w:p>
          <w:p w14:paraId="41B84343" w14:textId="77777777" w:rsidR="0055587B" w:rsidRPr="00535039" w:rsidRDefault="0055587B" w:rsidP="00E42F39">
            <w:pPr>
              <w:spacing w:line="400" w:lineRule="exact"/>
              <w:rPr>
                <w:rFonts w:hAnsi="標楷體"/>
                <w:sz w:val="28"/>
                <w:szCs w:val="28"/>
              </w:rPr>
            </w:pPr>
            <w:r w:rsidRPr="00535039">
              <w:rPr>
                <w:rFonts w:hAnsi="標楷體"/>
                <w:sz w:val="28"/>
                <w:szCs w:val="28"/>
              </w:rPr>
              <w:t>2.d+e=1.8</w:t>
            </w:r>
          </w:p>
          <w:p w14:paraId="54F93C9A" w14:textId="77777777" w:rsidR="0055587B" w:rsidRPr="00535039" w:rsidRDefault="0055587B" w:rsidP="008571FC">
            <w:pPr>
              <w:spacing w:line="400" w:lineRule="exact"/>
              <w:ind w:left="249" w:hangingChars="83" w:hanging="249"/>
              <w:rPr>
                <w:rFonts w:hAnsi="標楷體"/>
                <w:sz w:val="28"/>
                <w:szCs w:val="28"/>
              </w:rPr>
            </w:pPr>
            <w:r w:rsidRPr="00535039">
              <w:rPr>
                <w:rFonts w:hAnsi="標楷體"/>
                <w:sz w:val="28"/>
                <w:szCs w:val="28"/>
              </w:rPr>
              <w:t>3.22</w:t>
            </w:r>
            <w:r w:rsidRPr="00535039">
              <w:rPr>
                <w:rFonts w:hAnsi="標楷體" w:hint="eastAsia"/>
                <w:sz w:val="28"/>
                <w:szCs w:val="28"/>
              </w:rPr>
              <w:t>項</w:t>
            </w:r>
            <w:r w:rsidRPr="00535039">
              <w:rPr>
                <w:rFonts w:hAnsi="標楷體"/>
                <w:sz w:val="28"/>
                <w:szCs w:val="28"/>
              </w:rPr>
              <w:t>指定物質(含a至g)之總和=60</w:t>
            </w:r>
          </w:p>
        </w:tc>
      </w:tr>
      <w:tr w:rsidR="00535039" w:rsidRPr="00535039" w14:paraId="01AF72AD" w14:textId="77777777" w:rsidTr="00E42F39">
        <w:trPr>
          <w:jc w:val="right"/>
        </w:trPr>
        <w:tc>
          <w:tcPr>
            <w:tcW w:w="967" w:type="dxa"/>
          </w:tcPr>
          <w:p w14:paraId="4AC0D5EA" w14:textId="77777777" w:rsidR="0055587B" w:rsidRPr="00535039" w:rsidRDefault="0055587B" w:rsidP="00E42F39">
            <w:pPr>
              <w:pStyle w:val="6"/>
              <w:numPr>
                <w:ilvl w:val="0"/>
                <w:numId w:val="0"/>
              </w:numPr>
              <w:ind w:left="-34"/>
              <w:jc w:val="center"/>
              <w:rPr>
                <w:rFonts w:hAnsi="標楷體"/>
                <w:sz w:val="28"/>
                <w:szCs w:val="28"/>
              </w:rPr>
            </w:pPr>
            <w:r w:rsidRPr="00535039">
              <w:rPr>
                <w:rFonts w:hAnsi="標楷體"/>
                <w:sz w:val="28"/>
                <w:szCs w:val="28"/>
              </w:rPr>
              <w:t>b</w:t>
            </w:r>
          </w:p>
        </w:tc>
        <w:tc>
          <w:tcPr>
            <w:tcW w:w="1580" w:type="dxa"/>
          </w:tcPr>
          <w:p w14:paraId="62DB4759" w14:textId="77777777" w:rsidR="0055587B" w:rsidRPr="00535039" w:rsidRDefault="0055587B" w:rsidP="00E42F39">
            <w:pPr>
              <w:pStyle w:val="6"/>
              <w:numPr>
                <w:ilvl w:val="0"/>
                <w:numId w:val="0"/>
              </w:numPr>
              <w:jc w:val="center"/>
              <w:rPr>
                <w:rFonts w:hAnsi="標楷體"/>
                <w:sz w:val="28"/>
                <w:szCs w:val="28"/>
              </w:rPr>
            </w:pPr>
            <w:r w:rsidRPr="00535039">
              <w:rPr>
                <w:rFonts w:hAnsi="標楷體"/>
                <w:sz w:val="28"/>
                <w:szCs w:val="28"/>
              </w:rPr>
              <w:t>DBP</w:t>
            </w:r>
          </w:p>
        </w:tc>
        <w:tc>
          <w:tcPr>
            <w:tcW w:w="1623" w:type="dxa"/>
          </w:tcPr>
          <w:p w14:paraId="114D1D44" w14:textId="77777777" w:rsidR="0055587B" w:rsidRPr="00535039" w:rsidRDefault="0055587B" w:rsidP="00E42F39">
            <w:pPr>
              <w:pStyle w:val="6"/>
              <w:numPr>
                <w:ilvl w:val="0"/>
                <w:numId w:val="0"/>
              </w:numPr>
              <w:jc w:val="right"/>
              <w:rPr>
                <w:rFonts w:hAnsi="標楷體"/>
                <w:sz w:val="28"/>
                <w:szCs w:val="28"/>
              </w:rPr>
            </w:pPr>
            <w:r w:rsidRPr="00535039">
              <w:rPr>
                <w:rFonts w:hAnsi="標楷體"/>
                <w:sz w:val="28"/>
                <w:szCs w:val="28"/>
              </w:rPr>
              <w:t>0.12</w:t>
            </w:r>
          </w:p>
        </w:tc>
        <w:tc>
          <w:tcPr>
            <w:tcW w:w="3415" w:type="dxa"/>
            <w:vMerge/>
          </w:tcPr>
          <w:p w14:paraId="56687DD0" w14:textId="77777777" w:rsidR="0055587B" w:rsidRPr="00535039" w:rsidRDefault="0055587B" w:rsidP="00E42F39">
            <w:pPr>
              <w:pStyle w:val="6"/>
              <w:numPr>
                <w:ilvl w:val="0"/>
                <w:numId w:val="0"/>
              </w:numPr>
              <w:rPr>
                <w:rFonts w:hAnsi="標楷體"/>
                <w:sz w:val="28"/>
                <w:szCs w:val="28"/>
              </w:rPr>
            </w:pPr>
          </w:p>
        </w:tc>
      </w:tr>
      <w:tr w:rsidR="00535039" w:rsidRPr="00535039" w14:paraId="5010B089" w14:textId="77777777" w:rsidTr="00E42F39">
        <w:trPr>
          <w:jc w:val="right"/>
        </w:trPr>
        <w:tc>
          <w:tcPr>
            <w:tcW w:w="967" w:type="dxa"/>
          </w:tcPr>
          <w:p w14:paraId="42CF0FB8" w14:textId="77777777" w:rsidR="0055587B" w:rsidRPr="00535039" w:rsidRDefault="0055587B" w:rsidP="00E42F39">
            <w:pPr>
              <w:pStyle w:val="6"/>
              <w:numPr>
                <w:ilvl w:val="0"/>
                <w:numId w:val="0"/>
              </w:numPr>
              <w:ind w:left="-34"/>
              <w:jc w:val="center"/>
              <w:rPr>
                <w:rFonts w:hAnsi="標楷體"/>
                <w:sz w:val="28"/>
                <w:szCs w:val="28"/>
              </w:rPr>
            </w:pPr>
            <w:r w:rsidRPr="00535039">
              <w:rPr>
                <w:rFonts w:hAnsi="標楷體"/>
                <w:sz w:val="28"/>
                <w:szCs w:val="28"/>
              </w:rPr>
              <w:t>c</w:t>
            </w:r>
          </w:p>
        </w:tc>
        <w:tc>
          <w:tcPr>
            <w:tcW w:w="1580" w:type="dxa"/>
          </w:tcPr>
          <w:p w14:paraId="1C9ADA84" w14:textId="77777777" w:rsidR="0055587B" w:rsidRPr="00535039" w:rsidRDefault="0055587B" w:rsidP="00E42F39">
            <w:pPr>
              <w:pStyle w:val="6"/>
              <w:numPr>
                <w:ilvl w:val="0"/>
                <w:numId w:val="0"/>
              </w:numPr>
              <w:jc w:val="center"/>
              <w:rPr>
                <w:rFonts w:hAnsi="標楷體"/>
                <w:sz w:val="28"/>
                <w:szCs w:val="28"/>
              </w:rPr>
            </w:pPr>
            <w:r w:rsidRPr="00535039">
              <w:rPr>
                <w:rFonts w:hAnsi="標楷體"/>
                <w:sz w:val="28"/>
                <w:szCs w:val="28"/>
              </w:rPr>
              <w:t>BBP</w:t>
            </w:r>
          </w:p>
        </w:tc>
        <w:tc>
          <w:tcPr>
            <w:tcW w:w="1623" w:type="dxa"/>
          </w:tcPr>
          <w:p w14:paraId="7BBDCE2B" w14:textId="77777777" w:rsidR="0055587B" w:rsidRPr="00535039" w:rsidRDefault="0055587B" w:rsidP="00E42F39">
            <w:pPr>
              <w:pStyle w:val="6"/>
              <w:numPr>
                <w:ilvl w:val="0"/>
                <w:numId w:val="0"/>
              </w:numPr>
              <w:jc w:val="right"/>
              <w:rPr>
                <w:rFonts w:hAnsi="標楷體"/>
                <w:sz w:val="28"/>
                <w:szCs w:val="28"/>
              </w:rPr>
            </w:pPr>
            <w:r w:rsidRPr="00535039">
              <w:rPr>
                <w:rFonts w:hAnsi="標楷體"/>
                <w:sz w:val="28"/>
                <w:szCs w:val="28"/>
              </w:rPr>
              <w:t>6</w:t>
            </w:r>
          </w:p>
        </w:tc>
        <w:tc>
          <w:tcPr>
            <w:tcW w:w="3415" w:type="dxa"/>
            <w:vMerge/>
          </w:tcPr>
          <w:p w14:paraId="3B9B4E1E" w14:textId="77777777" w:rsidR="0055587B" w:rsidRPr="00535039" w:rsidRDefault="0055587B" w:rsidP="00E42F39">
            <w:pPr>
              <w:pStyle w:val="6"/>
              <w:numPr>
                <w:ilvl w:val="0"/>
                <w:numId w:val="0"/>
              </w:numPr>
              <w:rPr>
                <w:rFonts w:hAnsi="標楷體"/>
                <w:sz w:val="28"/>
                <w:szCs w:val="28"/>
              </w:rPr>
            </w:pPr>
          </w:p>
        </w:tc>
      </w:tr>
      <w:tr w:rsidR="0055587B" w:rsidRPr="00535039" w14:paraId="482CCBBB" w14:textId="77777777" w:rsidTr="00E42F39">
        <w:trPr>
          <w:jc w:val="right"/>
        </w:trPr>
        <w:tc>
          <w:tcPr>
            <w:tcW w:w="967" w:type="dxa"/>
          </w:tcPr>
          <w:p w14:paraId="2B51573B" w14:textId="77777777" w:rsidR="0055587B" w:rsidRPr="00535039" w:rsidRDefault="0055587B" w:rsidP="00E42F39">
            <w:pPr>
              <w:pStyle w:val="6"/>
              <w:numPr>
                <w:ilvl w:val="0"/>
                <w:numId w:val="0"/>
              </w:numPr>
              <w:ind w:left="-34"/>
              <w:jc w:val="center"/>
              <w:rPr>
                <w:rFonts w:hAnsi="標楷體"/>
                <w:sz w:val="28"/>
                <w:szCs w:val="28"/>
              </w:rPr>
            </w:pPr>
            <w:r w:rsidRPr="00535039">
              <w:rPr>
                <w:rFonts w:hAnsi="標楷體"/>
                <w:sz w:val="28"/>
                <w:szCs w:val="28"/>
              </w:rPr>
              <w:t>d</w:t>
            </w:r>
          </w:p>
        </w:tc>
        <w:tc>
          <w:tcPr>
            <w:tcW w:w="1580" w:type="dxa"/>
          </w:tcPr>
          <w:p w14:paraId="6A8C35A4" w14:textId="77777777" w:rsidR="0055587B" w:rsidRPr="00535039" w:rsidRDefault="0055587B" w:rsidP="00E42F39">
            <w:pPr>
              <w:pStyle w:val="6"/>
              <w:numPr>
                <w:ilvl w:val="0"/>
                <w:numId w:val="0"/>
              </w:numPr>
              <w:jc w:val="center"/>
              <w:rPr>
                <w:rFonts w:hAnsi="標楷體"/>
                <w:sz w:val="28"/>
                <w:szCs w:val="28"/>
              </w:rPr>
            </w:pPr>
            <w:r w:rsidRPr="00535039">
              <w:rPr>
                <w:rFonts w:hAnsi="標楷體"/>
                <w:sz w:val="28"/>
                <w:szCs w:val="28"/>
              </w:rPr>
              <w:t>DIDP</w:t>
            </w:r>
          </w:p>
        </w:tc>
        <w:tc>
          <w:tcPr>
            <w:tcW w:w="1623" w:type="dxa"/>
          </w:tcPr>
          <w:p w14:paraId="1FF2D229" w14:textId="77777777" w:rsidR="0055587B" w:rsidRPr="00535039" w:rsidRDefault="0055587B" w:rsidP="00E42F39">
            <w:pPr>
              <w:pStyle w:val="6"/>
              <w:numPr>
                <w:ilvl w:val="0"/>
                <w:numId w:val="0"/>
              </w:numPr>
              <w:jc w:val="right"/>
              <w:rPr>
                <w:rFonts w:hAnsi="標楷體"/>
                <w:sz w:val="28"/>
                <w:szCs w:val="28"/>
              </w:rPr>
            </w:pPr>
            <w:r w:rsidRPr="00535039">
              <w:rPr>
                <w:rFonts w:hAnsi="標楷體"/>
                <w:sz w:val="28"/>
                <w:szCs w:val="28"/>
              </w:rPr>
              <w:t>-</w:t>
            </w:r>
          </w:p>
        </w:tc>
        <w:tc>
          <w:tcPr>
            <w:tcW w:w="3415" w:type="dxa"/>
            <w:vMerge/>
          </w:tcPr>
          <w:p w14:paraId="417532DB" w14:textId="77777777" w:rsidR="0055587B" w:rsidRPr="00535039" w:rsidRDefault="0055587B" w:rsidP="00E42F39">
            <w:pPr>
              <w:pStyle w:val="6"/>
              <w:numPr>
                <w:ilvl w:val="0"/>
                <w:numId w:val="0"/>
              </w:numPr>
              <w:rPr>
                <w:rFonts w:hAnsi="標楷體"/>
                <w:sz w:val="28"/>
                <w:szCs w:val="28"/>
              </w:rPr>
            </w:pPr>
          </w:p>
        </w:tc>
      </w:tr>
      <w:tr w:rsidR="0055587B" w:rsidRPr="00535039" w14:paraId="1160B582" w14:textId="77777777" w:rsidTr="00E42F39">
        <w:trPr>
          <w:jc w:val="right"/>
        </w:trPr>
        <w:tc>
          <w:tcPr>
            <w:tcW w:w="967" w:type="dxa"/>
          </w:tcPr>
          <w:p w14:paraId="7990AC68" w14:textId="77777777" w:rsidR="0055587B" w:rsidRPr="00535039" w:rsidRDefault="0055587B" w:rsidP="00E42F39">
            <w:pPr>
              <w:pStyle w:val="6"/>
              <w:numPr>
                <w:ilvl w:val="0"/>
                <w:numId w:val="0"/>
              </w:numPr>
              <w:ind w:left="-34"/>
              <w:jc w:val="center"/>
              <w:rPr>
                <w:rFonts w:hAnsi="標楷體"/>
                <w:sz w:val="28"/>
                <w:szCs w:val="28"/>
              </w:rPr>
            </w:pPr>
            <w:r w:rsidRPr="00535039">
              <w:rPr>
                <w:rFonts w:hAnsi="標楷體"/>
                <w:sz w:val="28"/>
                <w:szCs w:val="28"/>
              </w:rPr>
              <w:t>e</w:t>
            </w:r>
          </w:p>
        </w:tc>
        <w:tc>
          <w:tcPr>
            <w:tcW w:w="1580" w:type="dxa"/>
          </w:tcPr>
          <w:p w14:paraId="3E330C11" w14:textId="77777777" w:rsidR="0055587B" w:rsidRPr="00535039" w:rsidRDefault="0055587B" w:rsidP="00E42F39">
            <w:pPr>
              <w:pStyle w:val="6"/>
              <w:numPr>
                <w:ilvl w:val="0"/>
                <w:numId w:val="0"/>
              </w:numPr>
              <w:jc w:val="center"/>
              <w:rPr>
                <w:rFonts w:hAnsi="標楷體"/>
                <w:sz w:val="28"/>
                <w:szCs w:val="28"/>
              </w:rPr>
            </w:pPr>
            <w:r w:rsidRPr="00535039">
              <w:rPr>
                <w:rFonts w:hAnsi="標楷體"/>
                <w:sz w:val="28"/>
                <w:szCs w:val="28"/>
              </w:rPr>
              <w:t>DINP</w:t>
            </w:r>
          </w:p>
        </w:tc>
        <w:tc>
          <w:tcPr>
            <w:tcW w:w="1623" w:type="dxa"/>
          </w:tcPr>
          <w:p w14:paraId="4762AC6F" w14:textId="77777777" w:rsidR="0055587B" w:rsidRPr="00535039" w:rsidRDefault="0055587B" w:rsidP="00E42F39">
            <w:pPr>
              <w:pStyle w:val="6"/>
              <w:numPr>
                <w:ilvl w:val="0"/>
                <w:numId w:val="0"/>
              </w:numPr>
              <w:jc w:val="right"/>
              <w:rPr>
                <w:rFonts w:hAnsi="標楷體"/>
                <w:sz w:val="28"/>
                <w:szCs w:val="28"/>
              </w:rPr>
            </w:pPr>
            <w:r w:rsidRPr="00535039">
              <w:rPr>
                <w:rFonts w:hAnsi="標楷體"/>
                <w:sz w:val="28"/>
                <w:szCs w:val="28"/>
              </w:rPr>
              <w:t>-</w:t>
            </w:r>
          </w:p>
        </w:tc>
        <w:tc>
          <w:tcPr>
            <w:tcW w:w="3415" w:type="dxa"/>
            <w:vMerge/>
          </w:tcPr>
          <w:p w14:paraId="2F7E0A5F" w14:textId="77777777" w:rsidR="0055587B" w:rsidRPr="00535039" w:rsidRDefault="0055587B" w:rsidP="00E42F39">
            <w:pPr>
              <w:pStyle w:val="6"/>
              <w:numPr>
                <w:ilvl w:val="0"/>
                <w:numId w:val="0"/>
              </w:numPr>
              <w:rPr>
                <w:rFonts w:hAnsi="標楷體"/>
                <w:sz w:val="28"/>
                <w:szCs w:val="28"/>
              </w:rPr>
            </w:pPr>
          </w:p>
        </w:tc>
      </w:tr>
      <w:tr w:rsidR="0055587B" w:rsidRPr="00535039" w14:paraId="6346C9E1" w14:textId="77777777" w:rsidTr="00E42F39">
        <w:trPr>
          <w:jc w:val="right"/>
        </w:trPr>
        <w:tc>
          <w:tcPr>
            <w:tcW w:w="967" w:type="dxa"/>
          </w:tcPr>
          <w:p w14:paraId="461FEB48" w14:textId="77777777" w:rsidR="0055587B" w:rsidRPr="00535039" w:rsidRDefault="0055587B" w:rsidP="00E42F39">
            <w:pPr>
              <w:pStyle w:val="6"/>
              <w:numPr>
                <w:ilvl w:val="0"/>
                <w:numId w:val="0"/>
              </w:numPr>
              <w:ind w:left="-34"/>
              <w:jc w:val="center"/>
              <w:rPr>
                <w:rFonts w:hAnsi="標楷體"/>
                <w:sz w:val="28"/>
                <w:szCs w:val="28"/>
              </w:rPr>
            </w:pPr>
            <w:r w:rsidRPr="00535039">
              <w:rPr>
                <w:rFonts w:hAnsi="標楷體"/>
                <w:sz w:val="28"/>
                <w:szCs w:val="28"/>
              </w:rPr>
              <w:t>f</w:t>
            </w:r>
          </w:p>
        </w:tc>
        <w:tc>
          <w:tcPr>
            <w:tcW w:w="1580" w:type="dxa"/>
          </w:tcPr>
          <w:p w14:paraId="519205B1" w14:textId="77777777" w:rsidR="0055587B" w:rsidRPr="00535039" w:rsidRDefault="0055587B" w:rsidP="00E42F39">
            <w:pPr>
              <w:pStyle w:val="6"/>
              <w:numPr>
                <w:ilvl w:val="0"/>
                <w:numId w:val="0"/>
              </w:numPr>
              <w:jc w:val="center"/>
              <w:rPr>
                <w:rFonts w:hAnsi="標楷體"/>
                <w:sz w:val="28"/>
                <w:szCs w:val="28"/>
              </w:rPr>
            </w:pPr>
            <w:r w:rsidRPr="00535039">
              <w:rPr>
                <w:rFonts w:hAnsi="標楷體"/>
                <w:sz w:val="28"/>
                <w:szCs w:val="28"/>
              </w:rPr>
              <w:t>DIBP</w:t>
            </w:r>
          </w:p>
        </w:tc>
        <w:tc>
          <w:tcPr>
            <w:tcW w:w="1623" w:type="dxa"/>
          </w:tcPr>
          <w:p w14:paraId="69F13DA7" w14:textId="77777777" w:rsidR="0055587B" w:rsidRPr="00535039" w:rsidRDefault="0055587B" w:rsidP="00E42F39">
            <w:pPr>
              <w:pStyle w:val="6"/>
              <w:numPr>
                <w:ilvl w:val="0"/>
                <w:numId w:val="0"/>
              </w:numPr>
              <w:jc w:val="right"/>
              <w:rPr>
                <w:rFonts w:hAnsi="標楷體"/>
                <w:sz w:val="28"/>
                <w:szCs w:val="28"/>
              </w:rPr>
            </w:pPr>
            <w:r w:rsidRPr="00535039">
              <w:rPr>
                <w:rFonts w:hAnsi="標楷體"/>
                <w:sz w:val="28"/>
                <w:szCs w:val="28"/>
              </w:rPr>
              <w:t>-</w:t>
            </w:r>
          </w:p>
        </w:tc>
        <w:tc>
          <w:tcPr>
            <w:tcW w:w="3415" w:type="dxa"/>
            <w:vMerge/>
          </w:tcPr>
          <w:p w14:paraId="66D70E27" w14:textId="77777777" w:rsidR="0055587B" w:rsidRPr="00535039" w:rsidRDefault="0055587B" w:rsidP="00E42F39">
            <w:pPr>
              <w:pStyle w:val="6"/>
              <w:numPr>
                <w:ilvl w:val="0"/>
                <w:numId w:val="0"/>
              </w:numPr>
              <w:rPr>
                <w:rFonts w:hAnsi="標楷體"/>
                <w:sz w:val="28"/>
                <w:szCs w:val="28"/>
              </w:rPr>
            </w:pPr>
          </w:p>
        </w:tc>
      </w:tr>
      <w:tr w:rsidR="0055587B" w:rsidRPr="00535039" w14:paraId="461D1F84" w14:textId="77777777" w:rsidTr="00E42F39">
        <w:trPr>
          <w:jc w:val="right"/>
        </w:trPr>
        <w:tc>
          <w:tcPr>
            <w:tcW w:w="967" w:type="dxa"/>
          </w:tcPr>
          <w:p w14:paraId="2DBBA32B" w14:textId="77777777" w:rsidR="0055587B" w:rsidRPr="00535039" w:rsidRDefault="0055587B" w:rsidP="00E42F39">
            <w:pPr>
              <w:pStyle w:val="6"/>
              <w:numPr>
                <w:ilvl w:val="0"/>
                <w:numId w:val="0"/>
              </w:numPr>
              <w:ind w:left="-34"/>
              <w:jc w:val="center"/>
              <w:rPr>
                <w:rFonts w:hAnsi="標楷體"/>
                <w:sz w:val="28"/>
                <w:szCs w:val="28"/>
              </w:rPr>
            </w:pPr>
            <w:r w:rsidRPr="00535039">
              <w:rPr>
                <w:rFonts w:hAnsi="標楷體"/>
                <w:sz w:val="28"/>
                <w:szCs w:val="28"/>
              </w:rPr>
              <w:t>g</w:t>
            </w:r>
          </w:p>
        </w:tc>
        <w:tc>
          <w:tcPr>
            <w:tcW w:w="1580" w:type="dxa"/>
          </w:tcPr>
          <w:p w14:paraId="126F67B7" w14:textId="77777777" w:rsidR="0055587B" w:rsidRPr="00535039" w:rsidRDefault="0055587B" w:rsidP="00E42F39">
            <w:pPr>
              <w:pStyle w:val="6"/>
              <w:numPr>
                <w:ilvl w:val="0"/>
                <w:numId w:val="0"/>
              </w:numPr>
              <w:jc w:val="center"/>
              <w:rPr>
                <w:rFonts w:hAnsi="標楷體"/>
                <w:sz w:val="28"/>
                <w:szCs w:val="28"/>
              </w:rPr>
            </w:pPr>
            <w:r w:rsidRPr="00535039">
              <w:rPr>
                <w:rFonts w:hAnsi="標楷體"/>
                <w:sz w:val="28"/>
                <w:szCs w:val="28"/>
              </w:rPr>
              <w:t>DEHA</w:t>
            </w:r>
          </w:p>
        </w:tc>
        <w:tc>
          <w:tcPr>
            <w:tcW w:w="1623" w:type="dxa"/>
          </w:tcPr>
          <w:p w14:paraId="56EA88B5" w14:textId="77777777" w:rsidR="0055587B" w:rsidRPr="00535039" w:rsidRDefault="0055587B" w:rsidP="00E42F39">
            <w:pPr>
              <w:pStyle w:val="6"/>
              <w:numPr>
                <w:ilvl w:val="0"/>
                <w:numId w:val="0"/>
              </w:numPr>
              <w:jc w:val="right"/>
              <w:rPr>
                <w:rFonts w:hAnsi="標楷體"/>
                <w:sz w:val="28"/>
                <w:szCs w:val="28"/>
              </w:rPr>
            </w:pPr>
            <w:r w:rsidRPr="00535039">
              <w:rPr>
                <w:rFonts w:hAnsi="標楷體"/>
                <w:sz w:val="28"/>
                <w:szCs w:val="28"/>
              </w:rPr>
              <w:t>18</w:t>
            </w:r>
          </w:p>
        </w:tc>
        <w:tc>
          <w:tcPr>
            <w:tcW w:w="3415" w:type="dxa"/>
            <w:vMerge/>
          </w:tcPr>
          <w:p w14:paraId="7E8B6E8D" w14:textId="77777777" w:rsidR="0055587B" w:rsidRPr="00535039" w:rsidRDefault="0055587B" w:rsidP="00E42F39">
            <w:pPr>
              <w:pStyle w:val="6"/>
              <w:numPr>
                <w:ilvl w:val="0"/>
                <w:numId w:val="0"/>
              </w:numPr>
              <w:rPr>
                <w:rFonts w:hAnsi="標楷體"/>
                <w:sz w:val="28"/>
                <w:szCs w:val="28"/>
              </w:rPr>
            </w:pPr>
          </w:p>
        </w:tc>
      </w:tr>
    </w:tbl>
    <w:p w14:paraId="1AFB4301" w14:textId="77777777" w:rsidR="000C69CB" w:rsidRPr="00535039" w:rsidRDefault="000C69CB" w:rsidP="0055587B">
      <w:pPr>
        <w:widowControl/>
        <w:tabs>
          <w:tab w:val="left" w:pos="1276"/>
        </w:tabs>
        <w:overflowPunct/>
        <w:autoSpaceDE/>
        <w:autoSpaceDN/>
        <w:spacing w:line="300" w:lineRule="exact"/>
        <w:ind w:left="2100" w:hanging="824"/>
        <w:rPr>
          <w:rFonts w:hAnsi="標楷體"/>
          <w:sz w:val="24"/>
          <w:szCs w:val="24"/>
        </w:rPr>
      </w:pPr>
      <w:proofErr w:type="gramStart"/>
      <w:r w:rsidRPr="00535039">
        <w:rPr>
          <w:rFonts w:hAnsi="標楷體" w:hint="eastAsia"/>
          <w:sz w:val="24"/>
          <w:szCs w:val="24"/>
        </w:rPr>
        <w:t>註</w:t>
      </w:r>
      <w:proofErr w:type="gramEnd"/>
      <w:r w:rsidRPr="00535039">
        <w:rPr>
          <w:rFonts w:hAnsi="標楷體" w:hint="eastAsia"/>
          <w:sz w:val="24"/>
          <w:szCs w:val="24"/>
        </w:rPr>
        <w:t>：</w:t>
      </w:r>
    </w:p>
    <w:p w14:paraId="34463376" w14:textId="77777777" w:rsidR="000C69CB" w:rsidRPr="00535039" w:rsidRDefault="000C69CB" w:rsidP="0055587B">
      <w:pPr>
        <w:pStyle w:val="af7"/>
        <w:widowControl/>
        <w:numPr>
          <w:ilvl w:val="0"/>
          <w:numId w:val="56"/>
        </w:numPr>
        <w:tabs>
          <w:tab w:val="left" w:pos="1276"/>
        </w:tabs>
        <w:overflowPunct/>
        <w:autoSpaceDE/>
        <w:autoSpaceDN/>
        <w:spacing w:line="300" w:lineRule="exact"/>
        <w:ind w:leftChars="0" w:left="1701" w:hanging="235"/>
        <w:jc w:val="left"/>
        <w:rPr>
          <w:rFonts w:hAnsi="標楷體"/>
          <w:sz w:val="24"/>
          <w:szCs w:val="24"/>
        </w:rPr>
      </w:pPr>
      <w:r w:rsidRPr="00535039">
        <w:rPr>
          <w:rFonts w:hAnsi="標楷體" w:hint="eastAsia"/>
          <w:sz w:val="24"/>
          <w:szCs w:val="24"/>
        </w:rPr>
        <w:t>SML為個別物質之遷移限量；SML(T)為指定物質總和之遷移限量。</w:t>
      </w:r>
    </w:p>
    <w:p w14:paraId="04311541" w14:textId="77777777" w:rsidR="000C69CB" w:rsidRPr="00535039" w:rsidRDefault="000C69CB" w:rsidP="0055587B">
      <w:pPr>
        <w:pStyle w:val="af7"/>
        <w:widowControl/>
        <w:numPr>
          <w:ilvl w:val="0"/>
          <w:numId w:val="56"/>
        </w:numPr>
        <w:tabs>
          <w:tab w:val="left" w:pos="1276"/>
        </w:tabs>
        <w:overflowPunct/>
        <w:autoSpaceDE/>
        <w:autoSpaceDN/>
        <w:spacing w:line="300" w:lineRule="exact"/>
        <w:ind w:leftChars="0" w:left="1701" w:hanging="207"/>
        <w:jc w:val="left"/>
        <w:rPr>
          <w:rFonts w:hAnsi="標楷體"/>
          <w:sz w:val="24"/>
          <w:szCs w:val="24"/>
        </w:rPr>
      </w:pPr>
      <w:r w:rsidRPr="00535039">
        <w:rPr>
          <w:rFonts w:hAnsi="標楷體" w:hint="eastAsia"/>
          <w:sz w:val="24"/>
          <w:szCs w:val="24"/>
        </w:rPr>
        <w:t>塑化劑簡稱對照資訊：</w:t>
      </w:r>
    </w:p>
    <w:tbl>
      <w:tblPr>
        <w:tblStyle w:val="af6"/>
        <w:tblW w:w="7002" w:type="dxa"/>
        <w:tblInd w:w="1696" w:type="dxa"/>
        <w:tblLook w:val="04A0" w:firstRow="1" w:lastRow="0" w:firstColumn="1" w:lastColumn="0" w:noHBand="0" w:noVBand="1"/>
      </w:tblPr>
      <w:tblGrid>
        <w:gridCol w:w="1224"/>
        <w:gridCol w:w="2551"/>
        <w:gridCol w:w="3227"/>
      </w:tblGrid>
      <w:tr w:rsidR="007E5433" w:rsidRPr="00535039" w14:paraId="7D5235EB" w14:textId="77777777" w:rsidTr="0055587B">
        <w:trPr>
          <w:trHeight w:val="361"/>
        </w:trPr>
        <w:tc>
          <w:tcPr>
            <w:tcW w:w="1224" w:type="dxa"/>
          </w:tcPr>
          <w:p w14:paraId="6A091ADA" w14:textId="77777777" w:rsidR="000C69CB" w:rsidRPr="00535039" w:rsidRDefault="000C69CB" w:rsidP="00D20305">
            <w:pPr>
              <w:pStyle w:val="af7"/>
              <w:widowControl/>
              <w:tabs>
                <w:tab w:val="left" w:pos="1276"/>
              </w:tabs>
              <w:overflowPunct/>
              <w:autoSpaceDE/>
              <w:autoSpaceDN/>
              <w:spacing w:line="300" w:lineRule="exact"/>
              <w:ind w:leftChars="0" w:left="0"/>
              <w:jc w:val="center"/>
              <w:rPr>
                <w:rFonts w:hAnsi="標楷體"/>
                <w:sz w:val="20"/>
              </w:rPr>
            </w:pPr>
            <w:r w:rsidRPr="00535039">
              <w:rPr>
                <w:rFonts w:hAnsi="標楷體"/>
                <w:sz w:val="20"/>
              </w:rPr>
              <w:t>英文簡稱</w:t>
            </w:r>
          </w:p>
        </w:tc>
        <w:tc>
          <w:tcPr>
            <w:tcW w:w="2551" w:type="dxa"/>
          </w:tcPr>
          <w:p w14:paraId="7A581EE5" w14:textId="77777777" w:rsidR="000C69CB" w:rsidRPr="00535039" w:rsidRDefault="000C69CB" w:rsidP="00D20305">
            <w:pPr>
              <w:pStyle w:val="af7"/>
              <w:widowControl/>
              <w:tabs>
                <w:tab w:val="left" w:pos="1276"/>
              </w:tabs>
              <w:overflowPunct/>
              <w:autoSpaceDE/>
              <w:autoSpaceDN/>
              <w:spacing w:line="300" w:lineRule="exact"/>
              <w:ind w:leftChars="0" w:left="0"/>
              <w:jc w:val="center"/>
              <w:rPr>
                <w:rFonts w:hAnsi="標楷體"/>
                <w:sz w:val="20"/>
              </w:rPr>
            </w:pPr>
            <w:r w:rsidRPr="00535039">
              <w:rPr>
                <w:rFonts w:hAnsi="標楷體"/>
                <w:sz w:val="20"/>
              </w:rPr>
              <w:t>英文名稱</w:t>
            </w:r>
          </w:p>
        </w:tc>
        <w:tc>
          <w:tcPr>
            <w:tcW w:w="3227" w:type="dxa"/>
          </w:tcPr>
          <w:p w14:paraId="21A62124" w14:textId="77777777" w:rsidR="000C69CB" w:rsidRPr="00535039" w:rsidRDefault="000C69CB" w:rsidP="00D20305">
            <w:pPr>
              <w:pStyle w:val="af7"/>
              <w:widowControl/>
              <w:tabs>
                <w:tab w:val="left" w:pos="1276"/>
              </w:tabs>
              <w:overflowPunct/>
              <w:autoSpaceDE/>
              <w:autoSpaceDN/>
              <w:spacing w:line="300" w:lineRule="exact"/>
              <w:ind w:leftChars="0" w:left="0"/>
              <w:jc w:val="center"/>
              <w:rPr>
                <w:rFonts w:hAnsi="標楷體"/>
                <w:sz w:val="20"/>
              </w:rPr>
            </w:pPr>
            <w:r w:rsidRPr="00535039">
              <w:rPr>
                <w:rFonts w:hAnsi="標楷體"/>
                <w:sz w:val="20"/>
              </w:rPr>
              <w:t>中文名稱</w:t>
            </w:r>
          </w:p>
        </w:tc>
      </w:tr>
      <w:tr w:rsidR="007E5433" w:rsidRPr="00535039" w14:paraId="4BBC4CD1" w14:textId="77777777" w:rsidTr="0055587B">
        <w:trPr>
          <w:trHeight w:val="349"/>
        </w:trPr>
        <w:tc>
          <w:tcPr>
            <w:tcW w:w="1224" w:type="dxa"/>
          </w:tcPr>
          <w:p w14:paraId="55EB8263" w14:textId="77777777" w:rsidR="000C69CB" w:rsidRPr="00535039" w:rsidRDefault="000C69CB" w:rsidP="0055587B">
            <w:pPr>
              <w:pStyle w:val="af7"/>
              <w:widowControl/>
              <w:tabs>
                <w:tab w:val="left" w:pos="1276"/>
              </w:tabs>
              <w:overflowPunct/>
              <w:autoSpaceDE/>
              <w:autoSpaceDN/>
              <w:spacing w:line="300" w:lineRule="exact"/>
              <w:ind w:leftChars="-5" w:left="-17"/>
              <w:jc w:val="center"/>
              <w:rPr>
                <w:rFonts w:hAnsi="標楷體"/>
                <w:sz w:val="20"/>
              </w:rPr>
            </w:pPr>
            <w:r w:rsidRPr="00535039">
              <w:rPr>
                <w:rFonts w:hAnsi="標楷體" w:hint="eastAsia"/>
                <w:sz w:val="20"/>
              </w:rPr>
              <w:t>DEHP</w:t>
            </w:r>
          </w:p>
        </w:tc>
        <w:tc>
          <w:tcPr>
            <w:tcW w:w="2551" w:type="dxa"/>
          </w:tcPr>
          <w:p w14:paraId="46F60048" w14:textId="77777777" w:rsidR="000C69CB" w:rsidRPr="00535039" w:rsidRDefault="000C69CB" w:rsidP="008571FC">
            <w:pPr>
              <w:pStyle w:val="af7"/>
              <w:widowControl/>
              <w:tabs>
                <w:tab w:val="left" w:pos="1276"/>
              </w:tabs>
              <w:overflowPunct/>
              <w:autoSpaceDE/>
              <w:autoSpaceDN/>
              <w:spacing w:line="300" w:lineRule="exact"/>
              <w:ind w:leftChars="-19" w:left="-65" w:rightChars="-4" w:right="-14"/>
              <w:rPr>
                <w:rFonts w:hAnsi="標楷體"/>
                <w:spacing w:val="-14"/>
                <w:sz w:val="20"/>
              </w:rPr>
            </w:pPr>
            <w:r w:rsidRPr="00535039">
              <w:rPr>
                <w:rFonts w:hAnsi="標楷體"/>
                <w:spacing w:val="-14"/>
                <w:sz w:val="20"/>
              </w:rPr>
              <w:t>Di(2-</w:t>
            </w:r>
            <w:proofErr w:type="gramStart"/>
            <w:r w:rsidRPr="00535039">
              <w:rPr>
                <w:rFonts w:hAnsi="標楷體"/>
                <w:spacing w:val="-14"/>
                <w:sz w:val="20"/>
              </w:rPr>
              <w:t>ethylhexyl)phthalat</w:t>
            </w:r>
            <w:r w:rsidRPr="00535039">
              <w:rPr>
                <w:rFonts w:hAnsi="標楷體" w:hint="eastAsia"/>
                <w:spacing w:val="-14"/>
                <w:sz w:val="20"/>
              </w:rPr>
              <w:t>e</w:t>
            </w:r>
            <w:proofErr w:type="gramEnd"/>
          </w:p>
        </w:tc>
        <w:tc>
          <w:tcPr>
            <w:tcW w:w="3227" w:type="dxa"/>
          </w:tcPr>
          <w:p w14:paraId="6675AEB5" w14:textId="77777777" w:rsidR="000C69CB" w:rsidRPr="00535039" w:rsidRDefault="000C69CB" w:rsidP="00D20305">
            <w:pPr>
              <w:pStyle w:val="af7"/>
              <w:widowControl/>
              <w:tabs>
                <w:tab w:val="left" w:pos="1276"/>
              </w:tabs>
              <w:overflowPunct/>
              <w:autoSpaceDE/>
              <w:autoSpaceDN/>
              <w:spacing w:line="300" w:lineRule="exact"/>
              <w:ind w:leftChars="0" w:left="0"/>
              <w:rPr>
                <w:rFonts w:hAnsi="標楷體"/>
                <w:sz w:val="20"/>
              </w:rPr>
            </w:pPr>
            <w:proofErr w:type="gramStart"/>
            <w:r w:rsidRPr="00535039">
              <w:rPr>
                <w:rFonts w:hAnsi="標楷體"/>
                <w:sz w:val="20"/>
              </w:rPr>
              <w:t>鄰苯</w:t>
            </w:r>
            <w:proofErr w:type="gramEnd"/>
            <w:r w:rsidRPr="00535039">
              <w:rPr>
                <w:rFonts w:hAnsi="標楷體"/>
                <w:sz w:val="20"/>
              </w:rPr>
              <w:t>二甲酸二(2-乙基己基)</w:t>
            </w:r>
            <w:r w:rsidRPr="00535039">
              <w:rPr>
                <w:rFonts w:hAnsi="標楷體" w:hint="eastAsia"/>
                <w:sz w:val="20"/>
              </w:rPr>
              <w:t>酯</w:t>
            </w:r>
          </w:p>
        </w:tc>
      </w:tr>
      <w:tr w:rsidR="007E5433" w:rsidRPr="00535039" w14:paraId="44256BB3" w14:textId="77777777" w:rsidTr="0055587B">
        <w:trPr>
          <w:trHeight w:val="361"/>
        </w:trPr>
        <w:tc>
          <w:tcPr>
            <w:tcW w:w="1224" w:type="dxa"/>
          </w:tcPr>
          <w:p w14:paraId="11DBB975" w14:textId="77777777" w:rsidR="000C69CB" w:rsidRPr="00535039" w:rsidRDefault="000C69CB" w:rsidP="00D20305">
            <w:pPr>
              <w:pStyle w:val="af7"/>
              <w:widowControl/>
              <w:tabs>
                <w:tab w:val="left" w:pos="1276"/>
              </w:tabs>
              <w:overflowPunct/>
              <w:autoSpaceDE/>
              <w:autoSpaceDN/>
              <w:spacing w:line="300" w:lineRule="exact"/>
              <w:ind w:leftChars="0" w:left="0"/>
              <w:jc w:val="center"/>
              <w:rPr>
                <w:rFonts w:hAnsi="標楷體"/>
                <w:sz w:val="20"/>
              </w:rPr>
            </w:pPr>
            <w:r w:rsidRPr="00535039">
              <w:rPr>
                <w:rFonts w:hAnsi="標楷體" w:hint="eastAsia"/>
                <w:sz w:val="20"/>
              </w:rPr>
              <w:t>DBP</w:t>
            </w:r>
          </w:p>
        </w:tc>
        <w:tc>
          <w:tcPr>
            <w:tcW w:w="2551" w:type="dxa"/>
          </w:tcPr>
          <w:p w14:paraId="35667494" w14:textId="77777777" w:rsidR="000C69CB" w:rsidRPr="00535039" w:rsidRDefault="000C69CB" w:rsidP="00D20305">
            <w:pPr>
              <w:pStyle w:val="af7"/>
              <w:widowControl/>
              <w:tabs>
                <w:tab w:val="left" w:pos="1276"/>
              </w:tabs>
              <w:overflowPunct/>
              <w:autoSpaceDE/>
              <w:autoSpaceDN/>
              <w:spacing w:line="300" w:lineRule="exact"/>
              <w:ind w:leftChars="0" w:left="0"/>
              <w:rPr>
                <w:rFonts w:hAnsi="標楷體"/>
                <w:sz w:val="20"/>
              </w:rPr>
            </w:pPr>
            <w:r w:rsidRPr="00535039">
              <w:rPr>
                <w:rFonts w:hAnsi="標楷體" w:hint="eastAsia"/>
                <w:sz w:val="20"/>
              </w:rPr>
              <w:t>Di</w:t>
            </w:r>
            <w:r w:rsidRPr="00535039">
              <w:rPr>
                <w:rFonts w:hAnsi="標楷體"/>
                <w:sz w:val="20"/>
              </w:rPr>
              <w:t>butyl phthalate</w:t>
            </w:r>
          </w:p>
        </w:tc>
        <w:tc>
          <w:tcPr>
            <w:tcW w:w="3227" w:type="dxa"/>
          </w:tcPr>
          <w:p w14:paraId="369318A6" w14:textId="77777777" w:rsidR="000C69CB" w:rsidRPr="00535039" w:rsidRDefault="000C69CB" w:rsidP="00D20305">
            <w:pPr>
              <w:pStyle w:val="af7"/>
              <w:widowControl/>
              <w:tabs>
                <w:tab w:val="left" w:pos="1276"/>
              </w:tabs>
              <w:overflowPunct/>
              <w:autoSpaceDE/>
              <w:autoSpaceDN/>
              <w:spacing w:line="300" w:lineRule="exact"/>
              <w:ind w:leftChars="0" w:left="0"/>
              <w:rPr>
                <w:rFonts w:hAnsi="標楷體"/>
                <w:sz w:val="20"/>
              </w:rPr>
            </w:pPr>
            <w:proofErr w:type="gramStart"/>
            <w:r w:rsidRPr="00535039">
              <w:rPr>
                <w:rFonts w:hAnsi="標楷體"/>
                <w:sz w:val="20"/>
              </w:rPr>
              <w:t>鄰苯</w:t>
            </w:r>
            <w:proofErr w:type="gramEnd"/>
            <w:r w:rsidRPr="00535039">
              <w:rPr>
                <w:rFonts w:hAnsi="標楷體"/>
                <w:sz w:val="20"/>
              </w:rPr>
              <w:t>二甲酸二</w:t>
            </w:r>
            <w:proofErr w:type="gramStart"/>
            <w:r w:rsidRPr="00535039">
              <w:rPr>
                <w:rFonts w:hAnsi="標楷體"/>
                <w:sz w:val="20"/>
              </w:rPr>
              <w:t>丁酯</w:t>
            </w:r>
            <w:proofErr w:type="gramEnd"/>
          </w:p>
        </w:tc>
      </w:tr>
      <w:tr w:rsidR="007E5433" w:rsidRPr="00535039" w14:paraId="68EB082B" w14:textId="77777777" w:rsidTr="0055587B">
        <w:trPr>
          <w:trHeight w:val="349"/>
        </w:trPr>
        <w:tc>
          <w:tcPr>
            <w:tcW w:w="1224" w:type="dxa"/>
          </w:tcPr>
          <w:p w14:paraId="6AA1923C" w14:textId="77777777" w:rsidR="000C69CB" w:rsidRPr="00535039" w:rsidRDefault="000C69CB" w:rsidP="00D20305">
            <w:pPr>
              <w:pStyle w:val="af7"/>
              <w:widowControl/>
              <w:tabs>
                <w:tab w:val="left" w:pos="1276"/>
              </w:tabs>
              <w:overflowPunct/>
              <w:autoSpaceDE/>
              <w:autoSpaceDN/>
              <w:spacing w:line="300" w:lineRule="exact"/>
              <w:ind w:leftChars="0" w:left="0"/>
              <w:jc w:val="center"/>
              <w:rPr>
                <w:rFonts w:hAnsi="標楷體"/>
                <w:sz w:val="20"/>
              </w:rPr>
            </w:pPr>
            <w:r w:rsidRPr="00535039">
              <w:rPr>
                <w:rFonts w:hAnsi="標楷體" w:hint="eastAsia"/>
                <w:sz w:val="20"/>
              </w:rPr>
              <w:t>BBP</w:t>
            </w:r>
          </w:p>
        </w:tc>
        <w:tc>
          <w:tcPr>
            <w:tcW w:w="2551" w:type="dxa"/>
          </w:tcPr>
          <w:p w14:paraId="5373EA54" w14:textId="77777777" w:rsidR="000C69CB" w:rsidRPr="00535039" w:rsidRDefault="000C69CB" w:rsidP="008571FC">
            <w:pPr>
              <w:pStyle w:val="af7"/>
              <w:widowControl/>
              <w:tabs>
                <w:tab w:val="left" w:pos="1276"/>
              </w:tabs>
              <w:overflowPunct/>
              <w:autoSpaceDE/>
              <w:autoSpaceDN/>
              <w:spacing w:line="300" w:lineRule="exact"/>
              <w:ind w:leftChars="0" w:left="0"/>
              <w:jc w:val="left"/>
              <w:rPr>
                <w:rFonts w:hAnsi="標楷體"/>
                <w:spacing w:val="-8"/>
                <w:sz w:val="20"/>
              </w:rPr>
            </w:pPr>
            <w:r w:rsidRPr="00535039">
              <w:rPr>
                <w:rFonts w:hAnsi="標楷體" w:hint="eastAsia"/>
                <w:spacing w:val="-8"/>
                <w:sz w:val="20"/>
              </w:rPr>
              <w:t>Benzyl butyl</w:t>
            </w:r>
            <w:r w:rsidRPr="00535039">
              <w:rPr>
                <w:rFonts w:hAnsi="標楷體"/>
                <w:spacing w:val="-8"/>
                <w:sz w:val="20"/>
              </w:rPr>
              <w:t xml:space="preserve"> phthalate</w:t>
            </w:r>
          </w:p>
        </w:tc>
        <w:tc>
          <w:tcPr>
            <w:tcW w:w="3227" w:type="dxa"/>
          </w:tcPr>
          <w:p w14:paraId="20F16CE3" w14:textId="77777777" w:rsidR="000C69CB" w:rsidRPr="00535039" w:rsidRDefault="000C69CB" w:rsidP="00D20305">
            <w:pPr>
              <w:pStyle w:val="af7"/>
              <w:widowControl/>
              <w:tabs>
                <w:tab w:val="left" w:pos="1276"/>
              </w:tabs>
              <w:overflowPunct/>
              <w:autoSpaceDE/>
              <w:autoSpaceDN/>
              <w:spacing w:line="300" w:lineRule="exact"/>
              <w:ind w:leftChars="0" w:left="0"/>
              <w:rPr>
                <w:rFonts w:hAnsi="標楷體"/>
                <w:sz w:val="20"/>
              </w:rPr>
            </w:pPr>
            <w:proofErr w:type="gramStart"/>
            <w:r w:rsidRPr="00535039">
              <w:rPr>
                <w:rFonts w:hAnsi="標楷體"/>
                <w:sz w:val="20"/>
              </w:rPr>
              <w:t>鄰苯</w:t>
            </w:r>
            <w:proofErr w:type="gramEnd"/>
            <w:r w:rsidRPr="00535039">
              <w:rPr>
                <w:rFonts w:hAnsi="標楷體"/>
                <w:sz w:val="20"/>
              </w:rPr>
              <w:t>二甲</w:t>
            </w:r>
            <w:proofErr w:type="gramStart"/>
            <w:r w:rsidRPr="00535039">
              <w:rPr>
                <w:rFonts w:hAnsi="標楷體"/>
                <w:sz w:val="20"/>
              </w:rPr>
              <w:t>酸</w:t>
            </w:r>
            <w:r w:rsidRPr="00535039">
              <w:rPr>
                <w:rFonts w:hAnsi="標楷體" w:hint="eastAsia"/>
                <w:sz w:val="20"/>
              </w:rPr>
              <w:t>丁苯甲酯</w:t>
            </w:r>
            <w:proofErr w:type="gramEnd"/>
          </w:p>
        </w:tc>
      </w:tr>
      <w:tr w:rsidR="007E5433" w:rsidRPr="00535039" w14:paraId="5C8E9314" w14:textId="77777777" w:rsidTr="0055587B">
        <w:trPr>
          <w:trHeight w:val="361"/>
        </w:trPr>
        <w:tc>
          <w:tcPr>
            <w:tcW w:w="1224" w:type="dxa"/>
          </w:tcPr>
          <w:p w14:paraId="1BA5534F" w14:textId="77777777" w:rsidR="000C69CB" w:rsidRPr="00535039" w:rsidRDefault="000C69CB" w:rsidP="00D20305">
            <w:pPr>
              <w:pStyle w:val="af7"/>
              <w:widowControl/>
              <w:tabs>
                <w:tab w:val="left" w:pos="1276"/>
              </w:tabs>
              <w:overflowPunct/>
              <w:autoSpaceDE/>
              <w:autoSpaceDN/>
              <w:spacing w:line="300" w:lineRule="exact"/>
              <w:ind w:leftChars="0" w:left="0"/>
              <w:jc w:val="center"/>
              <w:rPr>
                <w:rFonts w:hAnsi="標楷體"/>
                <w:sz w:val="20"/>
              </w:rPr>
            </w:pPr>
            <w:r w:rsidRPr="00535039">
              <w:rPr>
                <w:rFonts w:hAnsi="標楷體"/>
                <w:sz w:val="20"/>
              </w:rPr>
              <w:t>DIDP</w:t>
            </w:r>
          </w:p>
        </w:tc>
        <w:tc>
          <w:tcPr>
            <w:tcW w:w="2551" w:type="dxa"/>
          </w:tcPr>
          <w:p w14:paraId="3079B094" w14:textId="77777777" w:rsidR="000C69CB" w:rsidRPr="00535039" w:rsidRDefault="000C69CB" w:rsidP="00D20305">
            <w:pPr>
              <w:pStyle w:val="af7"/>
              <w:widowControl/>
              <w:tabs>
                <w:tab w:val="left" w:pos="1276"/>
              </w:tabs>
              <w:overflowPunct/>
              <w:autoSpaceDE/>
              <w:autoSpaceDN/>
              <w:spacing w:line="300" w:lineRule="exact"/>
              <w:ind w:leftChars="0" w:left="0"/>
              <w:rPr>
                <w:rFonts w:hAnsi="標楷體"/>
                <w:sz w:val="20"/>
              </w:rPr>
            </w:pPr>
            <w:r w:rsidRPr="00535039">
              <w:rPr>
                <w:rFonts w:hAnsi="標楷體"/>
                <w:sz w:val="20"/>
              </w:rPr>
              <w:t>Di-</w:t>
            </w:r>
            <w:proofErr w:type="spellStart"/>
            <w:r w:rsidRPr="00535039">
              <w:rPr>
                <w:rFonts w:hAnsi="標楷體"/>
                <w:sz w:val="20"/>
              </w:rPr>
              <w:t>isodecyl</w:t>
            </w:r>
            <w:proofErr w:type="spellEnd"/>
            <w:r w:rsidRPr="00535039">
              <w:rPr>
                <w:rFonts w:hAnsi="標楷體"/>
                <w:sz w:val="20"/>
              </w:rPr>
              <w:t xml:space="preserve"> phthalate </w:t>
            </w:r>
          </w:p>
        </w:tc>
        <w:tc>
          <w:tcPr>
            <w:tcW w:w="3227" w:type="dxa"/>
          </w:tcPr>
          <w:p w14:paraId="4777DE0E" w14:textId="77777777" w:rsidR="000C69CB" w:rsidRPr="00535039" w:rsidRDefault="000C69CB" w:rsidP="00D20305">
            <w:pPr>
              <w:pStyle w:val="af7"/>
              <w:widowControl/>
              <w:tabs>
                <w:tab w:val="left" w:pos="1276"/>
              </w:tabs>
              <w:overflowPunct/>
              <w:autoSpaceDE/>
              <w:autoSpaceDN/>
              <w:spacing w:line="300" w:lineRule="exact"/>
              <w:ind w:leftChars="0" w:left="0"/>
              <w:rPr>
                <w:rFonts w:hAnsi="標楷體"/>
                <w:sz w:val="20"/>
              </w:rPr>
            </w:pPr>
            <w:proofErr w:type="gramStart"/>
            <w:r w:rsidRPr="00535039">
              <w:rPr>
                <w:rFonts w:hAnsi="標楷體"/>
                <w:sz w:val="20"/>
              </w:rPr>
              <w:t>鄰苯</w:t>
            </w:r>
            <w:proofErr w:type="gramEnd"/>
            <w:r w:rsidRPr="00535039">
              <w:rPr>
                <w:rFonts w:hAnsi="標楷體"/>
                <w:sz w:val="20"/>
              </w:rPr>
              <w:t>二甲酸二異</w:t>
            </w:r>
            <w:proofErr w:type="gramStart"/>
            <w:r w:rsidRPr="00535039">
              <w:rPr>
                <w:rFonts w:hAnsi="標楷體"/>
                <w:sz w:val="20"/>
              </w:rPr>
              <w:t>癸</w:t>
            </w:r>
            <w:proofErr w:type="gramEnd"/>
            <w:r w:rsidRPr="00535039">
              <w:rPr>
                <w:rFonts w:hAnsi="標楷體"/>
                <w:sz w:val="20"/>
              </w:rPr>
              <w:t>酯</w:t>
            </w:r>
          </w:p>
        </w:tc>
      </w:tr>
      <w:tr w:rsidR="007E5433" w:rsidRPr="00535039" w14:paraId="5764E467" w14:textId="77777777" w:rsidTr="0055587B">
        <w:trPr>
          <w:trHeight w:val="349"/>
        </w:trPr>
        <w:tc>
          <w:tcPr>
            <w:tcW w:w="1224" w:type="dxa"/>
          </w:tcPr>
          <w:p w14:paraId="64AD57DB" w14:textId="77777777" w:rsidR="000C69CB" w:rsidRPr="00535039" w:rsidRDefault="000C69CB" w:rsidP="00D20305">
            <w:pPr>
              <w:pStyle w:val="af7"/>
              <w:widowControl/>
              <w:tabs>
                <w:tab w:val="left" w:pos="1276"/>
              </w:tabs>
              <w:overflowPunct/>
              <w:autoSpaceDE/>
              <w:autoSpaceDN/>
              <w:spacing w:line="300" w:lineRule="exact"/>
              <w:ind w:leftChars="0" w:left="0"/>
              <w:jc w:val="center"/>
              <w:rPr>
                <w:rFonts w:hAnsi="標楷體"/>
                <w:sz w:val="20"/>
              </w:rPr>
            </w:pPr>
            <w:r w:rsidRPr="00535039">
              <w:rPr>
                <w:rFonts w:hAnsi="標楷體"/>
                <w:sz w:val="20"/>
              </w:rPr>
              <w:t>DINP</w:t>
            </w:r>
          </w:p>
        </w:tc>
        <w:tc>
          <w:tcPr>
            <w:tcW w:w="2551" w:type="dxa"/>
          </w:tcPr>
          <w:p w14:paraId="6910547B" w14:textId="77777777" w:rsidR="000C69CB" w:rsidRPr="00535039" w:rsidRDefault="000C69CB" w:rsidP="00D20305">
            <w:pPr>
              <w:pStyle w:val="af7"/>
              <w:widowControl/>
              <w:tabs>
                <w:tab w:val="left" w:pos="1276"/>
              </w:tabs>
              <w:overflowPunct/>
              <w:autoSpaceDE/>
              <w:autoSpaceDN/>
              <w:spacing w:line="300" w:lineRule="exact"/>
              <w:ind w:leftChars="0" w:left="0"/>
              <w:rPr>
                <w:rFonts w:hAnsi="標楷體"/>
                <w:sz w:val="20"/>
              </w:rPr>
            </w:pPr>
            <w:r w:rsidRPr="00535039">
              <w:rPr>
                <w:rFonts w:hAnsi="標楷體"/>
                <w:sz w:val="20"/>
              </w:rPr>
              <w:t xml:space="preserve">Di-isononyl phthalate </w:t>
            </w:r>
          </w:p>
        </w:tc>
        <w:tc>
          <w:tcPr>
            <w:tcW w:w="3227" w:type="dxa"/>
          </w:tcPr>
          <w:p w14:paraId="3285F06A" w14:textId="77777777" w:rsidR="000C69CB" w:rsidRPr="00535039" w:rsidRDefault="000C69CB" w:rsidP="00D20305">
            <w:pPr>
              <w:pStyle w:val="af7"/>
              <w:widowControl/>
              <w:tabs>
                <w:tab w:val="left" w:pos="1276"/>
              </w:tabs>
              <w:overflowPunct/>
              <w:autoSpaceDE/>
              <w:autoSpaceDN/>
              <w:spacing w:line="300" w:lineRule="exact"/>
              <w:ind w:leftChars="0" w:left="0"/>
              <w:rPr>
                <w:rFonts w:hAnsi="標楷體"/>
                <w:sz w:val="20"/>
              </w:rPr>
            </w:pPr>
            <w:proofErr w:type="gramStart"/>
            <w:r w:rsidRPr="00535039">
              <w:rPr>
                <w:rFonts w:hAnsi="標楷體"/>
                <w:sz w:val="20"/>
              </w:rPr>
              <w:t>鄰苯</w:t>
            </w:r>
            <w:proofErr w:type="gramEnd"/>
            <w:r w:rsidRPr="00535039">
              <w:rPr>
                <w:rFonts w:hAnsi="標楷體"/>
                <w:sz w:val="20"/>
              </w:rPr>
              <w:t>二甲酸二</w:t>
            </w:r>
            <w:proofErr w:type="gramStart"/>
            <w:r w:rsidRPr="00535039">
              <w:rPr>
                <w:rFonts w:hAnsi="標楷體"/>
                <w:sz w:val="20"/>
              </w:rPr>
              <w:t>異壬酯</w:t>
            </w:r>
            <w:proofErr w:type="gramEnd"/>
          </w:p>
        </w:tc>
      </w:tr>
      <w:tr w:rsidR="007E5433" w:rsidRPr="00535039" w14:paraId="65D7E53E" w14:textId="77777777" w:rsidTr="0055587B">
        <w:trPr>
          <w:trHeight w:val="361"/>
        </w:trPr>
        <w:tc>
          <w:tcPr>
            <w:tcW w:w="1224" w:type="dxa"/>
          </w:tcPr>
          <w:p w14:paraId="549B31B6" w14:textId="77777777" w:rsidR="000C69CB" w:rsidRPr="00535039" w:rsidRDefault="000C69CB" w:rsidP="00D20305">
            <w:pPr>
              <w:pStyle w:val="af7"/>
              <w:widowControl/>
              <w:tabs>
                <w:tab w:val="left" w:pos="1276"/>
              </w:tabs>
              <w:overflowPunct/>
              <w:autoSpaceDE/>
              <w:autoSpaceDN/>
              <w:spacing w:line="300" w:lineRule="exact"/>
              <w:ind w:leftChars="0" w:left="0"/>
              <w:jc w:val="center"/>
              <w:rPr>
                <w:rFonts w:hAnsi="標楷體"/>
                <w:sz w:val="20"/>
              </w:rPr>
            </w:pPr>
            <w:r w:rsidRPr="00535039">
              <w:rPr>
                <w:rFonts w:hAnsi="標楷體"/>
                <w:sz w:val="20"/>
              </w:rPr>
              <w:t>DIBP</w:t>
            </w:r>
          </w:p>
        </w:tc>
        <w:tc>
          <w:tcPr>
            <w:tcW w:w="2551" w:type="dxa"/>
          </w:tcPr>
          <w:p w14:paraId="60CEFB57" w14:textId="77777777" w:rsidR="000C69CB" w:rsidRPr="00535039" w:rsidRDefault="000C69CB" w:rsidP="00D20305">
            <w:pPr>
              <w:pStyle w:val="af7"/>
              <w:widowControl/>
              <w:tabs>
                <w:tab w:val="left" w:pos="1276"/>
              </w:tabs>
              <w:overflowPunct/>
              <w:autoSpaceDE/>
              <w:autoSpaceDN/>
              <w:spacing w:line="300" w:lineRule="exact"/>
              <w:ind w:leftChars="0" w:left="0"/>
              <w:rPr>
                <w:rFonts w:hAnsi="標楷體"/>
                <w:sz w:val="20"/>
              </w:rPr>
            </w:pPr>
            <w:r w:rsidRPr="00535039">
              <w:rPr>
                <w:rFonts w:hAnsi="標楷體"/>
                <w:sz w:val="20"/>
              </w:rPr>
              <w:t>Di</w:t>
            </w:r>
            <w:r w:rsidRPr="00535039">
              <w:rPr>
                <w:rFonts w:hAnsi="標楷體"/>
                <w:sz w:val="20"/>
              </w:rPr>
              <w:noBreakHyphen/>
              <w:t>isobutyl phthalate</w:t>
            </w:r>
          </w:p>
        </w:tc>
        <w:tc>
          <w:tcPr>
            <w:tcW w:w="3227" w:type="dxa"/>
          </w:tcPr>
          <w:p w14:paraId="7F8D2BD7" w14:textId="77777777" w:rsidR="000C69CB" w:rsidRPr="00535039" w:rsidRDefault="000C69CB" w:rsidP="00D20305">
            <w:pPr>
              <w:pStyle w:val="af7"/>
              <w:widowControl/>
              <w:tabs>
                <w:tab w:val="left" w:pos="1276"/>
              </w:tabs>
              <w:overflowPunct/>
              <w:autoSpaceDE/>
              <w:autoSpaceDN/>
              <w:spacing w:line="300" w:lineRule="exact"/>
              <w:ind w:leftChars="0" w:left="0"/>
              <w:rPr>
                <w:rFonts w:hAnsi="標楷體"/>
                <w:sz w:val="20"/>
              </w:rPr>
            </w:pPr>
            <w:proofErr w:type="gramStart"/>
            <w:r w:rsidRPr="00535039">
              <w:rPr>
                <w:rFonts w:hAnsi="標楷體"/>
                <w:sz w:val="20"/>
              </w:rPr>
              <w:t>鄰苯</w:t>
            </w:r>
            <w:proofErr w:type="gramEnd"/>
            <w:r w:rsidRPr="00535039">
              <w:rPr>
                <w:rFonts w:hAnsi="標楷體"/>
                <w:sz w:val="20"/>
              </w:rPr>
              <w:t>二甲酸二</w:t>
            </w:r>
            <w:proofErr w:type="gramStart"/>
            <w:r w:rsidRPr="00535039">
              <w:rPr>
                <w:rFonts w:hAnsi="標楷體"/>
                <w:sz w:val="20"/>
              </w:rPr>
              <w:t>異丁酯</w:t>
            </w:r>
            <w:proofErr w:type="gramEnd"/>
          </w:p>
        </w:tc>
      </w:tr>
      <w:tr w:rsidR="007E5433" w:rsidRPr="00535039" w14:paraId="6AB4AA1A" w14:textId="77777777" w:rsidTr="0055587B">
        <w:trPr>
          <w:trHeight w:val="349"/>
        </w:trPr>
        <w:tc>
          <w:tcPr>
            <w:tcW w:w="1224" w:type="dxa"/>
          </w:tcPr>
          <w:p w14:paraId="26826B65" w14:textId="77777777" w:rsidR="000C69CB" w:rsidRPr="00535039" w:rsidRDefault="000C69CB" w:rsidP="00D20305">
            <w:pPr>
              <w:pStyle w:val="af7"/>
              <w:widowControl/>
              <w:tabs>
                <w:tab w:val="left" w:pos="1276"/>
              </w:tabs>
              <w:overflowPunct/>
              <w:autoSpaceDE/>
              <w:autoSpaceDN/>
              <w:spacing w:line="300" w:lineRule="exact"/>
              <w:ind w:leftChars="0" w:left="0"/>
              <w:jc w:val="center"/>
              <w:rPr>
                <w:rFonts w:hAnsi="標楷體"/>
                <w:sz w:val="20"/>
              </w:rPr>
            </w:pPr>
            <w:r w:rsidRPr="00535039">
              <w:rPr>
                <w:rFonts w:hAnsi="標楷體"/>
                <w:sz w:val="20"/>
              </w:rPr>
              <w:lastRenderedPageBreak/>
              <w:t>DEHA</w:t>
            </w:r>
          </w:p>
        </w:tc>
        <w:tc>
          <w:tcPr>
            <w:tcW w:w="2551" w:type="dxa"/>
          </w:tcPr>
          <w:p w14:paraId="745EBC6F" w14:textId="77777777" w:rsidR="000C69CB" w:rsidRPr="00535039" w:rsidRDefault="000C69CB" w:rsidP="00D20305">
            <w:pPr>
              <w:pStyle w:val="af7"/>
              <w:widowControl/>
              <w:tabs>
                <w:tab w:val="left" w:pos="1276"/>
              </w:tabs>
              <w:overflowPunct/>
              <w:autoSpaceDE/>
              <w:autoSpaceDN/>
              <w:spacing w:line="300" w:lineRule="exact"/>
              <w:ind w:leftChars="0" w:left="0"/>
              <w:rPr>
                <w:rFonts w:hAnsi="標楷體"/>
                <w:sz w:val="20"/>
              </w:rPr>
            </w:pPr>
            <w:r w:rsidRPr="00535039">
              <w:rPr>
                <w:rFonts w:hAnsi="標楷體"/>
                <w:sz w:val="20"/>
              </w:rPr>
              <w:t>Di(2</w:t>
            </w:r>
            <w:r w:rsidRPr="00535039">
              <w:rPr>
                <w:rFonts w:hAnsi="標楷體"/>
                <w:sz w:val="20"/>
              </w:rPr>
              <w:noBreakHyphen/>
              <w:t>ethylhexyl) adipate</w:t>
            </w:r>
          </w:p>
        </w:tc>
        <w:tc>
          <w:tcPr>
            <w:tcW w:w="3227" w:type="dxa"/>
          </w:tcPr>
          <w:p w14:paraId="716FD7BF" w14:textId="77777777" w:rsidR="000C69CB" w:rsidRPr="00535039" w:rsidRDefault="000C69CB" w:rsidP="00D20305">
            <w:pPr>
              <w:pStyle w:val="af7"/>
              <w:widowControl/>
              <w:tabs>
                <w:tab w:val="left" w:pos="1276"/>
              </w:tabs>
              <w:overflowPunct/>
              <w:autoSpaceDE/>
              <w:autoSpaceDN/>
              <w:spacing w:line="300" w:lineRule="exact"/>
              <w:ind w:leftChars="0" w:left="0"/>
              <w:rPr>
                <w:rFonts w:hAnsi="標楷體"/>
                <w:sz w:val="20"/>
              </w:rPr>
            </w:pPr>
            <w:r w:rsidRPr="00535039">
              <w:rPr>
                <w:rFonts w:hAnsi="標楷體"/>
                <w:sz w:val="20"/>
              </w:rPr>
              <w:t>己二酸二(2</w:t>
            </w:r>
            <w:r w:rsidRPr="00535039">
              <w:rPr>
                <w:rFonts w:hAnsi="標楷體"/>
                <w:sz w:val="20"/>
              </w:rPr>
              <w:noBreakHyphen/>
              <w:t>乙基己)酯</w:t>
            </w:r>
          </w:p>
        </w:tc>
      </w:tr>
    </w:tbl>
    <w:p w14:paraId="2FEEA10E" w14:textId="64DE4318" w:rsidR="000C69CB" w:rsidRPr="00535039" w:rsidRDefault="000C69CB" w:rsidP="002B5CC9">
      <w:pPr>
        <w:widowControl/>
        <w:tabs>
          <w:tab w:val="left" w:pos="1276"/>
        </w:tabs>
        <w:overflowPunct/>
        <w:autoSpaceDE/>
        <w:autoSpaceDN/>
        <w:spacing w:line="300" w:lineRule="exact"/>
        <w:ind w:left="2100" w:hanging="399"/>
        <w:rPr>
          <w:rFonts w:hAnsi="標楷體"/>
          <w:sz w:val="24"/>
          <w:szCs w:val="24"/>
        </w:rPr>
      </w:pPr>
      <w:r w:rsidRPr="00535039">
        <w:rPr>
          <w:rFonts w:hAnsi="標楷體" w:hint="eastAsia"/>
          <w:sz w:val="24"/>
          <w:szCs w:val="24"/>
        </w:rPr>
        <w:t>資料來源：</w:t>
      </w:r>
      <w:proofErr w:type="gramStart"/>
      <w:r w:rsidRPr="00535039">
        <w:rPr>
          <w:rFonts w:hAnsi="標楷體" w:hint="eastAsia"/>
          <w:sz w:val="24"/>
          <w:szCs w:val="24"/>
        </w:rPr>
        <w:t>食藥署</w:t>
      </w:r>
      <w:proofErr w:type="gramEnd"/>
      <w:r w:rsidR="002B2EBB" w:rsidRPr="00535039">
        <w:rPr>
          <w:rFonts w:hAnsi="標楷體" w:hint="eastAsia"/>
          <w:sz w:val="24"/>
          <w:szCs w:val="24"/>
        </w:rPr>
        <w:t>。</w:t>
      </w:r>
    </w:p>
    <w:p w14:paraId="3F46E279" w14:textId="77777777" w:rsidR="005D659F" w:rsidRPr="00535039" w:rsidRDefault="005D659F" w:rsidP="000C69CB">
      <w:pPr>
        <w:pStyle w:val="3"/>
        <w:numPr>
          <w:ilvl w:val="0"/>
          <w:numId w:val="0"/>
        </w:numPr>
        <w:ind w:left="1361"/>
        <w:rPr>
          <w:rFonts w:hAnsi="標楷體"/>
        </w:rPr>
      </w:pPr>
    </w:p>
    <w:p w14:paraId="14A155D6" w14:textId="77777777" w:rsidR="000C69CB" w:rsidRPr="00535039" w:rsidRDefault="000C69CB" w:rsidP="008E5B40">
      <w:pPr>
        <w:pStyle w:val="4"/>
        <w:rPr>
          <w:rFonts w:hAnsi="標楷體"/>
        </w:rPr>
      </w:pPr>
      <w:r w:rsidRPr="00535039">
        <w:rPr>
          <w:rFonts w:hAnsi="標楷體" w:hint="eastAsia"/>
        </w:rPr>
        <w:t>美國</w:t>
      </w:r>
    </w:p>
    <w:p w14:paraId="0C66A014" w14:textId="249A68DB" w:rsidR="000C69CB" w:rsidRPr="00535039" w:rsidRDefault="000C69CB" w:rsidP="003D2E29">
      <w:pPr>
        <w:pStyle w:val="42"/>
        <w:ind w:left="1701" w:firstLine="680"/>
        <w:rPr>
          <w:rFonts w:hAnsi="標楷體"/>
        </w:rPr>
      </w:pPr>
      <w:r w:rsidRPr="00535039">
        <w:rPr>
          <w:rFonts w:hAnsi="標楷體" w:hint="eastAsia"/>
          <w:u w:val="single"/>
        </w:rPr>
        <w:t>美國</w:t>
      </w:r>
      <w:r w:rsidRPr="00535039">
        <w:rPr>
          <w:rFonts w:hAnsi="標楷體"/>
          <w:u w:val="single"/>
        </w:rPr>
        <w:t>於2024年10月30日</w:t>
      </w:r>
      <w:r w:rsidRPr="00535039">
        <w:rPr>
          <w:rFonts w:hAnsi="標楷體"/>
        </w:rPr>
        <w:t>正式確認（87 FR 31080之修正案）修正美國聯邦法規21 CFR</w:t>
      </w:r>
      <w:r w:rsidRPr="00535039">
        <w:rPr>
          <w:rStyle w:val="afe"/>
          <w:rFonts w:hAnsi="標楷體"/>
        </w:rPr>
        <w:footnoteReference w:id="31"/>
      </w:r>
      <w:r w:rsidRPr="00535039">
        <w:rPr>
          <w:rFonts w:hAnsi="標楷體"/>
        </w:rPr>
        <w:t>第175、176、177和178部分的食品添加劑法規，</w:t>
      </w:r>
      <w:r w:rsidRPr="00535039">
        <w:rPr>
          <w:rFonts w:hAnsi="標楷體"/>
          <w:u w:val="single"/>
        </w:rPr>
        <w:t>刪除25</w:t>
      </w:r>
      <w:r w:rsidRPr="00535039">
        <w:rPr>
          <w:rFonts w:hAnsi="標楷體" w:hint="eastAsia"/>
          <w:u w:val="single"/>
        </w:rPr>
        <w:t>項</w:t>
      </w:r>
      <w:r w:rsidRPr="00535039">
        <w:rPr>
          <w:rFonts w:hAnsi="標楷體"/>
          <w:u w:val="single"/>
        </w:rPr>
        <w:t>塑化劑</w:t>
      </w:r>
      <w:r w:rsidRPr="00535039">
        <w:rPr>
          <w:rFonts w:hAnsi="標楷體" w:hint="eastAsia"/>
          <w:u w:val="single"/>
        </w:rPr>
        <w:t>供為</w:t>
      </w:r>
      <w:r w:rsidRPr="00535039">
        <w:rPr>
          <w:rFonts w:hAnsi="標楷體"/>
          <w:u w:val="single"/>
        </w:rPr>
        <w:t>「</w:t>
      </w:r>
      <w:proofErr w:type="gramStart"/>
      <w:r w:rsidRPr="00535039">
        <w:rPr>
          <w:rFonts w:hAnsi="標楷體"/>
          <w:u w:val="single"/>
        </w:rPr>
        <w:t>增塑劑</w:t>
      </w:r>
      <w:proofErr w:type="gramEnd"/>
      <w:r w:rsidRPr="00535039">
        <w:rPr>
          <w:rFonts w:hAnsi="標楷體"/>
          <w:u w:val="single"/>
        </w:rPr>
        <w:t>(plasticizer)」之用途</w:t>
      </w:r>
      <w:r w:rsidRPr="00535039">
        <w:rPr>
          <w:rFonts w:hAnsi="標楷體" w:hint="eastAsia"/>
        </w:rPr>
        <w:t>(詳如表</w:t>
      </w:r>
      <w:r w:rsidR="00A57236">
        <w:rPr>
          <w:rFonts w:hAnsi="標楷體" w:hint="eastAsia"/>
        </w:rPr>
        <w:t>2</w:t>
      </w:r>
      <w:r w:rsidRPr="00535039">
        <w:rPr>
          <w:rFonts w:hAnsi="標楷體" w:hint="eastAsia"/>
        </w:rPr>
        <w:t>)</w:t>
      </w:r>
      <w:r w:rsidRPr="00535039">
        <w:rPr>
          <w:rFonts w:hAnsi="標楷體"/>
        </w:rPr>
        <w:t>，</w:t>
      </w:r>
      <w:r w:rsidRPr="00535039">
        <w:rPr>
          <w:rFonts w:hAnsi="標楷體"/>
          <w:u w:val="single"/>
        </w:rPr>
        <w:t>但其他</w:t>
      </w:r>
      <w:proofErr w:type="gramStart"/>
      <w:r w:rsidRPr="00535039">
        <w:rPr>
          <w:rFonts w:hAnsi="標楷體"/>
          <w:u w:val="single"/>
        </w:rPr>
        <w:t>非增塑劑</w:t>
      </w:r>
      <w:proofErr w:type="gramEnd"/>
      <w:r w:rsidRPr="00535039">
        <w:rPr>
          <w:rFonts w:hAnsi="標楷體"/>
          <w:u w:val="single"/>
        </w:rPr>
        <w:t>用途</w:t>
      </w:r>
      <w:r w:rsidRPr="00535039">
        <w:rPr>
          <w:rFonts w:hAnsi="標楷體"/>
        </w:rPr>
        <w:t>(例如</w:t>
      </w:r>
      <w:r w:rsidRPr="00535039">
        <w:rPr>
          <w:rFonts w:hAnsi="標楷體" w:hint="eastAsia"/>
        </w:rPr>
        <w:t>：</w:t>
      </w:r>
      <w:r w:rsidRPr="00535039">
        <w:rPr>
          <w:rFonts w:hAnsi="標楷體"/>
        </w:rPr>
        <w:t>膠</w:t>
      </w:r>
      <w:proofErr w:type="gramStart"/>
      <w:r w:rsidRPr="00535039">
        <w:rPr>
          <w:rFonts w:hAnsi="標楷體"/>
        </w:rPr>
        <w:t>黏</w:t>
      </w:r>
      <w:proofErr w:type="gramEnd"/>
      <w:r w:rsidRPr="00535039">
        <w:rPr>
          <w:rFonts w:hAnsi="標楷體"/>
        </w:rPr>
        <w:t>劑、塗料、單體和其他用途添加劑等)</w:t>
      </w:r>
      <w:proofErr w:type="gramStart"/>
      <w:r w:rsidRPr="00535039">
        <w:rPr>
          <w:rFonts w:hAnsi="標楷體"/>
        </w:rPr>
        <w:t>之鄰苯</w:t>
      </w:r>
      <w:proofErr w:type="gramEnd"/>
      <w:r w:rsidRPr="00535039">
        <w:rPr>
          <w:rFonts w:hAnsi="標楷體"/>
        </w:rPr>
        <w:t>二甲</w:t>
      </w:r>
      <w:proofErr w:type="gramStart"/>
      <w:r w:rsidRPr="00535039">
        <w:rPr>
          <w:rFonts w:hAnsi="標楷體"/>
        </w:rPr>
        <w:t>酸酯類</w:t>
      </w:r>
      <w:proofErr w:type="gramEnd"/>
      <w:r w:rsidRPr="00535039">
        <w:rPr>
          <w:rFonts w:hAnsi="標楷體"/>
        </w:rPr>
        <w:t>非其評估對象，</w:t>
      </w:r>
      <w:proofErr w:type="gramStart"/>
      <w:r w:rsidRPr="00535039">
        <w:rPr>
          <w:rFonts w:hAnsi="標楷體"/>
        </w:rPr>
        <w:t>包括</w:t>
      </w:r>
      <w:r w:rsidRPr="00535039">
        <w:rPr>
          <w:rFonts w:hAnsi="標楷體" w:hint="eastAsia"/>
          <w:szCs w:val="32"/>
        </w:rPr>
        <w:t>鄰苯</w:t>
      </w:r>
      <w:proofErr w:type="gramEnd"/>
      <w:r w:rsidRPr="00535039">
        <w:rPr>
          <w:rFonts w:hAnsi="標楷體" w:hint="eastAsia"/>
          <w:szCs w:val="32"/>
        </w:rPr>
        <w:t>二甲酸二（</w:t>
      </w:r>
      <w:r w:rsidRPr="00535039">
        <w:rPr>
          <w:rFonts w:hAnsi="標楷體"/>
          <w:szCs w:val="32"/>
        </w:rPr>
        <w:t>2-</w:t>
      </w:r>
      <w:r w:rsidRPr="00535039">
        <w:rPr>
          <w:rFonts w:hAnsi="標楷體" w:hint="eastAsia"/>
          <w:szCs w:val="32"/>
        </w:rPr>
        <w:t>乙基己基）酯（</w:t>
      </w:r>
      <w:r w:rsidRPr="00535039">
        <w:rPr>
          <w:rFonts w:hAnsi="標楷體"/>
          <w:szCs w:val="32"/>
        </w:rPr>
        <w:t>DEHP</w:t>
      </w:r>
      <w:r w:rsidRPr="00535039">
        <w:rPr>
          <w:rFonts w:hAnsi="標楷體" w:hint="eastAsia"/>
          <w:szCs w:val="32"/>
        </w:rPr>
        <w:t>）</w:t>
      </w:r>
      <w:r w:rsidRPr="00535039">
        <w:rPr>
          <w:rFonts w:hAnsi="標楷體" w:hint="eastAsia"/>
        </w:rPr>
        <w:t>、</w:t>
      </w:r>
      <w:proofErr w:type="gramStart"/>
      <w:r w:rsidRPr="00535039">
        <w:rPr>
          <w:rFonts w:hAnsi="標楷體" w:hint="eastAsia"/>
          <w:szCs w:val="32"/>
        </w:rPr>
        <w:t>鄰苯</w:t>
      </w:r>
      <w:proofErr w:type="gramEnd"/>
      <w:r w:rsidRPr="00535039">
        <w:rPr>
          <w:rFonts w:hAnsi="標楷體" w:hint="eastAsia"/>
        </w:rPr>
        <w:t>二甲酸二</w:t>
      </w:r>
      <w:proofErr w:type="gramStart"/>
      <w:r w:rsidRPr="00535039">
        <w:rPr>
          <w:rFonts w:hAnsi="標楷體" w:hint="eastAsia"/>
        </w:rPr>
        <w:t>丁酯(</w:t>
      </w:r>
      <w:proofErr w:type="gramEnd"/>
      <w:r w:rsidRPr="00535039">
        <w:rPr>
          <w:rFonts w:hAnsi="標楷體"/>
        </w:rPr>
        <w:t>DBP</w:t>
      </w:r>
      <w:r w:rsidRPr="00535039">
        <w:rPr>
          <w:rFonts w:hAnsi="標楷體" w:hint="eastAsia"/>
        </w:rPr>
        <w:t>)、</w:t>
      </w:r>
      <w:proofErr w:type="gramStart"/>
      <w:r w:rsidRPr="00535039">
        <w:rPr>
          <w:rFonts w:hAnsi="標楷體" w:hint="eastAsia"/>
          <w:szCs w:val="32"/>
        </w:rPr>
        <w:t>鄰苯</w:t>
      </w:r>
      <w:proofErr w:type="gramEnd"/>
      <w:r w:rsidRPr="00535039">
        <w:rPr>
          <w:rFonts w:hAnsi="標楷體" w:hint="eastAsia"/>
        </w:rPr>
        <w:t>二甲</w:t>
      </w:r>
      <w:proofErr w:type="gramStart"/>
      <w:r w:rsidRPr="00535039">
        <w:rPr>
          <w:rFonts w:hAnsi="標楷體" w:hint="eastAsia"/>
        </w:rPr>
        <w:t>酸丁苯甲酯(</w:t>
      </w:r>
      <w:proofErr w:type="gramEnd"/>
      <w:r w:rsidRPr="00535039">
        <w:rPr>
          <w:rFonts w:hAnsi="標楷體"/>
        </w:rPr>
        <w:t>BBP</w:t>
      </w:r>
      <w:r w:rsidRPr="00535039">
        <w:rPr>
          <w:rFonts w:hAnsi="標楷體" w:hint="eastAsia"/>
        </w:rPr>
        <w:t>)及己二酸二</w:t>
      </w:r>
      <w:proofErr w:type="gramStart"/>
      <w:r w:rsidRPr="00535039">
        <w:rPr>
          <w:rFonts w:hAnsi="標楷體" w:hint="eastAsia"/>
        </w:rPr>
        <w:t>辛酯(</w:t>
      </w:r>
      <w:proofErr w:type="gramEnd"/>
      <w:r w:rsidRPr="00535039">
        <w:rPr>
          <w:rFonts w:hAnsi="標楷體"/>
        </w:rPr>
        <w:t>DEHA</w:t>
      </w:r>
      <w:r w:rsidRPr="00535039">
        <w:rPr>
          <w:rFonts w:hAnsi="標楷體" w:hint="eastAsia"/>
        </w:rPr>
        <w:t>)等，</w:t>
      </w:r>
      <w:r w:rsidRPr="00535039">
        <w:rPr>
          <w:rFonts w:hAnsi="標楷體"/>
          <w:u w:val="single"/>
        </w:rPr>
        <w:t>皆仍</w:t>
      </w:r>
      <w:r w:rsidRPr="00535039">
        <w:rPr>
          <w:rFonts w:hAnsi="標楷體" w:hint="eastAsia"/>
          <w:u w:val="single"/>
        </w:rPr>
        <w:t>准許以</w:t>
      </w:r>
      <w:r w:rsidRPr="00535039">
        <w:rPr>
          <w:rFonts w:hAnsi="標楷體"/>
          <w:u w:val="single"/>
        </w:rPr>
        <w:t>食品接觸物質</w:t>
      </w:r>
      <w:r w:rsidRPr="00535039">
        <w:rPr>
          <w:rFonts w:hAnsi="標楷體" w:hint="eastAsia"/>
        </w:rPr>
        <w:t>(例如食品器具容器包裝)</w:t>
      </w:r>
      <w:r w:rsidRPr="00535039">
        <w:rPr>
          <w:rFonts w:hAnsi="標楷體" w:hint="eastAsia"/>
          <w:u w:val="single"/>
        </w:rPr>
        <w:t>之</w:t>
      </w:r>
      <w:r w:rsidRPr="00535039">
        <w:rPr>
          <w:rFonts w:hAnsi="標楷體"/>
          <w:u w:val="single"/>
        </w:rPr>
        <w:t>添加劑</w:t>
      </w:r>
      <w:r w:rsidRPr="00535039">
        <w:rPr>
          <w:rFonts w:hAnsi="標楷體" w:hint="eastAsia"/>
          <w:u w:val="single"/>
        </w:rPr>
        <w:t>使用</w:t>
      </w:r>
      <w:r w:rsidRPr="00535039">
        <w:rPr>
          <w:rFonts w:hAnsi="標楷體"/>
        </w:rPr>
        <w:t>，部分訂</w:t>
      </w:r>
      <w:r w:rsidRPr="00535039">
        <w:rPr>
          <w:rFonts w:hAnsi="標楷體" w:hint="eastAsia"/>
        </w:rPr>
        <w:t>定</w:t>
      </w:r>
      <w:r w:rsidRPr="00535039">
        <w:rPr>
          <w:rFonts w:hAnsi="標楷體"/>
        </w:rPr>
        <w:t>有使用量百分比，惟並無遷移限量</w:t>
      </w:r>
      <w:r w:rsidRPr="00535039">
        <w:rPr>
          <w:rFonts w:hAnsi="標楷體" w:hint="eastAsia"/>
        </w:rPr>
        <w:t>規範</w:t>
      </w:r>
      <w:r w:rsidRPr="00535039">
        <w:rPr>
          <w:rFonts w:hAnsi="標楷體"/>
        </w:rPr>
        <w:t>。</w:t>
      </w:r>
    </w:p>
    <w:p w14:paraId="5817CE9F" w14:textId="77777777" w:rsidR="000C69CB" w:rsidRPr="00535039" w:rsidRDefault="000C69CB" w:rsidP="000C69CB">
      <w:pPr>
        <w:pStyle w:val="a3"/>
        <w:ind w:left="480" w:hanging="196"/>
        <w:rPr>
          <w:rFonts w:hAnsi="標楷體"/>
          <w:spacing w:val="-12"/>
        </w:rPr>
      </w:pPr>
      <w:r w:rsidRPr="00535039">
        <w:rPr>
          <w:rFonts w:hAnsi="標楷體" w:hint="eastAsia"/>
          <w:spacing w:val="-12"/>
        </w:rPr>
        <w:t>美國2024年刪除</w:t>
      </w:r>
      <w:r w:rsidRPr="00535039">
        <w:rPr>
          <w:rFonts w:hAnsi="標楷體"/>
          <w:spacing w:val="-12"/>
        </w:rPr>
        <w:t>「供</w:t>
      </w:r>
      <w:proofErr w:type="gramStart"/>
      <w:r w:rsidRPr="00535039">
        <w:rPr>
          <w:rFonts w:hAnsi="標楷體"/>
          <w:spacing w:val="-12"/>
        </w:rPr>
        <w:t>為增塑劑</w:t>
      </w:r>
      <w:proofErr w:type="gramEnd"/>
      <w:r w:rsidRPr="00535039">
        <w:rPr>
          <w:rFonts w:hAnsi="標楷體"/>
          <w:spacing w:val="-12"/>
        </w:rPr>
        <w:t>(plasticizer)」用途之25</w:t>
      </w:r>
      <w:r w:rsidRPr="00535039">
        <w:rPr>
          <w:rFonts w:hAnsi="標楷體" w:hint="eastAsia"/>
        </w:rPr>
        <w:t>項</w:t>
      </w:r>
      <w:r w:rsidRPr="00535039">
        <w:rPr>
          <w:rFonts w:hAnsi="標楷體"/>
          <w:spacing w:val="-12"/>
        </w:rPr>
        <w:t>塑化劑</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7083"/>
      </w:tblGrid>
      <w:tr w:rsidR="007E5433" w:rsidRPr="00535039" w14:paraId="107D8E2A" w14:textId="77777777" w:rsidTr="0056539D">
        <w:trPr>
          <w:trHeight w:val="264"/>
          <w:tblHeader/>
          <w:jc w:val="center"/>
        </w:trPr>
        <w:tc>
          <w:tcPr>
            <w:tcW w:w="1559" w:type="dxa"/>
          </w:tcPr>
          <w:p w14:paraId="245E7BCF" w14:textId="77777777" w:rsidR="000C69CB" w:rsidRPr="00535039" w:rsidRDefault="000C69CB" w:rsidP="00D20305">
            <w:pPr>
              <w:ind w:leftChars="-10" w:left="18" w:rightChars="-11" w:right="-37" w:hangingChars="19" w:hanging="52"/>
              <w:jc w:val="center"/>
              <w:rPr>
                <w:rFonts w:hAnsi="標楷體"/>
                <w:spacing w:val="-12"/>
                <w:sz w:val="28"/>
                <w:szCs w:val="28"/>
              </w:rPr>
            </w:pPr>
            <w:r w:rsidRPr="00535039">
              <w:rPr>
                <w:rFonts w:hAnsi="標楷體"/>
                <w:spacing w:val="-12"/>
                <w:sz w:val="28"/>
                <w:szCs w:val="28"/>
              </w:rPr>
              <w:t>CAS no.</w:t>
            </w:r>
          </w:p>
        </w:tc>
        <w:tc>
          <w:tcPr>
            <w:tcW w:w="7083" w:type="dxa"/>
          </w:tcPr>
          <w:p w14:paraId="57C08A11" w14:textId="77777777" w:rsidR="000C69CB" w:rsidRPr="00535039" w:rsidRDefault="000C69CB" w:rsidP="00D20305">
            <w:pPr>
              <w:jc w:val="center"/>
              <w:rPr>
                <w:rFonts w:hAnsi="標楷體"/>
                <w:sz w:val="28"/>
                <w:szCs w:val="28"/>
              </w:rPr>
            </w:pPr>
            <w:r w:rsidRPr="00535039">
              <w:rPr>
                <w:rFonts w:hAnsi="標楷體" w:hint="eastAsia"/>
                <w:sz w:val="28"/>
                <w:szCs w:val="28"/>
              </w:rPr>
              <w:t>物質名稱</w:t>
            </w:r>
          </w:p>
        </w:tc>
      </w:tr>
      <w:tr w:rsidR="007E5433" w:rsidRPr="00535039" w14:paraId="14A1B44F" w14:textId="77777777" w:rsidTr="0056539D">
        <w:trPr>
          <w:trHeight w:val="161"/>
          <w:jc w:val="center"/>
        </w:trPr>
        <w:tc>
          <w:tcPr>
            <w:tcW w:w="1559" w:type="dxa"/>
          </w:tcPr>
          <w:p w14:paraId="3BC38885" w14:textId="77777777" w:rsidR="000C69CB" w:rsidRPr="00535039" w:rsidRDefault="000C69CB" w:rsidP="00D20305">
            <w:pPr>
              <w:ind w:leftChars="-24" w:left="17" w:rightChars="-11" w:right="-37" w:hangingChars="36" w:hanging="99"/>
              <w:jc w:val="left"/>
              <w:rPr>
                <w:rFonts w:hAnsi="標楷體"/>
                <w:spacing w:val="-12"/>
                <w:sz w:val="28"/>
                <w:szCs w:val="28"/>
              </w:rPr>
            </w:pPr>
            <w:r w:rsidRPr="00535039">
              <w:rPr>
                <w:rFonts w:hAnsi="標楷體"/>
                <w:spacing w:val="-12"/>
                <w:sz w:val="28"/>
                <w:szCs w:val="28"/>
              </w:rPr>
              <w:t>131-11-3</w:t>
            </w:r>
          </w:p>
        </w:tc>
        <w:tc>
          <w:tcPr>
            <w:tcW w:w="7083" w:type="dxa"/>
          </w:tcPr>
          <w:p w14:paraId="5759370C" w14:textId="77777777" w:rsidR="000C69CB" w:rsidRPr="00535039" w:rsidRDefault="000C69CB" w:rsidP="00D20305">
            <w:pPr>
              <w:rPr>
                <w:rFonts w:hAnsi="標楷體"/>
                <w:sz w:val="28"/>
                <w:szCs w:val="28"/>
              </w:rPr>
            </w:pPr>
            <w:r w:rsidRPr="00535039">
              <w:rPr>
                <w:rFonts w:hAnsi="標楷體"/>
                <w:sz w:val="28"/>
                <w:szCs w:val="28"/>
              </w:rPr>
              <w:t>Dimethyl phthalate(DMP)</w:t>
            </w:r>
            <w:r w:rsidRPr="00535039">
              <w:rPr>
                <w:rFonts w:hAnsi="標楷體" w:hint="eastAsia"/>
                <w:sz w:val="28"/>
                <w:szCs w:val="28"/>
              </w:rPr>
              <w:t>/</w:t>
            </w:r>
            <w:proofErr w:type="gramStart"/>
            <w:r w:rsidRPr="00535039">
              <w:rPr>
                <w:rFonts w:hAnsi="標楷體" w:hint="eastAsia"/>
                <w:sz w:val="28"/>
                <w:szCs w:val="28"/>
              </w:rPr>
              <w:t>鄰苯</w:t>
            </w:r>
            <w:proofErr w:type="gramEnd"/>
            <w:r w:rsidRPr="00535039">
              <w:rPr>
                <w:rFonts w:hAnsi="標楷體" w:hint="eastAsia"/>
                <w:sz w:val="28"/>
                <w:szCs w:val="28"/>
              </w:rPr>
              <w:t>二甲酸二</w:t>
            </w:r>
            <w:proofErr w:type="gramStart"/>
            <w:r w:rsidRPr="00535039">
              <w:rPr>
                <w:rFonts w:hAnsi="標楷體" w:hint="eastAsia"/>
                <w:sz w:val="28"/>
                <w:szCs w:val="28"/>
              </w:rPr>
              <w:t>甲酯</w:t>
            </w:r>
            <w:proofErr w:type="gramEnd"/>
          </w:p>
        </w:tc>
      </w:tr>
      <w:tr w:rsidR="007E5433" w:rsidRPr="00535039" w14:paraId="0D521D4E" w14:textId="77777777" w:rsidTr="0056539D">
        <w:trPr>
          <w:trHeight w:val="161"/>
          <w:jc w:val="center"/>
        </w:trPr>
        <w:tc>
          <w:tcPr>
            <w:tcW w:w="1559" w:type="dxa"/>
          </w:tcPr>
          <w:p w14:paraId="1A8EF239" w14:textId="77777777" w:rsidR="000C69CB" w:rsidRPr="00535039" w:rsidRDefault="000C69CB" w:rsidP="00D20305">
            <w:pPr>
              <w:ind w:leftChars="-24" w:left="17" w:rightChars="-11" w:right="-37" w:hangingChars="36" w:hanging="99"/>
              <w:jc w:val="left"/>
              <w:rPr>
                <w:rFonts w:hAnsi="標楷體"/>
                <w:spacing w:val="-12"/>
                <w:sz w:val="28"/>
                <w:szCs w:val="28"/>
              </w:rPr>
            </w:pPr>
            <w:r w:rsidRPr="00535039">
              <w:rPr>
                <w:rFonts w:hAnsi="標楷體"/>
                <w:spacing w:val="-12"/>
                <w:sz w:val="28"/>
                <w:szCs w:val="28"/>
              </w:rPr>
              <w:t>84-62-8</w:t>
            </w:r>
          </w:p>
        </w:tc>
        <w:tc>
          <w:tcPr>
            <w:tcW w:w="7083" w:type="dxa"/>
          </w:tcPr>
          <w:p w14:paraId="78EF3F08" w14:textId="5BA3944F" w:rsidR="000C69CB" w:rsidRPr="00535039" w:rsidRDefault="000C69CB" w:rsidP="00D20305">
            <w:pPr>
              <w:jc w:val="left"/>
              <w:rPr>
                <w:rFonts w:hAnsi="標楷體"/>
                <w:sz w:val="28"/>
                <w:szCs w:val="28"/>
              </w:rPr>
            </w:pPr>
            <w:r w:rsidRPr="00535039">
              <w:rPr>
                <w:rFonts w:hAnsi="標楷體"/>
                <w:sz w:val="28"/>
                <w:szCs w:val="28"/>
              </w:rPr>
              <w:t>Diphenyl phthalate(DPP)</w:t>
            </w:r>
            <w:r w:rsidRPr="00535039">
              <w:rPr>
                <w:rFonts w:hAnsi="標楷體" w:hint="eastAsia"/>
                <w:sz w:val="28"/>
                <w:szCs w:val="28"/>
              </w:rPr>
              <w:t>/</w:t>
            </w:r>
            <w:proofErr w:type="gramStart"/>
            <w:r w:rsidRPr="00535039">
              <w:rPr>
                <w:rFonts w:hAnsi="標楷體" w:hint="eastAsia"/>
                <w:sz w:val="28"/>
                <w:szCs w:val="28"/>
              </w:rPr>
              <w:t>鄰苯</w:t>
            </w:r>
            <w:proofErr w:type="gramEnd"/>
            <w:r w:rsidRPr="00535039">
              <w:rPr>
                <w:rFonts w:hAnsi="標楷體" w:hint="eastAsia"/>
                <w:sz w:val="28"/>
                <w:szCs w:val="28"/>
              </w:rPr>
              <w:t>二甲酸二</w:t>
            </w:r>
            <w:proofErr w:type="gramStart"/>
            <w:r w:rsidRPr="00535039">
              <w:rPr>
                <w:rFonts w:hAnsi="標楷體" w:hint="eastAsia"/>
                <w:sz w:val="28"/>
                <w:szCs w:val="28"/>
              </w:rPr>
              <w:t>苯酯</w:t>
            </w:r>
            <w:proofErr w:type="gramEnd"/>
          </w:p>
        </w:tc>
      </w:tr>
      <w:tr w:rsidR="007E5433" w:rsidRPr="00535039" w14:paraId="6E060780" w14:textId="77777777" w:rsidTr="0056539D">
        <w:trPr>
          <w:trHeight w:val="322"/>
          <w:jc w:val="center"/>
        </w:trPr>
        <w:tc>
          <w:tcPr>
            <w:tcW w:w="1559" w:type="dxa"/>
          </w:tcPr>
          <w:p w14:paraId="223AF581" w14:textId="77777777" w:rsidR="000C69CB" w:rsidRPr="00535039" w:rsidRDefault="000C69CB" w:rsidP="00D20305">
            <w:pPr>
              <w:ind w:leftChars="-24" w:left="17" w:rightChars="-11" w:right="-37" w:hangingChars="36" w:hanging="99"/>
              <w:jc w:val="left"/>
              <w:rPr>
                <w:rFonts w:hAnsi="標楷體"/>
                <w:spacing w:val="-12"/>
                <w:sz w:val="28"/>
                <w:szCs w:val="28"/>
              </w:rPr>
            </w:pPr>
            <w:r w:rsidRPr="00535039">
              <w:rPr>
                <w:rFonts w:hAnsi="標楷體"/>
                <w:spacing w:val="-12"/>
                <w:sz w:val="28"/>
                <w:szCs w:val="28"/>
              </w:rPr>
              <w:t>85-71-2</w:t>
            </w:r>
          </w:p>
        </w:tc>
        <w:tc>
          <w:tcPr>
            <w:tcW w:w="7083" w:type="dxa"/>
          </w:tcPr>
          <w:p w14:paraId="4AE92A3B" w14:textId="77777777" w:rsidR="000C69CB" w:rsidRPr="00535039" w:rsidRDefault="000C69CB" w:rsidP="00D20305">
            <w:pPr>
              <w:jc w:val="left"/>
              <w:rPr>
                <w:rFonts w:hAnsi="標楷體"/>
                <w:sz w:val="28"/>
                <w:szCs w:val="28"/>
              </w:rPr>
            </w:pPr>
            <w:r w:rsidRPr="00535039">
              <w:rPr>
                <w:rFonts w:hAnsi="標楷體"/>
                <w:sz w:val="28"/>
                <w:szCs w:val="28"/>
              </w:rPr>
              <w:t xml:space="preserve">Methyl </w:t>
            </w:r>
            <w:proofErr w:type="spellStart"/>
            <w:r w:rsidRPr="00535039">
              <w:rPr>
                <w:rFonts w:hAnsi="標楷體"/>
                <w:sz w:val="28"/>
                <w:szCs w:val="28"/>
              </w:rPr>
              <w:t>phthalyl</w:t>
            </w:r>
            <w:proofErr w:type="spellEnd"/>
            <w:r w:rsidRPr="00535039">
              <w:rPr>
                <w:rFonts w:hAnsi="標楷體"/>
                <w:sz w:val="28"/>
                <w:szCs w:val="28"/>
              </w:rPr>
              <w:t xml:space="preserve"> ethyl glycolate (1,2-Benzenedicarboxylicacid, 1-(2-ethoxy-2-oxoethyl) 2-methyl ester)</w:t>
            </w:r>
            <w:r w:rsidRPr="00535039">
              <w:rPr>
                <w:rFonts w:hAnsi="標楷體" w:hint="eastAsia"/>
                <w:sz w:val="28"/>
                <w:szCs w:val="28"/>
              </w:rPr>
              <w:t>(MPEG)/</w:t>
            </w:r>
            <w:proofErr w:type="gramStart"/>
            <w:r w:rsidRPr="00535039">
              <w:rPr>
                <w:rFonts w:hAnsi="標楷體"/>
                <w:sz w:val="28"/>
                <w:szCs w:val="28"/>
              </w:rPr>
              <w:t>鄰苯</w:t>
            </w:r>
            <w:proofErr w:type="gramEnd"/>
            <w:r w:rsidRPr="00535039">
              <w:rPr>
                <w:rFonts w:hAnsi="標楷體"/>
                <w:sz w:val="28"/>
                <w:szCs w:val="28"/>
              </w:rPr>
              <w:t>二甲酸甲基</w:t>
            </w:r>
            <w:proofErr w:type="gramStart"/>
            <w:r w:rsidRPr="00535039">
              <w:rPr>
                <w:rFonts w:hAnsi="標楷體"/>
                <w:sz w:val="28"/>
                <w:szCs w:val="28"/>
              </w:rPr>
              <w:t>乙二醇酸酯</w:t>
            </w:r>
            <w:proofErr w:type="gramEnd"/>
          </w:p>
        </w:tc>
      </w:tr>
      <w:tr w:rsidR="007E5433" w:rsidRPr="00535039" w14:paraId="678842C9" w14:textId="77777777" w:rsidTr="0056539D">
        <w:trPr>
          <w:trHeight w:val="161"/>
          <w:jc w:val="center"/>
        </w:trPr>
        <w:tc>
          <w:tcPr>
            <w:tcW w:w="1559" w:type="dxa"/>
          </w:tcPr>
          <w:p w14:paraId="785AB32E" w14:textId="77777777" w:rsidR="000C69CB" w:rsidRPr="00535039" w:rsidRDefault="000C69CB" w:rsidP="00D20305">
            <w:pPr>
              <w:ind w:leftChars="-20" w:left="31" w:rightChars="-11" w:right="-37" w:hangingChars="36" w:hanging="99"/>
              <w:jc w:val="left"/>
              <w:rPr>
                <w:rFonts w:hAnsi="標楷體"/>
                <w:spacing w:val="-12"/>
                <w:sz w:val="28"/>
                <w:szCs w:val="28"/>
              </w:rPr>
            </w:pPr>
            <w:r w:rsidRPr="00535039">
              <w:rPr>
                <w:rFonts w:hAnsi="標楷體"/>
                <w:spacing w:val="-12"/>
                <w:sz w:val="28"/>
                <w:szCs w:val="28"/>
              </w:rPr>
              <w:t>84-66-2</w:t>
            </w:r>
          </w:p>
        </w:tc>
        <w:tc>
          <w:tcPr>
            <w:tcW w:w="7083" w:type="dxa"/>
          </w:tcPr>
          <w:p w14:paraId="4A98EB50" w14:textId="77777777" w:rsidR="000C69CB" w:rsidRPr="00535039" w:rsidRDefault="000C69CB" w:rsidP="00D20305">
            <w:pPr>
              <w:jc w:val="left"/>
              <w:rPr>
                <w:rFonts w:hAnsi="標楷體"/>
                <w:sz w:val="28"/>
                <w:szCs w:val="28"/>
              </w:rPr>
            </w:pPr>
            <w:r w:rsidRPr="00535039">
              <w:rPr>
                <w:rFonts w:hAnsi="標楷體"/>
                <w:sz w:val="28"/>
                <w:szCs w:val="28"/>
              </w:rPr>
              <w:t>Diethyl phthalate(DEP)</w:t>
            </w:r>
            <w:r w:rsidRPr="00535039">
              <w:rPr>
                <w:rFonts w:hAnsi="標楷體" w:hint="eastAsia"/>
                <w:sz w:val="28"/>
                <w:szCs w:val="28"/>
              </w:rPr>
              <w:t>/</w:t>
            </w:r>
            <w:proofErr w:type="gramStart"/>
            <w:r w:rsidRPr="00535039">
              <w:rPr>
                <w:rFonts w:hAnsi="標楷體" w:hint="eastAsia"/>
                <w:sz w:val="28"/>
                <w:szCs w:val="28"/>
              </w:rPr>
              <w:t>鄰苯</w:t>
            </w:r>
            <w:proofErr w:type="gramEnd"/>
            <w:r w:rsidRPr="00535039">
              <w:rPr>
                <w:rFonts w:hAnsi="標楷體" w:hint="eastAsia"/>
                <w:sz w:val="28"/>
                <w:szCs w:val="28"/>
              </w:rPr>
              <w:t>二甲酸二乙酯</w:t>
            </w:r>
            <w:r w:rsidRPr="00535039">
              <w:rPr>
                <w:rFonts w:hAnsi="標楷體"/>
                <w:sz w:val="28"/>
                <w:szCs w:val="28"/>
              </w:rPr>
              <w:t xml:space="preserve"> </w:t>
            </w:r>
          </w:p>
        </w:tc>
      </w:tr>
      <w:tr w:rsidR="007E5433" w:rsidRPr="00535039" w14:paraId="3E9DA410" w14:textId="77777777" w:rsidTr="0056539D">
        <w:trPr>
          <w:trHeight w:val="161"/>
          <w:jc w:val="center"/>
        </w:trPr>
        <w:tc>
          <w:tcPr>
            <w:tcW w:w="1559" w:type="dxa"/>
          </w:tcPr>
          <w:p w14:paraId="71771A58" w14:textId="77777777" w:rsidR="000C69CB" w:rsidRPr="00535039" w:rsidRDefault="000C69CB" w:rsidP="00D20305">
            <w:pPr>
              <w:ind w:leftChars="-24" w:left="19" w:rightChars="-11" w:right="-37" w:hangingChars="36" w:hanging="101"/>
              <w:jc w:val="left"/>
              <w:rPr>
                <w:rFonts w:hAnsi="標楷體"/>
                <w:spacing w:val="-12"/>
                <w:sz w:val="28"/>
                <w:szCs w:val="28"/>
              </w:rPr>
            </w:pPr>
            <w:r w:rsidRPr="00535039">
              <w:rPr>
                <w:rFonts w:hAnsi="標楷體"/>
                <w:spacing w:val="-10"/>
                <w:sz w:val="28"/>
                <w:szCs w:val="28"/>
              </w:rPr>
              <w:t>17573-13-6</w:t>
            </w:r>
          </w:p>
        </w:tc>
        <w:tc>
          <w:tcPr>
            <w:tcW w:w="7083" w:type="dxa"/>
          </w:tcPr>
          <w:p w14:paraId="013A8F71" w14:textId="77777777" w:rsidR="000C69CB" w:rsidRPr="00535039" w:rsidRDefault="000C69CB" w:rsidP="00D20305">
            <w:pPr>
              <w:jc w:val="left"/>
              <w:rPr>
                <w:rFonts w:hAnsi="標楷體"/>
                <w:sz w:val="28"/>
                <w:szCs w:val="28"/>
              </w:rPr>
            </w:pPr>
            <w:proofErr w:type="spellStart"/>
            <w:r w:rsidRPr="00535039">
              <w:rPr>
                <w:rFonts w:hAnsi="標楷體"/>
                <w:sz w:val="28"/>
                <w:szCs w:val="28"/>
              </w:rPr>
              <w:t>Diphenylguanidine</w:t>
            </w:r>
            <w:proofErr w:type="spellEnd"/>
            <w:r w:rsidRPr="00535039">
              <w:rPr>
                <w:rFonts w:hAnsi="標楷體"/>
                <w:sz w:val="28"/>
                <w:szCs w:val="28"/>
              </w:rPr>
              <w:t xml:space="preserve"> phthalate</w:t>
            </w:r>
            <w:r w:rsidRPr="00535039">
              <w:rPr>
                <w:rFonts w:hAnsi="標楷體" w:hint="eastAsia"/>
                <w:sz w:val="28"/>
                <w:szCs w:val="28"/>
              </w:rPr>
              <w:t>(DPGP)</w:t>
            </w:r>
            <w:r w:rsidRPr="00535039">
              <w:rPr>
                <w:rFonts w:hAnsi="標楷體" w:hint="eastAsia"/>
              </w:rPr>
              <w:t>/</w:t>
            </w:r>
            <w:proofErr w:type="gramStart"/>
            <w:r w:rsidRPr="00535039">
              <w:rPr>
                <w:rFonts w:hAnsi="標楷體"/>
                <w:sz w:val="28"/>
                <w:szCs w:val="28"/>
              </w:rPr>
              <w:t>鄰苯</w:t>
            </w:r>
            <w:proofErr w:type="gramEnd"/>
            <w:r w:rsidRPr="00535039">
              <w:rPr>
                <w:rFonts w:hAnsi="標楷體"/>
                <w:sz w:val="28"/>
                <w:szCs w:val="28"/>
              </w:rPr>
              <w:t>二甲酸二苯基</w:t>
            </w:r>
            <w:proofErr w:type="gramStart"/>
            <w:r w:rsidRPr="00535039">
              <w:rPr>
                <w:rFonts w:hAnsi="標楷體"/>
                <w:sz w:val="28"/>
                <w:szCs w:val="28"/>
              </w:rPr>
              <w:t>胍</w:t>
            </w:r>
            <w:proofErr w:type="gramEnd"/>
            <w:r w:rsidRPr="00535039">
              <w:rPr>
                <w:rFonts w:hAnsi="標楷體"/>
                <w:sz w:val="28"/>
                <w:szCs w:val="28"/>
              </w:rPr>
              <w:t>酯</w:t>
            </w:r>
          </w:p>
        </w:tc>
      </w:tr>
      <w:tr w:rsidR="007E5433" w:rsidRPr="00535039" w14:paraId="307D31C5" w14:textId="77777777" w:rsidTr="0056539D">
        <w:trPr>
          <w:trHeight w:val="309"/>
          <w:jc w:val="center"/>
        </w:trPr>
        <w:tc>
          <w:tcPr>
            <w:tcW w:w="1559" w:type="dxa"/>
          </w:tcPr>
          <w:p w14:paraId="40ABD4A1" w14:textId="77777777" w:rsidR="000C69CB" w:rsidRPr="00535039" w:rsidRDefault="000C69CB" w:rsidP="00D20305">
            <w:pPr>
              <w:ind w:leftChars="-24" w:left="17" w:rightChars="-11" w:right="-37" w:hangingChars="36" w:hanging="99"/>
              <w:jc w:val="left"/>
              <w:rPr>
                <w:rFonts w:hAnsi="標楷體"/>
                <w:spacing w:val="-12"/>
                <w:sz w:val="28"/>
                <w:szCs w:val="28"/>
              </w:rPr>
            </w:pPr>
            <w:r w:rsidRPr="00535039">
              <w:rPr>
                <w:rFonts w:hAnsi="標楷體"/>
                <w:spacing w:val="-12"/>
                <w:sz w:val="28"/>
                <w:szCs w:val="28"/>
              </w:rPr>
              <w:t>84-72-0</w:t>
            </w:r>
          </w:p>
        </w:tc>
        <w:tc>
          <w:tcPr>
            <w:tcW w:w="7083" w:type="dxa"/>
          </w:tcPr>
          <w:p w14:paraId="1B08E920" w14:textId="77777777" w:rsidR="000C69CB" w:rsidRPr="00535039" w:rsidRDefault="000C69CB" w:rsidP="00D20305">
            <w:pPr>
              <w:jc w:val="left"/>
              <w:rPr>
                <w:rFonts w:hAnsi="標楷體"/>
                <w:sz w:val="28"/>
                <w:szCs w:val="28"/>
              </w:rPr>
            </w:pPr>
            <w:r w:rsidRPr="00535039">
              <w:rPr>
                <w:rFonts w:hAnsi="標楷體"/>
                <w:sz w:val="28"/>
                <w:szCs w:val="28"/>
              </w:rPr>
              <w:t xml:space="preserve">Ethyl </w:t>
            </w:r>
            <w:proofErr w:type="spellStart"/>
            <w:r w:rsidRPr="00535039">
              <w:rPr>
                <w:rFonts w:hAnsi="標楷體"/>
                <w:sz w:val="28"/>
                <w:szCs w:val="28"/>
              </w:rPr>
              <w:t>phthalyl</w:t>
            </w:r>
            <w:proofErr w:type="spellEnd"/>
            <w:r w:rsidRPr="00535039">
              <w:rPr>
                <w:rFonts w:hAnsi="標楷體"/>
                <w:sz w:val="28"/>
                <w:szCs w:val="28"/>
              </w:rPr>
              <w:t xml:space="preserve"> ethyl glycolate (Ethyl </w:t>
            </w:r>
            <w:proofErr w:type="spellStart"/>
            <w:r w:rsidRPr="00535039">
              <w:rPr>
                <w:rFonts w:hAnsi="標楷體"/>
                <w:sz w:val="28"/>
                <w:szCs w:val="28"/>
              </w:rPr>
              <w:t>carbethoxymethyl</w:t>
            </w:r>
            <w:proofErr w:type="spellEnd"/>
            <w:r w:rsidRPr="00535039">
              <w:rPr>
                <w:rFonts w:hAnsi="標楷體"/>
                <w:sz w:val="28"/>
                <w:szCs w:val="28"/>
              </w:rPr>
              <w:t xml:space="preserve"> </w:t>
            </w:r>
            <w:proofErr w:type="gramStart"/>
            <w:r w:rsidRPr="00535039">
              <w:rPr>
                <w:rFonts w:hAnsi="標楷體"/>
                <w:sz w:val="28"/>
                <w:szCs w:val="28"/>
              </w:rPr>
              <w:t>phthalate)</w:t>
            </w:r>
            <w:r w:rsidRPr="00535039">
              <w:rPr>
                <w:rFonts w:hAnsi="標楷體" w:hint="eastAsia"/>
                <w:sz w:val="28"/>
                <w:szCs w:val="28"/>
              </w:rPr>
              <w:t>(</w:t>
            </w:r>
            <w:proofErr w:type="gramEnd"/>
            <w:r w:rsidRPr="00535039">
              <w:rPr>
                <w:rFonts w:hAnsi="標楷體" w:hint="eastAsia"/>
                <w:sz w:val="28"/>
                <w:szCs w:val="28"/>
              </w:rPr>
              <w:t>EPEG)/</w:t>
            </w:r>
          </w:p>
          <w:p w14:paraId="3FE432C9" w14:textId="77777777" w:rsidR="000C69CB" w:rsidRPr="00535039" w:rsidRDefault="000C69CB" w:rsidP="00D20305">
            <w:pPr>
              <w:jc w:val="left"/>
              <w:rPr>
                <w:rFonts w:hAnsi="標楷體"/>
                <w:sz w:val="28"/>
                <w:szCs w:val="28"/>
              </w:rPr>
            </w:pPr>
            <w:proofErr w:type="gramStart"/>
            <w:r w:rsidRPr="00535039">
              <w:rPr>
                <w:rFonts w:hAnsi="標楷體"/>
                <w:sz w:val="28"/>
                <w:szCs w:val="28"/>
              </w:rPr>
              <w:lastRenderedPageBreak/>
              <w:t>鄰苯</w:t>
            </w:r>
            <w:proofErr w:type="gramEnd"/>
            <w:r w:rsidRPr="00535039">
              <w:rPr>
                <w:rFonts w:hAnsi="標楷體"/>
                <w:sz w:val="28"/>
                <w:szCs w:val="28"/>
              </w:rPr>
              <w:t>二甲酸乙基</w:t>
            </w:r>
            <w:proofErr w:type="gramStart"/>
            <w:r w:rsidRPr="00535039">
              <w:rPr>
                <w:rFonts w:hAnsi="標楷體"/>
                <w:sz w:val="28"/>
                <w:szCs w:val="28"/>
              </w:rPr>
              <w:t>乙二醇酸酯</w:t>
            </w:r>
            <w:proofErr w:type="gramEnd"/>
          </w:p>
        </w:tc>
      </w:tr>
      <w:tr w:rsidR="007E5433" w:rsidRPr="00535039" w14:paraId="27812240" w14:textId="77777777" w:rsidTr="0056539D">
        <w:trPr>
          <w:trHeight w:val="161"/>
          <w:jc w:val="center"/>
        </w:trPr>
        <w:tc>
          <w:tcPr>
            <w:tcW w:w="1559" w:type="dxa"/>
          </w:tcPr>
          <w:p w14:paraId="4DEB29DB" w14:textId="77777777" w:rsidR="000C69CB" w:rsidRPr="00535039" w:rsidRDefault="000C69CB" w:rsidP="00D20305">
            <w:pPr>
              <w:ind w:leftChars="-24" w:left="17" w:rightChars="-11" w:right="-37" w:hangingChars="36" w:hanging="99"/>
              <w:jc w:val="left"/>
              <w:rPr>
                <w:rFonts w:hAnsi="標楷體"/>
                <w:spacing w:val="-12"/>
                <w:sz w:val="28"/>
                <w:szCs w:val="28"/>
              </w:rPr>
            </w:pPr>
            <w:r w:rsidRPr="00535039">
              <w:rPr>
                <w:rFonts w:hAnsi="標楷體"/>
                <w:spacing w:val="-12"/>
                <w:sz w:val="28"/>
                <w:szCs w:val="28"/>
              </w:rPr>
              <w:lastRenderedPageBreak/>
              <w:t>84-69-5</w:t>
            </w:r>
          </w:p>
        </w:tc>
        <w:tc>
          <w:tcPr>
            <w:tcW w:w="7083" w:type="dxa"/>
          </w:tcPr>
          <w:p w14:paraId="51B1A7D9" w14:textId="77777777" w:rsidR="000C69CB" w:rsidRPr="00535039" w:rsidRDefault="000C69CB" w:rsidP="00D20305">
            <w:pPr>
              <w:jc w:val="left"/>
              <w:rPr>
                <w:rFonts w:hAnsi="標楷體"/>
                <w:sz w:val="28"/>
                <w:szCs w:val="28"/>
              </w:rPr>
            </w:pPr>
            <w:r w:rsidRPr="00535039">
              <w:rPr>
                <w:rFonts w:hAnsi="標楷體"/>
                <w:sz w:val="28"/>
                <w:szCs w:val="28"/>
              </w:rPr>
              <w:t>Di-iso-butyl Phthalate(DIBP)</w:t>
            </w:r>
            <w:r w:rsidRPr="00535039">
              <w:rPr>
                <w:rFonts w:hAnsi="標楷體" w:hint="eastAsia"/>
                <w:sz w:val="28"/>
                <w:szCs w:val="28"/>
              </w:rPr>
              <w:t>/</w:t>
            </w:r>
            <w:proofErr w:type="gramStart"/>
            <w:r w:rsidRPr="00535039">
              <w:rPr>
                <w:rFonts w:hAnsi="標楷體" w:hint="eastAsia"/>
                <w:sz w:val="28"/>
                <w:szCs w:val="28"/>
              </w:rPr>
              <w:t>鄰苯</w:t>
            </w:r>
            <w:proofErr w:type="gramEnd"/>
            <w:r w:rsidRPr="00535039">
              <w:rPr>
                <w:rFonts w:hAnsi="標楷體" w:hint="eastAsia"/>
                <w:sz w:val="28"/>
                <w:szCs w:val="28"/>
              </w:rPr>
              <w:t>二甲酸二</w:t>
            </w:r>
            <w:proofErr w:type="gramStart"/>
            <w:r w:rsidRPr="00535039">
              <w:rPr>
                <w:rFonts w:hAnsi="標楷體" w:hint="eastAsia"/>
                <w:sz w:val="28"/>
                <w:szCs w:val="28"/>
              </w:rPr>
              <w:t>異丁酯</w:t>
            </w:r>
            <w:proofErr w:type="gramEnd"/>
            <w:r w:rsidRPr="00535039">
              <w:rPr>
                <w:rFonts w:hAnsi="標楷體"/>
                <w:sz w:val="28"/>
                <w:szCs w:val="28"/>
              </w:rPr>
              <w:t xml:space="preserve"> </w:t>
            </w:r>
          </w:p>
        </w:tc>
      </w:tr>
      <w:tr w:rsidR="007E5433" w:rsidRPr="00535039" w14:paraId="2DCB8E78" w14:textId="77777777" w:rsidTr="0056539D">
        <w:trPr>
          <w:trHeight w:val="161"/>
          <w:jc w:val="center"/>
        </w:trPr>
        <w:tc>
          <w:tcPr>
            <w:tcW w:w="1559" w:type="dxa"/>
          </w:tcPr>
          <w:p w14:paraId="200BB2BD" w14:textId="77777777" w:rsidR="000C69CB" w:rsidRPr="00535039" w:rsidRDefault="000C69CB" w:rsidP="00D20305">
            <w:pPr>
              <w:ind w:leftChars="-24" w:left="17" w:rightChars="-11" w:right="-37" w:hangingChars="36" w:hanging="99"/>
              <w:jc w:val="left"/>
              <w:rPr>
                <w:rFonts w:hAnsi="標楷體"/>
                <w:spacing w:val="-12"/>
                <w:sz w:val="28"/>
                <w:szCs w:val="28"/>
              </w:rPr>
            </w:pPr>
            <w:r w:rsidRPr="00535039">
              <w:rPr>
                <w:rFonts w:hAnsi="標楷體"/>
                <w:spacing w:val="-12"/>
                <w:sz w:val="28"/>
                <w:szCs w:val="28"/>
              </w:rPr>
              <w:t>85-68-7</w:t>
            </w:r>
          </w:p>
        </w:tc>
        <w:tc>
          <w:tcPr>
            <w:tcW w:w="7083" w:type="dxa"/>
          </w:tcPr>
          <w:p w14:paraId="7BD4CD0E" w14:textId="77777777" w:rsidR="000C69CB" w:rsidRPr="00535039" w:rsidRDefault="000C69CB" w:rsidP="00D20305">
            <w:pPr>
              <w:jc w:val="left"/>
              <w:rPr>
                <w:rFonts w:hAnsi="標楷體"/>
                <w:sz w:val="28"/>
                <w:szCs w:val="28"/>
              </w:rPr>
            </w:pPr>
            <w:r w:rsidRPr="00535039">
              <w:rPr>
                <w:rFonts w:hAnsi="標楷體"/>
                <w:sz w:val="28"/>
                <w:szCs w:val="28"/>
              </w:rPr>
              <w:t>Benzyl butyl phthalate(BBP)</w:t>
            </w:r>
            <w:r w:rsidRPr="00535039">
              <w:rPr>
                <w:rFonts w:hAnsi="標楷體" w:hint="eastAsia"/>
                <w:sz w:val="28"/>
                <w:szCs w:val="28"/>
              </w:rPr>
              <w:t>/</w:t>
            </w:r>
            <w:proofErr w:type="gramStart"/>
            <w:r w:rsidRPr="00535039">
              <w:rPr>
                <w:rFonts w:hAnsi="標楷體" w:hint="eastAsia"/>
                <w:sz w:val="28"/>
                <w:szCs w:val="28"/>
              </w:rPr>
              <w:t>鄰苯</w:t>
            </w:r>
            <w:proofErr w:type="gramEnd"/>
            <w:r w:rsidRPr="00535039">
              <w:rPr>
                <w:rFonts w:hAnsi="標楷體" w:hint="eastAsia"/>
                <w:sz w:val="28"/>
                <w:szCs w:val="28"/>
              </w:rPr>
              <w:t>二甲</w:t>
            </w:r>
            <w:proofErr w:type="gramStart"/>
            <w:r w:rsidRPr="00535039">
              <w:rPr>
                <w:rFonts w:hAnsi="標楷體" w:hint="eastAsia"/>
                <w:sz w:val="28"/>
                <w:szCs w:val="28"/>
              </w:rPr>
              <w:t>酸丁苯甲酯</w:t>
            </w:r>
            <w:proofErr w:type="gramEnd"/>
          </w:p>
        </w:tc>
      </w:tr>
      <w:tr w:rsidR="007E5433" w:rsidRPr="00535039" w14:paraId="283AECDB" w14:textId="77777777" w:rsidTr="0056539D">
        <w:trPr>
          <w:trHeight w:val="161"/>
          <w:jc w:val="center"/>
        </w:trPr>
        <w:tc>
          <w:tcPr>
            <w:tcW w:w="1559" w:type="dxa"/>
          </w:tcPr>
          <w:p w14:paraId="75255926" w14:textId="77777777" w:rsidR="000C69CB" w:rsidRPr="00535039" w:rsidRDefault="000C69CB" w:rsidP="00D20305">
            <w:pPr>
              <w:ind w:leftChars="-24" w:left="17" w:rightChars="-11" w:right="-37" w:hangingChars="36" w:hanging="99"/>
              <w:jc w:val="left"/>
              <w:rPr>
                <w:rFonts w:hAnsi="標楷體"/>
                <w:spacing w:val="-12"/>
                <w:sz w:val="28"/>
                <w:szCs w:val="28"/>
              </w:rPr>
            </w:pPr>
            <w:r w:rsidRPr="00535039">
              <w:rPr>
                <w:rFonts w:hAnsi="標楷體"/>
                <w:spacing w:val="-12"/>
                <w:sz w:val="28"/>
                <w:szCs w:val="28"/>
              </w:rPr>
              <w:t>84-74-2</w:t>
            </w:r>
          </w:p>
        </w:tc>
        <w:tc>
          <w:tcPr>
            <w:tcW w:w="7083" w:type="dxa"/>
          </w:tcPr>
          <w:p w14:paraId="34D9F28D" w14:textId="77777777" w:rsidR="000C69CB" w:rsidRPr="00535039" w:rsidRDefault="000C69CB" w:rsidP="00D20305">
            <w:pPr>
              <w:jc w:val="left"/>
              <w:rPr>
                <w:rFonts w:hAnsi="標楷體"/>
                <w:sz w:val="28"/>
                <w:szCs w:val="28"/>
              </w:rPr>
            </w:pPr>
            <w:r w:rsidRPr="00535039">
              <w:rPr>
                <w:rFonts w:hAnsi="標楷體"/>
                <w:sz w:val="28"/>
                <w:szCs w:val="28"/>
              </w:rPr>
              <w:t>Dibutyl phthalate (DBP)</w:t>
            </w:r>
            <w:r w:rsidRPr="00535039">
              <w:rPr>
                <w:rFonts w:hAnsi="標楷體" w:hint="eastAsia"/>
                <w:sz w:val="28"/>
                <w:szCs w:val="28"/>
              </w:rPr>
              <w:t>/</w:t>
            </w:r>
            <w:proofErr w:type="gramStart"/>
            <w:r w:rsidRPr="00535039">
              <w:rPr>
                <w:rFonts w:hAnsi="標楷體" w:hint="eastAsia"/>
                <w:sz w:val="28"/>
                <w:szCs w:val="28"/>
              </w:rPr>
              <w:t>鄰苯</w:t>
            </w:r>
            <w:proofErr w:type="gramEnd"/>
            <w:r w:rsidRPr="00535039">
              <w:rPr>
                <w:rFonts w:hAnsi="標楷體" w:hint="eastAsia"/>
                <w:sz w:val="28"/>
                <w:szCs w:val="28"/>
              </w:rPr>
              <w:t>二甲酸二</w:t>
            </w:r>
            <w:proofErr w:type="gramStart"/>
            <w:r w:rsidRPr="00535039">
              <w:rPr>
                <w:rFonts w:hAnsi="標楷體" w:hint="eastAsia"/>
                <w:sz w:val="28"/>
                <w:szCs w:val="28"/>
              </w:rPr>
              <w:t>丁酯</w:t>
            </w:r>
            <w:proofErr w:type="gramEnd"/>
          </w:p>
        </w:tc>
      </w:tr>
      <w:tr w:rsidR="007E5433" w:rsidRPr="00535039" w14:paraId="0578CA14" w14:textId="77777777" w:rsidTr="0056539D">
        <w:trPr>
          <w:trHeight w:val="161"/>
          <w:jc w:val="center"/>
        </w:trPr>
        <w:tc>
          <w:tcPr>
            <w:tcW w:w="1559" w:type="dxa"/>
          </w:tcPr>
          <w:p w14:paraId="779D5B08" w14:textId="77777777" w:rsidR="000C69CB" w:rsidRPr="00535039" w:rsidRDefault="000C69CB" w:rsidP="00D20305">
            <w:pPr>
              <w:ind w:leftChars="-24" w:left="17" w:rightChars="-11" w:right="-37" w:hangingChars="36" w:hanging="99"/>
              <w:jc w:val="left"/>
              <w:rPr>
                <w:rFonts w:hAnsi="標楷體"/>
                <w:spacing w:val="-12"/>
                <w:sz w:val="28"/>
                <w:szCs w:val="28"/>
              </w:rPr>
            </w:pPr>
            <w:r w:rsidRPr="00535039">
              <w:rPr>
                <w:rFonts w:hAnsi="標楷體"/>
                <w:spacing w:val="-12"/>
                <w:sz w:val="28"/>
                <w:szCs w:val="28"/>
              </w:rPr>
              <w:t>85-70-1</w:t>
            </w:r>
          </w:p>
        </w:tc>
        <w:tc>
          <w:tcPr>
            <w:tcW w:w="7083" w:type="dxa"/>
          </w:tcPr>
          <w:p w14:paraId="6ABA3B10" w14:textId="77777777" w:rsidR="000C69CB" w:rsidRPr="00535039" w:rsidRDefault="000C69CB" w:rsidP="00D20305">
            <w:pPr>
              <w:jc w:val="left"/>
              <w:rPr>
                <w:rFonts w:hAnsi="標楷體"/>
                <w:sz w:val="28"/>
                <w:szCs w:val="28"/>
              </w:rPr>
            </w:pPr>
            <w:r w:rsidRPr="00535039">
              <w:rPr>
                <w:rFonts w:hAnsi="標楷體"/>
                <w:sz w:val="28"/>
                <w:szCs w:val="28"/>
              </w:rPr>
              <w:t xml:space="preserve">Butyl </w:t>
            </w:r>
            <w:proofErr w:type="spellStart"/>
            <w:r w:rsidRPr="00535039">
              <w:rPr>
                <w:rFonts w:hAnsi="標楷體"/>
                <w:sz w:val="28"/>
                <w:szCs w:val="28"/>
              </w:rPr>
              <w:t>phthalyl</w:t>
            </w:r>
            <w:proofErr w:type="spellEnd"/>
            <w:r w:rsidRPr="00535039">
              <w:rPr>
                <w:rFonts w:hAnsi="標楷體"/>
                <w:sz w:val="28"/>
                <w:szCs w:val="28"/>
              </w:rPr>
              <w:t xml:space="preserve"> butyl glycolate (Butyl </w:t>
            </w:r>
            <w:proofErr w:type="spellStart"/>
            <w:r w:rsidRPr="00535039">
              <w:rPr>
                <w:rFonts w:hAnsi="標楷體"/>
                <w:sz w:val="28"/>
                <w:szCs w:val="28"/>
              </w:rPr>
              <w:t>carbobutoxymethyl</w:t>
            </w:r>
            <w:proofErr w:type="spellEnd"/>
            <w:r w:rsidRPr="00535039">
              <w:rPr>
                <w:rFonts w:hAnsi="標楷體"/>
                <w:sz w:val="28"/>
                <w:szCs w:val="28"/>
              </w:rPr>
              <w:t xml:space="preserve"> phthalate)</w:t>
            </w:r>
            <w:r w:rsidRPr="00535039">
              <w:rPr>
                <w:rFonts w:hAnsi="標楷體" w:hint="eastAsia"/>
                <w:sz w:val="28"/>
                <w:szCs w:val="28"/>
              </w:rPr>
              <w:t>(BPBG)/</w:t>
            </w:r>
            <w:proofErr w:type="gramStart"/>
            <w:r w:rsidRPr="00535039">
              <w:rPr>
                <w:rFonts w:hAnsi="標楷體"/>
                <w:sz w:val="28"/>
                <w:szCs w:val="28"/>
              </w:rPr>
              <w:t>鄰苯</w:t>
            </w:r>
            <w:proofErr w:type="gramEnd"/>
            <w:r w:rsidRPr="00535039">
              <w:rPr>
                <w:rFonts w:hAnsi="標楷體"/>
                <w:sz w:val="28"/>
                <w:szCs w:val="28"/>
              </w:rPr>
              <w:t>二</w:t>
            </w:r>
            <w:proofErr w:type="gramStart"/>
            <w:r w:rsidRPr="00535039">
              <w:rPr>
                <w:rFonts w:hAnsi="標楷體"/>
                <w:sz w:val="28"/>
                <w:szCs w:val="28"/>
              </w:rPr>
              <w:t>甲酸丁基</w:t>
            </w:r>
            <w:proofErr w:type="gramEnd"/>
            <w:r w:rsidRPr="00535039">
              <w:rPr>
                <w:rFonts w:hAnsi="標楷體"/>
                <w:sz w:val="28"/>
                <w:szCs w:val="28"/>
              </w:rPr>
              <w:t>丁二</w:t>
            </w:r>
            <w:proofErr w:type="gramStart"/>
            <w:r w:rsidRPr="00535039">
              <w:rPr>
                <w:rFonts w:hAnsi="標楷體"/>
                <w:sz w:val="28"/>
                <w:szCs w:val="28"/>
              </w:rPr>
              <w:t>醇酸酯</w:t>
            </w:r>
            <w:proofErr w:type="gramEnd"/>
          </w:p>
        </w:tc>
      </w:tr>
      <w:tr w:rsidR="007E5433" w:rsidRPr="00535039" w14:paraId="38BAC713" w14:textId="77777777" w:rsidTr="0056539D">
        <w:trPr>
          <w:trHeight w:val="161"/>
          <w:jc w:val="center"/>
        </w:trPr>
        <w:tc>
          <w:tcPr>
            <w:tcW w:w="1559" w:type="dxa"/>
          </w:tcPr>
          <w:p w14:paraId="05ED1F03" w14:textId="77777777" w:rsidR="000C69CB" w:rsidRPr="00535039" w:rsidRDefault="000C69CB" w:rsidP="00D20305">
            <w:pPr>
              <w:ind w:leftChars="-24" w:left="17" w:rightChars="-11" w:right="-37" w:hangingChars="36" w:hanging="99"/>
              <w:jc w:val="left"/>
              <w:rPr>
                <w:rFonts w:hAnsi="標楷體"/>
                <w:spacing w:val="-12"/>
                <w:sz w:val="28"/>
                <w:szCs w:val="28"/>
              </w:rPr>
            </w:pPr>
            <w:r w:rsidRPr="00535039">
              <w:rPr>
                <w:rFonts w:hAnsi="標楷體"/>
                <w:spacing w:val="-12"/>
                <w:sz w:val="28"/>
                <w:szCs w:val="28"/>
              </w:rPr>
              <w:t>84-75-3</w:t>
            </w:r>
          </w:p>
        </w:tc>
        <w:tc>
          <w:tcPr>
            <w:tcW w:w="7083" w:type="dxa"/>
          </w:tcPr>
          <w:p w14:paraId="74CB5CFA" w14:textId="77777777" w:rsidR="000C69CB" w:rsidRPr="00535039" w:rsidRDefault="000C69CB" w:rsidP="00D20305">
            <w:pPr>
              <w:jc w:val="left"/>
              <w:rPr>
                <w:rFonts w:hAnsi="標楷體"/>
                <w:sz w:val="28"/>
                <w:szCs w:val="28"/>
              </w:rPr>
            </w:pPr>
            <w:r w:rsidRPr="00535039">
              <w:rPr>
                <w:rFonts w:hAnsi="標楷體"/>
                <w:sz w:val="28"/>
                <w:szCs w:val="28"/>
              </w:rPr>
              <w:t>Di-n-hexyl Phthalate(DNHP)</w:t>
            </w:r>
            <w:r w:rsidRPr="00535039">
              <w:rPr>
                <w:rFonts w:hAnsi="標楷體" w:hint="eastAsia"/>
                <w:sz w:val="28"/>
                <w:szCs w:val="28"/>
              </w:rPr>
              <w:t>/</w:t>
            </w:r>
            <w:proofErr w:type="gramStart"/>
            <w:r w:rsidRPr="00535039">
              <w:rPr>
                <w:rFonts w:hAnsi="標楷體" w:hint="eastAsia"/>
                <w:sz w:val="28"/>
                <w:szCs w:val="28"/>
              </w:rPr>
              <w:t>鄰苯</w:t>
            </w:r>
            <w:proofErr w:type="gramEnd"/>
            <w:r w:rsidRPr="00535039">
              <w:rPr>
                <w:rFonts w:hAnsi="標楷體" w:hint="eastAsia"/>
                <w:sz w:val="28"/>
                <w:szCs w:val="28"/>
              </w:rPr>
              <w:t>二甲酸二</w:t>
            </w:r>
            <w:proofErr w:type="gramStart"/>
            <w:r w:rsidRPr="00535039">
              <w:rPr>
                <w:rFonts w:hAnsi="標楷體" w:hint="eastAsia"/>
                <w:sz w:val="28"/>
                <w:szCs w:val="28"/>
              </w:rPr>
              <w:t>己酯</w:t>
            </w:r>
            <w:proofErr w:type="gramEnd"/>
            <w:r w:rsidRPr="00535039">
              <w:rPr>
                <w:rFonts w:hAnsi="標楷體"/>
                <w:sz w:val="28"/>
                <w:szCs w:val="28"/>
              </w:rPr>
              <w:t xml:space="preserve"> </w:t>
            </w:r>
          </w:p>
        </w:tc>
      </w:tr>
      <w:tr w:rsidR="007E5433" w:rsidRPr="00535039" w14:paraId="677E5304" w14:textId="77777777" w:rsidTr="0056539D">
        <w:trPr>
          <w:trHeight w:val="161"/>
          <w:jc w:val="center"/>
        </w:trPr>
        <w:tc>
          <w:tcPr>
            <w:tcW w:w="1559" w:type="dxa"/>
          </w:tcPr>
          <w:p w14:paraId="7073FF3D" w14:textId="77777777" w:rsidR="000C69CB" w:rsidRPr="00535039" w:rsidRDefault="000C69CB" w:rsidP="00D20305">
            <w:pPr>
              <w:ind w:leftChars="-24" w:left="17" w:rightChars="-11" w:right="-37" w:hangingChars="36" w:hanging="99"/>
              <w:jc w:val="left"/>
              <w:rPr>
                <w:rFonts w:hAnsi="標楷體"/>
                <w:spacing w:val="-12"/>
                <w:sz w:val="28"/>
                <w:szCs w:val="28"/>
              </w:rPr>
            </w:pPr>
            <w:r w:rsidRPr="00535039">
              <w:rPr>
                <w:rFonts w:hAnsi="標楷體"/>
                <w:spacing w:val="-12"/>
                <w:sz w:val="28"/>
                <w:szCs w:val="28"/>
              </w:rPr>
              <w:t>117-83-9</w:t>
            </w:r>
          </w:p>
        </w:tc>
        <w:tc>
          <w:tcPr>
            <w:tcW w:w="7083" w:type="dxa"/>
          </w:tcPr>
          <w:p w14:paraId="2D13B11C" w14:textId="77777777" w:rsidR="000C69CB" w:rsidRPr="00535039" w:rsidRDefault="000C69CB" w:rsidP="00D20305">
            <w:pPr>
              <w:jc w:val="left"/>
              <w:rPr>
                <w:rFonts w:hAnsi="標楷體"/>
                <w:sz w:val="28"/>
                <w:szCs w:val="28"/>
              </w:rPr>
            </w:pPr>
            <w:r w:rsidRPr="00535039">
              <w:rPr>
                <w:rFonts w:hAnsi="標楷體"/>
                <w:sz w:val="28"/>
                <w:szCs w:val="28"/>
              </w:rPr>
              <w:t>Bis(2-n-butoxyethyl) phthalate(BBEP)</w:t>
            </w:r>
            <w:r w:rsidRPr="00535039">
              <w:rPr>
                <w:rFonts w:hAnsi="標楷體" w:hint="eastAsia"/>
                <w:sz w:val="28"/>
                <w:szCs w:val="28"/>
              </w:rPr>
              <w:t>/</w:t>
            </w:r>
            <w:proofErr w:type="gramStart"/>
            <w:r w:rsidRPr="00535039">
              <w:rPr>
                <w:rFonts w:hAnsi="標楷體" w:hint="eastAsia"/>
                <w:sz w:val="28"/>
                <w:szCs w:val="28"/>
              </w:rPr>
              <w:t>鄰苯</w:t>
            </w:r>
            <w:proofErr w:type="gramEnd"/>
            <w:r w:rsidRPr="00535039">
              <w:rPr>
                <w:rFonts w:hAnsi="標楷體" w:hint="eastAsia"/>
                <w:sz w:val="28"/>
                <w:szCs w:val="28"/>
              </w:rPr>
              <w:t>二甲酸二</w:t>
            </w:r>
            <w:proofErr w:type="gramStart"/>
            <w:r w:rsidRPr="00535039">
              <w:rPr>
                <w:rFonts w:hAnsi="標楷體" w:hint="eastAsia"/>
                <w:sz w:val="28"/>
                <w:szCs w:val="28"/>
              </w:rPr>
              <w:t>丁氧基乙</w:t>
            </w:r>
            <w:proofErr w:type="gramEnd"/>
            <w:r w:rsidRPr="00535039">
              <w:rPr>
                <w:rFonts w:hAnsi="標楷體" w:hint="eastAsia"/>
                <w:sz w:val="28"/>
                <w:szCs w:val="28"/>
              </w:rPr>
              <w:t>酯</w:t>
            </w:r>
            <w:r w:rsidRPr="00535039">
              <w:rPr>
                <w:rFonts w:hAnsi="標楷體"/>
                <w:sz w:val="28"/>
                <w:szCs w:val="28"/>
              </w:rPr>
              <w:t xml:space="preserve"> </w:t>
            </w:r>
          </w:p>
        </w:tc>
      </w:tr>
      <w:tr w:rsidR="007E5433" w:rsidRPr="00535039" w14:paraId="0ACF4084" w14:textId="77777777" w:rsidTr="0056539D">
        <w:trPr>
          <w:trHeight w:val="161"/>
          <w:jc w:val="center"/>
        </w:trPr>
        <w:tc>
          <w:tcPr>
            <w:tcW w:w="1559" w:type="dxa"/>
          </w:tcPr>
          <w:p w14:paraId="7443A41B" w14:textId="77777777" w:rsidR="000C69CB" w:rsidRPr="00535039" w:rsidRDefault="000C69CB" w:rsidP="00D20305">
            <w:pPr>
              <w:ind w:leftChars="-24" w:left="17" w:rightChars="-11" w:right="-37" w:hangingChars="36" w:hanging="99"/>
              <w:jc w:val="left"/>
              <w:rPr>
                <w:rFonts w:hAnsi="標楷體"/>
                <w:spacing w:val="-12"/>
                <w:sz w:val="28"/>
                <w:szCs w:val="28"/>
              </w:rPr>
            </w:pPr>
            <w:r w:rsidRPr="00535039">
              <w:rPr>
                <w:rFonts w:hAnsi="標楷體"/>
                <w:spacing w:val="-12"/>
                <w:sz w:val="28"/>
                <w:szCs w:val="28"/>
              </w:rPr>
              <w:t>1322-94-7</w:t>
            </w:r>
          </w:p>
        </w:tc>
        <w:tc>
          <w:tcPr>
            <w:tcW w:w="7083" w:type="dxa"/>
          </w:tcPr>
          <w:p w14:paraId="61FB8FF9" w14:textId="77777777" w:rsidR="000C69CB" w:rsidRPr="00535039" w:rsidRDefault="000C69CB" w:rsidP="00D20305">
            <w:pPr>
              <w:jc w:val="left"/>
              <w:rPr>
                <w:rFonts w:hAnsi="標楷體"/>
                <w:sz w:val="28"/>
                <w:szCs w:val="28"/>
              </w:rPr>
            </w:pPr>
            <w:proofErr w:type="spellStart"/>
            <w:r w:rsidRPr="00535039">
              <w:rPr>
                <w:rFonts w:hAnsi="標楷體"/>
                <w:sz w:val="28"/>
                <w:szCs w:val="28"/>
              </w:rPr>
              <w:t>Dimethylcyclohexyl</w:t>
            </w:r>
            <w:proofErr w:type="spellEnd"/>
            <w:r w:rsidRPr="00535039">
              <w:rPr>
                <w:rFonts w:hAnsi="標楷體"/>
                <w:sz w:val="28"/>
                <w:szCs w:val="28"/>
              </w:rPr>
              <w:t xml:space="preserve"> phthalate</w:t>
            </w:r>
            <w:r w:rsidRPr="00535039">
              <w:rPr>
                <w:rFonts w:hAnsi="標楷體" w:hint="eastAsia"/>
                <w:sz w:val="28"/>
                <w:szCs w:val="28"/>
              </w:rPr>
              <w:t>(DMCHP)/</w:t>
            </w:r>
            <w:proofErr w:type="gramStart"/>
            <w:r w:rsidRPr="00535039">
              <w:rPr>
                <w:rFonts w:hAnsi="標楷體"/>
                <w:sz w:val="28"/>
                <w:szCs w:val="28"/>
              </w:rPr>
              <w:t>鄰苯</w:t>
            </w:r>
            <w:proofErr w:type="gramEnd"/>
            <w:r w:rsidRPr="00535039">
              <w:rPr>
                <w:rFonts w:hAnsi="標楷體"/>
                <w:sz w:val="28"/>
                <w:szCs w:val="28"/>
              </w:rPr>
              <w:t>二甲酸二甲基</w:t>
            </w:r>
            <w:proofErr w:type="gramStart"/>
            <w:r w:rsidRPr="00535039">
              <w:rPr>
                <w:rFonts w:hAnsi="標楷體"/>
                <w:sz w:val="28"/>
                <w:szCs w:val="28"/>
              </w:rPr>
              <w:t>環己酯</w:t>
            </w:r>
            <w:proofErr w:type="gramEnd"/>
          </w:p>
        </w:tc>
      </w:tr>
      <w:tr w:rsidR="007E5433" w:rsidRPr="00535039" w14:paraId="1EDB6D63" w14:textId="77777777" w:rsidTr="0056539D">
        <w:trPr>
          <w:trHeight w:val="161"/>
          <w:jc w:val="center"/>
        </w:trPr>
        <w:tc>
          <w:tcPr>
            <w:tcW w:w="1559" w:type="dxa"/>
          </w:tcPr>
          <w:p w14:paraId="4BEAC17F" w14:textId="77777777" w:rsidR="000C69CB" w:rsidRPr="00535039" w:rsidRDefault="000C69CB" w:rsidP="00D20305">
            <w:pPr>
              <w:ind w:leftChars="-24" w:left="17" w:rightChars="-49" w:right="-167" w:hangingChars="36" w:hanging="99"/>
              <w:jc w:val="left"/>
              <w:rPr>
                <w:rFonts w:hAnsi="標楷體"/>
                <w:spacing w:val="-12"/>
                <w:sz w:val="28"/>
                <w:szCs w:val="28"/>
              </w:rPr>
            </w:pPr>
            <w:r w:rsidRPr="00535039">
              <w:rPr>
                <w:rFonts w:hAnsi="標楷體"/>
                <w:spacing w:val="-12"/>
                <w:sz w:val="28"/>
                <w:szCs w:val="28"/>
              </w:rPr>
              <w:t>27554-26-3</w:t>
            </w:r>
          </w:p>
        </w:tc>
        <w:tc>
          <w:tcPr>
            <w:tcW w:w="7083" w:type="dxa"/>
          </w:tcPr>
          <w:p w14:paraId="080E1229" w14:textId="77777777" w:rsidR="000C69CB" w:rsidRPr="00535039" w:rsidRDefault="000C69CB" w:rsidP="00D20305">
            <w:pPr>
              <w:jc w:val="left"/>
              <w:rPr>
                <w:rFonts w:hAnsi="標楷體"/>
                <w:sz w:val="28"/>
                <w:szCs w:val="28"/>
              </w:rPr>
            </w:pPr>
            <w:r w:rsidRPr="00535039">
              <w:rPr>
                <w:rFonts w:hAnsi="標楷體"/>
                <w:sz w:val="28"/>
                <w:szCs w:val="28"/>
              </w:rPr>
              <w:t>Di-iso-octyl Phthalate(DIOP)</w:t>
            </w:r>
            <w:r w:rsidRPr="00535039">
              <w:rPr>
                <w:rFonts w:hAnsi="標楷體" w:hint="eastAsia"/>
                <w:sz w:val="28"/>
                <w:szCs w:val="28"/>
              </w:rPr>
              <w:t>/</w:t>
            </w:r>
            <w:proofErr w:type="gramStart"/>
            <w:r w:rsidRPr="00535039">
              <w:rPr>
                <w:rFonts w:hAnsi="標楷體" w:hint="eastAsia"/>
                <w:sz w:val="28"/>
                <w:szCs w:val="28"/>
              </w:rPr>
              <w:t>鄰苯</w:t>
            </w:r>
            <w:proofErr w:type="gramEnd"/>
            <w:r w:rsidRPr="00535039">
              <w:rPr>
                <w:rFonts w:hAnsi="標楷體" w:hint="eastAsia"/>
                <w:sz w:val="28"/>
                <w:szCs w:val="28"/>
              </w:rPr>
              <w:t>二甲酸二</w:t>
            </w:r>
            <w:proofErr w:type="gramStart"/>
            <w:r w:rsidRPr="00535039">
              <w:rPr>
                <w:rFonts w:hAnsi="標楷體" w:hint="eastAsia"/>
                <w:sz w:val="28"/>
                <w:szCs w:val="28"/>
              </w:rPr>
              <w:t>異辛酯</w:t>
            </w:r>
            <w:proofErr w:type="gramEnd"/>
            <w:r w:rsidRPr="00535039">
              <w:rPr>
                <w:rFonts w:hAnsi="標楷體"/>
                <w:sz w:val="28"/>
                <w:szCs w:val="28"/>
              </w:rPr>
              <w:t xml:space="preserve"> </w:t>
            </w:r>
          </w:p>
        </w:tc>
      </w:tr>
      <w:tr w:rsidR="007E5433" w:rsidRPr="00535039" w14:paraId="426F6D43" w14:textId="77777777" w:rsidTr="0056539D">
        <w:trPr>
          <w:trHeight w:val="161"/>
          <w:jc w:val="center"/>
        </w:trPr>
        <w:tc>
          <w:tcPr>
            <w:tcW w:w="1559" w:type="dxa"/>
          </w:tcPr>
          <w:p w14:paraId="6300352C" w14:textId="77777777" w:rsidR="000C69CB" w:rsidRPr="00535039" w:rsidRDefault="000C69CB" w:rsidP="00D20305">
            <w:pPr>
              <w:ind w:leftChars="-24" w:left="17" w:rightChars="-11" w:right="-37" w:hangingChars="36" w:hanging="99"/>
              <w:jc w:val="left"/>
              <w:rPr>
                <w:rFonts w:hAnsi="標楷體"/>
                <w:spacing w:val="-12"/>
                <w:sz w:val="28"/>
                <w:szCs w:val="28"/>
              </w:rPr>
            </w:pPr>
            <w:r w:rsidRPr="00535039">
              <w:rPr>
                <w:rFonts w:hAnsi="標楷體"/>
                <w:spacing w:val="-12"/>
                <w:sz w:val="28"/>
                <w:szCs w:val="28"/>
              </w:rPr>
              <w:t>117-84-0</w:t>
            </w:r>
          </w:p>
        </w:tc>
        <w:tc>
          <w:tcPr>
            <w:tcW w:w="7083" w:type="dxa"/>
          </w:tcPr>
          <w:p w14:paraId="1A04BA65" w14:textId="77777777" w:rsidR="000C69CB" w:rsidRPr="00535039" w:rsidRDefault="000C69CB" w:rsidP="00D20305">
            <w:pPr>
              <w:jc w:val="left"/>
              <w:rPr>
                <w:rFonts w:hAnsi="標楷體"/>
                <w:spacing w:val="-8"/>
                <w:sz w:val="28"/>
                <w:szCs w:val="28"/>
              </w:rPr>
            </w:pPr>
            <w:r w:rsidRPr="00535039">
              <w:rPr>
                <w:rFonts w:hAnsi="標楷體"/>
                <w:spacing w:val="-8"/>
                <w:sz w:val="28"/>
                <w:szCs w:val="28"/>
              </w:rPr>
              <w:t>Di-n-octyl phthalate(DNOP)</w:t>
            </w:r>
            <w:r w:rsidRPr="00535039">
              <w:rPr>
                <w:rFonts w:hAnsi="標楷體" w:hint="eastAsia"/>
                <w:spacing w:val="-8"/>
                <w:sz w:val="28"/>
                <w:szCs w:val="28"/>
              </w:rPr>
              <w:t>/</w:t>
            </w:r>
            <w:proofErr w:type="gramStart"/>
            <w:r w:rsidRPr="00535039">
              <w:rPr>
                <w:rFonts w:hAnsi="標楷體" w:hint="eastAsia"/>
                <w:spacing w:val="-8"/>
                <w:sz w:val="28"/>
                <w:szCs w:val="28"/>
              </w:rPr>
              <w:t>鄰苯</w:t>
            </w:r>
            <w:proofErr w:type="gramEnd"/>
            <w:r w:rsidRPr="00535039">
              <w:rPr>
                <w:rFonts w:hAnsi="標楷體" w:hint="eastAsia"/>
                <w:spacing w:val="-8"/>
                <w:sz w:val="28"/>
                <w:szCs w:val="28"/>
              </w:rPr>
              <w:t>二甲酸</w:t>
            </w:r>
            <w:proofErr w:type="gramStart"/>
            <w:r w:rsidRPr="00535039">
              <w:rPr>
                <w:rFonts w:hAnsi="標楷體" w:hint="eastAsia"/>
                <w:spacing w:val="-8"/>
                <w:sz w:val="28"/>
                <w:szCs w:val="28"/>
              </w:rPr>
              <w:t>二正辛酯</w:t>
            </w:r>
            <w:proofErr w:type="gramEnd"/>
          </w:p>
        </w:tc>
      </w:tr>
      <w:tr w:rsidR="007E5433" w:rsidRPr="00535039" w14:paraId="6B722A3A" w14:textId="77777777" w:rsidTr="0056539D">
        <w:trPr>
          <w:trHeight w:val="308"/>
          <w:jc w:val="center"/>
        </w:trPr>
        <w:tc>
          <w:tcPr>
            <w:tcW w:w="1559" w:type="dxa"/>
          </w:tcPr>
          <w:p w14:paraId="47BF8280" w14:textId="77777777" w:rsidR="000C69CB" w:rsidRPr="00535039" w:rsidRDefault="000C69CB" w:rsidP="00D20305">
            <w:pPr>
              <w:ind w:leftChars="-24" w:left="17" w:rightChars="-11" w:right="-37" w:hangingChars="36" w:hanging="99"/>
              <w:jc w:val="left"/>
              <w:rPr>
                <w:rFonts w:hAnsi="標楷體"/>
                <w:spacing w:val="-12"/>
                <w:sz w:val="28"/>
                <w:szCs w:val="28"/>
              </w:rPr>
            </w:pPr>
            <w:r w:rsidRPr="00535039">
              <w:rPr>
                <w:rFonts w:hAnsi="標楷體"/>
                <w:spacing w:val="-12"/>
                <w:sz w:val="28"/>
                <w:szCs w:val="28"/>
              </w:rPr>
              <w:t>84-78-6</w:t>
            </w:r>
          </w:p>
        </w:tc>
        <w:tc>
          <w:tcPr>
            <w:tcW w:w="7083" w:type="dxa"/>
          </w:tcPr>
          <w:p w14:paraId="18FE3634" w14:textId="77777777" w:rsidR="000C69CB" w:rsidRPr="00535039" w:rsidRDefault="000C69CB" w:rsidP="00D20305">
            <w:pPr>
              <w:jc w:val="left"/>
              <w:rPr>
                <w:rFonts w:hAnsi="標楷體"/>
                <w:sz w:val="28"/>
                <w:szCs w:val="28"/>
              </w:rPr>
            </w:pPr>
            <w:proofErr w:type="spellStart"/>
            <w:r w:rsidRPr="00535039">
              <w:rPr>
                <w:rFonts w:hAnsi="標楷體"/>
                <w:sz w:val="28"/>
                <w:szCs w:val="28"/>
              </w:rPr>
              <w:t>Butyloctyl</w:t>
            </w:r>
            <w:proofErr w:type="spellEnd"/>
            <w:r w:rsidRPr="00535039">
              <w:rPr>
                <w:rFonts w:hAnsi="標楷體"/>
                <w:sz w:val="28"/>
                <w:szCs w:val="28"/>
              </w:rPr>
              <w:t xml:space="preserve"> phthalate (n-butyl n-octyl phthalate)</w:t>
            </w:r>
            <w:r w:rsidRPr="00535039">
              <w:rPr>
                <w:rFonts w:hAnsi="標楷體" w:hint="eastAsia"/>
                <w:sz w:val="28"/>
                <w:szCs w:val="28"/>
              </w:rPr>
              <w:t>(BOP)/</w:t>
            </w:r>
            <w:proofErr w:type="gramStart"/>
            <w:r w:rsidRPr="00535039">
              <w:rPr>
                <w:rFonts w:hAnsi="標楷體" w:hint="eastAsia"/>
                <w:sz w:val="28"/>
                <w:szCs w:val="28"/>
              </w:rPr>
              <w:t>鄰苯</w:t>
            </w:r>
            <w:proofErr w:type="gramEnd"/>
            <w:r w:rsidRPr="00535039">
              <w:rPr>
                <w:rFonts w:hAnsi="標楷體" w:hint="eastAsia"/>
                <w:sz w:val="28"/>
                <w:szCs w:val="28"/>
              </w:rPr>
              <w:t>二甲</w:t>
            </w:r>
            <w:proofErr w:type="gramStart"/>
            <w:r w:rsidRPr="00535039">
              <w:rPr>
                <w:rFonts w:hAnsi="標楷體" w:hint="eastAsia"/>
                <w:sz w:val="28"/>
                <w:szCs w:val="28"/>
              </w:rPr>
              <w:t>酸正丁異辛酯</w:t>
            </w:r>
            <w:proofErr w:type="gramEnd"/>
            <w:r w:rsidRPr="00535039">
              <w:rPr>
                <w:rFonts w:hAnsi="標楷體"/>
                <w:sz w:val="28"/>
                <w:szCs w:val="28"/>
              </w:rPr>
              <w:t xml:space="preserve"> </w:t>
            </w:r>
          </w:p>
        </w:tc>
      </w:tr>
      <w:tr w:rsidR="007E5433" w:rsidRPr="00535039" w14:paraId="41340ED2" w14:textId="77777777" w:rsidTr="0056539D">
        <w:trPr>
          <w:trHeight w:val="161"/>
          <w:jc w:val="center"/>
        </w:trPr>
        <w:tc>
          <w:tcPr>
            <w:tcW w:w="1559" w:type="dxa"/>
          </w:tcPr>
          <w:p w14:paraId="15CADBE6" w14:textId="77777777" w:rsidR="000C69CB" w:rsidRPr="00535039" w:rsidRDefault="000C69CB" w:rsidP="00D20305">
            <w:pPr>
              <w:ind w:leftChars="-24" w:left="17" w:rightChars="-11" w:right="-37" w:hangingChars="36" w:hanging="99"/>
              <w:jc w:val="left"/>
              <w:rPr>
                <w:rFonts w:hAnsi="標楷體"/>
                <w:spacing w:val="-12"/>
                <w:sz w:val="28"/>
                <w:szCs w:val="28"/>
              </w:rPr>
            </w:pPr>
            <w:r w:rsidRPr="00535039">
              <w:rPr>
                <w:rFonts w:hAnsi="標楷體"/>
                <w:spacing w:val="-12"/>
                <w:sz w:val="28"/>
                <w:szCs w:val="28"/>
              </w:rPr>
              <w:t>84-71-9</w:t>
            </w:r>
          </w:p>
        </w:tc>
        <w:tc>
          <w:tcPr>
            <w:tcW w:w="7083" w:type="dxa"/>
          </w:tcPr>
          <w:p w14:paraId="2262BE87" w14:textId="77777777" w:rsidR="000C69CB" w:rsidRPr="00535039" w:rsidRDefault="000C69CB" w:rsidP="00D20305">
            <w:pPr>
              <w:jc w:val="left"/>
              <w:rPr>
                <w:rFonts w:hAnsi="標楷體"/>
                <w:sz w:val="28"/>
                <w:szCs w:val="28"/>
              </w:rPr>
            </w:pPr>
            <w:r w:rsidRPr="00535039">
              <w:rPr>
                <w:rFonts w:hAnsi="標楷體"/>
                <w:sz w:val="28"/>
                <w:szCs w:val="28"/>
              </w:rPr>
              <w:t xml:space="preserve">Di(2-ethylhexyl) </w:t>
            </w:r>
            <w:proofErr w:type="spellStart"/>
            <w:r w:rsidRPr="00535039">
              <w:rPr>
                <w:rFonts w:hAnsi="標楷體"/>
                <w:sz w:val="28"/>
                <w:szCs w:val="28"/>
              </w:rPr>
              <w:t>hexahydrophthalate</w:t>
            </w:r>
            <w:proofErr w:type="spellEnd"/>
            <w:r w:rsidRPr="00535039">
              <w:rPr>
                <w:rFonts w:hAnsi="標楷體" w:hint="eastAsia"/>
                <w:sz w:val="28"/>
                <w:szCs w:val="28"/>
              </w:rPr>
              <w:t>(DEHHP)/</w:t>
            </w:r>
            <w:proofErr w:type="gramStart"/>
            <w:r w:rsidRPr="00535039">
              <w:rPr>
                <w:rFonts w:hAnsi="標楷體"/>
                <w:sz w:val="28"/>
                <w:szCs w:val="28"/>
              </w:rPr>
              <w:t>氫化鄰苯</w:t>
            </w:r>
            <w:proofErr w:type="gramEnd"/>
            <w:r w:rsidRPr="00535039">
              <w:rPr>
                <w:rFonts w:hAnsi="標楷體"/>
                <w:sz w:val="28"/>
                <w:szCs w:val="28"/>
              </w:rPr>
              <w:t>二甲酸二(2</w:t>
            </w:r>
            <w:r w:rsidRPr="00535039">
              <w:rPr>
                <w:rFonts w:hAnsi="標楷體"/>
                <w:sz w:val="28"/>
                <w:szCs w:val="28"/>
              </w:rPr>
              <w:noBreakHyphen/>
              <w:t>乙基己)酯</w:t>
            </w:r>
          </w:p>
        </w:tc>
      </w:tr>
      <w:tr w:rsidR="007E5433" w:rsidRPr="00535039" w14:paraId="7E79E15E" w14:textId="77777777" w:rsidTr="0056539D">
        <w:trPr>
          <w:trHeight w:val="161"/>
          <w:jc w:val="center"/>
        </w:trPr>
        <w:tc>
          <w:tcPr>
            <w:tcW w:w="1559" w:type="dxa"/>
          </w:tcPr>
          <w:p w14:paraId="05295699" w14:textId="77777777" w:rsidR="000C69CB" w:rsidRPr="00535039" w:rsidRDefault="000C69CB" w:rsidP="00D20305">
            <w:pPr>
              <w:ind w:leftChars="-24" w:left="17" w:rightChars="-11" w:right="-37" w:hangingChars="36" w:hanging="99"/>
              <w:jc w:val="left"/>
              <w:rPr>
                <w:rFonts w:hAnsi="標楷體"/>
                <w:sz w:val="28"/>
                <w:szCs w:val="28"/>
              </w:rPr>
            </w:pPr>
            <w:r w:rsidRPr="00535039">
              <w:rPr>
                <w:rFonts w:hAnsi="標楷體"/>
                <w:spacing w:val="-12"/>
                <w:sz w:val="28"/>
                <w:szCs w:val="28"/>
              </w:rPr>
              <w:t>7493-81-4</w:t>
            </w:r>
          </w:p>
        </w:tc>
        <w:tc>
          <w:tcPr>
            <w:tcW w:w="7083" w:type="dxa"/>
          </w:tcPr>
          <w:p w14:paraId="1DEBE9ED" w14:textId="77777777" w:rsidR="000C69CB" w:rsidRPr="00535039" w:rsidRDefault="000C69CB" w:rsidP="00D20305">
            <w:pPr>
              <w:jc w:val="left"/>
              <w:rPr>
                <w:rFonts w:hAnsi="標楷體"/>
                <w:sz w:val="28"/>
                <w:szCs w:val="28"/>
              </w:rPr>
            </w:pPr>
            <w:r w:rsidRPr="00535039">
              <w:rPr>
                <w:rFonts w:hAnsi="標楷體"/>
                <w:sz w:val="28"/>
                <w:szCs w:val="28"/>
              </w:rPr>
              <w:t>Amyl decyl phthalate (n-amyl n-decyl phthalate)</w:t>
            </w:r>
            <w:r w:rsidRPr="00535039">
              <w:rPr>
                <w:rFonts w:hAnsi="標楷體" w:hint="eastAsia"/>
                <w:sz w:val="28"/>
                <w:szCs w:val="28"/>
              </w:rPr>
              <w:t>(ADP)/</w:t>
            </w:r>
            <w:proofErr w:type="gramStart"/>
            <w:r w:rsidRPr="00535039">
              <w:rPr>
                <w:rFonts w:hAnsi="標楷體"/>
                <w:sz w:val="28"/>
                <w:szCs w:val="28"/>
              </w:rPr>
              <w:t>鄰苯</w:t>
            </w:r>
            <w:proofErr w:type="gramEnd"/>
            <w:r w:rsidRPr="00535039">
              <w:rPr>
                <w:rFonts w:hAnsi="標楷體"/>
                <w:sz w:val="28"/>
                <w:szCs w:val="28"/>
              </w:rPr>
              <w:t>二甲酸戊</w:t>
            </w:r>
            <w:proofErr w:type="gramStart"/>
            <w:r w:rsidRPr="00535039">
              <w:rPr>
                <w:rFonts w:hAnsi="標楷體"/>
                <w:sz w:val="28"/>
                <w:szCs w:val="28"/>
              </w:rPr>
              <w:t>癸</w:t>
            </w:r>
            <w:proofErr w:type="gramEnd"/>
            <w:r w:rsidRPr="00535039">
              <w:rPr>
                <w:rFonts w:hAnsi="標楷體"/>
                <w:sz w:val="28"/>
                <w:szCs w:val="28"/>
              </w:rPr>
              <w:t>酯</w:t>
            </w:r>
          </w:p>
        </w:tc>
      </w:tr>
      <w:tr w:rsidR="007E5433" w:rsidRPr="00535039" w14:paraId="07242F32" w14:textId="77777777" w:rsidTr="0056539D">
        <w:trPr>
          <w:trHeight w:val="161"/>
          <w:jc w:val="center"/>
        </w:trPr>
        <w:tc>
          <w:tcPr>
            <w:tcW w:w="1559" w:type="dxa"/>
          </w:tcPr>
          <w:p w14:paraId="24C7BCCD" w14:textId="77777777" w:rsidR="000C69CB" w:rsidRPr="00535039" w:rsidRDefault="000C69CB" w:rsidP="00D20305">
            <w:pPr>
              <w:ind w:leftChars="-24" w:left="26" w:rightChars="-11" w:right="-37" w:hangingChars="36" w:hanging="108"/>
              <w:jc w:val="left"/>
              <w:rPr>
                <w:rFonts w:hAnsi="標楷體"/>
                <w:sz w:val="28"/>
                <w:szCs w:val="28"/>
              </w:rPr>
            </w:pPr>
            <w:r w:rsidRPr="00535039">
              <w:rPr>
                <w:rFonts w:hAnsi="標楷體"/>
                <w:sz w:val="28"/>
                <w:szCs w:val="28"/>
              </w:rPr>
              <w:t>89-19-0</w:t>
            </w:r>
          </w:p>
        </w:tc>
        <w:tc>
          <w:tcPr>
            <w:tcW w:w="7083" w:type="dxa"/>
          </w:tcPr>
          <w:p w14:paraId="1DA2BC72" w14:textId="77777777" w:rsidR="000C69CB" w:rsidRPr="00535039" w:rsidRDefault="000C69CB" w:rsidP="00D20305">
            <w:pPr>
              <w:jc w:val="left"/>
              <w:rPr>
                <w:rFonts w:hAnsi="標楷體"/>
                <w:sz w:val="28"/>
                <w:szCs w:val="28"/>
              </w:rPr>
            </w:pPr>
            <w:r w:rsidRPr="00535039">
              <w:rPr>
                <w:rFonts w:hAnsi="標楷體"/>
                <w:sz w:val="28"/>
                <w:szCs w:val="28"/>
              </w:rPr>
              <w:t>Butyl decyl phthalate (n-butyl n-decyl phthalate)</w:t>
            </w:r>
            <w:r w:rsidRPr="00535039">
              <w:rPr>
                <w:rFonts w:hAnsi="標楷體" w:hint="eastAsia"/>
                <w:sz w:val="28"/>
                <w:szCs w:val="28"/>
              </w:rPr>
              <w:t>(BDP)/</w:t>
            </w:r>
            <w:proofErr w:type="gramStart"/>
            <w:r w:rsidRPr="00535039">
              <w:rPr>
                <w:rFonts w:hAnsi="標楷體"/>
                <w:sz w:val="28"/>
                <w:szCs w:val="28"/>
              </w:rPr>
              <w:t>鄰苯</w:t>
            </w:r>
            <w:proofErr w:type="gramEnd"/>
            <w:r w:rsidRPr="00535039">
              <w:rPr>
                <w:rFonts w:hAnsi="標楷體"/>
                <w:sz w:val="28"/>
                <w:szCs w:val="28"/>
              </w:rPr>
              <w:t>二甲酸丁</w:t>
            </w:r>
            <w:proofErr w:type="gramStart"/>
            <w:r w:rsidRPr="00535039">
              <w:rPr>
                <w:rFonts w:hAnsi="標楷體"/>
                <w:sz w:val="28"/>
                <w:szCs w:val="28"/>
              </w:rPr>
              <w:t>癸</w:t>
            </w:r>
            <w:proofErr w:type="gramEnd"/>
            <w:r w:rsidRPr="00535039">
              <w:rPr>
                <w:rFonts w:hAnsi="標楷體"/>
                <w:sz w:val="28"/>
                <w:szCs w:val="28"/>
              </w:rPr>
              <w:t>酯</w:t>
            </w:r>
          </w:p>
        </w:tc>
      </w:tr>
      <w:tr w:rsidR="007E5433" w:rsidRPr="00535039" w14:paraId="7E38635A" w14:textId="77777777" w:rsidTr="0056539D">
        <w:trPr>
          <w:trHeight w:val="161"/>
          <w:jc w:val="center"/>
        </w:trPr>
        <w:tc>
          <w:tcPr>
            <w:tcW w:w="1559" w:type="dxa"/>
          </w:tcPr>
          <w:p w14:paraId="1233331C" w14:textId="77777777" w:rsidR="000C69CB" w:rsidRPr="00535039" w:rsidRDefault="000C69CB" w:rsidP="00D20305">
            <w:pPr>
              <w:ind w:leftChars="-24" w:left="26" w:rightChars="-11" w:right="-37" w:hangingChars="36" w:hanging="108"/>
              <w:jc w:val="left"/>
              <w:rPr>
                <w:rFonts w:hAnsi="標楷體"/>
                <w:sz w:val="28"/>
                <w:szCs w:val="28"/>
              </w:rPr>
            </w:pPr>
            <w:r w:rsidRPr="00535039">
              <w:rPr>
                <w:rFonts w:hAnsi="標楷體"/>
                <w:sz w:val="28"/>
                <w:szCs w:val="28"/>
              </w:rPr>
              <w:t>119-07-3</w:t>
            </w:r>
          </w:p>
        </w:tc>
        <w:tc>
          <w:tcPr>
            <w:tcW w:w="7083" w:type="dxa"/>
          </w:tcPr>
          <w:p w14:paraId="513C7783" w14:textId="77777777" w:rsidR="000C69CB" w:rsidRPr="00535039" w:rsidRDefault="000C69CB" w:rsidP="00D20305">
            <w:pPr>
              <w:jc w:val="left"/>
              <w:rPr>
                <w:rFonts w:hAnsi="標楷體"/>
                <w:sz w:val="28"/>
                <w:szCs w:val="28"/>
              </w:rPr>
            </w:pPr>
            <w:r w:rsidRPr="00535039">
              <w:rPr>
                <w:rFonts w:hAnsi="標楷體"/>
                <w:sz w:val="28"/>
                <w:szCs w:val="28"/>
              </w:rPr>
              <w:t>Decyl octyl phthalate (</w:t>
            </w:r>
            <w:proofErr w:type="spellStart"/>
            <w:r w:rsidRPr="00535039">
              <w:rPr>
                <w:rFonts w:hAnsi="標楷體"/>
                <w:sz w:val="28"/>
                <w:szCs w:val="28"/>
              </w:rPr>
              <w:t>Octyldecyl</w:t>
            </w:r>
            <w:proofErr w:type="spellEnd"/>
            <w:r w:rsidRPr="00535039">
              <w:rPr>
                <w:rFonts w:hAnsi="標楷體"/>
                <w:sz w:val="28"/>
                <w:szCs w:val="28"/>
              </w:rPr>
              <w:t xml:space="preserve"> phthalate/n-octyl n-decyl </w:t>
            </w:r>
          </w:p>
          <w:p w14:paraId="17C1BB3A" w14:textId="77777777" w:rsidR="000C69CB" w:rsidRPr="00535039" w:rsidRDefault="000C69CB" w:rsidP="00D20305">
            <w:pPr>
              <w:pStyle w:val="Default"/>
              <w:rPr>
                <w:rFonts w:hAnsi="標楷體"/>
                <w:color w:val="auto"/>
                <w:sz w:val="28"/>
                <w:szCs w:val="28"/>
              </w:rPr>
            </w:pPr>
            <w:r w:rsidRPr="00535039">
              <w:rPr>
                <w:rFonts w:hAnsi="標楷體"/>
                <w:color w:val="auto"/>
                <w:sz w:val="28"/>
                <w:szCs w:val="28"/>
              </w:rPr>
              <w:t>phthalate)</w:t>
            </w:r>
            <w:r w:rsidRPr="00535039">
              <w:rPr>
                <w:rFonts w:hAnsi="標楷體" w:hint="eastAsia"/>
                <w:color w:val="auto"/>
                <w:sz w:val="28"/>
                <w:szCs w:val="28"/>
              </w:rPr>
              <w:t>(DOP)/</w:t>
            </w:r>
            <w:proofErr w:type="gramStart"/>
            <w:r w:rsidRPr="00535039">
              <w:rPr>
                <w:rFonts w:hAnsi="標楷體"/>
                <w:color w:val="auto"/>
                <w:sz w:val="28"/>
                <w:szCs w:val="28"/>
              </w:rPr>
              <w:t>鄰苯</w:t>
            </w:r>
            <w:proofErr w:type="gramEnd"/>
            <w:r w:rsidRPr="00535039">
              <w:rPr>
                <w:rFonts w:hAnsi="標楷體"/>
                <w:color w:val="auto"/>
                <w:sz w:val="28"/>
                <w:szCs w:val="28"/>
              </w:rPr>
              <w:t>二甲酸</w:t>
            </w:r>
            <w:proofErr w:type="gramStart"/>
            <w:r w:rsidRPr="00535039">
              <w:rPr>
                <w:rFonts w:hAnsi="標楷體"/>
                <w:color w:val="auto"/>
                <w:sz w:val="28"/>
                <w:szCs w:val="28"/>
              </w:rPr>
              <w:t>癸基辛酯</w:t>
            </w:r>
            <w:proofErr w:type="gramEnd"/>
          </w:p>
        </w:tc>
      </w:tr>
      <w:tr w:rsidR="007E5433" w:rsidRPr="00535039" w14:paraId="72D937FC" w14:textId="77777777" w:rsidTr="0056539D">
        <w:trPr>
          <w:trHeight w:val="161"/>
          <w:jc w:val="center"/>
        </w:trPr>
        <w:tc>
          <w:tcPr>
            <w:tcW w:w="1559" w:type="dxa"/>
          </w:tcPr>
          <w:p w14:paraId="5448783E" w14:textId="77777777" w:rsidR="000C69CB" w:rsidRPr="00535039" w:rsidRDefault="000C69CB" w:rsidP="00D20305">
            <w:pPr>
              <w:ind w:leftChars="-24" w:left="26" w:rightChars="-11" w:right="-37" w:hangingChars="36" w:hanging="108"/>
              <w:jc w:val="left"/>
              <w:rPr>
                <w:rFonts w:hAnsi="標楷體"/>
                <w:sz w:val="28"/>
                <w:szCs w:val="28"/>
              </w:rPr>
            </w:pPr>
            <w:r w:rsidRPr="00535039">
              <w:rPr>
                <w:rFonts w:hAnsi="標楷體"/>
                <w:sz w:val="28"/>
                <w:szCs w:val="28"/>
              </w:rPr>
              <w:t>84-77-5</w:t>
            </w:r>
          </w:p>
        </w:tc>
        <w:tc>
          <w:tcPr>
            <w:tcW w:w="7083" w:type="dxa"/>
          </w:tcPr>
          <w:p w14:paraId="7B39C8CC" w14:textId="77777777" w:rsidR="000C69CB" w:rsidRPr="00535039" w:rsidRDefault="000C69CB" w:rsidP="00D20305">
            <w:pPr>
              <w:jc w:val="left"/>
              <w:rPr>
                <w:rFonts w:hAnsi="標楷體"/>
                <w:sz w:val="28"/>
                <w:szCs w:val="28"/>
              </w:rPr>
            </w:pPr>
            <w:proofErr w:type="spellStart"/>
            <w:r w:rsidRPr="00535039">
              <w:rPr>
                <w:rFonts w:hAnsi="標楷體"/>
                <w:sz w:val="28"/>
                <w:szCs w:val="28"/>
              </w:rPr>
              <w:t>Didecyl</w:t>
            </w:r>
            <w:proofErr w:type="spellEnd"/>
            <w:r w:rsidRPr="00535039">
              <w:rPr>
                <w:rFonts w:hAnsi="標楷體"/>
                <w:sz w:val="28"/>
                <w:szCs w:val="28"/>
              </w:rPr>
              <w:t xml:space="preserve"> phthalate (Di-n-decyl phthalate)</w:t>
            </w:r>
            <w:r w:rsidRPr="00535039">
              <w:rPr>
                <w:rFonts w:hAnsi="標楷體" w:hint="eastAsia"/>
                <w:sz w:val="28"/>
                <w:szCs w:val="28"/>
              </w:rPr>
              <w:t>(DDP)/</w:t>
            </w:r>
            <w:proofErr w:type="gramStart"/>
            <w:r w:rsidRPr="00535039">
              <w:rPr>
                <w:rFonts w:hAnsi="標楷體"/>
                <w:sz w:val="28"/>
                <w:szCs w:val="28"/>
              </w:rPr>
              <w:t>鄰苯</w:t>
            </w:r>
            <w:proofErr w:type="gramEnd"/>
            <w:r w:rsidRPr="00535039">
              <w:rPr>
                <w:rFonts w:hAnsi="標楷體"/>
                <w:sz w:val="28"/>
                <w:szCs w:val="28"/>
              </w:rPr>
              <w:t>二甲酸二</w:t>
            </w:r>
            <w:proofErr w:type="gramStart"/>
            <w:r w:rsidRPr="00535039">
              <w:rPr>
                <w:rFonts w:hAnsi="標楷體"/>
                <w:sz w:val="28"/>
                <w:szCs w:val="28"/>
              </w:rPr>
              <w:t>癸</w:t>
            </w:r>
            <w:proofErr w:type="gramEnd"/>
            <w:r w:rsidRPr="00535039">
              <w:rPr>
                <w:rFonts w:hAnsi="標楷體"/>
                <w:sz w:val="28"/>
                <w:szCs w:val="28"/>
              </w:rPr>
              <w:t>酯</w:t>
            </w:r>
          </w:p>
        </w:tc>
      </w:tr>
      <w:tr w:rsidR="007E5433" w:rsidRPr="00535039" w14:paraId="33AF08C0" w14:textId="77777777" w:rsidTr="0056539D">
        <w:trPr>
          <w:trHeight w:val="161"/>
          <w:jc w:val="center"/>
        </w:trPr>
        <w:tc>
          <w:tcPr>
            <w:tcW w:w="1559" w:type="dxa"/>
          </w:tcPr>
          <w:p w14:paraId="1245C4BF" w14:textId="77777777" w:rsidR="000C69CB" w:rsidRPr="00535039" w:rsidRDefault="000C69CB" w:rsidP="00D20305">
            <w:pPr>
              <w:ind w:leftChars="-24" w:left="19" w:rightChars="-28" w:right="-95" w:hangingChars="36" w:hanging="101"/>
              <w:jc w:val="left"/>
              <w:rPr>
                <w:rFonts w:hAnsi="標楷體"/>
                <w:spacing w:val="-10"/>
                <w:sz w:val="28"/>
                <w:szCs w:val="28"/>
              </w:rPr>
            </w:pPr>
            <w:r w:rsidRPr="00535039">
              <w:rPr>
                <w:rFonts w:hAnsi="標楷體"/>
                <w:spacing w:val="-10"/>
                <w:sz w:val="28"/>
                <w:szCs w:val="28"/>
              </w:rPr>
              <w:t>21577-80-0</w:t>
            </w:r>
          </w:p>
        </w:tc>
        <w:tc>
          <w:tcPr>
            <w:tcW w:w="7083" w:type="dxa"/>
          </w:tcPr>
          <w:p w14:paraId="19999327" w14:textId="77777777" w:rsidR="000C69CB" w:rsidRPr="00535039" w:rsidRDefault="000C69CB" w:rsidP="00D20305">
            <w:pPr>
              <w:jc w:val="left"/>
              <w:rPr>
                <w:rFonts w:hAnsi="標楷體"/>
                <w:sz w:val="28"/>
                <w:szCs w:val="28"/>
              </w:rPr>
            </w:pPr>
            <w:r w:rsidRPr="00535039">
              <w:rPr>
                <w:rFonts w:hAnsi="標楷體"/>
                <w:sz w:val="28"/>
                <w:szCs w:val="28"/>
              </w:rPr>
              <w:t>Dodecyl phthalate</w:t>
            </w:r>
            <w:r w:rsidRPr="00535039">
              <w:rPr>
                <w:rFonts w:hAnsi="標楷體" w:hint="eastAsia"/>
                <w:sz w:val="28"/>
                <w:szCs w:val="28"/>
              </w:rPr>
              <w:t>(DDP)/</w:t>
            </w:r>
            <w:proofErr w:type="gramStart"/>
            <w:r w:rsidRPr="00535039">
              <w:rPr>
                <w:rFonts w:hAnsi="標楷體"/>
                <w:sz w:val="28"/>
                <w:szCs w:val="28"/>
              </w:rPr>
              <w:t>鄰苯</w:t>
            </w:r>
            <w:proofErr w:type="gramEnd"/>
            <w:r w:rsidRPr="00535039">
              <w:rPr>
                <w:rFonts w:hAnsi="標楷體"/>
                <w:sz w:val="28"/>
                <w:szCs w:val="28"/>
              </w:rPr>
              <w:t>二甲酸</w:t>
            </w:r>
            <w:proofErr w:type="gramStart"/>
            <w:r w:rsidRPr="00535039">
              <w:rPr>
                <w:rFonts w:hAnsi="標楷體"/>
                <w:sz w:val="28"/>
                <w:szCs w:val="28"/>
              </w:rPr>
              <w:t>十二烷酯</w:t>
            </w:r>
            <w:proofErr w:type="gramEnd"/>
          </w:p>
        </w:tc>
      </w:tr>
      <w:tr w:rsidR="007E5433" w:rsidRPr="00535039" w14:paraId="0D184CA4" w14:textId="77777777" w:rsidTr="0056539D">
        <w:trPr>
          <w:trHeight w:val="161"/>
          <w:jc w:val="center"/>
        </w:trPr>
        <w:tc>
          <w:tcPr>
            <w:tcW w:w="1559" w:type="dxa"/>
          </w:tcPr>
          <w:p w14:paraId="5CEF6F76" w14:textId="77777777" w:rsidR="000C69CB" w:rsidRPr="00535039" w:rsidRDefault="000C69CB" w:rsidP="00D20305">
            <w:pPr>
              <w:ind w:leftChars="-24" w:left="19" w:rightChars="-49" w:right="-167" w:hangingChars="36" w:hanging="101"/>
              <w:jc w:val="left"/>
              <w:rPr>
                <w:rFonts w:hAnsi="標楷體"/>
                <w:sz w:val="28"/>
                <w:szCs w:val="28"/>
              </w:rPr>
            </w:pPr>
            <w:r w:rsidRPr="00535039">
              <w:rPr>
                <w:rFonts w:hAnsi="標楷體"/>
                <w:spacing w:val="-10"/>
                <w:sz w:val="28"/>
                <w:szCs w:val="28"/>
              </w:rPr>
              <w:t>26760-71-4</w:t>
            </w:r>
          </w:p>
        </w:tc>
        <w:tc>
          <w:tcPr>
            <w:tcW w:w="7083" w:type="dxa"/>
          </w:tcPr>
          <w:p w14:paraId="6893E72B" w14:textId="77777777" w:rsidR="000C69CB" w:rsidRPr="00535039" w:rsidRDefault="000C69CB" w:rsidP="00D20305">
            <w:pPr>
              <w:jc w:val="left"/>
              <w:rPr>
                <w:rFonts w:hAnsi="標楷體"/>
                <w:sz w:val="28"/>
                <w:szCs w:val="28"/>
              </w:rPr>
            </w:pPr>
            <w:proofErr w:type="spellStart"/>
            <w:r w:rsidRPr="00535039">
              <w:rPr>
                <w:rFonts w:hAnsi="標楷體"/>
                <w:sz w:val="28"/>
                <w:szCs w:val="28"/>
              </w:rPr>
              <w:t>Dihydroabietyl</w:t>
            </w:r>
            <w:proofErr w:type="spellEnd"/>
            <w:r w:rsidRPr="00535039">
              <w:rPr>
                <w:rFonts w:hAnsi="標楷體"/>
                <w:sz w:val="28"/>
                <w:szCs w:val="28"/>
              </w:rPr>
              <w:t xml:space="preserve"> phthalate</w:t>
            </w:r>
            <w:r w:rsidRPr="00535039">
              <w:rPr>
                <w:rFonts w:hAnsi="標楷體" w:hint="eastAsia"/>
                <w:sz w:val="28"/>
                <w:szCs w:val="28"/>
              </w:rPr>
              <w:t>(DHAP)/</w:t>
            </w:r>
            <w:proofErr w:type="gramStart"/>
            <w:r w:rsidRPr="00535039">
              <w:rPr>
                <w:rFonts w:hAnsi="標楷體"/>
                <w:sz w:val="28"/>
                <w:szCs w:val="28"/>
              </w:rPr>
              <w:t>鄰苯</w:t>
            </w:r>
            <w:proofErr w:type="gramEnd"/>
            <w:r w:rsidRPr="00535039">
              <w:rPr>
                <w:rFonts w:hAnsi="標楷體"/>
                <w:sz w:val="28"/>
                <w:szCs w:val="28"/>
              </w:rPr>
              <w:t>二甲酸二氫松香酯</w:t>
            </w:r>
          </w:p>
        </w:tc>
      </w:tr>
      <w:tr w:rsidR="007E5433" w:rsidRPr="00535039" w14:paraId="3DB13800" w14:textId="77777777" w:rsidTr="0056539D">
        <w:trPr>
          <w:trHeight w:val="161"/>
          <w:jc w:val="center"/>
        </w:trPr>
        <w:tc>
          <w:tcPr>
            <w:tcW w:w="1559" w:type="dxa"/>
          </w:tcPr>
          <w:p w14:paraId="7840F841" w14:textId="77777777" w:rsidR="000C69CB" w:rsidRPr="00535039" w:rsidRDefault="000C69CB" w:rsidP="00D20305">
            <w:pPr>
              <w:ind w:leftChars="-10" w:left="23" w:rightChars="-11" w:right="-37" w:hangingChars="19" w:hanging="57"/>
              <w:jc w:val="center"/>
              <w:rPr>
                <w:rFonts w:hAnsi="標楷體"/>
                <w:sz w:val="28"/>
                <w:szCs w:val="28"/>
              </w:rPr>
            </w:pPr>
            <w:r w:rsidRPr="00535039">
              <w:rPr>
                <w:rFonts w:hAnsi="標楷體"/>
                <w:sz w:val="28"/>
                <w:szCs w:val="28"/>
              </w:rPr>
              <w:t>N/A</w:t>
            </w:r>
          </w:p>
        </w:tc>
        <w:tc>
          <w:tcPr>
            <w:tcW w:w="7083" w:type="dxa"/>
          </w:tcPr>
          <w:p w14:paraId="6F80DD28" w14:textId="77777777" w:rsidR="000C69CB" w:rsidRPr="00535039" w:rsidRDefault="000C69CB" w:rsidP="00D20305">
            <w:pPr>
              <w:pStyle w:val="Default"/>
              <w:rPr>
                <w:rFonts w:hAnsi="標楷體"/>
                <w:color w:val="auto"/>
                <w:sz w:val="28"/>
                <w:szCs w:val="28"/>
              </w:rPr>
            </w:pPr>
            <w:r w:rsidRPr="00535039">
              <w:rPr>
                <w:rFonts w:hAnsi="標楷體"/>
                <w:color w:val="auto"/>
                <w:sz w:val="28"/>
                <w:szCs w:val="28"/>
              </w:rPr>
              <w:t>castor oil phthalate, hydrogenated</w:t>
            </w:r>
            <w:r w:rsidRPr="00535039">
              <w:rPr>
                <w:rFonts w:hAnsi="標楷體" w:hint="eastAsia"/>
                <w:color w:val="auto"/>
                <w:sz w:val="28"/>
                <w:szCs w:val="28"/>
              </w:rPr>
              <w:t>/氫化</w:t>
            </w:r>
            <w:proofErr w:type="gramStart"/>
            <w:r w:rsidRPr="00535039">
              <w:rPr>
                <w:rFonts w:hAnsi="標楷體" w:hint="eastAsia"/>
                <w:color w:val="auto"/>
                <w:sz w:val="28"/>
                <w:szCs w:val="28"/>
              </w:rPr>
              <w:t>蓖麻油增塑劑</w:t>
            </w:r>
            <w:proofErr w:type="gramEnd"/>
          </w:p>
        </w:tc>
      </w:tr>
      <w:tr w:rsidR="007E5433" w:rsidRPr="00535039" w14:paraId="344F2195" w14:textId="77777777" w:rsidTr="0056539D">
        <w:trPr>
          <w:trHeight w:val="161"/>
          <w:jc w:val="center"/>
        </w:trPr>
        <w:tc>
          <w:tcPr>
            <w:tcW w:w="1559" w:type="dxa"/>
          </w:tcPr>
          <w:p w14:paraId="52BE2434" w14:textId="77777777" w:rsidR="000C69CB" w:rsidRPr="00535039" w:rsidRDefault="000C69CB" w:rsidP="00D20305">
            <w:pPr>
              <w:ind w:leftChars="-56" w:left="-78" w:rightChars="-49" w:right="-167" w:hangingChars="40" w:hanging="112"/>
              <w:jc w:val="center"/>
              <w:rPr>
                <w:rFonts w:hAnsi="標楷體"/>
                <w:sz w:val="28"/>
                <w:szCs w:val="28"/>
              </w:rPr>
            </w:pPr>
            <w:r w:rsidRPr="00535039">
              <w:rPr>
                <w:rFonts w:hAnsi="標楷體"/>
                <w:spacing w:val="-10"/>
                <w:sz w:val="28"/>
                <w:szCs w:val="28"/>
              </w:rPr>
              <w:t>68650-73-7</w:t>
            </w:r>
          </w:p>
        </w:tc>
        <w:tc>
          <w:tcPr>
            <w:tcW w:w="7083" w:type="dxa"/>
          </w:tcPr>
          <w:p w14:paraId="637FAE50" w14:textId="77777777" w:rsidR="000C69CB" w:rsidRPr="00535039" w:rsidRDefault="000C69CB" w:rsidP="00D20305">
            <w:pPr>
              <w:jc w:val="left"/>
              <w:rPr>
                <w:rFonts w:hAnsi="標楷體"/>
                <w:sz w:val="28"/>
                <w:szCs w:val="28"/>
              </w:rPr>
            </w:pPr>
            <w:r w:rsidRPr="00535039">
              <w:rPr>
                <w:rFonts w:hAnsi="標楷體"/>
                <w:sz w:val="28"/>
                <w:szCs w:val="28"/>
              </w:rPr>
              <w:t xml:space="preserve">Castor oil phthalate with adipic acid and </w:t>
            </w:r>
            <w:r w:rsidRPr="00535039">
              <w:rPr>
                <w:rFonts w:hAnsi="標楷體"/>
                <w:sz w:val="28"/>
                <w:szCs w:val="28"/>
              </w:rPr>
              <w:lastRenderedPageBreak/>
              <w:t>fumaric acid-diethylene glycol</w:t>
            </w:r>
            <w:r w:rsidRPr="00535039">
              <w:rPr>
                <w:rFonts w:hAnsi="標楷體" w:hint="eastAsia"/>
                <w:sz w:val="28"/>
                <w:szCs w:val="28"/>
              </w:rPr>
              <w:t>/</w:t>
            </w:r>
            <w:r w:rsidRPr="00535039">
              <w:rPr>
                <w:rFonts w:hAnsi="標楷體" w:cs="標楷體" w:hint="eastAsia"/>
                <w:sz w:val="28"/>
                <w:szCs w:val="28"/>
              </w:rPr>
              <w:t>蓖麻油與脂肪酸、二甘醇和</w:t>
            </w:r>
            <w:proofErr w:type="gramStart"/>
            <w:r w:rsidRPr="00535039">
              <w:rPr>
                <w:rFonts w:hAnsi="標楷體" w:cs="標楷體" w:hint="eastAsia"/>
                <w:sz w:val="28"/>
                <w:szCs w:val="28"/>
              </w:rPr>
              <w:t>反丁烯二酸鄰苯</w:t>
            </w:r>
            <w:proofErr w:type="gramEnd"/>
            <w:r w:rsidRPr="00535039">
              <w:rPr>
                <w:rFonts w:hAnsi="標楷體" w:cs="標楷體" w:hint="eastAsia"/>
                <w:sz w:val="28"/>
                <w:szCs w:val="28"/>
              </w:rPr>
              <w:t>二甲基</w:t>
            </w:r>
            <w:proofErr w:type="gramStart"/>
            <w:r w:rsidRPr="00535039">
              <w:rPr>
                <w:rFonts w:hAnsi="標楷體" w:cs="標楷體" w:hint="eastAsia"/>
                <w:sz w:val="28"/>
                <w:szCs w:val="28"/>
              </w:rPr>
              <w:t>酐</w:t>
            </w:r>
            <w:proofErr w:type="gramEnd"/>
            <w:r w:rsidRPr="00535039">
              <w:rPr>
                <w:rFonts w:hAnsi="標楷體" w:cs="標楷體" w:hint="eastAsia"/>
                <w:sz w:val="28"/>
                <w:szCs w:val="28"/>
              </w:rPr>
              <w:t>的聚合物</w:t>
            </w:r>
            <w:r w:rsidRPr="00535039">
              <w:rPr>
                <w:rFonts w:hAnsi="標楷體" w:cs="標楷體"/>
                <w:sz w:val="28"/>
                <w:szCs w:val="28"/>
              </w:rPr>
              <w:t xml:space="preserve"> </w:t>
            </w:r>
          </w:p>
        </w:tc>
      </w:tr>
    </w:tbl>
    <w:p w14:paraId="5AC827E5" w14:textId="77777777" w:rsidR="000C69CB" w:rsidRPr="00535039" w:rsidRDefault="000C69CB" w:rsidP="000A4849">
      <w:pPr>
        <w:snapToGrid w:val="0"/>
        <w:rPr>
          <w:rFonts w:hAnsi="標楷體"/>
          <w:sz w:val="24"/>
          <w:szCs w:val="24"/>
        </w:rPr>
      </w:pPr>
      <w:proofErr w:type="gramStart"/>
      <w:r w:rsidRPr="00535039">
        <w:rPr>
          <w:rFonts w:hAnsi="標楷體" w:hint="eastAsia"/>
          <w:sz w:val="24"/>
          <w:szCs w:val="24"/>
        </w:rPr>
        <w:lastRenderedPageBreak/>
        <w:t>註</w:t>
      </w:r>
      <w:proofErr w:type="gramEnd"/>
      <w:r w:rsidRPr="00535039">
        <w:rPr>
          <w:rFonts w:hAnsi="標楷體" w:hint="eastAsia"/>
          <w:sz w:val="24"/>
          <w:szCs w:val="24"/>
        </w:rPr>
        <w:t>：物質名稱以「英文名稱(縮寫)/中文名稱表示之」。</w:t>
      </w:r>
    </w:p>
    <w:p w14:paraId="4BAF6311" w14:textId="77777777" w:rsidR="000C69CB" w:rsidRPr="00535039" w:rsidRDefault="000C69CB" w:rsidP="000A4849">
      <w:pPr>
        <w:snapToGrid w:val="0"/>
        <w:rPr>
          <w:rFonts w:hAnsi="標楷體"/>
          <w:sz w:val="24"/>
          <w:szCs w:val="24"/>
        </w:rPr>
      </w:pPr>
      <w:r w:rsidRPr="00535039">
        <w:rPr>
          <w:rFonts w:hAnsi="標楷體" w:hint="eastAsia"/>
          <w:sz w:val="24"/>
          <w:szCs w:val="24"/>
        </w:rPr>
        <w:t>資料來源：</w:t>
      </w:r>
      <w:proofErr w:type="gramStart"/>
      <w:r w:rsidRPr="00535039">
        <w:rPr>
          <w:rFonts w:hAnsi="標楷體" w:hint="eastAsia"/>
          <w:sz w:val="24"/>
          <w:szCs w:val="24"/>
        </w:rPr>
        <w:t>食藥署</w:t>
      </w:r>
      <w:proofErr w:type="gramEnd"/>
      <w:r w:rsidRPr="00535039">
        <w:rPr>
          <w:rFonts w:hAnsi="標楷體" w:hint="eastAsia"/>
          <w:sz w:val="24"/>
          <w:szCs w:val="24"/>
        </w:rPr>
        <w:t>。</w:t>
      </w:r>
    </w:p>
    <w:p w14:paraId="22786C14" w14:textId="77777777" w:rsidR="000C69CB" w:rsidRPr="00535039" w:rsidRDefault="000C69CB" w:rsidP="008E5B40">
      <w:pPr>
        <w:pStyle w:val="4"/>
        <w:numPr>
          <w:ilvl w:val="0"/>
          <w:numId w:val="0"/>
        </w:numPr>
        <w:ind w:left="1701"/>
        <w:rPr>
          <w:rFonts w:hAnsi="標楷體"/>
        </w:rPr>
      </w:pPr>
    </w:p>
    <w:p w14:paraId="00D6FA22" w14:textId="77777777" w:rsidR="000C69CB" w:rsidRPr="00535039" w:rsidRDefault="000C69CB" w:rsidP="008E5B40">
      <w:pPr>
        <w:pStyle w:val="4"/>
        <w:rPr>
          <w:rFonts w:hAnsi="標楷體"/>
        </w:rPr>
      </w:pPr>
      <w:r w:rsidRPr="00535039">
        <w:rPr>
          <w:rFonts w:hAnsi="標楷體" w:hint="eastAsia"/>
        </w:rPr>
        <w:t>日</w:t>
      </w:r>
      <w:r w:rsidRPr="00535039">
        <w:rPr>
          <w:rFonts w:hAnsi="標楷體"/>
        </w:rPr>
        <w:t>本</w:t>
      </w:r>
      <w:r w:rsidRPr="00535039">
        <w:rPr>
          <w:rFonts w:hAnsi="標楷體" w:hint="eastAsia"/>
        </w:rPr>
        <w:t>：</w:t>
      </w:r>
    </w:p>
    <w:p w14:paraId="5246AD09" w14:textId="1541626F" w:rsidR="000C69CB" w:rsidRPr="00535039" w:rsidRDefault="000C69CB" w:rsidP="003D2E29">
      <w:pPr>
        <w:pStyle w:val="42"/>
        <w:ind w:left="1701" w:firstLine="680"/>
        <w:rPr>
          <w:rFonts w:hAnsi="標楷體"/>
        </w:rPr>
      </w:pPr>
      <w:r w:rsidRPr="00535039">
        <w:rPr>
          <w:rFonts w:hAnsi="標楷體" w:hint="eastAsia"/>
          <w:u w:val="single"/>
        </w:rPr>
        <w:t>日本</w:t>
      </w:r>
      <w:r w:rsidRPr="00535039">
        <w:rPr>
          <w:rFonts w:hAnsi="標楷體"/>
        </w:rPr>
        <w:t>消費者廳於2018年頒布之「食品衛生法等部分修改法」（平成30年法律第46號），</w:t>
      </w:r>
      <w:r w:rsidRPr="00535039">
        <w:rPr>
          <w:rFonts w:hAnsi="標楷體"/>
          <w:u w:val="single"/>
        </w:rPr>
        <w:t>引入食品器具容器包裝之正面表列制度</w:t>
      </w:r>
      <w:r w:rsidRPr="00535039">
        <w:rPr>
          <w:rStyle w:val="afe"/>
          <w:rFonts w:hAnsi="標楷體"/>
        </w:rPr>
        <w:footnoteReference w:id="32"/>
      </w:r>
      <w:r w:rsidRPr="00535039">
        <w:rPr>
          <w:rFonts w:hAnsi="標楷體"/>
        </w:rPr>
        <w:t>，該規定之過渡期已截止，並於</w:t>
      </w:r>
      <w:r w:rsidRPr="00535039">
        <w:rPr>
          <w:rFonts w:hAnsi="標楷體"/>
          <w:u w:val="single"/>
        </w:rPr>
        <w:t>2025年6月1日開始全面實施</w:t>
      </w:r>
      <w:r w:rsidRPr="00535039">
        <w:rPr>
          <w:rFonts w:hAnsi="標楷體" w:hint="eastAsia"/>
          <w:u w:val="single"/>
        </w:rPr>
        <w:t>；</w:t>
      </w:r>
      <w:r w:rsidR="002057D7" w:rsidRPr="00535039">
        <w:rPr>
          <w:rFonts w:hAnsi="標楷體" w:hint="eastAsia"/>
          <w:u w:val="single"/>
        </w:rPr>
        <w:t>包括</w:t>
      </w:r>
      <w:r w:rsidRPr="00535039">
        <w:rPr>
          <w:rFonts w:hAnsi="標楷體" w:hint="eastAsia"/>
          <w:u w:val="single"/>
        </w:rPr>
        <w:t>表列</w:t>
      </w:r>
      <w:r w:rsidR="002057D7" w:rsidRPr="00535039">
        <w:rPr>
          <w:rFonts w:hAnsi="標楷體" w:hint="eastAsia"/>
          <w:u w:val="single"/>
        </w:rPr>
        <w:t>我國</w:t>
      </w:r>
      <w:r w:rsidRPr="00535039">
        <w:rPr>
          <w:rFonts w:hAnsi="標楷體" w:hint="eastAsia"/>
          <w:u w:val="single"/>
        </w:rPr>
        <w:t>准許</w:t>
      </w:r>
      <w:proofErr w:type="gramStart"/>
      <w:r w:rsidRPr="00535039">
        <w:rPr>
          <w:rFonts w:hAnsi="標楷體" w:hint="eastAsia"/>
          <w:u w:val="single"/>
        </w:rPr>
        <w:t>使用</w:t>
      </w:r>
      <w:r w:rsidRPr="00535039">
        <w:rPr>
          <w:rFonts w:hAnsi="標楷體" w:hint="eastAsia"/>
          <w:szCs w:val="32"/>
          <w:u w:val="single"/>
        </w:rPr>
        <w:t>鄰苯</w:t>
      </w:r>
      <w:proofErr w:type="gramEnd"/>
      <w:r w:rsidRPr="00535039">
        <w:rPr>
          <w:rFonts w:hAnsi="標楷體" w:hint="eastAsia"/>
          <w:szCs w:val="32"/>
          <w:u w:val="single"/>
        </w:rPr>
        <w:t>二甲酸二（</w:t>
      </w:r>
      <w:r w:rsidRPr="00535039">
        <w:rPr>
          <w:rFonts w:hAnsi="標楷體"/>
          <w:szCs w:val="32"/>
          <w:u w:val="single"/>
        </w:rPr>
        <w:t>2-</w:t>
      </w:r>
      <w:r w:rsidRPr="00535039">
        <w:rPr>
          <w:rFonts w:hAnsi="標楷體" w:hint="eastAsia"/>
          <w:szCs w:val="32"/>
          <w:u w:val="single"/>
        </w:rPr>
        <w:t>乙基己基）酯（</w:t>
      </w:r>
      <w:r w:rsidRPr="00535039">
        <w:rPr>
          <w:rFonts w:hAnsi="標楷體"/>
          <w:szCs w:val="32"/>
          <w:u w:val="single"/>
        </w:rPr>
        <w:t>DEHP</w:t>
      </w:r>
      <w:r w:rsidRPr="00535039">
        <w:rPr>
          <w:rFonts w:hAnsi="標楷體" w:hint="eastAsia"/>
          <w:szCs w:val="32"/>
          <w:u w:val="single"/>
        </w:rPr>
        <w:t>）</w:t>
      </w:r>
      <w:r w:rsidRPr="00535039">
        <w:rPr>
          <w:rFonts w:hAnsi="標楷體"/>
          <w:u w:val="single"/>
        </w:rPr>
        <w:t>等6</w:t>
      </w:r>
      <w:r w:rsidRPr="00535039">
        <w:rPr>
          <w:rFonts w:hAnsi="標楷體" w:hint="eastAsia"/>
          <w:u w:val="single"/>
        </w:rPr>
        <w:t>項</w:t>
      </w:r>
      <w:r w:rsidRPr="00535039">
        <w:rPr>
          <w:rFonts w:hAnsi="標楷體"/>
          <w:u w:val="single"/>
        </w:rPr>
        <w:t>塑化劑</w:t>
      </w:r>
      <w:r w:rsidRPr="00535039">
        <w:rPr>
          <w:rFonts w:hAnsi="標楷體" w:hint="eastAsia"/>
        </w:rPr>
        <w:t>，</w:t>
      </w:r>
      <w:r w:rsidRPr="00535039">
        <w:rPr>
          <w:rFonts w:hAnsi="標楷體"/>
        </w:rPr>
        <w:t>其准用之材質含量規定如表</w:t>
      </w:r>
      <w:r w:rsidR="00A57236">
        <w:rPr>
          <w:rFonts w:hAnsi="標楷體" w:hint="eastAsia"/>
        </w:rPr>
        <w:t>3</w:t>
      </w:r>
      <w:r w:rsidRPr="00535039">
        <w:rPr>
          <w:rFonts w:hAnsi="標楷體" w:hint="eastAsia"/>
        </w:rPr>
        <w:t>，</w:t>
      </w:r>
      <w:r w:rsidRPr="00535039">
        <w:rPr>
          <w:rFonts w:hAnsi="標楷體"/>
        </w:rPr>
        <w:t>惟並無遷移限量</w:t>
      </w:r>
      <w:r w:rsidRPr="00535039">
        <w:rPr>
          <w:rFonts w:hAnsi="標楷體" w:hint="eastAsia"/>
        </w:rPr>
        <w:t>規範。</w:t>
      </w:r>
    </w:p>
    <w:p w14:paraId="30E8107D" w14:textId="4E8EF572" w:rsidR="002057D7" w:rsidRPr="00535039" w:rsidRDefault="002057D7" w:rsidP="00634413">
      <w:pPr>
        <w:pStyle w:val="a3"/>
        <w:spacing w:before="0" w:after="0"/>
        <w:ind w:left="2646" w:rightChars="-47" w:right="-160" w:hanging="661"/>
        <w:jc w:val="left"/>
        <w:rPr>
          <w:rFonts w:hAnsi="標楷體"/>
          <w:spacing w:val="-16"/>
        </w:rPr>
      </w:pPr>
      <w:r w:rsidRPr="00535039">
        <w:rPr>
          <w:rFonts w:hAnsi="標楷體" w:hint="eastAsia"/>
          <w:spacing w:val="-16"/>
        </w:rPr>
        <w:t>日本</w:t>
      </w:r>
      <w:r w:rsidRPr="00535039">
        <w:rPr>
          <w:rFonts w:hAnsi="標楷體"/>
          <w:spacing w:val="-16"/>
        </w:rPr>
        <w:t>食品器具容器包裝</w:t>
      </w:r>
      <w:r w:rsidR="00634413" w:rsidRPr="00535039">
        <w:rPr>
          <w:rFonts w:hAnsi="標楷體" w:hint="eastAsia"/>
          <w:spacing w:val="-16"/>
        </w:rPr>
        <w:t>部分</w:t>
      </w:r>
      <w:r w:rsidRPr="00535039">
        <w:rPr>
          <w:rFonts w:hAnsi="標楷體"/>
          <w:spacing w:val="-16"/>
        </w:rPr>
        <w:t>准用之</w:t>
      </w:r>
      <w:r w:rsidRPr="00535039">
        <w:rPr>
          <w:rFonts w:hAnsi="標楷體" w:hint="eastAsia"/>
          <w:spacing w:val="-16"/>
        </w:rPr>
        <w:t>塑化劑</w:t>
      </w:r>
      <w:r w:rsidRPr="00535039">
        <w:rPr>
          <w:rFonts w:hAnsi="標楷體"/>
          <w:spacing w:val="-16"/>
        </w:rPr>
        <w:t>及其允許使用量</w:t>
      </w:r>
    </w:p>
    <w:tbl>
      <w:tblPr>
        <w:tblW w:w="6662" w:type="dxa"/>
        <w:tblInd w:w="2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1"/>
        <w:gridCol w:w="3331"/>
      </w:tblGrid>
      <w:tr w:rsidR="007E5433" w:rsidRPr="00535039" w14:paraId="639E65D3" w14:textId="77777777" w:rsidTr="002057D7">
        <w:tc>
          <w:tcPr>
            <w:tcW w:w="6662" w:type="dxa"/>
            <w:gridSpan w:val="2"/>
            <w:tcBorders>
              <w:top w:val="nil"/>
              <w:left w:val="nil"/>
              <w:right w:val="nil"/>
            </w:tcBorders>
            <w:shd w:val="clear" w:color="auto" w:fill="auto"/>
            <w:vAlign w:val="center"/>
          </w:tcPr>
          <w:p w14:paraId="41D35631" w14:textId="77777777" w:rsidR="000C69CB" w:rsidRPr="00535039" w:rsidRDefault="000C69CB" w:rsidP="00D20305">
            <w:pPr>
              <w:pStyle w:val="a3"/>
              <w:numPr>
                <w:ilvl w:val="0"/>
                <w:numId w:val="0"/>
              </w:numPr>
              <w:spacing w:before="0" w:after="0"/>
              <w:ind w:left="453" w:rightChars="8" w:right="27"/>
              <w:jc w:val="right"/>
              <w:rPr>
                <w:rFonts w:hAnsi="標楷體"/>
                <w:sz w:val="24"/>
                <w:szCs w:val="24"/>
              </w:rPr>
            </w:pPr>
            <w:r w:rsidRPr="00535039">
              <w:rPr>
                <w:rFonts w:hAnsi="標楷體" w:hint="eastAsia"/>
                <w:sz w:val="24"/>
                <w:szCs w:val="24"/>
              </w:rPr>
              <w:t>單位：%</w:t>
            </w:r>
          </w:p>
        </w:tc>
      </w:tr>
      <w:tr w:rsidR="007E5433" w:rsidRPr="00535039" w14:paraId="139C7F3E" w14:textId="77777777" w:rsidTr="00814CC0">
        <w:tc>
          <w:tcPr>
            <w:tcW w:w="3331" w:type="dxa"/>
            <w:shd w:val="clear" w:color="auto" w:fill="auto"/>
            <w:vAlign w:val="center"/>
          </w:tcPr>
          <w:p w14:paraId="4EB52931" w14:textId="77777777" w:rsidR="000C69CB" w:rsidRPr="00535039" w:rsidRDefault="000C69CB" w:rsidP="00B57C1C">
            <w:pPr>
              <w:jc w:val="center"/>
              <w:rPr>
                <w:rFonts w:hAnsi="標楷體"/>
                <w:sz w:val="28"/>
                <w:szCs w:val="28"/>
              </w:rPr>
            </w:pPr>
            <w:r w:rsidRPr="00535039">
              <w:rPr>
                <w:rFonts w:hAnsi="標楷體" w:hint="eastAsia"/>
                <w:sz w:val="28"/>
                <w:szCs w:val="28"/>
              </w:rPr>
              <w:t>物質名稱</w:t>
            </w:r>
          </w:p>
        </w:tc>
        <w:tc>
          <w:tcPr>
            <w:tcW w:w="3331" w:type="dxa"/>
            <w:shd w:val="clear" w:color="auto" w:fill="auto"/>
            <w:vAlign w:val="center"/>
          </w:tcPr>
          <w:p w14:paraId="24B14D47" w14:textId="77777777" w:rsidR="00814CC0" w:rsidRPr="00535039" w:rsidRDefault="000C69CB" w:rsidP="00B57C1C">
            <w:pPr>
              <w:jc w:val="center"/>
              <w:rPr>
                <w:rFonts w:hAnsi="標楷體"/>
                <w:sz w:val="28"/>
                <w:szCs w:val="28"/>
              </w:rPr>
            </w:pPr>
            <w:r w:rsidRPr="00535039">
              <w:rPr>
                <w:rFonts w:hAnsi="標楷體" w:hint="eastAsia"/>
                <w:sz w:val="28"/>
                <w:szCs w:val="28"/>
              </w:rPr>
              <w:t>於不同類型聚合物</w:t>
            </w:r>
          </w:p>
          <w:p w14:paraId="16FA18F7" w14:textId="261F9559" w:rsidR="000C69CB" w:rsidRPr="00535039" w:rsidRDefault="000C69CB" w:rsidP="00B57C1C">
            <w:pPr>
              <w:jc w:val="center"/>
              <w:rPr>
                <w:rFonts w:hAnsi="標楷體"/>
                <w:sz w:val="28"/>
                <w:szCs w:val="28"/>
              </w:rPr>
            </w:pPr>
            <w:r w:rsidRPr="00535039">
              <w:rPr>
                <w:rFonts w:hAnsi="標楷體" w:hint="eastAsia"/>
                <w:sz w:val="28"/>
                <w:szCs w:val="28"/>
              </w:rPr>
              <w:t>之含量限制</w:t>
            </w:r>
          </w:p>
        </w:tc>
      </w:tr>
      <w:tr w:rsidR="007E5433" w:rsidRPr="00535039" w14:paraId="5596DB1A" w14:textId="77777777" w:rsidTr="00814CC0">
        <w:trPr>
          <w:trHeight w:val="384"/>
        </w:trPr>
        <w:tc>
          <w:tcPr>
            <w:tcW w:w="3331" w:type="dxa"/>
            <w:shd w:val="clear" w:color="auto" w:fill="auto"/>
            <w:vAlign w:val="center"/>
          </w:tcPr>
          <w:p w14:paraId="75CA3A3F" w14:textId="77777777" w:rsidR="000C69CB" w:rsidRPr="00535039" w:rsidRDefault="000C69CB" w:rsidP="00B57C1C">
            <w:pPr>
              <w:jc w:val="center"/>
              <w:rPr>
                <w:rFonts w:hAnsi="標楷體"/>
                <w:sz w:val="28"/>
                <w:szCs w:val="28"/>
              </w:rPr>
            </w:pPr>
            <w:r w:rsidRPr="00535039">
              <w:rPr>
                <w:rFonts w:hAnsi="標楷體"/>
                <w:sz w:val="28"/>
                <w:szCs w:val="28"/>
              </w:rPr>
              <w:t>DEHP</w:t>
            </w:r>
          </w:p>
        </w:tc>
        <w:tc>
          <w:tcPr>
            <w:tcW w:w="3331" w:type="dxa"/>
            <w:shd w:val="clear" w:color="auto" w:fill="auto"/>
            <w:vAlign w:val="center"/>
          </w:tcPr>
          <w:p w14:paraId="6A298316" w14:textId="77777777" w:rsidR="000C69CB" w:rsidRPr="00535039" w:rsidRDefault="000C69CB" w:rsidP="00B57C1C">
            <w:pPr>
              <w:jc w:val="right"/>
              <w:rPr>
                <w:rFonts w:hAnsi="標楷體"/>
                <w:sz w:val="28"/>
                <w:szCs w:val="28"/>
              </w:rPr>
            </w:pPr>
            <w:r w:rsidRPr="00535039">
              <w:rPr>
                <w:rFonts w:hAnsi="標楷體"/>
                <w:sz w:val="28"/>
                <w:szCs w:val="28"/>
              </w:rPr>
              <w:t>5-30</w:t>
            </w:r>
          </w:p>
        </w:tc>
      </w:tr>
      <w:tr w:rsidR="007E5433" w:rsidRPr="00535039" w14:paraId="19A2E5AE" w14:textId="77777777" w:rsidTr="00814CC0">
        <w:trPr>
          <w:trHeight w:val="384"/>
        </w:trPr>
        <w:tc>
          <w:tcPr>
            <w:tcW w:w="3331" w:type="dxa"/>
            <w:shd w:val="clear" w:color="auto" w:fill="auto"/>
            <w:vAlign w:val="center"/>
          </w:tcPr>
          <w:p w14:paraId="176054CE" w14:textId="77777777" w:rsidR="000C69CB" w:rsidRPr="00535039" w:rsidRDefault="000C69CB" w:rsidP="00B57C1C">
            <w:pPr>
              <w:jc w:val="center"/>
              <w:rPr>
                <w:rFonts w:hAnsi="標楷體"/>
                <w:sz w:val="28"/>
                <w:szCs w:val="28"/>
              </w:rPr>
            </w:pPr>
            <w:r w:rsidRPr="00535039">
              <w:rPr>
                <w:rFonts w:hAnsi="標楷體"/>
                <w:sz w:val="28"/>
                <w:szCs w:val="28"/>
              </w:rPr>
              <w:t>DBP</w:t>
            </w:r>
          </w:p>
        </w:tc>
        <w:tc>
          <w:tcPr>
            <w:tcW w:w="3331" w:type="dxa"/>
            <w:shd w:val="clear" w:color="auto" w:fill="auto"/>
            <w:vAlign w:val="center"/>
          </w:tcPr>
          <w:p w14:paraId="65A22CF0" w14:textId="77777777" w:rsidR="000C69CB" w:rsidRPr="00535039" w:rsidRDefault="000C69CB" w:rsidP="00B57C1C">
            <w:pPr>
              <w:jc w:val="right"/>
              <w:rPr>
                <w:rFonts w:hAnsi="標楷體"/>
                <w:sz w:val="28"/>
                <w:szCs w:val="28"/>
              </w:rPr>
            </w:pPr>
            <w:r w:rsidRPr="00535039">
              <w:rPr>
                <w:rFonts w:hAnsi="標楷體"/>
                <w:sz w:val="28"/>
                <w:szCs w:val="28"/>
              </w:rPr>
              <w:t>0.02-30</w:t>
            </w:r>
          </w:p>
        </w:tc>
      </w:tr>
      <w:tr w:rsidR="007E5433" w:rsidRPr="00535039" w14:paraId="1460C773" w14:textId="77777777" w:rsidTr="00814CC0">
        <w:trPr>
          <w:trHeight w:val="384"/>
        </w:trPr>
        <w:tc>
          <w:tcPr>
            <w:tcW w:w="3331" w:type="dxa"/>
            <w:shd w:val="clear" w:color="auto" w:fill="auto"/>
            <w:vAlign w:val="center"/>
          </w:tcPr>
          <w:p w14:paraId="19520CAB" w14:textId="77777777" w:rsidR="000C69CB" w:rsidRPr="00535039" w:rsidRDefault="000C69CB" w:rsidP="00B57C1C">
            <w:pPr>
              <w:jc w:val="center"/>
              <w:rPr>
                <w:rFonts w:hAnsi="標楷體"/>
                <w:sz w:val="28"/>
                <w:szCs w:val="28"/>
              </w:rPr>
            </w:pPr>
            <w:r w:rsidRPr="00535039">
              <w:rPr>
                <w:rFonts w:hAnsi="標楷體"/>
                <w:sz w:val="28"/>
                <w:szCs w:val="28"/>
              </w:rPr>
              <w:t>BBP</w:t>
            </w:r>
          </w:p>
        </w:tc>
        <w:tc>
          <w:tcPr>
            <w:tcW w:w="3331" w:type="dxa"/>
            <w:shd w:val="clear" w:color="auto" w:fill="auto"/>
            <w:vAlign w:val="center"/>
          </w:tcPr>
          <w:p w14:paraId="7BBCC865" w14:textId="77777777" w:rsidR="000C69CB" w:rsidRPr="00535039" w:rsidRDefault="000C69CB" w:rsidP="00B57C1C">
            <w:pPr>
              <w:jc w:val="right"/>
              <w:rPr>
                <w:rFonts w:hAnsi="標楷體"/>
                <w:sz w:val="28"/>
                <w:szCs w:val="28"/>
              </w:rPr>
            </w:pPr>
            <w:r w:rsidRPr="00535039">
              <w:rPr>
                <w:rFonts w:hAnsi="標楷體"/>
                <w:sz w:val="28"/>
                <w:szCs w:val="28"/>
              </w:rPr>
              <w:t>0.1-33</w:t>
            </w:r>
          </w:p>
        </w:tc>
      </w:tr>
      <w:tr w:rsidR="007E5433" w:rsidRPr="00535039" w14:paraId="27E31AA3" w14:textId="77777777" w:rsidTr="00814CC0">
        <w:trPr>
          <w:trHeight w:val="384"/>
        </w:trPr>
        <w:tc>
          <w:tcPr>
            <w:tcW w:w="3331" w:type="dxa"/>
            <w:shd w:val="clear" w:color="auto" w:fill="auto"/>
            <w:vAlign w:val="center"/>
          </w:tcPr>
          <w:p w14:paraId="5FD04AE3" w14:textId="77777777" w:rsidR="000C69CB" w:rsidRPr="00535039" w:rsidRDefault="000C69CB" w:rsidP="00B57C1C">
            <w:pPr>
              <w:jc w:val="center"/>
              <w:rPr>
                <w:rFonts w:hAnsi="標楷體"/>
                <w:sz w:val="28"/>
                <w:szCs w:val="28"/>
              </w:rPr>
            </w:pPr>
            <w:r w:rsidRPr="00535039">
              <w:rPr>
                <w:rFonts w:hAnsi="標楷體"/>
                <w:sz w:val="28"/>
                <w:szCs w:val="28"/>
              </w:rPr>
              <w:t>DIDP</w:t>
            </w:r>
          </w:p>
        </w:tc>
        <w:tc>
          <w:tcPr>
            <w:tcW w:w="3331" w:type="dxa"/>
            <w:shd w:val="clear" w:color="auto" w:fill="auto"/>
            <w:vAlign w:val="center"/>
          </w:tcPr>
          <w:p w14:paraId="54D5C493" w14:textId="77777777" w:rsidR="000C69CB" w:rsidRPr="00535039" w:rsidRDefault="000C69CB" w:rsidP="00B57C1C">
            <w:pPr>
              <w:jc w:val="right"/>
              <w:rPr>
                <w:rFonts w:hAnsi="標楷體"/>
                <w:sz w:val="28"/>
                <w:szCs w:val="28"/>
              </w:rPr>
            </w:pPr>
            <w:r w:rsidRPr="00535039">
              <w:rPr>
                <w:rFonts w:hAnsi="標楷體"/>
                <w:sz w:val="28"/>
                <w:szCs w:val="28"/>
              </w:rPr>
              <w:t>50</w:t>
            </w:r>
          </w:p>
        </w:tc>
      </w:tr>
      <w:tr w:rsidR="007E5433" w:rsidRPr="00535039" w14:paraId="5DC5A469" w14:textId="77777777" w:rsidTr="00814CC0">
        <w:trPr>
          <w:trHeight w:val="384"/>
        </w:trPr>
        <w:tc>
          <w:tcPr>
            <w:tcW w:w="3331" w:type="dxa"/>
            <w:shd w:val="clear" w:color="auto" w:fill="auto"/>
            <w:vAlign w:val="center"/>
          </w:tcPr>
          <w:p w14:paraId="4E81B3E2" w14:textId="77777777" w:rsidR="000C69CB" w:rsidRPr="00535039" w:rsidRDefault="000C69CB" w:rsidP="00B57C1C">
            <w:pPr>
              <w:jc w:val="center"/>
              <w:rPr>
                <w:rFonts w:hAnsi="標楷體"/>
                <w:sz w:val="28"/>
                <w:szCs w:val="28"/>
              </w:rPr>
            </w:pPr>
            <w:r w:rsidRPr="00535039">
              <w:rPr>
                <w:rFonts w:hAnsi="標楷體"/>
                <w:sz w:val="28"/>
                <w:szCs w:val="28"/>
              </w:rPr>
              <w:t>DNOP</w:t>
            </w:r>
          </w:p>
        </w:tc>
        <w:tc>
          <w:tcPr>
            <w:tcW w:w="3331" w:type="dxa"/>
            <w:shd w:val="clear" w:color="auto" w:fill="auto"/>
            <w:vAlign w:val="center"/>
          </w:tcPr>
          <w:p w14:paraId="60DEC8AE" w14:textId="77777777" w:rsidR="000C69CB" w:rsidRPr="00535039" w:rsidRDefault="000C69CB" w:rsidP="00B57C1C">
            <w:pPr>
              <w:jc w:val="right"/>
              <w:rPr>
                <w:rFonts w:hAnsi="標楷體"/>
                <w:sz w:val="28"/>
                <w:szCs w:val="28"/>
              </w:rPr>
            </w:pPr>
            <w:r w:rsidRPr="00535039">
              <w:rPr>
                <w:rFonts w:hAnsi="標楷體"/>
                <w:sz w:val="28"/>
                <w:szCs w:val="28"/>
              </w:rPr>
              <w:t>0.05-50</w:t>
            </w:r>
          </w:p>
        </w:tc>
      </w:tr>
      <w:tr w:rsidR="007E5433" w:rsidRPr="00535039" w14:paraId="214E866D" w14:textId="77777777" w:rsidTr="00814CC0">
        <w:trPr>
          <w:trHeight w:val="384"/>
        </w:trPr>
        <w:tc>
          <w:tcPr>
            <w:tcW w:w="3331" w:type="dxa"/>
            <w:shd w:val="clear" w:color="auto" w:fill="auto"/>
            <w:vAlign w:val="center"/>
          </w:tcPr>
          <w:p w14:paraId="02412AE3" w14:textId="77777777" w:rsidR="000C69CB" w:rsidRPr="00535039" w:rsidRDefault="000C69CB" w:rsidP="00B57C1C">
            <w:pPr>
              <w:jc w:val="center"/>
              <w:rPr>
                <w:rFonts w:hAnsi="標楷體"/>
                <w:sz w:val="28"/>
                <w:szCs w:val="28"/>
              </w:rPr>
            </w:pPr>
            <w:r w:rsidRPr="00535039">
              <w:rPr>
                <w:rFonts w:hAnsi="標楷體"/>
                <w:sz w:val="28"/>
                <w:szCs w:val="28"/>
              </w:rPr>
              <w:t>DEP</w:t>
            </w:r>
          </w:p>
        </w:tc>
        <w:tc>
          <w:tcPr>
            <w:tcW w:w="3331" w:type="dxa"/>
            <w:shd w:val="clear" w:color="auto" w:fill="auto"/>
            <w:vAlign w:val="center"/>
          </w:tcPr>
          <w:p w14:paraId="1916F8AB" w14:textId="77777777" w:rsidR="000C69CB" w:rsidRPr="00535039" w:rsidRDefault="000C69CB" w:rsidP="00B57C1C">
            <w:pPr>
              <w:jc w:val="right"/>
              <w:rPr>
                <w:rFonts w:hAnsi="標楷體"/>
                <w:sz w:val="28"/>
                <w:szCs w:val="28"/>
              </w:rPr>
            </w:pPr>
            <w:r w:rsidRPr="00535039">
              <w:rPr>
                <w:rFonts w:hAnsi="標楷體"/>
                <w:sz w:val="28"/>
                <w:szCs w:val="28"/>
              </w:rPr>
              <w:t>30</w:t>
            </w:r>
          </w:p>
        </w:tc>
      </w:tr>
    </w:tbl>
    <w:p w14:paraId="5C87C6F5" w14:textId="77777777" w:rsidR="000C69CB" w:rsidRPr="00535039" w:rsidRDefault="000C69CB" w:rsidP="00634413">
      <w:pPr>
        <w:widowControl/>
        <w:overflowPunct/>
        <w:autoSpaceDE/>
        <w:autoSpaceDN/>
        <w:spacing w:line="300" w:lineRule="exact"/>
        <w:ind w:left="1559" w:rightChars="-36" w:right="-122" w:firstLine="568"/>
        <w:rPr>
          <w:rFonts w:hAnsi="標楷體"/>
          <w:sz w:val="24"/>
          <w:szCs w:val="24"/>
        </w:rPr>
      </w:pPr>
      <w:r w:rsidRPr="00535039">
        <w:rPr>
          <w:rFonts w:hAnsi="標楷體" w:hint="eastAsia"/>
          <w:sz w:val="24"/>
          <w:szCs w:val="24"/>
        </w:rPr>
        <w:t>資料來源：</w:t>
      </w:r>
      <w:proofErr w:type="gramStart"/>
      <w:r w:rsidRPr="00535039">
        <w:rPr>
          <w:rFonts w:hAnsi="標楷體" w:hint="eastAsia"/>
          <w:sz w:val="24"/>
          <w:szCs w:val="24"/>
        </w:rPr>
        <w:t>食藥署</w:t>
      </w:r>
      <w:proofErr w:type="gramEnd"/>
      <w:r w:rsidRPr="00535039">
        <w:rPr>
          <w:rFonts w:hAnsi="標楷體" w:hint="eastAsia"/>
          <w:sz w:val="24"/>
          <w:szCs w:val="24"/>
        </w:rPr>
        <w:t>。</w:t>
      </w:r>
    </w:p>
    <w:p w14:paraId="571B89F2" w14:textId="77777777" w:rsidR="009E71C0" w:rsidRPr="00535039" w:rsidRDefault="009E71C0" w:rsidP="00634413">
      <w:pPr>
        <w:widowControl/>
        <w:overflowPunct/>
        <w:autoSpaceDE/>
        <w:autoSpaceDN/>
        <w:spacing w:line="300" w:lineRule="exact"/>
        <w:ind w:left="1559" w:rightChars="-36" w:right="-122" w:firstLine="568"/>
        <w:rPr>
          <w:rFonts w:hAnsi="標楷體"/>
          <w:sz w:val="24"/>
          <w:szCs w:val="24"/>
        </w:rPr>
      </w:pPr>
    </w:p>
    <w:p w14:paraId="7709029C" w14:textId="77777777" w:rsidR="000C69CB" w:rsidRPr="00535039" w:rsidRDefault="000C69CB" w:rsidP="008E5B40">
      <w:pPr>
        <w:pStyle w:val="4"/>
        <w:rPr>
          <w:rFonts w:hAnsi="標楷體"/>
        </w:rPr>
      </w:pPr>
      <w:r w:rsidRPr="00535039">
        <w:rPr>
          <w:rFonts w:hAnsi="標楷體" w:hint="eastAsia"/>
        </w:rPr>
        <w:t>韓國：</w:t>
      </w:r>
    </w:p>
    <w:p w14:paraId="2FB611F6" w14:textId="6207A9D1" w:rsidR="000C69CB" w:rsidRPr="00535039" w:rsidRDefault="000C69CB" w:rsidP="007E45AD">
      <w:pPr>
        <w:pStyle w:val="42"/>
        <w:ind w:left="1701" w:firstLine="680"/>
        <w:rPr>
          <w:rFonts w:hAnsi="標楷體"/>
        </w:rPr>
      </w:pPr>
      <w:r w:rsidRPr="00535039">
        <w:rPr>
          <w:rFonts w:hAnsi="標楷體" w:hint="eastAsia"/>
        </w:rPr>
        <w:t>查</w:t>
      </w:r>
      <w:r w:rsidRPr="00535039">
        <w:rPr>
          <w:rFonts w:hAnsi="標楷體" w:hint="eastAsia"/>
          <w:u w:val="single"/>
        </w:rPr>
        <w:t>韓國2024年食品器具、容器及包裝標準</w:t>
      </w:r>
      <w:proofErr w:type="gramStart"/>
      <w:r w:rsidRPr="00535039">
        <w:rPr>
          <w:rFonts w:hAnsi="標楷體" w:hint="eastAsia"/>
          <w:u w:val="single"/>
        </w:rPr>
        <w:t>規</w:t>
      </w:r>
      <w:proofErr w:type="gramEnd"/>
      <w:r w:rsidRPr="00535039">
        <w:rPr>
          <w:rFonts w:hAnsi="標楷體" w:hint="eastAsia"/>
          <w:u w:val="single"/>
        </w:rPr>
        <w:t>與</w:t>
      </w:r>
      <w:proofErr w:type="gramStart"/>
      <w:r w:rsidRPr="00535039">
        <w:rPr>
          <w:rFonts w:hAnsi="標楷體"/>
          <w:u w:val="single"/>
        </w:rPr>
        <w:t>範</w:t>
      </w:r>
      <w:proofErr w:type="gramEnd"/>
      <w:r w:rsidRPr="00535039">
        <w:rPr>
          <w:rStyle w:val="afe"/>
          <w:rFonts w:hAnsi="標楷體"/>
          <w:u w:val="single"/>
        </w:rPr>
        <w:footnoteReference w:id="33"/>
      </w:r>
      <w:r w:rsidRPr="00535039">
        <w:rPr>
          <w:rFonts w:hAnsi="標楷體"/>
          <w:u w:val="single"/>
        </w:rPr>
        <w:t>，</w:t>
      </w:r>
      <w:proofErr w:type="gramStart"/>
      <w:r w:rsidRPr="00535039">
        <w:rPr>
          <w:rFonts w:hAnsi="標楷體"/>
          <w:u w:val="single"/>
        </w:rPr>
        <w:t>限制</w:t>
      </w:r>
      <w:r w:rsidRPr="00535039">
        <w:rPr>
          <w:rFonts w:hAnsi="標楷體" w:hint="eastAsia"/>
          <w:szCs w:val="32"/>
          <w:u w:val="single"/>
        </w:rPr>
        <w:t>鄰苯</w:t>
      </w:r>
      <w:proofErr w:type="gramEnd"/>
      <w:r w:rsidRPr="00535039">
        <w:rPr>
          <w:rFonts w:hAnsi="標楷體" w:hint="eastAsia"/>
          <w:szCs w:val="32"/>
          <w:u w:val="single"/>
        </w:rPr>
        <w:t>二甲酸二（</w:t>
      </w:r>
      <w:r w:rsidRPr="00535039">
        <w:rPr>
          <w:rFonts w:hAnsi="標楷體"/>
          <w:szCs w:val="32"/>
          <w:u w:val="single"/>
        </w:rPr>
        <w:t>2-</w:t>
      </w:r>
      <w:r w:rsidRPr="00535039">
        <w:rPr>
          <w:rFonts w:hAnsi="標楷體" w:hint="eastAsia"/>
          <w:szCs w:val="32"/>
          <w:u w:val="single"/>
        </w:rPr>
        <w:t>乙基己基）酯</w:t>
      </w:r>
      <w:r w:rsidRPr="00535039">
        <w:rPr>
          <w:rFonts w:hAnsi="標楷體" w:hint="eastAsia"/>
          <w:szCs w:val="32"/>
          <w:u w:val="single"/>
        </w:rPr>
        <w:lastRenderedPageBreak/>
        <w:t>（</w:t>
      </w:r>
      <w:r w:rsidRPr="00535039">
        <w:rPr>
          <w:rFonts w:hAnsi="標楷體"/>
          <w:szCs w:val="32"/>
          <w:u w:val="single"/>
        </w:rPr>
        <w:t>DEHP</w:t>
      </w:r>
      <w:r w:rsidRPr="00535039">
        <w:rPr>
          <w:rFonts w:hAnsi="標楷體" w:hint="eastAsia"/>
          <w:szCs w:val="32"/>
          <w:u w:val="single"/>
        </w:rPr>
        <w:t>）</w:t>
      </w:r>
      <w:r w:rsidRPr="00535039">
        <w:rPr>
          <w:rFonts w:hAnsi="標楷體"/>
          <w:u w:val="single"/>
        </w:rPr>
        <w:t>不得用於製造食品器具容器包裝</w:t>
      </w:r>
      <w:r w:rsidRPr="00535039">
        <w:rPr>
          <w:rFonts w:hAnsi="標楷體"/>
        </w:rPr>
        <w:t>，包括</w:t>
      </w:r>
      <w:r w:rsidRPr="00535039">
        <w:rPr>
          <w:rFonts w:hAnsi="標楷體"/>
          <w:u w:val="single"/>
        </w:rPr>
        <w:t>保鮮膜的生產用途，</w:t>
      </w:r>
      <w:proofErr w:type="gramStart"/>
      <w:r w:rsidRPr="00535039">
        <w:rPr>
          <w:rFonts w:hAnsi="標楷體"/>
          <w:u w:val="single"/>
        </w:rPr>
        <w:t>以及</w:t>
      </w:r>
      <w:r w:rsidRPr="00535039">
        <w:rPr>
          <w:rFonts w:hAnsi="標楷體" w:hint="eastAsia"/>
          <w:szCs w:val="32"/>
          <w:u w:val="single"/>
        </w:rPr>
        <w:t>鄰苯</w:t>
      </w:r>
      <w:proofErr w:type="gramEnd"/>
      <w:r w:rsidRPr="00535039">
        <w:rPr>
          <w:rFonts w:hAnsi="標楷體" w:hint="eastAsia"/>
          <w:u w:val="single"/>
        </w:rPr>
        <w:t>二甲酸二</w:t>
      </w:r>
      <w:proofErr w:type="gramStart"/>
      <w:r w:rsidRPr="00535039">
        <w:rPr>
          <w:rFonts w:hAnsi="標楷體" w:hint="eastAsia"/>
          <w:u w:val="single"/>
        </w:rPr>
        <w:t>丁酯(</w:t>
      </w:r>
      <w:proofErr w:type="gramEnd"/>
      <w:r w:rsidRPr="00535039">
        <w:rPr>
          <w:rFonts w:hAnsi="標楷體"/>
          <w:u w:val="single"/>
        </w:rPr>
        <w:t>DBP</w:t>
      </w:r>
      <w:r w:rsidRPr="00535039">
        <w:rPr>
          <w:rFonts w:hAnsi="標楷體" w:hint="eastAsia"/>
          <w:u w:val="single"/>
        </w:rPr>
        <w:t>)、</w:t>
      </w:r>
      <w:proofErr w:type="gramStart"/>
      <w:r w:rsidRPr="00535039">
        <w:rPr>
          <w:rFonts w:hAnsi="標楷體" w:hint="eastAsia"/>
          <w:szCs w:val="32"/>
          <w:u w:val="single"/>
        </w:rPr>
        <w:t>鄰苯</w:t>
      </w:r>
      <w:proofErr w:type="gramEnd"/>
      <w:r w:rsidRPr="00535039">
        <w:rPr>
          <w:rFonts w:hAnsi="標楷體" w:hint="eastAsia"/>
          <w:u w:val="single"/>
        </w:rPr>
        <w:t>二甲</w:t>
      </w:r>
      <w:proofErr w:type="gramStart"/>
      <w:r w:rsidRPr="00535039">
        <w:rPr>
          <w:rFonts w:hAnsi="標楷體" w:hint="eastAsia"/>
          <w:u w:val="single"/>
        </w:rPr>
        <w:t>酸丁苯甲酯(</w:t>
      </w:r>
      <w:proofErr w:type="gramEnd"/>
      <w:r w:rsidRPr="00535039">
        <w:rPr>
          <w:rFonts w:hAnsi="標楷體"/>
          <w:u w:val="single"/>
        </w:rPr>
        <w:t>BBP</w:t>
      </w:r>
      <w:r w:rsidRPr="00535039">
        <w:rPr>
          <w:rFonts w:hAnsi="標楷體" w:hint="eastAsia"/>
          <w:u w:val="single"/>
        </w:rPr>
        <w:t>)</w:t>
      </w:r>
      <w:r w:rsidRPr="00535039">
        <w:rPr>
          <w:rFonts w:hAnsi="標楷體"/>
          <w:u w:val="single"/>
        </w:rPr>
        <w:t>不得用於製造嬰幼兒食品用容器及包裝</w:t>
      </w:r>
      <w:r w:rsidRPr="00535039">
        <w:rPr>
          <w:rFonts w:hAnsi="標楷體" w:hint="eastAsia"/>
        </w:rPr>
        <w:t>；</w:t>
      </w:r>
      <w:proofErr w:type="gramStart"/>
      <w:r w:rsidRPr="00535039">
        <w:rPr>
          <w:rFonts w:hAnsi="標楷體" w:hint="eastAsia"/>
        </w:rPr>
        <w:t>其中</w:t>
      </w:r>
      <w:r w:rsidRPr="00535039">
        <w:rPr>
          <w:rFonts w:hAnsi="標楷體" w:hint="eastAsia"/>
          <w:szCs w:val="32"/>
        </w:rPr>
        <w:t>鄰苯</w:t>
      </w:r>
      <w:proofErr w:type="gramEnd"/>
      <w:r w:rsidRPr="00535039">
        <w:rPr>
          <w:rFonts w:hAnsi="標楷體" w:hint="eastAsia"/>
          <w:szCs w:val="32"/>
        </w:rPr>
        <w:t>二甲酸二（</w:t>
      </w:r>
      <w:r w:rsidRPr="00535039">
        <w:rPr>
          <w:rFonts w:hAnsi="標楷體"/>
          <w:szCs w:val="32"/>
        </w:rPr>
        <w:t>2-</w:t>
      </w:r>
      <w:r w:rsidRPr="00535039">
        <w:rPr>
          <w:rFonts w:hAnsi="標楷體" w:hint="eastAsia"/>
          <w:szCs w:val="32"/>
        </w:rPr>
        <w:t>乙基己基）酯（</w:t>
      </w:r>
      <w:r w:rsidRPr="00535039">
        <w:rPr>
          <w:rFonts w:hAnsi="標楷體"/>
          <w:szCs w:val="32"/>
        </w:rPr>
        <w:t>DEHP</w:t>
      </w:r>
      <w:r w:rsidRPr="00535039">
        <w:rPr>
          <w:rFonts w:hAnsi="標楷體" w:hint="eastAsia"/>
          <w:szCs w:val="32"/>
        </w:rPr>
        <w:t>）</w:t>
      </w:r>
      <w:r w:rsidRPr="00535039">
        <w:rPr>
          <w:rFonts w:hAnsi="標楷體"/>
        </w:rPr>
        <w:t>不得用於製造食品器具容器包裝</w:t>
      </w:r>
      <w:r w:rsidRPr="00535039">
        <w:rPr>
          <w:rFonts w:hAnsi="標楷體" w:hint="eastAsia"/>
        </w:rPr>
        <w:t>的規定，</w:t>
      </w:r>
      <w:r w:rsidRPr="00535039">
        <w:rPr>
          <w:rFonts w:hAnsi="標楷體" w:hint="eastAsia"/>
          <w:szCs w:val="32"/>
        </w:rPr>
        <w:t>於2007年即開始規範</w:t>
      </w:r>
      <w:r w:rsidRPr="00535039">
        <w:rPr>
          <w:rFonts w:hAnsi="標楷體" w:hint="eastAsia"/>
        </w:rPr>
        <w:t>。另</w:t>
      </w:r>
      <w:r w:rsidRPr="00535039">
        <w:rPr>
          <w:rFonts w:hAnsi="標楷體"/>
        </w:rPr>
        <w:t>單一材料</w:t>
      </w:r>
      <w:r w:rsidRPr="00535039">
        <w:rPr>
          <w:rFonts w:hAnsi="標楷體" w:hint="eastAsia"/>
        </w:rPr>
        <w:t>規格標準中，僅有針對聚氯乙烯</w:t>
      </w:r>
      <w:r w:rsidRPr="00535039">
        <w:rPr>
          <w:rFonts w:hAnsi="標楷體"/>
        </w:rPr>
        <w:t>(PVC)材質另有規範</w:t>
      </w:r>
      <w:proofErr w:type="gramStart"/>
      <w:r w:rsidRPr="00535039">
        <w:rPr>
          <w:rFonts w:hAnsi="標楷體"/>
        </w:rPr>
        <w:t>塑化劑之溶出</w:t>
      </w:r>
      <w:proofErr w:type="gramEnd"/>
      <w:r w:rsidRPr="00535039">
        <w:rPr>
          <w:rFonts w:hAnsi="標楷體"/>
        </w:rPr>
        <w:t>試驗規範</w:t>
      </w:r>
      <w:r w:rsidRPr="00535039">
        <w:rPr>
          <w:rFonts w:hAnsi="標楷體" w:hint="eastAsia"/>
        </w:rPr>
        <w:t>，詳如</w:t>
      </w:r>
      <w:r w:rsidRPr="00535039">
        <w:rPr>
          <w:rFonts w:hAnsi="標楷體"/>
        </w:rPr>
        <w:t>表</w:t>
      </w:r>
      <w:r w:rsidR="00A57236">
        <w:rPr>
          <w:rFonts w:hAnsi="標楷體" w:hint="eastAsia"/>
        </w:rPr>
        <w:t>4</w:t>
      </w:r>
      <w:r w:rsidRPr="00535039">
        <w:rPr>
          <w:rFonts w:hAnsi="標楷體" w:hint="eastAsia"/>
        </w:rPr>
        <w:t>。</w:t>
      </w:r>
    </w:p>
    <w:p w14:paraId="073D7CE0" w14:textId="29A78F7F" w:rsidR="006F6538" w:rsidRPr="00535039" w:rsidRDefault="006F6538">
      <w:pPr>
        <w:rPr>
          <w:rFonts w:hAnsi="標楷體"/>
        </w:rPr>
      </w:pP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678"/>
      </w:tblGrid>
      <w:tr w:rsidR="007E5433" w:rsidRPr="00535039" w14:paraId="10120268" w14:textId="77777777" w:rsidTr="00D20305">
        <w:tc>
          <w:tcPr>
            <w:tcW w:w="6946" w:type="dxa"/>
            <w:gridSpan w:val="2"/>
            <w:tcBorders>
              <w:top w:val="nil"/>
              <w:left w:val="nil"/>
              <w:bottom w:val="single" w:sz="4" w:space="0" w:color="auto"/>
              <w:right w:val="nil"/>
            </w:tcBorders>
            <w:shd w:val="clear" w:color="auto" w:fill="auto"/>
            <w:vAlign w:val="center"/>
          </w:tcPr>
          <w:p w14:paraId="680BCDC2" w14:textId="7D1E1CA2" w:rsidR="000C69CB" w:rsidRPr="00535039" w:rsidRDefault="000C69CB" w:rsidP="00D20305">
            <w:pPr>
              <w:pStyle w:val="a3"/>
              <w:spacing w:before="0" w:after="0"/>
              <w:ind w:left="771" w:rightChars="-32" w:right="-109" w:hanging="794"/>
              <w:rPr>
                <w:rFonts w:hAnsi="標楷體"/>
              </w:rPr>
            </w:pPr>
            <w:r w:rsidRPr="00535039">
              <w:rPr>
                <w:rFonts w:hAnsi="標楷體" w:hint="eastAsia"/>
              </w:rPr>
              <w:t>韓國對於</w:t>
            </w:r>
            <w:r w:rsidRPr="00535039">
              <w:rPr>
                <w:rFonts w:hAnsi="標楷體"/>
              </w:rPr>
              <w:t>聚氯乙烯(PVC)</w:t>
            </w:r>
            <w:r w:rsidRPr="00535039">
              <w:rPr>
                <w:rFonts w:hAnsi="標楷體" w:hint="eastAsia"/>
              </w:rPr>
              <w:t>製之食品器具容器包裝之塑化劑溶出限量規範</w:t>
            </w:r>
          </w:p>
          <w:p w14:paraId="27E179FF" w14:textId="77777777" w:rsidR="000C69CB" w:rsidRPr="00535039" w:rsidRDefault="000C69CB" w:rsidP="00D20305">
            <w:pPr>
              <w:pStyle w:val="a3"/>
              <w:numPr>
                <w:ilvl w:val="0"/>
                <w:numId w:val="0"/>
              </w:numPr>
              <w:spacing w:before="0" w:after="0"/>
              <w:ind w:left="771" w:rightChars="-32" w:right="-109"/>
              <w:jc w:val="right"/>
              <w:rPr>
                <w:rFonts w:hAnsi="標楷體"/>
              </w:rPr>
            </w:pPr>
            <w:r w:rsidRPr="00535039">
              <w:rPr>
                <w:rFonts w:hAnsi="標楷體" w:hint="eastAsia"/>
              </w:rPr>
              <w:t>單位：</w:t>
            </w:r>
            <w:r w:rsidRPr="00535039">
              <w:rPr>
                <w:rFonts w:hAnsi="標楷體"/>
              </w:rPr>
              <w:t>mg/kg</w:t>
            </w:r>
          </w:p>
        </w:tc>
      </w:tr>
      <w:tr w:rsidR="007E5433" w:rsidRPr="00535039" w14:paraId="6F23CEAB" w14:textId="77777777" w:rsidTr="00D20305">
        <w:tc>
          <w:tcPr>
            <w:tcW w:w="2268" w:type="dxa"/>
            <w:tcBorders>
              <w:top w:val="single" w:sz="4" w:space="0" w:color="auto"/>
            </w:tcBorders>
            <w:shd w:val="clear" w:color="auto" w:fill="auto"/>
            <w:vAlign w:val="center"/>
          </w:tcPr>
          <w:p w14:paraId="1DF3104C" w14:textId="77777777" w:rsidR="000C69CB" w:rsidRPr="00535039" w:rsidRDefault="000C69CB" w:rsidP="00B57C1C">
            <w:pPr>
              <w:jc w:val="center"/>
              <w:rPr>
                <w:rFonts w:hAnsi="標楷體"/>
                <w:sz w:val="28"/>
                <w:szCs w:val="28"/>
              </w:rPr>
            </w:pPr>
            <w:r w:rsidRPr="00535039">
              <w:rPr>
                <w:rFonts w:hAnsi="標楷體"/>
                <w:sz w:val="28"/>
                <w:szCs w:val="28"/>
              </w:rPr>
              <w:t>物質名稱</w:t>
            </w:r>
          </w:p>
        </w:tc>
        <w:tc>
          <w:tcPr>
            <w:tcW w:w="4678" w:type="dxa"/>
            <w:tcBorders>
              <w:top w:val="single" w:sz="4" w:space="0" w:color="auto"/>
            </w:tcBorders>
            <w:shd w:val="clear" w:color="auto" w:fill="auto"/>
            <w:vAlign w:val="center"/>
          </w:tcPr>
          <w:p w14:paraId="10C4F626" w14:textId="0DA1143A" w:rsidR="000C69CB" w:rsidRPr="00535039" w:rsidRDefault="000C69CB" w:rsidP="00B57C1C">
            <w:pPr>
              <w:jc w:val="center"/>
              <w:rPr>
                <w:rFonts w:hAnsi="標楷體"/>
                <w:sz w:val="28"/>
                <w:szCs w:val="28"/>
              </w:rPr>
            </w:pPr>
            <w:r w:rsidRPr="00535039">
              <w:rPr>
                <w:rFonts w:hAnsi="標楷體"/>
                <w:sz w:val="28"/>
                <w:szCs w:val="28"/>
              </w:rPr>
              <w:t>溶出限量</w:t>
            </w:r>
          </w:p>
        </w:tc>
      </w:tr>
      <w:tr w:rsidR="007E5433" w:rsidRPr="00535039" w14:paraId="3C1DAA92" w14:textId="77777777" w:rsidTr="00814CC0">
        <w:trPr>
          <w:trHeight w:val="409"/>
        </w:trPr>
        <w:tc>
          <w:tcPr>
            <w:tcW w:w="2268" w:type="dxa"/>
            <w:shd w:val="clear" w:color="auto" w:fill="auto"/>
            <w:vAlign w:val="center"/>
          </w:tcPr>
          <w:p w14:paraId="4BBC5F2C" w14:textId="77777777" w:rsidR="000C69CB" w:rsidRPr="00535039" w:rsidRDefault="000C69CB" w:rsidP="00B57C1C">
            <w:pPr>
              <w:jc w:val="center"/>
              <w:rPr>
                <w:rFonts w:hAnsi="標楷體"/>
                <w:sz w:val="28"/>
                <w:szCs w:val="28"/>
              </w:rPr>
            </w:pPr>
            <w:r w:rsidRPr="00535039">
              <w:rPr>
                <w:rFonts w:hAnsi="標楷體"/>
                <w:sz w:val="28"/>
                <w:szCs w:val="28"/>
              </w:rPr>
              <w:t>DEHP</w:t>
            </w:r>
          </w:p>
        </w:tc>
        <w:tc>
          <w:tcPr>
            <w:tcW w:w="4678" w:type="dxa"/>
            <w:shd w:val="clear" w:color="auto" w:fill="auto"/>
            <w:vAlign w:val="center"/>
          </w:tcPr>
          <w:p w14:paraId="149BE7F0" w14:textId="77777777" w:rsidR="000C69CB" w:rsidRPr="00535039" w:rsidRDefault="000C69CB" w:rsidP="00B57C1C">
            <w:pPr>
              <w:ind w:right="340"/>
              <w:jc w:val="right"/>
              <w:rPr>
                <w:rFonts w:hAnsi="標楷體"/>
                <w:sz w:val="28"/>
                <w:szCs w:val="28"/>
              </w:rPr>
            </w:pPr>
            <w:r w:rsidRPr="00535039">
              <w:rPr>
                <w:rFonts w:hAnsi="標楷體"/>
                <w:sz w:val="28"/>
                <w:szCs w:val="28"/>
              </w:rPr>
              <w:t>1.5</w:t>
            </w:r>
          </w:p>
        </w:tc>
      </w:tr>
      <w:tr w:rsidR="007E5433" w:rsidRPr="00535039" w14:paraId="0AF7607F" w14:textId="77777777" w:rsidTr="00814CC0">
        <w:trPr>
          <w:trHeight w:val="409"/>
        </w:trPr>
        <w:tc>
          <w:tcPr>
            <w:tcW w:w="2268" w:type="dxa"/>
            <w:shd w:val="clear" w:color="auto" w:fill="auto"/>
            <w:vAlign w:val="center"/>
          </w:tcPr>
          <w:p w14:paraId="59256859" w14:textId="77777777" w:rsidR="000C69CB" w:rsidRPr="00535039" w:rsidRDefault="000C69CB" w:rsidP="00B57C1C">
            <w:pPr>
              <w:jc w:val="center"/>
              <w:rPr>
                <w:rFonts w:hAnsi="標楷體"/>
                <w:sz w:val="28"/>
                <w:szCs w:val="28"/>
              </w:rPr>
            </w:pPr>
            <w:r w:rsidRPr="00535039">
              <w:rPr>
                <w:rFonts w:hAnsi="標楷體"/>
                <w:sz w:val="28"/>
                <w:szCs w:val="28"/>
              </w:rPr>
              <w:t>DBP</w:t>
            </w:r>
          </w:p>
        </w:tc>
        <w:tc>
          <w:tcPr>
            <w:tcW w:w="4678" w:type="dxa"/>
            <w:shd w:val="clear" w:color="auto" w:fill="auto"/>
            <w:vAlign w:val="center"/>
          </w:tcPr>
          <w:p w14:paraId="0B20F8D9" w14:textId="77777777" w:rsidR="000C69CB" w:rsidRPr="00535039" w:rsidRDefault="000C69CB" w:rsidP="00B57C1C">
            <w:pPr>
              <w:ind w:right="340"/>
              <w:jc w:val="right"/>
              <w:rPr>
                <w:rFonts w:hAnsi="標楷體"/>
                <w:sz w:val="28"/>
                <w:szCs w:val="28"/>
              </w:rPr>
            </w:pPr>
            <w:r w:rsidRPr="00535039">
              <w:rPr>
                <w:rFonts w:hAnsi="標楷體"/>
                <w:sz w:val="28"/>
                <w:szCs w:val="28"/>
              </w:rPr>
              <w:t>0.3</w:t>
            </w:r>
          </w:p>
        </w:tc>
      </w:tr>
      <w:tr w:rsidR="007E5433" w:rsidRPr="00535039" w14:paraId="714030F0" w14:textId="77777777" w:rsidTr="00814CC0">
        <w:trPr>
          <w:trHeight w:val="409"/>
        </w:trPr>
        <w:tc>
          <w:tcPr>
            <w:tcW w:w="2268" w:type="dxa"/>
            <w:shd w:val="clear" w:color="auto" w:fill="auto"/>
            <w:vAlign w:val="center"/>
          </w:tcPr>
          <w:p w14:paraId="4F3D9C70" w14:textId="77777777" w:rsidR="000C69CB" w:rsidRPr="00535039" w:rsidRDefault="000C69CB" w:rsidP="00B57C1C">
            <w:pPr>
              <w:jc w:val="center"/>
              <w:rPr>
                <w:rFonts w:hAnsi="標楷體"/>
                <w:sz w:val="28"/>
                <w:szCs w:val="28"/>
              </w:rPr>
            </w:pPr>
            <w:r w:rsidRPr="00535039">
              <w:rPr>
                <w:rFonts w:hAnsi="標楷體"/>
                <w:sz w:val="28"/>
                <w:szCs w:val="28"/>
              </w:rPr>
              <w:t>BBP</w:t>
            </w:r>
          </w:p>
        </w:tc>
        <w:tc>
          <w:tcPr>
            <w:tcW w:w="4678" w:type="dxa"/>
            <w:shd w:val="clear" w:color="auto" w:fill="auto"/>
            <w:vAlign w:val="center"/>
          </w:tcPr>
          <w:p w14:paraId="09A7464A" w14:textId="77777777" w:rsidR="000C69CB" w:rsidRPr="00535039" w:rsidRDefault="000C69CB" w:rsidP="00B57C1C">
            <w:pPr>
              <w:ind w:right="340"/>
              <w:jc w:val="right"/>
              <w:rPr>
                <w:rFonts w:hAnsi="標楷體"/>
                <w:sz w:val="28"/>
                <w:szCs w:val="28"/>
              </w:rPr>
            </w:pPr>
            <w:r w:rsidRPr="00535039">
              <w:rPr>
                <w:rFonts w:hAnsi="標楷體"/>
                <w:sz w:val="28"/>
                <w:szCs w:val="28"/>
              </w:rPr>
              <w:t>30</w:t>
            </w:r>
          </w:p>
        </w:tc>
      </w:tr>
      <w:tr w:rsidR="007E5433" w:rsidRPr="00535039" w14:paraId="35CA1132" w14:textId="77777777" w:rsidTr="00814CC0">
        <w:trPr>
          <w:trHeight w:val="409"/>
        </w:trPr>
        <w:tc>
          <w:tcPr>
            <w:tcW w:w="2268" w:type="dxa"/>
            <w:shd w:val="clear" w:color="auto" w:fill="auto"/>
            <w:vAlign w:val="center"/>
          </w:tcPr>
          <w:p w14:paraId="46A25FE6" w14:textId="77777777" w:rsidR="000C69CB" w:rsidRPr="00535039" w:rsidRDefault="000C69CB" w:rsidP="00B57C1C">
            <w:pPr>
              <w:jc w:val="center"/>
              <w:rPr>
                <w:rFonts w:hAnsi="標楷體"/>
                <w:sz w:val="28"/>
                <w:szCs w:val="28"/>
              </w:rPr>
            </w:pPr>
            <w:r w:rsidRPr="00535039">
              <w:rPr>
                <w:rFonts w:hAnsi="標楷體"/>
                <w:sz w:val="28"/>
                <w:szCs w:val="28"/>
              </w:rPr>
              <w:t>DIDP+DINP</w:t>
            </w:r>
          </w:p>
        </w:tc>
        <w:tc>
          <w:tcPr>
            <w:tcW w:w="4678" w:type="dxa"/>
            <w:shd w:val="clear" w:color="auto" w:fill="auto"/>
            <w:vAlign w:val="center"/>
          </w:tcPr>
          <w:p w14:paraId="5E45C602" w14:textId="77777777" w:rsidR="000C69CB" w:rsidRPr="00535039" w:rsidRDefault="000C69CB" w:rsidP="00B57C1C">
            <w:pPr>
              <w:ind w:right="340"/>
              <w:jc w:val="right"/>
              <w:rPr>
                <w:rFonts w:hAnsi="標楷體"/>
                <w:sz w:val="28"/>
                <w:szCs w:val="28"/>
              </w:rPr>
            </w:pPr>
            <w:r w:rsidRPr="00535039">
              <w:rPr>
                <w:rFonts w:hAnsi="標楷體"/>
                <w:sz w:val="28"/>
                <w:szCs w:val="28"/>
              </w:rPr>
              <w:t>9</w:t>
            </w:r>
          </w:p>
        </w:tc>
      </w:tr>
      <w:tr w:rsidR="007E5433" w:rsidRPr="00535039" w14:paraId="6E49D14E" w14:textId="77777777" w:rsidTr="00814CC0">
        <w:trPr>
          <w:trHeight w:val="409"/>
        </w:trPr>
        <w:tc>
          <w:tcPr>
            <w:tcW w:w="2268" w:type="dxa"/>
            <w:shd w:val="clear" w:color="auto" w:fill="auto"/>
            <w:vAlign w:val="center"/>
          </w:tcPr>
          <w:p w14:paraId="2402762B" w14:textId="77777777" w:rsidR="000C69CB" w:rsidRPr="00535039" w:rsidRDefault="000C69CB" w:rsidP="00B57C1C">
            <w:pPr>
              <w:jc w:val="center"/>
              <w:rPr>
                <w:rFonts w:hAnsi="標楷體"/>
                <w:sz w:val="28"/>
                <w:szCs w:val="28"/>
              </w:rPr>
            </w:pPr>
            <w:r w:rsidRPr="00535039">
              <w:rPr>
                <w:rFonts w:hAnsi="標楷體"/>
                <w:sz w:val="28"/>
                <w:szCs w:val="28"/>
              </w:rPr>
              <w:t>DNOP</w:t>
            </w:r>
          </w:p>
        </w:tc>
        <w:tc>
          <w:tcPr>
            <w:tcW w:w="4678" w:type="dxa"/>
            <w:shd w:val="clear" w:color="auto" w:fill="auto"/>
            <w:vAlign w:val="center"/>
          </w:tcPr>
          <w:p w14:paraId="0D7C22A5" w14:textId="77777777" w:rsidR="000C69CB" w:rsidRPr="00535039" w:rsidRDefault="000C69CB" w:rsidP="00B57C1C">
            <w:pPr>
              <w:ind w:right="340"/>
              <w:jc w:val="right"/>
              <w:rPr>
                <w:rFonts w:hAnsi="標楷體"/>
                <w:sz w:val="28"/>
                <w:szCs w:val="28"/>
              </w:rPr>
            </w:pPr>
            <w:r w:rsidRPr="00535039">
              <w:rPr>
                <w:rFonts w:hAnsi="標楷體"/>
                <w:sz w:val="28"/>
                <w:szCs w:val="28"/>
              </w:rPr>
              <w:t>5</w:t>
            </w:r>
          </w:p>
        </w:tc>
      </w:tr>
      <w:tr w:rsidR="007E5433" w:rsidRPr="00535039" w14:paraId="35F9D333" w14:textId="77777777" w:rsidTr="00814CC0">
        <w:trPr>
          <w:trHeight w:val="409"/>
        </w:trPr>
        <w:tc>
          <w:tcPr>
            <w:tcW w:w="2268" w:type="dxa"/>
            <w:shd w:val="clear" w:color="auto" w:fill="auto"/>
            <w:vAlign w:val="center"/>
          </w:tcPr>
          <w:p w14:paraId="20EF9479" w14:textId="77777777" w:rsidR="000C69CB" w:rsidRPr="00535039" w:rsidRDefault="000C69CB" w:rsidP="00B57C1C">
            <w:pPr>
              <w:jc w:val="center"/>
              <w:rPr>
                <w:rFonts w:hAnsi="標楷體"/>
                <w:sz w:val="28"/>
                <w:szCs w:val="28"/>
              </w:rPr>
            </w:pPr>
            <w:r w:rsidRPr="00535039">
              <w:rPr>
                <w:rFonts w:hAnsi="標楷體"/>
                <w:sz w:val="28"/>
                <w:szCs w:val="28"/>
              </w:rPr>
              <w:t>DEHA</w:t>
            </w:r>
          </w:p>
        </w:tc>
        <w:tc>
          <w:tcPr>
            <w:tcW w:w="4678" w:type="dxa"/>
            <w:shd w:val="clear" w:color="auto" w:fill="auto"/>
            <w:vAlign w:val="center"/>
          </w:tcPr>
          <w:p w14:paraId="221FB89B" w14:textId="77777777" w:rsidR="000C69CB" w:rsidRPr="00535039" w:rsidRDefault="000C69CB" w:rsidP="00B57C1C">
            <w:pPr>
              <w:ind w:right="340"/>
              <w:jc w:val="right"/>
              <w:rPr>
                <w:rFonts w:hAnsi="標楷體"/>
                <w:sz w:val="28"/>
                <w:szCs w:val="28"/>
              </w:rPr>
            </w:pPr>
            <w:r w:rsidRPr="00535039">
              <w:rPr>
                <w:rFonts w:hAnsi="標楷體"/>
                <w:sz w:val="28"/>
                <w:szCs w:val="28"/>
              </w:rPr>
              <w:t>18</w:t>
            </w:r>
          </w:p>
        </w:tc>
      </w:tr>
    </w:tbl>
    <w:p w14:paraId="4C280A8B" w14:textId="515AD88A" w:rsidR="000C69CB" w:rsidRPr="00535039" w:rsidRDefault="000C69CB" w:rsidP="000C69CB">
      <w:pPr>
        <w:widowControl/>
        <w:overflowPunct/>
        <w:autoSpaceDE/>
        <w:autoSpaceDN/>
        <w:spacing w:line="300" w:lineRule="exact"/>
        <w:ind w:left="1559" w:rightChars="-36" w:right="-122" w:firstLineChars="68" w:firstLine="177"/>
        <w:rPr>
          <w:rFonts w:hAnsi="標楷體"/>
          <w:sz w:val="24"/>
          <w:szCs w:val="24"/>
        </w:rPr>
      </w:pPr>
      <w:r w:rsidRPr="00535039">
        <w:rPr>
          <w:rFonts w:hAnsi="標楷體" w:hint="eastAsia"/>
          <w:sz w:val="24"/>
          <w:szCs w:val="24"/>
        </w:rPr>
        <w:t>資料來源：</w:t>
      </w:r>
      <w:proofErr w:type="gramStart"/>
      <w:r w:rsidRPr="00535039">
        <w:rPr>
          <w:rFonts w:hAnsi="標楷體" w:hint="eastAsia"/>
          <w:sz w:val="24"/>
          <w:szCs w:val="24"/>
        </w:rPr>
        <w:t>食藥署</w:t>
      </w:r>
      <w:proofErr w:type="gramEnd"/>
      <w:r w:rsidR="000A4849" w:rsidRPr="00535039">
        <w:rPr>
          <w:rFonts w:hAnsi="標楷體" w:hint="eastAsia"/>
          <w:sz w:val="24"/>
          <w:szCs w:val="24"/>
        </w:rPr>
        <w:t>。</w:t>
      </w:r>
    </w:p>
    <w:p w14:paraId="3729471F" w14:textId="77777777" w:rsidR="000C69CB" w:rsidRPr="00535039" w:rsidRDefault="000C69CB" w:rsidP="000C69CB">
      <w:pPr>
        <w:widowControl/>
        <w:overflowPunct/>
        <w:autoSpaceDE/>
        <w:autoSpaceDN/>
        <w:spacing w:line="300" w:lineRule="exact"/>
        <w:ind w:left="1559" w:rightChars="-36" w:right="-122" w:firstLineChars="68" w:firstLine="177"/>
        <w:rPr>
          <w:rFonts w:hAnsi="標楷體"/>
          <w:sz w:val="24"/>
          <w:szCs w:val="24"/>
        </w:rPr>
      </w:pPr>
    </w:p>
    <w:p w14:paraId="459A34D2" w14:textId="5ED2FFDD" w:rsidR="000C69CB" w:rsidRPr="00535039" w:rsidRDefault="000C69CB" w:rsidP="000C69CB">
      <w:pPr>
        <w:pStyle w:val="3"/>
        <w:numPr>
          <w:ilvl w:val="0"/>
          <w:numId w:val="0"/>
        </w:numPr>
        <w:ind w:left="1361" w:firstLineChars="200" w:firstLine="680"/>
        <w:rPr>
          <w:rFonts w:hAnsi="標楷體"/>
        </w:rPr>
      </w:pPr>
      <w:r w:rsidRPr="00535039">
        <w:rPr>
          <w:rFonts w:hAnsi="標楷體" w:hint="eastAsia"/>
        </w:rPr>
        <w:t>由上可知，</w:t>
      </w:r>
      <w:r w:rsidRPr="00535039">
        <w:rPr>
          <w:rFonts w:hAnsi="標楷體" w:hint="eastAsia"/>
          <w:u w:val="single"/>
        </w:rPr>
        <w:t>歐盟於2023年公布修正塑化劑管制規範，下</w:t>
      </w:r>
      <w:proofErr w:type="gramStart"/>
      <w:r w:rsidRPr="00535039">
        <w:rPr>
          <w:rFonts w:hAnsi="標楷體" w:hint="eastAsia"/>
          <w:u w:val="single"/>
        </w:rPr>
        <w:t>修鄰苯</w:t>
      </w:r>
      <w:proofErr w:type="gramEnd"/>
      <w:r w:rsidRPr="00535039">
        <w:rPr>
          <w:rFonts w:hAnsi="標楷體" w:hint="eastAsia"/>
          <w:u w:val="single"/>
        </w:rPr>
        <w:t>二甲酸二</w:t>
      </w:r>
      <w:proofErr w:type="gramStart"/>
      <w:r w:rsidRPr="00535039">
        <w:rPr>
          <w:rFonts w:hAnsi="標楷體" w:hint="eastAsia"/>
          <w:u w:val="single"/>
        </w:rPr>
        <w:t>丁酯(</w:t>
      </w:r>
      <w:proofErr w:type="gramEnd"/>
      <w:r w:rsidRPr="00535039">
        <w:rPr>
          <w:rFonts w:hAnsi="標楷體"/>
          <w:u w:val="single"/>
        </w:rPr>
        <w:t>DBP</w:t>
      </w:r>
      <w:r w:rsidRPr="00535039">
        <w:rPr>
          <w:rFonts w:hAnsi="標楷體" w:hint="eastAsia"/>
          <w:u w:val="single"/>
        </w:rPr>
        <w:t>)等6項塑化劑之遷移限量</w:t>
      </w:r>
      <w:r w:rsidRPr="00535039">
        <w:rPr>
          <w:rFonts w:hAnsi="標楷體" w:hint="eastAsia"/>
        </w:rPr>
        <w:t>，即歐盟</w:t>
      </w:r>
      <w:proofErr w:type="gramStart"/>
      <w:r w:rsidRPr="00535039">
        <w:rPr>
          <w:rFonts w:hAnsi="標楷體" w:hint="eastAsia"/>
        </w:rPr>
        <w:t>加嚴該6項</w:t>
      </w:r>
      <w:proofErr w:type="gramEnd"/>
      <w:r w:rsidRPr="00535039">
        <w:rPr>
          <w:rFonts w:hAnsi="標楷體" w:hint="eastAsia"/>
        </w:rPr>
        <w:t>塑化劑釋放至食品的最大允許量；</w:t>
      </w:r>
      <w:r w:rsidRPr="00535039">
        <w:rPr>
          <w:rFonts w:hAnsi="標楷體" w:hint="eastAsia"/>
          <w:u w:val="single"/>
        </w:rPr>
        <w:t>美國於2024年</w:t>
      </w:r>
      <w:r w:rsidRPr="00535039">
        <w:rPr>
          <w:rFonts w:hAnsi="標楷體"/>
          <w:u w:val="single"/>
        </w:rPr>
        <w:t>刪除25</w:t>
      </w:r>
      <w:r w:rsidRPr="00535039">
        <w:rPr>
          <w:rFonts w:hAnsi="標楷體" w:hint="eastAsia"/>
          <w:u w:val="single"/>
        </w:rPr>
        <w:t>項</w:t>
      </w:r>
      <w:r w:rsidRPr="00535039">
        <w:rPr>
          <w:rFonts w:hAnsi="標楷體"/>
          <w:u w:val="single"/>
        </w:rPr>
        <w:t>塑化劑於「塑劑(plasticizer)」</w:t>
      </w:r>
      <w:r w:rsidRPr="00535039">
        <w:rPr>
          <w:rFonts w:hAnsi="標楷體" w:hint="eastAsia"/>
          <w:u w:val="single"/>
        </w:rPr>
        <w:t>方面</w:t>
      </w:r>
      <w:r w:rsidRPr="00535039">
        <w:rPr>
          <w:rFonts w:hAnsi="標楷體"/>
          <w:u w:val="single"/>
        </w:rPr>
        <w:t>用途</w:t>
      </w:r>
      <w:r w:rsidRPr="00535039">
        <w:rPr>
          <w:rFonts w:hAnsi="標楷體" w:hint="eastAsia"/>
          <w:u w:val="single"/>
        </w:rPr>
        <w:t>，其中包括我國准許使用</w:t>
      </w:r>
      <w:proofErr w:type="gramStart"/>
      <w:r w:rsidRPr="00535039">
        <w:rPr>
          <w:rFonts w:hAnsi="標楷體" w:hint="eastAsia"/>
          <w:u w:val="single"/>
        </w:rPr>
        <w:t>的鄰苯</w:t>
      </w:r>
      <w:proofErr w:type="gramEnd"/>
      <w:r w:rsidRPr="00535039">
        <w:rPr>
          <w:rFonts w:hAnsi="標楷體" w:hint="eastAsia"/>
          <w:u w:val="single"/>
        </w:rPr>
        <w:t>二甲</w:t>
      </w:r>
      <w:proofErr w:type="gramStart"/>
      <w:r w:rsidRPr="00535039">
        <w:rPr>
          <w:rFonts w:hAnsi="標楷體" w:hint="eastAsia"/>
          <w:u w:val="single"/>
        </w:rPr>
        <w:t>酸丁苯甲酯(</w:t>
      </w:r>
      <w:proofErr w:type="gramEnd"/>
      <w:r w:rsidRPr="00535039">
        <w:rPr>
          <w:rFonts w:hAnsi="標楷體" w:hint="eastAsia"/>
          <w:u w:val="single"/>
        </w:rPr>
        <w:t>BBP)、</w:t>
      </w:r>
      <w:proofErr w:type="gramStart"/>
      <w:r w:rsidRPr="00535039">
        <w:rPr>
          <w:rFonts w:hAnsi="標楷體" w:hint="eastAsia"/>
          <w:u w:val="single"/>
        </w:rPr>
        <w:t>鄰苯</w:t>
      </w:r>
      <w:proofErr w:type="gramEnd"/>
      <w:r w:rsidRPr="00535039">
        <w:rPr>
          <w:rFonts w:hAnsi="標楷體" w:hint="eastAsia"/>
          <w:u w:val="single"/>
        </w:rPr>
        <w:t>二甲酸二</w:t>
      </w:r>
      <w:proofErr w:type="gramStart"/>
      <w:r w:rsidRPr="00535039">
        <w:rPr>
          <w:rFonts w:hAnsi="標楷體" w:hint="eastAsia"/>
          <w:u w:val="single"/>
        </w:rPr>
        <w:t>丁酯(</w:t>
      </w:r>
      <w:proofErr w:type="gramEnd"/>
      <w:r w:rsidRPr="00535039">
        <w:rPr>
          <w:rFonts w:hAnsi="標楷體" w:hint="eastAsia"/>
          <w:u w:val="single"/>
        </w:rPr>
        <w:t>DBP)</w:t>
      </w:r>
      <w:proofErr w:type="gramStart"/>
      <w:r w:rsidRPr="00535039">
        <w:rPr>
          <w:rFonts w:hAnsi="標楷體" w:hint="eastAsia"/>
          <w:u w:val="single"/>
        </w:rPr>
        <w:t>及鄰苯</w:t>
      </w:r>
      <w:proofErr w:type="gramEnd"/>
      <w:r w:rsidRPr="00535039">
        <w:rPr>
          <w:rFonts w:hAnsi="標楷體" w:hint="eastAsia"/>
          <w:u w:val="single"/>
        </w:rPr>
        <w:t>二甲酸二正</w:t>
      </w:r>
      <w:proofErr w:type="gramStart"/>
      <w:r w:rsidRPr="00535039">
        <w:rPr>
          <w:rFonts w:hAnsi="標楷體" w:hint="eastAsia"/>
          <w:u w:val="single"/>
        </w:rPr>
        <w:t>辛酯</w:t>
      </w:r>
      <w:r w:rsidRPr="00535039">
        <w:rPr>
          <w:rFonts w:hAnsi="標楷體"/>
          <w:u w:val="single"/>
        </w:rPr>
        <w:t>(</w:t>
      </w:r>
      <w:proofErr w:type="gramEnd"/>
      <w:r w:rsidRPr="00535039">
        <w:rPr>
          <w:rFonts w:hAnsi="標楷體"/>
          <w:u w:val="single"/>
        </w:rPr>
        <w:t>DNOP)</w:t>
      </w:r>
      <w:r w:rsidRPr="00535039">
        <w:rPr>
          <w:rFonts w:hAnsi="標楷體" w:hint="eastAsia"/>
          <w:u w:val="single"/>
        </w:rPr>
        <w:t>3項塑化劑</w:t>
      </w:r>
      <w:r w:rsidRPr="00535039">
        <w:rPr>
          <w:rFonts w:hAnsi="標楷體" w:hint="eastAsia"/>
        </w:rPr>
        <w:t>，即使美國所刪除的25塑化劑仍可准用於</w:t>
      </w:r>
      <w:proofErr w:type="gramStart"/>
      <w:r w:rsidRPr="00535039">
        <w:rPr>
          <w:rFonts w:hAnsi="標楷體" w:hint="eastAsia"/>
        </w:rPr>
        <w:t>非增塑劑</w:t>
      </w:r>
      <w:proofErr w:type="gramEnd"/>
      <w:r w:rsidRPr="00535039">
        <w:rPr>
          <w:rFonts w:hAnsi="標楷體" w:hint="eastAsia"/>
        </w:rPr>
        <w:t>用途，惟仍可見美國對於塑化劑加嚴管理的趨勢；日本則係於2025年6月1日起正面表列准許</w:t>
      </w:r>
      <w:proofErr w:type="gramStart"/>
      <w:r w:rsidRPr="00535039">
        <w:rPr>
          <w:rFonts w:hAnsi="標楷體" w:hint="eastAsia"/>
        </w:rPr>
        <w:t>使用</w:t>
      </w:r>
      <w:r w:rsidRPr="00535039">
        <w:rPr>
          <w:rFonts w:hAnsi="標楷體" w:hint="eastAsia"/>
          <w:szCs w:val="32"/>
        </w:rPr>
        <w:t>鄰苯</w:t>
      </w:r>
      <w:proofErr w:type="gramEnd"/>
      <w:r w:rsidRPr="00535039">
        <w:rPr>
          <w:rFonts w:hAnsi="標楷體" w:hint="eastAsia"/>
          <w:szCs w:val="32"/>
        </w:rPr>
        <w:t>二甲酸二（</w:t>
      </w:r>
      <w:r w:rsidRPr="00535039">
        <w:rPr>
          <w:rFonts w:hAnsi="標楷體"/>
          <w:szCs w:val="32"/>
        </w:rPr>
        <w:t>2-</w:t>
      </w:r>
      <w:r w:rsidRPr="00535039">
        <w:rPr>
          <w:rFonts w:hAnsi="標楷體" w:hint="eastAsia"/>
          <w:szCs w:val="32"/>
        </w:rPr>
        <w:t>乙基己基）酯（</w:t>
      </w:r>
      <w:r w:rsidRPr="00535039">
        <w:rPr>
          <w:rFonts w:hAnsi="標楷體"/>
          <w:szCs w:val="32"/>
        </w:rPr>
        <w:t>DEHP</w:t>
      </w:r>
      <w:r w:rsidRPr="00535039">
        <w:rPr>
          <w:rFonts w:hAnsi="標楷體" w:hint="eastAsia"/>
          <w:szCs w:val="32"/>
        </w:rPr>
        <w:t>）</w:t>
      </w:r>
      <w:r w:rsidRPr="00535039">
        <w:rPr>
          <w:rFonts w:hAnsi="標楷體"/>
        </w:rPr>
        <w:t>等6</w:t>
      </w:r>
      <w:r w:rsidRPr="00535039">
        <w:rPr>
          <w:rFonts w:hAnsi="標楷體" w:hint="eastAsia"/>
        </w:rPr>
        <w:t>項</w:t>
      </w:r>
      <w:r w:rsidRPr="00535039">
        <w:rPr>
          <w:rFonts w:hAnsi="標楷體"/>
        </w:rPr>
        <w:t>塑化劑</w:t>
      </w:r>
      <w:r w:rsidRPr="00535039">
        <w:rPr>
          <w:rFonts w:hAnsi="標楷體" w:hint="eastAsia"/>
        </w:rPr>
        <w:t>，</w:t>
      </w:r>
      <w:r w:rsidRPr="00535039">
        <w:rPr>
          <w:rFonts w:hAnsi="標楷體" w:hint="eastAsia"/>
        </w:rPr>
        <w:lastRenderedPageBreak/>
        <w:t>而我國食品器具容器包裝准許使用的塑化劑計8項，亦即</w:t>
      </w:r>
      <w:r w:rsidRPr="00535039">
        <w:rPr>
          <w:rFonts w:hAnsi="標楷體" w:hint="eastAsia"/>
          <w:u w:val="single"/>
        </w:rPr>
        <w:t>我國較日本增加DINP及DMP2項塑化劑的管理，且針對</w:t>
      </w:r>
      <w:r w:rsidRPr="00535039">
        <w:rPr>
          <w:rFonts w:hAnsi="標楷體"/>
          <w:u w:val="single"/>
        </w:rPr>
        <w:t>聚氯乙烯(PVC)材質</w:t>
      </w:r>
      <w:r w:rsidRPr="00535039">
        <w:rPr>
          <w:rFonts w:hAnsi="標楷體" w:hint="eastAsia"/>
          <w:u w:val="single"/>
        </w:rPr>
        <w:t>的器具容器包裝，我國尚</w:t>
      </w:r>
      <w:proofErr w:type="gramStart"/>
      <w:r w:rsidRPr="00535039">
        <w:rPr>
          <w:rFonts w:hAnsi="標楷體" w:hint="eastAsia"/>
          <w:u w:val="single"/>
        </w:rPr>
        <w:t>規定</w:t>
      </w:r>
      <w:r w:rsidRPr="00535039">
        <w:rPr>
          <w:rFonts w:hAnsi="標楷體" w:hint="eastAsia"/>
          <w:szCs w:val="32"/>
          <w:u w:val="single"/>
        </w:rPr>
        <w:t>鄰苯</w:t>
      </w:r>
      <w:proofErr w:type="gramEnd"/>
      <w:r w:rsidRPr="00535039">
        <w:rPr>
          <w:rFonts w:hAnsi="標楷體" w:hint="eastAsia"/>
          <w:szCs w:val="32"/>
          <w:u w:val="single"/>
        </w:rPr>
        <w:t>二甲酸二（</w:t>
      </w:r>
      <w:r w:rsidRPr="00535039">
        <w:rPr>
          <w:rFonts w:hAnsi="標楷體"/>
          <w:szCs w:val="32"/>
          <w:u w:val="single"/>
        </w:rPr>
        <w:t>2-</w:t>
      </w:r>
      <w:r w:rsidRPr="00535039">
        <w:rPr>
          <w:rFonts w:hAnsi="標楷體" w:hint="eastAsia"/>
          <w:szCs w:val="32"/>
          <w:u w:val="single"/>
        </w:rPr>
        <w:t>乙基己基）酯（</w:t>
      </w:r>
      <w:r w:rsidRPr="00535039">
        <w:rPr>
          <w:rFonts w:hAnsi="標楷體"/>
          <w:szCs w:val="32"/>
          <w:u w:val="single"/>
        </w:rPr>
        <w:t>DEHP</w:t>
      </w:r>
      <w:r w:rsidRPr="00535039">
        <w:rPr>
          <w:rFonts w:hAnsi="標楷體" w:hint="eastAsia"/>
          <w:szCs w:val="32"/>
          <w:u w:val="single"/>
        </w:rPr>
        <w:t>）等8項塑化劑的使用「總量」，</w:t>
      </w:r>
      <w:r w:rsidRPr="00535039">
        <w:rPr>
          <w:rFonts w:hAnsi="標楷體"/>
          <w:u w:val="single"/>
        </w:rPr>
        <w:t>不得超過0.1%，</w:t>
      </w:r>
      <w:r w:rsidRPr="00535039">
        <w:rPr>
          <w:rFonts w:hAnsi="標楷體" w:hint="eastAsia"/>
          <w:u w:val="single"/>
        </w:rPr>
        <w:t>較日本上開規定嚴格</w:t>
      </w:r>
      <w:r w:rsidRPr="00535039">
        <w:rPr>
          <w:rFonts w:hAnsi="標楷體" w:hint="eastAsia"/>
        </w:rPr>
        <w:t>；</w:t>
      </w:r>
      <w:proofErr w:type="gramStart"/>
      <w:r w:rsidRPr="00535039">
        <w:rPr>
          <w:rFonts w:hAnsi="標楷體" w:hint="eastAsia"/>
        </w:rPr>
        <w:t>此外，</w:t>
      </w:r>
      <w:proofErr w:type="gramEnd"/>
      <w:r w:rsidRPr="00535039">
        <w:rPr>
          <w:rFonts w:hAnsi="標楷體" w:hint="eastAsia"/>
        </w:rPr>
        <w:t>韓國早於2007年即</w:t>
      </w:r>
      <w:proofErr w:type="gramStart"/>
      <w:r w:rsidRPr="00535039">
        <w:rPr>
          <w:rFonts w:hAnsi="標楷體" w:hint="eastAsia"/>
        </w:rPr>
        <w:t>規範</w:t>
      </w:r>
      <w:r w:rsidRPr="00535039">
        <w:rPr>
          <w:rFonts w:hAnsi="標楷體" w:hint="eastAsia"/>
          <w:szCs w:val="32"/>
        </w:rPr>
        <w:t>鄰苯</w:t>
      </w:r>
      <w:proofErr w:type="gramEnd"/>
      <w:r w:rsidRPr="00535039">
        <w:rPr>
          <w:rFonts w:hAnsi="標楷體" w:hint="eastAsia"/>
          <w:szCs w:val="32"/>
        </w:rPr>
        <w:t>二甲酸二（</w:t>
      </w:r>
      <w:r w:rsidRPr="00535039">
        <w:rPr>
          <w:rFonts w:hAnsi="標楷體"/>
          <w:szCs w:val="32"/>
        </w:rPr>
        <w:t>2-</w:t>
      </w:r>
      <w:r w:rsidRPr="00535039">
        <w:rPr>
          <w:rFonts w:hAnsi="標楷體" w:hint="eastAsia"/>
          <w:szCs w:val="32"/>
        </w:rPr>
        <w:t>乙基己基）酯（</w:t>
      </w:r>
      <w:r w:rsidRPr="00535039">
        <w:rPr>
          <w:rFonts w:hAnsi="標楷體"/>
          <w:szCs w:val="32"/>
        </w:rPr>
        <w:t>DEHP</w:t>
      </w:r>
      <w:r w:rsidRPr="00535039">
        <w:rPr>
          <w:rFonts w:hAnsi="標楷體" w:hint="eastAsia"/>
          <w:szCs w:val="32"/>
        </w:rPr>
        <w:t>）</w:t>
      </w:r>
      <w:r w:rsidRPr="00535039">
        <w:rPr>
          <w:rFonts w:hAnsi="標楷體"/>
        </w:rPr>
        <w:t>不得用於製造食品器具容器及包裝</w:t>
      </w:r>
      <w:r w:rsidRPr="00535039">
        <w:rPr>
          <w:rFonts w:hAnsi="標楷體" w:hint="eastAsia"/>
        </w:rPr>
        <w:t>。</w:t>
      </w:r>
    </w:p>
    <w:p w14:paraId="2F5EE9FC" w14:textId="7A62D159" w:rsidR="00634413" w:rsidRPr="00535039" w:rsidRDefault="000C69CB" w:rsidP="00634413">
      <w:pPr>
        <w:pStyle w:val="3"/>
        <w:rPr>
          <w:rFonts w:hAnsi="標楷體"/>
        </w:rPr>
      </w:pPr>
      <w:r w:rsidRPr="00535039">
        <w:rPr>
          <w:rFonts w:hAnsi="標楷體" w:hint="eastAsia"/>
        </w:rPr>
        <w:t>承前述，</w:t>
      </w:r>
      <w:r w:rsidR="00634413" w:rsidRPr="00535039">
        <w:rPr>
          <w:rFonts w:hAnsi="標楷體" w:hint="eastAsia"/>
        </w:rPr>
        <w:t>國際主要先進國家對於食品器具容器包裝</w:t>
      </w:r>
      <w:r w:rsidR="00634413" w:rsidRPr="00A236E3">
        <w:rPr>
          <w:rFonts w:hAnsi="標楷體" w:hint="eastAsia"/>
          <w:spacing w:val="-2"/>
        </w:rPr>
        <w:t>之塑化劑管制規範中，日本採用正面表列方式，限制各項塑化劑於器具容器包裝材質之「個別含量」，而我國除規範「個別含量」外，針對聚氯乙烯(PVC)材質，另有規定塑化劑「總量」限制，相較日本嚴格；</w:t>
      </w:r>
      <w:proofErr w:type="gramStart"/>
      <w:r w:rsidR="00634413" w:rsidRPr="00A236E3">
        <w:rPr>
          <w:rFonts w:hAnsi="標楷體" w:hint="eastAsia"/>
          <w:spacing w:val="-2"/>
        </w:rPr>
        <w:t>惟</w:t>
      </w:r>
      <w:proofErr w:type="gramEnd"/>
      <w:r w:rsidR="00634413" w:rsidRPr="00A236E3">
        <w:rPr>
          <w:rFonts w:hAnsi="標楷體" w:hint="eastAsia"/>
          <w:spacing w:val="-2"/>
        </w:rPr>
        <w:t>歐盟於2023年下</w:t>
      </w:r>
      <w:proofErr w:type="gramStart"/>
      <w:r w:rsidR="00634413" w:rsidRPr="00A236E3">
        <w:rPr>
          <w:rFonts w:hAnsi="標楷體" w:hint="eastAsia"/>
          <w:spacing w:val="-2"/>
        </w:rPr>
        <w:t>修鄰苯</w:t>
      </w:r>
      <w:proofErr w:type="gramEnd"/>
      <w:r w:rsidR="00634413" w:rsidRPr="00A236E3">
        <w:rPr>
          <w:rFonts w:hAnsi="標楷體" w:hint="eastAsia"/>
          <w:spacing w:val="-2"/>
        </w:rPr>
        <w:t>二甲酸二</w:t>
      </w:r>
      <w:proofErr w:type="gramStart"/>
      <w:r w:rsidR="00634413" w:rsidRPr="00A236E3">
        <w:rPr>
          <w:rFonts w:hAnsi="標楷體" w:hint="eastAsia"/>
          <w:spacing w:val="-2"/>
        </w:rPr>
        <w:t>丁酯(</w:t>
      </w:r>
      <w:proofErr w:type="gramEnd"/>
      <w:r w:rsidR="00634413" w:rsidRPr="00A236E3">
        <w:rPr>
          <w:rFonts w:hAnsi="標楷體" w:hint="eastAsia"/>
          <w:spacing w:val="-2"/>
        </w:rPr>
        <w:t>DBP)等6項塑化劑的遷移限量，美國亦於2024年大幅</w:t>
      </w:r>
      <w:proofErr w:type="gramStart"/>
      <w:r w:rsidR="00634413" w:rsidRPr="00A236E3">
        <w:rPr>
          <w:rFonts w:hAnsi="標楷體" w:hint="eastAsia"/>
          <w:spacing w:val="-2"/>
        </w:rPr>
        <w:t>刪除鄰苯</w:t>
      </w:r>
      <w:proofErr w:type="gramEnd"/>
      <w:r w:rsidR="00634413" w:rsidRPr="00A236E3">
        <w:rPr>
          <w:rFonts w:hAnsi="標楷體" w:hint="eastAsia"/>
          <w:spacing w:val="-2"/>
        </w:rPr>
        <w:t>二甲</w:t>
      </w:r>
      <w:proofErr w:type="gramStart"/>
      <w:r w:rsidR="00634413" w:rsidRPr="00A236E3">
        <w:rPr>
          <w:rFonts w:hAnsi="標楷體" w:hint="eastAsia"/>
          <w:spacing w:val="-2"/>
        </w:rPr>
        <w:t>酸丁苯甲酯(</w:t>
      </w:r>
      <w:proofErr w:type="gramEnd"/>
      <w:r w:rsidR="00634413" w:rsidRPr="00A236E3">
        <w:rPr>
          <w:rFonts w:hAnsi="標楷體" w:hint="eastAsia"/>
          <w:spacing w:val="-2"/>
        </w:rPr>
        <w:t>BBP)等25項供為「</w:t>
      </w:r>
      <w:proofErr w:type="gramStart"/>
      <w:r w:rsidR="00634413" w:rsidRPr="00A236E3">
        <w:rPr>
          <w:rFonts w:hAnsi="標楷體" w:hint="eastAsia"/>
          <w:spacing w:val="-2"/>
        </w:rPr>
        <w:t>增塑劑</w:t>
      </w:r>
      <w:proofErr w:type="gramEnd"/>
      <w:r w:rsidR="00634413" w:rsidRPr="00A236E3">
        <w:rPr>
          <w:rFonts w:hAnsi="標楷體" w:hint="eastAsia"/>
          <w:spacing w:val="-2"/>
        </w:rPr>
        <w:t>(plasticizer)」用途之塑化劑，而韓國早於2007年即限制</w:t>
      </w:r>
      <w:proofErr w:type="gramStart"/>
      <w:r w:rsidR="009A02C5" w:rsidRPr="00A236E3">
        <w:rPr>
          <w:rFonts w:hAnsi="標楷體" w:hint="eastAsia"/>
          <w:spacing w:val="-2"/>
        </w:rPr>
        <w:t>使用</w:t>
      </w:r>
      <w:r w:rsidR="00634413" w:rsidRPr="00A236E3">
        <w:rPr>
          <w:rFonts w:hAnsi="標楷體" w:hint="eastAsia"/>
          <w:spacing w:val="-2"/>
        </w:rPr>
        <w:t>鄰苯</w:t>
      </w:r>
      <w:proofErr w:type="gramEnd"/>
      <w:r w:rsidR="00634413" w:rsidRPr="00A236E3">
        <w:rPr>
          <w:rFonts w:hAnsi="標楷體" w:hint="eastAsia"/>
          <w:spacing w:val="-2"/>
        </w:rPr>
        <w:t>二甲酸二（2-乙基己基）酯（DEHP），我國卻仍准許</w:t>
      </w:r>
      <w:r w:rsidR="009A02C5" w:rsidRPr="00A236E3">
        <w:rPr>
          <w:rFonts w:hAnsi="標楷體" w:hint="eastAsia"/>
          <w:spacing w:val="-2"/>
        </w:rPr>
        <w:t>使用</w:t>
      </w:r>
      <w:r w:rsidR="00634413" w:rsidRPr="00A236E3">
        <w:rPr>
          <w:rFonts w:hAnsi="標楷體" w:hint="eastAsia"/>
          <w:spacing w:val="-2"/>
        </w:rPr>
        <w:t>，</w:t>
      </w:r>
      <w:proofErr w:type="gramStart"/>
      <w:r w:rsidR="00634413" w:rsidRPr="00A236E3">
        <w:rPr>
          <w:rFonts w:hAnsi="標楷體" w:hint="eastAsia"/>
          <w:spacing w:val="-2"/>
        </w:rPr>
        <w:t>且衛福部</w:t>
      </w:r>
      <w:proofErr w:type="gramEnd"/>
      <w:r w:rsidR="00634413" w:rsidRPr="00A236E3">
        <w:rPr>
          <w:rFonts w:hAnsi="標楷體" w:hint="eastAsia"/>
          <w:spacing w:val="-2"/>
        </w:rPr>
        <w:t>「食品器具容器包裝衛生標準」關於塑化劑管理規定，自101年9月21日後即未有相關檢討，</w:t>
      </w:r>
      <w:r w:rsidR="009A02C5" w:rsidRPr="00A236E3">
        <w:rPr>
          <w:rFonts w:hAnsi="標楷體" w:hint="eastAsia"/>
          <w:spacing w:val="-2"/>
        </w:rPr>
        <w:t>顯難與國際同步管制，</w:t>
      </w:r>
      <w:proofErr w:type="gramStart"/>
      <w:r w:rsidR="009A02C5" w:rsidRPr="00A236E3">
        <w:rPr>
          <w:rFonts w:hAnsi="標楷體" w:hint="eastAsia"/>
          <w:spacing w:val="-2"/>
        </w:rPr>
        <w:t>該署</w:t>
      </w:r>
      <w:r w:rsidR="00634413" w:rsidRPr="00A236E3">
        <w:rPr>
          <w:rFonts w:hAnsi="標楷體" w:hint="eastAsia"/>
          <w:spacing w:val="-2"/>
        </w:rPr>
        <w:t>實應</w:t>
      </w:r>
      <w:proofErr w:type="gramEnd"/>
      <w:r w:rsidR="00634413" w:rsidRPr="00A236E3">
        <w:rPr>
          <w:rFonts w:hAnsi="標楷體" w:hint="eastAsia"/>
          <w:spacing w:val="-2"/>
        </w:rPr>
        <w:t>正視國際間針對塑化劑最新風險評估及管制動態，重新</w:t>
      </w:r>
      <w:r w:rsidR="00990FE1" w:rsidRPr="00A236E3">
        <w:rPr>
          <w:rFonts w:hAnsi="標楷體" w:hint="eastAsia"/>
          <w:spacing w:val="-2"/>
        </w:rPr>
        <w:t>審視</w:t>
      </w:r>
      <w:r w:rsidR="00634413" w:rsidRPr="00A236E3">
        <w:rPr>
          <w:rFonts w:hAnsi="標楷體" w:hint="eastAsia"/>
          <w:spacing w:val="-2"/>
        </w:rPr>
        <w:t>我國現行相關規範，以期保障國人飲食安全。</w:t>
      </w:r>
    </w:p>
    <w:p w14:paraId="59F67457" w14:textId="035FB2B2" w:rsidR="000C69CB" w:rsidRPr="009A02C5" w:rsidRDefault="004852CB" w:rsidP="000C69CB">
      <w:pPr>
        <w:pStyle w:val="2"/>
        <w:numPr>
          <w:ilvl w:val="1"/>
          <w:numId w:val="1"/>
        </w:numPr>
        <w:ind w:left="993"/>
        <w:rPr>
          <w:rFonts w:hAnsi="標楷體"/>
          <w:b/>
          <w:bCs w:val="0"/>
          <w:spacing w:val="-4"/>
        </w:rPr>
      </w:pPr>
      <w:r w:rsidRPr="009A02C5">
        <w:rPr>
          <w:rFonts w:hAnsi="標楷體" w:hint="eastAsia"/>
          <w:b/>
          <w:bCs w:val="0"/>
          <w:spacing w:val="-4"/>
        </w:rPr>
        <w:t>基</w:t>
      </w:r>
      <w:r w:rsidR="00A236E3" w:rsidRPr="00A236E3">
        <w:rPr>
          <w:rFonts w:hAnsi="標楷體" w:hint="eastAsia"/>
          <w:b/>
          <w:bCs w:val="0"/>
          <w:spacing w:val="-4"/>
        </w:rPr>
        <w:t>於塑膠手套常藉由添加塑化劑，以使材質更為柔軟適用，為瞭解國內市售家庭用塑膠手套含塑化劑情形，標準局於113年5月及114年6月進行2次檢測，結果不合格率高達七成以上，甚有超標達460倍之情事，由於塑膠手套使用者多為需長時穿戴之工作者，長期使用造成健康風險，且該等不合格商品之</w:t>
      </w:r>
      <w:proofErr w:type="gramStart"/>
      <w:r w:rsidR="00A236E3" w:rsidRPr="00A236E3">
        <w:rPr>
          <w:rFonts w:hAnsi="標楷體" w:hint="eastAsia"/>
          <w:b/>
          <w:bCs w:val="0"/>
          <w:spacing w:val="-4"/>
        </w:rPr>
        <w:t>產地均為中國</w:t>
      </w:r>
      <w:proofErr w:type="gramEnd"/>
      <w:r w:rsidR="00A236E3" w:rsidRPr="00A236E3">
        <w:rPr>
          <w:rFonts w:hAnsi="標楷體" w:hint="eastAsia"/>
          <w:b/>
          <w:bCs w:val="0"/>
          <w:spacing w:val="-4"/>
        </w:rPr>
        <w:t>，</w:t>
      </w:r>
      <w:r w:rsidR="00A236E3" w:rsidRPr="005B1ADC">
        <w:rPr>
          <w:rFonts w:hAnsi="標楷體" w:hint="eastAsia"/>
          <w:b/>
          <w:bCs w:val="0"/>
          <w:spacing w:val="-4"/>
        </w:rPr>
        <w:t>卻因塑膠手套非屬</w:t>
      </w:r>
      <w:r w:rsidR="00BF1392" w:rsidRPr="005B1ADC">
        <w:rPr>
          <w:rFonts w:hAnsi="標楷體" w:hint="eastAsia"/>
          <w:b/>
          <w:bCs w:val="0"/>
          <w:spacing w:val="-4"/>
        </w:rPr>
        <w:t>我國</w:t>
      </w:r>
      <w:r w:rsidR="00A236E3" w:rsidRPr="005B1ADC">
        <w:rPr>
          <w:rFonts w:hAnsi="標楷體" w:hint="eastAsia"/>
          <w:b/>
          <w:bCs w:val="0"/>
          <w:spacing w:val="-4"/>
        </w:rPr>
        <w:t>商品檢驗法所公告之「應施檢驗商品」，</w:t>
      </w:r>
      <w:r w:rsidR="00A236E3" w:rsidRPr="005B1ADC">
        <w:rPr>
          <w:rFonts w:hAnsi="標楷體" w:hint="eastAsia"/>
          <w:b/>
          <w:bCs w:val="0"/>
          <w:spacing w:val="-4"/>
        </w:rPr>
        <w:lastRenderedPageBreak/>
        <w:t>致長期以來未能列入邊境抽查對象，影</w:t>
      </w:r>
      <w:r w:rsidR="00A236E3" w:rsidRPr="00A236E3">
        <w:rPr>
          <w:rFonts w:hAnsi="標楷體" w:hint="eastAsia"/>
          <w:b/>
          <w:bCs w:val="0"/>
          <w:spacing w:val="-4"/>
        </w:rPr>
        <w:t>響消費者使用安全甚</w:t>
      </w:r>
      <w:proofErr w:type="gramStart"/>
      <w:r w:rsidR="00A236E3" w:rsidRPr="00A236E3">
        <w:rPr>
          <w:rFonts w:hAnsi="標楷體" w:hint="eastAsia"/>
          <w:b/>
          <w:bCs w:val="0"/>
          <w:spacing w:val="-4"/>
        </w:rPr>
        <w:t>鉅</w:t>
      </w:r>
      <w:proofErr w:type="gramEnd"/>
      <w:r w:rsidR="00A236E3" w:rsidRPr="00A236E3">
        <w:rPr>
          <w:rFonts w:hAnsi="標楷體" w:hint="eastAsia"/>
          <w:b/>
          <w:bCs w:val="0"/>
          <w:spacing w:val="-4"/>
        </w:rPr>
        <w:t>，亟待該局檢討改善。</w:t>
      </w:r>
    </w:p>
    <w:p w14:paraId="5EDA0485" w14:textId="4CA8D5C0" w:rsidR="000C69CB" w:rsidRPr="00535039" w:rsidRDefault="000C69CB" w:rsidP="000C69CB">
      <w:pPr>
        <w:pStyle w:val="3"/>
        <w:numPr>
          <w:ilvl w:val="2"/>
          <w:numId w:val="1"/>
        </w:numPr>
        <w:ind w:left="1361"/>
        <w:rPr>
          <w:rFonts w:hAnsi="標楷體"/>
        </w:rPr>
      </w:pPr>
      <w:r w:rsidRPr="00535039">
        <w:rPr>
          <w:rFonts w:hAnsi="標楷體" w:hint="eastAsia"/>
        </w:rPr>
        <w:t>按商品檢驗法第3條、第5條及第6條分別規定：「下列商品，經標準檢驗局指定公告種類、品目或輸往地區者，應依本法執行檢驗：一、在國內生產、製造或加工之農工礦商品。二、向國外輸出之農工礦商品。三、向國內輸入之農工礦商品。」、「(第1項)商品檢驗執行之方式，分為逐批檢驗、監視查驗、驗證登錄及符合性聲明四種。(第2項)各種商品之檢驗方式，由標準檢驗局公告之。」、「(第1項)應施檢驗之商品，未符合檢驗規定者，不得運出廠場或輸出入。但經標準檢驗局認定危害風險性低之商品，不在此限</w:t>
      </w:r>
      <w:r w:rsidR="00D14A2C" w:rsidRPr="00535039">
        <w:rPr>
          <w:rFonts w:hAnsi="標楷體"/>
        </w:rPr>
        <w:t>…</w:t>
      </w:r>
      <w:proofErr w:type="gramStart"/>
      <w:r w:rsidR="00D14A2C" w:rsidRPr="00535039">
        <w:rPr>
          <w:rFonts w:hAnsi="標楷體"/>
        </w:rPr>
        <w:t>…</w:t>
      </w:r>
      <w:proofErr w:type="gramEnd"/>
      <w:r w:rsidRPr="00535039">
        <w:rPr>
          <w:rFonts w:hAnsi="標楷體" w:hint="eastAsia"/>
        </w:rPr>
        <w:t>。(第2項)未符合檢驗規定之應施檢驗商品，銷售者不得陳列或銷售。」次按商品檢驗法施行細則第2條規定：「經濟部標準檢驗局依本法第3條規定指定公告前，得對應施檢驗商品之訂定、修正、廢止或其他重大檢驗事項之公告作業先辦理審議。」基此，標準局為促使商品符合安全及衛生標準，對於可能造成消費者危害性之一般消費性商品，得就商品特性及國際管理作法等因素進行風險評估後，公告為「應施檢驗商品」，據以要求輸入或國內產製出廠前須符合該局訂定之檢驗規定，方能於市場上銷售。</w:t>
      </w:r>
    </w:p>
    <w:p w14:paraId="6CEC5721" w14:textId="508988B9" w:rsidR="000C69CB" w:rsidRPr="00535039" w:rsidRDefault="000C69CB" w:rsidP="00C1455A">
      <w:pPr>
        <w:pStyle w:val="3"/>
        <w:numPr>
          <w:ilvl w:val="2"/>
          <w:numId w:val="1"/>
        </w:numPr>
        <w:ind w:left="1361" w:hanging="703"/>
        <w:rPr>
          <w:rFonts w:hAnsi="標楷體"/>
        </w:rPr>
      </w:pPr>
      <w:r w:rsidRPr="00535039">
        <w:rPr>
          <w:rFonts w:hAnsi="標楷體" w:hint="eastAsia"/>
        </w:rPr>
        <w:t>行政院消保處為保護國民消費者權益，</w:t>
      </w:r>
      <w:proofErr w:type="gramStart"/>
      <w:r w:rsidRPr="00535039">
        <w:rPr>
          <w:rFonts w:hAnsi="標楷體" w:hint="eastAsia"/>
        </w:rPr>
        <w:t>每年均擇定</w:t>
      </w:r>
      <w:r w:rsidR="00D14A2C" w:rsidRPr="00535039">
        <w:rPr>
          <w:rFonts w:hAnsi="標楷體" w:hint="eastAsia"/>
        </w:rPr>
        <w:t>數</w:t>
      </w:r>
      <w:proofErr w:type="gramEnd"/>
      <w:r w:rsidRPr="00535039">
        <w:rPr>
          <w:rFonts w:hAnsi="標楷體" w:hint="eastAsia"/>
        </w:rPr>
        <w:t>項專案，針對市售商品進行品質檢測及標示查核，以瞭解市售商品之品質安全及標示落實情形，該處於113年2月</w:t>
      </w:r>
      <w:r w:rsidRPr="00535039">
        <w:rPr>
          <w:rFonts w:hAnsi="標楷體" w:hint="eastAsia"/>
          <w:szCs w:val="32"/>
        </w:rPr>
        <w:t>至3月間辦理「市售家庭用手套品質檢測及標示查核」，</w:t>
      </w:r>
      <w:proofErr w:type="gramStart"/>
      <w:r w:rsidRPr="00535039">
        <w:rPr>
          <w:rFonts w:hAnsi="標楷體" w:hint="eastAsia"/>
          <w:szCs w:val="32"/>
        </w:rPr>
        <w:t>採</w:t>
      </w:r>
      <w:proofErr w:type="gramEnd"/>
      <w:r w:rsidRPr="00535039">
        <w:rPr>
          <w:rFonts w:hAnsi="標楷體" w:hint="eastAsia"/>
        </w:rPr>
        <w:t>樣24件市售家庭用手套進行檢測（家庭用橡膠手套及塑膠手套各12件），其中塑化劑含量未符合規定者計4件，</w:t>
      </w:r>
      <w:proofErr w:type="gramStart"/>
      <w:r w:rsidRPr="00535039">
        <w:rPr>
          <w:rFonts w:hAnsi="標楷體" w:hint="eastAsia"/>
        </w:rPr>
        <w:t>產地均為</w:t>
      </w:r>
      <w:r w:rsidR="00C1455A" w:rsidRPr="00535039">
        <w:rPr>
          <w:rFonts w:hAnsi="標楷體" w:hint="eastAsia"/>
        </w:rPr>
        <w:t>中國</w:t>
      </w:r>
      <w:proofErr w:type="gramEnd"/>
      <w:r w:rsidRPr="00535039">
        <w:rPr>
          <w:rFonts w:hAnsi="標楷體" w:hint="eastAsia"/>
        </w:rPr>
        <w:t>，以</w:t>
      </w:r>
      <w:r w:rsidRPr="00535039">
        <w:rPr>
          <w:rFonts w:hAnsi="標楷體" w:hint="eastAsia"/>
        </w:rPr>
        <w:lastRenderedPageBreak/>
        <w:t>○○</w:t>
      </w:r>
      <w:proofErr w:type="gramStart"/>
      <w:r w:rsidRPr="00535039">
        <w:rPr>
          <w:rFonts w:hAnsi="標楷體" w:hint="eastAsia"/>
        </w:rPr>
        <w:t>磨砂款清潔</w:t>
      </w:r>
      <w:proofErr w:type="gramEnd"/>
      <w:r w:rsidRPr="00535039">
        <w:rPr>
          <w:rFonts w:hAnsi="標楷體" w:hint="eastAsia"/>
        </w:rPr>
        <w:t>手套之塑化劑超標316倍最嚴重，該處移請標準局依權責</w:t>
      </w:r>
      <w:proofErr w:type="gramStart"/>
      <w:r w:rsidRPr="00535039">
        <w:rPr>
          <w:rFonts w:hAnsi="標楷體" w:hint="eastAsia"/>
        </w:rPr>
        <w:t>賡</w:t>
      </w:r>
      <w:proofErr w:type="gramEnd"/>
      <w:r w:rsidRPr="00535039">
        <w:rPr>
          <w:rFonts w:hAnsi="標楷體" w:hint="eastAsia"/>
        </w:rPr>
        <w:t>續查處。</w:t>
      </w:r>
    </w:p>
    <w:p w14:paraId="41D76DA5" w14:textId="42575EBC" w:rsidR="000C69CB" w:rsidRPr="00535039" w:rsidRDefault="000C69CB" w:rsidP="000C69CB">
      <w:pPr>
        <w:pStyle w:val="3"/>
        <w:numPr>
          <w:ilvl w:val="2"/>
          <w:numId w:val="1"/>
        </w:numPr>
        <w:ind w:left="1361"/>
        <w:rPr>
          <w:rFonts w:hAnsi="標楷體"/>
        </w:rPr>
      </w:pPr>
      <w:r w:rsidRPr="00535039">
        <w:rPr>
          <w:rFonts w:hAnsi="標楷體" w:hint="eastAsia"/>
        </w:rPr>
        <w:t>標準局基於113年2月</w:t>
      </w:r>
      <w:r w:rsidRPr="00535039">
        <w:rPr>
          <w:rFonts w:hAnsi="標楷體" w:hint="eastAsia"/>
          <w:szCs w:val="32"/>
        </w:rPr>
        <w:t>「市售家庭用手套品質檢測及標示查核」結果</w:t>
      </w:r>
      <w:r w:rsidRPr="00535039">
        <w:rPr>
          <w:rFonts w:hAnsi="標楷體" w:hint="eastAsia"/>
        </w:rPr>
        <w:t>，為蒐集更多科學證據，作為評估是否納入「應施檢驗商品」</w:t>
      </w:r>
      <w:proofErr w:type="gramStart"/>
      <w:r w:rsidRPr="00535039">
        <w:rPr>
          <w:rFonts w:hAnsi="標楷體" w:hint="eastAsia"/>
        </w:rPr>
        <w:t>之參據</w:t>
      </w:r>
      <w:proofErr w:type="gramEnd"/>
      <w:r w:rsidRPr="00535039">
        <w:rPr>
          <w:rFonts w:hAnsi="標楷體" w:hint="eastAsia"/>
        </w:rPr>
        <w:t>，再於113年5月辦理家庭用聚氯乙烯塑膠手套市場檢測，共計購樣11件，並依據CNS 6632</w:t>
      </w:r>
      <w:r w:rsidRPr="00535039">
        <w:rPr>
          <w:rStyle w:val="afe"/>
          <w:rFonts w:hAnsi="標楷體"/>
        </w:rPr>
        <w:footnoteReference w:id="34"/>
      </w:r>
      <w:r w:rsidRPr="00535039">
        <w:rPr>
          <w:rFonts w:hAnsi="標楷體" w:hint="eastAsia"/>
        </w:rPr>
        <w:t>進行塑化劑含量檢測及查核中文標示，結果高達8件商品其塑化劑含量不符合規定(</w:t>
      </w:r>
      <w:proofErr w:type="gramStart"/>
      <w:r w:rsidRPr="00535039">
        <w:rPr>
          <w:rFonts w:hAnsi="標楷體" w:hint="eastAsia"/>
        </w:rPr>
        <w:t>詳表</w:t>
      </w:r>
      <w:proofErr w:type="gramEnd"/>
      <w:r w:rsidR="00A57236">
        <w:rPr>
          <w:rFonts w:hAnsi="標楷體" w:hint="eastAsia"/>
        </w:rPr>
        <w:t>5</w:t>
      </w:r>
      <w:r w:rsidRPr="00535039">
        <w:rPr>
          <w:rFonts w:hAnsi="標楷體" w:hint="eastAsia"/>
        </w:rPr>
        <w:t>)，不合格率計73%，且超標達200倍以上者計5件，</w:t>
      </w:r>
      <w:proofErr w:type="gramStart"/>
      <w:r w:rsidRPr="00535039">
        <w:rPr>
          <w:rFonts w:hAnsi="標楷體" w:hint="eastAsia"/>
        </w:rPr>
        <w:t>產地均為</w:t>
      </w:r>
      <w:r w:rsidR="00C1455A" w:rsidRPr="00535039">
        <w:rPr>
          <w:rFonts w:hAnsi="標楷體" w:hint="eastAsia"/>
        </w:rPr>
        <w:t>中國</w:t>
      </w:r>
      <w:proofErr w:type="gramEnd"/>
      <w:r w:rsidRPr="00535039">
        <w:rPr>
          <w:rFonts w:hAnsi="標楷體" w:hint="eastAsia"/>
        </w:rPr>
        <w:t>；另商品未依商品標示法規定正確標示者計9件。</w:t>
      </w:r>
    </w:p>
    <w:p w14:paraId="00963913" w14:textId="77777777" w:rsidR="000C69CB" w:rsidRPr="00535039" w:rsidRDefault="000C69CB" w:rsidP="000C69CB">
      <w:pPr>
        <w:pStyle w:val="3"/>
        <w:numPr>
          <w:ilvl w:val="0"/>
          <w:numId w:val="0"/>
        </w:numPr>
        <w:ind w:left="1361"/>
        <w:rPr>
          <w:rFonts w:hAnsi="標楷體"/>
        </w:rPr>
      </w:pPr>
    </w:p>
    <w:p w14:paraId="1E18311F" w14:textId="29257E49" w:rsidR="000C69CB" w:rsidRPr="00535039" w:rsidRDefault="000C69CB" w:rsidP="000C69CB">
      <w:pPr>
        <w:pStyle w:val="a3"/>
        <w:spacing w:before="0" w:after="0"/>
        <w:ind w:left="1148" w:hanging="672"/>
        <w:rPr>
          <w:rFonts w:hAnsi="標楷體"/>
        </w:rPr>
      </w:pPr>
      <w:r w:rsidRPr="00535039">
        <w:rPr>
          <w:rFonts w:hAnsi="標楷體" w:hint="eastAsia"/>
        </w:rPr>
        <w:t>標準局113年5月</w:t>
      </w:r>
      <w:r w:rsidR="00211879" w:rsidRPr="00535039">
        <w:rPr>
          <w:rFonts w:hAnsi="標楷體" w:hint="eastAsia"/>
        </w:rPr>
        <w:t>辦理</w:t>
      </w:r>
      <w:r w:rsidRPr="00535039">
        <w:rPr>
          <w:rFonts w:hAnsi="標楷體" w:hint="eastAsia"/>
        </w:rPr>
        <w:t>「家庭用聚氯乙烯塑膠手套」專案市場購樣檢測塑化劑含量不合格結果彙整表</w:t>
      </w: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9"/>
        <w:gridCol w:w="2010"/>
        <w:gridCol w:w="1134"/>
        <w:gridCol w:w="5240"/>
      </w:tblGrid>
      <w:tr w:rsidR="007E5433" w:rsidRPr="00535039" w14:paraId="7655183B" w14:textId="77777777" w:rsidTr="009A02C5">
        <w:trPr>
          <w:cantSplit/>
          <w:trHeight w:val="533"/>
          <w:tblHeader/>
          <w:jc w:val="center"/>
        </w:trPr>
        <w:tc>
          <w:tcPr>
            <w:tcW w:w="679" w:type="dxa"/>
            <w:vAlign w:val="center"/>
          </w:tcPr>
          <w:p w14:paraId="212133FA" w14:textId="77777777" w:rsidR="000C69CB" w:rsidRPr="00535039" w:rsidRDefault="000C69CB" w:rsidP="00B57C1C">
            <w:pPr>
              <w:pStyle w:val="xl28"/>
              <w:widowControl w:val="0"/>
              <w:pBdr>
                <w:left w:val="none" w:sz="0" w:space="0" w:color="auto"/>
                <w:bottom w:val="none" w:sz="0" w:space="0" w:color="auto"/>
                <w:right w:val="none" w:sz="0" w:space="0" w:color="auto"/>
              </w:pBdr>
              <w:spacing w:before="0" w:after="0"/>
              <w:ind w:left="450" w:hanging="450"/>
              <w:rPr>
                <w:rFonts w:ascii="標楷體" w:eastAsia="標楷體" w:hAnsi="標楷體"/>
                <w:bCs/>
                <w:kern w:val="2"/>
                <w:sz w:val="28"/>
                <w:szCs w:val="28"/>
              </w:rPr>
            </w:pPr>
            <w:r w:rsidRPr="00535039">
              <w:rPr>
                <w:rFonts w:ascii="標楷體" w:eastAsia="標楷體" w:hAnsi="標楷體" w:hint="eastAsia"/>
                <w:bCs/>
                <w:kern w:val="2"/>
                <w:sz w:val="28"/>
                <w:szCs w:val="28"/>
              </w:rPr>
              <w:t>項次</w:t>
            </w:r>
          </w:p>
        </w:tc>
        <w:tc>
          <w:tcPr>
            <w:tcW w:w="2010" w:type="dxa"/>
            <w:vAlign w:val="center"/>
          </w:tcPr>
          <w:p w14:paraId="11D3C844" w14:textId="77777777" w:rsidR="000C69CB" w:rsidRPr="00535039" w:rsidRDefault="000C69CB" w:rsidP="00B57C1C">
            <w:pPr>
              <w:jc w:val="center"/>
              <w:rPr>
                <w:rFonts w:hAnsi="標楷體"/>
                <w:bCs/>
                <w:sz w:val="28"/>
                <w:szCs w:val="28"/>
              </w:rPr>
            </w:pPr>
            <w:r w:rsidRPr="00535039">
              <w:rPr>
                <w:rFonts w:hAnsi="標楷體" w:hint="eastAsia"/>
                <w:bCs/>
                <w:sz w:val="28"/>
                <w:szCs w:val="28"/>
              </w:rPr>
              <w:t>品名</w:t>
            </w:r>
          </w:p>
        </w:tc>
        <w:tc>
          <w:tcPr>
            <w:tcW w:w="1134" w:type="dxa"/>
            <w:vAlign w:val="center"/>
          </w:tcPr>
          <w:p w14:paraId="04B68AA6" w14:textId="77777777" w:rsidR="000C69CB" w:rsidRPr="00535039" w:rsidRDefault="000C69CB" w:rsidP="00B57C1C">
            <w:pPr>
              <w:ind w:left="-43" w:rightChars="-10" w:right="-34"/>
              <w:jc w:val="center"/>
              <w:rPr>
                <w:rFonts w:hAnsi="標楷體"/>
                <w:bCs/>
                <w:sz w:val="28"/>
                <w:szCs w:val="28"/>
              </w:rPr>
            </w:pPr>
            <w:r w:rsidRPr="00535039">
              <w:rPr>
                <w:rFonts w:hAnsi="標楷體" w:hint="eastAsia"/>
                <w:bCs/>
                <w:sz w:val="28"/>
                <w:szCs w:val="28"/>
              </w:rPr>
              <w:t>產地</w:t>
            </w:r>
          </w:p>
        </w:tc>
        <w:tc>
          <w:tcPr>
            <w:tcW w:w="5240" w:type="dxa"/>
            <w:vAlign w:val="center"/>
          </w:tcPr>
          <w:p w14:paraId="69F1A508" w14:textId="77777777" w:rsidR="000C69CB" w:rsidRPr="00535039" w:rsidRDefault="000C69CB" w:rsidP="00B57C1C">
            <w:pPr>
              <w:jc w:val="center"/>
              <w:rPr>
                <w:rFonts w:hAnsi="標楷體"/>
                <w:bCs/>
                <w:sz w:val="28"/>
                <w:szCs w:val="28"/>
              </w:rPr>
            </w:pPr>
            <w:r w:rsidRPr="00535039">
              <w:rPr>
                <w:rFonts w:hAnsi="標楷體" w:hint="eastAsia"/>
                <w:bCs/>
                <w:sz w:val="28"/>
                <w:szCs w:val="28"/>
              </w:rPr>
              <w:t>品質項目檢測結果</w:t>
            </w:r>
          </w:p>
        </w:tc>
      </w:tr>
      <w:tr w:rsidR="007E5433" w:rsidRPr="00535039" w14:paraId="772226B0" w14:textId="77777777" w:rsidTr="009A02C5">
        <w:trPr>
          <w:cantSplit/>
          <w:trHeight w:val="20"/>
          <w:jc w:val="center"/>
        </w:trPr>
        <w:tc>
          <w:tcPr>
            <w:tcW w:w="679" w:type="dxa"/>
            <w:vAlign w:val="center"/>
          </w:tcPr>
          <w:p w14:paraId="398F7C61" w14:textId="77777777" w:rsidR="000C69CB" w:rsidRPr="00535039" w:rsidRDefault="000C69CB" w:rsidP="00B57C1C">
            <w:pPr>
              <w:pStyle w:val="xl28"/>
              <w:widowControl w:val="0"/>
              <w:pBdr>
                <w:left w:val="none" w:sz="0" w:space="0" w:color="auto"/>
                <w:bottom w:val="none" w:sz="0" w:space="0" w:color="auto"/>
                <w:right w:val="none" w:sz="0" w:space="0" w:color="auto"/>
              </w:pBdr>
              <w:spacing w:before="0" w:after="0"/>
              <w:ind w:left="450" w:hanging="450"/>
              <w:rPr>
                <w:rFonts w:ascii="標楷體" w:eastAsia="標楷體" w:hAnsi="標楷體"/>
                <w:bCs/>
                <w:kern w:val="2"/>
                <w:sz w:val="28"/>
                <w:szCs w:val="28"/>
              </w:rPr>
            </w:pPr>
            <w:r w:rsidRPr="00535039">
              <w:rPr>
                <w:rFonts w:ascii="標楷體" w:eastAsia="標楷體" w:hAnsi="標楷體"/>
                <w:bCs/>
                <w:kern w:val="2"/>
                <w:sz w:val="28"/>
                <w:szCs w:val="28"/>
              </w:rPr>
              <w:t>1</w:t>
            </w:r>
          </w:p>
        </w:tc>
        <w:tc>
          <w:tcPr>
            <w:tcW w:w="2010" w:type="dxa"/>
            <w:vAlign w:val="center"/>
          </w:tcPr>
          <w:p w14:paraId="50A37346" w14:textId="77777777" w:rsidR="000C69CB" w:rsidRPr="00535039" w:rsidRDefault="000C69CB" w:rsidP="00B57C1C">
            <w:pPr>
              <w:jc w:val="left"/>
              <w:rPr>
                <w:rFonts w:hAnsi="標楷體"/>
                <w:bCs/>
                <w:sz w:val="28"/>
                <w:szCs w:val="28"/>
              </w:rPr>
            </w:pPr>
            <w:r w:rsidRPr="00535039">
              <w:rPr>
                <w:rFonts w:hAnsi="標楷體" w:hint="eastAsia"/>
                <w:bCs/>
                <w:sz w:val="28"/>
                <w:szCs w:val="28"/>
              </w:rPr>
              <w:t>○○</w:t>
            </w:r>
            <w:r w:rsidRPr="00535039">
              <w:rPr>
                <w:rFonts w:hAnsi="標楷體"/>
                <w:bCs/>
                <w:sz w:val="28"/>
                <w:szCs w:val="28"/>
              </w:rPr>
              <w:t>防護手套</w:t>
            </w:r>
          </w:p>
        </w:tc>
        <w:tc>
          <w:tcPr>
            <w:tcW w:w="1134" w:type="dxa"/>
            <w:vAlign w:val="center"/>
          </w:tcPr>
          <w:p w14:paraId="298A1CB2" w14:textId="545CC079" w:rsidR="000C69CB" w:rsidRPr="00535039" w:rsidRDefault="00C1455A" w:rsidP="00B57C1C">
            <w:pPr>
              <w:ind w:left="-43" w:rightChars="-10" w:right="-34"/>
              <w:jc w:val="center"/>
              <w:rPr>
                <w:rFonts w:hAnsi="標楷體"/>
                <w:bCs/>
                <w:sz w:val="28"/>
                <w:szCs w:val="28"/>
              </w:rPr>
            </w:pPr>
            <w:r w:rsidRPr="00535039">
              <w:rPr>
                <w:rFonts w:hAnsi="標楷體"/>
                <w:bCs/>
                <w:sz w:val="28"/>
                <w:szCs w:val="28"/>
              </w:rPr>
              <w:t>中國</w:t>
            </w:r>
          </w:p>
        </w:tc>
        <w:tc>
          <w:tcPr>
            <w:tcW w:w="5240" w:type="dxa"/>
            <w:vAlign w:val="center"/>
          </w:tcPr>
          <w:p w14:paraId="45F25363" w14:textId="77777777" w:rsidR="00814CC0" w:rsidRPr="00535039" w:rsidRDefault="000C69CB" w:rsidP="009A02C5">
            <w:pPr>
              <w:adjustRightInd w:val="0"/>
              <w:spacing w:line="340" w:lineRule="exact"/>
              <w:ind w:leftChars="23" w:left="78" w:rightChars="-11" w:right="-37"/>
              <w:rPr>
                <w:rFonts w:hAnsi="標楷體"/>
                <w:sz w:val="28"/>
                <w:szCs w:val="28"/>
                <w:shd w:val="clear" w:color="auto" w:fill="FFFFFF"/>
              </w:rPr>
            </w:pPr>
            <w:r w:rsidRPr="00535039">
              <w:rPr>
                <w:rFonts w:hAnsi="標楷體"/>
                <w:sz w:val="28"/>
                <w:szCs w:val="28"/>
                <w:shd w:val="clear" w:color="auto" w:fill="FFFFFF"/>
              </w:rPr>
              <w:t>塑化劑含量為</w:t>
            </w:r>
            <w:r w:rsidRPr="00535039">
              <w:rPr>
                <w:rFonts w:hAnsi="標楷體" w:hint="eastAsia"/>
                <w:sz w:val="28"/>
                <w:szCs w:val="28"/>
                <w:shd w:val="clear" w:color="auto" w:fill="FFFFFF"/>
              </w:rPr>
              <w:t>24.0</w:t>
            </w:r>
            <w:r w:rsidRPr="00535039">
              <w:rPr>
                <w:rFonts w:hAnsi="標楷體"/>
                <w:sz w:val="28"/>
                <w:szCs w:val="28"/>
                <w:shd w:val="clear" w:color="auto" w:fill="FFFFFF"/>
              </w:rPr>
              <w:t>%，超過CNS 6632塑化劑含量0.1%之規定</w:t>
            </w:r>
            <w:r w:rsidRPr="00535039">
              <w:rPr>
                <w:rFonts w:hAnsi="標楷體" w:hint="eastAsia"/>
                <w:sz w:val="28"/>
                <w:szCs w:val="28"/>
                <w:shd w:val="clear" w:color="auto" w:fill="FFFFFF"/>
              </w:rPr>
              <w:t>。</w:t>
            </w:r>
          </w:p>
          <w:p w14:paraId="4E539258" w14:textId="665E2D07" w:rsidR="000C69CB" w:rsidRPr="00535039" w:rsidRDefault="000C69CB" w:rsidP="009A02C5">
            <w:pPr>
              <w:adjustRightInd w:val="0"/>
              <w:spacing w:line="340" w:lineRule="exact"/>
              <w:ind w:leftChars="23" w:left="78" w:rightChars="-11" w:right="-37"/>
              <w:rPr>
                <w:rFonts w:hAnsi="標楷體"/>
                <w:sz w:val="28"/>
                <w:szCs w:val="28"/>
              </w:rPr>
            </w:pPr>
            <w:r w:rsidRPr="00535039">
              <w:rPr>
                <w:rFonts w:hAnsi="標楷體" w:hint="eastAsia"/>
                <w:sz w:val="28"/>
                <w:szCs w:val="28"/>
                <w:shd w:val="clear" w:color="auto" w:fill="FFFFFF"/>
              </w:rPr>
              <w:t>(超標240倍)</w:t>
            </w:r>
          </w:p>
        </w:tc>
      </w:tr>
      <w:tr w:rsidR="007E5433" w:rsidRPr="00535039" w14:paraId="75C54D52" w14:textId="77777777" w:rsidTr="009A02C5">
        <w:trPr>
          <w:cantSplit/>
          <w:trHeight w:val="20"/>
          <w:jc w:val="center"/>
        </w:trPr>
        <w:tc>
          <w:tcPr>
            <w:tcW w:w="679" w:type="dxa"/>
            <w:vAlign w:val="center"/>
          </w:tcPr>
          <w:p w14:paraId="74331D47" w14:textId="77777777" w:rsidR="000C69CB" w:rsidRPr="00535039" w:rsidRDefault="000C69CB" w:rsidP="00B57C1C">
            <w:pPr>
              <w:pStyle w:val="xl28"/>
              <w:widowControl w:val="0"/>
              <w:pBdr>
                <w:left w:val="none" w:sz="0" w:space="0" w:color="auto"/>
                <w:bottom w:val="none" w:sz="0" w:space="0" w:color="auto"/>
                <w:right w:val="none" w:sz="0" w:space="0" w:color="auto"/>
              </w:pBdr>
              <w:spacing w:before="0" w:after="0"/>
              <w:ind w:left="450" w:hanging="450"/>
              <w:rPr>
                <w:rFonts w:ascii="標楷體" w:eastAsia="標楷體" w:hAnsi="標楷體"/>
                <w:bCs/>
                <w:kern w:val="2"/>
                <w:sz w:val="28"/>
                <w:szCs w:val="28"/>
              </w:rPr>
            </w:pPr>
            <w:r w:rsidRPr="00535039">
              <w:rPr>
                <w:rFonts w:ascii="標楷體" w:eastAsia="標楷體" w:hAnsi="標楷體"/>
                <w:bCs/>
                <w:kern w:val="2"/>
                <w:sz w:val="28"/>
                <w:szCs w:val="28"/>
              </w:rPr>
              <w:t>2</w:t>
            </w:r>
          </w:p>
        </w:tc>
        <w:tc>
          <w:tcPr>
            <w:tcW w:w="2010" w:type="dxa"/>
            <w:vAlign w:val="center"/>
          </w:tcPr>
          <w:p w14:paraId="67F729FF" w14:textId="77777777" w:rsidR="000C69CB" w:rsidRPr="00535039" w:rsidRDefault="000C69CB" w:rsidP="00B57C1C">
            <w:pPr>
              <w:jc w:val="left"/>
              <w:rPr>
                <w:rFonts w:hAnsi="標楷體"/>
                <w:bCs/>
                <w:sz w:val="28"/>
                <w:szCs w:val="28"/>
              </w:rPr>
            </w:pPr>
            <w:r w:rsidRPr="00535039">
              <w:rPr>
                <w:rFonts w:hAnsi="標楷體" w:hint="eastAsia"/>
                <w:bCs/>
                <w:sz w:val="28"/>
                <w:szCs w:val="28"/>
              </w:rPr>
              <w:t>○○</w:t>
            </w:r>
            <w:proofErr w:type="gramStart"/>
            <w:r w:rsidRPr="00535039">
              <w:rPr>
                <w:rFonts w:hAnsi="標楷體"/>
                <w:bCs/>
                <w:sz w:val="28"/>
                <w:szCs w:val="28"/>
              </w:rPr>
              <w:t>加絨洗碗</w:t>
            </w:r>
            <w:proofErr w:type="gramEnd"/>
            <w:r w:rsidRPr="00535039">
              <w:rPr>
                <w:rFonts w:hAnsi="標楷體"/>
                <w:bCs/>
                <w:sz w:val="28"/>
                <w:szCs w:val="28"/>
              </w:rPr>
              <w:t>耐用手套</w:t>
            </w:r>
          </w:p>
        </w:tc>
        <w:tc>
          <w:tcPr>
            <w:tcW w:w="1134" w:type="dxa"/>
            <w:vAlign w:val="center"/>
          </w:tcPr>
          <w:p w14:paraId="1013098F" w14:textId="096EA2AD" w:rsidR="000C69CB" w:rsidRPr="00535039" w:rsidRDefault="00C1455A" w:rsidP="00B57C1C">
            <w:pPr>
              <w:ind w:left="-43" w:rightChars="-10" w:right="-34"/>
              <w:jc w:val="center"/>
              <w:rPr>
                <w:rFonts w:hAnsi="標楷體"/>
                <w:bCs/>
                <w:sz w:val="28"/>
                <w:szCs w:val="28"/>
              </w:rPr>
            </w:pPr>
            <w:r w:rsidRPr="00535039">
              <w:rPr>
                <w:rFonts w:hAnsi="標楷體"/>
                <w:bCs/>
                <w:sz w:val="28"/>
                <w:szCs w:val="28"/>
              </w:rPr>
              <w:t>中國</w:t>
            </w:r>
          </w:p>
        </w:tc>
        <w:tc>
          <w:tcPr>
            <w:tcW w:w="5240" w:type="dxa"/>
            <w:vAlign w:val="center"/>
          </w:tcPr>
          <w:p w14:paraId="51621BA0" w14:textId="77777777" w:rsidR="00814CC0" w:rsidRPr="00535039" w:rsidRDefault="000C69CB" w:rsidP="009A02C5">
            <w:pPr>
              <w:adjustRightInd w:val="0"/>
              <w:spacing w:line="340" w:lineRule="exact"/>
              <w:ind w:leftChars="14" w:left="51" w:hangingChars="1" w:hanging="3"/>
              <w:rPr>
                <w:rFonts w:hAnsi="標楷體"/>
                <w:sz w:val="28"/>
                <w:szCs w:val="28"/>
                <w:shd w:val="clear" w:color="auto" w:fill="FFFFFF"/>
              </w:rPr>
            </w:pPr>
            <w:r w:rsidRPr="00535039">
              <w:rPr>
                <w:rFonts w:hAnsi="標楷體"/>
                <w:sz w:val="28"/>
                <w:szCs w:val="28"/>
                <w:shd w:val="clear" w:color="auto" w:fill="FFFFFF"/>
              </w:rPr>
              <w:t>塑化劑含量為</w:t>
            </w:r>
            <w:r w:rsidRPr="00535039">
              <w:rPr>
                <w:rFonts w:hAnsi="標楷體" w:hint="eastAsia"/>
                <w:sz w:val="28"/>
                <w:szCs w:val="28"/>
                <w:shd w:val="clear" w:color="auto" w:fill="FFFFFF"/>
              </w:rPr>
              <w:t>17.0</w:t>
            </w:r>
            <w:r w:rsidRPr="00535039">
              <w:rPr>
                <w:rFonts w:hAnsi="標楷體"/>
                <w:sz w:val="28"/>
                <w:szCs w:val="28"/>
                <w:shd w:val="clear" w:color="auto" w:fill="FFFFFF"/>
              </w:rPr>
              <w:t>%，超過CNS 6632塑化劑含量0.1%之規定</w:t>
            </w:r>
            <w:r w:rsidRPr="00535039">
              <w:rPr>
                <w:rFonts w:hAnsi="標楷體" w:hint="eastAsia"/>
                <w:sz w:val="28"/>
                <w:szCs w:val="28"/>
                <w:shd w:val="clear" w:color="auto" w:fill="FFFFFF"/>
              </w:rPr>
              <w:t>。</w:t>
            </w:r>
          </w:p>
          <w:p w14:paraId="6DAF365C" w14:textId="7C75E1BD" w:rsidR="000C69CB" w:rsidRPr="00535039" w:rsidRDefault="000C69CB" w:rsidP="009A02C5">
            <w:pPr>
              <w:adjustRightInd w:val="0"/>
              <w:spacing w:line="340" w:lineRule="exact"/>
              <w:ind w:leftChars="14" w:left="51" w:hangingChars="1" w:hanging="3"/>
              <w:rPr>
                <w:rFonts w:hAnsi="標楷體"/>
                <w:sz w:val="28"/>
                <w:szCs w:val="28"/>
              </w:rPr>
            </w:pPr>
            <w:r w:rsidRPr="00535039">
              <w:rPr>
                <w:rFonts w:hAnsi="標楷體" w:hint="eastAsia"/>
                <w:sz w:val="28"/>
                <w:szCs w:val="28"/>
                <w:shd w:val="clear" w:color="auto" w:fill="FFFFFF"/>
              </w:rPr>
              <w:t>(超標170倍)</w:t>
            </w:r>
          </w:p>
        </w:tc>
      </w:tr>
      <w:tr w:rsidR="007E5433" w:rsidRPr="00535039" w14:paraId="2B998807" w14:textId="77777777" w:rsidTr="009A02C5">
        <w:trPr>
          <w:cantSplit/>
          <w:trHeight w:val="20"/>
          <w:jc w:val="center"/>
        </w:trPr>
        <w:tc>
          <w:tcPr>
            <w:tcW w:w="679" w:type="dxa"/>
            <w:vAlign w:val="center"/>
          </w:tcPr>
          <w:p w14:paraId="2D344431" w14:textId="77777777" w:rsidR="000C69CB" w:rsidRPr="00535039" w:rsidRDefault="000C69CB" w:rsidP="00B57C1C">
            <w:pPr>
              <w:ind w:left="450" w:hanging="450"/>
              <w:jc w:val="center"/>
              <w:rPr>
                <w:rFonts w:hAnsi="標楷體"/>
                <w:sz w:val="28"/>
                <w:szCs w:val="28"/>
              </w:rPr>
            </w:pPr>
            <w:r w:rsidRPr="00535039">
              <w:rPr>
                <w:rFonts w:hAnsi="標楷體" w:hint="eastAsia"/>
                <w:sz w:val="28"/>
                <w:szCs w:val="28"/>
              </w:rPr>
              <w:t>3</w:t>
            </w:r>
          </w:p>
        </w:tc>
        <w:tc>
          <w:tcPr>
            <w:tcW w:w="2010" w:type="dxa"/>
            <w:vAlign w:val="center"/>
          </w:tcPr>
          <w:p w14:paraId="4928D9F3" w14:textId="77777777" w:rsidR="000C69CB" w:rsidRPr="00535039" w:rsidRDefault="000C69CB" w:rsidP="00B57C1C">
            <w:pPr>
              <w:adjustRightInd w:val="0"/>
              <w:ind w:firstLine="72"/>
              <w:jc w:val="left"/>
              <w:rPr>
                <w:rFonts w:hAnsi="標楷體"/>
                <w:bCs/>
                <w:sz w:val="28"/>
                <w:szCs w:val="28"/>
              </w:rPr>
            </w:pPr>
            <w:r w:rsidRPr="00535039">
              <w:rPr>
                <w:rFonts w:hAnsi="標楷體" w:hint="eastAsia"/>
                <w:bCs/>
                <w:sz w:val="28"/>
                <w:szCs w:val="28"/>
              </w:rPr>
              <w:t>○○</w:t>
            </w:r>
            <w:r w:rsidRPr="00535039">
              <w:rPr>
                <w:rFonts w:hAnsi="標楷體"/>
                <w:bCs/>
                <w:sz w:val="28"/>
                <w:szCs w:val="28"/>
              </w:rPr>
              <w:t>手套</w:t>
            </w:r>
          </w:p>
        </w:tc>
        <w:tc>
          <w:tcPr>
            <w:tcW w:w="1134" w:type="dxa"/>
            <w:vAlign w:val="center"/>
          </w:tcPr>
          <w:p w14:paraId="3F3E2A6D" w14:textId="2780D204" w:rsidR="000C69CB" w:rsidRPr="00535039" w:rsidRDefault="00C1455A" w:rsidP="00B57C1C">
            <w:pPr>
              <w:ind w:left="-43" w:rightChars="-10" w:right="-34"/>
              <w:jc w:val="center"/>
              <w:rPr>
                <w:rFonts w:hAnsi="標楷體"/>
                <w:bCs/>
                <w:sz w:val="28"/>
                <w:szCs w:val="28"/>
              </w:rPr>
            </w:pPr>
            <w:r w:rsidRPr="00535039">
              <w:rPr>
                <w:rFonts w:hAnsi="標楷體"/>
                <w:bCs/>
                <w:sz w:val="28"/>
                <w:szCs w:val="28"/>
              </w:rPr>
              <w:t>中國</w:t>
            </w:r>
          </w:p>
        </w:tc>
        <w:tc>
          <w:tcPr>
            <w:tcW w:w="5240" w:type="dxa"/>
            <w:vAlign w:val="center"/>
          </w:tcPr>
          <w:p w14:paraId="699B1B3A" w14:textId="77777777" w:rsidR="00814CC0" w:rsidRPr="00535039" w:rsidRDefault="000C69CB" w:rsidP="009A02C5">
            <w:pPr>
              <w:adjustRightInd w:val="0"/>
              <w:spacing w:line="340" w:lineRule="exact"/>
              <w:ind w:leftChars="14" w:left="51" w:hangingChars="1" w:hanging="3"/>
              <w:rPr>
                <w:rFonts w:hAnsi="標楷體"/>
                <w:sz w:val="28"/>
                <w:szCs w:val="28"/>
                <w:shd w:val="clear" w:color="auto" w:fill="FFFFFF"/>
              </w:rPr>
            </w:pPr>
            <w:r w:rsidRPr="00535039">
              <w:rPr>
                <w:rFonts w:hAnsi="標楷體"/>
                <w:sz w:val="28"/>
                <w:szCs w:val="28"/>
                <w:shd w:val="clear" w:color="auto" w:fill="FFFFFF"/>
              </w:rPr>
              <w:t>塑化劑含量為24.6%，超過CNS 6632塑化劑含量0.1 %之規定</w:t>
            </w:r>
            <w:r w:rsidRPr="00535039">
              <w:rPr>
                <w:rFonts w:hAnsi="標楷體" w:hint="eastAsia"/>
                <w:sz w:val="28"/>
                <w:szCs w:val="28"/>
                <w:shd w:val="clear" w:color="auto" w:fill="FFFFFF"/>
              </w:rPr>
              <w:t>。</w:t>
            </w:r>
          </w:p>
          <w:p w14:paraId="2B0CF82C" w14:textId="3BCAAEA7" w:rsidR="000C69CB" w:rsidRPr="00535039" w:rsidRDefault="000C69CB" w:rsidP="009A02C5">
            <w:pPr>
              <w:adjustRightInd w:val="0"/>
              <w:spacing w:line="340" w:lineRule="exact"/>
              <w:ind w:leftChars="14" w:left="51" w:hangingChars="1" w:hanging="3"/>
              <w:rPr>
                <w:rFonts w:hAnsi="標楷體"/>
                <w:sz w:val="28"/>
                <w:szCs w:val="28"/>
              </w:rPr>
            </w:pPr>
            <w:r w:rsidRPr="00535039">
              <w:rPr>
                <w:rFonts w:hAnsi="標楷體" w:hint="eastAsia"/>
                <w:sz w:val="28"/>
                <w:szCs w:val="28"/>
                <w:shd w:val="clear" w:color="auto" w:fill="FFFFFF"/>
              </w:rPr>
              <w:t>(超標246倍)</w:t>
            </w:r>
          </w:p>
        </w:tc>
      </w:tr>
      <w:tr w:rsidR="007E5433" w:rsidRPr="00535039" w14:paraId="6279EA24" w14:textId="77777777" w:rsidTr="009A02C5">
        <w:trPr>
          <w:cantSplit/>
          <w:trHeight w:val="20"/>
          <w:jc w:val="center"/>
        </w:trPr>
        <w:tc>
          <w:tcPr>
            <w:tcW w:w="679" w:type="dxa"/>
            <w:vAlign w:val="center"/>
          </w:tcPr>
          <w:p w14:paraId="3C04386E" w14:textId="77777777" w:rsidR="000C69CB" w:rsidRPr="00535039" w:rsidRDefault="000C69CB" w:rsidP="00B57C1C">
            <w:pPr>
              <w:ind w:left="450" w:hanging="450"/>
              <w:jc w:val="center"/>
              <w:rPr>
                <w:rFonts w:hAnsi="標楷體"/>
                <w:sz w:val="28"/>
                <w:szCs w:val="28"/>
              </w:rPr>
            </w:pPr>
            <w:r w:rsidRPr="00535039">
              <w:rPr>
                <w:rFonts w:hAnsi="標楷體" w:hint="eastAsia"/>
                <w:sz w:val="28"/>
                <w:szCs w:val="28"/>
              </w:rPr>
              <w:t>4</w:t>
            </w:r>
          </w:p>
        </w:tc>
        <w:tc>
          <w:tcPr>
            <w:tcW w:w="2010" w:type="dxa"/>
            <w:vAlign w:val="center"/>
          </w:tcPr>
          <w:p w14:paraId="08F59D2B" w14:textId="77777777" w:rsidR="000C69CB" w:rsidRPr="00535039" w:rsidRDefault="000C69CB" w:rsidP="00B57C1C">
            <w:pPr>
              <w:adjustRightInd w:val="0"/>
              <w:ind w:firstLine="72"/>
              <w:jc w:val="left"/>
              <w:rPr>
                <w:rFonts w:hAnsi="標楷體"/>
                <w:spacing w:val="-10"/>
                <w:sz w:val="28"/>
                <w:szCs w:val="28"/>
              </w:rPr>
            </w:pPr>
            <w:r w:rsidRPr="00535039">
              <w:rPr>
                <w:rFonts w:hAnsi="標楷體" w:hint="eastAsia"/>
                <w:bCs/>
                <w:sz w:val="28"/>
                <w:szCs w:val="28"/>
              </w:rPr>
              <w:t>○○</w:t>
            </w:r>
            <w:proofErr w:type="gramStart"/>
            <w:r w:rsidRPr="00535039">
              <w:rPr>
                <w:rFonts w:hAnsi="標楷體"/>
                <w:bCs/>
                <w:spacing w:val="-10"/>
                <w:sz w:val="28"/>
                <w:szCs w:val="28"/>
              </w:rPr>
              <w:t>花袖絨裡</w:t>
            </w:r>
            <w:proofErr w:type="gramEnd"/>
            <w:r w:rsidRPr="00535039">
              <w:rPr>
                <w:rFonts w:hAnsi="標楷體"/>
                <w:bCs/>
                <w:spacing w:val="-10"/>
                <w:sz w:val="28"/>
                <w:szCs w:val="28"/>
              </w:rPr>
              <w:t>加長手套</w:t>
            </w:r>
          </w:p>
        </w:tc>
        <w:tc>
          <w:tcPr>
            <w:tcW w:w="1134" w:type="dxa"/>
            <w:vAlign w:val="center"/>
          </w:tcPr>
          <w:p w14:paraId="519B3FDB" w14:textId="3844DA10" w:rsidR="000C69CB" w:rsidRPr="00535039" w:rsidRDefault="00C1455A" w:rsidP="00B57C1C">
            <w:pPr>
              <w:ind w:left="-43" w:rightChars="-10" w:right="-34"/>
              <w:jc w:val="center"/>
              <w:rPr>
                <w:rFonts w:hAnsi="標楷體"/>
                <w:sz w:val="28"/>
                <w:szCs w:val="28"/>
              </w:rPr>
            </w:pPr>
            <w:r w:rsidRPr="00535039">
              <w:rPr>
                <w:rFonts w:hAnsi="標楷體"/>
                <w:bCs/>
                <w:sz w:val="28"/>
                <w:szCs w:val="28"/>
              </w:rPr>
              <w:t>中國</w:t>
            </w:r>
          </w:p>
        </w:tc>
        <w:tc>
          <w:tcPr>
            <w:tcW w:w="5240" w:type="dxa"/>
            <w:vAlign w:val="center"/>
          </w:tcPr>
          <w:p w14:paraId="3889420F" w14:textId="77777777" w:rsidR="00814CC0" w:rsidRPr="00535039" w:rsidRDefault="000C69CB" w:rsidP="009A02C5">
            <w:pPr>
              <w:adjustRightInd w:val="0"/>
              <w:spacing w:line="340" w:lineRule="exact"/>
              <w:ind w:leftChars="14" w:left="51" w:hangingChars="1" w:hanging="3"/>
              <w:rPr>
                <w:rFonts w:hAnsi="標楷體"/>
                <w:sz w:val="28"/>
                <w:szCs w:val="28"/>
                <w:shd w:val="clear" w:color="auto" w:fill="FFFFFF"/>
              </w:rPr>
            </w:pPr>
            <w:r w:rsidRPr="00535039">
              <w:rPr>
                <w:rFonts w:hAnsi="標楷體"/>
                <w:sz w:val="28"/>
                <w:szCs w:val="28"/>
                <w:shd w:val="clear" w:color="auto" w:fill="FFFFFF"/>
              </w:rPr>
              <w:t>塑化劑含量為0.5%，超過CNS 6632塑化劑含量0.1%之規定</w:t>
            </w:r>
            <w:r w:rsidRPr="00535039">
              <w:rPr>
                <w:rFonts w:hAnsi="標楷體" w:hint="eastAsia"/>
                <w:sz w:val="28"/>
                <w:szCs w:val="28"/>
                <w:shd w:val="clear" w:color="auto" w:fill="FFFFFF"/>
              </w:rPr>
              <w:t>。</w:t>
            </w:r>
          </w:p>
          <w:p w14:paraId="728B3B96" w14:textId="7E7062BF" w:rsidR="000C69CB" w:rsidRPr="00535039" w:rsidRDefault="000C69CB" w:rsidP="009A02C5">
            <w:pPr>
              <w:adjustRightInd w:val="0"/>
              <w:spacing w:line="340" w:lineRule="exact"/>
              <w:ind w:leftChars="14" w:left="51" w:hangingChars="1" w:hanging="3"/>
              <w:rPr>
                <w:rFonts w:hAnsi="標楷體"/>
                <w:b/>
                <w:sz w:val="28"/>
                <w:szCs w:val="28"/>
              </w:rPr>
            </w:pPr>
            <w:r w:rsidRPr="00535039">
              <w:rPr>
                <w:rFonts w:hAnsi="標楷體" w:hint="eastAsia"/>
                <w:sz w:val="28"/>
                <w:szCs w:val="28"/>
                <w:shd w:val="clear" w:color="auto" w:fill="FFFFFF"/>
              </w:rPr>
              <w:t>(超標5倍)</w:t>
            </w:r>
          </w:p>
        </w:tc>
      </w:tr>
      <w:tr w:rsidR="007E5433" w:rsidRPr="00535039" w14:paraId="43FDFE47" w14:textId="77777777" w:rsidTr="009A02C5">
        <w:trPr>
          <w:cantSplit/>
          <w:trHeight w:val="20"/>
          <w:jc w:val="center"/>
        </w:trPr>
        <w:tc>
          <w:tcPr>
            <w:tcW w:w="679" w:type="dxa"/>
            <w:vAlign w:val="center"/>
          </w:tcPr>
          <w:p w14:paraId="7A1862A2" w14:textId="77777777" w:rsidR="000C69CB" w:rsidRPr="00535039" w:rsidRDefault="000C69CB" w:rsidP="00B57C1C">
            <w:pPr>
              <w:ind w:left="450" w:hanging="450"/>
              <w:jc w:val="center"/>
              <w:rPr>
                <w:rFonts w:hAnsi="標楷體"/>
                <w:sz w:val="28"/>
                <w:szCs w:val="28"/>
              </w:rPr>
            </w:pPr>
            <w:r w:rsidRPr="00535039">
              <w:rPr>
                <w:rFonts w:hAnsi="標楷體" w:hint="eastAsia"/>
                <w:sz w:val="28"/>
                <w:szCs w:val="28"/>
              </w:rPr>
              <w:t>5</w:t>
            </w:r>
          </w:p>
        </w:tc>
        <w:tc>
          <w:tcPr>
            <w:tcW w:w="2010" w:type="dxa"/>
            <w:vAlign w:val="center"/>
          </w:tcPr>
          <w:p w14:paraId="148CCED9" w14:textId="77777777" w:rsidR="000C69CB" w:rsidRPr="00535039" w:rsidRDefault="000C69CB" w:rsidP="00B57C1C">
            <w:pPr>
              <w:adjustRightInd w:val="0"/>
              <w:ind w:firstLine="72"/>
              <w:jc w:val="left"/>
              <w:rPr>
                <w:rFonts w:hAnsi="標楷體"/>
                <w:bCs/>
                <w:sz w:val="28"/>
                <w:szCs w:val="28"/>
              </w:rPr>
            </w:pPr>
            <w:r w:rsidRPr="00535039">
              <w:rPr>
                <w:rFonts w:hAnsi="標楷體" w:hint="eastAsia"/>
                <w:bCs/>
                <w:sz w:val="28"/>
                <w:szCs w:val="28"/>
              </w:rPr>
              <w:t>○○</w:t>
            </w:r>
            <w:r w:rsidRPr="00535039">
              <w:rPr>
                <w:rFonts w:hAnsi="標楷體"/>
                <w:bCs/>
                <w:sz w:val="28"/>
                <w:szCs w:val="28"/>
              </w:rPr>
              <w:t>家務手套</w:t>
            </w:r>
          </w:p>
        </w:tc>
        <w:tc>
          <w:tcPr>
            <w:tcW w:w="1134" w:type="dxa"/>
            <w:vAlign w:val="center"/>
          </w:tcPr>
          <w:p w14:paraId="78E8272E" w14:textId="584AD089" w:rsidR="000C69CB" w:rsidRPr="00535039" w:rsidRDefault="00C1455A" w:rsidP="00B57C1C">
            <w:pPr>
              <w:ind w:left="-43" w:rightChars="-10" w:right="-34"/>
              <w:jc w:val="center"/>
              <w:rPr>
                <w:rFonts w:hAnsi="標楷體"/>
                <w:sz w:val="28"/>
                <w:szCs w:val="28"/>
              </w:rPr>
            </w:pPr>
            <w:r w:rsidRPr="00535039">
              <w:rPr>
                <w:rFonts w:hAnsi="標楷體" w:hint="eastAsia"/>
                <w:bCs/>
                <w:sz w:val="28"/>
                <w:szCs w:val="28"/>
              </w:rPr>
              <w:t>中國</w:t>
            </w:r>
          </w:p>
        </w:tc>
        <w:tc>
          <w:tcPr>
            <w:tcW w:w="5240" w:type="dxa"/>
            <w:vAlign w:val="center"/>
          </w:tcPr>
          <w:p w14:paraId="20D4FD14" w14:textId="77777777" w:rsidR="00814CC0" w:rsidRPr="00535039" w:rsidRDefault="000C69CB" w:rsidP="009A02C5">
            <w:pPr>
              <w:adjustRightInd w:val="0"/>
              <w:spacing w:line="340" w:lineRule="exact"/>
              <w:ind w:leftChars="14" w:left="51" w:hangingChars="1" w:hanging="3"/>
              <w:rPr>
                <w:rFonts w:hAnsi="標楷體"/>
                <w:sz w:val="28"/>
                <w:szCs w:val="28"/>
                <w:shd w:val="clear" w:color="auto" w:fill="FFFFFF"/>
              </w:rPr>
            </w:pPr>
            <w:r w:rsidRPr="00535039">
              <w:rPr>
                <w:rFonts w:hAnsi="標楷體"/>
                <w:sz w:val="28"/>
                <w:szCs w:val="28"/>
                <w:shd w:val="clear" w:color="auto" w:fill="FFFFFF"/>
              </w:rPr>
              <w:t>塑化劑含量為25.5%，超過CNS 6632塑化劑含量0.1%之規定</w:t>
            </w:r>
            <w:r w:rsidRPr="00535039">
              <w:rPr>
                <w:rFonts w:hAnsi="標楷體" w:hint="eastAsia"/>
                <w:sz w:val="28"/>
                <w:szCs w:val="28"/>
                <w:shd w:val="clear" w:color="auto" w:fill="FFFFFF"/>
              </w:rPr>
              <w:t>。</w:t>
            </w:r>
          </w:p>
          <w:p w14:paraId="51DA6FC0" w14:textId="04B7F8EB" w:rsidR="000C69CB" w:rsidRPr="00535039" w:rsidRDefault="000C69CB" w:rsidP="009A02C5">
            <w:pPr>
              <w:adjustRightInd w:val="0"/>
              <w:spacing w:line="340" w:lineRule="exact"/>
              <w:ind w:leftChars="14" w:left="51" w:hangingChars="1" w:hanging="3"/>
              <w:rPr>
                <w:rFonts w:hAnsi="標楷體"/>
                <w:sz w:val="28"/>
                <w:szCs w:val="28"/>
                <w:shd w:val="clear" w:color="auto" w:fill="FFFFFF"/>
              </w:rPr>
            </w:pPr>
            <w:r w:rsidRPr="00535039">
              <w:rPr>
                <w:rFonts w:hAnsi="標楷體" w:hint="eastAsia"/>
                <w:sz w:val="28"/>
                <w:szCs w:val="28"/>
                <w:shd w:val="clear" w:color="auto" w:fill="FFFFFF"/>
              </w:rPr>
              <w:t>(超標255倍)</w:t>
            </w:r>
          </w:p>
        </w:tc>
      </w:tr>
      <w:tr w:rsidR="007E5433" w:rsidRPr="00535039" w14:paraId="40437D85" w14:textId="77777777" w:rsidTr="009A02C5">
        <w:trPr>
          <w:cantSplit/>
          <w:trHeight w:val="20"/>
          <w:jc w:val="center"/>
        </w:trPr>
        <w:tc>
          <w:tcPr>
            <w:tcW w:w="679" w:type="dxa"/>
            <w:vAlign w:val="center"/>
          </w:tcPr>
          <w:p w14:paraId="0210C85B" w14:textId="77777777" w:rsidR="000C69CB" w:rsidRPr="00535039" w:rsidRDefault="000C69CB" w:rsidP="00B57C1C">
            <w:pPr>
              <w:ind w:left="450" w:hanging="450"/>
              <w:jc w:val="center"/>
              <w:rPr>
                <w:rFonts w:hAnsi="標楷體"/>
                <w:sz w:val="28"/>
                <w:szCs w:val="28"/>
              </w:rPr>
            </w:pPr>
            <w:r w:rsidRPr="00535039">
              <w:rPr>
                <w:rFonts w:hAnsi="標楷體" w:hint="eastAsia"/>
                <w:sz w:val="28"/>
                <w:szCs w:val="28"/>
              </w:rPr>
              <w:lastRenderedPageBreak/>
              <w:t>6</w:t>
            </w:r>
          </w:p>
        </w:tc>
        <w:tc>
          <w:tcPr>
            <w:tcW w:w="2010" w:type="dxa"/>
            <w:vAlign w:val="center"/>
          </w:tcPr>
          <w:p w14:paraId="58E30760" w14:textId="77777777" w:rsidR="000C69CB" w:rsidRPr="00535039" w:rsidRDefault="000C69CB" w:rsidP="00B57C1C">
            <w:pPr>
              <w:adjustRightInd w:val="0"/>
              <w:ind w:firstLine="72"/>
              <w:jc w:val="left"/>
              <w:rPr>
                <w:rFonts w:hAnsi="標楷體"/>
                <w:bCs/>
                <w:sz w:val="28"/>
                <w:szCs w:val="28"/>
              </w:rPr>
            </w:pPr>
            <w:r w:rsidRPr="00535039">
              <w:rPr>
                <w:rFonts w:hAnsi="標楷體" w:hint="eastAsia"/>
                <w:bCs/>
                <w:sz w:val="28"/>
                <w:szCs w:val="28"/>
              </w:rPr>
              <w:t>○○</w:t>
            </w:r>
            <w:proofErr w:type="gramStart"/>
            <w:r w:rsidRPr="00535039">
              <w:rPr>
                <w:rFonts w:hAnsi="標楷體"/>
                <w:bCs/>
                <w:sz w:val="28"/>
                <w:szCs w:val="28"/>
              </w:rPr>
              <w:t>花袖束口絨</w:t>
            </w:r>
            <w:r w:rsidRPr="00535039">
              <w:rPr>
                <w:rFonts w:hAnsi="標楷體" w:hint="eastAsia"/>
                <w:bCs/>
                <w:sz w:val="28"/>
                <w:szCs w:val="28"/>
              </w:rPr>
              <w:t>里</w:t>
            </w:r>
            <w:proofErr w:type="gramEnd"/>
            <w:r w:rsidRPr="00535039">
              <w:rPr>
                <w:rFonts w:hAnsi="標楷體"/>
                <w:bCs/>
                <w:sz w:val="28"/>
                <w:szCs w:val="28"/>
              </w:rPr>
              <w:t>手套</w:t>
            </w:r>
          </w:p>
        </w:tc>
        <w:tc>
          <w:tcPr>
            <w:tcW w:w="1134" w:type="dxa"/>
            <w:vAlign w:val="center"/>
          </w:tcPr>
          <w:p w14:paraId="189ED030" w14:textId="77777777" w:rsidR="000C69CB" w:rsidRPr="00535039" w:rsidRDefault="000C69CB" w:rsidP="00B57C1C">
            <w:pPr>
              <w:ind w:left="-43" w:rightChars="-10" w:right="-34"/>
              <w:jc w:val="center"/>
              <w:rPr>
                <w:rFonts w:hAnsi="標楷體"/>
                <w:bCs/>
                <w:sz w:val="28"/>
                <w:szCs w:val="28"/>
              </w:rPr>
            </w:pPr>
            <w:r w:rsidRPr="00535039">
              <w:rPr>
                <w:rFonts w:hAnsi="標楷體" w:hint="eastAsia"/>
                <w:bCs/>
                <w:sz w:val="28"/>
                <w:szCs w:val="28"/>
              </w:rPr>
              <w:t>-</w:t>
            </w:r>
          </w:p>
        </w:tc>
        <w:tc>
          <w:tcPr>
            <w:tcW w:w="5240" w:type="dxa"/>
            <w:vAlign w:val="center"/>
          </w:tcPr>
          <w:p w14:paraId="11E724AD" w14:textId="77777777" w:rsidR="00814CC0" w:rsidRPr="00535039" w:rsidRDefault="000C69CB" w:rsidP="009A02C5">
            <w:pPr>
              <w:adjustRightInd w:val="0"/>
              <w:spacing w:line="340" w:lineRule="exact"/>
              <w:ind w:leftChars="14" w:left="51" w:hangingChars="1" w:hanging="3"/>
              <w:rPr>
                <w:rFonts w:hAnsi="標楷體"/>
                <w:sz w:val="28"/>
                <w:szCs w:val="28"/>
                <w:shd w:val="clear" w:color="auto" w:fill="FFFFFF"/>
              </w:rPr>
            </w:pPr>
            <w:r w:rsidRPr="00535039">
              <w:rPr>
                <w:rFonts w:hAnsi="標楷體"/>
                <w:sz w:val="28"/>
                <w:szCs w:val="28"/>
                <w:shd w:val="clear" w:color="auto" w:fill="FFFFFF"/>
              </w:rPr>
              <w:t>塑化劑含量為26.5%，超過CNS 6632塑化劑含量0.1%之規定</w:t>
            </w:r>
            <w:r w:rsidRPr="00535039">
              <w:rPr>
                <w:rFonts w:hAnsi="標楷體" w:hint="eastAsia"/>
                <w:sz w:val="28"/>
                <w:szCs w:val="28"/>
                <w:shd w:val="clear" w:color="auto" w:fill="FFFFFF"/>
              </w:rPr>
              <w:t>。</w:t>
            </w:r>
          </w:p>
          <w:p w14:paraId="2901AC80" w14:textId="25FDBA77" w:rsidR="000C69CB" w:rsidRPr="00535039" w:rsidRDefault="000C69CB" w:rsidP="009A02C5">
            <w:pPr>
              <w:adjustRightInd w:val="0"/>
              <w:spacing w:line="340" w:lineRule="exact"/>
              <w:ind w:leftChars="14" w:left="51" w:hangingChars="1" w:hanging="3"/>
              <w:rPr>
                <w:rFonts w:hAnsi="標楷體"/>
                <w:sz w:val="28"/>
                <w:szCs w:val="28"/>
                <w:shd w:val="clear" w:color="auto" w:fill="FFFFFF"/>
              </w:rPr>
            </w:pPr>
            <w:r w:rsidRPr="00535039">
              <w:rPr>
                <w:rFonts w:hAnsi="標楷體" w:hint="eastAsia"/>
                <w:sz w:val="28"/>
                <w:szCs w:val="28"/>
                <w:shd w:val="clear" w:color="auto" w:fill="FFFFFF"/>
              </w:rPr>
              <w:t>(超標265倍)</w:t>
            </w:r>
          </w:p>
        </w:tc>
      </w:tr>
      <w:tr w:rsidR="007E5433" w:rsidRPr="00535039" w14:paraId="295CF718" w14:textId="77777777" w:rsidTr="009A02C5">
        <w:trPr>
          <w:cantSplit/>
          <w:trHeight w:val="20"/>
          <w:jc w:val="center"/>
        </w:trPr>
        <w:tc>
          <w:tcPr>
            <w:tcW w:w="679" w:type="dxa"/>
            <w:vAlign w:val="center"/>
          </w:tcPr>
          <w:p w14:paraId="78333B0B" w14:textId="77777777" w:rsidR="000C69CB" w:rsidRPr="00535039" w:rsidRDefault="000C69CB" w:rsidP="00B57C1C">
            <w:pPr>
              <w:ind w:left="450" w:hanging="450"/>
              <w:jc w:val="center"/>
              <w:rPr>
                <w:rFonts w:hAnsi="標楷體"/>
                <w:sz w:val="28"/>
                <w:szCs w:val="28"/>
              </w:rPr>
            </w:pPr>
            <w:r w:rsidRPr="00535039">
              <w:rPr>
                <w:rFonts w:hAnsi="標楷體" w:hint="eastAsia"/>
                <w:sz w:val="28"/>
                <w:szCs w:val="28"/>
              </w:rPr>
              <w:t>7</w:t>
            </w:r>
          </w:p>
        </w:tc>
        <w:tc>
          <w:tcPr>
            <w:tcW w:w="2010" w:type="dxa"/>
            <w:vAlign w:val="center"/>
          </w:tcPr>
          <w:p w14:paraId="606D0C21" w14:textId="77777777" w:rsidR="000C69CB" w:rsidRPr="00535039" w:rsidRDefault="000C69CB" w:rsidP="00B57C1C">
            <w:pPr>
              <w:adjustRightInd w:val="0"/>
              <w:ind w:firstLine="72"/>
              <w:jc w:val="left"/>
              <w:rPr>
                <w:rFonts w:hAnsi="標楷體"/>
                <w:sz w:val="28"/>
                <w:szCs w:val="28"/>
              </w:rPr>
            </w:pPr>
            <w:r w:rsidRPr="00535039">
              <w:rPr>
                <w:rFonts w:hAnsi="標楷體" w:hint="eastAsia"/>
                <w:bCs/>
                <w:sz w:val="28"/>
                <w:szCs w:val="28"/>
              </w:rPr>
              <w:t>○○</w:t>
            </w:r>
            <w:r w:rsidRPr="00535039">
              <w:rPr>
                <w:rFonts w:hAnsi="標楷體"/>
                <w:bCs/>
                <w:sz w:val="28"/>
                <w:szCs w:val="28"/>
              </w:rPr>
              <w:t>手套</w:t>
            </w:r>
          </w:p>
        </w:tc>
        <w:tc>
          <w:tcPr>
            <w:tcW w:w="1134" w:type="dxa"/>
            <w:vAlign w:val="center"/>
          </w:tcPr>
          <w:p w14:paraId="527746FF" w14:textId="77777777" w:rsidR="000C69CB" w:rsidRPr="00535039" w:rsidRDefault="000C69CB" w:rsidP="00B57C1C">
            <w:pPr>
              <w:ind w:left="-43" w:rightChars="-10" w:right="-34"/>
              <w:jc w:val="center"/>
              <w:rPr>
                <w:rFonts w:hAnsi="標楷體"/>
                <w:bCs/>
                <w:sz w:val="28"/>
                <w:szCs w:val="28"/>
              </w:rPr>
            </w:pPr>
            <w:r w:rsidRPr="00535039">
              <w:rPr>
                <w:rFonts w:hAnsi="標楷體" w:hint="eastAsia"/>
                <w:bCs/>
                <w:sz w:val="28"/>
                <w:szCs w:val="28"/>
              </w:rPr>
              <w:t>-</w:t>
            </w:r>
          </w:p>
        </w:tc>
        <w:tc>
          <w:tcPr>
            <w:tcW w:w="5240" w:type="dxa"/>
            <w:vAlign w:val="center"/>
          </w:tcPr>
          <w:p w14:paraId="43A02972" w14:textId="77777777" w:rsidR="00814CC0" w:rsidRPr="00535039" w:rsidRDefault="000C69CB" w:rsidP="009A02C5">
            <w:pPr>
              <w:adjustRightInd w:val="0"/>
              <w:spacing w:line="340" w:lineRule="exact"/>
              <w:ind w:leftChars="14" w:left="51" w:hangingChars="1" w:hanging="3"/>
              <w:rPr>
                <w:rFonts w:hAnsi="標楷體"/>
                <w:sz w:val="28"/>
                <w:szCs w:val="28"/>
                <w:shd w:val="clear" w:color="auto" w:fill="FFFFFF"/>
              </w:rPr>
            </w:pPr>
            <w:r w:rsidRPr="00535039">
              <w:rPr>
                <w:rFonts w:hAnsi="標楷體"/>
                <w:sz w:val="28"/>
                <w:szCs w:val="28"/>
                <w:shd w:val="clear" w:color="auto" w:fill="FFFFFF"/>
              </w:rPr>
              <w:t>塑化劑含量為</w:t>
            </w:r>
            <w:r w:rsidRPr="00535039">
              <w:rPr>
                <w:rFonts w:hAnsi="標楷體" w:hint="eastAsia"/>
                <w:sz w:val="28"/>
                <w:szCs w:val="28"/>
                <w:shd w:val="clear" w:color="auto" w:fill="FFFFFF"/>
              </w:rPr>
              <w:t>19.6</w:t>
            </w:r>
            <w:r w:rsidRPr="00535039">
              <w:rPr>
                <w:rFonts w:hAnsi="標楷體"/>
                <w:sz w:val="28"/>
                <w:szCs w:val="28"/>
                <w:shd w:val="clear" w:color="auto" w:fill="FFFFFF"/>
              </w:rPr>
              <w:t>%，超過CNS 6632塑化劑含量0.1%之規定</w:t>
            </w:r>
            <w:r w:rsidRPr="00535039">
              <w:rPr>
                <w:rFonts w:hAnsi="標楷體" w:hint="eastAsia"/>
                <w:sz w:val="28"/>
                <w:szCs w:val="28"/>
                <w:shd w:val="clear" w:color="auto" w:fill="FFFFFF"/>
              </w:rPr>
              <w:t>。</w:t>
            </w:r>
          </w:p>
          <w:p w14:paraId="1B6268D8" w14:textId="6B76B239" w:rsidR="000C69CB" w:rsidRPr="00535039" w:rsidRDefault="000C69CB" w:rsidP="009A02C5">
            <w:pPr>
              <w:adjustRightInd w:val="0"/>
              <w:spacing w:line="340" w:lineRule="exact"/>
              <w:ind w:leftChars="14" w:left="51" w:hangingChars="1" w:hanging="3"/>
              <w:rPr>
                <w:rFonts w:hAnsi="標楷體"/>
                <w:sz w:val="28"/>
                <w:szCs w:val="28"/>
                <w:shd w:val="clear" w:color="auto" w:fill="FFFFFF"/>
              </w:rPr>
            </w:pPr>
            <w:r w:rsidRPr="00535039">
              <w:rPr>
                <w:rFonts w:hAnsi="標楷體" w:hint="eastAsia"/>
                <w:sz w:val="28"/>
                <w:szCs w:val="28"/>
                <w:shd w:val="clear" w:color="auto" w:fill="FFFFFF"/>
              </w:rPr>
              <w:t>(超標196倍)</w:t>
            </w:r>
          </w:p>
        </w:tc>
      </w:tr>
      <w:tr w:rsidR="007E5433" w:rsidRPr="00535039" w14:paraId="46D38D5E" w14:textId="77777777" w:rsidTr="009A02C5">
        <w:trPr>
          <w:cantSplit/>
          <w:trHeight w:val="20"/>
          <w:jc w:val="center"/>
        </w:trPr>
        <w:tc>
          <w:tcPr>
            <w:tcW w:w="679" w:type="dxa"/>
            <w:vAlign w:val="center"/>
          </w:tcPr>
          <w:p w14:paraId="6E801847" w14:textId="77777777" w:rsidR="000C69CB" w:rsidRPr="00535039" w:rsidRDefault="000C69CB" w:rsidP="00B57C1C">
            <w:pPr>
              <w:ind w:left="450" w:hanging="450"/>
              <w:jc w:val="center"/>
              <w:rPr>
                <w:rFonts w:hAnsi="標楷體"/>
                <w:sz w:val="28"/>
                <w:szCs w:val="28"/>
              </w:rPr>
            </w:pPr>
            <w:r w:rsidRPr="00535039">
              <w:rPr>
                <w:rFonts w:hAnsi="標楷體" w:hint="eastAsia"/>
                <w:sz w:val="28"/>
                <w:szCs w:val="28"/>
              </w:rPr>
              <w:t>8</w:t>
            </w:r>
          </w:p>
        </w:tc>
        <w:tc>
          <w:tcPr>
            <w:tcW w:w="2010" w:type="dxa"/>
            <w:vAlign w:val="center"/>
          </w:tcPr>
          <w:p w14:paraId="43303D5A" w14:textId="77777777" w:rsidR="000C69CB" w:rsidRPr="00535039" w:rsidRDefault="000C69CB" w:rsidP="00B57C1C">
            <w:pPr>
              <w:adjustRightInd w:val="0"/>
              <w:ind w:firstLine="72"/>
              <w:jc w:val="left"/>
              <w:rPr>
                <w:rFonts w:hAnsi="標楷體"/>
                <w:sz w:val="28"/>
                <w:szCs w:val="28"/>
              </w:rPr>
            </w:pPr>
            <w:r w:rsidRPr="00535039">
              <w:rPr>
                <w:rFonts w:hAnsi="標楷體" w:hint="eastAsia"/>
                <w:bCs/>
                <w:sz w:val="28"/>
                <w:szCs w:val="28"/>
              </w:rPr>
              <w:t>○○</w:t>
            </w:r>
            <w:r w:rsidRPr="00535039">
              <w:rPr>
                <w:rFonts w:hAnsi="標楷體"/>
                <w:bCs/>
                <w:sz w:val="28"/>
                <w:szCs w:val="28"/>
              </w:rPr>
              <w:t>保暖</w:t>
            </w:r>
            <w:r w:rsidRPr="00535039">
              <w:rPr>
                <w:rFonts w:hAnsi="標楷體" w:hint="eastAsia"/>
                <w:bCs/>
                <w:sz w:val="28"/>
                <w:szCs w:val="28"/>
              </w:rPr>
              <w:t>家</w:t>
            </w:r>
            <w:r w:rsidRPr="00535039">
              <w:rPr>
                <w:rFonts w:hAnsi="標楷體"/>
                <w:bCs/>
                <w:sz w:val="28"/>
                <w:szCs w:val="28"/>
              </w:rPr>
              <w:t>用手套</w:t>
            </w:r>
          </w:p>
        </w:tc>
        <w:tc>
          <w:tcPr>
            <w:tcW w:w="1134" w:type="dxa"/>
            <w:vAlign w:val="center"/>
          </w:tcPr>
          <w:p w14:paraId="2CAE6C5B" w14:textId="28344824" w:rsidR="000C69CB" w:rsidRPr="00535039" w:rsidRDefault="00C1455A" w:rsidP="00B57C1C">
            <w:pPr>
              <w:ind w:left="-43" w:rightChars="-10" w:right="-34"/>
              <w:jc w:val="center"/>
              <w:rPr>
                <w:rFonts w:hAnsi="標楷體"/>
                <w:sz w:val="28"/>
                <w:szCs w:val="28"/>
              </w:rPr>
            </w:pPr>
            <w:r w:rsidRPr="00535039">
              <w:rPr>
                <w:rFonts w:hAnsi="標楷體" w:hint="eastAsia"/>
                <w:bCs/>
                <w:sz w:val="28"/>
                <w:szCs w:val="28"/>
              </w:rPr>
              <w:t>中國</w:t>
            </w:r>
          </w:p>
        </w:tc>
        <w:tc>
          <w:tcPr>
            <w:tcW w:w="5240" w:type="dxa"/>
            <w:vAlign w:val="center"/>
          </w:tcPr>
          <w:p w14:paraId="54759349" w14:textId="77777777" w:rsidR="00814CC0" w:rsidRPr="00535039" w:rsidRDefault="000C69CB" w:rsidP="009A02C5">
            <w:pPr>
              <w:adjustRightInd w:val="0"/>
              <w:spacing w:line="340" w:lineRule="exact"/>
              <w:ind w:leftChars="14" w:left="51" w:hangingChars="1" w:hanging="3"/>
              <w:rPr>
                <w:rFonts w:hAnsi="標楷體"/>
                <w:sz w:val="28"/>
                <w:szCs w:val="28"/>
                <w:shd w:val="clear" w:color="auto" w:fill="FFFFFF"/>
              </w:rPr>
            </w:pPr>
            <w:r w:rsidRPr="00535039">
              <w:rPr>
                <w:rFonts w:hAnsi="標楷體"/>
                <w:sz w:val="28"/>
                <w:szCs w:val="28"/>
                <w:shd w:val="clear" w:color="auto" w:fill="FFFFFF"/>
              </w:rPr>
              <w:t>塑化劑含量為</w:t>
            </w:r>
            <w:r w:rsidRPr="00535039">
              <w:rPr>
                <w:rFonts w:hAnsi="標楷體" w:hint="eastAsia"/>
                <w:sz w:val="28"/>
                <w:szCs w:val="28"/>
                <w:shd w:val="clear" w:color="auto" w:fill="FFFFFF"/>
              </w:rPr>
              <w:t>20.0</w:t>
            </w:r>
            <w:r w:rsidRPr="00535039">
              <w:rPr>
                <w:rFonts w:hAnsi="標楷體"/>
                <w:sz w:val="28"/>
                <w:szCs w:val="28"/>
                <w:shd w:val="clear" w:color="auto" w:fill="FFFFFF"/>
              </w:rPr>
              <w:t>%，超過CNS 6632塑化劑含量0.1%之規定</w:t>
            </w:r>
            <w:r w:rsidRPr="00535039">
              <w:rPr>
                <w:rFonts w:hAnsi="標楷體" w:hint="eastAsia"/>
                <w:sz w:val="28"/>
                <w:szCs w:val="28"/>
                <w:shd w:val="clear" w:color="auto" w:fill="FFFFFF"/>
              </w:rPr>
              <w:t>。</w:t>
            </w:r>
          </w:p>
          <w:p w14:paraId="4CCBF06E" w14:textId="7262D440" w:rsidR="000C69CB" w:rsidRPr="00535039" w:rsidRDefault="000C69CB" w:rsidP="009A02C5">
            <w:pPr>
              <w:adjustRightInd w:val="0"/>
              <w:spacing w:line="340" w:lineRule="exact"/>
              <w:ind w:leftChars="14" w:left="51" w:hangingChars="1" w:hanging="3"/>
              <w:rPr>
                <w:rFonts w:hAnsi="標楷體"/>
                <w:sz w:val="28"/>
                <w:szCs w:val="28"/>
                <w:shd w:val="clear" w:color="auto" w:fill="FFFFFF"/>
              </w:rPr>
            </w:pPr>
            <w:r w:rsidRPr="00535039">
              <w:rPr>
                <w:rFonts w:hAnsi="標楷體" w:hint="eastAsia"/>
                <w:sz w:val="28"/>
                <w:szCs w:val="28"/>
                <w:shd w:val="clear" w:color="auto" w:fill="FFFFFF"/>
              </w:rPr>
              <w:t>(超標200倍)</w:t>
            </w:r>
          </w:p>
        </w:tc>
      </w:tr>
    </w:tbl>
    <w:p w14:paraId="3CE32E15" w14:textId="71AA6524" w:rsidR="000C69CB" w:rsidRPr="00535039" w:rsidRDefault="000C69CB" w:rsidP="00A236E3">
      <w:pPr>
        <w:snapToGrid w:val="0"/>
        <w:ind w:leftChars="-41" w:left="420" w:hangingChars="215" w:hanging="559"/>
        <w:rPr>
          <w:rFonts w:hAnsi="標楷體"/>
          <w:sz w:val="24"/>
          <w:szCs w:val="24"/>
        </w:rPr>
      </w:pPr>
      <w:proofErr w:type="gramStart"/>
      <w:r w:rsidRPr="00535039">
        <w:rPr>
          <w:rFonts w:hAnsi="標楷體" w:hint="eastAsia"/>
          <w:sz w:val="24"/>
          <w:szCs w:val="24"/>
        </w:rPr>
        <w:t>註</w:t>
      </w:r>
      <w:proofErr w:type="gramEnd"/>
      <w:r w:rsidRPr="00535039">
        <w:rPr>
          <w:rFonts w:hAnsi="標楷體" w:hint="eastAsia"/>
          <w:sz w:val="24"/>
          <w:szCs w:val="24"/>
        </w:rPr>
        <w:t>：項次6及7產品外包裝未標示產地，</w:t>
      </w:r>
      <w:proofErr w:type="gramStart"/>
      <w:r w:rsidRPr="00535039">
        <w:rPr>
          <w:rFonts w:hAnsi="標楷體" w:hint="eastAsia"/>
          <w:sz w:val="24"/>
          <w:szCs w:val="24"/>
        </w:rPr>
        <w:t>惟所標示</w:t>
      </w:r>
      <w:proofErr w:type="gramEnd"/>
      <w:r w:rsidRPr="00535039">
        <w:rPr>
          <w:rFonts w:hAnsi="標楷體" w:hint="eastAsia"/>
          <w:sz w:val="24"/>
          <w:szCs w:val="24"/>
        </w:rPr>
        <w:t>的製造商/委製商/進口商資訊，</w:t>
      </w:r>
      <w:proofErr w:type="gramStart"/>
      <w:r w:rsidRPr="00535039">
        <w:rPr>
          <w:rFonts w:hAnsi="標楷體" w:hint="eastAsia"/>
          <w:sz w:val="24"/>
          <w:szCs w:val="24"/>
        </w:rPr>
        <w:t>均為</w:t>
      </w:r>
      <w:r w:rsidR="00C1455A" w:rsidRPr="00535039">
        <w:rPr>
          <w:rFonts w:hAnsi="標楷體" w:hint="eastAsia"/>
          <w:sz w:val="24"/>
          <w:szCs w:val="24"/>
        </w:rPr>
        <w:t>中國</w:t>
      </w:r>
      <w:proofErr w:type="gramEnd"/>
      <w:r w:rsidRPr="00535039">
        <w:rPr>
          <w:rFonts w:hAnsi="標楷體" w:hint="eastAsia"/>
          <w:sz w:val="24"/>
          <w:szCs w:val="24"/>
        </w:rPr>
        <w:t>廠商名稱及</w:t>
      </w:r>
      <w:r w:rsidR="007B6B7A">
        <w:rPr>
          <w:rFonts w:hAnsi="標楷體" w:hint="eastAsia"/>
          <w:sz w:val="24"/>
          <w:szCs w:val="24"/>
        </w:rPr>
        <w:t>地址</w:t>
      </w:r>
      <w:r w:rsidRPr="00535039">
        <w:rPr>
          <w:rFonts w:hAnsi="標楷體" w:hint="eastAsia"/>
          <w:sz w:val="24"/>
          <w:szCs w:val="24"/>
        </w:rPr>
        <w:t>。</w:t>
      </w:r>
    </w:p>
    <w:p w14:paraId="726BBAC9" w14:textId="77777777" w:rsidR="000C69CB" w:rsidRPr="00535039" w:rsidRDefault="000C69CB" w:rsidP="00344843">
      <w:pPr>
        <w:snapToGrid w:val="0"/>
        <w:ind w:leftChars="-41" w:left="712" w:hangingChars="327" w:hanging="851"/>
        <w:rPr>
          <w:rFonts w:hAnsi="標楷體"/>
          <w:sz w:val="24"/>
          <w:szCs w:val="24"/>
        </w:rPr>
      </w:pPr>
      <w:r w:rsidRPr="00535039">
        <w:rPr>
          <w:rFonts w:hAnsi="標楷體" w:hint="eastAsia"/>
          <w:sz w:val="24"/>
          <w:szCs w:val="24"/>
        </w:rPr>
        <w:t>資料來源：依標準局資料彙整。</w:t>
      </w:r>
    </w:p>
    <w:p w14:paraId="29E9A516" w14:textId="46B9E4F5" w:rsidR="000C69CB" w:rsidRPr="00A236E3" w:rsidRDefault="000C69CB" w:rsidP="000C69CB">
      <w:pPr>
        <w:pStyle w:val="3"/>
        <w:numPr>
          <w:ilvl w:val="0"/>
          <w:numId w:val="0"/>
        </w:numPr>
        <w:ind w:left="1361" w:firstLineChars="225" w:firstLine="747"/>
        <w:rPr>
          <w:rFonts w:hAnsi="標楷體"/>
          <w:spacing w:val="-4"/>
        </w:rPr>
      </w:pPr>
      <w:r w:rsidRPr="00A236E3">
        <w:rPr>
          <w:rFonts w:hAnsi="標楷體" w:hint="eastAsia"/>
          <w:spacing w:val="-4"/>
        </w:rPr>
        <w:t>標準局再於114年6月辦理家庭用塑膠手套市場檢測計畫，共計購樣10件，同依據CNS 6632進行塑化劑含量檢測及查核中文標示，結果高達7件商品其塑化劑含量不符合規定(</w:t>
      </w:r>
      <w:proofErr w:type="gramStart"/>
      <w:r w:rsidRPr="00A236E3">
        <w:rPr>
          <w:rFonts w:hAnsi="標楷體" w:hint="eastAsia"/>
          <w:spacing w:val="-4"/>
        </w:rPr>
        <w:t>詳表</w:t>
      </w:r>
      <w:proofErr w:type="gramEnd"/>
      <w:r w:rsidR="00A57236">
        <w:rPr>
          <w:rFonts w:hAnsi="標楷體" w:hint="eastAsia"/>
          <w:spacing w:val="-4"/>
        </w:rPr>
        <w:t>6</w:t>
      </w:r>
      <w:r w:rsidRPr="00A236E3">
        <w:rPr>
          <w:rFonts w:hAnsi="標楷體" w:hint="eastAsia"/>
          <w:spacing w:val="-4"/>
        </w:rPr>
        <w:t>)，不合格率達70%，且超</w:t>
      </w:r>
      <w:proofErr w:type="gramStart"/>
      <w:r w:rsidRPr="00A236E3">
        <w:rPr>
          <w:rFonts w:hAnsi="標楷體" w:hint="eastAsia"/>
          <w:spacing w:val="-4"/>
        </w:rPr>
        <w:t>標均</w:t>
      </w:r>
      <w:r w:rsidRPr="005B1ADC">
        <w:rPr>
          <w:rFonts w:hAnsi="標楷體" w:hint="eastAsia"/>
          <w:spacing w:val="-4"/>
        </w:rPr>
        <w:t>達</w:t>
      </w:r>
      <w:r w:rsidR="002B17B0" w:rsidRPr="005B1ADC">
        <w:rPr>
          <w:rFonts w:hAnsi="標楷體" w:hint="eastAsia"/>
          <w:spacing w:val="-4"/>
        </w:rPr>
        <w:t>25</w:t>
      </w:r>
      <w:r w:rsidRPr="005B1ADC">
        <w:rPr>
          <w:rFonts w:hAnsi="標楷體" w:hint="eastAsia"/>
          <w:spacing w:val="-4"/>
        </w:rPr>
        <w:t>0倍</w:t>
      </w:r>
      <w:proofErr w:type="gramEnd"/>
      <w:r w:rsidRPr="005B1ADC">
        <w:rPr>
          <w:rFonts w:hAnsi="標楷體" w:hint="eastAsia"/>
          <w:spacing w:val="-4"/>
        </w:rPr>
        <w:t>以上</w:t>
      </w:r>
      <w:r w:rsidRPr="00A236E3">
        <w:rPr>
          <w:rFonts w:hAnsi="標楷體" w:hint="eastAsia"/>
          <w:spacing w:val="-4"/>
        </w:rPr>
        <w:t>，最嚴重者達461倍，</w:t>
      </w:r>
      <w:proofErr w:type="gramStart"/>
      <w:r w:rsidRPr="00A236E3">
        <w:rPr>
          <w:rFonts w:hAnsi="標楷體" w:hint="eastAsia"/>
          <w:spacing w:val="-4"/>
        </w:rPr>
        <w:t>產地均為</w:t>
      </w:r>
      <w:r w:rsidR="00C1455A" w:rsidRPr="00A236E3">
        <w:rPr>
          <w:rFonts w:hAnsi="標楷體" w:hint="eastAsia"/>
          <w:spacing w:val="-4"/>
        </w:rPr>
        <w:t>中國</w:t>
      </w:r>
      <w:proofErr w:type="gramEnd"/>
      <w:r w:rsidRPr="00A236E3">
        <w:rPr>
          <w:rFonts w:hAnsi="標楷體" w:hint="eastAsia"/>
          <w:spacing w:val="-4"/>
        </w:rPr>
        <w:t>；另未依商品標示法規定正確標示者計9件。</w:t>
      </w:r>
    </w:p>
    <w:p w14:paraId="036EFE69" w14:textId="77777777" w:rsidR="000C69CB" w:rsidRPr="00535039" w:rsidRDefault="000C69CB" w:rsidP="000C69CB">
      <w:pPr>
        <w:pStyle w:val="a3"/>
        <w:spacing w:before="0" w:after="0"/>
        <w:ind w:left="1148" w:hanging="672"/>
        <w:rPr>
          <w:rFonts w:hAnsi="標楷體"/>
        </w:rPr>
      </w:pPr>
      <w:r w:rsidRPr="00535039">
        <w:rPr>
          <w:rFonts w:hAnsi="標楷體" w:hint="eastAsia"/>
        </w:rPr>
        <w:t>標準局114年6月「家庭用聚氯乙烯塑膠手套」專案市場購樣檢測塑化劑含量不合格結果彙整表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20"/>
        <w:gridCol w:w="1869"/>
        <w:gridCol w:w="1155"/>
        <w:gridCol w:w="5082"/>
      </w:tblGrid>
      <w:tr w:rsidR="007E5433" w:rsidRPr="00535039" w14:paraId="078550B3" w14:textId="77777777" w:rsidTr="00C1455A">
        <w:trPr>
          <w:cantSplit/>
          <w:trHeight w:val="20"/>
          <w:tblHeader/>
          <w:jc w:val="center"/>
        </w:trPr>
        <w:tc>
          <w:tcPr>
            <w:tcW w:w="820" w:type="dxa"/>
            <w:vAlign w:val="center"/>
          </w:tcPr>
          <w:p w14:paraId="5422A536" w14:textId="77777777" w:rsidR="000C69CB" w:rsidRPr="00535039" w:rsidRDefault="000C69CB" w:rsidP="00806440">
            <w:pPr>
              <w:pStyle w:val="xl28"/>
              <w:widowControl w:val="0"/>
              <w:pBdr>
                <w:left w:val="none" w:sz="0" w:space="0" w:color="auto"/>
                <w:bottom w:val="none" w:sz="0" w:space="0" w:color="auto"/>
                <w:right w:val="none" w:sz="0" w:space="0" w:color="auto"/>
              </w:pBdr>
              <w:snapToGrid w:val="0"/>
              <w:spacing w:before="0" w:after="0"/>
              <w:ind w:left="450" w:hanging="450"/>
              <w:rPr>
                <w:rFonts w:ascii="標楷體" w:eastAsia="標楷體" w:hAnsi="標楷體"/>
                <w:bCs/>
                <w:kern w:val="2"/>
                <w:sz w:val="28"/>
                <w:szCs w:val="28"/>
              </w:rPr>
            </w:pPr>
            <w:r w:rsidRPr="00535039">
              <w:rPr>
                <w:rFonts w:ascii="標楷體" w:eastAsia="標楷體" w:hAnsi="標楷體" w:hint="eastAsia"/>
                <w:bCs/>
                <w:kern w:val="2"/>
                <w:sz w:val="28"/>
                <w:szCs w:val="28"/>
              </w:rPr>
              <w:t>項次</w:t>
            </w:r>
          </w:p>
        </w:tc>
        <w:tc>
          <w:tcPr>
            <w:tcW w:w="1869" w:type="dxa"/>
            <w:vAlign w:val="center"/>
          </w:tcPr>
          <w:p w14:paraId="5028E2C1" w14:textId="77777777" w:rsidR="000C69CB" w:rsidRPr="00535039" w:rsidRDefault="000C69CB" w:rsidP="00806440">
            <w:pPr>
              <w:snapToGrid w:val="0"/>
              <w:jc w:val="center"/>
              <w:rPr>
                <w:rFonts w:hAnsi="標楷體"/>
                <w:bCs/>
                <w:sz w:val="28"/>
                <w:szCs w:val="28"/>
              </w:rPr>
            </w:pPr>
            <w:r w:rsidRPr="00535039">
              <w:rPr>
                <w:rFonts w:hAnsi="標楷體" w:hint="eastAsia"/>
                <w:bCs/>
                <w:sz w:val="28"/>
                <w:szCs w:val="28"/>
              </w:rPr>
              <w:t>品名</w:t>
            </w:r>
          </w:p>
        </w:tc>
        <w:tc>
          <w:tcPr>
            <w:tcW w:w="1155" w:type="dxa"/>
            <w:vAlign w:val="center"/>
          </w:tcPr>
          <w:p w14:paraId="4B8FF3A8" w14:textId="77777777" w:rsidR="000C69CB" w:rsidRPr="00535039" w:rsidRDefault="000C69CB" w:rsidP="00806440">
            <w:pPr>
              <w:snapToGrid w:val="0"/>
              <w:jc w:val="center"/>
              <w:rPr>
                <w:rFonts w:hAnsi="標楷體"/>
                <w:bCs/>
                <w:sz w:val="28"/>
                <w:szCs w:val="28"/>
              </w:rPr>
            </w:pPr>
            <w:r w:rsidRPr="00535039">
              <w:rPr>
                <w:rFonts w:hAnsi="標楷體" w:hint="eastAsia"/>
                <w:bCs/>
                <w:sz w:val="28"/>
                <w:szCs w:val="28"/>
              </w:rPr>
              <w:t>產地</w:t>
            </w:r>
          </w:p>
        </w:tc>
        <w:tc>
          <w:tcPr>
            <w:tcW w:w="5082" w:type="dxa"/>
            <w:vAlign w:val="center"/>
          </w:tcPr>
          <w:p w14:paraId="6C83634C" w14:textId="77777777" w:rsidR="000C69CB" w:rsidRPr="00535039" w:rsidRDefault="000C69CB" w:rsidP="00806440">
            <w:pPr>
              <w:snapToGrid w:val="0"/>
              <w:jc w:val="center"/>
              <w:rPr>
                <w:rFonts w:hAnsi="標楷體"/>
                <w:bCs/>
                <w:sz w:val="28"/>
                <w:szCs w:val="28"/>
              </w:rPr>
            </w:pPr>
            <w:r w:rsidRPr="00535039">
              <w:rPr>
                <w:rFonts w:hAnsi="標楷體" w:hint="eastAsia"/>
                <w:bCs/>
                <w:sz w:val="28"/>
                <w:szCs w:val="28"/>
              </w:rPr>
              <w:t>品質項目檢測結果</w:t>
            </w:r>
          </w:p>
        </w:tc>
      </w:tr>
      <w:tr w:rsidR="007E5433" w:rsidRPr="00535039" w14:paraId="47C091B5" w14:textId="77777777" w:rsidTr="00C1455A">
        <w:trPr>
          <w:cantSplit/>
          <w:trHeight w:val="20"/>
          <w:jc w:val="center"/>
        </w:trPr>
        <w:tc>
          <w:tcPr>
            <w:tcW w:w="820" w:type="dxa"/>
            <w:vAlign w:val="center"/>
          </w:tcPr>
          <w:p w14:paraId="2075A0B2" w14:textId="77777777" w:rsidR="000C69CB" w:rsidRPr="00535039" w:rsidRDefault="000C69CB" w:rsidP="00A236E3">
            <w:pPr>
              <w:pStyle w:val="xl28"/>
              <w:widowControl w:val="0"/>
              <w:pBdr>
                <w:left w:val="none" w:sz="0" w:space="0" w:color="auto"/>
                <w:bottom w:val="none" w:sz="0" w:space="0" w:color="auto"/>
                <w:right w:val="none" w:sz="0" w:space="0" w:color="auto"/>
              </w:pBdr>
              <w:snapToGrid w:val="0"/>
              <w:spacing w:before="0" w:after="0" w:line="360" w:lineRule="exact"/>
              <w:ind w:left="450" w:hanging="450"/>
              <w:rPr>
                <w:rFonts w:ascii="標楷體" w:eastAsia="標楷體" w:hAnsi="標楷體"/>
                <w:bCs/>
                <w:kern w:val="2"/>
                <w:sz w:val="28"/>
                <w:szCs w:val="28"/>
              </w:rPr>
            </w:pPr>
            <w:r w:rsidRPr="00535039">
              <w:rPr>
                <w:rFonts w:ascii="標楷體" w:eastAsia="標楷體" w:hAnsi="標楷體"/>
                <w:bCs/>
                <w:kern w:val="2"/>
                <w:sz w:val="28"/>
                <w:szCs w:val="28"/>
              </w:rPr>
              <w:t>1</w:t>
            </w:r>
          </w:p>
        </w:tc>
        <w:tc>
          <w:tcPr>
            <w:tcW w:w="1869" w:type="dxa"/>
            <w:vAlign w:val="center"/>
          </w:tcPr>
          <w:p w14:paraId="5BA292F2" w14:textId="77777777" w:rsidR="000C69CB" w:rsidRPr="00535039" w:rsidRDefault="000C69CB" w:rsidP="00A236E3">
            <w:pPr>
              <w:snapToGrid w:val="0"/>
              <w:spacing w:line="360" w:lineRule="exact"/>
              <w:jc w:val="left"/>
              <w:rPr>
                <w:rFonts w:hAnsi="標楷體"/>
                <w:bCs/>
                <w:sz w:val="28"/>
                <w:szCs w:val="28"/>
              </w:rPr>
            </w:pPr>
            <w:r w:rsidRPr="00535039">
              <w:rPr>
                <w:rFonts w:hAnsi="標楷體" w:hint="eastAsia"/>
                <w:bCs/>
                <w:sz w:val="28"/>
                <w:szCs w:val="28"/>
              </w:rPr>
              <w:t>○○</w:t>
            </w:r>
            <w:r w:rsidRPr="00535039">
              <w:rPr>
                <w:rFonts w:hAnsi="標楷體"/>
                <w:bCs/>
                <w:sz w:val="28"/>
                <w:szCs w:val="28"/>
              </w:rPr>
              <w:t>防護手套</w:t>
            </w:r>
          </w:p>
        </w:tc>
        <w:tc>
          <w:tcPr>
            <w:tcW w:w="1155" w:type="dxa"/>
            <w:vAlign w:val="center"/>
          </w:tcPr>
          <w:p w14:paraId="06EC364B" w14:textId="312F346F" w:rsidR="000C69CB" w:rsidRPr="00535039" w:rsidRDefault="00C1455A" w:rsidP="00A236E3">
            <w:pPr>
              <w:snapToGrid w:val="0"/>
              <w:spacing w:line="360" w:lineRule="exact"/>
              <w:ind w:left="-43" w:rightChars="-10" w:right="-34"/>
              <w:jc w:val="center"/>
              <w:rPr>
                <w:rFonts w:hAnsi="標楷體"/>
                <w:bCs/>
                <w:sz w:val="28"/>
                <w:szCs w:val="28"/>
              </w:rPr>
            </w:pPr>
            <w:r w:rsidRPr="00535039">
              <w:rPr>
                <w:rFonts w:hAnsi="標楷體"/>
                <w:bCs/>
                <w:sz w:val="28"/>
                <w:szCs w:val="28"/>
              </w:rPr>
              <w:t>中國</w:t>
            </w:r>
          </w:p>
        </w:tc>
        <w:tc>
          <w:tcPr>
            <w:tcW w:w="5082" w:type="dxa"/>
            <w:vAlign w:val="center"/>
          </w:tcPr>
          <w:p w14:paraId="29FB9F43" w14:textId="77777777" w:rsidR="00814CC0" w:rsidRPr="00535039" w:rsidRDefault="000C69CB" w:rsidP="00A236E3">
            <w:pPr>
              <w:adjustRightInd w:val="0"/>
              <w:snapToGrid w:val="0"/>
              <w:spacing w:line="360" w:lineRule="exact"/>
              <w:ind w:leftChars="14" w:left="51" w:hangingChars="1" w:hanging="3"/>
              <w:rPr>
                <w:rFonts w:hAnsi="標楷體"/>
                <w:sz w:val="28"/>
                <w:szCs w:val="28"/>
                <w:shd w:val="clear" w:color="auto" w:fill="FFFFFF"/>
              </w:rPr>
            </w:pPr>
            <w:r w:rsidRPr="00535039">
              <w:rPr>
                <w:rFonts w:hAnsi="標楷體"/>
                <w:sz w:val="28"/>
                <w:szCs w:val="28"/>
                <w:shd w:val="clear" w:color="auto" w:fill="FFFFFF"/>
              </w:rPr>
              <w:t>塑化劑含量為46.1%，超過CNS 6632塑化劑含量0.1%之規定</w:t>
            </w:r>
            <w:r w:rsidRPr="00535039">
              <w:rPr>
                <w:rFonts w:hAnsi="標楷體" w:hint="eastAsia"/>
                <w:sz w:val="28"/>
                <w:szCs w:val="28"/>
                <w:shd w:val="clear" w:color="auto" w:fill="FFFFFF"/>
              </w:rPr>
              <w:t>。</w:t>
            </w:r>
          </w:p>
          <w:p w14:paraId="1DF47F33" w14:textId="7DFB3A61" w:rsidR="000C69CB" w:rsidRPr="00535039" w:rsidRDefault="000C69CB" w:rsidP="00A236E3">
            <w:pPr>
              <w:adjustRightInd w:val="0"/>
              <w:snapToGrid w:val="0"/>
              <w:spacing w:line="360" w:lineRule="exact"/>
              <w:ind w:leftChars="14" w:left="51" w:hangingChars="1" w:hanging="3"/>
              <w:rPr>
                <w:rFonts w:hAnsi="標楷體"/>
                <w:sz w:val="28"/>
                <w:szCs w:val="28"/>
                <w:shd w:val="clear" w:color="auto" w:fill="FFFFFF"/>
              </w:rPr>
            </w:pPr>
            <w:r w:rsidRPr="00535039">
              <w:rPr>
                <w:rFonts w:hAnsi="標楷體" w:hint="eastAsia"/>
                <w:sz w:val="28"/>
                <w:szCs w:val="28"/>
                <w:shd w:val="clear" w:color="auto" w:fill="FFFFFF"/>
              </w:rPr>
              <w:t>(超標</w:t>
            </w:r>
            <w:r w:rsidRPr="00535039">
              <w:rPr>
                <w:rFonts w:hAnsi="標楷體"/>
                <w:sz w:val="28"/>
                <w:szCs w:val="28"/>
                <w:shd w:val="clear" w:color="auto" w:fill="FFFFFF"/>
              </w:rPr>
              <w:t>461</w:t>
            </w:r>
            <w:r w:rsidRPr="00535039">
              <w:rPr>
                <w:rFonts w:hAnsi="標楷體" w:hint="eastAsia"/>
                <w:sz w:val="28"/>
                <w:szCs w:val="28"/>
                <w:shd w:val="clear" w:color="auto" w:fill="FFFFFF"/>
              </w:rPr>
              <w:t>倍)</w:t>
            </w:r>
          </w:p>
        </w:tc>
      </w:tr>
      <w:tr w:rsidR="007E5433" w:rsidRPr="00535039" w14:paraId="72AA09F5" w14:textId="77777777" w:rsidTr="00C1455A">
        <w:trPr>
          <w:cantSplit/>
          <w:trHeight w:val="20"/>
          <w:jc w:val="center"/>
        </w:trPr>
        <w:tc>
          <w:tcPr>
            <w:tcW w:w="820" w:type="dxa"/>
            <w:vAlign w:val="center"/>
          </w:tcPr>
          <w:p w14:paraId="41A29FD9" w14:textId="77777777" w:rsidR="000C69CB" w:rsidRPr="00535039" w:rsidRDefault="000C69CB" w:rsidP="00A236E3">
            <w:pPr>
              <w:pStyle w:val="xl28"/>
              <w:widowControl w:val="0"/>
              <w:pBdr>
                <w:left w:val="none" w:sz="0" w:space="0" w:color="auto"/>
                <w:bottom w:val="none" w:sz="0" w:space="0" w:color="auto"/>
                <w:right w:val="none" w:sz="0" w:space="0" w:color="auto"/>
              </w:pBdr>
              <w:snapToGrid w:val="0"/>
              <w:spacing w:before="0" w:after="0" w:line="360" w:lineRule="exact"/>
              <w:ind w:left="450" w:hanging="450"/>
              <w:rPr>
                <w:rFonts w:ascii="標楷體" w:eastAsia="標楷體" w:hAnsi="標楷體"/>
                <w:bCs/>
                <w:kern w:val="2"/>
                <w:sz w:val="28"/>
                <w:szCs w:val="28"/>
              </w:rPr>
            </w:pPr>
            <w:r w:rsidRPr="00535039">
              <w:rPr>
                <w:rFonts w:ascii="標楷體" w:eastAsia="標楷體" w:hAnsi="標楷體"/>
                <w:bCs/>
                <w:kern w:val="2"/>
                <w:sz w:val="28"/>
                <w:szCs w:val="28"/>
              </w:rPr>
              <w:t>2</w:t>
            </w:r>
          </w:p>
        </w:tc>
        <w:tc>
          <w:tcPr>
            <w:tcW w:w="1869" w:type="dxa"/>
            <w:vAlign w:val="center"/>
          </w:tcPr>
          <w:p w14:paraId="16DB3288" w14:textId="77777777" w:rsidR="000C69CB" w:rsidRPr="00535039" w:rsidRDefault="000C69CB" w:rsidP="00A236E3">
            <w:pPr>
              <w:snapToGrid w:val="0"/>
              <w:spacing w:line="360" w:lineRule="exact"/>
              <w:jc w:val="left"/>
              <w:rPr>
                <w:rFonts w:hAnsi="標楷體"/>
                <w:bCs/>
                <w:sz w:val="28"/>
                <w:szCs w:val="28"/>
              </w:rPr>
            </w:pPr>
            <w:r w:rsidRPr="00535039">
              <w:rPr>
                <w:rFonts w:hAnsi="標楷體" w:hint="eastAsia"/>
                <w:bCs/>
                <w:sz w:val="28"/>
                <w:szCs w:val="28"/>
              </w:rPr>
              <w:t>○○束口手套</w:t>
            </w:r>
          </w:p>
        </w:tc>
        <w:tc>
          <w:tcPr>
            <w:tcW w:w="1155" w:type="dxa"/>
            <w:vAlign w:val="center"/>
          </w:tcPr>
          <w:p w14:paraId="722E580E" w14:textId="15D09D86" w:rsidR="000C69CB" w:rsidRPr="00535039" w:rsidRDefault="00C1455A" w:rsidP="00A236E3">
            <w:pPr>
              <w:snapToGrid w:val="0"/>
              <w:spacing w:line="360" w:lineRule="exact"/>
              <w:ind w:left="-43" w:rightChars="-10" w:right="-34"/>
              <w:jc w:val="center"/>
              <w:rPr>
                <w:rFonts w:hAnsi="標楷體"/>
                <w:bCs/>
                <w:sz w:val="28"/>
                <w:szCs w:val="28"/>
              </w:rPr>
            </w:pPr>
            <w:r w:rsidRPr="00535039">
              <w:rPr>
                <w:rFonts w:hAnsi="標楷體"/>
                <w:bCs/>
                <w:sz w:val="28"/>
                <w:szCs w:val="28"/>
              </w:rPr>
              <w:t>中國</w:t>
            </w:r>
          </w:p>
        </w:tc>
        <w:tc>
          <w:tcPr>
            <w:tcW w:w="5082" w:type="dxa"/>
            <w:vAlign w:val="center"/>
          </w:tcPr>
          <w:p w14:paraId="347FDDC3" w14:textId="77777777" w:rsidR="00814CC0" w:rsidRPr="00535039" w:rsidRDefault="000C69CB" w:rsidP="00A236E3">
            <w:pPr>
              <w:adjustRightInd w:val="0"/>
              <w:snapToGrid w:val="0"/>
              <w:spacing w:line="360" w:lineRule="exact"/>
              <w:ind w:leftChars="14" w:left="51" w:hangingChars="1" w:hanging="3"/>
              <w:rPr>
                <w:rFonts w:hAnsi="標楷體"/>
                <w:sz w:val="28"/>
                <w:szCs w:val="28"/>
                <w:shd w:val="clear" w:color="auto" w:fill="FFFFFF"/>
              </w:rPr>
            </w:pPr>
            <w:r w:rsidRPr="00535039">
              <w:rPr>
                <w:rFonts w:hAnsi="標楷體"/>
                <w:sz w:val="28"/>
                <w:szCs w:val="28"/>
                <w:shd w:val="clear" w:color="auto" w:fill="FFFFFF"/>
              </w:rPr>
              <w:t>塑化劑含量為</w:t>
            </w:r>
            <w:r w:rsidRPr="00535039">
              <w:rPr>
                <w:rFonts w:hAnsi="標楷體" w:hint="eastAsia"/>
                <w:sz w:val="28"/>
                <w:szCs w:val="28"/>
                <w:shd w:val="clear" w:color="auto" w:fill="FFFFFF"/>
              </w:rPr>
              <w:t>30</w:t>
            </w:r>
            <w:r w:rsidRPr="00535039">
              <w:rPr>
                <w:rFonts w:hAnsi="標楷體"/>
                <w:sz w:val="28"/>
                <w:szCs w:val="28"/>
                <w:shd w:val="clear" w:color="auto" w:fill="FFFFFF"/>
              </w:rPr>
              <w:t>.</w:t>
            </w:r>
            <w:r w:rsidRPr="00535039">
              <w:rPr>
                <w:rFonts w:hAnsi="標楷體" w:hint="eastAsia"/>
                <w:sz w:val="28"/>
                <w:szCs w:val="28"/>
                <w:shd w:val="clear" w:color="auto" w:fill="FFFFFF"/>
              </w:rPr>
              <w:t>8</w:t>
            </w:r>
            <w:r w:rsidRPr="00535039">
              <w:rPr>
                <w:rFonts w:hAnsi="標楷體"/>
                <w:sz w:val="28"/>
                <w:szCs w:val="28"/>
                <w:shd w:val="clear" w:color="auto" w:fill="FFFFFF"/>
              </w:rPr>
              <w:t>%，超過CNS 6632塑化劑含量0.1%之規定</w:t>
            </w:r>
            <w:r w:rsidRPr="00535039">
              <w:rPr>
                <w:rFonts w:hAnsi="標楷體" w:hint="eastAsia"/>
                <w:sz w:val="28"/>
                <w:szCs w:val="28"/>
                <w:shd w:val="clear" w:color="auto" w:fill="FFFFFF"/>
              </w:rPr>
              <w:t>。</w:t>
            </w:r>
          </w:p>
          <w:p w14:paraId="3199C1BC" w14:textId="3519A947" w:rsidR="000C69CB" w:rsidRPr="00535039" w:rsidRDefault="000C69CB" w:rsidP="00A236E3">
            <w:pPr>
              <w:adjustRightInd w:val="0"/>
              <w:snapToGrid w:val="0"/>
              <w:spacing w:line="360" w:lineRule="exact"/>
              <w:ind w:leftChars="14" w:left="51" w:hangingChars="1" w:hanging="3"/>
              <w:rPr>
                <w:rFonts w:hAnsi="標楷體"/>
                <w:sz w:val="28"/>
                <w:szCs w:val="28"/>
                <w:shd w:val="clear" w:color="auto" w:fill="FFFFFF"/>
              </w:rPr>
            </w:pPr>
            <w:r w:rsidRPr="00535039">
              <w:rPr>
                <w:rFonts w:hAnsi="標楷體" w:hint="eastAsia"/>
                <w:sz w:val="28"/>
                <w:szCs w:val="28"/>
                <w:shd w:val="clear" w:color="auto" w:fill="FFFFFF"/>
              </w:rPr>
              <w:t>(超標308倍)</w:t>
            </w:r>
          </w:p>
        </w:tc>
      </w:tr>
      <w:tr w:rsidR="007E5433" w:rsidRPr="00535039" w14:paraId="7700CC82" w14:textId="77777777" w:rsidTr="00C1455A">
        <w:trPr>
          <w:cantSplit/>
          <w:trHeight w:val="20"/>
          <w:jc w:val="center"/>
        </w:trPr>
        <w:tc>
          <w:tcPr>
            <w:tcW w:w="820" w:type="dxa"/>
            <w:vAlign w:val="center"/>
          </w:tcPr>
          <w:p w14:paraId="004CF2D8" w14:textId="77777777" w:rsidR="000C69CB" w:rsidRPr="00535039" w:rsidRDefault="000C69CB" w:rsidP="00A236E3">
            <w:pPr>
              <w:snapToGrid w:val="0"/>
              <w:spacing w:line="360" w:lineRule="exact"/>
              <w:ind w:left="448" w:hanging="448"/>
              <w:jc w:val="center"/>
              <w:rPr>
                <w:rFonts w:hAnsi="標楷體"/>
                <w:bCs/>
                <w:sz w:val="28"/>
                <w:szCs w:val="28"/>
              </w:rPr>
            </w:pPr>
            <w:r w:rsidRPr="00535039">
              <w:rPr>
                <w:rFonts w:hAnsi="標楷體"/>
                <w:bCs/>
                <w:sz w:val="28"/>
                <w:szCs w:val="28"/>
              </w:rPr>
              <w:t>3</w:t>
            </w:r>
          </w:p>
        </w:tc>
        <w:tc>
          <w:tcPr>
            <w:tcW w:w="1869" w:type="dxa"/>
            <w:vAlign w:val="center"/>
          </w:tcPr>
          <w:p w14:paraId="230CFF3E" w14:textId="77777777" w:rsidR="000C69CB" w:rsidRPr="00535039" w:rsidRDefault="000C69CB" w:rsidP="00A236E3">
            <w:pPr>
              <w:adjustRightInd w:val="0"/>
              <w:snapToGrid w:val="0"/>
              <w:spacing w:line="360" w:lineRule="exact"/>
              <w:ind w:rightChars="-30" w:right="-102" w:firstLine="30"/>
              <w:jc w:val="left"/>
              <w:rPr>
                <w:rFonts w:hAnsi="標楷體"/>
                <w:bCs/>
                <w:sz w:val="28"/>
                <w:szCs w:val="28"/>
              </w:rPr>
            </w:pPr>
            <w:r w:rsidRPr="00535039">
              <w:rPr>
                <w:rFonts w:hAnsi="標楷體" w:hint="eastAsia"/>
                <w:bCs/>
                <w:sz w:val="28"/>
                <w:szCs w:val="28"/>
              </w:rPr>
              <w:t>○○一體保暖手套</w:t>
            </w:r>
          </w:p>
        </w:tc>
        <w:tc>
          <w:tcPr>
            <w:tcW w:w="1155" w:type="dxa"/>
            <w:vAlign w:val="center"/>
          </w:tcPr>
          <w:p w14:paraId="44A8BEE6" w14:textId="1BBBB911" w:rsidR="000C69CB" w:rsidRPr="00535039" w:rsidRDefault="00C1455A" w:rsidP="00A236E3">
            <w:pPr>
              <w:snapToGrid w:val="0"/>
              <w:spacing w:line="360" w:lineRule="exact"/>
              <w:ind w:left="-43" w:rightChars="-10" w:right="-34"/>
              <w:jc w:val="center"/>
              <w:rPr>
                <w:rFonts w:hAnsi="標楷體"/>
                <w:bCs/>
                <w:sz w:val="28"/>
                <w:szCs w:val="28"/>
              </w:rPr>
            </w:pPr>
            <w:r w:rsidRPr="00535039">
              <w:rPr>
                <w:rFonts w:hAnsi="標楷體"/>
                <w:bCs/>
                <w:sz w:val="28"/>
                <w:szCs w:val="28"/>
              </w:rPr>
              <w:t>中國</w:t>
            </w:r>
          </w:p>
        </w:tc>
        <w:tc>
          <w:tcPr>
            <w:tcW w:w="5082" w:type="dxa"/>
            <w:vAlign w:val="center"/>
          </w:tcPr>
          <w:p w14:paraId="398C352D" w14:textId="77777777" w:rsidR="00814CC0" w:rsidRPr="00535039" w:rsidRDefault="000C69CB" w:rsidP="00A236E3">
            <w:pPr>
              <w:adjustRightInd w:val="0"/>
              <w:snapToGrid w:val="0"/>
              <w:spacing w:line="360" w:lineRule="exact"/>
              <w:ind w:leftChars="14" w:left="51" w:hangingChars="1" w:hanging="3"/>
              <w:rPr>
                <w:rFonts w:hAnsi="標楷體"/>
                <w:sz w:val="28"/>
                <w:szCs w:val="28"/>
                <w:shd w:val="clear" w:color="auto" w:fill="FFFFFF"/>
              </w:rPr>
            </w:pPr>
            <w:r w:rsidRPr="00535039">
              <w:rPr>
                <w:rFonts w:hAnsi="標楷體"/>
                <w:sz w:val="28"/>
                <w:szCs w:val="28"/>
                <w:shd w:val="clear" w:color="auto" w:fill="FFFFFF"/>
              </w:rPr>
              <w:t>塑化劑含量為</w:t>
            </w:r>
            <w:r w:rsidRPr="00535039">
              <w:rPr>
                <w:rFonts w:hAnsi="標楷體" w:hint="eastAsia"/>
                <w:sz w:val="28"/>
                <w:szCs w:val="28"/>
                <w:shd w:val="clear" w:color="auto" w:fill="FFFFFF"/>
              </w:rPr>
              <w:t>35</w:t>
            </w:r>
            <w:r w:rsidRPr="00535039">
              <w:rPr>
                <w:rFonts w:hAnsi="標楷體"/>
                <w:sz w:val="28"/>
                <w:szCs w:val="28"/>
                <w:shd w:val="clear" w:color="auto" w:fill="FFFFFF"/>
              </w:rPr>
              <w:t>.</w:t>
            </w:r>
            <w:r w:rsidRPr="00535039">
              <w:rPr>
                <w:rFonts w:hAnsi="標楷體" w:hint="eastAsia"/>
                <w:sz w:val="28"/>
                <w:szCs w:val="28"/>
                <w:shd w:val="clear" w:color="auto" w:fill="FFFFFF"/>
              </w:rPr>
              <w:t>9</w:t>
            </w:r>
            <w:r w:rsidRPr="00535039">
              <w:rPr>
                <w:rFonts w:hAnsi="標楷體"/>
                <w:sz w:val="28"/>
                <w:szCs w:val="28"/>
                <w:shd w:val="clear" w:color="auto" w:fill="FFFFFF"/>
              </w:rPr>
              <w:t>%，超過CNS 6632塑化劑含量0.1%之規定</w:t>
            </w:r>
            <w:r w:rsidRPr="00535039">
              <w:rPr>
                <w:rFonts w:hAnsi="標楷體" w:hint="eastAsia"/>
                <w:sz w:val="28"/>
                <w:szCs w:val="28"/>
                <w:shd w:val="clear" w:color="auto" w:fill="FFFFFF"/>
              </w:rPr>
              <w:t>。</w:t>
            </w:r>
          </w:p>
          <w:p w14:paraId="3DFEE76B" w14:textId="286B5AEE" w:rsidR="000C69CB" w:rsidRPr="00535039" w:rsidRDefault="000C69CB" w:rsidP="00A236E3">
            <w:pPr>
              <w:adjustRightInd w:val="0"/>
              <w:snapToGrid w:val="0"/>
              <w:spacing w:line="360" w:lineRule="exact"/>
              <w:ind w:leftChars="14" w:left="51" w:hangingChars="1" w:hanging="3"/>
              <w:rPr>
                <w:rFonts w:hAnsi="標楷體"/>
                <w:sz w:val="28"/>
                <w:szCs w:val="28"/>
                <w:shd w:val="clear" w:color="auto" w:fill="FFFFFF"/>
              </w:rPr>
            </w:pPr>
            <w:r w:rsidRPr="00535039">
              <w:rPr>
                <w:rFonts w:hAnsi="標楷體" w:hint="eastAsia"/>
                <w:sz w:val="28"/>
                <w:szCs w:val="28"/>
                <w:shd w:val="clear" w:color="auto" w:fill="FFFFFF"/>
              </w:rPr>
              <w:t>(超標359倍)</w:t>
            </w:r>
          </w:p>
        </w:tc>
      </w:tr>
      <w:tr w:rsidR="007E5433" w:rsidRPr="00535039" w14:paraId="3C4D73C9" w14:textId="77777777" w:rsidTr="00C1455A">
        <w:trPr>
          <w:cantSplit/>
          <w:trHeight w:val="20"/>
          <w:jc w:val="center"/>
        </w:trPr>
        <w:tc>
          <w:tcPr>
            <w:tcW w:w="820" w:type="dxa"/>
            <w:vAlign w:val="center"/>
          </w:tcPr>
          <w:p w14:paraId="74B292DB" w14:textId="77777777" w:rsidR="000C69CB" w:rsidRPr="00535039" w:rsidRDefault="000C69CB" w:rsidP="00A236E3">
            <w:pPr>
              <w:snapToGrid w:val="0"/>
              <w:spacing w:line="360" w:lineRule="exact"/>
              <w:ind w:left="448" w:hanging="448"/>
              <w:jc w:val="center"/>
              <w:rPr>
                <w:rFonts w:hAnsi="標楷體"/>
                <w:bCs/>
                <w:sz w:val="28"/>
                <w:szCs w:val="28"/>
              </w:rPr>
            </w:pPr>
            <w:r w:rsidRPr="00535039">
              <w:rPr>
                <w:rFonts w:hAnsi="標楷體"/>
                <w:bCs/>
                <w:sz w:val="28"/>
                <w:szCs w:val="28"/>
              </w:rPr>
              <w:t>4</w:t>
            </w:r>
          </w:p>
        </w:tc>
        <w:tc>
          <w:tcPr>
            <w:tcW w:w="1869" w:type="dxa"/>
            <w:vAlign w:val="center"/>
          </w:tcPr>
          <w:p w14:paraId="01B8D0AD" w14:textId="77777777" w:rsidR="000C69CB" w:rsidRPr="00535039" w:rsidRDefault="000C69CB" w:rsidP="00A236E3">
            <w:pPr>
              <w:adjustRightInd w:val="0"/>
              <w:snapToGrid w:val="0"/>
              <w:spacing w:line="360" w:lineRule="exact"/>
              <w:ind w:firstLine="72"/>
              <w:jc w:val="left"/>
              <w:rPr>
                <w:rFonts w:hAnsi="標楷體"/>
                <w:bCs/>
                <w:sz w:val="28"/>
                <w:szCs w:val="28"/>
              </w:rPr>
            </w:pPr>
            <w:r w:rsidRPr="00535039">
              <w:rPr>
                <w:rFonts w:hAnsi="標楷體" w:hint="eastAsia"/>
                <w:bCs/>
                <w:sz w:val="28"/>
                <w:szCs w:val="28"/>
              </w:rPr>
              <w:t>○○手套</w:t>
            </w:r>
          </w:p>
        </w:tc>
        <w:tc>
          <w:tcPr>
            <w:tcW w:w="1155" w:type="dxa"/>
            <w:vAlign w:val="center"/>
          </w:tcPr>
          <w:p w14:paraId="2A2A2CBA" w14:textId="77777777" w:rsidR="000C69CB" w:rsidRPr="00535039" w:rsidRDefault="000C69CB" w:rsidP="00A236E3">
            <w:pPr>
              <w:snapToGrid w:val="0"/>
              <w:spacing w:line="360" w:lineRule="exact"/>
              <w:ind w:left="-43" w:rightChars="-10" w:right="-34"/>
              <w:jc w:val="center"/>
              <w:rPr>
                <w:rFonts w:hAnsi="標楷體"/>
                <w:bCs/>
                <w:sz w:val="28"/>
                <w:szCs w:val="28"/>
              </w:rPr>
            </w:pPr>
            <w:r w:rsidRPr="00535039">
              <w:rPr>
                <w:rFonts w:hAnsi="標楷體" w:hint="eastAsia"/>
                <w:bCs/>
                <w:sz w:val="28"/>
                <w:szCs w:val="28"/>
              </w:rPr>
              <w:t>-</w:t>
            </w:r>
          </w:p>
        </w:tc>
        <w:tc>
          <w:tcPr>
            <w:tcW w:w="5082" w:type="dxa"/>
            <w:vAlign w:val="center"/>
          </w:tcPr>
          <w:p w14:paraId="1754D3F9" w14:textId="77777777" w:rsidR="00814CC0" w:rsidRPr="00535039" w:rsidRDefault="000C69CB" w:rsidP="00A236E3">
            <w:pPr>
              <w:adjustRightInd w:val="0"/>
              <w:snapToGrid w:val="0"/>
              <w:spacing w:line="360" w:lineRule="exact"/>
              <w:ind w:leftChars="14" w:left="51" w:hangingChars="1" w:hanging="3"/>
              <w:rPr>
                <w:rFonts w:hAnsi="標楷體"/>
                <w:sz w:val="28"/>
                <w:szCs w:val="28"/>
                <w:shd w:val="clear" w:color="auto" w:fill="FFFFFF"/>
              </w:rPr>
            </w:pPr>
            <w:r w:rsidRPr="00535039">
              <w:rPr>
                <w:rFonts w:hAnsi="標楷體"/>
                <w:sz w:val="28"/>
                <w:szCs w:val="28"/>
                <w:shd w:val="clear" w:color="auto" w:fill="FFFFFF"/>
              </w:rPr>
              <w:t>塑化劑含量為</w:t>
            </w:r>
            <w:r w:rsidRPr="00535039">
              <w:rPr>
                <w:rFonts w:hAnsi="標楷體" w:hint="eastAsia"/>
                <w:sz w:val="28"/>
                <w:szCs w:val="28"/>
                <w:shd w:val="clear" w:color="auto" w:fill="FFFFFF"/>
              </w:rPr>
              <w:t>25</w:t>
            </w:r>
            <w:r w:rsidRPr="00535039">
              <w:rPr>
                <w:rFonts w:hAnsi="標楷體"/>
                <w:sz w:val="28"/>
                <w:szCs w:val="28"/>
                <w:shd w:val="clear" w:color="auto" w:fill="FFFFFF"/>
              </w:rPr>
              <w:t>.</w:t>
            </w:r>
            <w:r w:rsidRPr="00535039">
              <w:rPr>
                <w:rFonts w:hAnsi="標楷體" w:hint="eastAsia"/>
                <w:sz w:val="28"/>
                <w:szCs w:val="28"/>
                <w:shd w:val="clear" w:color="auto" w:fill="FFFFFF"/>
              </w:rPr>
              <w:t>4</w:t>
            </w:r>
            <w:r w:rsidRPr="00535039">
              <w:rPr>
                <w:rFonts w:hAnsi="標楷體"/>
                <w:sz w:val="28"/>
                <w:szCs w:val="28"/>
                <w:shd w:val="clear" w:color="auto" w:fill="FFFFFF"/>
              </w:rPr>
              <w:t>%，超過CNS 6632塑化劑含量0.1%之規定</w:t>
            </w:r>
            <w:r w:rsidRPr="00535039">
              <w:rPr>
                <w:rFonts w:hAnsi="標楷體" w:hint="eastAsia"/>
                <w:sz w:val="28"/>
                <w:szCs w:val="28"/>
                <w:shd w:val="clear" w:color="auto" w:fill="FFFFFF"/>
              </w:rPr>
              <w:t>。</w:t>
            </w:r>
          </w:p>
          <w:p w14:paraId="165B014C" w14:textId="52E0DB95" w:rsidR="000C69CB" w:rsidRPr="00535039" w:rsidRDefault="000C69CB" w:rsidP="00A236E3">
            <w:pPr>
              <w:adjustRightInd w:val="0"/>
              <w:snapToGrid w:val="0"/>
              <w:spacing w:line="360" w:lineRule="exact"/>
              <w:ind w:leftChars="14" w:left="51" w:hangingChars="1" w:hanging="3"/>
              <w:rPr>
                <w:rFonts w:hAnsi="標楷體"/>
                <w:sz w:val="28"/>
                <w:szCs w:val="28"/>
                <w:shd w:val="clear" w:color="auto" w:fill="FFFFFF"/>
              </w:rPr>
            </w:pPr>
            <w:r w:rsidRPr="00535039">
              <w:rPr>
                <w:rFonts w:hAnsi="標楷體" w:hint="eastAsia"/>
                <w:sz w:val="28"/>
                <w:szCs w:val="28"/>
                <w:shd w:val="clear" w:color="auto" w:fill="FFFFFF"/>
              </w:rPr>
              <w:t>(超標254倍)</w:t>
            </w:r>
          </w:p>
        </w:tc>
      </w:tr>
      <w:tr w:rsidR="007E5433" w:rsidRPr="00535039" w14:paraId="27413A36" w14:textId="77777777" w:rsidTr="00C1455A">
        <w:trPr>
          <w:cantSplit/>
          <w:trHeight w:val="20"/>
          <w:jc w:val="center"/>
        </w:trPr>
        <w:tc>
          <w:tcPr>
            <w:tcW w:w="820" w:type="dxa"/>
            <w:vAlign w:val="center"/>
          </w:tcPr>
          <w:p w14:paraId="025FC22F" w14:textId="77777777" w:rsidR="000C69CB" w:rsidRPr="00535039" w:rsidRDefault="000C69CB" w:rsidP="00A236E3">
            <w:pPr>
              <w:snapToGrid w:val="0"/>
              <w:spacing w:line="360" w:lineRule="exact"/>
              <w:ind w:left="448" w:hanging="448"/>
              <w:jc w:val="center"/>
              <w:rPr>
                <w:rFonts w:hAnsi="標楷體"/>
                <w:bCs/>
                <w:sz w:val="28"/>
                <w:szCs w:val="28"/>
              </w:rPr>
            </w:pPr>
            <w:r w:rsidRPr="00535039">
              <w:rPr>
                <w:rFonts w:hAnsi="標楷體"/>
                <w:bCs/>
                <w:sz w:val="28"/>
                <w:szCs w:val="28"/>
              </w:rPr>
              <w:lastRenderedPageBreak/>
              <w:t>5</w:t>
            </w:r>
          </w:p>
        </w:tc>
        <w:tc>
          <w:tcPr>
            <w:tcW w:w="1869" w:type="dxa"/>
            <w:vAlign w:val="center"/>
          </w:tcPr>
          <w:p w14:paraId="2EA94896" w14:textId="77777777" w:rsidR="000C69CB" w:rsidRPr="00535039" w:rsidRDefault="000C69CB" w:rsidP="00A236E3">
            <w:pPr>
              <w:adjustRightInd w:val="0"/>
              <w:snapToGrid w:val="0"/>
              <w:spacing w:line="360" w:lineRule="exact"/>
              <w:ind w:rightChars="-30" w:right="-102" w:firstLine="30"/>
              <w:jc w:val="left"/>
              <w:rPr>
                <w:rFonts w:hAnsi="標楷體"/>
                <w:bCs/>
                <w:sz w:val="28"/>
                <w:szCs w:val="28"/>
              </w:rPr>
            </w:pPr>
            <w:r w:rsidRPr="00535039">
              <w:rPr>
                <w:rFonts w:hAnsi="標楷體" w:hint="eastAsia"/>
                <w:bCs/>
                <w:sz w:val="28"/>
                <w:szCs w:val="28"/>
              </w:rPr>
              <w:t>○○一體絨保暖手套</w:t>
            </w:r>
          </w:p>
        </w:tc>
        <w:tc>
          <w:tcPr>
            <w:tcW w:w="1155" w:type="dxa"/>
            <w:vAlign w:val="center"/>
          </w:tcPr>
          <w:p w14:paraId="2F526F39" w14:textId="77777777" w:rsidR="000C69CB" w:rsidRPr="00535039" w:rsidRDefault="000C69CB" w:rsidP="00A236E3">
            <w:pPr>
              <w:snapToGrid w:val="0"/>
              <w:spacing w:line="360" w:lineRule="exact"/>
              <w:ind w:left="-43" w:rightChars="-10" w:right="-34"/>
              <w:jc w:val="center"/>
              <w:rPr>
                <w:rFonts w:hAnsi="標楷體"/>
                <w:bCs/>
                <w:sz w:val="28"/>
                <w:szCs w:val="28"/>
              </w:rPr>
            </w:pPr>
            <w:r w:rsidRPr="00535039">
              <w:rPr>
                <w:rFonts w:hAnsi="標楷體"/>
                <w:bCs/>
                <w:sz w:val="28"/>
                <w:szCs w:val="28"/>
              </w:rPr>
              <w:t>-</w:t>
            </w:r>
          </w:p>
        </w:tc>
        <w:tc>
          <w:tcPr>
            <w:tcW w:w="5082" w:type="dxa"/>
            <w:vAlign w:val="center"/>
          </w:tcPr>
          <w:p w14:paraId="4A590007" w14:textId="77777777" w:rsidR="00814CC0" w:rsidRPr="00535039" w:rsidRDefault="000C69CB" w:rsidP="00A236E3">
            <w:pPr>
              <w:adjustRightInd w:val="0"/>
              <w:snapToGrid w:val="0"/>
              <w:spacing w:line="360" w:lineRule="exact"/>
              <w:ind w:leftChars="14" w:left="51" w:hangingChars="1" w:hanging="3"/>
              <w:rPr>
                <w:rFonts w:hAnsi="標楷體"/>
                <w:sz w:val="28"/>
                <w:szCs w:val="28"/>
                <w:shd w:val="clear" w:color="auto" w:fill="FFFFFF"/>
              </w:rPr>
            </w:pPr>
            <w:r w:rsidRPr="00535039">
              <w:rPr>
                <w:rFonts w:hAnsi="標楷體"/>
                <w:sz w:val="28"/>
                <w:szCs w:val="28"/>
                <w:shd w:val="clear" w:color="auto" w:fill="FFFFFF"/>
              </w:rPr>
              <w:t>塑化劑含量為</w:t>
            </w:r>
            <w:r w:rsidRPr="00535039">
              <w:rPr>
                <w:rFonts w:hAnsi="標楷體" w:hint="eastAsia"/>
                <w:sz w:val="28"/>
                <w:szCs w:val="28"/>
                <w:shd w:val="clear" w:color="auto" w:fill="FFFFFF"/>
              </w:rPr>
              <w:t>46</w:t>
            </w:r>
            <w:r w:rsidRPr="00535039">
              <w:rPr>
                <w:rFonts w:hAnsi="標楷體"/>
                <w:sz w:val="28"/>
                <w:szCs w:val="28"/>
                <w:shd w:val="clear" w:color="auto" w:fill="FFFFFF"/>
              </w:rPr>
              <w:t>.</w:t>
            </w:r>
            <w:r w:rsidRPr="00535039">
              <w:rPr>
                <w:rFonts w:hAnsi="標楷體" w:hint="eastAsia"/>
                <w:sz w:val="28"/>
                <w:szCs w:val="28"/>
                <w:shd w:val="clear" w:color="auto" w:fill="FFFFFF"/>
              </w:rPr>
              <w:t>0</w:t>
            </w:r>
            <w:r w:rsidRPr="00535039">
              <w:rPr>
                <w:rFonts w:hAnsi="標楷體"/>
                <w:sz w:val="28"/>
                <w:szCs w:val="28"/>
                <w:shd w:val="clear" w:color="auto" w:fill="FFFFFF"/>
              </w:rPr>
              <w:t>%，超過CNS 6632塑化劑含量0.1%之規定</w:t>
            </w:r>
            <w:r w:rsidRPr="00535039">
              <w:rPr>
                <w:rFonts w:hAnsi="標楷體" w:hint="eastAsia"/>
                <w:sz w:val="28"/>
                <w:szCs w:val="28"/>
                <w:shd w:val="clear" w:color="auto" w:fill="FFFFFF"/>
              </w:rPr>
              <w:t>。</w:t>
            </w:r>
          </w:p>
          <w:p w14:paraId="711E020A" w14:textId="2C54C010" w:rsidR="000C69CB" w:rsidRPr="00535039" w:rsidRDefault="000C69CB" w:rsidP="00A236E3">
            <w:pPr>
              <w:adjustRightInd w:val="0"/>
              <w:snapToGrid w:val="0"/>
              <w:spacing w:line="360" w:lineRule="exact"/>
              <w:ind w:leftChars="14" w:left="51" w:hangingChars="1" w:hanging="3"/>
              <w:rPr>
                <w:rFonts w:hAnsi="標楷體"/>
                <w:sz w:val="28"/>
                <w:szCs w:val="28"/>
                <w:shd w:val="clear" w:color="auto" w:fill="FFFFFF"/>
              </w:rPr>
            </w:pPr>
            <w:r w:rsidRPr="00535039">
              <w:rPr>
                <w:rFonts w:hAnsi="標楷體" w:hint="eastAsia"/>
                <w:sz w:val="28"/>
                <w:szCs w:val="28"/>
                <w:shd w:val="clear" w:color="auto" w:fill="FFFFFF"/>
              </w:rPr>
              <w:t>(超標460倍)</w:t>
            </w:r>
          </w:p>
        </w:tc>
      </w:tr>
      <w:tr w:rsidR="007E5433" w:rsidRPr="00535039" w14:paraId="7BC54EEA" w14:textId="77777777" w:rsidTr="00C1455A">
        <w:trPr>
          <w:cantSplit/>
          <w:trHeight w:val="20"/>
          <w:jc w:val="center"/>
        </w:trPr>
        <w:tc>
          <w:tcPr>
            <w:tcW w:w="820" w:type="dxa"/>
            <w:vAlign w:val="center"/>
          </w:tcPr>
          <w:p w14:paraId="0C62F7C5" w14:textId="77777777" w:rsidR="000C69CB" w:rsidRPr="00535039" w:rsidRDefault="000C69CB" w:rsidP="00A236E3">
            <w:pPr>
              <w:snapToGrid w:val="0"/>
              <w:spacing w:line="360" w:lineRule="exact"/>
              <w:ind w:left="448" w:hanging="448"/>
              <w:jc w:val="center"/>
              <w:rPr>
                <w:rFonts w:hAnsi="標楷體"/>
                <w:bCs/>
                <w:sz w:val="28"/>
                <w:szCs w:val="28"/>
              </w:rPr>
            </w:pPr>
            <w:r w:rsidRPr="00535039">
              <w:rPr>
                <w:rFonts w:hAnsi="標楷體"/>
                <w:bCs/>
                <w:sz w:val="28"/>
                <w:szCs w:val="28"/>
              </w:rPr>
              <w:t>6</w:t>
            </w:r>
          </w:p>
        </w:tc>
        <w:tc>
          <w:tcPr>
            <w:tcW w:w="1869" w:type="dxa"/>
            <w:vAlign w:val="center"/>
          </w:tcPr>
          <w:p w14:paraId="4BC8055A" w14:textId="77777777" w:rsidR="000C69CB" w:rsidRPr="00535039" w:rsidRDefault="000C69CB" w:rsidP="00A236E3">
            <w:pPr>
              <w:adjustRightInd w:val="0"/>
              <w:snapToGrid w:val="0"/>
              <w:spacing w:line="360" w:lineRule="exact"/>
              <w:ind w:rightChars="-30" w:right="-102" w:firstLine="30"/>
              <w:jc w:val="left"/>
              <w:rPr>
                <w:rFonts w:hAnsi="標楷體"/>
                <w:bCs/>
                <w:sz w:val="28"/>
                <w:szCs w:val="28"/>
              </w:rPr>
            </w:pPr>
            <w:r w:rsidRPr="00535039">
              <w:rPr>
                <w:rFonts w:hAnsi="標楷體" w:hint="eastAsia"/>
                <w:bCs/>
                <w:sz w:val="28"/>
                <w:szCs w:val="28"/>
              </w:rPr>
              <w:t>○○PVC保暖手套</w:t>
            </w:r>
          </w:p>
        </w:tc>
        <w:tc>
          <w:tcPr>
            <w:tcW w:w="1155" w:type="dxa"/>
            <w:vAlign w:val="center"/>
          </w:tcPr>
          <w:p w14:paraId="53821DCB" w14:textId="1B33579D" w:rsidR="000C69CB" w:rsidRPr="00535039" w:rsidRDefault="00C1455A" w:rsidP="00A236E3">
            <w:pPr>
              <w:snapToGrid w:val="0"/>
              <w:spacing w:line="360" w:lineRule="exact"/>
              <w:ind w:left="-43" w:rightChars="-10" w:right="-34"/>
              <w:jc w:val="center"/>
              <w:rPr>
                <w:rFonts w:hAnsi="標楷體"/>
                <w:bCs/>
                <w:sz w:val="28"/>
                <w:szCs w:val="28"/>
              </w:rPr>
            </w:pPr>
            <w:r w:rsidRPr="00535039">
              <w:rPr>
                <w:rFonts w:hAnsi="標楷體" w:hint="eastAsia"/>
                <w:bCs/>
                <w:sz w:val="28"/>
                <w:szCs w:val="28"/>
              </w:rPr>
              <w:t>中國</w:t>
            </w:r>
          </w:p>
        </w:tc>
        <w:tc>
          <w:tcPr>
            <w:tcW w:w="5082" w:type="dxa"/>
            <w:vAlign w:val="center"/>
          </w:tcPr>
          <w:p w14:paraId="126CA374" w14:textId="77777777" w:rsidR="00814CC0" w:rsidRPr="00535039" w:rsidRDefault="000C69CB" w:rsidP="00A236E3">
            <w:pPr>
              <w:adjustRightInd w:val="0"/>
              <w:snapToGrid w:val="0"/>
              <w:spacing w:line="360" w:lineRule="exact"/>
              <w:ind w:leftChars="14" w:left="51" w:hangingChars="1" w:hanging="3"/>
              <w:rPr>
                <w:rFonts w:hAnsi="標楷體"/>
                <w:sz w:val="28"/>
                <w:szCs w:val="28"/>
                <w:shd w:val="clear" w:color="auto" w:fill="FFFFFF"/>
              </w:rPr>
            </w:pPr>
            <w:r w:rsidRPr="00535039">
              <w:rPr>
                <w:rFonts w:hAnsi="標楷體"/>
                <w:sz w:val="28"/>
                <w:szCs w:val="28"/>
                <w:shd w:val="clear" w:color="auto" w:fill="FFFFFF"/>
              </w:rPr>
              <w:t>塑化劑含量為</w:t>
            </w:r>
            <w:r w:rsidRPr="00535039">
              <w:rPr>
                <w:rFonts w:hAnsi="標楷體" w:hint="eastAsia"/>
                <w:sz w:val="28"/>
                <w:szCs w:val="28"/>
                <w:shd w:val="clear" w:color="auto" w:fill="FFFFFF"/>
              </w:rPr>
              <w:t>40</w:t>
            </w:r>
            <w:r w:rsidRPr="00535039">
              <w:rPr>
                <w:rFonts w:hAnsi="標楷體"/>
                <w:sz w:val="28"/>
                <w:szCs w:val="28"/>
                <w:shd w:val="clear" w:color="auto" w:fill="FFFFFF"/>
              </w:rPr>
              <w:t>.</w:t>
            </w:r>
            <w:r w:rsidRPr="00535039">
              <w:rPr>
                <w:rFonts w:hAnsi="標楷體" w:hint="eastAsia"/>
                <w:sz w:val="28"/>
                <w:szCs w:val="28"/>
                <w:shd w:val="clear" w:color="auto" w:fill="FFFFFF"/>
              </w:rPr>
              <w:t>0</w:t>
            </w:r>
            <w:r w:rsidRPr="00535039">
              <w:rPr>
                <w:rFonts w:hAnsi="標楷體"/>
                <w:sz w:val="28"/>
                <w:szCs w:val="28"/>
                <w:shd w:val="clear" w:color="auto" w:fill="FFFFFF"/>
              </w:rPr>
              <w:t>%，超過CNS 6632塑化劑含量0.1%之規定</w:t>
            </w:r>
            <w:r w:rsidRPr="00535039">
              <w:rPr>
                <w:rFonts w:hAnsi="標楷體" w:hint="eastAsia"/>
                <w:sz w:val="28"/>
                <w:szCs w:val="28"/>
                <w:shd w:val="clear" w:color="auto" w:fill="FFFFFF"/>
              </w:rPr>
              <w:t>。</w:t>
            </w:r>
          </w:p>
          <w:p w14:paraId="2AAAF6A8" w14:textId="5362DAB1" w:rsidR="000C69CB" w:rsidRPr="00535039" w:rsidRDefault="000C69CB" w:rsidP="00A236E3">
            <w:pPr>
              <w:adjustRightInd w:val="0"/>
              <w:snapToGrid w:val="0"/>
              <w:spacing w:line="360" w:lineRule="exact"/>
              <w:ind w:leftChars="14" w:left="51" w:hangingChars="1" w:hanging="3"/>
              <w:rPr>
                <w:rFonts w:hAnsi="標楷體"/>
                <w:sz w:val="28"/>
                <w:szCs w:val="28"/>
                <w:shd w:val="clear" w:color="auto" w:fill="FFFFFF"/>
              </w:rPr>
            </w:pPr>
            <w:r w:rsidRPr="00535039">
              <w:rPr>
                <w:rFonts w:hAnsi="標楷體" w:hint="eastAsia"/>
                <w:sz w:val="28"/>
                <w:szCs w:val="28"/>
                <w:shd w:val="clear" w:color="auto" w:fill="FFFFFF"/>
              </w:rPr>
              <w:t>(超標400倍)</w:t>
            </w:r>
          </w:p>
        </w:tc>
      </w:tr>
      <w:tr w:rsidR="007E5433" w:rsidRPr="00535039" w14:paraId="67CAFC22" w14:textId="77777777" w:rsidTr="00C1455A">
        <w:trPr>
          <w:cantSplit/>
          <w:trHeight w:val="20"/>
          <w:jc w:val="center"/>
        </w:trPr>
        <w:tc>
          <w:tcPr>
            <w:tcW w:w="820" w:type="dxa"/>
            <w:vAlign w:val="center"/>
          </w:tcPr>
          <w:p w14:paraId="5B715693" w14:textId="77777777" w:rsidR="000C69CB" w:rsidRPr="00535039" w:rsidRDefault="000C69CB" w:rsidP="00A236E3">
            <w:pPr>
              <w:snapToGrid w:val="0"/>
              <w:spacing w:line="360" w:lineRule="exact"/>
              <w:ind w:left="448" w:hanging="448"/>
              <w:jc w:val="center"/>
              <w:rPr>
                <w:rFonts w:hAnsi="標楷體"/>
                <w:bCs/>
                <w:sz w:val="28"/>
                <w:szCs w:val="28"/>
              </w:rPr>
            </w:pPr>
            <w:r w:rsidRPr="00535039">
              <w:rPr>
                <w:rFonts w:hAnsi="標楷體" w:hint="eastAsia"/>
                <w:bCs/>
                <w:sz w:val="28"/>
                <w:szCs w:val="28"/>
              </w:rPr>
              <w:t>7</w:t>
            </w:r>
          </w:p>
        </w:tc>
        <w:tc>
          <w:tcPr>
            <w:tcW w:w="1869" w:type="dxa"/>
            <w:vAlign w:val="center"/>
          </w:tcPr>
          <w:p w14:paraId="26133114" w14:textId="77777777" w:rsidR="000C69CB" w:rsidRPr="00535039" w:rsidRDefault="000C69CB" w:rsidP="00A236E3">
            <w:pPr>
              <w:adjustRightInd w:val="0"/>
              <w:snapToGrid w:val="0"/>
              <w:spacing w:line="360" w:lineRule="exact"/>
              <w:ind w:firstLine="72"/>
              <w:jc w:val="left"/>
              <w:rPr>
                <w:rFonts w:hAnsi="標楷體"/>
                <w:bCs/>
                <w:spacing w:val="-6"/>
                <w:sz w:val="28"/>
                <w:szCs w:val="28"/>
              </w:rPr>
            </w:pPr>
            <w:proofErr w:type="gramStart"/>
            <w:r w:rsidRPr="00535039">
              <w:rPr>
                <w:rFonts w:hAnsi="標楷體" w:hint="eastAsia"/>
                <w:bCs/>
                <w:spacing w:val="-6"/>
                <w:sz w:val="28"/>
                <w:szCs w:val="28"/>
              </w:rPr>
              <w:t>○○植棉手套</w:t>
            </w:r>
            <w:proofErr w:type="gramEnd"/>
          </w:p>
        </w:tc>
        <w:tc>
          <w:tcPr>
            <w:tcW w:w="1155" w:type="dxa"/>
            <w:vAlign w:val="center"/>
          </w:tcPr>
          <w:p w14:paraId="494E806A" w14:textId="0632F474" w:rsidR="000C69CB" w:rsidRPr="00535039" w:rsidRDefault="00C1455A" w:rsidP="00A236E3">
            <w:pPr>
              <w:snapToGrid w:val="0"/>
              <w:spacing w:line="360" w:lineRule="exact"/>
              <w:ind w:left="-43" w:rightChars="-10" w:right="-34"/>
              <w:jc w:val="center"/>
              <w:rPr>
                <w:rFonts w:hAnsi="標楷體"/>
                <w:bCs/>
                <w:sz w:val="28"/>
                <w:szCs w:val="28"/>
              </w:rPr>
            </w:pPr>
            <w:r w:rsidRPr="00535039">
              <w:rPr>
                <w:rFonts w:hAnsi="標楷體"/>
                <w:bCs/>
                <w:sz w:val="28"/>
                <w:szCs w:val="28"/>
              </w:rPr>
              <w:t>中國</w:t>
            </w:r>
          </w:p>
        </w:tc>
        <w:tc>
          <w:tcPr>
            <w:tcW w:w="5082" w:type="dxa"/>
            <w:vAlign w:val="center"/>
          </w:tcPr>
          <w:p w14:paraId="335D6BE2" w14:textId="77777777" w:rsidR="00814CC0" w:rsidRPr="00535039" w:rsidRDefault="000C69CB" w:rsidP="00A236E3">
            <w:pPr>
              <w:adjustRightInd w:val="0"/>
              <w:snapToGrid w:val="0"/>
              <w:spacing w:line="360" w:lineRule="exact"/>
              <w:ind w:leftChars="14" w:left="51" w:hangingChars="1" w:hanging="3"/>
              <w:rPr>
                <w:rFonts w:hAnsi="標楷體"/>
                <w:sz w:val="28"/>
                <w:szCs w:val="28"/>
                <w:shd w:val="clear" w:color="auto" w:fill="FFFFFF"/>
              </w:rPr>
            </w:pPr>
            <w:r w:rsidRPr="00535039">
              <w:rPr>
                <w:rFonts w:hAnsi="標楷體"/>
                <w:sz w:val="28"/>
                <w:szCs w:val="28"/>
                <w:shd w:val="clear" w:color="auto" w:fill="FFFFFF"/>
              </w:rPr>
              <w:t>塑化劑含量為</w:t>
            </w:r>
            <w:r w:rsidRPr="00535039">
              <w:rPr>
                <w:rFonts w:hAnsi="標楷體" w:hint="eastAsia"/>
                <w:sz w:val="28"/>
                <w:szCs w:val="28"/>
                <w:shd w:val="clear" w:color="auto" w:fill="FFFFFF"/>
              </w:rPr>
              <w:t>38</w:t>
            </w:r>
            <w:r w:rsidRPr="00535039">
              <w:rPr>
                <w:rFonts w:hAnsi="標楷體"/>
                <w:sz w:val="28"/>
                <w:szCs w:val="28"/>
                <w:shd w:val="clear" w:color="auto" w:fill="FFFFFF"/>
              </w:rPr>
              <w:t>.</w:t>
            </w:r>
            <w:r w:rsidRPr="00535039">
              <w:rPr>
                <w:rFonts w:hAnsi="標楷體" w:hint="eastAsia"/>
                <w:sz w:val="28"/>
                <w:szCs w:val="28"/>
                <w:shd w:val="clear" w:color="auto" w:fill="FFFFFF"/>
              </w:rPr>
              <w:t>7</w:t>
            </w:r>
            <w:r w:rsidRPr="00535039">
              <w:rPr>
                <w:rFonts w:hAnsi="標楷體"/>
                <w:sz w:val="28"/>
                <w:szCs w:val="28"/>
                <w:shd w:val="clear" w:color="auto" w:fill="FFFFFF"/>
              </w:rPr>
              <w:t>%，超過CNS 6632塑化劑含量0.1%之規定</w:t>
            </w:r>
            <w:r w:rsidRPr="00535039">
              <w:rPr>
                <w:rFonts w:hAnsi="標楷體" w:hint="eastAsia"/>
                <w:sz w:val="28"/>
                <w:szCs w:val="28"/>
                <w:shd w:val="clear" w:color="auto" w:fill="FFFFFF"/>
              </w:rPr>
              <w:t>。</w:t>
            </w:r>
          </w:p>
          <w:p w14:paraId="3E01D812" w14:textId="6CC742E0" w:rsidR="000C69CB" w:rsidRPr="00535039" w:rsidRDefault="000C69CB" w:rsidP="00A236E3">
            <w:pPr>
              <w:adjustRightInd w:val="0"/>
              <w:snapToGrid w:val="0"/>
              <w:spacing w:line="360" w:lineRule="exact"/>
              <w:ind w:leftChars="14" w:left="51" w:hangingChars="1" w:hanging="3"/>
              <w:rPr>
                <w:rFonts w:hAnsi="標楷體"/>
                <w:sz w:val="28"/>
                <w:szCs w:val="28"/>
                <w:shd w:val="clear" w:color="auto" w:fill="FFFFFF"/>
              </w:rPr>
            </w:pPr>
            <w:r w:rsidRPr="00535039">
              <w:rPr>
                <w:rFonts w:hAnsi="標楷體" w:hint="eastAsia"/>
                <w:sz w:val="28"/>
                <w:szCs w:val="28"/>
                <w:shd w:val="clear" w:color="auto" w:fill="FFFFFF"/>
              </w:rPr>
              <w:t>(超標387倍)</w:t>
            </w:r>
          </w:p>
        </w:tc>
      </w:tr>
    </w:tbl>
    <w:p w14:paraId="71379D22" w14:textId="12E7D0DA" w:rsidR="000C69CB" w:rsidRPr="00535039" w:rsidRDefault="000C69CB" w:rsidP="009A02C5">
      <w:pPr>
        <w:snapToGrid w:val="0"/>
        <w:ind w:leftChars="-41" w:left="306" w:hangingChars="171" w:hanging="445"/>
        <w:rPr>
          <w:rFonts w:hAnsi="標楷體"/>
          <w:sz w:val="24"/>
          <w:szCs w:val="24"/>
        </w:rPr>
      </w:pPr>
      <w:proofErr w:type="gramStart"/>
      <w:r w:rsidRPr="00535039">
        <w:rPr>
          <w:rFonts w:hAnsi="標楷體" w:hint="eastAsia"/>
          <w:sz w:val="24"/>
          <w:szCs w:val="24"/>
        </w:rPr>
        <w:t>註</w:t>
      </w:r>
      <w:proofErr w:type="gramEnd"/>
      <w:r w:rsidRPr="00535039">
        <w:rPr>
          <w:rFonts w:hAnsi="標楷體" w:hint="eastAsia"/>
          <w:sz w:val="24"/>
          <w:szCs w:val="24"/>
        </w:rPr>
        <w:t>：項次4產品外包裝未標示產地，且亦未有製造商/委製商/進口商資訊等資訊；項次5產品外包裝未標示產地，</w:t>
      </w:r>
      <w:proofErr w:type="gramStart"/>
      <w:r w:rsidRPr="00535039">
        <w:rPr>
          <w:rFonts w:hAnsi="標楷體" w:hint="eastAsia"/>
          <w:sz w:val="24"/>
          <w:szCs w:val="24"/>
        </w:rPr>
        <w:t>惟所標示</w:t>
      </w:r>
      <w:proofErr w:type="gramEnd"/>
      <w:r w:rsidRPr="00535039">
        <w:rPr>
          <w:rFonts w:hAnsi="標楷體" w:hint="eastAsia"/>
          <w:sz w:val="24"/>
          <w:szCs w:val="24"/>
        </w:rPr>
        <w:t>的製造商/委製商/進口商資訊，為</w:t>
      </w:r>
      <w:r w:rsidR="00C1455A" w:rsidRPr="00535039">
        <w:rPr>
          <w:rFonts w:hAnsi="標楷體" w:hint="eastAsia"/>
          <w:sz w:val="24"/>
          <w:szCs w:val="24"/>
        </w:rPr>
        <w:t>中國</w:t>
      </w:r>
      <w:r w:rsidRPr="00535039">
        <w:rPr>
          <w:rFonts w:hAnsi="標楷體" w:hint="eastAsia"/>
          <w:sz w:val="24"/>
          <w:szCs w:val="24"/>
        </w:rPr>
        <w:t>廠商名稱及</w:t>
      </w:r>
      <w:r w:rsidR="007B6B7A">
        <w:rPr>
          <w:rFonts w:hAnsi="標楷體" w:hint="eastAsia"/>
          <w:sz w:val="24"/>
          <w:szCs w:val="24"/>
        </w:rPr>
        <w:t>地址</w:t>
      </w:r>
      <w:r w:rsidRPr="00535039">
        <w:rPr>
          <w:rFonts w:hAnsi="標楷體" w:hint="eastAsia"/>
          <w:sz w:val="24"/>
          <w:szCs w:val="24"/>
        </w:rPr>
        <w:t>。</w:t>
      </w:r>
    </w:p>
    <w:p w14:paraId="7D941A0F" w14:textId="77777777" w:rsidR="000C69CB" w:rsidRPr="00535039" w:rsidRDefault="000C69CB" w:rsidP="00C1455A">
      <w:pPr>
        <w:snapToGrid w:val="0"/>
        <w:ind w:leftChars="-41" w:left="712" w:hangingChars="327" w:hanging="851"/>
        <w:rPr>
          <w:rFonts w:hAnsi="標楷體"/>
          <w:sz w:val="24"/>
          <w:szCs w:val="24"/>
        </w:rPr>
      </w:pPr>
      <w:r w:rsidRPr="00535039">
        <w:rPr>
          <w:rFonts w:hAnsi="標楷體" w:hint="eastAsia"/>
          <w:sz w:val="24"/>
          <w:szCs w:val="24"/>
        </w:rPr>
        <w:t>資料來源：依標準局資料彙整。</w:t>
      </w:r>
    </w:p>
    <w:p w14:paraId="075C3E40" w14:textId="40185388" w:rsidR="000C69CB" w:rsidRPr="00535039" w:rsidRDefault="000C69CB" w:rsidP="000C69CB">
      <w:pPr>
        <w:pStyle w:val="3"/>
        <w:numPr>
          <w:ilvl w:val="2"/>
          <w:numId w:val="1"/>
        </w:numPr>
        <w:ind w:left="1361"/>
        <w:rPr>
          <w:rFonts w:hAnsi="標楷體"/>
          <w:spacing w:val="-4"/>
        </w:rPr>
      </w:pPr>
      <w:r w:rsidRPr="00535039">
        <w:rPr>
          <w:rFonts w:hAnsi="標楷體" w:hint="eastAsia"/>
          <w:spacing w:val="-4"/>
        </w:rPr>
        <w:t>由上可知，標準局</w:t>
      </w:r>
      <w:r w:rsidR="00211879" w:rsidRPr="00535039">
        <w:rPr>
          <w:rFonts w:hAnsi="標楷體" w:hint="eastAsia"/>
          <w:spacing w:val="-4"/>
        </w:rPr>
        <w:t>於</w:t>
      </w:r>
      <w:r w:rsidRPr="00535039">
        <w:rPr>
          <w:rFonts w:hAnsi="標楷體" w:hint="eastAsia"/>
          <w:spacing w:val="-4"/>
        </w:rPr>
        <w:t>113年5月及114年6月</w:t>
      </w:r>
      <w:r w:rsidR="00211879" w:rsidRPr="00535039">
        <w:rPr>
          <w:rFonts w:hAnsi="標楷體" w:hint="eastAsia"/>
          <w:spacing w:val="-4"/>
        </w:rPr>
        <w:t>間</w:t>
      </w:r>
      <w:r w:rsidRPr="00535039">
        <w:rPr>
          <w:rFonts w:hAnsi="標楷體" w:hint="eastAsia"/>
          <w:spacing w:val="-4"/>
        </w:rPr>
        <w:t>2次蒐集市售家庭用塑膠手套檢驗其塑化劑含量結果，發現不合格率高達七成以上，且超標情形嚴重，加以</w:t>
      </w:r>
      <w:proofErr w:type="gramStart"/>
      <w:r w:rsidRPr="00535039">
        <w:rPr>
          <w:rFonts w:hAnsi="標楷體" w:hint="eastAsia"/>
          <w:spacing w:val="-4"/>
        </w:rPr>
        <w:t>產地均為</w:t>
      </w:r>
      <w:r w:rsidR="00C1455A" w:rsidRPr="00535039">
        <w:rPr>
          <w:rFonts w:hAnsi="標楷體" w:hint="eastAsia"/>
          <w:spacing w:val="-4"/>
        </w:rPr>
        <w:t>中國</w:t>
      </w:r>
      <w:proofErr w:type="gramEnd"/>
      <w:r w:rsidRPr="00535039">
        <w:rPr>
          <w:rFonts w:hAnsi="標楷體" w:hint="eastAsia"/>
          <w:spacing w:val="-4"/>
        </w:rPr>
        <w:t>。至於輸入家庭用塑膠手套之邊境管理情形，據</w:t>
      </w:r>
      <w:r w:rsidRPr="00535039">
        <w:rPr>
          <w:rFonts w:hAnsi="標楷體" w:hint="eastAsia"/>
          <w:spacing w:val="-4"/>
          <w:u w:val="single"/>
        </w:rPr>
        <w:t>標準局查復略</w:t>
      </w:r>
      <w:proofErr w:type="gramStart"/>
      <w:r w:rsidRPr="00535039">
        <w:rPr>
          <w:rFonts w:hAnsi="標楷體" w:hint="eastAsia"/>
          <w:spacing w:val="-4"/>
          <w:u w:val="single"/>
        </w:rPr>
        <w:t>以</w:t>
      </w:r>
      <w:proofErr w:type="gramEnd"/>
      <w:r w:rsidRPr="00535039">
        <w:rPr>
          <w:rFonts w:hAnsi="標楷體" w:hint="eastAsia"/>
          <w:spacing w:val="-4"/>
          <w:u w:val="single"/>
        </w:rPr>
        <w:t>，</w:t>
      </w:r>
      <w:r w:rsidRPr="00535039">
        <w:rPr>
          <w:rFonts w:hAnsi="標楷體" w:hint="eastAsia"/>
          <w:bCs w:val="0"/>
          <w:spacing w:val="-4"/>
          <w:kern w:val="2"/>
          <w:szCs w:val="32"/>
          <w:u w:val="single"/>
        </w:rPr>
        <w:t>因家庭用塑膠手套尚未納為法定「應施檢驗商品」，目前無邊境管理之</w:t>
      </w:r>
      <w:proofErr w:type="gramStart"/>
      <w:r w:rsidRPr="00535039">
        <w:rPr>
          <w:rFonts w:hAnsi="標楷體" w:hint="eastAsia"/>
          <w:bCs w:val="0"/>
          <w:spacing w:val="-4"/>
          <w:kern w:val="2"/>
          <w:szCs w:val="32"/>
          <w:u w:val="single"/>
        </w:rPr>
        <w:t>查驗批數及</w:t>
      </w:r>
      <w:proofErr w:type="gramEnd"/>
      <w:r w:rsidRPr="00535039">
        <w:rPr>
          <w:rFonts w:hAnsi="標楷體" w:hint="eastAsia"/>
          <w:bCs w:val="0"/>
          <w:spacing w:val="-4"/>
          <w:kern w:val="2"/>
          <w:szCs w:val="32"/>
          <w:u w:val="single"/>
        </w:rPr>
        <w:t>查驗結果等資料</w:t>
      </w:r>
      <w:r w:rsidRPr="00535039">
        <w:rPr>
          <w:rFonts w:hAnsi="標楷體" w:hint="eastAsia"/>
          <w:bCs w:val="0"/>
          <w:spacing w:val="-4"/>
          <w:kern w:val="2"/>
          <w:szCs w:val="32"/>
        </w:rPr>
        <w:t>，僅能藉由後市場購樣檢測監督其品質安全。可見自</w:t>
      </w:r>
      <w:r w:rsidR="00C1455A" w:rsidRPr="00535039">
        <w:rPr>
          <w:rFonts w:hAnsi="標楷體" w:hint="eastAsia"/>
          <w:bCs w:val="0"/>
          <w:spacing w:val="-4"/>
          <w:kern w:val="2"/>
          <w:szCs w:val="32"/>
        </w:rPr>
        <w:t>中國</w:t>
      </w:r>
      <w:r w:rsidRPr="00535039">
        <w:rPr>
          <w:rFonts w:hAnsi="標楷體" w:hint="eastAsia"/>
          <w:bCs w:val="0"/>
          <w:spacing w:val="-4"/>
          <w:kern w:val="2"/>
          <w:szCs w:val="32"/>
        </w:rPr>
        <w:t>輸入的家庭用塑膠手套其塑化劑超標情形嚴重，惟長期以來政府機關竟欠缺邊境管理機制，確有失當。</w:t>
      </w:r>
    </w:p>
    <w:p w14:paraId="78CCC8DB" w14:textId="5B1A95A1" w:rsidR="000C69CB" w:rsidRPr="00535039" w:rsidRDefault="000C69CB" w:rsidP="000C69CB">
      <w:pPr>
        <w:pStyle w:val="3"/>
        <w:numPr>
          <w:ilvl w:val="2"/>
          <w:numId w:val="1"/>
        </w:numPr>
        <w:ind w:left="1361"/>
        <w:rPr>
          <w:rFonts w:hAnsi="標楷體"/>
        </w:rPr>
      </w:pPr>
      <w:r w:rsidRPr="00535039">
        <w:rPr>
          <w:rFonts w:hAnsi="標楷體" w:hint="eastAsia"/>
        </w:rPr>
        <w:t>有關家庭用塑膠手套塑化劑超標問題，標準局表示略</w:t>
      </w:r>
      <w:proofErr w:type="gramStart"/>
      <w:r w:rsidRPr="00535039">
        <w:rPr>
          <w:rFonts w:hAnsi="標楷體" w:hint="eastAsia"/>
        </w:rPr>
        <w:t>以</w:t>
      </w:r>
      <w:proofErr w:type="gramEnd"/>
      <w:r w:rsidRPr="00535039">
        <w:rPr>
          <w:rFonts w:hAnsi="標楷體" w:hint="eastAsia"/>
        </w:rPr>
        <w:t>，針對上開不合格產品，已依行政程序法第165條</w:t>
      </w:r>
      <w:r w:rsidRPr="00535039">
        <w:rPr>
          <w:rStyle w:val="afe"/>
          <w:rFonts w:hAnsi="標楷體"/>
        </w:rPr>
        <w:footnoteReference w:id="35"/>
      </w:r>
      <w:r w:rsidRPr="00535039">
        <w:rPr>
          <w:rFonts w:hAnsi="標楷體" w:hint="eastAsia"/>
        </w:rPr>
        <w:t>及消保法相關規定，洽請或輔導業者停止銷售，</w:t>
      </w:r>
      <w:proofErr w:type="gramStart"/>
      <w:r w:rsidRPr="00535039">
        <w:rPr>
          <w:rFonts w:hAnsi="標楷體" w:hint="eastAsia"/>
        </w:rPr>
        <w:t>業者均已配合</w:t>
      </w:r>
      <w:proofErr w:type="gramEnd"/>
      <w:r w:rsidRPr="00535039">
        <w:rPr>
          <w:rFonts w:hAnsi="標楷體" w:hint="eastAsia"/>
        </w:rPr>
        <w:t>回收下架；另</w:t>
      </w:r>
      <w:r w:rsidR="00804E00" w:rsidRPr="00535039">
        <w:rPr>
          <w:rFonts w:hAnsi="標楷體" w:hint="eastAsia"/>
        </w:rPr>
        <w:t>因本院啟動調查，</w:t>
      </w:r>
      <w:r w:rsidRPr="00535039">
        <w:rPr>
          <w:rFonts w:hAnsi="標楷體" w:hint="eastAsia"/>
        </w:rPr>
        <w:t>該局</w:t>
      </w:r>
      <w:r w:rsidR="00804E00" w:rsidRPr="00535039">
        <w:rPr>
          <w:rFonts w:hAnsi="標楷體" w:hint="eastAsia"/>
        </w:rPr>
        <w:t>於本院詢問時表示</w:t>
      </w:r>
      <w:r w:rsidRPr="00535039">
        <w:rPr>
          <w:rFonts w:hAnsi="標楷體" w:hint="eastAsia"/>
          <w:u w:val="single"/>
        </w:rPr>
        <w:t>已啟動將</w:t>
      </w:r>
      <w:r w:rsidR="00C0735B" w:rsidRPr="00535039">
        <w:rPr>
          <w:rFonts w:hAnsi="標楷體" w:hint="eastAsia"/>
          <w:u w:val="single"/>
        </w:rPr>
        <w:t>家</w:t>
      </w:r>
      <w:r w:rsidRPr="00535039">
        <w:rPr>
          <w:rFonts w:hAnsi="標楷體" w:hint="eastAsia"/>
          <w:u w:val="single"/>
        </w:rPr>
        <w:t>庭用塑膠手套納入</w:t>
      </w:r>
      <w:r w:rsidRPr="00535039">
        <w:rPr>
          <w:rFonts w:hAnsi="標楷體" w:hint="eastAsia"/>
          <w:bCs w:val="0"/>
          <w:spacing w:val="20"/>
          <w:kern w:val="2"/>
          <w:szCs w:val="32"/>
          <w:u w:val="single"/>
        </w:rPr>
        <w:t>「應施檢驗商品」審議作業</w:t>
      </w:r>
      <w:r w:rsidRPr="00535039">
        <w:rPr>
          <w:rFonts w:hAnsi="標楷體" w:hint="eastAsia"/>
          <w:bCs w:val="0"/>
          <w:spacing w:val="20"/>
          <w:kern w:val="2"/>
          <w:szCs w:val="32"/>
        </w:rPr>
        <w:t>，刻</w:t>
      </w:r>
      <w:r w:rsidRPr="00613FE4">
        <w:rPr>
          <w:rFonts w:hAnsi="標楷體" w:hint="eastAsia"/>
          <w:bCs w:val="0"/>
          <w:spacing w:val="20"/>
          <w:kern w:val="2"/>
          <w:szCs w:val="32"/>
        </w:rPr>
        <w:t>正</w:t>
      </w:r>
      <w:r w:rsidR="00F23773" w:rsidRPr="00613FE4">
        <w:rPr>
          <w:rFonts w:hAnsi="標楷體" w:hint="eastAsia"/>
          <w:bCs w:val="0"/>
          <w:spacing w:val="20"/>
          <w:kern w:val="2"/>
          <w:szCs w:val="32"/>
        </w:rPr>
        <w:t>進行</w:t>
      </w:r>
      <w:r w:rsidRPr="00535039">
        <w:rPr>
          <w:rFonts w:hAnsi="標楷體" w:hint="eastAsia"/>
          <w:bCs w:val="0"/>
          <w:spacing w:val="20"/>
          <w:kern w:val="2"/>
          <w:szCs w:val="32"/>
        </w:rPr>
        <w:t>相關法</w:t>
      </w:r>
      <w:r w:rsidRPr="00535039">
        <w:rPr>
          <w:rFonts w:hAnsi="標楷體" w:hint="eastAsia"/>
          <w:bCs w:val="0"/>
          <w:spacing w:val="20"/>
          <w:kern w:val="2"/>
          <w:szCs w:val="32"/>
        </w:rPr>
        <w:lastRenderedPageBreak/>
        <w:t>定程序，以確保無論自國外輸入或國內產製商品，符合塑化劑含量規範，保障消費者權益。</w:t>
      </w:r>
    </w:p>
    <w:p w14:paraId="002897B5" w14:textId="50881D15" w:rsidR="00AA209E" w:rsidRPr="00A236E3" w:rsidRDefault="000C69CB" w:rsidP="00DC60AB">
      <w:pPr>
        <w:pStyle w:val="2"/>
        <w:widowControl/>
        <w:numPr>
          <w:ilvl w:val="2"/>
          <w:numId w:val="1"/>
        </w:numPr>
        <w:overflowPunct/>
        <w:autoSpaceDE/>
        <w:autoSpaceDN/>
        <w:ind w:left="1361"/>
        <w:rPr>
          <w:rFonts w:hAnsi="標楷體"/>
          <w:szCs w:val="52"/>
        </w:rPr>
      </w:pPr>
      <w:r w:rsidRPr="00A236E3">
        <w:rPr>
          <w:rFonts w:hAnsi="標楷體" w:hint="eastAsia"/>
        </w:rPr>
        <w:t>綜上，</w:t>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00A236E3" w:rsidRPr="00A236E3">
        <w:rPr>
          <w:rFonts w:hAnsi="標楷體" w:hint="eastAsia"/>
          <w:spacing w:val="-4"/>
        </w:rPr>
        <w:t>基於塑膠手套常藉由添加塑化劑，以使材質更為柔軟適用，為瞭解國內市售家庭用塑膠手套含塑化劑情形，標準局於113年5月及114年6月進行2次檢測，結果不合格率高達七成以上，甚有超標達460倍之情事，由於塑膠手套使用者多為需長時穿戴之工作者，長期使用造成健康風險，且該等不合格商品之</w:t>
      </w:r>
      <w:proofErr w:type="gramStart"/>
      <w:r w:rsidR="00A236E3" w:rsidRPr="00A236E3">
        <w:rPr>
          <w:rFonts w:hAnsi="標楷體" w:hint="eastAsia"/>
          <w:spacing w:val="-4"/>
        </w:rPr>
        <w:t>產</w:t>
      </w:r>
      <w:r w:rsidR="00A236E3" w:rsidRPr="005B1ADC">
        <w:rPr>
          <w:rFonts w:hAnsi="標楷體" w:hint="eastAsia"/>
          <w:spacing w:val="-4"/>
        </w:rPr>
        <w:t>地均為中國</w:t>
      </w:r>
      <w:proofErr w:type="gramEnd"/>
      <w:r w:rsidR="00A236E3" w:rsidRPr="005B1ADC">
        <w:rPr>
          <w:rFonts w:hAnsi="標楷體" w:hint="eastAsia"/>
          <w:spacing w:val="-4"/>
        </w:rPr>
        <w:t>，卻因塑膠手套非屬</w:t>
      </w:r>
      <w:r w:rsidR="00BF1392" w:rsidRPr="005B1ADC">
        <w:rPr>
          <w:rFonts w:hAnsi="標楷體" w:hint="eastAsia"/>
          <w:spacing w:val="-4"/>
        </w:rPr>
        <w:t>我國</w:t>
      </w:r>
      <w:r w:rsidR="00A236E3" w:rsidRPr="005B1ADC">
        <w:rPr>
          <w:rFonts w:hAnsi="標楷體" w:hint="eastAsia"/>
          <w:spacing w:val="-4"/>
        </w:rPr>
        <w:t>商品檢驗法所公告之「應施檢驗商品」，致長期以來未能列入邊境抽查對象，影響消費者使用安全甚</w:t>
      </w:r>
      <w:proofErr w:type="gramStart"/>
      <w:r w:rsidR="00A236E3" w:rsidRPr="005B1ADC">
        <w:rPr>
          <w:rFonts w:hAnsi="標楷體" w:hint="eastAsia"/>
          <w:spacing w:val="-4"/>
        </w:rPr>
        <w:t>鉅</w:t>
      </w:r>
      <w:proofErr w:type="gramEnd"/>
      <w:r w:rsidR="00A236E3" w:rsidRPr="005B1ADC">
        <w:rPr>
          <w:rFonts w:hAnsi="標楷體" w:hint="eastAsia"/>
          <w:spacing w:val="-4"/>
        </w:rPr>
        <w:t>，亟待該局檢討改善。</w:t>
      </w:r>
      <w:r w:rsidR="00AA209E" w:rsidRPr="00A236E3">
        <w:rPr>
          <w:rFonts w:hAnsi="標楷體"/>
        </w:rPr>
        <w:br w:type="page"/>
      </w:r>
    </w:p>
    <w:p w14:paraId="5039E908" w14:textId="39D7B620" w:rsidR="004F1EAF" w:rsidRPr="00535039" w:rsidRDefault="004F1EAF" w:rsidP="004F1EAF">
      <w:pPr>
        <w:pStyle w:val="1"/>
        <w:ind w:left="2380" w:hanging="2380"/>
        <w:rPr>
          <w:rFonts w:hAnsi="標楷體"/>
        </w:rPr>
      </w:pPr>
      <w:r w:rsidRPr="00535039">
        <w:rPr>
          <w:rFonts w:hAnsi="標楷體" w:hint="eastAsia"/>
        </w:rPr>
        <w:lastRenderedPageBreak/>
        <w:t>處理辦法：</w:t>
      </w:r>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1BDECEAC" w14:textId="3F53D29E" w:rsidR="004F1EAF" w:rsidRPr="00535039" w:rsidRDefault="004F1EAF" w:rsidP="00E87FBA">
      <w:pPr>
        <w:pStyle w:val="2"/>
        <w:spacing w:beforeLines="25" w:before="114"/>
        <w:ind w:left="1020" w:hanging="680"/>
        <w:rPr>
          <w:rFonts w:hAnsi="標楷體"/>
        </w:rPr>
      </w:pPr>
      <w:bookmarkStart w:id="74" w:name="_Toc524895649"/>
      <w:bookmarkStart w:id="75" w:name="_Toc524896195"/>
      <w:bookmarkStart w:id="76" w:name="_Toc524896225"/>
      <w:bookmarkStart w:id="77" w:name="_Toc70241820"/>
      <w:bookmarkStart w:id="78" w:name="_Toc70242209"/>
      <w:bookmarkStart w:id="79" w:name="_Toc421794876"/>
      <w:bookmarkStart w:id="80" w:name="_Toc421795442"/>
      <w:bookmarkStart w:id="81" w:name="_Toc421796023"/>
      <w:bookmarkStart w:id="82" w:name="_Toc422728958"/>
      <w:bookmarkStart w:id="83" w:name="_Toc422834161"/>
      <w:bookmarkStart w:id="84" w:name="_Toc2400396"/>
      <w:bookmarkStart w:id="85" w:name="_Toc4316190"/>
      <w:bookmarkStart w:id="86" w:name="_Toc4473331"/>
      <w:bookmarkStart w:id="87" w:name="_Toc69556898"/>
      <w:bookmarkStart w:id="88" w:name="_Toc69556947"/>
      <w:bookmarkStart w:id="89" w:name="_Toc69609821"/>
      <w:bookmarkStart w:id="90" w:name="_Toc70241817"/>
      <w:bookmarkStart w:id="91" w:name="_Toc70242206"/>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4"/>
      <w:bookmarkEnd w:id="75"/>
      <w:bookmarkEnd w:id="76"/>
      <w:r w:rsidRPr="00535039">
        <w:rPr>
          <w:rFonts w:hAnsi="標楷體" w:hint="eastAsia"/>
        </w:rPr>
        <w:t>調查意見，</w:t>
      </w:r>
      <w:r w:rsidR="00E87FBA" w:rsidRPr="00535039">
        <w:rPr>
          <w:rFonts w:hAnsi="標楷體" w:hint="eastAsia"/>
        </w:rPr>
        <w:t>函請行政院督促環境部、衛生福利部、海洋委員會、經濟部確實檢討改進</w:t>
      </w:r>
      <w:proofErr w:type="gramStart"/>
      <w:r w:rsidR="00E87FBA" w:rsidRPr="00535039">
        <w:rPr>
          <w:rFonts w:hAnsi="標楷體" w:hint="eastAsia"/>
        </w:rPr>
        <w:t>見復。</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roofErr w:type="gramEnd"/>
    </w:p>
    <w:p w14:paraId="4DAB57D4" w14:textId="77777777" w:rsidR="004F1EAF" w:rsidRDefault="004F1EAF" w:rsidP="004F1EAF">
      <w:pPr>
        <w:pStyle w:val="2"/>
        <w:rPr>
          <w:rFonts w:hAnsi="標楷體"/>
        </w:rPr>
      </w:pPr>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92"/>
      <w:bookmarkEnd w:id="93"/>
      <w:bookmarkEnd w:id="94"/>
      <w:bookmarkEnd w:id="95"/>
      <w:bookmarkEnd w:id="96"/>
      <w:bookmarkEnd w:id="97"/>
      <w:bookmarkEnd w:id="98"/>
      <w:bookmarkEnd w:id="99"/>
      <w:bookmarkEnd w:id="100"/>
      <w:bookmarkEnd w:id="101"/>
      <w:bookmarkEnd w:id="102"/>
      <w:r w:rsidRPr="00535039">
        <w:rPr>
          <w:rFonts w:hAnsi="標楷體" w:hint="eastAsia"/>
        </w:rPr>
        <w:t>調查意見及處理辦法經委員會討論通過後公布。</w:t>
      </w:r>
    </w:p>
    <w:p w14:paraId="4F45CB34" w14:textId="77777777" w:rsidR="00F17C4E" w:rsidRDefault="00F17C4E" w:rsidP="00F17C4E">
      <w:pPr>
        <w:pStyle w:val="1"/>
        <w:numPr>
          <w:ilvl w:val="0"/>
          <w:numId w:val="0"/>
        </w:numPr>
        <w:ind w:left="2381" w:hanging="2381"/>
      </w:pPr>
    </w:p>
    <w:p w14:paraId="529863FB" w14:textId="77777777" w:rsidR="00F17C4E" w:rsidRDefault="00F17C4E" w:rsidP="00F17C4E">
      <w:pPr>
        <w:pStyle w:val="1"/>
        <w:numPr>
          <w:ilvl w:val="0"/>
          <w:numId w:val="0"/>
        </w:numPr>
        <w:ind w:left="2381" w:hanging="2381"/>
      </w:pPr>
    </w:p>
    <w:p w14:paraId="0AEBD0A6" w14:textId="77777777" w:rsidR="00F17C4E" w:rsidRPr="00535039" w:rsidRDefault="00F17C4E" w:rsidP="00F17C4E">
      <w:pPr>
        <w:pStyle w:val="1"/>
        <w:numPr>
          <w:ilvl w:val="0"/>
          <w:numId w:val="0"/>
        </w:numPr>
        <w:ind w:left="2381" w:hanging="2381"/>
        <w:rPr>
          <w:rFonts w:hint="eastAsia"/>
        </w:rPr>
      </w:pPr>
    </w:p>
    <w:bookmarkEnd w:id="103"/>
    <w:bookmarkEnd w:id="104"/>
    <w:bookmarkEnd w:id="105"/>
    <w:bookmarkEnd w:id="106"/>
    <w:bookmarkEnd w:id="107"/>
    <w:bookmarkEnd w:id="108"/>
    <w:bookmarkEnd w:id="109"/>
    <w:bookmarkEnd w:id="110"/>
    <w:bookmarkEnd w:id="111"/>
    <w:bookmarkEnd w:id="112"/>
    <w:bookmarkEnd w:id="113"/>
    <w:bookmarkEnd w:id="114"/>
    <w:bookmarkEnd w:id="115"/>
    <w:p w14:paraId="6EAE877B" w14:textId="370E15AF" w:rsidR="004F1EAF" w:rsidRPr="00F17C4E" w:rsidRDefault="004F1EAF" w:rsidP="00F17C4E">
      <w:pPr>
        <w:pStyle w:val="aa"/>
        <w:spacing w:beforeLines="50" w:before="228" w:afterLines="100" w:after="457"/>
        <w:ind w:leftChars="1100" w:left="3742"/>
        <w:rPr>
          <w:rFonts w:hAnsi="標楷體"/>
          <w:b w:val="0"/>
          <w:bCs/>
          <w:snapToGrid/>
          <w:spacing w:val="12"/>
          <w:kern w:val="0"/>
          <w:sz w:val="40"/>
        </w:rPr>
      </w:pPr>
      <w:r w:rsidRPr="00535039">
        <w:rPr>
          <w:rFonts w:hAnsi="標楷體" w:hint="eastAsia"/>
          <w:b w:val="0"/>
          <w:bCs/>
          <w:snapToGrid/>
          <w:spacing w:val="12"/>
          <w:kern w:val="0"/>
          <w:sz w:val="40"/>
        </w:rPr>
        <w:t>調查委員：</w:t>
      </w:r>
      <w:r w:rsidR="00F17C4E">
        <w:rPr>
          <w:rFonts w:hAnsi="標楷體" w:hint="eastAsia"/>
          <w:b w:val="0"/>
          <w:bCs/>
          <w:snapToGrid/>
          <w:spacing w:val="12"/>
          <w:kern w:val="0"/>
          <w:sz w:val="40"/>
        </w:rPr>
        <w:t>田秋</w:t>
      </w:r>
      <w:proofErr w:type="gramStart"/>
      <w:r w:rsidR="00F17C4E">
        <w:rPr>
          <w:rFonts w:hAnsi="標楷體" w:hint="eastAsia"/>
          <w:b w:val="0"/>
          <w:bCs/>
          <w:snapToGrid/>
          <w:spacing w:val="12"/>
          <w:kern w:val="0"/>
          <w:sz w:val="40"/>
        </w:rPr>
        <w:t>堇</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roofErr w:type="gramEnd"/>
    </w:p>
    <w:sectPr w:rsidR="004F1EAF" w:rsidRPr="00F17C4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CAFC7" w14:textId="77777777" w:rsidR="00B42C03" w:rsidRDefault="00B42C03">
      <w:r>
        <w:separator/>
      </w:r>
    </w:p>
  </w:endnote>
  <w:endnote w:type="continuationSeparator" w:id="0">
    <w:p w14:paraId="74B6A166" w14:textId="77777777" w:rsidR="00B42C03" w:rsidRDefault="00B42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D7692" w14:textId="77777777" w:rsidR="00FC21F1" w:rsidRDefault="00FC21F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036ABFD8" w14:textId="77777777" w:rsidR="00FC21F1" w:rsidRDefault="00FC21F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05B0F" w14:textId="77777777" w:rsidR="00B42C03" w:rsidRDefault="00B42C03">
      <w:r>
        <w:separator/>
      </w:r>
    </w:p>
  </w:footnote>
  <w:footnote w:type="continuationSeparator" w:id="0">
    <w:p w14:paraId="6EC95CC8" w14:textId="77777777" w:rsidR="00B42C03" w:rsidRDefault="00B42C03">
      <w:r>
        <w:continuationSeparator/>
      </w:r>
    </w:p>
  </w:footnote>
  <w:footnote w:id="1">
    <w:p w14:paraId="5476052B" w14:textId="3D8756BC" w:rsidR="009E1E9B" w:rsidRPr="009E71C0" w:rsidRDefault="009E1E9B" w:rsidP="009E71C0">
      <w:pPr>
        <w:pStyle w:val="afc"/>
        <w:wordWrap w:val="0"/>
        <w:ind w:left="84" w:hangingChars="38" w:hanging="84"/>
        <w:jc w:val="both"/>
      </w:pPr>
      <w:r>
        <w:rPr>
          <w:rStyle w:val="afe"/>
        </w:rPr>
        <w:footnoteRef/>
      </w:r>
      <w:r>
        <w:rPr>
          <w:rFonts w:hint="eastAsia"/>
        </w:rPr>
        <w:t>資料來源：</w:t>
      </w:r>
      <w:r w:rsidR="00D432CE">
        <w:rPr>
          <w:rFonts w:hint="eastAsia"/>
        </w:rPr>
        <w:t>環境部化學物質管理署</w:t>
      </w:r>
      <w:hyperlink r:id="rId1" w:history="1">
        <w:r w:rsidR="00ED78DC" w:rsidRPr="009E71C0">
          <w:rPr>
            <w:rStyle w:val="ae"/>
            <w:color w:val="auto"/>
            <w:u w:val="none"/>
          </w:rPr>
          <w:t>https://topic.moenv.gov.tw/edcs/cp-362-9445-20fcd-6.html</w:t>
        </w:r>
      </w:hyperlink>
      <w:r w:rsidR="00D432CE" w:rsidRPr="009E71C0">
        <w:rPr>
          <w:rFonts w:hint="eastAsia"/>
        </w:rPr>
        <w:t>、</w:t>
      </w:r>
      <w:r w:rsidR="00177172" w:rsidRPr="009E71C0">
        <w:rPr>
          <w:rFonts w:hint="eastAsia"/>
        </w:rPr>
        <w:t>國家環境毒物研究中心</w:t>
      </w:r>
      <w:hyperlink r:id="rId2" w:history="1">
        <w:r w:rsidR="00ED78DC" w:rsidRPr="009E71C0">
          <w:rPr>
            <w:rStyle w:val="ae"/>
            <w:color w:val="auto"/>
            <w:u w:val="none"/>
          </w:rPr>
          <w:t>https://nehrc.nhri.edu.tw/2018/11/02/%E5%A1%91%E8%86%A0%E5%BE%AE%E7%B2%92qa/</w:t>
        </w:r>
      </w:hyperlink>
      <w:r w:rsidR="00177172" w:rsidRPr="009E71C0">
        <w:rPr>
          <w:rFonts w:hint="eastAsia"/>
        </w:rPr>
        <w:t>。</w:t>
      </w:r>
    </w:p>
  </w:footnote>
  <w:footnote w:id="2">
    <w:p w14:paraId="45E5FA6A" w14:textId="2CF80E53" w:rsidR="003632EC" w:rsidRPr="0005073A" w:rsidRDefault="003632EC" w:rsidP="001432B9">
      <w:pPr>
        <w:pStyle w:val="afc"/>
        <w:ind w:leftChars="4" w:left="124" w:hangingChars="50" w:hanging="110"/>
        <w:jc w:val="both"/>
      </w:pPr>
      <w:r>
        <w:rPr>
          <w:rStyle w:val="afe"/>
        </w:rPr>
        <w:footnoteRef/>
      </w:r>
      <w:proofErr w:type="gramStart"/>
      <w:r w:rsidR="00AB6700">
        <w:rPr>
          <w:rFonts w:hint="eastAsia"/>
        </w:rPr>
        <w:t>海保署</w:t>
      </w:r>
      <w:proofErr w:type="gramEnd"/>
      <w:r w:rsidR="00AB6700">
        <w:rPr>
          <w:rFonts w:hint="eastAsia"/>
        </w:rPr>
        <w:t>網站公開揭露報告為</w:t>
      </w:r>
      <w:r w:rsidR="00AB6700">
        <w:rPr>
          <w:rFonts w:hint="eastAsia"/>
        </w:rPr>
        <w:tab/>
      </w:r>
      <w:proofErr w:type="gramStart"/>
      <w:r w:rsidR="00AB6700">
        <w:rPr>
          <w:rFonts w:hint="eastAsia"/>
        </w:rPr>
        <w:t>109</w:t>
      </w:r>
      <w:proofErr w:type="gramEnd"/>
      <w:r w:rsidR="00AB6700">
        <w:rPr>
          <w:rFonts w:hint="eastAsia"/>
        </w:rPr>
        <w:t>年度海漂（底）垃圾分布調查及微型塑膠</w:t>
      </w:r>
      <w:proofErr w:type="gramStart"/>
      <w:r w:rsidR="00AB6700">
        <w:rPr>
          <w:rFonts w:hint="eastAsia"/>
        </w:rPr>
        <w:t>採</w:t>
      </w:r>
      <w:proofErr w:type="gramEnd"/>
      <w:r w:rsidR="00AB6700">
        <w:rPr>
          <w:rFonts w:hint="eastAsia"/>
        </w:rPr>
        <w:t>樣檢測機制建立計畫、</w:t>
      </w:r>
      <w:r w:rsidR="00AB6700">
        <w:rPr>
          <w:rFonts w:hint="eastAsia"/>
        </w:rPr>
        <w:tab/>
      </w:r>
      <w:proofErr w:type="gramStart"/>
      <w:r w:rsidR="00AB6700">
        <w:rPr>
          <w:rFonts w:hint="eastAsia"/>
        </w:rPr>
        <w:t>110</w:t>
      </w:r>
      <w:proofErr w:type="gramEnd"/>
      <w:r w:rsidR="00AB6700">
        <w:rPr>
          <w:rFonts w:hint="eastAsia"/>
        </w:rPr>
        <w:t>年度海漂(底)垃圾分布及微型塑膠</w:t>
      </w:r>
      <w:proofErr w:type="gramStart"/>
      <w:r w:rsidR="00AB6700">
        <w:rPr>
          <w:rFonts w:hint="eastAsia"/>
        </w:rPr>
        <w:t>採</w:t>
      </w:r>
      <w:proofErr w:type="gramEnd"/>
      <w:r w:rsidR="00AB6700">
        <w:rPr>
          <w:rFonts w:hint="eastAsia"/>
        </w:rPr>
        <w:t>樣檢測計畫、</w:t>
      </w:r>
      <w:r w:rsidR="00AB6700">
        <w:rPr>
          <w:rFonts w:hint="eastAsia"/>
        </w:rPr>
        <w:tab/>
      </w:r>
      <w:proofErr w:type="gramStart"/>
      <w:r w:rsidR="00AB6700">
        <w:rPr>
          <w:rFonts w:hint="eastAsia"/>
        </w:rPr>
        <w:t>111</w:t>
      </w:r>
      <w:proofErr w:type="gramEnd"/>
      <w:r w:rsidR="00AB6700">
        <w:rPr>
          <w:rFonts w:hint="eastAsia"/>
        </w:rPr>
        <w:t>年度海漂（底）垃圾分布及微型塑膠</w:t>
      </w:r>
      <w:proofErr w:type="gramStart"/>
      <w:r w:rsidR="00AB6700">
        <w:rPr>
          <w:rFonts w:hint="eastAsia"/>
        </w:rPr>
        <w:t>採</w:t>
      </w:r>
      <w:proofErr w:type="gramEnd"/>
      <w:r w:rsidR="00AB6700">
        <w:rPr>
          <w:rFonts w:hint="eastAsia"/>
        </w:rPr>
        <w:t>樣檢測調查計畫、</w:t>
      </w:r>
      <w:r w:rsidR="00AB6700">
        <w:rPr>
          <w:rFonts w:hint="eastAsia"/>
        </w:rPr>
        <w:tab/>
      </w:r>
      <w:proofErr w:type="gramStart"/>
      <w:r w:rsidR="00AB6700">
        <w:rPr>
          <w:rFonts w:hint="eastAsia"/>
        </w:rPr>
        <w:t>112</w:t>
      </w:r>
      <w:proofErr w:type="gramEnd"/>
      <w:r w:rsidR="00AB6700">
        <w:rPr>
          <w:rFonts w:hint="eastAsia"/>
        </w:rPr>
        <w:t>年度海漂（底）垃圾及微型塑膠分布調查</w:t>
      </w:r>
      <w:proofErr w:type="gramStart"/>
      <w:r w:rsidR="00AB6700">
        <w:rPr>
          <w:rFonts w:hint="eastAsia"/>
        </w:rPr>
        <w:t>與海廢監控</w:t>
      </w:r>
      <w:proofErr w:type="gramEnd"/>
      <w:r w:rsidR="00AB6700">
        <w:rPr>
          <w:rFonts w:hint="eastAsia"/>
        </w:rPr>
        <w:t>建置計畫、</w:t>
      </w:r>
      <w:r w:rsidR="00AB6700">
        <w:rPr>
          <w:rFonts w:hint="eastAsia"/>
        </w:rPr>
        <w:tab/>
      </w:r>
      <w:proofErr w:type="gramStart"/>
      <w:r w:rsidR="00AB6700">
        <w:rPr>
          <w:rFonts w:hint="eastAsia"/>
        </w:rPr>
        <w:t>113</w:t>
      </w:r>
      <w:proofErr w:type="gramEnd"/>
      <w:r w:rsidR="00AB6700">
        <w:rPr>
          <w:rFonts w:hint="eastAsia"/>
        </w:rPr>
        <w:t>年度海漂（底）廢棄物及微型塑膠分布調查</w:t>
      </w:r>
      <w:proofErr w:type="gramStart"/>
      <w:r w:rsidR="00AB6700">
        <w:rPr>
          <w:rFonts w:hint="eastAsia"/>
        </w:rPr>
        <w:t>與海廢監控</w:t>
      </w:r>
      <w:proofErr w:type="gramEnd"/>
      <w:r w:rsidR="00AB6700">
        <w:rPr>
          <w:rFonts w:hint="eastAsia"/>
        </w:rPr>
        <w:t>建置計畫。</w:t>
      </w:r>
    </w:p>
  </w:footnote>
  <w:footnote w:id="3">
    <w:p w14:paraId="67986A61" w14:textId="70F69052" w:rsidR="00A351E9" w:rsidRDefault="00A351E9" w:rsidP="001432B9">
      <w:pPr>
        <w:pStyle w:val="afc"/>
        <w:ind w:left="308" w:hangingChars="140" w:hanging="308"/>
        <w:jc w:val="both"/>
      </w:pPr>
      <w:r>
        <w:rPr>
          <w:rStyle w:val="afe"/>
        </w:rPr>
        <w:footnoteRef/>
      </w:r>
      <w:r>
        <w:rPr>
          <w:rFonts w:hint="eastAsia"/>
        </w:rPr>
        <w:t>1、</w:t>
      </w:r>
      <w:proofErr w:type="gramStart"/>
      <w:r>
        <w:rPr>
          <w:rFonts w:hint="eastAsia"/>
        </w:rPr>
        <w:t>採</w:t>
      </w:r>
      <w:proofErr w:type="gramEnd"/>
      <w:r>
        <w:rPr>
          <w:rFonts w:hint="eastAsia"/>
        </w:rPr>
        <w:t>樣方式：國環院為</w:t>
      </w:r>
      <w:proofErr w:type="gramStart"/>
      <w:r>
        <w:rPr>
          <w:rFonts w:hint="eastAsia"/>
        </w:rPr>
        <w:t>採</w:t>
      </w:r>
      <w:proofErr w:type="gramEnd"/>
      <w:r>
        <w:rPr>
          <w:rFonts w:hint="eastAsia"/>
        </w:rPr>
        <w:t>樣瓶</w:t>
      </w:r>
      <w:proofErr w:type="gramStart"/>
      <w:r>
        <w:rPr>
          <w:rFonts w:hint="eastAsia"/>
        </w:rPr>
        <w:t>採</w:t>
      </w:r>
      <w:proofErr w:type="gramEnd"/>
      <w:r>
        <w:rPr>
          <w:rFonts w:hint="eastAsia"/>
        </w:rPr>
        <w:t>水法，以孔徑20</w:t>
      </w:r>
      <w:r w:rsidR="00E847FC">
        <w:rPr>
          <w:rFonts w:hint="eastAsia"/>
        </w:rPr>
        <w:t>µ</w:t>
      </w:r>
      <w:r>
        <w:rPr>
          <w:rFonts w:hint="eastAsia"/>
        </w:rPr>
        <w:t>m金屬網過濾（檢測微塑膠大小為20</w:t>
      </w:r>
      <w:r w:rsidR="00E847FC">
        <w:rPr>
          <w:rFonts w:hint="eastAsia"/>
        </w:rPr>
        <w:t>µ</w:t>
      </w:r>
      <w:r>
        <w:rPr>
          <w:rFonts w:hint="eastAsia"/>
        </w:rPr>
        <w:t>m以上，5mm以下）；</w:t>
      </w:r>
      <w:proofErr w:type="gramStart"/>
      <w:r>
        <w:rPr>
          <w:rFonts w:hint="eastAsia"/>
        </w:rPr>
        <w:t>海保署係</w:t>
      </w:r>
      <w:proofErr w:type="gramEnd"/>
      <w:r>
        <w:rPr>
          <w:rFonts w:hint="eastAsia"/>
        </w:rPr>
        <w:t>將Manta net</w:t>
      </w:r>
      <w:proofErr w:type="gramStart"/>
      <w:r>
        <w:rPr>
          <w:rFonts w:hint="eastAsia"/>
        </w:rPr>
        <w:t>採樣器掛</w:t>
      </w:r>
      <w:proofErr w:type="gramEnd"/>
      <w:r>
        <w:rPr>
          <w:rFonts w:hint="eastAsia"/>
        </w:rPr>
        <w:t>於船側，以船速2節以下速度拖行20分鐘收集微塑膠(Manta net網目大小為330</w:t>
      </w:r>
      <w:r w:rsidR="00E847FC">
        <w:rPr>
          <w:rFonts w:hint="eastAsia"/>
        </w:rPr>
        <w:t>µ</w:t>
      </w:r>
      <w:r>
        <w:rPr>
          <w:rFonts w:hint="eastAsia"/>
        </w:rPr>
        <w:t>m，即檢測微塑膠大小為330</w:t>
      </w:r>
      <w:r w:rsidR="00E847FC">
        <w:rPr>
          <w:rFonts w:hint="eastAsia"/>
        </w:rPr>
        <w:t>µ</w:t>
      </w:r>
      <w:r>
        <w:rPr>
          <w:rFonts w:hint="eastAsia"/>
        </w:rPr>
        <w:t>m以上，5mm以下)。</w:t>
      </w:r>
    </w:p>
    <w:p w14:paraId="5D35E97F" w14:textId="300DDF71" w:rsidR="00A351E9" w:rsidRDefault="00A351E9" w:rsidP="001432B9">
      <w:pPr>
        <w:pStyle w:val="afc"/>
        <w:ind w:left="308" w:hangingChars="140" w:hanging="308"/>
        <w:jc w:val="both"/>
      </w:pPr>
      <w:r>
        <w:rPr>
          <w:rFonts w:hint="eastAsia"/>
        </w:rPr>
        <w:t>2、</w:t>
      </w:r>
      <w:proofErr w:type="gramStart"/>
      <w:r>
        <w:rPr>
          <w:rFonts w:hint="eastAsia"/>
        </w:rPr>
        <w:t>採</w:t>
      </w:r>
      <w:proofErr w:type="gramEnd"/>
      <w:r>
        <w:rPr>
          <w:rFonts w:hint="eastAsia"/>
        </w:rPr>
        <w:t>樣地點：國環院採集王</w:t>
      </w:r>
      <w:proofErr w:type="gramStart"/>
      <w:r>
        <w:rPr>
          <w:rFonts w:hint="eastAsia"/>
        </w:rPr>
        <w:t>功</w:t>
      </w:r>
      <w:r w:rsidR="001432B9">
        <w:rPr>
          <w:rFonts w:hint="eastAsia"/>
        </w:rPr>
        <w:t>區</w:t>
      </w:r>
      <w:r>
        <w:rPr>
          <w:rFonts w:hint="eastAsia"/>
        </w:rPr>
        <w:t>、</w:t>
      </w:r>
      <w:r w:rsidR="001432B9">
        <w:rPr>
          <w:rFonts w:hint="eastAsia"/>
        </w:rPr>
        <w:t>臺</w:t>
      </w:r>
      <w:proofErr w:type="gramEnd"/>
      <w:r>
        <w:rPr>
          <w:rFonts w:hint="eastAsia"/>
        </w:rPr>
        <w:t>西</w:t>
      </w:r>
      <w:r w:rsidR="001432B9">
        <w:rPr>
          <w:rFonts w:hint="eastAsia"/>
        </w:rPr>
        <w:t>鄉</w:t>
      </w:r>
      <w:r>
        <w:rPr>
          <w:rFonts w:hint="eastAsia"/>
        </w:rPr>
        <w:t>、東石</w:t>
      </w:r>
      <w:r w:rsidR="001432B9">
        <w:rPr>
          <w:rFonts w:hint="eastAsia"/>
        </w:rPr>
        <w:t>鄉</w:t>
      </w:r>
      <w:r>
        <w:rPr>
          <w:rFonts w:hint="eastAsia"/>
        </w:rPr>
        <w:t>、安平</w:t>
      </w:r>
      <w:r w:rsidR="001432B9">
        <w:rPr>
          <w:rFonts w:hint="eastAsia"/>
        </w:rPr>
        <w:t>區</w:t>
      </w:r>
      <w:r>
        <w:rPr>
          <w:rFonts w:hint="eastAsia"/>
        </w:rPr>
        <w:t>、澎湖、金門及馬祖離島養殖區及墾丁、福隆海水浴場共9處</w:t>
      </w:r>
      <w:proofErr w:type="gramStart"/>
      <w:r>
        <w:rPr>
          <w:rFonts w:hint="eastAsia"/>
        </w:rPr>
        <w:t>採樣點</w:t>
      </w:r>
      <w:proofErr w:type="gramEnd"/>
      <w:r>
        <w:rPr>
          <w:rFonts w:hint="eastAsia"/>
        </w:rPr>
        <w:t>，多屬封閉型海域；</w:t>
      </w:r>
      <w:proofErr w:type="gramStart"/>
      <w:r>
        <w:rPr>
          <w:rFonts w:hint="eastAsia"/>
        </w:rPr>
        <w:t>海保署採</w:t>
      </w:r>
      <w:proofErr w:type="gramEnd"/>
      <w:r>
        <w:rPr>
          <w:rFonts w:hint="eastAsia"/>
        </w:rPr>
        <w:t>樣地點為淡水河、後龍溪、烏溪、鹽水溪、曾文溪及阿公店溪等河川出海口，於5公尺及15公尺等深線處</w:t>
      </w:r>
      <w:proofErr w:type="gramStart"/>
      <w:r>
        <w:rPr>
          <w:rFonts w:hint="eastAsia"/>
        </w:rPr>
        <w:t>採</w:t>
      </w:r>
      <w:proofErr w:type="gramEnd"/>
      <w:r>
        <w:rPr>
          <w:rFonts w:hint="eastAsia"/>
        </w:rPr>
        <w:t>樣，主要針對</w:t>
      </w:r>
      <w:proofErr w:type="gramStart"/>
      <w:r>
        <w:rPr>
          <w:rFonts w:hint="eastAsia"/>
        </w:rPr>
        <w:t>陸源微塑膠</w:t>
      </w:r>
      <w:proofErr w:type="gramEnd"/>
      <w:r>
        <w:rPr>
          <w:rFonts w:hint="eastAsia"/>
        </w:rPr>
        <w:t>，</w:t>
      </w:r>
      <w:proofErr w:type="gramStart"/>
      <w:r>
        <w:rPr>
          <w:rFonts w:hint="eastAsia"/>
        </w:rPr>
        <w:t>採樣點</w:t>
      </w:r>
      <w:proofErr w:type="gramEnd"/>
      <w:r>
        <w:rPr>
          <w:rFonts w:hint="eastAsia"/>
        </w:rPr>
        <w:t>距離海岸較遠，屬於開放性海域，樣本可能受海水稀釋影響而濃度偏低。</w:t>
      </w:r>
    </w:p>
    <w:p w14:paraId="784B9A4E" w14:textId="173A2109" w:rsidR="00A351E9" w:rsidRDefault="00A351E9" w:rsidP="001432B9">
      <w:pPr>
        <w:pStyle w:val="afc"/>
        <w:ind w:left="308" w:hangingChars="140" w:hanging="308"/>
        <w:jc w:val="both"/>
      </w:pPr>
      <w:r>
        <w:rPr>
          <w:rFonts w:hint="eastAsia"/>
        </w:rPr>
        <w:t>3、分析方法：國環院計畫使用</w:t>
      </w:r>
      <w:r w:rsidR="001432B9">
        <w:rPr>
          <w:rFonts w:hint="eastAsia"/>
        </w:rPr>
        <w:t>4</w:t>
      </w:r>
      <w:r>
        <w:rPr>
          <w:rFonts w:hint="eastAsia"/>
        </w:rPr>
        <w:t>種分析儀器：顯微鏡目視觀察、顯微螢光分析、顯微拉</w:t>
      </w:r>
      <w:proofErr w:type="gramStart"/>
      <w:r>
        <w:rPr>
          <w:rFonts w:hint="eastAsia"/>
        </w:rPr>
        <w:t>曼光譜儀及顯微</w:t>
      </w:r>
      <w:proofErr w:type="gramEnd"/>
      <w:r>
        <w:rPr>
          <w:rFonts w:hint="eastAsia"/>
        </w:rPr>
        <w:t>焦平面陣列傅立葉</w:t>
      </w:r>
      <w:proofErr w:type="gramStart"/>
      <w:r>
        <w:rPr>
          <w:rFonts w:hint="eastAsia"/>
        </w:rPr>
        <w:t>轉換紅外光譜儀</w:t>
      </w:r>
      <w:proofErr w:type="gramEnd"/>
      <w:r>
        <w:rPr>
          <w:rFonts w:hint="eastAsia"/>
        </w:rPr>
        <w:t>。</w:t>
      </w:r>
      <w:proofErr w:type="gramStart"/>
      <w:r>
        <w:rPr>
          <w:rFonts w:hint="eastAsia"/>
        </w:rPr>
        <w:t>海保署</w:t>
      </w:r>
      <w:proofErr w:type="gramEnd"/>
      <w:r>
        <w:rPr>
          <w:rFonts w:hint="eastAsia"/>
        </w:rPr>
        <w:t>計畫依據GESAMP(</w:t>
      </w:r>
      <w:r w:rsidRPr="00A351E9">
        <w:t>The Joint Group of Experts on the Scientific Aspects of Marine Environmental Protection.</w:t>
      </w:r>
      <w:r>
        <w:rPr>
          <w:rFonts w:hint="eastAsia"/>
        </w:rPr>
        <w:t>)制定之視覺判斷法，歸納微塑膠外觀特徵（尺寸、形狀及顏色），並選取具代表性樣品，使用顯微傅立葉</w:t>
      </w:r>
      <w:proofErr w:type="gramStart"/>
      <w:r>
        <w:rPr>
          <w:rFonts w:hint="eastAsia"/>
        </w:rPr>
        <w:t>轉換紅外光譜儀</w:t>
      </w:r>
      <w:proofErr w:type="gramEnd"/>
      <w:r>
        <w:rPr>
          <w:rFonts w:hint="eastAsia"/>
        </w:rPr>
        <w:t>進行材質判定。</w:t>
      </w:r>
    </w:p>
    <w:p w14:paraId="1D01A196" w14:textId="26FFE524" w:rsidR="00A351E9" w:rsidRPr="00A351E9" w:rsidRDefault="00A351E9" w:rsidP="001432B9">
      <w:pPr>
        <w:pStyle w:val="afc"/>
        <w:ind w:left="293" w:hangingChars="133" w:hanging="293"/>
        <w:jc w:val="both"/>
      </w:pPr>
      <w:r>
        <w:rPr>
          <w:rFonts w:hint="eastAsia"/>
        </w:rPr>
        <w:t>4、微粒大小：國環院計畫檢測之微塑膠的大小多低於100</w:t>
      </w:r>
      <w:r w:rsidR="00E847FC">
        <w:rPr>
          <w:rFonts w:hint="eastAsia"/>
        </w:rPr>
        <w:t>µ</w:t>
      </w:r>
      <w:r>
        <w:rPr>
          <w:rFonts w:hint="eastAsia"/>
        </w:rPr>
        <w:t>m；</w:t>
      </w:r>
      <w:proofErr w:type="gramStart"/>
      <w:r>
        <w:rPr>
          <w:rFonts w:hint="eastAsia"/>
        </w:rPr>
        <w:t>海保署</w:t>
      </w:r>
      <w:proofErr w:type="gramEnd"/>
      <w:r>
        <w:rPr>
          <w:rFonts w:hint="eastAsia"/>
        </w:rPr>
        <w:t>計畫檢測之微塑膠粒徑介於0.3m</w:t>
      </w:r>
      <w:r w:rsidR="005A52E1">
        <w:rPr>
          <w:rFonts w:hint="eastAsia"/>
        </w:rPr>
        <w:t>m</w:t>
      </w:r>
      <w:r>
        <w:rPr>
          <w:rFonts w:hint="eastAsia"/>
        </w:rPr>
        <w:t>至5mm之間。</w:t>
      </w:r>
    </w:p>
  </w:footnote>
  <w:footnote w:id="4">
    <w:p w14:paraId="7A169D8B" w14:textId="1F41B111" w:rsidR="003746A3" w:rsidRPr="003746A3" w:rsidRDefault="003746A3" w:rsidP="004259D7">
      <w:pPr>
        <w:pStyle w:val="afc"/>
        <w:ind w:left="141" w:hangingChars="64" w:hanging="141"/>
        <w:jc w:val="both"/>
      </w:pPr>
      <w:r>
        <w:rPr>
          <w:rStyle w:val="afe"/>
        </w:rPr>
        <w:footnoteRef/>
      </w:r>
      <w:r>
        <w:rPr>
          <w:rFonts w:hint="eastAsia"/>
        </w:rPr>
        <w:t>1、105年：開發水中微型塑膠檢測方法-顯微拉</w:t>
      </w:r>
      <w:proofErr w:type="gramStart"/>
      <w:r>
        <w:rPr>
          <w:rFonts w:hint="eastAsia"/>
        </w:rPr>
        <w:t>曼</w:t>
      </w:r>
      <w:proofErr w:type="gramEnd"/>
      <w:r>
        <w:rPr>
          <w:rFonts w:hint="eastAsia"/>
        </w:rPr>
        <w:t>法，並應用於「海洋中塑膠微粒初步探測計畫」。2、106年：</w:t>
      </w:r>
      <w:proofErr w:type="gramStart"/>
      <w:r>
        <w:rPr>
          <w:rFonts w:hint="eastAsia"/>
        </w:rPr>
        <w:t>研</w:t>
      </w:r>
      <w:proofErr w:type="gramEnd"/>
      <w:r>
        <w:rPr>
          <w:rFonts w:hint="eastAsia"/>
        </w:rPr>
        <w:t>發熱觸法檢測技術，於「自來水中微型塑膠纖維檢測技術建立及國內自來水供水水質現況調查計畫」中實施。3、107年：擴充檢測技術，採用目視法、螢光法、顯微拉</w:t>
      </w:r>
      <w:proofErr w:type="gramStart"/>
      <w:r>
        <w:rPr>
          <w:rFonts w:hint="eastAsia"/>
        </w:rPr>
        <w:t>曼法及顯微</w:t>
      </w:r>
      <w:proofErr w:type="gramEnd"/>
      <w:r>
        <w:rPr>
          <w:rFonts w:hint="eastAsia"/>
        </w:rPr>
        <w:t>焦平面陣列傅立葉轉換紅外光譜法，執行「臺灣沿海、澎湖及馬祖海域海水、沙灘砂礫及生物之塑膠微粒調查計畫」。</w:t>
      </w:r>
    </w:p>
  </w:footnote>
  <w:footnote w:id="5">
    <w:p w14:paraId="68B31CCB" w14:textId="25C7F1F9" w:rsidR="003746A3" w:rsidRPr="003746A3" w:rsidRDefault="003746A3" w:rsidP="004259D7">
      <w:pPr>
        <w:pStyle w:val="afc"/>
        <w:ind w:leftChars="21" w:left="139" w:hangingChars="31" w:hanging="68"/>
        <w:jc w:val="both"/>
      </w:pPr>
      <w:r>
        <w:rPr>
          <w:rStyle w:val="afe"/>
        </w:rPr>
        <w:footnoteRef/>
      </w:r>
      <w:r w:rsidR="001432B9">
        <w:rPr>
          <w:rFonts w:hint="eastAsia"/>
        </w:rPr>
        <w:t>包</w:t>
      </w:r>
      <w:r w:rsidRPr="003746A3">
        <w:rPr>
          <w:rFonts w:hint="eastAsia"/>
        </w:rPr>
        <w:t>括螢光染色光學顯微鏡技術、拉</w:t>
      </w:r>
      <w:proofErr w:type="gramStart"/>
      <w:r w:rsidRPr="003746A3">
        <w:rPr>
          <w:rFonts w:hint="eastAsia"/>
        </w:rPr>
        <w:t>曼</w:t>
      </w:r>
      <w:proofErr w:type="gramEnd"/>
      <w:r w:rsidRPr="003746A3">
        <w:rPr>
          <w:rFonts w:hint="eastAsia"/>
        </w:rPr>
        <w:t>光譜分析技術、傅立葉轉換紅外線光譜技術及熱裂解</w:t>
      </w:r>
      <w:proofErr w:type="gramStart"/>
      <w:r w:rsidRPr="003746A3">
        <w:rPr>
          <w:rFonts w:hint="eastAsia"/>
        </w:rPr>
        <w:t>–</w:t>
      </w:r>
      <w:proofErr w:type="gramEnd"/>
      <w:r w:rsidRPr="003746A3">
        <w:rPr>
          <w:rFonts w:hint="eastAsia"/>
        </w:rPr>
        <w:t>氣相</w:t>
      </w:r>
      <w:proofErr w:type="gramStart"/>
      <w:r w:rsidRPr="003746A3">
        <w:rPr>
          <w:rFonts w:hint="eastAsia"/>
        </w:rPr>
        <w:t>層析質譜</w:t>
      </w:r>
      <w:proofErr w:type="gramEnd"/>
      <w:r w:rsidRPr="003746A3">
        <w:rPr>
          <w:rFonts w:hint="eastAsia"/>
        </w:rPr>
        <w:t>技術，完成「塑膠微粒的檢測及成分分析技術建立」。</w:t>
      </w:r>
    </w:p>
  </w:footnote>
  <w:footnote w:id="6">
    <w:p w14:paraId="15820101" w14:textId="215D216E" w:rsidR="003746A3" w:rsidRPr="003746A3" w:rsidRDefault="003746A3" w:rsidP="004259D7">
      <w:pPr>
        <w:pStyle w:val="afc"/>
        <w:ind w:left="97" w:hangingChars="44" w:hanging="97"/>
        <w:jc w:val="both"/>
      </w:pPr>
      <w:r w:rsidRPr="001432B9">
        <w:rPr>
          <w:rStyle w:val="afe"/>
        </w:rPr>
        <w:footnoteRef/>
      </w:r>
      <w:r w:rsidRPr="003746A3">
        <w:rPr>
          <w:rFonts w:hint="eastAsia"/>
        </w:rPr>
        <w:t>依據歐洲12家實驗室110年聯合訂定之「使用微拉</w:t>
      </w:r>
      <w:proofErr w:type="gramStart"/>
      <w:r w:rsidRPr="003746A3">
        <w:rPr>
          <w:rFonts w:hint="eastAsia"/>
        </w:rPr>
        <w:t>曼</w:t>
      </w:r>
      <w:proofErr w:type="gramEnd"/>
      <w:r w:rsidRPr="003746A3">
        <w:rPr>
          <w:rFonts w:hint="eastAsia"/>
        </w:rPr>
        <w:t>與微紅外光譜分析飲用水及其他潔淨水樣品中微塑膠最低要求與最佳實踐指南」完成「飲用水微塑膠檢測結果」報告。</w:t>
      </w:r>
    </w:p>
  </w:footnote>
  <w:footnote w:id="7">
    <w:p w14:paraId="74670FE7" w14:textId="0CD844DE" w:rsidR="006A7B16" w:rsidRPr="006A7B16" w:rsidRDefault="006A7B16" w:rsidP="001432B9">
      <w:pPr>
        <w:pStyle w:val="afc"/>
        <w:ind w:left="68" w:hangingChars="31" w:hanging="68"/>
        <w:jc w:val="both"/>
      </w:pPr>
      <w:r w:rsidRPr="001432B9">
        <w:rPr>
          <w:rStyle w:val="afe"/>
        </w:rPr>
        <w:footnoteRef/>
      </w:r>
      <w:r w:rsidRPr="006A7B16">
        <w:rPr>
          <w:rFonts w:hint="eastAsia"/>
        </w:rPr>
        <w:t>113年針對外木山海域的海漂寶特瓶進行生命週期評估分析，發現其來源包含臺灣境內(28-40%)、境外(19-46%)及無法辨識者(26-41%)，顯示海洋廢棄物具有跨國界移動的特性。</w:t>
      </w:r>
    </w:p>
  </w:footnote>
  <w:footnote w:id="8">
    <w:p w14:paraId="084CFC53" w14:textId="6C672A84" w:rsidR="009E1E9B" w:rsidRPr="009E1E9B" w:rsidRDefault="009E1E9B" w:rsidP="009E71C0">
      <w:pPr>
        <w:pStyle w:val="afc"/>
        <w:wordWrap w:val="0"/>
        <w:ind w:leftChars="4" w:left="153" w:hangingChars="63" w:hanging="139"/>
      </w:pPr>
      <w:r>
        <w:rPr>
          <w:rStyle w:val="afe"/>
        </w:rPr>
        <w:footnoteRef/>
      </w:r>
      <w:r w:rsidR="001B7736">
        <w:rPr>
          <w:rFonts w:hint="eastAsia"/>
        </w:rPr>
        <w:t>資</w:t>
      </w:r>
      <w:r w:rsidR="001B7736" w:rsidRPr="009E71C0">
        <w:rPr>
          <w:rFonts w:hint="eastAsia"/>
        </w:rPr>
        <w:t>料來源：國家環境毒物研究中心</w:t>
      </w:r>
      <w:hyperlink r:id="rId3" w:history="1">
        <w:r w:rsidR="001B7736" w:rsidRPr="009E71C0">
          <w:rPr>
            <w:rStyle w:val="ae"/>
            <w:color w:val="auto"/>
            <w:u w:val="none"/>
          </w:rPr>
          <w:t>https://nehrc.nhri.edu.tw/2018/11/02/%E5%A1%91%E8%86%A0%E5%BE%AE%E7%B2%92qa/</w:t>
        </w:r>
      </w:hyperlink>
      <w:r w:rsidR="001B7736" w:rsidRPr="009E71C0">
        <w:rPr>
          <w:rFonts w:hint="eastAsia"/>
        </w:rPr>
        <w:t>。</w:t>
      </w:r>
    </w:p>
  </w:footnote>
  <w:footnote w:id="9">
    <w:p w14:paraId="3059C694" w14:textId="58EAEFB2" w:rsidR="00391349" w:rsidRPr="009E71C0" w:rsidRDefault="00391349" w:rsidP="00344843">
      <w:pPr>
        <w:pStyle w:val="afc"/>
        <w:ind w:left="167" w:hangingChars="76" w:hanging="167"/>
        <w:jc w:val="both"/>
      </w:pPr>
      <w:r>
        <w:rPr>
          <w:rStyle w:val="afe"/>
        </w:rPr>
        <w:footnoteRef/>
      </w:r>
      <w:r>
        <w:rPr>
          <w:rFonts w:hint="eastAsia"/>
        </w:rPr>
        <w:t>資料來源：媒體報導，</w:t>
      </w:r>
      <w:hyperlink r:id="rId4" w:history="1">
        <w:r w:rsidRPr="009E71C0">
          <w:rPr>
            <w:rStyle w:val="ae"/>
            <w:color w:val="auto"/>
            <w:u w:val="none"/>
          </w:rPr>
          <w:t>https://www.twreporter.org/a/ocean-waste-microplastic-in-human-organs</w:t>
        </w:r>
      </w:hyperlink>
      <w:r w:rsidRPr="009E71C0">
        <w:rPr>
          <w:rFonts w:hint="eastAsia"/>
        </w:rPr>
        <w:t>。</w:t>
      </w:r>
    </w:p>
  </w:footnote>
  <w:footnote w:id="10">
    <w:p w14:paraId="7F23F274" w14:textId="47FA5DEC" w:rsidR="00391349" w:rsidRPr="009E71C0" w:rsidRDefault="00391349" w:rsidP="00391349">
      <w:pPr>
        <w:pStyle w:val="afc"/>
      </w:pPr>
      <w:r w:rsidRPr="009E71C0">
        <w:rPr>
          <w:rStyle w:val="afe"/>
        </w:rPr>
        <w:footnoteRef/>
      </w:r>
      <w:r w:rsidRPr="009E71C0">
        <w:rPr>
          <w:rFonts w:hint="eastAsia"/>
        </w:rPr>
        <w:t>資料來源：媒體報導，</w:t>
      </w:r>
      <w:hyperlink r:id="rId5" w:history="1">
        <w:r w:rsidRPr="009E71C0">
          <w:rPr>
            <w:rStyle w:val="ae"/>
            <w:color w:val="auto"/>
            <w:u w:val="none"/>
          </w:rPr>
          <w:t>https://health.ettoday.net/news/2753514</w:t>
        </w:r>
      </w:hyperlink>
      <w:r w:rsidRPr="009E71C0">
        <w:rPr>
          <w:rFonts w:hint="eastAsia"/>
        </w:rPr>
        <w:t>。</w:t>
      </w:r>
    </w:p>
  </w:footnote>
  <w:footnote w:id="11">
    <w:p w14:paraId="2119526A" w14:textId="6AF213E7" w:rsidR="00391349" w:rsidRDefault="00391349" w:rsidP="00391349">
      <w:pPr>
        <w:pStyle w:val="afc"/>
      </w:pPr>
      <w:r w:rsidRPr="009E71C0">
        <w:rPr>
          <w:rStyle w:val="afe"/>
        </w:rPr>
        <w:footnoteRef/>
      </w:r>
      <w:r w:rsidRPr="009E71C0">
        <w:rPr>
          <w:rFonts w:hint="eastAsia"/>
        </w:rPr>
        <w:t>資料來源：媒體報導，</w:t>
      </w:r>
      <w:hyperlink r:id="rId6" w:history="1">
        <w:r w:rsidRPr="009E71C0">
          <w:rPr>
            <w:rStyle w:val="ae"/>
            <w:color w:val="auto"/>
            <w:u w:val="none"/>
          </w:rPr>
          <w:t>https://www.setn.com/News.aspx?NewsID=1619332</w:t>
        </w:r>
      </w:hyperlink>
      <w:r w:rsidRPr="009E71C0">
        <w:rPr>
          <w:rFonts w:hint="eastAsia"/>
        </w:rPr>
        <w:t>。</w:t>
      </w:r>
    </w:p>
  </w:footnote>
  <w:footnote w:id="12">
    <w:p w14:paraId="637B732A" w14:textId="680A75E5" w:rsidR="00391349" w:rsidRPr="00A32914" w:rsidRDefault="00391349" w:rsidP="00391349">
      <w:pPr>
        <w:pStyle w:val="afc"/>
      </w:pPr>
      <w:r>
        <w:rPr>
          <w:rStyle w:val="afe"/>
        </w:rPr>
        <w:footnoteRef/>
      </w:r>
      <w:r w:rsidRPr="00A32914">
        <w:rPr>
          <w:rFonts w:hint="eastAsia"/>
        </w:rPr>
        <w:t>MNPs</w:t>
      </w:r>
      <w:r w:rsidRPr="00A32914">
        <w:rPr>
          <w:rFonts w:hint="eastAsia"/>
        </w:rPr>
        <w:tab/>
      </w:r>
      <w:r>
        <w:rPr>
          <w:rFonts w:hint="eastAsia"/>
        </w:rPr>
        <w:t>：</w:t>
      </w:r>
      <w:r w:rsidRPr="006B1B9B">
        <w:rPr>
          <w:rFonts w:hint="eastAsia"/>
        </w:rPr>
        <w:t>微塑膠（Microplastics, MPs）和奈米塑膠（</w:t>
      </w:r>
      <w:proofErr w:type="spellStart"/>
      <w:r w:rsidRPr="006B1B9B">
        <w:rPr>
          <w:rFonts w:hint="eastAsia"/>
        </w:rPr>
        <w:t>Nanoplastics</w:t>
      </w:r>
      <w:proofErr w:type="spellEnd"/>
      <w:r w:rsidRPr="006B1B9B">
        <w:rPr>
          <w:rFonts w:hint="eastAsia"/>
        </w:rPr>
        <w:t>, NPs）</w:t>
      </w:r>
      <w:r>
        <w:rPr>
          <w:rFonts w:hint="eastAsia"/>
        </w:rPr>
        <w:t>。</w:t>
      </w:r>
    </w:p>
  </w:footnote>
  <w:footnote w:id="13">
    <w:p w14:paraId="4875FCAE" w14:textId="7459B6F8" w:rsidR="00AD1CAB" w:rsidRPr="00201528" w:rsidRDefault="00AD1CAB" w:rsidP="00344843">
      <w:pPr>
        <w:pStyle w:val="afc"/>
        <w:ind w:leftChars="4" w:left="98" w:hangingChars="38" w:hanging="84"/>
        <w:jc w:val="both"/>
      </w:pPr>
      <w:r>
        <w:rPr>
          <w:rStyle w:val="afe"/>
        </w:rPr>
        <w:footnoteRef/>
      </w:r>
      <w:r>
        <w:rPr>
          <w:rFonts w:hint="eastAsia"/>
        </w:rPr>
        <w:t>91年公告</w:t>
      </w:r>
      <w:r w:rsidRPr="00201528">
        <w:rPr>
          <w:rFonts w:hint="eastAsia"/>
        </w:rPr>
        <w:t>規範公部門、私立學校、百貨公司及購物中心、量販店、超級市場、連鎖便利商店及連鎖速食店計7類對象，106年起擴大管制對象</w:t>
      </w:r>
      <w:r>
        <w:rPr>
          <w:rFonts w:hint="eastAsia"/>
        </w:rPr>
        <w:t>納入</w:t>
      </w:r>
      <w:r w:rsidRPr="00201528">
        <w:rPr>
          <w:rFonts w:hint="eastAsia"/>
        </w:rPr>
        <w:t>藥</w:t>
      </w:r>
      <w:proofErr w:type="gramStart"/>
      <w:r w:rsidRPr="00201528">
        <w:rPr>
          <w:rFonts w:hint="eastAsia"/>
        </w:rPr>
        <w:t>粧</w:t>
      </w:r>
      <w:proofErr w:type="gramEnd"/>
      <w:r w:rsidRPr="00201528">
        <w:rPr>
          <w:rFonts w:hint="eastAsia"/>
        </w:rPr>
        <w:t>、美</w:t>
      </w:r>
      <w:proofErr w:type="gramStart"/>
      <w:r w:rsidRPr="00201528">
        <w:rPr>
          <w:rFonts w:hint="eastAsia"/>
        </w:rPr>
        <w:t>粧</w:t>
      </w:r>
      <w:proofErr w:type="gramEnd"/>
      <w:r w:rsidRPr="00201528">
        <w:rPr>
          <w:rFonts w:hint="eastAsia"/>
        </w:rPr>
        <w:t>店及藥局、醫療器材行、3C零售業、書局文具店、洗衣店、飲料店及西點麵包店等7類對象</w:t>
      </w:r>
      <w:r w:rsidR="00DD307E">
        <w:rPr>
          <w:rFonts w:hint="eastAsia"/>
        </w:rPr>
        <w:t>。</w:t>
      </w:r>
    </w:p>
  </w:footnote>
  <w:footnote w:id="14">
    <w:p w14:paraId="716B86FC" w14:textId="30CD2DB3" w:rsidR="00AD1CAB" w:rsidRPr="00AD1CAB" w:rsidRDefault="00AD1CAB" w:rsidP="00344843">
      <w:pPr>
        <w:pStyle w:val="afc"/>
        <w:ind w:leftChars="4" w:left="98" w:hangingChars="38" w:hanging="84"/>
        <w:jc w:val="both"/>
      </w:pPr>
      <w:r>
        <w:rPr>
          <w:rStyle w:val="afe"/>
        </w:rPr>
        <w:footnoteRef/>
      </w:r>
      <w:r>
        <w:rPr>
          <w:rFonts w:hint="eastAsia"/>
        </w:rPr>
        <w:t>〈1〉市場等未管制場域，因有魚肉蔬果等生鮮商品裝填需求，進行場域長期推動及宣導，減少購物用塑膠袋使用，訂定「</w:t>
      </w:r>
      <w:proofErr w:type="gramStart"/>
      <w:r>
        <w:rPr>
          <w:rFonts w:hint="eastAsia"/>
        </w:rPr>
        <w:t>市場減塑推動</w:t>
      </w:r>
      <w:proofErr w:type="gramEnd"/>
      <w:r>
        <w:rPr>
          <w:rFonts w:hint="eastAsia"/>
        </w:rPr>
        <w:t>作業指引」指導地方環保局推動。</w:t>
      </w:r>
      <w:proofErr w:type="gramStart"/>
      <w:r>
        <w:rPr>
          <w:rFonts w:hint="eastAsia"/>
        </w:rPr>
        <w:t>112</w:t>
      </w:r>
      <w:proofErr w:type="gramEnd"/>
      <w:r>
        <w:rPr>
          <w:rFonts w:hint="eastAsia"/>
        </w:rPr>
        <w:t>年度要求各縣市推動「</w:t>
      </w:r>
      <w:proofErr w:type="gramStart"/>
      <w:r>
        <w:rPr>
          <w:rFonts w:hint="eastAsia"/>
        </w:rPr>
        <w:t>市場減塑試辦</w:t>
      </w:r>
      <w:proofErr w:type="gramEnd"/>
      <w:r>
        <w:rPr>
          <w:rFonts w:hint="eastAsia"/>
        </w:rPr>
        <w:t>計畫」。〈2〉自113年起納入「源頭減量地方補助計畫」</w:t>
      </w:r>
      <w:proofErr w:type="gramStart"/>
      <w:r>
        <w:rPr>
          <w:rFonts w:hint="eastAsia"/>
        </w:rPr>
        <w:t>之必辦項目</w:t>
      </w:r>
      <w:proofErr w:type="gramEnd"/>
      <w:r>
        <w:rPr>
          <w:rFonts w:hint="eastAsia"/>
        </w:rPr>
        <w:t>並列入考核。</w:t>
      </w:r>
      <w:proofErr w:type="gramStart"/>
      <w:r>
        <w:rPr>
          <w:rFonts w:hint="eastAsia"/>
        </w:rPr>
        <w:t>114</w:t>
      </w:r>
      <w:proofErr w:type="gramEnd"/>
      <w:r>
        <w:rPr>
          <w:rFonts w:hint="eastAsia"/>
        </w:rPr>
        <w:t>年度持續透過考核機制督促地方環保局推動</w:t>
      </w:r>
      <w:proofErr w:type="gramStart"/>
      <w:r>
        <w:rPr>
          <w:rFonts w:hint="eastAsia"/>
        </w:rPr>
        <w:t>市場減塑</w:t>
      </w:r>
      <w:proofErr w:type="gramEnd"/>
      <w:r>
        <w:rPr>
          <w:rFonts w:hint="eastAsia"/>
        </w:rPr>
        <w:t>。</w:t>
      </w:r>
    </w:p>
  </w:footnote>
  <w:footnote w:id="15">
    <w:p w14:paraId="45266157" w14:textId="4A5EEB31" w:rsidR="00AD1CAB" w:rsidRPr="00AD1CAB" w:rsidRDefault="00AD1CAB" w:rsidP="00344843">
      <w:pPr>
        <w:pStyle w:val="afc"/>
        <w:ind w:leftChars="4" w:left="98" w:hangingChars="38" w:hanging="84"/>
        <w:jc w:val="both"/>
      </w:pPr>
      <w:r>
        <w:rPr>
          <w:rStyle w:val="afe"/>
        </w:rPr>
        <w:footnoteRef/>
      </w:r>
      <w:r w:rsidRPr="00AD1CAB">
        <w:rPr>
          <w:rFonts w:hint="eastAsia"/>
        </w:rPr>
        <w:t>推動策略以「三袋同行，</w:t>
      </w:r>
      <w:proofErr w:type="gramStart"/>
      <w:r w:rsidRPr="00AD1CAB">
        <w:rPr>
          <w:rFonts w:hint="eastAsia"/>
        </w:rPr>
        <w:t>減塑可行</w:t>
      </w:r>
      <w:proofErr w:type="gramEnd"/>
      <w:r w:rsidRPr="00AD1CAB">
        <w:rPr>
          <w:rFonts w:hint="eastAsia"/>
        </w:rPr>
        <w:t>」為主軸，倡導消費者以「自備購物袋、借用循環袋、使用二手袋」等方式減少購物用塑膠袋使用。活動期間自114年8月至12月底，合計186家（占整體攤商約80%）攤商配合</w:t>
      </w:r>
      <w:proofErr w:type="gramStart"/>
      <w:r w:rsidRPr="00AD1CAB">
        <w:rPr>
          <w:rFonts w:hint="eastAsia"/>
        </w:rPr>
        <w:t>推動減塑示範</w:t>
      </w:r>
      <w:proofErr w:type="gramEnd"/>
      <w:r w:rsidRPr="00AD1CAB">
        <w:rPr>
          <w:rFonts w:hint="eastAsia"/>
        </w:rPr>
        <w:t>，8月至9月共有7,764次消費不索取購物用塑膠袋，減少購物用塑膠袋426包，借出2,188個循環袋。</w:t>
      </w:r>
    </w:p>
  </w:footnote>
  <w:footnote w:id="16">
    <w:p w14:paraId="7FEF5743" w14:textId="3671955C" w:rsidR="00AD1CAB" w:rsidRPr="00AD1CAB" w:rsidRDefault="00AD1CAB" w:rsidP="00344843">
      <w:pPr>
        <w:pStyle w:val="afc"/>
        <w:ind w:leftChars="4" w:left="98" w:hangingChars="38" w:hanging="84"/>
        <w:jc w:val="both"/>
      </w:pPr>
      <w:r>
        <w:rPr>
          <w:rStyle w:val="afe"/>
        </w:rPr>
        <w:footnoteRef/>
      </w:r>
      <w:r w:rsidRPr="00AD1CAB">
        <w:rPr>
          <w:rFonts w:hint="eastAsia"/>
        </w:rPr>
        <w:t>公部門、私立學校、百貨公司及購物中心、量販店、超級市場、連鎖便利商店、連鎖速食店及有店面餐飲業等八大業別</w:t>
      </w:r>
      <w:r>
        <w:rPr>
          <w:rFonts w:hint="eastAsia"/>
        </w:rPr>
        <w:t>。</w:t>
      </w:r>
    </w:p>
  </w:footnote>
  <w:footnote w:id="17">
    <w:p w14:paraId="78E8EE60" w14:textId="39199E36" w:rsidR="00AD1CAB" w:rsidRPr="00AD1CAB" w:rsidRDefault="00AD1CAB" w:rsidP="008067AA">
      <w:pPr>
        <w:pStyle w:val="afc"/>
        <w:jc w:val="both"/>
      </w:pPr>
      <w:r>
        <w:rPr>
          <w:rStyle w:val="afe"/>
        </w:rPr>
        <w:footnoteRef/>
      </w:r>
      <w:r w:rsidRPr="00AD1CAB">
        <w:rPr>
          <w:rFonts w:hint="eastAsia"/>
        </w:rPr>
        <w:t>公部門、學校、量販店、百貨公司及購物中心等</w:t>
      </w:r>
      <w:r w:rsidR="00344843">
        <w:rPr>
          <w:rFonts w:hint="eastAsia"/>
        </w:rPr>
        <w:t>四</w:t>
      </w:r>
      <w:r w:rsidRPr="00AD1CAB">
        <w:rPr>
          <w:rFonts w:hint="eastAsia"/>
        </w:rPr>
        <w:t>大業別之內用服務</w:t>
      </w:r>
      <w:r>
        <w:rPr>
          <w:rFonts w:hint="eastAsia"/>
        </w:rPr>
        <w:t>。</w:t>
      </w:r>
    </w:p>
  </w:footnote>
  <w:footnote w:id="18">
    <w:p w14:paraId="7670688F" w14:textId="26D74E64" w:rsidR="00C37A47" w:rsidRPr="00C37A47" w:rsidRDefault="00C37A47" w:rsidP="00344843">
      <w:pPr>
        <w:pStyle w:val="afc"/>
        <w:ind w:left="84" w:hangingChars="38" w:hanging="84"/>
        <w:jc w:val="both"/>
      </w:pPr>
      <w:r>
        <w:rPr>
          <w:rStyle w:val="afe"/>
        </w:rPr>
        <w:footnoteRef/>
      </w:r>
      <w:r w:rsidRPr="00C37A47">
        <w:rPr>
          <w:rFonts w:hint="eastAsia"/>
        </w:rPr>
        <w:t>政府部門、學校、百貨公司業及購物中心、連鎖速食店不得提供一次用塑膠吸管供內食餐飲使用</w:t>
      </w:r>
      <w:r>
        <w:rPr>
          <w:rFonts w:hint="eastAsia"/>
        </w:rPr>
        <w:t>。</w:t>
      </w:r>
    </w:p>
  </w:footnote>
  <w:footnote w:id="19">
    <w:p w14:paraId="678F06F1" w14:textId="2CE724D3" w:rsidR="00C37A47" w:rsidRPr="00C37A47" w:rsidRDefault="00C37A47" w:rsidP="008067AA">
      <w:pPr>
        <w:pStyle w:val="afc"/>
        <w:jc w:val="both"/>
      </w:pPr>
      <w:r>
        <w:rPr>
          <w:rStyle w:val="afe"/>
        </w:rPr>
        <w:footnoteRef/>
      </w:r>
      <w:r w:rsidRPr="00C37A47">
        <w:rPr>
          <w:rFonts w:hint="eastAsia"/>
        </w:rPr>
        <w:t>如改用就</w:t>
      </w:r>
      <w:proofErr w:type="gramStart"/>
      <w:r w:rsidRPr="00C37A47">
        <w:rPr>
          <w:rFonts w:hint="eastAsia"/>
        </w:rPr>
        <w:t>口杯蓋</w:t>
      </w:r>
      <w:proofErr w:type="gramEnd"/>
      <w:r w:rsidRPr="00C37A47">
        <w:rPr>
          <w:rFonts w:hint="eastAsia"/>
        </w:rPr>
        <w:t>、不主動提供吸管、改提供取得生物可分解塑膠環保標章認證之吸管。</w:t>
      </w:r>
    </w:p>
  </w:footnote>
  <w:footnote w:id="20">
    <w:p w14:paraId="2D777523" w14:textId="11DDD12B" w:rsidR="00C37A47" w:rsidRPr="00C37A47" w:rsidRDefault="00C37A47" w:rsidP="008067AA">
      <w:pPr>
        <w:pStyle w:val="afc"/>
        <w:jc w:val="both"/>
      </w:pPr>
      <w:r>
        <w:rPr>
          <w:rStyle w:val="afe"/>
        </w:rPr>
        <w:footnoteRef/>
      </w:r>
      <w:r w:rsidRPr="00C37A47">
        <w:rPr>
          <w:rFonts w:hint="eastAsia"/>
        </w:rPr>
        <w:t>連鎖飲料店、連鎖便利商店、連鎖速食店及連鎖超級市場應提供自備</w:t>
      </w:r>
      <w:proofErr w:type="gramStart"/>
      <w:r w:rsidRPr="00C37A47">
        <w:rPr>
          <w:rFonts w:hint="eastAsia"/>
        </w:rPr>
        <w:t>飲料杯</w:t>
      </w:r>
      <w:r w:rsidR="00F21834">
        <w:rPr>
          <w:rFonts w:hint="eastAsia"/>
        </w:rPr>
        <w:t>新臺幣</w:t>
      </w:r>
      <w:proofErr w:type="gramEnd"/>
      <w:r w:rsidRPr="00C37A47">
        <w:rPr>
          <w:rFonts w:hint="eastAsia"/>
        </w:rPr>
        <w:t>5元價差以上。</w:t>
      </w:r>
    </w:p>
  </w:footnote>
  <w:footnote w:id="21">
    <w:p w14:paraId="09185953" w14:textId="314509DC" w:rsidR="000F2395" w:rsidRPr="000F2395" w:rsidRDefault="000F2395" w:rsidP="00344843">
      <w:pPr>
        <w:pStyle w:val="afc"/>
        <w:ind w:left="110" w:hangingChars="50" w:hanging="110"/>
      </w:pPr>
      <w:r>
        <w:rPr>
          <w:rStyle w:val="afe"/>
        </w:rPr>
        <w:footnoteRef/>
      </w:r>
      <w:r>
        <w:rPr>
          <w:rFonts w:hint="eastAsia"/>
        </w:rPr>
        <w:t>資料來源：</w:t>
      </w:r>
      <w:hyperlink r:id="rId7" w:history="1">
        <w:r w:rsidRPr="00344843">
          <w:t>https://environment.ec.europa.eu/strategy/zero-pollution-action-plan_en</w:t>
        </w:r>
      </w:hyperlink>
      <w:r>
        <w:rPr>
          <w:rFonts w:hint="eastAsia"/>
        </w:rPr>
        <w:t>。</w:t>
      </w:r>
    </w:p>
  </w:footnote>
  <w:footnote w:id="22">
    <w:p w14:paraId="4A6ABD20" w14:textId="1EE2F4F6" w:rsidR="00485104" w:rsidRPr="00485104" w:rsidRDefault="00485104" w:rsidP="00344843">
      <w:pPr>
        <w:pStyle w:val="afc"/>
        <w:wordWrap w:val="0"/>
        <w:ind w:left="141" w:hangingChars="64" w:hanging="141"/>
      </w:pPr>
      <w:r>
        <w:rPr>
          <w:rStyle w:val="afe"/>
        </w:rPr>
        <w:footnoteRef/>
      </w:r>
      <w:r>
        <w:rPr>
          <w:rFonts w:hint="eastAsia"/>
        </w:rPr>
        <w:t>資</w:t>
      </w:r>
      <w:r w:rsidRPr="00344843">
        <w:rPr>
          <w:rFonts w:hint="eastAsia"/>
        </w:rPr>
        <w:t>料來源：</w:t>
      </w:r>
      <w:hyperlink r:id="rId8" w:history="1">
        <w:r w:rsidRPr="00344843">
          <w:rPr>
            <w:rStyle w:val="ae"/>
            <w:color w:val="auto"/>
            <w:u w:val="none"/>
          </w:rPr>
          <w:t>https://environment.ec.europa.eu/topics/plastics/microplastics_en?utm_source=chatgpt.com</w:t>
        </w:r>
      </w:hyperlink>
      <w:r w:rsidRPr="00344843">
        <w:rPr>
          <w:rFonts w:hint="eastAsia"/>
        </w:rPr>
        <w:t>。</w:t>
      </w:r>
    </w:p>
  </w:footnote>
  <w:footnote w:id="23">
    <w:p w14:paraId="786CFA7D" w14:textId="618AA9CB" w:rsidR="000C4775" w:rsidRPr="00437500" w:rsidRDefault="000C4775" w:rsidP="00344843">
      <w:pPr>
        <w:pStyle w:val="afc"/>
        <w:ind w:left="84" w:hangingChars="38" w:hanging="84"/>
        <w:jc w:val="both"/>
      </w:pPr>
      <w:r>
        <w:rPr>
          <w:rStyle w:val="afe"/>
        </w:rPr>
        <w:footnoteRef/>
      </w:r>
      <w:r>
        <w:rPr>
          <w:rFonts w:hint="eastAsia"/>
        </w:rPr>
        <w:t>新山淨水場（</w:t>
      </w:r>
      <w:r w:rsidRPr="00FC2EF9">
        <w:t>1個/L</w:t>
      </w:r>
      <w:r>
        <w:rPr>
          <w:rFonts w:hint="eastAsia"/>
        </w:rPr>
        <w:t>）、</w:t>
      </w:r>
      <w:r w:rsidRPr="006F5ECC">
        <w:rPr>
          <w:rFonts w:hint="eastAsia"/>
        </w:rPr>
        <w:t>豐原第一淨水場</w:t>
      </w:r>
      <w:r>
        <w:rPr>
          <w:rFonts w:hint="eastAsia"/>
        </w:rPr>
        <w:t>（</w:t>
      </w:r>
      <w:r w:rsidRPr="006F5ECC">
        <w:rPr>
          <w:rFonts w:hint="eastAsia"/>
        </w:rPr>
        <w:t>1個/L</w:t>
      </w:r>
      <w:r>
        <w:rPr>
          <w:rFonts w:hint="eastAsia"/>
        </w:rPr>
        <w:t>）、屏東淨水場（2個/L）、苗栗東興給水廠一期（1個/L）、</w:t>
      </w:r>
      <w:r w:rsidRPr="00FC2EF9">
        <w:rPr>
          <w:rFonts w:hint="eastAsia"/>
        </w:rPr>
        <w:t>桃園平鎮一期</w:t>
      </w:r>
      <w:r>
        <w:rPr>
          <w:rFonts w:hint="eastAsia"/>
        </w:rPr>
        <w:t>（</w:t>
      </w:r>
      <w:r w:rsidRPr="00FC2EF9">
        <w:rPr>
          <w:rFonts w:hint="eastAsia"/>
        </w:rPr>
        <w:t>1個/L</w:t>
      </w:r>
      <w:r>
        <w:rPr>
          <w:rFonts w:hint="eastAsia"/>
        </w:rPr>
        <w:t>）、林內淨水廠</w:t>
      </w:r>
      <w:r>
        <w:rPr>
          <w:rFonts w:hint="eastAsia"/>
        </w:rPr>
        <w:tab/>
        <w:t>（4個/L）、寶山淨水場1、2期（1個/L）、</w:t>
      </w:r>
      <w:r w:rsidRPr="00FC2EF9">
        <w:rPr>
          <w:rFonts w:hint="eastAsia"/>
        </w:rPr>
        <w:t>拷潭淨水廠</w:t>
      </w:r>
      <w:r>
        <w:rPr>
          <w:rFonts w:hint="eastAsia"/>
        </w:rPr>
        <w:t>（</w:t>
      </w:r>
      <w:r w:rsidRPr="00FC2EF9">
        <w:rPr>
          <w:rFonts w:hint="eastAsia"/>
        </w:rPr>
        <w:t>4個/L</w:t>
      </w:r>
      <w:r>
        <w:rPr>
          <w:rFonts w:hint="eastAsia"/>
        </w:rPr>
        <w:t>）。</w:t>
      </w:r>
    </w:p>
  </w:footnote>
  <w:footnote w:id="24">
    <w:p w14:paraId="07D275B7" w14:textId="0E2DF1FE" w:rsidR="000C4775" w:rsidRPr="00C92830" w:rsidRDefault="000C4775" w:rsidP="00344843">
      <w:pPr>
        <w:pStyle w:val="afc"/>
        <w:wordWrap w:val="0"/>
        <w:ind w:left="139" w:hangingChars="63" w:hanging="139"/>
        <w:jc w:val="both"/>
      </w:pPr>
      <w:r>
        <w:rPr>
          <w:rStyle w:val="afe"/>
        </w:rPr>
        <w:footnoteRef/>
      </w:r>
      <w:r>
        <w:rPr>
          <w:rFonts w:hint="eastAsia"/>
        </w:rPr>
        <w:t>資料來源：</w:t>
      </w:r>
      <w:r w:rsidRPr="006345B6">
        <w:rPr>
          <w:rFonts w:hint="eastAsia"/>
        </w:rPr>
        <w:tab/>
        <w:t>英國-水</w:t>
      </w:r>
      <w:proofErr w:type="gramStart"/>
      <w:r w:rsidRPr="006345B6">
        <w:rPr>
          <w:rFonts w:hint="eastAsia"/>
        </w:rPr>
        <w:t>務</w:t>
      </w:r>
      <w:proofErr w:type="gramEnd"/>
      <w:r w:rsidRPr="006345B6">
        <w:rPr>
          <w:rFonts w:hint="eastAsia"/>
        </w:rPr>
        <w:t>協會</w:t>
      </w:r>
      <w:r>
        <w:rPr>
          <w:rFonts w:hint="eastAsia"/>
        </w:rPr>
        <w:t>，</w:t>
      </w:r>
      <w:r>
        <w:rPr>
          <w:rFonts w:hint="eastAsia"/>
        </w:rPr>
        <w:tab/>
      </w:r>
      <w:hyperlink r:id="rId9" w:history="1">
        <w:r w:rsidRPr="00344843">
          <w:rPr>
            <w:rFonts w:hint="eastAsia"/>
          </w:rPr>
          <w:t>https://www.water.org.uk/news-views-publications/news/ground-breaking-research-shows-999-microplastics-are-removed-uk</w:t>
        </w:r>
      </w:hyperlink>
      <w:r>
        <w:rPr>
          <w:rFonts w:hint="eastAsia"/>
        </w:rPr>
        <w:t>、</w:t>
      </w:r>
      <w:r>
        <w:rPr>
          <w:rFonts w:hint="eastAsia"/>
        </w:rPr>
        <w:t></w:t>
      </w:r>
      <w:r>
        <w:rPr>
          <w:rFonts w:hint="eastAsia"/>
        </w:rPr>
        <w:tab/>
      </w:r>
      <w:hyperlink r:id="rId10" w:history="1">
        <w:r w:rsidRPr="00344843">
          <w:rPr>
            <w:rFonts w:hint="eastAsia"/>
          </w:rPr>
          <w:t>https://ukwir.org/sink-to-rive-to-tap</w:t>
        </w:r>
      </w:hyperlink>
      <w:r>
        <w:rPr>
          <w:rFonts w:hint="eastAsia"/>
        </w:rPr>
        <w:t>、</w:t>
      </w:r>
      <w:r>
        <w:rPr>
          <w:rFonts w:hint="eastAsia"/>
        </w:rPr>
        <w:t></w:t>
      </w:r>
      <w:r>
        <w:rPr>
          <w:rFonts w:hint="eastAsia"/>
        </w:rPr>
        <w:tab/>
      </w:r>
      <w:hyperlink r:id="rId11" w:history="1">
        <w:r w:rsidRPr="00344843">
          <w:rPr>
            <w:rFonts w:hint="eastAsia"/>
          </w:rPr>
          <w:t>https://ukwir.org/water-industry-technical-report?object=6c29ff4e-e84e-4b1e-a0ab-143298491942</w:t>
        </w:r>
      </w:hyperlink>
      <w:r>
        <w:rPr>
          <w:rFonts w:hint="eastAsia"/>
        </w:rPr>
        <w:t>。</w:t>
      </w:r>
    </w:p>
  </w:footnote>
  <w:footnote w:id="25">
    <w:p w14:paraId="06A25279" w14:textId="77777777" w:rsidR="000C69CB" w:rsidRPr="009419D7" w:rsidRDefault="000C69CB" w:rsidP="000C69CB">
      <w:pPr>
        <w:pStyle w:val="afc"/>
        <w:ind w:leftChars="-4" w:left="140" w:hangingChars="70" w:hanging="154"/>
        <w:jc w:val="both"/>
      </w:pPr>
      <w:r>
        <w:rPr>
          <w:rStyle w:val="afe"/>
        </w:rPr>
        <w:footnoteRef/>
      </w:r>
      <w:r>
        <w:rPr>
          <w:rFonts w:hint="eastAsia"/>
        </w:rPr>
        <w:t>國際期刊指：</w:t>
      </w:r>
      <w:r w:rsidRPr="009419D7">
        <w:t>Hernandez, L. M., et al. "Plastic Teabags Release Billions of Microparticles and Nanoparticles into Tea." Environmental Science &amp; Technology, vol. 53, no. 21, 2019, pp. 12300</w:t>
      </w:r>
      <w:r w:rsidRPr="009419D7">
        <w:t>–</w:t>
      </w:r>
      <w:r w:rsidRPr="009419D7">
        <w:t>12310.</w:t>
      </w:r>
    </w:p>
  </w:footnote>
  <w:footnote w:id="26">
    <w:p w14:paraId="1C4299D1" w14:textId="7229F5F4" w:rsidR="000C69CB" w:rsidRPr="00252675" w:rsidRDefault="000C69CB" w:rsidP="000C69CB">
      <w:pPr>
        <w:pStyle w:val="afc"/>
      </w:pPr>
      <w:r>
        <w:rPr>
          <w:rStyle w:val="afe"/>
        </w:rPr>
        <w:footnoteRef/>
      </w:r>
      <w:proofErr w:type="gramStart"/>
      <w:r>
        <w:rPr>
          <w:rFonts w:hint="eastAsia"/>
        </w:rPr>
        <w:t>食藥署</w:t>
      </w:r>
      <w:proofErr w:type="gramEnd"/>
      <w:r>
        <w:rPr>
          <w:rFonts w:hint="eastAsia"/>
        </w:rPr>
        <w:t>對於本院114年10月15日就本案詢</w:t>
      </w:r>
      <w:r w:rsidR="00B54EAD">
        <w:rPr>
          <w:rFonts w:hint="eastAsia"/>
        </w:rPr>
        <w:t>問</w:t>
      </w:r>
      <w:r>
        <w:rPr>
          <w:rFonts w:hint="eastAsia"/>
        </w:rPr>
        <w:t>之查復資料，下同。</w:t>
      </w:r>
    </w:p>
  </w:footnote>
  <w:footnote w:id="27">
    <w:p w14:paraId="4213A0B2" w14:textId="20779725" w:rsidR="000C69CB" w:rsidRDefault="000C69CB" w:rsidP="00030683">
      <w:pPr>
        <w:pStyle w:val="afc"/>
        <w:ind w:leftChars="-4" w:left="111" w:hangingChars="57" w:hanging="125"/>
      </w:pPr>
      <w:r>
        <w:rPr>
          <w:rStyle w:val="afe"/>
        </w:rPr>
        <w:footnoteRef/>
      </w:r>
      <w:r>
        <w:rPr>
          <w:rFonts w:hint="eastAsia"/>
        </w:rPr>
        <w:t>資料來源：</w:t>
      </w:r>
      <w:proofErr w:type="spellStart"/>
      <w:r w:rsidRPr="001E59B2">
        <w:t>Marfella</w:t>
      </w:r>
      <w:proofErr w:type="spellEnd"/>
      <w:r w:rsidRPr="001E59B2">
        <w:t xml:space="preserve">, Raffaele, et al. "Microplastics and </w:t>
      </w:r>
      <w:proofErr w:type="spellStart"/>
      <w:r w:rsidRPr="001E59B2">
        <w:t>Nanoplastics</w:t>
      </w:r>
      <w:proofErr w:type="spellEnd"/>
      <w:r w:rsidRPr="001E59B2">
        <w:t xml:space="preserve"> in </w:t>
      </w:r>
      <w:proofErr w:type="spellStart"/>
      <w:r w:rsidRPr="001E59B2">
        <w:t>Atheromas</w:t>
      </w:r>
      <w:proofErr w:type="spellEnd"/>
      <w:r w:rsidRPr="001E59B2">
        <w:t xml:space="preserve"> and Cardiovascular Events." New England Journal of Medicine, vol. 390, no. 9, 2024, pp. 900</w:t>
      </w:r>
      <w:r w:rsidRPr="001E59B2">
        <w:t>–</w:t>
      </w:r>
      <w:r w:rsidRPr="001E59B2">
        <w:t>910.</w:t>
      </w:r>
    </w:p>
  </w:footnote>
  <w:footnote w:id="28">
    <w:p w14:paraId="0608A83B" w14:textId="77777777" w:rsidR="000C69CB" w:rsidRPr="00504A84" w:rsidRDefault="000C69CB" w:rsidP="00030683">
      <w:pPr>
        <w:pStyle w:val="afc"/>
        <w:ind w:leftChars="-4" w:left="111" w:hangingChars="57" w:hanging="125"/>
      </w:pPr>
      <w:r>
        <w:rPr>
          <w:rStyle w:val="afe"/>
        </w:rPr>
        <w:footnoteRef/>
      </w:r>
      <w:r>
        <w:rPr>
          <w:rFonts w:hint="eastAsia"/>
        </w:rPr>
        <w:t>資料來源：</w:t>
      </w:r>
      <w:proofErr w:type="spellStart"/>
      <w:r w:rsidRPr="00E32D3B">
        <w:t>Nihart</w:t>
      </w:r>
      <w:proofErr w:type="spellEnd"/>
      <w:r w:rsidRPr="00E32D3B">
        <w:t>, Alexander J., et al. "Bioaccumulation of Microplastics in Decedent Human Brains." Nature Medicine, 3 Feb. 2025</w:t>
      </w:r>
      <w:r>
        <w:rPr>
          <w:rFonts w:hint="eastAsia"/>
        </w:rPr>
        <w:t>.</w:t>
      </w:r>
    </w:p>
  </w:footnote>
  <w:footnote w:id="29">
    <w:p w14:paraId="152A9190" w14:textId="77777777" w:rsidR="000C69CB" w:rsidRPr="00B25C3B" w:rsidRDefault="000C69CB" w:rsidP="000C69CB">
      <w:pPr>
        <w:pStyle w:val="afc"/>
      </w:pPr>
      <w:r w:rsidRPr="00B25C3B">
        <w:rPr>
          <w:rStyle w:val="afe"/>
        </w:rPr>
        <w:footnoteRef/>
      </w:r>
      <w:r w:rsidRPr="00B25C3B">
        <w:rPr>
          <w:rFonts w:hint="eastAsia"/>
        </w:rPr>
        <w:t>資料來源：</w:t>
      </w:r>
      <w:r>
        <w:fldChar w:fldCharType="begin"/>
      </w:r>
      <w:r>
        <w:instrText>HYPERLINK "https://eur-lex.europa.eu/legal-content/EN/TXT/?uri=celex%3A32023R1442"</w:instrText>
      </w:r>
      <w:r>
        <w:fldChar w:fldCharType="separate"/>
      </w:r>
      <w:r w:rsidRPr="00B25C3B">
        <w:t>Regulation-2023/1442-EN-EUR-Lex</w:t>
      </w:r>
      <w:r>
        <w:fldChar w:fldCharType="end"/>
      </w:r>
      <w:r w:rsidRPr="00B25C3B">
        <w:rPr>
          <w:rFonts w:hint="eastAsia"/>
        </w:rPr>
        <w:t>。</w:t>
      </w:r>
    </w:p>
  </w:footnote>
  <w:footnote w:id="30">
    <w:p w14:paraId="1D1F08A6" w14:textId="77777777" w:rsidR="000C69CB" w:rsidRPr="00895324" w:rsidRDefault="000C69CB" w:rsidP="002B2EBB">
      <w:pPr>
        <w:pStyle w:val="afc"/>
        <w:ind w:left="97" w:hangingChars="44" w:hanging="97"/>
        <w:jc w:val="both"/>
      </w:pPr>
      <w:r>
        <w:rPr>
          <w:rStyle w:val="afe"/>
        </w:rPr>
        <w:footnoteRef/>
      </w:r>
      <w:r w:rsidRPr="00895324">
        <w:rPr>
          <w:rFonts w:hint="eastAsia"/>
        </w:rPr>
        <w:t>依據</w:t>
      </w:r>
      <w:r>
        <w:rPr>
          <w:rFonts w:hint="eastAsia"/>
        </w:rPr>
        <w:t>歐洲食品安全局</w:t>
      </w:r>
      <w:r w:rsidRPr="00895324">
        <w:rPr>
          <w:rFonts w:hint="eastAsia"/>
        </w:rPr>
        <w:t>之食品接觸材料、酵素和</w:t>
      </w:r>
      <w:proofErr w:type="gramStart"/>
      <w:r w:rsidRPr="00895324">
        <w:rPr>
          <w:rFonts w:hint="eastAsia"/>
        </w:rPr>
        <w:t>加工助劑專家</w:t>
      </w:r>
      <w:proofErr w:type="gramEnd"/>
      <w:r w:rsidRPr="00895324">
        <w:rPr>
          <w:rFonts w:hint="eastAsia"/>
        </w:rPr>
        <w:t>小組</w:t>
      </w:r>
      <w:r w:rsidRPr="00895324">
        <w:t>(Food Contact Materials, Enzymes and Processing Aids, CEP Panel)</w:t>
      </w:r>
      <w:r w:rsidRPr="00895324">
        <w:rPr>
          <w:rFonts w:hint="eastAsia"/>
        </w:rPr>
        <w:t>於</w:t>
      </w:r>
      <w:r w:rsidRPr="00895324">
        <w:t>2019</w:t>
      </w:r>
      <w:r w:rsidRPr="00895324">
        <w:rPr>
          <w:rFonts w:hint="eastAsia"/>
        </w:rPr>
        <w:t>年發布的研究結果，</w:t>
      </w:r>
      <w:proofErr w:type="gramStart"/>
      <w:r w:rsidRPr="00895324">
        <w:rPr>
          <w:rFonts w:hint="eastAsia"/>
        </w:rPr>
        <w:t>個別鄰苯</w:t>
      </w:r>
      <w:proofErr w:type="gramEnd"/>
      <w:r w:rsidRPr="00895324">
        <w:rPr>
          <w:rFonts w:hint="eastAsia"/>
        </w:rPr>
        <w:t>二</w:t>
      </w:r>
      <w:proofErr w:type="gramStart"/>
      <w:r w:rsidRPr="00895324">
        <w:rPr>
          <w:rFonts w:hint="eastAsia"/>
        </w:rPr>
        <w:t>甲酸酯的</w:t>
      </w:r>
      <w:proofErr w:type="gramEnd"/>
      <w:r w:rsidRPr="00895324">
        <w:rPr>
          <w:rFonts w:hint="eastAsia"/>
        </w:rPr>
        <w:t>臨界效應和個體每日</w:t>
      </w:r>
      <w:proofErr w:type="gramStart"/>
      <w:r w:rsidRPr="00895324">
        <w:rPr>
          <w:rFonts w:hint="eastAsia"/>
        </w:rPr>
        <w:t>耐受量</w:t>
      </w:r>
      <w:proofErr w:type="gramEnd"/>
      <w:r w:rsidRPr="00895324">
        <w:t>(TDI</w:t>
      </w:r>
      <w:r w:rsidRPr="00895324">
        <w:rPr>
          <w:rFonts w:hint="eastAsia"/>
        </w:rPr>
        <w:t>，單位</w:t>
      </w:r>
      <w:r w:rsidRPr="00895324">
        <w:t xml:space="preserve">mg/kg </w:t>
      </w:r>
      <w:proofErr w:type="spellStart"/>
      <w:r w:rsidRPr="00895324">
        <w:t>bw</w:t>
      </w:r>
      <w:proofErr w:type="spellEnd"/>
      <w:r w:rsidRPr="00895324">
        <w:t>/day)</w:t>
      </w:r>
      <w:r w:rsidRPr="00895324">
        <w:rPr>
          <w:rFonts w:hint="eastAsia"/>
        </w:rPr>
        <w:t>與</w:t>
      </w:r>
      <w:r w:rsidRPr="00895324">
        <w:t>2005</w:t>
      </w:r>
      <w:r w:rsidRPr="00895324">
        <w:rPr>
          <w:rFonts w:hint="eastAsia"/>
        </w:rPr>
        <w:t>年相同，即</w:t>
      </w:r>
      <w:r w:rsidRPr="00895324">
        <w:t>DBP(0.01)</w:t>
      </w:r>
      <w:r w:rsidRPr="00895324">
        <w:rPr>
          <w:rFonts w:hint="eastAsia"/>
        </w:rPr>
        <w:t>、</w:t>
      </w:r>
      <w:r w:rsidRPr="00895324">
        <w:t>BBP(0.5)</w:t>
      </w:r>
      <w:r w:rsidRPr="00895324">
        <w:rPr>
          <w:rFonts w:hint="eastAsia"/>
        </w:rPr>
        <w:t>、</w:t>
      </w:r>
      <w:r w:rsidRPr="00895324">
        <w:t>DEHP(0.05)</w:t>
      </w:r>
      <w:r w:rsidRPr="00895324">
        <w:rPr>
          <w:rFonts w:hint="eastAsia"/>
        </w:rPr>
        <w:t>的生殖效應，以及</w:t>
      </w:r>
      <w:r w:rsidRPr="00895324">
        <w:t>DINP(0.15)</w:t>
      </w:r>
      <w:r w:rsidRPr="00895324">
        <w:rPr>
          <w:rFonts w:hint="eastAsia"/>
        </w:rPr>
        <w:t>和</w:t>
      </w:r>
      <w:r w:rsidRPr="00895324">
        <w:t>DIDP(0.15)</w:t>
      </w:r>
      <w:r w:rsidRPr="00895324">
        <w:rPr>
          <w:rFonts w:hint="eastAsia"/>
        </w:rPr>
        <w:t>的肝臟效應。</w:t>
      </w:r>
    </w:p>
  </w:footnote>
  <w:footnote w:id="31">
    <w:p w14:paraId="4A9B78C8" w14:textId="32BC8DC0" w:rsidR="000C69CB" w:rsidRPr="00EF1BF5" w:rsidRDefault="000C69CB" w:rsidP="002B2EBB">
      <w:pPr>
        <w:pStyle w:val="afc"/>
        <w:jc w:val="both"/>
      </w:pPr>
      <w:r>
        <w:rPr>
          <w:rStyle w:val="afe"/>
        </w:rPr>
        <w:footnoteRef/>
      </w:r>
      <w:r>
        <w:rPr>
          <w:rFonts w:hint="eastAsia"/>
        </w:rPr>
        <w:t>21 CFR意指</w:t>
      </w:r>
      <w:r w:rsidRPr="00EF1BF5">
        <w:rPr>
          <w:rFonts w:hint="eastAsia"/>
        </w:rPr>
        <w:t>Code of Federal Regulations, Title 21</w:t>
      </w:r>
      <w:r>
        <w:rPr>
          <w:rFonts w:hint="eastAsia"/>
        </w:rPr>
        <w:t>，</w:t>
      </w:r>
      <w:r w:rsidRPr="00EF1BF5">
        <w:rPr>
          <w:rFonts w:hint="eastAsia"/>
        </w:rPr>
        <w:t>是美國聯邦政府食品</w:t>
      </w:r>
      <w:r>
        <w:rPr>
          <w:rFonts w:hint="eastAsia"/>
        </w:rPr>
        <w:t>與</w:t>
      </w:r>
      <w:r w:rsidRPr="00EF1BF5">
        <w:rPr>
          <w:rFonts w:hint="eastAsia"/>
        </w:rPr>
        <w:t>藥物管理局（FDA）、美國緝毒局（DEA）等機構制定的法規總稱，主要規範美國境內的食品、藥品、醫療器材、獸醫藥品等產品</w:t>
      </w:r>
      <w:r>
        <w:rPr>
          <w:rFonts w:hint="eastAsia"/>
        </w:rPr>
        <w:t>。</w:t>
      </w:r>
    </w:p>
  </w:footnote>
  <w:footnote w:id="32">
    <w:p w14:paraId="49757E80" w14:textId="1250EDAD" w:rsidR="000C69CB" w:rsidRPr="00405F5B" w:rsidRDefault="000C69CB" w:rsidP="003D2E29">
      <w:pPr>
        <w:pStyle w:val="afc"/>
        <w:wordWrap w:val="0"/>
        <w:ind w:leftChars="-4" w:left="-1" w:hangingChars="6" w:hanging="13"/>
      </w:pPr>
      <w:r w:rsidRPr="00EF1BF5">
        <w:rPr>
          <w:rStyle w:val="afe"/>
        </w:rPr>
        <w:footnoteRef/>
      </w:r>
      <w:r w:rsidR="003D2E29">
        <w:rPr>
          <w:rFonts w:hint="eastAsia"/>
        </w:rPr>
        <w:t xml:space="preserve"> </w:t>
      </w:r>
      <w:r w:rsidRPr="00EF1BF5">
        <w:rPr>
          <w:rFonts w:hint="eastAsia"/>
        </w:rPr>
        <w:t>資料來源</w:t>
      </w:r>
      <w:r>
        <w:rPr>
          <w:rFonts w:hint="eastAsia"/>
        </w:rPr>
        <w:t>：</w:t>
      </w:r>
      <w:hyperlink r:id="rId12" w:history="1">
        <w:r w:rsidRPr="00702B99">
          <w:rPr>
            <w:rStyle w:val="ae"/>
            <w:color w:val="auto"/>
            <w:u w:val="none"/>
          </w:rPr>
          <w:t>https://www.caa.go.jp/policies/policy/standards_evaluation/appliance/positive_list_new。</w:t>
        </w:r>
        <w:r w:rsidRPr="00702B99">
          <w:rPr>
            <w:rStyle w:val="ae"/>
            <w:rFonts w:hint="eastAsia"/>
            <w:color w:val="auto"/>
            <w:u w:val="none"/>
          </w:rPr>
          <w:t>查詢時間：114</w:t>
        </w:r>
      </w:hyperlink>
      <w:r w:rsidRPr="00702B99">
        <w:rPr>
          <w:rFonts w:hint="eastAsia"/>
        </w:rPr>
        <w:t>年10月15日。</w:t>
      </w:r>
    </w:p>
  </w:footnote>
  <w:footnote w:id="33">
    <w:p w14:paraId="3B82D947" w14:textId="77777777" w:rsidR="000C69CB" w:rsidRPr="00405F5B" w:rsidRDefault="000C69CB" w:rsidP="000C69CB">
      <w:pPr>
        <w:pStyle w:val="afc"/>
        <w:ind w:left="110" w:hangingChars="50" w:hanging="110"/>
      </w:pPr>
      <w:r>
        <w:rPr>
          <w:rStyle w:val="afe"/>
        </w:rPr>
        <w:footnoteRef/>
      </w:r>
      <w:r>
        <w:rPr>
          <w:rFonts w:hint="eastAsia"/>
        </w:rPr>
        <w:t>資料來</w:t>
      </w:r>
      <w:r w:rsidRPr="00CB551C">
        <w:rPr>
          <w:rFonts w:hint="eastAsia"/>
        </w:rPr>
        <w:t>源：</w:t>
      </w:r>
      <w:hyperlink r:id="rId13" w:history="1">
        <w:r w:rsidRPr="00CB551C">
          <w:rPr>
            <w:rStyle w:val="ae"/>
            <w:color w:val="auto"/>
            <w:u w:val="none"/>
          </w:rPr>
          <w:t>Ministry of Food and Drug Safety&gt;Our Works&gt;Food&gt;Regulations&gt;View Details | Ministry of Food and Drug Safety</w:t>
        </w:r>
      </w:hyperlink>
      <w:r w:rsidRPr="00CB551C">
        <w:rPr>
          <w:rStyle w:val="ae"/>
          <w:rFonts w:hint="eastAsia"/>
          <w:color w:val="auto"/>
          <w:u w:val="none"/>
        </w:rPr>
        <w:t>。查詢時間：114年10月15日。</w:t>
      </w:r>
    </w:p>
  </w:footnote>
  <w:footnote w:id="34">
    <w:p w14:paraId="25D65E66" w14:textId="779E08B6" w:rsidR="000C69CB" w:rsidRDefault="000C69CB" w:rsidP="00D14A2C">
      <w:pPr>
        <w:pStyle w:val="afc"/>
        <w:ind w:left="2"/>
        <w:jc w:val="both"/>
      </w:pPr>
      <w:r>
        <w:rPr>
          <w:rStyle w:val="afe"/>
        </w:rPr>
        <w:footnoteRef/>
      </w:r>
      <w:r w:rsidR="00D14A2C">
        <w:rPr>
          <w:rFonts w:hint="eastAsia"/>
        </w:rPr>
        <w:t xml:space="preserve"> </w:t>
      </w:r>
      <w:r>
        <w:rPr>
          <w:rFonts w:hint="eastAsia"/>
        </w:rPr>
        <w:t>CNS 6632</w:t>
      </w:r>
      <w:r w:rsidRPr="0044297C">
        <w:rPr>
          <w:rFonts w:hint="eastAsia"/>
        </w:rPr>
        <w:t>第3.8節塑化劑含量</w:t>
      </w:r>
      <w:r>
        <w:rPr>
          <w:rFonts w:hint="eastAsia"/>
        </w:rPr>
        <w:t>規範</w:t>
      </w:r>
      <w:r w:rsidRPr="0044297C">
        <w:rPr>
          <w:rFonts w:hint="eastAsia"/>
        </w:rPr>
        <w:t>，</w:t>
      </w:r>
      <w:proofErr w:type="gramStart"/>
      <w:r w:rsidRPr="0044297C">
        <w:rPr>
          <w:rFonts w:hint="eastAsia"/>
        </w:rPr>
        <w:t>鄰苯</w:t>
      </w:r>
      <w:proofErr w:type="gramEnd"/>
      <w:r w:rsidRPr="0044297C">
        <w:rPr>
          <w:rFonts w:hint="eastAsia"/>
        </w:rPr>
        <w:t>二甲酸二(2-乙基己基)酯（DEHP）、</w:t>
      </w:r>
      <w:proofErr w:type="gramStart"/>
      <w:r w:rsidRPr="0044297C">
        <w:rPr>
          <w:rFonts w:hint="eastAsia"/>
        </w:rPr>
        <w:t>鄰苯</w:t>
      </w:r>
      <w:proofErr w:type="gramEnd"/>
      <w:r w:rsidRPr="0044297C">
        <w:rPr>
          <w:rFonts w:hint="eastAsia"/>
        </w:rPr>
        <w:t>二甲酸二</w:t>
      </w:r>
      <w:proofErr w:type="gramStart"/>
      <w:r w:rsidRPr="0044297C">
        <w:rPr>
          <w:rFonts w:hint="eastAsia"/>
        </w:rPr>
        <w:t>丁酯（</w:t>
      </w:r>
      <w:proofErr w:type="gramEnd"/>
      <w:r w:rsidRPr="0044297C">
        <w:rPr>
          <w:rFonts w:hint="eastAsia"/>
        </w:rPr>
        <w:t>DBP）、</w:t>
      </w:r>
      <w:proofErr w:type="gramStart"/>
      <w:r w:rsidRPr="0044297C">
        <w:rPr>
          <w:rFonts w:hint="eastAsia"/>
        </w:rPr>
        <w:t>鄰苯</w:t>
      </w:r>
      <w:proofErr w:type="gramEnd"/>
      <w:r w:rsidRPr="0044297C">
        <w:rPr>
          <w:rFonts w:hint="eastAsia"/>
        </w:rPr>
        <w:t>二甲</w:t>
      </w:r>
      <w:proofErr w:type="gramStart"/>
      <w:r w:rsidRPr="0044297C">
        <w:rPr>
          <w:rFonts w:hint="eastAsia"/>
        </w:rPr>
        <w:t>酸丁苯甲酯（</w:t>
      </w:r>
      <w:proofErr w:type="gramEnd"/>
      <w:r w:rsidRPr="0044297C">
        <w:rPr>
          <w:rFonts w:hint="eastAsia"/>
        </w:rPr>
        <w:t>BBP）、</w:t>
      </w:r>
      <w:proofErr w:type="gramStart"/>
      <w:r w:rsidRPr="0044297C">
        <w:rPr>
          <w:rFonts w:hint="eastAsia"/>
        </w:rPr>
        <w:t>鄰苯</w:t>
      </w:r>
      <w:proofErr w:type="gramEnd"/>
      <w:r w:rsidRPr="0044297C">
        <w:rPr>
          <w:rFonts w:hint="eastAsia"/>
        </w:rPr>
        <w:t>二甲酸二異</w:t>
      </w:r>
      <w:proofErr w:type="gramStart"/>
      <w:r w:rsidRPr="0044297C">
        <w:rPr>
          <w:rFonts w:hint="eastAsia"/>
        </w:rPr>
        <w:t>壬酯（</w:t>
      </w:r>
      <w:proofErr w:type="gramEnd"/>
      <w:r w:rsidRPr="0044297C">
        <w:rPr>
          <w:rFonts w:hint="eastAsia"/>
        </w:rPr>
        <w:t>DINP）、</w:t>
      </w:r>
      <w:proofErr w:type="gramStart"/>
      <w:r w:rsidRPr="0044297C">
        <w:rPr>
          <w:rFonts w:hint="eastAsia"/>
        </w:rPr>
        <w:t>鄰苯</w:t>
      </w:r>
      <w:proofErr w:type="gramEnd"/>
      <w:r w:rsidRPr="0044297C">
        <w:rPr>
          <w:rFonts w:hint="eastAsia"/>
        </w:rPr>
        <w:t>二甲酸二異</w:t>
      </w:r>
      <w:proofErr w:type="gramStart"/>
      <w:r w:rsidRPr="0044297C">
        <w:rPr>
          <w:rFonts w:hint="eastAsia"/>
        </w:rPr>
        <w:t>癸</w:t>
      </w:r>
      <w:proofErr w:type="gramEnd"/>
      <w:r w:rsidRPr="0044297C">
        <w:rPr>
          <w:rFonts w:hint="eastAsia"/>
        </w:rPr>
        <w:t>酯（DIDP）</w:t>
      </w:r>
      <w:proofErr w:type="gramStart"/>
      <w:r w:rsidRPr="0044297C">
        <w:rPr>
          <w:rFonts w:hint="eastAsia"/>
        </w:rPr>
        <w:t>及鄰苯</w:t>
      </w:r>
      <w:proofErr w:type="gramEnd"/>
      <w:r w:rsidRPr="0044297C">
        <w:rPr>
          <w:rFonts w:hint="eastAsia"/>
        </w:rPr>
        <w:t>二甲酸二正</w:t>
      </w:r>
      <w:proofErr w:type="gramStart"/>
      <w:r w:rsidRPr="0044297C">
        <w:rPr>
          <w:rFonts w:hint="eastAsia"/>
        </w:rPr>
        <w:t>辛酯（</w:t>
      </w:r>
      <w:proofErr w:type="gramEnd"/>
      <w:r w:rsidRPr="0044297C">
        <w:rPr>
          <w:rFonts w:hint="eastAsia"/>
        </w:rPr>
        <w:t>DNOP）6</w:t>
      </w:r>
      <w:r>
        <w:rPr>
          <w:rFonts w:hint="eastAsia"/>
        </w:rPr>
        <w:t>項</w:t>
      </w:r>
      <w:r w:rsidRPr="0044297C">
        <w:rPr>
          <w:rFonts w:hint="eastAsia"/>
        </w:rPr>
        <w:t>塑化劑及其混合物總和不得超過0.1%（質量比）。</w:t>
      </w:r>
    </w:p>
  </w:footnote>
  <w:footnote w:id="35">
    <w:p w14:paraId="2BF02E39" w14:textId="27C9E3E5" w:rsidR="000C69CB" w:rsidRDefault="000C69CB" w:rsidP="000C69CB">
      <w:pPr>
        <w:pStyle w:val="afc"/>
        <w:jc w:val="both"/>
      </w:pPr>
      <w:r>
        <w:rPr>
          <w:rStyle w:val="afe"/>
        </w:rPr>
        <w:footnoteRef/>
      </w:r>
      <w:r>
        <w:rPr>
          <w:rFonts w:hint="eastAsia"/>
        </w:rPr>
        <w:t xml:space="preserve"> 行政程序法第165條規定：「</w:t>
      </w:r>
      <w:r w:rsidRPr="00A859FE">
        <w:rPr>
          <w:rFonts w:hint="eastAsia"/>
        </w:rPr>
        <w:t>本法所稱行政指導，謂行政機關在其職權或所掌事務範圍內，為實現一定之行政目的，以輔導、協助、勸告、建議或其他不具法律上強制力之方法，促請特定人為一定作為或不作為之行為</w:t>
      </w:r>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DE7D5B"/>
    <w:multiLevelType w:val="multilevel"/>
    <w:tmpl w:val="C4DE1DFA"/>
    <w:styleLink w:val="WWNum8"/>
    <w:lvl w:ilvl="0">
      <w:start w:val="1"/>
      <w:numFmt w:val="decimal"/>
      <w:lvlText w:val="%1."/>
      <w:lvlJc w:val="left"/>
      <w:pPr>
        <w:ind w:left="480" w:hanging="480"/>
      </w:pPr>
      <w:rPr>
        <w:rFonts w:cs="Times New Roman"/>
        <w:sz w:val="22"/>
        <w:szCs w:val="22"/>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15:restartNumberingAfterBreak="0">
    <w:nsid w:val="140E010C"/>
    <w:multiLevelType w:val="multilevel"/>
    <w:tmpl w:val="1C4CE40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249"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532"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928"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D29565F"/>
    <w:multiLevelType w:val="multilevel"/>
    <w:tmpl w:val="A6A23B3A"/>
    <w:styleLink w:val="WWNum6"/>
    <w:lvl w:ilvl="0">
      <w:start w:val="1"/>
      <w:numFmt w:val="decimal"/>
      <w:lvlText w:val="%1."/>
      <w:lvlJc w:val="left"/>
      <w:pPr>
        <w:ind w:left="480" w:hanging="480"/>
      </w:pPr>
      <w:rPr>
        <w:rFonts w:cs="Times New Roman"/>
        <w:sz w:val="22"/>
        <w:szCs w:val="22"/>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15:restartNumberingAfterBreak="0">
    <w:nsid w:val="2F505067"/>
    <w:multiLevelType w:val="multilevel"/>
    <w:tmpl w:val="A0289F64"/>
    <w:styleLink w:val="WWNum7"/>
    <w:lvl w:ilvl="0">
      <w:start w:val="1"/>
      <w:numFmt w:val="decimal"/>
      <w:lvlText w:val="%1."/>
      <w:lvlJc w:val="left"/>
      <w:pPr>
        <w:ind w:left="480" w:hanging="480"/>
      </w:pPr>
      <w:rPr>
        <w:rFonts w:cs="Times New Roman"/>
        <w:sz w:val="22"/>
        <w:szCs w:val="22"/>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 w15:restartNumberingAfterBreak="0">
    <w:nsid w:val="3134467D"/>
    <w:multiLevelType w:val="hybridMultilevel"/>
    <w:tmpl w:val="F70A0024"/>
    <w:lvl w:ilvl="0" w:tplc="FFFFFFFF">
      <w:start w:val="1"/>
      <w:numFmt w:val="decimal"/>
      <w:suff w:val="nothing"/>
      <w:lvlText w:val="%1."/>
      <w:lvlJc w:val="left"/>
      <w:pPr>
        <w:ind w:left="360" w:hanging="360"/>
      </w:pPr>
      <w:rPr>
        <w:rFonts w:hint="default"/>
      </w:rPr>
    </w:lvl>
    <w:lvl w:ilvl="1" w:tplc="FFFFFFFF" w:tentative="1">
      <w:start w:val="1"/>
      <w:numFmt w:val="ideographTraditional"/>
      <w:lvlText w:val="%2、"/>
      <w:lvlJc w:val="left"/>
      <w:pPr>
        <w:ind w:left="2687" w:hanging="480"/>
      </w:pPr>
    </w:lvl>
    <w:lvl w:ilvl="2" w:tplc="FFFFFFFF" w:tentative="1">
      <w:start w:val="1"/>
      <w:numFmt w:val="lowerRoman"/>
      <w:lvlText w:val="%3."/>
      <w:lvlJc w:val="right"/>
      <w:pPr>
        <w:ind w:left="3167" w:hanging="480"/>
      </w:pPr>
    </w:lvl>
    <w:lvl w:ilvl="3" w:tplc="FFFFFFFF" w:tentative="1">
      <w:start w:val="1"/>
      <w:numFmt w:val="decimal"/>
      <w:lvlText w:val="%4."/>
      <w:lvlJc w:val="left"/>
      <w:pPr>
        <w:ind w:left="3647" w:hanging="480"/>
      </w:pPr>
    </w:lvl>
    <w:lvl w:ilvl="4" w:tplc="FFFFFFFF" w:tentative="1">
      <w:start w:val="1"/>
      <w:numFmt w:val="ideographTraditional"/>
      <w:lvlText w:val="%5、"/>
      <w:lvlJc w:val="left"/>
      <w:pPr>
        <w:ind w:left="4127" w:hanging="480"/>
      </w:pPr>
    </w:lvl>
    <w:lvl w:ilvl="5" w:tplc="FFFFFFFF" w:tentative="1">
      <w:start w:val="1"/>
      <w:numFmt w:val="lowerRoman"/>
      <w:lvlText w:val="%6."/>
      <w:lvlJc w:val="right"/>
      <w:pPr>
        <w:ind w:left="4607" w:hanging="480"/>
      </w:pPr>
    </w:lvl>
    <w:lvl w:ilvl="6" w:tplc="FFFFFFFF" w:tentative="1">
      <w:start w:val="1"/>
      <w:numFmt w:val="decimal"/>
      <w:lvlText w:val="%7."/>
      <w:lvlJc w:val="left"/>
      <w:pPr>
        <w:ind w:left="5087" w:hanging="480"/>
      </w:pPr>
    </w:lvl>
    <w:lvl w:ilvl="7" w:tplc="FFFFFFFF" w:tentative="1">
      <w:start w:val="1"/>
      <w:numFmt w:val="ideographTraditional"/>
      <w:lvlText w:val="%8、"/>
      <w:lvlJc w:val="left"/>
      <w:pPr>
        <w:ind w:left="5567" w:hanging="480"/>
      </w:pPr>
    </w:lvl>
    <w:lvl w:ilvl="8" w:tplc="FFFFFFFF" w:tentative="1">
      <w:start w:val="1"/>
      <w:numFmt w:val="lowerRoman"/>
      <w:lvlText w:val="%9."/>
      <w:lvlJc w:val="right"/>
      <w:pPr>
        <w:ind w:left="6047" w:hanging="480"/>
      </w:pPr>
    </w:lvl>
  </w:abstractNum>
  <w:abstractNum w:abstractNumId="7"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FE13B40"/>
    <w:multiLevelType w:val="hybridMultilevel"/>
    <w:tmpl w:val="F70A0024"/>
    <w:lvl w:ilvl="0" w:tplc="BA40E038">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2687" w:hanging="480"/>
      </w:pPr>
    </w:lvl>
    <w:lvl w:ilvl="2" w:tplc="0409001B" w:tentative="1">
      <w:start w:val="1"/>
      <w:numFmt w:val="lowerRoman"/>
      <w:lvlText w:val="%3."/>
      <w:lvlJc w:val="right"/>
      <w:pPr>
        <w:ind w:left="3167" w:hanging="480"/>
      </w:pPr>
    </w:lvl>
    <w:lvl w:ilvl="3" w:tplc="0409000F" w:tentative="1">
      <w:start w:val="1"/>
      <w:numFmt w:val="decimal"/>
      <w:lvlText w:val="%4."/>
      <w:lvlJc w:val="left"/>
      <w:pPr>
        <w:ind w:left="3647" w:hanging="480"/>
      </w:pPr>
    </w:lvl>
    <w:lvl w:ilvl="4" w:tplc="04090019" w:tentative="1">
      <w:start w:val="1"/>
      <w:numFmt w:val="ideographTraditional"/>
      <w:lvlText w:val="%5、"/>
      <w:lvlJc w:val="left"/>
      <w:pPr>
        <w:ind w:left="4127" w:hanging="480"/>
      </w:pPr>
    </w:lvl>
    <w:lvl w:ilvl="5" w:tplc="0409001B" w:tentative="1">
      <w:start w:val="1"/>
      <w:numFmt w:val="lowerRoman"/>
      <w:lvlText w:val="%6."/>
      <w:lvlJc w:val="right"/>
      <w:pPr>
        <w:ind w:left="4607" w:hanging="480"/>
      </w:pPr>
    </w:lvl>
    <w:lvl w:ilvl="6" w:tplc="0409000F" w:tentative="1">
      <w:start w:val="1"/>
      <w:numFmt w:val="decimal"/>
      <w:lvlText w:val="%7."/>
      <w:lvlJc w:val="left"/>
      <w:pPr>
        <w:ind w:left="5087" w:hanging="480"/>
      </w:pPr>
    </w:lvl>
    <w:lvl w:ilvl="7" w:tplc="04090019" w:tentative="1">
      <w:start w:val="1"/>
      <w:numFmt w:val="ideographTraditional"/>
      <w:lvlText w:val="%8、"/>
      <w:lvlJc w:val="left"/>
      <w:pPr>
        <w:ind w:left="5567" w:hanging="480"/>
      </w:pPr>
    </w:lvl>
    <w:lvl w:ilvl="8" w:tplc="0409001B" w:tentative="1">
      <w:start w:val="1"/>
      <w:numFmt w:val="lowerRoman"/>
      <w:lvlText w:val="%9."/>
      <w:lvlJc w:val="right"/>
      <w:pPr>
        <w:ind w:left="6047" w:hanging="480"/>
      </w:pPr>
    </w:lvl>
  </w:abstractNum>
  <w:abstractNum w:abstractNumId="12" w15:restartNumberingAfterBreak="0">
    <w:nsid w:val="51F2098C"/>
    <w:multiLevelType w:val="multilevel"/>
    <w:tmpl w:val="DA2C67F2"/>
    <w:styleLink w:val="WWNum5"/>
    <w:lvl w:ilvl="0">
      <w:start w:val="1"/>
      <w:numFmt w:val="decimal"/>
      <w:lvlText w:val="%1."/>
      <w:lvlJc w:val="left"/>
      <w:pPr>
        <w:ind w:left="480" w:hanging="480"/>
      </w:pPr>
      <w:rPr>
        <w:rFonts w:cs="Times New Roman"/>
        <w:sz w:val="22"/>
        <w:szCs w:val="22"/>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A2D2E00"/>
    <w:multiLevelType w:val="multilevel"/>
    <w:tmpl w:val="FEACD568"/>
    <w:styleLink w:val="WWNum4"/>
    <w:lvl w:ilvl="0">
      <w:start w:val="1"/>
      <w:numFmt w:val="decimal"/>
      <w:lvlText w:val="%1."/>
      <w:lvlJc w:val="left"/>
      <w:pPr>
        <w:ind w:left="480" w:hanging="480"/>
      </w:pPr>
      <w:rPr>
        <w:rFonts w:cs="Times New Roman"/>
        <w:sz w:val="22"/>
        <w:szCs w:val="22"/>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6" w15:restartNumberingAfterBreak="0">
    <w:nsid w:val="5A39116B"/>
    <w:multiLevelType w:val="multilevel"/>
    <w:tmpl w:val="1F0EAD12"/>
    <w:lvl w:ilvl="0">
      <w:start w:val="1"/>
      <w:numFmt w:val="decimal"/>
      <w:suff w:val="nothing"/>
      <w:lvlText w:val="%1."/>
      <w:lvlJc w:val="left"/>
      <w:pPr>
        <w:ind w:left="480" w:hanging="480"/>
      </w:pPr>
      <w:rPr>
        <w:rFonts w:cs="Times New Roman" w:hint="eastAsia"/>
        <w:sz w:val="22"/>
        <w:szCs w:val="22"/>
      </w:rPr>
    </w:lvl>
    <w:lvl w:ilvl="1">
      <w:start w:val="1"/>
      <w:numFmt w:val="ideographTraditional"/>
      <w:lvlText w:val="%2、"/>
      <w:lvlJc w:val="left"/>
      <w:pPr>
        <w:ind w:left="960" w:hanging="480"/>
      </w:pPr>
      <w:rPr>
        <w:rFonts w:cs="Times New Roman" w:hint="eastAsia"/>
      </w:rPr>
    </w:lvl>
    <w:lvl w:ilvl="2">
      <w:start w:val="1"/>
      <w:numFmt w:val="lowerRoman"/>
      <w:lvlText w:val="%3."/>
      <w:lvlJc w:val="right"/>
      <w:pPr>
        <w:ind w:left="1440" w:hanging="480"/>
      </w:pPr>
      <w:rPr>
        <w:rFonts w:cs="Times New Roman" w:hint="eastAsia"/>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7" w15:restartNumberingAfterBreak="0">
    <w:nsid w:val="63BE461A"/>
    <w:multiLevelType w:val="multilevel"/>
    <w:tmpl w:val="50924D50"/>
    <w:styleLink w:val="WWNum3"/>
    <w:lvl w:ilvl="0">
      <w:start w:val="1"/>
      <w:numFmt w:val="decimal"/>
      <w:lvlText w:val="%1."/>
      <w:lvlJc w:val="left"/>
      <w:pPr>
        <w:ind w:left="480" w:hanging="480"/>
      </w:pPr>
      <w:rPr>
        <w:rFonts w:cs="Times New Roman"/>
        <w:sz w:val="22"/>
        <w:szCs w:val="22"/>
      </w:rPr>
    </w:lvl>
    <w:lvl w:ilvl="1">
      <w:start w:val="1"/>
      <w:numFmt w:val="ideographTraditional"/>
      <w:lvlText w:val="%2、"/>
      <w:lvlJc w:val="left"/>
      <w:pPr>
        <w:ind w:left="960" w:hanging="480"/>
      </w:pPr>
      <w:rPr>
        <w:rFonts w:cs="Times New Roman"/>
      </w:rPr>
    </w:lvl>
    <w:lvl w:ilvl="2">
      <w:start w:val="1"/>
      <w:numFmt w:val="decimal"/>
      <w:lvlText w:val="%3."/>
      <w:lvlJc w:val="left"/>
      <w:pPr>
        <w:ind w:left="1320" w:hanging="36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8" w15:restartNumberingAfterBreak="0">
    <w:nsid w:val="65FF45BF"/>
    <w:multiLevelType w:val="hybridMultilevel"/>
    <w:tmpl w:val="F70A0024"/>
    <w:lvl w:ilvl="0" w:tplc="FFFFFFFF">
      <w:start w:val="1"/>
      <w:numFmt w:val="decimal"/>
      <w:suff w:val="nothing"/>
      <w:lvlText w:val="%1."/>
      <w:lvlJc w:val="left"/>
      <w:pPr>
        <w:ind w:left="360" w:hanging="360"/>
      </w:pPr>
      <w:rPr>
        <w:rFonts w:hint="default"/>
      </w:rPr>
    </w:lvl>
    <w:lvl w:ilvl="1" w:tplc="FFFFFFFF" w:tentative="1">
      <w:start w:val="1"/>
      <w:numFmt w:val="ideographTraditional"/>
      <w:lvlText w:val="%2、"/>
      <w:lvlJc w:val="left"/>
      <w:pPr>
        <w:ind w:left="2687" w:hanging="480"/>
      </w:pPr>
    </w:lvl>
    <w:lvl w:ilvl="2" w:tplc="FFFFFFFF" w:tentative="1">
      <w:start w:val="1"/>
      <w:numFmt w:val="lowerRoman"/>
      <w:lvlText w:val="%3."/>
      <w:lvlJc w:val="right"/>
      <w:pPr>
        <w:ind w:left="3167" w:hanging="480"/>
      </w:pPr>
    </w:lvl>
    <w:lvl w:ilvl="3" w:tplc="FFFFFFFF" w:tentative="1">
      <w:start w:val="1"/>
      <w:numFmt w:val="decimal"/>
      <w:lvlText w:val="%4."/>
      <w:lvlJc w:val="left"/>
      <w:pPr>
        <w:ind w:left="3647" w:hanging="480"/>
      </w:pPr>
    </w:lvl>
    <w:lvl w:ilvl="4" w:tplc="FFFFFFFF" w:tentative="1">
      <w:start w:val="1"/>
      <w:numFmt w:val="ideographTraditional"/>
      <w:lvlText w:val="%5、"/>
      <w:lvlJc w:val="left"/>
      <w:pPr>
        <w:ind w:left="4127" w:hanging="480"/>
      </w:pPr>
    </w:lvl>
    <w:lvl w:ilvl="5" w:tplc="FFFFFFFF" w:tentative="1">
      <w:start w:val="1"/>
      <w:numFmt w:val="lowerRoman"/>
      <w:lvlText w:val="%6."/>
      <w:lvlJc w:val="right"/>
      <w:pPr>
        <w:ind w:left="4607" w:hanging="480"/>
      </w:pPr>
    </w:lvl>
    <w:lvl w:ilvl="6" w:tplc="FFFFFFFF" w:tentative="1">
      <w:start w:val="1"/>
      <w:numFmt w:val="decimal"/>
      <w:lvlText w:val="%7."/>
      <w:lvlJc w:val="left"/>
      <w:pPr>
        <w:ind w:left="5087" w:hanging="480"/>
      </w:pPr>
    </w:lvl>
    <w:lvl w:ilvl="7" w:tplc="FFFFFFFF" w:tentative="1">
      <w:start w:val="1"/>
      <w:numFmt w:val="ideographTraditional"/>
      <w:lvlText w:val="%8、"/>
      <w:lvlJc w:val="left"/>
      <w:pPr>
        <w:ind w:left="5567" w:hanging="480"/>
      </w:pPr>
    </w:lvl>
    <w:lvl w:ilvl="8" w:tplc="FFFFFFFF" w:tentative="1">
      <w:start w:val="1"/>
      <w:numFmt w:val="lowerRoman"/>
      <w:lvlText w:val="%9."/>
      <w:lvlJc w:val="right"/>
      <w:pPr>
        <w:ind w:left="6047" w:hanging="480"/>
      </w:pPr>
    </w:lvl>
  </w:abstractNum>
  <w:num w:numId="1" w16cid:durableId="1562012228">
    <w:abstractNumId w:val="2"/>
  </w:num>
  <w:num w:numId="2" w16cid:durableId="1748572155">
    <w:abstractNumId w:val="3"/>
  </w:num>
  <w:num w:numId="3" w16cid:durableId="780152742">
    <w:abstractNumId w:val="0"/>
  </w:num>
  <w:num w:numId="4" w16cid:durableId="315033117">
    <w:abstractNumId w:val="2"/>
  </w:num>
  <w:num w:numId="5" w16cid:durableId="1097291078">
    <w:abstractNumId w:val="2"/>
  </w:num>
  <w:num w:numId="6" w16cid:durableId="1083602471">
    <w:abstractNumId w:val="2"/>
  </w:num>
  <w:num w:numId="7" w16cid:durableId="940987237">
    <w:abstractNumId w:val="2"/>
  </w:num>
  <w:num w:numId="8" w16cid:durableId="366760121">
    <w:abstractNumId w:val="2"/>
  </w:num>
  <w:num w:numId="9" w16cid:durableId="1697122050">
    <w:abstractNumId w:val="2"/>
  </w:num>
  <w:num w:numId="10" w16cid:durableId="160201531">
    <w:abstractNumId w:val="2"/>
  </w:num>
  <w:num w:numId="11" w16cid:durableId="1007253257">
    <w:abstractNumId w:val="2"/>
  </w:num>
  <w:num w:numId="12" w16cid:durableId="295331009">
    <w:abstractNumId w:val="2"/>
  </w:num>
  <w:num w:numId="13" w16cid:durableId="265188516">
    <w:abstractNumId w:val="2"/>
  </w:num>
  <w:num w:numId="14" w16cid:durableId="1927107854">
    <w:abstractNumId w:val="2"/>
  </w:num>
  <w:num w:numId="15" w16cid:durableId="1051271482">
    <w:abstractNumId w:val="2"/>
  </w:num>
  <w:num w:numId="16" w16cid:durableId="451439514">
    <w:abstractNumId w:val="2"/>
  </w:num>
  <w:num w:numId="17" w16cid:durableId="2021227168">
    <w:abstractNumId w:val="2"/>
  </w:num>
  <w:num w:numId="18" w16cid:durableId="624392087">
    <w:abstractNumId w:val="3"/>
  </w:num>
  <w:num w:numId="19" w16cid:durableId="98107614">
    <w:abstractNumId w:val="3"/>
    <w:lvlOverride w:ilvl="0">
      <w:startOverride w:val="1"/>
    </w:lvlOverride>
  </w:num>
  <w:num w:numId="20" w16cid:durableId="1171675394">
    <w:abstractNumId w:val="2"/>
  </w:num>
  <w:num w:numId="21" w16cid:durableId="549733345">
    <w:abstractNumId w:val="3"/>
  </w:num>
  <w:num w:numId="22" w16cid:durableId="1599756265">
    <w:abstractNumId w:val="10"/>
  </w:num>
  <w:num w:numId="23" w16cid:durableId="2032563930">
    <w:abstractNumId w:val="8"/>
  </w:num>
  <w:num w:numId="24" w16cid:durableId="324868717">
    <w:abstractNumId w:val="13"/>
  </w:num>
  <w:num w:numId="25" w16cid:durableId="2025015528">
    <w:abstractNumId w:val="2"/>
  </w:num>
  <w:num w:numId="26" w16cid:durableId="4394929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89837498">
    <w:abstractNumId w:val="2"/>
  </w:num>
  <w:num w:numId="28" w16cid:durableId="458186577">
    <w:abstractNumId w:val="14"/>
  </w:num>
  <w:num w:numId="29" w16cid:durableId="1785029375">
    <w:abstractNumId w:val="14"/>
  </w:num>
  <w:num w:numId="30" w16cid:durableId="352265110">
    <w:abstractNumId w:val="9"/>
  </w:num>
  <w:num w:numId="31" w16cid:durableId="2014644827">
    <w:abstractNumId w:val="9"/>
  </w:num>
  <w:num w:numId="32" w16cid:durableId="1443181549">
    <w:abstractNumId w:val="2"/>
  </w:num>
  <w:num w:numId="33" w16cid:durableId="14544727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71369681">
    <w:abstractNumId w:val="2"/>
  </w:num>
  <w:num w:numId="35" w16cid:durableId="424155356">
    <w:abstractNumId w:val="2"/>
  </w:num>
  <w:num w:numId="36" w16cid:durableId="720178828">
    <w:abstractNumId w:val="2"/>
  </w:num>
  <w:num w:numId="37" w16cid:durableId="667295197">
    <w:abstractNumId w:val="2"/>
  </w:num>
  <w:num w:numId="38" w16cid:durableId="2022394906">
    <w:abstractNumId w:val="2"/>
  </w:num>
  <w:num w:numId="39" w16cid:durableId="467631583">
    <w:abstractNumId w:val="2"/>
  </w:num>
  <w:num w:numId="40" w16cid:durableId="1016813489">
    <w:abstractNumId w:val="17"/>
  </w:num>
  <w:num w:numId="41" w16cid:durableId="934165496">
    <w:abstractNumId w:val="15"/>
  </w:num>
  <w:num w:numId="42" w16cid:durableId="558903786">
    <w:abstractNumId w:val="12"/>
  </w:num>
  <w:num w:numId="43" w16cid:durableId="1255170909">
    <w:abstractNumId w:val="4"/>
  </w:num>
  <w:num w:numId="44" w16cid:durableId="954748903">
    <w:abstractNumId w:val="5"/>
  </w:num>
  <w:num w:numId="45" w16cid:durableId="1044448809">
    <w:abstractNumId w:val="1"/>
  </w:num>
  <w:num w:numId="46" w16cid:durableId="715786609">
    <w:abstractNumId w:val="15"/>
    <w:lvlOverride w:ilvl="0">
      <w:startOverride w:val="1"/>
    </w:lvlOverride>
  </w:num>
  <w:num w:numId="47" w16cid:durableId="1709328838">
    <w:abstractNumId w:val="5"/>
    <w:lvlOverride w:ilvl="0">
      <w:startOverride w:val="1"/>
    </w:lvlOverride>
  </w:num>
  <w:num w:numId="48" w16cid:durableId="761335977">
    <w:abstractNumId w:val="12"/>
    <w:lvlOverride w:ilvl="0">
      <w:startOverride w:val="1"/>
    </w:lvlOverride>
  </w:num>
  <w:num w:numId="49" w16cid:durableId="1920944828">
    <w:abstractNumId w:val="4"/>
    <w:lvlOverride w:ilvl="0">
      <w:startOverride w:val="1"/>
    </w:lvlOverride>
  </w:num>
  <w:num w:numId="50" w16cid:durableId="677082093">
    <w:abstractNumId w:val="1"/>
    <w:lvlOverride w:ilvl="0">
      <w:startOverride w:val="1"/>
    </w:lvlOverride>
  </w:num>
  <w:num w:numId="51" w16cid:durableId="1762994727">
    <w:abstractNumId w:val="17"/>
    <w:lvlOverride w:ilvl="0">
      <w:startOverride w:val="1"/>
    </w:lvlOverride>
  </w:num>
  <w:num w:numId="52" w16cid:durableId="941496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696617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06031897">
    <w:abstractNumId w:val="11"/>
  </w:num>
  <w:num w:numId="55" w16cid:durableId="1678579026">
    <w:abstractNumId w:val="18"/>
  </w:num>
  <w:num w:numId="56" w16cid:durableId="1768385458">
    <w:abstractNumId w:val="6"/>
  </w:num>
  <w:num w:numId="57" w16cid:durableId="1600259640">
    <w:abstractNumId w:val="2"/>
  </w:num>
  <w:num w:numId="58" w16cid:durableId="18510232">
    <w:abstractNumId w:val="2"/>
  </w:num>
  <w:num w:numId="59" w16cid:durableId="1877813455">
    <w:abstractNumId w:val="2"/>
  </w:num>
  <w:num w:numId="60" w16cid:durableId="343939267">
    <w:abstractNumId w:val="2"/>
  </w:num>
  <w:num w:numId="61" w16cid:durableId="1650673126">
    <w:abstractNumId w:val="16"/>
  </w:num>
  <w:num w:numId="62" w16cid:durableId="2041778913">
    <w:abstractNumId w:val="2"/>
  </w:num>
  <w:num w:numId="63" w16cid:durableId="205921653">
    <w:abstractNumId w:val="2"/>
  </w:num>
  <w:num w:numId="64" w16cid:durableId="160641939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357"/>
    <w:rsid w:val="00006961"/>
    <w:rsid w:val="00007258"/>
    <w:rsid w:val="000110D5"/>
    <w:rsid w:val="000112BF"/>
    <w:rsid w:val="00011CF9"/>
    <w:rsid w:val="00011D5E"/>
    <w:rsid w:val="00012233"/>
    <w:rsid w:val="00012317"/>
    <w:rsid w:val="000126B7"/>
    <w:rsid w:val="00015486"/>
    <w:rsid w:val="00017318"/>
    <w:rsid w:val="000229AD"/>
    <w:rsid w:val="000246F7"/>
    <w:rsid w:val="00030683"/>
    <w:rsid w:val="0003114D"/>
    <w:rsid w:val="00034EC9"/>
    <w:rsid w:val="000351D0"/>
    <w:rsid w:val="00036D76"/>
    <w:rsid w:val="00041D8A"/>
    <w:rsid w:val="00042623"/>
    <w:rsid w:val="00043BFA"/>
    <w:rsid w:val="000465F4"/>
    <w:rsid w:val="00046D16"/>
    <w:rsid w:val="0005073A"/>
    <w:rsid w:val="00052AF0"/>
    <w:rsid w:val="0005410C"/>
    <w:rsid w:val="00057F32"/>
    <w:rsid w:val="00062A25"/>
    <w:rsid w:val="00066761"/>
    <w:rsid w:val="00066B1A"/>
    <w:rsid w:val="000712F8"/>
    <w:rsid w:val="000734D9"/>
    <w:rsid w:val="000735D7"/>
    <w:rsid w:val="00073CB5"/>
    <w:rsid w:val="00073DD3"/>
    <w:rsid w:val="0007425C"/>
    <w:rsid w:val="00077553"/>
    <w:rsid w:val="00084A78"/>
    <w:rsid w:val="000851A2"/>
    <w:rsid w:val="00085D4C"/>
    <w:rsid w:val="000904EC"/>
    <w:rsid w:val="0009352D"/>
    <w:rsid w:val="0009352E"/>
    <w:rsid w:val="00094963"/>
    <w:rsid w:val="00096A27"/>
    <w:rsid w:val="00096B96"/>
    <w:rsid w:val="00096EA2"/>
    <w:rsid w:val="000A2F3F"/>
    <w:rsid w:val="000A4849"/>
    <w:rsid w:val="000A5532"/>
    <w:rsid w:val="000A6278"/>
    <w:rsid w:val="000B0B4A"/>
    <w:rsid w:val="000B279A"/>
    <w:rsid w:val="000B45E7"/>
    <w:rsid w:val="000B5484"/>
    <w:rsid w:val="000B61D2"/>
    <w:rsid w:val="000B69AB"/>
    <w:rsid w:val="000B70A7"/>
    <w:rsid w:val="000B73DD"/>
    <w:rsid w:val="000C04DF"/>
    <w:rsid w:val="000C0F32"/>
    <w:rsid w:val="000C1E31"/>
    <w:rsid w:val="000C4775"/>
    <w:rsid w:val="000C495F"/>
    <w:rsid w:val="000C69CB"/>
    <w:rsid w:val="000C6A73"/>
    <w:rsid w:val="000D051E"/>
    <w:rsid w:val="000D3B64"/>
    <w:rsid w:val="000D4247"/>
    <w:rsid w:val="000D66D9"/>
    <w:rsid w:val="000D6B72"/>
    <w:rsid w:val="000D6EA4"/>
    <w:rsid w:val="000E0E8C"/>
    <w:rsid w:val="000E503E"/>
    <w:rsid w:val="000E6431"/>
    <w:rsid w:val="000E7FDF"/>
    <w:rsid w:val="000F1681"/>
    <w:rsid w:val="000F21A5"/>
    <w:rsid w:val="000F2395"/>
    <w:rsid w:val="000F47A1"/>
    <w:rsid w:val="000F70B4"/>
    <w:rsid w:val="0010022C"/>
    <w:rsid w:val="00102B9F"/>
    <w:rsid w:val="001030D4"/>
    <w:rsid w:val="001039E3"/>
    <w:rsid w:val="00105D8E"/>
    <w:rsid w:val="00107ED9"/>
    <w:rsid w:val="001101FB"/>
    <w:rsid w:val="0011252A"/>
    <w:rsid w:val="00112637"/>
    <w:rsid w:val="001129EC"/>
    <w:rsid w:val="00112ABC"/>
    <w:rsid w:val="00112D1A"/>
    <w:rsid w:val="001143D9"/>
    <w:rsid w:val="0012001E"/>
    <w:rsid w:val="0012006C"/>
    <w:rsid w:val="00120380"/>
    <w:rsid w:val="0012236C"/>
    <w:rsid w:val="001264B8"/>
    <w:rsid w:val="001268BD"/>
    <w:rsid w:val="00126A55"/>
    <w:rsid w:val="00133E71"/>
    <w:rsid w:val="00133F08"/>
    <w:rsid w:val="00133F47"/>
    <w:rsid w:val="001345E6"/>
    <w:rsid w:val="00134E4C"/>
    <w:rsid w:val="001378B0"/>
    <w:rsid w:val="00142E00"/>
    <w:rsid w:val="001432B9"/>
    <w:rsid w:val="0014409B"/>
    <w:rsid w:val="00144AA5"/>
    <w:rsid w:val="00145102"/>
    <w:rsid w:val="00152793"/>
    <w:rsid w:val="00153B7E"/>
    <w:rsid w:val="001545A9"/>
    <w:rsid w:val="00157414"/>
    <w:rsid w:val="001637C7"/>
    <w:rsid w:val="0016480E"/>
    <w:rsid w:val="001655AF"/>
    <w:rsid w:val="00166532"/>
    <w:rsid w:val="00166DB4"/>
    <w:rsid w:val="00173CE5"/>
    <w:rsid w:val="00174297"/>
    <w:rsid w:val="00176B15"/>
    <w:rsid w:val="00177172"/>
    <w:rsid w:val="00180E06"/>
    <w:rsid w:val="001817B3"/>
    <w:rsid w:val="00183014"/>
    <w:rsid w:val="00183CAA"/>
    <w:rsid w:val="0018579A"/>
    <w:rsid w:val="0019340E"/>
    <w:rsid w:val="001946A5"/>
    <w:rsid w:val="001954CB"/>
    <w:rsid w:val="001959C2"/>
    <w:rsid w:val="0019681F"/>
    <w:rsid w:val="001A1995"/>
    <w:rsid w:val="001A3262"/>
    <w:rsid w:val="001A51E3"/>
    <w:rsid w:val="001A7968"/>
    <w:rsid w:val="001B01D6"/>
    <w:rsid w:val="001B02A1"/>
    <w:rsid w:val="001B1DC6"/>
    <w:rsid w:val="001B2E98"/>
    <w:rsid w:val="001B3483"/>
    <w:rsid w:val="001B3C1E"/>
    <w:rsid w:val="001B3E6B"/>
    <w:rsid w:val="001B4494"/>
    <w:rsid w:val="001B503E"/>
    <w:rsid w:val="001B6465"/>
    <w:rsid w:val="001B7736"/>
    <w:rsid w:val="001C0D8B"/>
    <w:rsid w:val="001C0DA8"/>
    <w:rsid w:val="001C1B50"/>
    <w:rsid w:val="001C3C02"/>
    <w:rsid w:val="001C5A6D"/>
    <w:rsid w:val="001D4AD7"/>
    <w:rsid w:val="001E0D8A"/>
    <w:rsid w:val="001E1FA2"/>
    <w:rsid w:val="001E2652"/>
    <w:rsid w:val="001E53EE"/>
    <w:rsid w:val="001E5E5B"/>
    <w:rsid w:val="001E67BA"/>
    <w:rsid w:val="001E74C2"/>
    <w:rsid w:val="001E774B"/>
    <w:rsid w:val="001F0C04"/>
    <w:rsid w:val="001F0C39"/>
    <w:rsid w:val="001F4F82"/>
    <w:rsid w:val="001F54D6"/>
    <w:rsid w:val="001F5A48"/>
    <w:rsid w:val="001F6260"/>
    <w:rsid w:val="001F7F70"/>
    <w:rsid w:val="00200007"/>
    <w:rsid w:val="00200871"/>
    <w:rsid w:val="00201528"/>
    <w:rsid w:val="002030A5"/>
    <w:rsid w:val="00203131"/>
    <w:rsid w:val="002057D7"/>
    <w:rsid w:val="002063D5"/>
    <w:rsid w:val="00207BCB"/>
    <w:rsid w:val="00211879"/>
    <w:rsid w:val="00212E88"/>
    <w:rsid w:val="00213C9C"/>
    <w:rsid w:val="002140AC"/>
    <w:rsid w:val="002154A4"/>
    <w:rsid w:val="0022009E"/>
    <w:rsid w:val="00223241"/>
    <w:rsid w:val="0022425C"/>
    <w:rsid w:val="002246DE"/>
    <w:rsid w:val="00224EE6"/>
    <w:rsid w:val="0022692E"/>
    <w:rsid w:val="002272C3"/>
    <w:rsid w:val="00227F11"/>
    <w:rsid w:val="00231F41"/>
    <w:rsid w:val="0023272B"/>
    <w:rsid w:val="00234139"/>
    <w:rsid w:val="00234A7F"/>
    <w:rsid w:val="00235947"/>
    <w:rsid w:val="00236288"/>
    <w:rsid w:val="002406FF"/>
    <w:rsid w:val="002429E2"/>
    <w:rsid w:val="002431E2"/>
    <w:rsid w:val="002448C7"/>
    <w:rsid w:val="00244B93"/>
    <w:rsid w:val="002459B0"/>
    <w:rsid w:val="00246088"/>
    <w:rsid w:val="002471F6"/>
    <w:rsid w:val="002477B1"/>
    <w:rsid w:val="00252BC4"/>
    <w:rsid w:val="0025383D"/>
    <w:rsid w:val="00254014"/>
    <w:rsid w:val="0025428C"/>
    <w:rsid w:val="00254B39"/>
    <w:rsid w:val="002620FE"/>
    <w:rsid w:val="00262A36"/>
    <w:rsid w:val="00262CEB"/>
    <w:rsid w:val="002635C1"/>
    <w:rsid w:val="0026504D"/>
    <w:rsid w:val="00265229"/>
    <w:rsid w:val="00265D55"/>
    <w:rsid w:val="00265D7D"/>
    <w:rsid w:val="002664ED"/>
    <w:rsid w:val="00273A2F"/>
    <w:rsid w:val="00275126"/>
    <w:rsid w:val="002755DB"/>
    <w:rsid w:val="0027570E"/>
    <w:rsid w:val="002764F8"/>
    <w:rsid w:val="00280986"/>
    <w:rsid w:val="00281ECE"/>
    <w:rsid w:val="002831C7"/>
    <w:rsid w:val="002840C6"/>
    <w:rsid w:val="00284B9C"/>
    <w:rsid w:val="00287167"/>
    <w:rsid w:val="002914FC"/>
    <w:rsid w:val="0029425A"/>
    <w:rsid w:val="00295174"/>
    <w:rsid w:val="00296172"/>
    <w:rsid w:val="0029622D"/>
    <w:rsid w:val="00296B92"/>
    <w:rsid w:val="002979A4"/>
    <w:rsid w:val="002A2C22"/>
    <w:rsid w:val="002A6395"/>
    <w:rsid w:val="002B02EB"/>
    <w:rsid w:val="002B17B0"/>
    <w:rsid w:val="002B2EBB"/>
    <w:rsid w:val="002B4533"/>
    <w:rsid w:val="002B5CC9"/>
    <w:rsid w:val="002C0602"/>
    <w:rsid w:val="002C5767"/>
    <w:rsid w:val="002D01FE"/>
    <w:rsid w:val="002D4403"/>
    <w:rsid w:val="002D5C16"/>
    <w:rsid w:val="002E0C03"/>
    <w:rsid w:val="002E10A8"/>
    <w:rsid w:val="002E7C19"/>
    <w:rsid w:val="002F1260"/>
    <w:rsid w:val="002F14B4"/>
    <w:rsid w:val="002F2476"/>
    <w:rsid w:val="002F3D6B"/>
    <w:rsid w:val="002F3DFF"/>
    <w:rsid w:val="002F5E05"/>
    <w:rsid w:val="002F7A50"/>
    <w:rsid w:val="00300784"/>
    <w:rsid w:val="00301A37"/>
    <w:rsid w:val="00302B38"/>
    <w:rsid w:val="003057C2"/>
    <w:rsid w:val="00307A76"/>
    <w:rsid w:val="00310050"/>
    <w:rsid w:val="003100B9"/>
    <w:rsid w:val="0031349E"/>
    <w:rsid w:val="0031455E"/>
    <w:rsid w:val="00315A16"/>
    <w:rsid w:val="00317053"/>
    <w:rsid w:val="00320D8C"/>
    <w:rsid w:val="0032109C"/>
    <w:rsid w:val="00322B45"/>
    <w:rsid w:val="00322F8D"/>
    <w:rsid w:val="00323809"/>
    <w:rsid w:val="003239C8"/>
    <w:rsid w:val="00323D41"/>
    <w:rsid w:val="00325238"/>
    <w:rsid w:val="00325414"/>
    <w:rsid w:val="0032557A"/>
    <w:rsid w:val="003302F1"/>
    <w:rsid w:val="0033407B"/>
    <w:rsid w:val="00340323"/>
    <w:rsid w:val="0034439F"/>
    <w:rsid w:val="0034470E"/>
    <w:rsid w:val="00344843"/>
    <w:rsid w:val="00350E08"/>
    <w:rsid w:val="00351D87"/>
    <w:rsid w:val="00352ACA"/>
    <w:rsid w:val="00352DB0"/>
    <w:rsid w:val="0035573A"/>
    <w:rsid w:val="00360073"/>
    <w:rsid w:val="00361063"/>
    <w:rsid w:val="003632EC"/>
    <w:rsid w:val="0036407B"/>
    <w:rsid w:val="00366D34"/>
    <w:rsid w:val="0037094A"/>
    <w:rsid w:val="00371ED3"/>
    <w:rsid w:val="00372659"/>
    <w:rsid w:val="00372FFC"/>
    <w:rsid w:val="003746A3"/>
    <w:rsid w:val="00374CE0"/>
    <w:rsid w:val="00375060"/>
    <w:rsid w:val="0037728A"/>
    <w:rsid w:val="00380B7D"/>
    <w:rsid w:val="00381A59"/>
    <w:rsid w:val="00381A99"/>
    <w:rsid w:val="003829C2"/>
    <w:rsid w:val="003830B2"/>
    <w:rsid w:val="00384724"/>
    <w:rsid w:val="00384B24"/>
    <w:rsid w:val="003871D0"/>
    <w:rsid w:val="00387671"/>
    <w:rsid w:val="00391349"/>
    <w:rsid w:val="003919B7"/>
    <w:rsid w:val="00391D57"/>
    <w:rsid w:val="00392292"/>
    <w:rsid w:val="00392D50"/>
    <w:rsid w:val="00394F45"/>
    <w:rsid w:val="00395A5A"/>
    <w:rsid w:val="003A5927"/>
    <w:rsid w:val="003A638A"/>
    <w:rsid w:val="003A730D"/>
    <w:rsid w:val="003B1017"/>
    <w:rsid w:val="003B1C49"/>
    <w:rsid w:val="003B3C07"/>
    <w:rsid w:val="003B6081"/>
    <w:rsid w:val="003B6775"/>
    <w:rsid w:val="003C2C86"/>
    <w:rsid w:val="003C2E63"/>
    <w:rsid w:val="003C5FE2"/>
    <w:rsid w:val="003C7FF7"/>
    <w:rsid w:val="003D05FB"/>
    <w:rsid w:val="003D1B16"/>
    <w:rsid w:val="003D2E29"/>
    <w:rsid w:val="003D45BF"/>
    <w:rsid w:val="003D4F69"/>
    <w:rsid w:val="003D508A"/>
    <w:rsid w:val="003D537F"/>
    <w:rsid w:val="003D7B75"/>
    <w:rsid w:val="003E0208"/>
    <w:rsid w:val="003E07A3"/>
    <w:rsid w:val="003E1F1B"/>
    <w:rsid w:val="003E225F"/>
    <w:rsid w:val="003E4B57"/>
    <w:rsid w:val="003F27E1"/>
    <w:rsid w:val="003F437A"/>
    <w:rsid w:val="003F4C54"/>
    <w:rsid w:val="003F5C2B"/>
    <w:rsid w:val="00401F03"/>
    <w:rsid w:val="00402240"/>
    <w:rsid w:val="004023E9"/>
    <w:rsid w:val="004036E6"/>
    <w:rsid w:val="0040454A"/>
    <w:rsid w:val="00404BF8"/>
    <w:rsid w:val="0040515E"/>
    <w:rsid w:val="00410B4C"/>
    <w:rsid w:val="0041151E"/>
    <w:rsid w:val="00413F83"/>
    <w:rsid w:val="0041490C"/>
    <w:rsid w:val="00415676"/>
    <w:rsid w:val="00416191"/>
    <w:rsid w:val="00416721"/>
    <w:rsid w:val="00417161"/>
    <w:rsid w:val="0042102C"/>
    <w:rsid w:val="00421EF0"/>
    <w:rsid w:val="00422421"/>
    <w:rsid w:val="004224FA"/>
    <w:rsid w:val="00423D07"/>
    <w:rsid w:val="004259D7"/>
    <w:rsid w:val="00427936"/>
    <w:rsid w:val="0043050D"/>
    <w:rsid w:val="004337B7"/>
    <w:rsid w:val="00437500"/>
    <w:rsid w:val="004402AF"/>
    <w:rsid w:val="004408EA"/>
    <w:rsid w:val="0044178A"/>
    <w:rsid w:val="0044346F"/>
    <w:rsid w:val="00443DC4"/>
    <w:rsid w:val="004529A7"/>
    <w:rsid w:val="00452C28"/>
    <w:rsid w:val="00453FF6"/>
    <w:rsid w:val="004554CB"/>
    <w:rsid w:val="0046520A"/>
    <w:rsid w:val="00466A3C"/>
    <w:rsid w:val="00466CAA"/>
    <w:rsid w:val="0046717F"/>
    <w:rsid w:val="004671C7"/>
    <w:rsid w:val="004672AB"/>
    <w:rsid w:val="00467610"/>
    <w:rsid w:val="004714FE"/>
    <w:rsid w:val="004777F9"/>
    <w:rsid w:val="00477BAA"/>
    <w:rsid w:val="00485104"/>
    <w:rsid w:val="004852CB"/>
    <w:rsid w:val="0048741D"/>
    <w:rsid w:val="0049020E"/>
    <w:rsid w:val="00493C35"/>
    <w:rsid w:val="00495053"/>
    <w:rsid w:val="004A02D5"/>
    <w:rsid w:val="004A1D11"/>
    <w:rsid w:val="004A1F59"/>
    <w:rsid w:val="004A29BE"/>
    <w:rsid w:val="004A3225"/>
    <w:rsid w:val="004A33EE"/>
    <w:rsid w:val="004A3AA8"/>
    <w:rsid w:val="004A5193"/>
    <w:rsid w:val="004B13C7"/>
    <w:rsid w:val="004B49DB"/>
    <w:rsid w:val="004B680A"/>
    <w:rsid w:val="004B70DA"/>
    <w:rsid w:val="004B778F"/>
    <w:rsid w:val="004B7B5F"/>
    <w:rsid w:val="004C0609"/>
    <w:rsid w:val="004C639F"/>
    <w:rsid w:val="004D0F3E"/>
    <w:rsid w:val="004D0F9F"/>
    <w:rsid w:val="004D141F"/>
    <w:rsid w:val="004D2742"/>
    <w:rsid w:val="004D394E"/>
    <w:rsid w:val="004D6310"/>
    <w:rsid w:val="004D675F"/>
    <w:rsid w:val="004E0062"/>
    <w:rsid w:val="004E05A1"/>
    <w:rsid w:val="004E182A"/>
    <w:rsid w:val="004E3F42"/>
    <w:rsid w:val="004E7F21"/>
    <w:rsid w:val="004F01DC"/>
    <w:rsid w:val="004F1EAF"/>
    <w:rsid w:val="004F472A"/>
    <w:rsid w:val="004F47C7"/>
    <w:rsid w:val="004F5C61"/>
    <w:rsid w:val="004F5E57"/>
    <w:rsid w:val="004F646E"/>
    <w:rsid w:val="004F6710"/>
    <w:rsid w:val="00500C3E"/>
    <w:rsid w:val="00500CC6"/>
    <w:rsid w:val="005010D2"/>
    <w:rsid w:val="0050233F"/>
    <w:rsid w:val="00502849"/>
    <w:rsid w:val="00504334"/>
    <w:rsid w:val="0050498D"/>
    <w:rsid w:val="005055EF"/>
    <w:rsid w:val="0050645F"/>
    <w:rsid w:val="005100D4"/>
    <w:rsid w:val="005104D7"/>
    <w:rsid w:val="00510B9E"/>
    <w:rsid w:val="0051331A"/>
    <w:rsid w:val="00514D2B"/>
    <w:rsid w:val="005165D1"/>
    <w:rsid w:val="005166CF"/>
    <w:rsid w:val="00523581"/>
    <w:rsid w:val="00526953"/>
    <w:rsid w:val="0053204E"/>
    <w:rsid w:val="005323B8"/>
    <w:rsid w:val="0053373B"/>
    <w:rsid w:val="00535039"/>
    <w:rsid w:val="00536BC2"/>
    <w:rsid w:val="0054127D"/>
    <w:rsid w:val="00542264"/>
    <w:rsid w:val="005425E1"/>
    <w:rsid w:val="005427C5"/>
    <w:rsid w:val="00542C95"/>
    <w:rsid w:val="00542CF6"/>
    <w:rsid w:val="00543044"/>
    <w:rsid w:val="005444DB"/>
    <w:rsid w:val="00546924"/>
    <w:rsid w:val="005505ED"/>
    <w:rsid w:val="00553C03"/>
    <w:rsid w:val="00554632"/>
    <w:rsid w:val="005548E7"/>
    <w:rsid w:val="0055587B"/>
    <w:rsid w:val="00560DDA"/>
    <w:rsid w:val="00563692"/>
    <w:rsid w:val="00565033"/>
    <w:rsid w:val="0056539D"/>
    <w:rsid w:val="0056648F"/>
    <w:rsid w:val="00571679"/>
    <w:rsid w:val="005719DA"/>
    <w:rsid w:val="00572794"/>
    <w:rsid w:val="005746F7"/>
    <w:rsid w:val="005750F8"/>
    <w:rsid w:val="00576624"/>
    <w:rsid w:val="00577876"/>
    <w:rsid w:val="00580563"/>
    <w:rsid w:val="00584235"/>
    <w:rsid w:val="005844E7"/>
    <w:rsid w:val="00584B6D"/>
    <w:rsid w:val="005908B8"/>
    <w:rsid w:val="00591792"/>
    <w:rsid w:val="00591857"/>
    <w:rsid w:val="00591FFC"/>
    <w:rsid w:val="005931E4"/>
    <w:rsid w:val="0059512E"/>
    <w:rsid w:val="00596CF9"/>
    <w:rsid w:val="005A52E1"/>
    <w:rsid w:val="005A6DD2"/>
    <w:rsid w:val="005B1ADC"/>
    <w:rsid w:val="005B391F"/>
    <w:rsid w:val="005B4E12"/>
    <w:rsid w:val="005B7E58"/>
    <w:rsid w:val="005C385D"/>
    <w:rsid w:val="005C6C61"/>
    <w:rsid w:val="005D1855"/>
    <w:rsid w:val="005D24CB"/>
    <w:rsid w:val="005D3B20"/>
    <w:rsid w:val="005D53AD"/>
    <w:rsid w:val="005D5EDE"/>
    <w:rsid w:val="005D659F"/>
    <w:rsid w:val="005D71B7"/>
    <w:rsid w:val="005E0708"/>
    <w:rsid w:val="005E0DBA"/>
    <w:rsid w:val="005E0F9F"/>
    <w:rsid w:val="005E2282"/>
    <w:rsid w:val="005E3BC7"/>
    <w:rsid w:val="005E4759"/>
    <w:rsid w:val="005E5C68"/>
    <w:rsid w:val="005E65C0"/>
    <w:rsid w:val="005F0390"/>
    <w:rsid w:val="005F051B"/>
    <w:rsid w:val="005F0B35"/>
    <w:rsid w:val="005F383E"/>
    <w:rsid w:val="005F438E"/>
    <w:rsid w:val="005F7D90"/>
    <w:rsid w:val="00601373"/>
    <w:rsid w:val="00605421"/>
    <w:rsid w:val="006072CD"/>
    <w:rsid w:val="00612023"/>
    <w:rsid w:val="0061237B"/>
    <w:rsid w:val="00613FE4"/>
    <w:rsid w:val="00614190"/>
    <w:rsid w:val="0061544F"/>
    <w:rsid w:val="00616480"/>
    <w:rsid w:val="00616509"/>
    <w:rsid w:val="00622042"/>
    <w:rsid w:val="00622A99"/>
    <w:rsid w:val="00622E67"/>
    <w:rsid w:val="0062442F"/>
    <w:rsid w:val="00626B57"/>
    <w:rsid w:val="00626EDC"/>
    <w:rsid w:val="00631CF2"/>
    <w:rsid w:val="00634413"/>
    <w:rsid w:val="006345B6"/>
    <w:rsid w:val="006452D3"/>
    <w:rsid w:val="00646183"/>
    <w:rsid w:val="00646B73"/>
    <w:rsid w:val="00646BAF"/>
    <w:rsid w:val="00646E4D"/>
    <w:rsid w:val="006470EC"/>
    <w:rsid w:val="00647192"/>
    <w:rsid w:val="00651E9C"/>
    <w:rsid w:val="0065371A"/>
    <w:rsid w:val="006542D6"/>
    <w:rsid w:val="0065598E"/>
    <w:rsid w:val="00655AF2"/>
    <w:rsid w:val="00655BC5"/>
    <w:rsid w:val="006568BE"/>
    <w:rsid w:val="0066025D"/>
    <w:rsid w:val="0066091A"/>
    <w:rsid w:val="006649B8"/>
    <w:rsid w:val="00670602"/>
    <w:rsid w:val="006706F2"/>
    <w:rsid w:val="00672CA3"/>
    <w:rsid w:val="006773EC"/>
    <w:rsid w:val="0067781D"/>
    <w:rsid w:val="00680504"/>
    <w:rsid w:val="00680894"/>
    <w:rsid w:val="00681CD9"/>
    <w:rsid w:val="00682EBE"/>
    <w:rsid w:val="00683E30"/>
    <w:rsid w:val="00687024"/>
    <w:rsid w:val="00695E22"/>
    <w:rsid w:val="006970B9"/>
    <w:rsid w:val="00697385"/>
    <w:rsid w:val="006A14A8"/>
    <w:rsid w:val="006A2AF3"/>
    <w:rsid w:val="006A7B16"/>
    <w:rsid w:val="006B1B9B"/>
    <w:rsid w:val="006B1BAB"/>
    <w:rsid w:val="006B5282"/>
    <w:rsid w:val="006B6108"/>
    <w:rsid w:val="006B6602"/>
    <w:rsid w:val="006B7093"/>
    <w:rsid w:val="006B7417"/>
    <w:rsid w:val="006B7E77"/>
    <w:rsid w:val="006C1A56"/>
    <w:rsid w:val="006C2289"/>
    <w:rsid w:val="006C4DE6"/>
    <w:rsid w:val="006C7E13"/>
    <w:rsid w:val="006D2CD0"/>
    <w:rsid w:val="006D2D69"/>
    <w:rsid w:val="006D31F9"/>
    <w:rsid w:val="006D3691"/>
    <w:rsid w:val="006D3AFC"/>
    <w:rsid w:val="006D4297"/>
    <w:rsid w:val="006E2C0A"/>
    <w:rsid w:val="006E5EF0"/>
    <w:rsid w:val="006F0075"/>
    <w:rsid w:val="006F018A"/>
    <w:rsid w:val="006F11B2"/>
    <w:rsid w:val="006F1ED0"/>
    <w:rsid w:val="006F3117"/>
    <w:rsid w:val="006F3563"/>
    <w:rsid w:val="006F42B9"/>
    <w:rsid w:val="006F5ECC"/>
    <w:rsid w:val="006F6103"/>
    <w:rsid w:val="006F6538"/>
    <w:rsid w:val="00703336"/>
    <w:rsid w:val="0070347E"/>
    <w:rsid w:val="00704834"/>
    <w:rsid w:val="00704E00"/>
    <w:rsid w:val="0071376B"/>
    <w:rsid w:val="007149DA"/>
    <w:rsid w:val="00714E57"/>
    <w:rsid w:val="00714E9C"/>
    <w:rsid w:val="007151ED"/>
    <w:rsid w:val="00716A64"/>
    <w:rsid w:val="007209E7"/>
    <w:rsid w:val="007218F8"/>
    <w:rsid w:val="00724F31"/>
    <w:rsid w:val="00726182"/>
    <w:rsid w:val="00727635"/>
    <w:rsid w:val="00732329"/>
    <w:rsid w:val="007337CA"/>
    <w:rsid w:val="00734CE4"/>
    <w:rsid w:val="00735123"/>
    <w:rsid w:val="00735583"/>
    <w:rsid w:val="00741837"/>
    <w:rsid w:val="00741C0E"/>
    <w:rsid w:val="00744CAD"/>
    <w:rsid w:val="007453E6"/>
    <w:rsid w:val="00745EB5"/>
    <w:rsid w:val="0075060C"/>
    <w:rsid w:val="00754789"/>
    <w:rsid w:val="00755FF1"/>
    <w:rsid w:val="00760A52"/>
    <w:rsid w:val="007631CF"/>
    <w:rsid w:val="00763693"/>
    <w:rsid w:val="00763D6A"/>
    <w:rsid w:val="00764939"/>
    <w:rsid w:val="00765D0E"/>
    <w:rsid w:val="00766110"/>
    <w:rsid w:val="007703F7"/>
    <w:rsid w:val="00770453"/>
    <w:rsid w:val="0077092E"/>
    <w:rsid w:val="007728EE"/>
    <w:rsid w:val="0077309D"/>
    <w:rsid w:val="007774EE"/>
    <w:rsid w:val="00781822"/>
    <w:rsid w:val="00783F21"/>
    <w:rsid w:val="00786AE0"/>
    <w:rsid w:val="00787159"/>
    <w:rsid w:val="007879AF"/>
    <w:rsid w:val="0079043A"/>
    <w:rsid w:val="00790558"/>
    <w:rsid w:val="007909E3"/>
    <w:rsid w:val="00791612"/>
    <w:rsid w:val="00791668"/>
    <w:rsid w:val="00791AA1"/>
    <w:rsid w:val="00791F2C"/>
    <w:rsid w:val="00792B1F"/>
    <w:rsid w:val="0079771F"/>
    <w:rsid w:val="007A0E84"/>
    <w:rsid w:val="007A3793"/>
    <w:rsid w:val="007B5266"/>
    <w:rsid w:val="007B6B7A"/>
    <w:rsid w:val="007C1BA2"/>
    <w:rsid w:val="007C2B48"/>
    <w:rsid w:val="007C4FB7"/>
    <w:rsid w:val="007C53BD"/>
    <w:rsid w:val="007D20E9"/>
    <w:rsid w:val="007D2F48"/>
    <w:rsid w:val="007D363D"/>
    <w:rsid w:val="007D7881"/>
    <w:rsid w:val="007D7E3A"/>
    <w:rsid w:val="007E0E10"/>
    <w:rsid w:val="007E2A00"/>
    <w:rsid w:val="007E45AD"/>
    <w:rsid w:val="007E4768"/>
    <w:rsid w:val="007E5433"/>
    <w:rsid w:val="007E6847"/>
    <w:rsid w:val="007E777B"/>
    <w:rsid w:val="007F2070"/>
    <w:rsid w:val="007F22E9"/>
    <w:rsid w:val="007F63C1"/>
    <w:rsid w:val="007F66F2"/>
    <w:rsid w:val="007F7BD9"/>
    <w:rsid w:val="00800041"/>
    <w:rsid w:val="00800043"/>
    <w:rsid w:val="00804997"/>
    <w:rsid w:val="00804E00"/>
    <w:rsid w:val="008053F5"/>
    <w:rsid w:val="00806440"/>
    <w:rsid w:val="008067AA"/>
    <w:rsid w:val="008070AA"/>
    <w:rsid w:val="00807AF7"/>
    <w:rsid w:val="00810198"/>
    <w:rsid w:val="0081045C"/>
    <w:rsid w:val="00814CC0"/>
    <w:rsid w:val="00815DA8"/>
    <w:rsid w:val="00817761"/>
    <w:rsid w:val="0082078C"/>
    <w:rsid w:val="0082194D"/>
    <w:rsid w:val="008221F9"/>
    <w:rsid w:val="00823893"/>
    <w:rsid w:val="008239A0"/>
    <w:rsid w:val="00823FF8"/>
    <w:rsid w:val="00826EF5"/>
    <w:rsid w:val="00827594"/>
    <w:rsid w:val="00831693"/>
    <w:rsid w:val="00833760"/>
    <w:rsid w:val="00835D6F"/>
    <w:rsid w:val="00836DFD"/>
    <w:rsid w:val="008373EA"/>
    <w:rsid w:val="00840104"/>
    <w:rsid w:val="0084017A"/>
    <w:rsid w:val="00840C1F"/>
    <w:rsid w:val="00840EEA"/>
    <w:rsid w:val="008411C9"/>
    <w:rsid w:val="00841FC5"/>
    <w:rsid w:val="0084293C"/>
    <w:rsid w:val="00843D0F"/>
    <w:rsid w:val="008451CF"/>
    <w:rsid w:val="00845709"/>
    <w:rsid w:val="00845D25"/>
    <w:rsid w:val="00847220"/>
    <w:rsid w:val="00852573"/>
    <w:rsid w:val="00854323"/>
    <w:rsid w:val="0085560B"/>
    <w:rsid w:val="008571FC"/>
    <w:rsid w:val="008576BD"/>
    <w:rsid w:val="00857B73"/>
    <w:rsid w:val="00860463"/>
    <w:rsid w:val="00872E93"/>
    <w:rsid w:val="00872EE1"/>
    <w:rsid w:val="008733DA"/>
    <w:rsid w:val="0087381C"/>
    <w:rsid w:val="00874B26"/>
    <w:rsid w:val="008809D0"/>
    <w:rsid w:val="00882605"/>
    <w:rsid w:val="008850E4"/>
    <w:rsid w:val="008859C2"/>
    <w:rsid w:val="00885D8C"/>
    <w:rsid w:val="0089296A"/>
    <w:rsid w:val="008939AB"/>
    <w:rsid w:val="00896C82"/>
    <w:rsid w:val="008A01F2"/>
    <w:rsid w:val="008A047B"/>
    <w:rsid w:val="008A12F5"/>
    <w:rsid w:val="008B1587"/>
    <w:rsid w:val="008B1B01"/>
    <w:rsid w:val="008B3BBE"/>
    <w:rsid w:val="008B3BCD"/>
    <w:rsid w:val="008B46F4"/>
    <w:rsid w:val="008B6DF8"/>
    <w:rsid w:val="008B7AF9"/>
    <w:rsid w:val="008C0A8B"/>
    <w:rsid w:val="008C106C"/>
    <w:rsid w:val="008C10F1"/>
    <w:rsid w:val="008C1926"/>
    <w:rsid w:val="008C1E99"/>
    <w:rsid w:val="008C1FFF"/>
    <w:rsid w:val="008C2D95"/>
    <w:rsid w:val="008C4CE7"/>
    <w:rsid w:val="008C58C5"/>
    <w:rsid w:val="008C69E4"/>
    <w:rsid w:val="008D2E56"/>
    <w:rsid w:val="008D32FC"/>
    <w:rsid w:val="008D6A8C"/>
    <w:rsid w:val="008E0085"/>
    <w:rsid w:val="008E2AA6"/>
    <w:rsid w:val="008E311B"/>
    <w:rsid w:val="008E3677"/>
    <w:rsid w:val="008E4A10"/>
    <w:rsid w:val="008E5B40"/>
    <w:rsid w:val="008E78DB"/>
    <w:rsid w:val="008F076B"/>
    <w:rsid w:val="008F0BDA"/>
    <w:rsid w:val="008F2FCF"/>
    <w:rsid w:val="008F46E7"/>
    <w:rsid w:val="008F4ECE"/>
    <w:rsid w:val="008F52C2"/>
    <w:rsid w:val="008F64CA"/>
    <w:rsid w:val="008F6F0B"/>
    <w:rsid w:val="008F7E4B"/>
    <w:rsid w:val="00900224"/>
    <w:rsid w:val="009015A2"/>
    <w:rsid w:val="00901A98"/>
    <w:rsid w:val="0090344C"/>
    <w:rsid w:val="00904EA6"/>
    <w:rsid w:val="00907BA7"/>
    <w:rsid w:val="0091064E"/>
    <w:rsid w:val="00911FC5"/>
    <w:rsid w:val="009134F2"/>
    <w:rsid w:val="00915F79"/>
    <w:rsid w:val="00916A99"/>
    <w:rsid w:val="0091798D"/>
    <w:rsid w:val="009204C4"/>
    <w:rsid w:val="00930495"/>
    <w:rsid w:val="00931A10"/>
    <w:rsid w:val="00940940"/>
    <w:rsid w:val="009471C8"/>
    <w:rsid w:val="00947967"/>
    <w:rsid w:val="00950075"/>
    <w:rsid w:val="00950D23"/>
    <w:rsid w:val="00954737"/>
    <w:rsid w:val="00955201"/>
    <w:rsid w:val="00960B22"/>
    <w:rsid w:val="00962213"/>
    <w:rsid w:val="009624FD"/>
    <w:rsid w:val="00962D64"/>
    <w:rsid w:val="00965200"/>
    <w:rsid w:val="009668B3"/>
    <w:rsid w:val="00971471"/>
    <w:rsid w:val="009753C1"/>
    <w:rsid w:val="00977950"/>
    <w:rsid w:val="00982445"/>
    <w:rsid w:val="00983E7E"/>
    <w:rsid w:val="009845B6"/>
    <w:rsid w:val="009849C2"/>
    <w:rsid w:val="00984D24"/>
    <w:rsid w:val="009858EB"/>
    <w:rsid w:val="00990FE1"/>
    <w:rsid w:val="009A02C5"/>
    <w:rsid w:val="009A2CF5"/>
    <w:rsid w:val="009A3F47"/>
    <w:rsid w:val="009A4437"/>
    <w:rsid w:val="009A4EDD"/>
    <w:rsid w:val="009A519B"/>
    <w:rsid w:val="009A6C0F"/>
    <w:rsid w:val="009B0046"/>
    <w:rsid w:val="009B13A0"/>
    <w:rsid w:val="009B33F1"/>
    <w:rsid w:val="009C1440"/>
    <w:rsid w:val="009C2107"/>
    <w:rsid w:val="009C5D9E"/>
    <w:rsid w:val="009C6F48"/>
    <w:rsid w:val="009D2C3E"/>
    <w:rsid w:val="009D2C4E"/>
    <w:rsid w:val="009D3997"/>
    <w:rsid w:val="009E0625"/>
    <w:rsid w:val="009E0EC2"/>
    <w:rsid w:val="009E1E9B"/>
    <w:rsid w:val="009E3034"/>
    <w:rsid w:val="009E549F"/>
    <w:rsid w:val="009E684E"/>
    <w:rsid w:val="009E71C0"/>
    <w:rsid w:val="009E77C4"/>
    <w:rsid w:val="009F170D"/>
    <w:rsid w:val="009F28A8"/>
    <w:rsid w:val="009F473E"/>
    <w:rsid w:val="009F5247"/>
    <w:rsid w:val="009F682A"/>
    <w:rsid w:val="00A00D69"/>
    <w:rsid w:val="00A01072"/>
    <w:rsid w:val="00A01F9A"/>
    <w:rsid w:val="00A022BE"/>
    <w:rsid w:val="00A04AA9"/>
    <w:rsid w:val="00A0644B"/>
    <w:rsid w:val="00A06C5E"/>
    <w:rsid w:val="00A0763C"/>
    <w:rsid w:val="00A07B4B"/>
    <w:rsid w:val="00A10CC0"/>
    <w:rsid w:val="00A12C5C"/>
    <w:rsid w:val="00A1403A"/>
    <w:rsid w:val="00A14305"/>
    <w:rsid w:val="00A14E78"/>
    <w:rsid w:val="00A2041B"/>
    <w:rsid w:val="00A21ABF"/>
    <w:rsid w:val="00A236E3"/>
    <w:rsid w:val="00A24875"/>
    <w:rsid w:val="00A24C95"/>
    <w:rsid w:val="00A24D9C"/>
    <w:rsid w:val="00A2599A"/>
    <w:rsid w:val="00A26094"/>
    <w:rsid w:val="00A27657"/>
    <w:rsid w:val="00A301BF"/>
    <w:rsid w:val="00A302B2"/>
    <w:rsid w:val="00A3194D"/>
    <w:rsid w:val="00A32914"/>
    <w:rsid w:val="00A331B4"/>
    <w:rsid w:val="00A3484E"/>
    <w:rsid w:val="00A351E9"/>
    <w:rsid w:val="00A356D3"/>
    <w:rsid w:val="00A35F43"/>
    <w:rsid w:val="00A36ADA"/>
    <w:rsid w:val="00A370A6"/>
    <w:rsid w:val="00A37C4D"/>
    <w:rsid w:val="00A41F8B"/>
    <w:rsid w:val="00A438D8"/>
    <w:rsid w:val="00A43B0B"/>
    <w:rsid w:val="00A44B26"/>
    <w:rsid w:val="00A45839"/>
    <w:rsid w:val="00A473F5"/>
    <w:rsid w:val="00A51F9D"/>
    <w:rsid w:val="00A53371"/>
    <w:rsid w:val="00A5416A"/>
    <w:rsid w:val="00A57236"/>
    <w:rsid w:val="00A616B2"/>
    <w:rsid w:val="00A62CF1"/>
    <w:rsid w:val="00A639F4"/>
    <w:rsid w:val="00A648C5"/>
    <w:rsid w:val="00A65864"/>
    <w:rsid w:val="00A65BEF"/>
    <w:rsid w:val="00A65FAE"/>
    <w:rsid w:val="00A660D2"/>
    <w:rsid w:val="00A70C10"/>
    <w:rsid w:val="00A71C50"/>
    <w:rsid w:val="00A72042"/>
    <w:rsid w:val="00A75930"/>
    <w:rsid w:val="00A81A32"/>
    <w:rsid w:val="00A835BD"/>
    <w:rsid w:val="00A86116"/>
    <w:rsid w:val="00A865F7"/>
    <w:rsid w:val="00A90071"/>
    <w:rsid w:val="00A927C6"/>
    <w:rsid w:val="00A92A4C"/>
    <w:rsid w:val="00A93800"/>
    <w:rsid w:val="00A94EC0"/>
    <w:rsid w:val="00A96364"/>
    <w:rsid w:val="00A97B15"/>
    <w:rsid w:val="00AA01EB"/>
    <w:rsid w:val="00AA18F4"/>
    <w:rsid w:val="00AA209E"/>
    <w:rsid w:val="00AA29CE"/>
    <w:rsid w:val="00AA42D5"/>
    <w:rsid w:val="00AA6308"/>
    <w:rsid w:val="00AB2A66"/>
    <w:rsid w:val="00AB2FAB"/>
    <w:rsid w:val="00AB434F"/>
    <w:rsid w:val="00AB5C14"/>
    <w:rsid w:val="00AB6700"/>
    <w:rsid w:val="00AC1EE7"/>
    <w:rsid w:val="00AC333F"/>
    <w:rsid w:val="00AC585C"/>
    <w:rsid w:val="00AC73FE"/>
    <w:rsid w:val="00AD1925"/>
    <w:rsid w:val="00AD1CAB"/>
    <w:rsid w:val="00AD2DC7"/>
    <w:rsid w:val="00AD33F5"/>
    <w:rsid w:val="00AD36FD"/>
    <w:rsid w:val="00AD5EDA"/>
    <w:rsid w:val="00AD7FB4"/>
    <w:rsid w:val="00AE067D"/>
    <w:rsid w:val="00AE49C4"/>
    <w:rsid w:val="00AF0D69"/>
    <w:rsid w:val="00AF1181"/>
    <w:rsid w:val="00AF2F79"/>
    <w:rsid w:val="00AF3EBE"/>
    <w:rsid w:val="00AF4653"/>
    <w:rsid w:val="00AF6CAE"/>
    <w:rsid w:val="00AF70EA"/>
    <w:rsid w:val="00AF7DB7"/>
    <w:rsid w:val="00B05A73"/>
    <w:rsid w:val="00B10D02"/>
    <w:rsid w:val="00B159D0"/>
    <w:rsid w:val="00B16AEC"/>
    <w:rsid w:val="00B16CE2"/>
    <w:rsid w:val="00B20192"/>
    <w:rsid w:val="00B201E2"/>
    <w:rsid w:val="00B30311"/>
    <w:rsid w:val="00B3081B"/>
    <w:rsid w:val="00B30DE6"/>
    <w:rsid w:val="00B33324"/>
    <w:rsid w:val="00B338D6"/>
    <w:rsid w:val="00B352EC"/>
    <w:rsid w:val="00B37EBC"/>
    <w:rsid w:val="00B42C03"/>
    <w:rsid w:val="00B4365E"/>
    <w:rsid w:val="00B443E4"/>
    <w:rsid w:val="00B468FC"/>
    <w:rsid w:val="00B5484D"/>
    <w:rsid w:val="00B5499D"/>
    <w:rsid w:val="00B54EAD"/>
    <w:rsid w:val="00B563EA"/>
    <w:rsid w:val="00B568A4"/>
    <w:rsid w:val="00B56CDF"/>
    <w:rsid w:val="00B57C1C"/>
    <w:rsid w:val="00B60E51"/>
    <w:rsid w:val="00B62C79"/>
    <w:rsid w:val="00B62CFF"/>
    <w:rsid w:val="00B63A54"/>
    <w:rsid w:val="00B7130D"/>
    <w:rsid w:val="00B72D4A"/>
    <w:rsid w:val="00B738DF"/>
    <w:rsid w:val="00B746C6"/>
    <w:rsid w:val="00B77D18"/>
    <w:rsid w:val="00B80B00"/>
    <w:rsid w:val="00B8313A"/>
    <w:rsid w:val="00B9309B"/>
    <w:rsid w:val="00B93503"/>
    <w:rsid w:val="00B95412"/>
    <w:rsid w:val="00B95A5C"/>
    <w:rsid w:val="00B95ABB"/>
    <w:rsid w:val="00B97478"/>
    <w:rsid w:val="00BA31E8"/>
    <w:rsid w:val="00BA503C"/>
    <w:rsid w:val="00BA55E0"/>
    <w:rsid w:val="00BA642D"/>
    <w:rsid w:val="00BA6BD4"/>
    <w:rsid w:val="00BA6C7A"/>
    <w:rsid w:val="00BB17D1"/>
    <w:rsid w:val="00BB3752"/>
    <w:rsid w:val="00BB6688"/>
    <w:rsid w:val="00BB67ED"/>
    <w:rsid w:val="00BB73E0"/>
    <w:rsid w:val="00BC26D4"/>
    <w:rsid w:val="00BC44BA"/>
    <w:rsid w:val="00BC567B"/>
    <w:rsid w:val="00BD33DE"/>
    <w:rsid w:val="00BD45B0"/>
    <w:rsid w:val="00BE0C3F"/>
    <w:rsid w:val="00BE0C80"/>
    <w:rsid w:val="00BE2F8E"/>
    <w:rsid w:val="00BE5715"/>
    <w:rsid w:val="00BE7B20"/>
    <w:rsid w:val="00BF1392"/>
    <w:rsid w:val="00BF2A42"/>
    <w:rsid w:val="00BF3190"/>
    <w:rsid w:val="00BF59C4"/>
    <w:rsid w:val="00BF7619"/>
    <w:rsid w:val="00C00963"/>
    <w:rsid w:val="00C03D8C"/>
    <w:rsid w:val="00C055EC"/>
    <w:rsid w:val="00C0735B"/>
    <w:rsid w:val="00C10DC9"/>
    <w:rsid w:val="00C12FB3"/>
    <w:rsid w:val="00C1455A"/>
    <w:rsid w:val="00C14DDB"/>
    <w:rsid w:val="00C15D6E"/>
    <w:rsid w:val="00C15F91"/>
    <w:rsid w:val="00C17341"/>
    <w:rsid w:val="00C22500"/>
    <w:rsid w:val="00C2386C"/>
    <w:rsid w:val="00C24EEF"/>
    <w:rsid w:val="00C25CF6"/>
    <w:rsid w:val="00C26C36"/>
    <w:rsid w:val="00C304FE"/>
    <w:rsid w:val="00C32347"/>
    <w:rsid w:val="00C32768"/>
    <w:rsid w:val="00C37A47"/>
    <w:rsid w:val="00C37D50"/>
    <w:rsid w:val="00C40255"/>
    <w:rsid w:val="00C4315E"/>
    <w:rsid w:val="00C431DF"/>
    <w:rsid w:val="00C450AA"/>
    <w:rsid w:val="00C456BD"/>
    <w:rsid w:val="00C460B3"/>
    <w:rsid w:val="00C530DC"/>
    <w:rsid w:val="00C5350D"/>
    <w:rsid w:val="00C55291"/>
    <w:rsid w:val="00C55619"/>
    <w:rsid w:val="00C6123C"/>
    <w:rsid w:val="00C6311A"/>
    <w:rsid w:val="00C703FE"/>
    <w:rsid w:val="00C7084D"/>
    <w:rsid w:val="00C72B80"/>
    <w:rsid w:val="00C7315E"/>
    <w:rsid w:val="00C73A83"/>
    <w:rsid w:val="00C73EA2"/>
    <w:rsid w:val="00C75895"/>
    <w:rsid w:val="00C83C9F"/>
    <w:rsid w:val="00C86DBF"/>
    <w:rsid w:val="00C8723A"/>
    <w:rsid w:val="00C90189"/>
    <w:rsid w:val="00C92830"/>
    <w:rsid w:val="00C92CB4"/>
    <w:rsid w:val="00C934D9"/>
    <w:rsid w:val="00C94519"/>
    <w:rsid w:val="00C94840"/>
    <w:rsid w:val="00C9749B"/>
    <w:rsid w:val="00CA1668"/>
    <w:rsid w:val="00CA2DE3"/>
    <w:rsid w:val="00CA4034"/>
    <w:rsid w:val="00CA4EE3"/>
    <w:rsid w:val="00CA50BF"/>
    <w:rsid w:val="00CA5615"/>
    <w:rsid w:val="00CA6568"/>
    <w:rsid w:val="00CA7E72"/>
    <w:rsid w:val="00CB027F"/>
    <w:rsid w:val="00CB20CD"/>
    <w:rsid w:val="00CB3BD4"/>
    <w:rsid w:val="00CC0EBB"/>
    <w:rsid w:val="00CC19B8"/>
    <w:rsid w:val="00CC20F0"/>
    <w:rsid w:val="00CC3597"/>
    <w:rsid w:val="00CC56E6"/>
    <w:rsid w:val="00CC6297"/>
    <w:rsid w:val="00CC7690"/>
    <w:rsid w:val="00CC76DE"/>
    <w:rsid w:val="00CC782B"/>
    <w:rsid w:val="00CD1986"/>
    <w:rsid w:val="00CD54BF"/>
    <w:rsid w:val="00CD76F0"/>
    <w:rsid w:val="00CE2D09"/>
    <w:rsid w:val="00CE49CE"/>
    <w:rsid w:val="00CE4D5C"/>
    <w:rsid w:val="00CE5E71"/>
    <w:rsid w:val="00CF05DA"/>
    <w:rsid w:val="00CF58EB"/>
    <w:rsid w:val="00CF6FEC"/>
    <w:rsid w:val="00CF79B6"/>
    <w:rsid w:val="00CF7DB4"/>
    <w:rsid w:val="00D0106E"/>
    <w:rsid w:val="00D02212"/>
    <w:rsid w:val="00D04122"/>
    <w:rsid w:val="00D04219"/>
    <w:rsid w:val="00D0465E"/>
    <w:rsid w:val="00D049E1"/>
    <w:rsid w:val="00D06383"/>
    <w:rsid w:val="00D1386C"/>
    <w:rsid w:val="00D14A2C"/>
    <w:rsid w:val="00D1509B"/>
    <w:rsid w:val="00D20D26"/>
    <w:rsid w:val="00D20D6B"/>
    <w:rsid w:val="00D20E85"/>
    <w:rsid w:val="00D21F2B"/>
    <w:rsid w:val="00D23168"/>
    <w:rsid w:val="00D24615"/>
    <w:rsid w:val="00D2535B"/>
    <w:rsid w:val="00D25519"/>
    <w:rsid w:val="00D26A63"/>
    <w:rsid w:val="00D31B09"/>
    <w:rsid w:val="00D35476"/>
    <w:rsid w:val="00D36C85"/>
    <w:rsid w:val="00D37842"/>
    <w:rsid w:val="00D42792"/>
    <w:rsid w:val="00D42DC2"/>
    <w:rsid w:val="00D4302B"/>
    <w:rsid w:val="00D432CE"/>
    <w:rsid w:val="00D44A72"/>
    <w:rsid w:val="00D51AA4"/>
    <w:rsid w:val="00D537E1"/>
    <w:rsid w:val="00D54743"/>
    <w:rsid w:val="00D55BB2"/>
    <w:rsid w:val="00D55EE5"/>
    <w:rsid w:val="00D6091A"/>
    <w:rsid w:val="00D634D6"/>
    <w:rsid w:val="00D6447C"/>
    <w:rsid w:val="00D6466B"/>
    <w:rsid w:val="00D6605A"/>
    <w:rsid w:val="00D66073"/>
    <w:rsid w:val="00D6695F"/>
    <w:rsid w:val="00D66BFA"/>
    <w:rsid w:val="00D678AB"/>
    <w:rsid w:val="00D71EEC"/>
    <w:rsid w:val="00D74619"/>
    <w:rsid w:val="00D7541B"/>
    <w:rsid w:val="00D75644"/>
    <w:rsid w:val="00D758E6"/>
    <w:rsid w:val="00D81656"/>
    <w:rsid w:val="00D83D87"/>
    <w:rsid w:val="00D84A6D"/>
    <w:rsid w:val="00D86A30"/>
    <w:rsid w:val="00D91354"/>
    <w:rsid w:val="00D926DB"/>
    <w:rsid w:val="00D92CA0"/>
    <w:rsid w:val="00D9388B"/>
    <w:rsid w:val="00D975E2"/>
    <w:rsid w:val="00D97CB4"/>
    <w:rsid w:val="00D97DD4"/>
    <w:rsid w:val="00DA0EEE"/>
    <w:rsid w:val="00DA1B8F"/>
    <w:rsid w:val="00DA327B"/>
    <w:rsid w:val="00DA5A8A"/>
    <w:rsid w:val="00DA78E5"/>
    <w:rsid w:val="00DB0061"/>
    <w:rsid w:val="00DB0F42"/>
    <w:rsid w:val="00DB1170"/>
    <w:rsid w:val="00DB2278"/>
    <w:rsid w:val="00DB26CD"/>
    <w:rsid w:val="00DB441C"/>
    <w:rsid w:val="00DB44AF"/>
    <w:rsid w:val="00DB775F"/>
    <w:rsid w:val="00DC1F58"/>
    <w:rsid w:val="00DC339B"/>
    <w:rsid w:val="00DC5D40"/>
    <w:rsid w:val="00DC612D"/>
    <w:rsid w:val="00DC69A7"/>
    <w:rsid w:val="00DD2A07"/>
    <w:rsid w:val="00DD307E"/>
    <w:rsid w:val="00DD30E9"/>
    <w:rsid w:val="00DD4F47"/>
    <w:rsid w:val="00DD6E45"/>
    <w:rsid w:val="00DD7FBB"/>
    <w:rsid w:val="00DE0B9F"/>
    <w:rsid w:val="00DE1372"/>
    <w:rsid w:val="00DE2A9E"/>
    <w:rsid w:val="00DE4238"/>
    <w:rsid w:val="00DE4C6F"/>
    <w:rsid w:val="00DE4E51"/>
    <w:rsid w:val="00DE657F"/>
    <w:rsid w:val="00DE6833"/>
    <w:rsid w:val="00DE7479"/>
    <w:rsid w:val="00DF0E5D"/>
    <w:rsid w:val="00DF1218"/>
    <w:rsid w:val="00DF1E8F"/>
    <w:rsid w:val="00DF1EA1"/>
    <w:rsid w:val="00DF2D8F"/>
    <w:rsid w:val="00DF45B2"/>
    <w:rsid w:val="00DF5BE3"/>
    <w:rsid w:val="00DF6462"/>
    <w:rsid w:val="00E00D46"/>
    <w:rsid w:val="00E01E88"/>
    <w:rsid w:val="00E02FA0"/>
    <w:rsid w:val="00E036DC"/>
    <w:rsid w:val="00E03CC0"/>
    <w:rsid w:val="00E04687"/>
    <w:rsid w:val="00E05BA2"/>
    <w:rsid w:val="00E10454"/>
    <w:rsid w:val="00E112E5"/>
    <w:rsid w:val="00E122D8"/>
    <w:rsid w:val="00E12850"/>
    <w:rsid w:val="00E12CC8"/>
    <w:rsid w:val="00E15352"/>
    <w:rsid w:val="00E15C70"/>
    <w:rsid w:val="00E21CC7"/>
    <w:rsid w:val="00E227CE"/>
    <w:rsid w:val="00E24D9E"/>
    <w:rsid w:val="00E25849"/>
    <w:rsid w:val="00E318C6"/>
    <w:rsid w:val="00E3197E"/>
    <w:rsid w:val="00E342F8"/>
    <w:rsid w:val="00E351ED"/>
    <w:rsid w:val="00E358FA"/>
    <w:rsid w:val="00E35AA6"/>
    <w:rsid w:val="00E40487"/>
    <w:rsid w:val="00E4156E"/>
    <w:rsid w:val="00E421F0"/>
    <w:rsid w:val="00E42B19"/>
    <w:rsid w:val="00E43499"/>
    <w:rsid w:val="00E44DA5"/>
    <w:rsid w:val="00E45307"/>
    <w:rsid w:val="00E51331"/>
    <w:rsid w:val="00E55F7E"/>
    <w:rsid w:val="00E56022"/>
    <w:rsid w:val="00E6034B"/>
    <w:rsid w:val="00E63329"/>
    <w:rsid w:val="00E63E06"/>
    <w:rsid w:val="00E6549E"/>
    <w:rsid w:val="00E65EDE"/>
    <w:rsid w:val="00E6621B"/>
    <w:rsid w:val="00E67080"/>
    <w:rsid w:val="00E67B94"/>
    <w:rsid w:val="00E67F8E"/>
    <w:rsid w:val="00E70F81"/>
    <w:rsid w:val="00E71DBC"/>
    <w:rsid w:val="00E7411D"/>
    <w:rsid w:val="00E752D8"/>
    <w:rsid w:val="00E77055"/>
    <w:rsid w:val="00E77460"/>
    <w:rsid w:val="00E83ABC"/>
    <w:rsid w:val="00E844F2"/>
    <w:rsid w:val="00E847FC"/>
    <w:rsid w:val="00E86AAB"/>
    <w:rsid w:val="00E87FBA"/>
    <w:rsid w:val="00E90AD0"/>
    <w:rsid w:val="00E92EC8"/>
    <w:rsid w:val="00E92FCB"/>
    <w:rsid w:val="00E93236"/>
    <w:rsid w:val="00E94D63"/>
    <w:rsid w:val="00E94FA6"/>
    <w:rsid w:val="00EA147F"/>
    <w:rsid w:val="00EA2565"/>
    <w:rsid w:val="00EA4A27"/>
    <w:rsid w:val="00EA4FA6"/>
    <w:rsid w:val="00EA5554"/>
    <w:rsid w:val="00EA6A1F"/>
    <w:rsid w:val="00EB012B"/>
    <w:rsid w:val="00EB1A25"/>
    <w:rsid w:val="00EB7903"/>
    <w:rsid w:val="00EC0CBB"/>
    <w:rsid w:val="00EC36FF"/>
    <w:rsid w:val="00EC610F"/>
    <w:rsid w:val="00EC7363"/>
    <w:rsid w:val="00ED03AB"/>
    <w:rsid w:val="00ED1963"/>
    <w:rsid w:val="00ED1CD4"/>
    <w:rsid w:val="00ED1D2B"/>
    <w:rsid w:val="00ED64B5"/>
    <w:rsid w:val="00ED6A0A"/>
    <w:rsid w:val="00ED6D1D"/>
    <w:rsid w:val="00ED78DC"/>
    <w:rsid w:val="00EE19AB"/>
    <w:rsid w:val="00EE3196"/>
    <w:rsid w:val="00EE470D"/>
    <w:rsid w:val="00EE7CCA"/>
    <w:rsid w:val="00EF065E"/>
    <w:rsid w:val="00EF2273"/>
    <w:rsid w:val="00EF3D65"/>
    <w:rsid w:val="00EF614B"/>
    <w:rsid w:val="00F014A0"/>
    <w:rsid w:val="00F01916"/>
    <w:rsid w:val="00F02956"/>
    <w:rsid w:val="00F06E53"/>
    <w:rsid w:val="00F07F82"/>
    <w:rsid w:val="00F11AA0"/>
    <w:rsid w:val="00F14731"/>
    <w:rsid w:val="00F16A14"/>
    <w:rsid w:val="00F17C4E"/>
    <w:rsid w:val="00F20EEE"/>
    <w:rsid w:val="00F21834"/>
    <w:rsid w:val="00F220C0"/>
    <w:rsid w:val="00F23773"/>
    <w:rsid w:val="00F246E9"/>
    <w:rsid w:val="00F3131C"/>
    <w:rsid w:val="00F34D24"/>
    <w:rsid w:val="00F3584E"/>
    <w:rsid w:val="00F35C12"/>
    <w:rsid w:val="00F362D7"/>
    <w:rsid w:val="00F37D7B"/>
    <w:rsid w:val="00F43A24"/>
    <w:rsid w:val="00F5314C"/>
    <w:rsid w:val="00F53F6F"/>
    <w:rsid w:val="00F541DF"/>
    <w:rsid w:val="00F5688C"/>
    <w:rsid w:val="00F60048"/>
    <w:rsid w:val="00F62A43"/>
    <w:rsid w:val="00F635DD"/>
    <w:rsid w:val="00F63823"/>
    <w:rsid w:val="00F6627B"/>
    <w:rsid w:val="00F70373"/>
    <w:rsid w:val="00F7297D"/>
    <w:rsid w:val="00F72E0E"/>
    <w:rsid w:val="00F7336E"/>
    <w:rsid w:val="00F734F2"/>
    <w:rsid w:val="00F74D8D"/>
    <w:rsid w:val="00F75052"/>
    <w:rsid w:val="00F7756C"/>
    <w:rsid w:val="00F77A4C"/>
    <w:rsid w:val="00F804D3"/>
    <w:rsid w:val="00F816CB"/>
    <w:rsid w:val="00F81A6A"/>
    <w:rsid w:val="00F81CD2"/>
    <w:rsid w:val="00F82641"/>
    <w:rsid w:val="00F82AC7"/>
    <w:rsid w:val="00F83352"/>
    <w:rsid w:val="00F852D2"/>
    <w:rsid w:val="00F86830"/>
    <w:rsid w:val="00F90F18"/>
    <w:rsid w:val="00F937E4"/>
    <w:rsid w:val="00F95EE7"/>
    <w:rsid w:val="00FA05D9"/>
    <w:rsid w:val="00FA1750"/>
    <w:rsid w:val="00FA39E6"/>
    <w:rsid w:val="00FA45E2"/>
    <w:rsid w:val="00FA49A4"/>
    <w:rsid w:val="00FA5B71"/>
    <w:rsid w:val="00FA6F69"/>
    <w:rsid w:val="00FA7A1C"/>
    <w:rsid w:val="00FA7BC9"/>
    <w:rsid w:val="00FB378E"/>
    <w:rsid w:val="00FB37F1"/>
    <w:rsid w:val="00FB47C0"/>
    <w:rsid w:val="00FB501B"/>
    <w:rsid w:val="00FB719A"/>
    <w:rsid w:val="00FB7770"/>
    <w:rsid w:val="00FC0224"/>
    <w:rsid w:val="00FC21F1"/>
    <w:rsid w:val="00FC23D7"/>
    <w:rsid w:val="00FC29AE"/>
    <w:rsid w:val="00FC2EF9"/>
    <w:rsid w:val="00FC6B12"/>
    <w:rsid w:val="00FC7995"/>
    <w:rsid w:val="00FD33B5"/>
    <w:rsid w:val="00FD3B91"/>
    <w:rsid w:val="00FD576B"/>
    <w:rsid w:val="00FD579E"/>
    <w:rsid w:val="00FD6712"/>
    <w:rsid w:val="00FD6845"/>
    <w:rsid w:val="00FD7DA6"/>
    <w:rsid w:val="00FE0CCE"/>
    <w:rsid w:val="00FE392F"/>
    <w:rsid w:val="00FE3ACF"/>
    <w:rsid w:val="00FE4516"/>
    <w:rsid w:val="00FE64C8"/>
    <w:rsid w:val="00FE691E"/>
    <w:rsid w:val="00FE6DF4"/>
    <w:rsid w:val="00FE7B5D"/>
    <w:rsid w:val="00FF1822"/>
    <w:rsid w:val="00FF299F"/>
    <w:rsid w:val="00FF2D3A"/>
    <w:rsid w:val="00FF525E"/>
    <w:rsid w:val="00FF5E80"/>
    <w:rsid w:val="00FF72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6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link w:val="30"/>
    <w:qFormat/>
    <w:rsid w:val="00FE691E"/>
    <w:pPr>
      <w:numPr>
        <w:ilvl w:val="2"/>
        <w:numId w:val="25"/>
      </w:numPr>
      <w:ind w:left="1361"/>
      <w:outlineLvl w:val="2"/>
    </w:pPr>
    <w:rPr>
      <w:rFonts w:hAnsi="Arial"/>
      <w:bCs/>
      <w:kern w:val="32"/>
      <w:szCs w:val="36"/>
    </w:rPr>
  </w:style>
  <w:style w:type="paragraph" w:styleId="4">
    <w:name w:val="heading 4"/>
    <w:basedOn w:val="a6"/>
    <w:link w:val="40"/>
    <w:qFormat/>
    <w:rsid w:val="008E5B40"/>
    <w:pPr>
      <w:numPr>
        <w:ilvl w:val="3"/>
        <w:numId w:val="25"/>
      </w:numPr>
      <w:ind w:left="1701"/>
      <w:outlineLvl w:val="3"/>
    </w:pPr>
    <w:rPr>
      <w:rFonts w:hAnsi="Arial"/>
      <w:kern w:val="32"/>
      <w:szCs w:val="36"/>
    </w:rPr>
  </w:style>
  <w:style w:type="paragraph" w:styleId="5">
    <w:name w:val="heading 5"/>
    <w:basedOn w:val="a6"/>
    <w:qFormat/>
    <w:rsid w:val="008E5B40"/>
    <w:pPr>
      <w:numPr>
        <w:ilvl w:val="4"/>
        <w:numId w:val="25"/>
      </w:numPr>
      <w:outlineLvl w:val="4"/>
    </w:pPr>
    <w:rPr>
      <w:rFonts w:hAnsi="Arial"/>
      <w:bCs/>
      <w:kern w:val="32"/>
      <w:szCs w:val="36"/>
    </w:rPr>
  </w:style>
  <w:style w:type="paragraph" w:styleId="6">
    <w:name w:val="heading 6"/>
    <w:basedOn w:val="a6"/>
    <w:qFormat/>
    <w:rsid w:val="008E5B40"/>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aliases w:val="¸Ô²Ó»¡©ú,²M³æ¬q¸¨11,ªí®æ²M³æ,1,³ü¡B¤º¤å,²M³æ¬q¸¨1"/>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customStyle="1" w:styleId="Default">
    <w:name w:val="Default"/>
    <w:rsid w:val="000110D5"/>
    <w:pPr>
      <w:widowControl w:val="0"/>
      <w:autoSpaceDE w:val="0"/>
      <w:autoSpaceDN w:val="0"/>
      <w:adjustRightInd w:val="0"/>
    </w:pPr>
    <w:rPr>
      <w:rFonts w:ascii="標楷體" w:eastAsia="標楷體" w:cs="標楷體"/>
      <w:color w:val="000000"/>
      <w:sz w:val="24"/>
      <w:szCs w:val="24"/>
    </w:rPr>
  </w:style>
  <w:style w:type="paragraph" w:styleId="afc">
    <w:name w:val="footnote text"/>
    <w:basedOn w:val="a6"/>
    <w:link w:val="afd"/>
    <w:uiPriority w:val="99"/>
    <w:semiHidden/>
    <w:unhideWhenUsed/>
    <w:rsid w:val="00325238"/>
    <w:pPr>
      <w:snapToGrid w:val="0"/>
      <w:jc w:val="left"/>
    </w:pPr>
    <w:rPr>
      <w:sz w:val="20"/>
    </w:rPr>
  </w:style>
  <w:style w:type="character" w:customStyle="1" w:styleId="afd">
    <w:name w:val="註腳文字 字元"/>
    <w:basedOn w:val="a7"/>
    <w:link w:val="afc"/>
    <w:uiPriority w:val="99"/>
    <w:semiHidden/>
    <w:rsid w:val="00325238"/>
    <w:rPr>
      <w:rFonts w:ascii="標楷體" w:eastAsia="標楷體"/>
      <w:kern w:val="2"/>
    </w:rPr>
  </w:style>
  <w:style w:type="character" w:styleId="afe">
    <w:name w:val="footnote reference"/>
    <w:basedOn w:val="a7"/>
    <w:uiPriority w:val="99"/>
    <w:semiHidden/>
    <w:unhideWhenUsed/>
    <w:rsid w:val="00325238"/>
    <w:rPr>
      <w:vertAlign w:val="superscript"/>
    </w:rPr>
  </w:style>
  <w:style w:type="character" w:styleId="aff">
    <w:name w:val="Unresolved Mention"/>
    <w:basedOn w:val="a7"/>
    <w:uiPriority w:val="99"/>
    <w:semiHidden/>
    <w:unhideWhenUsed/>
    <w:rsid w:val="00325238"/>
    <w:rPr>
      <w:color w:val="605E5C"/>
      <w:shd w:val="clear" w:color="auto" w:fill="E1DFDD"/>
    </w:rPr>
  </w:style>
  <w:style w:type="character" w:styleId="aff0">
    <w:name w:val="FollowedHyperlink"/>
    <w:basedOn w:val="a7"/>
    <w:uiPriority w:val="99"/>
    <w:semiHidden/>
    <w:unhideWhenUsed/>
    <w:rsid w:val="004A1D11"/>
    <w:rPr>
      <w:color w:val="800080" w:themeColor="followedHyperlink"/>
      <w:u w:val="single"/>
    </w:rPr>
  </w:style>
  <w:style w:type="paragraph" w:customStyle="1" w:styleId="Standard">
    <w:name w:val="Standard"/>
    <w:rsid w:val="00F62A43"/>
    <w:pPr>
      <w:suppressAutoHyphens/>
      <w:wordWrap w:val="0"/>
      <w:overflowPunct w:val="0"/>
      <w:autoSpaceDE w:val="0"/>
      <w:autoSpaceDN w:val="0"/>
      <w:jc w:val="both"/>
      <w:textAlignment w:val="baseline"/>
    </w:pPr>
    <w:rPr>
      <w:rFonts w:eastAsia="標楷體" w:cs="Mangal"/>
      <w:kern w:val="3"/>
      <w:sz w:val="28"/>
      <w:szCs w:val="24"/>
    </w:rPr>
  </w:style>
  <w:style w:type="numbering" w:customStyle="1" w:styleId="WWNum3">
    <w:name w:val="WWNum3"/>
    <w:basedOn w:val="a9"/>
    <w:rsid w:val="00F62A43"/>
    <w:pPr>
      <w:numPr>
        <w:numId w:val="40"/>
      </w:numPr>
    </w:pPr>
  </w:style>
  <w:style w:type="numbering" w:customStyle="1" w:styleId="WWNum4">
    <w:name w:val="WWNum4"/>
    <w:basedOn w:val="a9"/>
    <w:rsid w:val="00F62A43"/>
    <w:pPr>
      <w:numPr>
        <w:numId w:val="41"/>
      </w:numPr>
    </w:pPr>
  </w:style>
  <w:style w:type="numbering" w:customStyle="1" w:styleId="WWNum5">
    <w:name w:val="WWNum5"/>
    <w:basedOn w:val="a9"/>
    <w:rsid w:val="00F62A43"/>
    <w:pPr>
      <w:numPr>
        <w:numId w:val="42"/>
      </w:numPr>
    </w:pPr>
  </w:style>
  <w:style w:type="numbering" w:customStyle="1" w:styleId="WWNum6">
    <w:name w:val="WWNum6"/>
    <w:basedOn w:val="a9"/>
    <w:rsid w:val="00F62A43"/>
    <w:pPr>
      <w:numPr>
        <w:numId w:val="43"/>
      </w:numPr>
    </w:pPr>
  </w:style>
  <w:style w:type="numbering" w:customStyle="1" w:styleId="WWNum7">
    <w:name w:val="WWNum7"/>
    <w:basedOn w:val="a9"/>
    <w:rsid w:val="00F62A43"/>
    <w:pPr>
      <w:numPr>
        <w:numId w:val="44"/>
      </w:numPr>
    </w:pPr>
  </w:style>
  <w:style w:type="numbering" w:customStyle="1" w:styleId="WWNum8">
    <w:name w:val="WWNum8"/>
    <w:basedOn w:val="a9"/>
    <w:rsid w:val="00F62A43"/>
    <w:pPr>
      <w:numPr>
        <w:numId w:val="45"/>
      </w:numPr>
    </w:pPr>
  </w:style>
  <w:style w:type="paragraph" w:styleId="23">
    <w:name w:val="Body Text 2"/>
    <w:basedOn w:val="a6"/>
    <w:link w:val="24"/>
    <w:uiPriority w:val="99"/>
    <w:semiHidden/>
    <w:unhideWhenUsed/>
    <w:rsid w:val="000C69CB"/>
    <w:pPr>
      <w:spacing w:after="120" w:line="480" w:lineRule="auto"/>
    </w:pPr>
  </w:style>
  <w:style w:type="character" w:customStyle="1" w:styleId="24">
    <w:name w:val="本文 2 字元"/>
    <w:basedOn w:val="a7"/>
    <w:link w:val="23"/>
    <w:uiPriority w:val="99"/>
    <w:semiHidden/>
    <w:rsid w:val="000C69CB"/>
    <w:rPr>
      <w:rFonts w:ascii="標楷體" w:eastAsia="標楷體"/>
      <w:kern w:val="2"/>
      <w:sz w:val="32"/>
    </w:rPr>
  </w:style>
  <w:style w:type="paragraph" w:customStyle="1" w:styleId="xl28">
    <w:name w:val="xl28"/>
    <w:basedOn w:val="a6"/>
    <w:rsid w:val="000C69CB"/>
    <w:pPr>
      <w:widowControl/>
      <w:pBdr>
        <w:left w:val="single" w:sz="4" w:space="0" w:color="auto"/>
        <w:bottom w:val="single" w:sz="4" w:space="0" w:color="auto"/>
        <w:right w:val="single" w:sz="4" w:space="0" w:color="auto"/>
      </w:pBdr>
      <w:overflowPunct/>
      <w:autoSpaceDE/>
      <w:autoSpaceDN/>
      <w:spacing w:before="100" w:after="100"/>
      <w:jc w:val="center"/>
    </w:pPr>
    <w:rPr>
      <w:rFonts w:ascii="Arial Unicode MS" w:eastAsia="Arial Unicode MS" w:hAnsi="Arial Unicode MS"/>
      <w:kern w:val="0"/>
      <w:sz w:val="24"/>
    </w:rPr>
  </w:style>
  <w:style w:type="character" w:customStyle="1" w:styleId="30">
    <w:name w:val="標題 3 字元"/>
    <w:basedOn w:val="a7"/>
    <w:link w:val="3"/>
    <w:rsid w:val="000C69CB"/>
    <w:rPr>
      <w:rFonts w:ascii="標楷體" w:eastAsia="標楷體" w:hAnsi="Arial"/>
      <w:bCs/>
      <w:kern w:val="32"/>
      <w:sz w:val="32"/>
      <w:szCs w:val="36"/>
    </w:rPr>
  </w:style>
  <w:style w:type="character" w:customStyle="1" w:styleId="40">
    <w:name w:val="標題 4 字元"/>
    <w:basedOn w:val="a7"/>
    <w:link w:val="4"/>
    <w:rsid w:val="008E5B40"/>
    <w:rPr>
      <w:rFonts w:ascii="標楷體" w:eastAsia="標楷體" w:hAnsi="Arial"/>
      <w:kern w:val="32"/>
      <w:sz w:val="32"/>
      <w:szCs w:val="36"/>
    </w:rPr>
  </w:style>
  <w:style w:type="paragraph" w:styleId="HTML">
    <w:name w:val="HTML Preformatted"/>
    <w:basedOn w:val="a6"/>
    <w:link w:val="HTML0"/>
    <w:uiPriority w:val="99"/>
    <w:semiHidden/>
    <w:unhideWhenUsed/>
    <w:rsid w:val="000C69C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0C69CB"/>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environment.ec.europa.eu/topics/plastics/microplastics_en?utm_source=chatgpt.com" TargetMode="External"/><Relationship Id="rId13" Type="http://schemas.openxmlformats.org/officeDocument/2006/relationships/hyperlink" Target="https://www.mfds.go.kr/eng/brd/m_15/view.do?seq=72452" TargetMode="External"/><Relationship Id="rId3" Type="http://schemas.openxmlformats.org/officeDocument/2006/relationships/hyperlink" Target="https://nehrc.nhri.edu.tw/2018/11/02/%E5%A1%91%E8%86%A0%E5%BE%AE%E7%B2%92qa/" TargetMode="External"/><Relationship Id="rId7" Type="http://schemas.openxmlformats.org/officeDocument/2006/relationships/hyperlink" Target="https://environment.ec.europa.eu/strategy/zero-pollution-action-plan_en" TargetMode="External"/><Relationship Id="rId12" Type="http://schemas.openxmlformats.org/officeDocument/2006/relationships/hyperlink" Target="https://www.caa.go.jp/policies/policy/standards_evaluation/appliance/positive_list_new&#12290;&#26597;&#35426;&#26178;&#38291;&#65306;114" TargetMode="External"/><Relationship Id="rId2" Type="http://schemas.openxmlformats.org/officeDocument/2006/relationships/hyperlink" Target="https://nehrc.nhri.edu.tw/2018/11/02/%E5%A1%91%E8%86%A0%E5%BE%AE%E7%B2%92qa/" TargetMode="External"/><Relationship Id="rId1" Type="http://schemas.openxmlformats.org/officeDocument/2006/relationships/hyperlink" Target="https://topic.moenv.gov.tw/edcs/cp-362-9445-20fcd-6.html" TargetMode="External"/><Relationship Id="rId6" Type="http://schemas.openxmlformats.org/officeDocument/2006/relationships/hyperlink" Target="https://www.setn.com/News.aspx?NewsID=1619332" TargetMode="External"/><Relationship Id="rId11" Type="http://schemas.openxmlformats.org/officeDocument/2006/relationships/hyperlink" Target="https://ukwir.org/water-industry-technical-report?object=6c29ff4e-e84e-4b1e-a0ab-143298491942" TargetMode="External"/><Relationship Id="rId5" Type="http://schemas.openxmlformats.org/officeDocument/2006/relationships/hyperlink" Target="https://health.ettoday.net/news/2753514" TargetMode="External"/><Relationship Id="rId10" Type="http://schemas.openxmlformats.org/officeDocument/2006/relationships/hyperlink" Target="https://ukwir.org/sink-to-rive-to-tap" TargetMode="External"/><Relationship Id="rId4" Type="http://schemas.openxmlformats.org/officeDocument/2006/relationships/hyperlink" Target="https://www.twreporter.org/a/ocean-waste-microplastic-in-human-organs" TargetMode="External"/><Relationship Id="rId9" Type="http://schemas.openxmlformats.org/officeDocument/2006/relationships/hyperlink" Target="https://www.water.org.uk/news-views-publications/news/ground-breaking-research-shows-999-microplastics-are-removed-u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29B65-973C-4D3A-AB98-9931168C4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3768</Words>
  <Characters>21481</Characters>
  <Application>Microsoft Office Word</Application>
  <DocSecurity>0</DocSecurity>
  <Lines>179</Lines>
  <Paragraphs>50</Paragraphs>
  <ScaleCrop>false</ScaleCrop>
  <Company/>
  <LinksUpToDate>false</LinksUpToDate>
  <CharactersWithSpaces>25199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2025-12-19T01:31:00Z</dcterms:created>
  <dcterms:modified xsi:type="dcterms:W3CDTF">2025-12-30T06:28:00Z</dcterms:modified>
  <cp:contentStatus/>
</cp:coreProperties>
</file>