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B78E36A" w14:textId="77777777" w:rsidR="00D75644" w:rsidRPr="00A648E3" w:rsidRDefault="00D20D26" w:rsidP="000B6F26">
      <w:pPr>
        <w:pStyle w:val="af2"/>
      </w:pPr>
      <w:r w:rsidRPr="00A648E3">
        <w:rPr>
          <w:rFonts w:hint="eastAsia"/>
        </w:rPr>
        <w:t>調查報告</w:t>
      </w:r>
    </w:p>
    <w:p w14:paraId="3D35B241" w14:textId="79749CD6" w:rsidR="00E25849" w:rsidRPr="00A648E3" w:rsidRDefault="00E25849" w:rsidP="00D313A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648E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47A41" w:rsidRPr="00A648E3">
        <w:t>據</w:t>
      </w:r>
      <w:r w:rsidR="000217B8" w:rsidRPr="00A648E3">
        <w:rPr>
          <w:rFonts w:hint="eastAsia"/>
        </w:rPr>
        <w:t>甲師</w:t>
      </w:r>
      <w:proofErr w:type="gramEnd"/>
      <w:r w:rsidR="00B14D87">
        <w:rPr>
          <w:rFonts w:hint="eastAsia"/>
        </w:rPr>
        <w:t>陳</w:t>
      </w:r>
      <w:r w:rsidR="00447A41" w:rsidRPr="00A648E3">
        <w:t>訴，</w:t>
      </w:r>
      <w:proofErr w:type="gramStart"/>
      <w:r w:rsidR="00447A41" w:rsidRPr="00A648E3">
        <w:t>渠遭國立</w:t>
      </w:r>
      <w:proofErr w:type="gramEnd"/>
      <w:r w:rsidR="00447A41" w:rsidRPr="00A648E3">
        <w:t>東華大學族群關係與文化學系助理教授羅</w:t>
      </w:r>
      <w:r w:rsidR="00447A41" w:rsidRPr="00A648E3">
        <w:rPr>
          <w:rFonts w:hint="eastAsia"/>
        </w:rPr>
        <w:t>○○(下</w:t>
      </w:r>
      <w:proofErr w:type="gramStart"/>
      <w:r w:rsidR="00447A41" w:rsidRPr="00A648E3">
        <w:rPr>
          <w:rFonts w:hint="eastAsia"/>
        </w:rPr>
        <w:t>稱</w:t>
      </w:r>
      <w:r w:rsidR="000217B8" w:rsidRPr="00A648E3">
        <w:rPr>
          <w:rFonts w:hint="eastAsia"/>
        </w:rPr>
        <w:t>乙師</w:t>
      </w:r>
      <w:proofErr w:type="gramEnd"/>
      <w:r w:rsidR="00447A41" w:rsidRPr="00A648E3">
        <w:rPr>
          <w:rFonts w:hint="eastAsia"/>
        </w:rPr>
        <w:t>)</w:t>
      </w:r>
      <w:r w:rsidR="00447A41" w:rsidRPr="00A648E3">
        <w:t>性騷擾及性侵害，業經檢方</w:t>
      </w:r>
      <w:proofErr w:type="gramStart"/>
      <w:r w:rsidR="00447A41" w:rsidRPr="00A648E3">
        <w:t>偵</w:t>
      </w:r>
      <w:proofErr w:type="gramEnd"/>
      <w:r w:rsidR="00447A41" w:rsidRPr="00A648E3">
        <w:t>結提起公訴，</w:t>
      </w:r>
      <w:proofErr w:type="gramStart"/>
      <w:r w:rsidR="00447A41" w:rsidRPr="00A648E3">
        <w:t>詎</w:t>
      </w:r>
      <w:proofErr w:type="gramEnd"/>
      <w:r w:rsidR="00447A41" w:rsidRPr="00A648E3">
        <w:t>該校性別平等教育委員會調查過程</w:t>
      </w:r>
      <w:proofErr w:type="gramStart"/>
      <w:r w:rsidR="00447A41" w:rsidRPr="00A648E3">
        <w:t>疑</w:t>
      </w:r>
      <w:proofErr w:type="gramEnd"/>
      <w:r w:rsidR="00447A41" w:rsidRPr="00A648E3">
        <w:t>草率偏頗，忽視對渠有利之證據，認定性侵害不成立。究實情為何？該校性別平等教育委員會調查程序是否合法？有無包庇行為人之情事？該校是否依性別平等工作法之規定，對陳情人提供諮詢、醫療或心理諮商等服務？</w:t>
      </w:r>
      <w:proofErr w:type="gramStart"/>
      <w:r w:rsidR="00447A41" w:rsidRPr="00A648E3">
        <w:t>均有深入</w:t>
      </w:r>
      <w:proofErr w:type="gramEnd"/>
      <w:r w:rsidR="00447A41" w:rsidRPr="00A648E3">
        <w:t>瞭解之必要案</w:t>
      </w:r>
      <w:r w:rsidR="00447A41" w:rsidRPr="00A648E3">
        <w:rPr>
          <w:rFonts w:hint="eastAsia"/>
        </w:rPr>
        <w:t>。</w:t>
      </w:r>
    </w:p>
    <w:p w14:paraId="640AF10A" w14:textId="77777777" w:rsidR="00E25849" w:rsidRPr="00A648E3" w:rsidRDefault="00606501" w:rsidP="00D313A8">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648E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2CE081E" w14:textId="66A3F855" w:rsidR="004F6710" w:rsidRPr="00A648E3" w:rsidRDefault="00012FFD" w:rsidP="00D313A8">
      <w:pPr>
        <w:pStyle w:val="10"/>
        <w:ind w:left="680" w:firstLine="680"/>
      </w:pPr>
      <w:bookmarkStart w:id="49" w:name="_Toc524902730"/>
      <w:r w:rsidRPr="00A648E3">
        <w:rPr>
          <w:rFonts w:hint="eastAsia"/>
        </w:rPr>
        <w:t>本院</w:t>
      </w:r>
      <w:r>
        <w:rPr>
          <w:rFonts w:hint="eastAsia"/>
        </w:rPr>
        <w:t>於民國(下同)</w:t>
      </w:r>
      <w:r w:rsidRPr="00A648E3">
        <w:rPr>
          <w:rFonts w:hint="eastAsia"/>
        </w:rPr>
        <w:t>114年4月間接獲陳</w:t>
      </w:r>
      <w:r w:rsidR="00A51783">
        <w:rPr>
          <w:rFonts w:hint="eastAsia"/>
        </w:rPr>
        <w:t>情</w:t>
      </w:r>
      <w:r w:rsidRPr="00A648E3">
        <w:rPr>
          <w:rFonts w:hint="eastAsia"/>
        </w:rPr>
        <w:t>人書狀，即函請教育部查復，</w:t>
      </w:r>
      <w:proofErr w:type="gramStart"/>
      <w:r w:rsidRPr="00A648E3">
        <w:rPr>
          <w:rFonts w:hint="eastAsia"/>
        </w:rPr>
        <w:t>併</w:t>
      </w:r>
      <w:proofErr w:type="gramEnd"/>
      <w:r w:rsidRPr="00A648E3">
        <w:rPr>
          <w:rFonts w:hint="eastAsia"/>
        </w:rPr>
        <w:t>由本院</w:t>
      </w:r>
      <w:proofErr w:type="gramStart"/>
      <w:r w:rsidRPr="00A648E3">
        <w:rPr>
          <w:rFonts w:hint="eastAsia"/>
        </w:rPr>
        <w:t>范巽</w:t>
      </w:r>
      <w:proofErr w:type="gramEnd"/>
      <w:r w:rsidRPr="00A648E3">
        <w:rPr>
          <w:rFonts w:hint="eastAsia"/>
        </w:rPr>
        <w:t>綠委員、王幼玲委員立案自動調查</w:t>
      </w:r>
      <w:r w:rsidRPr="00A648E3">
        <w:rPr>
          <w:rStyle w:val="afe"/>
        </w:rPr>
        <w:footnoteReference w:id="1"/>
      </w:r>
      <w:r w:rsidRPr="00A648E3">
        <w:rPr>
          <w:rFonts w:hint="eastAsia"/>
        </w:rPr>
        <w:t>。復經通知陳</w:t>
      </w:r>
      <w:r w:rsidR="00A51783">
        <w:rPr>
          <w:rFonts w:hint="eastAsia"/>
        </w:rPr>
        <w:t>情</w:t>
      </w:r>
      <w:r w:rsidRPr="00A648E3">
        <w:rPr>
          <w:rFonts w:hint="eastAsia"/>
        </w:rPr>
        <w:t>人到院說明詳情，並</w:t>
      </w:r>
      <w:proofErr w:type="gramStart"/>
      <w:r w:rsidRPr="00A648E3">
        <w:rPr>
          <w:rFonts w:hint="eastAsia"/>
        </w:rPr>
        <w:t>調閱東華大學</w:t>
      </w:r>
      <w:proofErr w:type="gramEnd"/>
      <w:r w:rsidRPr="00A648E3">
        <w:rPr>
          <w:rFonts w:hint="eastAsia"/>
        </w:rPr>
        <w:t>、教育部、花蓮縣政府、花蓮地檢署、臺灣花蓮地方法院(下稱花蓮地院)等機關卷證資料</w:t>
      </w:r>
      <w:r w:rsidRPr="00A648E3">
        <w:rPr>
          <w:rStyle w:val="afe"/>
        </w:rPr>
        <w:footnoteReference w:id="2"/>
      </w:r>
      <w:r w:rsidRPr="00A648E3">
        <w:rPr>
          <w:rFonts w:hint="eastAsia"/>
        </w:rPr>
        <w:t>，</w:t>
      </w:r>
      <w:proofErr w:type="gramStart"/>
      <w:r w:rsidRPr="00A648E3">
        <w:rPr>
          <w:rFonts w:hint="eastAsia"/>
        </w:rPr>
        <w:t>研</w:t>
      </w:r>
      <w:proofErr w:type="gramEnd"/>
      <w:r w:rsidRPr="00A648E3">
        <w:rPr>
          <w:rFonts w:hint="eastAsia"/>
        </w:rPr>
        <w:t>析案情爭點後，於114年10月8日詢問東華大學、教育部及勞動部人員，同年月13、14日東華大學再度以電子郵件補充說明到院，全</w:t>
      </w:r>
      <w:proofErr w:type="gramStart"/>
      <w:r w:rsidRPr="00A648E3">
        <w:rPr>
          <w:rFonts w:hint="eastAsia"/>
        </w:rPr>
        <w:t>案業調查竣事</w:t>
      </w:r>
      <w:proofErr w:type="gramEnd"/>
      <w:r w:rsidRPr="00A648E3">
        <w:rPr>
          <w:rFonts w:hint="eastAsia"/>
        </w:rPr>
        <w:t>；</w:t>
      </w:r>
      <w:proofErr w:type="gramStart"/>
      <w:r w:rsidRPr="00A648E3">
        <w:rPr>
          <w:rFonts w:hint="eastAsia"/>
        </w:rPr>
        <w:t>茲綜整</w:t>
      </w:r>
      <w:proofErr w:type="gramEnd"/>
      <w:r w:rsidRPr="00A648E3">
        <w:rPr>
          <w:rFonts w:hint="eastAsia"/>
        </w:rPr>
        <w:t>調查事實如下：</w:t>
      </w:r>
    </w:p>
    <w:p w14:paraId="729D990D" w14:textId="0E0CDD90" w:rsidR="00D62189" w:rsidRPr="00B14D87" w:rsidRDefault="005D471F" w:rsidP="00D313A8">
      <w:pPr>
        <w:pStyle w:val="2"/>
        <w:widowControl/>
        <w:numPr>
          <w:ilvl w:val="1"/>
          <w:numId w:val="1"/>
        </w:numPr>
        <w:kinsoku/>
        <w:overflowPunct/>
        <w:autoSpaceDE/>
        <w:autoSpaceDN/>
        <w:rPr>
          <w:b/>
        </w:rPr>
      </w:pPr>
      <w:r w:rsidRPr="00A648E3">
        <w:rPr>
          <w:rFonts w:hint="eastAsia"/>
          <w:b/>
        </w:rPr>
        <w:lastRenderedPageBreak/>
        <w:t>東華大</w:t>
      </w:r>
      <w:proofErr w:type="gramStart"/>
      <w:r w:rsidRPr="00A648E3">
        <w:rPr>
          <w:rFonts w:hint="eastAsia"/>
          <w:b/>
        </w:rPr>
        <w:t>學甲師於112年8月8日</w:t>
      </w:r>
      <w:proofErr w:type="gramEnd"/>
      <w:r w:rsidRPr="00A648E3">
        <w:rPr>
          <w:rFonts w:hint="eastAsia"/>
          <w:b/>
        </w:rPr>
        <w:t>向校方</w:t>
      </w:r>
      <w:proofErr w:type="gramStart"/>
      <w:r w:rsidRPr="00A648E3">
        <w:rPr>
          <w:rFonts w:hint="eastAsia"/>
          <w:b/>
        </w:rPr>
        <w:t>申訴渠於111年10、11月</w:t>
      </w:r>
      <w:proofErr w:type="gramEnd"/>
      <w:r w:rsidRPr="00A648E3">
        <w:rPr>
          <w:rFonts w:hint="eastAsia"/>
          <w:b/>
        </w:rPr>
        <w:t>期間遭同</w:t>
      </w:r>
      <w:proofErr w:type="gramStart"/>
      <w:r w:rsidRPr="00A648E3">
        <w:rPr>
          <w:rFonts w:hint="eastAsia"/>
          <w:b/>
        </w:rPr>
        <w:t>校乙師性</w:t>
      </w:r>
      <w:proofErr w:type="gramEnd"/>
      <w:r w:rsidRPr="00A648E3">
        <w:rPr>
          <w:rFonts w:hint="eastAsia"/>
          <w:b/>
        </w:rPr>
        <w:t>侵</w:t>
      </w:r>
      <w:r w:rsidR="00E34FA5" w:rsidRPr="00A648E3">
        <w:rPr>
          <w:rFonts w:hint="eastAsia"/>
          <w:b/>
        </w:rPr>
        <w:t>害</w:t>
      </w:r>
      <w:r w:rsidRPr="00A648E3">
        <w:rPr>
          <w:rFonts w:hint="eastAsia"/>
          <w:b/>
        </w:rPr>
        <w:t>，經東華大學調查認定「</w:t>
      </w:r>
      <w:proofErr w:type="gramStart"/>
      <w:r w:rsidRPr="00A648E3">
        <w:rPr>
          <w:rFonts w:hint="eastAsia"/>
          <w:b/>
        </w:rPr>
        <w:t>乙師行為</w:t>
      </w:r>
      <w:proofErr w:type="gramEnd"/>
      <w:r w:rsidRPr="00A648E3">
        <w:rPr>
          <w:rFonts w:hint="eastAsia"/>
          <w:b/>
        </w:rPr>
        <w:t>性侵害不成立」；東華大學依法同步辦理社政通報後，此一事件亦進入司法偵查程序，復於113年8月20日由花蓮地檢署</w:t>
      </w:r>
      <w:proofErr w:type="gramStart"/>
      <w:r w:rsidRPr="00A648E3">
        <w:rPr>
          <w:rFonts w:hint="eastAsia"/>
          <w:b/>
        </w:rPr>
        <w:t>對乙師提起</w:t>
      </w:r>
      <w:proofErr w:type="gramEnd"/>
      <w:r w:rsidRPr="00A648E3">
        <w:rPr>
          <w:rFonts w:hint="eastAsia"/>
          <w:b/>
        </w:rPr>
        <w:t>「妨害性自主」之公訴，且經花蓮地院114年7月17日</w:t>
      </w:r>
      <w:proofErr w:type="gramStart"/>
      <w:r w:rsidRPr="00A648E3">
        <w:rPr>
          <w:rFonts w:hint="eastAsia"/>
          <w:b/>
        </w:rPr>
        <w:t>裁判乙師</w:t>
      </w:r>
      <w:proofErr w:type="gramEnd"/>
      <w:r w:rsidRPr="00A648E3">
        <w:rPr>
          <w:rFonts w:hint="eastAsia"/>
          <w:b/>
        </w:rPr>
        <w:t>「犯強制性交罪，</w:t>
      </w:r>
      <w:r w:rsidR="00B263EE">
        <w:rPr>
          <w:rFonts w:hint="eastAsia"/>
          <w:b/>
        </w:rPr>
        <w:t>共2罪，各處有期徒刑4年。應執行有期徒刑5年</w:t>
      </w:r>
      <w:r w:rsidRPr="00A648E3">
        <w:rPr>
          <w:rFonts w:hint="eastAsia"/>
          <w:b/>
        </w:rPr>
        <w:t>。」</w:t>
      </w:r>
      <w:r w:rsidR="007263B6">
        <w:rPr>
          <w:rFonts w:hint="eastAsia"/>
          <w:b/>
        </w:rPr>
        <w:t>則</w:t>
      </w:r>
      <w:r w:rsidRPr="00A648E3">
        <w:rPr>
          <w:rFonts w:hint="eastAsia"/>
          <w:b/>
        </w:rPr>
        <w:t>行政調查及刑事</w:t>
      </w:r>
      <w:proofErr w:type="gramStart"/>
      <w:r w:rsidRPr="00A648E3">
        <w:rPr>
          <w:rFonts w:hint="eastAsia"/>
          <w:b/>
        </w:rPr>
        <w:t>偵查就性侵害</w:t>
      </w:r>
      <w:proofErr w:type="gramEnd"/>
      <w:r w:rsidRPr="00A648E3">
        <w:rPr>
          <w:rFonts w:hint="eastAsia"/>
          <w:b/>
        </w:rPr>
        <w:t>之事實認定截然不同。</w:t>
      </w:r>
      <w:proofErr w:type="gramStart"/>
      <w:r w:rsidRPr="00A648E3">
        <w:rPr>
          <w:rFonts w:hint="eastAsia"/>
          <w:b/>
        </w:rPr>
        <w:t>核東華大學</w:t>
      </w:r>
      <w:proofErr w:type="gramEnd"/>
      <w:r w:rsidR="007263B6">
        <w:rPr>
          <w:rFonts w:hint="eastAsia"/>
          <w:b/>
        </w:rPr>
        <w:t>性別平等教育委員會(</w:t>
      </w:r>
      <w:proofErr w:type="gramStart"/>
      <w:r w:rsidR="007263B6">
        <w:rPr>
          <w:rFonts w:hint="eastAsia"/>
          <w:b/>
        </w:rPr>
        <w:t>下稱性平會</w:t>
      </w:r>
      <w:proofErr w:type="gramEnd"/>
      <w:r w:rsidR="007263B6">
        <w:rPr>
          <w:rFonts w:hint="eastAsia"/>
          <w:b/>
        </w:rPr>
        <w:t>)</w:t>
      </w:r>
      <w:r w:rsidRPr="00A648E3">
        <w:rPr>
          <w:rFonts w:hint="eastAsia"/>
          <w:b/>
        </w:rPr>
        <w:t>調查小組就</w:t>
      </w:r>
      <w:r w:rsidR="007263B6">
        <w:rPr>
          <w:rFonts w:hint="eastAsia"/>
          <w:b/>
        </w:rPr>
        <w:t>此</w:t>
      </w:r>
      <w:proofErr w:type="gramStart"/>
      <w:r w:rsidR="007263B6">
        <w:rPr>
          <w:rFonts w:hint="eastAsia"/>
          <w:b/>
        </w:rPr>
        <w:t>一</w:t>
      </w:r>
      <w:proofErr w:type="gramEnd"/>
      <w:r w:rsidRPr="00A648E3">
        <w:rPr>
          <w:rFonts w:hint="eastAsia"/>
          <w:b/>
        </w:rPr>
        <w:t>事件之調查，僅對</w:t>
      </w:r>
      <w:proofErr w:type="gramStart"/>
      <w:r w:rsidRPr="00B14D87">
        <w:rPr>
          <w:rFonts w:hint="eastAsia"/>
          <w:b/>
        </w:rPr>
        <w:t>甲師、乙師</w:t>
      </w:r>
      <w:proofErr w:type="gramEnd"/>
      <w:r w:rsidRPr="00B14D87">
        <w:rPr>
          <w:rFonts w:hint="eastAsia"/>
          <w:b/>
        </w:rPr>
        <w:t>各訪談1次，亦未尋思以相關人、第三人之意見或資料輔助</w:t>
      </w:r>
      <w:proofErr w:type="gramStart"/>
      <w:r w:rsidRPr="00B14D87">
        <w:rPr>
          <w:rFonts w:hint="eastAsia"/>
          <w:b/>
        </w:rPr>
        <w:t>釐</w:t>
      </w:r>
      <w:proofErr w:type="gramEnd"/>
      <w:r w:rsidRPr="00B14D87">
        <w:rPr>
          <w:rFonts w:hint="eastAsia"/>
          <w:b/>
        </w:rPr>
        <w:t>清真相，實難認</w:t>
      </w:r>
      <w:r w:rsidR="0052596A" w:rsidRPr="00B14D87">
        <w:rPr>
          <w:rFonts w:hint="eastAsia"/>
          <w:b/>
        </w:rPr>
        <w:t>已</w:t>
      </w:r>
      <w:r w:rsidRPr="00B14D87">
        <w:rPr>
          <w:rFonts w:hint="eastAsia"/>
          <w:b/>
        </w:rPr>
        <w:t>善盡查明之責，實體上亦有「忽略性同意權之『No means No』原則」、「陷入『理想被害人』之</w:t>
      </w:r>
      <w:proofErr w:type="gramStart"/>
      <w:r w:rsidRPr="00B14D87">
        <w:rPr>
          <w:rFonts w:hint="eastAsia"/>
          <w:b/>
        </w:rPr>
        <w:t>迷思或成見</w:t>
      </w:r>
      <w:proofErr w:type="gramEnd"/>
      <w:r w:rsidRPr="00B14D87">
        <w:rPr>
          <w:rFonts w:hint="eastAsia"/>
          <w:b/>
        </w:rPr>
        <w:t>」的缺憾，</w:t>
      </w:r>
      <w:r w:rsidR="00842EAD" w:rsidRPr="00B14D87">
        <w:rPr>
          <w:rFonts w:hint="eastAsia"/>
          <w:b/>
        </w:rPr>
        <w:t>未來應由東華大學加以檢討並注意性別事件調查人員以及性別事件專責審議組織成員之選任及專業素養</w:t>
      </w:r>
      <w:r w:rsidRPr="00B14D87">
        <w:rPr>
          <w:rFonts w:hint="eastAsia"/>
          <w:b/>
        </w:rPr>
        <w:t>。</w:t>
      </w:r>
      <w:proofErr w:type="gramStart"/>
      <w:r w:rsidRPr="00B14D87">
        <w:rPr>
          <w:rFonts w:hint="eastAsia"/>
          <w:b/>
        </w:rPr>
        <w:t>此外，</w:t>
      </w:r>
      <w:proofErr w:type="gramEnd"/>
      <w:r w:rsidRPr="00B14D87">
        <w:rPr>
          <w:rFonts w:hint="eastAsia"/>
          <w:b/>
        </w:rPr>
        <w:t>雖</w:t>
      </w:r>
      <w:r w:rsidRPr="00B14D87">
        <w:rPr>
          <w:b/>
        </w:rPr>
        <w:t>行政調查</w:t>
      </w:r>
      <w:r w:rsidRPr="00B14D87">
        <w:rPr>
          <w:rFonts w:hint="eastAsia"/>
          <w:b/>
        </w:rPr>
        <w:t>較</w:t>
      </w:r>
      <w:r w:rsidRPr="00B14D87">
        <w:rPr>
          <w:b/>
        </w:rPr>
        <w:t>司法偵查</w:t>
      </w:r>
      <w:r w:rsidRPr="00B14D87">
        <w:rPr>
          <w:rFonts w:hint="eastAsia"/>
          <w:b/>
        </w:rPr>
        <w:t>而言「無強制力」而有其侷限，然</w:t>
      </w:r>
      <w:r w:rsidRPr="00B14D87">
        <w:rPr>
          <w:rFonts w:hAnsi="Times New Roman" w:hint="eastAsia"/>
          <w:b/>
          <w:szCs w:val="20"/>
        </w:rPr>
        <w:t>行政調查仍應以瞭解事實真相為目的</w:t>
      </w:r>
      <w:r w:rsidRPr="00B14D87">
        <w:rPr>
          <w:rFonts w:hint="eastAsia"/>
          <w:b/>
        </w:rPr>
        <w:t>，未來應以本案為</w:t>
      </w:r>
      <w:proofErr w:type="gramStart"/>
      <w:r w:rsidRPr="00B14D87">
        <w:rPr>
          <w:rFonts w:hint="eastAsia"/>
          <w:b/>
        </w:rPr>
        <w:t>鑑</w:t>
      </w:r>
      <w:proofErr w:type="gramEnd"/>
      <w:r w:rsidRPr="00B14D87">
        <w:rPr>
          <w:rFonts w:hint="eastAsia"/>
          <w:b/>
        </w:rPr>
        <w:t>，由相關機關速為策進</w:t>
      </w:r>
      <w:r w:rsidR="00D62189" w:rsidRPr="00B14D87">
        <w:rPr>
          <w:rFonts w:hint="eastAsia"/>
          <w:b/>
        </w:rPr>
        <w:t>。</w:t>
      </w:r>
    </w:p>
    <w:p w14:paraId="2C509B54" w14:textId="1EF5147E" w:rsidR="00EC2969" w:rsidRPr="00B14D87" w:rsidRDefault="004C279A" w:rsidP="00EC2969">
      <w:pPr>
        <w:pStyle w:val="3"/>
      </w:pPr>
      <w:r w:rsidRPr="00B14D87">
        <w:rPr>
          <w:rFonts w:hint="eastAsia"/>
        </w:rPr>
        <w:t>查本案</w:t>
      </w:r>
      <w:r w:rsidR="00D82885" w:rsidRPr="00B14D87">
        <w:rPr>
          <w:rFonts w:hint="eastAsia"/>
        </w:rPr>
        <w:t>東華大</w:t>
      </w:r>
      <w:proofErr w:type="gramStart"/>
      <w:r w:rsidR="00D82885" w:rsidRPr="00B14D87">
        <w:rPr>
          <w:rFonts w:hint="eastAsia"/>
        </w:rPr>
        <w:t>學</w:t>
      </w:r>
      <w:r w:rsidRPr="00B14D87">
        <w:rPr>
          <w:rFonts w:hint="eastAsia"/>
        </w:rPr>
        <w:t>甲師於112年8月8日</w:t>
      </w:r>
      <w:proofErr w:type="gramEnd"/>
      <w:r w:rsidRPr="00B14D87">
        <w:rPr>
          <w:rFonts w:hint="eastAsia"/>
        </w:rPr>
        <w:t>向</w:t>
      </w:r>
      <w:r w:rsidR="00D82885" w:rsidRPr="00B14D87">
        <w:rPr>
          <w:rFonts w:hint="eastAsia"/>
        </w:rPr>
        <w:t>校方</w:t>
      </w:r>
      <w:r w:rsidRPr="00B14D87">
        <w:rPr>
          <w:rFonts w:hint="eastAsia"/>
        </w:rPr>
        <w:t>遞交「校園性侵害性騷擾或</w:t>
      </w:r>
      <w:proofErr w:type="gramStart"/>
      <w:r w:rsidRPr="00B14D87">
        <w:rPr>
          <w:rFonts w:hint="eastAsia"/>
        </w:rPr>
        <w:t>性霸凌</w:t>
      </w:r>
      <w:proofErr w:type="gramEnd"/>
      <w:r w:rsidRPr="00B14D87">
        <w:rPr>
          <w:rFonts w:hint="eastAsia"/>
        </w:rPr>
        <w:t>事件調查申請書」，經</w:t>
      </w:r>
      <w:r w:rsidR="00177D53" w:rsidRPr="00B14D87">
        <w:rPr>
          <w:rFonts w:hint="eastAsia"/>
        </w:rPr>
        <w:t>東華大學</w:t>
      </w:r>
      <w:r w:rsidRPr="00B14D87">
        <w:rPr>
          <w:rFonts w:hint="eastAsia"/>
        </w:rPr>
        <w:t>受理</w:t>
      </w:r>
      <w:proofErr w:type="gramStart"/>
      <w:r w:rsidRPr="00B14D87">
        <w:rPr>
          <w:rFonts w:hint="eastAsia"/>
        </w:rPr>
        <w:t>並錄案為</w:t>
      </w:r>
      <w:proofErr w:type="gramEnd"/>
      <w:r w:rsidRPr="00B14D87">
        <w:rPr>
          <w:rFonts w:hint="eastAsia"/>
        </w:rPr>
        <w:t>「</w:t>
      </w:r>
      <w:r w:rsidR="00177D53" w:rsidRPr="00B14D87">
        <w:rPr>
          <w:rFonts w:hint="eastAsia"/>
        </w:rPr>
        <w:t>性別事件第1120808號案</w:t>
      </w:r>
      <w:r w:rsidRPr="00B14D87">
        <w:rPr>
          <w:rFonts w:hint="eastAsia"/>
        </w:rPr>
        <w:t>」進行調查處理。</w:t>
      </w:r>
    </w:p>
    <w:p w14:paraId="2305EE3A" w14:textId="096B1FEF" w:rsidR="00E64FE6" w:rsidRPr="00A648E3" w:rsidRDefault="00E64FE6" w:rsidP="00EC2969">
      <w:pPr>
        <w:pStyle w:val="3"/>
        <w:widowControl/>
        <w:numPr>
          <w:ilvl w:val="2"/>
          <w:numId w:val="1"/>
        </w:numPr>
        <w:kinsoku/>
        <w:overflowPunct/>
        <w:autoSpaceDE/>
        <w:autoSpaceDN/>
        <w:rPr>
          <w:rFonts w:hAnsi="Times New Roman"/>
          <w:bCs w:val="0"/>
          <w:szCs w:val="20"/>
        </w:rPr>
      </w:pPr>
      <w:proofErr w:type="gramStart"/>
      <w:r w:rsidRPr="00A648E3">
        <w:rPr>
          <w:rFonts w:hint="eastAsia"/>
          <w:b/>
          <w:bCs w:val="0"/>
        </w:rPr>
        <w:t>乙師行為</w:t>
      </w:r>
      <w:proofErr w:type="gramEnd"/>
      <w:r w:rsidRPr="00A648E3">
        <w:rPr>
          <w:rFonts w:hint="eastAsia"/>
          <w:b/>
          <w:bCs w:val="0"/>
        </w:rPr>
        <w:t>經東華大學啟動性別事件第1120808號案調查，認定「</w:t>
      </w:r>
      <w:r w:rsidRPr="00A648E3">
        <w:rPr>
          <w:rFonts w:hAnsi="標楷體" w:hint="eastAsia"/>
          <w:b/>
          <w:bCs w:val="0"/>
        </w:rPr>
        <w:t>性侵害不成立</w:t>
      </w:r>
      <w:r w:rsidRPr="00A648E3">
        <w:rPr>
          <w:rFonts w:hint="eastAsia"/>
          <w:b/>
          <w:bCs w:val="0"/>
        </w:rPr>
        <w:t>」，惟經</w:t>
      </w:r>
      <w:r w:rsidRPr="00A648E3">
        <w:rPr>
          <w:rFonts w:hAnsi="標楷體" w:hint="eastAsia"/>
          <w:b/>
          <w:bCs w:val="0"/>
        </w:rPr>
        <w:t>刑事偵查卻認定為「性侵害</w:t>
      </w:r>
      <w:r w:rsidR="00D51F95">
        <w:rPr>
          <w:rFonts w:hAnsi="標楷體" w:hint="eastAsia"/>
          <w:b/>
          <w:bCs w:val="0"/>
        </w:rPr>
        <w:t>罪</w:t>
      </w:r>
      <w:r w:rsidRPr="00A648E3">
        <w:rPr>
          <w:rFonts w:hAnsi="標楷體" w:hint="eastAsia"/>
          <w:b/>
          <w:bCs w:val="0"/>
        </w:rPr>
        <w:t>」</w:t>
      </w:r>
      <w:r w:rsidRPr="00A648E3">
        <w:rPr>
          <w:rFonts w:hAnsi="標楷體" w:hint="eastAsia"/>
        </w:rPr>
        <w:t>：</w:t>
      </w:r>
    </w:p>
    <w:p w14:paraId="2F1833FB" w14:textId="7FD4D540" w:rsidR="00E11AED" w:rsidRPr="00A648E3" w:rsidRDefault="00E11AED" w:rsidP="00E64FE6">
      <w:pPr>
        <w:pStyle w:val="4"/>
        <w:rPr>
          <w:rFonts w:hAnsi="Times New Roman"/>
          <w:bCs/>
          <w:szCs w:val="20"/>
        </w:rPr>
      </w:pPr>
      <w:r w:rsidRPr="00A648E3">
        <w:rPr>
          <w:rFonts w:hint="eastAsia"/>
        </w:rPr>
        <w:t>東華大學性別事件第1120808號案經該校112年11月9日「校園性別事件(編號第1120808號)調查報告書」認定事實為「雙方應曾於111年10月至12間發生至少3次性行為」，</w:t>
      </w:r>
      <w:r w:rsidR="00D82885" w:rsidRPr="00A648E3">
        <w:rPr>
          <w:rFonts w:hint="eastAsia"/>
        </w:rPr>
        <w:t>並經該性別事件</w:t>
      </w:r>
      <w:r w:rsidRPr="00A648E3">
        <w:rPr>
          <w:rFonts w:hint="eastAsia"/>
        </w:rPr>
        <w:t>調查小</w:t>
      </w:r>
      <w:r w:rsidRPr="00A648E3">
        <w:rPr>
          <w:rFonts w:hint="eastAsia"/>
        </w:rPr>
        <w:lastRenderedPageBreak/>
        <w:t>組訪談當事人後，審酌訪談內容及現有證據後</w:t>
      </w:r>
      <w:r w:rsidR="00D82885" w:rsidRPr="00A648E3">
        <w:rPr>
          <w:rFonts w:hint="eastAsia"/>
        </w:rPr>
        <w:t>表示「</w:t>
      </w:r>
      <w:proofErr w:type="gramStart"/>
      <w:r w:rsidRPr="00A648E3">
        <w:rPr>
          <w:rFonts w:hint="eastAsia"/>
        </w:rPr>
        <w:t>誠難認定</w:t>
      </w:r>
      <w:proofErr w:type="gramEnd"/>
      <w:r w:rsidRPr="00A648E3">
        <w:rPr>
          <w:rFonts w:hint="eastAsia"/>
        </w:rPr>
        <w:t>性侵害成立，故決議本</w:t>
      </w:r>
      <w:proofErr w:type="gramStart"/>
      <w:r w:rsidRPr="00A648E3">
        <w:rPr>
          <w:rFonts w:hint="eastAsia"/>
        </w:rPr>
        <w:t>案乙師對</w:t>
      </w:r>
      <w:proofErr w:type="gramEnd"/>
      <w:r w:rsidRPr="00A648E3">
        <w:rPr>
          <w:rFonts w:hint="eastAsia"/>
        </w:rPr>
        <w:t>甲師之性侵害事件不成立。</w:t>
      </w:r>
      <w:r w:rsidR="00D82885" w:rsidRPr="00A648E3">
        <w:rPr>
          <w:rFonts w:hint="eastAsia"/>
        </w:rPr>
        <w:t>」</w:t>
      </w:r>
    </w:p>
    <w:p w14:paraId="148CF86F" w14:textId="57E8AB9C" w:rsidR="00E11AED" w:rsidRPr="00A648E3" w:rsidRDefault="00E64FE6" w:rsidP="00E64FE6">
      <w:pPr>
        <w:pStyle w:val="4"/>
        <w:rPr>
          <w:rFonts w:hAnsi="Times New Roman"/>
          <w:szCs w:val="20"/>
        </w:rPr>
      </w:pPr>
      <w:r w:rsidRPr="00A648E3">
        <w:rPr>
          <w:rFonts w:hint="eastAsia"/>
        </w:rPr>
        <w:t>東華大學性別事件第1120808號案經東華大學依法辦理社政通報後，同步進入司法偵查程序，經113年8月20日花蓮地檢署</w:t>
      </w:r>
      <w:proofErr w:type="gramStart"/>
      <w:r w:rsidRPr="00A648E3">
        <w:rPr>
          <w:rFonts w:hint="eastAsia"/>
        </w:rPr>
        <w:t>認定乙師妨害</w:t>
      </w:r>
      <w:proofErr w:type="gramEnd"/>
      <w:r w:rsidRPr="00A648E3">
        <w:rPr>
          <w:rFonts w:hint="eastAsia"/>
        </w:rPr>
        <w:t>性自主並提起公訴，</w:t>
      </w:r>
      <w:proofErr w:type="gramStart"/>
      <w:r w:rsidR="00D51F95">
        <w:rPr>
          <w:rFonts w:hint="eastAsia"/>
        </w:rPr>
        <w:t>嗣</w:t>
      </w:r>
      <w:proofErr w:type="gramEnd"/>
      <w:r w:rsidR="00D51F95">
        <w:rPr>
          <w:rFonts w:hint="eastAsia"/>
        </w:rPr>
        <w:t>經</w:t>
      </w:r>
      <w:r w:rsidRPr="00A648E3">
        <w:rPr>
          <w:rFonts w:hint="eastAsia"/>
        </w:rPr>
        <w:t>114年7月17日花蓮地院</w:t>
      </w:r>
      <w:proofErr w:type="gramStart"/>
      <w:r w:rsidRPr="00A648E3">
        <w:rPr>
          <w:rFonts w:hint="eastAsia"/>
        </w:rPr>
        <w:t>裁判乙師</w:t>
      </w:r>
      <w:proofErr w:type="gramEnd"/>
      <w:r w:rsidRPr="00A648E3">
        <w:rPr>
          <w:rFonts w:hint="eastAsia"/>
        </w:rPr>
        <w:t>「犯強制性交罪，</w:t>
      </w:r>
      <w:r w:rsidR="00B263EE">
        <w:rPr>
          <w:rFonts w:hint="eastAsia"/>
        </w:rPr>
        <w:t>共2罪，各處有期徒刑4年。應執行有期徒刑5年</w:t>
      </w:r>
      <w:r w:rsidRPr="00A648E3">
        <w:rPr>
          <w:rFonts w:hint="eastAsia"/>
        </w:rPr>
        <w:t>。」(有本案調取花蓮地檢署檢察官起訴書、花蓮地院刑事判決等在卷可</w:t>
      </w:r>
      <w:proofErr w:type="gramStart"/>
      <w:r w:rsidRPr="00A648E3">
        <w:rPr>
          <w:rFonts w:hint="eastAsia"/>
        </w:rPr>
        <w:t>稽</w:t>
      </w:r>
      <w:proofErr w:type="gramEnd"/>
      <w:r w:rsidRPr="00A648E3">
        <w:rPr>
          <w:rFonts w:hint="eastAsia"/>
        </w:rPr>
        <w:t>)。</w:t>
      </w:r>
    </w:p>
    <w:p w14:paraId="78998915" w14:textId="3CCEBD23" w:rsidR="005B0BC2" w:rsidRPr="00A648E3" w:rsidRDefault="002B3C76" w:rsidP="00423931">
      <w:pPr>
        <w:pStyle w:val="3"/>
        <w:widowControl/>
        <w:numPr>
          <w:ilvl w:val="2"/>
          <w:numId w:val="1"/>
        </w:numPr>
        <w:kinsoku/>
        <w:overflowPunct/>
        <w:autoSpaceDE/>
        <w:autoSpaceDN/>
      </w:pPr>
      <w:r w:rsidRPr="00A648E3">
        <w:rPr>
          <w:rFonts w:hAnsi="Times New Roman" w:hint="eastAsia"/>
          <w:bCs w:val="0"/>
          <w:szCs w:val="20"/>
        </w:rPr>
        <w:t>東華大學表示，</w:t>
      </w:r>
      <w:r w:rsidR="006979C3" w:rsidRPr="00A648E3">
        <w:rPr>
          <w:rFonts w:hint="eastAsia"/>
        </w:rPr>
        <w:t>校方依相關法規</w:t>
      </w:r>
      <w:proofErr w:type="gramStart"/>
      <w:r w:rsidR="006979C3" w:rsidRPr="00A648E3">
        <w:rPr>
          <w:rFonts w:hint="eastAsia"/>
        </w:rPr>
        <w:t>受理甲師申訴</w:t>
      </w:r>
      <w:proofErr w:type="gramEnd"/>
      <w:r w:rsidR="006979C3" w:rsidRPr="00A648E3">
        <w:rPr>
          <w:rFonts w:hint="eastAsia"/>
        </w:rPr>
        <w:t>，並委由學校性平會進行後續相關行政調查工作，調查結果容或與日後依刑事訴訟法辦理之刑事調查及裁判認定結果不同，惟調查</w:t>
      </w:r>
      <w:proofErr w:type="gramStart"/>
      <w:r w:rsidR="006979C3" w:rsidRPr="00A648E3">
        <w:rPr>
          <w:rFonts w:hint="eastAsia"/>
        </w:rPr>
        <w:t>過程均依相關</w:t>
      </w:r>
      <w:proofErr w:type="gramEnd"/>
      <w:r w:rsidR="006979C3" w:rsidRPr="00A648E3">
        <w:rPr>
          <w:rFonts w:hint="eastAsia"/>
        </w:rPr>
        <w:t>規定，本客觀、公正、專業的立場處理，當事人</w:t>
      </w:r>
      <w:proofErr w:type="gramStart"/>
      <w:r w:rsidR="006979C3" w:rsidRPr="00A648E3">
        <w:rPr>
          <w:rFonts w:hint="eastAsia"/>
        </w:rPr>
        <w:t>雙方均為學校</w:t>
      </w:r>
      <w:proofErr w:type="gramEnd"/>
      <w:r w:rsidR="006979C3" w:rsidRPr="00A648E3">
        <w:rPr>
          <w:rFonts w:hint="eastAsia"/>
        </w:rPr>
        <w:t>專任教師，實無刻意偏袒</w:t>
      </w:r>
      <w:proofErr w:type="gramStart"/>
      <w:r w:rsidR="006979C3" w:rsidRPr="00A648E3">
        <w:rPr>
          <w:rFonts w:hint="eastAsia"/>
        </w:rPr>
        <w:t>一</w:t>
      </w:r>
      <w:proofErr w:type="gramEnd"/>
      <w:r w:rsidR="006979C3" w:rsidRPr="00A648E3">
        <w:rPr>
          <w:rFonts w:hint="eastAsia"/>
        </w:rPr>
        <w:t>方之由。教育部</w:t>
      </w:r>
      <w:bookmarkStart w:id="50" w:name="_Hlk210292399"/>
      <w:r w:rsidR="005B0BC2" w:rsidRPr="00A648E3">
        <w:rPr>
          <w:rFonts w:hint="eastAsia"/>
        </w:rPr>
        <w:t>則稱，</w:t>
      </w:r>
      <w:r w:rsidR="005B0BC2" w:rsidRPr="00A648E3">
        <w:t>本案係</w:t>
      </w:r>
      <w:r w:rsidR="00D51F95">
        <w:rPr>
          <w:rFonts w:hint="eastAsia"/>
        </w:rPr>
        <w:t>性別平等工作法(下</w:t>
      </w:r>
      <w:proofErr w:type="gramStart"/>
      <w:r w:rsidR="00D51F95">
        <w:rPr>
          <w:rFonts w:hint="eastAsia"/>
        </w:rPr>
        <w:t>稱</w:t>
      </w:r>
      <w:r w:rsidR="005B0BC2" w:rsidRPr="00A648E3">
        <w:t>性工</w:t>
      </w:r>
      <w:proofErr w:type="gramEnd"/>
      <w:r w:rsidR="005B0BC2" w:rsidRPr="00A648E3">
        <w:t>法</w:t>
      </w:r>
      <w:r w:rsidR="00D51F95">
        <w:rPr>
          <w:rFonts w:hint="eastAsia"/>
        </w:rPr>
        <w:t>)</w:t>
      </w:r>
      <w:r w:rsidR="005B0BC2" w:rsidRPr="00A648E3">
        <w:t>113年修正施行後，</w:t>
      </w:r>
      <w:proofErr w:type="gramStart"/>
      <w:r w:rsidR="005B0BC2" w:rsidRPr="00A648E3">
        <w:t>校園性工法</w:t>
      </w:r>
      <w:proofErr w:type="gramEnd"/>
      <w:r w:rsidR="005B0BC2" w:rsidRPr="00A648E3">
        <w:t>性別事件行政調查與司法偵查審判結果相異之首例，究其原因</w:t>
      </w:r>
      <w:r w:rsidR="008A6826" w:rsidRPr="00A648E3">
        <w:rPr>
          <w:rFonts w:hint="eastAsia"/>
        </w:rPr>
        <w:t>乃「</w:t>
      </w:r>
      <w:bookmarkStart w:id="51" w:name="_Hlk210292632"/>
      <w:r w:rsidR="008A6826" w:rsidRPr="00A648E3">
        <w:t>調查權限的侷限</w:t>
      </w:r>
      <w:bookmarkEnd w:id="51"/>
      <w:r w:rsidR="008A6826" w:rsidRPr="00A648E3">
        <w:rPr>
          <w:rFonts w:hint="eastAsia"/>
        </w:rPr>
        <w:t>」、「</w:t>
      </w:r>
      <w:bookmarkStart w:id="52" w:name="_Hlk210292641"/>
      <w:r w:rsidR="008A6826" w:rsidRPr="00A648E3">
        <w:t>程序設計的限制</w:t>
      </w:r>
      <w:bookmarkEnd w:id="52"/>
      <w:r w:rsidR="008A6826" w:rsidRPr="00A648E3">
        <w:rPr>
          <w:rFonts w:hint="eastAsia"/>
        </w:rPr>
        <w:t>」、「</w:t>
      </w:r>
      <w:r w:rsidR="008A6826" w:rsidRPr="00A648E3">
        <w:t>組織與人際壓</w:t>
      </w:r>
      <w:r w:rsidR="008A6826" w:rsidRPr="00A648E3">
        <w:rPr>
          <w:rFonts w:hint="eastAsia"/>
        </w:rPr>
        <w:t>力」等，</w:t>
      </w:r>
      <w:proofErr w:type="gramStart"/>
      <w:r w:rsidR="002D129A" w:rsidRPr="00A648E3">
        <w:rPr>
          <w:rFonts w:hint="eastAsia"/>
        </w:rPr>
        <w:t>該部並</w:t>
      </w:r>
      <w:r w:rsidR="00316300" w:rsidRPr="00A648E3">
        <w:rPr>
          <w:rFonts w:hint="eastAsia"/>
        </w:rPr>
        <w:t>進一步</w:t>
      </w:r>
      <w:proofErr w:type="gramEnd"/>
      <w:r w:rsidR="005B0BC2" w:rsidRPr="00A648E3">
        <w:t>分析如下</w:t>
      </w:r>
      <w:bookmarkEnd w:id="50"/>
      <w:r w:rsidR="005B0BC2" w:rsidRPr="00A648E3">
        <w:t>：</w:t>
      </w:r>
    </w:p>
    <w:p w14:paraId="7CBCE7E4" w14:textId="77777777" w:rsidR="008A6826" w:rsidRPr="00A648E3" w:rsidRDefault="008A6826" w:rsidP="008A6826">
      <w:pPr>
        <w:pStyle w:val="4"/>
        <w:ind w:left="1701"/>
        <w:rPr>
          <w:bCs/>
        </w:rPr>
      </w:pPr>
      <w:bookmarkStart w:id="53" w:name="_Hlk210292704"/>
      <w:r w:rsidRPr="00A648E3">
        <w:rPr>
          <w:bCs/>
        </w:rPr>
        <w:t>無強制力：行政調查不像司法調查，沒有強制搜索、扣押或傳喚證人的權限，調查人員只能依當事人或相關人員的意願提供資料。</w:t>
      </w:r>
    </w:p>
    <w:p w14:paraId="418CE8E2" w14:textId="6D305D65" w:rsidR="005B0BC2" w:rsidRPr="00A648E3" w:rsidRDefault="008A6826" w:rsidP="00AD4084">
      <w:pPr>
        <w:pStyle w:val="4"/>
        <w:ind w:left="1701"/>
        <w:rPr>
          <w:bCs/>
        </w:rPr>
      </w:pPr>
      <w:r w:rsidRPr="00A648E3">
        <w:rPr>
          <w:bCs/>
        </w:rPr>
        <w:t>證據蒐集困難：性騷擾常發生於隱密場域，目擊者有限，若缺乏監視器或書面紀錄，調查依賴當事人陳述，難以形成完整證據鏈。</w:t>
      </w:r>
      <w:bookmarkEnd w:id="53"/>
    </w:p>
    <w:p w14:paraId="51094CE4" w14:textId="77777777" w:rsidR="00AD4084" w:rsidRPr="00A648E3" w:rsidRDefault="00AD4084" w:rsidP="00AD4084">
      <w:pPr>
        <w:pStyle w:val="4"/>
        <w:ind w:left="1701"/>
        <w:rPr>
          <w:bCs/>
        </w:rPr>
      </w:pPr>
      <w:bookmarkStart w:id="54" w:name="_Hlk210292761"/>
      <w:r w:rsidRPr="00A648E3">
        <w:rPr>
          <w:bCs/>
        </w:rPr>
        <w:t>舉證責任分配不明確：行政機關多</w:t>
      </w:r>
      <w:proofErr w:type="gramStart"/>
      <w:r w:rsidRPr="00A648E3">
        <w:rPr>
          <w:bCs/>
        </w:rPr>
        <w:t>採</w:t>
      </w:r>
      <w:proofErr w:type="gramEnd"/>
      <w:r w:rsidRPr="00A648E3">
        <w:rPr>
          <w:bCs/>
        </w:rPr>
        <w:t>「調查</w:t>
      </w:r>
      <w:proofErr w:type="gramStart"/>
      <w:r w:rsidRPr="00A648E3">
        <w:rPr>
          <w:bCs/>
        </w:rPr>
        <w:t>不</w:t>
      </w:r>
      <w:proofErr w:type="gramEnd"/>
      <w:r w:rsidRPr="00A648E3">
        <w:rPr>
          <w:bCs/>
        </w:rPr>
        <w:t>利益歸行為人」或「傾向保障被害人」的原則，但在舉證標準上仍模糊，較容易引發爭議。</w:t>
      </w:r>
    </w:p>
    <w:p w14:paraId="36CE26E4" w14:textId="42F74815" w:rsidR="005B0BC2" w:rsidRPr="00A648E3" w:rsidRDefault="00AD4084" w:rsidP="00AD4084">
      <w:pPr>
        <w:pStyle w:val="4"/>
        <w:ind w:left="1701"/>
        <w:rPr>
          <w:bCs/>
        </w:rPr>
      </w:pPr>
      <w:r w:rsidRPr="00A648E3">
        <w:rPr>
          <w:bCs/>
        </w:rPr>
        <w:lastRenderedPageBreak/>
        <w:t>調查時程有限：多數規範要求在一定期間內完成調查（如2-3個月內），但實務上蒐集資料、訪談證人需要更多時間，導致調查品質與時效之間出現拉鋸。</w:t>
      </w:r>
      <w:bookmarkEnd w:id="54"/>
    </w:p>
    <w:p w14:paraId="43846ABE" w14:textId="77777777" w:rsidR="00AD4084" w:rsidRPr="00A648E3" w:rsidRDefault="00AD4084" w:rsidP="00AD4084">
      <w:pPr>
        <w:pStyle w:val="4"/>
        <w:ind w:left="1701"/>
        <w:rPr>
          <w:bCs/>
        </w:rPr>
      </w:pPr>
      <w:bookmarkStart w:id="55" w:name="_Hlk210292782"/>
      <w:r w:rsidRPr="00A648E3">
        <w:rPr>
          <w:bCs/>
        </w:rPr>
        <w:t>校園或職場的權力結構：被申訴人若具有職權或影響力，可能影響證人是否</w:t>
      </w:r>
      <w:bookmarkStart w:id="56" w:name="_Hlk210292792"/>
      <w:bookmarkEnd w:id="55"/>
      <w:r w:rsidRPr="00A648E3">
        <w:rPr>
          <w:bCs/>
        </w:rPr>
        <w:t>敢如實作證，也可能造成申訴人心理壓力</w:t>
      </w:r>
      <w:proofErr w:type="gramStart"/>
      <w:r w:rsidRPr="00A648E3">
        <w:rPr>
          <w:bCs/>
        </w:rPr>
        <w:t>（</w:t>
      </w:r>
      <w:proofErr w:type="gramEnd"/>
      <w:r w:rsidRPr="00A648E3">
        <w:rPr>
          <w:bCs/>
        </w:rPr>
        <w:t>如：行政職vs.專任教師；資深vs.新進</w:t>
      </w:r>
      <w:proofErr w:type="gramStart"/>
      <w:r w:rsidRPr="00A648E3">
        <w:rPr>
          <w:bCs/>
        </w:rPr>
        <w:t>）</w:t>
      </w:r>
      <w:proofErr w:type="gramEnd"/>
      <w:r w:rsidRPr="00A648E3">
        <w:rPr>
          <w:bCs/>
        </w:rPr>
        <w:t>。</w:t>
      </w:r>
      <w:bookmarkStart w:id="57" w:name="_Hlk210292803"/>
      <w:bookmarkEnd w:id="56"/>
    </w:p>
    <w:p w14:paraId="6C9F5161" w14:textId="1CCD5DF2" w:rsidR="006979C3" w:rsidRPr="00A648E3" w:rsidRDefault="00AD4084" w:rsidP="00AD4084">
      <w:pPr>
        <w:pStyle w:val="4"/>
        <w:ind w:left="1701"/>
        <w:rPr>
          <w:bCs/>
        </w:rPr>
      </w:pPr>
      <w:r w:rsidRPr="00A648E3">
        <w:rPr>
          <w:bCs/>
        </w:rPr>
        <w:t>調查單位的中立性：調查小組雖形式上獨立，但若隸屬同一組織，其</w:t>
      </w:r>
      <w:proofErr w:type="gramStart"/>
      <w:r w:rsidRPr="00A648E3">
        <w:rPr>
          <w:bCs/>
        </w:rPr>
        <w:t>客觀性仍容有</w:t>
      </w:r>
      <w:proofErr w:type="gramEnd"/>
      <w:r w:rsidRPr="00A648E3">
        <w:rPr>
          <w:bCs/>
        </w:rPr>
        <w:t>討論空間。</w:t>
      </w:r>
      <w:bookmarkEnd w:id="57"/>
    </w:p>
    <w:p w14:paraId="06D27128" w14:textId="1F61BBF2" w:rsidR="002D129A" w:rsidRPr="00A648E3" w:rsidRDefault="00BA716C" w:rsidP="00BA716C">
      <w:pPr>
        <w:pStyle w:val="3"/>
        <w:widowControl/>
        <w:numPr>
          <w:ilvl w:val="0"/>
          <w:numId w:val="0"/>
        </w:numPr>
        <w:kinsoku/>
        <w:overflowPunct/>
        <w:autoSpaceDE/>
        <w:autoSpaceDN/>
        <w:ind w:left="1361"/>
        <w:rPr>
          <w:rFonts w:hAnsi="Times New Roman"/>
          <w:bCs w:val="0"/>
          <w:szCs w:val="20"/>
        </w:rPr>
      </w:pPr>
      <w:r w:rsidRPr="00A648E3">
        <w:rPr>
          <w:rFonts w:hAnsi="Times New Roman" w:hint="eastAsia"/>
          <w:bCs w:val="0"/>
          <w:szCs w:val="20"/>
        </w:rPr>
        <w:t xml:space="preserve">    </w:t>
      </w:r>
      <w:proofErr w:type="gramStart"/>
      <w:r w:rsidR="002D129A" w:rsidRPr="00A648E3">
        <w:rPr>
          <w:rFonts w:hAnsi="Times New Roman" w:hint="eastAsia"/>
          <w:bCs w:val="0"/>
          <w:szCs w:val="20"/>
        </w:rPr>
        <w:t>此外，</w:t>
      </w:r>
      <w:proofErr w:type="gramEnd"/>
      <w:r w:rsidR="002D129A" w:rsidRPr="00A648E3">
        <w:rPr>
          <w:rFonts w:hAnsi="Times New Roman" w:hint="eastAsia"/>
          <w:bCs w:val="0"/>
          <w:szCs w:val="20"/>
        </w:rPr>
        <w:t>教育</w:t>
      </w:r>
      <w:r w:rsidR="002D129A" w:rsidRPr="00A648E3">
        <w:rPr>
          <w:rFonts w:hint="eastAsia"/>
        </w:rPr>
        <w:t>部表示</w:t>
      </w:r>
      <w:bookmarkStart w:id="58" w:name="_Hlk210292926"/>
      <w:r w:rsidR="00D51F95">
        <w:rPr>
          <w:rFonts w:hint="eastAsia"/>
        </w:rPr>
        <w:t>：</w:t>
      </w:r>
      <w:r w:rsidR="002D129A" w:rsidRPr="00A648E3">
        <w:rPr>
          <w:rFonts w:hint="eastAsia"/>
        </w:rPr>
        <w:t>「</w:t>
      </w:r>
      <w:r w:rsidR="002D129A" w:rsidRPr="00A648E3">
        <w:t>行政調查與司法審判結果若能相符，原則上是最理想的</w:t>
      </w:r>
      <w:r w:rsidR="002D129A" w:rsidRPr="00A648E3">
        <w:rPr>
          <w:rFonts w:hint="eastAsia"/>
        </w:rPr>
        <w:t>，</w:t>
      </w:r>
      <w:r w:rsidR="002D129A" w:rsidRPr="00A648E3">
        <w:t>然而由於前述因素影響，兩者仍可能出現調查結果不一致的情形</w:t>
      </w:r>
      <w:r w:rsidR="002D129A" w:rsidRPr="00A648E3">
        <w:rPr>
          <w:rFonts w:hint="eastAsia"/>
        </w:rPr>
        <w:t>，</w:t>
      </w:r>
      <w:r w:rsidR="002D129A" w:rsidRPr="00A648E3">
        <w:t>因此</w:t>
      </w:r>
      <w:proofErr w:type="gramStart"/>
      <w:r w:rsidR="002D129A" w:rsidRPr="00A648E3">
        <w:t>日後似得透過</w:t>
      </w:r>
      <w:proofErr w:type="gramEnd"/>
      <w:r w:rsidR="002D129A" w:rsidRPr="00A648E3">
        <w:t>提升委員專業度、建立與</w:t>
      </w:r>
      <w:proofErr w:type="gramStart"/>
      <w:r w:rsidR="002D129A" w:rsidRPr="00A648E3">
        <w:t>司法</w:t>
      </w:r>
      <w:bookmarkStart w:id="59" w:name="_Hlk210292936"/>
      <w:bookmarkEnd w:id="58"/>
      <w:r w:rsidR="002D129A" w:rsidRPr="00A648E3">
        <w:t>間的溝通</w:t>
      </w:r>
      <w:proofErr w:type="gramEnd"/>
      <w:r w:rsidR="002D129A" w:rsidRPr="00A648E3">
        <w:t>機制等方式，使兩者調查結果朝一致方向努力。</w:t>
      </w:r>
      <w:bookmarkEnd w:id="59"/>
      <w:r w:rsidR="002D129A" w:rsidRPr="00A648E3">
        <w:rPr>
          <w:rFonts w:hint="eastAsia"/>
        </w:rPr>
        <w:t>」等語。</w:t>
      </w:r>
      <w:r w:rsidR="00C2459D" w:rsidRPr="00A648E3">
        <w:rPr>
          <w:rFonts w:hint="eastAsia"/>
        </w:rPr>
        <w:t>換言之，</w:t>
      </w:r>
      <w:r w:rsidR="00A61B17" w:rsidRPr="00A648E3">
        <w:t>性別事件行政調查與司法偵查審判結果相異</w:t>
      </w:r>
      <w:r w:rsidR="00A61B17" w:rsidRPr="00A648E3">
        <w:rPr>
          <w:rFonts w:hint="eastAsia"/>
        </w:rPr>
        <w:t>之情形，尚且無法完全避免。</w:t>
      </w:r>
    </w:p>
    <w:p w14:paraId="73C8B120" w14:textId="4221E799" w:rsidR="00AE3B58" w:rsidRPr="00B14D87" w:rsidRDefault="00AE3B58" w:rsidP="00EC2969">
      <w:pPr>
        <w:pStyle w:val="3"/>
        <w:widowControl/>
        <w:numPr>
          <w:ilvl w:val="2"/>
          <w:numId w:val="1"/>
        </w:numPr>
        <w:kinsoku/>
        <w:overflowPunct/>
        <w:autoSpaceDE/>
        <w:autoSpaceDN/>
        <w:rPr>
          <w:rFonts w:hAnsi="Times New Roman"/>
          <w:bCs w:val="0"/>
          <w:szCs w:val="20"/>
        </w:rPr>
      </w:pPr>
      <w:r w:rsidRPr="00A648E3">
        <w:rPr>
          <w:rFonts w:hAnsi="標楷體" w:hint="eastAsia"/>
        </w:rPr>
        <w:t>查</w:t>
      </w:r>
      <w:r w:rsidR="00A971C8" w:rsidRPr="00A648E3">
        <w:rPr>
          <w:rFonts w:hAnsi="標楷體" w:hint="eastAsia"/>
        </w:rPr>
        <w:t>東華大學性平會</w:t>
      </w:r>
      <w:r w:rsidR="00C329B2" w:rsidRPr="00A648E3">
        <w:rPr>
          <w:rFonts w:hAnsi="標楷體" w:hint="eastAsia"/>
        </w:rPr>
        <w:t>對於</w:t>
      </w:r>
      <w:r w:rsidR="00A971C8" w:rsidRPr="00A648E3">
        <w:rPr>
          <w:rFonts w:hint="eastAsia"/>
        </w:rPr>
        <w:t>性別事件第1120808號案</w:t>
      </w:r>
      <w:r w:rsidR="00A971C8" w:rsidRPr="00A648E3">
        <w:rPr>
          <w:rFonts w:hAnsi="標楷體" w:hint="eastAsia"/>
        </w:rPr>
        <w:t>於112年10月5日做成之調查報告初稿，曾經兩度退請</w:t>
      </w:r>
      <w:r w:rsidR="003A47E0" w:rsidRPr="00A648E3">
        <w:rPr>
          <w:rFonts w:hAnsi="標楷體" w:hint="eastAsia"/>
        </w:rPr>
        <w:t>該</w:t>
      </w:r>
      <w:r w:rsidR="00A971C8" w:rsidRPr="00A648E3">
        <w:rPr>
          <w:rFonts w:hAnsi="標楷體" w:hint="eastAsia"/>
        </w:rPr>
        <w:t>調查小組</w:t>
      </w:r>
      <w:r w:rsidR="007469D8">
        <w:rPr>
          <w:rStyle w:val="afe"/>
          <w:rFonts w:hAnsi="標楷體"/>
        </w:rPr>
        <w:footnoteReference w:id="3"/>
      </w:r>
      <w:r w:rsidR="00A971C8" w:rsidRPr="00A648E3">
        <w:rPr>
          <w:rFonts w:hAnsi="標楷體" w:hint="eastAsia"/>
        </w:rPr>
        <w:t>就</w:t>
      </w:r>
      <w:r w:rsidR="003A47E0" w:rsidRPr="00A648E3">
        <w:rPr>
          <w:rFonts w:hAnsi="標楷體" w:hint="eastAsia"/>
        </w:rPr>
        <w:t>1.</w:t>
      </w:r>
      <w:r w:rsidR="00A971C8" w:rsidRPr="00A648E3">
        <w:rPr>
          <w:rFonts w:hAnsi="標楷體" w:hint="eastAsia"/>
        </w:rPr>
        <w:t>「乙師有在性行為過程中聽到</w:t>
      </w:r>
      <w:proofErr w:type="gramStart"/>
      <w:r w:rsidR="00A971C8" w:rsidRPr="00A648E3">
        <w:rPr>
          <w:rFonts w:hAnsi="標楷體" w:hint="eastAsia"/>
        </w:rPr>
        <w:t>甲師說</w:t>
      </w:r>
      <w:proofErr w:type="gramEnd"/>
      <w:r w:rsidR="00A971C8" w:rsidRPr="00A648E3">
        <w:rPr>
          <w:rFonts w:hAnsi="標楷體" w:hint="eastAsia"/>
        </w:rPr>
        <w:t>『不要』，</w:t>
      </w:r>
      <w:proofErr w:type="gramStart"/>
      <w:r w:rsidR="00A971C8" w:rsidRPr="00A648E3">
        <w:rPr>
          <w:rFonts w:hAnsi="標楷體" w:hint="eastAsia"/>
        </w:rPr>
        <w:t>乙師對</w:t>
      </w:r>
      <w:proofErr w:type="gramEnd"/>
      <w:r w:rsidR="00A971C8" w:rsidRPr="00A648E3">
        <w:rPr>
          <w:rFonts w:hAnsi="標楷體" w:hint="eastAsia"/>
        </w:rPr>
        <w:t>此解釋為欲迎還拒」、</w:t>
      </w:r>
      <w:r w:rsidR="003A47E0" w:rsidRPr="00A648E3">
        <w:rPr>
          <w:rFonts w:hAnsi="標楷體" w:hint="eastAsia"/>
        </w:rPr>
        <w:t>2.</w:t>
      </w:r>
      <w:r w:rsidR="00A971C8" w:rsidRPr="00A648E3">
        <w:rPr>
          <w:rFonts w:hAnsi="標楷體" w:hint="eastAsia"/>
        </w:rPr>
        <w:t>「</w:t>
      </w:r>
      <w:proofErr w:type="gramStart"/>
      <w:r w:rsidR="00A971C8" w:rsidRPr="00A648E3">
        <w:rPr>
          <w:rFonts w:hAnsi="標楷體" w:hint="eastAsia"/>
        </w:rPr>
        <w:t>乙師所</w:t>
      </w:r>
      <w:proofErr w:type="gramEnd"/>
      <w:r w:rsidR="00A971C8" w:rsidRPr="00A648E3">
        <w:rPr>
          <w:rFonts w:hAnsi="標楷體" w:hint="eastAsia"/>
        </w:rPr>
        <w:t>書之切結書有無證據力」</w:t>
      </w:r>
      <w:r w:rsidR="003A47E0" w:rsidRPr="00A648E3">
        <w:rPr>
          <w:rFonts w:hAnsi="標楷體" w:hint="eastAsia"/>
        </w:rPr>
        <w:t>兩</w:t>
      </w:r>
      <w:r w:rsidR="00A971C8" w:rsidRPr="00A648E3">
        <w:rPr>
          <w:rFonts w:hAnsi="標楷體" w:hint="eastAsia"/>
        </w:rPr>
        <w:t>項爭點進行補強論述；顯見，該校性平會對於其調查小組所為之調查結論尚非完全無疑，惟基於調查核心不宜介入、尊重調查小組調查結果等立場，至112年11月10日</w:t>
      </w:r>
      <w:r w:rsidR="00A971C8" w:rsidRPr="00A648E3">
        <w:rPr>
          <w:rFonts w:hAnsi="標楷體" w:hint="eastAsia"/>
        </w:rPr>
        <w:lastRenderedPageBreak/>
        <w:t>終於核定</w:t>
      </w:r>
      <w:r w:rsidR="00472AD0" w:rsidRPr="00A648E3">
        <w:rPr>
          <w:rFonts w:hAnsi="標楷體" w:hint="eastAsia"/>
        </w:rPr>
        <w:t>該件調查報告。</w:t>
      </w:r>
      <w:r w:rsidRPr="00A648E3">
        <w:rPr>
          <w:rFonts w:hAnsi="標楷體" w:hint="eastAsia"/>
        </w:rPr>
        <w:t>是</w:t>
      </w:r>
      <w:proofErr w:type="gramStart"/>
      <w:r w:rsidRPr="00A648E3">
        <w:rPr>
          <w:rFonts w:hAnsi="標楷體" w:hint="eastAsia"/>
        </w:rPr>
        <w:t>以</w:t>
      </w:r>
      <w:proofErr w:type="gramEnd"/>
      <w:r w:rsidRPr="00A648E3">
        <w:rPr>
          <w:rFonts w:hAnsi="標楷體" w:hint="eastAsia"/>
        </w:rPr>
        <w:t>，</w:t>
      </w:r>
      <w:r w:rsidR="00472AD0" w:rsidRPr="00A648E3">
        <w:rPr>
          <w:rFonts w:hAnsi="標楷體" w:hint="eastAsia"/>
        </w:rPr>
        <w:t>依據本案目前掌握之證據，尚難認定東華大學</w:t>
      </w:r>
      <w:r w:rsidR="00472AD0" w:rsidRPr="00A648E3">
        <w:rPr>
          <w:rFonts w:hint="eastAsia"/>
        </w:rPr>
        <w:t>性別事件第1120808號</w:t>
      </w:r>
      <w:r w:rsidR="00472AD0" w:rsidRPr="00B14D87">
        <w:rPr>
          <w:rFonts w:hint="eastAsia"/>
        </w:rPr>
        <w:t>案</w:t>
      </w:r>
      <w:r w:rsidR="005100B5" w:rsidRPr="00B14D87">
        <w:rPr>
          <w:rFonts w:hint="eastAsia"/>
        </w:rPr>
        <w:t>有故意偏袒</w:t>
      </w:r>
      <w:r w:rsidR="00472AD0" w:rsidRPr="00B14D87">
        <w:rPr>
          <w:rFonts w:hint="eastAsia"/>
        </w:rPr>
        <w:t>乙師</w:t>
      </w:r>
      <w:r w:rsidR="005100B5" w:rsidRPr="00B14D87">
        <w:rPr>
          <w:rFonts w:hint="eastAsia"/>
        </w:rPr>
        <w:t>之情。</w:t>
      </w:r>
    </w:p>
    <w:p w14:paraId="1EA79390" w14:textId="534B2C8E" w:rsidR="006175F2" w:rsidRPr="00B14D87" w:rsidRDefault="006B128C" w:rsidP="002E6C76">
      <w:pPr>
        <w:pStyle w:val="3"/>
        <w:widowControl/>
        <w:numPr>
          <w:ilvl w:val="2"/>
          <w:numId w:val="1"/>
        </w:numPr>
        <w:kinsoku/>
        <w:overflowPunct/>
        <w:autoSpaceDE/>
        <w:autoSpaceDN/>
        <w:rPr>
          <w:rFonts w:hAnsi="Times New Roman"/>
          <w:bCs w:val="0"/>
          <w:szCs w:val="20"/>
        </w:rPr>
      </w:pPr>
      <w:r w:rsidRPr="00B14D87">
        <w:rPr>
          <w:rFonts w:hAnsi="標楷體" w:hint="eastAsia"/>
        </w:rPr>
        <w:t>然而，</w:t>
      </w:r>
      <w:r w:rsidRPr="00B14D87">
        <w:rPr>
          <w:rFonts w:hAnsi="Times New Roman" w:hint="eastAsia"/>
          <w:bCs w:val="0"/>
          <w:szCs w:val="20"/>
        </w:rPr>
        <w:t>行政調查以瞭解事實真相為目的(行政程序法第42條參照)，行政程序法第39、40條等，亦已明文規定行政機關有權通知相關人、第三人陳述意見或提供必要資料等</w:t>
      </w:r>
      <w:r w:rsidR="00DA4521" w:rsidRPr="00B14D87">
        <w:rPr>
          <w:rFonts w:hAnsi="Times New Roman" w:hint="eastAsia"/>
          <w:bCs w:val="0"/>
          <w:szCs w:val="20"/>
        </w:rPr>
        <w:t>；復以</w:t>
      </w:r>
      <w:r w:rsidR="006175F2" w:rsidRPr="00B14D87">
        <w:rPr>
          <w:rFonts w:hAnsi="Times New Roman" w:hint="eastAsia"/>
          <w:bCs w:val="0"/>
          <w:szCs w:val="20"/>
        </w:rPr>
        <w:t>性侵害犯罪通常為「密室犯罪」，具隱密性，</w:t>
      </w:r>
      <w:r w:rsidR="00733162" w:rsidRPr="00B14D87">
        <w:rPr>
          <w:rFonts w:hAnsi="Times New Roman" w:hint="eastAsia"/>
          <w:bCs w:val="0"/>
          <w:szCs w:val="20"/>
        </w:rPr>
        <w:t>司法實務已見審理時運用</w:t>
      </w:r>
      <w:r w:rsidR="006175F2" w:rsidRPr="00B14D87">
        <w:rPr>
          <w:rFonts w:hAnsi="Times New Roman" w:hint="eastAsia"/>
          <w:bCs w:val="0"/>
          <w:szCs w:val="20"/>
        </w:rPr>
        <w:t>被害人指述以外</w:t>
      </w:r>
      <w:r w:rsidR="00733162" w:rsidRPr="00B14D87">
        <w:rPr>
          <w:rFonts w:hAnsi="Times New Roman" w:hint="eastAsia"/>
          <w:bCs w:val="0"/>
          <w:szCs w:val="20"/>
        </w:rPr>
        <w:t>之補強證據，進行合理推論、綜合判斷：</w:t>
      </w:r>
    </w:p>
    <w:p w14:paraId="7A1D2251" w14:textId="13942F3E" w:rsidR="00733162" w:rsidRPr="00B14D87" w:rsidRDefault="00733162" w:rsidP="00733162">
      <w:pPr>
        <w:pStyle w:val="4"/>
        <w:rPr>
          <w:rFonts w:hAnsi="Times New Roman"/>
          <w:szCs w:val="20"/>
        </w:rPr>
      </w:pPr>
      <w:r w:rsidRPr="00B14D87">
        <w:rPr>
          <w:rFonts w:hint="eastAsia"/>
        </w:rPr>
        <w:t>最高法院</w:t>
      </w:r>
      <w:proofErr w:type="gramStart"/>
      <w:r w:rsidRPr="00B14D87">
        <w:rPr>
          <w:rFonts w:hint="eastAsia"/>
        </w:rPr>
        <w:t>111</w:t>
      </w:r>
      <w:proofErr w:type="gramEnd"/>
      <w:r w:rsidRPr="00B14D87">
        <w:rPr>
          <w:rFonts w:hint="eastAsia"/>
        </w:rPr>
        <w:t>年度台上字第4783號刑事判決</w:t>
      </w:r>
      <w:proofErr w:type="gramStart"/>
      <w:r w:rsidRPr="00B14D87">
        <w:rPr>
          <w:rFonts w:hint="eastAsia"/>
        </w:rPr>
        <w:t>要旨略已</w:t>
      </w:r>
      <w:proofErr w:type="gramEnd"/>
      <w:r w:rsidRPr="00B14D87">
        <w:rPr>
          <w:rFonts w:hint="eastAsia"/>
        </w:rPr>
        <w:t>，</w:t>
      </w:r>
      <w:r w:rsidRPr="00B14D87">
        <w:t>性侵害犯罪</w:t>
      </w:r>
      <w:r w:rsidRPr="00B14D87">
        <w:rPr>
          <w:rFonts w:hint="eastAsia"/>
        </w:rPr>
        <w:t>多為私密行為，通常為密室犯罪，尤其家</w:t>
      </w:r>
      <w:proofErr w:type="gramStart"/>
      <w:r w:rsidRPr="00B14D87">
        <w:rPr>
          <w:rFonts w:hint="eastAsia"/>
        </w:rPr>
        <w:t>內性侵案件</w:t>
      </w:r>
      <w:proofErr w:type="gramEnd"/>
      <w:r w:rsidRPr="00B14D87">
        <w:rPr>
          <w:rFonts w:hint="eastAsia"/>
        </w:rPr>
        <w:t>，常見被害人不論基於家庭和諧或其他</w:t>
      </w:r>
      <w:r w:rsidRPr="00B14D87">
        <w:rPr>
          <w:rFonts w:hAnsi="Times New Roman" w:hint="eastAsia"/>
          <w:szCs w:val="20"/>
        </w:rPr>
        <w:t>生活、經濟、情感上考量，而未即時報案，歷時長久，自難有效採集各項跡證之情形，在欠缺被害人指述以外之其他</w:t>
      </w:r>
      <w:r w:rsidRPr="00B14D87">
        <w:rPr>
          <w:rFonts w:hAnsi="Times New Roman"/>
          <w:szCs w:val="20"/>
        </w:rPr>
        <w:t>補強證據</w:t>
      </w:r>
      <w:r w:rsidRPr="00B14D87">
        <w:rPr>
          <w:rFonts w:hAnsi="Times New Roman" w:hint="eastAsia"/>
          <w:szCs w:val="20"/>
        </w:rPr>
        <w:t>，運用</w:t>
      </w:r>
      <w:r w:rsidRPr="00B14D87">
        <w:rPr>
          <w:rFonts w:hAnsi="Times New Roman"/>
          <w:szCs w:val="20"/>
        </w:rPr>
        <w:t>間接證據</w:t>
      </w:r>
      <w:r w:rsidRPr="00B14D87">
        <w:rPr>
          <w:rFonts w:hAnsi="Times New Roman" w:hint="eastAsia"/>
          <w:szCs w:val="20"/>
        </w:rPr>
        <w:t>或情況證據，以為合理推論自屬必要。</w:t>
      </w:r>
    </w:p>
    <w:p w14:paraId="1BD15EE9" w14:textId="7E1585E4" w:rsidR="00733162" w:rsidRPr="00B14D87" w:rsidRDefault="00733162" w:rsidP="00733162">
      <w:pPr>
        <w:pStyle w:val="4"/>
      </w:pPr>
      <w:r w:rsidRPr="00B14D87">
        <w:rPr>
          <w:rFonts w:hAnsi="Times New Roman" w:hint="eastAsia"/>
          <w:szCs w:val="20"/>
        </w:rPr>
        <w:t>最高法院</w:t>
      </w:r>
      <w:proofErr w:type="gramStart"/>
      <w:r w:rsidRPr="00B14D87">
        <w:rPr>
          <w:rFonts w:hAnsi="Times New Roman" w:hint="eastAsia"/>
          <w:szCs w:val="20"/>
        </w:rPr>
        <w:t>113</w:t>
      </w:r>
      <w:proofErr w:type="gramEnd"/>
      <w:r w:rsidRPr="00B14D87">
        <w:rPr>
          <w:rFonts w:hAnsi="Times New Roman" w:hint="eastAsia"/>
          <w:szCs w:val="20"/>
        </w:rPr>
        <w:t>年度台上字第2627號刑事判決要旨略</w:t>
      </w:r>
      <w:proofErr w:type="gramStart"/>
      <w:r w:rsidRPr="00B14D87">
        <w:rPr>
          <w:rFonts w:hAnsi="Times New Roman" w:hint="eastAsia"/>
          <w:szCs w:val="20"/>
        </w:rPr>
        <w:t>以</w:t>
      </w:r>
      <w:proofErr w:type="gramEnd"/>
      <w:r w:rsidRPr="00B14D87">
        <w:rPr>
          <w:rFonts w:hAnsi="Times New Roman" w:hint="eastAsia"/>
          <w:szCs w:val="20"/>
        </w:rPr>
        <w:t>：性侵害犯罪具有隱密性，舉證或</w:t>
      </w:r>
      <w:proofErr w:type="gramStart"/>
      <w:r w:rsidRPr="00B14D87">
        <w:rPr>
          <w:rFonts w:hAnsi="Times New Roman" w:hint="eastAsia"/>
          <w:szCs w:val="20"/>
        </w:rPr>
        <w:t>查證均屬不易</w:t>
      </w:r>
      <w:proofErr w:type="gramEnd"/>
      <w:r w:rsidRPr="00B14D87">
        <w:rPr>
          <w:rFonts w:hAnsi="Times New Roman" w:hint="eastAsia"/>
          <w:szCs w:val="20"/>
        </w:rPr>
        <w:t>，除被害人之陳述本身</w:t>
      </w:r>
      <w:proofErr w:type="gramStart"/>
      <w:r w:rsidRPr="00B14D87">
        <w:rPr>
          <w:rFonts w:hAnsi="Times New Roman" w:hint="eastAsia"/>
          <w:szCs w:val="20"/>
        </w:rPr>
        <w:t>以外，</w:t>
      </w:r>
      <w:proofErr w:type="gramEnd"/>
      <w:r w:rsidRPr="00B14D87">
        <w:rPr>
          <w:rFonts w:hAnsi="Times New Roman" w:hint="eastAsia"/>
          <w:szCs w:val="20"/>
        </w:rPr>
        <w:t>固須補強證據，但所謂補強證據，不以證明犯罪構成要件之全部事實為必要，無論是直接證據、間接證據，或係間接事實之本身即情況證據，只須與被害人指述具有相當關聯性，且與被害人之指證相互印證，綜合判斷，能保障實質證據之真實性，仍不得謂其</w:t>
      </w:r>
      <w:proofErr w:type="gramStart"/>
      <w:r w:rsidRPr="00B14D87">
        <w:rPr>
          <w:rFonts w:hAnsi="Times New Roman" w:hint="eastAsia"/>
          <w:szCs w:val="20"/>
        </w:rPr>
        <w:t>非屬補強</w:t>
      </w:r>
      <w:proofErr w:type="gramEnd"/>
      <w:r w:rsidRPr="00B14D87">
        <w:rPr>
          <w:rFonts w:hAnsi="Times New Roman" w:hint="eastAsia"/>
          <w:szCs w:val="20"/>
        </w:rPr>
        <w:t>證據。</w:t>
      </w:r>
    </w:p>
    <w:p w14:paraId="28071D2C" w14:textId="60151C73" w:rsidR="00DA4521" w:rsidRPr="00B14D87" w:rsidRDefault="00842EAD" w:rsidP="00265FDD">
      <w:pPr>
        <w:pStyle w:val="3"/>
        <w:widowControl/>
        <w:numPr>
          <w:ilvl w:val="2"/>
          <w:numId w:val="1"/>
        </w:numPr>
        <w:kinsoku/>
        <w:overflowPunct/>
        <w:autoSpaceDE/>
        <w:autoSpaceDN/>
        <w:rPr>
          <w:rFonts w:hAnsi="Times New Roman"/>
          <w:bCs w:val="0"/>
          <w:szCs w:val="20"/>
        </w:rPr>
      </w:pPr>
      <w:r w:rsidRPr="00B14D87">
        <w:rPr>
          <w:rFonts w:hint="eastAsia"/>
          <w:bCs w:val="0"/>
        </w:rPr>
        <w:t>又</w:t>
      </w:r>
      <w:r w:rsidR="00733162" w:rsidRPr="00B14D87">
        <w:rPr>
          <w:rFonts w:hint="eastAsia"/>
          <w:bCs w:val="0"/>
        </w:rPr>
        <w:t>，</w:t>
      </w:r>
      <w:r w:rsidR="00DA4521" w:rsidRPr="00B14D87">
        <w:rPr>
          <w:rFonts w:hint="eastAsia"/>
          <w:bCs w:val="0"/>
        </w:rPr>
        <w:t>本案花蓮地院114年7月17日裁判參照最高法院</w:t>
      </w:r>
      <w:proofErr w:type="gramStart"/>
      <w:r w:rsidR="00DA4521" w:rsidRPr="00B14D87">
        <w:rPr>
          <w:rFonts w:hint="eastAsia"/>
          <w:bCs w:val="0"/>
        </w:rPr>
        <w:t>111</w:t>
      </w:r>
      <w:proofErr w:type="gramEnd"/>
      <w:r w:rsidR="00DA4521" w:rsidRPr="00B14D87">
        <w:rPr>
          <w:rFonts w:hint="eastAsia"/>
          <w:bCs w:val="0"/>
        </w:rPr>
        <w:t>年度台上字第</w:t>
      </w:r>
      <w:r w:rsidR="00DA4521" w:rsidRPr="00B14D87">
        <w:rPr>
          <w:rFonts w:hint="eastAsia"/>
        </w:rPr>
        <w:t>499號刑事判決意旨指出，</w:t>
      </w:r>
      <w:proofErr w:type="gramStart"/>
      <w:r w:rsidR="00DA4521" w:rsidRPr="00A648E3">
        <w:rPr>
          <w:rFonts w:hint="eastAsia"/>
        </w:rPr>
        <w:t>鑑</w:t>
      </w:r>
      <w:proofErr w:type="gramEnd"/>
      <w:r w:rsidR="00DA4521" w:rsidRPr="00A648E3">
        <w:rPr>
          <w:rFonts w:hint="eastAsia"/>
        </w:rPr>
        <w:t>於保障婦女權益已成國際</w:t>
      </w:r>
      <w:r w:rsidR="00DA4521" w:rsidRPr="00A648E3">
        <w:t>人權</w:t>
      </w:r>
      <w:r w:rsidR="00DA4521" w:rsidRPr="00A648E3">
        <w:rPr>
          <w:rFonts w:hint="eastAsia"/>
        </w:rPr>
        <w:t>主流價值，我國為提升我國之性別人權標準，落實性別平等，經立法</w:t>
      </w:r>
      <w:r w:rsidR="00DA4521" w:rsidRPr="00A648E3">
        <w:rPr>
          <w:rFonts w:hint="eastAsia"/>
        </w:rPr>
        <w:lastRenderedPageBreak/>
        <w:t>院於96年1月5日議決，2月9日總統批准並頒發加入書，明定</w:t>
      </w:r>
      <w:r w:rsidR="00DA4521">
        <w:rPr>
          <w:rFonts w:hint="eastAsia"/>
        </w:rPr>
        <w:t>「消除對婦女一切形式歧視公約」(</w:t>
      </w:r>
      <w:r w:rsidR="00DA4521" w:rsidRPr="00B4177E">
        <w:t>Convention on the Elimination of All Forms of Discrimination against Women</w:t>
      </w:r>
      <w:r w:rsidR="00DA4521" w:rsidRPr="00B4177E">
        <w:rPr>
          <w:rFonts w:hint="eastAsia"/>
        </w:rPr>
        <w:t>，</w:t>
      </w:r>
      <w:r w:rsidR="00DA4521">
        <w:rPr>
          <w:rFonts w:hint="eastAsia"/>
        </w:rPr>
        <w:t>下稱</w:t>
      </w:r>
      <w:r w:rsidR="00DA4521" w:rsidRPr="00A648E3">
        <w:rPr>
          <w:rFonts w:hint="eastAsia"/>
        </w:rPr>
        <w:t>CEDAW</w:t>
      </w:r>
      <w:r w:rsidR="00DA4521">
        <w:rPr>
          <w:rFonts w:hint="eastAsia"/>
        </w:rPr>
        <w:t>)</w:t>
      </w:r>
      <w:r w:rsidR="00DA4521" w:rsidRPr="00A648E3">
        <w:rPr>
          <w:rFonts w:hint="eastAsia"/>
        </w:rPr>
        <w:t>具國內法效力，並經立法院於100年5月20日三讀通過，於同年6月8日公布「消除對婦女一切形式歧視公約施行法」。意在促使我國性別人權狀況與國際接軌，兩性權益均獲得平等保障，性別歧視逐步消除。落實在性侵害事件，主要為打破以往對於性別刻板印象及普遍存在</w:t>
      </w:r>
      <w:r w:rsidR="00DA4521" w:rsidRPr="00A648E3">
        <w:t>性侵害犯罪</w:t>
      </w:r>
      <w:r w:rsidR="00DA4521" w:rsidRPr="00A648E3">
        <w:rPr>
          <w:rFonts w:hint="eastAsia"/>
        </w:rPr>
        <w:t>迷思。強調「性自主決定權」即「性同意權」，意指任何性行為都應建立在相互尊重，</w:t>
      </w:r>
      <w:r w:rsidR="00DA4521" w:rsidRPr="00A648E3">
        <w:t>彼</w:t>
      </w:r>
      <w:r w:rsidR="00DA4521" w:rsidRPr="00A648E3">
        <w:rPr>
          <w:rFonts w:hint="eastAsia"/>
        </w:rPr>
        <w:t>此同意的基礎上，絕對是「No means No 」「only Yes means Yes」，即「</w:t>
      </w:r>
      <w:proofErr w:type="gramStart"/>
      <w:r w:rsidR="00DA4521" w:rsidRPr="00A648E3">
        <w:rPr>
          <w:rFonts w:hint="eastAsia"/>
        </w:rPr>
        <w:t>說不就是</w:t>
      </w:r>
      <w:proofErr w:type="gramEnd"/>
      <w:r w:rsidR="00DA4521" w:rsidRPr="00A648E3">
        <w:rPr>
          <w:rFonts w:hint="eastAsia"/>
        </w:rPr>
        <w:t>不！」、「她（或他）說願意才是願意！」、「沒有得到清楚明瞭的同意，就是不同意！」。</w:t>
      </w:r>
      <w:r w:rsidR="00DA4521" w:rsidRPr="00A648E3">
        <w:t>申言之</w:t>
      </w:r>
      <w:r w:rsidR="00DA4521" w:rsidRPr="00A648E3">
        <w:rPr>
          <w:rFonts w:hint="eastAsia"/>
        </w:rPr>
        <w:t>，要求性主動的一方有責任確認對方在「完全清醒」的狀態下「同意」，無所謂「沒有說不行，就等於願意」或有「半推半就」的模糊空間，猶不得將性侵害的發生歸咎於被害者個人因素或反應（例如不得將被害人穿著曝露或從事與性相關之特殊行業等作為發生性行為的藉口，或指摘被害人何以</w:t>
      </w:r>
      <w:proofErr w:type="gramStart"/>
      <w:r w:rsidR="00DA4521" w:rsidRPr="00A648E3">
        <w:rPr>
          <w:rFonts w:hint="eastAsia"/>
        </w:rPr>
        <w:t>不</w:t>
      </w:r>
      <w:proofErr w:type="gramEnd"/>
      <w:r w:rsidR="00DA4521" w:rsidRPr="00A648E3">
        <w:rPr>
          <w:rFonts w:hint="eastAsia"/>
        </w:rPr>
        <w:t>當場求救、立即報案、保全證據，或以被害人事後態度自若，仍與加害者保有曖昧、連</w:t>
      </w:r>
      <w:proofErr w:type="gramStart"/>
      <w:r w:rsidR="00DA4521" w:rsidRPr="00A648E3">
        <w:rPr>
          <w:rFonts w:hint="eastAsia"/>
        </w:rPr>
        <w:t>繫</w:t>
      </w:r>
      <w:proofErr w:type="gramEnd"/>
      <w:r w:rsidR="00DA4521" w:rsidRPr="00A648E3">
        <w:rPr>
          <w:rFonts w:hint="eastAsia"/>
        </w:rPr>
        <w:t>等情狀即推認被害者應已同意而合理化加害者先前未經確認所發生的性行為），卻忽視加害者在性行為發生時是否</w:t>
      </w:r>
      <w:r w:rsidR="00DA4521" w:rsidRPr="00B14D87">
        <w:rPr>
          <w:rFonts w:hint="eastAsia"/>
        </w:rPr>
        <w:t>確保對方是在自願情況下的責任。</w:t>
      </w:r>
    </w:p>
    <w:p w14:paraId="41F8B4C2" w14:textId="423186B0" w:rsidR="00A971C8" w:rsidRPr="00076AA9" w:rsidRDefault="00733162" w:rsidP="002E6C76">
      <w:pPr>
        <w:pStyle w:val="3"/>
        <w:widowControl/>
        <w:numPr>
          <w:ilvl w:val="2"/>
          <w:numId w:val="1"/>
        </w:numPr>
        <w:kinsoku/>
        <w:overflowPunct/>
        <w:autoSpaceDE/>
        <w:autoSpaceDN/>
        <w:rPr>
          <w:rFonts w:hAnsi="Times New Roman"/>
          <w:bCs w:val="0"/>
          <w:szCs w:val="20"/>
        </w:rPr>
      </w:pPr>
      <w:r w:rsidRPr="00B14D87">
        <w:rPr>
          <w:rFonts w:hAnsi="Times New Roman" w:hint="eastAsia"/>
          <w:b/>
          <w:szCs w:val="20"/>
        </w:rPr>
        <w:t>是</w:t>
      </w:r>
      <w:proofErr w:type="gramStart"/>
      <w:r w:rsidRPr="00B14D87">
        <w:rPr>
          <w:rFonts w:hAnsi="Times New Roman" w:hint="eastAsia"/>
          <w:b/>
          <w:szCs w:val="20"/>
        </w:rPr>
        <w:t>以</w:t>
      </w:r>
      <w:proofErr w:type="gramEnd"/>
      <w:r w:rsidRPr="00B14D87">
        <w:rPr>
          <w:rFonts w:hAnsi="Times New Roman" w:hint="eastAsia"/>
          <w:b/>
          <w:szCs w:val="20"/>
        </w:rPr>
        <w:t>，程序方面，</w:t>
      </w:r>
      <w:r w:rsidR="00A4535B" w:rsidRPr="00B14D87">
        <w:rPr>
          <w:rFonts w:hint="eastAsia"/>
          <w:b/>
          <w:bCs w:val="0"/>
        </w:rPr>
        <w:t>東華大學性平會調查小組就性別事件第1120808號案之調查，</w:t>
      </w:r>
      <w:r w:rsidR="00082A60" w:rsidRPr="00B14D87">
        <w:rPr>
          <w:rFonts w:hint="eastAsia"/>
          <w:b/>
          <w:bCs w:val="0"/>
        </w:rPr>
        <w:t>僅對</w:t>
      </w:r>
      <w:proofErr w:type="gramStart"/>
      <w:r w:rsidR="00082A60" w:rsidRPr="00B14D87">
        <w:rPr>
          <w:rFonts w:hint="eastAsia"/>
          <w:b/>
          <w:bCs w:val="0"/>
        </w:rPr>
        <w:t>甲師、乙師</w:t>
      </w:r>
      <w:proofErr w:type="gramEnd"/>
      <w:r w:rsidR="00082A60" w:rsidRPr="00B14D87">
        <w:rPr>
          <w:rFonts w:hint="eastAsia"/>
          <w:b/>
          <w:bCs w:val="0"/>
        </w:rPr>
        <w:t>各訪談</w:t>
      </w:r>
      <w:r w:rsidR="006A08AE" w:rsidRPr="00B14D87">
        <w:rPr>
          <w:rFonts w:hint="eastAsia"/>
          <w:b/>
          <w:bCs w:val="0"/>
        </w:rPr>
        <w:t>1</w:t>
      </w:r>
      <w:r w:rsidR="00082A60" w:rsidRPr="00B14D87">
        <w:rPr>
          <w:rFonts w:hint="eastAsia"/>
          <w:b/>
          <w:bCs w:val="0"/>
        </w:rPr>
        <w:t>次，</w:t>
      </w:r>
      <w:r w:rsidR="006A08AE" w:rsidRPr="00B14D87">
        <w:rPr>
          <w:rFonts w:hint="eastAsia"/>
          <w:b/>
          <w:bCs w:val="0"/>
        </w:rPr>
        <w:t>對照</w:t>
      </w:r>
      <w:r w:rsidR="006A08AE" w:rsidRPr="00B14D87">
        <w:rPr>
          <w:rFonts w:hAnsi="標楷體" w:hint="eastAsia"/>
          <w:b/>
          <w:bCs w:val="0"/>
          <w:szCs w:val="32"/>
        </w:rPr>
        <w:t>花蓮地檢署</w:t>
      </w:r>
      <w:r w:rsidR="006A08AE" w:rsidRPr="00B14D87">
        <w:rPr>
          <w:rFonts w:hint="eastAsia"/>
          <w:b/>
          <w:bCs w:val="0"/>
        </w:rPr>
        <w:t>為偵辦此案進行7次偵訊之作法，</w:t>
      </w:r>
      <w:proofErr w:type="gramStart"/>
      <w:r w:rsidR="006A08AE" w:rsidRPr="00B14D87">
        <w:rPr>
          <w:rFonts w:hint="eastAsia"/>
          <w:b/>
          <w:bCs w:val="0"/>
        </w:rPr>
        <w:t>明顯輕省</w:t>
      </w:r>
      <w:proofErr w:type="gramEnd"/>
      <w:r w:rsidR="006A08AE" w:rsidRPr="00B14D87">
        <w:rPr>
          <w:rFonts w:hint="eastAsia"/>
          <w:b/>
          <w:bCs w:val="0"/>
        </w:rPr>
        <w:t>；</w:t>
      </w:r>
      <w:r w:rsidR="00082A60" w:rsidRPr="00B14D87">
        <w:rPr>
          <w:rFonts w:hint="eastAsia"/>
          <w:b/>
          <w:bCs w:val="0"/>
        </w:rPr>
        <w:t>又</w:t>
      </w:r>
      <w:r w:rsidR="006A08AE" w:rsidRPr="00B14D87">
        <w:rPr>
          <w:rFonts w:hint="eastAsia"/>
          <w:b/>
          <w:bCs w:val="0"/>
        </w:rPr>
        <w:t>該校</w:t>
      </w:r>
      <w:r w:rsidR="0052596A" w:rsidRPr="00B14D87">
        <w:rPr>
          <w:rFonts w:hint="eastAsia"/>
          <w:b/>
          <w:bCs w:val="0"/>
        </w:rPr>
        <w:t>所為</w:t>
      </w:r>
      <w:r w:rsidR="006A08AE" w:rsidRPr="00B14D87">
        <w:rPr>
          <w:rFonts w:hint="eastAsia"/>
          <w:b/>
          <w:bCs w:val="0"/>
        </w:rPr>
        <w:t>調查</w:t>
      </w:r>
      <w:r w:rsidR="00082A60" w:rsidRPr="00B14D87">
        <w:rPr>
          <w:rFonts w:hint="eastAsia"/>
          <w:b/>
          <w:bCs w:val="0"/>
        </w:rPr>
        <w:t>未</w:t>
      </w:r>
      <w:r w:rsidR="00E24C4D" w:rsidRPr="00B14D87">
        <w:rPr>
          <w:rFonts w:hint="eastAsia"/>
          <w:b/>
          <w:bCs w:val="0"/>
        </w:rPr>
        <w:t>尋思</w:t>
      </w:r>
      <w:r w:rsidR="00082A60" w:rsidRPr="00B14D87">
        <w:rPr>
          <w:rFonts w:hint="eastAsia"/>
          <w:b/>
          <w:bCs w:val="0"/>
        </w:rPr>
        <w:t>以相關</w:t>
      </w:r>
      <w:r w:rsidR="00082A60" w:rsidRPr="00076AA9">
        <w:rPr>
          <w:rFonts w:hint="eastAsia"/>
          <w:b/>
          <w:bCs w:val="0"/>
        </w:rPr>
        <w:lastRenderedPageBreak/>
        <w:t>人、第三人之意見或資料輔助</w:t>
      </w:r>
      <w:proofErr w:type="gramStart"/>
      <w:r w:rsidR="006A08AE" w:rsidRPr="00076AA9">
        <w:rPr>
          <w:rFonts w:hint="eastAsia"/>
          <w:b/>
          <w:bCs w:val="0"/>
        </w:rPr>
        <w:t>釐</w:t>
      </w:r>
      <w:proofErr w:type="gramEnd"/>
      <w:r w:rsidR="006A08AE" w:rsidRPr="00076AA9">
        <w:rPr>
          <w:rFonts w:hint="eastAsia"/>
          <w:b/>
          <w:bCs w:val="0"/>
        </w:rPr>
        <w:t>清</w:t>
      </w:r>
      <w:r w:rsidR="00082A60" w:rsidRPr="00076AA9">
        <w:rPr>
          <w:rFonts w:hint="eastAsia"/>
          <w:b/>
          <w:bCs w:val="0"/>
        </w:rPr>
        <w:t>真相，</w:t>
      </w:r>
      <w:r w:rsidR="006A08AE" w:rsidRPr="00076AA9">
        <w:rPr>
          <w:rFonts w:hint="eastAsia"/>
          <w:b/>
          <w:bCs w:val="0"/>
        </w:rPr>
        <w:t>亦</w:t>
      </w:r>
      <w:r w:rsidR="00A4535B" w:rsidRPr="00076AA9">
        <w:rPr>
          <w:rFonts w:hint="eastAsia"/>
          <w:b/>
          <w:bCs w:val="0"/>
        </w:rPr>
        <w:t>難認</w:t>
      </w:r>
      <w:r w:rsidR="0052596A" w:rsidRPr="00076AA9">
        <w:rPr>
          <w:rFonts w:hint="eastAsia"/>
          <w:b/>
          <w:bCs w:val="0"/>
        </w:rPr>
        <w:t>已</w:t>
      </w:r>
      <w:r w:rsidR="00BA716C" w:rsidRPr="00076AA9">
        <w:rPr>
          <w:rFonts w:hint="eastAsia"/>
          <w:b/>
          <w:bCs w:val="0"/>
        </w:rPr>
        <w:t>善盡查明之責</w:t>
      </w:r>
      <w:r w:rsidR="006A08AE" w:rsidRPr="00076AA9">
        <w:rPr>
          <w:rFonts w:hAnsi="Times New Roman" w:hint="eastAsia"/>
          <w:bCs w:val="0"/>
          <w:szCs w:val="20"/>
        </w:rPr>
        <w:t>。</w:t>
      </w:r>
      <w:proofErr w:type="gramStart"/>
      <w:r w:rsidR="00082A60" w:rsidRPr="00A648E3">
        <w:rPr>
          <w:rFonts w:hint="eastAsia"/>
        </w:rPr>
        <w:t>茲析述</w:t>
      </w:r>
      <w:proofErr w:type="gramEnd"/>
      <w:r w:rsidR="00082A60" w:rsidRPr="00A648E3">
        <w:rPr>
          <w:rFonts w:hint="eastAsia"/>
        </w:rPr>
        <w:t>如下</w:t>
      </w:r>
      <w:r w:rsidR="00A4535B" w:rsidRPr="00A648E3">
        <w:rPr>
          <w:rFonts w:hint="eastAsia"/>
        </w:rPr>
        <w:t>：</w:t>
      </w:r>
    </w:p>
    <w:p w14:paraId="25B4E69F" w14:textId="6987A02C" w:rsidR="006A08AE" w:rsidRPr="00A648E3" w:rsidRDefault="006A08AE" w:rsidP="006A08AE">
      <w:pPr>
        <w:pStyle w:val="4"/>
      </w:pPr>
      <w:r w:rsidRPr="00A648E3">
        <w:rPr>
          <w:rFonts w:hAnsi="標楷體" w:hint="eastAsia"/>
          <w:szCs w:val="32"/>
        </w:rPr>
        <w:t>花蓮地檢署</w:t>
      </w:r>
      <w:r w:rsidRPr="00A648E3">
        <w:rPr>
          <w:rFonts w:hint="eastAsia"/>
        </w:rPr>
        <w:t>為偵辦此案進行7次偵訊</w:t>
      </w:r>
      <w:r w:rsidR="005F7A08">
        <w:rPr>
          <w:rFonts w:hint="eastAsia"/>
        </w:rPr>
        <w:t>(</w:t>
      </w:r>
      <w:r w:rsidRPr="00A648E3">
        <w:rPr>
          <w:rFonts w:hint="eastAsia"/>
        </w:rPr>
        <w:t>如下表</w:t>
      </w:r>
      <w:r w:rsidR="005F7A08">
        <w:rPr>
          <w:rFonts w:hint="eastAsia"/>
        </w:rPr>
        <w:t>)</w:t>
      </w:r>
      <w:r w:rsidRPr="00A648E3">
        <w:rPr>
          <w:rFonts w:hint="eastAsia"/>
        </w:rPr>
        <w:t>：</w:t>
      </w:r>
    </w:p>
    <w:tbl>
      <w:tblPr>
        <w:tblStyle w:val="af6"/>
        <w:tblW w:w="7087" w:type="dxa"/>
        <w:tblInd w:w="1413" w:type="dxa"/>
        <w:tblLook w:val="04A0" w:firstRow="1" w:lastRow="0" w:firstColumn="1" w:lastColumn="0" w:noHBand="0" w:noVBand="1"/>
      </w:tblPr>
      <w:tblGrid>
        <w:gridCol w:w="850"/>
        <w:gridCol w:w="1701"/>
        <w:gridCol w:w="4536"/>
      </w:tblGrid>
      <w:tr w:rsidR="00A648E3" w:rsidRPr="00A648E3" w14:paraId="3DCEC76A" w14:textId="77777777" w:rsidTr="005F7A08">
        <w:trPr>
          <w:trHeight w:val="315"/>
          <w:tblHeader/>
        </w:trPr>
        <w:tc>
          <w:tcPr>
            <w:tcW w:w="850" w:type="dxa"/>
            <w:vAlign w:val="center"/>
          </w:tcPr>
          <w:p w14:paraId="2800365C" w14:textId="77777777" w:rsidR="006A08AE" w:rsidRPr="00A648E3" w:rsidRDefault="006A08AE" w:rsidP="00D522CB">
            <w:pPr>
              <w:spacing w:line="360" w:lineRule="exact"/>
              <w:jc w:val="center"/>
              <w:rPr>
                <w:rFonts w:hAnsi="標楷體"/>
                <w:b/>
                <w:sz w:val="28"/>
                <w:szCs w:val="28"/>
              </w:rPr>
            </w:pPr>
            <w:r w:rsidRPr="00A648E3">
              <w:rPr>
                <w:rFonts w:hAnsi="標楷體" w:hint="eastAsia"/>
                <w:b/>
                <w:sz w:val="28"/>
                <w:szCs w:val="28"/>
              </w:rPr>
              <w:t>項次</w:t>
            </w:r>
          </w:p>
        </w:tc>
        <w:tc>
          <w:tcPr>
            <w:tcW w:w="1701" w:type="dxa"/>
            <w:vAlign w:val="center"/>
          </w:tcPr>
          <w:p w14:paraId="2B321DAC" w14:textId="77777777" w:rsidR="006A08AE" w:rsidRPr="00A648E3" w:rsidRDefault="006A08AE" w:rsidP="00D522CB">
            <w:pPr>
              <w:spacing w:line="360" w:lineRule="exact"/>
              <w:jc w:val="center"/>
              <w:rPr>
                <w:rFonts w:hAnsi="標楷體"/>
                <w:b/>
                <w:sz w:val="28"/>
                <w:szCs w:val="28"/>
              </w:rPr>
            </w:pPr>
            <w:r w:rsidRPr="00A648E3">
              <w:rPr>
                <w:rFonts w:hAnsi="標楷體" w:hint="eastAsia"/>
                <w:b/>
                <w:sz w:val="28"/>
                <w:szCs w:val="28"/>
              </w:rPr>
              <w:t>日期</w:t>
            </w:r>
          </w:p>
        </w:tc>
        <w:tc>
          <w:tcPr>
            <w:tcW w:w="4536" w:type="dxa"/>
            <w:vAlign w:val="center"/>
          </w:tcPr>
          <w:p w14:paraId="3CA91671" w14:textId="77777777" w:rsidR="006A08AE" w:rsidRPr="00A648E3" w:rsidRDefault="006A08AE" w:rsidP="00D522CB">
            <w:pPr>
              <w:spacing w:line="360" w:lineRule="exact"/>
              <w:jc w:val="center"/>
              <w:rPr>
                <w:rFonts w:hAnsi="標楷體"/>
                <w:b/>
                <w:sz w:val="28"/>
                <w:szCs w:val="28"/>
              </w:rPr>
            </w:pPr>
            <w:r w:rsidRPr="00A648E3">
              <w:rPr>
                <w:rFonts w:hAnsi="標楷體" w:hint="eastAsia"/>
                <w:b/>
                <w:sz w:val="28"/>
                <w:szCs w:val="28"/>
              </w:rPr>
              <w:t>訊問情形</w:t>
            </w:r>
          </w:p>
        </w:tc>
      </w:tr>
      <w:tr w:rsidR="00A648E3" w:rsidRPr="00A648E3" w14:paraId="25104E6C" w14:textId="77777777" w:rsidTr="007740E7">
        <w:trPr>
          <w:trHeight w:val="399"/>
        </w:trPr>
        <w:tc>
          <w:tcPr>
            <w:tcW w:w="850" w:type="dxa"/>
            <w:vAlign w:val="center"/>
          </w:tcPr>
          <w:p w14:paraId="40C50998"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1</w:t>
            </w:r>
          </w:p>
        </w:tc>
        <w:tc>
          <w:tcPr>
            <w:tcW w:w="1701" w:type="dxa"/>
            <w:vAlign w:val="center"/>
          </w:tcPr>
          <w:p w14:paraId="620DEF1F"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112.12.12</w:t>
            </w:r>
          </w:p>
        </w:tc>
        <w:tc>
          <w:tcPr>
            <w:tcW w:w="4536" w:type="dxa"/>
            <w:vAlign w:val="center"/>
          </w:tcPr>
          <w:p w14:paraId="4B9B6F79" w14:textId="77777777"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第1次</w:t>
            </w:r>
            <w:proofErr w:type="gramStart"/>
            <w:r w:rsidRPr="00A648E3">
              <w:rPr>
                <w:rFonts w:hAnsi="標楷體" w:hint="eastAsia"/>
                <w:sz w:val="28"/>
                <w:szCs w:val="28"/>
              </w:rPr>
              <w:t>訊問甲師</w:t>
            </w:r>
            <w:proofErr w:type="gramEnd"/>
          </w:p>
        </w:tc>
      </w:tr>
      <w:tr w:rsidR="00A648E3" w:rsidRPr="00A648E3" w14:paraId="30B48267" w14:textId="77777777" w:rsidTr="007740E7">
        <w:trPr>
          <w:trHeight w:val="399"/>
        </w:trPr>
        <w:tc>
          <w:tcPr>
            <w:tcW w:w="850" w:type="dxa"/>
            <w:vAlign w:val="center"/>
          </w:tcPr>
          <w:p w14:paraId="7D9D5A6D"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2</w:t>
            </w:r>
          </w:p>
        </w:tc>
        <w:tc>
          <w:tcPr>
            <w:tcW w:w="1701" w:type="dxa"/>
            <w:vAlign w:val="center"/>
          </w:tcPr>
          <w:p w14:paraId="18A2F598"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113.01.17</w:t>
            </w:r>
          </w:p>
        </w:tc>
        <w:tc>
          <w:tcPr>
            <w:tcW w:w="4536" w:type="dxa"/>
            <w:vAlign w:val="center"/>
          </w:tcPr>
          <w:p w14:paraId="3EB49492" w14:textId="280B3C4E"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訊問甲師之友</w:t>
            </w:r>
          </w:p>
        </w:tc>
      </w:tr>
      <w:tr w:rsidR="00A648E3" w:rsidRPr="00A648E3" w14:paraId="1EE3F5BC" w14:textId="77777777" w:rsidTr="007740E7">
        <w:trPr>
          <w:trHeight w:val="399"/>
        </w:trPr>
        <w:tc>
          <w:tcPr>
            <w:tcW w:w="850" w:type="dxa"/>
            <w:vAlign w:val="center"/>
          </w:tcPr>
          <w:p w14:paraId="17FB6956"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3</w:t>
            </w:r>
          </w:p>
        </w:tc>
        <w:tc>
          <w:tcPr>
            <w:tcW w:w="1701" w:type="dxa"/>
            <w:vAlign w:val="center"/>
          </w:tcPr>
          <w:p w14:paraId="2304B966"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113.01.25</w:t>
            </w:r>
          </w:p>
        </w:tc>
        <w:tc>
          <w:tcPr>
            <w:tcW w:w="4536" w:type="dxa"/>
            <w:vAlign w:val="center"/>
          </w:tcPr>
          <w:p w14:paraId="07493787" w14:textId="77777777"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第1次</w:t>
            </w:r>
            <w:proofErr w:type="gramStart"/>
            <w:r w:rsidRPr="00A648E3">
              <w:rPr>
                <w:rFonts w:hAnsi="標楷體" w:hint="eastAsia"/>
                <w:sz w:val="28"/>
                <w:szCs w:val="28"/>
              </w:rPr>
              <w:t>訊問乙師</w:t>
            </w:r>
            <w:proofErr w:type="gramEnd"/>
          </w:p>
        </w:tc>
      </w:tr>
      <w:tr w:rsidR="00A648E3" w:rsidRPr="00A648E3" w14:paraId="2EE3986D" w14:textId="77777777" w:rsidTr="007740E7">
        <w:trPr>
          <w:trHeight w:val="399"/>
        </w:trPr>
        <w:tc>
          <w:tcPr>
            <w:tcW w:w="850" w:type="dxa"/>
            <w:vAlign w:val="center"/>
          </w:tcPr>
          <w:p w14:paraId="2A56EFE9"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4</w:t>
            </w:r>
          </w:p>
        </w:tc>
        <w:tc>
          <w:tcPr>
            <w:tcW w:w="1701" w:type="dxa"/>
            <w:vAlign w:val="center"/>
          </w:tcPr>
          <w:p w14:paraId="643E837A"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113.02.27</w:t>
            </w:r>
          </w:p>
        </w:tc>
        <w:tc>
          <w:tcPr>
            <w:tcW w:w="4536" w:type="dxa"/>
            <w:vAlign w:val="center"/>
          </w:tcPr>
          <w:p w14:paraId="4D46C440" w14:textId="77777777"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第2次</w:t>
            </w:r>
            <w:proofErr w:type="gramStart"/>
            <w:r w:rsidRPr="00A648E3">
              <w:rPr>
                <w:rFonts w:hAnsi="標楷體" w:hint="eastAsia"/>
                <w:sz w:val="28"/>
                <w:szCs w:val="28"/>
              </w:rPr>
              <w:t>訊問乙師</w:t>
            </w:r>
            <w:proofErr w:type="gramEnd"/>
          </w:p>
        </w:tc>
      </w:tr>
      <w:tr w:rsidR="00A648E3" w:rsidRPr="00A648E3" w14:paraId="75CC2A1D" w14:textId="77777777" w:rsidTr="007740E7">
        <w:trPr>
          <w:trHeight w:val="399"/>
        </w:trPr>
        <w:tc>
          <w:tcPr>
            <w:tcW w:w="850" w:type="dxa"/>
            <w:vAlign w:val="center"/>
          </w:tcPr>
          <w:p w14:paraId="6C5B6AE2"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5</w:t>
            </w:r>
          </w:p>
        </w:tc>
        <w:tc>
          <w:tcPr>
            <w:tcW w:w="1701" w:type="dxa"/>
            <w:vAlign w:val="center"/>
          </w:tcPr>
          <w:p w14:paraId="0A203F6A"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113.04.25</w:t>
            </w:r>
          </w:p>
        </w:tc>
        <w:tc>
          <w:tcPr>
            <w:tcW w:w="4536" w:type="dxa"/>
            <w:vAlign w:val="center"/>
          </w:tcPr>
          <w:p w14:paraId="122D7AC9" w14:textId="6B17161C"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訊問乙師之友</w:t>
            </w:r>
          </w:p>
        </w:tc>
      </w:tr>
      <w:tr w:rsidR="00A648E3" w:rsidRPr="00A648E3" w14:paraId="0572B5F3" w14:textId="77777777" w:rsidTr="007740E7">
        <w:trPr>
          <w:trHeight w:val="399"/>
        </w:trPr>
        <w:tc>
          <w:tcPr>
            <w:tcW w:w="850" w:type="dxa"/>
            <w:vAlign w:val="center"/>
          </w:tcPr>
          <w:p w14:paraId="3478841C"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6</w:t>
            </w:r>
          </w:p>
        </w:tc>
        <w:tc>
          <w:tcPr>
            <w:tcW w:w="1701" w:type="dxa"/>
            <w:vAlign w:val="center"/>
          </w:tcPr>
          <w:p w14:paraId="0E70FD77"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113.05.07</w:t>
            </w:r>
          </w:p>
        </w:tc>
        <w:tc>
          <w:tcPr>
            <w:tcW w:w="4536" w:type="dxa"/>
            <w:vAlign w:val="center"/>
          </w:tcPr>
          <w:p w14:paraId="1FB88929" w14:textId="77777777"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第2次</w:t>
            </w:r>
            <w:proofErr w:type="gramStart"/>
            <w:r w:rsidRPr="00A648E3">
              <w:rPr>
                <w:rFonts w:hAnsi="標楷體" w:hint="eastAsia"/>
                <w:sz w:val="28"/>
                <w:szCs w:val="28"/>
              </w:rPr>
              <w:t>訊問甲師</w:t>
            </w:r>
            <w:proofErr w:type="gramEnd"/>
          </w:p>
        </w:tc>
      </w:tr>
      <w:tr w:rsidR="00A648E3" w:rsidRPr="00A648E3" w14:paraId="71ABF349" w14:textId="77777777" w:rsidTr="007740E7">
        <w:trPr>
          <w:trHeight w:val="399"/>
        </w:trPr>
        <w:tc>
          <w:tcPr>
            <w:tcW w:w="850" w:type="dxa"/>
            <w:vAlign w:val="center"/>
          </w:tcPr>
          <w:p w14:paraId="1CBAECC4" w14:textId="77777777" w:rsidR="006A08AE" w:rsidRPr="00A648E3" w:rsidRDefault="006A08AE" w:rsidP="008553CE">
            <w:pPr>
              <w:spacing w:line="360" w:lineRule="exact"/>
              <w:jc w:val="center"/>
              <w:rPr>
                <w:rFonts w:hAnsi="標楷體"/>
                <w:sz w:val="28"/>
                <w:szCs w:val="28"/>
              </w:rPr>
            </w:pPr>
            <w:r w:rsidRPr="00A648E3">
              <w:rPr>
                <w:rFonts w:hAnsi="標楷體" w:hint="eastAsia"/>
                <w:sz w:val="28"/>
                <w:szCs w:val="28"/>
              </w:rPr>
              <w:t>7</w:t>
            </w:r>
          </w:p>
        </w:tc>
        <w:tc>
          <w:tcPr>
            <w:tcW w:w="1701" w:type="dxa"/>
            <w:vAlign w:val="center"/>
          </w:tcPr>
          <w:p w14:paraId="4A19EB9A" w14:textId="77777777" w:rsidR="006A08AE" w:rsidRPr="00A648E3" w:rsidRDefault="006A08AE" w:rsidP="008553CE">
            <w:pPr>
              <w:spacing w:line="360" w:lineRule="exact"/>
              <w:rPr>
                <w:rFonts w:hAnsi="標楷體"/>
                <w:sz w:val="28"/>
                <w:szCs w:val="28"/>
              </w:rPr>
            </w:pPr>
            <w:r w:rsidRPr="00A648E3">
              <w:rPr>
                <w:rFonts w:hAnsi="標楷體" w:hint="eastAsia"/>
                <w:sz w:val="28"/>
                <w:szCs w:val="28"/>
              </w:rPr>
              <w:t>113.06.05</w:t>
            </w:r>
          </w:p>
        </w:tc>
        <w:tc>
          <w:tcPr>
            <w:tcW w:w="4536" w:type="dxa"/>
            <w:vAlign w:val="center"/>
          </w:tcPr>
          <w:p w14:paraId="5F7048F6" w14:textId="77777777" w:rsidR="006A08AE" w:rsidRPr="00A648E3" w:rsidRDefault="006A08AE" w:rsidP="001B4659">
            <w:pPr>
              <w:spacing w:line="360" w:lineRule="exact"/>
              <w:jc w:val="center"/>
              <w:rPr>
                <w:rFonts w:hAnsi="標楷體"/>
                <w:sz w:val="28"/>
                <w:szCs w:val="28"/>
              </w:rPr>
            </w:pPr>
            <w:r w:rsidRPr="00A648E3">
              <w:rPr>
                <w:rFonts w:hAnsi="標楷體" w:hint="eastAsia"/>
                <w:sz w:val="28"/>
                <w:szCs w:val="28"/>
              </w:rPr>
              <w:t>第3次</w:t>
            </w:r>
            <w:proofErr w:type="gramStart"/>
            <w:r w:rsidRPr="00A648E3">
              <w:rPr>
                <w:rFonts w:hAnsi="標楷體" w:hint="eastAsia"/>
                <w:sz w:val="28"/>
                <w:szCs w:val="28"/>
              </w:rPr>
              <w:t>訊問乙師</w:t>
            </w:r>
            <w:proofErr w:type="gramEnd"/>
          </w:p>
        </w:tc>
      </w:tr>
    </w:tbl>
    <w:p w14:paraId="6CA12344" w14:textId="77777777" w:rsidR="006A08AE" w:rsidRPr="00A648E3" w:rsidRDefault="006A08AE" w:rsidP="006A08AE">
      <w:pPr>
        <w:pStyle w:val="3"/>
        <w:numPr>
          <w:ilvl w:val="0"/>
          <w:numId w:val="0"/>
        </w:numPr>
        <w:spacing w:line="240" w:lineRule="exact"/>
        <w:rPr>
          <w:sz w:val="24"/>
          <w:szCs w:val="24"/>
        </w:rPr>
      </w:pPr>
      <w:r w:rsidRPr="00A648E3">
        <w:rPr>
          <w:rFonts w:hint="eastAsia"/>
          <w:sz w:val="24"/>
          <w:szCs w:val="24"/>
        </w:rPr>
        <w:t xml:space="preserve">           資料來源：本案依據花蓮地檢署復函提供之資料整理。</w:t>
      </w:r>
    </w:p>
    <w:p w14:paraId="7CD2C955" w14:textId="77777777" w:rsidR="006A08AE" w:rsidRPr="00A648E3" w:rsidRDefault="006A08AE" w:rsidP="006A08AE">
      <w:pPr>
        <w:pStyle w:val="3"/>
        <w:numPr>
          <w:ilvl w:val="0"/>
          <w:numId w:val="0"/>
        </w:numPr>
        <w:spacing w:line="240" w:lineRule="exact"/>
        <w:ind w:left="1361"/>
        <w:rPr>
          <w:sz w:val="24"/>
          <w:szCs w:val="24"/>
        </w:rPr>
      </w:pPr>
    </w:p>
    <w:p w14:paraId="6DB09ECC" w14:textId="36A67115" w:rsidR="008E07E4" w:rsidRPr="00A648E3" w:rsidRDefault="00082A60" w:rsidP="00A4535B">
      <w:pPr>
        <w:pStyle w:val="4"/>
        <w:rPr>
          <w:rFonts w:hAnsi="Times New Roman"/>
          <w:bCs/>
          <w:szCs w:val="20"/>
        </w:rPr>
      </w:pPr>
      <w:r w:rsidRPr="00A648E3">
        <w:rPr>
          <w:rFonts w:hint="eastAsia"/>
        </w:rPr>
        <w:t>針對「</w:t>
      </w:r>
      <w:r w:rsidR="00A4535B" w:rsidRPr="00A648E3">
        <w:rPr>
          <w:rFonts w:hint="eastAsia"/>
        </w:rPr>
        <w:t>調查小組僅對</w:t>
      </w:r>
      <w:proofErr w:type="gramStart"/>
      <w:r w:rsidR="00A4535B" w:rsidRPr="00A648E3">
        <w:rPr>
          <w:rFonts w:hint="eastAsia"/>
        </w:rPr>
        <w:t>甲師、乙師</w:t>
      </w:r>
      <w:proofErr w:type="gramEnd"/>
      <w:r w:rsidR="00A4535B" w:rsidRPr="00A648E3">
        <w:rPr>
          <w:rFonts w:hint="eastAsia"/>
        </w:rPr>
        <w:t>各訪談一次</w:t>
      </w:r>
      <w:r w:rsidRPr="00A648E3">
        <w:rPr>
          <w:rFonts w:hint="eastAsia"/>
        </w:rPr>
        <w:t>」，</w:t>
      </w:r>
      <w:r w:rsidR="00A4535B" w:rsidRPr="00A648E3">
        <w:rPr>
          <w:rFonts w:hint="eastAsia"/>
        </w:rPr>
        <w:t>東華大學</w:t>
      </w:r>
      <w:r w:rsidRPr="00A648E3">
        <w:rPr>
          <w:rFonts w:hint="eastAsia"/>
        </w:rPr>
        <w:t>表示</w:t>
      </w:r>
      <w:r w:rsidR="00A4535B" w:rsidRPr="00A648E3">
        <w:rPr>
          <w:rFonts w:hint="eastAsia"/>
        </w:rPr>
        <w:t>，112年8月30日、31日訪談</w:t>
      </w:r>
      <w:proofErr w:type="gramStart"/>
      <w:r w:rsidR="00A4535B" w:rsidRPr="00A648E3">
        <w:rPr>
          <w:rFonts w:hint="eastAsia"/>
        </w:rPr>
        <w:t>甲師及乙師</w:t>
      </w:r>
      <w:proofErr w:type="gramEnd"/>
      <w:r w:rsidR="00A4535B" w:rsidRPr="00A648E3">
        <w:rPr>
          <w:rFonts w:hint="eastAsia"/>
        </w:rPr>
        <w:t>之後，分別再於同年8月31日、9月6日接受甲師</w:t>
      </w:r>
      <w:proofErr w:type="gramStart"/>
      <w:r w:rsidR="00A4535B" w:rsidRPr="00A648E3">
        <w:rPr>
          <w:rFonts w:hint="eastAsia"/>
        </w:rPr>
        <w:t>師及乙師補充</w:t>
      </w:r>
      <w:proofErr w:type="gramEnd"/>
      <w:r w:rsidR="00A4535B" w:rsidRPr="00A648E3">
        <w:rPr>
          <w:rFonts w:hint="eastAsia"/>
        </w:rPr>
        <w:t>書面資料，並非僅訪談一次云云</w:t>
      </w:r>
      <w:r w:rsidR="00B4177E">
        <w:rPr>
          <w:rFonts w:hint="eastAsia"/>
        </w:rPr>
        <w:t>。</w:t>
      </w:r>
      <w:proofErr w:type="gramStart"/>
      <w:r w:rsidR="00B4177E">
        <w:rPr>
          <w:rFonts w:hint="eastAsia"/>
        </w:rPr>
        <w:t>惟</w:t>
      </w:r>
      <w:proofErr w:type="gramEnd"/>
      <w:r w:rsidR="00A4535B" w:rsidRPr="00A648E3">
        <w:rPr>
          <w:rFonts w:hint="eastAsia"/>
        </w:rPr>
        <w:t>實際上，縱使</w:t>
      </w:r>
      <w:proofErr w:type="gramStart"/>
      <w:r w:rsidR="00A4535B" w:rsidRPr="00A648E3">
        <w:rPr>
          <w:rFonts w:hint="eastAsia"/>
        </w:rPr>
        <w:t>甲師、乙師</w:t>
      </w:r>
      <w:proofErr w:type="gramEnd"/>
      <w:r w:rsidR="00A4535B" w:rsidRPr="00A648E3">
        <w:rPr>
          <w:rFonts w:hint="eastAsia"/>
        </w:rPr>
        <w:t>在調查訪談後得再提出書面資料，卻只是針對本身受訪時未充分陳述之處進行補充，並非針對對方之說法</w:t>
      </w:r>
      <w:r w:rsidR="00B4177E">
        <w:rPr>
          <w:rFonts w:hint="eastAsia"/>
        </w:rPr>
        <w:t>予以</w:t>
      </w:r>
      <w:r w:rsidR="00A4535B" w:rsidRPr="00A648E3">
        <w:rPr>
          <w:rFonts w:hint="eastAsia"/>
        </w:rPr>
        <w:t>答辯，</w:t>
      </w:r>
      <w:proofErr w:type="gramStart"/>
      <w:r w:rsidR="00A4535B" w:rsidRPr="00A648E3">
        <w:rPr>
          <w:rFonts w:hint="eastAsia"/>
        </w:rPr>
        <w:t>則甲</w:t>
      </w:r>
      <w:r w:rsidR="00A4535B" w:rsidRPr="00A648E3">
        <w:t>師指控</w:t>
      </w:r>
      <w:proofErr w:type="gramEnd"/>
      <w:r w:rsidR="00A4535B" w:rsidRPr="00A648E3">
        <w:rPr>
          <w:rFonts w:hint="eastAsia"/>
        </w:rPr>
        <w:t>在此調查方式中</w:t>
      </w:r>
      <w:r w:rsidR="00A4535B" w:rsidRPr="00A648E3">
        <w:t>「</w:t>
      </w:r>
      <w:proofErr w:type="gramStart"/>
      <w:r w:rsidR="00364DC3" w:rsidRPr="00A648E3">
        <w:rPr>
          <w:rFonts w:hint="eastAsia"/>
        </w:rPr>
        <w:t>僅後受</w:t>
      </w:r>
      <w:proofErr w:type="gramEnd"/>
      <w:r w:rsidR="00364DC3" w:rsidRPr="00A648E3">
        <w:rPr>
          <w:rFonts w:hint="eastAsia"/>
        </w:rPr>
        <w:t>訪之乙師有機會反駁甲師之陳述，卻</w:t>
      </w:r>
      <w:r w:rsidR="00A4535B" w:rsidRPr="00A648E3">
        <w:t>沒有機會</w:t>
      </w:r>
      <w:r w:rsidR="00364DC3" w:rsidRPr="00A648E3">
        <w:rPr>
          <w:rFonts w:hint="eastAsia"/>
        </w:rPr>
        <w:t>令</w:t>
      </w:r>
      <w:proofErr w:type="gramStart"/>
      <w:r w:rsidR="00364DC3" w:rsidRPr="00A648E3">
        <w:rPr>
          <w:rFonts w:hint="eastAsia"/>
        </w:rPr>
        <w:t>甲師</w:t>
      </w:r>
      <w:r w:rsidR="00A4535B" w:rsidRPr="00A648E3">
        <w:t>反駁</w:t>
      </w:r>
      <w:r w:rsidR="00A4535B" w:rsidRPr="00A648E3">
        <w:rPr>
          <w:rFonts w:hint="eastAsia"/>
        </w:rPr>
        <w:t>乙</w:t>
      </w:r>
      <w:r w:rsidR="00A4535B" w:rsidRPr="00A648E3">
        <w:t>師</w:t>
      </w:r>
      <w:proofErr w:type="gramEnd"/>
      <w:r w:rsidR="00A4535B" w:rsidRPr="00A648E3">
        <w:t>的說法」</w:t>
      </w:r>
      <w:r w:rsidR="00A4535B" w:rsidRPr="00A648E3">
        <w:rPr>
          <w:rFonts w:hint="eastAsia"/>
        </w:rPr>
        <w:t>，並非無據。</w:t>
      </w:r>
    </w:p>
    <w:p w14:paraId="7B82EF83" w14:textId="5CC3838C" w:rsidR="00A4535B" w:rsidRPr="00B14D87" w:rsidRDefault="00082A60" w:rsidP="00A4535B">
      <w:pPr>
        <w:pStyle w:val="4"/>
        <w:rPr>
          <w:rFonts w:hAnsi="Times New Roman"/>
          <w:bCs/>
          <w:szCs w:val="20"/>
        </w:rPr>
      </w:pPr>
      <w:r w:rsidRPr="00A648E3">
        <w:rPr>
          <w:rFonts w:hint="eastAsia"/>
        </w:rPr>
        <w:t>針對「</w:t>
      </w:r>
      <w:r w:rsidR="006A08AE" w:rsidRPr="00A648E3">
        <w:rPr>
          <w:rFonts w:hint="eastAsia"/>
        </w:rPr>
        <w:t>未</w:t>
      </w:r>
      <w:r w:rsidRPr="00A648E3">
        <w:rPr>
          <w:rFonts w:hint="eastAsia"/>
        </w:rPr>
        <w:t>訪談</w:t>
      </w:r>
      <w:proofErr w:type="gramStart"/>
      <w:r w:rsidRPr="00A648E3">
        <w:rPr>
          <w:rFonts w:hint="eastAsia"/>
        </w:rPr>
        <w:t>甲師及乙師</w:t>
      </w:r>
      <w:proofErr w:type="gramEnd"/>
      <w:r w:rsidR="006A08AE" w:rsidRPr="00A648E3">
        <w:rPr>
          <w:rFonts w:hint="eastAsia"/>
        </w:rPr>
        <w:t>以外之人</w:t>
      </w:r>
      <w:r w:rsidRPr="00A648E3">
        <w:rPr>
          <w:rFonts w:hint="eastAsia"/>
        </w:rPr>
        <w:t>」，東華大學表示，調查人員僅在當事人提出之資料範圍中做出調查結論，且</w:t>
      </w:r>
      <w:proofErr w:type="gramStart"/>
      <w:r w:rsidRPr="00A648E3">
        <w:rPr>
          <w:rFonts w:hint="eastAsia"/>
        </w:rPr>
        <w:t>甲師及乙師</w:t>
      </w:r>
      <w:proofErr w:type="gramEnd"/>
      <w:r w:rsidRPr="00A648E3">
        <w:rPr>
          <w:rFonts w:hint="eastAsia"/>
        </w:rPr>
        <w:t>接受調查時，</w:t>
      </w:r>
      <w:proofErr w:type="gramStart"/>
      <w:r w:rsidRPr="00A648E3">
        <w:rPr>
          <w:rFonts w:hint="eastAsia"/>
        </w:rPr>
        <w:t>均未表示</w:t>
      </w:r>
      <w:proofErr w:type="gramEnd"/>
      <w:r w:rsidRPr="00A648E3">
        <w:rPr>
          <w:rFonts w:hint="eastAsia"/>
        </w:rPr>
        <w:t>有證人之存在云云。</w:t>
      </w:r>
      <w:proofErr w:type="gramStart"/>
      <w:r w:rsidRPr="00A648E3">
        <w:rPr>
          <w:rFonts w:hint="eastAsia"/>
        </w:rPr>
        <w:t>惟甲師</w:t>
      </w:r>
      <w:proofErr w:type="gramEnd"/>
      <w:r w:rsidRPr="00A648E3">
        <w:rPr>
          <w:rFonts w:hint="eastAsia"/>
        </w:rPr>
        <w:t>在接受調查訪談時提及在性侵害事件後之身心狀況(生活作息改變、經常哭泣、教學研究產能下降、容易受到驚嚇…</w:t>
      </w:r>
      <w:proofErr w:type="gramStart"/>
      <w:r w:rsidRPr="00A648E3">
        <w:rPr>
          <w:rFonts w:hint="eastAsia"/>
        </w:rPr>
        <w:t>…</w:t>
      </w:r>
      <w:proofErr w:type="gramEnd"/>
      <w:r w:rsidRPr="00A648E3">
        <w:rPr>
          <w:rFonts w:hint="eastAsia"/>
        </w:rPr>
        <w:t>)，</w:t>
      </w:r>
      <w:proofErr w:type="gramStart"/>
      <w:r w:rsidRPr="00A648E3">
        <w:rPr>
          <w:rFonts w:hint="eastAsia"/>
        </w:rPr>
        <w:t>均有對照</w:t>
      </w:r>
      <w:proofErr w:type="gramEnd"/>
      <w:r w:rsidRPr="00A648E3">
        <w:rPr>
          <w:rFonts w:hint="eastAsia"/>
        </w:rPr>
        <w:t>之學生、研究合作對象等可資進一步查證，該調查小組卻未</w:t>
      </w:r>
      <w:proofErr w:type="gramStart"/>
      <w:r w:rsidRPr="00A648E3">
        <w:rPr>
          <w:rFonts w:hint="eastAsia"/>
        </w:rPr>
        <w:t>考量此途</w:t>
      </w:r>
      <w:proofErr w:type="gramEnd"/>
      <w:r w:rsidRPr="00A648E3">
        <w:rPr>
          <w:rFonts w:hint="eastAsia"/>
        </w:rPr>
        <w:t>，即</w:t>
      </w:r>
      <w:proofErr w:type="gramStart"/>
      <w:r w:rsidR="00BA716C" w:rsidRPr="00A648E3">
        <w:rPr>
          <w:rFonts w:hint="eastAsia"/>
        </w:rPr>
        <w:t>予論結</w:t>
      </w:r>
      <w:proofErr w:type="gramEnd"/>
      <w:r w:rsidRPr="00A648E3">
        <w:rPr>
          <w:rFonts w:hint="eastAsia"/>
        </w:rPr>
        <w:t>，</w:t>
      </w:r>
      <w:r w:rsidRPr="00A648E3">
        <w:rPr>
          <w:rFonts w:hint="eastAsia"/>
        </w:rPr>
        <w:lastRenderedPageBreak/>
        <w:t>顯未符合行政程序法就行政調查「以相關人、第</w:t>
      </w:r>
      <w:r w:rsidRPr="00B14D87">
        <w:rPr>
          <w:rFonts w:hint="eastAsia"/>
        </w:rPr>
        <w:t>三人之意見或資料輔助查明真相」的規範</w:t>
      </w:r>
      <w:r w:rsidR="00A85C7B" w:rsidRPr="00B14D87">
        <w:rPr>
          <w:rFonts w:hint="eastAsia"/>
        </w:rPr>
        <w:t>意旨</w:t>
      </w:r>
      <w:r w:rsidRPr="00B14D87">
        <w:rPr>
          <w:rFonts w:hint="eastAsia"/>
        </w:rPr>
        <w:t>。</w:t>
      </w:r>
    </w:p>
    <w:p w14:paraId="262782C5" w14:textId="69DC938D" w:rsidR="00082A60" w:rsidRPr="00B14D87" w:rsidRDefault="006A08AE" w:rsidP="00082A60">
      <w:pPr>
        <w:pStyle w:val="3"/>
        <w:widowControl/>
        <w:numPr>
          <w:ilvl w:val="2"/>
          <w:numId w:val="1"/>
        </w:numPr>
        <w:kinsoku/>
        <w:overflowPunct/>
        <w:autoSpaceDE/>
        <w:autoSpaceDN/>
      </w:pPr>
      <w:r w:rsidRPr="00B14D87">
        <w:rPr>
          <w:rFonts w:hAnsi="Times New Roman" w:hint="eastAsia"/>
          <w:b/>
          <w:szCs w:val="20"/>
        </w:rPr>
        <w:t>實體</w:t>
      </w:r>
      <w:r w:rsidR="001337C5" w:rsidRPr="00B14D87">
        <w:rPr>
          <w:rFonts w:hAnsi="Times New Roman" w:hint="eastAsia"/>
          <w:b/>
          <w:szCs w:val="20"/>
        </w:rPr>
        <w:t>方面</w:t>
      </w:r>
      <w:r w:rsidR="00733162" w:rsidRPr="00B14D87">
        <w:rPr>
          <w:rFonts w:hAnsi="Times New Roman" w:hint="eastAsia"/>
          <w:b/>
          <w:szCs w:val="20"/>
        </w:rPr>
        <w:t>，</w:t>
      </w:r>
      <w:r w:rsidR="00E64FE6" w:rsidRPr="00B14D87">
        <w:rPr>
          <w:rFonts w:hAnsi="Times New Roman" w:hint="eastAsia"/>
          <w:b/>
          <w:szCs w:val="20"/>
        </w:rPr>
        <w:t>本院審酌認為此案之行政調查確</w:t>
      </w:r>
      <w:r w:rsidR="00E64FE6" w:rsidRPr="00B14D87">
        <w:rPr>
          <w:rFonts w:hint="eastAsia"/>
          <w:b/>
        </w:rPr>
        <w:t>有「忽略性同意權之『No means No』原則」、「陷入『理想被害人』之</w:t>
      </w:r>
      <w:proofErr w:type="gramStart"/>
      <w:r w:rsidR="00E64FE6" w:rsidRPr="00B14D87">
        <w:rPr>
          <w:rFonts w:hint="eastAsia"/>
          <w:b/>
        </w:rPr>
        <w:t>迷思或成見</w:t>
      </w:r>
      <w:proofErr w:type="gramEnd"/>
      <w:r w:rsidR="00E64FE6" w:rsidRPr="00B14D87">
        <w:rPr>
          <w:rFonts w:hint="eastAsia"/>
          <w:b/>
        </w:rPr>
        <w:t>」的缺憾，不利於落實防制性侵害性騷擾事件，</w:t>
      </w:r>
      <w:r w:rsidR="00733162" w:rsidRPr="00B14D87">
        <w:rPr>
          <w:rFonts w:hint="eastAsia"/>
          <w:b/>
        </w:rPr>
        <w:t>東華大學</w:t>
      </w:r>
      <w:r w:rsidR="00733162" w:rsidRPr="00B14D87">
        <w:rPr>
          <w:rFonts w:hint="eastAsia"/>
          <w:b/>
          <w:bCs w:val="0"/>
        </w:rPr>
        <w:t>未來針對性別事件調查人員以及性別事件專責審議組織成員之選任及專業素養，</w:t>
      </w:r>
      <w:proofErr w:type="gramStart"/>
      <w:r w:rsidR="00733162" w:rsidRPr="00B14D87">
        <w:rPr>
          <w:rFonts w:hint="eastAsia"/>
          <w:b/>
          <w:bCs w:val="0"/>
        </w:rPr>
        <w:t>均應由</w:t>
      </w:r>
      <w:proofErr w:type="gramEnd"/>
      <w:r w:rsidR="00733162" w:rsidRPr="00B14D87">
        <w:rPr>
          <w:rFonts w:hint="eastAsia"/>
          <w:b/>
          <w:bCs w:val="0"/>
        </w:rPr>
        <w:t>以本案為</w:t>
      </w:r>
      <w:proofErr w:type="gramStart"/>
      <w:r w:rsidR="00733162" w:rsidRPr="00B14D87">
        <w:rPr>
          <w:rFonts w:hint="eastAsia"/>
          <w:b/>
          <w:bCs w:val="0"/>
        </w:rPr>
        <w:t>鑑</w:t>
      </w:r>
      <w:proofErr w:type="gramEnd"/>
      <w:r w:rsidR="00733162" w:rsidRPr="00B14D87">
        <w:rPr>
          <w:rFonts w:hint="eastAsia"/>
          <w:b/>
          <w:bCs w:val="0"/>
        </w:rPr>
        <w:t>，切實改進；相關主管</w:t>
      </w:r>
      <w:r w:rsidRPr="00B14D87">
        <w:rPr>
          <w:rFonts w:hAnsi="Times New Roman" w:hint="eastAsia"/>
          <w:b/>
          <w:szCs w:val="20"/>
        </w:rPr>
        <w:t>機關</w:t>
      </w:r>
      <w:r w:rsidR="00733162" w:rsidRPr="00B14D87">
        <w:rPr>
          <w:rFonts w:hAnsi="Times New Roman" w:hint="eastAsia"/>
          <w:b/>
          <w:szCs w:val="20"/>
        </w:rPr>
        <w:t>亦應就本案</w:t>
      </w:r>
      <w:r w:rsidR="00991B7C" w:rsidRPr="00B14D87">
        <w:rPr>
          <w:rFonts w:hAnsi="Times New Roman" w:hint="eastAsia"/>
          <w:b/>
          <w:szCs w:val="20"/>
        </w:rPr>
        <w:t>詳加</w:t>
      </w:r>
      <w:proofErr w:type="gramStart"/>
      <w:r w:rsidR="00991B7C" w:rsidRPr="00B14D87">
        <w:rPr>
          <w:rFonts w:hAnsi="Times New Roman" w:hint="eastAsia"/>
          <w:b/>
          <w:szCs w:val="20"/>
        </w:rPr>
        <w:t>研</w:t>
      </w:r>
      <w:proofErr w:type="gramEnd"/>
      <w:r w:rsidR="00991B7C" w:rsidRPr="00B14D87">
        <w:rPr>
          <w:rFonts w:hAnsi="Times New Roman" w:hint="eastAsia"/>
          <w:b/>
          <w:szCs w:val="20"/>
        </w:rPr>
        <w:t>處</w:t>
      </w:r>
      <w:r w:rsidRPr="00B14D87">
        <w:rPr>
          <w:rFonts w:hAnsi="Times New Roman" w:hint="eastAsia"/>
          <w:b/>
          <w:szCs w:val="20"/>
        </w:rPr>
        <w:t>，</w:t>
      </w:r>
      <w:r w:rsidR="009B47F0" w:rsidRPr="00B14D87">
        <w:rPr>
          <w:rFonts w:hAnsi="Times New Roman" w:hint="eastAsia"/>
          <w:b/>
          <w:szCs w:val="20"/>
        </w:rPr>
        <w:t>做為提升行政調查品質、突破行政調查限制之參考</w:t>
      </w:r>
      <w:r w:rsidR="00991B7C" w:rsidRPr="00B14D87">
        <w:rPr>
          <w:rFonts w:hAnsi="Times New Roman" w:hint="eastAsia"/>
          <w:bCs w:val="0"/>
          <w:szCs w:val="20"/>
        </w:rPr>
        <w:t>。</w:t>
      </w:r>
      <w:proofErr w:type="gramStart"/>
      <w:r w:rsidR="00991B7C" w:rsidRPr="00B14D87">
        <w:rPr>
          <w:rFonts w:hint="eastAsia"/>
        </w:rPr>
        <w:t>茲析述</w:t>
      </w:r>
      <w:proofErr w:type="gramEnd"/>
      <w:r w:rsidR="00991B7C" w:rsidRPr="00B14D87">
        <w:rPr>
          <w:rFonts w:hint="eastAsia"/>
        </w:rPr>
        <w:t>如下：</w:t>
      </w:r>
    </w:p>
    <w:p w14:paraId="0EA14641" w14:textId="05370686" w:rsidR="00985B37" w:rsidRPr="00B14D87" w:rsidRDefault="00985B37" w:rsidP="00B5082B">
      <w:pPr>
        <w:pStyle w:val="4"/>
      </w:pPr>
      <w:r w:rsidRPr="00B14D87">
        <w:rPr>
          <w:rFonts w:hint="eastAsia"/>
        </w:rPr>
        <w:t>關於「</w:t>
      </w:r>
      <w:proofErr w:type="gramStart"/>
      <w:r w:rsidRPr="00B14D87">
        <w:rPr>
          <w:rFonts w:hint="eastAsia"/>
        </w:rPr>
        <w:t>甲師及乙師</w:t>
      </w:r>
      <w:proofErr w:type="gramEnd"/>
      <w:r w:rsidRPr="00B14D87">
        <w:rPr>
          <w:rFonts w:hint="eastAsia"/>
        </w:rPr>
        <w:t>兩人之間是否為權勢關係」：</w:t>
      </w:r>
    </w:p>
    <w:p w14:paraId="59DB2B94" w14:textId="5C31458B" w:rsidR="00A84263" w:rsidRPr="00A648E3" w:rsidRDefault="00A84263" w:rsidP="00A84263">
      <w:pPr>
        <w:pStyle w:val="4"/>
        <w:numPr>
          <w:ilvl w:val="0"/>
          <w:numId w:val="0"/>
        </w:numPr>
        <w:ind w:left="1786"/>
      </w:pPr>
      <w:r w:rsidRPr="00B14D87">
        <w:rPr>
          <w:rFonts w:hint="eastAsia"/>
        </w:rPr>
        <w:t xml:space="preserve">    行政調查認定「</w:t>
      </w:r>
      <w:proofErr w:type="gramStart"/>
      <w:r w:rsidR="00A85C7B" w:rsidRPr="00B14D87">
        <w:rPr>
          <w:rFonts w:hint="eastAsia"/>
        </w:rPr>
        <w:t>乙師於</w:t>
      </w:r>
      <w:proofErr w:type="gramEnd"/>
      <w:r w:rsidR="00A85C7B" w:rsidRPr="00B14D87">
        <w:rPr>
          <w:rFonts w:hint="eastAsia"/>
        </w:rPr>
        <w:t>工作上</w:t>
      </w:r>
      <w:proofErr w:type="gramStart"/>
      <w:r w:rsidR="00A85C7B" w:rsidRPr="00B14D87">
        <w:rPr>
          <w:rFonts w:hint="eastAsia"/>
        </w:rPr>
        <w:t>對甲師並</w:t>
      </w:r>
      <w:proofErr w:type="gramEnd"/>
      <w:r w:rsidR="00A85C7B" w:rsidRPr="00B14D87">
        <w:rPr>
          <w:rFonts w:hint="eastAsia"/>
        </w:rPr>
        <w:t>無指揮監督、調派、考績等權限，雙方復無上下從屬</w:t>
      </w:r>
      <w:r w:rsidR="00A85C7B" w:rsidRPr="00A648E3">
        <w:rPr>
          <w:rFonts w:hint="eastAsia"/>
        </w:rPr>
        <w:t>或權勢等不對等之關係，亦難</w:t>
      </w:r>
      <w:proofErr w:type="gramStart"/>
      <w:r w:rsidR="00A85C7B" w:rsidRPr="00A648E3">
        <w:rPr>
          <w:rFonts w:hint="eastAsia"/>
        </w:rPr>
        <w:t>認定甲師因</w:t>
      </w:r>
      <w:proofErr w:type="gramEnd"/>
      <w:r w:rsidR="00A85C7B" w:rsidRPr="00A648E3">
        <w:rPr>
          <w:rFonts w:hint="eastAsia"/>
        </w:rPr>
        <w:t>不對等之關係而迫於</w:t>
      </w:r>
      <w:proofErr w:type="gramStart"/>
      <w:r w:rsidR="00A85C7B" w:rsidRPr="00A648E3">
        <w:rPr>
          <w:rFonts w:hint="eastAsia"/>
        </w:rPr>
        <w:t>與乙師發生</w:t>
      </w:r>
      <w:proofErr w:type="gramEnd"/>
      <w:r w:rsidR="00A85C7B" w:rsidRPr="00A648E3">
        <w:rPr>
          <w:rFonts w:hint="eastAsia"/>
        </w:rPr>
        <w:t>性行為之情</w:t>
      </w:r>
      <w:r w:rsidRPr="00A648E3">
        <w:rPr>
          <w:rFonts w:hint="eastAsia"/>
        </w:rPr>
        <w:t>。」花蓮地院(一審)判決則</w:t>
      </w:r>
      <w:proofErr w:type="gramStart"/>
      <w:r w:rsidRPr="00A648E3">
        <w:rPr>
          <w:rFonts w:hint="eastAsia"/>
        </w:rPr>
        <w:t>主張</w:t>
      </w:r>
      <w:r w:rsidR="008B3362" w:rsidRPr="00A648E3">
        <w:rPr>
          <w:rFonts w:hint="eastAsia"/>
        </w:rPr>
        <w:t>乙師</w:t>
      </w:r>
      <w:r w:rsidRPr="00A648E3">
        <w:rPr>
          <w:rFonts w:hint="eastAsia"/>
        </w:rPr>
        <w:t>在</w:t>
      </w:r>
      <w:proofErr w:type="gramEnd"/>
      <w:r w:rsidRPr="00A648E3">
        <w:rPr>
          <w:rFonts w:hint="eastAsia"/>
        </w:rPr>
        <w:t>109年早已獲聘為專任助理教授，</w:t>
      </w:r>
      <w:proofErr w:type="gramStart"/>
      <w:r w:rsidR="008B3362" w:rsidRPr="00A648E3">
        <w:rPr>
          <w:rFonts w:hint="eastAsia"/>
        </w:rPr>
        <w:t>甲師</w:t>
      </w:r>
      <w:r w:rsidRPr="00A648E3">
        <w:rPr>
          <w:rFonts w:hint="eastAsia"/>
        </w:rPr>
        <w:t>則</w:t>
      </w:r>
      <w:proofErr w:type="gramEnd"/>
      <w:r w:rsidRPr="00A648E3">
        <w:rPr>
          <w:rFonts w:hint="eastAsia"/>
        </w:rPr>
        <w:t>自111年8月起為東華大學專案助理教授，至112年2月1日起始獲聘為專任助理教授，兩人資歷有顯著差異；此</w:t>
      </w:r>
      <w:proofErr w:type="gramStart"/>
      <w:r w:rsidRPr="00A648E3">
        <w:rPr>
          <w:rFonts w:hint="eastAsia"/>
        </w:rPr>
        <w:t>節堪認案發時</w:t>
      </w:r>
      <w:r w:rsidR="008B3362" w:rsidRPr="00A648E3">
        <w:rPr>
          <w:rFonts w:hint="eastAsia"/>
        </w:rPr>
        <w:t>甲</w:t>
      </w:r>
      <w:proofErr w:type="gramEnd"/>
      <w:r w:rsidR="008B3362" w:rsidRPr="00A648E3">
        <w:rPr>
          <w:rFonts w:hint="eastAsia"/>
        </w:rPr>
        <w:t>師</w:t>
      </w:r>
      <w:r w:rsidRPr="00A648E3">
        <w:rPr>
          <w:rFonts w:hint="eastAsia"/>
        </w:rPr>
        <w:t>甫自外縣市到該校謀職，身處陌生環境突遭侵害，顧慮</w:t>
      </w:r>
      <w:proofErr w:type="gramStart"/>
      <w:r w:rsidRPr="00A648E3">
        <w:rPr>
          <w:rFonts w:hint="eastAsia"/>
        </w:rPr>
        <w:t>到</w:t>
      </w:r>
      <w:r w:rsidR="008B3362" w:rsidRPr="00A648E3">
        <w:rPr>
          <w:rFonts w:hint="eastAsia"/>
        </w:rPr>
        <w:t>乙師</w:t>
      </w:r>
      <w:r w:rsidRPr="00A648E3">
        <w:rPr>
          <w:rFonts w:hint="eastAsia"/>
        </w:rPr>
        <w:t>的</w:t>
      </w:r>
      <w:proofErr w:type="gramEnd"/>
      <w:r w:rsidRPr="00A648E3">
        <w:rPr>
          <w:rFonts w:hint="eastAsia"/>
        </w:rPr>
        <w:t>人脈關係比她好，擔心影響生計，案發後和</w:t>
      </w:r>
      <w:r w:rsidR="008B3362" w:rsidRPr="00A648E3">
        <w:rPr>
          <w:rFonts w:hint="eastAsia"/>
        </w:rPr>
        <w:t>乙師</w:t>
      </w:r>
      <w:r w:rsidRPr="00A648E3">
        <w:rPr>
          <w:rFonts w:hint="eastAsia"/>
        </w:rPr>
        <w:t>表面上維持友好關係，合乎情理，尚</w:t>
      </w:r>
      <w:proofErr w:type="gramStart"/>
      <w:r w:rsidRPr="00A648E3">
        <w:rPr>
          <w:rFonts w:hint="eastAsia"/>
        </w:rPr>
        <w:t>難執此</w:t>
      </w:r>
      <w:proofErr w:type="gramEnd"/>
      <w:r w:rsidRPr="00A648E3">
        <w:rPr>
          <w:rFonts w:hint="eastAsia"/>
        </w:rPr>
        <w:t>即認定</w:t>
      </w:r>
      <w:proofErr w:type="gramStart"/>
      <w:r w:rsidR="008B3362" w:rsidRPr="00A648E3">
        <w:rPr>
          <w:rFonts w:hint="eastAsia"/>
        </w:rPr>
        <w:t>甲師</w:t>
      </w:r>
      <w:r w:rsidRPr="00A648E3">
        <w:rPr>
          <w:rFonts w:hint="eastAsia"/>
        </w:rPr>
        <w:t>並未遭</w:t>
      </w:r>
      <w:r w:rsidR="008B3362" w:rsidRPr="00A648E3">
        <w:rPr>
          <w:rFonts w:hint="eastAsia"/>
        </w:rPr>
        <w:t>乙師</w:t>
      </w:r>
      <w:r w:rsidRPr="00A648E3">
        <w:rPr>
          <w:rFonts w:hint="eastAsia"/>
        </w:rPr>
        <w:t>性</w:t>
      </w:r>
      <w:proofErr w:type="gramEnd"/>
      <w:r w:rsidRPr="00A648E3">
        <w:rPr>
          <w:rFonts w:hint="eastAsia"/>
        </w:rPr>
        <w:t>侵害。</w:t>
      </w:r>
    </w:p>
    <w:p w14:paraId="7877F4FF" w14:textId="7033CF36" w:rsidR="00B5082B" w:rsidRPr="00A648E3" w:rsidRDefault="00985B37" w:rsidP="00B5082B">
      <w:pPr>
        <w:pStyle w:val="4"/>
      </w:pPr>
      <w:r w:rsidRPr="00A648E3">
        <w:rPr>
          <w:rFonts w:hint="eastAsia"/>
        </w:rPr>
        <w:t>關於「乙師有在性行為過程中聽到</w:t>
      </w:r>
      <w:proofErr w:type="gramStart"/>
      <w:r w:rsidRPr="00A648E3">
        <w:rPr>
          <w:rFonts w:hint="eastAsia"/>
        </w:rPr>
        <w:t>甲師說</w:t>
      </w:r>
      <w:proofErr w:type="gramEnd"/>
      <w:r w:rsidRPr="00A648E3">
        <w:rPr>
          <w:rFonts w:hint="eastAsia"/>
        </w:rPr>
        <w:t>『不要』」：</w:t>
      </w:r>
    </w:p>
    <w:p w14:paraId="599BED50" w14:textId="316CD729" w:rsidR="00A84263" w:rsidRPr="00A648E3" w:rsidRDefault="00A84263" w:rsidP="00A84263">
      <w:pPr>
        <w:pStyle w:val="5"/>
        <w:rPr>
          <w:bCs w:val="0"/>
        </w:rPr>
      </w:pPr>
      <w:r w:rsidRPr="00A648E3">
        <w:rPr>
          <w:rFonts w:hint="eastAsia"/>
          <w:bCs w:val="0"/>
        </w:rPr>
        <w:t>行政調查見解：「</w:t>
      </w:r>
      <w:proofErr w:type="gramStart"/>
      <w:r w:rsidR="00FA46A4" w:rsidRPr="00A648E3">
        <w:rPr>
          <w:rFonts w:hint="eastAsia"/>
          <w:bCs w:val="0"/>
        </w:rPr>
        <w:t>依</w:t>
      </w:r>
      <w:r w:rsidR="008B3362" w:rsidRPr="00A648E3">
        <w:rPr>
          <w:rFonts w:hint="eastAsia"/>
          <w:bCs w:val="0"/>
        </w:rPr>
        <w:t>甲師</w:t>
      </w:r>
      <w:r w:rsidR="00FA46A4" w:rsidRPr="00A648E3">
        <w:rPr>
          <w:rFonts w:hint="eastAsia"/>
          <w:bCs w:val="0"/>
        </w:rPr>
        <w:t>所</w:t>
      </w:r>
      <w:proofErr w:type="gramEnd"/>
      <w:r w:rsidR="00FA46A4" w:rsidRPr="00A648E3">
        <w:rPr>
          <w:rFonts w:hint="eastAsia"/>
          <w:bCs w:val="0"/>
        </w:rPr>
        <w:t>述，</w:t>
      </w:r>
      <w:proofErr w:type="gramStart"/>
      <w:r w:rsidR="008B3362" w:rsidRPr="00A648E3">
        <w:rPr>
          <w:rFonts w:hint="eastAsia"/>
          <w:bCs w:val="0"/>
        </w:rPr>
        <w:t>乙師</w:t>
      </w:r>
      <w:r w:rsidR="00FA46A4" w:rsidRPr="00A648E3">
        <w:rPr>
          <w:rFonts w:hint="eastAsia"/>
          <w:bCs w:val="0"/>
        </w:rPr>
        <w:t>先</w:t>
      </w:r>
      <w:proofErr w:type="gramEnd"/>
      <w:r w:rsidR="00FA46A4" w:rsidRPr="00A648E3">
        <w:rPr>
          <w:rFonts w:hint="eastAsia"/>
          <w:bCs w:val="0"/>
        </w:rPr>
        <w:t>對其有好感並有向其表示愛慕之意，</w:t>
      </w:r>
      <w:proofErr w:type="gramStart"/>
      <w:r w:rsidR="00FA46A4" w:rsidRPr="00A648E3">
        <w:rPr>
          <w:rFonts w:hint="eastAsia"/>
          <w:bCs w:val="0"/>
        </w:rPr>
        <w:t>就此</w:t>
      </w:r>
      <w:r w:rsidR="008B3362" w:rsidRPr="00A648E3">
        <w:rPr>
          <w:rFonts w:hint="eastAsia"/>
          <w:bCs w:val="0"/>
        </w:rPr>
        <w:t>乙師</w:t>
      </w:r>
      <w:r w:rsidR="00FA46A4" w:rsidRPr="00A648E3">
        <w:rPr>
          <w:rFonts w:hint="eastAsia"/>
          <w:bCs w:val="0"/>
        </w:rPr>
        <w:t>亦</w:t>
      </w:r>
      <w:proofErr w:type="gramEnd"/>
      <w:r w:rsidR="00FA46A4" w:rsidRPr="00A648E3">
        <w:rPr>
          <w:rFonts w:hint="eastAsia"/>
          <w:bCs w:val="0"/>
        </w:rPr>
        <w:t>承認，</w:t>
      </w:r>
      <w:proofErr w:type="gramStart"/>
      <w:r w:rsidR="00FA46A4" w:rsidRPr="00A648E3">
        <w:rPr>
          <w:rFonts w:hint="eastAsia"/>
          <w:bCs w:val="0"/>
        </w:rPr>
        <w:t>故</w:t>
      </w:r>
      <w:r w:rsidR="008B3362" w:rsidRPr="00A648E3">
        <w:rPr>
          <w:rFonts w:hint="eastAsia"/>
          <w:bCs w:val="0"/>
        </w:rPr>
        <w:t>乙師</w:t>
      </w:r>
      <w:r w:rsidR="00FA46A4" w:rsidRPr="00A648E3">
        <w:rPr>
          <w:rFonts w:hint="eastAsia"/>
          <w:bCs w:val="0"/>
        </w:rPr>
        <w:t>先</w:t>
      </w:r>
      <w:proofErr w:type="gramEnd"/>
      <w:r w:rsidR="00FA46A4" w:rsidRPr="00A648E3">
        <w:rPr>
          <w:rFonts w:hint="eastAsia"/>
          <w:bCs w:val="0"/>
        </w:rPr>
        <w:t>對</w:t>
      </w:r>
      <w:r w:rsidR="008B3362" w:rsidRPr="00A648E3">
        <w:rPr>
          <w:rFonts w:hint="eastAsia"/>
          <w:bCs w:val="0"/>
        </w:rPr>
        <w:t>甲師</w:t>
      </w:r>
      <w:r w:rsidR="00FA46A4" w:rsidRPr="00A648E3">
        <w:rPr>
          <w:rFonts w:hint="eastAsia"/>
          <w:bCs w:val="0"/>
        </w:rPr>
        <w:t>有釋出追求之意思，</w:t>
      </w:r>
      <w:proofErr w:type="gramStart"/>
      <w:r w:rsidR="00FA46A4" w:rsidRPr="00A648E3">
        <w:rPr>
          <w:rFonts w:hint="eastAsia"/>
          <w:bCs w:val="0"/>
        </w:rPr>
        <w:t>勘</w:t>
      </w:r>
      <w:proofErr w:type="gramEnd"/>
      <w:r w:rsidR="00FA46A4" w:rsidRPr="00A648E3">
        <w:rPr>
          <w:rFonts w:hint="eastAsia"/>
          <w:bCs w:val="0"/>
        </w:rPr>
        <w:t>予認定；而</w:t>
      </w:r>
      <w:proofErr w:type="gramStart"/>
      <w:r w:rsidR="00FA46A4" w:rsidRPr="00A648E3">
        <w:rPr>
          <w:rFonts w:hint="eastAsia"/>
          <w:bCs w:val="0"/>
        </w:rPr>
        <w:t>依</w:t>
      </w:r>
      <w:r w:rsidR="008B3362" w:rsidRPr="00A648E3">
        <w:rPr>
          <w:rFonts w:hint="eastAsia"/>
          <w:bCs w:val="0"/>
        </w:rPr>
        <w:t>甲師</w:t>
      </w:r>
      <w:r w:rsidR="00FA46A4" w:rsidRPr="00A648E3">
        <w:rPr>
          <w:rFonts w:hint="eastAsia"/>
          <w:bCs w:val="0"/>
        </w:rPr>
        <w:t>陳述</w:t>
      </w:r>
      <w:proofErr w:type="gramEnd"/>
      <w:r w:rsidR="00FA46A4" w:rsidRPr="00A648E3">
        <w:rPr>
          <w:rFonts w:hint="eastAsia"/>
          <w:bCs w:val="0"/>
        </w:rPr>
        <w:t>，</w:t>
      </w:r>
      <w:proofErr w:type="gramStart"/>
      <w:r w:rsidR="00D94E4C">
        <w:rPr>
          <w:rFonts w:hint="eastAsia"/>
          <w:bCs w:val="0"/>
        </w:rPr>
        <w:t>堪認</w:t>
      </w:r>
      <w:r w:rsidR="00FA46A4" w:rsidRPr="00A648E3">
        <w:rPr>
          <w:rFonts w:hint="eastAsia"/>
          <w:bCs w:val="0"/>
        </w:rPr>
        <w:t>在</w:t>
      </w:r>
      <w:proofErr w:type="gramEnd"/>
      <w:r w:rsidR="00FA46A4" w:rsidRPr="00A648E3">
        <w:rPr>
          <w:rFonts w:hint="eastAsia"/>
          <w:bCs w:val="0"/>
        </w:rPr>
        <w:t>第一次發生性行為前</w:t>
      </w:r>
      <w:proofErr w:type="gramStart"/>
      <w:r w:rsidR="008B3362" w:rsidRPr="00A648E3">
        <w:rPr>
          <w:rFonts w:hint="eastAsia"/>
          <w:bCs w:val="0"/>
        </w:rPr>
        <w:t>甲師</w:t>
      </w:r>
      <w:r w:rsidR="00FA46A4" w:rsidRPr="00A648E3">
        <w:rPr>
          <w:rFonts w:hint="eastAsia"/>
          <w:bCs w:val="0"/>
        </w:rPr>
        <w:t>對</w:t>
      </w:r>
      <w:r w:rsidR="008B3362" w:rsidRPr="00A648E3">
        <w:rPr>
          <w:rFonts w:hint="eastAsia"/>
          <w:bCs w:val="0"/>
        </w:rPr>
        <w:t>乙師</w:t>
      </w:r>
      <w:proofErr w:type="gramEnd"/>
      <w:r w:rsidR="00FA46A4" w:rsidRPr="00A648E3">
        <w:rPr>
          <w:rFonts w:hint="eastAsia"/>
          <w:bCs w:val="0"/>
        </w:rPr>
        <w:t>亦有好感。</w:t>
      </w:r>
      <w:proofErr w:type="gramStart"/>
      <w:r w:rsidR="008B3362" w:rsidRPr="00A648E3">
        <w:rPr>
          <w:rFonts w:hint="eastAsia"/>
          <w:bCs w:val="0"/>
        </w:rPr>
        <w:t>甲師</w:t>
      </w:r>
      <w:r w:rsidR="00FA46A4" w:rsidRPr="00A648E3">
        <w:rPr>
          <w:rFonts w:hint="eastAsia"/>
          <w:bCs w:val="0"/>
        </w:rPr>
        <w:t>、</w:t>
      </w:r>
      <w:r w:rsidR="008B3362" w:rsidRPr="00A648E3">
        <w:rPr>
          <w:rFonts w:hint="eastAsia"/>
          <w:bCs w:val="0"/>
        </w:rPr>
        <w:t>乙師</w:t>
      </w:r>
      <w:proofErr w:type="gramEnd"/>
      <w:r w:rsidR="00FA46A4" w:rsidRPr="00A648E3">
        <w:rPr>
          <w:rFonts w:hint="eastAsia"/>
          <w:bCs w:val="0"/>
        </w:rPr>
        <w:t>雙方於</w:t>
      </w:r>
      <w:r w:rsidR="00FA46A4" w:rsidRPr="00A648E3">
        <w:rPr>
          <w:rFonts w:hint="eastAsia"/>
          <w:bCs w:val="0"/>
        </w:rPr>
        <w:lastRenderedPageBreak/>
        <w:t>111年10月間發生第一次性行為後，仍保持密切之聯絡及合作關係(</w:t>
      </w:r>
      <w:proofErr w:type="gramStart"/>
      <w:r w:rsidR="00FA46A4" w:rsidRPr="00A648E3">
        <w:rPr>
          <w:rFonts w:hint="eastAsia"/>
          <w:bCs w:val="0"/>
        </w:rPr>
        <w:t>共編論文</w:t>
      </w:r>
      <w:proofErr w:type="gramEnd"/>
      <w:r w:rsidR="00FA46A4" w:rsidRPr="00A648E3">
        <w:rPr>
          <w:rFonts w:hint="eastAsia"/>
          <w:bCs w:val="0"/>
        </w:rPr>
        <w:t>、</w:t>
      </w:r>
      <w:proofErr w:type="gramStart"/>
      <w:r w:rsidR="008B3362" w:rsidRPr="00A648E3">
        <w:rPr>
          <w:rFonts w:hint="eastAsia"/>
          <w:bCs w:val="0"/>
        </w:rPr>
        <w:t>甲師</w:t>
      </w:r>
      <w:r w:rsidR="00FA46A4" w:rsidRPr="00A648E3">
        <w:rPr>
          <w:rFonts w:hint="eastAsia"/>
          <w:bCs w:val="0"/>
        </w:rPr>
        <w:t>赴</w:t>
      </w:r>
      <w:r w:rsidR="008B3362" w:rsidRPr="00A648E3">
        <w:rPr>
          <w:rFonts w:hint="eastAsia"/>
          <w:bCs w:val="0"/>
        </w:rPr>
        <w:t>乙師</w:t>
      </w:r>
      <w:proofErr w:type="gramEnd"/>
      <w:r w:rsidR="00FA46A4" w:rsidRPr="00A648E3">
        <w:rPr>
          <w:rFonts w:hint="eastAsia"/>
          <w:bCs w:val="0"/>
        </w:rPr>
        <w:t>授課班</w:t>
      </w:r>
      <w:proofErr w:type="gramStart"/>
      <w:r w:rsidR="00FA46A4" w:rsidRPr="00A648E3">
        <w:rPr>
          <w:rFonts w:hint="eastAsia"/>
          <w:bCs w:val="0"/>
        </w:rPr>
        <w:t>上觀課</w:t>
      </w:r>
      <w:proofErr w:type="gramEnd"/>
      <w:r w:rsidR="00FA46A4" w:rsidRPr="00A648E3">
        <w:rPr>
          <w:rFonts w:hint="eastAsia"/>
          <w:bCs w:val="0"/>
        </w:rPr>
        <w:t>、</w:t>
      </w:r>
      <w:proofErr w:type="gramStart"/>
      <w:r w:rsidR="00FA46A4" w:rsidRPr="00A648E3">
        <w:rPr>
          <w:rFonts w:hint="eastAsia"/>
          <w:bCs w:val="0"/>
        </w:rPr>
        <w:t>參加</w:t>
      </w:r>
      <w:r w:rsidR="008B3362" w:rsidRPr="00A648E3">
        <w:rPr>
          <w:rFonts w:hint="eastAsia"/>
          <w:bCs w:val="0"/>
        </w:rPr>
        <w:t>乙師</w:t>
      </w:r>
      <w:r w:rsidR="00FA46A4" w:rsidRPr="00A648E3">
        <w:rPr>
          <w:rFonts w:hint="eastAsia"/>
          <w:bCs w:val="0"/>
        </w:rPr>
        <w:t>11月</w:t>
      </w:r>
      <w:proofErr w:type="gramEnd"/>
      <w:r w:rsidR="00FA46A4" w:rsidRPr="00A648E3">
        <w:rPr>
          <w:rFonts w:hint="eastAsia"/>
          <w:bCs w:val="0"/>
        </w:rPr>
        <w:t>間舉辦</w:t>
      </w:r>
      <w:proofErr w:type="gramStart"/>
      <w:r w:rsidR="00FA46A4" w:rsidRPr="00A648E3">
        <w:rPr>
          <w:rFonts w:hint="eastAsia"/>
          <w:bCs w:val="0"/>
        </w:rPr>
        <w:t>的桌遊工作</w:t>
      </w:r>
      <w:proofErr w:type="gramEnd"/>
      <w:r w:rsidR="00FA46A4" w:rsidRPr="00A648E3">
        <w:rPr>
          <w:rFonts w:hint="eastAsia"/>
          <w:bCs w:val="0"/>
        </w:rPr>
        <w:t>坊、陸續發生2次性行為…</w:t>
      </w:r>
      <w:proofErr w:type="gramStart"/>
      <w:r w:rsidR="00FA46A4" w:rsidRPr="00A648E3">
        <w:rPr>
          <w:rFonts w:hint="eastAsia"/>
          <w:bCs w:val="0"/>
        </w:rPr>
        <w:t>…</w:t>
      </w:r>
      <w:proofErr w:type="gramEnd"/>
      <w:r w:rsidR="00FA46A4" w:rsidRPr="00A648E3">
        <w:rPr>
          <w:rFonts w:hint="eastAsia"/>
          <w:bCs w:val="0"/>
        </w:rPr>
        <w:t>)，</w:t>
      </w:r>
      <w:proofErr w:type="gramStart"/>
      <w:r w:rsidR="00FA46A4" w:rsidRPr="00A648E3">
        <w:rPr>
          <w:rFonts w:hint="eastAsia"/>
          <w:bCs w:val="0"/>
        </w:rPr>
        <w:t>復</w:t>
      </w:r>
      <w:r w:rsidR="008B3362" w:rsidRPr="00A648E3">
        <w:rPr>
          <w:rFonts w:hint="eastAsia"/>
          <w:bCs w:val="0"/>
        </w:rPr>
        <w:t>甲師</w:t>
      </w:r>
      <w:proofErr w:type="gramEnd"/>
      <w:r w:rsidR="00FA46A4" w:rsidRPr="00A648E3">
        <w:rPr>
          <w:rFonts w:hint="eastAsia"/>
          <w:bCs w:val="0"/>
        </w:rPr>
        <w:t>自陳</w:t>
      </w:r>
      <w:r w:rsidR="00A656D0">
        <w:rPr>
          <w:rFonts w:hint="eastAsia"/>
          <w:bCs w:val="0"/>
        </w:rPr>
        <w:t>『</w:t>
      </w:r>
      <w:r w:rsidR="00FA46A4" w:rsidRPr="00A648E3">
        <w:rPr>
          <w:rFonts w:hint="eastAsia"/>
          <w:bCs w:val="0"/>
        </w:rPr>
        <w:t>(後續幾次性行為)我承認我沒有積極地拒絕</w:t>
      </w:r>
      <w:r w:rsidR="00A656D0">
        <w:rPr>
          <w:rFonts w:hint="eastAsia"/>
          <w:bCs w:val="0"/>
        </w:rPr>
        <w:t>』</w:t>
      </w:r>
      <w:r w:rsidR="00FA46A4" w:rsidRPr="00A648E3">
        <w:rPr>
          <w:rFonts w:hint="eastAsia"/>
          <w:bCs w:val="0"/>
        </w:rPr>
        <w:t>，考量</w:t>
      </w:r>
      <w:proofErr w:type="gramStart"/>
      <w:r w:rsidR="00FA46A4" w:rsidRPr="00A648E3">
        <w:rPr>
          <w:rFonts w:hint="eastAsia"/>
          <w:bCs w:val="0"/>
        </w:rPr>
        <w:t>雙方均為心智</w:t>
      </w:r>
      <w:proofErr w:type="gramEnd"/>
      <w:r w:rsidR="00FA46A4" w:rsidRPr="00A648E3">
        <w:rPr>
          <w:rFonts w:hint="eastAsia"/>
          <w:bCs w:val="0"/>
        </w:rPr>
        <w:t>成熟之成年人，應當熟知人際關係及男女交往之界限及互動，而兩人於111年10月17日曾發生性行為，</w:t>
      </w:r>
      <w:proofErr w:type="gramStart"/>
      <w:r w:rsidR="008B3362" w:rsidRPr="00A648E3">
        <w:rPr>
          <w:rFonts w:hint="eastAsia"/>
          <w:bCs w:val="0"/>
        </w:rPr>
        <w:t>甲師</w:t>
      </w:r>
      <w:r w:rsidR="00FA46A4" w:rsidRPr="00A648E3">
        <w:rPr>
          <w:rFonts w:hint="eastAsia"/>
          <w:bCs w:val="0"/>
        </w:rPr>
        <w:t>對於</w:t>
      </w:r>
      <w:r w:rsidR="008B3362" w:rsidRPr="00A648E3">
        <w:rPr>
          <w:rFonts w:hint="eastAsia"/>
          <w:bCs w:val="0"/>
        </w:rPr>
        <w:t>乙師</w:t>
      </w:r>
      <w:proofErr w:type="gramEnd"/>
      <w:r w:rsidR="00FA46A4" w:rsidRPr="00A648E3">
        <w:rPr>
          <w:rFonts w:hint="eastAsia"/>
          <w:bCs w:val="0"/>
        </w:rPr>
        <w:t>相約於其住處房間內討論論文</w:t>
      </w:r>
      <w:proofErr w:type="gramStart"/>
      <w:r w:rsidR="00FA46A4" w:rsidRPr="00A648E3">
        <w:rPr>
          <w:rFonts w:hint="eastAsia"/>
          <w:bCs w:val="0"/>
        </w:rPr>
        <w:t>恐</w:t>
      </w:r>
      <w:proofErr w:type="gramEnd"/>
      <w:r w:rsidR="00FA46A4" w:rsidRPr="00A648E3">
        <w:rPr>
          <w:rFonts w:hint="eastAsia"/>
          <w:bCs w:val="0"/>
        </w:rPr>
        <w:t>發生性行為乙節，當有合理之預見及認知；佐以在第一次發生性行為前</w:t>
      </w:r>
      <w:proofErr w:type="gramStart"/>
      <w:r w:rsidR="008B3362" w:rsidRPr="00A648E3">
        <w:rPr>
          <w:rFonts w:hint="eastAsia"/>
          <w:bCs w:val="0"/>
        </w:rPr>
        <w:t>甲師</w:t>
      </w:r>
      <w:r w:rsidR="00FA46A4" w:rsidRPr="00A648E3">
        <w:rPr>
          <w:rFonts w:hint="eastAsia"/>
          <w:bCs w:val="0"/>
        </w:rPr>
        <w:t>對</w:t>
      </w:r>
      <w:r w:rsidR="008B3362" w:rsidRPr="00A648E3">
        <w:rPr>
          <w:rFonts w:hint="eastAsia"/>
          <w:bCs w:val="0"/>
        </w:rPr>
        <w:t>乙師</w:t>
      </w:r>
      <w:proofErr w:type="gramEnd"/>
      <w:r w:rsidR="00FA46A4" w:rsidRPr="00A648E3">
        <w:rPr>
          <w:rFonts w:hint="eastAsia"/>
          <w:bCs w:val="0"/>
        </w:rPr>
        <w:t>亦有好感，</w:t>
      </w:r>
      <w:proofErr w:type="gramStart"/>
      <w:r w:rsidR="008B3362" w:rsidRPr="00A648E3">
        <w:rPr>
          <w:rFonts w:hint="eastAsia"/>
          <w:bCs w:val="0"/>
        </w:rPr>
        <w:t>乙師</w:t>
      </w:r>
      <w:r w:rsidR="00FA46A4" w:rsidRPr="00A648E3">
        <w:rPr>
          <w:rFonts w:hint="eastAsia"/>
          <w:bCs w:val="0"/>
        </w:rPr>
        <w:t>於</w:t>
      </w:r>
      <w:proofErr w:type="gramEnd"/>
      <w:r w:rsidR="00FA46A4" w:rsidRPr="00A648E3">
        <w:rPr>
          <w:rFonts w:hint="eastAsia"/>
          <w:bCs w:val="0"/>
        </w:rPr>
        <w:t>訪談中則陳述其當時</w:t>
      </w:r>
      <w:proofErr w:type="gramStart"/>
      <w:r w:rsidR="00FA46A4" w:rsidRPr="00A648E3">
        <w:rPr>
          <w:rFonts w:hint="eastAsia"/>
          <w:bCs w:val="0"/>
        </w:rPr>
        <w:t>與</w:t>
      </w:r>
      <w:r w:rsidR="008B3362" w:rsidRPr="00A648E3">
        <w:rPr>
          <w:rFonts w:hint="eastAsia"/>
          <w:bCs w:val="0"/>
        </w:rPr>
        <w:t>甲師</w:t>
      </w:r>
      <w:r w:rsidR="00FA46A4" w:rsidRPr="00A648E3">
        <w:rPr>
          <w:rFonts w:hint="eastAsia"/>
          <w:bCs w:val="0"/>
        </w:rPr>
        <w:t>相處</w:t>
      </w:r>
      <w:proofErr w:type="gramEnd"/>
      <w:r w:rsidR="00FA46A4" w:rsidRPr="00A648E3">
        <w:rPr>
          <w:rFonts w:hint="eastAsia"/>
          <w:bCs w:val="0"/>
        </w:rPr>
        <w:t>愉快，時常開車</w:t>
      </w:r>
      <w:proofErr w:type="gramStart"/>
      <w:r w:rsidR="00FA46A4" w:rsidRPr="00A648E3">
        <w:rPr>
          <w:rFonts w:hint="eastAsia"/>
          <w:bCs w:val="0"/>
        </w:rPr>
        <w:t>搭載</w:t>
      </w:r>
      <w:r w:rsidR="008B3362" w:rsidRPr="00A648E3">
        <w:rPr>
          <w:rFonts w:hint="eastAsia"/>
          <w:bCs w:val="0"/>
        </w:rPr>
        <w:t>甲師</w:t>
      </w:r>
      <w:proofErr w:type="gramEnd"/>
      <w:r w:rsidR="00FA46A4" w:rsidRPr="00A648E3">
        <w:rPr>
          <w:rFonts w:hint="eastAsia"/>
          <w:bCs w:val="0"/>
        </w:rPr>
        <w:t>，二人間之互動互相牽引，那時候真的很</w:t>
      </w:r>
      <w:proofErr w:type="gramStart"/>
      <w:r w:rsidR="00FA46A4" w:rsidRPr="00A648E3">
        <w:rPr>
          <w:rFonts w:hint="eastAsia"/>
          <w:bCs w:val="0"/>
        </w:rPr>
        <w:t>喜歡</w:t>
      </w:r>
      <w:r w:rsidR="008B3362" w:rsidRPr="00A648E3">
        <w:rPr>
          <w:rFonts w:hint="eastAsia"/>
          <w:bCs w:val="0"/>
        </w:rPr>
        <w:t>甲師</w:t>
      </w:r>
      <w:r w:rsidR="00FA46A4" w:rsidRPr="00A648E3">
        <w:rPr>
          <w:rFonts w:hint="eastAsia"/>
          <w:bCs w:val="0"/>
        </w:rPr>
        <w:t>等</w:t>
      </w:r>
      <w:proofErr w:type="gramEnd"/>
      <w:r w:rsidR="00FA46A4" w:rsidRPr="00A648E3">
        <w:rPr>
          <w:rFonts w:hint="eastAsia"/>
          <w:bCs w:val="0"/>
        </w:rPr>
        <w:t>語，可知雙方當時關係及互動良好，或有男女情愫存在</w:t>
      </w:r>
      <w:r w:rsidR="00846B17" w:rsidRPr="00A648E3">
        <w:rPr>
          <w:rFonts w:hint="eastAsia"/>
          <w:bCs w:val="0"/>
        </w:rPr>
        <w:t>。</w:t>
      </w:r>
      <w:r w:rsidRPr="00A648E3">
        <w:rPr>
          <w:rFonts w:hint="eastAsia"/>
          <w:bCs w:val="0"/>
        </w:rPr>
        <w:t>」</w:t>
      </w:r>
    </w:p>
    <w:p w14:paraId="42926CA4" w14:textId="6D39C92B" w:rsidR="00A84263" w:rsidRPr="00A648E3" w:rsidRDefault="00A84263" w:rsidP="00A84263">
      <w:pPr>
        <w:pStyle w:val="5"/>
        <w:rPr>
          <w:bCs w:val="0"/>
        </w:rPr>
      </w:pPr>
      <w:r w:rsidRPr="00A648E3">
        <w:rPr>
          <w:rFonts w:hint="eastAsia"/>
          <w:bCs w:val="0"/>
        </w:rPr>
        <w:t>檢方見解：「</w:t>
      </w:r>
      <w:proofErr w:type="gramStart"/>
      <w:r w:rsidR="008B3362" w:rsidRPr="00A648E3">
        <w:rPr>
          <w:rFonts w:hint="eastAsia"/>
          <w:bCs w:val="0"/>
        </w:rPr>
        <w:t>乙師</w:t>
      </w:r>
      <w:r w:rsidR="00FA46A4" w:rsidRPr="00A648E3">
        <w:rPr>
          <w:rFonts w:hint="eastAsia"/>
          <w:bCs w:val="0"/>
        </w:rPr>
        <w:t>固</w:t>
      </w:r>
      <w:proofErr w:type="gramEnd"/>
      <w:r w:rsidR="00FA46A4" w:rsidRPr="00A648E3">
        <w:rPr>
          <w:rFonts w:hint="eastAsia"/>
          <w:bCs w:val="0"/>
        </w:rPr>
        <w:t>否認犯行，</w:t>
      </w:r>
      <w:proofErr w:type="gramStart"/>
      <w:r w:rsidR="00FA46A4" w:rsidRPr="00A648E3">
        <w:rPr>
          <w:rFonts w:hint="eastAsia"/>
          <w:bCs w:val="0"/>
        </w:rPr>
        <w:t>然</w:t>
      </w:r>
      <w:r w:rsidR="008B3362" w:rsidRPr="00A648E3">
        <w:rPr>
          <w:rFonts w:hint="eastAsia"/>
          <w:bCs w:val="0"/>
        </w:rPr>
        <w:t>甲師</w:t>
      </w:r>
      <w:r w:rsidR="00FA46A4" w:rsidRPr="00A648E3">
        <w:rPr>
          <w:rFonts w:hint="eastAsia"/>
          <w:bCs w:val="0"/>
        </w:rPr>
        <w:t>指訴</w:t>
      </w:r>
      <w:r w:rsidR="008B3362" w:rsidRPr="00A648E3">
        <w:rPr>
          <w:rFonts w:hint="eastAsia"/>
          <w:bCs w:val="0"/>
        </w:rPr>
        <w:t>乙師</w:t>
      </w:r>
      <w:proofErr w:type="gramEnd"/>
      <w:r w:rsidR="00FA46A4" w:rsidRPr="00A648E3">
        <w:rPr>
          <w:rFonts w:hint="eastAsia"/>
          <w:bCs w:val="0"/>
        </w:rPr>
        <w:t>強制性交之犯行，有起訴書所示證據清單（</w:t>
      </w:r>
      <w:r w:rsidR="008B3362" w:rsidRPr="00A648E3">
        <w:rPr>
          <w:rFonts w:hint="eastAsia"/>
          <w:bCs w:val="0"/>
        </w:rPr>
        <w:t>甲師</w:t>
      </w:r>
      <w:r w:rsidR="00FA46A4" w:rsidRPr="00A648E3">
        <w:rPr>
          <w:rFonts w:hint="eastAsia"/>
          <w:bCs w:val="0"/>
        </w:rPr>
        <w:t>指訴以外）之證據（含</w:t>
      </w:r>
      <w:r w:rsidR="008B3362" w:rsidRPr="00A648E3">
        <w:rPr>
          <w:rFonts w:hint="eastAsia"/>
          <w:bCs w:val="0"/>
        </w:rPr>
        <w:t>乙師</w:t>
      </w:r>
      <w:r w:rsidR="00FA46A4" w:rsidRPr="00A648E3">
        <w:rPr>
          <w:rFonts w:hint="eastAsia"/>
          <w:bCs w:val="0"/>
        </w:rPr>
        <w:t>於案外及偵查中不利於己</w:t>
      </w:r>
      <w:proofErr w:type="gramStart"/>
      <w:r w:rsidR="00FA46A4" w:rsidRPr="00A648E3">
        <w:rPr>
          <w:rFonts w:hint="eastAsia"/>
          <w:bCs w:val="0"/>
        </w:rPr>
        <w:t>之</w:t>
      </w:r>
      <w:proofErr w:type="gramEnd"/>
      <w:r w:rsidR="00FA46A4" w:rsidRPr="00A648E3">
        <w:rPr>
          <w:rFonts w:hint="eastAsia"/>
          <w:bCs w:val="0"/>
        </w:rPr>
        <w:t>供述）足以補強，足</w:t>
      </w:r>
      <w:proofErr w:type="gramStart"/>
      <w:r w:rsidR="00FA46A4" w:rsidRPr="00A648E3">
        <w:rPr>
          <w:rFonts w:hint="eastAsia"/>
          <w:bCs w:val="0"/>
        </w:rPr>
        <w:t>認</w:t>
      </w:r>
      <w:r w:rsidR="008B3362" w:rsidRPr="00A648E3">
        <w:rPr>
          <w:rFonts w:hint="eastAsia"/>
          <w:bCs w:val="0"/>
        </w:rPr>
        <w:t>乙師</w:t>
      </w:r>
      <w:r w:rsidR="00FA46A4" w:rsidRPr="00A648E3">
        <w:rPr>
          <w:rFonts w:hint="eastAsia"/>
          <w:bCs w:val="0"/>
        </w:rPr>
        <w:t>係</w:t>
      </w:r>
      <w:proofErr w:type="gramEnd"/>
      <w:r w:rsidR="00FA46A4" w:rsidRPr="00A648E3">
        <w:rPr>
          <w:rFonts w:hint="eastAsia"/>
          <w:bCs w:val="0"/>
        </w:rPr>
        <w:t>在未</w:t>
      </w:r>
      <w:proofErr w:type="gramStart"/>
      <w:r w:rsidR="00FA46A4" w:rsidRPr="00A648E3">
        <w:rPr>
          <w:rFonts w:hint="eastAsia"/>
          <w:bCs w:val="0"/>
        </w:rPr>
        <w:t>取得</w:t>
      </w:r>
      <w:r w:rsidR="008B3362" w:rsidRPr="00A648E3">
        <w:rPr>
          <w:rFonts w:hint="eastAsia"/>
          <w:bCs w:val="0"/>
        </w:rPr>
        <w:t>甲師</w:t>
      </w:r>
      <w:r w:rsidR="00FA46A4" w:rsidRPr="00A648E3">
        <w:rPr>
          <w:rFonts w:hint="eastAsia"/>
          <w:bCs w:val="0"/>
        </w:rPr>
        <w:t>明示</w:t>
      </w:r>
      <w:proofErr w:type="gramEnd"/>
      <w:r w:rsidR="00FA46A4" w:rsidRPr="00A648E3">
        <w:rPr>
          <w:rFonts w:hint="eastAsia"/>
          <w:bCs w:val="0"/>
        </w:rPr>
        <w:t>同意</w:t>
      </w:r>
      <w:proofErr w:type="gramStart"/>
      <w:r w:rsidR="00FA46A4" w:rsidRPr="00A648E3">
        <w:rPr>
          <w:rFonts w:hint="eastAsia"/>
          <w:bCs w:val="0"/>
        </w:rPr>
        <w:t>（</w:t>
      </w:r>
      <w:proofErr w:type="gramEnd"/>
      <w:r w:rsidR="00FA46A4" w:rsidRPr="00A648E3">
        <w:rPr>
          <w:rFonts w:hint="eastAsia"/>
          <w:bCs w:val="0"/>
        </w:rPr>
        <w:t>依</w:t>
      </w:r>
      <w:r w:rsidR="008B3362" w:rsidRPr="00A648E3">
        <w:rPr>
          <w:rFonts w:hint="eastAsia"/>
          <w:bCs w:val="0"/>
        </w:rPr>
        <w:t>乙師</w:t>
      </w:r>
      <w:r w:rsidR="00FA46A4" w:rsidRPr="00A648E3">
        <w:rPr>
          <w:rFonts w:hint="eastAsia"/>
          <w:bCs w:val="0"/>
        </w:rPr>
        <w:t>所述，</w:t>
      </w:r>
      <w:r w:rsidR="008B3362" w:rsidRPr="00A648E3">
        <w:rPr>
          <w:rFonts w:hint="eastAsia"/>
          <w:bCs w:val="0"/>
        </w:rPr>
        <w:t>乙師</w:t>
      </w:r>
      <w:r w:rsidR="00FA46A4" w:rsidRPr="00A648E3">
        <w:rPr>
          <w:rFonts w:hint="eastAsia"/>
          <w:bCs w:val="0"/>
        </w:rPr>
        <w:t>當晚留宿係先詢問</w:t>
      </w:r>
      <w:r w:rsidR="008B3362" w:rsidRPr="00A648E3">
        <w:rPr>
          <w:rFonts w:hint="eastAsia"/>
          <w:bCs w:val="0"/>
        </w:rPr>
        <w:t>甲師</w:t>
      </w:r>
      <w:r w:rsidR="00FA46A4" w:rsidRPr="00A648E3">
        <w:rPr>
          <w:rFonts w:hint="eastAsia"/>
          <w:bCs w:val="0"/>
        </w:rPr>
        <w:t>徵得同意，舉輕以明重，</w:t>
      </w:r>
      <w:r w:rsidR="008B3362" w:rsidRPr="00A648E3">
        <w:rPr>
          <w:rFonts w:hint="eastAsia"/>
          <w:bCs w:val="0"/>
        </w:rPr>
        <w:t>乙師</w:t>
      </w:r>
      <w:r w:rsidR="00FA46A4" w:rsidRPr="00A648E3">
        <w:rPr>
          <w:rFonts w:hint="eastAsia"/>
          <w:bCs w:val="0"/>
        </w:rPr>
        <w:t>既知留宿需先詢問，豈會不知發生性行為亦應先得同意？</w:t>
      </w:r>
      <w:proofErr w:type="gramStart"/>
      <w:r w:rsidR="008B3362" w:rsidRPr="00A648E3">
        <w:rPr>
          <w:rFonts w:hint="eastAsia"/>
          <w:bCs w:val="0"/>
        </w:rPr>
        <w:t>乙師</w:t>
      </w:r>
      <w:r w:rsidR="00FA46A4" w:rsidRPr="00A648E3">
        <w:rPr>
          <w:rFonts w:hint="eastAsia"/>
          <w:bCs w:val="0"/>
        </w:rPr>
        <w:t>顯</w:t>
      </w:r>
      <w:proofErr w:type="gramEnd"/>
      <w:r w:rsidR="00FA46A4" w:rsidRPr="00A648E3">
        <w:rPr>
          <w:rFonts w:hint="eastAsia"/>
          <w:bCs w:val="0"/>
        </w:rPr>
        <w:t>係欲利用</w:t>
      </w:r>
      <w:r w:rsidR="008B3362" w:rsidRPr="00A648E3">
        <w:rPr>
          <w:rFonts w:hint="eastAsia"/>
          <w:bCs w:val="0"/>
        </w:rPr>
        <w:t>甲師</w:t>
      </w:r>
      <w:r w:rsidR="00FA46A4" w:rsidRPr="00A648E3">
        <w:rPr>
          <w:rFonts w:hint="eastAsia"/>
          <w:bCs w:val="0"/>
        </w:rPr>
        <w:t>之單純、好感，而欲直接</w:t>
      </w:r>
      <w:proofErr w:type="gramStart"/>
      <w:r w:rsidR="00FA46A4" w:rsidRPr="00A648E3">
        <w:rPr>
          <w:rFonts w:hint="eastAsia"/>
          <w:bCs w:val="0"/>
        </w:rPr>
        <w:t>與</w:t>
      </w:r>
      <w:r w:rsidR="008B3362" w:rsidRPr="00A648E3">
        <w:rPr>
          <w:rFonts w:hint="eastAsia"/>
          <w:bCs w:val="0"/>
        </w:rPr>
        <w:t>甲師</w:t>
      </w:r>
      <w:r w:rsidR="00FA46A4" w:rsidRPr="00A648E3">
        <w:rPr>
          <w:rFonts w:hint="eastAsia"/>
          <w:bCs w:val="0"/>
        </w:rPr>
        <w:t>發生</w:t>
      </w:r>
      <w:proofErr w:type="gramEnd"/>
      <w:r w:rsidR="00FA46A4" w:rsidRPr="00A648E3">
        <w:rPr>
          <w:rFonts w:hint="eastAsia"/>
          <w:bCs w:val="0"/>
        </w:rPr>
        <w:t>性行為</w:t>
      </w:r>
      <w:proofErr w:type="gramStart"/>
      <w:r w:rsidR="00FA46A4" w:rsidRPr="00A648E3">
        <w:rPr>
          <w:rFonts w:hint="eastAsia"/>
          <w:bCs w:val="0"/>
        </w:rPr>
        <w:t>）</w:t>
      </w:r>
      <w:proofErr w:type="gramEnd"/>
      <w:r w:rsidR="00FA46A4" w:rsidRPr="00A648E3">
        <w:rPr>
          <w:rFonts w:hint="eastAsia"/>
          <w:bCs w:val="0"/>
        </w:rPr>
        <w:t>，</w:t>
      </w:r>
      <w:proofErr w:type="gramStart"/>
      <w:r w:rsidR="00FA46A4" w:rsidRPr="00A648E3">
        <w:rPr>
          <w:rFonts w:hint="eastAsia"/>
          <w:bCs w:val="0"/>
        </w:rPr>
        <w:t>甚至</w:t>
      </w:r>
      <w:r w:rsidR="008B3362" w:rsidRPr="00A648E3">
        <w:rPr>
          <w:rFonts w:hint="eastAsia"/>
          <w:bCs w:val="0"/>
        </w:rPr>
        <w:t>甲師</w:t>
      </w:r>
      <w:r w:rsidR="00FA46A4" w:rsidRPr="00A648E3">
        <w:rPr>
          <w:rFonts w:hint="eastAsia"/>
          <w:bCs w:val="0"/>
        </w:rPr>
        <w:t>已</w:t>
      </w:r>
      <w:proofErr w:type="gramEnd"/>
      <w:r w:rsidR="00FA46A4" w:rsidRPr="00A648E3">
        <w:rPr>
          <w:rFonts w:hint="eastAsia"/>
          <w:bCs w:val="0"/>
        </w:rPr>
        <w:t>明示反對下，仍強行</w:t>
      </w:r>
      <w:proofErr w:type="gramStart"/>
      <w:r w:rsidR="00FA46A4" w:rsidRPr="00A648E3">
        <w:rPr>
          <w:rFonts w:hint="eastAsia"/>
          <w:bCs w:val="0"/>
        </w:rPr>
        <w:t>對</w:t>
      </w:r>
      <w:r w:rsidR="008B3362" w:rsidRPr="00A648E3">
        <w:rPr>
          <w:rFonts w:hint="eastAsia"/>
          <w:bCs w:val="0"/>
        </w:rPr>
        <w:t>甲師</w:t>
      </w:r>
      <w:r w:rsidR="00FA46A4" w:rsidRPr="00A648E3">
        <w:rPr>
          <w:rFonts w:hint="eastAsia"/>
          <w:bCs w:val="0"/>
        </w:rPr>
        <w:t>性交</w:t>
      </w:r>
      <w:proofErr w:type="gramEnd"/>
      <w:r w:rsidR="00FA46A4" w:rsidRPr="00A648E3">
        <w:rPr>
          <w:rFonts w:hint="eastAsia"/>
          <w:bCs w:val="0"/>
        </w:rPr>
        <w:t>，且由上</w:t>
      </w:r>
      <w:proofErr w:type="gramStart"/>
      <w:r w:rsidR="00FA46A4" w:rsidRPr="00A648E3">
        <w:rPr>
          <w:rFonts w:hint="eastAsia"/>
          <w:bCs w:val="0"/>
        </w:rPr>
        <w:t>開事證亦</w:t>
      </w:r>
      <w:proofErr w:type="gramEnd"/>
      <w:r w:rsidR="00FA46A4" w:rsidRPr="00A648E3">
        <w:rPr>
          <w:rFonts w:hint="eastAsia"/>
          <w:bCs w:val="0"/>
        </w:rPr>
        <w:t>足以</w:t>
      </w:r>
      <w:proofErr w:type="gramStart"/>
      <w:r w:rsidR="00FA46A4" w:rsidRPr="00A648E3">
        <w:rPr>
          <w:rFonts w:hint="eastAsia"/>
          <w:bCs w:val="0"/>
        </w:rPr>
        <w:t>認定</w:t>
      </w:r>
      <w:r w:rsidR="008B3362" w:rsidRPr="00A648E3">
        <w:rPr>
          <w:rFonts w:hint="eastAsia"/>
          <w:bCs w:val="0"/>
        </w:rPr>
        <w:t>甲師</w:t>
      </w:r>
      <w:r w:rsidR="00FA46A4" w:rsidRPr="00A648E3">
        <w:rPr>
          <w:rFonts w:hint="eastAsia"/>
          <w:bCs w:val="0"/>
        </w:rPr>
        <w:t>不想與</w:t>
      </w:r>
      <w:r w:rsidR="008B3362" w:rsidRPr="00A648E3">
        <w:rPr>
          <w:rFonts w:hint="eastAsia"/>
          <w:bCs w:val="0"/>
        </w:rPr>
        <w:t>乙師</w:t>
      </w:r>
      <w:r w:rsidR="00FA46A4" w:rsidRPr="00A648E3">
        <w:rPr>
          <w:rFonts w:hint="eastAsia"/>
          <w:bCs w:val="0"/>
        </w:rPr>
        <w:t>發生</w:t>
      </w:r>
      <w:proofErr w:type="gramEnd"/>
      <w:r w:rsidR="00FA46A4" w:rsidRPr="00A648E3">
        <w:rPr>
          <w:rFonts w:hint="eastAsia"/>
          <w:bCs w:val="0"/>
        </w:rPr>
        <w:t>性行為，此</w:t>
      </w:r>
      <w:proofErr w:type="gramStart"/>
      <w:r w:rsidR="00FA46A4" w:rsidRPr="00A648E3">
        <w:rPr>
          <w:rFonts w:hint="eastAsia"/>
          <w:bCs w:val="0"/>
        </w:rPr>
        <w:t>亦據</w:t>
      </w:r>
      <w:r w:rsidR="008B3362" w:rsidRPr="00A648E3">
        <w:rPr>
          <w:rFonts w:hint="eastAsia"/>
          <w:bCs w:val="0"/>
        </w:rPr>
        <w:t>乙師</w:t>
      </w:r>
      <w:r w:rsidR="00FA46A4" w:rsidRPr="00A648E3">
        <w:rPr>
          <w:rFonts w:hint="eastAsia"/>
          <w:bCs w:val="0"/>
        </w:rPr>
        <w:t>於</w:t>
      </w:r>
      <w:proofErr w:type="gramEnd"/>
      <w:r w:rsidR="00FA46A4" w:rsidRPr="00A648E3">
        <w:rPr>
          <w:rFonts w:hint="eastAsia"/>
          <w:bCs w:val="0"/>
        </w:rPr>
        <w:t>偵訊中所自承。</w:t>
      </w:r>
      <w:proofErr w:type="gramStart"/>
      <w:r w:rsidR="008B3362" w:rsidRPr="00A648E3">
        <w:rPr>
          <w:rFonts w:hint="eastAsia"/>
          <w:bCs w:val="0"/>
        </w:rPr>
        <w:t>乙師</w:t>
      </w:r>
      <w:r w:rsidR="00FA46A4" w:rsidRPr="00A648E3">
        <w:rPr>
          <w:rFonts w:hint="eastAsia"/>
          <w:bCs w:val="0"/>
        </w:rPr>
        <w:t>另辯</w:t>
      </w:r>
      <w:proofErr w:type="gramEnd"/>
      <w:r w:rsidR="00FA46A4" w:rsidRPr="00A648E3">
        <w:rPr>
          <w:rFonts w:hint="eastAsia"/>
          <w:bCs w:val="0"/>
        </w:rPr>
        <w:t>稱其並未聽見</w:t>
      </w:r>
      <w:proofErr w:type="gramStart"/>
      <w:r w:rsidR="008B3362" w:rsidRPr="00A648E3">
        <w:rPr>
          <w:rFonts w:hint="eastAsia"/>
          <w:bCs w:val="0"/>
        </w:rPr>
        <w:t>甲師</w:t>
      </w:r>
      <w:r w:rsidR="00FA46A4" w:rsidRPr="00A648E3">
        <w:rPr>
          <w:rFonts w:hint="eastAsia"/>
          <w:bCs w:val="0"/>
        </w:rPr>
        <w:t>說</w:t>
      </w:r>
      <w:proofErr w:type="gramEnd"/>
      <w:r w:rsidR="002C4D62" w:rsidRPr="00A648E3">
        <w:rPr>
          <w:rFonts w:hint="eastAsia"/>
          <w:bCs w:val="0"/>
        </w:rPr>
        <w:t>『不要』</w:t>
      </w:r>
      <w:r w:rsidR="00FA46A4" w:rsidRPr="00A648E3">
        <w:rPr>
          <w:rFonts w:hint="eastAsia"/>
          <w:bCs w:val="0"/>
        </w:rPr>
        <w:t>乙節，</w:t>
      </w:r>
      <w:proofErr w:type="gramStart"/>
      <w:r w:rsidR="00FA46A4" w:rsidRPr="00A648E3">
        <w:rPr>
          <w:rFonts w:hint="eastAsia"/>
          <w:bCs w:val="0"/>
        </w:rPr>
        <w:t>查</w:t>
      </w:r>
      <w:r w:rsidR="008B3362" w:rsidRPr="00A648E3">
        <w:rPr>
          <w:rFonts w:hint="eastAsia"/>
          <w:bCs w:val="0"/>
        </w:rPr>
        <w:t>乙師</w:t>
      </w:r>
      <w:r w:rsidR="00FA46A4" w:rsidRPr="00A648E3">
        <w:rPr>
          <w:rFonts w:hint="eastAsia"/>
          <w:bCs w:val="0"/>
        </w:rPr>
        <w:t>於</w:t>
      </w:r>
      <w:proofErr w:type="gramEnd"/>
      <w:r w:rsidR="00FA46A4" w:rsidRPr="00A648E3">
        <w:rPr>
          <w:rFonts w:hint="eastAsia"/>
          <w:bCs w:val="0"/>
        </w:rPr>
        <w:t>甲校性平會調查時已坦承有聽見，更自行敘述</w:t>
      </w:r>
      <w:r w:rsidR="002C4D62" w:rsidRPr="00A648E3">
        <w:rPr>
          <w:rFonts w:hint="eastAsia"/>
          <w:bCs w:val="0"/>
        </w:rPr>
        <w:t>『</w:t>
      </w:r>
      <w:r w:rsidR="00FA46A4" w:rsidRPr="00A648E3">
        <w:rPr>
          <w:rFonts w:hint="eastAsia"/>
          <w:bCs w:val="0"/>
        </w:rPr>
        <w:t>但我就用一個很幽默的方式跟她講說，沒</w:t>
      </w:r>
      <w:r w:rsidR="00FA46A4" w:rsidRPr="00A648E3">
        <w:rPr>
          <w:rFonts w:hint="eastAsia"/>
          <w:bCs w:val="0"/>
        </w:rPr>
        <w:lastRenderedPageBreak/>
        <w:t>關係，慢慢來，第一次難免，我們第一次不熟有點緊張這樣子。</w:t>
      </w:r>
      <w:r w:rsidR="002C4D62" w:rsidRPr="00A648E3">
        <w:rPr>
          <w:rFonts w:hint="eastAsia"/>
          <w:bCs w:val="0"/>
        </w:rPr>
        <w:t>』</w:t>
      </w:r>
      <w:r w:rsidR="00FA46A4" w:rsidRPr="00A648E3">
        <w:rPr>
          <w:rFonts w:hint="eastAsia"/>
          <w:bCs w:val="0"/>
        </w:rPr>
        <w:t>等語，足</w:t>
      </w:r>
      <w:proofErr w:type="gramStart"/>
      <w:r w:rsidR="00FA46A4" w:rsidRPr="00A648E3">
        <w:rPr>
          <w:rFonts w:hint="eastAsia"/>
          <w:bCs w:val="0"/>
        </w:rPr>
        <w:t>認</w:t>
      </w:r>
      <w:r w:rsidR="008B3362" w:rsidRPr="00A648E3">
        <w:rPr>
          <w:rFonts w:hint="eastAsia"/>
          <w:bCs w:val="0"/>
        </w:rPr>
        <w:t>乙師</w:t>
      </w:r>
      <w:r w:rsidR="00FA46A4" w:rsidRPr="00A648E3">
        <w:rPr>
          <w:rFonts w:hint="eastAsia"/>
          <w:bCs w:val="0"/>
        </w:rPr>
        <w:t>此</w:t>
      </w:r>
      <w:proofErr w:type="gramEnd"/>
      <w:r w:rsidR="00FA46A4" w:rsidRPr="00A648E3">
        <w:rPr>
          <w:rFonts w:hint="eastAsia"/>
          <w:bCs w:val="0"/>
        </w:rPr>
        <w:t>於案外之陳述較其於本案偵查中之陳述更為可信，是</w:t>
      </w:r>
      <w:proofErr w:type="gramStart"/>
      <w:r w:rsidR="008B3362" w:rsidRPr="00A648E3">
        <w:rPr>
          <w:rFonts w:hint="eastAsia"/>
          <w:bCs w:val="0"/>
        </w:rPr>
        <w:t>乙師</w:t>
      </w:r>
      <w:r w:rsidR="00FA46A4" w:rsidRPr="00A648E3">
        <w:rPr>
          <w:rFonts w:hint="eastAsia"/>
          <w:bCs w:val="0"/>
        </w:rPr>
        <w:t>此部</w:t>
      </w:r>
      <w:proofErr w:type="gramEnd"/>
      <w:r w:rsidR="00FA46A4" w:rsidRPr="00A648E3">
        <w:rPr>
          <w:rFonts w:hint="eastAsia"/>
          <w:bCs w:val="0"/>
        </w:rPr>
        <w:t>分辯稱亦不可</w:t>
      </w:r>
      <w:proofErr w:type="gramStart"/>
      <w:r w:rsidR="00FA46A4" w:rsidRPr="00A648E3">
        <w:rPr>
          <w:rFonts w:hint="eastAsia"/>
          <w:bCs w:val="0"/>
        </w:rPr>
        <w:t>採</w:t>
      </w:r>
      <w:proofErr w:type="gramEnd"/>
      <w:r w:rsidR="00FA46A4" w:rsidRPr="00A648E3">
        <w:rPr>
          <w:rFonts w:hint="eastAsia"/>
          <w:bCs w:val="0"/>
        </w:rPr>
        <w:t>。</w:t>
      </w:r>
      <w:r w:rsidRPr="00A648E3">
        <w:rPr>
          <w:rFonts w:hint="eastAsia"/>
          <w:bCs w:val="0"/>
        </w:rPr>
        <w:t>」</w:t>
      </w:r>
    </w:p>
    <w:p w14:paraId="09D97EDF" w14:textId="0E9D27EF" w:rsidR="00A84263" w:rsidRPr="00A648E3" w:rsidRDefault="00A84263" w:rsidP="00E64FE6">
      <w:pPr>
        <w:pStyle w:val="5"/>
        <w:ind w:left="2041"/>
        <w:rPr>
          <w:bCs w:val="0"/>
        </w:rPr>
      </w:pPr>
      <w:r w:rsidRPr="00A648E3">
        <w:rPr>
          <w:rFonts w:hint="eastAsia"/>
          <w:bCs w:val="0"/>
        </w:rPr>
        <w:t>花蓮地院(一審)判決見解：「</w:t>
      </w:r>
      <w:proofErr w:type="gramStart"/>
      <w:r w:rsidR="008B3362" w:rsidRPr="00A648E3">
        <w:rPr>
          <w:rFonts w:hint="eastAsia"/>
          <w:bCs w:val="0"/>
        </w:rPr>
        <w:t>乙師</w:t>
      </w:r>
      <w:r w:rsidR="00FA46A4" w:rsidRPr="00A648E3">
        <w:rPr>
          <w:rFonts w:hint="eastAsia"/>
          <w:bCs w:val="0"/>
        </w:rPr>
        <w:t>於</w:t>
      </w:r>
      <w:proofErr w:type="gramEnd"/>
      <w:r w:rsidR="00FA46A4" w:rsidRPr="00A648E3">
        <w:rPr>
          <w:rFonts w:hint="eastAsia"/>
          <w:bCs w:val="0"/>
        </w:rPr>
        <w:t>112年8月31日接受性平調查時自承：</w:t>
      </w:r>
      <w:r w:rsidR="002C4D62" w:rsidRPr="00A648E3">
        <w:rPr>
          <w:rFonts w:hint="eastAsia"/>
          <w:bCs w:val="0"/>
        </w:rPr>
        <w:t>『</w:t>
      </w:r>
      <w:r w:rsidR="00FA46A4" w:rsidRPr="00A648E3">
        <w:rPr>
          <w:rFonts w:hint="eastAsia"/>
          <w:bCs w:val="0"/>
        </w:rPr>
        <w:t>我隱隱約約就有聽到她說不要這樣子，對我現在想起來有那個印象，然後我有跟</w:t>
      </w:r>
      <w:r w:rsidR="00A656D0">
        <w:rPr>
          <w:rFonts w:hint="eastAsia"/>
          <w:bCs w:val="0"/>
        </w:rPr>
        <w:t>她</w:t>
      </w:r>
      <w:r w:rsidR="00FA46A4" w:rsidRPr="00A648E3">
        <w:rPr>
          <w:rFonts w:hint="eastAsia"/>
          <w:bCs w:val="0"/>
        </w:rPr>
        <w:t>說沒關係，我們慢慢來，</w:t>
      </w:r>
      <w:r w:rsidR="00A656D0">
        <w:rPr>
          <w:rFonts w:hint="eastAsia"/>
          <w:bCs w:val="0"/>
        </w:rPr>
        <w:t>妳</w:t>
      </w:r>
      <w:r w:rsidR="00FA46A4" w:rsidRPr="00A648E3">
        <w:rPr>
          <w:rFonts w:hint="eastAsia"/>
          <w:bCs w:val="0"/>
        </w:rPr>
        <w:t>放輕鬆這樣子，…</w:t>
      </w:r>
      <w:proofErr w:type="gramStart"/>
      <w:r w:rsidR="00FA46A4" w:rsidRPr="00A648E3">
        <w:rPr>
          <w:rFonts w:hint="eastAsia"/>
          <w:bCs w:val="0"/>
        </w:rPr>
        <w:t>…</w:t>
      </w:r>
      <w:proofErr w:type="gramEnd"/>
      <w:r w:rsidR="00FA46A4" w:rsidRPr="00A648E3">
        <w:rPr>
          <w:rFonts w:hint="eastAsia"/>
          <w:bCs w:val="0"/>
        </w:rPr>
        <w:t>我是有聽到那一句啦，對啊，但是我就用一個很幽默的方式跟她講說慢慢來沒關係、不用緊張</w:t>
      </w:r>
      <w:r w:rsidR="002C4D62" w:rsidRPr="00A648E3">
        <w:rPr>
          <w:rFonts w:hint="eastAsia"/>
          <w:bCs w:val="0"/>
        </w:rPr>
        <w:t>』</w:t>
      </w:r>
      <w:r w:rsidR="00FA46A4" w:rsidRPr="00A648E3">
        <w:rPr>
          <w:rFonts w:hint="eastAsia"/>
          <w:bCs w:val="0"/>
        </w:rPr>
        <w:t>等語，</w:t>
      </w:r>
      <w:proofErr w:type="gramStart"/>
      <w:r w:rsidR="00FA46A4" w:rsidRPr="00A648E3">
        <w:rPr>
          <w:rFonts w:hint="eastAsia"/>
          <w:bCs w:val="0"/>
        </w:rPr>
        <w:t>益徵其無視</w:t>
      </w:r>
      <w:r w:rsidR="008B3362" w:rsidRPr="00A648E3">
        <w:rPr>
          <w:rFonts w:hint="eastAsia"/>
          <w:bCs w:val="0"/>
        </w:rPr>
        <w:t>甲師</w:t>
      </w:r>
      <w:r w:rsidR="00FA46A4" w:rsidRPr="00A648E3">
        <w:rPr>
          <w:rFonts w:hint="eastAsia"/>
          <w:bCs w:val="0"/>
        </w:rPr>
        <w:t>拒絕</w:t>
      </w:r>
      <w:proofErr w:type="gramEnd"/>
      <w:r w:rsidR="00FA46A4" w:rsidRPr="00A648E3">
        <w:rPr>
          <w:rFonts w:hint="eastAsia"/>
          <w:bCs w:val="0"/>
        </w:rPr>
        <w:t>與其發生性行為，漠視</w:t>
      </w:r>
      <w:proofErr w:type="gramStart"/>
      <w:r w:rsidR="008B3362" w:rsidRPr="00A648E3">
        <w:rPr>
          <w:rFonts w:hint="eastAsia"/>
          <w:bCs w:val="0"/>
        </w:rPr>
        <w:t>甲師</w:t>
      </w:r>
      <w:r w:rsidR="00FA46A4" w:rsidRPr="00A648E3">
        <w:rPr>
          <w:rFonts w:hint="eastAsia"/>
          <w:bCs w:val="0"/>
        </w:rPr>
        <w:t>性</w:t>
      </w:r>
      <w:proofErr w:type="gramEnd"/>
      <w:r w:rsidR="00FA46A4" w:rsidRPr="00A648E3">
        <w:rPr>
          <w:rFonts w:hint="eastAsia"/>
          <w:bCs w:val="0"/>
        </w:rPr>
        <w:t>自主決定權。</w:t>
      </w:r>
      <w:r w:rsidR="008B3362" w:rsidRPr="00A648E3">
        <w:rPr>
          <w:rFonts w:hint="eastAsia"/>
          <w:bCs w:val="0"/>
        </w:rPr>
        <w:t>乙師</w:t>
      </w:r>
      <w:r w:rsidR="00FA46A4" w:rsidRPr="00A648E3">
        <w:rPr>
          <w:rFonts w:hint="eastAsia"/>
          <w:bCs w:val="0"/>
        </w:rPr>
        <w:t>嗣於113年1月25日檢察官偵訊時翻異</w:t>
      </w:r>
      <w:proofErr w:type="gramStart"/>
      <w:r w:rsidR="00FA46A4" w:rsidRPr="00A648E3">
        <w:rPr>
          <w:rFonts w:hint="eastAsia"/>
          <w:bCs w:val="0"/>
        </w:rPr>
        <w:t>前詞稱</w:t>
      </w:r>
      <w:proofErr w:type="gramEnd"/>
      <w:r w:rsidR="00FA46A4" w:rsidRPr="00A648E3">
        <w:rPr>
          <w:rFonts w:hint="eastAsia"/>
          <w:bCs w:val="0"/>
        </w:rPr>
        <w:t>：</w:t>
      </w:r>
      <w:r w:rsidR="002C4D62" w:rsidRPr="00A648E3">
        <w:rPr>
          <w:rFonts w:hint="eastAsia"/>
          <w:bCs w:val="0"/>
        </w:rPr>
        <w:t>『</w:t>
      </w:r>
      <w:r w:rsidR="00FA46A4" w:rsidRPr="00A648E3">
        <w:rPr>
          <w:rFonts w:hint="eastAsia"/>
          <w:bCs w:val="0"/>
        </w:rPr>
        <w:t>在警</w:t>
      </w:r>
      <w:proofErr w:type="gramStart"/>
      <w:r w:rsidR="00FA46A4" w:rsidRPr="00A648E3">
        <w:rPr>
          <w:rFonts w:hint="eastAsia"/>
          <w:bCs w:val="0"/>
        </w:rPr>
        <w:t>詢</w:t>
      </w:r>
      <w:proofErr w:type="gramEnd"/>
      <w:r w:rsidR="00FA46A4" w:rsidRPr="00A648E3">
        <w:rPr>
          <w:rFonts w:hint="eastAsia"/>
          <w:bCs w:val="0"/>
        </w:rPr>
        <w:t>時我想了很久，我覺得我是沒有聽到</w:t>
      </w:r>
      <w:r w:rsidR="002C4D62" w:rsidRPr="00A648E3">
        <w:rPr>
          <w:rFonts w:hint="eastAsia"/>
          <w:bCs w:val="0"/>
        </w:rPr>
        <w:t>』</w:t>
      </w:r>
      <w:r w:rsidR="00FA46A4" w:rsidRPr="00A648E3">
        <w:rPr>
          <w:rFonts w:hint="eastAsia"/>
          <w:bCs w:val="0"/>
        </w:rPr>
        <w:t>云云，顯屬臨</w:t>
      </w:r>
      <w:proofErr w:type="gramStart"/>
      <w:r w:rsidR="00FA46A4" w:rsidRPr="00A648E3">
        <w:rPr>
          <w:rFonts w:hint="eastAsia"/>
          <w:bCs w:val="0"/>
        </w:rPr>
        <w:t>訟</w:t>
      </w:r>
      <w:proofErr w:type="gramEnd"/>
      <w:r w:rsidR="00FA46A4" w:rsidRPr="00A648E3">
        <w:rPr>
          <w:rFonts w:hint="eastAsia"/>
          <w:bCs w:val="0"/>
        </w:rPr>
        <w:t>卸責之詞，應以其於接受性平調查時，較少權衡利害得失之供詞，較合於真實。</w:t>
      </w:r>
      <w:r w:rsidR="0087556B" w:rsidRPr="00A648E3">
        <w:rPr>
          <w:rFonts w:hint="eastAsia"/>
          <w:bCs w:val="0"/>
        </w:rPr>
        <w:t>…</w:t>
      </w:r>
      <w:proofErr w:type="gramStart"/>
      <w:r w:rsidR="0087556B" w:rsidRPr="00A648E3">
        <w:rPr>
          <w:rFonts w:hint="eastAsia"/>
          <w:bCs w:val="0"/>
        </w:rPr>
        <w:t>…</w:t>
      </w:r>
      <w:proofErr w:type="gramEnd"/>
      <w:r w:rsidR="00FA46A4" w:rsidRPr="00A648E3">
        <w:rPr>
          <w:rFonts w:hint="eastAsia"/>
          <w:bCs w:val="0"/>
        </w:rPr>
        <w:t>經</w:t>
      </w:r>
      <w:proofErr w:type="gramStart"/>
      <w:r w:rsidR="00FA46A4" w:rsidRPr="00A648E3">
        <w:rPr>
          <w:rFonts w:hint="eastAsia"/>
          <w:bCs w:val="0"/>
        </w:rPr>
        <w:t>檢察官質以</w:t>
      </w:r>
      <w:proofErr w:type="gramEnd"/>
      <w:r w:rsidR="002C4D62" w:rsidRPr="00A648E3">
        <w:rPr>
          <w:rFonts w:hint="eastAsia"/>
          <w:bCs w:val="0"/>
        </w:rPr>
        <w:t>『</w:t>
      </w:r>
      <w:r w:rsidR="00FA46A4" w:rsidRPr="00A648E3">
        <w:rPr>
          <w:rFonts w:hint="eastAsia"/>
          <w:bCs w:val="0"/>
        </w:rPr>
        <w:t>依你目前所述，被害人在研究室的時候，她對你說她不想跟有婦之夫發生關係，過幾天在她家發生性行為前，她沒有明確同意，性行為過程中也沒有什麼反應，都是你在主動，你覺得她有想跟你發生性行為嗎？</w:t>
      </w:r>
      <w:r w:rsidR="002C4D62" w:rsidRPr="00A648E3">
        <w:rPr>
          <w:rFonts w:hint="eastAsia"/>
          <w:bCs w:val="0"/>
        </w:rPr>
        <w:t>』</w:t>
      </w:r>
      <w:proofErr w:type="gramStart"/>
      <w:r w:rsidR="008B3362" w:rsidRPr="00A648E3">
        <w:rPr>
          <w:rFonts w:hint="eastAsia"/>
          <w:bCs w:val="0"/>
        </w:rPr>
        <w:t>乙師</w:t>
      </w:r>
      <w:r w:rsidR="00FA46A4" w:rsidRPr="00A648E3">
        <w:rPr>
          <w:rFonts w:hint="eastAsia"/>
          <w:bCs w:val="0"/>
        </w:rPr>
        <w:t>直言</w:t>
      </w:r>
      <w:proofErr w:type="gramEnd"/>
      <w:r w:rsidR="00FA46A4" w:rsidRPr="00A648E3">
        <w:rPr>
          <w:rFonts w:hint="eastAsia"/>
          <w:bCs w:val="0"/>
        </w:rPr>
        <w:t>無隱：</w:t>
      </w:r>
      <w:r w:rsidR="002C4D62" w:rsidRPr="00A648E3">
        <w:rPr>
          <w:rFonts w:hint="eastAsia"/>
          <w:bCs w:val="0"/>
        </w:rPr>
        <w:t>『</w:t>
      </w:r>
      <w:r w:rsidR="00FA46A4" w:rsidRPr="00A648E3">
        <w:rPr>
          <w:rFonts w:hint="eastAsia"/>
          <w:bCs w:val="0"/>
        </w:rPr>
        <w:t>我覺得她沒有那麼想。</w:t>
      </w:r>
      <w:r w:rsidR="002C4D62" w:rsidRPr="00A648E3">
        <w:rPr>
          <w:rFonts w:hint="eastAsia"/>
          <w:bCs w:val="0"/>
        </w:rPr>
        <w:t>』</w:t>
      </w:r>
      <w:proofErr w:type="gramStart"/>
      <w:r w:rsidR="00FA46A4" w:rsidRPr="00A648E3">
        <w:rPr>
          <w:rFonts w:hint="eastAsia"/>
          <w:bCs w:val="0"/>
        </w:rPr>
        <w:t>依</w:t>
      </w:r>
      <w:r w:rsidR="008B3362" w:rsidRPr="00A648E3">
        <w:rPr>
          <w:rFonts w:hint="eastAsia"/>
          <w:bCs w:val="0"/>
        </w:rPr>
        <w:t>乙師</w:t>
      </w:r>
      <w:proofErr w:type="gramEnd"/>
      <w:r w:rsidR="00FA46A4" w:rsidRPr="00A648E3">
        <w:rPr>
          <w:rFonts w:hint="eastAsia"/>
          <w:bCs w:val="0"/>
        </w:rPr>
        <w:t>所述，</w:t>
      </w:r>
      <w:proofErr w:type="gramStart"/>
      <w:r w:rsidR="00D94E4C">
        <w:rPr>
          <w:rFonts w:hint="eastAsia"/>
          <w:bCs w:val="0"/>
        </w:rPr>
        <w:t>堪認</w:t>
      </w:r>
      <w:r w:rsidR="008B3362" w:rsidRPr="00A648E3">
        <w:rPr>
          <w:rFonts w:hint="eastAsia"/>
          <w:bCs w:val="0"/>
        </w:rPr>
        <w:t>甲師</w:t>
      </w:r>
      <w:r w:rsidR="00FA46A4" w:rsidRPr="00A648E3">
        <w:rPr>
          <w:rFonts w:hint="eastAsia"/>
          <w:bCs w:val="0"/>
        </w:rPr>
        <w:t>確</w:t>
      </w:r>
      <w:proofErr w:type="gramEnd"/>
      <w:r w:rsidR="00FA46A4" w:rsidRPr="00A648E3">
        <w:rPr>
          <w:rFonts w:hint="eastAsia"/>
          <w:bCs w:val="0"/>
        </w:rPr>
        <w:t>曾明白拒絕</w:t>
      </w:r>
      <w:r w:rsidR="008B3362" w:rsidRPr="00A648E3">
        <w:rPr>
          <w:rFonts w:hint="eastAsia"/>
          <w:bCs w:val="0"/>
        </w:rPr>
        <w:t>乙師</w:t>
      </w:r>
      <w:r w:rsidR="00FA46A4" w:rsidRPr="00A648E3">
        <w:rPr>
          <w:rFonts w:hint="eastAsia"/>
          <w:bCs w:val="0"/>
        </w:rPr>
        <w:t>之示愛求歡，</w:t>
      </w:r>
      <w:proofErr w:type="gramStart"/>
      <w:r w:rsidR="008B3362" w:rsidRPr="00A648E3">
        <w:rPr>
          <w:rFonts w:hint="eastAsia"/>
          <w:bCs w:val="0"/>
        </w:rPr>
        <w:t>乙師</w:t>
      </w:r>
      <w:r w:rsidR="00FA46A4" w:rsidRPr="00A648E3">
        <w:rPr>
          <w:rFonts w:hint="eastAsia"/>
          <w:bCs w:val="0"/>
        </w:rPr>
        <w:t>卻以</w:t>
      </w:r>
      <w:r w:rsidR="008B3362" w:rsidRPr="00A648E3">
        <w:rPr>
          <w:rFonts w:hint="eastAsia"/>
          <w:bCs w:val="0"/>
        </w:rPr>
        <w:t>甲師</w:t>
      </w:r>
      <w:proofErr w:type="gramEnd"/>
      <w:r w:rsidR="00FA46A4" w:rsidRPr="00A648E3">
        <w:rPr>
          <w:rFonts w:hint="eastAsia"/>
          <w:bCs w:val="0"/>
        </w:rPr>
        <w:t>是在開玩笑、太緊張云云，作為合理化自己行為之理由，</w:t>
      </w:r>
      <w:proofErr w:type="gramStart"/>
      <w:r w:rsidR="008B3362" w:rsidRPr="00A648E3">
        <w:rPr>
          <w:rFonts w:hint="eastAsia"/>
          <w:bCs w:val="0"/>
        </w:rPr>
        <w:t>甲師</w:t>
      </w:r>
      <w:r w:rsidR="00FA46A4" w:rsidRPr="00A648E3">
        <w:rPr>
          <w:rFonts w:hint="eastAsia"/>
          <w:bCs w:val="0"/>
        </w:rPr>
        <w:t>指訴</w:t>
      </w:r>
      <w:r w:rsidR="008B3362" w:rsidRPr="00A648E3">
        <w:rPr>
          <w:rFonts w:hint="eastAsia"/>
          <w:bCs w:val="0"/>
        </w:rPr>
        <w:t>乙師</w:t>
      </w:r>
      <w:proofErr w:type="gramEnd"/>
      <w:r w:rsidR="00FA46A4" w:rsidRPr="00A648E3">
        <w:rPr>
          <w:rFonts w:hint="eastAsia"/>
          <w:bCs w:val="0"/>
        </w:rPr>
        <w:t>違反其意願，對其為強制性交行為，即屬信而有徵。</w:t>
      </w:r>
      <w:r w:rsidRPr="00A648E3">
        <w:rPr>
          <w:rFonts w:hint="eastAsia"/>
          <w:bCs w:val="0"/>
        </w:rPr>
        <w:t>」</w:t>
      </w:r>
    </w:p>
    <w:p w14:paraId="6BC9B8E0" w14:textId="070CF105" w:rsidR="00985B37" w:rsidRPr="00A648E3" w:rsidRDefault="00985B37" w:rsidP="00B5082B">
      <w:pPr>
        <w:pStyle w:val="4"/>
      </w:pPr>
      <w:r w:rsidRPr="00A648E3">
        <w:rPr>
          <w:rFonts w:hAnsi="標楷體" w:hint="eastAsia"/>
        </w:rPr>
        <w:lastRenderedPageBreak/>
        <w:t>關於「</w:t>
      </w:r>
      <w:proofErr w:type="gramStart"/>
      <w:r w:rsidRPr="00A648E3">
        <w:rPr>
          <w:rFonts w:hAnsi="標楷體" w:hint="eastAsia"/>
        </w:rPr>
        <w:t>乙師</w:t>
      </w:r>
      <w:r w:rsidRPr="00A648E3">
        <w:rPr>
          <w:rFonts w:hint="eastAsia"/>
        </w:rPr>
        <w:t>112年6月7日</w:t>
      </w:r>
      <w:proofErr w:type="gramEnd"/>
      <w:r w:rsidRPr="00A648E3">
        <w:rPr>
          <w:rFonts w:hint="eastAsia"/>
        </w:rPr>
        <w:t>撰寫之切結書</w:t>
      </w:r>
      <w:r w:rsidRPr="00A648E3">
        <w:rPr>
          <w:rStyle w:val="afe"/>
        </w:rPr>
        <w:footnoteReference w:id="4"/>
      </w:r>
      <w:r w:rsidR="00A85C7B" w:rsidRPr="00A648E3">
        <w:rPr>
          <w:rFonts w:hint="eastAsia"/>
        </w:rPr>
        <w:t>有無證據力</w:t>
      </w:r>
      <w:r w:rsidRPr="00A648E3">
        <w:rPr>
          <w:rFonts w:hAnsi="標楷體" w:hint="eastAsia"/>
        </w:rPr>
        <w:t>」</w:t>
      </w:r>
      <w:r w:rsidR="00A85C7B" w:rsidRPr="00A648E3">
        <w:rPr>
          <w:rFonts w:hAnsi="標楷體" w:hint="eastAsia"/>
        </w:rPr>
        <w:t>：</w:t>
      </w:r>
    </w:p>
    <w:p w14:paraId="176FB02A" w14:textId="2798AECC" w:rsidR="00B5082B" w:rsidRPr="00A648E3" w:rsidRDefault="002C4D62" w:rsidP="00B5082B">
      <w:pPr>
        <w:pStyle w:val="5"/>
        <w:rPr>
          <w:bCs w:val="0"/>
        </w:rPr>
      </w:pPr>
      <w:r w:rsidRPr="00A648E3">
        <w:rPr>
          <w:rFonts w:hint="eastAsia"/>
          <w:bCs w:val="0"/>
        </w:rPr>
        <w:t>東華大學行政調查認定：「</w:t>
      </w:r>
      <w:proofErr w:type="gramStart"/>
      <w:r w:rsidRPr="00A648E3">
        <w:rPr>
          <w:rFonts w:hint="eastAsia"/>
          <w:bCs w:val="0"/>
        </w:rPr>
        <w:t>在</w:t>
      </w:r>
      <w:r w:rsidR="008B3362" w:rsidRPr="00A648E3">
        <w:rPr>
          <w:rFonts w:hint="eastAsia"/>
          <w:bCs w:val="0"/>
        </w:rPr>
        <w:t>甲師</w:t>
      </w:r>
      <w:r w:rsidRPr="00A648E3">
        <w:rPr>
          <w:rFonts w:hint="eastAsia"/>
          <w:bCs w:val="0"/>
        </w:rPr>
        <w:t>帶有</w:t>
      </w:r>
      <w:proofErr w:type="gramEnd"/>
      <w:r w:rsidRPr="00A648E3">
        <w:rPr>
          <w:rFonts w:hint="eastAsia"/>
          <w:bCs w:val="0"/>
        </w:rPr>
        <w:t>交換條件式之強烈要求，</w:t>
      </w:r>
      <w:proofErr w:type="gramStart"/>
      <w:r w:rsidRPr="00A648E3">
        <w:rPr>
          <w:rFonts w:hint="eastAsia"/>
          <w:bCs w:val="0"/>
        </w:rPr>
        <w:t>以及</w:t>
      </w:r>
      <w:r w:rsidR="008B3362" w:rsidRPr="00A648E3">
        <w:rPr>
          <w:rFonts w:hint="eastAsia"/>
          <w:bCs w:val="0"/>
        </w:rPr>
        <w:t>乙師</w:t>
      </w:r>
      <w:r w:rsidRPr="00A648E3">
        <w:rPr>
          <w:rFonts w:hint="eastAsia"/>
          <w:bCs w:val="0"/>
        </w:rPr>
        <w:t>擔心</w:t>
      </w:r>
      <w:proofErr w:type="gramEnd"/>
      <w:r w:rsidRPr="00A648E3">
        <w:rPr>
          <w:rFonts w:hint="eastAsia"/>
          <w:bCs w:val="0"/>
        </w:rPr>
        <w:t>外遇之事遭揭發而影響家庭及工作所簽立坦承</w:t>
      </w:r>
      <w:proofErr w:type="gramStart"/>
      <w:r w:rsidRPr="00A648E3">
        <w:rPr>
          <w:rFonts w:hint="eastAsia"/>
          <w:bCs w:val="0"/>
        </w:rPr>
        <w:t>有性侵行為</w:t>
      </w:r>
      <w:proofErr w:type="gramEnd"/>
      <w:r w:rsidRPr="00A648E3">
        <w:rPr>
          <w:rFonts w:hint="eastAsia"/>
          <w:bCs w:val="0"/>
        </w:rPr>
        <w:t>之切結書，尚難</w:t>
      </w:r>
      <w:proofErr w:type="gramStart"/>
      <w:r w:rsidRPr="00A648E3">
        <w:rPr>
          <w:rFonts w:hint="eastAsia"/>
          <w:bCs w:val="0"/>
        </w:rPr>
        <w:t>認</w:t>
      </w:r>
      <w:r w:rsidR="008B3362" w:rsidRPr="00A648E3">
        <w:rPr>
          <w:rFonts w:hint="eastAsia"/>
          <w:bCs w:val="0"/>
        </w:rPr>
        <w:t>乙師</w:t>
      </w:r>
      <w:proofErr w:type="gramEnd"/>
      <w:r w:rsidRPr="00A648E3">
        <w:rPr>
          <w:rFonts w:hint="eastAsia"/>
          <w:bCs w:val="0"/>
        </w:rPr>
        <w:t>是基於個人自由意志之情況下簽立，</w:t>
      </w:r>
      <w:proofErr w:type="gramStart"/>
      <w:r w:rsidRPr="00A648E3">
        <w:rPr>
          <w:rFonts w:hint="eastAsia"/>
          <w:bCs w:val="0"/>
        </w:rPr>
        <w:t>證據力容有</w:t>
      </w:r>
      <w:proofErr w:type="gramEnd"/>
      <w:r w:rsidRPr="00A648E3">
        <w:rPr>
          <w:rFonts w:hint="eastAsia"/>
          <w:bCs w:val="0"/>
        </w:rPr>
        <w:t>疑問，難以作為認定本案成立性侵害之補強證據。」</w:t>
      </w:r>
    </w:p>
    <w:p w14:paraId="3E557B83" w14:textId="436C4AAD" w:rsidR="002C4D62" w:rsidRPr="00A648E3" w:rsidRDefault="002C4D62" w:rsidP="00B5082B">
      <w:pPr>
        <w:pStyle w:val="5"/>
        <w:rPr>
          <w:bCs w:val="0"/>
        </w:rPr>
      </w:pPr>
      <w:r w:rsidRPr="00A648E3">
        <w:rPr>
          <w:rFonts w:hint="eastAsia"/>
          <w:bCs w:val="0"/>
        </w:rPr>
        <w:t>檢方見解：「</w:t>
      </w:r>
      <w:proofErr w:type="gramStart"/>
      <w:r w:rsidR="008B3362" w:rsidRPr="00A648E3">
        <w:rPr>
          <w:rFonts w:hint="eastAsia"/>
          <w:bCs w:val="0"/>
        </w:rPr>
        <w:t>乙師</w:t>
      </w:r>
      <w:r w:rsidRPr="00A648E3">
        <w:rPr>
          <w:rFonts w:hint="eastAsia"/>
          <w:bCs w:val="0"/>
        </w:rPr>
        <w:t>辯稱切</w:t>
      </w:r>
      <w:proofErr w:type="gramEnd"/>
      <w:r w:rsidRPr="00A648E3">
        <w:rPr>
          <w:rFonts w:hint="eastAsia"/>
          <w:bCs w:val="0"/>
        </w:rPr>
        <w:t>結書，係非出於自由意志乙節，</w:t>
      </w:r>
      <w:proofErr w:type="gramStart"/>
      <w:r w:rsidRPr="00A648E3">
        <w:rPr>
          <w:rFonts w:hint="eastAsia"/>
          <w:bCs w:val="0"/>
        </w:rPr>
        <w:t>查</w:t>
      </w:r>
      <w:r w:rsidR="008B3362" w:rsidRPr="00A648E3">
        <w:rPr>
          <w:rFonts w:hint="eastAsia"/>
          <w:bCs w:val="0"/>
        </w:rPr>
        <w:t>乙師</w:t>
      </w:r>
      <w:proofErr w:type="gramEnd"/>
      <w:r w:rsidRPr="00A648E3">
        <w:rPr>
          <w:rFonts w:hint="eastAsia"/>
          <w:bCs w:val="0"/>
        </w:rPr>
        <w:t>為獲得國外博士學歷歸國之大學教授，專業為人類學等（此為網路查詢結果），其使用文字之精確、謹慎程度，顯然會</w:t>
      </w:r>
      <w:proofErr w:type="gramStart"/>
      <w:r w:rsidRPr="00A648E3">
        <w:rPr>
          <w:rFonts w:hint="eastAsia"/>
          <w:bCs w:val="0"/>
        </w:rPr>
        <w:t>比</w:t>
      </w:r>
      <w:r w:rsidR="008B3362" w:rsidRPr="00A648E3">
        <w:rPr>
          <w:rFonts w:hint="eastAsia"/>
          <w:bCs w:val="0"/>
        </w:rPr>
        <w:t>甲師</w:t>
      </w:r>
      <w:r w:rsidRPr="00A648E3">
        <w:rPr>
          <w:rFonts w:hint="eastAsia"/>
          <w:bCs w:val="0"/>
        </w:rPr>
        <w:t>更</w:t>
      </w:r>
      <w:proofErr w:type="gramEnd"/>
      <w:r w:rsidRPr="00A648E3">
        <w:rPr>
          <w:rFonts w:hint="eastAsia"/>
          <w:bCs w:val="0"/>
        </w:rPr>
        <w:t>高，在與</w:t>
      </w:r>
      <w:r w:rsidR="008B3362" w:rsidRPr="00A648E3">
        <w:rPr>
          <w:rFonts w:hint="eastAsia"/>
          <w:bCs w:val="0"/>
        </w:rPr>
        <w:t>甲師</w:t>
      </w:r>
      <w:r w:rsidRPr="00A648E3">
        <w:rPr>
          <w:rFonts w:hint="eastAsia"/>
          <w:bCs w:val="0"/>
        </w:rPr>
        <w:t>之</w:t>
      </w:r>
      <w:r w:rsidR="00290724">
        <w:rPr>
          <w:bCs w:val="0"/>
        </w:rPr>
        <w:t>Messenger</w:t>
      </w:r>
      <w:r w:rsidRPr="00A648E3">
        <w:rPr>
          <w:rFonts w:hint="eastAsia"/>
          <w:bCs w:val="0"/>
        </w:rPr>
        <w:t>對話中，更可</w:t>
      </w:r>
      <w:proofErr w:type="gramStart"/>
      <w:r w:rsidRPr="00A648E3">
        <w:rPr>
          <w:rFonts w:hint="eastAsia"/>
          <w:bCs w:val="0"/>
        </w:rPr>
        <w:t>與</w:t>
      </w:r>
      <w:r w:rsidR="008B3362" w:rsidRPr="00A648E3">
        <w:rPr>
          <w:rFonts w:hint="eastAsia"/>
          <w:bCs w:val="0"/>
        </w:rPr>
        <w:t>甲師</w:t>
      </w:r>
      <w:proofErr w:type="gramEnd"/>
      <w:r w:rsidR="008B3362" w:rsidRPr="00A648E3">
        <w:rPr>
          <w:rFonts w:hint="eastAsia"/>
          <w:bCs w:val="0"/>
        </w:rPr>
        <w:t>『</w:t>
      </w:r>
      <w:r w:rsidRPr="00A648E3">
        <w:rPr>
          <w:rFonts w:hint="eastAsia"/>
          <w:bCs w:val="0"/>
        </w:rPr>
        <w:t>討價還價</w:t>
      </w:r>
      <w:r w:rsidR="008B3362" w:rsidRPr="00A648E3">
        <w:rPr>
          <w:rFonts w:hint="eastAsia"/>
          <w:bCs w:val="0"/>
        </w:rPr>
        <w:t>』</w:t>
      </w:r>
      <w:r w:rsidRPr="00A648E3">
        <w:rPr>
          <w:rFonts w:hint="eastAsia"/>
          <w:bCs w:val="0"/>
        </w:rPr>
        <w:t>，</w:t>
      </w:r>
      <w:proofErr w:type="gramStart"/>
      <w:r w:rsidRPr="00A648E3">
        <w:rPr>
          <w:rFonts w:hint="eastAsia"/>
          <w:bCs w:val="0"/>
        </w:rPr>
        <w:t>使</w:t>
      </w:r>
      <w:r w:rsidR="008B3362" w:rsidRPr="00A648E3">
        <w:rPr>
          <w:rFonts w:hint="eastAsia"/>
          <w:bCs w:val="0"/>
        </w:rPr>
        <w:t>甲師</w:t>
      </w:r>
      <w:r w:rsidRPr="00A648E3">
        <w:rPr>
          <w:rFonts w:hint="eastAsia"/>
          <w:bCs w:val="0"/>
        </w:rPr>
        <w:t>將</w:t>
      </w:r>
      <w:proofErr w:type="gramEnd"/>
      <w:r w:rsidRPr="00A648E3">
        <w:rPr>
          <w:rFonts w:hint="eastAsia"/>
          <w:bCs w:val="0"/>
        </w:rPr>
        <w:t>原先</w:t>
      </w:r>
      <w:proofErr w:type="gramStart"/>
      <w:r w:rsidRPr="00A648E3">
        <w:rPr>
          <w:rFonts w:hint="eastAsia"/>
          <w:bCs w:val="0"/>
        </w:rPr>
        <w:t>要求</w:t>
      </w:r>
      <w:r w:rsidR="008B3362" w:rsidRPr="00A648E3">
        <w:rPr>
          <w:rFonts w:hint="eastAsia"/>
          <w:bCs w:val="0"/>
        </w:rPr>
        <w:t>乙師</w:t>
      </w:r>
      <w:proofErr w:type="gramEnd"/>
      <w:r w:rsidR="008B3362" w:rsidRPr="00A648E3">
        <w:rPr>
          <w:rFonts w:hint="eastAsia"/>
          <w:bCs w:val="0"/>
        </w:rPr>
        <w:t>『</w:t>
      </w:r>
      <w:r w:rsidRPr="00A648E3">
        <w:rPr>
          <w:rFonts w:hint="eastAsia"/>
          <w:bCs w:val="0"/>
        </w:rPr>
        <w:t>離開甲校</w:t>
      </w:r>
      <w:r w:rsidR="008B3362" w:rsidRPr="00A648E3">
        <w:rPr>
          <w:rFonts w:hint="eastAsia"/>
          <w:bCs w:val="0"/>
        </w:rPr>
        <w:t>』</w:t>
      </w:r>
      <w:r w:rsidRPr="00A648E3">
        <w:rPr>
          <w:rFonts w:hint="eastAsia"/>
          <w:bCs w:val="0"/>
        </w:rPr>
        <w:t>之強烈要求改為</w:t>
      </w:r>
      <w:proofErr w:type="gramStart"/>
      <w:r w:rsidRPr="00A648E3">
        <w:rPr>
          <w:rFonts w:hint="eastAsia"/>
          <w:bCs w:val="0"/>
        </w:rPr>
        <w:t>遠離</w:t>
      </w:r>
      <w:r w:rsidR="008B3362" w:rsidRPr="00A648E3">
        <w:rPr>
          <w:rFonts w:hint="eastAsia"/>
          <w:bCs w:val="0"/>
        </w:rPr>
        <w:t>甲師</w:t>
      </w:r>
      <w:r w:rsidRPr="00A648E3">
        <w:rPr>
          <w:rFonts w:hint="eastAsia"/>
          <w:bCs w:val="0"/>
        </w:rPr>
        <w:t>所屬</w:t>
      </w:r>
      <w:proofErr w:type="gramEnd"/>
      <w:r w:rsidRPr="00A648E3">
        <w:rPr>
          <w:rFonts w:hint="eastAsia"/>
          <w:bCs w:val="0"/>
        </w:rPr>
        <w:t>學院</w:t>
      </w:r>
      <w:r w:rsidRPr="00A648E3">
        <w:rPr>
          <w:bCs w:val="0"/>
        </w:rPr>
        <w:t>100</w:t>
      </w:r>
      <w:r w:rsidRPr="00A648E3">
        <w:rPr>
          <w:rFonts w:hint="eastAsia"/>
          <w:bCs w:val="0"/>
        </w:rPr>
        <w:t>公尺，</w:t>
      </w:r>
      <w:r w:rsidRPr="00A648E3">
        <w:rPr>
          <w:bCs w:val="0"/>
        </w:rPr>
        <w:t>2</w:t>
      </w:r>
      <w:r w:rsidRPr="00A648E3">
        <w:rPr>
          <w:rFonts w:hint="eastAsia"/>
          <w:bCs w:val="0"/>
        </w:rPr>
        <w:t>者程度有天壤之別，</w:t>
      </w:r>
      <w:proofErr w:type="gramStart"/>
      <w:r w:rsidRPr="00A648E3">
        <w:rPr>
          <w:rFonts w:hint="eastAsia"/>
          <w:bCs w:val="0"/>
        </w:rPr>
        <w:t>又</w:t>
      </w:r>
      <w:r w:rsidR="008B3362" w:rsidRPr="00A648E3">
        <w:rPr>
          <w:rFonts w:hint="eastAsia"/>
          <w:bCs w:val="0"/>
        </w:rPr>
        <w:t>乙師</w:t>
      </w:r>
      <w:proofErr w:type="gramEnd"/>
      <w:r w:rsidRPr="00A648E3">
        <w:rPr>
          <w:rFonts w:hint="eastAsia"/>
          <w:bCs w:val="0"/>
        </w:rPr>
        <w:t>已婚有子女，婚前有</w:t>
      </w:r>
      <w:r w:rsidRPr="00A648E3">
        <w:rPr>
          <w:bCs w:val="0"/>
        </w:rPr>
        <w:t>4</w:t>
      </w:r>
      <w:r w:rsidRPr="00A648E3">
        <w:rPr>
          <w:rFonts w:hint="eastAsia"/>
          <w:bCs w:val="0"/>
        </w:rPr>
        <w:t>位女友，感情經驗、歷練亦豐富，</w:t>
      </w:r>
      <w:proofErr w:type="gramStart"/>
      <w:r w:rsidRPr="00A648E3">
        <w:rPr>
          <w:rFonts w:hint="eastAsia"/>
          <w:bCs w:val="0"/>
        </w:rPr>
        <w:t>故</w:t>
      </w:r>
      <w:r w:rsidR="008B3362" w:rsidRPr="00A648E3">
        <w:rPr>
          <w:rFonts w:hint="eastAsia"/>
          <w:bCs w:val="0"/>
        </w:rPr>
        <w:t>乙師</w:t>
      </w:r>
      <w:r w:rsidRPr="00A648E3">
        <w:rPr>
          <w:rFonts w:hint="eastAsia"/>
          <w:bCs w:val="0"/>
        </w:rPr>
        <w:t>若非</w:t>
      </w:r>
      <w:proofErr w:type="gramEnd"/>
      <w:r w:rsidRPr="00A648E3">
        <w:rPr>
          <w:rFonts w:hint="eastAsia"/>
          <w:bCs w:val="0"/>
        </w:rPr>
        <w:t>確</w:t>
      </w:r>
      <w:proofErr w:type="gramStart"/>
      <w:r w:rsidRPr="00A648E3">
        <w:rPr>
          <w:rFonts w:hint="eastAsia"/>
          <w:bCs w:val="0"/>
        </w:rPr>
        <w:t>有性侵告訴</w:t>
      </w:r>
      <w:proofErr w:type="gramEnd"/>
      <w:r w:rsidRPr="00A648E3">
        <w:rPr>
          <w:rFonts w:hint="eastAsia"/>
          <w:bCs w:val="0"/>
        </w:rPr>
        <w:t>人，不可能會自己親筆寫下</w:t>
      </w:r>
      <w:r w:rsidR="008B3362" w:rsidRPr="00A648E3">
        <w:rPr>
          <w:rFonts w:hint="eastAsia"/>
          <w:bCs w:val="0"/>
        </w:rPr>
        <w:t>『</w:t>
      </w:r>
      <w:r w:rsidRPr="00A648E3">
        <w:rPr>
          <w:rFonts w:hint="eastAsia"/>
          <w:bCs w:val="0"/>
        </w:rPr>
        <w:t>我(</w:t>
      </w:r>
      <w:proofErr w:type="gramStart"/>
      <w:r w:rsidRPr="00A648E3">
        <w:rPr>
          <w:rFonts w:hint="eastAsia"/>
          <w:bCs w:val="0"/>
        </w:rPr>
        <w:t>乙師</w:t>
      </w:r>
      <w:proofErr w:type="gramEnd"/>
      <w:r w:rsidRPr="00A648E3">
        <w:rPr>
          <w:rFonts w:hint="eastAsia"/>
          <w:bCs w:val="0"/>
        </w:rPr>
        <w:t>)坦承曾經</w:t>
      </w:r>
      <w:proofErr w:type="gramStart"/>
      <w:r w:rsidRPr="00A648E3">
        <w:rPr>
          <w:rFonts w:hint="eastAsia"/>
          <w:bCs w:val="0"/>
        </w:rPr>
        <w:t>性侵……</w:t>
      </w:r>
      <w:proofErr w:type="gramEnd"/>
      <w:r w:rsidRPr="00A648E3">
        <w:rPr>
          <w:rFonts w:hint="eastAsia"/>
          <w:bCs w:val="0"/>
        </w:rPr>
        <w:t>在其非合意的狀況下</w:t>
      </w:r>
      <w:r w:rsidR="008B3362" w:rsidRPr="00A648E3">
        <w:rPr>
          <w:rFonts w:hint="eastAsia"/>
          <w:bCs w:val="0"/>
        </w:rPr>
        <w:t>』</w:t>
      </w:r>
      <w:r w:rsidRPr="00A648E3">
        <w:rPr>
          <w:rFonts w:hint="eastAsia"/>
          <w:bCs w:val="0"/>
        </w:rPr>
        <w:t>之文字，</w:t>
      </w:r>
      <w:proofErr w:type="gramStart"/>
      <w:r w:rsidR="008B3362" w:rsidRPr="00A648E3">
        <w:rPr>
          <w:rFonts w:hint="eastAsia"/>
          <w:bCs w:val="0"/>
        </w:rPr>
        <w:t>乙師</w:t>
      </w:r>
      <w:r w:rsidRPr="00A648E3">
        <w:rPr>
          <w:rFonts w:hint="eastAsia"/>
          <w:bCs w:val="0"/>
        </w:rPr>
        <w:t>辯解</w:t>
      </w:r>
      <w:proofErr w:type="gramEnd"/>
      <w:r w:rsidRPr="00A648E3">
        <w:rPr>
          <w:rFonts w:hint="eastAsia"/>
          <w:bCs w:val="0"/>
        </w:rPr>
        <w:t>顯不可</w:t>
      </w:r>
      <w:proofErr w:type="gramStart"/>
      <w:r w:rsidRPr="00A648E3">
        <w:rPr>
          <w:rFonts w:hint="eastAsia"/>
          <w:bCs w:val="0"/>
        </w:rPr>
        <w:t>採</w:t>
      </w:r>
      <w:proofErr w:type="gramEnd"/>
      <w:r w:rsidRPr="00A648E3">
        <w:rPr>
          <w:rFonts w:hint="eastAsia"/>
          <w:bCs w:val="0"/>
        </w:rPr>
        <w:t>。」</w:t>
      </w:r>
    </w:p>
    <w:p w14:paraId="7F6A5DD4" w14:textId="704B198E" w:rsidR="002C4D62" w:rsidRPr="00A648E3" w:rsidRDefault="002C4D62" w:rsidP="00B5082B">
      <w:pPr>
        <w:pStyle w:val="5"/>
        <w:rPr>
          <w:bCs w:val="0"/>
        </w:rPr>
      </w:pPr>
      <w:r w:rsidRPr="00A648E3">
        <w:rPr>
          <w:rFonts w:hint="eastAsia"/>
          <w:bCs w:val="0"/>
        </w:rPr>
        <w:t>花蓮地院(一審)判決見解：「</w:t>
      </w:r>
      <w:proofErr w:type="gramStart"/>
      <w:r w:rsidR="00324A1D" w:rsidRPr="00A648E3">
        <w:rPr>
          <w:rFonts w:hint="eastAsia"/>
          <w:bCs w:val="0"/>
        </w:rPr>
        <w:t>從</w:t>
      </w:r>
      <w:r w:rsidR="008B3362" w:rsidRPr="00A648E3">
        <w:rPr>
          <w:rFonts w:hint="eastAsia"/>
          <w:bCs w:val="0"/>
        </w:rPr>
        <w:t>乙師</w:t>
      </w:r>
      <w:r w:rsidR="00324A1D" w:rsidRPr="00A648E3">
        <w:rPr>
          <w:rFonts w:hint="eastAsia"/>
          <w:bCs w:val="0"/>
        </w:rPr>
        <w:t>在</w:t>
      </w:r>
      <w:proofErr w:type="gramEnd"/>
      <w:r w:rsidR="00324A1D" w:rsidRPr="00A648E3">
        <w:rPr>
          <w:rFonts w:hint="eastAsia"/>
          <w:bCs w:val="0"/>
        </w:rPr>
        <w:t>112年8月31日接受學校性平調查時之供述，可知其為</w:t>
      </w:r>
      <w:proofErr w:type="gramStart"/>
      <w:r w:rsidR="00324A1D" w:rsidRPr="00A648E3">
        <w:rPr>
          <w:rFonts w:hint="eastAsia"/>
          <w:bCs w:val="0"/>
        </w:rPr>
        <w:t>求得</w:t>
      </w:r>
      <w:r w:rsidR="008B3362" w:rsidRPr="00A648E3">
        <w:rPr>
          <w:rFonts w:hint="eastAsia"/>
          <w:bCs w:val="0"/>
        </w:rPr>
        <w:t>甲師</w:t>
      </w:r>
      <w:r w:rsidR="00324A1D" w:rsidRPr="00A648E3">
        <w:rPr>
          <w:rFonts w:hint="eastAsia"/>
          <w:bCs w:val="0"/>
        </w:rPr>
        <w:t>原諒</w:t>
      </w:r>
      <w:proofErr w:type="gramEnd"/>
      <w:r w:rsidR="00324A1D" w:rsidRPr="00A648E3">
        <w:rPr>
          <w:rFonts w:hint="eastAsia"/>
          <w:bCs w:val="0"/>
        </w:rPr>
        <w:t>，不要張揚此事，經過縝密思考，權衡利弊得失後，出於自願同意撰寫切結書，</w:t>
      </w:r>
      <w:proofErr w:type="gramStart"/>
      <w:r w:rsidR="008B3362" w:rsidRPr="00A648E3">
        <w:rPr>
          <w:rFonts w:hint="eastAsia"/>
          <w:bCs w:val="0"/>
        </w:rPr>
        <w:t>乙師</w:t>
      </w:r>
      <w:r w:rsidR="00324A1D" w:rsidRPr="00A648E3">
        <w:rPr>
          <w:rFonts w:hint="eastAsia"/>
          <w:bCs w:val="0"/>
        </w:rPr>
        <w:t>於切</w:t>
      </w:r>
      <w:proofErr w:type="gramEnd"/>
      <w:r w:rsidR="00324A1D" w:rsidRPr="00A648E3">
        <w:rPr>
          <w:rFonts w:hint="eastAsia"/>
          <w:bCs w:val="0"/>
        </w:rPr>
        <w:t>結書所為自白具任意性，且與事實相符而有證據能力。…</w:t>
      </w:r>
      <w:proofErr w:type="gramStart"/>
      <w:r w:rsidR="00324A1D" w:rsidRPr="00A648E3">
        <w:rPr>
          <w:rFonts w:hint="eastAsia"/>
          <w:bCs w:val="0"/>
        </w:rPr>
        <w:t>…</w:t>
      </w:r>
      <w:proofErr w:type="gramEnd"/>
      <w:r w:rsidR="008618EF" w:rsidRPr="00A648E3">
        <w:rPr>
          <w:rFonts w:hint="eastAsia"/>
          <w:bCs w:val="0"/>
        </w:rPr>
        <w:t>婚外情曝光固然</w:t>
      </w:r>
      <w:proofErr w:type="gramStart"/>
      <w:r w:rsidR="008618EF" w:rsidRPr="00A648E3">
        <w:rPr>
          <w:rFonts w:hint="eastAsia"/>
          <w:bCs w:val="0"/>
        </w:rPr>
        <w:lastRenderedPageBreak/>
        <w:t>對</w:t>
      </w:r>
      <w:r w:rsidR="00315C04" w:rsidRPr="00A648E3">
        <w:rPr>
          <w:rFonts w:hint="eastAsia"/>
          <w:bCs w:val="0"/>
        </w:rPr>
        <w:t>乙師</w:t>
      </w:r>
      <w:r w:rsidR="008618EF" w:rsidRPr="00A648E3">
        <w:rPr>
          <w:rFonts w:hint="eastAsia"/>
          <w:bCs w:val="0"/>
        </w:rPr>
        <w:t>教</w:t>
      </w:r>
      <w:proofErr w:type="gramEnd"/>
      <w:r w:rsidR="008618EF" w:rsidRPr="00A648E3">
        <w:rPr>
          <w:rFonts w:hint="eastAsia"/>
          <w:bCs w:val="0"/>
        </w:rPr>
        <w:t>職有所影響，但</w:t>
      </w:r>
      <w:proofErr w:type="gramStart"/>
      <w:r w:rsidR="008618EF" w:rsidRPr="00A648E3">
        <w:rPr>
          <w:rFonts w:hint="eastAsia"/>
          <w:bCs w:val="0"/>
        </w:rPr>
        <w:t>衡諸性侵害</w:t>
      </w:r>
      <w:proofErr w:type="gramEnd"/>
      <w:r w:rsidR="008618EF" w:rsidRPr="00A648E3">
        <w:rPr>
          <w:rFonts w:hint="eastAsia"/>
          <w:bCs w:val="0"/>
        </w:rPr>
        <w:t>事涉刑責，</w:t>
      </w:r>
      <w:proofErr w:type="gramStart"/>
      <w:r w:rsidR="00315C04" w:rsidRPr="00A648E3">
        <w:rPr>
          <w:rFonts w:hint="eastAsia"/>
          <w:bCs w:val="0"/>
        </w:rPr>
        <w:t>乙師</w:t>
      </w:r>
      <w:r w:rsidR="008618EF" w:rsidRPr="00A648E3">
        <w:rPr>
          <w:rFonts w:hint="eastAsia"/>
          <w:bCs w:val="0"/>
        </w:rPr>
        <w:t>豈</w:t>
      </w:r>
      <w:proofErr w:type="gramEnd"/>
      <w:r w:rsidR="008618EF" w:rsidRPr="00A648E3">
        <w:rPr>
          <w:rFonts w:hint="eastAsia"/>
          <w:bCs w:val="0"/>
        </w:rPr>
        <w:t>有冒著讓自己身陷囹圄之風險，只為了掩蓋情節相對輕微之婚外情之理？</w:t>
      </w:r>
      <w:r w:rsidR="00315C04" w:rsidRPr="00A648E3">
        <w:rPr>
          <w:rFonts w:hint="eastAsia"/>
          <w:bCs w:val="0"/>
        </w:rPr>
        <w:t>乙師</w:t>
      </w:r>
      <w:r w:rsidR="008618EF" w:rsidRPr="00A648E3">
        <w:rPr>
          <w:rFonts w:hint="eastAsia"/>
          <w:bCs w:val="0"/>
        </w:rPr>
        <w:t>之辯詞荒謬至極，無從憑</w:t>
      </w:r>
      <w:proofErr w:type="gramStart"/>
      <w:r w:rsidR="008618EF" w:rsidRPr="00A648E3">
        <w:rPr>
          <w:rFonts w:hint="eastAsia"/>
          <w:bCs w:val="0"/>
        </w:rPr>
        <w:t>採</w:t>
      </w:r>
      <w:proofErr w:type="gramEnd"/>
      <w:r w:rsidR="008618EF" w:rsidRPr="00A648E3">
        <w:rPr>
          <w:rFonts w:hint="eastAsia"/>
          <w:bCs w:val="0"/>
        </w:rPr>
        <w:t>。</w:t>
      </w:r>
      <w:proofErr w:type="gramStart"/>
      <w:r w:rsidR="008618EF" w:rsidRPr="00A648E3">
        <w:rPr>
          <w:rFonts w:hint="eastAsia"/>
          <w:bCs w:val="0"/>
        </w:rPr>
        <w:t>此外，</w:t>
      </w:r>
      <w:r w:rsidR="00315C04" w:rsidRPr="00A648E3">
        <w:rPr>
          <w:rFonts w:hint="eastAsia"/>
          <w:bCs w:val="0"/>
        </w:rPr>
        <w:t>乙師</w:t>
      </w:r>
      <w:r w:rsidR="008618EF" w:rsidRPr="00A648E3">
        <w:rPr>
          <w:rFonts w:hint="eastAsia"/>
          <w:bCs w:val="0"/>
        </w:rPr>
        <w:t>於</w:t>
      </w:r>
      <w:proofErr w:type="gramEnd"/>
      <w:r w:rsidR="008618EF" w:rsidRPr="00A648E3">
        <w:rPr>
          <w:rFonts w:hint="eastAsia"/>
          <w:bCs w:val="0"/>
        </w:rPr>
        <w:t>113年2月27日檢察官偵訊時推稱：我很緊張、慌張才簽下切結書，經檢察官質</w:t>
      </w:r>
      <w:proofErr w:type="gramStart"/>
      <w:r w:rsidR="008618EF" w:rsidRPr="00A648E3">
        <w:rPr>
          <w:rFonts w:hint="eastAsia"/>
          <w:bCs w:val="0"/>
        </w:rPr>
        <w:t>以</w:t>
      </w:r>
      <w:proofErr w:type="gramEnd"/>
      <w:r w:rsidR="008618EF" w:rsidRPr="00A648E3">
        <w:rPr>
          <w:rFonts w:hint="eastAsia"/>
          <w:bCs w:val="0"/>
        </w:rPr>
        <w:t>：之前的Me Too並不是外遇，如果你覺得你是外遇怎麼會去擔心是Me Too的事？、你當時覺得</w:t>
      </w:r>
      <w:proofErr w:type="gramStart"/>
      <w:r w:rsidR="00315C04" w:rsidRPr="00A648E3">
        <w:rPr>
          <w:rFonts w:hint="eastAsia"/>
          <w:bCs w:val="0"/>
        </w:rPr>
        <w:t>甲</w:t>
      </w:r>
      <w:r w:rsidR="008618EF" w:rsidRPr="00A648E3">
        <w:rPr>
          <w:rFonts w:hint="eastAsia"/>
          <w:bCs w:val="0"/>
        </w:rPr>
        <w:t>師手</w:t>
      </w:r>
      <w:proofErr w:type="gramEnd"/>
      <w:r w:rsidR="008618EF" w:rsidRPr="00A648E3">
        <w:rPr>
          <w:rFonts w:hint="eastAsia"/>
          <w:bCs w:val="0"/>
        </w:rPr>
        <w:t>上有證據可以講成是</w:t>
      </w:r>
      <w:proofErr w:type="gramStart"/>
      <w:r w:rsidR="008618EF" w:rsidRPr="00A648E3">
        <w:rPr>
          <w:rFonts w:hint="eastAsia"/>
          <w:bCs w:val="0"/>
        </w:rPr>
        <w:t>性侵嗎</w:t>
      </w:r>
      <w:proofErr w:type="gramEnd"/>
      <w:r w:rsidR="008618EF" w:rsidRPr="00A648E3">
        <w:rPr>
          <w:rFonts w:hint="eastAsia"/>
          <w:bCs w:val="0"/>
        </w:rPr>
        <w:t>？</w:t>
      </w:r>
      <w:proofErr w:type="gramStart"/>
      <w:r w:rsidR="00315C04" w:rsidRPr="00A648E3">
        <w:rPr>
          <w:rFonts w:hint="eastAsia"/>
          <w:bCs w:val="0"/>
        </w:rPr>
        <w:t>乙師</w:t>
      </w:r>
      <w:r w:rsidR="008618EF" w:rsidRPr="00A648E3">
        <w:rPr>
          <w:rFonts w:hint="eastAsia"/>
          <w:bCs w:val="0"/>
        </w:rPr>
        <w:t>竟</w:t>
      </w:r>
      <w:proofErr w:type="gramEnd"/>
      <w:r w:rsidR="008618EF" w:rsidRPr="00A648E3">
        <w:rPr>
          <w:rFonts w:hint="eastAsia"/>
          <w:bCs w:val="0"/>
        </w:rPr>
        <w:t>表示：我擔心她會講成</w:t>
      </w:r>
      <w:proofErr w:type="gramStart"/>
      <w:r w:rsidR="008618EF" w:rsidRPr="00A648E3">
        <w:rPr>
          <w:rFonts w:hint="eastAsia"/>
          <w:bCs w:val="0"/>
        </w:rPr>
        <w:t>性侵、</w:t>
      </w:r>
      <w:proofErr w:type="gramEnd"/>
      <w:r w:rsidR="008618EF" w:rsidRPr="00A648E3">
        <w:rPr>
          <w:rFonts w:hint="eastAsia"/>
          <w:bCs w:val="0"/>
        </w:rPr>
        <w:t>她之前跟我對話的時候有說她在第一次有說她不要，當時我想不起來，但</w:t>
      </w:r>
      <w:proofErr w:type="gramStart"/>
      <w:r w:rsidR="008618EF" w:rsidRPr="00A648E3">
        <w:rPr>
          <w:rFonts w:hint="eastAsia"/>
          <w:bCs w:val="0"/>
        </w:rPr>
        <w:t>她說的好像</w:t>
      </w:r>
      <w:proofErr w:type="gramEnd"/>
      <w:r w:rsidR="008618EF" w:rsidRPr="00A648E3">
        <w:rPr>
          <w:rFonts w:hint="eastAsia"/>
          <w:bCs w:val="0"/>
        </w:rPr>
        <w:t>有，我就覺得她想用這個當作證據說我有</w:t>
      </w:r>
      <w:proofErr w:type="gramStart"/>
      <w:r w:rsidR="008618EF" w:rsidRPr="00A648E3">
        <w:rPr>
          <w:rFonts w:hint="eastAsia"/>
          <w:bCs w:val="0"/>
        </w:rPr>
        <w:t>性侵等</w:t>
      </w:r>
      <w:proofErr w:type="gramEnd"/>
      <w:r w:rsidR="008618EF" w:rsidRPr="00A648E3">
        <w:rPr>
          <w:rFonts w:hint="eastAsia"/>
          <w:bCs w:val="0"/>
        </w:rPr>
        <w:t>語。倘若</w:t>
      </w:r>
      <w:proofErr w:type="gramStart"/>
      <w:r w:rsidR="00315C04" w:rsidRPr="00A648E3">
        <w:rPr>
          <w:rFonts w:hint="eastAsia"/>
          <w:bCs w:val="0"/>
        </w:rPr>
        <w:t>乙師</w:t>
      </w:r>
      <w:r w:rsidR="008618EF" w:rsidRPr="00A648E3">
        <w:rPr>
          <w:rFonts w:hint="eastAsia"/>
          <w:bCs w:val="0"/>
        </w:rPr>
        <w:t>確</w:t>
      </w:r>
      <w:proofErr w:type="gramEnd"/>
      <w:r w:rsidR="008618EF" w:rsidRPr="00A648E3">
        <w:rPr>
          <w:rFonts w:hint="eastAsia"/>
          <w:bCs w:val="0"/>
        </w:rPr>
        <w:t>未涉犯本案，何需擔心？</w:t>
      </w:r>
      <w:proofErr w:type="gramStart"/>
      <w:r w:rsidR="008618EF" w:rsidRPr="00A648E3">
        <w:rPr>
          <w:rFonts w:hint="eastAsia"/>
          <w:bCs w:val="0"/>
        </w:rPr>
        <w:t>且</w:t>
      </w:r>
      <w:r w:rsidR="00315C04" w:rsidRPr="00A648E3">
        <w:rPr>
          <w:rFonts w:hint="eastAsia"/>
          <w:bCs w:val="0"/>
        </w:rPr>
        <w:t>乙師</w:t>
      </w:r>
      <w:proofErr w:type="gramEnd"/>
      <w:r w:rsidR="008618EF" w:rsidRPr="00A648E3">
        <w:rPr>
          <w:rFonts w:hint="eastAsia"/>
          <w:bCs w:val="0"/>
        </w:rPr>
        <w:t>明知切結書有可能作為證據使用，實無反於其主觀認知而</w:t>
      </w:r>
      <w:proofErr w:type="gramStart"/>
      <w:r w:rsidR="008618EF" w:rsidRPr="00A648E3">
        <w:rPr>
          <w:rFonts w:hint="eastAsia"/>
          <w:bCs w:val="0"/>
        </w:rPr>
        <w:t>使用性侵用語</w:t>
      </w:r>
      <w:proofErr w:type="gramEnd"/>
      <w:r w:rsidR="008618EF" w:rsidRPr="00A648E3">
        <w:rPr>
          <w:rFonts w:hint="eastAsia"/>
          <w:bCs w:val="0"/>
        </w:rPr>
        <w:t>，讓自己處於不利情境之可能，在</w:t>
      </w:r>
      <w:proofErr w:type="gramStart"/>
      <w:r w:rsidR="008618EF" w:rsidRPr="00A648E3">
        <w:rPr>
          <w:rFonts w:hint="eastAsia"/>
          <w:bCs w:val="0"/>
        </w:rPr>
        <w:t>在顯示</w:t>
      </w:r>
      <w:r w:rsidR="00315C04" w:rsidRPr="00A648E3">
        <w:rPr>
          <w:rFonts w:hint="eastAsia"/>
          <w:bCs w:val="0"/>
        </w:rPr>
        <w:t>乙師</w:t>
      </w:r>
      <w:r w:rsidR="008618EF" w:rsidRPr="00A648E3">
        <w:rPr>
          <w:rFonts w:hint="eastAsia"/>
          <w:bCs w:val="0"/>
        </w:rPr>
        <w:t>所</w:t>
      </w:r>
      <w:proofErr w:type="gramEnd"/>
      <w:r w:rsidR="008618EF" w:rsidRPr="00A648E3">
        <w:rPr>
          <w:rFonts w:hint="eastAsia"/>
          <w:bCs w:val="0"/>
        </w:rPr>
        <w:t>辯與事實有悖，難以</w:t>
      </w:r>
      <w:proofErr w:type="gramStart"/>
      <w:r w:rsidR="008618EF" w:rsidRPr="00A648E3">
        <w:rPr>
          <w:rFonts w:hint="eastAsia"/>
          <w:bCs w:val="0"/>
        </w:rPr>
        <w:t>採</w:t>
      </w:r>
      <w:proofErr w:type="gramEnd"/>
      <w:r w:rsidR="008618EF" w:rsidRPr="00A648E3">
        <w:rPr>
          <w:rFonts w:hint="eastAsia"/>
          <w:bCs w:val="0"/>
        </w:rPr>
        <w:t>信。</w:t>
      </w:r>
      <w:r w:rsidR="00324A1D" w:rsidRPr="00A648E3">
        <w:rPr>
          <w:rFonts w:hint="eastAsia"/>
          <w:bCs w:val="0"/>
        </w:rPr>
        <w:t>」</w:t>
      </w:r>
    </w:p>
    <w:p w14:paraId="1EB8719D" w14:textId="7E031EC5" w:rsidR="00324A1D" w:rsidRPr="00A648E3" w:rsidRDefault="00324A1D" w:rsidP="00324A1D">
      <w:pPr>
        <w:pStyle w:val="4"/>
      </w:pPr>
      <w:r w:rsidRPr="00A648E3">
        <w:rPr>
          <w:rFonts w:hint="eastAsia"/>
        </w:rPr>
        <w:t>又，東華大學行政調查認為「</w:t>
      </w:r>
      <w:proofErr w:type="gramStart"/>
      <w:r w:rsidR="008B3362" w:rsidRPr="00A648E3">
        <w:rPr>
          <w:rFonts w:hint="eastAsia"/>
        </w:rPr>
        <w:t>甲師</w:t>
      </w:r>
      <w:r w:rsidRPr="00A648E3">
        <w:rPr>
          <w:rFonts w:hint="eastAsia"/>
        </w:rPr>
        <w:t>於與</w:t>
      </w:r>
      <w:r w:rsidR="008B3362" w:rsidRPr="00A648E3">
        <w:rPr>
          <w:rFonts w:hint="eastAsia"/>
        </w:rPr>
        <w:t>乙師</w:t>
      </w:r>
      <w:proofErr w:type="gramEnd"/>
      <w:r w:rsidRPr="00A648E3">
        <w:rPr>
          <w:rFonts w:hint="eastAsia"/>
        </w:rPr>
        <w:t>發生性行為後，並未前往醫院驗傷佐證其因</w:t>
      </w:r>
      <w:proofErr w:type="gramStart"/>
      <w:r w:rsidRPr="00A648E3">
        <w:rPr>
          <w:rFonts w:hint="eastAsia"/>
        </w:rPr>
        <w:t>遭</w:t>
      </w:r>
      <w:r w:rsidR="008B3362" w:rsidRPr="00A648E3">
        <w:rPr>
          <w:rFonts w:hint="eastAsia"/>
        </w:rPr>
        <w:t>乙師</w:t>
      </w:r>
      <w:r w:rsidRPr="00A648E3">
        <w:rPr>
          <w:rFonts w:hint="eastAsia"/>
        </w:rPr>
        <w:t>性</w:t>
      </w:r>
      <w:proofErr w:type="gramEnd"/>
      <w:r w:rsidRPr="00A648E3">
        <w:rPr>
          <w:rFonts w:hint="eastAsia"/>
        </w:rPr>
        <w:t>侵害受有傷害亦未向警方報案證明確實違反其意願，反而持續</w:t>
      </w:r>
      <w:proofErr w:type="gramStart"/>
      <w:r w:rsidRPr="00A648E3">
        <w:rPr>
          <w:rFonts w:hint="eastAsia"/>
        </w:rPr>
        <w:t>與</w:t>
      </w:r>
      <w:r w:rsidR="008B3362" w:rsidRPr="00A648E3">
        <w:rPr>
          <w:rFonts w:hint="eastAsia"/>
        </w:rPr>
        <w:t>乙師</w:t>
      </w:r>
      <w:r w:rsidRPr="00A648E3">
        <w:rPr>
          <w:rFonts w:hint="eastAsia"/>
        </w:rPr>
        <w:t>維持</w:t>
      </w:r>
      <w:proofErr w:type="gramEnd"/>
      <w:r w:rsidRPr="00A648E3">
        <w:rPr>
          <w:rFonts w:hint="eastAsia"/>
        </w:rPr>
        <w:t>合作關係並繼續發生性行為，相約在其住處房間內討論論文，此等</w:t>
      </w:r>
      <w:proofErr w:type="gramStart"/>
      <w:r w:rsidRPr="00A648E3">
        <w:rPr>
          <w:rFonts w:hint="eastAsia"/>
        </w:rPr>
        <w:t>行為均與一般性</w:t>
      </w:r>
      <w:proofErr w:type="gramEnd"/>
      <w:r w:rsidRPr="00A648E3">
        <w:rPr>
          <w:rFonts w:hint="eastAsia"/>
        </w:rPr>
        <w:t>侵害受害人遭</w:t>
      </w:r>
      <w:proofErr w:type="gramStart"/>
      <w:r w:rsidRPr="00A648E3">
        <w:rPr>
          <w:rFonts w:hint="eastAsia"/>
        </w:rPr>
        <w:t>性侵後</w:t>
      </w:r>
      <w:proofErr w:type="gramEnd"/>
      <w:r w:rsidRPr="00A648E3">
        <w:rPr>
          <w:rFonts w:hint="eastAsia"/>
        </w:rPr>
        <w:t>之反應有別，核與社會生活經驗法則相悖。」</w:t>
      </w:r>
      <w:r w:rsidR="00634D1C" w:rsidRPr="00A648E3">
        <w:rPr>
          <w:rFonts w:hint="eastAsia"/>
        </w:rPr>
        <w:t>惟</w:t>
      </w:r>
      <w:r w:rsidRPr="00A648E3">
        <w:rPr>
          <w:rFonts w:hint="eastAsia"/>
        </w:rPr>
        <w:t>花蓮地院(一審)判決</w:t>
      </w:r>
      <w:r w:rsidR="00634D1C" w:rsidRPr="00A648E3">
        <w:rPr>
          <w:rFonts w:hint="eastAsia"/>
        </w:rPr>
        <w:t>卻</w:t>
      </w:r>
      <w:r w:rsidRPr="00A648E3">
        <w:rPr>
          <w:rFonts w:hint="eastAsia"/>
        </w:rPr>
        <w:t>指出</w:t>
      </w:r>
      <w:r w:rsidR="00A656D0">
        <w:rPr>
          <w:rFonts w:hint="eastAsia"/>
        </w:rPr>
        <w:t>：</w:t>
      </w:r>
      <w:r w:rsidRPr="00A648E3">
        <w:rPr>
          <w:rFonts w:hint="eastAsia"/>
        </w:rPr>
        <w:t>「</w:t>
      </w:r>
      <w:proofErr w:type="gramStart"/>
      <w:r w:rsidRPr="00A648E3">
        <w:rPr>
          <w:rFonts w:hint="eastAsia"/>
        </w:rPr>
        <w:t>乙師辯護人</w:t>
      </w:r>
      <w:proofErr w:type="gramEnd"/>
      <w:r w:rsidRPr="00A648E3">
        <w:rPr>
          <w:rFonts w:hint="eastAsia"/>
        </w:rPr>
        <w:t>所持理由陷入理想被害人成見：…</w:t>
      </w:r>
      <w:proofErr w:type="gramStart"/>
      <w:r w:rsidRPr="00A648E3">
        <w:rPr>
          <w:rFonts w:hint="eastAsia"/>
        </w:rPr>
        <w:t>…</w:t>
      </w:r>
      <w:proofErr w:type="gramEnd"/>
      <w:r w:rsidRPr="00A648E3">
        <w:rPr>
          <w:rFonts w:hint="eastAsia"/>
        </w:rPr>
        <w:t>性侵害案件多涉及被害人隱私，若予提告，被害人將面臨一連串司法調查程序，並將自身遭性侵害之經過</w:t>
      </w:r>
      <w:proofErr w:type="gramStart"/>
      <w:r w:rsidRPr="00A648E3">
        <w:rPr>
          <w:rFonts w:hint="eastAsia"/>
        </w:rPr>
        <w:t>坦露</w:t>
      </w:r>
      <w:proofErr w:type="gramEnd"/>
      <w:r w:rsidRPr="00A648E3">
        <w:rPr>
          <w:rFonts w:hint="eastAsia"/>
        </w:rPr>
        <w:t>公開，被害人不免多所考量思慮再三，</w:t>
      </w:r>
      <w:r w:rsidR="008B3362" w:rsidRPr="00A648E3">
        <w:rPr>
          <w:rFonts w:hint="eastAsia"/>
        </w:rPr>
        <w:t>甲師</w:t>
      </w:r>
      <w:r w:rsidRPr="00A648E3">
        <w:rPr>
          <w:rFonts w:hint="eastAsia"/>
        </w:rPr>
        <w:t>未即時提出告訴亦與常理無違。辯護人質疑</w:t>
      </w:r>
      <w:r w:rsidR="008B3362" w:rsidRPr="00A648E3">
        <w:rPr>
          <w:rFonts w:hint="eastAsia"/>
        </w:rPr>
        <w:t>甲師</w:t>
      </w:r>
      <w:r w:rsidRPr="00A648E3">
        <w:rPr>
          <w:rFonts w:hint="eastAsia"/>
        </w:rPr>
        <w:t>未</w:t>
      </w:r>
      <w:proofErr w:type="gramStart"/>
      <w:r w:rsidRPr="00A648E3">
        <w:rPr>
          <w:rFonts w:hint="eastAsia"/>
        </w:rPr>
        <w:t>提出</w:t>
      </w:r>
      <w:r w:rsidR="008B3362" w:rsidRPr="00A648E3">
        <w:rPr>
          <w:rFonts w:hint="eastAsia"/>
        </w:rPr>
        <w:t>乙師</w:t>
      </w:r>
      <w:r w:rsidRPr="00A648E3">
        <w:rPr>
          <w:rFonts w:hint="eastAsia"/>
        </w:rPr>
        <w:t>使用</w:t>
      </w:r>
      <w:proofErr w:type="gramEnd"/>
      <w:r w:rsidRPr="00A648E3">
        <w:rPr>
          <w:rFonts w:hint="eastAsia"/>
        </w:rPr>
        <w:t>過之保</w:t>
      </w:r>
      <w:r w:rsidRPr="00A648E3">
        <w:rPr>
          <w:rFonts w:hint="eastAsia"/>
        </w:rPr>
        <w:lastRenderedPageBreak/>
        <w:t>險套、未立即對外求助或就醫驗傷，甚至</w:t>
      </w:r>
      <w:proofErr w:type="gramStart"/>
      <w:r w:rsidRPr="00A648E3">
        <w:rPr>
          <w:rFonts w:hint="eastAsia"/>
        </w:rPr>
        <w:t>認為</w:t>
      </w:r>
      <w:r w:rsidR="008B3362" w:rsidRPr="00A648E3">
        <w:rPr>
          <w:rFonts w:hint="eastAsia"/>
        </w:rPr>
        <w:t>甲師</w:t>
      </w:r>
      <w:r w:rsidRPr="00A648E3">
        <w:rPr>
          <w:rFonts w:hint="eastAsia"/>
        </w:rPr>
        <w:t>應該</w:t>
      </w:r>
      <w:proofErr w:type="gramEnd"/>
      <w:r w:rsidRPr="00A648E3">
        <w:rPr>
          <w:rFonts w:hint="eastAsia"/>
        </w:rPr>
        <w:t>要以錄音或事前預防侵害之方式保護自己，無非要求</w:t>
      </w:r>
      <w:r w:rsidR="008B3362" w:rsidRPr="00A648E3">
        <w:rPr>
          <w:rFonts w:hint="eastAsia"/>
        </w:rPr>
        <w:t>甲師</w:t>
      </w:r>
      <w:r w:rsidRPr="00A648E3">
        <w:rPr>
          <w:rFonts w:hint="eastAsia"/>
        </w:rPr>
        <w:t>表現出所謂理想被害人所應有的行為反應，以其刻板印象中所設想被害人應有之模式，強加套用</w:t>
      </w:r>
      <w:proofErr w:type="gramStart"/>
      <w:r w:rsidRPr="00A648E3">
        <w:rPr>
          <w:rFonts w:hint="eastAsia"/>
        </w:rPr>
        <w:t>於</w:t>
      </w:r>
      <w:r w:rsidR="008B3362" w:rsidRPr="00A648E3">
        <w:rPr>
          <w:rFonts w:hint="eastAsia"/>
        </w:rPr>
        <w:t>甲師</w:t>
      </w:r>
      <w:r w:rsidRPr="00A648E3">
        <w:rPr>
          <w:rFonts w:hint="eastAsia"/>
        </w:rPr>
        <w:t>身上</w:t>
      </w:r>
      <w:proofErr w:type="gramEnd"/>
      <w:r w:rsidRPr="00A648E3">
        <w:rPr>
          <w:rFonts w:hint="eastAsia"/>
        </w:rPr>
        <w:t>，而</w:t>
      </w:r>
      <w:proofErr w:type="gramStart"/>
      <w:r w:rsidRPr="00A648E3">
        <w:rPr>
          <w:rFonts w:hint="eastAsia"/>
        </w:rPr>
        <w:t>稱</w:t>
      </w:r>
      <w:r w:rsidR="008B3362" w:rsidRPr="00A648E3">
        <w:rPr>
          <w:rFonts w:hint="eastAsia"/>
        </w:rPr>
        <w:t>甲師</w:t>
      </w:r>
      <w:r w:rsidRPr="00A648E3">
        <w:rPr>
          <w:rFonts w:hint="eastAsia"/>
        </w:rPr>
        <w:t>顯非遭</w:t>
      </w:r>
      <w:proofErr w:type="gramEnd"/>
      <w:r w:rsidRPr="00A648E3">
        <w:rPr>
          <w:rFonts w:hint="eastAsia"/>
        </w:rPr>
        <w:t>性侵害之被害人應有反應云云，當屬無據。」</w:t>
      </w:r>
    </w:p>
    <w:p w14:paraId="63B8BE4D" w14:textId="28326406" w:rsidR="00EC2969" w:rsidRPr="00A656D0" w:rsidRDefault="00634D1C" w:rsidP="00EC2969">
      <w:pPr>
        <w:pStyle w:val="3"/>
        <w:rPr>
          <w:bCs w:val="0"/>
        </w:rPr>
      </w:pPr>
      <w:r w:rsidRPr="00A648E3">
        <w:rPr>
          <w:rFonts w:hint="eastAsia"/>
          <w:bCs w:val="0"/>
        </w:rPr>
        <w:t>綜上</w:t>
      </w:r>
      <w:r w:rsidRPr="00A656D0">
        <w:rPr>
          <w:rFonts w:hint="eastAsia"/>
          <w:bCs w:val="0"/>
        </w:rPr>
        <w:t>，</w:t>
      </w:r>
      <w:r w:rsidR="00A656D0" w:rsidRPr="00A656D0">
        <w:rPr>
          <w:rFonts w:hint="eastAsia"/>
          <w:bCs w:val="0"/>
        </w:rPr>
        <w:t>東華大</w:t>
      </w:r>
      <w:proofErr w:type="gramStart"/>
      <w:r w:rsidR="00A656D0" w:rsidRPr="00A656D0">
        <w:rPr>
          <w:rFonts w:hint="eastAsia"/>
          <w:bCs w:val="0"/>
        </w:rPr>
        <w:t>學甲師於112年8月8日</w:t>
      </w:r>
      <w:proofErr w:type="gramEnd"/>
      <w:r w:rsidR="00A656D0" w:rsidRPr="00A656D0">
        <w:rPr>
          <w:rFonts w:hint="eastAsia"/>
          <w:bCs w:val="0"/>
        </w:rPr>
        <w:t>向校方</w:t>
      </w:r>
      <w:proofErr w:type="gramStart"/>
      <w:r w:rsidR="00A656D0" w:rsidRPr="00A656D0">
        <w:rPr>
          <w:rFonts w:hint="eastAsia"/>
          <w:bCs w:val="0"/>
        </w:rPr>
        <w:t>申訴渠於111年10、11月</w:t>
      </w:r>
      <w:proofErr w:type="gramEnd"/>
      <w:r w:rsidR="00A656D0" w:rsidRPr="00A656D0">
        <w:rPr>
          <w:rFonts w:hint="eastAsia"/>
          <w:bCs w:val="0"/>
        </w:rPr>
        <w:t>期間遭同</w:t>
      </w:r>
      <w:proofErr w:type="gramStart"/>
      <w:r w:rsidR="00A656D0" w:rsidRPr="00A656D0">
        <w:rPr>
          <w:rFonts w:hint="eastAsia"/>
          <w:bCs w:val="0"/>
        </w:rPr>
        <w:t>校乙師性</w:t>
      </w:r>
      <w:proofErr w:type="gramEnd"/>
      <w:r w:rsidR="00A656D0" w:rsidRPr="00A656D0">
        <w:rPr>
          <w:rFonts w:hint="eastAsia"/>
          <w:bCs w:val="0"/>
        </w:rPr>
        <w:t>侵害，經東華大學調查認定「</w:t>
      </w:r>
      <w:proofErr w:type="gramStart"/>
      <w:r w:rsidR="00A656D0" w:rsidRPr="00A656D0">
        <w:rPr>
          <w:rFonts w:hint="eastAsia"/>
          <w:bCs w:val="0"/>
        </w:rPr>
        <w:t>乙師行為</w:t>
      </w:r>
      <w:proofErr w:type="gramEnd"/>
      <w:r w:rsidR="00A656D0" w:rsidRPr="00A656D0">
        <w:rPr>
          <w:rFonts w:hint="eastAsia"/>
          <w:bCs w:val="0"/>
        </w:rPr>
        <w:t>性侵害不成立」；東華大學依法同步辦理社政通報後，此一事件亦進入司法偵查程序，復於113年8月20日由花蓮地檢署</w:t>
      </w:r>
      <w:proofErr w:type="gramStart"/>
      <w:r w:rsidR="00A656D0" w:rsidRPr="00A656D0">
        <w:rPr>
          <w:rFonts w:hint="eastAsia"/>
          <w:bCs w:val="0"/>
        </w:rPr>
        <w:t>對乙師提起</w:t>
      </w:r>
      <w:proofErr w:type="gramEnd"/>
      <w:r w:rsidR="00A656D0" w:rsidRPr="00A656D0">
        <w:rPr>
          <w:rFonts w:hint="eastAsia"/>
          <w:bCs w:val="0"/>
        </w:rPr>
        <w:t>「妨害性自主」之公訴，且經花蓮地院114年7月17日</w:t>
      </w:r>
      <w:proofErr w:type="gramStart"/>
      <w:r w:rsidR="00A656D0" w:rsidRPr="00A656D0">
        <w:rPr>
          <w:rFonts w:hint="eastAsia"/>
          <w:bCs w:val="0"/>
        </w:rPr>
        <w:t>裁判乙師</w:t>
      </w:r>
      <w:proofErr w:type="gramEnd"/>
      <w:r w:rsidR="00A656D0" w:rsidRPr="00A656D0">
        <w:rPr>
          <w:rFonts w:hint="eastAsia"/>
          <w:bCs w:val="0"/>
        </w:rPr>
        <w:t>「犯強制性交罪，共2罪，各處有期徒刑4年。應執行有期徒刑5年。」則行政調查及刑事</w:t>
      </w:r>
      <w:proofErr w:type="gramStart"/>
      <w:r w:rsidR="00A656D0" w:rsidRPr="00A656D0">
        <w:rPr>
          <w:rFonts w:hint="eastAsia"/>
          <w:bCs w:val="0"/>
        </w:rPr>
        <w:t>偵查就性侵害</w:t>
      </w:r>
      <w:proofErr w:type="gramEnd"/>
      <w:r w:rsidR="00A656D0" w:rsidRPr="00A656D0">
        <w:rPr>
          <w:rFonts w:hint="eastAsia"/>
          <w:bCs w:val="0"/>
        </w:rPr>
        <w:t>之事實認定截然不同。</w:t>
      </w:r>
      <w:proofErr w:type="gramStart"/>
      <w:r w:rsidR="00A656D0" w:rsidRPr="00A656D0">
        <w:rPr>
          <w:rFonts w:hint="eastAsia"/>
          <w:bCs w:val="0"/>
        </w:rPr>
        <w:t>核東華大學</w:t>
      </w:r>
      <w:proofErr w:type="gramEnd"/>
      <w:r w:rsidR="00A656D0" w:rsidRPr="00A656D0">
        <w:rPr>
          <w:rFonts w:hint="eastAsia"/>
          <w:bCs w:val="0"/>
        </w:rPr>
        <w:t>性別平等教育委員會(</w:t>
      </w:r>
      <w:proofErr w:type="gramStart"/>
      <w:r w:rsidR="00A656D0" w:rsidRPr="00A656D0">
        <w:rPr>
          <w:rFonts w:hint="eastAsia"/>
          <w:bCs w:val="0"/>
        </w:rPr>
        <w:t>下稱性平會</w:t>
      </w:r>
      <w:proofErr w:type="gramEnd"/>
      <w:r w:rsidR="00A656D0" w:rsidRPr="00A656D0">
        <w:rPr>
          <w:rFonts w:hint="eastAsia"/>
          <w:bCs w:val="0"/>
        </w:rPr>
        <w:t>)調查小組就此</w:t>
      </w:r>
      <w:proofErr w:type="gramStart"/>
      <w:r w:rsidR="00A656D0" w:rsidRPr="00A656D0">
        <w:rPr>
          <w:rFonts w:hint="eastAsia"/>
          <w:bCs w:val="0"/>
        </w:rPr>
        <w:t>一</w:t>
      </w:r>
      <w:proofErr w:type="gramEnd"/>
      <w:r w:rsidR="00A656D0" w:rsidRPr="00A656D0">
        <w:rPr>
          <w:rFonts w:hint="eastAsia"/>
          <w:bCs w:val="0"/>
        </w:rPr>
        <w:t>事件之調查，僅對</w:t>
      </w:r>
      <w:proofErr w:type="gramStart"/>
      <w:r w:rsidR="00A656D0" w:rsidRPr="00A656D0">
        <w:rPr>
          <w:rFonts w:hint="eastAsia"/>
          <w:bCs w:val="0"/>
        </w:rPr>
        <w:t>甲師、乙師</w:t>
      </w:r>
      <w:proofErr w:type="gramEnd"/>
      <w:r w:rsidR="00A656D0" w:rsidRPr="00A656D0">
        <w:rPr>
          <w:rFonts w:hint="eastAsia"/>
          <w:bCs w:val="0"/>
        </w:rPr>
        <w:t>各訪談1次，亦未尋思以相</w:t>
      </w:r>
      <w:r w:rsidR="00A656D0" w:rsidRPr="00B14D87">
        <w:rPr>
          <w:rFonts w:hint="eastAsia"/>
          <w:bCs w:val="0"/>
        </w:rPr>
        <w:t>關人、第三人之意見或資料輔助</w:t>
      </w:r>
      <w:proofErr w:type="gramStart"/>
      <w:r w:rsidR="00A656D0" w:rsidRPr="00B14D87">
        <w:rPr>
          <w:rFonts w:hint="eastAsia"/>
          <w:bCs w:val="0"/>
        </w:rPr>
        <w:t>釐</w:t>
      </w:r>
      <w:proofErr w:type="gramEnd"/>
      <w:r w:rsidR="00A656D0" w:rsidRPr="00B14D87">
        <w:rPr>
          <w:rFonts w:hint="eastAsia"/>
          <w:bCs w:val="0"/>
        </w:rPr>
        <w:t>清真相，實難認已善盡查明之責，實體上亦有「忽略性同意權之『No means No』原則」、「陷入『理想被害人』之</w:t>
      </w:r>
      <w:proofErr w:type="gramStart"/>
      <w:r w:rsidR="00A656D0" w:rsidRPr="00B14D87">
        <w:rPr>
          <w:rFonts w:hint="eastAsia"/>
          <w:bCs w:val="0"/>
        </w:rPr>
        <w:t>迷思或成見</w:t>
      </w:r>
      <w:proofErr w:type="gramEnd"/>
      <w:r w:rsidR="00A656D0" w:rsidRPr="00B14D87">
        <w:rPr>
          <w:rFonts w:hint="eastAsia"/>
          <w:bCs w:val="0"/>
        </w:rPr>
        <w:t>」的缺憾，</w:t>
      </w:r>
      <w:r w:rsidR="00842EAD" w:rsidRPr="00B14D87">
        <w:rPr>
          <w:rFonts w:hint="eastAsia"/>
          <w:bCs w:val="0"/>
        </w:rPr>
        <w:t>未來應由東華大學加以檢討並注意性別事件調查人員以及性別事件專責審議組織成員之選任及專業素養</w:t>
      </w:r>
      <w:r w:rsidR="00A656D0" w:rsidRPr="00B14D87">
        <w:rPr>
          <w:rFonts w:hint="eastAsia"/>
          <w:bCs w:val="0"/>
        </w:rPr>
        <w:t>。</w:t>
      </w:r>
      <w:proofErr w:type="gramStart"/>
      <w:r w:rsidR="00842EAD" w:rsidRPr="00B14D87">
        <w:rPr>
          <w:rFonts w:hint="eastAsia"/>
          <w:bCs w:val="0"/>
        </w:rPr>
        <w:t>此外，</w:t>
      </w:r>
      <w:proofErr w:type="gramEnd"/>
      <w:r w:rsidR="00842EAD" w:rsidRPr="00B14D87">
        <w:rPr>
          <w:rFonts w:hint="eastAsia"/>
          <w:bCs w:val="0"/>
        </w:rPr>
        <w:t>雖</w:t>
      </w:r>
      <w:r w:rsidR="00842EAD" w:rsidRPr="00B14D87">
        <w:rPr>
          <w:bCs w:val="0"/>
        </w:rPr>
        <w:t>行政調查</w:t>
      </w:r>
      <w:r w:rsidR="00842EAD" w:rsidRPr="00B14D87">
        <w:rPr>
          <w:rFonts w:hint="eastAsia"/>
          <w:bCs w:val="0"/>
        </w:rPr>
        <w:t>較</w:t>
      </w:r>
      <w:r w:rsidR="00842EAD" w:rsidRPr="00B14D87">
        <w:rPr>
          <w:bCs w:val="0"/>
        </w:rPr>
        <w:t>司法偵查</w:t>
      </w:r>
      <w:r w:rsidR="00842EAD" w:rsidRPr="00B14D87">
        <w:rPr>
          <w:rFonts w:hint="eastAsia"/>
          <w:bCs w:val="0"/>
        </w:rPr>
        <w:t>而言「無強制力」而有其侷限，然行政調查仍應以瞭解事實真相為目的，未來應以本案為</w:t>
      </w:r>
      <w:proofErr w:type="gramStart"/>
      <w:r w:rsidR="00842EAD" w:rsidRPr="00B14D87">
        <w:rPr>
          <w:rFonts w:hint="eastAsia"/>
          <w:bCs w:val="0"/>
        </w:rPr>
        <w:t>鑑</w:t>
      </w:r>
      <w:proofErr w:type="gramEnd"/>
      <w:r w:rsidR="00842EAD" w:rsidRPr="00B14D87">
        <w:rPr>
          <w:rFonts w:hint="eastAsia"/>
          <w:bCs w:val="0"/>
        </w:rPr>
        <w:t>，由</w:t>
      </w:r>
      <w:r w:rsidR="00842EAD" w:rsidRPr="00842EAD">
        <w:rPr>
          <w:rFonts w:hint="eastAsia"/>
          <w:bCs w:val="0"/>
        </w:rPr>
        <w:t>相關機關速為策進。</w:t>
      </w:r>
    </w:p>
    <w:p w14:paraId="242BEB76" w14:textId="77777777" w:rsidR="00EC2969" w:rsidRPr="00A648E3" w:rsidRDefault="00EC2969" w:rsidP="00AA2B7B">
      <w:pPr>
        <w:pStyle w:val="2"/>
        <w:numPr>
          <w:ilvl w:val="0"/>
          <w:numId w:val="0"/>
        </w:numPr>
        <w:ind w:left="1021"/>
      </w:pPr>
    </w:p>
    <w:p w14:paraId="051A2791" w14:textId="708BE474" w:rsidR="0082620D" w:rsidRPr="00A648E3" w:rsidRDefault="00D42963" w:rsidP="00D313A8">
      <w:pPr>
        <w:pStyle w:val="2"/>
        <w:widowControl/>
        <w:numPr>
          <w:ilvl w:val="1"/>
          <w:numId w:val="1"/>
        </w:numPr>
        <w:kinsoku/>
        <w:overflowPunct/>
        <w:autoSpaceDE/>
        <w:autoSpaceDN/>
        <w:rPr>
          <w:b/>
        </w:rPr>
      </w:pPr>
      <w:proofErr w:type="gramStart"/>
      <w:r w:rsidRPr="00A648E3">
        <w:rPr>
          <w:rFonts w:hAnsi="Times New Roman" w:hint="eastAsia"/>
          <w:b/>
          <w:szCs w:val="20"/>
        </w:rPr>
        <w:t>甲師不滿</w:t>
      </w:r>
      <w:proofErr w:type="gramEnd"/>
      <w:r w:rsidRPr="00A648E3">
        <w:rPr>
          <w:rFonts w:hAnsi="Times New Roman" w:hint="eastAsia"/>
          <w:b/>
          <w:szCs w:val="20"/>
        </w:rPr>
        <w:t>東華大學就性別事件第1120808號案之處置，114年4月30日再度向東華大學提起性別事件申訴(性別事件第1140430號案)。114年7月29日由東華</w:t>
      </w:r>
      <w:r w:rsidRPr="00A648E3">
        <w:rPr>
          <w:rFonts w:hAnsi="Times New Roman" w:hint="eastAsia"/>
          <w:b/>
          <w:szCs w:val="20"/>
        </w:rPr>
        <w:lastRenderedPageBreak/>
        <w:t>大學認定「</w:t>
      </w:r>
      <w:proofErr w:type="gramStart"/>
      <w:r w:rsidRPr="00A648E3">
        <w:rPr>
          <w:rFonts w:hAnsi="Times New Roman" w:hint="eastAsia"/>
          <w:b/>
          <w:szCs w:val="20"/>
        </w:rPr>
        <w:t>乙師行為</w:t>
      </w:r>
      <w:proofErr w:type="gramEnd"/>
      <w:r w:rsidRPr="00A648E3">
        <w:rPr>
          <w:rFonts w:hAnsi="Times New Roman" w:hint="eastAsia"/>
          <w:b/>
          <w:szCs w:val="20"/>
        </w:rPr>
        <w:t>性侵害屬實；性騷擾3案：2件成立、1件不成立」，並決定「解聘</w:t>
      </w:r>
      <w:proofErr w:type="gramStart"/>
      <w:r w:rsidRPr="00A648E3">
        <w:rPr>
          <w:rFonts w:hAnsi="Times New Roman" w:hint="eastAsia"/>
          <w:b/>
          <w:szCs w:val="20"/>
        </w:rPr>
        <w:t>乙師且</w:t>
      </w:r>
      <w:proofErr w:type="gramEnd"/>
      <w:r w:rsidRPr="00A648E3">
        <w:rPr>
          <w:rFonts w:hAnsi="Times New Roman" w:hint="eastAsia"/>
          <w:b/>
          <w:szCs w:val="20"/>
        </w:rPr>
        <w:t>終身不得擔任教師」</w:t>
      </w:r>
      <w:proofErr w:type="gramStart"/>
      <w:r w:rsidRPr="00A648E3">
        <w:rPr>
          <w:rFonts w:hAnsi="Times New Roman" w:hint="eastAsia"/>
          <w:b/>
          <w:szCs w:val="20"/>
        </w:rPr>
        <w:t>且報經</w:t>
      </w:r>
      <w:proofErr w:type="gramEnd"/>
      <w:r w:rsidRPr="00A648E3">
        <w:rPr>
          <w:rFonts w:hAnsi="Times New Roman" w:hint="eastAsia"/>
          <w:b/>
          <w:szCs w:val="20"/>
        </w:rPr>
        <w:t>教育部同意在案。</w:t>
      </w:r>
      <w:proofErr w:type="gramStart"/>
      <w:r w:rsidR="0052596A" w:rsidRPr="00A648E3">
        <w:rPr>
          <w:rFonts w:hAnsi="Times New Roman" w:hint="eastAsia"/>
          <w:b/>
          <w:szCs w:val="20"/>
        </w:rPr>
        <w:t>核</w:t>
      </w:r>
      <w:r w:rsidRPr="00A648E3">
        <w:rPr>
          <w:rFonts w:hAnsi="Times New Roman" w:hint="eastAsia"/>
          <w:b/>
          <w:szCs w:val="20"/>
        </w:rPr>
        <w:t>東華大學</w:t>
      </w:r>
      <w:proofErr w:type="gramEnd"/>
      <w:r w:rsidRPr="00A648E3">
        <w:rPr>
          <w:rFonts w:hAnsi="Times New Roman" w:hint="eastAsia"/>
          <w:b/>
          <w:szCs w:val="20"/>
        </w:rPr>
        <w:t>於114年間再度啟動調查之關鍵，</w:t>
      </w:r>
      <w:r w:rsidR="005F6B92">
        <w:rPr>
          <w:rFonts w:hAnsi="Times New Roman" w:hint="eastAsia"/>
          <w:b/>
          <w:szCs w:val="20"/>
        </w:rPr>
        <w:t>乃</w:t>
      </w:r>
      <w:proofErr w:type="gramStart"/>
      <w:r w:rsidRPr="00A648E3">
        <w:rPr>
          <w:rFonts w:hAnsi="Times New Roman" w:hint="eastAsia"/>
          <w:b/>
          <w:szCs w:val="20"/>
        </w:rPr>
        <w:t>係甲師</w:t>
      </w:r>
      <w:proofErr w:type="gramEnd"/>
      <w:r w:rsidRPr="00A648E3">
        <w:rPr>
          <w:rFonts w:hAnsi="Times New Roman" w:hint="eastAsia"/>
          <w:b/>
          <w:szCs w:val="20"/>
        </w:rPr>
        <w:t>主動提起申訴，</w:t>
      </w:r>
      <w:proofErr w:type="gramStart"/>
      <w:r w:rsidRPr="00A648E3">
        <w:rPr>
          <w:rFonts w:hAnsi="Times New Roman" w:hint="eastAsia"/>
          <w:b/>
          <w:szCs w:val="20"/>
        </w:rPr>
        <w:t>該校坦言</w:t>
      </w:r>
      <w:proofErr w:type="gramEnd"/>
      <w:r w:rsidRPr="00A648E3">
        <w:rPr>
          <w:rFonts w:hAnsi="Times New Roman" w:hint="eastAsia"/>
          <w:b/>
          <w:szCs w:val="20"/>
        </w:rPr>
        <w:t>「</w:t>
      </w:r>
      <w:proofErr w:type="gramStart"/>
      <w:r w:rsidRPr="00A648E3">
        <w:rPr>
          <w:rFonts w:hAnsi="Times New Roman" w:hint="eastAsia"/>
          <w:b/>
          <w:szCs w:val="20"/>
        </w:rPr>
        <w:t>若甲師未</w:t>
      </w:r>
      <w:proofErr w:type="gramEnd"/>
      <w:r w:rsidRPr="00A648E3">
        <w:rPr>
          <w:rFonts w:hAnsi="Times New Roman" w:hint="eastAsia"/>
          <w:b/>
          <w:szCs w:val="20"/>
        </w:rPr>
        <w:t>再提起申訴，不會重啟調查」，且本案調查發現，東華大學</w:t>
      </w:r>
      <w:r w:rsidR="003B4ADF" w:rsidRPr="00A648E3">
        <w:rPr>
          <w:rFonts w:hAnsi="Times New Roman" w:hint="eastAsia"/>
          <w:b/>
          <w:szCs w:val="20"/>
        </w:rPr>
        <w:t>112年</w:t>
      </w:r>
      <w:proofErr w:type="gramStart"/>
      <w:r w:rsidRPr="00A648E3">
        <w:rPr>
          <w:rFonts w:hAnsi="Times New Roman" w:hint="eastAsia"/>
          <w:b/>
          <w:szCs w:val="20"/>
        </w:rPr>
        <w:t>認定乙師行為</w:t>
      </w:r>
      <w:proofErr w:type="gramEnd"/>
      <w:r w:rsidRPr="00A648E3">
        <w:rPr>
          <w:rFonts w:hAnsi="Times New Roman" w:hint="eastAsia"/>
          <w:b/>
          <w:szCs w:val="20"/>
        </w:rPr>
        <w:t>亦違反教師專業倫理，</w:t>
      </w:r>
      <w:proofErr w:type="gramStart"/>
      <w:r w:rsidRPr="00A648E3">
        <w:rPr>
          <w:rFonts w:hAnsi="Times New Roman" w:hint="eastAsia"/>
          <w:b/>
          <w:szCs w:val="20"/>
        </w:rPr>
        <w:t>建議乙師應</w:t>
      </w:r>
      <w:proofErr w:type="gramEnd"/>
      <w:r w:rsidRPr="00A648E3">
        <w:rPr>
          <w:rFonts w:hAnsi="Times New Roman" w:hint="eastAsia"/>
          <w:b/>
          <w:szCs w:val="20"/>
        </w:rPr>
        <w:t>接受16小時性別教育課程以提升意識，卻</w:t>
      </w:r>
      <w:proofErr w:type="gramStart"/>
      <w:r w:rsidRPr="00A648E3">
        <w:rPr>
          <w:rFonts w:hAnsi="Times New Roman" w:hint="eastAsia"/>
          <w:b/>
          <w:szCs w:val="20"/>
        </w:rPr>
        <w:t>查乙師</w:t>
      </w:r>
      <w:proofErr w:type="gramEnd"/>
      <w:r w:rsidRPr="00A648E3">
        <w:rPr>
          <w:rFonts w:hint="eastAsia"/>
          <w:b/>
        </w:rPr>
        <w:t>終身學習資料迄今無</w:t>
      </w:r>
      <w:r w:rsidR="005F6B92">
        <w:rPr>
          <w:rFonts w:hint="eastAsia"/>
          <w:b/>
        </w:rPr>
        <w:t>參加</w:t>
      </w:r>
      <w:r w:rsidRPr="00A648E3">
        <w:rPr>
          <w:rFonts w:hint="eastAsia"/>
          <w:b/>
        </w:rPr>
        <w:t>相關</w:t>
      </w:r>
      <w:r w:rsidR="00707B6A" w:rsidRPr="00A648E3">
        <w:rPr>
          <w:rFonts w:hint="eastAsia"/>
          <w:b/>
        </w:rPr>
        <w:t>課程</w:t>
      </w:r>
      <w:r w:rsidRPr="00A648E3">
        <w:rPr>
          <w:rFonts w:hint="eastAsia"/>
          <w:b/>
        </w:rPr>
        <w:t>紀錄</w:t>
      </w:r>
      <w:r w:rsidRPr="00A648E3">
        <w:rPr>
          <w:rFonts w:hAnsi="Times New Roman" w:hint="eastAsia"/>
          <w:b/>
          <w:szCs w:val="20"/>
        </w:rPr>
        <w:t>；均顯示東華大學對於性別事件後續發展及處置的追蹤，猶有精進空間。基於積極保障當事人權益，並彌補行政調查之侷限性，未來須否就行政調查與司法偵查結果不一致的情形建立有關</w:t>
      </w:r>
      <w:r w:rsidR="00003CD6" w:rsidRPr="00A648E3">
        <w:rPr>
          <w:rFonts w:hAnsi="Times New Roman" w:hint="eastAsia"/>
          <w:b/>
          <w:szCs w:val="20"/>
        </w:rPr>
        <w:t>聯繫</w:t>
      </w:r>
      <w:r w:rsidRPr="00A648E3">
        <w:rPr>
          <w:rFonts w:hAnsi="Times New Roman" w:hint="eastAsia"/>
          <w:b/>
          <w:szCs w:val="20"/>
        </w:rPr>
        <w:t>處理機制，容應由行政院督</w:t>
      </w:r>
      <w:r w:rsidR="00540A01" w:rsidRPr="00A648E3">
        <w:rPr>
          <w:rFonts w:hAnsi="Times New Roman" w:hint="eastAsia"/>
          <w:b/>
          <w:szCs w:val="20"/>
        </w:rPr>
        <w:t>同</w:t>
      </w:r>
      <w:r w:rsidRPr="00A648E3">
        <w:rPr>
          <w:rFonts w:hAnsi="Times New Roman" w:hint="eastAsia"/>
          <w:b/>
          <w:szCs w:val="20"/>
        </w:rPr>
        <w:t>所屬</w:t>
      </w:r>
      <w:proofErr w:type="gramStart"/>
      <w:r w:rsidRPr="00A648E3">
        <w:rPr>
          <w:rFonts w:hAnsi="Times New Roman" w:hint="eastAsia"/>
          <w:b/>
          <w:szCs w:val="20"/>
        </w:rPr>
        <w:t>研</w:t>
      </w:r>
      <w:proofErr w:type="gramEnd"/>
      <w:r w:rsidRPr="00A648E3">
        <w:rPr>
          <w:rFonts w:hAnsi="Times New Roman" w:hint="eastAsia"/>
          <w:b/>
          <w:szCs w:val="20"/>
        </w:rPr>
        <w:t>處</w:t>
      </w:r>
      <w:r w:rsidR="00800648" w:rsidRPr="00A648E3">
        <w:rPr>
          <w:rFonts w:hAnsi="Times New Roman" w:hint="eastAsia"/>
          <w:b/>
          <w:szCs w:val="20"/>
        </w:rPr>
        <w:t>。</w:t>
      </w:r>
    </w:p>
    <w:p w14:paraId="28FFE954" w14:textId="5190EC8D" w:rsidR="001F1D99" w:rsidRPr="00A648E3" w:rsidRDefault="001F1D99" w:rsidP="00194FF5">
      <w:pPr>
        <w:pStyle w:val="3"/>
        <w:widowControl/>
        <w:numPr>
          <w:ilvl w:val="2"/>
          <w:numId w:val="1"/>
        </w:numPr>
        <w:kinsoku/>
        <w:overflowPunct/>
        <w:autoSpaceDE/>
        <w:autoSpaceDN/>
        <w:rPr>
          <w:bCs w:val="0"/>
        </w:rPr>
      </w:pPr>
      <w:proofErr w:type="gramStart"/>
      <w:r w:rsidRPr="00A648E3">
        <w:rPr>
          <w:rFonts w:hint="eastAsia"/>
          <w:bCs w:val="0"/>
        </w:rPr>
        <w:t>甲師及乙師</w:t>
      </w:r>
      <w:proofErr w:type="gramEnd"/>
      <w:r w:rsidRPr="00A648E3">
        <w:rPr>
          <w:rFonts w:hint="eastAsia"/>
          <w:bCs w:val="0"/>
        </w:rPr>
        <w:t>對於東華大學就性別事件第1120808號案之處置，</w:t>
      </w:r>
      <w:proofErr w:type="gramStart"/>
      <w:r w:rsidRPr="00A648E3">
        <w:rPr>
          <w:rFonts w:hint="eastAsia"/>
          <w:bCs w:val="0"/>
        </w:rPr>
        <w:t>均未提起</w:t>
      </w:r>
      <w:proofErr w:type="gramEnd"/>
      <w:r w:rsidRPr="00A648E3">
        <w:rPr>
          <w:rFonts w:hint="eastAsia"/>
          <w:bCs w:val="0"/>
        </w:rPr>
        <w:t>救濟；此</w:t>
      </w:r>
      <w:proofErr w:type="gramStart"/>
      <w:r w:rsidRPr="00A648E3">
        <w:rPr>
          <w:rFonts w:hint="eastAsia"/>
          <w:bCs w:val="0"/>
        </w:rPr>
        <w:t>併有甲師向</w:t>
      </w:r>
      <w:proofErr w:type="gramEnd"/>
      <w:r w:rsidRPr="00A648E3">
        <w:rPr>
          <w:rFonts w:hint="eastAsia"/>
          <w:bCs w:val="0"/>
        </w:rPr>
        <w:t>本院陳述：「</w:t>
      </w:r>
      <w:r w:rsidR="009F1859" w:rsidRPr="00A648E3">
        <w:rPr>
          <w:rFonts w:hint="eastAsia"/>
          <w:bCs w:val="0"/>
        </w:rPr>
        <w:t>對於性平會已無信任，故對於性平調查結果我沒有申復。</w:t>
      </w:r>
      <w:r w:rsidRPr="00A648E3">
        <w:rPr>
          <w:rFonts w:hint="eastAsia"/>
          <w:bCs w:val="0"/>
        </w:rPr>
        <w:t>」</w:t>
      </w:r>
      <w:r w:rsidR="009F1859" w:rsidRPr="00A648E3">
        <w:rPr>
          <w:rFonts w:hint="eastAsia"/>
          <w:bCs w:val="0"/>
        </w:rPr>
        <w:t>等語可證，</w:t>
      </w:r>
      <w:proofErr w:type="gramStart"/>
      <w:r w:rsidR="009F1859" w:rsidRPr="00A648E3">
        <w:rPr>
          <w:rFonts w:hint="eastAsia"/>
          <w:bCs w:val="0"/>
        </w:rPr>
        <w:t>先予敘明</w:t>
      </w:r>
      <w:proofErr w:type="gramEnd"/>
      <w:r w:rsidR="009F1859" w:rsidRPr="00A648E3">
        <w:rPr>
          <w:rFonts w:hint="eastAsia"/>
          <w:bCs w:val="0"/>
        </w:rPr>
        <w:t>。</w:t>
      </w:r>
      <w:proofErr w:type="gramStart"/>
      <w:r w:rsidR="009F1859" w:rsidRPr="00A648E3">
        <w:rPr>
          <w:rFonts w:hint="eastAsia"/>
          <w:bCs w:val="0"/>
        </w:rPr>
        <w:t>惟甲師</w:t>
      </w:r>
      <w:proofErr w:type="gramEnd"/>
      <w:r w:rsidR="006F076C" w:rsidRPr="00A648E3">
        <w:rPr>
          <w:rFonts w:hint="eastAsia"/>
          <w:bCs w:val="0"/>
        </w:rPr>
        <w:t>認為該校性平會委員不理解性侵害被害人之創傷反應、調查程序</w:t>
      </w:r>
      <w:proofErr w:type="gramStart"/>
      <w:r w:rsidR="006F076C" w:rsidRPr="00A648E3">
        <w:rPr>
          <w:rFonts w:hint="eastAsia"/>
          <w:bCs w:val="0"/>
        </w:rPr>
        <w:t>僅令乙師有</w:t>
      </w:r>
      <w:proofErr w:type="gramEnd"/>
      <w:r w:rsidR="006F076C" w:rsidRPr="00A648E3">
        <w:rPr>
          <w:rFonts w:hint="eastAsia"/>
          <w:bCs w:val="0"/>
        </w:rPr>
        <w:t>機會</w:t>
      </w:r>
      <w:proofErr w:type="gramStart"/>
      <w:r w:rsidR="006F076C" w:rsidRPr="00A648E3">
        <w:rPr>
          <w:rFonts w:hint="eastAsia"/>
          <w:bCs w:val="0"/>
        </w:rPr>
        <w:t>反駁甲師說法</w:t>
      </w:r>
      <w:proofErr w:type="gramEnd"/>
      <w:r w:rsidR="006F076C" w:rsidRPr="00A648E3">
        <w:rPr>
          <w:rFonts w:hint="eastAsia"/>
          <w:bCs w:val="0"/>
        </w:rPr>
        <w:t>(如前述)等情，並非滿意</w:t>
      </w:r>
      <w:r w:rsidR="009F1859" w:rsidRPr="00A648E3">
        <w:rPr>
          <w:rFonts w:hint="eastAsia"/>
          <w:bCs w:val="0"/>
        </w:rPr>
        <w:t>東華大學就性別事件第1120808號案之處置，</w:t>
      </w:r>
      <w:r w:rsidR="006F076C" w:rsidRPr="00A648E3">
        <w:rPr>
          <w:rFonts w:hint="eastAsia"/>
          <w:bCs w:val="0"/>
        </w:rPr>
        <w:t>故</w:t>
      </w:r>
      <w:r w:rsidR="009F1859" w:rsidRPr="00A648E3">
        <w:rPr>
          <w:rFonts w:hint="eastAsia"/>
        </w:rPr>
        <w:t>於114年4月30日再提出「東華大學性別平等</w:t>
      </w:r>
      <w:proofErr w:type="gramStart"/>
      <w:r w:rsidR="009F1859" w:rsidRPr="00A648E3">
        <w:rPr>
          <w:rFonts w:hint="eastAsia"/>
        </w:rPr>
        <w:t>工作法職場</w:t>
      </w:r>
      <w:proofErr w:type="gramEnd"/>
      <w:r w:rsidR="009F1859" w:rsidRPr="00A648E3">
        <w:rPr>
          <w:rFonts w:hint="eastAsia"/>
        </w:rPr>
        <w:t>性騷擾申訴書」；經東華大學受理</w:t>
      </w:r>
      <w:proofErr w:type="gramStart"/>
      <w:r w:rsidR="009F1859" w:rsidRPr="00A648E3">
        <w:rPr>
          <w:rFonts w:hint="eastAsia"/>
        </w:rPr>
        <w:t>並錄案為</w:t>
      </w:r>
      <w:proofErr w:type="gramEnd"/>
      <w:r w:rsidR="009F1859" w:rsidRPr="00A648E3">
        <w:rPr>
          <w:rFonts w:hint="eastAsia"/>
        </w:rPr>
        <w:t>「性別事件第1140430號案」進行調查處理。</w:t>
      </w:r>
    </w:p>
    <w:p w14:paraId="647D4250" w14:textId="69EA7762" w:rsidR="0021065E" w:rsidRPr="00A648E3" w:rsidRDefault="00F0023C" w:rsidP="00F0023C">
      <w:pPr>
        <w:pStyle w:val="3"/>
        <w:widowControl/>
        <w:numPr>
          <w:ilvl w:val="2"/>
          <w:numId w:val="1"/>
        </w:numPr>
        <w:kinsoku/>
        <w:overflowPunct/>
        <w:autoSpaceDE/>
        <w:autoSpaceDN/>
      </w:pPr>
      <w:r w:rsidRPr="00A648E3">
        <w:rPr>
          <w:rFonts w:hint="eastAsia"/>
          <w:b/>
          <w:bCs w:val="0"/>
        </w:rPr>
        <w:t>東華大學就</w:t>
      </w:r>
      <w:r w:rsidR="0021065E" w:rsidRPr="00A648E3">
        <w:rPr>
          <w:rFonts w:hint="eastAsia"/>
          <w:b/>
          <w:bCs w:val="0"/>
        </w:rPr>
        <w:t>性別事件第1140430號案之</w:t>
      </w:r>
      <w:r w:rsidR="005B36EB">
        <w:rPr>
          <w:rFonts w:hint="eastAsia"/>
          <w:b/>
          <w:bCs w:val="0"/>
        </w:rPr>
        <w:t>調查結果</w:t>
      </w:r>
      <w:r w:rsidR="0021065E" w:rsidRPr="00A648E3">
        <w:rPr>
          <w:rFonts w:hint="eastAsia"/>
        </w:rPr>
        <w:t>(</w:t>
      </w:r>
      <w:r w:rsidR="0021065E" w:rsidRPr="00A648E3">
        <w:rPr>
          <w:rFonts w:hAnsi="標楷體" w:hint="eastAsia"/>
        </w:rPr>
        <w:t>1</w:t>
      </w:r>
      <w:r w:rsidR="0021065E" w:rsidRPr="00A648E3">
        <w:rPr>
          <w:rFonts w:hint="eastAsia"/>
        </w:rPr>
        <w:t>14年7月29日東華大學1140430號性別事件〈性工〉調查報告書在卷可</w:t>
      </w:r>
      <w:proofErr w:type="gramStart"/>
      <w:r w:rsidR="0021065E" w:rsidRPr="00A648E3">
        <w:rPr>
          <w:rFonts w:hint="eastAsia"/>
        </w:rPr>
        <w:t>稽</w:t>
      </w:r>
      <w:proofErr w:type="gramEnd"/>
      <w:r w:rsidR="0021065E" w:rsidRPr="00A648E3">
        <w:rPr>
          <w:rStyle w:val="afe"/>
        </w:rPr>
        <w:footnoteReference w:id="5"/>
      </w:r>
      <w:r w:rsidR="0021065E" w:rsidRPr="00A648E3">
        <w:rPr>
          <w:rFonts w:hint="eastAsia"/>
        </w:rPr>
        <w:t>)：</w:t>
      </w:r>
    </w:p>
    <w:p w14:paraId="64EB68D8" w14:textId="4FC276B5" w:rsidR="0021065E" w:rsidRPr="00A648E3" w:rsidRDefault="0021065E" w:rsidP="0021065E">
      <w:pPr>
        <w:pStyle w:val="4"/>
      </w:pPr>
      <w:r w:rsidRPr="00A648E3">
        <w:rPr>
          <w:rFonts w:hint="eastAsia"/>
        </w:rPr>
        <w:t>「</w:t>
      </w:r>
      <w:r w:rsidR="00F0023C" w:rsidRPr="00A648E3">
        <w:rPr>
          <w:rFonts w:hint="eastAsia"/>
        </w:rPr>
        <w:t>111年10月17日及111年11月18日(或19日)等2</w:t>
      </w:r>
      <w:r w:rsidR="00F0023C" w:rsidRPr="00A648E3">
        <w:rPr>
          <w:rFonts w:hint="eastAsia"/>
        </w:rPr>
        <w:lastRenderedPageBreak/>
        <w:t>日，</w:t>
      </w:r>
      <w:proofErr w:type="gramStart"/>
      <w:r w:rsidR="00F0023C" w:rsidRPr="00A648E3">
        <w:rPr>
          <w:rFonts w:hint="eastAsia"/>
        </w:rPr>
        <w:t>乙師對甲師</w:t>
      </w:r>
      <w:proofErr w:type="gramEnd"/>
      <w:r w:rsidR="00F0023C" w:rsidRPr="00A648E3">
        <w:rPr>
          <w:rFonts w:hint="eastAsia"/>
        </w:rPr>
        <w:t>施以性侵害重啟調查</w:t>
      </w:r>
      <w:r w:rsidRPr="00A648E3">
        <w:rPr>
          <w:rFonts w:hint="eastAsia"/>
        </w:rPr>
        <w:t>」</w:t>
      </w:r>
      <w:r w:rsidR="00F0023C" w:rsidRPr="00A648E3">
        <w:rPr>
          <w:rFonts w:hint="eastAsia"/>
        </w:rPr>
        <w:t>部分，</w:t>
      </w:r>
      <w:proofErr w:type="gramStart"/>
      <w:r w:rsidR="00F0023C" w:rsidRPr="00A648E3">
        <w:rPr>
          <w:rFonts w:hint="eastAsia"/>
        </w:rPr>
        <w:t>綜合甲師前後</w:t>
      </w:r>
      <w:proofErr w:type="gramEnd"/>
      <w:r w:rsidR="00F0023C" w:rsidRPr="00A648E3">
        <w:rPr>
          <w:rFonts w:hint="eastAsia"/>
        </w:rPr>
        <w:t>一致之陳述、</w:t>
      </w:r>
      <w:r w:rsidR="00290724">
        <w:rPr>
          <w:rFonts w:hint="eastAsia"/>
        </w:rPr>
        <w:t>Messenger</w:t>
      </w:r>
      <w:r w:rsidR="00F0023C" w:rsidRPr="00A648E3">
        <w:rPr>
          <w:rFonts w:hint="eastAsia"/>
        </w:rPr>
        <w:t>對話紀錄、</w:t>
      </w:r>
      <w:proofErr w:type="gramStart"/>
      <w:r w:rsidR="00F0023C" w:rsidRPr="00A648E3">
        <w:rPr>
          <w:rFonts w:hint="eastAsia"/>
        </w:rPr>
        <w:t>乙師所撰切</w:t>
      </w:r>
      <w:proofErr w:type="gramEnd"/>
      <w:r w:rsidR="00F0023C" w:rsidRPr="00A648E3">
        <w:rPr>
          <w:rFonts w:hint="eastAsia"/>
        </w:rPr>
        <w:t>結書內容，以及法院第一審判決所</w:t>
      </w:r>
      <w:proofErr w:type="gramStart"/>
      <w:r w:rsidR="00F0023C" w:rsidRPr="00A648E3">
        <w:rPr>
          <w:rFonts w:hint="eastAsia"/>
        </w:rPr>
        <w:t>採補強事證</w:t>
      </w:r>
      <w:proofErr w:type="gramEnd"/>
      <w:r w:rsidRPr="00A648E3">
        <w:rPr>
          <w:rFonts w:hint="eastAsia"/>
        </w:rPr>
        <w:t>等</w:t>
      </w:r>
      <w:r w:rsidR="00F0023C" w:rsidRPr="00A648E3">
        <w:rPr>
          <w:rFonts w:hint="eastAsia"/>
        </w:rPr>
        <w:t>，認</w:t>
      </w:r>
      <w:r w:rsidRPr="00A648E3">
        <w:rPr>
          <w:rFonts w:hint="eastAsia"/>
        </w:rPr>
        <w:t>定</w:t>
      </w:r>
      <w:proofErr w:type="gramStart"/>
      <w:r w:rsidRPr="00A648E3">
        <w:rPr>
          <w:rFonts w:hint="eastAsia"/>
        </w:rPr>
        <w:t>乙師性</w:t>
      </w:r>
      <w:proofErr w:type="gramEnd"/>
      <w:r w:rsidRPr="00A648E3">
        <w:rPr>
          <w:rFonts w:hint="eastAsia"/>
        </w:rPr>
        <w:t>侵害行為屬實。</w:t>
      </w:r>
    </w:p>
    <w:p w14:paraId="64BC0BFC" w14:textId="16B5DC9E" w:rsidR="00194FF5" w:rsidRPr="00A648E3" w:rsidRDefault="0021065E" w:rsidP="0021065E">
      <w:pPr>
        <w:pStyle w:val="4"/>
      </w:pPr>
      <w:proofErr w:type="gramStart"/>
      <w:r w:rsidRPr="00A648E3">
        <w:rPr>
          <w:rFonts w:hint="eastAsia"/>
        </w:rPr>
        <w:t>甲師指</w:t>
      </w:r>
      <w:proofErr w:type="gramEnd"/>
      <w:r w:rsidRPr="00A648E3">
        <w:rPr>
          <w:rFonts w:hint="eastAsia"/>
        </w:rPr>
        <w:t>訴「</w:t>
      </w:r>
      <w:proofErr w:type="gramStart"/>
      <w:r w:rsidRPr="00A648E3">
        <w:rPr>
          <w:rFonts w:hAnsi="標楷體" w:hint="eastAsia"/>
        </w:rPr>
        <w:t>乙師於</w:t>
      </w:r>
      <w:proofErr w:type="gramEnd"/>
      <w:r w:rsidRPr="00A648E3">
        <w:rPr>
          <w:rFonts w:hAnsi="標楷體" w:hint="eastAsia"/>
        </w:rPr>
        <w:t>該段期間某日晚上假藉討論共同撰寫論文事宜</w:t>
      </w:r>
      <w:proofErr w:type="gramStart"/>
      <w:r w:rsidRPr="00A648E3">
        <w:rPr>
          <w:rFonts w:hAnsi="標楷體" w:hint="eastAsia"/>
        </w:rPr>
        <w:t>進入甲師宿舍</w:t>
      </w:r>
      <w:proofErr w:type="gramEnd"/>
      <w:r w:rsidRPr="00A648E3">
        <w:rPr>
          <w:rFonts w:hAnsi="標楷體" w:hint="eastAsia"/>
        </w:rPr>
        <w:t>。入內討論沒</w:t>
      </w:r>
      <w:proofErr w:type="gramStart"/>
      <w:r w:rsidRPr="00A648E3">
        <w:rPr>
          <w:rFonts w:hAnsi="標楷體" w:hint="eastAsia"/>
        </w:rPr>
        <w:t>多久，乙師</w:t>
      </w:r>
      <w:proofErr w:type="gramEnd"/>
      <w:r w:rsidRPr="00A648E3">
        <w:rPr>
          <w:rFonts w:hAnsi="標楷體" w:hint="eastAsia"/>
        </w:rPr>
        <w:t>突然表示想</w:t>
      </w:r>
      <w:proofErr w:type="gramStart"/>
      <w:r w:rsidRPr="00A648E3">
        <w:rPr>
          <w:rFonts w:hAnsi="標楷體" w:hint="eastAsia"/>
        </w:rPr>
        <w:t>抱甲師</w:t>
      </w:r>
      <w:proofErr w:type="gramEnd"/>
      <w:r w:rsidRPr="00A648E3">
        <w:rPr>
          <w:rFonts w:hAnsi="標楷體" w:hint="eastAsia"/>
        </w:rPr>
        <w:t>，</w:t>
      </w:r>
      <w:proofErr w:type="gramStart"/>
      <w:r w:rsidRPr="00A648E3">
        <w:rPr>
          <w:rFonts w:hAnsi="標楷體" w:hint="eastAsia"/>
        </w:rPr>
        <w:t>愛上甲師</w:t>
      </w:r>
      <w:proofErr w:type="gramEnd"/>
      <w:r w:rsidRPr="00A648E3">
        <w:rPr>
          <w:rFonts w:hAnsi="標楷體" w:hint="eastAsia"/>
        </w:rPr>
        <w:t>，接下來自顧自暴自己與太太性生活不協調，</w:t>
      </w:r>
      <w:proofErr w:type="gramStart"/>
      <w:r w:rsidRPr="00A648E3">
        <w:rPr>
          <w:rFonts w:hAnsi="標楷體" w:hint="eastAsia"/>
        </w:rPr>
        <w:t>甲</w:t>
      </w:r>
      <w:r w:rsidRPr="00A648E3">
        <w:rPr>
          <w:rFonts w:hint="eastAsia"/>
        </w:rPr>
        <w:t>師當下</w:t>
      </w:r>
      <w:proofErr w:type="gramEnd"/>
      <w:r w:rsidRPr="00A648E3">
        <w:rPr>
          <w:rFonts w:hint="eastAsia"/>
        </w:rPr>
        <w:t>感到噁心」、「</w:t>
      </w:r>
      <w:proofErr w:type="gramStart"/>
      <w:r w:rsidRPr="00A648E3">
        <w:rPr>
          <w:rFonts w:hint="eastAsia"/>
        </w:rPr>
        <w:t>乙師在週</w:t>
      </w:r>
      <w:proofErr w:type="gramEnd"/>
      <w:r w:rsidRPr="00A648E3">
        <w:rPr>
          <w:rFonts w:hint="eastAsia"/>
        </w:rPr>
        <w:t>間某日，同樣藉口討論論文，</w:t>
      </w:r>
      <w:proofErr w:type="gramStart"/>
      <w:r w:rsidRPr="00A648E3">
        <w:rPr>
          <w:rFonts w:hint="eastAsia"/>
        </w:rPr>
        <w:t>進入甲師研究室</w:t>
      </w:r>
      <w:proofErr w:type="gramEnd"/>
      <w:r w:rsidRPr="00A648E3">
        <w:rPr>
          <w:rFonts w:hint="eastAsia"/>
        </w:rPr>
        <w:t>，假借按摩突然環抱</w:t>
      </w:r>
      <w:proofErr w:type="gramStart"/>
      <w:r w:rsidRPr="00A648E3">
        <w:rPr>
          <w:rFonts w:hint="eastAsia"/>
        </w:rPr>
        <w:t>甲師，甲師</w:t>
      </w:r>
      <w:proofErr w:type="gramEnd"/>
      <w:r w:rsidRPr="00A648E3">
        <w:rPr>
          <w:rFonts w:hint="eastAsia"/>
        </w:rPr>
        <w:t>猝不及防，第一時間其實是驚嚇厭惡的」、「</w:t>
      </w:r>
      <w:proofErr w:type="gramStart"/>
      <w:r w:rsidRPr="00A648E3">
        <w:rPr>
          <w:rFonts w:hint="eastAsia"/>
        </w:rPr>
        <w:t>乙師曾</w:t>
      </w:r>
      <w:proofErr w:type="gramEnd"/>
      <w:r w:rsidRPr="00A648E3">
        <w:rPr>
          <w:rFonts w:hint="eastAsia"/>
        </w:rPr>
        <w:t>在課堂上公然</w:t>
      </w:r>
      <w:proofErr w:type="gramStart"/>
      <w:r w:rsidRPr="00A648E3">
        <w:rPr>
          <w:rFonts w:hint="eastAsia"/>
        </w:rPr>
        <w:t>找甲師</w:t>
      </w:r>
      <w:proofErr w:type="gramEnd"/>
      <w:r w:rsidRPr="00A648E3">
        <w:rPr>
          <w:rFonts w:hint="eastAsia"/>
        </w:rPr>
        <w:t>喝酒，當時有學生親耳聽聞而當下覺得很不恰當」等</w:t>
      </w:r>
      <w:proofErr w:type="gramStart"/>
      <w:r w:rsidRPr="00A648E3">
        <w:rPr>
          <w:rFonts w:hint="eastAsia"/>
        </w:rPr>
        <w:t>3件乙師涉及</w:t>
      </w:r>
      <w:proofErr w:type="gramEnd"/>
      <w:r w:rsidRPr="00A648E3">
        <w:rPr>
          <w:rFonts w:hint="eastAsia"/>
        </w:rPr>
        <w:t>性騷擾情事，認定「部分成立性騷擾、部分不成立性騷擾」。</w:t>
      </w:r>
    </w:p>
    <w:p w14:paraId="2B8821B8" w14:textId="5B5FC560" w:rsidR="00B52BC1" w:rsidRPr="00A648E3" w:rsidRDefault="003F28D9" w:rsidP="0021065E">
      <w:pPr>
        <w:pStyle w:val="4"/>
      </w:pPr>
      <w:r w:rsidRPr="00A648E3">
        <w:rPr>
          <w:rFonts w:hAnsi="標楷體" w:hint="eastAsia"/>
          <w:bCs/>
        </w:rPr>
        <w:t>此件調查報告</w:t>
      </w:r>
      <w:r w:rsidR="005B36EB">
        <w:rPr>
          <w:rFonts w:hAnsi="標楷體" w:hint="eastAsia"/>
          <w:bCs/>
        </w:rPr>
        <w:t>並</w:t>
      </w:r>
      <w:r w:rsidRPr="00A648E3">
        <w:rPr>
          <w:rFonts w:hAnsi="標楷體" w:hint="eastAsia"/>
          <w:bCs/>
        </w:rPr>
        <w:t>建議：</w:t>
      </w:r>
      <w:proofErr w:type="gramStart"/>
      <w:r w:rsidRPr="00A648E3">
        <w:rPr>
          <w:rFonts w:hAnsi="標楷體" w:hint="eastAsia"/>
          <w:bCs/>
        </w:rPr>
        <w:t>乙師已違反性工法</w:t>
      </w:r>
      <w:proofErr w:type="gramEnd"/>
      <w:r w:rsidRPr="00A648E3">
        <w:rPr>
          <w:rFonts w:hAnsi="標楷體" w:hint="eastAsia"/>
          <w:bCs/>
        </w:rPr>
        <w:t>有關職場性騷擾之規範，移請人事室依教師法第14條或第15條規定辦理後續懲處事宜。</w:t>
      </w:r>
      <w:proofErr w:type="gramStart"/>
      <w:r w:rsidRPr="00A648E3">
        <w:rPr>
          <w:rFonts w:hAnsi="標楷體" w:hint="eastAsia"/>
          <w:bCs/>
        </w:rPr>
        <w:t>嗣</w:t>
      </w:r>
      <w:proofErr w:type="gramEnd"/>
      <w:r w:rsidRPr="00A648E3">
        <w:rPr>
          <w:rFonts w:hAnsi="標楷體" w:hint="eastAsia"/>
          <w:bCs/>
        </w:rPr>
        <w:t>114年8月5日東華大學報請教育部同意解聘</w:t>
      </w:r>
      <w:proofErr w:type="gramStart"/>
      <w:r w:rsidRPr="00A648E3">
        <w:rPr>
          <w:rFonts w:hAnsi="標楷體" w:hint="eastAsia"/>
          <w:bCs/>
        </w:rPr>
        <w:t>乙師</w:t>
      </w:r>
      <w:r w:rsidRPr="00A648E3">
        <w:rPr>
          <w:rFonts w:hAnsi="標楷體"/>
          <w:bCs/>
        </w:rPr>
        <w:t>且</w:t>
      </w:r>
      <w:proofErr w:type="gramEnd"/>
      <w:r w:rsidRPr="00A648E3">
        <w:rPr>
          <w:rFonts w:hAnsi="標楷體"/>
          <w:bCs/>
        </w:rPr>
        <w:t>終身不得聘任為教師</w:t>
      </w:r>
      <w:r w:rsidRPr="00A648E3">
        <w:rPr>
          <w:rFonts w:hAnsi="標楷體" w:hint="eastAsia"/>
          <w:bCs/>
        </w:rPr>
        <w:t>，並經教育部</w:t>
      </w:r>
      <w:r w:rsidRPr="00A648E3">
        <w:rPr>
          <w:rFonts w:hAnsi="標楷體"/>
          <w:bCs/>
        </w:rPr>
        <w:t>114年9月18日函復同意在案</w:t>
      </w:r>
      <w:r w:rsidRPr="00A648E3">
        <w:rPr>
          <w:rFonts w:hAnsi="標楷體" w:hint="eastAsia"/>
          <w:bCs/>
        </w:rPr>
        <w:t>；另依據東華大學114年10月14日電子郵件查復，東華大學於</w:t>
      </w:r>
      <w:r w:rsidRPr="00A648E3">
        <w:rPr>
          <w:rFonts w:hAnsi="標楷體"/>
          <w:bCs/>
        </w:rPr>
        <w:t>114</w:t>
      </w:r>
      <w:r w:rsidRPr="00A648E3">
        <w:rPr>
          <w:rFonts w:hAnsi="標楷體" w:hint="eastAsia"/>
          <w:bCs/>
        </w:rPr>
        <w:t>年</w:t>
      </w:r>
      <w:r w:rsidRPr="00A648E3">
        <w:rPr>
          <w:rFonts w:hAnsi="標楷體"/>
          <w:bCs/>
        </w:rPr>
        <w:t>9</w:t>
      </w:r>
      <w:r w:rsidRPr="00A648E3">
        <w:rPr>
          <w:rFonts w:hAnsi="標楷體" w:hint="eastAsia"/>
          <w:bCs/>
        </w:rPr>
        <w:t>月</w:t>
      </w:r>
      <w:r w:rsidRPr="00A648E3">
        <w:rPr>
          <w:rFonts w:hAnsi="標楷體"/>
          <w:bCs/>
        </w:rPr>
        <w:t>30</w:t>
      </w:r>
      <w:r w:rsidRPr="00A648E3">
        <w:rPr>
          <w:rFonts w:hAnsi="標楷體" w:hint="eastAsia"/>
          <w:bCs/>
        </w:rPr>
        <w:t>日將前述處分送達</w:t>
      </w:r>
      <w:proofErr w:type="gramStart"/>
      <w:r w:rsidRPr="00A648E3">
        <w:rPr>
          <w:rFonts w:hAnsi="標楷體" w:hint="eastAsia"/>
          <w:bCs/>
        </w:rPr>
        <w:t>乙師，爰</w:t>
      </w:r>
      <w:proofErr w:type="gramEnd"/>
      <w:r w:rsidRPr="00A648E3">
        <w:rPr>
          <w:rFonts w:hAnsi="標楷體" w:hint="eastAsia"/>
          <w:bCs/>
        </w:rPr>
        <w:t>乙師之解聘案自</w:t>
      </w:r>
      <w:r w:rsidRPr="00A648E3">
        <w:rPr>
          <w:rFonts w:hAnsi="標楷體"/>
          <w:bCs/>
        </w:rPr>
        <w:t>114</w:t>
      </w:r>
      <w:r w:rsidRPr="00A648E3">
        <w:rPr>
          <w:rFonts w:hAnsi="標楷體" w:hint="eastAsia"/>
          <w:bCs/>
        </w:rPr>
        <w:t>年</w:t>
      </w:r>
      <w:r w:rsidRPr="00A648E3">
        <w:rPr>
          <w:rFonts w:hAnsi="標楷體"/>
          <w:bCs/>
        </w:rPr>
        <w:t>10</w:t>
      </w:r>
      <w:r w:rsidRPr="00A648E3">
        <w:rPr>
          <w:rFonts w:hAnsi="標楷體" w:hint="eastAsia"/>
          <w:bCs/>
        </w:rPr>
        <w:t>月</w:t>
      </w:r>
      <w:r w:rsidRPr="00A648E3">
        <w:rPr>
          <w:rFonts w:hAnsi="標楷體"/>
          <w:bCs/>
        </w:rPr>
        <w:t>1</w:t>
      </w:r>
      <w:r w:rsidRPr="00A648E3">
        <w:rPr>
          <w:rFonts w:hAnsi="標楷體" w:hint="eastAsia"/>
          <w:bCs/>
        </w:rPr>
        <w:t>日生效，且截至114年10月9日該校尚未</w:t>
      </w:r>
      <w:proofErr w:type="gramStart"/>
      <w:r w:rsidRPr="00A648E3">
        <w:rPr>
          <w:rFonts w:hAnsi="標楷體" w:hint="eastAsia"/>
          <w:bCs/>
        </w:rPr>
        <w:t>收到乙師提起</w:t>
      </w:r>
      <w:proofErr w:type="gramEnd"/>
      <w:r w:rsidRPr="00A648E3">
        <w:rPr>
          <w:rFonts w:hAnsi="標楷體" w:hint="eastAsia"/>
          <w:bCs/>
        </w:rPr>
        <w:t>救濟之相關資料。</w:t>
      </w:r>
    </w:p>
    <w:p w14:paraId="207B5417" w14:textId="73E10411" w:rsidR="00973C03" w:rsidRPr="00A648E3" w:rsidRDefault="00973C03" w:rsidP="00D313A8">
      <w:pPr>
        <w:pStyle w:val="3"/>
        <w:widowControl/>
        <w:numPr>
          <w:ilvl w:val="2"/>
          <w:numId w:val="1"/>
        </w:numPr>
        <w:kinsoku/>
        <w:overflowPunct/>
        <w:autoSpaceDE/>
        <w:autoSpaceDN/>
        <w:rPr>
          <w:rFonts w:hAnsi="Times New Roman"/>
          <w:bCs w:val="0"/>
          <w:szCs w:val="20"/>
        </w:rPr>
      </w:pPr>
      <w:r w:rsidRPr="00A648E3">
        <w:rPr>
          <w:rFonts w:hAnsi="Times New Roman" w:hint="eastAsia"/>
          <w:bCs w:val="0"/>
          <w:szCs w:val="20"/>
        </w:rPr>
        <w:t>東華大學性別事件第1120808、1140430號兩案，就「</w:t>
      </w:r>
      <w:r w:rsidRPr="00A648E3">
        <w:rPr>
          <w:rFonts w:hint="eastAsia"/>
        </w:rPr>
        <w:t>111年10月1</w:t>
      </w:r>
      <w:r w:rsidRPr="00A648E3">
        <w:rPr>
          <w:rFonts w:hAnsi="Times New Roman" w:hint="eastAsia"/>
          <w:bCs w:val="0"/>
          <w:szCs w:val="20"/>
        </w:rPr>
        <w:t>7日及111年11月18日(或19日)等2日</w:t>
      </w:r>
      <w:proofErr w:type="gramStart"/>
      <w:r w:rsidRPr="00A648E3">
        <w:rPr>
          <w:rFonts w:hAnsi="Times New Roman" w:hint="eastAsia"/>
          <w:bCs w:val="0"/>
          <w:szCs w:val="20"/>
        </w:rPr>
        <w:t>之乙師行為</w:t>
      </w:r>
      <w:proofErr w:type="gramEnd"/>
      <w:r w:rsidRPr="00A648E3">
        <w:rPr>
          <w:rFonts w:hAnsi="Times New Roman" w:hint="eastAsia"/>
          <w:bCs w:val="0"/>
          <w:szCs w:val="20"/>
        </w:rPr>
        <w:t>是否構成性侵害」一節，認定截然不同，</w:t>
      </w:r>
      <w:proofErr w:type="gramStart"/>
      <w:r w:rsidRPr="00A648E3">
        <w:rPr>
          <w:rFonts w:hAnsi="Times New Roman" w:hint="eastAsia"/>
          <w:bCs w:val="0"/>
          <w:szCs w:val="20"/>
        </w:rPr>
        <w:t>然重啟</w:t>
      </w:r>
      <w:proofErr w:type="gramEnd"/>
      <w:r w:rsidRPr="00A648E3">
        <w:rPr>
          <w:rFonts w:hAnsi="Times New Roman" w:hint="eastAsia"/>
          <w:bCs w:val="0"/>
          <w:szCs w:val="20"/>
        </w:rPr>
        <w:t>調查之關鍵，實</w:t>
      </w:r>
      <w:proofErr w:type="gramStart"/>
      <w:r w:rsidRPr="00A648E3">
        <w:rPr>
          <w:rFonts w:hAnsi="Times New Roman" w:hint="eastAsia"/>
          <w:bCs w:val="0"/>
          <w:szCs w:val="20"/>
        </w:rPr>
        <w:t>為甲師主動</w:t>
      </w:r>
      <w:proofErr w:type="gramEnd"/>
      <w:r w:rsidRPr="00A648E3">
        <w:rPr>
          <w:rFonts w:hAnsi="Times New Roman" w:hint="eastAsia"/>
          <w:bCs w:val="0"/>
          <w:szCs w:val="20"/>
        </w:rPr>
        <w:t>於114年間再次提起申訴。本案</w:t>
      </w:r>
      <w:proofErr w:type="gramStart"/>
      <w:r w:rsidRPr="00A648E3">
        <w:rPr>
          <w:rFonts w:hAnsi="Times New Roman" w:hint="eastAsia"/>
          <w:bCs w:val="0"/>
          <w:szCs w:val="20"/>
        </w:rPr>
        <w:t>詢</w:t>
      </w:r>
      <w:proofErr w:type="gramEnd"/>
      <w:r w:rsidRPr="00A648E3">
        <w:rPr>
          <w:rFonts w:hAnsi="Times New Roman" w:hint="eastAsia"/>
          <w:bCs w:val="0"/>
          <w:szCs w:val="20"/>
        </w:rPr>
        <w:t>據東華大學表示，目前</w:t>
      </w:r>
      <w:r w:rsidRPr="00A648E3">
        <w:rPr>
          <w:rFonts w:hAnsi="Times New Roman" w:hint="eastAsia"/>
          <w:bCs w:val="0"/>
          <w:szCs w:val="20"/>
        </w:rPr>
        <w:lastRenderedPageBreak/>
        <w:t>行政機關跟司法機關之間</w:t>
      </w:r>
      <w:r w:rsidR="00004F5C" w:rsidRPr="00A648E3">
        <w:rPr>
          <w:rFonts w:hAnsi="Times New Roman" w:hint="eastAsia"/>
          <w:bCs w:val="0"/>
          <w:szCs w:val="20"/>
        </w:rPr>
        <w:t>就此類案件</w:t>
      </w:r>
      <w:r w:rsidRPr="00A648E3">
        <w:rPr>
          <w:rFonts w:hAnsi="Times New Roman" w:hint="eastAsia"/>
          <w:bCs w:val="0"/>
          <w:szCs w:val="20"/>
        </w:rPr>
        <w:t>並無橫向通報的機制，如果甲師未於114年4月再提起申訴，該校應該不會追蹤司法偵查裁判進度，進而主動重新調查(本院詢問筆錄及現場錄音檔案在卷可</w:t>
      </w:r>
      <w:proofErr w:type="gramStart"/>
      <w:r w:rsidRPr="00A648E3">
        <w:rPr>
          <w:rFonts w:hAnsi="Times New Roman" w:hint="eastAsia"/>
          <w:bCs w:val="0"/>
          <w:szCs w:val="20"/>
        </w:rPr>
        <w:t>稽</w:t>
      </w:r>
      <w:proofErr w:type="gramEnd"/>
      <w:r w:rsidRPr="00A648E3">
        <w:rPr>
          <w:rFonts w:hAnsi="Times New Roman" w:hint="eastAsia"/>
          <w:bCs w:val="0"/>
          <w:szCs w:val="20"/>
        </w:rPr>
        <w:t>)。</w:t>
      </w:r>
    </w:p>
    <w:p w14:paraId="3AF731C2" w14:textId="6BC57829" w:rsidR="00EF1A53" w:rsidRPr="00A648E3" w:rsidRDefault="00EF1A53" w:rsidP="00D313A8">
      <w:pPr>
        <w:pStyle w:val="3"/>
        <w:widowControl/>
        <w:numPr>
          <w:ilvl w:val="2"/>
          <w:numId w:val="1"/>
        </w:numPr>
        <w:kinsoku/>
        <w:overflowPunct/>
        <w:autoSpaceDE/>
        <w:autoSpaceDN/>
        <w:rPr>
          <w:rFonts w:hAnsi="Times New Roman"/>
          <w:bCs w:val="0"/>
          <w:szCs w:val="20"/>
        </w:rPr>
      </w:pPr>
      <w:proofErr w:type="gramStart"/>
      <w:r w:rsidRPr="00A648E3">
        <w:rPr>
          <w:rFonts w:hAnsi="Times New Roman" w:hint="eastAsia"/>
          <w:bCs w:val="0"/>
          <w:szCs w:val="20"/>
        </w:rPr>
        <w:t>此外，乙師</w:t>
      </w:r>
      <w:proofErr w:type="gramEnd"/>
      <w:r w:rsidRPr="00A648E3">
        <w:rPr>
          <w:rFonts w:hAnsi="Times New Roman" w:hint="eastAsia"/>
          <w:bCs w:val="0"/>
          <w:szCs w:val="20"/>
        </w:rPr>
        <w:t>行為在東華大學性別事件第1120808號案中之認定，雖未成立性侵害，仍屬違反教師專業倫理，該次調查報告</w:t>
      </w:r>
      <w:proofErr w:type="gramStart"/>
      <w:r w:rsidRPr="00A648E3">
        <w:rPr>
          <w:rFonts w:hAnsi="Times New Roman" w:hint="eastAsia"/>
          <w:bCs w:val="0"/>
          <w:szCs w:val="20"/>
        </w:rPr>
        <w:t>建議乙師應</w:t>
      </w:r>
      <w:proofErr w:type="gramEnd"/>
      <w:r w:rsidRPr="00A648E3">
        <w:rPr>
          <w:rFonts w:hAnsi="Times New Roman" w:hint="eastAsia"/>
          <w:bCs w:val="0"/>
          <w:szCs w:val="20"/>
        </w:rPr>
        <w:t>接受16小時性別教育課程</w:t>
      </w:r>
      <w:r w:rsidR="00D42963" w:rsidRPr="00A648E3">
        <w:rPr>
          <w:rFonts w:hint="eastAsia"/>
        </w:rPr>
        <w:t>以提升其性別意識</w:t>
      </w:r>
      <w:r w:rsidRPr="00A648E3">
        <w:rPr>
          <w:rFonts w:hAnsi="Times New Roman" w:hint="eastAsia"/>
          <w:bCs w:val="0"/>
          <w:szCs w:val="20"/>
        </w:rPr>
        <w:t>。對此，</w:t>
      </w:r>
      <w:proofErr w:type="gramStart"/>
      <w:r w:rsidRPr="00A648E3">
        <w:rPr>
          <w:rFonts w:hAnsi="Times New Roman" w:hint="eastAsia"/>
          <w:bCs w:val="0"/>
          <w:szCs w:val="20"/>
        </w:rPr>
        <w:t>查據東</w:t>
      </w:r>
      <w:proofErr w:type="gramEnd"/>
      <w:r w:rsidRPr="00A648E3">
        <w:rPr>
          <w:rFonts w:hAnsi="Times New Roman" w:hint="eastAsia"/>
          <w:bCs w:val="0"/>
          <w:szCs w:val="20"/>
        </w:rPr>
        <w:t>華大學114年10月14日回復表示</w:t>
      </w:r>
      <w:r w:rsidR="005B36EB">
        <w:rPr>
          <w:rFonts w:hAnsi="Times New Roman" w:hint="eastAsia"/>
          <w:bCs w:val="0"/>
          <w:szCs w:val="20"/>
        </w:rPr>
        <w:t>：</w:t>
      </w:r>
      <w:r w:rsidRPr="00A648E3">
        <w:rPr>
          <w:rFonts w:hAnsi="Times New Roman" w:hint="eastAsia"/>
          <w:bCs w:val="0"/>
          <w:szCs w:val="20"/>
        </w:rPr>
        <w:t>「</w:t>
      </w:r>
      <w:r w:rsidR="00D42963" w:rsidRPr="00A648E3">
        <w:rPr>
          <w:rFonts w:hAnsi="Times New Roman" w:hint="eastAsia"/>
          <w:bCs w:val="0"/>
          <w:szCs w:val="20"/>
        </w:rPr>
        <w:t>『</w:t>
      </w:r>
      <w:r w:rsidR="00D42963" w:rsidRPr="00A648E3">
        <w:rPr>
          <w:rFonts w:hint="eastAsia"/>
        </w:rPr>
        <w:t>性別教育課程</w:t>
      </w:r>
      <w:r w:rsidR="00D42963" w:rsidRPr="00A648E3">
        <w:t>16</w:t>
      </w:r>
      <w:r w:rsidR="00D42963" w:rsidRPr="00A648E3">
        <w:rPr>
          <w:rFonts w:hint="eastAsia"/>
        </w:rPr>
        <w:t>小時處分</w:t>
      </w:r>
      <w:r w:rsidR="00D42963" w:rsidRPr="00A648E3">
        <w:rPr>
          <w:rFonts w:hAnsi="Times New Roman" w:hint="eastAsia"/>
          <w:bCs w:val="0"/>
          <w:szCs w:val="20"/>
        </w:rPr>
        <w:t>』</w:t>
      </w:r>
      <w:r w:rsidR="00D42963" w:rsidRPr="00A648E3">
        <w:rPr>
          <w:rFonts w:hint="eastAsia"/>
        </w:rPr>
        <w:t>」僅係建議，</w:t>
      </w:r>
      <w:proofErr w:type="gramStart"/>
      <w:r w:rsidR="00D42963" w:rsidRPr="00A648E3">
        <w:rPr>
          <w:rFonts w:hint="eastAsia"/>
        </w:rPr>
        <w:t>查乙師</w:t>
      </w:r>
      <w:proofErr w:type="gramEnd"/>
      <w:r w:rsidR="00D42963" w:rsidRPr="00A648E3">
        <w:rPr>
          <w:rFonts w:hint="eastAsia"/>
        </w:rPr>
        <w:t>終身學習後台資料，並無完成相關課程之紀錄</w:t>
      </w:r>
      <w:r w:rsidRPr="00A648E3">
        <w:rPr>
          <w:rFonts w:hAnsi="Times New Roman" w:hint="eastAsia"/>
          <w:bCs w:val="0"/>
          <w:szCs w:val="20"/>
        </w:rPr>
        <w:t>」。</w:t>
      </w:r>
      <w:r w:rsidR="00D42963" w:rsidRPr="00A648E3">
        <w:rPr>
          <w:rFonts w:hAnsi="Times New Roman" w:hint="eastAsia"/>
          <w:bCs w:val="0"/>
          <w:szCs w:val="20"/>
        </w:rPr>
        <w:t>益</w:t>
      </w:r>
      <w:proofErr w:type="gramStart"/>
      <w:r w:rsidR="00D42963" w:rsidRPr="00A648E3">
        <w:rPr>
          <w:rFonts w:hAnsi="Times New Roman" w:hint="eastAsia"/>
          <w:bCs w:val="0"/>
          <w:szCs w:val="20"/>
        </w:rPr>
        <w:t>徵</w:t>
      </w:r>
      <w:proofErr w:type="gramEnd"/>
      <w:r w:rsidR="00D42963" w:rsidRPr="00A648E3">
        <w:rPr>
          <w:rFonts w:hAnsi="Times New Roman" w:hint="eastAsia"/>
          <w:bCs w:val="0"/>
          <w:szCs w:val="20"/>
        </w:rPr>
        <w:t>，東華大學對於本件性別事件之後續發展及處置的追蹤，猶有精進空間。</w:t>
      </w:r>
    </w:p>
    <w:p w14:paraId="4CB9971F" w14:textId="2F845531" w:rsidR="00573BA3" w:rsidRPr="00A648E3" w:rsidRDefault="00D42963" w:rsidP="00D313A8">
      <w:pPr>
        <w:pStyle w:val="3"/>
        <w:widowControl/>
        <w:numPr>
          <w:ilvl w:val="2"/>
          <w:numId w:val="1"/>
        </w:numPr>
        <w:kinsoku/>
        <w:overflowPunct/>
        <w:autoSpaceDE/>
        <w:autoSpaceDN/>
        <w:rPr>
          <w:rFonts w:hAnsi="Times New Roman"/>
          <w:bCs w:val="0"/>
          <w:szCs w:val="20"/>
        </w:rPr>
      </w:pPr>
      <w:r w:rsidRPr="00A648E3">
        <w:rPr>
          <w:rFonts w:hAnsi="Times New Roman" w:hint="eastAsia"/>
          <w:bCs w:val="0"/>
          <w:szCs w:val="20"/>
        </w:rPr>
        <w:t>又</w:t>
      </w:r>
      <w:r w:rsidR="00973C03" w:rsidRPr="00A648E3">
        <w:rPr>
          <w:rFonts w:hAnsi="Times New Roman" w:hint="eastAsia"/>
          <w:bCs w:val="0"/>
          <w:szCs w:val="20"/>
        </w:rPr>
        <w:t>本院審酌認為：</w:t>
      </w:r>
      <w:r w:rsidR="00973C03" w:rsidRPr="00A648E3">
        <w:rPr>
          <w:rFonts w:hint="eastAsia"/>
          <w:bCs w:val="0"/>
        </w:rPr>
        <w:t>東</w:t>
      </w:r>
      <w:r w:rsidR="00973C03" w:rsidRPr="00A648E3">
        <w:rPr>
          <w:rFonts w:hAnsi="標楷體" w:hint="eastAsia"/>
          <w:bCs w:val="0"/>
        </w:rPr>
        <w:t>華</w:t>
      </w:r>
      <w:r w:rsidR="00973C03" w:rsidRPr="00A648E3">
        <w:rPr>
          <w:rFonts w:hAnsi="標楷體" w:hint="eastAsia"/>
        </w:rPr>
        <w:t>大學性別事件第1140430號案目前雖然非屬終局確定，惟對於</w:t>
      </w:r>
      <w:proofErr w:type="gramStart"/>
      <w:r w:rsidR="00973C03" w:rsidRPr="00A648E3">
        <w:rPr>
          <w:rFonts w:hAnsi="標楷體" w:hint="eastAsia"/>
        </w:rPr>
        <w:t>甲師、乙師</w:t>
      </w:r>
      <w:proofErr w:type="gramEnd"/>
      <w:r w:rsidR="00973C03" w:rsidRPr="00A648E3">
        <w:rPr>
          <w:rFonts w:hAnsi="標楷體" w:hint="eastAsia"/>
        </w:rPr>
        <w:t>雙方互動</w:t>
      </w:r>
      <w:r w:rsidR="00973C03" w:rsidRPr="00A648E3">
        <w:rPr>
          <w:rFonts w:hAnsi="Times New Roman" w:hint="eastAsia"/>
          <w:bCs w:val="0"/>
          <w:szCs w:val="20"/>
        </w:rPr>
        <w:t>實際情形、行為評價以及工作權益之衝擊，均可謂重大</w:t>
      </w:r>
      <w:r w:rsidR="00A645E2" w:rsidRPr="00A648E3">
        <w:rPr>
          <w:rFonts w:hAnsi="Times New Roman" w:hint="eastAsia"/>
          <w:bCs w:val="0"/>
          <w:szCs w:val="20"/>
        </w:rPr>
        <w:t>；借鏡本案，</w:t>
      </w:r>
      <w:r w:rsidR="00973C03" w:rsidRPr="00A648E3">
        <w:rPr>
          <w:rFonts w:hAnsi="Times New Roman" w:hint="eastAsia"/>
          <w:bCs w:val="0"/>
          <w:szCs w:val="20"/>
        </w:rPr>
        <w:t>基於積極保障當事人權益，並彌補</w:t>
      </w:r>
      <w:r w:rsidR="00885026" w:rsidRPr="00A648E3">
        <w:rPr>
          <w:rFonts w:hAnsi="Times New Roman" w:hint="eastAsia"/>
          <w:bCs w:val="0"/>
          <w:szCs w:val="20"/>
        </w:rPr>
        <w:t>前述教育部所指出之「</w:t>
      </w:r>
      <w:r w:rsidR="00973C03" w:rsidRPr="00A648E3">
        <w:rPr>
          <w:rFonts w:hAnsi="Times New Roman" w:hint="eastAsia"/>
          <w:bCs w:val="0"/>
          <w:szCs w:val="20"/>
        </w:rPr>
        <w:t>行政調查侷限性</w:t>
      </w:r>
      <w:r w:rsidR="00885026" w:rsidRPr="00A648E3">
        <w:rPr>
          <w:rFonts w:hAnsi="Times New Roman" w:hint="eastAsia"/>
          <w:bCs w:val="0"/>
          <w:szCs w:val="20"/>
        </w:rPr>
        <w:t>」</w:t>
      </w:r>
      <w:r w:rsidR="00973C03" w:rsidRPr="00A648E3">
        <w:rPr>
          <w:rFonts w:hAnsi="Times New Roman" w:hint="eastAsia"/>
          <w:bCs w:val="0"/>
          <w:szCs w:val="20"/>
        </w:rPr>
        <w:t>，</w:t>
      </w:r>
      <w:r w:rsidR="000D2653" w:rsidRPr="00A648E3">
        <w:rPr>
          <w:rFonts w:hAnsi="Times New Roman" w:hint="eastAsia"/>
          <w:bCs w:val="0"/>
          <w:szCs w:val="20"/>
        </w:rPr>
        <w:t>況且教育部在本案中分析，行政調查與司法偵查結果不一致之情形難以完全避免，則</w:t>
      </w:r>
      <w:r w:rsidR="00973C03" w:rsidRPr="00A648E3">
        <w:rPr>
          <w:rFonts w:hAnsi="Times New Roman" w:hint="eastAsia"/>
          <w:bCs w:val="0"/>
          <w:szCs w:val="20"/>
        </w:rPr>
        <w:t>未來須否就行政調查與司法偵查結果不一致的情形建立有關</w:t>
      </w:r>
      <w:r w:rsidR="00003CD6" w:rsidRPr="00A648E3">
        <w:rPr>
          <w:rFonts w:hAnsi="Times New Roman" w:hint="eastAsia"/>
          <w:bCs w:val="0"/>
          <w:szCs w:val="20"/>
        </w:rPr>
        <w:t>聯繫</w:t>
      </w:r>
      <w:r w:rsidR="00973C03" w:rsidRPr="00A648E3">
        <w:rPr>
          <w:rFonts w:hAnsi="Times New Roman" w:hint="eastAsia"/>
          <w:bCs w:val="0"/>
          <w:szCs w:val="20"/>
        </w:rPr>
        <w:t>處理機制，容應由行政院</w:t>
      </w:r>
      <w:r w:rsidR="000D2653" w:rsidRPr="00A648E3">
        <w:rPr>
          <w:rFonts w:hAnsi="Times New Roman" w:hint="eastAsia"/>
          <w:bCs w:val="0"/>
          <w:szCs w:val="20"/>
        </w:rPr>
        <w:t>會同</w:t>
      </w:r>
      <w:r w:rsidR="00973C03" w:rsidRPr="00A648E3">
        <w:rPr>
          <w:rFonts w:hAnsi="Times New Roman" w:hint="eastAsia"/>
          <w:bCs w:val="0"/>
          <w:szCs w:val="20"/>
        </w:rPr>
        <w:t>所屬</w:t>
      </w:r>
      <w:proofErr w:type="gramStart"/>
      <w:r w:rsidR="00973C03" w:rsidRPr="00A648E3">
        <w:rPr>
          <w:rFonts w:hAnsi="Times New Roman" w:hint="eastAsia"/>
          <w:bCs w:val="0"/>
          <w:szCs w:val="20"/>
        </w:rPr>
        <w:t>研</w:t>
      </w:r>
      <w:proofErr w:type="gramEnd"/>
      <w:r w:rsidR="00973C03" w:rsidRPr="00A648E3">
        <w:rPr>
          <w:rFonts w:hAnsi="Times New Roman" w:hint="eastAsia"/>
          <w:bCs w:val="0"/>
          <w:szCs w:val="20"/>
        </w:rPr>
        <w:t>處。</w:t>
      </w:r>
    </w:p>
    <w:p w14:paraId="32F1B6CE" w14:textId="498DD4BB" w:rsidR="007124FF" w:rsidRPr="00A648E3" w:rsidRDefault="00885026" w:rsidP="00D313A8">
      <w:pPr>
        <w:pStyle w:val="3"/>
        <w:widowControl/>
        <w:numPr>
          <w:ilvl w:val="2"/>
          <w:numId w:val="1"/>
        </w:numPr>
        <w:kinsoku/>
        <w:overflowPunct/>
        <w:autoSpaceDE/>
        <w:autoSpaceDN/>
        <w:rPr>
          <w:rFonts w:hAnsi="Times New Roman"/>
          <w:bCs w:val="0"/>
          <w:szCs w:val="20"/>
        </w:rPr>
      </w:pPr>
      <w:r w:rsidRPr="00A648E3">
        <w:rPr>
          <w:rFonts w:hAnsi="Times New Roman" w:hint="eastAsia"/>
          <w:bCs w:val="0"/>
          <w:szCs w:val="20"/>
        </w:rPr>
        <w:t>綜上</w:t>
      </w:r>
      <w:r w:rsidRPr="005F6B92">
        <w:rPr>
          <w:rFonts w:hAnsi="Times New Roman" w:hint="eastAsia"/>
          <w:bCs w:val="0"/>
          <w:szCs w:val="20"/>
        </w:rPr>
        <w:t>，</w:t>
      </w:r>
      <w:proofErr w:type="gramStart"/>
      <w:r w:rsidR="005F6B92" w:rsidRPr="005F6B92">
        <w:rPr>
          <w:rFonts w:hAnsi="Times New Roman" w:hint="eastAsia"/>
          <w:bCs w:val="0"/>
          <w:szCs w:val="20"/>
        </w:rPr>
        <w:t>甲師不滿</w:t>
      </w:r>
      <w:proofErr w:type="gramEnd"/>
      <w:r w:rsidR="005F6B92" w:rsidRPr="005F6B92">
        <w:rPr>
          <w:rFonts w:hAnsi="Times New Roman" w:hint="eastAsia"/>
          <w:bCs w:val="0"/>
          <w:szCs w:val="20"/>
        </w:rPr>
        <w:t>東華大學就性別事件第1120808號案之處置，114年4月30日再度向東華大學提起性別事件申訴(性別事件第1140430號案)。114年7月29日由東華大學認定「</w:t>
      </w:r>
      <w:proofErr w:type="gramStart"/>
      <w:r w:rsidR="005F6B92" w:rsidRPr="005F6B92">
        <w:rPr>
          <w:rFonts w:hAnsi="Times New Roman" w:hint="eastAsia"/>
          <w:bCs w:val="0"/>
          <w:szCs w:val="20"/>
        </w:rPr>
        <w:t>乙師行為</w:t>
      </w:r>
      <w:proofErr w:type="gramEnd"/>
      <w:r w:rsidR="005F6B92" w:rsidRPr="005F6B92">
        <w:rPr>
          <w:rFonts w:hAnsi="Times New Roman" w:hint="eastAsia"/>
          <w:bCs w:val="0"/>
          <w:szCs w:val="20"/>
        </w:rPr>
        <w:t>性侵害屬實；性騷擾3案：2件成立、1件不成立」，並決定「解聘</w:t>
      </w:r>
      <w:proofErr w:type="gramStart"/>
      <w:r w:rsidR="005F6B92" w:rsidRPr="005F6B92">
        <w:rPr>
          <w:rFonts w:hAnsi="Times New Roman" w:hint="eastAsia"/>
          <w:bCs w:val="0"/>
          <w:szCs w:val="20"/>
        </w:rPr>
        <w:t>乙師且</w:t>
      </w:r>
      <w:proofErr w:type="gramEnd"/>
      <w:r w:rsidR="005F6B92" w:rsidRPr="005F6B92">
        <w:rPr>
          <w:rFonts w:hAnsi="Times New Roman" w:hint="eastAsia"/>
          <w:bCs w:val="0"/>
          <w:szCs w:val="20"/>
        </w:rPr>
        <w:t>終身不得擔任教師」</w:t>
      </w:r>
      <w:proofErr w:type="gramStart"/>
      <w:r w:rsidR="005F6B92" w:rsidRPr="005F6B92">
        <w:rPr>
          <w:rFonts w:hAnsi="Times New Roman" w:hint="eastAsia"/>
          <w:bCs w:val="0"/>
          <w:szCs w:val="20"/>
        </w:rPr>
        <w:t>且報經</w:t>
      </w:r>
      <w:proofErr w:type="gramEnd"/>
      <w:r w:rsidR="005F6B92" w:rsidRPr="005F6B92">
        <w:rPr>
          <w:rFonts w:hAnsi="Times New Roman" w:hint="eastAsia"/>
          <w:bCs w:val="0"/>
          <w:szCs w:val="20"/>
        </w:rPr>
        <w:t>教育部同意在案。</w:t>
      </w:r>
      <w:proofErr w:type="gramStart"/>
      <w:r w:rsidR="005F6B92" w:rsidRPr="005F6B92">
        <w:rPr>
          <w:rFonts w:hAnsi="Times New Roman" w:hint="eastAsia"/>
          <w:bCs w:val="0"/>
          <w:szCs w:val="20"/>
        </w:rPr>
        <w:t>核東華大學</w:t>
      </w:r>
      <w:proofErr w:type="gramEnd"/>
      <w:r w:rsidR="005F6B92" w:rsidRPr="005F6B92">
        <w:rPr>
          <w:rFonts w:hAnsi="Times New Roman" w:hint="eastAsia"/>
          <w:bCs w:val="0"/>
          <w:szCs w:val="20"/>
        </w:rPr>
        <w:t>於114年間再度啟動調查之關鍵，乃</w:t>
      </w:r>
      <w:proofErr w:type="gramStart"/>
      <w:r w:rsidR="005F6B92" w:rsidRPr="005F6B92">
        <w:rPr>
          <w:rFonts w:hAnsi="Times New Roman" w:hint="eastAsia"/>
          <w:bCs w:val="0"/>
          <w:szCs w:val="20"/>
        </w:rPr>
        <w:t>係甲師</w:t>
      </w:r>
      <w:proofErr w:type="gramEnd"/>
      <w:r w:rsidR="005F6B92" w:rsidRPr="005F6B92">
        <w:rPr>
          <w:rFonts w:hAnsi="Times New Roman" w:hint="eastAsia"/>
          <w:bCs w:val="0"/>
          <w:szCs w:val="20"/>
        </w:rPr>
        <w:t>主動提起申訴，</w:t>
      </w:r>
      <w:proofErr w:type="gramStart"/>
      <w:r w:rsidR="005F6B92" w:rsidRPr="005F6B92">
        <w:rPr>
          <w:rFonts w:hAnsi="Times New Roman" w:hint="eastAsia"/>
          <w:bCs w:val="0"/>
          <w:szCs w:val="20"/>
        </w:rPr>
        <w:t>該校坦言</w:t>
      </w:r>
      <w:proofErr w:type="gramEnd"/>
      <w:r w:rsidR="005F6B92" w:rsidRPr="005F6B92">
        <w:rPr>
          <w:rFonts w:hAnsi="Times New Roman" w:hint="eastAsia"/>
          <w:bCs w:val="0"/>
          <w:szCs w:val="20"/>
        </w:rPr>
        <w:t>「</w:t>
      </w:r>
      <w:proofErr w:type="gramStart"/>
      <w:r w:rsidR="005F6B92" w:rsidRPr="005F6B92">
        <w:rPr>
          <w:rFonts w:hAnsi="Times New Roman" w:hint="eastAsia"/>
          <w:bCs w:val="0"/>
          <w:szCs w:val="20"/>
        </w:rPr>
        <w:t>若甲師未</w:t>
      </w:r>
      <w:proofErr w:type="gramEnd"/>
      <w:r w:rsidR="005F6B92" w:rsidRPr="005F6B92">
        <w:rPr>
          <w:rFonts w:hAnsi="Times New Roman" w:hint="eastAsia"/>
          <w:bCs w:val="0"/>
          <w:szCs w:val="20"/>
        </w:rPr>
        <w:t>再提起申訴，不會重啟調查」，且本案調查發現，東華大學112</w:t>
      </w:r>
      <w:r w:rsidR="005F6B92" w:rsidRPr="005F6B92">
        <w:rPr>
          <w:rFonts w:hAnsi="Times New Roman" w:hint="eastAsia"/>
          <w:bCs w:val="0"/>
          <w:szCs w:val="20"/>
        </w:rPr>
        <w:lastRenderedPageBreak/>
        <w:t>年</w:t>
      </w:r>
      <w:proofErr w:type="gramStart"/>
      <w:r w:rsidR="005F6B92" w:rsidRPr="005F6B92">
        <w:rPr>
          <w:rFonts w:hAnsi="Times New Roman" w:hint="eastAsia"/>
          <w:bCs w:val="0"/>
          <w:szCs w:val="20"/>
        </w:rPr>
        <w:t>認定乙師行為</w:t>
      </w:r>
      <w:proofErr w:type="gramEnd"/>
      <w:r w:rsidR="005F6B92" w:rsidRPr="005F6B92">
        <w:rPr>
          <w:rFonts w:hAnsi="Times New Roman" w:hint="eastAsia"/>
          <w:bCs w:val="0"/>
          <w:szCs w:val="20"/>
        </w:rPr>
        <w:t>亦違反教師專業倫理，</w:t>
      </w:r>
      <w:proofErr w:type="gramStart"/>
      <w:r w:rsidR="005F6B92" w:rsidRPr="005F6B92">
        <w:rPr>
          <w:rFonts w:hAnsi="Times New Roman" w:hint="eastAsia"/>
          <w:bCs w:val="0"/>
          <w:szCs w:val="20"/>
        </w:rPr>
        <w:t>建議乙師應</w:t>
      </w:r>
      <w:proofErr w:type="gramEnd"/>
      <w:r w:rsidR="005F6B92" w:rsidRPr="005F6B92">
        <w:rPr>
          <w:rFonts w:hAnsi="Times New Roman" w:hint="eastAsia"/>
          <w:bCs w:val="0"/>
          <w:szCs w:val="20"/>
        </w:rPr>
        <w:t>接受16小時性別教育課程以提升意識，卻</w:t>
      </w:r>
      <w:proofErr w:type="gramStart"/>
      <w:r w:rsidR="005F6B92" w:rsidRPr="005F6B92">
        <w:rPr>
          <w:rFonts w:hAnsi="Times New Roman" w:hint="eastAsia"/>
          <w:bCs w:val="0"/>
          <w:szCs w:val="20"/>
        </w:rPr>
        <w:t>查乙師</w:t>
      </w:r>
      <w:proofErr w:type="gramEnd"/>
      <w:r w:rsidR="005F6B92" w:rsidRPr="005F6B92">
        <w:rPr>
          <w:rFonts w:hint="eastAsia"/>
          <w:bCs w:val="0"/>
        </w:rPr>
        <w:t>終身學習資料迄今無參加相關課程紀錄</w:t>
      </w:r>
      <w:r w:rsidR="005F6B92" w:rsidRPr="005F6B92">
        <w:rPr>
          <w:rFonts w:hAnsi="Times New Roman" w:hint="eastAsia"/>
          <w:bCs w:val="0"/>
          <w:szCs w:val="20"/>
        </w:rPr>
        <w:t>；均顯示東華大學對於性別事件後續發展及處置的追蹤，猶有精進空間。基於積極保障當事人權益，並彌補行政調查之侷限性，未來須否就行政調查與司法偵查結果不一致的情形建立有關聯繫處理機制，容應由行政院督同所屬</w:t>
      </w:r>
      <w:proofErr w:type="gramStart"/>
      <w:r w:rsidR="005F6B92" w:rsidRPr="005F6B92">
        <w:rPr>
          <w:rFonts w:hAnsi="Times New Roman" w:hint="eastAsia"/>
          <w:bCs w:val="0"/>
          <w:szCs w:val="20"/>
        </w:rPr>
        <w:t>研</w:t>
      </w:r>
      <w:proofErr w:type="gramEnd"/>
      <w:r w:rsidR="005F6B92" w:rsidRPr="005F6B92">
        <w:rPr>
          <w:rFonts w:hAnsi="Times New Roman" w:hint="eastAsia"/>
          <w:bCs w:val="0"/>
          <w:szCs w:val="20"/>
        </w:rPr>
        <w:t>處</w:t>
      </w:r>
      <w:r w:rsidRPr="005F6B92">
        <w:rPr>
          <w:rFonts w:hAnsi="Times New Roman" w:hint="eastAsia"/>
          <w:bCs w:val="0"/>
          <w:szCs w:val="20"/>
        </w:rPr>
        <w:t>。</w:t>
      </w:r>
    </w:p>
    <w:p w14:paraId="04C82C1F" w14:textId="77777777" w:rsidR="00C20A03" w:rsidRPr="00A648E3" w:rsidRDefault="00C20A03" w:rsidP="00AA7842">
      <w:pPr>
        <w:pStyle w:val="2"/>
        <w:widowControl/>
        <w:numPr>
          <w:ilvl w:val="0"/>
          <w:numId w:val="0"/>
        </w:numPr>
        <w:kinsoku/>
        <w:overflowPunct/>
        <w:autoSpaceDE/>
        <w:autoSpaceDN/>
        <w:ind w:left="1021"/>
        <w:rPr>
          <w:b/>
        </w:rPr>
      </w:pPr>
    </w:p>
    <w:p w14:paraId="34F45738" w14:textId="637A3B02" w:rsidR="00BE0B68" w:rsidRPr="00A648E3" w:rsidRDefault="0081652E" w:rsidP="00D313A8">
      <w:pPr>
        <w:pStyle w:val="2"/>
        <w:widowControl/>
        <w:numPr>
          <w:ilvl w:val="1"/>
          <w:numId w:val="1"/>
        </w:numPr>
        <w:kinsoku/>
        <w:overflowPunct/>
        <w:autoSpaceDE/>
        <w:autoSpaceDN/>
        <w:rPr>
          <w:b/>
          <w:bCs w:val="0"/>
        </w:rPr>
      </w:pPr>
      <w:r w:rsidRPr="00A648E3">
        <w:rPr>
          <w:rFonts w:hAnsi="標楷體" w:hint="eastAsia"/>
          <w:b/>
          <w:bCs w:val="0"/>
          <w:szCs w:val="32"/>
        </w:rPr>
        <w:t>東華大學性別事件第1120808號、第1140430號案，適</w:t>
      </w:r>
      <w:proofErr w:type="gramStart"/>
      <w:r w:rsidRPr="00A648E3">
        <w:rPr>
          <w:rFonts w:hAnsi="標楷體" w:hint="eastAsia"/>
          <w:b/>
          <w:bCs w:val="0"/>
          <w:szCs w:val="32"/>
        </w:rPr>
        <w:t>逢性工</w:t>
      </w:r>
      <w:proofErr w:type="gramEnd"/>
      <w:r w:rsidRPr="00A648E3">
        <w:rPr>
          <w:rFonts w:hAnsi="標楷體" w:hint="eastAsia"/>
          <w:b/>
          <w:bCs w:val="0"/>
          <w:szCs w:val="32"/>
        </w:rPr>
        <w:t>法112年8月16日修正後自</w:t>
      </w:r>
      <w:proofErr w:type="gramStart"/>
      <w:r w:rsidRPr="00A648E3">
        <w:rPr>
          <w:rFonts w:hAnsi="標楷體" w:hint="eastAsia"/>
          <w:b/>
          <w:bCs w:val="0"/>
          <w:szCs w:val="32"/>
        </w:rPr>
        <w:t>翌</w:t>
      </w:r>
      <w:proofErr w:type="gramEnd"/>
      <w:r w:rsidRPr="00A648E3">
        <w:rPr>
          <w:rFonts w:hAnsi="標楷體" w:hint="eastAsia"/>
          <w:b/>
          <w:bCs w:val="0"/>
          <w:szCs w:val="32"/>
        </w:rPr>
        <w:t>(113)年3月8日起施行之新、舊法過渡時期，而有調查程序分別遵循</w:t>
      </w:r>
      <w:r w:rsidR="00614161">
        <w:rPr>
          <w:rFonts w:hAnsi="標楷體" w:hint="eastAsia"/>
          <w:b/>
          <w:bCs w:val="0"/>
          <w:szCs w:val="32"/>
        </w:rPr>
        <w:t>性別平等教育法(下</w:t>
      </w:r>
      <w:proofErr w:type="gramStart"/>
      <w:r w:rsidR="00614161">
        <w:rPr>
          <w:rFonts w:hAnsi="標楷體" w:hint="eastAsia"/>
          <w:b/>
          <w:bCs w:val="0"/>
          <w:szCs w:val="32"/>
        </w:rPr>
        <w:t>稱性平法</w:t>
      </w:r>
      <w:proofErr w:type="gramEnd"/>
      <w:r w:rsidR="00614161">
        <w:rPr>
          <w:rFonts w:hAnsi="標楷體" w:hint="eastAsia"/>
          <w:b/>
          <w:bCs w:val="0"/>
          <w:szCs w:val="32"/>
        </w:rPr>
        <w:t>)</w:t>
      </w:r>
      <w:r w:rsidRPr="00A648E3">
        <w:rPr>
          <w:rFonts w:hAnsi="標楷體" w:hint="eastAsia"/>
          <w:b/>
          <w:bCs w:val="0"/>
          <w:szCs w:val="32"/>
        </w:rPr>
        <w:t>、</w:t>
      </w:r>
      <w:proofErr w:type="gramStart"/>
      <w:r w:rsidRPr="00A648E3">
        <w:rPr>
          <w:rFonts w:hAnsi="標楷體" w:hint="eastAsia"/>
          <w:b/>
          <w:bCs w:val="0"/>
          <w:szCs w:val="32"/>
        </w:rPr>
        <w:t>性工法</w:t>
      </w:r>
      <w:proofErr w:type="gramEnd"/>
      <w:r w:rsidRPr="00A648E3">
        <w:rPr>
          <w:rFonts w:hAnsi="標楷體" w:hint="eastAsia"/>
          <w:b/>
          <w:bCs w:val="0"/>
          <w:szCs w:val="32"/>
        </w:rPr>
        <w:t>之差異作法。</w:t>
      </w:r>
      <w:proofErr w:type="gramStart"/>
      <w:r w:rsidRPr="00A648E3">
        <w:rPr>
          <w:rFonts w:hint="eastAsia"/>
          <w:b/>
          <w:bCs w:val="0"/>
        </w:rPr>
        <w:t>性工法</w:t>
      </w:r>
      <w:proofErr w:type="gramEnd"/>
      <w:r w:rsidRPr="00A648E3">
        <w:rPr>
          <w:rFonts w:hint="eastAsia"/>
          <w:b/>
          <w:bCs w:val="0"/>
        </w:rPr>
        <w:t>、</w:t>
      </w:r>
      <w:proofErr w:type="gramStart"/>
      <w:r w:rsidRPr="00A648E3">
        <w:rPr>
          <w:rFonts w:hint="eastAsia"/>
          <w:b/>
          <w:bCs w:val="0"/>
        </w:rPr>
        <w:t>性平法既有</w:t>
      </w:r>
      <w:proofErr w:type="gramEnd"/>
      <w:r w:rsidRPr="00A648E3">
        <w:rPr>
          <w:rFonts w:hint="eastAsia"/>
          <w:b/>
          <w:bCs w:val="0"/>
        </w:rPr>
        <w:t>不同之法律規範目的及調查專業權責，為保護當事人法益，日後對於發生在校園之適用性工法的性別事件，仍應切實</w:t>
      </w:r>
      <w:proofErr w:type="gramStart"/>
      <w:r w:rsidRPr="00A648E3">
        <w:rPr>
          <w:rFonts w:hint="eastAsia"/>
          <w:b/>
          <w:bCs w:val="0"/>
        </w:rPr>
        <w:t>回歸性工法</w:t>
      </w:r>
      <w:proofErr w:type="gramEnd"/>
      <w:r w:rsidRPr="00A648E3">
        <w:rPr>
          <w:rFonts w:hint="eastAsia"/>
          <w:b/>
          <w:bCs w:val="0"/>
        </w:rPr>
        <w:t>之規範，並應由勞動部會同教育部，</w:t>
      </w:r>
      <w:proofErr w:type="gramStart"/>
      <w:r w:rsidRPr="00A648E3">
        <w:rPr>
          <w:rFonts w:hint="eastAsia"/>
          <w:b/>
          <w:bCs w:val="0"/>
        </w:rPr>
        <w:t>研</w:t>
      </w:r>
      <w:proofErr w:type="gramEnd"/>
      <w:r w:rsidRPr="00A648E3">
        <w:rPr>
          <w:rFonts w:hint="eastAsia"/>
          <w:b/>
          <w:bCs w:val="0"/>
        </w:rPr>
        <w:t>商</w:t>
      </w:r>
      <w:proofErr w:type="gramStart"/>
      <w:r w:rsidRPr="00A648E3">
        <w:rPr>
          <w:rFonts w:hint="eastAsia"/>
          <w:b/>
          <w:bCs w:val="0"/>
        </w:rPr>
        <w:t>充實性工法</w:t>
      </w:r>
      <w:proofErr w:type="gramEnd"/>
      <w:r w:rsidRPr="00A648E3">
        <w:rPr>
          <w:rFonts w:hint="eastAsia"/>
          <w:b/>
          <w:bCs w:val="0"/>
        </w:rPr>
        <w:t>之校園職場配套措施與調查專業人力。</w:t>
      </w:r>
      <w:r w:rsidRPr="00A648E3">
        <w:rPr>
          <w:rFonts w:hAnsi="標楷體" w:hint="eastAsia"/>
          <w:b/>
          <w:bCs w:val="0"/>
          <w:szCs w:val="32"/>
        </w:rPr>
        <w:t>又東華大學事後檢討，為落實調查</w:t>
      </w:r>
      <w:proofErr w:type="gramStart"/>
      <w:r w:rsidRPr="00A648E3">
        <w:rPr>
          <w:rFonts w:hAnsi="標楷體" w:hint="eastAsia"/>
          <w:b/>
          <w:bCs w:val="0"/>
          <w:szCs w:val="32"/>
        </w:rPr>
        <w:t>外部化</w:t>
      </w:r>
      <w:proofErr w:type="gramEnd"/>
      <w:r w:rsidRPr="00A648E3">
        <w:rPr>
          <w:rFonts w:hAnsi="標楷體" w:hint="eastAsia"/>
          <w:b/>
          <w:bCs w:val="0"/>
          <w:szCs w:val="32"/>
        </w:rPr>
        <w:t>之立法意旨，擬修正該校</w:t>
      </w:r>
      <w:r w:rsidRPr="00A648E3">
        <w:rPr>
          <w:b/>
          <w:bCs w:val="0"/>
        </w:rPr>
        <w:t>工作場所性騷擾與性別歧視防治及處理要點</w:t>
      </w:r>
      <w:r w:rsidRPr="00A648E3">
        <w:rPr>
          <w:rFonts w:hAnsi="標楷體" w:hint="eastAsia"/>
          <w:b/>
          <w:bCs w:val="0"/>
          <w:szCs w:val="32"/>
        </w:rPr>
        <w:t>，應由該校落實辦理</w:t>
      </w:r>
      <w:r w:rsidR="00707ADE" w:rsidRPr="00A648E3">
        <w:rPr>
          <w:rFonts w:hint="eastAsia"/>
          <w:b/>
          <w:bCs w:val="0"/>
        </w:rPr>
        <w:t>。</w:t>
      </w:r>
    </w:p>
    <w:p w14:paraId="3DDB59FC" w14:textId="08E126D4" w:rsidR="00431C83" w:rsidRPr="00A648E3" w:rsidRDefault="00F07AD5" w:rsidP="00B85B8C">
      <w:pPr>
        <w:pStyle w:val="3"/>
      </w:pPr>
      <w:r w:rsidRPr="00A648E3">
        <w:rPr>
          <w:rFonts w:hAnsi="標楷體" w:hint="eastAsia"/>
          <w:szCs w:val="32"/>
        </w:rPr>
        <w:t>東華大學性別事件第1120808號、第1140430號案，分別遵循性</w:t>
      </w:r>
      <w:proofErr w:type="gramStart"/>
      <w:r w:rsidRPr="00A648E3">
        <w:rPr>
          <w:rFonts w:hAnsi="標楷體" w:hint="eastAsia"/>
          <w:szCs w:val="32"/>
        </w:rPr>
        <w:t>平法、性工</w:t>
      </w:r>
      <w:proofErr w:type="gramEnd"/>
      <w:r w:rsidRPr="00A648E3">
        <w:rPr>
          <w:rFonts w:hAnsi="標楷體" w:hint="eastAsia"/>
          <w:szCs w:val="32"/>
        </w:rPr>
        <w:t>法，調查程序有差異作法</w:t>
      </w:r>
      <w:r w:rsidR="00431C83" w:rsidRPr="00A648E3">
        <w:rPr>
          <w:rFonts w:hint="eastAsia"/>
        </w:rPr>
        <w:t>：</w:t>
      </w:r>
    </w:p>
    <w:p w14:paraId="7F4F067E" w14:textId="42F31C58" w:rsidR="00431C83" w:rsidRPr="00A648E3" w:rsidRDefault="008632AB" w:rsidP="00431C83">
      <w:pPr>
        <w:pStyle w:val="4"/>
        <w:rPr>
          <w:bCs/>
        </w:rPr>
      </w:pPr>
      <w:r w:rsidRPr="00A648E3">
        <w:rPr>
          <w:rFonts w:hint="eastAsia"/>
        </w:rPr>
        <w:t>教育部</w:t>
      </w:r>
      <w:r w:rsidR="00072F99" w:rsidRPr="00A648E3">
        <w:rPr>
          <w:rFonts w:hint="eastAsia"/>
        </w:rPr>
        <w:t>及東華大學均</w:t>
      </w:r>
      <w:r w:rsidRPr="00A648E3">
        <w:rPr>
          <w:rFonts w:hint="eastAsia"/>
        </w:rPr>
        <w:t>表示，</w:t>
      </w:r>
      <w:r w:rsidR="00072F99" w:rsidRPr="00A648E3">
        <w:rPr>
          <w:rFonts w:hint="eastAsia"/>
        </w:rPr>
        <w:t>東華大學性別事件第1120808號、第1140430號案</w:t>
      </w:r>
      <w:r w:rsidRPr="00A648E3">
        <w:rPr>
          <w:rFonts w:hint="eastAsia"/>
        </w:rPr>
        <w:t>適用法律</w:t>
      </w:r>
      <w:proofErr w:type="gramStart"/>
      <w:r w:rsidRPr="00A648E3">
        <w:rPr>
          <w:rFonts w:hint="eastAsia"/>
        </w:rPr>
        <w:t>為性工法</w:t>
      </w:r>
      <w:proofErr w:type="gramEnd"/>
      <w:r w:rsidRPr="00A648E3">
        <w:rPr>
          <w:rFonts w:hint="eastAsia"/>
        </w:rPr>
        <w:t>」以及「工作場所性騷擾防治措施準則」</w:t>
      </w:r>
      <w:r w:rsidR="00431C83" w:rsidRPr="00A648E3">
        <w:rPr>
          <w:rFonts w:hint="eastAsia"/>
        </w:rPr>
        <w:t>。</w:t>
      </w:r>
    </w:p>
    <w:p w14:paraId="40B54CE1" w14:textId="3C317A1E" w:rsidR="00E24EC8" w:rsidRPr="00A648E3" w:rsidRDefault="00E24EC8" w:rsidP="00431C83">
      <w:pPr>
        <w:pStyle w:val="4"/>
        <w:rPr>
          <w:bCs/>
        </w:rPr>
      </w:pPr>
      <w:proofErr w:type="gramStart"/>
      <w:r w:rsidRPr="00A648E3">
        <w:rPr>
          <w:rFonts w:hint="eastAsia"/>
        </w:rPr>
        <w:t>惟</w:t>
      </w:r>
      <w:r w:rsidR="00531760" w:rsidRPr="00A648E3">
        <w:rPr>
          <w:rFonts w:hint="eastAsia"/>
        </w:rPr>
        <w:t>查</w:t>
      </w:r>
      <w:proofErr w:type="gramEnd"/>
      <w:r w:rsidR="00531760" w:rsidRPr="00A648E3">
        <w:rPr>
          <w:rFonts w:hint="eastAsia"/>
        </w:rPr>
        <w:t>，東華大學</w:t>
      </w:r>
      <w:r w:rsidRPr="00A648E3">
        <w:rPr>
          <w:rFonts w:hint="eastAsia"/>
        </w:rPr>
        <w:t>第1次調查，係經</w:t>
      </w:r>
      <w:r w:rsidR="00531760" w:rsidRPr="00A648E3">
        <w:rPr>
          <w:rFonts w:hint="eastAsia"/>
        </w:rPr>
        <w:t>該校</w:t>
      </w:r>
      <w:proofErr w:type="gramStart"/>
      <w:r w:rsidRPr="00A648E3">
        <w:rPr>
          <w:rFonts w:hint="eastAsia"/>
        </w:rPr>
        <w:t>內部專</w:t>
      </w:r>
      <w:proofErr w:type="gramEnd"/>
      <w:r w:rsidRPr="00A648E3">
        <w:rPr>
          <w:rFonts w:hint="eastAsia"/>
        </w:rPr>
        <w:t>簽委託</w:t>
      </w:r>
      <w:r w:rsidR="00531760" w:rsidRPr="00A648E3">
        <w:rPr>
          <w:rFonts w:hint="eastAsia"/>
        </w:rPr>
        <w:t>其</w:t>
      </w:r>
      <w:r w:rsidRPr="00A648E3">
        <w:rPr>
          <w:rFonts w:hint="eastAsia"/>
        </w:rPr>
        <w:t>性平會進行調查，並依</w:t>
      </w:r>
      <w:proofErr w:type="gramStart"/>
      <w:r w:rsidRPr="00A648E3">
        <w:rPr>
          <w:rFonts w:hint="eastAsia"/>
        </w:rPr>
        <w:t>性平法</w:t>
      </w:r>
      <w:proofErr w:type="gramEnd"/>
      <w:r w:rsidRPr="00A648E3">
        <w:rPr>
          <w:rFonts w:hAnsi="標楷體" w:hint="eastAsia"/>
        </w:rPr>
        <w:t>，組成</w:t>
      </w:r>
      <w:r w:rsidRPr="00A648E3">
        <w:t>3人調查小組</w:t>
      </w:r>
      <w:r w:rsidRPr="00A648E3">
        <w:rPr>
          <w:rFonts w:hint="eastAsia"/>
        </w:rPr>
        <w:t>，其中1名調查委員</w:t>
      </w:r>
      <w:r w:rsidRPr="00A648E3">
        <w:rPr>
          <w:rFonts w:hAnsi="標楷體" w:hint="eastAsia"/>
          <w:spacing w:val="-6"/>
          <w:szCs w:val="32"/>
        </w:rPr>
        <w:t>擇自「</w:t>
      </w:r>
      <w:r w:rsidRPr="00A648E3">
        <w:rPr>
          <w:rFonts w:hAnsi="標楷體"/>
          <w:spacing w:val="-6"/>
          <w:szCs w:val="32"/>
        </w:rPr>
        <w:t>教育部校園性侵害</w:t>
      </w:r>
      <w:r w:rsidRPr="00A648E3">
        <w:rPr>
          <w:rFonts w:hAnsi="標楷體"/>
          <w:spacing w:val="-6"/>
          <w:szCs w:val="32"/>
        </w:rPr>
        <w:lastRenderedPageBreak/>
        <w:t>性騷</w:t>
      </w:r>
      <w:r w:rsidRPr="00A648E3">
        <w:rPr>
          <w:rFonts w:hAnsi="標楷體"/>
        </w:rPr>
        <w:t>擾或</w:t>
      </w:r>
      <w:proofErr w:type="gramStart"/>
      <w:r w:rsidRPr="00A648E3">
        <w:rPr>
          <w:rFonts w:hAnsi="標楷體"/>
        </w:rPr>
        <w:t>性霸凌</w:t>
      </w:r>
      <w:proofErr w:type="gramEnd"/>
      <w:r w:rsidRPr="00A648E3">
        <w:rPr>
          <w:rFonts w:hAnsi="標楷體"/>
        </w:rPr>
        <w:t>事件調查專業人才庫</w:t>
      </w:r>
      <w:r w:rsidRPr="00A648E3">
        <w:rPr>
          <w:rFonts w:hAnsi="標楷體" w:hint="eastAsia"/>
        </w:rPr>
        <w:t>」</w:t>
      </w:r>
      <w:r w:rsidR="00886973">
        <w:rPr>
          <w:rStyle w:val="afe"/>
          <w:rFonts w:hAnsi="標楷體"/>
        </w:rPr>
        <w:footnoteReference w:id="6"/>
      </w:r>
      <w:r w:rsidRPr="00A648E3">
        <w:rPr>
          <w:rFonts w:hAnsi="標楷體" w:hint="eastAsia"/>
        </w:rPr>
        <w:t>；與該校第2次調查，</w:t>
      </w:r>
      <w:r w:rsidR="00531760" w:rsidRPr="00A648E3">
        <w:rPr>
          <w:rFonts w:hAnsi="標楷體" w:hint="eastAsia"/>
        </w:rPr>
        <w:t>「</w:t>
      </w:r>
      <w:r w:rsidRPr="00A648E3">
        <w:rPr>
          <w:rFonts w:hint="eastAsia"/>
        </w:rPr>
        <w:t>依該校</w:t>
      </w:r>
      <w:r w:rsidRPr="00A648E3">
        <w:t>工作場所性騷擾與性別歧視防治及處理要點規定，由</w:t>
      </w:r>
      <w:r w:rsidRPr="00A648E3">
        <w:rPr>
          <w:rFonts w:hint="eastAsia"/>
        </w:rPr>
        <w:t>該校</w:t>
      </w:r>
      <w:r w:rsidR="00531760" w:rsidRPr="00A648E3">
        <w:rPr>
          <w:rFonts w:hint="eastAsia"/>
        </w:rPr>
        <w:t>『性騷擾與性別歧視申訴評議會</w:t>
      </w:r>
      <w:r w:rsidR="00FE575C">
        <w:rPr>
          <w:rFonts w:hint="eastAsia"/>
        </w:rPr>
        <w:t>(下稱申訴會)</w:t>
      </w:r>
      <w:r w:rsidR="00531760" w:rsidRPr="00A648E3">
        <w:rPr>
          <w:rFonts w:hint="eastAsia"/>
        </w:rPr>
        <w:t>』</w:t>
      </w:r>
      <w:r w:rsidR="00FE575C">
        <w:rPr>
          <w:rFonts w:hint="eastAsia"/>
        </w:rPr>
        <w:t>4名</w:t>
      </w:r>
      <w:r w:rsidRPr="00A648E3">
        <w:t>委員組成調查小組，</w:t>
      </w:r>
      <w:r w:rsidR="00FE575C">
        <w:rPr>
          <w:rFonts w:hint="eastAsia"/>
        </w:rPr>
        <w:t>且其</w:t>
      </w:r>
      <w:r w:rsidRPr="00A648E3">
        <w:t>中1人為</w:t>
      </w:r>
      <w:r w:rsidR="00531760" w:rsidRPr="00A648E3">
        <w:rPr>
          <w:rFonts w:hint="eastAsia"/>
        </w:rPr>
        <w:t>『</w:t>
      </w:r>
      <w:r w:rsidRPr="00A648E3">
        <w:t>勞動部工作場所性騷擾調查專業人才資料庫</w:t>
      </w:r>
      <w:r w:rsidR="00531760" w:rsidRPr="00A648E3">
        <w:rPr>
          <w:rFonts w:hint="eastAsia"/>
        </w:rPr>
        <w:t>』</w:t>
      </w:r>
      <w:r w:rsidRPr="00A648E3">
        <w:t>委員</w:t>
      </w:r>
      <w:r w:rsidR="00531760" w:rsidRPr="00A648E3">
        <w:rPr>
          <w:rFonts w:hint="eastAsia"/>
        </w:rPr>
        <w:t>」</w:t>
      </w:r>
      <w:r w:rsidR="00FE575C">
        <w:rPr>
          <w:rStyle w:val="afe"/>
        </w:rPr>
        <w:footnoteReference w:id="7"/>
      </w:r>
      <w:r w:rsidR="00531760" w:rsidRPr="00A648E3">
        <w:rPr>
          <w:rFonts w:hint="eastAsia"/>
        </w:rPr>
        <w:t>之作法不同</w:t>
      </w:r>
      <w:r w:rsidRPr="00A648E3">
        <w:t>。</w:t>
      </w:r>
    </w:p>
    <w:p w14:paraId="4C145873" w14:textId="59FE492E" w:rsidR="00531760" w:rsidRPr="00A648E3" w:rsidRDefault="00531760" w:rsidP="00531760">
      <w:pPr>
        <w:pStyle w:val="4"/>
      </w:pPr>
      <w:r w:rsidRPr="00A648E3">
        <w:rPr>
          <w:rFonts w:hint="eastAsia"/>
        </w:rPr>
        <w:t>此據教育部</w:t>
      </w:r>
      <w:r w:rsidRPr="00A648E3">
        <w:rPr>
          <w:rFonts w:hAnsi="Times New Roman" w:hint="eastAsia"/>
          <w:szCs w:val="20"/>
        </w:rPr>
        <w:t>人員到院說明：「</w:t>
      </w:r>
      <w:r w:rsidRPr="00A648E3">
        <w:rPr>
          <w:rFonts w:hint="eastAsia"/>
        </w:rPr>
        <w:t>最早在教育部102年針對性平三法</w:t>
      </w:r>
      <w:r w:rsidR="00560947" w:rsidRPr="00A648E3">
        <w:rPr>
          <w:rFonts w:hint="eastAsia"/>
        </w:rPr>
        <w:t>(性</w:t>
      </w:r>
      <w:proofErr w:type="gramStart"/>
      <w:r w:rsidR="00560947" w:rsidRPr="00A648E3">
        <w:rPr>
          <w:rFonts w:hint="eastAsia"/>
        </w:rPr>
        <w:t>平法、性工</w:t>
      </w:r>
      <w:proofErr w:type="gramEnd"/>
      <w:r w:rsidR="00560947" w:rsidRPr="00A648E3">
        <w:rPr>
          <w:rFonts w:hint="eastAsia"/>
        </w:rPr>
        <w:t>法、性騷擾防治法</w:t>
      </w:r>
      <w:r w:rsidR="00614161">
        <w:rPr>
          <w:rFonts w:hint="eastAsia"/>
        </w:rPr>
        <w:t>〔下稱性騷法〕</w:t>
      </w:r>
      <w:r w:rsidR="00560947" w:rsidRPr="00A648E3">
        <w:rPr>
          <w:rFonts w:hint="eastAsia"/>
        </w:rPr>
        <w:t>)</w:t>
      </w:r>
      <w:r w:rsidRPr="00A648E3">
        <w:rPr>
          <w:rFonts w:hint="eastAsia"/>
        </w:rPr>
        <w:t>的執行狀況即訂有</w:t>
      </w:r>
      <w:proofErr w:type="gramStart"/>
      <w:r w:rsidRPr="00A648E3">
        <w:rPr>
          <w:rFonts w:hint="eastAsia"/>
        </w:rPr>
        <w:t>流程圖與函釋</w:t>
      </w:r>
      <w:proofErr w:type="gramEnd"/>
      <w:r w:rsidRPr="00A648E3">
        <w:rPr>
          <w:rStyle w:val="afe"/>
          <w:rFonts w:hAnsi="標楷體"/>
        </w:rPr>
        <w:footnoteReference w:id="8"/>
      </w:r>
      <w:r w:rsidRPr="00A648E3">
        <w:rPr>
          <w:rFonts w:hint="eastAsia"/>
        </w:rPr>
        <w:t>，說明可以委託性平會辦理。東華大學第1次調查</w:t>
      </w:r>
      <w:proofErr w:type="gramStart"/>
      <w:r w:rsidRPr="00A648E3">
        <w:rPr>
          <w:rFonts w:hint="eastAsia"/>
        </w:rPr>
        <w:t>循性平法</w:t>
      </w:r>
      <w:proofErr w:type="gramEnd"/>
      <w:r w:rsidRPr="00A648E3">
        <w:rPr>
          <w:rFonts w:hint="eastAsia"/>
        </w:rPr>
        <w:t>應無問題，但教育部今(114)年1月會再函釋請學校</w:t>
      </w:r>
      <w:proofErr w:type="gramStart"/>
      <w:r w:rsidRPr="00A648E3">
        <w:rPr>
          <w:rFonts w:hint="eastAsia"/>
        </w:rPr>
        <w:t>將性工法</w:t>
      </w:r>
      <w:proofErr w:type="gramEnd"/>
      <w:r w:rsidRPr="00A648E3">
        <w:rPr>
          <w:rFonts w:hint="eastAsia"/>
        </w:rPr>
        <w:t>、</w:t>
      </w:r>
      <w:proofErr w:type="gramStart"/>
      <w:r w:rsidRPr="00A648E3">
        <w:rPr>
          <w:rFonts w:hint="eastAsia"/>
        </w:rPr>
        <w:t>性平法案件</w:t>
      </w:r>
      <w:proofErr w:type="gramEnd"/>
      <w:r w:rsidRPr="00A648E3">
        <w:rPr>
          <w:rFonts w:hint="eastAsia"/>
        </w:rPr>
        <w:t>分流，即為回歸不同保障法益及調查專業</w:t>
      </w:r>
      <w:r w:rsidRPr="00A648E3">
        <w:rPr>
          <w:rFonts w:hAnsi="Times New Roman" w:hint="eastAsia"/>
          <w:szCs w:val="20"/>
        </w:rPr>
        <w:t>」等語。</w:t>
      </w:r>
    </w:p>
    <w:p w14:paraId="7983CDF9" w14:textId="46733064" w:rsidR="00531760" w:rsidRPr="00A648E3" w:rsidRDefault="00531760" w:rsidP="00531760">
      <w:pPr>
        <w:pStyle w:val="4"/>
      </w:pPr>
      <w:r w:rsidRPr="00A648E3">
        <w:rPr>
          <w:rFonts w:hAnsi="Times New Roman" w:hint="eastAsia"/>
          <w:szCs w:val="20"/>
        </w:rPr>
        <w:t>且查，教育部114年1</w:t>
      </w:r>
      <w:r w:rsidRPr="00A648E3">
        <w:rPr>
          <w:rFonts w:hint="eastAsia"/>
        </w:rPr>
        <w:t>月9日</w:t>
      </w:r>
      <w:proofErr w:type="gramStart"/>
      <w:r w:rsidRPr="00A648E3">
        <w:rPr>
          <w:rFonts w:hint="eastAsia"/>
        </w:rPr>
        <w:t>臺</w:t>
      </w:r>
      <w:proofErr w:type="gramEnd"/>
      <w:r w:rsidRPr="00A648E3">
        <w:rPr>
          <w:rFonts w:hint="eastAsia"/>
        </w:rPr>
        <w:t>教學（三）字第</w:t>
      </w:r>
      <w:r w:rsidRPr="00A648E3">
        <w:t>1130122346</w:t>
      </w:r>
      <w:r w:rsidRPr="00A648E3">
        <w:rPr>
          <w:rFonts w:hint="eastAsia"/>
        </w:rPr>
        <w:t>號函，針對各級學校處理「非</w:t>
      </w:r>
      <w:proofErr w:type="gramStart"/>
      <w:r w:rsidRPr="00A648E3">
        <w:rPr>
          <w:rFonts w:hint="eastAsia"/>
        </w:rPr>
        <w:t>屬性平法</w:t>
      </w:r>
      <w:proofErr w:type="gramEnd"/>
      <w:r w:rsidRPr="00A648E3">
        <w:rPr>
          <w:rFonts w:hint="eastAsia"/>
        </w:rPr>
        <w:t>」所定性騷擾事件之申訴處理及調查機制，調整略</w:t>
      </w:r>
      <w:proofErr w:type="gramStart"/>
      <w:r w:rsidRPr="00A648E3">
        <w:rPr>
          <w:rFonts w:hint="eastAsia"/>
        </w:rPr>
        <w:t>以</w:t>
      </w:r>
      <w:proofErr w:type="gramEnd"/>
      <w:r w:rsidRPr="00A648E3">
        <w:rPr>
          <w:rFonts w:hint="eastAsia"/>
        </w:rPr>
        <w:t>：</w:t>
      </w:r>
    </w:p>
    <w:p w14:paraId="5081B295" w14:textId="3A92AF75" w:rsidR="00531760" w:rsidRPr="00A648E3" w:rsidRDefault="00531760" w:rsidP="00531760">
      <w:pPr>
        <w:pStyle w:val="5"/>
      </w:pPr>
      <w:r w:rsidRPr="00A648E3">
        <w:rPr>
          <w:rFonts w:hint="eastAsia"/>
        </w:rPr>
        <w:t>適用性工法之職場性騷擾事件，倘考量性平會應優先處理校園性別事件，依工作場所性騷擾防治措施準則第12條第2項規定，僱用受</w:t>
      </w:r>
      <w:proofErr w:type="gramStart"/>
      <w:r w:rsidRPr="00A648E3">
        <w:rPr>
          <w:rFonts w:hint="eastAsia"/>
        </w:rPr>
        <w:t>僱</w:t>
      </w:r>
      <w:proofErr w:type="gramEnd"/>
      <w:r w:rsidRPr="00A648E3">
        <w:rPr>
          <w:rFonts w:hint="eastAsia"/>
        </w:rPr>
        <w:t>者30人以上之學校應另設工作場所性騷擾申訴處理單位(下</w:t>
      </w:r>
      <w:proofErr w:type="gramStart"/>
      <w:r w:rsidRPr="00A648E3">
        <w:rPr>
          <w:rFonts w:hint="eastAsia"/>
        </w:rPr>
        <w:t>稱申調</w:t>
      </w:r>
      <w:proofErr w:type="gramEnd"/>
      <w:r w:rsidRPr="00A648E3">
        <w:rPr>
          <w:rFonts w:hint="eastAsia"/>
        </w:rPr>
        <w:t>會)；另考量偏鄉小校之人力負擔，受</w:t>
      </w:r>
      <w:proofErr w:type="gramStart"/>
      <w:r w:rsidRPr="00A648E3">
        <w:rPr>
          <w:rFonts w:hint="eastAsia"/>
        </w:rPr>
        <w:t>僱</w:t>
      </w:r>
      <w:proofErr w:type="gramEnd"/>
      <w:r w:rsidRPr="00A648E3">
        <w:rPr>
          <w:rFonts w:hint="eastAsia"/>
        </w:rPr>
        <w:t>者未達30人之學校，得由該校之「性平會」依</w:t>
      </w:r>
      <w:hyperlink r:id="rId9" w:history="1">
        <w:r w:rsidRPr="00A648E3">
          <w:rPr>
            <w:rFonts w:hint="eastAsia"/>
          </w:rPr>
          <w:t>工作場所性騷擾防治措施準則</w:t>
        </w:r>
      </w:hyperlink>
      <w:r w:rsidRPr="00A648E3">
        <w:rPr>
          <w:rFonts w:hint="eastAsia"/>
        </w:rPr>
        <w:t>處理職場性騷擾申訴事宜，以符不同法</w:t>
      </w:r>
      <w:r w:rsidRPr="00A648E3">
        <w:rPr>
          <w:rFonts w:hint="eastAsia"/>
        </w:rPr>
        <w:lastRenderedPageBreak/>
        <w:t>律之規範目的及調查專業權責。</w:t>
      </w:r>
    </w:p>
    <w:p w14:paraId="450A21F4" w14:textId="4ECC3CA2" w:rsidR="00431C83" w:rsidRPr="00A648E3" w:rsidRDefault="00531760" w:rsidP="00531760">
      <w:pPr>
        <w:pStyle w:val="5"/>
        <w:rPr>
          <w:bCs w:val="0"/>
        </w:rPr>
      </w:pPr>
      <w:r w:rsidRPr="00A648E3">
        <w:rPr>
          <w:rFonts w:hint="eastAsia"/>
        </w:rPr>
        <w:t>適用性</w:t>
      </w:r>
      <w:proofErr w:type="gramStart"/>
      <w:r w:rsidRPr="00A648E3">
        <w:rPr>
          <w:rFonts w:hint="eastAsia"/>
        </w:rPr>
        <w:t>騷</w:t>
      </w:r>
      <w:proofErr w:type="gramEnd"/>
      <w:r w:rsidRPr="00A648E3">
        <w:rPr>
          <w:rFonts w:hint="eastAsia"/>
        </w:rPr>
        <w:t>法之性騷擾事件：行為人為教職員工時，學校應依性</w:t>
      </w:r>
      <w:proofErr w:type="gramStart"/>
      <w:r w:rsidRPr="00A648E3">
        <w:rPr>
          <w:rFonts w:hint="eastAsia"/>
        </w:rPr>
        <w:t>騷</w:t>
      </w:r>
      <w:proofErr w:type="gramEnd"/>
      <w:r w:rsidRPr="00A648E3">
        <w:rPr>
          <w:rFonts w:hint="eastAsia"/>
        </w:rPr>
        <w:t>法組成申訴處理調查單位，不得委託學校性平會調查；行為人為學生時，則得視年齡及身心發展之必要考量，委託學校性平會調查，並於處理建議得結合性別平等教育，提供教育輔導措施。</w:t>
      </w:r>
    </w:p>
    <w:p w14:paraId="3D22A4C8" w14:textId="1B377B1B" w:rsidR="00D846E2" w:rsidRPr="00A648E3" w:rsidRDefault="00D846E2" w:rsidP="00531760">
      <w:pPr>
        <w:pStyle w:val="4"/>
      </w:pPr>
      <w:r w:rsidRPr="00A648E3">
        <w:rPr>
          <w:rFonts w:hint="eastAsia"/>
        </w:rPr>
        <w:t>東華大學人員到院並說明</w:t>
      </w:r>
      <w:r w:rsidRPr="00A648E3">
        <w:rPr>
          <w:rFonts w:hAnsi="Times New Roman" w:hint="eastAsia"/>
          <w:szCs w:val="20"/>
        </w:rPr>
        <w:t>：「</w:t>
      </w:r>
      <w:r w:rsidRPr="00A648E3">
        <w:rPr>
          <w:rFonts w:hint="eastAsia"/>
        </w:rPr>
        <w:t>1120808號案屬性工法案件，但因為調查分工，性平會接受人事室委託進行調查，故依據</w:t>
      </w:r>
      <w:proofErr w:type="gramStart"/>
      <w:r w:rsidRPr="00A648E3">
        <w:rPr>
          <w:rFonts w:hint="eastAsia"/>
        </w:rPr>
        <w:t>性平法辦理</w:t>
      </w:r>
      <w:proofErr w:type="gramEnd"/>
      <w:r w:rsidRPr="00A648E3">
        <w:rPr>
          <w:rFonts w:hint="eastAsia"/>
        </w:rPr>
        <w:t>。…</w:t>
      </w:r>
      <w:proofErr w:type="gramStart"/>
      <w:r w:rsidRPr="00A648E3">
        <w:rPr>
          <w:rFonts w:hint="eastAsia"/>
        </w:rPr>
        <w:t>…</w:t>
      </w:r>
      <w:proofErr w:type="gramEnd"/>
      <w:r w:rsidRPr="00A648E3">
        <w:rPr>
          <w:rFonts w:hint="eastAsia"/>
        </w:rPr>
        <w:t>第1次調查</w:t>
      </w:r>
      <w:proofErr w:type="gramStart"/>
      <w:r w:rsidRPr="00A648E3">
        <w:rPr>
          <w:rFonts w:hint="eastAsia"/>
        </w:rPr>
        <w:t>循性平法</w:t>
      </w:r>
      <w:proofErr w:type="gramEnd"/>
      <w:r w:rsidRPr="00A648E3">
        <w:rPr>
          <w:rFonts w:hint="eastAsia"/>
        </w:rPr>
        <w:t>辦理，係因為性平會</w:t>
      </w:r>
      <w:proofErr w:type="gramStart"/>
      <w:r w:rsidRPr="00A648E3">
        <w:rPr>
          <w:rFonts w:hint="eastAsia"/>
        </w:rPr>
        <w:t>即性平法</w:t>
      </w:r>
      <w:proofErr w:type="gramEnd"/>
      <w:r w:rsidRPr="00A648E3">
        <w:rPr>
          <w:rFonts w:hint="eastAsia"/>
        </w:rPr>
        <w:t>的體系。</w:t>
      </w:r>
      <w:r w:rsidRPr="00A648E3">
        <w:rPr>
          <w:rFonts w:hAnsi="Times New Roman" w:hint="eastAsia"/>
          <w:szCs w:val="20"/>
        </w:rPr>
        <w:t>」、「</w:t>
      </w:r>
      <w:proofErr w:type="gramStart"/>
      <w:r w:rsidRPr="00A648E3">
        <w:rPr>
          <w:rFonts w:hAnsi="Times New Roman" w:hint="eastAsia"/>
          <w:szCs w:val="20"/>
        </w:rPr>
        <w:t>因為</w:t>
      </w:r>
      <w:r w:rsidRPr="00A648E3">
        <w:rPr>
          <w:rFonts w:hint="eastAsia"/>
        </w:rPr>
        <w:t>性工法</w:t>
      </w:r>
      <w:proofErr w:type="gramEnd"/>
      <w:r w:rsidRPr="00A648E3">
        <w:rPr>
          <w:rFonts w:hint="eastAsia"/>
        </w:rPr>
        <w:t>過去對於調查程序的規範比較模糊</w:t>
      </w:r>
      <w:r w:rsidRPr="00A648E3">
        <w:rPr>
          <w:rFonts w:hAnsi="Times New Roman" w:hint="eastAsia"/>
          <w:szCs w:val="20"/>
        </w:rPr>
        <w:t>」等語。</w:t>
      </w:r>
    </w:p>
    <w:p w14:paraId="4F181F40" w14:textId="06A8F5DB" w:rsidR="00531760" w:rsidRPr="00A648E3" w:rsidRDefault="00531760" w:rsidP="00531760">
      <w:pPr>
        <w:pStyle w:val="4"/>
      </w:pPr>
      <w:r w:rsidRPr="00A648E3">
        <w:rPr>
          <w:rFonts w:hint="eastAsia"/>
        </w:rPr>
        <w:t>是</w:t>
      </w:r>
      <w:proofErr w:type="gramStart"/>
      <w:r w:rsidRPr="00A648E3">
        <w:rPr>
          <w:rFonts w:hint="eastAsia"/>
        </w:rPr>
        <w:t>以</w:t>
      </w:r>
      <w:proofErr w:type="gramEnd"/>
      <w:r w:rsidRPr="00A648E3">
        <w:rPr>
          <w:rFonts w:hint="eastAsia"/>
        </w:rPr>
        <w:t>，</w:t>
      </w:r>
      <w:r w:rsidR="00116FD3" w:rsidRPr="00A648E3">
        <w:rPr>
          <w:rFonts w:hint="eastAsia"/>
        </w:rPr>
        <w:t>發生在校園之適用性工法</w:t>
      </w:r>
      <w:r w:rsidR="00133B5A" w:rsidRPr="00A648E3">
        <w:rPr>
          <w:rFonts w:hint="eastAsia"/>
        </w:rPr>
        <w:t>的</w:t>
      </w:r>
      <w:r w:rsidR="00116FD3" w:rsidRPr="00A648E3">
        <w:rPr>
          <w:rFonts w:hint="eastAsia"/>
        </w:rPr>
        <w:t>性別事件，</w:t>
      </w:r>
      <w:r w:rsidR="00D846E2" w:rsidRPr="00A648E3">
        <w:rPr>
          <w:rFonts w:hint="eastAsia"/>
        </w:rPr>
        <w:t>114年1月以前，</w:t>
      </w:r>
      <w:proofErr w:type="gramStart"/>
      <w:r w:rsidR="00D846E2" w:rsidRPr="00A648E3">
        <w:rPr>
          <w:rFonts w:hint="eastAsia"/>
        </w:rPr>
        <w:t>因性工法</w:t>
      </w:r>
      <w:proofErr w:type="gramEnd"/>
      <w:r w:rsidR="00D846E2" w:rsidRPr="00A648E3">
        <w:rPr>
          <w:rFonts w:hint="eastAsia"/>
        </w:rPr>
        <w:t>對於調查程序之規範密度，顯</w:t>
      </w:r>
      <w:proofErr w:type="gramStart"/>
      <w:r w:rsidR="00D846E2" w:rsidRPr="00A648E3">
        <w:rPr>
          <w:rFonts w:hint="eastAsia"/>
        </w:rPr>
        <w:t>較性平法</w:t>
      </w:r>
      <w:proofErr w:type="gramEnd"/>
      <w:r w:rsidR="00D846E2" w:rsidRPr="00A648E3">
        <w:rPr>
          <w:rFonts w:hint="eastAsia"/>
        </w:rPr>
        <w:t>不足，教育部門係採用</w:t>
      </w:r>
      <w:proofErr w:type="gramStart"/>
      <w:r w:rsidR="00D846E2" w:rsidRPr="00A648E3">
        <w:rPr>
          <w:rFonts w:hint="eastAsia"/>
        </w:rPr>
        <w:t>性平法所</w:t>
      </w:r>
      <w:proofErr w:type="gramEnd"/>
      <w:r w:rsidR="00D846E2" w:rsidRPr="00A648E3">
        <w:rPr>
          <w:rFonts w:hint="eastAsia"/>
        </w:rPr>
        <w:t>定程序、措施予以處理，而有東華大學性別事件1120808號案</w:t>
      </w:r>
      <w:r w:rsidR="000025C2" w:rsidRPr="00A648E3">
        <w:rPr>
          <w:rFonts w:hint="eastAsia"/>
        </w:rPr>
        <w:t>依據</w:t>
      </w:r>
      <w:proofErr w:type="gramStart"/>
      <w:r w:rsidR="000025C2" w:rsidRPr="00A648E3">
        <w:rPr>
          <w:rFonts w:hint="eastAsia"/>
        </w:rPr>
        <w:t>性平法程序</w:t>
      </w:r>
      <w:proofErr w:type="gramEnd"/>
      <w:r w:rsidR="000025C2" w:rsidRPr="00A648E3">
        <w:rPr>
          <w:rFonts w:hint="eastAsia"/>
        </w:rPr>
        <w:t>、</w:t>
      </w:r>
      <w:r w:rsidR="00D846E2" w:rsidRPr="00A648E3">
        <w:rPr>
          <w:rFonts w:hint="eastAsia"/>
        </w:rPr>
        <w:t>以</w:t>
      </w:r>
      <w:r w:rsidR="00D846E2" w:rsidRPr="00A648E3">
        <w:rPr>
          <w:rFonts w:hAnsi="標楷體" w:hint="eastAsia"/>
          <w:spacing w:val="-6"/>
          <w:szCs w:val="32"/>
        </w:rPr>
        <w:t>「</w:t>
      </w:r>
      <w:r w:rsidR="00D846E2" w:rsidRPr="00A648E3">
        <w:rPr>
          <w:rFonts w:hAnsi="標楷體"/>
          <w:spacing w:val="-6"/>
          <w:szCs w:val="32"/>
        </w:rPr>
        <w:t>教育部校園性侵害性騷</w:t>
      </w:r>
      <w:r w:rsidR="00D846E2" w:rsidRPr="00A648E3">
        <w:rPr>
          <w:rFonts w:hAnsi="標楷體"/>
        </w:rPr>
        <w:t>擾或</w:t>
      </w:r>
      <w:proofErr w:type="gramStart"/>
      <w:r w:rsidR="00D846E2" w:rsidRPr="00A648E3">
        <w:rPr>
          <w:rFonts w:hAnsi="標楷體"/>
        </w:rPr>
        <w:t>性霸凌</w:t>
      </w:r>
      <w:proofErr w:type="gramEnd"/>
      <w:r w:rsidR="00D846E2" w:rsidRPr="00A648E3">
        <w:rPr>
          <w:rFonts w:hAnsi="標楷體"/>
        </w:rPr>
        <w:t>事件調查專業人才庫</w:t>
      </w:r>
      <w:r w:rsidR="00D846E2" w:rsidRPr="00A648E3">
        <w:rPr>
          <w:rFonts w:hAnsi="標楷體" w:hint="eastAsia"/>
        </w:rPr>
        <w:t>」人員進行調查之情形；惟為保障</w:t>
      </w:r>
      <w:r w:rsidR="0081652E" w:rsidRPr="00A648E3">
        <w:rPr>
          <w:rFonts w:hAnsi="標楷體" w:hint="eastAsia"/>
        </w:rPr>
        <w:t>且</w:t>
      </w:r>
      <w:proofErr w:type="gramStart"/>
      <w:r w:rsidR="0081652E" w:rsidRPr="00A648E3">
        <w:rPr>
          <w:rFonts w:hAnsi="標楷體" w:hint="eastAsia"/>
        </w:rPr>
        <w:t>區別</w:t>
      </w:r>
      <w:r w:rsidR="00D846E2" w:rsidRPr="00A648E3">
        <w:rPr>
          <w:rFonts w:hAnsi="標楷體" w:hint="eastAsia"/>
        </w:rPr>
        <w:t>性工法</w:t>
      </w:r>
      <w:proofErr w:type="gramEnd"/>
      <w:r w:rsidR="00D846E2" w:rsidRPr="00A648E3">
        <w:rPr>
          <w:rFonts w:hAnsi="標楷體" w:hint="eastAsia"/>
        </w:rPr>
        <w:t>/</w:t>
      </w:r>
      <w:proofErr w:type="gramStart"/>
      <w:r w:rsidR="00D846E2" w:rsidRPr="00A648E3">
        <w:rPr>
          <w:rFonts w:hAnsi="標楷體" w:hint="eastAsia"/>
        </w:rPr>
        <w:t>性平法</w:t>
      </w:r>
      <w:r w:rsidR="00D846E2" w:rsidRPr="00A648E3">
        <w:rPr>
          <w:rFonts w:hint="eastAsia"/>
        </w:rPr>
        <w:t>不同</w:t>
      </w:r>
      <w:proofErr w:type="gramEnd"/>
      <w:r w:rsidR="00D846E2" w:rsidRPr="00A648E3">
        <w:rPr>
          <w:rFonts w:hint="eastAsia"/>
        </w:rPr>
        <w:t>之法律規範目的及調查專業權責，</w:t>
      </w:r>
      <w:r w:rsidR="00116FD3" w:rsidRPr="00A648E3">
        <w:rPr>
          <w:rFonts w:hint="eastAsia"/>
        </w:rPr>
        <w:t>自今(114)年起</w:t>
      </w:r>
      <w:r w:rsidR="00D846E2" w:rsidRPr="00A648E3">
        <w:rPr>
          <w:rFonts w:hint="eastAsia"/>
        </w:rPr>
        <w:t>，始見</w:t>
      </w:r>
      <w:r w:rsidR="00614161">
        <w:rPr>
          <w:rFonts w:hint="eastAsia"/>
        </w:rPr>
        <w:t>教育部</w:t>
      </w:r>
      <w:proofErr w:type="gramStart"/>
      <w:r w:rsidR="00614161">
        <w:rPr>
          <w:rFonts w:hint="eastAsia"/>
        </w:rPr>
        <w:t>對</w:t>
      </w:r>
      <w:r w:rsidR="00D846E2" w:rsidRPr="00A648E3">
        <w:rPr>
          <w:rFonts w:hint="eastAsia"/>
        </w:rPr>
        <w:t>性工法</w:t>
      </w:r>
      <w:proofErr w:type="gramEnd"/>
      <w:r w:rsidR="00D846E2" w:rsidRPr="00A648E3">
        <w:rPr>
          <w:rFonts w:hint="eastAsia"/>
        </w:rPr>
        <w:t>、</w:t>
      </w:r>
      <w:proofErr w:type="gramStart"/>
      <w:r w:rsidR="00D846E2" w:rsidRPr="00A648E3">
        <w:rPr>
          <w:rFonts w:hint="eastAsia"/>
        </w:rPr>
        <w:t>性平法案件</w:t>
      </w:r>
      <w:proofErr w:type="gramEnd"/>
      <w:r w:rsidR="00D846E2" w:rsidRPr="00A648E3">
        <w:rPr>
          <w:rFonts w:hint="eastAsia"/>
        </w:rPr>
        <w:t>分流處理之明確規範。</w:t>
      </w:r>
    </w:p>
    <w:p w14:paraId="613432FF" w14:textId="1AEC73AE" w:rsidR="00133B5A" w:rsidRPr="00A648E3" w:rsidRDefault="00AB2752" w:rsidP="00D846E2">
      <w:pPr>
        <w:pStyle w:val="3"/>
      </w:pPr>
      <w:r w:rsidRPr="00A648E3">
        <w:rPr>
          <w:rFonts w:hAnsi="標楷體" w:hint="eastAsia"/>
        </w:rPr>
        <w:t>據勞動部代表到院說明：「性平三法之間是有層次的，有</w:t>
      </w:r>
      <w:proofErr w:type="gramStart"/>
      <w:r w:rsidRPr="00A648E3">
        <w:rPr>
          <w:rFonts w:hAnsi="標楷體" w:hint="eastAsia"/>
        </w:rPr>
        <w:t>性平法的</w:t>
      </w:r>
      <w:proofErr w:type="gramEnd"/>
      <w:r w:rsidRPr="00A648E3">
        <w:rPr>
          <w:rFonts w:hAnsi="標楷體" w:hint="eastAsia"/>
        </w:rPr>
        <w:t>適用，先</w:t>
      </w:r>
      <w:proofErr w:type="gramStart"/>
      <w:r w:rsidRPr="00A648E3">
        <w:rPr>
          <w:rFonts w:hAnsi="標楷體" w:hint="eastAsia"/>
        </w:rPr>
        <w:t>適用性平法</w:t>
      </w:r>
      <w:proofErr w:type="gramEnd"/>
      <w:r w:rsidRPr="00A648E3">
        <w:rPr>
          <w:rFonts w:hAnsi="標楷體" w:hint="eastAsia"/>
        </w:rPr>
        <w:t>，</w:t>
      </w:r>
      <w:proofErr w:type="gramStart"/>
      <w:r w:rsidRPr="00A648E3">
        <w:rPr>
          <w:rFonts w:hAnsi="標楷體" w:hint="eastAsia"/>
        </w:rPr>
        <w:t>性平法須</w:t>
      </w:r>
      <w:proofErr w:type="gramEnd"/>
      <w:r w:rsidRPr="00A648E3">
        <w:rPr>
          <w:rFonts w:hAnsi="標楷體" w:hint="eastAsia"/>
        </w:rPr>
        <w:t>一方是學生；沒有</w:t>
      </w:r>
      <w:proofErr w:type="gramStart"/>
      <w:r w:rsidRPr="00A648E3">
        <w:rPr>
          <w:rFonts w:hAnsi="標楷體" w:hint="eastAsia"/>
        </w:rPr>
        <w:t>性平法適用</w:t>
      </w:r>
      <w:proofErr w:type="gramEnd"/>
      <w:r w:rsidRPr="00A648E3">
        <w:rPr>
          <w:rFonts w:hAnsi="標楷體" w:hint="eastAsia"/>
        </w:rPr>
        <w:t>者，譬如本案兩人都是教師，則</w:t>
      </w:r>
      <w:proofErr w:type="gramStart"/>
      <w:r w:rsidRPr="00A648E3">
        <w:rPr>
          <w:rFonts w:hAnsi="標楷體" w:hint="eastAsia"/>
        </w:rPr>
        <w:t>回到性工法</w:t>
      </w:r>
      <w:proofErr w:type="gramEnd"/>
      <w:r w:rsidRPr="00A648E3">
        <w:rPr>
          <w:rFonts w:hAnsi="標楷體" w:hint="eastAsia"/>
        </w:rPr>
        <w:t>，至於不是性平也</w:t>
      </w:r>
      <w:proofErr w:type="gramStart"/>
      <w:r w:rsidRPr="00A648E3">
        <w:rPr>
          <w:rFonts w:hAnsi="標楷體" w:hint="eastAsia"/>
        </w:rPr>
        <w:t>不是性工的</w:t>
      </w:r>
      <w:proofErr w:type="gramEnd"/>
      <w:r w:rsidRPr="00A648E3">
        <w:rPr>
          <w:rFonts w:hAnsi="標楷體" w:hint="eastAsia"/>
        </w:rPr>
        <w:t>，就適用性</w:t>
      </w:r>
      <w:proofErr w:type="gramStart"/>
      <w:r w:rsidRPr="00A648E3">
        <w:rPr>
          <w:rFonts w:hAnsi="標楷體" w:hint="eastAsia"/>
        </w:rPr>
        <w:t>騷</w:t>
      </w:r>
      <w:proofErr w:type="gramEnd"/>
      <w:r w:rsidRPr="00A648E3">
        <w:rPr>
          <w:rFonts w:hAnsi="標楷體" w:hint="eastAsia"/>
        </w:rPr>
        <w:t>法。」並稱「(</w:t>
      </w:r>
      <w:r w:rsidRPr="00A648E3">
        <w:t>勞動部工作場所性騷擾調查專業人才資料庫</w:t>
      </w:r>
      <w:r w:rsidRPr="00A648E3">
        <w:rPr>
          <w:rFonts w:hint="eastAsia"/>
        </w:rPr>
        <w:t>)</w:t>
      </w:r>
      <w:r w:rsidRPr="00A648E3">
        <w:rPr>
          <w:rFonts w:hAnsi="標楷體" w:hint="eastAsia"/>
        </w:rPr>
        <w:t>人才</w:t>
      </w:r>
      <w:r w:rsidRPr="00A648E3">
        <w:rPr>
          <w:rFonts w:hAnsi="標楷體" w:hint="eastAsia"/>
          <w:szCs w:val="32"/>
        </w:rPr>
        <w:t>訓練上，與教育部人才庫的訓練不同</w:t>
      </w:r>
      <w:r w:rsidRPr="00A648E3">
        <w:rPr>
          <w:rFonts w:hint="eastAsia"/>
        </w:rPr>
        <w:t>」等語；</w:t>
      </w:r>
      <w:r w:rsidR="00E93CE6" w:rsidRPr="00A648E3">
        <w:rPr>
          <w:rFonts w:hint="eastAsia"/>
        </w:rPr>
        <w:t>是</w:t>
      </w:r>
      <w:proofErr w:type="gramStart"/>
      <w:r w:rsidR="00E93CE6" w:rsidRPr="00A648E3">
        <w:rPr>
          <w:rFonts w:hint="eastAsia"/>
        </w:rPr>
        <w:t>以</w:t>
      </w:r>
      <w:proofErr w:type="gramEnd"/>
      <w:r w:rsidR="00E93CE6" w:rsidRPr="00A648E3">
        <w:rPr>
          <w:rFonts w:hint="eastAsia"/>
        </w:rPr>
        <w:t>，</w:t>
      </w:r>
      <w:r w:rsidRPr="00A648E3">
        <w:rPr>
          <w:rFonts w:hint="eastAsia"/>
        </w:rPr>
        <w:t>東華大學</w:t>
      </w:r>
      <w:proofErr w:type="gramStart"/>
      <w:r w:rsidRPr="00A648E3">
        <w:rPr>
          <w:rFonts w:hint="eastAsia"/>
        </w:rPr>
        <w:t>針對甲師申訴</w:t>
      </w:r>
      <w:proofErr w:type="gramEnd"/>
      <w:r w:rsidRPr="00A648E3">
        <w:rPr>
          <w:rFonts w:hint="eastAsia"/>
        </w:rPr>
        <w:lastRenderedPageBreak/>
        <w:t>之性別事件，前後2次調查處理之</w:t>
      </w:r>
      <w:r w:rsidR="0081652E" w:rsidRPr="00A648E3">
        <w:rPr>
          <w:rFonts w:hint="eastAsia"/>
        </w:rPr>
        <w:t>差異</w:t>
      </w:r>
      <w:r w:rsidRPr="00A648E3">
        <w:rPr>
          <w:rFonts w:hint="eastAsia"/>
        </w:rPr>
        <w:t>作法，</w:t>
      </w:r>
      <w:r w:rsidR="00103E93" w:rsidRPr="00A648E3">
        <w:rPr>
          <w:rFonts w:hint="eastAsia"/>
        </w:rPr>
        <w:t>姑且尚</w:t>
      </w:r>
      <w:r w:rsidRPr="00A648E3">
        <w:rPr>
          <w:rFonts w:hint="eastAsia"/>
        </w:rPr>
        <w:t>無適法性問題，</w:t>
      </w:r>
      <w:proofErr w:type="gramStart"/>
      <w:r w:rsidRPr="00A648E3">
        <w:rPr>
          <w:rFonts w:hint="eastAsia"/>
        </w:rPr>
        <w:t>惟</w:t>
      </w:r>
      <w:r w:rsidR="00E93CE6" w:rsidRPr="00A648E3">
        <w:rPr>
          <w:rFonts w:hint="eastAsia"/>
        </w:rPr>
        <w:t>性工</w:t>
      </w:r>
      <w:proofErr w:type="gramEnd"/>
      <w:r w:rsidR="00E93CE6" w:rsidRPr="00A648E3">
        <w:rPr>
          <w:rFonts w:hint="eastAsia"/>
        </w:rPr>
        <w:t>法、</w:t>
      </w:r>
      <w:proofErr w:type="gramStart"/>
      <w:r w:rsidR="00E93CE6" w:rsidRPr="00A648E3">
        <w:rPr>
          <w:rFonts w:hint="eastAsia"/>
        </w:rPr>
        <w:t>性平法既有</w:t>
      </w:r>
      <w:proofErr w:type="gramEnd"/>
      <w:r w:rsidR="00E93CE6" w:rsidRPr="00A648E3">
        <w:rPr>
          <w:rFonts w:hint="eastAsia"/>
        </w:rPr>
        <w:t>不同之法律規範目的，</w:t>
      </w:r>
      <w:r w:rsidRPr="00A648E3">
        <w:rPr>
          <w:rFonts w:hint="eastAsia"/>
        </w:rPr>
        <w:t>日後對於發生在校園之適用性工法的性別事件，</w:t>
      </w:r>
      <w:r w:rsidR="00E93CE6" w:rsidRPr="00A648E3">
        <w:rPr>
          <w:rFonts w:hint="eastAsia"/>
        </w:rPr>
        <w:t>仍</w:t>
      </w:r>
      <w:r w:rsidRPr="00A648E3">
        <w:rPr>
          <w:rFonts w:hint="eastAsia"/>
        </w:rPr>
        <w:t>應切實</w:t>
      </w:r>
      <w:proofErr w:type="gramStart"/>
      <w:r w:rsidRPr="00A648E3">
        <w:rPr>
          <w:rFonts w:hint="eastAsia"/>
        </w:rPr>
        <w:t>回歸性工法</w:t>
      </w:r>
      <w:proofErr w:type="gramEnd"/>
      <w:r w:rsidRPr="00A648E3">
        <w:rPr>
          <w:rFonts w:hint="eastAsia"/>
        </w:rPr>
        <w:t>之規範及處理程序，以保護當事人法益</w:t>
      </w:r>
      <w:r w:rsidR="00E93CE6" w:rsidRPr="00A648E3">
        <w:rPr>
          <w:rFonts w:hint="eastAsia"/>
        </w:rPr>
        <w:t>，並應由勞動部會同教育部，</w:t>
      </w:r>
      <w:proofErr w:type="gramStart"/>
      <w:r w:rsidR="00E93CE6" w:rsidRPr="00A648E3">
        <w:rPr>
          <w:rFonts w:hint="eastAsia"/>
        </w:rPr>
        <w:t>研</w:t>
      </w:r>
      <w:proofErr w:type="gramEnd"/>
      <w:r w:rsidR="00E93CE6" w:rsidRPr="00A648E3">
        <w:rPr>
          <w:rFonts w:hint="eastAsia"/>
        </w:rPr>
        <w:t>商充實相關</w:t>
      </w:r>
      <w:r w:rsidR="002E6618" w:rsidRPr="00A648E3">
        <w:rPr>
          <w:rFonts w:hint="eastAsia"/>
        </w:rPr>
        <w:t>性工法之</w:t>
      </w:r>
      <w:r w:rsidR="00E93CE6" w:rsidRPr="00A648E3">
        <w:rPr>
          <w:rFonts w:hint="eastAsia"/>
        </w:rPr>
        <w:t>配套措施，以協助校園職場辦理適用性工法之事件</w:t>
      </w:r>
      <w:r w:rsidR="002E6618" w:rsidRPr="00A648E3">
        <w:rPr>
          <w:rFonts w:hint="eastAsia"/>
        </w:rPr>
        <w:t>得更</w:t>
      </w:r>
      <w:proofErr w:type="gramStart"/>
      <w:r w:rsidR="002E6618" w:rsidRPr="00A648E3">
        <w:rPr>
          <w:rFonts w:hint="eastAsia"/>
        </w:rPr>
        <w:t>臻</w:t>
      </w:r>
      <w:proofErr w:type="gramEnd"/>
      <w:r w:rsidR="002E6618" w:rsidRPr="00A648E3">
        <w:rPr>
          <w:rFonts w:hint="eastAsia"/>
        </w:rPr>
        <w:t>圓滿</w:t>
      </w:r>
      <w:r w:rsidRPr="00A648E3">
        <w:rPr>
          <w:rFonts w:hint="eastAsia"/>
        </w:rPr>
        <w:t>。</w:t>
      </w:r>
    </w:p>
    <w:p w14:paraId="269364B4" w14:textId="0F4E2592" w:rsidR="003A007A" w:rsidRPr="00A648E3" w:rsidRDefault="009B3594" w:rsidP="00FA44B4">
      <w:pPr>
        <w:pStyle w:val="3"/>
        <w:rPr>
          <w:rFonts w:hAnsi="標楷體"/>
          <w:szCs w:val="32"/>
        </w:rPr>
      </w:pPr>
      <w:proofErr w:type="gramStart"/>
      <w:r w:rsidRPr="00A648E3">
        <w:rPr>
          <w:rFonts w:hint="eastAsia"/>
        </w:rPr>
        <w:t>此外，</w:t>
      </w:r>
      <w:proofErr w:type="gramEnd"/>
      <w:r w:rsidR="003A007A" w:rsidRPr="00A648E3">
        <w:rPr>
          <w:rFonts w:hint="eastAsia"/>
        </w:rPr>
        <w:t>查東華大學</w:t>
      </w:r>
      <w:r w:rsidR="007F1649" w:rsidRPr="00A648E3">
        <w:rPr>
          <w:rFonts w:hint="eastAsia"/>
        </w:rPr>
        <w:t>第1次調查</w:t>
      </w:r>
      <w:r w:rsidR="00440B43" w:rsidRPr="00A648E3">
        <w:rPr>
          <w:rFonts w:hint="eastAsia"/>
        </w:rPr>
        <w:t>所組之</w:t>
      </w:r>
      <w:r w:rsidR="007F1649" w:rsidRPr="00A648E3">
        <w:rPr>
          <w:rFonts w:hint="eastAsia"/>
        </w:rPr>
        <w:t>3人調查小組</w:t>
      </w:r>
      <w:r w:rsidR="003A007A" w:rsidRPr="00A648E3">
        <w:rPr>
          <w:rFonts w:hint="eastAsia"/>
        </w:rPr>
        <w:t>，</w:t>
      </w:r>
      <w:r w:rsidR="007F1649" w:rsidRPr="00A648E3">
        <w:rPr>
          <w:rFonts w:hint="eastAsia"/>
        </w:rPr>
        <w:t>僅其中1人聘自教育部建置之專業人才庫，另2名調查委員</w:t>
      </w:r>
      <w:r w:rsidR="00C7492A" w:rsidRPr="00A648E3">
        <w:rPr>
          <w:rFonts w:hint="eastAsia"/>
        </w:rPr>
        <w:t>專業資格為「</w:t>
      </w:r>
      <w:r w:rsidR="007F1649" w:rsidRPr="00A648E3">
        <w:rPr>
          <w:rFonts w:hint="eastAsia"/>
        </w:rPr>
        <w:t>律師</w:t>
      </w:r>
      <w:r w:rsidR="00C7492A" w:rsidRPr="00A648E3">
        <w:rPr>
          <w:rFonts w:hint="eastAsia"/>
        </w:rPr>
        <w:t>」</w:t>
      </w:r>
      <w:r w:rsidR="007F1649" w:rsidRPr="00A648E3">
        <w:rPr>
          <w:rFonts w:hint="eastAsia"/>
        </w:rPr>
        <w:t>。對此，東華大學表示，</w:t>
      </w:r>
      <w:r w:rsidR="00440B43" w:rsidRPr="00A648E3">
        <w:rPr>
          <w:rFonts w:hint="eastAsia"/>
        </w:rPr>
        <w:t>依據</w:t>
      </w:r>
      <w:proofErr w:type="gramStart"/>
      <w:r w:rsidR="00440B43" w:rsidRPr="00A648E3">
        <w:rPr>
          <w:rFonts w:hint="eastAsia"/>
        </w:rPr>
        <w:t>性平法第33條</w:t>
      </w:r>
      <w:proofErr w:type="gramEnd"/>
      <w:r w:rsidR="00440B43" w:rsidRPr="00A648E3">
        <w:rPr>
          <w:rFonts w:hint="eastAsia"/>
        </w:rPr>
        <w:t>第2、3項規定</w:t>
      </w:r>
      <w:r w:rsidR="00440B43" w:rsidRPr="00A648E3">
        <w:rPr>
          <w:rStyle w:val="afe"/>
        </w:rPr>
        <w:footnoteReference w:id="9"/>
      </w:r>
      <w:r w:rsidR="00440B43" w:rsidRPr="00A648E3">
        <w:rPr>
          <w:rFonts w:hint="eastAsia"/>
        </w:rPr>
        <w:t>，</w:t>
      </w:r>
      <w:r w:rsidR="00440B43" w:rsidRPr="00A648E3">
        <w:rPr>
          <w:rFonts w:hAnsi="標楷體" w:hint="eastAsia"/>
        </w:rPr>
        <w:t>調查小組成員僅需至少配置1人為人才資料庫人員，尚毋須「皆」屬性別事件調查專業素養之人才庫人員，且該校為辦理該次調查，所聘辦理調查工作之律師，</w:t>
      </w:r>
      <w:r w:rsidR="00EF207C" w:rsidRPr="00A648E3">
        <w:rPr>
          <w:rFonts w:hAnsi="標楷體" w:hint="eastAsia"/>
        </w:rPr>
        <w:t>為花蓮縣政府性騷擾防治委員，雖非屬教育部人才庫之人員，實具</w:t>
      </w:r>
      <w:r w:rsidR="00440B43" w:rsidRPr="00A648E3">
        <w:rPr>
          <w:rFonts w:hAnsi="標楷體" w:hint="eastAsia"/>
        </w:rPr>
        <w:t>法律專業及性別平等意識。</w:t>
      </w:r>
      <w:proofErr w:type="gramStart"/>
      <w:r w:rsidR="00440B43" w:rsidRPr="00A648E3">
        <w:rPr>
          <w:rFonts w:hAnsi="標楷體" w:hint="eastAsia"/>
        </w:rPr>
        <w:t>惟</w:t>
      </w:r>
      <w:proofErr w:type="gramEnd"/>
      <w:r w:rsidR="0020235A" w:rsidRPr="00A648E3">
        <w:rPr>
          <w:rFonts w:hAnsi="標楷體" w:hint="eastAsia"/>
        </w:rPr>
        <w:t>律師之專業訓練，與「性別事件調查之專業」仍屬有別，適用性</w:t>
      </w:r>
      <w:proofErr w:type="gramStart"/>
      <w:r w:rsidR="0020235A" w:rsidRPr="00A648E3">
        <w:rPr>
          <w:rFonts w:hAnsi="標楷體" w:hint="eastAsia"/>
        </w:rPr>
        <w:t>平法、性工</w:t>
      </w:r>
      <w:proofErr w:type="gramEnd"/>
      <w:r w:rsidR="0020235A" w:rsidRPr="00A648E3">
        <w:rPr>
          <w:rFonts w:hAnsi="標楷體" w:hint="eastAsia"/>
        </w:rPr>
        <w:t>法之性別事件，</w:t>
      </w:r>
      <w:r w:rsidR="00EF207C" w:rsidRPr="00A648E3">
        <w:rPr>
          <w:rFonts w:hAnsi="標楷體" w:hint="eastAsia"/>
        </w:rPr>
        <w:t>亦</w:t>
      </w:r>
      <w:r w:rsidR="0020235A" w:rsidRPr="00A648E3">
        <w:rPr>
          <w:rFonts w:hAnsi="標楷體" w:hint="eastAsia"/>
        </w:rPr>
        <w:t>因當事人身分、性騷擾性侵害行為態樣有別，則為了</w:t>
      </w:r>
      <w:r w:rsidR="0020235A" w:rsidRPr="00A648E3">
        <w:rPr>
          <w:rFonts w:hint="eastAsia"/>
        </w:rPr>
        <w:t>落實各種性別事件之公正客觀專業調查，</w:t>
      </w:r>
      <w:r w:rsidR="00706B3F" w:rsidRPr="00A648E3">
        <w:rPr>
          <w:rFonts w:hint="eastAsia"/>
        </w:rPr>
        <w:t>應全面精進校園性別事件之調查人員專業並</w:t>
      </w:r>
      <w:r w:rsidR="00EF207C" w:rsidRPr="00A648E3">
        <w:rPr>
          <w:rFonts w:hint="eastAsia"/>
        </w:rPr>
        <w:t>明確其</w:t>
      </w:r>
      <w:r w:rsidR="0020235A" w:rsidRPr="00A648E3">
        <w:rPr>
          <w:rFonts w:hint="eastAsia"/>
        </w:rPr>
        <w:t>專業資格要求</w:t>
      </w:r>
      <w:r w:rsidR="004E7527" w:rsidRPr="00A648E3">
        <w:rPr>
          <w:rFonts w:hint="eastAsia"/>
        </w:rPr>
        <w:t>。</w:t>
      </w:r>
    </w:p>
    <w:p w14:paraId="31C66659" w14:textId="034EB3B6" w:rsidR="009B3594" w:rsidRPr="00A648E3" w:rsidRDefault="003A007A" w:rsidP="00FA44B4">
      <w:pPr>
        <w:pStyle w:val="3"/>
        <w:rPr>
          <w:rFonts w:hAnsi="標楷體"/>
          <w:szCs w:val="32"/>
        </w:rPr>
      </w:pPr>
      <w:proofErr w:type="gramStart"/>
      <w:r w:rsidRPr="00A648E3">
        <w:rPr>
          <w:rFonts w:hint="eastAsia"/>
        </w:rPr>
        <w:t>另</w:t>
      </w:r>
      <w:proofErr w:type="gramEnd"/>
      <w:r w:rsidRPr="00A648E3">
        <w:rPr>
          <w:rFonts w:hint="eastAsia"/>
        </w:rPr>
        <w:t>，</w:t>
      </w:r>
      <w:r w:rsidR="009B3594" w:rsidRPr="00A648E3">
        <w:rPr>
          <w:rFonts w:hint="eastAsia"/>
        </w:rPr>
        <w:t>東華大學</w:t>
      </w:r>
      <w:r w:rsidR="00E93CE6" w:rsidRPr="00A648E3">
        <w:rPr>
          <w:rFonts w:hint="eastAsia"/>
        </w:rPr>
        <w:t>代表到院</w:t>
      </w:r>
      <w:r w:rsidR="009B3594" w:rsidRPr="00A648E3">
        <w:rPr>
          <w:rFonts w:hint="eastAsia"/>
        </w:rPr>
        <w:t>反映</w:t>
      </w:r>
      <w:r w:rsidR="00E93CE6" w:rsidRPr="00A648E3">
        <w:rPr>
          <w:rFonts w:hint="eastAsia"/>
        </w:rPr>
        <w:t>，</w:t>
      </w:r>
      <w:r w:rsidR="0020235A" w:rsidRPr="00A648E3">
        <w:rPr>
          <w:rFonts w:hint="eastAsia"/>
        </w:rPr>
        <w:t>「</w:t>
      </w:r>
      <w:proofErr w:type="gramStart"/>
      <w:r w:rsidR="0020235A" w:rsidRPr="00A648E3">
        <w:rPr>
          <w:rFonts w:hAnsi="標楷體" w:hint="eastAsia"/>
        </w:rPr>
        <w:t>勞動部的人才</w:t>
      </w:r>
      <w:proofErr w:type="gramEnd"/>
      <w:r w:rsidR="0020235A" w:rsidRPr="00A648E3">
        <w:rPr>
          <w:rFonts w:hAnsi="標楷體" w:hint="eastAsia"/>
        </w:rPr>
        <w:t>庫分布主要在</w:t>
      </w:r>
      <w:proofErr w:type="gramStart"/>
      <w:r w:rsidR="0020235A" w:rsidRPr="00A648E3">
        <w:rPr>
          <w:rFonts w:hAnsi="標楷體" w:hint="eastAsia"/>
        </w:rPr>
        <w:t>北部，</w:t>
      </w:r>
      <w:proofErr w:type="gramEnd"/>
      <w:r w:rsidR="0020235A" w:rsidRPr="00A648E3">
        <w:rPr>
          <w:rFonts w:hAnsi="標楷體" w:hint="eastAsia"/>
        </w:rPr>
        <w:t>不利偏鄉學校」，又</w:t>
      </w:r>
      <w:r w:rsidR="00E93CE6" w:rsidRPr="00A648E3">
        <w:rPr>
          <w:rFonts w:hint="eastAsia"/>
        </w:rPr>
        <w:t>無論係</w:t>
      </w:r>
      <w:r w:rsidR="00E93CE6" w:rsidRPr="00A648E3">
        <w:rPr>
          <w:rFonts w:hAnsi="標楷體" w:hint="eastAsia"/>
          <w:szCs w:val="32"/>
        </w:rPr>
        <w:t>教育部或勞動部建置之調查專業人才庫，對於該校而言，</w:t>
      </w:r>
      <w:proofErr w:type="gramStart"/>
      <w:r w:rsidR="00E93CE6" w:rsidRPr="00A648E3">
        <w:rPr>
          <w:rFonts w:hAnsi="標楷體" w:hint="eastAsia"/>
          <w:szCs w:val="32"/>
        </w:rPr>
        <w:t>均有調查</w:t>
      </w:r>
      <w:proofErr w:type="gramEnd"/>
      <w:r w:rsidR="00E93CE6" w:rsidRPr="00A648E3">
        <w:rPr>
          <w:rFonts w:hAnsi="標楷體" w:hint="eastAsia"/>
          <w:szCs w:val="32"/>
        </w:rPr>
        <w:t>人力</w:t>
      </w:r>
      <w:proofErr w:type="gramStart"/>
      <w:r w:rsidR="00E93CE6" w:rsidRPr="00A648E3">
        <w:rPr>
          <w:rFonts w:hAnsi="標楷體" w:hint="eastAsia"/>
          <w:szCs w:val="32"/>
        </w:rPr>
        <w:t>難以聘得之</w:t>
      </w:r>
      <w:proofErr w:type="gramEnd"/>
      <w:r w:rsidR="00E93CE6" w:rsidRPr="00A648E3">
        <w:rPr>
          <w:rFonts w:hAnsi="標楷體" w:hint="eastAsia"/>
          <w:szCs w:val="32"/>
        </w:rPr>
        <w:t>困境，</w:t>
      </w:r>
      <w:r w:rsidR="004F1897" w:rsidRPr="00A648E3">
        <w:rPr>
          <w:rFonts w:hAnsi="標楷體" w:hint="eastAsia"/>
          <w:szCs w:val="32"/>
        </w:rPr>
        <w:t>因此建議各級主管機關</w:t>
      </w:r>
      <w:r w:rsidR="004F1897" w:rsidRPr="00A648E3">
        <w:rPr>
          <w:rFonts w:hAnsi="標楷體" w:hint="eastAsia"/>
          <w:szCs w:val="32"/>
        </w:rPr>
        <w:lastRenderedPageBreak/>
        <w:t>應</w:t>
      </w:r>
      <w:r w:rsidR="00E93CE6" w:rsidRPr="00A648E3">
        <w:rPr>
          <w:rFonts w:hAnsi="標楷體" w:hint="eastAsia"/>
          <w:szCs w:val="32"/>
        </w:rPr>
        <w:t>強化培養</w:t>
      </w:r>
      <w:r w:rsidR="004F1897" w:rsidRPr="00A648E3">
        <w:rPr>
          <w:rFonts w:hAnsi="標楷體" w:hint="eastAsia"/>
          <w:szCs w:val="32"/>
        </w:rPr>
        <w:t>調查方面的</w:t>
      </w:r>
      <w:r w:rsidR="00E93CE6" w:rsidRPr="00A648E3">
        <w:rPr>
          <w:rFonts w:hAnsi="標楷體" w:hint="eastAsia"/>
          <w:szCs w:val="32"/>
        </w:rPr>
        <w:t>在地人才</w:t>
      </w:r>
      <w:r w:rsidR="004F1897" w:rsidRPr="00A648E3">
        <w:rPr>
          <w:rFonts w:hAnsi="標楷體" w:hint="eastAsia"/>
          <w:szCs w:val="32"/>
        </w:rPr>
        <w:t>(本院詢問筆錄及現場錄音在卷可</w:t>
      </w:r>
      <w:proofErr w:type="gramStart"/>
      <w:r w:rsidR="004F1897" w:rsidRPr="00A648E3">
        <w:rPr>
          <w:rFonts w:hAnsi="標楷體" w:hint="eastAsia"/>
          <w:szCs w:val="32"/>
        </w:rPr>
        <w:t>稽</w:t>
      </w:r>
      <w:proofErr w:type="gramEnd"/>
      <w:r w:rsidR="004F1897" w:rsidRPr="00A648E3">
        <w:rPr>
          <w:rFonts w:hAnsi="標楷體" w:hint="eastAsia"/>
          <w:szCs w:val="32"/>
        </w:rPr>
        <w:t>)</w:t>
      </w:r>
      <w:r w:rsidR="00E32CB9">
        <w:rPr>
          <w:rStyle w:val="afe"/>
          <w:rFonts w:hAnsi="標楷體"/>
          <w:szCs w:val="32"/>
        </w:rPr>
        <w:footnoteReference w:id="10"/>
      </w:r>
      <w:r w:rsidR="004F1897" w:rsidRPr="00A648E3">
        <w:rPr>
          <w:rFonts w:hAnsi="標楷體" w:hint="eastAsia"/>
          <w:szCs w:val="32"/>
        </w:rPr>
        <w:t>。雖勞動部代表現場回應以「勞動部人才庫中現約有1千6百餘名，其中約有200名委員表達有願意到花東地區服務」等語</w:t>
      </w:r>
      <w:r w:rsidR="00D40F61">
        <w:rPr>
          <w:rStyle w:val="afe"/>
          <w:rFonts w:hAnsi="標楷體"/>
          <w:szCs w:val="32"/>
        </w:rPr>
        <w:footnoteReference w:id="11"/>
      </w:r>
      <w:r w:rsidR="004F1897" w:rsidRPr="00A648E3">
        <w:rPr>
          <w:rFonts w:hAnsi="標楷體" w:hint="eastAsia"/>
          <w:szCs w:val="32"/>
        </w:rPr>
        <w:t>。</w:t>
      </w:r>
      <w:proofErr w:type="gramStart"/>
      <w:r w:rsidR="004F1897" w:rsidRPr="00A648E3">
        <w:rPr>
          <w:rFonts w:hAnsi="標楷體" w:hint="eastAsia"/>
          <w:szCs w:val="32"/>
        </w:rPr>
        <w:t>惟</w:t>
      </w:r>
      <w:r w:rsidR="00A000F1" w:rsidRPr="00A648E3">
        <w:rPr>
          <w:rFonts w:hAnsi="標楷體" w:hint="eastAsia"/>
          <w:szCs w:val="32"/>
        </w:rPr>
        <w:t>東華大學</w:t>
      </w:r>
      <w:proofErr w:type="gramEnd"/>
      <w:r w:rsidR="00A000F1" w:rsidRPr="00A648E3">
        <w:rPr>
          <w:rFonts w:hAnsi="標楷體" w:hint="eastAsia"/>
          <w:szCs w:val="32"/>
        </w:rPr>
        <w:t>建言並非</w:t>
      </w:r>
      <w:r w:rsidR="002E6618" w:rsidRPr="00A648E3">
        <w:rPr>
          <w:rFonts w:hAnsi="標楷體" w:hint="eastAsia"/>
          <w:szCs w:val="32"/>
        </w:rPr>
        <w:t>不可行</w:t>
      </w:r>
      <w:r w:rsidR="00A000F1" w:rsidRPr="00A648E3">
        <w:rPr>
          <w:rFonts w:hAnsi="標楷體" w:hint="eastAsia"/>
          <w:szCs w:val="32"/>
        </w:rPr>
        <w:t>，教育部</w:t>
      </w:r>
      <w:proofErr w:type="gramStart"/>
      <w:r w:rsidR="00A000F1" w:rsidRPr="00A648E3">
        <w:rPr>
          <w:rFonts w:hAnsi="標楷體" w:hint="eastAsia"/>
          <w:szCs w:val="32"/>
        </w:rPr>
        <w:t>代表在場亦</w:t>
      </w:r>
      <w:proofErr w:type="gramEnd"/>
      <w:r w:rsidR="00A000F1" w:rsidRPr="00A648E3">
        <w:rPr>
          <w:rFonts w:hAnsi="標楷體" w:hint="eastAsia"/>
          <w:szCs w:val="32"/>
        </w:rPr>
        <w:t>表示</w:t>
      </w:r>
      <w:r w:rsidR="00614161">
        <w:rPr>
          <w:rFonts w:hAnsi="標楷體" w:hint="eastAsia"/>
          <w:szCs w:val="32"/>
        </w:rPr>
        <w:t>：</w:t>
      </w:r>
      <w:r w:rsidR="00A000F1" w:rsidRPr="00A648E3">
        <w:rPr>
          <w:rFonts w:hAnsi="標楷體" w:hint="eastAsia"/>
          <w:szCs w:val="32"/>
        </w:rPr>
        <w:t>「在地(調查人力)部分，花蓮縣政府教育處也有培養</w:t>
      </w:r>
      <w:proofErr w:type="gramStart"/>
      <w:r w:rsidR="00A000F1" w:rsidRPr="00A648E3">
        <w:rPr>
          <w:rFonts w:hAnsi="標楷體" w:hint="eastAsia"/>
          <w:szCs w:val="32"/>
        </w:rPr>
        <w:t>性平法之</w:t>
      </w:r>
      <w:proofErr w:type="gramEnd"/>
      <w:r w:rsidR="00A000F1" w:rsidRPr="00A648E3">
        <w:rPr>
          <w:rFonts w:hAnsi="標楷體" w:hint="eastAsia"/>
          <w:szCs w:val="32"/>
        </w:rPr>
        <w:t>調查專業人才庫，(教育部)未來會跟</w:t>
      </w:r>
      <w:r w:rsidR="00614161">
        <w:rPr>
          <w:rFonts w:hAnsi="標楷體" w:hint="eastAsia"/>
          <w:szCs w:val="32"/>
        </w:rPr>
        <w:t>國民及學前教育署</w:t>
      </w:r>
      <w:r w:rsidR="00A000F1" w:rsidRPr="00A648E3">
        <w:rPr>
          <w:rFonts w:hAnsi="標楷體" w:hint="eastAsia"/>
          <w:szCs w:val="32"/>
        </w:rPr>
        <w:t>宣導，增加培養當地調查人力。」</w:t>
      </w:r>
      <w:r w:rsidR="00EF207C" w:rsidRPr="00A648E3">
        <w:rPr>
          <w:rFonts w:hAnsi="標楷體" w:hint="eastAsia"/>
          <w:szCs w:val="32"/>
        </w:rPr>
        <w:t>等語，故</w:t>
      </w:r>
      <w:r w:rsidR="002E6618" w:rsidRPr="00A648E3">
        <w:rPr>
          <w:rFonts w:hAnsi="標楷體" w:hint="eastAsia"/>
          <w:szCs w:val="32"/>
        </w:rPr>
        <w:t>為提升調查專業品質，針對東華大學建議</w:t>
      </w:r>
      <w:r w:rsidR="002A4484" w:rsidRPr="00A648E3">
        <w:rPr>
          <w:rFonts w:hAnsi="標楷體" w:hint="eastAsia"/>
          <w:szCs w:val="32"/>
        </w:rPr>
        <w:t>政府應強化培育在地之性別事件調查人才事宜</w:t>
      </w:r>
      <w:r w:rsidR="002E6618" w:rsidRPr="00A648E3">
        <w:rPr>
          <w:rFonts w:hAnsi="標楷體" w:hint="eastAsia"/>
          <w:szCs w:val="32"/>
        </w:rPr>
        <w:t>，應由</w:t>
      </w:r>
      <w:proofErr w:type="gramStart"/>
      <w:r w:rsidR="002E6618" w:rsidRPr="00A648E3">
        <w:rPr>
          <w:rFonts w:hAnsi="標楷體" w:hint="eastAsia"/>
          <w:szCs w:val="32"/>
        </w:rPr>
        <w:t>勞動部及教育部</w:t>
      </w:r>
      <w:proofErr w:type="gramEnd"/>
      <w:r w:rsidR="002E6618" w:rsidRPr="00A648E3">
        <w:rPr>
          <w:rFonts w:hAnsi="標楷體" w:hint="eastAsia"/>
          <w:szCs w:val="32"/>
        </w:rPr>
        <w:t>正視並予回應。</w:t>
      </w:r>
    </w:p>
    <w:p w14:paraId="1A945788" w14:textId="0F3EBDF7" w:rsidR="0081652E" w:rsidRPr="00A648E3" w:rsidRDefault="0081652E" w:rsidP="00B97E5C">
      <w:pPr>
        <w:pStyle w:val="3"/>
      </w:pPr>
      <w:r w:rsidRPr="00A648E3">
        <w:rPr>
          <w:rFonts w:hint="eastAsia"/>
        </w:rPr>
        <w:t>又，</w:t>
      </w:r>
      <w:proofErr w:type="gramStart"/>
      <w:r w:rsidRPr="00A648E3">
        <w:rPr>
          <w:rFonts w:hint="eastAsia"/>
        </w:rPr>
        <w:t>依據性工法</w:t>
      </w:r>
      <w:proofErr w:type="gramEnd"/>
      <w:r w:rsidRPr="00A648E3">
        <w:rPr>
          <w:rFonts w:hint="eastAsia"/>
        </w:rPr>
        <w:t>第13條第6項規定之授權，113年1月17日修正之「</w:t>
      </w:r>
      <w:r w:rsidRPr="00A648E3">
        <w:rPr>
          <w:rFonts w:hint="eastAsia"/>
          <w:bCs w:val="0"/>
        </w:rPr>
        <w:t>工作場所性騷擾防治措施準則</w:t>
      </w:r>
      <w:r w:rsidRPr="00A648E3">
        <w:rPr>
          <w:rFonts w:hint="eastAsia"/>
        </w:rPr>
        <w:t>」第13條第2項規定：「僱用受</w:t>
      </w:r>
      <w:proofErr w:type="gramStart"/>
      <w:r w:rsidRPr="00A648E3">
        <w:rPr>
          <w:rFonts w:hint="eastAsia"/>
        </w:rPr>
        <w:t>僱</w:t>
      </w:r>
      <w:proofErr w:type="gramEnd"/>
      <w:r w:rsidRPr="00A648E3">
        <w:rPr>
          <w:rFonts w:hint="eastAsia"/>
        </w:rPr>
        <w:t>者100人以上之雇主，於處理性騷擾申訴時，除應依前條規定設申訴處理單位外，並應組成申訴調查小組調查之；其成員應有具備性別意識之</w:t>
      </w:r>
      <w:r w:rsidRPr="00A648E3">
        <w:rPr>
          <w:rFonts w:hint="eastAsia"/>
          <w:u w:val="single"/>
        </w:rPr>
        <w:t>外部</w:t>
      </w:r>
      <w:r w:rsidRPr="00A648E3">
        <w:rPr>
          <w:rFonts w:hint="eastAsia"/>
        </w:rPr>
        <w:t>專業人士。」為保障性別事件申訴人之權益，應聘</w:t>
      </w:r>
      <w:r w:rsidRPr="00A648E3">
        <w:t>具備性別意識之</w:t>
      </w:r>
      <w:r w:rsidRPr="00A648E3">
        <w:rPr>
          <w:rFonts w:hint="eastAsia"/>
        </w:rPr>
        <w:t>「</w:t>
      </w:r>
      <w:proofErr w:type="gramStart"/>
      <w:r w:rsidRPr="00A648E3">
        <w:rPr>
          <w:rFonts w:hint="eastAsia"/>
        </w:rPr>
        <w:t>外部」</w:t>
      </w:r>
      <w:proofErr w:type="gramEnd"/>
      <w:r w:rsidRPr="00A648E3">
        <w:rPr>
          <w:rFonts w:hint="eastAsia"/>
        </w:rPr>
        <w:t>、「</w:t>
      </w:r>
      <w:r w:rsidRPr="00A648E3">
        <w:t>專業</w:t>
      </w:r>
      <w:r w:rsidRPr="00A648E3">
        <w:rPr>
          <w:rFonts w:hint="eastAsia"/>
        </w:rPr>
        <w:t>」</w:t>
      </w:r>
      <w:r w:rsidRPr="00A648E3">
        <w:t>人士</w:t>
      </w:r>
      <w:r w:rsidRPr="00A648E3">
        <w:rPr>
          <w:rFonts w:hint="eastAsia"/>
        </w:rPr>
        <w:t>進行調查，以為</w:t>
      </w:r>
      <w:r w:rsidRPr="00A648E3">
        <w:t>客觀、公正、專業之</w:t>
      </w:r>
      <w:r w:rsidRPr="00A648E3">
        <w:rPr>
          <w:rFonts w:hint="eastAsia"/>
        </w:rPr>
        <w:t>處理。</w:t>
      </w:r>
      <w:proofErr w:type="gramStart"/>
      <w:r w:rsidRPr="00A648E3">
        <w:rPr>
          <w:rFonts w:hint="eastAsia"/>
        </w:rPr>
        <w:t>惟查</w:t>
      </w:r>
      <w:proofErr w:type="gramEnd"/>
      <w:r w:rsidRPr="00A648E3">
        <w:rPr>
          <w:rFonts w:hint="eastAsia"/>
        </w:rPr>
        <w:t>，</w:t>
      </w:r>
      <w:r w:rsidR="00700F60" w:rsidRPr="00A648E3">
        <w:rPr>
          <w:rFonts w:hint="eastAsia"/>
        </w:rPr>
        <w:t>「</w:t>
      </w:r>
      <w:r w:rsidRPr="00A648E3">
        <w:rPr>
          <w:rFonts w:hint="eastAsia"/>
        </w:rPr>
        <w:t>東華大學</w:t>
      </w:r>
      <w:r w:rsidRPr="00A648E3">
        <w:t>工作場所性騷擾與性別歧視防治及處理要點</w:t>
      </w:r>
      <w:r w:rsidR="00700F60" w:rsidRPr="00A648E3">
        <w:rPr>
          <w:rFonts w:hint="eastAsia"/>
        </w:rPr>
        <w:t>」</w:t>
      </w:r>
      <w:r w:rsidRPr="00A648E3">
        <w:rPr>
          <w:rFonts w:hint="eastAsia"/>
        </w:rPr>
        <w:t>(113年11月27日)第11點</w:t>
      </w:r>
      <w:r w:rsidRPr="00A648E3">
        <w:t>規定</w:t>
      </w:r>
      <w:r w:rsidRPr="00A648E3">
        <w:rPr>
          <w:rFonts w:hint="eastAsia"/>
        </w:rPr>
        <w:t>：「</w:t>
      </w:r>
      <w:r w:rsidRPr="00A648E3">
        <w:t>本會審議程序如下：(</w:t>
      </w:r>
      <w:proofErr w:type="gramStart"/>
      <w:r w:rsidRPr="00A648E3">
        <w:t>一</w:t>
      </w:r>
      <w:proofErr w:type="gramEnd"/>
      <w:r w:rsidRPr="00A648E3">
        <w:t>)</w:t>
      </w:r>
      <w:r w:rsidRPr="00A648E3">
        <w:rPr>
          <w:rFonts w:hint="eastAsia"/>
        </w:rPr>
        <w:t>…</w:t>
      </w:r>
      <w:proofErr w:type="gramStart"/>
      <w:r w:rsidRPr="00A648E3">
        <w:rPr>
          <w:rFonts w:hint="eastAsia"/>
        </w:rPr>
        <w:t>…</w:t>
      </w:r>
      <w:proofErr w:type="gramEnd"/>
      <w:r w:rsidRPr="00A648E3">
        <w:t>。召集人就受理之申訴案件，應於受理申訴或移送到達之日起</w:t>
      </w:r>
      <w:r w:rsidR="00A904F8">
        <w:rPr>
          <w:rFonts w:hint="eastAsia"/>
        </w:rPr>
        <w:t>7</w:t>
      </w:r>
      <w:r w:rsidRPr="00A648E3">
        <w:t>日內</w:t>
      </w:r>
      <w:r w:rsidRPr="00A648E3">
        <w:rPr>
          <w:u w:val="single"/>
        </w:rPr>
        <w:t>指派</w:t>
      </w:r>
      <w:r w:rsidR="00A904F8">
        <w:rPr>
          <w:rFonts w:hint="eastAsia"/>
          <w:u w:val="single"/>
        </w:rPr>
        <w:t>3</w:t>
      </w:r>
      <w:r w:rsidRPr="00A648E3">
        <w:rPr>
          <w:u w:val="single"/>
        </w:rPr>
        <w:t>人以上之委員組成申訴調查小組進行調查</w:t>
      </w:r>
      <w:r w:rsidRPr="00A648E3">
        <w:t>，其成員應有具備性別意識之外部專業人士。</w:t>
      </w:r>
      <w:r w:rsidRPr="00A648E3">
        <w:rPr>
          <w:rFonts w:hint="eastAsia"/>
        </w:rPr>
        <w:t>…</w:t>
      </w:r>
      <w:proofErr w:type="gramStart"/>
      <w:r w:rsidRPr="00A648E3">
        <w:rPr>
          <w:rFonts w:hint="eastAsia"/>
        </w:rPr>
        <w:t>…</w:t>
      </w:r>
      <w:proofErr w:type="gramEnd"/>
      <w:r w:rsidRPr="00A648E3">
        <w:rPr>
          <w:rFonts w:hint="eastAsia"/>
        </w:rPr>
        <w:t>。」亦即，</w:t>
      </w:r>
      <w:r w:rsidRPr="00A648E3">
        <w:rPr>
          <w:rFonts w:hint="eastAsia"/>
        </w:rPr>
        <w:lastRenderedPageBreak/>
        <w:t>該校處理申訴案件所聘之調查委員，係自該校</w:t>
      </w:r>
      <w:r w:rsidR="00451588">
        <w:rPr>
          <w:rFonts w:hint="eastAsia"/>
        </w:rPr>
        <w:t>申訴會</w:t>
      </w:r>
      <w:r w:rsidRPr="00A648E3">
        <w:rPr>
          <w:rFonts w:hint="eastAsia"/>
        </w:rPr>
        <w:t>中，擇定至少3名成員兼任調查</w:t>
      </w:r>
      <w:r w:rsidR="00700F60" w:rsidRPr="00A648E3">
        <w:rPr>
          <w:rFonts w:hint="eastAsia"/>
        </w:rPr>
        <w:t>。</w:t>
      </w:r>
      <w:r w:rsidRPr="00A648E3">
        <w:rPr>
          <w:rFonts w:hint="eastAsia"/>
        </w:rPr>
        <w:t>又</w:t>
      </w:r>
      <w:r w:rsidR="00700F60" w:rsidRPr="00A648E3">
        <w:rPr>
          <w:rFonts w:hint="eastAsia"/>
        </w:rPr>
        <w:t>，</w:t>
      </w:r>
      <w:r w:rsidRPr="00A648E3">
        <w:rPr>
          <w:rFonts w:hint="eastAsia"/>
        </w:rPr>
        <w:t>其</w:t>
      </w:r>
      <w:r w:rsidR="00451588">
        <w:rPr>
          <w:rFonts w:hint="eastAsia"/>
        </w:rPr>
        <w:t>申訴會</w:t>
      </w:r>
      <w:r w:rsidRPr="00A648E3">
        <w:rPr>
          <w:rFonts w:hint="eastAsia"/>
        </w:rPr>
        <w:t>之組成，係由</w:t>
      </w:r>
      <w:r w:rsidRPr="00A648E3">
        <w:t>校長指定副校長一人兼任</w:t>
      </w:r>
      <w:r w:rsidRPr="00A648E3">
        <w:rPr>
          <w:rFonts w:hint="eastAsia"/>
        </w:rPr>
        <w:t>召集人</w:t>
      </w:r>
      <w:r w:rsidRPr="00A648E3">
        <w:t>，其餘委員，由校長聘（派）</w:t>
      </w:r>
      <w:r w:rsidRPr="00A648E3">
        <w:rPr>
          <w:rFonts w:hint="eastAsia"/>
        </w:rPr>
        <w:t>該</w:t>
      </w:r>
      <w:r w:rsidRPr="00A648E3">
        <w:t>校員工、社會公正人士及專家學者兼任之</w:t>
      </w:r>
      <w:r w:rsidRPr="00A648E3">
        <w:rPr>
          <w:rFonts w:hint="eastAsia"/>
        </w:rPr>
        <w:t>，並非全為校外人員，</w:t>
      </w:r>
      <w:r w:rsidR="00EA0F5C" w:rsidRPr="00A648E3">
        <w:rPr>
          <w:rFonts w:hint="eastAsia"/>
        </w:rPr>
        <w:t>從此</w:t>
      </w:r>
      <w:r w:rsidR="00451588">
        <w:rPr>
          <w:rFonts w:hint="eastAsia"/>
        </w:rPr>
        <w:t>申訴</w:t>
      </w:r>
      <w:r w:rsidR="00EA0F5C" w:rsidRPr="00A648E3">
        <w:rPr>
          <w:rFonts w:hint="eastAsia"/>
        </w:rPr>
        <w:t>會中選擇3人兼任調查，此3人</w:t>
      </w:r>
      <w:r w:rsidRPr="00A648E3">
        <w:rPr>
          <w:rFonts w:hint="eastAsia"/>
        </w:rPr>
        <w:t>完成調查後復進行審議調查報告任務，</w:t>
      </w:r>
      <w:r w:rsidR="00851AB7" w:rsidRPr="00A648E3">
        <w:rPr>
          <w:rFonts w:hint="eastAsia"/>
        </w:rPr>
        <w:t>恐生角色混淆風險</w:t>
      </w:r>
      <w:r w:rsidR="00EA0F5C" w:rsidRPr="00A648E3">
        <w:rPr>
          <w:rFonts w:hint="eastAsia"/>
        </w:rPr>
        <w:t>，也未盡符合「調查</w:t>
      </w:r>
      <w:proofErr w:type="gramStart"/>
      <w:r w:rsidR="00EA0F5C" w:rsidRPr="00A648E3">
        <w:rPr>
          <w:rFonts w:hint="eastAsia"/>
        </w:rPr>
        <w:t>外部化</w:t>
      </w:r>
      <w:proofErr w:type="gramEnd"/>
      <w:r w:rsidR="00EA0F5C" w:rsidRPr="00A648E3">
        <w:rPr>
          <w:rFonts w:hint="eastAsia"/>
        </w:rPr>
        <w:t>」之意旨</w:t>
      </w:r>
      <w:r w:rsidRPr="00A648E3">
        <w:rPr>
          <w:rFonts w:hint="eastAsia"/>
        </w:rPr>
        <w:t>。對此，東華大學自承，經其內部事後檢討，因應</w:t>
      </w:r>
      <w:proofErr w:type="gramStart"/>
      <w:r w:rsidRPr="00A648E3">
        <w:rPr>
          <w:rFonts w:hint="eastAsia"/>
        </w:rPr>
        <w:t>性平法113年</w:t>
      </w:r>
      <w:proofErr w:type="gramEnd"/>
      <w:r w:rsidRPr="00A648E3">
        <w:rPr>
          <w:rFonts w:hint="eastAsia"/>
        </w:rPr>
        <w:t>修法</w:t>
      </w:r>
      <w:r w:rsidR="00CD294D" w:rsidRPr="00A648E3">
        <w:rPr>
          <w:rFonts w:hint="eastAsia"/>
        </w:rPr>
        <w:t>施行</w:t>
      </w:r>
      <w:r w:rsidRPr="00A648E3">
        <w:rPr>
          <w:rFonts w:hint="eastAsia"/>
        </w:rPr>
        <w:t>，嗣後確有儘速修正該校</w:t>
      </w:r>
      <w:r w:rsidRPr="00A648E3">
        <w:t>工作場所性騷擾與性別歧視防治及處理要點</w:t>
      </w:r>
      <w:r w:rsidRPr="00A648E3">
        <w:rPr>
          <w:rFonts w:hint="eastAsia"/>
        </w:rPr>
        <w:t>之必要。</w:t>
      </w:r>
    </w:p>
    <w:p w14:paraId="3726D82A" w14:textId="39DA6B09" w:rsidR="005F3A6D" w:rsidRPr="00A648E3" w:rsidRDefault="004E7527" w:rsidP="00B97E5C">
      <w:pPr>
        <w:pStyle w:val="3"/>
      </w:pPr>
      <w:r w:rsidRPr="00A648E3">
        <w:rPr>
          <w:rFonts w:hAnsi="Times New Roman" w:hint="eastAsia"/>
          <w:bCs w:val="0"/>
          <w:szCs w:val="20"/>
        </w:rPr>
        <w:t>綜</w:t>
      </w:r>
      <w:r w:rsidRPr="00A648E3">
        <w:rPr>
          <w:rFonts w:hAnsi="標楷體" w:hint="eastAsia"/>
          <w:szCs w:val="32"/>
        </w:rPr>
        <w:t>上，</w:t>
      </w:r>
      <w:r w:rsidR="00706B3F" w:rsidRPr="00A648E3">
        <w:rPr>
          <w:rFonts w:hAnsi="標楷體" w:hint="eastAsia"/>
          <w:szCs w:val="32"/>
        </w:rPr>
        <w:t>東華大學性別事件第1120808號、第1140430號案，</w:t>
      </w:r>
      <w:r w:rsidR="00EF207C" w:rsidRPr="00A648E3">
        <w:rPr>
          <w:rFonts w:hAnsi="標楷體" w:hint="eastAsia"/>
          <w:szCs w:val="32"/>
        </w:rPr>
        <w:t>適</w:t>
      </w:r>
      <w:proofErr w:type="gramStart"/>
      <w:r w:rsidR="00706B3F" w:rsidRPr="00A648E3">
        <w:rPr>
          <w:rFonts w:hAnsi="標楷體" w:hint="eastAsia"/>
          <w:szCs w:val="32"/>
        </w:rPr>
        <w:t>逢性工</w:t>
      </w:r>
      <w:proofErr w:type="gramEnd"/>
      <w:r w:rsidR="00706B3F" w:rsidRPr="00A648E3">
        <w:rPr>
          <w:rFonts w:hAnsi="標楷體" w:hint="eastAsia"/>
          <w:szCs w:val="32"/>
        </w:rPr>
        <w:t>法112年8月16日修正後自</w:t>
      </w:r>
      <w:proofErr w:type="gramStart"/>
      <w:r w:rsidR="00706B3F" w:rsidRPr="00A648E3">
        <w:rPr>
          <w:rFonts w:hAnsi="標楷體" w:hint="eastAsia"/>
          <w:szCs w:val="32"/>
        </w:rPr>
        <w:t>翌</w:t>
      </w:r>
      <w:proofErr w:type="gramEnd"/>
      <w:r w:rsidR="00706B3F" w:rsidRPr="00A648E3">
        <w:rPr>
          <w:rFonts w:hAnsi="標楷體" w:hint="eastAsia"/>
          <w:szCs w:val="32"/>
        </w:rPr>
        <w:t>(113)年3月8日起施行之新、舊法過渡時期，而</w:t>
      </w:r>
      <w:r w:rsidR="00EF207C" w:rsidRPr="00A648E3">
        <w:rPr>
          <w:rFonts w:hAnsi="標楷體" w:hint="eastAsia"/>
          <w:szCs w:val="32"/>
        </w:rPr>
        <w:t>有調查程序分別遵循性</w:t>
      </w:r>
      <w:proofErr w:type="gramStart"/>
      <w:r w:rsidR="00EF207C" w:rsidRPr="00A648E3">
        <w:rPr>
          <w:rFonts w:hAnsi="標楷體" w:hint="eastAsia"/>
          <w:szCs w:val="32"/>
        </w:rPr>
        <w:t>平法、性工</w:t>
      </w:r>
      <w:proofErr w:type="gramEnd"/>
      <w:r w:rsidR="00EF207C" w:rsidRPr="00A648E3">
        <w:rPr>
          <w:rFonts w:hAnsi="標楷體" w:hint="eastAsia"/>
          <w:szCs w:val="32"/>
        </w:rPr>
        <w:t>法之</w:t>
      </w:r>
      <w:r w:rsidR="0081652E" w:rsidRPr="00A648E3">
        <w:rPr>
          <w:rFonts w:hAnsi="標楷體" w:hint="eastAsia"/>
          <w:szCs w:val="32"/>
        </w:rPr>
        <w:t>差異作法</w:t>
      </w:r>
      <w:r w:rsidR="00706B3F" w:rsidRPr="00A648E3">
        <w:rPr>
          <w:rFonts w:hAnsi="標楷體" w:hint="eastAsia"/>
          <w:szCs w:val="32"/>
        </w:rPr>
        <w:t>。</w:t>
      </w:r>
      <w:proofErr w:type="gramStart"/>
      <w:r w:rsidR="00EF207C" w:rsidRPr="00A648E3">
        <w:rPr>
          <w:rFonts w:hint="eastAsia"/>
        </w:rPr>
        <w:t>性工法</w:t>
      </w:r>
      <w:proofErr w:type="gramEnd"/>
      <w:r w:rsidR="00EF207C" w:rsidRPr="00A648E3">
        <w:rPr>
          <w:rFonts w:hint="eastAsia"/>
        </w:rPr>
        <w:t>、</w:t>
      </w:r>
      <w:proofErr w:type="gramStart"/>
      <w:r w:rsidR="00EF207C" w:rsidRPr="00A648E3">
        <w:rPr>
          <w:rFonts w:hint="eastAsia"/>
        </w:rPr>
        <w:t>性平法既有</w:t>
      </w:r>
      <w:proofErr w:type="gramEnd"/>
      <w:r w:rsidR="00EF207C" w:rsidRPr="00A648E3">
        <w:rPr>
          <w:rFonts w:hint="eastAsia"/>
        </w:rPr>
        <w:t>不同之法律規範目的及調查專業權責，為保護當事人法益，日後對於發生在校園之適用性工法的性別事件，仍應切實</w:t>
      </w:r>
      <w:proofErr w:type="gramStart"/>
      <w:r w:rsidR="00EF207C" w:rsidRPr="00A648E3">
        <w:rPr>
          <w:rFonts w:hint="eastAsia"/>
        </w:rPr>
        <w:t>回歸性工法</w:t>
      </w:r>
      <w:proofErr w:type="gramEnd"/>
      <w:r w:rsidR="00EF207C" w:rsidRPr="00A648E3">
        <w:rPr>
          <w:rFonts w:hint="eastAsia"/>
        </w:rPr>
        <w:t>之規範，並應由勞動部會同教育部，</w:t>
      </w:r>
      <w:proofErr w:type="gramStart"/>
      <w:r w:rsidR="00EF207C" w:rsidRPr="00A648E3">
        <w:rPr>
          <w:rFonts w:hint="eastAsia"/>
        </w:rPr>
        <w:t>研</w:t>
      </w:r>
      <w:proofErr w:type="gramEnd"/>
      <w:r w:rsidR="00EF207C" w:rsidRPr="00A648E3">
        <w:rPr>
          <w:rFonts w:hint="eastAsia"/>
        </w:rPr>
        <w:t>商</w:t>
      </w:r>
      <w:proofErr w:type="gramStart"/>
      <w:r w:rsidR="00EF207C" w:rsidRPr="00A648E3">
        <w:rPr>
          <w:rFonts w:hint="eastAsia"/>
        </w:rPr>
        <w:t>充實性工法</w:t>
      </w:r>
      <w:proofErr w:type="gramEnd"/>
      <w:r w:rsidR="00EF207C" w:rsidRPr="00A648E3">
        <w:rPr>
          <w:rFonts w:hint="eastAsia"/>
        </w:rPr>
        <w:t>之</w:t>
      </w:r>
      <w:r w:rsidR="0081652E" w:rsidRPr="00A648E3">
        <w:rPr>
          <w:rFonts w:hint="eastAsia"/>
        </w:rPr>
        <w:t>校園職場</w:t>
      </w:r>
      <w:r w:rsidR="00EF207C" w:rsidRPr="00A648E3">
        <w:rPr>
          <w:rFonts w:hint="eastAsia"/>
        </w:rPr>
        <w:t>配套措施與調查專業人力。</w:t>
      </w:r>
      <w:r w:rsidR="00706B3F" w:rsidRPr="00A648E3">
        <w:rPr>
          <w:rFonts w:hAnsi="標楷體" w:hint="eastAsia"/>
          <w:szCs w:val="32"/>
        </w:rPr>
        <w:t>又東華大學事後檢討，</w:t>
      </w:r>
      <w:r w:rsidR="0081652E" w:rsidRPr="00A648E3">
        <w:rPr>
          <w:rFonts w:hAnsi="標楷體" w:hint="eastAsia"/>
          <w:szCs w:val="32"/>
        </w:rPr>
        <w:t>為落實調查</w:t>
      </w:r>
      <w:proofErr w:type="gramStart"/>
      <w:r w:rsidR="0081652E" w:rsidRPr="00A648E3">
        <w:rPr>
          <w:rFonts w:hAnsi="標楷體" w:hint="eastAsia"/>
          <w:szCs w:val="32"/>
        </w:rPr>
        <w:t>外部化</w:t>
      </w:r>
      <w:proofErr w:type="gramEnd"/>
      <w:r w:rsidR="0081652E" w:rsidRPr="00A648E3">
        <w:rPr>
          <w:rFonts w:hAnsi="標楷體" w:hint="eastAsia"/>
          <w:szCs w:val="32"/>
        </w:rPr>
        <w:t>之立法意旨，</w:t>
      </w:r>
      <w:r w:rsidR="00706B3F" w:rsidRPr="00A648E3">
        <w:rPr>
          <w:rFonts w:hAnsi="標楷體" w:hint="eastAsia"/>
          <w:szCs w:val="32"/>
        </w:rPr>
        <w:t>擬修正</w:t>
      </w:r>
      <w:r w:rsidR="0081652E" w:rsidRPr="00A648E3">
        <w:rPr>
          <w:rFonts w:hAnsi="標楷體" w:hint="eastAsia"/>
          <w:szCs w:val="32"/>
        </w:rPr>
        <w:t>該校</w:t>
      </w:r>
      <w:r w:rsidR="0081652E" w:rsidRPr="00A648E3">
        <w:t>工作場所性騷擾與性別歧視防治及處理要點</w:t>
      </w:r>
      <w:r w:rsidR="00706B3F" w:rsidRPr="00A648E3">
        <w:rPr>
          <w:rFonts w:hAnsi="標楷體" w:hint="eastAsia"/>
          <w:szCs w:val="32"/>
        </w:rPr>
        <w:t>，應</w:t>
      </w:r>
      <w:r w:rsidR="0081652E" w:rsidRPr="00A648E3">
        <w:rPr>
          <w:rFonts w:hAnsi="標楷體" w:hint="eastAsia"/>
          <w:szCs w:val="32"/>
        </w:rPr>
        <w:t>由該校落實辦理</w:t>
      </w:r>
      <w:r w:rsidR="00706B3F" w:rsidRPr="00A648E3">
        <w:rPr>
          <w:rFonts w:hAnsi="標楷體" w:hint="eastAsia"/>
          <w:szCs w:val="32"/>
        </w:rPr>
        <w:t>。</w:t>
      </w:r>
    </w:p>
    <w:p w14:paraId="6850DA46" w14:textId="77777777" w:rsidR="004E7527" w:rsidRPr="00A648E3" w:rsidRDefault="004E7527" w:rsidP="004E7527">
      <w:pPr>
        <w:pStyle w:val="3"/>
        <w:numPr>
          <w:ilvl w:val="0"/>
          <w:numId w:val="0"/>
        </w:numPr>
        <w:ind w:left="1361"/>
      </w:pPr>
    </w:p>
    <w:p w14:paraId="1CC2C94D" w14:textId="0CC21269" w:rsidR="007124FF" w:rsidRPr="00A648E3" w:rsidRDefault="00701CBD" w:rsidP="00D313A8">
      <w:pPr>
        <w:pStyle w:val="2"/>
        <w:widowControl/>
        <w:numPr>
          <w:ilvl w:val="1"/>
          <w:numId w:val="1"/>
        </w:numPr>
        <w:kinsoku/>
        <w:overflowPunct/>
        <w:autoSpaceDE/>
        <w:autoSpaceDN/>
        <w:rPr>
          <w:b/>
        </w:rPr>
      </w:pPr>
      <w:r w:rsidRPr="00A648E3">
        <w:rPr>
          <w:rFonts w:hint="eastAsia"/>
          <w:b/>
        </w:rPr>
        <w:t>東華大學稱已依法</w:t>
      </w:r>
      <w:proofErr w:type="gramStart"/>
      <w:r w:rsidRPr="00A648E3">
        <w:rPr>
          <w:rFonts w:hint="eastAsia"/>
          <w:b/>
        </w:rPr>
        <w:t>提供甲師關懷</w:t>
      </w:r>
      <w:proofErr w:type="gramEnd"/>
      <w:r w:rsidRPr="00A648E3">
        <w:rPr>
          <w:rFonts w:hint="eastAsia"/>
          <w:b/>
        </w:rPr>
        <w:t>及協助資源，</w:t>
      </w:r>
      <w:proofErr w:type="gramStart"/>
      <w:r w:rsidRPr="00A648E3">
        <w:rPr>
          <w:rFonts w:hint="eastAsia"/>
          <w:b/>
        </w:rPr>
        <w:t>惟</w:t>
      </w:r>
      <w:r w:rsidR="00217E9E" w:rsidRPr="00A648E3">
        <w:rPr>
          <w:rFonts w:hint="eastAsia"/>
          <w:b/>
        </w:rPr>
        <w:t>甲師</w:t>
      </w:r>
      <w:proofErr w:type="gramEnd"/>
      <w:r w:rsidRPr="00A648E3">
        <w:rPr>
          <w:rFonts w:hint="eastAsia"/>
          <w:b/>
        </w:rPr>
        <w:t>仍</w:t>
      </w:r>
      <w:proofErr w:type="gramStart"/>
      <w:r w:rsidRPr="00A648E3">
        <w:rPr>
          <w:rFonts w:hint="eastAsia"/>
          <w:b/>
        </w:rPr>
        <w:t>指訴該校</w:t>
      </w:r>
      <w:proofErr w:type="gramEnd"/>
      <w:r w:rsidRPr="00A648E3">
        <w:rPr>
          <w:rFonts w:hint="eastAsia"/>
          <w:b/>
        </w:rPr>
        <w:t>所為之關懷保護措施不足</w:t>
      </w:r>
      <w:r w:rsidR="00217E9E" w:rsidRPr="00A648E3">
        <w:rPr>
          <w:rFonts w:hint="eastAsia"/>
          <w:b/>
        </w:rPr>
        <w:t>，</w:t>
      </w:r>
      <w:r w:rsidRPr="00A648E3">
        <w:rPr>
          <w:rFonts w:hint="eastAsia"/>
          <w:b/>
        </w:rPr>
        <w:t>令其在通報校方後，仍曾在校園中</w:t>
      </w:r>
      <w:proofErr w:type="gramStart"/>
      <w:r w:rsidRPr="00A648E3">
        <w:rPr>
          <w:rFonts w:hint="eastAsia"/>
          <w:b/>
        </w:rPr>
        <w:t>遇見乙師</w:t>
      </w:r>
      <w:proofErr w:type="gramEnd"/>
      <w:r w:rsidRPr="00A648E3">
        <w:rPr>
          <w:rFonts w:hint="eastAsia"/>
          <w:b/>
        </w:rPr>
        <w:t>，致心生恐懼。</w:t>
      </w:r>
      <w:proofErr w:type="gramStart"/>
      <w:r w:rsidR="003F5830" w:rsidRPr="00A648E3">
        <w:rPr>
          <w:rFonts w:hint="eastAsia"/>
          <w:b/>
        </w:rPr>
        <w:t>此外，</w:t>
      </w:r>
      <w:r w:rsidR="00F17A7F" w:rsidRPr="00A648E3">
        <w:rPr>
          <w:rFonts w:hint="eastAsia"/>
          <w:b/>
        </w:rPr>
        <w:t>甲師指</w:t>
      </w:r>
      <w:proofErr w:type="gramEnd"/>
      <w:r w:rsidR="00F17A7F" w:rsidRPr="00A648E3">
        <w:rPr>
          <w:rFonts w:hint="eastAsia"/>
          <w:b/>
        </w:rPr>
        <w:t>訴「</w:t>
      </w:r>
      <w:proofErr w:type="gramStart"/>
      <w:r w:rsidR="003F5830" w:rsidRPr="00A648E3">
        <w:rPr>
          <w:rFonts w:hint="eastAsia"/>
          <w:b/>
        </w:rPr>
        <w:t>乙師配偶</w:t>
      </w:r>
      <w:proofErr w:type="gramEnd"/>
      <w:r w:rsidR="003F5830" w:rsidRPr="00A648E3">
        <w:rPr>
          <w:rFonts w:hint="eastAsia"/>
          <w:b/>
        </w:rPr>
        <w:t>私下聯繫學生，</w:t>
      </w:r>
      <w:r w:rsidR="00BE589F" w:rsidRPr="00A648E3">
        <w:rPr>
          <w:rFonts w:hint="eastAsia"/>
          <w:b/>
        </w:rPr>
        <w:t>私自探詢甲、</w:t>
      </w:r>
      <w:proofErr w:type="gramStart"/>
      <w:r w:rsidR="00BE589F" w:rsidRPr="00A648E3">
        <w:rPr>
          <w:rFonts w:hint="eastAsia"/>
          <w:b/>
        </w:rPr>
        <w:t>乙師互動</w:t>
      </w:r>
      <w:proofErr w:type="gramEnd"/>
      <w:r w:rsidR="00BE589F" w:rsidRPr="00A648E3">
        <w:rPr>
          <w:rFonts w:hint="eastAsia"/>
          <w:b/>
        </w:rPr>
        <w:t>情形，已</w:t>
      </w:r>
      <w:r w:rsidR="003F5830" w:rsidRPr="00A648E3">
        <w:rPr>
          <w:rFonts w:hint="eastAsia"/>
          <w:b/>
        </w:rPr>
        <w:t>對學生形成</w:t>
      </w:r>
      <w:r w:rsidR="00652397" w:rsidRPr="00A648E3">
        <w:rPr>
          <w:rFonts w:hAnsi="標楷體" w:hint="eastAsia"/>
          <w:b/>
          <w:bCs w:val="0"/>
        </w:rPr>
        <w:t>與受教育無關之</w:t>
      </w:r>
      <w:r w:rsidR="003F5830" w:rsidRPr="00A648E3">
        <w:rPr>
          <w:rFonts w:hint="eastAsia"/>
          <w:b/>
        </w:rPr>
        <w:t>干擾</w:t>
      </w:r>
      <w:r w:rsidR="00F17A7F" w:rsidRPr="00A648E3">
        <w:rPr>
          <w:rFonts w:hint="eastAsia"/>
          <w:b/>
        </w:rPr>
        <w:t>」</w:t>
      </w:r>
      <w:r w:rsidR="00BE589F" w:rsidRPr="00A648E3">
        <w:rPr>
          <w:rFonts w:hint="eastAsia"/>
          <w:b/>
        </w:rPr>
        <w:t>情</w:t>
      </w:r>
      <w:r w:rsidR="00BE589F" w:rsidRPr="00A648E3">
        <w:rPr>
          <w:rFonts w:hint="eastAsia"/>
          <w:b/>
        </w:rPr>
        <w:lastRenderedPageBreak/>
        <w:t>事，</w:t>
      </w:r>
      <w:proofErr w:type="gramStart"/>
      <w:r w:rsidR="00240D0E" w:rsidRPr="00A648E3">
        <w:rPr>
          <w:rFonts w:hint="eastAsia"/>
          <w:b/>
        </w:rPr>
        <w:t>均</w:t>
      </w:r>
      <w:r w:rsidR="003F5830" w:rsidRPr="00A648E3">
        <w:rPr>
          <w:rFonts w:hint="eastAsia"/>
          <w:b/>
        </w:rPr>
        <w:t>應由</w:t>
      </w:r>
      <w:proofErr w:type="gramEnd"/>
      <w:r w:rsidR="00FF5619" w:rsidRPr="00A648E3">
        <w:rPr>
          <w:rFonts w:hint="eastAsia"/>
          <w:b/>
        </w:rPr>
        <w:t>東華大學</w:t>
      </w:r>
      <w:r w:rsidRPr="00A648E3">
        <w:rPr>
          <w:rFonts w:hint="eastAsia"/>
          <w:b/>
        </w:rPr>
        <w:t>續為</w:t>
      </w:r>
      <w:proofErr w:type="gramStart"/>
      <w:r w:rsidRPr="00A648E3">
        <w:rPr>
          <w:rFonts w:hint="eastAsia"/>
          <w:b/>
        </w:rPr>
        <w:t>查明妥處</w:t>
      </w:r>
      <w:proofErr w:type="gramEnd"/>
      <w:r w:rsidRPr="00A648E3">
        <w:rPr>
          <w:rFonts w:hint="eastAsia"/>
          <w:b/>
        </w:rPr>
        <w:t>，</w:t>
      </w:r>
      <w:r w:rsidR="003F5830" w:rsidRPr="00A648E3">
        <w:rPr>
          <w:rFonts w:hint="eastAsia"/>
          <w:b/>
        </w:rPr>
        <w:t>以</w:t>
      </w:r>
      <w:proofErr w:type="gramStart"/>
      <w:r w:rsidR="003F5830" w:rsidRPr="00A648E3">
        <w:rPr>
          <w:rFonts w:hint="eastAsia"/>
          <w:b/>
        </w:rPr>
        <w:t>協助甲師及</w:t>
      </w:r>
      <w:proofErr w:type="gramEnd"/>
      <w:r w:rsidR="003F5830" w:rsidRPr="00A648E3">
        <w:rPr>
          <w:rFonts w:hint="eastAsia"/>
          <w:b/>
        </w:rPr>
        <w:t>該校學生</w:t>
      </w:r>
      <w:r w:rsidR="00FF5619" w:rsidRPr="00A648E3">
        <w:rPr>
          <w:rFonts w:hint="eastAsia"/>
          <w:b/>
        </w:rPr>
        <w:t>安心任教</w:t>
      </w:r>
      <w:r w:rsidR="003F5830" w:rsidRPr="00A648E3">
        <w:rPr>
          <w:rFonts w:hint="eastAsia"/>
          <w:b/>
        </w:rPr>
        <w:t>學習</w:t>
      </w:r>
      <w:r w:rsidRPr="00A648E3">
        <w:rPr>
          <w:rFonts w:hint="eastAsia"/>
          <w:b/>
        </w:rPr>
        <w:t>。</w:t>
      </w:r>
    </w:p>
    <w:p w14:paraId="2F52FA6B" w14:textId="2E6F6643" w:rsidR="0090304B" w:rsidRPr="00A648E3" w:rsidRDefault="0090304B" w:rsidP="00D313A8">
      <w:pPr>
        <w:pStyle w:val="3"/>
        <w:widowControl/>
        <w:numPr>
          <w:ilvl w:val="2"/>
          <w:numId w:val="1"/>
        </w:numPr>
        <w:kinsoku/>
        <w:overflowPunct/>
        <w:autoSpaceDE/>
        <w:autoSpaceDN/>
      </w:pPr>
      <w:proofErr w:type="gramStart"/>
      <w:r w:rsidRPr="00A648E3">
        <w:rPr>
          <w:rFonts w:hint="eastAsia"/>
        </w:rPr>
        <w:t>性工法</w:t>
      </w:r>
      <w:proofErr w:type="gramEnd"/>
      <w:r w:rsidR="00293073" w:rsidRPr="00A648E3">
        <w:rPr>
          <w:rFonts w:hint="eastAsia"/>
        </w:rPr>
        <w:t>第13條：「</w:t>
      </w:r>
      <w:r w:rsidRPr="00A648E3">
        <w:rPr>
          <w:rFonts w:hint="eastAsia"/>
        </w:rPr>
        <w:t>…</w:t>
      </w:r>
      <w:proofErr w:type="gramStart"/>
      <w:r w:rsidRPr="00A648E3">
        <w:rPr>
          <w:rFonts w:hint="eastAsia"/>
        </w:rPr>
        <w:t>…</w:t>
      </w:r>
      <w:proofErr w:type="gramEnd"/>
      <w:r w:rsidR="00293073" w:rsidRPr="00A648E3">
        <w:rPr>
          <w:rFonts w:hint="eastAsia"/>
        </w:rPr>
        <w:t>(第2項)雇主於知悉性騷擾之情形時，應採取下列立即有效之糾正及補救措施；被害人及行為人分屬不同事業單位，且具共同作業或業務往來關係者，該行為人之雇主，亦同：一、雇主因接獲被害人申訴而知悉性騷擾之情形時：（一）</w:t>
      </w:r>
      <w:proofErr w:type="gramStart"/>
      <w:r w:rsidR="00293073" w:rsidRPr="00A648E3">
        <w:rPr>
          <w:rFonts w:hint="eastAsia"/>
        </w:rPr>
        <w:t>採</w:t>
      </w:r>
      <w:proofErr w:type="gramEnd"/>
      <w:r w:rsidR="00293073" w:rsidRPr="00A648E3">
        <w:rPr>
          <w:rFonts w:hint="eastAsia"/>
        </w:rPr>
        <w:t>行避免申訴人受性騷擾情形再度發生之措施。（二）對申訴人提供或轉</w:t>
      </w:r>
      <w:proofErr w:type="gramStart"/>
      <w:r w:rsidR="00293073" w:rsidRPr="00A648E3">
        <w:rPr>
          <w:rFonts w:hint="eastAsia"/>
        </w:rPr>
        <w:t>介</w:t>
      </w:r>
      <w:proofErr w:type="gramEnd"/>
      <w:r w:rsidR="00293073" w:rsidRPr="00A648E3">
        <w:rPr>
          <w:rFonts w:hint="eastAsia"/>
        </w:rPr>
        <w:t>諮詢、醫療或心理諮商、社會福利資源及其他必要之服務。（三）對性騷擾事件進行調查。（四）對行為人為適當之懲戒或處理。二、雇主非因前款情形而知悉性騷擾事件時：（一）就相關事實進行必要之</w:t>
      </w:r>
      <w:proofErr w:type="gramStart"/>
      <w:r w:rsidR="00293073" w:rsidRPr="00A648E3">
        <w:rPr>
          <w:rFonts w:hint="eastAsia"/>
        </w:rPr>
        <w:t>釐</w:t>
      </w:r>
      <w:proofErr w:type="gramEnd"/>
      <w:r w:rsidR="00293073" w:rsidRPr="00A648E3">
        <w:rPr>
          <w:rFonts w:hint="eastAsia"/>
        </w:rPr>
        <w:t>清。（二）依被害人意願，協助其提起申訴。（三）適度調整工作內容或工作場所。（四）依被害人意願，提供或轉</w:t>
      </w:r>
      <w:proofErr w:type="gramStart"/>
      <w:r w:rsidR="00293073" w:rsidRPr="00A648E3">
        <w:rPr>
          <w:rFonts w:hint="eastAsia"/>
        </w:rPr>
        <w:t>介</w:t>
      </w:r>
      <w:proofErr w:type="gramEnd"/>
      <w:r w:rsidR="00293073" w:rsidRPr="00A648E3">
        <w:rPr>
          <w:rFonts w:hint="eastAsia"/>
        </w:rPr>
        <w:t>諮詢、醫療或心理諮商處理、社會福利資源及其他必要之服務。</w:t>
      </w:r>
      <w:r w:rsidRPr="00A648E3">
        <w:rPr>
          <w:rFonts w:hint="eastAsia"/>
        </w:rPr>
        <w:t>…</w:t>
      </w:r>
      <w:proofErr w:type="gramStart"/>
      <w:r w:rsidRPr="00A648E3">
        <w:rPr>
          <w:rFonts w:hint="eastAsia"/>
        </w:rPr>
        <w:t>…</w:t>
      </w:r>
      <w:proofErr w:type="gramEnd"/>
      <w:r w:rsidR="00293073" w:rsidRPr="00A648E3">
        <w:rPr>
          <w:rFonts w:hint="eastAsia"/>
        </w:rPr>
        <w:t>」第13</w:t>
      </w:r>
      <w:r w:rsidR="00451588">
        <w:rPr>
          <w:rFonts w:hint="eastAsia"/>
        </w:rPr>
        <w:t>條之</w:t>
      </w:r>
      <w:r w:rsidR="00293073" w:rsidRPr="00A648E3">
        <w:rPr>
          <w:rFonts w:hint="eastAsia"/>
        </w:rPr>
        <w:t>1：「性騷擾被申訴人具權勢地位，且情節重大，於進行調查期間有先行停止或調整職務之必要時，雇主得暫時停止或調整被申訴人之職務；經調查未認定為性騷擾者，停止職務期間之薪資，應予補發。申訴案件經雇主或地方主管機關調查後，認定為性騷擾，且情節重大者，雇主得於知悉該調查結果之日起30日內，不經預告終止勞動契約。」</w:t>
      </w:r>
    </w:p>
    <w:p w14:paraId="3EE95BD6" w14:textId="1B8346E5" w:rsidR="00293073" w:rsidRPr="00A648E3" w:rsidRDefault="0090304B" w:rsidP="00D313A8">
      <w:pPr>
        <w:pStyle w:val="3"/>
        <w:widowControl/>
        <w:numPr>
          <w:ilvl w:val="2"/>
          <w:numId w:val="1"/>
        </w:numPr>
        <w:kinsoku/>
        <w:overflowPunct/>
        <w:autoSpaceDE/>
        <w:autoSpaceDN/>
      </w:pPr>
      <w:r w:rsidRPr="00A648E3">
        <w:rPr>
          <w:rFonts w:hint="eastAsia"/>
        </w:rPr>
        <w:t>本案</w:t>
      </w:r>
      <w:proofErr w:type="gramStart"/>
      <w:r w:rsidRPr="00A648E3">
        <w:rPr>
          <w:rFonts w:hint="eastAsia"/>
        </w:rPr>
        <w:t>詢</w:t>
      </w:r>
      <w:proofErr w:type="gramEnd"/>
      <w:r w:rsidRPr="00A648E3">
        <w:rPr>
          <w:rFonts w:hint="eastAsia"/>
        </w:rPr>
        <w:t>據勞動部表示，東華大學為避免申訴人受性騷擾情形再度發生，除採取「調查期間停聘（乙師）」、「發文告誡（乙師）請勿報復或騷擾」等措施之外，</w:t>
      </w:r>
      <w:proofErr w:type="gramStart"/>
      <w:r w:rsidRPr="00A648E3">
        <w:rPr>
          <w:rFonts w:hint="eastAsia"/>
        </w:rPr>
        <w:t>該校亦應</w:t>
      </w:r>
      <w:proofErr w:type="gramEnd"/>
      <w:r w:rsidRPr="00A648E3">
        <w:rPr>
          <w:rFonts w:hint="eastAsia"/>
        </w:rPr>
        <w:t>設身處地</w:t>
      </w:r>
      <w:proofErr w:type="gramStart"/>
      <w:r w:rsidR="00451588">
        <w:rPr>
          <w:rFonts w:hint="eastAsia"/>
        </w:rPr>
        <w:t>同理</w:t>
      </w:r>
      <w:r w:rsidRPr="00A648E3">
        <w:rPr>
          <w:rFonts w:hint="eastAsia"/>
        </w:rPr>
        <w:t>被性騷擾</w:t>
      </w:r>
      <w:proofErr w:type="gramEnd"/>
      <w:r w:rsidRPr="00A648E3">
        <w:rPr>
          <w:rFonts w:hint="eastAsia"/>
        </w:rPr>
        <w:t>者之感受、可視情況適度採取其他隔離措施，避免相同事件或報復情</w:t>
      </w:r>
      <w:r w:rsidRPr="00A648E3">
        <w:rPr>
          <w:rFonts w:hint="eastAsia"/>
        </w:rPr>
        <w:lastRenderedPageBreak/>
        <w:t>事發生，並應對申訴人提供或轉</w:t>
      </w:r>
      <w:proofErr w:type="gramStart"/>
      <w:r w:rsidRPr="00A648E3">
        <w:rPr>
          <w:rFonts w:hint="eastAsia"/>
        </w:rPr>
        <w:t>介</w:t>
      </w:r>
      <w:proofErr w:type="gramEnd"/>
      <w:r w:rsidRPr="00A648E3">
        <w:rPr>
          <w:rFonts w:hint="eastAsia"/>
        </w:rPr>
        <w:t>諮詢、醫療或心理諮商、社會福利資源及其他必要之服務。</w:t>
      </w:r>
    </w:p>
    <w:p w14:paraId="7DC12120" w14:textId="35065A8B" w:rsidR="0090304B" w:rsidRPr="00A648E3" w:rsidRDefault="001B45D2" w:rsidP="00D313A8">
      <w:pPr>
        <w:pStyle w:val="3"/>
        <w:widowControl/>
        <w:numPr>
          <w:ilvl w:val="2"/>
          <w:numId w:val="1"/>
        </w:numPr>
        <w:kinsoku/>
        <w:overflowPunct/>
        <w:autoSpaceDE/>
        <w:autoSpaceDN/>
      </w:pPr>
      <w:r w:rsidRPr="00A648E3">
        <w:rPr>
          <w:rFonts w:hint="eastAsia"/>
        </w:rPr>
        <w:t>據</w:t>
      </w:r>
      <w:r w:rsidR="0090304B" w:rsidRPr="00A648E3">
        <w:rPr>
          <w:rFonts w:hint="eastAsia"/>
        </w:rPr>
        <w:t>東華大學</w:t>
      </w:r>
      <w:r w:rsidRPr="00A648E3">
        <w:rPr>
          <w:rFonts w:hint="eastAsia"/>
        </w:rPr>
        <w:t>書面說明</w:t>
      </w:r>
      <w:r w:rsidR="0090304B" w:rsidRPr="00A648E3">
        <w:rPr>
          <w:rFonts w:hint="eastAsia"/>
        </w:rPr>
        <w:t>，</w:t>
      </w:r>
      <w:r w:rsidRPr="00A648E3">
        <w:rPr>
          <w:rFonts w:hint="eastAsia"/>
        </w:rPr>
        <w:t>該校在112年8月8日</w:t>
      </w:r>
      <w:proofErr w:type="gramStart"/>
      <w:r w:rsidRPr="00A648E3">
        <w:rPr>
          <w:rFonts w:hint="eastAsia"/>
        </w:rPr>
        <w:t>接獲甲師申請</w:t>
      </w:r>
      <w:proofErr w:type="gramEnd"/>
      <w:r w:rsidRPr="00A648E3">
        <w:rPr>
          <w:rFonts w:hint="eastAsia"/>
        </w:rPr>
        <w:t>性平事件調查案後，即提供員工協助方案相關措施</w:t>
      </w:r>
      <w:proofErr w:type="gramStart"/>
      <w:r w:rsidRPr="00A648E3">
        <w:rPr>
          <w:rFonts w:hint="eastAsia"/>
        </w:rPr>
        <w:t>供甲師參</w:t>
      </w:r>
      <w:proofErr w:type="gramEnd"/>
      <w:r w:rsidRPr="00A648E3">
        <w:rPr>
          <w:rFonts w:hint="eastAsia"/>
        </w:rPr>
        <w:t>用，</w:t>
      </w:r>
      <w:proofErr w:type="gramStart"/>
      <w:r w:rsidRPr="00A648E3">
        <w:rPr>
          <w:rFonts w:hint="eastAsia"/>
        </w:rPr>
        <w:t>甲師並</w:t>
      </w:r>
      <w:proofErr w:type="gramEnd"/>
      <w:r w:rsidRPr="00A648E3">
        <w:rPr>
          <w:rFonts w:hint="eastAsia"/>
        </w:rPr>
        <w:t>據以申請心理諮商</w:t>
      </w:r>
      <w:proofErr w:type="gramStart"/>
      <w:r w:rsidRPr="00A648E3">
        <w:rPr>
          <w:rFonts w:hint="eastAsia"/>
        </w:rPr>
        <w:t>協談計6次</w:t>
      </w:r>
      <w:proofErr w:type="gramEnd"/>
      <w:r w:rsidRPr="00A648E3">
        <w:rPr>
          <w:rFonts w:hint="eastAsia"/>
        </w:rPr>
        <w:t>，此外該校依教師法第22條規定，於112年9月6日召開</w:t>
      </w:r>
      <w:r w:rsidR="00451588">
        <w:rPr>
          <w:rFonts w:hint="eastAsia"/>
        </w:rPr>
        <w:t>教師評審委員會(下稱</w:t>
      </w:r>
      <w:r w:rsidRPr="00A648E3">
        <w:rPr>
          <w:rFonts w:hint="eastAsia"/>
        </w:rPr>
        <w:t>教評會</w:t>
      </w:r>
      <w:r w:rsidR="00451588">
        <w:rPr>
          <w:rFonts w:hint="eastAsia"/>
        </w:rPr>
        <w:t>)</w:t>
      </w:r>
      <w:r w:rsidRPr="00A648E3">
        <w:rPr>
          <w:rFonts w:hint="eastAsia"/>
        </w:rPr>
        <w:t>並決議，</w:t>
      </w:r>
      <w:proofErr w:type="gramStart"/>
      <w:r w:rsidRPr="00A648E3">
        <w:rPr>
          <w:rFonts w:hint="eastAsia"/>
        </w:rPr>
        <w:t>對乙師做成</w:t>
      </w:r>
      <w:proofErr w:type="gramEnd"/>
      <w:r w:rsidRPr="00A648E3">
        <w:rPr>
          <w:rFonts w:hint="eastAsia"/>
        </w:rPr>
        <w:t>暫時停聘</w:t>
      </w:r>
      <w:r w:rsidR="00C24E72" w:rsidRPr="00A648E3">
        <w:rPr>
          <w:rFonts w:hint="eastAsia"/>
        </w:rPr>
        <w:t>2</w:t>
      </w:r>
      <w:r w:rsidRPr="00A648E3">
        <w:rPr>
          <w:rFonts w:hint="eastAsia"/>
        </w:rPr>
        <w:t>個月靜候調查之處分；114年5月5日學校再次</w:t>
      </w:r>
      <w:proofErr w:type="gramStart"/>
      <w:r w:rsidRPr="00A648E3">
        <w:rPr>
          <w:rFonts w:hint="eastAsia"/>
        </w:rPr>
        <w:t>受理甲師申訴</w:t>
      </w:r>
      <w:proofErr w:type="gramEnd"/>
      <w:r w:rsidRPr="00A648E3">
        <w:rPr>
          <w:rFonts w:hint="eastAsia"/>
        </w:rPr>
        <w:t>案件後，114年5月21日教評會就上開申訴案做成決議，</w:t>
      </w:r>
      <w:proofErr w:type="gramStart"/>
      <w:r w:rsidRPr="00A648E3">
        <w:rPr>
          <w:rFonts w:hint="eastAsia"/>
        </w:rPr>
        <w:t>對乙師做成</w:t>
      </w:r>
      <w:proofErr w:type="gramEnd"/>
      <w:r w:rsidRPr="00A648E3">
        <w:rPr>
          <w:rFonts w:hint="eastAsia"/>
        </w:rPr>
        <w:t>暫時停聘</w:t>
      </w:r>
      <w:r w:rsidR="00C24E72" w:rsidRPr="00A648E3">
        <w:rPr>
          <w:rFonts w:hint="eastAsia"/>
        </w:rPr>
        <w:t>6</w:t>
      </w:r>
      <w:r w:rsidRPr="00A648E3">
        <w:rPr>
          <w:rFonts w:hint="eastAsia"/>
        </w:rPr>
        <w:t>個月靜候調查之處分，且該校於114年5月19日函</w:t>
      </w:r>
      <w:proofErr w:type="gramStart"/>
      <w:r w:rsidRPr="00A648E3">
        <w:rPr>
          <w:rFonts w:hint="eastAsia"/>
        </w:rPr>
        <w:t>知甲師</w:t>
      </w:r>
      <w:proofErr w:type="gramEnd"/>
      <w:r w:rsidRPr="00A648E3">
        <w:rPr>
          <w:rFonts w:hint="eastAsia"/>
        </w:rPr>
        <w:t>，如有諮詢輔導或法律諮詢之需求，依學校員工協助方案可提供相關服務；另如需請假休養或規劃</w:t>
      </w:r>
      <w:proofErr w:type="gramStart"/>
      <w:r w:rsidRPr="00A648E3">
        <w:rPr>
          <w:rFonts w:hint="eastAsia"/>
        </w:rPr>
        <w:t>採取線上授課</w:t>
      </w:r>
      <w:proofErr w:type="gramEnd"/>
      <w:r w:rsidRPr="00A648E3">
        <w:rPr>
          <w:rFonts w:hint="eastAsia"/>
        </w:rPr>
        <w:t>，以減少身心負荷，得洽</w:t>
      </w:r>
      <w:r w:rsidR="001751EC" w:rsidRPr="00A648E3">
        <w:rPr>
          <w:rFonts w:hint="eastAsia"/>
        </w:rPr>
        <w:t>該校</w:t>
      </w:r>
      <w:r w:rsidRPr="00A648E3">
        <w:rPr>
          <w:rFonts w:hint="eastAsia"/>
        </w:rPr>
        <w:t>協助處理。</w:t>
      </w:r>
      <w:proofErr w:type="gramStart"/>
      <w:r w:rsidR="00864EB0" w:rsidRPr="00A648E3">
        <w:rPr>
          <w:rFonts w:hint="eastAsia"/>
        </w:rPr>
        <w:t>另</w:t>
      </w:r>
      <w:proofErr w:type="gramEnd"/>
      <w:r w:rsidR="00864EB0" w:rsidRPr="00A648E3">
        <w:rPr>
          <w:rFonts w:hint="eastAsia"/>
        </w:rPr>
        <w:t>，調查過程中相關</w:t>
      </w:r>
      <w:proofErr w:type="gramStart"/>
      <w:r w:rsidR="00864EB0" w:rsidRPr="00A648E3">
        <w:rPr>
          <w:rFonts w:hint="eastAsia"/>
        </w:rPr>
        <w:t>文書均由</w:t>
      </w:r>
      <w:r w:rsidR="001751EC" w:rsidRPr="00A648E3">
        <w:rPr>
          <w:rFonts w:hint="eastAsia"/>
        </w:rPr>
        <w:t>該</w:t>
      </w:r>
      <w:proofErr w:type="gramEnd"/>
      <w:r w:rsidR="001751EC" w:rsidRPr="00A648E3">
        <w:rPr>
          <w:rFonts w:hint="eastAsia"/>
        </w:rPr>
        <w:t>校</w:t>
      </w:r>
      <w:r w:rsidR="00864EB0" w:rsidRPr="00A648E3">
        <w:rPr>
          <w:rFonts w:hint="eastAsia"/>
        </w:rPr>
        <w:t>承辦人親</w:t>
      </w:r>
      <w:proofErr w:type="gramStart"/>
      <w:r w:rsidR="00864EB0" w:rsidRPr="00A648E3">
        <w:rPr>
          <w:rFonts w:hint="eastAsia"/>
        </w:rPr>
        <w:t>送甲師</w:t>
      </w:r>
      <w:proofErr w:type="gramEnd"/>
      <w:r w:rsidR="00864EB0" w:rsidRPr="00A648E3">
        <w:rPr>
          <w:rFonts w:hint="eastAsia"/>
        </w:rPr>
        <w:t>研究室供其簽收，並向其妥為說明案件處理進度；</w:t>
      </w:r>
      <w:proofErr w:type="gramStart"/>
      <w:r w:rsidR="00864EB0" w:rsidRPr="00A648E3">
        <w:rPr>
          <w:rFonts w:hint="eastAsia"/>
        </w:rPr>
        <w:t>114年8月間亦曾詢問甲師第2次</w:t>
      </w:r>
      <w:proofErr w:type="gramEnd"/>
      <w:r w:rsidR="00864EB0" w:rsidRPr="00A648E3">
        <w:rPr>
          <w:rFonts w:hint="eastAsia"/>
        </w:rPr>
        <w:t>申訴調查期間是否曾有發生</w:t>
      </w:r>
      <w:proofErr w:type="gramStart"/>
      <w:r w:rsidR="00864EB0" w:rsidRPr="00A648E3">
        <w:rPr>
          <w:rFonts w:hint="eastAsia"/>
        </w:rPr>
        <w:t>與乙師接觸</w:t>
      </w:r>
      <w:proofErr w:type="gramEnd"/>
      <w:r w:rsidR="00864EB0" w:rsidRPr="00A648E3">
        <w:rPr>
          <w:rFonts w:hint="eastAsia"/>
        </w:rPr>
        <w:t>之情形，</w:t>
      </w:r>
      <w:proofErr w:type="gramStart"/>
      <w:r w:rsidR="00864EB0" w:rsidRPr="00A648E3">
        <w:rPr>
          <w:rFonts w:hint="eastAsia"/>
        </w:rPr>
        <w:t>經</w:t>
      </w:r>
      <w:r w:rsidR="001751EC" w:rsidRPr="00A648E3">
        <w:rPr>
          <w:rFonts w:hint="eastAsia"/>
        </w:rPr>
        <w:t>甲師</w:t>
      </w:r>
      <w:r w:rsidR="00864EB0" w:rsidRPr="00A648E3">
        <w:rPr>
          <w:rFonts w:hint="eastAsia"/>
        </w:rPr>
        <w:t>回</w:t>
      </w:r>
      <w:r w:rsidR="001751EC" w:rsidRPr="00A648E3">
        <w:rPr>
          <w:rFonts w:hint="eastAsia"/>
        </w:rPr>
        <w:t>復</w:t>
      </w:r>
      <w:proofErr w:type="gramEnd"/>
      <w:r w:rsidR="001751EC" w:rsidRPr="00A648E3">
        <w:rPr>
          <w:rFonts w:hint="eastAsia"/>
        </w:rPr>
        <w:t>「</w:t>
      </w:r>
      <w:r w:rsidR="00864EB0" w:rsidRPr="00A648E3">
        <w:rPr>
          <w:rFonts w:hint="eastAsia"/>
        </w:rPr>
        <w:t>沒有</w:t>
      </w:r>
      <w:r w:rsidR="001751EC" w:rsidRPr="00A648E3">
        <w:rPr>
          <w:rFonts w:hint="eastAsia"/>
        </w:rPr>
        <w:t>」</w:t>
      </w:r>
      <w:r w:rsidR="00864EB0" w:rsidRPr="00A648E3">
        <w:rPr>
          <w:rFonts w:hint="eastAsia"/>
        </w:rPr>
        <w:t>。</w:t>
      </w:r>
    </w:p>
    <w:p w14:paraId="5ABBA578" w14:textId="0A7BD7D7" w:rsidR="001B45D2" w:rsidRPr="00A648E3" w:rsidRDefault="00266FFB" w:rsidP="00D313A8">
      <w:pPr>
        <w:pStyle w:val="3"/>
        <w:widowControl/>
        <w:numPr>
          <w:ilvl w:val="2"/>
          <w:numId w:val="1"/>
        </w:numPr>
        <w:kinsoku/>
        <w:overflowPunct/>
        <w:autoSpaceDE/>
        <w:autoSpaceDN/>
      </w:pPr>
      <w:r w:rsidRPr="00A648E3">
        <w:rPr>
          <w:rFonts w:hint="eastAsia"/>
        </w:rPr>
        <w:t>然而，</w:t>
      </w:r>
      <w:proofErr w:type="gramStart"/>
      <w:r w:rsidR="001B45D2" w:rsidRPr="00A648E3">
        <w:rPr>
          <w:rFonts w:hint="eastAsia"/>
        </w:rPr>
        <w:t>甲師向</w:t>
      </w:r>
      <w:proofErr w:type="gramEnd"/>
      <w:r w:rsidR="001B45D2" w:rsidRPr="00A648E3">
        <w:rPr>
          <w:rFonts w:hint="eastAsia"/>
        </w:rPr>
        <w:t>本院陳訴「</w:t>
      </w:r>
      <w:r w:rsidRPr="00A648E3">
        <w:rPr>
          <w:rFonts w:hAnsi="標楷體" w:hint="eastAsia"/>
          <w:kern w:val="0"/>
          <w:sz w:val="30"/>
          <w:szCs w:val="30"/>
        </w:rPr>
        <w:t>學校認為我們(指甲師</w:t>
      </w:r>
      <w:proofErr w:type="gramStart"/>
      <w:r w:rsidRPr="00A648E3">
        <w:rPr>
          <w:rFonts w:hAnsi="標楷體" w:hint="eastAsia"/>
          <w:kern w:val="0"/>
          <w:sz w:val="30"/>
          <w:szCs w:val="30"/>
        </w:rPr>
        <w:t>與乙師</w:t>
      </w:r>
      <w:proofErr w:type="gramEnd"/>
      <w:r w:rsidRPr="00A648E3">
        <w:rPr>
          <w:rFonts w:hAnsi="標楷體" w:hint="eastAsia"/>
          <w:kern w:val="0"/>
          <w:sz w:val="30"/>
          <w:szCs w:val="30"/>
        </w:rPr>
        <w:t>)</w:t>
      </w:r>
      <w:proofErr w:type="gramStart"/>
      <w:r w:rsidRPr="00A648E3">
        <w:rPr>
          <w:rFonts w:hAnsi="標楷體" w:hint="eastAsia"/>
          <w:kern w:val="0"/>
          <w:sz w:val="30"/>
          <w:szCs w:val="30"/>
        </w:rPr>
        <w:t>不</w:t>
      </w:r>
      <w:proofErr w:type="gramEnd"/>
      <w:r w:rsidRPr="00A648E3">
        <w:rPr>
          <w:rFonts w:hAnsi="標楷體" w:hint="eastAsia"/>
          <w:kern w:val="0"/>
          <w:sz w:val="30"/>
          <w:szCs w:val="30"/>
        </w:rPr>
        <w:t>同學系不會遇到，但實際上事情發生後，我光上班開車就</w:t>
      </w:r>
      <w:proofErr w:type="gramStart"/>
      <w:r w:rsidRPr="00A648E3">
        <w:rPr>
          <w:rFonts w:hAnsi="標楷體" w:hint="eastAsia"/>
          <w:kern w:val="0"/>
          <w:sz w:val="30"/>
          <w:szCs w:val="30"/>
        </w:rPr>
        <w:t>遇到乙師3次</w:t>
      </w:r>
      <w:proofErr w:type="gramEnd"/>
      <w:r w:rsidRPr="00A648E3">
        <w:rPr>
          <w:rFonts w:hAnsi="標楷體" w:hint="eastAsia"/>
          <w:kern w:val="0"/>
          <w:sz w:val="30"/>
          <w:szCs w:val="30"/>
        </w:rPr>
        <w:t>，很怕，但沒人關心這件。</w:t>
      </w:r>
      <w:r w:rsidR="001B45D2" w:rsidRPr="00A648E3">
        <w:rPr>
          <w:rFonts w:hint="eastAsia"/>
        </w:rPr>
        <w:t>」</w:t>
      </w:r>
      <w:r w:rsidRPr="00A648E3">
        <w:rPr>
          <w:rFonts w:hint="eastAsia"/>
        </w:rPr>
        <w:t>等語。東華大學人員到院表示：「</w:t>
      </w:r>
      <w:r w:rsidRPr="00A648E3">
        <w:rPr>
          <w:rFonts w:hAnsi="標楷體" w:hint="eastAsia"/>
        </w:rPr>
        <w:t>當初沒有想到，因為兩個</w:t>
      </w:r>
      <w:proofErr w:type="gramStart"/>
      <w:r w:rsidRPr="00A648E3">
        <w:rPr>
          <w:rFonts w:hAnsi="標楷體" w:hint="eastAsia"/>
        </w:rPr>
        <w:t>學院相隔甚</w:t>
      </w:r>
      <w:proofErr w:type="gramEnd"/>
      <w:r w:rsidRPr="00A648E3">
        <w:rPr>
          <w:rFonts w:hAnsi="標楷體" w:hint="eastAsia"/>
        </w:rPr>
        <w:t>遠，停車的位置</w:t>
      </w:r>
      <w:proofErr w:type="gramStart"/>
      <w:r w:rsidRPr="00A648E3">
        <w:rPr>
          <w:rFonts w:hAnsi="標楷體" w:hint="eastAsia"/>
        </w:rPr>
        <w:t>也隔很遠</w:t>
      </w:r>
      <w:proofErr w:type="gramEnd"/>
      <w:r w:rsidRPr="00A648E3">
        <w:rPr>
          <w:rFonts w:hAnsi="標楷體" w:hint="eastAsia"/>
        </w:rPr>
        <w:t>，可能最多是在校門口遇到</w:t>
      </w:r>
      <w:r w:rsidRPr="00A648E3">
        <w:rPr>
          <w:rFonts w:hint="eastAsia"/>
        </w:rPr>
        <w:t>」等語，</w:t>
      </w:r>
      <w:r w:rsidR="00C24E72" w:rsidRPr="00A648E3">
        <w:rPr>
          <w:rFonts w:hint="eastAsia"/>
        </w:rPr>
        <w:t>顯示</w:t>
      </w:r>
      <w:r w:rsidR="00864EB0" w:rsidRPr="00A648E3">
        <w:rPr>
          <w:rFonts w:hint="eastAsia"/>
        </w:rPr>
        <w:t>，東華大學</w:t>
      </w:r>
      <w:r w:rsidR="00BE589F" w:rsidRPr="00A648E3">
        <w:rPr>
          <w:rFonts w:hint="eastAsia"/>
        </w:rPr>
        <w:t>雖已</w:t>
      </w:r>
      <w:r w:rsidR="00864EB0" w:rsidRPr="00A648E3">
        <w:rPr>
          <w:rFonts w:hint="eastAsia"/>
        </w:rPr>
        <w:t>依法</w:t>
      </w:r>
      <w:proofErr w:type="gramStart"/>
      <w:r w:rsidR="00864EB0" w:rsidRPr="00A648E3">
        <w:rPr>
          <w:rFonts w:hint="eastAsia"/>
        </w:rPr>
        <w:t>提供甲師相關</w:t>
      </w:r>
      <w:proofErr w:type="gramEnd"/>
      <w:r w:rsidR="00864EB0" w:rsidRPr="00A648E3">
        <w:rPr>
          <w:rFonts w:hint="eastAsia"/>
        </w:rPr>
        <w:t>輔導資源，亦依法對</w:t>
      </w:r>
      <w:proofErr w:type="gramStart"/>
      <w:r w:rsidR="00864EB0" w:rsidRPr="00A648E3">
        <w:rPr>
          <w:rFonts w:hint="eastAsia"/>
        </w:rPr>
        <w:t>乙師核</w:t>
      </w:r>
      <w:proofErr w:type="gramEnd"/>
      <w:r w:rsidR="00864EB0" w:rsidRPr="00A648E3">
        <w:rPr>
          <w:rFonts w:hint="eastAsia"/>
        </w:rPr>
        <w:t>予停聘處分，惟基於</w:t>
      </w:r>
      <w:proofErr w:type="gramStart"/>
      <w:r w:rsidR="00864EB0" w:rsidRPr="00A648E3">
        <w:rPr>
          <w:rFonts w:hint="eastAsia"/>
        </w:rPr>
        <w:t>同理被性騷擾</w:t>
      </w:r>
      <w:proofErr w:type="gramEnd"/>
      <w:r w:rsidR="00864EB0" w:rsidRPr="00A648E3">
        <w:rPr>
          <w:rFonts w:hint="eastAsia"/>
        </w:rPr>
        <w:t>或性侵害者之感受，並積極保護渠等之立場，該校對於隔離兩造之措施，或有可精進之處。</w:t>
      </w:r>
    </w:p>
    <w:p w14:paraId="77B14D29" w14:textId="198922A2" w:rsidR="007124FF" w:rsidRPr="00A648E3" w:rsidRDefault="00864EB0" w:rsidP="00D313A8">
      <w:pPr>
        <w:pStyle w:val="3"/>
        <w:widowControl/>
        <w:numPr>
          <w:ilvl w:val="2"/>
          <w:numId w:val="1"/>
        </w:numPr>
        <w:kinsoku/>
        <w:overflowPunct/>
        <w:autoSpaceDE/>
        <w:autoSpaceDN/>
      </w:pPr>
      <w:proofErr w:type="gramStart"/>
      <w:r w:rsidRPr="00A648E3">
        <w:rPr>
          <w:rFonts w:hint="eastAsia"/>
        </w:rPr>
        <w:lastRenderedPageBreak/>
        <w:t>此外，依據甲師</w:t>
      </w:r>
      <w:proofErr w:type="gramEnd"/>
      <w:r w:rsidRPr="00A648E3">
        <w:rPr>
          <w:rFonts w:hint="eastAsia"/>
        </w:rPr>
        <w:t>提供本院之個人通訊</w:t>
      </w:r>
      <w:r w:rsidR="00207E1A" w:rsidRPr="00A648E3">
        <w:rPr>
          <w:rFonts w:hint="eastAsia"/>
        </w:rPr>
        <w:t>軟體</w:t>
      </w:r>
      <w:r w:rsidRPr="00A648E3">
        <w:rPr>
          <w:rFonts w:hint="eastAsia"/>
        </w:rPr>
        <w:t>對話</w:t>
      </w:r>
      <w:proofErr w:type="gramStart"/>
      <w:r w:rsidRPr="00A648E3">
        <w:rPr>
          <w:rFonts w:hint="eastAsia"/>
        </w:rPr>
        <w:t>畫面截圖</w:t>
      </w:r>
      <w:proofErr w:type="gramEnd"/>
      <w:r w:rsidRPr="00A648E3">
        <w:rPr>
          <w:rFonts w:hint="eastAsia"/>
        </w:rPr>
        <w:t>(在卷可</w:t>
      </w:r>
      <w:proofErr w:type="gramStart"/>
      <w:r w:rsidRPr="00A648E3">
        <w:rPr>
          <w:rFonts w:hint="eastAsia"/>
        </w:rPr>
        <w:t>稽</w:t>
      </w:r>
      <w:proofErr w:type="gramEnd"/>
      <w:r w:rsidRPr="00A648E3">
        <w:rPr>
          <w:rFonts w:hint="eastAsia"/>
        </w:rPr>
        <w:t>)顯示，乙師</w:t>
      </w:r>
      <w:r w:rsidRPr="00A648E3">
        <w:rPr>
          <w:rFonts w:hAnsi="標楷體" w:hint="eastAsia"/>
        </w:rPr>
        <w:t>之</w:t>
      </w:r>
      <w:r w:rsidR="00207E1A" w:rsidRPr="00A648E3">
        <w:rPr>
          <w:rFonts w:hAnsi="標楷體" w:hint="eastAsia"/>
        </w:rPr>
        <w:t>配偶</w:t>
      </w:r>
      <w:r w:rsidRPr="00A648E3">
        <w:rPr>
          <w:rFonts w:hAnsi="標楷體" w:hint="eastAsia"/>
        </w:rPr>
        <w:t>曾以「討論論文」為由向</w:t>
      </w:r>
      <w:r w:rsidR="00A848D4" w:rsidRPr="00A648E3">
        <w:rPr>
          <w:rFonts w:hAnsi="標楷體" w:hint="eastAsia"/>
        </w:rPr>
        <w:t>A</w:t>
      </w:r>
      <w:r w:rsidRPr="00A648E3">
        <w:rPr>
          <w:rFonts w:hAnsi="標楷體" w:hint="eastAsia"/>
        </w:rPr>
        <w:t>生索取</w:t>
      </w:r>
      <w:r w:rsidR="00A848D4" w:rsidRPr="00A648E3">
        <w:rPr>
          <w:rFonts w:hAnsi="標楷體" w:hint="eastAsia"/>
        </w:rPr>
        <w:t>B</w:t>
      </w:r>
      <w:r w:rsidRPr="00A648E3">
        <w:rPr>
          <w:rFonts w:hAnsi="標楷體" w:hint="eastAsia"/>
        </w:rPr>
        <w:t>生的通訊帳號，實際上</w:t>
      </w:r>
      <w:proofErr w:type="gramStart"/>
      <w:r w:rsidRPr="00A648E3">
        <w:rPr>
          <w:rFonts w:hAnsi="標楷體" w:hint="eastAsia"/>
        </w:rPr>
        <w:t>卻私訊詢問</w:t>
      </w:r>
      <w:proofErr w:type="gramEnd"/>
      <w:r w:rsidR="00A848D4" w:rsidRPr="00A648E3">
        <w:rPr>
          <w:rFonts w:hAnsi="標楷體" w:hint="eastAsia"/>
        </w:rPr>
        <w:t>B</w:t>
      </w:r>
      <w:r w:rsidRPr="00A648E3">
        <w:rPr>
          <w:rFonts w:hAnsi="標楷體" w:hint="eastAsia"/>
        </w:rPr>
        <w:t>生</w:t>
      </w:r>
      <w:r w:rsidR="00BE589F" w:rsidRPr="00A648E3">
        <w:rPr>
          <w:rFonts w:hAnsi="標楷體" w:hint="eastAsia"/>
        </w:rPr>
        <w:t>關於甲、</w:t>
      </w:r>
      <w:proofErr w:type="gramStart"/>
      <w:r w:rsidR="00BE589F" w:rsidRPr="00A648E3">
        <w:rPr>
          <w:rFonts w:hAnsi="標楷體" w:hint="eastAsia"/>
        </w:rPr>
        <w:t>乙師互動</w:t>
      </w:r>
      <w:proofErr w:type="gramEnd"/>
      <w:r w:rsidR="00BE589F" w:rsidRPr="00A648E3">
        <w:rPr>
          <w:rFonts w:hAnsi="標楷體" w:hint="eastAsia"/>
        </w:rPr>
        <w:t>情形，</w:t>
      </w:r>
      <w:proofErr w:type="gramStart"/>
      <w:r w:rsidR="00BE589F" w:rsidRPr="00A648E3">
        <w:rPr>
          <w:rFonts w:hAnsi="標楷體" w:hint="eastAsia"/>
        </w:rPr>
        <w:t>甲師</w:t>
      </w:r>
      <w:r w:rsidR="00941A79" w:rsidRPr="00A648E3">
        <w:rPr>
          <w:rFonts w:hAnsi="標楷體" w:hint="eastAsia"/>
        </w:rPr>
        <w:t>對</w:t>
      </w:r>
      <w:proofErr w:type="gramEnd"/>
      <w:r w:rsidR="00941A79" w:rsidRPr="00A648E3">
        <w:rPr>
          <w:rFonts w:hAnsi="標楷體" w:hint="eastAsia"/>
        </w:rPr>
        <w:t>此</w:t>
      </w:r>
      <w:r w:rsidR="00BE589F" w:rsidRPr="00A648E3">
        <w:rPr>
          <w:rFonts w:hAnsi="標楷體" w:hint="eastAsia"/>
        </w:rPr>
        <w:t>指訴，</w:t>
      </w:r>
      <w:proofErr w:type="gramStart"/>
      <w:r w:rsidR="00BE589F" w:rsidRPr="00A648E3">
        <w:rPr>
          <w:rFonts w:hAnsi="標楷體" w:hint="eastAsia"/>
        </w:rPr>
        <w:t>乙師配偶</w:t>
      </w:r>
      <w:proofErr w:type="gramEnd"/>
      <w:r w:rsidR="00BE589F" w:rsidRPr="00A648E3">
        <w:rPr>
          <w:rFonts w:hAnsi="標楷體" w:hint="eastAsia"/>
        </w:rPr>
        <w:t>此舉無異於騷擾無關之學生。對此，東華大學人員到院時表示，經本院詢問才知悉前述情形，後續將進一步瞭解</w:t>
      </w:r>
      <w:r w:rsidR="00A848D4" w:rsidRPr="00A648E3">
        <w:rPr>
          <w:rFonts w:hAnsi="標楷體" w:hint="eastAsia"/>
        </w:rPr>
        <w:t>等語</w:t>
      </w:r>
      <w:r w:rsidR="00BE589F" w:rsidRPr="00A648E3">
        <w:rPr>
          <w:rFonts w:hAnsi="標楷體" w:hint="eastAsia"/>
        </w:rPr>
        <w:t>。</w:t>
      </w:r>
      <w:proofErr w:type="gramStart"/>
      <w:r w:rsidR="00BE589F" w:rsidRPr="00A648E3">
        <w:rPr>
          <w:rFonts w:hAnsi="標楷體" w:hint="eastAsia"/>
        </w:rPr>
        <w:t>查乙師之</w:t>
      </w:r>
      <w:proofErr w:type="gramEnd"/>
      <w:r w:rsidR="00BE589F" w:rsidRPr="00A648E3">
        <w:rPr>
          <w:rFonts w:hAnsi="標楷體" w:hint="eastAsia"/>
        </w:rPr>
        <w:t>配偶，刻正</w:t>
      </w:r>
      <w:proofErr w:type="gramStart"/>
      <w:r w:rsidR="00BE589F" w:rsidRPr="00A648E3">
        <w:rPr>
          <w:rFonts w:hAnsi="標楷體" w:hint="eastAsia"/>
        </w:rPr>
        <w:t>對甲師提起</w:t>
      </w:r>
      <w:proofErr w:type="gramEnd"/>
      <w:r w:rsidR="00BE589F" w:rsidRPr="00A648E3">
        <w:rPr>
          <w:rFonts w:hAnsi="標楷體" w:hint="eastAsia"/>
        </w:rPr>
        <w:t>侵害配偶權之訴訟，又如前述，</w:t>
      </w:r>
      <w:r w:rsidR="00BE589F" w:rsidRPr="00A648E3">
        <w:rPr>
          <w:rFonts w:hint="eastAsia"/>
          <w:bCs w:val="0"/>
        </w:rPr>
        <w:t>東</w:t>
      </w:r>
      <w:r w:rsidR="00BE589F" w:rsidRPr="00A648E3">
        <w:rPr>
          <w:rFonts w:hAnsi="標楷體" w:hint="eastAsia"/>
          <w:bCs w:val="0"/>
        </w:rPr>
        <w:t>華</w:t>
      </w:r>
      <w:r w:rsidR="00BE589F" w:rsidRPr="00A648E3">
        <w:rPr>
          <w:rFonts w:hAnsi="標楷體" w:hint="eastAsia"/>
        </w:rPr>
        <w:t>大學性別事件第1140430號案目前非屬終局確定，</w:t>
      </w:r>
      <w:proofErr w:type="gramStart"/>
      <w:r w:rsidR="00BE589F" w:rsidRPr="00A648E3">
        <w:rPr>
          <w:rFonts w:hAnsi="標楷體" w:hint="eastAsia"/>
        </w:rPr>
        <w:t>惟東華大學</w:t>
      </w:r>
      <w:proofErr w:type="gramEnd"/>
      <w:r w:rsidR="00BE589F" w:rsidRPr="00A648E3">
        <w:rPr>
          <w:rFonts w:hAnsi="標楷體" w:hint="eastAsia"/>
        </w:rPr>
        <w:t>師生安心任教、學習之權益應受保障，</w:t>
      </w:r>
      <w:proofErr w:type="gramStart"/>
      <w:r w:rsidR="00BE589F" w:rsidRPr="00A648E3">
        <w:rPr>
          <w:rFonts w:hAnsi="標楷體" w:hint="eastAsia"/>
        </w:rPr>
        <w:t>對於甲師反映</w:t>
      </w:r>
      <w:proofErr w:type="gramEnd"/>
      <w:r w:rsidR="00BE589F" w:rsidRPr="00A648E3">
        <w:rPr>
          <w:rFonts w:hAnsi="標楷體" w:hint="eastAsia"/>
        </w:rPr>
        <w:t>學生受到</w:t>
      </w:r>
      <w:r w:rsidR="00652397" w:rsidRPr="00A648E3">
        <w:rPr>
          <w:rFonts w:hAnsi="標楷體" w:hint="eastAsia"/>
        </w:rPr>
        <w:t>與受教育無關之</w:t>
      </w:r>
      <w:r w:rsidR="00BE589F" w:rsidRPr="00A648E3">
        <w:rPr>
          <w:rFonts w:hAnsi="標楷體" w:hint="eastAsia"/>
        </w:rPr>
        <w:t>干擾</w:t>
      </w:r>
      <w:r w:rsidR="00652397" w:rsidRPr="00A648E3">
        <w:rPr>
          <w:rFonts w:hAnsi="標楷體" w:hint="eastAsia"/>
        </w:rPr>
        <w:t>情事</w:t>
      </w:r>
      <w:r w:rsidR="00BE589F" w:rsidRPr="00A648E3">
        <w:rPr>
          <w:rFonts w:hAnsi="標楷體" w:hint="eastAsia"/>
        </w:rPr>
        <w:t>，應由東華大學續為</w:t>
      </w:r>
      <w:proofErr w:type="gramStart"/>
      <w:r w:rsidR="00BE589F" w:rsidRPr="00A648E3">
        <w:rPr>
          <w:rFonts w:hAnsi="標楷體" w:hint="eastAsia"/>
        </w:rPr>
        <w:t>查明妥處</w:t>
      </w:r>
      <w:proofErr w:type="gramEnd"/>
      <w:r w:rsidR="00BE589F" w:rsidRPr="00A648E3">
        <w:rPr>
          <w:rFonts w:hAnsi="標楷體" w:hint="eastAsia"/>
        </w:rPr>
        <w:t>，並持續</w:t>
      </w:r>
      <w:proofErr w:type="gramStart"/>
      <w:r w:rsidR="00BE589F" w:rsidRPr="00A648E3">
        <w:rPr>
          <w:rFonts w:hAnsi="標楷體" w:hint="eastAsia"/>
        </w:rPr>
        <w:t>關心甲師所</w:t>
      </w:r>
      <w:proofErr w:type="gramEnd"/>
      <w:r w:rsidR="00BE589F" w:rsidRPr="00A648E3">
        <w:rPr>
          <w:rFonts w:hAnsi="標楷體" w:hint="eastAsia"/>
        </w:rPr>
        <w:t>需協助。</w:t>
      </w:r>
    </w:p>
    <w:p w14:paraId="67EA14F4" w14:textId="0C48FB1F" w:rsidR="007124FF" w:rsidRPr="00A648E3" w:rsidRDefault="00BE589F" w:rsidP="00D313A8">
      <w:pPr>
        <w:pStyle w:val="3"/>
        <w:widowControl/>
        <w:numPr>
          <w:ilvl w:val="2"/>
          <w:numId w:val="1"/>
        </w:numPr>
        <w:kinsoku/>
        <w:overflowPunct/>
        <w:autoSpaceDE/>
        <w:autoSpaceDN/>
        <w:rPr>
          <w:rFonts w:hAnsi="標楷體"/>
        </w:rPr>
      </w:pPr>
      <w:r w:rsidRPr="00A648E3">
        <w:rPr>
          <w:rFonts w:hAnsi="標楷體" w:hint="eastAsia"/>
        </w:rPr>
        <w:t>綜上，東華大學稱已依法</w:t>
      </w:r>
      <w:proofErr w:type="gramStart"/>
      <w:r w:rsidRPr="00A648E3">
        <w:rPr>
          <w:rFonts w:hAnsi="標楷體" w:hint="eastAsia"/>
        </w:rPr>
        <w:t>提供甲師關懷</w:t>
      </w:r>
      <w:proofErr w:type="gramEnd"/>
      <w:r w:rsidRPr="00A648E3">
        <w:rPr>
          <w:rFonts w:hAnsi="標楷體" w:hint="eastAsia"/>
        </w:rPr>
        <w:t>及協助資源，</w:t>
      </w:r>
      <w:proofErr w:type="gramStart"/>
      <w:r w:rsidRPr="00A648E3">
        <w:rPr>
          <w:rFonts w:hAnsi="標楷體" w:hint="eastAsia"/>
        </w:rPr>
        <w:t>惟甲師</w:t>
      </w:r>
      <w:proofErr w:type="gramEnd"/>
      <w:r w:rsidRPr="00A648E3">
        <w:rPr>
          <w:rFonts w:hAnsi="標楷體" w:hint="eastAsia"/>
        </w:rPr>
        <w:t>仍</w:t>
      </w:r>
      <w:proofErr w:type="gramStart"/>
      <w:r w:rsidRPr="00A648E3">
        <w:rPr>
          <w:rFonts w:hAnsi="標楷體" w:hint="eastAsia"/>
        </w:rPr>
        <w:t>指訴該校</w:t>
      </w:r>
      <w:proofErr w:type="gramEnd"/>
      <w:r w:rsidRPr="00A648E3">
        <w:rPr>
          <w:rFonts w:hAnsi="標楷體" w:hint="eastAsia"/>
        </w:rPr>
        <w:t>所為之關懷保護措施不足，令其在通報校方後，仍曾在校園中</w:t>
      </w:r>
      <w:proofErr w:type="gramStart"/>
      <w:r w:rsidRPr="00A648E3">
        <w:rPr>
          <w:rFonts w:hAnsi="標楷體" w:hint="eastAsia"/>
        </w:rPr>
        <w:t>遇見乙師</w:t>
      </w:r>
      <w:proofErr w:type="gramEnd"/>
      <w:r w:rsidRPr="00A648E3">
        <w:rPr>
          <w:rFonts w:hAnsi="標楷體" w:hint="eastAsia"/>
        </w:rPr>
        <w:t>，致心生恐懼。</w:t>
      </w:r>
      <w:proofErr w:type="gramStart"/>
      <w:r w:rsidRPr="00A648E3">
        <w:rPr>
          <w:rFonts w:hAnsi="標楷體" w:hint="eastAsia"/>
        </w:rPr>
        <w:t>此外，甲師指</w:t>
      </w:r>
      <w:proofErr w:type="gramEnd"/>
      <w:r w:rsidRPr="00A648E3">
        <w:rPr>
          <w:rFonts w:hAnsi="標楷體" w:hint="eastAsia"/>
        </w:rPr>
        <w:t>訴「</w:t>
      </w:r>
      <w:proofErr w:type="gramStart"/>
      <w:r w:rsidRPr="00A648E3">
        <w:rPr>
          <w:rFonts w:hAnsi="標楷體" w:hint="eastAsia"/>
        </w:rPr>
        <w:t>乙師配偶</w:t>
      </w:r>
      <w:proofErr w:type="gramEnd"/>
      <w:r w:rsidRPr="00A648E3">
        <w:rPr>
          <w:rFonts w:hAnsi="標楷體" w:hint="eastAsia"/>
        </w:rPr>
        <w:t>私下聯繫學生，私自探詢甲、</w:t>
      </w:r>
      <w:proofErr w:type="gramStart"/>
      <w:r w:rsidRPr="00A648E3">
        <w:rPr>
          <w:rFonts w:hAnsi="標楷體" w:hint="eastAsia"/>
        </w:rPr>
        <w:t>乙師互動</w:t>
      </w:r>
      <w:proofErr w:type="gramEnd"/>
      <w:r w:rsidRPr="00A648E3">
        <w:rPr>
          <w:rFonts w:hAnsi="標楷體" w:hint="eastAsia"/>
        </w:rPr>
        <w:t>情形，已對學生形成</w:t>
      </w:r>
      <w:r w:rsidR="00652397" w:rsidRPr="00A648E3">
        <w:rPr>
          <w:rFonts w:hAnsi="標楷體" w:hint="eastAsia"/>
        </w:rPr>
        <w:t>與受教育無關之</w:t>
      </w:r>
      <w:r w:rsidRPr="00A648E3">
        <w:rPr>
          <w:rFonts w:hAnsi="標楷體" w:hint="eastAsia"/>
        </w:rPr>
        <w:t>干擾」情事，</w:t>
      </w:r>
      <w:proofErr w:type="gramStart"/>
      <w:r w:rsidR="00240D0E" w:rsidRPr="00A648E3">
        <w:rPr>
          <w:rFonts w:hAnsi="標楷體" w:hint="eastAsia"/>
        </w:rPr>
        <w:t>均</w:t>
      </w:r>
      <w:r w:rsidRPr="00A648E3">
        <w:rPr>
          <w:rFonts w:hAnsi="標楷體" w:hint="eastAsia"/>
        </w:rPr>
        <w:t>應由</w:t>
      </w:r>
      <w:proofErr w:type="gramEnd"/>
      <w:r w:rsidRPr="00A648E3">
        <w:rPr>
          <w:rFonts w:hAnsi="標楷體" w:hint="eastAsia"/>
        </w:rPr>
        <w:t>東華大學續為</w:t>
      </w:r>
      <w:proofErr w:type="gramStart"/>
      <w:r w:rsidRPr="00A648E3">
        <w:rPr>
          <w:rFonts w:hAnsi="標楷體" w:hint="eastAsia"/>
        </w:rPr>
        <w:t>查明妥處</w:t>
      </w:r>
      <w:proofErr w:type="gramEnd"/>
      <w:r w:rsidRPr="00A648E3">
        <w:rPr>
          <w:rFonts w:hAnsi="標楷體" w:hint="eastAsia"/>
        </w:rPr>
        <w:t>，以</w:t>
      </w:r>
      <w:proofErr w:type="gramStart"/>
      <w:r w:rsidRPr="00A648E3">
        <w:rPr>
          <w:rFonts w:hAnsi="標楷體" w:hint="eastAsia"/>
        </w:rPr>
        <w:t>協助甲師及</w:t>
      </w:r>
      <w:proofErr w:type="gramEnd"/>
      <w:r w:rsidRPr="00A648E3">
        <w:rPr>
          <w:rFonts w:hAnsi="標楷體" w:hint="eastAsia"/>
        </w:rPr>
        <w:t>該校學生安心任教學習。</w:t>
      </w:r>
    </w:p>
    <w:p w14:paraId="2564EEC8" w14:textId="0D9060EE" w:rsidR="00E25849" w:rsidRPr="00A648E3" w:rsidRDefault="00E25849" w:rsidP="00D313A8">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A648E3">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A648E3">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377568" w:rsidRPr="00A648E3">
        <w:t xml:space="preserve"> </w:t>
      </w:r>
    </w:p>
    <w:p w14:paraId="2C294101" w14:textId="3F6661AE" w:rsidR="00FB7770" w:rsidRPr="00A648E3" w:rsidRDefault="00FB7770" w:rsidP="00D313A8">
      <w:pPr>
        <w:pStyle w:val="2"/>
        <w:spacing w:beforeLines="25" w:before="114"/>
        <w:ind w:left="1020" w:hanging="680"/>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A648E3">
        <w:rPr>
          <w:rFonts w:hint="eastAsia"/>
        </w:rPr>
        <w:t>調查意見</w:t>
      </w:r>
      <w:r w:rsidR="003C72D6" w:rsidRPr="00A648E3">
        <w:rPr>
          <w:rFonts w:hint="eastAsia"/>
        </w:rPr>
        <w:t>一至四</w:t>
      </w:r>
      <w:r w:rsidRPr="00A648E3">
        <w:rPr>
          <w:rFonts w:hint="eastAsia"/>
        </w:rPr>
        <w:t>，</w:t>
      </w:r>
      <w:r w:rsidR="003C72D6" w:rsidRPr="00A648E3">
        <w:rPr>
          <w:rFonts w:hint="eastAsia"/>
        </w:rPr>
        <w:t>函請國立東華大學確實檢討改進</w:t>
      </w:r>
      <w:proofErr w:type="gramStart"/>
      <w:r w:rsidR="003C72D6" w:rsidRPr="00A648E3">
        <w:rPr>
          <w:rFonts w:hint="eastAsia"/>
        </w:rPr>
        <w:t>見復</w:t>
      </w:r>
      <w:r w:rsidRPr="00A648E3">
        <w:rPr>
          <w:rFonts w:hAnsi="標楷體" w:hint="eastAsia"/>
        </w:rPr>
        <w:t>。</w:t>
      </w:r>
      <w:bookmarkEnd w:id="87"/>
      <w:bookmarkEnd w:id="88"/>
      <w:bookmarkEnd w:id="89"/>
      <w:bookmarkEnd w:id="90"/>
      <w:bookmarkEnd w:id="91"/>
      <w:bookmarkEnd w:id="92"/>
      <w:bookmarkEnd w:id="93"/>
      <w:proofErr w:type="gramEnd"/>
    </w:p>
    <w:p w14:paraId="6A792BB3" w14:textId="5D10E937" w:rsidR="003C72D6" w:rsidRPr="00A648E3" w:rsidRDefault="003C72D6" w:rsidP="00D313A8">
      <w:pPr>
        <w:pStyle w:val="2"/>
        <w:spacing w:beforeLines="25" w:before="114"/>
        <w:ind w:left="1020" w:hanging="680"/>
      </w:pPr>
      <w:r w:rsidRPr="00A648E3">
        <w:rPr>
          <w:rFonts w:hint="eastAsia"/>
        </w:rPr>
        <w:t>調查意見一、二、三，函請行政院督同勞動</w:t>
      </w:r>
      <w:proofErr w:type="gramStart"/>
      <w:r w:rsidRPr="00A648E3">
        <w:rPr>
          <w:rFonts w:hint="eastAsia"/>
        </w:rPr>
        <w:t>部及教育部研處見復。</w:t>
      </w:r>
      <w:proofErr w:type="gramEnd"/>
    </w:p>
    <w:p w14:paraId="45AF8EBE" w14:textId="6ED0DAC0" w:rsidR="00E25849" w:rsidRPr="00A648E3" w:rsidRDefault="00E25849" w:rsidP="00D313A8">
      <w:pPr>
        <w:pStyle w:val="2"/>
      </w:pPr>
      <w:bookmarkStart w:id="113" w:name="_Toc421794877"/>
      <w:bookmarkStart w:id="114" w:name="_Toc421795443"/>
      <w:bookmarkStart w:id="115" w:name="_Toc421796024"/>
      <w:bookmarkStart w:id="116" w:name="_Toc422728959"/>
      <w:bookmarkStart w:id="117" w:name="_Toc422834162"/>
      <w:r w:rsidRPr="00A648E3">
        <w:rPr>
          <w:rFonts w:hint="eastAsia"/>
        </w:rPr>
        <w:t>調查意見，</w:t>
      </w:r>
      <w:proofErr w:type="gramStart"/>
      <w:r w:rsidRPr="00A648E3">
        <w:rPr>
          <w:rFonts w:hint="eastAsia"/>
        </w:rPr>
        <w:t>密</w:t>
      </w:r>
      <w:r w:rsidR="003C72D6" w:rsidRPr="00A648E3">
        <w:rPr>
          <w:rFonts w:hint="eastAsia"/>
        </w:rPr>
        <w:t>復陳情</w:t>
      </w:r>
      <w:proofErr w:type="gramEnd"/>
      <w:r w:rsidR="003C72D6" w:rsidRPr="00A648E3">
        <w:rPr>
          <w:rFonts w:hint="eastAsia"/>
        </w:rPr>
        <w:t>人。</w:t>
      </w:r>
      <w:bookmarkEnd w:id="94"/>
      <w:bookmarkEnd w:id="95"/>
      <w:bookmarkEnd w:id="96"/>
      <w:bookmarkEnd w:id="97"/>
      <w:bookmarkEnd w:id="98"/>
      <w:bookmarkEnd w:id="99"/>
      <w:bookmarkEnd w:id="100"/>
      <w:bookmarkEnd w:id="101"/>
      <w:bookmarkEnd w:id="113"/>
      <w:bookmarkEnd w:id="114"/>
      <w:bookmarkEnd w:id="115"/>
      <w:bookmarkEnd w:id="116"/>
      <w:bookmarkEnd w:id="117"/>
    </w:p>
    <w:bookmarkEnd w:id="102"/>
    <w:bookmarkEnd w:id="103"/>
    <w:bookmarkEnd w:id="104"/>
    <w:bookmarkEnd w:id="105"/>
    <w:bookmarkEnd w:id="106"/>
    <w:bookmarkEnd w:id="107"/>
    <w:bookmarkEnd w:id="108"/>
    <w:bookmarkEnd w:id="109"/>
    <w:bookmarkEnd w:id="110"/>
    <w:bookmarkEnd w:id="111"/>
    <w:bookmarkEnd w:id="112"/>
    <w:p w14:paraId="271E00D7" w14:textId="06229FAB" w:rsidR="00E25849" w:rsidRDefault="00E25849" w:rsidP="00D313A8">
      <w:pPr>
        <w:pStyle w:val="aa"/>
        <w:spacing w:beforeLines="50" w:before="228" w:afterLines="100" w:after="457"/>
        <w:ind w:leftChars="1100" w:left="3742"/>
        <w:rPr>
          <w:b w:val="0"/>
          <w:bCs/>
          <w:snapToGrid/>
          <w:spacing w:val="12"/>
          <w:kern w:val="0"/>
          <w:sz w:val="40"/>
        </w:rPr>
      </w:pPr>
      <w:r w:rsidRPr="00A648E3">
        <w:rPr>
          <w:rFonts w:hint="eastAsia"/>
          <w:b w:val="0"/>
          <w:bCs/>
          <w:snapToGrid/>
          <w:spacing w:val="12"/>
          <w:kern w:val="0"/>
          <w:sz w:val="40"/>
        </w:rPr>
        <w:t>調查委員：</w:t>
      </w:r>
      <w:proofErr w:type="gramStart"/>
      <w:r w:rsidR="00B14D87">
        <w:rPr>
          <w:rFonts w:hint="eastAsia"/>
          <w:b w:val="0"/>
          <w:bCs/>
          <w:snapToGrid/>
          <w:spacing w:val="12"/>
          <w:kern w:val="0"/>
          <w:sz w:val="40"/>
        </w:rPr>
        <w:t>范巽</w:t>
      </w:r>
      <w:proofErr w:type="gramEnd"/>
      <w:r w:rsidR="00B14D87">
        <w:rPr>
          <w:rFonts w:hint="eastAsia"/>
          <w:b w:val="0"/>
          <w:bCs/>
          <w:snapToGrid/>
          <w:spacing w:val="12"/>
          <w:kern w:val="0"/>
          <w:sz w:val="40"/>
        </w:rPr>
        <w:t>綠</w:t>
      </w:r>
    </w:p>
    <w:p w14:paraId="2A8376CA" w14:textId="2D4027D5" w:rsidR="00B14D87" w:rsidRPr="00A648E3" w:rsidRDefault="00B14D87" w:rsidP="00B14D87">
      <w:pPr>
        <w:pStyle w:val="aa"/>
        <w:spacing w:beforeLines="50" w:before="228" w:afterLines="100" w:after="457"/>
        <w:ind w:leftChars="1751" w:left="5956"/>
        <w:rPr>
          <w:rFonts w:hint="eastAsia"/>
          <w:b w:val="0"/>
          <w:bCs/>
          <w:snapToGrid/>
          <w:spacing w:val="12"/>
          <w:kern w:val="0"/>
          <w:sz w:val="40"/>
        </w:rPr>
      </w:pPr>
      <w:r>
        <w:rPr>
          <w:rFonts w:hint="eastAsia"/>
          <w:b w:val="0"/>
          <w:bCs/>
          <w:snapToGrid/>
          <w:spacing w:val="12"/>
          <w:kern w:val="0"/>
          <w:sz w:val="40"/>
        </w:rPr>
        <w:t>王幼玲</w:t>
      </w:r>
    </w:p>
    <w:p w14:paraId="45130C2D" w14:textId="77777777" w:rsidR="00770453" w:rsidRPr="00A648E3" w:rsidRDefault="00770453" w:rsidP="00D313A8">
      <w:pPr>
        <w:pStyle w:val="aa"/>
        <w:spacing w:before="0" w:after="0"/>
        <w:ind w:leftChars="1100" w:left="3742"/>
        <w:rPr>
          <w:rFonts w:ascii="Times New Roman"/>
          <w:b w:val="0"/>
          <w:bCs/>
          <w:snapToGrid/>
          <w:spacing w:val="0"/>
          <w:kern w:val="0"/>
          <w:sz w:val="40"/>
        </w:rPr>
      </w:pPr>
    </w:p>
    <w:sectPr w:rsidR="00770453" w:rsidRPr="00A648E3" w:rsidSect="00017BBA">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75C1" w14:textId="77777777" w:rsidR="00EE5636" w:rsidRDefault="00EE5636">
      <w:r>
        <w:separator/>
      </w:r>
    </w:p>
  </w:endnote>
  <w:endnote w:type="continuationSeparator" w:id="0">
    <w:p w14:paraId="1BC2D262" w14:textId="77777777" w:rsidR="00EE5636" w:rsidRDefault="00EE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6482" w14:textId="77777777" w:rsidR="006C3946" w:rsidRDefault="006C394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0B0A9AA" w14:textId="77777777" w:rsidR="006C3946" w:rsidRDefault="006C394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FE53" w14:textId="77777777" w:rsidR="00EE5636" w:rsidRDefault="00EE5636">
      <w:r>
        <w:separator/>
      </w:r>
    </w:p>
  </w:footnote>
  <w:footnote w:type="continuationSeparator" w:id="0">
    <w:p w14:paraId="0F0CC016" w14:textId="77777777" w:rsidR="00EE5636" w:rsidRDefault="00EE5636">
      <w:r>
        <w:continuationSeparator/>
      </w:r>
    </w:p>
  </w:footnote>
  <w:footnote w:id="1">
    <w:p w14:paraId="207977E8" w14:textId="77777777" w:rsidR="00012FFD" w:rsidRDefault="00012FFD" w:rsidP="00012FFD">
      <w:pPr>
        <w:pStyle w:val="afc"/>
        <w:jc w:val="both"/>
      </w:pPr>
      <w:r>
        <w:rPr>
          <w:rStyle w:val="afe"/>
        </w:rPr>
        <w:footnoteRef/>
      </w:r>
      <w:r>
        <w:t xml:space="preserve"> </w:t>
      </w:r>
      <w:r>
        <w:rPr>
          <w:rFonts w:hint="eastAsia"/>
        </w:rPr>
        <w:t>相關文號：監察院114年4月30日院台</w:t>
      </w:r>
      <w:proofErr w:type="gramStart"/>
      <w:r>
        <w:rPr>
          <w:rFonts w:hint="eastAsia"/>
        </w:rPr>
        <w:t>業參字</w:t>
      </w:r>
      <w:proofErr w:type="gramEnd"/>
      <w:r>
        <w:rPr>
          <w:rFonts w:hint="eastAsia"/>
        </w:rPr>
        <w:t>第1140701920號(密)函；114年5月9日申請自動調查並於同年月15日奉准；教育部114年6月11日</w:t>
      </w:r>
      <w:proofErr w:type="gramStart"/>
      <w:r>
        <w:rPr>
          <w:rFonts w:hint="eastAsia"/>
        </w:rPr>
        <w:t>臺</w:t>
      </w:r>
      <w:proofErr w:type="gramEnd"/>
      <w:r>
        <w:rPr>
          <w:rFonts w:hint="eastAsia"/>
        </w:rPr>
        <w:t>教人(</w:t>
      </w:r>
      <w:proofErr w:type="gramStart"/>
      <w:r>
        <w:rPr>
          <w:rFonts w:hint="eastAsia"/>
        </w:rPr>
        <w:t>一</w:t>
      </w:r>
      <w:proofErr w:type="gramEnd"/>
      <w:r>
        <w:rPr>
          <w:rFonts w:hint="eastAsia"/>
        </w:rPr>
        <w:t>)字第1144202070號函。</w:t>
      </w:r>
    </w:p>
  </w:footnote>
  <w:footnote w:id="2">
    <w:p w14:paraId="6EF9C7A9" w14:textId="77777777" w:rsidR="00012FFD" w:rsidRPr="00617D16" w:rsidRDefault="00012FFD" w:rsidP="00012FFD">
      <w:pPr>
        <w:pStyle w:val="afc"/>
        <w:jc w:val="both"/>
      </w:pPr>
      <w:r>
        <w:rPr>
          <w:rStyle w:val="afe"/>
        </w:rPr>
        <w:footnoteRef/>
      </w:r>
      <w:r>
        <w:t xml:space="preserve"> </w:t>
      </w:r>
      <w:r>
        <w:rPr>
          <w:rFonts w:hint="eastAsia"/>
        </w:rPr>
        <w:t>相關文號：監察院114</w:t>
      </w:r>
      <w:r>
        <w:rPr>
          <w:rFonts w:hint="eastAsia"/>
        </w:rPr>
        <w:t>年6月18日院</w:t>
      </w:r>
      <w:proofErr w:type="gramStart"/>
      <w:r>
        <w:rPr>
          <w:rFonts w:hint="eastAsia"/>
        </w:rPr>
        <w:t>台調貳字</w:t>
      </w:r>
      <w:proofErr w:type="gramEnd"/>
      <w:r>
        <w:rPr>
          <w:rFonts w:hint="eastAsia"/>
        </w:rPr>
        <w:t>第1140830732號函，經花蓮地檢署114年6月23日以</w:t>
      </w:r>
      <w:proofErr w:type="gramStart"/>
      <w:r>
        <w:rPr>
          <w:rFonts w:hint="eastAsia"/>
        </w:rPr>
        <w:t>花檢秀強112偵</w:t>
      </w:r>
      <w:proofErr w:type="gramEnd"/>
      <w:r>
        <w:rPr>
          <w:rFonts w:hint="eastAsia"/>
        </w:rPr>
        <w:t>8001字第1149014860號函復到院；監察院114年6月18日院</w:t>
      </w:r>
      <w:proofErr w:type="gramStart"/>
      <w:r>
        <w:rPr>
          <w:rFonts w:hint="eastAsia"/>
        </w:rPr>
        <w:t>台調貳字</w:t>
      </w:r>
      <w:proofErr w:type="gramEnd"/>
      <w:r>
        <w:rPr>
          <w:rFonts w:hint="eastAsia"/>
        </w:rPr>
        <w:t>第1140830733號函，經花蓮縣政府114年7月2日以府社</w:t>
      </w:r>
      <w:proofErr w:type="gramStart"/>
      <w:r>
        <w:rPr>
          <w:rFonts w:hint="eastAsia"/>
        </w:rPr>
        <w:t>勞</w:t>
      </w:r>
      <w:proofErr w:type="gramEnd"/>
      <w:r>
        <w:rPr>
          <w:rFonts w:hint="eastAsia"/>
        </w:rPr>
        <w:t>字第1140121191號函復到院；監察院114年6月18日院</w:t>
      </w:r>
      <w:proofErr w:type="gramStart"/>
      <w:r>
        <w:rPr>
          <w:rFonts w:hint="eastAsia"/>
        </w:rPr>
        <w:t>台調貳字</w:t>
      </w:r>
      <w:proofErr w:type="gramEnd"/>
      <w:r>
        <w:rPr>
          <w:rFonts w:hint="eastAsia"/>
        </w:rPr>
        <w:t>第1140830731號函，經東華大學114年7月7日以東人字第1140015672號(密)函復到院；監察院114年6月18日院</w:t>
      </w:r>
      <w:proofErr w:type="gramStart"/>
      <w:r>
        <w:rPr>
          <w:rFonts w:hint="eastAsia"/>
        </w:rPr>
        <w:t>台調貳字</w:t>
      </w:r>
      <w:proofErr w:type="gramEnd"/>
      <w:r>
        <w:rPr>
          <w:rFonts w:hint="eastAsia"/>
        </w:rPr>
        <w:t>第1140830734號函，經教育部114年7月14日以</w:t>
      </w:r>
      <w:proofErr w:type="gramStart"/>
      <w:r>
        <w:rPr>
          <w:rFonts w:hint="eastAsia"/>
        </w:rPr>
        <w:t>臺</w:t>
      </w:r>
      <w:proofErr w:type="gramEnd"/>
      <w:r>
        <w:rPr>
          <w:rFonts w:hint="eastAsia"/>
        </w:rPr>
        <w:t>教人(</w:t>
      </w:r>
      <w:proofErr w:type="gramStart"/>
      <w:r>
        <w:rPr>
          <w:rFonts w:hint="eastAsia"/>
        </w:rPr>
        <w:t>一</w:t>
      </w:r>
      <w:proofErr w:type="gramEnd"/>
      <w:r>
        <w:rPr>
          <w:rFonts w:hint="eastAsia"/>
        </w:rPr>
        <w:t>)字第1144202363號(密)函復到院；監察院114年8月1日院</w:t>
      </w:r>
      <w:proofErr w:type="gramStart"/>
      <w:r>
        <w:rPr>
          <w:rFonts w:hint="eastAsia"/>
        </w:rPr>
        <w:t>台調貳字</w:t>
      </w:r>
      <w:proofErr w:type="gramEnd"/>
      <w:r>
        <w:rPr>
          <w:rFonts w:hint="eastAsia"/>
        </w:rPr>
        <w:t>第1140830945號函，經花蓮地院114年8月14日以</w:t>
      </w:r>
      <w:proofErr w:type="gramStart"/>
      <w:r>
        <w:rPr>
          <w:rFonts w:hint="eastAsia"/>
        </w:rPr>
        <w:t>花院駿刑</w:t>
      </w:r>
      <w:proofErr w:type="gramEnd"/>
      <w:r>
        <w:rPr>
          <w:rFonts w:hint="eastAsia"/>
        </w:rPr>
        <w:t>文113</w:t>
      </w:r>
      <w:proofErr w:type="gramStart"/>
      <w:r>
        <w:rPr>
          <w:rFonts w:hint="eastAsia"/>
        </w:rPr>
        <w:t>侵訴</w:t>
      </w:r>
      <w:proofErr w:type="gramEnd"/>
      <w:r>
        <w:rPr>
          <w:rFonts w:hint="eastAsia"/>
        </w:rPr>
        <w:t>30字第007419號函復到院；監察院114年8月1日院</w:t>
      </w:r>
      <w:proofErr w:type="gramStart"/>
      <w:r>
        <w:rPr>
          <w:rFonts w:hint="eastAsia"/>
        </w:rPr>
        <w:t>台調貳字</w:t>
      </w:r>
      <w:proofErr w:type="gramEnd"/>
      <w:r>
        <w:rPr>
          <w:rFonts w:hint="eastAsia"/>
        </w:rPr>
        <w:t>第1140830944號函，經東華大學114年8月26日以東人字第1140019208號(密)函復到院。</w:t>
      </w:r>
    </w:p>
  </w:footnote>
  <w:footnote w:id="3">
    <w:p w14:paraId="29BEB498" w14:textId="597BC59A" w:rsidR="007469D8" w:rsidRPr="00B14D87" w:rsidRDefault="007469D8" w:rsidP="007740E7">
      <w:pPr>
        <w:pStyle w:val="afc"/>
        <w:jc w:val="both"/>
      </w:pPr>
      <w:r w:rsidRPr="00B14D87">
        <w:rPr>
          <w:rStyle w:val="afe"/>
        </w:rPr>
        <w:footnoteRef/>
      </w:r>
      <w:r w:rsidRPr="00B14D87">
        <w:t xml:space="preserve"> </w:t>
      </w:r>
      <w:r w:rsidRPr="00B14D87">
        <w:rPr>
          <w:rFonts w:hint="eastAsia"/>
        </w:rPr>
        <w:t>東華大學委託該校性別平等教育委員會辦理，並循程序依</w:t>
      </w:r>
      <w:r w:rsidR="00C64983" w:rsidRPr="00B14D87">
        <w:rPr>
          <w:rFonts w:hint="eastAsia"/>
        </w:rPr>
        <w:t>性別平等教育</w:t>
      </w:r>
      <w:r w:rsidRPr="00B14D87">
        <w:rPr>
          <w:rFonts w:hint="eastAsia"/>
        </w:rPr>
        <w:t>法組成</w:t>
      </w:r>
      <w:r w:rsidRPr="00B14D87">
        <w:t>3</w:t>
      </w:r>
      <w:r w:rsidRPr="00B14D87">
        <w:t>人調查小組</w:t>
      </w:r>
      <w:r w:rsidRPr="00B14D87">
        <w:rPr>
          <w:rFonts w:hint="eastAsia"/>
        </w:rPr>
        <w:t>：</w:t>
      </w:r>
      <w:r w:rsidRPr="00B14D87">
        <w:rPr>
          <w:rFonts w:hAnsi="標楷體" w:hint="eastAsia"/>
        </w:rPr>
        <w:t>計有2名律師(女性)、</w:t>
      </w:r>
      <w:proofErr w:type="gramStart"/>
      <w:r w:rsidRPr="00B14D87">
        <w:rPr>
          <w:rFonts w:hAnsi="標楷體" w:hint="eastAsia"/>
        </w:rPr>
        <w:t>1名擇自</w:t>
      </w:r>
      <w:proofErr w:type="gramEnd"/>
      <w:r w:rsidRPr="00B14D87">
        <w:rPr>
          <w:rFonts w:hAnsi="標楷體" w:hint="eastAsia"/>
          <w:spacing w:val="-6"/>
          <w:szCs w:val="32"/>
        </w:rPr>
        <w:t>「</w:t>
      </w:r>
      <w:r w:rsidRPr="00B14D87">
        <w:rPr>
          <w:rFonts w:hAnsi="標楷體"/>
          <w:spacing w:val="-6"/>
          <w:szCs w:val="32"/>
        </w:rPr>
        <w:t>教育部校園性侵害性騷</w:t>
      </w:r>
      <w:r w:rsidRPr="00B14D87">
        <w:rPr>
          <w:rFonts w:hAnsi="標楷體"/>
        </w:rPr>
        <w:t>擾或</w:t>
      </w:r>
      <w:proofErr w:type="gramStart"/>
      <w:r w:rsidRPr="00B14D87">
        <w:rPr>
          <w:rFonts w:hAnsi="標楷體"/>
        </w:rPr>
        <w:t>性霸凌</w:t>
      </w:r>
      <w:proofErr w:type="gramEnd"/>
      <w:r w:rsidRPr="00B14D87">
        <w:rPr>
          <w:rFonts w:hAnsi="標楷體"/>
        </w:rPr>
        <w:t>事件調查專業人才庫</w:t>
      </w:r>
      <w:r w:rsidRPr="00B14D87">
        <w:rPr>
          <w:rFonts w:hAnsi="標楷體" w:hint="eastAsia"/>
        </w:rPr>
        <w:t>」之調查人員(男性)</w:t>
      </w:r>
      <w:r w:rsidR="00954AA1" w:rsidRPr="00B14D87">
        <w:rPr>
          <w:rFonts w:hAnsi="標楷體" w:hint="eastAsia"/>
        </w:rPr>
        <w:t>。</w:t>
      </w:r>
      <w:r w:rsidR="007740E7" w:rsidRPr="00B14D87">
        <w:rPr>
          <w:rFonts w:hAnsi="標楷體" w:hint="eastAsia"/>
        </w:rPr>
        <w:t>東華大學表示：「調查小組成員之性別比例及專業性均符合</w:t>
      </w:r>
      <w:proofErr w:type="gramStart"/>
      <w:r w:rsidR="007740E7" w:rsidRPr="00B14D87">
        <w:rPr>
          <w:rFonts w:hAnsi="標楷體" w:hint="eastAsia"/>
          <w:u w:val="single"/>
        </w:rPr>
        <w:t>性平法</w:t>
      </w:r>
      <w:r w:rsidR="007740E7" w:rsidRPr="00B14D87">
        <w:rPr>
          <w:rFonts w:hAnsi="標楷體" w:hint="eastAsia"/>
        </w:rPr>
        <w:t>規範</w:t>
      </w:r>
      <w:proofErr w:type="gramEnd"/>
      <w:r w:rsidR="007740E7" w:rsidRPr="00B14D87">
        <w:rPr>
          <w:rFonts w:hAnsi="標楷體" w:hint="eastAsia"/>
        </w:rPr>
        <w:t>，其中具調查專業素養之人才資料庫人員，依上開規定僅需至少配置1人，尚無需『皆』為具備性別事件調查專業素養之人才庫人員，此件調查小組名單經提送學校性平會法規及調查行政小組審核同意，並經學校簽呈核准在案」。</w:t>
      </w:r>
    </w:p>
  </w:footnote>
  <w:footnote w:id="4">
    <w:p w14:paraId="0C5E9B41" w14:textId="4BA8FE42" w:rsidR="00985B37" w:rsidRDefault="00985B37">
      <w:pPr>
        <w:pStyle w:val="afc"/>
      </w:pPr>
      <w:r>
        <w:rPr>
          <w:rStyle w:val="afe"/>
        </w:rPr>
        <w:footnoteRef/>
      </w:r>
      <w:r>
        <w:t xml:space="preserve"> </w:t>
      </w:r>
      <w:r>
        <w:rPr>
          <w:rFonts w:hint="eastAsia"/>
        </w:rPr>
        <w:t>內容為「我(</w:t>
      </w:r>
      <w:proofErr w:type="gramStart"/>
      <w:r>
        <w:rPr>
          <w:rFonts w:hint="eastAsia"/>
        </w:rPr>
        <w:t>乙師</w:t>
      </w:r>
      <w:proofErr w:type="gramEnd"/>
      <w:r>
        <w:rPr>
          <w:rFonts w:hint="eastAsia"/>
        </w:rPr>
        <w:t>)坦承曾經</w:t>
      </w:r>
      <w:proofErr w:type="gramStart"/>
      <w:r>
        <w:rPr>
          <w:rFonts w:hint="eastAsia"/>
        </w:rPr>
        <w:t>性侵○○○(</w:t>
      </w:r>
      <w:r w:rsidR="002C4D62">
        <w:rPr>
          <w:rFonts w:hint="eastAsia"/>
        </w:rPr>
        <w:t>甲</w:t>
      </w:r>
      <w:r>
        <w:rPr>
          <w:rFonts w:hint="eastAsia"/>
        </w:rPr>
        <w:t>師</w:t>
      </w:r>
      <w:proofErr w:type="gramEnd"/>
      <w:r>
        <w:rPr>
          <w:rFonts w:hint="eastAsia"/>
        </w:rPr>
        <w:t>)在其非合意的狀況下。僅此承認本人之過錯，並願意依約承擔個人該承擔的補償與責任。…</w:t>
      </w:r>
      <w:proofErr w:type="gramStart"/>
      <w:r>
        <w:rPr>
          <w:rFonts w:hint="eastAsia"/>
        </w:rPr>
        <w:t>…</w:t>
      </w:r>
      <w:proofErr w:type="gramEnd"/>
      <w:r>
        <w:rPr>
          <w:rFonts w:hint="eastAsia"/>
        </w:rPr>
        <w:t>」</w:t>
      </w:r>
    </w:p>
  </w:footnote>
  <w:footnote w:id="5">
    <w:p w14:paraId="49047F68" w14:textId="77777777" w:rsidR="0021065E" w:rsidRDefault="0021065E" w:rsidP="0021065E">
      <w:pPr>
        <w:pStyle w:val="afc"/>
      </w:pPr>
      <w:r>
        <w:rPr>
          <w:rStyle w:val="afe"/>
        </w:rPr>
        <w:footnoteRef/>
      </w:r>
      <w:r>
        <w:t xml:space="preserve"> </w:t>
      </w:r>
      <w:r>
        <w:rPr>
          <w:rFonts w:hint="eastAsia"/>
          <w:bCs/>
        </w:rPr>
        <w:t>114</w:t>
      </w:r>
      <w:r w:rsidRPr="00F0023C">
        <w:rPr>
          <w:rFonts w:hint="eastAsia"/>
          <w:bCs/>
        </w:rPr>
        <w:t>年</w:t>
      </w:r>
      <w:r>
        <w:rPr>
          <w:rFonts w:hint="eastAsia"/>
          <w:bCs/>
        </w:rPr>
        <w:t>7</w:t>
      </w:r>
      <w:r w:rsidRPr="00F0023C">
        <w:rPr>
          <w:rFonts w:hint="eastAsia"/>
          <w:bCs/>
        </w:rPr>
        <w:t>月</w:t>
      </w:r>
      <w:r>
        <w:rPr>
          <w:rFonts w:hint="eastAsia"/>
          <w:bCs/>
        </w:rPr>
        <w:t>28</w:t>
      </w:r>
      <w:r w:rsidRPr="00F0023C">
        <w:rPr>
          <w:rFonts w:hint="eastAsia"/>
          <w:bCs/>
        </w:rPr>
        <w:t>日東華大學召開114學年度第4次性騷擾與性別歧視申訴評議會，通過</w:t>
      </w:r>
      <w:r>
        <w:rPr>
          <w:rFonts w:hint="eastAsia"/>
          <w:bCs/>
        </w:rPr>
        <w:t>「</w:t>
      </w:r>
      <w:r w:rsidRPr="00194FF5">
        <w:rPr>
          <w:rFonts w:hint="eastAsia"/>
        </w:rPr>
        <w:t>東華大學1140430號性別事件(</w:t>
      </w:r>
      <w:proofErr w:type="gramStart"/>
      <w:r w:rsidRPr="00194FF5">
        <w:rPr>
          <w:rFonts w:hint="eastAsia"/>
        </w:rPr>
        <w:t>性工</w:t>
      </w:r>
      <w:proofErr w:type="gramEnd"/>
      <w:r w:rsidRPr="00194FF5">
        <w:rPr>
          <w:rFonts w:hint="eastAsia"/>
        </w:rPr>
        <w:t>)調查報告書</w:t>
      </w:r>
      <w:r>
        <w:rPr>
          <w:rFonts w:hint="eastAsia"/>
          <w:bCs/>
        </w:rPr>
        <w:t>」</w:t>
      </w:r>
      <w:r w:rsidRPr="00F0023C">
        <w:rPr>
          <w:rFonts w:hint="eastAsia"/>
          <w:bCs/>
        </w:rPr>
        <w:t>，同年月日該校承辦單位(人事室)簽陳會議紀錄，由校長於同年月29日批准。</w:t>
      </w:r>
    </w:p>
  </w:footnote>
  <w:footnote w:id="6">
    <w:p w14:paraId="5126B095" w14:textId="42718164" w:rsidR="00886973" w:rsidRDefault="00886973">
      <w:pPr>
        <w:pStyle w:val="afc"/>
      </w:pPr>
      <w:r>
        <w:rPr>
          <w:rStyle w:val="afe"/>
        </w:rPr>
        <w:footnoteRef/>
      </w:r>
      <w:r>
        <w:t xml:space="preserve"> </w:t>
      </w:r>
      <w:r w:rsidRPr="00A648E3">
        <w:rPr>
          <w:rFonts w:hAnsi="標楷體" w:hint="eastAsia"/>
        </w:rPr>
        <w:t>依</w:t>
      </w:r>
      <w:proofErr w:type="gramStart"/>
      <w:r w:rsidRPr="00A648E3">
        <w:rPr>
          <w:rFonts w:hAnsi="標楷體" w:hint="eastAsia"/>
        </w:rPr>
        <w:t>性平法辦理</w:t>
      </w:r>
      <w:proofErr w:type="gramEnd"/>
      <w:r w:rsidRPr="00A648E3">
        <w:rPr>
          <w:rFonts w:hAnsi="標楷體" w:hint="eastAsia"/>
        </w:rPr>
        <w:t>。組成</w:t>
      </w:r>
      <w:r w:rsidRPr="00A648E3">
        <w:t>3</w:t>
      </w:r>
      <w:r w:rsidRPr="00A648E3">
        <w:t>人調查小組</w:t>
      </w:r>
      <w:r w:rsidRPr="00A648E3">
        <w:rPr>
          <w:rFonts w:hint="eastAsia"/>
        </w:rPr>
        <w:t>：</w:t>
      </w:r>
      <w:r w:rsidRPr="00A648E3">
        <w:rPr>
          <w:rFonts w:hAnsi="標楷體" w:hint="eastAsia"/>
        </w:rPr>
        <w:t>計有2名律師</w:t>
      </w:r>
      <w:r>
        <w:rPr>
          <w:rFonts w:hAnsi="標楷體" w:hint="eastAsia"/>
        </w:rPr>
        <w:t>(女性)</w:t>
      </w:r>
      <w:r w:rsidRPr="00A648E3">
        <w:rPr>
          <w:rFonts w:hAnsi="標楷體" w:hint="eastAsia"/>
        </w:rPr>
        <w:t>、</w:t>
      </w:r>
      <w:proofErr w:type="gramStart"/>
      <w:r w:rsidRPr="00A648E3">
        <w:rPr>
          <w:rFonts w:hAnsi="標楷體" w:hint="eastAsia"/>
        </w:rPr>
        <w:t>1名</w:t>
      </w:r>
      <w:r>
        <w:rPr>
          <w:rFonts w:hAnsi="標楷體" w:hint="eastAsia"/>
        </w:rPr>
        <w:t>擇自</w:t>
      </w:r>
      <w:proofErr w:type="gramEnd"/>
      <w:r w:rsidRPr="00A648E3">
        <w:rPr>
          <w:rFonts w:hAnsi="標楷體" w:hint="eastAsia"/>
          <w:spacing w:val="-6"/>
          <w:szCs w:val="32"/>
        </w:rPr>
        <w:t>「</w:t>
      </w:r>
      <w:r w:rsidRPr="00A648E3">
        <w:rPr>
          <w:rFonts w:hAnsi="標楷體"/>
          <w:spacing w:val="-6"/>
          <w:szCs w:val="32"/>
        </w:rPr>
        <w:t>教育部校園性侵害性騷</w:t>
      </w:r>
      <w:r w:rsidRPr="00A648E3">
        <w:rPr>
          <w:rFonts w:hAnsi="標楷體"/>
        </w:rPr>
        <w:t>擾或</w:t>
      </w:r>
      <w:proofErr w:type="gramStart"/>
      <w:r w:rsidRPr="00A648E3">
        <w:rPr>
          <w:rFonts w:hAnsi="標楷體"/>
        </w:rPr>
        <w:t>性霸凌</w:t>
      </w:r>
      <w:proofErr w:type="gramEnd"/>
      <w:r w:rsidRPr="00A648E3">
        <w:rPr>
          <w:rFonts w:hAnsi="標楷體"/>
        </w:rPr>
        <w:t>事件調查專業人才庫</w:t>
      </w:r>
      <w:r w:rsidRPr="00A648E3">
        <w:rPr>
          <w:rFonts w:hAnsi="標楷體" w:hint="eastAsia"/>
        </w:rPr>
        <w:t>」</w:t>
      </w:r>
      <w:r>
        <w:rPr>
          <w:rFonts w:hAnsi="標楷體" w:hint="eastAsia"/>
        </w:rPr>
        <w:t>之</w:t>
      </w:r>
      <w:r w:rsidRPr="00A648E3">
        <w:rPr>
          <w:rFonts w:hAnsi="標楷體" w:hint="eastAsia"/>
        </w:rPr>
        <w:t>調查人員</w:t>
      </w:r>
      <w:r>
        <w:rPr>
          <w:rFonts w:hAnsi="標楷體" w:hint="eastAsia"/>
        </w:rPr>
        <w:t>(男性)。</w:t>
      </w:r>
    </w:p>
  </w:footnote>
  <w:footnote w:id="7">
    <w:p w14:paraId="785C4089" w14:textId="32348B68" w:rsidR="00FE575C" w:rsidRPr="00FE575C" w:rsidRDefault="00FE575C">
      <w:pPr>
        <w:pStyle w:val="afc"/>
      </w:pPr>
      <w:r>
        <w:rPr>
          <w:rStyle w:val="afe"/>
        </w:rPr>
        <w:footnoteRef/>
      </w:r>
      <w:r>
        <w:t xml:space="preserve"> </w:t>
      </w:r>
      <w:r w:rsidR="00886973" w:rsidRPr="00A648E3">
        <w:rPr>
          <w:rFonts w:hint="eastAsia"/>
        </w:rPr>
        <w:t>調查小組</w:t>
      </w:r>
      <w:r w:rsidR="00886973">
        <w:rPr>
          <w:rFonts w:hint="eastAsia"/>
        </w:rPr>
        <w:t>4</w:t>
      </w:r>
      <w:r w:rsidR="00886973">
        <w:rPr>
          <w:rFonts w:hint="eastAsia"/>
        </w:rPr>
        <w:t>人，性別為3女1男，其中1名委員具律師資格(</w:t>
      </w:r>
      <w:r w:rsidR="006E0802">
        <w:rPr>
          <w:rFonts w:hint="eastAsia"/>
        </w:rPr>
        <w:t>校外人員、</w:t>
      </w:r>
      <w:r w:rsidR="00886973">
        <w:rPr>
          <w:rFonts w:hint="eastAsia"/>
        </w:rPr>
        <w:t>女性)</w:t>
      </w:r>
      <w:r w:rsidR="00886973" w:rsidRPr="00A648E3">
        <w:rPr>
          <w:rFonts w:hint="eastAsia"/>
        </w:rPr>
        <w:t>、</w:t>
      </w:r>
      <w:r w:rsidR="00886973">
        <w:rPr>
          <w:rFonts w:hint="eastAsia"/>
        </w:rPr>
        <w:t>1名具「</w:t>
      </w:r>
      <w:r w:rsidR="00886973" w:rsidRPr="005F698B">
        <w:rPr>
          <w:rFonts w:hint="eastAsia"/>
        </w:rPr>
        <w:t>勞動部工作場所性騷擾調查專業人才資料庫</w:t>
      </w:r>
      <w:r w:rsidR="00886973">
        <w:rPr>
          <w:rFonts w:hint="eastAsia"/>
        </w:rPr>
        <w:t>」資格者(</w:t>
      </w:r>
      <w:r w:rsidR="006E0802">
        <w:rPr>
          <w:rFonts w:hint="eastAsia"/>
        </w:rPr>
        <w:t>校外人員、</w:t>
      </w:r>
      <w:r w:rsidR="00886973">
        <w:rPr>
          <w:rFonts w:hint="eastAsia"/>
        </w:rPr>
        <w:t>女性)</w:t>
      </w:r>
      <w:r w:rsidR="00886973" w:rsidRPr="00A648E3">
        <w:rPr>
          <w:rFonts w:hint="eastAsia"/>
        </w:rPr>
        <w:t>、</w:t>
      </w:r>
      <w:r w:rsidR="00886973">
        <w:rPr>
          <w:rFonts w:hint="eastAsia"/>
        </w:rPr>
        <w:t>1名委員為校內教師(男性)</w:t>
      </w:r>
      <w:r w:rsidR="00886973" w:rsidRPr="00A648E3">
        <w:rPr>
          <w:rFonts w:hint="eastAsia"/>
        </w:rPr>
        <w:t>。</w:t>
      </w:r>
    </w:p>
  </w:footnote>
  <w:footnote w:id="8">
    <w:p w14:paraId="52F5FE50" w14:textId="77777777" w:rsidR="00531760" w:rsidRDefault="00531760" w:rsidP="00531760">
      <w:pPr>
        <w:pStyle w:val="afc"/>
      </w:pPr>
      <w:r>
        <w:rPr>
          <w:rStyle w:val="afe"/>
        </w:rPr>
        <w:footnoteRef/>
      </w:r>
      <w:r>
        <w:t xml:space="preserve"> </w:t>
      </w:r>
      <w:r>
        <w:rPr>
          <w:rFonts w:hint="eastAsia"/>
        </w:rPr>
        <w:t>教育</w:t>
      </w:r>
      <w:r w:rsidRPr="00AC6D65">
        <w:t>部102</w:t>
      </w:r>
      <w:r w:rsidRPr="00AC6D65">
        <w:t>年12月24日</w:t>
      </w:r>
      <w:proofErr w:type="gramStart"/>
      <w:r w:rsidRPr="00AC6D65">
        <w:t>臺</w:t>
      </w:r>
      <w:proofErr w:type="gramEnd"/>
      <w:r w:rsidRPr="00AC6D65">
        <w:t>教學（三）字</w:t>
      </w:r>
      <w:proofErr w:type="gramStart"/>
      <w:r w:rsidRPr="00AC6D65">
        <w:t>第1020165630號函發</w:t>
      </w:r>
      <w:proofErr w:type="gramEnd"/>
      <w:r w:rsidRPr="00AC6D65">
        <w:t>「各級學校非</w:t>
      </w:r>
      <w:proofErr w:type="gramStart"/>
      <w:r w:rsidRPr="00AC6D65">
        <w:t>屬性平法所</w:t>
      </w:r>
      <w:proofErr w:type="gramEnd"/>
      <w:r w:rsidRPr="00AC6D65">
        <w:t>定性騷擾事件之申訴及處理流程說明」</w:t>
      </w:r>
    </w:p>
  </w:footnote>
  <w:footnote w:id="9">
    <w:p w14:paraId="52C6C878" w14:textId="44F4F979" w:rsidR="00440B43" w:rsidRDefault="00440B43">
      <w:pPr>
        <w:pStyle w:val="afc"/>
      </w:pPr>
      <w:r>
        <w:rPr>
          <w:rStyle w:val="afe"/>
        </w:rPr>
        <w:footnoteRef/>
      </w:r>
      <w:r>
        <w:t xml:space="preserve"> </w:t>
      </w:r>
      <w:proofErr w:type="gramStart"/>
      <w:r w:rsidR="00553E34">
        <w:rPr>
          <w:rFonts w:hint="eastAsia"/>
        </w:rPr>
        <w:t>性平法第33</w:t>
      </w:r>
      <w:r w:rsidR="00553E34">
        <w:rPr>
          <w:rFonts w:hint="eastAsia"/>
        </w:rPr>
        <w:t>條</w:t>
      </w:r>
      <w:proofErr w:type="gramEnd"/>
      <w:r w:rsidR="00553E34">
        <w:rPr>
          <w:rFonts w:hint="eastAsia"/>
        </w:rPr>
        <w:t>第2項、第3項規定：「</w:t>
      </w:r>
      <w:r w:rsidR="009C5BFB">
        <w:rPr>
          <w:rFonts w:hint="eastAsia"/>
        </w:rPr>
        <w:t>(第2項)</w:t>
      </w:r>
      <w:r w:rsidR="001C7BCF" w:rsidRPr="001C7BCF">
        <w:rPr>
          <w:rFonts w:hint="eastAsia"/>
        </w:rPr>
        <w:t>學校或主管機關之性別平等教育委員會處理前項事件時，得成立調查小組調查之；必要時，調查小組成員得一部或全部外聘，但行為人為校長、教師、職員或工友者，應成立調查小組，且其成員應全部外聘。本法於中華民國</w:t>
      </w:r>
      <w:r w:rsidR="009C5BFB">
        <w:rPr>
          <w:rFonts w:hint="eastAsia"/>
        </w:rPr>
        <w:t>107</w:t>
      </w:r>
      <w:r w:rsidR="001C7BCF" w:rsidRPr="001C7BCF">
        <w:rPr>
          <w:rFonts w:hint="eastAsia"/>
        </w:rPr>
        <w:t>年</w:t>
      </w:r>
      <w:r w:rsidR="009C5BFB">
        <w:rPr>
          <w:rFonts w:hint="eastAsia"/>
        </w:rPr>
        <w:t>12</w:t>
      </w:r>
      <w:r w:rsidR="001C7BCF" w:rsidRPr="001C7BCF">
        <w:rPr>
          <w:rFonts w:hint="eastAsia"/>
        </w:rPr>
        <w:t>月</w:t>
      </w:r>
      <w:r w:rsidR="009C5BFB">
        <w:rPr>
          <w:rFonts w:hint="eastAsia"/>
        </w:rPr>
        <w:t>30</w:t>
      </w:r>
      <w:r w:rsidR="001C7BCF" w:rsidRPr="001C7BCF">
        <w:rPr>
          <w:rFonts w:hint="eastAsia"/>
        </w:rPr>
        <w:t>日修正生效前，調查小組成員全部外聘者，其組成及完成之調查</w:t>
      </w:r>
      <w:proofErr w:type="gramStart"/>
      <w:r w:rsidR="001C7BCF" w:rsidRPr="001C7BCF">
        <w:rPr>
          <w:rFonts w:hint="eastAsia"/>
        </w:rPr>
        <w:t>報告均為合法</w:t>
      </w:r>
      <w:proofErr w:type="gramEnd"/>
      <w:r w:rsidR="001C7BCF" w:rsidRPr="001C7BCF">
        <w:rPr>
          <w:rFonts w:hint="eastAsia"/>
        </w:rPr>
        <w:t>。</w:t>
      </w:r>
      <w:r w:rsidR="009C5BFB">
        <w:rPr>
          <w:rFonts w:hint="eastAsia"/>
        </w:rPr>
        <w:t>(第3項)</w:t>
      </w:r>
      <w:r w:rsidR="001C7BCF" w:rsidRPr="001C7BCF">
        <w:rPr>
          <w:rFonts w:hint="eastAsia"/>
        </w:rPr>
        <w:t>調查小組成員應具性別平等意識，女性成員不得少於成員總數二分之一，且其成員中具校園性別事件調查專業素養之專家學者人數，於學校應占成員總數三分之一以上，於主管機關應占成員總數二分之一以上，成員資格由中央主管機關另定之。</w:t>
      </w:r>
      <w:r w:rsidR="00553E34">
        <w:rPr>
          <w:rFonts w:hint="eastAsia"/>
        </w:rPr>
        <w:t>」</w:t>
      </w:r>
    </w:p>
  </w:footnote>
  <w:footnote w:id="10">
    <w:p w14:paraId="7D50F833" w14:textId="0E87ECC3" w:rsidR="00E32CB9" w:rsidRPr="00B14D87" w:rsidRDefault="00E32CB9">
      <w:pPr>
        <w:pStyle w:val="afc"/>
      </w:pPr>
      <w:r w:rsidRPr="00B14D87">
        <w:rPr>
          <w:rStyle w:val="afe"/>
        </w:rPr>
        <w:footnoteRef/>
      </w:r>
      <w:r w:rsidRPr="00B14D87">
        <w:t xml:space="preserve"> </w:t>
      </w:r>
      <w:r w:rsidR="0000411F" w:rsidRPr="00B14D87">
        <w:rPr>
          <w:rFonts w:hint="eastAsia"/>
        </w:rPr>
        <w:t>性平三法分屬不同主管機關，現</w:t>
      </w:r>
      <w:r w:rsidR="005F7A08" w:rsidRPr="00B14D87">
        <w:rPr>
          <w:rFonts w:hint="eastAsia"/>
        </w:rPr>
        <w:t>有</w:t>
      </w:r>
      <w:r w:rsidR="0000411F" w:rsidRPr="00B14D87">
        <w:rPr>
          <w:rFonts w:hint="eastAsia"/>
        </w:rPr>
        <w:t>勞動部</w:t>
      </w:r>
      <w:proofErr w:type="gramStart"/>
      <w:r w:rsidR="0000411F" w:rsidRPr="00B14D87">
        <w:rPr>
          <w:rFonts w:hint="eastAsia"/>
        </w:rPr>
        <w:t>依據性工法</w:t>
      </w:r>
      <w:proofErr w:type="gramEnd"/>
      <w:r w:rsidR="0000411F" w:rsidRPr="00B14D87">
        <w:rPr>
          <w:rFonts w:hint="eastAsia"/>
        </w:rPr>
        <w:t>所置「</w:t>
      </w:r>
      <w:r w:rsidR="005F7A08" w:rsidRPr="00B14D87">
        <w:t>工作場所性騷擾調查專業人才資料庫</w:t>
      </w:r>
      <w:r w:rsidR="0000411F" w:rsidRPr="00B14D87">
        <w:rPr>
          <w:rFonts w:hint="eastAsia"/>
        </w:rPr>
        <w:t>」、教育部依據</w:t>
      </w:r>
      <w:proofErr w:type="gramStart"/>
      <w:r w:rsidR="0000411F" w:rsidRPr="00B14D87">
        <w:rPr>
          <w:rFonts w:hint="eastAsia"/>
        </w:rPr>
        <w:t>性平法所</w:t>
      </w:r>
      <w:proofErr w:type="gramEnd"/>
      <w:r w:rsidR="0000411F" w:rsidRPr="00B14D87">
        <w:rPr>
          <w:rFonts w:hint="eastAsia"/>
        </w:rPr>
        <w:t>置「</w:t>
      </w:r>
      <w:r w:rsidRPr="00B14D87">
        <w:rPr>
          <w:rFonts w:hint="eastAsia"/>
        </w:rPr>
        <w:t>教育部校園性別事件調查專業人才庫</w:t>
      </w:r>
      <w:r w:rsidR="0000411F" w:rsidRPr="00B14D87">
        <w:rPr>
          <w:rFonts w:hint="eastAsia"/>
        </w:rPr>
        <w:t>」以及衛生</w:t>
      </w:r>
      <w:proofErr w:type="gramStart"/>
      <w:r w:rsidR="0000411F" w:rsidRPr="00B14D87">
        <w:rPr>
          <w:rFonts w:hint="eastAsia"/>
        </w:rPr>
        <w:t>福利部所置</w:t>
      </w:r>
      <w:proofErr w:type="gramEnd"/>
      <w:r w:rsidR="0000411F" w:rsidRPr="00B14D87">
        <w:rPr>
          <w:rFonts w:hint="eastAsia"/>
        </w:rPr>
        <w:t>「性騷擾案件調查專業人才庫」。</w:t>
      </w:r>
    </w:p>
  </w:footnote>
  <w:footnote w:id="11">
    <w:p w14:paraId="22F20686" w14:textId="60042E6B" w:rsidR="00D40F61" w:rsidRPr="00B14D87" w:rsidRDefault="00D40F61">
      <w:pPr>
        <w:pStyle w:val="afc"/>
      </w:pPr>
      <w:r w:rsidRPr="00B14D87">
        <w:rPr>
          <w:rStyle w:val="afe"/>
        </w:rPr>
        <w:footnoteRef/>
      </w:r>
      <w:r w:rsidRPr="00B14D87">
        <w:t xml:space="preserve"> </w:t>
      </w:r>
      <w:r w:rsidRPr="00B14D87">
        <w:rPr>
          <w:rFonts w:hint="eastAsia"/>
        </w:rPr>
        <w:t>114</w:t>
      </w:r>
      <w:r w:rsidRPr="00B14D87">
        <w:rPr>
          <w:rFonts w:hint="eastAsia"/>
        </w:rPr>
        <w:t>年11月12日查詢勞動部「工作場所性騷擾調查專業人才資料庫」，有</w:t>
      </w:r>
      <w:r w:rsidR="002371B9" w:rsidRPr="00B14D87">
        <w:rPr>
          <w:rFonts w:hint="eastAsia"/>
        </w:rPr>
        <w:t>1605名專家，其中培訓身分為「律師」者1</w:t>
      </w:r>
      <w:r w:rsidR="005F7A08" w:rsidRPr="00B14D87">
        <w:rPr>
          <w:rFonts w:hint="eastAsia"/>
        </w:rPr>
        <w:t>,</w:t>
      </w:r>
      <w:r w:rsidR="002371B9" w:rsidRPr="00B14D87">
        <w:rPr>
          <w:rFonts w:hint="eastAsia"/>
        </w:rPr>
        <w:t>069人，培訓身分「教育部或衛生福利部相關專業人才」者為336人；以「可參與調查區域為花蓮縣、</w:t>
      </w:r>
      <w:proofErr w:type="gramStart"/>
      <w:r w:rsidR="002371B9" w:rsidRPr="00B14D87">
        <w:rPr>
          <w:rFonts w:hint="eastAsia"/>
        </w:rPr>
        <w:t>臺</w:t>
      </w:r>
      <w:proofErr w:type="gramEnd"/>
      <w:r w:rsidR="002371B9" w:rsidRPr="00B14D87">
        <w:rPr>
          <w:rFonts w:hint="eastAsia"/>
        </w:rPr>
        <w:t>東縣」為查詢</w:t>
      </w:r>
      <w:r w:rsidR="005F7A08" w:rsidRPr="00B14D87">
        <w:rPr>
          <w:rFonts w:hint="eastAsia"/>
        </w:rPr>
        <w:t>條件</w:t>
      </w:r>
      <w:r w:rsidR="002371B9" w:rsidRPr="00B14D87">
        <w:rPr>
          <w:rFonts w:hint="eastAsia"/>
        </w:rPr>
        <w:t>，</w:t>
      </w:r>
      <w:r w:rsidR="005F7A08" w:rsidRPr="00B14D87">
        <w:rPr>
          <w:rFonts w:hint="eastAsia"/>
        </w:rPr>
        <w:t>則</w:t>
      </w:r>
      <w:r w:rsidR="002371B9" w:rsidRPr="00B14D87">
        <w:rPr>
          <w:rFonts w:hint="eastAsia"/>
        </w:rPr>
        <w:t>有214人(占13.3%)。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A79"/>
    <w:multiLevelType w:val="hybridMultilevel"/>
    <w:tmpl w:val="848A1A82"/>
    <w:lvl w:ilvl="0" w:tplc="A0C63BCC">
      <w:start w:val="1"/>
      <w:numFmt w:val="decimal"/>
      <w:lvlText w:val="%1."/>
      <w:lvlJc w:val="left"/>
      <w:pPr>
        <w:ind w:left="4767" w:hanging="372"/>
      </w:pPr>
      <w:rPr>
        <w:rFonts w:hint="default"/>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3B7068"/>
    <w:multiLevelType w:val="hybridMultilevel"/>
    <w:tmpl w:val="0C94E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FA9267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26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5551"/>
        </w:tabs>
        <w:ind w:left="4806"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E027A8"/>
    <w:multiLevelType w:val="hybridMultilevel"/>
    <w:tmpl w:val="D64CCB72"/>
    <w:lvl w:ilvl="0" w:tplc="36DCE92C">
      <w:start w:val="1"/>
      <w:numFmt w:val="taiwaneseCountingThousand"/>
      <w:lvlText w:val="%1、"/>
      <w:lvlJc w:val="left"/>
      <w:pPr>
        <w:ind w:left="480" w:hanging="480"/>
      </w:pPr>
      <w:rPr>
        <w:color w:val="000000" w:themeColor="text1"/>
      </w:rPr>
    </w:lvl>
    <w:lvl w:ilvl="1" w:tplc="5BF2C95C">
      <w:start w:val="1"/>
      <w:numFmt w:val="taiwaneseCountingThousand"/>
      <w:lvlText w:val="(%2)、"/>
      <w:lvlJc w:val="left"/>
      <w:pPr>
        <w:ind w:left="480" w:hanging="480"/>
      </w:pPr>
      <w:rPr>
        <w:rFonts w:hint="eastAsia"/>
        <w:color w:val="auto"/>
      </w:rPr>
    </w:lvl>
    <w:lvl w:ilvl="2" w:tplc="23060984">
      <w:start w:val="1"/>
      <w:numFmt w:val="decimal"/>
      <w:lvlText w:val="%3、"/>
      <w:lvlJc w:val="left"/>
      <w:pPr>
        <w:ind w:left="763" w:hanging="480"/>
      </w:pPr>
      <w:rPr>
        <w:rFonts w:hint="eastAsia"/>
      </w:rPr>
    </w:lvl>
    <w:lvl w:ilvl="3" w:tplc="32A2F9A4">
      <w:start w:val="1"/>
      <w:numFmt w:val="decimal"/>
      <w:lvlText w:val="(%4)"/>
      <w:lvlJc w:val="left"/>
      <w:pPr>
        <w:ind w:left="905"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A9063E"/>
    <w:multiLevelType w:val="hybridMultilevel"/>
    <w:tmpl w:val="D506C73A"/>
    <w:lvl w:ilvl="0" w:tplc="B346F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42BC83E6"/>
    <w:lvl w:ilvl="0" w:tplc="9F96A824">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F858E0"/>
    <w:multiLevelType w:val="hybridMultilevel"/>
    <w:tmpl w:val="B82AC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733D1A"/>
    <w:multiLevelType w:val="hybridMultilevel"/>
    <w:tmpl w:val="D506C73A"/>
    <w:lvl w:ilvl="0" w:tplc="B346F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940E52"/>
    <w:multiLevelType w:val="hybridMultilevel"/>
    <w:tmpl w:val="D506C73A"/>
    <w:lvl w:ilvl="0" w:tplc="B346F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352B20"/>
    <w:multiLevelType w:val="hybridMultilevel"/>
    <w:tmpl w:val="D64CCB72"/>
    <w:lvl w:ilvl="0" w:tplc="FFFFFFFF">
      <w:start w:val="1"/>
      <w:numFmt w:val="taiwaneseCountingThousand"/>
      <w:lvlText w:val="%1、"/>
      <w:lvlJc w:val="left"/>
      <w:pPr>
        <w:ind w:left="480" w:hanging="480"/>
      </w:pPr>
      <w:rPr>
        <w:color w:val="000000" w:themeColor="text1"/>
      </w:rPr>
    </w:lvl>
    <w:lvl w:ilvl="1" w:tplc="FFFFFFFF">
      <w:start w:val="1"/>
      <w:numFmt w:val="taiwaneseCountingThousand"/>
      <w:lvlText w:val="(%2)、"/>
      <w:lvlJc w:val="left"/>
      <w:pPr>
        <w:ind w:left="480" w:hanging="480"/>
      </w:pPr>
      <w:rPr>
        <w:rFonts w:hint="eastAsia"/>
        <w:color w:val="auto"/>
      </w:rPr>
    </w:lvl>
    <w:lvl w:ilvl="2" w:tplc="FFFFFFFF">
      <w:start w:val="1"/>
      <w:numFmt w:val="decimal"/>
      <w:lvlText w:val="%3、"/>
      <w:lvlJc w:val="left"/>
      <w:pPr>
        <w:ind w:left="763" w:hanging="480"/>
      </w:pPr>
      <w:rPr>
        <w:rFonts w:hint="eastAsia"/>
      </w:rPr>
    </w:lvl>
    <w:lvl w:ilvl="3" w:tplc="FFFFFFFF">
      <w:start w:val="1"/>
      <w:numFmt w:val="decimal"/>
      <w:lvlText w:val="(%4)"/>
      <w:lvlJc w:val="left"/>
      <w:pPr>
        <w:ind w:left="905" w:hanging="480"/>
      </w:pPr>
      <w:rPr>
        <w:rFonts w:hint="eastAsia"/>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07356516">
    <w:abstractNumId w:val="3"/>
  </w:num>
  <w:num w:numId="2" w16cid:durableId="1509129478">
    <w:abstractNumId w:val="4"/>
  </w:num>
  <w:num w:numId="3" w16cid:durableId="1995140202">
    <w:abstractNumId w:val="1"/>
  </w:num>
  <w:num w:numId="4" w16cid:durableId="1528635163">
    <w:abstractNumId w:val="4"/>
    <w:lvlOverride w:ilvl="0">
      <w:startOverride w:val="1"/>
    </w:lvlOverride>
  </w:num>
  <w:num w:numId="5" w16cid:durableId="2114664084">
    <w:abstractNumId w:val="10"/>
  </w:num>
  <w:num w:numId="6" w16cid:durableId="131876215">
    <w:abstractNumId w:val="8"/>
  </w:num>
  <w:num w:numId="7" w16cid:durableId="1999842840">
    <w:abstractNumId w:val="12"/>
  </w:num>
  <w:num w:numId="8" w16cid:durableId="640234618">
    <w:abstractNumId w:val="3"/>
  </w:num>
  <w:num w:numId="9" w16cid:durableId="1368799564">
    <w:abstractNumId w:val="13"/>
  </w:num>
  <w:num w:numId="10" w16cid:durableId="127359972">
    <w:abstractNumId w:val="9"/>
  </w:num>
  <w:num w:numId="11" w16cid:durableId="1235122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588950">
    <w:abstractNumId w:val="2"/>
  </w:num>
  <w:num w:numId="13" w16cid:durableId="816607182">
    <w:abstractNumId w:val="11"/>
  </w:num>
  <w:num w:numId="14" w16cid:durableId="803159891">
    <w:abstractNumId w:val="6"/>
  </w:num>
  <w:num w:numId="15" w16cid:durableId="1220678010">
    <w:abstractNumId w:val="0"/>
  </w:num>
  <w:num w:numId="16" w16cid:durableId="1438982091">
    <w:abstractNumId w:val="15"/>
  </w:num>
  <w:num w:numId="17" w16cid:durableId="840049782">
    <w:abstractNumId w:val="14"/>
  </w:num>
  <w:num w:numId="18" w16cid:durableId="1436826147">
    <w:abstractNumId w:val="3"/>
  </w:num>
  <w:num w:numId="19" w16cid:durableId="573079217">
    <w:abstractNumId w:val="3"/>
  </w:num>
  <w:num w:numId="20" w16cid:durableId="196430615">
    <w:abstractNumId w:val="3"/>
  </w:num>
  <w:num w:numId="21" w16cid:durableId="806119225">
    <w:abstractNumId w:val="3"/>
  </w:num>
  <w:num w:numId="22" w16cid:durableId="334386197">
    <w:abstractNumId w:val="3"/>
  </w:num>
  <w:num w:numId="23" w16cid:durableId="1938974193">
    <w:abstractNumId w:val="3"/>
  </w:num>
  <w:num w:numId="24" w16cid:durableId="890725270">
    <w:abstractNumId w:val="3"/>
  </w:num>
  <w:num w:numId="25" w16cid:durableId="486820289">
    <w:abstractNumId w:val="3"/>
  </w:num>
  <w:num w:numId="26" w16cid:durableId="447747198">
    <w:abstractNumId w:val="3"/>
  </w:num>
  <w:num w:numId="27" w16cid:durableId="1351954481">
    <w:abstractNumId w:val="3"/>
  </w:num>
  <w:num w:numId="28" w16cid:durableId="2096780291">
    <w:abstractNumId w:val="3"/>
  </w:num>
  <w:num w:numId="29" w16cid:durableId="1186284534">
    <w:abstractNumId w:val="3"/>
  </w:num>
  <w:num w:numId="30" w16cid:durableId="502476490">
    <w:abstractNumId w:val="3"/>
  </w:num>
  <w:num w:numId="31" w16cid:durableId="1152523405">
    <w:abstractNumId w:val="3"/>
  </w:num>
  <w:num w:numId="32" w16cid:durableId="429811583">
    <w:abstractNumId w:val="3"/>
  </w:num>
  <w:num w:numId="33" w16cid:durableId="715545805">
    <w:abstractNumId w:val="3"/>
  </w:num>
  <w:num w:numId="34" w16cid:durableId="694892045">
    <w:abstractNumId w:val="3"/>
  </w:num>
  <w:num w:numId="35" w16cid:durableId="134225534">
    <w:abstractNumId w:val="3"/>
  </w:num>
  <w:num w:numId="36" w16cid:durableId="46151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6980061">
    <w:abstractNumId w:val="3"/>
  </w:num>
  <w:num w:numId="38" w16cid:durableId="750392013">
    <w:abstractNumId w:val="5"/>
  </w:num>
  <w:num w:numId="39" w16cid:durableId="725421624">
    <w:abstractNumId w:val="16"/>
  </w:num>
  <w:num w:numId="40" w16cid:durableId="1689602971">
    <w:abstractNumId w:val="3"/>
  </w:num>
  <w:num w:numId="41" w16cid:durableId="735083229">
    <w:abstractNumId w:val="3"/>
  </w:num>
  <w:num w:numId="42" w16cid:durableId="1765691371">
    <w:abstractNumId w:val="3"/>
  </w:num>
  <w:num w:numId="43" w16cid:durableId="1834829547">
    <w:abstractNumId w:val="3"/>
  </w:num>
  <w:num w:numId="44" w16cid:durableId="529496498">
    <w:abstractNumId w:val="3"/>
  </w:num>
  <w:num w:numId="45" w16cid:durableId="102649373">
    <w:abstractNumId w:val="3"/>
  </w:num>
  <w:num w:numId="46" w16cid:durableId="808783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5189868">
    <w:abstractNumId w:val="3"/>
  </w:num>
  <w:num w:numId="48" w16cid:durableId="1450081866">
    <w:abstractNumId w:val="3"/>
  </w:num>
  <w:num w:numId="49" w16cid:durableId="1457260238">
    <w:abstractNumId w:val="3"/>
  </w:num>
  <w:num w:numId="50" w16cid:durableId="1360547813">
    <w:abstractNumId w:val="3"/>
  </w:num>
  <w:num w:numId="51" w16cid:durableId="1122529270">
    <w:abstractNumId w:val="3"/>
  </w:num>
  <w:num w:numId="52" w16cid:durableId="112018238">
    <w:abstractNumId w:val="3"/>
  </w:num>
  <w:num w:numId="53" w16cid:durableId="169622901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5C2"/>
    <w:rsid w:val="00002BBF"/>
    <w:rsid w:val="00003CD6"/>
    <w:rsid w:val="0000411F"/>
    <w:rsid w:val="00004F5C"/>
    <w:rsid w:val="0000694C"/>
    <w:rsid w:val="00006961"/>
    <w:rsid w:val="00010C22"/>
    <w:rsid w:val="000112BF"/>
    <w:rsid w:val="00012233"/>
    <w:rsid w:val="0001283C"/>
    <w:rsid w:val="00012FFD"/>
    <w:rsid w:val="00017318"/>
    <w:rsid w:val="00017BBA"/>
    <w:rsid w:val="00017FEA"/>
    <w:rsid w:val="000217B8"/>
    <w:rsid w:val="000229AD"/>
    <w:rsid w:val="000246F7"/>
    <w:rsid w:val="00027827"/>
    <w:rsid w:val="0003114D"/>
    <w:rsid w:val="00036D76"/>
    <w:rsid w:val="00042681"/>
    <w:rsid w:val="0004334C"/>
    <w:rsid w:val="00046E2B"/>
    <w:rsid w:val="00050E36"/>
    <w:rsid w:val="00052D56"/>
    <w:rsid w:val="00053E65"/>
    <w:rsid w:val="000563D0"/>
    <w:rsid w:val="00056569"/>
    <w:rsid w:val="00057F32"/>
    <w:rsid w:val="00062A25"/>
    <w:rsid w:val="00062BF1"/>
    <w:rsid w:val="00072F99"/>
    <w:rsid w:val="00073CB5"/>
    <w:rsid w:val="0007425C"/>
    <w:rsid w:val="00076AA9"/>
    <w:rsid w:val="00077553"/>
    <w:rsid w:val="00082A60"/>
    <w:rsid w:val="000851A2"/>
    <w:rsid w:val="00085A4F"/>
    <w:rsid w:val="0008645A"/>
    <w:rsid w:val="00090158"/>
    <w:rsid w:val="0009352E"/>
    <w:rsid w:val="0009552F"/>
    <w:rsid w:val="00095DE0"/>
    <w:rsid w:val="0009609C"/>
    <w:rsid w:val="00096B96"/>
    <w:rsid w:val="00097BB8"/>
    <w:rsid w:val="000A132B"/>
    <w:rsid w:val="000A2CA9"/>
    <w:rsid w:val="000A2F3F"/>
    <w:rsid w:val="000B0312"/>
    <w:rsid w:val="000B0B4A"/>
    <w:rsid w:val="000B18A3"/>
    <w:rsid w:val="000B279A"/>
    <w:rsid w:val="000B61D2"/>
    <w:rsid w:val="000B6F26"/>
    <w:rsid w:val="000B70A7"/>
    <w:rsid w:val="000B73DD"/>
    <w:rsid w:val="000C495F"/>
    <w:rsid w:val="000D2653"/>
    <w:rsid w:val="000D66D9"/>
    <w:rsid w:val="000D6EA4"/>
    <w:rsid w:val="000E57AC"/>
    <w:rsid w:val="000E5DD7"/>
    <w:rsid w:val="000E6431"/>
    <w:rsid w:val="000F21A5"/>
    <w:rsid w:val="000F2776"/>
    <w:rsid w:val="000F788A"/>
    <w:rsid w:val="00102B9F"/>
    <w:rsid w:val="00103E93"/>
    <w:rsid w:val="00112637"/>
    <w:rsid w:val="00112ABC"/>
    <w:rsid w:val="00116FD3"/>
    <w:rsid w:val="0012001E"/>
    <w:rsid w:val="00121B18"/>
    <w:rsid w:val="00126A55"/>
    <w:rsid w:val="00131F1D"/>
    <w:rsid w:val="001337C5"/>
    <w:rsid w:val="00133B5A"/>
    <w:rsid w:val="00133F08"/>
    <w:rsid w:val="001345E6"/>
    <w:rsid w:val="001378B0"/>
    <w:rsid w:val="001422CB"/>
    <w:rsid w:val="00142E00"/>
    <w:rsid w:val="00152793"/>
    <w:rsid w:val="00153B7E"/>
    <w:rsid w:val="001545A9"/>
    <w:rsid w:val="0015534A"/>
    <w:rsid w:val="001637C7"/>
    <w:rsid w:val="0016480E"/>
    <w:rsid w:val="00174297"/>
    <w:rsid w:val="001751EC"/>
    <w:rsid w:val="001769E1"/>
    <w:rsid w:val="00177D53"/>
    <w:rsid w:val="00180E06"/>
    <w:rsid w:val="001817B3"/>
    <w:rsid w:val="001821CF"/>
    <w:rsid w:val="00183014"/>
    <w:rsid w:val="00187B83"/>
    <w:rsid w:val="00190C1B"/>
    <w:rsid w:val="00190C2D"/>
    <w:rsid w:val="001923FC"/>
    <w:rsid w:val="001937CC"/>
    <w:rsid w:val="00194FF5"/>
    <w:rsid w:val="001959C2"/>
    <w:rsid w:val="001A0672"/>
    <w:rsid w:val="001A2627"/>
    <w:rsid w:val="001A5088"/>
    <w:rsid w:val="001A51E3"/>
    <w:rsid w:val="001A7968"/>
    <w:rsid w:val="001B02A1"/>
    <w:rsid w:val="001B2E98"/>
    <w:rsid w:val="001B3483"/>
    <w:rsid w:val="001B3C1E"/>
    <w:rsid w:val="001B4494"/>
    <w:rsid w:val="001B45D2"/>
    <w:rsid w:val="001B4659"/>
    <w:rsid w:val="001B5B77"/>
    <w:rsid w:val="001B72AC"/>
    <w:rsid w:val="001B7CCA"/>
    <w:rsid w:val="001C0D8B"/>
    <w:rsid w:val="001C0DA8"/>
    <w:rsid w:val="001C1620"/>
    <w:rsid w:val="001C2980"/>
    <w:rsid w:val="001C3C02"/>
    <w:rsid w:val="001C7BCF"/>
    <w:rsid w:val="001D4AD7"/>
    <w:rsid w:val="001D7DF0"/>
    <w:rsid w:val="001E0D8A"/>
    <w:rsid w:val="001E51E4"/>
    <w:rsid w:val="001E603E"/>
    <w:rsid w:val="001E67BA"/>
    <w:rsid w:val="001E74C2"/>
    <w:rsid w:val="001F1D99"/>
    <w:rsid w:val="001F4F82"/>
    <w:rsid w:val="001F5A48"/>
    <w:rsid w:val="001F6260"/>
    <w:rsid w:val="001F6CE2"/>
    <w:rsid w:val="001F7BEF"/>
    <w:rsid w:val="00200007"/>
    <w:rsid w:val="0020235A"/>
    <w:rsid w:val="002030A5"/>
    <w:rsid w:val="00203131"/>
    <w:rsid w:val="00207E1A"/>
    <w:rsid w:val="0021065E"/>
    <w:rsid w:val="00212E88"/>
    <w:rsid w:val="00213C9C"/>
    <w:rsid w:val="00216991"/>
    <w:rsid w:val="00217956"/>
    <w:rsid w:val="00217E9E"/>
    <w:rsid w:val="0022009E"/>
    <w:rsid w:val="00223241"/>
    <w:rsid w:val="00223E1D"/>
    <w:rsid w:val="0022425C"/>
    <w:rsid w:val="002242C1"/>
    <w:rsid w:val="002246DE"/>
    <w:rsid w:val="002371B9"/>
    <w:rsid w:val="00240D0E"/>
    <w:rsid w:val="002429E2"/>
    <w:rsid w:val="00242CF1"/>
    <w:rsid w:val="00247884"/>
    <w:rsid w:val="00252BC4"/>
    <w:rsid w:val="00254014"/>
    <w:rsid w:val="00254B39"/>
    <w:rsid w:val="00257ADD"/>
    <w:rsid w:val="0026140A"/>
    <w:rsid w:val="0026504D"/>
    <w:rsid w:val="00266FFB"/>
    <w:rsid w:val="00270863"/>
    <w:rsid w:val="00273A2F"/>
    <w:rsid w:val="00275432"/>
    <w:rsid w:val="00277F92"/>
    <w:rsid w:val="00280986"/>
    <w:rsid w:val="00281ECE"/>
    <w:rsid w:val="00282E62"/>
    <w:rsid w:val="002831C7"/>
    <w:rsid w:val="002840C6"/>
    <w:rsid w:val="002845ED"/>
    <w:rsid w:val="00287939"/>
    <w:rsid w:val="00290724"/>
    <w:rsid w:val="00293073"/>
    <w:rsid w:val="00295174"/>
    <w:rsid w:val="00296172"/>
    <w:rsid w:val="00296B92"/>
    <w:rsid w:val="00297551"/>
    <w:rsid w:val="002A2C22"/>
    <w:rsid w:val="002A3C29"/>
    <w:rsid w:val="002A4484"/>
    <w:rsid w:val="002B02EB"/>
    <w:rsid w:val="002B27AF"/>
    <w:rsid w:val="002B3C76"/>
    <w:rsid w:val="002C0602"/>
    <w:rsid w:val="002C35C4"/>
    <w:rsid w:val="002C4D62"/>
    <w:rsid w:val="002D0A72"/>
    <w:rsid w:val="002D129A"/>
    <w:rsid w:val="002D5800"/>
    <w:rsid w:val="002D5C16"/>
    <w:rsid w:val="002E4C4B"/>
    <w:rsid w:val="002E6618"/>
    <w:rsid w:val="002F1742"/>
    <w:rsid w:val="002F2476"/>
    <w:rsid w:val="002F3DFF"/>
    <w:rsid w:val="002F5E05"/>
    <w:rsid w:val="00305C9A"/>
    <w:rsid w:val="00307A76"/>
    <w:rsid w:val="0031455E"/>
    <w:rsid w:val="00315A16"/>
    <w:rsid w:val="00315C04"/>
    <w:rsid w:val="00316300"/>
    <w:rsid w:val="00317053"/>
    <w:rsid w:val="00320941"/>
    <w:rsid w:val="00320CDA"/>
    <w:rsid w:val="0032109C"/>
    <w:rsid w:val="0032250E"/>
    <w:rsid w:val="00322B45"/>
    <w:rsid w:val="00323809"/>
    <w:rsid w:val="00323D41"/>
    <w:rsid w:val="00324A1D"/>
    <w:rsid w:val="00325414"/>
    <w:rsid w:val="003302F1"/>
    <w:rsid w:val="00330623"/>
    <w:rsid w:val="00342283"/>
    <w:rsid w:val="0034470E"/>
    <w:rsid w:val="003469CA"/>
    <w:rsid w:val="00350061"/>
    <w:rsid w:val="00350B4F"/>
    <w:rsid w:val="00351963"/>
    <w:rsid w:val="00352DB0"/>
    <w:rsid w:val="00353D65"/>
    <w:rsid w:val="00354CCA"/>
    <w:rsid w:val="00361063"/>
    <w:rsid w:val="0036319E"/>
    <w:rsid w:val="00364CDB"/>
    <w:rsid w:val="00364DC3"/>
    <w:rsid w:val="0037094A"/>
    <w:rsid w:val="003718BE"/>
    <w:rsid w:val="00371ED3"/>
    <w:rsid w:val="00372659"/>
    <w:rsid w:val="00372FFC"/>
    <w:rsid w:val="003734BB"/>
    <w:rsid w:val="00375D7A"/>
    <w:rsid w:val="003769AE"/>
    <w:rsid w:val="0037728A"/>
    <w:rsid w:val="00377568"/>
    <w:rsid w:val="00380B7D"/>
    <w:rsid w:val="00381A99"/>
    <w:rsid w:val="003829C2"/>
    <w:rsid w:val="003830B2"/>
    <w:rsid w:val="00384724"/>
    <w:rsid w:val="003919B7"/>
    <w:rsid w:val="00391D57"/>
    <w:rsid w:val="00392292"/>
    <w:rsid w:val="00393CB7"/>
    <w:rsid w:val="00394F45"/>
    <w:rsid w:val="003A007A"/>
    <w:rsid w:val="003A1B2D"/>
    <w:rsid w:val="003A47E0"/>
    <w:rsid w:val="003A5927"/>
    <w:rsid w:val="003B1017"/>
    <w:rsid w:val="003B3C07"/>
    <w:rsid w:val="003B4ADF"/>
    <w:rsid w:val="003B6081"/>
    <w:rsid w:val="003B6775"/>
    <w:rsid w:val="003C008D"/>
    <w:rsid w:val="003C0C4E"/>
    <w:rsid w:val="003C0CCC"/>
    <w:rsid w:val="003C0FBE"/>
    <w:rsid w:val="003C5FE2"/>
    <w:rsid w:val="003C72D6"/>
    <w:rsid w:val="003C77A8"/>
    <w:rsid w:val="003C7A21"/>
    <w:rsid w:val="003D05FB"/>
    <w:rsid w:val="003D1B16"/>
    <w:rsid w:val="003D45BF"/>
    <w:rsid w:val="003D508A"/>
    <w:rsid w:val="003D537F"/>
    <w:rsid w:val="003D7507"/>
    <w:rsid w:val="003D7B75"/>
    <w:rsid w:val="003E0208"/>
    <w:rsid w:val="003E3374"/>
    <w:rsid w:val="003E4B57"/>
    <w:rsid w:val="003F0B7D"/>
    <w:rsid w:val="003F27E1"/>
    <w:rsid w:val="003F28D9"/>
    <w:rsid w:val="003F437A"/>
    <w:rsid w:val="003F5830"/>
    <w:rsid w:val="003F5C2B"/>
    <w:rsid w:val="003F7018"/>
    <w:rsid w:val="00402240"/>
    <w:rsid w:val="004023E9"/>
    <w:rsid w:val="0040454A"/>
    <w:rsid w:val="00407C74"/>
    <w:rsid w:val="00413F83"/>
    <w:rsid w:val="0041490C"/>
    <w:rsid w:val="00415A6C"/>
    <w:rsid w:val="00416191"/>
    <w:rsid w:val="00416721"/>
    <w:rsid w:val="00416D96"/>
    <w:rsid w:val="004170F7"/>
    <w:rsid w:val="00421EF0"/>
    <w:rsid w:val="004224FA"/>
    <w:rsid w:val="00423D07"/>
    <w:rsid w:val="00427936"/>
    <w:rsid w:val="0042796E"/>
    <w:rsid w:val="00431C83"/>
    <w:rsid w:val="00436128"/>
    <w:rsid w:val="004408EA"/>
    <w:rsid w:val="00440B43"/>
    <w:rsid w:val="0044346F"/>
    <w:rsid w:val="0044709E"/>
    <w:rsid w:val="00447A41"/>
    <w:rsid w:val="00451588"/>
    <w:rsid w:val="00452993"/>
    <w:rsid w:val="00453FF6"/>
    <w:rsid w:val="00456601"/>
    <w:rsid w:val="0046520A"/>
    <w:rsid w:val="004671C7"/>
    <w:rsid w:val="004672AB"/>
    <w:rsid w:val="004714FE"/>
    <w:rsid w:val="00472AD0"/>
    <w:rsid w:val="0047660E"/>
    <w:rsid w:val="00477BAA"/>
    <w:rsid w:val="00477CA3"/>
    <w:rsid w:val="00481FC4"/>
    <w:rsid w:val="004856C6"/>
    <w:rsid w:val="00492EF9"/>
    <w:rsid w:val="00495053"/>
    <w:rsid w:val="004A1F59"/>
    <w:rsid w:val="004A29BE"/>
    <w:rsid w:val="004A3225"/>
    <w:rsid w:val="004A33EE"/>
    <w:rsid w:val="004A3540"/>
    <w:rsid w:val="004A3AA8"/>
    <w:rsid w:val="004A6C0D"/>
    <w:rsid w:val="004B13C7"/>
    <w:rsid w:val="004B1E7B"/>
    <w:rsid w:val="004B224C"/>
    <w:rsid w:val="004B6EDF"/>
    <w:rsid w:val="004B778F"/>
    <w:rsid w:val="004C0609"/>
    <w:rsid w:val="004C279A"/>
    <w:rsid w:val="004C4EAD"/>
    <w:rsid w:val="004C595B"/>
    <w:rsid w:val="004C639F"/>
    <w:rsid w:val="004D141F"/>
    <w:rsid w:val="004D2742"/>
    <w:rsid w:val="004D445D"/>
    <w:rsid w:val="004D6310"/>
    <w:rsid w:val="004E0062"/>
    <w:rsid w:val="004E05A1"/>
    <w:rsid w:val="004E1EB4"/>
    <w:rsid w:val="004E7527"/>
    <w:rsid w:val="004E7F21"/>
    <w:rsid w:val="004F1897"/>
    <w:rsid w:val="004F472A"/>
    <w:rsid w:val="004F5E57"/>
    <w:rsid w:val="004F6710"/>
    <w:rsid w:val="005005B0"/>
    <w:rsid w:val="00500C3E"/>
    <w:rsid w:val="00502849"/>
    <w:rsid w:val="0050299D"/>
    <w:rsid w:val="00504334"/>
    <w:rsid w:val="0050498D"/>
    <w:rsid w:val="005100B5"/>
    <w:rsid w:val="005104D7"/>
    <w:rsid w:val="00510B9E"/>
    <w:rsid w:val="005134BA"/>
    <w:rsid w:val="0052596A"/>
    <w:rsid w:val="00531760"/>
    <w:rsid w:val="00536BC2"/>
    <w:rsid w:val="00536C5C"/>
    <w:rsid w:val="00540A01"/>
    <w:rsid w:val="005425E1"/>
    <w:rsid w:val="005427C5"/>
    <w:rsid w:val="00542CF6"/>
    <w:rsid w:val="005447FB"/>
    <w:rsid w:val="00553C03"/>
    <w:rsid w:val="00553E34"/>
    <w:rsid w:val="00554147"/>
    <w:rsid w:val="005548E7"/>
    <w:rsid w:val="00555F10"/>
    <w:rsid w:val="00560947"/>
    <w:rsid w:val="00560DDA"/>
    <w:rsid w:val="00560FE8"/>
    <w:rsid w:val="00563692"/>
    <w:rsid w:val="00571679"/>
    <w:rsid w:val="00572794"/>
    <w:rsid w:val="00573252"/>
    <w:rsid w:val="00573BA3"/>
    <w:rsid w:val="00583AC7"/>
    <w:rsid w:val="00584235"/>
    <w:rsid w:val="005844E7"/>
    <w:rsid w:val="005908B8"/>
    <w:rsid w:val="00591D81"/>
    <w:rsid w:val="0059512E"/>
    <w:rsid w:val="00597EB2"/>
    <w:rsid w:val="005A4C43"/>
    <w:rsid w:val="005A6DD2"/>
    <w:rsid w:val="005B0BC2"/>
    <w:rsid w:val="005B36EB"/>
    <w:rsid w:val="005B4DE1"/>
    <w:rsid w:val="005C3040"/>
    <w:rsid w:val="005C360F"/>
    <w:rsid w:val="005C385D"/>
    <w:rsid w:val="005C5AE2"/>
    <w:rsid w:val="005D3B20"/>
    <w:rsid w:val="005D471F"/>
    <w:rsid w:val="005D71B7"/>
    <w:rsid w:val="005E4759"/>
    <w:rsid w:val="005E5C68"/>
    <w:rsid w:val="005E65C0"/>
    <w:rsid w:val="005E74F0"/>
    <w:rsid w:val="005F0390"/>
    <w:rsid w:val="005F1227"/>
    <w:rsid w:val="005F3A6D"/>
    <w:rsid w:val="005F3CE8"/>
    <w:rsid w:val="005F698B"/>
    <w:rsid w:val="005F6B92"/>
    <w:rsid w:val="005F7A08"/>
    <w:rsid w:val="00606501"/>
    <w:rsid w:val="006072CD"/>
    <w:rsid w:val="00612023"/>
    <w:rsid w:val="00614161"/>
    <w:rsid w:val="00614190"/>
    <w:rsid w:val="006175F2"/>
    <w:rsid w:val="006207F9"/>
    <w:rsid w:val="00622A99"/>
    <w:rsid w:val="00622E67"/>
    <w:rsid w:val="006230BF"/>
    <w:rsid w:val="00626B57"/>
    <w:rsid w:val="00626EDC"/>
    <w:rsid w:val="00630056"/>
    <w:rsid w:val="00630B71"/>
    <w:rsid w:val="00634D1C"/>
    <w:rsid w:val="00641330"/>
    <w:rsid w:val="00642F08"/>
    <w:rsid w:val="006452D3"/>
    <w:rsid w:val="006459E5"/>
    <w:rsid w:val="006470EC"/>
    <w:rsid w:val="00647687"/>
    <w:rsid w:val="0065168C"/>
    <w:rsid w:val="00651E66"/>
    <w:rsid w:val="00652397"/>
    <w:rsid w:val="00654131"/>
    <w:rsid w:val="006542D6"/>
    <w:rsid w:val="00655580"/>
    <w:rsid w:val="0065598E"/>
    <w:rsid w:val="00655AF2"/>
    <w:rsid w:val="00655BC5"/>
    <w:rsid w:val="006568BE"/>
    <w:rsid w:val="0066025D"/>
    <w:rsid w:val="0066091A"/>
    <w:rsid w:val="0066393C"/>
    <w:rsid w:val="00664190"/>
    <w:rsid w:val="00665157"/>
    <w:rsid w:val="00667A05"/>
    <w:rsid w:val="006708E9"/>
    <w:rsid w:val="006773EC"/>
    <w:rsid w:val="0067792C"/>
    <w:rsid w:val="00680504"/>
    <w:rsid w:val="00681CD9"/>
    <w:rsid w:val="0068347B"/>
    <w:rsid w:val="00683E30"/>
    <w:rsid w:val="0068474A"/>
    <w:rsid w:val="00684CA4"/>
    <w:rsid w:val="00687024"/>
    <w:rsid w:val="00690140"/>
    <w:rsid w:val="0069031C"/>
    <w:rsid w:val="00691FA0"/>
    <w:rsid w:val="00695AB3"/>
    <w:rsid w:val="00695E22"/>
    <w:rsid w:val="006979C3"/>
    <w:rsid w:val="006A08AE"/>
    <w:rsid w:val="006A775F"/>
    <w:rsid w:val="006B128C"/>
    <w:rsid w:val="006B3EC5"/>
    <w:rsid w:val="006B41F1"/>
    <w:rsid w:val="006B7093"/>
    <w:rsid w:val="006B7417"/>
    <w:rsid w:val="006C3946"/>
    <w:rsid w:val="006C456C"/>
    <w:rsid w:val="006D29DD"/>
    <w:rsid w:val="006D31F9"/>
    <w:rsid w:val="006D3691"/>
    <w:rsid w:val="006E0802"/>
    <w:rsid w:val="006E3173"/>
    <w:rsid w:val="006E5EF0"/>
    <w:rsid w:val="006F076C"/>
    <w:rsid w:val="006F3117"/>
    <w:rsid w:val="006F3563"/>
    <w:rsid w:val="006F42B9"/>
    <w:rsid w:val="006F6103"/>
    <w:rsid w:val="006F6681"/>
    <w:rsid w:val="00700F60"/>
    <w:rsid w:val="00701CBD"/>
    <w:rsid w:val="00704B9C"/>
    <w:rsid w:val="00704E00"/>
    <w:rsid w:val="00705B8D"/>
    <w:rsid w:val="00706B3F"/>
    <w:rsid w:val="00707ADE"/>
    <w:rsid w:val="00707B6A"/>
    <w:rsid w:val="00710EC2"/>
    <w:rsid w:val="00711704"/>
    <w:rsid w:val="007124FF"/>
    <w:rsid w:val="00716BF0"/>
    <w:rsid w:val="007209E7"/>
    <w:rsid w:val="00720C0A"/>
    <w:rsid w:val="00726182"/>
    <w:rsid w:val="007263B6"/>
    <w:rsid w:val="00727635"/>
    <w:rsid w:val="00732329"/>
    <w:rsid w:val="00733162"/>
    <w:rsid w:val="007337CA"/>
    <w:rsid w:val="00734CE4"/>
    <w:rsid w:val="00735123"/>
    <w:rsid w:val="00741837"/>
    <w:rsid w:val="007418AA"/>
    <w:rsid w:val="007453E6"/>
    <w:rsid w:val="00746620"/>
    <w:rsid w:val="007469D8"/>
    <w:rsid w:val="00750298"/>
    <w:rsid w:val="00754789"/>
    <w:rsid w:val="00770453"/>
    <w:rsid w:val="00771678"/>
    <w:rsid w:val="0077309D"/>
    <w:rsid w:val="007740E7"/>
    <w:rsid w:val="007774EE"/>
    <w:rsid w:val="00781822"/>
    <w:rsid w:val="00783F21"/>
    <w:rsid w:val="00784456"/>
    <w:rsid w:val="00786AE0"/>
    <w:rsid w:val="00787159"/>
    <w:rsid w:val="0079043A"/>
    <w:rsid w:val="00791668"/>
    <w:rsid w:val="00791AA1"/>
    <w:rsid w:val="007929F8"/>
    <w:rsid w:val="007A101F"/>
    <w:rsid w:val="007A3793"/>
    <w:rsid w:val="007A3F56"/>
    <w:rsid w:val="007B2B38"/>
    <w:rsid w:val="007B2E32"/>
    <w:rsid w:val="007B3146"/>
    <w:rsid w:val="007B6DED"/>
    <w:rsid w:val="007B723D"/>
    <w:rsid w:val="007C1BA2"/>
    <w:rsid w:val="007C2B48"/>
    <w:rsid w:val="007C3D41"/>
    <w:rsid w:val="007D1564"/>
    <w:rsid w:val="007D20E9"/>
    <w:rsid w:val="007D363D"/>
    <w:rsid w:val="007D7881"/>
    <w:rsid w:val="007D7E3A"/>
    <w:rsid w:val="007E0E10"/>
    <w:rsid w:val="007E1A61"/>
    <w:rsid w:val="007E26CE"/>
    <w:rsid w:val="007E4768"/>
    <w:rsid w:val="007E4E5E"/>
    <w:rsid w:val="007E777B"/>
    <w:rsid w:val="007F1649"/>
    <w:rsid w:val="007F2070"/>
    <w:rsid w:val="007F24D7"/>
    <w:rsid w:val="007F63C1"/>
    <w:rsid w:val="007F7268"/>
    <w:rsid w:val="00800648"/>
    <w:rsid w:val="00802A57"/>
    <w:rsid w:val="008053F5"/>
    <w:rsid w:val="00806F9B"/>
    <w:rsid w:val="00807AF7"/>
    <w:rsid w:val="00810198"/>
    <w:rsid w:val="00813E09"/>
    <w:rsid w:val="0081491D"/>
    <w:rsid w:val="00815DA8"/>
    <w:rsid w:val="0081652E"/>
    <w:rsid w:val="00820119"/>
    <w:rsid w:val="0082194D"/>
    <w:rsid w:val="00821CAD"/>
    <w:rsid w:val="008221F9"/>
    <w:rsid w:val="0082258D"/>
    <w:rsid w:val="0082620D"/>
    <w:rsid w:val="00826EF5"/>
    <w:rsid w:val="0083161D"/>
    <w:rsid w:val="00831693"/>
    <w:rsid w:val="008329EB"/>
    <w:rsid w:val="00840104"/>
    <w:rsid w:val="00840C1F"/>
    <w:rsid w:val="008411C9"/>
    <w:rsid w:val="00841596"/>
    <w:rsid w:val="00841FC5"/>
    <w:rsid w:val="0084293C"/>
    <w:rsid w:val="00842EAD"/>
    <w:rsid w:val="00843D0F"/>
    <w:rsid w:val="00845039"/>
    <w:rsid w:val="00845709"/>
    <w:rsid w:val="00846B17"/>
    <w:rsid w:val="00847C65"/>
    <w:rsid w:val="00851AB7"/>
    <w:rsid w:val="008576BD"/>
    <w:rsid w:val="00860463"/>
    <w:rsid w:val="00860E4B"/>
    <w:rsid w:val="008618EF"/>
    <w:rsid w:val="008632AB"/>
    <w:rsid w:val="00863C3A"/>
    <w:rsid w:val="008642B2"/>
    <w:rsid w:val="00864EB0"/>
    <w:rsid w:val="0086767E"/>
    <w:rsid w:val="008722C3"/>
    <w:rsid w:val="00872E93"/>
    <w:rsid w:val="008733DA"/>
    <w:rsid w:val="00875254"/>
    <w:rsid w:val="0087556B"/>
    <w:rsid w:val="008817ED"/>
    <w:rsid w:val="008821BD"/>
    <w:rsid w:val="00885026"/>
    <w:rsid w:val="008850E4"/>
    <w:rsid w:val="00886973"/>
    <w:rsid w:val="00891529"/>
    <w:rsid w:val="008939AB"/>
    <w:rsid w:val="008946AD"/>
    <w:rsid w:val="00895241"/>
    <w:rsid w:val="00896905"/>
    <w:rsid w:val="00896C62"/>
    <w:rsid w:val="008A12F5"/>
    <w:rsid w:val="008A212F"/>
    <w:rsid w:val="008A6826"/>
    <w:rsid w:val="008B1587"/>
    <w:rsid w:val="008B1B01"/>
    <w:rsid w:val="008B27A5"/>
    <w:rsid w:val="008B3362"/>
    <w:rsid w:val="008B3BCD"/>
    <w:rsid w:val="008B6DF8"/>
    <w:rsid w:val="008C106C"/>
    <w:rsid w:val="008C10F1"/>
    <w:rsid w:val="008C15E6"/>
    <w:rsid w:val="008C1926"/>
    <w:rsid w:val="008C1E99"/>
    <w:rsid w:val="008C4B7C"/>
    <w:rsid w:val="008C4D70"/>
    <w:rsid w:val="008E0085"/>
    <w:rsid w:val="008E07E4"/>
    <w:rsid w:val="008E13B1"/>
    <w:rsid w:val="008E2AA6"/>
    <w:rsid w:val="008E311B"/>
    <w:rsid w:val="008E3EFD"/>
    <w:rsid w:val="008E4EE0"/>
    <w:rsid w:val="008F0011"/>
    <w:rsid w:val="008F46E7"/>
    <w:rsid w:val="008F64CA"/>
    <w:rsid w:val="008F6F0B"/>
    <w:rsid w:val="008F79F2"/>
    <w:rsid w:val="008F7E4B"/>
    <w:rsid w:val="0090304B"/>
    <w:rsid w:val="00907BA7"/>
    <w:rsid w:val="0091012F"/>
    <w:rsid w:val="0091064E"/>
    <w:rsid w:val="00911EDD"/>
    <w:rsid w:val="00911FC5"/>
    <w:rsid w:val="0091489C"/>
    <w:rsid w:val="00925347"/>
    <w:rsid w:val="009256F7"/>
    <w:rsid w:val="00931A10"/>
    <w:rsid w:val="0094044A"/>
    <w:rsid w:val="00941A79"/>
    <w:rsid w:val="009446DB"/>
    <w:rsid w:val="00947967"/>
    <w:rsid w:val="00951297"/>
    <w:rsid w:val="00954AA1"/>
    <w:rsid w:val="00955201"/>
    <w:rsid w:val="00965200"/>
    <w:rsid w:val="009668B3"/>
    <w:rsid w:val="0097088C"/>
    <w:rsid w:val="00971471"/>
    <w:rsid w:val="00973C03"/>
    <w:rsid w:val="009845B6"/>
    <w:rsid w:val="009849C2"/>
    <w:rsid w:val="00984D24"/>
    <w:rsid w:val="009858EB"/>
    <w:rsid w:val="00985B37"/>
    <w:rsid w:val="00991B7C"/>
    <w:rsid w:val="00993015"/>
    <w:rsid w:val="009A3246"/>
    <w:rsid w:val="009A3F47"/>
    <w:rsid w:val="009A4026"/>
    <w:rsid w:val="009A4CBB"/>
    <w:rsid w:val="009B0046"/>
    <w:rsid w:val="009B0F75"/>
    <w:rsid w:val="009B321B"/>
    <w:rsid w:val="009B3594"/>
    <w:rsid w:val="009B47F0"/>
    <w:rsid w:val="009B628B"/>
    <w:rsid w:val="009C1440"/>
    <w:rsid w:val="009C2107"/>
    <w:rsid w:val="009C5BFB"/>
    <w:rsid w:val="009C5D9E"/>
    <w:rsid w:val="009D2C3E"/>
    <w:rsid w:val="009D6ED5"/>
    <w:rsid w:val="009E0493"/>
    <w:rsid w:val="009E0625"/>
    <w:rsid w:val="009E1248"/>
    <w:rsid w:val="009E140C"/>
    <w:rsid w:val="009E3034"/>
    <w:rsid w:val="009E549F"/>
    <w:rsid w:val="009F1859"/>
    <w:rsid w:val="009F28A8"/>
    <w:rsid w:val="009F473E"/>
    <w:rsid w:val="009F5247"/>
    <w:rsid w:val="009F682A"/>
    <w:rsid w:val="00A000F1"/>
    <w:rsid w:val="00A022BE"/>
    <w:rsid w:val="00A07B4B"/>
    <w:rsid w:val="00A13866"/>
    <w:rsid w:val="00A16A24"/>
    <w:rsid w:val="00A24C95"/>
    <w:rsid w:val="00A2599A"/>
    <w:rsid w:val="00A26094"/>
    <w:rsid w:val="00A2718F"/>
    <w:rsid w:val="00A271F0"/>
    <w:rsid w:val="00A301BF"/>
    <w:rsid w:val="00A302B2"/>
    <w:rsid w:val="00A331B4"/>
    <w:rsid w:val="00A3484E"/>
    <w:rsid w:val="00A356D3"/>
    <w:rsid w:val="00A36ADA"/>
    <w:rsid w:val="00A37190"/>
    <w:rsid w:val="00A37C4D"/>
    <w:rsid w:val="00A40000"/>
    <w:rsid w:val="00A438D8"/>
    <w:rsid w:val="00A4535B"/>
    <w:rsid w:val="00A473F5"/>
    <w:rsid w:val="00A51783"/>
    <w:rsid w:val="00A51F9D"/>
    <w:rsid w:val="00A53881"/>
    <w:rsid w:val="00A5416A"/>
    <w:rsid w:val="00A61B17"/>
    <w:rsid w:val="00A6283D"/>
    <w:rsid w:val="00A639F4"/>
    <w:rsid w:val="00A645E2"/>
    <w:rsid w:val="00A648E3"/>
    <w:rsid w:val="00A656D0"/>
    <w:rsid w:val="00A65864"/>
    <w:rsid w:val="00A65FAE"/>
    <w:rsid w:val="00A81A32"/>
    <w:rsid w:val="00A821C2"/>
    <w:rsid w:val="00A835BD"/>
    <w:rsid w:val="00A84263"/>
    <w:rsid w:val="00A848D4"/>
    <w:rsid w:val="00A85C7B"/>
    <w:rsid w:val="00A8697C"/>
    <w:rsid w:val="00A904F8"/>
    <w:rsid w:val="00A9082F"/>
    <w:rsid w:val="00A94C18"/>
    <w:rsid w:val="00A971C8"/>
    <w:rsid w:val="00A97B15"/>
    <w:rsid w:val="00AA2B7B"/>
    <w:rsid w:val="00AA42D5"/>
    <w:rsid w:val="00AA7842"/>
    <w:rsid w:val="00AB2752"/>
    <w:rsid w:val="00AB2FAB"/>
    <w:rsid w:val="00AB5C14"/>
    <w:rsid w:val="00AB5DD0"/>
    <w:rsid w:val="00AC1762"/>
    <w:rsid w:val="00AC1EE7"/>
    <w:rsid w:val="00AC333F"/>
    <w:rsid w:val="00AC42FC"/>
    <w:rsid w:val="00AC4D3F"/>
    <w:rsid w:val="00AC506B"/>
    <w:rsid w:val="00AC585C"/>
    <w:rsid w:val="00AC60CB"/>
    <w:rsid w:val="00AC6D65"/>
    <w:rsid w:val="00AD1925"/>
    <w:rsid w:val="00AD1E6F"/>
    <w:rsid w:val="00AD24DF"/>
    <w:rsid w:val="00AD38D3"/>
    <w:rsid w:val="00AD4084"/>
    <w:rsid w:val="00AD4EA8"/>
    <w:rsid w:val="00AE063E"/>
    <w:rsid w:val="00AE067D"/>
    <w:rsid w:val="00AE3B58"/>
    <w:rsid w:val="00AE41F3"/>
    <w:rsid w:val="00AF1181"/>
    <w:rsid w:val="00AF2F79"/>
    <w:rsid w:val="00AF314E"/>
    <w:rsid w:val="00AF4653"/>
    <w:rsid w:val="00AF6F57"/>
    <w:rsid w:val="00AF7DB7"/>
    <w:rsid w:val="00B10D02"/>
    <w:rsid w:val="00B11B7D"/>
    <w:rsid w:val="00B13341"/>
    <w:rsid w:val="00B14624"/>
    <w:rsid w:val="00B14D87"/>
    <w:rsid w:val="00B201E2"/>
    <w:rsid w:val="00B22131"/>
    <w:rsid w:val="00B263EE"/>
    <w:rsid w:val="00B33324"/>
    <w:rsid w:val="00B4177E"/>
    <w:rsid w:val="00B443E4"/>
    <w:rsid w:val="00B4572B"/>
    <w:rsid w:val="00B45F8D"/>
    <w:rsid w:val="00B47B56"/>
    <w:rsid w:val="00B5082B"/>
    <w:rsid w:val="00B52BC1"/>
    <w:rsid w:val="00B5484D"/>
    <w:rsid w:val="00B55D5C"/>
    <w:rsid w:val="00B563EA"/>
    <w:rsid w:val="00B56CDF"/>
    <w:rsid w:val="00B601C1"/>
    <w:rsid w:val="00B60B76"/>
    <w:rsid w:val="00B60E51"/>
    <w:rsid w:val="00B61F85"/>
    <w:rsid w:val="00B63A54"/>
    <w:rsid w:val="00B663EF"/>
    <w:rsid w:val="00B752E0"/>
    <w:rsid w:val="00B759B1"/>
    <w:rsid w:val="00B76C92"/>
    <w:rsid w:val="00B77D18"/>
    <w:rsid w:val="00B8313A"/>
    <w:rsid w:val="00B84EF8"/>
    <w:rsid w:val="00B85D60"/>
    <w:rsid w:val="00B87FFB"/>
    <w:rsid w:val="00B90D83"/>
    <w:rsid w:val="00B91642"/>
    <w:rsid w:val="00B92F8F"/>
    <w:rsid w:val="00B93503"/>
    <w:rsid w:val="00B97E5C"/>
    <w:rsid w:val="00BA31E8"/>
    <w:rsid w:val="00BA43A7"/>
    <w:rsid w:val="00BA55E0"/>
    <w:rsid w:val="00BA5ECF"/>
    <w:rsid w:val="00BA6BD4"/>
    <w:rsid w:val="00BA6C7A"/>
    <w:rsid w:val="00BA716C"/>
    <w:rsid w:val="00BB17D1"/>
    <w:rsid w:val="00BB3752"/>
    <w:rsid w:val="00BB4463"/>
    <w:rsid w:val="00BB6688"/>
    <w:rsid w:val="00BB7BA1"/>
    <w:rsid w:val="00BC23E3"/>
    <w:rsid w:val="00BC262B"/>
    <w:rsid w:val="00BC26D4"/>
    <w:rsid w:val="00BC3EE0"/>
    <w:rsid w:val="00BC46F6"/>
    <w:rsid w:val="00BC50FD"/>
    <w:rsid w:val="00BC567B"/>
    <w:rsid w:val="00BD6865"/>
    <w:rsid w:val="00BE0B68"/>
    <w:rsid w:val="00BE0C80"/>
    <w:rsid w:val="00BE3F48"/>
    <w:rsid w:val="00BE50F4"/>
    <w:rsid w:val="00BE5461"/>
    <w:rsid w:val="00BE589F"/>
    <w:rsid w:val="00BF189A"/>
    <w:rsid w:val="00BF2A42"/>
    <w:rsid w:val="00BF3027"/>
    <w:rsid w:val="00C01B5B"/>
    <w:rsid w:val="00C03D8C"/>
    <w:rsid w:val="00C055EC"/>
    <w:rsid w:val="00C10DC9"/>
    <w:rsid w:val="00C11840"/>
    <w:rsid w:val="00C12FB3"/>
    <w:rsid w:val="00C13F0D"/>
    <w:rsid w:val="00C17341"/>
    <w:rsid w:val="00C1774E"/>
    <w:rsid w:val="00C20A03"/>
    <w:rsid w:val="00C22500"/>
    <w:rsid w:val="00C2459D"/>
    <w:rsid w:val="00C24E72"/>
    <w:rsid w:val="00C24EEF"/>
    <w:rsid w:val="00C25CF6"/>
    <w:rsid w:val="00C26C36"/>
    <w:rsid w:val="00C32768"/>
    <w:rsid w:val="00C329B2"/>
    <w:rsid w:val="00C431DF"/>
    <w:rsid w:val="00C456BD"/>
    <w:rsid w:val="00C460B3"/>
    <w:rsid w:val="00C465C7"/>
    <w:rsid w:val="00C530DC"/>
    <w:rsid w:val="00C5350D"/>
    <w:rsid w:val="00C574F6"/>
    <w:rsid w:val="00C6123C"/>
    <w:rsid w:val="00C6311A"/>
    <w:rsid w:val="00C64983"/>
    <w:rsid w:val="00C6543C"/>
    <w:rsid w:val="00C7084D"/>
    <w:rsid w:val="00C70929"/>
    <w:rsid w:val="00C7315E"/>
    <w:rsid w:val="00C7492A"/>
    <w:rsid w:val="00C75895"/>
    <w:rsid w:val="00C76781"/>
    <w:rsid w:val="00C77651"/>
    <w:rsid w:val="00C83C9F"/>
    <w:rsid w:val="00C91639"/>
    <w:rsid w:val="00C93187"/>
    <w:rsid w:val="00C94519"/>
    <w:rsid w:val="00C94840"/>
    <w:rsid w:val="00C96639"/>
    <w:rsid w:val="00CA016E"/>
    <w:rsid w:val="00CA4EE3"/>
    <w:rsid w:val="00CB027F"/>
    <w:rsid w:val="00CB1A49"/>
    <w:rsid w:val="00CB71A9"/>
    <w:rsid w:val="00CC0EBB"/>
    <w:rsid w:val="00CC2F9E"/>
    <w:rsid w:val="00CC6297"/>
    <w:rsid w:val="00CC7690"/>
    <w:rsid w:val="00CD09CC"/>
    <w:rsid w:val="00CD1986"/>
    <w:rsid w:val="00CD294D"/>
    <w:rsid w:val="00CD54BF"/>
    <w:rsid w:val="00CE3EB9"/>
    <w:rsid w:val="00CE4D5C"/>
    <w:rsid w:val="00CF05DA"/>
    <w:rsid w:val="00CF58EB"/>
    <w:rsid w:val="00CF62AD"/>
    <w:rsid w:val="00CF6FEC"/>
    <w:rsid w:val="00D0106E"/>
    <w:rsid w:val="00D03BF5"/>
    <w:rsid w:val="00D06383"/>
    <w:rsid w:val="00D10C38"/>
    <w:rsid w:val="00D20D26"/>
    <w:rsid w:val="00D20E85"/>
    <w:rsid w:val="00D2363B"/>
    <w:rsid w:val="00D24615"/>
    <w:rsid w:val="00D313A8"/>
    <w:rsid w:val="00D36C85"/>
    <w:rsid w:val="00D37842"/>
    <w:rsid w:val="00D40F61"/>
    <w:rsid w:val="00D42963"/>
    <w:rsid w:val="00D42DC2"/>
    <w:rsid w:val="00D4302B"/>
    <w:rsid w:val="00D4661E"/>
    <w:rsid w:val="00D51F95"/>
    <w:rsid w:val="00D522CB"/>
    <w:rsid w:val="00D537E1"/>
    <w:rsid w:val="00D54FA0"/>
    <w:rsid w:val="00D55BB2"/>
    <w:rsid w:val="00D6091A"/>
    <w:rsid w:val="00D614AD"/>
    <w:rsid w:val="00D62189"/>
    <w:rsid w:val="00D6605A"/>
    <w:rsid w:val="00D6695F"/>
    <w:rsid w:val="00D75644"/>
    <w:rsid w:val="00D81656"/>
    <w:rsid w:val="00D82885"/>
    <w:rsid w:val="00D83D87"/>
    <w:rsid w:val="00D846D0"/>
    <w:rsid w:val="00D846E2"/>
    <w:rsid w:val="00D84A6D"/>
    <w:rsid w:val="00D86A30"/>
    <w:rsid w:val="00D94E4C"/>
    <w:rsid w:val="00D95E37"/>
    <w:rsid w:val="00D97764"/>
    <w:rsid w:val="00D97CB4"/>
    <w:rsid w:val="00D97DD4"/>
    <w:rsid w:val="00DA3F35"/>
    <w:rsid w:val="00DA4521"/>
    <w:rsid w:val="00DA5A8A"/>
    <w:rsid w:val="00DB00B6"/>
    <w:rsid w:val="00DB1170"/>
    <w:rsid w:val="00DB26CD"/>
    <w:rsid w:val="00DB3A54"/>
    <w:rsid w:val="00DB441C"/>
    <w:rsid w:val="00DB44AF"/>
    <w:rsid w:val="00DB606E"/>
    <w:rsid w:val="00DC1F58"/>
    <w:rsid w:val="00DC339B"/>
    <w:rsid w:val="00DC5D40"/>
    <w:rsid w:val="00DC69A7"/>
    <w:rsid w:val="00DD30E9"/>
    <w:rsid w:val="00DD38F0"/>
    <w:rsid w:val="00DD4F47"/>
    <w:rsid w:val="00DD7FBB"/>
    <w:rsid w:val="00DE0878"/>
    <w:rsid w:val="00DE0977"/>
    <w:rsid w:val="00DE0B9F"/>
    <w:rsid w:val="00DE1A4A"/>
    <w:rsid w:val="00DE2A9E"/>
    <w:rsid w:val="00DE4238"/>
    <w:rsid w:val="00DE657F"/>
    <w:rsid w:val="00DF0628"/>
    <w:rsid w:val="00DF0CDE"/>
    <w:rsid w:val="00DF11A9"/>
    <w:rsid w:val="00DF1218"/>
    <w:rsid w:val="00DF6462"/>
    <w:rsid w:val="00E0184A"/>
    <w:rsid w:val="00E02FA0"/>
    <w:rsid w:val="00E03014"/>
    <w:rsid w:val="00E036DC"/>
    <w:rsid w:val="00E04329"/>
    <w:rsid w:val="00E10454"/>
    <w:rsid w:val="00E112E5"/>
    <w:rsid w:val="00E11AED"/>
    <w:rsid w:val="00E122D8"/>
    <w:rsid w:val="00E12CC8"/>
    <w:rsid w:val="00E15352"/>
    <w:rsid w:val="00E21CC7"/>
    <w:rsid w:val="00E24C4D"/>
    <w:rsid w:val="00E24D9E"/>
    <w:rsid w:val="00E24EC8"/>
    <w:rsid w:val="00E25849"/>
    <w:rsid w:val="00E3197E"/>
    <w:rsid w:val="00E32CB9"/>
    <w:rsid w:val="00E342F8"/>
    <w:rsid w:val="00E34FA5"/>
    <w:rsid w:val="00E351ED"/>
    <w:rsid w:val="00E42B19"/>
    <w:rsid w:val="00E438C9"/>
    <w:rsid w:val="00E5065A"/>
    <w:rsid w:val="00E535AB"/>
    <w:rsid w:val="00E6034B"/>
    <w:rsid w:val="00E64FE6"/>
    <w:rsid w:val="00E6549E"/>
    <w:rsid w:val="00E65EDE"/>
    <w:rsid w:val="00E70F81"/>
    <w:rsid w:val="00E77055"/>
    <w:rsid w:val="00E77460"/>
    <w:rsid w:val="00E83ABC"/>
    <w:rsid w:val="00E844F2"/>
    <w:rsid w:val="00E90AD0"/>
    <w:rsid w:val="00E92FCB"/>
    <w:rsid w:val="00E93CE6"/>
    <w:rsid w:val="00E942F0"/>
    <w:rsid w:val="00E94FA6"/>
    <w:rsid w:val="00E97884"/>
    <w:rsid w:val="00EA0F5C"/>
    <w:rsid w:val="00EA147F"/>
    <w:rsid w:val="00EA2BCF"/>
    <w:rsid w:val="00EA4A27"/>
    <w:rsid w:val="00EA4FA6"/>
    <w:rsid w:val="00EA5E70"/>
    <w:rsid w:val="00EB1A25"/>
    <w:rsid w:val="00EB3317"/>
    <w:rsid w:val="00EC2926"/>
    <w:rsid w:val="00EC2969"/>
    <w:rsid w:val="00EC45F5"/>
    <w:rsid w:val="00EC4AA3"/>
    <w:rsid w:val="00EC7363"/>
    <w:rsid w:val="00ED03AB"/>
    <w:rsid w:val="00ED06D3"/>
    <w:rsid w:val="00ED1963"/>
    <w:rsid w:val="00ED1CD4"/>
    <w:rsid w:val="00ED1D2B"/>
    <w:rsid w:val="00ED265E"/>
    <w:rsid w:val="00ED2A4C"/>
    <w:rsid w:val="00ED3B7D"/>
    <w:rsid w:val="00ED64B5"/>
    <w:rsid w:val="00EE19DB"/>
    <w:rsid w:val="00EE4E04"/>
    <w:rsid w:val="00EE5636"/>
    <w:rsid w:val="00EE7CCA"/>
    <w:rsid w:val="00EF012E"/>
    <w:rsid w:val="00EF1A53"/>
    <w:rsid w:val="00EF1DFD"/>
    <w:rsid w:val="00EF207C"/>
    <w:rsid w:val="00EF547B"/>
    <w:rsid w:val="00F0023C"/>
    <w:rsid w:val="00F06E53"/>
    <w:rsid w:val="00F07AD5"/>
    <w:rsid w:val="00F07F82"/>
    <w:rsid w:val="00F15222"/>
    <w:rsid w:val="00F16A14"/>
    <w:rsid w:val="00F17A7F"/>
    <w:rsid w:val="00F21EC5"/>
    <w:rsid w:val="00F254AE"/>
    <w:rsid w:val="00F31AB7"/>
    <w:rsid w:val="00F362D7"/>
    <w:rsid w:val="00F37D7B"/>
    <w:rsid w:val="00F46368"/>
    <w:rsid w:val="00F5314C"/>
    <w:rsid w:val="00F5688C"/>
    <w:rsid w:val="00F56B3B"/>
    <w:rsid w:val="00F60048"/>
    <w:rsid w:val="00F635DD"/>
    <w:rsid w:val="00F6627B"/>
    <w:rsid w:val="00F704A4"/>
    <w:rsid w:val="00F70D1E"/>
    <w:rsid w:val="00F7336E"/>
    <w:rsid w:val="00F734F2"/>
    <w:rsid w:val="00F74C32"/>
    <w:rsid w:val="00F75052"/>
    <w:rsid w:val="00F804D3"/>
    <w:rsid w:val="00F816CB"/>
    <w:rsid w:val="00F81CD2"/>
    <w:rsid w:val="00F82641"/>
    <w:rsid w:val="00F86502"/>
    <w:rsid w:val="00F90F18"/>
    <w:rsid w:val="00F937E4"/>
    <w:rsid w:val="00F958FD"/>
    <w:rsid w:val="00F95EE7"/>
    <w:rsid w:val="00F9761B"/>
    <w:rsid w:val="00FA39E6"/>
    <w:rsid w:val="00FA44B4"/>
    <w:rsid w:val="00FA46A4"/>
    <w:rsid w:val="00FA5A38"/>
    <w:rsid w:val="00FA7BC9"/>
    <w:rsid w:val="00FB2DEA"/>
    <w:rsid w:val="00FB378E"/>
    <w:rsid w:val="00FB37F1"/>
    <w:rsid w:val="00FB430C"/>
    <w:rsid w:val="00FB47C0"/>
    <w:rsid w:val="00FB501B"/>
    <w:rsid w:val="00FB719A"/>
    <w:rsid w:val="00FB7770"/>
    <w:rsid w:val="00FC0FD8"/>
    <w:rsid w:val="00FD193F"/>
    <w:rsid w:val="00FD3B91"/>
    <w:rsid w:val="00FD576B"/>
    <w:rsid w:val="00FD579E"/>
    <w:rsid w:val="00FD6845"/>
    <w:rsid w:val="00FE4516"/>
    <w:rsid w:val="00FE575C"/>
    <w:rsid w:val="00FE64C8"/>
    <w:rsid w:val="00FF18E3"/>
    <w:rsid w:val="00FF5619"/>
    <w:rsid w:val="00FF6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914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表格規格,表格規格1,表格規格2,表格規格3,表格規格4,表格規格5,表格規格6,表格規格7,表格規格8,表格規格9,表格規格10,表格規格11,表格規格12,表格規格13,表格規格14"/>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47A41"/>
    <w:pPr>
      <w:widowControl/>
      <w:kinsoku/>
      <w:overflowPunct/>
      <w:autoSpaceDE/>
      <w:autoSpaceDN/>
      <w:snapToGrid w:val="0"/>
      <w:jc w:val="left"/>
    </w:pPr>
    <w:rPr>
      <w:sz w:val="20"/>
    </w:rPr>
  </w:style>
  <w:style w:type="character" w:customStyle="1" w:styleId="afd">
    <w:name w:val="註腳文字 字元"/>
    <w:basedOn w:val="a7"/>
    <w:link w:val="afc"/>
    <w:uiPriority w:val="99"/>
    <w:semiHidden/>
    <w:rsid w:val="00447A41"/>
    <w:rPr>
      <w:rFonts w:ascii="標楷體" w:eastAsia="標楷體"/>
      <w:kern w:val="2"/>
    </w:rPr>
  </w:style>
  <w:style w:type="character" w:styleId="afe">
    <w:name w:val="footnote reference"/>
    <w:basedOn w:val="a7"/>
    <w:uiPriority w:val="99"/>
    <w:semiHidden/>
    <w:unhideWhenUsed/>
    <w:rsid w:val="00447A41"/>
    <w:rPr>
      <w:vertAlign w:val="superscript"/>
    </w:rPr>
  </w:style>
  <w:style w:type="paragraph" w:styleId="HTML">
    <w:name w:val="HTML Preformatted"/>
    <w:basedOn w:val="a6"/>
    <w:link w:val="HTML0"/>
    <w:uiPriority w:val="99"/>
    <w:semiHidden/>
    <w:unhideWhenUsed/>
    <w:rsid w:val="008817ED"/>
    <w:rPr>
      <w:rFonts w:ascii="Courier New" w:hAnsi="Courier New" w:cs="Courier New"/>
      <w:sz w:val="20"/>
    </w:rPr>
  </w:style>
  <w:style w:type="character" w:customStyle="1" w:styleId="HTML0">
    <w:name w:val="HTML 預設格式 字元"/>
    <w:basedOn w:val="a7"/>
    <w:link w:val="HTML"/>
    <w:uiPriority w:val="99"/>
    <w:semiHidden/>
    <w:rsid w:val="008817ED"/>
    <w:rPr>
      <w:rFonts w:ascii="Courier New" w:eastAsia="標楷體" w:hAnsi="Courier New" w:cs="Courier New"/>
      <w:kern w:val="2"/>
    </w:rPr>
  </w:style>
  <w:style w:type="character" w:styleId="aff">
    <w:name w:val="annotation reference"/>
    <w:basedOn w:val="a7"/>
    <w:uiPriority w:val="99"/>
    <w:semiHidden/>
    <w:unhideWhenUsed/>
    <w:rsid w:val="00324A1D"/>
    <w:rPr>
      <w:sz w:val="18"/>
      <w:szCs w:val="18"/>
    </w:rPr>
  </w:style>
  <w:style w:type="paragraph" w:styleId="aff0">
    <w:name w:val="annotation text"/>
    <w:basedOn w:val="a6"/>
    <w:link w:val="aff1"/>
    <w:uiPriority w:val="99"/>
    <w:semiHidden/>
    <w:unhideWhenUsed/>
    <w:rsid w:val="00324A1D"/>
    <w:pPr>
      <w:jc w:val="left"/>
    </w:pPr>
  </w:style>
  <w:style w:type="character" w:customStyle="1" w:styleId="aff1">
    <w:name w:val="註解文字 字元"/>
    <w:basedOn w:val="a7"/>
    <w:link w:val="aff0"/>
    <w:uiPriority w:val="99"/>
    <w:semiHidden/>
    <w:rsid w:val="00324A1D"/>
    <w:rPr>
      <w:rFonts w:ascii="標楷體" w:eastAsia="標楷體"/>
      <w:kern w:val="2"/>
      <w:sz w:val="32"/>
    </w:rPr>
  </w:style>
  <w:style w:type="paragraph" w:styleId="aff2">
    <w:name w:val="annotation subject"/>
    <w:basedOn w:val="aff0"/>
    <w:next w:val="aff0"/>
    <w:link w:val="aff3"/>
    <w:uiPriority w:val="99"/>
    <w:semiHidden/>
    <w:unhideWhenUsed/>
    <w:rsid w:val="00324A1D"/>
    <w:rPr>
      <w:b/>
      <w:bCs/>
    </w:rPr>
  </w:style>
  <w:style w:type="character" w:customStyle="1" w:styleId="aff3">
    <w:name w:val="註解主旨 字元"/>
    <w:basedOn w:val="aff1"/>
    <w:link w:val="aff2"/>
    <w:uiPriority w:val="99"/>
    <w:semiHidden/>
    <w:rsid w:val="00324A1D"/>
    <w:rPr>
      <w:rFonts w:ascii="標楷體" w:eastAsia="標楷體"/>
      <w:b/>
      <w:bCs/>
      <w:kern w:val="2"/>
      <w:sz w:val="32"/>
    </w:rPr>
  </w:style>
  <w:style w:type="character" w:styleId="aff4">
    <w:name w:val="Unresolved Mention"/>
    <w:basedOn w:val="a7"/>
    <w:uiPriority w:val="99"/>
    <w:semiHidden/>
    <w:unhideWhenUsed/>
    <w:rsid w:val="009E1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3023">
      <w:bodyDiv w:val="1"/>
      <w:marLeft w:val="0"/>
      <w:marRight w:val="0"/>
      <w:marTop w:val="0"/>
      <w:marBottom w:val="0"/>
      <w:divBdr>
        <w:top w:val="none" w:sz="0" w:space="0" w:color="auto"/>
        <w:left w:val="none" w:sz="0" w:space="0" w:color="auto"/>
        <w:bottom w:val="none" w:sz="0" w:space="0" w:color="auto"/>
        <w:right w:val="none" w:sz="0" w:space="0" w:color="auto"/>
      </w:divBdr>
    </w:div>
    <w:div w:id="328362409">
      <w:bodyDiv w:val="1"/>
      <w:marLeft w:val="0"/>
      <w:marRight w:val="0"/>
      <w:marTop w:val="0"/>
      <w:marBottom w:val="0"/>
      <w:divBdr>
        <w:top w:val="none" w:sz="0" w:space="0" w:color="auto"/>
        <w:left w:val="none" w:sz="0" w:space="0" w:color="auto"/>
        <w:bottom w:val="none" w:sz="0" w:space="0" w:color="auto"/>
        <w:right w:val="none" w:sz="0" w:space="0" w:color="auto"/>
      </w:divBdr>
      <w:divsChild>
        <w:div w:id="724454549">
          <w:marLeft w:val="240"/>
          <w:marRight w:val="0"/>
          <w:marTop w:val="0"/>
          <w:marBottom w:val="120"/>
          <w:divBdr>
            <w:top w:val="none" w:sz="0" w:space="0" w:color="auto"/>
            <w:left w:val="none" w:sz="0" w:space="0" w:color="auto"/>
            <w:bottom w:val="none" w:sz="0" w:space="0" w:color="auto"/>
            <w:right w:val="none" w:sz="0" w:space="0" w:color="auto"/>
          </w:divBdr>
        </w:div>
        <w:div w:id="274294278">
          <w:marLeft w:val="720"/>
          <w:marRight w:val="0"/>
          <w:marTop w:val="0"/>
          <w:marBottom w:val="120"/>
          <w:divBdr>
            <w:top w:val="none" w:sz="0" w:space="0" w:color="auto"/>
            <w:left w:val="none" w:sz="0" w:space="0" w:color="auto"/>
            <w:bottom w:val="none" w:sz="0" w:space="0" w:color="auto"/>
            <w:right w:val="none" w:sz="0" w:space="0" w:color="auto"/>
          </w:divBdr>
        </w:div>
        <w:div w:id="640041228">
          <w:marLeft w:val="720"/>
          <w:marRight w:val="0"/>
          <w:marTop w:val="0"/>
          <w:marBottom w:val="120"/>
          <w:divBdr>
            <w:top w:val="none" w:sz="0" w:space="0" w:color="auto"/>
            <w:left w:val="none" w:sz="0" w:space="0" w:color="auto"/>
            <w:bottom w:val="none" w:sz="0" w:space="0" w:color="auto"/>
            <w:right w:val="none" w:sz="0" w:space="0" w:color="auto"/>
          </w:divBdr>
        </w:div>
        <w:div w:id="302470606">
          <w:marLeft w:val="240"/>
          <w:marRight w:val="0"/>
          <w:marTop w:val="0"/>
          <w:marBottom w:val="120"/>
          <w:divBdr>
            <w:top w:val="none" w:sz="0" w:space="0" w:color="auto"/>
            <w:left w:val="none" w:sz="0" w:space="0" w:color="auto"/>
            <w:bottom w:val="none" w:sz="0" w:space="0" w:color="auto"/>
            <w:right w:val="none" w:sz="0" w:space="0" w:color="auto"/>
          </w:divBdr>
        </w:div>
        <w:div w:id="1389063573">
          <w:marLeft w:val="240"/>
          <w:marRight w:val="0"/>
          <w:marTop w:val="0"/>
          <w:marBottom w:val="120"/>
          <w:divBdr>
            <w:top w:val="none" w:sz="0" w:space="0" w:color="auto"/>
            <w:left w:val="none" w:sz="0" w:space="0" w:color="auto"/>
            <w:bottom w:val="none" w:sz="0" w:space="0" w:color="auto"/>
            <w:right w:val="none" w:sz="0" w:space="0" w:color="auto"/>
          </w:divBdr>
        </w:div>
        <w:div w:id="108355135">
          <w:marLeft w:val="720"/>
          <w:marRight w:val="0"/>
          <w:marTop w:val="0"/>
          <w:marBottom w:val="120"/>
          <w:divBdr>
            <w:top w:val="none" w:sz="0" w:space="0" w:color="auto"/>
            <w:left w:val="none" w:sz="0" w:space="0" w:color="auto"/>
            <w:bottom w:val="none" w:sz="0" w:space="0" w:color="auto"/>
            <w:right w:val="none" w:sz="0" w:space="0" w:color="auto"/>
          </w:divBdr>
        </w:div>
        <w:div w:id="1051003951">
          <w:marLeft w:val="720"/>
          <w:marRight w:val="0"/>
          <w:marTop w:val="0"/>
          <w:marBottom w:val="120"/>
          <w:divBdr>
            <w:top w:val="none" w:sz="0" w:space="0" w:color="auto"/>
            <w:left w:val="none" w:sz="0" w:space="0" w:color="auto"/>
            <w:bottom w:val="none" w:sz="0" w:space="0" w:color="auto"/>
            <w:right w:val="none" w:sz="0" w:space="0" w:color="auto"/>
          </w:divBdr>
        </w:div>
        <w:div w:id="1772504808">
          <w:marLeft w:val="720"/>
          <w:marRight w:val="0"/>
          <w:marTop w:val="0"/>
          <w:marBottom w:val="120"/>
          <w:divBdr>
            <w:top w:val="none" w:sz="0" w:space="0" w:color="auto"/>
            <w:left w:val="none" w:sz="0" w:space="0" w:color="auto"/>
            <w:bottom w:val="none" w:sz="0" w:space="0" w:color="auto"/>
            <w:right w:val="none" w:sz="0" w:space="0" w:color="auto"/>
          </w:divBdr>
        </w:div>
        <w:div w:id="1516194289">
          <w:marLeft w:val="240"/>
          <w:marRight w:val="0"/>
          <w:marTop w:val="0"/>
          <w:marBottom w:val="120"/>
          <w:divBdr>
            <w:top w:val="none" w:sz="0" w:space="0" w:color="auto"/>
            <w:left w:val="none" w:sz="0" w:space="0" w:color="auto"/>
            <w:bottom w:val="none" w:sz="0" w:space="0" w:color="auto"/>
            <w:right w:val="none" w:sz="0" w:space="0" w:color="auto"/>
          </w:divBdr>
        </w:div>
        <w:div w:id="1335300705">
          <w:marLeft w:val="240"/>
          <w:marRight w:val="0"/>
          <w:marTop w:val="0"/>
          <w:marBottom w:val="120"/>
          <w:divBdr>
            <w:top w:val="none" w:sz="0" w:space="0" w:color="auto"/>
            <w:left w:val="none" w:sz="0" w:space="0" w:color="auto"/>
            <w:bottom w:val="none" w:sz="0" w:space="0" w:color="auto"/>
            <w:right w:val="none" w:sz="0" w:space="0" w:color="auto"/>
          </w:divBdr>
        </w:div>
        <w:div w:id="572929544">
          <w:marLeft w:val="240"/>
          <w:marRight w:val="0"/>
          <w:marTop w:val="0"/>
          <w:marBottom w:val="120"/>
          <w:divBdr>
            <w:top w:val="none" w:sz="0" w:space="0" w:color="auto"/>
            <w:left w:val="none" w:sz="0" w:space="0" w:color="auto"/>
            <w:bottom w:val="none" w:sz="0" w:space="0" w:color="auto"/>
            <w:right w:val="none" w:sz="0" w:space="0" w:color="auto"/>
          </w:divBdr>
        </w:div>
        <w:div w:id="1778057743">
          <w:marLeft w:val="240"/>
          <w:marRight w:val="0"/>
          <w:marTop w:val="0"/>
          <w:marBottom w:val="120"/>
          <w:divBdr>
            <w:top w:val="none" w:sz="0" w:space="0" w:color="auto"/>
            <w:left w:val="none" w:sz="0" w:space="0" w:color="auto"/>
            <w:bottom w:val="none" w:sz="0" w:space="0" w:color="auto"/>
            <w:right w:val="none" w:sz="0" w:space="0" w:color="auto"/>
          </w:divBdr>
        </w:div>
        <w:div w:id="141046694">
          <w:marLeft w:val="240"/>
          <w:marRight w:val="0"/>
          <w:marTop w:val="0"/>
          <w:marBottom w:val="120"/>
          <w:divBdr>
            <w:top w:val="none" w:sz="0" w:space="0" w:color="auto"/>
            <w:left w:val="none" w:sz="0" w:space="0" w:color="auto"/>
            <w:bottom w:val="none" w:sz="0" w:space="0" w:color="auto"/>
            <w:right w:val="none" w:sz="0" w:space="0" w:color="auto"/>
          </w:divBdr>
        </w:div>
        <w:div w:id="176505712">
          <w:marLeft w:val="720"/>
          <w:marRight w:val="0"/>
          <w:marTop w:val="0"/>
          <w:marBottom w:val="120"/>
          <w:divBdr>
            <w:top w:val="none" w:sz="0" w:space="0" w:color="auto"/>
            <w:left w:val="none" w:sz="0" w:space="0" w:color="auto"/>
            <w:bottom w:val="none" w:sz="0" w:space="0" w:color="auto"/>
            <w:right w:val="none" w:sz="0" w:space="0" w:color="auto"/>
          </w:divBdr>
        </w:div>
        <w:div w:id="1204446506">
          <w:marLeft w:val="720"/>
          <w:marRight w:val="0"/>
          <w:marTop w:val="0"/>
          <w:marBottom w:val="120"/>
          <w:divBdr>
            <w:top w:val="none" w:sz="0" w:space="0" w:color="auto"/>
            <w:left w:val="none" w:sz="0" w:space="0" w:color="auto"/>
            <w:bottom w:val="none" w:sz="0" w:space="0" w:color="auto"/>
            <w:right w:val="none" w:sz="0" w:space="0" w:color="auto"/>
          </w:divBdr>
        </w:div>
      </w:divsChild>
    </w:div>
    <w:div w:id="403182782">
      <w:bodyDiv w:val="1"/>
      <w:marLeft w:val="0"/>
      <w:marRight w:val="0"/>
      <w:marTop w:val="0"/>
      <w:marBottom w:val="0"/>
      <w:divBdr>
        <w:top w:val="none" w:sz="0" w:space="0" w:color="auto"/>
        <w:left w:val="none" w:sz="0" w:space="0" w:color="auto"/>
        <w:bottom w:val="none" w:sz="0" w:space="0" w:color="auto"/>
        <w:right w:val="none" w:sz="0" w:space="0" w:color="auto"/>
      </w:divBdr>
    </w:div>
    <w:div w:id="405764597">
      <w:bodyDiv w:val="1"/>
      <w:marLeft w:val="0"/>
      <w:marRight w:val="0"/>
      <w:marTop w:val="0"/>
      <w:marBottom w:val="0"/>
      <w:divBdr>
        <w:top w:val="none" w:sz="0" w:space="0" w:color="auto"/>
        <w:left w:val="none" w:sz="0" w:space="0" w:color="auto"/>
        <w:bottom w:val="none" w:sz="0" w:space="0" w:color="auto"/>
        <w:right w:val="none" w:sz="0" w:space="0" w:color="auto"/>
      </w:divBdr>
    </w:div>
    <w:div w:id="432438811">
      <w:bodyDiv w:val="1"/>
      <w:marLeft w:val="0"/>
      <w:marRight w:val="0"/>
      <w:marTop w:val="0"/>
      <w:marBottom w:val="0"/>
      <w:divBdr>
        <w:top w:val="none" w:sz="0" w:space="0" w:color="auto"/>
        <w:left w:val="none" w:sz="0" w:space="0" w:color="auto"/>
        <w:bottom w:val="none" w:sz="0" w:space="0" w:color="auto"/>
        <w:right w:val="none" w:sz="0" w:space="0" w:color="auto"/>
      </w:divBdr>
    </w:div>
    <w:div w:id="456334088">
      <w:bodyDiv w:val="1"/>
      <w:marLeft w:val="0"/>
      <w:marRight w:val="0"/>
      <w:marTop w:val="0"/>
      <w:marBottom w:val="0"/>
      <w:divBdr>
        <w:top w:val="none" w:sz="0" w:space="0" w:color="auto"/>
        <w:left w:val="none" w:sz="0" w:space="0" w:color="auto"/>
        <w:bottom w:val="none" w:sz="0" w:space="0" w:color="auto"/>
        <w:right w:val="none" w:sz="0" w:space="0" w:color="auto"/>
      </w:divBdr>
    </w:div>
    <w:div w:id="475993165">
      <w:bodyDiv w:val="1"/>
      <w:marLeft w:val="0"/>
      <w:marRight w:val="0"/>
      <w:marTop w:val="0"/>
      <w:marBottom w:val="0"/>
      <w:divBdr>
        <w:top w:val="none" w:sz="0" w:space="0" w:color="auto"/>
        <w:left w:val="none" w:sz="0" w:space="0" w:color="auto"/>
        <w:bottom w:val="none" w:sz="0" w:space="0" w:color="auto"/>
        <w:right w:val="none" w:sz="0" w:space="0" w:color="auto"/>
      </w:divBdr>
    </w:div>
    <w:div w:id="55315400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02381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5122653">
      <w:bodyDiv w:val="1"/>
      <w:marLeft w:val="0"/>
      <w:marRight w:val="0"/>
      <w:marTop w:val="0"/>
      <w:marBottom w:val="0"/>
      <w:divBdr>
        <w:top w:val="none" w:sz="0" w:space="0" w:color="auto"/>
        <w:left w:val="none" w:sz="0" w:space="0" w:color="auto"/>
        <w:bottom w:val="none" w:sz="0" w:space="0" w:color="auto"/>
        <w:right w:val="none" w:sz="0" w:space="0" w:color="auto"/>
      </w:divBdr>
    </w:div>
    <w:div w:id="953445959">
      <w:bodyDiv w:val="1"/>
      <w:marLeft w:val="0"/>
      <w:marRight w:val="0"/>
      <w:marTop w:val="0"/>
      <w:marBottom w:val="0"/>
      <w:divBdr>
        <w:top w:val="none" w:sz="0" w:space="0" w:color="auto"/>
        <w:left w:val="none" w:sz="0" w:space="0" w:color="auto"/>
        <w:bottom w:val="none" w:sz="0" w:space="0" w:color="auto"/>
        <w:right w:val="none" w:sz="0" w:space="0" w:color="auto"/>
      </w:divBdr>
    </w:div>
    <w:div w:id="1046639388">
      <w:bodyDiv w:val="1"/>
      <w:marLeft w:val="0"/>
      <w:marRight w:val="0"/>
      <w:marTop w:val="0"/>
      <w:marBottom w:val="0"/>
      <w:divBdr>
        <w:top w:val="none" w:sz="0" w:space="0" w:color="auto"/>
        <w:left w:val="none" w:sz="0" w:space="0" w:color="auto"/>
        <w:bottom w:val="none" w:sz="0" w:space="0" w:color="auto"/>
        <w:right w:val="none" w:sz="0" w:space="0" w:color="auto"/>
      </w:divBdr>
    </w:div>
    <w:div w:id="1069885713">
      <w:bodyDiv w:val="1"/>
      <w:marLeft w:val="0"/>
      <w:marRight w:val="0"/>
      <w:marTop w:val="0"/>
      <w:marBottom w:val="0"/>
      <w:divBdr>
        <w:top w:val="none" w:sz="0" w:space="0" w:color="auto"/>
        <w:left w:val="none" w:sz="0" w:space="0" w:color="auto"/>
        <w:bottom w:val="none" w:sz="0" w:space="0" w:color="auto"/>
        <w:right w:val="none" w:sz="0" w:space="0" w:color="auto"/>
      </w:divBdr>
    </w:div>
    <w:div w:id="1256129282">
      <w:bodyDiv w:val="1"/>
      <w:marLeft w:val="0"/>
      <w:marRight w:val="0"/>
      <w:marTop w:val="0"/>
      <w:marBottom w:val="0"/>
      <w:divBdr>
        <w:top w:val="none" w:sz="0" w:space="0" w:color="auto"/>
        <w:left w:val="none" w:sz="0" w:space="0" w:color="auto"/>
        <w:bottom w:val="none" w:sz="0" w:space="0" w:color="auto"/>
        <w:right w:val="none" w:sz="0" w:space="0" w:color="auto"/>
      </w:divBdr>
    </w:div>
    <w:div w:id="1675719508">
      <w:bodyDiv w:val="1"/>
      <w:marLeft w:val="0"/>
      <w:marRight w:val="0"/>
      <w:marTop w:val="0"/>
      <w:marBottom w:val="0"/>
      <w:divBdr>
        <w:top w:val="none" w:sz="0" w:space="0" w:color="auto"/>
        <w:left w:val="none" w:sz="0" w:space="0" w:color="auto"/>
        <w:bottom w:val="none" w:sz="0" w:space="0" w:color="auto"/>
        <w:right w:val="none" w:sz="0" w:space="0" w:color="auto"/>
      </w:divBdr>
    </w:div>
    <w:div w:id="1737971242">
      <w:bodyDiv w:val="1"/>
      <w:marLeft w:val="0"/>
      <w:marRight w:val="0"/>
      <w:marTop w:val="0"/>
      <w:marBottom w:val="0"/>
      <w:divBdr>
        <w:top w:val="none" w:sz="0" w:space="0" w:color="auto"/>
        <w:left w:val="none" w:sz="0" w:space="0" w:color="auto"/>
        <w:bottom w:val="none" w:sz="0" w:space="0" w:color="auto"/>
        <w:right w:val="none" w:sz="0" w:space="0" w:color="auto"/>
      </w:divBdr>
    </w:div>
    <w:div w:id="1747073414">
      <w:bodyDiv w:val="1"/>
      <w:marLeft w:val="0"/>
      <w:marRight w:val="0"/>
      <w:marTop w:val="0"/>
      <w:marBottom w:val="0"/>
      <w:divBdr>
        <w:top w:val="none" w:sz="0" w:space="0" w:color="auto"/>
        <w:left w:val="none" w:sz="0" w:space="0" w:color="auto"/>
        <w:bottom w:val="none" w:sz="0" w:space="0" w:color="auto"/>
        <w:right w:val="none" w:sz="0" w:space="0" w:color="auto"/>
      </w:divBdr>
    </w:div>
    <w:div w:id="1817606100">
      <w:bodyDiv w:val="1"/>
      <w:marLeft w:val="0"/>
      <w:marRight w:val="0"/>
      <w:marTop w:val="0"/>
      <w:marBottom w:val="0"/>
      <w:divBdr>
        <w:top w:val="none" w:sz="0" w:space="0" w:color="auto"/>
        <w:left w:val="none" w:sz="0" w:space="0" w:color="auto"/>
        <w:bottom w:val="none" w:sz="0" w:space="0" w:color="auto"/>
        <w:right w:val="none" w:sz="0" w:space="0" w:color="auto"/>
      </w:divBdr>
    </w:div>
    <w:div w:id="18489048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s.mol.gov.tw/FLAW/FLAWDAT01.aspx?id=FL0151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1F2FB-F365-4E8C-8256-C6D34D87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2242</Words>
  <Characters>12781</Characters>
  <Application>Microsoft Office Word</Application>
  <DocSecurity>0</DocSecurity>
  <Lines>106</Lines>
  <Paragraphs>29</Paragraphs>
  <ScaleCrop>false</ScaleCrop>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2025-11-18T01:36:00Z</dcterms:created>
  <dcterms:modified xsi:type="dcterms:W3CDTF">2025-11-18T01:36:00Z</dcterms:modified>
  <cp:contentStatus/>
</cp:coreProperties>
</file>