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9"/>
        <w:gridCol w:w="9919"/>
        <w:gridCol w:w="3415"/>
      </w:tblGrid>
      <w:tr w:rsidR="00FF343B" w14:paraId="70AAD78D" w14:textId="77777777" w:rsidTr="00605E93">
        <w:trPr>
          <w:tblHeader/>
        </w:trPr>
        <w:tc>
          <w:tcPr>
            <w:tcW w:w="545" w:type="dxa"/>
            <w:vAlign w:val="center"/>
          </w:tcPr>
          <w:p w14:paraId="1E316E88" w14:textId="77777777" w:rsidR="00FF343B" w:rsidRDefault="00FF343B">
            <w:pPr>
              <w:snapToGrid w:val="0"/>
              <w:spacing w:line="3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案號</w:t>
            </w:r>
          </w:p>
        </w:tc>
        <w:tc>
          <w:tcPr>
            <w:tcW w:w="5762" w:type="dxa"/>
            <w:vAlign w:val="center"/>
          </w:tcPr>
          <w:p w14:paraId="696A0B67" w14:textId="77777777" w:rsidR="00FF343B" w:rsidRDefault="00FF343B">
            <w:pPr>
              <w:snapToGrid w:val="0"/>
              <w:spacing w:line="340" w:lineRule="atLeast"/>
              <w:jc w:val="center"/>
              <w:rPr>
                <w:rFonts w:eastAsia="標楷體"/>
                <w:b/>
                <w:spacing w:val="60"/>
              </w:rPr>
            </w:pPr>
            <w:r>
              <w:rPr>
                <w:rFonts w:eastAsia="標楷體" w:hint="eastAsia"/>
                <w:b/>
                <w:spacing w:val="60"/>
              </w:rPr>
              <w:t>機關改善與處置情形</w:t>
            </w:r>
          </w:p>
        </w:tc>
        <w:tc>
          <w:tcPr>
            <w:tcW w:w="1984" w:type="dxa"/>
            <w:vAlign w:val="center"/>
          </w:tcPr>
          <w:p w14:paraId="244470DF" w14:textId="77777777" w:rsidR="00FF343B" w:rsidRDefault="00FF343B">
            <w:pPr>
              <w:snapToGrid w:val="0"/>
              <w:spacing w:line="3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結案情形</w:t>
            </w:r>
          </w:p>
        </w:tc>
      </w:tr>
      <w:tr w:rsidR="00FF343B" w:rsidRPr="00203463" w14:paraId="1BBD414F" w14:textId="77777777" w:rsidTr="00605E93">
        <w:trPr>
          <w:trHeight w:val="468"/>
        </w:trPr>
        <w:tc>
          <w:tcPr>
            <w:tcW w:w="545" w:type="dxa"/>
            <w:vAlign w:val="center"/>
          </w:tcPr>
          <w:p w14:paraId="651C336E" w14:textId="77777777" w:rsidR="00FF343B" w:rsidRDefault="007336A7" w:rsidP="00720393">
            <w:pPr>
              <w:spacing w:line="360" w:lineRule="atLeast"/>
              <w:ind w:leftChars="50" w:left="120" w:rightChars="50" w:right="120"/>
              <w:jc w:val="center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  <w:szCs w:val="28"/>
              </w:rPr>
              <w:t>114</w:t>
            </w:r>
            <w:r>
              <w:rPr>
                <w:rFonts w:eastAsia="標楷體" w:hint="eastAsia"/>
                <w:bCs/>
                <w:szCs w:val="28"/>
              </w:rPr>
              <w:t>社調</w:t>
            </w:r>
            <w:r>
              <w:rPr>
                <w:rFonts w:eastAsia="標楷體" w:hint="eastAsia"/>
                <w:bCs/>
                <w:szCs w:val="28"/>
              </w:rPr>
              <w:t>0001</w:t>
            </w:r>
          </w:p>
        </w:tc>
        <w:tc>
          <w:tcPr>
            <w:tcW w:w="5762" w:type="dxa"/>
          </w:tcPr>
          <w:p w14:paraId="05EE02DE" w14:textId="77777777" w:rsidR="00FF343B" w:rsidRPr="0078237E" w:rsidRDefault="007336A7" w:rsidP="00440949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◆產生行政變革績效</w:t>
            </w:r>
          </w:p>
          <w:p w14:paraId="16F0B473" w14:textId="77777777" w:rsidR="00FF343B" w:rsidRPr="0078237E" w:rsidRDefault="007336A7" w:rsidP="001C1261">
            <w:pPr>
              <w:spacing w:line="360" w:lineRule="atLeast"/>
              <w:ind w:left="158" w:hangingChars="66" w:hanging="158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1.</w:t>
            </w:r>
            <w:r>
              <w:rPr>
                <w:rFonts w:eastAsia="標楷體" w:hint="eastAsia"/>
                <w:bCs/>
              </w:rPr>
              <w:t>臺北市政府衛生局業修正《食品中毒事件通報、調查、採樣及送驗作業程序書》，如有死亡、收治加護病房、休克、昏迷、麻痺、語言及吞嚥困難等情形，立即擴大</w:t>
            </w:r>
            <w:proofErr w:type="gramStart"/>
            <w:r>
              <w:rPr>
                <w:rFonts w:eastAsia="標楷體" w:hint="eastAsia"/>
                <w:bCs/>
              </w:rPr>
              <w:t>採</w:t>
            </w:r>
            <w:proofErr w:type="gramEnd"/>
            <w:r>
              <w:rPr>
                <w:rFonts w:eastAsia="標楷體" w:hint="eastAsia"/>
                <w:bCs/>
              </w:rPr>
              <w:t>檢食品業者製造場所之使用食品、原料或相同來源之食品（如尚未烹煮之涉嫌食品、食材、配料、調味料等），以利重大食品中毒案件病因物質及原因食品之判明。</w:t>
            </w:r>
            <w:r>
              <w:rPr>
                <w:rFonts w:eastAsia="標楷體" w:hint="eastAsia"/>
                <w:bCs/>
              </w:rPr>
              <w:t xml:space="preserve"> </w:t>
            </w:r>
          </w:p>
          <w:p w14:paraId="2B47634A" w14:textId="77777777" w:rsidR="00FF343B" w:rsidRPr="0078237E" w:rsidRDefault="007336A7" w:rsidP="001C1261">
            <w:pPr>
              <w:spacing w:line="360" w:lineRule="atLeast"/>
              <w:ind w:left="158" w:hangingChars="66" w:hanging="158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2.</w:t>
            </w:r>
            <w:r>
              <w:rPr>
                <w:rFonts w:eastAsia="標楷體" w:hint="eastAsia"/>
                <w:bCs/>
              </w:rPr>
              <w:t>為精進衛生稽查人力，該府衛生局</w:t>
            </w:r>
            <w:r>
              <w:rPr>
                <w:rFonts w:eastAsia="標楷體" w:hint="eastAsia"/>
                <w:bCs/>
              </w:rPr>
              <w:t>114</w:t>
            </w:r>
            <w:r>
              <w:rPr>
                <w:rFonts w:eastAsia="標楷體" w:hint="eastAsia"/>
                <w:bCs/>
              </w:rPr>
              <w:t>年</w:t>
            </w:r>
            <w:r>
              <w:rPr>
                <w:rFonts w:eastAsia="標楷體" w:hint="eastAsia"/>
                <w:bCs/>
              </w:rPr>
              <w:t>3</w:t>
            </w:r>
            <w:r>
              <w:rPr>
                <w:rFonts w:eastAsia="標楷體" w:hint="eastAsia"/>
                <w:bCs/>
              </w:rPr>
              <w:t>月已辦理第一期「衛生稽查實務研習班」，課程內容包括：「食品抽驗業務工作重點及注意事項（含疑似食品中毒案件處辦）」、「食品衛生稽查業務工作重點及注意事項」等。</w:t>
            </w:r>
            <w:r>
              <w:rPr>
                <w:rFonts w:eastAsia="標楷體" w:hint="eastAsia"/>
                <w:bCs/>
              </w:rPr>
              <w:t xml:space="preserve"> </w:t>
            </w:r>
          </w:p>
          <w:p w14:paraId="6CB8DA9B" w14:textId="77777777" w:rsidR="00FF343B" w:rsidRPr="0078237E" w:rsidRDefault="007336A7" w:rsidP="001C1261">
            <w:pPr>
              <w:spacing w:line="360" w:lineRule="atLeast"/>
              <w:ind w:left="158" w:hangingChars="66" w:hanging="158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3.</w:t>
            </w:r>
            <w:r>
              <w:rPr>
                <w:rFonts w:eastAsia="標楷體" w:hint="eastAsia"/>
                <w:bCs/>
              </w:rPr>
              <w:t>食藥署「疑似食品中毒事件處理及採樣操作手冊」中增列食品中毒案件業者暫停作業共通性原則，供地方政府衛生局執行依循，該手冊業於</w:t>
            </w:r>
            <w:r>
              <w:rPr>
                <w:rFonts w:eastAsia="標楷體" w:hint="eastAsia"/>
                <w:bCs/>
              </w:rPr>
              <w:t>114</w:t>
            </w:r>
            <w:r>
              <w:rPr>
                <w:rFonts w:eastAsia="標楷體" w:hint="eastAsia"/>
                <w:bCs/>
              </w:rPr>
              <w:t>年</w:t>
            </w:r>
            <w:r>
              <w:rPr>
                <w:rFonts w:eastAsia="標楷體" w:hint="eastAsia"/>
                <w:bCs/>
              </w:rPr>
              <w:t>7</w:t>
            </w:r>
            <w:r>
              <w:rPr>
                <w:rFonts w:eastAsia="標楷體" w:hint="eastAsia"/>
                <w:bCs/>
              </w:rPr>
              <w:t>月</w:t>
            </w:r>
            <w:r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</w:rPr>
              <w:t>日函送各地方政府衛生局及相關單位。</w:t>
            </w:r>
            <w:r>
              <w:rPr>
                <w:rFonts w:eastAsia="標楷體" w:hint="eastAsia"/>
                <w:bCs/>
              </w:rPr>
              <w:t xml:space="preserve"> </w:t>
            </w:r>
          </w:p>
          <w:p w14:paraId="0AA76C84" w14:textId="77777777" w:rsidR="00FF343B" w:rsidRPr="0078237E" w:rsidRDefault="007336A7" w:rsidP="001C1261">
            <w:pPr>
              <w:spacing w:line="360" w:lineRule="atLeast"/>
              <w:ind w:left="158" w:hangingChars="66" w:hanging="158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4.</w:t>
            </w:r>
            <w:r>
              <w:rPr>
                <w:rFonts w:eastAsia="標楷體" w:hint="eastAsia"/>
                <w:bCs/>
              </w:rPr>
              <w:t>食藥署要求業者至非登不可系統登載投保資料，截至</w:t>
            </w:r>
            <w:r>
              <w:rPr>
                <w:rFonts w:eastAsia="標楷體" w:hint="eastAsia"/>
                <w:bCs/>
              </w:rPr>
              <w:t>114</w:t>
            </w:r>
            <w:r>
              <w:rPr>
                <w:rFonts w:eastAsia="標楷體" w:hint="eastAsia"/>
                <w:bCs/>
              </w:rPr>
              <w:t>年</w:t>
            </w:r>
            <w:r>
              <w:rPr>
                <w:rFonts w:eastAsia="標楷體" w:hint="eastAsia"/>
                <w:bCs/>
              </w:rPr>
              <w:t>7</w:t>
            </w:r>
            <w:r>
              <w:rPr>
                <w:rFonts w:eastAsia="標楷體" w:hint="eastAsia"/>
                <w:bCs/>
              </w:rPr>
              <w:t>月</w:t>
            </w:r>
            <w:r>
              <w:rPr>
                <w:rFonts w:eastAsia="標楷體" w:hint="eastAsia"/>
                <w:bCs/>
              </w:rPr>
              <w:t>7</w:t>
            </w:r>
            <w:r>
              <w:rPr>
                <w:rFonts w:eastAsia="標楷體" w:hint="eastAsia"/>
                <w:bCs/>
              </w:rPr>
              <w:t>日止，依「食品業者應投保產品責任保險」規定應投保之餐飲業者至非登不可系統填報投保到期日者比率達</w:t>
            </w:r>
            <w:r>
              <w:rPr>
                <w:rFonts w:eastAsia="標楷體" w:hint="eastAsia"/>
                <w:bCs/>
              </w:rPr>
              <w:t>91.4%</w:t>
            </w:r>
            <w:r>
              <w:rPr>
                <w:rFonts w:eastAsia="標楷體" w:hint="eastAsia"/>
                <w:bCs/>
              </w:rPr>
              <w:t>，已上傳投保證明者比率達</w:t>
            </w:r>
            <w:r>
              <w:rPr>
                <w:rFonts w:eastAsia="標楷體" w:hint="eastAsia"/>
                <w:bCs/>
              </w:rPr>
              <w:t>92.3%</w:t>
            </w:r>
            <w:r>
              <w:rPr>
                <w:rFonts w:eastAsia="標楷體" w:hint="eastAsia"/>
                <w:bCs/>
              </w:rPr>
              <w:t>。</w:t>
            </w:r>
          </w:p>
          <w:p w14:paraId="53FAAF56" w14:textId="77777777" w:rsidR="00FF343B" w:rsidRPr="0078237E" w:rsidRDefault="007336A7" w:rsidP="00440949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◆促成法令增修績效</w:t>
            </w:r>
          </w:p>
          <w:p w14:paraId="53255699" w14:textId="77777777" w:rsidR="00FF343B" w:rsidRPr="0078237E" w:rsidRDefault="007336A7" w:rsidP="00440949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衛福部</w:t>
            </w:r>
            <w:r>
              <w:rPr>
                <w:rFonts w:eastAsia="標楷體" w:hint="eastAsia"/>
                <w:bCs/>
              </w:rPr>
              <w:t>114</w:t>
            </w:r>
            <w:r>
              <w:rPr>
                <w:rFonts w:eastAsia="標楷體" w:hint="eastAsia"/>
                <w:bCs/>
              </w:rPr>
              <w:t>年</w:t>
            </w:r>
            <w:r>
              <w:rPr>
                <w:rFonts w:eastAsia="標楷體" w:hint="eastAsia"/>
                <w:bCs/>
              </w:rPr>
              <w:t>6</w:t>
            </w:r>
            <w:r>
              <w:rPr>
                <w:rFonts w:eastAsia="標楷體" w:hint="eastAsia"/>
                <w:bCs/>
              </w:rPr>
              <w:t>月</w:t>
            </w:r>
            <w:r>
              <w:rPr>
                <w:rFonts w:eastAsia="標楷體" w:hint="eastAsia"/>
                <w:bCs/>
              </w:rPr>
              <w:t>4</w:t>
            </w:r>
            <w:r>
              <w:rPr>
                <w:rFonts w:eastAsia="標楷體" w:hint="eastAsia"/>
                <w:bCs/>
              </w:rPr>
              <w:t>日發布修正食品良好衛生規範準則，規定「新進食品從業人員應經至少</w:t>
            </w:r>
            <w:r>
              <w:rPr>
                <w:rFonts w:eastAsia="標楷體" w:hint="eastAsia"/>
                <w:bCs/>
              </w:rPr>
              <w:t>3</w:t>
            </w:r>
            <w:r>
              <w:rPr>
                <w:rFonts w:eastAsia="標楷體" w:hint="eastAsia"/>
                <w:bCs/>
              </w:rPr>
              <w:t>小時教育訓練，並作成紀錄；在職食品從業人員，除法令另有規定外，定期接受食品業者自行、衛生主管機關或其認可之機構辦理之食品安全、衛生及品質管理教育訓練，每年至少</w:t>
            </w:r>
            <w:r>
              <w:rPr>
                <w:rFonts w:eastAsia="標楷體" w:hint="eastAsia"/>
                <w:bCs/>
              </w:rPr>
              <w:t>3</w:t>
            </w:r>
            <w:r>
              <w:rPr>
                <w:rFonts w:eastAsia="標楷體" w:hint="eastAsia"/>
                <w:bCs/>
              </w:rPr>
              <w:t>小時，並作成紀錄。」擴大非屬專門職業人員或技術證照等人員之教育訓練量能。</w:t>
            </w:r>
          </w:p>
          <w:p w14:paraId="5A781C0C" w14:textId="77777777" w:rsidR="00FF343B" w:rsidRPr="0078237E" w:rsidRDefault="007336A7" w:rsidP="00440949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◆其他績效</w:t>
            </w:r>
          </w:p>
          <w:p w14:paraId="38B675A7" w14:textId="3C01F842" w:rsidR="00FF343B" w:rsidRPr="0078237E" w:rsidRDefault="007336A7" w:rsidP="006C01B8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eastAsia="標楷體" w:hint="eastAsia"/>
                <w:bCs/>
              </w:rPr>
              <w:t>針對消基會申請補助本案受害人團體訴訟相關費用一案，業經食品安全保護基金運用管理監督小組</w:t>
            </w:r>
            <w:r>
              <w:rPr>
                <w:rFonts w:eastAsia="標楷體" w:hint="eastAsia"/>
                <w:bCs/>
              </w:rPr>
              <w:t>114</w:t>
            </w:r>
            <w:r>
              <w:rPr>
                <w:rFonts w:eastAsia="標楷體" w:hint="eastAsia"/>
                <w:bCs/>
              </w:rPr>
              <w:t>年第</w:t>
            </w:r>
            <w:r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</w:rPr>
              <w:t>次會議審查決議，核定補助</w:t>
            </w:r>
            <w:r>
              <w:rPr>
                <w:rFonts w:eastAsia="標楷體" w:hint="eastAsia"/>
                <w:bCs/>
              </w:rPr>
              <w:t>100</w:t>
            </w:r>
            <w:r>
              <w:rPr>
                <w:rFonts w:eastAsia="標楷體" w:hint="eastAsia"/>
                <w:bCs/>
              </w:rPr>
              <w:t>萬元，以救濟保護食品安全事件受害者。</w:t>
            </w:r>
            <w:r>
              <w:rPr>
                <w:rFonts w:eastAsia="標楷體" w:hint="eastAsia"/>
                <w:bCs/>
              </w:rPr>
              <w:t xml:space="preserve"> </w:t>
            </w:r>
          </w:p>
        </w:tc>
        <w:tc>
          <w:tcPr>
            <w:tcW w:w="1984" w:type="dxa"/>
          </w:tcPr>
          <w:p w14:paraId="4ACC53F2" w14:textId="77777777" w:rsidR="00FF343B" w:rsidRDefault="007336A7" w:rsidP="00FD1947">
            <w:pPr>
              <w:spacing w:line="360" w:lineRule="atLeast"/>
              <w:jc w:val="both"/>
              <w:rPr>
                <w:rFonts w:eastAsia="標楷體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社會福利及衛生環境委員會114.08.20第6屆第49次會議決議 : 結案存查。</w:t>
            </w:r>
          </w:p>
        </w:tc>
      </w:tr>
    </w:tbl>
    <w:p w14:paraId="467F37BC" w14:textId="5403F3B3" w:rsidR="008E6A2A" w:rsidRPr="006C01B8" w:rsidRDefault="008E6A2A" w:rsidP="000E074E">
      <w:pPr>
        <w:snapToGrid w:val="0"/>
        <w:spacing w:beforeLines="100" w:before="360" w:line="240" w:lineRule="atLeast"/>
        <w:ind w:leftChars="6" w:left="866" w:hangingChars="304" w:hanging="852"/>
        <w:rPr>
          <w:rFonts w:eastAsia="標楷體"/>
          <w:b/>
          <w:bCs/>
          <w:sz w:val="28"/>
        </w:rPr>
      </w:pPr>
    </w:p>
    <w:sectPr w:rsidR="008E6A2A" w:rsidRPr="006C01B8" w:rsidSect="006C01B8">
      <w:headerReference w:type="default" r:id="rId7"/>
      <w:footerReference w:type="even" r:id="rId8"/>
      <w:footerReference w:type="default" r:id="rId9"/>
      <w:pgSz w:w="16840" w:h="11907" w:orient="landscape" w:code="9"/>
      <w:pgMar w:top="567" w:right="1418" w:bottom="567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7F02B" w14:textId="77777777" w:rsidR="001D09FF" w:rsidRDefault="001D09FF" w:rsidP="008E6A2A">
      <w:r>
        <w:separator/>
      </w:r>
    </w:p>
  </w:endnote>
  <w:endnote w:type="continuationSeparator" w:id="0">
    <w:p w14:paraId="5DD953C0" w14:textId="77777777" w:rsidR="001D09FF" w:rsidRDefault="001D09FF" w:rsidP="008E6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1B27" w14:textId="77777777" w:rsidR="008E6A2A" w:rsidRDefault="004549BA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E6A2A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C339FE1" w14:textId="77777777" w:rsidR="008E6A2A" w:rsidRDefault="008E6A2A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69C44" w14:textId="59494548" w:rsidR="008E6A2A" w:rsidRPr="00530BF4" w:rsidRDefault="008E6A2A" w:rsidP="00530BF4">
    <w:pPr>
      <w:pStyle w:val="a9"/>
      <w:tabs>
        <w:tab w:val="clear" w:pos="4153"/>
        <w:tab w:val="clear" w:pos="8306"/>
        <w:tab w:val="center" w:pos="7002"/>
        <w:tab w:val="right" w:pos="14004"/>
      </w:tabs>
      <w:ind w:right="360"/>
      <w:rPr>
        <w:rFonts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0C268" w14:textId="77777777" w:rsidR="001D09FF" w:rsidRDefault="001D09FF" w:rsidP="008E6A2A">
      <w:r>
        <w:separator/>
      </w:r>
    </w:p>
  </w:footnote>
  <w:footnote w:type="continuationSeparator" w:id="0">
    <w:p w14:paraId="4B24FFB7" w14:textId="77777777" w:rsidR="001D09FF" w:rsidRDefault="001D09FF" w:rsidP="008E6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5E9A7" w14:textId="77777777" w:rsidR="00BF6519" w:rsidRDefault="008E6A2A" w:rsidP="002551AA">
    <w:pPr>
      <w:pStyle w:val="ab"/>
      <w:spacing w:beforeLines="120" w:before="288"/>
      <w:jc w:val="center"/>
      <w:rPr>
        <w:rFonts w:eastAsia="標楷體"/>
        <w:b/>
        <w:bCs/>
        <w:sz w:val="40"/>
      </w:rPr>
    </w:pPr>
    <w:bookmarkStart w:id="0" w:name="OLE_LINK1"/>
    <w:r>
      <w:rPr>
        <w:rFonts w:eastAsia="標楷體" w:hint="eastAsia"/>
        <w:b/>
        <w:bCs/>
        <w:sz w:val="40"/>
      </w:rPr>
      <w:t>監察院社會福利及衛生環境委員會調查報告結案情形一覽表</w:t>
    </w:r>
  </w:p>
  <w:bookmarkEnd w:id="0"/>
  <w:p w14:paraId="03E176FA" w14:textId="77777777" w:rsidR="008E6A2A" w:rsidRPr="00BF6519" w:rsidRDefault="008E6A2A" w:rsidP="002551AA">
    <w:pPr>
      <w:pStyle w:val="ab"/>
      <w:spacing w:beforeLines="120" w:before="288" w:line="240" w:lineRule="exact"/>
      <w:jc w:val="right"/>
      <w:rPr>
        <w:rFonts w:ascii="標楷體" w:eastAsia="標楷體" w:hAnsi="標楷體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13CA"/>
    <w:multiLevelType w:val="hybridMultilevel"/>
    <w:tmpl w:val="9EF81C50"/>
    <w:lvl w:ilvl="0" w:tplc="82126094">
      <w:start w:val="1"/>
      <w:numFmt w:val="decimal"/>
      <w:lvlText w:val="%1."/>
      <w:lvlJc w:val="left"/>
      <w:pPr>
        <w:tabs>
          <w:tab w:val="num" w:pos="2120"/>
        </w:tabs>
        <w:ind w:left="2120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1" w15:restartNumberingAfterBreak="0">
    <w:nsid w:val="048B68F4"/>
    <w:multiLevelType w:val="hybridMultilevel"/>
    <w:tmpl w:val="E60AB688"/>
    <w:lvl w:ilvl="0" w:tplc="43E8AD3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7742D7"/>
    <w:multiLevelType w:val="hybridMultilevel"/>
    <w:tmpl w:val="237E18CA"/>
    <w:lvl w:ilvl="0" w:tplc="4704EB76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B56071"/>
    <w:multiLevelType w:val="hybridMultilevel"/>
    <w:tmpl w:val="376EDB6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0F8469A8"/>
    <w:multiLevelType w:val="hybridMultilevel"/>
    <w:tmpl w:val="1D1C2A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0E010C"/>
    <w:multiLevelType w:val="multilevel"/>
    <w:tmpl w:val="F4CCF220"/>
    <w:lvl w:ilvl="0">
      <w:start w:val="1"/>
      <w:numFmt w:val="ideographLegalTraditional"/>
      <w:pStyle w:val="1"/>
      <w:suff w:val="nothing"/>
      <w:lvlText w:val="%1、"/>
      <w:lvlJc w:val="left"/>
      <w:pPr>
        <w:ind w:left="699" w:hanging="699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1045" w:hanging="697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  <w:em w:val="none"/>
      </w:rPr>
    </w:lvl>
    <w:lvl w:ilvl="2">
      <w:start w:val="1"/>
      <w:numFmt w:val="taiwaneseCountingThousand"/>
      <w:pStyle w:val="3"/>
      <w:suff w:val="nothing"/>
      <w:lvlText w:val="(%3)"/>
      <w:lvlJc w:val="left"/>
      <w:pPr>
        <w:ind w:left="1393" w:hanging="697"/>
      </w:pPr>
      <w:rPr>
        <w:rFonts w:ascii="標楷體" w:eastAsia="標楷體" w:hint="eastAsia"/>
        <w:b w:val="0"/>
        <w:i w:val="0"/>
        <w:spacing w:val="0"/>
        <w:w w:val="100"/>
        <w:position w:val="0"/>
        <w:sz w:val="32"/>
      </w:rPr>
    </w:lvl>
    <w:lvl w:ilvl="3">
      <w:start w:val="1"/>
      <w:numFmt w:val="decimalFullWidth"/>
      <w:pStyle w:val="4"/>
      <w:suff w:val="nothing"/>
      <w:lvlText w:val="%4、"/>
      <w:lvlJc w:val="left"/>
      <w:pPr>
        <w:ind w:left="1745" w:hanging="698"/>
      </w:pPr>
      <w:rPr>
        <w:rFonts w:ascii="標楷體" w:eastAsia="標楷體" w:hint="eastAsia"/>
        <w:b w:val="0"/>
        <w:i w:val="0"/>
        <w:spacing w:val="0"/>
        <w:w w:val="100"/>
        <w:position w:val="0"/>
        <w:sz w:val="32"/>
      </w:rPr>
    </w:lvl>
    <w:lvl w:ilvl="4">
      <w:start w:val="1"/>
      <w:numFmt w:val="decimalFullWidth"/>
      <w:pStyle w:val="5"/>
      <w:suff w:val="nothing"/>
      <w:lvlText w:val="(%5)"/>
      <w:lvlJc w:val="left"/>
      <w:pPr>
        <w:ind w:left="2094" w:hanging="700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5">
      <w:start w:val="1"/>
      <w:numFmt w:val="decimalFullWidth"/>
      <w:pStyle w:val="6"/>
      <w:suff w:val="nothing"/>
      <w:lvlText w:val="&lt;%6&gt;"/>
      <w:lvlJc w:val="left"/>
      <w:pPr>
        <w:ind w:left="2441" w:hanging="697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6">
      <w:start w:val="1"/>
      <w:numFmt w:val="bullet"/>
      <w:pStyle w:val="7"/>
      <w:suff w:val="nothing"/>
      <w:lvlText w:val="․"/>
      <w:lvlJc w:val="left"/>
      <w:pPr>
        <w:ind w:left="2445" w:hanging="353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7">
      <w:start w:val="1"/>
      <w:numFmt w:val="bullet"/>
      <w:pStyle w:val="8"/>
      <w:suff w:val="nothing"/>
      <w:lvlText w:val="◇"/>
      <w:lvlJc w:val="left"/>
      <w:pPr>
        <w:ind w:left="2787" w:hanging="349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6195"/>
        </w:tabs>
        <w:ind w:left="5015" w:hanging="1700"/>
      </w:pPr>
      <w:rPr>
        <w:rFonts w:hint="eastAsia"/>
      </w:rPr>
    </w:lvl>
  </w:abstractNum>
  <w:abstractNum w:abstractNumId="6" w15:restartNumberingAfterBreak="0">
    <w:nsid w:val="1EA258FA"/>
    <w:multiLevelType w:val="hybridMultilevel"/>
    <w:tmpl w:val="B13CD934"/>
    <w:lvl w:ilvl="0" w:tplc="4704EB76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693CB5"/>
    <w:multiLevelType w:val="hybridMultilevel"/>
    <w:tmpl w:val="3B7EAF7C"/>
    <w:lvl w:ilvl="0" w:tplc="66D0B398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D63EF9"/>
    <w:multiLevelType w:val="hybridMultilevel"/>
    <w:tmpl w:val="717C36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D0D0113"/>
    <w:multiLevelType w:val="hybridMultilevel"/>
    <w:tmpl w:val="BF36096A"/>
    <w:lvl w:ilvl="0" w:tplc="AC5AAAD0">
      <w:start w:val="1"/>
      <w:numFmt w:val="taiwaneseCountingThousand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5D593A"/>
    <w:multiLevelType w:val="hybridMultilevel"/>
    <w:tmpl w:val="9AB45D32"/>
    <w:lvl w:ilvl="0" w:tplc="93DE43AC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5F2C2C"/>
    <w:multiLevelType w:val="hybridMultilevel"/>
    <w:tmpl w:val="D186965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46B562C8"/>
    <w:multiLevelType w:val="hybridMultilevel"/>
    <w:tmpl w:val="C7B62D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FA2E65"/>
    <w:multiLevelType w:val="hybridMultilevel"/>
    <w:tmpl w:val="594E6F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33A0C"/>
    <w:multiLevelType w:val="hybridMultilevel"/>
    <w:tmpl w:val="4334B1CE"/>
    <w:lvl w:ilvl="0" w:tplc="BABA2504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D370EA"/>
    <w:multiLevelType w:val="singleLevel"/>
    <w:tmpl w:val="0122E9BC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16" w15:restartNumberingAfterBreak="0">
    <w:nsid w:val="52E310EA"/>
    <w:multiLevelType w:val="hybridMultilevel"/>
    <w:tmpl w:val="C5A293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7634B26"/>
    <w:multiLevelType w:val="hybridMultilevel"/>
    <w:tmpl w:val="88B4E6DC"/>
    <w:lvl w:ilvl="0" w:tplc="0409000F">
      <w:start w:val="1"/>
      <w:numFmt w:val="decimal"/>
      <w:lvlText w:val="%1.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8" w15:restartNumberingAfterBreak="0">
    <w:nsid w:val="5784317F"/>
    <w:multiLevelType w:val="hybridMultilevel"/>
    <w:tmpl w:val="01ECFD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ACE56F9"/>
    <w:multiLevelType w:val="hybridMultilevel"/>
    <w:tmpl w:val="C1846000"/>
    <w:lvl w:ilvl="0" w:tplc="CAC0AB56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B3767BF"/>
    <w:multiLevelType w:val="hybridMultilevel"/>
    <w:tmpl w:val="9160A9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D0069D4"/>
    <w:multiLevelType w:val="hybridMultilevel"/>
    <w:tmpl w:val="409E5E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6155C2D"/>
    <w:multiLevelType w:val="hybridMultilevel"/>
    <w:tmpl w:val="DF94D388"/>
    <w:lvl w:ilvl="0" w:tplc="4704EB76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839648C"/>
    <w:multiLevelType w:val="hybridMultilevel"/>
    <w:tmpl w:val="1576BF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C0649B2"/>
    <w:multiLevelType w:val="hybridMultilevel"/>
    <w:tmpl w:val="9894D2E4"/>
    <w:lvl w:ilvl="0" w:tplc="156C5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C7F6FB7"/>
    <w:multiLevelType w:val="hybridMultilevel"/>
    <w:tmpl w:val="7B0E2F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E4273C9"/>
    <w:multiLevelType w:val="hybridMultilevel"/>
    <w:tmpl w:val="7D301548"/>
    <w:lvl w:ilvl="0" w:tplc="A0DE036E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F7E4D33"/>
    <w:multiLevelType w:val="hybridMultilevel"/>
    <w:tmpl w:val="A0B83530"/>
    <w:lvl w:ilvl="0" w:tplc="4704EB76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23698718">
    <w:abstractNumId w:val="15"/>
  </w:num>
  <w:num w:numId="2" w16cid:durableId="184757438">
    <w:abstractNumId w:val="5"/>
  </w:num>
  <w:num w:numId="3" w16cid:durableId="1332566051">
    <w:abstractNumId w:val="1"/>
  </w:num>
  <w:num w:numId="4" w16cid:durableId="1641618269">
    <w:abstractNumId w:val="0"/>
  </w:num>
  <w:num w:numId="5" w16cid:durableId="220143003">
    <w:abstractNumId w:val="23"/>
  </w:num>
  <w:num w:numId="6" w16cid:durableId="225143454">
    <w:abstractNumId w:val="27"/>
  </w:num>
  <w:num w:numId="7" w16cid:durableId="1955207952">
    <w:abstractNumId w:val="22"/>
  </w:num>
  <w:num w:numId="8" w16cid:durableId="674261381">
    <w:abstractNumId w:val="2"/>
  </w:num>
  <w:num w:numId="9" w16cid:durableId="1693609813">
    <w:abstractNumId w:val="6"/>
  </w:num>
  <w:num w:numId="10" w16cid:durableId="1387291560">
    <w:abstractNumId w:val="24"/>
  </w:num>
  <w:num w:numId="11" w16cid:durableId="880702986">
    <w:abstractNumId w:val="13"/>
  </w:num>
  <w:num w:numId="12" w16cid:durableId="455297599">
    <w:abstractNumId w:val="21"/>
  </w:num>
  <w:num w:numId="13" w16cid:durableId="503399239">
    <w:abstractNumId w:val="8"/>
  </w:num>
  <w:num w:numId="14" w16cid:durableId="1608804215">
    <w:abstractNumId w:val="17"/>
  </w:num>
  <w:num w:numId="15" w16cid:durableId="1650094248">
    <w:abstractNumId w:val="11"/>
  </w:num>
  <w:num w:numId="16" w16cid:durableId="2130278768">
    <w:abstractNumId w:val="12"/>
  </w:num>
  <w:num w:numId="17" w16cid:durableId="2104954638">
    <w:abstractNumId w:val="25"/>
  </w:num>
  <w:num w:numId="18" w16cid:durableId="1604998585">
    <w:abstractNumId w:val="9"/>
  </w:num>
  <w:num w:numId="19" w16cid:durableId="409082411">
    <w:abstractNumId w:val="16"/>
  </w:num>
  <w:num w:numId="20" w16cid:durableId="2083916041">
    <w:abstractNumId w:val="3"/>
  </w:num>
  <w:num w:numId="21" w16cid:durableId="1887328453">
    <w:abstractNumId w:val="20"/>
  </w:num>
  <w:num w:numId="22" w16cid:durableId="1778405241">
    <w:abstractNumId w:val="18"/>
  </w:num>
  <w:num w:numId="23" w16cid:durableId="1150630181">
    <w:abstractNumId w:val="7"/>
  </w:num>
  <w:num w:numId="24" w16cid:durableId="1940943449">
    <w:abstractNumId w:val="14"/>
  </w:num>
  <w:num w:numId="25" w16cid:durableId="1174881030">
    <w:abstractNumId w:val="19"/>
  </w:num>
  <w:num w:numId="26" w16cid:durableId="2137602089">
    <w:abstractNumId w:val="10"/>
  </w:num>
  <w:num w:numId="27" w16cid:durableId="1221400691">
    <w:abstractNumId w:val="26"/>
  </w:num>
  <w:num w:numId="28" w16cid:durableId="199035661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86"/>
    <w:rsid w:val="000000E9"/>
    <w:rsid w:val="00012735"/>
    <w:rsid w:val="000A03B4"/>
    <w:rsid w:val="000B3010"/>
    <w:rsid w:val="000D173D"/>
    <w:rsid w:val="000D2F33"/>
    <w:rsid w:val="000E074E"/>
    <w:rsid w:val="00107F76"/>
    <w:rsid w:val="00116C5C"/>
    <w:rsid w:val="00132E54"/>
    <w:rsid w:val="00135D2D"/>
    <w:rsid w:val="001A630D"/>
    <w:rsid w:val="001C1261"/>
    <w:rsid w:val="001C2DB1"/>
    <w:rsid w:val="001C2FC4"/>
    <w:rsid w:val="001D09FF"/>
    <w:rsid w:val="001F18D3"/>
    <w:rsid w:val="00203463"/>
    <w:rsid w:val="002551AA"/>
    <w:rsid w:val="00286BEE"/>
    <w:rsid w:val="00294BC3"/>
    <w:rsid w:val="002A41AF"/>
    <w:rsid w:val="002B00F5"/>
    <w:rsid w:val="00300EAE"/>
    <w:rsid w:val="00311E45"/>
    <w:rsid w:val="00323CED"/>
    <w:rsid w:val="00335C31"/>
    <w:rsid w:val="003571B8"/>
    <w:rsid w:val="0036733D"/>
    <w:rsid w:val="00382907"/>
    <w:rsid w:val="003927F4"/>
    <w:rsid w:val="003969C9"/>
    <w:rsid w:val="003D263F"/>
    <w:rsid w:val="003F4B49"/>
    <w:rsid w:val="0040231B"/>
    <w:rsid w:val="00404F55"/>
    <w:rsid w:val="00440949"/>
    <w:rsid w:val="004549BA"/>
    <w:rsid w:val="00456CC2"/>
    <w:rsid w:val="00460450"/>
    <w:rsid w:val="00464371"/>
    <w:rsid w:val="00480207"/>
    <w:rsid w:val="00484F8A"/>
    <w:rsid w:val="0049741B"/>
    <w:rsid w:val="004A3E81"/>
    <w:rsid w:val="004A60C4"/>
    <w:rsid w:val="004B3C60"/>
    <w:rsid w:val="004D23FF"/>
    <w:rsid w:val="0050205F"/>
    <w:rsid w:val="00504CF5"/>
    <w:rsid w:val="00505F02"/>
    <w:rsid w:val="005245A8"/>
    <w:rsid w:val="00530BF4"/>
    <w:rsid w:val="00550E1F"/>
    <w:rsid w:val="00584FFF"/>
    <w:rsid w:val="005A2C83"/>
    <w:rsid w:val="005D55B3"/>
    <w:rsid w:val="006051B8"/>
    <w:rsid w:val="00605E93"/>
    <w:rsid w:val="00615817"/>
    <w:rsid w:val="006305BF"/>
    <w:rsid w:val="006B1797"/>
    <w:rsid w:val="006C01B8"/>
    <w:rsid w:val="006C264B"/>
    <w:rsid w:val="007032D2"/>
    <w:rsid w:val="00720393"/>
    <w:rsid w:val="007336A7"/>
    <w:rsid w:val="0078237E"/>
    <w:rsid w:val="00782BFE"/>
    <w:rsid w:val="00840E6E"/>
    <w:rsid w:val="00842B98"/>
    <w:rsid w:val="00851BF4"/>
    <w:rsid w:val="00851E63"/>
    <w:rsid w:val="00866C3B"/>
    <w:rsid w:val="008676B9"/>
    <w:rsid w:val="00872D71"/>
    <w:rsid w:val="00876606"/>
    <w:rsid w:val="00897D01"/>
    <w:rsid w:val="008A3D0E"/>
    <w:rsid w:val="008A7EFF"/>
    <w:rsid w:val="008C6961"/>
    <w:rsid w:val="008E6A2A"/>
    <w:rsid w:val="008F1D41"/>
    <w:rsid w:val="009038BA"/>
    <w:rsid w:val="00911C3F"/>
    <w:rsid w:val="00911FB8"/>
    <w:rsid w:val="0094299B"/>
    <w:rsid w:val="0095652A"/>
    <w:rsid w:val="00965E53"/>
    <w:rsid w:val="0096785A"/>
    <w:rsid w:val="00984A86"/>
    <w:rsid w:val="00995389"/>
    <w:rsid w:val="00997EEA"/>
    <w:rsid w:val="009A1B2D"/>
    <w:rsid w:val="009A313F"/>
    <w:rsid w:val="009C1C19"/>
    <w:rsid w:val="009E4A13"/>
    <w:rsid w:val="009E6993"/>
    <w:rsid w:val="009F00F5"/>
    <w:rsid w:val="009F7F28"/>
    <w:rsid w:val="00A004DD"/>
    <w:rsid w:val="00A032A2"/>
    <w:rsid w:val="00A20EDD"/>
    <w:rsid w:val="00A275CD"/>
    <w:rsid w:val="00A37697"/>
    <w:rsid w:val="00A40DAA"/>
    <w:rsid w:val="00A712A6"/>
    <w:rsid w:val="00A9424B"/>
    <w:rsid w:val="00AB71AC"/>
    <w:rsid w:val="00AB7B64"/>
    <w:rsid w:val="00AD17AD"/>
    <w:rsid w:val="00AD34E8"/>
    <w:rsid w:val="00AE59BC"/>
    <w:rsid w:val="00AF0811"/>
    <w:rsid w:val="00AF38BC"/>
    <w:rsid w:val="00B1548D"/>
    <w:rsid w:val="00B20AC7"/>
    <w:rsid w:val="00B24DA2"/>
    <w:rsid w:val="00B46BE2"/>
    <w:rsid w:val="00B55C6A"/>
    <w:rsid w:val="00B634E3"/>
    <w:rsid w:val="00B636B4"/>
    <w:rsid w:val="00B80D60"/>
    <w:rsid w:val="00BD120E"/>
    <w:rsid w:val="00BD27F2"/>
    <w:rsid w:val="00BD5F7B"/>
    <w:rsid w:val="00BE479E"/>
    <w:rsid w:val="00BF6519"/>
    <w:rsid w:val="00C06893"/>
    <w:rsid w:val="00C20C4F"/>
    <w:rsid w:val="00C318D0"/>
    <w:rsid w:val="00C4036E"/>
    <w:rsid w:val="00C6169B"/>
    <w:rsid w:val="00C72582"/>
    <w:rsid w:val="00C744B1"/>
    <w:rsid w:val="00CB2E8C"/>
    <w:rsid w:val="00CC2941"/>
    <w:rsid w:val="00CC4AAE"/>
    <w:rsid w:val="00CD3A33"/>
    <w:rsid w:val="00D064A0"/>
    <w:rsid w:val="00D27C46"/>
    <w:rsid w:val="00D47D4D"/>
    <w:rsid w:val="00D76EC1"/>
    <w:rsid w:val="00D87FA8"/>
    <w:rsid w:val="00D97F24"/>
    <w:rsid w:val="00DA6DB5"/>
    <w:rsid w:val="00DD0571"/>
    <w:rsid w:val="00E177C9"/>
    <w:rsid w:val="00E84CC0"/>
    <w:rsid w:val="00E92538"/>
    <w:rsid w:val="00E93223"/>
    <w:rsid w:val="00E95086"/>
    <w:rsid w:val="00ED5BEB"/>
    <w:rsid w:val="00EE1FB2"/>
    <w:rsid w:val="00EE3734"/>
    <w:rsid w:val="00F041B1"/>
    <w:rsid w:val="00F9537C"/>
    <w:rsid w:val="00F96995"/>
    <w:rsid w:val="00FD1947"/>
    <w:rsid w:val="00FF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1C40F"/>
  <w15:docId w15:val="{A20D4D78-5844-47D3-8A06-5076BE07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0AC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B20AC7"/>
    <w:pPr>
      <w:numPr>
        <w:numId w:val="2"/>
      </w:numPr>
      <w:kinsoku w:val="0"/>
      <w:jc w:val="both"/>
      <w:outlineLvl w:val="0"/>
    </w:pPr>
    <w:rPr>
      <w:rFonts w:ascii="標楷體" w:eastAsia="標楷體" w:hAnsi="Arial"/>
      <w:bCs/>
      <w:kern w:val="0"/>
      <w:sz w:val="32"/>
      <w:szCs w:val="52"/>
    </w:rPr>
  </w:style>
  <w:style w:type="paragraph" w:styleId="2">
    <w:name w:val="heading 2"/>
    <w:basedOn w:val="a"/>
    <w:next w:val="a"/>
    <w:qFormat/>
    <w:rsid w:val="00B20AC7"/>
    <w:pPr>
      <w:numPr>
        <w:ilvl w:val="1"/>
        <w:numId w:val="2"/>
      </w:numPr>
      <w:jc w:val="both"/>
      <w:outlineLvl w:val="1"/>
    </w:pPr>
    <w:rPr>
      <w:rFonts w:ascii="標楷體" w:eastAsia="標楷體" w:hAnsi="Arial"/>
      <w:bCs/>
      <w:kern w:val="0"/>
      <w:sz w:val="32"/>
      <w:szCs w:val="48"/>
    </w:rPr>
  </w:style>
  <w:style w:type="paragraph" w:styleId="3">
    <w:name w:val="heading 3"/>
    <w:basedOn w:val="a"/>
    <w:next w:val="a"/>
    <w:qFormat/>
    <w:rsid w:val="00B20AC7"/>
    <w:pPr>
      <w:numPr>
        <w:ilvl w:val="2"/>
        <w:numId w:val="2"/>
      </w:numPr>
      <w:jc w:val="both"/>
      <w:outlineLvl w:val="2"/>
    </w:pPr>
    <w:rPr>
      <w:rFonts w:ascii="標楷體" w:eastAsia="標楷體" w:hAnsi="Arial"/>
      <w:bCs/>
      <w:kern w:val="0"/>
      <w:sz w:val="32"/>
      <w:szCs w:val="36"/>
    </w:rPr>
  </w:style>
  <w:style w:type="paragraph" w:styleId="4">
    <w:name w:val="heading 4"/>
    <w:basedOn w:val="a"/>
    <w:next w:val="a"/>
    <w:qFormat/>
    <w:rsid w:val="00B20AC7"/>
    <w:pPr>
      <w:numPr>
        <w:ilvl w:val="3"/>
        <w:numId w:val="2"/>
      </w:numPr>
      <w:jc w:val="both"/>
      <w:outlineLvl w:val="3"/>
    </w:pPr>
    <w:rPr>
      <w:rFonts w:ascii="標楷體" w:eastAsia="標楷體" w:hAnsi="Arial"/>
      <w:sz w:val="32"/>
      <w:szCs w:val="36"/>
    </w:rPr>
  </w:style>
  <w:style w:type="paragraph" w:styleId="5">
    <w:name w:val="heading 5"/>
    <w:basedOn w:val="a"/>
    <w:next w:val="a"/>
    <w:qFormat/>
    <w:rsid w:val="00B20AC7"/>
    <w:pPr>
      <w:numPr>
        <w:ilvl w:val="4"/>
        <w:numId w:val="2"/>
      </w:numPr>
      <w:jc w:val="both"/>
      <w:outlineLvl w:val="4"/>
    </w:pPr>
    <w:rPr>
      <w:rFonts w:ascii="標楷體" w:eastAsia="標楷體" w:hAnsi="Arial"/>
      <w:bCs/>
      <w:sz w:val="32"/>
      <w:szCs w:val="36"/>
    </w:rPr>
  </w:style>
  <w:style w:type="paragraph" w:styleId="6">
    <w:name w:val="heading 6"/>
    <w:basedOn w:val="a"/>
    <w:next w:val="a"/>
    <w:qFormat/>
    <w:rsid w:val="00B20AC7"/>
    <w:pPr>
      <w:numPr>
        <w:ilvl w:val="5"/>
        <w:numId w:val="2"/>
      </w:numPr>
      <w:tabs>
        <w:tab w:val="left" w:pos="2094"/>
      </w:tabs>
      <w:jc w:val="both"/>
      <w:outlineLvl w:val="5"/>
    </w:pPr>
    <w:rPr>
      <w:rFonts w:ascii="標楷體" w:eastAsia="標楷體" w:hAnsi="Arial"/>
      <w:sz w:val="32"/>
      <w:szCs w:val="36"/>
    </w:rPr>
  </w:style>
  <w:style w:type="paragraph" w:styleId="7">
    <w:name w:val="heading 7"/>
    <w:basedOn w:val="a"/>
    <w:next w:val="a"/>
    <w:qFormat/>
    <w:rsid w:val="00B20AC7"/>
    <w:pPr>
      <w:numPr>
        <w:ilvl w:val="6"/>
        <w:numId w:val="2"/>
      </w:numPr>
      <w:jc w:val="both"/>
      <w:outlineLvl w:val="6"/>
    </w:pPr>
    <w:rPr>
      <w:rFonts w:ascii="標楷體" w:eastAsia="標楷體" w:hAnsi="Arial"/>
      <w:bCs/>
      <w:sz w:val="32"/>
      <w:szCs w:val="36"/>
    </w:rPr>
  </w:style>
  <w:style w:type="paragraph" w:styleId="8">
    <w:name w:val="heading 8"/>
    <w:basedOn w:val="a"/>
    <w:next w:val="a"/>
    <w:qFormat/>
    <w:rsid w:val="00B20AC7"/>
    <w:pPr>
      <w:numPr>
        <w:ilvl w:val="7"/>
        <w:numId w:val="2"/>
      </w:numPr>
      <w:jc w:val="both"/>
      <w:outlineLvl w:val="7"/>
    </w:pPr>
    <w:rPr>
      <w:rFonts w:ascii="標楷體" w:eastAsia="標楷體" w:hAnsi="Arial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0AC7"/>
    <w:pPr>
      <w:spacing w:line="240" w:lineRule="atLeast"/>
      <w:jc w:val="both"/>
    </w:pPr>
    <w:rPr>
      <w:rFonts w:eastAsia="標楷體"/>
      <w:sz w:val="28"/>
      <w:szCs w:val="28"/>
    </w:rPr>
  </w:style>
  <w:style w:type="paragraph" w:styleId="20">
    <w:name w:val="Body Text Indent 2"/>
    <w:basedOn w:val="a"/>
    <w:rsid w:val="00B20AC7"/>
    <w:pPr>
      <w:ind w:leftChars="173" w:left="390" w:hangingChars="6" w:hanging="13"/>
      <w:jc w:val="both"/>
    </w:pPr>
    <w:rPr>
      <w:rFonts w:ascii="標楷體" w:eastAsia="標楷體"/>
    </w:rPr>
  </w:style>
  <w:style w:type="paragraph" w:styleId="30">
    <w:name w:val="Body Text Indent 3"/>
    <w:basedOn w:val="a"/>
    <w:rsid w:val="00B20AC7"/>
    <w:pPr>
      <w:spacing w:line="240" w:lineRule="atLeast"/>
      <w:ind w:leftChars="161" w:left="351" w:firstLineChars="51" w:firstLine="111"/>
    </w:pPr>
    <w:rPr>
      <w:rFonts w:ascii="標楷體" w:eastAsia="標楷體"/>
    </w:rPr>
  </w:style>
  <w:style w:type="paragraph" w:styleId="a4">
    <w:name w:val="Body Text Indent"/>
    <w:basedOn w:val="a"/>
    <w:rsid w:val="00B20AC7"/>
    <w:pPr>
      <w:ind w:left="280" w:hangingChars="100" w:hanging="280"/>
    </w:pPr>
    <w:rPr>
      <w:rFonts w:ascii="標楷體" w:eastAsia="標楷體"/>
      <w:sz w:val="28"/>
      <w:szCs w:val="28"/>
    </w:rPr>
  </w:style>
  <w:style w:type="paragraph" w:styleId="21">
    <w:name w:val="Body Text 2"/>
    <w:basedOn w:val="a"/>
    <w:rsid w:val="00B20AC7"/>
    <w:pPr>
      <w:spacing w:line="240" w:lineRule="atLeast"/>
      <w:jc w:val="both"/>
    </w:pPr>
    <w:rPr>
      <w:rFonts w:ascii="標楷體" w:eastAsia="標楷體"/>
      <w:b/>
      <w:sz w:val="28"/>
    </w:rPr>
  </w:style>
  <w:style w:type="paragraph" w:styleId="a5">
    <w:name w:val="Plain Text"/>
    <w:basedOn w:val="a"/>
    <w:rsid w:val="00B20AC7"/>
    <w:rPr>
      <w:rFonts w:ascii="細明體" w:eastAsia="細明體" w:hAnsi="Courier New" w:cs="Courier New"/>
    </w:rPr>
  </w:style>
  <w:style w:type="paragraph" w:styleId="a6">
    <w:name w:val="annotation text"/>
    <w:basedOn w:val="a"/>
    <w:link w:val="a7"/>
    <w:rsid w:val="00B20AC7"/>
    <w:pPr>
      <w:adjustRightInd w:val="0"/>
      <w:spacing w:line="360" w:lineRule="exact"/>
      <w:textAlignment w:val="baseline"/>
    </w:pPr>
    <w:rPr>
      <w:rFonts w:eastAsia="細明體"/>
      <w:kern w:val="0"/>
      <w:szCs w:val="20"/>
    </w:rPr>
  </w:style>
  <w:style w:type="paragraph" w:styleId="a8">
    <w:name w:val="Block Text"/>
    <w:basedOn w:val="a"/>
    <w:rsid w:val="00B20AC7"/>
    <w:pPr>
      <w:spacing w:line="300" w:lineRule="exact"/>
      <w:ind w:leftChars="100" w:left="530" w:right="57" w:hangingChars="121" w:hanging="290"/>
      <w:jc w:val="both"/>
    </w:pPr>
    <w:rPr>
      <w:rFonts w:eastAsia="標楷體"/>
    </w:rPr>
  </w:style>
  <w:style w:type="paragraph" w:styleId="a9">
    <w:name w:val="footer"/>
    <w:basedOn w:val="a"/>
    <w:rsid w:val="00B20A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B20AC7"/>
  </w:style>
  <w:style w:type="paragraph" w:styleId="31">
    <w:name w:val="Body Text 3"/>
    <w:basedOn w:val="a"/>
    <w:rsid w:val="00B20AC7"/>
    <w:pPr>
      <w:snapToGrid w:val="0"/>
      <w:spacing w:line="240" w:lineRule="atLeast"/>
    </w:pPr>
    <w:rPr>
      <w:rFonts w:ascii="標楷體" w:eastAsia="標楷體"/>
      <w:bCs/>
      <w:sz w:val="28"/>
    </w:rPr>
  </w:style>
  <w:style w:type="paragraph" w:styleId="ab">
    <w:name w:val="header"/>
    <w:basedOn w:val="a"/>
    <w:rsid w:val="00B20A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annotation reference"/>
    <w:basedOn w:val="a0"/>
    <w:rsid w:val="00B24DA2"/>
    <w:rPr>
      <w:sz w:val="18"/>
      <w:szCs w:val="18"/>
    </w:rPr>
  </w:style>
  <w:style w:type="paragraph" w:styleId="ad">
    <w:name w:val="annotation subject"/>
    <w:basedOn w:val="a6"/>
    <w:next w:val="a6"/>
    <w:link w:val="ae"/>
    <w:rsid w:val="00B24DA2"/>
    <w:pPr>
      <w:adjustRightInd/>
      <w:spacing w:line="240" w:lineRule="auto"/>
      <w:textAlignment w:val="auto"/>
    </w:pPr>
    <w:rPr>
      <w:rFonts w:eastAsia="新細明體"/>
      <w:b/>
      <w:bCs/>
      <w:kern w:val="2"/>
      <w:szCs w:val="24"/>
    </w:rPr>
  </w:style>
  <w:style w:type="character" w:customStyle="1" w:styleId="a7">
    <w:name w:val="註解文字 字元"/>
    <w:basedOn w:val="a0"/>
    <w:link w:val="a6"/>
    <w:rsid w:val="00B24DA2"/>
    <w:rPr>
      <w:rFonts w:eastAsia="細明體"/>
      <w:sz w:val="24"/>
    </w:rPr>
  </w:style>
  <w:style w:type="character" w:customStyle="1" w:styleId="ae">
    <w:name w:val="註解主旨 字元"/>
    <w:basedOn w:val="a7"/>
    <w:link w:val="ad"/>
    <w:rsid w:val="00B24DA2"/>
    <w:rPr>
      <w:rFonts w:eastAsia="細明體"/>
      <w:sz w:val="24"/>
    </w:rPr>
  </w:style>
  <w:style w:type="paragraph" w:styleId="af">
    <w:name w:val="Balloon Text"/>
    <w:basedOn w:val="a"/>
    <w:link w:val="af0"/>
    <w:rsid w:val="00B24DA2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0"/>
    <w:link w:val="af"/>
    <w:rsid w:val="00B24DA2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>監察院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監察院調查報告結案情形一覽表</dc:title>
  <dc:subject/>
  <dc:creator>監察院</dc:creator>
  <cp:keywords/>
  <dc:description/>
  <cp:lastModifiedBy>林秀珍</cp:lastModifiedBy>
  <cp:revision>4</cp:revision>
  <cp:lastPrinted>2010-06-29T02:42:00Z</cp:lastPrinted>
  <dcterms:created xsi:type="dcterms:W3CDTF">2025-09-09T02:37:00Z</dcterms:created>
  <dcterms:modified xsi:type="dcterms:W3CDTF">2025-09-09T02:37:00Z</dcterms:modified>
</cp:coreProperties>
</file>