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14:paraId="70AAD78D" w14:textId="77777777" w:rsidTr="00605E93">
        <w:trPr>
          <w:tblHeader/>
        </w:trPr>
        <w:tc>
          <w:tcPr>
            <w:tcW w:w="545" w:type="dxa"/>
            <w:vAlign w:val="center"/>
          </w:tcPr>
          <w:p w14:paraId="1E316E88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14:paraId="696A0B67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14:paraId="244470DF" w14:textId="77777777"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14:paraId="1BBD414F" w14:textId="77777777" w:rsidTr="00605E93">
        <w:trPr>
          <w:trHeight w:val="468"/>
        </w:trPr>
        <w:tc>
          <w:tcPr>
            <w:tcW w:w="545" w:type="dxa"/>
            <w:vAlign w:val="center"/>
          </w:tcPr>
          <w:p w14:paraId="651C336E" w14:textId="77777777"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114</w:t>
            </w:r>
            <w:r>
              <w:rPr>
                <w:rFonts w:eastAsia="標楷體" w:hint="eastAsia"/>
                <w:bCs/>
                <w:szCs w:val="28"/>
              </w:rPr>
              <w:t>社調</w:t>
            </w:r>
            <w:r>
              <w:rPr>
                <w:rFonts w:eastAsia="標楷體" w:hint="eastAsia"/>
                <w:bCs/>
                <w:szCs w:val="28"/>
              </w:rPr>
              <w:t>0001</w:t>
            </w:r>
          </w:p>
        </w:tc>
        <w:tc>
          <w:tcPr>
            <w:tcW w:w="5762" w:type="dxa"/>
          </w:tcPr>
          <w:p w14:paraId="05EE02DE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14:paraId="16F0B473" w14:textId="77777777" w:rsidR="00FF343B" w:rsidRPr="0078237E" w:rsidRDefault="007336A7" w:rsidP="001C1261">
            <w:pPr>
              <w:spacing w:line="360" w:lineRule="atLeast"/>
              <w:ind w:left="158" w:hangingChars="66" w:hanging="158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臺北市政府衛生局業修正《食品中毒事件通報、調查、採樣及送驗作業程序書》，如有死亡、收治加護病房、休克、昏迷、麻痺、語言及吞嚥困難等情形，立即擴大</w:t>
            </w:r>
            <w:proofErr w:type="gramStart"/>
            <w:r>
              <w:rPr>
                <w:rFonts w:eastAsia="標楷體" w:hint="eastAsia"/>
                <w:bCs/>
              </w:rPr>
              <w:t>採</w:t>
            </w:r>
            <w:proofErr w:type="gramEnd"/>
            <w:r>
              <w:rPr>
                <w:rFonts w:eastAsia="標楷體" w:hint="eastAsia"/>
                <w:bCs/>
              </w:rPr>
              <w:t>檢食品業者製造場所之使用食品、原料或相同來源之食品（如尚未烹煮之涉嫌食品、食材、配料、調味料等），以利重大食品中毒案件病因物質及原因食品之判明。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2B47634A" w14:textId="77777777" w:rsidR="00FF343B" w:rsidRPr="0078237E" w:rsidRDefault="007336A7" w:rsidP="001C1261">
            <w:pPr>
              <w:spacing w:line="360" w:lineRule="atLeast"/>
              <w:ind w:left="158" w:hangingChars="66" w:hanging="158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為精進衛生稽查人力，該府衛生局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月已辦理第一期「衛生稽查實務研習班」，課程內容包括：「食品抽驗業務工作重點及注意事項（含疑似食品中毒案件處辦）」、「食品衛生稽查業務工作重點及注意事項」等。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6CB8DA9B" w14:textId="77777777" w:rsidR="00FF343B" w:rsidRPr="0078237E" w:rsidRDefault="007336A7" w:rsidP="001C1261">
            <w:pPr>
              <w:spacing w:line="360" w:lineRule="atLeast"/>
              <w:ind w:left="158" w:hangingChars="66" w:hanging="158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食藥署「疑似食品中毒事件處理及採樣操作手冊」中增列食品中毒案件業者暫停作業共通性原則，供地方政府衛生局執行依循，該手冊業於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日函送各地方政府衛生局及相關單位。</w:t>
            </w:r>
            <w:r>
              <w:rPr>
                <w:rFonts w:eastAsia="標楷體" w:hint="eastAsia"/>
                <w:bCs/>
              </w:rPr>
              <w:t xml:space="preserve"> </w:t>
            </w:r>
          </w:p>
          <w:p w14:paraId="0AA76C84" w14:textId="77777777" w:rsidR="00FF343B" w:rsidRPr="0078237E" w:rsidRDefault="007336A7" w:rsidP="001C1261">
            <w:pPr>
              <w:spacing w:line="360" w:lineRule="atLeast"/>
              <w:ind w:left="158" w:hangingChars="66" w:hanging="158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食藥署要求業者至非登不可系統登載投保資料，截至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日止，依「食品業者應投保產品責任保險」規定應投保之餐飲業者至非登不可系統填報投保到期日者比率達</w:t>
            </w:r>
            <w:r>
              <w:rPr>
                <w:rFonts w:eastAsia="標楷體" w:hint="eastAsia"/>
                <w:bCs/>
              </w:rPr>
              <w:t>91.4%</w:t>
            </w:r>
            <w:r>
              <w:rPr>
                <w:rFonts w:eastAsia="標楷體" w:hint="eastAsia"/>
                <w:bCs/>
              </w:rPr>
              <w:t>，已上傳投保證明者比率達</w:t>
            </w:r>
            <w:r>
              <w:rPr>
                <w:rFonts w:eastAsia="標楷體" w:hint="eastAsia"/>
                <w:bCs/>
              </w:rPr>
              <w:t>92.3%</w:t>
            </w:r>
            <w:r>
              <w:rPr>
                <w:rFonts w:eastAsia="標楷體" w:hint="eastAsia"/>
                <w:bCs/>
              </w:rPr>
              <w:t>。</w:t>
            </w:r>
          </w:p>
          <w:p w14:paraId="53FAAF56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14:paraId="53255699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衛福部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6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日發布修正食品良好衛生規範準則，規定「新進食品從業人員應經至少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小時教育訓練，並作成紀錄；在職食品從業人員，除法令另有規定外，定期接受食品業者自行、衛生主管機關或其認可之機構辦理之食品安全、衛生及品質管理教育訓練，每年至少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小時，並作成紀錄。」擴大非屬專門職業人員或技術證照等人員之教育訓練量能。</w:t>
            </w:r>
          </w:p>
          <w:p w14:paraId="5A781C0C" w14:textId="77777777"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◆其他績效</w:t>
            </w:r>
          </w:p>
          <w:p w14:paraId="38B675A7" w14:textId="3C01F842" w:rsidR="00FF343B" w:rsidRPr="0078237E" w:rsidRDefault="007336A7" w:rsidP="006C01B8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針對消基會申請補助本案受害人團體訴訟相關費用一案，業經食品安全保護基金運用管理監督小組</w:t>
            </w:r>
            <w:r>
              <w:rPr>
                <w:rFonts w:eastAsia="標楷體" w:hint="eastAsia"/>
                <w:bCs/>
              </w:rPr>
              <w:t>114</w:t>
            </w:r>
            <w:r>
              <w:rPr>
                <w:rFonts w:eastAsia="標楷體" w:hint="eastAsia"/>
                <w:bCs/>
              </w:rPr>
              <w:t>年第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次會議審查決議，核定補助</w:t>
            </w:r>
            <w:r>
              <w:rPr>
                <w:rFonts w:eastAsia="標楷體" w:hint="eastAsia"/>
                <w:bCs/>
              </w:rPr>
              <w:t>100</w:t>
            </w:r>
            <w:r>
              <w:rPr>
                <w:rFonts w:eastAsia="標楷體" w:hint="eastAsia"/>
                <w:bCs/>
              </w:rPr>
              <w:t>萬元，以救濟保護食品安全事件受害者。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14:paraId="4ACC53F2" w14:textId="77777777"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社會福利及衛生環境委員會114.08.20第6屆第49次會議決議 : 結案存查。</w:t>
            </w:r>
          </w:p>
        </w:tc>
      </w:tr>
    </w:tbl>
    <w:p w14:paraId="467F37BC" w14:textId="5403F3B3" w:rsidR="008E6A2A" w:rsidRPr="006C01B8" w:rsidRDefault="008E6A2A" w:rsidP="000E074E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6C01B8" w:rsidSect="006C01B8">
      <w:headerReference w:type="default" r:id="rId7"/>
      <w:footerReference w:type="even" r:id="rId8"/>
      <w:footerReference w:type="default" r:id="rId9"/>
      <w:pgSz w:w="16840" w:h="11907" w:orient="landscape" w:code="9"/>
      <w:pgMar w:top="567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F02B" w14:textId="77777777" w:rsidR="001D09FF" w:rsidRDefault="001D09FF" w:rsidP="008E6A2A">
      <w:r>
        <w:separator/>
      </w:r>
    </w:p>
  </w:endnote>
  <w:endnote w:type="continuationSeparator" w:id="0">
    <w:p w14:paraId="5DD953C0" w14:textId="77777777" w:rsidR="001D09FF" w:rsidRDefault="001D09FF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1B27" w14:textId="77777777" w:rsidR="008E6A2A" w:rsidRDefault="004549B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339FE1" w14:textId="77777777"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9C44" w14:textId="59494548"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C268" w14:textId="77777777" w:rsidR="001D09FF" w:rsidRDefault="001D09FF" w:rsidP="008E6A2A">
      <w:r>
        <w:separator/>
      </w:r>
    </w:p>
  </w:footnote>
  <w:footnote w:type="continuationSeparator" w:id="0">
    <w:p w14:paraId="4B24FFB7" w14:textId="77777777" w:rsidR="001D09FF" w:rsidRDefault="001D09FF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E9A7" w14:textId="77777777"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0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0"/>
  <w:p w14:paraId="03E176FA" w14:textId="77777777"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3698718">
    <w:abstractNumId w:val="15"/>
  </w:num>
  <w:num w:numId="2" w16cid:durableId="184757438">
    <w:abstractNumId w:val="5"/>
  </w:num>
  <w:num w:numId="3" w16cid:durableId="1332566051">
    <w:abstractNumId w:val="1"/>
  </w:num>
  <w:num w:numId="4" w16cid:durableId="1641618269">
    <w:abstractNumId w:val="0"/>
  </w:num>
  <w:num w:numId="5" w16cid:durableId="220143003">
    <w:abstractNumId w:val="23"/>
  </w:num>
  <w:num w:numId="6" w16cid:durableId="225143454">
    <w:abstractNumId w:val="27"/>
  </w:num>
  <w:num w:numId="7" w16cid:durableId="1955207952">
    <w:abstractNumId w:val="22"/>
  </w:num>
  <w:num w:numId="8" w16cid:durableId="674261381">
    <w:abstractNumId w:val="2"/>
  </w:num>
  <w:num w:numId="9" w16cid:durableId="1693609813">
    <w:abstractNumId w:val="6"/>
  </w:num>
  <w:num w:numId="10" w16cid:durableId="1387291560">
    <w:abstractNumId w:val="24"/>
  </w:num>
  <w:num w:numId="11" w16cid:durableId="880702986">
    <w:abstractNumId w:val="13"/>
  </w:num>
  <w:num w:numId="12" w16cid:durableId="455297599">
    <w:abstractNumId w:val="21"/>
  </w:num>
  <w:num w:numId="13" w16cid:durableId="503399239">
    <w:abstractNumId w:val="8"/>
  </w:num>
  <w:num w:numId="14" w16cid:durableId="1608804215">
    <w:abstractNumId w:val="17"/>
  </w:num>
  <w:num w:numId="15" w16cid:durableId="1650094248">
    <w:abstractNumId w:val="11"/>
  </w:num>
  <w:num w:numId="16" w16cid:durableId="2130278768">
    <w:abstractNumId w:val="12"/>
  </w:num>
  <w:num w:numId="17" w16cid:durableId="2104954638">
    <w:abstractNumId w:val="25"/>
  </w:num>
  <w:num w:numId="18" w16cid:durableId="1604998585">
    <w:abstractNumId w:val="9"/>
  </w:num>
  <w:num w:numId="19" w16cid:durableId="409082411">
    <w:abstractNumId w:val="16"/>
  </w:num>
  <w:num w:numId="20" w16cid:durableId="2083916041">
    <w:abstractNumId w:val="3"/>
  </w:num>
  <w:num w:numId="21" w16cid:durableId="1887328453">
    <w:abstractNumId w:val="20"/>
  </w:num>
  <w:num w:numId="22" w16cid:durableId="1778405241">
    <w:abstractNumId w:val="18"/>
  </w:num>
  <w:num w:numId="23" w16cid:durableId="1150630181">
    <w:abstractNumId w:val="7"/>
  </w:num>
  <w:num w:numId="24" w16cid:durableId="1940943449">
    <w:abstractNumId w:val="14"/>
  </w:num>
  <w:num w:numId="25" w16cid:durableId="1174881030">
    <w:abstractNumId w:val="19"/>
  </w:num>
  <w:num w:numId="26" w16cid:durableId="2137602089">
    <w:abstractNumId w:val="10"/>
  </w:num>
  <w:num w:numId="27" w16cid:durableId="1221400691">
    <w:abstractNumId w:val="26"/>
  </w:num>
  <w:num w:numId="28" w16cid:durableId="19903566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0E074E"/>
    <w:rsid w:val="00107F76"/>
    <w:rsid w:val="00116C5C"/>
    <w:rsid w:val="00132E54"/>
    <w:rsid w:val="00135D2D"/>
    <w:rsid w:val="001A630D"/>
    <w:rsid w:val="001C1261"/>
    <w:rsid w:val="001C2DB1"/>
    <w:rsid w:val="001C2FC4"/>
    <w:rsid w:val="001D09FF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49BA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01B8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032A2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1C40F"/>
  <w15:docId w15:val="{A20D4D78-5844-47D3-8A06-5076BE07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監察院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林秀珍</cp:lastModifiedBy>
  <cp:revision>4</cp:revision>
  <cp:lastPrinted>2010-06-29T02:42:00Z</cp:lastPrinted>
  <dcterms:created xsi:type="dcterms:W3CDTF">2025-09-09T02:37:00Z</dcterms:created>
  <dcterms:modified xsi:type="dcterms:W3CDTF">2025-09-09T02:37:00Z</dcterms:modified>
</cp:coreProperties>
</file>