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"/>
        <w:gridCol w:w="9919"/>
        <w:gridCol w:w="3415"/>
      </w:tblGrid>
      <w:tr w:rsidR="00FF343B" w14:paraId="25F84882" w14:textId="77777777" w:rsidTr="00605E93">
        <w:trPr>
          <w:tblHeader/>
        </w:trPr>
        <w:tc>
          <w:tcPr>
            <w:tcW w:w="545" w:type="dxa"/>
            <w:vAlign w:val="center"/>
          </w:tcPr>
          <w:p w14:paraId="145BBB7D" w14:textId="77777777"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案號</w:t>
            </w:r>
          </w:p>
        </w:tc>
        <w:tc>
          <w:tcPr>
            <w:tcW w:w="5762" w:type="dxa"/>
            <w:vAlign w:val="center"/>
          </w:tcPr>
          <w:p w14:paraId="1E345772" w14:textId="77777777"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  <w:spacing w:val="60"/>
              </w:rPr>
            </w:pPr>
            <w:r>
              <w:rPr>
                <w:rFonts w:eastAsia="標楷體" w:hint="eastAsia"/>
                <w:b/>
                <w:spacing w:val="60"/>
              </w:rPr>
              <w:t>機關改善與處置情形</w:t>
            </w:r>
          </w:p>
        </w:tc>
        <w:tc>
          <w:tcPr>
            <w:tcW w:w="1984" w:type="dxa"/>
            <w:vAlign w:val="center"/>
          </w:tcPr>
          <w:p w14:paraId="590B6A42" w14:textId="77777777"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結案情形</w:t>
            </w:r>
          </w:p>
        </w:tc>
      </w:tr>
      <w:tr w:rsidR="00FF343B" w:rsidRPr="00203463" w14:paraId="1DE64811" w14:textId="77777777" w:rsidTr="00605E93">
        <w:trPr>
          <w:trHeight w:val="468"/>
        </w:trPr>
        <w:tc>
          <w:tcPr>
            <w:tcW w:w="545" w:type="dxa"/>
            <w:vAlign w:val="center"/>
          </w:tcPr>
          <w:p w14:paraId="41027799" w14:textId="77777777" w:rsidR="00FF343B" w:rsidRDefault="007336A7" w:rsidP="00720393">
            <w:pPr>
              <w:spacing w:line="360" w:lineRule="atLeast"/>
              <w:ind w:leftChars="50" w:left="120" w:rightChars="50" w:right="120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113</w:t>
            </w:r>
            <w:r>
              <w:rPr>
                <w:rFonts w:eastAsia="標楷體" w:hint="eastAsia"/>
                <w:bCs/>
                <w:szCs w:val="28"/>
              </w:rPr>
              <w:t>內調</w:t>
            </w:r>
            <w:r>
              <w:rPr>
                <w:rFonts w:eastAsia="標楷體" w:hint="eastAsia"/>
                <w:bCs/>
                <w:szCs w:val="28"/>
              </w:rPr>
              <w:t>0003</w:t>
            </w:r>
          </w:p>
        </w:tc>
        <w:tc>
          <w:tcPr>
            <w:tcW w:w="5762" w:type="dxa"/>
          </w:tcPr>
          <w:p w14:paraId="16B2F04B" w14:textId="77777777"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◆產生行政變革績效</w:t>
            </w:r>
          </w:p>
          <w:p w14:paraId="69B91A33" w14:textId="77777777"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1. 113</w:t>
            </w:r>
            <w:r>
              <w:rPr>
                <w:rFonts w:eastAsia="標楷體" w:hint="eastAsia"/>
                <w:bCs/>
              </w:rPr>
              <w:t>年警察機關心理諮商輔導預算由原編列</w:t>
            </w:r>
            <w:r>
              <w:rPr>
                <w:rFonts w:eastAsia="標楷體" w:hint="eastAsia"/>
                <w:bCs/>
              </w:rPr>
              <w:t>80</w:t>
            </w:r>
            <w:r>
              <w:rPr>
                <w:rFonts w:eastAsia="標楷體" w:hint="eastAsia"/>
                <w:bCs/>
              </w:rPr>
              <w:t>萬元調整至</w:t>
            </w:r>
            <w:r>
              <w:rPr>
                <w:rFonts w:eastAsia="標楷體" w:hint="eastAsia"/>
                <w:bCs/>
              </w:rPr>
              <w:t>300</w:t>
            </w:r>
            <w:r>
              <w:rPr>
                <w:rFonts w:eastAsia="標楷體" w:hint="eastAsia"/>
                <w:bCs/>
              </w:rPr>
              <w:t>萬元，</w:t>
            </w:r>
            <w:r>
              <w:rPr>
                <w:rFonts w:eastAsia="標楷體" w:hint="eastAsia"/>
                <w:bCs/>
              </w:rPr>
              <w:t>114</w:t>
            </w:r>
            <w:r>
              <w:rPr>
                <w:rFonts w:eastAsia="標楷體" w:hint="eastAsia"/>
                <w:bCs/>
              </w:rPr>
              <w:t>年提高至</w:t>
            </w:r>
            <w:r>
              <w:rPr>
                <w:rFonts w:eastAsia="標楷體" w:hint="eastAsia"/>
                <w:bCs/>
              </w:rPr>
              <w:t>500</w:t>
            </w:r>
            <w:r>
              <w:rPr>
                <w:rFonts w:eastAsia="標楷體" w:hint="eastAsia"/>
                <w:bCs/>
              </w:rPr>
              <w:t>萬元。</w:t>
            </w:r>
            <w:r>
              <w:rPr>
                <w:rFonts w:eastAsia="標楷體" w:hint="eastAsia"/>
                <w:bCs/>
              </w:rPr>
              <w:t>113</w:t>
            </w:r>
            <w:r>
              <w:rPr>
                <w:rFonts w:eastAsia="標楷體" w:hint="eastAsia"/>
                <w:bCs/>
              </w:rPr>
              <w:t>年警政署及各警察機關自行編列（或相關經費勻支）之心理諮商輔導經費總計</w:t>
            </w:r>
            <w:r>
              <w:rPr>
                <w:rFonts w:eastAsia="標楷體" w:hint="eastAsia"/>
                <w:bCs/>
              </w:rPr>
              <w:t>696</w:t>
            </w:r>
            <w:r>
              <w:rPr>
                <w:rFonts w:eastAsia="標楷體" w:hint="eastAsia"/>
                <w:bCs/>
              </w:rPr>
              <w:t>萬餘元，</w:t>
            </w:r>
            <w:r>
              <w:rPr>
                <w:rFonts w:eastAsia="標楷體" w:hint="eastAsia"/>
                <w:bCs/>
              </w:rPr>
              <w:t>114</w:t>
            </w:r>
            <w:r>
              <w:rPr>
                <w:rFonts w:eastAsia="標楷體" w:hint="eastAsia"/>
                <w:bCs/>
              </w:rPr>
              <w:t>年已提升至</w:t>
            </w:r>
            <w:r>
              <w:rPr>
                <w:rFonts w:eastAsia="標楷體" w:hint="eastAsia"/>
                <w:bCs/>
              </w:rPr>
              <w:t>1,200</w:t>
            </w:r>
            <w:r>
              <w:rPr>
                <w:rFonts w:eastAsia="標楷體" w:hint="eastAsia"/>
                <w:bCs/>
              </w:rPr>
              <w:t>萬餘元。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14:paraId="7D2F1620" w14:textId="77777777"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2.</w:t>
            </w:r>
            <w:r>
              <w:rPr>
                <w:rFonts w:eastAsia="標楷體" w:hint="eastAsia"/>
                <w:bCs/>
              </w:rPr>
              <w:t>各警察機關自</w:t>
            </w:r>
            <w:r>
              <w:rPr>
                <w:rFonts w:eastAsia="標楷體" w:hint="eastAsia"/>
                <w:bCs/>
              </w:rPr>
              <w:t>113</w:t>
            </w:r>
            <w:r>
              <w:rPr>
                <w:rFonts w:eastAsia="標楷體" w:hint="eastAsia"/>
                <w:bCs/>
              </w:rPr>
              <w:t>年下半年起，逐步增加委外合作之心理諮商機構，由原</w:t>
            </w:r>
            <w:r>
              <w:rPr>
                <w:rFonts w:eastAsia="標楷體" w:hint="eastAsia"/>
                <w:bCs/>
              </w:rPr>
              <w:t>81</w:t>
            </w:r>
            <w:r>
              <w:rPr>
                <w:rFonts w:eastAsia="標楷體" w:hint="eastAsia"/>
                <w:bCs/>
              </w:rPr>
              <w:t>處增加至</w:t>
            </w:r>
            <w:r>
              <w:rPr>
                <w:rFonts w:eastAsia="標楷體" w:hint="eastAsia"/>
                <w:bCs/>
              </w:rPr>
              <w:t>160</w:t>
            </w:r>
            <w:r>
              <w:rPr>
                <w:rFonts w:eastAsia="標楷體" w:hint="eastAsia"/>
                <w:bCs/>
              </w:rPr>
              <w:t>處，並採分區設點方式提供服務，以提升心理健康服務資源之可近性。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14:paraId="1270D6A5" w14:textId="77777777"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3.</w:t>
            </w:r>
            <w:r>
              <w:rPr>
                <w:rFonts w:eastAsia="標楷體" w:hint="eastAsia"/>
                <w:bCs/>
              </w:rPr>
              <w:t>「委外預約諮商服務」使用人次，已由</w:t>
            </w:r>
            <w:r>
              <w:rPr>
                <w:rFonts w:eastAsia="標楷體" w:hint="eastAsia"/>
                <w:bCs/>
              </w:rPr>
              <w:t>110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465</w:t>
            </w:r>
            <w:r>
              <w:rPr>
                <w:rFonts w:eastAsia="標楷體" w:hint="eastAsia"/>
                <w:bCs/>
              </w:rPr>
              <w:t>人次逐年遞增至</w:t>
            </w:r>
            <w:r>
              <w:rPr>
                <w:rFonts w:eastAsia="標楷體" w:hint="eastAsia"/>
                <w:bCs/>
              </w:rPr>
              <w:t>113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1751</w:t>
            </w:r>
            <w:r>
              <w:rPr>
                <w:rFonts w:eastAsia="標楷體" w:hint="eastAsia"/>
                <w:bCs/>
              </w:rPr>
              <w:t>人次，成長逾</w:t>
            </w:r>
            <w:r>
              <w:rPr>
                <w:rFonts w:eastAsia="標楷體" w:hint="eastAsia"/>
                <w:bCs/>
              </w:rPr>
              <w:t>3</w:t>
            </w:r>
            <w:r>
              <w:rPr>
                <w:rFonts w:eastAsia="標楷體" w:hint="eastAsia"/>
                <w:bCs/>
              </w:rPr>
              <w:t>倍，且首度超越關老師轉介人次。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14:paraId="0DE725BA" w14:textId="77777777"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 xml:space="preserve">4. </w:t>
            </w:r>
            <w:r>
              <w:rPr>
                <w:rFonts w:eastAsia="標楷體" w:hint="eastAsia"/>
                <w:bCs/>
              </w:rPr>
              <w:t>警政署已針對「員警心理健康照護及自殺防治策略」專家會議提出之</w:t>
            </w:r>
            <w:r>
              <w:rPr>
                <w:rFonts w:eastAsia="標楷體" w:hint="eastAsia"/>
                <w:bCs/>
              </w:rPr>
              <w:t>15</w:t>
            </w:r>
            <w:r>
              <w:rPr>
                <w:rFonts w:eastAsia="標楷體" w:hint="eastAsia"/>
                <w:bCs/>
              </w:rPr>
              <w:t>項建議，逐項研議改善作為及安全防護機制。相關措施包括員警心理諮商輔導機制、官警兩校高關懷個案轉銜機制、養成教育及在職訓練心理衛教課程、關老師專業職能訓練及自殺防治等。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14:paraId="0825DD5C" w14:textId="7C5AA563" w:rsidR="00FF343B" w:rsidRPr="0078237E" w:rsidRDefault="007336A7" w:rsidP="00440949">
            <w:pPr>
              <w:spacing w:line="360" w:lineRule="atLeast"/>
              <w:jc w:val="both"/>
              <w:rPr>
                <w:rFonts w:eastAsia="標楷體" w:hint="eastAsia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5.</w:t>
            </w:r>
            <w:r>
              <w:rPr>
                <w:rFonts w:eastAsia="標楷體" w:hint="eastAsia"/>
                <w:bCs/>
              </w:rPr>
              <w:t>為落實勤務編排合理性，警政署已修訂「警察機關輪班輪休</w:t>
            </w:r>
            <w:proofErr w:type="gramStart"/>
            <w:r>
              <w:rPr>
                <w:rFonts w:eastAsia="標楷體" w:hint="eastAsia"/>
                <w:bCs/>
              </w:rPr>
              <w:t>人員勤休實施</w:t>
            </w:r>
            <w:proofErr w:type="gramEnd"/>
            <w:r>
              <w:rPr>
                <w:rFonts w:eastAsia="標楷體" w:hint="eastAsia"/>
                <w:bCs/>
              </w:rPr>
              <w:t>要點」及實施「各級警察機關辦理勤務審核作業規定」，並召開警察勤業務精簡化會議，要求各單位全面盤點業管業務、計畫及相關規定等，進行減免、整</w:t>
            </w:r>
            <w:proofErr w:type="gramStart"/>
            <w:r>
              <w:rPr>
                <w:rFonts w:eastAsia="標楷體" w:hint="eastAsia"/>
                <w:bCs/>
              </w:rPr>
              <w:t>併</w:t>
            </w:r>
            <w:proofErr w:type="gramEnd"/>
            <w:r>
              <w:rPr>
                <w:rFonts w:eastAsia="標楷體" w:hint="eastAsia"/>
                <w:bCs/>
              </w:rPr>
              <w:t>或減（簡）</w:t>
            </w:r>
            <w:proofErr w:type="gramStart"/>
            <w:r>
              <w:rPr>
                <w:rFonts w:eastAsia="標楷體" w:hint="eastAsia"/>
                <w:bCs/>
              </w:rPr>
              <w:t>化勤業務</w:t>
            </w:r>
            <w:proofErr w:type="gramEnd"/>
            <w:r>
              <w:rPr>
                <w:rFonts w:eastAsia="標楷體" w:hint="eastAsia"/>
                <w:bCs/>
              </w:rPr>
              <w:t>，以有效減輕員警工作負擔。</w:t>
            </w:r>
            <w:r>
              <w:rPr>
                <w:rFonts w:eastAsia="標楷體" w:hint="eastAsia"/>
                <w:bCs/>
              </w:rPr>
              <w:t xml:space="preserve"> </w:t>
            </w:r>
          </w:p>
        </w:tc>
        <w:tc>
          <w:tcPr>
            <w:tcW w:w="1984" w:type="dxa"/>
          </w:tcPr>
          <w:p w14:paraId="2FA9BDE2" w14:textId="77777777" w:rsidR="00FF343B" w:rsidRDefault="007336A7" w:rsidP="00FD1947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內政及族群委員會114.04.15第6屆第58次會議決議 : 結案存查。</w:t>
            </w:r>
          </w:p>
        </w:tc>
      </w:tr>
    </w:tbl>
    <w:p w14:paraId="26677A29" w14:textId="77777777" w:rsidR="008E6A2A" w:rsidRDefault="008E6A2A" w:rsidP="00B80D60">
      <w:pPr>
        <w:snapToGrid w:val="0"/>
        <w:spacing w:beforeLines="100" w:before="360" w:line="240" w:lineRule="atLeast"/>
        <w:ind w:leftChars="6" w:left="866" w:hangingChars="304" w:hanging="852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填表人員簽章：</w:t>
      </w:r>
      <w:r>
        <w:rPr>
          <w:rFonts w:eastAsia="標楷體" w:hint="eastAsia"/>
          <w:b/>
          <w:bCs/>
          <w:sz w:val="28"/>
        </w:rPr>
        <w:t xml:space="preserve">                               </w:t>
      </w:r>
      <w:r>
        <w:rPr>
          <w:rFonts w:eastAsia="標楷體" w:hint="eastAsia"/>
          <w:b/>
          <w:bCs/>
          <w:sz w:val="28"/>
        </w:rPr>
        <w:t>單位主管人員：</w:t>
      </w:r>
    </w:p>
    <w:sectPr w:rsidR="008E6A2A" w:rsidSect="00E95086">
      <w:headerReference w:type="default" r:id="rId7"/>
      <w:footerReference w:type="even" r:id="rId8"/>
      <w:footerReference w:type="default" r:id="rId9"/>
      <w:pgSz w:w="16840" w:h="11907" w:orient="landscape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DCEC2" w14:textId="77777777" w:rsidR="00A7637B" w:rsidRDefault="00A7637B" w:rsidP="008E6A2A">
      <w:r>
        <w:separator/>
      </w:r>
    </w:p>
  </w:endnote>
  <w:endnote w:type="continuationSeparator" w:id="0">
    <w:p w14:paraId="42B9C947" w14:textId="77777777" w:rsidR="00A7637B" w:rsidRDefault="00A7637B" w:rsidP="008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E6DDA" w14:textId="77777777" w:rsidR="008E6A2A" w:rsidRDefault="00021819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A2A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5B931AA" w14:textId="77777777" w:rsidR="008E6A2A" w:rsidRDefault="008E6A2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1264B" w14:textId="77777777" w:rsidR="008E6A2A" w:rsidRPr="00530BF4" w:rsidRDefault="00530BF4" w:rsidP="00530BF4">
    <w:pPr>
      <w:pStyle w:val="a9"/>
      <w:tabs>
        <w:tab w:val="clear" w:pos="4153"/>
        <w:tab w:val="clear" w:pos="8306"/>
        <w:tab w:val="center" w:pos="7002"/>
        <w:tab w:val="right" w:pos="14004"/>
      </w:tabs>
      <w:ind w:right="360"/>
      <w:rPr>
        <w:rFonts w:eastAsia="標楷體"/>
      </w:rPr>
    </w:pPr>
    <w:r w:rsidRPr="00530BF4">
      <w:rPr>
        <w:rFonts w:eastAsia="標楷體" w:hint="eastAsia"/>
      </w:rPr>
      <w:t>報表編號：</w:t>
    </w:r>
    <w:r w:rsidRPr="00530BF4">
      <w:rPr>
        <w:rFonts w:eastAsia="標楷體" w:hint="eastAsia"/>
      </w:rPr>
      <w:t>L0607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第</w:t>
    </w:r>
    <w:r w:rsidR="00021819" w:rsidRPr="00530BF4">
      <w:rPr>
        <w:rFonts w:eastAsia="標楷體"/>
      </w:rPr>
      <w:fldChar w:fldCharType="begin"/>
    </w:r>
    <w:r w:rsidRPr="00530BF4">
      <w:rPr>
        <w:rFonts w:eastAsia="標楷體"/>
      </w:rPr>
      <w:instrText xml:space="preserve"> PAGE   \* MERGEFORMAT </w:instrText>
    </w:r>
    <w:r w:rsidR="00021819" w:rsidRPr="00530BF4">
      <w:rPr>
        <w:rFonts w:eastAsia="標楷體"/>
      </w:rPr>
      <w:fldChar w:fldCharType="separate"/>
    </w:r>
    <w:r w:rsidR="002551AA">
      <w:rPr>
        <w:rFonts w:eastAsia="標楷體"/>
        <w:noProof/>
      </w:rPr>
      <w:t>1</w:t>
    </w:r>
    <w:r w:rsidR="00021819" w:rsidRPr="00530BF4">
      <w:rPr>
        <w:rFonts w:eastAsia="標楷體"/>
      </w:rPr>
      <w:fldChar w:fldCharType="end"/>
    </w:r>
    <w:r w:rsidRPr="00530BF4">
      <w:rPr>
        <w:rFonts w:eastAsia="標楷體" w:hint="eastAsia"/>
      </w:rPr>
      <w:t>頁，共</w:t>
    </w:r>
    <w:fldSimple w:instr=" NUMPAGES  \* Arabic  \* MERGEFORMAT ">
      <w:r w:rsidR="002551AA" w:rsidRPr="002551AA">
        <w:rPr>
          <w:rFonts w:eastAsia="標楷體"/>
          <w:noProof/>
        </w:rPr>
        <w:t>1</w:t>
      </w:r>
    </w:fldSimple>
    <w:r w:rsidRPr="00530BF4">
      <w:rPr>
        <w:rFonts w:eastAsia="標楷體" w:hint="eastAsia"/>
      </w:rPr>
      <w:t>頁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製表日期：</w:t>
    </w:r>
    <w:r w:rsidRPr="00530BF4">
      <w:rPr>
        <w:rFonts w:eastAsia="標楷體" w:hint="eastAsia"/>
      </w:rPr>
      <w:t>114/08/01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61100" w14:textId="77777777" w:rsidR="00A7637B" w:rsidRDefault="00A7637B" w:rsidP="008E6A2A">
      <w:r>
        <w:separator/>
      </w:r>
    </w:p>
  </w:footnote>
  <w:footnote w:type="continuationSeparator" w:id="0">
    <w:p w14:paraId="764D0F41" w14:textId="77777777" w:rsidR="00A7637B" w:rsidRDefault="00A7637B" w:rsidP="008E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40B39" w14:textId="77777777" w:rsidR="00BF6519" w:rsidRDefault="008E6A2A" w:rsidP="002551AA">
    <w:pPr>
      <w:pStyle w:val="ab"/>
      <w:spacing w:beforeLines="120" w:before="288"/>
      <w:jc w:val="center"/>
      <w:rPr>
        <w:rFonts w:eastAsia="標楷體"/>
        <w:b/>
        <w:bCs/>
        <w:sz w:val="40"/>
      </w:rPr>
    </w:pPr>
    <w:bookmarkStart w:id="0" w:name="OLE_LINK1"/>
    <w:r>
      <w:rPr>
        <w:rFonts w:eastAsia="標楷體" w:hint="eastAsia"/>
        <w:b/>
        <w:bCs/>
        <w:sz w:val="40"/>
      </w:rPr>
      <w:t>監察院內政及族群委員會調查報告結案情形一覽表</w:t>
    </w:r>
  </w:p>
  <w:bookmarkEnd w:id="0"/>
  <w:p w14:paraId="40EF3BC2" w14:textId="77777777" w:rsidR="008E6A2A" w:rsidRPr="00BF6519" w:rsidRDefault="008E6A2A" w:rsidP="002551AA">
    <w:pPr>
      <w:pStyle w:val="ab"/>
      <w:spacing w:beforeLines="120" w:before="288" w:line="240" w:lineRule="exact"/>
      <w:jc w:val="right"/>
      <w:rPr>
        <w:rFonts w:ascii="標楷體" w:eastAsia="標楷體" w:hAnsi="標楷體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3CA"/>
    <w:multiLevelType w:val="hybridMultilevel"/>
    <w:tmpl w:val="9EF81C50"/>
    <w:lvl w:ilvl="0" w:tplc="82126094">
      <w:start w:val="1"/>
      <w:numFmt w:val="decimal"/>
      <w:lvlText w:val="%1."/>
      <w:lvlJc w:val="left"/>
      <w:pPr>
        <w:tabs>
          <w:tab w:val="num" w:pos="2120"/>
        </w:tabs>
        <w:ind w:left="21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" w15:restartNumberingAfterBreak="0">
    <w:nsid w:val="048B68F4"/>
    <w:multiLevelType w:val="hybridMultilevel"/>
    <w:tmpl w:val="E60AB688"/>
    <w:lvl w:ilvl="0" w:tplc="43E8A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7742D7"/>
    <w:multiLevelType w:val="hybridMultilevel"/>
    <w:tmpl w:val="237E18CA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B56071"/>
    <w:multiLevelType w:val="hybridMultilevel"/>
    <w:tmpl w:val="376EDB6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F8469A8"/>
    <w:multiLevelType w:val="hybridMultilevel"/>
    <w:tmpl w:val="1D1C2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0E010C"/>
    <w:multiLevelType w:val="multilevel"/>
    <w:tmpl w:val="F4CCF22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6" w15:restartNumberingAfterBreak="0">
    <w:nsid w:val="1EA258FA"/>
    <w:multiLevelType w:val="hybridMultilevel"/>
    <w:tmpl w:val="B13CD934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693CB5"/>
    <w:multiLevelType w:val="hybridMultilevel"/>
    <w:tmpl w:val="3B7EAF7C"/>
    <w:lvl w:ilvl="0" w:tplc="66D0B39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D63EF9"/>
    <w:multiLevelType w:val="hybridMultilevel"/>
    <w:tmpl w:val="717C3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0D0113"/>
    <w:multiLevelType w:val="hybridMultilevel"/>
    <w:tmpl w:val="BF36096A"/>
    <w:lvl w:ilvl="0" w:tplc="AC5AAAD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5D593A"/>
    <w:multiLevelType w:val="hybridMultilevel"/>
    <w:tmpl w:val="9AB45D32"/>
    <w:lvl w:ilvl="0" w:tplc="93DE43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5F2C2C"/>
    <w:multiLevelType w:val="hybridMultilevel"/>
    <w:tmpl w:val="D1869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46B562C8"/>
    <w:multiLevelType w:val="hybridMultilevel"/>
    <w:tmpl w:val="C7B62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FA2E65"/>
    <w:multiLevelType w:val="hybridMultilevel"/>
    <w:tmpl w:val="594E6F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F33A0C"/>
    <w:multiLevelType w:val="hybridMultilevel"/>
    <w:tmpl w:val="4334B1CE"/>
    <w:lvl w:ilvl="0" w:tplc="BABA250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D370EA"/>
    <w:multiLevelType w:val="singleLevel"/>
    <w:tmpl w:val="0122E9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6" w15:restartNumberingAfterBreak="0">
    <w:nsid w:val="52E310EA"/>
    <w:multiLevelType w:val="hybridMultilevel"/>
    <w:tmpl w:val="C5A29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634B26"/>
    <w:multiLevelType w:val="hybridMultilevel"/>
    <w:tmpl w:val="88B4E6DC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 w15:restartNumberingAfterBreak="0">
    <w:nsid w:val="5784317F"/>
    <w:multiLevelType w:val="hybridMultilevel"/>
    <w:tmpl w:val="01ECF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CE56F9"/>
    <w:multiLevelType w:val="hybridMultilevel"/>
    <w:tmpl w:val="C1846000"/>
    <w:lvl w:ilvl="0" w:tplc="CAC0AB5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3767BF"/>
    <w:multiLevelType w:val="hybridMultilevel"/>
    <w:tmpl w:val="9160A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0069D4"/>
    <w:multiLevelType w:val="hybridMultilevel"/>
    <w:tmpl w:val="409E5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155C2D"/>
    <w:multiLevelType w:val="hybridMultilevel"/>
    <w:tmpl w:val="DF94D388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39648C"/>
    <w:multiLevelType w:val="hybridMultilevel"/>
    <w:tmpl w:val="1576B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0649B2"/>
    <w:multiLevelType w:val="hybridMultilevel"/>
    <w:tmpl w:val="9894D2E4"/>
    <w:lvl w:ilvl="0" w:tplc="156C5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7F6FB7"/>
    <w:multiLevelType w:val="hybridMultilevel"/>
    <w:tmpl w:val="7B0E2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4273C9"/>
    <w:multiLevelType w:val="hybridMultilevel"/>
    <w:tmpl w:val="7D301548"/>
    <w:lvl w:ilvl="0" w:tplc="A0DE03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7E4D33"/>
    <w:multiLevelType w:val="hybridMultilevel"/>
    <w:tmpl w:val="A0B83530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30801167">
    <w:abstractNumId w:val="15"/>
  </w:num>
  <w:num w:numId="2" w16cid:durableId="1090810572">
    <w:abstractNumId w:val="5"/>
  </w:num>
  <w:num w:numId="3" w16cid:durableId="2095516637">
    <w:abstractNumId w:val="1"/>
  </w:num>
  <w:num w:numId="4" w16cid:durableId="2102529256">
    <w:abstractNumId w:val="0"/>
  </w:num>
  <w:num w:numId="5" w16cid:durableId="694815612">
    <w:abstractNumId w:val="23"/>
  </w:num>
  <w:num w:numId="6" w16cid:durableId="2076538151">
    <w:abstractNumId w:val="27"/>
  </w:num>
  <w:num w:numId="7" w16cid:durableId="1426540205">
    <w:abstractNumId w:val="22"/>
  </w:num>
  <w:num w:numId="8" w16cid:durableId="1069569954">
    <w:abstractNumId w:val="2"/>
  </w:num>
  <w:num w:numId="9" w16cid:durableId="619845043">
    <w:abstractNumId w:val="6"/>
  </w:num>
  <w:num w:numId="10" w16cid:durableId="559093101">
    <w:abstractNumId w:val="24"/>
  </w:num>
  <w:num w:numId="11" w16cid:durableId="1387757382">
    <w:abstractNumId w:val="13"/>
  </w:num>
  <w:num w:numId="12" w16cid:durableId="286276110">
    <w:abstractNumId w:val="21"/>
  </w:num>
  <w:num w:numId="13" w16cid:durableId="1896743035">
    <w:abstractNumId w:val="8"/>
  </w:num>
  <w:num w:numId="14" w16cid:durableId="552350152">
    <w:abstractNumId w:val="17"/>
  </w:num>
  <w:num w:numId="15" w16cid:durableId="1013607374">
    <w:abstractNumId w:val="11"/>
  </w:num>
  <w:num w:numId="16" w16cid:durableId="2077168552">
    <w:abstractNumId w:val="12"/>
  </w:num>
  <w:num w:numId="17" w16cid:durableId="2121413877">
    <w:abstractNumId w:val="25"/>
  </w:num>
  <w:num w:numId="18" w16cid:durableId="1505438741">
    <w:abstractNumId w:val="9"/>
  </w:num>
  <w:num w:numId="19" w16cid:durableId="1894535521">
    <w:abstractNumId w:val="16"/>
  </w:num>
  <w:num w:numId="20" w16cid:durableId="522284382">
    <w:abstractNumId w:val="3"/>
  </w:num>
  <w:num w:numId="21" w16cid:durableId="1333685599">
    <w:abstractNumId w:val="20"/>
  </w:num>
  <w:num w:numId="22" w16cid:durableId="1976909388">
    <w:abstractNumId w:val="18"/>
  </w:num>
  <w:num w:numId="23" w16cid:durableId="761149818">
    <w:abstractNumId w:val="7"/>
  </w:num>
  <w:num w:numId="24" w16cid:durableId="2144763416">
    <w:abstractNumId w:val="14"/>
  </w:num>
  <w:num w:numId="25" w16cid:durableId="629631754">
    <w:abstractNumId w:val="19"/>
  </w:num>
  <w:num w:numId="26" w16cid:durableId="954794610">
    <w:abstractNumId w:val="10"/>
  </w:num>
  <w:num w:numId="27" w16cid:durableId="1401366253">
    <w:abstractNumId w:val="26"/>
  </w:num>
  <w:num w:numId="28" w16cid:durableId="61467366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〉》」』】〕〞︰︱︳︴︶︸︺︼︾﹀﹂﹄﹏﹐﹑﹒﹔﹕﹖﹗﹚﹜﹞！），．：；？］｜｝､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86"/>
    <w:rsid w:val="000000E9"/>
    <w:rsid w:val="00012735"/>
    <w:rsid w:val="00021819"/>
    <w:rsid w:val="000925CB"/>
    <w:rsid w:val="000A03B4"/>
    <w:rsid w:val="000B3010"/>
    <w:rsid w:val="000D173D"/>
    <w:rsid w:val="000D2F33"/>
    <w:rsid w:val="00107F76"/>
    <w:rsid w:val="00116C5C"/>
    <w:rsid w:val="00132E54"/>
    <w:rsid w:val="00135D2D"/>
    <w:rsid w:val="00144040"/>
    <w:rsid w:val="001A630D"/>
    <w:rsid w:val="001C2DB1"/>
    <w:rsid w:val="001C2FC4"/>
    <w:rsid w:val="001F18D3"/>
    <w:rsid w:val="00203463"/>
    <w:rsid w:val="002551AA"/>
    <w:rsid w:val="00286BEE"/>
    <w:rsid w:val="00294BC3"/>
    <w:rsid w:val="002A41AF"/>
    <w:rsid w:val="002B00F5"/>
    <w:rsid w:val="00300EAE"/>
    <w:rsid w:val="00311E45"/>
    <w:rsid w:val="00323CED"/>
    <w:rsid w:val="00335C31"/>
    <w:rsid w:val="003571B8"/>
    <w:rsid w:val="0036733D"/>
    <w:rsid w:val="00382907"/>
    <w:rsid w:val="003927F4"/>
    <w:rsid w:val="003969C9"/>
    <w:rsid w:val="003D263F"/>
    <w:rsid w:val="003F4B49"/>
    <w:rsid w:val="0040231B"/>
    <w:rsid w:val="00404F55"/>
    <w:rsid w:val="00440949"/>
    <w:rsid w:val="00456CC2"/>
    <w:rsid w:val="00460450"/>
    <w:rsid w:val="00464371"/>
    <w:rsid w:val="00480207"/>
    <w:rsid w:val="00484F8A"/>
    <w:rsid w:val="0049741B"/>
    <w:rsid w:val="004A3E81"/>
    <w:rsid w:val="004A60C4"/>
    <w:rsid w:val="004B3C60"/>
    <w:rsid w:val="004D23FF"/>
    <w:rsid w:val="0050205F"/>
    <w:rsid w:val="00504CF5"/>
    <w:rsid w:val="00505F02"/>
    <w:rsid w:val="005245A8"/>
    <w:rsid w:val="00530BF4"/>
    <w:rsid w:val="00550E1F"/>
    <w:rsid w:val="00584FFF"/>
    <w:rsid w:val="005A2C83"/>
    <w:rsid w:val="005D55B3"/>
    <w:rsid w:val="006051B8"/>
    <w:rsid w:val="00605E93"/>
    <w:rsid w:val="00615817"/>
    <w:rsid w:val="006305BF"/>
    <w:rsid w:val="006B1797"/>
    <w:rsid w:val="006C264B"/>
    <w:rsid w:val="007032D2"/>
    <w:rsid w:val="00720393"/>
    <w:rsid w:val="007336A7"/>
    <w:rsid w:val="0078237E"/>
    <w:rsid w:val="00782BFE"/>
    <w:rsid w:val="00840E6E"/>
    <w:rsid w:val="00842B98"/>
    <w:rsid w:val="00851BF4"/>
    <w:rsid w:val="00851E63"/>
    <w:rsid w:val="00866C3B"/>
    <w:rsid w:val="008676B9"/>
    <w:rsid w:val="00872D71"/>
    <w:rsid w:val="00876606"/>
    <w:rsid w:val="00897D01"/>
    <w:rsid w:val="008A3D0E"/>
    <w:rsid w:val="008A7EFF"/>
    <w:rsid w:val="008C6961"/>
    <w:rsid w:val="008E6A2A"/>
    <w:rsid w:val="008F1D41"/>
    <w:rsid w:val="009038BA"/>
    <w:rsid w:val="00911C3F"/>
    <w:rsid w:val="00911FB8"/>
    <w:rsid w:val="0094299B"/>
    <w:rsid w:val="0095652A"/>
    <w:rsid w:val="00965E53"/>
    <w:rsid w:val="0096785A"/>
    <w:rsid w:val="00984A86"/>
    <w:rsid w:val="00995389"/>
    <w:rsid w:val="00997EEA"/>
    <w:rsid w:val="009A1B2D"/>
    <w:rsid w:val="009A313F"/>
    <w:rsid w:val="009C1C19"/>
    <w:rsid w:val="009E4A13"/>
    <w:rsid w:val="009E6993"/>
    <w:rsid w:val="009F00F5"/>
    <w:rsid w:val="009F7F28"/>
    <w:rsid w:val="00A004DD"/>
    <w:rsid w:val="00A20EDD"/>
    <w:rsid w:val="00A275CD"/>
    <w:rsid w:val="00A37697"/>
    <w:rsid w:val="00A40DAA"/>
    <w:rsid w:val="00A712A6"/>
    <w:rsid w:val="00A7637B"/>
    <w:rsid w:val="00A9424B"/>
    <w:rsid w:val="00AB71AC"/>
    <w:rsid w:val="00AB7B64"/>
    <w:rsid w:val="00AD17AD"/>
    <w:rsid w:val="00AD34E8"/>
    <w:rsid w:val="00AE59BC"/>
    <w:rsid w:val="00AF0811"/>
    <w:rsid w:val="00AF38BC"/>
    <w:rsid w:val="00B1548D"/>
    <w:rsid w:val="00B20AC7"/>
    <w:rsid w:val="00B24DA2"/>
    <w:rsid w:val="00B46BE2"/>
    <w:rsid w:val="00B55C6A"/>
    <w:rsid w:val="00B634E3"/>
    <w:rsid w:val="00B636B4"/>
    <w:rsid w:val="00B80D60"/>
    <w:rsid w:val="00BD120E"/>
    <w:rsid w:val="00BD27F2"/>
    <w:rsid w:val="00BD5F7B"/>
    <w:rsid w:val="00BE479E"/>
    <w:rsid w:val="00BF6519"/>
    <w:rsid w:val="00C06893"/>
    <w:rsid w:val="00C20C4F"/>
    <w:rsid w:val="00C318D0"/>
    <w:rsid w:val="00C4036E"/>
    <w:rsid w:val="00C6169B"/>
    <w:rsid w:val="00C72582"/>
    <w:rsid w:val="00C744B1"/>
    <w:rsid w:val="00CB2E8C"/>
    <w:rsid w:val="00CC2941"/>
    <w:rsid w:val="00CC4AAE"/>
    <w:rsid w:val="00CD3A33"/>
    <w:rsid w:val="00D064A0"/>
    <w:rsid w:val="00D27C46"/>
    <w:rsid w:val="00D47D4D"/>
    <w:rsid w:val="00D76EC1"/>
    <w:rsid w:val="00D87FA8"/>
    <w:rsid w:val="00D97F24"/>
    <w:rsid w:val="00DA6DB5"/>
    <w:rsid w:val="00DD0571"/>
    <w:rsid w:val="00E177C9"/>
    <w:rsid w:val="00E84CC0"/>
    <w:rsid w:val="00E92538"/>
    <w:rsid w:val="00E93223"/>
    <w:rsid w:val="00E95086"/>
    <w:rsid w:val="00ED5BEB"/>
    <w:rsid w:val="00EE1FB2"/>
    <w:rsid w:val="00EE3734"/>
    <w:rsid w:val="00F041B1"/>
    <w:rsid w:val="00F9537C"/>
    <w:rsid w:val="00F96995"/>
    <w:rsid w:val="00FD1947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ACF77"/>
  <w15:docId w15:val="{3BC42D0D-C5C5-4BC4-8A01-51A3039C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basedOn w:val="a0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basedOn w:val="a0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>監察院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監察院調查報告結案情形一覽表</dc:title>
  <dc:subject/>
  <dc:creator>監察院</dc:creator>
  <cp:keywords/>
  <dc:description/>
  <cp:lastModifiedBy>陳美如</cp:lastModifiedBy>
  <cp:revision>2</cp:revision>
  <cp:lastPrinted>2010-06-29T02:42:00Z</cp:lastPrinted>
  <dcterms:created xsi:type="dcterms:W3CDTF">2025-08-01T02:25:00Z</dcterms:created>
  <dcterms:modified xsi:type="dcterms:W3CDTF">2025-08-01T02:25:00Z</dcterms:modified>
</cp:coreProperties>
</file>