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14:paraId="2B9989A0" w14:textId="77777777" w:rsidTr="00605E93">
        <w:trPr>
          <w:tblHeader/>
        </w:trPr>
        <w:tc>
          <w:tcPr>
            <w:tcW w:w="545" w:type="dxa"/>
            <w:vAlign w:val="center"/>
          </w:tcPr>
          <w:p w14:paraId="0352F18E" w14:textId="77777777"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14:paraId="200981C5" w14:textId="77777777"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14:paraId="27C42A5A" w14:textId="77777777"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14:paraId="6B67C768" w14:textId="77777777" w:rsidTr="00605E93">
        <w:trPr>
          <w:trHeight w:val="468"/>
        </w:trPr>
        <w:tc>
          <w:tcPr>
            <w:tcW w:w="545" w:type="dxa"/>
            <w:vAlign w:val="center"/>
          </w:tcPr>
          <w:p w14:paraId="3C418B2E" w14:textId="77777777"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108</w:t>
            </w:r>
            <w:r>
              <w:rPr>
                <w:rFonts w:eastAsia="標楷體" w:hint="eastAsia"/>
                <w:bCs/>
                <w:szCs w:val="28"/>
              </w:rPr>
              <w:t>內調</w:t>
            </w:r>
            <w:r>
              <w:rPr>
                <w:rFonts w:eastAsia="標楷體" w:hint="eastAsia"/>
                <w:bCs/>
                <w:szCs w:val="28"/>
              </w:rPr>
              <w:t>0069</w:t>
            </w:r>
          </w:p>
        </w:tc>
        <w:tc>
          <w:tcPr>
            <w:tcW w:w="5762" w:type="dxa"/>
          </w:tcPr>
          <w:p w14:paraId="39852533" w14:textId="77777777"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14:paraId="43F0E5ED" w14:textId="77777777" w:rsidR="00FF343B" w:rsidRPr="0078237E" w:rsidRDefault="007336A7" w:rsidP="00440949">
            <w:pPr>
              <w:spacing w:line="360" w:lineRule="atLeast"/>
              <w:jc w:val="both"/>
              <w:rPr>
                <w:rFonts w:eastAsia="標楷體"/>
                <w:bCs/>
                <w:szCs w:val="28"/>
              </w:rPr>
            </w:pPr>
            <w:r>
              <w:rPr>
                <w:rFonts w:eastAsia="標楷體" w:hint="eastAsia"/>
                <w:bCs/>
              </w:rPr>
              <w:t>一、修正</w:t>
            </w:r>
            <w:r>
              <w:rPr>
                <w:rFonts w:eastAsia="標楷體" w:hint="eastAsia"/>
                <w:bCs/>
              </w:rPr>
              <w:t>109</w:t>
            </w:r>
            <w:r>
              <w:rPr>
                <w:rFonts w:eastAsia="標楷體" w:hint="eastAsia"/>
                <w:bCs/>
              </w:rPr>
              <w:t>年公共建築物及騎樓無障礙環境督導考核計畫（辦理騎樓整平宣導說明會或協調會）</w:t>
            </w:r>
            <w:r>
              <w:rPr>
                <w:rFonts w:eastAsia="標楷體" w:hint="eastAsia"/>
                <w:bCs/>
              </w:rPr>
              <w:t xml:space="preserve"> </w:t>
            </w:r>
          </w:p>
          <w:p w14:paraId="0BB18B1E" w14:textId="77777777" w:rsidR="00FF343B" w:rsidRPr="0078237E" w:rsidRDefault="007336A7" w:rsidP="00440949">
            <w:pPr>
              <w:spacing w:line="360" w:lineRule="atLeast"/>
              <w:jc w:val="both"/>
              <w:rPr>
                <w:rFonts w:eastAsia="標楷體"/>
                <w:bCs/>
                <w:szCs w:val="28"/>
              </w:rPr>
            </w:pPr>
            <w:r>
              <w:rPr>
                <w:rFonts w:eastAsia="標楷體" w:hint="eastAsia"/>
                <w:bCs/>
              </w:rPr>
              <w:t>二、修正</w:t>
            </w:r>
            <w:r>
              <w:rPr>
                <w:rFonts w:eastAsia="標楷體" w:hint="eastAsia"/>
                <w:bCs/>
              </w:rPr>
              <w:t>110</w:t>
            </w:r>
            <w:r>
              <w:rPr>
                <w:rFonts w:eastAsia="標楷體" w:hint="eastAsia"/>
                <w:bCs/>
              </w:rPr>
              <w:t>年公共建築物及騎樓無障礙環境督導考核計畫（客房數未達</w:t>
            </w:r>
            <w:r>
              <w:rPr>
                <w:rFonts w:eastAsia="標楷體" w:hint="eastAsia"/>
                <w:bCs/>
              </w:rPr>
              <w:t>50</w:t>
            </w:r>
            <w:r>
              <w:rPr>
                <w:rFonts w:eastAsia="標楷體" w:hint="eastAsia"/>
                <w:bCs/>
              </w:rPr>
              <w:t>間之一般旅館的清查並納入分類、分期、分區執行計畫）</w:t>
            </w:r>
            <w:r>
              <w:rPr>
                <w:rFonts w:eastAsia="標楷體" w:hint="eastAsia"/>
                <w:bCs/>
              </w:rPr>
              <w:t xml:space="preserve"> </w:t>
            </w:r>
          </w:p>
          <w:p w14:paraId="3532C575" w14:textId="77777777" w:rsidR="00FF343B" w:rsidRPr="0078237E" w:rsidRDefault="007336A7" w:rsidP="00440949">
            <w:pPr>
              <w:spacing w:line="360" w:lineRule="atLeast"/>
              <w:jc w:val="both"/>
              <w:rPr>
                <w:rFonts w:eastAsia="標楷體"/>
                <w:bCs/>
                <w:szCs w:val="28"/>
              </w:rPr>
            </w:pPr>
            <w:r>
              <w:rPr>
                <w:rFonts w:eastAsia="標楷體" w:hint="eastAsia"/>
                <w:bCs/>
              </w:rPr>
              <w:t>三、修正</w:t>
            </w:r>
            <w:r>
              <w:rPr>
                <w:rFonts w:eastAsia="標楷體" w:hint="eastAsia"/>
                <w:bCs/>
              </w:rPr>
              <w:t>111</w:t>
            </w:r>
            <w:r>
              <w:rPr>
                <w:rFonts w:eastAsia="標楷體" w:hint="eastAsia"/>
                <w:bCs/>
              </w:rPr>
              <w:t>年公共建築物及騎樓無障礙環境督導考核計畫（清查並研訂分類分期分區計畫與改善期程）</w:t>
            </w:r>
            <w:r>
              <w:rPr>
                <w:rFonts w:eastAsia="標楷體" w:hint="eastAsia"/>
                <w:bCs/>
              </w:rPr>
              <w:t xml:space="preserve"> </w:t>
            </w:r>
          </w:p>
          <w:p w14:paraId="77CDDEE2" w14:textId="77777777" w:rsidR="00FF343B" w:rsidRPr="0078237E" w:rsidRDefault="007336A7" w:rsidP="00440949">
            <w:pPr>
              <w:spacing w:line="360" w:lineRule="atLeast"/>
              <w:jc w:val="both"/>
              <w:rPr>
                <w:rFonts w:eastAsia="標楷體"/>
                <w:bCs/>
                <w:szCs w:val="28"/>
              </w:rPr>
            </w:pPr>
            <w:r>
              <w:rPr>
                <w:rFonts w:eastAsia="標楷體" w:hint="eastAsia"/>
                <w:bCs/>
              </w:rPr>
              <w:t>四、修正</w:t>
            </w:r>
            <w:r>
              <w:rPr>
                <w:rFonts w:eastAsia="標楷體" w:hint="eastAsia"/>
                <w:bCs/>
              </w:rPr>
              <w:t>112</w:t>
            </w:r>
            <w:r>
              <w:rPr>
                <w:rFonts w:eastAsia="標楷體" w:hint="eastAsia"/>
                <w:bCs/>
              </w:rPr>
              <w:t>年公共建築物及騎樓無障礙環境督導考核計畫（增列騎樓整平相關考核項目）</w:t>
            </w:r>
            <w:r>
              <w:rPr>
                <w:rFonts w:eastAsia="標楷體" w:hint="eastAsia"/>
                <w:bCs/>
              </w:rPr>
              <w:t xml:space="preserve"> </w:t>
            </w:r>
          </w:p>
          <w:p w14:paraId="2FEC8BF3" w14:textId="77777777"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14:paraId="20C1A8E5" w14:textId="77777777" w:rsidR="00FF343B" w:rsidRPr="0078237E" w:rsidRDefault="007336A7" w:rsidP="00440949">
            <w:pPr>
              <w:spacing w:line="360" w:lineRule="atLeast"/>
              <w:jc w:val="both"/>
              <w:rPr>
                <w:rFonts w:eastAsia="標楷體"/>
                <w:bCs/>
                <w:szCs w:val="28"/>
              </w:rPr>
            </w:pPr>
            <w:r>
              <w:rPr>
                <w:rFonts w:eastAsia="標楷體" w:hint="eastAsia"/>
                <w:bCs/>
              </w:rPr>
              <w:t>一、內政部</w:t>
            </w:r>
            <w:r>
              <w:rPr>
                <w:rFonts w:eastAsia="標楷體" w:hint="eastAsia"/>
                <w:bCs/>
              </w:rPr>
              <w:t>110.12.30</w:t>
            </w:r>
            <w:r>
              <w:rPr>
                <w:rFonts w:eastAsia="標楷體" w:hint="eastAsia"/>
                <w:bCs/>
              </w:rPr>
              <w:t>修既有公共建築物無</w:t>
            </w:r>
            <w:r>
              <w:rPr>
                <w:rFonts w:eastAsia="標楷體" w:hint="eastAsia"/>
                <w:bCs/>
              </w:rPr>
              <w:t xml:space="preserve"> </w:t>
            </w:r>
            <w:r>
              <w:rPr>
                <w:rFonts w:eastAsia="標楷體" w:hint="eastAsia"/>
                <w:bCs/>
              </w:rPr>
              <w:t>障礙設施替代改善</w:t>
            </w:r>
            <w:r>
              <w:rPr>
                <w:rFonts w:eastAsia="標楷體" w:hint="eastAsia"/>
                <w:bCs/>
              </w:rPr>
              <w:t xml:space="preserve"> </w:t>
            </w:r>
            <w:r>
              <w:rPr>
                <w:rFonts w:eastAsia="標楷體" w:hint="eastAsia"/>
                <w:bCs/>
              </w:rPr>
              <w:t>計畫作業程序及認定原則修正第</w:t>
            </w:r>
            <w:r>
              <w:rPr>
                <w:rFonts w:eastAsia="標楷體" w:hint="eastAsia"/>
                <w:bCs/>
              </w:rPr>
              <w:t>2</w:t>
            </w:r>
            <w:r>
              <w:rPr>
                <w:rFonts w:eastAsia="標楷體" w:hint="eastAsia"/>
                <w:bCs/>
              </w:rPr>
              <w:t>點</w:t>
            </w:r>
            <w:r>
              <w:rPr>
                <w:rFonts w:eastAsia="標楷體" w:hint="eastAsia"/>
                <w:bCs/>
              </w:rPr>
              <w:t xml:space="preserve"> </w:t>
            </w:r>
          </w:p>
          <w:p w14:paraId="407914D6" w14:textId="77777777" w:rsidR="00FF343B" w:rsidRPr="0078237E" w:rsidRDefault="007336A7" w:rsidP="00440949">
            <w:pPr>
              <w:spacing w:line="360" w:lineRule="atLeast"/>
              <w:jc w:val="both"/>
              <w:rPr>
                <w:rFonts w:eastAsia="標楷體"/>
                <w:bCs/>
                <w:szCs w:val="28"/>
              </w:rPr>
            </w:pPr>
            <w:r>
              <w:rPr>
                <w:rFonts w:eastAsia="標楷體" w:hint="eastAsia"/>
                <w:bCs/>
              </w:rPr>
              <w:t>二、文化部</w:t>
            </w:r>
            <w:r>
              <w:rPr>
                <w:rFonts w:eastAsia="標楷體" w:hint="eastAsia"/>
                <w:bCs/>
              </w:rPr>
              <w:t>112.7.28</w:t>
            </w:r>
            <w:r>
              <w:rPr>
                <w:rFonts w:eastAsia="標楷體" w:hint="eastAsia"/>
                <w:bCs/>
              </w:rPr>
              <w:t>修文化部輔導數位出版產業發展補助作業要點修正四點</w:t>
            </w:r>
            <w:r>
              <w:rPr>
                <w:rFonts w:eastAsia="標楷體" w:hint="eastAsia"/>
                <w:bCs/>
              </w:rPr>
              <w:t xml:space="preserve"> </w:t>
            </w:r>
          </w:p>
          <w:p w14:paraId="00211FB3" w14:textId="77777777" w:rsidR="00FF343B" w:rsidRPr="0078237E" w:rsidRDefault="007336A7" w:rsidP="00440949">
            <w:pPr>
              <w:spacing w:line="360" w:lineRule="atLeast"/>
              <w:jc w:val="both"/>
              <w:rPr>
                <w:rFonts w:eastAsia="標楷體"/>
                <w:bCs/>
                <w:szCs w:val="28"/>
              </w:rPr>
            </w:pPr>
            <w:r>
              <w:rPr>
                <w:rFonts w:eastAsia="標楷體" w:hint="eastAsia"/>
                <w:bCs/>
              </w:rPr>
              <w:t>三、教育部</w:t>
            </w:r>
            <w:r>
              <w:rPr>
                <w:rFonts w:eastAsia="標楷體" w:hint="eastAsia"/>
                <w:bCs/>
              </w:rPr>
              <w:t>113.10.7</w:t>
            </w:r>
            <w:r>
              <w:rPr>
                <w:rFonts w:eastAsia="標楷體" w:hint="eastAsia"/>
                <w:bCs/>
              </w:rPr>
              <w:t>修教育部補助大專校院改善校園無障礙環境要點</w:t>
            </w:r>
            <w:r>
              <w:rPr>
                <w:rFonts w:eastAsia="標楷體" w:hint="eastAsia"/>
                <w:bCs/>
              </w:rPr>
              <w:t xml:space="preserve"> </w:t>
            </w:r>
          </w:p>
          <w:p w14:paraId="11C9D439" w14:textId="77777777" w:rsidR="00FF343B" w:rsidRPr="0078237E" w:rsidRDefault="007336A7" w:rsidP="00440949">
            <w:pPr>
              <w:spacing w:line="360" w:lineRule="atLeast"/>
              <w:jc w:val="both"/>
              <w:rPr>
                <w:rFonts w:eastAsia="標楷體"/>
                <w:bCs/>
                <w:szCs w:val="28"/>
              </w:rPr>
            </w:pPr>
            <w:r>
              <w:rPr>
                <w:rFonts w:eastAsia="標楷體" w:hint="eastAsia"/>
                <w:bCs/>
              </w:rPr>
              <w:t>四、經濟部</w:t>
            </w:r>
            <w:r>
              <w:rPr>
                <w:rFonts w:eastAsia="標楷體" w:hint="eastAsia"/>
                <w:bCs/>
              </w:rPr>
              <w:t>113.1.25</w:t>
            </w:r>
            <w:r>
              <w:rPr>
                <w:rFonts w:eastAsia="標楷體" w:hint="eastAsia"/>
                <w:bCs/>
              </w:rPr>
              <w:t>修河川區域內申請施設休閒遊憩使用審核要點增訂第</w:t>
            </w:r>
            <w:r>
              <w:rPr>
                <w:rFonts w:eastAsia="標楷體" w:hint="eastAsia"/>
                <w:bCs/>
              </w:rPr>
              <w:t>10</w:t>
            </w:r>
            <w:r>
              <w:rPr>
                <w:rFonts w:eastAsia="標楷體" w:hint="eastAsia"/>
                <w:bCs/>
              </w:rPr>
              <w:t>點第</w:t>
            </w:r>
            <w:r>
              <w:rPr>
                <w:rFonts w:eastAsia="標楷體" w:hint="eastAsia"/>
                <w:bCs/>
              </w:rPr>
              <w:t>1</w:t>
            </w:r>
            <w:r>
              <w:rPr>
                <w:rFonts w:eastAsia="標楷體" w:hint="eastAsia"/>
                <w:bCs/>
              </w:rPr>
              <w:t>項第</w:t>
            </w:r>
            <w:r>
              <w:rPr>
                <w:rFonts w:eastAsia="標楷體" w:hint="eastAsia"/>
                <w:bCs/>
              </w:rPr>
              <w:t>2</w:t>
            </w:r>
            <w:r>
              <w:rPr>
                <w:rFonts w:eastAsia="標楷體" w:hint="eastAsia"/>
                <w:bCs/>
              </w:rPr>
              <w:t>款</w:t>
            </w:r>
            <w:r>
              <w:rPr>
                <w:rFonts w:eastAsia="標楷體" w:hint="eastAsia"/>
                <w:bCs/>
              </w:rPr>
              <w:t xml:space="preserve"> </w:t>
            </w:r>
          </w:p>
          <w:p w14:paraId="06DF390C" w14:textId="77777777" w:rsidR="00FF343B" w:rsidRPr="0078237E" w:rsidRDefault="007336A7" w:rsidP="00440949">
            <w:pPr>
              <w:spacing w:line="360" w:lineRule="atLeast"/>
              <w:jc w:val="both"/>
              <w:rPr>
                <w:rFonts w:eastAsia="標楷體"/>
                <w:bCs/>
                <w:szCs w:val="28"/>
              </w:rPr>
            </w:pPr>
            <w:r>
              <w:rPr>
                <w:rFonts w:eastAsia="標楷體" w:hint="eastAsia"/>
                <w:bCs/>
              </w:rPr>
              <w:t>五、修正公共建築物建造執照無障礙設施工程圖樣種類及說明書應標示事項表</w:t>
            </w:r>
            <w:r>
              <w:rPr>
                <w:rFonts w:eastAsia="標楷體" w:hint="eastAsia"/>
                <w:bCs/>
              </w:rPr>
              <w:t xml:space="preserve"> </w:t>
            </w:r>
          </w:p>
          <w:p w14:paraId="2BDAD656" w14:textId="688AF8BE" w:rsidR="00FF343B" w:rsidRPr="0078237E" w:rsidRDefault="007336A7" w:rsidP="00440949">
            <w:pPr>
              <w:spacing w:line="360" w:lineRule="atLeast"/>
              <w:jc w:val="both"/>
              <w:rPr>
                <w:rFonts w:eastAsia="標楷體" w:hint="eastAsia"/>
                <w:bCs/>
                <w:szCs w:val="28"/>
              </w:rPr>
            </w:pPr>
            <w:r>
              <w:rPr>
                <w:rFonts w:eastAsia="標楷體" w:hint="eastAsia"/>
                <w:bCs/>
              </w:rPr>
              <w:t>六、</w:t>
            </w:r>
            <w:r>
              <w:rPr>
                <w:rFonts w:eastAsia="標楷體" w:hint="eastAsia"/>
                <w:bCs/>
              </w:rPr>
              <w:t>111.5.27</w:t>
            </w:r>
            <w:r>
              <w:rPr>
                <w:rFonts w:eastAsia="標楷體" w:hint="eastAsia"/>
                <w:bCs/>
              </w:rPr>
              <w:t>修正建造執照及雜項執照簽證項目抽查作業要點</w:t>
            </w:r>
            <w:r>
              <w:rPr>
                <w:rFonts w:eastAsia="標楷體" w:hint="eastAsia"/>
                <w:bCs/>
              </w:rPr>
              <w:t xml:space="preserve"> </w:t>
            </w:r>
          </w:p>
        </w:tc>
        <w:tc>
          <w:tcPr>
            <w:tcW w:w="1984" w:type="dxa"/>
          </w:tcPr>
          <w:p w14:paraId="055D67E7" w14:textId="77777777" w:rsidR="00FF343B" w:rsidRDefault="007336A7" w:rsidP="00FD1947">
            <w:pPr>
              <w:spacing w:line="360" w:lineRule="atLeast"/>
              <w:jc w:val="both"/>
              <w:rPr>
                <w:rFonts w:eastAsia="標楷體"/>
                <w:bCs/>
                <w:szCs w:val="28"/>
              </w:rPr>
            </w:pPr>
            <w:r>
              <w:rPr>
                <w:rFonts w:ascii="標楷體" w:eastAsia="標楷體" w:hAnsi="標楷體" w:hint="eastAsia"/>
                <w:bCs/>
              </w:rPr>
              <w:t>內政及族群、社會福利及衛生環境委員會114.08.19第6屆第33次聯席會議決議 : 結案存查。</w:t>
            </w:r>
          </w:p>
        </w:tc>
      </w:tr>
    </w:tbl>
    <w:p w14:paraId="0759CD5B" w14:textId="77777777"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1573" w14:textId="77777777" w:rsidR="00660F43" w:rsidRDefault="00660F43" w:rsidP="008E6A2A">
      <w:r>
        <w:separator/>
      </w:r>
    </w:p>
  </w:endnote>
  <w:endnote w:type="continuationSeparator" w:id="0">
    <w:p w14:paraId="0506EC01" w14:textId="77777777" w:rsidR="00660F43" w:rsidRDefault="00660F43"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5CA" w14:textId="77777777" w:rsidR="008E6A2A" w:rsidRDefault="001011E2">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14:paraId="64A85B64" w14:textId="77777777"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106" w14:textId="77777777"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1011E2" w:rsidRPr="00530BF4">
      <w:rPr>
        <w:rFonts w:eastAsia="標楷體"/>
      </w:rPr>
      <w:fldChar w:fldCharType="begin"/>
    </w:r>
    <w:r w:rsidRPr="00530BF4">
      <w:rPr>
        <w:rFonts w:eastAsia="標楷體"/>
      </w:rPr>
      <w:instrText xml:space="preserve"> PAGE   \* MERGEFORMAT </w:instrText>
    </w:r>
    <w:r w:rsidR="001011E2" w:rsidRPr="00530BF4">
      <w:rPr>
        <w:rFonts w:eastAsia="標楷體"/>
      </w:rPr>
      <w:fldChar w:fldCharType="separate"/>
    </w:r>
    <w:r w:rsidR="002551AA">
      <w:rPr>
        <w:rFonts w:eastAsia="標楷體"/>
        <w:noProof/>
      </w:rPr>
      <w:t>1</w:t>
    </w:r>
    <w:r w:rsidR="001011E2"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F3D9" w14:textId="77777777" w:rsidR="00660F43" w:rsidRDefault="00660F43" w:rsidP="008E6A2A">
      <w:r>
        <w:separator/>
      </w:r>
    </w:p>
  </w:footnote>
  <w:footnote w:type="continuationSeparator" w:id="0">
    <w:p w14:paraId="37A6B393" w14:textId="77777777" w:rsidR="00660F43" w:rsidRDefault="00660F43"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8D9" w14:textId="77777777" w:rsidR="00BF6519" w:rsidRDefault="008E6A2A" w:rsidP="002551AA">
    <w:pPr>
      <w:pStyle w:val="ab"/>
      <w:spacing w:beforeLines="120" w:before="288"/>
      <w:jc w:val="center"/>
      <w:rPr>
        <w:rFonts w:eastAsia="標楷體"/>
        <w:b/>
        <w:bCs/>
        <w:sz w:val="40"/>
      </w:rPr>
    </w:pPr>
    <w:bookmarkStart w:id="0" w:name="OLE_LINK1"/>
    <w:r>
      <w:rPr>
        <w:rFonts w:eastAsia="標楷體" w:hint="eastAsia"/>
        <w:b/>
        <w:bCs/>
        <w:sz w:val="40"/>
      </w:rPr>
      <w:t>監察院內政及族群委員會調查報告結案情形一覽表</w:t>
    </w:r>
  </w:p>
  <w:bookmarkEnd w:id="0"/>
  <w:p w14:paraId="4DB266CB" w14:textId="77777777"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48240680">
    <w:abstractNumId w:val="15"/>
  </w:num>
  <w:num w:numId="2" w16cid:durableId="74783859">
    <w:abstractNumId w:val="5"/>
  </w:num>
  <w:num w:numId="3" w16cid:durableId="1747415774">
    <w:abstractNumId w:val="1"/>
  </w:num>
  <w:num w:numId="4" w16cid:durableId="307898532">
    <w:abstractNumId w:val="0"/>
  </w:num>
  <w:num w:numId="5" w16cid:durableId="628514789">
    <w:abstractNumId w:val="23"/>
  </w:num>
  <w:num w:numId="6" w16cid:durableId="1054696577">
    <w:abstractNumId w:val="27"/>
  </w:num>
  <w:num w:numId="7" w16cid:durableId="1935554855">
    <w:abstractNumId w:val="22"/>
  </w:num>
  <w:num w:numId="8" w16cid:durableId="2114784018">
    <w:abstractNumId w:val="2"/>
  </w:num>
  <w:num w:numId="9" w16cid:durableId="430980039">
    <w:abstractNumId w:val="6"/>
  </w:num>
  <w:num w:numId="10" w16cid:durableId="209192519">
    <w:abstractNumId w:val="24"/>
  </w:num>
  <w:num w:numId="11" w16cid:durableId="1505784994">
    <w:abstractNumId w:val="13"/>
  </w:num>
  <w:num w:numId="12" w16cid:durableId="888107113">
    <w:abstractNumId w:val="21"/>
  </w:num>
  <w:num w:numId="13" w16cid:durableId="1526674817">
    <w:abstractNumId w:val="8"/>
  </w:num>
  <w:num w:numId="14" w16cid:durableId="245310702">
    <w:abstractNumId w:val="17"/>
  </w:num>
  <w:num w:numId="15" w16cid:durableId="1548835777">
    <w:abstractNumId w:val="11"/>
  </w:num>
  <w:num w:numId="16" w16cid:durableId="1491865915">
    <w:abstractNumId w:val="12"/>
  </w:num>
  <w:num w:numId="17" w16cid:durableId="913664712">
    <w:abstractNumId w:val="25"/>
  </w:num>
  <w:num w:numId="18" w16cid:durableId="1559825731">
    <w:abstractNumId w:val="9"/>
  </w:num>
  <w:num w:numId="19" w16cid:durableId="598293263">
    <w:abstractNumId w:val="16"/>
  </w:num>
  <w:num w:numId="20" w16cid:durableId="1763457007">
    <w:abstractNumId w:val="3"/>
  </w:num>
  <w:num w:numId="21" w16cid:durableId="2099559">
    <w:abstractNumId w:val="20"/>
  </w:num>
  <w:num w:numId="22" w16cid:durableId="1118258349">
    <w:abstractNumId w:val="18"/>
  </w:num>
  <w:num w:numId="23" w16cid:durableId="89548109">
    <w:abstractNumId w:val="7"/>
  </w:num>
  <w:num w:numId="24" w16cid:durableId="8728097">
    <w:abstractNumId w:val="14"/>
  </w:num>
  <w:num w:numId="25" w16cid:durableId="460806813">
    <w:abstractNumId w:val="19"/>
  </w:num>
  <w:num w:numId="26" w16cid:durableId="1413315876">
    <w:abstractNumId w:val="10"/>
  </w:num>
  <w:num w:numId="27" w16cid:durableId="345138297">
    <w:abstractNumId w:val="26"/>
  </w:num>
  <w:num w:numId="28" w16cid:durableId="2765230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11E2"/>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60F43"/>
    <w:rsid w:val="006B1797"/>
    <w:rsid w:val="006C264B"/>
    <w:rsid w:val="007032D2"/>
    <w:rsid w:val="00720393"/>
    <w:rsid w:val="007336A7"/>
    <w:rsid w:val="0078237E"/>
    <w:rsid w:val="00782BFE"/>
    <w:rsid w:val="007A4C24"/>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4401D"/>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82BE"/>
  <w15:docId w15:val="{F13560B3-5527-4696-9D9E-55E69FDF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監察院</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陳美如</cp:lastModifiedBy>
  <cp:revision>2</cp:revision>
  <cp:lastPrinted>2010-06-29T02:42:00Z</cp:lastPrinted>
  <dcterms:created xsi:type="dcterms:W3CDTF">2025-09-09T02:39:00Z</dcterms:created>
  <dcterms:modified xsi:type="dcterms:W3CDTF">2025-09-09T02:39:00Z</dcterms:modified>
</cp:coreProperties>
</file>