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7A13" w14:textId="0D227AD7" w:rsidR="00D75644" w:rsidRPr="004D141F" w:rsidRDefault="00DD2AE7" w:rsidP="00F37D7B">
      <w:pPr>
        <w:pStyle w:val="af2"/>
      </w:pPr>
      <w:r>
        <w:rPr>
          <w:rFonts w:hint="eastAsia"/>
        </w:rPr>
        <w:t>調查</w:t>
      </w:r>
      <w:r w:rsidR="00D20D26">
        <w:rPr>
          <w:rFonts w:hint="eastAsia"/>
        </w:rPr>
        <w:t>報告</w:t>
      </w:r>
    </w:p>
    <w:p w14:paraId="7A21CE5A" w14:textId="77777777" w:rsidR="00E25849" w:rsidRDefault="00E25849" w:rsidP="00B93EC3">
      <w:pPr>
        <w:pStyle w:val="1"/>
        <w:ind w:left="2324" w:hanging="2352"/>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0A031B" w:rsidRPr="000A031B">
        <w:t>據審計部112年度中央政府總決算審核報告，原住民族委員會管理國有原住民保留地被占用清查及處理情形，疑未落實分年分區清查工作，恐存在未經列管被占用案件黑數；又排除占用疑成效低落，列管被占用錄數、面積逐年攀升；另疑未及時通知占用人繳納使用補償金，恐致政府債權受損等情案</w:t>
      </w:r>
      <w:r w:rsidR="000A031B">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6FFFD1C" w14:textId="6D45D9F5" w:rsidR="00E25849" w:rsidRDefault="00E25849" w:rsidP="0001449D">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59DF3BD" w14:textId="3A69C4D7" w:rsidR="004F6710" w:rsidRDefault="0001449D" w:rsidP="00A639F4">
      <w:pPr>
        <w:pStyle w:val="10"/>
        <w:ind w:left="680" w:firstLine="680"/>
      </w:pPr>
      <w:bookmarkStart w:id="49" w:name="_Toc524902730"/>
      <w:r w:rsidRPr="000464C9">
        <w:rPr>
          <w:rFonts w:hint="eastAsia"/>
        </w:rPr>
        <w:t>本案緣於審計部民國（下同）112年度中央政府總決算審核報告</w:t>
      </w:r>
      <w:r w:rsidR="0092406B">
        <w:rPr>
          <w:rFonts w:hint="eastAsia"/>
        </w:rPr>
        <w:t>指</w:t>
      </w:r>
      <w:r w:rsidRPr="000464C9">
        <w:rPr>
          <w:rFonts w:hint="eastAsia"/>
        </w:rPr>
        <w:t>出，</w:t>
      </w:r>
      <w:r w:rsidR="00315E1E">
        <w:rPr>
          <w:rFonts w:hint="eastAsia"/>
        </w:rPr>
        <w:t>原住民族委員會（下稱</w:t>
      </w:r>
      <w:r w:rsidRPr="000464C9">
        <w:rPr>
          <w:rFonts w:hint="eastAsia"/>
        </w:rPr>
        <w:t>原民會</w:t>
      </w:r>
      <w:r w:rsidR="00315E1E">
        <w:rPr>
          <w:rFonts w:hint="eastAsia"/>
        </w:rPr>
        <w:t>）</w:t>
      </w:r>
      <w:r w:rsidRPr="000464C9">
        <w:rPr>
          <w:rFonts w:hint="eastAsia"/>
        </w:rPr>
        <w:t>管理國有原住民保留地被占用清查及處理情形，涉有未落實分年分區清查工作、排除占用成效低落，以及未及時通知占用人繳納使用補償金等情，經113年10月9日</w:t>
      </w:r>
      <w:r w:rsidRPr="000464C9">
        <w:rPr>
          <w:rFonts w:hint="eastAsia"/>
          <w:szCs w:val="32"/>
        </w:rPr>
        <w:t>本院內政及族群委員會第6屆第5</w:t>
      </w:r>
      <w:r w:rsidRPr="000464C9">
        <w:rPr>
          <w:szCs w:val="32"/>
        </w:rPr>
        <w:t>2</w:t>
      </w:r>
      <w:r w:rsidRPr="000464C9">
        <w:rPr>
          <w:rFonts w:hint="eastAsia"/>
          <w:szCs w:val="32"/>
        </w:rPr>
        <w:t>次會議決議，推派調查。</w:t>
      </w:r>
      <w:r w:rsidRPr="000464C9">
        <w:rPr>
          <w:rFonts w:hint="eastAsia"/>
        </w:rPr>
        <w:t>本案經</w:t>
      </w:r>
      <w:r w:rsidR="00873030">
        <w:rPr>
          <w:rFonts w:hint="eastAsia"/>
        </w:rPr>
        <w:t>向審計部調卷，嗣</w:t>
      </w:r>
      <w:r w:rsidRPr="000464C9">
        <w:rPr>
          <w:rFonts w:hint="eastAsia"/>
        </w:rPr>
        <w:t>於113年12月19日邀請審計部到院簡報查核經過，再於114年1月15日詢問原民會相關業務主管人員，業已調查完畢</w:t>
      </w:r>
      <w:r w:rsidR="00E910A7">
        <w:rPr>
          <w:rFonts w:hint="eastAsia"/>
        </w:rPr>
        <w:t>。</w:t>
      </w:r>
      <w:r w:rsidR="00307A76">
        <w:rPr>
          <w:rFonts w:hint="eastAsia"/>
        </w:rPr>
        <w:t>茲臚</w:t>
      </w:r>
      <w:r w:rsidR="00FB501B" w:rsidRPr="009C7FF2">
        <w:rPr>
          <w:rFonts w:hint="eastAsia"/>
        </w:rPr>
        <w:t>列調查意見如下：</w:t>
      </w:r>
    </w:p>
    <w:p w14:paraId="605F3FB3" w14:textId="760A50B2" w:rsidR="007A442B" w:rsidRPr="00F47276" w:rsidRDefault="00E00E84" w:rsidP="00AE34B6">
      <w:pPr>
        <w:pStyle w:val="2"/>
        <w:spacing w:beforeLines="50" w:before="228"/>
        <w:ind w:left="1020" w:hanging="680"/>
        <w:rPr>
          <w:rFonts w:hAnsi="標楷體"/>
          <w:b/>
          <w:szCs w:val="32"/>
        </w:rPr>
      </w:pPr>
      <w:bookmarkStart w:id="50" w:name="_Toc421794873"/>
      <w:bookmarkStart w:id="51" w:name="_Toc422834158"/>
      <w:r w:rsidRPr="00F47276">
        <w:rPr>
          <w:rFonts w:hAnsi="標楷體" w:hint="eastAsia"/>
          <w:b/>
        </w:rPr>
        <w:t>據審計部運用圖資套疊方式查核國有原住民保留地未列管被占用情形，</w:t>
      </w:r>
      <w:r w:rsidR="00687701" w:rsidRPr="00F47276">
        <w:rPr>
          <w:rFonts w:hAnsi="標楷體" w:hint="eastAsia"/>
          <w:b/>
        </w:rPr>
        <w:t>經抽查推估後恐有超過三千筆之被占用案件，尚未納入</w:t>
      </w:r>
      <w:r w:rsidR="000C77A8" w:rsidRPr="00F47276">
        <w:rPr>
          <w:rFonts w:hint="eastAsia"/>
          <w:b/>
        </w:rPr>
        <w:t>「原住民族土地網際網路土地管理資訊系統」</w:t>
      </w:r>
      <w:r w:rsidR="00687701" w:rsidRPr="00F47276">
        <w:rPr>
          <w:rFonts w:hAnsi="標楷體" w:hint="eastAsia"/>
          <w:b/>
        </w:rPr>
        <w:t>列管，</w:t>
      </w:r>
      <w:r w:rsidRPr="00F47276">
        <w:rPr>
          <w:rFonts w:hAnsi="標楷體" w:hint="eastAsia"/>
          <w:b/>
        </w:rPr>
        <w:t>顯示</w:t>
      </w:r>
      <w:r w:rsidR="007A442B" w:rsidRPr="00F47276">
        <w:rPr>
          <w:rFonts w:hAnsi="標楷體" w:hint="eastAsia"/>
          <w:b/>
        </w:rPr>
        <w:t>原民會未能有效督導與管控國有原住民保留地占用清查執行</w:t>
      </w:r>
      <w:r w:rsidR="002E174C" w:rsidRPr="00F47276">
        <w:rPr>
          <w:rFonts w:hAnsi="標楷體" w:hint="eastAsia"/>
          <w:b/>
        </w:rPr>
        <w:t>工作</w:t>
      </w:r>
      <w:r w:rsidR="007A442B" w:rsidRPr="00F47276">
        <w:rPr>
          <w:rFonts w:hAnsi="標楷體" w:hint="eastAsia"/>
          <w:b/>
        </w:rPr>
        <w:t>，造成大量潛在遭占用案件未被列管</w:t>
      </w:r>
      <w:r w:rsidR="00B80364" w:rsidRPr="00F47276">
        <w:rPr>
          <w:rFonts w:hAnsi="標楷體" w:hint="eastAsia"/>
          <w:b/>
        </w:rPr>
        <w:t>之管理落差</w:t>
      </w:r>
      <w:r w:rsidR="0001596A" w:rsidRPr="00F47276">
        <w:rPr>
          <w:rFonts w:hAnsi="標楷體" w:hint="eastAsia"/>
          <w:b/>
        </w:rPr>
        <w:t>與脫管黑數</w:t>
      </w:r>
      <w:r w:rsidR="006D6DAE" w:rsidRPr="00F47276">
        <w:rPr>
          <w:rFonts w:hAnsi="標楷體" w:hint="eastAsia"/>
          <w:b/>
        </w:rPr>
        <w:t>，核有未當</w:t>
      </w:r>
      <w:r w:rsidR="007A442B" w:rsidRPr="00F47276">
        <w:rPr>
          <w:rFonts w:hAnsi="標楷體" w:hint="eastAsia"/>
          <w:b/>
        </w:rPr>
        <w:t>。尤其部分疑涉被占用土地</w:t>
      </w:r>
      <w:r w:rsidR="00C21607" w:rsidRPr="00F47276">
        <w:rPr>
          <w:rFonts w:hAnsi="標楷體" w:hint="eastAsia"/>
          <w:b/>
        </w:rPr>
        <w:t>中，位於山坡地範圍者面積高達155.84公頃（占比92.79%）；又位於山崩與地滑地質敏感區面積達18.14公頃（占比10.80%），</w:t>
      </w:r>
      <w:r w:rsidR="007A442B" w:rsidRPr="00F47276">
        <w:rPr>
          <w:rFonts w:hAnsi="標楷體" w:hint="eastAsia"/>
          <w:b/>
        </w:rPr>
        <w:t>若未及時處理，恐衍生公共安全風險及國土資源流失</w:t>
      </w:r>
      <w:r w:rsidR="007A442B" w:rsidRPr="00F47276">
        <w:rPr>
          <w:rFonts w:hAnsi="標楷體" w:hint="eastAsia"/>
          <w:b/>
        </w:rPr>
        <w:lastRenderedPageBreak/>
        <w:t>等問題。原民會</w:t>
      </w:r>
      <w:r w:rsidR="00F47276" w:rsidRPr="00F47276">
        <w:rPr>
          <w:rFonts w:hAnsi="標楷體" w:hint="eastAsia"/>
          <w:b/>
        </w:rPr>
        <w:t>除應</w:t>
      </w:r>
      <w:r w:rsidR="007A442B" w:rsidRPr="00F47276">
        <w:rPr>
          <w:rFonts w:hAnsi="標楷體" w:hint="eastAsia"/>
          <w:b/>
        </w:rPr>
        <w:t>針對問題癥結及其肇因，</w:t>
      </w:r>
      <w:r w:rsidR="00C21607" w:rsidRPr="00F47276">
        <w:rPr>
          <w:rFonts w:hAnsi="標楷體" w:hint="eastAsia"/>
          <w:b/>
        </w:rPr>
        <w:t>強化跨部會資訊整合與資訊科技應用，提升資料分析與判識能力外，亦應健全督導考核機制，並研擬具體可行之分區清查與管理策略，協助各</w:t>
      </w:r>
      <w:r w:rsidR="0092406B">
        <w:rPr>
          <w:rFonts w:hAnsi="標楷體" w:hint="eastAsia"/>
          <w:b/>
        </w:rPr>
        <w:t>鄉（鎮、市、區）</w:t>
      </w:r>
      <w:r w:rsidR="00C21607" w:rsidRPr="00F47276">
        <w:rPr>
          <w:rFonts w:hAnsi="標楷體" w:hint="eastAsia"/>
          <w:b/>
        </w:rPr>
        <w:t>公所逐步落實清查任務，俾善盡管理責任，實現原住民保留地保障原住民權益之立法本旨</w:t>
      </w:r>
      <w:r w:rsidR="002E174C" w:rsidRPr="00F47276">
        <w:rPr>
          <w:rFonts w:hAnsi="標楷體" w:hint="eastAsia"/>
          <w:b/>
        </w:rPr>
        <w:t>。</w:t>
      </w:r>
    </w:p>
    <w:p w14:paraId="703843F8" w14:textId="77777777" w:rsidR="00E27F64" w:rsidRDefault="00021D1E" w:rsidP="000023B8">
      <w:pPr>
        <w:pStyle w:val="3"/>
      </w:pPr>
      <w:r>
        <w:rPr>
          <w:rFonts w:hint="eastAsia"/>
        </w:rPr>
        <w:t>按</w:t>
      </w:r>
      <w:r w:rsidR="00315E1E" w:rsidRPr="00315E1E">
        <w:rPr>
          <w:rFonts w:hint="eastAsia"/>
        </w:rPr>
        <w:t>山坡地保育利用條例第37條規定：「（第1項）山坡地範圍內原住民保留地，除依法不得私有外，應輔導原住民取得承租權或無償取得所有權。（第2項）原住民取得原住民保留地所有權，如有移轉，以原住民為限。……（第6項）原住民保留地之所有權取得資格條件與程序、開發利用與出租、出租衍生收益之管理運用及其他輔導管理相關事項之辦法，由中央原住民族主管機關定之。」</w:t>
      </w:r>
      <w:r w:rsidR="001372D6">
        <w:rPr>
          <w:rFonts w:hint="eastAsia"/>
        </w:rPr>
        <w:t>次按原住民保留地開發管理辦法第2條規定：「（第1項）</w:t>
      </w:r>
      <w:r w:rsidR="001372D6" w:rsidRPr="001372D6">
        <w:rPr>
          <w:rFonts w:hint="eastAsia"/>
        </w:rPr>
        <w:t>本辦法所稱主管機關：在中央為原住民族委員會；在直轄市為直轄市政府；在縣（市）為縣（市）政府。</w:t>
      </w:r>
      <w:r w:rsidR="001372D6" w:rsidRPr="00E27F64">
        <w:rPr>
          <w:rFonts w:hAnsi="標楷體" w:hint="eastAsia"/>
        </w:rPr>
        <w:t>……</w:t>
      </w:r>
      <w:r w:rsidR="001372D6">
        <w:rPr>
          <w:rFonts w:hint="eastAsia"/>
        </w:rPr>
        <w:t>（第3項）</w:t>
      </w:r>
      <w:r w:rsidR="001372D6" w:rsidRPr="001372D6">
        <w:rPr>
          <w:rFonts w:hint="eastAsia"/>
        </w:rPr>
        <w:t>本辦法之執行機關為鄉（鎮、市、區）公所。</w:t>
      </w:r>
      <w:r w:rsidR="001372D6">
        <w:rPr>
          <w:rFonts w:hint="eastAsia"/>
        </w:rPr>
        <w:t>」第3條規定：「</w:t>
      </w:r>
      <w:r w:rsidR="001372D6" w:rsidRPr="001372D6">
        <w:rPr>
          <w:rFonts w:hint="eastAsia"/>
        </w:rPr>
        <w:t>本辦法所稱原住民保留地，指為保障原住民生計，推行原住民行政所保留之原有山地保留地及經依規定劃編、增編供原住民使用之保留地。</w:t>
      </w:r>
      <w:r w:rsidR="001372D6">
        <w:rPr>
          <w:rFonts w:hint="eastAsia"/>
        </w:rPr>
        <w:t>」第5條第1項規定：「</w:t>
      </w:r>
      <w:r w:rsidR="001372D6" w:rsidRPr="001372D6">
        <w:rPr>
          <w:rFonts w:hint="eastAsia"/>
        </w:rPr>
        <w:t>原住民保留地之土地所有權第一次登記，應由直轄市、縣（市）主管機關囑託登記機關為之；其所有權人為中華民國，管理機關為中央主管機關，並於土地標示部其他登記事項欄註明原住民保留地。</w:t>
      </w:r>
      <w:r w:rsidR="001372D6">
        <w:rPr>
          <w:rFonts w:hint="eastAsia"/>
        </w:rPr>
        <w:t>」</w:t>
      </w:r>
    </w:p>
    <w:p w14:paraId="27FD9922" w14:textId="1A09A896" w:rsidR="00BE0572" w:rsidRPr="00F47276" w:rsidRDefault="00C12959" w:rsidP="00BE0572">
      <w:pPr>
        <w:pStyle w:val="3"/>
        <w:numPr>
          <w:ilvl w:val="2"/>
          <w:numId w:val="1"/>
        </w:numPr>
        <w:ind w:left="1361"/>
      </w:pPr>
      <w:r w:rsidRPr="00F47276">
        <w:rPr>
          <w:rFonts w:hint="eastAsia"/>
        </w:rPr>
        <w:t>依上述規定</w:t>
      </w:r>
      <w:r w:rsidR="001372D6" w:rsidRPr="00F47276">
        <w:rPr>
          <w:rFonts w:hint="eastAsia"/>
        </w:rPr>
        <w:t>，</w:t>
      </w:r>
      <w:r w:rsidR="00315E1E" w:rsidRPr="00F47276">
        <w:rPr>
          <w:rFonts w:hint="eastAsia"/>
        </w:rPr>
        <w:t>原住民保留地係政府為保障原住民生計及推行原住民行政所劃設具有特定目的與用途之土地</w:t>
      </w:r>
      <w:r w:rsidR="00EF54F4" w:rsidRPr="00F47276">
        <w:rPr>
          <w:rFonts w:hint="eastAsia"/>
        </w:rPr>
        <w:t>；</w:t>
      </w:r>
      <w:r w:rsidR="00315E1E" w:rsidRPr="00F47276">
        <w:rPr>
          <w:b/>
        </w:rPr>
        <w:t>原民會</w:t>
      </w:r>
      <w:r w:rsidR="00315E1E" w:rsidRPr="00F47276">
        <w:rPr>
          <w:rFonts w:hint="eastAsia"/>
          <w:b/>
        </w:rPr>
        <w:t>為原住民保留地開發管理業務之中央主管機關，</w:t>
      </w:r>
      <w:r w:rsidRPr="00F47276">
        <w:rPr>
          <w:rFonts w:hint="eastAsia"/>
          <w:b/>
        </w:rPr>
        <w:t>並為</w:t>
      </w:r>
      <w:r w:rsidR="00315E1E" w:rsidRPr="00F47276">
        <w:rPr>
          <w:rFonts w:hint="eastAsia"/>
          <w:b/>
        </w:rPr>
        <w:t>國有原住民保留地之管理機關；</w:t>
      </w:r>
      <w:r w:rsidR="00315E1E" w:rsidRPr="00F47276">
        <w:rPr>
          <w:rFonts w:hint="eastAsia"/>
          <w:b/>
        </w:rPr>
        <w:lastRenderedPageBreak/>
        <w:t>各直轄市、縣</w:t>
      </w:r>
      <w:r w:rsidR="0092406B">
        <w:rPr>
          <w:rFonts w:hint="eastAsia"/>
          <w:b/>
        </w:rPr>
        <w:t>（</w:t>
      </w:r>
      <w:r w:rsidR="00315E1E" w:rsidRPr="00F47276">
        <w:rPr>
          <w:rFonts w:hint="eastAsia"/>
          <w:b/>
        </w:rPr>
        <w:t>市</w:t>
      </w:r>
      <w:r w:rsidR="0092406B">
        <w:rPr>
          <w:rFonts w:hint="eastAsia"/>
          <w:b/>
        </w:rPr>
        <w:t>）</w:t>
      </w:r>
      <w:r w:rsidR="00315E1E" w:rsidRPr="00F47276">
        <w:rPr>
          <w:rFonts w:hint="eastAsia"/>
          <w:b/>
        </w:rPr>
        <w:t>政府為原住民保留地開發管理業務之地方主管機關，各鄉（鎮、市、區）公所（下稱各公所）</w:t>
      </w:r>
      <w:r w:rsidR="00EF54F4" w:rsidRPr="00F47276">
        <w:rPr>
          <w:rFonts w:hint="eastAsia"/>
          <w:b/>
        </w:rPr>
        <w:t>則</w:t>
      </w:r>
      <w:r w:rsidR="00315E1E" w:rsidRPr="00F47276">
        <w:rPr>
          <w:rFonts w:hint="eastAsia"/>
          <w:b/>
        </w:rPr>
        <w:t>為執行機關</w:t>
      </w:r>
      <w:r w:rsidR="00315E1E" w:rsidRPr="00F47276">
        <w:rPr>
          <w:rFonts w:hint="eastAsia"/>
        </w:rPr>
        <w:t>。</w:t>
      </w:r>
      <w:r w:rsidR="00BE0572" w:rsidRPr="00F47276">
        <w:rPr>
          <w:rFonts w:hint="eastAsia"/>
        </w:rPr>
        <w:t>截至</w:t>
      </w:r>
      <w:r w:rsidR="00BE0572" w:rsidRPr="00F47276">
        <w:t>113年3月26日止，全國原住民保留地</w:t>
      </w:r>
      <w:r w:rsidR="00BE0572" w:rsidRPr="00F47276">
        <w:rPr>
          <w:rFonts w:hint="eastAsia"/>
        </w:rPr>
        <w:t>（包括公、私有）共</w:t>
      </w:r>
      <w:r w:rsidR="00BE0572" w:rsidRPr="00F47276">
        <w:t>46萬餘筆，面積合計26萬餘公頃，</w:t>
      </w:r>
      <w:r w:rsidR="00BE0572" w:rsidRPr="00F47276">
        <w:rPr>
          <w:b/>
        </w:rPr>
        <w:t>其中屬原民會管</w:t>
      </w:r>
      <w:r w:rsidR="00BE0572" w:rsidRPr="00F47276">
        <w:rPr>
          <w:rFonts w:hint="eastAsia"/>
          <w:b/>
        </w:rPr>
        <w:t>理</w:t>
      </w:r>
      <w:r w:rsidR="00BE0572" w:rsidRPr="00F47276">
        <w:rPr>
          <w:b/>
        </w:rPr>
        <w:t>之國有原住民保留地計14萬9,638筆</w:t>
      </w:r>
      <w:r w:rsidR="00BE0572" w:rsidRPr="00F47276">
        <w:rPr>
          <w:rFonts w:hint="eastAsia"/>
          <w:b/>
        </w:rPr>
        <w:t>（占</w:t>
      </w:r>
      <w:r w:rsidR="003E5CC9">
        <w:rPr>
          <w:rFonts w:hint="eastAsia"/>
          <w:b/>
        </w:rPr>
        <w:t>比</w:t>
      </w:r>
      <w:r w:rsidR="00BE0572" w:rsidRPr="00F47276">
        <w:rPr>
          <w:b/>
        </w:rPr>
        <w:t>32.27</w:t>
      </w:r>
      <w:r w:rsidR="00BE0572" w:rsidRPr="00F47276">
        <w:rPr>
          <w:rFonts w:hint="eastAsia"/>
          <w:b/>
        </w:rPr>
        <w:t>%</w:t>
      </w:r>
      <w:r w:rsidR="00BE0572" w:rsidRPr="00F47276">
        <w:rPr>
          <w:b/>
        </w:rPr>
        <w:t>）</w:t>
      </w:r>
      <w:r w:rsidR="00BE0572" w:rsidRPr="00F47276">
        <w:rPr>
          <w:rFonts w:hint="eastAsia"/>
          <w:b/>
        </w:rPr>
        <w:t>，面積</w:t>
      </w:r>
      <w:r w:rsidR="00BE0572" w:rsidRPr="00F47276">
        <w:rPr>
          <w:b/>
        </w:rPr>
        <w:t>12萬593公頃</w:t>
      </w:r>
      <w:r w:rsidR="00BE0572" w:rsidRPr="00F47276">
        <w:rPr>
          <w:rFonts w:hint="eastAsia"/>
          <w:b/>
        </w:rPr>
        <w:t>（占</w:t>
      </w:r>
      <w:r w:rsidR="003E5CC9">
        <w:rPr>
          <w:rFonts w:hint="eastAsia"/>
          <w:b/>
        </w:rPr>
        <w:t>比</w:t>
      </w:r>
      <w:r w:rsidR="00BE0572" w:rsidRPr="00F47276">
        <w:rPr>
          <w:b/>
        </w:rPr>
        <w:t>45.46%）（</w:t>
      </w:r>
      <w:r w:rsidR="00BE0572" w:rsidRPr="00F47276">
        <w:rPr>
          <w:rFonts w:hint="eastAsia"/>
          <w:b/>
        </w:rPr>
        <w:t>詳表</w:t>
      </w:r>
      <w:r w:rsidR="00F47276" w:rsidRPr="00F47276">
        <w:rPr>
          <w:rFonts w:hint="eastAsia"/>
          <w:b/>
        </w:rPr>
        <w:t>1</w:t>
      </w:r>
      <w:r w:rsidR="00BE0572" w:rsidRPr="00F47276">
        <w:rPr>
          <w:rFonts w:hint="eastAsia"/>
          <w:b/>
        </w:rPr>
        <w:t>）</w:t>
      </w:r>
      <w:r w:rsidR="00BE0572" w:rsidRPr="00F47276">
        <w:rPr>
          <w:rFonts w:hint="eastAsia"/>
        </w:rPr>
        <w:t>。</w:t>
      </w:r>
    </w:p>
    <w:p w14:paraId="6032C482" w14:textId="4E510EE4" w:rsidR="00BE0572" w:rsidRPr="00F47276" w:rsidRDefault="00F47276" w:rsidP="00F47276">
      <w:pPr>
        <w:spacing w:beforeLines="50" w:before="228"/>
        <w:ind w:leftChars="333" w:left="1133"/>
        <w:jc w:val="center"/>
        <w:rPr>
          <w:b/>
          <w:sz w:val="28"/>
        </w:rPr>
      </w:pPr>
      <w:r w:rsidRPr="00F47276">
        <w:rPr>
          <w:rFonts w:hint="eastAsia"/>
          <w:b/>
          <w:sz w:val="28"/>
        </w:rPr>
        <w:t>表1、</w:t>
      </w:r>
      <w:r w:rsidR="00BE0572" w:rsidRPr="00F47276">
        <w:rPr>
          <w:rFonts w:hint="eastAsia"/>
          <w:b/>
          <w:sz w:val="28"/>
        </w:rPr>
        <w:t>原住民保留地所有權歸屬情形</w:t>
      </w:r>
    </w:p>
    <w:p w14:paraId="16A994E8" w14:textId="77777777" w:rsidR="00BE0572" w:rsidRPr="00F47276" w:rsidRDefault="00BE0572" w:rsidP="00BE0572">
      <w:pPr>
        <w:pStyle w:val="31"/>
        <w:spacing w:line="300" w:lineRule="exact"/>
        <w:ind w:leftChars="1709" w:left="5813" w:firstLineChars="381" w:firstLine="991"/>
        <w:jc w:val="center"/>
        <w:rPr>
          <w:sz w:val="28"/>
          <w:szCs w:val="28"/>
        </w:rPr>
      </w:pPr>
      <w:r w:rsidRPr="00F47276">
        <w:rPr>
          <w:rFonts w:hAnsi="標楷體" w:hint="eastAsia"/>
          <w:sz w:val="24"/>
          <w:szCs w:val="24"/>
        </w:rPr>
        <w:t>單位：筆</w:t>
      </w:r>
      <w:r w:rsidRPr="00F47276">
        <w:rPr>
          <w:rFonts w:hAnsi="標楷體"/>
          <w:sz w:val="24"/>
          <w:szCs w:val="24"/>
        </w:rPr>
        <w:t>、公頃</w:t>
      </w:r>
    </w:p>
    <w:tbl>
      <w:tblPr>
        <w:tblOverlap w:val="neve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75"/>
        <w:gridCol w:w="2156"/>
      </w:tblGrid>
      <w:tr w:rsidR="00BE0572" w:rsidRPr="00F47276" w14:paraId="30C80FF5" w14:textId="77777777" w:rsidTr="00BE0572">
        <w:trPr>
          <w:trHeight w:val="397"/>
        </w:trPr>
        <w:tc>
          <w:tcPr>
            <w:tcW w:w="3964" w:type="dxa"/>
            <w:shd w:val="clear" w:color="auto" w:fill="FDE9D9" w:themeFill="accent6" w:themeFillTint="33"/>
            <w:vAlign w:val="center"/>
          </w:tcPr>
          <w:p w14:paraId="02C24E6B" w14:textId="77777777" w:rsidR="00BE0572" w:rsidRPr="00F47276" w:rsidRDefault="00BE0572" w:rsidP="00BE0572">
            <w:pPr>
              <w:autoSpaceDE/>
              <w:autoSpaceDN/>
              <w:spacing w:line="0" w:lineRule="atLeast"/>
              <w:suppressOverlap/>
              <w:jc w:val="center"/>
              <w:rPr>
                <w:rFonts w:hAnsi="標楷體"/>
                <w:b/>
                <w:bCs/>
                <w:sz w:val="28"/>
                <w:szCs w:val="28"/>
              </w:rPr>
            </w:pPr>
            <w:r w:rsidRPr="00F47276">
              <w:rPr>
                <w:rFonts w:hAnsi="標楷體" w:hint="eastAsia"/>
                <w:b/>
                <w:bCs/>
                <w:sz w:val="28"/>
                <w:szCs w:val="28"/>
              </w:rPr>
              <w:t>所有權歸屬</w:t>
            </w:r>
            <w:r w:rsidRPr="00F47276">
              <w:rPr>
                <w:rFonts w:hAnsi="標楷體"/>
                <w:b/>
                <w:bCs/>
                <w:sz w:val="28"/>
                <w:szCs w:val="28"/>
              </w:rPr>
              <w:t>類型</w:t>
            </w:r>
          </w:p>
        </w:tc>
        <w:tc>
          <w:tcPr>
            <w:tcW w:w="1575" w:type="dxa"/>
            <w:shd w:val="clear" w:color="auto" w:fill="FDE9D9" w:themeFill="accent6" w:themeFillTint="33"/>
            <w:vAlign w:val="center"/>
          </w:tcPr>
          <w:p w14:paraId="734712F2" w14:textId="77777777" w:rsidR="00BE0572" w:rsidRPr="00F47276" w:rsidRDefault="00BE0572" w:rsidP="00BE0572">
            <w:pPr>
              <w:autoSpaceDE/>
              <w:autoSpaceDN/>
              <w:spacing w:line="0" w:lineRule="atLeast"/>
              <w:suppressOverlap/>
              <w:jc w:val="center"/>
              <w:rPr>
                <w:rFonts w:hAnsi="標楷體"/>
                <w:b/>
                <w:bCs/>
                <w:sz w:val="28"/>
                <w:szCs w:val="28"/>
              </w:rPr>
            </w:pPr>
            <w:r w:rsidRPr="00F47276">
              <w:rPr>
                <w:rFonts w:hAnsi="標楷體" w:hint="eastAsia"/>
                <w:b/>
                <w:bCs/>
                <w:sz w:val="28"/>
                <w:szCs w:val="28"/>
              </w:rPr>
              <w:t>筆數</w:t>
            </w:r>
          </w:p>
        </w:tc>
        <w:tc>
          <w:tcPr>
            <w:tcW w:w="2156" w:type="dxa"/>
            <w:shd w:val="clear" w:color="auto" w:fill="FDE9D9" w:themeFill="accent6" w:themeFillTint="33"/>
            <w:vAlign w:val="center"/>
          </w:tcPr>
          <w:p w14:paraId="08AEB0FA" w14:textId="77777777" w:rsidR="00BE0572" w:rsidRPr="00F47276" w:rsidRDefault="00BE0572" w:rsidP="00BE0572">
            <w:pPr>
              <w:autoSpaceDE/>
              <w:autoSpaceDN/>
              <w:spacing w:line="0" w:lineRule="atLeast"/>
              <w:suppressOverlap/>
              <w:jc w:val="center"/>
              <w:rPr>
                <w:rFonts w:hAnsi="標楷體"/>
                <w:b/>
                <w:bCs/>
                <w:sz w:val="28"/>
                <w:szCs w:val="28"/>
              </w:rPr>
            </w:pPr>
            <w:r w:rsidRPr="00F47276">
              <w:rPr>
                <w:rFonts w:hAnsi="標楷體" w:hint="eastAsia"/>
                <w:b/>
                <w:bCs/>
                <w:sz w:val="28"/>
                <w:szCs w:val="28"/>
              </w:rPr>
              <w:t>面積</w:t>
            </w:r>
          </w:p>
        </w:tc>
      </w:tr>
      <w:tr w:rsidR="00BE0572" w:rsidRPr="00F47276" w14:paraId="731241D2" w14:textId="77777777" w:rsidTr="00BE0572">
        <w:trPr>
          <w:trHeight w:val="397"/>
        </w:trPr>
        <w:tc>
          <w:tcPr>
            <w:tcW w:w="3964" w:type="dxa"/>
            <w:shd w:val="clear" w:color="auto" w:fill="FDE9D9" w:themeFill="accent6" w:themeFillTint="33"/>
            <w:vAlign w:val="center"/>
          </w:tcPr>
          <w:p w14:paraId="0618F922" w14:textId="77777777" w:rsidR="00BE0572" w:rsidRPr="00F47276" w:rsidRDefault="00BE0572" w:rsidP="00BE0572">
            <w:pPr>
              <w:autoSpaceDE/>
              <w:autoSpaceDN/>
              <w:spacing w:line="0" w:lineRule="atLeast"/>
              <w:suppressOverlap/>
              <w:jc w:val="center"/>
              <w:rPr>
                <w:rFonts w:hAnsi="標楷體"/>
                <w:b/>
                <w:sz w:val="28"/>
                <w:szCs w:val="28"/>
              </w:rPr>
            </w:pPr>
            <w:r w:rsidRPr="00F47276">
              <w:rPr>
                <w:rFonts w:hAnsi="標楷體" w:hint="eastAsia"/>
                <w:b/>
                <w:sz w:val="28"/>
                <w:szCs w:val="28"/>
              </w:rPr>
              <w:t>合計</w:t>
            </w:r>
          </w:p>
        </w:tc>
        <w:tc>
          <w:tcPr>
            <w:tcW w:w="1575" w:type="dxa"/>
            <w:shd w:val="clear" w:color="auto" w:fill="FDE9D9" w:themeFill="accent6" w:themeFillTint="33"/>
            <w:vAlign w:val="center"/>
          </w:tcPr>
          <w:p w14:paraId="071A39A3" w14:textId="77777777" w:rsidR="00BE0572" w:rsidRPr="00F47276" w:rsidRDefault="00BE0572" w:rsidP="00BE0572">
            <w:pPr>
              <w:autoSpaceDE/>
              <w:autoSpaceDN/>
              <w:spacing w:line="0" w:lineRule="atLeast"/>
              <w:ind w:left="701" w:hanging="415"/>
              <w:suppressOverlap/>
              <w:jc w:val="right"/>
              <w:rPr>
                <w:rFonts w:hAnsi="標楷體"/>
                <w:b/>
                <w:sz w:val="28"/>
                <w:szCs w:val="28"/>
              </w:rPr>
            </w:pPr>
            <w:r w:rsidRPr="00F47276">
              <w:rPr>
                <w:rFonts w:hAnsi="標楷體" w:hint="eastAsia"/>
                <w:b/>
                <w:sz w:val="28"/>
                <w:szCs w:val="28"/>
              </w:rPr>
              <w:t>463,738</w:t>
            </w:r>
          </w:p>
        </w:tc>
        <w:tc>
          <w:tcPr>
            <w:tcW w:w="2156" w:type="dxa"/>
            <w:shd w:val="clear" w:color="auto" w:fill="FDE9D9" w:themeFill="accent6" w:themeFillTint="33"/>
            <w:vAlign w:val="center"/>
          </w:tcPr>
          <w:p w14:paraId="1421E31B" w14:textId="77777777" w:rsidR="00BE0572" w:rsidRPr="00F47276" w:rsidRDefault="00BE0572" w:rsidP="00BE0572">
            <w:pPr>
              <w:autoSpaceDE/>
              <w:autoSpaceDN/>
              <w:spacing w:line="0" w:lineRule="atLeast"/>
              <w:ind w:left="701" w:hanging="415"/>
              <w:suppressOverlap/>
              <w:jc w:val="right"/>
              <w:rPr>
                <w:rFonts w:hAnsi="標楷體"/>
                <w:b/>
                <w:sz w:val="28"/>
                <w:szCs w:val="28"/>
              </w:rPr>
            </w:pPr>
            <w:r w:rsidRPr="00F47276">
              <w:rPr>
                <w:rFonts w:hAnsi="標楷體" w:hint="eastAsia"/>
                <w:b/>
                <w:sz w:val="28"/>
                <w:szCs w:val="28"/>
              </w:rPr>
              <w:t>265,267.935</w:t>
            </w:r>
          </w:p>
        </w:tc>
      </w:tr>
      <w:tr w:rsidR="00BE0572" w:rsidRPr="00F47276" w14:paraId="286B8E1F" w14:textId="77777777" w:rsidTr="00BE0572">
        <w:trPr>
          <w:trHeight w:val="397"/>
        </w:trPr>
        <w:tc>
          <w:tcPr>
            <w:tcW w:w="3964" w:type="dxa"/>
            <w:vAlign w:val="center"/>
          </w:tcPr>
          <w:p w14:paraId="1E740C47" w14:textId="77777777" w:rsidR="00BE0572" w:rsidRPr="00F47276" w:rsidRDefault="00BE0572" w:rsidP="00BE0572">
            <w:pPr>
              <w:autoSpaceDE/>
              <w:autoSpaceDN/>
              <w:spacing w:line="0" w:lineRule="atLeast"/>
              <w:suppressOverlap/>
              <w:jc w:val="center"/>
              <w:rPr>
                <w:rFonts w:hAnsi="標楷體"/>
                <w:sz w:val="28"/>
                <w:szCs w:val="28"/>
              </w:rPr>
            </w:pPr>
            <w:r w:rsidRPr="00F47276">
              <w:rPr>
                <w:rFonts w:hAnsi="標楷體" w:hint="eastAsia"/>
                <w:sz w:val="28"/>
                <w:szCs w:val="28"/>
              </w:rPr>
              <w:t>國有（管理機關為原民會）</w:t>
            </w:r>
          </w:p>
        </w:tc>
        <w:tc>
          <w:tcPr>
            <w:tcW w:w="1575" w:type="dxa"/>
            <w:vAlign w:val="center"/>
          </w:tcPr>
          <w:p w14:paraId="6507C45A" w14:textId="77777777" w:rsidR="00BE0572" w:rsidRPr="00F47276" w:rsidRDefault="00BE0572" w:rsidP="00BE0572">
            <w:pPr>
              <w:autoSpaceDE/>
              <w:autoSpaceDN/>
              <w:spacing w:line="0" w:lineRule="atLeast"/>
              <w:ind w:left="701" w:hanging="415"/>
              <w:suppressOverlap/>
              <w:jc w:val="right"/>
              <w:rPr>
                <w:rFonts w:hAnsi="標楷體"/>
                <w:sz w:val="28"/>
                <w:szCs w:val="28"/>
              </w:rPr>
            </w:pPr>
            <w:r w:rsidRPr="00F47276">
              <w:rPr>
                <w:rFonts w:hAnsi="標楷體" w:hint="eastAsia"/>
                <w:sz w:val="28"/>
                <w:szCs w:val="28"/>
              </w:rPr>
              <w:t>149,638</w:t>
            </w:r>
          </w:p>
        </w:tc>
        <w:tc>
          <w:tcPr>
            <w:tcW w:w="2156" w:type="dxa"/>
            <w:vAlign w:val="center"/>
          </w:tcPr>
          <w:p w14:paraId="76049240" w14:textId="77777777" w:rsidR="00BE0572" w:rsidRPr="00F47276" w:rsidRDefault="00BE0572" w:rsidP="00BE0572">
            <w:pPr>
              <w:autoSpaceDE/>
              <w:autoSpaceDN/>
              <w:spacing w:line="0" w:lineRule="atLeast"/>
              <w:ind w:left="701" w:hanging="415"/>
              <w:suppressOverlap/>
              <w:jc w:val="right"/>
              <w:rPr>
                <w:rFonts w:hAnsi="標楷體"/>
                <w:sz w:val="28"/>
                <w:szCs w:val="28"/>
              </w:rPr>
            </w:pPr>
            <w:r w:rsidRPr="00F47276">
              <w:rPr>
                <w:rFonts w:hAnsi="標楷體" w:hint="eastAsia"/>
                <w:sz w:val="28"/>
                <w:szCs w:val="28"/>
              </w:rPr>
              <w:t>120,593.095</w:t>
            </w:r>
          </w:p>
        </w:tc>
      </w:tr>
      <w:tr w:rsidR="00BE0572" w:rsidRPr="00F47276" w14:paraId="0BDC0D68" w14:textId="77777777" w:rsidTr="00BE0572">
        <w:trPr>
          <w:trHeight w:val="397"/>
        </w:trPr>
        <w:tc>
          <w:tcPr>
            <w:tcW w:w="3964" w:type="dxa"/>
            <w:vAlign w:val="center"/>
          </w:tcPr>
          <w:p w14:paraId="41381241" w14:textId="77777777" w:rsidR="00BE0572" w:rsidRPr="00F47276" w:rsidRDefault="00BE0572" w:rsidP="00BE0572">
            <w:pPr>
              <w:autoSpaceDE/>
              <w:autoSpaceDN/>
              <w:spacing w:line="0" w:lineRule="atLeast"/>
              <w:suppressOverlap/>
              <w:jc w:val="center"/>
              <w:rPr>
                <w:rFonts w:hAnsi="標楷體"/>
                <w:sz w:val="28"/>
                <w:szCs w:val="28"/>
              </w:rPr>
            </w:pPr>
            <w:r w:rsidRPr="00F47276">
              <w:rPr>
                <w:rFonts w:hAnsi="標楷體" w:hint="eastAsia"/>
                <w:sz w:val="28"/>
                <w:szCs w:val="28"/>
              </w:rPr>
              <w:t>公有（管理機關非原民會）</w:t>
            </w:r>
          </w:p>
        </w:tc>
        <w:tc>
          <w:tcPr>
            <w:tcW w:w="1575" w:type="dxa"/>
            <w:vAlign w:val="center"/>
          </w:tcPr>
          <w:p w14:paraId="1F211D09" w14:textId="77777777" w:rsidR="00BE0572" w:rsidRPr="00F47276" w:rsidRDefault="00BE0572" w:rsidP="00BE0572">
            <w:pPr>
              <w:autoSpaceDE/>
              <w:autoSpaceDN/>
              <w:spacing w:line="0" w:lineRule="atLeast"/>
              <w:ind w:left="701" w:hanging="415"/>
              <w:suppressOverlap/>
              <w:jc w:val="right"/>
              <w:rPr>
                <w:rFonts w:hAnsi="標楷體"/>
                <w:sz w:val="28"/>
                <w:szCs w:val="28"/>
              </w:rPr>
            </w:pPr>
            <w:r w:rsidRPr="00F47276">
              <w:rPr>
                <w:rFonts w:hAnsi="標楷體" w:hint="eastAsia"/>
                <w:sz w:val="28"/>
                <w:szCs w:val="28"/>
              </w:rPr>
              <w:t>19,402</w:t>
            </w:r>
          </w:p>
        </w:tc>
        <w:tc>
          <w:tcPr>
            <w:tcW w:w="2156" w:type="dxa"/>
            <w:vAlign w:val="center"/>
          </w:tcPr>
          <w:p w14:paraId="54639871" w14:textId="77777777" w:rsidR="00BE0572" w:rsidRPr="00F47276" w:rsidRDefault="00BE0572" w:rsidP="00BE0572">
            <w:pPr>
              <w:autoSpaceDE/>
              <w:autoSpaceDN/>
              <w:spacing w:line="0" w:lineRule="atLeast"/>
              <w:ind w:left="701" w:hanging="415"/>
              <w:suppressOverlap/>
              <w:jc w:val="right"/>
              <w:rPr>
                <w:rFonts w:hAnsi="標楷體"/>
                <w:sz w:val="28"/>
                <w:szCs w:val="28"/>
              </w:rPr>
            </w:pPr>
            <w:r w:rsidRPr="00F47276">
              <w:rPr>
                <w:rFonts w:hAnsi="標楷體" w:hint="eastAsia"/>
                <w:sz w:val="28"/>
                <w:szCs w:val="28"/>
              </w:rPr>
              <w:t>3,498.451</w:t>
            </w:r>
          </w:p>
        </w:tc>
      </w:tr>
      <w:tr w:rsidR="00BE0572" w:rsidRPr="00F47276" w14:paraId="14B94377" w14:textId="77777777" w:rsidTr="00BE0572">
        <w:trPr>
          <w:trHeight w:val="397"/>
        </w:trPr>
        <w:tc>
          <w:tcPr>
            <w:tcW w:w="3964" w:type="dxa"/>
            <w:vAlign w:val="center"/>
          </w:tcPr>
          <w:p w14:paraId="13FB06E8" w14:textId="77777777" w:rsidR="00BE0572" w:rsidRPr="00F47276" w:rsidRDefault="00BE0572" w:rsidP="00BE0572">
            <w:pPr>
              <w:autoSpaceDE/>
              <w:autoSpaceDN/>
              <w:spacing w:line="0" w:lineRule="atLeast"/>
              <w:suppressOverlap/>
              <w:jc w:val="center"/>
              <w:rPr>
                <w:rFonts w:hAnsi="標楷體"/>
                <w:sz w:val="28"/>
                <w:szCs w:val="28"/>
              </w:rPr>
            </w:pPr>
            <w:r w:rsidRPr="00F47276">
              <w:rPr>
                <w:rFonts w:hAnsi="標楷體" w:hint="eastAsia"/>
                <w:sz w:val="28"/>
                <w:szCs w:val="28"/>
              </w:rPr>
              <w:t>原住民私有</w:t>
            </w:r>
          </w:p>
        </w:tc>
        <w:tc>
          <w:tcPr>
            <w:tcW w:w="1575" w:type="dxa"/>
            <w:vAlign w:val="center"/>
          </w:tcPr>
          <w:p w14:paraId="2044A7A2" w14:textId="77777777" w:rsidR="00BE0572" w:rsidRPr="00F47276" w:rsidRDefault="00BE0572" w:rsidP="00BE0572">
            <w:pPr>
              <w:autoSpaceDE/>
              <w:autoSpaceDN/>
              <w:spacing w:line="0" w:lineRule="atLeast"/>
              <w:ind w:left="701" w:hanging="415"/>
              <w:suppressOverlap/>
              <w:jc w:val="right"/>
              <w:rPr>
                <w:rFonts w:hAnsi="標楷體"/>
                <w:sz w:val="28"/>
                <w:szCs w:val="28"/>
              </w:rPr>
            </w:pPr>
            <w:r w:rsidRPr="00F47276">
              <w:rPr>
                <w:rFonts w:hAnsi="標楷體" w:hint="eastAsia"/>
                <w:sz w:val="28"/>
                <w:szCs w:val="28"/>
              </w:rPr>
              <w:t>286,236</w:t>
            </w:r>
          </w:p>
        </w:tc>
        <w:tc>
          <w:tcPr>
            <w:tcW w:w="2156" w:type="dxa"/>
            <w:vAlign w:val="center"/>
          </w:tcPr>
          <w:p w14:paraId="04DFB1EB" w14:textId="77777777" w:rsidR="00BE0572" w:rsidRPr="00F47276" w:rsidRDefault="00BE0572" w:rsidP="00BE0572">
            <w:pPr>
              <w:autoSpaceDE/>
              <w:autoSpaceDN/>
              <w:spacing w:line="0" w:lineRule="atLeast"/>
              <w:ind w:left="701" w:hanging="415"/>
              <w:suppressOverlap/>
              <w:jc w:val="right"/>
              <w:rPr>
                <w:rFonts w:hAnsi="標楷體"/>
                <w:sz w:val="28"/>
                <w:szCs w:val="28"/>
              </w:rPr>
            </w:pPr>
            <w:r w:rsidRPr="00F47276">
              <w:rPr>
                <w:rFonts w:hAnsi="標楷體" w:hint="eastAsia"/>
                <w:sz w:val="28"/>
                <w:szCs w:val="28"/>
              </w:rPr>
              <w:t>131,964.739</w:t>
            </w:r>
          </w:p>
        </w:tc>
      </w:tr>
      <w:tr w:rsidR="00BE0572" w:rsidRPr="00F47276" w14:paraId="54059C0D" w14:textId="77777777" w:rsidTr="00BE0572">
        <w:trPr>
          <w:trHeight w:val="397"/>
        </w:trPr>
        <w:tc>
          <w:tcPr>
            <w:tcW w:w="3964" w:type="dxa"/>
            <w:vAlign w:val="center"/>
          </w:tcPr>
          <w:p w14:paraId="225DDD76" w14:textId="77777777" w:rsidR="00BE0572" w:rsidRPr="00F47276" w:rsidRDefault="00BE0572" w:rsidP="00BE0572">
            <w:pPr>
              <w:autoSpaceDE/>
              <w:autoSpaceDN/>
              <w:spacing w:line="0" w:lineRule="atLeast"/>
              <w:suppressOverlap/>
              <w:jc w:val="center"/>
              <w:rPr>
                <w:rFonts w:hAnsi="標楷體"/>
                <w:sz w:val="28"/>
                <w:szCs w:val="28"/>
              </w:rPr>
            </w:pPr>
            <w:r w:rsidRPr="00F47276">
              <w:rPr>
                <w:rFonts w:hAnsi="標楷體" w:hint="eastAsia"/>
                <w:sz w:val="28"/>
                <w:szCs w:val="28"/>
              </w:rPr>
              <w:t>公私共有</w:t>
            </w:r>
          </w:p>
        </w:tc>
        <w:tc>
          <w:tcPr>
            <w:tcW w:w="1575" w:type="dxa"/>
            <w:vAlign w:val="center"/>
          </w:tcPr>
          <w:p w14:paraId="0605B84F" w14:textId="77777777" w:rsidR="00BE0572" w:rsidRPr="00F47276" w:rsidRDefault="00BE0572" w:rsidP="00BE0572">
            <w:pPr>
              <w:autoSpaceDE/>
              <w:autoSpaceDN/>
              <w:spacing w:line="0" w:lineRule="atLeast"/>
              <w:ind w:left="701" w:hanging="415"/>
              <w:suppressOverlap/>
              <w:jc w:val="right"/>
              <w:rPr>
                <w:rFonts w:hAnsi="標楷體"/>
                <w:sz w:val="28"/>
                <w:szCs w:val="28"/>
              </w:rPr>
            </w:pPr>
            <w:r w:rsidRPr="00F47276">
              <w:rPr>
                <w:rFonts w:hAnsi="標楷體" w:hint="eastAsia"/>
                <w:sz w:val="28"/>
                <w:szCs w:val="28"/>
              </w:rPr>
              <w:t>8,288</w:t>
            </w:r>
          </w:p>
        </w:tc>
        <w:tc>
          <w:tcPr>
            <w:tcW w:w="2156" w:type="dxa"/>
            <w:vAlign w:val="center"/>
          </w:tcPr>
          <w:p w14:paraId="247C6A45" w14:textId="77777777" w:rsidR="00BE0572" w:rsidRPr="00F47276" w:rsidRDefault="00BE0572" w:rsidP="00BE0572">
            <w:pPr>
              <w:autoSpaceDE/>
              <w:autoSpaceDN/>
              <w:spacing w:line="0" w:lineRule="atLeast"/>
              <w:ind w:left="701" w:hanging="415"/>
              <w:suppressOverlap/>
              <w:jc w:val="right"/>
              <w:rPr>
                <w:rFonts w:hAnsi="標楷體"/>
                <w:sz w:val="28"/>
                <w:szCs w:val="28"/>
              </w:rPr>
            </w:pPr>
            <w:r w:rsidRPr="00F47276">
              <w:rPr>
                <w:rFonts w:hAnsi="標楷體" w:hint="eastAsia"/>
                <w:sz w:val="28"/>
                <w:szCs w:val="28"/>
              </w:rPr>
              <w:t>9,166.877</w:t>
            </w:r>
          </w:p>
        </w:tc>
      </w:tr>
      <w:tr w:rsidR="00BE0572" w:rsidRPr="00F47276" w14:paraId="2F561E90" w14:textId="77777777" w:rsidTr="00BE0572">
        <w:trPr>
          <w:trHeight w:val="397"/>
        </w:trPr>
        <w:tc>
          <w:tcPr>
            <w:tcW w:w="3964" w:type="dxa"/>
            <w:vAlign w:val="center"/>
          </w:tcPr>
          <w:p w14:paraId="76408765" w14:textId="77777777" w:rsidR="00BE0572" w:rsidRPr="00F47276" w:rsidRDefault="00BE0572" w:rsidP="00BE0572">
            <w:pPr>
              <w:autoSpaceDE/>
              <w:autoSpaceDN/>
              <w:spacing w:line="0" w:lineRule="atLeast"/>
              <w:suppressOverlap/>
              <w:jc w:val="center"/>
              <w:rPr>
                <w:rFonts w:hAnsi="標楷體"/>
                <w:sz w:val="28"/>
                <w:szCs w:val="28"/>
              </w:rPr>
            </w:pPr>
            <w:r w:rsidRPr="00F47276">
              <w:rPr>
                <w:rFonts w:hAnsi="標楷體" w:hint="eastAsia"/>
                <w:sz w:val="28"/>
                <w:szCs w:val="28"/>
              </w:rPr>
              <w:t>其他（註1</w:t>
            </w:r>
            <w:r w:rsidRPr="00F47276">
              <w:rPr>
                <w:rFonts w:hAnsi="標楷體"/>
                <w:sz w:val="28"/>
                <w:szCs w:val="28"/>
              </w:rPr>
              <w:t>）</w:t>
            </w:r>
          </w:p>
        </w:tc>
        <w:tc>
          <w:tcPr>
            <w:tcW w:w="1575" w:type="dxa"/>
            <w:vAlign w:val="center"/>
          </w:tcPr>
          <w:p w14:paraId="24972461" w14:textId="77777777" w:rsidR="00BE0572" w:rsidRPr="00F47276" w:rsidRDefault="00BE0572" w:rsidP="00BE0572">
            <w:pPr>
              <w:autoSpaceDE/>
              <w:autoSpaceDN/>
              <w:spacing w:line="0" w:lineRule="atLeast"/>
              <w:ind w:left="701" w:hanging="415"/>
              <w:suppressOverlap/>
              <w:jc w:val="right"/>
              <w:rPr>
                <w:rFonts w:hAnsi="標楷體"/>
                <w:sz w:val="28"/>
                <w:szCs w:val="28"/>
              </w:rPr>
            </w:pPr>
            <w:r w:rsidRPr="00F47276">
              <w:rPr>
                <w:rFonts w:hAnsi="標楷體" w:hint="eastAsia"/>
                <w:sz w:val="28"/>
                <w:szCs w:val="28"/>
              </w:rPr>
              <w:t>174</w:t>
            </w:r>
          </w:p>
        </w:tc>
        <w:tc>
          <w:tcPr>
            <w:tcW w:w="2156" w:type="dxa"/>
            <w:vAlign w:val="center"/>
          </w:tcPr>
          <w:p w14:paraId="555B6C49" w14:textId="77777777" w:rsidR="00BE0572" w:rsidRPr="00F47276" w:rsidRDefault="00BE0572" w:rsidP="00BE0572">
            <w:pPr>
              <w:autoSpaceDE/>
              <w:autoSpaceDN/>
              <w:spacing w:line="0" w:lineRule="atLeast"/>
              <w:ind w:left="701" w:hanging="415"/>
              <w:suppressOverlap/>
              <w:jc w:val="right"/>
              <w:rPr>
                <w:rFonts w:hAnsi="標楷體"/>
                <w:sz w:val="28"/>
                <w:szCs w:val="28"/>
              </w:rPr>
            </w:pPr>
            <w:r w:rsidRPr="00F47276">
              <w:rPr>
                <w:rFonts w:hAnsi="標楷體" w:hint="eastAsia"/>
                <w:sz w:val="28"/>
                <w:szCs w:val="28"/>
              </w:rPr>
              <w:t>44.773</w:t>
            </w:r>
          </w:p>
        </w:tc>
      </w:tr>
    </w:tbl>
    <w:p w14:paraId="15DF3F53" w14:textId="77777777" w:rsidR="00BE0572" w:rsidRPr="00F47276" w:rsidRDefault="00BE0572" w:rsidP="00BE0572">
      <w:pPr>
        <w:snapToGrid w:val="0"/>
        <w:ind w:leftChars="333" w:left="1133"/>
        <w:suppressOverlap/>
        <w:rPr>
          <w:rFonts w:hAnsi="標楷體"/>
          <w:sz w:val="24"/>
          <w:szCs w:val="24"/>
        </w:rPr>
      </w:pPr>
      <w:r w:rsidRPr="00F47276">
        <w:rPr>
          <w:rFonts w:hAnsi="標楷體" w:hint="eastAsia"/>
          <w:sz w:val="24"/>
          <w:szCs w:val="24"/>
        </w:rPr>
        <w:t>註：1</w:t>
      </w:r>
      <w:r w:rsidRPr="00F47276">
        <w:rPr>
          <w:rFonts w:hAnsi="標楷體"/>
          <w:sz w:val="24"/>
          <w:szCs w:val="24"/>
        </w:rPr>
        <w:t>.</w:t>
      </w:r>
      <w:r w:rsidRPr="00F47276">
        <w:rPr>
          <w:rFonts w:hAnsi="標楷體" w:hint="eastAsia"/>
          <w:sz w:val="24"/>
          <w:szCs w:val="24"/>
        </w:rPr>
        <w:t>「其他」係原民會資訊系統地籍資料不完整之案件。</w:t>
      </w:r>
    </w:p>
    <w:p w14:paraId="1E9D7856" w14:textId="77777777" w:rsidR="00F47276" w:rsidRPr="00F47276" w:rsidRDefault="00BE0572" w:rsidP="00BE0572">
      <w:pPr>
        <w:pStyle w:val="31"/>
        <w:snapToGrid w:val="0"/>
        <w:ind w:left="1361" w:firstLineChars="111" w:firstLine="289"/>
        <w:suppressOverlap/>
        <w:rPr>
          <w:rFonts w:hAnsi="標楷體"/>
          <w:sz w:val="24"/>
          <w:szCs w:val="24"/>
        </w:rPr>
      </w:pPr>
      <w:r w:rsidRPr="00F47276">
        <w:rPr>
          <w:rFonts w:hAnsi="標楷體"/>
          <w:sz w:val="24"/>
          <w:szCs w:val="24"/>
        </w:rPr>
        <w:t>2.</w:t>
      </w:r>
      <w:r w:rsidRPr="00F47276">
        <w:rPr>
          <w:rFonts w:hAnsi="標楷體" w:hint="eastAsia"/>
          <w:sz w:val="24"/>
          <w:szCs w:val="24"/>
        </w:rPr>
        <w:t>資料統計時間截至113年3月26日止。</w:t>
      </w:r>
    </w:p>
    <w:p w14:paraId="51B7935C" w14:textId="1A1E4533" w:rsidR="00315E1E" w:rsidRPr="00F47276" w:rsidRDefault="00BE0572" w:rsidP="00F47276">
      <w:pPr>
        <w:snapToGrid w:val="0"/>
        <w:spacing w:afterLines="50" w:after="228"/>
        <w:ind w:leftChars="333" w:left="1133"/>
        <w:suppressOverlap/>
      </w:pPr>
      <w:r w:rsidRPr="00F47276">
        <w:rPr>
          <w:rFonts w:hAnsi="標楷體" w:hint="eastAsia"/>
          <w:sz w:val="24"/>
          <w:szCs w:val="24"/>
        </w:rPr>
        <w:t>資料來源</w:t>
      </w:r>
      <w:r w:rsidRPr="00F47276">
        <w:rPr>
          <w:rFonts w:hAnsi="標楷體"/>
          <w:sz w:val="24"/>
          <w:szCs w:val="24"/>
        </w:rPr>
        <w:t>：</w:t>
      </w:r>
      <w:r w:rsidRPr="00F47276">
        <w:rPr>
          <w:rFonts w:hAnsi="標楷體" w:hint="eastAsia"/>
          <w:sz w:val="24"/>
          <w:szCs w:val="24"/>
        </w:rPr>
        <w:t>審計部查核報告。</w:t>
      </w:r>
    </w:p>
    <w:p w14:paraId="149C22AC" w14:textId="60B5EE38" w:rsidR="009E204C" w:rsidRDefault="00886740" w:rsidP="00EF54F4">
      <w:pPr>
        <w:pStyle w:val="3"/>
      </w:pPr>
      <w:r w:rsidRPr="00886740">
        <w:t>原民會</w:t>
      </w:r>
      <w:r w:rsidRPr="00886740">
        <w:rPr>
          <w:rFonts w:hint="eastAsia"/>
        </w:rPr>
        <w:t>為提升各直轄市、縣（市）政府及各公所辦理國有原住民保留地各項業務之行政效能及服務品質，並結合各級地方政府行政資源，共同查處國有原住民保留地遭占用情形，</w:t>
      </w:r>
      <w:r w:rsidRPr="00BE0572">
        <w:rPr>
          <w:rFonts w:hint="eastAsia"/>
          <w:b/>
        </w:rPr>
        <w:t>於</w:t>
      </w:r>
      <w:r w:rsidRPr="00BE0572">
        <w:rPr>
          <w:b/>
        </w:rPr>
        <w:t>105年10月21日</w:t>
      </w:r>
      <w:r w:rsidRPr="00BE0572">
        <w:rPr>
          <w:rFonts w:hint="eastAsia"/>
          <w:b/>
        </w:rPr>
        <w:t>訂定</w:t>
      </w:r>
      <w:r w:rsidRPr="00BE0572">
        <w:rPr>
          <w:b/>
        </w:rPr>
        <w:t>發布</w:t>
      </w:r>
      <w:r w:rsidRPr="00BE0572">
        <w:rPr>
          <w:rFonts w:hint="eastAsia"/>
          <w:b/>
        </w:rPr>
        <w:t>《</w:t>
      </w:r>
      <w:r w:rsidRPr="00BE0572">
        <w:rPr>
          <w:b/>
        </w:rPr>
        <w:t>原住民保留地相關業務標準作業程序</w:t>
      </w:r>
      <w:r w:rsidRPr="00BE0572">
        <w:rPr>
          <w:rFonts w:hint="eastAsia"/>
          <w:b/>
        </w:rPr>
        <w:t>》，並於第</w:t>
      </w:r>
      <w:r w:rsidRPr="00BE0572">
        <w:rPr>
          <w:b/>
        </w:rPr>
        <w:t>2點第1</w:t>
      </w:r>
      <w:r w:rsidRPr="00BE0572">
        <w:rPr>
          <w:rFonts w:hint="eastAsia"/>
          <w:b/>
        </w:rPr>
        <w:t>3</w:t>
      </w:r>
      <w:r w:rsidRPr="00BE0572">
        <w:rPr>
          <w:b/>
        </w:rPr>
        <w:t>款</w:t>
      </w:r>
      <w:r w:rsidRPr="00BE0572">
        <w:rPr>
          <w:rFonts w:hint="eastAsia"/>
          <w:b/>
        </w:rPr>
        <w:t>（</w:t>
      </w:r>
      <w:r w:rsidRPr="00BE0572">
        <w:rPr>
          <w:b/>
        </w:rPr>
        <w:t>108年9月6日</w:t>
      </w:r>
      <w:r w:rsidRPr="00BE0572">
        <w:rPr>
          <w:rFonts w:hint="eastAsia"/>
          <w:b/>
        </w:rPr>
        <w:t>修正為第11款</w:t>
      </w:r>
      <w:r w:rsidRPr="00BE0572">
        <w:rPr>
          <w:b/>
        </w:rPr>
        <w:t>）</w:t>
      </w:r>
      <w:r w:rsidRPr="00BE0572">
        <w:rPr>
          <w:rFonts w:hint="eastAsia"/>
          <w:b/>
        </w:rPr>
        <w:t>及其</w:t>
      </w:r>
      <w:r w:rsidRPr="00BE0572">
        <w:rPr>
          <w:b/>
        </w:rPr>
        <w:t>附件</w:t>
      </w:r>
      <w:r w:rsidRPr="00BE0572">
        <w:rPr>
          <w:rFonts w:hint="eastAsia"/>
          <w:b/>
        </w:rPr>
        <w:t>明</w:t>
      </w:r>
      <w:r w:rsidRPr="00BE0572">
        <w:rPr>
          <w:b/>
        </w:rPr>
        <w:t>定</w:t>
      </w:r>
      <w:r w:rsidRPr="00BE0572">
        <w:rPr>
          <w:rFonts w:hint="eastAsia"/>
          <w:b/>
        </w:rPr>
        <w:t>《</w:t>
      </w:r>
      <w:r w:rsidRPr="00BE0572">
        <w:rPr>
          <w:b/>
        </w:rPr>
        <w:t>地方政府辦理國有原住民</w:t>
      </w:r>
      <w:r w:rsidRPr="00BE0572">
        <w:rPr>
          <w:rFonts w:hint="eastAsia"/>
          <w:b/>
        </w:rPr>
        <w:t>保留地占用處理之標準作業程序》（下稱占用處理標準作業程序），作為各機關辦理相關業務之</w:t>
      </w:r>
      <w:r w:rsidR="000023B8" w:rsidRPr="00BE0572">
        <w:rPr>
          <w:rFonts w:hint="eastAsia"/>
          <w:b/>
        </w:rPr>
        <w:t>準</w:t>
      </w:r>
      <w:r w:rsidRPr="00BE0572">
        <w:rPr>
          <w:rFonts w:hint="eastAsia"/>
          <w:b/>
        </w:rPr>
        <w:t>據。該會並建置「原住民族土地網際網路土地管理資訊系統」(下稱土管系統)，責請各公所依占用處理標準作業程序，於系統內登錄各階段處理情形，作為原民會管</w:t>
      </w:r>
      <w:r w:rsidRPr="00BE0572">
        <w:rPr>
          <w:rFonts w:hint="eastAsia"/>
          <w:b/>
        </w:rPr>
        <w:lastRenderedPageBreak/>
        <w:t>理國有原住民保留地被占用案件之</w:t>
      </w:r>
      <w:r w:rsidR="000023B8" w:rsidRPr="00BE0572">
        <w:rPr>
          <w:rFonts w:hint="eastAsia"/>
          <w:b/>
        </w:rPr>
        <w:t>參</w:t>
      </w:r>
      <w:r w:rsidRPr="00BE0572">
        <w:rPr>
          <w:rFonts w:hint="eastAsia"/>
          <w:b/>
        </w:rPr>
        <w:t>據</w:t>
      </w:r>
      <w:r w:rsidRPr="00886740">
        <w:rPr>
          <w:rFonts w:hint="eastAsia"/>
        </w:rPr>
        <w:t>。</w:t>
      </w:r>
      <w:r w:rsidR="009E204C" w:rsidRPr="00886740">
        <w:rPr>
          <w:rFonts w:hint="eastAsia"/>
        </w:rPr>
        <w:t>截至</w:t>
      </w:r>
      <w:r w:rsidR="009E204C" w:rsidRPr="00886740">
        <w:t>112年底止，土管系統列管</w:t>
      </w:r>
      <w:r w:rsidR="009E204C" w:rsidRPr="00886740">
        <w:rPr>
          <w:rFonts w:hint="eastAsia"/>
        </w:rPr>
        <w:t>之</w:t>
      </w:r>
      <w:r w:rsidR="009E204C" w:rsidRPr="00886740">
        <w:t>國有原住民保留地</w:t>
      </w:r>
      <w:r w:rsidR="009E204C" w:rsidRPr="00886740">
        <w:rPr>
          <w:rFonts w:hint="eastAsia"/>
        </w:rPr>
        <w:t>被</w:t>
      </w:r>
      <w:r w:rsidR="009E204C" w:rsidRPr="00886740">
        <w:t>占用案件</w:t>
      </w:r>
      <w:r w:rsidR="009E204C" w:rsidRPr="00886740">
        <w:rPr>
          <w:rFonts w:hint="eastAsia"/>
        </w:rPr>
        <w:t>共計</w:t>
      </w:r>
      <w:r w:rsidR="009E204C" w:rsidRPr="00886740">
        <w:t>1,386錄</w:t>
      </w:r>
      <w:r w:rsidR="009E204C" w:rsidRPr="00886740">
        <w:rPr>
          <w:rFonts w:hint="eastAsia"/>
        </w:rPr>
        <w:t>，合計占用</w:t>
      </w:r>
      <w:r w:rsidR="009E204C" w:rsidRPr="00886740">
        <w:t>面積</w:t>
      </w:r>
      <w:r w:rsidR="009E204C" w:rsidRPr="00886740">
        <w:rPr>
          <w:rFonts w:hint="eastAsia"/>
        </w:rPr>
        <w:t>達</w:t>
      </w:r>
      <w:r w:rsidR="009E204C" w:rsidRPr="00886740">
        <w:t>774.62公頃</w:t>
      </w:r>
      <w:r w:rsidR="009E204C">
        <w:rPr>
          <w:rFonts w:hint="eastAsia"/>
        </w:rPr>
        <w:t>。</w:t>
      </w:r>
    </w:p>
    <w:p w14:paraId="0B2CC4A4" w14:textId="640346DB" w:rsidR="00E27F64" w:rsidRPr="000F6994" w:rsidRDefault="00E27F64" w:rsidP="00EF54F4">
      <w:pPr>
        <w:pStyle w:val="3"/>
      </w:pPr>
      <w:r w:rsidRPr="00843386">
        <w:rPr>
          <w:rFonts w:hint="eastAsia"/>
          <w:b/>
        </w:rPr>
        <w:t>惟據審計部1</w:t>
      </w:r>
      <w:r w:rsidRPr="00843386">
        <w:rPr>
          <w:b/>
        </w:rPr>
        <w:t>13</w:t>
      </w:r>
      <w:r w:rsidRPr="00843386">
        <w:rPr>
          <w:rFonts w:hint="eastAsia"/>
          <w:b/>
        </w:rPr>
        <w:t>年</w:t>
      </w:r>
      <w:r w:rsidRPr="00843386">
        <w:rPr>
          <w:b/>
        </w:rPr>
        <w:t>3</w:t>
      </w:r>
      <w:r w:rsidRPr="00843386">
        <w:rPr>
          <w:rFonts w:hint="eastAsia"/>
          <w:b/>
        </w:rPr>
        <w:t>月至4月查核發現，</w:t>
      </w:r>
      <w:r w:rsidR="000E1441" w:rsidRPr="00843386">
        <w:rPr>
          <w:rFonts w:hint="eastAsia"/>
          <w:b/>
        </w:rPr>
        <w:t>原民會未能完整掌握國有原住民保留地使用情形</w:t>
      </w:r>
      <w:r w:rsidR="0025142E" w:rsidRPr="00843386">
        <w:rPr>
          <w:rFonts w:hint="eastAsia"/>
          <w:b/>
        </w:rPr>
        <w:t>，</w:t>
      </w:r>
      <w:r w:rsidR="00621FD8" w:rsidRPr="00843386">
        <w:rPr>
          <w:rFonts w:hint="eastAsia"/>
          <w:b/>
        </w:rPr>
        <w:t>致</w:t>
      </w:r>
      <w:r w:rsidRPr="00843386">
        <w:rPr>
          <w:rFonts w:hint="eastAsia"/>
          <w:b/>
        </w:rPr>
        <w:t>國有原住民保留地被占用案件存在相當之脫管黑數</w:t>
      </w:r>
      <w:r w:rsidRPr="000F6994">
        <w:rPr>
          <w:rFonts w:hint="eastAsia"/>
        </w:rPr>
        <w:t>：</w:t>
      </w:r>
    </w:p>
    <w:p w14:paraId="40266F50" w14:textId="47C11E8F" w:rsidR="00886740" w:rsidRPr="00886740" w:rsidRDefault="009E204C" w:rsidP="00E27F64">
      <w:pPr>
        <w:pStyle w:val="4"/>
      </w:pPr>
      <w:r>
        <w:rPr>
          <w:rFonts w:hint="eastAsia"/>
        </w:rPr>
        <w:t>依占用處理標準作業程序之作業流程「1</w:t>
      </w:r>
      <w:r>
        <w:t>.1</w:t>
      </w:r>
      <w:r>
        <w:rPr>
          <w:rFonts w:hint="eastAsia"/>
        </w:rPr>
        <w:t>公所清查」規定：「一、公所應逐年分區清查轄管國有原住民保留地之使用情形，善盡管理之責任，如有占用情事，應妥為處理。二、擬訂年度清查及占用處理計畫。」「1</w:t>
      </w:r>
      <w:r>
        <w:t>.2</w:t>
      </w:r>
      <w:r>
        <w:rPr>
          <w:rFonts w:hint="eastAsia"/>
        </w:rPr>
        <w:t>來文或檢舉」規定：「對於他機關來文或民眾檢舉之案件，如有占用情事，應妥為處理。」</w:t>
      </w:r>
      <w:r w:rsidR="00E27F64" w:rsidRPr="0001596A">
        <w:rPr>
          <w:rFonts w:hint="eastAsia"/>
          <w:b/>
        </w:rPr>
        <w:t>惟據審計部抽查發現</w:t>
      </w:r>
      <w:r w:rsidR="00E27F64" w:rsidRPr="0001596A">
        <w:rPr>
          <w:b/>
          <w:vertAlign w:val="superscript"/>
        </w:rPr>
        <w:footnoteReference w:id="1"/>
      </w:r>
      <w:r w:rsidR="00E27F64" w:rsidRPr="0001596A">
        <w:rPr>
          <w:rFonts w:hint="eastAsia"/>
          <w:b/>
        </w:rPr>
        <w:t>，</w:t>
      </w:r>
      <w:r w:rsidR="004A153D" w:rsidRPr="0001596A">
        <w:rPr>
          <w:rFonts w:hint="eastAsia"/>
          <w:b/>
        </w:rPr>
        <w:t>各公所普遍</w:t>
      </w:r>
      <w:r w:rsidR="00E27F64" w:rsidRPr="0001596A">
        <w:rPr>
          <w:rFonts w:hint="eastAsia"/>
          <w:b/>
        </w:rPr>
        <w:t>未依規定擬訂年度清查計畫，未落實分區清查作業，且原民會亦未列管或督促各公所提報計畫及回報分區清查結果</w:t>
      </w:r>
      <w:r w:rsidR="00E27F64">
        <w:rPr>
          <w:rFonts w:hint="eastAsia"/>
        </w:rPr>
        <w:t>。</w:t>
      </w:r>
    </w:p>
    <w:p w14:paraId="56C0A176" w14:textId="0567BE78" w:rsidR="00282145" w:rsidRDefault="00282145" w:rsidP="00E27F64">
      <w:pPr>
        <w:pStyle w:val="4"/>
      </w:pPr>
      <w:r w:rsidRPr="00282145">
        <w:rPr>
          <w:rFonts w:hint="eastAsia"/>
        </w:rPr>
        <w:t>審計部</w:t>
      </w:r>
      <w:r w:rsidR="004A153D">
        <w:rPr>
          <w:rFonts w:hint="eastAsia"/>
        </w:rPr>
        <w:t>為分析潛</w:t>
      </w:r>
      <w:r w:rsidR="00B80364">
        <w:rPr>
          <w:rFonts w:hint="eastAsia"/>
        </w:rPr>
        <w:t>在</w:t>
      </w:r>
      <w:r w:rsidR="004A153D">
        <w:rPr>
          <w:rFonts w:hint="eastAsia"/>
        </w:rPr>
        <w:t>被占用土地數量，</w:t>
      </w:r>
      <w:r w:rsidRPr="00282145">
        <w:rPr>
          <w:rFonts w:hint="eastAsia"/>
        </w:rPr>
        <w:t>運用原民會經管之國有原住民保留地清冊，</w:t>
      </w:r>
      <w:r w:rsidR="0025142E">
        <w:rPr>
          <w:rFonts w:hint="eastAsia"/>
        </w:rPr>
        <w:t>先</w:t>
      </w:r>
      <w:r w:rsidRPr="00282145">
        <w:rPr>
          <w:rFonts w:hint="eastAsia"/>
        </w:rPr>
        <w:t>排除已設定他項權利、已於土管系統登錄之權利回復申請案件、租約存續中等非屬被占用案件，</w:t>
      </w:r>
      <w:r w:rsidR="0025142E">
        <w:rPr>
          <w:rFonts w:hint="eastAsia"/>
        </w:rPr>
        <w:t>再</w:t>
      </w:r>
      <w:r w:rsidRPr="00282145">
        <w:rPr>
          <w:rFonts w:hint="eastAsia"/>
        </w:rPr>
        <w:t>篩選出使用地類別為非都市土地中之農牧用地、林業用地、國土保安用地，以及都市計畫範圍內之都市土地</w:t>
      </w:r>
      <w:r w:rsidR="0025142E">
        <w:rPr>
          <w:rFonts w:hint="eastAsia"/>
        </w:rPr>
        <w:t>後</w:t>
      </w:r>
      <w:r w:rsidRPr="00282145">
        <w:rPr>
          <w:rFonts w:hint="eastAsia"/>
        </w:rPr>
        <w:t>，</w:t>
      </w:r>
      <w:r w:rsidR="00542E3B">
        <w:rPr>
          <w:rFonts w:hint="eastAsia"/>
        </w:rPr>
        <w:t>進而</w:t>
      </w:r>
      <w:r w:rsidRPr="00282145">
        <w:rPr>
          <w:rFonts w:hint="eastAsia"/>
        </w:rPr>
        <w:t>與使用現況屬於「建築利用土地」</w:t>
      </w:r>
      <w:r w:rsidRPr="00282145">
        <w:rPr>
          <w:vertAlign w:val="superscript"/>
        </w:rPr>
        <w:footnoteReference w:id="2"/>
      </w:r>
      <w:r w:rsidRPr="00282145">
        <w:rPr>
          <w:rFonts w:hint="eastAsia"/>
        </w:rPr>
        <w:t>者，進行圖資套疊分析。</w:t>
      </w:r>
      <w:r w:rsidRPr="0001596A">
        <w:rPr>
          <w:rFonts w:hint="eastAsia"/>
          <w:b/>
        </w:rPr>
        <w:t>經比對後，取得交集面</w:t>
      </w:r>
      <w:r w:rsidRPr="0001596A">
        <w:rPr>
          <w:rFonts w:hint="eastAsia"/>
          <w:b/>
        </w:rPr>
        <w:lastRenderedPageBreak/>
        <w:t>積</w:t>
      </w:r>
      <w:r w:rsidRPr="0001596A">
        <w:rPr>
          <w:b/>
        </w:rPr>
        <w:t>100平方公尺以</w:t>
      </w:r>
      <w:r w:rsidRPr="0001596A">
        <w:rPr>
          <w:rFonts w:hint="eastAsia"/>
          <w:b/>
        </w:rPr>
        <w:t>上者，計有土地3</w:t>
      </w:r>
      <w:r w:rsidRPr="0001596A">
        <w:rPr>
          <w:b/>
        </w:rPr>
        <w:t>,</w:t>
      </w:r>
      <w:r w:rsidRPr="0001596A">
        <w:rPr>
          <w:rFonts w:hint="eastAsia"/>
          <w:b/>
        </w:rPr>
        <w:t>384筆、面積167.95公頃，顯示該等土地未經設定合法使用權利，惟實際上已有建築物，疑涉遭人非法占用，部分案件兼涉違規使用情事，卻均未納入土管系統列管。</w:t>
      </w:r>
    </w:p>
    <w:p w14:paraId="4C86DE07" w14:textId="72250265" w:rsidR="00541BC9" w:rsidRPr="00105232" w:rsidRDefault="00541BC9" w:rsidP="00541BC9">
      <w:pPr>
        <w:pStyle w:val="4"/>
        <w:rPr>
          <w:bdr w:val="single" w:sz="4" w:space="0" w:color="auto"/>
        </w:rPr>
      </w:pPr>
      <w:r w:rsidRPr="00C21607">
        <w:rPr>
          <w:rFonts w:hint="eastAsia"/>
          <w:b/>
        </w:rPr>
        <w:t>審計部</w:t>
      </w:r>
      <w:r w:rsidR="00067541" w:rsidRPr="00C21607">
        <w:rPr>
          <w:rFonts w:hint="eastAsia"/>
          <w:b/>
        </w:rPr>
        <w:t>再</w:t>
      </w:r>
      <w:r w:rsidRPr="00C21607">
        <w:rPr>
          <w:rFonts w:hint="eastAsia"/>
          <w:b/>
        </w:rPr>
        <w:t>將前揭圖資套疊發現疑涉遭占用之3</w:t>
      </w:r>
      <w:r w:rsidRPr="00C21607">
        <w:rPr>
          <w:b/>
        </w:rPr>
        <w:t>,</w:t>
      </w:r>
      <w:r w:rsidRPr="00C21607">
        <w:rPr>
          <w:rFonts w:hint="eastAsia"/>
          <w:b/>
        </w:rPr>
        <w:t>384筆國有原住民保留地清冊，與山坡地範圍及地質敏感區範圍等資料進行勾稽。經比對後，位於山坡地範圍者，計有3</w:t>
      </w:r>
      <w:r w:rsidRPr="00C21607">
        <w:rPr>
          <w:b/>
          <w:bCs/>
          <w:kern w:val="2"/>
        </w:rPr>
        <w:t>,</w:t>
      </w:r>
      <w:r w:rsidRPr="00C21607">
        <w:rPr>
          <w:rFonts w:hint="eastAsia"/>
          <w:b/>
          <w:bCs/>
          <w:kern w:val="2"/>
        </w:rPr>
        <w:t>093</w:t>
      </w:r>
      <w:r w:rsidRPr="00C21607">
        <w:rPr>
          <w:rFonts w:hint="eastAsia"/>
          <w:b/>
        </w:rPr>
        <w:t>筆地號（占比91.40%）、面積155.84公頃（占比92.79%）；其中，又有526</w:t>
      </w:r>
      <w:r w:rsidRPr="00C21607">
        <w:rPr>
          <w:rFonts w:cs="Arial" w:hint="eastAsia"/>
          <w:b/>
          <w:bCs/>
          <w:kern w:val="2"/>
        </w:rPr>
        <w:t>筆（占比15.54%）、</w:t>
      </w:r>
      <w:r w:rsidRPr="00C21607">
        <w:rPr>
          <w:rFonts w:hint="eastAsia"/>
          <w:b/>
        </w:rPr>
        <w:t>面積18.14公頃（占比10.80%），位於山崩與地滑地質敏感區。</w:t>
      </w:r>
    </w:p>
    <w:p w14:paraId="67FD9426" w14:textId="3A773D83" w:rsidR="00282145" w:rsidRDefault="00282145" w:rsidP="0025142E">
      <w:pPr>
        <w:pStyle w:val="4"/>
      </w:pPr>
      <w:r w:rsidRPr="001F7B4E">
        <w:rPr>
          <w:rFonts w:hint="eastAsia"/>
        </w:rPr>
        <w:t>為查證前揭圖資套疊所發現疑似遭占用之國有原住民保留地使用現況，審計部</w:t>
      </w:r>
      <w:r w:rsidR="00067541">
        <w:rPr>
          <w:rFonts w:hint="eastAsia"/>
        </w:rPr>
        <w:t>進一步</w:t>
      </w:r>
      <w:r w:rsidRPr="001F7B4E">
        <w:rPr>
          <w:rFonts w:hint="eastAsia"/>
        </w:rPr>
        <w:t>擇定新北市、桃園市、高雄市、屏東縣及臺東縣等</w:t>
      </w:r>
      <w:r w:rsidRPr="001F7B4E">
        <w:t>5</w:t>
      </w:r>
      <w:r w:rsidRPr="001F7B4E">
        <w:rPr>
          <w:rFonts w:hint="eastAsia"/>
        </w:rPr>
        <w:t>個市縣，就其中疑似遭占用之國有原住民保留地計</w:t>
      </w:r>
      <w:r w:rsidRPr="001F7B4E">
        <w:t>111</w:t>
      </w:r>
      <w:r w:rsidRPr="001F7B4E">
        <w:rPr>
          <w:rFonts w:hint="eastAsia"/>
        </w:rPr>
        <w:t>筆、面積</w:t>
      </w:r>
      <w:r w:rsidRPr="001F7B4E">
        <w:t>14.26</w:t>
      </w:r>
      <w:r w:rsidRPr="001F7B4E">
        <w:rPr>
          <w:rFonts w:hint="eastAsia"/>
        </w:rPr>
        <w:t>公頃，洽請原民會轉知所轄公所</w:t>
      </w:r>
      <w:r w:rsidRPr="001F7B4E">
        <w:t>協助</w:t>
      </w:r>
      <w:r w:rsidRPr="001F7B4E">
        <w:rPr>
          <w:rFonts w:hint="eastAsia"/>
        </w:rPr>
        <w:t>辦理實地勘查、拍照及回報清查結果。根據清查結果，初步研判確遭占用者計有</w:t>
      </w:r>
      <w:r w:rsidRPr="001F7B4E">
        <w:t>101</w:t>
      </w:r>
      <w:r w:rsidRPr="001F7B4E">
        <w:rPr>
          <w:rFonts w:hint="eastAsia"/>
        </w:rPr>
        <w:t>筆，約占勘查總筆數111筆之</w:t>
      </w:r>
      <w:r w:rsidRPr="001F7B4E">
        <w:t>90.99</w:t>
      </w:r>
      <w:r w:rsidRPr="001F7B4E">
        <w:rPr>
          <w:rFonts w:hint="eastAsia"/>
        </w:rPr>
        <w:t>%，占用面積合計</w:t>
      </w:r>
      <w:r w:rsidRPr="001F7B4E">
        <w:t>13.83</w:t>
      </w:r>
      <w:r w:rsidRPr="001F7B4E">
        <w:rPr>
          <w:rFonts w:hint="eastAsia"/>
        </w:rPr>
        <w:t>公頃，約占勘查總面積14.26公頃之</w:t>
      </w:r>
      <w:r w:rsidRPr="001F7B4E">
        <w:t>96.99</w:t>
      </w:r>
      <w:r w:rsidRPr="001F7B4E">
        <w:rPr>
          <w:rFonts w:hint="eastAsia"/>
        </w:rPr>
        <w:t>%。</w:t>
      </w:r>
      <w:r w:rsidRPr="00687701">
        <w:rPr>
          <w:rFonts w:hint="eastAsia"/>
          <w:b/>
        </w:rPr>
        <w:t>參照上述勘查結果，推估恐有</w:t>
      </w:r>
      <w:r w:rsidR="009E204C" w:rsidRPr="00687701">
        <w:rPr>
          <w:rFonts w:hint="eastAsia"/>
          <w:b/>
        </w:rPr>
        <w:t>超過</w:t>
      </w:r>
      <w:r w:rsidRPr="00687701">
        <w:rPr>
          <w:rFonts w:hint="eastAsia"/>
          <w:b/>
        </w:rPr>
        <w:t>三千筆</w:t>
      </w:r>
      <w:r w:rsidR="0025142E" w:rsidRPr="00687701">
        <w:rPr>
          <w:rFonts w:hint="eastAsia"/>
          <w:b/>
        </w:rPr>
        <w:t>之</w:t>
      </w:r>
      <w:r w:rsidRPr="00687701">
        <w:rPr>
          <w:rFonts w:hint="eastAsia"/>
          <w:b/>
        </w:rPr>
        <w:t>被占用案件，尚未納入土管系統列管</w:t>
      </w:r>
      <w:r w:rsidRPr="00687701">
        <w:rPr>
          <w:b/>
          <w:vertAlign w:val="superscript"/>
        </w:rPr>
        <w:footnoteReference w:id="3"/>
      </w:r>
      <w:r w:rsidRPr="0078711E">
        <w:rPr>
          <w:rFonts w:hint="eastAsia"/>
        </w:rPr>
        <w:t>。</w:t>
      </w:r>
    </w:p>
    <w:p w14:paraId="2EEA1D73" w14:textId="3E8E78F7" w:rsidR="00E16F2F" w:rsidRDefault="00E16F2F" w:rsidP="0025142E">
      <w:pPr>
        <w:pStyle w:val="4"/>
      </w:pPr>
      <w:r>
        <w:rPr>
          <w:rFonts w:hint="eastAsia"/>
        </w:rPr>
        <w:t>在原民會及各公所未能定期且分區全面清查國有原住民保留地使用現況下，現行土管系統納管之被占用案件，來源主要依賴民眾檢舉，或由各</w:t>
      </w:r>
      <w:r>
        <w:rPr>
          <w:rFonts w:hint="eastAsia"/>
        </w:rPr>
        <w:lastRenderedPageBreak/>
        <w:t>公所依原住民保留地超限利用處理計畫查明後轉列為占用案件（註：當超限利用土地屬國有原住民保留地，且占用人非原住民或身分不明時，土管系統會於各公所回報查處結果時，自動轉入「占用及使用補償金」模組，並列管為占用案件）</w:t>
      </w:r>
      <w:r w:rsidR="0025142E">
        <w:rPr>
          <w:rFonts w:hint="eastAsia"/>
        </w:rPr>
        <w:t>，</w:t>
      </w:r>
      <w:r w:rsidR="00067541">
        <w:rPr>
          <w:rFonts w:hint="eastAsia"/>
        </w:rPr>
        <w:t>由於</w:t>
      </w:r>
      <w:r w:rsidR="0086799D">
        <w:rPr>
          <w:rFonts w:hint="eastAsia"/>
        </w:rPr>
        <w:t>資訊來源</w:t>
      </w:r>
      <w:r w:rsidR="00067541">
        <w:rPr>
          <w:rFonts w:hint="eastAsia"/>
        </w:rPr>
        <w:t>有限，</w:t>
      </w:r>
      <w:r w:rsidR="00282145">
        <w:rPr>
          <w:rFonts w:hint="eastAsia"/>
        </w:rPr>
        <w:t>致應納入土管系統列管案件數顯被低估。</w:t>
      </w:r>
    </w:p>
    <w:p w14:paraId="567DF2E9" w14:textId="720BF684" w:rsidR="0062125A" w:rsidRDefault="009D18D6" w:rsidP="00021D1E">
      <w:pPr>
        <w:pStyle w:val="3"/>
      </w:pPr>
      <w:r>
        <w:rPr>
          <w:rFonts w:hint="eastAsia"/>
        </w:rPr>
        <w:t>詢據原民會表示</w:t>
      </w:r>
      <w:r w:rsidR="00541BC9">
        <w:rPr>
          <w:rFonts w:hint="eastAsia"/>
        </w:rPr>
        <w:t>略以</w:t>
      </w:r>
      <w:r w:rsidR="0062125A">
        <w:rPr>
          <w:rFonts w:hint="eastAsia"/>
        </w:rPr>
        <w:t>：</w:t>
      </w:r>
    </w:p>
    <w:p w14:paraId="5D84CCD3" w14:textId="79259451" w:rsidR="0062125A" w:rsidRDefault="0062125A" w:rsidP="0062125A">
      <w:pPr>
        <w:pStyle w:val="4"/>
      </w:pPr>
      <w:r w:rsidRPr="00EC2099">
        <w:rPr>
          <w:rFonts w:hint="eastAsia"/>
          <w:b/>
        </w:rPr>
        <w:t>國有原住民保留地幅員廣闊，執行相關業務人力有限，難以每年逐筆勘查各土地現況使用情形</w:t>
      </w:r>
      <w:r w:rsidRPr="0062125A">
        <w:rPr>
          <w:rFonts w:hint="eastAsia"/>
        </w:rPr>
        <w:t>。</w:t>
      </w:r>
      <w:r w:rsidRPr="00EC2099">
        <w:rPr>
          <w:rFonts w:hint="eastAsia"/>
          <w:b/>
        </w:rPr>
        <w:t>將加強宣導地方政府及各公所妥善運用土管系統既有地籍圖資及跨部會圖資資訊，掌握國有原住民保留地使用現況，並透過教育訓練及年終會議安排相關課程，以協助各公所逐年分區清查轄管國有原住民保留地之使用情形。</w:t>
      </w:r>
    </w:p>
    <w:p w14:paraId="777E6226" w14:textId="7D7A7A7E" w:rsidR="0062125A" w:rsidRDefault="0062125A" w:rsidP="0062125A">
      <w:pPr>
        <w:pStyle w:val="4"/>
      </w:pPr>
      <w:r w:rsidRPr="00EC2099">
        <w:rPr>
          <w:rFonts w:hint="eastAsia"/>
          <w:b/>
        </w:rPr>
        <w:t>針對審計部運用跨部會圖資勾稽比對發現國有原住民保留地似遭建築物占用之高風險案件（共計3,384筆土地，面積約167.95公頃），已函請地方政府督同公所查明妥處並填報土管系統</w:t>
      </w:r>
      <w:r>
        <w:rPr>
          <w:rFonts w:hint="eastAsia"/>
        </w:rPr>
        <w:t>。</w:t>
      </w:r>
      <w:r w:rsidRPr="00CA3DD9">
        <w:rPr>
          <w:rFonts w:hint="eastAsia"/>
        </w:rPr>
        <w:t>截至113年12月20日，公所已</w:t>
      </w:r>
      <w:r>
        <w:rPr>
          <w:rFonts w:hint="eastAsia"/>
        </w:rPr>
        <w:t>完成</w:t>
      </w:r>
      <w:r w:rsidRPr="00CA3DD9">
        <w:rPr>
          <w:rFonts w:hint="eastAsia"/>
        </w:rPr>
        <w:t>登錄2,073筆</w:t>
      </w:r>
      <w:r>
        <w:rPr>
          <w:rFonts w:hint="eastAsia"/>
        </w:rPr>
        <w:t>，另有84筆</w:t>
      </w:r>
      <w:r w:rsidRPr="00CA3DD9">
        <w:rPr>
          <w:rFonts w:hint="eastAsia"/>
        </w:rPr>
        <w:t>查無占用情事建議解除列管，尚餘1,227筆未登錄，</w:t>
      </w:r>
      <w:r>
        <w:rPr>
          <w:rFonts w:hint="eastAsia"/>
        </w:rPr>
        <w:t>已</w:t>
      </w:r>
      <w:r w:rsidRPr="00CA3DD9">
        <w:rPr>
          <w:rFonts w:hint="eastAsia"/>
        </w:rPr>
        <w:t>列為114年度工作</w:t>
      </w:r>
      <w:r>
        <w:rPr>
          <w:rFonts w:hint="eastAsia"/>
        </w:rPr>
        <w:t>計畫</w:t>
      </w:r>
      <w:r w:rsidRPr="00CA3DD9">
        <w:rPr>
          <w:rFonts w:hint="eastAsia"/>
        </w:rPr>
        <w:t>，</w:t>
      </w:r>
      <w:r>
        <w:rPr>
          <w:rFonts w:hint="eastAsia"/>
        </w:rPr>
        <w:t>預計於</w:t>
      </w:r>
      <w:r w:rsidRPr="00CA3DD9">
        <w:rPr>
          <w:rFonts w:hint="eastAsia"/>
        </w:rPr>
        <w:t>年度內完成清查</w:t>
      </w:r>
      <w:r>
        <w:rPr>
          <w:rFonts w:hint="eastAsia"/>
        </w:rPr>
        <w:t>與資料建置</w:t>
      </w:r>
      <w:r w:rsidRPr="00CA3DD9">
        <w:rPr>
          <w:rFonts w:hint="eastAsia"/>
        </w:rPr>
        <w:t>。</w:t>
      </w:r>
    </w:p>
    <w:p w14:paraId="61B52C3B" w14:textId="601A3004" w:rsidR="0062125A" w:rsidRDefault="0062125A" w:rsidP="0062125A">
      <w:pPr>
        <w:pStyle w:val="4"/>
      </w:pPr>
      <w:r>
        <w:rPr>
          <w:rFonts w:hint="eastAsia"/>
        </w:rPr>
        <w:t>刻正</w:t>
      </w:r>
      <w:r w:rsidRPr="00376A1A">
        <w:rPr>
          <w:rFonts w:hint="eastAsia"/>
        </w:rPr>
        <w:t>研擬「115年度國有原住民保留地占用清查及處理計畫」，</w:t>
      </w:r>
      <w:r w:rsidR="00541BC9">
        <w:rPr>
          <w:rFonts w:hint="eastAsia"/>
        </w:rPr>
        <w:t>將</w:t>
      </w:r>
      <w:r w:rsidRPr="00376A1A">
        <w:rPr>
          <w:rFonts w:hint="eastAsia"/>
        </w:rPr>
        <w:t>於上位整體計畫</w:t>
      </w:r>
      <w:r>
        <w:rPr>
          <w:rFonts w:hint="eastAsia"/>
        </w:rPr>
        <w:t>明定</w:t>
      </w:r>
      <w:r w:rsidRPr="00376A1A">
        <w:rPr>
          <w:rFonts w:hint="eastAsia"/>
        </w:rPr>
        <w:t>年度目標值、實施方法及管考措施，並運用資訊科技圖資輔助勘查及督導，</w:t>
      </w:r>
      <w:r>
        <w:rPr>
          <w:rFonts w:hint="eastAsia"/>
        </w:rPr>
        <w:t>以</w:t>
      </w:r>
      <w:r w:rsidRPr="00376A1A">
        <w:rPr>
          <w:rFonts w:hint="eastAsia"/>
        </w:rPr>
        <w:t>提升地方執行效能</w:t>
      </w:r>
      <w:r w:rsidR="00541BC9">
        <w:rPr>
          <w:rFonts w:hint="eastAsia"/>
        </w:rPr>
        <w:t>。</w:t>
      </w:r>
    </w:p>
    <w:p w14:paraId="0BEF28ED" w14:textId="383722EB" w:rsidR="00C21607" w:rsidRDefault="001E7D86" w:rsidP="006F44B8">
      <w:pPr>
        <w:pStyle w:val="3"/>
      </w:pPr>
      <w:r w:rsidRPr="000F6994">
        <w:rPr>
          <w:rFonts w:hint="eastAsia"/>
        </w:rPr>
        <w:t>原民會於105年訂定發布占用處理標準作業程序，明定各公所應擬具年度清查及占用處理計畫，</w:t>
      </w:r>
      <w:r w:rsidR="000F6994">
        <w:rPr>
          <w:rFonts w:hint="eastAsia"/>
        </w:rPr>
        <w:t>並</w:t>
      </w:r>
      <w:r w:rsidRPr="000F6994">
        <w:rPr>
          <w:rFonts w:hint="eastAsia"/>
        </w:rPr>
        <w:t>逐年分區清查轄</w:t>
      </w:r>
      <w:r w:rsidR="000F6994">
        <w:rPr>
          <w:rFonts w:hint="eastAsia"/>
        </w:rPr>
        <w:t>內</w:t>
      </w:r>
      <w:r w:rsidRPr="000F6994">
        <w:rPr>
          <w:rFonts w:hint="eastAsia"/>
        </w:rPr>
        <w:t>國有原住民保留地使用情形，期能掌</w:t>
      </w:r>
      <w:r w:rsidRPr="000F6994">
        <w:rPr>
          <w:rFonts w:hint="eastAsia"/>
        </w:rPr>
        <w:lastRenderedPageBreak/>
        <w:t>握</w:t>
      </w:r>
      <w:r w:rsidR="000F6994">
        <w:rPr>
          <w:rFonts w:hint="eastAsia"/>
        </w:rPr>
        <w:t>整體</w:t>
      </w:r>
      <w:r w:rsidRPr="000F6994">
        <w:rPr>
          <w:rFonts w:hint="eastAsia"/>
        </w:rPr>
        <w:t>使用全貌，完整納管被占用案件</w:t>
      </w:r>
      <w:r w:rsidR="000F6994">
        <w:rPr>
          <w:rFonts w:hint="eastAsia"/>
        </w:rPr>
        <w:t>。然而，截</w:t>
      </w:r>
      <w:r w:rsidRPr="000F6994">
        <w:rPr>
          <w:rFonts w:hint="eastAsia"/>
        </w:rPr>
        <w:t>至113年3月底，上開作業程序</w:t>
      </w:r>
      <w:r w:rsidR="00EE2147" w:rsidRPr="000F6994">
        <w:rPr>
          <w:rFonts w:hint="eastAsia"/>
        </w:rPr>
        <w:t>已</w:t>
      </w:r>
      <w:r w:rsidRPr="000F6994">
        <w:rPr>
          <w:rFonts w:hint="eastAsia"/>
        </w:rPr>
        <w:t>施</w:t>
      </w:r>
      <w:r w:rsidR="000F6994">
        <w:rPr>
          <w:rFonts w:hint="eastAsia"/>
        </w:rPr>
        <w:t>行逾</w:t>
      </w:r>
      <w:r w:rsidRPr="000F6994">
        <w:rPr>
          <w:rFonts w:hint="eastAsia"/>
        </w:rPr>
        <w:t>8年，實務運作上卻因</w:t>
      </w:r>
      <w:r w:rsidR="00EE2147" w:rsidRPr="000F6994">
        <w:rPr>
          <w:rFonts w:hint="eastAsia"/>
        </w:rPr>
        <w:t>人力</w:t>
      </w:r>
      <w:r w:rsidR="0086799D">
        <w:rPr>
          <w:rFonts w:hint="eastAsia"/>
        </w:rPr>
        <w:t>資源</w:t>
      </w:r>
      <w:r w:rsidRPr="000F6994">
        <w:rPr>
          <w:rFonts w:hint="eastAsia"/>
        </w:rPr>
        <w:t>有限、</w:t>
      </w:r>
      <w:r w:rsidR="00EE2147" w:rsidRPr="000F6994">
        <w:rPr>
          <w:rFonts w:hint="eastAsia"/>
        </w:rPr>
        <w:t>原住民保留地幅員遼闊及巡管不易等限制</w:t>
      </w:r>
      <w:r w:rsidRPr="000F6994">
        <w:rPr>
          <w:rFonts w:hint="eastAsia"/>
        </w:rPr>
        <w:t>，</w:t>
      </w:r>
      <w:r w:rsidR="00DD17B9">
        <w:rPr>
          <w:rFonts w:hint="eastAsia"/>
        </w:rPr>
        <w:t>致各</w:t>
      </w:r>
      <w:r w:rsidR="00EE2147" w:rsidRPr="000F6994">
        <w:rPr>
          <w:rFonts w:hint="eastAsia"/>
        </w:rPr>
        <w:t>公所普遍未能落實</w:t>
      </w:r>
      <w:r w:rsidRPr="000F6994">
        <w:rPr>
          <w:rFonts w:hint="eastAsia"/>
        </w:rPr>
        <w:t>清查</w:t>
      </w:r>
      <w:r w:rsidR="00EE2147" w:rsidRPr="000F6994">
        <w:rPr>
          <w:rFonts w:hint="eastAsia"/>
        </w:rPr>
        <w:t>作</w:t>
      </w:r>
      <w:r w:rsidR="00DD17B9">
        <w:rPr>
          <w:rFonts w:hint="eastAsia"/>
        </w:rPr>
        <w:t>業</w:t>
      </w:r>
      <w:r w:rsidR="00EE2147" w:rsidRPr="000F6994">
        <w:rPr>
          <w:rFonts w:hint="eastAsia"/>
        </w:rPr>
        <w:t>，原民會亦未</w:t>
      </w:r>
      <w:r w:rsidR="00DD17B9">
        <w:rPr>
          <w:rFonts w:hint="eastAsia"/>
        </w:rPr>
        <w:t>有效督導與</w:t>
      </w:r>
      <w:r w:rsidR="00EE2147" w:rsidRPr="000F6994">
        <w:rPr>
          <w:rFonts w:hint="eastAsia"/>
        </w:rPr>
        <w:t>管控執行情形</w:t>
      </w:r>
      <w:r w:rsidR="0086799D">
        <w:rPr>
          <w:rFonts w:hint="eastAsia"/>
        </w:rPr>
        <w:t>。</w:t>
      </w:r>
      <w:r w:rsidR="00EE2147" w:rsidRPr="000F6994">
        <w:rPr>
          <w:rFonts w:hint="eastAsia"/>
        </w:rPr>
        <w:t>加</w:t>
      </w:r>
      <w:r w:rsidR="00DD17B9">
        <w:rPr>
          <w:rFonts w:hint="eastAsia"/>
        </w:rPr>
        <w:t>以</w:t>
      </w:r>
      <w:r w:rsidR="0086799D">
        <w:rPr>
          <w:rFonts w:hint="eastAsia"/>
        </w:rPr>
        <w:t>現行</w:t>
      </w:r>
      <w:r w:rsidRPr="000F6994">
        <w:rPr>
          <w:rFonts w:hint="eastAsia"/>
        </w:rPr>
        <w:t>土管系統</w:t>
      </w:r>
      <w:r w:rsidR="00DD17B9">
        <w:rPr>
          <w:rFonts w:hint="eastAsia"/>
        </w:rPr>
        <w:t>納</w:t>
      </w:r>
      <w:r w:rsidR="00EE2147" w:rsidRPr="000F6994">
        <w:rPr>
          <w:rFonts w:hint="eastAsia"/>
        </w:rPr>
        <w:t>管被占用案件</w:t>
      </w:r>
      <w:r w:rsidR="00292523" w:rsidRPr="000F6994">
        <w:rPr>
          <w:rFonts w:hint="eastAsia"/>
        </w:rPr>
        <w:t>之</w:t>
      </w:r>
      <w:r w:rsidR="0086799D">
        <w:rPr>
          <w:rFonts w:hint="eastAsia"/>
        </w:rPr>
        <w:t>資訊</w:t>
      </w:r>
      <w:r w:rsidR="00EE2147" w:rsidRPr="000F6994">
        <w:rPr>
          <w:rFonts w:hint="eastAsia"/>
        </w:rPr>
        <w:t>來源有限</w:t>
      </w:r>
      <w:r w:rsidRPr="000F6994">
        <w:rPr>
          <w:rFonts w:hint="eastAsia"/>
        </w:rPr>
        <w:t>，</w:t>
      </w:r>
      <w:r w:rsidR="00DD17B9">
        <w:rPr>
          <w:rFonts w:hint="eastAsia"/>
        </w:rPr>
        <w:t>造成</w:t>
      </w:r>
      <w:r w:rsidRPr="000F6994">
        <w:rPr>
          <w:rFonts w:hint="eastAsia"/>
        </w:rPr>
        <w:t>大量潛在遭占用案件未被列管之管理落差。尤其部分疑</w:t>
      </w:r>
      <w:r w:rsidR="0086799D">
        <w:rPr>
          <w:rFonts w:hint="eastAsia"/>
        </w:rPr>
        <w:t>遭</w:t>
      </w:r>
      <w:r w:rsidRPr="000F6994">
        <w:rPr>
          <w:rFonts w:hint="eastAsia"/>
        </w:rPr>
        <w:t>占用土地位處山坡地</w:t>
      </w:r>
      <w:r w:rsidR="00DD17B9">
        <w:rPr>
          <w:rFonts w:hint="eastAsia"/>
        </w:rPr>
        <w:t>與</w:t>
      </w:r>
      <w:r w:rsidRPr="000F6994">
        <w:rPr>
          <w:rFonts w:hint="eastAsia"/>
        </w:rPr>
        <w:t>地質敏感區，若未及時處理，恐衍生公共安全風險及</w:t>
      </w:r>
      <w:r w:rsidR="00DD17B9">
        <w:rPr>
          <w:rFonts w:hint="eastAsia"/>
        </w:rPr>
        <w:t>國土</w:t>
      </w:r>
      <w:r w:rsidRPr="000F6994">
        <w:rPr>
          <w:rFonts w:hint="eastAsia"/>
        </w:rPr>
        <w:t>資源流失等問題。</w:t>
      </w:r>
      <w:r w:rsidR="0086799D" w:rsidRPr="0086799D">
        <w:rPr>
          <w:rFonts w:hint="eastAsia"/>
        </w:rPr>
        <w:t>針對審計部揭露</w:t>
      </w:r>
      <w:r w:rsidR="0086799D">
        <w:rPr>
          <w:rFonts w:hint="eastAsia"/>
        </w:rPr>
        <w:t>疑涉遭占用之國有原住民保留地</w:t>
      </w:r>
      <w:r w:rsidR="0086799D" w:rsidRPr="0086799D">
        <w:rPr>
          <w:rFonts w:hint="eastAsia"/>
        </w:rPr>
        <w:t>，原民會雖已責請地方政府查明並登入土管系統，惟截至113年12月20日，尚有1,227筆疑似遭占用案件未完成</w:t>
      </w:r>
      <w:r w:rsidR="00EA37E0">
        <w:rPr>
          <w:rFonts w:hint="eastAsia"/>
        </w:rPr>
        <w:t>清查及</w:t>
      </w:r>
      <w:r w:rsidR="0086799D" w:rsidRPr="0086799D">
        <w:rPr>
          <w:rFonts w:hint="eastAsia"/>
        </w:rPr>
        <w:t>登錄，相關案件</w:t>
      </w:r>
      <w:r w:rsidR="0086799D">
        <w:rPr>
          <w:rFonts w:hint="eastAsia"/>
        </w:rPr>
        <w:t>仍</w:t>
      </w:r>
      <w:r w:rsidR="0086799D" w:rsidRPr="0086799D">
        <w:rPr>
          <w:rFonts w:hint="eastAsia"/>
        </w:rPr>
        <w:t>需持續追蹤與納管</w:t>
      </w:r>
      <w:r w:rsidR="00EA37E0">
        <w:rPr>
          <w:rFonts w:hint="eastAsia"/>
        </w:rPr>
        <w:t>，以周全管理資訊。</w:t>
      </w:r>
    </w:p>
    <w:p w14:paraId="25DF6E6C" w14:textId="1CF33DDC" w:rsidR="009D18D6" w:rsidRPr="003E5CC9" w:rsidRDefault="00C21607" w:rsidP="006F44B8">
      <w:pPr>
        <w:pStyle w:val="3"/>
      </w:pPr>
      <w:r w:rsidRPr="003E5CC9">
        <w:rPr>
          <w:rFonts w:hint="eastAsia"/>
        </w:rPr>
        <w:t>綜上</w:t>
      </w:r>
      <w:r w:rsidR="00DD17B9" w:rsidRPr="003E5CC9">
        <w:rPr>
          <w:rFonts w:hint="eastAsia"/>
        </w:rPr>
        <w:t>，</w:t>
      </w:r>
      <w:r w:rsidR="00687701" w:rsidRPr="003E5CC9">
        <w:rPr>
          <w:rFonts w:hAnsi="標楷體" w:hint="eastAsia"/>
        </w:rPr>
        <w:t>據審計部運用圖資套疊方式查核國有原住民保留地未列管被占用情形，經抽查推估後恐有超過</w:t>
      </w:r>
      <w:r w:rsidR="0092406B">
        <w:rPr>
          <w:rFonts w:hAnsi="標楷體" w:hint="eastAsia"/>
        </w:rPr>
        <w:t>3</w:t>
      </w:r>
      <w:r w:rsidR="00687701" w:rsidRPr="003E5CC9">
        <w:rPr>
          <w:rFonts w:hAnsi="標楷體" w:hint="eastAsia"/>
        </w:rPr>
        <w:t>千筆之被占用案件，尚未納入土管系統列管，顯示原民會未能有效督導與管控國有原住民保留地占用清查執行工作，造成大量潛在遭占用案件未被該會土管系統列管之管理落差與脫管黑數，核有未當。尤其部分疑涉被占用土地中，位於山坡地範圍者面積高達155.84公頃（占比92.79%）；又位於山崩與地滑地質敏感區面積達18.14公頃（占比10.80%），若未及時處理，恐衍生公共安全風險及國土資源流失等問題。原民會</w:t>
      </w:r>
      <w:r w:rsidR="003E5CC9" w:rsidRPr="003E5CC9">
        <w:rPr>
          <w:rFonts w:hAnsi="標楷體" w:hint="eastAsia"/>
        </w:rPr>
        <w:t>除</w:t>
      </w:r>
      <w:r w:rsidR="00687701" w:rsidRPr="003E5CC9">
        <w:rPr>
          <w:rFonts w:hAnsi="標楷體" w:hint="eastAsia"/>
        </w:rPr>
        <w:t>應針對問題癥結及其肇因，強化跨部會資訊整合與資訊科技應用，提升資料分析與判識能力外，亦應健全督導考核機制，並研擬具體可行之分區清查與管理策略，協助各公所逐步落實清查任務，俾善盡管理責任，實現原住民保留地保障原住民權益之立法本旨</w:t>
      </w:r>
      <w:r w:rsidR="001E7D86" w:rsidRPr="003E5CC9">
        <w:rPr>
          <w:rFonts w:hint="eastAsia"/>
        </w:rPr>
        <w:t>。</w:t>
      </w:r>
    </w:p>
    <w:p w14:paraId="6BF93539" w14:textId="3166E8A9" w:rsidR="001F7DFE" w:rsidRPr="003E5CC9" w:rsidRDefault="00EC2099" w:rsidP="00AE34B6">
      <w:pPr>
        <w:pStyle w:val="2"/>
        <w:spacing w:beforeLines="50" w:before="228"/>
        <w:ind w:left="1020" w:hanging="680"/>
        <w:rPr>
          <w:rFonts w:hAnsi="標楷體"/>
          <w:b/>
        </w:rPr>
      </w:pPr>
      <w:r w:rsidRPr="003E5CC9">
        <w:rPr>
          <w:rFonts w:hAnsi="標楷體" w:hint="eastAsia"/>
          <w:b/>
          <w:szCs w:val="32"/>
        </w:rPr>
        <w:lastRenderedPageBreak/>
        <w:t>據1</w:t>
      </w:r>
      <w:r w:rsidRPr="003E5CC9">
        <w:rPr>
          <w:rFonts w:hAnsi="標楷體"/>
          <w:b/>
          <w:szCs w:val="32"/>
        </w:rPr>
        <w:t>08</w:t>
      </w:r>
      <w:r w:rsidRPr="003E5CC9">
        <w:rPr>
          <w:rFonts w:hAnsi="標楷體" w:hint="eastAsia"/>
          <w:b/>
          <w:szCs w:val="32"/>
        </w:rPr>
        <w:t>至1</w:t>
      </w:r>
      <w:r w:rsidRPr="003E5CC9">
        <w:rPr>
          <w:rFonts w:hAnsi="標楷體"/>
          <w:b/>
          <w:szCs w:val="32"/>
        </w:rPr>
        <w:t>12</w:t>
      </w:r>
      <w:r w:rsidRPr="003E5CC9">
        <w:rPr>
          <w:rFonts w:hAnsi="標楷體" w:hint="eastAsia"/>
          <w:b/>
          <w:szCs w:val="32"/>
        </w:rPr>
        <w:t>年度中央政府各機關經管國有公用被占用不動產處理情形，</w:t>
      </w:r>
      <w:r w:rsidRPr="003E5CC9">
        <w:rPr>
          <w:rFonts w:hAnsi="標楷體" w:hint="eastAsia"/>
          <w:b/>
        </w:rPr>
        <w:t>原民會</w:t>
      </w:r>
      <w:r w:rsidR="00AC1781" w:rsidRPr="003E5CC9">
        <w:rPr>
          <w:rFonts w:hAnsi="標楷體" w:hint="eastAsia"/>
          <w:b/>
          <w:szCs w:val="32"/>
        </w:rPr>
        <w:t>與同時期經管國有公用被占用土地面積前</w:t>
      </w:r>
      <w:r w:rsidR="00AC1781" w:rsidRPr="003E5CC9">
        <w:rPr>
          <w:rFonts w:hAnsi="標楷體"/>
          <w:b/>
          <w:szCs w:val="32"/>
        </w:rPr>
        <w:t>5大部會</w:t>
      </w:r>
      <w:r w:rsidR="00AC1781" w:rsidRPr="003E5CC9">
        <w:rPr>
          <w:rFonts w:hAnsi="標楷體" w:hint="eastAsia"/>
          <w:b/>
          <w:szCs w:val="32"/>
        </w:rPr>
        <w:t>相較，僅原民會經管面積逐年攀升</w:t>
      </w:r>
      <w:r w:rsidR="00AC1781" w:rsidRPr="003E5CC9">
        <w:rPr>
          <w:rFonts w:hAnsi="標楷體" w:hint="eastAsia"/>
          <w:b/>
        </w:rPr>
        <w:t>，顯示其</w:t>
      </w:r>
      <w:r w:rsidRPr="003E5CC9">
        <w:rPr>
          <w:rFonts w:hAnsi="標楷體" w:hint="eastAsia"/>
          <w:b/>
        </w:rPr>
        <w:t>所轄國有原住民保留地被占用案件之處理成效不彰，占用情形未獲有效遏止，且結案進度遲滯，管理已呈失衡趨勢</w:t>
      </w:r>
      <w:r w:rsidRPr="003E5CC9">
        <w:rPr>
          <w:rFonts w:hAnsi="標楷體" w:hint="eastAsia"/>
          <w:b/>
          <w:szCs w:val="32"/>
        </w:rPr>
        <w:t>。囿於</w:t>
      </w:r>
      <w:r w:rsidR="00711F4B" w:rsidRPr="003E5CC9">
        <w:rPr>
          <w:rFonts w:hAnsi="標楷體" w:hint="eastAsia"/>
          <w:b/>
        </w:rPr>
        <w:t>原民會所轄國有</w:t>
      </w:r>
      <w:r w:rsidR="00711F4B" w:rsidRPr="003E5CC9">
        <w:rPr>
          <w:rFonts w:hint="eastAsia"/>
          <w:b/>
        </w:rPr>
        <w:t>原住民保留地被占用案件之列管錄數與面積逐年攀升，所涉土地價值龐鉅，且多為久懸未決之陳年積案，顯示該會對於占用案件之督導管理與查處成效低落，核有未當。該會雖已提出相關改善措施，期藉由制度完善</w:t>
      </w:r>
      <w:r w:rsidR="00711F4B" w:rsidRPr="003E5CC9">
        <w:rPr>
          <w:rFonts w:hAnsi="標楷體" w:hint="eastAsia"/>
          <w:b/>
        </w:rPr>
        <w:t>與資源投入提升管理效能，惟實務執行成效尚待追蹤觀察。原民會允應與地方政府共同研議具體改善措施</w:t>
      </w:r>
      <w:r w:rsidR="00711F4B" w:rsidRPr="003E5CC9">
        <w:rPr>
          <w:rFonts w:hAnsi="標楷體"/>
          <w:b/>
        </w:rPr>
        <w:t>，</w:t>
      </w:r>
      <w:r w:rsidR="0017410E" w:rsidRPr="003E5CC9">
        <w:rPr>
          <w:rFonts w:hAnsi="標楷體" w:hint="eastAsia"/>
          <w:b/>
        </w:rPr>
        <w:t>包括推動原住民保留地權利回復及管理利用條例、研修原住民保留地租金收益處理要點，明確相關單位權責及籌編必要人力</w:t>
      </w:r>
      <w:r w:rsidR="0092406B">
        <w:rPr>
          <w:rFonts w:hAnsi="標楷體" w:hint="eastAsia"/>
          <w:b/>
        </w:rPr>
        <w:t>與</w:t>
      </w:r>
      <w:r w:rsidR="0017410E" w:rsidRPr="003E5CC9">
        <w:rPr>
          <w:rFonts w:hAnsi="標楷體" w:hint="eastAsia"/>
          <w:b/>
        </w:rPr>
        <w:t>經費資源，以</w:t>
      </w:r>
      <w:r w:rsidR="00711F4B" w:rsidRPr="003E5CC9">
        <w:rPr>
          <w:rFonts w:hAnsi="標楷體" w:hint="eastAsia"/>
          <w:b/>
        </w:rPr>
        <w:t>提升處理能量並建構有效之追蹤與管考機制，防止占用情形持續惡化，進而確保原住民族土地權益與國土資源永續利用。</w:t>
      </w:r>
    </w:p>
    <w:p w14:paraId="74A49EB4" w14:textId="0B9722DE" w:rsidR="00967FBE" w:rsidRDefault="00AD49F4" w:rsidP="002E174C">
      <w:pPr>
        <w:pStyle w:val="3"/>
      </w:pPr>
      <w:r>
        <w:rPr>
          <w:rFonts w:hint="eastAsia"/>
        </w:rPr>
        <w:t>查</w:t>
      </w:r>
      <w:r w:rsidR="00665687" w:rsidRPr="00665687">
        <w:rPr>
          <w:rFonts w:hint="eastAsia"/>
        </w:rPr>
        <w:t>占用處理標準作業程序「伍、作業內容」</w:t>
      </w:r>
      <w:r w:rsidR="009825E7">
        <w:rPr>
          <w:rFonts w:hint="eastAsia"/>
        </w:rPr>
        <w:t>所</w:t>
      </w:r>
      <w:r w:rsidR="00665687" w:rsidRPr="00665687">
        <w:rPr>
          <w:rFonts w:hint="eastAsia"/>
        </w:rPr>
        <w:t>附之流程圖及流程說明規定，地方政府</w:t>
      </w:r>
      <w:r w:rsidR="007C4522">
        <w:rPr>
          <w:rFonts w:hint="eastAsia"/>
        </w:rPr>
        <w:t>於</w:t>
      </w:r>
      <w:r w:rsidR="003F27E7">
        <w:rPr>
          <w:rFonts w:hint="eastAsia"/>
        </w:rPr>
        <w:t>辦理</w:t>
      </w:r>
      <w:r w:rsidR="00665687" w:rsidRPr="00665687">
        <w:rPr>
          <w:rFonts w:hint="eastAsia"/>
        </w:rPr>
        <w:t>國有</w:t>
      </w:r>
      <w:r w:rsidR="003E30A2">
        <w:rPr>
          <w:rFonts w:hint="eastAsia"/>
        </w:rPr>
        <w:t>原住民保留地</w:t>
      </w:r>
      <w:r w:rsidR="00665687" w:rsidRPr="00665687">
        <w:rPr>
          <w:rFonts w:hint="eastAsia"/>
        </w:rPr>
        <w:t>被占用案件</w:t>
      </w:r>
      <w:r w:rsidR="003F27E7">
        <w:rPr>
          <w:rFonts w:hint="eastAsia"/>
        </w:rPr>
        <w:t>時</w:t>
      </w:r>
      <w:r w:rsidR="00665687" w:rsidRPr="00665687">
        <w:rPr>
          <w:rFonts w:hint="eastAsia"/>
        </w:rPr>
        <w:t>，</w:t>
      </w:r>
      <w:r w:rsidR="003E30A2">
        <w:rPr>
          <w:rFonts w:hint="eastAsia"/>
        </w:rPr>
        <w:t>應造冊列管，</w:t>
      </w:r>
      <w:r w:rsidR="003F27E7">
        <w:rPr>
          <w:rFonts w:hint="eastAsia"/>
        </w:rPr>
        <w:t>將相關資料登錄於</w:t>
      </w:r>
      <w:r w:rsidR="003E30A2">
        <w:rPr>
          <w:rFonts w:hint="eastAsia"/>
        </w:rPr>
        <w:t>土管系統</w:t>
      </w:r>
      <w:r w:rsidR="003F27E7">
        <w:rPr>
          <w:rFonts w:hint="eastAsia"/>
        </w:rPr>
        <w:t>，</w:t>
      </w:r>
      <w:r w:rsidR="00CE4249">
        <w:rPr>
          <w:rFonts w:hint="eastAsia"/>
        </w:rPr>
        <w:t>並</w:t>
      </w:r>
      <w:r w:rsidR="00665687" w:rsidRPr="00665687">
        <w:rPr>
          <w:rFonts w:hint="eastAsia"/>
        </w:rPr>
        <w:t>依占用人身分</w:t>
      </w:r>
      <w:r w:rsidR="003F27E7">
        <w:rPr>
          <w:rFonts w:hint="eastAsia"/>
        </w:rPr>
        <w:t>類別，區分為3種類型，分</w:t>
      </w:r>
      <w:r w:rsidR="00665687" w:rsidRPr="00665687">
        <w:rPr>
          <w:rFonts w:hint="eastAsia"/>
        </w:rPr>
        <w:t>別執行</w:t>
      </w:r>
      <w:r w:rsidR="003F27E7">
        <w:rPr>
          <w:rFonts w:hint="eastAsia"/>
        </w:rPr>
        <w:t>對應之</w:t>
      </w:r>
      <w:r w:rsidR="00665687" w:rsidRPr="00665687">
        <w:rPr>
          <w:rFonts w:hint="eastAsia"/>
        </w:rPr>
        <w:t>處理流程及步驟</w:t>
      </w:r>
      <w:r w:rsidR="003F27E7">
        <w:rPr>
          <w:rFonts w:hint="eastAsia"/>
        </w:rPr>
        <w:t>。</w:t>
      </w:r>
      <w:r w:rsidR="00CB2A26">
        <w:rPr>
          <w:rFonts w:hint="eastAsia"/>
        </w:rPr>
        <w:t>其中，</w:t>
      </w:r>
      <w:r w:rsidR="007C4522">
        <w:rPr>
          <w:rFonts w:hint="eastAsia"/>
        </w:rPr>
        <w:t>若屬</w:t>
      </w:r>
      <w:r w:rsidR="003F27E7" w:rsidRPr="003F27E7">
        <w:rPr>
          <w:rFonts w:hint="eastAsia"/>
        </w:rPr>
        <w:t>機關占用</w:t>
      </w:r>
      <w:r w:rsidR="007C4522">
        <w:rPr>
          <w:rFonts w:hint="eastAsia"/>
        </w:rPr>
        <w:t>（包括政府機關、公立學校、非公司組織之公營事業）者</w:t>
      </w:r>
      <w:r w:rsidR="003F27E7" w:rsidRPr="003F27E7">
        <w:rPr>
          <w:rFonts w:hint="eastAsia"/>
        </w:rPr>
        <w:t>，</w:t>
      </w:r>
      <w:r w:rsidR="007C4522">
        <w:rPr>
          <w:rFonts w:hint="eastAsia"/>
        </w:rPr>
        <w:t>應</w:t>
      </w:r>
      <w:r w:rsidR="003F27E7" w:rsidRPr="003F27E7">
        <w:rPr>
          <w:rFonts w:hint="eastAsia"/>
        </w:rPr>
        <w:t>函請</w:t>
      </w:r>
      <w:r w:rsidR="00CB2A26">
        <w:rPr>
          <w:rFonts w:hint="eastAsia"/>
        </w:rPr>
        <w:t>占用</w:t>
      </w:r>
      <w:r w:rsidR="003F27E7" w:rsidRPr="003F27E7">
        <w:rPr>
          <w:rFonts w:hint="eastAsia"/>
        </w:rPr>
        <w:t>機關儘速</w:t>
      </w:r>
      <w:r w:rsidR="00CB2A26">
        <w:rPr>
          <w:rFonts w:hint="eastAsia"/>
        </w:rPr>
        <w:t>辦理撥用或</w:t>
      </w:r>
      <w:r w:rsidR="003F27E7" w:rsidRPr="003F27E7">
        <w:rPr>
          <w:rFonts w:hint="eastAsia"/>
        </w:rPr>
        <w:t>騰空返還；</w:t>
      </w:r>
      <w:r w:rsidR="007C4522">
        <w:rPr>
          <w:rFonts w:hint="eastAsia"/>
        </w:rPr>
        <w:t>若為</w:t>
      </w:r>
      <w:r w:rsidR="003F27E7" w:rsidRPr="003F27E7">
        <w:rPr>
          <w:rFonts w:hint="eastAsia"/>
        </w:rPr>
        <w:t>非原住民占用者，</w:t>
      </w:r>
      <w:r w:rsidR="007C4522">
        <w:rPr>
          <w:rFonts w:hint="eastAsia"/>
        </w:rPr>
        <w:t>則</w:t>
      </w:r>
      <w:r w:rsidR="003F27E7" w:rsidRPr="003F27E7">
        <w:rPr>
          <w:rFonts w:hint="eastAsia"/>
        </w:rPr>
        <w:t>依民法第179條不當得利規定，向占用人追溯收取占用期間之使用補償金，</w:t>
      </w:r>
      <w:r w:rsidR="007C4522">
        <w:rPr>
          <w:rFonts w:hint="eastAsia"/>
        </w:rPr>
        <w:t>並視情形</w:t>
      </w:r>
      <w:r w:rsidR="003F27E7" w:rsidRPr="003F27E7">
        <w:rPr>
          <w:rFonts w:hint="eastAsia"/>
        </w:rPr>
        <w:t>輔導</w:t>
      </w:r>
      <w:r w:rsidR="007C4522">
        <w:rPr>
          <w:rFonts w:hint="eastAsia"/>
        </w:rPr>
        <w:t>其</w:t>
      </w:r>
      <w:r w:rsidR="003F27E7" w:rsidRPr="003F27E7">
        <w:rPr>
          <w:rFonts w:hint="eastAsia"/>
        </w:rPr>
        <w:t>依法申請承租</w:t>
      </w:r>
      <w:r w:rsidR="007C4522">
        <w:rPr>
          <w:rFonts w:hint="eastAsia"/>
        </w:rPr>
        <w:t>，</w:t>
      </w:r>
      <w:r w:rsidR="003F27E7" w:rsidRPr="003F27E7">
        <w:rPr>
          <w:rFonts w:hint="eastAsia"/>
        </w:rPr>
        <w:t>或收回土地；</w:t>
      </w:r>
      <w:r w:rsidR="007C4522">
        <w:rPr>
          <w:rFonts w:hint="eastAsia"/>
        </w:rPr>
        <w:t>若為</w:t>
      </w:r>
      <w:r w:rsidR="003F27E7" w:rsidRPr="003F27E7">
        <w:rPr>
          <w:rFonts w:hint="eastAsia"/>
        </w:rPr>
        <w:t>原住民使用者，優先輔導</w:t>
      </w:r>
      <w:r w:rsidR="007C4522">
        <w:rPr>
          <w:rFonts w:hint="eastAsia"/>
        </w:rPr>
        <w:t>其申請</w:t>
      </w:r>
      <w:r w:rsidR="003F27E7" w:rsidRPr="003F27E7">
        <w:rPr>
          <w:rFonts w:hint="eastAsia"/>
        </w:rPr>
        <w:t>權利回復，</w:t>
      </w:r>
      <w:r w:rsidR="007A338D">
        <w:rPr>
          <w:rFonts w:hint="eastAsia"/>
        </w:rPr>
        <w:t>如</w:t>
      </w:r>
      <w:r w:rsidR="007C4522">
        <w:rPr>
          <w:rFonts w:hint="eastAsia"/>
        </w:rPr>
        <w:t>經</w:t>
      </w:r>
      <w:r w:rsidR="00967FBE">
        <w:rPr>
          <w:rFonts w:hint="eastAsia"/>
        </w:rPr>
        <w:t>審查</w:t>
      </w:r>
      <w:r w:rsidR="003F27E7" w:rsidRPr="003F27E7">
        <w:rPr>
          <w:rFonts w:hint="eastAsia"/>
        </w:rPr>
        <w:t>不符</w:t>
      </w:r>
      <w:r w:rsidR="007C4522">
        <w:rPr>
          <w:rFonts w:hint="eastAsia"/>
        </w:rPr>
        <w:t>合</w:t>
      </w:r>
      <w:r w:rsidR="003F27E7" w:rsidRPr="003F27E7">
        <w:rPr>
          <w:rFonts w:hint="eastAsia"/>
        </w:rPr>
        <w:t>權利回復條件，</w:t>
      </w:r>
      <w:r w:rsidR="00967FBE">
        <w:rPr>
          <w:rFonts w:hint="eastAsia"/>
        </w:rPr>
        <w:t>則</w:t>
      </w:r>
      <w:r w:rsidR="003F27E7" w:rsidRPr="003F27E7">
        <w:rPr>
          <w:rFonts w:hint="eastAsia"/>
        </w:rPr>
        <w:t>向</w:t>
      </w:r>
      <w:r>
        <w:rPr>
          <w:rFonts w:hint="eastAsia"/>
        </w:rPr>
        <w:t>其</w:t>
      </w:r>
      <w:r w:rsidR="003F27E7" w:rsidRPr="003F27E7">
        <w:rPr>
          <w:rFonts w:hint="eastAsia"/>
        </w:rPr>
        <w:t>收</w:t>
      </w:r>
      <w:r w:rsidR="003F27E7" w:rsidRPr="003F27E7">
        <w:rPr>
          <w:rFonts w:hint="eastAsia"/>
        </w:rPr>
        <w:lastRenderedPageBreak/>
        <w:t>取使用補償金</w:t>
      </w:r>
      <w:r>
        <w:rPr>
          <w:rFonts w:hint="eastAsia"/>
        </w:rPr>
        <w:t>，</w:t>
      </w:r>
      <w:r w:rsidR="003F27E7" w:rsidRPr="003F27E7">
        <w:rPr>
          <w:rFonts w:hint="eastAsia"/>
        </w:rPr>
        <w:t>並為後續適法</w:t>
      </w:r>
      <w:r>
        <w:rPr>
          <w:rFonts w:hint="eastAsia"/>
        </w:rPr>
        <w:t>之</w:t>
      </w:r>
      <w:r w:rsidR="003F27E7" w:rsidRPr="003F27E7">
        <w:rPr>
          <w:rFonts w:hint="eastAsia"/>
        </w:rPr>
        <w:t>處理</w:t>
      </w:r>
      <w:r w:rsidR="00967FBE">
        <w:rPr>
          <w:rFonts w:hint="eastAsia"/>
        </w:rPr>
        <w:t>（其處理流程如下圖所示）</w:t>
      </w:r>
      <w:r w:rsidR="003F27E7" w:rsidRPr="003F27E7">
        <w:rPr>
          <w:rFonts w:hint="eastAsia"/>
        </w:rPr>
        <w:t>。</w:t>
      </w:r>
    </w:p>
    <w:p w14:paraId="79ADFBBF" w14:textId="606E611C" w:rsidR="00967FBE" w:rsidRDefault="00967FBE" w:rsidP="00967FBE">
      <w:pPr>
        <w:pStyle w:val="3"/>
        <w:numPr>
          <w:ilvl w:val="0"/>
          <w:numId w:val="0"/>
        </w:numPr>
        <w:ind w:left="426"/>
      </w:pPr>
      <w:r w:rsidRPr="00997351">
        <w:rPr>
          <w:rFonts w:hAnsi="標楷體"/>
          <w:b/>
          <w:noProof/>
          <w:sz w:val="28"/>
          <w:szCs w:val="28"/>
        </w:rPr>
        <w:drawing>
          <wp:inline distT="0" distB="0" distL="0" distR="0" wp14:anchorId="059063FD" wp14:editId="5D670011">
            <wp:extent cx="5615940" cy="2790825"/>
            <wp:effectExtent l="0" t="0" r="381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5940" cy="2790825"/>
                    </a:xfrm>
                    <a:prstGeom prst="rect">
                      <a:avLst/>
                    </a:prstGeom>
                  </pic:spPr>
                </pic:pic>
              </a:graphicData>
            </a:graphic>
          </wp:inline>
        </w:drawing>
      </w:r>
    </w:p>
    <w:p w14:paraId="54609A94" w14:textId="39FF2E71" w:rsidR="00967FBE" w:rsidRDefault="00967FBE" w:rsidP="00967FBE">
      <w:pPr>
        <w:pStyle w:val="3"/>
        <w:numPr>
          <w:ilvl w:val="0"/>
          <w:numId w:val="0"/>
        </w:numPr>
        <w:spacing w:afterLines="50" w:after="228"/>
        <w:ind w:left="1361"/>
      </w:pPr>
      <w:r w:rsidRPr="008D4FD2">
        <w:rPr>
          <w:rFonts w:hint="eastAsia"/>
          <w:b/>
          <w:sz w:val="28"/>
          <w:szCs w:val="28"/>
        </w:rPr>
        <w:t>地方政府</w:t>
      </w:r>
      <w:r w:rsidRPr="008D4FD2">
        <w:rPr>
          <w:b/>
          <w:sz w:val="28"/>
          <w:szCs w:val="28"/>
        </w:rPr>
        <w:t>辦理國有原住民保留地</w:t>
      </w:r>
      <w:r w:rsidRPr="008D4FD2">
        <w:rPr>
          <w:rFonts w:hint="eastAsia"/>
          <w:b/>
          <w:sz w:val="28"/>
          <w:szCs w:val="28"/>
        </w:rPr>
        <w:t>占用</w:t>
      </w:r>
      <w:r w:rsidRPr="008D4FD2">
        <w:rPr>
          <w:b/>
          <w:sz w:val="28"/>
          <w:szCs w:val="28"/>
        </w:rPr>
        <w:t>處理流程</w:t>
      </w:r>
      <w:r>
        <w:rPr>
          <w:rFonts w:hint="eastAsia"/>
          <w:b/>
          <w:sz w:val="28"/>
          <w:szCs w:val="28"/>
        </w:rPr>
        <w:t>圖</w:t>
      </w:r>
    </w:p>
    <w:p w14:paraId="223E97CD" w14:textId="6DCC38ED" w:rsidR="00967FBE" w:rsidRPr="00967FBE" w:rsidRDefault="00967FBE" w:rsidP="00967FBE">
      <w:pPr>
        <w:pStyle w:val="3"/>
        <w:numPr>
          <w:ilvl w:val="0"/>
          <w:numId w:val="0"/>
        </w:numPr>
        <w:snapToGrid w:val="0"/>
        <w:spacing w:afterLines="50" w:after="228"/>
        <w:ind w:left="425"/>
        <w:rPr>
          <w:sz w:val="24"/>
        </w:rPr>
      </w:pPr>
      <w:r w:rsidRPr="00967FBE">
        <w:rPr>
          <w:rFonts w:hint="eastAsia"/>
          <w:sz w:val="24"/>
        </w:rPr>
        <w:t>資料來源：</w:t>
      </w:r>
      <w:r>
        <w:rPr>
          <w:rFonts w:hint="eastAsia"/>
          <w:sz w:val="24"/>
        </w:rPr>
        <w:t>審計部</w:t>
      </w:r>
      <w:r w:rsidR="00CE4249">
        <w:rPr>
          <w:rFonts w:hint="eastAsia"/>
          <w:sz w:val="24"/>
        </w:rPr>
        <w:t>查核報告</w:t>
      </w:r>
      <w:r>
        <w:rPr>
          <w:rFonts w:hint="eastAsia"/>
          <w:sz w:val="24"/>
        </w:rPr>
        <w:t>。</w:t>
      </w:r>
    </w:p>
    <w:p w14:paraId="0E7BE70E" w14:textId="0FE6667F" w:rsidR="007A338D" w:rsidRDefault="00AD49F4" w:rsidP="002E174C">
      <w:pPr>
        <w:pStyle w:val="3"/>
      </w:pPr>
      <w:r>
        <w:rPr>
          <w:rFonts w:hint="eastAsia"/>
        </w:rPr>
        <w:t>次查</w:t>
      </w:r>
      <w:r w:rsidR="0085756E">
        <w:rPr>
          <w:rFonts w:hint="eastAsia"/>
        </w:rPr>
        <w:t>，</w:t>
      </w:r>
      <w:r w:rsidR="003F27E7" w:rsidRPr="003F27E7">
        <w:rPr>
          <w:rFonts w:hint="eastAsia"/>
        </w:rPr>
        <w:t>原民會為</w:t>
      </w:r>
      <w:r w:rsidR="0085756E">
        <w:rPr>
          <w:rFonts w:hint="eastAsia"/>
        </w:rPr>
        <w:t>掌握並</w:t>
      </w:r>
      <w:r w:rsidR="003F27E7" w:rsidRPr="003F27E7">
        <w:rPr>
          <w:rFonts w:hint="eastAsia"/>
        </w:rPr>
        <w:t>管控國有</w:t>
      </w:r>
      <w:r w:rsidR="007A338D">
        <w:rPr>
          <w:rFonts w:hint="eastAsia"/>
        </w:rPr>
        <w:t>原住民保留地</w:t>
      </w:r>
      <w:r w:rsidR="0085756E">
        <w:rPr>
          <w:rFonts w:hint="eastAsia"/>
        </w:rPr>
        <w:t>被占用案件之</w:t>
      </w:r>
      <w:r w:rsidR="003F27E7" w:rsidRPr="003F27E7">
        <w:rPr>
          <w:rFonts w:hint="eastAsia"/>
        </w:rPr>
        <w:t>查處情形，於土管系統「占用及使用補償金」</w:t>
      </w:r>
      <w:r>
        <w:rPr>
          <w:rFonts w:hint="eastAsia"/>
        </w:rPr>
        <w:t>模組下設置</w:t>
      </w:r>
      <w:r w:rsidRPr="00483696">
        <w:rPr>
          <w:rFonts w:hint="eastAsia"/>
        </w:rPr>
        <w:t>「占用管理」子模組，</w:t>
      </w:r>
      <w:r>
        <w:rPr>
          <w:rFonts w:hint="eastAsia"/>
        </w:rPr>
        <w:t>供</w:t>
      </w:r>
      <w:r w:rsidRPr="00483696">
        <w:rPr>
          <w:rFonts w:hint="eastAsia"/>
        </w:rPr>
        <w:t>各公所</w:t>
      </w:r>
      <w:r>
        <w:rPr>
          <w:rFonts w:hint="eastAsia"/>
        </w:rPr>
        <w:t>逐案</w:t>
      </w:r>
      <w:r w:rsidR="0085756E">
        <w:rPr>
          <w:rFonts w:hint="eastAsia"/>
        </w:rPr>
        <w:t>登載</w:t>
      </w:r>
      <w:r w:rsidRPr="00483696">
        <w:rPr>
          <w:rFonts w:hint="eastAsia"/>
        </w:rPr>
        <w:t>被占用土地</w:t>
      </w:r>
      <w:r w:rsidR="0085756E">
        <w:rPr>
          <w:rFonts w:hint="eastAsia"/>
        </w:rPr>
        <w:t>標示</w:t>
      </w:r>
      <w:r w:rsidRPr="00483696">
        <w:rPr>
          <w:rFonts w:hint="eastAsia"/>
        </w:rPr>
        <w:t>、占用人</w:t>
      </w:r>
      <w:r>
        <w:rPr>
          <w:rFonts w:hint="eastAsia"/>
        </w:rPr>
        <w:t>類別</w:t>
      </w:r>
      <w:r w:rsidRPr="00483696">
        <w:rPr>
          <w:rFonts w:hint="eastAsia"/>
        </w:rPr>
        <w:t>、占用情形</w:t>
      </w:r>
      <w:r w:rsidR="0085756E">
        <w:rPr>
          <w:rFonts w:hint="eastAsia"/>
        </w:rPr>
        <w:t>及</w:t>
      </w:r>
      <w:r w:rsidRPr="00483696">
        <w:rPr>
          <w:rFonts w:hint="eastAsia"/>
        </w:rPr>
        <w:t>結案</w:t>
      </w:r>
      <w:r>
        <w:rPr>
          <w:rFonts w:hint="eastAsia"/>
        </w:rPr>
        <w:t>與否</w:t>
      </w:r>
      <w:r w:rsidRPr="00483696">
        <w:rPr>
          <w:rFonts w:hint="eastAsia"/>
        </w:rPr>
        <w:t>等資訊</w:t>
      </w:r>
      <w:r w:rsidR="0085756E">
        <w:rPr>
          <w:rFonts w:hint="eastAsia"/>
        </w:rPr>
        <w:t>。</w:t>
      </w:r>
      <w:r w:rsidR="003F27E7" w:rsidRPr="003F27E7">
        <w:rPr>
          <w:rFonts w:hint="eastAsia"/>
        </w:rPr>
        <w:t>各市縣政府</w:t>
      </w:r>
      <w:r w:rsidR="0085756E">
        <w:rPr>
          <w:rFonts w:hint="eastAsia"/>
        </w:rPr>
        <w:t>並依</w:t>
      </w:r>
      <w:r w:rsidR="003F27E7" w:rsidRPr="003F27E7">
        <w:rPr>
          <w:rFonts w:hint="eastAsia"/>
        </w:rPr>
        <w:t>年</w:t>
      </w:r>
      <w:r w:rsidR="0085756E">
        <w:rPr>
          <w:rFonts w:hint="eastAsia"/>
        </w:rPr>
        <w:t>度</w:t>
      </w:r>
      <w:r w:rsidR="003F27E7" w:rsidRPr="003F27E7">
        <w:rPr>
          <w:rFonts w:hint="eastAsia"/>
        </w:rPr>
        <w:t>產製「國有公用被占用處理情形明細表」函報原民會，該會</w:t>
      </w:r>
      <w:r w:rsidR="001B3893">
        <w:rPr>
          <w:rFonts w:hint="eastAsia"/>
        </w:rPr>
        <w:t>統</w:t>
      </w:r>
      <w:r w:rsidR="003F27E7" w:rsidRPr="003F27E7">
        <w:rPr>
          <w:rFonts w:hint="eastAsia"/>
        </w:rPr>
        <w:t>整</w:t>
      </w:r>
      <w:r w:rsidR="0085756E">
        <w:rPr>
          <w:rFonts w:hint="eastAsia"/>
        </w:rPr>
        <w:t>後，</w:t>
      </w:r>
      <w:r w:rsidR="003F27E7" w:rsidRPr="003F27E7">
        <w:rPr>
          <w:rFonts w:hint="eastAsia"/>
        </w:rPr>
        <w:t>逐年函報財政部國有財產署</w:t>
      </w:r>
      <w:r w:rsidR="0085756E">
        <w:rPr>
          <w:rFonts w:hint="eastAsia"/>
        </w:rPr>
        <w:t>彙編</w:t>
      </w:r>
      <w:r w:rsidR="003F27E7" w:rsidRPr="003F27E7">
        <w:rPr>
          <w:rFonts w:hint="eastAsia"/>
        </w:rPr>
        <w:t>「</w:t>
      </w:r>
      <w:r w:rsidR="001B3893">
        <w:rPr>
          <w:rFonts w:hint="eastAsia"/>
        </w:rPr>
        <w:t>中央政府各機關經管</w:t>
      </w:r>
      <w:r w:rsidR="003F27E7" w:rsidRPr="003F27E7">
        <w:rPr>
          <w:rFonts w:hint="eastAsia"/>
        </w:rPr>
        <w:t>國有公用被占用不動產處理情形」。</w:t>
      </w:r>
    </w:p>
    <w:p w14:paraId="6AA48B03" w14:textId="6527AEF9" w:rsidR="001B3893" w:rsidRPr="004E018D" w:rsidRDefault="00C856D7" w:rsidP="001B3893">
      <w:pPr>
        <w:pStyle w:val="3"/>
      </w:pPr>
      <w:r w:rsidRPr="00EC2099">
        <w:rPr>
          <w:rFonts w:hAnsi="標楷體" w:hint="eastAsia"/>
          <w:b/>
          <w:szCs w:val="32"/>
        </w:rPr>
        <w:t>根</w:t>
      </w:r>
      <w:r w:rsidR="001B3893" w:rsidRPr="00EC2099">
        <w:rPr>
          <w:rFonts w:hAnsi="標楷體" w:hint="eastAsia"/>
          <w:b/>
          <w:szCs w:val="32"/>
        </w:rPr>
        <w:t>據1</w:t>
      </w:r>
      <w:r w:rsidR="001B3893" w:rsidRPr="00EC2099">
        <w:rPr>
          <w:rFonts w:hAnsi="標楷體"/>
          <w:b/>
          <w:szCs w:val="32"/>
        </w:rPr>
        <w:t>08</w:t>
      </w:r>
      <w:r w:rsidR="001B3893" w:rsidRPr="00EC2099">
        <w:rPr>
          <w:rFonts w:hAnsi="標楷體" w:hint="eastAsia"/>
          <w:b/>
          <w:szCs w:val="32"/>
        </w:rPr>
        <w:t>至1</w:t>
      </w:r>
      <w:r w:rsidR="001B3893" w:rsidRPr="00EC2099">
        <w:rPr>
          <w:rFonts w:hAnsi="標楷體"/>
          <w:b/>
          <w:szCs w:val="32"/>
        </w:rPr>
        <w:t>12</w:t>
      </w:r>
      <w:r w:rsidR="001B3893" w:rsidRPr="00EC2099">
        <w:rPr>
          <w:rFonts w:hAnsi="標楷體" w:hint="eastAsia"/>
          <w:b/>
          <w:szCs w:val="32"/>
        </w:rPr>
        <w:t>年度中央政府各機關經管國有公用被占用不動產處理情形，</w:t>
      </w:r>
      <w:r w:rsidR="002F4871" w:rsidRPr="00EC2099">
        <w:rPr>
          <w:rFonts w:hint="eastAsia"/>
          <w:b/>
        </w:rPr>
        <w:t>原民會所轄國有原住民保留地被占用案件之處理成效不彰，占用情形未獲有效遏止，且結案進度遲滯，管理已呈失衡趨勢</w:t>
      </w:r>
      <w:r w:rsidR="004E018D" w:rsidRPr="00EC2099">
        <w:rPr>
          <w:rFonts w:hAnsi="標楷體" w:hint="eastAsia"/>
          <w:b/>
          <w:szCs w:val="32"/>
        </w:rPr>
        <w:t>。</w:t>
      </w:r>
      <w:r w:rsidR="00542E3B">
        <w:rPr>
          <w:rFonts w:hAnsi="標楷體" w:hint="eastAsia"/>
          <w:szCs w:val="32"/>
        </w:rPr>
        <w:t>相關</w:t>
      </w:r>
      <w:r w:rsidR="004E018D">
        <w:rPr>
          <w:rFonts w:hAnsi="標楷體" w:hint="eastAsia"/>
          <w:szCs w:val="32"/>
        </w:rPr>
        <w:t>資料分析說明如下</w:t>
      </w:r>
      <w:r w:rsidR="008257D3" w:rsidRPr="004E018D">
        <w:rPr>
          <w:rFonts w:hAnsi="標楷體" w:hint="eastAsia"/>
          <w:szCs w:val="32"/>
        </w:rPr>
        <w:t>：</w:t>
      </w:r>
    </w:p>
    <w:p w14:paraId="61509C01" w14:textId="0947DAA7" w:rsidR="001B3893" w:rsidRPr="00020509" w:rsidRDefault="001B3893" w:rsidP="008257D3">
      <w:pPr>
        <w:pStyle w:val="4"/>
      </w:pPr>
      <w:r w:rsidRPr="00020509">
        <w:rPr>
          <w:rFonts w:hint="eastAsia"/>
        </w:rPr>
        <w:t>原民會</w:t>
      </w:r>
      <w:r w:rsidR="00031DC6" w:rsidRPr="00020509">
        <w:rPr>
          <w:rFonts w:hint="eastAsia"/>
        </w:rPr>
        <w:t>就</w:t>
      </w:r>
      <w:r w:rsidRPr="00020509">
        <w:rPr>
          <w:rFonts w:hint="eastAsia"/>
        </w:rPr>
        <w:t>所轄國有原住民保留地被占用案件</w:t>
      </w:r>
      <w:r w:rsidR="00CF5311" w:rsidRPr="00020509">
        <w:rPr>
          <w:rFonts w:hint="eastAsia"/>
        </w:rPr>
        <w:t>，從</w:t>
      </w:r>
      <w:r w:rsidR="00CF5311" w:rsidRPr="00020509">
        <w:t>108</w:t>
      </w:r>
      <w:r w:rsidR="00CF5311" w:rsidRPr="00020509">
        <w:rPr>
          <w:rFonts w:hint="eastAsia"/>
        </w:rPr>
        <w:t>年底列管</w:t>
      </w:r>
      <w:r w:rsidR="00CF5311" w:rsidRPr="00020509">
        <w:t>943</w:t>
      </w:r>
      <w:r w:rsidR="00CF5311" w:rsidRPr="00020509">
        <w:rPr>
          <w:rFonts w:hint="eastAsia"/>
        </w:rPr>
        <w:t>錄、</w:t>
      </w:r>
      <w:r w:rsidR="00CF5311" w:rsidRPr="00020509">
        <w:t>408.99</w:t>
      </w:r>
      <w:r w:rsidR="00CF5311" w:rsidRPr="00020509">
        <w:rPr>
          <w:rFonts w:hint="eastAsia"/>
        </w:rPr>
        <w:t>公頃，至</w:t>
      </w:r>
      <w:r w:rsidR="00CF5311" w:rsidRPr="00020509">
        <w:t>112年底</w:t>
      </w:r>
      <w:r w:rsidR="00AE6000" w:rsidRPr="00020509">
        <w:rPr>
          <w:rFonts w:hint="eastAsia"/>
        </w:rPr>
        <w:t>累</w:t>
      </w:r>
      <w:r w:rsidR="00AE6000" w:rsidRPr="00020509">
        <w:rPr>
          <w:rFonts w:hint="eastAsia"/>
        </w:rPr>
        <w:lastRenderedPageBreak/>
        <w:t>計達</w:t>
      </w:r>
      <w:r w:rsidR="00CF5311" w:rsidRPr="00020509">
        <w:t>1,386錄、774.62公頃</w:t>
      </w:r>
      <w:r w:rsidR="00AE6000" w:rsidRPr="00020509">
        <w:rPr>
          <w:rFonts w:hint="eastAsia"/>
        </w:rPr>
        <w:t>，5年內增加443錄、365.63公頃</w:t>
      </w:r>
      <w:r w:rsidR="00CF5311" w:rsidRPr="00020509">
        <w:rPr>
          <w:rFonts w:hint="eastAsia"/>
        </w:rPr>
        <w:t>。</w:t>
      </w:r>
      <w:r w:rsidR="00671CB7" w:rsidRPr="00020509">
        <w:rPr>
          <w:rFonts w:hint="eastAsia"/>
        </w:rPr>
        <w:t>除</w:t>
      </w:r>
      <w:r w:rsidR="00671CB7" w:rsidRPr="00AC1781">
        <w:rPr>
          <w:rFonts w:hint="eastAsia"/>
          <w:b/>
        </w:rPr>
        <w:t>各年度新增列管錄數均超過結案錄數外</w:t>
      </w:r>
      <w:r w:rsidR="007748FA" w:rsidRPr="00AC1781">
        <w:rPr>
          <w:rFonts w:hint="eastAsia"/>
          <w:b/>
        </w:rPr>
        <w:t>，</w:t>
      </w:r>
      <w:r w:rsidR="00FD2F19" w:rsidRPr="00AC1781">
        <w:rPr>
          <w:rFonts w:hint="eastAsia"/>
          <w:b/>
        </w:rPr>
        <w:t>以面積計算之年度結案率僅介於</w:t>
      </w:r>
      <w:r w:rsidR="00FD2F19" w:rsidRPr="00AC1781">
        <w:rPr>
          <w:b/>
        </w:rPr>
        <w:t>0.24%至15.25%</w:t>
      </w:r>
      <w:r w:rsidR="00FD2F19" w:rsidRPr="00AC1781">
        <w:rPr>
          <w:rFonts w:hint="eastAsia"/>
          <w:b/>
        </w:rPr>
        <w:t>之</w:t>
      </w:r>
      <w:r w:rsidR="00FD2F19" w:rsidRPr="00AC1781">
        <w:rPr>
          <w:b/>
        </w:rPr>
        <w:t>間</w:t>
      </w:r>
      <w:r w:rsidR="00FD2F19" w:rsidRPr="00AC1781">
        <w:rPr>
          <w:rFonts w:hint="eastAsia"/>
          <w:b/>
        </w:rPr>
        <w:t>，</w:t>
      </w:r>
      <w:r w:rsidR="007748FA" w:rsidRPr="00AC1781">
        <w:rPr>
          <w:rFonts w:hint="eastAsia"/>
          <w:b/>
        </w:rPr>
        <w:t>結案率</w:t>
      </w:r>
      <w:r w:rsidR="00FD2F19" w:rsidRPr="00AC1781">
        <w:rPr>
          <w:rFonts w:hint="eastAsia"/>
          <w:b/>
        </w:rPr>
        <w:t>亦</w:t>
      </w:r>
      <w:r w:rsidR="007748FA" w:rsidRPr="00AC1781">
        <w:rPr>
          <w:rFonts w:hint="eastAsia"/>
          <w:b/>
        </w:rPr>
        <w:t>偏低且逐年下</w:t>
      </w:r>
      <w:r w:rsidR="004E018D" w:rsidRPr="00AC1781">
        <w:rPr>
          <w:rFonts w:hint="eastAsia"/>
          <w:b/>
        </w:rPr>
        <w:t>滑</w:t>
      </w:r>
      <w:r w:rsidR="00873C62" w:rsidRPr="00AC1781">
        <w:rPr>
          <w:rFonts w:hint="eastAsia"/>
          <w:b/>
        </w:rPr>
        <w:t>。</w:t>
      </w:r>
      <w:r w:rsidR="00873C62" w:rsidRPr="00020509">
        <w:rPr>
          <w:rFonts w:hint="eastAsia"/>
        </w:rPr>
        <w:t>以112年為例，新增</w:t>
      </w:r>
      <w:r w:rsidR="00031DC6" w:rsidRPr="00020509">
        <w:rPr>
          <w:rFonts w:hint="eastAsia"/>
        </w:rPr>
        <w:t>占用</w:t>
      </w:r>
      <w:r w:rsidR="00873C62" w:rsidRPr="00020509">
        <w:rPr>
          <w:rFonts w:hint="eastAsia"/>
        </w:rPr>
        <w:t>面積達203.25公頃，卻僅</w:t>
      </w:r>
      <w:r w:rsidR="004E018D" w:rsidRPr="00020509">
        <w:rPr>
          <w:rFonts w:hint="eastAsia"/>
        </w:rPr>
        <w:t>結案</w:t>
      </w:r>
      <w:r w:rsidR="00873C62" w:rsidRPr="00020509">
        <w:rPr>
          <w:rFonts w:hint="eastAsia"/>
        </w:rPr>
        <w:t>1.84公頃，新增與結案面積相差110倍</w:t>
      </w:r>
      <w:r w:rsidRPr="00020509">
        <w:rPr>
          <w:rFonts w:hint="eastAsia"/>
        </w:rPr>
        <w:t>（詳見表</w:t>
      </w:r>
      <w:r w:rsidR="003E5CC9">
        <w:rPr>
          <w:rFonts w:hint="eastAsia"/>
        </w:rPr>
        <w:t>2</w:t>
      </w:r>
      <w:r w:rsidRPr="00020509">
        <w:rPr>
          <w:rFonts w:hint="eastAsia"/>
        </w:rPr>
        <w:t>）</w:t>
      </w:r>
      <w:r w:rsidR="00873C62" w:rsidRPr="00020509">
        <w:rPr>
          <w:rFonts w:hint="eastAsia"/>
        </w:rPr>
        <w:t>。</w:t>
      </w:r>
    </w:p>
    <w:p w14:paraId="3093E6E7" w14:textId="0EFDFF40" w:rsidR="001B3893" w:rsidRPr="00AC1781" w:rsidRDefault="00873C62" w:rsidP="001B3893">
      <w:pPr>
        <w:pStyle w:val="4"/>
        <w:rPr>
          <w:b/>
        </w:rPr>
      </w:pPr>
      <w:r w:rsidRPr="00AC1781">
        <w:rPr>
          <w:rFonts w:hAnsi="標楷體" w:hint="eastAsia"/>
          <w:b/>
          <w:szCs w:val="32"/>
        </w:rPr>
        <w:t>與同時期經管國有公用被占用土地面積前</w:t>
      </w:r>
      <w:r w:rsidRPr="00AC1781">
        <w:rPr>
          <w:rFonts w:hAnsi="標楷體"/>
          <w:b/>
          <w:szCs w:val="32"/>
        </w:rPr>
        <w:t>5大之部會</w:t>
      </w:r>
      <w:r w:rsidRPr="00AC1781">
        <w:rPr>
          <w:rFonts w:hAnsi="標楷體" w:hint="eastAsia"/>
          <w:b/>
          <w:szCs w:val="32"/>
        </w:rPr>
        <w:t>相較</w:t>
      </w:r>
      <w:r w:rsidRPr="00AC1781">
        <w:rPr>
          <w:rFonts w:hAnsi="標楷體"/>
          <w:b/>
          <w:szCs w:val="32"/>
        </w:rPr>
        <w:t>，農業部、教育部、國防部、交通部等4個部會</w:t>
      </w:r>
      <w:r w:rsidRPr="00AC1781">
        <w:rPr>
          <w:rFonts w:hAnsi="標楷體" w:hint="eastAsia"/>
          <w:b/>
          <w:szCs w:val="32"/>
        </w:rPr>
        <w:t>於</w:t>
      </w:r>
      <w:r w:rsidRPr="00AC1781">
        <w:rPr>
          <w:rFonts w:hAnsi="標楷體"/>
          <w:b/>
          <w:szCs w:val="32"/>
        </w:rPr>
        <w:t>108</w:t>
      </w:r>
      <w:r w:rsidRPr="00AC1781">
        <w:rPr>
          <w:rFonts w:hAnsi="標楷體" w:hint="eastAsia"/>
          <w:b/>
          <w:szCs w:val="32"/>
        </w:rPr>
        <w:t>至</w:t>
      </w:r>
      <w:r w:rsidRPr="00AC1781">
        <w:rPr>
          <w:rFonts w:hAnsi="標楷體"/>
          <w:b/>
          <w:szCs w:val="32"/>
        </w:rPr>
        <w:t>112</w:t>
      </w:r>
      <w:r w:rsidRPr="00AC1781">
        <w:rPr>
          <w:rFonts w:hAnsi="標楷體" w:hint="eastAsia"/>
          <w:b/>
          <w:szCs w:val="32"/>
        </w:rPr>
        <w:t>年間，被占用面積均逐年下降，降幅分別為</w:t>
      </w:r>
      <w:r w:rsidRPr="00AC1781">
        <w:rPr>
          <w:rFonts w:hAnsi="標楷體"/>
          <w:b/>
          <w:szCs w:val="32"/>
        </w:rPr>
        <w:t>48.58</w:t>
      </w:r>
      <w:r w:rsidRPr="00AC1781">
        <w:rPr>
          <w:rFonts w:hAnsi="標楷體" w:hint="eastAsia"/>
          <w:b/>
          <w:szCs w:val="32"/>
        </w:rPr>
        <w:t>%、</w:t>
      </w:r>
      <w:r w:rsidRPr="00AC1781">
        <w:rPr>
          <w:rFonts w:hAnsi="標楷體"/>
          <w:b/>
          <w:szCs w:val="32"/>
        </w:rPr>
        <w:t>46.05</w:t>
      </w:r>
      <w:r w:rsidRPr="00AC1781">
        <w:rPr>
          <w:rFonts w:hAnsi="標楷體" w:hint="eastAsia"/>
          <w:b/>
          <w:szCs w:val="32"/>
        </w:rPr>
        <w:t>%、</w:t>
      </w:r>
      <w:r w:rsidRPr="00AC1781">
        <w:rPr>
          <w:rFonts w:hAnsi="標楷體"/>
          <w:b/>
          <w:szCs w:val="32"/>
        </w:rPr>
        <w:t>32.44</w:t>
      </w:r>
      <w:r w:rsidRPr="00AC1781">
        <w:rPr>
          <w:rFonts w:hAnsi="標楷體" w:hint="eastAsia"/>
          <w:b/>
          <w:szCs w:val="32"/>
        </w:rPr>
        <w:t>%、</w:t>
      </w:r>
      <w:r w:rsidRPr="00AC1781">
        <w:rPr>
          <w:rFonts w:hAnsi="標楷體"/>
          <w:b/>
          <w:szCs w:val="32"/>
        </w:rPr>
        <w:t>24.61</w:t>
      </w:r>
      <w:r w:rsidRPr="00AC1781">
        <w:rPr>
          <w:rFonts w:hAnsi="標楷體" w:hint="eastAsia"/>
          <w:b/>
          <w:szCs w:val="32"/>
        </w:rPr>
        <w:t>%；僅原民會經管之國有原住民保留地反而增加</w:t>
      </w:r>
      <w:r w:rsidRPr="00AC1781">
        <w:rPr>
          <w:rFonts w:hAnsi="標楷體" w:hint="eastAsia"/>
          <w:b/>
        </w:rPr>
        <w:t>達</w:t>
      </w:r>
      <w:r w:rsidRPr="00AC1781">
        <w:rPr>
          <w:rFonts w:hAnsi="標楷體"/>
          <w:b/>
        </w:rPr>
        <w:t>89.40%</w:t>
      </w:r>
      <w:r w:rsidRPr="00AC1781">
        <w:rPr>
          <w:rFonts w:hAnsi="標楷體" w:hint="eastAsia"/>
          <w:b/>
        </w:rPr>
        <w:t>（詳</w:t>
      </w:r>
      <w:r w:rsidR="00273A14" w:rsidRPr="00AC1781">
        <w:rPr>
          <w:rFonts w:hAnsi="標楷體" w:hint="eastAsia"/>
          <w:b/>
        </w:rPr>
        <w:t>見</w:t>
      </w:r>
      <w:r w:rsidRPr="00AC1781">
        <w:rPr>
          <w:rFonts w:hAnsi="標楷體" w:hint="eastAsia"/>
          <w:b/>
        </w:rPr>
        <w:t>表</w:t>
      </w:r>
      <w:r w:rsidR="003E5CC9">
        <w:rPr>
          <w:rFonts w:hAnsi="標楷體" w:hint="eastAsia"/>
          <w:b/>
        </w:rPr>
        <w:t>3</w:t>
      </w:r>
      <w:r w:rsidRPr="00AC1781">
        <w:rPr>
          <w:rFonts w:hAnsi="標楷體" w:hint="eastAsia"/>
          <w:b/>
        </w:rPr>
        <w:t>）</w:t>
      </w:r>
      <w:r w:rsidR="00400C68" w:rsidRPr="00AC1781">
        <w:rPr>
          <w:rFonts w:hAnsi="標楷體" w:hint="eastAsia"/>
          <w:b/>
        </w:rPr>
        <w:t>。</w:t>
      </w:r>
    </w:p>
    <w:p w14:paraId="1E0ECC7C" w14:textId="6350A3E1" w:rsidR="00400C68" w:rsidRDefault="00400C68" w:rsidP="001B3893">
      <w:pPr>
        <w:pStyle w:val="4"/>
      </w:pPr>
      <w:r>
        <w:rPr>
          <w:rFonts w:hint="eastAsia"/>
        </w:rPr>
        <w:t>從</w:t>
      </w:r>
      <w:r w:rsidRPr="00922588">
        <w:rPr>
          <w:rFonts w:hint="eastAsia"/>
        </w:rPr>
        <w:t>占用期間來看，截至</w:t>
      </w:r>
      <w:r w:rsidRPr="00922588">
        <w:t>112年底</w:t>
      </w:r>
      <w:r w:rsidRPr="00922588">
        <w:rPr>
          <w:rFonts w:hint="eastAsia"/>
        </w:rPr>
        <w:t>，</w:t>
      </w:r>
      <w:r w:rsidRPr="00922588">
        <w:t>占用</w:t>
      </w:r>
      <w:r>
        <w:rPr>
          <w:rFonts w:hint="eastAsia"/>
        </w:rPr>
        <w:t>期間已逾</w:t>
      </w:r>
      <w:r w:rsidRPr="00922588">
        <w:t>5年以上</w:t>
      </w:r>
      <w:r w:rsidRPr="00922588">
        <w:rPr>
          <w:rFonts w:hint="eastAsia"/>
        </w:rPr>
        <w:t>之</w:t>
      </w:r>
      <w:r w:rsidRPr="00922588">
        <w:t>案件</w:t>
      </w:r>
      <w:r w:rsidRPr="00922588">
        <w:rPr>
          <w:rFonts w:hint="eastAsia"/>
        </w:rPr>
        <w:t>，</w:t>
      </w:r>
      <w:r w:rsidRPr="00922588">
        <w:t>共</w:t>
      </w:r>
      <w:r w:rsidRPr="00922588">
        <w:rPr>
          <w:rFonts w:hint="eastAsia"/>
        </w:rPr>
        <w:t>計</w:t>
      </w:r>
      <w:r w:rsidRPr="00922588">
        <w:t>956</w:t>
      </w:r>
      <w:r w:rsidRPr="00922588">
        <w:rPr>
          <w:rFonts w:hint="eastAsia"/>
        </w:rPr>
        <w:t>錄、</w:t>
      </w:r>
      <w:r w:rsidRPr="00922588">
        <w:t>475.96公頃</w:t>
      </w:r>
      <w:r w:rsidRPr="00922588">
        <w:rPr>
          <w:rFonts w:hint="eastAsia"/>
        </w:rPr>
        <w:t>，</w:t>
      </w:r>
      <w:r>
        <w:rPr>
          <w:rFonts w:hint="eastAsia"/>
        </w:rPr>
        <w:t>約</w:t>
      </w:r>
      <w:r w:rsidR="0092406B">
        <w:rPr>
          <w:rFonts w:hint="eastAsia"/>
        </w:rPr>
        <w:t>占</w:t>
      </w:r>
      <w:r>
        <w:rPr>
          <w:rFonts w:hint="eastAsia"/>
        </w:rPr>
        <w:t>整體</w:t>
      </w:r>
      <w:r w:rsidRPr="00922588">
        <w:rPr>
          <w:rFonts w:hint="eastAsia"/>
        </w:rPr>
        <w:t>案件數</w:t>
      </w:r>
      <w:r w:rsidRPr="00922588">
        <w:t>8成</w:t>
      </w:r>
      <w:r>
        <w:rPr>
          <w:rFonts w:hint="eastAsia"/>
        </w:rPr>
        <w:t>，估計</w:t>
      </w:r>
      <w:r w:rsidRPr="00922588">
        <w:rPr>
          <w:rFonts w:hint="eastAsia"/>
        </w:rPr>
        <w:t>土地</w:t>
      </w:r>
      <w:r>
        <w:rPr>
          <w:rFonts w:hint="eastAsia"/>
        </w:rPr>
        <w:t>總</w:t>
      </w:r>
      <w:r w:rsidRPr="00922588">
        <w:rPr>
          <w:rFonts w:hint="eastAsia"/>
        </w:rPr>
        <w:t>價值</w:t>
      </w:r>
      <w:r>
        <w:rPr>
          <w:rFonts w:hint="eastAsia"/>
        </w:rPr>
        <w:t>逾</w:t>
      </w:r>
      <w:r w:rsidRPr="00922588">
        <w:rPr>
          <w:rFonts w:hint="eastAsia"/>
        </w:rPr>
        <w:t>新臺幣（下同）</w:t>
      </w:r>
      <w:r w:rsidRPr="00922588">
        <w:t>5億6,300萬元</w:t>
      </w:r>
      <w:r w:rsidRPr="00922588">
        <w:rPr>
          <w:rFonts w:hint="eastAsia"/>
        </w:rPr>
        <w:t>；</w:t>
      </w:r>
      <w:r w:rsidRPr="00AC1781">
        <w:rPr>
          <w:rFonts w:hint="eastAsia"/>
          <w:b/>
        </w:rPr>
        <w:t>其中占用超過30年者，更有287筆、221.64公頃，占總面積比率達37.39%，顯示多數案件為陳年積案，久懸未決（詳</w:t>
      </w:r>
      <w:r w:rsidR="00273A14" w:rsidRPr="00AC1781">
        <w:rPr>
          <w:rFonts w:hint="eastAsia"/>
          <w:b/>
        </w:rPr>
        <w:t>見</w:t>
      </w:r>
      <w:r w:rsidRPr="00AC1781">
        <w:rPr>
          <w:rFonts w:hint="eastAsia"/>
          <w:b/>
        </w:rPr>
        <w:t>表</w:t>
      </w:r>
      <w:r w:rsidR="003E5CC9">
        <w:rPr>
          <w:rFonts w:hint="eastAsia"/>
          <w:b/>
        </w:rPr>
        <w:t>4</w:t>
      </w:r>
      <w:r w:rsidRPr="00AC1781">
        <w:rPr>
          <w:rFonts w:hint="eastAsia"/>
          <w:b/>
        </w:rPr>
        <w:t>）</w:t>
      </w:r>
      <w:r>
        <w:rPr>
          <w:rFonts w:hint="eastAsia"/>
        </w:rPr>
        <w:t>。</w:t>
      </w:r>
    </w:p>
    <w:p w14:paraId="7235C471" w14:textId="571AC31E" w:rsidR="00514653" w:rsidRPr="002F4871" w:rsidRDefault="00731E63" w:rsidP="002F4871">
      <w:pPr>
        <w:pStyle w:val="4"/>
      </w:pPr>
      <w:r w:rsidRPr="002F4871">
        <w:rPr>
          <w:rFonts w:hint="eastAsia"/>
        </w:rPr>
        <w:t>綜合上述分析</w:t>
      </w:r>
      <w:r w:rsidR="008736AB" w:rsidRPr="002F4871">
        <w:rPr>
          <w:rFonts w:hint="eastAsia"/>
        </w:rPr>
        <w:t>，</w:t>
      </w:r>
      <w:r w:rsidR="003630D6" w:rsidRPr="00AC1781">
        <w:rPr>
          <w:rFonts w:hint="eastAsia"/>
          <w:b/>
        </w:rPr>
        <w:t>顯示</w:t>
      </w:r>
      <w:r w:rsidRPr="00AC1781">
        <w:rPr>
          <w:rFonts w:hint="eastAsia"/>
          <w:b/>
        </w:rPr>
        <w:t>原民會所轄</w:t>
      </w:r>
      <w:r w:rsidR="003630D6" w:rsidRPr="00AC1781">
        <w:rPr>
          <w:rFonts w:hint="eastAsia"/>
          <w:b/>
        </w:rPr>
        <w:t>國有原住民保留地被占用案件</w:t>
      </w:r>
      <w:r w:rsidRPr="00AC1781">
        <w:rPr>
          <w:rFonts w:hint="eastAsia"/>
          <w:b/>
        </w:rPr>
        <w:t>之</w:t>
      </w:r>
      <w:r w:rsidR="003630D6" w:rsidRPr="00AC1781">
        <w:rPr>
          <w:rFonts w:hint="eastAsia"/>
          <w:b/>
        </w:rPr>
        <w:t>處理成效不彰，占用情形未獲有效遏止，</w:t>
      </w:r>
      <w:r w:rsidRPr="00AC1781">
        <w:rPr>
          <w:rFonts w:hint="eastAsia"/>
          <w:b/>
        </w:rPr>
        <w:t>且</w:t>
      </w:r>
      <w:r w:rsidR="003630D6" w:rsidRPr="00AC1781">
        <w:rPr>
          <w:rFonts w:hint="eastAsia"/>
          <w:b/>
        </w:rPr>
        <w:t>結案進度遲滯，管理</w:t>
      </w:r>
      <w:r w:rsidRPr="00AC1781">
        <w:rPr>
          <w:rFonts w:hint="eastAsia"/>
          <w:b/>
        </w:rPr>
        <w:t>已呈</w:t>
      </w:r>
      <w:r w:rsidR="003630D6" w:rsidRPr="00AC1781">
        <w:rPr>
          <w:rFonts w:hint="eastAsia"/>
          <w:b/>
        </w:rPr>
        <w:t>失衡趨勢</w:t>
      </w:r>
      <w:r w:rsidR="008736AB" w:rsidRPr="00AC1781">
        <w:rPr>
          <w:rFonts w:hint="eastAsia"/>
          <w:b/>
        </w:rPr>
        <w:t>。</w:t>
      </w:r>
      <w:r w:rsidRPr="00AC1781">
        <w:rPr>
          <w:rFonts w:hint="eastAsia"/>
          <w:b/>
        </w:rPr>
        <w:t>尤其與其他部會相較，占用面積不減反增，且結案率逐年下滑</w:t>
      </w:r>
      <w:r w:rsidR="008736AB" w:rsidRPr="00AC1781">
        <w:rPr>
          <w:rFonts w:hint="eastAsia"/>
          <w:b/>
        </w:rPr>
        <w:t>，</w:t>
      </w:r>
      <w:r w:rsidRPr="00AC1781">
        <w:rPr>
          <w:rFonts w:hint="eastAsia"/>
          <w:b/>
        </w:rPr>
        <w:t>反映</w:t>
      </w:r>
      <w:r w:rsidR="008736AB" w:rsidRPr="00AC1781">
        <w:rPr>
          <w:rFonts w:hint="eastAsia"/>
          <w:b/>
        </w:rPr>
        <w:t>地方實務執行已遭遇窒礙，</w:t>
      </w:r>
      <w:r w:rsidRPr="00AC1781">
        <w:rPr>
          <w:rFonts w:hint="eastAsia"/>
          <w:b/>
        </w:rPr>
        <w:t>導致</w:t>
      </w:r>
      <w:r w:rsidR="008736AB" w:rsidRPr="00AC1781">
        <w:rPr>
          <w:rFonts w:hint="eastAsia"/>
          <w:b/>
        </w:rPr>
        <w:t>查處作業延宕，案件積壓日益嚴重。</w:t>
      </w:r>
      <w:r w:rsidRPr="002F4871">
        <w:rPr>
          <w:rFonts w:hint="eastAsia"/>
        </w:rPr>
        <w:t>此情形若未及時改善，</w:t>
      </w:r>
      <w:r w:rsidR="008736AB" w:rsidRPr="002F4871">
        <w:rPr>
          <w:rFonts w:hint="eastAsia"/>
        </w:rPr>
        <w:t>不僅原住民族土地權益難以保障，</w:t>
      </w:r>
      <w:r w:rsidR="002F4871" w:rsidRPr="002F4871">
        <w:rPr>
          <w:rFonts w:hint="eastAsia"/>
        </w:rPr>
        <w:t>更恐引發社會爭議與民怨</w:t>
      </w:r>
      <w:r w:rsidR="008736AB" w:rsidRPr="002F4871">
        <w:rPr>
          <w:rFonts w:hint="eastAsia"/>
        </w:rPr>
        <w:t>，影響政府</w:t>
      </w:r>
      <w:r w:rsidR="002F4871" w:rsidRPr="002F4871">
        <w:rPr>
          <w:rFonts w:hint="eastAsia"/>
        </w:rPr>
        <w:t>施政</w:t>
      </w:r>
      <w:r w:rsidR="008736AB" w:rsidRPr="002F4871">
        <w:rPr>
          <w:rFonts w:hint="eastAsia"/>
        </w:rPr>
        <w:t>公信力。</w:t>
      </w:r>
      <w:r w:rsidR="003630D6" w:rsidRPr="002F4871">
        <w:rPr>
          <w:rFonts w:hint="eastAsia"/>
        </w:rPr>
        <w:t>原民會</w:t>
      </w:r>
      <w:r w:rsidR="002F4871" w:rsidRPr="002F4871">
        <w:rPr>
          <w:rFonts w:hint="eastAsia"/>
        </w:rPr>
        <w:t>應儘速與</w:t>
      </w:r>
      <w:r w:rsidRPr="002F4871">
        <w:rPr>
          <w:rFonts w:hint="eastAsia"/>
        </w:rPr>
        <w:t>地方政府</w:t>
      </w:r>
      <w:r w:rsidR="002F4871" w:rsidRPr="002F4871">
        <w:rPr>
          <w:rFonts w:hint="eastAsia"/>
        </w:rPr>
        <w:t>共同檢討</w:t>
      </w:r>
      <w:r w:rsidRPr="002F4871">
        <w:rPr>
          <w:rFonts w:hint="eastAsia"/>
        </w:rPr>
        <w:t>問題癥結及</w:t>
      </w:r>
      <w:r w:rsidR="002F4871" w:rsidRPr="002F4871">
        <w:rPr>
          <w:rFonts w:hint="eastAsia"/>
        </w:rPr>
        <w:t>成因</w:t>
      </w:r>
      <w:r w:rsidRPr="002F4871">
        <w:rPr>
          <w:rFonts w:hint="eastAsia"/>
        </w:rPr>
        <w:t>，研議具體改善措施</w:t>
      </w:r>
      <w:r w:rsidR="003630D6" w:rsidRPr="002F4871">
        <w:t>，</w:t>
      </w:r>
      <w:r w:rsidR="002F4871" w:rsidRPr="002F4871">
        <w:rPr>
          <w:rFonts w:hint="eastAsia"/>
        </w:rPr>
        <w:t>強化查處效率，</w:t>
      </w:r>
      <w:r w:rsidRPr="002F4871">
        <w:rPr>
          <w:rFonts w:hint="eastAsia"/>
        </w:rPr>
        <w:t>避免被占用案件持續惡化。</w:t>
      </w:r>
    </w:p>
    <w:p w14:paraId="74844637" w14:textId="1EAA8F32" w:rsidR="001B3893" w:rsidRPr="008257D3" w:rsidRDefault="008257D3" w:rsidP="008257D3">
      <w:pPr>
        <w:spacing w:beforeLines="50" w:before="228"/>
        <w:jc w:val="center"/>
        <w:rPr>
          <w:b/>
          <w:sz w:val="28"/>
        </w:rPr>
      </w:pPr>
      <w:r>
        <w:rPr>
          <w:rFonts w:hint="eastAsia"/>
          <w:b/>
          <w:sz w:val="28"/>
        </w:rPr>
        <w:lastRenderedPageBreak/>
        <w:t>表</w:t>
      </w:r>
      <w:r w:rsidR="00E62908">
        <w:rPr>
          <w:rFonts w:hint="eastAsia"/>
          <w:b/>
          <w:sz w:val="28"/>
        </w:rPr>
        <w:t>2</w:t>
      </w:r>
      <w:r>
        <w:rPr>
          <w:rFonts w:hint="eastAsia"/>
          <w:b/>
          <w:sz w:val="28"/>
        </w:rPr>
        <w:t>、</w:t>
      </w:r>
      <w:r w:rsidR="001B3893" w:rsidRPr="008257D3">
        <w:rPr>
          <w:rFonts w:hint="eastAsia"/>
          <w:b/>
          <w:sz w:val="28"/>
        </w:rPr>
        <w:t>國有原住民保留地被占用案件處理結案情形</w:t>
      </w:r>
    </w:p>
    <w:p w14:paraId="1186B2A1" w14:textId="77777777" w:rsidR="001B3893" w:rsidRPr="00DD0549" w:rsidRDefault="001B3893" w:rsidP="001B3893">
      <w:pPr>
        <w:pStyle w:val="3"/>
        <w:numPr>
          <w:ilvl w:val="0"/>
          <w:numId w:val="0"/>
        </w:numPr>
        <w:ind w:left="6096" w:rightChars="16" w:right="54"/>
        <w:jc w:val="right"/>
        <w:rPr>
          <w:rFonts w:hAnsi="標楷體"/>
          <w:bCs w:val="0"/>
          <w:color w:val="000000"/>
          <w:spacing w:val="-6"/>
          <w:kern w:val="2"/>
          <w:sz w:val="24"/>
          <w:szCs w:val="24"/>
        </w:rPr>
      </w:pPr>
      <w:r w:rsidRPr="00DD0549">
        <w:rPr>
          <w:rFonts w:hAnsi="標楷體" w:hint="eastAsia"/>
          <w:bCs w:val="0"/>
          <w:color w:val="000000"/>
          <w:spacing w:val="-6"/>
          <w:kern w:val="2"/>
          <w:sz w:val="24"/>
          <w:szCs w:val="24"/>
        </w:rPr>
        <w:t>單位：錄</w:t>
      </w:r>
      <w:r w:rsidRPr="00DD0549">
        <w:rPr>
          <w:rFonts w:hAnsi="標楷體"/>
          <w:bCs w:val="0"/>
          <w:color w:val="000000"/>
          <w:spacing w:val="-6"/>
          <w:kern w:val="2"/>
          <w:sz w:val="24"/>
          <w:szCs w:val="24"/>
        </w:rPr>
        <w:t>、</w:t>
      </w:r>
      <w:r w:rsidRPr="00DD0549">
        <w:rPr>
          <w:rFonts w:hAnsi="標楷體" w:hint="eastAsia"/>
          <w:bCs w:val="0"/>
          <w:color w:val="000000"/>
          <w:spacing w:val="-6"/>
          <w:kern w:val="2"/>
          <w:sz w:val="24"/>
          <w:szCs w:val="24"/>
        </w:rPr>
        <w:t>公頃</w:t>
      </w:r>
      <w:r w:rsidRPr="00DD0549">
        <w:rPr>
          <w:rFonts w:hAnsi="標楷體"/>
          <w:bCs w:val="0"/>
          <w:color w:val="000000"/>
          <w:spacing w:val="-6"/>
          <w:kern w:val="2"/>
          <w:sz w:val="24"/>
          <w:szCs w:val="24"/>
        </w:rPr>
        <w:t>、</w:t>
      </w:r>
      <w:r>
        <w:rPr>
          <w:rFonts w:hAnsi="標楷體" w:hint="eastAsia"/>
          <w:bCs w:val="0"/>
          <w:color w:val="000000"/>
          <w:spacing w:val="-6"/>
          <w:kern w:val="2"/>
          <w:sz w:val="24"/>
          <w:szCs w:val="24"/>
        </w:rPr>
        <w:t>%</w:t>
      </w:r>
    </w:p>
    <w:tbl>
      <w:tblPr>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58"/>
        <w:gridCol w:w="877"/>
        <w:gridCol w:w="689"/>
        <w:gridCol w:w="877"/>
        <w:gridCol w:w="743"/>
        <w:gridCol w:w="767"/>
        <w:gridCol w:w="767"/>
        <w:gridCol w:w="877"/>
        <w:gridCol w:w="753"/>
        <w:gridCol w:w="851"/>
      </w:tblGrid>
      <w:tr w:rsidR="001B3893" w:rsidRPr="007B0415" w14:paraId="33561A5C" w14:textId="77777777" w:rsidTr="0097283A">
        <w:trPr>
          <w:trHeight w:val="660"/>
        </w:trPr>
        <w:tc>
          <w:tcPr>
            <w:tcW w:w="567" w:type="dxa"/>
            <w:vMerge w:val="restart"/>
            <w:shd w:val="clear" w:color="auto" w:fill="FDE9D9" w:themeFill="accent6" w:themeFillTint="33"/>
            <w:noWrap/>
            <w:textDirection w:val="tbRlV"/>
            <w:vAlign w:val="center"/>
            <w:hideMark/>
          </w:tcPr>
          <w:p w14:paraId="777F8DB2" w14:textId="77777777" w:rsidR="001B3893" w:rsidRPr="00B52971" w:rsidRDefault="001B3893" w:rsidP="002E174C">
            <w:pPr>
              <w:snapToGrid w:val="0"/>
              <w:spacing w:line="240" w:lineRule="atLeast"/>
              <w:ind w:left="113" w:right="113"/>
              <w:jc w:val="center"/>
              <w:rPr>
                <w:rFonts w:hAnsi="標楷體"/>
                <w:sz w:val="20"/>
              </w:rPr>
            </w:pPr>
            <w:r w:rsidRPr="00B52971">
              <w:rPr>
                <w:rFonts w:hAnsi="標楷體" w:hint="eastAsia"/>
                <w:sz w:val="20"/>
              </w:rPr>
              <w:t>年</w:t>
            </w:r>
            <w:r>
              <w:rPr>
                <w:rFonts w:hAnsi="標楷體" w:hint="eastAsia"/>
                <w:sz w:val="20"/>
              </w:rPr>
              <w:t>度</w:t>
            </w:r>
          </w:p>
        </w:tc>
        <w:tc>
          <w:tcPr>
            <w:tcW w:w="2035" w:type="dxa"/>
            <w:gridSpan w:val="2"/>
            <w:shd w:val="clear" w:color="auto" w:fill="FDE9D9" w:themeFill="accent6" w:themeFillTint="33"/>
            <w:vAlign w:val="center"/>
            <w:hideMark/>
          </w:tcPr>
          <w:p w14:paraId="736BE33E" w14:textId="77777777" w:rsidR="001B3893" w:rsidRDefault="001B3893" w:rsidP="002E174C">
            <w:pPr>
              <w:snapToGrid w:val="0"/>
              <w:spacing w:line="240" w:lineRule="atLeast"/>
              <w:jc w:val="center"/>
              <w:rPr>
                <w:rFonts w:hAnsi="標楷體"/>
                <w:spacing w:val="12"/>
                <w:sz w:val="20"/>
              </w:rPr>
            </w:pPr>
            <w:r w:rsidRPr="007B0415">
              <w:rPr>
                <w:rFonts w:hAnsi="標楷體" w:hint="eastAsia"/>
                <w:spacing w:val="12"/>
                <w:sz w:val="20"/>
              </w:rPr>
              <w:t>截至上年底</w:t>
            </w:r>
          </w:p>
          <w:p w14:paraId="0CF9ABDA" w14:textId="77777777" w:rsidR="001B3893" w:rsidRPr="007B0415" w:rsidRDefault="001B3893" w:rsidP="002E174C">
            <w:pPr>
              <w:snapToGrid w:val="0"/>
              <w:spacing w:line="240" w:lineRule="atLeast"/>
              <w:jc w:val="center"/>
              <w:rPr>
                <w:rFonts w:hAnsi="標楷體"/>
                <w:spacing w:val="12"/>
                <w:sz w:val="20"/>
              </w:rPr>
            </w:pPr>
            <w:r w:rsidRPr="007B0415">
              <w:rPr>
                <w:rFonts w:hAnsi="標楷體" w:hint="eastAsia"/>
                <w:spacing w:val="12"/>
                <w:sz w:val="20"/>
              </w:rPr>
              <w:t>未結案數</w:t>
            </w:r>
          </w:p>
        </w:tc>
        <w:tc>
          <w:tcPr>
            <w:tcW w:w="1566" w:type="dxa"/>
            <w:gridSpan w:val="2"/>
            <w:shd w:val="clear" w:color="auto" w:fill="FDE9D9" w:themeFill="accent6" w:themeFillTint="33"/>
            <w:vAlign w:val="center"/>
            <w:hideMark/>
          </w:tcPr>
          <w:p w14:paraId="61427414" w14:textId="77777777" w:rsidR="001B3893" w:rsidRDefault="001B3893" w:rsidP="002E174C">
            <w:pPr>
              <w:snapToGrid w:val="0"/>
              <w:spacing w:line="240" w:lineRule="atLeast"/>
              <w:jc w:val="center"/>
              <w:rPr>
                <w:rFonts w:hAnsi="標楷體"/>
                <w:spacing w:val="8"/>
                <w:sz w:val="20"/>
              </w:rPr>
            </w:pPr>
            <w:r w:rsidRPr="007B0415">
              <w:rPr>
                <w:rFonts w:hAnsi="標楷體" w:hint="eastAsia"/>
                <w:spacing w:val="8"/>
                <w:sz w:val="20"/>
              </w:rPr>
              <w:t>本年新增</w:t>
            </w:r>
          </w:p>
          <w:p w14:paraId="4D6C11B6" w14:textId="77777777" w:rsidR="001B3893" w:rsidRPr="007B0415" w:rsidRDefault="001B3893" w:rsidP="002E174C">
            <w:pPr>
              <w:snapToGrid w:val="0"/>
              <w:spacing w:line="240" w:lineRule="atLeast"/>
              <w:jc w:val="center"/>
              <w:rPr>
                <w:rFonts w:hAnsi="標楷體"/>
                <w:spacing w:val="8"/>
                <w:sz w:val="20"/>
              </w:rPr>
            </w:pPr>
            <w:r w:rsidRPr="007B0415">
              <w:rPr>
                <w:rFonts w:hAnsi="標楷體" w:hint="eastAsia"/>
                <w:spacing w:val="8"/>
                <w:sz w:val="20"/>
              </w:rPr>
              <w:t>被占用數</w:t>
            </w:r>
          </w:p>
        </w:tc>
        <w:tc>
          <w:tcPr>
            <w:tcW w:w="1510" w:type="dxa"/>
            <w:gridSpan w:val="2"/>
            <w:shd w:val="clear" w:color="auto" w:fill="FDE9D9" w:themeFill="accent6" w:themeFillTint="33"/>
            <w:vAlign w:val="center"/>
            <w:hideMark/>
          </w:tcPr>
          <w:p w14:paraId="45F042EA" w14:textId="77777777" w:rsidR="001B3893" w:rsidRDefault="001B3893" w:rsidP="002E174C">
            <w:pPr>
              <w:snapToGrid w:val="0"/>
              <w:spacing w:line="240" w:lineRule="atLeast"/>
              <w:jc w:val="center"/>
              <w:rPr>
                <w:rFonts w:hAnsi="標楷體"/>
                <w:spacing w:val="8"/>
                <w:sz w:val="20"/>
              </w:rPr>
            </w:pPr>
            <w:r w:rsidRPr="007B0415">
              <w:rPr>
                <w:rFonts w:hAnsi="標楷體" w:hint="eastAsia"/>
                <w:spacing w:val="8"/>
                <w:sz w:val="20"/>
              </w:rPr>
              <w:t>本年處理</w:t>
            </w:r>
          </w:p>
          <w:p w14:paraId="2D43F602" w14:textId="77777777" w:rsidR="001B3893" w:rsidRPr="007B0415" w:rsidRDefault="001B3893" w:rsidP="002E174C">
            <w:pPr>
              <w:snapToGrid w:val="0"/>
              <w:spacing w:line="240" w:lineRule="atLeast"/>
              <w:jc w:val="center"/>
              <w:rPr>
                <w:rFonts w:hAnsi="標楷體"/>
                <w:spacing w:val="8"/>
                <w:sz w:val="20"/>
              </w:rPr>
            </w:pPr>
            <w:r w:rsidRPr="007B0415">
              <w:rPr>
                <w:rFonts w:hAnsi="標楷體" w:hint="eastAsia"/>
                <w:spacing w:val="8"/>
                <w:sz w:val="20"/>
              </w:rPr>
              <w:t>結案數</w:t>
            </w:r>
          </w:p>
        </w:tc>
        <w:tc>
          <w:tcPr>
            <w:tcW w:w="1644" w:type="dxa"/>
            <w:gridSpan w:val="2"/>
            <w:shd w:val="clear" w:color="auto" w:fill="FDE9D9" w:themeFill="accent6" w:themeFillTint="33"/>
            <w:vAlign w:val="center"/>
            <w:hideMark/>
          </w:tcPr>
          <w:p w14:paraId="23416CE4" w14:textId="77777777" w:rsidR="001B3893" w:rsidRDefault="001B3893" w:rsidP="002E174C">
            <w:pPr>
              <w:snapToGrid w:val="0"/>
              <w:spacing w:line="240" w:lineRule="atLeast"/>
              <w:jc w:val="center"/>
              <w:rPr>
                <w:rFonts w:hAnsi="標楷體"/>
                <w:spacing w:val="8"/>
                <w:sz w:val="20"/>
              </w:rPr>
            </w:pPr>
            <w:r w:rsidRPr="007B0415">
              <w:rPr>
                <w:rFonts w:hAnsi="標楷體" w:hint="eastAsia"/>
                <w:spacing w:val="8"/>
                <w:sz w:val="20"/>
              </w:rPr>
              <w:t>截至本年底</w:t>
            </w:r>
          </w:p>
          <w:p w14:paraId="1FFB2938" w14:textId="77777777" w:rsidR="001B3893" w:rsidRPr="007B0415" w:rsidRDefault="001B3893" w:rsidP="002E174C">
            <w:pPr>
              <w:snapToGrid w:val="0"/>
              <w:spacing w:line="240" w:lineRule="atLeast"/>
              <w:jc w:val="center"/>
              <w:rPr>
                <w:rFonts w:hAnsi="標楷體"/>
                <w:spacing w:val="8"/>
                <w:sz w:val="20"/>
              </w:rPr>
            </w:pPr>
            <w:r w:rsidRPr="007B0415">
              <w:rPr>
                <w:rFonts w:hAnsi="標楷體" w:hint="eastAsia"/>
                <w:spacing w:val="8"/>
                <w:sz w:val="20"/>
              </w:rPr>
              <w:t>未結案數</w:t>
            </w:r>
          </w:p>
        </w:tc>
        <w:tc>
          <w:tcPr>
            <w:tcW w:w="1604" w:type="dxa"/>
            <w:gridSpan w:val="2"/>
            <w:shd w:val="clear" w:color="auto" w:fill="FDE9D9" w:themeFill="accent6" w:themeFillTint="33"/>
            <w:vAlign w:val="center"/>
            <w:hideMark/>
          </w:tcPr>
          <w:p w14:paraId="0168FA47" w14:textId="77777777" w:rsidR="001B3893" w:rsidRPr="007B0415" w:rsidRDefault="001B3893" w:rsidP="002E174C">
            <w:pPr>
              <w:snapToGrid w:val="0"/>
              <w:spacing w:line="240" w:lineRule="atLeast"/>
              <w:jc w:val="center"/>
              <w:rPr>
                <w:rFonts w:hAnsi="標楷體"/>
                <w:spacing w:val="8"/>
                <w:sz w:val="20"/>
              </w:rPr>
            </w:pPr>
            <w:r w:rsidRPr="007B0415">
              <w:rPr>
                <w:rFonts w:hAnsi="標楷體" w:hint="eastAsia"/>
                <w:spacing w:val="8"/>
                <w:sz w:val="20"/>
              </w:rPr>
              <w:t>結案率</w:t>
            </w:r>
          </w:p>
        </w:tc>
      </w:tr>
      <w:tr w:rsidR="001B3893" w:rsidRPr="00B52971" w14:paraId="5CF4C4F2" w14:textId="77777777" w:rsidTr="0097283A">
        <w:trPr>
          <w:trHeight w:val="397"/>
        </w:trPr>
        <w:tc>
          <w:tcPr>
            <w:tcW w:w="567" w:type="dxa"/>
            <w:vMerge/>
            <w:shd w:val="clear" w:color="auto" w:fill="FDE9D9" w:themeFill="accent6" w:themeFillTint="33"/>
            <w:noWrap/>
            <w:hideMark/>
          </w:tcPr>
          <w:p w14:paraId="093E077B" w14:textId="77777777" w:rsidR="001B3893" w:rsidRPr="00B52971" w:rsidRDefault="001B3893" w:rsidP="002E174C">
            <w:pPr>
              <w:snapToGrid w:val="0"/>
              <w:spacing w:line="240" w:lineRule="atLeast"/>
              <w:rPr>
                <w:rFonts w:hAnsi="標楷體"/>
                <w:sz w:val="20"/>
              </w:rPr>
            </w:pPr>
          </w:p>
        </w:tc>
        <w:tc>
          <w:tcPr>
            <w:tcW w:w="1158" w:type="dxa"/>
            <w:shd w:val="clear" w:color="auto" w:fill="FDE9D9" w:themeFill="accent6" w:themeFillTint="33"/>
            <w:vAlign w:val="center"/>
            <w:hideMark/>
          </w:tcPr>
          <w:p w14:paraId="2BB1A050" w14:textId="77777777" w:rsidR="001B3893" w:rsidRPr="00B52971" w:rsidRDefault="001B3893" w:rsidP="002E174C">
            <w:pPr>
              <w:snapToGrid w:val="0"/>
              <w:spacing w:line="240" w:lineRule="atLeast"/>
              <w:jc w:val="center"/>
              <w:rPr>
                <w:rFonts w:hAnsi="標楷體"/>
                <w:sz w:val="20"/>
              </w:rPr>
            </w:pPr>
            <w:r w:rsidRPr="00B52971">
              <w:rPr>
                <w:rFonts w:hAnsi="標楷體" w:hint="eastAsia"/>
                <w:sz w:val="20"/>
              </w:rPr>
              <w:t>錄數</w:t>
            </w:r>
          </w:p>
        </w:tc>
        <w:tc>
          <w:tcPr>
            <w:tcW w:w="877" w:type="dxa"/>
            <w:shd w:val="clear" w:color="auto" w:fill="FDE9D9" w:themeFill="accent6" w:themeFillTint="33"/>
            <w:noWrap/>
            <w:vAlign w:val="center"/>
            <w:hideMark/>
          </w:tcPr>
          <w:p w14:paraId="585FD5BF" w14:textId="77777777" w:rsidR="001B3893" w:rsidRPr="00B52971" w:rsidRDefault="001B3893" w:rsidP="002E174C">
            <w:pPr>
              <w:snapToGrid w:val="0"/>
              <w:spacing w:line="240" w:lineRule="atLeast"/>
              <w:jc w:val="center"/>
              <w:rPr>
                <w:rFonts w:hAnsi="標楷體"/>
                <w:sz w:val="20"/>
              </w:rPr>
            </w:pPr>
            <w:r w:rsidRPr="00B52971">
              <w:rPr>
                <w:rFonts w:hAnsi="標楷體" w:hint="eastAsia"/>
                <w:sz w:val="20"/>
              </w:rPr>
              <w:t>面積</w:t>
            </w:r>
          </w:p>
        </w:tc>
        <w:tc>
          <w:tcPr>
            <w:tcW w:w="689" w:type="dxa"/>
            <w:shd w:val="clear" w:color="auto" w:fill="FDE9D9" w:themeFill="accent6" w:themeFillTint="33"/>
            <w:noWrap/>
            <w:vAlign w:val="center"/>
            <w:hideMark/>
          </w:tcPr>
          <w:p w14:paraId="6F97D6D0" w14:textId="77777777" w:rsidR="001B3893" w:rsidRPr="00B52971" w:rsidRDefault="001B3893" w:rsidP="002E174C">
            <w:pPr>
              <w:snapToGrid w:val="0"/>
              <w:spacing w:line="240" w:lineRule="atLeast"/>
              <w:jc w:val="center"/>
              <w:rPr>
                <w:rFonts w:hAnsi="標楷體"/>
                <w:sz w:val="20"/>
              </w:rPr>
            </w:pPr>
            <w:r w:rsidRPr="00B52971">
              <w:rPr>
                <w:rFonts w:hAnsi="標楷體" w:hint="eastAsia"/>
                <w:sz w:val="20"/>
              </w:rPr>
              <w:t>錄數</w:t>
            </w:r>
          </w:p>
        </w:tc>
        <w:tc>
          <w:tcPr>
            <w:tcW w:w="877" w:type="dxa"/>
            <w:shd w:val="clear" w:color="auto" w:fill="FDE9D9" w:themeFill="accent6" w:themeFillTint="33"/>
            <w:noWrap/>
            <w:vAlign w:val="center"/>
            <w:hideMark/>
          </w:tcPr>
          <w:p w14:paraId="2F18EA97" w14:textId="77777777" w:rsidR="001B3893" w:rsidRPr="00B52971" w:rsidRDefault="001B3893" w:rsidP="002E174C">
            <w:pPr>
              <w:snapToGrid w:val="0"/>
              <w:spacing w:line="240" w:lineRule="atLeast"/>
              <w:jc w:val="center"/>
              <w:rPr>
                <w:rFonts w:hAnsi="標楷體"/>
                <w:sz w:val="20"/>
              </w:rPr>
            </w:pPr>
            <w:r w:rsidRPr="00B52971">
              <w:rPr>
                <w:rFonts w:hAnsi="標楷體" w:hint="eastAsia"/>
                <w:sz w:val="20"/>
              </w:rPr>
              <w:t>面積</w:t>
            </w:r>
          </w:p>
        </w:tc>
        <w:tc>
          <w:tcPr>
            <w:tcW w:w="743" w:type="dxa"/>
            <w:shd w:val="clear" w:color="auto" w:fill="FDE9D9" w:themeFill="accent6" w:themeFillTint="33"/>
            <w:noWrap/>
            <w:vAlign w:val="center"/>
            <w:hideMark/>
          </w:tcPr>
          <w:p w14:paraId="69EC749A" w14:textId="77777777" w:rsidR="001B3893" w:rsidRPr="00B52971" w:rsidRDefault="001B3893" w:rsidP="002E174C">
            <w:pPr>
              <w:snapToGrid w:val="0"/>
              <w:spacing w:line="240" w:lineRule="atLeast"/>
              <w:jc w:val="center"/>
              <w:rPr>
                <w:rFonts w:hAnsi="標楷體"/>
                <w:sz w:val="20"/>
              </w:rPr>
            </w:pPr>
            <w:r w:rsidRPr="00B52971">
              <w:rPr>
                <w:rFonts w:hAnsi="標楷體" w:hint="eastAsia"/>
                <w:sz w:val="20"/>
              </w:rPr>
              <w:t>錄數</w:t>
            </w:r>
          </w:p>
        </w:tc>
        <w:tc>
          <w:tcPr>
            <w:tcW w:w="767" w:type="dxa"/>
            <w:shd w:val="clear" w:color="auto" w:fill="FDE9D9" w:themeFill="accent6" w:themeFillTint="33"/>
            <w:noWrap/>
            <w:vAlign w:val="center"/>
            <w:hideMark/>
          </w:tcPr>
          <w:p w14:paraId="2F42184E" w14:textId="77777777" w:rsidR="001B3893" w:rsidRPr="00B52971" w:rsidRDefault="001B3893" w:rsidP="002E174C">
            <w:pPr>
              <w:snapToGrid w:val="0"/>
              <w:spacing w:line="240" w:lineRule="atLeast"/>
              <w:jc w:val="center"/>
              <w:rPr>
                <w:rFonts w:hAnsi="標楷體"/>
                <w:sz w:val="20"/>
              </w:rPr>
            </w:pPr>
            <w:r w:rsidRPr="00B52971">
              <w:rPr>
                <w:rFonts w:hAnsi="標楷體" w:hint="eastAsia"/>
                <w:sz w:val="20"/>
              </w:rPr>
              <w:t>面積</w:t>
            </w:r>
          </w:p>
        </w:tc>
        <w:tc>
          <w:tcPr>
            <w:tcW w:w="767" w:type="dxa"/>
            <w:shd w:val="clear" w:color="auto" w:fill="FDE9D9" w:themeFill="accent6" w:themeFillTint="33"/>
            <w:noWrap/>
            <w:vAlign w:val="center"/>
            <w:hideMark/>
          </w:tcPr>
          <w:p w14:paraId="15AB3271" w14:textId="77777777" w:rsidR="001B3893" w:rsidRPr="00B52971" w:rsidRDefault="001B3893" w:rsidP="002E174C">
            <w:pPr>
              <w:snapToGrid w:val="0"/>
              <w:spacing w:line="240" w:lineRule="atLeast"/>
              <w:jc w:val="center"/>
              <w:rPr>
                <w:rFonts w:hAnsi="標楷體"/>
                <w:sz w:val="20"/>
              </w:rPr>
            </w:pPr>
            <w:r w:rsidRPr="00B52971">
              <w:rPr>
                <w:rFonts w:hAnsi="標楷體" w:hint="eastAsia"/>
                <w:sz w:val="20"/>
              </w:rPr>
              <w:t>錄數</w:t>
            </w:r>
          </w:p>
        </w:tc>
        <w:tc>
          <w:tcPr>
            <w:tcW w:w="877" w:type="dxa"/>
            <w:shd w:val="clear" w:color="auto" w:fill="FDE9D9" w:themeFill="accent6" w:themeFillTint="33"/>
            <w:noWrap/>
            <w:vAlign w:val="center"/>
            <w:hideMark/>
          </w:tcPr>
          <w:p w14:paraId="63BAE52D" w14:textId="77777777" w:rsidR="001B3893" w:rsidRPr="00B52971" w:rsidRDefault="001B3893" w:rsidP="002E174C">
            <w:pPr>
              <w:snapToGrid w:val="0"/>
              <w:spacing w:line="240" w:lineRule="atLeast"/>
              <w:jc w:val="center"/>
              <w:rPr>
                <w:rFonts w:hAnsi="標楷體"/>
                <w:sz w:val="20"/>
              </w:rPr>
            </w:pPr>
            <w:r w:rsidRPr="00B52971">
              <w:rPr>
                <w:rFonts w:hAnsi="標楷體" w:hint="eastAsia"/>
                <w:sz w:val="20"/>
              </w:rPr>
              <w:t>面積</w:t>
            </w:r>
          </w:p>
        </w:tc>
        <w:tc>
          <w:tcPr>
            <w:tcW w:w="753" w:type="dxa"/>
            <w:shd w:val="clear" w:color="auto" w:fill="FDE9D9" w:themeFill="accent6" w:themeFillTint="33"/>
            <w:vAlign w:val="center"/>
            <w:hideMark/>
          </w:tcPr>
          <w:p w14:paraId="13F6DE2B" w14:textId="77777777" w:rsidR="001B3893" w:rsidRPr="00B52971" w:rsidRDefault="001B3893" w:rsidP="002E174C">
            <w:pPr>
              <w:snapToGrid w:val="0"/>
              <w:spacing w:line="240" w:lineRule="atLeast"/>
              <w:jc w:val="center"/>
              <w:rPr>
                <w:rFonts w:hAnsi="標楷體"/>
                <w:sz w:val="20"/>
              </w:rPr>
            </w:pPr>
            <w:r w:rsidRPr="00B52971">
              <w:rPr>
                <w:rFonts w:hAnsi="標楷體" w:hint="eastAsia"/>
                <w:sz w:val="20"/>
              </w:rPr>
              <w:t>錄數</w:t>
            </w:r>
          </w:p>
        </w:tc>
        <w:tc>
          <w:tcPr>
            <w:tcW w:w="851" w:type="dxa"/>
            <w:shd w:val="clear" w:color="auto" w:fill="FDE9D9" w:themeFill="accent6" w:themeFillTint="33"/>
            <w:vAlign w:val="center"/>
            <w:hideMark/>
          </w:tcPr>
          <w:p w14:paraId="00B5E3E7" w14:textId="77777777" w:rsidR="001B3893" w:rsidRPr="00B52971" w:rsidRDefault="001B3893" w:rsidP="002E174C">
            <w:pPr>
              <w:snapToGrid w:val="0"/>
              <w:spacing w:line="240" w:lineRule="atLeast"/>
              <w:jc w:val="center"/>
              <w:rPr>
                <w:rFonts w:hAnsi="標楷體"/>
                <w:sz w:val="20"/>
              </w:rPr>
            </w:pPr>
            <w:r w:rsidRPr="00B52971">
              <w:rPr>
                <w:rFonts w:hAnsi="標楷體" w:hint="eastAsia"/>
                <w:sz w:val="20"/>
              </w:rPr>
              <w:t>面積</w:t>
            </w:r>
          </w:p>
        </w:tc>
      </w:tr>
      <w:tr w:rsidR="001B3893" w:rsidRPr="00B52971" w14:paraId="55E9F940" w14:textId="77777777" w:rsidTr="0097283A">
        <w:trPr>
          <w:trHeight w:val="397"/>
        </w:trPr>
        <w:tc>
          <w:tcPr>
            <w:tcW w:w="567" w:type="dxa"/>
            <w:noWrap/>
            <w:vAlign w:val="center"/>
            <w:hideMark/>
          </w:tcPr>
          <w:p w14:paraId="35346250" w14:textId="77777777" w:rsidR="001B3893" w:rsidRPr="00B52971" w:rsidRDefault="001B3893" w:rsidP="002E174C">
            <w:pPr>
              <w:jc w:val="center"/>
              <w:rPr>
                <w:rFonts w:hAnsi="標楷體"/>
                <w:sz w:val="20"/>
              </w:rPr>
            </w:pPr>
            <w:r w:rsidRPr="00B52971">
              <w:rPr>
                <w:rFonts w:hAnsi="標楷體" w:hint="eastAsia"/>
                <w:sz w:val="20"/>
              </w:rPr>
              <w:t>108</w:t>
            </w:r>
          </w:p>
        </w:tc>
        <w:tc>
          <w:tcPr>
            <w:tcW w:w="1158" w:type="dxa"/>
            <w:vAlign w:val="center"/>
            <w:hideMark/>
          </w:tcPr>
          <w:p w14:paraId="35AC79AB" w14:textId="77777777" w:rsidR="001B3893" w:rsidRPr="00B52971" w:rsidRDefault="001B3893" w:rsidP="002E174C">
            <w:pPr>
              <w:jc w:val="right"/>
              <w:rPr>
                <w:rFonts w:hAnsi="標楷體"/>
                <w:sz w:val="20"/>
              </w:rPr>
            </w:pPr>
            <w:r w:rsidRPr="00B52971">
              <w:rPr>
                <w:rFonts w:hAnsi="標楷體" w:hint="eastAsia"/>
                <w:sz w:val="20"/>
              </w:rPr>
              <w:t>886</w:t>
            </w:r>
          </w:p>
        </w:tc>
        <w:tc>
          <w:tcPr>
            <w:tcW w:w="877" w:type="dxa"/>
            <w:noWrap/>
            <w:vAlign w:val="center"/>
            <w:hideMark/>
          </w:tcPr>
          <w:p w14:paraId="34C47076" w14:textId="77777777" w:rsidR="001B3893" w:rsidRPr="00B52971" w:rsidRDefault="001B3893" w:rsidP="002E174C">
            <w:pPr>
              <w:jc w:val="right"/>
              <w:rPr>
                <w:rFonts w:hAnsi="標楷體"/>
                <w:sz w:val="20"/>
              </w:rPr>
            </w:pPr>
            <w:r w:rsidRPr="00B52971">
              <w:rPr>
                <w:rFonts w:hAnsi="標楷體" w:hint="eastAsia"/>
                <w:sz w:val="20"/>
              </w:rPr>
              <w:t>428.39</w:t>
            </w:r>
          </w:p>
        </w:tc>
        <w:tc>
          <w:tcPr>
            <w:tcW w:w="689" w:type="dxa"/>
            <w:noWrap/>
            <w:vAlign w:val="center"/>
            <w:hideMark/>
          </w:tcPr>
          <w:p w14:paraId="6F1B2273" w14:textId="77777777" w:rsidR="001B3893" w:rsidRPr="00B52971" w:rsidRDefault="001B3893" w:rsidP="002E174C">
            <w:pPr>
              <w:jc w:val="right"/>
              <w:rPr>
                <w:rFonts w:hAnsi="標楷體"/>
                <w:sz w:val="20"/>
              </w:rPr>
            </w:pPr>
            <w:r w:rsidRPr="00B52971">
              <w:rPr>
                <w:rFonts w:hAnsi="標楷體" w:hint="eastAsia"/>
                <w:sz w:val="20"/>
              </w:rPr>
              <w:t>127</w:t>
            </w:r>
          </w:p>
        </w:tc>
        <w:tc>
          <w:tcPr>
            <w:tcW w:w="877" w:type="dxa"/>
            <w:noWrap/>
            <w:vAlign w:val="center"/>
            <w:hideMark/>
          </w:tcPr>
          <w:p w14:paraId="7F058FD5" w14:textId="77777777" w:rsidR="001B3893" w:rsidRPr="00B52971" w:rsidRDefault="001B3893" w:rsidP="002E174C">
            <w:pPr>
              <w:jc w:val="right"/>
              <w:rPr>
                <w:rFonts w:hAnsi="標楷體"/>
                <w:sz w:val="20"/>
              </w:rPr>
            </w:pPr>
            <w:r w:rsidRPr="00B52971">
              <w:rPr>
                <w:rFonts w:hAnsi="標楷體" w:hint="eastAsia"/>
                <w:sz w:val="20"/>
              </w:rPr>
              <w:t>31.32</w:t>
            </w:r>
          </w:p>
        </w:tc>
        <w:tc>
          <w:tcPr>
            <w:tcW w:w="743" w:type="dxa"/>
            <w:noWrap/>
            <w:vAlign w:val="center"/>
            <w:hideMark/>
          </w:tcPr>
          <w:p w14:paraId="136BDA8A" w14:textId="77777777" w:rsidR="001B3893" w:rsidRPr="00B52971" w:rsidRDefault="001B3893" w:rsidP="002E174C">
            <w:pPr>
              <w:jc w:val="right"/>
              <w:rPr>
                <w:rFonts w:hAnsi="標楷體"/>
                <w:sz w:val="20"/>
              </w:rPr>
            </w:pPr>
            <w:r w:rsidRPr="00B52971">
              <w:rPr>
                <w:rFonts w:hAnsi="標楷體" w:hint="eastAsia"/>
                <w:sz w:val="20"/>
              </w:rPr>
              <w:t>70</w:t>
            </w:r>
          </w:p>
        </w:tc>
        <w:tc>
          <w:tcPr>
            <w:tcW w:w="767" w:type="dxa"/>
            <w:noWrap/>
            <w:vAlign w:val="center"/>
            <w:hideMark/>
          </w:tcPr>
          <w:p w14:paraId="2BAB92DC" w14:textId="77777777" w:rsidR="001B3893" w:rsidRPr="00B52971" w:rsidRDefault="001B3893" w:rsidP="002E174C">
            <w:pPr>
              <w:jc w:val="right"/>
              <w:rPr>
                <w:rFonts w:hAnsi="標楷體"/>
                <w:sz w:val="20"/>
              </w:rPr>
            </w:pPr>
            <w:r w:rsidRPr="00B52971">
              <w:rPr>
                <w:rFonts w:hAnsi="標楷體" w:hint="eastAsia"/>
                <w:sz w:val="20"/>
              </w:rPr>
              <w:t>50.72</w:t>
            </w:r>
          </w:p>
        </w:tc>
        <w:tc>
          <w:tcPr>
            <w:tcW w:w="767" w:type="dxa"/>
            <w:noWrap/>
            <w:vAlign w:val="center"/>
            <w:hideMark/>
          </w:tcPr>
          <w:p w14:paraId="702DDAA2" w14:textId="77777777" w:rsidR="001B3893" w:rsidRPr="00B52971" w:rsidRDefault="001B3893" w:rsidP="002E174C">
            <w:pPr>
              <w:jc w:val="right"/>
              <w:rPr>
                <w:rFonts w:hAnsi="標楷體"/>
                <w:sz w:val="20"/>
              </w:rPr>
            </w:pPr>
            <w:r w:rsidRPr="00B52971">
              <w:rPr>
                <w:rFonts w:hAnsi="標楷體" w:hint="eastAsia"/>
                <w:sz w:val="20"/>
              </w:rPr>
              <w:t>943</w:t>
            </w:r>
          </w:p>
        </w:tc>
        <w:tc>
          <w:tcPr>
            <w:tcW w:w="877" w:type="dxa"/>
            <w:noWrap/>
            <w:vAlign w:val="center"/>
            <w:hideMark/>
          </w:tcPr>
          <w:p w14:paraId="2A297B74" w14:textId="77777777" w:rsidR="001B3893" w:rsidRPr="00B52971" w:rsidRDefault="001B3893" w:rsidP="002E174C">
            <w:pPr>
              <w:jc w:val="right"/>
              <w:rPr>
                <w:rFonts w:hAnsi="標楷體"/>
                <w:sz w:val="20"/>
              </w:rPr>
            </w:pPr>
            <w:r w:rsidRPr="00B52971">
              <w:rPr>
                <w:rFonts w:hAnsi="標楷體" w:hint="eastAsia"/>
                <w:sz w:val="20"/>
              </w:rPr>
              <w:t>408.99</w:t>
            </w:r>
          </w:p>
        </w:tc>
        <w:tc>
          <w:tcPr>
            <w:tcW w:w="753" w:type="dxa"/>
            <w:noWrap/>
            <w:vAlign w:val="center"/>
            <w:hideMark/>
          </w:tcPr>
          <w:p w14:paraId="1471DBB2" w14:textId="77777777" w:rsidR="001B3893" w:rsidRPr="00B52971" w:rsidRDefault="001B3893" w:rsidP="002E174C">
            <w:pPr>
              <w:jc w:val="right"/>
              <w:rPr>
                <w:rFonts w:hAnsi="標楷體"/>
                <w:sz w:val="20"/>
              </w:rPr>
            </w:pPr>
            <w:r w:rsidRPr="00B52971">
              <w:rPr>
                <w:rFonts w:hAnsi="標楷體" w:hint="eastAsia"/>
                <w:sz w:val="20"/>
              </w:rPr>
              <w:t>6.91</w:t>
            </w:r>
          </w:p>
        </w:tc>
        <w:tc>
          <w:tcPr>
            <w:tcW w:w="851" w:type="dxa"/>
            <w:noWrap/>
            <w:vAlign w:val="center"/>
            <w:hideMark/>
          </w:tcPr>
          <w:p w14:paraId="6F060B3C" w14:textId="77777777" w:rsidR="001B3893" w:rsidRPr="00B52971" w:rsidRDefault="001B3893" w:rsidP="002E174C">
            <w:pPr>
              <w:jc w:val="right"/>
              <w:rPr>
                <w:rFonts w:hAnsi="標楷體"/>
                <w:sz w:val="20"/>
              </w:rPr>
            </w:pPr>
            <w:r w:rsidRPr="00B52971">
              <w:rPr>
                <w:rFonts w:hAnsi="標楷體" w:hint="eastAsia"/>
                <w:sz w:val="20"/>
              </w:rPr>
              <w:t>11.03</w:t>
            </w:r>
          </w:p>
        </w:tc>
      </w:tr>
      <w:tr w:rsidR="001B3893" w:rsidRPr="00B52971" w14:paraId="5ECB76EE" w14:textId="77777777" w:rsidTr="0097283A">
        <w:trPr>
          <w:trHeight w:val="397"/>
        </w:trPr>
        <w:tc>
          <w:tcPr>
            <w:tcW w:w="567" w:type="dxa"/>
            <w:noWrap/>
            <w:vAlign w:val="center"/>
            <w:hideMark/>
          </w:tcPr>
          <w:p w14:paraId="0C0C0137" w14:textId="77777777" w:rsidR="001B3893" w:rsidRPr="00B52971" w:rsidRDefault="001B3893" w:rsidP="002E174C">
            <w:pPr>
              <w:jc w:val="center"/>
              <w:rPr>
                <w:rFonts w:hAnsi="標楷體"/>
                <w:sz w:val="20"/>
              </w:rPr>
            </w:pPr>
            <w:r w:rsidRPr="00B52971">
              <w:rPr>
                <w:rFonts w:hAnsi="標楷體" w:hint="eastAsia"/>
                <w:sz w:val="20"/>
              </w:rPr>
              <w:t>109</w:t>
            </w:r>
          </w:p>
        </w:tc>
        <w:tc>
          <w:tcPr>
            <w:tcW w:w="1158" w:type="dxa"/>
            <w:vAlign w:val="center"/>
            <w:hideMark/>
          </w:tcPr>
          <w:p w14:paraId="43976336" w14:textId="77777777" w:rsidR="001B3893" w:rsidRPr="00B52971" w:rsidRDefault="001B3893" w:rsidP="002E174C">
            <w:pPr>
              <w:jc w:val="right"/>
              <w:rPr>
                <w:rFonts w:hAnsi="標楷體"/>
                <w:sz w:val="20"/>
              </w:rPr>
            </w:pPr>
            <w:r w:rsidRPr="00B52971">
              <w:rPr>
                <w:rFonts w:hAnsi="標楷體" w:hint="eastAsia"/>
                <w:sz w:val="20"/>
              </w:rPr>
              <w:t>943</w:t>
            </w:r>
          </w:p>
        </w:tc>
        <w:tc>
          <w:tcPr>
            <w:tcW w:w="877" w:type="dxa"/>
            <w:noWrap/>
            <w:vAlign w:val="center"/>
            <w:hideMark/>
          </w:tcPr>
          <w:p w14:paraId="21C5EC5B" w14:textId="77777777" w:rsidR="001B3893" w:rsidRPr="00B52971" w:rsidRDefault="001B3893" w:rsidP="002E174C">
            <w:pPr>
              <w:jc w:val="right"/>
              <w:rPr>
                <w:rFonts w:hAnsi="標楷體"/>
                <w:sz w:val="20"/>
              </w:rPr>
            </w:pPr>
            <w:r w:rsidRPr="00B52971">
              <w:rPr>
                <w:rFonts w:hAnsi="標楷體" w:hint="eastAsia"/>
                <w:sz w:val="20"/>
              </w:rPr>
              <w:t>408.99</w:t>
            </w:r>
          </w:p>
        </w:tc>
        <w:tc>
          <w:tcPr>
            <w:tcW w:w="689" w:type="dxa"/>
            <w:noWrap/>
            <w:vAlign w:val="center"/>
            <w:hideMark/>
          </w:tcPr>
          <w:p w14:paraId="41091B73" w14:textId="77777777" w:rsidR="001B3893" w:rsidRPr="00B52971" w:rsidRDefault="001B3893" w:rsidP="002E174C">
            <w:pPr>
              <w:jc w:val="right"/>
              <w:rPr>
                <w:rFonts w:hAnsi="標楷體"/>
                <w:sz w:val="20"/>
              </w:rPr>
            </w:pPr>
            <w:r w:rsidRPr="00B52971">
              <w:rPr>
                <w:rFonts w:hAnsi="標楷體" w:hint="eastAsia"/>
                <w:sz w:val="20"/>
              </w:rPr>
              <w:t>214</w:t>
            </w:r>
          </w:p>
        </w:tc>
        <w:tc>
          <w:tcPr>
            <w:tcW w:w="877" w:type="dxa"/>
            <w:noWrap/>
            <w:vAlign w:val="center"/>
            <w:hideMark/>
          </w:tcPr>
          <w:p w14:paraId="156EF40E" w14:textId="77777777" w:rsidR="001B3893" w:rsidRPr="00B52971" w:rsidRDefault="001B3893" w:rsidP="002E174C">
            <w:pPr>
              <w:jc w:val="right"/>
              <w:rPr>
                <w:rFonts w:hAnsi="標楷體"/>
                <w:sz w:val="20"/>
              </w:rPr>
            </w:pPr>
            <w:r w:rsidRPr="00B52971">
              <w:rPr>
                <w:rFonts w:hAnsi="標楷體" w:hint="eastAsia"/>
                <w:sz w:val="20"/>
              </w:rPr>
              <w:t>187.97</w:t>
            </w:r>
          </w:p>
        </w:tc>
        <w:tc>
          <w:tcPr>
            <w:tcW w:w="743" w:type="dxa"/>
            <w:noWrap/>
            <w:vAlign w:val="center"/>
            <w:hideMark/>
          </w:tcPr>
          <w:p w14:paraId="5C95786D" w14:textId="77777777" w:rsidR="001B3893" w:rsidRPr="00B52971" w:rsidRDefault="001B3893" w:rsidP="002E174C">
            <w:pPr>
              <w:jc w:val="right"/>
              <w:rPr>
                <w:rFonts w:hAnsi="標楷體"/>
                <w:sz w:val="20"/>
              </w:rPr>
            </w:pPr>
            <w:r w:rsidRPr="00B52971">
              <w:rPr>
                <w:rFonts w:hAnsi="標楷體" w:hint="eastAsia"/>
                <w:sz w:val="20"/>
              </w:rPr>
              <w:t>96</w:t>
            </w:r>
          </w:p>
        </w:tc>
        <w:tc>
          <w:tcPr>
            <w:tcW w:w="767" w:type="dxa"/>
            <w:noWrap/>
            <w:vAlign w:val="center"/>
            <w:hideMark/>
          </w:tcPr>
          <w:p w14:paraId="6D39E867" w14:textId="77777777" w:rsidR="001B3893" w:rsidRPr="00B52971" w:rsidRDefault="001B3893" w:rsidP="002E174C">
            <w:pPr>
              <w:jc w:val="right"/>
              <w:rPr>
                <w:rFonts w:hAnsi="標楷體"/>
                <w:sz w:val="20"/>
              </w:rPr>
            </w:pPr>
            <w:r w:rsidRPr="00B52971">
              <w:rPr>
                <w:rFonts w:hAnsi="標楷體" w:hint="eastAsia"/>
                <w:sz w:val="20"/>
              </w:rPr>
              <w:t>91.05</w:t>
            </w:r>
          </w:p>
        </w:tc>
        <w:tc>
          <w:tcPr>
            <w:tcW w:w="767" w:type="dxa"/>
            <w:vAlign w:val="center"/>
            <w:hideMark/>
          </w:tcPr>
          <w:p w14:paraId="6195AC74" w14:textId="77777777" w:rsidR="001B3893" w:rsidRPr="00B52971" w:rsidRDefault="001B3893" w:rsidP="002E174C">
            <w:pPr>
              <w:jc w:val="right"/>
              <w:rPr>
                <w:rFonts w:hAnsi="標楷體"/>
                <w:sz w:val="20"/>
              </w:rPr>
            </w:pPr>
            <w:r w:rsidRPr="00B52971">
              <w:rPr>
                <w:rFonts w:hAnsi="標楷體" w:hint="eastAsia"/>
                <w:sz w:val="20"/>
              </w:rPr>
              <w:t>1</w:t>
            </w:r>
            <w:r>
              <w:rPr>
                <w:rFonts w:hAnsi="標楷體"/>
                <w:sz w:val="20"/>
              </w:rPr>
              <w:t>,</w:t>
            </w:r>
            <w:r w:rsidRPr="00B52971">
              <w:rPr>
                <w:rFonts w:hAnsi="標楷體" w:hint="eastAsia"/>
                <w:sz w:val="20"/>
              </w:rPr>
              <w:t>061</w:t>
            </w:r>
          </w:p>
        </w:tc>
        <w:tc>
          <w:tcPr>
            <w:tcW w:w="877" w:type="dxa"/>
            <w:noWrap/>
            <w:vAlign w:val="center"/>
            <w:hideMark/>
          </w:tcPr>
          <w:p w14:paraId="4605D3DA" w14:textId="77777777" w:rsidR="001B3893" w:rsidRPr="00B52971" w:rsidRDefault="001B3893" w:rsidP="002E174C">
            <w:pPr>
              <w:jc w:val="right"/>
              <w:rPr>
                <w:rFonts w:hAnsi="標楷體"/>
                <w:sz w:val="20"/>
              </w:rPr>
            </w:pPr>
            <w:r w:rsidRPr="00B52971">
              <w:rPr>
                <w:rFonts w:hAnsi="標楷體" w:hint="eastAsia"/>
                <w:sz w:val="20"/>
              </w:rPr>
              <w:t>505.91</w:t>
            </w:r>
          </w:p>
        </w:tc>
        <w:tc>
          <w:tcPr>
            <w:tcW w:w="753" w:type="dxa"/>
            <w:noWrap/>
            <w:vAlign w:val="center"/>
            <w:hideMark/>
          </w:tcPr>
          <w:p w14:paraId="689D39BE" w14:textId="77777777" w:rsidR="001B3893" w:rsidRPr="00B52971" w:rsidRDefault="001B3893" w:rsidP="002E174C">
            <w:pPr>
              <w:jc w:val="right"/>
              <w:rPr>
                <w:rFonts w:hAnsi="標楷體"/>
                <w:sz w:val="20"/>
              </w:rPr>
            </w:pPr>
            <w:r w:rsidRPr="00B52971">
              <w:rPr>
                <w:rFonts w:hAnsi="標楷體" w:hint="eastAsia"/>
                <w:sz w:val="20"/>
              </w:rPr>
              <w:t>8.30</w:t>
            </w:r>
          </w:p>
        </w:tc>
        <w:tc>
          <w:tcPr>
            <w:tcW w:w="851" w:type="dxa"/>
            <w:noWrap/>
            <w:vAlign w:val="center"/>
            <w:hideMark/>
          </w:tcPr>
          <w:p w14:paraId="72BD2F46" w14:textId="77777777" w:rsidR="001B3893" w:rsidRPr="00B52971" w:rsidRDefault="001B3893" w:rsidP="002E174C">
            <w:pPr>
              <w:jc w:val="right"/>
              <w:rPr>
                <w:rFonts w:hAnsi="標楷體"/>
                <w:sz w:val="20"/>
              </w:rPr>
            </w:pPr>
            <w:r w:rsidRPr="00B52971">
              <w:rPr>
                <w:rFonts w:hAnsi="標楷體" w:hint="eastAsia"/>
                <w:sz w:val="20"/>
              </w:rPr>
              <w:t>15.25</w:t>
            </w:r>
          </w:p>
        </w:tc>
      </w:tr>
      <w:tr w:rsidR="001B3893" w:rsidRPr="00B52971" w14:paraId="65B4B629" w14:textId="77777777" w:rsidTr="0097283A">
        <w:trPr>
          <w:trHeight w:val="397"/>
        </w:trPr>
        <w:tc>
          <w:tcPr>
            <w:tcW w:w="567" w:type="dxa"/>
            <w:noWrap/>
            <w:vAlign w:val="center"/>
            <w:hideMark/>
          </w:tcPr>
          <w:p w14:paraId="3E9E74E2" w14:textId="77777777" w:rsidR="001B3893" w:rsidRPr="00B52971" w:rsidRDefault="001B3893" w:rsidP="002E174C">
            <w:pPr>
              <w:jc w:val="center"/>
              <w:rPr>
                <w:rFonts w:hAnsi="標楷體"/>
                <w:sz w:val="20"/>
              </w:rPr>
            </w:pPr>
            <w:r w:rsidRPr="00B52971">
              <w:rPr>
                <w:rFonts w:hAnsi="標楷體" w:hint="eastAsia"/>
                <w:sz w:val="20"/>
              </w:rPr>
              <w:t>110</w:t>
            </w:r>
          </w:p>
        </w:tc>
        <w:tc>
          <w:tcPr>
            <w:tcW w:w="1158" w:type="dxa"/>
            <w:vAlign w:val="center"/>
            <w:hideMark/>
          </w:tcPr>
          <w:p w14:paraId="5FF6D592" w14:textId="77777777" w:rsidR="001B3893" w:rsidRPr="00B52971" w:rsidRDefault="001B3893" w:rsidP="002E174C">
            <w:pPr>
              <w:jc w:val="right"/>
              <w:rPr>
                <w:rFonts w:hAnsi="標楷體"/>
                <w:sz w:val="20"/>
              </w:rPr>
            </w:pPr>
            <w:r w:rsidRPr="00B52971">
              <w:rPr>
                <w:rFonts w:hAnsi="標楷體" w:hint="eastAsia"/>
                <w:sz w:val="20"/>
              </w:rPr>
              <w:t>1</w:t>
            </w:r>
            <w:r>
              <w:rPr>
                <w:rFonts w:hAnsi="標楷體"/>
                <w:sz w:val="20"/>
              </w:rPr>
              <w:t>,</w:t>
            </w:r>
            <w:r w:rsidRPr="00B52971">
              <w:rPr>
                <w:rFonts w:hAnsi="標楷體" w:hint="eastAsia"/>
                <w:sz w:val="20"/>
              </w:rPr>
              <w:t>061</w:t>
            </w:r>
          </w:p>
        </w:tc>
        <w:tc>
          <w:tcPr>
            <w:tcW w:w="877" w:type="dxa"/>
            <w:noWrap/>
            <w:vAlign w:val="center"/>
            <w:hideMark/>
          </w:tcPr>
          <w:p w14:paraId="1B6C2938" w14:textId="77777777" w:rsidR="001B3893" w:rsidRPr="00B52971" w:rsidRDefault="001B3893" w:rsidP="002E174C">
            <w:pPr>
              <w:jc w:val="right"/>
              <w:rPr>
                <w:rFonts w:hAnsi="標楷體"/>
                <w:sz w:val="20"/>
              </w:rPr>
            </w:pPr>
            <w:r w:rsidRPr="00B52971">
              <w:rPr>
                <w:rFonts w:hAnsi="標楷體" w:hint="eastAsia"/>
                <w:sz w:val="20"/>
              </w:rPr>
              <w:t>505.91</w:t>
            </w:r>
          </w:p>
        </w:tc>
        <w:tc>
          <w:tcPr>
            <w:tcW w:w="689" w:type="dxa"/>
            <w:noWrap/>
            <w:vAlign w:val="center"/>
            <w:hideMark/>
          </w:tcPr>
          <w:p w14:paraId="1F760164" w14:textId="77777777" w:rsidR="001B3893" w:rsidRPr="00B52971" w:rsidRDefault="001B3893" w:rsidP="002E174C">
            <w:pPr>
              <w:jc w:val="right"/>
              <w:rPr>
                <w:rFonts w:hAnsi="標楷體"/>
                <w:sz w:val="20"/>
              </w:rPr>
            </w:pPr>
            <w:r w:rsidRPr="00B52971">
              <w:rPr>
                <w:rFonts w:hAnsi="標楷體" w:hint="eastAsia"/>
                <w:sz w:val="20"/>
              </w:rPr>
              <w:t>113</w:t>
            </w:r>
          </w:p>
        </w:tc>
        <w:tc>
          <w:tcPr>
            <w:tcW w:w="877" w:type="dxa"/>
            <w:noWrap/>
            <w:vAlign w:val="center"/>
            <w:hideMark/>
          </w:tcPr>
          <w:p w14:paraId="0D202E13" w14:textId="77777777" w:rsidR="001B3893" w:rsidRPr="00B52971" w:rsidRDefault="001B3893" w:rsidP="002E174C">
            <w:pPr>
              <w:jc w:val="right"/>
              <w:rPr>
                <w:rFonts w:hAnsi="標楷體"/>
                <w:sz w:val="20"/>
              </w:rPr>
            </w:pPr>
            <w:r w:rsidRPr="00B52971">
              <w:rPr>
                <w:rFonts w:hAnsi="標楷體" w:hint="eastAsia"/>
                <w:sz w:val="20"/>
              </w:rPr>
              <w:t>41.86</w:t>
            </w:r>
          </w:p>
        </w:tc>
        <w:tc>
          <w:tcPr>
            <w:tcW w:w="743" w:type="dxa"/>
            <w:noWrap/>
            <w:vAlign w:val="center"/>
            <w:hideMark/>
          </w:tcPr>
          <w:p w14:paraId="26945317" w14:textId="77777777" w:rsidR="001B3893" w:rsidRPr="00B52971" w:rsidRDefault="001B3893" w:rsidP="002E174C">
            <w:pPr>
              <w:jc w:val="right"/>
              <w:rPr>
                <w:rFonts w:hAnsi="標楷體"/>
                <w:sz w:val="20"/>
              </w:rPr>
            </w:pPr>
            <w:r w:rsidRPr="00B52971">
              <w:rPr>
                <w:rFonts w:hAnsi="標楷體" w:hint="eastAsia"/>
                <w:sz w:val="20"/>
              </w:rPr>
              <w:t>19</w:t>
            </w:r>
          </w:p>
        </w:tc>
        <w:tc>
          <w:tcPr>
            <w:tcW w:w="767" w:type="dxa"/>
            <w:noWrap/>
            <w:vAlign w:val="center"/>
            <w:hideMark/>
          </w:tcPr>
          <w:p w14:paraId="23445813" w14:textId="77777777" w:rsidR="001B3893" w:rsidRPr="00B52971" w:rsidRDefault="001B3893" w:rsidP="002E174C">
            <w:pPr>
              <w:jc w:val="right"/>
              <w:rPr>
                <w:rFonts w:hAnsi="標楷體"/>
                <w:sz w:val="20"/>
              </w:rPr>
            </w:pPr>
            <w:r w:rsidRPr="00B52971">
              <w:rPr>
                <w:rFonts w:hAnsi="標楷體" w:hint="eastAsia"/>
                <w:sz w:val="20"/>
              </w:rPr>
              <w:t>16.25</w:t>
            </w:r>
          </w:p>
        </w:tc>
        <w:tc>
          <w:tcPr>
            <w:tcW w:w="767" w:type="dxa"/>
            <w:noWrap/>
            <w:vAlign w:val="center"/>
            <w:hideMark/>
          </w:tcPr>
          <w:p w14:paraId="0FF385A8" w14:textId="77777777" w:rsidR="001B3893" w:rsidRPr="00B52971" w:rsidRDefault="001B3893" w:rsidP="002E174C">
            <w:pPr>
              <w:jc w:val="right"/>
              <w:rPr>
                <w:rFonts w:hAnsi="標楷體"/>
                <w:sz w:val="20"/>
              </w:rPr>
            </w:pPr>
            <w:r w:rsidRPr="00B52971">
              <w:rPr>
                <w:rFonts w:hAnsi="標楷體" w:hint="eastAsia"/>
                <w:sz w:val="20"/>
              </w:rPr>
              <w:t>1</w:t>
            </w:r>
            <w:r>
              <w:rPr>
                <w:rFonts w:hAnsi="標楷體"/>
                <w:sz w:val="20"/>
              </w:rPr>
              <w:t>,</w:t>
            </w:r>
            <w:r w:rsidRPr="00B52971">
              <w:rPr>
                <w:rFonts w:hAnsi="標楷體" w:hint="eastAsia"/>
                <w:sz w:val="20"/>
              </w:rPr>
              <w:t>155</w:t>
            </w:r>
          </w:p>
        </w:tc>
        <w:tc>
          <w:tcPr>
            <w:tcW w:w="877" w:type="dxa"/>
            <w:noWrap/>
            <w:vAlign w:val="center"/>
            <w:hideMark/>
          </w:tcPr>
          <w:p w14:paraId="0C5B2CB7" w14:textId="77777777" w:rsidR="001B3893" w:rsidRPr="00B52971" w:rsidRDefault="001B3893" w:rsidP="002E174C">
            <w:pPr>
              <w:jc w:val="right"/>
              <w:rPr>
                <w:rFonts w:hAnsi="標楷體"/>
                <w:sz w:val="20"/>
              </w:rPr>
            </w:pPr>
            <w:r w:rsidRPr="00B52971">
              <w:rPr>
                <w:rFonts w:hAnsi="標楷體" w:hint="eastAsia"/>
                <w:sz w:val="20"/>
              </w:rPr>
              <w:t>531.53</w:t>
            </w:r>
          </w:p>
        </w:tc>
        <w:tc>
          <w:tcPr>
            <w:tcW w:w="753" w:type="dxa"/>
            <w:noWrap/>
            <w:vAlign w:val="center"/>
            <w:hideMark/>
          </w:tcPr>
          <w:p w14:paraId="20CF222D" w14:textId="77777777" w:rsidR="001B3893" w:rsidRPr="00B52971" w:rsidRDefault="001B3893" w:rsidP="002E174C">
            <w:pPr>
              <w:jc w:val="right"/>
              <w:rPr>
                <w:rFonts w:hAnsi="標楷體"/>
                <w:sz w:val="20"/>
              </w:rPr>
            </w:pPr>
            <w:r w:rsidRPr="00B52971">
              <w:rPr>
                <w:rFonts w:hAnsi="標楷體" w:hint="eastAsia"/>
                <w:sz w:val="20"/>
              </w:rPr>
              <w:t>1.62</w:t>
            </w:r>
          </w:p>
        </w:tc>
        <w:tc>
          <w:tcPr>
            <w:tcW w:w="851" w:type="dxa"/>
            <w:noWrap/>
            <w:vAlign w:val="center"/>
            <w:hideMark/>
          </w:tcPr>
          <w:p w14:paraId="455EECF1" w14:textId="77777777" w:rsidR="001B3893" w:rsidRPr="00B52971" w:rsidRDefault="001B3893" w:rsidP="002E174C">
            <w:pPr>
              <w:jc w:val="right"/>
              <w:rPr>
                <w:rFonts w:hAnsi="標楷體"/>
                <w:sz w:val="20"/>
              </w:rPr>
            </w:pPr>
            <w:r w:rsidRPr="00B52971">
              <w:rPr>
                <w:rFonts w:hAnsi="標楷體" w:hint="eastAsia"/>
                <w:sz w:val="20"/>
              </w:rPr>
              <w:t>2.97</w:t>
            </w:r>
          </w:p>
        </w:tc>
      </w:tr>
      <w:tr w:rsidR="001B3893" w:rsidRPr="00B52971" w14:paraId="58C80B4C" w14:textId="77777777" w:rsidTr="0097283A">
        <w:trPr>
          <w:trHeight w:val="397"/>
        </w:trPr>
        <w:tc>
          <w:tcPr>
            <w:tcW w:w="567" w:type="dxa"/>
            <w:noWrap/>
            <w:vAlign w:val="center"/>
            <w:hideMark/>
          </w:tcPr>
          <w:p w14:paraId="60BD3037" w14:textId="77777777" w:rsidR="001B3893" w:rsidRPr="00B52971" w:rsidRDefault="001B3893" w:rsidP="002E174C">
            <w:pPr>
              <w:jc w:val="center"/>
              <w:rPr>
                <w:rFonts w:hAnsi="標楷體"/>
                <w:sz w:val="20"/>
              </w:rPr>
            </w:pPr>
            <w:r w:rsidRPr="00B52971">
              <w:rPr>
                <w:rFonts w:hAnsi="標楷體" w:hint="eastAsia"/>
                <w:sz w:val="20"/>
              </w:rPr>
              <w:t>111</w:t>
            </w:r>
          </w:p>
        </w:tc>
        <w:tc>
          <w:tcPr>
            <w:tcW w:w="1158" w:type="dxa"/>
            <w:noWrap/>
            <w:vAlign w:val="center"/>
            <w:hideMark/>
          </w:tcPr>
          <w:p w14:paraId="54EF8858" w14:textId="77777777" w:rsidR="001B3893" w:rsidRPr="00B52971" w:rsidRDefault="001B3893" w:rsidP="002E174C">
            <w:pPr>
              <w:jc w:val="right"/>
              <w:rPr>
                <w:rFonts w:hAnsi="標楷體"/>
                <w:sz w:val="20"/>
              </w:rPr>
            </w:pPr>
            <w:r w:rsidRPr="00B52971">
              <w:rPr>
                <w:rFonts w:hAnsi="標楷體" w:hint="eastAsia"/>
                <w:sz w:val="20"/>
              </w:rPr>
              <w:t>1</w:t>
            </w:r>
            <w:r>
              <w:rPr>
                <w:rFonts w:hAnsi="標楷體"/>
                <w:sz w:val="20"/>
              </w:rPr>
              <w:t>,</w:t>
            </w:r>
            <w:r w:rsidRPr="00B52971">
              <w:rPr>
                <w:rFonts w:hAnsi="標楷體" w:hint="eastAsia"/>
                <w:sz w:val="20"/>
              </w:rPr>
              <w:t>155</w:t>
            </w:r>
          </w:p>
        </w:tc>
        <w:tc>
          <w:tcPr>
            <w:tcW w:w="877" w:type="dxa"/>
            <w:noWrap/>
            <w:vAlign w:val="center"/>
            <w:hideMark/>
          </w:tcPr>
          <w:p w14:paraId="044E740F" w14:textId="77777777" w:rsidR="001B3893" w:rsidRPr="00B52971" w:rsidRDefault="001B3893" w:rsidP="002E174C">
            <w:pPr>
              <w:jc w:val="right"/>
              <w:rPr>
                <w:rFonts w:hAnsi="標楷體"/>
                <w:sz w:val="20"/>
              </w:rPr>
            </w:pPr>
            <w:r w:rsidRPr="00B52971">
              <w:rPr>
                <w:rFonts w:hAnsi="標楷體" w:hint="eastAsia"/>
                <w:sz w:val="20"/>
              </w:rPr>
              <w:t>531.46</w:t>
            </w:r>
          </w:p>
        </w:tc>
        <w:tc>
          <w:tcPr>
            <w:tcW w:w="689" w:type="dxa"/>
            <w:noWrap/>
            <w:vAlign w:val="center"/>
            <w:hideMark/>
          </w:tcPr>
          <w:p w14:paraId="50C71FFE" w14:textId="77777777" w:rsidR="001B3893" w:rsidRPr="00B52971" w:rsidRDefault="001B3893" w:rsidP="002E174C">
            <w:pPr>
              <w:jc w:val="right"/>
              <w:rPr>
                <w:rFonts w:hAnsi="標楷體"/>
                <w:sz w:val="20"/>
              </w:rPr>
            </w:pPr>
            <w:r w:rsidRPr="00B52971">
              <w:rPr>
                <w:rFonts w:hAnsi="標楷體" w:hint="eastAsia"/>
                <w:sz w:val="20"/>
              </w:rPr>
              <w:t>205</w:t>
            </w:r>
          </w:p>
        </w:tc>
        <w:tc>
          <w:tcPr>
            <w:tcW w:w="877" w:type="dxa"/>
            <w:noWrap/>
            <w:vAlign w:val="center"/>
            <w:hideMark/>
          </w:tcPr>
          <w:p w14:paraId="02232420" w14:textId="77777777" w:rsidR="001B3893" w:rsidRPr="00B52971" w:rsidRDefault="001B3893" w:rsidP="002E174C">
            <w:pPr>
              <w:jc w:val="right"/>
              <w:rPr>
                <w:rFonts w:hAnsi="標楷體"/>
                <w:sz w:val="20"/>
              </w:rPr>
            </w:pPr>
            <w:r w:rsidRPr="00B52971">
              <w:rPr>
                <w:rFonts w:hAnsi="標楷體" w:hint="eastAsia"/>
                <w:sz w:val="20"/>
              </w:rPr>
              <w:t>107.03</w:t>
            </w:r>
          </w:p>
        </w:tc>
        <w:tc>
          <w:tcPr>
            <w:tcW w:w="743" w:type="dxa"/>
            <w:noWrap/>
            <w:vAlign w:val="center"/>
            <w:hideMark/>
          </w:tcPr>
          <w:p w14:paraId="192D92BB" w14:textId="77777777" w:rsidR="001B3893" w:rsidRPr="00B52971" w:rsidRDefault="001B3893" w:rsidP="002E174C">
            <w:pPr>
              <w:jc w:val="right"/>
              <w:rPr>
                <w:rFonts w:hAnsi="標楷體"/>
                <w:sz w:val="20"/>
              </w:rPr>
            </w:pPr>
            <w:r w:rsidRPr="00B52971">
              <w:rPr>
                <w:rFonts w:hAnsi="標楷體" w:hint="eastAsia"/>
                <w:sz w:val="20"/>
              </w:rPr>
              <w:t>106</w:t>
            </w:r>
          </w:p>
        </w:tc>
        <w:tc>
          <w:tcPr>
            <w:tcW w:w="767" w:type="dxa"/>
            <w:noWrap/>
            <w:vAlign w:val="center"/>
            <w:hideMark/>
          </w:tcPr>
          <w:p w14:paraId="0462BEC5" w14:textId="77777777" w:rsidR="001B3893" w:rsidRPr="00B52971" w:rsidRDefault="001B3893" w:rsidP="002E174C">
            <w:pPr>
              <w:jc w:val="right"/>
              <w:rPr>
                <w:rFonts w:hAnsi="標楷體"/>
                <w:sz w:val="20"/>
              </w:rPr>
            </w:pPr>
            <w:r w:rsidRPr="00B52971">
              <w:rPr>
                <w:rFonts w:hAnsi="標楷體" w:hint="eastAsia"/>
                <w:sz w:val="20"/>
              </w:rPr>
              <w:t>59.72</w:t>
            </w:r>
          </w:p>
        </w:tc>
        <w:tc>
          <w:tcPr>
            <w:tcW w:w="767" w:type="dxa"/>
            <w:noWrap/>
            <w:vAlign w:val="center"/>
            <w:hideMark/>
          </w:tcPr>
          <w:p w14:paraId="5B3D43D6" w14:textId="77777777" w:rsidR="001B3893" w:rsidRPr="00B52971" w:rsidRDefault="001B3893" w:rsidP="002E174C">
            <w:pPr>
              <w:jc w:val="right"/>
              <w:rPr>
                <w:rFonts w:hAnsi="標楷體"/>
                <w:sz w:val="20"/>
              </w:rPr>
            </w:pPr>
            <w:r w:rsidRPr="00B52971">
              <w:rPr>
                <w:rFonts w:hAnsi="標楷體" w:hint="eastAsia"/>
                <w:sz w:val="20"/>
              </w:rPr>
              <w:t>1</w:t>
            </w:r>
            <w:r>
              <w:rPr>
                <w:rFonts w:hAnsi="標楷體"/>
                <w:sz w:val="20"/>
              </w:rPr>
              <w:t>,</w:t>
            </w:r>
            <w:r w:rsidRPr="00B52971">
              <w:rPr>
                <w:rFonts w:hAnsi="標楷體" w:hint="eastAsia"/>
                <w:sz w:val="20"/>
              </w:rPr>
              <w:t>254</w:t>
            </w:r>
          </w:p>
        </w:tc>
        <w:tc>
          <w:tcPr>
            <w:tcW w:w="877" w:type="dxa"/>
            <w:noWrap/>
            <w:vAlign w:val="center"/>
            <w:hideMark/>
          </w:tcPr>
          <w:p w14:paraId="58605264" w14:textId="77777777" w:rsidR="001B3893" w:rsidRPr="00B52971" w:rsidRDefault="001B3893" w:rsidP="002E174C">
            <w:pPr>
              <w:jc w:val="right"/>
              <w:rPr>
                <w:rFonts w:hAnsi="標楷體"/>
                <w:sz w:val="20"/>
              </w:rPr>
            </w:pPr>
            <w:r w:rsidRPr="00B52971">
              <w:rPr>
                <w:rFonts w:hAnsi="標楷體" w:hint="eastAsia"/>
                <w:sz w:val="20"/>
              </w:rPr>
              <w:t>578.78</w:t>
            </w:r>
          </w:p>
        </w:tc>
        <w:tc>
          <w:tcPr>
            <w:tcW w:w="753" w:type="dxa"/>
            <w:noWrap/>
            <w:vAlign w:val="center"/>
            <w:hideMark/>
          </w:tcPr>
          <w:p w14:paraId="0245A484" w14:textId="77777777" w:rsidR="001B3893" w:rsidRPr="00B52971" w:rsidRDefault="001B3893" w:rsidP="002E174C">
            <w:pPr>
              <w:jc w:val="right"/>
              <w:rPr>
                <w:rFonts w:hAnsi="標楷體"/>
                <w:sz w:val="20"/>
              </w:rPr>
            </w:pPr>
            <w:r w:rsidRPr="00B52971">
              <w:rPr>
                <w:rFonts w:hAnsi="標楷體" w:hint="eastAsia"/>
                <w:sz w:val="20"/>
              </w:rPr>
              <w:t>7.79</w:t>
            </w:r>
          </w:p>
        </w:tc>
        <w:tc>
          <w:tcPr>
            <w:tcW w:w="851" w:type="dxa"/>
            <w:noWrap/>
            <w:vAlign w:val="center"/>
            <w:hideMark/>
          </w:tcPr>
          <w:p w14:paraId="44C51BCB" w14:textId="77777777" w:rsidR="001B3893" w:rsidRPr="00B52971" w:rsidRDefault="001B3893" w:rsidP="002E174C">
            <w:pPr>
              <w:jc w:val="right"/>
              <w:rPr>
                <w:rFonts w:hAnsi="標楷體"/>
                <w:sz w:val="20"/>
              </w:rPr>
            </w:pPr>
            <w:r w:rsidRPr="00B52971">
              <w:rPr>
                <w:rFonts w:hAnsi="標楷體" w:hint="eastAsia"/>
                <w:sz w:val="20"/>
              </w:rPr>
              <w:t>9.35</w:t>
            </w:r>
          </w:p>
        </w:tc>
      </w:tr>
      <w:tr w:rsidR="001B3893" w:rsidRPr="00B52971" w14:paraId="1DEFCD2C" w14:textId="77777777" w:rsidTr="0097283A">
        <w:trPr>
          <w:trHeight w:val="397"/>
        </w:trPr>
        <w:tc>
          <w:tcPr>
            <w:tcW w:w="567" w:type="dxa"/>
            <w:noWrap/>
            <w:vAlign w:val="center"/>
            <w:hideMark/>
          </w:tcPr>
          <w:p w14:paraId="0D663735" w14:textId="77777777" w:rsidR="001B3893" w:rsidRPr="00B52971" w:rsidRDefault="001B3893" w:rsidP="002E174C">
            <w:pPr>
              <w:jc w:val="center"/>
              <w:rPr>
                <w:rFonts w:hAnsi="標楷體"/>
                <w:sz w:val="20"/>
              </w:rPr>
            </w:pPr>
            <w:r w:rsidRPr="00B52971">
              <w:rPr>
                <w:rFonts w:hAnsi="標楷體" w:hint="eastAsia"/>
                <w:sz w:val="20"/>
              </w:rPr>
              <w:t>112</w:t>
            </w:r>
          </w:p>
        </w:tc>
        <w:tc>
          <w:tcPr>
            <w:tcW w:w="1158" w:type="dxa"/>
            <w:noWrap/>
            <w:vAlign w:val="center"/>
            <w:hideMark/>
          </w:tcPr>
          <w:p w14:paraId="2560A281" w14:textId="77777777" w:rsidR="001B3893" w:rsidRPr="00321B32" w:rsidRDefault="001B3893" w:rsidP="002E174C">
            <w:pPr>
              <w:ind w:leftChars="-100" w:left="-340"/>
              <w:jc w:val="right"/>
              <w:rPr>
                <w:rFonts w:hAnsi="標楷體"/>
                <w:spacing w:val="-20"/>
                <w:sz w:val="20"/>
              </w:rPr>
            </w:pPr>
            <w:r w:rsidRPr="00321B32">
              <w:rPr>
                <w:rFonts w:hAnsi="標楷體" w:hint="eastAsia"/>
                <w:spacing w:val="-20"/>
                <w:sz w:val="20"/>
              </w:rPr>
              <w:t>（註</w:t>
            </w:r>
            <w:r w:rsidRPr="00321B32">
              <w:rPr>
                <w:rFonts w:hAnsi="標楷體"/>
                <w:spacing w:val="-20"/>
                <w:sz w:val="20"/>
              </w:rPr>
              <w:t>1</w:t>
            </w:r>
            <w:r w:rsidRPr="00321B32">
              <w:rPr>
                <w:rFonts w:hAnsi="標楷體" w:hint="eastAsia"/>
                <w:spacing w:val="-20"/>
                <w:sz w:val="20"/>
              </w:rPr>
              <w:t>）1</w:t>
            </w:r>
            <w:r w:rsidRPr="00321B32">
              <w:rPr>
                <w:rFonts w:hAnsi="標楷體"/>
                <w:spacing w:val="-20"/>
                <w:sz w:val="20"/>
              </w:rPr>
              <w:t>,</w:t>
            </w:r>
            <w:r w:rsidRPr="00321B32">
              <w:rPr>
                <w:rFonts w:hAnsi="標楷體" w:hint="eastAsia"/>
                <w:spacing w:val="-20"/>
                <w:sz w:val="20"/>
              </w:rPr>
              <w:t>247</w:t>
            </w:r>
          </w:p>
        </w:tc>
        <w:tc>
          <w:tcPr>
            <w:tcW w:w="877" w:type="dxa"/>
            <w:noWrap/>
            <w:vAlign w:val="center"/>
            <w:hideMark/>
          </w:tcPr>
          <w:p w14:paraId="0746F5D3" w14:textId="77777777" w:rsidR="001B3893" w:rsidRPr="00B52971" w:rsidRDefault="001B3893" w:rsidP="002E174C">
            <w:pPr>
              <w:jc w:val="right"/>
              <w:rPr>
                <w:rFonts w:hAnsi="標楷體"/>
                <w:sz w:val="20"/>
              </w:rPr>
            </w:pPr>
            <w:r w:rsidRPr="00B52971">
              <w:rPr>
                <w:rFonts w:hAnsi="標楷體" w:hint="eastAsia"/>
                <w:sz w:val="20"/>
              </w:rPr>
              <w:t>573.20</w:t>
            </w:r>
          </w:p>
        </w:tc>
        <w:tc>
          <w:tcPr>
            <w:tcW w:w="689" w:type="dxa"/>
            <w:noWrap/>
            <w:vAlign w:val="center"/>
            <w:hideMark/>
          </w:tcPr>
          <w:p w14:paraId="485153A7" w14:textId="77777777" w:rsidR="001B3893" w:rsidRPr="00B52971" w:rsidRDefault="001B3893" w:rsidP="002E174C">
            <w:pPr>
              <w:jc w:val="right"/>
              <w:rPr>
                <w:rFonts w:hAnsi="標楷體"/>
                <w:sz w:val="20"/>
              </w:rPr>
            </w:pPr>
            <w:r w:rsidRPr="00B52971">
              <w:rPr>
                <w:rFonts w:hAnsi="標楷體" w:hint="eastAsia"/>
                <w:sz w:val="20"/>
              </w:rPr>
              <w:t>160</w:t>
            </w:r>
          </w:p>
        </w:tc>
        <w:tc>
          <w:tcPr>
            <w:tcW w:w="877" w:type="dxa"/>
            <w:noWrap/>
            <w:vAlign w:val="center"/>
            <w:hideMark/>
          </w:tcPr>
          <w:p w14:paraId="730309C1" w14:textId="77777777" w:rsidR="001B3893" w:rsidRPr="00B52971" w:rsidRDefault="001B3893" w:rsidP="002E174C">
            <w:pPr>
              <w:jc w:val="right"/>
              <w:rPr>
                <w:rFonts w:hAnsi="標楷體"/>
                <w:sz w:val="20"/>
              </w:rPr>
            </w:pPr>
            <w:r w:rsidRPr="00B52971">
              <w:rPr>
                <w:rFonts w:hAnsi="標楷體" w:hint="eastAsia"/>
                <w:sz w:val="20"/>
              </w:rPr>
              <w:t>203.25</w:t>
            </w:r>
          </w:p>
        </w:tc>
        <w:tc>
          <w:tcPr>
            <w:tcW w:w="743" w:type="dxa"/>
            <w:noWrap/>
            <w:vAlign w:val="center"/>
            <w:hideMark/>
          </w:tcPr>
          <w:p w14:paraId="569A1404" w14:textId="77777777" w:rsidR="001B3893" w:rsidRPr="00B52971" w:rsidRDefault="001B3893" w:rsidP="002E174C">
            <w:pPr>
              <w:jc w:val="right"/>
              <w:rPr>
                <w:rFonts w:hAnsi="標楷體"/>
                <w:sz w:val="20"/>
              </w:rPr>
            </w:pPr>
            <w:r w:rsidRPr="00B52971">
              <w:rPr>
                <w:rFonts w:hAnsi="標楷體" w:hint="eastAsia"/>
                <w:sz w:val="20"/>
              </w:rPr>
              <w:t>21</w:t>
            </w:r>
          </w:p>
        </w:tc>
        <w:tc>
          <w:tcPr>
            <w:tcW w:w="767" w:type="dxa"/>
            <w:noWrap/>
            <w:vAlign w:val="center"/>
            <w:hideMark/>
          </w:tcPr>
          <w:p w14:paraId="6FFED4A9" w14:textId="77777777" w:rsidR="001B3893" w:rsidRPr="00B52971" w:rsidRDefault="001B3893" w:rsidP="002E174C">
            <w:pPr>
              <w:jc w:val="right"/>
              <w:rPr>
                <w:rFonts w:hAnsi="標楷體"/>
                <w:sz w:val="20"/>
              </w:rPr>
            </w:pPr>
            <w:r w:rsidRPr="00B52971">
              <w:rPr>
                <w:rFonts w:hAnsi="標楷體" w:hint="eastAsia"/>
                <w:sz w:val="20"/>
              </w:rPr>
              <w:t>1.84</w:t>
            </w:r>
          </w:p>
        </w:tc>
        <w:tc>
          <w:tcPr>
            <w:tcW w:w="767" w:type="dxa"/>
            <w:noWrap/>
            <w:vAlign w:val="center"/>
            <w:hideMark/>
          </w:tcPr>
          <w:p w14:paraId="1E315739" w14:textId="77777777" w:rsidR="001B3893" w:rsidRPr="00B52971" w:rsidRDefault="001B3893" w:rsidP="002E174C">
            <w:pPr>
              <w:jc w:val="right"/>
              <w:rPr>
                <w:rFonts w:hAnsi="標楷體"/>
                <w:sz w:val="20"/>
              </w:rPr>
            </w:pPr>
            <w:r w:rsidRPr="00B52971">
              <w:rPr>
                <w:rFonts w:hAnsi="標楷體" w:hint="eastAsia"/>
                <w:sz w:val="20"/>
              </w:rPr>
              <w:t>1</w:t>
            </w:r>
            <w:r>
              <w:rPr>
                <w:rFonts w:hAnsi="標楷體"/>
                <w:sz w:val="20"/>
              </w:rPr>
              <w:t>,</w:t>
            </w:r>
            <w:r w:rsidRPr="00B52971">
              <w:rPr>
                <w:rFonts w:hAnsi="標楷體" w:hint="eastAsia"/>
                <w:sz w:val="20"/>
              </w:rPr>
              <w:t>386</w:t>
            </w:r>
          </w:p>
        </w:tc>
        <w:tc>
          <w:tcPr>
            <w:tcW w:w="877" w:type="dxa"/>
            <w:noWrap/>
            <w:vAlign w:val="center"/>
            <w:hideMark/>
          </w:tcPr>
          <w:p w14:paraId="65EBFB0C" w14:textId="77777777" w:rsidR="001B3893" w:rsidRPr="00B52971" w:rsidRDefault="001B3893" w:rsidP="002E174C">
            <w:pPr>
              <w:jc w:val="right"/>
              <w:rPr>
                <w:rFonts w:hAnsi="標楷體"/>
                <w:sz w:val="20"/>
              </w:rPr>
            </w:pPr>
            <w:r w:rsidRPr="00B52971">
              <w:rPr>
                <w:rFonts w:hAnsi="標楷體" w:hint="eastAsia"/>
                <w:sz w:val="20"/>
              </w:rPr>
              <w:t>774.62</w:t>
            </w:r>
          </w:p>
        </w:tc>
        <w:tc>
          <w:tcPr>
            <w:tcW w:w="753" w:type="dxa"/>
            <w:noWrap/>
            <w:vAlign w:val="center"/>
            <w:hideMark/>
          </w:tcPr>
          <w:p w14:paraId="290AF74B" w14:textId="77777777" w:rsidR="001B3893" w:rsidRPr="00B52971" w:rsidRDefault="001B3893" w:rsidP="002E174C">
            <w:pPr>
              <w:jc w:val="right"/>
              <w:rPr>
                <w:rFonts w:hAnsi="標楷體"/>
                <w:sz w:val="20"/>
              </w:rPr>
            </w:pPr>
            <w:r w:rsidRPr="00B52971">
              <w:rPr>
                <w:rFonts w:hAnsi="標楷體" w:hint="eastAsia"/>
                <w:sz w:val="20"/>
              </w:rPr>
              <w:t>1.49</w:t>
            </w:r>
          </w:p>
        </w:tc>
        <w:tc>
          <w:tcPr>
            <w:tcW w:w="851" w:type="dxa"/>
            <w:noWrap/>
            <w:vAlign w:val="center"/>
            <w:hideMark/>
          </w:tcPr>
          <w:p w14:paraId="24BDBC5C" w14:textId="77777777" w:rsidR="001B3893" w:rsidRPr="00B52971" w:rsidRDefault="001B3893" w:rsidP="002E174C">
            <w:pPr>
              <w:jc w:val="right"/>
              <w:rPr>
                <w:rFonts w:hAnsi="標楷體"/>
                <w:sz w:val="20"/>
              </w:rPr>
            </w:pPr>
            <w:r w:rsidRPr="00B52971">
              <w:rPr>
                <w:rFonts w:hAnsi="標楷體" w:hint="eastAsia"/>
                <w:sz w:val="20"/>
              </w:rPr>
              <w:t>0.24</w:t>
            </w:r>
          </w:p>
        </w:tc>
      </w:tr>
    </w:tbl>
    <w:p w14:paraId="139EC9DC" w14:textId="77777777" w:rsidR="001B3893" w:rsidRPr="00DD0549" w:rsidRDefault="001B3893" w:rsidP="001B3893">
      <w:pPr>
        <w:snapToGrid w:val="0"/>
        <w:ind w:leftChars="-12" w:left="784" w:hangingChars="317" w:hanging="825"/>
        <w:rPr>
          <w:rFonts w:hAnsi="標楷體"/>
          <w:sz w:val="24"/>
          <w:szCs w:val="24"/>
        </w:rPr>
      </w:pPr>
      <w:r w:rsidRPr="00DD0549">
        <w:rPr>
          <w:rFonts w:hAnsi="標楷體" w:hint="eastAsia"/>
          <w:sz w:val="24"/>
          <w:szCs w:val="24"/>
        </w:rPr>
        <w:t>註：</w:t>
      </w:r>
      <w:r w:rsidRPr="00DD0549">
        <w:rPr>
          <w:rFonts w:hAnsi="標楷體"/>
          <w:sz w:val="24"/>
          <w:szCs w:val="24"/>
        </w:rPr>
        <w:t>1.</w:t>
      </w:r>
      <w:r w:rsidRPr="00DD0549">
        <w:rPr>
          <w:rFonts w:hAnsi="標楷體" w:hint="eastAsia"/>
          <w:sz w:val="24"/>
          <w:szCs w:val="24"/>
        </w:rPr>
        <w:t>原1</w:t>
      </w:r>
      <w:r w:rsidRPr="00DD0549">
        <w:rPr>
          <w:rFonts w:hAnsi="標楷體"/>
          <w:sz w:val="24"/>
          <w:szCs w:val="24"/>
        </w:rPr>
        <w:t>11年底</w:t>
      </w:r>
      <w:r w:rsidRPr="00DD0549">
        <w:rPr>
          <w:rFonts w:hAnsi="標楷體" w:hint="eastAsia"/>
          <w:sz w:val="24"/>
          <w:szCs w:val="24"/>
        </w:rPr>
        <w:t>未結案數為</w:t>
      </w:r>
      <w:r w:rsidRPr="00DD0549">
        <w:rPr>
          <w:rFonts w:hAnsi="標楷體"/>
          <w:sz w:val="24"/>
          <w:szCs w:val="24"/>
        </w:rPr>
        <w:t>1,254</w:t>
      </w:r>
      <w:r w:rsidRPr="00DD0549">
        <w:rPr>
          <w:rFonts w:hAnsi="標楷體" w:hint="eastAsia"/>
          <w:sz w:val="24"/>
          <w:szCs w:val="24"/>
        </w:rPr>
        <w:t>錄，</w:t>
      </w:r>
      <w:r w:rsidRPr="00DD0549">
        <w:rPr>
          <w:rFonts w:hAnsi="標楷體"/>
          <w:sz w:val="24"/>
          <w:szCs w:val="24"/>
        </w:rPr>
        <w:t>經原民</w:t>
      </w:r>
      <w:r>
        <w:rPr>
          <w:rFonts w:hAnsi="標楷體" w:hint="eastAsia"/>
          <w:sz w:val="24"/>
          <w:szCs w:val="24"/>
        </w:rPr>
        <w:t>民</w:t>
      </w:r>
      <w:r w:rsidRPr="00DD0549">
        <w:rPr>
          <w:rFonts w:hAnsi="標楷體"/>
          <w:sz w:val="24"/>
          <w:szCs w:val="24"/>
        </w:rPr>
        <w:t>會於</w:t>
      </w:r>
      <w:r w:rsidRPr="00DD0549">
        <w:rPr>
          <w:rFonts w:hAnsi="標楷體" w:hint="eastAsia"/>
          <w:sz w:val="24"/>
          <w:szCs w:val="24"/>
        </w:rPr>
        <w:t>1</w:t>
      </w:r>
      <w:r w:rsidRPr="00DD0549">
        <w:rPr>
          <w:rFonts w:hAnsi="標楷體"/>
          <w:sz w:val="24"/>
          <w:szCs w:val="24"/>
        </w:rPr>
        <w:t>12年</w:t>
      </w:r>
      <w:r w:rsidRPr="00DD0549">
        <w:rPr>
          <w:rFonts w:hAnsi="標楷體" w:hint="eastAsia"/>
          <w:sz w:val="24"/>
          <w:szCs w:val="24"/>
        </w:rPr>
        <w:t>釐正</w:t>
      </w:r>
      <w:r w:rsidRPr="00DD0549">
        <w:rPr>
          <w:rFonts w:hAnsi="標楷體"/>
          <w:sz w:val="24"/>
          <w:szCs w:val="24"/>
        </w:rPr>
        <w:t>為</w:t>
      </w:r>
      <w:r w:rsidRPr="00DD0549">
        <w:rPr>
          <w:rFonts w:hAnsi="標楷體" w:hint="eastAsia"/>
          <w:sz w:val="24"/>
          <w:szCs w:val="24"/>
        </w:rPr>
        <w:t>1</w:t>
      </w:r>
      <w:r w:rsidRPr="00DD0549">
        <w:rPr>
          <w:rFonts w:hAnsi="標楷體"/>
          <w:sz w:val="24"/>
          <w:szCs w:val="24"/>
        </w:rPr>
        <w:t>,</w:t>
      </w:r>
      <w:r w:rsidRPr="00DD0549">
        <w:rPr>
          <w:rFonts w:hAnsi="標楷體" w:hint="eastAsia"/>
          <w:sz w:val="24"/>
          <w:szCs w:val="24"/>
        </w:rPr>
        <w:t>247錄</w:t>
      </w:r>
      <w:r w:rsidRPr="00DD0549">
        <w:rPr>
          <w:rFonts w:hAnsi="標楷體"/>
          <w:sz w:val="24"/>
          <w:szCs w:val="24"/>
        </w:rPr>
        <w:t>。</w:t>
      </w:r>
    </w:p>
    <w:p w14:paraId="4DB2AB3A" w14:textId="77777777" w:rsidR="001B3893" w:rsidRPr="00DD0549" w:rsidRDefault="001B3893" w:rsidP="001B3893">
      <w:pPr>
        <w:snapToGrid w:val="0"/>
        <w:ind w:leftChars="135" w:left="740" w:hangingChars="108" w:hanging="281"/>
        <w:rPr>
          <w:rFonts w:hAnsi="標楷體"/>
          <w:sz w:val="24"/>
          <w:szCs w:val="24"/>
        </w:rPr>
      </w:pPr>
      <w:r w:rsidRPr="00DD0549">
        <w:rPr>
          <w:rFonts w:hAnsi="標楷體"/>
          <w:sz w:val="24"/>
          <w:szCs w:val="24"/>
        </w:rPr>
        <w:t>2.</w:t>
      </w:r>
      <w:r w:rsidRPr="00DD0549">
        <w:rPr>
          <w:rFonts w:hAnsi="標楷體" w:hint="eastAsia"/>
          <w:sz w:val="24"/>
          <w:szCs w:val="24"/>
        </w:rPr>
        <w:t>截至本年底未結案數=截至上年底未結案數+本年新增被占用數-本年處理結案數。</w:t>
      </w:r>
    </w:p>
    <w:p w14:paraId="5A5FB3A6" w14:textId="77777777" w:rsidR="001B3893" w:rsidRPr="00DD0549" w:rsidRDefault="001B3893" w:rsidP="001B3893">
      <w:pPr>
        <w:snapToGrid w:val="0"/>
        <w:ind w:leftChars="135" w:left="740" w:hangingChars="108" w:hanging="281"/>
        <w:rPr>
          <w:rFonts w:hAnsi="標楷體"/>
          <w:sz w:val="24"/>
          <w:szCs w:val="24"/>
        </w:rPr>
      </w:pPr>
      <w:r w:rsidRPr="00DD0549">
        <w:rPr>
          <w:rFonts w:hAnsi="標楷體" w:hint="eastAsia"/>
          <w:sz w:val="24"/>
          <w:szCs w:val="24"/>
        </w:rPr>
        <w:t>3</w:t>
      </w:r>
      <w:r w:rsidRPr="00DD0549">
        <w:rPr>
          <w:rFonts w:hAnsi="標楷體"/>
          <w:sz w:val="24"/>
          <w:szCs w:val="24"/>
        </w:rPr>
        <w:t>.</w:t>
      </w:r>
      <w:r w:rsidRPr="00DD0549">
        <w:rPr>
          <w:rFonts w:hAnsi="標楷體" w:hint="eastAsia"/>
          <w:sz w:val="24"/>
          <w:szCs w:val="24"/>
        </w:rPr>
        <w:t>土地結案率=本年處理結案數/(截至上年底未結案數+本年新增被占用數) 。</w:t>
      </w:r>
    </w:p>
    <w:p w14:paraId="7A954F82" w14:textId="084D21A0" w:rsidR="001B3893" w:rsidRPr="00400C68" w:rsidRDefault="001B3893" w:rsidP="00400C68">
      <w:pPr>
        <w:snapToGrid w:val="0"/>
        <w:spacing w:afterLines="50" w:after="228"/>
        <w:ind w:leftChars="-12" w:left="784" w:hangingChars="317" w:hanging="825"/>
        <w:rPr>
          <w:rFonts w:hAnsi="Arial"/>
        </w:rPr>
      </w:pPr>
      <w:r w:rsidRPr="00DD0549">
        <w:rPr>
          <w:rFonts w:hAnsi="標楷體" w:hint="eastAsia"/>
          <w:sz w:val="24"/>
          <w:szCs w:val="24"/>
        </w:rPr>
        <w:t>資料來源</w:t>
      </w:r>
      <w:r w:rsidRPr="00DD0549">
        <w:rPr>
          <w:rFonts w:hAnsi="標楷體"/>
          <w:sz w:val="24"/>
          <w:szCs w:val="24"/>
        </w:rPr>
        <w:t>：</w:t>
      </w:r>
      <w:r>
        <w:rPr>
          <w:rFonts w:hAnsi="標楷體" w:hint="eastAsia"/>
          <w:sz w:val="24"/>
          <w:szCs w:val="24"/>
        </w:rPr>
        <w:t>審計部</w:t>
      </w:r>
      <w:r w:rsidR="00873C62">
        <w:rPr>
          <w:rFonts w:hAnsi="標楷體" w:hint="eastAsia"/>
          <w:sz w:val="24"/>
          <w:szCs w:val="24"/>
        </w:rPr>
        <w:t>查核報告</w:t>
      </w:r>
      <w:r w:rsidRPr="00DD0549">
        <w:rPr>
          <w:rFonts w:hAnsi="標楷體"/>
          <w:sz w:val="24"/>
          <w:szCs w:val="24"/>
        </w:rPr>
        <w:t>。</w:t>
      </w:r>
    </w:p>
    <w:p w14:paraId="4D1822E4" w14:textId="236F0009" w:rsidR="001B3893" w:rsidRPr="00873C62" w:rsidRDefault="00873C62" w:rsidP="00873C62">
      <w:pPr>
        <w:jc w:val="center"/>
        <w:rPr>
          <w:b/>
          <w:sz w:val="28"/>
        </w:rPr>
      </w:pPr>
      <w:r>
        <w:rPr>
          <w:rFonts w:hint="eastAsia"/>
          <w:b/>
          <w:sz w:val="28"/>
        </w:rPr>
        <w:t>表</w:t>
      </w:r>
      <w:r w:rsidR="00E62908">
        <w:rPr>
          <w:rFonts w:hint="eastAsia"/>
          <w:b/>
          <w:sz w:val="28"/>
        </w:rPr>
        <w:t>3</w:t>
      </w:r>
      <w:r>
        <w:rPr>
          <w:rFonts w:hint="eastAsia"/>
          <w:b/>
          <w:sz w:val="28"/>
        </w:rPr>
        <w:t>、</w:t>
      </w:r>
      <w:r w:rsidR="001B3893" w:rsidRPr="00873C62">
        <w:rPr>
          <w:rFonts w:hint="eastAsia"/>
          <w:b/>
          <w:sz w:val="28"/>
        </w:rPr>
        <w:t>國有公用被占用土地面積增減趨勢－中央部會前</w:t>
      </w:r>
      <w:r w:rsidR="001B3893" w:rsidRPr="00873C62">
        <w:rPr>
          <w:b/>
          <w:sz w:val="28"/>
        </w:rPr>
        <w:t>5名</w:t>
      </w:r>
    </w:p>
    <w:p w14:paraId="31FF57A0" w14:textId="77777777" w:rsidR="001B3893" w:rsidRDefault="001B3893" w:rsidP="001B3893">
      <w:pPr>
        <w:spacing w:beforeLines="25" w:before="114" w:afterLines="25" w:after="114" w:line="300" w:lineRule="exact"/>
        <w:ind w:leftChars="135" w:left="740" w:hangingChars="108" w:hanging="281"/>
        <w:jc w:val="right"/>
        <w:rPr>
          <w:sz w:val="24"/>
          <w:szCs w:val="24"/>
        </w:rPr>
      </w:pPr>
      <w:r w:rsidRPr="00A45584">
        <w:rPr>
          <w:rFonts w:hint="eastAsia"/>
          <w:sz w:val="24"/>
          <w:szCs w:val="24"/>
        </w:rPr>
        <w:t>單位：平方公尺、</w:t>
      </w:r>
      <w:r>
        <w:rPr>
          <w:rFonts w:hint="eastAsia"/>
          <w:sz w:val="24"/>
          <w:szCs w:val="24"/>
        </w:rPr>
        <w:t>%</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89"/>
        <w:gridCol w:w="1157"/>
        <w:gridCol w:w="1257"/>
        <w:gridCol w:w="1157"/>
        <w:gridCol w:w="1157"/>
        <w:gridCol w:w="1157"/>
        <w:gridCol w:w="1377"/>
        <w:gridCol w:w="846"/>
      </w:tblGrid>
      <w:tr w:rsidR="001B3893" w:rsidRPr="00A45584" w14:paraId="31E9018F" w14:textId="77777777" w:rsidTr="00232EC8">
        <w:trPr>
          <w:trHeight w:val="600"/>
          <w:jc w:val="center"/>
        </w:trPr>
        <w:tc>
          <w:tcPr>
            <w:tcW w:w="1389" w:type="dxa"/>
            <w:vMerge w:val="restart"/>
            <w:shd w:val="clear" w:color="auto" w:fill="FDE9D9" w:themeFill="accent6" w:themeFillTint="33"/>
            <w:vAlign w:val="center"/>
            <w:hideMark/>
          </w:tcPr>
          <w:p w14:paraId="2BD163F3" w14:textId="77777777" w:rsidR="001B3893" w:rsidRPr="00A45584" w:rsidRDefault="001B3893" w:rsidP="002E174C">
            <w:pPr>
              <w:widowControl/>
              <w:overflowPunct/>
              <w:autoSpaceDE/>
              <w:autoSpaceDN/>
              <w:snapToGrid w:val="0"/>
              <w:spacing w:line="280" w:lineRule="atLeast"/>
              <w:jc w:val="center"/>
              <w:rPr>
                <w:rFonts w:hAnsi="標楷體" w:cs="新細明體"/>
                <w:kern w:val="0"/>
                <w:sz w:val="20"/>
              </w:rPr>
            </w:pPr>
            <w:r w:rsidRPr="00A45584">
              <w:rPr>
                <w:rFonts w:hAnsi="標楷體" w:cs="新細明體" w:hint="eastAsia"/>
                <w:kern w:val="0"/>
                <w:sz w:val="20"/>
              </w:rPr>
              <w:t>部會別</w:t>
            </w:r>
          </w:p>
        </w:tc>
        <w:tc>
          <w:tcPr>
            <w:tcW w:w="1157" w:type="dxa"/>
            <w:vMerge w:val="restart"/>
            <w:shd w:val="clear" w:color="auto" w:fill="FDE9D9" w:themeFill="accent6" w:themeFillTint="33"/>
            <w:vAlign w:val="center"/>
            <w:hideMark/>
          </w:tcPr>
          <w:p w14:paraId="1AF43E6A" w14:textId="77777777" w:rsidR="001B3893" w:rsidRPr="00A45584" w:rsidRDefault="001B3893" w:rsidP="002E174C">
            <w:pPr>
              <w:widowControl/>
              <w:overflowPunct/>
              <w:autoSpaceDE/>
              <w:autoSpaceDN/>
              <w:snapToGrid w:val="0"/>
              <w:spacing w:line="280" w:lineRule="atLeast"/>
              <w:jc w:val="center"/>
              <w:rPr>
                <w:rFonts w:hAnsi="標楷體" w:cs="新細明體"/>
                <w:kern w:val="0"/>
                <w:sz w:val="20"/>
              </w:rPr>
            </w:pPr>
            <w:r w:rsidRPr="00A45584">
              <w:rPr>
                <w:rFonts w:hAnsi="標楷體" w:cs="新細明體"/>
                <w:kern w:val="0"/>
                <w:sz w:val="20"/>
              </w:rPr>
              <w:t>108年底</w:t>
            </w:r>
          </w:p>
        </w:tc>
        <w:tc>
          <w:tcPr>
            <w:tcW w:w="1257" w:type="dxa"/>
            <w:vMerge w:val="restart"/>
            <w:shd w:val="clear" w:color="auto" w:fill="FDE9D9" w:themeFill="accent6" w:themeFillTint="33"/>
            <w:vAlign w:val="center"/>
            <w:hideMark/>
          </w:tcPr>
          <w:p w14:paraId="270B39E2" w14:textId="77777777" w:rsidR="001B3893" w:rsidRPr="00A45584" w:rsidRDefault="001B3893" w:rsidP="002E174C">
            <w:pPr>
              <w:widowControl/>
              <w:overflowPunct/>
              <w:autoSpaceDE/>
              <w:autoSpaceDN/>
              <w:snapToGrid w:val="0"/>
              <w:spacing w:line="280" w:lineRule="atLeast"/>
              <w:jc w:val="center"/>
              <w:rPr>
                <w:rFonts w:hAnsi="標楷體" w:cs="新細明體"/>
                <w:kern w:val="0"/>
                <w:sz w:val="20"/>
              </w:rPr>
            </w:pPr>
            <w:r w:rsidRPr="00A45584">
              <w:rPr>
                <w:rFonts w:hAnsi="標楷體" w:cs="新細明體"/>
                <w:kern w:val="0"/>
                <w:sz w:val="20"/>
              </w:rPr>
              <w:t>109年底</w:t>
            </w:r>
          </w:p>
        </w:tc>
        <w:tc>
          <w:tcPr>
            <w:tcW w:w="1157" w:type="dxa"/>
            <w:vMerge w:val="restart"/>
            <w:shd w:val="clear" w:color="auto" w:fill="FDE9D9" w:themeFill="accent6" w:themeFillTint="33"/>
            <w:vAlign w:val="center"/>
            <w:hideMark/>
          </w:tcPr>
          <w:p w14:paraId="74B8509D" w14:textId="77777777" w:rsidR="001B3893" w:rsidRPr="00A45584" w:rsidRDefault="001B3893" w:rsidP="002E174C">
            <w:pPr>
              <w:widowControl/>
              <w:overflowPunct/>
              <w:autoSpaceDE/>
              <w:autoSpaceDN/>
              <w:snapToGrid w:val="0"/>
              <w:spacing w:line="280" w:lineRule="atLeast"/>
              <w:jc w:val="center"/>
              <w:rPr>
                <w:rFonts w:hAnsi="標楷體" w:cs="新細明體"/>
                <w:kern w:val="0"/>
                <w:sz w:val="20"/>
              </w:rPr>
            </w:pPr>
            <w:r w:rsidRPr="00A45584">
              <w:rPr>
                <w:rFonts w:hAnsi="標楷體" w:cs="新細明體"/>
                <w:kern w:val="0"/>
                <w:sz w:val="20"/>
              </w:rPr>
              <w:t>110年底</w:t>
            </w:r>
          </w:p>
        </w:tc>
        <w:tc>
          <w:tcPr>
            <w:tcW w:w="1157" w:type="dxa"/>
            <w:vMerge w:val="restart"/>
            <w:shd w:val="clear" w:color="auto" w:fill="FDE9D9" w:themeFill="accent6" w:themeFillTint="33"/>
            <w:vAlign w:val="center"/>
            <w:hideMark/>
          </w:tcPr>
          <w:p w14:paraId="5DF99C1B" w14:textId="77777777" w:rsidR="001B3893" w:rsidRPr="00A45584" w:rsidRDefault="001B3893" w:rsidP="002E174C">
            <w:pPr>
              <w:widowControl/>
              <w:overflowPunct/>
              <w:autoSpaceDE/>
              <w:autoSpaceDN/>
              <w:snapToGrid w:val="0"/>
              <w:spacing w:line="280" w:lineRule="atLeast"/>
              <w:jc w:val="center"/>
              <w:rPr>
                <w:rFonts w:hAnsi="標楷體" w:cs="新細明體"/>
                <w:kern w:val="0"/>
                <w:sz w:val="20"/>
              </w:rPr>
            </w:pPr>
            <w:r w:rsidRPr="00A45584">
              <w:rPr>
                <w:rFonts w:hAnsi="標楷體" w:cs="新細明體"/>
                <w:kern w:val="0"/>
                <w:sz w:val="20"/>
              </w:rPr>
              <w:t>111年底</w:t>
            </w:r>
          </w:p>
        </w:tc>
        <w:tc>
          <w:tcPr>
            <w:tcW w:w="1157" w:type="dxa"/>
            <w:vMerge w:val="restart"/>
            <w:shd w:val="clear" w:color="auto" w:fill="FDE9D9" w:themeFill="accent6" w:themeFillTint="33"/>
            <w:vAlign w:val="center"/>
            <w:hideMark/>
          </w:tcPr>
          <w:p w14:paraId="4BE6A86D" w14:textId="77777777" w:rsidR="001B3893" w:rsidRPr="00A45584" w:rsidRDefault="001B3893" w:rsidP="002E174C">
            <w:pPr>
              <w:widowControl/>
              <w:overflowPunct/>
              <w:autoSpaceDE/>
              <w:autoSpaceDN/>
              <w:snapToGrid w:val="0"/>
              <w:spacing w:line="280" w:lineRule="atLeast"/>
              <w:jc w:val="center"/>
              <w:rPr>
                <w:rFonts w:hAnsi="標楷體" w:cs="新細明體"/>
                <w:kern w:val="0"/>
                <w:sz w:val="20"/>
              </w:rPr>
            </w:pPr>
            <w:r w:rsidRPr="00A45584">
              <w:rPr>
                <w:rFonts w:hAnsi="標楷體" w:cs="新細明體"/>
                <w:kern w:val="0"/>
                <w:sz w:val="20"/>
              </w:rPr>
              <w:t>112年底</w:t>
            </w:r>
          </w:p>
        </w:tc>
        <w:tc>
          <w:tcPr>
            <w:tcW w:w="2223" w:type="dxa"/>
            <w:gridSpan w:val="2"/>
            <w:shd w:val="clear" w:color="auto" w:fill="FDE9D9" w:themeFill="accent6" w:themeFillTint="33"/>
            <w:vAlign w:val="center"/>
            <w:hideMark/>
          </w:tcPr>
          <w:p w14:paraId="6AD837A9" w14:textId="77777777" w:rsidR="001B3893" w:rsidRDefault="001B3893" w:rsidP="002E174C">
            <w:pPr>
              <w:widowControl/>
              <w:overflowPunct/>
              <w:autoSpaceDE/>
              <w:autoSpaceDN/>
              <w:snapToGrid w:val="0"/>
              <w:spacing w:line="280" w:lineRule="atLeast"/>
              <w:jc w:val="center"/>
              <w:rPr>
                <w:rFonts w:hAnsi="標楷體" w:cs="新細明體"/>
                <w:color w:val="000000"/>
                <w:kern w:val="0"/>
                <w:sz w:val="20"/>
              </w:rPr>
            </w:pPr>
            <w:r w:rsidRPr="00A45584">
              <w:rPr>
                <w:rFonts w:hAnsi="標楷體" w:cs="新細明體"/>
                <w:color w:val="000000"/>
                <w:kern w:val="0"/>
                <w:sz w:val="20"/>
              </w:rPr>
              <w:t>112年底較108年底</w:t>
            </w:r>
          </w:p>
          <w:p w14:paraId="03DC34FA" w14:textId="77777777" w:rsidR="001B3893" w:rsidRPr="00A45584" w:rsidRDefault="001B3893" w:rsidP="002E174C">
            <w:pPr>
              <w:widowControl/>
              <w:overflowPunct/>
              <w:autoSpaceDE/>
              <w:autoSpaceDN/>
              <w:snapToGrid w:val="0"/>
              <w:spacing w:line="280" w:lineRule="atLeast"/>
              <w:jc w:val="center"/>
              <w:rPr>
                <w:rFonts w:hAnsi="標楷體" w:cs="新細明體"/>
                <w:color w:val="000000"/>
                <w:kern w:val="0"/>
                <w:sz w:val="20"/>
              </w:rPr>
            </w:pPr>
            <w:r w:rsidRPr="00A45584">
              <w:rPr>
                <w:rFonts w:hAnsi="標楷體" w:cs="新細明體"/>
                <w:color w:val="000000"/>
                <w:kern w:val="0"/>
                <w:sz w:val="20"/>
              </w:rPr>
              <w:t>增減</w:t>
            </w:r>
            <w:r>
              <w:rPr>
                <w:rFonts w:hAnsi="標楷體" w:cs="新細明體" w:hint="eastAsia"/>
                <w:color w:val="000000"/>
                <w:kern w:val="0"/>
                <w:sz w:val="20"/>
              </w:rPr>
              <w:t>幅度</w:t>
            </w:r>
          </w:p>
        </w:tc>
      </w:tr>
      <w:tr w:rsidR="001B3893" w:rsidRPr="00A45584" w14:paraId="1780A202" w14:textId="77777777" w:rsidTr="00232EC8">
        <w:trPr>
          <w:trHeight w:val="397"/>
          <w:jc w:val="center"/>
        </w:trPr>
        <w:tc>
          <w:tcPr>
            <w:tcW w:w="1389" w:type="dxa"/>
            <w:vMerge/>
            <w:shd w:val="clear" w:color="auto" w:fill="FDE9D9" w:themeFill="accent6" w:themeFillTint="33"/>
            <w:vAlign w:val="center"/>
            <w:hideMark/>
          </w:tcPr>
          <w:p w14:paraId="52EDA144" w14:textId="77777777" w:rsidR="001B3893" w:rsidRPr="00A45584" w:rsidRDefault="001B3893" w:rsidP="002E174C">
            <w:pPr>
              <w:widowControl/>
              <w:overflowPunct/>
              <w:autoSpaceDE/>
              <w:autoSpaceDN/>
              <w:snapToGrid w:val="0"/>
              <w:spacing w:line="280" w:lineRule="atLeast"/>
              <w:jc w:val="left"/>
              <w:rPr>
                <w:rFonts w:hAnsi="標楷體" w:cs="新細明體"/>
                <w:kern w:val="0"/>
                <w:sz w:val="20"/>
              </w:rPr>
            </w:pPr>
          </w:p>
        </w:tc>
        <w:tc>
          <w:tcPr>
            <w:tcW w:w="1157" w:type="dxa"/>
            <w:vMerge/>
            <w:shd w:val="clear" w:color="auto" w:fill="FDE9D9" w:themeFill="accent6" w:themeFillTint="33"/>
            <w:vAlign w:val="center"/>
            <w:hideMark/>
          </w:tcPr>
          <w:p w14:paraId="01509123" w14:textId="77777777" w:rsidR="001B3893" w:rsidRPr="00A45584" w:rsidRDefault="001B3893" w:rsidP="002E174C">
            <w:pPr>
              <w:widowControl/>
              <w:overflowPunct/>
              <w:autoSpaceDE/>
              <w:autoSpaceDN/>
              <w:snapToGrid w:val="0"/>
              <w:spacing w:line="280" w:lineRule="atLeast"/>
              <w:jc w:val="left"/>
              <w:rPr>
                <w:rFonts w:hAnsi="標楷體" w:cs="新細明體"/>
                <w:kern w:val="0"/>
                <w:sz w:val="20"/>
              </w:rPr>
            </w:pPr>
          </w:p>
        </w:tc>
        <w:tc>
          <w:tcPr>
            <w:tcW w:w="1257" w:type="dxa"/>
            <w:vMerge/>
            <w:shd w:val="clear" w:color="auto" w:fill="FDE9D9" w:themeFill="accent6" w:themeFillTint="33"/>
            <w:vAlign w:val="center"/>
            <w:hideMark/>
          </w:tcPr>
          <w:p w14:paraId="0ADCA09E" w14:textId="77777777" w:rsidR="001B3893" w:rsidRPr="00A45584" w:rsidRDefault="001B3893" w:rsidP="002E174C">
            <w:pPr>
              <w:widowControl/>
              <w:overflowPunct/>
              <w:autoSpaceDE/>
              <w:autoSpaceDN/>
              <w:snapToGrid w:val="0"/>
              <w:spacing w:line="280" w:lineRule="atLeast"/>
              <w:jc w:val="left"/>
              <w:rPr>
                <w:rFonts w:hAnsi="標楷體" w:cs="新細明體"/>
                <w:kern w:val="0"/>
                <w:sz w:val="20"/>
              </w:rPr>
            </w:pPr>
          </w:p>
        </w:tc>
        <w:tc>
          <w:tcPr>
            <w:tcW w:w="1157" w:type="dxa"/>
            <w:vMerge/>
            <w:shd w:val="clear" w:color="auto" w:fill="FDE9D9" w:themeFill="accent6" w:themeFillTint="33"/>
            <w:vAlign w:val="center"/>
            <w:hideMark/>
          </w:tcPr>
          <w:p w14:paraId="4D0A8A04" w14:textId="77777777" w:rsidR="001B3893" w:rsidRPr="00A45584" w:rsidRDefault="001B3893" w:rsidP="002E174C">
            <w:pPr>
              <w:widowControl/>
              <w:overflowPunct/>
              <w:autoSpaceDE/>
              <w:autoSpaceDN/>
              <w:snapToGrid w:val="0"/>
              <w:spacing w:line="280" w:lineRule="atLeast"/>
              <w:jc w:val="left"/>
              <w:rPr>
                <w:rFonts w:hAnsi="標楷體" w:cs="新細明體"/>
                <w:kern w:val="0"/>
                <w:sz w:val="20"/>
              </w:rPr>
            </w:pPr>
          </w:p>
        </w:tc>
        <w:tc>
          <w:tcPr>
            <w:tcW w:w="1157" w:type="dxa"/>
            <w:vMerge/>
            <w:shd w:val="clear" w:color="auto" w:fill="FDE9D9" w:themeFill="accent6" w:themeFillTint="33"/>
            <w:vAlign w:val="center"/>
            <w:hideMark/>
          </w:tcPr>
          <w:p w14:paraId="285D9EC6" w14:textId="77777777" w:rsidR="001B3893" w:rsidRPr="00A45584" w:rsidRDefault="001B3893" w:rsidP="002E174C">
            <w:pPr>
              <w:widowControl/>
              <w:overflowPunct/>
              <w:autoSpaceDE/>
              <w:autoSpaceDN/>
              <w:snapToGrid w:val="0"/>
              <w:spacing w:line="280" w:lineRule="atLeast"/>
              <w:jc w:val="left"/>
              <w:rPr>
                <w:rFonts w:hAnsi="標楷體" w:cs="新細明體"/>
                <w:kern w:val="0"/>
                <w:sz w:val="20"/>
              </w:rPr>
            </w:pPr>
          </w:p>
        </w:tc>
        <w:tc>
          <w:tcPr>
            <w:tcW w:w="1157" w:type="dxa"/>
            <w:vMerge/>
            <w:shd w:val="clear" w:color="auto" w:fill="FDE9D9" w:themeFill="accent6" w:themeFillTint="33"/>
            <w:vAlign w:val="center"/>
            <w:hideMark/>
          </w:tcPr>
          <w:p w14:paraId="2AA0CF86" w14:textId="77777777" w:rsidR="001B3893" w:rsidRPr="00A45584" w:rsidRDefault="001B3893" w:rsidP="002E174C">
            <w:pPr>
              <w:widowControl/>
              <w:overflowPunct/>
              <w:autoSpaceDE/>
              <w:autoSpaceDN/>
              <w:snapToGrid w:val="0"/>
              <w:spacing w:line="280" w:lineRule="atLeast"/>
              <w:jc w:val="left"/>
              <w:rPr>
                <w:rFonts w:hAnsi="標楷體" w:cs="新細明體"/>
                <w:kern w:val="0"/>
                <w:sz w:val="20"/>
              </w:rPr>
            </w:pPr>
          </w:p>
        </w:tc>
        <w:tc>
          <w:tcPr>
            <w:tcW w:w="1377" w:type="dxa"/>
            <w:shd w:val="clear" w:color="auto" w:fill="FDE9D9" w:themeFill="accent6" w:themeFillTint="33"/>
            <w:vAlign w:val="center"/>
            <w:hideMark/>
          </w:tcPr>
          <w:p w14:paraId="764606FE" w14:textId="77777777" w:rsidR="001B3893" w:rsidRPr="00A45584" w:rsidRDefault="001B3893" w:rsidP="002E174C">
            <w:pPr>
              <w:widowControl/>
              <w:overflowPunct/>
              <w:autoSpaceDE/>
              <w:autoSpaceDN/>
              <w:snapToGrid w:val="0"/>
              <w:spacing w:line="280" w:lineRule="atLeast"/>
              <w:jc w:val="center"/>
              <w:rPr>
                <w:rFonts w:hAnsi="標楷體" w:cs="新細明體"/>
                <w:color w:val="000000"/>
                <w:kern w:val="0"/>
                <w:sz w:val="20"/>
              </w:rPr>
            </w:pPr>
            <w:r w:rsidRPr="00A45584">
              <w:rPr>
                <w:rFonts w:hAnsi="標楷體" w:cs="新細明體" w:hint="eastAsia"/>
                <w:color w:val="000000"/>
                <w:kern w:val="0"/>
                <w:sz w:val="20"/>
              </w:rPr>
              <w:t>面積</w:t>
            </w:r>
          </w:p>
        </w:tc>
        <w:tc>
          <w:tcPr>
            <w:tcW w:w="846" w:type="dxa"/>
            <w:shd w:val="clear" w:color="auto" w:fill="FDE9D9" w:themeFill="accent6" w:themeFillTint="33"/>
            <w:vAlign w:val="center"/>
            <w:hideMark/>
          </w:tcPr>
          <w:p w14:paraId="77872AC4" w14:textId="77777777" w:rsidR="001B3893" w:rsidRPr="00A45584" w:rsidRDefault="001B3893" w:rsidP="002E174C">
            <w:pPr>
              <w:widowControl/>
              <w:overflowPunct/>
              <w:autoSpaceDE/>
              <w:autoSpaceDN/>
              <w:snapToGrid w:val="0"/>
              <w:spacing w:line="280" w:lineRule="atLeast"/>
              <w:jc w:val="center"/>
              <w:rPr>
                <w:rFonts w:hAnsi="標楷體" w:cs="新細明體"/>
                <w:color w:val="000000"/>
                <w:kern w:val="0"/>
                <w:sz w:val="20"/>
              </w:rPr>
            </w:pPr>
            <w:r>
              <w:rPr>
                <w:rFonts w:hAnsi="標楷體" w:cs="新細明體" w:hint="eastAsia"/>
                <w:color w:val="000000"/>
                <w:kern w:val="0"/>
                <w:sz w:val="20"/>
              </w:rPr>
              <w:t>%</w:t>
            </w:r>
          </w:p>
        </w:tc>
      </w:tr>
      <w:tr w:rsidR="001B3893" w:rsidRPr="00A45584" w14:paraId="410301D7" w14:textId="77777777" w:rsidTr="00232EC8">
        <w:trPr>
          <w:trHeight w:val="397"/>
          <w:jc w:val="center"/>
        </w:trPr>
        <w:tc>
          <w:tcPr>
            <w:tcW w:w="1389" w:type="dxa"/>
            <w:shd w:val="clear" w:color="auto" w:fill="auto"/>
            <w:vAlign w:val="center"/>
            <w:hideMark/>
          </w:tcPr>
          <w:p w14:paraId="3CD3E37E" w14:textId="77777777" w:rsidR="001B3893" w:rsidRPr="00A45584" w:rsidRDefault="001B3893" w:rsidP="002E174C">
            <w:pPr>
              <w:widowControl/>
              <w:overflowPunct/>
              <w:autoSpaceDE/>
              <w:autoSpaceDN/>
              <w:snapToGrid w:val="0"/>
              <w:spacing w:line="280" w:lineRule="atLeast"/>
              <w:jc w:val="center"/>
              <w:rPr>
                <w:rFonts w:hAnsi="標楷體" w:cs="新細明體"/>
                <w:kern w:val="0"/>
                <w:sz w:val="20"/>
              </w:rPr>
            </w:pPr>
            <w:r w:rsidRPr="00A45584">
              <w:rPr>
                <w:rFonts w:hAnsi="標楷體" w:cs="新細明體" w:hint="eastAsia"/>
                <w:kern w:val="0"/>
                <w:sz w:val="20"/>
              </w:rPr>
              <w:t>農業部</w:t>
            </w:r>
          </w:p>
        </w:tc>
        <w:tc>
          <w:tcPr>
            <w:tcW w:w="1157" w:type="dxa"/>
            <w:shd w:val="clear" w:color="auto" w:fill="auto"/>
            <w:vAlign w:val="center"/>
            <w:hideMark/>
          </w:tcPr>
          <w:p w14:paraId="27CB3E87"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35,318,803</w:t>
            </w:r>
          </w:p>
        </w:tc>
        <w:tc>
          <w:tcPr>
            <w:tcW w:w="1257" w:type="dxa"/>
            <w:shd w:val="clear" w:color="auto" w:fill="auto"/>
            <w:vAlign w:val="center"/>
            <w:hideMark/>
          </w:tcPr>
          <w:p w14:paraId="3B2A8E25"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26,470,941</w:t>
            </w:r>
          </w:p>
        </w:tc>
        <w:tc>
          <w:tcPr>
            <w:tcW w:w="1157" w:type="dxa"/>
            <w:shd w:val="clear" w:color="auto" w:fill="auto"/>
            <w:vAlign w:val="center"/>
            <w:hideMark/>
          </w:tcPr>
          <w:p w14:paraId="6A9BF7C2"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22,765,201</w:t>
            </w:r>
          </w:p>
        </w:tc>
        <w:tc>
          <w:tcPr>
            <w:tcW w:w="1157" w:type="dxa"/>
            <w:shd w:val="clear" w:color="auto" w:fill="auto"/>
            <w:vAlign w:val="center"/>
            <w:hideMark/>
          </w:tcPr>
          <w:p w14:paraId="7C7CB0E7"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19,730,213</w:t>
            </w:r>
          </w:p>
        </w:tc>
        <w:tc>
          <w:tcPr>
            <w:tcW w:w="1157" w:type="dxa"/>
            <w:shd w:val="clear" w:color="auto" w:fill="auto"/>
            <w:vAlign w:val="center"/>
            <w:hideMark/>
          </w:tcPr>
          <w:p w14:paraId="569B8F8B"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18,161,805</w:t>
            </w:r>
          </w:p>
        </w:tc>
        <w:tc>
          <w:tcPr>
            <w:tcW w:w="1377" w:type="dxa"/>
            <w:shd w:val="clear" w:color="auto" w:fill="auto"/>
            <w:vAlign w:val="center"/>
            <w:hideMark/>
          </w:tcPr>
          <w:p w14:paraId="28DEAAA1" w14:textId="77777777" w:rsidR="001B3893" w:rsidRPr="00553343" w:rsidRDefault="001B3893" w:rsidP="002E174C">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-17,156,998</w:t>
            </w:r>
          </w:p>
        </w:tc>
        <w:tc>
          <w:tcPr>
            <w:tcW w:w="846" w:type="dxa"/>
            <w:shd w:val="clear" w:color="auto" w:fill="auto"/>
            <w:vAlign w:val="center"/>
            <w:hideMark/>
          </w:tcPr>
          <w:p w14:paraId="0144A1E2" w14:textId="77777777" w:rsidR="001B3893" w:rsidRPr="00553343" w:rsidRDefault="001B3893" w:rsidP="002E174C">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-48.58</w:t>
            </w:r>
          </w:p>
        </w:tc>
      </w:tr>
      <w:tr w:rsidR="001B3893" w:rsidRPr="00A45584" w14:paraId="5055338F" w14:textId="77777777" w:rsidTr="00232EC8">
        <w:trPr>
          <w:trHeight w:val="397"/>
          <w:jc w:val="center"/>
        </w:trPr>
        <w:tc>
          <w:tcPr>
            <w:tcW w:w="1389" w:type="dxa"/>
            <w:shd w:val="clear" w:color="auto" w:fill="auto"/>
            <w:vAlign w:val="center"/>
            <w:hideMark/>
          </w:tcPr>
          <w:p w14:paraId="2B6A6B6D" w14:textId="77777777" w:rsidR="001B3893" w:rsidRPr="00CA2A83" w:rsidRDefault="001B3893" w:rsidP="002E174C">
            <w:pPr>
              <w:widowControl/>
              <w:overflowPunct/>
              <w:autoSpaceDE/>
              <w:autoSpaceDN/>
              <w:snapToGrid w:val="0"/>
              <w:spacing w:line="280" w:lineRule="atLeast"/>
              <w:jc w:val="center"/>
              <w:rPr>
                <w:rFonts w:hAnsi="標楷體" w:cs="新細明體"/>
                <w:b/>
                <w:kern w:val="0"/>
                <w:sz w:val="20"/>
              </w:rPr>
            </w:pPr>
            <w:r w:rsidRPr="00CA2A83">
              <w:rPr>
                <w:rFonts w:hAnsi="標楷體" w:cs="新細明體" w:hint="eastAsia"/>
                <w:b/>
                <w:kern w:val="0"/>
                <w:sz w:val="20"/>
              </w:rPr>
              <w:t>原民會</w:t>
            </w:r>
          </w:p>
        </w:tc>
        <w:tc>
          <w:tcPr>
            <w:tcW w:w="1157" w:type="dxa"/>
            <w:shd w:val="clear" w:color="auto" w:fill="auto"/>
            <w:vAlign w:val="center"/>
            <w:hideMark/>
          </w:tcPr>
          <w:p w14:paraId="2CA7FD21" w14:textId="77777777" w:rsidR="001B3893" w:rsidRPr="00CA2A83" w:rsidRDefault="001B3893" w:rsidP="002E174C">
            <w:pPr>
              <w:widowControl/>
              <w:overflowPunct/>
              <w:autoSpaceDE/>
              <w:autoSpaceDN/>
              <w:snapToGrid w:val="0"/>
              <w:spacing w:line="280" w:lineRule="atLeast"/>
              <w:jc w:val="right"/>
              <w:rPr>
                <w:rFonts w:hAnsi="標楷體" w:cs="新細明體"/>
                <w:b/>
                <w:color w:val="000000"/>
                <w:spacing w:val="-14"/>
                <w:kern w:val="0"/>
                <w:sz w:val="20"/>
              </w:rPr>
            </w:pPr>
            <w:r w:rsidRPr="00CA2A83">
              <w:rPr>
                <w:rFonts w:hAnsi="標楷體" w:cs="新細明體"/>
                <w:b/>
                <w:color w:val="000000"/>
                <w:spacing w:val="-14"/>
                <w:kern w:val="0"/>
                <w:sz w:val="20"/>
              </w:rPr>
              <w:t>4,089,926</w:t>
            </w:r>
          </w:p>
        </w:tc>
        <w:tc>
          <w:tcPr>
            <w:tcW w:w="1257" w:type="dxa"/>
            <w:shd w:val="clear" w:color="auto" w:fill="auto"/>
            <w:vAlign w:val="center"/>
            <w:hideMark/>
          </w:tcPr>
          <w:p w14:paraId="43A6AE3C" w14:textId="77777777" w:rsidR="001B3893" w:rsidRPr="00CA2A83" w:rsidRDefault="001B3893" w:rsidP="002E174C">
            <w:pPr>
              <w:widowControl/>
              <w:overflowPunct/>
              <w:autoSpaceDE/>
              <w:autoSpaceDN/>
              <w:snapToGrid w:val="0"/>
              <w:spacing w:line="280" w:lineRule="atLeast"/>
              <w:jc w:val="right"/>
              <w:rPr>
                <w:rFonts w:hAnsi="標楷體" w:cs="新細明體"/>
                <w:b/>
                <w:color w:val="000000"/>
                <w:spacing w:val="-14"/>
                <w:kern w:val="0"/>
                <w:sz w:val="20"/>
              </w:rPr>
            </w:pPr>
            <w:r w:rsidRPr="00CA2A83">
              <w:rPr>
                <w:rFonts w:hAnsi="標楷體" w:cs="新細明體"/>
                <w:b/>
                <w:color w:val="000000"/>
                <w:spacing w:val="-14"/>
                <w:kern w:val="0"/>
                <w:sz w:val="20"/>
              </w:rPr>
              <w:t>5,059,143</w:t>
            </w:r>
          </w:p>
        </w:tc>
        <w:tc>
          <w:tcPr>
            <w:tcW w:w="1157" w:type="dxa"/>
            <w:shd w:val="clear" w:color="auto" w:fill="auto"/>
            <w:vAlign w:val="center"/>
            <w:hideMark/>
          </w:tcPr>
          <w:p w14:paraId="6C770611" w14:textId="77777777" w:rsidR="001B3893" w:rsidRPr="00CA2A83" w:rsidRDefault="001B3893" w:rsidP="002E174C">
            <w:pPr>
              <w:widowControl/>
              <w:overflowPunct/>
              <w:autoSpaceDE/>
              <w:autoSpaceDN/>
              <w:snapToGrid w:val="0"/>
              <w:spacing w:line="280" w:lineRule="atLeast"/>
              <w:jc w:val="right"/>
              <w:rPr>
                <w:rFonts w:hAnsi="標楷體" w:cs="新細明體"/>
                <w:b/>
                <w:color w:val="000000"/>
                <w:spacing w:val="-14"/>
                <w:kern w:val="0"/>
                <w:sz w:val="20"/>
              </w:rPr>
            </w:pPr>
            <w:r w:rsidRPr="00CA2A83">
              <w:rPr>
                <w:rFonts w:hAnsi="標楷體" w:cs="新細明體"/>
                <w:b/>
                <w:color w:val="000000"/>
                <w:spacing w:val="-14"/>
                <w:kern w:val="0"/>
                <w:sz w:val="20"/>
              </w:rPr>
              <w:t>5,315,335</w:t>
            </w:r>
          </w:p>
        </w:tc>
        <w:tc>
          <w:tcPr>
            <w:tcW w:w="1157" w:type="dxa"/>
            <w:shd w:val="clear" w:color="auto" w:fill="auto"/>
            <w:vAlign w:val="center"/>
            <w:hideMark/>
          </w:tcPr>
          <w:p w14:paraId="2D30A4F3" w14:textId="77777777" w:rsidR="001B3893" w:rsidRPr="00CA2A83" w:rsidRDefault="001B3893" w:rsidP="002E174C">
            <w:pPr>
              <w:widowControl/>
              <w:overflowPunct/>
              <w:autoSpaceDE/>
              <w:autoSpaceDN/>
              <w:snapToGrid w:val="0"/>
              <w:spacing w:line="280" w:lineRule="atLeast"/>
              <w:jc w:val="right"/>
              <w:rPr>
                <w:rFonts w:hAnsi="標楷體" w:cs="新細明體"/>
                <w:b/>
                <w:color w:val="000000"/>
                <w:spacing w:val="-14"/>
                <w:kern w:val="0"/>
                <w:sz w:val="20"/>
              </w:rPr>
            </w:pPr>
            <w:r w:rsidRPr="00CA2A83">
              <w:rPr>
                <w:rFonts w:hAnsi="標楷體" w:cs="新細明體"/>
                <w:b/>
                <w:color w:val="000000"/>
                <w:spacing w:val="-14"/>
                <w:kern w:val="0"/>
                <w:sz w:val="20"/>
              </w:rPr>
              <w:t>5,787,865</w:t>
            </w:r>
          </w:p>
        </w:tc>
        <w:tc>
          <w:tcPr>
            <w:tcW w:w="1157" w:type="dxa"/>
            <w:shd w:val="clear" w:color="auto" w:fill="auto"/>
            <w:vAlign w:val="center"/>
            <w:hideMark/>
          </w:tcPr>
          <w:p w14:paraId="3E34D1F9" w14:textId="77777777" w:rsidR="001B3893" w:rsidRPr="00CA2A83" w:rsidRDefault="001B3893" w:rsidP="002E174C">
            <w:pPr>
              <w:widowControl/>
              <w:overflowPunct/>
              <w:autoSpaceDE/>
              <w:autoSpaceDN/>
              <w:snapToGrid w:val="0"/>
              <w:spacing w:line="280" w:lineRule="atLeast"/>
              <w:jc w:val="right"/>
              <w:rPr>
                <w:rFonts w:hAnsi="標楷體" w:cs="新細明體"/>
                <w:b/>
                <w:color w:val="000000"/>
                <w:spacing w:val="-14"/>
                <w:kern w:val="0"/>
                <w:sz w:val="20"/>
              </w:rPr>
            </w:pPr>
            <w:r w:rsidRPr="00CA2A83">
              <w:rPr>
                <w:rFonts w:hAnsi="標楷體" w:cs="新細明體"/>
                <w:b/>
                <w:color w:val="000000"/>
                <w:spacing w:val="-14"/>
                <w:kern w:val="0"/>
                <w:sz w:val="20"/>
              </w:rPr>
              <w:t>7,746,208</w:t>
            </w:r>
          </w:p>
        </w:tc>
        <w:tc>
          <w:tcPr>
            <w:tcW w:w="1377" w:type="dxa"/>
            <w:shd w:val="clear" w:color="auto" w:fill="auto"/>
            <w:vAlign w:val="center"/>
            <w:hideMark/>
          </w:tcPr>
          <w:p w14:paraId="0B68132E" w14:textId="77777777" w:rsidR="001B3893" w:rsidRPr="00CA2A83" w:rsidRDefault="001B3893" w:rsidP="002E174C">
            <w:pPr>
              <w:widowControl/>
              <w:overflowPunct/>
              <w:autoSpaceDE/>
              <w:autoSpaceDN/>
              <w:snapToGrid w:val="0"/>
              <w:spacing w:line="280" w:lineRule="atLeast"/>
              <w:jc w:val="right"/>
              <w:rPr>
                <w:rFonts w:hAnsi="標楷體" w:cs="新細明體"/>
                <w:b/>
                <w:spacing w:val="-14"/>
                <w:kern w:val="0"/>
                <w:sz w:val="20"/>
              </w:rPr>
            </w:pPr>
            <w:r w:rsidRPr="00CA2A83">
              <w:rPr>
                <w:rFonts w:hAnsi="標楷體" w:cs="新細明體"/>
                <w:b/>
                <w:spacing w:val="-14"/>
                <w:kern w:val="0"/>
                <w:sz w:val="20"/>
              </w:rPr>
              <w:t>3,656,282</w:t>
            </w:r>
          </w:p>
        </w:tc>
        <w:tc>
          <w:tcPr>
            <w:tcW w:w="846" w:type="dxa"/>
            <w:shd w:val="clear" w:color="auto" w:fill="auto"/>
            <w:vAlign w:val="center"/>
            <w:hideMark/>
          </w:tcPr>
          <w:p w14:paraId="32B47765" w14:textId="77777777" w:rsidR="001B3893" w:rsidRPr="00CA2A83" w:rsidRDefault="001B3893" w:rsidP="002E174C">
            <w:pPr>
              <w:widowControl/>
              <w:overflowPunct/>
              <w:autoSpaceDE/>
              <w:autoSpaceDN/>
              <w:snapToGrid w:val="0"/>
              <w:spacing w:line="280" w:lineRule="atLeast"/>
              <w:jc w:val="right"/>
              <w:rPr>
                <w:rFonts w:hAnsi="標楷體" w:cs="新細明體"/>
                <w:b/>
                <w:spacing w:val="-14"/>
                <w:kern w:val="0"/>
                <w:sz w:val="20"/>
              </w:rPr>
            </w:pPr>
            <w:r w:rsidRPr="00CA2A83">
              <w:rPr>
                <w:rFonts w:hAnsi="標楷體" w:cs="新細明體"/>
                <w:b/>
                <w:spacing w:val="-14"/>
                <w:kern w:val="0"/>
                <w:sz w:val="20"/>
              </w:rPr>
              <w:t>89.40</w:t>
            </w:r>
          </w:p>
        </w:tc>
      </w:tr>
      <w:tr w:rsidR="001B3893" w:rsidRPr="00A45584" w14:paraId="724E6B7E" w14:textId="77777777" w:rsidTr="00232EC8">
        <w:trPr>
          <w:trHeight w:val="397"/>
          <w:jc w:val="center"/>
        </w:trPr>
        <w:tc>
          <w:tcPr>
            <w:tcW w:w="1389" w:type="dxa"/>
            <w:shd w:val="clear" w:color="auto" w:fill="auto"/>
            <w:vAlign w:val="center"/>
            <w:hideMark/>
          </w:tcPr>
          <w:p w14:paraId="6FA7D4EE" w14:textId="77777777" w:rsidR="001B3893" w:rsidRPr="00A45584" w:rsidRDefault="001B3893" w:rsidP="002E174C">
            <w:pPr>
              <w:widowControl/>
              <w:overflowPunct/>
              <w:autoSpaceDE/>
              <w:autoSpaceDN/>
              <w:snapToGrid w:val="0"/>
              <w:spacing w:line="280" w:lineRule="atLeast"/>
              <w:jc w:val="center"/>
              <w:rPr>
                <w:rFonts w:hAnsi="標楷體" w:cs="新細明體"/>
                <w:kern w:val="0"/>
                <w:sz w:val="20"/>
              </w:rPr>
            </w:pPr>
            <w:r w:rsidRPr="00A45584">
              <w:rPr>
                <w:rFonts w:hAnsi="標楷體" w:cs="新細明體" w:hint="eastAsia"/>
                <w:kern w:val="0"/>
                <w:sz w:val="20"/>
              </w:rPr>
              <w:t>教育部</w:t>
            </w:r>
          </w:p>
        </w:tc>
        <w:tc>
          <w:tcPr>
            <w:tcW w:w="1157" w:type="dxa"/>
            <w:shd w:val="clear" w:color="auto" w:fill="auto"/>
            <w:vAlign w:val="center"/>
            <w:hideMark/>
          </w:tcPr>
          <w:p w14:paraId="14A0A274"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2,576,439</w:t>
            </w:r>
          </w:p>
        </w:tc>
        <w:tc>
          <w:tcPr>
            <w:tcW w:w="1257" w:type="dxa"/>
            <w:shd w:val="clear" w:color="auto" w:fill="auto"/>
            <w:vAlign w:val="center"/>
            <w:hideMark/>
          </w:tcPr>
          <w:p w14:paraId="7184F682"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2,270,000</w:t>
            </w:r>
          </w:p>
        </w:tc>
        <w:tc>
          <w:tcPr>
            <w:tcW w:w="1157" w:type="dxa"/>
            <w:shd w:val="clear" w:color="auto" w:fill="auto"/>
            <w:vAlign w:val="center"/>
            <w:hideMark/>
          </w:tcPr>
          <w:p w14:paraId="14F1C62D"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2,168,132</w:t>
            </w:r>
          </w:p>
        </w:tc>
        <w:tc>
          <w:tcPr>
            <w:tcW w:w="1157" w:type="dxa"/>
            <w:shd w:val="clear" w:color="auto" w:fill="auto"/>
            <w:vAlign w:val="center"/>
            <w:hideMark/>
          </w:tcPr>
          <w:p w14:paraId="1A4C6406"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2,016,729</w:t>
            </w:r>
          </w:p>
        </w:tc>
        <w:tc>
          <w:tcPr>
            <w:tcW w:w="1157" w:type="dxa"/>
            <w:shd w:val="clear" w:color="auto" w:fill="auto"/>
            <w:vAlign w:val="center"/>
            <w:hideMark/>
          </w:tcPr>
          <w:p w14:paraId="7FA5EC14"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1,389,995</w:t>
            </w:r>
          </w:p>
        </w:tc>
        <w:tc>
          <w:tcPr>
            <w:tcW w:w="1377" w:type="dxa"/>
            <w:shd w:val="clear" w:color="auto" w:fill="auto"/>
            <w:vAlign w:val="center"/>
            <w:hideMark/>
          </w:tcPr>
          <w:p w14:paraId="1B5EBA6C" w14:textId="77777777" w:rsidR="001B3893" w:rsidRPr="00553343" w:rsidRDefault="001B3893" w:rsidP="002E174C">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-1,186,444</w:t>
            </w:r>
          </w:p>
        </w:tc>
        <w:tc>
          <w:tcPr>
            <w:tcW w:w="846" w:type="dxa"/>
            <w:shd w:val="clear" w:color="auto" w:fill="auto"/>
            <w:vAlign w:val="center"/>
            <w:hideMark/>
          </w:tcPr>
          <w:p w14:paraId="1C227E27" w14:textId="77777777" w:rsidR="001B3893" w:rsidRPr="00553343" w:rsidRDefault="001B3893" w:rsidP="002E174C">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-46.05</w:t>
            </w:r>
          </w:p>
        </w:tc>
      </w:tr>
      <w:tr w:rsidR="001B3893" w:rsidRPr="00A45584" w14:paraId="17F3672F" w14:textId="77777777" w:rsidTr="00232EC8">
        <w:trPr>
          <w:trHeight w:val="397"/>
          <w:jc w:val="center"/>
        </w:trPr>
        <w:tc>
          <w:tcPr>
            <w:tcW w:w="1389" w:type="dxa"/>
            <w:shd w:val="clear" w:color="auto" w:fill="auto"/>
            <w:vAlign w:val="center"/>
            <w:hideMark/>
          </w:tcPr>
          <w:p w14:paraId="457EABFF" w14:textId="77777777" w:rsidR="001B3893" w:rsidRPr="00A45584" w:rsidRDefault="001B3893" w:rsidP="002E174C">
            <w:pPr>
              <w:widowControl/>
              <w:overflowPunct/>
              <w:autoSpaceDE/>
              <w:autoSpaceDN/>
              <w:snapToGrid w:val="0"/>
              <w:spacing w:line="280" w:lineRule="atLeast"/>
              <w:jc w:val="center"/>
              <w:rPr>
                <w:rFonts w:hAnsi="標楷體" w:cs="新細明體"/>
                <w:kern w:val="0"/>
                <w:sz w:val="20"/>
              </w:rPr>
            </w:pPr>
            <w:r w:rsidRPr="00A45584">
              <w:rPr>
                <w:rFonts w:hAnsi="標楷體" w:cs="新細明體" w:hint="eastAsia"/>
                <w:kern w:val="0"/>
                <w:sz w:val="20"/>
              </w:rPr>
              <w:t>國防部</w:t>
            </w:r>
          </w:p>
        </w:tc>
        <w:tc>
          <w:tcPr>
            <w:tcW w:w="1157" w:type="dxa"/>
            <w:shd w:val="clear" w:color="auto" w:fill="auto"/>
            <w:vAlign w:val="center"/>
            <w:hideMark/>
          </w:tcPr>
          <w:p w14:paraId="27992CC8"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1,627,176</w:t>
            </w:r>
          </w:p>
        </w:tc>
        <w:tc>
          <w:tcPr>
            <w:tcW w:w="1257" w:type="dxa"/>
            <w:shd w:val="clear" w:color="auto" w:fill="auto"/>
            <w:vAlign w:val="center"/>
            <w:hideMark/>
          </w:tcPr>
          <w:p w14:paraId="3A57B1A6"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1,456,369</w:t>
            </w:r>
          </w:p>
        </w:tc>
        <w:tc>
          <w:tcPr>
            <w:tcW w:w="1157" w:type="dxa"/>
            <w:shd w:val="clear" w:color="auto" w:fill="auto"/>
            <w:vAlign w:val="center"/>
            <w:hideMark/>
          </w:tcPr>
          <w:p w14:paraId="51470199"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1,337,377</w:t>
            </w:r>
          </w:p>
        </w:tc>
        <w:tc>
          <w:tcPr>
            <w:tcW w:w="1157" w:type="dxa"/>
            <w:shd w:val="clear" w:color="auto" w:fill="auto"/>
            <w:vAlign w:val="center"/>
            <w:hideMark/>
          </w:tcPr>
          <w:p w14:paraId="2C1531AF"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1,266,522</w:t>
            </w:r>
          </w:p>
        </w:tc>
        <w:tc>
          <w:tcPr>
            <w:tcW w:w="1157" w:type="dxa"/>
            <w:shd w:val="clear" w:color="auto" w:fill="auto"/>
            <w:vAlign w:val="center"/>
            <w:hideMark/>
          </w:tcPr>
          <w:p w14:paraId="441FDE04"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1,099,288</w:t>
            </w:r>
          </w:p>
        </w:tc>
        <w:tc>
          <w:tcPr>
            <w:tcW w:w="1377" w:type="dxa"/>
            <w:shd w:val="clear" w:color="auto" w:fill="auto"/>
            <w:vAlign w:val="center"/>
            <w:hideMark/>
          </w:tcPr>
          <w:p w14:paraId="15951852" w14:textId="77777777" w:rsidR="001B3893" w:rsidRPr="00553343" w:rsidRDefault="001B3893" w:rsidP="002E174C">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-527,888</w:t>
            </w:r>
          </w:p>
        </w:tc>
        <w:tc>
          <w:tcPr>
            <w:tcW w:w="846" w:type="dxa"/>
            <w:shd w:val="clear" w:color="auto" w:fill="auto"/>
            <w:vAlign w:val="center"/>
            <w:hideMark/>
          </w:tcPr>
          <w:p w14:paraId="13D2C59A" w14:textId="77777777" w:rsidR="001B3893" w:rsidRPr="00553343" w:rsidRDefault="001B3893" w:rsidP="002E174C">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-32.44</w:t>
            </w:r>
          </w:p>
        </w:tc>
      </w:tr>
      <w:tr w:rsidR="001B3893" w:rsidRPr="00A45584" w14:paraId="14655B40" w14:textId="77777777" w:rsidTr="00232EC8">
        <w:trPr>
          <w:trHeight w:val="397"/>
          <w:jc w:val="center"/>
        </w:trPr>
        <w:tc>
          <w:tcPr>
            <w:tcW w:w="1389" w:type="dxa"/>
            <w:shd w:val="clear" w:color="auto" w:fill="auto"/>
            <w:vAlign w:val="center"/>
            <w:hideMark/>
          </w:tcPr>
          <w:p w14:paraId="6FCA3F6D" w14:textId="77777777" w:rsidR="001B3893" w:rsidRPr="00A45584" w:rsidRDefault="001B3893" w:rsidP="002E174C">
            <w:pPr>
              <w:widowControl/>
              <w:overflowPunct/>
              <w:autoSpaceDE/>
              <w:autoSpaceDN/>
              <w:snapToGrid w:val="0"/>
              <w:spacing w:line="280" w:lineRule="atLeast"/>
              <w:jc w:val="center"/>
              <w:rPr>
                <w:rFonts w:hAnsi="標楷體" w:cs="新細明體"/>
                <w:kern w:val="0"/>
                <w:sz w:val="20"/>
              </w:rPr>
            </w:pPr>
            <w:r w:rsidRPr="00A45584">
              <w:rPr>
                <w:rFonts w:hAnsi="標楷體" w:cs="新細明體" w:hint="eastAsia"/>
                <w:kern w:val="0"/>
                <w:sz w:val="20"/>
              </w:rPr>
              <w:t>交通部</w:t>
            </w:r>
          </w:p>
        </w:tc>
        <w:tc>
          <w:tcPr>
            <w:tcW w:w="1157" w:type="dxa"/>
            <w:shd w:val="clear" w:color="auto" w:fill="auto"/>
            <w:vAlign w:val="center"/>
            <w:hideMark/>
          </w:tcPr>
          <w:p w14:paraId="3CF03222"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510,547</w:t>
            </w:r>
          </w:p>
        </w:tc>
        <w:tc>
          <w:tcPr>
            <w:tcW w:w="1257" w:type="dxa"/>
            <w:shd w:val="clear" w:color="auto" w:fill="auto"/>
            <w:vAlign w:val="center"/>
            <w:hideMark/>
          </w:tcPr>
          <w:p w14:paraId="65C00DCD"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483,842</w:t>
            </w:r>
          </w:p>
        </w:tc>
        <w:tc>
          <w:tcPr>
            <w:tcW w:w="1157" w:type="dxa"/>
            <w:shd w:val="clear" w:color="auto" w:fill="auto"/>
            <w:vAlign w:val="center"/>
            <w:hideMark/>
          </w:tcPr>
          <w:p w14:paraId="13DE6E4E"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440,341</w:t>
            </w:r>
          </w:p>
        </w:tc>
        <w:tc>
          <w:tcPr>
            <w:tcW w:w="1157" w:type="dxa"/>
            <w:shd w:val="clear" w:color="auto" w:fill="auto"/>
            <w:vAlign w:val="center"/>
            <w:hideMark/>
          </w:tcPr>
          <w:p w14:paraId="573A7157"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396,786</w:t>
            </w:r>
          </w:p>
        </w:tc>
        <w:tc>
          <w:tcPr>
            <w:tcW w:w="1157" w:type="dxa"/>
            <w:shd w:val="clear" w:color="auto" w:fill="auto"/>
            <w:vAlign w:val="center"/>
            <w:hideMark/>
          </w:tcPr>
          <w:p w14:paraId="781AE99F" w14:textId="77777777" w:rsidR="001B3893" w:rsidRPr="001410CD" w:rsidRDefault="001B3893" w:rsidP="002E174C">
            <w:pPr>
              <w:widowControl/>
              <w:overflowPunct/>
              <w:autoSpaceDE/>
              <w:autoSpaceDN/>
              <w:snapToGrid w:val="0"/>
              <w:spacing w:line="280" w:lineRule="atLeast"/>
              <w:jc w:val="right"/>
              <w:rPr>
                <w:rFonts w:hAnsi="標楷體" w:cs="新細明體"/>
                <w:color w:val="000000"/>
                <w:spacing w:val="-14"/>
                <w:kern w:val="0"/>
                <w:sz w:val="20"/>
              </w:rPr>
            </w:pPr>
            <w:r w:rsidRPr="001410CD">
              <w:rPr>
                <w:rFonts w:hAnsi="標楷體" w:cs="新細明體"/>
                <w:color w:val="000000"/>
                <w:spacing w:val="-14"/>
                <w:kern w:val="0"/>
                <w:sz w:val="20"/>
              </w:rPr>
              <w:t>384,908</w:t>
            </w:r>
          </w:p>
        </w:tc>
        <w:tc>
          <w:tcPr>
            <w:tcW w:w="1377" w:type="dxa"/>
            <w:shd w:val="clear" w:color="auto" w:fill="auto"/>
            <w:vAlign w:val="center"/>
            <w:hideMark/>
          </w:tcPr>
          <w:p w14:paraId="3B8182DB" w14:textId="77777777" w:rsidR="001B3893" w:rsidRPr="00553343" w:rsidRDefault="001B3893" w:rsidP="002E174C">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-125,6</w:t>
            </w:r>
            <w:r w:rsidRPr="00553343">
              <w:rPr>
                <w:rFonts w:hAnsi="標楷體" w:cs="新細明體" w:hint="eastAsia"/>
                <w:spacing w:val="-14"/>
                <w:kern w:val="0"/>
                <w:sz w:val="20"/>
              </w:rPr>
              <w:t>39</w:t>
            </w:r>
          </w:p>
        </w:tc>
        <w:tc>
          <w:tcPr>
            <w:tcW w:w="846" w:type="dxa"/>
            <w:shd w:val="clear" w:color="auto" w:fill="auto"/>
            <w:vAlign w:val="center"/>
            <w:hideMark/>
          </w:tcPr>
          <w:p w14:paraId="7285DC67" w14:textId="77777777" w:rsidR="001B3893" w:rsidRPr="00553343" w:rsidRDefault="001B3893" w:rsidP="002E174C">
            <w:pPr>
              <w:widowControl/>
              <w:overflowPunct/>
              <w:autoSpaceDE/>
              <w:autoSpaceDN/>
              <w:snapToGrid w:val="0"/>
              <w:spacing w:line="280" w:lineRule="atLeast"/>
              <w:jc w:val="right"/>
              <w:rPr>
                <w:rFonts w:hAnsi="標楷體" w:cs="新細明體"/>
                <w:spacing w:val="-14"/>
                <w:kern w:val="0"/>
                <w:sz w:val="20"/>
              </w:rPr>
            </w:pPr>
            <w:r w:rsidRPr="00553343">
              <w:rPr>
                <w:rFonts w:hAnsi="標楷體" w:cs="新細明體"/>
                <w:spacing w:val="-14"/>
                <w:kern w:val="0"/>
                <w:sz w:val="20"/>
              </w:rPr>
              <w:t>-24.61</w:t>
            </w:r>
          </w:p>
        </w:tc>
      </w:tr>
    </w:tbl>
    <w:p w14:paraId="0F6A553C" w14:textId="77777777" w:rsidR="001B3893" w:rsidRPr="00A45584" w:rsidRDefault="001B3893" w:rsidP="001B3893">
      <w:pPr>
        <w:snapToGrid w:val="0"/>
        <w:ind w:leftChars="-12" w:left="784" w:hangingChars="317" w:hanging="825"/>
        <w:rPr>
          <w:rFonts w:hAnsi="標楷體"/>
          <w:sz w:val="24"/>
          <w:szCs w:val="24"/>
        </w:rPr>
      </w:pPr>
      <w:r w:rsidRPr="00A45584">
        <w:rPr>
          <w:rFonts w:hAnsi="標楷體" w:hint="eastAsia"/>
          <w:sz w:val="24"/>
          <w:szCs w:val="24"/>
        </w:rPr>
        <w:t>註：</w:t>
      </w:r>
      <w:r w:rsidRPr="00A45584">
        <w:rPr>
          <w:rFonts w:hAnsi="標楷體"/>
          <w:sz w:val="24"/>
          <w:szCs w:val="24"/>
        </w:rPr>
        <w:t>本表係按截至112年底被占用土地面積由大至小排序。</w:t>
      </w:r>
    </w:p>
    <w:p w14:paraId="1FC58025" w14:textId="254CA52C" w:rsidR="001B3893" w:rsidRPr="002F4871" w:rsidRDefault="001B3893" w:rsidP="002F4871">
      <w:pPr>
        <w:snapToGrid w:val="0"/>
        <w:spacing w:afterLines="50" w:after="228"/>
        <w:ind w:leftChars="-12" w:left="784" w:hangingChars="317" w:hanging="825"/>
        <w:rPr>
          <w:rFonts w:hAnsi="標楷體"/>
          <w:sz w:val="24"/>
          <w:szCs w:val="24"/>
        </w:rPr>
      </w:pPr>
      <w:r w:rsidRPr="00A45584">
        <w:rPr>
          <w:rFonts w:hAnsi="標楷體"/>
          <w:sz w:val="24"/>
          <w:szCs w:val="24"/>
        </w:rPr>
        <w:t>資料來源：</w:t>
      </w:r>
      <w:r>
        <w:rPr>
          <w:rFonts w:hAnsi="標楷體" w:hint="eastAsia"/>
          <w:sz w:val="24"/>
          <w:szCs w:val="24"/>
        </w:rPr>
        <w:t>審計部</w:t>
      </w:r>
      <w:r w:rsidR="00873C62">
        <w:rPr>
          <w:rFonts w:hAnsi="標楷體" w:hint="eastAsia"/>
          <w:sz w:val="24"/>
          <w:szCs w:val="24"/>
        </w:rPr>
        <w:t>查核報告</w:t>
      </w:r>
      <w:r w:rsidRPr="00A45584">
        <w:rPr>
          <w:rFonts w:hAnsi="標楷體"/>
          <w:sz w:val="24"/>
          <w:szCs w:val="24"/>
        </w:rPr>
        <w:t>。</w:t>
      </w:r>
    </w:p>
    <w:p w14:paraId="28BA2776" w14:textId="77777777" w:rsidR="00E62908" w:rsidRDefault="00E62908">
      <w:pPr>
        <w:widowControl/>
        <w:overflowPunct/>
        <w:autoSpaceDE/>
        <w:autoSpaceDN/>
        <w:jc w:val="left"/>
        <w:rPr>
          <w:b/>
          <w:sz w:val="28"/>
        </w:rPr>
      </w:pPr>
      <w:r>
        <w:rPr>
          <w:b/>
          <w:sz w:val="28"/>
        </w:rPr>
        <w:br w:type="page"/>
      </w:r>
    </w:p>
    <w:p w14:paraId="76D1CB47" w14:textId="25B8419F" w:rsidR="001B3893" w:rsidRPr="00400C68" w:rsidRDefault="00400C68" w:rsidP="00400C68">
      <w:pPr>
        <w:jc w:val="center"/>
        <w:rPr>
          <w:b/>
          <w:sz w:val="28"/>
        </w:rPr>
      </w:pPr>
      <w:r>
        <w:rPr>
          <w:rFonts w:hint="eastAsia"/>
          <w:b/>
          <w:sz w:val="28"/>
        </w:rPr>
        <w:lastRenderedPageBreak/>
        <w:t>表</w:t>
      </w:r>
      <w:r w:rsidR="00E62908">
        <w:rPr>
          <w:rFonts w:hint="eastAsia"/>
          <w:b/>
          <w:sz w:val="28"/>
        </w:rPr>
        <w:t>4</w:t>
      </w:r>
      <w:r>
        <w:rPr>
          <w:rFonts w:hint="eastAsia"/>
          <w:b/>
          <w:sz w:val="28"/>
        </w:rPr>
        <w:t>、</w:t>
      </w:r>
      <w:r w:rsidR="001B3893" w:rsidRPr="00400C68">
        <w:rPr>
          <w:rFonts w:hint="eastAsia"/>
          <w:b/>
          <w:sz w:val="28"/>
        </w:rPr>
        <w:t>國有原住民保留地被占用情形統計－按被占用</w:t>
      </w:r>
      <w:r w:rsidR="001B3893" w:rsidRPr="00400C68">
        <w:rPr>
          <w:b/>
          <w:sz w:val="28"/>
        </w:rPr>
        <w:t>期間</w:t>
      </w:r>
    </w:p>
    <w:p w14:paraId="697059B4" w14:textId="77777777" w:rsidR="001B3893" w:rsidRPr="00AA5D23" w:rsidRDefault="001B3893" w:rsidP="001B3893">
      <w:pPr>
        <w:spacing w:beforeLines="25" w:before="114" w:afterLines="25" w:after="114" w:line="300" w:lineRule="exact"/>
        <w:ind w:leftChars="135" w:left="740" w:hangingChars="108" w:hanging="281"/>
        <w:jc w:val="right"/>
        <w:rPr>
          <w:sz w:val="24"/>
          <w:szCs w:val="24"/>
        </w:rPr>
      </w:pPr>
      <w:r w:rsidRPr="00AA5D23">
        <w:rPr>
          <w:sz w:val="24"/>
          <w:szCs w:val="24"/>
        </w:rPr>
        <w:t xml:space="preserve">     </w:t>
      </w:r>
      <w:r w:rsidRPr="00AA5D23">
        <w:rPr>
          <w:rFonts w:hint="eastAsia"/>
          <w:sz w:val="24"/>
          <w:szCs w:val="24"/>
        </w:rPr>
        <w:t>單位</w:t>
      </w:r>
      <w:r w:rsidRPr="00AA5D23">
        <w:rPr>
          <w:sz w:val="24"/>
          <w:szCs w:val="24"/>
        </w:rPr>
        <w:t>：錄、公頃、</w:t>
      </w:r>
      <w:r>
        <w:rPr>
          <w:sz w:val="24"/>
          <w:szCs w:val="24"/>
        </w:rPr>
        <w:t>%</w:t>
      </w:r>
      <w:r w:rsidRPr="00AA5D23">
        <w:rPr>
          <w:sz w:val="24"/>
          <w:szCs w:val="24"/>
        </w:rPr>
        <w:t>、</w:t>
      </w:r>
      <w:r w:rsidRPr="00AA5D23">
        <w:rPr>
          <w:rFonts w:hint="eastAsia"/>
          <w:sz w:val="24"/>
          <w:szCs w:val="24"/>
        </w:rPr>
        <w:t>元</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9"/>
        <w:gridCol w:w="992"/>
        <w:gridCol w:w="1134"/>
        <w:gridCol w:w="1129"/>
        <w:gridCol w:w="2977"/>
      </w:tblGrid>
      <w:tr w:rsidR="001B3893" w:rsidRPr="009C228F" w14:paraId="24B21203" w14:textId="77777777" w:rsidTr="00232EC8">
        <w:trPr>
          <w:trHeight w:val="397"/>
        </w:trPr>
        <w:tc>
          <w:tcPr>
            <w:tcW w:w="2689" w:type="dxa"/>
            <w:vMerge w:val="restart"/>
            <w:shd w:val="clear" w:color="auto" w:fill="FDE9D9" w:themeFill="accent6" w:themeFillTint="33"/>
            <w:noWrap/>
            <w:vAlign w:val="center"/>
            <w:hideMark/>
          </w:tcPr>
          <w:p w14:paraId="162E326C" w14:textId="77777777" w:rsidR="001B3893" w:rsidRDefault="001B3893" w:rsidP="002E174C">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被占用期間</w:t>
            </w:r>
          </w:p>
          <w:p w14:paraId="05511F85" w14:textId="77777777" w:rsidR="001B3893" w:rsidRPr="000A50F4" w:rsidRDefault="001B3893" w:rsidP="002E174C">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（註1</w:t>
            </w:r>
            <w:r w:rsidRPr="000A50F4">
              <w:rPr>
                <w:rFonts w:hAnsi="標楷體" w:cs="新細明體"/>
                <w:color w:val="000000"/>
                <w:kern w:val="0"/>
                <w:sz w:val="24"/>
                <w:szCs w:val="28"/>
              </w:rPr>
              <w:t>）</w:t>
            </w:r>
          </w:p>
        </w:tc>
        <w:tc>
          <w:tcPr>
            <w:tcW w:w="992" w:type="dxa"/>
            <w:vMerge w:val="restart"/>
            <w:shd w:val="clear" w:color="auto" w:fill="FDE9D9" w:themeFill="accent6" w:themeFillTint="33"/>
            <w:noWrap/>
            <w:vAlign w:val="center"/>
            <w:hideMark/>
          </w:tcPr>
          <w:p w14:paraId="1432F355" w14:textId="77777777" w:rsidR="001B3893" w:rsidRPr="000A50F4" w:rsidRDefault="001B3893" w:rsidP="002E174C">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錄數</w:t>
            </w:r>
          </w:p>
        </w:tc>
        <w:tc>
          <w:tcPr>
            <w:tcW w:w="2263" w:type="dxa"/>
            <w:gridSpan w:val="2"/>
            <w:shd w:val="clear" w:color="auto" w:fill="FDE9D9" w:themeFill="accent6" w:themeFillTint="33"/>
            <w:noWrap/>
            <w:vAlign w:val="center"/>
            <w:hideMark/>
          </w:tcPr>
          <w:p w14:paraId="01ADB855" w14:textId="77777777" w:rsidR="001B3893" w:rsidRPr="000A50F4" w:rsidRDefault="001B3893" w:rsidP="002E174C">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被占用面積</w:t>
            </w:r>
          </w:p>
        </w:tc>
        <w:tc>
          <w:tcPr>
            <w:tcW w:w="2977" w:type="dxa"/>
            <w:vMerge w:val="restart"/>
            <w:shd w:val="clear" w:color="auto" w:fill="FDE9D9" w:themeFill="accent6" w:themeFillTint="33"/>
            <w:noWrap/>
            <w:vAlign w:val="center"/>
            <w:hideMark/>
          </w:tcPr>
          <w:p w14:paraId="00854E0E" w14:textId="77777777" w:rsidR="001B3893" w:rsidRDefault="001B3893" w:rsidP="002E174C">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被占用土地</w:t>
            </w:r>
            <w:r>
              <w:rPr>
                <w:rFonts w:hAnsi="標楷體" w:cs="新細明體" w:hint="eastAsia"/>
                <w:color w:val="000000"/>
                <w:kern w:val="0"/>
                <w:sz w:val="24"/>
                <w:szCs w:val="28"/>
              </w:rPr>
              <w:t>價值</w:t>
            </w:r>
          </w:p>
          <w:p w14:paraId="151012E8" w14:textId="77777777" w:rsidR="001B3893" w:rsidRPr="000A50F4" w:rsidRDefault="001B3893" w:rsidP="002E174C">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（註</w:t>
            </w:r>
            <w:r w:rsidRPr="000A50F4">
              <w:rPr>
                <w:rFonts w:hAnsi="標楷體" w:cs="新細明體"/>
                <w:color w:val="000000"/>
                <w:kern w:val="0"/>
                <w:sz w:val="24"/>
                <w:szCs w:val="28"/>
              </w:rPr>
              <w:t>2）</w:t>
            </w:r>
          </w:p>
        </w:tc>
      </w:tr>
      <w:tr w:rsidR="001B3893" w:rsidRPr="009C228F" w14:paraId="3E35A553" w14:textId="77777777" w:rsidTr="00232EC8">
        <w:trPr>
          <w:trHeight w:val="397"/>
        </w:trPr>
        <w:tc>
          <w:tcPr>
            <w:tcW w:w="2689" w:type="dxa"/>
            <w:vMerge/>
            <w:shd w:val="clear" w:color="auto" w:fill="FDE9D9" w:themeFill="accent6" w:themeFillTint="33"/>
            <w:noWrap/>
            <w:vAlign w:val="center"/>
          </w:tcPr>
          <w:p w14:paraId="5E69CB98" w14:textId="77777777" w:rsidR="001B3893" w:rsidRPr="000A50F4" w:rsidRDefault="001B3893" w:rsidP="002E174C">
            <w:pPr>
              <w:widowControl/>
              <w:snapToGrid w:val="0"/>
              <w:spacing w:line="200" w:lineRule="atLeast"/>
              <w:rPr>
                <w:rFonts w:hAnsi="標楷體" w:cs="新細明體"/>
                <w:color w:val="000000"/>
                <w:kern w:val="0"/>
                <w:sz w:val="24"/>
                <w:szCs w:val="28"/>
              </w:rPr>
            </w:pPr>
          </w:p>
        </w:tc>
        <w:tc>
          <w:tcPr>
            <w:tcW w:w="992" w:type="dxa"/>
            <w:vMerge/>
            <w:shd w:val="clear" w:color="auto" w:fill="FDE9D9" w:themeFill="accent6" w:themeFillTint="33"/>
            <w:noWrap/>
            <w:vAlign w:val="center"/>
          </w:tcPr>
          <w:p w14:paraId="1BB475B7" w14:textId="77777777" w:rsidR="001B3893" w:rsidRPr="000A50F4" w:rsidRDefault="001B3893" w:rsidP="002E174C">
            <w:pPr>
              <w:widowControl/>
              <w:snapToGrid w:val="0"/>
              <w:spacing w:line="200" w:lineRule="atLeast"/>
              <w:rPr>
                <w:rFonts w:hAnsi="標楷體" w:cs="新細明體"/>
                <w:color w:val="000000"/>
                <w:kern w:val="0"/>
                <w:sz w:val="24"/>
                <w:szCs w:val="28"/>
              </w:rPr>
            </w:pPr>
          </w:p>
        </w:tc>
        <w:tc>
          <w:tcPr>
            <w:tcW w:w="1134" w:type="dxa"/>
            <w:shd w:val="clear" w:color="auto" w:fill="FDE9D9" w:themeFill="accent6" w:themeFillTint="33"/>
            <w:noWrap/>
            <w:vAlign w:val="center"/>
          </w:tcPr>
          <w:p w14:paraId="7514ABBE" w14:textId="77777777" w:rsidR="001B3893" w:rsidRPr="000A50F4" w:rsidRDefault="001B3893" w:rsidP="002E174C">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公頃</w:t>
            </w:r>
          </w:p>
        </w:tc>
        <w:tc>
          <w:tcPr>
            <w:tcW w:w="1129" w:type="dxa"/>
            <w:shd w:val="clear" w:color="auto" w:fill="FDE9D9" w:themeFill="accent6" w:themeFillTint="33"/>
            <w:noWrap/>
            <w:vAlign w:val="center"/>
          </w:tcPr>
          <w:p w14:paraId="350D960E" w14:textId="77777777" w:rsidR="001B3893" w:rsidRPr="000A50F4" w:rsidRDefault="001B3893" w:rsidP="002E174C">
            <w:pPr>
              <w:widowControl/>
              <w:snapToGrid w:val="0"/>
              <w:spacing w:line="200" w:lineRule="atLeast"/>
              <w:jc w:val="center"/>
              <w:rPr>
                <w:rFonts w:hAnsi="標楷體" w:cs="新細明體"/>
                <w:color w:val="000000"/>
                <w:kern w:val="0"/>
                <w:sz w:val="24"/>
                <w:szCs w:val="28"/>
              </w:rPr>
            </w:pPr>
            <w:r w:rsidRPr="000A50F4">
              <w:rPr>
                <w:rFonts w:hAnsi="標楷體" w:cs="新細明體" w:hint="eastAsia"/>
                <w:color w:val="000000"/>
                <w:kern w:val="0"/>
                <w:sz w:val="24"/>
                <w:szCs w:val="28"/>
              </w:rPr>
              <w:t>比率</w:t>
            </w:r>
          </w:p>
        </w:tc>
        <w:tc>
          <w:tcPr>
            <w:tcW w:w="2977" w:type="dxa"/>
            <w:vMerge/>
            <w:shd w:val="clear" w:color="auto" w:fill="FDE9D9" w:themeFill="accent6" w:themeFillTint="33"/>
            <w:noWrap/>
            <w:vAlign w:val="center"/>
          </w:tcPr>
          <w:p w14:paraId="65425EA4" w14:textId="77777777" w:rsidR="001B3893" w:rsidRPr="000A50F4" w:rsidRDefault="001B3893" w:rsidP="002E174C">
            <w:pPr>
              <w:widowControl/>
              <w:snapToGrid w:val="0"/>
              <w:spacing w:line="200" w:lineRule="atLeast"/>
              <w:rPr>
                <w:rFonts w:hAnsi="標楷體" w:cs="新細明體"/>
                <w:color w:val="000000"/>
                <w:kern w:val="0"/>
                <w:sz w:val="24"/>
                <w:szCs w:val="28"/>
              </w:rPr>
            </w:pPr>
          </w:p>
        </w:tc>
      </w:tr>
      <w:tr w:rsidR="001B3893" w:rsidRPr="00E5530C" w14:paraId="09CBD99E" w14:textId="77777777" w:rsidTr="00232EC8">
        <w:trPr>
          <w:trHeight w:val="397"/>
        </w:trPr>
        <w:tc>
          <w:tcPr>
            <w:tcW w:w="2689" w:type="dxa"/>
            <w:tcBorders>
              <w:bottom w:val="single" w:sz="12" w:space="0" w:color="auto"/>
            </w:tcBorders>
            <w:shd w:val="clear" w:color="auto" w:fill="FDE9D9" w:themeFill="accent6" w:themeFillTint="33"/>
            <w:noWrap/>
            <w:vAlign w:val="center"/>
            <w:hideMark/>
          </w:tcPr>
          <w:p w14:paraId="2B1442A3" w14:textId="77777777" w:rsidR="001B3893" w:rsidRPr="000A50F4" w:rsidRDefault="001B3893" w:rsidP="002E174C">
            <w:pPr>
              <w:widowControl/>
              <w:snapToGrid w:val="0"/>
              <w:spacing w:line="200" w:lineRule="atLeast"/>
              <w:ind w:leftChars="30" w:left="102"/>
              <w:jc w:val="center"/>
              <w:rPr>
                <w:rFonts w:hAnsi="標楷體" w:cs="新細明體"/>
                <w:b/>
                <w:color w:val="000000"/>
                <w:kern w:val="0"/>
                <w:sz w:val="24"/>
                <w:szCs w:val="28"/>
              </w:rPr>
            </w:pPr>
            <w:r w:rsidRPr="000A50F4">
              <w:rPr>
                <w:rFonts w:hAnsi="標楷體" w:cs="新細明體" w:hint="eastAsia"/>
                <w:b/>
                <w:color w:val="000000"/>
                <w:kern w:val="0"/>
                <w:sz w:val="24"/>
                <w:szCs w:val="28"/>
              </w:rPr>
              <w:t>合計</w:t>
            </w:r>
          </w:p>
        </w:tc>
        <w:tc>
          <w:tcPr>
            <w:tcW w:w="992" w:type="dxa"/>
            <w:tcBorders>
              <w:bottom w:val="single" w:sz="12" w:space="0" w:color="auto"/>
            </w:tcBorders>
            <w:shd w:val="clear" w:color="auto" w:fill="FDE9D9" w:themeFill="accent6" w:themeFillTint="33"/>
            <w:noWrap/>
            <w:vAlign w:val="center"/>
          </w:tcPr>
          <w:p w14:paraId="434D26C1" w14:textId="77777777" w:rsidR="001B3893" w:rsidRPr="000A50F4" w:rsidRDefault="001B3893" w:rsidP="002E174C">
            <w:pPr>
              <w:widowControl/>
              <w:snapToGrid w:val="0"/>
              <w:spacing w:line="200" w:lineRule="atLeast"/>
              <w:jc w:val="right"/>
              <w:rPr>
                <w:rFonts w:hAnsi="標楷體" w:cs="新細明體"/>
                <w:b/>
                <w:color w:val="000000"/>
                <w:kern w:val="0"/>
                <w:sz w:val="24"/>
                <w:szCs w:val="28"/>
              </w:rPr>
            </w:pPr>
            <w:r w:rsidRPr="000A50F4">
              <w:rPr>
                <w:rFonts w:hAnsi="標楷體" w:cs="新細明體" w:hint="eastAsia"/>
                <w:b/>
                <w:color w:val="000000"/>
                <w:kern w:val="0"/>
                <w:sz w:val="24"/>
                <w:szCs w:val="28"/>
              </w:rPr>
              <w:t>1</w:t>
            </w:r>
            <w:r w:rsidRPr="000A50F4">
              <w:rPr>
                <w:rFonts w:hAnsi="標楷體" w:cs="新細明體"/>
                <w:b/>
                <w:color w:val="000000"/>
                <w:kern w:val="0"/>
                <w:sz w:val="24"/>
                <w:szCs w:val="28"/>
              </w:rPr>
              <w:t>,246</w:t>
            </w:r>
          </w:p>
        </w:tc>
        <w:tc>
          <w:tcPr>
            <w:tcW w:w="1134" w:type="dxa"/>
            <w:tcBorders>
              <w:bottom w:val="single" w:sz="12" w:space="0" w:color="auto"/>
            </w:tcBorders>
            <w:shd w:val="clear" w:color="auto" w:fill="FDE9D9" w:themeFill="accent6" w:themeFillTint="33"/>
            <w:noWrap/>
            <w:vAlign w:val="center"/>
          </w:tcPr>
          <w:p w14:paraId="01D49528" w14:textId="77777777" w:rsidR="001B3893" w:rsidRPr="000A50F4" w:rsidRDefault="001B3893" w:rsidP="002E174C">
            <w:pPr>
              <w:widowControl/>
              <w:snapToGrid w:val="0"/>
              <w:spacing w:line="200" w:lineRule="atLeast"/>
              <w:jc w:val="right"/>
              <w:rPr>
                <w:rFonts w:hAnsi="標楷體" w:cs="新細明體"/>
                <w:b/>
                <w:color w:val="000000"/>
                <w:kern w:val="0"/>
                <w:sz w:val="24"/>
                <w:szCs w:val="28"/>
              </w:rPr>
            </w:pPr>
            <w:r w:rsidRPr="000A50F4">
              <w:rPr>
                <w:rFonts w:hAnsi="標楷體"/>
                <w:b/>
                <w:sz w:val="24"/>
                <w:szCs w:val="28"/>
              </w:rPr>
              <w:t>592.80</w:t>
            </w:r>
          </w:p>
        </w:tc>
        <w:tc>
          <w:tcPr>
            <w:tcW w:w="1129" w:type="dxa"/>
            <w:tcBorders>
              <w:bottom w:val="single" w:sz="12" w:space="0" w:color="auto"/>
            </w:tcBorders>
            <w:shd w:val="clear" w:color="auto" w:fill="FDE9D9" w:themeFill="accent6" w:themeFillTint="33"/>
            <w:noWrap/>
            <w:vAlign w:val="center"/>
          </w:tcPr>
          <w:p w14:paraId="536AC73E" w14:textId="77777777" w:rsidR="001B3893" w:rsidRPr="000A50F4" w:rsidRDefault="001B3893" w:rsidP="002E174C">
            <w:pPr>
              <w:widowControl/>
              <w:snapToGrid w:val="0"/>
              <w:spacing w:line="200" w:lineRule="atLeast"/>
              <w:jc w:val="right"/>
              <w:rPr>
                <w:rFonts w:hAnsi="標楷體" w:cs="新細明體"/>
                <w:b/>
                <w:color w:val="000000"/>
                <w:kern w:val="0"/>
                <w:sz w:val="24"/>
                <w:szCs w:val="28"/>
              </w:rPr>
            </w:pPr>
            <w:r w:rsidRPr="000A50F4">
              <w:rPr>
                <w:rFonts w:hAnsi="標楷體"/>
                <w:b/>
                <w:sz w:val="24"/>
                <w:szCs w:val="28"/>
              </w:rPr>
              <w:t>100.00</w:t>
            </w:r>
          </w:p>
        </w:tc>
        <w:tc>
          <w:tcPr>
            <w:tcW w:w="2977" w:type="dxa"/>
            <w:tcBorders>
              <w:bottom w:val="single" w:sz="12" w:space="0" w:color="auto"/>
            </w:tcBorders>
            <w:shd w:val="clear" w:color="auto" w:fill="FDE9D9" w:themeFill="accent6" w:themeFillTint="33"/>
            <w:noWrap/>
            <w:vAlign w:val="center"/>
          </w:tcPr>
          <w:p w14:paraId="426A79B5" w14:textId="77777777" w:rsidR="001B3893" w:rsidRPr="000A50F4" w:rsidRDefault="001B3893" w:rsidP="002E174C">
            <w:pPr>
              <w:widowControl/>
              <w:snapToGrid w:val="0"/>
              <w:spacing w:line="200" w:lineRule="atLeast"/>
              <w:jc w:val="right"/>
              <w:rPr>
                <w:rFonts w:hAnsi="標楷體" w:cs="新細明體"/>
                <w:b/>
                <w:color w:val="000000"/>
                <w:kern w:val="0"/>
                <w:sz w:val="24"/>
                <w:szCs w:val="28"/>
              </w:rPr>
            </w:pPr>
            <w:r w:rsidRPr="000A50F4">
              <w:rPr>
                <w:rFonts w:hAnsi="標楷體"/>
                <w:b/>
                <w:sz w:val="24"/>
                <w:szCs w:val="28"/>
              </w:rPr>
              <w:t xml:space="preserve">709,636,754 </w:t>
            </w:r>
          </w:p>
        </w:tc>
      </w:tr>
      <w:tr w:rsidR="001B3893" w:rsidRPr="001814F9" w14:paraId="3A7163EF" w14:textId="77777777" w:rsidTr="00232EC8">
        <w:trPr>
          <w:trHeight w:val="397"/>
        </w:trPr>
        <w:tc>
          <w:tcPr>
            <w:tcW w:w="2689" w:type="dxa"/>
            <w:tcBorders>
              <w:top w:val="single" w:sz="12" w:space="0" w:color="auto"/>
              <w:left w:val="single" w:sz="12" w:space="0" w:color="auto"/>
            </w:tcBorders>
            <w:shd w:val="clear" w:color="auto" w:fill="auto"/>
            <w:noWrap/>
            <w:vAlign w:val="center"/>
            <w:hideMark/>
          </w:tcPr>
          <w:p w14:paraId="6C683319" w14:textId="77777777" w:rsidR="001B3893" w:rsidRPr="00B21CA2" w:rsidRDefault="001B3893" w:rsidP="002E174C">
            <w:pPr>
              <w:widowControl/>
              <w:snapToGrid w:val="0"/>
              <w:spacing w:line="200" w:lineRule="atLeast"/>
              <w:ind w:leftChars="30" w:left="102"/>
              <w:rPr>
                <w:rFonts w:hAnsi="標楷體" w:cs="新細明體"/>
                <w:b/>
                <w:color w:val="000000"/>
                <w:kern w:val="0"/>
                <w:sz w:val="24"/>
                <w:szCs w:val="28"/>
              </w:rPr>
            </w:pPr>
            <w:r w:rsidRPr="00B21CA2">
              <w:rPr>
                <w:rFonts w:hAnsi="標楷體" w:cs="新細明體" w:hint="eastAsia"/>
                <w:b/>
                <w:color w:val="000000"/>
                <w:kern w:val="0"/>
                <w:sz w:val="24"/>
                <w:szCs w:val="28"/>
              </w:rPr>
              <w:t>30年以上</w:t>
            </w:r>
          </w:p>
        </w:tc>
        <w:tc>
          <w:tcPr>
            <w:tcW w:w="992" w:type="dxa"/>
            <w:tcBorders>
              <w:top w:val="single" w:sz="12" w:space="0" w:color="auto"/>
            </w:tcBorders>
            <w:shd w:val="clear" w:color="auto" w:fill="auto"/>
            <w:noWrap/>
            <w:vAlign w:val="center"/>
          </w:tcPr>
          <w:p w14:paraId="747D48D4" w14:textId="77777777" w:rsidR="001B3893" w:rsidRPr="00B21CA2" w:rsidRDefault="001B3893" w:rsidP="002E174C">
            <w:pPr>
              <w:widowControl/>
              <w:snapToGrid w:val="0"/>
              <w:spacing w:line="200" w:lineRule="atLeast"/>
              <w:jc w:val="right"/>
              <w:rPr>
                <w:rFonts w:hAnsi="標楷體" w:cs="新細明體"/>
                <w:b/>
                <w:color w:val="000000"/>
                <w:kern w:val="0"/>
                <w:sz w:val="24"/>
                <w:szCs w:val="28"/>
              </w:rPr>
            </w:pPr>
            <w:r w:rsidRPr="00B21CA2">
              <w:rPr>
                <w:rFonts w:hAnsi="標楷體" w:cs="新細明體" w:hint="eastAsia"/>
                <w:b/>
                <w:color w:val="000000"/>
                <w:kern w:val="0"/>
                <w:sz w:val="24"/>
                <w:szCs w:val="28"/>
              </w:rPr>
              <w:t>287</w:t>
            </w:r>
          </w:p>
        </w:tc>
        <w:tc>
          <w:tcPr>
            <w:tcW w:w="1134" w:type="dxa"/>
            <w:tcBorders>
              <w:top w:val="single" w:sz="12" w:space="0" w:color="auto"/>
            </w:tcBorders>
            <w:shd w:val="clear" w:color="auto" w:fill="auto"/>
            <w:noWrap/>
            <w:vAlign w:val="center"/>
          </w:tcPr>
          <w:p w14:paraId="055FEBE0" w14:textId="77777777" w:rsidR="001B3893" w:rsidRPr="00B21CA2" w:rsidRDefault="001B3893" w:rsidP="002E174C">
            <w:pPr>
              <w:widowControl/>
              <w:snapToGrid w:val="0"/>
              <w:spacing w:line="200" w:lineRule="atLeast"/>
              <w:jc w:val="right"/>
              <w:rPr>
                <w:rFonts w:hAnsi="標楷體" w:cs="新細明體"/>
                <w:b/>
                <w:color w:val="000000"/>
                <w:kern w:val="0"/>
                <w:sz w:val="24"/>
                <w:szCs w:val="28"/>
              </w:rPr>
            </w:pPr>
            <w:r w:rsidRPr="00B21CA2">
              <w:rPr>
                <w:rFonts w:hAnsi="標楷體"/>
                <w:b/>
                <w:sz w:val="24"/>
                <w:szCs w:val="28"/>
              </w:rPr>
              <w:t>221.64</w:t>
            </w:r>
          </w:p>
        </w:tc>
        <w:tc>
          <w:tcPr>
            <w:tcW w:w="1129" w:type="dxa"/>
            <w:tcBorders>
              <w:top w:val="single" w:sz="12" w:space="0" w:color="auto"/>
            </w:tcBorders>
            <w:shd w:val="clear" w:color="auto" w:fill="auto"/>
            <w:noWrap/>
            <w:vAlign w:val="center"/>
          </w:tcPr>
          <w:p w14:paraId="4BE8916B" w14:textId="77777777" w:rsidR="001B3893" w:rsidRPr="00B21CA2" w:rsidRDefault="001B3893" w:rsidP="002E174C">
            <w:pPr>
              <w:widowControl/>
              <w:snapToGrid w:val="0"/>
              <w:spacing w:line="200" w:lineRule="atLeast"/>
              <w:jc w:val="right"/>
              <w:rPr>
                <w:rFonts w:hAnsi="標楷體" w:cs="新細明體"/>
                <w:b/>
                <w:color w:val="000000"/>
                <w:kern w:val="0"/>
                <w:sz w:val="24"/>
                <w:szCs w:val="28"/>
              </w:rPr>
            </w:pPr>
            <w:r w:rsidRPr="00B21CA2">
              <w:rPr>
                <w:rFonts w:hAnsi="標楷體" w:cs="新細明體" w:hint="eastAsia"/>
                <w:b/>
                <w:color w:val="000000"/>
                <w:kern w:val="0"/>
                <w:sz w:val="24"/>
                <w:szCs w:val="28"/>
              </w:rPr>
              <w:t>3</w:t>
            </w:r>
            <w:r w:rsidRPr="00B21CA2">
              <w:rPr>
                <w:rFonts w:hAnsi="標楷體" w:cs="新細明體"/>
                <w:b/>
                <w:color w:val="000000"/>
                <w:kern w:val="0"/>
                <w:sz w:val="24"/>
                <w:szCs w:val="28"/>
              </w:rPr>
              <w:t>7.39</w:t>
            </w:r>
          </w:p>
        </w:tc>
        <w:tc>
          <w:tcPr>
            <w:tcW w:w="2977" w:type="dxa"/>
            <w:tcBorders>
              <w:top w:val="single" w:sz="12" w:space="0" w:color="auto"/>
              <w:right w:val="single" w:sz="12" w:space="0" w:color="auto"/>
            </w:tcBorders>
            <w:shd w:val="clear" w:color="auto" w:fill="auto"/>
            <w:noWrap/>
            <w:vAlign w:val="center"/>
          </w:tcPr>
          <w:p w14:paraId="341F93AF" w14:textId="77777777" w:rsidR="001B3893" w:rsidRPr="00B21CA2" w:rsidRDefault="001B3893" w:rsidP="002E174C">
            <w:pPr>
              <w:widowControl/>
              <w:snapToGrid w:val="0"/>
              <w:spacing w:line="200" w:lineRule="atLeast"/>
              <w:jc w:val="right"/>
              <w:rPr>
                <w:rFonts w:hAnsi="標楷體" w:cs="新細明體"/>
                <w:b/>
                <w:color w:val="000000"/>
                <w:kern w:val="0"/>
                <w:sz w:val="24"/>
                <w:szCs w:val="28"/>
              </w:rPr>
            </w:pPr>
            <w:r w:rsidRPr="00B21CA2">
              <w:rPr>
                <w:rFonts w:hAnsi="標楷體"/>
                <w:b/>
                <w:sz w:val="24"/>
                <w:szCs w:val="28"/>
              </w:rPr>
              <w:t xml:space="preserve">242,567,020 </w:t>
            </w:r>
          </w:p>
        </w:tc>
      </w:tr>
      <w:tr w:rsidR="001B3893" w:rsidRPr="001814F9" w14:paraId="691EEE42" w14:textId="77777777" w:rsidTr="00232EC8">
        <w:trPr>
          <w:trHeight w:val="397"/>
        </w:trPr>
        <w:tc>
          <w:tcPr>
            <w:tcW w:w="2689" w:type="dxa"/>
            <w:tcBorders>
              <w:left w:val="single" w:sz="12" w:space="0" w:color="auto"/>
            </w:tcBorders>
            <w:shd w:val="clear" w:color="auto" w:fill="auto"/>
            <w:noWrap/>
            <w:vAlign w:val="center"/>
            <w:hideMark/>
          </w:tcPr>
          <w:p w14:paraId="2B13ACFB" w14:textId="77777777" w:rsidR="001B3893" w:rsidRPr="000A50F4" w:rsidRDefault="001B3893" w:rsidP="002E174C">
            <w:pPr>
              <w:widowControl/>
              <w:snapToGrid w:val="0"/>
              <w:spacing w:line="200" w:lineRule="atLeast"/>
              <w:ind w:leftChars="30" w:left="102"/>
              <w:rPr>
                <w:rFonts w:hAnsi="標楷體" w:cs="新細明體"/>
                <w:color w:val="000000"/>
                <w:kern w:val="0"/>
                <w:sz w:val="24"/>
                <w:szCs w:val="28"/>
              </w:rPr>
            </w:pPr>
            <w:r w:rsidRPr="000A50F4">
              <w:rPr>
                <w:rFonts w:hAnsi="標楷體" w:cs="新細明體" w:hint="eastAsia"/>
                <w:color w:val="000000"/>
                <w:kern w:val="0"/>
                <w:sz w:val="24"/>
                <w:szCs w:val="28"/>
              </w:rPr>
              <w:t>25年以上，未滿30年</w:t>
            </w:r>
          </w:p>
        </w:tc>
        <w:tc>
          <w:tcPr>
            <w:tcW w:w="992" w:type="dxa"/>
            <w:shd w:val="clear" w:color="auto" w:fill="auto"/>
            <w:noWrap/>
            <w:vAlign w:val="center"/>
          </w:tcPr>
          <w:p w14:paraId="2CDFD4E7"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107</w:t>
            </w:r>
          </w:p>
        </w:tc>
        <w:tc>
          <w:tcPr>
            <w:tcW w:w="1134" w:type="dxa"/>
            <w:shd w:val="clear" w:color="auto" w:fill="auto"/>
            <w:noWrap/>
            <w:vAlign w:val="center"/>
          </w:tcPr>
          <w:p w14:paraId="21F772D8"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sz w:val="24"/>
                <w:szCs w:val="28"/>
              </w:rPr>
              <w:t>37.68</w:t>
            </w:r>
          </w:p>
        </w:tc>
        <w:tc>
          <w:tcPr>
            <w:tcW w:w="1129" w:type="dxa"/>
            <w:shd w:val="clear" w:color="auto" w:fill="auto"/>
            <w:noWrap/>
            <w:vAlign w:val="center"/>
          </w:tcPr>
          <w:p w14:paraId="2CFD828A"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6.36</w:t>
            </w:r>
          </w:p>
        </w:tc>
        <w:tc>
          <w:tcPr>
            <w:tcW w:w="2977" w:type="dxa"/>
            <w:tcBorders>
              <w:right w:val="single" w:sz="12" w:space="0" w:color="auto"/>
            </w:tcBorders>
            <w:shd w:val="clear" w:color="auto" w:fill="auto"/>
            <w:noWrap/>
            <w:vAlign w:val="center"/>
          </w:tcPr>
          <w:p w14:paraId="1485B935"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sz w:val="24"/>
                <w:szCs w:val="28"/>
              </w:rPr>
              <w:t xml:space="preserve">83,493,115 </w:t>
            </w:r>
          </w:p>
        </w:tc>
      </w:tr>
      <w:tr w:rsidR="001B3893" w:rsidRPr="001814F9" w14:paraId="5F1AE5D4" w14:textId="77777777" w:rsidTr="00232EC8">
        <w:trPr>
          <w:trHeight w:val="397"/>
        </w:trPr>
        <w:tc>
          <w:tcPr>
            <w:tcW w:w="2689" w:type="dxa"/>
            <w:tcBorders>
              <w:left w:val="single" w:sz="12" w:space="0" w:color="auto"/>
            </w:tcBorders>
            <w:shd w:val="clear" w:color="auto" w:fill="auto"/>
            <w:noWrap/>
            <w:vAlign w:val="center"/>
            <w:hideMark/>
          </w:tcPr>
          <w:p w14:paraId="62A7492B" w14:textId="77777777" w:rsidR="001B3893" w:rsidRPr="000A50F4" w:rsidRDefault="001B3893" w:rsidP="002E174C">
            <w:pPr>
              <w:widowControl/>
              <w:snapToGrid w:val="0"/>
              <w:spacing w:line="200" w:lineRule="atLeast"/>
              <w:ind w:leftChars="30" w:left="102"/>
              <w:rPr>
                <w:rFonts w:hAnsi="標楷體" w:cs="新細明體"/>
                <w:color w:val="000000"/>
                <w:kern w:val="0"/>
                <w:sz w:val="24"/>
                <w:szCs w:val="28"/>
              </w:rPr>
            </w:pPr>
            <w:r w:rsidRPr="000A50F4">
              <w:rPr>
                <w:rFonts w:hAnsi="標楷體" w:cs="新細明體" w:hint="eastAsia"/>
                <w:color w:val="000000"/>
                <w:kern w:val="0"/>
                <w:sz w:val="24"/>
                <w:szCs w:val="28"/>
              </w:rPr>
              <w:t>20年以上，未滿25年</w:t>
            </w:r>
          </w:p>
        </w:tc>
        <w:tc>
          <w:tcPr>
            <w:tcW w:w="992" w:type="dxa"/>
            <w:shd w:val="clear" w:color="auto" w:fill="auto"/>
            <w:noWrap/>
            <w:vAlign w:val="center"/>
          </w:tcPr>
          <w:p w14:paraId="46AEE5BD"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35</w:t>
            </w:r>
          </w:p>
        </w:tc>
        <w:tc>
          <w:tcPr>
            <w:tcW w:w="1134" w:type="dxa"/>
            <w:shd w:val="clear" w:color="auto" w:fill="auto"/>
            <w:noWrap/>
            <w:vAlign w:val="center"/>
          </w:tcPr>
          <w:p w14:paraId="3EB06BD0"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sz w:val="24"/>
                <w:szCs w:val="28"/>
              </w:rPr>
              <w:t>12.18</w:t>
            </w:r>
          </w:p>
        </w:tc>
        <w:tc>
          <w:tcPr>
            <w:tcW w:w="1129" w:type="dxa"/>
            <w:shd w:val="clear" w:color="auto" w:fill="auto"/>
            <w:noWrap/>
            <w:vAlign w:val="center"/>
          </w:tcPr>
          <w:p w14:paraId="1124D079"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2.05</w:t>
            </w:r>
          </w:p>
        </w:tc>
        <w:tc>
          <w:tcPr>
            <w:tcW w:w="2977" w:type="dxa"/>
            <w:tcBorders>
              <w:right w:val="single" w:sz="12" w:space="0" w:color="auto"/>
            </w:tcBorders>
            <w:shd w:val="clear" w:color="auto" w:fill="auto"/>
            <w:noWrap/>
            <w:vAlign w:val="center"/>
          </w:tcPr>
          <w:p w14:paraId="4C5E777D"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sz w:val="24"/>
                <w:szCs w:val="28"/>
              </w:rPr>
              <w:t xml:space="preserve">8,208,119 </w:t>
            </w:r>
          </w:p>
        </w:tc>
      </w:tr>
      <w:tr w:rsidR="001B3893" w:rsidRPr="001814F9" w14:paraId="67406AD9" w14:textId="77777777" w:rsidTr="00232EC8">
        <w:trPr>
          <w:trHeight w:val="397"/>
        </w:trPr>
        <w:tc>
          <w:tcPr>
            <w:tcW w:w="2689" w:type="dxa"/>
            <w:tcBorders>
              <w:left w:val="single" w:sz="12" w:space="0" w:color="auto"/>
            </w:tcBorders>
            <w:shd w:val="clear" w:color="auto" w:fill="auto"/>
            <w:noWrap/>
            <w:vAlign w:val="center"/>
            <w:hideMark/>
          </w:tcPr>
          <w:p w14:paraId="25EFD3AE" w14:textId="77777777" w:rsidR="001B3893" w:rsidRPr="000A50F4" w:rsidRDefault="001B3893" w:rsidP="002E174C">
            <w:pPr>
              <w:widowControl/>
              <w:snapToGrid w:val="0"/>
              <w:spacing w:line="200" w:lineRule="atLeast"/>
              <w:ind w:leftChars="30" w:left="102"/>
              <w:rPr>
                <w:rFonts w:hAnsi="標楷體" w:cs="新細明體"/>
                <w:color w:val="000000"/>
                <w:kern w:val="0"/>
                <w:sz w:val="24"/>
                <w:szCs w:val="28"/>
              </w:rPr>
            </w:pPr>
            <w:r w:rsidRPr="000A50F4">
              <w:rPr>
                <w:rFonts w:hAnsi="標楷體" w:cs="新細明體" w:hint="eastAsia"/>
                <w:color w:val="000000"/>
                <w:kern w:val="0"/>
                <w:sz w:val="24"/>
                <w:szCs w:val="28"/>
              </w:rPr>
              <w:t>15年以上，未滿20年</w:t>
            </w:r>
          </w:p>
        </w:tc>
        <w:tc>
          <w:tcPr>
            <w:tcW w:w="992" w:type="dxa"/>
            <w:shd w:val="clear" w:color="auto" w:fill="auto"/>
            <w:noWrap/>
            <w:vAlign w:val="center"/>
          </w:tcPr>
          <w:p w14:paraId="7C986FA2"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289</w:t>
            </w:r>
          </w:p>
        </w:tc>
        <w:tc>
          <w:tcPr>
            <w:tcW w:w="1134" w:type="dxa"/>
            <w:shd w:val="clear" w:color="auto" w:fill="auto"/>
            <w:noWrap/>
            <w:vAlign w:val="center"/>
          </w:tcPr>
          <w:p w14:paraId="7EFF873E"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sz w:val="24"/>
                <w:szCs w:val="28"/>
              </w:rPr>
              <w:t>85.82</w:t>
            </w:r>
          </w:p>
        </w:tc>
        <w:tc>
          <w:tcPr>
            <w:tcW w:w="1129" w:type="dxa"/>
            <w:shd w:val="clear" w:color="auto" w:fill="auto"/>
            <w:noWrap/>
            <w:vAlign w:val="center"/>
          </w:tcPr>
          <w:p w14:paraId="2BF45D38"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14.48</w:t>
            </w:r>
          </w:p>
        </w:tc>
        <w:tc>
          <w:tcPr>
            <w:tcW w:w="2977" w:type="dxa"/>
            <w:tcBorders>
              <w:right w:val="single" w:sz="12" w:space="0" w:color="auto"/>
            </w:tcBorders>
            <w:shd w:val="clear" w:color="auto" w:fill="auto"/>
            <w:noWrap/>
            <w:vAlign w:val="center"/>
          </w:tcPr>
          <w:p w14:paraId="58A90562"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sz w:val="24"/>
                <w:szCs w:val="28"/>
              </w:rPr>
              <w:t xml:space="preserve">73,734,613 </w:t>
            </w:r>
          </w:p>
        </w:tc>
      </w:tr>
      <w:tr w:rsidR="001B3893" w:rsidRPr="001814F9" w14:paraId="4C5378FF" w14:textId="77777777" w:rsidTr="00232EC8">
        <w:trPr>
          <w:trHeight w:val="397"/>
        </w:trPr>
        <w:tc>
          <w:tcPr>
            <w:tcW w:w="2689" w:type="dxa"/>
            <w:tcBorders>
              <w:left w:val="single" w:sz="12" w:space="0" w:color="auto"/>
            </w:tcBorders>
            <w:shd w:val="clear" w:color="auto" w:fill="auto"/>
            <w:noWrap/>
            <w:vAlign w:val="center"/>
            <w:hideMark/>
          </w:tcPr>
          <w:p w14:paraId="2D4FF667" w14:textId="77777777" w:rsidR="001B3893" w:rsidRPr="000A50F4" w:rsidRDefault="001B3893" w:rsidP="002E174C">
            <w:pPr>
              <w:widowControl/>
              <w:snapToGrid w:val="0"/>
              <w:spacing w:line="200" w:lineRule="atLeast"/>
              <w:ind w:leftChars="30" w:left="102"/>
              <w:rPr>
                <w:rFonts w:hAnsi="標楷體" w:cs="新細明體"/>
                <w:color w:val="000000"/>
                <w:kern w:val="0"/>
                <w:sz w:val="24"/>
                <w:szCs w:val="28"/>
              </w:rPr>
            </w:pPr>
            <w:r w:rsidRPr="000A50F4">
              <w:rPr>
                <w:rFonts w:hAnsi="標楷體" w:cs="新細明體" w:hint="eastAsia"/>
                <w:color w:val="000000"/>
                <w:kern w:val="0"/>
                <w:sz w:val="24"/>
                <w:szCs w:val="28"/>
              </w:rPr>
              <w:t>10年以上，未滿15年</w:t>
            </w:r>
          </w:p>
        </w:tc>
        <w:tc>
          <w:tcPr>
            <w:tcW w:w="992" w:type="dxa"/>
            <w:shd w:val="clear" w:color="auto" w:fill="auto"/>
            <w:noWrap/>
            <w:vAlign w:val="center"/>
          </w:tcPr>
          <w:p w14:paraId="6FAC92A6"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86</w:t>
            </w:r>
          </w:p>
        </w:tc>
        <w:tc>
          <w:tcPr>
            <w:tcW w:w="1134" w:type="dxa"/>
            <w:shd w:val="clear" w:color="auto" w:fill="auto"/>
            <w:noWrap/>
            <w:vAlign w:val="center"/>
          </w:tcPr>
          <w:p w14:paraId="4A82E436"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sz w:val="24"/>
                <w:szCs w:val="28"/>
              </w:rPr>
              <w:t>69.50</w:t>
            </w:r>
          </w:p>
        </w:tc>
        <w:tc>
          <w:tcPr>
            <w:tcW w:w="1129" w:type="dxa"/>
            <w:shd w:val="clear" w:color="auto" w:fill="auto"/>
            <w:noWrap/>
            <w:vAlign w:val="center"/>
          </w:tcPr>
          <w:p w14:paraId="1A79D9D7"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11.72</w:t>
            </w:r>
          </w:p>
        </w:tc>
        <w:tc>
          <w:tcPr>
            <w:tcW w:w="2977" w:type="dxa"/>
            <w:tcBorders>
              <w:right w:val="single" w:sz="12" w:space="0" w:color="auto"/>
            </w:tcBorders>
            <w:shd w:val="clear" w:color="auto" w:fill="auto"/>
            <w:noWrap/>
            <w:vAlign w:val="center"/>
          </w:tcPr>
          <w:p w14:paraId="4FA6C800"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sz w:val="24"/>
                <w:szCs w:val="28"/>
              </w:rPr>
              <w:t xml:space="preserve">67,515,156 </w:t>
            </w:r>
          </w:p>
        </w:tc>
      </w:tr>
      <w:tr w:rsidR="001B3893" w:rsidRPr="001814F9" w14:paraId="069BD405" w14:textId="77777777" w:rsidTr="00232EC8">
        <w:trPr>
          <w:trHeight w:val="397"/>
        </w:trPr>
        <w:tc>
          <w:tcPr>
            <w:tcW w:w="2689" w:type="dxa"/>
            <w:tcBorders>
              <w:left w:val="single" w:sz="12" w:space="0" w:color="auto"/>
              <w:bottom w:val="single" w:sz="12" w:space="0" w:color="auto"/>
            </w:tcBorders>
            <w:shd w:val="clear" w:color="auto" w:fill="auto"/>
            <w:noWrap/>
            <w:vAlign w:val="center"/>
            <w:hideMark/>
          </w:tcPr>
          <w:p w14:paraId="3955B60A" w14:textId="77777777" w:rsidR="001B3893" w:rsidRPr="000A50F4" w:rsidRDefault="001B3893" w:rsidP="002E174C">
            <w:pPr>
              <w:widowControl/>
              <w:snapToGrid w:val="0"/>
              <w:spacing w:line="200" w:lineRule="atLeast"/>
              <w:ind w:leftChars="30" w:left="102"/>
              <w:rPr>
                <w:rFonts w:hAnsi="標楷體" w:cs="新細明體"/>
                <w:color w:val="000000"/>
                <w:kern w:val="0"/>
                <w:sz w:val="24"/>
                <w:szCs w:val="28"/>
              </w:rPr>
            </w:pPr>
            <w:r w:rsidRPr="000A50F4">
              <w:rPr>
                <w:rFonts w:hAnsi="標楷體" w:cs="新細明體" w:hint="eastAsia"/>
                <w:color w:val="000000"/>
                <w:kern w:val="0"/>
                <w:sz w:val="24"/>
                <w:szCs w:val="28"/>
              </w:rPr>
              <w:t>5年以上，未滿10年</w:t>
            </w:r>
          </w:p>
        </w:tc>
        <w:tc>
          <w:tcPr>
            <w:tcW w:w="992" w:type="dxa"/>
            <w:tcBorders>
              <w:bottom w:val="single" w:sz="12" w:space="0" w:color="auto"/>
            </w:tcBorders>
            <w:shd w:val="clear" w:color="auto" w:fill="auto"/>
            <w:noWrap/>
            <w:vAlign w:val="center"/>
          </w:tcPr>
          <w:p w14:paraId="28356A96"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152</w:t>
            </w:r>
          </w:p>
        </w:tc>
        <w:tc>
          <w:tcPr>
            <w:tcW w:w="1134" w:type="dxa"/>
            <w:tcBorders>
              <w:bottom w:val="single" w:sz="12" w:space="0" w:color="auto"/>
            </w:tcBorders>
            <w:shd w:val="clear" w:color="auto" w:fill="auto"/>
            <w:noWrap/>
            <w:vAlign w:val="center"/>
          </w:tcPr>
          <w:p w14:paraId="2446C4E0"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sz w:val="24"/>
                <w:szCs w:val="28"/>
              </w:rPr>
              <w:t>49.12</w:t>
            </w:r>
          </w:p>
        </w:tc>
        <w:tc>
          <w:tcPr>
            <w:tcW w:w="1129" w:type="dxa"/>
            <w:tcBorders>
              <w:bottom w:val="single" w:sz="12" w:space="0" w:color="auto"/>
            </w:tcBorders>
            <w:shd w:val="clear" w:color="auto" w:fill="auto"/>
            <w:noWrap/>
            <w:vAlign w:val="center"/>
          </w:tcPr>
          <w:p w14:paraId="49FB8AAF"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8.29</w:t>
            </w:r>
          </w:p>
        </w:tc>
        <w:tc>
          <w:tcPr>
            <w:tcW w:w="2977" w:type="dxa"/>
            <w:tcBorders>
              <w:bottom w:val="single" w:sz="12" w:space="0" w:color="auto"/>
              <w:right w:val="single" w:sz="12" w:space="0" w:color="auto"/>
            </w:tcBorders>
            <w:shd w:val="clear" w:color="auto" w:fill="auto"/>
            <w:noWrap/>
            <w:vAlign w:val="center"/>
          </w:tcPr>
          <w:p w14:paraId="52043616"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sz w:val="24"/>
                <w:szCs w:val="28"/>
              </w:rPr>
              <w:t xml:space="preserve">87,486,954 </w:t>
            </w:r>
          </w:p>
        </w:tc>
      </w:tr>
      <w:tr w:rsidR="001B3893" w:rsidRPr="001814F9" w14:paraId="33515969" w14:textId="77777777" w:rsidTr="00232EC8">
        <w:trPr>
          <w:trHeight w:val="397"/>
        </w:trPr>
        <w:tc>
          <w:tcPr>
            <w:tcW w:w="2689" w:type="dxa"/>
            <w:tcBorders>
              <w:top w:val="single" w:sz="12" w:space="0" w:color="auto"/>
            </w:tcBorders>
            <w:shd w:val="clear" w:color="auto" w:fill="auto"/>
            <w:noWrap/>
            <w:vAlign w:val="center"/>
            <w:hideMark/>
          </w:tcPr>
          <w:p w14:paraId="2321781E" w14:textId="77777777" w:rsidR="001B3893" w:rsidRPr="000A50F4" w:rsidRDefault="001B3893" w:rsidP="002E174C">
            <w:pPr>
              <w:widowControl/>
              <w:snapToGrid w:val="0"/>
              <w:spacing w:line="200" w:lineRule="atLeast"/>
              <w:ind w:leftChars="30" w:left="102"/>
              <w:rPr>
                <w:rFonts w:hAnsi="標楷體" w:cs="新細明體"/>
                <w:color w:val="000000"/>
                <w:kern w:val="0"/>
                <w:sz w:val="24"/>
                <w:szCs w:val="28"/>
              </w:rPr>
            </w:pPr>
            <w:r w:rsidRPr="000A50F4">
              <w:rPr>
                <w:rFonts w:hAnsi="標楷體" w:cs="新細明體" w:hint="eastAsia"/>
                <w:color w:val="000000"/>
                <w:kern w:val="0"/>
                <w:sz w:val="24"/>
                <w:szCs w:val="28"/>
              </w:rPr>
              <w:t>未滿5年</w:t>
            </w:r>
          </w:p>
        </w:tc>
        <w:tc>
          <w:tcPr>
            <w:tcW w:w="992" w:type="dxa"/>
            <w:tcBorders>
              <w:top w:val="single" w:sz="12" w:space="0" w:color="auto"/>
            </w:tcBorders>
            <w:shd w:val="clear" w:color="auto" w:fill="auto"/>
            <w:noWrap/>
            <w:vAlign w:val="center"/>
          </w:tcPr>
          <w:p w14:paraId="5609E87F"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29</w:t>
            </w:r>
            <w:r w:rsidRPr="000A50F4">
              <w:rPr>
                <w:rFonts w:hAnsi="標楷體" w:cs="新細明體"/>
                <w:color w:val="000000"/>
                <w:kern w:val="0"/>
                <w:sz w:val="24"/>
                <w:szCs w:val="28"/>
              </w:rPr>
              <w:t>0</w:t>
            </w:r>
          </w:p>
        </w:tc>
        <w:tc>
          <w:tcPr>
            <w:tcW w:w="1134" w:type="dxa"/>
            <w:tcBorders>
              <w:top w:val="single" w:sz="12" w:space="0" w:color="auto"/>
            </w:tcBorders>
            <w:shd w:val="clear" w:color="auto" w:fill="auto"/>
            <w:noWrap/>
            <w:vAlign w:val="center"/>
          </w:tcPr>
          <w:p w14:paraId="5529228F"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sz w:val="24"/>
                <w:szCs w:val="28"/>
              </w:rPr>
              <w:t>116.84</w:t>
            </w:r>
          </w:p>
        </w:tc>
        <w:tc>
          <w:tcPr>
            <w:tcW w:w="1129" w:type="dxa"/>
            <w:tcBorders>
              <w:top w:val="single" w:sz="12" w:space="0" w:color="auto"/>
            </w:tcBorders>
            <w:shd w:val="clear" w:color="auto" w:fill="auto"/>
            <w:noWrap/>
            <w:vAlign w:val="center"/>
          </w:tcPr>
          <w:p w14:paraId="261F9A4C"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cs="新細明體" w:hint="eastAsia"/>
                <w:color w:val="000000"/>
                <w:kern w:val="0"/>
                <w:sz w:val="24"/>
                <w:szCs w:val="28"/>
              </w:rPr>
              <w:t>19.71</w:t>
            </w:r>
          </w:p>
        </w:tc>
        <w:tc>
          <w:tcPr>
            <w:tcW w:w="2977" w:type="dxa"/>
            <w:tcBorders>
              <w:top w:val="single" w:sz="12" w:space="0" w:color="auto"/>
            </w:tcBorders>
            <w:shd w:val="clear" w:color="auto" w:fill="auto"/>
            <w:noWrap/>
            <w:vAlign w:val="center"/>
          </w:tcPr>
          <w:p w14:paraId="256F20FD" w14:textId="77777777" w:rsidR="001B3893" w:rsidRPr="000A50F4" w:rsidRDefault="001B3893" w:rsidP="002E174C">
            <w:pPr>
              <w:widowControl/>
              <w:snapToGrid w:val="0"/>
              <w:spacing w:line="200" w:lineRule="atLeast"/>
              <w:jc w:val="right"/>
              <w:rPr>
                <w:rFonts w:hAnsi="標楷體" w:cs="新細明體"/>
                <w:color w:val="000000"/>
                <w:kern w:val="0"/>
                <w:sz w:val="24"/>
                <w:szCs w:val="28"/>
              </w:rPr>
            </w:pPr>
            <w:r w:rsidRPr="000A50F4">
              <w:rPr>
                <w:rFonts w:hAnsi="標楷體"/>
                <w:sz w:val="24"/>
                <w:szCs w:val="28"/>
              </w:rPr>
              <w:t xml:space="preserve">146,631,777 </w:t>
            </w:r>
          </w:p>
        </w:tc>
      </w:tr>
    </w:tbl>
    <w:p w14:paraId="52DFE045" w14:textId="77777777" w:rsidR="001B3893" w:rsidRPr="006D6AC9" w:rsidRDefault="001B3893" w:rsidP="001B3893">
      <w:pPr>
        <w:snapToGrid w:val="0"/>
        <w:ind w:leftChars="7" w:left="851" w:hangingChars="318" w:hanging="827"/>
        <w:rPr>
          <w:rFonts w:hAnsi="標楷體"/>
          <w:sz w:val="24"/>
          <w:szCs w:val="24"/>
        </w:rPr>
      </w:pPr>
      <w:r w:rsidRPr="006D6AC9">
        <w:rPr>
          <w:rFonts w:hAnsi="標楷體" w:hint="eastAsia"/>
          <w:sz w:val="24"/>
          <w:szCs w:val="24"/>
        </w:rPr>
        <w:t>註</w:t>
      </w:r>
      <w:r w:rsidRPr="006D6AC9">
        <w:rPr>
          <w:rFonts w:hAnsi="標楷體"/>
          <w:sz w:val="24"/>
          <w:szCs w:val="24"/>
        </w:rPr>
        <w:t>：1.</w:t>
      </w:r>
      <w:r w:rsidRPr="006D6AC9">
        <w:rPr>
          <w:rFonts w:hAnsi="標楷體" w:hint="eastAsia"/>
          <w:sz w:val="24"/>
          <w:szCs w:val="24"/>
        </w:rPr>
        <w:t>以土管系統登載</w:t>
      </w:r>
      <w:r w:rsidRPr="006D6AC9">
        <w:rPr>
          <w:rFonts w:hAnsi="標楷體"/>
          <w:sz w:val="24"/>
          <w:szCs w:val="24"/>
        </w:rPr>
        <w:t>占用開始</w:t>
      </w:r>
      <w:r w:rsidRPr="006D6AC9">
        <w:rPr>
          <w:rFonts w:hAnsi="標楷體" w:hint="eastAsia"/>
          <w:sz w:val="24"/>
          <w:szCs w:val="24"/>
        </w:rPr>
        <w:t>日期</w:t>
      </w:r>
      <w:r w:rsidRPr="006D6AC9">
        <w:rPr>
          <w:rFonts w:hAnsi="標楷體"/>
          <w:sz w:val="24"/>
          <w:szCs w:val="24"/>
        </w:rPr>
        <w:t>計算</w:t>
      </w:r>
      <w:r w:rsidRPr="006D6AC9">
        <w:rPr>
          <w:rFonts w:hAnsi="標楷體" w:hint="eastAsia"/>
          <w:sz w:val="24"/>
          <w:szCs w:val="24"/>
        </w:rPr>
        <w:t>至</w:t>
      </w:r>
      <w:r w:rsidRPr="006D6AC9">
        <w:rPr>
          <w:rFonts w:hAnsi="標楷體"/>
          <w:sz w:val="24"/>
          <w:szCs w:val="24"/>
        </w:rPr>
        <w:t>112年底。</w:t>
      </w:r>
    </w:p>
    <w:p w14:paraId="71AB89B6" w14:textId="221F2AF6" w:rsidR="001B3893" w:rsidRDefault="001B3893" w:rsidP="001B3893">
      <w:pPr>
        <w:snapToGrid w:val="0"/>
        <w:ind w:leftChars="166" w:left="851" w:hangingChars="110" w:hanging="286"/>
        <w:rPr>
          <w:rFonts w:hAnsi="標楷體"/>
          <w:sz w:val="24"/>
          <w:szCs w:val="24"/>
        </w:rPr>
      </w:pPr>
      <w:r>
        <w:rPr>
          <w:rFonts w:hAnsi="標楷體" w:hint="eastAsia"/>
          <w:sz w:val="24"/>
          <w:szCs w:val="24"/>
        </w:rPr>
        <w:t>2.</w:t>
      </w:r>
      <w:r w:rsidRPr="006D6AC9">
        <w:rPr>
          <w:rFonts w:hAnsi="標楷體" w:hint="eastAsia"/>
          <w:sz w:val="24"/>
          <w:szCs w:val="24"/>
        </w:rPr>
        <w:t>土管系統計算被占用土地價值之公式為全筆帳面價值×被占用面積/全筆面積；土地帳面價值以公告現值計算。</w:t>
      </w:r>
    </w:p>
    <w:p w14:paraId="20BFDE02" w14:textId="0DC296D6" w:rsidR="00683FD4" w:rsidRDefault="00683FD4" w:rsidP="001B3893">
      <w:pPr>
        <w:snapToGrid w:val="0"/>
        <w:ind w:leftChars="166" w:left="851" w:hangingChars="110" w:hanging="286"/>
        <w:rPr>
          <w:rFonts w:hAnsi="標楷體"/>
          <w:sz w:val="24"/>
          <w:szCs w:val="24"/>
        </w:rPr>
      </w:pPr>
      <w:r>
        <w:rPr>
          <w:rFonts w:hAnsi="標楷體" w:hint="eastAsia"/>
          <w:sz w:val="24"/>
          <w:szCs w:val="24"/>
        </w:rPr>
        <w:t>3.另有140錄尚待釐正未列入計算，故合計僅1</w:t>
      </w:r>
      <w:r>
        <w:rPr>
          <w:rFonts w:hAnsi="標楷體"/>
          <w:sz w:val="24"/>
          <w:szCs w:val="24"/>
        </w:rPr>
        <w:t>,</w:t>
      </w:r>
      <w:r>
        <w:rPr>
          <w:rFonts w:hAnsi="標楷體" w:hint="eastAsia"/>
          <w:sz w:val="24"/>
          <w:szCs w:val="24"/>
        </w:rPr>
        <w:t>246錄。</w:t>
      </w:r>
    </w:p>
    <w:p w14:paraId="5CCEF25E" w14:textId="02D14DDA" w:rsidR="001B3893" w:rsidRPr="006D6AC9" w:rsidRDefault="00683FD4" w:rsidP="001B3893">
      <w:pPr>
        <w:snapToGrid w:val="0"/>
        <w:ind w:leftChars="166" w:left="851" w:hangingChars="110" w:hanging="286"/>
        <w:rPr>
          <w:rFonts w:hAnsi="標楷體"/>
          <w:sz w:val="24"/>
          <w:szCs w:val="24"/>
        </w:rPr>
      </w:pPr>
      <w:r>
        <w:rPr>
          <w:rFonts w:hAnsi="標楷體" w:hint="eastAsia"/>
          <w:sz w:val="24"/>
          <w:szCs w:val="24"/>
        </w:rPr>
        <w:t>4</w:t>
      </w:r>
      <w:r w:rsidR="001B3893">
        <w:rPr>
          <w:rFonts w:hAnsi="標楷體" w:hint="eastAsia"/>
          <w:sz w:val="24"/>
          <w:szCs w:val="24"/>
        </w:rPr>
        <w:t>.資料時間統計截至</w:t>
      </w:r>
      <w:r w:rsidR="001B3893" w:rsidRPr="00AA5D23">
        <w:rPr>
          <w:rFonts w:hint="eastAsia"/>
          <w:sz w:val="24"/>
          <w:szCs w:val="24"/>
        </w:rPr>
        <w:t>1</w:t>
      </w:r>
      <w:r w:rsidR="001B3893" w:rsidRPr="00AA5D23">
        <w:rPr>
          <w:sz w:val="24"/>
          <w:szCs w:val="24"/>
        </w:rPr>
        <w:t>12年12月31日</w:t>
      </w:r>
      <w:r w:rsidR="001B3893">
        <w:rPr>
          <w:rFonts w:hint="eastAsia"/>
          <w:sz w:val="24"/>
          <w:szCs w:val="24"/>
        </w:rPr>
        <w:t>止。</w:t>
      </w:r>
    </w:p>
    <w:p w14:paraId="7E284097" w14:textId="0A6675A5" w:rsidR="003F27E7" w:rsidRDefault="001B3893" w:rsidP="00400C68">
      <w:pPr>
        <w:snapToGrid w:val="0"/>
        <w:spacing w:afterLines="50" w:after="228"/>
        <w:ind w:leftChars="-12" w:left="784" w:hangingChars="317" w:hanging="825"/>
      </w:pPr>
      <w:r w:rsidRPr="00F524B8">
        <w:rPr>
          <w:rFonts w:hAnsi="標楷體" w:hint="eastAsia"/>
          <w:sz w:val="24"/>
          <w:szCs w:val="24"/>
        </w:rPr>
        <w:t>資料來源</w:t>
      </w:r>
      <w:r w:rsidRPr="00F524B8">
        <w:rPr>
          <w:rFonts w:hAnsi="標楷體"/>
          <w:sz w:val="24"/>
          <w:szCs w:val="24"/>
        </w:rPr>
        <w:t>：</w:t>
      </w:r>
      <w:r>
        <w:rPr>
          <w:rFonts w:hAnsi="標楷體" w:hint="eastAsia"/>
          <w:sz w:val="24"/>
          <w:szCs w:val="24"/>
        </w:rPr>
        <w:t>審計部</w:t>
      </w:r>
      <w:r w:rsidR="00400C68">
        <w:rPr>
          <w:rFonts w:hAnsi="標楷體" w:hint="eastAsia"/>
          <w:sz w:val="24"/>
          <w:szCs w:val="24"/>
        </w:rPr>
        <w:t>查核報告</w:t>
      </w:r>
      <w:r w:rsidRPr="00F524B8">
        <w:rPr>
          <w:rFonts w:hAnsi="標楷體"/>
          <w:sz w:val="24"/>
          <w:szCs w:val="24"/>
        </w:rPr>
        <w:t>。</w:t>
      </w:r>
    </w:p>
    <w:p w14:paraId="6954DF6D" w14:textId="71592776" w:rsidR="00514653" w:rsidRDefault="00A42C00" w:rsidP="00F71432">
      <w:pPr>
        <w:pStyle w:val="3"/>
      </w:pPr>
      <w:r w:rsidRPr="00AC1781">
        <w:rPr>
          <w:rFonts w:hint="eastAsia"/>
          <w:b/>
        </w:rPr>
        <w:t>原民會</w:t>
      </w:r>
      <w:r w:rsidR="00631D6E" w:rsidRPr="00AC1781">
        <w:rPr>
          <w:rFonts w:hint="eastAsia"/>
          <w:b/>
        </w:rPr>
        <w:t>對於</w:t>
      </w:r>
      <w:r w:rsidR="00CE4249" w:rsidRPr="00AC1781">
        <w:rPr>
          <w:rFonts w:hint="eastAsia"/>
          <w:b/>
        </w:rPr>
        <w:t>所轄國有原住民保留地被占用案件查處成效低落等情，</w:t>
      </w:r>
      <w:r w:rsidR="00273A14" w:rsidRPr="00AC1781">
        <w:rPr>
          <w:rFonts w:hint="eastAsia"/>
          <w:b/>
        </w:rPr>
        <w:t>提出</w:t>
      </w:r>
      <w:r w:rsidR="00CE4249" w:rsidRPr="00AC1781">
        <w:rPr>
          <w:rFonts w:hint="eastAsia"/>
          <w:b/>
        </w:rPr>
        <w:t>說明並</w:t>
      </w:r>
      <w:r w:rsidR="00273A14" w:rsidRPr="00AC1781">
        <w:rPr>
          <w:rFonts w:hint="eastAsia"/>
          <w:b/>
        </w:rPr>
        <w:t>研謀</w:t>
      </w:r>
      <w:r w:rsidR="00CE4249" w:rsidRPr="00AC1781">
        <w:rPr>
          <w:rFonts w:hint="eastAsia"/>
          <w:b/>
        </w:rPr>
        <w:t>改善措施</w:t>
      </w:r>
      <w:r w:rsidR="002F4871" w:rsidRPr="00AC1781">
        <w:rPr>
          <w:rFonts w:hint="eastAsia"/>
          <w:b/>
        </w:rPr>
        <w:t>略以</w:t>
      </w:r>
      <w:r>
        <w:rPr>
          <w:rFonts w:hint="eastAsia"/>
        </w:rPr>
        <w:t>：</w:t>
      </w:r>
    </w:p>
    <w:p w14:paraId="6872B7E2" w14:textId="79522345" w:rsidR="00A42C00" w:rsidRDefault="00A42C00" w:rsidP="00A42C00">
      <w:pPr>
        <w:pStyle w:val="4"/>
      </w:pPr>
      <w:r w:rsidRPr="00A923FA">
        <w:rPr>
          <w:rFonts w:hint="eastAsia"/>
          <w:b/>
        </w:rPr>
        <w:t>原民會為全國26萬餘公頃原住民保留地之中央主管機關，惟編制內辦理土地相關業務人力僅20餘人，且無直屬轄下機關。</w:t>
      </w:r>
      <w:r>
        <w:rPr>
          <w:rFonts w:hint="eastAsia"/>
        </w:rPr>
        <w:t>相較於農業部（管理面積約165萬公頃，配置人力逾2,300人，並設有直屬機關）等其他公產管理機關，人力資源明顯不足，故依相關法規授權委託</w:t>
      </w:r>
      <w:r w:rsidR="002F4871">
        <w:rPr>
          <w:rFonts w:hint="eastAsia"/>
        </w:rPr>
        <w:t>各</w:t>
      </w:r>
      <w:r>
        <w:rPr>
          <w:rFonts w:hint="eastAsia"/>
        </w:rPr>
        <w:t>公所為執行機關辦理相關事務。</w:t>
      </w:r>
    </w:p>
    <w:p w14:paraId="1E38092B" w14:textId="1E582517" w:rsidR="00A42C00" w:rsidRDefault="00A42C00" w:rsidP="00A42C00">
      <w:pPr>
        <w:pStyle w:val="4"/>
      </w:pPr>
      <w:r w:rsidRPr="00A923FA">
        <w:rPr>
          <w:rFonts w:hint="eastAsia"/>
          <w:b/>
        </w:rPr>
        <w:t>鑒於地方政府人力不足，原民會自87年起補助僱用「原住民保留地地政業務管理臨時人員」（</w:t>
      </w:r>
      <w:r w:rsidR="0092406B">
        <w:rPr>
          <w:rFonts w:hint="eastAsia"/>
          <w:b/>
        </w:rPr>
        <w:t>俗</w:t>
      </w:r>
      <w:r w:rsidRPr="00A923FA">
        <w:rPr>
          <w:rFonts w:hint="eastAsia"/>
          <w:b/>
        </w:rPr>
        <w:t>稱土登人員），</w:t>
      </w:r>
      <w:r>
        <w:rPr>
          <w:rFonts w:hint="eastAsia"/>
        </w:rPr>
        <w:t>協助辦理原住民保留地相關業務。惟實務執行上，</w:t>
      </w:r>
      <w:r w:rsidRPr="00A923FA">
        <w:rPr>
          <w:rFonts w:hint="eastAsia"/>
          <w:b/>
        </w:rPr>
        <w:t>仍</w:t>
      </w:r>
      <w:r w:rsidR="002F4871" w:rsidRPr="00A923FA">
        <w:rPr>
          <w:rFonts w:hint="eastAsia"/>
          <w:b/>
        </w:rPr>
        <w:t>因機關偏遠或需處理高度專業與複雜土地事務，以致</w:t>
      </w:r>
      <w:r w:rsidRPr="00A923FA">
        <w:rPr>
          <w:rFonts w:hint="eastAsia"/>
          <w:b/>
        </w:rPr>
        <w:t>人員更迭頻繁，</w:t>
      </w:r>
      <w:r w:rsidR="002F4871" w:rsidRPr="00A923FA">
        <w:rPr>
          <w:rFonts w:hint="eastAsia"/>
          <w:b/>
        </w:rPr>
        <w:t>面臨</w:t>
      </w:r>
      <w:r w:rsidRPr="00A923FA">
        <w:rPr>
          <w:rFonts w:hint="eastAsia"/>
          <w:b/>
        </w:rPr>
        <w:lastRenderedPageBreak/>
        <w:t>經驗傳承不易、業務交接斷層、專業知能不足、或職缺無人應聘等問題。</w:t>
      </w:r>
    </w:p>
    <w:p w14:paraId="6B0B42E1" w14:textId="1EA0F1E8" w:rsidR="00A42C00" w:rsidRDefault="00A42C00" w:rsidP="00A42C00">
      <w:pPr>
        <w:pStyle w:val="4"/>
      </w:pPr>
      <w:r w:rsidRPr="00AD7B2A">
        <w:rPr>
          <w:rFonts w:hint="eastAsia"/>
        </w:rPr>
        <w:t>每年年底皆辦理各</w:t>
      </w:r>
      <w:r>
        <w:rPr>
          <w:rFonts w:hint="eastAsia"/>
        </w:rPr>
        <w:t>項</w:t>
      </w:r>
      <w:r w:rsidRPr="00AD7B2A">
        <w:rPr>
          <w:rFonts w:hint="eastAsia"/>
        </w:rPr>
        <w:t>業務推動情形之</w:t>
      </w:r>
      <w:r>
        <w:rPr>
          <w:rFonts w:hint="eastAsia"/>
        </w:rPr>
        <w:t>審查</w:t>
      </w:r>
      <w:r w:rsidRPr="00AD7B2A">
        <w:rPr>
          <w:rFonts w:hint="eastAsia"/>
        </w:rPr>
        <w:t>作業，其中針對占用業務，除瞭解當年度執行筆數、完成率及落後原因</w:t>
      </w:r>
      <w:r>
        <w:rPr>
          <w:rFonts w:hint="eastAsia"/>
        </w:rPr>
        <w:t>外</w:t>
      </w:r>
      <w:r w:rsidRPr="00AD7B2A">
        <w:rPr>
          <w:rFonts w:hint="eastAsia"/>
        </w:rPr>
        <w:t>，亦於年終會議</w:t>
      </w:r>
      <w:r>
        <w:rPr>
          <w:rFonts w:hint="eastAsia"/>
        </w:rPr>
        <w:t>中</w:t>
      </w:r>
      <w:r w:rsidRPr="00AD7B2A">
        <w:rPr>
          <w:rFonts w:hint="eastAsia"/>
        </w:rPr>
        <w:t>檢討</w:t>
      </w:r>
      <w:r>
        <w:rPr>
          <w:rFonts w:hint="eastAsia"/>
        </w:rPr>
        <w:t>執行情形，</w:t>
      </w:r>
      <w:r w:rsidRPr="00AD7B2A">
        <w:rPr>
          <w:rFonts w:hint="eastAsia"/>
        </w:rPr>
        <w:t>並指導因應對策。惟</w:t>
      </w:r>
      <w:r w:rsidR="000B647A" w:rsidRPr="00A923FA">
        <w:rPr>
          <w:rFonts w:hint="eastAsia"/>
          <w:b/>
        </w:rPr>
        <w:t>因</w:t>
      </w:r>
      <w:r w:rsidRPr="00A923FA">
        <w:rPr>
          <w:rFonts w:hint="eastAsia"/>
          <w:b/>
        </w:rPr>
        <w:t>各公所辦理原住民族土地業務範疇廣泛，承辦業務</w:t>
      </w:r>
      <w:r w:rsidR="000B647A" w:rsidRPr="00A923FA">
        <w:rPr>
          <w:rFonts w:hint="eastAsia"/>
          <w:b/>
        </w:rPr>
        <w:t>之</w:t>
      </w:r>
      <w:r w:rsidRPr="00A923FA">
        <w:rPr>
          <w:rFonts w:hint="eastAsia"/>
          <w:b/>
        </w:rPr>
        <w:t>正式人員平均僅約1至3人，行政量能有限；且占用案件較具複雜性或爭議性，需耗時調查與處理，加以承辦人員更迭頻繁，對占用處理措施熟悉度不足，致使整體執行進度遲滯。</w:t>
      </w:r>
    </w:p>
    <w:p w14:paraId="2869374E" w14:textId="769ED996" w:rsidR="00865261" w:rsidRDefault="00A42C00" w:rsidP="00A42C00">
      <w:pPr>
        <w:pStyle w:val="4"/>
      </w:pPr>
      <w:r w:rsidRPr="00A923FA">
        <w:rPr>
          <w:rFonts w:hint="eastAsia"/>
          <w:b/>
        </w:rPr>
        <w:t>該會</w:t>
      </w:r>
      <w:r w:rsidR="000B647A" w:rsidRPr="00A923FA">
        <w:rPr>
          <w:rFonts w:hint="eastAsia"/>
          <w:b/>
        </w:rPr>
        <w:t>進一步</w:t>
      </w:r>
      <w:r w:rsidR="00865261" w:rsidRPr="00A923FA">
        <w:rPr>
          <w:rFonts w:hint="eastAsia"/>
          <w:b/>
        </w:rPr>
        <w:t>提出</w:t>
      </w:r>
      <w:r w:rsidR="000B647A" w:rsidRPr="00A923FA">
        <w:rPr>
          <w:rFonts w:hint="eastAsia"/>
          <w:b/>
        </w:rPr>
        <w:t>相關</w:t>
      </w:r>
      <w:r w:rsidR="00865261" w:rsidRPr="00A923FA">
        <w:rPr>
          <w:rFonts w:hint="eastAsia"/>
          <w:b/>
        </w:rPr>
        <w:t>改善措施</w:t>
      </w:r>
      <w:r w:rsidR="00865261">
        <w:rPr>
          <w:rFonts w:hint="eastAsia"/>
        </w:rPr>
        <w:t>，包括：</w:t>
      </w:r>
    </w:p>
    <w:p w14:paraId="5E16368F" w14:textId="3DD6E15A" w:rsidR="00A42C00" w:rsidRDefault="00865261" w:rsidP="00865261">
      <w:pPr>
        <w:pStyle w:val="5"/>
      </w:pPr>
      <w:r w:rsidRPr="00A923FA">
        <w:rPr>
          <w:rFonts w:hint="eastAsia"/>
          <w:b/>
        </w:rPr>
        <w:t>研訂年度占用清查及處理計畫</w:t>
      </w:r>
      <w:r w:rsidR="00011FD5">
        <w:rPr>
          <w:rFonts w:hint="eastAsia"/>
        </w:rPr>
        <w:t>：訂定明確之清查處理程序與分工，擬具占用處理優先順序，並制定全國整體目標及各公所分年目標，促使公所依轄區情勢或個案情形訂定每年處理筆數，並定期函報年度占用案件處理結案分析表，由縣市政府彙整函報該會，作為業務考核依據。</w:t>
      </w:r>
    </w:p>
    <w:p w14:paraId="77900A34" w14:textId="666BFEC6" w:rsidR="00011FD5" w:rsidRPr="00126B84" w:rsidRDefault="00011FD5" w:rsidP="00865261">
      <w:pPr>
        <w:pStyle w:val="5"/>
      </w:pPr>
      <w:r w:rsidRPr="00126B84">
        <w:rPr>
          <w:rFonts w:hint="eastAsia"/>
          <w:b/>
        </w:rPr>
        <w:t>研擬原住民保留地權利回復及管理利用條例（草案）：針對國有原住民保留地被占用案件之處理，於第30條</w:t>
      </w:r>
      <w:bookmarkStart w:id="52" w:name="_Hlk204163484"/>
      <w:r w:rsidRPr="00126B84">
        <w:rPr>
          <w:rFonts w:hint="eastAsia"/>
          <w:b/>
        </w:rPr>
        <w:t>明定由縣市政府及公所辦理排除占用及收回土地，以明確相關單位權責，化解公所執行排除占用之爭議</w:t>
      </w:r>
      <w:bookmarkEnd w:id="52"/>
      <w:r w:rsidRPr="00126B84">
        <w:rPr>
          <w:rFonts w:hint="eastAsia"/>
        </w:rPr>
        <w:t>。</w:t>
      </w:r>
    </w:p>
    <w:p w14:paraId="5819DCB4" w14:textId="3801BEDC" w:rsidR="00011FD5" w:rsidRDefault="00011FD5" w:rsidP="00011FD5">
      <w:pPr>
        <w:pStyle w:val="5"/>
      </w:pPr>
      <w:r w:rsidRPr="00126B84">
        <w:rPr>
          <w:rFonts w:hint="eastAsia"/>
          <w:b/>
        </w:rPr>
        <w:t>研修原住民保留地租金收益處理要點</w:t>
      </w:r>
      <w:r w:rsidRPr="00E62908">
        <w:rPr>
          <w:rFonts w:hint="eastAsia"/>
          <w:b/>
        </w:rPr>
        <w:t>：明</w:t>
      </w:r>
      <w:r w:rsidRPr="00126B84">
        <w:rPr>
          <w:rFonts w:hint="eastAsia"/>
          <w:b/>
        </w:rPr>
        <w:t>確規範租金收益統籌運用於原住民保留地管理事務（含占用業務）</w:t>
      </w:r>
      <w:r w:rsidRPr="00126B84">
        <w:rPr>
          <w:rFonts w:hint="eastAsia"/>
        </w:rPr>
        <w:t>。另為提升原住民保留地占用業務之管理效能，</w:t>
      </w:r>
      <w:r w:rsidR="000B647A" w:rsidRPr="00126B84">
        <w:rPr>
          <w:rFonts w:hint="eastAsia"/>
        </w:rPr>
        <w:t>該會將依據</w:t>
      </w:r>
      <w:r w:rsidRPr="00126B84">
        <w:rPr>
          <w:rFonts w:hint="eastAsia"/>
        </w:rPr>
        <w:t>各公所提報</w:t>
      </w:r>
      <w:r w:rsidR="000B647A" w:rsidRPr="00126B84">
        <w:rPr>
          <w:rFonts w:hint="eastAsia"/>
        </w:rPr>
        <w:t>之</w:t>
      </w:r>
      <w:r w:rsidRPr="00126B84">
        <w:rPr>
          <w:rFonts w:hint="eastAsia"/>
        </w:rPr>
        <w:t>年度占用清查及處理計畫</w:t>
      </w:r>
      <w:r w:rsidR="000B647A" w:rsidRPr="00126B84">
        <w:rPr>
          <w:rFonts w:hint="eastAsia"/>
        </w:rPr>
        <w:t>內容（</w:t>
      </w:r>
      <w:r w:rsidRPr="00126B84">
        <w:rPr>
          <w:rFonts w:hint="eastAsia"/>
        </w:rPr>
        <w:t>包括清查清冊、預定處理筆數</w:t>
      </w:r>
      <w:r w:rsidR="000B647A" w:rsidRPr="00126B84">
        <w:rPr>
          <w:rFonts w:hint="eastAsia"/>
        </w:rPr>
        <w:t>、</w:t>
      </w:r>
      <w:r w:rsidRPr="00126B84">
        <w:rPr>
          <w:rFonts w:hint="eastAsia"/>
        </w:rPr>
        <w:t>工作經費</w:t>
      </w:r>
      <w:r w:rsidR="000B647A" w:rsidRPr="00126B84">
        <w:rPr>
          <w:rFonts w:hint="eastAsia"/>
        </w:rPr>
        <w:t>、</w:t>
      </w:r>
      <w:r w:rsidRPr="00126B84">
        <w:rPr>
          <w:rFonts w:hint="eastAsia"/>
        </w:rPr>
        <w:t>人力需求等事</w:t>
      </w:r>
      <w:r w:rsidRPr="00126B84">
        <w:rPr>
          <w:rFonts w:hint="eastAsia"/>
        </w:rPr>
        <w:lastRenderedPageBreak/>
        <w:t>項</w:t>
      </w:r>
      <w:r w:rsidR="000B647A" w:rsidRPr="00126B84">
        <w:rPr>
          <w:rFonts w:hint="eastAsia"/>
        </w:rPr>
        <w:t>）</w:t>
      </w:r>
      <w:r w:rsidRPr="00E62908">
        <w:rPr>
          <w:rFonts w:hint="eastAsia"/>
          <w:b/>
        </w:rPr>
        <w:t>籌</w:t>
      </w:r>
      <w:r w:rsidRPr="00126B84">
        <w:rPr>
          <w:rFonts w:hint="eastAsia"/>
          <w:b/>
        </w:rPr>
        <w:t>編並提供必要人力及經費資源，協助公所辦理占用清查、列管與處理作業</w:t>
      </w:r>
      <w:r>
        <w:rPr>
          <w:rFonts w:hint="eastAsia"/>
        </w:rPr>
        <w:t>。</w:t>
      </w:r>
    </w:p>
    <w:p w14:paraId="7C558723" w14:textId="6730DAE3" w:rsidR="00011FD5" w:rsidRDefault="00011FD5" w:rsidP="00011FD5">
      <w:pPr>
        <w:pStyle w:val="5"/>
      </w:pPr>
      <w:r w:rsidRPr="00A923FA">
        <w:rPr>
          <w:rFonts w:hint="eastAsia"/>
          <w:b/>
        </w:rPr>
        <w:t>增列土管系統填報欄位</w:t>
      </w:r>
      <w:r>
        <w:rPr>
          <w:rFonts w:hint="eastAsia"/>
        </w:rPr>
        <w:t>：</w:t>
      </w:r>
      <w:r w:rsidRPr="009157D2">
        <w:rPr>
          <w:rFonts w:hint="eastAsia"/>
        </w:rPr>
        <w:t>增修「占用人身分類別」及「被占用土地屬性」等欄</w:t>
      </w:r>
      <w:r>
        <w:rPr>
          <w:rFonts w:hint="eastAsia"/>
        </w:rPr>
        <w:t>位</w:t>
      </w:r>
      <w:r w:rsidRPr="009157D2">
        <w:rPr>
          <w:rFonts w:hint="eastAsia"/>
        </w:rPr>
        <w:t>，</w:t>
      </w:r>
      <w:r>
        <w:rPr>
          <w:rFonts w:hint="eastAsia"/>
        </w:rPr>
        <w:t>以利各</w:t>
      </w:r>
      <w:r w:rsidRPr="009157D2">
        <w:rPr>
          <w:rFonts w:hint="eastAsia"/>
        </w:rPr>
        <w:t>公所依占用情形分類妥處，</w:t>
      </w:r>
      <w:r>
        <w:rPr>
          <w:rFonts w:hint="eastAsia"/>
        </w:rPr>
        <w:t>並得據以</w:t>
      </w:r>
      <w:r w:rsidR="000B647A" w:rsidRPr="009157D2">
        <w:rPr>
          <w:rFonts w:hint="eastAsia"/>
        </w:rPr>
        <w:t>篩選高風險案件，例如地質敏感區、災害潛勢區、違反水保及國土保安等區域</w:t>
      </w:r>
      <w:r w:rsidR="000B647A">
        <w:rPr>
          <w:rFonts w:hint="eastAsia"/>
        </w:rPr>
        <w:t>，</w:t>
      </w:r>
      <w:r w:rsidRPr="009157D2">
        <w:rPr>
          <w:rFonts w:hint="eastAsia"/>
        </w:rPr>
        <w:t>排定優先處理順序</w:t>
      </w:r>
      <w:r w:rsidR="000B647A">
        <w:rPr>
          <w:rFonts w:hint="eastAsia"/>
        </w:rPr>
        <w:t>。</w:t>
      </w:r>
    </w:p>
    <w:p w14:paraId="1877BB5E" w14:textId="0863D2A3" w:rsidR="00034495" w:rsidRPr="00E62908" w:rsidRDefault="00011FD5" w:rsidP="00011FD5">
      <w:pPr>
        <w:pStyle w:val="3"/>
      </w:pPr>
      <w:r w:rsidRPr="00E62908">
        <w:rPr>
          <w:rFonts w:hint="eastAsia"/>
        </w:rPr>
        <w:t>綜上所述，</w:t>
      </w:r>
      <w:r w:rsidR="00126B84" w:rsidRPr="00E62908">
        <w:rPr>
          <w:rFonts w:hAnsi="標楷體" w:hint="eastAsia"/>
          <w:szCs w:val="32"/>
        </w:rPr>
        <w:t>據1</w:t>
      </w:r>
      <w:r w:rsidR="00126B84" w:rsidRPr="00E62908">
        <w:rPr>
          <w:rFonts w:hAnsi="標楷體"/>
          <w:szCs w:val="32"/>
        </w:rPr>
        <w:t>08</w:t>
      </w:r>
      <w:r w:rsidR="00126B84" w:rsidRPr="00E62908">
        <w:rPr>
          <w:rFonts w:hAnsi="標楷體" w:hint="eastAsia"/>
          <w:szCs w:val="32"/>
        </w:rPr>
        <w:t>至1</w:t>
      </w:r>
      <w:r w:rsidR="00126B84" w:rsidRPr="00E62908">
        <w:rPr>
          <w:rFonts w:hAnsi="標楷體"/>
          <w:szCs w:val="32"/>
        </w:rPr>
        <w:t>12</w:t>
      </w:r>
      <w:r w:rsidR="00126B84" w:rsidRPr="00E62908">
        <w:rPr>
          <w:rFonts w:hAnsi="標楷體" w:hint="eastAsia"/>
          <w:szCs w:val="32"/>
        </w:rPr>
        <w:t>年度中央政府各機關經管國有公用被占用不動產處理情形，</w:t>
      </w:r>
      <w:r w:rsidR="00126B84" w:rsidRPr="00E62908">
        <w:rPr>
          <w:rFonts w:hAnsi="標楷體" w:hint="eastAsia"/>
        </w:rPr>
        <w:t>原民會</w:t>
      </w:r>
      <w:r w:rsidR="00126B84" w:rsidRPr="00E62908">
        <w:rPr>
          <w:rFonts w:hAnsi="標楷體" w:hint="eastAsia"/>
          <w:szCs w:val="32"/>
        </w:rPr>
        <w:t>與同時期經管國有公用被占用土地面積前</w:t>
      </w:r>
      <w:r w:rsidR="00126B84" w:rsidRPr="00E62908">
        <w:rPr>
          <w:rFonts w:hAnsi="標楷體"/>
          <w:szCs w:val="32"/>
        </w:rPr>
        <w:t>5大部會</w:t>
      </w:r>
      <w:r w:rsidR="00126B84" w:rsidRPr="00E62908">
        <w:rPr>
          <w:rFonts w:hAnsi="標楷體" w:hint="eastAsia"/>
          <w:szCs w:val="32"/>
        </w:rPr>
        <w:t>相較，僅原民會經管面積逐年攀升</w:t>
      </w:r>
      <w:r w:rsidR="00126B84" w:rsidRPr="00E62908">
        <w:rPr>
          <w:rFonts w:hAnsi="標楷體" w:hint="eastAsia"/>
        </w:rPr>
        <w:t>，顯示其所轄國有原住民保留地被占用案件之處理成效不彰，占用情形未獲有效遏止，且結案進度遲滯，管理已呈失衡趨勢</w:t>
      </w:r>
      <w:r w:rsidR="00126B84" w:rsidRPr="00E62908">
        <w:rPr>
          <w:rFonts w:hAnsi="標楷體" w:hint="eastAsia"/>
          <w:szCs w:val="32"/>
        </w:rPr>
        <w:t>。囿於</w:t>
      </w:r>
      <w:r w:rsidR="00126B84" w:rsidRPr="00E62908">
        <w:rPr>
          <w:rFonts w:hAnsi="標楷體" w:hint="eastAsia"/>
        </w:rPr>
        <w:t>原民會所轄國有</w:t>
      </w:r>
      <w:r w:rsidR="00126B84" w:rsidRPr="00E62908">
        <w:rPr>
          <w:rFonts w:hint="eastAsia"/>
        </w:rPr>
        <w:t>原住民保留地被占用案件之列管錄數與面積逐年攀升，所涉土地價值龐鉅，且多為久懸未決之陳年積案，顯示該會對於占用案件之督導管理與查處成效低落，核有未當。該會雖已提出相關改善措施，期藉由制度完善</w:t>
      </w:r>
      <w:r w:rsidR="00126B84" w:rsidRPr="00E62908">
        <w:rPr>
          <w:rFonts w:hAnsi="標楷體" w:hint="eastAsia"/>
        </w:rPr>
        <w:t>與資源投入提升管理效能，惟實務執行成效尚待追蹤觀察。原民會允應與地方政府共同研議具體改善措施</w:t>
      </w:r>
      <w:r w:rsidR="00126B84" w:rsidRPr="00E62908">
        <w:rPr>
          <w:rFonts w:hAnsi="標楷體"/>
        </w:rPr>
        <w:t>，</w:t>
      </w:r>
      <w:r w:rsidR="00126B84" w:rsidRPr="00E62908">
        <w:rPr>
          <w:rFonts w:hAnsi="標楷體" w:hint="eastAsia"/>
        </w:rPr>
        <w:t>包括推動原住民保留地權利回復及管理利用條例、研修原住民保留地租金收益處理要點，明確相關單位權責及籌編必要人力</w:t>
      </w:r>
      <w:r w:rsidR="0092406B">
        <w:rPr>
          <w:rFonts w:hAnsi="標楷體" w:hint="eastAsia"/>
        </w:rPr>
        <w:t>與</w:t>
      </w:r>
      <w:r w:rsidR="00126B84" w:rsidRPr="00E62908">
        <w:rPr>
          <w:rFonts w:hAnsi="標楷體" w:hint="eastAsia"/>
        </w:rPr>
        <w:t>經費資源，以提升處理能量並建構有效之追蹤與管考機制，防止占用情形持續惡化，進而確保原住民族土地權益與國土資源永續利用。</w:t>
      </w:r>
    </w:p>
    <w:p w14:paraId="7D036054" w14:textId="4543E1F4" w:rsidR="00006F10" w:rsidRPr="00E62908" w:rsidRDefault="000D3A2D" w:rsidP="00AE34B6">
      <w:pPr>
        <w:pStyle w:val="2"/>
        <w:spacing w:beforeLines="50" w:before="228"/>
        <w:ind w:left="1020" w:hanging="680"/>
        <w:rPr>
          <w:rFonts w:hAnsi="標楷體"/>
          <w:b/>
        </w:rPr>
      </w:pPr>
      <w:r w:rsidRPr="00E62908">
        <w:rPr>
          <w:rFonts w:hint="eastAsia"/>
          <w:b/>
        </w:rPr>
        <w:t>原民會雖已就國有原住民保留地被占用案件訂定相關處理規範，要求應依法收取使用補償金並解繳國庫，惟實務執行上因配套作業不周、土管系統欠缺異常警示功能，且未建立有效督導機制，致超過半數之</w:t>
      </w:r>
      <w:r w:rsidRPr="00E62908">
        <w:rPr>
          <w:rFonts w:hint="eastAsia"/>
          <w:b/>
        </w:rPr>
        <w:lastRenderedPageBreak/>
        <w:t>列管案件未及時通知占用人繳納，政府債權未獲妥適保全，恐</w:t>
      </w:r>
      <w:r w:rsidRPr="00E62908">
        <w:rPr>
          <w:rFonts w:hint="eastAsia"/>
          <w:b/>
          <w:szCs w:val="32"/>
        </w:rPr>
        <w:t>已受損；另部分</w:t>
      </w:r>
      <w:r w:rsidRPr="00E62908">
        <w:rPr>
          <w:rFonts w:hAnsi="標楷體" w:hint="eastAsia"/>
          <w:b/>
          <w:szCs w:val="32"/>
        </w:rPr>
        <w:t>使用補償金收取後長期滯存於公所，據審計部抽查發現，截至112年底止有新竹縣關西鎮公所及尖石鄉公所、宜蘭</w:t>
      </w:r>
      <w:r w:rsidR="00E62908" w:rsidRPr="00E62908">
        <w:rPr>
          <w:rFonts w:hAnsi="標楷體" w:hint="eastAsia"/>
          <w:b/>
          <w:szCs w:val="32"/>
        </w:rPr>
        <w:t>縣</w:t>
      </w:r>
      <w:r w:rsidRPr="00E62908">
        <w:rPr>
          <w:rFonts w:hAnsi="標楷體" w:hint="eastAsia"/>
          <w:b/>
          <w:szCs w:val="32"/>
        </w:rPr>
        <w:t>南澳鄉公所、南投縣信義鄉公所、</w:t>
      </w:r>
      <w:r w:rsidRPr="00E62908">
        <w:rPr>
          <w:rFonts w:hAnsi="標楷體" w:cs="新細明體" w:hint="eastAsia"/>
          <w:b/>
          <w:kern w:val="0"/>
          <w:szCs w:val="32"/>
        </w:rPr>
        <w:t>屏東縣瑪家鄉公所、花蓮縣吉安鄉公所</w:t>
      </w:r>
      <w:r w:rsidRPr="00E62908">
        <w:rPr>
          <w:rFonts w:hAnsi="標楷體" w:hint="eastAsia"/>
          <w:b/>
          <w:szCs w:val="32"/>
        </w:rPr>
        <w:t>等6個公所，已收取使用補償金合計約137萬餘元，卻未依規</w:t>
      </w:r>
      <w:r w:rsidRPr="00E62908">
        <w:rPr>
          <w:rFonts w:hAnsi="標楷體" w:hint="eastAsia"/>
          <w:b/>
        </w:rPr>
        <w:t>定解繳國庫，滯存於鄉（鎮）庫內，</w:t>
      </w:r>
      <w:r w:rsidRPr="00E62908">
        <w:rPr>
          <w:rFonts w:hint="eastAsia"/>
          <w:b/>
        </w:rPr>
        <w:t>衍生財務及現金管理風險，</w:t>
      </w:r>
      <w:r w:rsidRPr="00E62908">
        <w:rPr>
          <w:rFonts w:hAnsi="標楷體" w:hint="eastAsia"/>
          <w:b/>
        </w:rPr>
        <w:t>財務處置洵有疏失</w:t>
      </w:r>
      <w:r w:rsidR="00E62908" w:rsidRPr="00E62908">
        <w:rPr>
          <w:rFonts w:hAnsi="標楷體" w:hint="eastAsia"/>
          <w:b/>
        </w:rPr>
        <w:t>，</w:t>
      </w:r>
      <w:r w:rsidRPr="00E62908">
        <w:rPr>
          <w:rFonts w:hint="eastAsia"/>
          <w:b/>
        </w:rPr>
        <w:t>均有未當。原民會雖已研擬多項改善措施，惟多屬初步規劃，仍應依時程確</w:t>
      </w:r>
      <w:r w:rsidRPr="00E62908">
        <w:rPr>
          <w:rFonts w:hAnsi="標楷體" w:hint="eastAsia"/>
          <w:b/>
        </w:rPr>
        <w:t>實推動，俾建立完善之管理與督導機制，通盤掌握使用補償金收繳情形，促使地方政府落實執行，以提升國有原住民保留地占用案件整體管理成效。</w:t>
      </w:r>
    </w:p>
    <w:p w14:paraId="488E46ED" w14:textId="25474654" w:rsidR="00F71432" w:rsidRDefault="00742017" w:rsidP="00934A65">
      <w:pPr>
        <w:pStyle w:val="3"/>
      </w:pPr>
      <w:r>
        <w:rPr>
          <w:rFonts w:hint="eastAsia"/>
        </w:rPr>
        <w:t>按</w:t>
      </w:r>
      <w:r w:rsidRPr="00742017">
        <w:rPr>
          <w:rFonts w:hint="eastAsia"/>
        </w:rPr>
        <w:t>各機關經管國有公用被占用不動產處理原則</w:t>
      </w:r>
      <w:r w:rsidR="00032DDD">
        <w:rPr>
          <w:rFonts w:hint="eastAsia"/>
        </w:rPr>
        <w:t>第6點規定：「國有公用不動產被占用，管理機關應依民法第1</w:t>
      </w:r>
      <w:r w:rsidR="00032DDD">
        <w:t>79</w:t>
      </w:r>
      <w:r w:rsidR="00032DDD">
        <w:rPr>
          <w:rFonts w:hint="eastAsia"/>
        </w:rPr>
        <w:t>條不當得利規定，向占用者追溯收取占用期間之使用補償金，除有民法第1</w:t>
      </w:r>
      <w:r w:rsidR="00032DDD">
        <w:t>29</w:t>
      </w:r>
      <w:r w:rsidR="00032DDD">
        <w:rPr>
          <w:rFonts w:hint="eastAsia"/>
        </w:rPr>
        <w:t>條規定之時效中斷事由外，自通知日前1月起往前追收最長5年及往後收取至騰空返還日</w:t>
      </w:r>
      <w:r w:rsidR="00032DDD" w:rsidRPr="00C07CFF">
        <w:rPr>
          <w:rFonts w:hAnsi="標楷體" w:hint="eastAsia"/>
        </w:rPr>
        <w:t>……</w:t>
      </w:r>
      <w:r w:rsidR="00032DDD">
        <w:rPr>
          <w:rFonts w:hint="eastAsia"/>
        </w:rPr>
        <w:t>。」第7點規定：「占用期間使用補償金，除第9點規定情形或法令另有規定外，按占用情形參照國有非公用不動產被占用處理要點第</w:t>
      </w:r>
      <w:r w:rsidR="00372697">
        <w:rPr>
          <w:rFonts w:hint="eastAsia"/>
        </w:rPr>
        <w:t>7</w:t>
      </w:r>
      <w:r w:rsidR="00032DDD">
        <w:rPr>
          <w:rFonts w:hint="eastAsia"/>
        </w:rPr>
        <w:t>點附表基準計收；或不分占用情形均按該附表項次一基準計收。」</w:t>
      </w:r>
      <w:r w:rsidR="00372697">
        <w:rPr>
          <w:rStyle w:val="afe"/>
        </w:rPr>
        <w:footnoteReference w:id="4"/>
      </w:r>
      <w:r w:rsidR="007C3EBE">
        <w:rPr>
          <w:rFonts w:hint="eastAsia"/>
        </w:rPr>
        <w:t>第8點規定：「占用者未於繳納期限內繳交使用補償金者，管理機關應依民法第2</w:t>
      </w:r>
      <w:r w:rsidR="007C3EBE">
        <w:t>29</w:t>
      </w:r>
      <w:r w:rsidR="007C3EBE">
        <w:rPr>
          <w:rFonts w:hint="eastAsia"/>
        </w:rPr>
        <w:t>條及第2</w:t>
      </w:r>
      <w:r w:rsidR="007C3EBE">
        <w:t>33</w:t>
      </w:r>
      <w:r w:rsidR="007C3EBE">
        <w:rPr>
          <w:rFonts w:hint="eastAsia"/>
        </w:rPr>
        <w:t>條規定，請求其支付自繳納期限屆滿後至實際繳交之日依法定利率計算之遲延</w:t>
      </w:r>
      <w:r w:rsidR="007C3EBE">
        <w:rPr>
          <w:rFonts w:hint="eastAsia"/>
        </w:rPr>
        <w:lastRenderedPageBreak/>
        <w:t>利息。</w:t>
      </w:r>
      <w:r w:rsidR="007C3EBE" w:rsidRPr="00C07CFF">
        <w:rPr>
          <w:rFonts w:hAnsi="標楷體" w:hint="eastAsia"/>
        </w:rPr>
        <w:t>……</w:t>
      </w:r>
      <w:r w:rsidR="00C07CFF">
        <w:rPr>
          <w:rFonts w:hint="eastAsia"/>
        </w:rPr>
        <w:t>」第9點規定：「管理機關就使用補償金及遲延利息，已取得確定判決、支付命令裁定確定證明書、債權憑證或其他與確定判決同一效力之執行名義者，應照數追收，不適用第6點至第8點相關規定。」</w:t>
      </w:r>
    </w:p>
    <w:p w14:paraId="6B887BA4" w14:textId="0CCCDBD9" w:rsidR="00F71432" w:rsidRDefault="00CC3D93" w:rsidP="00F71432">
      <w:pPr>
        <w:pStyle w:val="3"/>
      </w:pPr>
      <w:r>
        <w:rPr>
          <w:rFonts w:hint="eastAsia"/>
        </w:rPr>
        <w:t>次按</w:t>
      </w:r>
      <w:r w:rsidRPr="00CC3D93">
        <w:rPr>
          <w:rFonts w:hint="eastAsia"/>
        </w:rPr>
        <w:t>占用處理標準作業程序</w:t>
      </w:r>
      <w:r>
        <w:rPr>
          <w:rFonts w:hint="eastAsia"/>
        </w:rPr>
        <w:t>之作業流程</w:t>
      </w:r>
      <w:r w:rsidRPr="00CC3D93">
        <w:rPr>
          <w:rFonts w:hint="eastAsia"/>
        </w:rPr>
        <w:t>「8.非原住民占用」規定</w:t>
      </w:r>
      <w:r>
        <w:rPr>
          <w:rFonts w:hint="eastAsia"/>
        </w:rPr>
        <w:t>：</w:t>
      </w:r>
      <w:r w:rsidRPr="00CC3D93">
        <w:rPr>
          <w:rFonts w:hint="eastAsia"/>
        </w:rPr>
        <w:t>「占有人未具原住民身</w:t>
      </w:r>
      <w:r w:rsidR="0092406B">
        <w:rPr>
          <w:rFonts w:hint="eastAsia"/>
        </w:rPr>
        <w:t>分</w:t>
      </w:r>
      <w:r w:rsidRPr="00CC3D93">
        <w:rPr>
          <w:rFonts w:hint="eastAsia"/>
        </w:rPr>
        <w:t>或不確定占用人身</w:t>
      </w:r>
      <w:r w:rsidR="0092406B">
        <w:rPr>
          <w:rFonts w:hint="eastAsia"/>
        </w:rPr>
        <w:t>分</w:t>
      </w:r>
      <w:r w:rsidRPr="00CC3D93">
        <w:rPr>
          <w:rFonts w:hint="eastAsia"/>
        </w:rPr>
        <w:t>，應先收取使用補償金，並為適法之處理。」「9.收使用補償金」規定：「一、依民法第179條不當得利規定，向占用者追溯收取占用期間之使用補償金。……三、使用補償金應逕匯原住民族委員會之國庫帳戶，解繳國庫。」「13.原住民使用」規定：「使用人如具原住民身分，優先輔導權利回復。」「14.權利回復」規定：「審查、核定結果：一、符合者，移轉登記。二、不符合者，收取使用補償金，並後續輔導租用或收回土地。」</w:t>
      </w:r>
      <w:r>
        <w:rPr>
          <w:rFonts w:hint="eastAsia"/>
        </w:rPr>
        <w:t>是以，</w:t>
      </w:r>
      <w:r w:rsidR="004D0BBB">
        <w:rPr>
          <w:rFonts w:hint="eastAsia"/>
        </w:rPr>
        <w:t>若</w:t>
      </w:r>
      <w:r w:rsidRPr="00CC3D93">
        <w:rPr>
          <w:rFonts w:hint="eastAsia"/>
        </w:rPr>
        <w:t>占用人</w:t>
      </w:r>
      <w:r w:rsidR="00250E59">
        <w:rPr>
          <w:rFonts w:hint="eastAsia"/>
        </w:rPr>
        <w:t>不具</w:t>
      </w:r>
      <w:r w:rsidRPr="00CC3D93">
        <w:rPr>
          <w:rFonts w:hint="eastAsia"/>
        </w:rPr>
        <w:t>原住民</w:t>
      </w:r>
      <w:r w:rsidR="00250E59">
        <w:rPr>
          <w:rFonts w:hint="eastAsia"/>
        </w:rPr>
        <w:t>身分</w:t>
      </w:r>
      <w:r w:rsidRPr="00CC3D93">
        <w:rPr>
          <w:rFonts w:hint="eastAsia"/>
        </w:rPr>
        <w:t>、</w:t>
      </w:r>
      <w:r w:rsidR="00E81B0D">
        <w:rPr>
          <w:rFonts w:hint="eastAsia"/>
        </w:rPr>
        <w:t>身分</w:t>
      </w:r>
      <w:r w:rsidR="004D0BBB">
        <w:rPr>
          <w:rFonts w:hint="eastAsia"/>
        </w:rPr>
        <w:t>不明，</w:t>
      </w:r>
      <w:r w:rsidR="00E81B0D">
        <w:rPr>
          <w:rFonts w:hint="eastAsia"/>
        </w:rPr>
        <w:t>或</w:t>
      </w:r>
      <w:r w:rsidR="004D0BBB">
        <w:rPr>
          <w:rFonts w:hint="eastAsia"/>
        </w:rPr>
        <w:t>雖為原住民但</w:t>
      </w:r>
      <w:r w:rsidRPr="00CC3D93">
        <w:rPr>
          <w:rFonts w:hint="eastAsia"/>
        </w:rPr>
        <w:t>不符合權利回復條件</w:t>
      </w:r>
      <w:r w:rsidR="00E81B0D">
        <w:rPr>
          <w:rFonts w:hint="eastAsia"/>
        </w:rPr>
        <w:t>者</w:t>
      </w:r>
      <w:r w:rsidRPr="00CC3D93">
        <w:rPr>
          <w:rFonts w:hint="eastAsia"/>
        </w:rPr>
        <w:t>，地方政府（實務上係由</w:t>
      </w:r>
      <w:r w:rsidR="004D0BBB">
        <w:rPr>
          <w:rFonts w:hint="eastAsia"/>
        </w:rPr>
        <w:t>所轄</w:t>
      </w:r>
      <w:r w:rsidRPr="00CC3D93">
        <w:rPr>
          <w:rFonts w:hint="eastAsia"/>
        </w:rPr>
        <w:t>公所執行）</w:t>
      </w:r>
      <w:r w:rsidR="004D0BBB">
        <w:rPr>
          <w:rFonts w:hint="eastAsia"/>
        </w:rPr>
        <w:t>均</w:t>
      </w:r>
      <w:r w:rsidRPr="00CC3D93">
        <w:rPr>
          <w:rFonts w:hint="eastAsia"/>
        </w:rPr>
        <w:t>應收取使用補償金，</w:t>
      </w:r>
      <w:r w:rsidR="004D0BBB">
        <w:rPr>
          <w:rFonts w:hint="eastAsia"/>
        </w:rPr>
        <w:t>並解繳</w:t>
      </w:r>
      <w:r w:rsidRPr="00CC3D93">
        <w:rPr>
          <w:rFonts w:hint="eastAsia"/>
        </w:rPr>
        <w:t>原民會國庫帳戶</w:t>
      </w:r>
      <w:r w:rsidR="00595C75">
        <w:rPr>
          <w:rFonts w:hint="eastAsia"/>
        </w:rPr>
        <w:t>。</w:t>
      </w:r>
    </w:p>
    <w:p w14:paraId="1F253873" w14:textId="28751268" w:rsidR="006062B2" w:rsidRPr="00FA50C4" w:rsidRDefault="006062B2" w:rsidP="006062B2">
      <w:pPr>
        <w:pStyle w:val="3"/>
      </w:pPr>
      <w:r w:rsidRPr="007102A0">
        <w:rPr>
          <w:rFonts w:hint="eastAsia"/>
          <w:b/>
        </w:rPr>
        <w:t>惟據審計部查核發現，各公所</w:t>
      </w:r>
      <w:r w:rsidR="004D0BBB" w:rsidRPr="007102A0">
        <w:rPr>
          <w:rFonts w:hint="eastAsia"/>
          <w:b/>
        </w:rPr>
        <w:t>執行</w:t>
      </w:r>
      <w:r w:rsidR="00250E59" w:rsidRPr="007102A0">
        <w:rPr>
          <w:rFonts w:hint="eastAsia"/>
          <w:b/>
        </w:rPr>
        <w:t>國有原住民保留地</w:t>
      </w:r>
      <w:r w:rsidR="004D0BBB" w:rsidRPr="007102A0">
        <w:rPr>
          <w:rFonts w:hint="eastAsia"/>
          <w:b/>
        </w:rPr>
        <w:t>占用案件查處時，存</w:t>
      </w:r>
      <w:r w:rsidRPr="007102A0">
        <w:rPr>
          <w:rFonts w:hint="eastAsia"/>
          <w:b/>
        </w:rPr>
        <w:t>有未</w:t>
      </w:r>
      <w:r w:rsidR="004D0BBB" w:rsidRPr="007102A0">
        <w:rPr>
          <w:rFonts w:hint="eastAsia"/>
          <w:b/>
        </w:rPr>
        <w:t>依規定</w:t>
      </w:r>
      <w:r w:rsidRPr="007102A0">
        <w:rPr>
          <w:rFonts w:hint="eastAsia"/>
          <w:b/>
        </w:rPr>
        <w:t>通知收繳使用補償金，以及已收取卻滯存鄉（鎮）庫未解繳國庫等</w:t>
      </w:r>
      <w:r w:rsidR="004D0BBB" w:rsidRPr="007102A0">
        <w:rPr>
          <w:rFonts w:hint="eastAsia"/>
          <w:b/>
        </w:rPr>
        <w:t>違失</w:t>
      </w:r>
      <w:r w:rsidRPr="007102A0">
        <w:rPr>
          <w:rFonts w:hint="eastAsia"/>
          <w:b/>
        </w:rPr>
        <w:t>情形</w:t>
      </w:r>
      <w:r w:rsidR="004D0BBB">
        <w:rPr>
          <w:rFonts w:hint="eastAsia"/>
        </w:rPr>
        <w:t>，分別說明如下</w:t>
      </w:r>
      <w:r>
        <w:rPr>
          <w:rFonts w:hint="eastAsia"/>
        </w:rPr>
        <w:t>：</w:t>
      </w:r>
    </w:p>
    <w:p w14:paraId="71F34B5F" w14:textId="1EA5476B" w:rsidR="006062B2" w:rsidRPr="006A2972" w:rsidRDefault="006062B2" w:rsidP="006062B2">
      <w:pPr>
        <w:pStyle w:val="4"/>
      </w:pPr>
      <w:r w:rsidRPr="006A2972">
        <w:rPr>
          <w:rFonts w:hint="eastAsia"/>
        </w:rPr>
        <w:t>截至112年底止，土管系統列管國有原住民保留地被占用案件計1</w:t>
      </w:r>
      <w:r w:rsidRPr="006A2972">
        <w:t>,386</w:t>
      </w:r>
      <w:r w:rsidRPr="006A2972">
        <w:rPr>
          <w:rFonts w:hint="eastAsia"/>
        </w:rPr>
        <w:t>錄，扣除尚待釐正之</w:t>
      </w:r>
      <w:r w:rsidRPr="006A2972">
        <w:t>140</w:t>
      </w:r>
      <w:r w:rsidRPr="006A2972">
        <w:rPr>
          <w:rFonts w:hint="eastAsia"/>
        </w:rPr>
        <w:t>錄</w:t>
      </w:r>
      <w:r w:rsidR="006A2972" w:rsidRPr="006A2972">
        <w:rPr>
          <w:rFonts w:hint="eastAsia"/>
        </w:rPr>
        <w:t>、</w:t>
      </w:r>
      <w:r w:rsidRPr="006A2972">
        <w:rPr>
          <w:rFonts w:hint="eastAsia"/>
        </w:rPr>
        <w:t>屬</w:t>
      </w:r>
      <w:r w:rsidR="00934A65">
        <w:rPr>
          <w:rFonts w:hint="eastAsia"/>
        </w:rPr>
        <w:t>於</w:t>
      </w:r>
      <w:r w:rsidRPr="006A2972">
        <w:rPr>
          <w:rFonts w:hint="eastAsia"/>
        </w:rPr>
        <w:t>機關占用或認定為原住民使用</w:t>
      </w:r>
      <w:r w:rsidR="004D0BBB">
        <w:rPr>
          <w:rFonts w:hint="eastAsia"/>
        </w:rPr>
        <w:t>者</w:t>
      </w:r>
      <w:r w:rsidRPr="006A2972">
        <w:rPr>
          <w:rFonts w:hint="eastAsia"/>
        </w:rPr>
        <w:t>暫免收取使用補償金</w:t>
      </w:r>
      <w:r w:rsidR="004D0BBB">
        <w:rPr>
          <w:rFonts w:hint="eastAsia"/>
        </w:rPr>
        <w:t>之</w:t>
      </w:r>
      <w:r w:rsidRPr="006A2972">
        <w:rPr>
          <w:rFonts w:hint="eastAsia"/>
        </w:rPr>
        <w:t>26錄</w:t>
      </w:r>
      <w:r w:rsidR="006A2972" w:rsidRPr="006A2972">
        <w:rPr>
          <w:rFonts w:hint="eastAsia"/>
        </w:rPr>
        <w:t>、已判決確定</w:t>
      </w:r>
      <w:r w:rsidR="00671EC9">
        <w:rPr>
          <w:rFonts w:hint="eastAsia"/>
        </w:rPr>
        <w:t>者</w:t>
      </w:r>
      <w:r w:rsidR="006A2972" w:rsidRPr="006A2972">
        <w:rPr>
          <w:rFonts w:hint="eastAsia"/>
        </w:rPr>
        <w:t>214錄</w:t>
      </w:r>
      <w:r w:rsidR="004D0BBB">
        <w:rPr>
          <w:rFonts w:hint="eastAsia"/>
        </w:rPr>
        <w:t>及</w:t>
      </w:r>
      <w:r w:rsidR="006A2972" w:rsidRPr="006A2972">
        <w:rPr>
          <w:rFonts w:hint="eastAsia"/>
        </w:rPr>
        <w:t>訴訟中</w:t>
      </w:r>
      <w:r w:rsidR="004D0BBB">
        <w:rPr>
          <w:rFonts w:hint="eastAsia"/>
        </w:rPr>
        <w:t>者</w:t>
      </w:r>
      <w:r w:rsidR="006A2972" w:rsidRPr="006A2972">
        <w:rPr>
          <w:rFonts w:hint="eastAsia"/>
        </w:rPr>
        <w:t>175錄</w:t>
      </w:r>
      <w:r w:rsidR="004D0BBB">
        <w:rPr>
          <w:rFonts w:hint="eastAsia"/>
        </w:rPr>
        <w:t>後</w:t>
      </w:r>
      <w:r w:rsidR="006A2972" w:rsidRPr="006A2972">
        <w:rPr>
          <w:rFonts w:hint="eastAsia"/>
        </w:rPr>
        <w:t>，</w:t>
      </w:r>
      <w:r w:rsidR="004D0BBB">
        <w:rPr>
          <w:rFonts w:hint="eastAsia"/>
        </w:rPr>
        <w:t>尚有</w:t>
      </w:r>
      <w:r w:rsidRPr="006A2972">
        <w:rPr>
          <w:rFonts w:hint="eastAsia"/>
        </w:rPr>
        <w:t>831錄</w:t>
      </w:r>
      <w:r w:rsidR="006860C5">
        <w:rPr>
          <w:rFonts w:hint="eastAsia"/>
        </w:rPr>
        <w:t>應依規定通知收繳使用補償金。然112年度</w:t>
      </w:r>
      <w:r w:rsidR="006A2972" w:rsidRPr="006A2972">
        <w:rPr>
          <w:rFonts w:hint="eastAsia"/>
        </w:rPr>
        <w:t>各公所</w:t>
      </w:r>
      <w:r w:rsidR="006860C5">
        <w:rPr>
          <w:rFonts w:hint="eastAsia"/>
        </w:rPr>
        <w:t>實際完成</w:t>
      </w:r>
      <w:r w:rsidR="006A2972" w:rsidRPr="006A2972">
        <w:rPr>
          <w:rFonts w:hint="eastAsia"/>
        </w:rPr>
        <w:t>開單通知</w:t>
      </w:r>
      <w:r w:rsidR="006A2972" w:rsidRPr="006A2972">
        <w:rPr>
          <w:rFonts w:hint="eastAsia"/>
        </w:rPr>
        <w:lastRenderedPageBreak/>
        <w:t>者，</w:t>
      </w:r>
      <w:r w:rsidRPr="006A2972">
        <w:rPr>
          <w:rFonts w:hint="eastAsia"/>
        </w:rPr>
        <w:t>僅115錄</w:t>
      </w:r>
      <w:r w:rsidR="006860C5">
        <w:rPr>
          <w:rFonts w:hint="eastAsia"/>
        </w:rPr>
        <w:t>；其餘</w:t>
      </w:r>
      <w:r w:rsidRPr="006A2972">
        <w:rPr>
          <w:rFonts w:hint="eastAsia"/>
        </w:rPr>
        <w:t>716錄（占</w:t>
      </w:r>
      <w:r w:rsidR="00250E59">
        <w:rPr>
          <w:rFonts w:hint="eastAsia"/>
        </w:rPr>
        <w:t>整體列管案件1</w:t>
      </w:r>
      <w:r w:rsidR="00250E59">
        <w:t>,</w:t>
      </w:r>
      <w:r w:rsidR="00250E59">
        <w:rPr>
          <w:rFonts w:hint="eastAsia"/>
        </w:rPr>
        <w:t>386錄約51</w:t>
      </w:r>
      <w:r w:rsidRPr="006A2972">
        <w:rPr>
          <w:rFonts w:hint="eastAsia"/>
        </w:rPr>
        <w:t>.</w:t>
      </w:r>
      <w:r w:rsidR="00250E59">
        <w:rPr>
          <w:rFonts w:hint="eastAsia"/>
        </w:rPr>
        <w:t>66</w:t>
      </w:r>
      <w:r w:rsidRPr="006A2972">
        <w:rPr>
          <w:rFonts w:hint="eastAsia"/>
        </w:rPr>
        <w:t>%）</w:t>
      </w:r>
      <w:r w:rsidR="006860C5">
        <w:rPr>
          <w:rFonts w:hint="eastAsia"/>
        </w:rPr>
        <w:t>並未</w:t>
      </w:r>
      <w:r w:rsidRPr="006A2972">
        <w:rPr>
          <w:rFonts w:hint="eastAsia"/>
        </w:rPr>
        <w:t>通知</w:t>
      </w:r>
      <w:r w:rsidR="006860C5">
        <w:rPr>
          <w:rFonts w:hint="eastAsia"/>
        </w:rPr>
        <w:t>繳納</w:t>
      </w:r>
      <w:r w:rsidR="00671EC9">
        <w:rPr>
          <w:rFonts w:hint="eastAsia"/>
        </w:rPr>
        <w:t>，</w:t>
      </w:r>
      <w:r w:rsidR="00934A65">
        <w:rPr>
          <w:rFonts w:hint="eastAsia"/>
        </w:rPr>
        <w:t>處置作為</w:t>
      </w:r>
      <w:r w:rsidR="00250E59">
        <w:rPr>
          <w:rFonts w:hint="eastAsia"/>
        </w:rPr>
        <w:t>明顯</w:t>
      </w:r>
      <w:r w:rsidR="00671EC9">
        <w:rPr>
          <w:rFonts w:hint="eastAsia"/>
        </w:rPr>
        <w:t>消極。</w:t>
      </w:r>
    </w:p>
    <w:p w14:paraId="2ECAA8A6" w14:textId="2C9B3FDF" w:rsidR="006062B2" w:rsidRPr="004D0BBB" w:rsidRDefault="006860C5" w:rsidP="006A2972">
      <w:pPr>
        <w:pStyle w:val="4"/>
      </w:pPr>
      <w:r w:rsidRPr="00974F35">
        <w:rPr>
          <w:rFonts w:hint="eastAsia"/>
          <w:b/>
        </w:rPr>
        <w:t>在</w:t>
      </w:r>
      <w:r w:rsidR="006062B2" w:rsidRPr="00974F35">
        <w:rPr>
          <w:rFonts w:hint="eastAsia"/>
          <w:b/>
        </w:rPr>
        <w:t>前述716錄未</w:t>
      </w:r>
      <w:r w:rsidRPr="00974F35">
        <w:rPr>
          <w:rFonts w:hint="eastAsia"/>
          <w:b/>
        </w:rPr>
        <w:t>通知</w:t>
      </w:r>
      <w:r w:rsidR="006062B2" w:rsidRPr="00974F35">
        <w:rPr>
          <w:rFonts w:hint="eastAsia"/>
          <w:b/>
        </w:rPr>
        <w:t>案件中，</w:t>
      </w:r>
      <w:r w:rsidR="00671EC9" w:rsidRPr="00974F35">
        <w:rPr>
          <w:rFonts w:hint="eastAsia"/>
          <w:b/>
        </w:rPr>
        <w:t>公所從未通知占用人繳納使用補償金者（土管系統註記為「未通知收取」）</w:t>
      </w:r>
      <w:r w:rsidRPr="00974F35">
        <w:rPr>
          <w:rFonts w:hint="eastAsia"/>
          <w:b/>
        </w:rPr>
        <w:t>即達</w:t>
      </w:r>
      <w:r w:rsidR="00671EC9" w:rsidRPr="00974F35">
        <w:rPr>
          <w:rFonts w:hint="eastAsia"/>
          <w:b/>
        </w:rPr>
        <w:t>419錄</w:t>
      </w:r>
      <w:r w:rsidR="00671EC9">
        <w:rPr>
          <w:rFonts w:hint="eastAsia"/>
        </w:rPr>
        <w:t>；</w:t>
      </w:r>
      <w:r w:rsidR="00BB39AC">
        <w:rPr>
          <w:rFonts w:hint="eastAsia"/>
        </w:rPr>
        <w:t>其中，</w:t>
      </w:r>
      <w:r w:rsidR="00671EC9" w:rsidRPr="00C6385D">
        <w:rPr>
          <w:rFonts w:hint="eastAsia"/>
        </w:rPr>
        <w:t>占用</w:t>
      </w:r>
      <w:r w:rsidR="00671EC9">
        <w:rPr>
          <w:rFonts w:hint="eastAsia"/>
        </w:rPr>
        <w:t>期間</w:t>
      </w:r>
      <w:r w:rsidR="00BB39AC">
        <w:rPr>
          <w:rFonts w:hint="eastAsia"/>
        </w:rPr>
        <w:t>超過</w:t>
      </w:r>
      <w:r w:rsidR="00671EC9" w:rsidRPr="00C6385D">
        <w:rPr>
          <w:rFonts w:hint="eastAsia"/>
        </w:rPr>
        <w:t>5年</w:t>
      </w:r>
      <w:r>
        <w:rPr>
          <w:rFonts w:hint="eastAsia"/>
        </w:rPr>
        <w:t>者</w:t>
      </w:r>
      <w:r w:rsidR="00671EC9" w:rsidRPr="00C6385D">
        <w:rPr>
          <w:rFonts w:hint="eastAsia"/>
        </w:rPr>
        <w:t>（占用</w:t>
      </w:r>
      <w:r w:rsidR="00671EC9">
        <w:rPr>
          <w:rFonts w:hint="eastAsia"/>
        </w:rPr>
        <w:t>起始</w:t>
      </w:r>
      <w:r w:rsidR="00671EC9" w:rsidRPr="00C6385D">
        <w:rPr>
          <w:rFonts w:hint="eastAsia"/>
        </w:rPr>
        <w:t>日早於108年1月1日）</w:t>
      </w:r>
      <w:r w:rsidR="00671EC9">
        <w:rPr>
          <w:rFonts w:hint="eastAsia"/>
        </w:rPr>
        <w:t>，</w:t>
      </w:r>
      <w:r w:rsidR="00BB39AC">
        <w:rPr>
          <w:rFonts w:hint="eastAsia"/>
        </w:rPr>
        <w:t>更有</w:t>
      </w:r>
      <w:r w:rsidR="00671EC9" w:rsidRPr="00C6385D">
        <w:rPr>
          <w:rFonts w:hint="eastAsia"/>
        </w:rPr>
        <w:t>225錄</w:t>
      </w:r>
      <w:r w:rsidR="006062B2">
        <w:rPr>
          <w:rFonts w:hint="eastAsia"/>
        </w:rPr>
        <w:t>。</w:t>
      </w:r>
      <w:r w:rsidR="00BB39AC" w:rsidRPr="00974F35">
        <w:rPr>
          <w:rFonts w:hint="eastAsia"/>
          <w:b/>
        </w:rPr>
        <w:t>參照民法第126條請求權消滅時效之規定，其債權恐已受損，</w:t>
      </w:r>
      <w:r w:rsidRPr="00974F35">
        <w:rPr>
          <w:rFonts w:hint="eastAsia"/>
          <w:b/>
        </w:rPr>
        <w:t>倘</w:t>
      </w:r>
      <w:r w:rsidR="006062B2" w:rsidRPr="00974F35">
        <w:rPr>
          <w:rFonts w:hint="eastAsia"/>
          <w:b/>
        </w:rPr>
        <w:t>後續未</w:t>
      </w:r>
      <w:r w:rsidR="00BB39AC" w:rsidRPr="00974F35">
        <w:rPr>
          <w:rFonts w:hint="eastAsia"/>
          <w:b/>
        </w:rPr>
        <w:t>再</w:t>
      </w:r>
      <w:r w:rsidR="006062B2" w:rsidRPr="00974F35">
        <w:rPr>
          <w:rFonts w:hint="eastAsia"/>
          <w:b/>
        </w:rPr>
        <w:t>採取適當保全措施，</w:t>
      </w:r>
      <w:r w:rsidRPr="00974F35">
        <w:rPr>
          <w:rFonts w:hint="eastAsia"/>
          <w:b/>
        </w:rPr>
        <w:t>國</w:t>
      </w:r>
      <w:r w:rsidR="006062B2" w:rsidRPr="00974F35">
        <w:rPr>
          <w:rFonts w:hint="eastAsia"/>
          <w:b/>
        </w:rPr>
        <w:t>庫損失風險將持續擴大。</w:t>
      </w:r>
    </w:p>
    <w:p w14:paraId="6490CCB5" w14:textId="6BB4A90C" w:rsidR="004D0BBB" w:rsidRPr="00E62908" w:rsidRDefault="006860C5" w:rsidP="006A2972">
      <w:pPr>
        <w:pStyle w:val="4"/>
      </w:pPr>
      <w:r w:rsidRPr="00E62908">
        <w:rPr>
          <w:rFonts w:hint="eastAsia"/>
        </w:rPr>
        <w:t>此外，</w:t>
      </w:r>
      <w:r w:rsidR="004D0BBB" w:rsidRPr="00E62908">
        <w:rPr>
          <w:rFonts w:hint="eastAsia"/>
          <w:b/>
        </w:rPr>
        <w:t>審計部抽查</w:t>
      </w:r>
      <w:r w:rsidR="00250E59" w:rsidRPr="00E62908">
        <w:rPr>
          <w:rFonts w:hint="eastAsia"/>
          <w:b/>
        </w:rPr>
        <w:t>亦</w:t>
      </w:r>
      <w:r w:rsidR="004D0BBB" w:rsidRPr="00E62908">
        <w:rPr>
          <w:rFonts w:hint="eastAsia"/>
          <w:b/>
        </w:rPr>
        <w:t>發現，截至112年底止，新竹縣關西鎮公所等6個公所</w:t>
      </w:r>
      <w:r w:rsidR="00E62908" w:rsidRPr="00E62908">
        <w:rPr>
          <w:rFonts w:hint="eastAsia"/>
          <w:b/>
        </w:rPr>
        <w:t>（</w:t>
      </w:r>
      <w:r w:rsidR="007102A0" w:rsidRPr="00E62908">
        <w:rPr>
          <w:rFonts w:hint="eastAsia"/>
          <w:b/>
        </w:rPr>
        <w:t>見表</w:t>
      </w:r>
      <w:r w:rsidR="00E62908" w:rsidRPr="00E62908">
        <w:rPr>
          <w:rFonts w:hint="eastAsia"/>
          <w:b/>
        </w:rPr>
        <w:t>5）</w:t>
      </w:r>
      <w:r w:rsidRPr="00E62908">
        <w:rPr>
          <w:rFonts w:hint="eastAsia"/>
          <w:b/>
        </w:rPr>
        <w:t>，</w:t>
      </w:r>
      <w:r w:rsidR="004D0BBB" w:rsidRPr="00E62908">
        <w:rPr>
          <w:rFonts w:hint="eastAsia"/>
          <w:b/>
        </w:rPr>
        <w:t>已收取使用補償金合計約137萬餘元，</w:t>
      </w:r>
      <w:r w:rsidR="00CA2C12" w:rsidRPr="00E62908">
        <w:rPr>
          <w:rFonts w:hint="eastAsia"/>
          <w:b/>
        </w:rPr>
        <w:t>卻</w:t>
      </w:r>
      <w:r w:rsidRPr="00E62908">
        <w:rPr>
          <w:rFonts w:hint="eastAsia"/>
          <w:b/>
        </w:rPr>
        <w:t>未依規定解繳國庫，</w:t>
      </w:r>
      <w:r w:rsidR="004D0BBB" w:rsidRPr="00E62908">
        <w:rPr>
          <w:rFonts w:hint="eastAsia"/>
          <w:b/>
        </w:rPr>
        <w:t>滯存</w:t>
      </w:r>
      <w:r w:rsidRPr="00E62908">
        <w:rPr>
          <w:rFonts w:hint="eastAsia"/>
          <w:b/>
        </w:rPr>
        <w:t>於</w:t>
      </w:r>
      <w:r w:rsidR="004D0BBB" w:rsidRPr="00E62908">
        <w:rPr>
          <w:rFonts w:hint="eastAsia"/>
          <w:b/>
        </w:rPr>
        <w:t>鄉（鎮）庫</w:t>
      </w:r>
      <w:r w:rsidR="00CA2C12" w:rsidRPr="00E62908">
        <w:rPr>
          <w:rFonts w:hint="eastAsia"/>
          <w:b/>
        </w:rPr>
        <w:t>內，財務處置洵有疏失</w:t>
      </w:r>
      <w:r w:rsidR="004D0BBB" w:rsidRPr="00E62908">
        <w:rPr>
          <w:rFonts w:hint="eastAsia"/>
          <w:b/>
        </w:rPr>
        <w:t>。</w:t>
      </w:r>
      <w:r w:rsidR="00CA2C12" w:rsidRPr="00E62908">
        <w:rPr>
          <w:rFonts w:hint="eastAsia"/>
        </w:rPr>
        <w:t>原民會對於各公所收繳使用補償金未能及時繳納國庫等情，未建立有效管控措施，衍生現金管理風險，相關管理作為</w:t>
      </w:r>
      <w:r w:rsidR="001E0A78" w:rsidRPr="00E62908">
        <w:rPr>
          <w:rFonts w:hint="eastAsia"/>
        </w:rPr>
        <w:t>洵</w:t>
      </w:r>
      <w:r w:rsidR="00934A65" w:rsidRPr="00E62908">
        <w:rPr>
          <w:rFonts w:hint="eastAsia"/>
        </w:rPr>
        <w:t>有疏漏</w:t>
      </w:r>
      <w:r w:rsidR="00CA2C12" w:rsidRPr="00E62908">
        <w:rPr>
          <w:rFonts w:hint="eastAsia"/>
        </w:rPr>
        <w:t>。</w:t>
      </w:r>
    </w:p>
    <w:p w14:paraId="5D86FAD4" w14:textId="56FA8E50" w:rsidR="007102A0" w:rsidRPr="00E62908" w:rsidRDefault="00E62908" w:rsidP="00E62908">
      <w:pPr>
        <w:ind w:leftChars="333" w:left="1133"/>
        <w:jc w:val="center"/>
        <w:rPr>
          <w:b/>
          <w:spacing w:val="-10"/>
          <w:sz w:val="28"/>
        </w:rPr>
      </w:pPr>
      <w:r w:rsidRPr="00E62908">
        <w:rPr>
          <w:rFonts w:hint="eastAsia"/>
          <w:b/>
          <w:spacing w:val="-10"/>
          <w:sz w:val="28"/>
        </w:rPr>
        <w:t>表5、</w:t>
      </w:r>
      <w:r w:rsidR="007102A0" w:rsidRPr="00E62908">
        <w:rPr>
          <w:rFonts w:hint="eastAsia"/>
          <w:b/>
          <w:spacing w:val="-10"/>
          <w:sz w:val="28"/>
        </w:rPr>
        <w:t>截至112年底公所已收取使用補償金滯存鄉（鎮</w:t>
      </w:r>
      <w:r w:rsidR="007102A0" w:rsidRPr="00E62908">
        <w:rPr>
          <w:b/>
          <w:spacing w:val="-10"/>
          <w:sz w:val="28"/>
        </w:rPr>
        <w:t>）</w:t>
      </w:r>
      <w:r w:rsidR="007102A0" w:rsidRPr="00E62908">
        <w:rPr>
          <w:rFonts w:hint="eastAsia"/>
          <w:b/>
          <w:spacing w:val="-10"/>
          <w:sz w:val="28"/>
        </w:rPr>
        <w:t>庫餘額</w:t>
      </w:r>
    </w:p>
    <w:p w14:paraId="1E516E63" w14:textId="77777777" w:rsidR="007102A0" w:rsidRPr="007470E4" w:rsidRDefault="007102A0" w:rsidP="007102A0">
      <w:pPr>
        <w:pStyle w:val="3"/>
        <w:numPr>
          <w:ilvl w:val="0"/>
          <w:numId w:val="0"/>
        </w:numPr>
        <w:ind w:left="1361"/>
        <w:jc w:val="right"/>
        <w:rPr>
          <w:sz w:val="24"/>
          <w:szCs w:val="24"/>
        </w:rPr>
      </w:pPr>
      <w:r w:rsidRPr="007470E4">
        <w:rPr>
          <w:rFonts w:hint="eastAsia"/>
          <w:sz w:val="24"/>
          <w:szCs w:val="24"/>
        </w:rPr>
        <w:t>單位</w:t>
      </w:r>
      <w:r w:rsidRPr="007470E4">
        <w:rPr>
          <w:sz w:val="24"/>
          <w:szCs w:val="24"/>
        </w:rPr>
        <w:t>：元</w:t>
      </w:r>
    </w:p>
    <w:tbl>
      <w:tblPr>
        <w:tblW w:w="779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96"/>
        <w:gridCol w:w="3896"/>
      </w:tblGrid>
      <w:tr w:rsidR="007102A0" w:rsidRPr="00D96363" w14:paraId="280B2D9F" w14:textId="77777777" w:rsidTr="00727BBF">
        <w:trPr>
          <w:trHeight w:val="397"/>
        </w:trPr>
        <w:tc>
          <w:tcPr>
            <w:tcW w:w="3896" w:type="dxa"/>
            <w:shd w:val="clear" w:color="auto" w:fill="FDE9D9" w:themeFill="accent6" w:themeFillTint="33"/>
            <w:noWrap/>
            <w:vAlign w:val="center"/>
            <w:hideMark/>
          </w:tcPr>
          <w:p w14:paraId="35048E81" w14:textId="77777777" w:rsidR="007102A0" w:rsidRPr="0080273A" w:rsidRDefault="007102A0" w:rsidP="00D312D0">
            <w:pPr>
              <w:widowControl/>
              <w:snapToGrid w:val="0"/>
              <w:jc w:val="center"/>
              <w:rPr>
                <w:rFonts w:hAnsi="標楷體" w:cs="新細明體"/>
                <w:color w:val="000000"/>
                <w:kern w:val="0"/>
                <w:sz w:val="28"/>
                <w:szCs w:val="28"/>
              </w:rPr>
            </w:pPr>
            <w:r w:rsidRPr="0080273A">
              <w:rPr>
                <w:rFonts w:hAnsi="標楷體" w:cs="新細明體" w:hint="eastAsia"/>
                <w:color w:val="000000"/>
                <w:kern w:val="0"/>
                <w:sz w:val="28"/>
                <w:szCs w:val="28"/>
              </w:rPr>
              <w:t>鄉（鎮</w:t>
            </w:r>
            <w:r w:rsidRPr="0080273A">
              <w:rPr>
                <w:rFonts w:hAnsi="標楷體" w:cs="新細明體"/>
                <w:color w:val="000000"/>
                <w:kern w:val="0"/>
                <w:sz w:val="28"/>
                <w:szCs w:val="28"/>
              </w:rPr>
              <w:t>）</w:t>
            </w:r>
            <w:r w:rsidRPr="0080273A">
              <w:rPr>
                <w:rFonts w:hAnsi="標楷體" w:cs="新細明體" w:hint="eastAsia"/>
                <w:color w:val="000000"/>
                <w:kern w:val="0"/>
                <w:sz w:val="28"/>
                <w:szCs w:val="28"/>
              </w:rPr>
              <w:t>公所</w:t>
            </w:r>
          </w:p>
        </w:tc>
        <w:tc>
          <w:tcPr>
            <w:tcW w:w="3896" w:type="dxa"/>
            <w:shd w:val="clear" w:color="auto" w:fill="FDE9D9" w:themeFill="accent6" w:themeFillTint="33"/>
            <w:vAlign w:val="center"/>
            <w:hideMark/>
          </w:tcPr>
          <w:p w14:paraId="0ADBA9BB" w14:textId="77777777" w:rsidR="007102A0" w:rsidRPr="0080273A" w:rsidRDefault="007102A0" w:rsidP="00D312D0">
            <w:pPr>
              <w:widowControl/>
              <w:snapToGrid w:val="0"/>
              <w:jc w:val="center"/>
              <w:rPr>
                <w:rFonts w:hAnsi="標楷體" w:cs="新細明體"/>
                <w:color w:val="000000"/>
                <w:kern w:val="0"/>
                <w:sz w:val="28"/>
                <w:szCs w:val="28"/>
              </w:rPr>
            </w:pPr>
            <w:r w:rsidRPr="0080273A">
              <w:rPr>
                <w:rFonts w:hAnsi="標楷體" w:cs="新細明體" w:hint="eastAsia"/>
                <w:bCs/>
                <w:color w:val="000000"/>
                <w:kern w:val="0"/>
                <w:sz w:val="28"/>
                <w:szCs w:val="28"/>
              </w:rPr>
              <w:t>留存鄉</w:t>
            </w:r>
            <w:r w:rsidRPr="0080273A">
              <w:rPr>
                <w:rFonts w:hAnsi="標楷體" w:cs="新細明體" w:hint="eastAsia"/>
                <w:color w:val="000000"/>
                <w:kern w:val="0"/>
                <w:sz w:val="28"/>
                <w:szCs w:val="28"/>
              </w:rPr>
              <w:t>（鎮</w:t>
            </w:r>
            <w:r w:rsidRPr="0080273A">
              <w:rPr>
                <w:rFonts w:hAnsi="標楷體" w:cs="新細明體"/>
                <w:color w:val="000000"/>
                <w:kern w:val="0"/>
                <w:sz w:val="28"/>
                <w:szCs w:val="28"/>
              </w:rPr>
              <w:t>）</w:t>
            </w:r>
            <w:r w:rsidRPr="0080273A">
              <w:rPr>
                <w:rFonts w:hAnsi="標楷體" w:cs="新細明體" w:hint="eastAsia"/>
                <w:bCs/>
                <w:color w:val="000000"/>
                <w:kern w:val="0"/>
                <w:sz w:val="28"/>
                <w:szCs w:val="28"/>
              </w:rPr>
              <w:t>庫餘額</w:t>
            </w:r>
          </w:p>
        </w:tc>
      </w:tr>
      <w:tr w:rsidR="007102A0" w:rsidRPr="00175655" w14:paraId="683574CF" w14:textId="77777777" w:rsidTr="00727BBF">
        <w:trPr>
          <w:trHeight w:val="397"/>
        </w:trPr>
        <w:tc>
          <w:tcPr>
            <w:tcW w:w="3896" w:type="dxa"/>
            <w:shd w:val="clear" w:color="auto" w:fill="FDE9D9" w:themeFill="accent6" w:themeFillTint="33"/>
            <w:vAlign w:val="center"/>
          </w:tcPr>
          <w:p w14:paraId="4FE1F990" w14:textId="77777777" w:rsidR="007102A0" w:rsidRPr="0080273A" w:rsidRDefault="007102A0" w:rsidP="00D312D0">
            <w:pPr>
              <w:widowControl/>
              <w:snapToGrid w:val="0"/>
              <w:jc w:val="center"/>
              <w:rPr>
                <w:rFonts w:hAnsi="標楷體" w:cs="新細明體"/>
                <w:b/>
                <w:color w:val="000000"/>
                <w:kern w:val="0"/>
                <w:sz w:val="28"/>
                <w:szCs w:val="28"/>
              </w:rPr>
            </w:pPr>
            <w:r w:rsidRPr="0080273A">
              <w:rPr>
                <w:rFonts w:hAnsi="標楷體" w:cs="新細明體" w:hint="eastAsia"/>
                <w:b/>
                <w:color w:val="000000"/>
                <w:kern w:val="0"/>
                <w:sz w:val="28"/>
                <w:szCs w:val="28"/>
              </w:rPr>
              <w:t xml:space="preserve">合 </w:t>
            </w:r>
            <w:r w:rsidRPr="0080273A">
              <w:rPr>
                <w:rFonts w:hAnsi="標楷體" w:cs="新細明體"/>
                <w:b/>
                <w:color w:val="000000"/>
                <w:kern w:val="0"/>
                <w:sz w:val="28"/>
                <w:szCs w:val="28"/>
              </w:rPr>
              <w:t xml:space="preserve">  </w:t>
            </w:r>
            <w:r w:rsidRPr="0080273A">
              <w:rPr>
                <w:rFonts w:hAnsi="標楷體" w:cs="新細明體" w:hint="eastAsia"/>
                <w:b/>
                <w:color w:val="000000"/>
                <w:kern w:val="0"/>
                <w:sz w:val="28"/>
                <w:szCs w:val="28"/>
              </w:rPr>
              <w:t>計</w:t>
            </w:r>
          </w:p>
        </w:tc>
        <w:tc>
          <w:tcPr>
            <w:tcW w:w="3896" w:type="dxa"/>
            <w:shd w:val="clear" w:color="auto" w:fill="FDE9D9" w:themeFill="accent6" w:themeFillTint="33"/>
            <w:vAlign w:val="center"/>
            <w:hideMark/>
          </w:tcPr>
          <w:p w14:paraId="2B2FEA1F" w14:textId="77777777" w:rsidR="007102A0" w:rsidRPr="0080273A" w:rsidRDefault="007102A0" w:rsidP="00D312D0">
            <w:pPr>
              <w:widowControl/>
              <w:snapToGrid w:val="0"/>
              <w:jc w:val="right"/>
              <w:rPr>
                <w:rFonts w:hAnsi="標楷體" w:cs="新細明體"/>
                <w:b/>
                <w:color w:val="000000"/>
                <w:kern w:val="0"/>
                <w:sz w:val="28"/>
                <w:szCs w:val="28"/>
              </w:rPr>
            </w:pPr>
            <w:r w:rsidRPr="0080273A">
              <w:rPr>
                <w:rFonts w:hAnsi="標楷體" w:cs="新細明體" w:hint="eastAsia"/>
                <w:b/>
                <w:color w:val="000000"/>
                <w:kern w:val="0"/>
                <w:sz w:val="28"/>
                <w:szCs w:val="28"/>
              </w:rPr>
              <w:t>1,372,579</w:t>
            </w:r>
          </w:p>
        </w:tc>
      </w:tr>
      <w:tr w:rsidR="007102A0" w:rsidRPr="00D96363" w14:paraId="2F9FAFDB" w14:textId="77777777" w:rsidTr="00727BBF">
        <w:trPr>
          <w:trHeight w:val="397"/>
        </w:trPr>
        <w:tc>
          <w:tcPr>
            <w:tcW w:w="3896" w:type="dxa"/>
            <w:shd w:val="clear" w:color="auto" w:fill="auto"/>
            <w:noWrap/>
            <w:vAlign w:val="center"/>
            <w:hideMark/>
          </w:tcPr>
          <w:p w14:paraId="65CF2953" w14:textId="77777777" w:rsidR="007102A0" w:rsidRPr="0080273A" w:rsidRDefault="007102A0" w:rsidP="00D312D0">
            <w:pPr>
              <w:widowControl/>
              <w:snapToGrid w:val="0"/>
              <w:jc w:val="center"/>
              <w:rPr>
                <w:rFonts w:hAnsi="標楷體" w:cs="新細明體"/>
                <w:color w:val="000000"/>
                <w:kern w:val="0"/>
                <w:sz w:val="28"/>
                <w:szCs w:val="28"/>
              </w:rPr>
            </w:pPr>
            <w:r w:rsidRPr="0080273A">
              <w:rPr>
                <w:rFonts w:hAnsi="標楷體" w:cs="新細明體" w:hint="eastAsia"/>
                <w:color w:val="000000"/>
                <w:kern w:val="0"/>
                <w:sz w:val="28"/>
                <w:szCs w:val="28"/>
              </w:rPr>
              <w:t>新竹縣關西鎮公所</w:t>
            </w:r>
          </w:p>
        </w:tc>
        <w:tc>
          <w:tcPr>
            <w:tcW w:w="3896" w:type="dxa"/>
            <w:shd w:val="clear" w:color="auto" w:fill="auto"/>
            <w:vAlign w:val="center"/>
            <w:hideMark/>
          </w:tcPr>
          <w:p w14:paraId="57714638" w14:textId="77777777" w:rsidR="007102A0" w:rsidRPr="0080273A" w:rsidRDefault="007102A0" w:rsidP="00D312D0">
            <w:pPr>
              <w:widowControl/>
              <w:snapToGrid w:val="0"/>
              <w:jc w:val="right"/>
              <w:rPr>
                <w:rFonts w:hAnsi="標楷體" w:cs="新細明體"/>
                <w:color w:val="000000"/>
                <w:kern w:val="0"/>
                <w:sz w:val="28"/>
                <w:szCs w:val="28"/>
              </w:rPr>
            </w:pPr>
            <w:r w:rsidRPr="0080273A">
              <w:rPr>
                <w:rFonts w:hAnsi="標楷體" w:cs="新細明體" w:hint="eastAsia"/>
                <w:color w:val="000000"/>
                <w:kern w:val="0"/>
                <w:sz w:val="28"/>
                <w:szCs w:val="28"/>
              </w:rPr>
              <w:t>5,670</w:t>
            </w:r>
          </w:p>
        </w:tc>
      </w:tr>
      <w:tr w:rsidR="007102A0" w:rsidRPr="00D96363" w14:paraId="4328AA74" w14:textId="77777777" w:rsidTr="00727BBF">
        <w:trPr>
          <w:trHeight w:val="397"/>
        </w:trPr>
        <w:tc>
          <w:tcPr>
            <w:tcW w:w="3896" w:type="dxa"/>
            <w:shd w:val="clear" w:color="auto" w:fill="auto"/>
            <w:noWrap/>
            <w:vAlign w:val="center"/>
            <w:hideMark/>
          </w:tcPr>
          <w:p w14:paraId="1C2A3269" w14:textId="77777777" w:rsidR="007102A0" w:rsidRPr="0080273A" w:rsidRDefault="007102A0" w:rsidP="00D312D0">
            <w:pPr>
              <w:widowControl/>
              <w:snapToGrid w:val="0"/>
              <w:jc w:val="center"/>
              <w:rPr>
                <w:rFonts w:hAnsi="標楷體" w:cs="新細明體"/>
                <w:color w:val="000000"/>
                <w:kern w:val="0"/>
                <w:sz w:val="28"/>
                <w:szCs w:val="28"/>
              </w:rPr>
            </w:pPr>
            <w:r w:rsidRPr="0080273A">
              <w:rPr>
                <w:rFonts w:hAnsi="標楷體" w:cs="新細明體" w:hint="eastAsia"/>
                <w:color w:val="000000"/>
                <w:kern w:val="0"/>
                <w:sz w:val="28"/>
                <w:szCs w:val="28"/>
              </w:rPr>
              <w:t>新竹縣尖石鄉公所</w:t>
            </w:r>
          </w:p>
        </w:tc>
        <w:tc>
          <w:tcPr>
            <w:tcW w:w="3896" w:type="dxa"/>
            <w:shd w:val="clear" w:color="auto" w:fill="auto"/>
            <w:vAlign w:val="center"/>
            <w:hideMark/>
          </w:tcPr>
          <w:p w14:paraId="19DCB56C" w14:textId="77777777" w:rsidR="007102A0" w:rsidRPr="0080273A" w:rsidRDefault="007102A0" w:rsidP="00D312D0">
            <w:pPr>
              <w:widowControl/>
              <w:snapToGrid w:val="0"/>
              <w:jc w:val="right"/>
              <w:rPr>
                <w:rFonts w:hAnsi="標楷體" w:cs="新細明體"/>
                <w:color w:val="000000"/>
                <w:kern w:val="0"/>
                <w:sz w:val="28"/>
                <w:szCs w:val="28"/>
              </w:rPr>
            </w:pPr>
            <w:r w:rsidRPr="0080273A">
              <w:rPr>
                <w:rFonts w:hAnsi="標楷體" w:cs="新細明體" w:hint="eastAsia"/>
                <w:color w:val="000000"/>
                <w:kern w:val="0"/>
                <w:sz w:val="28"/>
                <w:szCs w:val="28"/>
              </w:rPr>
              <w:t>1,804</w:t>
            </w:r>
          </w:p>
        </w:tc>
      </w:tr>
      <w:tr w:rsidR="007102A0" w:rsidRPr="00D96363" w14:paraId="05B4D068" w14:textId="77777777" w:rsidTr="00727BBF">
        <w:trPr>
          <w:trHeight w:val="397"/>
        </w:trPr>
        <w:tc>
          <w:tcPr>
            <w:tcW w:w="3896" w:type="dxa"/>
            <w:shd w:val="clear" w:color="auto" w:fill="auto"/>
            <w:noWrap/>
            <w:vAlign w:val="center"/>
            <w:hideMark/>
          </w:tcPr>
          <w:p w14:paraId="0A200327" w14:textId="77777777" w:rsidR="007102A0" w:rsidRPr="0080273A" w:rsidRDefault="007102A0" w:rsidP="00D312D0">
            <w:pPr>
              <w:widowControl/>
              <w:snapToGrid w:val="0"/>
              <w:jc w:val="center"/>
              <w:rPr>
                <w:rFonts w:hAnsi="標楷體" w:cs="新細明體"/>
                <w:color w:val="000000"/>
                <w:kern w:val="0"/>
                <w:sz w:val="28"/>
                <w:szCs w:val="28"/>
              </w:rPr>
            </w:pPr>
            <w:r w:rsidRPr="0080273A">
              <w:rPr>
                <w:rFonts w:hAnsi="標楷體" w:cs="新細明體" w:hint="eastAsia"/>
                <w:color w:val="000000"/>
                <w:kern w:val="0"/>
                <w:sz w:val="28"/>
                <w:szCs w:val="28"/>
              </w:rPr>
              <w:t>宜蘭縣南澳鄉公所</w:t>
            </w:r>
          </w:p>
        </w:tc>
        <w:tc>
          <w:tcPr>
            <w:tcW w:w="3896" w:type="dxa"/>
            <w:shd w:val="clear" w:color="auto" w:fill="auto"/>
            <w:noWrap/>
            <w:vAlign w:val="center"/>
            <w:hideMark/>
          </w:tcPr>
          <w:p w14:paraId="0925AEF0" w14:textId="77777777" w:rsidR="007102A0" w:rsidRPr="0080273A" w:rsidRDefault="007102A0" w:rsidP="00D312D0">
            <w:pPr>
              <w:widowControl/>
              <w:snapToGrid w:val="0"/>
              <w:jc w:val="right"/>
              <w:rPr>
                <w:rFonts w:hAnsi="標楷體" w:cs="新細明體"/>
                <w:color w:val="000000"/>
                <w:kern w:val="0"/>
                <w:sz w:val="28"/>
                <w:szCs w:val="28"/>
              </w:rPr>
            </w:pPr>
            <w:r w:rsidRPr="0080273A">
              <w:rPr>
                <w:rFonts w:hAnsi="標楷體" w:cs="新細明體" w:hint="eastAsia"/>
                <w:color w:val="000000"/>
                <w:kern w:val="0"/>
                <w:sz w:val="28"/>
                <w:szCs w:val="28"/>
              </w:rPr>
              <w:t>265,609</w:t>
            </w:r>
          </w:p>
        </w:tc>
      </w:tr>
      <w:tr w:rsidR="007102A0" w:rsidRPr="00D96363" w14:paraId="1AA872EC" w14:textId="77777777" w:rsidTr="00727BBF">
        <w:trPr>
          <w:trHeight w:val="397"/>
        </w:trPr>
        <w:tc>
          <w:tcPr>
            <w:tcW w:w="3896" w:type="dxa"/>
            <w:shd w:val="clear" w:color="auto" w:fill="auto"/>
            <w:noWrap/>
            <w:vAlign w:val="center"/>
            <w:hideMark/>
          </w:tcPr>
          <w:p w14:paraId="04ABE77F" w14:textId="77777777" w:rsidR="007102A0" w:rsidRPr="0080273A" w:rsidRDefault="007102A0" w:rsidP="00D312D0">
            <w:pPr>
              <w:widowControl/>
              <w:snapToGrid w:val="0"/>
              <w:jc w:val="center"/>
              <w:rPr>
                <w:rFonts w:hAnsi="標楷體" w:cs="新細明體"/>
                <w:color w:val="000000"/>
                <w:kern w:val="0"/>
                <w:sz w:val="28"/>
                <w:szCs w:val="28"/>
              </w:rPr>
            </w:pPr>
            <w:r w:rsidRPr="0080273A">
              <w:rPr>
                <w:rFonts w:hAnsi="標楷體" w:cs="新細明體" w:hint="eastAsia"/>
                <w:color w:val="000000"/>
                <w:kern w:val="0"/>
                <w:sz w:val="28"/>
                <w:szCs w:val="28"/>
              </w:rPr>
              <w:t>南投縣信義鄉公所</w:t>
            </w:r>
          </w:p>
        </w:tc>
        <w:tc>
          <w:tcPr>
            <w:tcW w:w="3896" w:type="dxa"/>
            <w:shd w:val="clear" w:color="auto" w:fill="auto"/>
            <w:noWrap/>
            <w:vAlign w:val="center"/>
            <w:hideMark/>
          </w:tcPr>
          <w:p w14:paraId="51DCB213" w14:textId="77777777" w:rsidR="007102A0" w:rsidRPr="0080273A" w:rsidRDefault="007102A0" w:rsidP="00D312D0">
            <w:pPr>
              <w:widowControl/>
              <w:snapToGrid w:val="0"/>
              <w:jc w:val="right"/>
              <w:rPr>
                <w:rFonts w:hAnsi="標楷體" w:cs="新細明體"/>
                <w:color w:val="000000"/>
                <w:kern w:val="0"/>
                <w:sz w:val="28"/>
                <w:szCs w:val="28"/>
              </w:rPr>
            </w:pPr>
            <w:r w:rsidRPr="0080273A">
              <w:rPr>
                <w:rFonts w:hAnsi="標楷體" w:cs="新細明體" w:hint="eastAsia"/>
                <w:color w:val="000000"/>
                <w:kern w:val="0"/>
                <w:sz w:val="28"/>
                <w:szCs w:val="28"/>
              </w:rPr>
              <w:t>554,671</w:t>
            </w:r>
          </w:p>
        </w:tc>
      </w:tr>
      <w:tr w:rsidR="007102A0" w:rsidRPr="00D96363" w14:paraId="0CC23755" w14:textId="77777777" w:rsidTr="00727BBF">
        <w:trPr>
          <w:trHeight w:val="397"/>
        </w:trPr>
        <w:tc>
          <w:tcPr>
            <w:tcW w:w="3896" w:type="dxa"/>
            <w:shd w:val="clear" w:color="auto" w:fill="auto"/>
            <w:noWrap/>
            <w:vAlign w:val="center"/>
            <w:hideMark/>
          </w:tcPr>
          <w:p w14:paraId="4B4D906A" w14:textId="77777777" w:rsidR="007102A0" w:rsidRPr="0080273A" w:rsidRDefault="007102A0" w:rsidP="00D312D0">
            <w:pPr>
              <w:widowControl/>
              <w:snapToGrid w:val="0"/>
              <w:jc w:val="center"/>
              <w:rPr>
                <w:rFonts w:hAnsi="標楷體" w:cs="新細明體"/>
                <w:color w:val="000000"/>
                <w:kern w:val="0"/>
                <w:sz w:val="28"/>
                <w:szCs w:val="28"/>
              </w:rPr>
            </w:pPr>
            <w:r w:rsidRPr="0080273A">
              <w:rPr>
                <w:rFonts w:hAnsi="標楷體" w:cs="新細明體" w:hint="eastAsia"/>
                <w:color w:val="000000"/>
                <w:kern w:val="0"/>
                <w:sz w:val="28"/>
                <w:szCs w:val="28"/>
              </w:rPr>
              <w:t>屏東縣瑪家鄉公所</w:t>
            </w:r>
          </w:p>
        </w:tc>
        <w:tc>
          <w:tcPr>
            <w:tcW w:w="3896" w:type="dxa"/>
            <w:shd w:val="clear" w:color="auto" w:fill="auto"/>
            <w:noWrap/>
            <w:vAlign w:val="center"/>
            <w:hideMark/>
          </w:tcPr>
          <w:p w14:paraId="79AA13B0" w14:textId="77777777" w:rsidR="007102A0" w:rsidRPr="0080273A" w:rsidRDefault="007102A0" w:rsidP="00D312D0">
            <w:pPr>
              <w:widowControl/>
              <w:snapToGrid w:val="0"/>
              <w:jc w:val="right"/>
              <w:rPr>
                <w:rFonts w:hAnsi="標楷體" w:cs="新細明體"/>
                <w:color w:val="000000"/>
                <w:kern w:val="0"/>
                <w:sz w:val="28"/>
                <w:szCs w:val="28"/>
              </w:rPr>
            </w:pPr>
            <w:r w:rsidRPr="0080273A">
              <w:rPr>
                <w:rFonts w:hAnsi="標楷體" w:cs="新細明體" w:hint="eastAsia"/>
                <w:color w:val="000000"/>
                <w:kern w:val="0"/>
                <w:sz w:val="28"/>
                <w:szCs w:val="28"/>
              </w:rPr>
              <w:t xml:space="preserve">541,687 </w:t>
            </w:r>
          </w:p>
        </w:tc>
      </w:tr>
      <w:tr w:rsidR="007102A0" w:rsidRPr="00D96363" w14:paraId="7852A484" w14:textId="77777777" w:rsidTr="00727BBF">
        <w:trPr>
          <w:trHeight w:val="397"/>
        </w:trPr>
        <w:tc>
          <w:tcPr>
            <w:tcW w:w="3896" w:type="dxa"/>
            <w:shd w:val="clear" w:color="auto" w:fill="auto"/>
            <w:noWrap/>
            <w:vAlign w:val="center"/>
            <w:hideMark/>
          </w:tcPr>
          <w:p w14:paraId="11D17D0A" w14:textId="77777777" w:rsidR="007102A0" w:rsidRPr="0080273A" w:rsidRDefault="007102A0" w:rsidP="00D312D0">
            <w:pPr>
              <w:widowControl/>
              <w:snapToGrid w:val="0"/>
              <w:jc w:val="center"/>
              <w:rPr>
                <w:rFonts w:hAnsi="標楷體" w:cs="新細明體"/>
                <w:color w:val="000000"/>
                <w:kern w:val="0"/>
                <w:sz w:val="28"/>
                <w:szCs w:val="28"/>
              </w:rPr>
            </w:pPr>
            <w:r w:rsidRPr="0080273A">
              <w:rPr>
                <w:rFonts w:hAnsi="標楷體" w:cs="新細明體" w:hint="eastAsia"/>
                <w:color w:val="000000"/>
                <w:kern w:val="0"/>
                <w:sz w:val="28"/>
                <w:szCs w:val="28"/>
              </w:rPr>
              <w:t>花蓮縣吉安鄉公所</w:t>
            </w:r>
          </w:p>
        </w:tc>
        <w:tc>
          <w:tcPr>
            <w:tcW w:w="3896" w:type="dxa"/>
            <w:shd w:val="clear" w:color="auto" w:fill="auto"/>
            <w:noWrap/>
            <w:vAlign w:val="center"/>
            <w:hideMark/>
          </w:tcPr>
          <w:p w14:paraId="2CB6B536" w14:textId="77777777" w:rsidR="007102A0" w:rsidRPr="0080273A" w:rsidRDefault="007102A0" w:rsidP="00D312D0">
            <w:pPr>
              <w:widowControl/>
              <w:snapToGrid w:val="0"/>
              <w:jc w:val="right"/>
              <w:rPr>
                <w:rFonts w:hAnsi="標楷體" w:cs="新細明體"/>
                <w:color w:val="000000"/>
                <w:kern w:val="0"/>
                <w:sz w:val="28"/>
                <w:szCs w:val="28"/>
              </w:rPr>
            </w:pPr>
            <w:r w:rsidRPr="0080273A">
              <w:rPr>
                <w:rFonts w:hAnsi="標楷體" w:cs="新細明體" w:hint="eastAsia"/>
                <w:color w:val="000000"/>
                <w:kern w:val="0"/>
                <w:sz w:val="28"/>
                <w:szCs w:val="28"/>
              </w:rPr>
              <w:t xml:space="preserve">3,138 </w:t>
            </w:r>
          </w:p>
        </w:tc>
      </w:tr>
    </w:tbl>
    <w:p w14:paraId="157E5C3C" w14:textId="77777777" w:rsidR="007102A0" w:rsidRPr="00814E7F" w:rsidRDefault="007102A0" w:rsidP="00727BBF">
      <w:pPr>
        <w:pStyle w:val="3"/>
        <w:numPr>
          <w:ilvl w:val="0"/>
          <w:numId w:val="0"/>
        </w:numPr>
        <w:snapToGrid w:val="0"/>
        <w:ind w:left="1134"/>
        <w:rPr>
          <w:sz w:val="24"/>
          <w:szCs w:val="24"/>
        </w:rPr>
      </w:pPr>
      <w:r w:rsidRPr="00814E7F">
        <w:rPr>
          <w:rFonts w:hint="eastAsia"/>
          <w:sz w:val="24"/>
          <w:szCs w:val="24"/>
        </w:rPr>
        <w:t>註</w:t>
      </w:r>
      <w:r w:rsidRPr="00814E7F">
        <w:rPr>
          <w:sz w:val="24"/>
          <w:szCs w:val="24"/>
        </w:rPr>
        <w:t>：資料</w:t>
      </w:r>
      <w:r>
        <w:rPr>
          <w:rFonts w:hint="eastAsia"/>
          <w:sz w:val="24"/>
          <w:szCs w:val="24"/>
        </w:rPr>
        <w:t>時間</w:t>
      </w:r>
      <w:r w:rsidRPr="00814E7F">
        <w:rPr>
          <w:rFonts w:hint="eastAsia"/>
          <w:sz w:val="24"/>
          <w:szCs w:val="24"/>
        </w:rPr>
        <w:t>統計</w:t>
      </w:r>
      <w:r w:rsidRPr="00814E7F">
        <w:rPr>
          <w:sz w:val="24"/>
          <w:szCs w:val="24"/>
        </w:rPr>
        <w:t>截至113年2月29日止。</w:t>
      </w:r>
    </w:p>
    <w:p w14:paraId="2BA51C13" w14:textId="77777777" w:rsidR="007102A0" w:rsidRPr="00F03489" w:rsidRDefault="007102A0" w:rsidP="00727BBF">
      <w:pPr>
        <w:snapToGrid w:val="0"/>
        <w:spacing w:afterLines="50" w:after="228"/>
        <w:ind w:leftChars="333" w:left="1133"/>
        <w:rPr>
          <w:sz w:val="24"/>
          <w:szCs w:val="24"/>
        </w:rPr>
      </w:pPr>
      <w:r w:rsidRPr="00F03489">
        <w:rPr>
          <w:rFonts w:hint="eastAsia"/>
          <w:sz w:val="24"/>
          <w:szCs w:val="24"/>
        </w:rPr>
        <w:t>資料來源</w:t>
      </w:r>
      <w:r w:rsidRPr="00F03489">
        <w:rPr>
          <w:sz w:val="24"/>
          <w:szCs w:val="24"/>
        </w:rPr>
        <w:t>：</w:t>
      </w:r>
      <w:r w:rsidRPr="00F03489">
        <w:rPr>
          <w:rFonts w:hint="eastAsia"/>
          <w:sz w:val="24"/>
          <w:szCs w:val="24"/>
        </w:rPr>
        <w:t>審計部</w:t>
      </w:r>
      <w:r>
        <w:rPr>
          <w:rFonts w:hint="eastAsia"/>
          <w:sz w:val="24"/>
          <w:szCs w:val="24"/>
        </w:rPr>
        <w:t>查核報告</w:t>
      </w:r>
      <w:r w:rsidRPr="00F03489">
        <w:rPr>
          <w:sz w:val="24"/>
          <w:szCs w:val="24"/>
        </w:rPr>
        <w:t>。</w:t>
      </w:r>
    </w:p>
    <w:p w14:paraId="6B029DBB" w14:textId="0521A6C9" w:rsidR="00E81B0D" w:rsidRDefault="003447B5" w:rsidP="00934A65">
      <w:pPr>
        <w:pStyle w:val="3"/>
      </w:pPr>
      <w:r>
        <w:rPr>
          <w:rFonts w:hint="eastAsia"/>
        </w:rPr>
        <w:t>再</w:t>
      </w:r>
      <w:r w:rsidR="00F059AD">
        <w:rPr>
          <w:rFonts w:hint="eastAsia"/>
        </w:rPr>
        <w:t>查</w:t>
      </w:r>
      <w:r w:rsidR="00F33F91">
        <w:rPr>
          <w:rFonts w:hint="eastAsia"/>
        </w:rPr>
        <w:t>，</w:t>
      </w:r>
      <w:r>
        <w:rPr>
          <w:rFonts w:hint="eastAsia"/>
        </w:rPr>
        <w:t>原民會為</w:t>
      </w:r>
      <w:r w:rsidR="00721EE7" w:rsidRPr="00F059AD">
        <w:rPr>
          <w:rFonts w:hint="eastAsia"/>
          <w:kern w:val="2"/>
        </w:rPr>
        <w:t>管理國有原住民保留地被占用案件之使用補償金收取情形，</w:t>
      </w:r>
      <w:r w:rsidR="00F059AD" w:rsidRPr="00F059AD">
        <w:rPr>
          <w:rFonts w:hint="eastAsia"/>
          <w:kern w:val="2"/>
        </w:rPr>
        <w:t>雖</w:t>
      </w:r>
      <w:r w:rsidR="00721EE7" w:rsidRPr="00F059AD">
        <w:rPr>
          <w:rFonts w:hint="eastAsia"/>
          <w:kern w:val="2"/>
        </w:rPr>
        <w:t>於土管系統</w:t>
      </w:r>
      <w:r w:rsidR="00721EE7" w:rsidRPr="008E4C1A">
        <w:rPr>
          <w:rFonts w:hint="eastAsia"/>
        </w:rPr>
        <w:t>「占用及使用補償金」</w:t>
      </w:r>
      <w:r w:rsidR="00721EE7">
        <w:rPr>
          <w:rFonts w:hint="eastAsia"/>
        </w:rPr>
        <w:t>模組下建置相關登錄功能</w:t>
      </w:r>
      <w:r w:rsidR="00B046FD">
        <w:rPr>
          <w:rFonts w:hint="eastAsia"/>
        </w:rPr>
        <w:t>，包括於</w:t>
      </w:r>
      <w:r w:rsidR="00B046FD" w:rsidRPr="00642F26">
        <w:rPr>
          <w:rFonts w:hint="eastAsia"/>
        </w:rPr>
        <w:t>「占</w:t>
      </w:r>
      <w:r w:rsidR="00B046FD" w:rsidRPr="00642F26">
        <w:rPr>
          <w:rFonts w:hint="eastAsia"/>
        </w:rPr>
        <w:lastRenderedPageBreak/>
        <w:t>用管理」子模組設置填報欄位</w:t>
      </w:r>
      <w:r w:rsidR="00B046FD">
        <w:rPr>
          <w:rFonts w:hint="eastAsia"/>
        </w:rPr>
        <w:t>，</w:t>
      </w:r>
      <w:r w:rsidR="00F33F91">
        <w:rPr>
          <w:rFonts w:hint="eastAsia"/>
        </w:rPr>
        <w:t>供</w:t>
      </w:r>
      <w:r w:rsidR="00B046FD" w:rsidRPr="00642F26">
        <w:rPr>
          <w:rFonts w:hint="eastAsia"/>
        </w:rPr>
        <w:t>各公所逐</w:t>
      </w:r>
      <w:r w:rsidR="00F33F91">
        <w:rPr>
          <w:rFonts w:hint="eastAsia"/>
        </w:rPr>
        <w:t>案</w:t>
      </w:r>
      <w:r w:rsidR="00B046FD" w:rsidRPr="00642F26">
        <w:rPr>
          <w:rFonts w:hint="eastAsia"/>
        </w:rPr>
        <w:t>登</w:t>
      </w:r>
      <w:r w:rsidR="00F33F91">
        <w:rPr>
          <w:rFonts w:hint="eastAsia"/>
        </w:rPr>
        <w:t>錄</w:t>
      </w:r>
      <w:r w:rsidR="00B046FD" w:rsidRPr="00642F26">
        <w:rPr>
          <w:rFonts w:hint="eastAsia"/>
        </w:rPr>
        <w:t>使用補償金</w:t>
      </w:r>
      <w:r w:rsidR="00B046FD">
        <w:rPr>
          <w:rFonts w:hint="eastAsia"/>
        </w:rPr>
        <w:t>收取</w:t>
      </w:r>
      <w:r w:rsidR="00B046FD" w:rsidRPr="00642F26">
        <w:rPr>
          <w:rFonts w:hint="eastAsia"/>
        </w:rPr>
        <w:t>情形</w:t>
      </w:r>
      <w:r w:rsidR="00B046FD">
        <w:rPr>
          <w:rFonts w:hint="eastAsia"/>
        </w:rPr>
        <w:t>；</w:t>
      </w:r>
      <w:r w:rsidR="00F33F91">
        <w:rPr>
          <w:rFonts w:hint="eastAsia"/>
        </w:rPr>
        <w:t>及</w:t>
      </w:r>
      <w:r w:rsidR="00B046FD" w:rsidRPr="00642F26">
        <w:rPr>
          <w:rFonts w:hint="eastAsia"/>
        </w:rPr>
        <w:t>於「使用補償金」子模組</w:t>
      </w:r>
      <w:r w:rsidR="00B046FD">
        <w:rPr>
          <w:rFonts w:hint="eastAsia"/>
        </w:rPr>
        <w:t>中</w:t>
      </w:r>
      <w:r w:rsidR="00B046FD" w:rsidRPr="00642F26">
        <w:rPr>
          <w:rFonts w:hint="eastAsia"/>
        </w:rPr>
        <w:t>，</w:t>
      </w:r>
      <w:r w:rsidR="00F33F91">
        <w:rPr>
          <w:rFonts w:hint="eastAsia"/>
        </w:rPr>
        <w:t>設</w:t>
      </w:r>
      <w:r w:rsidR="00B046FD" w:rsidRPr="00642F26">
        <w:rPr>
          <w:rFonts w:hint="eastAsia"/>
        </w:rPr>
        <w:t>置開單</w:t>
      </w:r>
      <w:r w:rsidR="00B046FD">
        <w:rPr>
          <w:rFonts w:hint="eastAsia"/>
        </w:rPr>
        <w:t>及</w:t>
      </w:r>
      <w:r w:rsidR="00B046FD" w:rsidRPr="00642F26">
        <w:rPr>
          <w:rFonts w:hint="eastAsia"/>
        </w:rPr>
        <w:t>收繳管理功能，</w:t>
      </w:r>
      <w:r w:rsidR="00B046FD">
        <w:rPr>
          <w:rFonts w:hint="eastAsia"/>
        </w:rPr>
        <w:t>協助</w:t>
      </w:r>
      <w:r w:rsidR="00B046FD" w:rsidRPr="00642F26">
        <w:rPr>
          <w:rFonts w:hint="eastAsia"/>
        </w:rPr>
        <w:t>各公所開立繳納通知單，並於占用人</w:t>
      </w:r>
      <w:r w:rsidR="00F33F91">
        <w:rPr>
          <w:rFonts w:hint="eastAsia"/>
        </w:rPr>
        <w:t>完成</w:t>
      </w:r>
      <w:r w:rsidR="00B046FD" w:rsidRPr="00642F26">
        <w:rPr>
          <w:rFonts w:hint="eastAsia"/>
        </w:rPr>
        <w:t>繳</w:t>
      </w:r>
      <w:r w:rsidR="00F33F91">
        <w:rPr>
          <w:rFonts w:hint="eastAsia"/>
        </w:rPr>
        <w:t>納</w:t>
      </w:r>
      <w:r w:rsidR="00B046FD" w:rsidRPr="00642F26">
        <w:rPr>
          <w:rFonts w:hint="eastAsia"/>
        </w:rPr>
        <w:t>後登載繳款日期</w:t>
      </w:r>
      <w:r w:rsidR="00B046FD">
        <w:rPr>
          <w:rFonts w:hint="eastAsia"/>
        </w:rPr>
        <w:t>。</w:t>
      </w:r>
      <w:r w:rsidR="00F059AD">
        <w:rPr>
          <w:rFonts w:hint="eastAsia"/>
        </w:rPr>
        <w:t>然而，</w:t>
      </w:r>
      <w:r w:rsidR="00F33F91">
        <w:rPr>
          <w:rFonts w:hint="eastAsia"/>
        </w:rPr>
        <w:t>該</w:t>
      </w:r>
      <w:r w:rsidR="00F059AD" w:rsidRPr="00B21B89">
        <w:rPr>
          <w:rFonts w:hint="eastAsia"/>
        </w:rPr>
        <w:t>模組</w:t>
      </w:r>
      <w:r w:rsidR="00F33F91">
        <w:rPr>
          <w:rFonts w:hint="eastAsia"/>
        </w:rPr>
        <w:t>主要著重於</w:t>
      </w:r>
      <w:r w:rsidR="00F059AD" w:rsidRPr="00B21B89">
        <w:rPr>
          <w:rFonts w:hint="eastAsia"/>
        </w:rPr>
        <w:t>資料</w:t>
      </w:r>
      <w:r w:rsidR="00F059AD">
        <w:rPr>
          <w:rFonts w:hint="eastAsia"/>
        </w:rPr>
        <w:t>登載</w:t>
      </w:r>
      <w:r w:rsidR="00F059AD" w:rsidRPr="00B21B89">
        <w:rPr>
          <w:rFonts w:hint="eastAsia"/>
        </w:rPr>
        <w:t>之行政輔助</w:t>
      </w:r>
      <w:r w:rsidR="001E0A78">
        <w:rPr>
          <w:rFonts w:hint="eastAsia"/>
        </w:rPr>
        <w:t>性質</w:t>
      </w:r>
      <w:r w:rsidR="00F059AD" w:rsidRPr="00B21B89">
        <w:rPr>
          <w:rFonts w:hint="eastAsia"/>
        </w:rPr>
        <w:t>，</w:t>
      </w:r>
      <w:r w:rsidR="00F059AD">
        <w:rPr>
          <w:rFonts w:hint="eastAsia"/>
        </w:rPr>
        <w:t>對於</w:t>
      </w:r>
      <w:r w:rsidR="00F059AD" w:rsidRPr="00B21B89">
        <w:rPr>
          <w:rFonts w:hint="eastAsia"/>
        </w:rPr>
        <w:t>占用</w:t>
      </w:r>
      <w:r w:rsidR="00F059AD">
        <w:rPr>
          <w:rFonts w:hint="eastAsia"/>
        </w:rPr>
        <w:t>情形持續存在</w:t>
      </w:r>
      <w:r w:rsidR="00F33F91">
        <w:rPr>
          <w:rFonts w:hint="eastAsia"/>
        </w:rPr>
        <w:t>卻</w:t>
      </w:r>
      <w:r w:rsidR="00F059AD" w:rsidRPr="00B21B89">
        <w:rPr>
          <w:rFonts w:hint="eastAsia"/>
        </w:rPr>
        <w:t>未</w:t>
      </w:r>
      <w:r w:rsidR="00F059AD">
        <w:rPr>
          <w:rFonts w:hint="eastAsia"/>
        </w:rPr>
        <w:t>及時</w:t>
      </w:r>
      <w:r w:rsidR="00F059AD" w:rsidRPr="00B21B89">
        <w:rPr>
          <w:rFonts w:hint="eastAsia"/>
        </w:rPr>
        <w:t>開單通知繳納之案件，</w:t>
      </w:r>
      <w:r w:rsidR="00F059AD">
        <w:rPr>
          <w:rFonts w:hint="eastAsia"/>
        </w:rPr>
        <w:t>缺乏</w:t>
      </w:r>
      <w:r w:rsidR="00E03D96">
        <w:rPr>
          <w:rFonts w:hint="eastAsia"/>
        </w:rPr>
        <w:t>異常</w:t>
      </w:r>
      <w:r w:rsidR="00F059AD" w:rsidRPr="00B21B89">
        <w:rPr>
          <w:rFonts w:hint="eastAsia"/>
        </w:rPr>
        <w:t>警示</w:t>
      </w:r>
      <w:r w:rsidR="00F33F91">
        <w:rPr>
          <w:rFonts w:hint="eastAsia"/>
        </w:rPr>
        <w:t>或主動提醒等機制，</w:t>
      </w:r>
      <w:r w:rsidR="001E0A78">
        <w:rPr>
          <w:rFonts w:hint="eastAsia"/>
        </w:rPr>
        <w:t>無法</w:t>
      </w:r>
      <w:r w:rsidR="00F33F91">
        <w:rPr>
          <w:rFonts w:hint="eastAsia"/>
        </w:rPr>
        <w:t>發揮預警或督導功能</w:t>
      </w:r>
      <w:r w:rsidR="00F059AD">
        <w:rPr>
          <w:rFonts w:hint="eastAsia"/>
        </w:rPr>
        <w:t>。</w:t>
      </w:r>
      <w:r w:rsidR="001E0A78">
        <w:rPr>
          <w:rFonts w:hint="eastAsia"/>
        </w:rPr>
        <w:t>另</w:t>
      </w:r>
      <w:r w:rsidR="00F059AD" w:rsidRPr="00B21B89">
        <w:rPr>
          <w:rFonts w:hint="eastAsia"/>
        </w:rPr>
        <w:t>對於已進入司法程序之占用案件，</w:t>
      </w:r>
      <w:r w:rsidR="00F059AD">
        <w:rPr>
          <w:rFonts w:hint="eastAsia"/>
        </w:rPr>
        <w:t>系統</w:t>
      </w:r>
      <w:r w:rsidR="007079AF">
        <w:rPr>
          <w:rFonts w:hint="eastAsia"/>
        </w:rPr>
        <w:t>亦</w:t>
      </w:r>
      <w:r w:rsidR="00F059AD" w:rsidRPr="00B21B89">
        <w:rPr>
          <w:rFonts w:hint="eastAsia"/>
        </w:rPr>
        <w:t>未</w:t>
      </w:r>
      <w:r w:rsidR="001E0A78">
        <w:rPr>
          <w:rFonts w:hint="eastAsia"/>
        </w:rPr>
        <w:t>設</w:t>
      </w:r>
      <w:r w:rsidR="00F059AD" w:rsidRPr="00B21B89">
        <w:rPr>
          <w:rFonts w:hint="eastAsia"/>
        </w:rPr>
        <w:t>置</w:t>
      </w:r>
      <w:r w:rsidR="001E0A78">
        <w:rPr>
          <w:rFonts w:hint="eastAsia"/>
        </w:rPr>
        <w:t>完整</w:t>
      </w:r>
      <w:r w:rsidR="00F059AD" w:rsidRPr="00B21B89">
        <w:rPr>
          <w:rFonts w:hint="eastAsia"/>
        </w:rPr>
        <w:t>填報欄位</w:t>
      </w:r>
      <w:r w:rsidR="00F059AD">
        <w:rPr>
          <w:rFonts w:hint="eastAsia"/>
        </w:rPr>
        <w:t>，</w:t>
      </w:r>
      <w:r w:rsidR="001E0A78">
        <w:rPr>
          <w:rFonts w:hint="eastAsia"/>
        </w:rPr>
        <w:t>難以即時</w:t>
      </w:r>
      <w:r w:rsidR="00F059AD">
        <w:rPr>
          <w:rFonts w:hint="eastAsia"/>
        </w:rPr>
        <w:t>掌握</w:t>
      </w:r>
      <w:r w:rsidR="00F059AD" w:rsidRPr="00B21B89">
        <w:rPr>
          <w:rFonts w:hint="eastAsia"/>
        </w:rPr>
        <w:t>個案訴訟進度</w:t>
      </w:r>
      <w:r w:rsidR="001E0A78">
        <w:rPr>
          <w:rFonts w:hint="eastAsia"/>
        </w:rPr>
        <w:t>與判決結果</w:t>
      </w:r>
      <w:r w:rsidR="00F059AD" w:rsidRPr="00B21B89">
        <w:rPr>
          <w:rFonts w:hint="eastAsia"/>
        </w:rPr>
        <w:t>，</w:t>
      </w:r>
      <w:r w:rsidR="00F059AD">
        <w:rPr>
          <w:rFonts w:hint="eastAsia"/>
        </w:rPr>
        <w:t>不利於</w:t>
      </w:r>
      <w:r w:rsidR="00633598">
        <w:rPr>
          <w:rFonts w:hint="eastAsia"/>
        </w:rPr>
        <w:t>針對</w:t>
      </w:r>
      <w:r w:rsidR="001E0A78">
        <w:rPr>
          <w:rFonts w:hint="eastAsia"/>
        </w:rPr>
        <w:t>判決</w:t>
      </w:r>
      <w:r w:rsidR="00F059AD" w:rsidRPr="00B21B89">
        <w:rPr>
          <w:rFonts w:hint="eastAsia"/>
        </w:rPr>
        <w:t>勝訴案件</w:t>
      </w:r>
      <w:r w:rsidR="001E0A78">
        <w:rPr>
          <w:rFonts w:hint="eastAsia"/>
        </w:rPr>
        <w:t>，管控</w:t>
      </w:r>
      <w:r w:rsidR="00F33F91">
        <w:rPr>
          <w:rFonts w:hint="eastAsia"/>
        </w:rPr>
        <w:t>不當得利</w:t>
      </w:r>
      <w:r w:rsidR="001E0A78">
        <w:rPr>
          <w:rFonts w:hint="eastAsia"/>
        </w:rPr>
        <w:t>追繳</w:t>
      </w:r>
      <w:r w:rsidR="00F059AD">
        <w:rPr>
          <w:rFonts w:hint="eastAsia"/>
        </w:rPr>
        <w:t>作業。</w:t>
      </w:r>
    </w:p>
    <w:p w14:paraId="7B5277FC" w14:textId="0BD0B42E" w:rsidR="00DD3E7C" w:rsidRPr="00D614BD" w:rsidRDefault="00D536F0" w:rsidP="00934A65">
      <w:pPr>
        <w:pStyle w:val="3"/>
      </w:pPr>
      <w:r w:rsidRPr="00D614BD">
        <w:rPr>
          <w:rFonts w:hint="eastAsia"/>
        </w:rPr>
        <w:t>詢據</w:t>
      </w:r>
      <w:r w:rsidR="00DD3E7C" w:rsidRPr="00D614BD">
        <w:rPr>
          <w:rFonts w:hint="eastAsia"/>
        </w:rPr>
        <w:t>原民會</w:t>
      </w:r>
      <w:r w:rsidRPr="00D614BD">
        <w:rPr>
          <w:rFonts w:hint="eastAsia"/>
        </w:rPr>
        <w:t>表示，已</w:t>
      </w:r>
      <w:r w:rsidR="00DD3E7C" w:rsidRPr="00D614BD">
        <w:rPr>
          <w:rFonts w:hint="eastAsia"/>
        </w:rPr>
        <w:t>針對列管占用案件未及時通知收繳使用補償金等情，研</w:t>
      </w:r>
      <w:r w:rsidRPr="00D614BD">
        <w:rPr>
          <w:rFonts w:hint="eastAsia"/>
        </w:rPr>
        <w:t>擬多項改善措施，包括：滯存鄉（鎮）庫之</w:t>
      </w:r>
      <w:r w:rsidR="002E5013">
        <w:rPr>
          <w:rFonts w:hint="eastAsia"/>
        </w:rPr>
        <w:t>使用</w:t>
      </w:r>
      <w:r w:rsidRPr="00D614BD">
        <w:rPr>
          <w:rFonts w:hint="eastAsia"/>
        </w:rPr>
        <w:t>補償金均已繳回國庫</w:t>
      </w:r>
      <w:r w:rsidR="00032A61">
        <w:rPr>
          <w:rFonts w:hint="eastAsia"/>
        </w:rPr>
        <w:t>；已</w:t>
      </w:r>
      <w:r w:rsidRPr="00D614BD">
        <w:rPr>
          <w:rFonts w:hint="eastAsia"/>
        </w:rPr>
        <w:t>判決確定</w:t>
      </w:r>
      <w:r w:rsidR="00032A61">
        <w:rPr>
          <w:rFonts w:hint="eastAsia"/>
        </w:rPr>
        <w:t>計214錄之使用補償金</w:t>
      </w:r>
      <w:r w:rsidRPr="00D614BD">
        <w:rPr>
          <w:rFonts w:hint="eastAsia"/>
        </w:rPr>
        <w:t>，尚有部分案件</w:t>
      </w:r>
      <w:r w:rsidR="00DD3E7C" w:rsidRPr="00D614BD">
        <w:rPr>
          <w:rFonts w:hint="eastAsia"/>
        </w:rPr>
        <w:t>未完成繳回，仍持續追蹤，並擬定期召開</w:t>
      </w:r>
      <w:r w:rsidR="00F70D8C" w:rsidRPr="00D614BD">
        <w:rPr>
          <w:rFonts w:hint="eastAsia"/>
        </w:rPr>
        <w:t>列管案件工作會議，強化地方機關之進度報告與督導機制；同時研擬</w:t>
      </w:r>
      <w:r w:rsidR="00491D86">
        <w:rPr>
          <w:rFonts w:hint="eastAsia"/>
        </w:rPr>
        <w:t>《</w:t>
      </w:r>
      <w:r w:rsidR="00F70D8C" w:rsidRPr="00D614BD">
        <w:rPr>
          <w:rFonts w:hint="eastAsia"/>
        </w:rPr>
        <w:t>收取國有原住民保留地使用補償金及解繳國庫之作業說明（草案）</w:t>
      </w:r>
      <w:r w:rsidR="00491D86">
        <w:rPr>
          <w:rFonts w:hint="eastAsia"/>
        </w:rPr>
        <w:t>》</w:t>
      </w:r>
      <w:r w:rsidR="00F70D8C" w:rsidRPr="00D614BD">
        <w:rPr>
          <w:rFonts w:hint="eastAsia"/>
        </w:rPr>
        <w:t>，</w:t>
      </w:r>
      <w:r w:rsidR="00192104" w:rsidRPr="00D614BD">
        <w:rPr>
          <w:rFonts w:hint="eastAsia"/>
        </w:rPr>
        <w:t>具體規範開單</w:t>
      </w:r>
      <w:r w:rsidR="00DD3E7C" w:rsidRPr="00D614BD">
        <w:rPr>
          <w:rFonts w:hint="eastAsia"/>
        </w:rPr>
        <w:t>收取</w:t>
      </w:r>
      <w:r w:rsidR="00192104" w:rsidRPr="00D614BD">
        <w:rPr>
          <w:rFonts w:hint="eastAsia"/>
        </w:rPr>
        <w:t>使用</w:t>
      </w:r>
      <w:r w:rsidR="00DD3E7C" w:rsidRPr="00D614BD">
        <w:rPr>
          <w:rFonts w:hint="eastAsia"/>
        </w:rPr>
        <w:t>補償金</w:t>
      </w:r>
      <w:r w:rsidR="00192104" w:rsidRPr="00D614BD">
        <w:rPr>
          <w:rFonts w:hint="eastAsia"/>
        </w:rPr>
        <w:t>及繳回國庫</w:t>
      </w:r>
      <w:r w:rsidR="00DD3E7C" w:rsidRPr="00D614BD">
        <w:rPr>
          <w:rFonts w:hint="eastAsia"/>
        </w:rPr>
        <w:t>之作業流程</w:t>
      </w:r>
      <w:r w:rsidR="00192104" w:rsidRPr="00D614BD">
        <w:rPr>
          <w:rFonts w:hint="eastAsia"/>
        </w:rPr>
        <w:t>與期限</w:t>
      </w:r>
      <w:r w:rsidR="00DD3E7C" w:rsidRPr="00D614BD">
        <w:rPr>
          <w:rFonts w:hint="eastAsia"/>
        </w:rPr>
        <w:t>，</w:t>
      </w:r>
      <w:r w:rsidR="00F70D8C" w:rsidRPr="00D614BD">
        <w:rPr>
          <w:rFonts w:hint="eastAsia"/>
        </w:rPr>
        <w:t>並</w:t>
      </w:r>
      <w:r w:rsidR="00DD3E7C" w:rsidRPr="00D614BD">
        <w:rPr>
          <w:rFonts w:hint="eastAsia"/>
        </w:rPr>
        <w:t>納入占用處理標準作業程序，</w:t>
      </w:r>
      <w:r w:rsidR="00192104" w:rsidRPr="00D614BD">
        <w:rPr>
          <w:rFonts w:hint="eastAsia"/>
        </w:rPr>
        <w:t>以及</w:t>
      </w:r>
      <w:r w:rsidR="00032A61">
        <w:rPr>
          <w:rFonts w:hint="eastAsia"/>
        </w:rPr>
        <w:t>年度</w:t>
      </w:r>
      <w:r w:rsidR="00F70D8C" w:rsidRPr="00D614BD">
        <w:rPr>
          <w:rFonts w:hint="eastAsia"/>
        </w:rPr>
        <w:t>計畫進行督導，完備管控程序</w:t>
      </w:r>
      <w:r w:rsidR="00DD3E7C" w:rsidRPr="00D614BD">
        <w:rPr>
          <w:rFonts w:hint="eastAsia"/>
        </w:rPr>
        <w:t>。</w:t>
      </w:r>
      <w:r w:rsidR="00192104" w:rsidRPr="00D614BD">
        <w:rPr>
          <w:rFonts w:hint="eastAsia"/>
        </w:rPr>
        <w:t>另</w:t>
      </w:r>
      <w:r w:rsidR="00DD3E7C" w:rsidRPr="00D614BD">
        <w:rPr>
          <w:rFonts w:hint="eastAsia"/>
        </w:rPr>
        <w:t>為提升資訊系統</w:t>
      </w:r>
      <w:r w:rsidR="00A5528B" w:rsidRPr="00D614BD">
        <w:rPr>
          <w:rFonts w:hint="eastAsia"/>
        </w:rPr>
        <w:t>的</w:t>
      </w:r>
      <w:r w:rsidR="00192104" w:rsidRPr="00D614BD">
        <w:rPr>
          <w:rFonts w:hint="eastAsia"/>
        </w:rPr>
        <w:t>積極</w:t>
      </w:r>
      <w:r w:rsidR="00DD3E7C" w:rsidRPr="00D614BD">
        <w:rPr>
          <w:rFonts w:hint="eastAsia"/>
        </w:rPr>
        <w:t>功能，</w:t>
      </w:r>
      <w:r w:rsidR="00192104" w:rsidRPr="00D614BD">
        <w:rPr>
          <w:rFonts w:hint="eastAsia"/>
        </w:rPr>
        <w:t>刻正</w:t>
      </w:r>
      <w:r w:rsidR="00DD3E7C" w:rsidRPr="00D614BD">
        <w:rPr>
          <w:rFonts w:hint="eastAsia"/>
        </w:rPr>
        <w:t>研議增修土管系統，</w:t>
      </w:r>
      <w:r w:rsidR="00D614BD" w:rsidRPr="00D614BD">
        <w:rPr>
          <w:rFonts w:hint="eastAsia"/>
        </w:rPr>
        <w:t>業已召開工作會議，提出增加「尚未收取使用補償金」查詢條件之需求，以利快速篩選未繳納案件清單。後續將進一步針對尚未收取使用補償金、已收取但尚未繳庫、不當得利收繳情形等各類欄位，研議列管方式</w:t>
      </w:r>
      <w:r w:rsidR="00DD3E7C" w:rsidRPr="00D614BD">
        <w:rPr>
          <w:rFonts w:hint="eastAsia"/>
        </w:rPr>
        <w:t>。</w:t>
      </w:r>
    </w:p>
    <w:p w14:paraId="4DFCBB76" w14:textId="4DB22E8B" w:rsidR="00892B28" w:rsidRDefault="00CB25E2" w:rsidP="00892B28">
      <w:pPr>
        <w:pStyle w:val="3"/>
        <w:rPr>
          <w:szCs w:val="32"/>
        </w:rPr>
      </w:pPr>
      <w:r w:rsidRPr="00727BBF">
        <w:rPr>
          <w:rFonts w:hint="eastAsia"/>
        </w:rPr>
        <w:t>綜上所述，</w:t>
      </w:r>
      <w:r w:rsidR="000D3A2D" w:rsidRPr="00727BBF">
        <w:rPr>
          <w:rFonts w:hint="eastAsia"/>
        </w:rPr>
        <w:t>原民會雖已就國有原住民保留地被占用案件訂定相關處理規範，要求應依法收取使用補償金並解繳國庫，惟實務執行上因配套作業不周、土</w:t>
      </w:r>
      <w:r w:rsidR="000D3A2D" w:rsidRPr="00727BBF">
        <w:rPr>
          <w:rFonts w:hint="eastAsia"/>
        </w:rPr>
        <w:lastRenderedPageBreak/>
        <w:t>管系統欠缺異常警示功能，且未建立有效督導機制，致超過半數之列管案件未及時通知占用人繳納，政府債權未獲妥適保全，恐已受損；另部分</w:t>
      </w:r>
      <w:r w:rsidR="000D3A2D" w:rsidRPr="00727BBF">
        <w:rPr>
          <w:rFonts w:hAnsi="標楷體" w:hint="eastAsia"/>
        </w:rPr>
        <w:t>使用補償金收取後長期滯存於公所，據審計部抽查發現，截至112年底止有新竹縣關西鎮公所及尖石鄉</w:t>
      </w:r>
      <w:r w:rsidR="000D3A2D" w:rsidRPr="00727BBF">
        <w:rPr>
          <w:rFonts w:hAnsi="標楷體" w:hint="eastAsia"/>
          <w:szCs w:val="32"/>
        </w:rPr>
        <w:t>公所、宜蘭</w:t>
      </w:r>
      <w:r w:rsidR="00E62908" w:rsidRPr="00727BBF">
        <w:rPr>
          <w:rFonts w:hAnsi="標楷體" w:hint="eastAsia"/>
          <w:szCs w:val="32"/>
        </w:rPr>
        <w:t>縣</w:t>
      </w:r>
      <w:r w:rsidR="000D3A2D" w:rsidRPr="00727BBF">
        <w:rPr>
          <w:rFonts w:hAnsi="標楷體" w:hint="eastAsia"/>
          <w:szCs w:val="32"/>
        </w:rPr>
        <w:t>南澳鄉公所、南投縣信義鄉公所、</w:t>
      </w:r>
      <w:r w:rsidR="000D3A2D" w:rsidRPr="00727BBF">
        <w:rPr>
          <w:rFonts w:hAnsi="標楷體" w:cs="新細明體" w:hint="eastAsia"/>
          <w:kern w:val="0"/>
          <w:szCs w:val="32"/>
        </w:rPr>
        <w:t>屏東縣瑪家鄉公所、花蓮縣吉安鄉公所</w:t>
      </w:r>
      <w:r w:rsidR="000D3A2D" w:rsidRPr="00727BBF">
        <w:rPr>
          <w:rFonts w:hAnsi="標楷體" w:hint="eastAsia"/>
          <w:szCs w:val="32"/>
        </w:rPr>
        <w:t>等6個公所，已收取使用補償金合計約137萬餘元，卻未依規定解繳國庫，滯存於鄉（鎮）庫內，</w:t>
      </w:r>
      <w:r w:rsidR="000D3A2D" w:rsidRPr="00727BBF">
        <w:rPr>
          <w:rFonts w:hint="eastAsia"/>
          <w:szCs w:val="32"/>
        </w:rPr>
        <w:t>衍生財務及現金管理風險，</w:t>
      </w:r>
      <w:r w:rsidR="000D3A2D" w:rsidRPr="00727BBF">
        <w:rPr>
          <w:rFonts w:hAnsi="標楷體" w:hint="eastAsia"/>
          <w:szCs w:val="32"/>
        </w:rPr>
        <w:t>財務處置洵有疏失</w:t>
      </w:r>
      <w:r w:rsidR="00727BBF" w:rsidRPr="00727BBF">
        <w:rPr>
          <w:rFonts w:hAnsi="標楷體" w:hint="eastAsia"/>
          <w:szCs w:val="32"/>
        </w:rPr>
        <w:t>，</w:t>
      </w:r>
      <w:r w:rsidR="000D3A2D" w:rsidRPr="00727BBF">
        <w:rPr>
          <w:rFonts w:hint="eastAsia"/>
          <w:szCs w:val="32"/>
        </w:rPr>
        <w:t>均有未當。原民會雖已研擬多項改善措施，惟多屬初步規劃，仍應依時程確實推動，俾建立完善之管理與督導機制，通盤掌握使用補償金收繳情形，促使地方政府落實執行，以提升國有原住民保留地占用案件整體管理成效</w:t>
      </w:r>
      <w:r w:rsidR="00892B28" w:rsidRPr="00727BBF">
        <w:rPr>
          <w:rFonts w:hint="eastAsia"/>
          <w:szCs w:val="32"/>
        </w:rPr>
        <w:t>。</w:t>
      </w:r>
    </w:p>
    <w:p w14:paraId="47B07139" w14:textId="2682CC3F" w:rsidR="00EE766C" w:rsidRPr="001D3CBD" w:rsidRDefault="001D3CBD" w:rsidP="00860F01">
      <w:pPr>
        <w:pStyle w:val="2"/>
        <w:spacing w:beforeLines="50" w:before="228"/>
        <w:ind w:left="1020" w:hanging="680"/>
        <w:rPr>
          <w:b/>
        </w:rPr>
      </w:pPr>
      <w:bookmarkStart w:id="53" w:name="_Hlk204424172"/>
      <w:r w:rsidRPr="001D3CBD">
        <w:rPr>
          <w:rFonts w:hint="eastAsia"/>
          <w:b/>
        </w:rPr>
        <w:t>原住民族土地對族群發展、文化傳承及社會穩定具有關鍵性意義，攸關其生存權、發展權及文化權之實現。為落實原住民族基本法所揭示之原住民族土地及自然資源權利保障，原民會應以更積極、務實的態度面對原住民保留地管理問題，除儘速推動相關專法，提升政策法制基礎，同時檢討現行組織規模與人力配置，強化中央統籌治理能量與地方執行機制，建構完善土地管理體系，以提升政策執行效率，確保原住民族土地權益之實質保障</w:t>
      </w:r>
      <w:r w:rsidR="00860F01" w:rsidRPr="001D3CBD">
        <w:rPr>
          <w:rFonts w:hint="eastAsia"/>
          <w:b/>
        </w:rPr>
        <w:t>。</w:t>
      </w:r>
    </w:p>
    <w:p w14:paraId="2ECAEA4A" w14:textId="5339E93D" w:rsidR="001A07A0" w:rsidRDefault="001570D6" w:rsidP="0032772A">
      <w:pPr>
        <w:pStyle w:val="3"/>
      </w:pPr>
      <w:r w:rsidRPr="00363CB6">
        <w:rPr>
          <w:rFonts w:hint="eastAsia"/>
        </w:rPr>
        <w:t>原住民族土地</w:t>
      </w:r>
      <w:r w:rsidR="0036708F">
        <w:rPr>
          <w:rFonts w:hint="eastAsia"/>
        </w:rPr>
        <w:t>係原住民族</w:t>
      </w:r>
      <w:r w:rsidR="002A62E1">
        <w:rPr>
          <w:rFonts w:hint="eastAsia"/>
        </w:rPr>
        <w:t>經濟生計的基礎，承載族群</w:t>
      </w:r>
      <w:r w:rsidR="00256B5E">
        <w:rPr>
          <w:rFonts w:hint="eastAsia"/>
        </w:rPr>
        <w:t>的歷史記憶、</w:t>
      </w:r>
      <w:r w:rsidR="002A62E1">
        <w:rPr>
          <w:rFonts w:hint="eastAsia"/>
        </w:rPr>
        <w:t>文化</w:t>
      </w:r>
      <w:r w:rsidR="00256B5E">
        <w:rPr>
          <w:rFonts w:hint="eastAsia"/>
        </w:rPr>
        <w:t>實踐</w:t>
      </w:r>
      <w:r w:rsidR="002A62E1">
        <w:rPr>
          <w:rFonts w:hint="eastAsia"/>
        </w:rPr>
        <w:t>與集體認同，</w:t>
      </w:r>
      <w:r w:rsidR="00363CB6" w:rsidRPr="00363CB6">
        <w:rPr>
          <w:rFonts w:hint="eastAsia"/>
        </w:rPr>
        <w:t>攸關</w:t>
      </w:r>
      <w:r w:rsidR="0036708F">
        <w:rPr>
          <w:rFonts w:hint="eastAsia"/>
        </w:rPr>
        <w:t>其</w:t>
      </w:r>
      <w:r w:rsidR="00363CB6" w:rsidRPr="00363CB6">
        <w:rPr>
          <w:rFonts w:hint="eastAsia"/>
        </w:rPr>
        <w:t>生存權、發展權及文化權</w:t>
      </w:r>
      <w:r w:rsidR="00256B5E">
        <w:rPr>
          <w:rFonts w:hint="eastAsia"/>
        </w:rPr>
        <w:t>的具體</w:t>
      </w:r>
      <w:r w:rsidR="00363CB6" w:rsidRPr="00363CB6">
        <w:rPr>
          <w:rFonts w:hint="eastAsia"/>
        </w:rPr>
        <w:t>實現</w:t>
      </w:r>
      <w:r w:rsidR="0085758A">
        <w:rPr>
          <w:rFonts w:hint="eastAsia"/>
        </w:rPr>
        <w:t>，為族群權利保障的核心課題</w:t>
      </w:r>
      <w:r w:rsidRPr="00363CB6">
        <w:rPr>
          <w:rFonts w:hint="eastAsia"/>
        </w:rPr>
        <w:t>。</w:t>
      </w:r>
      <w:r w:rsidR="001A07A0">
        <w:rPr>
          <w:rFonts w:hint="eastAsia"/>
        </w:rPr>
        <w:t>依原住民族基本法第2條第5</w:t>
      </w:r>
      <w:r w:rsidR="0032772A">
        <w:rPr>
          <w:rFonts w:hint="eastAsia"/>
        </w:rPr>
        <w:t>款規定，原住民族土地</w:t>
      </w:r>
      <w:r w:rsidR="0036708F">
        <w:rPr>
          <w:rFonts w:hint="eastAsia"/>
        </w:rPr>
        <w:t>區分為傳統領域與原住民保留地兩</w:t>
      </w:r>
      <w:r w:rsidR="0036708F">
        <w:rPr>
          <w:rFonts w:hint="eastAsia"/>
        </w:rPr>
        <w:lastRenderedPageBreak/>
        <w:t>類。</w:t>
      </w:r>
      <w:r w:rsidR="0032772A" w:rsidRPr="0032772A">
        <w:rPr>
          <w:rFonts w:hint="eastAsia"/>
        </w:rPr>
        <w:t>前者屬</w:t>
      </w:r>
      <w:r w:rsidR="0036708F">
        <w:rPr>
          <w:rFonts w:hint="eastAsia"/>
        </w:rPr>
        <w:t>於原住民族</w:t>
      </w:r>
      <w:r w:rsidR="0032772A" w:rsidRPr="0032772A">
        <w:rPr>
          <w:rFonts w:hint="eastAsia"/>
        </w:rPr>
        <w:t>集體所有</w:t>
      </w:r>
      <w:r w:rsidR="0036708F">
        <w:rPr>
          <w:rFonts w:hint="eastAsia"/>
        </w:rPr>
        <w:t>，</w:t>
      </w:r>
      <w:r w:rsidR="0032772A" w:rsidRPr="0032772A">
        <w:rPr>
          <w:rFonts w:hint="eastAsia"/>
        </w:rPr>
        <w:t>並與部落領域密切相關</w:t>
      </w:r>
      <w:r w:rsidR="00C4769C">
        <w:rPr>
          <w:rStyle w:val="afe"/>
        </w:rPr>
        <w:footnoteReference w:id="5"/>
      </w:r>
      <w:r w:rsidR="0036708F">
        <w:rPr>
          <w:rFonts w:hint="eastAsia"/>
        </w:rPr>
        <w:t>；</w:t>
      </w:r>
      <w:r w:rsidR="0032772A" w:rsidRPr="0032772A">
        <w:rPr>
          <w:rFonts w:hint="eastAsia"/>
        </w:rPr>
        <w:t>後者則係政府為保障原住民生計</w:t>
      </w:r>
      <w:r w:rsidR="0036708F">
        <w:rPr>
          <w:rFonts w:hint="eastAsia"/>
        </w:rPr>
        <w:t>及</w:t>
      </w:r>
      <w:r w:rsidR="0032772A" w:rsidRPr="0032772A">
        <w:rPr>
          <w:rFonts w:hint="eastAsia"/>
        </w:rPr>
        <w:t>推動</w:t>
      </w:r>
      <w:r w:rsidR="0036708F">
        <w:rPr>
          <w:rFonts w:hint="eastAsia"/>
        </w:rPr>
        <w:t>行政措施所劃設</w:t>
      </w:r>
      <w:r w:rsidR="0085758A">
        <w:rPr>
          <w:rFonts w:hint="eastAsia"/>
        </w:rPr>
        <w:t>之</w:t>
      </w:r>
      <w:r w:rsidR="00573DD0">
        <w:rPr>
          <w:rFonts w:hint="eastAsia"/>
        </w:rPr>
        <w:t>土</w:t>
      </w:r>
      <w:r w:rsidR="0085758A">
        <w:rPr>
          <w:rFonts w:hint="eastAsia"/>
        </w:rPr>
        <w:t>地</w:t>
      </w:r>
      <w:r w:rsidR="0032772A">
        <w:rPr>
          <w:rFonts w:hint="eastAsia"/>
        </w:rPr>
        <w:t>。然而，長年</w:t>
      </w:r>
      <w:r w:rsidR="0036708F">
        <w:rPr>
          <w:rFonts w:hint="eastAsia"/>
        </w:rPr>
        <w:t>以</w:t>
      </w:r>
      <w:r w:rsidR="0032772A">
        <w:rPr>
          <w:rFonts w:hint="eastAsia"/>
        </w:rPr>
        <w:t>來</w:t>
      </w:r>
      <w:r w:rsidR="0036708F">
        <w:rPr>
          <w:rFonts w:hint="eastAsia"/>
        </w:rPr>
        <w:t>，</w:t>
      </w:r>
      <w:r w:rsidR="0032772A">
        <w:rPr>
          <w:rFonts w:hint="eastAsia"/>
        </w:rPr>
        <w:t>原住民保留地管理</w:t>
      </w:r>
      <w:r w:rsidR="0085758A">
        <w:rPr>
          <w:rFonts w:hint="eastAsia"/>
        </w:rPr>
        <w:t>問題</w:t>
      </w:r>
      <w:r w:rsidR="0032772A">
        <w:rPr>
          <w:rFonts w:hint="eastAsia"/>
        </w:rPr>
        <w:t>叢生，</w:t>
      </w:r>
      <w:r w:rsidR="0036708F">
        <w:rPr>
          <w:rFonts w:hint="eastAsia"/>
        </w:rPr>
        <w:t>非法占用、非原住民交易、</w:t>
      </w:r>
      <w:r w:rsidR="0032772A" w:rsidRPr="0032772A">
        <w:rPr>
          <w:rFonts w:hint="eastAsia"/>
        </w:rPr>
        <w:t>設定抵押</w:t>
      </w:r>
      <w:r w:rsidR="0036708F">
        <w:rPr>
          <w:rFonts w:hint="eastAsia"/>
        </w:rPr>
        <w:t>等</w:t>
      </w:r>
      <w:r w:rsidR="0085758A">
        <w:rPr>
          <w:rFonts w:hint="eastAsia"/>
        </w:rPr>
        <w:t>爭議層出不窮</w:t>
      </w:r>
      <w:r w:rsidR="00FE1550">
        <w:rPr>
          <w:rFonts w:hint="eastAsia"/>
        </w:rPr>
        <w:t>，</w:t>
      </w:r>
      <w:r w:rsidR="0085758A">
        <w:rPr>
          <w:rFonts w:hint="eastAsia"/>
        </w:rPr>
        <w:t>反映現行體制亟需重整，對於原住民保留地之管理應有更積極</w:t>
      </w:r>
      <w:r w:rsidR="001D3CBD">
        <w:rPr>
          <w:rFonts w:hint="eastAsia"/>
        </w:rPr>
        <w:t>、</w:t>
      </w:r>
      <w:r w:rsidR="0085758A">
        <w:rPr>
          <w:rFonts w:hint="eastAsia"/>
        </w:rPr>
        <w:t>務實的作法</w:t>
      </w:r>
      <w:r w:rsidR="0032772A" w:rsidRPr="0032772A">
        <w:rPr>
          <w:rFonts w:hint="eastAsia"/>
        </w:rPr>
        <w:t>。</w:t>
      </w:r>
    </w:p>
    <w:p w14:paraId="61615892" w14:textId="48E03C40" w:rsidR="00150A77" w:rsidRPr="00C50CF2" w:rsidRDefault="0032772A" w:rsidP="0085758A">
      <w:pPr>
        <w:pStyle w:val="3"/>
      </w:pPr>
      <w:r w:rsidRPr="00C50CF2">
        <w:rPr>
          <w:rFonts w:hint="eastAsia"/>
        </w:rPr>
        <w:t>按原住民族基本法（94年2月5日制定公布）第20條第1項</w:t>
      </w:r>
      <w:r w:rsidR="0085758A" w:rsidRPr="00C50CF2">
        <w:rPr>
          <w:rFonts w:hint="eastAsia"/>
        </w:rPr>
        <w:t>及第3項規定</w:t>
      </w:r>
      <w:r w:rsidRPr="00C50CF2">
        <w:rPr>
          <w:rFonts w:hint="eastAsia"/>
        </w:rPr>
        <w:t>：「政府承認原住民族土地及自然資源權利。」「原住民族或原住民所有、使用之土地、海域，其回復、取得、處分、計畫、管理及利用等事項，另以法律定之。」</w:t>
      </w:r>
      <w:r w:rsidR="00573DD0" w:rsidRPr="00C50CF2">
        <w:rPr>
          <w:rFonts w:hint="eastAsia"/>
        </w:rPr>
        <w:t>該法已明確揭示政府對原住民族土地權利之承認與保障，並賦予制定土地專法之義務。原民會雖自95年起即先後提出原住民族土地及海域法草案及原住民族保留地管理利用條例草案，惟歷經20年，相關法案仍未完成立法，</w:t>
      </w:r>
      <w:r w:rsidR="00C50CF2" w:rsidRPr="00C50CF2">
        <w:rPr>
          <w:rFonts w:hint="eastAsia"/>
        </w:rPr>
        <w:t>現行管理</w:t>
      </w:r>
      <w:r w:rsidR="00573DD0" w:rsidRPr="00C50CF2">
        <w:rPr>
          <w:rFonts w:hint="eastAsia"/>
        </w:rPr>
        <w:t>原住民保留地之規範仍停留在依據山坡地保育利用條例第37條所訂定之原住民保留地開發管理辦法</w:t>
      </w:r>
      <w:r w:rsidR="00C50CF2" w:rsidRPr="00C50CF2">
        <w:rPr>
          <w:rFonts w:hint="eastAsia"/>
        </w:rPr>
        <w:t>，該辦法僅屬行政命令，法制位階偏低，難以作為保障土地權利的實體法律依據。原民會固於113年10月11日預告原住民保留地權利回復及管理利用條例草案，企圖提升法制位階，並將原住民保留地管理體系、部落土地回復、公共利用土地法源導入、原鄉建地不足等重要議題納入規範。惟後續仍須凝聚立法共識，加速完成程序，以回應</w:t>
      </w:r>
      <w:r w:rsidR="00C50CF2">
        <w:rPr>
          <w:rFonts w:hint="eastAsia"/>
        </w:rPr>
        <w:t>社會與地方之實際需求</w:t>
      </w:r>
      <w:r w:rsidR="00C50CF2" w:rsidRPr="00C50CF2">
        <w:rPr>
          <w:rFonts w:hint="eastAsia"/>
        </w:rPr>
        <w:t>。</w:t>
      </w:r>
    </w:p>
    <w:p w14:paraId="3F7999C1" w14:textId="6647EFE7" w:rsidR="00994042" w:rsidRPr="001D3CBD" w:rsidRDefault="00994042" w:rsidP="00994042">
      <w:pPr>
        <w:pStyle w:val="3"/>
      </w:pPr>
      <w:r w:rsidRPr="001D3CBD">
        <w:rPr>
          <w:rFonts w:hint="eastAsia"/>
        </w:rPr>
        <w:lastRenderedPageBreak/>
        <w:t>再</w:t>
      </w:r>
      <w:r w:rsidR="004A0971" w:rsidRPr="001D3CBD">
        <w:rPr>
          <w:rFonts w:hint="eastAsia"/>
        </w:rPr>
        <w:t>按原住民族委員會組織法</w:t>
      </w:r>
      <w:r w:rsidRPr="001D3CBD">
        <w:rPr>
          <w:rFonts w:hint="eastAsia"/>
        </w:rPr>
        <w:t>前</w:t>
      </w:r>
      <w:r w:rsidR="004A0971" w:rsidRPr="001D3CBD">
        <w:rPr>
          <w:rFonts w:hint="eastAsia"/>
        </w:rPr>
        <w:t>於103年1月29日經總統制定公布，</w:t>
      </w:r>
      <w:r w:rsidR="00512E92" w:rsidRPr="001D3CBD">
        <w:rPr>
          <w:rFonts w:hint="eastAsia"/>
        </w:rPr>
        <w:t>並由</w:t>
      </w:r>
      <w:r w:rsidR="00F44116" w:rsidRPr="001D3CBD">
        <w:rPr>
          <w:rFonts w:hint="eastAsia"/>
        </w:rPr>
        <w:t>行政院</w:t>
      </w:r>
      <w:r w:rsidR="00512E92" w:rsidRPr="001D3CBD">
        <w:rPr>
          <w:rFonts w:hint="eastAsia"/>
        </w:rPr>
        <w:t>以</w:t>
      </w:r>
      <w:r w:rsidR="00F44116" w:rsidRPr="001D3CBD">
        <w:rPr>
          <w:rFonts w:hint="eastAsia"/>
        </w:rPr>
        <w:t>103年3月21日院授發社字第1031300342號令定自103年3月26</w:t>
      </w:r>
      <w:r w:rsidR="004A0971" w:rsidRPr="001D3CBD">
        <w:rPr>
          <w:rFonts w:hint="eastAsia"/>
        </w:rPr>
        <w:t>日施行。</w:t>
      </w:r>
      <w:r w:rsidR="00512E92" w:rsidRPr="001D3CBD">
        <w:rPr>
          <w:rFonts w:hint="eastAsia"/>
        </w:rPr>
        <w:t>其後，</w:t>
      </w:r>
      <w:r w:rsidR="004A0971" w:rsidRPr="001D3CBD">
        <w:rPr>
          <w:rFonts w:hint="eastAsia"/>
        </w:rPr>
        <w:t>原民會</w:t>
      </w:r>
      <w:r w:rsidR="00F44116" w:rsidRPr="001D3CBD">
        <w:rPr>
          <w:rFonts w:hint="eastAsia"/>
        </w:rPr>
        <w:t>於103年4月1日</w:t>
      </w:r>
      <w:r w:rsidR="004A0971" w:rsidRPr="001D3CBD">
        <w:rPr>
          <w:rFonts w:hint="eastAsia"/>
        </w:rPr>
        <w:t>訂定發布</w:t>
      </w:r>
      <w:r w:rsidR="00F44116" w:rsidRPr="001D3CBD">
        <w:rPr>
          <w:rFonts w:hint="eastAsia"/>
        </w:rPr>
        <w:t>原住民族委員會處務規程</w:t>
      </w:r>
      <w:r w:rsidR="00512E92" w:rsidRPr="001D3CBD">
        <w:rPr>
          <w:rFonts w:hint="eastAsia"/>
        </w:rPr>
        <w:t>，並設置</w:t>
      </w:r>
      <w:r w:rsidR="00F44116" w:rsidRPr="001D3CBD">
        <w:rPr>
          <w:rFonts w:hint="eastAsia"/>
        </w:rPr>
        <w:t>「土地管理處」</w:t>
      </w:r>
      <w:r w:rsidR="00512E92" w:rsidRPr="001D3CBD">
        <w:rPr>
          <w:rFonts w:hint="eastAsia"/>
        </w:rPr>
        <w:t>，統籌原住民族傳統領域</w:t>
      </w:r>
      <w:r w:rsidR="00F44116" w:rsidRPr="001D3CBD">
        <w:rPr>
          <w:rFonts w:hint="eastAsia"/>
        </w:rPr>
        <w:t>及原住民保留地相關業務</w:t>
      </w:r>
      <w:r w:rsidR="00512E92" w:rsidRPr="001D3CBD">
        <w:rPr>
          <w:rFonts w:hint="eastAsia"/>
        </w:rPr>
        <w:t>之調查、管理及處理</w:t>
      </w:r>
      <w:r w:rsidR="00F44116" w:rsidRPr="001D3CBD">
        <w:rPr>
          <w:rFonts w:hint="eastAsia"/>
        </w:rPr>
        <w:t>。</w:t>
      </w:r>
      <w:r w:rsidRPr="001D3CBD">
        <w:rPr>
          <w:rFonts w:hint="eastAsia"/>
        </w:rPr>
        <w:t>然而原民會作為中央主管機關，配置辦理土地業務人力僅約20餘人，卻須負責全國逾12萬公頃國有原住民保留地之管理，轄下亦無直屬機關可就近執行業務。相較財政部國有財產署所管國有非公用土地面積約22萬公頃，轄下設3個分署及15個辦事處，配置人力達1,900餘人，原民會在組織規模及人力配置方面明顯不足，致使實務上國有原住民保留地之管理高度仰賴地方政府協助，惟地方政府對於原住民保留地業務之理解與重視程度不一，</w:t>
      </w:r>
      <w:r w:rsidR="001D3CBD" w:rsidRPr="001D3CBD">
        <w:rPr>
          <w:rFonts w:hint="eastAsia"/>
        </w:rPr>
        <w:t>進而影響</w:t>
      </w:r>
      <w:r w:rsidRPr="001D3CBD">
        <w:rPr>
          <w:rFonts w:hint="eastAsia"/>
        </w:rPr>
        <w:t>違占案件清查、列管與排除</w:t>
      </w:r>
      <w:r w:rsidR="001D3CBD" w:rsidRPr="001D3CBD">
        <w:rPr>
          <w:rFonts w:hint="eastAsia"/>
        </w:rPr>
        <w:t>等</w:t>
      </w:r>
      <w:r w:rsidRPr="001D3CBD">
        <w:rPr>
          <w:rFonts w:hint="eastAsia"/>
        </w:rPr>
        <w:t>作業</w:t>
      </w:r>
      <w:r w:rsidR="001D3CBD" w:rsidRPr="001D3CBD">
        <w:rPr>
          <w:rFonts w:hint="eastAsia"/>
        </w:rPr>
        <w:t>執行效能。</w:t>
      </w:r>
    </w:p>
    <w:p w14:paraId="0CB3ED84" w14:textId="472FDBE8" w:rsidR="00FE1550" w:rsidRPr="001D3CBD" w:rsidRDefault="0083667E" w:rsidP="0083667E">
      <w:pPr>
        <w:pStyle w:val="3"/>
      </w:pPr>
      <w:r w:rsidRPr="001D3CBD">
        <w:rPr>
          <w:rFonts w:hint="eastAsia"/>
        </w:rPr>
        <w:t>綜上所述，原住民族土地</w:t>
      </w:r>
      <w:r w:rsidR="00FE1550" w:rsidRPr="001D3CBD">
        <w:rPr>
          <w:rFonts w:hint="eastAsia"/>
        </w:rPr>
        <w:t>對</w:t>
      </w:r>
      <w:r w:rsidR="001D3CBD" w:rsidRPr="001D3CBD">
        <w:rPr>
          <w:rFonts w:hint="eastAsia"/>
        </w:rPr>
        <w:t>族群</w:t>
      </w:r>
      <w:r w:rsidRPr="001D3CBD">
        <w:rPr>
          <w:rFonts w:hint="eastAsia"/>
        </w:rPr>
        <w:t>發展、文化傳承及社會穩定具有關鍵性意義</w:t>
      </w:r>
      <w:r w:rsidR="00FE1550" w:rsidRPr="001D3CBD">
        <w:rPr>
          <w:rFonts w:hint="eastAsia"/>
        </w:rPr>
        <w:t>，</w:t>
      </w:r>
      <w:r w:rsidRPr="001D3CBD">
        <w:rPr>
          <w:rFonts w:hint="eastAsia"/>
        </w:rPr>
        <w:t>攸關其生存權、發展權及文化權之實現。為落實原住民族基本法所揭示之原住民族土地及自然資源權利保障，原民會</w:t>
      </w:r>
      <w:r w:rsidR="001D3CBD" w:rsidRPr="001D3CBD">
        <w:rPr>
          <w:rFonts w:hint="eastAsia"/>
        </w:rPr>
        <w:t>應以更積極、務實的態度面對原住民保留地管理問題，除</w:t>
      </w:r>
      <w:r w:rsidR="00FE1550" w:rsidRPr="001D3CBD">
        <w:rPr>
          <w:rFonts w:hint="eastAsia"/>
        </w:rPr>
        <w:t>儘速推動</w:t>
      </w:r>
      <w:r w:rsidRPr="001D3CBD">
        <w:rPr>
          <w:rFonts w:hint="eastAsia"/>
        </w:rPr>
        <w:t>相關專法，</w:t>
      </w:r>
      <w:r w:rsidR="001D3CBD" w:rsidRPr="001D3CBD">
        <w:rPr>
          <w:rFonts w:hint="eastAsia"/>
        </w:rPr>
        <w:t>提升政策法制基礎</w:t>
      </w:r>
      <w:r w:rsidR="00FE1550" w:rsidRPr="001D3CBD">
        <w:rPr>
          <w:rFonts w:hint="eastAsia"/>
        </w:rPr>
        <w:t>，</w:t>
      </w:r>
      <w:r w:rsidRPr="001D3CBD">
        <w:rPr>
          <w:rFonts w:hint="eastAsia"/>
        </w:rPr>
        <w:t>同</w:t>
      </w:r>
      <w:r w:rsidR="001D3CBD" w:rsidRPr="001D3CBD">
        <w:rPr>
          <w:rFonts w:hint="eastAsia"/>
        </w:rPr>
        <w:t>時</w:t>
      </w:r>
      <w:r w:rsidR="00FE1550" w:rsidRPr="001D3CBD">
        <w:rPr>
          <w:rFonts w:hint="eastAsia"/>
        </w:rPr>
        <w:t>檢討</w:t>
      </w:r>
      <w:r w:rsidRPr="001D3CBD">
        <w:rPr>
          <w:rFonts w:hint="eastAsia"/>
        </w:rPr>
        <w:t>現行</w:t>
      </w:r>
      <w:r w:rsidR="00FE1550" w:rsidRPr="001D3CBD">
        <w:rPr>
          <w:rFonts w:hint="eastAsia"/>
        </w:rPr>
        <w:t>組織</w:t>
      </w:r>
      <w:r w:rsidRPr="001D3CBD">
        <w:rPr>
          <w:rFonts w:hint="eastAsia"/>
        </w:rPr>
        <w:t>規模</w:t>
      </w:r>
      <w:r w:rsidR="00FE1550" w:rsidRPr="001D3CBD">
        <w:rPr>
          <w:rFonts w:hint="eastAsia"/>
        </w:rPr>
        <w:t>與人力配置，強化中央統籌治理</w:t>
      </w:r>
      <w:r w:rsidRPr="001D3CBD">
        <w:rPr>
          <w:rFonts w:hint="eastAsia"/>
        </w:rPr>
        <w:t>能</w:t>
      </w:r>
      <w:r w:rsidR="001D3CBD" w:rsidRPr="001D3CBD">
        <w:rPr>
          <w:rFonts w:hint="eastAsia"/>
        </w:rPr>
        <w:t>量</w:t>
      </w:r>
      <w:r w:rsidRPr="001D3CBD">
        <w:rPr>
          <w:rFonts w:hint="eastAsia"/>
        </w:rPr>
        <w:t>與地方執行</w:t>
      </w:r>
      <w:r w:rsidR="001D3CBD" w:rsidRPr="001D3CBD">
        <w:rPr>
          <w:rFonts w:hint="eastAsia"/>
        </w:rPr>
        <w:t>機制</w:t>
      </w:r>
      <w:r w:rsidR="00FE1550" w:rsidRPr="001D3CBD">
        <w:rPr>
          <w:rFonts w:hint="eastAsia"/>
        </w:rPr>
        <w:t>，</w:t>
      </w:r>
      <w:r w:rsidR="001D3CBD" w:rsidRPr="001D3CBD">
        <w:rPr>
          <w:rFonts w:hint="eastAsia"/>
        </w:rPr>
        <w:t>建構</w:t>
      </w:r>
      <w:r w:rsidRPr="001D3CBD">
        <w:rPr>
          <w:rFonts w:hint="eastAsia"/>
        </w:rPr>
        <w:t>完善</w:t>
      </w:r>
      <w:r w:rsidR="001D3CBD" w:rsidRPr="001D3CBD">
        <w:rPr>
          <w:rFonts w:hint="eastAsia"/>
        </w:rPr>
        <w:t>土地</w:t>
      </w:r>
      <w:r w:rsidRPr="001D3CBD">
        <w:rPr>
          <w:rFonts w:hint="eastAsia"/>
        </w:rPr>
        <w:t>管理體系</w:t>
      </w:r>
      <w:r w:rsidR="00FE1550" w:rsidRPr="001D3CBD">
        <w:rPr>
          <w:rFonts w:hint="eastAsia"/>
        </w:rPr>
        <w:t>，以</w:t>
      </w:r>
      <w:r w:rsidRPr="001D3CBD">
        <w:rPr>
          <w:rFonts w:hint="eastAsia"/>
        </w:rPr>
        <w:t>提升政策執行效率，確保原住民族土地權益之實質保障</w:t>
      </w:r>
      <w:r w:rsidR="00FE1550" w:rsidRPr="001D3CBD">
        <w:rPr>
          <w:rFonts w:hint="eastAsia"/>
        </w:rPr>
        <w:t>。</w:t>
      </w:r>
    </w:p>
    <w:bookmarkEnd w:id="50"/>
    <w:bookmarkEnd w:id="51"/>
    <w:bookmarkEnd w:id="53"/>
    <w:p w14:paraId="0B1D629C" w14:textId="05CEEF07" w:rsidR="003A5927" w:rsidRDefault="003A5927" w:rsidP="003A5927">
      <w:pPr>
        <w:pStyle w:val="31"/>
        <w:ind w:leftChars="0" w:left="0" w:firstLineChars="0" w:firstLine="0"/>
      </w:pPr>
    </w:p>
    <w:p w14:paraId="015CB425" w14:textId="5AD13407" w:rsidR="00E25849" w:rsidRDefault="00E25849" w:rsidP="00262EB5">
      <w:pPr>
        <w:pStyle w:val="1"/>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000F3746">
        <w:rPr>
          <w:rFonts w:hint="eastAsia"/>
        </w:rPr>
        <w:lastRenderedPageBreak/>
        <w:t>處理辦法</w:t>
      </w:r>
      <w:r>
        <w:rPr>
          <w:rFonts w:hint="eastAsia"/>
        </w:rPr>
        <w:t>：</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6866DF6" w14:textId="160BE032" w:rsidR="00E25849" w:rsidRDefault="00E25849">
      <w:pPr>
        <w:pStyle w:val="2"/>
      </w:pPr>
      <w:bookmarkStart w:id="78" w:name="_Toc524895649"/>
      <w:bookmarkStart w:id="79" w:name="_Toc524896195"/>
      <w:bookmarkStart w:id="80" w:name="_Toc524896225"/>
      <w:bookmarkStart w:id="81" w:name="_Toc2400396"/>
      <w:bookmarkStart w:id="82" w:name="_Toc4316190"/>
      <w:bookmarkStart w:id="83" w:name="_Toc4473331"/>
      <w:bookmarkStart w:id="84" w:name="_Toc69556898"/>
      <w:bookmarkStart w:id="85" w:name="_Toc69556947"/>
      <w:bookmarkStart w:id="86" w:name="_Toc69609821"/>
      <w:bookmarkStart w:id="87" w:name="_Toc70241817"/>
      <w:bookmarkStart w:id="88" w:name="_Toc70242206"/>
      <w:bookmarkStart w:id="89" w:name="_Toc421794877"/>
      <w:bookmarkStart w:id="90" w:name="_Toc421795443"/>
      <w:bookmarkStart w:id="91" w:name="_Toc421796024"/>
      <w:bookmarkStart w:id="92" w:name="_Toc422728959"/>
      <w:bookmarkStart w:id="93" w:name="_Toc422834162"/>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8"/>
      <w:bookmarkEnd w:id="79"/>
      <w:bookmarkEnd w:id="80"/>
      <w:r>
        <w:rPr>
          <w:rFonts w:hint="eastAsia"/>
        </w:rPr>
        <w:t>調查意見</w:t>
      </w:r>
      <w:r w:rsidR="001D3CBD">
        <w:rPr>
          <w:rFonts w:hint="eastAsia"/>
        </w:rPr>
        <w:t>一至三</w:t>
      </w:r>
      <w:r>
        <w:rPr>
          <w:rFonts w:hint="eastAsia"/>
        </w:rPr>
        <w:t>，</w:t>
      </w:r>
      <w:r w:rsidR="002B160D">
        <w:rPr>
          <w:rFonts w:hint="eastAsia"/>
        </w:rPr>
        <w:t>提案糾正</w:t>
      </w:r>
      <w:r w:rsidR="00AD2593">
        <w:rPr>
          <w:rFonts w:hint="eastAsia"/>
        </w:rPr>
        <w:t>原住民族委員會</w:t>
      </w:r>
      <w:r>
        <w:rPr>
          <w:rFonts w:hint="eastAsia"/>
        </w:rPr>
        <w:t>。</w:t>
      </w:r>
      <w:bookmarkEnd w:id="81"/>
      <w:bookmarkEnd w:id="82"/>
      <w:bookmarkEnd w:id="83"/>
      <w:bookmarkEnd w:id="84"/>
      <w:bookmarkEnd w:id="85"/>
      <w:bookmarkEnd w:id="86"/>
      <w:bookmarkEnd w:id="87"/>
      <w:bookmarkEnd w:id="88"/>
      <w:bookmarkEnd w:id="89"/>
      <w:bookmarkEnd w:id="90"/>
      <w:bookmarkEnd w:id="91"/>
      <w:bookmarkEnd w:id="92"/>
      <w:bookmarkEnd w:id="93"/>
    </w:p>
    <w:p w14:paraId="60A49143" w14:textId="1AF51585" w:rsidR="001D3CBD" w:rsidRDefault="001D3CBD">
      <w:pPr>
        <w:pStyle w:val="2"/>
      </w:pPr>
      <w:r>
        <w:rPr>
          <w:rFonts w:hint="eastAsia"/>
        </w:rPr>
        <w:t>調查意見四，函請行政院督促原住民族委員會確實檢討改進見復。</w:t>
      </w:r>
    </w:p>
    <w:p w14:paraId="3BEE27D8" w14:textId="2DA27632" w:rsidR="00560DDA" w:rsidRDefault="00560DDA" w:rsidP="00560DDA">
      <w:pPr>
        <w:pStyle w:val="2"/>
      </w:pPr>
      <w:bookmarkStart w:id="105" w:name="_Toc70241819"/>
      <w:bookmarkStart w:id="106" w:name="_Toc70242208"/>
      <w:bookmarkStart w:id="107" w:name="_Toc421794878"/>
      <w:bookmarkStart w:id="108" w:name="_Toc421795444"/>
      <w:bookmarkStart w:id="109" w:name="_Toc421796025"/>
      <w:bookmarkStart w:id="110" w:name="_Toc422728960"/>
      <w:bookmarkStart w:id="111" w:name="_Toc422834163"/>
      <w:bookmarkStart w:id="112" w:name="_Toc70241818"/>
      <w:bookmarkStart w:id="113" w:name="_Toc70242207"/>
      <w:r>
        <w:rPr>
          <w:rFonts w:hint="eastAsia"/>
        </w:rPr>
        <w:t>調查意見，函復審計部。</w:t>
      </w:r>
      <w:bookmarkEnd w:id="105"/>
      <w:bookmarkEnd w:id="106"/>
      <w:bookmarkEnd w:id="107"/>
      <w:bookmarkEnd w:id="108"/>
      <w:bookmarkEnd w:id="109"/>
      <w:bookmarkEnd w:id="110"/>
      <w:bookmarkEnd w:id="111"/>
    </w:p>
    <w:p w14:paraId="0187E28E" w14:textId="0B2D456A" w:rsidR="00560DDA" w:rsidRPr="00C90300" w:rsidRDefault="00FD3C34" w:rsidP="00560DDA">
      <w:pPr>
        <w:pStyle w:val="2"/>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94"/>
      <w:bookmarkEnd w:id="95"/>
      <w:bookmarkEnd w:id="96"/>
      <w:bookmarkEnd w:id="97"/>
      <w:bookmarkEnd w:id="98"/>
      <w:bookmarkEnd w:id="99"/>
      <w:bookmarkEnd w:id="100"/>
      <w:bookmarkEnd w:id="101"/>
      <w:bookmarkEnd w:id="102"/>
      <w:bookmarkEnd w:id="103"/>
      <w:bookmarkEnd w:id="104"/>
      <w:bookmarkEnd w:id="112"/>
      <w:bookmarkEnd w:id="113"/>
      <w:r w:rsidRPr="00FD3C34">
        <w:rPr>
          <w:rFonts w:hint="eastAsia"/>
        </w:rPr>
        <w:t>調查報告之案由、調查意見、處理辦法及簡報檔，於個資隱匿後，上網公布。</w:t>
      </w:r>
    </w:p>
    <w:bookmarkEnd w:id="114"/>
    <w:bookmarkEnd w:id="115"/>
    <w:bookmarkEnd w:id="116"/>
    <w:bookmarkEnd w:id="117"/>
    <w:bookmarkEnd w:id="118"/>
    <w:bookmarkEnd w:id="119"/>
    <w:bookmarkEnd w:id="120"/>
    <w:bookmarkEnd w:id="121"/>
    <w:bookmarkEnd w:id="122"/>
    <w:bookmarkEnd w:id="123"/>
    <w:bookmarkEnd w:id="124"/>
    <w:bookmarkEnd w:id="125"/>
    <w:bookmarkEnd w:id="126"/>
    <w:p w14:paraId="2783FDD9" w14:textId="77777777" w:rsidR="00770453" w:rsidRPr="001D6397" w:rsidRDefault="00770453" w:rsidP="00770453">
      <w:pPr>
        <w:pStyle w:val="aa"/>
        <w:spacing w:beforeLines="50" w:before="228" w:afterLines="100" w:after="457"/>
        <w:ind w:leftChars="1100" w:left="3742"/>
        <w:rPr>
          <w:b w:val="0"/>
          <w:bCs/>
          <w:snapToGrid/>
          <w:spacing w:val="12"/>
          <w:kern w:val="0"/>
          <w:sz w:val="40"/>
        </w:rPr>
      </w:pPr>
    </w:p>
    <w:p w14:paraId="0DAE2761" w14:textId="11A148CF" w:rsidR="00E25849" w:rsidRPr="001D6397" w:rsidRDefault="00E25849" w:rsidP="00770453">
      <w:pPr>
        <w:pStyle w:val="aa"/>
        <w:spacing w:beforeLines="50" w:before="228" w:afterLines="100" w:after="457"/>
        <w:ind w:leftChars="1100" w:left="3742"/>
        <w:rPr>
          <w:snapToGrid/>
          <w:spacing w:val="12"/>
          <w:kern w:val="0"/>
          <w:sz w:val="40"/>
        </w:rPr>
      </w:pPr>
      <w:r w:rsidRPr="001D6397">
        <w:rPr>
          <w:rFonts w:hint="eastAsia"/>
          <w:snapToGrid/>
          <w:spacing w:val="12"/>
          <w:kern w:val="0"/>
          <w:sz w:val="40"/>
        </w:rPr>
        <w:t>調查委員：</w:t>
      </w:r>
      <w:r w:rsidR="0003783E" w:rsidRPr="001D6397">
        <w:rPr>
          <w:rFonts w:hint="eastAsia"/>
          <w:snapToGrid/>
          <w:spacing w:val="12"/>
          <w:kern w:val="0"/>
          <w:sz w:val="40"/>
        </w:rPr>
        <w:t>浦忠成</w:t>
      </w:r>
    </w:p>
    <w:p w14:paraId="7372DB94" w14:textId="3C48D294" w:rsidR="0003783E" w:rsidRPr="001D6397" w:rsidRDefault="0003783E" w:rsidP="0003783E">
      <w:pPr>
        <w:pStyle w:val="aa"/>
        <w:spacing w:beforeLines="50" w:before="228" w:afterLines="100" w:after="457"/>
        <w:ind w:leftChars="1751" w:left="5956"/>
        <w:rPr>
          <w:snapToGrid/>
          <w:spacing w:val="12"/>
          <w:kern w:val="0"/>
          <w:sz w:val="40"/>
        </w:rPr>
      </w:pPr>
      <w:r w:rsidRPr="001D6397">
        <w:rPr>
          <w:rFonts w:hint="eastAsia"/>
          <w:snapToGrid/>
          <w:spacing w:val="12"/>
          <w:kern w:val="0"/>
          <w:sz w:val="40"/>
        </w:rPr>
        <w:t>葉大華</w:t>
      </w:r>
    </w:p>
    <w:p w14:paraId="6D297AE5" w14:textId="44BA5C4E" w:rsidR="00770453" w:rsidRPr="001D6397" w:rsidRDefault="0003783E" w:rsidP="0003783E">
      <w:pPr>
        <w:pStyle w:val="aa"/>
        <w:spacing w:beforeLines="50" w:before="228" w:afterLines="100" w:after="457"/>
        <w:ind w:leftChars="1751" w:left="5956"/>
        <w:rPr>
          <w:rFonts w:ascii="Times New Roman"/>
          <w:snapToGrid/>
          <w:spacing w:val="0"/>
          <w:kern w:val="0"/>
          <w:sz w:val="40"/>
        </w:rPr>
      </w:pPr>
      <w:r w:rsidRPr="001D6397">
        <w:rPr>
          <w:rFonts w:hint="eastAsia"/>
          <w:snapToGrid/>
          <w:spacing w:val="12"/>
          <w:kern w:val="0"/>
          <w:sz w:val="40"/>
        </w:rPr>
        <w:t>林文程</w:t>
      </w:r>
    </w:p>
    <w:p w14:paraId="22586400" w14:textId="77777777" w:rsidR="00006F10" w:rsidRPr="001D6397" w:rsidRDefault="00006F10" w:rsidP="00770453">
      <w:pPr>
        <w:pStyle w:val="aa"/>
        <w:spacing w:before="0" w:after="0"/>
        <w:ind w:leftChars="1100" w:left="3742"/>
        <w:rPr>
          <w:rFonts w:ascii="Times New Roman"/>
          <w:snapToGrid/>
          <w:spacing w:val="0"/>
          <w:kern w:val="0"/>
          <w:sz w:val="40"/>
        </w:rPr>
      </w:pPr>
    </w:p>
    <w:p w14:paraId="255F4FC5" w14:textId="0293C1D3" w:rsidR="00416721" w:rsidRDefault="00416721">
      <w:pPr>
        <w:widowControl/>
        <w:overflowPunct/>
        <w:autoSpaceDE/>
        <w:autoSpaceDN/>
        <w:jc w:val="left"/>
        <w:rPr>
          <w:bCs/>
          <w:kern w:val="0"/>
        </w:rPr>
      </w:pPr>
    </w:p>
    <w:sectPr w:rsidR="0041672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64ACE" w14:textId="77777777" w:rsidR="00B9601E" w:rsidRDefault="00B9601E">
      <w:r>
        <w:separator/>
      </w:r>
    </w:p>
  </w:endnote>
  <w:endnote w:type="continuationSeparator" w:id="0">
    <w:p w14:paraId="1B195C7E" w14:textId="77777777" w:rsidR="00B9601E" w:rsidRDefault="00B9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5539" w14:textId="77777777" w:rsidR="00F4113A" w:rsidRDefault="00F4113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44</w:t>
    </w:r>
    <w:r>
      <w:rPr>
        <w:rStyle w:val="ac"/>
        <w:sz w:val="24"/>
      </w:rPr>
      <w:fldChar w:fldCharType="end"/>
    </w:r>
  </w:p>
  <w:p w14:paraId="4BDC2673" w14:textId="77777777" w:rsidR="00F4113A" w:rsidRDefault="00F4113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747C6" w14:textId="77777777" w:rsidR="00B9601E" w:rsidRDefault="00B9601E">
      <w:r>
        <w:separator/>
      </w:r>
    </w:p>
  </w:footnote>
  <w:footnote w:type="continuationSeparator" w:id="0">
    <w:p w14:paraId="100DD820" w14:textId="77777777" w:rsidR="00B9601E" w:rsidRDefault="00B9601E">
      <w:r>
        <w:continuationSeparator/>
      </w:r>
    </w:p>
  </w:footnote>
  <w:footnote w:id="1">
    <w:p w14:paraId="64B7F240" w14:textId="4F15AD86" w:rsidR="00F4113A" w:rsidRPr="003641AB" w:rsidRDefault="00F4113A" w:rsidP="00E27F64">
      <w:pPr>
        <w:pStyle w:val="afc"/>
        <w:ind w:left="220" w:hangingChars="100" w:hanging="220"/>
        <w:jc w:val="both"/>
        <w:rPr>
          <w:rFonts w:ascii="標楷體" w:eastAsia="標楷體" w:hAnsi="標楷體"/>
        </w:rPr>
      </w:pPr>
      <w:r>
        <w:rPr>
          <w:rStyle w:val="afe"/>
        </w:rPr>
        <w:footnoteRef/>
      </w:r>
      <w:r>
        <w:rPr>
          <w:rFonts w:ascii="標楷體" w:eastAsia="標楷體" w:hAnsi="標楷體" w:hint="eastAsia"/>
        </w:rPr>
        <w:t xml:space="preserve"> 抽查對象</w:t>
      </w:r>
      <w:r w:rsidRPr="003E4AD3">
        <w:rPr>
          <w:rFonts w:ascii="標楷體" w:eastAsia="標楷體" w:hAnsi="標楷體" w:hint="eastAsia"/>
        </w:rPr>
        <w:t>包括：(1)新北市：烏來區公所；（2）桃園市</w:t>
      </w:r>
      <w:r w:rsidRPr="00BF75BC">
        <w:rPr>
          <w:rFonts w:ascii="標楷體" w:eastAsia="標楷體" w:hAnsi="標楷體" w:hint="eastAsia"/>
        </w:rPr>
        <w:t>：復</w:t>
      </w:r>
      <w:r w:rsidRPr="00C6385D">
        <w:rPr>
          <w:rFonts w:ascii="標楷體" w:eastAsia="標楷體" w:hAnsi="標楷體" w:hint="eastAsia"/>
          <w:color w:val="000000"/>
        </w:rPr>
        <w:t>興區公所；(3)高雄市：那瑪夏區、茂林區、桃源區等3個區公所；(4)屏東縣：三地門鄉、春日鄉、獅子鄉、瑪家</w:t>
      </w:r>
      <w:r w:rsidRPr="00BF75BC">
        <w:rPr>
          <w:rFonts w:ascii="標楷體" w:eastAsia="標楷體" w:hAnsi="標楷體" w:hint="eastAsia"/>
        </w:rPr>
        <w:t>鄉等4個鄉公所；（5）臺東縣：大武鄉、太麻里鄉、臺東市、延平鄉、金峰鄉、海端鄉、達仁鄉、蘭嶼鄉等</w:t>
      </w:r>
      <w:r w:rsidRPr="003641AB">
        <w:rPr>
          <w:rFonts w:ascii="標楷體" w:eastAsia="標楷體" w:hAnsi="標楷體" w:hint="eastAsia"/>
        </w:rPr>
        <w:t>8個鄉(市)公所。</w:t>
      </w:r>
    </w:p>
  </w:footnote>
  <w:footnote w:id="2">
    <w:p w14:paraId="0C148608" w14:textId="7AE385A1" w:rsidR="00F4113A" w:rsidRPr="00F82340" w:rsidRDefault="00F4113A" w:rsidP="00282145">
      <w:pPr>
        <w:pStyle w:val="afc"/>
        <w:ind w:left="220" w:hangingChars="100" w:hanging="220"/>
        <w:jc w:val="both"/>
        <w:rPr>
          <w:rFonts w:ascii="標楷體" w:eastAsia="標楷體" w:hAnsi="標楷體"/>
        </w:rPr>
      </w:pPr>
      <w:r>
        <w:rPr>
          <w:rStyle w:val="afe"/>
        </w:rPr>
        <w:footnoteRef/>
      </w:r>
      <w:r>
        <w:rPr>
          <w:rFonts w:ascii="標楷體" w:eastAsia="標楷體" w:hAnsi="標楷體" w:hint="eastAsia"/>
        </w:rPr>
        <w:t xml:space="preserve"> </w:t>
      </w:r>
      <w:r w:rsidRPr="004A153D">
        <w:rPr>
          <w:rFonts w:ascii="標楷體" w:eastAsia="標楷體" w:hAnsi="標楷體" w:hint="eastAsia"/>
        </w:rPr>
        <w:t>依據內政部109至110年國土利用現況調查資料</w:t>
      </w:r>
      <w:r>
        <w:rPr>
          <w:rFonts w:ascii="標楷體" w:eastAsia="標楷體" w:hAnsi="標楷體" w:hint="eastAsia"/>
        </w:rPr>
        <w:t>。另依</w:t>
      </w:r>
      <w:r w:rsidRPr="00DD0BE2">
        <w:rPr>
          <w:rFonts w:ascii="標楷體" w:eastAsia="標楷體" w:hAnsi="標楷體" w:hint="eastAsia"/>
        </w:rPr>
        <w:t>國土</w:t>
      </w:r>
      <w:r w:rsidRPr="006C5B17">
        <w:rPr>
          <w:rFonts w:eastAsia="標楷體" w:hint="eastAsia"/>
        </w:rPr>
        <w:t>利用</w:t>
      </w:r>
      <w:r w:rsidRPr="00DD0BE2">
        <w:rPr>
          <w:rFonts w:ascii="標楷體" w:eastAsia="標楷體" w:hAnsi="標楷體" w:hint="eastAsia"/>
        </w:rPr>
        <w:t>現況調查辦法附表一「土地利用分級分類系統表（陸域部分）」所載，土地利用分為「</w:t>
      </w:r>
      <w:r w:rsidRPr="00F82340">
        <w:rPr>
          <w:rFonts w:ascii="標楷體" w:eastAsia="標楷體" w:hAnsi="標楷體" w:hint="eastAsia"/>
        </w:rPr>
        <w:t>農業利用土地</w:t>
      </w:r>
      <w:r w:rsidRPr="00DD0BE2">
        <w:rPr>
          <w:rFonts w:ascii="標楷體" w:eastAsia="標楷體" w:hAnsi="標楷體" w:hint="eastAsia"/>
        </w:rPr>
        <w:t>」</w:t>
      </w:r>
      <w:r>
        <w:rPr>
          <w:rFonts w:ascii="標楷體" w:eastAsia="標楷體" w:hAnsi="標楷體" w:hint="eastAsia"/>
        </w:rPr>
        <w:t>、「</w:t>
      </w:r>
      <w:r w:rsidRPr="00F82340">
        <w:rPr>
          <w:rFonts w:ascii="標楷體" w:eastAsia="標楷體" w:hAnsi="標楷體" w:hint="eastAsia"/>
        </w:rPr>
        <w:t>森林利用土地</w:t>
      </w:r>
      <w:r>
        <w:rPr>
          <w:rFonts w:ascii="標楷體" w:eastAsia="標楷體" w:hAnsi="標楷體" w:hint="eastAsia"/>
        </w:rPr>
        <w:t>」、「</w:t>
      </w:r>
      <w:r w:rsidRPr="00F82340">
        <w:rPr>
          <w:rFonts w:ascii="標楷體" w:eastAsia="標楷體" w:hAnsi="標楷體" w:hint="eastAsia"/>
        </w:rPr>
        <w:t>建築利用土地</w:t>
      </w:r>
      <w:r>
        <w:rPr>
          <w:rFonts w:ascii="標楷體" w:eastAsia="標楷體" w:hAnsi="標楷體" w:hint="eastAsia"/>
        </w:rPr>
        <w:t>」……等9大類，其中「建築利用土地」包括商業、純住宅、混合使用住宅、製造業、倉儲、宗教、殯葬設施等，並排除</w:t>
      </w:r>
      <w:r w:rsidRPr="00F82340">
        <w:rPr>
          <w:rFonts w:ascii="標楷體" w:eastAsia="標楷體" w:hAnsi="標楷體" w:hint="eastAsia"/>
        </w:rPr>
        <w:t>農業、林業場地儲存活動所使用之土地</w:t>
      </w:r>
      <w:r>
        <w:rPr>
          <w:rFonts w:ascii="標楷體" w:eastAsia="標楷體" w:hAnsi="標楷體" w:hint="eastAsia"/>
        </w:rPr>
        <w:t>。</w:t>
      </w:r>
    </w:p>
  </w:footnote>
  <w:footnote w:id="3">
    <w:p w14:paraId="1AE755D4" w14:textId="4C6186F2" w:rsidR="00F4113A" w:rsidRPr="005D0B78" w:rsidRDefault="00F4113A" w:rsidP="00282145">
      <w:pPr>
        <w:pStyle w:val="afc"/>
        <w:ind w:left="220" w:hangingChars="100" w:hanging="220"/>
        <w:jc w:val="both"/>
        <w:rPr>
          <w:rFonts w:ascii="標楷體" w:eastAsia="標楷體" w:hAnsi="標楷體"/>
        </w:rPr>
      </w:pPr>
      <w:r>
        <w:rPr>
          <w:rStyle w:val="afe"/>
        </w:rPr>
        <w:footnoteRef/>
      </w:r>
      <w:r>
        <w:rPr>
          <w:rFonts w:ascii="標楷體" w:eastAsia="標楷體" w:hAnsi="標楷體" w:hint="eastAsia"/>
        </w:rPr>
        <w:t xml:space="preserve"> 審計部</w:t>
      </w:r>
      <w:r w:rsidRPr="005D0B78">
        <w:rPr>
          <w:rFonts w:ascii="標楷體" w:eastAsia="標楷體" w:hAnsi="標楷體" w:hint="eastAsia"/>
        </w:rPr>
        <w:t>運用</w:t>
      </w:r>
      <w:r>
        <w:rPr>
          <w:rFonts w:ascii="標楷體" w:eastAsia="標楷體" w:hAnsi="標楷體" w:hint="eastAsia"/>
        </w:rPr>
        <w:t>圖資套疊發現3</w:t>
      </w:r>
      <w:r>
        <w:rPr>
          <w:rFonts w:ascii="標楷體" w:eastAsia="標楷體" w:hAnsi="標楷體"/>
        </w:rPr>
        <w:t>,</w:t>
      </w:r>
      <w:r>
        <w:rPr>
          <w:rFonts w:ascii="標楷體" w:eastAsia="標楷體" w:hAnsi="標楷體" w:hint="eastAsia"/>
        </w:rPr>
        <w:t>384筆國有原住民保留地地號疑涉遭占用，如按現勘清查111筆土地即發現101筆確遭占用之比率90.99%計算，推估未列入土管系統列管之被占用國有原住民保留地計3</w:t>
      </w:r>
      <w:r>
        <w:rPr>
          <w:rFonts w:ascii="標楷體" w:eastAsia="標楷體" w:hAnsi="標楷體"/>
        </w:rPr>
        <w:t>,</w:t>
      </w:r>
      <w:r>
        <w:rPr>
          <w:rFonts w:ascii="標楷體" w:eastAsia="標楷體" w:hAnsi="標楷體" w:hint="eastAsia"/>
        </w:rPr>
        <w:t>079筆。</w:t>
      </w:r>
    </w:p>
  </w:footnote>
  <w:footnote w:id="4">
    <w:p w14:paraId="6FC333EB" w14:textId="3B8ABC76" w:rsidR="00F4113A" w:rsidRPr="00372697" w:rsidRDefault="00F4113A" w:rsidP="00892B28">
      <w:pPr>
        <w:pStyle w:val="afc"/>
        <w:ind w:left="220" w:hangingChars="100" w:hanging="220"/>
        <w:jc w:val="both"/>
        <w:rPr>
          <w:rFonts w:ascii="標楷體" w:eastAsia="標楷體" w:hAnsi="標楷體"/>
        </w:rPr>
      </w:pPr>
      <w:r w:rsidRPr="00372697">
        <w:rPr>
          <w:rStyle w:val="afe"/>
          <w:rFonts w:ascii="標楷體" w:eastAsia="標楷體" w:hAnsi="標楷體"/>
        </w:rPr>
        <w:footnoteRef/>
      </w:r>
      <w:r w:rsidRPr="00372697">
        <w:rPr>
          <w:rFonts w:ascii="標楷體" w:eastAsia="標楷體" w:hAnsi="標楷體"/>
        </w:rPr>
        <w:t xml:space="preserve"> </w:t>
      </w:r>
      <w:r>
        <w:rPr>
          <w:rFonts w:ascii="標楷體" w:eastAsia="標楷體" w:hAnsi="標楷體" w:hint="eastAsia"/>
        </w:rPr>
        <w:t>依</w:t>
      </w:r>
      <w:r w:rsidRPr="00372697">
        <w:rPr>
          <w:rFonts w:ascii="標楷體" w:eastAsia="標楷體" w:hAnsi="標楷體" w:hint="eastAsia"/>
        </w:rPr>
        <w:t>國有非公用不動產使用補償金計收基準表</w:t>
      </w:r>
      <w:r>
        <w:rPr>
          <w:rFonts w:ascii="標楷體" w:eastAsia="標楷體" w:hAnsi="標楷體" w:hint="eastAsia"/>
        </w:rPr>
        <w:t>之項次一</w:t>
      </w:r>
      <w:r w:rsidRPr="00372697">
        <w:rPr>
          <w:rFonts w:ascii="標楷體" w:eastAsia="標楷體" w:hAnsi="標楷體" w:hint="eastAsia"/>
        </w:rPr>
        <w:t>規定，</w:t>
      </w:r>
      <w:r>
        <w:rPr>
          <w:rFonts w:ascii="標楷體" w:eastAsia="標楷體" w:hAnsi="標楷體" w:hint="eastAsia"/>
        </w:rPr>
        <w:t>占用情形為房地或基地使用者，土地每年以當期土地申報地價總額乘以5%計收；同表項次二規定，占用情形為農作、畜牧、養殖及造林使用者，每年按當地地方政府公告當期正產物單價乘以正產物收穫總量乘以2</w:t>
      </w:r>
      <w:r>
        <w:rPr>
          <w:rFonts w:ascii="標楷體" w:eastAsia="標楷體" w:hAnsi="標楷體"/>
        </w:rPr>
        <w:t>50</w:t>
      </w:r>
      <w:r>
        <w:rPr>
          <w:rFonts w:ascii="標楷體" w:eastAsia="標楷體" w:hAnsi="標楷體" w:hint="eastAsia"/>
        </w:rPr>
        <w:t>‰計收。</w:t>
      </w:r>
    </w:p>
  </w:footnote>
  <w:footnote w:id="5">
    <w:p w14:paraId="1766C0BC" w14:textId="1683746F" w:rsidR="00F4113A" w:rsidRPr="00C4769C" w:rsidRDefault="00F4113A" w:rsidP="00C4769C">
      <w:pPr>
        <w:pStyle w:val="afc"/>
        <w:ind w:left="220" w:hangingChars="100" w:hanging="220"/>
        <w:jc w:val="both"/>
        <w:rPr>
          <w:rFonts w:ascii="標楷體" w:eastAsia="標楷體" w:hAnsi="標楷體"/>
        </w:rPr>
      </w:pPr>
      <w:r w:rsidRPr="00C4769C">
        <w:rPr>
          <w:rStyle w:val="afe"/>
          <w:rFonts w:ascii="標楷體" w:eastAsia="標楷體" w:hAnsi="標楷體"/>
        </w:rPr>
        <w:footnoteRef/>
      </w:r>
      <w:r w:rsidRPr="00C4769C">
        <w:rPr>
          <w:rFonts w:ascii="標楷體" w:eastAsia="標楷體" w:hAnsi="標楷體"/>
        </w:rPr>
        <w:t xml:space="preserve"> </w:t>
      </w:r>
      <w:r w:rsidRPr="00C4769C">
        <w:rPr>
          <w:rFonts w:ascii="標楷體" w:eastAsia="標楷體" w:hAnsi="標楷體" w:hint="eastAsia"/>
        </w:rPr>
        <w:t>傳統領域部分，原民會已依據原住民</w:t>
      </w:r>
      <w:r>
        <w:rPr>
          <w:rFonts w:ascii="標楷體" w:eastAsia="標楷體" w:hAnsi="標楷體" w:hint="eastAsia"/>
        </w:rPr>
        <w:t>族</w:t>
      </w:r>
      <w:r w:rsidRPr="00C4769C">
        <w:rPr>
          <w:rFonts w:ascii="標楷體" w:eastAsia="標楷體" w:hAnsi="標楷體" w:hint="eastAsia"/>
        </w:rPr>
        <w:t>基本法第21條第4項</w:t>
      </w:r>
      <w:r>
        <w:rPr>
          <w:rFonts w:ascii="標楷體" w:eastAsia="標楷體" w:hAnsi="標楷體" w:hint="eastAsia"/>
        </w:rPr>
        <w:t>規定</w:t>
      </w:r>
      <w:r w:rsidRPr="00C4769C">
        <w:rPr>
          <w:rFonts w:ascii="標楷體" w:eastAsia="標楷體" w:hAnsi="標楷體" w:hint="eastAsia"/>
        </w:rPr>
        <w:t>，於106年2月14日公告《原住民族土地或部落範圍土地劃設辦法》，該辦法定義「原住民族傳統領域土地」</w:t>
      </w:r>
      <w:r>
        <w:rPr>
          <w:rFonts w:ascii="標楷體" w:eastAsia="標楷體" w:hAnsi="標楷體" w:hint="eastAsia"/>
        </w:rPr>
        <w:t>是指經依該</w:t>
      </w:r>
      <w:r w:rsidRPr="00C4769C">
        <w:rPr>
          <w:rFonts w:ascii="標楷體" w:eastAsia="標楷體" w:hAnsi="標楷體" w:hint="eastAsia"/>
        </w:rPr>
        <w:t>辦法所定程序劃定之原住民族傳統祭儀、祖靈聖地、部落及其獵區與墾耕或其他依原住民族文化、傳統習慣等特徵可得確定其範圍之公有土地</w:t>
      </w:r>
      <w:r>
        <w:rPr>
          <w:rFonts w:ascii="標楷體" w:eastAsia="標楷體"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C305C3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958" w:hanging="681"/>
      </w:pPr>
      <w:rPr>
        <w:rFonts w:ascii="標楷體" w:eastAsia="標楷體" w:hint="eastAsia"/>
        <w:b w:val="0"/>
        <w:i w:val="0"/>
        <w:snapToGrid/>
        <w:color w:val="000000" w:themeColor="text1"/>
        <w:spacing w:val="0"/>
        <w:w w:val="100"/>
        <w:kern w:val="32"/>
        <w:position w:val="0"/>
        <w:sz w:val="32"/>
        <w:bdr w:val="none" w:sz="0" w:space="0" w:color="auto"/>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bdr w:val="none" w:sz="0" w:space="0" w:color="auto"/>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76982F9A"/>
    <w:lvl w:ilvl="0" w:tplc="9226656C">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71029231">
    <w:abstractNumId w:val="1"/>
  </w:num>
  <w:num w:numId="2" w16cid:durableId="2042123439">
    <w:abstractNumId w:val="2"/>
  </w:num>
  <w:num w:numId="3" w16cid:durableId="1221791079">
    <w:abstractNumId w:val="0"/>
  </w:num>
  <w:num w:numId="4" w16cid:durableId="588462910">
    <w:abstractNumId w:val="1"/>
  </w:num>
  <w:num w:numId="5" w16cid:durableId="1370453494">
    <w:abstractNumId w:val="1"/>
  </w:num>
  <w:num w:numId="6" w16cid:durableId="1872110918">
    <w:abstractNumId w:val="1"/>
  </w:num>
  <w:num w:numId="7" w16cid:durableId="1121146573">
    <w:abstractNumId w:val="1"/>
  </w:num>
  <w:num w:numId="8" w16cid:durableId="1377269256">
    <w:abstractNumId w:val="1"/>
  </w:num>
  <w:num w:numId="9" w16cid:durableId="203031980">
    <w:abstractNumId w:val="1"/>
  </w:num>
  <w:num w:numId="10" w16cid:durableId="696005549">
    <w:abstractNumId w:val="1"/>
  </w:num>
  <w:num w:numId="11" w16cid:durableId="1959217510">
    <w:abstractNumId w:val="1"/>
  </w:num>
  <w:num w:numId="12" w16cid:durableId="1305891393">
    <w:abstractNumId w:val="1"/>
  </w:num>
  <w:num w:numId="13" w16cid:durableId="317535066">
    <w:abstractNumId w:val="1"/>
  </w:num>
  <w:num w:numId="14" w16cid:durableId="831876041">
    <w:abstractNumId w:val="1"/>
  </w:num>
  <w:num w:numId="15" w16cid:durableId="1711539007">
    <w:abstractNumId w:val="1"/>
  </w:num>
  <w:num w:numId="16" w16cid:durableId="1371224365">
    <w:abstractNumId w:val="1"/>
  </w:num>
  <w:num w:numId="17" w16cid:durableId="629868564">
    <w:abstractNumId w:val="1"/>
  </w:num>
  <w:num w:numId="18" w16cid:durableId="234631070">
    <w:abstractNumId w:val="2"/>
  </w:num>
  <w:num w:numId="19" w16cid:durableId="1161890693">
    <w:abstractNumId w:val="2"/>
    <w:lvlOverride w:ilvl="0">
      <w:startOverride w:val="1"/>
    </w:lvlOverride>
  </w:num>
  <w:num w:numId="20" w16cid:durableId="1122074284">
    <w:abstractNumId w:val="1"/>
  </w:num>
  <w:num w:numId="21" w16cid:durableId="1524323920">
    <w:abstractNumId w:val="2"/>
  </w:num>
  <w:num w:numId="22" w16cid:durableId="491138383">
    <w:abstractNumId w:val="6"/>
  </w:num>
  <w:num w:numId="23" w16cid:durableId="608048933">
    <w:abstractNumId w:val="4"/>
  </w:num>
  <w:num w:numId="24" w16cid:durableId="557980662">
    <w:abstractNumId w:val="7"/>
  </w:num>
  <w:num w:numId="25" w16cid:durableId="2020504655">
    <w:abstractNumId w:val="1"/>
  </w:num>
  <w:num w:numId="26" w16cid:durableId="1548682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5610200">
    <w:abstractNumId w:val="1"/>
  </w:num>
  <w:num w:numId="28" w16cid:durableId="179857516">
    <w:abstractNumId w:val="8"/>
  </w:num>
  <w:num w:numId="29" w16cid:durableId="1409116937">
    <w:abstractNumId w:val="8"/>
  </w:num>
  <w:num w:numId="30" w16cid:durableId="2133163202">
    <w:abstractNumId w:val="5"/>
  </w:num>
  <w:num w:numId="31" w16cid:durableId="1742830187">
    <w:abstractNumId w:val="5"/>
  </w:num>
  <w:num w:numId="32" w16cid:durableId="926423020">
    <w:abstractNumId w:val="1"/>
  </w:num>
  <w:num w:numId="33" w16cid:durableId="2022733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5092559">
    <w:abstractNumId w:val="1"/>
  </w:num>
  <w:num w:numId="35" w16cid:durableId="55251481">
    <w:abstractNumId w:val="1"/>
  </w:num>
  <w:num w:numId="36" w16cid:durableId="1188912579">
    <w:abstractNumId w:val="1"/>
  </w:num>
  <w:num w:numId="37" w16cid:durableId="834959874">
    <w:abstractNumId w:val="1"/>
  </w:num>
  <w:num w:numId="38" w16cid:durableId="307787652">
    <w:abstractNumId w:val="1"/>
  </w:num>
  <w:num w:numId="39" w16cid:durableId="1594317079">
    <w:abstractNumId w:val="6"/>
  </w:num>
  <w:num w:numId="40" w16cid:durableId="1638099471">
    <w:abstractNumId w:val="6"/>
  </w:num>
  <w:num w:numId="41" w16cid:durableId="506796056">
    <w:abstractNumId w:val="6"/>
  </w:num>
  <w:num w:numId="42" w16cid:durableId="1164929625">
    <w:abstractNumId w:val="6"/>
  </w:num>
  <w:num w:numId="43" w16cid:durableId="1682396471">
    <w:abstractNumId w:val="6"/>
  </w:num>
  <w:num w:numId="44" w16cid:durableId="384565612">
    <w:abstractNumId w:val="6"/>
  </w:num>
  <w:num w:numId="45" w16cid:durableId="13017263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2B2"/>
    <w:rsid w:val="00001C41"/>
    <w:rsid w:val="000023B8"/>
    <w:rsid w:val="00003161"/>
    <w:rsid w:val="00003BA1"/>
    <w:rsid w:val="000055D2"/>
    <w:rsid w:val="00006149"/>
    <w:rsid w:val="00006961"/>
    <w:rsid w:val="00006F10"/>
    <w:rsid w:val="00007BDE"/>
    <w:rsid w:val="000112BF"/>
    <w:rsid w:val="00011FD5"/>
    <w:rsid w:val="00012233"/>
    <w:rsid w:val="00013F6B"/>
    <w:rsid w:val="0001449D"/>
    <w:rsid w:val="0001596A"/>
    <w:rsid w:val="00017318"/>
    <w:rsid w:val="00020509"/>
    <w:rsid w:val="00021D1E"/>
    <w:rsid w:val="000229AD"/>
    <w:rsid w:val="000246F7"/>
    <w:rsid w:val="00026B88"/>
    <w:rsid w:val="000279BE"/>
    <w:rsid w:val="0003114D"/>
    <w:rsid w:val="00031DC6"/>
    <w:rsid w:val="00032A61"/>
    <w:rsid w:val="00032DDD"/>
    <w:rsid w:val="00034495"/>
    <w:rsid w:val="000359EB"/>
    <w:rsid w:val="00035A9A"/>
    <w:rsid w:val="000365F4"/>
    <w:rsid w:val="00036D76"/>
    <w:rsid w:val="0003783E"/>
    <w:rsid w:val="00040884"/>
    <w:rsid w:val="00041B93"/>
    <w:rsid w:val="00042283"/>
    <w:rsid w:val="000464C9"/>
    <w:rsid w:val="00047116"/>
    <w:rsid w:val="00050EF6"/>
    <w:rsid w:val="00054CC0"/>
    <w:rsid w:val="0005779D"/>
    <w:rsid w:val="0005790B"/>
    <w:rsid w:val="00057F32"/>
    <w:rsid w:val="00062A25"/>
    <w:rsid w:val="00067541"/>
    <w:rsid w:val="00070F32"/>
    <w:rsid w:val="00073CB5"/>
    <w:rsid w:val="0007425C"/>
    <w:rsid w:val="000771AB"/>
    <w:rsid w:val="00077553"/>
    <w:rsid w:val="000851A2"/>
    <w:rsid w:val="000854B1"/>
    <w:rsid w:val="00086C3A"/>
    <w:rsid w:val="00092B4C"/>
    <w:rsid w:val="0009352E"/>
    <w:rsid w:val="00094D83"/>
    <w:rsid w:val="00095158"/>
    <w:rsid w:val="00096B96"/>
    <w:rsid w:val="000A031B"/>
    <w:rsid w:val="000A17D4"/>
    <w:rsid w:val="000A1CC3"/>
    <w:rsid w:val="000A2F3F"/>
    <w:rsid w:val="000A50F4"/>
    <w:rsid w:val="000A6938"/>
    <w:rsid w:val="000B0B4A"/>
    <w:rsid w:val="000B279A"/>
    <w:rsid w:val="000B61D2"/>
    <w:rsid w:val="000B647A"/>
    <w:rsid w:val="000B6A67"/>
    <w:rsid w:val="000B70A7"/>
    <w:rsid w:val="000B73DD"/>
    <w:rsid w:val="000C09FA"/>
    <w:rsid w:val="000C115F"/>
    <w:rsid w:val="000C3E01"/>
    <w:rsid w:val="000C495F"/>
    <w:rsid w:val="000C77A8"/>
    <w:rsid w:val="000D35DB"/>
    <w:rsid w:val="000D3A2D"/>
    <w:rsid w:val="000D4063"/>
    <w:rsid w:val="000D50C5"/>
    <w:rsid w:val="000D66D9"/>
    <w:rsid w:val="000D6EA4"/>
    <w:rsid w:val="000E1441"/>
    <w:rsid w:val="000E6431"/>
    <w:rsid w:val="000E6781"/>
    <w:rsid w:val="000F21A5"/>
    <w:rsid w:val="000F3746"/>
    <w:rsid w:val="000F5DD0"/>
    <w:rsid w:val="000F6994"/>
    <w:rsid w:val="00102B9F"/>
    <w:rsid w:val="00103040"/>
    <w:rsid w:val="00105232"/>
    <w:rsid w:val="00105305"/>
    <w:rsid w:val="00106798"/>
    <w:rsid w:val="00107442"/>
    <w:rsid w:val="00112637"/>
    <w:rsid w:val="00112ABC"/>
    <w:rsid w:val="00114477"/>
    <w:rsid w:val="0012001E"/>
    <w:rsid w:val="00125245"/>
    <w:rsid w:val="00126A55"/>
    <w:rsid w:val="00126B84"/>
    <w:rsid w:val="00130B1A"/>
    <w:rsid w:val="0013268E"/>
    <w:rsid w:val="00133F08"/>
    <w:rsid w:val="001345E6"/>
    <w:rsid w:val="001372D6"/>
    <w:rsid w:val="001378B0"/>
    <w:rsid w:val="001410CD"/>
    <w:rsid w:val="00142E00"/>
    <w:rsid w:val="00142E68"/>
    <w:rsid w:val="00143F7C"/>
    <w:rsid w:val="001474DB"/>
    <w:rsid w:val="00147A18"/>
    <w:rsid w:val="001500BE"/>
    <w:rsid w:val="00150A77"/>
    <w:rsid w:val="00152793"/>
    <w:rsid w:val="00153B7E"/>
    <w:rsid w:val="001545A9"/>
    <w:rsid w:val="001570D6"/>
    <w:rsid w:val="00162A41"/>
    <w:rsid w:val="001637C7"/>
    <w:rsid w:val="0016480E"/>
    <w:rsid w:val="00166D2E"/>
    <w:rsid w:val="0017410E"/>
    <w:rsid w:val="00174297"/>
    <w:rsid w:val="001748A6"/>
    <w:rsid w:val="00177434"/>
    <w:rsid w:val="00180E06"/>
    <w:rsid w:val="001817B3"/>
    <w:rsid w:val="00181A60"/>
    <w:rsid w:val="00183014"/>
    <w:rsid w:val="001909BF"/>
    <w:rsid w:val="00192104"/>
    <w:rsid w:val="00192D60"/>
    <w:rsid w:val="001959C2"/>
    <w:rsid w:val="00195C17"/>
    <w:rsid w:val="001A07A0"/>
    <w:rsid w:val="001A39DB"/>
    <w:rsid w:val="001A51E3"/>
    <w:rsid w:val="001A5EAD"/>
    <w:rsid w:val="001A7968"/>
    <w:rsid w:val="001B02A1"/>
    <w:rsid w:val="001B2E98"/>
    <w:rsid w:val="001B3483"/>
    <w:rsid w:val="001B3893"/>
    <w:rsid w:val="001B394D"/>
    <w:rsid w:val="001B3C1E"/>
    <w:rsid w:val="001B4494"/>
    <w:rsid w:val="001C0D8B"/>
    <w:rsid w:val="001C0DA8"/>
    <w:rsid w:val="001C2706"/>
    <w:rsid w:val="001C3C02"/>
    <w:rsid w:val="001C3E7C"/>
    <w:rsid w:val="001C6D59"/>
    <w:rsid w:val="001D03BA"/>
    <w:rsid w:val="001D2A66"/>
    <w:rsid w:val="001D3CBD"/>
    <w:rsid w:val="001D4AD7"/>
    <w:rsid w:val="001D6397"/>
    <w:rsid w:val="001E0A78"/>
    <w:rsid w:val="001E0D8A"/>
    <w:rsid w:val="001E1D6F"/>
    <w:rsid w:val="001E67BA"/>
    <w:rsid w:val="001E74C2"/>
    <w:rsid w:val="001E7D86"/>
    <w:rsid w:val="001F4F82"/>
    <w:rsid w:val="001F5A48"/>
    <w:rsid w:val="001F6260"/>
    <w:rsid w:val="001F7B4E"/>
    <w:rsid w:val="001F7DFE"/>
    <w:rsid w:val="00200007"/>
    <w:rsid w:val="002000EC"/>
    <w:rsid w:val="002030A5"/>
    <w:rsid w:val="00203131"/>
    <w:rsid w:val="00203487"/>
    <w:rsid w:val="00203D85"/>
    <w:rsid w:val="00204342"/>
    <w:rsid w:val="00212A03"/>
    <w:rsid w:val="00212E88"/>
    <w:rsid w:val="00213242"/>
    <w:rsid w:val="00213C9C"/>
    <w:rsid w:val="00217B8E"/>
    <w:rsid w:val="00217F38"/>
    <w:rsid w:val="0022009E"/>
    <w:rsid w:val="0022304E"/>
    <w:rsid w:val="00223241"/>
    <w:rsid w:val="0022425C"/>
    <w:rsid w:val="002246DE"/>
    <w:rsid w:val="002321E8"/>
    <w:rsid w:val="002323E3"/>
    <w:rsid w:val="00232EC8"/>
    <w:rsid w:val="00234349"/>
    <w:rsid w:val="0023593C"/>
    <w:rsid w:val="002412B2"/>
    <w:rsid w:val="00241B6A"/>
    <w:rsid w:val="002429E2"/>
    <w:rsid w:val="00250E59"/>
    <w:rsid w:val="0025142E"/>
    <w:rsid w:val="00252BC4"/>
    <w:rsid w:val="00253288"/>
    <w:rsid w:val="00254014"/>
    <w:rsid w:val="00254A5F"/>
    <w:rsid w:val="00254B39"/>
    <w:rsid w:val="0025525D"/>
    <w:rsid w:val="00256B5E"/>
    <w:rsid w:val="002572E8"/>
    <w:rsid w:val="00257D45"/>
    <w:rsid w:val="00261240"/>
    <w:rsid w:val="00261DF2"/>
    <w:rsid w:val="00262EB5"/>
    <w:rsid w:val="00264300"/>
    <w:rsid w:val="0026504D"/>
    <w:rsid w:val="00266237"/>
    <w:rsid w:val="00266679"/>
    <w:rsid w:val="0026725E"/>
    <w:rsid w:val="00273A14"/>
    <w:rsid w:val="00273A2F"/>
    <w:rsid w:val="00280986"/>
    <w:rsid w:val="00281ECE"/>
    <w:rsid w:val="00282145"/>
    <w:rsid w:val="002831C7"/>
    <w:rsid w:val="002840C6"/>
    <w:rsid w:val="002845FC"/>
    <w:rsid w:val="00287B66"/>
    <w:rsid w:val="00291788"/>
    <w:rsid w:val="00292523"/>
    <w:rsid w:val="0029374B"/>
    <w:rsid w:val="00295174"/>
    <w:rsid w:val="00296172"/>
    <w:rsid w:val="00296B92"/>
    <w:rsid w:val="002A2C22"/>
    <w:rsid w:val="002A32A5"/>
    <w:rsid w:val="002A3CFF"/>
    <w:rsid w:val="002A50D4"/>
    <w:rsid w:val="002A62E1"/>
    <w:rsid w:val="002B02EB"/>
    <w:rsid w:val="002B160D"/>
    <w:rsid w:val="002B3A5C"/>
    <w:rsid w:val="002B4716"/>
    <w:rsid w:val="002C0602"/>
    <w:rsid w:val="002C1FC1"/>
    <w:rsid w:val="002C4327"/>
    <w:rsid w:val="002D4604"/>
    <w:rsid w:val="002D5C16"/>
    <w:rsid w:val="002D66D9"/>
    <w:rsid w:val="002E174C"/>
    <w:rsid w:val="002E3715"/>
    <w:rsid w:val="002E3F53"/>
    <w:rsid w:val="002E5013"/>
    <w:rsid w:val="002F2476"/>
    <w:rsid w:val="002F2C0A"/>
    <w:rsid w:val="002F3DFF"/>
    <w:rsid w:val="002F475F"/>
    <w:rsid w:val="002F4871"/>
    <w:rsid w:val="002F5E05"/>
    <w:rsid w:val="002F75F0"/>
    <w:rsid w:val="00304E22"/>
    <w:rsid w:val="0030709A"/>
    <w:rsid w:val="00307A76"/>
    <w:rsid w:val="00312932"/>
    <w:rsid w:val="0031455E"/>
    <w:rsid w:val="00315A16"/>
    <w:rsid w:val="00315E1E"/>
    <w:rsid w:val="00317053"/>
    <w:rsid w:val="0032109C"/>
    <w:rsid w:val="00321B32"/>
    <w:rsid w:val="00322B45"/>
    <w:rsid w:val="00323809"/>
    <w:rsid w:val="00323D41"/>
    <w:rsid w:val="003240F3"/>
    <w:rsid w:val="00325414"/>
    <w:rsid w:val="0032772A"/>
    <w:rsid w:val="003302F1"/>
    <w:rsid w:val="0033350A"/>
    <w:rsid w:val="00333889"/>
    <w:rsid w:val="00335A1E"/>
    <w:rsid w:val="0034470E"/>
    <w:rsid w:val="003447B5"/>
    <w:rsid w:val="003516FB"/>
    <w:rsid w:val="00352DB0"/>
    <w:rsid w:val="00360FFF"/>
    <w:rsid w:val="00361063"/>
    <w:rsid w:val="003630D6"/>
    <w:rsid w:val="00363CB6"/>
    <w:rsid w:val="00365F17"/>
    <w:rsid w:val="0036708F"/>
    <w:rsid w:val="00367244"/>
    <w:rsid w:val="003707C4"/>
    <w:rsid w:val="0037094A"/>
    <w:rsid w:val="00371ED3"/>
    <w:rsid w:val="00372659"/>
    <w:rsid w:val="00372697"/>
    <w:rsid w:val="0037285B"/>
    <w:rsid w:val="00372FFC"/>
    <w:rsid w:val="00375941"/>
    <w:rsid w:val="00376A1A"/>
    <w:rsid w:val="00376D52"/>
    <w:rsid w:val="0037728A"/>
    <w:rsid w:val="00380B7D"/>
    <w:rsid w:val="00381A99"/>
    <w:rsid w:val="003829C2"/>
    <w:rsid w:val="003830B2"/>
    <w:rsid w:val="0038361E"/>
    <w:rsid w:val="00384724"/>
    <w:rsid w:val="003910A2"/>
    <w:rsid w:val="003919B7"/>
    <w:rsid w:val="00391D57"/>
    <w:rsid w:val="00392292"/>
    <w:rsid w:val="0039244D"/>
    <w:rsid w:val="00394F45"/>
    <w:rsid w:val="003A5224"/>
    <w:rsid w:val="003A5927"/>
    <w:rsid w:val="003A74AC"/>
    <w:rsid w:val="003B1017"/>
    <w:rsid w:val="003B3C07"/>
    <w:rsid w:val="003B4A07"/>
    <w:rsid w:val="003B6081"/>
    <w:rsid w:val="003B6775"/>
    <w:rsid w:val="003B7216"/>
    <w:rsid w:val="003C4EE8"/>
    <w:rsid w:val="003C5FE2"/>
    <w:rsid w:val="003C63D2"/>
    <w:rsid w:val="003D05FB"/>
    <w:rsid w:val="003D1365"/>
    <w:rsid w:val="003D1B16"/>
    <w:rsid w:val="003D2AC7"/>
    <w:rsid w:val="003D393B"/>
    <w:rsid w:val="003D45BF"/>
    <w:rsid w:val="003D508A"/>
    <w:rsid w:val="003D537F"/>
    <w:rsid w:val="003D7B75"/>
    <w:rsid w:val="003E0208"/>
    <w:rsid w:val="003E1D66"/>
    <w:rsid w:val="003E30A2"/>
    <w:rsid w:val="003E4B57"/>
    <w:rsid w:val="003E5CC9"/>
    <w:rsid w:val="003E5E83"/>
    <w:rsid w:val="003F0B45"/>
    <w:rsid w:val="003F16C9"/>
    <w:rsid w:val="003F27E1"/>
    <w:rsid w:val="003F27E7"/>
    <w:rsid w:val="003F3F20"/>
    <w:rsid w:val="003F437A"/>
    <w:rsid w:val="003F5C2B"/>
    <w:rsid w:val="00400C68"/>
    <w:rsid w:val="00401E22"/>
    <w:rsid w:val="00402240"/>
    <w:rsid w:val="004023E9"/>
    <w:rsid w:val="0040454A"/>
    <w:rsid w:val="004108F7"/>
    <w:rsid w:val="00412C6E"/>
    <w:rsid w:val="00413F83"/>
    <w:rsid w:val="0041476F"/>
    <w:rsid w:val="0041490C"/>
    <w:rsid w:val="00416191"/>
    <w:rsid w:val="00416721"/>
    <w:rsid w:val="00420A89"/>
    <w:rsid w:val="00421A6C"/>
    <w:rsid w:val="00421EF0"/>
    <w:rsid w:val="004224FA"/>
    <w:rsid w:val="0042294E"/>
    <w:rsid w:val="00423368"/>
    <w:rsid w:val="00423D07"/>
    <w:rsid w:val="00426303"/>
    <w:rsid w:val="00427936"/>
    <w:rsid w:val="00430EE3"/>
    <w:rsid w:val="00432000"/>
    <w:rsid w:val="00435F8E"/>
    <w:rsid w:val="004408EA"/>
    <w:rsid w:val="00442510"/>
    <w:rsid w:val="00442ACF"/>
    <w:rsid w:val="0044346F"/>
    <w:rsid w:val="00453FF6"/>
    <w:rsid w:val="00454318"/>
    <w:rsid w:val="00454EC1"/>
    <w:rsid w:val="00456D59"/>
    <w:rsid w:val="0046520A"/>
    <w:rsid w:val="00466510"/>
    <w:rsid w:val="004671C7"/>
    <w:rsid w:val="004672AB"/>
    <w:rsid w:val="00467425"/>
    <w:rsid w:val="004714FE"/>
    <w:rsid w:val="004761C8"/>
    <w:rsid w:val="004776B2"/>
    <w:rsid w:val="00477BAA"/>
    <w:rsid w:val="00483696"/>
    <w:rsid w:val="004914C0"/>
    <w:rsid w:val="00491D86"/>
    <w:rsid w:val="0049504D"/>
    <w:rsid w:val="00495053"/>
    <w:rsid w:val="004A0971"/>
    <w:rsid w:val="004A153D"/>
    <w:rsid w:val="004A1F59"/>
    <w:rsid w:val="004A29BE"/>
    <w:rsid w:val="004A3225"/>
    <w:rsid w:val="004A33EE"/>
    <w:rsid w:val="004A3672"/>
    <w:rsid w:val="004A3AA8"/>
    <w:rsid w:val="004B13C7"/>
    <w:rsid w:val="004B778F"/>
    <w:rsid w:val="004C0609"/>
    <w:rsid w:val="004C639F"/>
    <w:rsid w:val="004D0BBB"/>
    <w:rsid w:val="004D141F"/>
    <w:rsid w:val="004D2742"/>
    <w:rsid w:val="004D3810"/>
    <w:rsid w:val="004D3976"/>
    <w:rsid w:val="004D6310"/>
    <w:rsid w:val="004E0062"/>
    <w:rsid w:val="004E018D"/>
    <w:rsid w:val="004E05A1"/>
    <w:rsid w:val="004E595A"/>
    <w:rsid w:val="004E6F4F"/>
    <w:rsid w:val="004E7F21"/>
    <w:rsid w:val="004F472A"/>
    <w:rsid w:val="004F5E57"/>
    <w:rsid w:val="004F6710"/>
    <w:rsid w:val="00500C3E"/>
    <w:rsid w:val="00502849"/>
    <w:rsid w:val="00504334"/>
    <w:rsid w:val="0050498D"/>
    <w:rsid w:val="00506598"/>
    <w:rsid w:val="005104D7"/>
    <w:rsid w:val="00510B9E"/>
    <w:rsid w:val="00512E92"/>
    <w:rsid w:val="00514653"/>
    <w:rsid w:val="00517887"/>
    <w:rsid w:val="00520342"/>
    <w:rsid w:val="00524F18"/>
    <w:rsid w:val="00525A9C"/>
    <w:rsid w:val="005342DB"/>
    <w:rsid w:val="00534473"/>
    <w:rsid w:val="00534D70"/>
    <w:rsid w:val="005357B1"/>
    <w:rsid w:val="0053637C"/>
    <w:rsid w:val="005365E3"/>
    <w:rsid w:val="00536BC2"/>
    <w:rsid w:val="00540C23"/>
    <w:rsid w:val="00541BC9"/>
    <w:rsid w:val="00541EB1"/>
    <w:rsid w:val="005425E1"/>
    <w:rsid w:val="005427C5"/>
    <w:rsid w:val="00542CF6"/>
    <w:rsid w:val="00542E3B"/>
    <w:rsid w:val="0054444D"/>
    <w:rsid w:val="00544A0E"/>
    <w:rsid w:val="00551637"/>
    <w:rsid w:val="00553343"/>
    <w:rsid w:val="0055345F"/>
    <w:rsid w:val="00553C03"/>
    <w:rsid w:val="005548E7"/>
    <w:rsid w:val="005550FF"/>
    <w:rsid w:val="0055757C"/>
    <w:rsid w:val="00560DDA"/>
    <w:rsid w:val="00562512"/>
    <w:rsid w:val="00562C72"/>
    <w:rsid w:val="00563692"/>
    <w:rsid w:val="00563906"/>
    <w:rsid w:val="00566684"/>
    <w:rsid w:val="00571679"/>
    <w:rsid w:val="00572794"/>
    <w:rsid w:val="00573DD0"/>
    <w:rsid w:val="00575B90"/>
    <w:rsid w:val="00576A89"/>
    <w:rsid w:val="00582F6E"/>
    <w:rsid w:val="00584235"/>
    <w:rsid w:val="005844E7"/>
    <w:rsid w:val="005908B8"/>
    <w:rsid w:val="00593D86"/>
    <w:rsid w:val="0059512E"/>
    <w:rsid w:val="00595C75"/>
    <w:rsid w:val="00597669"/>
    <w:rsid w:val="005A2ABA"/>
    <w:rsid w:val="005A3B86"/>
    <w:rsid w:val="005A6DD2"/>
    <w:rsid w:val="005B168A"/>
    <w:rsid w:val="005B2D26"/>
    <w:rsid w:val="005B2E67"/>
    <w:rsid w:val="005B45DB"/>
    <w:rsid w:val="005B4DDC"/>
    <w:rsid w:val="005C20D4"/>
    <w:rsid w:val="005C236C"/>
    <w:rsid w:val="005C36A3"/>
    <w:rsid w:val="005C385D"/>
    <w:rsid w:val="005C4789"/>
    <w:rsid w:val="005C6293"/>
    <w:rsid w:val="005D157A"/>
    <w:rsid w:val="005D3B20"/>
    <w:rsid w:val="005D4296"/>
    <w:rsid w:val="005D71B7"/>
    <w:rsid w:val="005E4759"/>
    <w:rsid w:val="005E5C68"/>
    <w:rsid w:val="005E65C0"/>
    <w:rsid w:val="005F0390"/>
    <w:rsid w:val="006033A2"/>
    <w:rsid w:val="00603756"/>
    <w:rsid w:val="006062B2"/>
    <w:rsid w:val="006072CD"/>
    <w:rsid w:val="00612023"/>
    <w:rsid w:val="00614190"/>
    <w:rsid w:val="0062125A"/>
    <w:rsid w:val="00621FD8"/>
    <w:rsid w:val="00622A99"/>
    <w:rsid w:val="00622E67"/>
    <w:rsid w:val="00624B94"/>
    <w:rsid w:val="00626B57"/>
    <w:rsid w:val="00626EDC"/>
    <w:rsid w:val="0063136D"/>
    <w:rsid w:val="00631D6E"/>
    <w:rsid w:val="00631E7C"/>
    <w:rsid w:val="00633598"/>
    <w:rsid w:val="006349FC"/>
    <w:rsid w:val="00635258"/>
    <w:rsid w:val="00637414"/>
    <w:rsid w:val="00642F26"/>
    <w:rsid w:val="006452D3"/>
    <w:rsid w:val="006470EC"/>
    <w:rsid w:val="006542D6"/>
    <w:rsid w:val="0065598E"/>
    <w:rsid w:val="00655AF2"/>
    <w:rsid w:val="00655BC5"/>
    <w:rsid w:val="006568BE"/>
    <w:rsid w:val="006577D8"/>
    <w:rsid w:val="0066025D"/>
    <w:rsid w:val="0066091A"/>
    <w:rsid w:val="00665687"/>
    <w:rsid w:val="00665D34"/>
    <w:rsid w:val="00666CDA"/>
    <w:rsid w:val="00671CB7"/>
    <w:rsid w:val="00671EC9"/>
    <w:rsid w:val="00673BBF"/>
    <w:rsid w:val="006744DC"/>
    <w:rsid w:val="006773EC"/>
    <w:rsid w:val="00677A08"/>
    <w:rsid w:val="00680504"/>
    <w:rsid w:val="00681CD9"/>
    <w:rsid w:val="00683E30"/>
    <w:rsid w:val="00683FD4"/>
    <w:rsid w:val="006860C5"/>
    <w:rsid w:val="00687024"/>
    <w:rsid w:val="00687701"/>
    <w:rsid w:val="006931A9"/>
    <w:rsid w:val="00695198"/>
    <w:rsid w:val="00695E22"/>
    <w:rsid w:val="006A2972"/>
    <w:rsid w:val="006A51FF"/>
    <w:rsid w:val="006A7225"/>
    <w:rsid w:val="006B19D5"/>
    <w:rsid w:val="006B4A85"/>
    <w:rsid w:val="006B642E"/>
    <w:rsid w:val="006B7093"/>
    <w:rsid w:val="006B7417"/>
    <w:rsid w:val="006C4CD7"/>
    <w:rsid w:val="006C5B17"/>
    <w:rsid w:val="006D31F9"/>
    <w:rsid w:val="006D3691"/>
    <w:rsid w:val="006D627D"/>
    <w:rsid w:val="006D6AC9"/>
    <w:rsid w:val="006D6DAE"/>
    <w:rsid w:val="006D7D2C"/>
    <w:rsid w:val="006E15FB"/>
    <w:rsid w:val="006E3C34"/>
    <w:rsid w:val="006E5EF0"/>
    <w:rsid w:val="006F3117"/>
    <w:rsid w:val="006F3563"/>
    <w:rsid w:val="006F3BE4"/>
    <w:rsid w:val="006F42B9"/>
    <w:rsid w:val="006F44B8"/>
    <w:rsid w:val="006F4FAC"/>
    <w:rsid w:val="006F5080"/>
    <w:rsid w:val="006F6103"/>
    <w:rsid w:val="007016E2"/>
    <w:rsid w:val="00702C43"/>
    <w:rsid w:val="00704E00"/>
    <w:rsid w:val="007065AF"/>
    <w:rsid w:val="00706613"/>
    <w:rsid w:val="007079AF"/>
    <w:rsid w:val="007102A0"/>
    <w:rsid w:val="00711F4B"/>
    <w:rsid w:val="0071763D"/>
    <w:rsid w:val="007209E7"/>
    <w:rsid w:val="007210EA"/>
    <w:rsid w:val="00721EE7"/>
    <w:rsid w:val="00722285"/>
    <w:rsid w:val="00722F44"/>
    <w:rsid w:val="00725F67"/>
    <w:rsid w:val="00726182"/>
    <w:rsid w:val="00727635"/>
    <w:rsid w:val="00727933"/>
    <w:rsid w:val="00727BBF"/>
    <w:rsid w:val="00730263"/>
    <w:rsid w:val="00730B1E"/>
    <w:rsid w:val="00731775"/>
    <w:rsid w:val="00731E63"/>
    <w:rsid w:val="00732329"/>
    <w:rsid w:val="0073316F"/>
    <w:rsid w:val="007337CA"/>
    <w:rsid w:val="00734CE4"/>
    <w:rsid w:val="00735123"/>
    <w:rsid w:val="00736587"/>
    <w:rsid w:val="00741837"/>
    <w:rsid w:val="00742017"/>
    <w:rsid w:val="0074412D"/>
    <w:rsid w:val="00744A7E"/>
    <w:rsid w:val="007453E6"/>
    <w:rsid w:val="00745B76"/>
    <w:rsid w:val="007470E4"/>
    <w:rsid w:val="00754789"/>
    <w:rsid w:val="00755E2F"/>
    <w:rsid w:val="0075770D"/>
    <w:rsid w:val="007651D8"/>
    <w:rsid w:val="00765430"/>
    <w:rsid w:val="00766F0E"/>
    <w:rsid w:val="00770453"/>
    <w:rsid w:val="007707A7"/>
    <w:rsid w:val="0077086C"/>
    <w:rsid w:val="0077309D"/>
    <w:rsid w:val="007748FA"/>
    <w:rsid w:val="007774EE"/>
    <w:rsid w:val="00781822"/>
    <w:rsid w:val="0078207C"/>
    <w:rsid w:val="00783F21"/>
    <w:rsid w:val="00786AE0"/>
    <w:rsid w:val="0078711E"/>
    <w:rsid w:val="00787159"/>
    <w:rsid w:val="0079043A"/>
    <w:rsid w:val="0079063C"/>
    <w:rsid w:val="00791668"/>
    <w:rsid w:val="00791AA1"/>
    <w:rsid w:val="007A338D"/>
    <w:rsid w:val="007A3793"/>
    <w:rsid w:val="007A442B"/>
    <w:rsid w:val="007B623C"/>
    <w:rsid w:val="007C1BA2"/>
    <w:rsid w:val="007C2122"/>
    <w:rsid w:val="007C2B48"/>
    <w:rsid w:val="007C3EBE"/>
    <w:rsid w:val="007C4522"/>
    <w:rsid w:val="007D20E9"/>
    <w:rsid w:val="007D363D"/>
    <w:rsid w:val="007D37CC"/>
    <w:rsid w:val="007D7881"/>
    <w:rsid w:val="007D7E3A"/>
    <w:rsid w:val="007E0E10"/>
    <w:rsid w:val="007E18AA"/>
    <w:rsid w:val="007E32C6"/>
    <w:rsid w:val="007E4768"/>
    <w:rsid w:val="007E47D9"/>
    <w:rsid w:val="007E66A7"/>
    <w:rsid w:val="007E777B"/>
    <w:rsid w:val="007F2070"/>
    <w:rsid w:val="007F4C9D"/>
    <w:rsid w:val="007F5B54"/>
    <w:rsid w:val="007F63C1"/>
    <w:rsid w:val="0080177A"/>
    <w:rsid w:val="00801C4F"/>
    <w:rsid w:val="0080273A"/>
    <w:rsid w:val="00802CCE"/>
    <w:rsid w:val="008034C5"/>
    <w:rsid w:val="008053F5"/>
    <w:rsid w:val="00807AF7"/>
    <w:rsid w:val="00810198"/>
    <w:rsid w:val="00814E7F"/>
    <w:rsid w:val="00815176"/>
    <w:rsid w:val="008151BC"/>
    <w:rsid w:val="00815822"/>
    <w:rsid w:val="00815DA8"/>
    <w:rsid w:val="008213BE"/>
    <w:rsid w:val="0082194D"/>
    <w:rsid w:val="00821C03"/>
    <w:rsid w:val="008221F9"/>
    <w:rsid w:val="008225DF"/>
    <w:rsid w:val="0082265C"/>
    <w:rsid w:val="008257D3"/>
    <w:rsid w:val="00826EF5"/>
    <w:rsid w:val="00831693"/>
    <w:rsid w:val="00833A14"/>
    <w:rsid w:val="0083667E"/>
    <w:rsid w:val="00840104"/>
    <w:rsid w:val="00840C1F"/>
    <w:rsid w:val="008411C9"/>
    <w:rsid w:val="00841FC5"/>
    <w:rsid w:val="0084293C"/>
    <w:rsid w:val="00842C73"/>
    <w:rsid w:val="00843386"/>
    <w:rsid w:val="00843D0F"/>
    <w:rsid w:val="00844A28"/>
    <w:rsid w:val="00845709"/>
    <w:rsid w:val="0085326A"/>
    <w:rsid w:val="0085756E"/>
    <w:rsid w:val="0085758A"/>
    <w:rsid w:val="008576BD"/>
    <w:rsid w:val="00860463"/>
    <w:rsid w:val="00860F01"/>
    <w:rsid w:val="00865261"/>
    <w:rsid w:val="00866309"/>
    <w:rsid w:val="0086799D"/>
    <w:rsid w:val="00872E93"/>
    <w:rsid w:val="00873030"/>
    <w:rsid w:val="008733DA"/>
    <w:rsid w:val="008736AB"/>
    <w:rsid w:val="00873C62"/>
    <w:rsid w:val="0087685F"/>
    <w:rsid w:val="00877878"/>
    <w:rsid w:val="008850E4"/>
    <w:rsid w:val="00886740"/>
    <w:rsid w:val="008912EC"/>
    <w:rsid w:val="00892B28"/>
    <w:rsid w:val="008939AB"/>
    <w:rsid w:val="008A12F5"/>
    <w:rsid w:val="008A1EC7"/>
    <w:rsid w:val="008A21CC"/>
    <w:rsid w:val="008A74D7"/>
    <w:rsid w:val="008B0D4D"/>
    <w:rsid w:val="008B1587"/>
    <w:rsid w:val="008B159F"/>
    <w:rsid w:val="008B1B01"/>
    <w:rsid w:val="008B3BCD"/>
    <w:rsid w:val="008B5AA0"/>
    <w:rsid w:val="008B6A1F"/>
    <w:rsid w:val="008B6DF8"/>
    <w:rsid w:val="008C106C"/>
    <w:rsid w:val="008C10F1"/>
    <w:rsid w:val="008C1926"/>
    <w:rsid w:val="008C1E99"/>
    <w:rsid w:val="008D4287"/>
    <w:rsid w:val="008D4FD2"/>
    <w:rsid w:val="008E0085"/>
    <w:rsid w:val="008E2AA6"/>
    <w:rsid w:val="008E311B"/>
    <w:rsid w:val="008E363A"/>
    <w:rsid w:val="008E4C1A"/>
    <w:rsid w:val="008E5B6B"/>
    <w:rsid w:val="008F0E9D"/>
    <w:rsid w:val="008F46E7"/>
    <w:rsid w:val="008F64CA"/>
    <w:rsid w:val="008F6B98"/>
    <w:rsid w:val="008F6F0B"/>
    <w:rsid w:val="008F7E4B"/>
    <w:rsid w:val="009018DF"/>
    <w:rsid w:val="00902A94"/>
    <w:rsid w:val="009032B5"/>
    <w:rsid w:val="00904EDA"/>
    <w:rsid w:val="009065D0"/>
    <w:rsid w:val="009076B8"/>
    <w:rsid w:val="00907BA7"/>
    <w:rsid w:val="0091064E"/>
    <w:rsid w:val="00911FC5"/>
    <w:rsid w:val="00912F16"/>
    <w:rsid w:val="009152C6"/>
    <w:rsid w:val="009157D2"/>
    <w:rsid w:val="00922588"/>
    <w:rsid w:val="009227E3"/>
    <w:rsid w:val="0092406B"/>
    <w:rsid w:val="00931A10"/>
    <w:rsid w:val="00934A65"/>
    <w:rsid w:val="00934FB0"/>
    <w:rsid w:val="00935B4D"/>
    <w:rsid w:val="00944A1F"/>
    <w:rsid w:val="0094535E"/>
    <w:rsid w:val="00947967"/>
    <w:rsid w:val="009546F9"/>
    <w:rsid w:val="00955201"/>
    <w:rsid w:val="0095672A"/>
    <w:rsid w:val="00957835"/>
    <w:rsid w:val="0096335F"/>
    <w:rsid w:val="00965200"/>
    <w:rsid w:val="009668B3"/>
    <w:rsid w:val="00967FBE"/>
    <w:rsid w:val="00971471"/>
    <w:rsid w:val="0097283A"/>
    <w:rsid w:val="00974F35"/>
    <w:rsid w:val="009770F5"/>
    <w:rsid w:val="009773E5"/>
    <w:rsid w:val="009825E7"/>
    <w:rsid w:val="009845B6"/>
    <w:rsid w:val="009849C2"/>
    <w:rsid w:val="00984D24"/>
    <w:rsid w:val="009858EB"/>
    <w:rsid w:val="00994042"/>
    <w:rsid w:val="00996208"/>
    <w:rsid w:val="009964DE"/>
    <w:rsid w:val="00997351"/>
    <w:rsid w:val="009A00FD"/>
    <w:rsid w:val="009A24A2"/>
    <w:rsid w:val="009A2DBE"/>
    <w:rsid w:val="009A3F47"/>
    <w:rsid w:val="009A555C"/>
    <w:rsid w:val="009B0046"/>
    <w:rsid w:val="009B29DB"/>
    <w:rsid w:val="009B409E"/>
    <w:rsid w:val="009B4771"/>
    <w:rsid w:val="009C1440"/>
    <w:rsid w:val="009C2107"/>
    <w:rsid w:val="009C479E"/>
    <w:rsid w:val="009C5D9E"/>
    <w:rsid w:val="009C66AA"/>
    <w:rsid w:val="009D18D6"/>
    <w:rsid w:val="009D1D4E"/>
    <w:rsid w:val="009D2C3E"/>
    <w:rsid w:val="009D6EF6"/>
    <w:rsid w:val="009E008F"/>
    <w:rsid w:val="009E0625"/>
    <w:rsid w:val="009E204C"/>
    <w:rsid w:val="009E3034"/>
    <w:rsid w:val="009E549F"/>
    <w:rsid w:val="009F102F"/>
    <w:rsid w:val="009F28A8"/>
    <w:rsid w:val="009F2ABA"/>
    <w:rsid w:val="009F473E"/>
    <w:rsid w:val="009F5247"/>
    <w:rsid w:val="009F682A"/>
    <w:rsid w:val="009F7419"/>
    <w:rsid w:val="00A01736"/>
    <w:rsid w:val="00A022BE"/>
    <w:rsid w:val="00A064E2"/>
    <w:rsid w:val="00A07B4B"/>
    <w:rsid w:val="00A14DAD"/>
    <w:rsid w:val="00A1580B"/>
    <w:rsid w:val="00A165D7"/>
    <w:rsid w:val="00A21704"/>
    <w:rsid w:val="00A24C95"/>
    <w:rsid w:val="00A2599A"/>
    <w:rsid w:val="00A25D4B"/>
    <w:rsid w:val="00A26094"/>
    <w:rsid w:val="00A2637B"/>
    <w:rsid w:val="00A301BF"/>
    <w:rsid w:val="00A302B2"/>
    <w:rsid w:val="00A30BB2"/>
    <w:rsid w:val="00A331B4"/>
    <w:rsid w:val="00A3484E"/>
    <w:rsid w:val="00A35411"/>
    <w:rsid w:val="00A356D3"/>
    <w:rsid w:val="00A36ADA"/>
    <w:rsid w:val="00A3704B"/>
    <w:rsid w:val="00A37115"/>
    <w:rsid w:val="00A37369"/>
    <w:rsid w:val="00A37C4D"/>
    <w:rsid w:val="00A40832"/>
    <w:rsid w:val="00A409CA"/>
    <w:rsid w:val="00A42C00"/>
    <w:rsid w:val="00A438D8"/>
    <w:rsid w:val="00A45584"/>
    <w:rsid w:val="00A462F8"/>
    <w:rsid w:val="00A473F5"/>
    <w:rsid w:val="00A51F9D"/>
    <w:rsid w:val="00A53796"/>
    <w:rsid w:val="00A5416A"/>
    <w:rsid w:val="00A5528B"/>
    <w:rsid w:val="00A5560E"/>
    <w:rsid w:val="00A570C3"/>
    <w:rsid w:val="00A60146"/>
    <w:rsid w:val="00A639F4"/>
    <w:rsid w:val="00A6520E"/>
    <w:rsid w:val="00A65864"/>
    <w:rsid w:val="00A65FAE"/>
    <w:rsid w:val="00A6737E"/>
    <w:rsid w:val="00A8160E"/>
    <w:rsid w:val="00A81A32"/>
    <w:rsid w:val="00A835BD"/>
    <w:rsid w:val="00A840AC"/>
    <w:rsid w:val="00A867F2"/>
    <w:rsid w:val="00A923FA"/>
    <w:rsid w:val="00A942A5"/>
    <w:rsid w:val="00A97B15"/>
    <w:rsid w:val="00AA42D5"/>
    <w:rsid w:val="00AA50D9"/>
    <w:rsid w:val="00AA5D23"/>
    <w:rsid w:val="00AB043D"/>
    <w:rsid w:val="00AB2FAB"/>
    <w:rsid w:val="00AB5538"/>
    <w:rsid w:val="00AB5C14"/>
    <w:rsid w:val="00AB7BCF"/>
    <w:rsid w:val="00AC1781"/>
    <w:rsid w:val="00AC1EE7"/>
    <w:rsid w:val="00AC2D39"/>
    <w:rsid w:val="00AC333F"/>
    <w:rsid w:val="00AC383B"/>
    <w:rsid w:val="00AC585C"/>
    <w:rsid w:val="00AD1542"/>
    <w:rsid w:val="00AD1925"/>
    <w:rsid w:val="00AD2593"/>
    <w:rsid w:val="00AD49F4"/>
    <w:rsid w:val="00AD7B2A"/>
    <w:rsid w:val="00AE067D"/>
    <w:rsid w:val="00AE34B6"/>
    <w:rsid w:val="00AE6000"/>
    <w:rsid w:val="00AF1181"/>
    <w:rsid w:val="00AF2F79"/>
    <w:rsid w:val="00AF4653"/>
    <w:rsid w:val="00AF4C6F"/>
    <w:rsid w:val="00AF5B1D"/>
    <w:rsid w:val="00AF7DB7"/>
    <w:rsid w:val="00B046FD"/>
    <w:rsid w:val="00B05A27"/>
    <w:rsid w:val="00B10D02"/>
    <w:rsid w:val="00B17EC5"/>
    <w:rsid w:val="00B201E2"/>
    <w:rsid w:val="00B21B89"/>
    <w:rsid w:val="00B21CA2"/>
    <w:rsid w:val="00B228D2"/>
    <w:rsid w:val="00B23D58"/>
    <w:rsid w:val="00B3263D"/>
    <w:rsid w:val="00B33324"/>
    <w:rsid w:val="00B34764"/>
    <w:rsid w:val="00B351ED"/>
    <w:rsid w:val="00B36138"/>
    <w:rsid w:val="00B36C0E"/>
    <w:rsid w:val="00B3793F"/>
    <w:rsid w:val="00B41B30"/>
    <w:rsid w:val="00B443E4"/>
    <w:rsid w:val="00B50ACD"/>
    <w:rsid w:val="00B5199B"/>
    <w:rsid w:val="00B522B4"/>
    <w:rsid w:val="00B533F9"/>
    <w:rsid w:val="00B54466"/>
    <w:rsid w:val="00B5484D"/>
    <w:rsid w:val="00B563EA"/>
    <w:rsid w:val="00B56CDF"/>
    <w:rsid w:val="00B60E51"/>
    <w:rsid w:val="00B62A16"/>
    <w:rsid w:val="00B62EE5"/>
    <w:rsid w:val="00B63A54"/>
    <w:rsid w:val="00B66F58"/>
    <w:rsid w:val="00B71DB8"/>
    <w:rsid w:val="00B7429F"/>
    <w:rsid w:val="00B760F7"/>
    <w:rsid w:val="00B77D18"/>
    <w:rsid w:val="00B80364"/>
    <w:rsid w:val="00B81F57"/>
    <w:rsid w:val="00B82BAA"/>
    <w:rsid w:val="00B8313A"/>
    <w:rsid w:val="00B83E13"/>
    <w:rsid w:val="00B8454A"/>
    <w:rsid w:val="00B90321"/>
    <w:rsid w:val="00B90714"/>
    <w:rsid w:val="00B93503"/>
    <w:rsid w:val="00B93EC3"/>
    <w:rsid w:val="00B95F21"/>
    <w:rsid w:val="00B9601E"/>
    <w:rsid w:val="00B96494"/>
    <w:rsid w:val="00B967BD"/>
    <w:rsid w:val="00BA1B8C"/>
    <w:rsid w:val="00BA23B4"/>
    <w:rsid w:val="00BA31E8"/>
    <w:rsid w:val="00BA55E0"/>
    <w:rsid w:val="00BA59A4"/>
    <w:rsid w:val="00BA6BD4"/>
    <w:rsid w:val="00BA6C7A"/>
    <w:rsid w:val="00BA7ABF"/>
    <w:rsid w:val="00BB038F"/>
    <w:rsid w:val="00BB17D1"/>
    <w:rsid w:val="00BB1806"/>
    <w:rsid w:val="00BB239F"/>
    <w:rsid w:val="00BB2A7B"/>
    <w:rsid w:val="00BB2CDC"/>
    <w:rsid w:val="00BB3685"/>
    <w:rsid w:val="00BB3752"/>
    <w:rsid w:val="00BB39AC"/>
    <w:rsid w:val="00BB6688"/>
    <w:rsid w:val="00BC26D4"/>
    <w:rsid w:val="00BC53CF"/>
    <w:rsid w:val="00BC5420"/>
    <w:rsid w:val="00BC567B"/>
    <w:rsid w:val="00BC62D5"/>
    <w:rsid w:val="00BC6D06"/>
    <w:rsid w:val="00BE0572"/>
    <w:rsid w:val="00BE0C80"/>
    <w:rsid w:val="00BE15DE"/>
    <w:rsid w:val="00BE2471"/>
    <w:rsid w:val="00BE3379"/>
    <w:rsid w:val="00BE5D22"/>
    <w:rsid w:val="00BE7F98"/>
    <w:rsid w:val="00BF17A1"/>
    <w:rsid w:val="00BF2A42"/>
    <w:rsid w:val="00BF3575"/>
    <w:rsid w:val="00BF745A"/>
    <w:rsid w:val="00BF7531"/>
    <w:rsid w:val="00C01885"/>
    <w:rsid w:val="00C0249A"/>
    <w:rsid w:val="00C03D8C"/>
    <w:rsid w:val="00C055EC"/>
    <w:rsid w:val="00C07CFF"/>
    <w:rsid w:val="00C10DC9"/>
    <w:rsid w:val="00C125A8"/>
    <w:rsid w:val="00C12959"/>
    <w:rsid w:val="00C12FB3"/>
    <w:rsid w:val="00C17341"/>
    <w:rsid w:val="00C21607"/>
    <w:rsid w:val="00C22500"/>
    <w:rsid w:val="00C24EEF"/>
    <w:rsid w:val="00C25CF6"/>
    <w:rsid w:val="00C26C36"/>
    <w:rsid w:val="00C26F5B"/>
    <w:rsid w:val="00C31FA0"/>
    <w:rsid w:val="00C32768"/>
    <w:rsid w:val="00C431DF"/>
    <w:rsid w:val="00C456BD"/>
    <w:rsid w:val="00C460B3"/>
    <w:rsid w:val="00C4686E"/>
    <w:rsid w:val="00C4769C"/>
    <w:rsid w:val="00C50CF2"/>
    <w:rsid w:val="00C51E09"/>
    <w:rsid w:val="00C530DC"/>
    <w:rsid w:val="00C5350D"/>
    <w:rsid w:val="00C573A6"/>
    <w:rsid w:val="00C60BAE"/>
    <w:rsid w:val="00C6123C"/>
    <w:rsid w:val="00C61C19"/>
    <w:rsid w:val="00C61DC4"/>
    <w:rsid w:val="00C6311A"/>
    <w:rsid w:val="00C7084D"/>
    <w:rsid w:val="00C72EB0"/>
    <w:rsid w:val="00C7315E"/>
    <w:rsid w:val="00C73761"/>
    <w:rsid w:val="00C75895"/>
    <w:rsid w:val="00C83C9F"/>
    <w:rsid w:val="00C856D7"/>
    <w:rsid w:val="00C86B4A"/>
    <w:rsid w:val="00C87CC4"/>
    <w:rsid w:val="00C90300"/>
    <w:rsid w:val="00C94519"/>
    <w:rsid w:val="00C94840"/>
    <w:rsid w:val="00CA2A83"/>
    <w:rsid w:val="00CA2C12"/>
    <w:rsid w:val="00CA3DD9"/>
    <w:rsid w:val="00CA4EE3"/>
    <w:rsid w:val="00CB027F"/>
    <w:rsid w:val="00CB25E2"/>
    <w:rsid w:val="00CB2A26"/>
    <w:rsid w:val="00CB72E3"/>
    <w:rsid w:val="00CC0EBB"/>
    <w:rsid w:val="00CC3D93"/>
    <w:rsid w:val="00CC5FFB"/>
    <w:rsid w:val="00CC6297"/>
    <w:rsid w:val="00CC6526"/>
    <w:rsid w:val="00CC7690"/>
    <w:rsid w:val="00CD007E"/>
    <w:rsid w:val="00CD0081"/>
    <w:rsid w:val="00CD1986"/>
    <w:rsid w:val="00CD3703"/>
    <w:rsid w:val="00CD4C5D"/>
    <w:rsid w:val="00CD4C80"/>
    <w:rsid w:val="00CD54BF"/>
    <w:rsid w:val="00CE4249"/>
    <w:rsid w:val="00CE4D5C"/>
    <w:rsid w:val="00CF03B1"/>
    <w:rsid w:val="00CF05DA"/>
    <w:rsid w:val="00CF5311"/>
    <w:rsid w:val="00CF5843"/>
    <w:rsid w:val="00CF58EB"/>
    <w:rsid w:val="00CF6FEC"/>
    <w:rsid w:val="00D0106E"/>
    <w:rsid w:val="00D02560"/>
    <w:rsid w:val="00D06383"/>
    <w:rsid w:val="00D06D8D"/>
    <w:rsid w:val="00D102C2"/>
    <w:rsid w:val="00D12DBC"/>
    <w:rsid w:val="00D17AA8"/>
    <w:rsid w:val="00D20D26"/>
    <w:rsid w:val="00D20E85"/>
    <w:rsid w:val="00D24615"/>
    <w:rsid w:val="00D26DBC"/>
    <w:rsid w:val="00D312D0"/>
    <w:rsid w:val="00D31FE4"/>
    <w:rsid w:val="00D342FF"/>
    <w:rsid w:val="00D36BF7"/>
    <w:rsid w:val="00D36C85"/>
    <w:rsid w:val="00D37842"/>
    <w:rsid w:val="00D42DC2"/>
    <w:rsid w:val="00D4302B"/>
    <w:rsid w:val="00D46432"/>
    <w:rsid w:val="00D4667D"/>
    <w:rsid w:val="00D536F0"/>
    <w:rsid w:val="00D537E1"/>
    <w:rsid w:val="00D53D04"/>
    <w:rsid w:val="00D55BB2"/>
    <w:rsid w:val="00D6091A"/>
    <w:rsid w:val="00D614BD"/>
    <w:rsid w:val="00D62D00"/>
    <w:rsid w:val="00D6605A"/>
    <w:rsid w:val="00D6695F"/>
    <w:rsid w:val="00D7312F"/>
    <w:rsid w:val="00D75644"/>
    <w:rsid w:val="00D7643F"/>
    <w:rsid w:val="00D81656"/>
    <w:rsid w:val="00D817C8"/>
    <w:rsid w:val="00D83D87"/>
    <w:rsid w:val="00D84A6D"/>
    <w:rsid w:val="00D86A30"/>
    <w:rsid w:val="00D87A4A"/>
    <w:rsid w:val="00D87C59"/>
    <w:rsid w:val="00D9170B"/>
    <w:rsid w:val="00D94857"/>
    <w:rsid w:val="00D9703F"/>
    <w:rsid w:val="00D97CB4"/>
    <w:rsid w:val="00D97DD4"/>
    <w:rsid w:val="00DA5A8A"/>
    <w:rsid w:val="00DA7174"/>
    <w:rsid w:val="00DB0F93"/>
    <w:rsid w:val="00DB1170"/>
    <w:rsid w:val="00DB26CD"/>
    <w:rsid w:val="00DB310B"/>
    <w:rsid w:val="00DB441C"/>
    <w:rsid w:val="00DB44AF"/>
    <w:rsid w:val="00DC1F58"/>
    <w:rsid w:val="00DC339B"/>
    <w:rsid w:val="00DC5C7C"/>
    <w:rsid w:val="00DC5D40"/>
    <w:rsid w:val="00DC69A7"/>
    <w:rsid w:val="00DD0549"/>
    <w:rsid w:val="00DD17B9"/>
    <w:rsid w:val="00DD1A8C"/>
    <w:rsid w:val="00DD2AE7"/>
    <w:rsid w:val="00DD30E9"/>
    <w:rsid w:val="00DD3E7C"/>
    <w:rsid w:val="00DD4F47"/>
    <w:rsid w:val="00DD5795"/>
    <w:rsid w:val="00DD5BA7"/>
    <w:rsid w:val="00DD7FBB"/>
    <w:rsid w:val="00DE0A67"/>
    <w:rsid w:val="00DE0B9F"/>
    <w:rsid w:val="00DE2A9E"/>
    <w:rsid w:val="00DE3656"/>
    <w:rsid w:val="00DE3B1A"/>
    <w:rsid w:val="00DE4238"/>
    <w:rsid w:val="00DE657F"/>
    <w:rsid w:val="00DE71B0"/>
    <w:rsid w:val="00DE7DB4"/>
    <w:rsid w:val="00DF1218"/>
    <w:rsid w:val="00DF2558"/>
    <w:rsid w:val="00DF6462"/>
    <w:rsid w:val="00E00E84"/>
    <w:rsid w:val="00E01476"/>
    <w:rsid w:val="00E02FA0"/>
    <w:rsid w:val="00E036DC"/>
    <w:rsid w:val="00E03D96"/>
    <w:rsid w:val="00E0608A"/>
    <w:rsid w:val="00E07288"/>
    <w:rsid w:val="00E10454"/>
    <w:rsid w:val="00E112E5"/>
    <w:rsid w:val="00E122D8"/>
    <w:rsid w:val="00E12CC8"/>
    <w:rsid w:val="00E15352"/>
    <w:rsid w:val="00E16F2F"/>
    <w:rsid w:val="00E21CC7"/>
    <w:rsid w:val="00E24D9E"/>
    <w:rsid w:val="00E25849"/>
    <w:rsid w:val="00E25B13"/>
    <w:rsid w:val="00E27F64"/>
    <w:rsid w:val="00E3197E"/>
    <w:rsid w:val="00E342F8"/>
    <w:rsid w:val="00E351ED"/>
    <w:rsid w:val="00E35356"/>
    <w:rsid w:val="00E409D2"/>
    <w:rsid w:val="00E40F06"/>
    <w:rsid w:val="00E4138B"/>
    <w:rsid w:val="00E420C3"/>
    <w:rsid w:val="00E420C5"/>
    <w:rsid w:val="00E42B19"/>
    <w:rsid w:val="00E43A99"/>
    <w:rsid w:val="00E47037"/>
    <w:rsid w:val="00E51DDA"/>
    <w:rsid w:val="00E53F77"/>
    <w:rsid w:val="00E55DDD"/>
    <w:rsid w:val="00E6034B"/>
    <w:rsid w:val="00E62908"/>
    <w:rsid w:val="00E63687"/>
    <w:rsid w:val="00E65208"/>
    <w:rsid w:val="00E6549E"/>
    <w:rsid w:val="00E65EDE"/>
    <w:rsid w:val="00E70F81"/>
    <w:rsid w:val="00E738B5"/>
    <w:rsid w:val="00E74412"/>
    <w:rsid w:val="00E7688A"/>
    <w:rsid w:val="00E77055"/>
    <w:rsid w:val="00E77460"/>
    <w:rsid w:val="00E77CFF"/>
    <w:rsid w:val="00E81B0D"/>
    <w:rsid w:val="00E83ABC"/>
    <w:rsid w:val="00E844F2"/>
    <w:rsid w:val="00E90AD0"/>
    <w:rsid w:val="00E910A7"/>
    <w:rsid w:val="00E912BE"/>
    <w:rsid w:val="00E91D3D"/>
    <w:rsid w:val="00E92FCB"/>
    <w:rsid w:val="00E94FA6"/>
    <w:rsid w:val="00E96B6B"/>
    <w:rsid w:val="00E974E4"/>
    <w:rsid w:val="00EA147F"/>
    <w:rsid w:val="00EA37E0"/>
    <w:rsid w:val="00EA4A27"/>
    <w:rsid w:val="00EA4FA6"/>
    <w:rsid w:val="00EA520C"/>
    <w:rsid w:val="00EA7297"/>
    <w:rsid w:val="00EB1A25"/>
    <w:rsid w:val="00EB737D"/>
    <w:rsid w:val="00EC1AE5"/>
    <w:rsid w:val="00EC2099"/>
    <w:rsid w:val="00EC66FE"/>
    <w:rsid w:val="00EC7363"/>
    <w:rsid w:val="00ED01DC"/>
    <w:rsid w:val="00ED03AB"/>
    <w:rsid w:val="00ED0ADA"/>
    <w:rsid w:val="00ED1963"/>
    <w:rsid w:val="00ED1CD4"/>
    <w:rsid w:val="00ED1D2B"/>
    <w:rsid w:val="00ED64B5"/>
    <w:rsid w:val="00EE1750"/>
    <w:rsid w:val="00EE2147"/>
    <w:rsid w:val="00EE5820"/>
    <w:rsid w:val="00EE5843"/>
    <w:rsid w:val="00EE5D0E"/>
    <w:rsid w:val="00EE6E11"/>
    <w:rsid w:val="00EE766C"/>
    <w:rsid w:val="00EE7CCA"/>
    <w:rsid w:val="00EF54F4"/>
    <w:rsid w:val="00F03489"/>
    <w:rsid w:val="00F059AD"/>
    <w:rsid w:val="00F06175"/>
    <w:rsid w:val="00F06E53"/>
    <w:rsid w:val="00F07F82"/>
    <w:rsid w:val="00F1156C"/>
    <w:rsid w:val="00F14103"/>
    <w:rsid w:val="00F159A8"/>
    <w:rsid w:val="00F16A14"/>
    <w:rsid w:val="00F16F87"/>
    <w:rsid w:val="00F174DE"/>
    <w:rsid w:val="00F17717"/>
    <w:rsid w:val="00F21643"/>
    <w:rsid w:val="00F229A2"/>
    <w:rsid w:val="00F33F91"/>
    <w:rsid w:val="00F35434"/>
    <w:rsid w:val="00F362D7"/>
    <w:rsid w:val="00F37D7B"/>
    <w:rsid w:val="00F4113A"/>
    <w:rsid w:val="00F44116"/>
    <w:rsid w:val="00F47276"/>
    <w:rsid w:val="00F524B8"/>
    <w:rsid w:val="00F5314C"/>
    <w:rsid w:val="00F53276"/>
    <w:rsid w:val="00F5688C"/>
    <w:rsid w:val="00F60048"/>
    <w:rsid w:val="00F6078F"/>
    <w:rsid w:val="00F60E10"/>
    <w:rsid w:val="00F635DD"/>
    <w:rsid w:val="00F6627B"/>
    <w:rsid w:val="00F665B8"/>
    <w:rsid w:val="00F70D8C"/>
    <w:rsid w:val="00F71432"/>
    <w:rsid w:val="00F7336E"/>
    <w:rsid w:val="00F734F2"/>
    <w:rsid w:val="00F740B3"/>
    <w:rsid w:val="00F74224"/>
    <w:rsid w:val="00F74C95"/>
    <w:rsid w:val="00F75052"/>
    <w:rsid w:val="00F804D3"/>
    <w:rsid w:val="00F8082A"/>
    <w:rsid w:val="00F816CB"/>
    <w:rsid w:val="00F81CD2"/>
    <w:rsid w:val="00F81EBC"/>
    <w:rsid w:val="00F82641"/>
    <w:rsid w:val="00F835A8"/>
    <w:rsid w:val="00F85673"/>
    <w:rsid w:val="00F86251"/>
    <w:rsid w:val="00F86285"/>
    <w:rsid w:val="00F90F18"/>
    <w:rsid w:val="00F937E4"/>
    <w:rsid w:val="00F944A1"/>
    <w:rsid w:val="00F95135"/>
    <w:rsid w:val="00F95EE7"/>
    <w:rsid w:val="00F96315"/>
    <w:rsid w:val="00F97CA1"/>
    <w:rsid w:val="00FA39E6"/>
    <w:rsid w:val="00FA50C4"/>
    <w:rsid w:val="00FA7BC9"/>
    <w:rsid w:val="00FB378E"/>
    <w:rsid w:val="00FB37F1"/>
    <w:rsid w:val="00FB47C0"/>
    <w:rsid w:val="00FB501B"/>
    <w:rsid w:val="00FB719A"/>
    <w:rsid w:val="00FB7770"/>
    <w:rsid w:val="00FC0A2C"/>
    <w:rsid w:val="00FC442F"/>
    <w:rsid w:val="00FD2F19"/>
    <w:rsid w:val="00FD3B91"/>
    <w:rsid w:val="00FD3C34"/>
    <w:rsid w:val="00FD576B"/>
    <w:rsid w:val="00FD579E"/>
    <w:rsid w:val="00FD6845"/>
    <w:rsid w:val="00FE1550"/>
    <w:rsid w:val="00FE390B"/>
    <w:rsid w:val="00FE4516"/>
    <w:rsid w:val="00FE4CAF"/>
    <w:rsid w:val="00FE64C8"/>
    <w:rsid w:val="00FF0449"/>
    <w:rsid w:val="00FF0B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747DE"/>
  <w15:docId w15:val="{4E6B19EE-6419-49E8-A471-6B9DD82C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註腳文字 字元 字元,註腳文字(博銘), 字元,註腳文字1, 字元 字元 字元,字元 字元 字元"/>
    <w:basedOn w:val="a6"/>
    <w:link w:val="afd"/>
    <w:uiPriority w:val="99"/>
    <w:qFormat/>
    <w:rsid w:val="00AB043D"/>
    <w:pPr>
      <w:overflowPunct/>
      <w:autoSpaceDE/>
      <w:autoSpaceDN/>
      <w:snapToGrid w:val="0"/>
      <w:jc w:val="left"/>
    </w:pPr>
    <w:rPr>
      <w:rFonts w:ascii="Times New Roman" w:eastAsia="新細明體"/>
      <w:sz w:val="20"/>
    </w:rPr>
  </w:style>
  <w:style w:type="character" w:customStyle="1" w:styleId="afd">
    <w:name w:val="註腳文字 字元"/>
    <w:aliases w:val="註腳文字 字元 字元 字元,註腳文字(博銘) 字元, 字元 字元,註腳文字1 字元, 字元 字元 字元 字元,字元 字元 字元 字元"/>
    <w:basedOn w:val="a7"/>
    <w:link w:val="afc"/>
    <w:uiPriority w:val="99"/>
    <w:qFormat/>
    <w:rsid w:val="00AB043D"/>
    <w:rPr>
      <w:kern w:val="2"/>
    </w:rPr>
  </w:style>
  <w:style w:type="character" w:styleId="afe">
    <w:name w:val="footnote reference"/>
    <w:aliases w:val="FR,Ref,de nota al pie,註腳內容,Error-Fußnotenzeichen5,Error-Fußnotenzeichen6,Error-Fußnotenzeichen3,Error-Fusnotßnotenzeichen5,Error-Fußnotenzeic"/>
    <w:basedOn w:val="a7"/>
    <w:uiPriority w:val="99"/>
    <w:qFormat/>
    <w:rsid w:val="00AB043D"/>
    <w:rPr>
      <w:rFonts w:cs="Times New Roman"/>
      <w:vertAlign w:val="superscript"/>
    </w:rPr>
  </w:style>
  <w:style w:type="paragraph" w:styleId="HTML">
    <w:name w:val="HTML Preformatted"/>
    <w:basedOn w:val="a6"/>
    <w:link w:val="HTML0"/>
    <w:uiPriority w:val="99"/>
    <w:semiHidden/>
    <w:unhideWhenUsed/>
    <w:rsid w:val="00E91D3D"/>
    <w:rPr>
      <w:rFonts w:ascii="Courier New" w:hAnsi="Courier New" w:cs="Courier New"/>
      <w:sz w:val="20"/>
    </w:rPr>
  </w:style>
  <w:style w:type="character" w:customStyle="1" w:styleId="HTML0">
    <w:name w:val="HTML 預設格式 字元"/>
    <w:basedOn w:val="a7"/>
    <w:link w:val="HTML"/>
    <w:uiPriority w:val="99"/>
    <w:semiHidden/>
    <w:rsid w:val="00E91D3D"/>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A450B-2EAE-4BD5-A033-79FCD0C3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2008</Words>
  <Characters>11449</Characters>
  <Application>Microsoft Office Word</Application>
  <DocSecurity>0</DocSecurity>
  <Lines>95</Lines>
  <Paragraphs>26</Paragraphs>
  <ScaleCrop>false</ScaleCrop>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曾嘉輝</dc:creator>
  <cp:lastModifiedBy>江千如</cp:lastModifiedBy>
  <cp:revision>7</cp:revision>
  <cp:lastPrinted>2025-06-23T01:02:00Z</cp:lastPrinted>
  <dcterms:created xsi:type="dcterms:W3CDTF">2025-08-06T03:15:00Z</dcterms:created>
  <dcterms:modified xsi:type="dcterms:W3CDTF">2025-08-27T07:00:00Z</dcterms:modified>
</cp:coreProperties>
</file>