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DD" w:rsidRPr="00A93317" w:rsidRDefault="00BE25A5" w:rsidP="00A93317">
      <w:pPr>
        <w:pStyle w:val="a6"/>
        <w:kinsoku w:val="0"/>
        <w:overflowPunct w:val="0"/>
        <w:spacing w:before="0"/>
        <w:ind w:leftChars="833" w:left="2833" w:firstLine="0"/>
        <w:rPr>
          <w:rFonts w:hAnsi="標楷體"/>
          <w:b/>
          <w:bCs/>
          <w:snapToGrid/>
          <w:spacing w:val="200"/>
          <w:kern w:val="0"/>
          <w:sz w:val="40"/>
        </w:rPr>
      </w:pPr>
      <w:r w:rsidRPr="0070737E">
        <w:rPr>
          <w:rFonts w:hAnsi="標楷體" w:hint="eastAsia"/>
          <w:b/>
          <w:bCs/>
          <w:snapToGrid/>
          <w:spacing w:val="200"/>
          <w:kern w:val="0"/>
          <w:sz w:val="40"/>
        </w:rPr>
        <w:t>調查</w:t>
      </w:r>
      <w:r w:rsidR="00AF33B7" w:rsidRPr="0070737E">
        <w:rPr>
          <w:rFonts w:hAnsi="標楷體" w:hint="eastAsia"/>
          <w:b/>
          <w:bCs/>
          <w:snapToGrid/>
          <w:spacing w:val="200"/>
          <w:kern w:val="0"/>
          <w:sz w:val="40"/>
        </w:rPr>
        <w:t>報告</w:t>
      </w:r>
    </w:p>
    <w:p w:rsidR="001463DD" w:rsidRPr="0070737E" w:rsidRDefault="00AF33B7" w:rsidP="007A1FBC">
      <w:pPr>
        <w:pStyle w:val="1"/>
        <w:overflowPunct w:val="0"/>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70737E">
        <w:rPr>
          <w:rFonts w:hAnsi="標楷體" w:hint="eastAsia"/>
        </w:rPr>
        <w:t>案　　由：</w:t>
      </w:r>
      <w:bookmarkEnd w:id="0"/>
      <w:bookmarkEnd w:id="1"/>
      <w:bookmarkEnd w:id="2"/>
      <w:bookmarkEnd w:id="3"/>
      <w:bookmarkEnd w:id="4"/>
      <w:bookmarkEnd w:id="5"/>
      <w:bookmarkEnd w:id="6"/>
      <w:bookmarkEnd w:id="7"/>
      <w:bookmarkEnd w:id="8"/>
      <w:bookmarkEnd w:id="9"/>
      <w:r w:rsidRPr="0070737E">
        <w:rPr>
          <w:rFonts w:hAnsi="標楷體"/>
          <w:szCs w:val="32"/>
        </w:rPr>
        <w:fldChar w:fldCharType="begin"/>
      </w:r>
      <w:r w:rsidRPr="0070737E">
        <w:rPr>
          <w:rFonts w:hAnsi="標楷體"/>
          <w:szCs w:val="32"/>
        </w:rPr>
        <w:instrText xml:space="preserve"> MERGEFIELD </w:instrText>
      </w:r>
      <w:r w:rsidRPr="0070737E">
        <w:rPr>
          <w:rFonts w:hAnsi="標楷體" w:hint="eastAsia"/>
          <w:szCs w:val="32"/>
        </w:rPr>
        <w:instrText>案由</w:instrText>
      </w:r>
      <w:r w:rsidRPr="0070737E">
        <w:rPr>
          <w:rFonts w:hAnsi="標楷體"/>
          <w:szCs w:val="32"/>
        </w:rPr>
        <w:instrText xml:space="preserve"> </w:instrText>
      </w:r>
      <w:r w:rsidRPr="0070737E">
        <w:rPr>
          <w:rFonts w:hAnsi="標楷體"/>
          <w:szCs w:val="32"/>
        </w:rPr>
        <w:fldChar w:fldCharType="separate"/>
      </w:r>
      <w:r w:rsidR="00DF00C8" w:rsidRPr="00DF00C8">
        <w:rPr>
          <w:rFonts w:hAnsi="標楷體" w:hint="eastAsia"/>
          <w:noProof/>
          <w:szCs w:val="32"/>
        </w:rPr>
        <w:t>連江縣馬祖福澳港拖駁船臺港13302號與往來臺灣與馬祖各列嶼間之交通船新臺馬輪，於福澳港區內發生碰撞導致沉船，並造成海上油污染。究現行船員(船長)訓練考核，新任船長職前訓練、交接程序及操作考核，以及</w:t>
      </w:r>
      <w:bookmarkStart w:id="23" w:name="_GoBack"/>
      <w:bookmarkEnd w:id="23"/>
      <w:r w:rsidR="00DF00C8" w:rsidRPr="00DF00C8">
        <w:rPr>
          <w:rFonts w:hAnsi="標楷體" w:hint="eastAsia"/>
          <w:noProof/>
          <w:szCs w:val="32"/>
        </w:rPr>
        <w:t>船舶進出港作業溝通協調等機制，是否周妥？相關單位是否善盡督管權責？事涉船舶航行與港勤拖船作業，及港口航運安全之風險與管理，均有深入瞭解之必要案</w:t>
      </w:r>
      <w:r w:rsidR="00A27D27" w:rsidRPr="0070737E">
        <w:rPr>
          <w:rFonts w:hAnsi="標楷體" w:hint="eastAsia"/>
          <w:noProof/>
          <w:szCs w:val="32"/>
        </w:rPr>
        <w:t>。</w:t>
      </w:r>
      <w:r w:rsidRPr="0070737E">
        <w:rPr>
          <w:rFonts w:hAnsi="標楷體"/>
          <w:szCs w:val="32"/>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1463DD" w:rsidRPr="00A93317" w:rsidRDefault="00A93317" w:rsidP="00A93317">
      <w:pPr>
        <w:pStyle w:val="1"/>
        <w:overflowPunct w:val="0"/>
        <w:ind w:left="2380" w:hanging="2380"/>
        <w:rPr>
          <w:rFonts w:hAnsi="標楷體"/>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r>
        <w:rPr>
          <w:rFonts w:hAnsi="標楷體" w:hint="eastAsia"/>
        </w:rPr>
        <w:t>調</w:t>
      </w:r>
      <w:r w:rsidRPr="00A93317">
        <w:rPr>
          <w:rFonts w:hAnsi="標楷體" w:hint="eastAsia"/>
        </w:rPr>
        <w:t>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1463DD" w:rsidRPr="0070737E" w:rsidRDefault="00165120" w:rsidP="007A1FBC">
      <w:pPr>
        <w:pStyle w:val="10"/>
        <w:overflowPunct w:val="0"/>
        <w:ind w:left="680" w:firstLine="680"/>
        <w:rPr>
          <w:rFonts w:hAnsi="標楷體"/>
          <w:bCs/>
        </w:rPr>
      </w:pPr>
      <w:bookmarkStart w:id="46" w:name="_Toc524902730"/>
      <w:r w:rsidRPr="0070737E">
        <w:rPr>
          <w:rFonts w:hAnsi="標楷體" w:hint="eastAsia"/>
          <w:bCs/>
        </w:rPr>
        <w:t>本案</w:t>
      </w:r>
      <w:r w:rsidR="003C31F5" w:rsidRPr="0070737E">
        <w:rPr>
          <w:rFonts w:hAnsi="標楷體" w:hint="eastAsia"/>
          <w:bCs/>
        </w:rPr>
        <w:t>係</w:t>
      </w:r>
      <w:r w:rsidR="00795561" w:rsidRPr="0070737E">
        <w:rPr>
          <w:rFonts w:hAnsi="標楷體" w:hint="eastAsia"/>
          <w:bCs/>
        </w:rPr>
        <w:t>民國（下同）112年8月25日連江縣馬祖福澳港（下稱福澳港）拖駁船臺港13302號（下稱</w:t>
      </w:r>
      <w:proofErr w:type="gramStart"/>
      <w:r w:rsidR="00795561" w:rsidRPr="0070737E">
        <w:rPr>
          <w:rFonts w:hAnsi="標楷體" w:hint="eastAsia"/>
          <w:bCs/>
        </w:rPr>
        <w:t>臺</w:t>
      </w:r>
      <w:proofErr w:type="gramEnd"/>
      <w:r w:rsidR="00795561" w:rsidRPr="0070737E">
        <w:rPr>
          <w:rFonts w:hAnsi="標楷體" w:hint="eastAsia"/>
          <w:bCs/>
        </w:rPr>
        <w:t>港13302號）與往來臺灣與馬祖各列嶼間之交通船新臺馬輪（下稱新臺馬），於前開港區內發生碰撞導致臺港13302號沉船事故，衍生海上油污污染。究現行船員(船長)訓練考核機制，新任船長職前訓練、交接程序及操作考核，船舶進出港作業溝通協調機制</w:t>
      </w:r>
      <w:r w:rsidR="0021676B">
        <w:rPr>
          <w:rFonts w:hAnsi="標楷體" w:hint="eastAsia"/>
          <w:bCs/>
        </w:rPr>
        <w:t>等</w:t>
      </w:r>
      <w:r w:rsidR="00795561" w:rsidRPr="0070737E">
        <w:rPr>
          <w:rFonts w:hAnsi="標楷體" w:hint="eastAsia"/>
          <w:bCs/>
        </w:rPr>
        <w:t>，是否周妥？相關單位是否善</w:t>
      </w:r>
      <w:proofErr w:type="gramStart"/>
      <w:r w:rsidR="00795561" w:rsidRPr="0070737E">
        <w:rPr>
          <w:rFonts w:hAnsi="標楷體" w:hint="eastAsia"/>
          <w:bCs/>
        </w:rPr>
        <w:t>盡督管</w:t>
      </w:r>
      <w:proofErr w:type="gramEnd"/>
      <w:r w:rsidR="00795561" w:rsidRPr="0070737E">
        <w:rPr>
          <w:rFonts w:hAnsi="標楷體" w:hint="eastAsia"/>
          <w:bCs/>
        </w:rPr>
        <w:t>權責？</w:t>
      </w:r>
      <w:r w:rsidR="0021676B">
        <w:rPr>
          <w:rFonts w:hAnsi="標楷體" w:hint="eastAsia"/>
          <w:bCs/>
        </w:rPr>
        <w:t>以上</w:t>
      </w:r>
      <w:r w:rsidR="00795561" w:rsidRPr="0070737E">
        <w:rPr>
          <w:rFonts w:hAnsi="標楷體" w:hint="eastAsia"/>
          <w:bCs/>
        </w:rPr>
        <w:t>事涉船舶航行安全與港勤拖船作業管控，及港口航運安全之風險與管理</w:t>
      </w:r>
      <w:r w:rsidR="003C31F5" w:rsidRPr="0070737E">
        <w:rPr>
          <w:rFonts w:hAnsi="標楷體" w:hint="eastAsia"/>
          <w:bCs/>
        </w:rPr>
        <w:t>，</w:t>
      </w:r>
      <w:r w:rsidR="00C674DF">
        <w:rPr>
          <w:rFonts w:hAnsi="標楷體" w:hint="eastAsia"/>
          <w:bCs/>
        </w:rPr>
        <w:t>認</w:t>
      </w:r>
      <w:r w:rsidR="00C674DF" w:rsidRPr="00C674DF">
        <w:rPr>
          <w:rFonts w:hAnsi="標楷體" w:hint="eastAsia"/>
          <w:bCs/>
        </w:rPr>
        <w:t>有深入瞭解之必要</w:t>
      </w:r>
      <w:r w:rsidR="00C674DF">
        <w:rPr>
          <w:rFonts w:hAnsi="標楷體" w:hint="eastAsia"/>
          <w:bCs/>
        </w:rPr>
        <w:t>，</w:t>
      </w:r>
      <w:proofErr w:type="gramStart"/>
      <w:r w:rsidR="0021676B">
        <w:rPr>
          <w:rFonts w:hAnsi="標楷體" w:hint="eastAsia"/>
          <w:bCs/>
        </w:rPr>
        <w:t>爰</w:t>
      </w:r>
      <w:proofErr w:type="gramEnd"/>
      <w:r w:rsidR="0021676B">
        <w:rPr>
          <w:rFonts w:hAnsi="標楷體" w:hint="eastAsia"/>
          <w:bCs/>
        </w:rPr>
        <w:t>立案</w:t>
      </w:r>
      <w:r w:rsidR="003C31F5" w:rsidRPr="0070737E">
        <w:rPr>
          <w:rFonts w:hAnsi="標楷體" w:hint="eastAsia"/>
          <w:bCs/>
        </w:rPr>
        <w:t>調查。</w:t>
      </w:r>
      <w:r w:rsidRPr="0070737E">
        <w:rPr>
          <w:rFonts w:hAnsi="標楷體" w:hint="eastAsia"/>
          <w:bCs/>
        </w:rPr>
        <w:t>本案經調閱本</w:t>
      </w:r>
      <w:proofErr w:type="gramStart"/>
      <w:r w:rsidRPr="0070737E">
        <w:rPr>
          <w:rFonts w:hAnsi="標楷體" w:hint="eastAsia"/>
          <w:bCs/>
        </w:rPr>
        <w:t>院前卷</w:t>
      </w:r>
      <w:proofErr w:type="gramEnd"/>
      <w:r w:rsidR="00A83F76" w:rsidRPr="0070737E">
        <w:rPr>
          <w:rStyle w:val="af4"/>
          <w:rFonts w:hAnsi="標楷體"/>
          <w:bCs/>
        </w:rPr>
        <w:footnoteReference w:id="1"/>
      </w:r>
      <w:r w:rsidR="00AC05F5" w:rsidRPr="0070737E">
        <w:rPr>
          <w:rFonts w:hAnsi="標楷體" w:hint="eastAsia"/>
          <w:bCs/>
        </w:rPr>
        <w:t>及</w:t>
      </w:r>
      <w:r w:rsidR="00DF00C8">
        <w:rPr>
          <w:rFonts w:hAnsi="標楷體" w:hint="eastAsia"/>
          <w:bCs/>
        </w:rPr>
        <w:t>臺灣港務港勤股份有限公司</w:t>
      </w:r>
      <w:r w:rsidR="00C621BE" w:rsidRPr="0070737E">
        <w:rPr>
          <w:rFonts w:hAnsi="標楷體"/>
          <w:bCs/>
          <w:vertAlign w:val="superscript"/>
        </w:rPr>
        <w:footnoteReference w:id="2"/>
      </w:r>
      <w:r w:rsidR="00C621BE" w:rsidRPr="0070737E">
        <w:rPr>
          <w:rFonts w:hAnsi="標楷體" w:hint="eastAsia"/>
          <w:bCs/>
        </w:rPr>
        <w:t>（下稱臺港勤）、連江縣政府</w:t>
      </w:r>
      <w:r w:rsidR="00C621BE" w:rsidRPr="0070737E">
        <w:rPr>
          <w:rFonts w:hAnsi="標楷體"/>
          <w:bCs/>
          <w:vertAlign w:val="superscript"/>
        </w:rPr>
        <w:footnoteReference w:id="3"/>
      </w:r>
      <w:r w:rsidR="00C621BE" w:rsidRPr="0070737E">
        <w:rPr>
          <w:rFonts w:hAnsi="標楷體" w:hint="eastAsia"/>
          <w:bCs/>
        </w:rPr>
        <w:t>、交通部航港局</w:t>
      </w:r>
      <w:bookmarkStart w:id="47" w:name="_Hlk201670068"/>
      <w:r w:rsidR="00A83F76" w:rsidRPr="0070737E">
        <w:rPr>
          <w:rStyle w:val="af4"/>
          <w:rFonts w:hAnsi="標楷體"/>
          <w:bCs/>
        </w:rPr>
        <w:footnoteReference w:id="4"/>
      </w:r>
      <w:bookmarkEnd w:id="47"/>
      <w:r w:rsidR="00FD18D6" w:rsidRPr="0070737E">
        <w:rPr>
          <w:rFonts w:hAnsi="標楷體" w:hint="eastAsia"/>
          <w:bCs/>
        </w:rPr>
        <w:t>（下稱航港局）</w:t>
      </w:r>
      <w:r w:rsidRPr="0070737E">
        <w:rPr>
          <w:rFonts w:hAnsi="標楷體" w:hint="eastAsia"/>
          <w:bCs/>
        </w:rPr>
        <w:t>等機關</w:t>
      </w:r>
      <w:proofErr w:type="gramStart"/>
      <w:r w:rsidRPr="0070737E">
        <w:rPr>
          <w:rFonts w:hAnsi="標楷體" w:hint="eastAsia"/>
          <w:bCs/>
        </w:rPr>
        <w:t>函復卷</w:t>
      </w:r>
      <w:proofErr w:type="gramEnd"/>
      <w:r w:rsidRPr="0070737E">
        <w:rPr>
          <w:rFonts w:hAnsi="標楷體" w:hint="eastAsia"/>
          <w:bCs/>
        </w:rPr>
        <w:t>證</w:t>
      </w:r>
      <w:r w:rsidR="00C674DF">
        <w:rPr>
          <w:rFonts w:hAnsi="標楷體" w:hint="eastAsia"/>
          <w:bCs/>
        </w:rPr>
        <w:t>資料</w:t>
      </w:r>
      <w:r w:rsidR="00D64E24" w:rsidRPr="0070737E">
        <w:rPr>
          <w:rFonts w:hAnsi="標楷體" w:hint="eastAsia"/>
          <w:bCs/>
        </w:rPr>
        <w:t>，</w:t>
      </w:r>
      <w:proofErr w:type="gramStart"/>
      <w:r w:rsidR="00C621BE" w:rsidRPr="0070737E">
        <w:rPr>
          <w:rFonts w:hAnsi="標楷體" w:hint="eastAsia"/>
          <w:bCs/>
        </w:rPr>
        <w:t>並參</w:t>
      </w:r>
      <w:proofErr w:type="gramEnd"/>
      <w:r w:rsidR="00C621BE" w:rsidRPr="0070737E">
        <w:rPr>
          <w:rFonts w:hAnsi="標楷體" w:hint="eastAsia"/>
          <w:bCs/>
        </w:rPr>
        <w:t>據</w:t>
      </w:r>
      <w:r w:rsidR="00711F93" w:rsidRPr="0070737E">
        <w:rPr>
          <w:rFonts w:hAnsi="標楷體" w:hint="eastAsia"/>
          <w:bCs/>
        </w:rPr>
        <w:t>國家運輸安全調查委員會(</w:t>
      </w:r>
      <w:proofErr w:type="gramStart"/>
      <w:r w:rsidR="00711F93" w:rsidRPr="0070737E">
        <w:rPr>
          <w:rFonts w:hAnsi="標楷體" w:hint="eastAsia"/>
          <w:bCs/>
        </w:rPr>
        <w:t>下稱運</w:t>
      </w:r>
      <w:proofErr w:type="gramEnd"/>
      <w:r w:rsidR="00711F93" w:rsidRPr="0070737E">
        <w:rPr>
          <w:rFonts w:hAnsi="標楷體" w:hint="eastAsia"/>
          <w:bCs/>
        </w:rPr>
        <w:t>安會)針對本案之調查報告</w:t>
      </w:r>
      <w:r w:rsidR="005327EF" w:rsidRPr="0070737E">
        <w:rPr>
          <w:rStyle w:val="af4"/>
          <w:rFonts w:hAnsi="標楷體"/>
          <w:bCs/>
        </w:rPr>
        <w:footnoteReference w:id="5"/>
      </w:r>
      <w:r w:rsidRPr="0070737E">
        <w:rPr>
          <w:rFonts w:hAnsi="標楷體" w:hint="eastAsia"/>
          <w:bCs/>
        </w:rPr>
        <w:t>。</w:t>
      </w:r>
      <w:r w:rsidR="00C674DF">
        <w:rPr>
          <w:rFonts w:hAnsi="標楷體" w:hint="eastAsia"/>
          <w:bCs/>
        </w:rPr>
        <w:t>全案業</w:t>
      </w:r>
      <w:r w:rsidR="00FF51A8" w:rsidRPr="0070737E">
        <w:rPr>
          <w:rFonts w:hAnsi="標楷體" w:hint="eastAsia"/>
          <w:bCs/>
        </w:rPr>
        <w:t>已</w:t>
      </w:r>
      <w:proofErr w:type="gramStart"/>
      <w:r w:rsidR="00FF51A8" w:rsidRPr="0070737E">
        <w:rPr>
          <w:rFonts w:hAnsi="標楷體" w:hint="eastAsia"/>
          <w:bCs/>
        </w:rPr>
        <w:t>調查竣事</w:t>
      </w:r>
      <w:proofErr w:type="gramEnd"/>
      <w:r w:rsidR="00FF51A8" w:rsidRPr="0070737E">
        <w:rPr>
          <w:rFonts w:hAnsi="標楷體" w:hint="eastAsia"/>
          <w:bCs/>
        </w:rPr>
        <w:t>，茲臚列調查意見如下：</w:t>
      </w:r>
    </w:p>
    <w:p w:rsidR="008C638F" w:rsidRPr="0070737E" w:rsidRDefault="008C638F" w:rsidP="008C638F">
      <w:pPr>
        <w:pStyle w:val="2"/>
        <w:overflowPunct w:val="0"/>
        <w:ind w:left="1020" w:hanging="680"/>
        <w:rPr>
          <w:rFonts w:hAnsi="標楷體"/>
          <w:b/>
        </w:rPr>
      </w:pPr>
      <w:bookmarkStart w:id="49" w:name="_Hlk199862144"/>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6"/>
      <w:proofErr w:type="gramStart"/>
      <w:r w:rsidRPr="0070737E">
        <w:rPr>
          <w:rFonts w:hAnsi="標楷體" w:hint="eastAsia"/>
          <w:b/>
        </w:rPr>
        <w:lastRenderedPageBreak/>
        <w:t>臺</w:t>
      </w:r>
      <w:proofErr w:type="gramEnd"/>
      <w:r w:rsidRPr="0070737E">
        <w:rPr>
          <w:rFonts w:hAnsi="標楷體" w:hint="eastAsia"/>
          <w:b/>
        </w:rPr>
        <w:t>港勤</w:t>
      </w:r>
      <w:r w:rsidR="00AC05F5" w:rsidRPr="0070737E">
        <w:rPr>
          <w:rFonts w:hAnsi="標楷體" w:hint="eastAsia"/>
          <w:b/>
        </w:rPr>
        <w:t>任</w:t>
      </w:r>
      <w:r w:rsidRPr="0070737E">
        <w:rPr>
          <w:rFonts w:hAnsi="標楷體" w:hint="eastAsia"/>
          <w:b/>
        </w:rPr>
        <w:t>由</w:t>
      </w:r>
      <w:r w:rsidR="00910C5F" w:rsidRPr="0070737E">
        <w:rPr>
          <w:rFonts w:hAnsi="標楷體" w:hint="eastAsia"/>
          <w:b/>
        </w:rPr>
        <w:t>實際</w:t>
      </w:r>
      <w:r w:rsidR="008B6610" w:rsidRPr="0070737E">
        <w:rPr>
          <w:rFonts w:hAnsi="標楷體" w:hint="eastAsia"/>
          <w:b/>
        </w:rPr>
        <w:t>擔任船長僅</w:t>
      </w:r>
      <w:r w:rsidR="00E56BFA">
        <w:rPr>
          <w:rFonts w:hAnsi="標楷體" w:hint="eastAsia"/>
          <w:b/>
        </w:rPr>
        <w:t>有</w:t>
      </w:r>
      <w:r w:rsidR="008B6610" w:rsidRPr="0070737E">
        <w:rPr>
          <w:rFonts w:hAnsi="標楷體" w:hint="eastAsia"/>
          <w:b/>
        </w:rPr>
        <w:t>8個月</w:t>
      </w:r>
      <w:r w:rsidR="00E56BFA">
        <w:rPr>
          <w:rFonts w:hAnsi="標楷體" w:hint="eastAsia"/>
          <w:b/>
        </w:rPr>
        <w:t>資歷</w:t>
      </w:r>
      <w:r w:rsidR="008B6610" w:rsidRPr="0070737E">
        <w:rPr>
          <w:rFonts w:hAnsi="標楷體" w:hint="eastAsia"/>
          <w:b/>
        </w:rPr>
        <w:t>、到</w:t>
      </w:r>
      <w:r w:rsidRPr="0070737E">
        <w:rPr>
          <w:rFonts w:hAnsi="標楷體" w:hint="eastAsia"/>
          <w:b/>
        </w:rPr>
        <w:t>職</w:t>
      </w:r>
      <w:r w:rsidR="00E56BFA">
        <w:rPr>
          <w:rFonts w:hAnsi="標楷體" w:hint="eastAsia"/>
          <w:b/>
        </w:rPr>
        <w:t>亦</w:t>
      </w:r>
      <w:r w:rsidRPr="0070737E">
        <w:rPr>
          <w:rFonts w:hAnsi="標楷體" w:hint="eastAsia"/>
          <w:b/>
        </w:rPr>
        <w:t>不足7日，</w:t>
      </w:r>
      <w:r w:rsidR="00E56BFA">
        <w:rPr>
          <w:rFonts w:hAnsi="標楷體" w:hint="eastAsia"/>
          <w:b/>
        </w:rPr>
        <w:t>且未進行實際操作，</w:t>
      </w:r>
      <w:proofErr w:type="gramStart"/>
      <w:r w:rsidR="00E56BFA">
        <w:rPr>
          <w:rFonts w:hAnsi="標楷體" w:hint="eastAsia"/>
          <w:b/>
        </w:rPr>
        <w:t>甚</w:t>
      </w:r>
      <w:r w:rsidR="00AC05F5" w:rsidRPr="0070737E">
        <w:rPr>
          <w:rFonts w:hAnsi="標楷體" w:hint="eastAsia"/>
          <w:b/>
        </w:rPr>
        <w:t>對</w:t>
      </w:r>
      <w:proofErr w:type="gramEnd"/>
      <w:r w:rsidRPr="0070737E">
        <w:rPr>
          <w:rFonts w:hAnsi="標楷體" w:hint="eastAsia"/>
          <w:b/>
        </w:rPr>
        <w:t>福澳港水域環境、操作習慣</w:t>
      </w:r>
      <w:r w:rsidR="00E56BFA">
        <w:rPr>
          <w:rFonts w:hAnsi="標楷體" w:hint="eastAsia"/>
          <w:b/>
        </w:rPr>
        <w:t>均</w:t>
      </w:r>
      <w:r w:rsidRPr="0070737E">
        <w:rPr>
          <w:rFonts w:hAnsi="標楷體" w:hint="eastAsia"/>
          <w:b/>
        </w:rPr>
        <w:t>未完全掌握</w:t>
      </w:r>
      <w:r w:rsidR="00E56BFA" w:rsidRPr="0070737E">
        <w:rPr>
          <w:rFonts w:hAnsi="標楷體" w:hint="eastAsia"/>
          <w:b/>
        </w:rPr>
        <w:t>，又</w:t>
      </w:r>
      <w:r w:rsidR="00E56BFA">
        <w:rPr>
          <w:rFonts w:hAnsi="標楷體" w:hint="eastAsia"/>
          <w:b/>
        </w:rPr>
        <w:t>對</w:t>
      </w:r>
      <w:r w:rsidR="00E56BFA" w:rsidRPr="0070737E">
        <w:rPr>
          <w:rFonts w:hAnsi="標楷體" w:hint="eastAsia"/>
          <w:b/>
        </w:rPr>
        <w:t>於情勢之判斷及危機意識仍有不足</w:t>
      </w:r>
      <w:r w:rsidR="00E56BFA">
        <w:rPr>
          <w:rFonts w:hAnsi="標楷體" w:hint="eastAsia"/>
          <w:b/>
        </w:rPr>
        <w:t>等情之下</w:t>
      </w:r>
      <w:r w:rsidRPr="0070737E">
        <w:rPr>
          <w:rFonts w:hAnsi="標楷體" w:hint="eastAsia"/>
          <w:b/>
        </w:rPr>
        <w:t>，</w:t>
      </w:r>
      <w:r w:rsidR="00E56BFA">
        <w:rPr>
          <w:rFonts w:hAnsi="標楷體" w:hint="eastAsia"/>
          <w:b/>
        </w:rPr>
        <w:t>即擔任</w:t>
      </w:r>
      <w:r w:rsidR="00E56BFA" w:rsidRPr="00E56BFA">
        <w:rPr>
          <w:rFonts w:hAnsi="標楷體" w:hint="eastAsia"/>
          <w:b/>
        </w:rPr>
        <w:t>臺港13302號船長</w:t>
      </w:r>
      <w:r w:rsidR="00E56BFA">
        <w:rPr>
          <w:rFonts w:hAnsi="標楷體" w:hint="eastAsia"/>
          <w:b/>
        </w:rPr>
        <w:t>並獨立作業，</w:t>
      </w:r>
      <w:r w:rsidRPr="0070737E">
        <w:rPr>
          <w:rFonts w:hAnsi="標楷體" w:hint="eastAsia"/>
          <w:b/>
        </w:rPr>
        <w:t>且協助港口</w:t>
      </w:r>
      <w:proofErr w:type="gramStart"/>
      <w:r w:rsidRPr="0070737E">
        <w:rPr>
          <w:rFonts w:hAnsi="標楷體" w:hint="eastAsia"/>
          <w:b/>
        </w:rPr>
        <w:t>船舶離靠</w:t>
      </w:r>
      <w:proofErr w:type="gramEnd"/>
      <w:r w:rsidRPr="0070737E">
        <w:rPr>
          <w:rFonts w:hAnsi="標楷體" w:hint="eastAsia"/>
          <w:b/>
        </w:rPr>
        <w:t>泊作業之考核規定及交接程序仍有闕漏，凸顯新任船長職前訓練及操作考核機制</w:t>
      </w:r>
      <w:r w:rsidR="00DF3958" w:rsidRPr="0070737E">
        <w:rPr>
          <w:rFonts w:hAnsi="標楷體" w:hint="eastAsia"/>
          <w:b/>
        </w:rPr>
        <w:t>有所欠缺</w:t>
      </w:r>
      <w:r w:rsidRPr="0070737E">
        <w:rPr>
          <w:rFonts w:hAnsi="標楷體" w:hint="eastAsia"/>
          <w:b/>
        </w:rPr>
        <w:t>，</w:t>
      </w:r>
      <w:r w:rsidR="00E56BFA">
        <w:rPr>
          <w:rFonts w:hAnsi="標楷體" w:hint="eastAsia"/>
          <w:b/>
        </w:rPr>
        <w:t>致</w:t>
      </w:r>
      <w:r w:rsidRPr="0070737E">
        <w:rPr>
          <w:rFonts w:hAnsi="標楷體" w:hint="eastAsia"/>
          <w:b/>
        </w:rPr>
        <w:t>未能有效評估協助</w:t>
      </w:r>
      <w:proofErr w:type="gramStart"/>
      <w:r w:rsidRPr="0070737E">
        <w:rPr>
          <w:rFonts w:hAnsi="標楷體" w:hint="eastAsia"/>
          <w:b/>
        </w:rPr>
        <w:t>船舶</w:t>
      </w:r>
      <w:r w:rsidR="00D01C1E">
        <w:rPr>
          <w:rFonts w:hAnsi="標楷體" w:hint="eastAsia"/>
          <w:b/>
        </w:rPr>
        <w:t>離靠</w:t>
      </w:r>
      <w:proofErr w:type="gramEnd"/>
      <w:r w:rsidR="00D01C1E">
        <w:rPr>
          <w:rFonts w:hAnsi="標楷體" w:hint="eastAsia"/>
          <w:b/>
        </w:rPr>
        <w:t>泊</w:t>
      </w:r>
      <w:r w:rsidRPr="0070737E">
        <w:rPr>
          <w:rFonts w:hAnsi="標楷體" w:hint="eastAsia"/>
          <w:b/>
        </w:rPr>
        <w:t>作業中的安全性及潛在風險，終招致發生</w:t>
      </w:r>
      <w:r w:rsidR="001877AF" w:rsidRPr="0070737E">
        <w:rPr>
          <w:rFonts w:hAnsi="標楷體" w:hint="eastAsia"/>
          <w:b/>
        </w:rPr>
        <w:t>本</w:t>
      </w:r>
      <w:r w:rsidRPr="0070737E">
        <w:rPr>
          <w:rFonts w:hAnsi="標楷體" w:hint="eastAsia"/>
          <w:b/>
        </w:rPr>
        <w:t>案海事碰撞事件，允應檢討改進。</w:t>
      </w:r>
      <w:bookmarkEnd w:id="49"/>
    </w:p>
    <w:p w:rsidR="008C638F" w:rsidRPr="0070737E" w:rsidRDefault="008C638F" w:rsidP="009B5AA7">
      <w:pPr>
        <w:pStyle w:val="3"/>
        <w:overflowPunct w:val="0"/>
        <w:ind w:left="1344"/>
        <w:rPr>
          <w:rFonts w:hAnsi="標楷體"/>
          <w:szCs w:val="20"/>
        </w:rPr>
      </w:pPr>
      <w:r w:rsidRPr="0070737E">
        <w:rPr>
          <w:rFonts w:hAnsi="標楷體" w:hint="eastAsia"/>
          <w:szCs w:val="20"/>
        </w:rPr>
        <w:t>據</w:t>
      </w:r>
      <w:proofErr w:type="gramStart"/>
      <w:r w:rsidRPr="0070737E">
        <w:rPr>
          <w:rFonts w:hAnsi="標楷體" w:hint="eastAsia"/>
          <w:szCs w:val="20"/>
        </w:rPr>
        <w:t>臺港勤</w:t>
      </w:r>
      <w:r w:rsidR="009C0678">
        <w:rPr>
          <w:rFonts w:hAnsi="標楷體" w:hint="eastAsia"/>
          <w:szCs w:val="20"/>
        </w:rPr>
        <w:t>訂</w:t>
      </w:r>
      <w:proofErr w:type="gramEnd"/>
      <w:r w:rsidR="009C0678">
        <w:rPr>
          <w:rFonts w:hAnsi="標楷體" w:hint="eastAsia"/>
          <w:szCs w:val="20"/>
        </w:rPr>
        <w:t>定</w:t>
      </w:r>
      <w:r w:rsidRPr="0070737E">
        <w:rPr>
          <w:rFonts w:hAnsi="標楷體" w:hint="eastAsia"/>
          <w:szCs w:val="20"/>
        </w:rPr>
        <w:t>「拖船於馬祖港口</w:t>
      </w:r>
      <w:proofErr w:type="gramStart"/>
      <w:r w:rsidRPr="0070737E">
        <w:rPr>
          <w:rFonts w:hAnsi="標楷體" w:hint="eastAsia"/>
          <w:szCs w:val="20"/>
        </w:rPr>
        <w:t>協助離靠</w:t>
      </w:r>
      <w:proofErr w:type="gramEnd"/>
      <w:r w:rsidRPr="0070737E">
        <w:rPr>
          <w:rFonts w:hAnsi="標楷體" w:hint="eastAsia"/>
          <w:szCs w:val="20"/>
        </w:rPr>
        <w:t>泊之標準作業程序」相關</w:t>
      </w:r>
      <w:r w:rsidR="00EE62BE">
        <w:rPr>
          <w:rFonts w:hAnsi="標楷體" w:hint="eastAsia"/>
          <w:szCs w:val="20"/>
        </w:rPr>
        <w:t>規定</w:t>
      </w:r>
      <w:r w:rsidRPr="0070737E">
        <w:rPr>
          <w:rFonts w:hAnsi="標楷體" w:hint="eastAsia"/>
          <w:szCs w:val="20"/>
        </w:rPr>
        <w:t>略以：五、作業注意事項3.進出港帶解纜作業時應使用撇纜繩與拖船纜進行連結，並保持適當跟船距離及安全作業角度，隨時注意商船動態，調整本身船位避免碰撞造成商船船體受損。</w:t>
      </w:r>
      <w:r w:rsidR="004F7A85">
        <w:rPr>
          <w:rFonts w:hAnsi="標楷體" w:hint="eastAsia"/>
          <w:szCs w:val="20"/>
        </w:rPr>
        <w:t>據查，</w:t>
      </w:r>
      <w:r w:rsidRPr="0070737E">
        <w:rPr>
          <w:rFonts w:hAnsi="標楷體" w:hint="eastAsia"/>
          <w:szCs w:val="20"/>
        </w:rPr>
        <w:t>該作業程序</w:t>
      </w:r>
      <w:r w:rsidR="009C6BBF">
        <w:rPr>
          <w:rFonts w:hAnsi="標楷體" w:hint="eastAsia"/>
          <w:szCs w:val="20"/>
        </w:rPr>
        <w:t>曾</w:t>
      </w:r>
      <w:r w:rsidRPr="0070737E">
        <w:rPr>
          <w:rFonts w:hAnsi="標楷體" w:hint="eastAsia"/>
          <w:szCs w:val="20"/>
        </w:rPr>
        <w:t>經本事故船長閱讀並簽名</w:t>
      </w:r>
      <w:r w:rsidR="00DF63BB" w:rsidRPr="0070737E">
        <w:rPr>
          <w:rFonts w:hAnsi="標楷體" w:hint="eastAsia"/>
          <w:szCs w:val="20"/>
        </w:rPr>
        <w:t>確認</w:t>
      </w:r>
      <w:r w:rsidRPr="0070737E">
        <w:rPr>
          <w:rFonts w:hAnsi="標楷體" w:hint="eastAsia"/>
          <w:szCs w:val="20"/>
        </w:rPr>
        <w:t>。</w:t>
      </w:r>
      <w:r w:rsidR="009C6BBF">
        <w:rPr>
          <w:rFonts w:hAnsi="標楷體" w:hint="eastAsia"/>
          <w:szCs w:val="20"/>
        </w:rPr>
        <w:t>另</w:t>
      </w:r>
      <w:r w:rsidRPr="0070737E">
        <w:rPr>
          <w:rFonts w:hAnsi="標楷體" w:hint="eastAsia"/>
          <w:szCs w:val="20"/>
        </w:rPr>
        <w:t>依連江縣政府交通旅遊局港務處（下稱港務處）提供於112年8月16日，</w:t>
      </w:r>
      <w:proofErr w:type="gramStart"/>
      <w:r w:rsidRPr="0070737E">
        <w:rPr>
          <w:rFonts w:hAnsi="標楷體" w:hint="eastAsia"/>
          <w:szCs w:val="20"/>
        </w:rPr>
        <w:t>臺</w:t>
      </w:r>
      <w:proofErr w:type="gramEnd"/>
      <w:r w:rsidRPr="0070737E">
        <w:rPr>
          <w:rFonts w:hAnsi="標楷體" w:hint="eastAsia"/>
          <w:szCs w:val="20"/>
        </w:rPr>
        <w:t>港13302號另一名船長協助新臺馬出港之</w:t>
      </w:r>
      <w:r w:rsidR="00DF63BB" w:rsidRPr="0070737E">
        <w:rPr>
          <w:rFonts w:hAnsi="標楷體" w:hint="eastAsia"/>
          <w:szCs w:val="20"/>
        </w:rPr>
        <w:t>閉路監視器（下稱CCTV）</w:t>
      </w:r>
      <w:r w:rsidR="009C6BBF">
        <w:rPr>
          <w:rFonts w:hAnsi="標楷體" w:hint="eastAsia"/>
          <w:szCs w:val="20"/>
        </w:rPr>
        <w:t>顯示</w:t>
      </w:r>
      <w:r w:rsidRPr="0070737E">
        <w:rPr>
          <w:rFonts w:hAnsi="標楷體" w:hint="eastAsia"/>
          <w:szCs w:val="20"/>
        </w:rPr>
        <w:t>，該船長將新臺馬拉出碼頭時，臺港13302號船位保持於新</w:t>
      </w:r>
      <w:proofErr w:type="gramStart"/>
      <w:r w:rsidRPr="0070737E">
        <w:rPr>
          <w:rFonts w:hAnsi="標楷體" w:hint="eastAsia"/>
          <w:szCs w:val="20"/>
        </w:rPr>
        <w:t>臺馬</w:t>
      </w:r>
      <w:proofErr w:type="gramEnd"/>
      <w:r w:rsidRPr="0070737E">
        <w:rPr>
          <w:rFonts w:hAnsi="標楷體" w:hint="eastAsia"/>
          <w:szCs w:val="20"/>
        </w:rPr>
        <w:t>右後舷，並且與新臺馬保持一定距離，嗣</w:t>
      </w:r>
      <w:bookmarkStart w:id="60" w:name="_Hlk200528681"/>
      <w:r w:rsidRPr="0070737E">
        <w:rPr>
          <w:rFonts w:hAnsi="標楷體" w:hint="eastAsia"/>
          <w:szCs w:val="20"/>
        </w:rPr>
        <w:t>當臺港13302號將新臺馬纜繩解開後，臺港13302號隨即向後調轉方向，使其船位維持於新</w:t>
      </w:r>
      <w:proofErr w:type="gramStart"/>
      <w:r w:rsidRPr="0070737E">
        <w:rPr>
          <w:rFonts w:hAnsi="標楷體" w:hint="eastAsia"/>
          <w:szCs w:val="20"/>
        </w:rPr>
        <w:t>臺馬右舷</w:t>
      </w:r>
      <w:proofErr w:type="gramEnd"/>
      <w:r w:rsidRPr="0070737E">
        <w:rPr>
          <w:rFonts w:hAnsi="標楷體" w:hint="eastAsia"/>
          <w:szCs w:val="20"/>
        </w:rPr>
        <w:t>並保持一定距離</w:t>
      </w:r>
      <w:bookmarkEnd w:id="60"/>
      <w:r w:rsidRPr="0070737E">
        <w:rPr>
          <w:rFonts w:hAnsi="標楷體" w:hint="eastAsia"/>
          <w:szCs w:val="20"/>
        </w:rPr>
        <w:t>。由上開作業程序及實務操作模式可知，當</w:t>
      </w:r>
      <w:proofErr w:type="gramStart"/>
      <w:r w:rsidRPr="0070737E">
        <w:rPr>
          <w:rFonts w:hAnsi="標楷體" w:hint="eastAsia"/>
          <w:szCs w:val="20"/>
        </w:rPr>
        <w:t>臺</w:t>
      </w:r>
      <w:proofErr w:type="gramEnd"/>
      <w:r w:rsidRPr="0070737E">
        <w:rPr>
          <w:rFonts w:hAnsi="標楷體" w:hint="eastAsia"/>
          <w:szCs w:val="20"/>
        </w:rPr>
        <w:t>港13302號將新臺馬纜繩解開後，應隨即向後調轉方向，使其船位維持於新</w:t>
      </w:r>
      <w:proofErr w:type="gramStart"/>
      <w:r w:rsidRPr="0070737E">
        <w:rPr>
          <w:rFonts w:hAnsi="標楷體" w:hint="eastAsia"/>
          <w:szCs w:val="20"/>
        </w:rPr>
        <w:t>臺馬右舷</w:t>
      </w:r>
      <w:proofErr w:type="gramEnd"/>
      <w:r w:rsidRPr="0070737E">
        <w:rPr>
          <w:rFonts w:hAnsi="標楷體" w:hint="eastAsia"/>
          <w:szCs w:val="20"/>
        </w:rPr>
        <w:t>並保持一定距離，以避免碰撞</w:t>
      </w:r>
      <w:r w:rsidR="009C6BBF">
        <w:rPr>
          <w:rFonts w:hAnsi="標楷體" w:hint="eastAsia"/>
          <w:szCs w:val="20"/>
        </w:rPr>
        <w:t>，</w:t>
      </w:r>
      <w:proofErr w:type="gramStart"/>
      <w:r w:rsidR="009C6BBF">
        <w:rPr>
          <w:rFonts w:hAnsi="標楷體" w:hint="eastAsia"/>
          <w:szCs w:val="20"/>
        </w:rPr>
        <w:t>合先</w:t>
      </w:r>
      <w:proofErr w:type="gramEnd"/>
      <w:r w:rsidR="009C6BBF">
        <w:rPr>
          <w:rFonts w:hAnsi="標楷體" w:hint="eastAsia"/>
          <w:szCs w:val="20"/>
        </w:rPr>
        <w:t>敘明</w:t>
      </w:r>
      <w:r w:rsidRPr="0070737E">
        <w:rPr>
          <w:rFonts w:hAnsi="標楷體" w:hint="eastAsia"/>
          <w:szCs w:val="20"/>
        </w:rPr>
        <w:t>。</w:t>
      </w:r>
    </w:p>
    <w:p w:rsidR="008C638F" w:rsidRPr="008B154C" w:rsidRDefault="008C638F" w:rsidP="005879EA">
      <w:pPr>
        <w:pStyle w:val="3"/>
        <w:overflowPunct w:val="0"/>
        <w:ind w:left="1344"/>
        <w:rPr>
          <w:rFonts w:hAnsi="標楷體"/>
          <w:szCs w:val="20"/>
        </w:rPr>
      </w:pPr>
      <w:r w:rsidRPr="008B154C">
        <w:rPr>
          <w:rFonts w:hAnsi="標楷體" w:hint="eastAsia"/>
          <w:szCs w:val="20"/>
        </w:rPr>
        <w:t>查</w:t>
      </w:r>
      <w:proofErr w:type="gramStart"/>
      <w:r w:rsidR="008B154C" w:rsidRPr="008B154C">
        <w:rPr>
          <w:rFonts w:hAnsi="標楷體" w:hint="eastAsia"/>
          <w:szCs w:val="20"/>
        </w:rPr>
        <w:t>臺</w:t>
      </w:r>
      <w:proofErr w:type="gramEnd"/>
      <w:r w:rsidR="008B154C" w:rsidRPr="008B154C">
        <w:rPr>
          <w:rFonts w:hAnsi="標楷體" w:hint="eastAsia"/>
          <w:szCs w:val="20"/>
        </w:rPr>
        <w:t>港勤「港勤船員勞務開口契約案」(下稱勞務案)合約規範，派駐之</w:t>
      </w:r>
      <w:proofErr w:type="gramStart"/>
      <w:r w:rsidR="008B154C" w:rsidRPr="008B154C">
        <w:rPr>
          <w:rFonts w:hAnsi="標楷體" w:hint="eastAsia"/>
          <w:szCs w:val="20"/>
        </w:rPr>
        <w:t>船長需曾</w:t>
      </w:r>
      <w:proofErr w:type="gramEnd"/>
      <w:r w:rsidR="008B154C" w:rsidRPr="008B154C">
        <w:rPr>
          <w:rFonts w:hAnsi="標楷體" w:hint="eastAsia"/>
          <w:szCs w:val="20"/>
        </w:rPr>
        <w:t>任拖船船長1年以上且有操作經驗，</w:t>
      </w:r>
      <w:r w:rsidR="009C6BBF" w:rsidRPr="008B154C">
        <w:rPr>
          <w:rFonts w:hAnsi="標楷體" w:hint="eastAsia"/>
          <w:szCs w:val="20"/>
        </w:rPr>
        <w:t>惟</w:t>
      </w:r>
      <w:r w:rsidRPr="008B154C">
        <w:rPr>
          <w:rFonts w:hAnsi="標楷體" w:hint="eastAsia"/>
          <w:szCs w:val="20"/>
        </w:rPr>
        <w:t>本事故臺港13302號船長</w:t>
      </w:r>
      <w:r w:rsidR="009C6BBF" w:rsidRPr="008B154C">
        <w:rPr>
          <w:rFonts w:hAnsi="標楷體" w:hint="eastAsia"/>
          <w:szCs w:val="20"/>
        </w:rPr>
        <w:t>（下稱事故船長</w:t>
      </w:r>
      <w:r w:rsidR="009C6BBF" w:rsidRPr="008B154C">
        <w:rPr>
          <w:rFonts w:hAnsi="標楷體"/>
          <w:szCs w:val="20"/>
        </w:rPr>
        <w:t>）</w:t>
      </w:r>
      <w:r w:rsidRPr="008B154C">
        <w:rPr>
          <w:rFonts w:hAnsi="標楷體" w:hint="eastAsia"/>
          <w:szCs w:val="20"/>
        </w:rPr>
        <w:t>原於高雄港第一港口擔任拖船船長約8個</w:t>
      </w:r>
      <w:r w:rsidRPr="008B154C">
        <w:rPr>
          <w:rFonts w:hAnsi="標楷體" w:hint="eastAsia"/>
          <w:szCs w:val="20"/>
        </w:rPr>
        <w:lastRenderedPageBreak/>
        <w:t>月</w:t>
      </w:r>
      <w:r w:rsidR="00C92324" w:rsidRPr="008B154C">
        <w:rPr>
          <w:rFonts w:hAnsi="標楷體" w:hint="eastAsia"/>
          <w:szCs w:val="20"/>
        </w:rPr>
        <w:t>，已不</w:t>
      </w:r>
      <w:r w:rsidR="003F0742" w:rsidRPr="008B154C">
        <w:rPr>
          <w:rFonts w:hAnsi="標楷體" w:hint="eastAsia"/>
          <w:szCs w:val="20"/>
        </w:rPr>
        <w:t>符</w:t>
      </w:r>
      <w:r w:rsidR="00C92324" w:rsidRPr="008B154C">
        <w:rPr>
          <w:rFonts w:hAnsi="標楷體" w:hint="eastAsia"/>
          <w:szCs w:val="20"/>
        </w:rPr>
        <w:t>合約規定，後</w:t>
      </w:r>
      <w:r w:rsidRPr="008B154C">
        <w:rPr>
          <w:rFonts w:hAnsi="標楷體" w:hint="eastAsia"/>
          <w:szCs w:val="20"/>
        </w:rPr>
        <w:t>於事故前7日，即1</w:t>
      </w:r>
      <w:r w:rsidRPr="008B154C">
        <w:rPr>
          <w:rFonts w:hAnsi="標楷體"/>
          <w:szCs w:val="20"/>
        </w:rPr>
        <w:t>12</w:t>
      </w:r>
      <w:r w:rsidRPr="008B154C">
        <w:rPr>
          <w:rFonts w:hAnsi="標楷體" w:hint="eastAsia"/>
          <w:szCs w:val="20"/>
        </w:rPr>
        <w:t>年8月19日由</w:t>
      </w:r>
      <w:r w:rsidR="00417ED9" w:rsidRPr="008B154C">
        <w:rPr>
          <w:rFonts w:hAnsi="標楷體" w:hint="eastAsia"/>
          <w:szCs w:val="20"/>
        </w:rPr>
        <w:t>高雄港勤服務股份有限公司</w:t>
      </w:r>
      <w:r w:rsidR="00417ED9" w:rsidRPr="0070737E">
        <w:rPr>
          <w:rFonts w:hAnsi="標楷體"/>
          <w:szCs w:val="20"/>
          <w:vertAlign w:val="superscript"/>
        </w:rPr>
        <w:footnoteReference w:id="6"/>
      </w:r>
      <w:r w:rsidR="00417ED9" w:rsidRPr="008B154C">
        <w:rPr>
          <w:rFonts w:hAnsi="標楷體" w:hint="eastAsia"/>
          <w:szCs w:val="20"/>
        </w:rPr>
        <w:t>（下稱高港勤公司）</w:t>
      </w:r>
      <w:r w:rsidRPr="008B154C">
        <w:rPr>
          <w:rFonts w:hAnsi="標楷體" w:hint="eastAsia"/>
          <w:szCs w:val="20"/>
        </w:rPr>
        <w:t>派任至福澳港擔任臺港13302號船長，並跟隨當時臺港13302號對班船長見習1次新</w:t>
      </w:r>
      <w:proofErr w:type="gramStart"/>
      <w:r w:rsidRPr="008B154C">
        <w:rPr>
          <w:rFonts w:hAnsi="標楷體" w:hint="eastAsia"/>
          <w:szCs w:val="20"/>
        </w:rPr>
        <w:t>臺馬</w:t>
      </w:r>
      <w:r w:rsidR="00D01C1E">
        <w:rPr>
          <w:rFonts w:hAnsi="標楷體" w:hint="eastAsia"/>
          <w:szCs w:val="20"/>
        </w:rPr>
        <w:t>離</w:t>
      </w:r>
      <w:proofErr w:type="gramEnd"/>
      <w:r w:rsidR="00D01C1E">
        <w:rPr>
          <w:rFonts w:hAnsi="標楷體" w:hint="eastAsia"/>
          <w:szCs w:val="20"/>
        </w:rPr>
        <w:t>靠泊</w:t>
      </w:r>
      <w:r w:rsidRPr="008B154C">
        <w:rPr>
          <w:rFonts w:hAnsi="標楷體" w:hint="eastAsia"/>
          <w:szCs w:val="20"/>
        </w:rPr>
        <w:t>作業，期間</w:t>
      </w:r>
      <w:r w:rsidR="00417ED9" w:rsidRPr="008B154C">
        <w:rPr>
          <w:rFonts w:hAnsi="標楷體" w:hint="eastAsia"/>
          <w:szCs w:val="20"/>
        </w:rPr>
        <w:t>曾</w:t>
      </w:r>
      <w:r w:rsidRPr="008B154C">
        <w:rPr>
          <w:rFonts w:hAnsi="標楷體" w:hint="eastAsia"/>
          <w:szCs w:val="20"/>
        </w:rPr>
        <w:t>向當時的船長詢問相關作業注意事項，於見習</w:t>
      </w:r>
      <w:proofErr w:type="gramStart"/>
      <w:r w:rsidRPr="008B154C">
        <w:rPr>
          <w:rFonts w:hAnsi="標楷體" w:hint="eastAsia"/>
          <w:szCs w:val="20"/>
        </w:rPr>
        <w:t>期間</w:t>
      </w:r>
      <w:proofErr w:type="gramEnd"/>
      <w:r w:rsidRPr="008B154C">
        <w:rPr>
          <w:rFonts w:hAnsi="標楷體" w:hint="eastAsia"/>
          <w:szCs w:val="20"/>
        </w:rPr>
        <w:t>，</w:t>
      </w:r>
      <w:r w:rsidR="003E299B">
        <w:rPr>
          <w:rFonts w:hAnsi="標楷體" w:hint="eastAsia"/>
          <w:szCs w:val="20"/>
        </w:rPr>
        <w:t>事故</w:t>
      </w:r>
      <w:r w:rsidRPr="008B154C">
        <w:rPr>
          <w:rFonts w:hAnsi="標楷體" w:hint="eastAsia"/>
          <w:szCs w:val="20"/>
        </w:rPr>
        <w:t>船長未能實際操作，僅</w:t>
      </w:r>
      <w:proofErr w:type="gramStart"/>
      <w:r w:rsidRPr="008B154C">
        <w:rPr>
          <w:rFonts w:hAnsi="標楷體" w:hint="eastAsia"/>
          <w:szCs w:val="20"/>
        </w:rPr>
        <w:t>於</w:t>
      </w:r>
      <w:r w:rsidR="00D01C1E">
        <w:rPr>
          <w:rFonts w:hAnsi="標楷體" w:hint="eastAsia"/>
          <w:szCs w:val="20"/>
        </w:rPr>
        <w:t>離靠</w:t>
      </w:r>
      <w:proofErr w:type="gramEnd"/>
      <w:r w:rsidR="00D01C1E">
        <w:rPr>
          <w:rFonts w:hAnsi="標楷體" w:hint="eastAsia"/>
          <w:szCs w:val="20"/>
        </w:rPr>
        <w:t>泊</w:t>
      </w:r>
      <w:r w:rsidRPr="008B154C">
        <w:rPr>
          <w:rFonts w:hAnsi="標楷體" w:hint="eastAsia"/>
          <w:szCs w:val="20"/>
        </w:rPr>
        <w:t>作業結束後</w:t>
      </w:r>
      <w:r w:rsidR="003E299B">
        <w:rPr>
          <w:rFonts w:hAnsi="標楷體" w:hint="eastAsia"/>
          <w:szCs w:val="20"/>
        </w:rPr>
        <w:t>方</w:t>
      </w:r>
      <w:r w:rsidRPr="008B154C">
        <w:rPr>
          <w:rFonts w:hAnsi="標楷體" w:hint="eastAsia"/>
          <w:szCs w:val="20"/>
        </w:rPr>
        <w:t>進行拖船操作，於見習隔天（8月20日）</w:t>
      </w:r>
      <w:r w:rsidR="003E299B">
        <w:rPr>
          <w:rFonts w:hAnsi="標楷體" w:hint="eastAsia"/>
          <w:szCs w:val="20"/>
        </w:rPr>
        <w:t>事故</w:t>
      </w:r>
      <w:r w:rsidRPr="008B154C">
        <w:rPr>
          <w:rFonts w:hAnsi="標楷體" w:hint="eastAsia"/>
          <w:szCs w:val="20"/>
        </w:rPr>
        <w:t>船長即開始獨立作業，協助船舶進出港。</w:t>
      </w:r>
      <w:r w:rsidR="003E299B">
        <w:rPr>
          <w:rFonts w:hAnsi="標楷體" w:hint="eastAsia"/>
          <w:szCs w:val="20"/>
        </w:rPr>
        <w:t>再</w:t>
      </w:r>
      <w:r w:rsidRPr="008B154C">
        <w:rPr>
          <w:rFonts w:hAnsi="標楷體" w:hint="eastAsia"/>
          <w:szCs w:val="20"/>
        </w:rPr>
        <w:t>依</w:t>
      </w:r>
      <w:proofErr w:type="gramStart"/>
      <w:r w:rsidRPr="008B154C">
        <w:rPr>
          <w:rFonts w:hAnsi="標楷體" w:hint="eastAsia"/>
          <w:szCs w:val="20"/>
        </w:rPr>
        <w:t>臺</w:t>
      </w:r>
      <w:proofErr w:type="gramEnd"/>
      <w:r w:rsidRPr="008B154C">
        <w:rPr>
          <w:rFonts w:hAnsi="標楷體" w:hint="eastAsia"/>
          <w:szCs w:val="20"/>
        </w:rPr>
        <w:t>港13302號</w:t>
      </w:r>
      <w:r w:rsidR="003E299B">
        <w:rPr>
          <w:rFonts w:hAnsi="標楷體" w:hint="eastAsia"/>
          <w:szCs w:val="20"/>
        </w:rPr>
        <w:t>事故</w:t>
      </w:r>
      <w:r w:rsidRPr="008B154C">
        <w:rPr>
          <w:rFonts w:hAnsi="標楷體" w:hint="eastAsia"/>
          <w:szCs w:val="20"/>
        </w:rPr>
        <w:t>船長接任後3次操作協助新</w:t>
      </w:r>
      <w:proofErr w:type="gramStart"/>
      <w:r w:rsidRPr="008B154C">
        <w:rPr>
          <w:rFonts w:hAnsi="標楷體" w:hint="eastAsia"/>
          <w:szCs w:val="20"/>
        </w:rPr>
        <w:t>臺馬離</w:t>
      </w:r>
      <w:proofErr w:type="gramEnd"/>
      <w:r w:rsidRPr="008B154C">
        <w:rPr>
          <w:rFonts w:hAnsi="標楷體" w:hint="eastAsia"/>
          <w:szCs w:val="20"/>
        </w:rPr>
        <w:t>泊作業影像紀錄可知，第1次操作方式與臺港13302號對班船長相似，符合新臺馬船長所提出</w:t>
      </w:r>
      <w:proofErr w:type="gramStart"/>
      <w:r w:rsidRPr="008B154C">
        <w:rPr>
          <w:rFonts w:hAnsi="標楷體" w:hint="eastAsia"/>
          <w:szCs w:val="20"/>
        </w:rPr>
        <w:t>之離泊計</w:t>
      </w:r>
      <w:proofErr w:type="gramEnd"/>
      <w:r w:rsidRPr="008B154C">
        <w:rPr>
          <w:rFonts w:hAnsi="標楷體" w:hint="eastAsia"/>
          <w:szCs w:val="20"/>
        </w:rPr>
        <w:t>畫中的拖船作業模式，然於第2及3次之作業，臺港13302號在解</w:t>
      </w:r>
      <w:proofErr w:type="gramStart"/>
      <w:r w:rsidRPr="008B154C">
        <w:rPr>
          <w:rFonts w:hAnsi="標楷體" w:hint="eastAsia"/>
          <w:szCs w:val="20"/>
        </w:rPr>
        <w:t>纜後之備</w:t>
      </w:r>
      <w:proofErr w:type="gramEnd"/>
      <w:r w:rsidRPr="008B154C">
        <w:rPr>
          <w:rFonts w:hAnsi="標楷體" w:hint="eastAsia"/>
          <w:szCs w:val="20"/>
        </w:rPr>
        <w:t>便位置與本次事故中之位置相似，皆距離新臺馬船尾較為接近之</w:t>
      </w:r>
      <w:r w:rsidR="00F7648C" w:rsidRPr="008B154C">
        <w:rPr>
          <w:rFonts w:hAnsi="標楷體" w:hint="eastAsia"/>
          <w:szCs w:val="20"/>
        </w:rPr>
        <w:t>位置</w:t>
      </w:r>
      <w:r w:rsidRPr="008B154C">
        <w:rPr>
          <w:rFonts w:hAnsi="標楷體" w:hint="eastAsia"/>
          <w:szCs w:val="20"/>
        </w:rPr>
        <w:t>。</w:t>
      </w:r>
      <w:r w:rsidR="00E13B4E">
        <w:rPr>
          <w:rFonts w:hAnsi="標楷體" w:hint="eastAsia"/>
          <w:szCs w:val="20"/>
        </w:rPr>
        <w:t>由上可知</w:t>
      </w:r>
      <w:r w:rsidRPr="008B154C">
        <w:rPr>
          <w:rFonts w:hAnsi="標楷體" w:hint="eastAsia"/>
          <w:szCs w:val="20"/>
        </w:rPr>
        <w:t>，</w:t>
      </w:r>
      <w:proofErr w:type="gramStart"/>
      <w:r w:rsidRPr="008B154C">
        <w:rPr>
          <w:rFonts w:hAnsi="標楷體" w:hint="eastAsia"/>
          <w:szCs w:val="20"/>
        </w:rPr>
        <w:t>臺</w:t>
      </w:r>
      <w:proofErr w:type="gramEnd"/>
      <w:r w:rsidRPr="008B154C">
        <w:rPr>
          <w:rFonts w:hAnsi="標楷體" w:hint="eastAsia"/>
          <w:szCs w:val="20"/>
        </w:rPr>
        <w:t>港13302號</w:t>
      </w:r>
      <w:r w:rsidR="00E13B4E">
        <w:rPr>
          <w:rFonts w:hAnsi="標楷體" w:hint="eastAsia"/>
          <w:szCs w:val="20"/>
        </w:rPr>
        <w:t>事故</w:t>
      </w:r>
      <w:r w:rsidRPr="008B154C">
        <w:rPr>
          <w:rFonts w:hAnsi="標楷體" w:hint="eastAsia"/>
          <w:szCs w:val="20"/>
        </w:rPr>
        <w:t>船長</w:t>
      </w:r>
      <w:r w:rsidR="003A659D" w:rsidRPr="008B154C">
        <w:rPr>
          <w:rFonts w:hAnsi="標楷體" w:hint="eastAsia"/>
          <w:szCs w:val="20"/>
        </w:rPr>
        <w:t>僅</w:t>
      </w:r>
      <w:r w:rsidR="00E13B4E">
        <w:rPr>
          <w:rFonts w:hAnsi="標楷體" w:hint="eastAsia"/>
          <w:szCs w:val="20"/>
        </w:rPr>
        <w:t>曾</w:t>
      </w:r>
      <w:r w:rsidRPr="008B154C">
        <w:rPr>
          <w:rFonts w:hAnsi="標楷體" w:hint="eastAsia"/>
          <w:szCs w:val="20"/>
        </w:rPr>
        <w:t>於高雄港第一港口獨立操作拖船8個月</w:t>
      </w:r>
      <w:r w:rsidR="008F7F3A" w:rsidRPr="008B154C">
        <w:rPr>
          <w:rFonts w:hAnsi="標楷體" w:hint="eastAsia"/>
          <w:szCs w:val="20"/>
        </w:rPr>
        <w:t>，已</w:t>
      </w:r>
      <w:proofErr w:type="gramStart"/>
      <w:r w:rsidR="003F0742" w:rsidRPr="008B154C">
        <w:rPr>
          <w:rFonts w:hAnsi="標楷體" w:hint="eastAsia"/>
          <w:szCs w:val="20"/>
        </w:rPr>
        <w:t>不符需曾</w:t>
      </w:r>
      <w:proofErr w:type="gramEnd"/>
      <w:r w:rsidR="003F0742" w:rsidRPr="008B154C">
        <w:rPr>
          <w:rFonts w:hAnsi="標楷體" w:hint="eastAsia"/>
          <w:szCs w:val="20"/>
        </w:rPr>
        <w:t>任</w:t>
      </w:r>
      <w:r w:rsidR="008F7F3A" w:rsidRPr="008B154C">
        <w:rPr>
          <w:rFonts w:hAnsi="標楷體" w:hint="eastAsia"/>
          <w:szCs w:val="20"/>
        </w:rPr>
        <w:t>拖船船長1年以上操作經驗之合約規定，</w:t>
      </w:r>
      <w:proofErr w:type="gramStart"/>
      <w:r w:rsidR="00E13B4E">
        <w:rPr>
          <w:rFonts w:hAnsi="標楷體" w:hint="eastAsia"/>
          <w:szCs w:val="20"/>
        </w:rPr>
        <w:t>甚</w:t>
      </w:r>
      <w:r w:rsidR="008F7F3A" w:rsidRPr="008B154C">
        <w:rPr>
          <w:rFonts w:hAnsi="標楷體" w:hint="eastAsia"/>
          <w:szCs w:val="20"/>
        </w:rPr>
        <w:t>後</w:t>
      </w:r>
      <w:proofErr w:type="gramEnd"/>
      <w:r w:rsidRPr="008B154C">
        <w:rPr>
          <w:rFonts w:hAnsi="標楷體" w:hint="eastAsia"/>
          <w:szCs w:val="20"/>
        </w:rPr>
        <w:t>被派駐至福</w:t>
      </w:r>
      <w:proofErr w:type="gramStart"/>
      <w:r w:rsidRPr="008B154C">
        <w:rPr>
          <w:rFonts w:hAnsi="標楷體" w:hint="eastAsia"/>
          <w:szCs w:val="20"/>
        </w:rPr>
        <w:t>澳港僅見</w:t>
      </w:r>
      <w:proofErr w:type="gramEnd"/>
      <w:r w:rsidRPr="008B154C">
        <w:rPr>
          <w:rFonts w:hAnsi="標楷體" w:hint="eastAsia"/>
          <w:szCs w:val="20"/>
        </w:rPr>
        <w:t>習1次，且未實際操作，即開始於福澳港獨立作業，儘管</w:t>
      </w:r>
      <w:r w:rsidR="00E13B4E">
        <w:rPr>
          <w:rFonts w:hAnsi="標楷體" w:hint="eastAsia"/>
          <w:szCs w:val="20"/>
        </w:rPr>
        <w:t>事故</w:t>
      </w:r>
      <w:r w:rsidRPr="008B154C">
        <w:rPr>
          <w:rFonts w:hAnsi="標楷體" w:hint="eastAsia"/>
          <w:szCs w:val="20"/>
        </w:rPr>
        <w:t>船長已具備拖船操作經驗，卻因缺乏充分的交接程序與操作指導，僅憑1次見習便要完全</w:t>
      </w:r>
      <w:proofErr w:type="gramStart"/>
      <w:r w:rsidRPr="008B154C">
        <w:rPr>
          <w:rFonts w:hAnsi="標楷體" w:hint="eastAsia"/>
          <w:szCs w:val="20"/>
        </w:rPr>
        <w:t>熟悉</w:t>
      </w:r>
      <w:proofErr w:type="gramEnd"/>
      <w:r w:rsidRPr="008B154C">
        <w:rPr>
          <w:rFonts w:hAnsi="標楷體" w:hint="eastAsia"/>
          <w:szCs w:val="20"/>
        </w:rPr>
        <w:t>福澳港進出港作業模式</w:t>
      </w:r>
      <w:r w:rsidR="00764CC4">
        <w:rPr>
          <w:rFonts w:hAnsi="標楷體" w:hint="eastAsia"/>
          <w:szCs w:val="20"/>
        </w:rPr>
        <w:t>，</w:t>
      </w:r>
      <w:r w:rsidR="00E13B4E">
        <w:rPr>
          <w:rFonts w:hAnsi="標楷體" w:hint="eastAsia"/>
          <w:szCs w:val="20"/>
        </w:rPr>
        <w:t>已屬不當</w:t>
      </w:r>
      <w:r w:rsidRPr="008B154C">
        <w:rPr>
          <w:rFonts w:hAnsi="標楷體" w:hint="eastAsia"/>
          <w:szCs w:val="20"/>
        </w:rPr>
        <w:t>，另由事故前臺港13302號船長操作紀錄中得知，</w:t>
      </w:r>
      <w:r w:rsidR="00764CC4">
        <w:rPr>
          <w:rFonts w:hAnsi="標楷體" w:hint="eastAsia"/>
          <w:szCs w:val="20"/>
        </w:rPr>
        <w:t>事故</w:t>
      </w:r>
      <w:r w:rsidRPr="008B154C">
        <w:rPr>
          <w:rFonts w:hAnsi="標楷體" w:hint="eastAsia"/>
          <w:szCs w:val="20"/>
        </w:rPr>
        <w:t>船長於事故前</w:t>
      </w:r>
      <w:r w:rsidR="00764CC4">
        <w:rPr>
          <w:rFonts w:hAnsi="標楷體" w:hint="eastAsia"/>
          <w:szCs w:val="20"/>
        </w:rPr>
        <w:t>的</w:t>
      </w:r>
      <w:r w:rsidRPr="008B154C">
        <w:rPr>
          <w:rFonts w:hAnsi="標楷體" w:hint="eastAsia"/>
          <w:szCs w:val="20"/>
        </w:rPr>
        <w:t>3次作業中，將新臺馬拉出碼頭</w:t>
      </w:r>
      <w:proofErr w:type="gramStart"/>
      <w:r w:rsidRPr="008B154C">
        <w:rPr>
          <w:rFonts w:hAnsi="標楷體" w:hint="eastAsia"/>
          <w:szCs w:val="20"/>
        </w:rPr>
        <w:t>解纜後</w:t>
      </w:r>
      <w:proofErr w:type="gramEnd"/>
      <w:r w:rsidRPr="008B154C">
        <w:rPr>
          <w:rFonts w:hAnsi="標楷體" w:hint="eastAsia"/>
          <w:szCs w:val="20"/>
        </w:rPr>
        <w:t>之操作模式皆不相同，顯示其對福澳港出港作業模式尚未完全掌握，</w:t>
      </w:r>
      <w:r w:rsidR="00764CC4">
        <w:rPr>
          <w:rFonts w:hAnsi="標楷體" w:hint="eastAsia"/>
          <w:szCs w:val="20"/>
        </w:rPr>
        <w:t>而</w:t>
      </w:r>
      <w:r w:rsidRPr="008B154C">
        <w:rPr>
          <w:rFonts w:hAnsi="標楷體" w:hint="eastAsia"/>
          <w:szCs w:val="20"/>
        </w:rPr>
        <w:t>臺</w:t>
      </w:r>
      <w:proofErr w:type="gramStart"/>
      <w:r w:rsidRPr="008B154C">
        <w:rPr>
          <w:rFonts w:hAnsi="標楷體" w:hint="eastAsia"/>
          <w:szCs w:val="20"/>
        </w:rPr>
        <w:t>港勤</w:t>
      </w:r>
      <w:r w:rsidR="00417ED9" w:rsidRPr="008B154C">
        <w:rPr>
          <w:rFonts w:hAnsi="標楷體" w:hint="eastAsia"/>
          <w:szCs w:val="20"/>
        </w:rPr>
        <w:t>對</w:t>
      </w:r>
      <w:proofErr w:type="gramEnd"/>
      <w:r w:rsidRPr="008B154C">
        <w:rPr>
          <w:rFonts w:hAnsi="標楷體" w:hint="eastAsia"/>
          <w:szCs w:val="20"/>
        </w:rPr>
        <w:t>新到任拖船船長協助該港口</w:t>
      </w:r>
      <w:proofErr w:type="gramStart"/>
      <w:r w:rsidRPr="008B154C">
        <w:rPr>
          <w:rFonts w:hAnsi="標楷體" w:hint="eastAsia"/>
          <w:szCs w:val="20"/>
        </w:rPr>
        <w:t>船舶離靠</w:t>
      </w:r>
      <w:proofErr w:type="gramEnd"/>
      <w:r w:rsidRPr="008B154C">
        <w:rPr>
          <w:rFonts w:hAnsi="標楷體" w:hint="eastAsia"/>
          <w:szCs w:val="20"/>
        </w:rPr>
        <w:t>泊作業實際操作</w:t>
      </w:r>
      <w:r w:rsidR="00764CC4">
        <w:rPr>
          <w:rFonts w:hAnsi="標楷體" w:hint="eastAsia"/>
          <w:szCs w:val="20"/>
        </w:rPr>
        <w:t>情形，亦無</w:t>
      </w:r>
      <w:r w:rsidRPr="008B154C">
        <w:rPr>
          <w:rFonts w:hAnsi="標楷體" w:hint="eastAsia"/>
          <w:szCs w:val="20"/>
        </w:rPr>
        <w:t>考核規定，且</w:t>
      </w:r>
      <w:r w:rsidR="00764CC4">
        <w:rPr>
          <w:rFonts w:hAnsi="標楷體" w:hint="eastAsia"/>
          <w:szCs w:val="20"/>
        </w:rPr>
        <w:t>未要求落實</w:t>
      </w:r>
      <w:r w:rsidRPr="008B154C">
        <w:rPr>
          <w:rFonts w:hAnsi="標楷體" w:hint="eastAsia"/>
          <w:szCs w:val="20"/>
        </w:rPr>
        <w:t>交接程序，以致無法有效評估新到任</w:t>
      </w:r>
      <w:r w:rsidR="00764CC4">
        <w:rPr>
          <w:rFonts w:hAnsi="標楷體" w:hint="eastAsia"/>
          <w:szCs w:val="20"/>
        </w:rPr>
        <w:t>之</w:t>
      </w:r>
      <w:r w:rsidRPr="008B154C">
        <w:rPr>
          <w:rFonts w:hAnsi="標楷體" w:hint="eastAsia"/>
          <w:szCs w:val="20"/>
        </w:rPr>
        <w:t>拖船船長於實際協助船</w:t>
      </w:r>
      <w:r w:rsidRPr="008B154C">
        <w:rPr>
          <w:rFonts w:hAnsi="標楷體" w:hint="eastAsia"/>
          <w:szCs w:val="20"/>
        </w:rPr>
        <w:lastRenderedPageBreak/>
        <w:t>舶</w:t>
      </w:r>
      <w:proofErr w:type="gramStart"/>
      <w:r w:rsidR="00D01C1E">
        <w:rPr>
          <w:rFonts w:hAnsi="標楷體" w:hint="eastAsia"/>
          <w:szCs w:val="20"/>
        </w:rPr>
        <w:t>離靠泊</w:t>
      </w:r>
      <w:proofErr w:type="gramEnd"/>
      <w:r w:rsidRPr="008B154C">
        <w:rPr>
          <w:rFonts w:hAnsi="標楷體" w:hint="eastAsia"/>
          <w:szCs w:val="20"/>
        </w:rPr>
        <w:t>過程中之安全性及其潛在風險，</w:t>
      </w:r>
      <w:r w:rsidR="00764CC4">
        <w:rPr>
          <w:rFonts w:hAnsi="標楷體" w:hint="eastAsia"/>
          <w:szCs w:val="20"/>
        </w:rPr>
        <w:t>另</w:t>
      </w:r>
      <w:r w:rsidRPr="008B154C">
        <w:rPr>
          <w:rFonts w:hAnsi="標楷體" w:hint="eastAsia"/>
          <w:szCs w:val="20"/>
        </w:rPr>
        <w:t>本事故</w:t>
      </w:r>
      <w:r w:rsidR="00764CC4">
        <w:rPr>
          <w:rFonts w:hAnsi="標楷體" w:hint="eastAsia"/>
          <w:szCs w:val="20"/>
        </w:rPr>
        <w:t>中可見</w:t>
      </w:r>
      <w:r w:rsidRPr="008B154C">
        <w:rPr>
          <w:rFonts w:hAnsi="標楷體" w:hint="eastAsia"/>
          <w:szCs w:val="20"/>
        </w:rPr>
        <w:t>臺港13302號船長對於當時情勢之判斷及危機意識仍有不足，在</w:t>
      </w:r>
      <w:r w:rsidR="00B73F54" w:rsidRPr="008B154C">
        <w:rPr>
          <w:rFonts w:hAnsi="標楷體" w:hint="eastAsia"/>
          <w:szCs w:val="20"/>
        </w:rPr>
        <w:t>新臺馬</w:t>
      </w:r>
      <w:r w:rsidRPr="008B154C">
        <w:rPr>
          <w:rFonts w:hAnsi="標楷體" w:hint="eastAsia"/>
          <w:szCs w:val="20"/>
        </w:rPr>
        <w:t>仍有後退慣性速度的情況下，</w:t>
      </w:r>
      <w:r w:rsidR="00764CC4">
        <w:rPr>
          <w:rFonts w:hAnsi="標楷體" w:hint="eastAsia"/>
          <w:szCs w:val="20"/>
        </w:rPr>
        <w:t>事故船長卻</w:t>
      </w:r>
      <w:r w:rsidRPr="008B154C">
        <w:rPr>
          <w:rFonts w:hAnsi="標楷體" w:hint="eastAsia"/>
          <w:szCs w:val="20"/>
        </w:rPr>
        <w:t>未能提高警覺並掌握與</w:t>
      </w:r>
      <w:r w:rsidR="00B73F54" w:rsidRPr="008B154C">
        <w:rPr>
          <w:rFonts w:hAnsi="標楷體" w:hint="eastAsia"/>
          <w:szCs w:val="20"/>
        </w:rPr>
        <w:t>新臺馬</w:t>
      </w:r>
      <w:r w:rsidRPr="008B154C">
        <w:rPr>
          <w:rFonts w:hAnsi="標楷體" w:hint="eastAsia"/>
          <w:szCs w:val="20"/>
        </w:rPr>
        <w:t>間之安全距離，</w:t>
      </w:r>
      <w:r w:rsidR="00764CC4">
        <w:rPr>
          <w:rFonts w:hAnsi="標楷體" w:hint="eastAsia"/>
          <w:szCs w:val="20"/>
        </w:rPr>
        <w:t>此</w:t>
      </w:r>
      <w:r w:rsidRPr="008B154C">
        <w:rPr>
          <w:rFonts w:hAnsi="標楷體" w:hint="eastAsia"/>
          <w:szCs w:val="20"/>
        </w:rPr>
        <w:t>與其對福澳港水流海域狀況不熟悉有關。</w:t>
      </w:r>
    </w:p>
    <w:p w:rsidR="008C638F" w:rsidRPr="0070737E" w:rsidRDefault="008C638F" w:rsidP="009B5AA7">
      <w:pPr>
        <w:pStyle w:val="3"/>
        <w:overflowPunct w:val="0"/>
        <w:ind w:left="1344"/>
        <w:rPr>
          <w:rFonts w:hAnsi="標楷體"/>
          <w:szCs w:val="20"/>
        </w:rPr>
      </w:pPr>
      <w:r w:rsidRPr="0070737E">
        <w:rPr>
          <w:rFonts w:hAnsi="標楷體" w:hint="eastAsia"/>
          <w:szCs w:val="20"/>
        </w:rPr>
        <w:t>依「馬祖港埠拖船租賃及委外操作維護計畫案」</w:t>
      </w:r>
      <w:r w:rsidR="00764CC4" w:rsidRPr="0070737E">
        <w:rPr>
          <w:rFonts w:hAnsi="標楷體" w:hint="eastAsia"/>
          <w:szCs w:val="20"/>
        </w:rPr>
        <w:t>(</w:t>
      </w:r>
      <w:proofErr w:type="gramStart"/>
      <w:r w:rsidR="00764CC4" w:rsidRPr="0070737E">
        <w:rPr>
          <w:rFonts w:hAnsi="標楷體" w:hint="eastAsia"/>
          <w:szCs w:val="20"/>
        </w:rPr>
        <w:t>下稱委外</w:t>
      </w:r>
      <w:proofErr w:type="gramEnd"/>
      <w:r w:rsidR="00764CC4" w:rsidRPr="0070737E">
        <w:rPr>
          <w:rFonts w:hAnsi="標楷體" w:hint="eastAsia"/>
          <w:szCs w:val="20"/>
        </w:rPr>
        <w:t>案)</w:t>
      </w:r>
      <w:r w:rsidRPr="0070737E">
        <w:rPr>
          <w:rFonts w:hAnsi="標楷體" w:hint="eastAsia"/>
          <w:szCs w:val="20"/>
        </w:rPr>
        <w:t>拖船作業服務合約，臺港勤於履約前應提交「船員任用及訓練計畫」，另依據臺港勤為執行連江縣政府之委外案及人力外包需求所辦理勞務案</w:t>
      </w:r>
      <w:r w:rsidR="00764CC4">
        <w:rPr>
          <w:rFonts w:hAnsi="標楷體" w:hint="eastAsia"/>
          <w:szCs w:val="20"/>
        </w:rPr>
        <w:t>，</w:t>
      </w:r>
      <w:r w:rsidRPr="0070737E">
        <w:rPr>
          <w:rFonts w:hAnsi="標楷體" w:hint="eastAsia"/>
          <w:szCs w:val="20"/>
        </w:rPr>
        <w:t>合約</w:t>
      </w:r>
      <w:r w:rsidR="00764CC4">
        <w:rPr>
          <w:rFonts w:hAnsi="標楷體" w:hint="eastAsia"/>
          <w:szCs w:val="20"/>
        </w:rPr>
        <w:t>明定</w:t>
      </w:r>
      <w:r w:rsidRPr="0070737E">
        <w:rPr>
          <w:rFonts w:hAnsi="標楷體" w:hint="eastAsia"/>
          <w:szCs w:val="20"/>
        </w:rPr>
        <w:t>應施予船員必要之專業訓練。故此，</w:t>
      </w:r>
      <w:proofErr w:type="gramStart"/>
      <w:r w:rsidRPr="0070737E">
        <w:rPr>
          <w:rFonts w:hAnsi="標楷體" w:hint="eastAsia"/>
          <w:szCs w:val="20"/>
        </w:rPr>
        <w:t>臺</w:t>
      </w:r>
      <w:proofErr w:type="gramEnd"/>
      <w:r w:rsidRPr="0070737E">
        <w:rPr>
          <w:rFonts w:hAnsi="標楷體" w:hint="eastAsia"/>
          <w:szCs w:val="20"/>
        </w:rPr>
        <w:t>港勤於112年8月16日要求各營運所，應於8月31日前</w:t>
      </w:r>
      <w:r w:rsidR="00764CC4">
        <w:rPr>
          <w:rFonts w:hAnsi="標楷體" w:hint="eastAsia"/>
          <w:szCs w:val="20"/>
        </w:rPr>
        <w:t>使</w:t>
      </w:r>
      <w:r w:rsidRPr="0070737E">
        <w:rPr>
          <w:rFonts w:hAnsi="標楷體" w:hint="eastAsia"/>
          <w:szCs w:val="20"/>
        </w:rPr>
        <w:t>所有</w:t>
      </w:r>
      <w:proofErr w:type="gramStart"/>
      <w:r w:rsidRPr="0070737E">
        <w:rPr>
          <w:rFonts w:hAnsi="標楷體" w:hint="eastAsia"/>
          <w:szCs w:val="20"/>
        </w:rPr>
        <w:t>船副以</w:t>
      </w:r>
      <w:proofErr w:type="gramEnd"/>
      <w:r w:rsidRPr="0070737E">
        <w:rPr>
          <w:rFonts w:hAnsi="標楷體" w:hint="eastAsia"/>
          <w:szCs w:val="20"/>
        </w:rPr>
        <w:t>上職級船員觀看年度教育訓練影片並</w:t>
      </w:r>
      <w:proofErr w:type="gramStart"/>
      <w:r w:rsidRPr="0070737E">
        <w:rPr>
          <w:rFonts w:hAnsi="標楷體" w:hint="eastAsia"/>
          <w:szCs w:val="20"/>
        </w:rPr>
        <w:t>完成線上測</w:t>
      </w:r>
      <w:proofErr w:type="gramEnd"/>
      <w:r w:rsidRPr="0070737E">
        <w:rPr>
          <w:rFonts w:hAnsi="標楷體" w:hint="eastAsia"/>
          <w:szCs w:val="20"/>
        </w:rPr>
        <w:t>驗，該影片主題為意外事故案例分享，內容包含拖船操作、溝通聯繫、作業模式等相關安全議題。然經查，</w:t>
      </w:r>
      <w:proofErr w:type="gramStart"/>
      <w:r w:rsidRPr="0070737E">
        <w:rPr>
          <w:rFonts w:hAnsi="標楷體" w:hint="eastAsia"/>
          <w:szCs w:val="20"/>
        </w:rPr>
        <w:t>臺</w:t>
      </w:r>
      <w:proofErr w:type="gramEnd"/>
      <w:r w:rsidRPr="0070737E">
        <w:rPr>
          <w:rFonts w:hAnsi="標楷體" w:hint="eastAsia"/>
          <w:szCs w:val="20"/>
        </w:rPr>
        <w:t>港13302號事故船長於事故發生前，尚未觀看教育訓練影片且未完</w:t>
      </w:r>
      <w:proofErr w:type="gramStart"/>
      <w:r w:rsidRPr="0070737E">
        <w:rPr>
          <w:rFonts w:hAnsi="標楷體" w:hint="eastAsia"/>
          <w:szCs w:val="20"/>
        </w:rPr>
        <w:t>成線</w:t>
      </w:r>
      <w:proofErr w:type="gramEnd"/>
      <w:r w:rsidRPr="0070737E">
        <w:rPr>
          <w:rFonts w:hAnsi="標楷體" w:hint="eastAsia"/>
          <w:szCs w:val="20"/>
        </w:rPr>
        <w:t>上測驗。</w:t>
      </w:r>
      <w:r w:rsidR="00E13B4E">
        <w:rPr>
          <w:rFonts w:hAnsi="標楷體" w:hint="eastAsia"/>
          <w:szCs w:val="20"/>
        </w:rPr>
        <w:t>由上可知</w:t>
      </w:r>
      <w:r w:rsidRPr="0070737E">
        <w:rPr>
          <w:rFonts w:hAnsi="標楷體" w:hint="eastAsia"/>
          <w:szCs w:val="20"/>
        </w:rPr>
        <w:t>，</w:t>
      </w:r>
      <w:bookmarkStart w:id="61" w:name="_Hlk196986110"/>
      <w:proofErr w:type="gramStart"/>
      <w:r w:rsidRPr="0070737E">
        <w:rPr>
          <w:rFonts w:hAnsi="標楷體" w:hint="eastAsia"/>
          <w:szCs w:val="20"/>
        </w:rPr>
        <w:t>臺</w:t>
      </w:r>
      <w:proofErr w:type="gramEnd"/>
      <w:r w:rsidRPr="0070737E">
        <w:rPr>
          <w:rFonts w:hAnsi="標楷體" w:hint="eastAsia"/>
          <w:szCs w:val="20"/>
        </w:rPr>
        <w:t>港勤</w:t>
      </w:r>
      <w:bookmarkEnd w:id="61"/>
      <w:r w:rsidRPr="0070737E">
        <w:rPr>
          <w:rFonts w:hAnsi="標楷體" w:hint="eastAsia"/>
          <w:szCs w:val="20"/>
        </w:rPr>
        <w:t>於合約中</w:t>
      </w:r>
      <w:r w:rsidR="00764CC4">
        <w:rPr>
          <w:rFonts w:hAnsi="標楷體" w:hint="eastAsia"/>
          <w:szCs w:val="20"/>
        </w:rPr>
        <w:t>雖</w:t>
      </w:r>
      <w:r w:rsidRPr="0070737E">
        <w:rPr>
          <w:rFonts w:hAnsi="標楷體" w:hint="eastAsia"/>
          <w:szCs w:val="20"/>
        </w:rPr>
        <w:t>已訂有訓練計畫，但事故船長在事發前尚未觀看相關教育訓練影片且未完</w:t>
      </w:r>
      <w:proofErr w:type="gramStart"/>
      <w:r w:rsidRPr="0070737E">
        <w:rPr>
          <w:rFonts w:hAnsi="標楷體" w:hint="eastAsia"/>
          <w:szCs w:val="20"/>
        </w:rPr>
        <w:t>成線</w:t>
      </w:r>
      <w:proofErr w:type="gramEnd"/>
      <w:r w:rsidRPr="0070737E">
        <w:rPr>
          <w:rFonts w:hAnsi="標楷體" w:hint="eastAsia"/>
          <w:szCs w:val="20"/>
        </w:rPr>
        <w:t>上測驗，顯示相關訓練計畫</w:t>
      </w:r>
      <w:r w:rsidR="00FD2B59">
        <w:rPr>
          <w:rFonts w:hAnsi="標楷體" w:hint="eastAsia"/>
          <w:szCs w:val="20"/>
        </w:rPr>
        <w:t>未能確實</w:t>
      </w:r>
      <w:r w:rsidRPr="0070737E">
        <w:rPr>
          <w:rFonts w:hAnsi="標楷體" w:hint="eastAsia"/>
          <w:szCs w:val="20"/>
        </w:rPr>
        <w:t>執行</w:t>
      </w:r>
      <w:r w:rsidR="00FD2B59">
        <w:rPr>
          <w:rFonts w:hAnsi="標楷體" w:hint="eastAsia"/>
          <w:szCs w:val="20"/>
        </w:rPr>
        <w:t>，</w:t>
      </w:r>
      <w:r w:rsidRPr="0070737E">
        <w:rPr>
          <w:rFonts w:hAnsi="標楷體" w:hint="eastAsia"/>
          <w:szCs w:val="20"/>
        </w:rPr>
        <w:t>考核</w:t>
      </w:r>
      <w:r w:rsidR="00FD2B59">
        <w:rPr>
          <w:rFonts w:hAnsi="標楷體" w:hint="eastAsia"/>
          <w:szCs w:val="20"/>
        </w:rPr>
        <w:t>機制亦有不足</w:t>
      </w:r>
      <w:r w:rsidRPr="0070737E">
        <w:rPr>
          <w:rFonts w:hAnsi="標楷體" w:hint="eastAsia"/>
          <w:szCs w:val="20"/>
        </w:rPr>
        <w:t>。</w:t>
      </w:r>
    </w:p>
    <w:p w:rsidR="008C638F" w:rsidRPr="0070737E" w:rsidRDefault="008C638F" w:rsidP="009B5AA7">
      <w:pPr>
        <w:pStyle w:val="3"/>
        <w:overflowPunct w:val="0"/>
        <w:ind w:left="1344"/>
        <w:rPr>
          <w:rFonts w:hAnsi="標楷體"/>
          <w:szCs w:val="20"/>
        </w:rPr>
      </w:pPr>
      <w:r w:rsidRPr="0070737E">
        <w:rPr>
          <w:rFonts w:hAnsi="標楷體"/>
          <w:szCs w:val="20"/>
        </w:rPr>
        <w:t>據</w:t>
      </w:r>
      <w:proofErr w:type="gramStart"/>
      <w:r w:rsidR="00417ED9" w:rsidRPr="0070737E">
        <w:rPr>
          <w:rFonts w:hAnsi="標楷體" w:hint="eastAsia"/>
          <w:szCs w:val="20"/>
        </w:rPr>
        <w:t>臺港勤函</w:t>
      </w:r>
      <w:proofErr w:type="gramEnd"/>
      <w:r w:rsidRPr="0070737E">
        <w:rPr>
          <w:rFonts w:hAnsi="標楷體"/>
          <w:szCs w:val="20"/>
        </w:rPr>
        <w:t>復，</w:t>
      </w:r>
      <w:r w:rsidRPr="0070737E">
        <w:rPr>
          <w:rFonts w:hAnsi="標楷體" w:hint="eastAsia"/>
          <w:szCs w:val="20"/>
        </w:rPr>
        <w:t>於本事故發生後</w:t>
      </w:r>
      <w:r w:rsidR="00417ED9" w:rsidRPr="0070737E">
        <w:rPr>
          <w:rFonts w:hAnsi="標楷體" w:hint="eastAsia"/>
          <w:szCs w:val="20"/>
        </w:rPr>
        <w:t>即</w:t>
      </w:r>
      <w:r w:rsidRPr="0070737E">
        <w:rPr>
          <w:rFonts w:hAnsi="標楷體" w:hint="eastAsia"/>
          <w:szCs w:val="20"/>
        </w:rPr>
        <w:t>調整作為如下：新任船長與輪機長於正式輪值前，</w:t>
      </w:r>
      <w:proofErr w:type="gramStart"/>
      <w:r w:rsidRPr="0070737E">
        <w:rPr>
          <w:rFonts w:hAnsi="標楷體" w:hint="eastAsia"/>
          <w:szCs w:val="20"/>
        </w:rPr>
        <w:t>由轄下</w:t>
      </w:r>
      <w:proofErr w:type="gramEnd"/>
      <w:r w:rsidRPr="0070737E">
        <w:rPr>
          <w:rFonts w:hAnsi="標楷體" w:hint="eastAsia"/>
          <w:szCs w:val="20"/>
        </w:rPr>
        <w:t>單位主管執行船員適任性考核，包括拖船基本操作、曳船作業及拖船單俥</w:t>
      </w:r>
      <w:r w:rsidR="006F3D05">
        <w:rPr>
          <w:rFonts w:hAnsi="標楷體" w:hint="eastAsia"/>
          <w:szCs w:val="20"/>
        </w:rPr>
        <w:t>離靠</w:t>
      </w:r>
      <w:r w:rsidRPr="0070737E">
        <w:rPr>
          <w:rFonts w:hAnsi="標楷體" w:hint="eastAsia"/>
          <w:szCs w:val="20"/>
        </w:rPr>
        <w:t>碼頭等，考核通過派駐於船上時，需與原任船長見習熟悉該港區作業特性後才可獨立作業。另規定新任船員任職船舶後須於</w:t>
      </w:r>
      <w:r w:rsidRPr="0070737E">
        <w:rPr>
          <w:rFonts w:hAnsi="標楷體"/>
          <w:szCs w:val="20"/>
        </w:rPr>
        <w:t>24</w:t>
      </w:r>
      <w:r w:rsidRPr="0070737E">
        <w:rPr>
          <w:rFonts w:hAnsi="標楷體" w:hint="eastAsia"/>
          <w:szCs w:val="20"/>
        </w:rPr>
        <w:t>小時內完成「駕駛台設備熟悉檢查表</w:t>
      </w:r>
      <w:r w:rsidRPr="0070737E">
        <w:rPr>
          <w:rFonts w:hAnsi="標楷體"/>
          <w:szCs w:val="20"/>
        </w:rPr>
        <w:t>(</w:t>
      </w:r>
      <w:r w:rsidRPr="0070737E">
        <w:rPr>
          <w:rFonts w:hAnsi="標楷體" w:hint="eastAsia"/>
          <w:szCs w:val="20"/>
        </w:rPr>
        <w:t>船長</w:t>
      </w:r>
      <w:r w:rsidRPr="0070737E">
        <w:rPr>
          <w:rFonts w:hAnsi="標楷體"/>
          <w:szCs w:val="20"/>
        </w:rPr>
        <w:t>)</w:t>
      </w:r>
      <w:r w:rsidRPr="0070737E">
        <w:rPr>
          <w:rFonts w:hAnsi="標楷體" w:hint="eastAsia"/>
          <w:szCs w:val="20"/>
        </w:rPr>
        <w:t>」、「機艙設備熟悉檢查表</w:t>
      </w:r>
      <w:r w:rsidRPr="0070737E">
        <w:rPr>
          <w:rFonts w:hAnsi="標楷體"/>
          <w:szCs w:val="20"/>
        </w:rPr>
        <w:t>(</w:t>
      </w:r>
      <w:r w:rsidRPr="0070737E">
        <w:rPr>
          <w:rFonts w:hAnsi="標楷體" w:hint="eastAsia"/>
          <w:szCs w:val="20"/>
        </w:rPr>
        <w:t>輪機長</w:t>
      </w:r>
      <w:r w:rsidRPr="0070737E">
        <w:rPr>
          <w:rFonts w:hAnsi="標楷體"/>
          <w:szCs w:val="20"/>
        </w:rPr>
        <w:t>)</w:t>
      </w:r>
      <w:r w:rsidRPr="0070737E">
        <w:rPr>
          <w:rFonts w:hAnsi="標楷體" w:hint="eastAsia"/>
          <w:szCs w:val="20"/>
        </w:rPr>
        <w:t>」及「上船熟悉檢查表</w:t>
      </w:r>
      <w:r w:rsidRPr="0070737E">
        <w:rPr>
          <w:rFonts w:hAnsi="標楷體"/>
          <w:szCs w:val="20"/>
        </w:rPr>
        <w:t>(</w:t>
      </w:r>
      <w:r w:rsidRPr="0070737E">
        <w:rPr>
          <w:rFonts w:hAnsi="標楷體" w:hint="eastAsia"/>
          <w:szCs w:val="20"/>
        </w:rPr>
        <w:t>所有職級</w:t>
      </w:r>
      <w:r w:rsidRPr="0070737E">
        <w:rPr>
          <w:rFonts w:hAnsi="標楷體"/>
          <w:szCs w:val="20"/>
        </w:rPr>
        <w:t>)</w:t>
      </w:r>
      <w:r w:rsidRPr="0070737E">
        <w:rPr>
          <w:rFonts w:hAnsi="標楷體" w:hint="eastAsia"/>
          <w:szCs w:val="20"/>
        </w:rPr>
        <w:t>」，並熟悉「拖船於馬祖港口</w:t>
      </w:r>
      <w:proofErr w:type="gramStart"/>
      <w:r w:rsidRPr="0070737E">
        <w:rPr>
          <w:rFonts w:hAnsi="標楷體" w:hint="eastAsia"/>
          <w:szCs w:val="20"/>
        </w:rPr>
        <w:t>協助離靠泊</w:t>
      </w:r>
      <w:proofErr w:type="gramEnd"/>
      <w:r w:rsidRPr="0070737E">
        <w:rPr>
          <w:rFonts w:hAnsi="標楷體" w:hint="eastAsia"/>
          <w:szCs w:val="20"/>
        </w:rPr>
        <w:t>之標</w:t>
      </w:r>
      <w:r w:rsidRPr="0070737E">
        <w:rPr>
          <w:rFonts w:hAnsi="標楷體" w:hint="eastAsia"/>
          <w:szCs w:val="20"/>
        </w:rPr>
        <w:lastRenderedPageBreak/>
        <w:t>準作業程序」，後續亦調整委外廠商新進船員須完成臺港勤之「委外廠商新派駐船員教育訓練」，並通過駕駛測驗後方可派駐上船。</w:t>
      </w:r>
      <w:proofErr w:type="gramStart"/>
      <w:r w:rsidR="00A1686A">
        <w:rPr>
          <w:rFonts w:hAnsi="標楷體" w:hint="eastAsia"/>
          <w:szCs w:val="20"/>
        </w:rPr>
        <w:t>嗣</w:t>
      </w:r>
      <w:proofErr w:type="gramEnd"/>
      <w:r w:rsidR="00A1686A">
        <w:rPr>
          <w:rFonts w:hAnsi="標楷體" w:hint="eastAsia"/>
          <w:szCs w:val="20"/>
        </w:rPr>
        <w:t>為</w:t>
      </w:r>
      <w:r w:rsidRPr="0070737E">
        <w:rPr>
          <w:rFonts w:hAnsi="標楷體" w:hint="eastAsia"/>
          <w:szCs w:val="20"/>
        </w:rPr>
        <w:t>配合交通部114年1月6日新訂「拖船船員訓練計畫指引」，臺港勤於</w:t>
      </w:r>
      <w:proofErr w:type="gramStart"/>
      <w:r w:rsidRPr="0070737E">
        <w:rPr>
          <w:rFonts w:hAnsi="標楷體" w:hint="eastAsia"/>
          <w:szCs w:val="20"/>
        </w:rPr>
        <w:t>11</w:t>
      </w:r>
      <w:proofErr w:type="gramEnd"/>
      <w:r w:rsidRPr="0070737E">
        <w:rPr>
          <w:rFonts w:hAnsi="標楷體" w:hint="eastAsia"/>
          <w:szCs w:val="20"/>
        </w:rPr>
        <w:t>4年度訂定「船員訓練手冊」，針對各職級新進及在職船員</w:t>
      </w:r>
      <w:r w:rsidR="00A1686A">
        <w:rPr>
          <w:rFonts w:hAnsi="標楷體" w:hint="eastAsia"/>
          <w:szCs w:val="20"/>
        </w:rPr>
        <w:t>施予</w:t>
      </w:r>
      <w:r w:rsidRPr="0070737E">
        <w:rPr>
          <w:rFonts w:hAnsi="標楷體" w:hint="eastAsia"/>
          <w:szCs w:val="20"/>
        </w:rPr>
        <w:t>訓練，並依不同港口特性及經歷不同馬力拖船</w:t>
      </w:r>
      <w:r w:rsidR="00A1686A">
        <w:rPr>
          <w:rFonts w:hAnsi="標楷體" w:hint="eastAsia"/>
          <w:szCs w:val="20"/>
        </w:rPr>
        <w:t>給予</w:t>
      </w:r>
      <w:r w:rsidRPr="0070737E">
        <w:rPr>
          <w:rFonts w:hAnsi="標楷體" w:hint="eastAsia"/>
          <w:szCs w:val="20"/>
        </w:rPr>
        <w:t>訓練，通過各項考核方准予獨立作業，以提升船員船舶安全及航行操作等專業技術</w:t>
      </w:r>
      <w:r w:rsidR="00A1686A">
        <w:rPr>
          <w:rFonts w:hAnsi="標楷體" w:hint="eastAsia"/>
          <w:szCs w:val="20"/>
        </w:rPr>
        <w:t>等情</w:t>
      </w:r>
      <w:r w:rsidRPr="0070737E">
        <w:rPr>
          <w:rFonts w:hAnsi="標楷體" w:hint="eastAsia"/>
          <w:szCs w:val="20"/>
        </w:rPr>
        <w:t>。</w:t>
      </w:r>
    </w:p>
    <w:p w:rsidR="008C638F" w:rsidRPr="0070737E" w:rsidRDefault="008C638F" w:rsidP="009B5AA7">
      <w:pPr>
        <w:pStyle w:val="3"/>
        <w:overflowPunct w:val="0"/>
        <w:ind w:left="1344"/>
        <w:rPr>
          <w:rFonts w:hAnsi="標楷體"/>
          <w:szCs w:val="20"/>
        </w:rPr>
      </w:pPr>
      <w:r w:rsidRPr="0070737E">
        <w:rPr>
          <w:rFonts w:hAnsi="標楷體" w:hint="eastAsia"/>
          <w:szCs w:val="20"/>
        </w:rPr>
        <w:t>綜上，本事故</w:t>
      </w:r>
      <w:bookmarkStart w:id="62" w:name="_Hlk200533086"/>
      <w:proofErr w:type="gramStart"/>
      <w:r w:rsidRPr="0070737E">
        <w:rPr>
          <w:rFonts w:hAnsi="標楷體" w:hint="eastAsia"/>
          <w:szCs w:val="20"/>
        </w:rPr>
        <w:t>臺</w:t>
      </w:r>
      <w:proofErr w:type="gramEnd"/>
      <w:r w:rsidRPr="0070737E">
        <w:rPr>
          <w:rFonts w:hAnsi="標楷體" w:hint="eastAsia"/>
          <w:szCs w:val="20"/>
        </w:rPr>
        <w:t>港13302號</w:t>
      </w:r>
      <w:bookmarkEnd w:id="62"/>
      <w:r w:rsidRPr="0070737E">
        <w:rPr>
          <w:rFonts w:hAnsi="標楷體" w:hint="eastAsia"/>
          <w:szCs w:val="20"/>
        </w:rPr>
        <w:t>船長</w:t>
      </w:r>
      <w:r w:rsidR="003A659D" w:rsidRPr="0070737E">
        <w:rPr>
          <w:rFonts w:hAnsi="標楷體" w:hint="eastAsia"/>
          <w:szCs w:val="20"/>
        </w:rPr>
        <w:t>僅</w:t>
      </w:r>
      <w:r w:rsidR="00D1334D">
        <w:rPr>
          <w:rFonts w:hAnsi="標楷體" w:hint="eastAsia"/>
          <w:szCs w:val="20"/>
        </w:rPr>
        <w:t>曾</w:t>
      </w:r>
      <w:r w:rsidRPr="0070737E">
        <w:rPr>
          <w:rFonts w:hAnsi="標楷體" w:hint="eastAsia"/>
          <w:szCs w:val="20"/>
        </w:rPr>
        <w:t>於高雄港獨立操作拖船8個月，</w:t>
      </w:r>
      <w:r w:rsidR="008B6610" w:rsidRPr="0070737E">
        <w:rPr>
          <w:rFonts w:hAnsi="標楷體" w:hint="eastAsia"/>
          <w:szCs w:val="20"/>
        </w:rPr>
        <w:t>已</w:t>
      </w:r>
      <w:proofErr w:type="gramStart"/>
      <w:r w:rsidR="003F0742" w:rsidRPr="0070737E">
        <w:rPr>
          <w:rFonts w:hAnsi="標楷體" w:hint="eastAsia"/>
          <w:szCs w:val="20"/>
        </w:rPr>
        <w:t>不符需曾</w:t>
      </w:r>
      <w:proofErr w:type="gramEnd"/>
      <w:r w:rsidR="003F0742" w:rsidRPr="0070737E">
        <w:rPr>
          <w:rFonts w:hAnsi="標楷體" w:hint="eastAsia"/>
          <w:szCs w:val="20"/>
        </w:rPr>
        <w:t>任</w:t>
      </w:r>
      <w:r w:rsidR="00F44B17" w:rsidRPr="0070737E">
        <w:rPr>
          <w:rFonts w:hAnsi="標楷體" w:hint="eastAsia"/>
          <w:szCs w:val="20"/>
        </w:rPr>
        <w:t>拖船船長1年以上操作經驗之</w:t>
      </w:r>
      <w:r w:rsidR="008B6610" w:rsidRPr="0070737E">
        <w:rPr>
          <w:rFonts w:hAnsi="標楷體" w:hint="eastAsia"/>
          <w:szCs w:val="20"/>
        </w:rPr>
        <w:t>合約規定，</w:t>
      </w:r>
      <w:r w:rsidRPr="0070737E">
        <w:rPr>
          <w:rFonts w:hAnsi="標楷體" w:hint="eastAsia"/>
          <w:szCs w:val="20"/>
        </w:rPr>
        <w:t>被派駐至福</w:t>
      </w:r>
      <w:proofErr w:type="gramStart"/>
      <w:r w:rsidRPr="0070737E">
        <w:rPr>
          <w:rFonts w:hAnsi="標楷體" w:hint="eastAsia"/>
          <w:szCs w:val="20"/>
        </w:rPr>
        <w:t>澳港僅見</w:t>
      </w:r>
      <w:proofErr w:type="gramEnd"/>
      <w:r w:rsidRPr="0070737E">
        <w:rPr>
          <w:rFonts w:hAnsi="標楷體" w:hint="eastAsia"/>
          <w:szCs w:val="20"/>
        </w:rPr>
        <w:t>習1次且未進行實際操作，任職不足7日即開始於福澳港獨立作業，</w:t>
      </w:r>
      <w:r w:rsidR="00D1334D">
        <w:rPr>
          <w:rFonts w:hAnsi="標楷體" w:hint="eastAsia"/>
          <w:szCs w:val="20"/>
        </w:rPr>
        <w:t>縱</w:t>
      </w:r>
      <w:r w:rsidR="00764CC4">
        <w:rPr>
          <w:rFonts w:hAnsi="標楷體" w:hint="eastAsia"/>
          <w:szCs w:val="20"/>
        </w:rPr>
        <w:t>事故船長</w:t>
      </w:r>
      <w:r w:rsidRPr="0070737E">
        <w:rPr>
          <w:rFonts w:hAnsi="標楷體" w:hint="eastAsia"/>
          <w:szCs w:val="20"/>
        </w:rPr>
        <w:t>已具備拖船操作經驗，卻因缺乏充分的交接程序與操作指導，僅憑1次見習</w:t>
      </w:r>
      <w:r w:rsidR="00D1334D">
        <w:rPr>
          <w:rFonts w:hAnsi="標楷體" w:hint="eastAsia"/>
          <w:szCs w:val="20"/>
        </w:rPr>
        <w:t>，猶難以</w:t>
      </w:r>
      <w:r w:rsidRPr="0070737E">
        <w:rPr>
          <w:rFonts w:hAnsi="標楷體" w:hint="eastAsia"/>
          <w:szCs w:val="20"/>
        </w:rPr>
        <w:t>完全</w:t>
      </w:r>
      <w:proofErr w:type="gramStart"/>
      <w:r w:rsidRPr="0070737E">
        <w:rPr>
          <w:rFonts w:hAnsi="標楷體" w:hint="eastAsia"/>
          <w:szCs w:val="20"/>
        </w:rPr>
        <w:t>熟悉</w:t>
      </w:r>
      <w:proofErr w:type="gramEnd"/>
      <w:r w:rsidRPr="0070737E">
        <w:rPr>
          <w:rFonts w:hAnsi="標楷體" w:hint="eastAsia"/>
          <w:szCs w:val="20"/>
        </w:rPr>
        <w:t>福澳港進出港作業模式，</w:t>
      </w:r>
      <w:r w:rsidR="00D1334D">
        <w:rPr>
          <w:rFonts w:hAnsi="標楷體" w:hint="eastAsia"/>
          <w:szCs w:val="20"/>
        </w:rPr>
        <w:t>徒增肇事風險之虞。再</w:t>
      </w:r>
      <w:r w:rsidRPr="0070737E">
        <w:rPr>
          <w:rFonts w:hAnsi="標楷體" w:hint="eastAsia"/>
          <w:szCs w:val="20"/>
        </w:rPr>
        <w:t>由事故前拖船船長操作紀錄中得知，</w:t>
      </w:r>
      <w:r w:rsidR="00764CC4">
        <w:rPr>
          <w:rFonts w:hAnsi="標楷體" w:hint="eastAsia"/>
          <w:szCs w:val="20"/>
        </w:rPr>
        <w:t>事故船長</w:t>
      </w:r>
      <w:r w:rsidRPr="0070737E">
        <w:rPr>
          <w:rFonts w:hAnsi="標楷體" w:hint="eastAsia"/>
          <w:szCs w:val="20"/>
        </w:rPr>
        <w:t>於事故前</w:t>
      </w:r>
      <w:r w:rsidR="00D1334D">
        <w:rPr>
          <w:rFonts w:hAnsi="標楷體" w:hint="eastAsia"/>
          <w:szCs w:val="20"/>
        </w:rPr>
        <w:t>的</w:t>
      </w:r>
      <w:r w:rsidRPr="0070737E">
        <w:rPr>
          <w:rFonts w:hAnsi="標楷體" w:hint="eastAsia"/>
          <w:szCs w:val="20"/>
        </w:rPr>
        <w:t>3次作業中，將新</w:t>
      </w:r>
      <w:proofErr w:type="gramStart"/>
      <w:r w:rsidRPr="0070737E">
        <w:rPr>
          <w:rFonts w:hAnsi="標楷體" w:hint="eastAsia"/>
          <w:szCs w:val="20"/>
        </w:rPr>
        <w:t>臺</w:t>
      </w:r>
      <w:proofErr w:type="gramEnd"/>
      <w:r w:rsidRPr="0070737E">
        <w:rPr>
          <w:rFonts w:hAnsi="標楷體" w:hint="eastAsia"/>
          <w:szCs w:val="20"/>
        </w:rPr>
        <w:t>馬拉出碼頭</w:t>
      </w:r>
      <w:proofErr w:type="gramStart"/>
      <w:r w:rsidRPr="0070737E">
        <w:rPr>
          <w:rFonts w:hAnsi="標楷體" w:hint="eastAsia"/>
          <w:szCs w:val="20"/>
        </w:rPr>
        <w:t>解纜後</w:t>
      </w:r>
      <w:proofErr w:type="gramEnd"/>
      <w:r w:rsidRPr="0070737E">
        <w:rPr>
          <w:rFonts w:hAnsi="標楷體" w:hint="eastAsia"/>
          <w:szCs w:val="20"/>
        </w:rPr>
        <w:t>之操作模式皆不相同，顯示其對福澳港出港作業模式尚未完全掌握，臺</w:t>
      </w:r>
      <w:proofErr w:type="gramStart"/>
      <w:r w:rsidRPr="0070737E">
        <w:rPr>
          <w:rFonts w:hAnsi="標楷體" w:hint="eastAsia"/>
          <w:szCs w:val="20"/>
        </w:rPr>
        <w:t>港勤</w:t>
      </w:r>
      <w:r w:rsidR="0018284A">
        <w:rPr>
          <w:rFonts w:hAnsi="標楷體" w:hint="eastAsia"/>
          <w:szCs w:val="20"/>
        </w:rPr>
        <w:t>對</w:t>
      </w:r>
      <w:proofErr w:type="gramEnd"/>
      <w:r w:rsidRPr="0070737E">
        <w:rPr>
          <w:rFonts w:hAnsi="標楷體" w:hint="eastAsia"/>
          <w:szCs w:val="20"/>
        </w:rPr>
        <w:t>新到任拖船船長協助該港口</w:t>
      </w:r>
      <w:proofErr w:type="gramStart"/>
      <w:r w:rsidRPr="0070737E">
        <w:rPr>
          <w:rFonts w:hAnsi="標楷體" w:hint="eastAsia"/>
          <w:szCs w:val="20"/>
        </w:rPr>
        <w:t>船舶</w:t>
      </w:r>
      <w:r w:rsidR="00D01C1E">
        <w:rPr>
          <w:rFonts w:hAnsi="標楷體" w:hint="eastAsia"/>
          <w:szCs w:val="20"/>
        </w:rPr>
        <w:t>離靠</w:t>
      </w:r>
      <w:proofErr w:type="gramEnd"/>
      <w:r w:rsidR="00D01C1E">
        <w:rPr>
          <w:rFonts w:hAnsi="標楷體" w:hint="eastAsia"/>
          <w:szCs w:val="20"/>
        </w:rPr>
        <w:t>泊</w:t>
      </w:r>
      <w:r w:rsidRPr="0070737E">
        <w:rPr>
          <w:rFonts w:hAnsi="標楷體" w:hint="eastAsia"/>
          <w:szCs w:val="20"/>
        </w:rPr>
        <w:t>作業實際操作</w:t>
      </w:r>
      <w:r w:rsidR="00D01C1E">
        <w:rPr>
          <w:rFonts w:hAnsi="標楷體" w:hint="eastAsia"/>
          <w:szCs w:val="20"/>
        </w:rPr>
        <w:t>情形，亦無</w:t>
      </w:r>
      <w:r w:rsidRPr="0070737E">
        <w:rPr>
          <w:rFonts w:hAnsi="標楷體" w:hint="eastAsia"/>
          <w:szCs w:val="20"/>
        </w:rPr>
        <w:t>考核規定</w:t>
      </w:r>
      <w:r w:rsidR="00D01C1E">
        <w:rPr>
          <w:rFonts w:hAnsi="標楷體" w:hint="eastAsia"/>
          <w:szCs w:val="20"/>
        </w:rPr>
        <w:t>。</w:t>
      </w:r>
      <w:r w:rsidRPr="0070737E">
        <w:rPr>
          <w:rFonts w:hAnsi="標楷體" w:hint="eastAsia"/>
          <w:szCs w:val="20"/>
        </w:rPr>
        <w:t>又</w:t>
      </w:r>
      <w:r w:rsidR="00D01C1E">
        <w:rPr>
          <w:rFonts w:hAnsi="標楷體" w:hint="eastAsia"/>
          <w:szCs w:val="20"/>
        </w:rPr>
        <w:t>事故船長</w:t>
      </w:r>
      <w:r w:rsidRPr="0070737E">
        <w:rPr>
          <w:rFonts w:hAnsi="標楷體" w:hint="eastAsia"/>
          <w:szCs w:val="20"/>
        </w:rPr>
        <w:t>於當時</w:t>
      </w:r>
      <w:r w:rsidR="00D01C1E">
        <w:rPr>
          <w:rFonts w:hAnsi="標楷體" w:hint="eastAsia"/>
          <w:szCs w:val="20"/>
        </w:rPr>
        <w:t>對</w:t>
      </w:r>
      <w:r w:rsidRPr="0070737E">
        <w:rPr>
          <w:rFonts w:hAnsi="標楷體" w:hint="eastAsia"/>
          <w:szCs w:val="20"/>
        </w:rPr>
        <w:t>情勢之判斷及危機意識尚有不足，在新</w:t>
      </w:r>
      <w:proofErr w:type="gramStart"/>
      <w:r w:rsidRPr="0070737E">
        <w:rPr>
          <w:rFonts w:hAnsi="標楷體" w:hint="eastAsia"/>
          <w:szCs w:val="20"/>
        </w:rPr>
        <w:t>臺</w:t>
      </w:r>
      <w:proofErr w:type="gramEnd"/>
      <w:r w:rsidRPr="0070737E">
        <w:rPr>
          <w:rFonts w:hAnsi="標楷體" w:hint="eastAsia"/>
          <w:szCs w:val="20"/>
        </w:rPr>
        <w:t>馬仍有後退慣性速度的情況下，未能提高警覺並掌握與新臺馬間之安全距離，</w:t>
      </w:r>
      <w:r w:rsidR="00D01C1E">
        <w:rPr>
          <w:rFonts w:hAnsi="標楷體" w:hint="eastAsia"/>
          <w:szCs w:val="20"/>
        </w:rPr>
        <w:t>益見</w:t>
      </w:r>
      <w:r w:rsidRPr="0070737E">
        <w:rPr>
          <w:rFonts w:hAnsi="標楷體" w:hint="eastAsia"/>
          <w:szCs w:val="20"/>
        </w:rPr>
        <w:t>其對福澳港水流海域狀況不熟悉</w:t>
      </w:r>
      <w:r w:rsidR="00A156E8">
        <w:rPr>
          <w:rFonts w:hAnsi="標楷體" w:hint="eastAsia"/>
          <w:szCs w:val="20"/>
        </w:rPr>
        <w:t>。以上，</w:t>
      </w:r>
      <w:proofErr w:type="gramStart"/>
      <w:r w:rsidR="00A156E8">
        <w:rPr>
          <w:rFonts w:hAnsi="標楷體" w:hint="eastAsia"/>
          <w:szCs w:val="20"/>
        </w:rPr>
        <w:t>臺</w:t>
      </w:r>
      <w:proofErr w:type="gramEnd"/>
      <w:r w:rsidR="00A156E8">
        <w:rPr>
          <w:rFonts w:hAnsi="標楷體" w:hint="eastAsia"/>
          <w:szCs w:val="20"/>
        </w:rPr>
        <w:t>港勤對於</w:t>
      </w:r>
      <w:r w:rsidRPr="0070737E">
        <w:rPr>
          <w:rFonts w:hAnsi="標楷體" w:hint="eastAsia"/>
          <w:szCs w:val="20"/>
        </w:rPr>
        <w:t>凸顯新任船長職前訓練及操作考核</w:t>
      </w:r>
      <w:proofErr w:type="gramStart"/>
      <w:r w:rsidRPr="0070737E">
        <w:rPr>
          <w:rFonts w:hAnsi="標楷體" w:hint="eastAsia"/>
          <w:szCs w:val="20"/>
        </w:rPr>
        <w:t>機制</w:t>
      </w:r>
      <w:r w:rsidR="00A156E8">
        <w:rPr>
          <w:rFonts w:hAnsi="標楷體" w:hint="eastAsia"/>
          <w:szCs w:val="20"/>
        </w:rPr>
        <w:t>均有</w:t>
      </w:r>
      <w:r w:rsidRPr="0070737E">
        <w:rPr>
          <w:rFonts w:hAnsi="標楷體" w:hint="eastAsia"/>
          <w:szCs w:val="20"/>
        </w:rPr>
        <w:t>不</w:t>
      </w:r>
      <w:proofErr w:type="gramEnd"/>
      <w:r w:rsidRPr="0070737E">
        <w:rPr>
          <w:rFonts w:hAnsi="標楷體" w:hint="eastAsia"/>
          <w:szCs w:val="20"/>
        </w:rPr>
        <w:t>足，</w:t>
      </w:r>
      <w:r w:rsidR="00A156E8">
        <w:rPr>
          <w:rFonts w:hAnsi="標楷體" w:hint="eastAsia"/>
          <w:szCs w:val="20"/>
        </w:rPr>
        <w:t>致</w:t>
      </w:r>
      <w:r w:rsidRPr="0070737E">
        <w:rPr>
          <w:rFonts w:hAnsi="標楷體" w:hint="eastAsia"/>
          <w:szCs w:val="20"/>
        </w:rPr>
        <w:t>未能有效評估其在實際協助</w:t>
      </w:r>
      <w:proofErr w:type="gramStart"/>
      <w:r w:rsidRPr="0070737E">
        <w:rPr>
          <w:rFonts w:hAnsi="標楷體" w:hint="eastAsia"/>
          <w:szCs w:val="20"/>
        </w:rPr>
        <w:t>船舶</w:t>
      </w:r>
      <w:r w:rsidR="00D01C1E">
        <w:rPr>
          <w:rFonts w:hAnsi="標楷體" w:hint="eastAsia"/>
          <w:szCs w:val="20"/>
        </w:rPr>
        <w:t>離靠</w:t>
      </w:r>
      <w:proofErr w:type="gramEnd"/>
      <w:r w:rsidR="00D01C1E">
        <w:rPr>
          <w:rFonts w:hAnsi="標楷體" w:hint="eastAsia"/>
          <w:szCs w:val="20"/>
        </w:rPr>
        <w:t>泊</w:t>
      </w:r>
      <w:r w:rsidRPr="0070737E">
        <w:rPr>
          <w:rFonts w:hAnsi="標楷體" w:hint="eastAsia"/>
          <w:szCs w:val="20"/>
        </w:rPr>
        <w:t>作業中的安全性及潛在風險，</w:t>
      </w:r>
      <w:proofErr w:type="gramStart"/>
      <w:r w:rsidRPr="0070737E">
        <w:rPr>
          <w:rFonts w:hAnsi="標楷體" w:hint="eastAsia"/>
          <w:szCs w:val="20"/>
        </w:rPr>
        <w:t>終</w:t>
      </w:r>
      <w:r w:rsidR="00A156E8">
        <w:rPr>
          <w:rFonts w:hAnsi="標楷體" w:hint="eastAsia"/>
          <w:szCs w:val="20"/>
        </w:rPr>
        <w:t>肇</w:t>
      </w:r>
      <w:proofErr w:type="gramEnd"/>
      <w:r w:rsidRPr="0070737E">
        <w:rPr>
          <w:rFonts w:hAnsi="標楷體" w:hint="eastAsia"/>
          <w:szCs w:val="20"/>
        </w:rPr>
        <w:t>生</w:t>
      </w:r>
      <w:r w:rsidR="00DB6F60" w:rsidRPr="0070737E">
        <w:rPr>
          <w:rFonts w:hAnsi="標楷體" w:hint="eastAsia"/>
          <w:szCs w:val="20"/>
        </w:rPr>
        <w:t>本</w:t>
      </w:r>
      <w:r w:rsidRPr="0070737E">
        <w:rPr>
          <w:rFonts w:hAnsi="標楷體" w:hint="eastAsia"/>
          <w:szCs w:val="20"/>
        </w:rPr>
        <w:t>案海事碰撞事件</w:t>
      </w:r>
      <w:r w:rsidR="004C00F6" w:rsidRPr="0070737E">
        <w:rPr>
          <w:rFonts w:hAnsi="標楷體" w:hint="eastAsia"/>
          <w:szCs w:val="20"/>
        </w:rPr>
        <w:t>，允應檢討改進</w:t>
      </w:r>
      <w:r w:rsidRPr="0070737E">
        <w:rPr>
          <w:rFonts w:hAnsi="標楷體" w:hint="eastAsia"/>
          <w:szCs w:val="20"/>
        </w:rPr>
        <w:t>。</w:t>
      </w:r>
    </w:p>
    <w:p w:rsidR="008C638F" w:rsidRPr="0070737E" w:rsidRDefault="008C638F" w:rsidP="009B5AA7">
      <w:pPr>
        <w:pStyle w:val="2"/>
        <w:overflowPunct w:val="0"/>
        <w:ind w:left="1020" w:hanging="680"/>
        <w:rPr>
          <w:rFonts w:hAnsi="標楷體"/>
          <w:b/>
        </w:rPr>
      </w:pPr>
      <w:bookmarkStart w:id="63" w:name="_Hlk199862111"/>
      <w:r w:rsidRPr="0070737E">
        <w:rPr>
          <w:rFonts w:hAnsi="標楷體" w:hint="eastAsia"/>
          <w:b/>
        </w:rPr>
        <w:t>連江縣政府</w:t>
      </w:r>
      <w:r w:rsidR="00E26BE7" w:rsidRPr="0070737E">
        <w:rPr>
          <w:rFonts w:hAnsi="標楷體" w:hint="eastAsia"/>
          <w:b/>
        </w:rPr>
        <w:t>職掌</w:t>
      </w:r>
      <w:r w:rsidRPr="0070737E">
        <w:rPr>
          <w:rFonts w:hAnsi="標楷體" w:hint="eastAsia"/>
          <w:b/>
        </w:rPr>
        <w:t>福澳港之管理及營運安全，惟缺乏</w:t>
      </w:r>
      <w:proofErr w:type="gramStart"/>
      <w:r w:rsidRPr="0070737E">
        <w:rPr>
          <w:rFonts w:hAnsi="標楷體" w:hint="eastAsia"/>
          <w:b/>
        </w:rPr>
        <w:t>船</w:t>
      </w:r>
      <w:r w:rsidRPr="0070737E">
        <w:rPr>
          <w:rFonts w:hAnsi="標楷體" w:hint="eastAsia"/>
          <w:b/>
        </w:rPr>
        <w:lastRenderedPageBreak/>
        <w:t>舶</w:t>
      </w:r>
      <w:r w:rsidR="002804DD" w:rsidRPr="0070737E">
        <w:rPr>
          <w:rFonts w:hAnsi="標楷體" w:hint="eastAsia"/>
          <w:b/>
        </w:rPr>
        <w:t>離</w:t>
      </w:r>
      <w:r w:rsidRPr="0070737E">
        <w:rPr>
          <w:rFonts w:hAnsi="標楷體" w:hint="eastAsia"/>
          <w:b/>
        </w:rPr>
        <w:t>靠碼頭</w:t>
      </w:r>
      <w:proofErr w:type="gramEnd"/>
      <w:r w:rsidRPr="0070737E">
        <w:rPr>
          <w:rFonts w:hAnsi="標楷體" w:hint="eastAsia"/>
          <w:b/>
        </w:rPr>
        <w:t>作業之有效</w:t>
      </w:r>
      <w:r w:rsidR="0043570A">
        <w:rPr>
          <w:rFonts w:hAnsi="標楷體" w:hint="eastAsia"/>
          <w:b/>
        </w:rPr>
        <w:t>監管</w:t>
      </w:r>
      <w:r w:rsidRPr="0070737E">
        <w:rPr>
          <w:rFonts w:hAnsi="標楷體" w:hint="eastAsia"/>
          <w:b/>
        </w:rPr>
        <w:t>溝通機制，</w:t>
      </w:r>
      <w:r w:rsidR="0043570A">
        <w:rPr>
          <w:rFonts w:hAnsi="標楷體" w:hint="eastAsia"/>
          <w:b/>
        </w:rPr>
        <w:t>致</w:t>
      </w:r>
      <w:r w:rsidRPr="0070737E">
        <w:rPr>
          <w:rFonts w:hAnsi="標楷體" w:hint="eastAsia"/>
          <w:b/>
        </w:rPr>
        <w:t>增港口操作風險，且新臺馬於事故發生前告知臺港13302號</w:t>
      </w:r>
      <w:r w:rsidR="008D5344" w:rsidRPr="0070737E">
        <w:rPr>
          <w:rFonts w:hAnsi="標楷體" w:hint="eastAsia"/>
          <w:b/>
        </w:rPr>
        <w:t>距離過近</w:t>
      </w:r>
      <w:r w:rsidRPr="0070737E">
        <w:rPr>
          <w:rFonts w:hAnsi="標楷體" w:hint="eastAsia"/>
          <w:b/>
        </w:rPr>
        <w:t>之時點稍嫌</w:t>
      </w:r>
      <w:r w:rsidR="008D5344" w:rsidRPr="0070737E">
        <w:rPr>
          <w:rFonts w:hAnsi="標楷體" w:hint="eastAsia"/>
          <w:b/>
        </w:rPr>
        <w:t>不足</w:t>
      </w:r>
      <w:r w:rsidRPr="0070737E">
        <w:rPr>
          <w:rFonts w:hAnsi="標楷體" w:hint="eastAsia"/>
          <w:b/>
        </w:rPr>
        <w:t>，未能</w:t>
      </w:r>
      <w:r w:rsidR="0043570A">
        <w:rPr>
          <w:rFonts w:hAnsi="標楷體" w:hint="eastAsia"/>
          <w:b/>
        </w:rPr>
        <w:t>及時</w:t>
      </w:r>
      <w:r w:rsidRPr="0070737E">
        <w:rPr>
          <w:rFonts w:hAnsi="標楷體" w:hint="eastAsia"/>
          <w:b/>
        </w:rPr>
        <w:t>避免碰撞發生，又事故發生後的緊急應變程序雖已啟動，惟仍應持續檢討其效率與周延性，對福澳港管理營運仍有</w:t>
      </w:r>
      <w:r w:rsidR="008D5344" w:rsidRPr="0070737E">
        <w:rPr>
          <w:rFonts w:hAnsi="標楷體" w:hint="eastAsia"/>
          <w:b/>
        </w:rPr>
        <w:t>提升之空間</w:t>
      </w:r>
      <w:r w:rsidRPr="0070737E">
        <w:rPr>
          <w:rFonts w:hAnsi="標楷體" w:hint="eastAsia"/>
          <w:b/>
        </w:rPr>
        <w:t>，允應檢討改善。</w:t>
      </w:r>
      <w:bookmarkEnd w:id="63"/>
    </w:p>
    <w:p w:rsidR="008C638F" w:rsidRPr="0070737E" w:rsidRDefault="008C638F" w:rsidP="009B5AA7">
      <w:pPr>
        <w:pStyle w:val="3"/>
        <w:overflowPunct w:val="0"/>
        <w:ind w:left="1344"/>
        <w:rPr>
          <w:rFonts w:hAnsi="標楷體"/>
          <w:szCs w:val="20"/>
        </w:rPr>
      </w:pPr>
      <w:r w:rsidRPr="0070737E">
        <w:rPr>
          <w:rFonts w:hAnsi="標楷體" w:hint="eastAsia"/>
          <w:szCs w:val="20"/>
        </w:rPr>
        <w:t>依商港法第2條規定略</w:t>
      </w:r>
      <w:proofErr w:type="gramStart"/>
      <w:r w:rsidRPr="0070737E">
        <w:rPr>
          <w:rFonts w:hAnsi="標楷體" w:hint="eastAsia"/>
          <w:szCs w:val="20"/>
        </w:rPr>
        <w:t>以</w:t>
      </w:r>
      <w:proofErr w:type="gramEnd"/>
      <w:r w:rsidRPr="0070737E">
        <w:rPr>
          <w:rFonts w:hAnsi="標楷體" w:hint="eastAsia"/>
          <w:szCs w:val="20"/>
        </w:rPr>
        <w:t>，國內商港由航港局或行政院指定之機關經營及管理。查行政院101年7月20日院</w:t>
      </w:r>
      <w:proofErr w:type="gramStart"/>
      <w:r w:rsidRPr="0070737E">
        <w:rPr>
          <w:rFonts w:hAnsi="標楷體" w:hint="eastAsia"/>
          <w:szCs w:val="20"/>
        </w:rPr>
        <w:t>臺交字</w:t>
      </w:r>
      <w:proofErr w:type="gramEnd"/>
      <w:r w:rsidRPr="0070737E">
        <w:rPr>
          <w:rFonts w:hAnsi="標楷體" w:hint="eastAsia"/>
          <w:szCs w:val="20"/>
        </w:rPr>
        <w:t>第1010039400B號函指定</w:t>
      </w:r>
      <w:bookmarkStart w:id="64" w:name="_Hlk203556066"/>
      <w:r w:rsidRPr="0070737E">
        <w:rPr>
          <w:rFonts w:hAnsi="標楷體" w:hint="eastAsia"/>
          <w:szCs w:val="20"/>
        </w:rPr>
        <w:t>連江縣政府</w:t>
      </w:r>
      <w:bookmarkEnd w:id="64"/>
      <w:r w:rsidRPr="0070737E">
        <w:rPr>
          <w:rFonts w:hAnsi="標楷體" w:hint="eastAsia"/>
          <w:szCs w:val="20"/>
        </w:rPr>
        <w:t>為馬祖國內商港之經營管理機關，爰有關福澳港區域內之管理及經營係屬連江縣政府轄管權責。故此，福澳港為該府港務處所管轄之國內商港，</w:t>
      </w:r>
      <w:r w:rsidR="004909DE" w:rsidRPr="0070737E">
        <w:rPr>
          <w:rFonts w:hAnsi="標楷體" w:hint="eastAsia"/>
          <w:szCs w:val="20"/>
        </w:rPr>
        <w:t>設有24小時值勤的港務台，負責船舶進出港管制工作，以VHF第14頻道為聯繫頻道，</w:t>
      </w:r>
      <w:r w:rsidRPr="0070737E">
        <w:rPr>
          <w:rFonts w:hAnsi="標楷體" w:hint="eastAsia"/>
          <w:szCs w:val="20"/>
        </w:rPr>
        <w:t>而新</w:t>
      </w:r>
      <w:proofErr w:type="gramStart"/>
      <w:r w:rsidRPr="0070737E">
        <w:rPr>
          <w:rFonts w:hAnsi="標楷體" w:hint="eastAsia"/>
          <w:szCs w:val="20"/>
        </w:rPr>
        <w:t>臺</w:t>
      </w:r>
      <w:proofErr w:type="gramEnd"/>
      <w:r w:rsidRPr="0070737E">
        <w:rPr>
          <w:rFonts w:hAnsi="標楷體" w:hint="eastAsia"/>
          <w:szCs w:val="20"/>
        </w:rPr>
        <w:t>馬為連江縣馬祖連江航業有限公司委外營運，福澳港內之相關事務可透過</w:t>
      </w:r>
      <w:r w:rsidR="004909DE" w:rsidRPr="0070737E">
        <w:rPr>
          <w:rFonts w:hAnsi="標楷體" w:hint="eastAsia"/>
          <w:szCs w:val="20"/>
        </w:rPr>
        <w:t>該府</w:t>
      </w:r>
      <w:r w:rsidRPr="0070737E">
        <w:rPr>
          <w:rFonts w:hAnsi="標楷體" w:hint="eastAsia"/>
          <w:szCs w:val="20"/>
        </w:rPr>
        <w:t>港務處進行協調處理。</w:t>
      </w:r>
    </w:p>
    <w:p w:rsidR="008C638F" w:rsidRPr="0070737E" w:rsidRDefault="008C638F" w:rsidP="009B5AA7">
      <w:pPr>
        <w:pStyle w:val="3"/>
        <w:overflowPunct w:val="0"/>
        <w:ind w:left="1344"/>
        <w:rPr>
          <w:rFonts w:hAnsi="標楷體"/>
          <w:szCs w:val="20"/>
        </w:rPr>
      </w:pPr>
      <w:r w:rsidRPr="0070737E">
        <w:rPr>
          <w:rFonts w:hAnsi="標楷體" w:hint="eastAsia"/>
          <w:szCs w:val="20"/>
        </w:rPr>
        <w:t>經查，由港務處提供之其他CCTV影像</w:t>
      </w:r>
      <w:r w:rsidR="00B83599">
        <w:rPr>
          <w:rFonts w:hAnsi="標楷體" w:hint="eastAsia"/>
          <w:szCs w:val="20"/>
        </w:rPr>
        <w:t>顯示</w:t>
      </w:r>
      <w:r w:rsidRPr="0070737E">
        <w:rPr>
          <w:rFonts w:hAnsi="標楷體" w:hint="eastAsia"/>
          <w:szCs w:val="20"/>
        </w:rPr>
        <w:t>，事故船長於事故日前，共協助新</w:t>
      </w:r>
      <w:proofErr w:type="gramStart"/>
      <w:r w:rsidRPr="0070737E">
        <w:rPr>
          <w:rFonts w:hAnsi="標楷體" w:hint="eastAsia"/>
          <w:szCs w:val="20"/>
        </w:rPr>
        <w:t>臺馬離泊</w:t>
      </w:r>
      <w:proofErr w:type="gramEnd"/>
      <w:r w:rsidRPr="0070737E">
        <w:rPr>
          <w:rFonts w:hAnsi="標楷體" w:hint="eastAsia"/>
          <w:szCs w:val="20"/>
        </w:rPr>
        <w:t>作業3次，包括：112年8月21日、8月22日及8月24日，其中8月22日及8月24日之作業，</w:t>
      </w:r>
      <w:proofErr w:type="gramStart"/>
      <w:r w:rsidRPr="0070737E">
        <w:rPr>
          <w:rFonts w:hAnsi="標楷體" w:hint="eastAsia"/>
          <w:szCs w:val="20"/>
        </w:rPr>
        <w:t>臺</w:t>
      </w:r>
      <w:proofErr w:type="gramEnd"/>
      <w:r w:rsidRPr="0070737E">
        <w:rPr>
          <w:rFonts w:hAnsi="標楷體" w:hint="eastAsia"/>
          <w:szCs w:val="20"/>
        </w:rPr>
        <w:t>港13302號</w:t>
      </w:r>
      <w:proofErr w:type="gramStart"/>
      <w:r w:rsidRPr="0070737E">
        <w:rPr>
          <w:rFonts w:hAnsi="標楷體" w:hint="eastAsia"/>
          <w:szCs w:val="20"/>
        </w:rPr>
        <w:t>於解纜</w:t>
      </w:r>
      <w:proofErr w:type="gramEnd"/>
      <w:r w:rsidRPr="0070737E">
        <w:rPr>
          <w:rFonts w:hAnsi="標楷體" w:hint="eastAsia"/>
          <w:szCs w:val="20"/>
        </w:rPr>
        <w:t>後船位係在新臺馬船尾水域，與本事故當日之位置相仿，皆屬於與新</w:t>
      </w:r>
      <w:proofErr w:type="gramStart"/>
      <w:r w:rsidRPr="0070737E">
        <w:rPr>
          <w:rFonts w:hAnsi="標楷體" w:hint="eastAsia"/>
          <w:szCs w:val="20"/>
        </w:rPr>
        <w:t>臺馬</w:t>
      </w:r>
      <w:proofErr w:type="gramEnd"/>
      <w:r w:rsidRPr="0070737E">
        <w:rPr>
          <w:rFonts w:hAnsi="標楷體" w:hint="eastAsia"/>
          <w:szCs w:val="20"/>
        </w:rPr>
        <w:t>過近之</w:t>
      </w:r>
      <w:r w:rsidR="007C4961" w:rsidRPr="0070737E">
        <w:rPr>
          <w:rFonts w:hAnsi="標楷體" w:hint="eastAsia"/>
          <w:szCs w:val="20"/>
        </w:rPr>
        <w:t>距離</w:t>
      </w:r>
      <w:r w:rsidR="00FE441D" w:rsidRPr="0070737E">
        <w:rPr>
          <w:rFonts w:hAnsi="標楷體" w:hint="eastAsia"/>
          <w:szCs w:val="20"/>
        </w:rPr>
        <w:t>，</w:t>
      </w:r>
      <w:r w:rsidR="00E91E77" w:rsidRPr="0070737E">
        <w:rPr>
          <w:rFonts w:hAnsi="標楷體" w:hint="eastAsia"/>
          <w:szCs w:val="20"/>
        </w:rPr>
        <w:t>顯見</w:t>
      </w:r>
      <w:r w:rsidRPr="0070737E">
        <w:rPr>
          <w:rFonts w:hAnsi="標楷體" w:hint="eastAsia"/>
          <w:szCs w:val="20"/>
        </w:rPr>
        <w:t>於事故發生前的幾次作業中，臺港13302號</w:t>
      </w:r>
      <w:proofErr w:type="gramStart"/>
      <w:r w:rsidRPr="0070737E">
        <w:rPr>
          <w:rFonts w:hAnsi="標楷體" w:hint="eastAsia"/>
          <w:szCs w:val="20"/>
        </w:rPr>
        <w:t>解纜後未</w:t>
      </w:r>
      <w:proofErr w:type="gramEnd"/>
      <w:r w:rsidRPr="0070737E">
        <w:rPr>
          <w:rFonts w:hAnsi="標楷體" w:hint="eastAsia"/>
          <w:szCs w:val="20"/>
        </w:rPr>
        <w:t>能及時移至新</w:t>
      </w:r>
      <w:proofErr w:type="gramStart"/>
      <w:r w:rsidRPr="0070737E">
        <w:rPr>
          <w:rFonts w:hAnsi="標楷體" w:hint="eastAsia"/>
          <w:szCs w:val="20"/>
        </w:rPr>
        <w:t>臺馬</w:t>
      </w:r>
      <w:proofErr w:type="gramEnd"/>
      <w:r w:rsidRPr="0070737E">
        <w:rPr>
          <w:rFonts w:hAnsi="標楷體" w:hint="eastAsia"/>
          <w:szCs w:val="20"/>
        </w:rPr>
        <w:t>右舷的安全位置。新</w:t>
      </w:r>
      <w:proofErr w:type="gramStart"/>
      <w:r w:rsidRPr="0070737E">
        <w:rPr>
          <w:rFonts w:hAnsi="標楷體" w:hint="eastAsia"/>
          <w:szCs w:val="20"/>
        </w:rPr>
        <w:t>臺</w:t>
      </w:r>
      <w:proofErr w:type="gramEnd"/>
      <w:r w:rsidRPr="0070737E">
        <w:rPr>
          <w:rFonts w:hAnsi="標楷體" w:hint="eastAsia"/>
          <w:szCs w:val="20"/>
        </w:rPr>
        <w:t>馬船長過去曾與福澳港其他拖船船長討論相關拖帶作業之經驗，指出</w:t>
      </w:r>
      <w:proofErr w:type="gramStart"/>
      <w:r w:rsidRPr="0070737E">
        <w:rPr>
          <w:rFonts w:hAnsi="標楷體" w:hint="eastAsia"/>
          <w:szCs w:val="20"/>
        </w:rPr>
        <w:t>解纜後拖</w:t>
      </w:r>
      <w:proofErr w:type="gramEnd"/>
      <w:r w:rsidRPr="0070737E">
        <w:rPr>
          <w:rFonts w:hAnsi="標楷體" w:hint="eastAsia"/>
          <w:szCs w:val="20"/>
        </w:rPr>
        <w:t>船應在新</w:t>
      </w:r>
      <w:proofErr w:type="gramStart"/>
      <w:r w:rsidRPr="0070737E">
        <w:rPr>
          <w:rFonts w:hAnsi="標楷體" w:hint="eastAsia"/>
          <w:szCs w:val="20"/>
        </w:rPr>
        <w:t>臺馬右</w:t>
      </w:r>
      <w:r w:rsidR="00B73F54" w:rsidRPr="0070737E">
        <w:rPr>
          <w:rFonts w:hAnsi="標楷體" w:hint="eastAsia"/>
          <w:szCs w:val="20"/>
        </w:rPr>
        <w:t>舷</w:t>
      </w:r>
      <w:proofErr w:type="gramEnd"/>
      <w:r w:rsidRPr="0070737E">
        <w:rPr>
          <w:rFonts w:hAnsi="標楷體" w:hint="eastAsia"/>
          <w:szCs w:val="20"/>
        </w:rPr>
        <w:t>處並保持安全距離。然而事故發生前，新</w:t>
      </w:r>
      <w:proofErr w:type="gramStart"/>
      <w:r w:rsidRPr="0070737E">
        <w:rPr>
          <w:rFonts w:hAnsi="標楷體" w:hint="eastAsia"/>
          <w:szCs w:val="20"/>
        </w:rPr>
        <w:t>臺</w:t>
      </w:r>
      <w:proofErr w:type="gramEnd"/>
      <w:r w:rsidRPr="0070737E">
        <w:rPr>
          <w:rFonts w:hAnsi="標楷體" w:hint="eastAsia"/>
          <w:szCs w:val="20"/>
        </w:rPr>
        <w:t>馬船長尚未與臺港13302號事故船長討論其進出港操作計畫，且透過</w:t>
      </w:r>
      <w:bookmarkStart w:id="65" w:name="_Hlk200373148"/>
      <w:r w:rsidRPr="0070737E">
        <w:rPr>
          <w:rFonts w:hAnsi="標楷體" w:hint="eastAsia"/>
          <w:szCs w:val="20"/>
        </w:rPr>
        <w:t>臺港13302號</w:t>
      </w:r>
      <w:bookmarkEnd w:id="65"/>
      <w:r w:rsidR="00B83599">
        <w:rPr>
          <w:rFonts w:hAnsi="標楷體" w:hint="eastAsia"/>
          <w:szCs w:val="20"/>
        </w:rPr>
        <w:t>事故</w:t>
      </w:r>
      <w:r w:rsidRPr="0070737E">
        <w:rPr>
          <w:rFonts w:hAnsi="標楷體" w:hint="eastAsia"/>
          <w:szCs w:val="20"/>
        </w:rPr>
        <w:t>船長</w:t>
      </w:r>
      <w:r w:rsidR="00B83599">
        <w:rPr>
          <w:rFonts w:hAnsi="標楷體" w:hint="eastAsia"/>
          <w:szCs w:val="20"/>
        </w:rPr>
        <w:t>於</w:t>
      </w:r>
      <w:r w:rsidRPr="0070737E">
        <w:rPr>
          <w:rFonts w:hAnsi="標楷體" w:hint="eastAsia"/>
          <w:szCs w:val="20"/>
        </w:rPr>
        <w:t>事故前的3次作業紀錄亦可知，事故船長並不熟悉新臺馬船長之出港操作計畫，</w:t>
      </w:r>
      <w:r w:rsidR="00D97518">
        <w:rPr>
          <w:rFonts w:hAnsi="標楷體" w:hint="eastAsia"/>
          <w:szCs w:val="20"/>
        </w:rPr>
        <w:lastRenderedPageBreak/>
        <w:t>由於</w:t>
      </w:r>
      <w:r w:rsidRPr="0070737E">
        <w:rPr>
          <w:rFonts w:hAnsi="標楷體" w:hint="eastAsia"/>
          <w:szCs w:val="20"/>
        </w:rPr>
        <w:t>新臺馬與拖船之間的協調與溝通不足，導致雙方對於操作認知產生落差，未能及時採取有效避讓行為，影響</w:t>
      </w:r>
      <w:proofErr w:type="gramStart"/>
      <w:r w:rsidRPr="0070737E">
        <w:rPr>
          <w:rFonts w:hAnsi="標楷體" w:hint="eastAsia"/>
          <w:szCs w:val="20"/>
        </w:rPr>
        <w:t>雙方</w:t>
      </w:r>
      <w:r w:rsidR="00D01C1E">
        <w:rPr>
          <w:rFonts w:hAnsi="標楷體" w:hint="eastAsia"/>
          <w:szCs w:val="20"/>
        </w:rPr>
        <w:t>離靠</w:t>
      </w:r>
      <w:proofErr w:type="gramEnd"/>
      <w:r w:rsidR="00D01C1E">
        <w:rPr>
          <w:rFonts w:hAnsi="標楷體" w:hint="eastAsia"/>
          <w:szCs w:val="20"/>
        </w:rPr>
        <w:t>泊</w:t>
      </w:r>
      <w:r w:rsidRPr="0070737E">
        <w:rPr>
          <w:rFonts w:hAnsi="標楷體" w:hint="eastAsia"/>
          <w:szCs w:val="20"/>
        </w:rPr>
        <w:t>作業之協調與安全性，且</w:t>
      </w:r>
      <w:r w:rsidR="00B73F54" w:rsidRPr="0070737E">
        <w:rPr>
          <w:rFonts w:hAnsi="標楷體" w:hint="eastAsia"/>
          <w:szCs w:val="20"/>
        </w:rPr>
        <w:t>由新臺馬於當日9</w:t>
      </w:r>
      <w:r w:rsidR="00D97518">
        <w:rPr>
          <w:rFonts w:hAnsi="標楷體" w:hint="eastAsia"/>
          <w:szCs w:val="20"/>
        </w:rPr>
        <w:t>時</w:t>
      </w:r>
      <w:r w:rsidR="00D97518" w:rsidRPr="0070737E">
        <w:rPr>
          <w:rFonts w:hAnsi="標楷體" w:hint="eastAsia"/>
          <w:szCs w:val="20"/>
        </w:rPr>
        <w:t>52</w:t>
      </w:r>
      <w:r w:rsidR="00D97518">
        <w:rPr>
          <w:rFonts w:hAnsi="標楷體" w:hint="eastAsia"/>
          <w:szCs w:val="20"/>
        </w:rPr>
        <w:t>分</w:t>
      </w:r>
      <w:r w:rsidR="00B73F54" w:rsidRPr="0070737E">
        <w:rPr>
          <w:rFonts w:hAnsi="標楷體" w:hint="eastAsia"/>
          <w:szCs w:val="20"/>
        </w:rPr>
        <w:t>始告知拖船離開船艉，而碰撞發生於9</w:t>
      </w:r>
      <w:r w:rsidR="00D97518" w:rsidRPr="0070737E">
        <w:rPr>
          <w:rFonts w:hAnsi="標楷體" w:hint="eastAsia"/>
          <w:szCs w:val="20"/>
        </w:rPr>
        <w:t>時</w:t>
      </w:r>
      <w:r w:rsidR="00B73F54" w:rsidRPr="0070737E">
        <w:rPr>
          <w:rFonts w:hAnsi="標楷體" w:hint="eastAsia"/>
          <w:szCs w:val="20"/>
        </w:rPr>
        <w:t>53</w:t>
      </w:r>
      <w:r w:rsidR="00D97518">
        <w:rPr>
          <w:rFonts w:hAnsi="標楷體" w:hint="eastAsia"/>
          <w:szCs w:val="20"/>
        </w:rPr>
        <w:t>分</w:t>
      </w:r>
      <w:r w:rsidR="00B73F54" w:rsidRPr="0070737E">
        <w:rPr>
          <w:rFonts w:hAnsi="標楷體" w:hint="eastAsia"/>
          <w:szCs w:val="20"/>
        </w:rPr>
        <w:t>，時間間隔極短，顯見新臺馬</w:t>
      </w:r>
      <w:r w:rsidRPr="0070737E">
        <w:rPr>
          <w:rFonts w:hAnsi="標楷體" w:hint="eastAsia"/>
          <w:szCs w:val="20"/>
        </w:rPr>
        <w:t>於事故發生前告知</w:t>
      </w:r>
      <w:r w:rsidR="00B73F54" w:rsidRPr="0070737E">
        <w:rPr>
          <w:rFonts w:hAnsi="標楷體" w:hint="eastAsia"/>
          <w:szCs w:val="20"/>
        </w:rPr>
        <w:t>臺港13302號</w:t>
      </w:r>
      <w:r w:rsidRPr="0070737E">
        <w:rPr>
          <w:rFonts w:hAnsi="標楷體" w:hint="eastAsia"/>
          <w:szCs w:val="20"/>
        </w:rPr>
        <w:t>時間</w:t>
      </w:r>
      <w:proofErr w:type="gramStart"/>
      <w:r w:rsidRPr="0070737E">
        <w:rPr>
          <w:rFonts w:hAnsi="標楷體" w:hint="eastAsia"/>
          <w:szCs w:val="20"/>
        </w:rPr>
        <w:t>稍嫌過</w:t>
      </w:r>
      <w:proofErr w:type="gramEnd"/>
      <w:r w:rsidR="00397F4A">
        <w:rPr>
          <w:rFonts w:hAnsi="標楷體" w:hint="eastAsia"/>
          <w:szCs w:val="20"/>
        </w:rPr>
        <w:t>遲</w:t>
      </w:r>
      <w:r w:rsidRPr="0070737E">
        <w:rPr>
          <w:rFonts w:hAnsi="標楷體" w:hint="eastAsia"/>
          <w:szCs w:val="20"/>
        </w:rPr>
        <w:t>，亦為事故發生的潛在原因之一。</w:t>
      </w:r>
      <w:r w:rsidR="00E13B4E">
        <w:rPr>
          <w:rFonts w:hAnsi="標楷體" w:hint="eastAsia"/>
          <w:szCs w:val="20"/>
        </w:rPr>
        <w:t>由上可知</w:t>
      </w:r>
      <w:r w:rsidRPr="0070737E">
        <w:rPr>
          <w:rFonts w:hAnsi="標楷體" w:hint="eastAsia"/>
          <w:szCs w:val="20"/>
        </w:rPr>
        <w:t>，新</w:t>
      </w:r>
      <w:proofErr w:type="gramStart"/>
      <w:r w:rsidRPr="0070737E">
        <w:rPr>
          <w:rFonts w:hAnsi="標楷體" w:hint="eastAsia"/>
          <w:szCs w:val="20"/>
        </w:rPr>
        <w:t>臺</w:t>
      </w:r>
      <w:proofErr w:type="gramEnd"/>
      <w:r w:rsidRPr="0070737E">
        <w:rPr>
          <w:rFonts w:hAnsi="標楷體" w:hint="eastAsia"/>
          <w:szCs w:val="20"/>
        </w:rPr>
        <w:t>馬船長雖</w:t>
      </w:r>
      <w:r w:rsidR="00C33585">
        <w:rPr>
          <w:rFonts w:hAnsi="標楷體" w:hint="eastAsia"/>
          <w:szCs w:val="20"/>
        </w:rPr>
        <w:t>於</w:t>
      </w:r>
      <w:r w:rsidRPr="0070737E">
        <w:rPr>
          <w:rFonts w:hAnsi="標楷體" w:hint="eastAsia"/>
          <w:szCs w:val="20"/>
        </w:rPr>
        <w:t>事故前</w:t>
      </w:r>
      <w:r w:rsidR="00C33585">
        <w:rPr>
          <w:rFonts w:hAnsi="標楷體" w:hint="eastAsia"/>
          <w:szCs w:val="20"/>
        </w:rPr>
        <w:t>即</w:t>
      </w:r>
      <w:r w:rsidRPr="0070737E">
        <w:rPr>
          <w:rFonts w:hAnsi="標楷體" w:hint="eastAsia"/>
          <w:szCs w:val="20"/>
        </w:rPr>
        <w:t>發現臺港13302號事故船長在控制船位方面存</w:t>
      </w:r>
      <w:r w:rsidR="00C33585">
        <w:rPr>
          <w:rFonts w:hAnsi="標楷體" w:hint="eastAsia"/>
          <w:szCs w:val="20"/>
        </w:rPr>
        <w:t>有</w:t>
      </w:r>
      <w:r w:rsidRPr="0070737E">
        <w:rPr>
          <w:rFonts w:hAnsi="標楷體" w:hint="eastAsia"/>
          <w:szCs w:val="20"/>
        </w:rPr>
        <w:t>異常狀況，</w:t>
      </w:r>
      <w:r w:rsidR="00CA1154" w:rsidRPr="0070737E">
        <w:rPr>
          <w:rFonts w:hAnsi="標楷體" w:hint="eastAsia"/>
          <w:szCs w:val="20"/>
        </w:rPr>
        <w:t>卻</w:t>
      </w:r>
      <w:r w:rsidRPr="0070737E">
        <w:rPr>
          <w:rFonts w:hAnsi="標楷體" w:hint="eastAsia"/>
          <w:szCs w:val="20"/>
        </w:rPr>
        <w:t>未與其討論進出港操作計畫</w:t>
      </w:r>
      <w:r w:rsidR="00CA1154" w:rsidRPr="0070737E">
        <w:rPr>
          <w:rFonts w:hAnsi="標楷體" w:hint="eastAsia"/>
          <w:szCs w:val="20"/>
        </w:rPr>
        <w:t>，且</w:t>
      </w:r>
      <w:r w:rsidRPr="0070737E">
        <w:rPr>
          <w:rFonts w:hAnsi="標楷體" w:hint="eastAsia"/>
          <w:szCs w:val="20"/>
        </w:rPr>
        <w:t>鑑於商船與拖船船長更換係為航運作業中之常態，</w:t>
      </w:r>
      <w:proofErr w:type="gramStart"/>
      <w:r w:rsidR="00C33585">
        <w:rPr>
          <w:rFonts w:hAnsi="標楷體" w:hint="eastAsia"/>
          <w:szCs w:val="20"/>
        </w:rPr>
        <w:t>當</w:t>
      </w:r>
      <w:r w:rsidRPr="0070737E">
        <w:rPr>
          <w:rFonts w:hAnsi="標楷體" w:hint="eastAsia"/>
          <w:szCs w:val="20"/>
        </w:rPr>
        <w:t>靠泊</w:t>
      </w:r>
      <w:proofErr w:type="gramEnd"/>
      <w:r w:rsidRPr="0070737E">
        <w:rPr>
          <w:rFonts w:hAnsi="標楷體" w:hint="eastAsia"/>
          <w:szCs w:val="20"/>
        </w:rPr>
        <w:t>福澳港之商船及拖船更換船長，或雙方操作出現異常情況時，應相互通知並及時與港務處溝通</w:t>
      </w:r>
      <w:r w:rsidR="003054DE" w:rsidRPr="0070737E">
        <w:rPr>
          <w:rFonts w:hAnsi="標楷體" w:hint="eastAsia"/>
          <w:szCs w:val="20"/>
        </w:rPr>
        <w:t>。</w:t>
      </w:r>
      <w:r w:rsidR="00CA1154" w:rsidRPr="0070737E">
        <w:rPr>
          <w:rFonts w:hAnsi="標楷體" w:hint="eastAsia"/>
          <w:szCs w:val="20"/>
        </w:rPr>
        <w:t>連江縣政府</w:t>
      </w:r>
      <w:r w:rsidRPr="0070737E">
        <w:rPr>
          <w:rFonts w:hAnsi="標楷體" w:hint="eastAsia"/>
          <w:szCs w:val="20"/>
        </w:rPr>
        <w:t>允應檢討建立完善的溝通平台、標準流程與更早進行預警，將有助於降低</w:t>
      </w:r>
      <w:proofErr w:type="gramStart"/>
      <w:r w:rsidRPr="0070737E">
        <w:rPr>
          <w:rFonts w:hAnsi="標楷體" w:hint="eastAsia"/>
          <w:szCs w:val="20"/>
        </w:rPr>
        <w:t>船舶</w:t>
      </w:r>
      <w:r w:rsidR="006F3D05">
        <w:rPr>
          <w:rFonts w:hAnsi="標楷體" w:hint="eastAsia"/>
          <w:szCs w:val="20"/>
        </w:rPr>
        <w:t>離靠</w:t>
      </w:r>
      <w:r w:rsidRPr="0070737E">
        <w:rPr>
          <w:rFonts w:hAnsi="標楷體" w:hint="eastAsia"/>
          <w:szCs w:val="20"/>
        </w:rPr>
        <w:t>碼頭</w:t>
      </w:r>
      <w:proofErr w:type="gramEnd"/>
      <w:r w:rsidRPr="0070737E">
        <w:rPr>
          <w:rFonts w:hAnsi="標楷體" w:hint="eastAsia"/>
          <w:szCs w:val="20"/>
        </w:rPr>
        <w:t>作業之風險。</w:t>
      </w:r>
    </w:p>
    <w:p w:rsidR="008C638F" w:rsidRPr="0070737E" w:rsidRDefault="00C33585" w:rsidP="009B5AA7">
      <w:pPr>
        <w:pStyle w:val="3"/>
        <w:overflowPunct w:val="0"/>
        <w:ind w:left="1344"/>
        <w:rPr>
          <w:rFonts w:hAnsi="標楷體"/>
          <w:szCs w:val="20"/>
        </w:rPr>
      </w:pPr>
      <w:r>
        <w:rPr>
          <w:rFonts w:hAnsi="標楷體" w:hint="eastAsia"/>
          <w:szCs w:val="20"/>
        </w:rPr>
        <w:t>再</w:t>
      </w:r>
      <w:r w:rsidR="008C638F" w:rsidRPr="0070737E">
        <w:rPr>
          <w:rFonts w:hAnsi="標楷體" w:hint="eastAsia"/>
          <w:szCs w:val="20"/>
        </w:rPr>
        <w:t>據商港法第13條規定略</w:t>
      </w:r>
      <w:proofErr w:type="gramStart"/>
      <w:r w:rsidR="008C638F" w:rsidRPr="0070737E">
        <w:rPr>
          <w:rFonts w:hAnsi="標楷體" w:hint="eastAsia"/>
          <w:szCs w:val="20"/>
        </w:rPr>
        <w:t>以</w:t>
      </w:r>
      <w:proofErr w:type="gramEnd"/>
      <w:r w:rsidR="008C638F" w:rsidRPr="0070737E">
        <w:rPr>
          <w:rFonts w:hAnsi="標楷體" w:hint="eastAsia"/>
          <w:szCs w:val="20"/>
        </w:rPr>
        <w:t>，商港區域內之沉船、物資、漂流物，其打撈、清除應經商港經營事業機構、航港局或指定機關同意；所有人不依商港經營事業機構、航港局或指定機關公告或通知之限期打撈、清除者，由商港經營事業機構、航港局或指定機關打撈、清除。依海難災害防救業務計畫第六章各機關個別實施災害緊急應變辦理事項十七、直轄市、縣(市)政府之(</w:t>
      </w:r>
      <w:proofErr w:type="gramStart"/>
      <w:r w:rsidR="008C638F" w:rsidRPr="0070737E">
        <w:rPr>
          <w:rFonts w:hAnsi="標楷體" w:hint="eastAsia"/>
          <w:szCs w:val="20"/>
        </w:rPr>
        <w:t>一</w:t>
      </w:r>
      <w:proofErr w:type="gramEnd"/>
      <w:r w:rsidR="008C638F" w:rsidRPr="0070737E">
        <w:rPr>
          <w:rFonts w:hAnsi="標楷體" w:hint="eastAsia"/>
          <w:szCs w:val="20"/>
        </w:rPr>
        <w:t>)執行所轄港口及轄內遊憩區海難災害應變措施有關事項及(二)依據海洋污染防治及相關法規督導及辦理轄管港口(漁港、商港、遊艇港)船舶海洋污染應變。故此，連江縣政府得就</w:t>
      </w:r>
      <w:proofErr w:type="gramStart"/>
      <w:r w:rsidR="008C638F" w:rsidRPr="0070737E">
        <w:rPr>
          <w:rFonts w:hAnsi="標楷體" w:hint="eastAsia"/>
          <w:szCs w:val="20"/>
        </w:rPr>
        <w:t>所轄港區</w:t>
      </w:r>
      <w:proofErr w:type="gramEnd"/>
      <w:r w:rsidR="008C638F" w:rsidRPr="0070737E">
        <w:rPr>
          <w:rFonts w:hAnsi="標楷體" w:hint="eastAsia"/>
          <w:szCs w:val="20"/>
        </w:rPr>
        <w:t>內發生船舶碰撞及沉船事故依上述海難災害防救業務計畫相關內容，妥為建立相關應變機制並預為因應。</w:t>
      </w:r>
    </w:p>
    <w:p w:rsidR="008C638F" w:rsidRPr="0070737E" w:rsidRDefault="008C638F" w:rsidP="009B5AA7">
      <w:pPr>
        <w:pStyle w:val="3"/>
        <w:overflowPunct w:val="0"/>
        <w:ind w:left="1344"/>
        <w:rPr>
          <w:rFonts w:hAnsi="標楷體"/>
          <w:szCs w:val="20"/>
        </w:rPr>
      </w:pPr>
      <w:r w:rsidRPr="0070737E">
        <w:rPr>
          <w:rFonts w:hAnsi="標楷體" w:hint="eastAsia"/>
          <w:szCs w:val="20"/>
        </w:rPr>
        <w:t>經查，當日發生事故</w:t>
      </w:r>
      <w:r w:rsidR="004044BF" w:rsidRPr="0070737E">
        <w:rPr>
          <w:rFonts w:hAnsi="標楷體" w:hint="eastAsia"/>
          <w:szCs w:val="20"/>
        </w:rPr>
        <w:t>後</w:t>
      </w:r>
      <w:r w:rsidRPr="0070737E">
        <w:rPr>
          <w:rFonts w:hAnsi="標楷體" w:hint="eastAsia"/>
          <w:szCs w:val="20"/>
        </w:rPr>
        <w:t>，</w:t>
      </w:r>
      <w:bookmarkStart w:id="66" w:name="_Hlk203556480"/>
      <w:r w:rsidRPr="0070737E">
        <w:rPr>
          <w:rFonts w:hAnsi="標楷體" w:hint="eastAsia"/>
          <w:szCs w:val="20"/>
        </w:rPr>
        <w:t>連江縣政府</w:t>
      </w:r>
      <w:bookmarkEnd w:id="66"/>
      <w:r w:rsidRPr="0070737E">
        <w:rPr>
          <w:rFonts w:hAnsi="標楷體" w:hint="eastAsia"/>
          <w:szCs w:val="20"/>
        </w:rPr>
        <w:t>便立即施放攔</w:t>
      </w:r>
      <w:r w:rsidRPr="0070737E">
        <w:rPr>
          <w:rFonts w:hAnsi="標楷體" w:hint="eastAsia"/>
          <w:szCs w:val="20"/>
        </w:rPr>
        <w:lastRenderedPageBreak/>
        <w:t>油索及吸油設備避免災情擴大，</w:t>
      </w:r>
      <w:proofErr w:type="gramStart"/>
      <w:r w:rsidRPr="0070737E">
        <w:rPr>
          <w:rFonts w:hAnsi="標楷體" w:hint="eastAsia"/>
          <w:szCs w:val="20"/>
        </w:rPr>
        <w:t>臺</w:t>
      </w:r>
      <w:proofErr w:type="gramEnd"/>
      <w:r w:rsidRPr="0070737E">
        <w:rPr>
          <w:rFonts w:hAnsi="標楷體" w:hint="eastAsia"/>
          <w:szCs w:val="20"/>
        </w:rPr>
        <w:t>港勤</w:t>
      </w:r>
      <w:r w:rsidR="004044BF" w:rsidRPr="0070737E">
        <w:rPr>
          <w:rFonts w:hAnsi="標楷體" w:hint="eastAsia"/>
          <w:szCs w:val="20"/>
        </w:rPr>
        <w:t>於當日</w:t>
      </w:r>
      <w:r w:rsidRPr="0070737E">
        <w:rPr>
          <w:rFonts w:hAnsi="標楷體" w:hint="eastAsia"/>
          <w:szCs w:val="20"/>
        </w:rPr>
        <w:t>下午4時派專業潛水人員進行水下</w:t>
      </w:r>
      <w:proofErr w:type="gramStart"/>
      <w:r w:rsidRPr="0070737E">
        <w:rPr>
          <w:rFonts w:hAnsi="標楷體" w:hint="eastAsia"/>
          <w:szCs w:val="20"/>
        </w:rPr>
        <w:t>各艙櫃</w:t>
      </w:r>
      <w:proofErr w:type="gramEnd"/>
      <w:r w:rsidRPr="0070737E">
        <w:rPr>
          <w:rFonts w:hAnsi="標楷體" w:hint="eastAsia"/>
          <w:szCs w:val="20"/>
        </w:rPr>
        <w:t>及油路封堵，避免</w:t>
      </w:r>
      <w:r w:rsidR="006A3B13">
        <w:rPr>
          <w:rFonts w:hAnsi="標楷體" w:hint="eastAsia"/>
          <w:szCs w:val="20"/>
        </w:rPr>
        <w:t>油污</w:t>
      </w:r>
      <w:r w:rsidRPr="0070737E">
        <w:rPr>
          <w:rFonts w:hAnsi="標楷體" w:hint="eastAsia"/>
          <w:szCs w:val="20"/>
        </w:rPr>
        <w:t>滲漏。</w:t>
      </w:r>
      <w:proofErr w:type="gramStart"/>
      <w:r w:rsidRPr="0070737E">
        <w:rPr>
          <w:rFonts w:hAnsi="標楷體" w:hint="eastAsia"/>
          <w:szCs w:val="20"/>
        </w:rPr>
        <w:t>嗣</w:t>
      </w:r>
      <w:proofErr w:type="gramEnd"/>
      <w:r w:rsidRPr="0070737E">
        <w:rPr>
          <w:rFonts w:hAnsi="標楷體" w:hint="eastAsia"/>
          <w:szCs w:val="20"/>
        </w:rPr>
        <w:t>於1</w:t>
      </w:r>
      <w:r w:rsidRPr="0070737E">
        <w:rPr>
          <w:rFonts w:hAnsi="標楷體"/>
          <w:szCs w:val="20"/>
        </w:rPr>
        <w:t>12</w:t>
      </w:r>
      <w:r w:rsidRPr="0070737E">
        <w:rPr>
          <w:rFonts w:hAnsi="標楷體" w:hint="eastAsia"/>
          <w:szCs w:val="20"/>
        </w:rPr>
        <w:t>年1</w:t>
      </w:r>
      <w:r w:rsidRPr="0070737E">
        <w:rPr>
          <w:rFonts w:hAnsi="標楷體"/>
          <w:szCs w:val="20"/>
        </w:rPr>
        <w:t>0</w:t>
      </w:r>
      <w:r w:rsidRPr="0070737E">
        <w:rPr>
          <w:rFonts w:hAnsi="標楷體" w:hint="eastAsia"/>
          <w:szCs w:val="20"/>
        </w:rPr>
        <w:t>月26日臺港勤委託業者抵達馬祖進行</w:t>
      </w:r>
      <w:proofErr w:type="gramStart"/>
      <w:r w:rsidRPr="0070737E">
        <w:rPr>
          <w:rFonts w:hAnsi="標楷體" w:hint="eastAsia"/>
          <w:szCs w:val="20"/>
        </w:rPr>
        <w:t>殘油</w:t>
      </w:r>
      <w:proofErr w:type="gramEnd"/>
      <w:r w:rsidRPr="0070737E">
        <w:rPr>
          <w:rFonts w:hAnsi="標楷體" w:hint="eastAsia"/>
          <w:szCs w:val="20"/>
        </w:rPr>
        <w:t>抽除及船體打撈，同月28</w:t>
      </w:r>
      <w:r w:rsidR="004044BF" w:rsidRPr="0070737E">
        <w:rPr>
          <w:rFonts w:hAnsi="標楷體" w:hint="eastAsia"/>
          <w:szCs w:val="20"/>
        </w:rPr>
        <w:t>至</w:t>
      </w:r>
      <w:r w:rsidRPr="0070737E">
        <w:rPr>
          <w:rFonts w:hAnsi="標楷體" w:hint="eastAsia"/>
          <w:szCs w:val="20"/>
        </w:rPr>
        <w:t>30日進行</w:t>
      </w:r>
      <w:proofErr w:type="gramStart"/>
      <w:r w:rsidRPr="0070737E">
        <w:rPr>
          <w:rFonts w:hAnsi="標楷體" w:hint="eastAsia"/>
          <w:szCs w:val="20"/>
        </w:rPr>
        <w:t>殘油抽除</w:t>
      </w:r>
      <w:proofErr w:type="gramEnd"/>
      <w:r w:rsidRPr="0070737E">
        <w:rPr>
          <w:rFonts w:hAnsi="標楷體" w:hint="eastAsia"/>
          <w:szCs w:val="20"/>
        </w:rPr>
        <w:t>並進行第三方公正單位確認</w:t>
      </w:r>
      <w:proofErr w:type="gramStart"/>
      <w:r w:rsidRPr="0070737E">
        <w:rPr>
          <w:rFonts w:hAnsi="標楷體" w:hint="eastAsia"/>
          <w:szCs w:val="20"/>
        </w:rPr>
        <w:t>殘油</w:t>
      </w:r>
      <w:proofErr w:type="gramEnd"/>
      <w:r w:rsidRPr="0070737E">
        <w:rPr>
          <w:rFonts w:hAnsi="標楷體" w:hint="eastAsia"/>
          <w:szCs w:val="20"/>
        </w:rPr>
        <w:t>抽除完成，直至</w:t>
      </w:r>
      <w:r w:rsidR="00F46C83">
        <w:rPr>
          <w:rFonts w:hAnsi="標楷體" w:hint="eastAsia"/>
        </w:rPr>
        <w:t>沉</w:t>
      </w:r>
      <w:r w:rsidRPr="0070737E">
        <w:rPr>
          <w:rFonts w:hAnsi="標楷體" w:hint="eastAsia"/>
          <w:szCs w:val="20"/>
        </w:rPr>
        <w:t>船離開馬祖前，臺港勤每日早晚</w:t>
      </w:r>
      <w:r w:rsidR="00C33585">
        <w:rPr>
          <w:rFonts w:hAnsi="標楷體" w:hint="eastAsia"/>
          <w:szCs w:val="20"/>
        </w:rPr>
        <w:t>均</w:t>
      </w:r>
      <w:r w:rsidRPr="0070737E">
        <w:rPr>
          <w:rFonts w:hAnsi="標楷體" w:hint="eastAsia"/>
          <w:szCs w:val="20"/>
        </w:rPr>
        <w:t>安排小船進行吸油棉、攔油索的清除、更換。有關本案</w:t>
      </w:r>
      <w:proofErr w:type="gramStart"/>
      <w:r w:rsidRPr="0070737E">
        <w:rPr>
          <w:rFonts w:hAnsi="標楷體" w:hint="eastAsia"/>
          <w:szCs w:val="20"/>
        </w:rPr>
        <w:t>沉</w:t>
      </w:r>
      <w:proofErr w:type="gramEnd"/>
      <w:r w:rsidRPr="0070737E">
        <w:rPr>
          <w:rFonts w:hAnsi="標楷體" w:hint="eastAsia"/>
          <w:szCs w:val="20"/>
        </w:rPr>
        <w:t>船事故產生之海上油污染處理情形，查案發當時事故船船上所存油量為柴油約32公秉（</w:t>
      </w:r>
      <w:r w:rsidR="004044BF" w:rsidRPr="0070737E">
        <w:rPr>
          <w:rFonts w:hAnsi="標楷體" w:hint="eastAsia"/>
          <w:szCs w:val="20"/>
        </w:rPr>
        <w:t>1公秉＝</w:t>
      </w:r>
      <w:r w:rsidRPr="0070737E">
        <w:rPr>
          <w:rFonts w:hAnsi="標楷體" w:hint="eastAsia"/>
          <w:szCs w:val="20"/>
        </w:rPr>
        <w:t>1,000公升），潤滑油約1公秉，</w:t>
      </w:r>
      <w:r w:rsidR="00C33585">
        <w:rPr>
          <w:rFonts w:hAnsi="標楷體" w:hint="eastAsia"/>
          <w:szCs w:val="20"/>
        </w:rPr>
        <w:t>事故發生後</w:t>
      </w:r>
      <w:r w:rsidRPr="0070737E">
        <w:rPr>
          <w:rFonts w:hAnsi="標楷體" w:hint="eastAsia"/>
          <w:szCs w:val="20"/>
        </w:rPr>
        <w:t>第一時間</w:t>
      </w:r>
      <w:r w:rsidR="00C33585">
        <w:rPr>
          <w:rFonts w:hAnsi="標楷體" w:hint="eastAsia"/>
          <w:szCs w:val="20"/>
        </w:rPr>
        <w:t>經</w:t>
      </w:r>
      <w:r w:rsidRPr="0070737E">
        <w:rPr>
          <w:rFonts w:hAnsi="標楷體" w:hint="eastAsia"/>
          <w:szCs w:val="20"/>
        </w:rPr>
        <w:t>連江縣政府會同臺港勤及海巡機關等相關單位已就</w:t>
      </w:r>
      <w:r w:rsidR="00F46C83">
        <w:rPr>
          <w:rFonts w:hAnsi="標楷體" w:hint="eastAsia"/>
        </w:rPr>
        <w:t>沉</w:t>
      </w:r>
      <w:r w:rsidRPr="0070737E">
        <w:rPr>
          <w:rFonts w:hAnsi="標楷體" w:hint="eastAsia"/>
          <w:szCs w:val="20"/>
        </w:rPr>
        <w:t>船周圍</w:t>
      </w:r>
      <w:proofErr w:type="gramStart"/>
      <w:r w:rsidRPr="0070737E">
        <w:rPr>
          <w:rFonts w:hAnsi="標楷體" w:hint="eastAsia"/>
          <w:szCs w:val="20"/>
        </w:rPr>
        <w:t>布放欄</w:t>
      </w:r>
      <w:proofErr w:type="gramEnd"/>
      <w:r w:rsidRPr="0070737E">
        <w:rPr>
          <w:rFonts w:hAnsi="標楷體" w:hint="eastAsia"/>
          <w:szCs w:val="20"/>
        </w:rPr>
        <w:t>油索，並即時以吸油棉吸取漂浮</w:t>
      </w:r>
      <w:proofErr w:type="gramStart"/>
      <w:r w:rsidRPr="0070737E">
        <w:rPr>
          <w:rFonts w:hAnsi="標楷體" w:hint="eastAsia"/>
          <w:szCs w:val="20"/>
        </w:rPr>
        <w:t>於欄油索內之殘油，</w:t>
      </w:r>
      <w:proofErr w:type="gramEnd"/>
      <w:r w:rsidRPr="0070737E">
        <w:rPr>
          <w:rFonts w:hAnsi="標楷體" w:hint="eastAsia"/>
          <w:szCs w:val="20"/>
        </w:rPr>
        <w:t>爰產生海上油污染之情事相當有限。依據中華海事檢定社股份有限公司112年9月1日檢定報告書結論：自</w:t>
      </w:r>
      <w:proofErr w:type="gramStart"/>
      <w:r w:rsidRPr="0070737E">
        <w:rPr>
          <w:rFonts w:hAnsi="標楷體" w:hint="eastAsia"/>
          <w:szCs w:val="20"/>
        </w:rPr>
        <w:t>臺</w:t>
      </w:r>
      <w:proofErr w:type="gramEnd"/>
      <w:r w:rsidRPr="0070737E">
        <w:rPr>
          <w:rFonts w:hAnsi="標楷體" w:hint="eastAsia"/>
          <w:szCs w:val="20"/>
        </w:rPr>
        <w:t>港13302號港勤拖船抽出船用柴油、潤滑油與海水混合共計約30.592公秉，與</w:t>
      </w:r>
      <w:r w:rsidR="00F46C83">
        <w:rPr>
          <w:rFonts w:hAnsi="標楷體" w:hint="eastAsia"/>
        </w:rPr>
        <w:t>沉</w:t>
      </w:r>
      <w:r w:rsidRPr="0070737E">
        <w:rPr>
          <w:rFonts w:hAnsi="標楷體" w:hint="eastAsia"/>
          <w:szCs w:val="20"/>
        </w:rPr>
        <w:t>船原於船上之數量(約32公秉)間之差異非常小，據此，似可推定對海洋環境生態所造成之影響</w:t>
      </w:r>
      <w:proofErr w:type="gramStart"/>
      <w:r w:rsidRPr="0070737E">
        <w:rPr>
          <w:rFonts w:hAnsi="標楷體" w:hint="eastAsia"/>
          <w:szCs w:val="20"/>
        </w:rPr>
        <w:t>應屬甚</w:t>
      </w:r>
      <w:proofErr w:type="gramEnd"/>
      <w:r w:rsidRPr="0070737E">
        <w:rPr>
          <w:rFonts w:hAnsi="標楷體" w:hint="eastAsia"/>
          <w:szCs w:val="20"/>
        </w:rPr>
        <w:t>微。</w:t>
      </w:r>
      <w:proofErr w:type="gramStart"/>
      <w:r w:rsidRPr="0070737E">
        <w:rPr>
          <w:rFonts w:hAnsi="標楷體" w:hint="eastAsia"/>
          <w:szCs w:val="20"/>
        </w:rPr>
        <w:t>惟查</w:t>
      </w:r>
      <w:proofErr w:type="gramEnd"/>
      <w:r w:rsidRPr="0070737E">
        <w:rPr>
          <w:rFonts w:hAnsi="標楷體" w:hint="eastAsia"/>
          <w:szCs w:val="20"/>
        </w:rPr>
        <w:t>，海難事故發生後的緊急應變程序雖已啟動，但仍應持續檢討其效率與周延性，如油污控制措施</w:t>
      </w:r>
      <w:r w:rsidR="00C33585" w:rsidRPr="0070737E">
        <w:rPr>
          <w:rFonts w:hAnsi="標楷體" w:hint="eastAsia"/>
          <w:szCs w:val="20"/>
        </w:rPr>
        <w:t>能</w:t>
      </w:r>
      <w:r w:rsidRPr="0070737E">
        <w:rPr>
          <w:rFonts w:hAnsi="標楷體" w:hint="eastAsia"/>
          <w:szCs w:val="20"/>
        </w:rPr>
        <w:t>否在更短時間內更有效地執行，以減少油污的污染程度，如本案亦有千餘公升的油污外洩，及</w:t>
      </w:r>
      <w:proofErr w:type="gramStart"/>
      <w:r w:rsidRPr="0070737E">
        <w:rPr>
          <w:rFonts w:hAnsi="標楷體" w:hint="eastAsia"/>
          <w:szCs w:val="20"/>
        </w:rPr>
        <w:t>相關單位</w:t>
      </w:r>
      <w:r w:rsidR="00BD59F4" w:rsidRPr="0070737E">
        <w:rPr>
          <w:rFonts w:hAnsi="標楷體" w:hint="eastAsia"/>
          <w:szCs w:val="20"/>
        </w:rPr>
        <w:t>間</w:t>
      </w:r>
      <w:r w:rsidRPr="0070737E">
        <w:rPr>
          <w:rFonts w:hAnsi="標楷體" w:hint="eastAsia"/>
          <w:szCs w:val="20"/>
        </w:rPr>
        <w:t>的協</w:t>
      </w:r>
      <w:proofErr w:type="gramEnd"/>
      <w:r w:rsidRPr="0070737E">
        <w:rPr>
          <w:rFonts w:hAnsi="標楷體" w:hint="eastAsia"/>
          <w:szCs w:val="20"/>
        </w:rPr>
        <w:t>調與配合順暢等。</w:t>
      </w:r>
    </w:p>
    <w:p w:rsidR="008C638F" w:rsidRPr="0070737E" w:rsidRDefault="008C638F" w:rsidP="009B5AA7">
      <w:pPr>
        <w:pStyle w:val="3"/>
        <w:overflowPunct w:val="0"/>
        <w:ind w:left="1344"/>
        <w:rPr>
          <w:rFonts w:hAnsi="標楷體"/>
          <w:szCs w:val="20"/>
        </w:rPr>
      </w:pPr>
      <w:r w:rsidRPr="0070737E">
        <w:rPr>
          <w:rFonts w:hAnsi="標楷體"/>
          <w:szCs w:val="20"/>
        </w:rPr>
        <w:t>據</w:t>
      </w:r>
      <w:r w:rsidR="00BD59F4" w:rsidRPr="0070737E">
        <w:rPr>
          <w:rFonts w:hAnsi="標楷體" w:hint="eastAsia"/>
          <w:szCs w:val="20"/>
        </w:rPr>
        <w:t>連江縣政府函復</w:t>
      </w:r>
      <w:r w:rsidRPr="0070737E">
        <w:rPr>
          <w:rFonts w:hAnsi="標楷體"/>
          <w:szCs w:val="20"/>
        </w:rPr>
        <w:t>，</w:t>
      </w:r>
      <w:r w:rsidRPr="0070737E">
        <w:rPr>
          <w:rFonts w:hAnsi="標楷體" w:hint="eastAsia"/>
          <w:szCs w:val="20"/>
        </w:rPr>
        <w:t>港務處與</w:t>
      </w:r>
      <w:proofErr w:type="gramStart"/>
      <w:r w:rsidRPr="0070737E">
        <w:rPr>
          <w:rFonts w:hAnsi="標楷體" w:hint="eastAsia"/>
          <w:szCs w:val="20"/>
        </w:rPr>
        <w:t>臺</w:t>
      </w:r>
      <w:proofErr w:type="gramEnd"/>
      <w:r w:rsidRPr="0070737E">
        <w:rPr>
          <w:rFonts w:hAnsi="標楷體" w:hint="eastAsia"/>
          <w:szCs w:val="20"/>
        </w:rPr>
        <w:t>港勤每年</w:t>
      </w:r>
      <w:r w:rsidR="00C33585">
        <w:rPr>
          <w:rFonts w:hAnsi="標楷體" w:hint="eastAsia"/>
          <w:szCs w:val="20"/>
        </w:rPr>
        <w:t>召開</w:t>
      </w:r>
      <w:r w:rsidRPr="0070737E">
        <w:rPr>
          <w:rFonts w:hAnsi="標楷體" w:hint="eastAsia"/>
          <w:szCs w:val="20"/>
        </w:rPr>
        <w:t>2次定期檢討會議及不定期會議，作為溝通平台，完善船舶</w:t>
      </w:r>
      <w:proofErr w:type="gramStart"/>
      <w:r w:rsidRPr="0070737E">
        <w:rPr>
          <w:rFonts w:hAnsi="標楷體" w:hint="eastAsia"/>
          <w:szCs w:val="20"/>
        </w:rPr>
        <w:t>間與岸</w:t>
      </w:r>
      <w:proofErr w:type="gramEnd"/>
      <w:r w:rsidRPr="0070737E">
        <w:rPr>
          <w:rFonts w:hAnsi="標楷體" w:hint="eastAsia"/>
          <w:szCs w:val="20"/>
        </w:rPr>
        <w:t>臺間人員協調事宜，另將檢討並更新「拖船於馬祖港口</w:t>
      </w:r>
      <w:proofErr w:type="gramStart"/>
      <w:r w:rsidRPr="0070737E">
        <w:rPr>
          <w:rFonts w:hAnsi="標楷體" w:hint="eastAsia"/>
          <w:szCs w:val="20"/>
        </w:rPr>
        <w:t>協助</w:t>
      </w:r>
      <w:r w:rsidR="00D01C1E">
        <w:rPr>
          <w:rFonts w:hAnsi="標楷體" w:hint="eastAsia"/>
          <w:szCs w:val="20"/>
        </w:rPr>
        <w:t>離靠</w:t>
      </w:r>
      <w:proofErr w:type="gramEnd"/>
      <w:r w:rsidR="00D01C1E">
        <w:rPr>
          <w:rFonts w:hAnsi="標楷體" w:hint="eastAsia"/>
          <w:szCs w:val="20"/>
        </w:rPr>
        <w:t>泊</w:t>
      </w:r>
      <w:r w:rsidRPr="0070737E">
        <w:rPr>
          <w:rFonts w:hAnsi="標楷體" w:hint="eastAsia"/>
          <w:szCs w:val="20"/>
        </w:rPr>
        <w:t>之標準作業程序」，由港務電台加強進出港船舶停泊管理，避免潛在風險引發航安事件；新</w:t>
      </w:r>
      <w:proofErr w:type="gramStart"/>
      <w:r w:rsidRPr="0070737E">
        <w:rPr>
          <w:rFonts w:hAnsi="標楷體" w:hint="eastAsia"/>
          <w:szCs w:val="20"/>
        </w:rPr>
        <w:t>臺</w:t>
      </w:r>
      <w:proofErr w:type="gramEnd"/>
      <w:r w:rsidRPr="0070737E">
        <w:rPr>
          <w:rFonts w:hAnsi="標楷體" w:hint="eastAsia"/>
          <w:szCs w:val="20"/>
        </w:rPr>
        <w:t>馬多次發現作業</w:t>
      </w:r>
      <w:proofErr w:type="gramStart"/>
      <w:r w:rsidRPr="0070737E">
        <w:rPr>
          <w:rFonts w:hAnsi="標楷體" w:hint="eastAsia"/>
          <w:szCs w:val="20"/>
        </w:rPr>
        <w:t>距離甚</w:t>
      </w:r>
      <w:proofErr w:type="gramEnd"/>
      <w:r w:rsidRPr="0070737E">
        <w:rPr>
          <w:rFonts w:hAnsi="標楷體" w:hint="eastAsia"/>
          <w:szCs w:val="20"/>
        </w:rPr>
        <w:t>近，但</w:t>
      </w:r>
      <w:r w:rsidR="00BA5F1C" w:rsidRPr="0070737E">
        <w:rPr>
          <w:rFonts w:hAnsi="標楷體" w:hint="eastAsia"/>
          <w:szCs w:val="20"/>
        </w:rPr>
        <w:lastRenderedPageBreak/>
        <w:t>該船長</w:t>
      </w:r>
      <w:r w:rsidRPr="0070737E">
        <w:rPr>
          <w:rFonts w:hAnsi="標楷體" w:hint="eastAsia"/>
          <w:szCs w:val="20"/>
        </w:rPr>
        <w:t>當下並未反映，後續航班申請將要求並提示船務代理相關聯繫資訊，</w:t>
      </w:r>
      <w:r w:rsidR="00BA5F1C" w:rsidRPr="0070737E">
        <w:rPr>
          <w:rFonts w:hAnsi="標楷體" w:hint="eastAsia"/>
          <w:szCs w:val="20"/>
        </w:rPr>
        <w:t>以</w:t>
      </w:r>
      <w:r w:rsidRPr="0070737E">
        <w:rPr>
          <w:rFonts w:hAnsi="標楷體" w:hint="eastAsia"/>
          <w:szCs w:val="20"/>
        </w:rPr>
        <w:t>確保</w:t>
      </w:r>
      <w:r w:rsidR="00BA5F1C" w:rsidRPr="0070737E">
        <w:rPr>
          <w:rFonts w:hAnsi="標楷體" w:hint="eastAsia"/>
          <w:szCs w:val="20"/>
        </w:rPr>
        <w:t>船舶間</w:t>
      </w:r>
      <w:r w:rsidRPr="0070737E">
        <w:rPr>
          <w:rFonts w:hAnsi="標楷體" w:hint="eastAsia"/>
          <w:szCs w:val="20"/>
        </w:rPr>
        <w:t>有效溝通。</w:t>
      </w:r>
    </w:p>
    <w:p w:rsidR="008C638F" w:rsidRPr="0070737E" w:rsidRDefault="008C638F" w:rsidP="009B5AA7">
      <w:pPr>
        <w:pStyle w:val="3"/>
        <w:overflowPunct w:val="0"/>
        <w:ind w:left="1344"/>
        <w:rPr>
          <w:rFonts w:hAnsi="標楷體"/>
          <w:szCs w:val="20"/>
        </w:rPr>
      </w:pPr>
      <w:r w:rsidRPr="0070737E">
        <w:rPr>
          <w:rFonts w:hAnsi="標楷體" w:hint="eastAsia"/>
          <w:szCs w:val="20"/>
        </w:rPr>
        <w:t>綜上，福澳港為連江縣港務處所管轄之國內商港，而新</w:t>
      </w:r>
      <w:proofErr w:type="gramStart"/>
      <w:r w:rsidRPr="0070737E">
        <w:rPr>
          <w:rFonts w:hAnsi="標楷體" w:hint="eastAsia"/>
          <w:szCs w:val="20"/>
        </w:rPr>
        <w:t>臺</w:t>
      </w:r>
      <w:proofErr w:type="gramEnd"/>
      <w:r w:rsidRPr="0070737E">
        <w:rPr>
          <w:rFonts w:hAnsi="標楷體" w:hint="eastAsia"/>
          <w:szCs w:val="20"/>
        </w:rPr>
        <w:t>馬為連江縣馬祖連江航業有限公司委外營運，福澳港內之相關事務可透過港務處進行協調處理</w:t>
      </w:r>
      <w:r w:rsidR="00953F51" w:rsidRPr="0070737E">
        <w:rPr>
          <w:rFonts w:hAnsi="標楷體" w:hint="eastAsia"/>
          <w:szCs w:val="20"/>
        </w:rPr>
        <w:t>，該府</w:t>
      </w:r>
      <w:r w:rsidRPr="0070737E">
        <w:rPr>
          <w:rFonts w:hAnsi="標楷體" w:hint="eastAsia"/>
          <w:szCs w:val="20"/>
        </w:rPr>
        <w:t>作為馬祖國內商港之經營管理機關，對於福澳港之港口管理及營運安全，應負起更全面的監督責任</w:t>
      </w:r>
      <w:r w:rsidR="007B54FD">
        <w:rPr>
          <w:rFonts w:hAnsi="標楷體" w:hint="eastAsia"/>
          <w:szCs w:val="20"/>
        </w:rPr>
        <w:t>。</w:t>
      </w:r>
      <w:r w:rsidRPr="0070737E">
        <w:rPr>
          <w:rFonts w:hAnsi="標楷體" w:hint="eastAsia"/>
          <w:szCs w:val="20"/>
        </w:rPr>
        <w:t>惟</w:t>
      </w:r>
      <w:r w:rsidR="00953F51" w:rsidRPr="0070737E">
        <w:rPr>
          <w:rFonts w:hAnsi="標楷體" w:hint="eastAsia"/>
          <w:szCs w:val="20"/>
        </w:rPr>
        <w:t>現行</w:t>
      </w:r>
      <w:r w:rsidRPr="0070737E">
        <w:rPr>
          <w:rFonts w:hAnsi="標楷體" w:hint="eastAsia"/>
          <w:szCs w:val="20"/>
        </w:rPr>
        <w:t>缺乏船舶</w:t>
      </w:r>
      <w:r w:rsidR="006F3D05">
        <w:rPr>
          <w:rFonts w:hAnsi="標楷體" w:hint="eastAsia"/>
          <w:szCs w:val="20"/>
        </w:rPr>
        <w:t>離靠</w:t>
      </w:r>
      <w:r w:rsidRPr="0070737E">
        <w:rPr>
          <w:rFonts w:hAnsi="標楷體" w:hint="eastAsia"/>
          <w:szCs w:val="20"/>
        </w:rPr>
        <w:t>碼頭作業之有效溝通機制，</w:t>
      </w:r>
      <w:r w:rsidR="007B54FD">
        <w:rPr>
          <w:rFonts w:hAnsi="標楷體" w:hint="eastAsia"/>
          <w:szCs w:val="20"/>
        </w:rPr>
        <w:t>將</w:t>
      </w:r>
      <w:r w:rsidRPr="0070737E">
        <w:rPr>
          <w:rFonts w:hAnsi="標楷體" w:hint="eastAsia"/>
          <w:szCs w:val="20"/>
        </w:rPr>
        <w:t>增加港口操作風險，且</w:t>
      </w:r>
      <w:r w:rsidR="00B73F54" w:rsidRPr="0070737E">
        <w:rPr>
          <w:rFonts w:hAnsi="標楷體" w:hint="eastAsia"/>
          <w:szCs w:val="20"/>
        </w:rPr>
        <w:t>新臺馬</w:t>
      </w:r>
      <w:r w:rsidRPr="0070737E">
        <w:rPr>
          <w:rFonts w:hAnsi="標楷體" w:hint="eastAsia"/>
          <w:szCs w:val="20"/>
        </w:rPr>
        <w:t>於事故發生前告知</w:t>
      </w:r>
      <w:r w:rsidR="00953F51" w:rsidRPr="0070737E">
        <w:rPr>
          <w:rFonts w:hAnsi="標楷體" w:hint="eastAsia"/>
          <w:szCs w:val="20"/>
        </w:rPr>
        <w:t>船舶</w:t>
      </w:r>
      <w:r w:rsidRPr="0070737E">
        <w:rPr>
          <w:rFonts w:hAnsi="標楷體" w:hint="eastAsia"/>
          <w:szCs w:val="20"/>
        </w:rPr>
        <w:t>間距過近之時點稍嫌過</w:t>
      </w:r>
      <w:r w:rsidR="00C33585">
        <w:rPr>
          <w:rFonts w:hAnsi="標楷體" w:hint="eastAsia"/>
          <w:szCs w:val="20"/>
        </w:rPr>
        <w:t>遲</w:t>
      </w:r>
      <w:r w:rsidRPr="0070737E">
        <w:rPr>
          <w:rFonts w:hAnsi="標楷體" w:hint="eastAsia"/>
          <w:szCs w:val="20"/>
        </w:rPr>
        <w:t>，</w:t>
      </w:r>
      <w:r w:rsidR="00C33585">
        <w:rPr>
          <w:rFonts w:hAnsi="標楷體" w:hint="eastAsia"/>
          <w:szCs w:val="20"/>
        </w:rPr>
        <w:t>致</w:t>
      </w:r>
      <w:r w:rsidRPr="0070737E">
        <w:rPr>
          <w:rFonts w:hAnsi="標楷體" w:hint="eastAsia"/>
          <w:szCs w:val="20"/>
        </w:rPr>
        <w:t>未能</w:t>
      </w:r>
      <w:r w:rsidR="00C33585">
        <w:rPr>
          <w:rFonts w:hAnsi="標楷體" w:hint="eastAsia"/>
          <w:szCs w:val="20"/>
        </w:rPr>
        <w:t>及時</w:t>
      </w:r>
      <w:r w:rsidRPr="0070737E">
        <w:rPr>
          <w:rFonts w:hAnsi="標楷體" w:hint="eastAsia"/>
          <w:szCs w:val="20"/>
        </w:rPr>
        <w:t>避免碰撞發生，又事故發生後的緊急應變程序雖已啟動，惟仍應持續檢討其效率與周延性，</w:t>
      </w:r>
      <w:r w:rsidR="00C33585">
        <w:rPr>
          <w:rFonts w:hAnsi="標楷體" w:hint="eastAsia"/>
          <w:szCs w:val="20"/>
        </w:rPr>
        <w:t>連江縣政府</w:t>
      </w:r>
      <w:r w:rsidRPr="0070737E">
        <w:rPr>
          <w:rFonts w:hAnsi="標楷體" w:hint="eastAsia"/>
          <w:szCs w:val="20"/>
        </w:rPr>
        <w:t>對福澳港管理營運仍有</w:t>
      </w:r>
      <w:r w:rsidR="00CE6CCA" w:rsidRPr="0070737E">
        <w:rPr>
          <w:rFonts w:hAnsi="標楷體" w:hint="eastAsia"/>
          <w:szCs w:val="20"/>
        </w:rPr>
        <w:t>提升之空間</w:t>
      </w:r>
      <w:r w:rsidRPr="0070737E">
        <w:rPr>
          <w:rFonts w:hAnsi="標楷體" w:hint="eastAsia"/>
          <w:szCs w:val="20"/>
        </w:rPr>
        <w:t>，允應檢討改善。</w:t>
      </w:r>
    </w:p>
    <w:p w:rsidR="008C638F" w:rsidRPr="0070737E" w:rsidRDefault="008C638F" w:rsidP="009B5AA7">
      <w:pPr>
        <w:pStyle w:val="2"/>
        <w:overflowPunct w:val="0"/>
        <w:ind w:left="1020" w:hanging="680"/>
        <w:rPr>
          <w:rFonts w:hAnsi="標楷體"/>
          <w:b/>
        </w:rPr>
      </w:pPr>
      <w:r w:rsidRPr="0070737E">
        <w:rPr>
          <w:rFonts w:hAnsi="標楷體" w:hint="eastAsia"/>
          <w:b/>
        </w:rPr>
        <w:t>航</w:t>
      </w:r>
      <w:proofErr w:type="gramStart"/>
      <w:r w:rsidRPr="0070737E">
        <w:rPr>
          <w:rFonts w:hAnsi="標楷體" w:hint="eastAsia"/>
          <w:b/>
        </w:rPr>
        <w:t>港局</w:t>
      </w:r>
      <w:r w:rsidR="007B4648" w:rsidRPr="0070737E">
        <w:rPr>
          <w:rFonts w:hAnsi="標楷體" w:hint="eastAsia"/>
          <w:b/>
        </w:rPr>
        <w:t>掌理</w:t>
      </w:r>
      <w:proofErr w:type="gramEnd"/>
      <w:r w:rsidRPr="0070737E">
        <w:rPr>
          <w:rFonts w:hAnsi="標楷體" w:hint="eastAsia"/>
          <w:b/>
        </w:rPr>
        <w:t>港口船舶進出管理及港勤拖船作業規範與監督，經統計109至112年度國籍船舶海事案件呈下降趨勢，惟與拖船有關者則逐年上升，分析拖船事故發生原因，主要類型為碰撞，且</w:t>
      </w:r>
      <w:proofErr w:type="gramStart"/>
      <w:r w:rsidRPr="0070737E">
        <w:rPr>
          <w:rFonts w:hAnsi="標楷體" w:hint="eastAsia"/>
          <w:b/>
        </w:rPr>
        <w:t>11</w:t>
      </w:r>
      <w:proofErr w:type="gramEnd"/>
      <w:r w:rsidRPr="0070737E">
        <w:rPr>
          <w:rFonts w:hAnsi="標楷體" w:hint="eastAsia"/>
          <w:b/>
        </w:rPr>
        <w:t>2年度9件拖船事故中，碰撞即有7件，占比高達77.78％，顯見</w:t>
      </w:r>
      <w:bookmarkStart w:id="67" w:name="_Hlk199428038"/>
      <w:r w:rsidRPr="0070737E">
        <w:rPr>
          <w:rFonts w:hAnsi="標楷體" w:hint="eastAsia"/>
          <w:b/>
        </w:rPr>
        <w:t>港勤拖船相關安全規範、船員技術及應變能力</w:t>
      </w:r>
      <w:bookmarkEnd w:id="67"/>
      <w:r w:rsidRPr="0070737E">
        <w:rPr>
          <w:rFonts w:hAnsi="標楷體" w:hint="eastAsia"/>
          <w:b/>
        </w:rPr>
        <w:t>等</w:t>
      </w:r>
      <w:r w:rsidR="00B578BF" w:rsidRPr="0070737E">
        <w:rPr>
          <w:rFonts w:hAnsi="標楷體" w:hint="eastAsia"/>
          <w:b/>
        </w:rPr>
        <w:t>仍</w:t>
      </w:r>
      <w:r w:rsidRPr="0070737E">
        <w:rPr>
          <w:rFonts w:hAnsi="標楷體" w:hint="eastAsia"/>
          <w:b/>
        </w:rPr>
        <w:t>有待加強，</w:t>
      </w:r>
      <w:r w:rsidR="00B578BF" w:rsidRPr="0070737E">
        <w:rPr>
          <w:rFonts w:hAnsi="標楷體" w:hint="eastAsia"/>
          <w:b/>
        </w:rPr>
        <w:t>允應檢討改善</w:t>
      </w:r>
      <w:r w:rsidRPr="0070737E">
        <w:rPr>
          <w:rFonts w:hAnsi="標楷體" w:hint="eastAsia"/>
          <w:b/>
        </w:rPr>
        <w:t>。</w:t>
      </w:r>
    </w:p>
    <w:p w:rsidR="008C638F" w:rsidRPr="0070737E" w:rsidRDefault="008C638F" w:rsidP="009B5AA7">
      <w:pPr>
        <w:pStyle w:val="3"/>
        <w:overflowPunct w:val="0"/>
        <w:ind w:left="1344"/>
        <w:rPr>
          <w:rFonts w:hAnsi="標楷體"/>
          <w:szCs w:val="20"/>
        </w:rPr>
      </w:pPr>
      <w:r w:rsidRPr="0070737E">
        <w:rPr>
          <w:rFonts w:hAnsi="標楷體" w:hint="eastAsia"/>
          <w:szCs w:val="20"/>
        </w:rPr>
        <w:t>依交通部航港局組織法第</w:t>
      </w:r>
      <w:r w:rsidRPr="0070737E">
        <w:rPr>
          <w:rFonts w:hAnsi="標楷體"/>
          <w:szCs w:val="20"/>
        </w:rPr>
        <w:t>2</w:t>
      </w:r>
      <w:r w:rsidRPr="0070737E">
        <w:rPr>
          <w:rFonts w:hAnsi="標楷體" w:hint="eastAsia"/>
          <w:szCs w:val="20"/>
        </w:rPr>
        <w:t>條規定</w:t>
      </w:r>
      <w:r w:rsidR="00EC147E">
        <w:rPr>
          <w:rFonts w:ascii="全字庫正宋體" w:eastAsia="全字庫正宋體" w:hAnsi="全字庫正宋體" w:cs="全字庫正宋體" w:hint="eastAsia"/>
          <w:szCs w:val="20"/>
        </w:rPr>
        <w:t>：</w:t>
      </w:r>
      <w:r w:rsidR="00EC147E">
        <w:rPr>
          <w:rFonts w:ascii="新細明體" w:eastAsia="新細明體" w:hAnsi="新細明體" w:hint="eastAsia"/>
          <w:szCs w:val="20"/>
        </w:rPr>
        <w:t>「</w:t>
      </w:r>
      <w:proofErr w:type="gramStart"/>
      <w:r w:rsidR="00EC147E">
        <w:rPr>
          <w:rFonts w:hAnsi="標楷體" w:hint="eastAsia"/>
          <w:szCs w:val="20"/>
        </w:rPr>
        <w:t>本</w:t>
      </w:r>
      <w:r w:rsidRPr="0070737E">
        <w:rPr>
          <w:rFonts w:hAnsi="標楷體" w:hint="eastAsia"/>
          <w:szCs w:val="20"/>
        </w:rPr>
        <w:t>局掌理</w:t>
      </w:r>
      <w:proofErr w:type="gramEnd"/>
      <w:r w:rsidRPr="0070737E">
        <w:rPr>
          <w:rFonts w:hAnsi="標楷體" w:hint="eastAsia"/>
          <w:szCs w:val="20"/>
        </w:rPr>
        <w:t>下列事項：…</w:t>
      </w:r>
      <w:proofErr w:type="gramStart"/>
      <w:r w:rsidRPr="0070737E">
        <w:rPr>
          <w:rFonts w:hAnsi="標楷體" w:hint="eastAsia"/>
          <w:szCs w:val="20"/>
        </w:rPr>
        <w:t>…</w:t>
      </w:r>
      <w:proofErr w:type="gramEnd"/>
      <w:r w:rsidRPr="0070737E">
        <w:rPr>
          <w:rFonts w:hAnsi="標楷體" w:hint="eastAsia"/>
          <w:szCs w:val="20"/>
        </w:rPr>
        <w:t>二、航業、船舶驗船機構、船員與駕駛訓練機構、商港</w:t>
      </w:r>
      <w:proofErr w:type="gramStart"/>
      <w:r w:rsidRPr="0070737E">
        <w:rPr>
          <w:rFonts w:hAnsi="標楷體" w:hint="eastAsia"/>
          <w:szCs w:val="20"/>
        </w:rPr>
        <w:t>港埠業監</w:t>
      </w:r>
      <w:proofErr w:type="gramEnd"/>
      <w:r w:rsidRPr="0070737E">
        <w:rPr>
          <w:rFonts w:hAnsi="標楷體" w:hint="eastAsia"/>
          <w:szCs w:val="20"/>
        </w:rPr>
        <w:t>理業務之規劃、執行及督導。…</w:t>
      </w:r>
      <w:proofErr w:type="gramStart"/>
      <w:r w:rsidRPr="0070737E">
        <w:rPr>
          <w:rFonts w:hAnsi="標楷體" w:hint="eastAsia"/>
          <w:szCs w:val="20"/>
        </w:rPr>
        <w:t>…</w:t>
      </w:r>
      <w:proofErr w:type="gramEnd"/>
      <w:r w:rsidRPr="0070737E">
        <w:rPr>
          <w:rFonts w:hAnsi="標楷體" w:hint="eastAsia"/>
          <w:szCs w:val="20"/>
        </w:rPr>
        <w:t>五、船員與駕駛訓練、發證、考核業務之規劃、執行及督導。…</w:t>
      </w:r>
      <w:proofErr w:type="gramStart"/>
      <w:r w:rsidRPr="0070737E">
        <w:rPr>
          <w:rFonts w:hAnsi="標楷體" w:hint="eastAsia"/>
          <w:szCs w:val="20"/>
        </w:rPr>
        <w:t>…</w:t>
      </w:r>
      <w:proofErr w:type="gramEnd"/>
      <w:r w:rsidRPr="0070737E">
        <w:rPr>
          <w:rFonts w:hAnsi="標楷體" w:hint="eastAsia"/>
          <w:szCs w:val="20"/>
        </w:rPr>
        <w:t>八、航路標識之規劃、建造、維護、監督、管理及航行安全之促進。由上開航港局職掌事項可知，相關港勤拖船之安全規範、船員技術及應變能力等航行安全之促進皆屬該局之法定職權。</w:t>
      </w:r>
      <w:r w:rsidR="00EC147E">
        <w:rPr>
          <w:rFonts w:hAnsi="標楷體" w:hint="eastAsia"/>
          <w:szCs w:val="20"/>
        </w:rPr>
        <w:t>」</w:t>
      </w:r>
    </w:p>
    <w:p w:rsidR="008C638F" w:rsidRPr="0070737E" w:rsidRDefault="008C638F" w:rsidP="009B5AA7">
      <w:pPr>
        <w:pStyle w:val="3"/>
        <w:overflowPunct w:val="0"/>
        <w:ind w:left="1344"/>
        <w:rPr>
          <w:rFonts w:hAnsi="標楷體"/>
          <w:szCs w:val="20"/>
        </w:rPr>
      </w:pPr>
      <w:proofErr w:type="gramStart"/>
      <w:r w:rsidRPr="0070737E">
        <w:rPr>
          <w:rFonts w:hAnsi="標楷體" w:hint="eastAsia"/>
          <w:szCs w:val="20"/>
        </w:rPr>
        <w:lastRenderedPageBreak/>
        <w:t>查港勤</w:t>
      </w:r>
      <w:proofErr w:type="gramEnd"/>
      <w:r w:rsidRPr="0070737E">
        <w:rPr>
          <w:rFonts w:hAnsi="標楷體" w:hint="eastAsia"/>
          <w:szCs w:val="20"/>
        </w:rPr>
        <w:t>拖船係協助港區水域商船</w:t>
      </w:r>
      <w:proofErr w:type="gramStart"/>
      <w:r w:rsidRPr="0070737E">
        <w:rPr>
          <w:rFonts w:hAnsi="標楷體" w:hint="eastAsia"/>
          <w:szCs w:val="20"/>
        </w:rPr>
        <w:t>之離靠碼</w:t>
      </w:r>
      <w:proofErr w:type="gramEnd"/>
      <w:r w:rsidRPr="0070737E">
        <w:rPr>
          <w:rFonts w:hAnsi="標楷體" w:hint="eastAsia"/>
          <w:szCs w:val="20"/>
        </w:rPr>
        <w:t>頭或移泊作業，屬港口營運之基本服務，我國各國際商港港區拖船調派作業由公營業者臺港勤及民營業者獨立或共同負責。臺灣港務股份有限公司為管理國際商港區域內船舶拖帶作業，訂定國際商港</w:t>
      </w:r>
      <w:proofErr w:type="gramStart"/>
      <w:r w:rsidRPr="0070737E">
        <w:rPr>
          <w:rFonts w:hAnsi="標楷體" w:hint="eastAsia"/>
          <w:szCs w:val="20"/>
        </w:rPr>
        <w:t>港</w:t>
      </w:r>
      <w:proofErr w:type="gramEnd"/>
      <w:r w:rsidRPr="0070737E">
        <w:rPr>
          <w:rFonts w:hAnsi="標楷體" w:hint="eastAsia"/>
          <w:szCs w:val="20"/>
        </w:rPr>
        <w:t>勤拖船調派及管理要點，</w:t>
      </w:r>
      <w:proofErr w:type="gramStart"/>
      <w:r w:rsidRPr="0070737E">
        <w:rPr>
          <w:rFonts w:hAnsi="標楷體" w:hint="eastAsia"/>
          <w:szCs w:val="20"/>
        </w:rPr>
        <w:t>供港</w:t>
      </w:r>
      <w:proofErr w:type="gramEnd"/>
      <w:r w:rsidRPr="0070737E">
        <w:rPr>
          <w:rFonts w:hAnsi="標楷體" w:hint="eastAsia"/>
          <w:szCs w:val="20"/>
        </w:rPr>
        <w:t>勤業者依循，以確保船舶進出國際商港及移泊安全，並提升港勤拖船調派效率。</w:t>
      </w:r>
      <w:r w:rsidR="005F09D2" w:rsidRPr="0070737E">
        <w:rPr>
          <w:rFonts w:hAnsi="標楷體" w:hint="eastAsia"/>
          <w:szCs w:val="20"/>
        </w:rPr>
        <w:t>然</w:t>
      </w:r>
      <w:r w:rsidRPr="0070737E">
        <w:rPr>
          <w:rFonts w:hAnsi="標楷體" w:hint="eastAsia"/>
          <w:szCs w:val="20"/>
        </w:rPr>
        <w:t>近年船舶數量大幅成長且有大型化趨勢，航道寬度無法隨之擴大，增加大型貨輪進出港區及港區內移泊之作業風險。據航港局統計，</w:t>
      </w:r>
      <w:bookmarkStart w:id="68" w:name="_Hlk197004899"/>
      <w:r w:rsidRPr="0070737E">
        <w:rPr>
          <w:rFonts w:hAnsi="標楷體"/>
          <w:szCs w:val="20"/>
        </w:rPr>
        <w:t>109</w:t>
      </w:r>
      <w:r w:rsidRPr="0070737E">
        <w:rPr>
          <w:rFonts w:hAnsi="標楷體" w:hint="eastAsia"/>
          <w:szCs w:val="20"/>
        </w:rPr>
        <w:t>至</w:t>
      </w:r>
      <w:r w:rsidRPr="0070737E">
        <w:rPr>
          <w:rFonts w:hAnsi="標楷體"/>
          <w:szCs w:val="20"/>
        </w:rPr>
        <w:t>112</w:t>
      </w:r>
      <w:r w:rsidRPr="0070737E">
        <w:rPr>
          <w:rFonts w:hAnsi="標楷體" w:hint="eastAsia"/>
          <w:szCs w:val="20"/>
        </w:rPr>
        <w:t>年度我國國籍船舶海事案件分別計有</w:t>
      </w:r>
      <w:r w:rsidRPr="0070737E">
        <w:rPr>
          <w:rFonts w:hAnsi="標楷體"/>
          <w:szCs w:val="20"/>
        </w:rPr>
        <w:t>44</w:t>
      </w:r>
      <w:r w:rsidRPr="0070737E">
        <w:rPr>
          <w:rFonts w:hAnsi="標楷體" w:hint="eastAsia"/>
          <w:szCs w:val="20"/>
        </w:rPr>
        <w:t>件、</w:t>
      </w:r>
      <w:r w:rsidRPr="0070737E">
        <w:rPr>
          <w:rFonts w:hAnsi="標楷體"/>
          <w:szCs w:val="20"/>
        </w:rPr>
        <w:t>26</w:t>
      </w:r>
      <w:r w:rsidRPr="0070737E">
        <w:rPr>
          <w:rFonts w:hAnsi="標楷體" w:hint="eastAsia"/>
          <w:szCs w:val="20"/>
        </w:rPr>
        <w:t>件、</w:t>
      </w:r>
      <w:r w:rsidRPr="0070737E">
        <w:rPr>
          <w:rFonts w:hAnsi="標楷體"/>
          <w:szCs w:val="20"/>
        </w:rPr>
        <w:t>19</w:t>
      </w:r>
      <w:r w:rsidRPr="0070737E">
        <w:rPr>
          <w:rFonts w:hAnsi="標楷體" w:hint="eastAsia"/>
          <w:szCs w:val="20"/>
        </w:rPr>
        <w:t>件及</w:t>
      </w:r>
      <w:r w:rsidRPr="0070737E">
        <w:rPr>
          <w:rFonts w:hAnsi="標楷體"/>
          <w:szCs w:val="20"/>
        </w:rPr>
        <w:t>17</w:t>
      </w:r>
      <w:r w:rsidRPr="0070737E">
        <w:rPr>
          <w:rFonts w:hAnsi="標楷體" w:hint="eastAsia"/>
          <w:szCs w:val="20"/>
        </w:rPr>
        <w:t>件，呈下降趨勢，惟其中與拖船有關者，分別為8件、7件、6件及9件，占我國船舶海事案件比率為18.18％、26.92％、31.58％及52.94％，逐年上升，又經分析拖船事故發生原因，主要類型為碰撞，且</w:t>
      </w:r>
      <w:proofErr w:type="gramStart"/>
      <w:r w:rsidRPr="0070737E">
        <w:rPr>
          <w:rFonts w:hAnsi="標楷體" w:hint="eastAsia"/>
          <w:szCs w:val="20"/>
        </w:rPr>
        <w:t>112</w:t>
      </w:r>
      <w:proofErr w:type="gramEnd"/>
      <w:r w:rsidRPr="0070737E">
        <w:rPr>
          <w:rFonts w:hAnsi="標楷體" w:hint="eastAsia"/>
          <w:szCs w:val="20"/>
        </w:rPr>
        <w:t>年度9件拖船事故中，碰撞即有7件，占比高達77.78％，顯見港勤拖船相關安全規範、船員技術及應變能力等有待加強。</w:t>
      </w:r>
      <w:bookmarkEnd w:id="68"/>
      <w:r w:rsidR="00C33585">
        <w:rPr>
          <w:rFonts w:hAnsi="標楷體" w:hint="eastAsia"/>
          <w:szCs w:val="20"/>
        </w:rPr>
        <w:t>因此</w:t>
      </w:r>
      <w:r w:rsidRPr="0070737E">
        <w:rPr>
          <w:rFonts w:hAnsi="標楷體" w:hint="eastAsia"/>
          <w:szCs w:val="20"/>
        </w:rPr>
        <w:t>，航港局對於國內港口船舶進出之管理，以及針對港勤拖船作業之規範與監督機制，允應考量航運產業變化，</w:t>
      </w:r>
      <w:r w:rsidR="00C33585" w:rsidRPr="0070737E">
        <w:rPr>
          <w:rFonts w:hAnsi="標楷體" w:hint="eastAsia"/>
          <w:szCs w:val="20"/>
        </w:rPr>
        <w:t>進行全面性安全檢視，</w:t>
      </w:r>
      <w:r w:rsidRPr="0070737E">
        <w:rPr>
          <w:rFonts w:hAnsi="標楷體" w:hint="eastAsia"/>
          <w:szCs w:val="20"/>
        </w:rPr>
        <w:t>針對潛在安全風險</w:t>
      </w:r>
      <w:proofErr w:type="gramStart"/>
      <w:r w:rsidRPr="0070737E">
        <w:rPr>
          <w:rFonts w:hAnsi="標楷體" w:hint="eastAsia"/>
          <w:szCs w:val="20"/>
        </w:rPr>
        <w:t>研</w:t>
      </w:r>
      <w:proofErr w:type="gramEnd"/>
      <w:r w:rsidRPr="0070737E">
        <w:rPr>
          <w:rFonts w:hAnsi="標楷體" w:hint="eastAsia"/>
          <w:szCs w:val="20"/>
        </w:rPr>
        <w:t>擬更具體的改善措施並據以執行，以避免類似海事事故再次發生。</w:t>
      </w:r>
    </w:p>
    <w:p w:rsidR="008C638F" w:rsidRPr="0070737E" w:rsidRDefault="008C638F" w:rsidP="009B5AA7">
      <w:pPr>
        <w:pStyle w:val="3"/>
        <w:overflowPunct w:val="0"/>
        <w:ind w:left="1344"/>
        <w:rPr>
          <w:rFonts w:hAnsi="標楷體"/>
          <w:szCs w:val="20"/>
        </w:rPr>
      </w:pPr>
      <w:bookmarkStart w:id="69" w:name="_Hlk196987956"/>
      <w:r w:rsidRPr="0070737E">
        <w:rPr>
          <w:rFonts w:hAnsi="標楷體" w:hint="eastAsia"/>
          <w:szCs w:val="20"/>
        </w:rPr>
        <w:t>據</w:t>
      </w:r>
      <w:r w:rsidR="00862C7A" w:rsidRPr="0070737E">
        <w:rPr>
          <w:rFonts w:hAnsi="標楷體" w:hint="eastAsia"/>
          <w:szCs w:val="20"/>
        </w:rPr>
        <w:t>航港局函復</w:t>
      </w:r>
      <w:r w:rsidRPr="0070737E">
        <w:rPr>
          <w:rFonts w:hAnsi="標楷體" w:hint="eastAsia"/>
          <w:szCs w:val="20"/>
        </w:rPr>
        <w:t>，本案僅需</w:t>
      </w:r>
      <w:r w:rsidR="00C33585">
        <w:rPr>
          <w:rFonts w:hAnsi="標楷體" w:hint="eastAsia"/>
          <w:szCs w:val="20"/>
        </w:rPr>
        <w:t>具</w:t>
      </w:r>
      <w:r w:rsidRPr="0070737E">
        <w:rPr>
          <w:rFonts w:hAnsi="標楷體" w:hint="eastAsia"/>
          <w:szCs w:val="20"/>
        </w:rPr>
        <w:t>3等船長資格即可擔任</w:t>
      </w:r>
      <w:r w:rsidR="00C33585">
        <w:rPr>
          <w:rFonts w:hAnsi="標楷體" w:hint="eastAsia"/>
          <w:szCs w:val="20"/>
        </w:rPr>
        <w:t>拖船</w:t>
      </w:r>
      <w:r w:rsidRPr="0070737E">
        <w:rPr>
          <w:rFonts w:hAnsi="標楷體" w:hint="eastAsia"/>
          <w:szCs w:val="20"/>
        </w:rPr>
        <w:t>船長一職，然拖船之操縱方式及性能有別於一般商船，若無相關拖船一定之操作經驗，易導致意外事件之發生，</w:t>
      </w:r>
      <w:proofErr w:type="gramStart"/>
      <w:r w:rsidRPr="0070737E">
        <w:rPr>
          <w:rFonts w:hAnsi="標楷體" w:hint="eastAsia"/>
          <w:szCs w:val="20"/>
        </w:rPr>
        <w:t>爰</w:t>
      </w:r>
      <w:proofErr w:type="gramEnd"/>
      <w:r w:rsidRPr="0070737E">
        <w:rPr>
          <w:rFonts w:hAnsi="標楷體" w:hint="eastAsia"/>
          <w:szCs w:val="20"/>
        </w:rPr>
        <w:t>建議新任拖船船長</w:t>
      </w:r>
      <w:r w:rsidR="00C33585">
        <w:rPr>
          <w:rFonts w:hAnsi="標楷體" w:hint="eastAsia"/>
          <w:szCs w:val="20"/>
        </w:rPr>
        <w:t>若</w:t>
      </w:r>
      <w:r w:rsidRPr="0070737E">
        <w:rPr>
          <w:rFonts w:hAnsi="標楷體" w:hint="eastAsia"/>
          <w:szCs w:val="20"/>
        </w:rPr>
        <w:t>未具該水域操縱經驗者，拖船業者應建立相關新進或調任人員訓練指導程序，加強人員訓練，以提升新任拖船船長與商船間聯繫及操作配合度、船舶操控及水域環</w:t>
      </w:r>
      <w:r w:rsidRPr="0070737E">
        <w:rPr>
          <w:rFonts w:hAnsi="標楷體" w:hint="eastAsia"/>
          <w:szCs w:val="20"/>
        </w:rPr>
        <w:lastRenderedPageBreak/>
        <w:t>境操控等實作經驗，以降低事故之發生。另</w:t>
      </w:r>
      <w:r w:rsidR="008E739F" w:rsidRPr="0070737E">
        <w:rPr>
          <w:rFonts w:hAnsi="標楷體" w:hint="eastAsia"/>
          <w:szCs w:val="20"/>
        </w:rPr>
        <w:t>航港局</w:t>
      </w:r>
      <w:r w:rsidRPr="0070737E">
        <w:rPr>
          <w:rFonts w:hAnsi="標楷體" w:hint="eastAsia"/>
          <w:szCs w:val="20"/>
        </w:rPr>
        <w:t>已於113年9月6日函請</w:t>
      </w:r>
      <w:proofErr w:type="gramStart"/>
      <w:r w:rsidRPr="0070737E">
        <w:rPr>
          <w:rFonts w:hAnsi="標楷體" w:hint="eastAsia"/>
          <w:szCs w:val="20"/>
        </w:rPr>
        <w:t>臺港勤訂</w:t>
      </w:r>
      <w:proofErr w:type="gramEnd"/>
      <w:r w:rsidRPr="0070737E">
        <w:rPr>
          <w:rFonts w:hAnsi="標楷體" w:hint="eastAsia"/>
          <w:szCs w:val="20"/>
        </w:rPr>
        <w:t>定「拖船航前安全</w:t>
      </w:r>
      <w:proofErr w:type="gramStart"/>
      <w:r w:rsidRPr="0070737E">
        <w:rPr>
          <w:rFonts w:hAnsi="標楷體" w:hint="eastAsia"/>
          <w:szCs w:val="20"/>
        </w:rPr>
        <w:t>點檢</w:t>
      </w:r>
      <w:proofErr w:type="gramEnd"/>
      <w:r w:rsidRPr="0070737E">
        <w:rPr>
          <w:rFonts w:hAnsi="標楷體" w:hint="eastAsia"/>
          <w:szCs w:val="20"/>
        </w:rPr>
        <w:t>表」，並就所有港勤拖船定期</w:t>
      </w:r>
      <w:proofErr w:type="gramStart"/>
      <w:r w:rsidRPr="0070737E">
        <w:rPr>
          <w:rFonts w:hAnsi="標楷體" w:hint="eastAsia"/>
          <w:szCs w:val="20"/>
        </w:rPr>
        <w:t>進行拖力測</w:t>
      </w:r>
      <w:proofErr w:type="gramEnd"/>
      <w:r w:rsidRPr="0070737E">
        <w:rPr>
          <w:rFonts w:hAnsi="標楷體" w:hint="eastAsia"/>
          <w:szCs w:val="20"/>
        </w:rPr>
        <w:t>試，避免船舶馬力因船齡及使用時間而消耗，進而</w:t>
      </w:r>
      <w:r w:rsidR="005F09D2" w:rsidRPr="0070737E">
        <w:rPr>
          <w:rFonts w:hAnsi="標楷體" w:hint="eastAsia"/>
          <w:szCs w:val="20"/>
        </w:rPr>
        <w:t>影響</w:t>
      </w:r>
      <w:r w:rsidRPr="0070737E">
        <w:rPr>
          <w:rFonts w:hAnsi="標楷體" w:hint="eastAsia"/>
          <w:szCs w:val="20"/>
        </w:rPr>
        <w:t>船舶操作特性，</w:t>
      </w:r>
      <w:r w:rsidR="005F09D2" w:rsidRPr="0070737E">
        <w:rPr>
          <w:rFonts w:hAnsi="標楷體" w:hint="eastAsia"/>
          <w:szCs w:val="20"/>
        </w:rPr>
        <w:t>以</w:t>
      </w:r>
      <w:r w:rsidRPr="0070737E">
        <w:rPr>
          <w:rFonts w:hAnsi="標楷體" w:hint="eastAsia"/>
          <w:szCs w:val="20"/>
        </w:rPr>
        <w:t>降低潛在風險。另函請</w:t>
      </w:r>
      <w:proofErr w:type="gramStart"/>
      <w:r w:rsidRPr="0070737E">
        <w:rPr>
          <w:rFonts w:hAnsi="標楷體" w:hint="eastAsia"/>
          <w:szCs w:val="20"/>
        </w:rPr>
        <w:t>臺</w:t>
      </w:r>
      <w:proofErr w:type="gramEnd"/>
      <w:r w:rsidRPr="0070737E">
        <w:rPr>
          <w:rFonts w:hAnsi="標楷體" w:hint="eastAsia"/>
          <w:szCs w:val="20"/>
        </w:rPr>
        <w:t>港勤依據該局114年1月16日訂定之</w:t>
      </w:r>
      <w:bookmarkStart w:id="70" w:name="_Hlk201825756"/>
      <w:r w:rsidRPr="0070737E">
        <w:rPr>
          <w:rFonts w:hAnsi="標楷體" w:hint="eastAsia"/>
          <w:szCs w:val="20"/>
        </w:rPr>
        <w:t>「拖船船員訓練計畫指引」</w:t>
      </w:r>
      <w:bookmarkEnd w:id="70"/>
      <w:r w:rsidRPr="0070737E">
        <w:rPr>
          <w:rFonts w:hAnsi="標楷體" w:hint="eastAsia"/>
          <w:szCs w:val="20"/>
        </w:rPr>
        <w:t>建立拖船船員訓練計畫，要求新任船長應落實港區特性、環境操作、溝通語言等內容之職前訓練及實作考核機制，並於派任前完成訓練紀錄建檔備查，以確保人員熟稔港區環境及作業程序。</w:t>
      </w:r>
      <w:r w:rsidR="00C33585">
        <w:rPr>
          <w:rFonts w:hAnsi="標楷體" w:hint="eastAsia"/>
          <w:szCs w:val="20"/>
        </w:rPr>
        <w:t>另</w:t>
      </w:r>
      <w:r w:rsidRPr="0070737E">
        <w:rPr>
          <w:rFonts w:hAnsi="標楷體" w:hint="eastAsia"/>
          <w:szCs w:val="20"/>
        </w:rPr>
        <w:t>參照船舶防止污染及安全營運規則（下稱NSM規則）已制定非NSM規則適用之拖船於更換管理級船員（船長、輪機長）時</w:t>
      </w:r>
      <w:r w:rsidR="00DE33C0">
        <w:rPr>
          <w:rFonts w:hAnsi="標楷體" w:hint="eastAsia"/>
          <w:szCs w:val="20"/>
        </w:rPr>
        <w:t>，</w:t>
      </w:r>
      <w:r w:rsidRPr="0070737E">
        <w:rPr>
          <w:rFonts w:hAnsi="標楷體" w:hint="eastAsia"/>
          <w:szCs w:val="20"/>
        </w:rPr>
        <w:t>應向航港局申請船員</w:t>
      </w:r>
      <w:proofErr w:type="gramStart"/>
      <w:r w:rsidRPr="0070737E">
        <w:rPr>
          <w:rFonts w:hAnsi="標楷體" w:hint="eastAsia"/>
          <w:szCs w:val="20"/>
        </w:rPr>
        <w:t>適格性評鑑</w:t>
      </w:r>
      <w:proofErr w:type="gramEnd"/>
      <w:r w:rsidRPr="0070737E">
        <w:rPr>
          <w:rFonts w:hAnsi="標楷體" w:hint="eastAsia"/>
          <w:szCs w:val="20"/>
        </w:rPr>
        <w:t>，並依據業者訂定之在職船員訓練及管理制度等文件確認拖船船員適任性。</w:t>
      </w:r>
    </w:p>
    <w:p w:rsidR="008C638F" w:rsidRPr="0070737E" w:rsidRDefault="008C638F" w:rsidP="009B5AA7">
      <w:pPr>
        <w:pStyle w:val="3"/>
        <w:overflowPunct w:val="0"/>
        <w:ind w:left="1344"/>
        <w:rPr>
          <w:rFonts w:hAnsi="標楷體"/>
          <w:szCs w:val="20"/>
        </w:rPr>
      </w:pPr>
      <w:bookmarkStart w:id="71" w:name="_Hlk199428384"/>
      <w:bookmarkEnd w:id="69"/>
      <w:r w:rsidRPr="0070737E">
        <w:rPr>
          <w:rFonts w:hAnsi="標楷體" w:hint="eastAsia"/>
          <w:szCs w:val="20"/>
        </w:rPr>
        <w:t>綜上，航港局職掌國內港口船舶進出管理及港勤拖船作業規範與監督，經統計109至112年度國籍船舶海事案件呈下降趨勢，惟與拖船有關者則逐年上升，分析拖船事故發生原因，主要類型為碰撞，且</w:t>
      </w:r>
      <w:proofErr w:type="gramStart"/>
      <w:r w:rsidRPr="0070737E">
        <w:rPr>
          <w:rFonts w:hAnsi="標楷體" w:hint="eastAsia"/>
          <w:szCs w:val="20"/>
        </w:rPr>
        <w:t>112</w:t>
      </w:r>
      <w:proofErr w:type="gramEnd"/>
      <w:r w:rsidRPr="0070737E">
        <w:rPr>
          <w:rFonts w:hAnsi="標楷體" w:hint="eastAsia"/>
          <w:szCs w:val="20"/>
        </w:rPr>
        <w:t>年度9件拖船事故中，碰撞即有7件，占比高達77.78％，顯見港勤拖船相關安全規範、船員技術及應變能力等有待加強</w:t>
      </w:r>
      <w:r w:rsidR="00C709E4" w:rsidRPr="0070737E">
        <w:rPr>
          <w:rFonts w:hAnsi="標楷體" w:hint="eastAsia"/>
          <w:szCs w:val="20"/>
        </w:rPr>
        <w:t>。航港局</w:t>
      </w:r>
      <w:r w:rsidRPr="0070737E">
        <w:rPr>
          <w:rFonts w:hAnsi="標楷體" w:hint="eastAsia"/>
          <w:szCs w:val="20"/>
        </w:rPr>
        <w:t>針對歷次事故之調查結果，</w:t>
      </w:r>
      <w:r w:rsidR="00FD5115" w:rsidRPr="0070737E">
        <w:rPr>
          <w:rFonts w:hAnsi="標楷體" w:hint="eastAsia"/>
          <w:szCs w:val="20"/>
        </w:rPr>
        <w:t>允</w:t>
      </w:r>
      <w:r w:rsidRPr="0070737E">
        <w:rPr>
          <w:rFonts w:hAnsi="標楷體" w:hint="eastAsia"/>
          <w:szCs w:val="20"/>
        </w:rPr>
        <w:t>應重視如何從事故中吸取教訓，</w:t>
      </w:r>
      <w:proofErr w:type="gramStart"/>
      <w:r w:rsidR="00204033">
        <w:rPr>
          <w:rFonts w:hAnsi="標楷體" w:hint="eastAsia"/>
          <w:szCs w:val="20"/>
        </w:rPr>
        <w:t>研</w:t>
      </w:r>
      <w:proofErr w:type="gramEnd"/>
      <w:r w:rsidR="00204033">
        <w:rPr>
          <w:rFonts w:hAnsi="標楷體" w:hint="eastAsia"/>
          <w:szCs w:val="20"/>
        </w:rPr>
        <w:t>謀</w:t>
      </w:r>
      <w:r w:rsidRPr="0070737E">
        <w:rPr>
          <w:rFonts w:hAnsi="標楷體" w:hint="eastAsia"/>
          <w:szCs w:val="20"/>
        </w:rPr>
        <w:t>提升船舶航行與港勤拖船作業之安全管理水平，督促相關單位積極研擬後續改善與預防措施，</w:t>
      </w:r>
      <w:r w:rsidR="00204033">
        <w:rPr>
          <w:rFonts w:hAnsi="標楷體" w:hint="eastAsia"/>
          <w:szCs w:val="20"/>
        </w:rPr>
        <w:t>務期減少船舶</w:t>
      </w:r>
      <w:r w:rsidR="00204033" w:rsidRPr="00204033">
        <w:rPr>
          <w:rFonts w:hAnsi="標楷體" w:hint="eastAsia"/>
          <w:szCs w:val="20"/>
        </w:rPr>
        <w:t>海事事故</w:t>
      </w:r>
      <w:r w:rsidR="00204033">
        <w:rPr>
          <w:rFonts w:hAnsi="標楷體" w:hint="eastAsia"/>
          <w:szCs w:val="20"/>
        </w:rPr>
        <w:t>之</w:t>
      </w:r>
      <w:r w:rsidR="00204033" w:rsidRPr="00204033">
        <w:rPr>
          <w:rFonts w:hAnsi="標楷體" w:hint="eastAsia"/>
          <w:szCs w:val="20"/>
        </w:rPr>
        <w:t>發生。</w:t>
      </w:r>
      <w:bookmarkEnd w:id="71"/>
    </w:p>
    <w:p w:rsidR="001463DD" w:rsidRPr="0070737E" w:rsidRDefault="00AF33B7" w:rsidP="007A1FBC">
      <w:pPr>
        <w:pStyle w:val="1"/>
        <w:overflowPunct w:val="0"/>
        <w:ind w:left="2380" w:hanging="2380"/>
        <w:rPr>
          <w:rFonts w:hAnsi="標楷體"/>
        </w:rPr>
      </w:pPr>
      <w:r w:rsidRPr="0070737E">
        <w:rPr>
          <w:rFonts w:hAnsi="標楷體"/>
        </w:rPr>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r w:rsidRPr="0070737E">
        <w:rPr>
          <w:rFonts w:hAnsi="標楷體" w:hint="eastAsia"/>
        </w:rPr>
        <w:lastRenderedPageBreak/>
        <w:t>處理辦法：</w:t>
      </w:r>
      <w:bookmarkEnd w:id="50"/>
      <w:bookmarkEnd w:id="51"/>
      <w:bookmarkEnd w:id="52"/>
      <w:bookmarkEnd w:id="53"/>
      <w:bookmarkEnd w:id="54"/>
      <w:bookmarkEnd w:id="55"/>
      <w:bookmarkEnd w:id="56"/>
      <w:bookmarkEnd w:id="57"/>
      <w:bookmarkEnd w:id="58"/>
      <w:bookmarkEnd w:id="59"/>
      <w:bookmarkEnd w:id="72"/>
      <w:bookmarkEnd w:id="73"/>
      <w:bookmarkEnd w:id="74"/>
      <w:bookmarkEnd w:id="75"/>
      <w:bookmarkEnd w:id="76"/>
      <w:bookmarkEnd w:id="77"/>
      <w:bookmarkEnd w:id="78"/>
      <w:bookmarkEnd w:id="79"/>
      <w:bookmarkEnd w:id="80"/>
      <w:bookmarkEnd w:id="81"/>
      <w:bookmarkEnd w:id="82"/>
      <w:bookmarkEnd w:id="83"/>
    </w:p>
    <w:p w:rsidR="00C07177" w:rsidRPr="0070737E" w:rsidRDefault="00C07177" w:rsidP="007A1FBC">
      <w:pPr>
        <w:pStyle w:val="2"/>
        <w:overflowPunct w:val="0"/>
        <w:ind w:left="1020" w:hanging="680"/>
        <w:rPr>
          <w:rFonts w:hAnsi="標楷體"/>
        </w:rPr>
      </w:pPr>
      <w:bookmarkStart w:id="84" w:name="_Toc70241819"/>
      <w:bookmarkStart w:id="85" w:name="_Toc70242208"/>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Start w:id="97" w:name="_Toc69556899"/>
      <w:bookmarkStart w:id="98" w:name="_Toc69556948"/>
      <w:bookmarkStart w:id="99" w:name="_Toc69609822"/>
      <w:bookmarkStart w:id="100" w:name="_Toc524895649"/>
      <w:bookmarkStart w:id="101" w:name="_Toc524896195"/>
      <w:bookmarkStart w:id="102" w:name="_Toc524896225"/>
      <w:bookmarkStart w:id="103" w:name="_Toc70241820"/>
      <w:bookmarkStart w:id="104" w:name="_Toc70242209"/>
      <w:bookmarkStart w:id="105" w:name="_Hlk201673569"/>
      <w:bookmarkEnd w:id="100"/>
      <w:bookmarkEnd w:id="101"/>
      <w:bookmarkEnd w:id="102"/>
      <w:r w:rsidRPr="0070737E">
        <w:rPr>
          <w:rFonts w:hAnsi="標楷體" w:hint="eastAsia"/>
        </w:rPr>
        <w:t>調查意見</w:t>
      </w:r>
      <w:r w:rsidR="0055720C" w:rsidRPr="0070737E">
        <w:rPr>
          <w:rFonts w:hAnsi="標楷體" w:hint="eastAsia"/>
        </w:rPr>
        <w:t>一</w:t>
      </w:r>
      <w:r w:rsidRPr="0070737E">
        <w:rPr>
          <w:rFonts w:hAnsi="標楷體" w:hint="eastAsia"/>
        </w:rPr>
        <w:t>，</w:t>
      </w:r>
      <w:r w:rsidR="00DF5D61" w:rsidRPr="0070737E">
        <w:rPr>
          <w:rFonts w:hAnsi="標楷體" w:hint="eastAsia"/>
        </w:rPr>
        <w:t>函請交通部督促</w:t>
      </w:r>
      <w:r w:rsidR="00DF00C8">
        <w:rPr>
          <w:rFonts w:hAnsi="標楷體" w:hint="eastAsia"/>
        </w:rPr>
        <w:t>臺灣港務港勤股份有限公司</w:t>
      </w:r>
      <w:r w:rsidR="00DF5D61" w:rsidRPr="0070737E">
        <w:rPr>
          <w:rFonts w:hAnsi="標楷體" w:hint="eastAsia"/>
        </w:rPr>
        <w:t>確實檢討改進</w:t>
      </w:r>
      <w:proofErr w:type="gramStart"/>
      <w:r w:rsidR="00DF5D61" w:rsidRPr="0070737E">
        <w:rPr>
          <w:rFonts w:hAnsi="標楷體" w:hint="eastAsia"/>
        </w:rPr>
        <w:t>見復</w:t>
      </w:r>
      <w:r w:rsidRPr="0070737E">
        <w:rPr>
          <w:rFonts w:hAnsi="標楷體" w:hint="eastAsia"/>
        </w:rPr>
        <w:t>。</w:t>
      </w:r>
      <w:bookmarkEnd w:id="103"/>
      <w:bookmarkEnd w:id="104"/>
      <w:proofErr w:type="gramEnd"/>
    </w:p>
    <w:bookmarkEnd w:id="105"/>
    <w:p w:rsidR="00DF5D61" w:rsidRPr="0070737E" w:rsidRDefault="00DF5D61" w:rsidP="007A1FBC">
      <w:pPr>
        <w:pStyle w:val="2"/>
        <w:overflowPunct w:val="0"/>
        <w:ind w:left="1020" w:hanging="680"/>
        <w:rPr>
          <w:rFonts w:hAnsi="標楷體"/>
        </w:rPr>
      </w:pPr>
      <w:r w:rsidRPr="0070737E">
        <w:rPr>
          <w:rFonts w:hAnsi="標楷體" w:hint="eastAsia"/>
        </w:rPr>
        <w:t>調查意見二，函請連江縣政府確實檢討改進</w:t>
      </w:r>
      <w:proofErr w:type="gramStart"/>
      <w:r w:rsidRPr="0070737E">
        <w:rPr>
          <w:rFonts w:hAnsi="標楷體" w:hint="eastAsia"/>
        </w:rPr>
        <w:t>見復。</w:t>
      </w:r>
      <w:proofErr w:type="gramEnd"/>
    </w:p>
    <w:p w:rsidR="00DF5D61" w:rsidRPr="0070737E" w:rsidRDefault="00DF5D61" w:rsidP="007A1FBC">
      <w:pPr>
        <w:pStyle w:val="2"/>
        <w:overflowPunct w:val="0"/>
        <w:ind w:left="1020" w:hanging="680"/>
        <w:rPr>
          <w:rFonts w:hAnsi="標楷體"/>
        </w:rPr>
      </w:pPr>
      <w:r w:rsidRPr="0070737E">
        <w:rPr>
          <w:rFonts w:hAnsi="標楷體" w:hint="eastAsia"/>
        </w:rPr>
        <w:t>調查意見</w:t>
      </w:r>
      <w:proofErr w:type="gramStart"/>
      <w:r w:rsidRPr="0070737E">
        <w:rPr>
          <w:rFonts w:hAnsi="標楷體" w:hint="eastAsia"/>
        </w:rPr>
        <w:t>三</w:t>
      </w:r>
      <w:proofErr w:type="gramEnd"/>
      <w:r w:rsidRPr="0070737E">
        <w:rPr>
          <w:rFonts w:hAnsi="標楷體" w:hint="eastAsia"/>
        </w:rPr>
        <w:t>，函請交通部督促航港局確實檢討改進</w:t>
      </w:r>
      <w:proofErr w:type="gramStart"/>
      <w:r w:rsidRPr="0070737E">
        <w:rPr>
          <w:rFonts w:hAnsi="標楷體" w:hint="eastAsia"/>
        </w:rPr>
        <w:t>見復。</w:t>
      </w:r>
      <w:proofErr w:type="gramEnd"/>
    </w:p>
    <w:p w:rsidR="00D57FAE" w:rsidRPr="0070737E" w:rsidRDefault="00AF33B7" w:rsidP="00D57FAE">
      <w:pPr>
        <w:pStyle w:val="2"/>
        <w:overflowPunct w:val="0"/>
        <w:ind w:left="1020" w:hanging="680"/>
        <w:rPr>
          <w:rFonts w:hAnsi="標楷體"/>
        </w:rPr>
      </w:pPr>
      <w:bookmarkStart w:id="106" w:name="_Toc2400397"/>
      <w:bookmarkStart w:id="107" w:name="_Toc4316191"/>
      <w:bookmarkStart w:id="108" w:name="_Toc4473332"/>
      <w:bookmarkStart w:id="109" w:name="_Toc69556901"/>
      <w:bookmarkStart w:id="110" w:name="_Toc69556950"/>
      <w:bookmarkStart w:id="111" w:name="_Toc69609824"/>
      <w:bookmarkStart w:id="112" w:name="_Toc70241822"/>
      <w:bookmarkStart w:id="113" w:name="_Toc70242211"/>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0737E">
        <w:rPr>
          <w:rFonts w:hAnsi="標楷體" w:hint="eastAsia"/>
        </w:rPr>
        <w:t>檢</w:t>
      </w:r>
      <w:proofErr w:type="gramStart"/>
      <w:r w:rsidRPr="0070737E">
        <w:rPr>
          <w:rFonts w:hAnsi="標楷體" w:hint="eastAsia"/>
        </w:rPr>
        <w:t>附派查函</w:t>
      </w:r>
      <w:proofErr w:type="gramEnd"/>
      <w:r w:rsidRPr="0070737E">
        <w:rPr>
          <w:rFonts w:hAnsi="標楷體" w:hint="eastAsia"/>
        </w:rPr>
        <w:t>及相關附件，送請</w:t>
      </w:r>
      <w:r w:rsidR="004D15E4" w:rsidRPr="0070737E">
        <w:rPr>
          <w:rFonts w:hAnsi="標楷體" w:hint="eastAsia"/>
        </w:rPr>
        <w:t>交通</w:t>
      </w:r>
      <w:r w:rsidRPr="0070737E">
        <w:rPr>
          <w:rFonts w:hAnsi="標楷體" w:hint="eastAsia"/>
        </w:rPr>
        <w:t>及</w:t>
      </w:r>
      <w:r w:rsidR="004D15E4" w:rsidRPr="0070737E">
        <w:rPr>
          <w:rFonts w:hAnsi="標楷體" w:hint="eastAsia"/>
        </w:rPr>
        <w:t>採購</w:t>
      </w:r>
      <w:r w:rsidRPr="0070737E">
        <w:rPr>
          <w:rFonts w:hAnsi="標楷體" w:hint="eastAsia"/>
        </w:rPr>
        <w:t>委員會處理。</w:t>
      </w:r>
      <w:bookmarkEnd w:id="106"/>
      <w:bookmarkEnd w:id="107"/>
      <w:bookmarkEnd w:id="108"/>
      <w:bookmarkEnd w:id="109"/>
      <w:bookmarkEnd w:id="110"/>
      <w:bookmarkEnd w:id="111"/>
      <w:bookmarkEnd w:id="112"/>
      <w:bookmarkEnd w:id="113"/>
    </w:p>
    <w:p w:rsidR="001463DD" w:rsidRPr="0070737E" w:rsidRDefault="00D57FAE" w:rsidP="007A1FBC">
      <w:pPr>
        <w:pStyle w:val="2"/>
        <w:overflowPunct w:val="0"/>
        <w:ind w:left="1020" w:hanging="680"/>
        <w:rPr>
          <w:rFonts w:hAnsi="標楷體"/>
        </w:rPr>
      </w:pPr>
      <w:r w:rsidRPr="0070737E">
        <w:rPr>
          <w:rFonts w:hAnsi="標楷體"/>
        </w:rPr>
        <w:t>本案調查意見</w:t>
      </w:r>
      <w:r w:rsidRPr="0070737E">
        <w:rPr>
          <w:rFonts w:hAnsi="標楷體" w:hint="eastAsia"/>
        </w:rPr>
        <w:t>上網</w:t>
      </w:r>
      <w:r w:rsidRPr="0070737E">
        <w:rPr>
          <w:rFonts w:hAnsi="標楷體"/>
        </w:rPr>
        <w:t>公布</w:t>
      </w:r>
      <w:r w:rsidRPr="0070737E">
        <w:rPr>
          <w:rFonts w:hAnsi="標楷體" w:hint="eastAsia"/>
        </w:rPr>
        <w:t>。</w:t>
      </w:r>
    </w:p>
    <w:p w:rsidR="001463DD" w:rsidRPr="0070737E" w:rsidRDefault="00AF33B7" w:rsidP="00E87703">
      <w:pPr>
        <w:pStyle w:val="a5"/>
        <w:kinsoku w:val="0"/>
        <w:overflowPunct w:val="0"/>
        <w:spacing w:beforeLines="100" w:before="457" w:after="0"/>
        <w:ind w:leftChars="1100" w:left="3742"/>
        <w:jc w:val="both"/>
        <w:rPr>
          <w:rFonts w:hAnsi="標楷體"/>
          <w:b w:val="0"/>
          <w:bCs/>
          <w:snapToGrid/>
          <w:spacing w:val="0"/>
          <w:kern w:val="0"/>
          <w:sz w:val="40"/>
        </w:rPr>
      </w:pPr>
      <w:r w:rsidRPr="0070737E">
        <w:rPr>
          <w:rFonts w:hAnsi="標楷體" w:hint="eastAsia"/>
          <w:b w:val="0"/>
          <w:bCs/>
          <w:snapToGrid/>
          <w:spacing w:val="12"/>
          <w:kern w:val="0"/>
          <w:sz w:val="40"/>
        </w:rPr>
        <w:t>調查委員：</w:t>
      </w:r>
      <w:r w:rsidR="00E87703">
        <w:rPr>
          <w:rFonts w:hAnsi="標楷體" w:hint="eastAsia"/>
          <w:b w:val="0"/>
          <w:bCs/>
          <w:snapToGrid/>
          <w:spacing w:val="12"/>
          <w:kern w:val="0"/>
          <w:sz w:val="40"/>
        </w:rPr>
        <w:t>葉宜津</w:t>
      </w:r>
    </w:p>
    <w:p w:rsidR="00E82598" w:rsidRPr="0070737E" w:rsidRDefault="00E82598" w:rsidP="00E87703">
      <w:pPr>
        <w:pStyle w:val="ab"/>
        <w:overflowPunct w:val="0"/>
        <w:ind w:left="1044" w:hangingChars="307" w:hanging="1044"/>
        <w:rPr>
          <w:rFonts w:hAnsi="標楷體" w:hint="eastAsia"/>
          <w:bCs/>
        </w:rPr>
      </w:pPr>
    </w:p>
    <w:sectPr w:rsidR="00E82598" w:rsidRPr="0070737E">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AF0" w:rsidRDefault="00E61AF0">
      <w:r>
        <w:separator/>
      </w:r>
    </w:p>
  </w:endnote>
  <w:endnote w:type="continuationSeparator" w:id="0">
    <w:p w:rsidR="00E61AF0" w:rsidRDefault="00E6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全字庫正宋體">
    <w:panose1 w:val="02020300000000000000"/>
    <w:charset w:val="88"/>
    <w:family w:val="roman"/>
    <w:pitch w:val="variable"/>
    <w:sig w:usb0="F7FFAEFF" w:usb1="E9DFFFFF" w:usb2="681FFFFF" w:usb3="00000000" w:csb0="003F00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9C8" w:rsidRDefault="00A959C8">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rsidR="00A959C8" w:rsidRDefault="00A959C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AF0" w:rsidRDefault="00E61AF0">
      <w:r>
        <w:separator/>
      </w:r>
    </w:p>
  </w:footnote>
  <w:footnote w:type="continuationSeparator" w:id="0">
    <w:p w:rsidR="00E61AF0" w:rsidRDefault="00E61AF0">
      <w:r>
        <w:continuationSeparator/>
      </w:r>
    </w:p>
  </w:footnote>
  <w:footnote w:id="1">
    <w:p w:rsidR="00A959C8" w:rsidRPr="000B6B95" w:rsidRDefault="00A959C8">
      <w:pPr>
        <w:pStyle w:val="af2"/>
        <w:rPr>
          <w:rFonts w:ascii="標楷體" w:eastAsia="標楷體" w:hAnsi="標楷體"/>
        </w:rPr>
      </w:pPr>
      <w:r>
        <w:rPr>
          <w:rStyle w:val="af4"/>
        </w:rPr>
        <w:footnoteRef/>
      </w:r>
      <w:r>
        <w:t xml:space="preserve"> </w:t>
      </w:r>
      <w:r w:rsidRPr="000B6B95">
        <w:rPr>
          <w:rFonts w:ascii="標楷體" w:eastAsia="標楷體" w:hAnsi="標楷體" w:hint="eastAsia"/>
        </w:rPr>
        <w:t>本院1</w:t>
      </w:r>
      <w:r w:rsidR="00614241">
        <w:rPr>
          <w:rFonts w:ascii="標楷體" w:eastAsia="標楷體" w:hAnsi="標楷體"/>
        </w:rPr>
        <w:t>12</w:t>
      </w:r>
      <w:r w:rsidRPr="000B6B95">
        <w:rPr>
          <w:rFonts w:ascii="標楷體" w:eastAsia="標楷體" w:hAnsi="標楷體" w:hint="eastAsia"/>
        </w:rPr>
        <w:t>年</w:t>
      </w:r>
      <w:r w:rsidR="00614241">
        <w:rPr>
          <w:rFonts w:ascii="標楷體" w:eastAsia="標楷體" w:hAnsi="標楷體"/>
        </w:rPr>
        <w:t>8</w:t>
      </w:r>
      <w:r w:rsidRPr="000B6B95">
        <w:rPr>
          <w:rFonts w:ascii="標楷體" w:eastAsia="標楷體" w:hAnsi="標楷體" w:hint="eastAsia"/>
        </w:rPr>
        <w:t>月</w:t>
      </w:r>
      <w:r w:rsidR="00614241">
        <w:rPr>
          <w:rFonts w:ascii="標楷體" w:eastAsia="標楷體" w:hAnsi="標楷體"/>
        </w:rPr>
        <w:t>29</w:t>
      </w:r>
      <w:r w:rsidRPr="000B6B95">
        <w:rPr>
          <w:rFonts w:ascii="標楷體" w:eastAsia="標楷體" w:hAnsi="標楷體" w:hint="eastAsia"/>
        </w:rPr>
        <w:t>日字第1</w:t>
      </w:r>
      <w:r w:rsidR="00D22945">
        <w:rPr>
          <w:rFonts w:ascii="標楷體" w:eastAsia="標楷體" w:hAnsi="標楷體"/>
        </w:rPr>
        <w:t>120705619</w:t>
      </w:r>
      <w:r w:rsidRPr="000B6B95">
        <w:rPr>
          <w:rFonts w:ascii="標楷體" w:eastAsia="標楷體" w:hAnsi="標楷體" w:hint="eastAsia"/>
        </w:rPr>
        <w:t>號</w:t>
      </w:r>
      <w:r w:rsidR="00245E17">
        <w:rPr>
          <w:rFonts w:ascii="標楷體" w:eastAsia="標楷體" w:hAnsi="標楷體" w:hint="eastAsia"/>
        </w:rPr>
        <w:t>函</w:t>
      </w:r>
      <w:r>
        <w:rPr>
          <w:rFonts w:ascii="標楷體" w:eastAsia="標楷體" w:hAnsi="標楷體" w:hint="eastAsia"/>
        </w:rPr>
        <w:t>卷宗</w:t>
      </w:r>
    </w:p>
  </w:footnote>
  <w:footnote w:id="2">
    <w:p w:rsidR="00C621BE" w:rsidRPr="000B6B95" w:rsidRDefault="00C621BE" w:rsidP="00C621BE">
      <w:pPr>
        <w:pStyle w:val="af2"/>
        <w:rPr>
          <w:rFonts w:ascii="標楷體" w:eastAsia="標楷體" w:hAnsi="標楷體"/>
        </w:rPr>
      </w:pPr>
      <w:r w:rsidRPr="000B6B95">
        <w:rPr>
          <w:rStyle w:val="af4"/>
          <w:rFonts w:ascii="標楷體" w:eastAsia="標楷體" w:hAnsi="標楷體"/>
        </w:rPr>
        <w:footnoteRef/>
      </w:r>
      <w:r w:rsidRPr="000B6B95">
        <w:rPr>
          <w:rFonts w:ascii="標楷體" w:eastAsia="標楷體" w:hAnsi="標楷體"/>
        </w:rPr>
        <w:t xml:space="preserve"> </w:t>
      </w:r>
      <w:r w:rsidR="00AC59DC">
        <w:rPr>
          <w:rFonts w:ascii="標楷體" w:eastAsia="標楷體" w:hAnsi="標楷體" w:hint="eastAsia"/>
        </w:rPr>
        <w:t>臺港勤</w:t>
      </w:r>
      <w:r w:rsidRPr="000B6B95">
        <w:rPr>
          <w:rFonts w:ascii="標楷體" w:eastAsia="標楷體" w:hAnsi="標楷體" w:hint="eastAsia"/>
        </w:rPr>
        <w:t>1</w:t>
      </w:r>
      <w:r w:rsidR="00AC59DC">
        <w:rPr>
          <w:rFonts w:ascii="標楷體" w:eastAsia="標楷體" w:hAnsi="標楷體"/>
        </w:rPr>
        <w:t>14</w:t>
      </w:r>
      <w:r w:rsidRPr="000B6B95">
        <w:rPr>
          <w:rFonts w:ascii="標楷體" w:eastAsia="標楷體" w:hAnsi="標楷體" w:hint="eastAsia"/>
        </w:rPr>
        <w:t>年</w:t>
      </w:r>
      <w:r w:rsidR="00AC59DC">
        <w:rPr>
          <w:rFonts w:ascii="標楷體" w:eastAsia="標楷體" w:hAnsi="標楷體"/>
        </w:rPr>
        <w:t>4</w:t>
      </w:r>
      <w:r w:rsidRPr="000B6B95">
        <w:rPr>
          <w:rFonts w:ascii="標楷體" w:eastAsia="標楷體" w:hAnsi="標楷體" w:hint="eastAsia"/>
        </w:rPr>
        <w:t>月</w:t>
      </w:r>
      <w:r w:rsidR="00AC59DC">
        <w:rPr>
          <w:rFonts w:ascii="標楷體" w:eastAsia="標楷體" w:hAnsi="標楷體"/>
        </w:rPr>
        <w:t>11</w:t>
      </w:r>
      <w:r w:rsidRPr="000B6B95">
        <w:rPr>
          <w:rFonts w:ascii="標楷體" w:eastAsia="標楷體" w:hAnsi="標楷體" w:hint="eastAsia"/>
        </w:rPr>
        <w:t>日</w:t>
      </w:r>
      <w:r w:rsidR="00AC59DC">
        <w:rPr>
          <w:rFonts w:ascii="標楷體" w:eastAsia="標楷體" w:hAnsi="標楷體" w:hint="eastAsia"/>
        </w:rPr>
        <w:t>港勤船員</w:t>
      </w:r>
      <w:r w:rsidRPr="000B6B95">
        <w:rPr>
          <w:rFonts w:ascii="標楷體" w:eastAsia="標楷體" w:hAnsi="標楷體" w:hint="eastAsia"/>
        </w:rPr>
        <w:t>字第1</w:t>
      </w:r>
      <w:r w:rsidR="00D22945">
        <w:rPr>
          <w:rFonts w:ascii="標楷體" w:eastAsia="標楷體" w:hAnsi="標楷體"/>
        </w:rPr>
        <w:t>1</w:t>
      </w:r>
      <w:r w:rsidR="00AC59DC">
        <w:rPr>
          <w:rFonts w:ascii="標楷體" w:eastAsia="標楷體" w:hAnsi="標楷體"/>
        </w:rPr>
        <w:t>46100687</w:t>
      </w:r>
      <w:r w:rsidRPr="000B6B95">
        <w:rPr>
          <w:rFonts w:ascii="標楷體" w:eastAsia="標楷體" w:hAnsi="標楷體" w:hint="eastAsia"/>
        </w:rPr>
        <w:t>號函</w:t>
      </w:r>
    </w:p>
  </w:footnote>
  <w:footnote w:id="3">
    <w:p w:rsidR="00C621BE" w:rsidRPr="000B6B95" w:rsidRDefault="00C621BE" w:rsidP="00C621BE">
      <w:pPr>
        <w:pStyle w:val="af2"/>
        <w:rPr>
          <w:rFonts w:ascii="標楷體" w:eastAsia="標楷體" w:hAnsi="標楷體"/>
        </w:rPr>
      </w:pPr>
      <w:r w:rsidRPr="000B6B95">
        <w:rPr>
          <w:rStyle w:val="af4"/>
          <w:rFonts w:ascii="標楷體" w:eastAsia="標楷體" w:hAnsi="標楷體"/>
        </w:rPr>
        <w:footnoteRef/>
      </w:r>
      <w:r w:rsidRPr="000B6B95">
        <w:rPr>
          <w:rFonts w:ascii="標楷體" w:eastAsia="標楷體" w:hAnsi="標楷體"/>
        </w:rPr>
        <w:t xml:space="preserve"> </w:t>
      </w:r>
      <w:r w:rsidR="00443D20">
        <w:rPr>
          <w:rFonts w:ascii="標楷體" w:eastAsia="標楷體" w:hAnsi="標楷體" w:hint="eastAsia"/>
        </w:rPr>
        <w:t>連江縣政府</w:t>
      </w:r>
      <w:r w:rsidRPr="000B6B95">
        <w:rPr>
          <w:rFonts w:ascii="標楷體" w:eastAsia="標楷體" w:hAnsi="標楷體" w:hint="eastAsia"/>
        </w:rPr>
        <w:t>1</w:t>
      </w:r>
      <w:r w:rsidR="00443D20">
        <w:rPr>
          <w:rFonts w:ascii="標楷體" w:eastAsia="標楷體" w:hAnsi="標楷體"/>
        </w:rPr>
        <w:t>14</w:t>
      </w:r>
      <w:r w:rsidRPr="000B6B95">
        <w:rPr>
          <w:rFonts w:ascii="標楷體" w:eastAsia="標楷體" w:hAnsi="標楷體" w:hint="eastAsia"/>
        </w:rPr>
        <w:t>年</w:t>
      </w:r>
      <w:r w:rsidR="00443D20">
        <w:rPr>
          <w:rFonts w:ascii="標楷體" w:eastAsia="標楷體" w:hAnsi="標楷體"/>
        </w:rPr>
        <w:t>5</w:t>
      </w:r>
      <w:r w:rsidRPr="000B6B95">
        <w:rPr>
          <w:rFonts w:ascii="標楷體" w:eastAsia="標楷體" w:hAnsi="標楷體" w:hint="eastAsia"/>
        </w:rPr>
        <w:t>月</w:t>
      </w:r>
      <w:r w:rsidR="00443D20">
        <w:rPr>
          <w:rFonts w:ascii="標楷體" w:eastAsia="標楷體" w:hAnsi="標楷體"/>
        </w:rPr>
        <w:t>5</w:t>
      </w:r>
      <w:r w:rsidRPr="000B6B95">
        <w:rPr>
          <w:rFonts w:ascii="標楷體" w:eastAsia="標楷體" w:hAnsi="標楷體" w:hint="eastAsia"/>
        </w:rPr>
        <w:t>日</w:t>
      </w:r>
      <w:r w:rsidR="00443D20">
        <w:rPr>
          <w:rFonts w:ascii="標楷體" w:eastAsia="標楷體" w:hAnsi="標楷體" w:hint="eastAsia"/>
        </w:rPr>
        <w:t>府授</w:t>
      </w:r>
      <w:r w:rsidRPr="000B6B95">
        <w:rPr>
          <w:rFonts w:ascii="標楷體" w:eastAsia="標楷體" w:hAnsi="標楷體" w:hint="eastAsia"/>
        </w:rPr>
        <w:t>交字第1</w:t>
      </w:r>
      <w:r w:rsidR="00443D20">
        <w:rPr>
          <w:rFonts w:ascii="標楷體" w:eastAsia="標楷體" w:hAnsi="標楷體"/>
        </w:rPr>
        <w:t>140019725</w:t>
      </w:r>
      <w:r w:rsidRPr="000B6B95">
        <w:rPr>
          <w:rFonts w:ascii="標楷體" w:eastAsia="標楷體" w:hAnsi="標楷體" w:hint="eastAsia"/>
        </w:rPr>
        <w:t>號函</w:t>
      </w:r>
    </w:p>
  </w:footnote>
  <w:footnote w:id="4">
    <w:p w:rsidR="00A959C8" w:rsidRPr="000B6B95" w:rsidRDefault="00A959C8">
      <w:pPr>
        <w:pStyle w:val="af2"/>
        <w:rPr>
          <w:rFonts w:ascii="標楷體" w:eastAsia="標楷體" w:hAnsi="標楷體"/>
        </w:rPr>
      </w:pPr>
      <w:r w:rsidRPr="000B6B95">
        <w:rPr>
          <w:rStyle w:val="af4"/>
          <w:rFonts w:ascii="標楷體" w:eastAsia="標楷體" w:hAnsi="標楷體"/>
        </w:rPr>
        <w:footnoteRef/>
      </w:r>
      <w:r w:rsidRPr="000B6B95">
        <w:rPr>
          <w:rFonts w:ascii="標楷體" w:eastAsia="標楷體" w:hAnsi="標楷體"/>
        </w:rPr>
        <w:t xml:space="preserve"> </w:t>
      </w:r>
      <w:r w:rsidR="00CA20EE">
        <w:rPr>
          <w:rFonts w:ascii="標楷體" w:eastAsia="標楷體" w:hAnsi="標楷體" w:hint="eastAsia"/>
        </w:rPr>
        <w:t>航港局</w:t>
      </w:r>
      <w:r w:rsidRPr="000B6B95">
        <w:rPr>
          <w:rFonts w:ascii="標楷體" w:eastAsia="標楷體" w:hAnsi="標楷體" w:hint="eastAsia"/>
        </w:rPr>
        <w:t>1</w:t>
      </w:r>
      <w:r w:rsidR="00CA20EE">
        <w:rPr>
          <w:rFonts w:ascii="標楷體" w:eastAsia="標楷體" w:hAnsi="標楷體"/>
        </w:rPr>
        <w:t>14</w:t>
      </w:r>
      <w:r w:rsidRPr="000B6B95">
        <w:rPr>
          <w:rFonts w:ascii="標楷體" w:eastAsia="標楷體" w:hAnsi="標楷體" w:hint="eastAsia"/>
        </w:rPr>
        <w:t>年</w:t>
      </w:r>
      <w:r w:rsidR="00CA20EE">
        <w:rPr>
          <w:rFonts w:ascii="標楷體" w:eastAsia="標楷體" w:hAnsi="標楷體"/>
        </w:rPr>
        <w:t>4</w:t>
      </w:r>
      <w:r w:rsidRPr="000B6B95">
        <w:rPr>
          <w:rFonts w:ascii="標楷體" w:eastAsia="標楷體" w:hAnsi="標楷體" w:hint="eastAsia"/>
        </w:rPr>
        <w:t>月2</w:t>
      </w:r>
      <w:r w:rsidR="00CA20EE">
        <w:rPr>
          <w:rFonts w:ascii="標楷體" w:eastAsia="標楷體" w:hAnsi="標楷體"/>
        </w:rPr>
        <w:t>8</w:t>
      </w:r>
      <w:r w:rsidRPr="000B6B95">
        <w:rPr>
          <w:rFonts w:ascii="標楷體" w:eastAsia="標楷體" w:hAnsi="標楷體" w:hint="eastAsia"/>
        </w:rPr>
        <w:t>日</w:t>
      </w:r>
      <w:r w:rsidR="00CA20EE" w:rsidRPr="00CA20EE">
        <w:rPr>
          <w:rFonts w:ascii="標楷體" w:eastAsia="標楷體" w:hAnsi="標楷體" w:hint="eastAsia"/>
        </w:rPr>
        <w:t>航北字第1140055086號</w:t>
      </w:r>
      <w:r w:rsidRPr="000B6B95">
        <w:rPr>
          <w:rFonts w:ascii="標楷體" w:eastAsia="標楷體" w:hAnsi="標楷體" w:hint="eastAsia"/>
        </w:rPr>
        <w:t>函</w:t>
      </w:r>
    </w:p>
  </w:footnote>
  <w:footnote w:id="5">
    <w:p w:rsidR="005327EF" w:rsidRPr="00F367D0" w:rsidRDefault="005327EF" w:rsidP="00F367D0">
      <w:pPr>
        <w:pStyle w:val="af2"/>
        <w:rPr>
          <w:rFonts w:ascii="標楷體" w:eastAsia="標楷體" w:hAnsi="標楷體"/>
        </w:rPr>
      </w:pPr>
      <w:r>
        <w:rPr>
          <w:rStyle w:val="af4"/>
        </w:rPr>
        <w:footnoteRef/>
      </w:r>
      <w:r>
        <w:t xml:space="preserve"> </w:t>
      </w:r>
      <w:bookmarkStart w:id="48" w:name="_Hlk205192207"/>
      <w:r w:rsidR="00811EF1">
        <w:t>114</w:t>
      </w:r>
      <w:r w:rsidR="00811EF1" w:rsidRPr="00843E50">
        <w:rPr>
          <w:rFonts w:ascii="標楷體" w:eastAsia="標楷體" w:hAnsi="標楷體" w:hint="eastAsia"/>
        </w:rPr>
        <w:t>年2月</w:t>
      </w:r>
      <w:r w:rsidR="00F367D0" w:rsidRPr="00F367D0">
        <w:rPr>
          <w:rFonts w:ascii="標楷體" w:eastAsia="標楷體" w:hAnsi="標楷體" w:hint="eastAsia"/>
        </w:rPr>
        <w:t>報告編號：</w:t>
      </w:r>
      <w:r w:rsidR="00F367D0" w:rsidRPr="00F367D0">
        <w:rPr>
          <w:rFonts w:ascii="標楷體" w:eastAsia="標楷體" w:hAnsi="標楷體"/>
        </w:rPr>
        <w:t>TTSB-MOR-25-02-001</w:t>
      </w:r>
      <w:bookmarkEnd w:id="48"/>
    </w:p>
  </w:footnote>
  <w:footnote w:id="6">
    <w:p w:rsidR="00417ED9" w:rsidRPr="009B2B99" w:rsidRDefault="00417ED9" w:rsidP="00417ED9">
      <w:pPr>
        <w:pStyle w:val="af2"/>
        <w:ind w:leftChars="3" w:left="191" w:hangingChars="82" w:hanging="181"/>
        <w:rPr>
          <w:rFonts w:ascii="標楷體" w:eastAsia="標楷體" w:hAnsi="標楷體"/>
        </w:rPr>
      </w:pPr>
      <w:r w:rsidRPr="009B2B99">
        <w:rPr>
          <w:rStyle w:val="af4"/>
          <w:rFonts w:ascii="標楷體" w:eastAsia="標楷體" w:hAnsi="標楷體"/>
        </w:rPr>
        <w:footnoteRef/>
      </w:r>
      <w:r w:rsidRPr="009B2B99">
        <w:rPr>
          <w:rFonts w:ascii="標楷體" w:eastAsia="標楷體" w:hAnsi="標楷體"/>
        </w:rPr>
        <w:t xml:space="preserve"> </w:t>
      </w:r>
      <w:r w:rsidRPr="009B2B99">
        <w:rPr>
          <w:rFonts w:ascii="標楷體" w:eastAsia="標楷體" w:hAnsi="標楷體" w:hint="eastAsia"/>
        </w:rPr>
        <w:t>股東成員皆為港區相關業界</w:t>
      </w:r>
      <w:r w:rsidR="003E299B">
        <w:rPr>
          <w:rFonts w:ascii="標楷體" w:eastAsia="標楷體" w:hAnsi="標楷體" w:hint="eastAsia"/>
        </w:rPr>
        <w:t>包含</w:t>
      </w:r>
      <w:r w:rsidRPr="009B2B99">
        <w:rPr>
          <w:rFonts w:ascii="標楷體" w:eastAsia="標楷體" w:hAnsi="標楷體" w:hint="eastAsia"/>
        </w:rPr>
        <w:t>：船務代理業、交通船業、帶解纜業、商、漁船船東、引水人業、船舶維修業、船塢業，及其他航港相關人員。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452927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2399"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39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3" w15:restartNumberingAfterBreak="0">
    <w:nsid w:val="24242A35"/>
    <w:multiLevelType w:val="hybridMultilevel"/>
    <w:tmpl w:val="73E230CC"/>
    <w:lvl w:ilvl="0" w:tplc="21307C42">
      <w:start w:val="1"/>
      <w:numFmt w:val="decimal"/>
      <w:lvlText w:val="%1."/>
      <w:lvlJc w:val="left"/>
      <w:pPr>
        <w:ind w:left="360" w:hanging="36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1293A43"/>
    <w:multiLevelType w:val="multilevel"/>
    <w:tmpl w:val="228CC204"/>
    <w:lvl w:ilvl="0">
      <w:start w:val="1"/>
      <w:numFmt w:val="taiwaneseCountingThousand"/>
      <w:suff w:val="space"/>
      <w:lvlText w:val="%1、"/>
      <w:lvlJc w:val="left"/>
      <w:pPr>
        <w:ind w:left="953" w:hanging="641"/>
      </w:pPr>
      <w:rPr>
        <w:rFonts w:ascii="標楷體" w:eastAsia="標楷體" w:hint="eastAsia"/>
        <w:b w:val="0"/>
        <w:i w:val="0"/>
        <w:caps w:val="0"/>
        <w:strike w:val="0"/>
        <w:dstrike w:val="0"/>
        <w:outline w:val="0"/>
        <w:shadow w:val="0"/>
        <w:emboss w:val="0"/>
        <w:imprint w:val="0"/>
        <w:vanish w:val="0"/>
        <w:sz w:val="32"/>
        <w:vertAlign w:val="baseline"/>
      </w:rPr>
    </w:lvl>
    <w:lvl w:ilvl="1">
      <w:start w:val="1"/>
      <w:numFmt w:val="taiwaneseCountingThousand"/>
      <w:suff w:val="nothing"/>
      <w:lvlText w:val="（%2）"/>
      <w:lvlJc w:val="left"/>
      <w:pPr>
        <w:ind w:left="1605" w:hanging="959"/>
      </w:pPr>
      <w:rPr>
        <w:rFonts w:ascii="標楷體" w:eastAsia="標楷體" w:hint="eastAsia"/>
        <w:b w:val="0"/>
        <w:i w:val="0"/>
        <w:caps w:val="0"/>
        <w:strike w:val="0"/>
        <w:dstrike w:val="0"/>
        <w:outline w:val="0"/>
        <w:shadow w:val="0"/>
        <w:emboss w:val="0"/>
        <w:imprint w:val="0"/>
        <w:vanish w:val="0"/>
        <w:sz w:val="32"/>
        <w:vertAlign w:val="baseline"/>
      </w:rPr>
    </w:lvl>
    <w:lvl w:ilvl="2">
      <w:start w:val="1"/>
      <w:numFmt w:val="decimalFullWidth"/>
      <w:suff w:val="nothing"/>
      <w:lvlText w:val="%3、"/>
      <w:lvlJc w:val="left"/>
      <w:pPr>
        <w:ind w:left="1605" w:hanging="641"/>
      </w:pPr>
      <w:rPr>
        <w:rFonts w:ascii="標楷體" w:eastAsia="標楷體" w:hint="eastAsia"/>
        <w:b w:val="0"/>
        <w:i w:val="0"/>
        <w:caps w:val="0"/>
        <w:strike w:val="0"/>
        <w:dstrike w:val="0"/>
        <w:outline w:val="0"/>
        <w:shadow w:val="0"/>
        <w:emboss w:val="0"/>
        <w:imprint w:val="0"/>
        <w:vanish w:val="0"/>
        <w:sz w:val="32"/>
        <w:vertAlign w:val="baseline"/>
      </w:rPr>
    </w:lvl>
    <w:lvl w:ilvl="3">
      <w:start w:val="1"/>
      <w:numFmt w:val="decimalFullWidth"/>
      <w:suff w:val="nothing"/>
      <w:lvlText w:val="（%4）"/>
      <w:lvlJc w:val="left"/>
      <w:pPr>
        <w:ind w:left="2240" w:hanging="970"/>
      </w:pPr>
      <w:rPr>
        <w:rFonts w:ascii="標楷體" w:eastAsia="標楷體" w:hint="eastAsia"/>
        <w:b w:val="0"/>
        <w:i w:val="0"/>
        <w:caps w:val="0"/>
        <w:strike w:val="0"/>
        <w:dstrike w:val="0"/>
        <w:outline w:val="0"/>
        <w:shadow w:val="0"/>
        <w:emboss w:val="0"/>
        <w:imprint w:val="0"/>
        <w:vanish w:val="0"/>
        <w:sz w:val="32"/>
        <w:vertAlign w:val="baseline"/>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4"/>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3"/>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32B8"/>
    <w:rsid w:val="000059E9"/>
    <w:rsid w:val="00005B5A"/>
    <w:rsid w:val="00007F48"/>
    <w:rsid w:val="000151D9"/>
    <w:rsid w:val="000158E9"/>
    <w:rsid w:val="00015AD4"/>
    <w:rsid w:val="00015D93"/>
    <w:rsid w:val="0002055F"/>
    <w:rsid w:val="00036FD4"/>
    <w:rsid w:val="00040F1B"/>
    <w:rsid w:val="000415B1"/>
    <w:rsid w:val="000441CF"/>
    <w:rsid w:val="000444F2"/>
    <w:rsid w:val="00044CEA"/>
    <w:rsid w:val="00045ACA"/>
    <w:rsid w:val="000477C9"/>
    <w:rsid w:val="00047C2D"/>
    <w:rsid w:val="00052439"/>
    <w:rsid w:val="00057779"/>
    <w:rsid w:val="0006144F"/>
    <w:rsid w:val="00061A85"/>
    <w:rsid w:val="0006542A"/>
    <w:rsid w:val="00066AAA"/>
    <w:rsid w:val="00074562"/>
    <w:rsid w:val="00076ADF"/>
    <w:rsid w:val="000828D4"/>
    <w:rsid w:val="000A44FA"/>
    <w:rsid w:val="000B2136"/>
    <w:rsid w:val="000B2C87"/>
    <w:rsid w:val="000B6B95"/>
    <w:rsid w:val="000D1BD6"/>
    <w:rsid w:val="000D3C7D"/>
    <w:rsid w:val="000D58ED"/>
    <w:rsid w:val="000D7403"/>
    <w:rsid w:val="000F0236"/>
    <w:rsid w:val="000F09FB"/>
    <w:rsid w:val="000F65C8"/>
    <w:rsid w:val="00102D14"/>
    <w:rsid w:val="0011126A"/>
    <w:rsid w:val="001137F7"/>
    <w:rsid w:val="00123258"/>
    <w:rsid w:val="0012448D"/>
    <w:rsid w:val="00131F02"/>
    <w:rsid w:val="0013615E"/>
    <w:rsid w:val="00140E1F"/>
    <w:rsid w:val="0014272C"/>
    <w:rsid w:val="00143565"/>
    <w:rsid w:val="0014369B"/>
    <w:rsid w:val="00145EA5"/>
    <w:rsid w:val="001463DD"/>
    <w:rsid w:val="00146B96"/>
    <w:rsid w:val="00147067"/>
    <w:rsid w:val="001475C8"/>
    <w:rsid w:val="0014772F"/>
    <w:rsid w:val="0014790C"/>
    <w:rsid w:val="001523D7"/>
    <w:rsid w:val="00164C52"/>
    <w:rsid w:val="00165120"/>
    <w:rsid w:val="00170265"/>
    <w:rsid w:val="00172130"/>
    <w:rsid w:val="0018094D"/>
    <w:rsid w:val="0018132B"/>
    <w:rsid w:val="0018284A"/>
    <w:rsid w:val="00185B04"/>
    <w:rsid w:val="001877AF"/>
    <w:rsid w:val="00195B1C"/>
    <w:rsid w:val="0019724E"/>
    <w:rsid w:val="001A7D61"/>
    <w:rsid w:val="001B122F"/>
    <w:rsid w:val="001B4345"/>
    <w:rsid w:val="001C1310"/>
    <w:rsid w:val="001C4114"/>
    <w:rsid w:val="001C714A"/>
    <w:rsid w:val="001C7ABC"/>
    <w:rsid w:val="001D596E"/>
    <w:rsid w:val="001E07DB"/>
    <w:rsid w:val="001E0D16"/>
    <w:rsid w:val="001E220C"/>
    <w:rsid w:val="001E2B07"/>
    <w:rsid w:val="001F1150"/>
    <w:rsid w:val="001F6E83"/>
    <w:rsid w:val="001F7F0C"/>
    <w:rsid w:val="002004EB"/>
    <w:rsid w:val="00204033"/>
    <w:rsid w:val="002047F7"/>
    <w:rsid w:val="002067E4"/>
    <w:rsid w:val="0021161D"/>
    <w:rsid w:val="002126DB"/>
    <w:rsid w:val="0021481D"/>
    <w:rsid w:val="00214902"/>
    <w:rsid w:val="0021676B"/>
    <w:rsid w:val="00216C47"/>
    <w:rsid w:val="0021787C"/>
    <w:rsid w:val="0022051D"/>
    <w:rsid w:val="0022274F"/>
    <w:rsid w:val="00232C8E"/>
    <w:rsid w:val="0023319A"/>
    <w:rsid w:val="0023341E"/>
    <w:rsid w:val="002335DA"/>
    <w:rsid w:val="002338B5"/>
    <w:rsid w:val="002343A5"/>
    <w:rsid w:val="0023472F"/>
    <w:rsid w:val="00235A44"/>
    <w:rsid w:val="00240C19"/>
    <w:rsid w:val="00245E17"/>
    <w:rsid w:val="00247F0E"/>
    <w:rsid w:val="0025049A"/>
    <w:rsid w:val="002516D7"/>
    <w:rsid w:val="002524D1"/>
    <w:rsid w:val="00253279"/>
    <w:rsid w:val="00260AE2"/>
    <w:rsid w:val="00262CD2"/>
    <w:rsid w:val="00263BF2"/>
    <w:rsid w:val="002640A6"/>
    <w:rsid w:val="00276654"/>
    <w:rsid w:val="002804DD"/>
    <w:rsid w:val="0028161C"/>
    <w:rsid w:val="002826B6"/>
    <w:rsid w:val="002848B0"/>
    <w:rsid w:val="00293EC3"/>
    <w:rsid w:val="002941BB"/>
    <w:rsid w:val="002A0C48"/>
    <w:rsid w:val="002B07AB"/>
    <w:rsid w:val="002B1647"/>
    <w:rsid w:val="002B1EDC"/>
    <w:rsid w:val="002B40E8"/>
    <w:rsid w:val="002B5B1D"/>
    <w:rsid w:val="002C3615"/>
    <w:rsid w:val="002C4C50"/>
    <w:rsid w:val="002C55F4"/>
    <w:rsid w:val="002D05FB"/>
    <w:rsid w:val="002D1491"/>
    <w:rsid w:val="002D3D07"/>
    <w:rsid w:val="002D3FB1"/>
    <w:rsid w:val="002D4F71"/>
    <w:rsid w:val="002D6D73"/>
    <w:rsid w:val="002E0E4B"/>
    <w:rsid w:val="002E5761"/>
    <w:rsid w:val="002E5782"/>
    <w:rsid w:val="002F0344"/>
    <w:rsid w:val="002F1044"/>
    <w:rsid w:val="002F3B8B"/>
    <w:rsid w:val="002F44DE"/>
    <w:rsid w:val="002F5958"/>
    <w:rsid w:val="002F5CD1"/>
    <w:rsid w:val="003017EA"/>
    <w:rsid w:val="003054DE"/>
    <w:rsid w:val="00306682"/>
    <w:rsid w:val="0031005C"/>
    <w:rsid w:val="00320034"/>
    <w:rsid w:val="00322781"/>
    <w:rsid w:val="00322FCE"/>
    <w:rsid w:val="00323BBE"/>
    <w:rsid w:val="0032414E"/>
    <w:rsid w:val="00326841"/>
    <w:rsid w:val="00330553"/>
    <w:rsid w:val="00332D34"/>
    <w:rsid w:val="003409C4"/>
    <w:rsid w:val="00341F6D"/>
    <w:rsid w:val="00342F3C"/>
    <w:rsid w:val="0035331C"/>
    <w:rsid w:val="003551D3"/>
    <w:rsid w:val="003614FE"/>
    <w:rsid w:val="00364F86"/>
    <w:rsid w:val="00365105"/>
    <w:rsid w:val="00365923"/>
    <w:rsid w:val="00365D22"/>
    <w:rsid w:val="003727A9"/>
    <w:rsid w:val="0037297C"/>
    <w:rsid w:val="003767CC"/>
    <w:rsid w:val="0038181F"/>
    <w:rsid w:val="00381921"/>
    <w:rsid w:val="00382622"/>
    <w:rsid w:val="0038268B"/>
    <w:rsid w:val="00382D69"/>
    <w:rsid w:val="00382D84"/>
    <w:rsid w:val="0038369D"/>
    <w:rsid w:val="00386136"/>
    <w:rsid w:val="00387854"/>
    <w:rsid w:val="003903AD"/>
    <w:rsid w:val="0039438F"/>
    <w:rsid w:val="0039764D"/>
    <w:rsid w:val="00397F4A"/>
    <w:rsid w:val="003A05F1"/>
    <w:rsid w:val="003A1159"/>
    <w:rsid w:val="003A1FE8"/>
    <w:rsid w:val="003A2CE1"/>
    <w:rsid w:val="003A312D"/>
    <w:rsid w:val="003A3830"/>
    <w:rsid w:val="003A659D"/>
    <w:rsid w:val="003A693E"/>
    <w:rsid w:val="003B0396"/>
    <w:rsid w:val="003B0743"/>
    <w:rsid w:val="003C1A9E"/>
    <w:rsid w:val="003C31F5"/>
    <w:rsid w:val="003C57F6"/>
    <w:rsid w:val="003D17BE"/>
    <w:rsid w:val="003D4BBA"/>
    <w:rsid w:val="003E2204"/>
    <w:rsid w:val="003E299B"/>
    <w:rsid w:val="003E4A58"/>
    <w:rsid w:val="003F0742"/>
    <w:rsid w:val="003F692E"/>
    <w:rsid w:val="003F7BD5"/>
    <w:rsid w:val="004018C4"/>
    <w:rsid w:val="004044BF"/>
    <w:rsid w:val="00416DB6"/>
    <w:rsid w:val="00417ED9"/>
    <w:rsid w:val="00422F34"/>
    <w:rsid w:val="00423AB2"/>
    <w:rsid w:val="00424CC6"/>
    <w:rsid w:val="00425B89"/>
    <w:rsid w:val="00426936"/>
    <w:rsid w:val="0042793C"/>
    <w:rsid w:val="004344BC"/>
    <w:rsid w:val="0043570A"/>
    <w:rsid w:val="00443D20"/>
    <w:rsid w:val="00445CE7"/>
    <w:rsid w:val="00446238"/>
    <w:rsid w:val="00447FBE"/>
    <w:rsid w:val="00453274"/>
    <w:rsid w:val="00453D7E"/>
    <w:rsid w:val="0045527E"/>
    <w:rsid w:val="004573E4"/>
    <w:rsid w:val="00457B30"/>
    <w:rsid w:val="00462EAD"/>
    <w:rsid w:val="00463D37"/>
    <w:rsid w:val="00466FF3"/>
    <w:rsid w:val="0047056C"/>
    <w:rsid w:val="00471877"/>
    <w:rsid w:val="0047420F"/>
    <w:rsid w:val="00482FF4"/>
    <w:rsid w:val="00487FFD"/>
    <w:rsid w:val="004909DE"/>
    <w:rsid w:val="00490EEC"/>
    <w:rsid w:val="0049214E"/>
    <w:rsid w:val="00492E2A"/>
    <w:rsid w:val="00493A3F"/>
    <w:rsid w:val="0049441A"/>
    <w:rsid w:val="00494A66"/>
    <w:rsid w:val="00497CFF"/>
    <w:rsid w:val="004B1D66"/>
    <w:rsid w:val="004B499B"/>
    <w:rsid w:val="004B4AEF"/>
    <w:rsid w:val="004C00F6"/>
    <w:rsid w:val="004C1A1C"/>
    <w:rsid w:val="004C290C"/>
    <w:rsid w:val="004C4415"/>
    <w:rsid w:val="004D148C"/>
    <w:rsid w:val="004D15E4"/>
    <w:rsid w:val="004E0373"/>
    <w:rsid w:val="004F2FDA"/>
    <w:rsid w:val="004F7A85"/>
    <w:rsid w:val="00503225"/>
    <w:rsid w:val="00503BB5"/>
    <w:rsid w:val="005053F3"/>
    <w:rsid w:val="005106F2"/>
    <w:rsid w:val="00511A87"/>
    <w:rsid w:val="00511E02"/>
    <w:rsid w:val="00512763"/>
    <w:rsid w:val="00514833"/>
    <w:rsid w:val="005149D1"/>
    <w:rsid w:val="005207B9"/>
    <w:rsid w:val="00522AF1"/>
    <w:rsid w:val="00526DE5"/>
    <w:rsid w:val="005300AF"/>
    <w:rsid w:val="00530F11"/>
    <w:rsid w:val="005325EB"/>
    <w:rsid w:val="005327EF"/>
    <w:rsid w:val="00532F8F"/>
    <w:rsid w:val="00543C90"/>
    <w:rsid w:val="00546C27"/>
    <w:rsid w:val="005561F6"/>
    <w:rsid w:val="005563A0"/>
    <w:rsid w:val="00556F7D"/>
    <w:rsid w:val="0055720C"/>
    <w:rsid w:val="00557D28"/>
    <w:rsid w:val="00562040"/>
    <w:rsid w:val="00571537"/>
    <w:rsid w:val="005770A7"/>
    <w:rsid w:val="00582203"/>
    <w:rsid w:val="005834CD"/>
    <w:rsid w:val="00584625"/>
    <w:rsid w:val="005848CA"/>
    <w:rsid w:val="005960C1"/>
    <w:rsid w:val="005A1D36"/>
    <w:rsid w:val="005A65C9"/>
    <w:rsid w:val="005A6D32"/>
    <w:rsid w:val="005B6A2A"/>
    <w:rsid w:val="005C453D"/>
    <w:rsid w:val="005C7055"/>
    <w:rsid w:val="005D2BF5"/>
    <w:rsid w:val="005D4195"/>
    <w:rsid w:val="005D7991"/>
    <w:rsid w:val="005E0134"/>
    <w:rsid w:val="005E198F"/>
    <w:rsid w:val="005E45BC"/>
    <w:rsid w:val="005F09D2"/>
    <w:rsid w:val="005F531C"/>
    <w:rsid w:val="005F63B1"/>
    <w:rsid w:val="005F6FF1"/>
    <w:rsid w:val="006020BB"/>
    <w:rsid w:val="00605AEE"/>
    <w:rsid w:val="00610D3B"/>
    <w:rsid w:val="00610EA3"/>
    <w:rsid w:val="0061322D"/>
    <w:rsid w:val="00613514"/>
    <w:rsid w:val="00614241"/>
    <w:rsid w:val="00614581"/>
    <w:rsid w:val="00614942"/>
    <w:rsid w:val="0061793F"/>
    <w:rsid w:val="0062017E"/>
    <w:rsid w:val="00620775"/>
    <w:rsid w:val="00620904"/>
    <w:rsid w:val="0062099A"/>
    <w:rsid w:val="0062548A"/>
    <w:rsid w:val="00626F3D"/>
    <w:rsid w:val="00626F45"/>
    <w:rsid w:val="00630028"/>
    <w:rsid w:val="00630B07"/>
    <w:rsid w:val="00630F93"/>
    <w:rsid w:val="00631ECE"/>
    <w:rsid w:val="00634E07"/>
    <w:rsid w:val="006362D4"/>
    <w:rsid w:val="00645CD7"/>
    <w:rsid w:val="00645E2A"/>
    <w:rsid w:val="00647E27"/>
    <w:rsid w:val="00663C1B"/>
    <w:rsid w:val="00671A43"/>
    <w:rsid w:val="00674914"/>
    <w:rsid w:val="00674A0B"/>
    <w:rsid w:val="00680CCB"/>
    <w:rsid w:val="0068132E"/>
    <w:rsid w:val="00691C15"/>
    <w:rsid w:val="00692ECF"/>
    <w:rsid w:val="006A0FEB"/>
    <w:rsid w:val="006A3B13"/>
    <w:rsid w:val="006A4B5B"/>
    <w:rsid w:val="006B03F4"/>
    <w:rsid w:val="006B144B"/>
    <w:rsid w:val="006B1876"/>
    <w:rsid w:val="006B1C76"/>
    <w:rsid w:val="006B66D5"/>
    <w:rsid w:val="006C3F1C"/>
    <w:rsid w:val="006C7120"/>
    <w:rsid w:val="006D0FFC"/>
    <w:rsid w:val="006D1679"/>
    <w:rsid w:val="006D3EC2"/>
    <w:rsid w:val="006E1461"/>
    <w:rsid w:val="006E59FF"/>
    <w:rsid w:val="006F0586"/>
    <w:rsid w:val="006F1497"/>
    <w:rsid w:val="006F3D05"/>
    <w:rsid w:val="006F7798"/>
    <w:rsid w:val="006F7E98"/>
    <w:rsid w:val="007019C8"/>
    <w:rsid w:val="0070737E"/>
    <w:rsid w:val="007108FF"/>
    <w:rsid w:val="00711F93"/>
    <w:rsid w:val="00714696"/>
    <w:rsid w:val="007147E2"/>
    <w:rsid w:val="007215BB"/>
    <w:rsid w:val="00730F54"/>
    <w:rsid w:val="007344C6"/>
    <w:rsid w:val="00737AA5"/>
    <w:rsid w:val="00745140"/>
    <w:rsid w:val="00747F25"/>
    <w:rsid w:val="00752903"/>
    <w:rsid w:val="007536C6"/>
    <w:rsid w:val="0076262A"/>
    <w:rsid w:val="0076281D"/>
    <w:rsid w:val="00764CC4"/>
    <w:rsid w:val="007708D3"/>
    <w:rsid w:val="007716D4"/>
    <w:rsid w:val="00771F7C"/>
    <w:rsid w:val="00772235"/>
    <w:rsid w:val="00780F00"/>
    <w:rsid w:val="007821BD"/>
    <w:rsid w:val="00786A28"/>
    <w:rsid w:val="007945A4"/>
    <w:rsid w:val="00795561"/>
    <w:rsid w:val="007A1FBC"/>
    <w:rsid w:val="007A494B"/>
    <w:rsid w:val="007B4648"/>
    <w:rsid w:val="007B54FD"/>
    <w:rsid w:val="007B5AA5"/>
    <w:rsid w:val="007C2F41"/>
    <w:rsid w:val="007C4961"/>
    <w:rsid w:val="007D0632"/>
    <w:rsid w:val="007E099C"/>
    <w:rsid w:val="007E3EC4"/>
    <w:rsid w:val="007E55BC"/>
    <w:rsid w:val="007E56B9"/>
    <w:rsid w:val="007E645E"/>
    <w:rsid w:val="007F0D42"/>
    <w:rsid w:val="007F16C1"/>
    <w:rsid w:val="007F28CC"/>
    <w:rsid w:val="007F3E1D"/>
    <w:rsid w:val="007F4421"/>
    <w:rsid w:val="007F5160"/>
    <w:rsid w:val="007F6D2C"/>
    <w:rsid w:val="008025AF"/>
    <w:rsid w:val="00806519"/>
    <w:rsid w:val="00810AB5"/>
    <w:rsid w:val="00810D23"/>
    <w:rsid w:val="00811EF1"/>
    <w:rsid w:val="0082021C"/>
    <w:rsid w:val="008214B0"/>
    <w:rsid w:val="00821575"/>
    <w:rsid w:val="008239FB"/>
    <w:rsid w:val="008245B9"/>
    <w:rsid w:val="00826991"/>
    <w:rsid w:val="00827D47"/>
    <w:rsid w:val="008322EE"/>
    <w:rsid w:val="008378C1"/>
    <w:rsid w:val="00843E50"/>
    <w:rsid w:val="008463C6"/>
    <w:rsid w:val="00851B76"/>
    <w:rsid w:val="00852C4F"/>
    <w:rsid w:val="008538B9"/>
    <w:rsid w:val="00855BBE"/>
    <w:rsid w:val="0085681A"/>
    <w:rsid w:val="0085771B"/>
    <w:rsid w:val="00862352"/>
    <w:rsid w:val="00862928"/>
    <w:rsid w:val="00862C7A"/>
    <w:rsid w:val="00862FE2"/>
    <w:rsid w:val="0086576B"/>
    <w:rsid w:val="008714DE"/>
    <w:rsid w:val="008723E7"/>
    <w:rsid w:val="00874A7A"/>
    <w:rsid w:val="00892DE6"/>
    <w:rsid w:val="0089569C"/>
    <w:rsid w:val="00897DFE"/>
    <w:rsid w:val="008A14E9"/>
    <w:rsid w:val="008A20E2"/>
    <w:rsid w:val="008A31B3"/>
    <w:rsid w:val="008A3993"/>
    <w:rsid w:val="008A7BFC"/>
    <w:rsid w:val="008B089D"/>
    <w:rsid w:val="008B154C"/>
    <w:rsid w:val="008B48C6"/>
    <w:rsid w:val="008B6610"/>
    <w:rsid w:val="008B73F7"/>
    <w:rsid w:val="008B7AE1"/>
    <w:rsid w:val="008B7C0F"/>
    <w:rsid w:val="008C3999"/>
    <w:rsid w:val="008C638F"/>
    <w:rsid w:val="008C766F"/>
    <w:rsid w:val="008D03AC"/>
    <w:rsid w:val="008D0C50"/>
    <w:rsid w:val="008D3C43"/>
    <w:rsid w:val="008D5344"/>
    <w:rsid w:val="008E0608"/>
    <w:rsid w:val="008E3B1A"/>
    <w:rsid w:val="008E5E4B"/>
    <w:rsid w:val="008E739F"/>
    <w:rsid w:val="008F23C0"/>
    <w:rsid w:val="008F4F31"/>
    <w:rsid w:val="008F5CDC"/>
    <w:rsid w:val="008F7F3A"/>
    <w:rsid w:val="009100EB"/>
    <w:rsid w:val="00910C5F"/>
    <w:rsid w:val="009147FF"/>
    <w:rsid w:val="009165A2"/>
    <w:rsid w:val="009177EA"/>
    <w:rsid w:val="00923105"/>
    <w:rsid w:val="0092630F"/>
    <w:rsid w:val="00927755"/>
    <w:rsid w:val="00927CC6"/>
    <w:rsid w:val="009323FB"/>
    <w:rsid w:val="00936C1B"/>
    <w:rsid w:val="00937C76"/>
    <w:rsid w:val="00940BA1"/>
    <w:rsid w:val="00942179"/>
    <w:rsid w:val="00942A6C"/>
    <w:rsid w:val="0094481D"/>
    <w:rsid w:val="00953A57"/>
    <w:rsid w:val="00953F51"/>
    <w:rsid w:val="00961DF3"/>
    <w:rsid w:val="00962218"/>
    <w:rsid w:val="00964BD2"/>
    <w:rsid w:val="00967D00"/>
    <w:rsid w:val="00970A33"/>
    <w:rsid w:val="00971D6B"/>
    <w:rsid w:val="00972CAB"/>
    <w:rsid w:val="009754A1"/>
    <w:rsid w:val="00976281"/>
    <w:rsid w:val="009825B7"/>
    <w:rsid w:val="009902CA"/>
    <w:rsid w:val="00993536"/>
    <w:rsid w:val="00993A99"/>
    <w:rsid w:val="00993ED9"/>
    <w:rsid w:val="009A0DB5"/>
    <w:rsid w:val="009A2420"/>
    <w:rsid w:val="009A262D"/>
    <w:rsid w:val="009A6B7A"/>
    <w:rsid w:val="009B2B99"/>
    <w:rsid w:val="009B5AA7"/>
    <w:rsid w:val="009C0678"/>
    <w:rsid w:val="009C47BE"/>
    <w:rsid w:val="009C4D6D"/>
    <w:rsid w:val="009C5C86"/>
    <w:rsid w:val="009C6BBF"/>
    <w:rsid w:val="009C76DE"/>
    <w:rsid w:val="009D24B8"/>
    <w:rsid w:val="009D6EDD"/>
    <w:rsid w:val="009E5DCA"/>
    <w:rsid w:val="009E6DEA"/>
    <w:rsid w:val="009F148C"/>
    <w:rsid w:val="009F342C"/>
    <w:rsid w:val="009F417B"/>
    <w:rsid w:val="00A0152F"/>
    <w:rsid w:val="00A07A54"/>
    <w:rsid w:val="00A111BD"/>
    <w:rsid w:val="00A13F22"/>
    <w:rsid w:val="00A156E8"/>
    <w:rsid w:val="00A1686A"/>
    <w:rsid w:val="00A216D7"/>
    <w:rsid w:val="00A23B34"/>
    <w:rsid w:val="00A258AD"/>
    <w:rsid w:val="00A25B18"/>
    <w:rsid w:val="00A27D27"/>
    <w:rsid w:val="00A35FCC"/>
    <w:rsid w:val="00A374EB"/>
    <w:rsid w:val="00A40D78"/>
    <w:rsid w:val="00A43B07"/>
    <w:rsid w:val="00A43E4E"/>
    <w:rsid w:val="00A44237"/>
    <w:rsid w:val="00A47949"/>
    <w:rsid w:val="00A50292"/>
    <w:rsid w:val="00A53E68"/>
    <w:rsid w:val="00A5563C"/>
    <w:rsid w:val="00A639DC"/>
    <w:rsid w:val="00A70F8C"/>
    <w:rsid w:val="00A734EB"/>
    <w:rsid w:val="00A822FF"/>
    <w:rsid w:val="00A83F76"/>
    <w:rsid w:val="00A8487A"/>
    <w:rsid w:val="00A84B79"/>
    <w:rsid w:val="00A871BB"/>
    <w:rsid w:val="00A90053"/>
    <w:rsid w:val="00A900AB"/>
    <w:rsid w:val="00A93317"/>
    <w:rsid w:val="00A959C8"/>
    <w:rsid w:val="00A9734B"/>
    <w:rsid w:val="00AA1D49"/>
    <w:rsid w:val="00AA1FFC"/>
    <w:rsid w:val="00AA35EE"/>
    <w:rsid w:val="00AA760E"/>
    <w:rsid w:val="00AC05F5"/>
    <w:rsid w:val="00AC4572"/>
    <w:rsid w:val="00AC55DC"/>
    <w:rsid w:val="00AC59DC"/>
    <w:rsid w:val="00AC63DC"/>
    <w:rsid w:val="00AC7A78"/>
    <w:rsid w:val="00AD04E4"/>
    <w:rsid w:val="00AD1E17"/>
    <w:rsid w:val="00AD2C68"/>
    <w:rsid w:val="00AE029D"/>
    <w:rsid w:val="00AE5DE6"/>
    <w:rsid w:val="00AE7113"/>
    <w:rsid w:val="00AF10BD"/>
    <w:rsid w:val="00AF2060"/>
    <w:rsid w:val="00AF33B7"/>
    <w:rsid w:val="00AF5373"/>
    <w:rsid w:val="00B04F90"/>
    <w:rsid w:val="00B13D80"/>
    <w:rsid w:val="00B16046"/>
    <w:rsid w:val="00B216B7"/>
    <w:rsid w:val="00B24444"/>
    <w:rsid w:val="00B2723D"/>
    <w:rsid w:val="00B27615"/>
    <w:rsid w:val="00B34A5B"/>
    <w:rsid w:val="00B3695C"/>
    <w:rsid w:val="00B3768A"/>
    <w:rsid w:val="00B437E8"/>
    <w:rsid w:val="00B50330"/>
    <w:rsid w:val="00B51E34"/>
    <w:rsid w:val="00B5725F"/>
    <w:rsid w:val="00B578BF"/>
    <w:rsid w:val="00B73F54"/>
    <w:rsid w:val="00B74AF7"/>
    <w:rsid w:val="00B76F52"/>
    <w:rsid w:val="00B80EFF"/>
    <w:rsid w:val="00B821D5"/>
    <w:rsid w:val="00B83599"/>
    <w:rsid w:val="00B906A1"/>
    <w:rsid w:val="00B94B69"/>
    <w:rsid w:val="00BA02E3"/>
    <w:rsid w:val="00BA055F"/>
    <w:rsid w:val="00BA5134"/>
    <w:rsid w:val="00BA5F1C"/>
    <w:rsid w:val="00BB0351"/>
    <w:rsid w:val="00BB0F46"/>
    <w:rsid w:val="00BB13C5"/>
    <w:rsid w:val="00BB19BF"/>
    <w:rsid w:val="00BB1D62"/>
    <w:rsid w:val="00BB3D1F"/>
    <w:rsid w:val="00BB49E4"/>
    <w:rsid w:val="00BB64D4"/>
    <w:rsid w:val="00BC2436"/>
    <w:rsid w:val="00BC2F7C"/>
    <w:rsid w:val="00BC42B8"/>
    <w:rsid w:val="00BC4A63"/>
    <w:rsid w:val="00BD0238"/>
    <w:rsid w:val="00BD2ABF"/>
    <w:rsid w:val="00BD59F4"/>
    <w:rsid w:val="00BE1A26"/>
    <w:rsid w:val="00BE2024"/>
    <w:rsid w:val="00BE25A5"/>
    <w:rsid w:val="00BE30D4"/>
    <w:rsid w:val="00BF10A3"/>
    <w:rsid w:val="00BF1E11"/>
    <w:rsid w:val="00BF3DAD"/>
    <w:rsid w:val="00BF5DF9"/>
    <w:rsid w:val="00C0140D"/>
    <w:rsid w:val="00C02E22"/>
    <w:rsid w:val="00C03428"/>
    <w:rsid w:val="00C03851"/>
    <w:rsid w:val="00C0418C"/>
    <w:rsid w:val="00C07177"/>
    <w:rsid w:val="00C078C3"/>
    <w:rsid w:val="00C134C6"/>
    <w:rsid w:val="00C13EB8"/>
    <w:rsid w:val="00C153E4"/>
    <w:rsid w:val="00C200C9"/>
    <w:rsid w:val="00C20431"/>
    <w:rsid w:val="00C20AF3"/>
    <w:rsid w:val="00C23EBC"/>
    <w:rsid w:val="00C23F60"/>
    <w:rsid w:val="00C249B3"/>
    <w:rsid w:val="00C3067A"/>
    <w:rsid w:val="00C31189"/>
    <w:rsid w:val="00C33585"/>
    <w:rsid w:val="00C41149"/>
    <w:rsid w:val="00C4157C"/>
    <w:rsid w:val="00C42950"/>
    <w:rsid w:val="00C45B86"/>
    <w:rsid w:val="00C46D75"/>
    <w:rsid w:val="00C5048E"/>
    <w:rsid w:val="00C507C1"/>
    <w:rsid w:val="00C5111D"/>
    <w:rsid w:val="00C51194"/>
    <w:rsid w:val="00C525C7"/>
    <w:rsid w:val="00C5557C"/>
    <w:rsid w:val="00C56ADF"/>
    <w:rsid w:val="00C621BE"/>
    <w:rsid w:val="00C63E59"/>
    <w:rsid w:val="00C64EC4"/>
    <w:rsid w:val="00C674DF"/>
    <w:rsid w:val="00C709E4"/>
    <w:rsid w:val="00C711E0"/>
    <w:rsid w:val="00C73856"/>
    <w:rsid w:val="00C75F83"/>
    <w:rsid w:val="00C75F9E"/>
    <w:rsid w:val="00C8094C"/>
    <w:rsid w:val="00C82771"/>
    <w:rsid w:val="00C83A2A"/>
    <w:rsid w:val="00C83DCE"/>
    <w:rsid w:val="00C845A8"/>
    <w:rsid w:val="00C8684B"/>
    <w:rsid w:val="00C86D58"/>
    <w:rsid w:val="00C87031"/>
    <w:rsid w:val="00C92184"/>
    <w:rsid w:val="00C92324"/>
    <w:rsid w:val="00C9476F"/>
    <w:rsid w:val="00C94CC3"/>
    <w:rsid w:val="00C95B19"/>
    <w:rsid w:val="00C97436"/>
    <w:rsid w:val="00CA06B1"/>
    <w:rsid w:val="00CA1154"/>
    <w:rsid w:val="00CA20EE"/>
    <w:rsid w:val="00CA6789"/>
    <w:rsid w:val="00CB0A06"/>
    <w:rsid w:val="00CB11E4"/>
    <w:rsid w:val="00CB40B8"/>
    <w:rsid w:val="00CB7809"/>
    <w:rsid w:val="00CC1783"/>
    <w:rsid w:val="00CC18E4"/>
    <w:rsid w:val="00CD23B5"/>
    <w:rsid w:val="00CD2E68"/>
    <w:rsid w:val="00CE5097"/>
    <w:rsid w:val="00CE6CCA"/>
    <w:rsid w:val="00CF6D1C"/>
    <w:rsid w:val="00D00001"/>
    <w:rsid w:val="00D01C1E"/>
    <w:rsid w:val="00D01E56"/>
    <w:rsid w:val="00D045E7"/>
    <w:rsid w:val="00D06262"/>
    <w:rsid w:val="00D12CCD"/>
    <w:rsid w:val="00D1334D"/>
    <w:rsid w:val="00D13A55"/>
    <w:rsid w:val="00D21A85"/>
    <w:rsid w:val="00D22006"/>
    <w:rsid w:val="00D22945"/>
    <w:rsid w:val="00D24E2E"/>
    <w:rsid w:val="00D24F6E"/>
    <w:rsid w:val="00D47220"/>
    <w:rsid w:val="00D47BA9"/>
    <w:rsid w:val="00D47BE1"/>
    <w:rsid w:val="00D5117C"/>
    <w:rsid w:val="00D52B1E"/>
    <w:rsid w:val="00D567EA"/>
    <w:rsid w:val="00D57FAE"/>
    <w:rsid w:val="00D6340D"/>
    <w:rsid w:val="00D64E24"/>
    <w:rsid w:val="00D66789"/>
    <w:rsid w:val="00D66CED"/>
    <w:rsid w:val="00D67B53"/>
    <w:rsid w:val="00D705FE"/>
    <w:rsid w:val="00D74F4C"/>
    <w:rsid w:val="00D7526A"/>
    <w:rsid w:val="00D76A8C"/>
    <w:rsid w:val="00D82E80"/>
    <w:rsid w:val="00D8495F"/>
    <w:rsid w:val="00D859DB"/>
    <w:rsid w:val="00D87A2D"/>
    <w:rsid w:val="00D902C7"/>
    <w:rsid w:val="00D9349D"/>
    <w:rsid w:val="00D94E46"/>
    <w:rsid w:val="00D97518"/>
    <w:rsid w:val="00DA1CCA"/>
    <w:rsid w:val="00DA6B84"/>
    <w:rsid w:val="00DB4F12"/>
    <w:rsid w:val="00DB5718"/>
    <w:rsid w:val="00DB6F60"/>
    <w:rsid w:val="00DC02FF"/>
    <w:rsid w:val="00DD2649"/>
    <w:rsid w:val="00DD4B71"/>
    <w:rsid w:val="00DD5D44"/>
    <w:rsid w:val="00DD5F1F"/>
    <w:rsid w:val="00DE0072"/>
    <w:rsid w:val="00DE33C0"/>
    <w:rsid w:val="00DE623D"/>
    <w:rsid w:val="00DE72D5"/>
    <w:rsid w:val="00DE7B79"/>
    <w:rsid w:val="00DF00C8"/>
    <w:rsid w:val="00DF23A8"/>
    <w:rsid w:val="00DF3958"/>
    <w:rsid w:val="00DF5D61"/>
    <w:rsid w:val="00DF63BB"/>
    <w:rsid w:val="00DF668F"/>
    <w:rsid w:val="00E005EA"/>
    <w:rsid w:val="00E029C9"/>
    <w:rsid w:val="00E1005A"/>
    <w:rsid w:val="00E10AEB"/>
    <w:rsid w:val="00E1323B"/>
    <w:rsid w:val="00E13B4E"/>
    <w:rsid w:val="00E14544"/>
    <w:rsid w:val="00E145A5"/>
    <w:rsid w:val="00E16EDC"/>
    <w:rsid w:val="00E254ED"/>
    <w:rsid w:val="00E26BE7"/>
    <w:rsid w:val="00E33802"/>
    <w:rsid w:val="00E349A3"/>
    <w:rsid w:val="00E34EB7"/>
    <w:rsid w:val="00E403F2"/>
    <w:rsid w:val="00E411A1"/>
    <w:rsid w:val="00E42446"/>
    <w:rsid w:val="00E476BE"/>
    <w:rsid w:val="00E5264A"/>
    <w:rsid w:val="00E56BFA"/>
    <w:rsid w:val="00E57D52"/>
    <w:rsid w:val="00E61AF0"/>
    <w:rsid w:val="00E64427"/>
    <w:rsid w:val="00E65311"/>
    <w:rsid w:val="00E669B6"/>
    <w:rsid w:val="00E71CC7"/>
    <w:rsid w:val="00E73599"/>
    <w:rsid w:val="00E73C88"/>
    <w:rsid w:val="00E77780"/>
    <w:rsid w:val="00E82143"/>
    <w:rsid w:val="00E82598"/>
    <w:rsid w:val="00E82C16"/>
    <w:rsid w:val="00E83119"/>
    <w:rsid w:val="00E871D5"/>
    <w:rsid w:val="00E87703"/>
    <w:rsid w:val="00E91E77"/>
    <w:rsid w:val="00E92C6E"/>
    <w:rsid w:val="00E94BCB"/>
    <w:rsid w:val="00EB2610"/>
    <w:rsid w:val="00EB4029"/>
    <w:rsid w:val="00EB500A"/>
    <w:rsid w:val="00EB60BE"/>
    <w:rsid w:val="00EC147E"/>
    <w:rsid w:val="00EC56BB"/>
    <w:rsid w:val="00ED244F"/>
    <w:rsid w:val="00EE62BE"/>
    <w:rsid w:val="00EE7F4D"/>
    <w:rsid w:val="00EF1CEE"/>
    <w:rsid w:val="00EF5E73"/>
    <w:rsid w:val="00F03A26"/>
    <w:rsid w:val="00F05E4C"/>
    <w:rsid w:val="00F074DD"/>
    <w:rsid w:val="00F07C54"/>
    <w:rsid w:val="00F14DA4"/>
    <w:rsid w:val="00F256F7"/>
    <w:rsid w:val="00F318A0"/>
    <w:rsid w:val="00F33E44"/>
    <w:rsid w:val="00F35353"/>
    <w:rsid w:val="00F355BD"/>
    <w:rsid w:val="00F367D0"/>
    <w:rsid w:val="00F37FC5"/>
    <w:rsid w:val="00F44910"/>
    <w:rsid w:val="00F44B17"/>
    <w:rsid w:val="00F46C83"/>
    <w:rsid w:val="00F52E17"/>
    <w:rsid w:val="00F533DE"/>
    <w:rsid w:val="00F62015"/>
    <w:rsid w:val="00F65C7A"/>
    <w:rsid w:val="00F668E1"/>
    <w:rsid w:val="00F72138"/>
    <w:rsid w:val="00F7648C"/>
    <w:rsid w:val="00F80BB7"/>
    <w:rsid w:val="00F84E3B"/>
    <w:rsid w:val="00F859CF"/>
    <w:rsid w:val="00F95486"/>
    <w:rsid w:val="00F96899"/>
    <w:rsid w:val="00FA01B0"/>
    <w:rsid w:val="00FA278E"/>
    <w:rsid w:val="00FB2BA4"/>
    <w:rsid w:val="00FB6AED"/>
    <w:rsid w:val="00FB7701"/>
    <w:rsid w:val="00FC20CD"/>
    <w:rsid w:val="00FC276C"/>
    <w:rsid w:val="00FC2FC4"/>
    <w:rsid w:val="00FC58FF"/>
    <w:rsid w:val="00FC6680"/>
    <w:rsid w:val="00FD18D6"/>
    <w:rsid w:val="00FD26E6"/>
    <w:rsid w:val="00FD2B59"/>
    <w:rsid w:val="00FD32C0"/>
    <w:rsid w:val="00FD5115"/>
    <w:rsid w:val="00FE1466"/>
    <w:rsid w:val="00FE441D"/>
    <w:rsid w:val="00FE6658"/>
    <w:rsid w:val="00FF362F"/>
    <w:rsid w:val="00FF51A8"/>
    <w:rsid w:val="00FF6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D6A93"/>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2"/>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2">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3">
    <w:name w:val="Body Text Indent 2"/>
    <w:basedOn w:val="a1"/>
    <w:link w:val="24"/>
    <w:uiPriority w:val="99"/>
    <w:semiHidden/>
    <w:unhideWhenUsed/>
    <w:rsid w:val="00BD0238"/>
    <w:pPr>
      <w:spacing w:after="120" w:line="480" w:lineRule="auto"/>
      <w:ind w:leftChars="200" w:left="480"/>
    </w:pPr>
  </w:style>
  <w:style w:type="character" w:customStyle="1" w:styleId="24">
    <w:name w:val="本文縮排 2 字元"/>
    <w:basedOn w:val="a2"/>
    <w:link w:val="23"/>
    <w:uiPriority w:val="99"/>
    <w:semiHidden/>
    <w:rsid w:val="00BD0238"/>
    <w:rPr>
      <w:rFonts w:eastAsia="標楷體"/>
      <w:kern w:val="2"/>
      <w:sz w:val="32"/>
    </w:rPr>
  </w:style>
  <w:style w:type="character" w:customStyle="1" w:styleId="30">
    <w:name w:val="標題 3 字元"/>
    <w:basedOn w:val="a2"/>
    <w:link w:val="3"/>
    <w:rsid w:val="008D0C50"/>
    <w:rPr>
      <w:rFonts w:ascii="標楷體" w:eastAsia="標楷體" w:hAnsi="Arial"/>
      <w:bCs/>
      <w:sz w:val="32"/>
      <w:szCs w:val="36"/>
    </w:rPr>
  </w:style>
  <w:style w:type="paragraph" w:customStyle="1" w:styleId="Default">
    <w:name w:val="Default"/>
    <w:rsid w:val="00E33802"/>
    <w:pPr>
      <w:widowControl w:val="0"/>
      <w:autoSpaceDE w:val="0"/>
      <w:autoSpaceDN w:val="0"/>
      <w:adjustRightInd w:val="0"/>
    </w:pPr>
    <w:rPr>
      <w:rFonts w:ascii="標楷體" w:eastAsia="標楷體" w:cs="標楷體"/>
      <w:color w:val="000000"/>
      <w:sz w:val="24"/>
      <w:szCs w:val="24"/>
    </w:rPr>
  </w:style>
  <w:style w:type="paragraph" w:styleId="af6">
    <w:name w:val="List Paragraph"/>
    <w:basedOn w:val="a1"/>
    <w:uiPriority w:val="34"/>
    <w:qFormat/>
    <w:rsid w:val="008C638F"/>
    <w:pPr>
      <w:ind w:leftChars="200" w:left="480"/>
    </w:pPr>
    <w:rPr>
      <w:rFonts w:asciiTheme="minorHAnsi" w:eastAsiaTheme="minorEastAsia"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AFF6E-EB43-4298-8692-92D8602B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40</TotalTime>
  <Pages>12</Pages>
  <Words>1061</Words>
  <Characters>6049</Characters>
  <Application>Microsoft Office Word</Application>
  <DocSecurity>0</DocSecurity>
  <Lines>50</Lines>
  <Paragraphs>14</Paragraphs>
  <ScaleCrop>false</ScaleCrop>
  <Company>cy</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楊勝傑</cp:lastModifiedBy>
  <cp:revision>3</cp:revision>
  <cp:lastPrinted>2022-07-13T07:32:00Z</cp:lastPrinted>
  <dcterms:created xsi:type="dcterms:W3CDTF">2025-08-15T08:57:00Z</dcterms:created>
  <dcterms:modified xsi:type="dcterms:W3CDTF">2025-08-18T01:41:00Z</dcterms:modified>
</cp:coreProperties>
</file>