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1A44" w14:textId="77777777" w:rsidR="00D75644" w:rsidRPr="00F828A5" w:rsidRDefault="0025106C" w:rsidP="00F37D7B">
      <w:pPr>
        <w:pStyle w:val="af0"/>
      </w:pPr>
      <w:bookmarkStart w:id="0" w:name="_Hlk197334692"/>
      <w:bookmarkEnd w:id="0"/>
      <w:r w:rsidRPr="00F828A5">
        <w:rPr>
          <w:rFonts w:hint="eastAsia"/>
        </w:rPr>
        <w:t>糾正案文</w:t>
      </w:r>
    </w:p>
    <w:p w14:paraId="481866F6" w14:textId="2935D2A5" w:rsidR="00E25849" w:rsidRPr="00F828A5" w:rsidRDefault="0025106C" w:rsidP="00F231DC">
      <w:pPr>
        <w:pStyle w:val="1"/>
      </w:pPr>
      <w:r w:rsidRPr="00F828A5">
        <w:rPr>
          <w:rFonts w:hint="eastAsia"/>
        </w:rPr>
        <w:t>被糾正機關：</w:t>
      </w:r>
      <w:r w:rsidR="008B5B8D" w:rsidRPr="00F828A5">
        <w:rPr>
          <w:rFonts w:hAnsi="標楷體" w:hint="eastAsia"/>
        </w:rPr>
        <w:t>新竹縣政府</w:t>
      </w:r>
      <w:r w:rsidRPr="00F828A5">
        <w:rPr>
          <w:rFonts w:hint="eastAsia"/>
        </w:rPr>
        <w:t>。</w:t>
      </w:r>
    </w:p>
    <w:p w14:paraId="3EA04BBE" w14:textId="2F82BD8B" w:rsidR="001E4CE2" w:rsidRPr="00F828A5" w:rsidRDefault="001E4CE2" w:rsidP="001F2F23">
      <w:pPr>
        <w:pStyle w:val="1"/>
        <w:kinsoku w:val="0"/>
        <w:wordWrap w:val="0"/>
        <w:rPr>
          <w:rFonts w:hAnsi="標楷體"/>
        </w:rPr>
      </w:pPr>
      <w:r w:rsidRPr="00F828A5">
        <w:rPr>
          <w:rFonts w:hint="eastAsia"/>
        </w:rPr>
        <w:t>案　　　由：</w:t>
      </w:r>
      <w:r w:rsidRPr="00F828A5">
        <w:rPr>
          <w:rFonts w:hAnsi="標楷體" w:hint="eastAsia"/>
        </w:rPr>
        <w:t>新竹縣政府辦理豐邑建設股份有限公司於竹北市莊敬六街「豐采520」建案基地用途容許變更之審議，核有嚴重瑕疵；其核定之回饋機制不僅欠缺依據、基準過時且為個案量身訂作，顯失公允，並嚴重損及政府公信與市場公平性。該府於建案施工期間，周邊道路連續發生5次坍塌事件，顯未能落實監督管理職責；對於承造商未按圖施作地下工程所肇生之結構安全風險，亦未能於相關安全與損鄰疑慮</w:t>
      </w:r>
      <w:r w:rsidR="009C31DD" w:rsidRPr="00F828A5">
        <w:rPr>
          <w:rFonts w:hAnsi="標楷體" w:hint="eastAsia"/>
        </w:rPr>
        <w:t>未獲</w:t>
      </w:r>
      <w:r w:rsidRPr="00F828A5">
        <w:rPr>
          <w:rFonts w:hAnsi="標楷體" w:hint="eastAsia"/>
        </w:rPr>
        <w:t>釐清前，即率予同意復工。另該建案歷經二次重大設計變更，計畫內容已有實質鉅變，該府卻仍率予適用96年舊有建造執照，致建築期限延長達16年，未能審慎衡酌相關函釋於此特殊個案適用之妥適性，</w:t>
      </w:r>
      <w:r w:rsidR="009C31DD" w:rsidRPr="00F828A5">
        <w:rPr>
          <w:rFonts w:hAnsi="標楷體" w:hint="eastAsia"/>
        </w:rPr>
        <w:t>易滋生</w:t>
      </w:r>
      <w:r w:rsidRPr="00F828A5">
        <w:rPr>
          <w:rFonts w:hAnsi="標楷體" w:hint="eastAsia"/>
        </w:rPr>
        <w:t>規避新法規之疑慮，亦有礙建築管理與時俱進</w:t>
      </w:r>
      <w:r w:rsidR="009C31DD" w:rsidRPr="00F828A5">
        <w:rPr>
          <w:rFonts w:hAnsi="標楷體" w:hint="eastAsia"/>
        </w:rPr>
        <w:t>。是以</w:t>
      </w:r>
      <w:r w:rsidRPr="00F828A5">
        <w:rPr>
          <w:rFonts w:hAnsi="標楷體" w:hint="eastAsia"/>
        </w:rPr>
        <w:t>，新竹縣政府於本案都市計畫審議、施工管理、公安維護及建照變更審核等環節，均嚴重損及政府公信與公共利益，核有違失，爰依法提案糾正。</w:t>
      </w:r>
    </w:p>
    <w:p w14:paraId="187ED481" w14:textId="3982CEC5" w:rsidR="00E25849" w:rsidRPr="00F828A5"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F828A5">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EA3C2C9" w14:textId="7FB81C6E" w:rsidR="00D41BEA" w:rsidRPr="00F828A5" w:rsidRDefault="00D41BEA" w:rsidP="003A5B7B">
      <w:pPr>
        <w:pStyle w:val="10"/>
        <w:ind w:left="680" w:firstLine="656"/>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F828A5">
        <w:rPr>
          <w:rFonts w:hAnsi="標楷體" w:hint="eastAsia"/>
          <w:spacing w:val="-6"/>
        </w:rPr>
        <w:t>據訴</w:t>
      </w:r>
      <w:r w:rsidR="009A3724" w:rsidRPr="00F828A5">
        <w:rPr>
          <w:rFonts w:hAnsi="標楷體" w:hint="eastAsia"/>
          <w:spacing w:val="-6"/>
        </w:rPr>
        <w:t>，</w:t>
      </w:r>
      <w:r w:rsidRPr="00F828A5">
        <w:rPr>
          <w:rFonts w:hAnsi="標楷體" w:hint="eastAsia"/>
          <w:spacing w:val="-6"/>
        </w:rPr>
        <w:t>豐邑建設股份有限公司(下稱豐邑建設公司)於新竹縣竹北市莊敬六街興建「豐采520」建案，其基地原係都市計畫商業區(限供商場及旅館使用)，於民國(下同)96年核發建造執照後，不僅獲新竹縣政府多次核准展延工期至117年，復同意變更為住宅及商辦使用。案經本院調閱新竹縣政府、臺灣新竹地方檢察署</w:t>
      </w:r>
      <w:r w:rsidRPr="00F828A5">
        <w:rPr>
          <w:rFonts w:hAnsi="標楷體" w:hint="eastAsia"/>
          <w:bCs/>
        </w:rPr>
        <w:t>(</w:t>
      </w:r>
      <w:r w:rsidRPr="00F828A5">
        <w:rPr>
          <w:rFonts w:hAnsi="標楷體"/>
          <w:bCs/>
        </w:rPr>
        <w:t>下稱新竹地檢署</w:t>
      </w:r>
      <w:r w:rsidRPr="00F828A5">
        <w:rPr>
          <w:rFonts w:hAnsi="標楷體" w:hint="eastAsia"/>
          <w:bCs/>
        </w:rPr>
        <w:t>)</w:t>
      </w:r>
      <w:r w:rsidRPr="00F828A5">
        <w:rPr>
          <w:rFonts w:hAnsi="標楷體" w:hint="eastAsia"/>
          <w:spacing w:val="-6"/>
        </w:rPr>
        <w:t>等機關</w:t>
      </w:r>
      <w:r w:rsidRPr="00F828A5">
        <w:rPr>
          <w:rFonts w:hAnsi="標楷體" w:hint="eastAsia"/>
          <w:spacing w:val="-6"/>
        </w:rPr>
        <w:lastRenderedPageBreak/>
        <w:t>卷證資料，辦理現場履勘，並詢問相關機關主管人員。調查程序雖曾因涉案人員進入司法偵審程序而暫停，嗣恢復並續行調查後發現，該建案於施工期間屢生爭議，民眾亦多次陳情周邊具沉陷之虞，然新竹縣政府未能切實履行監督管理職責，反覆停、復工之審查流於草率，終致道路多次塌陷之後果。其行政處置確有違失，應予糾正促其檢討改善。茲臚列事實與理由如下：</w:t>
      </w:r>
    </w:p>
    <w:p w14:paraId="7370800A" w14:textId="77777777" w:rsidR="009A3724" w:rsidRPr="00F828A5" w:rsidRDefault="009A3724" w:rsidP="009A3724">
      <w:pPr>
        <w:pStyle w:val="2"/>
        <w:numPr>
          <w:ilvl w:val="1"/>
          <w:numId w:val="1"/>
        </w:numPr>
        <w:rPr>
          <w:rFonts w:hAnsi="標楷體"/>
          <w:b w:val="0"/>
          <w:bCs w:val="0"/>
        </w:rPr>
      </w:pPr>
      <w:bookmarkStart w:id="42" w:name="_Hlk197331520"/>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6"/>
      <w:bookmarkEnd w:id="37"/>
      <w:bookmarkEnd w:id="38"/>
      <w:bookmarkEnd w:id="39"/>
      <w:bookmarkEnd w:id="40"/>
      <w:bookmarkEnd w:id="41"/>
      <w:r w:rsidRPr="00F828A5">
        <w:rPr>
          <w:rFonts w:hAnsi="標楷體"/>
          <w:bCs w:val="0"/>
          <w:szCs w:val="36"/>
        </w:rPr>
        <w:t>新竹縣政府於辦理</w:t>
      </w:r>
      <w:r w:rsidRPr="00F828A5">
        <w:rPr>
          <w:rFonts w:hAnsi="標楷體" w:hint="eastAsia"/>
          <w:bCs w:val="0"/>
        </w:rPr>
        <w:t>「變更竹北(含斗崙地區)都市計</w:t>
      </w:r>
      <w:r w:rsidRPr="00F828A5">
        <w:rPr>
          <w:rFonts w:hAnsi="標楷體" w:hint="eastAsia"/>
          <w:b w:val="0"/>
          <w:bCs w:val="0"/>
        </w:rPr>
        <w:t>畫</w:t>
      </w:r>
      <w:r w:rsidRPr="00F828A5">
        <w:rPr>
          <w:rFonts w:hAnsi="標楷體" w:hint="eastAsia"/>
          <w:bCs w:val="0"/>
        </w:rPr>
        <w:t>(整併體育公園附近地區)細部計畫通盤檢討</w:t>
      </w:r>
      <w:r w:rsidRPr="00F828A5">
        <w:rPr>
          <w:rFonts w:hAnsi="標楷體" w:hint="eastAsia"/>
          <w:b w:val="0"/>
          <w:bCs w:val="0"/>
        </w:rPr>
        <w:t>」</w:t>
      </w:r>
      <w:r w:rsidRPr="00F828A5">
        <w:rPr>
          <w:rFonts w:hAnsi="標楷體" w:hint="eastAsia"/>
          <w:bCs w:val="0"/>
          <w:szCs w:val="36"/>
        </w:rPr>
        <w:t>之</w:t>
      </w:r>
      <w:r w:rsidRPr="00F828A5">
        <w:rPr>
          <w:rFonts w:hAnsi="標楷體"/>
          <w:bCs w:val="0"/>
          <w:szCs w:val="36"/>
        </w:rPr>
        <w:t>審議</w:t>
      </w:r>
      <w:r w:rsidRPr="00F828A5">
        <w:rPr>
          <w:rFonts w:hAnsi="標楷體" w:hint="eastAsia"/>
          <w:bCs w:val="0"/>
          <w:szCs w:val="36"/>
        </w:rPr>
        <w:t>對於該</w:t>
      </w:r>
      <w:r w:rsidRPr="00F828A5">
        <w:rPr>
          <w:rFonts w:hAnsi="標楷體" w:hint="eastAsia"/>
          <w:bCs w:val="0"/>
        </w:rPr>
        <w:t>縣竹北市大學段520地號</w:t>
      </w:r>
      <w:r w:rsidRPr="00F828A5">
        <w:rPr>
          <w:rFonts w:hAnsi="標楷體"/>
          <w:bCs w:val="0"/>
          <w:szCs w:val="36"/>
        </w:rPr>
        <w:t>土地</w:t>
      </w:r>
      <w:r w:rsidRPr="00F828A5">
        <w:rPr>
          <w:rFonts w:hAnsi="標楷體" w:hint="eastAsia"/>
          <w:bCs w:val="0"/>
          <w:szCs w:val="36"/>
        </w:rPr>
        <w:t>之</w:t>
      </w:r>
      <w:r w:rsidRPr="00F828A5">
        <w:rPr>
          <w:rFonts w:hAnsi="標楷體"/>
          <w:bCs w:val="0"/>
          <w:szCs w:val="36"/>
        </w:rPr>
        <w:t>使用變更及回饋機制時，其程序與實體均核有重大瑕疵與疏失。程序上，</w:t>
      </w:r>
      <w:r w:rsidRPr="00F828A5">
        <w:rPr>
          <w:rFonts w:hAnsi="標楷體" w:hint="eastAsia"/>
          <w:bCs w:val="0"/>
          <w:szCs w:val="36"/>
        </w:rPr>
        <w:t>新竹</w:t>
      </w:r>
      <w:r w:rsidRPr="00F828A5">
        <w:rPr>
          <w:rFonts w:hAnsi="標楷體"/>
          <w:bCs w:val="0"/>
        </w:rPr>
        <w:t>縣</w:t>
      </w:r>
      <w:r w:rsidRPr="00F828A5">
        <w:rPr>
          <w:rFonts w:hAnsi="標楷體" w:hint="eastAsia"/>
          <w:bCs w:val="0"/>
        </w:rPr>
        <w:t>政府</w:t>
      </w:r>
      <w:r w:rsidRPr="00F828A5">
        <w:rPr>
          <w:rFonts w:hAnsi="標楷體"/>
          <w:bCs w:val="0"/>
          <w:szCs w:val="36"/>
        </w:rPr>
        <w:t>於專案小組作成保留建議後，再度受理涉及實質重大變更之陳情卻未發回專案小組審議，逕提大會通過，顯已架空專家審議機制；實體上，其核定之回饋金公式來源不明、基準過時、未經專業評估，且為單一個案適用，公平性與合理性備受質疑，過程啟人疑竇。</w:t>
      </w:r>
      <w:r w:rsidRPr="00F828A5">
        <w:rPr>
          <w:rFonts w:hAnsi="標楷體" w:hint="eastAsia"/>
          <w:bCs w:val="0"/>
          <w:szCs w:val="36"/>
        </w:rPr>
        <w:t>又</w:t>
      </w:r>
      <w:r w:rsidRPr="00F828A5">
        <w:rPr>
          <w:rFonts w:hAnsi="標楷體"/>
          <w:bCs w:val="0"/>
        </w:rPr>
        <w:t>新竹縣政府</w:t>
      </w:r>
      <w:r w:rsidRPr="00F828A5">
        <w:rPr>
          <w:rFonts w:hAnsi="標楷體"/>
          <w:bCs w:val="0"/>
          <w:szCs w:val="36"/>
        </w:rPr>
        <w:t>同意回饋金延至申請使用執照時始繳納，卻未於建造執照及歷次變更設計中加註此一重要負擔條件，本案開發</w:t>
      </w:r>
      <w:r w:rsidRPr="00F828A5">
        <w:rPr>
          <w:rFonts w:hAnsi="標楷體" w:hint="eastAsia"/>
          <w:bCs w:val="0"/>
          <w:szCs w:val="36"/>
        </w:rPr>
        <w:t>案變更</w:t>
      </w:r>
      <w:r w:rsidRPr="00F828A5">
        <w:rPr>
          <w:rFonts w:hAnsi="標楷體"/>
          <w:bCs w:val="0"/>
          <w:szCs w:val="36"/>
        </w:rPr>
        <w:t>迄今尚未繳納回饋金，致生後續追繳困難或遺漏之風險。凡此種種，不僅有違都市計畫審議應遵循之公開、透明、專業及公平原則，損及政府公信力，更難謂無圖利特定廠商之嫌，洵屬不當，應予澈底檢討改進。</w:t>
      </w:r>
    </w:p>
    <w:p w14:paraId="3DECED29" w14:textId="77777777" w:rsidR="009A3724" w:rsidRPr="00F828A5" w:rsidRDefault="009A3724" w:rsidP="009A3724">
      <w:pPr>
        <w:pStyle w:val="3"/>
        <w:numPr>
          <w:ilvl w:val="2"/>
          <w:numId w:val="1"/>
        </w:numPr>
        <w:rPr>
          <w:rFonts w:hAnsi="標楷體"/>
        </w:rPr>
      </w:pPr>
      <w:r w:rsidRPr="00F828A5">
        <w:rPr>
          <w:rFonts w:hAnsi="標楷體" w:hint="eastAsia"/>
        </w:rPr>
        <w:t>按101年1月4日土地徵收條例修正公布，其中第30條規定：「被徵收之土地，應按照徵收當期之市價補償其地價。在都市計畫區內之公共設施保留地，應按毗鄰非公共設施保留地之平均市價補償其地價。前項市價，由直轄市、縣(市)主管機關提交地價評議委員會評定之。」有關回饋金之計算，新竹縣政府於108年2月25日公告發布實施「變更竹東(頭重、二</w:t>
      </w:r>
      <w:r w:rsidRPr="00F828A5">
        <w:rPr>
          <w:rFonts w:hAnsi="標楷體" w:hint="eastAsia"/>
        </w:rPr>
        <w:lastRenderedPageBreak/>
        <w:t>重、三重地區)都市計畫(合併「高速公路新竹交流道附近特定區計畫」新竹縣轄部分)(部分甲種工業區為科技商務服務專用區、公園用地、停車場用地及道路用地)案」已採用「市價」計算，目前該府發布實施案件採用「市價」計算共計3案。針對都市計畫變更案件涉及回饋金之計算方式以「市價」或「當期土地公告現值加成」方式辦理，或該市價經由不動產估價師進行查估，另該府稱，已刻正修訂「新竹縣各都市計畫地區土地使用變更回饋審議原則」，未來應提供或捐贈事項倘屬代金者，原則將以市價方式計算，合予敘明。</w:t>
      </w:r>
    </w:p>
    <w:p w14:paraId="45530EBE" w14:textId="77777777" w:rsidR="009A3724" w:rsidRPr="00F828A5" w:rsidRDefault="009A3724" w:rsidP="009A3724">
      <w:pPr>
        <w:pStyle w:val="3"/>
        <w:numPr>
          <w:ilvl w:val="2"/>
          <w:numId w:val="1"/>
        </w:numPr>
        <w:rPr>
          <w:rFonts w:hAnsi="標楷體"/>
        </w:rPr>
      </w:pPr>
      <w:r w:rsidRPr="00F828A5">
        <w:rPr>
          <w:rFonts w:hAnsi="標楷體" w:hint="eastAsia"/>
        </w:rPr>
        <w:t>次按新竹縣各都市計畫地區土地使用變更回饋審議原則(1</w:t>
      </w:r>
      <w:r w:rsidRPr="00F828A5">
        <w:rPr>
          <w:rFonts w:hAnsi="標楷體"/>
        </w:rPr>
        <w:t>06</w:t>
      </w:r>
      <w:r w:rsidRPr="00F828A5">
        <w:rPr>
          <w:rFonts w:hAnsi="標楷體" w:hint="eastAsia"/>
        </w:rPr>
        <w:t>年</w:t>
      </w:r>
      <w:r w:rsidRPr="00F828A5">
        <w:rPr>
          <w:rFonts w:hAnsi="標楷體"/>
        </w:rPr>
        <w:t>1</w:t>
      </w:r>
      <w:r w:rsidRPr="00F828A5">
        <w:rPr>
          <w:rFonts w:hAnsi="標楷體" w:hint="eastAsia"/>
        </w:rPr>
        <w:t>月</w:t>
      </w:r>
      <w:r w:rsidRPr="00F828A5">
        <w:rPr>
          <w:rFonts w:hAnsi="標楷體"/>
        </w:rPr>
        <w:t>19</w:t>
      </w:r>
      <w:r w:rsidRPr="00F828A5">
        <w:rPr>
          <w:rFonts w:hAnsi="標楷體" w:hint="eastAsia"/>
        </w:rPr>
        <w:t>日)與精神，有關回饋金之計算與回饋方式，新竹縣政府為因應快速變動社會之都市土地利用需求，並顧及社會公平、正義及加速公共設施之開闢，提升都市環境品質，針對新竹縣都市計畫區土地使用變更需繳納回饋金等之審議，對於回饋金之回饋標準、回饋類型、外部性影響負擔、內部性公共設施負擔、回饋方式、回饋時機、金額等，以及可酌予調整百分比等訂定相關原則。且</w:t>
      </w:r>
      <w:r w:rsidRPr="00F828A5">
        <w:rPr>
          <w:rFonts w:hAnsi="標楷體"/>
        </w:rPr>
        <w:t>都市計畫擬定與變更程序，旨在透過公開透明、專業審議及公眾參與等法定程序，確保土地利用符合公共利益與永續發展。其中，依「各級都市計畫委員會組織規程」第12條規定設立之專案小組，係藉由專家學者之專業知識與實地調查，針對複雜或特定議題進行深入研析，提出初步專業建議，以輔助都市計畫委員會進行審議與決策，提升審議品質與效率。故專案小組之審議意見，雖非最終決議，然其專業性與重要性應受尊重，於無重大情事變更或充分理由下，不應輕易推翻或架空。另都市計畫變更</w:t>
      </w:r>
      <w:r w:rsidRPr="00F828A5">
        <w:rPr>
          <w:rFonts w:hAnsi="標楷體"/>
        </w:rPr>
        <w:lastRenderedPageBreak/>
        <w:t>涉及土地使用強度或容許項目增加時，基於公平正義原則及都市計畫法第27條之1規定，訂定合理、客觀、透明之回饋機制，以使土地增值利益部分回饋社會，乃法定職責。回饋機制之訂定，應審慎評估土地價值變化、公共設施負擔等因素，並宜參酌專家意見或專業估價結果，力求其公平性與合理性。</w:t>
      </w:r>
    </w:p>
    <w:p w14:paraId="1E69687D" w14:textId="14FC900C" w:rsidR="009A3724" w:rsidRPr="00F828A5" w:rsidRDefault="009A3724" w:rsidP="009A3724">
      <w:pPr>
        <w:pStyle w:val="3"/>
        <w:numPr>
          <w:ilvl w:val="2"/>
          <w:numId w:val="1"/>
        </w:numPr>
        <w:rPr>
          <w:rFonts w:hAnsi="標楷體"/>
        </w:rPr>
      </w:pPr>
      <w:r w:rsidRPr="00F828A5">
        <w:rPr>
          <w:rFonts w:hAnsi="標楷體" w:hint="eastAsia"/>
        </w:rPr>
        <w:t>本案</w:t>
      </w:r>
      <w:r w:rsidRPr="00F828A5">
        <w:rPr>
          <w:rFonts w:hAnsi="標楷體"/>
        </w:rPr>
        <w:t>新竹縣政府於104年間辦理「變更竹北(含斗崙地區)都市計畫(整併體育公園附近地區)細部計畫(通盤檢討)案」(下稱本通盤檢討案)期間，針對豐邑百貨股份有限公司(下稱陳情公司)所提竹北市大學段520地號</w:t>
      </w:r>
      <w:r w:rsidRPr="00F828A5">
        <w:rPr>
          <w:rFonts w:hAnsi="標楷體" w:hint="eastAsia"/>
        </w:rPr>
        <w:t>土地</w:t>
      </w:r>
      <w:r w:rsidRPr="00F828A5">
        <w:rPr>
          <w:rFonts w:hAnsi="標楷體"/>
        </w:rPr>
        <w:t>(下稱系爭土地)陳情案(人陳5號、人陳21號)，建議放寬原「限作大型商場或旅館使用」之規定，回歸商業區一般使用項目一節，新竹縣都市計畫委員會專案小組(下稱專案小組)歷經104年4月30日、7月27日、10月8日及12月17日共4次會議審議，最終於第4次會議(104年12月17日)獲致初步建議意見，對陳情公司所提放寬容許使用項目部分「暫予保留」，並決議俟計畫修正後逕提新竹縣都市計畫委員會(下稱縣都委會)大會審議</w:t>
      </w:r>
      <w:r w:rsidRPr="00F828A5">
        <w:rPr>
          <w:rFonts w:hAnsi="標楷體" w:hint="eastAsia"/>
        </w:rPr>
        <w:t>，</w:t>
      </w:r>
      <w:r w:rsidRPr="00F828A5">
        <w:rPr>
          <w:rFonts w:hAnsi="標楷體"/>
        </w:rPr>
        <w:t>此為本案都市計畫變更審議程序之基礎事實。</w:t>
      </w:r>
    </w:p>
    <w:p w14:paraId="4CDA589A" w14:textId="77777777" w:rsidR="009A3724" w:rsidRPr="00F828A5" w:rsidRDefault="009A3724" w:rsidP="009A3724">
      <w:pPr>
        <w:pStyle w:val="3"/>
        <w:numPr>
          <w:ilvl w:val="2"/>
          <w:numId w:val="1"/>
        </w:numPr>
        <w:rPr>
          <w:rFonts w:hAnsi="標楷體"/>
        </w:rPr>
      </w:pPr>
      <w:r w:rsidRPr="00F828A5">
        <w:rPr>
          <w:rFonts w:hAnsi="標楷體"/>
        </w:rPr>
        <w:t>惟新竹縣政府於專案小組作成「暫予保留」之初步建議後，竟於105年1月13日再度受理陳情公司所提第3次陳情(人陳23號)，該次陳情除重申放寬使用限制外，更首次提出「回饋金計算公式」之建議。新竹縣政府受理此重大變革性陳情後，並未將其發回專案小組進行專業審慎之討論與評估，反而逕自將此「專案小組審議後」之陳情案，併入105年2月18日召開之縣都委會第286次會議審議。此舉顯已規避專案小組對新增重大議題(即回饋金公式)之專業審查，使專案小組制度形同虛設。新竹縣政府</w:t>
      </w:r>
      <w:r w:rsidRPr="00F828A5">
        <w:rPr>
          <w:rFonts w:hAnsi="標楷體"/>
        </w:rPr>
        <w:lastRenderedPageBreak/>
        <w:t>雖辯稱受理逾期陳情及併案審議係屬常規且符合內政部函釋精神，然對於已由專案小組審議完竣並作成具體建議之案件，於大會審議前再受理涉及實質內容重大變更(增加回饋金機制以換取放寬限制)之陳情，卻未發回原專案小組續行討論，其程序顯有重大瑕疵，已架空專案小組之功能，核有未當。</w:t>
      </w:r>
    </w:p>
    <w:p w14:paraId="6F85F9F0" w14:textId="77777777" w:rsidR="009A3724" w:rsidRPr="00F828A5" w:rsidRDefault="009A3724" w:rsidP="009A3724">
      <w:pPr>
        <w:pStyle w:val="4"/>
        <w:numPr>
          <w:ilvl w:val="3"/>
          <w:numId w:val="1"/>
        </w:numPr>
        <w:rPr>
          <w:rFonts w:hAnsi="標楷體"/>
        </w:rPr>
      </w:pPr>
      <w:r w:rsidRPr="00F828A5">
        <w:rPr>
          <w:rFonts w:hAnsi="標楷體" w:hint="eastAsia"/>
        </w:rPr>
        <w:t>豐邑百貨於105年1月13日陳情意見(編號：人陳23)建議回饋公式：</w:t>
      </w:r>
    </w:p>
    <w:p w14:paraId="01D25EE8" w14:textId="77777777" w:rsidR="009A3724" w:rsidRPr="00F828A5" w:rsidRDefault="009A3724" w:rsidP="009A3724">
      <w:pPr>
        <w:pStyle w:val="6"/>
        <w:numPr>
          <w:ilvl w:val="0"/>
          <w:numId w:val="0"/>
        </w:numPr>
        <w:ind w:leftChars="375" w:left="1276"/>
        <w:rPr>
          <w:rFonts w:hAnsi="標楷體"/>
        </w:rPr>
      </w:pPr>
      <w:r w:rsidRPr="00F828A5">
        <w:rPr>
          <w:rFonts w:hAnsi="標楷體"/>
          <w:noProof/>
        </w:rPr>
        <w:drawing>
          <wp:inline distT="0" distB="0" distL="0" distR="0" wp14:anchorId="088D98A2" wp14:editId="7DF067B6">
            <wp:extent cx="4849200" cy="1497600"/>
            <wp:effectExtent l="19050" t="19050" r="27940" b="26670"/>
            <wp:docPr id="1651684352" name="image2.jpeg" descr="一張含有 文字, 字型, 收據, 筆跡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84352" name="image2.jpeg" descr="一張含有 文字, 字型, 收據, 筆跡 的圖片&#10;&#10;AI 產生的內容可能不正確。"/>
                    <pic:cNvPicPr/>
                  </pic:nvPicPr>
                  <pic:blipFill>
                    <a:blip r:embed="rId9" cstate="screen">
                      <a:extLst>
                        <a:ext uri="{28A0092B-C50C-407E-A947-70E740481C1C}">
                          <a14:useLocalDpi xmlns:a14="http://schemas.microsoft.com/office/drawing/2010/main" val="0"/>
                        </a:ext>
                      </a:extLst>
                    </a:blip>
                    <a:stretch>
                      <a:fillRect/>
                    </a:stretch>
                  </pic:blipFill>
                  <pic:spPr>
                    <a:xfrm>
                      <a:off x="0" y="0"/>
                      <a:ext cx="4849200" cy="1497600"/>
                    </a:xfrm>
                    <a:prstGeom prst="rect">
                      <a:avLst/>
                    </a:prstGeom>
                    <a:ln>
                      <a:solidFill>
                        <a:schemeClr val="tx1"/>
                      </a:solidFill>
                    </a:ln>
                  </pic:spPr>
                </pic:pic>
              </a:graphicData>
            </a:graphic>
          </wp:inline>
        </w:drawing>
      </w:r>
    </w:p>
    <w:p w14:paraId="7E8FA15A" w14:textId="77777777" w:rsidR="009A3724" w:rsidRPr="00F828A5" w:rsidRDefault="009A3724" w:rsidP="009A3724">
      <w:pPr>
        <w:pStyle w:val="4"/>
        <w:numPr>
          <w:ilvl w:val="3"/>
          <w:numId w:val="1"/>
        </w:numPr>
        <w:rPr>
          <w:rFonts w:hAnsi="標楷體"/>
        </w:rPr>
      </w:pPr>
      <w:r w:rsidRPr="00F828A5">
        <w:rPr>
          <w:rFonts w:hAnsi="標楷體" w:hint="eastAsia"/>
        </w:rPr>
        <w:t>納入本案基地(大學段520)與鄰近未限制之最高價商業區(大學段219、公園段470)標售單價之回饋公式：</w:t>
      </w:r>
    </w:p>
    <w:p w14:paraId="672DE6F1" w14:textId="77777777" w:rsidR="009A3724" w:rsidRPr="00F828A5" w:rsidRDefault="009A3724" w:rsidP="009A3724">
      <w:pPr>
        <w:pStyle w:val="6"/>
        <w:numPr>
          <w:ilvl w:val="0"/>
          <w:numId w:val="0"/>
        </w:numPr>
        <w:ind w:left="1276"/>
        <w:rPr>
          <w:rFonts w:hAnsi="標楷體"/>
        </w:rPr>
      </w:pPr>
      <w:r w:rsidRPr="00F828A5">
        <w:rPr>
          <w:rFonts w:hAnsi="標楷體"/>
          <w:noProof/>
          <w:sz w:val="20"/>
        </w:rPr>
        <w:drawing>
          <wp:inline distT="0" distB="0" distL="0" distR="0" wp14:anchorId="1DE3085C" wp14:editId="0AC7A1F6">
            <wp:extent cx="4750215" cy="882650"/>
            <wp:effectExtent l="19050" t="19050" r="12700" b="12700"/>
            <wp:docPr id="1441050985" name="image1.jpeg" descr="一張含有 文字, 字型, 白色, 黑與白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50985" name="image1.jpeg" descr="一張含有 文字, 字型, 白色, 黑與白 的圖片&#10;&#10;AI 產生的內容可能不正確。"/>
                    <pic:cNvPicPr/>
                  </pic:nvPicPr>
                  <pic:blipFill>
                    <a:blip r:embed="rId10" cstate="screen">
                      <a:extLst>
                        <a:ext uri="{28A0092B-C50C-407E-A947-70E740481C1C}">
                          <a14:useLocalDpi xmlns:a14="http://schemas.microsoft.com/office/drawing/2010/main"/>
                        </a:ext>
                      </a:extLst>
                    </a:blip>
                    <a:stretch>
                      <a:fillRect/>
                    </a:stretch>
                  </pic:blipFill>
                  <pic:spPr>
                    <a:xfrm>
                      <a:off x="0" y="0"/>
                      <a:ext cx="4764351" cy="885277"/>
                    </a:xfrm>
                    <a:prstGeom prst="rect">
                      <a:avLst/>
                    </a:prstGeom>
                    <a:ln>
                      <a:solidFill>
                        <a:schemeClr val="tx1"/>
                      </a:solidFill>
                    </a:ln>
                  </pic:spPr>
                </pic:pic>
              </a:graphicData>
            </a:graphic>
          </wp:inline>
        </w:drawing>
      </w:r>
    </w:p>
    <w:p w14:paraId="67019606" w14:textId="77777777" w:rsidR="009A3724" w:rsidRPr="00F828A5" w:rsidRDefault="009A3724" w:rsidP="009A3724">
      <w:pPr>
        <w:pStyle w:val="3"/>
        <w:numPr>
          <w:ilvl w:val="2"/>
          <w:numId w:val="1"/>
        </w:numPr>
        <w:rPr>
          <w:rFonts w:hAnsi="標楷體"/>
        </w:rPr>
      </w:pPr>
      <w:r w:rsidRPr="00F828A5">
        <w:rPr>
          <w:rFonts w:hAnsi="標楷體"/>
        </w:rPr>
        <w:t>再按土地使用變更之回饋機制，攸關土地開發利益之公平分配與公共設施之完善，其訂定應具備實質正當性與程序嚴謹性。參酌101年修正公布之土地徵收條例第30條已明定應按「市價」補償，顯示土地價值評估朝向市價基準已為趨勢。新竹縣政府自身於108年後之都市計畫變更回饋金計算，亦已開始採用「市價」並委託專業估價師查估(已有3案實例)，且刻正修訂相關審議原則以符趨勢。另參酌嘉義市、臺中市等地方政府訂定之回饋審議原則，對</w:t>
      </w:r>
      <w:r w:rsidRPr="00F828A5">
        <w:rPr>
          <w:rFonts w:hAnsi="標楷體"/>
        </w:rPr>
        <w:lastRenderedPageBreak/>
        <w:t>於回饋金之計算，多有採計專業估價或以公告現值加成等較具客觀基準之規範，以確保回饋金額之合理性與公平性。</w:t>
      </w:r>
    </w:p>
    <w:p w14:paraId="42E5424A" w14:textId="77777777" w:rsidR="009A3724" w:rsidRPr="00F828A5" w:rsidRDefault="009A3724" w:rsidP="009A3724">
      <w:pPr>
        <w:pStyle w:val="3"/>
        <w:numPr>
          <w:ilvl w:val="2"/>
          <w:numId w:val="1"/>
        </w:numPr>
        <w:rPr>
          <w:rFonts w:hAnsi="標楷體"/>
        </w:rPr>
      </w:pPr>
      <w:r w:rsidRPr="00F828A5">
        <w:rPr>
          <w:rFonts w:hAnsi="標楷體"/>
        </w:rPr>
        <w:t>經查，縣都委會第286次會議紀錄顯示，對於人陳23號案之決議為</w:t>
      </w:r>
      <w:r w:rsidRPr="00F828A5">
        <w:rPr>
          <w:rFonts w:hAnsi="標楷體" w:hint="eastAsia"/>
        </w:rPr>
        <w:t>附表二</w:t>
      </w:r>
      <w:r w:rsidRPr="00F828A5">
        <w:rPr>
          <w:rFonts w:hAnsi="標楷體"/>
        </w:rPr>
        <w:t>(專案小組後陳情意見綜理表)</w:t>
      </w:r>
      <w:r w:rsidRPr="00F828A5">
        <w:rPr>
          <w:rFonts w:hAnsi="標楷體" w:hint="eastAsia"/>
        </w:rPr>
        <w:t>之</w:t>
      </w:r>
      <w:r w:rsidRPr="00F828A5">
        <w:rPr>
          <w:rFonts w:hAnsi="標楷體"/>
        </w:rPr>
        <w:t>「酌予通過，修正內容(詳附表三)請依相關規定納入土地使用分區管制要點敘明</w:t>
      </w:r>
      <w:r w:rsidRPr="00F828A5">
        <w:rPr>
          <w:rFonts w:hAnsi="標楷體" w:hint="eastAsia"/>
        </w:rPr>
        <w:t>……</w:t>
      </w:r>
      <w:r w:rsidRPr="00F828A5">
        <w:rPr>
          <w:rFonts w:hAnsi="標楷體"/>
        </w:rPr>
        <w:t>」。然而，該次會議所通過並納入土地使用分區管制要點之最終版「修正回饋金公式」(載於會議紀錄附表三</w:t>
      </w:r>
      <w:r w:rsidRPr="00F828A5">
        <w:rPr>
          <w:rFonts w:hAnsi="標楷體" w:hint="eastAsia"/>
        </w:rPr>
        <w:t>、專案小組後再向新竹縣政府陳情意見案之修正內容</w:t>
      </w:r>
      <w:r w:rsidRPr="00F828A5">
        <w:rPr>
          <w:rFonts w:hAnsi="標楷體"/>
        </w:rPr>
        <w:t>)，既非陳情公司於人陳23號所提之原始公式，新竹縣政府亦無法具體說明該修正公式之來源、研擬過程、審議依據及合理性。新竹縣政府雖稱</w:t>
      </w:r>
      <w:r w:rsidRPr="00F828A5">
        <w:rPr>
          <w:rFonts w:hAnsi="標楷體" w:hint="eastAsia"/>
        </w:rPr>
        <w:t>最後回饋金計算</w:t>
      </w:r>
      <w:r w:rsidRPr="00F828A5">
        <w:rPr>
          <w:rFonts w:hAnsi="標楷體"/>
        </w:rPr>
        <w:t>公式非由陳情公司提供，卻無法提出證據證明其係經何人、何單位、於何時、基於何種專業判斷與計算基準所研擬；在短短不到一個月時間內，此攸關龐大利益之複雜公式如何產生並獲核定，過程缺乏透明紀錄。尤有甚者，該修正公式之計算基準，竟係以遠在92年、94年之標售單價作為參數，完全忽略101年後應以「市價」評估之原則，亦未經任何不動產估價師進行專業估價，其客觀性與公平性顯有嚴重疑慮。再者，新竹縣政府於會議紀錄中稱係參採「作業單位初核意見」修正通過，然作業單位意見何以凌駕已表達保留意見之專案小組專業判斷？尤其該修正公式隱藏於</w:t>
      </w:r>
      <w:r w:rsidRPr="00F828A5">
        <w:rPr>
          <w:rFonts w:hAnsi="標楷體" w:hint="eastAsia"/>
        </w:rPr>
        <w:t>「</w:t>
      </w:r>
      <w:r w:rsidRPr="00F828A5">
        <w:rPr>
          <w:rFonts w:hAnsi="標楷體"/>
        </w:rPr>
        <w:t>附表三</w:t>
      </w:r>
      <w:r w:rsidRPr="00F828A5">
        <w:rPr>
          <w:rFonts w:hAnsi="標楷體" w:hint="eastAsia"/>
        </w:rPr>
        <w:t>」</w:t>
      </w:r>
      <w:r w:rsidRPr="00F828A5">
        <w:rPr>
          <w:rFonts w:hAnsi="標楷體"/>
        </w:rPr>
        <w:t>，並透過</w:t>
      </w:r>
      <w:r w:rsidRPr="00F828A5">
        <w:rPr>
          <w:rFonts w:hAnsi="標楷體" w:hint="eastAsia"/>
        </w:rPr>
        <w:t>「</w:t>
      </w:r>
      <w:r w:rsidRPr="00F828A5">
        <w:rPr>
          <w:rFonts w:hAnsi="標楷體"/>
        </w:rPr>
        <w:t>附表二</w:t>
      </w:r>
      <w:r w:rsidRPr="00F828A5">
        <w:rPr>
          <w:rFonts w:hAnsi="標楷體" w:hint="eastAsia"/>
        </w:rPr>
        <w:t>」</w:t>
      </w:r>
      <w:r w:rsidRPr="00F828A5">
        <w:rPr>
          <w:rFonts w:hAnsi="標楷體"/>
        </w:rPr>
        <w:t>之決議欄位引述納入，其呈現方式易引人疑竇，是否經大會充分討論及認知其內容與影響，均有不明。此回饋金公式既為新竹縣政府迄今唯一適用個案，其制定過程草率、來源不明、基準過時、缺乏專業審議，顯與常情有違，難脫為</w:t>
      </w:r>
      <w:r w:rsidRPr="00F828A5">
        <w:rPr>
          <w:rFonts w:hAnsi="標楷體"/>
        </w:rPr>
        <w:lastRenderedPageBreak/>
        <w:t>特定個案量身訂做之質疑。</w:t>
      </w:r>
    </w:p>
    <w:p w14:paraId="702CF01D" w14:textId="77777777" w:rsidR="009A3724" w:rsidRPr="00F828A5" w:rsidRDefault="009A3724" w:rsidP="009A3724">
      <w:pPr>
        <w:pStyle w:val="3"/>
        <w:numPr>
          <w:ilvl w:val="2"/>
          <w:numId w:val="1"/>
        </w:numPr>
        <w:rPr>
          <w:rFonts w:hAnsi="標楷體"/>
        </w:rPr>
      </w:pPr>
      <w:r w:rsidRPr="00F828A5">
        <w:rPr>
          <w:rFonts w:hAnsi="標楷體"/>
        </w:rPr>
        <w:t>綜上所述，新竹縣政府於辦理本通盤檢討案審議系爭土地使用變更及回饋機制時，其程序與實體均核有重大瑕疵與疏失。程序上，新竹縣政府於專案小組作成保留建議後，再度受理涉及實質重大變更之陳情卻未發回專案小組審議，逕提大會通過，顯已架空專家審議機制；實體上，其核定之回饋金公式來源不明、基準過時、未經專業評估，且為單一個案適用，公平性與合理性備受質疑，過程啟人疑竇。此外，新竹縣政府同意回饋金延至申請使用執照時始繳納，卻未於建造執照及歷次變更設計中加註此一重要負擔條件，</w:t>
      </w:r>
      <w:r w:rsidRPr="00F828A5">
        <w:rPr>
          <w:rFonts w:hAnsi="標楷體"/>
          <w:bCs w:val="0"/>
        </w:rPr>
        <w:t>本案開發</w:t>
      </w:r>
      <w:r w:rsidRPr="00F828A5">
        <w:rPr>
          <w:rFonts w:hAnsi="標楷體" w:hint="eastAsia"/>
          <w:bCs w:val="0"/>
        </w:rPr>
        <w:t>案變更</w:t>
      </w:r>
      <w:r w:rsidRPr="00F828A5">
        <w:rPr>
          <w:rFonts w:hAnsi="標楷體"/>
          <w:bCs w:val="0"/>
        </w:rPr>
        <w:t>迄今尚未繳納回饋金</w:t>
      </w:r>
      <w:r w:rsidRPr="00F828A5">
        <w:rPr>
          <w:rFonts w:hAnsi="標楷體" w:hint="eastAsia"/>
          <w:bCs w:val="0"/>
        </w:rPr>
        <w:t>，</w:t>
      </w:r>
      <w:r w:rsidRPr="00F828A5">
        <w:rPr>
          <w:rFonts w:hAnsi="標楷體"/>
        </w:rPr>
        <w:t>致生後續追繳困難或遺漏之風險。凡此種種，不僅有違都市計畫審議應遵循之公開、透明、專業及公平原則，損及政府公信力，更難謂無圖利特定廠商之嫌，洵屬不當，應予澈底檢討改進。</w:t>
      </w:r>
    </w:p>
    <w:p w14:paraId="07048392" w14:textId="77777777" w:rsidR="009A3724" w:rsidRPr="00F828A5" w:rsidRDefault="009A3724" w:rsidP="009A3724">
      <w:pPr>
        <w:pStyle w:val="2"/>
        <w:numPr>
          <w:ilvl w:val="1"/>
          <w:numId w:val="1"/>
        </w:numPr>
        <w:rPr>
          <w:rFonts w:hAnsi="標楷體"/>
          <w:b w:val="0"/>
          <w:bCs w:val="0"/>
        </w:rPr>
      </w:pPr>
      <w:r w:rsidRPr="00F828A5">
        <w:rPr>
          <w:rFonts w:hAnsi="標楷體" w:hint="eastAsia"/>
          <w:bCs w:val="0"/>
        </w:rPr>
        <w:t>新竹縣政府將竹北市大學段520地號抵價地設定特定用途限制後辦理標售，致使土地以可能較低之價格標脫；嗣後卻又應本案廠商之請，在未充分尊重專家小組意見及嚴謹評估下，逕自決議放寬該項攸關土地價值之關鍵限制，允許其作更高利潤之住宅使用。此一決策過程與結果，不僅使原標售條件形同具文，更對當初信賴政府公告而參與或未參與投標之其他競爭者，構成實質上之不公平待遇，嚴重斲傷政府標售公產之公信力與嚴肅性，核有重大違失，應予檢討。</w:t>
      </w:r>
    </w:p>
    <w:p w14:paraId="53383568" w14:textId="77777777" w:rsidR="009A3724" w:rsidRPr="00F828A5" w:rsidRDefault="009A3724" w:rsidP="009A3724">
      <w:pPr>
        <w:pStyle w:val="3"/>
        <w:numPr>
          <w:ilvl w:val="2"/>
          <w:numId w:val="1"/>
        </w:numPr>
        <w:rPr>
          <w:rFonts w:hAnsi="標楷體"/>
        </w:rPr>
      </w:pPr>
      <w:r w:rsidRPr="00F828A5">
        <w:rPr>
          <w:rFonts w:hAnsi="標楷體" w:hint="eastAsia"/>
        </w:rPr>
        <w:t>按政府機關標售公有土地，特別是具特定政策目的之抵價地，應本公平、公開、公正之原則辦理。標售前所公告之土地使用限制條件，係構成投標人評估投資風險、決定投標意願與價格之重要基礎。經查，新竹縣政府於92年9月標售系爭土地前，為求竹</w:t>
      </w:r>
      <w:r w:rsidRPr="00F828A5">
        <w:rPr>
          <w:rFonts w:hAnsi="標楷體" w:hint="eastAsia"/>
        </w:rPr>
        <w:lastRenderedPageBreak/>
        <w:t>北市永續發展，明確以92年9月17日府工都字第09201055151號公告，限制系爭土地及大學段521地號土地「僅得作為『大型商場或旅館』興建使用」，並自92年9月18日起生效。此項限制並經該府於同年9月18日針對外界函詢進行釋疑確認在案。該限制顯係影響土地價值及投標決策之關鍵因素，有系爭土地歷經多次降價始於94年標脫，且其得標單價新臺幣(下同)每平方公尺83,688元，明顯低於鄰近未設限之大學段219地號商業區土地標售單價(100,100元/平方公尺)可稽，足證該使用限制對土地市場價值已產生實質影響。</w:t>
      </w:r>
    </w:p>
    <w:p w14:paraId="2E65A78E" w14:textId="7AF3B506" w:rsidR="009A3724" w:rsidRPr="00F828A5" w:rsidRDefault="009A3724" w:rsidP="009A3724">
      <w:pPr>
        <w:pStyle w:val="3"/>
        <w:numPr>
          <w:ilvl w:val="2"/>
          <w:numId w:val="1"/>
        </w:numPr>
        <w:rPr>
          <w:rFonts w:hAnsi="標楷體"/>
        </w:rPr>
      </w:pPr>
      <w:r w:rsidRPr="00F828A5">
        <w:rPr>
          <w:rFonts w:hAnsi="標楷體" w:hint="eastAsia"/>
        </w:rPr>
        <w:t>系爭土地係由新竹縣政府辦理縣治遷建第2期區段徵收計畫所取得之抵價地。該府於94年9月21日將系爭土地(面積：14,105.75平方公尺)標售予廖</w:t>
      </w:r>
      <w:r w:rsidR="00CB405F">
        <w:rPr>
          <w:rFonts w:hAnsi="標楷體" w:hint="eastAsia"/>
        </w:rPr>
        <w:t>○</w:t>
      </w:r>
      <w:r w:rsidRPr="00F828A5">
        <w:rPr>
          <w:rFonts w:hAnsi="標楷體" w:hint="eastAsia"/>
        </w:rPr>
        <w:t>本君，得標單價為每平方公尺83,688元。此為系爭土地產權移轉及原始取得成本之基礎事實。次查，系爭土地於90年11月7日經都市計畫專案通盤檢討，由第3種商業區變更為第2種商業區，容積率由320%提升至420%，旨在增進中心商業區機能並利於招商。然該府卻於提升開發強度後、標售前之92年9月，增設「限作大型商場或旅館」之特定用途限制。嗣後，該府於104年間受理後續取得所有權之豐邑百貨公司陳情放寬該使用限制。案經專案小組審議，包含該府交通旅遊處等單位及專家學者經討論後，於104年12月17日第4次專案小組會議決議對此放寬建議「維持原土地使用限制」(即暫予保留)。詎料，該府竟於專案小組作成明確建議後，仍於105年1月受理陳情人再次陳情(人陳23號)，並規避專案小組續審程序，逕於105年2月18日縣都委會第286次會議，推翻專案小組意見，決議放寬系爭土地</w:t>
      </w:r>
      <w:r w:rsidRPr="00F828A5">
        <w:rPr>
          <w:rFonts w:hAnsi="標楷體" w:hint="eastAsia"/>
        </w:rPr>
        <w:lastRenderedPageBreak/>
        <w:t>使用限制，允許其總樓地板面積之50%得作住宅使用，僅附加繳納回饋金之條件(該回饋金之計算方式與合理性已於調查意見一詳述其重大疑義)。</w:t>
      </w:r>
    </w:p>
    <w:p w14:paraId="0CD9C516" w14:textId="77777777" w:rsidR="009A3724" w:rsidRPr="00F828A5" w:rsidRDefault="009A3724" w:rsidP="009A3724">
      <w:pPr>
        <w:pStyle w:val="3"/>
        <w:numPr>
          <w:ilvl w:val="2"/>
          <w:numId w:val="1"/>
        </w:numPr>
        <w:rPr>
          <w:rFonts w:hAnsi="標楷體"/>
        </w:rPr>
      </w:pPr>
      <w:r w:rsidRPr="00F828A5">
        <w:rPr>
          <w:rFonts w:hAnsi="標楷體" w:hint="eastAsia"/>
        </w:rPr>
        <w:t>復按政府施政應具備連續性與可預測性，對於公有財產之處分，尤應恪守信賴保護及公平原則。標售公告所載明之條件，構成政府與得標人間契約關係之一部，亦係對所有參與投標者之承諾。若於標售完成後，恣意變更原限制條件，特別是朝向有利於得標者之方向變更，將使原標售程序中處於相同競爭地位之其他潛在投標廠商，因信賴政府公告條件而做出之決策(如放棄投標或降低出價)蒙受不利益，顯已悖離行政行為應有之公平性與誠信原則。</w:t>
      </w:r>
    </w:p>
    <w:p w14:paraId="196A8FF2" w14:textId="77777777" w:rsidR="009A3724" w:rsidRPr="00F828A5" w:rsidRDefault="009A3724" w:rsidP="009A3724">
      <w:pPr>
        <w:pStyle w:val="3"/>
        <w:numPr>
          <w:ilvl w:val="2"/>
          <w:numId w:val="1"/>
        </w:numPr>
        <w:rPr>
          <w:rFonts w:hAnsi="標楷體"/>
        </w:rPr>
      </w:pPr>
      <w:r w:rsidRPr="00F828A5">
        <w:rPr>
          <w:rFonts w:hAnsi="標楷體" w:hint="eastAsia"/>
        </w:rPr>
        <w:t>經核本案系爭土地既經該府於標售前明確公告「限制僅得作為大型商場或旅館興建使用」，此一條件應為所有投標人共同信守之基礎。該府於土地標脫多年後，竟受理得標者(或其關係企業)之陳情，並在專案小組表達保留意見後，逕行於縣都委會大會決議放寬該項特定用途限制，允許興建價值更高之住宅產品。此舉無異於單方面改變原標售契約之前提與基礎，使特定得標者額外獲取因原限制條件解除所產生之龐大開發利益。該府雖辯稱放寬使用限制並收取回饋金係屬都市計畫變更之常見作法，然此說法忽略本案係針對「標售時已附加之特定限制條件」進行「事後變更」，其性質與一般性都市計畫通盤檢討或分區變更顯有不同，直接衝擊原標售程序之公平性。對照92年間其他潛在投標廠商係基於「限作商場或旅館」之前提進行評估與競標，該府嗣後為得標者解除此一枷鎖，對其他廠商構成顯失公平之結果。</w:t>
      </w:r>
    </w:p>
    <w:p w14:paraId="2820FE2C" w14:textId="77777777" w:rsidR="009A3724" w:rsidRPr="00F828A5" w:rsidRDefault="009A3724" w:rsidP="009A3724">
      <w:pPr>
        <w:pStyle w:val="3"/>
        <w:numPr>
          <w:ilvl w:val="2"/>
          <w:numId w:val="1"/>
        </w:numPr>
        <w:rPr>
          <w:rFonts w:hAnsi="標楷體"/>
        </w:rPr>
      </w:pPr>
      <w:r w:rsidRPr="00F828A5">
        <w:rPr>
          <w:rFonts w:hAnsi="標楷體" w:hint="eastAsia"/>
        </w:rPr>
        <w:t>綜上所述，新竹縣政府將系爭土地設定特定用途限</w:t>
      </w:r>
      <w:r w:rsidRPr="00F828A5">
        <w:rPr>
          <w:rFonts w:hAnsi="標楷體" w:hint="eastAsia"/>
        </w:rPr>
        <w:lastRenderedPageBreak/>
        <w:t>制後辦理標售，致使土地可能以較低之價格標脫；嗣後卻又應本案廠商之請，在未充分尊重專家小組意見及嚴謹評估下，逕自決議放寬該項攸關土地價值之關鍵限制，允許其作更高利潤之住宅使用。此一決策過程與結果，不僅使原標售條件形同具文，更對當初信賴政府公告而參與或未參與投標之其他競爭者，構成實質上之不公平待遇，嚴重斲傷政府標售公產之公信力與嚴肅性，核有重大違失，應予檢討。</w:t>
      </w:r>
    </w:p>
    <w:p w14:paraId="14C3ADDC" w14:textId="77777777" w:rsidR="009A3724" w:rsidRPr="00F828A5" w:rsidRDefault="009A3724" w:rsidP="009A3724">
      <w:pPr>
        <w:pStyle w:val="2"/>
        <w:numPr>
          <w:ilvl w:val="1"/>
          <w:numId w:val="1"/>
        </w:numPr>
        <w:rPr>
          <w:b w:val="0"/>
          <w:bCs w:val="0"/>
        </w:rPr>
      </w:pPr>
      <w:r w:rsidRPr="00F828A5">
        <w:rPr>
          <w:rFonts w:hint="eastAsia"/>
          <w:bCs w:val="0"/>
        </w:rPr>
        <w:t>「豐采520」建案施工期間周邊道路連續發生5次坍塌，新竹縣政府計4次勒令停工、4次核准復工，其反覆停復工之過程充斥諸多違法失職情事。該府不僅未能確實履行建築法所賦予之監督管理職責，澈查事故原因，反而於復工審查過程中草率行事、規避專業審查，輕忽公共安全與居民陳情，甚至疑有高層公務人員涉入不當關說與圖利行為。直至檢察機關偵辦始揭露承造商未按圖施工之重大缺失，足證該府相關單位之監督管理機制已然失能，在在顯示該府於本案處理上顯有嚴重怠失。為釐清真相、整飭官箴並維護公共安全，除應靜待司法判決外，該府亦應就本案坍塌事件所涉相關行政疏失，主動進行內部調查，澈底追究相關失職人員之行政責任，並研擬具體改進措施，以重建民眾對政府執行公權力之信賴。</w:t>
      </w:r>
    </w:p>
    <w:p w14:paraId="31F19C87" w14:textId="045688BD" w:rsidR="009A3724" w:rsidRPr="00F828A5" w:rsidRDefault="009A3724" w:rsidP="009A3724">
      <w:pPr>
        <w:pStyle w:val="3"/>
        <w:numPr>
          <w:ilvl w:val="2"/>
          <w:numId w:val="1"/>
        </w:numPr>
      </w:pPr>
      <w:r w:rsidRPr="00F828A5">
        <w:rPr>
          <w:rFonts w:hint="eastAsia"/>
        </w:rPr>
        <w:t>按建築法第58條規定，主管建築機關對於施工中有危害公共安全之虞者，應勒令停工。同法第93條更明定，非經許可不得擅自復工。新竹縣政府為落實建築管理職責，亦訂有「新竹縣建築物施工中發生公共安全事件處理原則」及「新竹縣建築爭議事件處理辦法」，明確規範發生公安事件或損鄰事件時，應立即停工，並須經監造人會同專業技師鑑定，確</w:t>
      </w:r>
      <w:r w:rsidRPr="00F828A5">
        <w:rPr>
          <w:rFonts w:hint="eastAsia"/>
        </w:rPr>
        <w:lastRenderedPageBreak/>
        <w:t>認「已達不危及公共安全」程度，並提具相關安全鑑定報告或維護措施檢討送府核准後，始得繼續施工。此等規定旨在確保復工前已釐清事故原因、完成必要改善，並經專業評估確認安全無虞，以避免災害再次發生。故</w:t>
      </w:r>
      <w:r w:rsidR="0011382F" w:rsidRPr="00F828A5">
        <w:rPr>
          <w:rFonts w:hint="eastAsia"/>
        </w:rPr>
        <w:t>新竹縣政府</w:t>
      </w:r>
      <w:r w:rsidRPr="00F828A5">
        <w:rPr>
          <w:rFonts w:hint="eastAsia"/>
        </w:rPr>
        <w:t>對於復工申請之審查，應以維護公共安全為最高準則，審慎嚴謹為之。</w:t>
      </w:r>
    </w:p>
    <w:p w14:paraId="1D0EA516" w14:textId="77777777" w:rsidR="009A3724" w:rsidRPr="00F828A5" w:rsidRDefault="009A3724" w:rsidP="009A3724">
      <w:pPr>
        <w:pStyle w:val="3"/>
        <w:numPr>
          <w:ilvl w:val="2"/>
          <w:numId w:val="1"/>
        </w:numPr>
      </w:pPr>
      <w:r w:rsidRPr="00F828A5">
        <w:rPr>
          <w:rFonts w:hint="eastAsia"/>
        </w:rPr>
        <w:t>「豐采520」建案於施工期間，自111年6月14日起至112年4月27日止，其工地周邊道路(主要為莊敬六街、勝利二路)竟連續發生高達5次之坍塌事故，嚴重危害公共交通與周邊居民生命財產安全。新竹縣政府雖於每次事故後依法勒令停工，然於此期間卻又多達4次核准其復工，直至第5次坍塌發生後始長期停工進行搶險。此反覆停復工之異常現象，已初步顯現該府對於此高風險工地之監督管理機制存有嚴重問題。惟新竹縣政府於處理本案連續坍塌事件及復工申請過程中，顯有多項重大違失。其一，面對工地周邊道路反覆坍塌，該府相關承辦人員不僅未能積極究明坍塌之根本原因(事後經檢方查證係因承造商偷工減料，未按圖施作擋土設施所致)，反而於承造商違法施工(違反停工令)時視而不見，未依法制止。其二，在核准第1次、第2次及第3次復工時，均未確實要求承造商提出足以釐清事故原因之鑑定報告，亦未經該府成立之專案小組(含外部專家)進行實質審查確認安全無虞，甚至在該府工務處內部科長明確反對下，仍由時任工務處處長指示承辦人員，以不實理由或擅自簡化程序(如第3次復工僅要求召開施工說明會)即草率同意復工，完全無視專案小組之專業意見及相關法規所定之嚴謹程序。其三，歷次同意復工之決策過程，經新竹地檢署查證，疑涉有新竹縣政府高層接受請託、關</w:t>
      </w:r>
      <w:r w:rsidRPr="00F828A5">
        <w:rPr>
          <w:rFonts w:hint="eastAsia"/>
        </w:rPr>
        <w:lastRenderedPageBreak/>
        <w:t>說施壓，甚或與特定廠商間有不正當利益交換之情事，致使公務員未能依法行政，反而配合廠商規避審查、儘速復工之需求。</w:t>
      </w:r>
    </w:p>
    <w:p w14:paraId="55DFFFC1" w14:textId="3CB373D4" w:rsidR="009A3724" w:rsidRPr="00F828A5" w:rsidRDefault="009A3724" w:rsidP="009A3724">
      <w:pPr>
        <w:pStyle w:val="3"/>
        <w:numPr>
          <w:ilvl w:val="2"/>
          <w:numId w:val="1"/>
        </w:numPr>
      </w:pPr>
      <w:r w:rsidRPr="00F828A5">
        <w:rPr>
          <w:rFonts w:hint="eastAsia"/>
        </w:rPr>
        <w:t>復按公務員執行職務，應恪遵法令，以公共利益為依歸，不受任何請託關說或不當利益之影響。</w:t>
      </w:r>
      <w:r w:rsidR="0011382F" w:rsidRPr="00F828A5">
        <w:rPr>
          <w:rFonts w:hint="eastAsia"/>
        </w:rPr>
        <w:t>新竹縣政府</w:t>
      </w:r>
      <w:r w:rsidRPr="00F828A5">
        <w:rPr>
          <w:rFonts w:hint="eastAsia"/>
        </w:rPr>
        <w:t>對於攸關公共安全之建築工地管理，尤應善盡監督查核之責。承造商未按圖施工，導致鄰近道路反覆坍塌，已屬嚴重危害公安；監造建築師未能發揮監督功能，亦有失其專業職守。該府於知悉工地周邊一再發生坍塌後，本應加強勘驗密度、嚴格審查施工計畫與監造報告，並於復工前澈底釐清肇因、確認改善完成且經公正第三方專業單位審核通過。然該府不僅未能落實上述職責，反而出現默許違法施工、草率同意復工、規避專業審查等荒腔走板之情事，顯已構成嚴重之行政怠惰與失職。</w:t>
      </w:r>
    </w:p>
    <w:p w14:paraId="0D6362E3" w14:textId="77777777" w:rsidR="009A3724" w:rsidRPr="00F828A5" w:rsidRDefault="009A3724" w:rsidP="009A3724">
      <w:pPr>
        <w:pStyle w:val="3"/>
        <w:numPr>
          <w:ilvl w:val="2"/>
          <w:numId w:val="1"/>
        </w:numPr>
      </w:pPr>
      <w:r w:rsidRPr="00F828A5">
        <w:rPr>
          <w:rFonts w:hint="eastAsia"/>
        </w:rPr>
        <w:t>審視本案連續5次之道路坍塌事故，已足證新竹縣政府對於「豐采520」建案之施工監督管理機制完全失靈。該府未能從前次坍塌事故中汲取教訓、強化管理，反而一再輕率核准復工，終至事故反覆發生，嚴重損害政府威信並危及民眾安全。事後經檢察機關介入偵辦，始揭露承造商未按圖施工(地下擋土牆懸空達7公尺)及公務人員涉嫌圖利廠商、違法復工等驚人內情。此不僅印證該府先前未能發現或未能正視工地潛藏之重大危險，亦凸顯其內部控管與政風機制之嚴重缺失。該府於歷次同意復工過程中，對於相關鑑定報告是否詳實、監造人是否善盡職責等關鍵事項，顯未進行有效查核，甚至可能涉有包庇或登載不實之情事，亦未見其於事發後主動進行行政調查或將相關失職人員移送懲戒或法辦。</w:t>
      </w:r>
    </w:p>
    <w:p w14:paraId="38D554CA" w14:textId="77777777" w:rsidR="009A3724" w:rsidRPr="00F828A5" w:rsidRDefault="009A3724" w:rsidP="009A3724">
      <w:pPr>
        <w:pStyle w:val="3"/>
        <w:numPr>
          <w:ilvl w:val="2"/>
          <w:numId w:val="1"/>
        </w:numPr>
      </w:pPr>
      <w:r w:rsidRPr="00F828A5">
        <w:rPr>
          <w:rFonts w:hint="eastAsia"/>
        </w:rPr>
        <w:t>綜上所述，「豐采520」建案施工期間周邊道路連續</w:t>
      </w:r>
      <w:r w:rsidRPr="00F828A5">
        <w:rPr>
          <w:rFonts w:hint="eastAsia"/>
        </w:rPr>
        <w:lastRenderedPageBreak/>
        <w:t>發生5次坍塌，新竹縣政府計4次勒令停工、4次核准復工，其反覆停復工之過程充斥諸多違法失職情事。該府不僅未能確實履行建築法所賦予之監督管理職責，澈查事故原因，反而於復工審查過程中草率行事、規避專業審查，輕忽公共安全與居民陳情，甚至疑有高層公務人員涉入不當關說與圖利行為。直至檢察機關偵辦始揭露承造商未按圖施工之重大缺失，足證該府相關單位之監督管理機制已然失能，在在顯示該府於本案處理上顯有嚴重怠失。為釐清真相、整飭官箴並維護公共安全，除應靜待司法判決外，該府亦應就本案坍塌事件所涉相關行政疏失，主動進行內部調查，澈底追究相關失職人員之行政責任，並研擬具體改進措施，以重建民眾對政府執行公權力之信賴。</w:t>
      </w:r>
    </w:p>
    <w:p w14:paraId="6B22974E" w14:textId="7D038828" w:rsidR="009A3724" w:rsidRPr="00F828A5" w:rsidRDefault="009A3724" w:rsidP="009A3724">
      <w:pPr>
        <w:pStyle w:val="2"/>
        <w:numPr>
          <w:ilvl w:val="1"/>
          <w:numId w:val="1"/>
        </w:numPr>
        <w:rPr>
          <w:b w:val="0"/>
          <w:bCs w:val="0"/>
        </w:rPr>
      </w:pPr>
      <w:r w:rsidRPr="00F828A5">
        <w:rPr>
          <w:rFonts w:hint="eastAsia"/>
          <w:bCs w:val="0"/>
        </w:rPr>
        <w:t>「豐采520」建案因承造商未按圖施作地下擋土工程，已對建築物結構安全構成實質風險。新竹縣政府雖已進行搶險工程並設定復工條件，然對於前期施工缺失對整體結構安全之長期影響評估是否澈底、結構安全鑑定範圍與深度是否足夠、損鄰鑑定機制是否公正客觀等關鍵問題，仍有諸多疑點待釐清。該府宣稱「以永久結構取代臨時設施」不等同於前期施工缺失之風險已完全解除。為確保公共安全及周邊居民權益，新竹縣政府理應本於主管機關職責，以最高標準嚴格監督，要求起造人及承造商提出更詳盡、透明之整體結構安全評估報告，並委請具公信力之第三方機構進行全面覆核審查；同時應建立公開、公正、由受損戶信賴之損鄰鑑定與協調機制。</w:t>
      </w:r>
      <w:r w:rsidR="00CA434A" w:rsidRPr="00F828A5">
        <w:rPr>
          <w:rFonts w:hint="eastAsia"/>
          <w:bCs w:val="0"/>
        </w:rPr>
        <w:t>該府應就此案例通盤檢討</w:t>
      </w:r>
      <w:r w:rsidR="00CA434A" w:rsidRPr="00F828A5">
        <w:rPr>
          <w:rFonts w:ascii="Times New Roman" w:hAnsi="Times New Roman" w:hint="eastAsia"/>
          <w:szCs w:val="32"/>
        </w:rPr>
        <w:t>避免類似情事發生</w:t>
      </w:r>
      <w:r w:rsidR="00CA434A" w:rsidRPr="00F828A5">
        <w:rPr>
          <w:rFonts w:hint="eastAsia"/>
          <w:bCs w:val="0"/>
        </w:rPr>
        <w:t>，確實捍衛市民安全與權益</w:t>
      </w:r>
      <w:r w:rsidRPr="00F828A5">
        <w:rPr>
          <w:rFonts w:hint="eastAsia"/>
          <w:bCs w:val="0"/>
        </w:rPr>
        <w:t>。</w:t>
      </w:r>
    </w:p>
    <w:p w14:paraId="291387F2" w14:textId="081504BA" w:rsidR="009A3724" w:rsidRPr="00F828A5" w:rsidRDefault="009A3724" w:rsidP="009A3724">
      <w:pPr>
        <w:pStyle w:val="3"/>
        <w:numPr>
          <w:ilvl w:val="2"/>
          <w:numId w:val="1"/>
        </w:numPr>
      </w:pPr>
      <w:r w:rsidRPr="00F828A5">
        <w:rPr>
          <w:rFonts w:hint="eastAsia"/>
        </w:rPr>
        <w:t>按建築法及營造業法相關規定，起造人、承造商及專任工程人員、工地主任均負有按圖施工之法定主</w:t>
      </w:r>
      <w:r w:rsidRPr="00F828A5">
        <w:rPr>
          <w:rFonts w:hint="eastAsia"/>
        </w:rPr>
        <w:lastRenderedPageBreak/>
        <w:t>要義務；監造建築師則負有監督營造業按圖施工之職責。主管建築機關亦應依建築法第56條規定，執行施工勘驗，確保工程符合核准圖說。對於未按圖施工致有危害公共安全之虞者，</w:t>
      </w:r>
      <w:r w:rsidR="0011382F" w:rsidRPr="00F828A5">
        <w:rPr>
          <w:rFonts w:hint="eastAsia"/>
        </w:rPr>
        <w:t>新竹縣政府</w:t>
      </w:r>
      <w:r w:rsidRPr="00F828A5">
        <w:rPr>
          <w:rFonts w:hint="eastAsia"/>
        </w:rPr>
        <w:t>應依建築法第58條勒令停工修改，必要時得強制拆除，以維護建築安全。對於已發生結構安全疑慮之建築物，其後續修復、補強或改建，均應經專業技師審慎評估、設計，並經</w:t>
      </w:r>
      <w:r w:rsidR="0011382F" w:rsidRPr="00F828A5">
        <w:rPr>
          <w:rFonts w:hint="eastAsia"/>
        </w:rPr>
        <w:t>新竹縣政府</w:t>
      </w:r>
      <w:r w:rsidRPr="00F828A5">
        <w:rPr>
          <w:rFonts w:hint="eastAsia"/>
        </w:rPr>
        <w:t>嚴格審查核准後方可施作。其結構安全是否無虞，更應委由具公信力之第三方專業鑑定機構進行鑑定確認，鑑定程序與結果應公開透明，以昭公信。另對於施工造成之鄰房損害，亦應建立公平客觀之鑑定與協調機制，避免由肇事業者主導，以保障受損戶權益。</w:t>
      </w:r>
    </w:p>
    <w:p w14:paraId="6D530516" w14:textId="77777777" w:rsidR="009A3724" w:rsidRPr="00F828A5" w:rsidRDefault="009A3724" w:rsidP="009A3724">
      <w:pPr>
        <w:pStyle w:val="3"/>
        <w:numPr>
          <w:ilvl w:val="2"/>
          <w:numId w:val="1"/>
        </w:numPr>
      </w:pPr>
      <w:r w:rsidRPr="00F828A5">
        <w:rPr>
          <w:rFonts w:hint="eastAsia"/>
        </w:rPr>
        <w:t>本案係</w:t>
      </w:r>
      <w:r w:rsidRPr="00F828A5">
        <w:rPr>
          <w:rFonts w:hAnsi="標楷體"/>
        </w:rPr>
        <w:t>竹北市大學段520地號商業大樓新建工程</w:t>
      </w:r>
      <w:r w:rsidRPr="00F828A5">
        <w:rPr>
          <w:rFonts w:hAnsi="標楷體" w:hint="eastAsia"/>
        </w:rPr>
        <w:t>，</w:t>
      </w:r>
      <w:r w:rsidRPr="00F828A5">
        <w:rPr>
          <w:rFonts w:hAnsi="標楷體"/>
        </w:rPr>
        <w:t>都市設計審議</w:t>
      </w:r>
      <w:r w:rsidRPr="00F828A5">
        <w:rPr>
          <w:rFonts w:hAnsi="標楷體" w:hint="eastAsia"/>
        </w:rPr>
        <w:t>96年7月27日核定</w:t>
      </w:r>
      <w:r w:rsidRPr="00F828A5">
        <w:rPr>
          <w:rFonts w:hAnsi="標楷體"/>
        </w:rPr>
        <w:t>地下</w:t>
      </w:r>
      <w:r w:rsidRPr="00F828A5">
        <w:rPr>
          <w:rFonts w:hAnsi="標楷體" w:hint="eastAsia"/>
        </w:rPr>
        <w:t>6</w:t>
      </w:r>
      <w:r w:rsidRPr="00F828A5">
        <w:rPr>
          <w:rFonts w:hAnsi="標楷體"/>
        </w:rPr>
        <w:t>層、地上</w:t>
      </w:r>
      <w:r w:rsidRPr="00F828A5">
        <w:rPr>
          <w:rFonts w:hAnsi="標楷體" w:hint="eastAsia"/>
        </w:rPr>
        <w:t>13</w:t>
      </w:r>
      <w:r w:rsidRPr="00F828A5">
        <w:rPr>
          <w:rFonts w:hAnsi="標楷體"/>
        </w:rPr>
        <w:t>層之</w:t>
      </w:r>
      <w:r w:rsidRPr="00F828A5">
        <w:rPr>
          <w:rFonts w:hAnsi="標楷體" w:hint="eastAsia"/>
        </w:rPr>
        <w:t>主</w:t>
      </w:r>
      <w:r w:rsidRPr="00F828A5">
        <w:rPr>
          <w:rFonts w:hAnsi="標楷體"/>
        </w:rPr>
        <w:t>結構採「梁柱韌性抗彎矩構架系統</w:t>
      </w:r>
      <w:r w:rsidRPr="00F828A5">
        <w:rPr>
          <w:rFonts w:hAnsi="標楷體" w:hint="eastAsia"/>
        </w:rPr>
        <w:t>」，</w:t>
      </w:r>
      <w:r w:rsidRPr="00F828A5">
        <w:rPr>
          <w:rFonts w:hAnsi="標楷體"/>
        </w:rPr>
        <w:t>依據附近地質鑽探報告</w:t>
      </w:r>
      <w:r w:rsidRPr="00F828A5">
        <w:rPr>
          <w:rFonts w:hAnsi="標楷體" w:hint="eastAsia"/>
        </w:rPr>
        <w:t>，</w:t>
      </w:r>
      <w:r w:rsidRPr="00F828A5">
        <w:rPr>
          <w:rFonts w:hAnsi="標楷體"/>
        </w:rPr>
        <w:t>擋土工法</w:t>
      </w:r>
      <w:r w:rsidRPr="00F828A5">
        <w:rPr>
          <w:rFonts w:hAnsi="標楷體" w:hint="eastAsia"/>
        </w:rPr>
        <w:t>為</w:t>
      </w:r>
      <w:r w:rsidRPr="00F828A5">
        <w:rPr>
          <w:rFonts w:hAnsi="標楷體"/>
        </w:rPr>
        <w:t>開挖深度約</w:t>
      </w:r>
      <w:r w:rsidRPr="00F828A5">
        <w:rPr>
          <w:rFonts w:hAnsi="標楷體" w:hint="eastAsia"/>
        </w:rPr>
        <w:t>地下</w:t>
      </w:r>
      <w:r w:rsidRPr="00F828A5">
        <w:rPr>
          <w:rFonts w:hAnsi="標楷體"/>
        </w:rPr>
        <w:t>25.35</w:t>
      </w:r>
      <w:r w:rsidRPr="00F828A5">
        <w:rPr>
          <w:rFonts w:hAnsi="標楷體" w:hint="eastAsia"/>
        </w:rPr>
        <w:t>公尺</w:t>
      </w:r>
      <w:r w:rsidRPr="00F828A5">
        <w:rPr>
          <w:rFonts w:hAnsi="標楷體"/>
        </w:rPr>
        <w:t>，建議</w:t>
      </w:r>
      <w:r w:rsidRPr="00F828A5">
        <w:rPr>
          <w:rFonts w:hAnsi="標楷體" w:hint="eastAsia"/>
        </w:rPr>
        <w:t>以</w:t>
      </w:r>
      <w:r w:rsidRPr="00F828A5">
        <w:rPr>
          <w:rFonts w:hAnsi="標楷體"/>
        </w:rPr>
        <w:t>H鋼樁</w:t>
      </w:r>
      <w:r w:rsidRPr="00F828A5">
        <w:rPr>
          <w:rFonts w:hAnsi="標楷體" w:hint="eastAsia"/>
        </w:rPr>
        <w:t>(</w:t>
      </w:r>
      <w:r w:rsidRPr="00F828A5">
        <w:rPr>
          <w:rFonts w:hint="eastAsia"/>
        </w:rPr>
        <w:t>H400x400 x13x21 @70cm</w:t>
      </w:r>
      <w:r w:rsidRPr="00F828A5">
        <w:rPr>
          <w:rFonts w:hAnsi="標楷體" w:hint="eastAsia"/>
        </w:rPr>
        <w:t>)</w:t>
      </w:r>
      <w:r w:rsidRPr="00F828A5">
        <w:rPr>
          <w:rFonts w:hAnsi="標楷體"/>
        </w:rPr>
        <w:t>作為擋土樁</w:t>
      </w:r>
      <w:r w:rsidRPr="00F828A5">
        <w:rPr>
          <w:rFonts w:hint="eastAsia"/>
        </w:rPr>
        <w:t>。</w:t>
      </w:r>
      <w:r w:rsidRPr="00F828A5">
        <w:rPr>
          <w:rFonts w:hAnsi="標楷體"/>
        </w:rPr>
        <w:t>第</w:t>
      </w:r>
      <w:r w:rsidRPr="00F828A5">
        <w:rPr>
          <w:rFonts w:hAnsi="標楷體" w:hint="eastAsia"/>
        </w:rPr>
        <w:t>1</w:t>
      </w:r>
      <w:r w:rsidRPr="00F828A5">
        <w:rPr>
          <w:rFonts w:hAnsi="標楷體"/>
        </w:rPr>
        <w:t>次變更設計</w:t>
      </w:r>
      <w:r w:rsidRPr="00F828A5">
        <w:rPr>
          <w:rFonts w:hAnsi="標楷體" w:hint="eastAsia"/>
        </w:rPr>
        <w:t>於</w:t>
      </w:r>
      <w:r w:rsidRPr="00F828A5">
        <w:rPr>
          <w:rFonts w:hAnsi="標楷體"/>
        </w:rPr>
        <w:t>107年11月22日核定為地下</w:t>
      </w:r>
      <w:r w:rsidRPr="00F828A5">
        <w:rPr>
          <w:rFonts w:hAnsi="標楷體" w:hint="eastAsia"/>
        </w:rPr>
        <w:t>6</w:t>
      </w:r>
      <w:r w:rsidRPr="00F828A5">
        <w:rPr>
          <w:rFonts w:hAnsi="標楷體"/>
        </w:rPr>
        <w:t>層、地上</w:t>
      </w:r>
      <w:r w:rsidRPr="00F828A5">
        <w:rPr>
          <w:rFonts w:hAnsi="標楷體" w:hint="eastAsia"/>
        </w:rPr>
        <w:t>35</w:t>
      </w:r>
      <w:r w:rsidRPr="00F828A5">
        <w:rPr>
          <w:rFonts w:hAnsi="標楷體"/>
        </w:rPr>
        <w:t>層</w:t>
      </w:r>
      <w:r w:rsidRPr="00F828A5">
        <w:rPr>
          <w:rFonts w:hAnsi="標楷體" w:hint="eastAsia"/>
        </w:rPr>
        <w:t>，</w:t>
      </w:r>
      <w:r w:rsidRPr="00F828A5">
        <w:rPr>
          <w:rFonts w:hAnsi="標楷體"/>
        </w:rPr>
        <w:t>擋土工法</w:t>
      </w:r>
      <w:r w:rsidRPr="00F828A5">
        <w:rPr>
          <w:rFonts w:hAnsi="標楷體" w:hint="eastAsia"/>
        </w:rPr>
        <w:t>為</w:t>
      </w:r>
      <w:r w:rsidRPr="00F828A5">
        <w:rPr>
          <w:rFonts w:hAnsi="標楷體"/>
        </w:rPr>
        <w:t>開挖深度約</w:t>
      </w:r>
      <w:r w:rsidRPr="00F828A5">
        <w:rPr>
          <w:rFonts w:hAnsi="標楷體" w:hint="eastAsia"/>
        </w:rPr>
        <w:t>地下</w:t>
      </w:r>
      <w:r w:rsidRPr="00F828A5">
        <w:rPr>
          <w:rFonts w:hAnsi="標楷體"/>
        </w:rPr>
        <w:t>2</w:t>
      </w:r>
      <w:r w:rsidRPr="00F828A5">
        <w:rPr>
          <w:rFonts w:hAnsi="標楷體" w:hint="eastAsia"/>
        </w:rPr>
        <w:t>8</w:t>
      </w:r>
      <w:r w:rsidRPr="00F828A5">
        <w:rPr>
          <w:rFonts w:hAnsi="標楷體"/>
        </w:rPr>
        <w:t>.</w:t>
      </w:r>
      <w:r w:rsidRPr="00F828A5">
        <w:rPr>
          <w:rFonts w:hAnsi="標楷體" w:hint="eastAsia"/>
        </w:rPr>
        <w:t>6</w:t>
      </w:r>
      <w:r w:rsidRPr="00F828A5">
        <w:rPr>
          <w:rFonts w:hAnsi="標楷體"/>
        </w:rPr>
        <w:t>5</w:t>
      </w:r>
      <w:r w:rsidRPr="00F828A5">
        <w:rPr>
          <w:rFonts w:hAnsi="標楷體" w:hint="eastAsia"/>
        </w:rPr>
        <w:t>公尺</w:t>
      </w:r>
      <w:r w:rsidRPr="00F828A5">
        <w:rPr>
          <w:rFonts w:hAnsi="標楷體"/>
        </w:rPr>
        <w:t>，</w:t>
      </w:r>
      <w:r w:rsidRPr="00F828A5">
        <w:rPr>
          <w:rFonts w:hAnsi="標楷體" w:hint="eastAsia"/>
        </w:rPr>
        <w:t>仍</w:t>
      </w:r>
      <w:r w:rsidRPr="00F828A5">
        <w:rPr>
          <w:rFonts w:hAnsi="標楷體"/>
        </w:rPr>
        <w:t>建議</w:t>
      </w:r>
      <w:r w:rsidRPr="00F828A5">
        <w:rPr>
          <w:rFonts w:hAnsi="標楷體" w:hint="eastAsia"/>
        </w:rPr>
        <w:t>以</w:t>
      </w:r>
      <w:r w:rsidRPr="00F828A5">
        <w:rPr>
          <w:rFonts w:hAnsi="標楷體"/>
        </w:rPr>
        <w:t>H鋼樁作為擋土樁</w:t>
      </w:r>
      <w:r w:rsidRPr="00F828A5">
        <w:rPr>
          <w:rFonts w:hAnsi="標楷體" w:hint="eastAsia"/>
        </w:rPr>
        <w:t>。</w:t>
      </w:r>
    </w:p>
    <w:p w14:paraId="24F70359" w14:textId="6EAF105A" w:rsidR="009A3724" w:rsidRPr="00F828A5" w:rsidRDefault="009A3724" w:rsidP="009A3724">
      <w:pPr>
        <w:pStyle w:val="4"/>
        <w:numPr>
          <w:ilvl w:val="3"/>
          <w:numId w:val="1"/>
        </w:numPr>
      </w:pPr>
      <w:r w:rsidRPr="00F828A5">
        <w:rPr>
          <w:rFonts w:hint="eastAsia"/>
        </w:rPr>
        <w:t>然「豐采520」建案之承造人頌恩營造股份有限公司(下稱承造商)自109年2月起，於施作地下室開挖擋土工程時，即未依照核准之工程圖樣及結構計算書施工，具體行為包括減少H型鋼擋土樁之實際貫入深度及施作數量等偷工減料情事(詳如圖1)，此係</w:t>
      </w:r>
      <w:r w:rsidRPr="00F828A5">
        <w:rPr>
          <w:rFonts w:hAnsi="標楷體" w:hint="eastAsia"/>
        </w:rPr>
        <w:t>經由第2次變更設計109年1月15日結構計算書之基礎與開挖工法</w:t>
      </w:r>
      <w:r w:rsidRPr="00F828A5">
        <w:rPr>
          <w:rFonts w:hint="eastAsia"/>
        </w:rPr>
        <w:t>核准圖說設計擋土樁(H300x300x10x15 @80cm)貫入深度應達14公尺，以</w:t>
      </w:r>
      <w:r w:rsidRPr="00F828A5">
        <w:rPr>
          <w:rFonts w:hAnsi="標楷體" w:hint="eastAsia"/>
          <w:bCs/>
        </w:rPr>
        <w:t>「RIDO」程式分析擋土柱總長需33.8公尺，</w:t>
      </w:r>
      <w:r w:rsidRPr="00F828A5">
        <w:rPr>
          <w:rFonts w:hAnsi="標楷體" w:hint="eastAsia"/>
          <w:bCs/>
        </w:rPr>
        <w:lastRenderedPageBreak/>
        <w:t>擋土樁貫入深度安全係數FS=5.379(&gt;1.5)，斷面強度檢核通過(Sx=1,361cm³&gt;Sreq=863.33cm³)</w:t>
      </w:r>
      <w:r w:rsidRPr="00F828A5">
        <w:rPr>
          <w:rFonts w:hAnsi="標楷體" w:hint="eastAsia"/>
        </w:rPr>
        <w:t>。</w:t>
      </w:r>
    </w:p>
    <w:p w14:paraId="3348259B" w14:textId="77777777" w:rsidR="009A3724" w:rsidRPr="00F828A5" w:rsidRDefault="009A3724" w:rsidP="009A3724">
      <w:pPr>
        <w:ind w:leftChars="-83" w:left="340" w:hangingChars="183" w:hanging="622"/>
        <w:jc w:val="center"/>
        <w:rPr>
          <w:rFonts w:hAnsi="標楷體"/>
          <w:bCs/>
        </w:rPr>
      </w:pPr>
      <w:r w:rsidRPr="00F828A5">
        <w:rPr>
          <w:rFonts w:hAnsi="標楷體"/>
          <w:bCs/>
          <w:noProof/>
        </w:rPr>
        <w:drawing>
          <wp:inline distT="0" distB="0" distL="0" distR="0" wp14:anchorId="731CA6A6" wp14:editId="343AE501">
            <wp:extent cx="5934261" cy="3676650"/>
            <wp:effectExtent l="19050" t="19050" r="9525" b="0"/>
            <wp:docPr id="1921197160" name="圖片 1921197160" descr="一張含有 文字, 螢幕擷取畫面, 圖表, 行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56576" name="圖片 1438156576" descr="一張含有 文字, 螢幕擷取畫面, 圖表, 行 的圖片&#10;&#10;AI 產生的內容可能不正確。"/>
                    <pic:cNvPicPr/>
                  </pic:nvPicPr>
                  <pic:blipFill rotWithShape="1">
                    <a:blip r:embed="rId11" cstate="screen">
                      <a:extLst>
                        <a:ext uri="{28A0092B-C50C-407E-A947-70E740481C1C}">
                          <a14:useLocalDpi xmlns:a14="http://schemas.microsoft.com/office/drawing/2010/main"/>
                        </a:ext>
                      </a:extLst>
                    </a:blip>
                    <a:srcRect t="4854"/>
                    <a:stretch/>
                  </pic:blipFill>
                  <pic:spPr bwMode="auto">
                    <a:xfrm>
                      <a:off x="0" y="0"/>
                      <a:ext cx="5979655" cy="37047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1D76E97" w14:textId="77777777" w:rsidR="009A3724" w:rsidRPr="00F828A5" w:rsidRDefault="009A3724" w:rsidP="009A3724">
      <w:pPr>
        <w:pStyle w:val="af5"/>
        <w:numPr>
          <w:ilvl w:val="0"/>
          <w:numId w:val="23"/>
        </w:numPr>
        <w:ind w:left="737" w:hanging="737"/>
        <w:rPr>
          <w:rFonts w:hAnsi="標楷體"/>
        </w:rPr>
      </w:pPr>
      <w:r w:rsidRPr="00F828A5">
        <w:rPr>
          <w:rFonts w:hAnsi="標楷體" w:hint="eastAsia"/>
        </w:rPr>
        <w:t>偷工減料示意圖(參據新竹地檢署起訴卷證)</w:t>
      </w:r>
    </w:p>
    <w:p w14:paraId="70BA9B67" w14:textId="77777777" w:rsidR="009A3724" w:rsidRPr="00F828A5" w:rsidRDefault="009A3724" w:rsidP="009A3724">
      <w:pPr>
        <w:pStyle w:val="4"/>
        <w:numPr>
          <w:ilvl w:val="3"/>
          <w:numId w:val="1"/>
        </w:numPr>
      </w:pPr>
      <w:r w:rsidRPr="00F828A5">
        <w:rPr>
          <w:rFonts w:hAnsi="標楷體" w:hint="eastAsia"/>
        </w:rPr>
        <w:t>且</w:t>
      </w:r>
      <w:r w:rsidRPr="00F828A5">
        <w:t>針對地下室開挖擋土H型鋼樁</w:t>
      </w:r>
      <w:r w:rsidRPr="00F828A5">
        <w:rPr>
          <w:rFonts w:hint="eastAsia"/>
        </w:rPr>
        <w:t>之</w:t>
      </w:r>
      <w:r w:rsidRPr="00F828A5">
        <w:t>分析結果輸出</w:t>
      </w:r>
      <w:r w:rsidRPr="00F828A5">
        <w:rPr>
          <w:rFonts w:hAnsi="標楷體" w:hint="eastAsia"/>
        </w:rPr>
        <w:t>，包含擋土樁變位與彎矩包絡曲線(詳如圖2)</w:t>
      </w:r>
      <w:r w:rsidRPr="00F828A5">
        <w:t>，具體顯示至施工階段第13期為止，擋土樁沿深度方</w:t>
      </w:r>
      <w:r w:rsidRPr="00F828A5">
        <w:rPr>
          <w:rFonts w:hint="eastAsia"/>
        </w:rPr>
        <w:t>向(圖示超過28公尺)之變位、彎矩及接觸壓力等</w:t>
      </w:r>
      <w:r w:rsidRPr="00F828A5">
        <w:t>包絡曲線結果，</w:t>
      </w:r>
      <w:r w:rsidRPr="00F828A5">
        <w:rPr>
          <w:rFonts w:hint="eastAsia"/>
        </w:rPr>
        <w:t>以</w:t>
      </w:r>
      <w:r w:rsidRPr="00F828A5">
        <w:t>確保設計之擋土H型鋼樁斷面</w:t>
      </w:r>
      <w:r w:rsidRPr="00F828A5">
        <w:rPr>
          <w:rFonts w:hint="eastAsia"/>
        </w:rPr>
        <w:t>及</w:t>
      </w:r>
      <w:r w:rsidRPr="00F828A5">
        <w:t>尺寸</w:t>
      </w:r>
      <w:r w:rsidRPr="00F828A5">
        <w:rPr>
          <w:rFonts w:hint="eastAsia"/>
        </w:rPr>
        <w:t>，足以</w:t>
      </w:r>
      <w:r w:rsidRPr="00F828A5">
        <w:t>支撐系統在整個施工過程中最嚴苛的條件下，其應力與變位均在安全容許範圍內</w:t>
      </w:r>
      <w:r w:rsidRPr="00F828A5">
        <w:rPr>
          <w:rFonts w:hAnsi="標楷體" w:hint="eastAsia"/>
        </w:rPr>
        <w:t>。據此</w:t>
      </w:r>
      <w:r w:rsidRPr="00F828A5">
        <w:rPr>
          <w:rFonts w:hint="eastAsia"/>
        </w:rPr>
        <w:t>實際施工結果顯有不足，部分懸空達7公尺，其未按圖施工之行為，已嚴重違反建築法第39條、營造業法第26條、第32條及第35條等規定，不僅直接導致後續周邊道路反覆坍塌公共安全事件之主因，更對建築物自身地下結構安全構成重大潛在風險，致使建案長期停工。</w:t>
      </w:r>
    </w:p>
    <w:p w14:paraId="41E8A4B2" w14:textId="77777777" w:rsidR="009A3724" w:rsidRPr="00F828A5" w:rsidRDefault="009A3724" w:rsidP="009A3724">
      <w:pPr>
        <w:pStyle w:val="4"/>
        <w:numPr>
          <w:ilvl w:val="0"/>
          <w:numId w:val="0"/>
        </w:numPr>
        <w:jc w:val="center"/>
        <w:rPr>
          <w:rFonts w:hAnsi="標楷體"/>
          <w:bCs/>
        </w:rPr>
      </w:pPr>
      <w:r w:rsidRPr="00F828A5">
        <w:rPr>
          <w:rFonts w:hAnsi="標楷體"/>
          <w:bCs/>
          <w:noProof/>
        </w:rPr>
        <w:lastRenderedPageBreak/>
        <w:drawing>
          <wp:inline distT="0" distB="0" distL="0" distR="0" wp14:anchorId="773519BB" wp14:editId="2AB9765C">
            <wp:extent cx="4803892" cy="6780530"/>
            <wp:effectExtent l="19050" t="19050" r="0" b="1270"/>
            <wp:docPr id="771332602" name="圖片 7" descr="一張含有 文字, 圖表, 地圖, 平行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230550" name="圖片 7" descr="一張含有 文字, 圖表, 地圖, 平行 的圖片&#10;&#10;AI 產生的內容可能不正確。"/>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41512" cy="6833629"/>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15031842" w14:textId="77777777" w:rsidR="009A3724" w:rsidRPr="00F828A5" w:rsidRDefault="009A3724" w:rsidP="009A3724">
      <w:pPr>
        <w:pStyle w:val="af5"/>
        <w:numPr>
          <w:ilvl w:val="0"/>
          <w:numId w:val="23"/>
        </w:numPr>
        <w:ind w:left="737" w:hanging="737"/>
        <w:rPr>
          <w:rFonts w:hAnsi="標楷體"/>
        </w:rPr>
      </w:pPr>
      <w:r w:rsidRPr="00F828A5">
        <w:rPr>
          <w:rFonts w:hAnsi="標楷體"/>
        </w:rPr>
        <w:t>擋土樁變位與彎矩之包絡曲線</w:t>
      </w:r>
    </w:p>
    <w:p w14:paraId="32C65C6B" w14:textId="77777777" w:rsidR="009A3724" w:rsidRPr="00F828A5" w:rsidRDefault="009A3724" w:rsidP="009A3724">
      <w:pPr>
        <w:pStyle w:val="3"/>
        <w:numPr>
          <w:ilvl w:val="2"/>
          <w:numId w:val="1"/>
        </w:numPr>
      </w:pPr>
      <w:r w:rsidRPr="00F828A5">
        <w:rPr>
          <w:rFonts w:hint="eastAsia"/>
        </w:rPr>
        <w:t>本案在揭露承造商未按圖施作地下擋土工程之嚴重事實後，新竹縣政府雖勒令停工並同意其進行「搶險工程」，然其後續處理方式與復工條件之設定，仍存有諸多待釐清之處，且均涉及周邊居民居住安全</w:t>
      </w:r>
      <w:r w:rsidRPr="00F828A5">
        <w:rPr>
          <w:rFonts w:hint="eastAsia"/>
        </w:rPr>
        <w:lastRenderedPageBreak/>
        <w:t>與財產權益，新竹縣政府之監督機制是否周全，實有待檢驗。</w:t>
      </w:r>
    </w:p>
    <w:p w14:paraId="7ED43070" w14:textId="77777777" w:rsidR="009A3724" w:rsidRPr="00F828A5" w:rsidRDefault="009A3724" w:rsidP="009A3724">
      <w:pPr>
        <w:pStyle w:val="4"/>
        <w:numPr>
          <w:ilvl w:val="3"/>
          <w:numId w:val="1"/>
        </w:numPr>
      </w:pPr>
      <w:r w:rsidRPr="00F828A5">
        <w:rPr>
          <w:rFonts w:hint="eastAsia"/>
        </w:rPr>
        <w:t>新竹縣政府稱搶險工程已於112年9月完成，並以「永久性地下室結構物取代臨時性擋土設施」。然此說法似將原應按圖施作卻未確實施作之擋土樁，與後續完成之永久性地下室外牆結構混為一談。未按圖施工之擋土樁所造成之地層擾動、應力重分配，以及對筏式基礎(設計厚度達3.85公尺)承載力與穩定性之長期影響，是否已因搶險工程完成而完全消弭？永久結構是否足以完全彌補前期施工缺失所遺留之風險？此節攸關建物根本安全，應有更嚴謹之技術論證與評估。</w:t>
      </w:r>
    </w:p>
    <w:p w14:paraId="2D53220A" w14:textId="77777777" w:rsidR="009A3724" w:rsidRPr="00F828A5" w:rsidRDefault="009A3724" w:rsidP="009A3724">
      <w:pPr>
        <w:pStyle w:val="4"/>
        <w:numPr>
          <w:ilvl w:val="3"/>
          <w:numId w:val="1"/>
        </w:numPr>
      </w:pPr>
      <w:r w:rsidRPr="00F828A5">
        <w:rPr>
          <w:rFonts w:hint="eastAsia"/>
        </w:rPr>
        <w:t>新竹縣政府稱結構安全已由台灣省結構工程技師公會</w:t>
      </w:r>
      <w:r w:rsidRPr="00F828A5">
        <w:rPr>
          <w:rFonts w:hAnsi="標楷體" w:hint="eastAsia"/>
        </w:rPr>
        <w:t>113年11月29日硏判鑑定標的物地下室</w:t>
      </w:r>
      <w:r w:rsidRPr="00F828A5">
        <w:rPr>
          <w:rFonts w:hAnsi="標楷體"/>
        </w:rPr>
        <w:t>BIFL</w:t>
      </w:r>
      <w:r w:rsidRPr="00F828A5">
        <w:rPr>
          <w:rFonts w:hAnsi="標楷體" w:hint="eastAsia"/>
        </w:rPr>
        <w:t>-</w:t>
      </w:r>
      <w:r w:rsidRPr="00F828A5">
        <w:rPr>
          <w:rFonts w:hAnsi="標楷體"/>
        </w:rPr>
        <w:t>B4FL</w:t>
      </w:r>
      <w:r w:rsidRPr="00F828A5">
        <w:rPr>
          <w:rFonts w:hAnsi="標楷體" w:hint="eastAsia"/>
        </w:rPr>
        <w:t>結構部分鋼小梁挫屈原因，係</w:t>
      </w:r>
      <w:r w:rsidRPr="00F828A5">
        <w:rPr>
          <w:rFonts w:hAnsi="標楷體"/>
        </w:rPr>
        <w:t>CCP</w:t>
      </w:r>
      <w:r w:rsidRPr="00F828A5">
        <w:rPr>
          <w:rFonts w:hAnsi="標楷體" w:hint="eastAsia"/>
        </w:rPr>
        <w:t>地盤改良樁施工時，高壓泵出漿體形成作用於地下室外牆之壓力，轉移作用於鋼小梁所造成。挫屈之鋼小梁雖經更換，</w:t>
      </w:r>
      <w:r w:rsidRPr="00F828A5">
        <w:rPr>
          <w:rFonts w:hint="eastAsia"/>
        </w:rPr>
        <w:t>確認</w:t>
      </w:r>
      <w:r w:rsidRPr="00F828A5">
        <w:rPr>
          <w:rFonts w:hAnsi="標楷體" w:hint="eastAsia"/>
        </w:rPr>
        <w:t>尚無降低原設計之結構安全性。</w:t>
      </w:r>
      <w:r w:rsidRPr="00F828A5">
        <w:rPr>
          <w:rFonts w:hint="eastAsia"/>
        </w:rPr>
        <w:t>然此鑑定範圍是否涵蓋因前期擋土工程偷工減料所可能引發之整體基礎沉陷、結構體潛在應力變化等更深層問題？其鑑定報告之詳細內容與假設條件為何？是否已充分考量未按圖施工之歷史因素？鑑定程序是否確實獨立客觀？相關資訊似未完全公開透明。</w:t>
      </w:r>
    </w:p>
    <w:p w14:paraId="694D9C18" w14:textId="77777777" w:rsidR="009A3724" w:rsidRPr="00F828A5" w:rsidRDefault="009A3724" w:rsidP="009A3724">
      <w:pPr>
        <w:pStyle w:val="4"/>
        <w:numPr>
          <w:ilvl w:val="3"/>
          <w:numId w:val="1"/>
        </w:numPr>
      </w:pPr>
      <w:r w:rsidRPr="00F828A5">
        <w:rPr>
          <w:rFonts w:hint="eastAsia"/>
        </w:rPr>
        <w:t>針對損鄰部分，新竹縣政府雖要求起造人提存1億元擔保金，然實際損害範圍與程度之鑑定與協調程序，是否能擺脫過往由建方主導、監造方會同辦理，致使受損戶難以信服之模式？鑑定單位之選任與鑑定基準是否能確保公正客觀？</w:t>
      </w:r>
    </w:p>
    <w:p w14:paraId="616A22FA" w14:textId="77777777" w:rsidR="009A3724" w:rsidRPr="00F828A5" w:rsidRDefault="009A3724" w:rsidP="009A3724">
      <w:pPr>
        <w:pStyle w:val="3"/>
        <w:numPr>
          <w:ilvl w:val="2"/>
          <w:numId w:val="1"/>
        </w:numPr>
      </w:pPr>
      <w:r w:rsidRPr="00F828A5">
        <w:rPr>
          <w:rFonts w:hint="eastAsia"/>
        </w:rPr>
        <w:t>復按建築物之結構安全乃公共安全之基石，不容絲</w:t>
      </w:r>
      <w:r w:rsidRPr="00F828A5">
        <w:rPr>
          <w:rFonts w:hint="eastAsia"/>
        </w:rPr>
        <w:lastRenderedPageBreak/>
        <w:t>毫妥協。尤其對於已知存有未按圖施工重大缺失之建築工程，其後續之補救措施與安全評估，更應採取最高標準之審查。政府機關職責不僅在於同意搶險或設定復工條件，更在於澈底釐清前期施工缺失對整體結構安全之影響，並確保所有補強或變更均符合安全規範，且經得起最嚴格之專業檢驗。所謂「以永久結構取代臨時設施」之說法，不能作為模糊前期施工缺失責任與風險之藉口。結構安全鑑定亦不應僅侷限於特定受損構件，而應進行全面性之評估。損鄰處理更應建立透明、公正、由受損戶信賴之機制，而非由肇事者主導。</w:t>
      </w:r>
    </w:p>
    <w:p w14:paraId="3FCCBDFE" w14:textId="77777777" w:rsidR="009A3724" w:rsidRPr="00F828A5" w:rsidRDefault="009A3724" w:rsidP="009A3724">
      <w:pPr>
        <w:pStyle w:val="3"/>
        <w:numPr>
          <w:ilvl w:val="2"/>
          <w:numId w:val="1"/>
        </w:numPr>
      </w:pPr>
      <w:r w:rsidRPr="00F828A5">
        <w:rPr>
          <w:rFonts w:hint="eastAsia"/>
        </w:rPr>
        <w:t>檢視新竹縣政府目前處理方式，雖已納入專案小組、三方技師(含住戶代表指定者)參與，並提出四項復工條件(監測優化、小梁挫屈分析、鄰損擔保金、道路地質改良)，看似已較先前草率復工之作法有所改善。然對於最核心之「未按圖施工對整體結構安全之衝擊評估」，以及搶險工程是否已確實彌補前期缺失等根本問題，相關說明仍嫌不足，鑑定範圍與深度亦有待釐清。目前所稱之「結構無安全疑慮」結論，其基礎是否穩固、是否已涵蓋所有潛在風險，仍需更詳盡之資訊方能判斷。再者，損鄰鑑定機制如何確保公正性，避免「球員兼裁判」之疑慮，亦未見具體規劃。該府雖於114年1月核准復工，然其所依據之安全認證是否完備周延，能否真正確保該棟建物及周邊環境之長期安全，實仍存有疑慮。</w:t>
      </w:r>
    </w:p>
    <w:p w14:paraId="2CA185B4" w14:textId="7A5095BD" w:rsidR="009A3724" w:rsidRPr="00F828A5" w:rsidRDefault="009A3724" w:rsidP="009A3724">
      <w:pPr>
        <w:pStyle w:val="3"/>
        <w:numPr>
          <w:ilvl w:val="2"/>
          <w:numId w:val="1"/>
        </w:numPr>
      </w:pPr>
      <w:r w:rsidRPr="00F828A5">
        <w:rPr>
          <w:rFonts w:hint="eastAsia"/>
        </w:rPr>
        <w:t>綜上所述，「豐采520」建案因承造商未按圖施作地下擋土工程，已對建築物結構安全構成實質風險。新竹縣政府雖已進行搶險工程並設定復工條件，然對於前期施工缺失對整體結構安全之長期影響評估是否澈底、結構安全鑑定範圍與深度是否足夠、</w:t>
      </w:r>
      <w:r w:rsidRPr="00F828A5">
        <w:rPr>
          <w:rFonts w:hint="eastAsia"/>
        </w:rPr>
        <w:lastRenderedPageBreak/>
        <w:t>損鄰鑑定機制是否公正客觀等關鍵問題，仍有諸多疑點待釐清。該府宣稱「以永久結構取代臨時設施」不等同於前期施工缺失之風險已完全解除。為確保公共安全及周邊居民權益，新竹縣政府理應本於主管機關職責，以最高標準嚴格監督，要求起造人及承造商提出更詳盡、透明之整體結構安全評估報告，並委請具公信力之第三方機構進行全面覆核審查；同時應建立公開、公正、由受損戶信賴之損鄰鑑定與協調機制。</w:t>
      </w:r>
      <w:r w:rsidR="00CA434A" w:rsidRPr="00F828A5">
        <w:rPr>
          <w:rFonts w:hint="eastAsia"/>
          <w:bCs w:val="0"/>
        </w:rPr>
        <w:t>該府應就此案例通盤檢討</w:t>
      </w:r>
      <w:r w:rsidR="00CA434A" w:rsidRPr="00F828A5">
        <w:rPr>
          <w:rFonts w:ascii="Times New Roman" w:hAnsi="Times New Roman" w:hint="eastAsia"/>
          <w:szCs w:val="32"/>
        </w:rPr>
        <w:t>避免類似情事發生</w:t>
      </w:r>
      <w:r w:rsidR="00CA434A" w:rsidRPr="00F828A5">
        <w:rPr>
          <w:rFonts w:hint="eastAsia"/>
          <w:bCs w:val="0"/>
        </w:rPr>
        <w:t>，確實捍衛市民安全與權益</w:t>
      </w:r>
      <w:r w:rsidRPr="00F828A5">
        <w:rPr>
          <w:rFonts w:hint="eastAsia"/>
        </w:rPr>
        <w:t>。</w:t>
      </w:r>
    </w:p>
    <w:p w14:paraId="4B93085B" w14:textId="77777777" w:rsidR="009A3724" w:rsidRPr="00F828A5" w:rsidRDefault="009A3724" w:rsidP="009A3724">
      <w:pPr>
        <w:pStyle w:val="2"/>
        <w:numPr>
          <w:ilvl w:val="1"/>
          <w:numId w:val="1"/>
        </w:numPr>
        <w:rPr>
          <w:rFonts w:hAnsi="標楷體"/>
          <w:b w:val="0"/>
          <w:bCs w:val="0"/>
        </w:rPr>
      </w:pPr>
      <w:r w:rsidRPr="00F828A5">
        <w:rPr>
          <w:rFonts w:hAnsi="標楷體"/>
          <w:bCs w:val="0"/>
        </w:rPr>
        <w:t>新竹縣政府核准之「豐采520」建案，係於96年領得建造執照</w:t>
      </w:r>
      <w:r w:rsidRPr="00F828A5">
        <w:rPr>
          <w:rFonts w:hAnsi="標楷體" w:hint="eastAsia"/>
          <w:bCs w:val="0"/>
        </w:rPr>
        <w:t>，</w:t>
      </w:r>
      <w:r w:rsidRPr="00F828A5">
        <w:rPr>
          <w:rFonts w:hAnsi="標楷體"/>
          <w:bCs w:val="0"/>
        </w:rPr>
        <w:t>惟該案於後續興建過程中，歷經二次重大設計變更，其建築規模、使用用途、建築物高度及總戶數等項目，均與原核准內容產生根本性之巨大轉變，實質上已形同另一新開發計畫，其建築期限亦隨之延長至16年之久。新竹縣政府審核此案變更設計時，雖依據內政部87年7月2日台內營字第8772186號函釋意旨，認定無須廢止原領建造執照並重新申請。惟此一個案情況特殊，不僅使實質已為新開發計畫之案件</w:t>
      </w:r>
      <w:r w:rsidRPr="00F828A5">
        <w:rPr>
          <w:rFonts w:hAnsi="標楷體" w:hint="eastAsia"/>
          <w:bCs w:val="0"/>
        </w:rPr>
        <w:t>，且</w:t>
      </w:r>
      <w:r w:rsidRPr="00F828A5">
        <w:rPr>
          <w:rFonts w:hAnsi="標楷體"/>
          <w:bCs w:val="0"/>
        </w:rPr>
        <w:t>其設計變更已達全然質變之程度，該府未能審慎考量該函釋於此類極端個案適用上可能產生之疑義與潛在風險，即率予同意適用舊照，顯然有礙建築管理之與時俱進及公共安全之確保，更易引發外界對於藉此規避新修訂法規之疑慮與爭議，核有未當。</w:t>
      </w:r>
      <w:r w:rsidRPr="00F828A5">
        <w:rPr>
          <w:rFonts w:hAnsi="標楷體" w:hint="eastAsia"/>
          <w:bCs w:val="0"/>
        </w:rPr>
        <w:t>另</w:t>
      </w:r>
      <w:r w:rsidRPr="00F828A5">
        <w:rPr>
          <w:rFonts w:hAnsi="標楷體"/>
          <w:bCs w:val="0"/>
        </w:rPr>
        <w:t>為健全建築管理制度，確保建築物品質與公共安全，內政部允應就前揭函釋，於當前面臨建築計畫內容鉅變之實務案例時，其適用之妥適性與可能衍生之問題，進行通盤且審慎之檢討評估</w:t>
      </w:r>
      <w:r w:rsidRPr="00F828A5">
        <w:rPr>
          <w:rFonts w:hAnsi="標楷體" w:hint="eastAsia"/>
          <w:bCs w:val="0"/>
        </w:rPr>
        <w:t>，允</w:t>
      </w:r>
      <w:r w:rsidRPr="00F828A5">
        <w:rPr>
          <w:rFonts w:hAnsi="標楷體"/>
          <w:bCs w:val="0"/>
        </w:rPr>
        <w:t>應研議是否有必要針對建造執照之變更設計，增設其變更範圍與幅度之上限；或於特定重大變更情形下，應強制要求重新申請</w:t>
      </w:r>
      <w:r w:rsidRPr="00F828A5">
        <w:rPr>
          <w:rFonts w:hAnsi="標楷體"/>
          <w:bCs w:val="0"/>
        </w:rPr>
        <w:lastRenderedPageBreak/>
        <w:t>建造執照之可行性與具體標準，以釐清法規適用疑義，杜絕類似爭議再次發生。</w:t>
      </w:r>
    </w:p>
    <w:p w14:paraId="62B46D36" w14:textId="77777777" w:rsidR="009A3724" w:rsidRPr="00F828A5" w:rsidRDefault="009A3724" w:rsidP="009A3724">
      <w:pPr>
        <w:pStyle w:val="3"/>
        <w:numPr>
          <w:ilvl w:val="2"/>
          <w:numId w:val="1"/>
        </w:numPr>
        <w:rPr>
          <w:rFonts w:hAnsi="標楷體"/>
        </w:rPr>
      </w:pPr>
      <w:r w:rsidRPr="00F828A5">
        <w:rPr>
          <w:rFonts w:hAnsi="標楷體" w:hint="eastAsia"/>
        </w:rPr>
        <w:t>按建築法第39條規定，起造人應依核定工程圖樣及說明書施工，於興工前或施工中變更設計時，仍應依法申請辦理。同法第53條規定，主管建築機關應核定建築期限，承造人未能於期限內完工得申請展期1次。另依同法第54條規定，領得建造執照後應於法定期間內(含1次展延)申報開工，逾期執照即失其效力。又內政部87年7月2日台內營字第8772186號函釋，針對領得建造執照後辦理變更設計之法令適用原則，明訂於符合「不增加基地面積」、「不增加原核准總容積樓地板面積」等條件下，即使涉及用途變更(需符合變更時之土管規定)，其建築技術規則等規定，仍得適用「原建造執照申請時」之法令。此函釋旨在考量建築行為之連續性及避免程序反覆，然其適用範圍與條件，應審慎衡酌變更幅度與公共安全、都市發展之影響。</w:t>
      </w:r>
    </w:p>
    <w:p w14:paraId="3ECEAEDF" w14:textId="77777777" w:rsidR="009A3724" w:rsidRPr="00F828A5" w:rsidRDefault="009A3724" w:rsidP="009A3724">
      <w:pPr>
        <w:pStyle w:val="3"/>
        <w:numPr>
          <w:ilvl w:val="2"/>
          <w:numId w:val="1"/>
        </w:numPr>
        <w:rPr>
          <w:rFonts w:hAnsi="標楷體"/>
        </w:rPr>
      </w:pPr>
      <w:r w:rsidRPr="00F828A5">
        <w:rPr>
          <w:rFonts w:hAnsi="標楷體" w:hint="eastAsia"/>
        </w:rPr>
        <w:t>「豐采520」建案於96年12月3日取得新竹縣政府核發之(96)府建字第00876號建造執照，原核准建築規模為1幢1棟、地上13層地下6層、高度69.95公尺，用途為單一商場使用。嗣後，該建案歷經105年都市計畫變更增加住宅容許使用項目，並據以辦理2次主要建造執照變更設計，108年1月10日核定第1次變更為1幢2棟、地上35層地下6層、960戶，用途擴增為商場、辦公室及集合住宅，高度提升至136.45公尺；109年7月6日核定第2次變更設計則調整為地上32層地下6層、890戶，高度略降至119.8公尺。隨建築規模與樓層數之變更，依該府建築管理自治條例規定，建築期限亦由最初核定之53個月，歷經重新核算及二次變更後，最終核定為192個月(長達16</w:t>
      </w:r>
      <w:r w:rsidRPr="00F828A5">
        <w:rPr>
          <w:rFonts w:hAnsi="標楷體" w:hint="eastAsia"/>
        </w:rPr>
        <w:lastRenderedPageBreak/>
        <w:t>年)，預計完工日期大幅展延，造成本案建築執照變更與工期不斷延長之事實。</w:t>
      </w:r>
    </w:p>
    <w:p w14:paraId="1A177D53" w14:textId="77777777" w:rsidR="009A3724" w:rsidRPr="00F828A5" w:rsidRDefault="009A3724" w:rsidP="009A3724">
      <w:pPr>
        <w:pStyle w:val="af3"/>
        <w:numPr>
          <w:ilvl w:val="0"/>
          <w:numId w:val="38"/>
        </w:numPr>
        <w:rPr>
          <w:rFonts w:hAnsi="標楷體"/>
        </w:rPr>
      </w:pPr>
      <w:r w:rsidRPr="00F828A5">
        <w:rPr>
          <w:rFonts w:hAnsi="標楷體" w:hint="eastAsia"/>
        </w:rPr>
        <w:t>本案建築期限試算</w:t>
      </w:r>
    </w:p>
    <w:tbl>
      <w:tblPr>
        <w:tblStyle w:val="af6"/>
        <w:tblW w:w="9493" w:type="dxa"/>
        <w:jc w:val="center"/>
        <w:tblLayout w:type="fixed"/>
        <w:tblLook w:val="04A0" w:firstRow="1" w:lastRow="0" w:firstColumn="1" w:lastColumn="0" w:noHBand="0" w:noVBand="1"/>
      </w:tblPr>
      <w:tblGrid>
        <w:gridCol w:w="567"/>
        <w:gridCol w:w="2126"/>
        <w:gridCol w:w="5387"/>
        <w:gridCol w:w="1413"/>
      </w:tblGrid>
      <w:tr w:rsidR="00F828A5" w:rsidRPr="00F828A5" w14:paraId="72E913D9" w14:textId="77777777" w:rsidTr="009A3724">
        <w:trPr>
          <w:trHeight w:val="397"/>
          <w:tblHeader/>
          <w:jc w:val="center"/>
        </w:trPr>
        <w:tc>
          <w:tcPr>
            <w:tcW w:w="2693" w:type="dxa"/>
            <w:gridSpan w:val="2"/>
            <w:vAlign w:val="center"/>
          </w:tcPr>
          <w:p w14:paraId="122FAA9A" w14:textId="77777777" w:rsidR="009A3724" w:rsidRPr="00F828A5" w:rsidRDefault="009A3724" w:rsidP="009A3724">
            <w:pPr>
              <w:pStyle w:val="af7"/>
              <w:ind w:leftChars="0" w:left="0"/>
              <w:jc w:val="center"/>
              <w:rPr>
                <w:rFonts w:hAnsi="標楷體"/>
                <w:sz w:val="28"/>
                <w:szCs w:val="28"/>
              </w:rPr>
            </w:pPr>
            <w:r w:rsidRPr="00F828A5">
              <w:rPr>
                <w:rFonts w:hAnsi="標楷體"/>
                <w:sz w:val="28"/>
                <w:szCs w:val="28"/>
              </w:rPr>
              <w:t>建造執照</w:t>
            </w:r>
          </w:p>
        </w:tc>
        <w:tc>
          <w:tcPr>
            <w:tcW w:w="5387" w:type="dxa"/>
            <w:vAlign w:val="center"/>
          </w:tcPr>
          <w:p w14:paraId="49B09A6E" w14:textId="77777777" w:rsidR="009A3724" w:rsidRPr="00F828A5" w:rsidRDefault="009A3724" w:rsidP="009A3724">
            <w:pPr>
              <w:pStyle w:val="af7"/>
              <w:ind w:leftChars="0" w:left="0"/>
              <w:jc w:val="center"/>
              <w:rPr>
                <w:rFonts w:hAnsi="標楷體"/>
                <w:sz w:val="28"/>
                <w:szCs w:val="28"/>
              </w:rPr>
            </w:pPr>
            <w:r w:rsidRPr="00F828A5">
              <w:rPr>
                <w:rFonts w:hAnsi="標楷體"/>
                <w:sz w:val="28"/>
                <w:szCs w:val="28"/>
              </w:rPr>
              <w:t>工期試算</w:t>
            </w:r>
          </w:p>
        </w:tc>
        <w:tc>
          <w:tcPr>
            <w:tcW w:w="1413" w:type="dxa"/>
            <w:vAlign w:val="center"/>
          </w:tcPr>
          <w:p w14:paraId="1721488D" w14:textId="77777777" w:rsidR="009A3724" w:rsidRPr="00F828A5" w:rsidRDefault="009A3724" w:rsidP="009A3724">
            <w:pPr>
              <w:pStyle w:val="af7"/>
              <w:ind w:leftChars="0" w:left="0"/>
              <w:jc w:val="center"/>
              <w:rPr>
                <w:rFonts w:hAnsi="標楷體"/>
                <w:spacing w:val="-10"/>
                <w:sz w:val="26"/>
                <w:szCs w:val="26"/>
              </w:rPr>
            </w:pPr>
            <w:r w:rsidRPr="00F828A5">
              <w:rPr>
                <w:rFonts w:hAnsi="標楷體"/>
                <w:spacing w:val="-10"/>
                <w:sz w:val="26"/>
                <w:szCs w:val="26"/>
              </w:rPr>
              <w:t>適用版本</w:t>
            </w:r>
          </w:p>
        </w:tc>
      </w:tr>
      <w:tr w:rsidR="00F828A5" w:rsidRPr="00F828A5" w14:paraId="59BFDAF2" w14:textId="77777777" w:rsidTr="007805FC">
        <w:trPr>
          <w:trHeight w:val="338"/>
          <w:jc w:val="center"/>
        </w:trPr>
        <w:tc>
          <w:tcPr>
            <w:tcW w:w="567" w:type="dxa"/>
            <w:vMerge w:val="restart"/>
            <w:vAlign w:val="center"/>
          </w:tcPr>
          <w:p w14:paraId="72AB68BC" w14:textId="77777777" w:rsidR="009A3724" w:rsidRPr="00F828A5" w:rsidRDefault="009A3724" w:rsidP="007805FC">
            <w:pPr>
              <w:pStyle w:val="af7"/>
              <w:ind w:leftChars="0" w:left="0"/>
              <w:jc w:val="center"/>
              <w:rPr>
                <w:rFonts w:hAnsi="標楷體"/>
                <w:sz w:val="28"/>
                <w:szCs w:val="28"/>
              </w:rPr>
            </w:pPr>
            <w:r w:rsidRPr="00F828A5">
              <w:rPr>
                <w:rFonts w:hAnsi="標楷體"/>
                <w:sz w:val="28"/>
                <w:szCs w:val="28"/>
              </w:rPr>
              <w:t>原核准</w:t>
            </w:r>
          </w:p>
        </w:tc>
        <w:tc>
          <w:tcPr>
            <w:tcW w:w="2126" w:type="dxa"/>
            <w:vAlign w:val="center"/>
          </w:tcPr>
          <w:p w14:paraId="34DDECB5" w14:textId="77777777" w:rsidR="009A3724" w:rsidRPr="00F828A5" w:rsidRDefault="009A3724" w:rsidP="007805FC">
            <w:pPr>
              <w:pStyle w:val="af7"/>
              <w:ind w:leftChars="0" w:left="0"/>
              <w:rPr>
                <w:rFonts w:hAnsi="標楷體"/>
                <w:sz w:val="28"/>
                <w:szCs w:val="28"/>
              </w:rPr>
            </w:pPr>
            <w:r w:rsidRPr="00F828A5">
              <w:rPr>
                <w:rFonts w:hAnsi="標楷體"/>
                <w:sz w:val="28"/>
                <w:szCs w:val="28"/>
              </w:rPr>
              <w:t>(97.4.2)</w:t>
            </w:r>
          </w:p>
        </w:tc>
        <w:tc>
          <w:tcPr>
            <w:tcW w:w="5387" w:type="dxa"/>
          </w:tcPr>
          <w:p w14:paraId="40CEB1B2" w14:textId="77777777" w:rsidR="009A3724" w:rsidRPr="00F828A5" w:rsidRDefault="009A3724" w:rsidP="007805FC">
            <w:pPr>
              <w:pStyle w:val="af7"/>
              <w:ind w:leftChars="0" w:left="0"/>
              <w:rPr>
                <w:rFonts w:hAnsi="標楷體"/>
                <w:sz w:val="28"/>
                <w:szCs w:val="28"/>
              </w:rPr>
            </w:pPr>
            <w:r w:rsidRPr="00F828A5">
              <w:rPr>
                <w:rFonts w:hAnsi="標楷體"/>
                <w:sz w:val="28"/>
                <w:szCs w:val="28"/>
              </w:rPr>
              <w:t>建築規模：地上13層地下6層</w:t>
            </w:r>
          </w:p>
          <w:p w14:paraId="5483E09D" w14:textId="77777777" w:rsidR="009A3724" w:rsidRPr="00F828A5" w:rsidRDefault="009A3724" w:rsidP="009A3724">
            <w:pPr>
              <w:pStyle w:val="af7"/>
              <w:numPr>
                <w:ilvl w:val="0"/>
                <w:numId w:val="43"/>
              </w:numPr>
              <w:overflowPunct/>
              <w:autoSpaceDE/>
              <w:autoSpaceDN/>
              <w:ind w:leftChars="0"/>
              <w:jc w:val="left"/>
              <w:rPr>
                <w:rFonts w:hAnsi="標楷體"/>
                <w:sz w:val="28"/>
                <w:szCs w:val="28"/>
              </w:rPr>
            </w:pPr>
            <w:r w:rsidRPr="00F828A5">
              <w:rPr>
                <w:rFonts w:hAnsi="標楷體"/>
                <w:sz w:val="28"/>
                <w:szCs w:val="28"/>
              </w:rPr>
              <w:t>基數3個月</w:t>
            </w:r>
          </w:p>
          <w:p w14:paraId="624CD6E7" w14:textId="77777777" w:rsidR="009A3724" w:rsidRPr="00F828A5" w:rsidRDefault="009A3724" w:rsidP="009A3724">
            <w:pPr>
              <w:pStyle w:val="af7"/>
              <w:numPr>
                <w:ilvl w:val="0"/>
                <w:numId w:val="43"/>
              </w:numPr>
              <w:overflowPunct/>
              <w:autoSpaceDE/>
              <w:autoSpaceDN/>
              <w:ind w:leftChars="0"/>
              <w:jc w:val="left"/>
              <w:rPr>
                <w:rFonts w:hAnsi="標楷體"/>
                <w:sz w:val="28"/>
                <w:szCs w:val="28"/>
              </w:rPr>
            </w:pPr>
            <w:r w:rsidRPr="00F828A5">
              <w:rPr>
                <w:rFonts w:hAnsi="標楷體"/>
                <w:sz w:val="28"/>
                <w:szCs w:val="28"/>
              </w:rPr>
              <w:t>地下每層4個月：6*4</w:t>
            </w:r>
          </w:p>
          <w:p w14:paraId="38DD3D07" w14:textId="77777777" w:rsidR="009A3724" w:rsidRPr="00F828A5" w:rsidRDefault="009A3724" w:rsidP="009A3724">
            <w:pPr>
              <w:pStyle w:val="af7"/>
              <w:numPr>
                <w:ilvl w:val="0"/>
                <w:numId w:val="43"/>
              </w:numPr>
              <w:overflowPunct/>
              <w:autoSpaceDE/>
              <w:autoSpaceDN/>
              <w:ind w:leftChars="0"/>
              <w:jc w:val="left"/>
              <w:rPr>
                <w:rFonts w:hAnsi="標楷體"/>
                <w:sz w:val="28"/>
                <w:szCs w:val="28"/>
              </w:rPr>
            </w:pPr>
            <w:r w:rsidRPr="00F828A5">
              <w:rPr>
                <w:rFonts w:hAnsi="標楷體"/>
                <w:sz w:val="28"/>
                <w:szCs w:val="28"/>
              </w:rPr>
              <w:t>地面每層2個月：13*2</w:t>
            </w:r>
          </w:p>
          <w:p w14:paraId="1A7AF89B" w14:textId="77777777" w:rsidR="009A3724" w:rsidRPr="00F828A5" w:rsidRDefault="009A3724" w:rsidP="007805FC">
            <w:pPr>
              <w:pStyle w:val="af7"/>
              <w:ind w:leftChars="0" w:left="0"/>
              <w:rPr>
                <w:rFonts w:hAnsi="標楷體"/>
                <w:sz w:val="28"/>
                <w:szCs w:val="28"/>
              </w:rPr>
            </w:pPr>
            <w:r w:rsidRPr="00F828A5">
              <w:rPr>
                <w:rFonts w:hAnsi="標楷體"/>
                <w:sz w:val="28"/>
                <w:szCs w:val="28"/>
              </w:rPr>
              <w:t>(1)+(2)+(3)=3+24+26=53(月)</w:t>
            </w:r>
          </w:p>
        </w:tc>
        <w:tc>
          <w:tcPr>
            <w:tcW w:w="1413" w:type="dxa"/>
            <w:vMerge w:val="restart"/>
            <w:vAlign w:val="center"/>
          </w:tcPr>
          <w:p w14:paraId="7AA01B96" w14:textId="77777777" w:rsidR="009A3724" w:rsidRPr="00F828A5" w:rsidRDefault="009A3724" w:rsidP="007805FC">
            <w:pPr>
              <w:pStyle w:val="af7"/>
              <w:ind w:leftChars="0" w:left="0"/>
              <w:rPr>
                <w:rFonts w:hAnsi="標楷體"/>
                <w:sz w:val="26"/>
                <w:szCs w:val="26"/>
              </w:rPr>
            </w:pPr>
            <w:r w:rsidRPr="00F828A5">
              <w:rPr>
                <w:rFonts w:hAnsi="標楷體" w:hint="eastAsia"/>
                <w:sz w:val="26"/>
                <w:szCs w:val="26"/>
              </w:rPr>
              <w:t>新竹縣建築管理自治條例</w:t>
            </w:r>
            <w:r w:rsidRPr="00F828A5">
              <w:rPr>
                <w:rFonts w:hAnsi="標楷體"/>
                <w:sz w:val="26"/>
                <w:szCs w:val="26"/>
              </w:rPr>
              <w:t>96.7.20</w:t>
            </w:r>
          </w:p>
          <w:p w14:paraId="6B4F3C0E" w14:textId="77777777" w:rsidR="009A3724" w:rsidRPr="00F828A5" w:rsidRDefault="009A3724" w:rsidP="007805FC">
            <w:pPr>
              <w:pStyle w:val="af7"/>
              <w:ind w:leftChars="0" w:left="0"/>
              <w:rPr>
                <w:rFonts w:hAnsi="標楷體"/>
                <w:sz w:val="26"/>
                <w:szCs w:val="26"/>
              </w:rPr>
            </w:pPr>
            <w:r w:rsidRPr="00F828A5">
              <w:rPr>
                <w:rFonts w:hAnsi="標楷體"/>
                <w:sz w:val="26"/>
                <w:szCs w:val="26"/>
              </w:rPr>
              <w:t>第22條</w:t>
            </w:r>
          </w:p>
        </w:tc>
      </w:tr>
      <w:tr w:rsidR="00F828A5" w:rsidRPr="00F828A5" w14:paraId="3F2D3B1F" w14:textId="77777777" w:rsidTr="007805FC">
        <w:trPr>
          <w:trHeight w:val="337"/>
          <w:jc w:val="center"/>
        </w:trPr>
        <w:tc>
          <w:tcPr>
            <w:tcW w:w="567" w:type="dxa"/>
            <w:vMerge/>
          </w:tcPr>
          <w:p w14:paraId="303F6B7A" w14:textId="77777777" w:rsidR="009A3724" w:rsidRPr="00F828A5" w:rsidRDefault="009A3724" w:rsidP="007805FC">
            <w:pPr>
              <w:pStyle w:val="af7"/>
              <w:ind w:leftChars="0" w:left="0"/>
              <w:rPr>
                <w:rFonts w:hAnsi="標楷體"/>
                <w:sz w:val="28"/>
                <w:szCs w:val="28"/>
              </w:rPr>
            </w:pPr>
          </w:p>
        </w:tc>
        <w:tc>
          <w:tcPr>
            <w:tcW w:w="2126" w:type="dxa"/>
            <w:vAlign w:val="center"/>
          </w:tcPr>
          <w:p w14:paraId="0C0B00F0" w14:textId="77777777" w:rsidR="009A3724" w:rsidRPr="00F828A5" w:rsidRDefault="009A3724" w:rsidP="007805FC">
            <w:pPr>
              <w:pStyle w:val="af7"/>
              <w:ind w:leftChars="0" w:left="0"/>
              <w:jc w:val="left"/>
              <w:rPr>
                <w:rFonts w:hAnsi="標楷體"/>
                <w:sz w:val="28"/>
                <w:szCs w:val="28"/>
              </w:rPr>
            </w:pPr>
            <w:r w:rsidRPr="00F828A5">
              <w:rPr>
                <w:rFonts w:hAnsi="標楷體"/>
                <w:sz w:val="28"/>
                <w:szCs w:val="28"/>
              </w:rPr>
              <w:t>申請更正(102.7.24)</w:t>
            </w:r>
          </w:p>
          <w:p w14:paraId="1D2FB3F5" w14:textId="77777777" w:rsidR="009A3724" w:rsidRPr="00F828A5" w:rsidRDefault="009A3724" w:rsidP="007805FC">
            <w:pPr>
              <w:pStyle w:val="af7"/>
              <w:ind w:leftChars="0" w:left="0"/>
              <w:jc w:val="left"/>
              <w:rPr>
                <w:rFonts w:hAnsi="標楷體"/>
                <w:sz w:val="28"/>
                <w:szCs w:val="28"/>
              </w:rPr>
            </w:pPr>
            <w:r w:rsidRPr="00F828A5">
              <w:rPr>
                <w:rFonts w:hAnsi="標楷體"/>
                <w:sz w:val="28"/>
                <w:szCs w:val="28"/>
              </w:rPr>
              <w:t>(原核准漏列：雜項工程及地下室每層超過1</w:t>
            </w:r>
            <w:r w:rsidRPr="00F828A5">
              <w:rPr>
                <w:rFonts w:hAnsi="標楷體" w:hint="eastAsia"/>
                <w:sz w:val="28"/>
                <w:szCs w:val="28"/>
              </w:rPr>
              <w:t>,</w:t>
            </w:r>
            <w:r w:rsidRPr="00F828A5">
              <w:rPr>
                <w:rFonts w:hAnsi="標楷體"/>
                <w:sz w:val="28"/>
                <w:szCs w:val="28"/>
              </w:rPr>
              <w:t>000m</w:t>
            </w:r>
            <w:r w:rsidRPr="00F828A5">
              <w:rPr>
                <w:rFonts w:hAnsi="標楷體"/>
                <w:sz w:val="28"/>
                <w:szCs w:val="28"/>
                <w:vertAlign w:val="superscript"/>
              </w:rPr>
              <w:t>2</w:t>
            </w:r>
            <w:r w:rsidRPr="00F828A5">
              <w:rPr>
                <w:rFonts w:hAnsi="標楷體"/>
                <w:sz w:val="28"/>
                <w:szCs w:val="28"/>
              </w:rPr>
              <w:t>增加1個月工期)</w:t>
            </w:r>
          </w:p>
        </w:tc>
        <w:tc>
          <w:tcPr>
            <w:tcW w:w="5387" w:type="dxa"/>
          </w:tcPr>
          <w:p w14:paraId="4A177D65" w14:textId="77777777" w:rsidR="009A3724" w:rsidRPr="00F828A5" w:rsidRDefault="009A3724" w:rsidP="007805FC">
            <w:pPr>
              <w:pStyle w:val="af7"/>
              <w:ind w:leftChars="0" w:left="0"/>
              <w:rPr>
                <w:rFonts w:hAnsi="標楷體"/>
                <w:sz w:val="28"/>
                <w:szCs w:val="28"/>
              </w:rPr>
            </w:pPr>
            <w:r w:rsidRPr="00F828A5">
              <w:rPr>
                <w:rFonts w:hAnsi="標楷體"/>
                <w:sz w:val="28"/>
                <w:szCs w:val="28"/>
              </w:rPr>
              <w:t>建築規模：地上13層地下6層</w:t>
            </w:r>
          </w:p>
          <w:p w14:paraId="023258CC" w14:textId="77777777" w:rsidR="009A3724" w:rsidRPr="00F828A5" w:rsidRDefault="009A3724" w:rsidP="009A3724">
            <w:pPr>
              <w:pStyle w:val="af7"/>
              <w:numPr>
                <w:ilvl w:val="0"/>
                <w:numId w:val="44"/>
              </w:numPr>
              <w:overflowPunct/>
              <w:autoSpaceDE/>
              <w:autoSpaceDN/>
              <w:ind w:leftChars="0"/>
              <w:jc w:val="left"/>
              <w:rPr>
                <w:rFonts w:hAnsi="標楷體"/>
                <w:sz w:val="28"/>
                <w:szCs w:val="28"/>
              </w:rPr>
            </w:pPr>
            <w:r w:rsidRPr="00F828A5">
              <w:rPr>
                <w:rFonts w:hAnsi="標楷體"/>
                <w:sz w:val="28"/>
                <w:szCs w:val="28"/>
              </w:rPr>
              <w:t>基數3個月</w:t>
            </w:r>
          </w:p>
          <w:p w14:paraId="60853A10" w14:textId="77777777" w:rsidR="009A3724" w:rsidRPr="00F828A5" w:rsidRDefault="009A3724" w:rsidP="009A3724">
            <w:pPr>
              <w:pStyle w:val="af7"/>
              <w:numPr>
                <w:ilvl w:val="0"/>
                <w:numId w:val="44"/>
              </w:numPr>
              <w:overflowPunct/>
              <w:autoSpaceDE/>
              <w:autoSpaceDN/>
              <w:ind w:leftChars="0"/>
              <w:jc w:val="left"/>
              <w:rPr>
                <w:rFonts w:hAnsi="標楷體"/>
                <w:sz w:val="28"/>
                <w:szCs w:val="28"/>
              </w:rPr>
            </w:pPr>
            <w:r w:rsidRPr="00F828A5">
              <w:rPr>
                <w:rFonts w:hAnsi="標楷體"/>
                <w:sz w:val="28"/>
                <w:szCs w:val="28"/>
              </w:rPr>
              <w:t>地下每層4個月：6*4</w:t>
            </w:r>
          </w:p>
          <w:p w14:paraId="72115B3E" w14:textId="77777777" w:rsidR="009A3724" w:rsidRPr="00F828A5" w:rsidRDefault="009A3724" w:rsidP="009A3724">
            <w:pPr>
              <w:pStyle w:val="af7"/>
              <w:numPr>
                <w:ilvl w:val="0"/>
                <w:numId w:val="44"/>
              </w:numPr>
              <w:overflowPunct/>
              <w:autoSpaceDE/>
              <w:autoSpaceDN/>
              <w:ind w:leftChars="0"/>
              <w:jc w:val="left"/>
              <w:rPr>
                <w:rFonts w:hAnsi="標楷體"/>
                <w:sz w:val="28"/>
                <w:szCs w:val="28"/>
              </w:rPr>
            </w:pPr>
            <w:r w:rsidRPr="00F828A5">
              <w:rPr>
                <w:rFonts w:hAnsi="標楷體"/>
                <w:sz w:val="28"/>
                <w:szCs w:val="28"/>
              </w:rPr>
              <w:t>地下每層超過1</w:t>
            </w:r>
            <w:r w:rsidRPr="00F828A5">
              <w:rPr>
                <w:rFonts w:hAnsi="標楷體" w:hint="eastAsia"/>
                <w:sz w:val="28"/>
                <w:szCs w:val="28"/>
              </w:rPr>
              <w:t>,</w:t>
            </w:r>
            <w:r w:rsidRPr="00F828A5">
              <w:rPr>
                <w:rFonts w:hAnsi="標楷體"/>
                <w:sz w:val="28"/>
                <w:szCs w:val="28"/>
              </w:rPr>
              <w:t>000m</w:t>
            </w:r>
            <w:r w:rsidRPr="00F828A5">
              <w:rPr>
                <w:rFonts w:hAnsi="標楷體"/>
                <w:sz w:val="28"/>
                <w:szCs w:val="28"/>
                <w:vertAlign w:val="superscript"/>
              </w:rPr>
              <w:t>2</w:t>
            </w:r>
            <w:r w:rsidRPr="00F828A5">
              <w:rPr>
                <w:rFonts w:hAnsi="標楷體"/>
                <w:sz w:val="28"/>
                <w:szCs w:val="28"/>
              </w:rPr>
              <w:t>，增加1個月：6*11</w:t>
            </w:r>
          </w:p>
          <w:p w14:paraId="1EE64BCB" w14:textId="77777777" w:rsidR="009A3724" w:rsidRPr="00F828A5" w:rsidRDefault="009A3724" w:rsidP="009A3724">
            <w:pPr>
              <w:pStyle w:val="af7"/>
              <w:numPr>
                <w:ilvl w:val="0"/>
                <w:numId w:val="44"/>
              </w:numPr>
              <w:overflowPunct/>
              <w:autoSpaceDE/>
              <w:autoSpaceDN/>
              <w:ind w:leftChars="0"/>
              <w:jc w:val="left"/>
              <w:rPr>
                <w:rFonts w:hAnsi="標楷體"/>
                <w:sz w:val="28"/>
                <w:szCs w:val="28"/>
              </w:rPr>
            </w:pPr>
            <w:r w:rsidRPr="00F828A5">
              <w:rPr>
                <w:rFonts w:hAnsi="標楷體"/>
                <w:sz w:val="28"/>
                <w:szCs w:val="28"/>
              </w:rPr>
              <w:t>地面每層2個月：13*2</w:t>
            </w:r>
          </w:p>
          <w:p w14:paraId="03F65E60" w14:textId="77777777" w:rsidR="009A3724" w:rsidRPr="00F828A5" w:rsidRDefault="009A3724" w:rsidP="009A3724">
            <w:pPr>
              <w:pStyle w:val="af7"/>
              <w:numPr>
                <w:ilvl w:val="0"/>
                <w:numId w:val="44"/>
              </w:numPr>
              <w:overflowPunct/>
              <w:autoSpaceDE/>
              <w:autoSpaceDN/>
              <w:ind w:leftChars="0"/>
              <w:jc w:val="left"/>
              <w:rPr>
                <w:rFonts w:hAnsi="標楷體"/>
                <w:sz w:val="28"/>
                <w:szCs w:val="28"/>
              </w:rPr>
            </w:pPr>
            <w:r w:rsidRPr="00F828A5">
              <w:rPr>
                <w:rFonts w:hAnsi="標楷體"/>
                <w:sz w:val="28"/>
                <w:szCs w:val="28"/>
              </w:rPr>
              <w:t>雜項工程3個月</w:t>
            </w:r>
          </w:p>
          <w:p w14:paraId="1D8F421F" w14:textId="77777777" w:rsidR="009A3724" w:rsidRPr="00F828A5" w:rsidRDefault="009A3724" w:rsidP="007805FC">
            <w:pPr>
              <w:rPr>
                <w:rFonts w:hAnsi="標楷體"/>
                <w:sz w:val="28"/>
                <w:szCs w:val="28"/>
              </w:rPr>
            </w:pPr>
            <w:r w:rsidRPr="00F828A5">
              <w:rPr>
                <w:rFonts w:hAnsi="標楷體"/>
                <w:sz w:val="28"/>
                <w:szCs w:val="28"/>
              </w:rPr>
              <w:t>(1)+(2)+(3)+(4)+(5)=3+24+66+26+3=122(月)</w:t>
            </w:r>
          </w:p>
        </w:tc>
        <w:tc>
          <w:tcPr>
            <w:tcW w:w="1413" w:type="dxa"/>
            <w:vMerge/>
            <w:vAlign w:val="center"/>
          </w:tcPr>
          <w:p w14:paraId="1BE87069" w14:textId="77777777" w:rsidR="009A3724" w:rsidRPr="00F828A5" w:rsidRDefault="009A3724" w:rsidP="007805FC">
            <w:pPr>
              <w:pStyle w:val="af7"/>
              <w:ind w:leftChars="0" w:left="0"/>
              <w:rPr>
                <w:rFonts w:hAnsi="標楷體"/>
                <w:sz w:val="26"/>
                <w:szCs w:val="26"/>
              </w:rPr>
            </w:pPr>
          </w:p>
        </w:tc>
      </w:tr>
      <w:tr w:rsidR="00F828A5" w:rsidRPr="00F828A5" w14:paraId="3D2DC94E" w14:textId="77777777" w:rsidTr="007805FC">
        <w:trPr>
          <w:jc w:val="center"/>
        </w:trPr>
        <w:tc>
          <w:tcPr>
            <w:tcW w:w="2693" w:type="dxa"/>
            <w:gridSpan w:val="2"/>
            <w:vAlign w:val="center"/>
          </w:tcPr>
          <w:p w14:paraId="4541D8F9" w14:textId="77777777" w:rsidR="009A3724" w:rsidRPr="00F828A5" w:rsidRDefault="009A3724" w:rsidP="007805FC">
            <w:pPr>
              <w:pStyle w:val="af7"/>
              <w:ind w:leftChars="0" w:left="0"/>
              <w:jc w:val="left"/>
              <w:rPr>
                <w:rFonts w:hAnsi="標楷體"/>
                <w:sz w:val="28"/>
                <w:szCs w:val="28"/>
              </w:rPr>
            </w:pPr>
            <w:r w:rsidRPr="00F828A5">
              <w:rPr>
                <w:rFonts w:hAnsi="標楷體"/>
                <w:sz w:val="28"/>
                <w:szCs w:val="28"/>
              </w:rPr>
              <w:t>第2次變更設計(109.7.6)</w:t>
            </w:r>
          </w:p>
        </w:tc>
        <w:tc>
          <w:tcPr>
            <w:tcW w:w="5387" w:type="dxa"/>
          </w:tcPr>
          <w:p w14:paraId="0A2D9197" w14:textId="77777777" w:rsidR="009A3724" w:rsidRPr="00F828A5" w:rsidRDefault="009A3724" w:rsidP="007805FC">
            <w:pPr>
              <w:rPr>
                <w:rFonts w:hAnsi="標楷體"/>
                <w:sz w:val="28"/>
                <w:szCs w:val="28"/>
              </w:rPr>
            </w:pPr>
            <w:r w:rsidRPr="00F828A5">
              <w:rPr>
                <w:rFonts w:hAnsi="標楷體"/>
                <w:sz w:val="28"/>
                <w:szCs w:val="28"/>
              </w:rPr>
              <w:t>建築規模：地上32層地下6層</w:t>
            </w:r>
          </w:p>
          <w:p w14:paraId="11370C20" w14:textId="77777777" w:rsidR="009A3724" w:rsidRPr="00F828A5" w:rsidRDefault="009A3724" w:rsidP="009A3724">
            <w:pPr>
              <w:pStyle w:val="af7"/>
              <w:numPr>
                <w:ilvl w:val="0"/>
                <w:numId w:val="45"/>
              </w:numPr>
              <w:overflowPunct/>
              <w:autoSpaceDE/>
              <w:autoSpaceDN/>
              <w:ind w:leftChars="0"/>
              <w:jc w:val="left"/>
              <w:rPr>
                <w:rFonts w:hAnsi="標楷體"/>
                <w:sz w:val="28"/>
                <w:szCs w:val="28"/>
              </w:rPr>
            </w:pPr>
            <w:r w:rsidRPr="00F828A5">
              <w:rPr>
                <w:rFonts w:hAnsi="標楷體"/>
                <w:sz w:val="28"/>
                <w:szCs w:val="28"/>
              </w:rPr>
              <w:t>基數6個月</w:t>
            </w:r>
          </w:p>
          <w:p w14:paraId="07D8D8EE" w14:textId="77777777" w:rsidR="009A3724" w:rsidRPr="00F828A5" w:rsidRDefault="009A3724" w:rsidP="009A3724">
            <w:pPr>
              <w:pStyle w:val="af7"/>
              <w:numPr>
                <w:ilvl w:val="0"/>
                <w:numId w:val="45"/>
              </w:numPr>
              <w:overflowPunct/>
              <w:autoSpaceDE/>
              <w:autoSpaceDN/>
              <w:ind w:leftChars="0"/>
              <w:jc w:val="left"/>
              <w:rPr>
                <w:rFonts w:hAnsi="標楷體"/>
                <w:sz w:val="28"/>
                <w:szCs w:val="28"/>
              </w:rPr>
            </w:pPr>
            <w:r w:rsidRPr="00F828A5">
              <w:rPr>
                <w:rFonts w:hAnsi="標楷體"/>
                <w:sz w:val="28"/>
                <w:szCs w:val="28"/>
              </w:rPr>
              <w:t>地下每層4個月：6*4</w:t>
            </w:r>
          </w:p>
          <w:p w14:paraId="2506E9DF" w14:textId="77777777" w:rsidR="009A3724" w:rsidRPr="00F828A5" w:rsidRDefault="009A3724" w:rsidP="009A3724">
            <w:pPr>
              <w:pStyle w:val="af7"/>
              <w:numPr>
                <w:ilvl w:val="0"/>
                <w:numId w:val="45"/>
              </w:numPr>
              <w:overflowPunct/>
              <w:autoSpaceDE/>
              <w:autoSpaceDN/>
              <w:ind w:leftChars="0"/>
              <w:jc w:val="left"/>
              <w:rPr>
                <w:rFonts w:hAnsi="標楷體"/>
                <w:sz w:val="28"/>
                <w:szCs w:val="28"/>
              </w:rPr>
            </w:pPr>
            <w:r w:rsidRPr="00F828A5">
              <w:rPr>
                <w:rFonts w:hAnsi="標楷體"/>
                <w:sz w:val="28"/>
                <w:szCs w:val="28"/>
              </w:rPr>
              <w:t>地下每層超過1</w:t>
            </w:r>
            <w:r w:rsidRPr="00F828A5">
              <w:rPr>
                <w:rFonts w:hAnsi="標楷體" w:hint="eastAsia"/>
                <w:sz w:val="28"/>
                <w:szCs w:val="28"/>
              </w:rPr>
              <w:t>,</w:t>
            </w:r>
            <w:r w:rsidRPr="00F828A5">
              <w:rPr>
                <w:rFonts w:hAnsi="標楷體"/>
                <w:sz w:val="28"/>
                <w:szCs w:val="28"/>
              </w:rPr>
              <w:t>000m</w:t>
            </w:r>
            <w:r w:rsidRPr="00F828A5">
              <w:rPr>
                <w:rFonts w:hAnsi="標楷體"/>
                <w:sz w:val="28"/>
                <w:szCs w:val="28"/>
                <w:vertAlign w:val="superscript"/>
              </w:rPr>
              <w:t>2</w:t>
            </w:r>
            <w:r w:rsidRPr="00F828A5">
              <w:rPr>
                <w:rFonts w:hAnsi="標楷體"/>
                <w:sz w:val="28"/>
                <w:szCs w:val="28"/>
              </w:rPr>
              <w:t>，增加1個月：6*11</w:t>
            </w:r>
          </w:p>
          <w:p w14:paraId="1546C776" w14:textId="77777777" w:rsidR="009A3724" w:rsidRPr="00F828A5" w:rsidRDefault="009A3724" w:rsidP="009A3724">
            <w:pPr>
              <w:pStyle w:val="af7"/>
              <w:numPr>
                <w:ilvl w:val="0"/>
                <w:numId w:val="45"/>
              </w:numPr>
              <w:overflowPunct/>
              <w:autoSpaceDE/>
              <w:autoSpaceDN/>
              <w:ind w:leftChars="0"/>
              <w:jc w:val="left"/>
              <w:rPr>
                <w:rFonts w:hAnsi="標楷體"/>
                <w:sz w:val="28"/>
                <w:szCs w:val="28"/>
              </w:rPr>
            </w:pPr>
            <w:r w:rsidRPr="00F828A5">
              <w:rPr>
                <w:rFonts w:hAnsi="標楷體"/>
                <w:sz w:val="28"/>
                <w:szCs w:val="28"/>
              </w:rPr>
              <w:t>地面每層3個月：32*3</w:t>
            </w:r>
          </w:p>
          <w:p w14:paraId="575EBD3A" w14:textId="77777777" w:rsidR="009A3724" w:rsidRPr="00F828A5" w:rsidRDefault="009A3724" w:rsidP="007805FC">
            <w:pPr>
              <w:pStyle w:val="af7"/>
              <w:ind w:leftChars="0" w:left="0"/>
              <w:rPr>
                <w:rFonts w:hAnsi="標楷體"/>
                <w:sz w:val="28"/>
                <w:szCs w:val="28"/>
              </w:rPr>
            </w:pPr>
            <w:r w:rsidRPr="00F828A5">
              <w:rPr>
                <w:rFonts w:hAnsi="標楷體"/>
                <w:sz w:val="28"/>
                <w:szCs w:val="28"/>
              </w:rPr>
              <w:t>(1)+(2)+(3)+(4)=6+24+66+96=192(月)</w:t>
            </w:r>
          </w:p>
        </w:tc>
        <w:tc>
          <w:tcPr>
            <w:tcW w:w="1413" w:type="dxa"/>
            <w:vAlign w:val="center"/>
          </w:tcPr>
          <w:p w14:paraId="688E3F39" w14:textId="77777777" w:rsidR="009A3724" w:rsidRPr="00F828A5" w:rsidRDefault="009A3724" w:rsidP="007805FC">
            <w:pPr>
              <w:pStyle w:val="af7"/>
              <w:ind w:leftChars="0" w:left="0"/>
              <w:rPr>
                <w:rFonts w:hAnsi="標楷體"/>
                <w:sz w:val="26"/>
                <w:szCs w:val="26"/>
              </w:rPr>
            </w:pPr>
            <w:r w:rsidRPr="00F828A5">
              <w:rPr>
                <w:rFonts w:hAnsi="標楷體" w:hint="eastAsia"/>
                <w:sz w:val="26"/>
                <w:szCs w:val="26"/>
              </w:rPr>
              <w:t>新竹縣建築管理自治條例</w:t>
            </w:r>
            <w:r w:rsidRPr="00F828A5">
              <w:rPr>
                <w:rFonts w:hAnsi="標楷體"/>
                <w:sz w:val="26"/>
                <w:szCs w:val="26"/>
              </w:rPr>
              <w:t>106.7.31</w:t>
            </w:r>
          </w:p>
          <w:p w14:paraId="341C4FCA" w14:textId="77777777" w:rsidR="009A3724" w:rsidRPr="00F828A5" w:rsidRDefault="009A3724" w:rsidP="007805FC">
            <w:pPr>
              <w:pStyle w:val="af7"/>
              <w:ind w:leftChars="0" w:left="0"/>
              <w:rPr>
                <w:rFonts w:hAnsi="標楷體"/>
                <w:sz w:val="26"/>
                <w:szCs w:val="26"/>
              </w:rPr>
            </w:pPr>
            <w:r w:rsidRPr="00F828A5">
              <w:rPr>
                <w:rFonts w:hAnsi="標楷體"/>
                <w:sz w:val="26"/>
                <w:szCs w:val="26"/>
              </w:rPr>
              <w:t>第24條</w:t>
            </w:r>
          </w:p>
        </w:tc>
      </w:tr>
    </w:tbl>
    <w:p w14:paraId="209095C5" w14:textId="77777777" w:rsidR="009A3724" w:rsidRPr="00F828A5" w:rsidRDefault="009A3724" w:rsidP="009A3724">
      <w:pPr>
        <w:pStyle w:val="3"/>
        <w:numPr>
          <w:ilvl w:val="2"/>
          <w:numId w:val="1"/>
        </w:numPr>
        <w:rPr>
          <w:rFonts w:hAnsi="標楷體"/>
        </w:rPr>
      </w:pPr>
      <w:r w:rsidRPr="00F828A5">
        <w:rPr>
          <w:rFonts w:hAnsi="標楷體" w:hint="eastAsia"/>
        </w:rPr>
        <w:t>惟本案原係以單一商場用途申請並取得建造執照，後續因都市計畫放寬及市場考量，其變更設計之幅度已遠超一般修正調整之範疇。不僅建築物棟數由1棟變為2棟，樓層數由地上13層倍增至最高35層(後調整為32層)，戶數由原規劃之單一商場變為近900戶之集合住宅與辦公、商場混合使用，建築物高度亦由原69.95公尺大幅提升至近120公尺之超高層建築。其建築量體、結構系統(由RC變更為鋼骨</w:t>
      </w:r>
      <w:r w:rsidRPr="00F828A5">
        <w:rPr>
          <w:rFonts w:hAnsi="標楷體" w:hint="eastAsia"/>
        </w:rPr>
        <w:lastRenderedPageBreak/>
        <w:t>RC)、使用強度、防災避難規劃、交通衝擊、環境影響等面向，均與原核准內容產生根本性之巨大差異。如此鉅變，實質上已近似於一全新之開發計畫，而非原計畫之延續或微調。</w:t>
      </w:r>
    </w:p>
    <w:p w14:paraId="65CE77A3" w14:textId="77777777" w:rsidR="009A3724" w:rsidRPr="00F828A5" w:rsidRDefault="009A3724" w:rsidP="009A3724">
      <w:pPr>
        <w:pStyle w:val="af3"/>
        <w:numPr>
          <w:ilvl w:val="0"/>
          <w:numId w:val="38"/>
        </w:numPr>
        <w:rPr>
          <w:rFonts w:hAnsi="標楷體"/>
        </w:rPr>
      </w:pPr>
      <w:r w:rsidRPr="00F828A5">
        <w:rPr>
          <w:rFonts w:hAnsi="標楷體" w:hint="eastAsia"/>
        </w:rPr>
        <w:t>歷次建造執照之基地面積、總容積樓地板面積、使用用途</w:t>
      </w:r>
    </w:p>
    <w:tbl>
      <w:tblPr>
        <w:tblW w:w="51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985"/>
        <w:gridCol w:w="2127"/>
        <w:gridCol w:w="2263"/>
        <w:gridCol w:w="996"/>
      </w:tblGrid>
      <w:tr w:rsidR="00F828A5" w:rsidRPr="00F828A5" w14:paraId="3ADE4055" w14:textId="77777777" w:rsidTr="009A3724">
        <w:trPr>
          <w:trHeight w:val="454"/>
          <w:tblHeader/>
        </w:trPr>
        <w:tc>
          <w:tcPr>
            <w:tcW w:w="938" w:type="pct"/>
            <w:vAlign w:val="center"/>
          </w:tcPr>
          <w:p w14:paraId="3CD09696" w14:textId="77777777" w:rsidR="009A3724" w:rsidRPr="00F828A5" w:rsidRDefault="009A3724" w:rsidP="007805FC">
            <w:pPr>
              <w:jc w:val="center"/>
              <w:rPr>
                <w:rFonts w:hAnsi="標楷體"/>
                <w:spacing w:val="-10"/>
                <w:sz w:val="28"/>
                <w:szCs w:val="18"/>
              </w:rPr>
            </w:pPr>
            <w:r w:rsidRPr="00F828A5">
              <w:rPr>
                <w:rFonts w:hAnsi="標楷體" w:hint="eastAsia"/>
                <w:spacing w:val="-10"/>
                <w:sz w:val="28"/>
                <w:szCs w:val="18"/>
              </w:rPr>
              <w:t>項次</w:t>
            </w:r>
          </w:p>
        </w:tc>
        <w:tc>
          <w:tcPr>
            <w:tcW w:w="1094" w:type="pct"/>
            <w:vAlign w:val="center"/>
          </w:tcPr>
          <w:p w14:paraId="292DC153" w14:textId="77777777" w:rsidR="009A3724" w:rsidRPr="00F828A5" w:rsidRDefault="009A3724" w:rsidP="007805FC">
            <w:pPr>
              <w:jc w:val="center"/>
              <w:rPr>
                <w:rFonts w:hAnsi="標楷體"/>
                <w:spacing w:val="-10"/>
                <w:sz w:val="28"/>
                <w:szCs w:val="18"/>
              </w:rPr>
            </w:pPr>
            <w:r w:rsidRPr="00F828A5">
              <w:rPr>
                <w:rFonts w:hAnsi="標楷體" w:hint="eastAsia"/>
                <w:spacing w:val="-10"/>
                <w:sz w:val="28"/>
                <w:szCs w:val="18"/>
              </w:rPr>
              <w:t>原建造執照</w:t>
            </w:r>
          </w:p>
        </w:tc>
        <w:tc>
          <w:tcPr>
            <w:tcW w:w="1172" w:type="pct"/>
            <w:vAlign w:val="center"/>
          </w:tcPr>
          <w:p w14:paraId="5B5E55E8" w14:textId="77777777" w:rsidR="009A3724" w:rsidRPr="00F828A5" w:rsidRDefault="009A3724" w:rsidP="007805FC">
            <w:pPr>
              <w:jc w:val="center"/>
              <w:rPr>
                <w:rFonts w:hAnsi="標楷體"/>
                <w:spacing w:val="-10"/>
                <w:sz w:val="28"/>
                <w:szCs w:val="18"/>
              </w:rPr>
            </w:pPr>
            <w:r w:rsidRPr="00F828A5">
              <w:rPr>
                <w:rFonts w:hAnsi="標楷體" w:hint="eastAsia"/>
                <w:spacing w:val="-10"/>
                <w:sz w:val="28"/>
                <w:szCs w:val="18"/>
              </w:rPr>
              <w:t>第1次變更設計</w:t>
            </w:r>
          </w:p>
        </w:tc>
        <w:tc>
          <w:tcPr>
            <w:tcW w:w="1247" w:type="pct"/>
            <w:vAlign w:val="center"/>
          </w:tcPr>
          <w:p w14:paraId="4D128D6E" w14:textId="77777777" w:rsidR="009A3724" w:rsidRPr="00F828A5" w:rsidRDefault="009A3724" w:rsidP="007805FC">
            <w:pPr>
              <w:jc w:val="center"/>
              <w:rPr>
                <w:rFonts w:hAnsi="標楷體"/>
                <w:spacing w:val="-10"/>
                <w:sz w:val="28"/>
                <w:szCs w:val="18"/>
              </w:rPr>
            </w:pPr>
            <w:r w:rsidRPr="00F828A5">
              <w:rPr>
                <w:rFonts w:hAnsi="標楷體" w:hint="eastAsia"/>
                <w:spacing w:val="-10"/>
                <w:sz w:val="28"/>
                <w:szCs w:val="18"/>
              </w:rPr>
              <w:t>第2次變更設計</w:t>
            </w:r>
          </w:p>
        </w:tc>
        <w:tc>
          <w:tcPr>
            <w:tcW w:w="549" w:type="pct"/>
            <w:vAlign w:val="center"/>
          </w:tcPr>
          <w:p w14:paraId="5BC8A13B" w14:textId="77777777" w:rsidR="009A3724" w:rsidRPr="00F828A5" w:rsidRDefault="009A3724" w:rsidP="007805FC">
            <w:pPr>
              <w:jc w:val="center"/>
              <w:rPr>
                <w:rFonts w:hAnsi="標楷體"/>
                <w:spacing w:val="-14"/>
                <w:sz w:val="28"/>
                <w:szCs w:val="18"/>
              </w:rPr>
            </w:pPr>
            <w:r w:rsidRPr="00F828A5">
              <w:rPr>
                <w:rFonts w:hAnsi="標楷體" w:hint="eastAsia"/>
                <w:spacing w:val="-14"/>
                <w:sz w:val="24"/>
                <w:szCs w:val="16"/>
              </w:rPr>
              <w:t>增減值</w:t>
            </w:r>
          </w:p>
        </w:tc>
      </w:tr>
      <w:tr w:rsidR="00F828A5" w:rsidRPr="00F828A5" w14:paraId="7B67C989" w14:textId="77777777" w:rsidTr="007805FC">
        <w:trPr>
          <w:trHeight w:val="794"/>
        </w:trPr>
        <w:tc>
          <w:tcPr>
            <w:tcW w:w="938" w:type="pct"/>
            <w:vAlign w:val="center"/>
          </w:tcPr>
          <w:p w14:paraId="7B56C5EE" w14:textId="77777777" w:rsidR="009A3724" w:rsidRPr="00F828A5" w:rsidRDefault="009A3724" w:rsidP="007805FC">
            <w:pPr>
              <w:rPr>
                <w:rFonts w:hAnsi="標楷體"/>
                <w:sz w:val="28"/>
                <w:szCs w:val="18"/>
              </w:rPr>
            </w:pPr>
            <w:r w:rsidRPr="00F828A5">
              <w:rPr>
                <w:rFonts w:hAnsi="標楷體" w:hint="eastAsia"/>
                <w:sz w:val="28"/>
                <w:szCs w:val="18"/>
              </w:rPr>
              <w:t>建築規模</w:t>
            </w:r>
          </w:p>
        </w:tc>
        <w:tc>
          <w:tcPr>
            <w:tcW w:w="1094" w:type="pct"/>
            <w:vAlign w:val="center"/>
          </w:tcPr>
          <w:p w14:paraId="4AF43F7C" w14:textId="77777777" w:rsidR="009A3724" w:rsidRPr="00F828A5" w:rsidRDefault="009A3724" w:rsidP="007805FC">
            <w:pPr>
              <w:rPr>
                <w:rFonts w:hAnsi="標楷體"/>
                <w:sz w:val="24"/>
                <w:szCs w:val="16"/>
              </w:rPr>
            </w:pPr>
            <w:r w:rsidRPr="00F828A5">
              <w:rPr>
                <w:rFonts w:hAnsi="標楷體" w:hint="eastAsia"/>
                <w:sz w:val="24"/>
                <w:szCs w:val="16"/>
              </w:rPr>
              <w:t>1幢1棟地上13層地下6層1戶</w:t>
            </w:r>
          </w:p>
        </w:tc>
        <w:tc>
          <w:tcPr>
            <w:tcW w:w="1172" w:type="pct"/>
            <w:vAlign w:val="center"/>
          </w:tcPr>
          <w:p w14:paraId="173453FD" w14:textId="77777777" w:rsidR="009A3724" w:rsidRPr="00F828A5" w:rsidRDefault="009A3724" w:rsidP="007805FC">
            <w:pPr>
              <w:rPr>
                <w:rFonts w:hAnsi="標楷體"/>
                <w:sz w:val="24"/>
                <w:szCs w:val="16"/>
              </w:rPr>
            </w:pPr>
            <w:r w:rsidRPr="00F828A5">
              <w:rPr>
                <w:rFonts w:hAnsi="標楷體" w:hint="eastAsia"/>
                <w:sz w:val="24"/>
                <w:szCs w:val="16"/>
              </w:rPr>
              <w:t>1幢2棟地上35層</w:t>
            </w:r>
          </w:p>
          <w:p w14:paraId="4D86BF84" w14:textId="77777777" w:rsidR="009A3724" w:rsidRPr="00F828A5" w:rsidRDefault="009A3724" w:rsidP="007805FC">
            <w:pPr>
              <w:rPr>
                <w:rFonts w:hAnsi="標楷體"/>
                <w:sz w:val="24"/>
                <w:szCs w:val="16"/>
              </w:rPr>
            </w:pPr>
            <w:r w:rsidRPr="00F828A5">
              <w:rPr>
                <w:rFonts w:hAnsi="標楷體" w:hint="eastAsia"/>
                <w:sz w:val="24"/>
                <w:szCs w:val="16"/>
              </w:rPr>
              <w:t>地下6層960戶</w:t>
            </w:r>
          </w:p>
        </w:tc>
        <w:tc>
          <w:tcPr>
            <w:tcW w:w="1247" w:type="pct"/>
            <w:vAlign w:val="center"/>
          </w:tcPr>
          <w:p w14:paraId="456E040B" w14:textId="77777777" w:rsidR="009A3724" w:rsidRPr="00F828A5" w:rsidRDefault="009A3724" w:rsidP="007805FC">
            <w:pPr>
              <w:rPr>
                <w:rFonts w:hAnsi="標楷體"/>
                <w:sz w:val="24"/>
                <w:szCs w:val="16"/>
              </w:rPr>
            </w:pPr>
            <w:r w:rsidRPr="00F828A5">
              <w:rPr>
                <w:rFonts w:hAnsi="標楷體" w:hint="eastAsia"/>
                <w:sz w:val="24"/>
                <w:szCs w:val="16"/>
              </w:rPr>
              <w:t>1幢2棟地上32層</w:t>
            </w:r>
          </w:p>
          <w:p w14:paraId="289DF2B7" w14:textId="77777777" w:rsidR="009A3724" w:rsidRPr="00F828A5" w:rsidRDefault="009A3724" w:rsidP="007805FC">
            <w:pPr>
              <w:rPr>
                <w:rFonts w:hAnsi="標楷體"/>
                <w:sz w:val="24"/>
                <w:szCs w:val="16"/>
              </w:rPr>
            </w:pPr>
            <w:r w:rsidRPr="00F828A5">
              <w:rPr>
                <w:rFonts w:hAnsi="標楷體" w:hint="eastAsia"/>
                <w:sz w:val="24"/>
                <w:szCs w:val="16"/>
              </w:rPr>
              <w:t>地下6層890戶</w:t>
            </w:r>
          </w:p>
        </w:tc>
        <w:tc>
          <w:tcPr>
            <w:tcW w:w="549" w:type="pct"/>
            <w:vAlign w:val="center"/>
          </w:tcPr>
          <w:p w14:paraId="4E750C5A" w14:textId="77777777" w:rsidR="009A3724" w:rsidRPr="00F828A5" w:rsidRDefault="009A3724" w:rsidP="007805FC">
            <w:pPr>
              <w:jc w:val="center"/>
              <w:rPr>
                <w:rFonts w:hAnsi="標楷體"/>
                <w:sz w:val="28"/>
                <w:szCs w:val="18"/>
              </w:rPr>
            </w:pPr>
            <w:r w:rsidRPr="00F828A5">
              <w:rPr>
                <w:rFonts w:hAnsi="標楷體" w:hint="eastAsia"/>
                <w:sz w:val="28"/>
                <w:szCs w:val="18"/>
              </w:rPr>
              <w:t>-</w:t>
            </w:r>
          </w:p>
        </w:tc>
      </w:tr>
      <w:tr w:rsidR="00F828A5" w:rsidRPr="00F828A5" w14:paraId="07B30E6A" w14:textId="77777777" w:rsidTr="007805FC">
        <w:trPr>
          <w:trHeight w:val="567"/>
        </w:trPr>
        <w:tc>
          <w:tcPr>
            <w:tcW w:w="938" w:type="pct"/>
            <w:vAlign w:val="center"/>
          </w:tcPr>
          <w:p w14:paraId="57AB7BBD" w14:textId="77777777" w:rsidR="009A3724" w:rsidRPr="00F828A5" w:rsidRDefault="009A3724" w:rsidP="007805FC">
            <w:pPr>
              <w:rPr>
                <w:rFonts w:hAnsi="標楷體"/>
                <w:sz w:val="28"/>
                <w:szCs w:val="18"/>
              </w:rPr>
            </w:pPr>
            <w:r w:rsidRPr="00F828A5">
              <w:rPr>
                <w:rFonts w:hAnsi="標楷體" w:hint="eastAsia"/>
                <w:sz w:val="28"/>
                <w:szCs w:val="18"/>
              </w:rPr>
              <w:t>基地面積</w:t>
            </w:r>
          </w:p>
        </w:tc>
        <w:tc>
          <w:tcPr>
            <w:tcW w:w="1094" w:type="pct"/>
            <w:vAlign w:val="center"/>
          </w:tcPr>
          <w:p w14:paraId="68B6DBF2" w14:textId="77777777" w:rsidR="009A3724" w:rsidRPr="00F828A5" w:rsidRDefault="009A3724" w:rsidP="007805FC">
            <w:pPr>
              <w:rPr>
                <w:rFonts w:hAnsi="標楷體"/>
                <w:sz w:val="28"/>
                <w:szCs w:val="18"/>
              </w:rPr>
            </w:pPr>
            <w:r w:rsidRPr="00F828A5">
              <w:rPr>
                <w:rFonts w:hAnsi="標楷體" w:hint="eastAsia"/>
                <w:sz w:val="28"/>
                <w:szCs w:val="18"/>
              </w:rPr>
              <w:t>14,105.75㎡</w:t>
            </w:r>
          </w:p>
        </w:tc>
        <w:tc>
          <w:tcPr>
            <w:tcW w:w="1172" w:type="pct"/>
            <w:vAlign w:val="center"/>
          </w:tcPr>
          <w:p w14:paraId="4A20CE65" w14:textId="77777777" w:rsidR="009A3724" w:rsidRPr="00F828A5" w:rsidRDefault="009A3724" w:rsidP="007805FC">
            <w:pPr>
              <w:rPr>
                <w:rFonts w:hAnsi="標楷體"/>
                <w:sz w:val="28"/>
                <w:szCs w:val="18"/>
              </w:rPr>
            </w:pPr>
            <w:r w:rsidRPr="00F828A5">
              <w:rPr>
                <w:rFonts w:hAnsi="標楷體" w:hint="eastAsia"/>
                <w:sz w:val="28"/>
                <w:szCs w:val="18"/>
              </w:rPr>
              <w:t>14,105.75㎡</w:t>
            </w:r>
          </w:p>
        </w:tc>
        <w:tc>
          <w:tcPr>
            <w:tcW w:w="1247" w:type="pct"/>
            <w:vAlign w:val="center"/>
          </w:tcPr>
          <w:p w14:paraId="679ADFB7" w14:textId="77777777" w:rsidR="009A3724" w:rsidRPr="00F828A5" w:rsidRDefault="009A3724" w:rsidP="007805FC">
            <w:pPr>
              <w:rPr>
                <w:rFonts w:hAnsi="標楷體"/>
                <w:sz w:val="28"/>
                <w:szCs w:val="18"/>
              </w:rPr>
            </w:pPr>
            <w:r w:rsidRPr="00F828A5">
              <w:rPr>
                <w:rFonts w:hAnsi="標楷體" w:hint="eastAsia"/>
                <w:sz w:val="28"/>
                <w:szCs w:val="18"/>
              </w:rPr>
              <w:t>14,105.75㎡</w:t>
            </w:r>
          </w:p>
        </w:tc>
        <w:tc>
          <w:tcPr>
            <w:tcW w:w="549" w:type="pct"/>
            <w:vAlign w:val="center"/>
          </w:tcPr>
          <w:p w14:paraId="3B856651" w14:textId="77777777" w:rsidR="009A3724" w:rsidRPr="00F828A5" w:rsidRDefault="009A3724" w:rsidP="007805FC">
            <w:pPr>
              <w:jc w:val="center"/>
              <w:rPr>
                <w:rFonts w:hAnsi="標楷體"/>
                <w:sz w:val="28"/>
                <w:szCs w:val="18"/>
              </w:rPr>
            </w:pPr>
            <w:r w:rsidRPr="00F828A5">
              <w:rPr>
                <w:rFonts w:hAnsi="標楷體"/>
                <w:sz w:val="28"/>
                <w:szCs w:val="18"/>
              </w:rPr>
              <w:t>±0</w:t>
            </w:r>
          </w:p>
        </w:tc>
      </w:tr>
      <w:tr w:rsidR="00F828A5" w:rsidRPr="00F828A5" w14:paraId="247E38A7" w14:textId="77777777" w:rsidTr="007805FC">
        <w:trPr>
          <w:trHeight w:val="787"/>
        </w:trPr>
        <w:tc>
          <w:tcPr>
            <w:tcW w:w="938" w:type="pct"/>
            <w:vAlign w:val="center"/>
          </w:tcPr>
          <w:p w14:paraId="7B3CBBF1" w14:textId="77777777" w:rsidR="009A3724" w:rsidRPr="00F828A5" w:rsidRDefault="009A3724" w:rsidP="007805FC">
            <w:pPr>
              <w:rPr>
                <w:rFonts w:hAnsi="標楷體"/>
                <w:sz w:val="28"/>
                <w:szCs w:val="18"/>
              </w:rPr>
            </w:pPr>
            <w:r w:rsidRPr="00F828A5">
              <w:rPr>
                <w:rFonts w:hAnsi="標楷體" w:hint="eastAsia"/>
                <w:sz w:val="28"/>
                <w:szCs w:val="18"/>
              </w:rPr>
              <w:t>總容積樓地板面積</w:t>
            </w:r>
          </w:p>
        </w:tc>
        <w:tc>
          <w:tcPr>
            <w:tcW w:w="1094" w:type="pct"/>
            <w:vAlign w:val="center"/>
          </w:tcPr>
          <w:p w14:paraId="6402F8AC" w14:textId="77777777" w:rsidR="009A3724" w:rsidRPr="00F828A5" w:rsidRDefault="009A3724" w:rsidP="007805FC">
            <w:pPr>
              <w:rPr>
                <w:rFonts w:hAnsi="標楷體"/>
                <w:sz w:val="28"/>
                <w:szCs w:val="18"/>
              </w:rPr>
            </w:pPr>
            <w:r w:rsidRPr="00F828A5">
              <w:rPr>
                <w:rFonts w:hAnsi="標楷體" w:hint="eastAsia"/>
                <w:sz w:val="28"/>
                <w:szCs w:val="18"/>
              </w:rPr>
              <w:t>97,475.09㎡</w:t>
            </w:r>
          </w:p>
        </w:tc>
        <w:tc>
          <w:tcPr>
            <w:tcW w:w="1172" w:type="pct"/>
            <w:vAlign w:val="center"/>
          </w:tcPr>
          <w:p w14:paraId="610ABC85" w14:textId="77777777" w:rsidR="009A3724" w:rsidRPr="00F828A5" w:rsidRDefault="009A3724" w:rsidP="007805FC">
            <w:pPr>
              <w:rPr>
                <w:rFonts w:hAnsi="標楷體"/>
                <w:sz w:val="28"/>
                <w:szCs w:val="18"/>
              </w:rPr>
            </w:pPr>
            <w:r w:rsidRPr="00F828A5">
              <w:rPr>
                <w:rFonts w:hAnsi="標楷體" w:hint="eastAsia"/>
                <w:sz w:val="28"/>
                <w:szCs w:val="18"/>
              </w:rPr>
              <w:t>97,475.09㎡</w:t>
            </w:r>
          </w:p>
        </w:tc>
        <w:tc>
          <w:tcPr>
            <w:tcW w:w="1247" w:type="pct"/>
            <w:vAlign w:val="center"/>
          </w:tcPr>
          <w:p w14:paraId="73EF1294" w14:textId="77777777" w:rsidR="009A3724" w:rsidRPr="00F828A5" w:rsidRDefault="009A3724" w:rsidP="007805FC">
            <w:pPr>
              <w:rPr>
                <w:rFonts w:hAnsi="標楷體"/>
                <w:sz w:val="28"/>
                <w:szCs w:val="18"/>
              </w:rPr>
            </w:pPr>
            <w:r w:rsidRPr="00F828A5">
              <w:rPr>
                <w:rFonts w:hAnsi="標楷體" w:hint="eastAsia"/>
                <w:sz w:val="28"/>
                <w:szCs w:val="18"/>
              </w:rPr>
              <w:t>97,475.09㎡</w:t>
            </w:r>
          </w:p>
        </w:tc>
        <w:tc>
          <w:tcPr>
            <w:tcW w:w="549" w:type="pct"/>
            <w:vAlign w:val="center"/>
          </w:tcPr>
          <w:p w14:paraId="35A8B6EB" w14:textId="77777777" w:rsidR="009A3724" w:rsidRPr="00F828A5" w:rsidRDefault="009A3724" w:rsidP="007805FC">
            <w:pPr>
              <w:jc w:val="center"/>
              <w:rPr>
                <w:rFonts w:hAnsi="標楷體"/>
                <w:sz w:val="28"/>
                <w:szCs w:val="18"/>
              </w:rPr>
            </w:pPr>
            <w:r w:rsidRPr="00F828A5">
              <w:rPr>
                <w:rFonts w:hAnsi="標楷體"/>
                <w:sz w:val="28"/>
                <w:szCs w:val="18"/>
              </w:rPr>
              <w:t>±0</w:t>
            </w:r>
          </w:p>
        </w:tc>
      </w:tr>
      <w:tr w:rsidR="00F828A5" w:rsidRPr="00F828A5" w14:paraId="65C617FB" w14:textId="77777777" w:rsidTr="007805FC">
        <w:trPr>
          <w:trHeight w:val="1184"/>
        </w:trPr>
        <w:tc>
          <w:tcPr>
            <w:tcW w:w="938" w:type="pct"/>
            <w:vAlign w:val="center"/>
          </w:tcPr>
          <w:p w14:paraId="19502BFF" w14:textId="77777777" w:rsidR="009A3724" w:rsidRPr="00F828A5" w:rsidRDefault="009A3724" w:rsidP="007805FC">
            <w:pPr>
              <w:rPr>
                <w:rFonts w:hAnsi="標楷體"/>
                <w:sz w:val="28"/>
                <w:szCs w:val="18"/>
              </w:rPr>
            </w:pPr>
            <w:r w:rsidRPr="00F828A5">
              <w:rPr>
                <w:rFonts w:hAnsi="標楷體" w:hint="eastAsia"/>
                <w:sz w:val="28"/>
                <w:szCs w:val="18"/>
              </w:rPr>
              <w:t>使用用途</w:t>
            </w:r>
          </w:p>
        </w:tc>
        <w:tc>
          <w:tcPr>
            <w:tcW w:w="1094" w:type="pct"/>
            <w:vAlign w:val="center"/>
          </w:tcPr>
          <w:p w14:paraId="33B49A7F" w14:textId="77777777" w:rsidR="009A3724" w:rsidRPr="00F828A5" w:rsidRDefault="009A3724" w:rsidP="007805FC">
            <w:pPr>
              <w:rPr>
                <w:rFonts w:hAnsi="標楷體"/>
                <w:sz w:val="24"/>
                <w:szCs w:val="16"/>
              </w:rPr>
            </w:pPr>
            <w:r w:rsidRPr="00F828A5">
              <w:rPr>
                <w:rFonts w:hAnsi="標楷體" w:hint="eastAsia"/>
                <w:sz w:val="24"/>
                <w:szCs w:val="16"/>
              </w:rPr>
              <w:t>B2商場、停車空間</w:t>
            </w:r>
          </w:p>
        </w:tc>
        <w:tc>
          <w:tcPr>
            <w:tcW w:w="1172" w:type="pct"/>
            <w:vAlign w:val="center"/>
          </w:tcPr>
          <w:p w14:paraId="3297D134" w14:textId="77777777" w:rsidR="009A3724" w:rsidRPr="00F828A5" w:rsidRDefault="009A3724" w:rsidP="007805FC">
            <w:pPr>
              <w:rPr>
                <w:rFonts w:hAnsi="標楷體"/>
                <w:sz w:val="24"/>
                <w:szCs w:val="16"/>
              </w:rPr>
            </w:pPr>
            <w:r w:rsidRPr="00F828A5">
              <w:rPr>
                <w:rFonts w:hAnsi="標楷體" w:hint="eastAsia"/>
                <w:sz w:val="24"/>
                <w:szCs w:val="16"/>
              </w:rPr>
              <w:t>B2商場、停車空間、G2辦公室、H2集合住宅</w:t>
            </w:r>
          </w:p>
        </w:tc>
        <w:tc>
          <w:tcPr>
            <w:tcW w:w="1247" w:type="pct"/>
            <w:vAlign w:val="center"/>
          </w:tcPr>
          <w:p w14:paraId="05419448" w14:textId="77777777" w:rsidR="009A3724" w:rsidRPr="00F828A5" w:rsidRDefault="009A3724" w:rsidP="007805FC">
            <w:pPr>
              <w:rPr>
                <w:rFonts w:hAnsi="標楷體"/>
                <w:sz w:val="24"/>
                <w:szCs w:val="16"/>
              </w:rPr>
            </w:pPr>
            <w:r w:rsidRPr="00F828A5">
              <w:rPr>
                <w:rFonts w:hAnsi="標楷體" w:hint="eastAsia"/>
                <w:sz w:val="24"/>
                <w:szCs w:val="16"/>
              </w:rPr>
              <w:t>B2商場、停車空間、G2辦公室、電影院、H2集合住宅</w:t>
            </w:r>
          </w:p>
        </w:tc>
        <w:tc>
          <w:tcPr>
            <w:tcW w:w="549" w:type="pct"/>
            <w:vAlign w:val="center"/>
          </w:tcPr>
          <w:p w14:paraId="3FE24035" w14:textId="77777777" w:rsidR="009A3724" w:rsidRPr="00F828A5" w:rsidRDefault="009A3724" w:rsidP="007805FC">
            <w:pPr>
              <w:jc w:val="center"/>
              <w:rPr>
                <w:rFonts w:hAnsi="標楷體"/>
                <w:sz w:val="28"/>
                <w:szCs w:val="18"/>
              </w:rPr>
            </w:pPr>
            <w:r w:rsidRPr="00F828A5">
              <w:rPr>
                <w:rFonts w:hAnsi="標楷體" w:hint="eastAsia"/>
                <w:sz w:val="28"/>
                <w:szCs w:val="18"/>
              </w:rPr>
              <w:t>-</w:t>
            </w:r>
          </w:p>
        </w:tc>
      </w:tr>
    </w:tbl>
    <w:p w14:paraId="7B92D325" w14:textId="77777777" w:rsidR="009A3724" w:rsidRPr="00F828A5" w:rsidRDefault="009A3724" w:rsidP="009A3724">
      <w:pPr>
        <w:pStyle w:val="3"/>
        <w:numPr>
          <w:ilvl w:val="2"/>
          <w:numId w:val="1"/>
        </w:numPr>
        <w:rPr>
          <w:rFonts w:hAnsi="標楷體"/>
        </w:rPr>
      </w:pPr>
      <w:r w:rsidRPr="00F828A5">
        <w:rPr>
          <w:rFonts w:hAnsi="標楷體" w:hint="eastAsia"/>
        </w:rPr>
        <w:t>復按法規適用應考量立法目的與社會實情。內政部87年函釋允許於特定條件下適用舊法規，固然有其便利性考量，然該函釋制定時空背景下，恐未預見如本案般藉由變更設計達到開發內容全然質變之情況。若容許開發規模、使用性質、建築高度等均產生根本性、大幅度變更之案件，僅因形式上符合「不增基地面積、不增總容積」等要件，即可持續沿用十餘年前之舊建築技術規範(如結構、消防、節能、無障礙等標準可能均已大幅提升)，恐將衍生建築管理與公共安全之潛在風險，亦可能規避新法規對於環境保護、都市景觀、公共設施負擔等更嚴謹之要求。再者，建築期限隨變更設計而一再延長至16年之久，亦遠超一般建案合理工期，不僅可能影響周邊環境與居民生活品質，更凸顯原執照與最終實際興建內容脫節之現象。</w:t>
      </w:r>
    </w:p>
    <w:p w14:paraId="4ABB1FE9" w14:textId="77777777" w:rsidR="009A3724" w:rsidRPr="00F828A5" w:rsidRDefault="009A3724" w:rsidP="009A3724">
      <w:pPr>
        <w:pStyle w:val="3"/>
        <w:numPr>
          <w:ilvl w:val="2"/>
          <w:numId w:val="1"/>
        </w:numPr>
        <w:rPr>
          <w:rFonts w:hAnsi="標楷體"/>
        </w:rPr>
      </w:pPr>
      <w:r w:rsidRPr="00F828A5">
        <w:rPr>
          <w:rFonts w:hAnsi="標楷體" w:hint="eastAsia"/>
        </w:rPr>
        <w:t>考量本案變更設計後之建築規模、用途、高度等均</w:t>
      </w:r>
      <w:r w:rsidRPr="00F828A5">
        <w:rPr>
          <w:rFonts w:hAnsi="標楷體" w:hint="eastAsia"/>
        </w:rPr>
        <w:lastRenderedPageBreak/>
        <w:t>與原核准執照有天壤之別，其公共安全要求、環境衝擊評估基準、應適用之建築技術規範理應與時俱進。雖該府稱其變更設計符合內政部87年函釋規定，故無需廢照重審；然面對如此鉅幅之變更，是否仍宜墨守該函釋，允許適用十餘年前之舊法規，確有重大可議之處。此種情形可能導致建築管理上「以舊管制新」之不合理現象，無法確保新建物符合當代之安全、技術與環境標準。且長達16年之建築期限，亦使得建造執照之有效性與管理功能受到挑戰，與建築法第54條要求限期開工、避免執照閒置之精神似有扞格。</w:t>
      </w:r>
    </w:p>
    <w:p w14:paraId="07C41606" w14:textId="77777777" w:rsidR="009A3724" w:rsidRPr="00F828A5" w:rsidRDefault="009A3724" w:rsidP="009A3724">
      <w:pPr>
        <w:pStyle w:val="3"/>
        <w:numPr>
          <w:ilvl w:val="2"/>
          <w:numId w:val="1"/>
        </w:numPr>
        <w:rPr>
          <w:rFonts w:hAnsi="標楷體"/>
        </w:rPr>
      </w:pPr>
      <w:r w:rsidRPr="00F828A5">
        <w:rPr>
          <w:rFonts w:hAnsi="標楷體" w:hint="eastAsia"/>
        </w:rPr>
        <w:t>綜上所述，</w:t>
      </w:r>
      <w:r w:rsidRPr="00F828A5">
        <w:rPr>
          <w:rFonts w:hAnsi="標楷體"/>
        </w:rPr>
        <w:t>新竹縣政府核准之「豐采520」建案，係於96年領得建造執照</w:t>
      </w:r>
      <w:r w:rsidRPr="00F828A5">
        <w:rPr>
          <w:rFonts w:hAnsi="標楷體" w:hint="eastAsia"/>
        </w:rPr>
        <w:t>，</w:t>
      </w:r>
      <w:r w:rsidRPr="00F828A5">
        <w:rPr>
          <w:rFonts w:hAnsi="標楷體"/>
        </w:rPr>
        <w:t>惟該案於後續興建過程中，歷經二次重大設計變更，其建築規模、使用用途、建築物高度及總戶數等項目，均與原核准內容產生根本性之巨大轉變，實質上已形同另一新開發計畫，其建築期限亦隨之延長至16年之久。然新竹縣政府審核此案變更設計時，雖依據內政部87年7月2日台內營字第8772186號函釋意旨，認定無須廢止原領建造執照並重新申請。惟此一個案情況特殊，不僅使實質已為新開發計畫之案件</w:t>
      </w:r>
      <w:r w:rsidRPr="00F828A5">
        <w:rPr>
          <w:rFonts w:hAnsi="標楷體" w:hint="eastAsia"/>
        </w:rPr>
        <w:t>，且</w:t>
      </w:r>
      <w:r w:rsidRPr="00F828A5">
        <w:rPr>
          <w:rFonts w:hAnsi="標楷體"/>
        </w:rPr>
        <w:t>其設計變更已達全然質變之程度，該府未能審慎考量該函釋於此類極端個案適用上可能產生之疑義與潛在風險，即率予同意適用舊照，顯然有礙建築管理之與時俱進及公共安全之確保，更易引發外界對於藉此規避新修訂法規之疑慮與爭議，核有未當。</w:t>
      </w:r>
      <w:r w:rsidRPr="00F828A5">
        <w:rPr>
          <w:rFonts w:hAnsi="標楷體" w:hint="eastAsia"/>
        </w:rPr>
        <w:t>另</w:t>
      </w:r>
      <w:r w:rsidRPr="00F828A5">
        <w:rPr>
          <w:rFonts w:hAnsi="標楷體"/>
        </w:rPr>
        <w:t>為健全建築管理制度，確保建築物品質與公共安全，內政部允應就前揭函釋，於當前面臨建築計畫內容鉅變之實務案例時，其適用之妥適性與可能衍生之問題，進行通盤且審慎之檢討評估</w:t>
      </w:r>
      <w:r w:rsidRPr="00F828A5">
        <w:rPr>
          <w:rFonts w:hAnsi="標楷體" w:hint="eastAsia"/>
        </w:rPr>
        <w:t>，允</w:t>
      </w:r>
      <w:r w:rsidRPr="00F828A5">
        <w:rPr>
          <w:rFonts w:hAnsi="標楷體"/>
        </w:rPr>
        <w:t>應研議是否有必要</w:t>
      </w:r>
      <w:r w:rsidRPr="00F828A5">
        <w:rPr>
          <w:rFonts w:hAnsi="標楷體"/>
        </w:rPr>
        <w:lastRenderedPageBreak/>
        <w:t>針對建造執照之變更設計，增設其變更範圍與幅度之上限；或於特定重大變更情形下，應強制要求重新申請建造執照之可行性與具體標準，以釐清法規適用疑義，杜絕類似爭議再次發生。</w:t>
      </w:r>
    </w:p>
    <w:p w14:paraId="3BC245D7" w14:textId="45C7C0F8" w:rsidR="00E2275C" w:rsidRPr="00F828A5" w:rsidRDefault="001B036E" w:rsidP="00F828A5">
      <w:pPr>
        <w:pStyle w:val="10"/>
        <w:ind w:left="680" w:firstLine="680"/>
        <w:rPr>
          <w:bCs/>
          <w:spacing w:val="12"/>
          <w:kern w:val="0"/>
          <w:sz w:val="40"/>
        </w:rPr>
      </w:pPr>
      <w:bookmarkStart w:id="53" w:name="_Toc524902730"/>
      <w:bookmarkEnd w:id="42"/>
      <w:bookmarkEnd w:id="43"/>
      <w:bookmarkEnd w:id="44"/>
      <w:bookmarkEnd w:id="45"/>
      <w:bookmarkEnd w:id="46"/>
      <w:bookmarkEnd w:id="47"/>
      <w:bookmarkEnd w:id="48"/>
      <w:bookmarkEnd w:id="49"/>
      <w:bookmarkEnd w:id="50"/>
      <w:bookmarkEnd w:id="51"/>
      <w:bookmarkEnd w:id="52"/>
      <w:r w:rsidRPr="00F828A5">
        <w:rPr>
          <w:rFonts w:hint="eastAsia"/>
        </w:rPr>
        <w:t>據</w:t>
      </w:r>
      <w:r w:rsidR="000512D1" w:rsidRPr="00F828A5">
        <w:rPr>
          <w:rFonts w:hint="eastAsia"/>
        </w:rPr>
        <w:t>上</w:t>
      </w:r>
      <w:r w:rsidRPr="00F828A5">
        <w:rPr>
          <w:rFonts w:hint="eastAsia"/>
        </w:rPr>
        <w:t>論結</w:t>
      </w:r>
      <w:r w:rsidR="000512D1" w:rsidRPr="00F828A5">
        <w:rPr>
          <w:rFonts w:hint="eastAsia"/>
        </w:rPr>
        <w:t>，</w:t>
      </w:r>
      <w:r w:rsidR="009C31DD" w:rsidRPr="00F828A5">
        <w:rPr>
          <w:rFonts w:hAnsi="標楷體" w:hint="eastAsia"/>
        </w:rPr>
        <w:t>新竹縣政府辦理豐邑建設股份有限公司於竹北市莊敬六街「豐采520」建案基地用途容許變更之審議，核有嚴重瑕疵；其核定之回饋機制不僅欠缺依據、基準過時且為個案量身訂作，顯失公允，並嚴重損及政府公信與市場公平性。該府於建案施工期間，周邊道路連續發生5次坍塌事件，顯未能落實監督管理職責；對於承造商未按圖施作地下工程所肇生之結構安全風險，亦未能於相關安全與損鄰疑慮未獲釐清前，即率予同意復工。另該建案歷經二次重大設計變更，計畫內容已有實質鉅變，該府卻仍率予適用96年舊有建造執照，致建築期限延長達16年，未能審慎衡酌相關函釋於此特殊個案適用之妥適性，易滋生規避新法規之疑慮，亦有礙建築管理與時俱進。是以，新竹縣政府於本案都市計畫審議、施工管理、公安維護及建照變更審核等環節，均嚴重損及政府公信與公共利益，</w:t>
      </w:r>
      <w:r w:rsidR="00AC61FB" w:rsidRPr="00F828A5">
        <w:rPr>
          <w:rFonts w:hAnsi="標楷體"/>
          <w:szCs w:val="52"/>
        </w:rPr>
        <w:t>核有違失，</w:t>
      </w:r>
      <w:r w:rsidR="000512D1" w:rsidRPr="00F828A5">
        <w:rPr>
          <w:rFonts w:hint="eastAsia"/>
        </w:rPr>
        <w:t>爰依</w:t>
      </w:r>
      <w:r w:rsidR="001B48EB" w:rsidRPr="00F828A5">
        <w:rPr>
          <w:rFonts w:hint="eastAsia"/>
          <w:bCs/>
        </w:rPr>
        <w:t>憲法第97條第1項及</w:t>
      </w:r>
      <w:r w:rsidR="000512D1" w:rsidRPr="00F828A5">
        <w:rPr>
          <w:rFonts w:hint="eastAsia"/>
        </w:rPr>
        <w:t>監察法第24條</w:t>
      </w:r>
      <w:r w:rsidR="00396EC5" w:rsidRPr="00F828A5">
        <w:rPr>
          <w:rFonts w:hint="eastAsia"/>
        </w:rPr>
        <w:t>之</w:t>
      </w:r>
      <w:r w:rsidR="000512D1" w:rsidRPr="00F828A5">
        <w:rPr>
          <w:rFonts w:hint="eastAsia"/>
        </w:rPr>
        <w:t>規定提案糾正，移送行政院轉飭</w:t>
      </w:r>
      <w:r w:rsidR="00AC61FB" w:rsidRPr="00F828A5">
        <w:rPr>
          <w:rFonts w:hint="eastAsia"/>
        </w:rPr>
        <w:t>新竹縣政府</w:t>
      </w:r>
      <w:r w:rsidR="000512D1" w:rsidRPr="00F828A5">
        <w:rPr>
          <w:rFonts w:hint="eastAsia"/>
        </w:rPr>
        <w:t>確實檢討改善見復</w:t>
      </w:r>
      <w:r w:rsidR="00286B1B" w:rsidRPr="00F828A5">
        <w:rPr>
          <w:rFonts w:hint="eastAsia"/>
        </w:rPr>
        <w:t>。</w:t>
      </w:r>
      <w:bookmarkStart w:id="54" w:name="_Toc524895649"/>
      <w:bookmarkStart w:id="55" w:name="_Toc524896195"/>
      <w:bookmarkStart w:id="56" w:name="_Toc524896225"/>
      <w:bookmarkEnd w:id="54"/>
      <w:bookmarkEnd w:id="55"/>
      <w:bookmarkEnd w:id="56"/>
    </w:p>
    <w:p w14:paraId="4C2F00E9" w14:textId="77777777" w:rsidR="009C31DD" w:rsidRPr="00F828A5" w:rsidRDefault="009C31DD" w:rsidP="009C31DD">
      <w:pPr>
        <w:pStyle w:val="a8"/>
        <w:spacing w:beforeLines="50" w:before="228" w:after="0" w:line="240" w:lineRule="exact"/>
        <w:ind w:leftChars="900" w:left="3061"/>
        <w:rPr>
          <w:b w:val="0"/>
          <w:bCs/>
          <w:snapToGrid/>
          <w:spacing w:val="12"/>
          <w:kern w:val="0"/>
          <w:sz w:val="40"/>
        </w:rPr>
      </w:pPr>
    </w:p>
    <w:p w14:paraId="6ECEB563" w14:textId="4D53019D" w:rsidR="00286B1B" w:rsidRPr="00F828A5" w:rsidRDefault="00286B1B" w:rsidP="00F828A5">
      <w:pPr>
        <w:pStyle w:val="a8"/>
        <w:spacing w:beforeLines="100" w:before="457" w:after="0"/>
        <w:ind w:leftChars="1100" w:left="3742" w:firstLineChars="105" w:firstLine="509"/>
        <w:rPr>
          <w:bCs/>
          <w:snapToGrid/>
          <w:spacing w:val="12"/>
          <w:kern w:val="0"/>
          <w:sz w:val="44"/>
        </w:rPr>
      </w:pPr>
      <w:r w:rsidRPr="00F828A5">
        <w:rPr>
          <w:rFonts w:hint="eastAsia"/>
          <w:bCs/>
          <w:snapToGrid/>
          <w:spacing w:val="12"/>
          <w:kern w:val="0"/>
          <w:sz w:val="44"/>
        </w:rPr>
        <w:t>提案委員：</w:t>
      </w:r>
      <w:r w:rsidR="00F828A5" w:rsidRPr="00F828A5">
        <w:rPr>
          <w:rFonts w:hint="eastAsia"/>
          <w:bCs/>
          <w:snapToGrid/>
          <w:spacing w:val="12"/>
          <w:kern w:val="0"/>
          <w:sz w:val="44"/>
        </w:rPr>
        <w:t>施錦芳</w:t>
      </w:r>
    </w:p>
    <w:p w14:paraId="182AA731" w14:textId="1BECBC46" w:rsidR="00E2275C" w:rsidRPr="00F828A5" w:rsidRDefault="00F828A5" w:rsidP="00F828A5">
      <w:pPr>
        <w:pStyle w:val="a8"/>
        <w:spacing w:beforeLines="50" w:before="228" w:after="0"/>
        <w:ind w:leftChars="1957" w:left="6657" w:firstLineChars="12" w:firstLine="58"/>
        <w:rPr>
          <w:bCs/>
          <w:snapToGrid/>
          <w:spacing w:val="12"/>
          <w:kern w:val="0"/>
          <w:sz w:val="44"/>
        </w:rPr>
      </w:pPr>
      <w:r w:rsidRPr="00F828A5">
        <w:rPr>
          <w:rFonts w:hint="eastAsia"/>
          <w:bCs/>
          <w:snapToGrid/>
          <w:spacing w:val="12"/>
          <w:kern w:val="0"/>
          <w:sz w:val="44"/>
        </w:rPr>
        <w:t>紀惠容</w:t>
      </w:r>
      <w:bookmarkEnd w:id="53"/>
    </w:p>
    <w:sectPr w:rsidR="00E2275C" w:rsidRPr="00F828A5"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41752" w14:textId="77777777" w:rsidR="00D056C4" w:rsidRDefault="00D056C4">
      <w:r>
        <w:separator/>
      </w:r>
    </w:p>
  </w:endnote>
  <w:endnote w:type="continuationSeparator" w:id="0">
    <w:p w14:paraId="26B26681" w14:textId="77777777" w:rsidR="00D056C4" w:rsidRDefault="00D0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0132" w14:textId="77777777" w:rsidR="00080040" w:rsidRDefault="00080040">
    <w:pPr>
      <w:pStyle w:val="af1"/>
      <w:framePr w:wrap="around" w:vAnchor="text" w:hAnchor="margin" w:xAlign="center" w:y="1"/>
      <w:rPr>
        <w:rStyle w:val="aa"/>
        <w:sz w:val="24"/>
      </w:rPr>
    </w:pPr>
    <w:r>
      <w:rPr>
        <w:rStyle w:val="aa"/>
        <w:sz w:val="24"/>
      </w:rPr>
      <w:fldChar w:fldCharType="begin"/>
    </w:r>
    <w:r>
      <w:rPr>
        <w:rStyle w:val="aa"/>
        <w:sz w:val="24"/>
      </w:rPr>
      <w:instrText xml:space="preserve">PAGE  </w:instrText>
    </w:r>
    <w:r>
      <w:rPr>
        <w:rStyle w:val="aa"/>
        <w:sz w:val="24"/>
      </w:rPr>
      <w:fldChar w:fldCharType="separate"/>
    </w:r>
    <w:r w:rsidR="006E6A40">
      <w:rPr>
        <w:rStyle w:val="aa"/>
        <w:noProof/>
        <w:sz w:val="24"/>
      </w:rPr>
      <w:t>2</w:t>
    </w:r>
    <w:r>
      <w:rPr>
        <w:rStyle w:val="aa"/>
        <w:sz w:val="24"/>
      </w:rPr>
      <w:fldChar w:fldCharType="end"/>
    </w:r>
  </w:p>
  <w:p w14:paraId="2EFB855A"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7D2C" w14:textId="77777777" w:rsidR="00D056C4" w:rsidRDefault="00D056C4">
      <w:r>
        <w:separator/>
      </w:r>
    </w:p>
  </w:footnote>
  <w:footnote w:type="continuationSeparator" w:id="0">
    <w:p w14:paraId="67E24F71" w14:textId="77777777" w:rsidR="00D056C4" w:rsidRDefault="00D05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773845"/>
    <w:multiLevelType w:val="hybridMultilevel"/>
    <w:tmpl w:val="484CE24A"/>
    <w:lvl w:ilvl="0" w:tplc="05609B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FE008B4"/>
    <w:multiLevelType w:val="hybridMultilevel"/>
    <w:tmpl w:val="484CE24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5040613F"/>
    <w:multiLevelType w:val="hybridMultilevel"/>
    <w:tmpl w:val="484CE24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2"/>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3"/>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43D4417"/>
    <w:multiLevelType w:val="hybridMultilevel"/>
    <w:tmpl w:val="484CE24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7232328F"/>
    <w:multiLevelType w:val="hybridMultilevel"/>
    <w:tmpl w:val="484CE24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781A60E8"/>
    <w:multiLevelType w:val="hybridMultilevel"/>
    <w:tmpl w:val="484CE24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370568623">
    <w:abstractNumId w:val="1"/>
  </w:num>
  <w:num w:numId="2" w16cid:durableId="1126895645">
    <w:abstractNumId w:val="2"/>
  </w:num>
  <w:num w:numId="3" w16cid:durableId="215774780">
    <w:abstractNumId w:val="0"/>
  </w:num>
  <w:num w:numId="4" w16cid:durableId="1491941623">
    <w:abstractNumId w:val="1"/>
  </w:num>
  <w:num w:numId="5" w16cid:durableId="1118794587">
    <w:abstractNumId w:val="1"/>
  </w:num>
  <w:num w:numId="6" w16cid:durableId="1688211240">
    <w:abstractNumId w:val="1"/>
  </w:num>
  <w:num w:numId="7" w16cid:durableId="966470384">
    <w:abstractNumId w:val="1"/>
  </w:num>
  <w:num w:numId="8" w16cid:durableId="1297024571">
    <w:abstractNumId w:val="1"/>
  </w:num>
  <w:num w:numId="9" w16cid:durableId="1948534739">
    <w:abstractNumId w:val="1"/>
  </w:num>
  <w:num w:numId="10" w16cid:durableId="1941834782">
    <w:abstractNumId w:val="1"/>
  </w:num>
  <w:num w:numId="11" w16cid:durableId="943806792">
    <w:abstractNumId w:val="1"/>
  </w:num>
  <w:num w:numId="12" w16cid:durableId="1911772596">
    <w:abstractNumId w:val="1"/>
  </w:num>
  <w:num w:numId="13" w16cid:durableId="1180706289">
    <w:abstractNumId w:val="1"/>
  </w:num>
  <w:num w:numId="14" w16cid:durableId="816924018">
    <w:abstractNumId w:val="1"/>
  </w:num>
  <w:num w:numId="15" w16cid:durableId="1386643243">
    <w:abstractNumId w:val="1"/>
  </w:num>
  <w:num w:numId="16" w16cid:durableId="1578662186">
    <w:abstractNumId w:val="1"/>
  </w:num>
  <w:num w:numId="17" w16cid:durableId="1743138005">
    <w:abstractNumId w:val="1"/>
  </w:num>
  <w:num w:numId="18" w16cid:durableId="641425101">
    <w:abstractNumId w:val="2"/>
  </w:num>
  <w:num w:numId="19" w16cid:durableId="1649476774">
    <w:abstractNumId w:val="2"/>
    <w:lvlOverride w:ilvl="0">
      <w:startOverride w:val="1"/>
    </w:lvlOverride>
  </w:num>
  <w:num w:numId="20" w16cid:durableId="1872495016">
    <w:abstractNumId w:val="1"/>
  </w:num>
  <w:num w:numId="21" w16cid:durableId="2004700843">
    <w:abstractNumId w:val="2"/>
  </w:num>
  <w:num w:numId="22" w16cid:durableId="684593204">
    <w:abstractNumId w:val="6"/>
  </w:num>
  <w:num w:numId="23" w16cid:durableId="371347224">
    <w:abstractNumId w:val="3"/>
  </w:num>
  <w:num w:numId="24" w16cid:durableId="560868506">
    <w:abstractNumId w:val="9"/>
  </w:num>
  <w:num w:numId="25" w16cid:durableId="433525865">
    <w:abstractNumId w:val="1"/>
  </w:num>
  <w:num w:numId="26" w16cid:durableId="642388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173785">
    <w:abstractNumId w:val="1"/>
  </w:num>
  <w:num w:numId="28" w16cid:durableId="1581140714">
    <w:abstractNumId w:val="10"/>
  </w:num>
  <w:num w:numId="29" w16cid:durableId="1115707879">
    <w:abstractNumId w:val="10"/>
  </w:num>
  <w:num w:numId="30" w16cid:durableId="815492729">
    <w:abstractNumId w:val="4"/>
  </w:num>
  <w:num w:numId="31" w16cid:durableId="1151026058">
    <w:abstractNumId w:val="4"/>
  </w:num>
  <w:num w:numId="32" w16cid:durableId="1562786802">
    <w:abstractNumId w:val="1"/>
  </w:num>
  <w:num w:numId="33" w16cid:durableId="1881552347">
    <w:abstractNumId w:val="1"/>
  </w:num>
  <w:num w:numId="34" w16cid:durableId="786508286">
    <w:abstractNumId w:val="1"/>
  </w:num>
  <w:num w:numId="35" w16cid:durableId="835343262">
    <w:abstractNumId w:val="5"/>
  </w:num>
  <w:num w:numId="36" w16cid:durableId="1983999148">
    <w:abstractNumId w:val="8"/>
  </w:num>
  <w:num w:numId="37" w16cid:durableId="549657827">
    <w:abstractNumId w:val="7"/>
  </w:num>
  <w:num w:numId="38" w16cid:durableId="764377144">
    <w:abstractNumId w:val="6"/>
    <w:lvlOverride w:ilvl="0">
      <w:startOverride w:val="1"/>
    </w:lvlOverride>
  </w:num>
  <w:num w:numId="39" w16cid:durableId="2097900146">
    <w:abstractNumId w:val="3"/>
    <w:lvlOverride w:ilvl="0">
      <w:startOverride w:val="1"/>
    </w:lvlOverride>
  </w:num>
  <w:num w:numId="40" w16cid:durableId="2125876898">
    <w:abstractNumId w:val="3"/>
  </w:num>
  <w:num w:numId="41" w16cid:durableId="1210460948">
    <w:abstractNumId w:val="1"/>
  </w:num>
  <w:num w:numId="42" w16cid:durableId="1322808167">
    <w:abstractNumId w:val="1"/>
  </w:num>
  <w:num w:numId="43" w16cid:durableId="546376109">
    <w:abstractNumId w:val="12"/>
  </w:num>
  <w:num w:numId="44" w16cid:durableId="2023773860">
    <w:abstractNumId w:val="13"/>
  </w:num>
  <w:num w:numId="45" w16cid:durableId="183961237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E67FE"/>
    <w:rsid w:val="000F0D35"/>
    <w:rsid w:val="000F21A5"/>
    <w:rsid w:val="00102B9F"/>
    <w:rsid w:val="00112637"/>
    <w:rsid w:val="0011382F"/>
    <w:rsid w:val="0012001E"/>
    <w:rsid w:val="00126A55"/>
    <w:rsid w:val="00133AA2"/>
    <w:rsid w:val="00133F08"/>
    <w:rsid w:val="001345E6"/>
    <w:rsid w:val="001369A6"/>
    <w:rsid w:val="001378B0"/>
    <w:rsid w:val="00142E00"/>
    <w:rsid w:val="00152793"/>
    <w:rsid w:val="001545A9"/>
    <w:rsid w:val="001637C7"/>
    <w:rsid w:val="001646A6"/>
    <w:rsid w:val="0016480E"/>
    <w:rsid w:val="00167CCE"/>
    <w:rsid w:val="00174297"/>
    <w:rsid w:val="001817B3"/>
    <w:rsid w:val="00183014"/>
    <w:rsid w:val="001959C2"/>
    <w:rsid w:val="001A7968"/>
    <w:rsid w:val="001B036E"/>
    <w:rsid w:val="001B3483"/>
    <w:rsid w:val="001B3C1E"/>
    <w:rsid w:val="001B4494"/>
    <w:rsid w:val="001B48EB"/>
    <w:rsid w:val="001C0D8B"/>
    <w:rsid w:val="001C0DA8"/>
    <w:rsid w:val="001E0D8A"/>
    <w:rsid w:val="001E4CE2"/>
    <w:rsid w:val="001E67BA"/>
    <w:rsid w:val="001E74C2"/>
    <w:rsid w:val="001F2F23"/>
    <w:rsid w:val="001F5A48"/>
    <w:rsid w:val="001F6260"/>
    <w:rsid w:val="00200007"/>
    <w:rsid w:val="002030A5"/>
    <w:rsid w:val="00203131"/>
    <w:rsid w:val="002075D9"/>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1D62"/>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A7D5F"/>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26E6"/>
    <w:rsid w:val="004F5E57"/>
    <w:rsid w:val="004F6710"/>
    <w:rsid w:val="004F6B18"/>
    <w:rsid w:val="00502849"/>
    <w:rsid w:val="00504334"/>
    <w:rsid w:val="005104D7"/>
    <w:rsid w:val="00510B9E"/>
    <w:rsid w:val="00531D2C"/>
    <w:rsid w:val="00536BC2"/>
    <w:rsid w:val="0054164A"/>
    <w:rsid w:val="005425E1"/>
    <w:rsid w:val="005427C5"/>
    <w:rsid w:val="00542CF6"/>
    <w:rsid w:val="00553C03"/>
    <w:rsid w:val="00563692"/>
    <w:rsid w:val="005646D1"/>
    <w:rsid w:val="00571349"/>
    <w:rsid w:val="005908B8"/>
    <w:rsid w:val="0059512E"/>
    <w:rsid w:val="00597FB0"/>
    <w:rsid w:val="005A6DD2"/>
    <w:rsid w:val="005C385D"/>
    <w:rsid w:val="005D3B20"/>
    <w:rsid w:val="005E5C68"/>
    <w:rsid w:val="005E65C0"/>
    <w:rsid w:val="005F0390"/>
    <w:rsid w:val="00612023"/>
    <w:rsid w:val="00614190"/>
    <w:rsid w:val="00622A99"/>
    <w:rsid w:val="00622E67"/>
    <w:rsid w:val="00626EDC"/>
    <w:rsid w:val="00632657"/>
    <w:rsid w:val="006470EC"/>
    <w:rsid w:val="0065598E"/>
    <w:rsid w:val="00655AF2"/>
    <w:rsid w:val="006568BE"/>
    <w:rsid w:val="0066025D"/>
    <w:rsid w:val="0066063C"/>
    <w:rsid w:val="006773EC"/>
    <w:rsid w:val="00680504"/>
    <w:rsid w:val="00680541"/>
    <w:rsid w:val="00681CD9"/>
    <w:rsid w:val="00683E30"/>
    <w:rsid w:val="00687024"/>
    <w:rsid w:val="00695E47"/>
    <w:rsid w:val="00696415"/>
    <w:rsid w:val="006D3691"/>
    <w:rsid w:val="006E2DCE"/>
    <w:rsid w:val="006E6A40"/>
    <w:rsid w:val="006F3563"/>
    <w:rsid w:val="006F42B9"/>
    <w:rsid w:val="006F6103"/>
    <w:rsid w:val="00704E00"/>
    <w:rsid w:val="007209E7"/>
    <w:rsid w:val="00722F00"/>
    <w:rsid w:val="00726182"/>
    <w:rsid w:val="00732329"/>
    <w:rsid w:val="007337CA"/>
    <w:rsid w:val="00734CE4"/>
    <w:rsid w:val="00735123"/>
    <w:rsid w:val="00737AFD"/>
    <w:rsid w:val="00741837"/>
    <w:rsid w:val="007453E6"/>
    <w:rsid w:val="0075243E"/>
    <w:rsid w:val="00765EB9"/>
    <w:rsid w:val="007666F5"/>
    <w:rsid w:val="0077309D"/>
    <w:rsid w:val="007774EE"/>
    <w:rsid w:val="00781822"/>
    <w:rsid w:val="00783F21"/>
    <w:rsid w:val="00787159"/>
    <w:rsid w:val="00791668"/>
    <w:rsid w:val="00791AA1"/>
    <w:rsid w:val="007A3793"/>
    <w:rsid w:val="007C1BA2"/>
    <w:rsid w:val="007C50F7"/>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5B8D"/>
    <w:rsid w:val="008B6DF8"/>
    <w:rsid w:val="008C106C"/>
    <w:rsid w:val="008C10F1"/>
    <w:rsid w:val="008C1E99"/>
    <w:rsid w:val="008E0085"/>
    <w:rsid w:val="008E291C"/>
    <w:rsid w:val="008E2AA6"/>
    <w:rsid w:val="008E311B"/>
    <w:rsid w:val="008F46E7"/>
    <w:rsid w:val="008F6F0B"/>
    <w:rsid w:val="00903CD6"/>
    <w:rsid w:val="00907BA7"/>
    <w:rsid w:val="0091064E"/>
    <w:rsid w:val="00911FC5"/>
    <w:rsid w:val="0093132C"/>
    <w:rsid w:val="00931A10"/>
    <w:rsid w:val="00947967"/>
    <w:rsid w:val="00965200"/>
    <w:rsid w:val="009668B3"/>
    <w:rsid w:val="00971471"/>
    <w:rsid w:val="009849C2"/>
    <w:rsid w:val="00984D24"/>
    <w:rsid w:val="009858EB"/>
    <w:rsid w:val="009A3724"/>
    <w:rsid w:val="009B0046"/>
    <w:rsid w:val="009C1440"/>
    <w:rsid w:val="009C2107"/>
    <w:rsid w:val="009C31DD"/>
    <w:rsid w:val="009C5D9E"/>
    <w:rsid w:val="009D2C3E"/>
    <w:rsid w:val="009D7297"/>
    <w:rsid w:val="009E0625"/>
    <w:rsid w:val="009E3034"/>
    <w:rsid w:val="009E549F"/>
    <w:rsid w:val="009F28A8"/>
    <w:rsid w:val="009F473E"/>
    <w:rsid w:val="009F682A"/>
    <w:rsid w:val="00A022BE"/>
    <w:rsid w:val="00A147A8"/>
    <w:rsid w:val="00A231D3"/>
    <w:rsid w:val="00A24C95"/>
    <w:rsid w:val="00A26094"/>
    <w:rsid w:val="00A301BF"/>
    <w:rsid w:val="00A302B2"/>
    <w:rsid w:val="00A331B4"/>
    <w:rsid w:val="00A3484E"/>
    <w:rsid w:val="00A36ADA"/>
    <w:rsid w:val="00A438D8"/>
    <w:rsid w:val="00A473F5"/>
    <w:rsid w:val="00A51F9D"/>
    <w:rsid w:val="00A5416A"/>
    <w:rsid w:val="00A639F4"/>
    <w:rsid w:val="00A7297B"/>
    <w:rsid w:val="00A81A32"/>
    <w:rsid w:val="00A835BD"/>
    <w:rsid w:val="00A97B15"/>
    <w:rsid w:val="00AA42D5"/>
    <w:rsid w:val="00AB2FAB"/>
    <w:rsid w:val="00AB5C14"/>
    <w:rsid w:val="00AC1EE7"/>
    <w:rsid w:val="00AC333F"/>
    <w:rsid w:val="00AC585C"/>
    <w:rsid w:val="00AC61FB"/>
    <w:rsid w:val="00AD1925"/>
    <w:rsid w:val="00AE067D"/>
    <w:rsid w:val="00AE1257"/>
    <w:rsid w:val="00AF1181"/>
    <w:rsid w:val="00AF2F79"/>
    <w:rsid w:val="00AF4653"/>
    <w:rsid w:val="00AF7DB7"/>
    <w:rsid w:val="00B06397"/>
    <w:rsid w:val="00B443E4"/>
    <w:rsid w:val="00B563EA"/>
    <w:rsid w:val="00B60E51"/>
    <w:rsid w:val="00B63A54"/>
    <w:rsid w:val="00B77D18"/>
    <w:rsid w:val="00B805F6"/>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2137"/>
    <w:rsid w:val="00C530DC"/>
    <w:rsid w:val="00C5350D"/>
    <w:rsid w:val="00C6123C"/>
    <w:rsid w:val="00C7084D"/>
    <w:rsid w:val="00C7315E"/>
    <w:rsid w:val="00C75895"/>
    <w:rsid w:val="00C83C9F"/>
    <w:rsid w:val="00C86866"/>
    <w:rsid w:val="00C86D8E"/>
    <w:rsid w:val="00C94840"/>
    <w:rsid w:val="00CA434A"/>
    <w:rsid w:val="00CA6AC8"/>
    <w:rsid w:val="00CB027F"/>
    <w:rsid w:val="00CB405F"/>
    <w:rsid w:val="00CC6297"/>
    <w:rsid w:val="00CC7690"/>
    <w:rsid w:val="00CD1986"/>
    <w:rsid w:val="00CE4D5C"/>
    <w:rsid w:val="00CF05DA"/>
    <w:rsid w:val="00CF58EB"/>
    <w:rsid w:val="00D0106E"/>
    <w:rsid w:val="00D056C4"/>
    <w:rsid w:val="00D06383"/>
    <w:rsid w:val="00D20E85"/>
    <w:rsid w:val="00D24615"/>
    <w:rsid w:val="00D27557"/>
    <w:rsid w:val="00D37842"/>
    <w:rsid w:val="00D41BEA"/>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275C"/>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2ABF"/>
    <w:rsid w:val="00F16A14"/>
    <w:rsid w:val="00F231DC"/>
    <w:rsid w:val="00F23CDF"/>
    <w:rsid w:val="00F362D7"/>
    <w:rsid w:val="00F37D7B"/>
    <w:rsid w:val="00F5314C"/>
    <w:rsid w:val="00F635DD"/>
    <w:rsid w:val="00F6627B"/>
    <w:rsid w:val="00F734F2"/>
    <w:rsid w:val="00F75052"/>
    <w:rsid w:val="00F804D3"/>
    <w:rsid w:val="00F81CD2"/>
    <w:rsid w:val="00F82641"/>
    <w:rsid w:val="00F828A5"/>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F83D7"/>
  <w15:docId w15:val="{6A63DB67-E177-41E0-8A8B-6E5CF534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4"/>
    <w:qFormat/>
    <w:rsid w:val="004F5E57"/>
    <w:pPr>
      <w:numPr>
        <w:numId w:val="25"/>
      </w:numPr>
      <w:outlineLvl w:val="0"/>
    </w:pPr>
    <w:rPr>
      <w:rFonts w:hAnsi="Arial"/>
      <w:bCs/>
      <w:kern w:val="32"/>
      <w:szCs w:val="52"/>
    </w:rPr>
  </w:style>
  <w:style w:type="paragraph" w:styleId="2">
    <w:name w:val="heading 2"/>
    <w:aliases w:val="標題110/111,一."/>
    <w:basedOn w:val="a4"/>
    <w:qFormat/>
    <w:rsid w:val="00ED0CAC"/>
    <w:pPr>
      <w:numPr>
        <w:ilvl w:val="1"/>
        <w:numId w:val="25"/>
      </w:numPr>
      <w:outlineLvl w:val="1"/>
    </w:pPr>
    <w:rPr>
      <w:rFonts w:hAnsi="Arial"/>
      <w:b/>
      <w:bCs/>
      <w:kern w:val="32"/>
      <w:szCs w:val="48"/>
    </w:rPr>
  </w:style>
  <w:style w:type="paragraph" w:styleId="3">
    <w:name w:val="heading 3"/>
    <w:aliases w:val="(一)"/>
    <w:basedOn w:val="a4"/>
    <w:link w:val="30"/>
    <w:qFormat/>
    <w:rsid w:val="004F5E57"/>
    <w:pPr>
      <w:numPr>
        <w:ilvl w:val="2"/>
        <w:numId w:val="25"/>
      </w:numPr>
      <w:outlineLvl w:val="2"/>
    </w:pPr>
    <w:rPr>
      <w:rFonts w:hAnsi="Arial"/>
      <w:bCs/>
      <w:kern w:val="32"/>
      <w:szCs w:val="36"/>
    </w:rPr>
  </w:style>
  <w:style w:type="paragraph" w:styleId="4">
    <w:name w:val="heading 4"/>
    <w:aliases w:val="表格,1."/>
    <w:basedOn w:val="a4"/>
    <w:link w:val="40"/>
    <w:qFormat/>
    <w:rsid w:val="004F5E57"/>
    <w:pPr>
      <w:numPr>
        <w:ilvl w:val="3"/>
        <w:numId w:val="25"/>
      </w:numPr>
      <w:outlineLvl w:val="3"/>
    </w:pPr>
    <w:rPr>
      <w:rFonts w:hAnsi="Arial"/>
      <w:kern w:val="32"/>
      <w:szCs w:val="36"/>
    </w:rPr>
  </w:style>
  <w:style w:type="paragraph" w:styleId="5">
    <w:name w:val="heading 5"/>
    <w:basedOn w:val="a4"/>
    <w:qFormat/>
    <w:rsid w:val="004F5E57"/>
    <w:pPr>
      <w:numPr>
        <w:ilvl w:val="4"/>
        <w:numId w:val="25"/>
      </w:numPr>
      <w:outlineLvl w:val="4"/>
    </w:pPr>
    <w:rPr>
      <w:rFonts w:hAnsi="Arial"/>
      <w:bCs/>
      <w:kern w:val="32"/>
      <w:szCs w:val="36"/>
    </w:rPr>
  </w:style>
  <w:style w:type="paragraph" w:styleId="6">
    <w:name w:val="heading 6"/>
    <w:basedOn w:val="a4"/>
    <w:link w:val="60"/>
    <w:qFormat/>
    <w:rsid w:val="004F5E57"/>
    <w:pPr>
      <w:numPr>
        <w:ilvl w:val="5"/>
        <w:numId w:val="25"/>
      </w:numPr>
      <w:tabs>
        <w:tab w:val="left" w:pos="2094"/>
      </w:tabs>
      <w:outlineLvl w:val="5"/>
    </w:pPr>
    <w:rPr>
      <w:rFonts w:hAnsi="Arial"/>
      <w:kern w:val="32"/>
      <w:szCs w:val="36"/>
    </w:rPr>
  </w:style>
  <w:style w:type="paragraph" w:styleId="7">
    <w:name w:val="heading 7"/>
    <w:basedOn w:val="a4"/>
    <w:qFormat/>
    <w:rsid w:val="004F5E57"/>
    <w:pPr>
      <w:numPr>
        <w:ilvl w:val="6"/>
        <w:numId w:val="25"/>
      </w:numPr>
      <w:outlineLvl w:val="6"/>
    </w:pPr>
    <w:rPr>
      <w:rFonts w:hAnsi="Arial"/>
      <w:bCs/>
      <w:kern w:val="32"/>
      <w:szCs w:val="36"/>
    </w:rPr>
  </w:style>
  <w:style w:type="paragraph" w:styleId="8">
    <w:name w:val="heading 8"/>
    <w:basedOn w:val="a4"/>
    <w:qFormat/>
    <w:rsid w:val="004F5E57"/>
    <w:pPr>
      <w:numPr>
        <w:ilvl w:val="7"/>
        <w:numId w:val="25"/>
      </w:numPr>
      <w:outlineLvl w:val="7"/>
    </w:pPr>
    <w:rPr>
      <w:rFonts w:hAnsi="Arial"/>
      <w:kern w:val="32"/>
      <w:szCs w:val="36"/>
    </w:rPr>
  </w:style>
  <w:style w:type="paragraph" w:styleId="9">
    <w:name w:val="heading 9"/>
    <w:basedOn w:val="a4"/>
    <w:link w:val="90"/>
    <w:uiPriority w:val="9"/>
    <w:unhideWhenUsed/>
    <w:qFormat/>
    <w:rsid w:val="00C055EC"/>
    <w:pPr>
      <w:numPr>
        <w:ilvl w:val="8"/>
        <w:numId w:val="25"/>
      </w:numPr>
      <w:outlineLvl w:val="8"/>
    </w:pPr>
    <w:rPr>
      <w:rFonts w:hAnsiTheme="majorHAnsi" w:cstheme="majorBidi"/>
      <w:kern w:val="32"/>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Signature"/>
    <w:basedOn w:val="a4"/>
    <w:semiHidden/>
    <w:rsid w:val="004E0062"/>
    <w:pPr>
      <w:spacing w:before="720" w:after="720"/>
      <w:ind w:left="7371"/>
    </w:pPr>
    <w:rPr>
      <w:b/>
      <w:snapToGrid w:val="0"/>
      <w:spacing w:val="10"/>
      <w:sz w:val="36"/>
    </w:rPr>
  </w:style>
  <w:style w:type="paragraph" w:styleId="a9">
    <w:name w:val="endnote text"/>
    <w:basedOn w:val="a4"/>
    <w:semiHidden/>
    <w:rsid w:val="004E0062"/>
    <w:pPr>
      <w:kinsoku w:val="0"/>
      <w:autoSpaceDE/>
      <w:spacing w:before="240"/>
      <w:ind w:left="1021" w:hanging="1021"/>
    </w:pPr>
    <w:rPr>
      <w:snapToGrid w:val="0"/>
      <w:spacing w:val="10"/>
    </w:rPr>
  </w:style>
  <w:style w:type="paragraph" w:styleId="50">
    <w:name w:val="toc 5"/>
    <w:basedOn w:val="a4"/>
    <w:next w:val="a4"/>
    <w:autoRedefine/>
    <w:semiHidden/>
    <w:rsid w:val="004E0062"/>
    <w:pPr>
      <w:ind w:leftChars="400" w:left="600" w:rightChars="200" w:right="200" w:hangingChars="200" w:hanging="200"/>
    </w:pPr>
  </w:style>
  <w:style w:type="character" w:styleId="aa">
    <w:name w:val="page number"/>
    <w:basedOn w:val="a5"/>
    <w:semiHidden/>
    <w:rsid w:val="004E0062"/>
    <w:rPr>
      <w:rFonts w:ascii="標楷體" w:eastAsia="標楷體"/>
      <w:sz w:val="20"/>
    </w:rPr>
  </w:style>
  <w:style w:type="paragraph" w:styleId="61">
    <w:name w:val="toc 6"/>
    <w:basedOn w:val="a4"/>
    <w:next w:val="a4"/>
    <w:autoRedefine/>
    <w:semiHidden/>
    <w:rsid w:val="004E0062"/>
    <w:pPr>
      <w:ind w:leftChars="500" w:left="500"/>
    </w:pPr>
  </w:style>
  <w:style w:type="paragraph" w:customStyle="1" w:styleId="10">
    <w:name w:val="段落樣式1"/>
    <w:basedOn w:val="a4"/>
    <w:qFormat/>
    <w:rsid w:val="004F5E57"/>
    <w:pPr>
      <w:tabs>
        <w:tab w:val="left" w:pos="567"/>
      </w:tabs>
      <w:ind w:leftChars="200" w:left="200" w:firstLineChars="200" w:firstLine="200"/>
    </w:pPr>
    <w:rPr>
      <w:kern w:val="32"/>
    </w:rPr>
  </w:style>
  <w:style w:type="paragraph" w:customStyle="1" w:styleId="20">
    <w:name w:val="段落樣式2"/>
    <w:basedOn w:val="a4"/>
    <w:qFormat/>
    <w:rsid w:val="004F5E57"/>
    <w:pPr>
      <w:tabs>
        <w:tab w:val="left" w:pos="567"/>
      </w:tabs>
      <w:ind w:leftChars="300" w:left="300" w:firstLineChars="200" w:firstLine="200"/>
    </w:pPr>
    <w:rPr>
      <w:kern w:val="32"/>
    </w:rPr>
  </w:style>
  <w:style w:type="paragraph" w:styleId="11">
    <w:name w:val="toc 1"/>
    <w:basedOn w:val="a4"/>
    <w:next w:val="a4"/>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4"/>
    <w:next w:val="a4"/>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4"/>
    <w:next w:val="a4"/>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4"/>
    <w:next w:val="a4"/>
    <w:autoRedefine/>
    <w:semiHidden/>
    <w:rsid w:val="004E0062"/>
    <w:pPr>
      <w:kinsoku w:val="0"/>
      <w:ind w:leftChars="300" w:left="500" w:rightChars="200" w:right="200" w:hangingChars="200" w:hanging="200"/>
    </w:pPr>
  </w:style>
  <w:style w:type="paragraph" w:styleId="70">
    <w:name w:val="toc 7"/>
    <w:basedOn w:val="a4"/>
    <w:next w:val="a4"/>
    <w:autoRedefine/>
    <w:semiHidden/>
    <w:rsid w:val="004E0062"/>
    <w:pPr>
      <w:ind w:leftChars="600" w:left="800" w:hangingChars="200" w:hanging="200"/>
    </w:pPr>
  </w:style>
  <w:style w:type="paragraph" w:styleId="80">
    <w:name w:val="toc 8"/>
    <w:basedOn w:val="a4"/>
    <w:next w:val="a4"/>
    <w:autoRedefine/>
    <w:semiHidden/>
    <w:rsid w:val="004E0062"/>
    <w:pPr>
      <w:ind w:leftChars="700" w:left="900" w:hangingChars="200" w:hanging="200"/>
    </w:pPr>
  </w:style>
  <w:style w:type="paragraph" w:styleId="91">
    <w:name w:val="toc 9"/>
    <w:basedOn w:val="a4"/>
    <w:next w:val="a4"/>
    <w:autoRedefine/>
    <w:semiHidden/>
    <w:rsid w:val="004E0062"/>
    <w:pPr>
      <w:ind w:leftChars="1600" w:left="3840"/>
    </w:pPr>
  </w:style>
  <w:style w:type="paragraph" w:styleId="ab">
    <w:name w:val="header"/>
    <w:basedOn w:val="a4"/>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c">
    <w:name w:val="Hyperlink"/>
    <w:basedOn w:val="a5"/>
    <w:uiPriority w:val="99"/>
    <w:rsid w:val="004E0062"/>
    <w:rPr>
      <w:color w:val="0000FF"/>
      <w:u w:val="single"/>
    </w:rPr>
  </w:style>
  <w:style w:type="paragraph" w:customStyle="1" w:styleId="ad">
    <w:name w:val="簽名日期"/>
    <w:basedOn w:val="a4"/>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e">
    <w:name w:val="附件"/>
    <w:basedOn w:val="a9"/>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4"/>
    <w:qFormat/>
    <w:rsid w:val="00B77D18"/>
    <w:pPr>
      <w:keepNext/>
      <w:numPr>
        <w:numId w:val="2"/>
      </w:numPr>
      <w:tabs>
        <w:tab w:val="clear" w:pos="1440"/>
      </w:tabs>
      <w:ind w:left="400" w:hangingChars="400" w:hanging="400"/>
      <w:outlineLvl w:val="0"/>
    </w:pPr>
    <w:rPr>
      <w:kern w:val="32"/>
    </w:rPr>
  </w:style>
  <w:style w:type="paragraph" w:styleId="af">
    <w:name w:val="Body Text Indent"/>
    <w:basedOn w:val="a4"/>
    <w:semiHidden/>
    <w:rsid w:val="004E0062"/>
    <w:pPr>
      <w:ind w:left="698" w:hangingChars="200" w:hanging="698"/>
    </w:pPr>
  </w:style>
  <w:style w:type="paragraph" w:customStyle="1" w:styleId="af0">
    <w:name w:val="調查報告"/>
    <w:basedOn w:val="a9"/>
    <w:rsid w:val="00D75644"/>
    <w:pPr>
      <w:adjustRightInd w:val="0"/>
      <w:spacing w:before="0"/>
      <w:ind w:left="0" w:firstLine="0"/>
      <w:jc w:val="center"/>
    </w:pPr>
    <w:rPr>
      <w:b/>
      <w:snapToGrid/>
      <w:spacing w:val="200"/>
      <w:kern w:val="0"/>
      <w:sz w:val="40"/>
    </w:rPr>
  </w:style>
  <w:style w:type="paragraph" w:customStyle="1" w:styleId="14">
    <w:name w:val="表格14"/>
    <w:basedOn w:val="a4"/>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4"/>
    <w:qFormat/>
    <w:rsid w:val="00B77D18"/>
    <w:pPr>
      <w:keepNext/>
      <w:numPr>
        <w:numId w:val="3"/>
      </w:numPr>
      <w:tabs>
        <w:tab w:val="clear" w:pos="1440"/>
      </w:tabs>
      <w:ind w:left="400" w:hangingChars="400" w:hanging="400"/>
      <w:outlineLvl w:val="0"/>
    </w:pPr>
    <w:rPr>
      <w:kern w:val="32"/>
    </w:rPr>
  </w:style>
  <w:style w:type="paragraph" w:styleId="af1">
    <w:name w:val="footer"/>
    <w:basedOn w:val="a4"/>
    <w:semiHidden/>
    <w:rsid w:val="004E0062"/>
    <w:pPr>
      <w:tabs>
        <w:tab w:val="center" w:pos="4153"/>
        <w:tab w:val="right" w:pos="8306"/>
      </w:tabs>
      <w:snapToGrid w:val="0"/>
    </w:pPr>
    <w:rPr>
      <w:sz w:val="20"/>
    </w:rPr>
  </w:style>
  <w:style w:type="paragraph" w:styleId="af2">
    <w:name w:val="table of figures"/>
    <w:basedOn w:val="a4"/>
    <w:next w:val="a4"/>
    <w:semiHidden/>
    <w:rsid w:val="004E0062"/>
    <w:pPr>
      <w:ind w:left="400" w:hangingChars="400" w:hanging="400"/>
    </w:pPr>
  </w:style>
  <w:style w:type="paragraph" w:customStyle="1" w:styleId="140">
    <w:name w:val="表格標題14"/>
    <w:basedOn w:val="a4"/>
    <w:rsid w:val="00BC64F2"/>
    <w:pPr>
      <w:keepNext/>
      <w:adjustRightInd w:val="0"/>
      <w:snapToGrid w:val="0"/>
      <w:spacing w:before="40" w:after="40" w:line="320" w:lineRule="exact"/>
      <w:jc w:val="center"/>
    </w:pPr>
    <w:rPr>
      <w:snapToGrid w:val="0"/>
      <w:spacing w:val="-10"/>
      <w:kern w:val="0"/>
      <w:sz w:val="28"/>
    </w:rPr>
  </w:style>
  <w:style w:type="paragraph" w:customStyle="1" w:styleId="af3">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4"/>
    <w:rsid w:val="00F16A14"/>
    <w:pPr>
      <w:kinsoku w:val="0"/>
      <w:adjustRightInd w:val="0"/>
      <w:snapToGrid w:val="0"/>
      <w:spacing w:before="40" w:after="240" w:line="360" w:lineRule="exact"/>
    </w:pPr>
    <w:rPr>
      <w:spacing w:val="-10"/>
      <w:kern w:val="0"/>
      <w:sz w:val="28"/>
      <w:szCs w:val="22"/>
    </w:rPr>
  </w:style>
  <w:style w:type="paragraph" w:customStyle="1" w:styleId="af5">
    <w:name w:val="圖標題"/>
    <w:basedOn w:val="a4"/>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6"/>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2">
    <w:name w:val="附錄"/>
    <w:basedOn w:val="a4"/>
    <w:qFormat/>
    <w:rsid w:val="00B77D18"/>
    <w:pPr>
      <w:keepNext/>
      <w:numPr>
        <w:numId w:val="24"/>
      </w:numPr>
      <w:ind w:left="350" w:hangingChars="350" w:hanging="350"/>
      <w:outlineLvl w:val="0"/>
    </w:pPr>
    <w:rPr>
      <w:kern w:val="32"/>
    </w:rPr>
  </w:style>
  <w:style w:type="paragraph" w:styleId="af7">
    <w:name w:val="List Paragraph"/>
    <w:basedOn w:val="a4"/>
    <w:uiPriority w:val="34"/>
    <w:qFormat/>
    <w:rsid w:val="00687024"/>
    <w:pPr>
      <w:ind w:leftChars="200" w:left="480"/>
    </w:pPr>
  </w:style>
  <w:style w:type="paragraph" w:styleId="af8">
    <w:name w:val="Balloon Text"/>
    <w:basedOn w:val="a4"/>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5"/>
    <w:link w:val="af8"/>
    <w:uiPriority w:val="99"/>
    <w:semiHidden/>
    <w:rsid w:val="00C530DC"/>
    <w:rPr>
      <w:rFonts w:asciiTheme="majorHAnsi" w:eastAsiaTheme="majorEastAsia" w:hAnsiTheme="majorHAnsi" w:cstheme="majorBidi"/>
      <w:kern w:val="2"/>
      <w:sz w:val="18"/>
      <w:szCs w:val="18"/>
    </w:rPr>
  </w:style>
  <w:style w:type="paragraph" w:customStyle="1" w:styleId="a3">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4"/>
    <w:qFormat/>
    <w:rsid w:val="00B77D18"/>
    <w:pPr>
      <w:keepNext/>
      <w:numPr>
        <w:numId w:val="30"/>
      </w:numPr>
      <w:ind w:left="400" w:hangingChars="400" w:hanging="400"/>
      <w:outlineLvl w:val="0"/>
    </w:pPr>
    <w:rPr>
      <w:kern w:val="32"/>
    </w:rPr>
  </w:style>
  <w:style w:type="character" w:customStyle="1" w:styleId="90">
    <w:name w:val="標題 9 字元"/>
    <w:basedOn w:val="a5"/>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5"/>
    <w:link w:val="3"/>
    <w:rsid w:val="008B5B8D"/>
    <w:rPr>
      <w:rFonts w:ascii="標楷體" w:eastAsia="標楷體" w:hAnsi="Arial"/>
      <w:bCs/>
      <w:kern w:val="32"/>
      <w:sz w:val="32"/>
      <w:szCs w:val="36"/>
    </w:rPr>
  </w:style>
  <w:style w:type="character" w:customStyle="1" w:styleId="40">
    <w:name w:val="標題 4 字元"/>
    <w:aliases w:val="表格 字元,1. 字元"/>
    <w:basedOn w:val="a5"/>
    <w:link w:val="4"/>
    <w:rsid w:val="008B5B8D"/>
    <w:rPr>
      <w:rFonts w:ascii="標楷體" w:eastAsia="標楷體" w:hAnsi="Arial"/>
      <w:kern w:val="32"/>
      <w:sz w:val="32"/>
      <w:szCs w:val="36"/>
    </w:rPr>
  </w:style>
  <w:style w:type="character" w:customStyle="1" w:styleId="60">
    <w:name w:val="標題 6 字元"/>
    <w:basedOn w:val="a5"/>
    <w:link w:val="6"/>
    <w:rsid w:val="008B5B8D"/>
    <w:rPr>
      <w:rFonts w:ascii="標楷體" w:eastAsia="標楷體" w:hAnsi="Arial"/>
      <w:kern w:val="32"/>
      <w:sz w:val="32"/>
      <w:szCs w:val="36"/>
    </w:rPr>
  </w:style>
  <w:style w:type="paragraph" w:customStyle="1" w:styleId="ng-star-inserted">
    <w:name w:val="ng-star-inserted"/>
    <w:basedOn w:val="a4"/>
    <w:rsid w:val="00695E4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ng-star-inserted1">
    <w:name w:val="ng-star-inserted1"/>
    <w:basedOn w:val="a5"/>
    <w:rsid w:val="00695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19486813">
      <w:bodyDiv w:val="1"/>
      <w:marLeft w:val="0"/>
      <w:marRight w:val="0"/>
      <w:marTop w:val="0"/>
      <w:marBottom w:val="0"/>
      <w:divBdr>
        <w:top w:val="none" w:sz="0" w:space="0" w:color="auto"/>
        <w:left w:val="none" w:sz="0" w:space="0" w:color="auto"/>
        <w:bottom w:val="none" w:sz="0" w:space="0" w:color="auto"/>
        <w:right w:val="none" w:sz="0" w:space="0" w:color="auto"/>
      </w:divBdr>
    </w:div>
    <w:div w:id="199209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A8954-DF67-4282-8D65-C0B1612A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24</Pages>
  <Words>2195</Words>
  <Characters>12515</Characters>
  <Application>Microsoft Office Word</Application>
  <DocSecurity>0</DocSecurity>
  <Lines>104</Lines>
  <Paragraphs>29</Paragraphs>
  <ScaleCrop>false</ScaleCrop>
  <Company>cy</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陳宏彰</dc:creator>
  <cp:lastModifiedBy>江千如</cp:lastModifiedBy>
  <cp:revision>4</cp:revision>
  <cp:lastPrinted>2025-05-05T07:07:00Z</cp:lastPrinted>
  <dcterms:created xsi:type="dcterms:W3CDTF">2025-07-28T06:59:00Z</dcterms:created>
  <dcterms:modified xsi:type="dcterms:W3CDTF">2025-07-28T08:08:00Z</dcterms:modified>
</cp:coreProperties>
</file>