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ECF6C" w14:textId="77777777" w:rsidR="00A375F2" w:rsidRDefault="00000000">
      <w:pPr>
        <w:pStyle w:val="af6"/>
        <w:overflowPunct w:val="0"/>
        <w:rPr>
          <w:color w:val="000000" w:themeColor="text1"/>
        </w:rPr>
      </w:pPr>
      <w:r>
        <w:rPr>
          <w:rFonts w:hint="eastAsia"/>
          <w:color w:val="000000" w:themeColor="text1"/>
        </w:rPr>
        <w:t>調查報告</w:t>
      </w:r>
      <w:r>
        <w:rPr>
          <w:rFonts w:hint="eastAsia"/>
          <w:b w:val="0"/>
          <w:color w:val="000000" w:themeColor="text1"/>
        </w:rPr>
        <w:t>（公布版）</w:t>
      </w: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p>
    <w:p w14:paraId="3A782AC4" w14:textId="77777777" w:rsidR="00A375F2" w:rsidRDefault="00000000">
      <w:pPr>
        <w:pStyle w:val="1"/>
        <w:overflowPunct w:val="0"/>
        <w:ind w:left="2380" w:hanging="2380"/>
        <w:rPr>
          <w:color w:val="000000" w:themeColor="text1"/>
        </w:rPr>
      </w:pPr>
      <w:r>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color w:val="000000" w:themeColor="text1"/>
        </w:rPr>
        <w:t>據審計部</w:t>
      </w:r>
      <w:r>
        <w:rPr>
          <w:color w:val="000000" w:themeColor="text1"/>
        </w:rPr>
        <w:t>112</w:t>
      </w:r>
      <w:r>
        <w:rPr>
          <w:rFonts w:hint="eastAsia"/>
          <w:color w:val="000000" w:themeColor="text1"/>
        </w:rPr>
        <w:t>年度中央政府總決算審核報告，原住民族委員會辦理原住民保留地禁伐補償，間有補助市縣政府配置禁伐補償檢測人員工作範圍不一，部分案件受領人已死亡仍領取補償金等情，允宜硏議檢討人員配置及建立自動勾稽比對機制，以利造林相關檢測及補償工作，提升土地保育成效案。</w:t>
      </w:r>
    </w:p>
    <w:p w14:paraId="2F0D7473" w14:textId="77777777" w:rsidR="00A375F2" w:rsidRDefault="00000000">
      <w:pPr>
        <w:pStyle w:val="1"/>
        <w:overflowPunct w:val="0"/>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239320D" w14:textId="0401A181" w:rsidR="00A375F2" w:rsidRDefault="00000000">
      <w:pPr>
        <w:pStyle w:val="11"/>
        <w:overflowPunct w:val="0"/>
        <w:ind w:left="680" w:firstLine="680"/>
        <w:rPr>
          <w:color w:val="000000" w:themeColor="text1"/>
        </w:rPr>
      </w:pPr>
      <w:bookmarkStart w:id="49" w:name="_Toc524902730"/>
      <w:r>
        <w:rPr>
          <w:rFonts w:hint="eastAsia"/>
          <w:color w:val="000000" w:themeColor="text1"/>
        </w:rPr>
        <w:t>據審計部</w:t>
      </w:r>
      <w:r>
        <w:rPr>
          <w:color w:val="000000" w:themeColor="text1"/>
        </w:rPr>
        <w:t>112</w:t>
      </w:r>
      <w:r>
        <w:rPr>
          <w:rFonts w:hint="eastAsia"/>
          <w:color w:val="000000" w:themeColor="text1"/>
        </w:rPr>
        <w:t>年度中央政府總決算審核報告，原住民族委員會（下稱原民會）辦理原住民保留地禁伐補償（下稱禁伐補償），間有補助市縣政府配置禁伐補償檢測人員工作範圍不一，部分案件受領人已死亡仍領取補償金等情，允宜硏議檢討人員配置及建立自動勾稽比對機制，以利造林相關檢測及補償工作，提升土地保育成效案。經本院向審計部、原民會等機關調閱卷證資料；嗣於民國(下同)113年12月26日邀請審計部到院簡報說明後，復於114年4月15日詢問原民會杜張梅莊Adralriw Abaliusu政務副主任委員、農業部林業及自然保育署（下稱林業保育署）廖副署長、屏東縣政府原住民處蔡副處長、臺東縣政府原住民族行政處鄭副處長、南投縣政府原住民族行政處林代理處長、及新竹縣政府原住民族行政處雲處長等機關人員，業已調查竣事。茲臚列意見如下：</w:t>
      </w:r>
    </w:p>
    <w:p w14:paraId="5741E122" w14:textId="77777777" w:rsidR="00A375F2" w:rsidRDefault="00000000">
      <w:pPr>
        <w:pStyle w:val="2"/>
        <w:overflowPunct w:val="0"/>
        <w:rPr>
          <w:rFonts w:hAnsi="標楷體"/>
          <w:b/>
          <w:color w:val="000000" w:themeColor="text1"/>
        </w:rPr>
      </w:pPr>
      <w:bookmarkStart w:id="50" w:name="_Toc421794873"/>
      <w:bookmarkStart w:id="51" w:name="_Toc422834158"/>
      <w:r>
        <w:rPr>
          <w:rFonts w:hAnsi="標楷體" w:hint="eastAsia"/>
          <w:b/>
          <w:color w:val="000000" w:themeColor="text1"/>
        </w:rPr>
        <w:t>我國訂定原住民保留地禁伐補償條例（下稱禁伐補償條例），</w:t>
      </w:r>
      <w:r>
        <w:rPr>
          <w:rFonts w:hAnsi="標楷體" w:hint="eastAsia"/>
          <w:b/>
          <w:color w:val="000000" w:themeColor="text1"/>
          <w:szCs w:val="32"/>
        </w:rPr>
        <w:t>對於生態永續發展、國土保安、原住民土地文化之傳承，均有重要意義，爰</w:t>
      </w:r>
      <w:r>
        <w:rPr>
          <w:rFonts w:hAnsi="標楷體" w:hint="eastAsia"/>
          <w:b/>
          <w:color w:val="000000" w:themeColor="text1"/>
        </w:rPr>
        <w:t>原住民保留地所在地之</w:t>
      </w:r>
      <w:r>
        <w:rPr>
          <w:rFonts w:hAnsi="標楷體"/>
          <w:b/>
          <w:color w:val="000000" w:themeColor="text1"/>
        </w:rPr>
        <w:t>鄉（鎮、市、區）公所</w:t>
      </w:r>
      <w:r>
        <w:rPr>
          <w:rFonts w:hAnsi="標楷體" w:hint="eastAsia"/>
          <w:b/>
          <w:color w:val="000000" w:themeColor="text1"/>
        </w:rPr>
        <w:t>，以及</w:t>
      </w:r>
      <w:r>
        <w:rPr>
          <w:rFonts w:hAnsi="標楷體"/>
          <w:b/>
          <w:color w:val="000000" w:themeColor="text1"/>
        </w:rPr>
        <w:t>直轄市、縣（市）政府</w:t>
      </w:r>
      <w:r>
        <w:rPr>
          <w:rFonts w:hAnsi="標楷體" w:hint="eastAsia"/>
          <w:b/>
          <w:color w:val="000000" w:themeColor="text1"/>
        </w:rPr>
        <w:t>，於受理原住民禁伐補償案件之申請後，辦理初審與勘</w:t>
      </w:r>
      <w:r>
        <w:rPr>
          <w:rFonts w:hAnsi="標楷體" w:hint="eastAsia"/>
          <w:b/>
          <w:color w:val="000000" w:themeColor="text1"/>
        </w:rPr>
        <w:lastRenderedPageBreak/>
        <w:t>查等相關作業，自應悉依規定辦理，俾符禁伐補償條例之立法意旨，並杜爭議。詎屏東縣牡丹鄉公所、瑪家鄉公所，臺東縣海端鄉公所、達仁鄉公所，以及新竹縣五峰鄉公所、尖石鄉公所等，受理禁伐補償金案件後所辦理之初審作業時，未依禁伐補償條例第4條第1項之要求，核對並確認申請人應檢附之身分證明文件，致發生多筆申請人已經死亡後，以渠等名義申請之禁伐補償金，竟仍可順利通過上開鄉公所之初核，並再分別通過所在地縣政府之勘查作業後，順利獲核發禁伐補償金之情事，衍生違法疑慮，縱或有基於照顧族人權益考量，然依據禁伐補償條例核發之禁伐補償金係公款，本應依法行政，俾免蹈法網。</w:t>
      </w:r>
      <w:r>
        <w:rPr>
          <w:rFonts w:hAnsi="標楷體" w:hint="eastAsia"/>
          <w:b/>
          <w:color w:val="000000" w:themeColor="text1"/>
          <w:szCs w:val="32"/>
        </w:rPr>
        <w:t>原民會為中央主管機關，允應加強督導各相關地方政府，以避免再發生同樣問題。</w:t>
      </w:r>
    </w:p>
    <w:p w14:paraId="1566A8F9" w14:textId="77777777" w:rsidR="00A375F2" w:rsidRDefault="00000000">
      <w:pPr>
        <w:pStyle w:val="3"/>
        <w:numPr>
          <w:ilvl w:val="2"/>
          <w:numId w:val="1"/>
        </w:numPr>
        <w:overflowPunct w:val="0"/>
        <w:spacing w:line="460" w:lineRule="exact"/>
        <w:ind w:left="1360" w:hanging="680"/>
        <w:rPr>
          <w:rFonts w:hAnsi="標楷體"/>
          <w:color w:val="000000" w:themeColor="text1"/>
        </w:rPr>
      </w:pPr>
      <w:r>
        <w:rPr>
          <w:rFonts w:hint="eastAsia"/>
          <w:color w:val="000000" w:themeColor="text1"/>
        </w:rPr>
        <w:t>按</w:t>
      </w:r>
      <w:r>
        <w:rPr>
          <w:rFonts w:hAnsi="標楷體" w:hint="eastAsia"/>
          <w:color w:val="000000" w:themeColor="text1"/>
        </w:rPr>
        <w:t>「</w:t>
      </w:r>
      <w:r>
        <w:rPr>
          <w:rFonts w:hAnsi="標楷體"/>
          <w:color w:val="000000" w:themeColor="text1"/>
        </w:rPr>
        <w:t>本條例所稱主管機關為原住民族委員會。本條例所稱執行機關，在中央為行政院農業委員會林務局，在地方為直轄市、縣（市）政府。本條例所稱受理機關為原住民保留地所在之鄉（鎮、市、區）公所。</w:t>
      </w:r>
      <w:r>
        <w:rPr>
          <w:rFonts w:hAnsi="標楷體" w:hint="eastAsia"/>
          <w:color w:val="000000" w:themeColor="text1"/>
        </w:rPr>
        <w:t>」</w:t>
      </w:r>
      <w:r>
        <w:rPr>
          <w:rFonts w:ascii="新細明體" w:eastAsia="新細明體" w:hAnsi="新細明體" w:hint="eastAsia"/>
          <w:color w:val="000000" w:themeColor="text1"/>
        </w:rPr>
        <w:t>、</w:t>
      </w:r>
      <w:r>
        <w:rPr>
          <w:rFonts w:hAnsi="標楷體" w:hint="eastAsia"/>
          <w:color w:val="000000" w:themeColor="text1"/>
        </w:rPr>
        <w:t>「原住民保留地有下列情形之一者，其具原住民身分之所有權人或合法使用權人，得申請禁伐補償：一、經劃定為禁伐區域。二、受造林獎勵2</w:t>
      </w:r>
      <w:r>
        <w:rPr>
          <w:rFonts w:hAnsi="標楷體"/>
          <w:color w:val="000000" w:themeColor="text1"/>
        </w:rPr>
        <w:t>0</w:t>
      </w:r>
      <w:r>
        <w:rPr>
          <w:rFonts w:hAnsi="標楷體" w:hint="eastAsia"/>
          <w:color w:val="000000" w:themeColor="text1"/>
        </w:rPr>
        <w:t>年期間屆滿。」及</w:t>
      </w:r>
      <w:r>
        <w:rPr>
          <w:rFonts w:ascii="新細明體" w:eastAsia="新細明體" w:hAnsi="新細明體" w:hint="eastAsia"/>
          <w:color w:val="000000" w:themeColor="text1"/>
        </w:rPr>
        <w:t>「</w:t>
      </w:r>
      <w:r>
        <w:rPr>
          <w:rFonts w:hint="eastAsia"/>
          <w:color w:val="000000" w:themeColor="text1"/>
        </w:rPr>
        <w:t>申請人應每年填具禁伐補償申請書，並檢附下列文件，向原住民保留地所在地之受理機關申請，受理機關初審通過後，轉請地方執行機關辦理勘查作業，經確認竹、木覆蓋率七成以上，且無濫墾</w:t>
      </w:r>
      <w:r>
        <w:rPr>
          <w:rFonts w:hAnsi="標楷體" w:hint="eastAsia"/>
          <w:color w:val="000000" w:themeColor="text1"/>
        </w:rPr>
        <w:t>、濫伐之情事，應予實施補償之必要者，予以核准：一、</w:t>
      </w:r>
      <w:r>
        <w:rPr>
          <w:rFonts w:hint="eastAsia"/>
          <w:color w:val="000000" w:themeColor="text1"/>
        </w:rPr>
        <w:t>身分證明文件、土地登記簿謄本、地籍圖謄本。但能以電腦完成提供網路查詢者，得免予檢附。二、申請人非土地所有人，應提</w:t>
      </w:r>
      <w:r>
        <w:rPr>
          <w:rFonts w:hint="eastAsia"/>
          <w:color w:val="000000" w:themeColor="text1"/>
        </w:rPr>
        <w:lastRenderedPageBreak/>
        <w:t>出他項權利證明書或承租契約書。</w:t>
      </w:r>
      <w:r>
        <w:rPr>
          <w:rFonts w:hAnsi="標楷體" w:hint="eastAsia"/>
          <w:color w:val="000000" w:themeColor="text1"/>
        </w:rPr>
        <w:t>」</w:t>
      </w:r>
      <w:r>
        <w:rPr>
          <w:rFonts w:hint="eastAsia"/>
          <w:color w:val="000000" w:themeColor="text1"/>
        </w:rPr>
        <w:t>分別為禁伐補償條</w:t>
      </w:r>
      <w:r>
        <w:rPr>
          <w:rFonts w:hAnsi="標楷體" w:hint="eastAsia"/>
          <w:color w:val="000000" w:themeColor="text1"/>
        </w:rPr>
        <w:t>例第2條</w:t>
      </w:r>
      <w:r>
        <w:rPr>
          <w:rFonts w:ascii="新細明體" w:eastAsia="新細明體" w:hAnsi="新細明體" w:hint="eastAsia"/>
          <w:color w:val="000000" w:themeColor="text1"/>
        </w:rPr>
        <w:t>、</w:t>
      </w:r>
      <w:r>
        <w:rPr>
          <w:rFonts w:hAnsi="標楷體" w:hint="eastAsia"/>
          <w:color w:val="000000" w:themeColor="text1"/>
        </w:rPr>
        <w:t>第3條第1項及第4條第</w:t>
      </w:r>
      <w:r>
        <w:rPr>
          <w:rFonts w:hAnsi="標楷體"/>
          <w:color w:val="000000" w:themeColor="text1"/>
        </w:rPr>
        <w:t>1</w:t>
      </w:r>
      <w:r>
        <w:rPr>
          <w:rFonts w:hAnsi="標楷體" w:hint="eastAsia"/>
          <w:color w:val="000000" w:themeColor="text1"/>
        </w:rPr>
        <w:t>項所明定。爰具原住民身分之所有權人或合法使用權人，或經劃定為禁伐區域，或受造林獎勵2</w:t>
      </w:r>
      <w:r>
        <w:rPr>
          <w:rFonts w:hAnsi="標楷體"/>
          <w:color w:val="000000" w:themeColor="text1"/>
        </w:rPr>
        <w:t>0</w:t>
      </w:r>
      <w:r>
        <w:rPr>
          <w:rFonts w:hAnsi="標楷體" w:hint="eastAsia"/>
          <w:color w:val="000000" w:themeColor="text1"/>
        </w:rPr>
        <w:t>年期間屆滿，得</w:t>
      </w:r>
      <w:r>
        <w:rPr>
          <w:rFonts w:hint="eastAsia"/>
          <w:color w:val="000000" w:themeColor="text1"/>
        </w:rPr>
        <w:t>檢附身分證明文件、土地登記簿謄本</w:t>
      </w:r>
      <w:r>
        <w:rPr>
          <w:rFonts w:ascii="新細明體" w:eastAsia="新細明體" w:hAnsi="新細明體" w:hint="eastAsia"/>
          <w:color w:val="000000" w:themeColor="text1"/>
        </w:rPr>
        <w:t>、</w:t>
      </w:r>
      <w:r>
        <w:rPr>
          <w:rFonts w:hint="eastAsia"/>
          <w:color w:val="000000" w:themeColor="text1"/>
        </w:rPr>
        <w:t>地籍圖謄本文件，或他項權利證明書或承租契約書等文件，向原住民保留地所在地之</w:t>
      </w:r>
      <w:r>
        <w:rPr>
          <w:rFonts w:hAnsi="標楷體"/>
          <w:color w:val="000000" w:themeColor="text1"/>
        </w:rPr>
        <w:t>鄉（鎮、市、區）公所</w:t>
      </w:r>
      <w:r>
        <w:rPr>
          <w:rFonts w:hint="eastAsia"/>
          <w:color w:val="000000" w:themeColor="text1"/>
        </w:rPr>
        <w:t>申請</w:t>
      </w:r>
      <w:r>
        <w:rPr>
          <w:rFonts w:hAnsi="標楷體" w:hint="eastAsia"/>
          <w:color w:val="000000" w:themeColor="text1"/>
        </w:rPr>
        <w:t>禁伐補償，經</w:t>
      </w:r>
      <w:r>
        <w:rPr>
          <w:rFonts w:hAnsi="標楷體"/>
          <w:color w:val="000000" w:themeColor="text1"/>
        </w:rPr>
        <w:t>鄉（鎮、市、區）公所</w:t>
      </w:r>
      <w:r>
        <w:rPr>
          <w:rFonts w:hAnsi="標楷體" w:hint="eastAsia"/>
          <w:color w:val="000000" w:themeColor="text1"/>
        </w:rPr>
        <w:t>受理並</w:t>
      </w:r>
      <w:r>
        <w:rPr>
          <w:rFonts w:hint="eastAsia"/>
          <w:color w:val="000000" w:themeColor="text1"/>
        </w:rPr>
        <w:t>初審通過後，轉請</w:t>
      </w:r>
      <w:r>
        <w:rPr>
          <w:rFonts w:hAnsi="標楷體"/>
          <w:color w:val="000000" w:themeColor="text1"/>
        </w:rPr>
        <w:t>直轄市、縣（市）政府</w:t>
      </w:r>
      <w:r>
        <w:rPr>
          <w:rFonts w:hint="eastAsia"/>
          <w:color w:val="000000" w:themeColor="text1"/>
        </w:rPr>
        <w:t>辦理勘查作業，經確認符合上開規定</w:t>
      </w:r>
      <w:r>
        <w:rPr>
          <w:rFonts w:hAnsi="標楷體" w:hint="eastAsia"/>
          <w:color w:val="000000" w:themeColor="text1"/>
        </w:rPr>
        <w:t>核准後，核發</w:t>
      </w:r>
      <w:r>
        <w:rPr>
          <w:rFonts w:hint="eastAsia"/>
          <w:color w:val="000000" w:themeColor="text1"/>
        </w:rPr>
        <w:t>禁伐補償金。</w:t>
      </w:r>
    </w:p>
    <w:p w14:paraId="1E6D2736" w14:textId="77777777" w:rsidR="00A375F2" w:rsidRDefault="00000000">
      <w:pPr>
        <w:pStyle w:val="3"/>
        <w:numPr>
          <w:ilvl w:val="2"/>
          <w:numId w:val="1"/>
        </w:numPr>
        <w:overflowPunct w:val="0"/>
        <w:spacing w:line="460" w:lineRule="exact"/>
        <w:ind w:left="1360" w:hanging="680"/>
        <w:rPr>
          <w:rFonts w:hAnsi="標楷體"/>
          <w:color w:val="000000" w:themeColor="text1"/>
          <w:szCs w:val="32"/>
        </w:rPr>
      </w:pPr>
      <w:r>
        <w:rPr>
          <w:rFonts w:hAnsi="標楷體" w:hint="eastAsia"/>
          <w:color w:val="000000" w:themeColor="text1"/>
        </w:rPr>
        <w:t>據審計部查核發現，竟然有受領人已經死亡，而仍以其名義申請</w:t>
      </w:r>
      <w:r>
        <w:rPr>
          <w:rFonts w:hint="eastAsia"/>
          <w:color w:val="000000" w:themeColor="text1"/>
        </w:rPr>
        <w:t>禁伐補償金</w:t>
      </w:r>
      <w:r>
        <w:rPr>
          <w:rFonts w:hAnsi="標楷體" w:hint="eastAsia"/>
          <w:color w:val="000000" w:themeColor="text1"/>
        </w:rPr>
        <w:t>之案例，計有屏東縣牡丹鄉公所與瑪家鄉公所，以及臺東縣海端鄉公所與達仁鄉公所，合計達19筆，受領人死亡日期分別介於102年至109年間，而仍以其名義申請並獲核發1</w:t>
      </w:r>
      <w:r>
        <w:rPr>
          <w:rFonts w:hAnsi="標楷體"/>
          <w:color w:val="000000" w:themeColor="text1"/>
        </w:rPr>
        <w:t>09</w:t>
      </w:r>
      <w:r>
        <w:rPr>
          <w:rFonts w:hAnsi="標楷體" w:hint="eastAsia"/>
          <w:color w:val="000000" w:themeColor="text1"/>
        </w:rPr>
        <w:t>年至1</w:t>
      </w:r>
      <w:r>
        <w:rPr>
          <w:rFonts w:hAnsi="標楷體"/>
          <w:color w:val="000000" w:themeColor="text1"/>
        </w:rPr>
        <w:t>12</w:t>
      </w:r>
      <w:r>
        <w:rPr>
          <w:rFonts w:hAnsi="標楷體" w:hint="eastAsia"/>
          <w:color w:val="000000" w:themeColor="text1"/>
        </w:rPr>
        <w:t>年之禁伐補償金，其中109年核發新臺幣（下同）4</w:t>
      </w:r>
      <w:r>
        <w:rPr>
          <w:rFonts w:hAnsi="標楷體"/>
          <w:color w:val="000000" w:themeColor="text1"/>
        </w:rPr>
        <w:t>5,222</w:t>
      </w:r>
      <w:r>
        <w:rPr>
          <w:rFonts w:hAnsi="標楷體" w:hint="eastAsia"/>
          <w:color w:val="000000" w:themeColor="text1"/>
        </w:rPr>
        <w:t>元、1</w:t>
      </w:r>
      <w:r>
        <w:rPr>
          <w:rFonts w:hAnsi="標楷體"/>
          <w:color w:val="000000" w:themeColor="text1"/>
        </w:rPr>
        <w:t>1</w:t>
      </w:r>
      <w:r>
        <w:rPr>
          <w:rFonts w:hAnsi="標楷體" w:hint="eastAsia"/>
          <w:color w:val="000000" w:themeColor="text1"/>
        </w:rPr>
        <w:t>0年核發808</w:t>
      </w:r>
      <w:r>
        <w:rPr>
          <w:rFonts w:hAnsi="標楷體"/>
          <w:color w:val="000000" w:themeColor="text1"/>
        </w:rPr>
        <w:t>,</w:t>
      </w:r>
      <w:r>
        <w:rPr>
          <w:rFonts w:hAnsi="標楷體" w:hint="eastAsia"/>
          <w:color w:val="000000" w:themeColor="text1"/>
        </w:rPr>
        <w:t>536元、111年核發</w:t>
      </w:r>
      <w:r>
        <w:rPr>
          <w:rFonts w:hAnsi="標楷體"/>
          <w:color w:val="000000" w:themeColor="text1"/>
        </w:rPr>
        <w:t>83,619</w:t>
      </w:r>
      <w:r>
        <w:rPr>
          <w:rFonts w:hAnsi="標楷體" w:hint="eastAsia"/>
          <w:color w:val="000000" w:themeColor="text1"/>
        </w:rPr>
        <w:t>元、112年核發4</w:t>
      </w:r>
      <w:r>
        <w:rPr>
          <w:rFonts w:hAnsi="標楷體"/>
          <w:color w:val="000000" w:themeColor="text1"/>
        </w:rPr>
        <w:t>5,222</w:t>
      </w:r>
      <w:r>
        <w:rPr>
          <w:rFonts w:hAnsi="標楷體" w:hint="eastAsia"/>
          <w:color w:val="000000" w:themeColor="text1"/>
        </w:rPr>
        <w:t>元，合計核發982,599元。本院調查時，依</w:t>
      </w:r>
      <w:r>
        <w:rPr>
          <w:rFonts w:hAnsi="標楷體" w:hint="eastAsia"/>
          <w:color w:val="000000" w:themeColor="text1"/>
          <w:szCs w:val="32"/>
        </w:rPr>
        <w:t>臺東縣政府提供之</w:t>
      </w:r>
      <w:r>
        <w:rPr>
          <w:rFonts w:hint="eastAsia"/>
          <w:color w:val="000000" w:themeColor="text1"/>
        </w:rPr>
        <w:t>禁伐補償金案件</w:t>
      </w:r>
      <w:r>
        <w:rPr>
          <w:rFonts w:hAnsi="標楷體" w:hint="eastAsia"/>
          <w:color w:val="000000" w:themeColor="text1"/>
          <w:szCs w:val="32"/>
        </w:rPr>
        <w:t>申請人於申請前已死亡之案件明細資料顯示，1</w:t>
      </w:r>
      <w:r>
        <w:rPr>
          <w:rFonts w:hAnsi="標楷體"/>
          <w:color w:val="000000" w:themeColor="text1"/>
          <w:szCs w:val="32"/>
        </w:rPr>
        <w:t>10</w:t>
      </w:r>
      <w:r>
        <w:rPr>
          <w:rFonts w:hAnsi="標楷體" w:hint="eastAsia"/>
          <w:color w:val="000000" w:themeColor="text1"/>
          <w:szCs w:val="32"/>
        </w:rPr>
        <w:t>年計1</w:t>
      </w:r>
      <w:r>
        <w:rPr>
          <w:rFonts w:hAnsi="標楷體"/>
          <w:color w:val="000000" w:themeColor="text1"/>
          <w:szCs w:val="32"/>
        </w:rPr>
        <w:t>7</w:t>
      </w:r>
      <w:r>
        <w:rPr>
          <w:rFonts w:hAnsi="標楷體" w:hint="eastAsia"/>
          <w:color w:val="000000" w:themeColor="text1"/>
          <w:szCs w:val="32"/>
        </w:rPr>
        <w:t>筆、1</w:t>
      </w:r>
      <w:r>
        <w:rPr>
          <w:rFonts w:hAnsi="標楷體"/>
          <w:color w:val="000000" w:themeColor="text1"/>
          <w:szCs w:val="32"/>
        </w:rPr>
        <w:t>11</w:t>
      </w:r>
      <w:r>
        <w:rPr>
          <w:rFonts w:hAnsi="標楷體" w:hint="eastAsia"/>
          <w:color w:val="000000" w:themeColor="text1"/>
          <w:szCs w:val="32"/>
        </w:rPr>
        <w:t>年計2筆，其1</w:t>
      </w:r>
      <w:r>
        <w:rPr>
          <w:rFonts w:hAnsi="標楷體"/>
          <w:color w:val="000000" w:themeColor="text1"/>
          <w:szCs w:val="32"/>
        </w:rPr>
        <w:t>10</w:t>
      </w:r>
      <w:r>
        <w:rPr>
          <w:rFonts w:hAnsi="標楷體" w:hint="eastAsia"/>
          <w:color w:val="000000" w:themeColor="text1"/>
          <w:szCs w:val="32"/>
        </w:rPr>
        <w:t>年筆數較審計部查核時發現之1</w:t>
      </w:r>
      <w:r>
        <w:rPr>
          <w:rFonts w:hAnsi="標楷體"/>
          <w:color w:val="000000" w:themeColor="text1"/>
          <w:szCs w:val="32"/>
        </w:rPr>
        <w:t>3</w:t>
      </w:r>
      <w:r>
        <w:rPr>
          <w:rFonts w:hAnsi="標楷體" w:hint="eastAsia"/>
          <w:color w:val="000000" w:themeColor="text1"/>
          <w:szCs w:val="32"/>
        </w:rPr>
        <w:t>筆，清查後再增加達仁鄉計4筆，</w:t>
      </w:r>
      <w:r>
        <w:rPr>
          <w:rFonts w:hAnsi="標楷體" w:hint="eastAsia"/>
          <w:color w:val="000000" w:themeColor="text1"/>
        </w:rPr>
        <w:t>核發</w:t>
      </w:r>
      <w:r>
        <w:rPr>
          <w:rFonts w:hAnsi="標楷體" w:hint="eastAsia"/>
          <w:color w:val="000000" w:themeColor="text1"/>
          <w:szCs w:val="32"/>
        </w:rPr>
        <w:t>2</w:t>
      </w:r>
      <w:r>
        <w:rPr>
          <w:rFonts w:hAnsi="標楷體"/>
          <w:color w:val="000000" w:themeColor="text1"/>
          <w:szCs w:val="32"/>
        </w:rPr>
        <w:t>08,179</w:t>
      </w:r>
      <w:r>
        <w:rPr>
          <w:rFonts w:hAnsi="標楷體" w:hint="eastAsia"/>
          <w:color w:val="000000" w:themeColor="text1"/>
          <w:szCs w:val="32"/>
        </w:rPr>
        <w:t>元；另依新竹縣政府接受本院詢問時提供之資料，亦有申請人於申請前已死亡之案件，</w:t>
      </w:r>
      <w:r>
        <w:rPr>
          <w:rFonts w:hAnsi="標楷體" w:hint="eastAsia"/>
          <w:color w:val="000000" w:themeColor="text1"/>
        </w:rPr>
        <w:t>1</w:t>
      </w:r>
      <w:r>
        <w:rPr>
          <w:rFonts w:hAnsi="標楷體"/>
          <w:color w:val="000000" w:themeColor="text1"/>
        </w:rPr>
        <w:t>1</w:t>
      </w:r>
      <w:r>
        <w:rPr>
          <w:rFonts w:hAnsi="標楷體" w:hint="eastAsia"/>
          <w:color w:val="000000" w:themeColor="text1"/>
        </w:rPr>
        <w:t>0年五峰鄉計1筆</w:t>
      </w:r>
      <w:r>
        <w:rPr>
          <w:rFonts w:hAnsi="標楷體" w:hint="eastAsia"/>
          <w:color w:val="000000" w:themeColor="text1"/>
          <w:szCs w:val="32"/>
        </w:rPr>
        <w:t>，</w:t>
      </w:r>
      <w:r>
        <w:rPr>
          <w:rFonts w:hAnsi="標楷體" w:hint="eastAsia"/>
          <w:color w:val="000000" w:themeColor="text1"/>
        </w:rPr>
        <w:t>核發7</w:t>
      </w:r>
      <w:r>
        <w:rPr>
          <w:rFonts w:hAnsi="標楷體"/>
          <w:color w:val="000000" w:themeColor="text1"/>
        </w:rPr>
        <w:t>4</w:t>
      </w:r>
      <w:r>
        <w:rPr>
          <w:rFonts w:hAnsi="標楷體"/>
          <w:color w:val="000000" w:themeColor="text1"/>
          <w:szCs w:val="32"/>
        </w:rPr>
        <w:t>,250</w:t>
      </w:r>
      <w:r>
        <w:rPr>
          <w:rFonts w:hAnsi="標楷體" w:hint="eastAsia"/>
          <w:color w:val="000000" w:themeColor="text1"/>
          <w:szCs w:val="32"/>
        </w:rPr>
        <w:t>元</w:t>
      </w:r>
      <w:r>
        <w:rPr>
          <w:rFonts w:hAnsi="標楷體" w:hint="eastAsia"/>
          <w:color w:val="000000" w:themeColor="text1"/>
        </w:rPr>
        <w:t>、111年五峰鄉計3筆</w:t>
      </w:r>
      <w:r>
        <w:rPr>
          <w:rFonts w:hAnsi="標楷體" w:hint="eastAsia"/>
          <w:color w:val="000000" w:themeColor="text1"/>
          <w:szCs w:val="32"/>
        </w:rPr>
        <w:t>，</w:t>
      </w:r>
      <w:r>
        <w:rPr>
          <w:rFonts w:hAnsi="標楷體" w:hint="eastAsia"/>
          <w:color w:val="000000" w:themeColor="text1"/>
        </w:rPr>
        <w:t>核發1</w:t>
      </w:r>
      <w:r>
        <w:rPr>
          <w:rFonts w:hAnsi="標楷體"/>
          <w:color w:val="000000" w:themeColor="text1"/>
        </w:rPr>
        <w:t>43</w:t>
      </w:r>
      <w:r>
        <w:rPr>
          <w:rFonts w:hAnsi="標楷體"/>
          <w:color w:val="000000" w:themeColor="text1"/>
          <w:szCs w:val="32"/>
        </w:rPr>
        <w:t>,841</w:t>
      </w:r>
      <w:r>
        <w:rPr>
          <w:rFonts w:hAnsi="標楷體" w:hint="eastAsia"/>
          <w:color w:val="000000" w:themeColor="text1"/>
          <w:szCs w:val="32"/>
        </w:rPr>
        <w:t>元</w:t>
      </w:r>
      <w:r>
        <w:rPr>
          <w:rFonts w:hAnsi="標楷體" w:hint="eastAsia"/>
          <w:color w:val="000000" w:themeColor="text1"/>
        </w:rPr>
        <w:t>、112年五峰鄉計1</w:t>
      </w:r>
      <w:r>
        <w:rPr>
          <w:rFonts w:hAnsi="標楷體"/>
          <w:color w:val="000000" w:themeColor="text1"/>
        </w:rPr>
        <w:t>0</w:t>
      </w:r>
      <w:r>
        <w:rPr>
          <w:rFonts w:hAnsi="標楷體" w:hint="eastAsia"/>
          <w:color w:val="000000" w:themeColor="text1"/>
        </w:rPr>
        <w:t>筆</w:t>
      </w:r>
      <w:r>
        <w:rPr>
          <w:rFonts w:hAnsi="標楷體" w:hint="eastAsia"/>
          <w:color w:val="000000" w:themeColor="text1"/>
          <w:szCs w:val="32"/>
        </w:rPr>
        <w:t>，</w:t>
      </w:r>
      <w:r>
        <w:rPr>
          <w:rFonts w:hAnsi="標楷體" w:hint="eastAsia"/>
          <w:color w:val="000000" w:themeColor="text1"/>
        </w:rPr>
        <w:t>核發</w:t>
      </w:r>
      <w:r>
        <w:rPr>
          <w:rFonts w:hAnsi="標楷體" w:hint="eastAsia"/>
          <w:color w:val="000000" w:themeColor="text1"/>
          <w:szCs w:val="32"/>
        </w:rPr>
        <w:t>2</w:t>
      </w:r>
      <w:r>
        <w:rPr>
          <w:rFonts w:hAnsi="標楷體"/>
          <w:color w:val="000000" w:themeColor="text1"/>
          <w:szCs w:val="32"/>
        </w:rPr>
        <w:t>59,092</w:t>
      </w:r>
      <w:r>
        <w:rPr>
          <w:rFonts w:hAnsi="標楷體" w:hint="eastAsia"/>
          <w:color w:val="000000" w:themeColor="text1"/>
          <w:szCs w:val="32"/>
        </w:rPr>
        <w:t>元以及</w:t>
      </w:r>
      <w:r>
        <w:rPr>
          <w:rFonts w:hAnsi="標楷體" w:hint="eastAsia"/>
          <w:color w:val="000000" w:themeColor="text1"/>
        </w:rPr>
        <w:t>尖石鄉計2</w:t>
      </w:r>
      <w:r>
        <w:rPr>
          <w:rFonts w:hAnsi="標楷體"/>
          <w:color w:val="000000" w:themeColor="text1"/>
        </w:rPr>
        <w:t>4</w:t>
      </w:r>
      <w:r>
        <w:rPr>
          <w:rFonts w:hAnsi="標楷體" w:hint="eastAsia"/>
          <w:color w:val="000000" w:themeColor="text1"/>
        </w:rPr>
        <w:t>筆</w:t>
      </w:r>
      <w:r>
        <w:rPr>
          <w:rFonts w:hAnsi="標楷體" w:hint="eastAsia"/>
          <w:color w:val="000000" w:themeColor="text1"/>
          <w:szCs w:val="32"/>
        </w:rPr>
        <w:t>，</w:t>
      </w:r>
      <w:r>
        <w:rPr>
          <w:rFonts w:hAnsi="標楷體" w:hint="eastAsia"/>
          <w:color w:val="000000" w:themeColor="text1"/>
        </w:rPr>
        <w:t>核發1</w:t>
      </w:r>
      <w:r>
        <w:rPr>
          <w:rFonts w:hAnsi="標楷體"/>
          <w:color w:val="000000" w:themeColor="text1"/>
        </w:rPr>
        <w:t>67</w:t>
      </w:r>
      <w:r>
        <w:rPr>
          <w:rFonts w:hAnsi="標楷體"/>
          <w:color w:val="000000" w:themeColor="text1"/>
          <w:szCs w:val="32"/>
        </w:rPr>
        <w:t>,616</w:t>
      </w:r>
      <w:r>
        <w:rPr>
          <w:rFonts w:hAnsi="標楷體" w:hint="eastAsia"/>
          <w:color w:val="000000" w:themeColor="text1"/>
          <w:szCs w:val="32"/>
        </w:rPr>
        <w:t>元</w:t>
      </w:r>
      <w:r>
        <w:rPr>
          <w:rFonts w:hAnsi="標楷體" w:hint="eastAsia"/>
          <w:color w:val="000000" w:themeColor="text1"/>
        </w:rPr>
        <w:t>，合計6</w:t>
      </w:r>
      <w:r>
        <w:rPr>
          <w:rFonts w:hAnsi="標楷體"/>
          <w:color w:val="000000" w:themeColor="text1"/>
        </w:rPr>
        <w:t>44</w:t>
      </w:r>
      <w:r>
        <w:rPr>
          <w:rFonts w:hAnsi="標楷體" w:hint="eastAsia"/>
          <w:color w:val="000000" w:themeColor="text1"/>
        </w:rPr>
        <w:t>,</w:t>
      </w:r>
      <w:r>
        <w:rPr>
          <w:rFonts w:hAnsi="標楷體"/>
          <w:color w:val="000000" w:themeColor="text1"/>
        </w:rPr>
        <w:t>7</w:t>
      </w:r>
      <w:r>
        <w:rPr>
          <w:rFonts w:hAnsi="標楷體" w:hint="eastAsia"/>
          <w:color w:val="000000" w:themeColor="text1"/>
        </w:rPr>
        <w:t>99元</w:t>
      </w:r>
      <w:r>
        <w:rPr>
          <w:rFonts w:hAnsi="標楷體" w:hint="eastAsia"/>
          <w:color w:val="000000" w:themeColor="text1"/>
          <w:szCs w:val="32"/>
        </w:rPr>
        <w:t>。</w:t>
      </w:r>
      <w:r>
        <w:rPr>
          <w:rFonts w:hAnsi="標楷體" w:hint="eastAsia"/>
          <w:color w:val="000000" w:themeColor="text1"/>
        </w:rPr>
        <w:t>受領人已</w:t>
      </w:r>
      <w:r>
        <w:rPr>
          <w:rFonts w:hAnsi="標楷體" w:hint="eastAsia"/>
          <w:color w:val="000000" w:themeColor="text1"/>
        </w:rPr>
        <w:lastRenderedPageBreak/>
        <w:t>經死亡，以其名義申請</w:t>
      </w:r>
      <w:r>
        <w:rPr>
          <w:rFonts w:hint="eastAsia"/>
          <w:color w:val="000000" w:themeColor="text1"/>
        </w:rPr>
        <w:t>禁伐補償金，竟仍可順利通過受理機關</w:t>
      </w:r>
      <w:r>
        <w:rPr>
          <w:rFonts w:hAnsi="標楷體" w:hint="eastAsia"/>
          <w:color w:val="000000" w:themeColor="text1"/>
        </w:rPr>
        <w:t>之審核作業，獲核發</w:t>
      </w:r>
      <w:r>
        <w:rPr>
          <w:rFonts w:hint="eastAsia"/>
          <w:color w:val="000000" w:themeColor="text1"/>
        </w:rPr>
        <w:t>禁伐補償金，</w:t>
      </w:r>
      <w:r>
        <w:rPr>
          <w:rFonts w:hAnsi="標楷體" w:hint="eastAsia"/>
          <w:color w:val="000000" w:themeColor="text1"/>
        </w:rPr>
        <w:t>相關作為，縱或有基於照顧族人權益考量，然顯非適法，核有</w:t>
      </w:r>
      <w:r>
        <w:rPr>
          <w:rFonts w:hint="eastAsia"/>
          <w:color w:val="000000" w:themeColor="text1"/>
        </w:rPr>
        <w:t>未當。</w:t>
      </w:r>
    </w:p>
    <w:p w14:paraId="5C85F26C" w14:textId="77777777" w:rsidR="00A375F2" w:rsidRDefault="00000000">
      <w:pPr>
        <w:pStyle w:val="a3"/>
        <w:jc w:val="center"/>
        <w:rPr>
          <w:rFonts w:hAnsi="標楷體"/>
          <w:color w:val="000000" w:themeColor="text1"/>
          <w:szCs w:val="32"/>
        </w:rPr>
      </w:pPr>
      <w:r>
        <w:rPr>
          <w:rFonts w:hint="eastAsia"/>
          <w:b/>
          <w:color w:val="000000" w:themeColor="text1"/>
        </w:rPr>
        <w:t>110年度及其前後年度禁伐補償金受領人於申請前已死亡案件</w:t>
      </w:r>
    </w:p>
    <w:p w14:paraId="19B1EEBB" w14:textId="77777777" w:rsidR="00A375F2" w:rsidRDefault="00000000">
      <w:pPr>
        <w:overflowPunct w:val="0"/>
        <w:spacing w:line="300" w:lineRule="exact"/>
        <w:ind w:left="425" w:hangingChars="193" w:hanging="425"/>
        <w:jc w:val="right"/>
        <w:rPr>
          <w:rFonts w:hAnsi="標楷體"/>
          <w:color w:val="000000" w:themeColor="text1"/>
          <w:szCs w:val="32"/>
        </w:rPr>
      </w:pPr>
      <w:r>
        <w:rPr>
          <w:rFonts w:hAnsi="標楷體" w:hint="eastAsia"/>
          <w:color w:val="000000" w:themeColor="text1"/>
          <w:sz w:val="20"/>
        </w:rPr>
        <w:t>單位</w:t>
      </w:r>
      <w:r>
        <w:rPr>
          <w:rFonts w:hAnsi="標楷體"/>
          <w:color w:val="000000" w:themeColor="text1"/>
          <w:sz w:val="20"/>
        </w:rPr>
        <w:t>：</w:t>
      </w:r>
      <w:r>
        <w:rPr>
          <w:rFonts w:hAnsi="標楷體" w:hint="eastAsia"/>
          <w:color w:val="000000" w:themeColor="text1"/>
          <w:sz w:val="20"/>
        </w:rPr>
        <w:t>筆</w:t>
      </w:r>
      <w:r>
        <w:rPr>
          <w:rFonts w:ascii="新細明體" w:eastAsia="新細明體" w:hAnsi="新細明體" w:hint="eastAsia"/>
          <w:color w:val="000000" w:themeColor="text1"/>
          <w:sz w:val="20"/>
        </w:rPr>
        <w:t>、</w:t>
      </w:r>
      <w:r>
        <w:rPr>
          <w:rFonts w:hAnsi="標楷體"/>
          <w:color w:val="000000" w:themeColor="text1"/>
          <w:sz w:val="20"/>
        </w:rPr>
        <w:t>元</w:t>
      </w:r>
    </w:p>
    <w:tbl>
      <w:tblPr>
        <w:tblStyle w:val="afb"/>
        <w:tblW w:w="0" w:type="auto"/>
        <w:tblLook w:val="04A0" w:firstRow="1" w:lastRow="0" w:firstColumn="1" w:lastColumn="0" w:noHBand="0" w:noVBand="1"/>
      </w:tblPr>
      <w:tblGrid>
        <w:gridCol w:w="1202"/>
        <w:gridCol w:w="1202"/>
        <w:gridCol w:w="1387"/>
        <w:gridCol w:w="1202"/>
        <w:gridCol w:w="1252"/>
        <w:gridCol w:w="1202"/>
        <w:gridCol w:w="1387"/>
      </w:tblGrid>
      <w:tr w:rsidR="00A375F2" w14:paraId="785AC905" w14:textId="77777777">
        <w:trPr>
          <w:trHeight w:val="497"/>
        </w:trPr>
        <w:tc>
          <w:tcPr>
            <w:tcW w:w="1202" w:type="dxa"/>
            <w:vAlign w:val="center"/>
          </w:tcPr>
          <w:p w14:paraId="5A203913" w14:textId="77777777" w:rsidR="00A375F2" w:rsidRDefault="00000000">
            <w:pPr>
              <w:pStyle w:val="Web"/>
              <w:spacing w:before="0" w:beforeAutospacing="0" w:after="0" w:afterAutospacing="0"/>
              <w:jc w:val="center"/>
              <w:rPr>
                <w:rFonts w:ascii="Arial" w:hAnsi="Arial" w:cs="Arial"/>
                <w:color w:val="000000" w:themeColor="text1"/>
              </w:rPr>
            </w:pPr>
            <w:r>
              <w:rPr>
                <w:rFonts w:ascii="標楷體" w:eastAsia="標楷體" w:hAnsi="標楷體" w:cstheme="minorBidi" w:hint="eastAsia"/>
                <w:bCs/>
                <w:color w:val="000000" w:themeColor="text1"/>
                <w:kern w:val="24"/>
              </w:rPr>
              <w:t>年度</w:t>
            </w:r>
          </w:p>
        </w:tc>
        <w:tc>
          <w:tcPr>
            <w:tcW w:w="2589" w:type="dxa"/>
            <w:gridSpan w:val="2"/>
            <w:vAlign w:val="center"/>
          </w:tcPr>
          <w:p w14:paraId="213A7023" w14:textId="77777777" w:rsidR="00A375F2" w:rsidRDefault="00000000">
            <w:pPr>
              <w:pStyle w:val="Web"/>
              <w:spacing w:before="0" w:beforeAutospacing="0" w:after="0" w:afterAutospacing="0"/>
              <w:jc w:val="center"/>
              <w:rPr>
                <w:rFonts w:ascii="Arial" w:hAnsi="Arial" w:cs="Arial"/>
                <w:color w:val="000000" w:themeColor="text1"/>
              </w:rPr>
            </w:pPr>
            <w:r>
              <w:rPr>
                <w:rFonts w:ascii="標楷體" w:eastAsia="標楷體" w:hAnsi="標楷體" w:cs="Arial" w:hint="eastAsia"/>
                <w:bCs/>
                <w:color w:val="000000" w:themeColor="text1"/>
                <w:kern w:val="24"/>
              </w:rPr>
              <w:t>110</w:t>
            </w:r>
          </w:p>
        </w:tc>
        <w:tc>
          <w:tcPr>
            <w:tcW w:w="2454" w:type="dxa"/>
            <w:gridSpan w:val="2"/>
            <w:vAlign w:val="center"/>
          </w:tcPr>
          <w:p w14:paraId="59ECA736" w14:textId="77777777" w:rsidR="00A375F2" w:rsidRDefault="00000000">
            <w:pPr>
              <w:pStyle w:val="Web"/>
              <w:spacing w:before="0" w:beforeAutospacing="0" w:after="0" w:afterAutospacing="0"/>
              <w:jc w:val="center"/>
              <w:rPr>
                <w:rFonts w:ascii="Arial" w:hAnsi="Arial" w:cs="Arial"/>
                <w:color w:val="000000" w:themeColor="text1"/>
              </w:rPr>
            </w:pPr>
            <w:r>
              <w:rPr>
                <w:rFonts w:ascii="標楷體" w:eastAsia="標楷體" w:hAnsi="標楷體" w:cs="Arial" w:hint="eastAsia"/>
                <w:bCs/>
                <w:color w:val="000000" w:themeColor="text1"/>
                <w:kern w:val="24"/>
              </w:rPr>
              <w:t>其他</w:t>
            </w:r>
          </w:p>
        </w:tc>
        <w:tc>
          <w:tcPr>
            <w:tcW w:w="2589" w:type="dxa"/>
            <w:gridSpan w:val="2"/>
            <w:vAlign w:val="center"/>
          </w:tcPr>
          <w:p w14:paraId="66D79ACE" w14:textId="77777777" w:rsidR="00A375F2" w:rsidRDefault="00000000">
            <w:pPr>
              <w:pStyle w:val="Web"/>
              <w:spacing w:before="0" w:beforeAutospacing="0" w:after="0" w:afterAutospacing="0"/>
              <w:jc w:val="center"/>
              <w:rPr>
                <w:rFonts w:ascii="Arial" w:hAnsi="Arial" w:cs="Arial"/>
                <w:color w:val="000000" w:themeColor="text1"/>
              </w:rPr>
            </w:pPr>
            <w:r>
              <w:rPr>
                <w:rFonts w:ascii="標楷體" w:eastAsia="標楷體" w:hAnsi="標楷體" w:cs="Arial" w:hint="eastAsia"/>
                <w:bCs/>
                <w:color w:val="000000" w:themeColor="text1"/>
                <w:kern w:val="24"/>
              </w:rPr>
              <w:t>合計</w:t>
            </w:r>
          </w:p>
        </w:tc>
      </w:tr>
      <w:tr w:rsidR="00A375F2" w14:paraId="7B850E3C" w14:textId="77777777">
        <w:trPr>
          <w:trHeight w:val="419"/>
        </w:trPr>
        <w:tc>
          <w:tcPr>
            <w:tcW w:w="1202" w:type="dxa"/>
            <w:vAlign w:val="center"/>
          </w:tcPr>
          <w:p w14:paraId="4DDEAC24" w14:textId="77777777" w:rsidR="00A375F2" w:rsidRDefault="00000000">
            <w:pPr>
              <w:pStyle w:val="Web"/>
              <w:spacing w:before="0" w:beforeAutospacing="0" w:after="0" w:afterAutospacing="0"/>
              <w:ind w:leftChars="-32" w:left="-109" w:rightChars="-52" w:right="-177"/>
              <w:jc w:val="center"/>
              <w:rPr>
                <w:rFonts w:ascii="Arial" w:hAnsi="Arial" w:cs="Arial"/>
                <w:color w:val="000000" w:themeColor="text1"/>
              </w:rPr>
            </w:pPr>
            <w:r>
              <w:rPr>
                <w:rFonts w:ascii="標楷體" w:eastAsia="標楷體" w:hAnsi="標楷體" w:cs="Arial" w:hint="eastAsia"/>
                <w:bCs/>
                <w:color w:val="000000" w:themeColor="text1"/>
                <w:kern w:val="24"/>
              </w:rPr>
              <w:t>地方政府</w:t>
            </w:r>
          </w:p>
        </w:tc>
        <w:tc>
          <w:tcPr>
            <w:tcW w:w="1202" w:type="dxa"/>
            <w:vAlign w:val="center"/>
          </w:tcPr>
          <w:p w14:paraId="727ECD7F" w14:textId="77777777" w:rsidR="00A375F2" w:rsidRDefault="00000000">
            <w:pPr>
              <w:pStyle w:val="Web"/>
              <w:spacing w:before="0" w:beforeAutospacing="0" w:after="0" w:afterAutospacing="0"/>
              <w:jc w:val="center"/>
              <w:rPr>
                <w:rFonts w:ascii="Arial" w:hAnsi="Arial" w:cs="Arial"/>
                <w:color w:val="000000" w:themeColor="text1"/>
              </w:rPr>
            </w:pPr>
            <w:r>
              <w:rPr>
                <w:rFonts w:ascii="標楷體" w:eastAsia="標楷體" w:hAnsi="標楷體" w:cs="Arial" w:hint="eastAsia"/>
                <w:bCs/>
                <w:color w:val="000000" w:themeColor="text1"/>
                <w:kern w:val="24"/>
              </w:rPr>
              <w:t>筆數</w:t>
            </w:r>
          </w:p>
        </w:tc>
        <w:tc>
          <w:tcPr>
            <w:tcW w:w="1387" w:type="dxa"/>
            <w:vAlign w:val="center"/>
          </w:tcPr>
          <w:p w14:paraId="059E7AF9" w14:textId="77777777" w:rsidR="00A375F2" w:rsidRDefault="00000000">
            <w:pPr>
              <w:pStyle w:val="Web"/>
              <w:spacing w:before="0" w:beforeAutospacing="0" w:after="0" w:afterAutospacing="0"/>
              <w:jc w:val="center"/>
              <w:rPr>
                <w:rFonts w:ascii="Arial" w:hAnsi="Arial" w:cs="Arial"/>
                <w:color w:val="000000" w:themeColor="text1"/>
              </w:rPr>
            </w:pPr>
            <w:r>
              <w:rPr>
                <w:rFonts w:ascii="標楷體" w:eastAsia="標楷體" w:hAnsi="標楷體" w:cs="Arial" w:hint="eastAsia"/>
                <w:bCs/>
                <w:color w:val="000000" w:themeColor="text1"/>
                <w:kern w:val="24"/>
              </w:rPr>
              <w:t>金額</w:t>
            </w:r>
          </w:p>
        </w:tc>
        <w:tc>
          <w:tcPr>
            <w:tcW w:w="1202" w:type="dxa"/>
            <w:vAlign w:val="center"/>
          </w:tcPr>
          <w:p w14:paraId="2BE0636C" w14:textId="77777777" w:rsidR="00A375F2" w:rsidRDefault="00000000">
            <w:pPr>
              <w:pStyle w:val="Web"/>
              <w:spacing w:before="0" w:beforeAutospacing="0" w:after="0" w:afterAutospacing="0"/>
              <w:jc w:val="center"/>
              <w:rPr>
                <w:rFonts w:ascii="Arial" w:hAnsi="Arial" w:cs="Arial"/>
                <w:color w:val="000000" w:themeColor="text1"/>
              </w:rPr>
            </w:pPr>
            <w:r>
              <w:rPr>
                <w:rFonts w:ascii="標楷體" w:eastAsia="標楷體" w:hAnsi="標楷體" w:cs="Arial" w:hint="eastAsia"/>
                <w:bCs/>
                <w:color w:val="000000" w:themeColor="text1"/>
                <w:kern w:val="24"/>
              </w:rPr>
              <w:t>筆數</w:t>
            </w:r>
          </w:p>
        </w:tc>
        <w:tc>
          <w:tcPr>
            <w:tcW w:w="1252" w:type="dxa"/>
            <w:vAlign w:val="center"/>
          </w:tcPr>
          <w:p w14:paraId="5A52EC37" w14:textId="77777777" w:rsidR="00A375F2" w:rsidRDefault="00000000">
            <w:pPr>
              <w:pStyle w:val="Web"/>
              <w:spacing w:before="0" w:beforeAutospacing="0" w:after="0" w:afterAutospacing="0"/>
              <w:jc w:val="center"/>
              <w:rPr>
                <w:rFonts w:ascii="Arial" w:hAnsi="Arial" w:cs="Arial"/>
                <w:color w:val="000000" w:themeColor="text1"/>
              </w:rPr>
            </w:pPr>
            <w:r>
              <w:rPr>
                <w:rFonts w:ascii="標楷體" w:eastAsia="標楷體" w:hAnsi="標楷體" w:cs="Arial" w:hint="eastAsia"/>
                <w:bCs/>
                <w:color w:val="000000" w:themeColor="text1"/>
                <w:kern w:val="24"/>
              </w:rPr>
              <w:t>金額</w:t>
            </w:r>
          </w:p>
        </w:tc>
        <w:tc>
          <w:tcPr>
            <w:tcW w:w="1202" w:type="dxa"/>
            <w:vAlign w:val="center"/>
          </w:tcPr>
          <w:p w14:paraId="3A3CECD9" w14:textId="77777777" w:rsidR="00A375F2" w:rsidRDefault="00000000">
            <w:pPr>
              <w:pStyle w:val="Web"/>
              <w:spacing w:before="0" w:beforeAutospacing="0" w:after="0" w:afterAutospacing="0"/>
              <w:jc w:val="center"/>
              <w:rPr>
                <w:rFonts w:ascii="Arial" w:hAnsi="Arial" w:cs="Arial"/>
                <w:color w:val="000000" w:themeColor="text1"/>
              </w:rPr>
            </w:pPr>
            <w:r>
              <w:rPr>
                <w:rFonts w:ascii="標楷體" w:eastAsia="標楷體" w:hAnsi="標楷體" w:cs="Arial" w:hint="eastAsia"/>
                <w:bCs/>
                <w:color w:val="000000" w:themeColor="text1"/>
                <w:kern w:val="24"/>
              </w:rPr>
              <w:t>筆數</w:t>
            </w:r>
          </w:p>
        </w:tc>
        <w:tc>
          <w:tcPr>
            <w:tcW w:w="1387" w:type="dxa"/>
            <w:vAlign w:val="center"/>
          </w:tcPr>
          <w:p w14:paraId="4E5705C4" w14:textId="77777777" w:rsidR="00A375F2" w:rsidRDefault="00000000">
            <w:pPr>
              <w:pStyle w:val="Web"/>
              <w:spacing w:before="0" w:beforeAutospacing="0" w:after="0" w:afterAutospacing="0"/>
              <w:jc w:val="center"/>
              <w:rPr>
                <w:rFonts w:ascii="Arial" w:hAnsi="Arial" w:cs="Arial"/>
                <w:color w:val="000000" w:themeColor="text1"/>
              </w:rPr>
            </w:pPr>
            <w:r>
              <w:rPr>
                <w:rFonts w:ascii="標楷體" w:eastAsia="標楷體" w:hAnsi="標楷體" w:cs="Arial" w:hint="eastAsia"/>
                <w:bCs/>
                <w:color w:val="000000" w:themeColor="text1"/>
                <w:kern w:val="24"/>
              </w:rPr>
              <w:t>金額</w:t>
            </w:r>
          </w:p>
        </w:tc>
      </w:tr>
      <w:tr w:rsidR="00A375F2" w14:paraId="7A7E2254" w14:textId="77777777">
        <w:trPr>
          <w:trHeight w:val="425"/>
        </w:trPr>
        <w:tc>
          <w:tcPr>
            <w:tcW w:w="1202" w:type="dxa"/>
            <w:vAlign w:val="center"/>
          </w:tcPr>
          <w:p w14:paraId="3A80126D" w14:textId="77777777" w:rsidR="00A375F2" w:rsidRDefault="00000000">
            <w:pPr>
              <w:pStyle w:val="Web"/>
              <w:spacing w:before="0" w:beforeAutospacing="0" w:after="0" w:afterAutospacing="0"/>
              <w:jc w:val="center"/>
              <w:textAlignment w:val="center"/>
              <w:rPr>
                <w:rFonts w:ascii="Arial" w:hAnsi="Arial" w:cs="Arial"/>
                <w:color w:val="000000" w:themeColor="text1"/>
              </w:rPr>
            </w:pPr>
            <w:r>
              <w:rPr>
                <w:rFonts w:ascii="標楷體" w:eastAsia="標楷體" w:hAnsi="標楷體" w:cs="Arial" w:hint="eastAsia"/>
                <w:bCs/>
                <w:color w:val="000000" w:themeColor="text1"/>
                <w:kern w:val="24"/>
              </w:rPr>
              <w:t>屏東縣</w:t>
            </w:r>
          </w:p>
        </w:tc>
        <w:tc>
          <w:tcPr>
            <w:tcW w:w="1202" w:type="dxa"/>
            <w:vAlign w:val="center"/>
          </w:tcPr>
          <w:p w14:paraId="5E4FB889" w14:textId="77777777" w:rsidR="00A375F2" w:rsidRDefault="00000000">
            <w:pPr>
              <w:pStyle w:val="Web"/>
              <w:spacing w:before="0" w:beforeAutospacing="0" w:after="0" w:afterAutospacing="0"/>
              <w:ind w:rightChars="100" w:right="34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  6 </w:t>
            </w:r>
          </w:p>
        </w:tc>
        <w:tc>
          <w:tcPr>
            <w:tcW w:w="1387" w:type="dxa"/>
            <w:vAlign w:val="center"/>
          </w:tcPr>
          <w:p w14:paraId="336750EA" w14:textId="77777777" w:rsidR="00A375F2" w:rsidRDefault="00000000">
            <w:pPr>
              <w:pStyle w:val="Web"/>
              <w:spacing w:before="0" w:beforeAutospacing="0" w:after="0" w:afterAutospacing="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  67,092 </w:t>
            </w:r>
          </w:p>
        </w:tc>
        <w:tc>
          <w:tcPr>
            <w:tcW w:w="1202" w:type="dxa"/>
            <w:vAlign w:val="center"/>
          </w:tcPr>
          <w:p w14:paraId="1D97DF20" w14:textId="77777777" w:rsidR="00A375F2" w:rsidRDefault="00000000">
            <w:pPr>
              <w:pStyle w:val="Web"/>
              <w:spacing w:before="0" w:beforeAutospacing="0" w:after="0" w:afterAutospacing="0"/>
              <w:ind w:rightChars="100" w:right="34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12</w:t>
            </w:r>
          </w:p>
        </w:tc>
        <w:tc>
          <w:tcPr>
            <w:tcW w:w="1252" w:type="dxa"/>
            <w:vAlign w:val="center"/>
          </w:tcPr>
          <w:p w14:paraId="6657985A" w14:textId="77777777" w:rsidR="00A375F2" w:rsidRDefault="00000000">
            <w:pPr>
              <w:pStyle w:val="Web"/>
              <w:spacing w:before="0" w:beforeAutospacing="0" w:after="0" w:afterAutospacing="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135,666 </w:t>
            </w:r>
          </w:p>
        </w:tc>
        <w:tc>
          <w:tcPr>
            <w:tcW w:w="1202" w:type="dxa"/>
            <w:vAlign w:val="center"/>
          </w:tcPr>
          <w:p w14:paraId="497CAAB5" w14:textId="77777777" w:rsidR="00A375F2" w:rsidRDefault="00000000">
            <w:pPr>
              <w:pStyle w:val="Web"/>
              <w:spacing w:before="0" w:beforeAutospacing="0" w:after="0" w:afterAutospacing="0"/>
              <w:ind w:rightChars="100" w:right="34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18 </w:t>
            </w:r>
          </w:p>
        </w:tc>
        <w:tc>
          <w:tcPr>
            <w:tcW w:w="1387" w:type="dxa"/>
            <w:vAlign w:val="center"/>
          </w:tcPr>
          <w:p w14:paraId="4EADBED0" w14:textId="77777777" w:rsidR="00A375F2" w:rsidRDefault="00000000">
            <w:pPr>
              <w:pStyle w:val="Web"/>
              <w:spacing w:before="0" w:beforeAutospacing="0" w:after="0" w:afterAutospacing="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 202,758 </w:t>
            </w:r>
          </w:p>
        </w:tc>
      </w:tr>
      <w:tr w:rsidR="00A375F2" w14:paraId="5FC88656" w14:textId="77777777">
        <w:trPr>
          <w:trHeight w:val="403"/>
        </w:trPr>
        <w:tc>
          <w:tcPr>
            <w:tcW w:w="1202" w:type="dxa"/>
            <w:vAlign w:val="center"/>
          </w:tcPr>
          <w:p w14:paraId="53F7D884" w14:textId="77777777" w:rsidR="00A375F2" w:rsidRDefault="00000000">
            <w:pPr>
              <w:pStyle w:val="Web"/>
              <w:spacing w:before="0" w:beforeAutospacing="0" w:after="0" w:afterAutospacing="0"/>
              <w:jc w:val="center"/>
              <w:textAlignment w:val="center"/>
              <w:rPr>
                <w:rFonts w:ascii="Arial" w:hAnsi="Arial" w:cs="Arial"/>
                <w:color w:val="000000" w:themeColor="text1"/>
              </w:rPr>
            </w:pPr>
            <w:r>
              <w:rPr>
                <w:rFonts w:ascii="標楷體" w:eastAsia="標楷體" w:hAnsi="標楷體" w:cs="Arial" w:hint="eastAsia"/>
                <w:bCs/>
                <w:color w:val="000000" w:themeColor="text1"/>
                <w:kern w:val="24"/>
              </w:rPr>
              <w:t>臺東縣</w:t>
            </w:r>
          </w:p>
        </w:tc>
        <w:tc>
          <w:tcPr>
            <w:tcW w:w="1202" w:type="dxa"/>
            <w:vAlign w:val="center"/>
          </w:tcPr>
          <w:p w14:paraId="663A1E49" w14:textId="77777777" w:rsidR="00A375F2" w:rsidRDefault="00000000">
            <w:pPr>
              <w:pStyle w:val="Web"/>
              <w:spacing w:before="0" w:beforeAutospacing="0" w:after="0" w:afterAutospacing="0"/>
              <w:ind w:rightChars="100" w:right="34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17 </w:t>
            </w:r>
          </w:p>
        </w:tc>
        <w:tc>
          <w:tcPr>
            <w:tcW w:w="1387" w:type="dxa"/>
            <w:vAlign w:val="center"/>
          </w:tcPr>
          <w:p w14:paraId="5EA8CAA8" w14:textId="77777777" w:rsidR="00A375F2" w:rsidRDefault="00000000">
            <w:pPr>
              <w:pStyle w:val="Web"/>
              <w:spacing w:before="0" w:beforeAutospacing="0" w:after="0" w:afterAutospacing="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  49,623 </w:t>
            </w:r>
          </w:p>
        </w:tc>
        <w:tc>
          <w:tcPr>
            <w:tcW w:w="1202" w:type="dxa"/>
            <w:vAlign w:val="center"/>
          </w:tcPr>
          <w:p w14:paraId="0C737DB4" w14:textId="77777777" w:rsidR="00A375F2" w:rsidRDefault="00000000">
            <w:pPr>
              <w:pStyle w:val="Web"/>
              <w:spacing w:before="0" w:beforeAutospacing="0" w:after="0" w:afterAutospacing="0"/>
              <w:ind w:rightChars="100" w:right="34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  2</w:t>
            </w:r>
          </w:p>
        </w:tc>
        <w:tc>
          <w:tcPr>
            <w:tcW w:w="1252" w:type="dxa"/>
            <w:vAlign w:val="center"/>
          </w:tcPr>
          <w:p w14:paraId="45AA20BB" w14:textId="77777777" w:rsidR="00A375F2" w:rsidRDefault="00000000">
            <w:pPr>
              <w:pStyle w:val="Web"/>
              <w:spacing w:before="0" w:beforeAutospacing="0" w:after="0" w:afterAutospacing="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 38,397 </w:t>
            </w:r>
          </w:p>
        </w:tc>
        <w:tc>
          <w:tcPr>
            <w:tcW w:w="1202" w:type="dxa"/>
            <w:vAlign w:val="center"/>
          </w:tcPr>
          <w:p w14:paraId="2AB68492" w14:textId="77777777" w:rsidR="00A375F2" w:rsidRDefault="00000000">
            <w:pPr>
              <w:pStyle w:val="Web"/>
              <w:spacing w:before="0" w:beforeAutospacing="0" w:after="0" w:afterAutospacing="0"/>
              <w:ind w:rightChars="100" w:right="34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19 </w:t>
            </w:r>
          </w:p>
        </w:tc>
        <w:tc>
          <w:tcPr>
            <w:tcW w:w="1387" w:type="dxa"/>
            <w:vAlign w:val="center"/>
          </w:tcPr>
          <w:p w14:paraId="37089853" w14:textId="77777777" w:rsidR="00A375F2" w:rsidRDefault="00000000">
            <w:pPr>
              <w:pStyle w:val="Web"/>
              <w:spacing w:before="0" w:beforeAutospacing="0" w:after="0" w:afterAutospacing="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 988,020 </w:t>
            </w:r>
          </w:p>
        </w:tc>
      </w:tr>
      <w:tr w:rsidR="00A375F2" w14:paraId="0B6EFC88" w14:textId="77777777">
        <w:trPr>
          <w:trHeight w:val="423"/>
        </w:trPr>
        <w:tc>
          <w:tcPr>
            <w:tcW w:w="1202" w:type="dxa"/>
            <w:vAlign w:val="center"/>
          </w:tcPr>
          <w:p w14:paraId="2AD67772" w14:textId="77777777" w:rsidR="00A375F2" w:rsidRDefault="00000000">
            <w:pPr>
              <w:pStyle w:val="Web"/>
              <w:spacing w:before="0" w:beforeAutospacing="0" w:after="0" w:afterAutospacing="0"/>
              <w:jc w:val="center"/>
              <w:textAlignment w:val="center"/>
              <w:rPr>
                <w:rFonts w:ascii="Arial" w:hAnsi="Arial" w:cs="Arial"/>
                <w:color w:val="000000" w:themeColor="text1"/>
              </w:rPr>
            </w:pPr>
            <w:r>
              <w:rPr>
                <w:rFonts w:ascii="標楷體" w:eastAsia="標楷體" w:hAnsi="標楷體" w:cs="Arial" w:hint="eastAsia"/>
                <w:bCs/>
                <w:color w:val="000000" w:themeColor="text1"/>
                <w:kern w:val="24"/>
              </w:rPr>
              <w:t>新竹縣</w:t>
            </w:r>
          </w:p>
        </w:tc>
        <w:tc>
          <w:tcPr>
            <w:tcW w:w="1202" w:type="dxa"/>
            <w:vAlign w:val="center"/>
          </w:tcPr>
          <w:p w14:paraId="00B120F7" w14:textId="77777777" w:rsidR="00A375F2" w:rsidRDefault="00000000">
            <w:pPr>
              <w:pStyle w:val="Web"/>
              <w:spacing w:before="0" w:beforeAutospacing="0" w:after="0" w:afterAutospacing="0"/>
              <w:ind w:rightChars="100" w:right="34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  1 </w:t>
            </w:r>
          </w:p>
        </w:tc>
        <w:tc>
          <w:tcPr>
            <w:tcW w:w="1387" w:type="dxa"/>
            <w:vAlign w:val="center"/>
          </w:tcPr>
          <w:p w14:paraId="264A6153" w14:textId="77777777" w:rsidR="00A375F2" w:rsidRDefault="00000000">
            <w:pPr>
              <w:pStyle w:val="Web"/>
              <w:spacing w:before="0" w:beforeAutospacing="0" w:after="0" w:afterAutospacing="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  74,250 </w:t>
            </w:r>
          </w:p>
        </w:tc>
        <w:tc>
          <w:tcPr>
            <w:tcW w:w="1202" w:type="dxa"/>
            <w:vAlign w:val="center"/>
          </w:tcPr>
          <w:p w14:paraId="0E846C79" w14:textId="77777777" w:rsidR="00A375F2" w:rsidRDefault="00000000">
            <w:pPr>
              <w:pStyle w:val="Web"/>
              <w:spacing w:before="0" w:beforeAutospacing="0" w:after="0" w:afterAutospacing="0"/>
              <w:ind w:rightChars="100" w:right="34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37</w:t>
            </w:r>
          </w:p>
        </w:tc>
        <w:tc>
          <w:tcPr>
            <w:tcW w:w="1252" w:type="dxa"/>
            <w:vAlign w:val="center"/>
          </w:tcPr>
          <w:p w14:paraId="0942093B" w14:textId="77777777" w:rsidR="00A375F2" w:rsidRDefault="00000000">
            <w:pPr>
              <w:pStyle w:val="Web"/>
              <w:spacing w:before="0" w:beforeAutospacing="0" w:after="0" w:afterAutospacing="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570,549</w:t>
            </w:r>
          </w:p>
        </w:tc>
        <w:tc>
          <w:tcPr>
            <w:tcW w:w="1202" w:type="dxa"/>
            <w:vAlign w:val="center"/>
          </w:tcPr>
          <w:p w14:paraId="4568DF28" w14:textId="77777777" w:rsidR="00A375F2" w:rsidRDefault="00000000">
            <w:pPr>
              <w:pStyle w:val="Web"/>
              <w:spacing w:before="0" w:beforeAutospacing="0" w:after="0" w:afterAutospacing="0"/>
              <w:ind w:rightChars="100" w:right="34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38 </w:t>
            </w:r>
          </w:p>
        </w:tc>
        <w:tc>
          <w:tcPr>
            <w:tcW w:w="1387" w:type="dxa"/>
            <w:vAlign w:val="center"/>
          </w:tcPr>
          <w:p w14:paraId="6345E4FF" w14:textId="77777777" w:rsidR="00A375F2" w:rsidRDefault="00000000">
            <w:pPr>
              <w:pStyle w:val="Web"/>
              <w:spacing w:before="0" w:beforeAutospacing="0" w:after="0" w:afterAutospacing="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 644,799 </w:t>
            </w:r>
          </w:p>
        </w:tc>
      </w:tr>
      <w:tr w:rsidR="00A375F2" w14:paraId="707B49FE" w14:textId="77777777">
        <w:trPr>
          <w:trHeight w:val="416"/>
        </w:trPr>
        <w:tc>
          <w:tcPr>
            <w:tcW w:w="1202" w:type="dxa"/>
            <w:vAlign w:val="center"/>
          </w:tcPr>
          <w:p w14:paraId="3BDAA47B" w14:textId="77777777" w:rsidR="00A375F2" w:rsidRDefault="00000000">
            <w:pPr>
              <w:pStyle w:val="Web"/>
              <w:spacing w:before="0" w:beforeAutospacing="0" w:after="0" w:afterAutospacing="0"/>
              <w:jc w:val="center"/>
              <w:textAlignment w:val="center"/>
              <w:rPr>
                <w:rFonts w:ascii="Arial" w:hAnsi="Arial" w:cs="Arial"/>
                <w:color w:val="000000" w:themeColor="text1"/>
              </w:rPr>
            </w:pPr>
            <w:r>
              <w:rPr>
                <w:rFonts w:ascii="標楷體" w:eastAsia="標楷體" w:hAnsi="標楷體" w:cs="Arial" w:hint="eastAsia"/>
                <w:bCs/>
                <w:color w:val="000000" w:themeColor="text1"/>
                <w:kern w:val="24"/>
              </w:rPr>
              <w:t>合  計</w:t>
            </w:r>
          </w:p>
        </w:tc>
        <w:tc>
          <w:tcPr>
            <w:tcW w:w="1202" w:type="dxa"/>
            <w:vAlign w:val="center"/>
          </w:tcPr>
          <w:p w14:paraId="4DE4C991" w14:textId="77777777" w:rsidR="00A375F2" w:rsidRDefault="00000000">
            <w:pPr>
              <w:pStyle w:val="Web"/>
              <w:spacing w:before="0" w:beforeAutospacing="0" w:after="0" w:afterAutospacing="0"/>
              <w:ind w:rightChars="100" w:right="34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24 </w:t>
            </w:r>
          </w:p>
        </w:tc>
        <w:tc>
          <w:tcPr>
            <w:tcW w:w="1387" w:type="dxa"/>
            <w:vAlign w:val="center"/>
          </w:tcPr>
          <w:p w14:paraId="5D159312" w14:textId="77777777" w:rsidR="00A375F2" w:rsidRDefault="00000000">
            <w:pPr>
              <w:pStyle w:val="Web"/>
              <w:spacing w:before="0" w:beforeAutospacing="0" w:after="0" w:afterAutospacing="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1,090,965 </w:t>
            </w:r>
          </w:p>
        </w:tc>
        <w:tc>
          <w:tcPr>
            <w:tcW w:w="1202" w:type="dxa"/>
            <w:vAlign w:val="center"/>
          </w:tcPr>
          <w:p w14:paraId="1FB7F9C0" w14:textId="77777777" w:rsidR="00A375F2" w:rsidRDefault="00000000">
            <w:pPr>
              <w:pStyle w:val="Web"/>
              <w:spacing w:before="0" w:beforeAutospacing="0" w:after="0" w:afterAutospacing="0"/>
              <w:ind w:rightChars="100" w:right="34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51</w:t>
            </w:r>
          </w:p>
        </w:tc>
        <w:tc>
          <w:tcPr>
            <w:tcW w:w="1252" w:type="dxa"/>
            <w:vAlign w:val="center"/>
          </w:tcPr>
          <w:p w14:paraId="6FF4F6EA" w14:textId="77777777" w:rsidR="00A375F2" w:rsidRDefault="00000000">
            <w:pPr>
              <w:pStyle w:val="Web"/>
              <w:spacing w:before="0" w:beforeAutospacing="0" w:after="0" w:afterAutospacing="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744,612 </w:t>
            </w:r>
          </w:p>
        </w:tc>
        <w:tc>
          <w:tcPr>
            <w:tcW w:w="1202" w:type="dxa"/>
            <w:vAlign w:val="center"/>
          </w:tcPr>
          <w:p w14:paraId="23B169BE" w14:textId="77777777" w:rsidR="00A375F2" w:rsidRDefault="00000000">
            <w:pPr>
              <w:pStyle w:val="Web"/>
              <w:spacing w:before="0" w:beforeAutospacing="0" w:after="0" w:afterAutospacing="0"/>
              <w:ind w:rightChars="100" w:right="34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75</w:t>
            </w:r>
          </w:p>
        </w:tc>
        <w:tc>
          <w:tcPr>
            <w:tcW w:w="1387" w:type="dxa"/>
            <w:vAlign w:val="center"/>
          </w:tcPr>
          <w:p w14:paraId="683265E1" w14:textId="77777777" w:rsidR="00A375F2" w:rsidRDefault="00000000">
            <w:pPr>
              <w:pStyle w:val="Web"/>
              <w:spacing w:before="0" w:beforeAutospacing="0" w:after="0" w:afterAutospacing="0"/>
              <w:jc w:val="right"/>
              <w:textAlignment w:val="center"/>
              <w:rPr>
                <w:rFonts w:ascii="標楷體" w:eastAsia="標楷體" w:hAnsi="標楷體" w:cs="Arial"/>
                <w:color w:val="000000" w:themeColor="text1"/>
              </w:rPr>
            </w:pPr>
            <w:r>
              <w:rPr>
                <w:rFonts w:ascii="標楷體" w:eastAsia="標楷體" w:hAnsi="標楷體" w:cs="Arial" w:hint="eastAsia"/>
                <w:bCs/>
                <w:color w:val="000000" w:themeColor="text1"/>
                <w:kern w:val="24"/>
              </w:rPr>
              <w:t xml:space="preserve">1,835,577 </w:t>
            </w:r>
          </w:p>
        </w:tc>
      </w:tr>
    </w:tbl>
    <w:p w14:paraId="44D28CA2" w14:textId="77777777" w:rsidR="00A375F2" w:rsidRDefault="00000000">
      <w:pPr>
        <w:overflowPunct w:val="0"/>
        <w:spacing w:line="260" w:lineRule="exact"/>
        <w:ind w:left="425" w:hangingChars="193" w:hanging="425"/>
        <w:rPr>
          <w:rFonts w:hAnsi="標楷體"/>
          <w:color w:val="000000" w:themeColor="text1"/>
          <w:szCs w:val="32"/>
        </w:rPr>
      </w:pPr>
      <w:r>
        <w:rPr>
          <w:rFonts w:hAnsi="標楷體" w:hint="eastAsia"/>
          <w:color w:val="000000" w:themeColor="text1"/>
          <w:sz w:val="20"/>
        </w:rPr>
        <w:t>註</w:t>
      </w:r>
      <w:r>
        <w:rPr>
          <w:rFonts w:hAnsi="標楷體"/>
          <w:color w:val="000000" w:themeColor="text1"/>
          <w:sz w:val="20"/>
        </w:rPr>
        <w:t>：</w:t>
      </w:r>
      <w:r>
        <w:rPr>
          <w:rFonts w:hAnsi="標楷體" w:hint="eastAsia"/>
          <w:color w:val="000000" w:themeColor="text1"/>
          <w:sz w:val="20"/>
        </w:rPr>
        <w:t>「其他年度」包括109、111、112等年度，主要係以110年度之發現為基準，往前、後年度清查發現之情形。</w:t>
      </w:r>
    </w:p>
    <w:p w14:paraId="5C6A0A53" w14:textId="77777777" w:rsidR="00A375F2" w:rsidRDefault="00000000">
      <w:pPr>
        <w:overflowPunct w:val="0"/>
        <w:spacing w:afterLines="25" w:after="114" w:line="300" w:lineRule="exact"/>
        <w:rPr>
          <w:rFonts w:hAnsi="標楷體"/>
          <w:color w:val="000000" w:themeColor="text1"/>
          <w:szCs w:val="32"/>
        </w:rPr>
      </w:pPr>
      <w:r>
        <w:rPr>
          <w:rFonts w:hAnsi="標楷體" w:hint="eastAsia"/>
          <w:color w:val="000000" w:themeColor="text1"/>
          <w:sz w:val="20"/>
        </w:rPr>
        <w:t>資料來源：審計部</w:t>
      </w:r>
      <w:r>
        <w:rPr>
          <w:rFonts w:ascii="新細明體" w:eastAsia="新細明體" w:hAnsi="新細明體" w:hint="eastAsia"/>
          <w:color w:val="000000" w:themeColor="text1"/>
          <w:sz w:val="20"/>
        </w:rPr>
        <w:t>、</w:t>
      </w:r>
      <w:r>
        <w:rPr>
          <w:rFonts w:hAnsi="標楷體" w:hint="eastAsia"/>
          <w:color w:val="000000" w:themeColor="text1"/>
          <w:sz w:val="20"/>
        </w:rPr>
        <w:t>原民</w:t>
      </w:r>
      <w:r>
        <w:rPr>
          <w:rFonts w:hAnsi="標楷體"/>
          <w:color w:val="000000" w:themeColor="text1"/>
          <w:sz w:val="20"/>
        </w:rPr>
        <w:t>會</w:t>
      </w:r>
      <w:r>
        <w:rPr>
          <w:rFonts w:ascii="新細明體" w:eastAsia="新細明體" w:hAnsi="新細明體" w:hint="eastAsia"/>
          <w:color w:val="000000" w:themeColor="text1"/>
          <w:sz w:val="20"/>
        </w:rPr>
        <w:t>、</w:t>
      </w:r>
      <w:r>
        <w:rPr>
          <w:rFonts w:hAnsi="標楷體" w:hint="eastAsia"/>
          <w:color w:val="000000" w:themeColor="text1"/>
          <w:sz w:val="20"/>
        </w:rPr>
        <w:t>臺東縣政府</w:t>
      </w:r>
      <w:r>
        <w:rPr>
          <w:rFonts w:ascii="新細明體" w:eastAsia="新細明體" w:hAnsi="新細明體" w:hint="eastAsia"/>
          <w:color w:val="000000" w:themeColor="text1"/>
          <w:sz w:val="20"/>
        </w:rPr>
        <w:t>、</w:t>
      </w:r>
      <w:r>
        <w:rPr>
          <w:rFonts w:hAnsi="標楷體" w:hint="eastAsia"/>
          <w:color w:val="000000" w:themeColor="text1"/>
          <w:sz w:val="20"/>
        </w:rPr>
        <w:t>新竹縣政府</w:t>
      </w:r>
      <w:r>
        <w:rPr>
          <w:rFonts w:hAnsi="標楷體"/>
          <w:color w:val="000000" w:themeColor="text1"/>
          <w:sz w:val="20"/>
        </w:rPr>
        <w:t>。</w:t>
      </w:r>
    </w:p>
    <w:p w14:paraId="6B1B0C6F" w14:textId="77777777" w:rsidR="00A375F2" w:rsidRDefault="00000000">
      <w:pPr>
        <w:pStyle w:val="3"/>
        <w:overflowPunct w:val="0"/>
        <w:rPr>
          <w:color w:val="000000" w:themeColor="text1"/>
        </w:rPr>
      </w:pPr>
      <w:bookmarkStart w:id="52" w:name="_Hlk197354512"/>
      <w:r>
        <w:rPr>
          <w:rFonts w:hint="eastAsia"/>
          <w:color w:val="000000" w:themeColor="text1"/>
        </w:rPr>
        <w:t>經核，為處理禁伐補償事宜，進而達成維護國土保安、涵養水資源、綠化環境、自然生態保育及因應氣候變遷、減輕天然災害之目標，特制定</w:t>
      </w:r>
      <w:bookmarkEnd w:id="52"/>
      <w:r>
        <w:rPr>
          <w:rFonts w:hint="eastAsia"/>
          <w:color w:val="000000" w:themeColor="text1"/>
        </w:rPr>
        <w:t>禁伐補償條例，</w:t>
      </w:r>
      <w:r>
        <w:rPr>
          <w:rFonts w:hAnsi="標楷體" w:hint="eastAsia"/>
          <w:color w:val="000000" w:themeColor="text1"/>
          <w:szCs w:val="32"/>
        </w:rPr>
        <w:t>對於我國生態永續發展</w:t>
      </w:r>
      <w:r>
        <w:rPr>
          <w:rFonts w:ascii="新細明體" w:eastAsia="新細明體" w:hAnsi="新細明體" w:hint="eastAsia"/>
          <w:color w:val="000000" w:themeColor="text1"/>
          <w:szCs w:val="32"/>
        </w:rPr>
        <w:t>、</w:t>
      </w:r>
      <w:r>
        <w:rPr>
          <w:rFonts w:hAnsi="標楷體" w:hint="eastAsia"/>
          <w:color w:val="000000" w:themeColor="text1"/>
          <w:szCs w:val="32"/>
        </w:rPr>
        <w:t>國土保安</w:t>
      </w:r>
      <w:r>
        <w:rPr>
          <w:rFonts w:ascii="新細明體" w:eastAsia="新細明體" w:hAnsi="新細明體" w:hint="eastAsia"/>
          <w:color w:val="000000" w:themeColor="text1"/>
          <w:szCs w:val="32"/>
        </w:rPr>
        <w:t>、</w:t>
      </w:r>
      <w:r>
        <w:rPr>
          <w:rFonts w:hAnsi="標楷體" w:hint="eastAsia"/>
          <w:color w:val="000000" w:themeColor="text1"/>
          <w:szCs w:val="32"/>
        </w:rPr>
        <w:t>原住民傳承上，均有重要意義，爰</w:t>
      </w:r>
      <w:r>
        <w:rPr>
          <w:rFonts w:hint="eastAsia"/>
          <w:color w:val="000000" w:themeColor="text1"/>
        </w:rPr>
        <w:t>原住民保留地所在地之</w:t>
      </w:r>
      <w:r>
        <w:rPr>
          <w:rFonts w:hAnsi="標楷體"/>
          <w:color w:val="000000" w:themeColor="text1"/>
        </w:rPr>
        <w:t>鄉（鎮、市、區）公所</w:t>
      </w:r>
      <w:r>
        <w:rPr>
          <w:rFonts w:hAnsi="標楷體" w:hint="eastAsia"/>
          <w:color w:val="000000" w:themeColor="text1"/>
        </w:rPr>
        <w:t>，以及</w:t>
      </w:r>
      <w:r>
        <w:rPr>
          <w:rFonts w:hAnsi="標楷體"/>
          <w:color w:val="000000" w:themeColor="text1"/>
        </w:rPr>
        <w:t>直轄市、縣（市）政府</w:t>
      </w:r>
      <w:r>
        <w:rPr>
          <w:rFonts w:hAnsi="標楷體" w:hint="eastAsia"/>
          <w:color w:val="000000" w:themeColor="text1"/>
        </w:rPr>
        <w:t>，於</w:t>
      </w:r>
      <w:r>
        <w:rPr>
          <w:rFonts w:hint="eastAsia"/>
          <w:color w:val="000000" w:themeColor="text1"/>
        </w:rPr>
        <w:t>受理</w:t>
      </w:r>
      <w:r>
        <w:rPr>
          <w:rFonts w:hAnsi="標楷體" w:hint="eastAsia"/>
          <w:color w:val="000000" w:themeColor="text1"/>
        </w:rPr>
        <w:t>禁伐補償案件之</w:t>
      </w:r>
      <w:r>
        <w:rPr>
          <w:rFonts w:hint="eastAsia"/>
          <w:color w:val="000000" w:themeColor="text1"/>
        </w:rPr>
        <w:t>申請後</w:t>
      </w:r>
      <w:r>
        <w:rPr>
          <w:rFonts w:hAnsi="標楷體" w:hint="eastAsia"/>
          <w:color w:val="000000" w:themeColor="text1"/>
        </w:rPr>
        <w:t>，相關</w:t>
      </w:r>
      <w:r>
        <w:rPr>
          <w:rFonts w:hint="eastAsia"/>
          <w:color w:val="000000" w:themeColor="text1"/>
        </w:rPr>
        <w:t>初審與勘查等作業，自應悉依規定辦理，俾符禁伐補償條例之立法意旨，並杜爭議。惟查，</w:t>
      </w:r>
      <w:r>
        <w:rPr>
          <w:rFonts w:hAnsi="標楷體" w:hint="eastAsia"/>
          <w:color w:val="000000" w:themeColor="text1"/>
        </w:rPr>
        <w:t>屏東縣牡丹鄉公所、瑪家鄉公所，臺東縣海端鄉公所、達仁鄉公所，以及新竹縣五峰鄉公所、尖石鄉公所等，受理禁伐補償金案件後所辦理之初審作業時，未依禁伐補償條例第4條第1項之要求，核對並確認申請人應檢附之身分證明文件，致發生多筆申請人已死亡，以渠等名義申請之禁伐補償金，竟仍可順利通過上開鄉公所之初核，並再分別通過所在地縣政府之勘查作</w:t>
      </w:r>
      <w:r>
        <w:rPr>
          <w:rFonts w:hAnsi="標楷體" w:hint="eastAsia"/>
          <w:color w:val="000000" w:themeColor="text1"/>
        </w:rPr>
        <w:lastRenderedPageBreak/>
        <w:t>業後，順利獲核發禁伐補償金之情事，衍生違法疑慮，縱或有基於照顧族人權益考量，然依據禁伐補償條例核發之禁伐補償金係公款，本應依法行政，俾免蹈法網。</w:t>
      </w:r>
      <w:r>
        <w:rPr>
          <w:rFonts w:hAnsi="標楷體" w:hint="eastAsia"/>
          <w:color w:val="000000" w:themeColor="text1"/>
          <w:szCs w:val="32"/>
        </w:rPr>
        <w:t>原民會為中央主管機關，允應加強督導各相關地方政府，以避免再發生同樣問題。</w:t>
      </w:r>
    </w:p>
    <w:p w14:paraId="07B8E8F3" w14:textId="77777777" w:rsidR="00A375F2" w:rsidRDefault="00000000">
      <w:pPr>
        <w:pStyle w:val="2"/>
        <w:overflowPunct w:val="0"/>
        <w:rPr>
          <w:b/>
          <w:color w:val="000000" w:themeColor="text1"/>
        </w:rPr>
      </w:pPr>
      <w:r>
        <w:rPr>
          <w:rFonts w:hint="eastAsia"/>
          <w:b/>
          <w:color w:val="000000" w:themeColor="text1"/>
        </w:rPr>
        <w:t>禁伐補償金受領人於受領禁伐補償金後</w:t>
      </w:r>
      <w:r>
        <w:rPr>
          <w:rFonts w:hAnsi="標楷體" w:hint="eastAsia"/>
          <w:b/>
          <w:color w:val="000000" w:themeColor="text1"/>
        </w:rPr>
        <w:t>死亡</w:t>
      </w:r>
      <w:r>
        <w:rPr>
          <w:rFonts w:hint="eastAsia"/>
          <w:b/>
          <w:color w:val="000000" w:themeColor="text1"/>
        </w:rPr>
        <w:t>，依禁伐補償條</w:t>
      </w:r>
      <w:r>
        <w:rPr>
          <w:rFonts w:hAnsi="標楷體" w:hint="eastAsia"/>
          <w:b/>
          <w:color w:val="000000" w:themeColor="text1"/>
        </w:rPr>
        <w:t>例</w:t>
      </w:r>
      <w:r>
        <w:rPr>
          <w:rFonts w:hint="eastAsia"/>
          <w:b/>
          <w:color w:val="000000" w:themeColor="text1"/>
        </w:rPr>
        <w:t>規定，地方執行機關應撤銷其</w:t>
      </w:r>
      <w:r>
        <w:rPr>
          <w:rFonts w:hAnsi="標楷體" w:hint="eastAsia"/>
          <w:b/>
          <w:color w:val="000000" w:themeColor="text1"/>
        </w:rPr>
        <w:t>禁伐補償，並命受領人按月依比例返還當年度之禁伐補償金；若</w:t>
      </w:r>
      <w:r>
        <w:rPr>
          <w:rFonts w:hint="eastAsia"/>
          <w:b/>
          <w:color w:val="000000" w:themeColor="text1"/>
        </w:rPr>
        <w:t>繼受人同意禁伐並主動以書面通知受理機關者，則得按月按面積依比例受領禁伐補償金。然經調查發現，各地普遍均存在受領人於申請後死亡，繼受人或忙於喪事，或對法令認識不足，肇致未依據禁伐補償條例之相關規定，主動以書面通知受理機關之情形；原民會允宜加強相關法令規定之教育宣導，並研議是否建立由</w:t>
      </w:r>
      <w:bookmarkStart w:id="53" w:name="_Hlk200099406"/>
      <w:r>
        <w:rPr>
          <w:rFonts w:hint="eastAsia"/>
          <w:b/>
          <w:color w:val="000000" w:themeColor="text1"/>
        </w:rPr>
        <w:t>村長或相關基層人員</w:t>
      </w:r>
      <w:bookmarkEnd w:id="53"/>
      <w:r>
        <w:rPr>
          <w:rFonts w:hint="eastAsia"/>
          <w:b/>
          <w:color w:val="000000" w:themeColor="text1"/>
        </w:rPr>
        <w:t>適時主動協助繼受人之相關機制，以利其完備程序，避免一再發生因繼受人未依法主動以書面通知受理機關，而衍生地方執行機關須追繳</w:t>
      </w:r>
      <w:r>
        <w:rPr>
          <w:rFonts w:hAnsi="標楷體" w:hint="eastAsia"/>
          <w:b/>
          <w:color w:val="000000" w:themeColor="text1"/>
        </w:rPr>
        <w:t>禁伐補償金之</w:t>
      </w:r>
      <w:r>
        <w:rPr>
          <w:rFonts w:hint="eastAsia"/>
          <w:b/>
          <w:color w:val="000000" w:themeColor="text1"/>
        </w:rPr>
        <w:t>困擾。又，原民會要求各地方執行機關，</w:t>
      </w:r>
      <w:r>
        <w:rPr>
          <w:rFonts w:hAnsi="標楷體" w:hint="eastAsia"/>
          <w:b/>
          <w:color w:val="000000" w:themeColor="text1"/>
        </w:rPr>
        <w:t>就原申請人死亡，其繼受人領取禁伐補償金案件，重新釐清後查復該會，惟仍有</w:t>
      </w:r>
      <w:r>
        <w:rPr>
          <w:rFonts w:hint="eastAsia"/>
          <w:b/>
          <w:color w:val="000000" w:themeColor="text1"/>
        </w:rPr>
        <w:t>地方執行機關尚未查復</w:t>
      </w:r>
      <w:r>
        <w:rPr>
          <w:rFonts w:hAnsi="標楷體" w:hint="eastAsia"/>
          <w:b/>
          <w:color w:val="000000" w:themeColor="text1"/>
        </w:rPr>
        <w:t>，允應積極督促其儘速辦理。</w:t>
      </w:r>
      <w:r>
        <w:rPr>
          <w:rFonts w:hint="eastAsia"/>
          <w:b/>
          <w:color w:val="000000" w:themeColor="text1"/>
        </w:rPr>
        <w:t>另，有關地方執行機關建議中央主管機關依實務情形，</w:t>
      </w:r>
      <w:bookmarkStart w:id="54" w:name="_Hlk200099495"/>
      <w:r>
        <w:rPr>
          <w:rFonts w:hint="eastAsia"/>
          <w:b/>
          <w:color w:val="000000" w:themeColor="text1"/>
        </w:rPr>
        <w:t>研議禁伐補償金之</w:t>
      </w:r>
      <w:bookmarkEnd w:id="54"/>
      <w:r>
        <w:rPr>
          <w:rFonts w:hint="eastAsia"/>
          <w:b/>
          <w:color w:val="000000" w:themeColor="text1"/>
        </w:rPr>
        <w:t>標準作業</w:t>
      </w:r>
      <w:r>
        <w:rPr>
          <w:b/>
          <w:color w:val="000000" w:themeColor="text1"/>
        </w:rPr>
        <w:t>程序</w:t>
      </w:r>
      <w:r>
        <w:rPr>
          <w:rFonts w:hint="eastAsia"/>
          <w:b/>
          <w:color w:val="000000" w:themeColor="text1"/>
        </w:rPr>
        <w:t>，俾資遵循等相關建議，原民會允宜考量進行研議，以提升核發</w:t>
      </w:r>
      <w:r>
        <w:rPr>
          <w:rFonts w:hAnsi="標楷體" w:hint="eastAsia"/>
          <w:b/>
          <w:color w:val="000000" w:themeColor="text1"/>
          <w:szCs w:val="32"/>
        </w:rPr>
        <w:t>禁伐補償金之作業品質</w:t>
      </w:r>
      <w:r>
        <w:rPr>
          <w:rFonts w:hint="eastAsia"/>
          <w:b/>
          <w:color w:val="000000" w:themeColor="text1"/>
        </w:rPr>
        <w:t>。</w:t>
      </w:r>
    </w:p>
    <w:p w14:paraId="5BCD7809" w14:textId="77777777" w:rsidR="00A375F2" w:rsidRDefault="00000000">
      <w:pPr>
        <w:pStyle w:val="3"/>
        <w:overflowPunct w:val="0"/>
        <w:rPr>
          <w:color w:val="000000" w:themeColor="text1"/>
        </w:rPr>
      </w:pPr>
      <w:r>
        <w:rPr>
          <w:rFonts w:hint="eastAsia"/>
          <w:color w:val="000000" w:themeColor="text1"/>
        </w:rPr>
        <w:t>按</w:t>
      </w:r>
      <w:r>
        <w:rPr>
          <w:rFonts w:hAnsi="標楷體" w:hint="eastAsia"/>
          <w:color w:val="000000" w:themeColor="text1"/>
        </w:rPr>
        <w:t>「原住民保留地有下列情形之一者，其具原住民身分之所有權人或合法使用權人，得申請禁伐補償：一、經劃定為禁伐區域。二、受造林獎勵2</w:t>
      </w:r>
      <w:r>
        <w:rPr>
          <w:rFonts w:hAnsi="標楷體"/>
          <w:color w:val="000000" w:themeColor="text1"/>
        </w:rPr>
        <w:t>0</w:t>
      </w:r>
      <w:r>
        <w:rPr>
          <w:rFonts w:hAnsi="標楷體" w:hint="eastAsia"/>
          <w:color w:val="000000" w:themeColor="text1"/>
        </w:rPr>
        <w:t>年期間屆滿。」</w:t>
      </w:r>
      <w:r>
        <w:rPr>
          <w:rFonts w:ascii="新細明體" w:eastAsia="新細明體" w:hAnsi="新細明體" w:hint="eastAsia"/>
          <w:color w:val="000000" w:themeColor="text1"/>
        </w:rPr>
        <w:t>、「</w:t>
      </w:r>
      <w:r>
        <w:rPr>
          <w:rFonts w:hint="eastAsia"/>
          <w:color w:val="000000" w:themeColor="text1"/>
        </w:rPr>
        <w:t>禁伐補償金核發後，有下列情形之一者，地方執行機關應撤銷禁伐補償，並命受領人按月依比例返還</w:t>
      </w:r>
      <w:r>
        <w:rPr>
          <w:rFonts w:hAnsi="標楷體" w:hint="eastAsia"/>
          <w:color w:val="000000" w:themeColor="text1"/>
        </w:rPr>
        <w:t>當年度之禁伐補償金：一</w:t>
      </w:r>
      <w:r>
        <w:rPr>
          <w:rFonts w:ascii="新細明體" w:eastAsia="新細明體" w:hAnsi="新細明體" w:hint="eastAsia"/>
          <w:color w:val="000000" w:themeColor="text1"/>
        </w:rPr>
        <w:t>、</w:t>
      </w:r>
      <w:r>
        <w:rPr>
          <w:rFonts w:hint="eastAsia"/>
          <w:color w:val="000000" w:themeColor="text1"/>
        </w:rPr>
        <w:t>竹、木</w:t>
      </w:r>
      <w:r>
        <w:rPr>
          <w:rFonts w:hint="eastAsia"/>
          <w:color w:val="000000" w:themeColor="text1"/>
        </w:rPr>
        <w:lastRenderedPageBreak/>
        <w:t>擅自拔除、採取或毀損致覆蓋率未達七成。但因病蟲害、天然災害或其他不可歸責於受領人之情形所致，不在此限。</w:t>
      </w:r>
      <w:r>
        <w:rPr>
          <w:rFonts w:hAnsi="標楷體" w:hint="eastAsia"/>
          <w:color w:val="000000" w:themeColor="text1"/>
        </w:rPr>
        <w:t>二</w:t>
      </w:r>
      <w:r>
        <w:rPr>
          <w:rFonts w:ascii="新細明體" w:eastAsia="新細明體" w:hAnsi="新細明體" w:hint="eastAsia"/>
          <w:color w:val="000000" w:themeColor="text1"/>
        </w:rPr>
        <w:t>、</w:t>
      </w:r>
      <w:r>
        <w:rPr>
          <w:rFonts w:hint="eastAsia"/>
          <w:color w:val="000000" w:themeColor="text1"/>
        </w:rPr>
        <w:t>同一地號或自其分割出之原住民保留地，於受領禁伐補償金後，因限制使用或促進利用而受有其他中央機關發給獎勵金、補償或補助。</w:t>
      </w:r>
      <w:r>
        <w:rPr>
          <w:rFonts w:hAnsi="標楷體" w:hint="eastAsia"/>
          <w:color w:val="000000" w:themeColor="text1"/>
        </w:rPr>
        <w:t>三</w:t>
      </w:r>
      <w:r>
        <w:rPr>
          <w:rFonts w:ascii="新細明體" w:eastAsia="新細明體" w:hAnsi="新細明體" w:hint="eastAsia"/>
          <w:color w:val="000000" w:themeColor="text1"/>
        </w:rPr>
        <w:t>、</w:t>
      </w:r>
      <w:r>
        <w:rPr>
          <w:rFonts w:hint="eastAsia"/>
          <w:color w:val="000000" w:themeColor="text1"/>
        </w:rPr>
        <w:t>受領人於受領禁伐補償金後，喪失所有權或合法使用權。</w:t>
      </w:r>
      <w:r>
        <w:rPr>
          <w:rFonts w:hAnsi="標楷體" w:hint="eastAsia"/>
          <w:color w:val="000000" w:themeColor="text1"/>
        </w:rPr>
        <w:t>四</w:t>
      </w:r>
      <w:r>
        <w:rPr>
          <w:rFonts w:ascii="新細明體" w:eastAsia="新細明體" w:hAnsi="新細明體" w:hint="eastAsia"/>
          <w:color w:val="000000" w:themeColor="text1"/>
        </w:rPr>
        <w:t>、</w:t>
      </w:r>
      <w:r>
        <w:rPr>
          <w:rFonts w:hint="eastAsia"/>
          <w:color w:val="000000" w:themeColor="text1"/>
        </w:rPr>
        <w:t>申請人喪失原住民身分。</w:t>
      </w:r>
      <w:r>
        <w:rPr>
          <w:rFonts w:hAnsi="標楷體" w:hint="eastAsia"/>
          <w:color w:val="000000" w:themeColor="text1"/>
        </w:rPr>
        <w:t>」及</w:t>
      </w:r>
      <w:r>
        <w:rPr>
          <w:rFonts w:ascii="新細明體" w:eastAsia="新細明體" w:hAnsi="新細明體" w:hint="eastAsia"/>
          <w:color w:val="000000" w:themeColor="text1"/>
        </w:rPr>
        <w:t>「</w:t>
      </w:r>
      <w:r>
        <w:rPr>
          <w:rFonts w:hint="eastAsia"/>
          <w:color w:val="000000" w:themeColor="text1"/>
        </w:rPr>
        <w:t>受領人於受領禁伐補償金後，喪失私有原住民保留地所有權或合法使用權時，繼受人同意禁伐並主動以書面通知受理機關者，得按月按面積依比例受領禁伐補償金。公有原住民保留地之合法使用權人，準用前項規定。</w:t>
      </w:r>
      <w:r>
        <w:rPr>
          <w:rFonts w:hAnsi="標楷體" w:hint="eastAsia"/>
          <w:color w:val="000000" w:themeColor="text1"/>
        </w:rPr>
        <w:t>」</w:t>
      </w:r>
      <w:r>
        <w:rPr>
          <w:rFonts w:hint="eastAsia"/>
          <w:color w:val="000000" w:themeColor="text1"/>
        </w:rPr>
        <w:t>分別為禁伐補償條</w:t>
      </w:r>
      <w:r>
        <w:rPr>
          <w:rFonts w:hAnsi="標楷體" w:hint="eastAsia"/>
          <w:color w:val="000000" w:themeColor="text1"/>
        </w:rPr>
        <w:t>例第3條第1項</w:t>
      </w:r>
      <w:r>
        <w:rPr>
          <w:rFonts w:ascii="新細明體" w:eastAsia="新細明體" w:hAnsi="新細明體" w:hint="eastAsia"/>
          <w:color w:val="000000" w:themeColor="text1"/>
        </w:rPr>
        <w:t>、</w:t>
      </w:r>
      <w:r>
        <w:rPr>
          <w:rFonts w:hAnsi="標楷體" w:hint="eastAsia"/>
          <w:color w:val="000000" w:themeColor="text1"/>
        </w:rPr>
        <w:t>第7條及第8條所明定。依</w:t>
      </w:r>
      <w:r>
        <w:rPr>
          <w:rFonts w:hAnsi="標楷體" w:hint="eastAsia"/>
          <w:bCs w:val="0"/>
          <w:color w:val="000000" w:themeColor="text1"/>
        </w:rPr>
        <w:t>1</w:t>
      </w:r>
      <w:r>
        <w:rPr>
          <w:rFonts w:hAnsi="標楷體"/>
          <w:bCs w:val="0"/>
          <w:color w:val="000000" w:themeColor="text1"/>
        </w:rPr>
        <w:t>08</w:t>
      </w:r>
      <w:r>
        <w:rPr>
          <w:rFonts w:hAnsi="標楷體" w:hint="eastAsia"/>
          <w:bCs w:val="0"/>
          <w:color w:val="000000" w:themeColor="text1"/>
        </w:rPr>
        <w:t>年1</w:t>
      </w:r>
      <w:r>
        <w:rPr>
          <w:rFonts w:hAnsi="標楷體"/>
          <w:bCs w:val="0"/>
          <w:color w:val="000000" w:themeColor="text1"/>
        </w:rPr>
        <w:t>2</w:t>
      </w:r>
      <w:r>
        <w:rPr>
          <w:rFonts w:hAnsi="標楷體" w:hint="eastAsia"/>
          <w:bCs w:val="0"/>
          <w:color w:val="000000" w:themeColor="text1"/>
        </w:rPr>
        <w:t>月1</w:t>
      </w:r>
      <w:r>
        <w:rPr>
          <w:rFonts w:hAnsi="標楷體"/>
          <w:bCs w:val="0"/>
          <w:color w:val="000000" w:themeColor="text1"/>
        </w:rPr>
        <w:t>0</w:t>
      </w:r>
      <w:r>
        <w:rPr>
          <w:rFonts w:hAnsi="標楷體" w:hint="eastAsia"/>
          <w:bCs w:val="0"/>
          <w:color w:val="000000" w:themeColor="text1"/>
        </w:rPr>
        <w:t>日修正</w:t>
      </w:r>
      <w:r>
        <w:rPr>
          <w:rFonts w:hint="eastAsia"/>
          <w:color w:val="000000" w:themeColor="text1"/>
        </w:rPr>
        <w:t>禁伐補償條</w:t>
      </w:r>
      <w:r>
        <w:rPr>
          <w:rFonts w:hAnsi="標楷體" w:hint="eastAsia"/>
          <w:color w:val="000000" w:themeColor="text1"/>
        </w:rPr>
        <w:t>例</w:t>
      </w:r>
      <w:r>
        <w:rPr>
          <w:rFonts w:hAnsi="標楷體" w:hint="eastAsia"/>
          <w:bCs w:val="0"/>
          <w:color w:val="000000" w:themeColor="text1"/>
        </w:rPr>
        <w:t>相關條文時之理由，該</w:t>
      </w:r>
      <w:r>
        <w:rPr>
          <w:rFonts w:hint="eastAsia"/>
          <w:color w:val="000000" w:themeColor="text1"/>
        </w:rPr>
        <w:t>條</w:t>
      </w:r>
      <w:r>
        <w:rPr>
          <w:rFonts w:hAnsi="標楷體" w:hint="eastAsia"/>
          <w:color w:val="000000" w:themeColor="text1"/>
        </w:rPr>
        <w:t>例第7條所指喪失所有權或合法使用權，其樣態包括死亡、移轉所有權、繼承或贈與他項權利、終止與變更租賃契約等。爰</w:t>
      </w:r>
      <w:r>
        <w:rPr>
          <w:rFonts w:hint="eastAsia"/>
          <w:color w:val="000000" w:themeColor="text1"/>
        </w:rPr>
        <w:t>禁伐補償金受領人於受領禁伐補償金後，</w:t>
      </w:r>
      <w:r>
        <w:rPr>
          <w:rFonts w:hAnsi="標楷體" w:hint="eastAsia"/>
          <w:color w:val="000000" w:themeColor="text1"/>
        </w:rPr>
        <w:t>喪失所有權或合法使用權，</w:t>
      </w:r>
      <w:r>
        <w:rPr>
          <w:rFonts w:hint="eastAsia"/>
          <w:color w:val="000000" w:themeColor="text1"/>
        </w:rPr>
        <w:t>則依上開規定，地方執行機關應撤銷其</w:t>
      </w:r>
      <w:r>
        <w:rPr>
          <w:rFonts w:hAnsi="標楷體" w:hint="eastAsia"/>
          <w:color w:val="000000" w:themeColor="text1"/>
        </w:rPr>
        <w:t>禁伐補償，並命受領人按月依比例返還當年度之禁伐補償金；若</w:t>
      </w:r>
      <w:r>
        <w:rPr>
          <w:rFonts w:hint="eastAsia"/>
          <w:color w:val="000000" w:themeColor="text1"/>
        </w:rPr>
        <w:t>繼受人同意禁伐並主動以書面通知受理機關者，得按月按面積依比例受領禁伐補償金。</w:t>
      </w:r>
    </w:p>
    <w:p w14:paraId="7482CF3A" w14:textId="77777777" w:rsidR="00A375F2" w:rsidRDefault="00000000">
      <w:pPr>
        <w:pStyle w:val="3"/>
        <w:overflowPunct w:val="0"/>
        <w:rPr>
          <w:color w:val="000000" w:themeColor="text1"/>
        </w:rPr>
      </w:pPr>
      <w:r>
        <w:rPr>
          <w:rFonts w:hAnsi="標楷體" w:hint="eastAsia"/>
          <w:color w:val="000000" w:themeColor="text1"/>
        </w:rPr>
        <w:t>查據審計部查核結果，</w:t>
      </w:r>
      <w:r>
        <w:rPr>
          <w:rFonts w:hint="eastAsia"/>
          <w:color w:val="000000" w:themeColor="text1"/>
        </w:rPr>
        <w:t>禁伐補償條例第8條規定，顯未落實執行，受領人於申請後死亡，截至110年底止，尚無繼受人（通常為繼承人）依據禁伐補償條例第8條規定書面通知公所同意禁伐之紀錄，致其核發110全年度禁伐補償金者，如下表所示計有6個市縣政府，包括新北市(計4筆、核發9</w:t>
      </w:r>
      <w:r>
        <w:rPr>
          <w:color w:val="000000" w:themeColor="text1"/>
        </w:rPr>
        <w:t>9,273</w:t>
      </w:r>
      <w:r>
        <w:rPr>
          <w:rFonts w:hint="eastAsia"/>
          <w:color w:val="000000" w:themeColor="text1"/>
        </w:rPr>
        <w:t>元)、高雄市(計</w:t>
      </w:r>
      <w:r>
        <w:rPr>
          <w:color w:val="000000" w:themeColor="text1"/>
        </w:rPr>
        <w:t>58</w:t>
      </w:r>
      <w:r>
        <w:rPr>
          <w:rFonts w:hint="eastAsia"/>
          <w:color w:val="000000" w:themeColor="text1"/>
        </w:rPr>
        <w:t>筆、核發1</w:t>
      </w:r>
      <w:r>
        <w:rPr>
          <w:color w:val="000000" w:themeColor="text1"/>
        </w:rPr>
        <w:t>,175,748</w:t>
      </w:r>
      <w:r>
        <w:rPr>
          <w:rFonts w:hint="eastAsia"/>
          <w:color w:val="000000" w:themeColor="text1"/>
        </w:rPr>
        <w:t>元)、苗栗縣(計1</w:t>
      </w:r>
      <w:r>
        <w:rPr>
          <w:color w:val="000000" w:themeColor="text1"/>
        </w:rPr>
        <w:t>0</w:t>
      </w:r>
      <w:r>
        <w:rPr>
          <w:rFonts w:hint="eastAsia"/>
          <w:color w:val="000000" w:themeColor="text1"/>
        </w:rPr>
        <w:t>筆、核發1</w:t>
      </w:r>
      <w:r>
        <w:rPr>
          <w:color w:val="000000" w:themeColor="text1"/>
        </w:rPr>
        <w:t>32,546</w:t>
      </w:r>
      <w:r>
        <w:rPr>
          <w:rFonts w:hint="eastAsia"/>
          <w:color w:val="000000" w:themeColor="text1"/>
        </w:rPr>
        <w:t>元)、嘉義縣(計9筆、</w:t>
      </w:r>
      <w:r>
        <w:rPr>
          <w:rFonts w:hint="eastAsia"/>
          <w:color w:val="000000" w:themeColor="text1"/>
        </w:rPr>
        <w:lastRenderedPageBreak/>
        <w:t>核發2</w:t>
      </w:r>
      <w:r>
        <w:rPr>
          <w:color w:val="000000" w:themeColor="text1"/>
        </w:rPr>
        <w:t>27,343</w:t>
      </w:r>
      <w:r>
        <w:rPr>
          <w:rFonts w:hint="eastAsia"/>
          <w:color w:val="000000" w:themeColor="text1"/>
        </w:rPr>
        <w:t>元)、宜蘭縣(計6</w:t>
      </w:r>
      <w:r>
        <w:rPr>
          <w:color w:val="000000" w:themeColor="text1"/>
        </w:rPr>
        <w:t>5</w:t>
      </w:r>
      <w:r>
        <w:rPr>
          <w:rFonts w:hint="eastAsia"/>
          <w:color w:val="000000" w:themeColor="text1"/>
        </w:rPr>
        <w:t>筆、核發79</w:t>
      </w:r>
      <w:r>
        <w:rPr>
          <w:color w:val="000000" w:themeColor="text1"/>
        </w:rPr>
        <w:t>0,800</w:t>
      </w:r>
      <w:r>
        <w:rPr>
          <w:rFonts w:hint="eastAsia"/>
          <w:color w:val="000000" w:themeColor="text1"/>
        </w:rPr>
        <w:t>元)及臺東縣(計6</w:t>
      </w:r>
      <w:r>
        <w:rPr>
          <w:color w:val="000000" w:themeColor="text1"/>
        </w:rPr>
        <w:t>9</w:t>
      </w:r>
      <w:r>
        <w:rPr>
          <w:rFonts w:hint="eastAsia"/>
          <w:color w:val="000000" w:themeColor="text1"/>
        </w:rPr>
        <w:t>筆、核發1</w:t>
      </w:r>
      <w:r>
        <w:rPr>
          <w:color w:val="000000" w:themeColor="text1"/>
        </w:rPr>
        <w:t>,575,861</w:t>
      </w:r>
      <w:r>
        <w:rPr>
          <w:rFonts w:hint="eastAsia"/>
          <w:color w:val="000000" w:themeColor="text1"/>
        </w:rPr>
        <w:t>元)等，共計215筆、核發4</w:t>
      </w:r>
      <w:r>
        <w:rPr>
          <w:color w:val="000000" w:themeColor="text1"/>
        </w:rPr>
        <w:t>,</w:t>
      </w:r>
      <w:r>
        <w:rPr>
          <w:rFonts w:hint="eastAsia"/>
          <w:color w:val="000000" w:themeColor="text1"/>
        </w:rPr>
        <w:t>001,571元。</w:t>
      </w:r>
    </w:p>
    <w:p w14:paraId="5954DBBB" w14:textId="77777777" w:rsidR="00A375F2" w:rsidRDefault="00000000">
      <w:pPr>
        <w:pStyle w:val="a3"/>
        <w:ind w:left="1750" w:rightChars="307" w:right="1044" w:hanging="686"/>
        <w:jc w:val="left"/>
        <w:rPr>
          <w:b/>
          <w:color w:val="000000" w:themeColor="text1"/>
        </w:rPr>
      </w:pPr>
      <w:r>
        <w:rPr>
          <w:rFonts w:hint="eastAsia"/>
          <w:b/>
          <w:color w:val="000000" w:themeColor="text1"/>
        </w:rPr>
        <w:t>110年度禁伐補償金繼受人未以書面通知受理機關同意禁伐之情形</w:t>
      </w:r>
    </w:p>
    <w:p w14:paraId="277E71EC" w14:textId="77777777" w:rsidR="00A375F2" w:rsidRDefault="00000000">
      <w:pPr>
        <w:pStyle w:val="4"/>
        <w:numPr>
          <w:ilvl w:val="0"/>
          <w:numId w:val="0"/>
        </w:numPr>
        <w:overflowPunct w:val="0"/>
        <w:spacing w:line="240" w:lineRule="exact"/>
        <w:ind w:left="1701" w:rightChars="349" w:right="1187"/>
        <w:jc w:val="right"/>
        <w:rPr>
          <w:color w:val="000000" w:themeColor="text1"/>
          <w:sz w:val="20"/>
          <w:szCs w:val="20"/>
        </w:rPr>
      </w:pPr>
      <w:r>
        <w:rPr>
          <w:rFonts w:hint="eastAsia"/>
          <w:color w:val="000000" w:themeColor="text1"/>
          <w:sz w:val="20"/>
          <w:szCs w:val="20"/>
        </w:rPr>
        <w:t>單位：件、元</w:t>
      </w:r>
    </w:p>
    <w:tbl>
      <w:tblPr>
        <w:tblStyle w:val="afb"/>
        <w:tblW w:w="0" w:type="auto"/>
        <w:jc w:val="center"/>
        <w:tblLook w:val="04A0" w:firstRow="1" w:lastRow="0" w:firstColumn="1" w:lastColumn="0" w:noHBand="0" w:noVBand="1"/>
      </w:tblPr>
      <w:tblGrid>
        <w:gridCol w:w="1696"/>
        <w:gridCol w:w="1701"/>
        <w:gridCol w:w="3261"/>
      </w:tblGrid>
      <w:tr w:rsidR="00A375F2" w14:paraId="1F41BDD9" w14:textId="77777777">
        <w:trPr>
          <w:trHeight w:val="521"/>
          <w:jc w:val="center"/>
        </w:trPr>
        <w:tc>
          <w:tcPr>
            <w:tcW w:w="1696" w:type="dxa"/>
            <w:vAlign w:val="center"/>
          </w:tcPr>
          <w:p w14:paraId="38E52E2C" w14:textId="77777777" w:rsidR="00A375F2" w:rsidRDefault="00000000">
            <w:pPr>
              <w:pStyle w:val="2"/>
              <w:numPr>
                <w:ilvl w:val="0"/>
                <w:numId w:val="0"/>
              </w:numPr>
              <w:overflowPunct w:val="0"/>
              <w:jc w:val="center"/>
              <w:rPr>
                <w:b/>
                <w:color w:val="000000" w:themeColor="text1"/>
                <w:sz w:val="26"/>
                <w:szCs w:val="26"/>
              </w:rPr>
            </w:pPr>
            <w:r>
              <w:rPr>
                <w:rFonts w:hint="eastAsia"/>
                <w:b/>
                <w:color w:val="000000" w:themeColor="text1"/>
                <w:sz w:val="26"/>
                <w:szCs w:val="26"/>
              </w:rPr>
              <w:t>市 縣</w:t>
            </w:r>
          </w:p>
        </w:tc>
        <w:tc>
          <w:tcPr>
            <w:tcW w:w="1701" w:type="dxa"/>
            <w:vAlign w:val="center"/>
          </w:tcPr>
          <w:p w14:paraId="4B2913BE" w14:textId="77777777" w:rsidR="00A375F2" w:rsidRDefault="00000000">
            <w:pPr>
              <w:pStyle w:val="2"/>
              <w:numPr>
                <w:ilvl w:val="0"/>
                <w:numId w:val="0"/>
              </w:numPr>
              <w:overflowPunct w:val="0"/>
              <w:jc w:val="center"/>
              <w:rPr>
                <w:b/>
                <w:color w:val="000000" w:themeColor="text1"/>
                <w:sz w:val="26"/>
                <w:szCs w:val="26"/>
              </w:rPr>
            </w:pPr>
            <w:r>
              <w:rPr>
                <w:rFonts w:hint="eastAsia"/>
                <w:b/>
                <w:color w:val="000000" w:themeColor="text1"/>
                <w:sz w:val="26"/>
                <w:szCs w:val="26"/>
              </w:rPr>
              <w:t>筆 數</w:t>
            </w:r>
          </w:p>
        </w:tc>
        <w:tc>
          <w:tcPr>
            <w:tcW w:w="3261" w:type="dxa"/>
            <w:vAlign w:val="center"/>
          </w:tcPr>
          <w:p w14:paraId="01E73DFD" w14:textId="77777777" w:rsidR="00A375F2" w:rsidRDefault="00000000">
            <w:pPr>
              <w:pStyle w:val="2"/>
              <w:numPr>
                <w:ilvl w:val="0"/>
                <w:numId w:val="0"/>
              </w:numPr>
              <w:overflowPunct w:val="0"/>
              <w:jc w:val="center"/>
              <w:rPr>
                <w:b/>
                <w:color w:val="000000" w:themeColor="text1"/>
                <w:sz w:val="26"/>
                <w:szCs w:val="26"/>
              </w:rPr>
            </w:pPr>
            <w:r>
              <w:rPr>
                <w:rFonts w:hint="eastAsia"/>
                <w:b/>
                <w:color w:val="000000" w:themeColor="text1"/>
                <w:sz w:val="26"/>
                <w:szCs w:val="26"/>
              </w:rPr>
              <w:t>金 額</w:t>
            </w:r>
          </w:p>
        </w:tc>
      </w:tr>
      <w:tr w:rsidR="00A375F2" w14:paraId="2C8A2EE4" w14:textId="77777777">
        <w:trPr>
          <w:jc w:val="center"/>
        </w:trPr>
        <w:tc>
          <w:tcPr>
            <w:tcW w:w="1696" w:type="dxa"/>
            <w:vAlign w:val="center"/>
          </w:tcPr>
          <w:p w14:paraId="381CE462" w14:textId="77777777" w:rsidR="00A375F2" w:rsidRDefault="00000000">
            <w:pPr>
              <w:overflowPunct w:val="0"/>
              <w:spacing w:beforeLines="5" w:before="22" w:afterLines="5" w:after="22"/>
              <w:jc w:val="center"/>
              <w:rPr>
                <w:rFonts w:ascii="新細明體" w:eastAsia="新細明體"/>
                <w:color w:val="000000" w:themeColor="text1"/>
                <w:kern w:val="0"/>
                <w:sz w:val="24"/>
                <w:szCs w:val="24"/>
              </w:rPr>
            </w:pPr>
            <w:r>
              <w:rPr>
                <w:rFonts w:hint="eastAsia"/>
                <w:color w:val="000000" w:themeColor="text1"/>
                <w:sz w:val="24"/>
                <w:szCs w:val="24"/>
              </w:rPr>
              <w:t>新北市</w:t>
            </w:r>
          </w:p>
        </w:tc>
        <w:tc>
          <w:tcPr>
            <w:tcW w:w="1701" w:type="dxa"/>
            <w:vAlign w:val="center"/>
          </w:tcPr>
          <w:p w14:paraId="47725712" w14:textId="77777777" w:rsidR="00A375F2" w:rsidRDefault="00000000">
            <w:pPr>
              <w:overflowPunct w:val="0"/>
              <w:ind w:rightChars="125" w:right="425"/>
              <w:jc w:val="right"/>
              <w:rPr>
                <w:color w:val="000000" w:themeColor="text1"/>
                <w:sz w:val="24"/>
                <w:szCs w:val="24"/>
              </w:rPr>
            </w:pPr>
            <w:r>
              <w:rPr>
                <w:rFonts w:hint="eastAsia"/>
                <w:color w:val="000000" w:themeColor="text1"/>
                <w:sz w:val="24"/>
                <w:szCs w:val="24"/>
              </w:rPr>
              <w:t>4</w:t>
            </w:r>
          </w:p>
        </w:tc>
        <w:tc>
          <w:tcPr>
            <w:tcW w:w="3261" w:type="dxa"/>
            <w:vAlign w:val="center"/>
          </w:tcPr>
          <w:p w14:paraId="088334B8" w14:textId="77777777" w:rsidR="00A375F2" w:rsidRDefault="00000000">
            <w:pPr>
              <w:overflowPunct w:val="0"/>
              <w:ind w:rightChars="302" w:right="1027"/>
              <w:jc w:val="right"/>
              <w:rPr>
                <w:color w:val="000000" w:themeColor="text1"/>
                <w:sz w:val="24"/>
                <w:szCs w:val="24"/>
              </w:rPr>
            </w:pPr>
            <w:r>
              <w:rPr>
                <w:rFonts w:hint="eastAsia"/>
                <w:color w:val="000000" w:themeColor="text1"/>
                <w:sz w:val="24"/>
                <w:szCs w:val="24"/>
              </w:rPr>
              <w:t>99,273</w:t>
            </w:r>
          </w:p>
        </w:tc>
      </w:tr>
      <w:tr w:rsidR="00A375F2" w14:paraId="4BBB2B27" w14:textId="77777777">
        <w:trPr>
          <w:jc w:val="center"/>
        </w:trPr>
        <w:tc>
          <w:tcPr>
            <w:tcW w:w="1696" w:type="dxa"/>
            <w:vAlign w:val="center"/>
          </w:tcPr>
          <w:p w14:paraId="4C35B592" w14:textId="77777777" w:rsidR="00A375F2" w:rsidRDefault="00000000">
            <w:pPr>
              <w:overflowPunct w:val="0"/>
              <w:spacing w:beforeLines="5" w:before="22" w:afterLines="5" w:after="22"/>
              <w:jc w:val="center"/>
              <w:rPr>
                <w:color w:val="000000" w:themeColor="text1"/>
                <w:sz w:val="24"/>
                <w:szCs w:val="24"/>
              </w:rPr>
            </w:pPr>
            <w:r>
              <w:rPr>
                <w:rFonts w:hint="eastAsia"/>
                <w:color w:val="000000" w:themeColor="text1"/>
                <w:sz w:val="24"/>
                <w:szCs w:val="24"/>
              </w:rPr>
              <w:t>高雄市</w:t>
            </w:r>
          </w:p>
        </w:tc>
        <w:tc>
          <w:tcPr>
            <w:tcW w:w="1701" w:type="dxa"/>
            <w:vAlign w:val="center"/>
          </w:tcPr>
          <w:p w14:paraId="43838C96" w14:textId="77777777" w:rsidR="00A375F2" w:rsidRDefault="00000000">
            <w:pPr>
              <w:overflowPunct w:val="0"/>
              <w:ind w:rightChars="125" w:right="425"/>
              <w:jc w:val="right"/>
              <w:rPr>
                <w:color w:val="000000" w:themeColor="text1"/>
                <w:sz w:val="24"/>
                <w:szCs w:val="24"/>
              </w:rPr>
            </w:pPr>
            <w:r>
              <w:rPr>
                <w:rFonts w:hint="eastAsia"/>
                <w:color w:val="000000" w:themeColor="text1"/>
                <w:sz w:val="24"/>
                <w:szCs w:val="24"/>
              </w:rPr>
              <w:t>58</w:t>
            </w:r>
          </w:p>
        </w:tc>
        <w:tc>
          <w:tcPr>
            <w:tcW w:w="3261" w:type="dxa"/>
            <w:vAlign w:val="center"/>
          </w:tcPr>
          <w:p w14:paraId="28B53B92" w14:textId="77777777" w:rsidR="00A375F2" w:rsidRDefault="00000000">
            <w:pPr>
              <w:overflowPunct w:val="0"/>
              <w:ind w:rightChars="302" w:right="1027"/>
              <w:jc w:val="right"/>
              <w:rPr>
                <w:color w:val="000000" w:themeColor="text1"/>
                <w:sz w:val="24"/>
                <w:szCs w:val="24"/>
              </w:rPr>
            </w:pPr>
            <w:r>
              <w:rPr>
                <w:rFonts w:hint="eastAsia"/>
                <w:color w:val="000000" w:themeColor="text1"/>
                <w:sz w:val="24"/>
                <w:szCs w:val="24"/>
              </w:rPr>
              <w:t>1,175,748</w:t>
            </w:r>
          </w:p>
        </w:tc>
      </w:tr>
      <w:tr w:rsidR="00A375F2" w14:paraId="774953BC" w14:textId="77777777">
        <w:trPr>
          <w:jc w:val="center"/>
        </w:trPr>
        <w:tc>
          <w:tcPr>
            <w:tcW w:w="1696" w:type="dxa"/>
            <w:vAlign w:val="center"/>
          </w:tcPr>
          <w:p w14:paraId="66734C36" w14:textId="77777777" w:rsidR="00A375F2" w:rsidRDefault="00000000">
            <w:pPr>
              <w:overflowPunct w:val="0"/>
              <w:spacing w:beforeLines="5" w:before="22" w:afterLines="5" w:after="22"/>
              <w:jc w:val="center"/>
              <w:rPr>
                <w:color w:val="000000" w:themeColor="text1"/>
                <w:sz w:val="24"/>
                <w:szCs w:val="24"/>
              </w:rPr>
            </w:pPr>
            <w:r>
              <w:rPr>
                <w:rFonts w:hint="eastAsia"/>
                <w:color w:val="000000" w:themeColor="text1"/>
                <w:sz w:val="24"/>
                <w:szCs w:val="24"/>
              </w:rPr>
              <w:t>苗栗縣</w:t>
            </w:r>
          </w:p>
        </w:tc>
        <w:tc>
          <w:tcPr>
            <w:tcW w:w="1701" w:type="dxa"/>
            <w:vAlign w:val="center"/>
          </w:tcPr>
          <w:p w14:paraId="703F93AC" w14:textId="77777777" w:rsidR="00A375F2" w:rsidRDefault="00000000">
            <w:pPr>
              <w:overflowPunct w:val="0"/>
              <w:ind w:rightChars="125" w:right="425"/>
              <w:jc w:val="right"/>
              <w:rPr>
                <w:color w:val="000000" w:themeColor="text1"/>
                <w:sz w:val="24"/>
                <w:szCs w:val="24"/>
              </w:rPr>
            </w:pPr>
            <w:r>
              <w:rPr>
                <w:rFonts w:hint="eastAsia"/>
                <w:color w:val="000000" w:themeColor="text1"/>
                <w:sz w:val="24"/>
                <w:szCs w:val="24"/>
              </w:rPr>
              <w:t>10</w:t>
            </w:r>
          </w:p>
        </w:tc>
        <w:tc>
          <w:tcPr>
            <w:tcW w:w="3261" w:type="dxa"/>
            <w:vAlign w:val="center"/>
          </w:tcPr>
          <w:p w14:paraId="52112871" w14:textId="77777777" w:rsidR="00A375F2" w:rsidRDefault="00000000">
            <w:pPr>
              <w:overflowPunct w:val="0"/>
              <w:ind w:rightChars="302" w:right="1027"/>
              <w:jc w:val="right"/>
              <w:rPr>
                <w:color w:val="000000" w:themeColor="text1"/>
                <w:sz w:val="24"/>
                <w:szCs w:val="24"/>
              </w:rPr>
            </w:pPr>
            <w:r>
              <w:rPr>
                <w:rFonts w:hint="eastAsia"/>
                <w:color w:val="000000" w:themeColor="text1"/>
                <w:sz w:val="24"/>
                <w:szCs w:val="24"/>
              </w:rPr>
              <w:t>132,546</w:t>
            </w:r>
          </w:p>
        </w:tc>
      </w:tr>
      <w:tr w:rsidR="00A375F2" w14:paraId="6D1B0CDC" w14:textId="77777777">
        <w:trPr>
          <w:jc w:val="center"/>
        </w:trPr>
        <w:tc>
          <w:tcPr>
            <w:tcW w:w="1696" w:type="dxa"/>
            <w:vAlign w:val="center"/>
          </w:tcPr>
          <w:p w14:paraId="531E4796" w14:textId="77777777" w:rsidR="00A375F2" w:rsidRDefault="00000000">
            <w:pPr>
              <w:overflowPunct w:val="0"/>
              <w:spacing w:beforeLines="5" w:before="22" w:afterLines="5" w:after="22"/>
              <w:jc w:val="center"/>
              <w:rPr>
                <w:color w:val="000000" w:themeColor="text1"/>
                <w:sz w:val="24"/>
                <w:szCs w:val="24"/>
              </w:rPr>
            </w:pPr>
            <w:r>
              <w:rPr>
                <w:rFonts w:hint="eastAsia"/>
                <w:color w:val="000000" w:themeColor="text1"/>
                <w:sz w:val="24"/>
                <w:szCs w:val="24"/>
              </w:rPr>
              <w:t>嘉義縣</w:t>
            </w:r>
          </w:p>
        </w:tc>
        <w:tc>
          <w:tcPr>
            <w:tcW w:w="1701" w:type="dxa"/>
            <w:vAlign w:val="center"/>
          </w:tcPr>
          <w:p w14:paraId="4BAD1BBC" w14:textId="77777777" w:rsidR="00A375F2" w:rsidRDefault="00000000">
            <w:pPr>
              <w:overflowPunct w:val="0"/>
              <w:ind w:rightChars="125" w:right="425"/>
              <w:jc w:val="right"/>
              <w:rPr>
                <w:color w:val="000000" w:themeColor="text1"/>
                <w:sz w:val="24"/>
                <w:szCs w:val="24"/>
              </w:rPr>
            </w:pPr>
            <w:r>
              <w:rPr>
                <w:rFonts w:hint="eastAsia"/>
                <w:color w:val="000000" w:themeColor="text1"/>
                <w:sz w:val="24"/>
                <w:szCs w:val="24"/>
              </w:rPr>
              <w:t>9</w:t>
            </w:r>
          </w:p>
        </w:tc>
        <w:tc>
          <w:tcPr>
            <w:tcW w:w="3261" w:type="dxa"/>
            <w:vAlign w:val="center"/>
          </w:tcPr>
          <w:p w14:paraId="4B0DD7C2" w14:textId="77777777" w:rsidR="00A375F2" w:rsidRDefault="00000000">
            <w:pPr>
              <w:overflowPunct w:val="0"/>
              <w:ind w:rightChars="302" w:right="1027"/>
              <w:jc w:val="right"/>
              <w:rPr>
                <w:color w:val="000000" w:themeColor="text1"/>
                <w:sz w:val="24"/>
                <w:szCs w:val="24"/>
              </w:rPr>
            </w:pPr>
            <w:r>
              <w:rPr>
                <w:rFonts w:hint="eastAsia"/>
                <w:color w:val="000000" w:themeColor="text1"/>
                <w:sz w:val="24"/>
                <w:szCs w:val="24"/>
              </w:rPr>
              <w:t>227,343</w:t>
            </w:r>
          </w:p>
        </w:tc>
      </w:tr>
      <w:tr w:rsidR="00A375F2" w14:paraId="28752022" w14:textId="77777777">
        <w:trPr>
          <w:jc w:val="center"/>
        </w:trPr>
        <w:tc>
          <w:tcPr>
            <w:tcW w:w="1696" w:type="dxa"/>
            <w:vAlign w:val="center"/>
          </w:tcPr>
          <w:p w14:paraId="41C93687" w14:textId="77777777" w:rsidR="00A375F2" w:rsidRDefault="00000000">
            <w:pPr>
              <w:overflowPunct w:val="0"/>
              <w:spacing w:beforeLines="5" w:before="22" w:afterLines="5" w:after="22"/>
              <w:jc w:val="center"/>
              <w:rPr>
                <w:color w:val="000000" w:themeColor="text1"/>
                <w:sz w:val="24"/>
                <w:szCs w:val="24"/>
              </w:rPr>
            </w:pPr>
            <w:r>
              <w:rPr>
                <w:rFonts w:hint="eastAsia"/>
                <w:color w:val="000000" w:themeColor="text1"/>
                <w:sz w:val="24"/>
                <w:szCs w:val="24"/>
              </w:rPr>
              <w:t>宜蘭縣</w:t>
            </w:r>
          </w:p>
        </w:tc>
        <w:tc>
          <w:tcPr>
            <w:tcW w:w="1701" w:type="dxa"/>
            <w:vAlign w:val="center"/>
          </w:tcPr>
          <w:p w14:paraId="5F3DB461" w14:textId="77777777" w:rsidR="00A375F2" w:rsidRDefault="00000000">
            <w:pPr>
              <w:overflowPunct w:val="0"/>
              <w:ind w:rightChars="125" w:right="425"/>
              <w:jc w:val="right"/>
              <w:rPr>
                <w:color w:val="000000" w:themeColor="text1"/>
                <w:sz w:val="24"/>
                <w:szCs w:val="24"/>
              </w:rPr>
            </w:pPr>
            <w:r>
              <w:rPr>
                <w:rFonts w:hint="eastAsia"/>
                <w:color w:val="000000" w:themeColor="text1"/>
                <w:sz w:val="24"/>
                <w:szCs w:val="24"/>
              </w:rPr>
              <w:t>65</w:t>
            </w:r>
          </w:p>
        </w:tc>
        <w:tc>
          <w:tcPr>
            <w:tcW w:w="3261" w:type="dxa"/>
            <w:vAlign w:val="center"/>
          </w:tcPr>
          <w:p w14:paraId="5D3DD72F" w14:textId="77777777" w:rsidR="00A375F2" w:rsidRDefault="00000000">
            <w:pPr>
              <w:overflowPunct w:val="0"/>
              <w:ind w:rightChars="302" w:right="1027"/>
              <w:jc w:val="right"/>
              <w:rPr>
                <w:color w:val="000000" w:themeColor="text1"/>
                <w:sz w:val="24"/>
                <w:szCs w:val="24"/>
              </w:rPr>
            </w:pPr>
            <w:r>
              <w:rPr>
                <w:rFonts w:hint="eastAsia"/>
                <w:color w:val="000000" w:themeColor="text1"/>
                <w:sz w:val="24"/>
                <w:szCs w:val="24"/>
              </w:rPr>
              <w:t>790,800</w:t>
            </w:r>
          </w:p>
        </w:tc>
      </w:tr>
      <w:tr w:rsidR="00A375F2" w14:paraId="3F3A2368" w14:textId="77777777">
        <w:trPr>
          <w:jc w:val="center"/>
        </w:trPr>
        <w:tc>
          <w:tcPr>
            <w:tcW w:w="1696" w:type="dxa"/>
            <w:vAlign w:val="center"/>
          </w:tcPr>
          <w:p w14:paraId="305E8E12" w14:textId="77777777" w:rsidR="00A375F2" w:rsidRDefault="00000000">
            <w:pPr>
              <w:overflowPunct w:val="0"/>
              <w:spacing w:beforeLines="5" w:before="22" w:afterLines="5" w:after="22"/>
              <w:jc w:val="center"/>
              <w:rPr>
                <w:color w:val="000000" w:themeColor="text1"/>
                <w:sz w:val="24"/>
                <w:szCs w:val="24"/>
              </w:rPr>
            </w:pPr>
            <w:r>
              <w:rPr>
                <w:rFonts w:hint="eastAsia"/>
                <w:color w:val="000000" w:themeColor="text1"/>
                <w:sz w:val="24"/>
                <w:szCs w:val="24"/>
              </w:rPr>
              <w:t>臺東縣</w:t>
            </w:r>
          </w:p>
        </w:tc>
        <w:tc>
          <w:tcPr>
            <w:tcW w:w="1701" w:type="dxa"/>
            <w:vAlign w:val="center"/>
          </w:tcPr>
          <w:p w14:paraId="367D1A96" w14:textId="77777777" w:rsidR="00A375F2" w:rsidRDefault="00000000">
            <w:pPr>
              <w:overflowPunct w:val="0"/>
              <w:ind w:rightChars="125" w:right="425"/>
              <w:jc w:val="right"/>
              <w:rPr>
                <w:color w:val="000000" w:themeColor="text1"/>
                <w:sz w:val="24"/>
                <w:szCs w:val="24"/>
              </w:rPr>
            </w:pPr>
            <w:r>
              <w:rPr>
                <w:rFonts w:hint="eastAsia"/>
                <w:color w:val="000000" w:themeColor="text1"/>
                <w:sz w:val="24"/>
                <w:szCs w:val="24"/>
              </w:rPr>
              <w:t>69</w:t>
            </w:r>
          </w:p>
        </w:tc>
        <w:tc>
          <w:tcPr>
            <w:tcW w:w="3261" w:type="dxa"/>
            <w:vAlign w:val="center"/>
          </w:tcPr>
          <w:p w14:paraId="7871C25B" w14:textId="77777777" w:rsidR="00A375F2" w:rsidRDefault="00000000">
            <w:pPr>
              <w:overflowPunct w:val="0"/>
              <w:ind w:rightChars="302" w:right="1027"/>
              <w:jc w:val="right"/>
              <w:rPr>
                <w:color w:val="000000" w:themeColor="text1"/>
                <w:sz w:val="24"/>
                <w:szCs w:val="24"/>
              </w:rPr>
            </w:pPr>
            <w:r>
              <w:rPr>
                <w:rFonts w:hint="eastAsia"/>
                <w:color w:val="000000" w:themeColor="text1"/>
                <w:sz w:val="24"/>
                <w:szCs w:val="24"/>
              </w:rPr>
              <w:t>1,575,861</w:t>
            </w:r>
          </w:p>
        </w:tc>
      </w:tr>
      <w:tr w:rsidR="00A375F2" w14:paraId="553D73DB" w14:textId="77777777">
        <w:trPr>
          <w:jc w:val="center"/>
        </w:trPr>
        <w:tc>
          <w:tcPr>
            <w:tcW w:w="1696" w:type="dxa"/>
            <w:vAlign w:val="center"/>
          </w:tcPr>
          <w:p w14:paraId="346D1A7C" w14:textId="77777777" w:rsidR="00A375F2" w:rsidRDefault="00000000">
            <w:pPr>
              <w:overflowPunct w:val="0"/>
              <w:spacing w:beforeLines="5" w:before="22" w:afterLines="5" w:after="22"/>
              <w:jc w:val="center"/>
              <w:rPr>
                <w:color w:val="000000" w:themeColor="text1"/>
                <w:sz w:val="24"/>
                <w:szCs w:val="24"/>
              </w:rPr>
            </w:pPr>
            <w:r>
              <w:rPr>
                <w:rFonts w:hint="eastAsia"/>
                <w:color w:val="000000" w:themeColor="text1"/>
                <w:sz w:val="24"/>
                <w:szCs w:val="24"/>
              </w:rPr>
              <w:t xml:space="preserve">合 </w:t>
            </w:r>
            <w:r>
              <w:rPr>
                <w:color w:val="000000" w:themeColor="text1"/>
                <w:sz w:val="24"/>
                <w:szCs w:val="24"/>
              </w:rPr>
              <w:t xml:space="preserve"> </w:t>
            </w:r>
            <w:r>
              <w:rPr>
                <w:rFonts w:hint="eastAsia"/>
                <w:color w:val="000000" w:themeColor="text1"/>
                <w:sz w:val="24"/>
                <w:szCs w:val="24"/>
              </w:rPr>
              <w:t>計</w:t>
            </w:r>
          </w:p>
        </w:tc>
        <w:tc>
          <w:tcPr>
            <w:tcW w:w="1701" w:type="dxa"/>
            <w:vAlign w:val="center"/>
          </w:tcPr>
          <w:p w14:paraId="589DC862" w14:textId="77777777" w:rsidR="00A375F2" w:rsidRDefault="00000000">
            <w:pPr>
              <w:overflowPunct w:val="0"/>
              <w:ind w:rightChars="125" w:right="425"/>
              <w:jc w:val="right"/>
              <w:rPr>
                <w:rFonts w:ascii="新細明體" w:eastAsia="新細明體" w:hAnsi="新細明體" w:cs="新細明體"/>
                <w:color w:val="000000" w:themeColor="text1"/>
                <w:sz w:val="24"/>
                <w:szCs w:val="24"/>
              </w:rPr>
            </w:pPr>
            <w:r>
              <w:rPr>
                <w:rFonts w:hint="eastAsia"/>
                <w:color w:val="000000" w:themeColor="text1"/>
                <w:sz w:val="24"/>
                <w:szCs w:val="24"/>
              </w:rPr>
              <w:t>215</w:t>
            </w:r>
          </w:p>
        </w:tc>
        <w:tc>
          <w:tcPr>
            <w:tcW w:w="3261" w:type="dxa"/>
            <w:vAlign w:val="center"/>
          </w:tcPr>
          <w:p w14:paraId="381D406D" w14:textId="77777777" w:rsidR="00A375F2" w:rsidRDefault="00000000">
            <w:pPr>
              <w:overflowPunct w:val="0"/>
              <w:ind w:rightChars="302" w:right="1027"/>
              <w:jc w:val="right"/>
              <w:rPr>
                <w:color w:val="000000" w:themeColor="text1"/>
                <w:sz w:val="24"/>
                <w:szCs w:val="24"/>
              </w:rPr>
            </w:pPr>
            <w:r>
              <w:rPr>
                <w:rFonts w:hint="eastAsia"/>
                <w:color w:val="000000" w:themeColor="text1"/>
                <w:sz w:val="24"/>
                <w:szCs w:val="24"/>
              </w:rPr>
              <w:t>4,001,571</w:t>
            </w:r>
          </w:p>
        </w:tc>
      </w:tr>
    </w:tbl>
    <w:p w14:paraId="319285BB" w14:textId="77777777" w:rsidR="00A375F2" w:rsidRDefault="00000000">
      <w:pPr>
        <w:pStyle w:val="4"/>
        <w:numPr>
          <w:ilvl w:val="0"/>
          <w:numId w:val="0"/>
        </w:numPr>
        <w:overflowPunct w:val="0"/>
        <w:spacing w:afterLines="25" w:after="114" w:line="300" w:lineRule="exact"/>
        <w:ind w:left="1145"/>
        <w:rPr>
          <w:color w:val="000000" w:themeColor="text1"/>
          <w:sz w:val="20"/>
          <w:szCs w:val="20"/>
        </w:rPr>
      </w:pPr>
      <w:r>
        <w:rPr>
          <w:rFonts w:hint="eastAsia"/>
          <w:color w:val="000000" w:themeColor="text1"/>
          <w:sz w:val="20"/>
          <w:szCs w:val="20"/>
        </w:rPr>
        <w:t>資料來源：整理自審計部提供資料。</w:t>
      </w:r>
    </w:p>
    <w:p w14:paraId="5D21235C" w14:textId="77777777" w:rsidR="00A375F2" w:rsidRDefault="00000000">
      <w:pPr>
        <w:pStyle w:val="3"/>
        <w:overflowPunct w:val="0"/>
        <w:rPr>
          <w:color w:val="000000" w:themeColor="text1"/>
          <w:szCs w:val="32"/>
        </w:rPr>
      </w:pPr>
      <w:r>
        <w:rPr>
          <w:rFonts w:hint="eastAsia"/>
          <w:color w:val="000000" w:themeColor="text1"/>
        </w:rPr>
        <w:t>次查，</w:t>
      </w:r>
      <w:r>
        <w:rPr>
          <w:rFonts w:hAnsi="標楷體" w:hint="eastAsia"/>
          <w:color w:val="000000" w:themeColor="text1"/>
        </w:rPr>
        <w:t>審計部查核時，</w:t>
      </w:r>
      <w:r>
        <w:rPr>
          <w:rFonts w:hint="eastAsia"/>
          <w:color w:val="000000" w:themeColor="text1"/>
        </w:rPr>
        <w:t>截至113年5</w:t>
      </w:r>
      <w:r>
        <w:rPr>
          <w:rFonts w:hint="eastAsia"/>
          <w:color w:val="000000" w:themeColor="text1"/>
          <w:szCs w:val="32"/>
        </w:rPr>
        <w:t>月3日，仍計有5個市縣政府，如下表所示包括桃園市(計5</w:t>
      </w:r>
      <w:r>
        <w:rPr>
          <w:color w:val="000000" w:themeColor="text1"/>
          <w:szCs w:val="32"/>
        </w:rPr>
        <w:t>5</w:t>
      </w:r>
      <w:r>
        <w:rPr>
          <w:rFonts w:hint="eastAsia"/>
          <w:color w:val="000000" w:themeColor="text1"/>
          <w:szCs w:val="32"/>
        </w:rPr>
        <w:t>筆、69</w:t>
      </w:r>
      <w:r>
        <w:rPr>
          <w:color w:val="000000" w:themeColor="text1"/>
          <w:szCs w:val="32"/>
        </w:rPr>
        <w:t>9,618</w:t>
      </w:r>
      <w:r>
        <w:rPr>
          <w:rFonts w:hint="eastAsia"/>
          <w:color w:val="000000" w:themeColor="text1"/>
          <w:szCs w:val="32"/>
        </w:rPr>
        <w:t>元)、新竹縣(計4</w:t>
      </w:r>
      <w:r>
        <w:rPr>
          <w:color w:val="000000" w:themeColor="text1"/>
          <w:szCs w:val="32"/>
        </w:rPr>
        <w:t>0</w:t>
      </w:r>
      <w:r>
        <w:rPr>
          <w:rFonts w:hint="eastAsia"/>
          <w:color w:val="000000" w:themeColor="text1"/>
          <w:szCs w:val="32"/>
        </w:rPr>
        <w:t>筆、1</w:t>
      </w:r>
      <w:r>
        <w:rPr>
          <w:color w:val="000000" w:themeColor="text1"/>
          <w:szCs w:val="32"/>
        </w:rPr>
        <w:t>,288,911</w:t>
      </w:r>
      <w:r>
        <w:rPr>
          <w:rFonts w:hint="eastAsia"/>
          <w:color w:val="000000" w:themeColor="text1"/>
          <w:szCs w:val="32"/>
        </w:rPr>
        <w:t>元)、屏東縣(計1</w:t>
      </w:r>
      <w:r>
        <w:rPr>
          <w:color w:val="000000" w:themeColor="text1"/>
          <w:szCs w:val="32"/>
        </w:rPr>
        <w:t>6</w:t>
      </w:r>
      <w:r>
        <w:rPr>
          <w:rFonts w:hint="eastAsia"/>
          <w:color w:val="000000" w:themeColor="text1"/>
          <w:szCs w:val="32"/>
        </w:rPr>
        <w:t>筆、2</w:t>
      </w:r>
      <w:r>
        <w:rPr>
          <w:color w:val="000000" w:themeColor="text1"/>
          <w:szCs w:val="32"/>
        </w:rPr>
        <w:t>71,320</w:t>
      </w:r>
      <w:r>
        <w:rPr>
          <w:rFonts w:hint="eastAsia"/>
          <w:color w:val="000000" w:themeColor="text1"/>
          <w:szCs w:val="32"/>
        </w:rPr>
        <w:t>元)、南投縣(計</w:t>
      </w:r>
      <w:r>
        <w:rPr>
          <w:color w:val="000000" w:themeColor="text1"/>
          <w:szCs w:val="32"/>
        </w:rPr>
        <w:t>43</w:t>
      </w:r>
      <w:r>
        <w:rPr>
          <w:rFonts w:hint="eastAsia"/>
          <w:color w:val="000000" w:themeColor="text1"/>
          <w:szCs w:val="32"/>
        </w:rPr>
        <w:t>筆、1</w:t>
      </w:r>
      <w:r>
        <w:rPr>
          <w:color w:val="000000" w:themeColor="text1"/>
          <w:szCs w:val="32"/>
        </w:rPr>
        <w:t>,235,622</w:t>
      </w:r>
      <w:r>
        <w:rPr>
          <w:rFonts w:hint="eastAsia"/>
          <w:color w:val="000000" w:themeColor="text1"/>
          <w:szCs w:val="32"/>
        </w:rPr>
        <w:t>元)及花蓮縣(計6</w:t>
      </w:r>
      <w:r>
        <w:rPr>
          <w:color w:val="000000" w:themeColor="text1"/>
          <w:szCs w:val="32"/>
        </w:rPr>
        <w:t>1</w:t>
      </w:r>
      <w:r>
        <w:rPr>
          <w:rFonts w:hint="eastAsia"/>
          <w:color w:val="000000" w:themeColor="text1"/>
          <w:szCs w:val="32"/>
        </w:rPr>
        <w:t>筆、1,382,412元)等，尚未查復該部關於</w:t>
      </w:r>
      <w:r>
        <w:rPr>
          <w:rFonts w:hint="eastAsia"/>
          <w:color w:val="000000" w:themeColor="text1"/>
        </w:rPr>
        <w:t>核發110全年度禁伐補償金案件，其中</w:t>
      </w:r>
      <w:r>
        <w:rPr>
          <w:rFonts w:hint="eastAsia"/>
          <w:color w:val="000000" w:themeColor="text1"/>
          <w:szCs w:val="32"/>
        </w:rPr>
        <w:t>受領人於申請後死亡，其繼受人是否書面通知公所同意禁伐情形，共計215筆、4</w:t>
      </w:r>
      <w:r>
        <w:rPr>
          <w:color w:val="000000" w:themeColor="text1"/>
          <w:szCs w:val="32"/>
        </w:rPr>
        <w:t>,</w:t>
      </w:r>
      <w:r>
        <w:rPr>
          <w:rFonts w:hint="eastAsia"/>
          <w:color w:val="000000" w:themeColor="text1"/>
          <w:szCs w:val="32"/>
        </w:rPr>
        <w:t>877</w:t>
      </w:r>
      <w:r>
        <w:rPr>
          <w:color w:val="000000" w:themeColor="text1"/>
          <w:szCs w:val="32"/>
        </w:rPr>
        <w:t>,</w:t>
      </w:r>
      <w:r>
        <w:rPr>
          <w:rFonts w:hint="eastAsia"/>
          <w:color w:val="000000" w:themeColor="text1"/>
          <w:szCs w:val="32"/>
        </w:rPr>
        <w:t>883元。爰本院調查時，亦就上開地方政府後續清查情形進行了解，除桃園市與新竹縣部分案件之繼受人有書面同意外，其餘案件大多沒有繼受人之書面同意。</w:t>
      </w:r>
    </w:p>
    <w:p w14:paraId="5B5664C0" w14:textId="77777777" w:rsidR="00A375F2" w:rsidRDefault="00000000">
      <w:pPr>
        <w:pStyle w:val="a3"/>
        <w:ind w:left="709" w:rightChars="16" w:right="54" w:hanging="686"/>
        <w:jc w:val="center"/>
        <w:rPr>
          <w:b/>
          <w:color w:val="000000" w:themeColor="text1"/>
        </w:rPr>
      </w:pPr>
      <w:r>
        <w:rPr>
          <w:rFonts w:hint="eastAsia"/>
          <w:b/>
          <w:color w:val="000000" w:themeColor="text1"/>
        </w:rPr>
        <w:t>審計部要求查明110年度禁伐補償金申請人涉及死亡之案件</w:t>
      </w:r>
    </w:p>
    <w:p w14:paraId="1C63FBE9" w14:textId="77777777" w:rsidR="00A375F2" w:rsidRDefault="00000000">
      <w:pPr>
        <w:pStyle w:val="4"/>
        <w:numPr>
          <w:ilvl w:val="0"/>
          <w:numId w:val="0"/>
        </w:numPr>
        <w:overflowPunct w:val="0"/>
        <w:spacing w:line="240" w:lineRule="exact"/>
        <w:ind w:left="1701" w:rightChars="16" w:right="54"/>
        <w:jc w:val="right"/>
        <w:rPr>
          <w:b/>
          <w:color w:val="000000" w:themeColor="text1"/>
          <w:sz w:val="20"/>
          <w:szCs w:val="20"/>
        </w:rPr>
      </w:pPr>
      <w:r>
        <w:rPr>
          <w:rFonts w:hint="eastAsia"/>
          <w:color w:val="000000" w:themeColor="text1"/>
          <w:sz w:val="20"/>
          <w:szCs w:val="20"/>
        </w:rPr>
        <w:t>單位：件、元</w:t>
      </w:r>
    </w:p>
    <w:tbl>
      <w:tblPr>
        <w:tblStyle w:val="afb"/>
        <w:tblW w:w="0" w:type="auto"/>
        <w:tblLook w:val="04A0" w:firstRow="1" w:lastRow="0" w:firstColumn="1" w:lastColumn="0" w:noHBand="0" w:noVBand="1"/>
      </w:tblPr>
      <w:tblGrid>
        <w:gridCol w:w="861"/>
        <w:gridCol w:w="719"/>
        <w:gridCol w:w="1516"/>
        <w:gridCol w:w="737"/>
        <w:gridCol w:w="1127"/>
        <w:gridCol w:w="753"/>
        <w:gridCol w:w="1387"/>
        <w:gridCol w:w="737"/>
        <w:gridCol w:w="997"/>
      </w:tblGrid>
      <w:tr w:rsidR="00A375F2" w14:paraId="7FFED914" w14:textId="77777777">
        <w:trPr>
          <w:trHeight w:val="411"/>
        </w:trPr>
        <w:tc>
          <w:tcPr>
            <w:tcW w:w="861" w:type="dxa"/>
            <w:vMerge w:val="restart"/>
            <w:tcBorders>
              <w:tl2br w:val="single" w:sz="4" w:space="0" w:color="auto"/>
            </w:tcBorders>
          </w:tcPr>
          <w:p w14:paraId="42C3CB2C" w14:textId="77777777" w:rsidR="00A375F2" w:rsidRDefault="00A375F2">
            <w:pPr>
              <w:pStyle w:val="2"/>
              <w:numPr>
                <w:ilvl w:val="0"/>
                <w:numId w:val="0"/>
              </w:numPr>
              <w:overflowPunct w:val="0"/>
              <w:ind w:leftChars="-24" w:left="-82" w:rightChars="-19" w:right="-65"/>
              <w:jc w:val="right"/>
              <w:rPr>
                <w:color w:val="000000" w:themeColor="text1"/>
                <w:sz w:val="20"/>
                <w:szCs w:val="20"/>
              </w:rPr>
            </w:pPr>
          </w:p>
          <w:p w14:paraId="6C56334B" w14:textId="77777777" w:rsidR="00A375F2" w:rsidRDefault="00000000">
            <w:pPr>
              <w:pStyle w:val="2"/>
              <w:numPr>
                <w:ilvl w:val="0"/>
                <w:numId w:val="0"/>
              </w:numPr>
              <w:overflowPunct w:val="0"/>
              <w:ind w:leftChars="-24" w:left="-82" w:rightChars="-19" w:right="-65"/>
              <w:jc w:val="right"/>
              <w:rPr>
                <w:b/>
                <w:color w:val="000000" w:themeColor="text1"/>
                <w:sz w:val="20"/>
                <w:szCs w:val="20"/>
              </w:rPr>
            </w:pPr>
            <w:r>
              <w:rPr>
                <w:rFonts w:hint="eastAsia"/>
                <w:b/>
                <w:color w:val="000000" w:themeColor="text1"/>
                <w:sz w:val="20"/>
                <w:szCs w:val="20"/>
              </w:rPr>
              <w:t>項目</w:t>
            </w:r>
          </w:p>
          <w:p w14:paraId="41FABC0F" w14:textId="77777777" w:rsidR="00A375F2" w:rsidRDefault="00A375F2">
            <w:pPr>
              <w:pStyle w:val="2"/>
              <w:numPr>
                <w:ilvl w:val="0"/>
                <w:numId w:val="0"/>
              </w:numPr>
              <w:overflowPunct w:val="0"/>
              <w:ind w:leftChars="-24" w:left="-82" w:rightChars="-19" w:right="-65"/>
              <w:jc w:val="center"/>
              <w:rPr>
                <w:b/>
                <w:color w:val="000000" w:themeColor="text1"/>
                <w:sz w:val="20"/>
                <w:szCs w:val="20"/>
              </w:rPr>
            </w:pPr>
          </w:p>
          <w:p w14:paraId="4B0D5002" w14:textId="77777777" w:rsidR="00A375F2" w:rsidRDefault="00A375F2">
            <w:pPr>
              <w:pStyle w:val="2"/>
              <w:numPr>
                <w:ilvl w:val="0"/>
                <w:numId w:val="0"/>
              </w:numPr>
              <w:overflowPunct w:val="0"/>
              <w:ind w:leftChars="-24" w:left="-82" w:rightChars="-19" w:right="-65"/>
              <w:jc w:val="center"/>
              <w:rPr>
                <w:b/>
                <w:color w:val="000000" w:themeColor="text1"/>
                <w:sz w:val="20"/>
                <w:szCs w:val="20"/>
              </w:rPr>
            </w:pPr>
          </w:p>
          <w:p w14:paraId="58C33E48" w14:textId="77777777" w:rsidR="00A375F2" w:rsidRDefault="00000000">
            <w:pPr>
              <w:pStyle w:val="2"/>
              <w:numPr>
                <w:ilvl w:val="0"/>
                <w:numId w:val="0"/>
              </w:numPr>
              <w:overflowPunct w:val="0"/>
              <w:ind w:leftChars="-24" w:left="-82" w:rightChars="-19" w:right="-65"/>
              <w:jc w:val="left"/>
              <w:rPr>
                <w:color w:val="000000" w:themeColor="text1"/>
                <w:sz w:val="24"/>
                <w:szCs w:val="24"/>
              </w:rPr>
            </w:pPr>
            <w:r>
              <w:rPr>
                <w:rFonts w:hint="eastAsia"/>
                <w:b/>
                <w:color w:val="000000" w:themeColor="text1"/>
                <w:sz w:val="20"/>
                <w:szCs w:val="20"/>
              </w:rPr>
              <w:lastRenderedPageBreak/>
              <w:t>市縣</w:t>
            </w:r>
          </w:p>
        </w:tc>
        <w:tc>
          <w:tcPr>
            <w:tcW w:w="2235" w:type="dxa"/>
            <w:gridSpan w:val="2"/>
            <w:vMerge w:val="restart"/>
            <w:vAlign w:val="center"/>
          </w:tcPr>
          <w:p w14:paraId="55393D07" w14:textId="77777777" w:rsidR="00A375F2" w:rsidRDefault="00000000">
            <w:pPr>
              <w:pStyle w:val="4"/>
              <w:numPr>
                <w:ilvl w:val="0"/>
                <w:numId w:val="0"/>
              </w:numPr>
              <w:overflowPunct w:val="0"/>
              <w:jc w:val="center"/>
              <w:rPr>
                <w:b/>
                <w:color w:val="000000" w:themeColor="text1"/>
                <w:sz w:val="24"/>
                <w:szCs w:val="24"/>
              </w:rPr>
            </w:pPr>
            <w:r>
              <w:rPr>
                <w:rFonts w:hint="eastAsia"/>
                <w:b/>
                <w:color w:val="000000" w:themeColor="text1"/>
                <w:sz w:val="24"/>
                <w:szCs w:val="24"/>
              </w:rPr>
              <w:lastRenderedPageBreak/>
              <w:t>審計部要求</w:t>
            </w:r>
          </w:p>
          <w:p w14:paraId="0FE70C77" w14:textId="77777777" w:rsidR="00A375F2" w:rsidRDefault="00000000">
            <w:pPr>
              <w:pStyle w:val="4"/>
              <w:numPr>
                <w:ilvl w:val="0"/>
                <w:numId w:val="0"/>
              </w:numPr>
              <w:overflowPunct w:val="0"/>
              <w:jc w:val="center"/>
              <w:rPr>
                <w:b/>
                <w:color w:val="000000" w:themeColor="text1"/>
                <w:sz w:val="24"/>
                <w:szCs w:val="24"/>
              </w:rPr>
            </w:pPr>
            <w:r>
              <w:rPr>
                <w:rFonts w:hint="eastAsia"/>
                <w:b/>
                <w:color w:val="000000" w:themeColor="text1"/>
                <w:sz w:val="24"/>
                <w:szCs w:val="24"/>
              </w:rPr>
              <w:t>釐清之案件</w:t>
            </w:r>
          </w:p>
        </w:tc>
        <w:tc>
          <w:tcPr>
            <w:tcW w:w="5738" w:type="dxa"/>
            <w:gridSpan w:val="6"/>
            <w:vAlign w:val="center"/>
          </w:tcPr>
          <w:p w14:paraId="2DD5D952" w14:textId="77777777" w:rsidR="00A375F2" w:rsidRDefault="00000000">
            <w:pPr>
              <w:pStyle w:val="4"/>
              <w:numPr>
                <w:ilvl w:val="0"/>
                <w:numId w:val="0"/>
              </w:numPr>
              <w:overflowPunct w:val="0"/>
              <w:jc w:val="center"/>
              <w:rPr>
                <w:b/>
                <w:color w:val="000000" w:themeColor="text1"/>
                <w:sz w:val="24"/>
                <w:szCs w:val="24"/>
              </w:rPr>
            </w:pPr>
            <w:r>
              <w:rPr>
                <w:rFonts w:hint="eastAsia"/>
                <w:b/>
                <w:color w:val="000000" w:themeColor="text1"/>
                <w:sz w:val="24"/>
                <w:szCs w:val="24"/>
              </w:rPr>
              <w:t>地方政府釐清情形</w:t>
            </w:r>
          </w:p>
        </w:tc>
      </w:tr>
      <w:tr w:rsidR="00A375F2" w14:paraId="30DB13EE" w14:textId="77777777">
        <w:tc>
          <w:tcPr>
            <w:tcW w:w="861" w:type="dxa"/>
            <w:vMerge/>
          </w:tcPr>
          <w:p w14:paraId="6EDAE09B" w14:textId="77777777" w:rsidR="00A375F2" w:rsidRDefault="00A375F2">
            <w:pPr>
              <w:pStyle w:val="2"/>
              <w:overflowPunct w:val="0"/>
              <w:ind w:leftChars="-24" w:left="599" w:rightChars="-19" w:right="-65"/>
              <w:jc w:val="center"/>
              <w:rPr>
                <w:color w:val="000000" w:themeColor="text1"/>
                <w:sz w:val="24"/>
                <w:szCs w:val="24"/>
              </w:rPr>
            </w:pPr>
          </w:p>
        </w:tc>
        <w:tc>
          <w:tcPr>
            <w:tcW w:w="2235" w:type="dxa"/>
            <w:gridSpan w:val="2"/>
            <w:vMerge/>
            <w:vAlign w:val="center"/>
          </w:tcPr>
          <w:p w14:paraId="5DE77C63" w14:textId="77777777" w:rsidR="00A375F2" w:rsidRDefault="00A375F2">
            <w:pPr>
              <w:pStyle w:val="4"/>
              <w:numPr>
                <w:ilvl w:val="0"/>
                <w:numId w:val="0"/>
              </w:numPr>
              <w:overflowPunct w:val="0"/>
              <w:jc w:val="center"/>
              <w:rPr>
                <w:color w:val="000000" w:themeColor="text1"/>
                <w:sz w:val="24"/>
                <w:szCs w:val="24"/>
              </w:rPr>
            </w:pPr>
          </w:p>
        </w:tc>
        <w:tc>
          <w:tcPr>
            <w:tcW w:w="1864" w:type="dxa"/>
            <w:gridSpan w:val="2"/>
            <w:vAlign w:val="center"/>
          </w:tcPr>
          <w:p w14:paraId="149BD954" w14:textId="77777777" w:rsidR="00A375F2" w:rsidRDefault="00000000">
            <w:pPr>
              <w:pStyle w:val="4"/>
              <w:numPr>
                <w:ilvl w:val="0"/>
                <w:numId w:val="0"/>
              </w:numPr>
              <w:overflowPunct w:val="0"/>
              <w:jc w:val="center"/>
              <w:rPr>
                <w:b/>
                <w:color w:val="000000" w:themeColor="text1"/>
                <w:sz w:val="24"/>
                <w:szCs w:val="24"/>
              </w:rPr>
            </w:pPr>
            <w:r>
              <w:rPr>
                <w:rFonts w:hint="eastAsia"/>
                <w:b/>
                <w:color w:val="000000" w:themeColor="text1"/>
                <w:sz w:val="24"/>
                <w:szCs w:val="24"/>
              </w:rPr>
              <w:t>繼受人有</w:t>
            </w:r>
          </w:p>
          <w:p w14:paraId="39ED2C8E" w14:textId="77777777" w:rsidR="00A375F2" w:rsidRDefault="00000000">
            <w:pPr>
              <w:pStyle w:val="4"/>
              <w:numPr>
                <w:ilvl w:val="0"/>
                <w:numId w:val="0"/>
              </w:numPr>
              <w:overflowPunct w:val="0"/>
              <w:jc w:val="center"/>
              <w:rPr>
                <w:color w:val="000000" w:themeColor="text1"/>
                <w:sz w:val="24"/>
                <w:szCs w:val="24"/>
              </w:rPr>
            </w:pPr>
            <w:r>
              <w:rPr>
                <w:rFonts w:hint="eastAsia"/>
                <w:b/>
                <w:color w:val="000000" w:themeColor="text1"/>
                <w:sz w:val="24"/>
                <w:szCs w:val="24"/>
              </w:rPr>
              <w:t>書面同意</w:t>
            </w:r>
          </w:p>
        </w:tc>
        <w:tc>
          <w:tcPr>
            <w:tcW w:w="2140" w:type="dxa"/>
            <w:gridSpan w:val="2"/>
            <w:vAlign w:val="center"/>
          </w:tcPr>
          <w:p w14:paraId="5AD31089" w14:textId="77777777" w:rsidR="00A375F2" w:rsidRDefault="00000000">
            <w:pPr>
              <w:pStyle w:val="4"/>
              <w:numPr>
                <w:ilvl w:val="0"/>
                <w:numId w:val="0"/>
              </w:numPr>
              <w:overflowPunct w:val="0"/>
              <w:jc w:val="center"/>
              <w:rPr>
                <w:b/>
                <w:color w:val="000000" w:themeColor="text1"/>
                <w:sz w:val="24"/>
                <w:szCs w:val="24"/>
              </w:rPr>
            </w:pPr>
            <w:r>
              <w:rPr>
                <w:rFonts w:hint="eastAsia"/>
                <w:b/>
                <w:color w:val="000000" w:themeColor="text1"/>
                <w:sz w:val="24"/>
                <w:szCs w:val="24"/>
              </w:rPr>
              <w:t>繼受人沒有</w:t>
            </w:r>
          </w:p>
          <w:p w14:paraId="6E2E4683" w14:textId="77777777" w:rsidR="00A375F2" w:rsidRDefault="00000000">
            <w:pPr>
              <w:pStyle w:val="4"/>
              <w:numPr>
                <w:ilvl w:val="0"/>
                <w:numId w:val="0"/>
              </w:numPr>
              <w:overflowPunct w:val="0"/>
              <w:jc w:val="center"/>
              <w:rPr>
                <w:color w:val="000000" w:themeColor="text1"/>
                <w:sz w:val="24"/>
                <w:szCs w:val="24"/>
              </w:rPr>
            </w:pPr>
            <w:r>
              <w:rPr>
                <w:rFonts w:hint="eastAsia"/>
                <w:b/>
                <w:color w:val="000000" w:themeColor="text1"/>
                <w:sz w:val="24"/>
                <w:szCs w:val="24"/>
              </w:rPr>
              <w:t>書面同意</w:t>
            </w:r>
          </w:p>
        </w:tc>
        <w:tc>
          <w:tcPr>
            <w:tcW w:w="1734" w:type="dxa"/>
            <w:gridSpan w:val="2"/>
            <w:vAlign w:val="center"/>
          </w:tcPr>
          <w:p w14:paraId="0053FB44" w14:textId="77777777" w:rsidR="00A375F2" w:rsidRDefault="00000000">
            <w:pPr>
              <w:pStyle w:val="4"/>
              <w:numPr>
                <w:ilvl w:val="0"/>
                <w:numId w:val="0"/>
              </w:numPr>
              <w:overflowPunct w:val="0"/>
              <w:jc w:val="center"/>
              <w:rPr>
                <w:color w:val="000000" w:themeColor="text1"/>
                <w:sz w:val="24"/>
                <w:szCs w:val="24"/>
              </w:rPr>
            </w:pPr>
            <w:r>
              <w:rPr>
                <w:rFonts w:hint="eastAsia"/>
                <w:b/>
                <w:color w:val="000000" w:themeColor="text1"/>
                <w:sz w:val="24"/>
                <w:szCs w:val="24"/>
              </w:rPr>
              <w:t>受領人於申請前已死亡</w:t>
            </w:r>
          </w:p>
        </w:tc>
      </w:tr>
      <w:tr w:rsidR="00A375F2" w14:paraId="73682532" w14:textId="77777777">
        <w:trPr>
          <w:trHeight w:val="355"/>
        </w:trPr>
        <w:tc>
          <w:tcPr>
            <w:tcW w:w="861" w:type="dxa"/>
            <w:vMerge/>
            <w:vAlign w:val="center"/>
          </w:tcPr>
          <w:p w14:paraId="5F985C17" w14:textId="77777777" w:rsidR="00A375F2" w:rsidRDefault="00A375F2">
            <w:pPr>
              <w:pStyle w:val="2"/>
              <w:numPr>
                <w:ilvl w:val="0"/>
                <w:numId w:val="0"/>
              </w:numPr>
              <w:overflowPunct w:val="0"/>
              <w:ind w:leftChars="-24" w:left="-82" w:rightChars="-19" w:right="-65"/>
              <w:jc w:val="center"/>
              <w:rPr>
                <w:b/>
                <w:color w:val="000000" w:themeColor="text1"/>
                <w:sz w:val="24"/>
                <w:szCs w:val="24"/>
              </w:rPr>
            </w:pPr>
          </w:p>
        </w:tc>
        <w:tc>
          <w:tcPr>
            <w:tcW w:w="719" w:type="dxa"/>
            <w:vAlign w:val="center"/>
          </w:tcPr>
          <w:p w14:paraId="7311C348" w14:textId="77777777" w:rsidR="00A375F2" w:rsidRDefault="00000000">
            <w:pPr>
              <w:pStyle w:val="2"/>
              <w:numPr>
                <w:ilvl w:val="0"/>
                <w:numId w:val="0"/>
              </w:numPr>
              <w:overflowPunct w:val="0"/>
              <w:ind w:leftChars="-29" w:left="-99" w:rightChars="-31" w:right="-105"/>
              <w:jc w:val="center"/>
              <w:rPr>
                <w:b/>
                <w:color w:val="000000" w:themeColor="text1"/>
                <w:sz w:val="24"/>
                <w:szCs w:val="24"/>
              </w:rPr>
            </w:pPr>
            <w:r>
              <w:rPr>
                <w:rFonts w:hint="eastAsia"/>
                <w:b/>
                <w:color w:val="000000" w:themeColor="text1"/>
                <w:sz w:val="24"/>
                <w:szCs w:val="24"/>
              </w:rPr>
              <w:t>筆數</w:t>
            </w:r>
          </w:p>
        </w:tc>
        <w:tc>
          <w:tcPr>
            <w:tcW w:w="1516" w:type="dxa"/>
            <w:vAlign w:val="center"/>
          </w:tcPr>
          <w:p w14:paraId="0B7D94B3" w14:textId="77777777" w:rsidR="00A375F2" w:rsidRDefault="00000000">
            <w:pPr>
              <w:pStyle w:val="2"/>
              <w:numPr>
                <w:ilvl w:val="0"/>
                <w:numId w:val="0"/>
              </w:numPr>
              <w:overflowPunct w:val="0"/>
              <w:jc w:val="center"/>
              <w:rPr>
                <w:b/>
                <w:color w:val="000000" w:themeColor="text1"/>
                <w:sz w:val="24"/>
                <w:szCs w:val="24"/>
              </w:rPr>
            </w:pPr>
            <w:r>
              <w:rPr>
                <w:rFonts w:hint="eastAsia"/>
                <w:b/>
                <w:color w:val="000000" w:themeColor="text1"/>
                <w:sz w:val="24"/>
                <w:szCs w:val="24"/>
              </w:rPr>
              <w:t>金額</w:t>
            </w:r>
          </w:p>
        </w:tc>
        <w:tc>
          <w:tcPr>
            <w:tcW w:w="737" w:type="dxa"/>
            <w:vAlign w:val="center"/>
          </w:tcPr>
          <w:p w14:paraId="6BBE4E19" w14:textId="77777777" w:rsidR="00A375F2" w:rsidRDefault="00000000">
            <w:pPr>
              <w:pStyle w:val="2"/>
              <w:numPr>
                <w:ilvl w:val="0"/>
                <w:numId w:val="0"/>
              </w:numPr>
              <w:overflowPunct w:val="0"/>
              <w:jc w:val="center"/>
              <w:rPr>
                <w:b/>
                <w:color w:val="000000" w:themeColor="text1"/>
                <w:sz w:val="24"/>
                <w:szCs w:val="24"/>
              </w:rPr>
            </w:pPr>
            <w:r>
              <w:rPr>
                <w:rFonts w:hint="eastAsia"/>
                <w:b/>
                <w:color w:val="000000" w:themeColor="text1"/>
                <w:sz w:val="24"/>
                <w:szCs w:val="24"/>
              </w:rPr>
              <w:t>筆數</w:t>
            </w:r>
          </w:p>
        </w:tc>
        <w:tc>
          <w:tcPr>
            <w:tcW w:w="1127" w:type="dxa"/>
            <w:vAlign w:val="center"/>
          </w:tcPr>
          <w:p w14:paraId="7EC70253" w14:textId="77777777" w:rsidR="00A375F2" w:rsidRDefault="00000000">
            <w:pPr>
              <w:pStyle w:val="2"/>
              <w:numPr>
                <w:ilvl w:val="0"/>
                <w:numId w:val="0"/>
              </w:numPr>
              <w:overflowPunct w:val="0"/>
              <w:jc w:val="center"/>
              <w:rPr>
                <w:b/>
                <w:color w:val="000000" w:themeColor="text1"/>
                <w:sz w:val="24"/>
                <w:szCs w:val="24"/>
              </w:rPr>
            </w:pPr>
            <w:r>
              <w:rPr>
                <w:rFonts w:hint="eastAsia"/>
                <w:b/>
                <w:color w:val="000000" w:themeColor="text1"/>
                <w:sz w:val="24"/>
                <w:szCs w:val="24"/>
              </w:rPr>
              <w:t>金額</w:t>
            </w:r>
          </w:p>
        </w:tc>
        <w:tc>
          <w:tcPr>
            <w:tcW w:w="753" w:type="dxa"/>
            <w:vAlign w:val="center"/>
          </w:tcPr>
          <w:p w14:paraId="33B12410" w14:textId="77777777" w:rsidR="00A375F2" w:rsidRDefault="00000000">
            <w:pPr>
              <w:pStyle w:val="2"/>
              <w:numPr>
                <w:ilvl w:val="0"/>
                <w:numId w:val="0"/>
              </w:numPr>
              <w:overflowPunct w:val="0"/>
              <w:jc w:val="center"/>
              <w:rPr>
                <w:b/>
                <w:color w:val="000000" w:themeColor="text1"/>
                <w:sz w:val="24"/>
                <w:szCs w:val="24"/>
              </w:rPr>
            </w:pPr>
            <w:r>
              <w:rPr>
                <w:rFonts w:hint="eastAsia"/>
                <w:b/>
                <w:color w:val="000000" w:themeColor="text1"/>
                <w:sz w:val="24"/>
                <w:szCs w:val="24"/>
              </w:rPr>
              <w:t>筆數</w:t>
            </w:r>
          </w:p>
        </w:tc>
        <w:tc>
          <w:tcPr>
            <w:tcW w:w="1387" w:type="dxa"/>
            <w:vAlign w:val="center"/>
          </w:tcPr>
          <w:p w14:paraId="2DC141AC" w14:textId="77777777" w:rsidR="00A375F2" w:rsidRDefault="00000000">
            <w:pPr>
              <w:pStyle w:val="2"/>
              <w:numPr>
                <w:ilvl w:val="0"/>
                <w:numId w:val="0"/>
              </w:numPr>
              <w:overflowPunct w:val="0"/>
              <w:jc w:val="center"/>
              <w:rPr>
                <w:b/>
                <w:color w:val="000000" w:themeColor="text1"/>
                <w:sz w:val="24"/>
                <w:szCs w:val="24"/>
              </w:rPr>
            </w:pPr>
            <w:r>
              <w:rPr>
                <w:rFonts w:hint="eastAsia"/>
                <w:b/>
                <w:color w:val="000000" w:themeColor="text1"/>
                <w:sz w:val="24"/>
                <w:szCs w:val="24"/>
              </w:rPr>
              <w:t>金額</w:t>
            </w:r>
          </w:p>
        </w:tc>
        <w:tc>
          <w:tcPr>
            <w:tcW w:w="737" w:type="dxa"/>
            <w:vAlign w:val="center"/>
          </w:tcPr>
          <w:p w14:paraId="6A011E60" w14:textId="77777777" w:rsidR="00A375F2" w:rsidRDefault="00000000">
            <w:pPr>
              <w:pStyle w:val="2"/>
              <w:numPr>
                <w:ilvl w:val="0"/>
                <w:numId w:val="0"/>
              </w:numPr>
              <w:overflowPunct w:val="0"/>
              <w:jc w:val="center"/>
              <w:rPr>
                <w:b/>
                <w:color w:val="000000" w:themeColor="text1"/>
                <w:sz w:val="24"/>
                <w:szCs w:val="24"/>
              </w:rPr>
            </w:pPr>
            <w:r>
              <w:rPr>
                <w:rFonts w:hint="eastAsia"/>
                <w:b/>
                <w:color w:val="000000" w:themeColor="text1"/>
                <w:sz w:val="24"/>
                <w:szCs w:val="24"/>
              </w:rPr>
              <w:t>筆數</w:t>
            </w:r>
          </w:p>
        </w:tc>
        <w:tc>
          <w:tcPr>
            <w:tcW w:w="997" w:type="dxa"/>
            <w:vAlign w:val="center"/>
          </w:tcPr>
          <w:p w14:paraId="47F7403C" w14:textId="77777777" w:rsidR="00A375F2" w:rsidRDefault="00000000">
            <w:pPr>
              <w:pStyle w:val="2"/>
              <w:numPr>
                <w:ilvl w:val="0"/>
                <w:numId w:val="0"/>
              </w:numPr>
              <w:overflowPunct w:val="0"/>
              <w:jc w:val="center"/>
              <w:rPr>
                <w:b/>
                <w:color w:val="000000" w:themeColor="text1"/>
                <w:sz w:val="24"/>
                <w:szCs w:val="24"/>
              </w:rPr>
            </w:pPr>
            <w:r>
              <w:rPr>
                <w:rFonts w:hint="eastAsia"/>
                <w:b/>
                <w:color w:val="000000" w:themeColor="text1"/>
                <w:sz w:val="24"/>
                <w:szCs w:val="24"/>
              </w:rPr>
              <w:t>金額</w:t>
            </w:r>
          </w:p>
        </w:tc>
      </w:tr>
      <w:tr w:rsidR="00A375F2" w14:paraId="29473687" w14:textId="77777777">
        <w:tc>
          <w:tcPr>
            <w:tcW w:w="861" w:type="dxa"/>
            <w:vAlign w:val="center"/>
          </w:tcPr>
          <w:p w14:paraId="7D67E27A" w14:textId="77777777" w:rsidR="00A375F2" w:rsidRDefault="00000000">
            <w:pPr>
              <w:overflowPunct w:val="0"/>
              <w:spacing w:beforeLines="15" w:before="68" w:afterLines="15" w:after="68"/>
              <w:ind w:leftChars="-28" w:left="-95" w:rightChars="-33" w:right="-112"/>
              <w:jc w:val="center"/>
              <w:rPr>
                <w:rFonts w:ascii="新細明體" w:eastAsia="新細明體"/>
                <w:color w:val="000000" w:themeColor="text1"/>
                <w:kern w:val="0"/>
                <w:sz w:val="24"/>
                <w:szCs w:val="24"/>
              </w:rPr>
            </w:pPr>
            <w:r>
              <w:rPr>
                <w:rFonts w:hint="eastAsia"/>
                <w:color w:val="000000" w:themeColor="text1"/>
                <w:sz w:val="24"/>
                <w:szCs w:val="24"/>
              </w:rPr>
              <w:t>桃園市</w:t>
            </w:r>
          </w:p>
        </w:tc>
        <w:tc>
          <w:tcPr>
            <w:tcW w:w="719" w:type="dxa"/>
            <w:vAlign w:val="center"/>
          </w:tcPr>
          <w:p w14:paraId="15685124" w14:textId="77777777" w:rsidR="00A375F2" w:rsidRDefault="00000000">
            <w:pPr>
              <w:overflowPunct w:val="0"/>
              <w:ind w:rightChars="25" w:right="85"/>
              <w:jc w:val="right"/>
              <w:rPr>
                <w:rFonts w:hAnsi="標楷體" w:cs="新細明體"/>
                <w:color w:val="000000" w:themeColor="text1"/>
                <w:sz w:val="24"/>
                <w:szCs w:val="24"/>
              </w:rPr>
            </w:pPr>
            <w:r>
              <w:rPr>
                <w:rFonts w:hAnsi="標楷體" w:cs="新細明體" w:hint="eastAsia"/>
                <w:color w:val="000000" w:themeColor="text1"/>
                <w:sz w:val="24"/>
                <w:szCs w:val="24"/>
              </w:rPr>
              <w:t>55</w:t>
            </w:r>
          </w:p>
        </w:tc>
        <w:tc>
          <w:tcPr>
            <w:tcW w:w="1516" w:type="dxa"/>
            <w:vAlign w:val="center"/>
          </w:tcPr>
          <w:p w14:paraId="5DFD9E6E" w14:textId="77777777" w:rsidR="00A375F2" w:rsidRDefault="00000000">
            <w:pPr>
              <w:overflowPunct w:val="0"/>
              <w:jc w:val="right"/>
              <w:rPr>
                <w:color w:val="000000" w:themeColor="text1"/>
                <w:sz w:val="24"/>
                <w:szCs w:val="24"/>
              </w:rPr>
            </w:pPr>
            <w:r>
              <w:rPr>
                <w:rFonts w:hint="eastAsia"/>
                <w:color w:val="000000" w:themeColor="text1"/>
                <w:sz w:val="24"/>
                <w:szCs w:val="24"/>
              </w:rPr>
              <w:t xml:space="preserve">  699,618 </w:t>
            </w:r>
          </w:p>
        </w:tc>
        <w:tc>
          <w:tcPr>
            <w:tcW w:w="737" w:type="dxa"/>
            <w:vAlign w:val="center"/>
          </w:tcPr>
          <w:p w14:paraId="65B3BF52" w14:textId="77777777" w:rsidR="00A375F2" w:rsidRDefault="00000000">
            <w:pPr>
              <w:overflowPunct w:val="0"/>
              <w:jc w:val="right"/>
              <w:rPr>
                <w:rFonts w:hAnsi="標楷體" w:cs="新細明體"/>
                <w:color w:val="000000" w:themeColor="text1"/>
                <w:sz w:val="24"/>
                <w:szCs w:val="24"/>
              </w:rPr>
            </w:pPr>
            <w:r>
              <w:rPr>
                <w:rFonts w:hAnsi="標楷體" w:cs="新細明體" w:hint="eastAsia"/>
                <w:color w:val="000000" w:themeColor="text1"/>
                <w:sz w:val="24"/>
                <w:szCs w:val="24"/>
              </w:rPr>
              <w:t>5</w:t>
            </w:r>
          </w:p>
        </w:tc>
        <w:tc>
          <w:tcPr>
            <w:tcW w:w="1127" w:type="dxa"/>
            <w:vAlign w:val="center"/>
          </w:tcPr>
          <w:p w14:paraId="3BBF9311" w14:textId="77777777" w:rsidR="00A375F2" w:rsidRDefault="00000000">
            <w:pPr>
              <w:overflowPunct w:val="0"/>
              <w:jc w:val="right"/>
              <w:rPr>
                <w:color w:val="000000" w:themeColor="text1"/>
                <w:sz w:val="24"/>
                <w:szCs w:val="24"/>
              </w:rPr>
            </w:pPr>
            <w:r>
              <w:rPr>
                <w:rFonts w:hint="eastAsia"/>
                <w:color w:val="000000" w:themeColor="text1"/>
                <w:sz w:val="24"/>
                <w:szCs w:val="24"/>
              </w:rPr>
              <w:t>9</w:t>
            </w:r>
            <w:r>
              <w:rPr>
                <w:color w:val="000000" w:themeColor="text1"/>
                <w:sz w:val="24"/>
                <w:szCs w:val="24"/>
              </w:rPr>
              <w:t>8,301</w:t>
            </w:r>
          </w:p>
        </w:tc>
        <w:tc>
          <w:tcPr>
            <w:tcW w:w="753" w:type="dxa"/>
            <w:vAlign w:val="center"/>
          </w:tcPr>
          <w:p w14:paraId="3F79CAB1" w14:textId="77777777" w:rsidR="00A375F2" w:rsidRDefault="00000000">
            <w:pPr>
              <w:overflowPunct w:val="0"/>
              <w:ind w:rightChars="25" w:right="85"/>
              <w:jc w:val="right"/>
              <w:rPr>
                <w:color w:val="000000" w:themeColor="text1"/>
                <w:sz w:val="24"/>
                <w:szCs w:val="24"/>
              </w:rPr>
            </w:pPr>
            <w:r>
              <w:rPr>
                <w:rFonts w:hAnsi="標楷體" w:cs="新細明體"/>
                <w:color w:val="000000" w:themeColor="text1"/>
                <w:sz w:val="24"/>
                <w:szCs w:val="24"/>
              </w:rPr>
              <w:t>50</w:t>
            </w:r>
          </w:p>
        </w:tc>
        <w:tc>
          <w:tcPr>
            <w:tcW w:w="1387" w:type="dxa"/>
            <w:vAlign w:val="center"/>
          </w:tcPr>
          <w:p w14:paraId="3E61C822" w14:textId="77777777" w:rsidR="00A375F2" w:rsidRDefault="00000000">
            <w:pPr>
              <w:pStyle w:val="4"/>
              <w:numPr>
                <w:ilvl w:val="0"/>
                <w:numId w:val="0"/>
              </w:numPr>
              <w:overflowPunct w:val="0"/>
              <w:jc w:val="right"/>
              <w:rPr>
                <w:color w:val="000000" w:themeColor="text1"/>
                <w:sz w:val="24"/>
                <w:szCs w:val="24"/>
              </w:rPr>
            </w:pPr>
            <w:r>
              <w:rPr>
                <w:color w:val="000000" w:themeColor="text1"/>
                <w:sz w:val="24"/>
                <w:szCs w:val="24"/>
              </w:rPr>
              <w:t>601,317</w:t>
            </w:r>
          </w:p>
        </w:tc>
        <w:tc>
          <w:tcPr>
            <w:tcW w:w="737" w:type="dxa"/>
            <w:vAlign w:val="center"/>
          </w:tcPr>
          <w:p w14:paraId="4847A667" w14:textId="77777777" w:rsidR="00A375F2" w:rsidRDefault="00A375F2">
            <w:pPr>
              <w:pStyle w:val="4"/>
              <w:numPr>
                <w:ilvl w:val="0"/>
                <w:numId w:val="0"/>
              </w:numPr>
              <w:overflowPunct w:val="0"/>
              <w:jc w:val="right"/>
              <w:rPr>
                <w:color w:val="000000" w:themeColor="text1"/>
                <w:sz w:val="24"/>
                <w:szCs w:val="24"/>
              </w:rPr>
            </w:pPr>
          </w:p>
        </w:tc>
        <w:tc>
          <w:tcPr>
            <w:tcW w:w="997" w:type="dxa"/>
            <w:vAlign w:val="center"/>
          </w:tcPr>
          <w:p w14:paraId="7FC7A664" w14:textId="77777777" w:rsidR="00A375F2" w:rsidRDefault="00A375F2">
            <w:pPr>
              <w:pStyle w:val="4"/>
              <w:numPr>
                <w:ilvl w:val="0"/>
                <w:numId w:val="0"/>
              </w:numPr>
              <w:overflowPunct w:val="0"/>
              <w:jc w:val="right"/>
              <w:rPr>
                <w:color w:val="000000" w:themeColor="text1"/>
                <w:sz w:val="24"/>
                <w:szCs w:val="24"/>
              </w:rPr>
            </w:pPr>
          </w:p>
        </w:tc>
      </w:tr>
      <w:tr w:rsidR="00A375F2" w14:paraId="1375D74C" w14:textId="77777777">
        <w:tc>
          <w:tcPr>
            <w:tcW w:w="861" w:type="dxa"/>
            <w:vAlign w:val="center"/>
          </w:tcPr>
          <w:p w14:paraId="2C03979C" w14:textId="77777777" w:rsidR="00A375F2" w:rsidRDefault="00000000">
            <w:pPr>
              <w:overflowPunct w:val="0"/>
              <w:spacing w:beforeLines="15" w:before="68" w:afterLines="15" w:after="68"/>
              <w:ind w:leftChars="-28" w:left="-95" w:rightChars="-33" w:right="-112"/>
              <w:jc w:val="center"/>
              <w:rPr>
                <w:color w:val="000000" w:themeColor="text1"/>
                <w:sz w:val="24"/>
                <w:szCs w:val="24"/>
              </w:rPr>
            </w:pPr>
            <w:r>
              <w:rPr>
                <w:rFonts w:hint="eastAsia"/>
                <w:color w:val="000000" w:themeColor="text1"/>
                <w:sz w:val="24"/>
                <w:szCs w:val="24"/>
              </w:rPr>
              <w:t>新竹縣</w:t>
            </w:r>
          </w:p>
        </w:tc>
        <w:tc>
          <w:tcPr>
            <w:tcW w:w="719" w:type="dxa"/>
            <w:vAlign w:val="center"/>
          </w:tcPr>
          <w:p w14:paraId="20DC08DA" w14:textId="77777777" w:rsidR="00A375F2" w:rsidRDefault="00000000">
            <w:pPr>
              <w:overflowPunct w:val="0"/>
              <w:ind w:rightChars="25" w:right="85"/>
              <w:jc w:val="right"/>
              <w:rPr>
                <w:rFonts w:hAnsi="標楷體" w:cs="新細明體"/>
                <w:color w:val="000000" w:themeColor="text1"/>
                <w:sz w:val="24"/>
                <w:szCs w:val="24"/>
              </w:rPr>
            </w:pPr>
            <w:r>
              <w:rPr>
                <w:rFonts w:hAnsi="標楷體" w:cs="新細明體" w:hint="eastAsia"/>
                <w:color w:val="000000" w:themeColor="text1"/>
                <w:sz w:val="24"/>
                <w:szCs w:val="24"/>
              </w:rPr>
              <w:t>40</w:t>
            </w:r>
          </w:p>
        </w:tc>
        <w:tc>
          <w:tcPr>
            <w:tcW w:w="1516" w:type="dxa"/>
            <w:vAlign w:val="center"/>
          </w:tcPr>
          <w:p w14:paraId="344C4A1E" w14:textId="77777777" w:rsidR="00A375F2" w:rsidRDefault="00000000">
            <w:pPr>
              <w:overflowPunct w:val="0"/>
              <w:jc w:val="right"/>
              <w:rPr>
                <w:color w:val="000000" w:themeColor="text1"/>
                <w:sz w:val="24"/>
                <w:szCs w:val="24"/>
              </w:rPr>
            </w:pPr>
            <w:r>
              <w:rPr>
                <w:rFonts w:hint="eastAsia"/>
                <w:color w:val="000000" w:themeColor="text1"/>
                <w:sz w:val="24"/>
                <w:szCs w:val="24"/>
              </w:rPr>
              <w:t xml:space="preserve">1,288,911 </w:t>
            </w:r>
          </w:p>
        </w:tc>
        <w:tc>
          <w:tcPr>
            <w:tcW w:w="737" w:type="dxa"/>
            <w:vAlign w:val="center"/>
          </w:tcPr>
          <w:p w14:paraId="6DC44034" w14:textId="77777777" w:rsidR="00A375F2" w:rsidRDefault="00000000">
            <w:pPr>
              <w:pStyle w:val="4"/>
              <w:numPr>
                <w:ilvl w:val="0"/>
                <w:numId w:val="0"/>
              </w:numPr>
              <w:overflowPunct w:val="0"/>
              <w:jc w:val="right"/>
              <w:rPr>
                <w:color w:val="000000" w:themeColor="text1"/>
                <w:sz w:val="24"/>
                <w:szCs w:val="24"/>
              </w:rPr>
            </w:pPr>
            <w:r>
              <w:rPr>
                <w:rFonts w:hint="eastAsia"/>
                <w:color w:val="000000" w:themeColor="text1"/>
                <w:sz w:val="24"/>
                <w:szCs w:val="24"/>
              </w:rPr>
              <w:t>1</w:t>
            </w:r>
            <w:r>
              <w:rPr>
                <w:color w:val="000000" w:themeColor="text1"/>
                <w:sz w:val="24"/>
                <w:szCs w:val="24"/>
              </w:rPr>
              <w:t>6</w:t>
            </w:r>
          </w:p>
        </w:tc>
        <w:tc>
          <w:tcPr>
            <w:tcW w:w="1127" w:type="dxa"/>
            <w:vAlign w:val="center"/>
          </w:tcPr>
          <w:p w14:paraId="1CE00CE5" w14:textId="77777777" w:rsidR="00A375F2" w:rsidRDefault="00000000">
            <w:pPr>
              <w:pStyle w:val="4"/>
              <w:numPr>
                <w:ilvl w:val="0"/>
                <w:numId w:val="0"/>
              </w:numPr>
              <w:overflowPunct w:val="0"/>
              <w:jc w:val="right"/>
              <w:rPr>
                <w:color w:val="000000" w:themeColor="text1"/>
                <w:sz w:val="24"/>
                <w:szCs w:val="24"/>
              </w:rPr>
            </w:pPr>
            <w:r>
              <w:rPr>
                <w:color w:val="000000" w:themeColor="text1"/>
                <w:sz w:val="24"/>
                <w:szCs w:val="24"/>
              </w:rPr>
              <w:t>657,882</w:t>
            </w:r>
          </w:p>
        </w:tc>
        <w:tc>
          <w:tcPr>
            <w:tcW w:w="753" w:type="dxa"/>
            <w:vAlign w:val="center"/>
          </w:tcPr>
          <w:p w14:paraId="5A5B665C" w14:textId="77777777" w:rsidR="00A375F2" w:rsidRDefault="00000000">
            <w:pPr>
              <w:overflowPunct w:val="0"/>
              <w:ind w:rightChars="25" w:right="85"/>
              <w:jc w:val="right"/>
              <w:rPr>
                <w:color w:val="000000" w:themeColor="text1"/>
                <w:sz w:val="24"/>
                <w:szCs w:val="24"/>
              </w:rPr>
            </w:pPr>
            <w:r>
              <w:rPr>
                <w:rFonts w:hint="eastAsia"/>
                <w:color w:val="000000" w:themeColor="text1"/>
                <w:sz w:val="24"/>
                <w:szCs w:val="24"/>
              </w:rPr>
              <w:t>2</w:t>
            </w:r>
            <w:r>
              <w:rPr>
                <w:color w:val="000000" w:themeColor="text1"/>
                <w:sz w:val="24"/>
                <w:szCs w:val="24"/>
              </w:rPr>
              <w:t>8</w:t>
            </w:r>
          </w:p>
        </w:tc>
        <w:tc>
          <w:tcPr>
            <w:tcW w:w="1387" w:type="dxa"/>
            <w:vAlign w:val="center"/>
          </w:tcPr>
          <w:p w14:paraId="7F72C7F6" w14:textId="77777777" w:rsidR="00A375F2" w:rsidRDefault="00000000">
            <w:pPr>
              <w:pStyle w:val="4"/>
              <w:numPr>
                <w:ilvl w:val="0"/>
                <w:numId w:val="0"/>
              </w:numPr>
              <w:overflowPunct w:val="0"/>
              <w:jc w:val="right"/>
              <w:rPr>
                <w:color w:val="000000" w:themeColor="text1"/>
                <w:sz w:val="24"/>
                <w:szCs w:val="24"/>
              </w:rPr>
            </w:pPr>
            <w:r>
              <w:rPr>
                <w:rFonts w:hint="eastAsia"/>
                <w:color w:val="000000" w:themeColor="text1"/>
                <w:sz w:val="24"/>
                <w:szCs w:val="24"/>
              </w:rPr>
              <w:t>7</w:t>
            </w:r>
            <w:r>
              <w:rPr>
                <w:color w:val="000000" w:themeColor="text1"/>
                <w:sz w:val="24"/>
                <w:szCs w:val="24"/>
              </w:rPr>
              <w:t>56,941</w:t>
            </w:r>
          </w:p>
        </w:tc>
        <w:tc>
          <w:tcPr>
            <w:tcW w:w="737" w:type="dxa"/>
            <w:vAlign w:val="center"/>
          </w:tcPr>
          <w:p w14:paraId="716E21D3" w14:textId="77777777" w:rsidR="00A375F2" w:rsidRDefault="00000000">
            <w:pPr>
              <w:pStyle w:val="4"/>
              <w:numPr>
                <w:ilvl w:val="0"/>
                <w:numId w:val="0"/>
              </w:numPr>
              <w:overflowPunct w:val="0"/>
              <w:jc w:val="right"/>
              <w:rPr>
                <w:color w:val="000000" w:themeColor="text1"/>
                <w:sz w:val="24"/>
                <w:szCs w:val="24"/>
              </w:rPr>
            </w:pPr>
            <w:r>
              <w:rPr>
                <w:rFonts w:hint="eastAsia"/>
                <w:color w:val="000000" w:themeColor="text1"/>
                <w:sz w:val="24"/>
                <w:szCs w:val="24"/>
              </w:rPr>
              <w:t>1</w:t>
            </w:r>
          </w:p>
        </w:tc>
        <w:tc>
          <w:tcPr>
            <w:tcW w:w="997" w:type="dxa"/>
            <w:vAlign w:val="center"/>
          </w:tcPr>
          <w:p w14:paraId="2914866D" w14:textId="77777777" w:rsidR="00A375F2" w:rsidRDefault="00000000">
            <w:pPr>
              <w:pStyle w:val="4"/>
              <w:numPr>
                <w:ilvl w:val="0"/>
                <w:numId w:val="0"/>
              </w:numPr>
              <w:overflowPunct w:val="0"/>
              <w:jc w:val="right"/>
              <w:rPr>
                <w:color w:val="000000" w:themeColor="text1"/>
                <w:sz w:val="24"/>
                <w:szCs w:val="24"/>
              </w:rPr>
            </w:pPr>
            <w:r>
              <w:rPr>
                <w:rFonts w:hint="eastAsia"/>
                <w:color w:val="000000" w:themeColor="text1"/>
                <w:sz w:val="24"/>
                <w:szCs w:val="24"/>
              </w:rPr>
              <w:t>7</w:t>
            </w:r>
            <w:r>
              <w:rPr>
                <w:color w:val="000000" w:themeColor="text1"/>
                <w:sz w:val="24"/>
                <w:szCs w:val="24"/>
              </w:rPr>
              <w:t>4,250</w:t>
            </w:r>
          </w:p>
        </w:tc>
      </w:tr>
      <w:tr w:rsidR="00A375F2" w14:paraId="2B606278" w14:textId="77777777">
        <w:tc>
          <w:tcPr>
            <w:tcW w:w="861" w:type="dxa"/>
            <w:vAlign w:val="center"/>
          </w:tcPr>
          <w:p w14:paraId="2AD12DF7" w14:textId="77777777" w:rsidR="00A375F2" w:rsidRDefault="00000000">
            <w:pPr>
              <w:overflowPunct w:val="0"/>
              <w:spacing w:beforeLines="15" w:before="68" w:afterLines="15" w:after="68"/>
              <w:ind w:leftChars="-28" w:left="-95" w:rightChars="-33" w:right="-112"/>
              <w:jc w:val="center"/>
              <w:rPr>
                <w:color w:val="000000" w:themeColor="text1"/>
                <w:sz w:val="24"/>
                <w:szCs w:val="24"/>
              </w:rPr>
            </w:pPr>
            <w:r>
              <w:rPr>
                <w:rFonts w:hint="eastAsia"/>
                <w:color w:val="000000" w:themeColor="text1"/>
                <w:sz w:val="24"/>
                <w:szCs w:val="24"/>
              </w:rPr>
              <w:t>屏東縣</w:t>
            </w:r>
          </w:p>
        </w:tc>
        <w:tc>
          <w:tcPr>
            <w:tcW w:w="719" w:type="dxa"/>
            <w:vAlign w:val="center"/>
          </w:tcPr>
          <w:p w14:paraId="35DD2EC7" w14:textId="77777777" w:rsidR="00A375F2" w:rsidRDefault="00000000">
            <w:pPr>
              <w:overflowPunct w:val="0"/>
              <w:ind w:rightChars="25" w:right="85"/>
              <w:jc w:val="right"/>
              <w:rPr>
                <w:rFonts w:hAnsi="標楷體" w:cs="新細明體"/>
                <w:color w:val="000000" w:themeColor="text1"/>
                <w:sz w:val="24"/>
                <w:szCs w:val="24"/>
              </w:rPr>
            </w:pPr>
            <w:r>
              <w:rPr>
                <w:rFonts w:hAnsi="標楷體" w:cs="新細明體" w:hint="eastAsia"/>
                <w:color w:val="000000" w:themeColor="text1"/>
                <w:sz w:val="24"/>
                <w:szCs w:val="24"/>
              </w:rPr>
              <w:t>16</w:t>
            </w:r>
          </w:p>
        </w:tc>
        <w:tc>
          <w:tcPr>
            <w:tcW w:w="1516" w:type="dxa"/>
            <w:vAlign w:val="center"/>
          </w:tcPr>
          <w:p w14:paraId="01585E2A" w14:textId="77777777" w:rsidR="00A375F2" w:rsidRDefault="00000000">
            <w:pPr>
              <w:overflowPunct w:val="0"/>
              <w:jc w:val="right"/>
              <w:rPr>
                <w:color w:val="000000" w:themeColor="text1"/>
                <w:sz w:val="24"/>
                <w:szCs w:val="24"/>
              </w:rPr>
            </w:pPr>
            <w:r>
              <w:rPr>
                <w:rFonts w:hint="eastAsia"/>
                <w:color w:val="000000" w:themeColor="text1"/>
                <w:sz w:val="24"/>
                <w:szCs w:val="24"/>
              </w:rPr>
              <w:t xml:space="preserve">  271,320 </w:t>
            </w:r>
          </w:p>
        </w:tc>
        <w:tc>
          <w:tcPr>
            <w:tcW w:w="737" w:type="dxa"/>
            <w:vAlign w:val="center"/>
          </w:tcPr>
          <w:p w14:paraId="36212AE1" w14:textId="77777777" w:rsidR="00A375F2" w:rsidRDefault="00000000">
            <w:pPr>
              <w:pStyle w:val="4"/>
              <w:numPr>
                <w:ilvl w:val="0"/>
                <w:numId w:val="0"/>
              </w:numPr>
              <w:overflowPunct w:val="0"/>
              <w:jc w:val="right"/>
              <w:rPr>
                <w:color w:val="000000" w:themeColor="text1"/>
                <w:sz w:val="24"/>
                <w:szCs w:val="24"/>
              </w:rPr>
            </w:pPr>
            <w:r>
              <w:rPr>
                <w:rFonts w:hint="eastAsia"/>
                <w:color w:val="000000" w:themeColor="text1"/>
                <w:sz w:val="24"/>
                <w:szCs w:val="24"/>
              </w:rPr>
              <w:t>0</w:t>
            </w:r>
          </w:p>
        </w:tc>
        <w:tc>
          <w:tcPr>
            <w:tcW w:w="1127" w:type="dxa"/>
            <w:vAlign w:val="center"/>
          </w:tcPr>
          <w:p w14:paraId="3176C75E" w14:textId="77777777" w:rsidR="00A375F2" w:rsidRDefault="00000000">
            <w:pPr>
              <w:pStyle w:val="4"/>
              <w:numPr>
                <w:ilvl w:val="0"/>
                <w:numId w:val="0"/>
              </w:numPr>
              <w:overflowPunct w:val="0"/>
              <w:jc w:val="right"/>
              <w:rPr>
                <w:color w:val="000000" w:themeColor="text1"/>
                <w:sz w:val="24"/>
                <w:szCs w:val="24"/>
              </w:rPr>
            </w:pPr>
            <w:r>
              <w:rPr>
                <w:rFonts w:hint="eastAsia"/>
                <w:color w:val="000000" w:themeColor="text1"/>
                <w:sz w:val="24"/>
                <w:szCs w:val="24"/>
              </w:rPr>
              <w:t>0</w:t>
            </w:r>
          </w:p>
        </w:tc>
        <w:tc>
          <w:tcPr>
            <w:tcW w:w="753" w:type="dxa"/>
            <w:vAlign w:val="center"/>
          </w:tcPr>
          <w:p w14:paraId="34CB26FC" w14:textId="77777777" w:rsidR="00A375F2" w:rsidRDefault="00000000">
            <w:pPr>
              <w:overflowPunct w:val="0"/>
              <w:ind w:rightChars="25" w:right="85"/>
              <w:jc w:val="right"/>
              <w:rPr>
                <w:rFonts w:hAnsi="標楷體" w:cs="新細明體"/>
                <w:color w:val="000000" w:themeColor="text1"/>
                <w:sz w:val="24"/>
                <w:szCs w:val="24"/>
              </w:rPr>
            </w:pPr>
            <w:r>
              <w:rPr>
                <w:rFonts w:hAnsi="標楷體" w:cs="新細明體" w:hint="eastAsia"/>
                <w:color w:val="000000" w:themeColor="text1"/>
                <w:sz w:val="24"/>
                <w:szCs w:val="24"/>
              </w:rPr>
              <w:t>16</w:t>
            </w:r>
          </w:p>
        </w:tc>
        <w:tc>
          <w:tcPr>
            <w:tcW w:w="1387" w:type="dxa"/>
            <w:vAlign w:val="center"/>
          </w:tcPr>
          <w:p w14:paraId="70A3501C" w14:textId="77777777" w:rsidR="00A375F2" w:rsidRDefault="00000000">
            <w:pPr>
              <w:overflowPunct w:val="0"/>
              <w:jc w:val="right"/>
              <w:rPr>
                <w:color w:val="000000" w:themeColor="text1"/>
                <w:sz w:val="24"/>
                <w:szCs w:val="24"/>
              </w:rPr>
            </w:pPr>
            <w:r>
              <w:rPr>
                <w:rFonts w:hint="eastAsia"/>
                <w:color w:val="000000" w:themeColor="text1"/>
                <w:sz w:val="24"/>
                <w:szCs w:val="24"/>
              </w:rPr>
              <w:t xml:space="preserve">271,320 </w:t>
            </w:r>
          </w:p>
        </w:tc>
        <w:tc>
          <w:tcPr>
            <w:tcW w:w="737" w:type="dxa"/>
            <w:vAlign w:val="center"/>
          </w:tcPr>
          <w:p w14:paraId="444535B6" w14:textId="77777777" w:rsidR="00A375F2" w:rsidRDefault="00A375F2">
            <w:pPr>
              <w:pStyle w:val="4"/>
              <w:numPr>
                <w:ilvl w:val="0"/>
                <w:numId w:val="0"/>
              </w:numPr>
              <w:overflowPunct w:val="0"/>
              <w:jc w:val="right"/>
              <w:rPr>
                <w:color w:val="000000" w:themeColor="text1"/>
                <w:sz w:val="24"/>
                <w:szCs w:val="24"/>
              </w:rPr>
            </w:pPr>
          </w:p>
        </w:tc>
        <w:tc>
          <w:tcPr>
            <w:tcW w:w="997" w:type="dxa"/>
            <w:vAlign w:val="center"/>
          </w:tcPr>
          <w:p w14:paraId="2E2A648E" w14:textId="77777777" w:rsidR="00A375F2" w:rsidRDefault="00A375F2">
            <w:pPr>
              <w:pStyle w:val="4"/>
              <w:numPr>
                <w:ilvl w:val="0"/>
                <w:numId w:val="0"/>
              </w:numPr>
              <w:overflowPunct w:val="0"/>
              <w:jc w:val="right"/>
              <w:rPr>
                <w:color w:val="000000" w:themeColor="text1"/>
                <w:sz w:val="24"/>
                <w:szCs w:val="24"/>
              </w:rPr>
            </w:pPr>
          </w:p>
        </w:tc>
      </w:tr>
      <w:tr w:rsidR="00A375F2" w14:paraId="20156D4A" w14:textId="77777777">
        <w:tc>
          <w:tcPr>
            <w:tcW w:w="861" w:type="dxa"/>
            <w:vAlign w:val="center"/>
          </w:tcPr>
          <w:p w14:paraId="2BAE68FE" w14:textId="77777777" w:rsidR="00A375F2" w:rsidRDefault="00000000">
            <w:pPr>
              <w:overflowPunct w:val="0"/>
              <w:spacing w:beforeLines="15" w:before="68" w:afterLines="15" w:after="68"/>
              <w:ind w:leftChars="-28" w:left="-95" w:rightChars="-33" w:right="-112"/>
              <w:jc w:val="center"/>
              <w:rPr>
                <w:color w:val="000000" w:themeColor="text1"/>
                <w:sz w:val="24"/>
                <w:szCs w:val="24"/>
              </w:rPr>
            </w:pPr>
            <w:r>
              <w:rPr>
                <w:rFonts w:hint="eastAsia"/>
                <w:color w:val="000000" w:themeColor="text1"/>
                <w:sz w:val="24"/>
                <w:szCs w:val="24"/>
              </w:rPr>
              <w:t>南投縣</w:t>
            </w:r>
          </w:p>
        </w:tc>
        <w:tc>
          <w:tcPr>
            <w:tcW w:w="719" w:type="dxa"/>
            <w:vAlign w:val="center"/>
          </w:tcPr>
          <w:p w14:paraId="5CFE921E" w14:textId="77777777" w:rsidR="00A375F2" w:rsidRDefault="00000000">
            <w:pPr>
              <w:overflowPunct w:val="0"/>
              <w:ind w:rightChars="25" w:right="85"/>
              <w:jc w:val="right"/>
              <w:rPr>
                <w:rFonts w:hAnsi="標楷體" w:cs="新細明體"/>
                <w:color w:val="000000" w:themeColor="text1"/>
                <w:sz w:val="24"/>
                <w:szCs w:val="24"/>
              </w:rPr>
            </w:pPr>
            <w:r>
              <w:rPr>
                <w:rFonts w:hAnsi="標楷體" w:cs="新細明體" w:hint="eastAsia"/>
                <w:color w:val="000000" w:themeColor="text1"/>
                <w:sz w:val="24"/>
                <w:szCs w:val="24"/>
              </w:rPr>
              <w:t>43</w:t>
            </w:r>
          </w:p>
        </w:tc>
        <w:tc>
          <w:tcPr>
            <w:tcW w:w="1516" w:type="dxa"/>
            <w:vAlign w:val="center"/>
          </w:tcPr>
          <w:p w14:paraId="2D386B6E" w14:textId="77777777" w:rsidR="00A375F2" w:rsidRDefault="00000000">
            <w:pPr>
              <w:overflowPunct w:val="0"/>
              <w:jc w:val="right"/>
              <w:rPr>
                <w:color w:val="000000" w:themeColor="text1"/>
                <w:sz w:val="24"/>
                <w:szCs w:val="24"/>
              </w:rPr>
            </w:pPr>
            <w:r>
              <w:rPr>
                <w:rFonts w:hint="eastAsia"/>
                <w:color w:val="000000" w:themeColor="text1"/>
                <w:sz w:val="24"/>
                <w:szCs w:val="24"/>
              </w:rPr>
              <w:t xml:space="preserve">1,235,622 </w:t>
            </w:r>
          </w:p>
        </w:tc>
        <w:tc>
          <w:tcPr>
            <w:tcW w:w="737" w:type="dxa"/>
            <w:vAlign w:val="center"/>
          </w:tcPr>
          <w:p w14:paraId="687E2F54" w14:textId="77777777" w:rsidR="00A375F2" w:rsidRDefault="00000000">
            <w:pPr>
              <w:pStyle w:val="4"/>
              <w:numPr>
                <w:ilvl w:val="0"/>
                <w:numId w:val="0"/>
              </w:numPr>
              <w:overflowPunct w:val="0"/>
              <w:jc w:val="right"/>
              <w:rPr>
                <w:color w:val="000000" w:themeColor="text1"/>
                <w:sz w:val="24"/>
                <w:szCs w:val="24"/>
              </w:rPr>
            </w:pPr>
            <w:r>
              <w:rPr>
                <w:rFonts w:hint="eastAsia"/>
                <w:color w:val="000000" w:themeColor="text1"/>
                <w:sz w:val="24"/>
                <w:szCs w:val="24"/>
              </w:rPr>
              <w:t>0</w:t>
            </w:r>
          </w:p>
        </w:tc>
        <w:tc>
          <w:tcPr>
            <w:tcW w:w="1127" w:type="dxa"/>
            <w:vAlign w:val="center"/>
          </w:tcPr>
          <w:p w14:paraId="4BEA9796" w14:textId="77777777" w:rsidR="00A375F2" w:rsidRDefault="00000000">
            <w:pPr>
              <w:pStyle w:val="4"/>
              <w:numPr>
                <w:ilvl w:val="0"/>
                <w:numId w:val="0"/>
              </w:numPr>
              <w:overflowPunct w:val="0"/>
              <w:jc w:val="right"/>
              <w:rPr>
                <w:color w:val="000000" w:themeColor="text1"/>
                <w:sz w:val="24"/>
                <w:szCs w:val="24"/>
              </w:rPr>
            </w:pPr>
            <w:r>
              <w:rPr>
                <w:rFonts w:hint="eastAsia"/>
                <w:color w:val="000000" w:themeColor="text1"/>
                <w:sz w:val="24"/>
                <w:szCs w:val="24"/>
              </w:rPr>
              <w:t>0</w:t>
            </w:r>
          </w:p>
        </w:tc>
        <w:tc>
          <w:tcPr>
            <w:tcW w:w="753" w:type="dxa"/>
            <w:vAlign w:val="center"/>
          </w:tcPr>
          <w:p w14:paraId="01C628D1" w14:textId="77777777" w:rsidR="00A375F2" w:rsidRDefault="00000000">
            <w:pPr>
              <w:overflowPunct w:val="0"/>
              <w:ind w:rightChars="25" w:right="85"/>
              <w:jc w:val="right"/>
              <w:rPr>
                <w:rFonts w:hAnsi="標楷體" w:cs="新細明體"/>
                <w:color w:val="000000" w:themeColor="text1"/>
                <w:sz w:val="24"/>
                <w:szCs w:val="24"/>
              </w:rPr>
            </w:pPr>
            <w:r>
              <w:rPr>
                <w:rFonts w:hAnsi="標楷體" w:cs="新細明體" w:hint="eastAsia"/>
                <w:color w:val="000000" w:themeColor="text1"/>
                <w:sz w:val="24"/>
                <w:szCs w:val="24"/>
              </w:rPr>
              <w:t>43</w:t>
            </w:r>
          </w:p>
        </w:tc>
        <w:tc>
          <w:tcPr>
            <w:tcW w:w="1387" w:type="dxa"/>
            <w:vAlign w:val="center"/>
          </w:tcPr>
          <w:p w14:paraId="2A188CCE" w14:textId="77777777" w:rsidR="00A375F2" w:rsidRDefault="00000000">
            <w:pPr>
              <w:overflowPunct w:val="0"/>
              <w:jc w:val="right"/>
              <w:rPr>
                <w:color w:val="000000" w:themeColor="text1"/>
                <w:sz w:val="24"/>
                <w:szCs w:val="24"/>
              </w:rPr>
            </w:pPr>
            <w:r>
              <w:rPr>
                <w:rFonts w:hint="eastAsia"/>
                <w:color w:val="000000" w:themeColor="text1"/>
                <w:sz w:val="24"/>
                <w:szCs w:val="24"/>
              </w:rPr>
              <w:t xml:space="preserve">1,235,622 </w:t>
            </w:r>
          </w:p>
        </w:tc>
        <w:tc>
          <w:tcPr>
            <w:tcW w:w="737" w:type="dxa"/>
            <w:vAlign w:val="center"/>
          </w:tcPr>
          <w:p w14:paraId="0ADE7B21" w14:textId="77777777" w:rsidR="00A375F2" w:rsidRDefault="00A375F2">
            <w:pPr>
              <w:pStyle w:val="4"/>
              <w:numPr>
                <w:ilvl w:val="0"/>
                <w:numId w:val="0"/>
              </w:numPr>
              <w:overflowPunct w:val="0"/>
              <w:jc w:val="right"/>
              <w:rPr>
                <w:color w:val="000000" w:themeColor="text1"/>
                <w:sz w:val="24"/>
                <w:szCs w:val="24"/>
              </w:rPr>
            </w:pPr>
          </w:p>
        </w:tc>
        <w:tc>
          <w:tcPr>
            <w:tcW w:w="997" w:type="dxa"/>
            <w:vAlign w:val="center"/>
          </w:tcPr>
          <w:p w14:paraId="142665A0" w14:textId="77777777" w:rsidR="00A375F2" w:rsidRDefault="00A375F2">
            <w:pPr>
              <w:pStyle w:val="4"/>
              <w:numPr>
                <w:ilvl w:val="0"/>
                <w:numId w:val="0"/>
              </w:numPr>
              <w:overflowPunct w:val="0"/>
              <w:jc w:val="right"/>
              <w:rPr>
                <w:color w:val="000000" w:themeColor="text1"/>
                <w:sz w:val="24"/>
                <w:szCs w:val="24"/>
              </w:rPr>
            </w:pPr>
          </w:p>
        </w:tc>
      </w:tr>
      <w:tr w:rsidR="00A375F2" w14:paraId="5E031820" w14:textId="77777777">
        <w:tc>
          <w:tcPr>
            <w:tcW w:w="861" w:type="dxa"/>
            <w:vAlign w:val="center"/>
          </w:tcPr>
          <w:p w14:paraId="710E7244" w14:textId="77777777" w:rsidR="00A375F2" w:rsidRDefault="00000000">
            <w:pPr>
              <w:overflowPunct w:val="0"/>
              <w:spacing w:beforeLines="15" w:before="68" w:afterLines="15" w:after="68"/>
              <w:ind w:leftChars="-28" w:left="-95" w:rightChars="-33" w:right="-112"/>
              <w:jc w:val="center"/>
              <w:rPr>
                <w:color w:val="000000" w:themeColor="text1"/>
                <w:sz w:val="24"/>
                <w:szCs w:val="24"/>
              </w:rPr>
            </w:pPr>
            <w:r>
              <w:rPr>
                <w:rFonts w:hint="eastAsia"/>
                <w:color w:val="000000" w:themeColor="text1"/>
                <w:sz w:val="24"/>
                <w:szCs w:val="24"/>
              </w:rPr>
              <w:t>花蓮縣</w:t>
            </w:r>
          </w:p>
        </w:tc>
        <w:tc>
          <w:tcPr>
            <w:tcW w:w="719" w:type="dxa"/>
            <w:vAlign w:val="center"/>
          </w:tcPr>
          <w:p w14:paraId="5242985B" w14:textId="77777777" w:rsidR="00A375F2" w:rsidRDefault="00000000">
            <w:pPr>
              <w:overflowPunct w:val="0"/>
              <w:ind w:rightChars="25" w:right="85"/>
              <w:jc w:val="right"/>
              <w:rPr>
                <w:rFonts w:hAnsi="標楷體" w:cs="新細明體"/>
                <w:color w:val="000000" w:themeColor="text1"/>
                <w:sz w:val="24"/>
                <w:szCs w:val="24"/>
              </w:rPr>
            </w:pPr>
            <w:r>
              <w:rPr>
                <w:rFonts w:hAnsi="標楷體" w:cs="新細明體" w:hint="eastAsia"/>
                <w:color w:val="000000" w:themeColor="text1"/>
                <w:sz w:val="24"/>
                <w:szCs w:val="24"/>
              </w:rPr>
              <w:t>61</w:t>
            </w:r>
          </w:p>
        </w:tc>
        <w:tc>
          <w:tcPr>
            <w:tcW w:w="1516" w:type="dxa"/>
            <w:vAlign w:val="center"/>
          </w:tcPr>
          <w:p w14:paraId="5FDBCC6C" w14:textId="77777777" w:rsidR="00A375F2" w:rsidRDefault="00000000">
            <w:pPr>
              <w:overflowPunct w:val="0"/>
              <w:jc w:val="right"/>
              <w:rPr>
                <w:color w:val="000000" w:themeColor="text1"/>
                <w:sz w:val="24"/>
                <w:szCs w:val="24"/>
              </w:rPr>
            </w:pPr>
            <w:r>
              <w:rPr>
                <w:rFonts w:hint="eastAsia"/>
                <w:color w:val="000000" w:themeColor="text1"/>
                <w:sz w:val="24"/>
                <w:szCs w:val="24"/>
              </w:rPr>
              <w:t xml:space="preserve">1,382,412 </w:t>
            </w:r>
          </w:p>
        </w:tc>
        <w:tc>
          <w:tcPr>
            <w:tcW w:w="737" w:type="dxa"/>
            <w:vAlign w:val="center"/>
          </w:tcPr>
          <w:p w14:paraId="0E3E449F" w14:textId="77777777" w:rsidR="00A375F2" w:rsidRDefault="00000000">
            <w:pPr>
              <w:pStyle w:val="4"/>
              <w:numPr>
                <w:ilvl w:val="0"/>
                <w:numId w:val="0"/>
              </w:numPr>
              <w:overflowPunct w:val="0"/>
              <w:jc w:val="right"/>
              <w:rPr>
                <w:color w:val="000000" w:themeColor="text1"/>
                <w:sz w:val="24"/>
                <w:szCs w:val="24"/>
              </w:rPr>
            </w:pPr>
            <w:r>
              <w:rPr>
                <w:rFonts w:hint="eastAsia"/>
                <w:color w:val="000000" w:themeColor="text1"/>
                <w:sz w:val="24"/>
                <w:szCs w:val="24"/>
              </w:rPr>
              <w:t>-</w:t>
            </w:r>
          </w:p>
        </w:tc>
        <w:tc>
          <w:tcPr>
            <w:tcW w:w="1127" w:type="dxa"/>
            <w:vAlign w:val="center"/>
          </w:tcPr>
          <w:p w14:paraId="05DB4522" w14:textId="77777777" w:rsidR="00A375F2" w:rsidRDefault="00000000">
            <w:pPr>
              <w:pStyle w:val="4"/>
              <w:numPr>
                <w:ilvl w:val="0"/>
                <w:numId w:val="0"/>
              </w:numPr>
              <w:overflowPunct w:val="0"/>
              <w:jc w:val="right"/>
              <w:rPr>
                <w:color w:val="000000" w:themeColor="text1"/>
                <w:sz w:val="24"/>
                <w:szCs w:val="24"/>
              </w:rPr>
            </w:pPr>
            <w:r>
              <w:rPr>
                <w:rFonts w:hint="eastAsia"/>
                <w:color w:val="000000" w:themeColor="text1"/>
                <w:sz w:val="24"/>
                <w:szCs w:val="24"/>
              </w:rPr>
              <w:t>-</w:t>
            </w:r>
          </w:p>
        </w:tc>
        <w:tc>
          <w:tcPr>
            <w:tcW w:w="753" w:type="dxa"/>
            <w:vAlign w:val="center"/>
          </w:tcPr>
          <w:p w14:paraId="47F7D3C3" w14:textId="77777777" w:rsidR="00A375F2" w:rsidRDefault="00000000">
            <w:pPr>
              <w:overflowPunct w:val="0"/>
              <w:ind w:rightChars="25" w:right="85"/>
              <w:jc w:val="right"/>
              <w:rPr>
                <w:rFonts w:hAnsi="標楷體" w:cs="新細明體"/>
                <w:color w:val="000000" w:themeColor="text1"/>
                <w:sz w:val="24"/>
                <w:szCs w:val="24"/>
              </w:rPr>
            </w:pPr>
            <w:r>
              <w:rPr>
                <w:rFonts w:hAnsi="標楷體" w:cs="新細明體" w:hint="eastAsia"/>
                <w:color w:val="000000" w:themeColor="text1"/>
                <w:sz w:val="24"/>
                <w:szCs w:val="24"/>
              </w:rPr>
              <w:t>61</w:t>
            </w:r>
          </w:p>
        </w:tc>
        <w:tc>
          <w:tcPr>
            <w:tcW w:w="1387" w:type="dxa"/>
            <w:vAlign w:val="center"/>
          </w:tcPr>
          <w:p w14:paraId="0983B257" w14:textId="77777777" w:rsidR="00A375F2" w:rsidRDefault="00000000">
            <w:pPr>
              <w:overflowPunct w:val="0"/>
              <w:jc w:val="right"/>
              <w:rPr>
                <w:color w:val="000000" w:themeColor="text1"/>
                <w:sz w:val="24"/>
                <w:szCs w:val="24"/>
              </w:rPr>
            </w:pPr>
            <w:r>
              <w:rPr>
                <w:rFonts w:hint="eastAsia"/>
                <w:color w:val="000000" w:themeColor="text1"/>
                <w:sz w:val="24"/>
                <w:szCs w:val="24"/>
              </w:rPr>
              <w:t xml:space="preserve">1,382,412 </w:t>
            </w:r>
          </w:p>
        </w:tc>
        <w:tc>
          <w:tcPr>
            <w:tcW w:w="737" w:type="dxa"/>
            <w:vAlign w:val="center"/>
          </w:tcPr>
          <w:p w14:paraId="1C5D668F" w14:textId="77777777" w:rsidR="00A375F2" w:rsidRDefault="00A375F2">
            <w:pPr>
              <w:pStyle w:val="4"/>
              <w:numPr>
                <w:ilvl w:val="0"/>
                <w:numId w:val="0"/>
              </w:numPr>
              <w:overflowPunct w:val="0"/>
              <w:jc w:val="right"/>
              <w:rPr>
                <w:color w:val="000000" w:themeColor="text1"/>
                <w:sz w:val="24"/>
                <w:szCs w:val="24"/>
              </w:rPr>
            </w:pPr>
          </w:p>
        </w:tc>
        <w:tc>
          <w:tcPr>
            <w:tcW w:w="997" w:type="dxa"/>
            <w:vAlign w:val="center"/>
          </w:tcPr>
          <w:p w14:paraId="46344335" w14:textId="77777777" w:rsidR="00A375F2" w:rsidRDefault="00A375F2">
            <w:pPr>
              <w:pStyle w:val="4"/>
              <w:numPr>
                <w:ilvl w:val="0"/>
                <w:numId w:val="0"/>
              </w:numPr>
              <w:overflowPunct w:val="0"/>
              <w:jc w:val="right"/>
              <w:rPr>
                <w:color w:val="000000" w:themeColor="text1"/>
                <w:sz w:val="24"/>
                <w:szCs w:val="24"/>
              </w:rPr>
            </w:pPr>
          </w:p>
        </w:tc>
      </w:tr>
      <w:tr w:rsidR="00A375F2" w14:paraId="6DE1909A" w14:textId="77777777">
        <w:tc>
          <w:tcPr>
            <w:tcW w:w="861" w:type="dxa"/>
            <w:vAlign w:val="center"/>
          </w:tcPr>
          <w:p w14:paraId="37C17597" w14:textId="77777777" w:rsidR="00A375F2" w:rsidRDefault="00000000">
            <w:pPr>
              <w:overflowPunct w:val="0"/>
              <w:spacing w:beforeLines="15" w:before="68" w:afterLines="15" w:after="68"/>
              <w:ind w:leftChars="-28" w:left="-95" w:rightChars="-33" w:right="-112"/>
              <w:jc w:val="center"/>
              <w:rPr>
                <w:color w:val="000000" w:themeColor="text1"/>
                <w:sz w:val="24"/>
                <w:szCs w:val="24"/>
              </w:rPr>
            </w:pPr>
            <w:r>
              <w:rPr>
                <w:rFonts w:hint="eastAsia"/>
                <w:color w:val="000000" w:themeColor="text1"/>
                <w:sz w:val="24"/>
                <w:szCs w:val="24"/>
              </w:rPr>
              <w:t>小計</w:t>
            </w:r>
          </w:p>
        </w:tc>
        <w:tc>
          <w:tcPr>
            <w:tcW w:w="719" w:type="dxa"/>
            <w:vAlign w:val="center"/>
          </w:tcPr>
          <w:p w14:paraId="13C90643" w14:textId="77777777" w:rsidR="00A375F2" w:rsidRDefault="00000000">
            <w:pPr>
              <w:overflowPunct w:val="0"/>
              <w:ind w:rightChars="25" w:right="85"/>
              <w:jc w:val="right"/>
              <w:rPr>
                <w:rFonts w:hAnsi="標楷體" w:cs="新細明體"/>
                <w:color w:val="000000" w:themeColor="text1"/>
                <w:sz w:val="24"/>
                <w:szCs w:val="24"/>
              </w:rPr>
            </w:pPr>
            <w:r>
              <w:rPr>
                <w:rFonts w:hAnsi="標楷體" w:cs="新細明體" w:hint="eastAsia"/>
                <w:color w:val="000000" w:themeColor="text1"/>
                <w:sz w:val="24"/>
                <w:szCs w:val="24"/>
              </w:rPr>
              <w:t>2</w:t>
            </w:r>
            <w:r>
              <w:rPr>
                <w:rFonts w:hAnsi="標楷體" w:cs="新細明體"/>
                <w:color w:val="000000" w:themeColor="text1"/>
                <w:sz w:val="24"/>
                <w:szCs w:val="24"/>
              </w:rPr>
              <w:t>15</w:t>
            </w:r>
          </w:p>
        </w:tc>
        <w:tc>
          <w:tcPr>
            <w:tcW w:w="1516" w:type="dxa"/>
            <w:vAlign w:val="center"/>
          </w:tcPr>
          <w:p w14:paraId="2201FB1A" w14:textId="77777777" w:rsidR="00A375F2" w:rsidRDefault="00000000">
            <w:pPr>
              <w:overflowPunct w:val="0"/>
              <w:jc w:val="right"/>
              <w:rPr>
                <w:color w:val="000000" w:themeColor="text1"/>
                <w:sz w:val="24"/>
                <w:szCs w:val="24"/>
              </w:rPr>
            </w:pPr>
            <w:r>
              <w:rPr>
                <w:rFonts w:hint="eastAsia"/>
                <w:color w:val="000000" w:themeColor="text1"/>
                <w:sz w:val="24"/>
                <w:szCs w:val="24"/>
              </w:rPr>
              <w:t>4</w:t>
            </w:r>
            <w:r>
              <w:rPr>
                <w:color w:val="000000" w:themeColor="text1"/>
                <w:sz w:val="24"/>
                <w:szCs w:val="24"/>
              </w:rPr>
              <w:t>,877,883</w:t>
            </w:r>
          </w:p>
        </w:tc>
        <w:tc>
          <w:tcPr>
            <w:tcW w:w="737" w:type="dxa"/>
            <w:vAlign w:val="center"/>
          </w:tcPr>
          <w:p w14:paraId="410AE837" w14:textId="77777777" w:rsidR="00A375F2" w:rsidRDefault="00000000">
            <w:pPr>
              <w:pStyle w:val="4"/>
              <w:numPr>
                <w:ilvl w:val="0"/>
                <w:numId w:val="0"/>
              </w:numPr>
              <w:overflowPunct w:val="0"/>
              <w:jc w:val="right"/>
              <w:rPr>
                <w:color w:val="000000" w:themeColor="text1"/>
                <w:sz w:val="24"/>
                <w:szCs w:val="24"/>
              </w:rPr>
            </w:pPr>
            <w:r>
              <w:rPr>
                <w:rFonts w:hint="eastAsia"/>
                <w:color w:val="000000" w:themeColor="text1"/>
                <w:sz w:val="24"/>
                <w:szCs w:val="24"/>
              </w:rPr>
              <w:t>2</w:t>
            </w:r>
            <w:r>
              <w:rPr>
                <w:color w:val="000000" w:themeColor="text1"/>
                <w:sz w:val="24"/>
                <w:szCs w:val="24"/>
              </w:rPr>
              <w:t>1</w:t>
            </w:r>
          </w:p>
        </w:tc>
        <w:tc>
          <w:tcPr>
            <w:tcW w:w="1127" w:type="dxa"/>
            <w:vAlign w:val="center"/>
          </w:tcPr>
          <w:p w14:paraId="5A7B62AA" w14:textId="77777777" w:rsidR="00A375F2" w:rsidRDefault="00000000">
            <w:pPr>
              <w:pStyle w:val="4"/>
              <w:numPr>
                <w:ilvl w:val="0"/>
                <w:numId w:val="0"/>
              </w:numPr>
              <w:overflowPunct w:val="0"/>
              <w:jc w:val="right"/>
              <w:rPr>
                <w:color w:val="000000" w:themeColor="text1"/>
                <w:sz w:val="24"/>
                <w:szCs w:val="24"/>
              </w:rPr>
            </w:pPr>
            <w:r>
              <w:rPr>
                <w:rFonts w:hint="eastAsia"/>
                <w:color w:val="000000" w:themeColor="text1"/>
                <w:sz w:val="24"/>
                <w:szCs w:val="24"/>
              </w:rPr>
              <w:t>7</w:t>
            </w:r>
            <w:r>
              <w:rPr>
                <w:color w:val="000000" w:themeColor="text1"/>
                <w:sz w:val="24"/>
                <w:szCs w:val="24"/>
              </w:rPr>
              <w:t>56,183</w:t>
            </w:r>
          </w:p>
        </w:tc>
        <w:tc>
          <w:tcPr>
            <w:tcW w:w="753" w:type="dxa"/>
            <w:vAlign w:val="center"/>
          </w:tcPr>
          <w:p w14:paraId="4A85080C" w14:textId="77777777" w:rsidR="00A375F2" w:rsidRDefault="00000000">
            <w:pPr>
              <w:overflowPunct w:val="0"/>
              <w:ind w:rightChars="25" w:right="85"/>
              <w:jc w:val="right"/>
              <w:rPr>
                <w:rFonts w:hAnsi="標楷體" w:cs="新細明體"/>
                <w:color w:val="000000" w:themeColor="text1"/>
                <w:sz w:val="24"/>
                <w:szCs w:val="24"/>
              </w:rPr>
            </w:pPr>
            <w:r>
              <w:rPr>
                <w:rFonts w:hAnsi="標楷體" w:cs="新細明體" w:hint="eastAsia"/>
                <w:color w:val="000000" w:themeColor="text1"/>
                <w:sz w:val="24"/>
                <w:szCs w:val="24"/>
              </w:rPr>
              <w:t>1</w:t>
            </w:r>
            <w:r>
              <w:rPr>
                <w:rFonts w:hAnsi="標楷體" w:cs="新細明體"/>
                <w:color w:val="000000" w:themeColor="text1"/>
                <w:sz w:val="24"/>
                <w:szCs w:val="24"/>
              </w:rPr>
              <w:t>98</w:t>
            </w:r>
          </w:p>
        </w:tc>
        <w:tc>
          <w:tcPr>
            <w:tcW w:w="1387" w:type="dxa"/>
            <w:vAlign w:val="center"/>
          </w:tcPr>
          <w:p w14:paraId="6C928A99" w14:textId="77777777" w:rsidR="00A375F2" w:rsidRDefault="00000000">
            <w:pPr>
              <w:overflowPunct w:val="0"/>
              <w:jc w:val="right"/>
              <w:rPr>
                <w:color w:val="000000" w:themeColor="text1"/>
                <w:sz w:val="24"/>
                <w:szCs w:val="24"/>
              </w:rPr>
            </w:pPr>
            <w:r>
              <w:rPr>
                <w:rFonts w:hint="eastAsia"/>
                <w:color w:val="000000" w:themeColor="text1"/>
                <w:sz w:val="24"/>
                <w:szCs w:val="24"/>
              </w:rPr>
              <w:t>4</w:t>
            </w:r>
            <w:r>
              <w:rPr>
                <w:color w:val="000000" w:themeColor="text1"/>
                <w:sz w:val="24"/>
                <w:szCs w:val="24"/>
              </w:rPr>
              <w:t>,247,612</w:t>
            </w:r>
          </w:p>
        </w:tc>
        <w:tc>
          <w:tcPr>
            <w:tcW w:w="737" w:type="dxa"/>
            <w:vAlign w:val="center"/>
          </w:tcPr>
          <w:p w14:paraId="4CDC1268" w14:textId="77777777" w:rsidR="00A375F2" w:rsidRDefault="00000000">
            <w:pPr>
              <w:pStyle w:val="4"/>
              <w:numPr>
                <w:ilvl w:val="0"/>
                <w:numId w:val="0"/>
              </w:numPr>
              <w:overflowPunct w:val="0"/>
              <w:jc w:val="right"/>
              <w:rPr>
                <w:color w:val="000000" w:themeColor="text1"/>
                <w:sz w:val="24"/>
                <w:szCs w:val="24"/>
              </w:rPr>
            </w:pPr>
            <w:r>
              <w:rPr>
                <w:rFonts w:hint="eastAsia"/>
                <w:color w:val="000000" w:themeColor="text1"/>
                <w:sz w:val="24"/>
                <w:szCs w:val="24"/>
              </w:rPr>
              <w:t>1</w:t>
            </w:r>
          </w:p>
        </w:tc>
        <w:tc>
          <w:tcPr>
            <w:tcW w:w="997" w:type="dxa"/>
            <w:vAlign w:val="center"/>
          </w:tcPr>
          <w:p w14:paraId="31BAFF51" w14:textId="77777777" w:rsidR="00A375F2" w:rsidRDefault="00000000">
            <w:pPr>
              <w:pStyle w:val="4"/>
              <w:numPr>
                <w:ilvl w:val="0"/>
                <w:numId w:val="0"/>
              </w:numPr>
              <w:overflowPunct w:val="0"/>
              <w:jc w:val="right"/>
              <w:rPr>
                <w:color w:val="000000" w:themeColor="text1"/>
                <w:sz w:val="24"/>
                <w:szCs w:val="24"/>
              </w:rPr>
            </w:pPr>
            <w:r>
              <w:rPr>
                <w:rFonts w:hint="eastAsia"/>
                <w:color w:val="000000" w:themeColor="text1"/>
                <w:sz w:val="24"/>
                <w:szCs w:val="24"/>
              </w:rPr>
              <w:t>7</w:t>
            </w:r>
            <w:r>
              <w:rPr>
                <w:color w:val="000000" w:themeColor="text1"/>
                <w:sz w:val="24"/>
                <w:szCs w:val="24"/>
              </w:rPr>
              <w:t>4,250</w:t>
            </w:r>
          </w:p>
        </w:tc>
      </w:tr>
    </w:tbl>
    <w:p w14:paraId="01755D69" w14:textId="77777777" w:rsidR="00A375F2" w:rsidRDefault="00000000">
      <w:pPr>
        <w:pStyle w:val="4"/>
        <w:numPr>
          <w:ilvl w:val="0"/>
          <w:numId w:val="0"/>
        </w:numPr>
        <w:overflowPunct w:val="0"/>
        <w:spacing w:line="240" w:lineRule="exact"/>
        <w:ind w:left="627" w:rightChars="-5" w:right="-17" w:hangingChars="285" w:hanging="627"/>
        <w:rPr>
          <w:rFonts w:hAnsi="標楷體"/>
          <w:color w:val="000000" w:themeColor="text1"/>
          <w:sz w:val="20"/>
          <w:szCs w:val="20"/>
        </w:rPr>
      </w:pPr>
      <w:r>
        <w:rPr>
          <w:rFonts w:hAnsi="標楷體" w:hint="eastAsia"/>
          <w:color w:val="000000" w:themeColor="text1"/>
          <w:sz w:val="20"/>
          <w:szCs w:val="20"/>
        </w:rPr>
        <w:t>註：1</w:t>
      </w:r>
      <w:r>
        <w:rPr>
          <w:rFonts w:hAnsi="標楷體"/>
          <w:color w:val="000000" w:themeColor="text1"/>
          <w:sz w:val="20"/>
          <w:szCs w:val="20"/>
        </w:rPr>
        <w:t>.</w:t>
      </w:r>
      <w:r>
        <w:rPr>
          <w:rFonts w:hAnsi="標楷體" w:hint="eastAsia"/>
          <w:color w:val="000000" w:themeColor="text1"/>
          <w:sz w:val="20"/>
          <w:szCs w:val="20"/>
        </w:rPr>
        <w:t>桃園市政府書面資料原將其中9筆(</w:t>
      </w:r>
      <w:r>
        <w:rPr>
          <w:rFonts w:hAnsi="標楷體"/>
          <w:color w:val="000000" w:themeColor="text1"/>
          <w:sz w:val="20"/>
          <w:szCs w:val="20"/>
        </w:rPr>
        <w:t>23,397</w:t>
      </w:r>
      <w:r>
        <w:rPr>
          <w:rFonts w:hAnsi="標楷體" w:hint="eastAsia"/>
          <w:color w:val="000000" w:themeColor="text1"/>
          <w:sz w:val="20"/>
          <w:szCs w:val="20"/>
        </w:rPr>
        <w:t>元</w:t>
      </w:r>
      <w:r>
        <w:rPr>
          <w:rFonts w:hAnsi="標楷體"/>
          <w:color w:val="000000" w:themeColor="text1"/>
          <w:sz w:val="20"/>
          <w:szCs w:val="20"/>
        </w:rPr>
        <w:t>)</w:t>
      </w:r>
      <w:r>
        <w:rPr>
          <w:rFonts w:hAnsi="標楷體" w:hint="eastAsia"/>
          <w:color w:val="000000" w:themeColor="text1"/>
          <w:sz w:val="20"/>
          <w:szCs w:val="20"/>
        </w:rPr>
        <w:t>列入受領人於申請前已死亡案件，經洽請原民會向該府查證後表示係屬誤植。</w:t>
      </w:r>
    </w:p>
    <w:p w14:paraId="0E8D2332" w14:textId="77777777" w:rsidR="00A375F2" w:rsidRDefault="00000000">
      <w:pPr>
        <w:pStyle w:val="4"/>
        <w:numPr>
          <w:ilvl w:val="0"/>
          <w:numId w:val="0"/>
        </w:numPr>
        <w:overflowPunct w:val="0"/>
        <w:spacing w:line="240" w:lineRule="exact"/>
        <w:ind w:leftChars="119" w:left="616" w:rightChars="-5" w:right="-17" w:hangingChars="96" w:hanging="211"/>
        <w:rPr>
          <w:rFonts w:hAnsi="標楷體"/>
          <w:color w:val="000000" w:themeColor="text1"/>
          <w:sz w:val="20"/>
          <w:szCs w:val="20"/>
        </w:rPr>
      </w:pPr>
      <w:r>
        <w:rPr>
          <w:rFonts w:hAnsi="標楷體" w:hint="eastAsia"/>
          <w:color w:val="000000" w:themeColor="text1"/>
          <w:sz w:val="20"/>
          <w:szCs w:val="20"/>
        </w:rPr>
        <w:t>2</w:t>
      </w:r>
      <w:r>
        <w:rPr>
          <w:rFonts w:hAnsi="標楷體"/>
          <w:color w:val="000000" w:themeColor="text1"/>
          <w:sz w:val="20"/>
          <w:szCs w:val="20"/>
        </w:rPr>
        <w:t>.</w:t>
      </w:r>
      <w:r>
        <w:rPr>
          <w:rFonts w:hAnsi="標楷體" w:hint="eastAsia"/>
          <w:color w:val="000000" w:themeColor="text1"/>
          <w:sz w:val="20"/>
          <w:szCs w:val="20"/>
        </w:rPr>
        <w:t>審計部要求新竹縣政府釐清4</w:t>
      </w:r>
      <w:r>
        <w:rPr>
          <w:rFonts w:hAnsi="標楷體"/>
          <w:color w:val="000000" w:themeColor="text1"/>
          <w:sz w:val="20"/>
          <w:szCs w:val="20"/>
        </w:rPr>
        <w:t>0</w:t>
      </w:r>
      <w:r>
        <w:rPr>
          <w:rFonts w:hAnsi="標楷體" w:hint="eastAsia"/>
          <w:color w:val="000000" w:themeColor="text1"/>
          <w:sz w:val="20"/>
          <w:szCs w:val="20"/>
        </w:rPr>
        <w:t>筆（1</w:t>
      </w:r>
      <w:r>
        <w:rPr>
          <w:rFonts w:hAnsi="標楷體"/>
          <w:color w:val="000000" w:themeColor="text1"/>
          <w:sz w:val="20"/>
          <w:szCs w:val="20"/>
        </w:rPr>
        <w:t>,288,911</w:t>
      </w:r>
      <w:r>
        <w:rPr>
          <w:rFonts w:hAnsi="標楷體" w:hint="eastAsia"/>
          <w:color w:val="000000" w:themeColor="text1"/>
          <w:sz w:val="20"/>
          <w:szCs w:val="20"/>
        </w:rPr>
        <w:t>元），該府清查後，其中1筆屬受領人於申請前已死亡案件</w:t>
      </w:r>
      <w:r>
        <w:rPr>
          <w:rFonts w:ascii="新細明體" w:eastAsia="新細明體" w:hAnsi="新細明體" w:hint="eastAsia"/>
          <w:color w:val="000000" w:themeColor="text1"/>
          <w:sz w:val="20"/>
          <w:szCs w:val="20"/>
        </w:rPr>
        <w:t>、</w:t>
      </w:r>
      <w:r>
        <w:rPr>
          <w:rFonts w:hAnsi="標楷體" w:hint="eastAsia"/>
          <w:color w:val="000000" w:themeColor="text1"/>
          <w:sz w:val="20"/>
          <w:szCs w:val="20"/>
        </w:rPr>
        <w:t>1</w:t>
      </w:r>
      <w:r>
        <w:rPr>
          <w:rFonts w:hAnsi="標楷體"/>
          <w:color w:val="000000" w:themeColor="text1"/>
          <w:sz w:val="20"/>
          <w:szCs w:val="20"/>
        </w:rPr>
        <w:t>6</w:t>
      </w:r>
      <w:r>
        <w:rPr>
          <w:rFonts w:hAnsi="標楷體" w:hint="eastAsia"/>
          <w:color w:val="000000" w:themeColor="text1"/>
          <w:sz w:val="20"/>
          <w:szCs w:val="20"/>
        </w:rPr>
        <w:t>筆(</w:t>
      </w:r>
      <w:r>
        <w:rPr>
          <w:rFonts w:hAnsi="標楷體"/>
          <w:color w:val="000000" w:themeColor="text1"/>
          <w:sz w:val="20"/>
          <w:szCs w:val="20"/>
        </w:rPr>
        <w:t>657,882</w:t>
      </w:r>
      <w:r>
        <w:rPr>
          <w:rFonts w:hAnsi="標楷體" w:hint="eastAsia"/>
          <w:color w:val="000000" w:themeColor="text1"/>
          <w:sz w:val="20"/>
          <w:szCs w:val="20"/>
        </w:rPr>
        <w:t>元</w:t>
      </w:r>
      <w:r>
        <w:rPr>
          <w:rFonts w:hAnsi="標楷體"/>
          <w:color w:val="000000" w:themeColor="text1"/>
          <w:sz w:val="20"/>
          <w:szCs w:val="20"/>
        </w:rPr>
        <w:t>)</w:t>
      </w:r>
      <w:r>
        <w:rPr>
          <w:rFonts w:hAnsi="標楷體" w:hint="eastAsia"/>
          <w:color w:val="000000" w:themeColor="text1"/>
          <w:sz w:val="20"/>
          <w:szCs w:val="20"/>
        </w:rPr>
        <w:t>有繼受人之書面同意、2</w:t>
      </w:r>
      <w:r>
        <w:rPr>
          <w:rFonts w:hAnsi="標楷體"/>
          <w:color w:val="000000" w:themeColor="text1"/>
          <w:sz w:val="20"/>
          <w:szCs w:val="20"/>
        </w:rPr>
        <w:t>3</w:t>
      </w:r>
      <w:r>
        <w:rPr>
          <w:rFonts w:hAnsi="標楷體" w:hint="eastAsia"/>
          <w:color w:val="000000" w:themeColor="text1"/>
          <w:sz w:val="20"/>
          <w:szCs w:val="20"/>
        </w:rPr>
        <w:t>筆(</w:t>
      </w:r>
      <w:r>
        <w:rPr>
          <w:rFonts w:hAnsi="標楷體"/>
          <w:color w:val="000000" w:themeColor="text1"/>
          <w:sz w:val="20"/>
          <w:szCs w:val="20"/>
        </w:rPr>
        <w:t>556,779</w:t>
      </w:r>
      <w:r>
        <w:rPr>
          <w:rFonts w:hAnsi="標楷體" w:hint="eastAsia"/>
          <w:color w:val="000000" w:themeColor="text1"/>
          <w:sz w:val="20"/>
          <w:szCs w:val="20"/>
        </w:rPr>
        <w:t>元</w:t>
      </w:r>
      <w:r>
        <w:rPr>
          <w:rFonts w:hAnsi="標楷體"/>
          <w:color w:val="000000" w:themeColor="text1"/>
          <w:sz w:val="20"/>
          <w:szCs w:val="20"/>
        </w:rPr>
        <w:t>)</w:t>
      </w:r>
      <w:r>
        <w:rPr>
          <w:rFonts w:hAnsi="標楷體" w:hint="eastAsia"/>
          <w:color w:val="000000" w:themeColor="text1"/>
          <w:sz w:val="20"/>
          <w:szCs w:val="20"/>
        </w:rPr>
        <w:t>沒有繼受人之書面同意；本次清查後，無繼受人書面同意者，另再新增5筆(</w:t>
      </w:r>
      <w:r>
        <w:rPr>
          <w:rFonts w:hAnsi="標楷體"/>
          <w:color w:val="000000" w:themeColor="text1"/>
          <w:sz w:val="20"/>
          <w:szCs w:val="20"/>
        </w:rPr>
        <w:t>200,162</w:t>
      </w:r>
      <w:r>
        <w:rPr>
          <w:rFonts w:hAnsi="標楷體" w:hint="eastAsia"/>
          <w:color w:val="000000" w:themeColor="text1"/>
          <w:sz w:val="20"/>
          <w:szCs w:val="20"/>
        </w:rPr>
        <w:t>元</w:t>
      </w:r>
      <w:r>
        <w:rPr>
          <w:rFonts w:hAnsi="標楷體"/>
          <w:color w:val="000000" w:themeColor="text1"/>
          <w:sz w:val="20"/>
          <w:szCs w:val="20"/>
        </w:rPr>
        <w:t>)</w:t>
      </w:r>
      <w:r>
        <w:rPr>
          <w:rFonts w:hAnsi="標楷體" w:hint="eastAsia"/>
          <w:color w:val="000000" w:themeColor="text1"/>
          <w:sz w:val="20"/>
          <w:szCs w:val="20"/>
        </w:rPr>
        <w:t>。</w:t>
      </w:r>
    </w:p>
    <w:p w14:paraId="578BE26C" w14:textId="77777777" w:rsidR="00A375F2" w:rsidRDefault="00000000">
      <w:pPr>
        <w:pStyle w:val="4"/>
        <w:numPr>
          <w:ilvl w:val="0"/>
          <w:numId w:val="0"/>
        </w:numPr>
        <w:overflowPunct w:val="0"/>
        <w:spacing w:line="240" w:lineRule="exact"/>
        <w:ind w:leftChars="119" w:left="616" w:rightChars="-5" w:right="-17" w:hangingChars="96" w:hanging="211"/>
        <w:rPr>
          <w:rFonts w:hAnsi="標楷體"/>
          <w:color w:val="000000" w:themeColor="text1"/>
          <w:sz w:val="20"/>
          <w:szCs w:val="20"/>
        </w:rPr>
      </w:pPr>
      <w:r>
        <w:rPr>
          <w:rFonts w:hAnsi="標楷體" w:hint="eastAsia"/>
          <w:color w:val="000000" w:themeColor="text1"/>
          <w:sz w:val="20"/>
          <w:szCs w:val="20"/>
        </w:rPr>
        <w:t>3</w:t>
      </w:r>
      <w:r>
        <w:rPr>
          <w:rFonts w:hAnsi="標楷體"/>
          <w:color w:val="000000" w:themeColor="text1"/>
          <w:sz w:val="20"/>
          <w:szCs w:val="20"/>
        </w:rPr>
        <w:t>.</w:t>
      </w:r>
      <w:r>
        <w:rPr>
          <w:rFonts w:hAnsi="標楷體" w:hint="eastAsia"/>
          <w:color w:val="000000" w:themeColor="text1"/>
          <w:sz w:val="20"/>
          <w:szCs w:val="20"/>
        </w:rPr>
        <w:t>屏東縣政府表示該府仍在查證死亡日期等資料。</w:t>
      </w:r>
    </w:p>
    <w:p w14:paraId="2C7A237D" w14:textId="77777777" w:rsidR="00A375F2" w:rsidRDefault="00000000">
      <w:pPr>
        <w:pStyle w:val="4"/>
        <w:numPr>
          <w:ilvl w:val="0"/>
          <w:numId w:val="0"/>
        </w:numPr>
        <w:overflowPunct w:val="0"/>
        <w:spacing w:line="240" w:lineRule="exact"/>
        <w:ind w:leftChars="119" w:left="616" w:rightChars="-5" w:right="-17" w:hangingChars="96" w:hanging="211"/>
        <w:rPr>
          <w:rFonts w:hAnsi="標楷體"/>
          <w:color w:val="000000" w:themeColor="text1"/>
          <w:sz w:val="20"/>
          <w:szCs w:val="20"/>
        </w:rPr>
      </w:pPr>
      <w:r>
        <w:rPr>
          <w:rFonts w:hAnsi="標楷體"/>
          <w:color w:val="000000" w:themeColor="text1"/>
          <w:sz w:val="20"/>
          <w:szCs w:val="20"/>
        </w:rPr>
        <w:t>4.</w:t>
      </w:r>
      <w:r>
        <w:rPr>
          <w:rFonts w:hAnsi="標楷體" w:hint="eastAsia"/>
          <w:color w:val="000000" w:themeColor="text1"/>
          <w:sz w:val="20"/>
          <w:szCs w:val="20"/>
        </w:rPr>
        <w:t>花蓮縣政府書面資料說明：「如有辦理繼承案件，皆須完整提供申請資料，其中包含簽具切結書同意依照禁伐補償條例規定辦理」等語。</w:t>
      </w:r>
    </w:p>
    <w:p w14:paraId="64B030E6" w14:textId="77777777" w:rsidR="00A375F2" w:rsidRDefault="00000000">
      <w:pPr>
        <w:pStyle w:val="4"/>
        <w:numPr>
          <w:ilvl w:val="0"/>
          <w:numId w:val="0"/>
        </w:numPr>
        <w:overflowPunct w:val="0"/>
        <w:spacing w:afterLines="25" w:after="114" w:line="240" w:lineRule="exact"/>
        <w:jc w:val="left"/>
        <w:rPr>
          <w:rFonts w:hAnsi="標楷體"/>
          <w:color w:val="000000" w:themeColor="text1"/>
          <w:sz w:val="20"/>
          <w:szCs w:val="20"/>
        </w:rPr>
      </w:pPr>
      <w:r>
        <w:rPr>
          <w:rFonts w:hAnsi="標楷體" w:hint="eastAsia"/>
          <w:color w:val="000000" w:themeColor="text1"/>
          <w:sz w:val="20"/>
          <w:szCs w:val="20"/>
        </w:rPr>
        <w:t>資料來源：整理自審計部</w:t>
      </w:r>
      <w:r>
        <w:rPr>
          <w:rFonts w:ascii="新細明體" w:eastAsia="新細明體" w:hAnsi="新細明體" w:hint="eastAsia"/>
          <w:color w:val="000000" w:themeColor="text1"/>
          <w:sz w:val="20"/>
          <w:szCs w:val="20"/>
        </w:rPr>
        <w:t>、</w:t>
      </w:r>
      <w:r>
        <w:rPr>
          <w:rFonts w:hAnsi="標楷體" w:hint="eastAsia"/>
          <w:color w:val="000000" w:themeColor="text1"/>
          <w:sz w:val="20"/>
          <w:szCs w:val="20"/>
        </w:rPr>
        <w:t>原民會</w:t>
      </w:r>
      <w:r>
        <w:rPr>
          <w:rFonts w:ascii="新細明體" w:eastAsia="新細明體" w:hAnsi="新細明體" w:hint="eastAsia"/>
          <w:color w:val="000000" w:themeColor="text1"/>
          <w:sz w:val="20"/>
          <w:szCs w:val="20"/>
        </w:rPr>
        <w:t>、</w:t>
      </w:r>
      <w:r>
        <w:rPr>
          <w:rFonts w:hAnsi="標楷體" w:hint="eastAsia"/>
          <w:color w:val="000000" w:themeColor="text1"/>
          <w:sz w:val="20"/>
          <w:szCs w:val="20"/>
        </w:rPr>
        <w:t>新竹縣等地方政府提供之資料。</w:t>
      </w:r>
    </w:p>
    <w:p w14:paraId="5650D420" w14:textId="77777777" w:rsidR="00A375F2" w:rsidRDefault="00000000">
      <w:pPr>
        <w:pStyle w:val="3"/>
        <w:overflowPunct w:val="0"/>
        <w:rPr>
          <w:color w:val="000000" w:themeColor="text1"/>
        </w:rPr>
      </w:pPr>
      <w:r>
        <w:rPr>
          <w:rFonts w:hAnsi="標楷體" w:hint="eastAsia"/>
          <w:color w:val="000000" w:themeColor="text1"/>
        </w:rPr>
        <w:t>復查，於審計部發現禁伐補償金涉及因原申請人死亡而發生溢領情事後</w:t>
      </w:r>
      <w:r>
        <w:rPr>
          <w:rFonts w:hint="eastAsia"/>
          <w:color w:val="000000" w:themeColor="text1"/>
        </w:rPr>
        <w:t>，</w:t>
      </w:r>
      <w:r>
        <w:rPr>
          <w:rFonts w:hAnsi="標楷體" w:hint="eastAsia"/>
          <w:color w:val="000000" w:themeColor="text1"/>
        </w:rPr>
        <w:t>原民會於114年2月25日以原民經字第1140005644號函，就原申請人死亡，其繼受人領取禁伐補償金疑義予以釋示，並於同年4月1日以原民經字第1140015670號函請相關市縣政府依該函釋原則，重新釐清並填復查處情形，並俟收訖後彙製「110年度禁伐補償金涉申領人死亡溢領追繳帳列表」及每半年函報審計部追繳情形。詢據原民會表示，目前各地方執行機關陸續查復中。</w:t>
      </w:r>
    </w:p>
    <w:p w14:paraId="75E6B107" w14:textId="77777777" w:rsidR="00A375F2" w:rsidRDefault="00000000">
      <w:pPr>
        <w:pStyle w:val="3"/>
        <w:overflowPunct w:val="0"/>
        <w:rPr>
          <w:color w:val="000000" w:themeColor="text1"/>
        </w:rPr>
      </w:pPr>
      <w:r>
        <w:rPr>
          <w:rFonts w:hint="eastAsia"/>
          <w:color w:val="000000" w:themeColor="text1"/>
        </w:rPr>
        <w:t>又，有關禁伐補償金申請人死亡部分，南投縣政府於接受本院詢問時表示，</w:t>
      </w:r>
      <w:r>
        <w:rPr>
          <w:color w:val="000000" w:themeColor="text1"/>
        </w:rPr>
        <w:t>針對申請人死亡</w:t>
      </w:r>
      <w:r>
        <w:rPr>
          <w:rFonts w:hint="eastAsia"/>
          <w:color w:val="000000" w:themeColor="text1"/>
        </w:rPr>
        <w:t>相關情形</w:t>
      </w:r>
      <w:r>
        <w:rPr>
          <w:color w:val="000000" w:themeColor="text1"/>
        </w:rPr>
        <w:t>，</w:t>
      </w:r>
      <w:r>
        <w:rPr>
          <w:rFonts w:hint="eastAsia"/>
          <w:color w:val="000000" w:themeColor="text1"/>
        </w:rPr>
        <w:t>目前僅有原民會114年2月25日原民經字第1140005644號函釋，並無中央統一頒布之作業程序表件供受理機關遵循，建請由原民會依實務情形，研議相關標準作業，</w:t>
      </w:r>
      <w:r>
        <w:rPr>
          <w:color w:val="000000" w:themeColor="text1"/>
        </w:rPr>
        <w:t>確保各環節均有明確作業程序</w:t>
      </w:r>
      <w:r>
        <w:rPr>
          <w:rFonts w:hint="eastAsia"/>
          <w:color w:val="000000" w:themeColor="text1"/>
        </w:rPr>
        <w:t>，以供受理機關遵循等</w:t>
      </w:r>
      <w:r>
        <w:rPr>
          <w:color w:val="000000" w:themeColor="text1"/>
        </w:rPr>
        <w:t>。</w:t>
      </w:r>
      <w:r>
        <w:rPr>
          <w:rFonts w:hint="eastAsia"/>
          <w:color w:val="000000" w:themeColor="text1"/>
        </w:rPr>
        <w:t>另有關現行法規將</w:t>
      </w:r>
      <w:r>
        <w:rPr>
          <w:color w:val="000000" w:themeColor="text1"/>
        </w:rPr>
        <w:t>申請人之補償金</w:t>
      </w:r>
      <w:r>
        <w:rPr>
          <w:rFonts w:hint="eastAsia"/>
          <w:color w:val="000000" w:themeColor="text1"/>
        </w:rPr>
        <w:t>列為</w:t>
      </w:r>
      <w:r>
        <w:rPr>
          <w:color w:val="000000" w:themeColor="text1"/>
        </w:rPr>
        <w:t>強制執行扣款</w:t>
      </w:r>
      <w:r>
        <w:rPr>
          <w:rFonts w:hint="eastAsia"/>
          <w:color w:val="000000" w:themeColor="text1"/>
        </w:rPr>
        <w:t>之標的，南投縣政府</w:t>
      </w:r>
      <w:r>
        <w:rPr>
          <w:rFonts w:hint="eastAsia"/>
          <w:color w:val="000000" w:themeColor="text1"/>
        </w:rPr>
        <w:lastRenderedPageBreak/>
        <w:t>表示，因</w:t>
      </w:r>
      <w:r>
        <w:rPr>
          <w:color w:val="000000" w:themeColor="text1"/>
        </w:rPr>
        <w:t>補償金</w:t>
      </w:r>
      <w:r>
        <w:rPr>
          <w:rFonts w:hint="eastAsia"/>
          <w:color w:val="000000" w:themeColor="text1"/>
        </w:rPr>
        <w:t>屬申請人配合國家禁伐政策所為特別犧牲之補償，補償其基本生活權因配合國家禁伐政策所受之損失，因此該補償金非屬對價關係之報酬給付，</w:t>
      </w:r>
      <w:r>
        <w:rPr>
          <w:color w:val="000000" w:themeColor="text1"/>
        </w:rPr>
        <w:t>具有特殊性質，應予以立法保障不</w:t>
      </w:r>
      <w:r>
        <w:rPr>
          <w:rFonts w:hint="eastAsia"/>
          <w:color w:val="000000" w:themeColor="text1"/>
        </w:rPr>
        <w:t>得</w:t>
      </w:r>
      <w:r>
        <w:rPr>
          <w:color w:val="000000" w:themeColor="text1"/>
        </w:rPr>
        <w:t>作為債務強制執行的對象</w:t>
      </w:r>
      <w:r>
        <w:rPr>
          <w:rFonts w:hint="eastAsia"/>
          <w:color w:val="000000" w:themeColor="text1"/>
        </w:rPr>
        <w:t>，建請中央</w:t>
      </w:r>
      <w:r>
        <w:rPr>
          <w:color w:val="000000" w:themeColor="text1"/>
        </w:rPr>
        <w:t>相關部門與原民會協調，探討修正現行條例，確保受補償者基本生活權益不受侵害</w:t>
      </w:r>
      <w:r>
        <w:rPr>
          <w:rFonts w:hint="eastAsia"/>
          <w:color w:val="000000" w:themeColor="text1"/>
        </w:rPr>
        <w:t>等。上開建議，或有助於行政作業，或有益於受補償者權益，原民會允宜考量進行研議。</w:t>
      </w:r>
    </w:p>
    <w:p w14:paraId="2E225ED8" w14:textId="77777777" w:rsidR="00A375F2" w:rsidRDefault="00000000">
      <w:pPr>
        <w:pStyle w:val="3"/>
        <w:overflowPunct w:val="0"/>
        <w:rPr>
          <w:color w:val="000000" w:themeColor="text1"/>
        </w:rPr>
      </w:pPr>
      <w:r>
        <w:rPr>
          <w:rFonts w:hAnsi="標楷體" w:hint="eastAsia"/>
          <w:color w:val="000000" w:themeColor="text1"/>
        </w:rPr>
        <w:t>綜上，</w:t>
      </w:r>
      <w:r>
        <w:rPr>
          <w:rFonts w:hint="eastAsia"/>
          <w:color w:val="000000" w:themeColor="text1"/>
        </w:rPr>
        <w:t>禁伐補償條</w:t>
      </w:r>
      <w:r>
        <w:rPr>
          <w:rFonts w:hAnsi="標楷體" w:hint="eastAsia"/>
          <w:color w:val="000000" w:themeColor="text1"/>
        </w:rPr>
        <w:t>例第7條規定，</w:t>
      </w:r>
      <w:r>
        <w:rPr>
          <w:rFonts w:hint="eastAsia"/>
          <w:color w:val="000000" w:themeColor="text1"/>
        </w:rPr>
        <w:t>受領人於受領禁伐補償金後，喪失所有權或合法使用權者，地方執行機關應撤銷禁伐補償，並命受領人按月依比例返還</w:t>
      </w:r>
      <w:r>
        <w:rPr>
          <w:rFonts w:hAnsi="標楷體" w:hint="eastAsia"/>
          <w:color w:val="000000" w:themeColor="text1"/>
        </w:rPr>
        <w:t>當年度之禁伐補償金。依</w:t>
      </w:r>
      <w:r>
        <w:rPr>
          <w:rFonts w:hAnsi="標楷體" w:hint="eastAsia"/>
          <w:bCs w:val="0"/>
          <w:color w:val="000000" w:themeColor="text1"/>
        </w:rPr>
        <w:t>1</w:t>
      </w:r>
      <w:r>
        <w:rPr>
          <w:rFonts w:hAnsi="標楷體"/>
          <w:bCs w:val="0"/>
          <w:color w:val="000000" w:themeColor="text1"/>
        </w:rPr>
        <w:t>08</w:t>
      </w:r>
      <w:r>
        <w:rPr>
          <w:rFonts w:hAnsi="標楷體" w:hint="eastAsia"/>
          <w:bCs w:val="0"/>
          <w:color w:val="000000" w:themeColor="text1"/>
        </w:rPr>
        <w:t>年1</w:t>
      </w:r>
      <w:r>
        <w:rPr>
          <w:rFonts w:hAnsi="標楷體"/>
          <w:bCs w:val="0"/>
          <w:color w:val="000000" w:themeColor="text1"/>
        </w:rPr>
        <w:t>2</w:t>
      </w:r>
      <w:r>
        <w:rPr>
          <w:rFonts w:hAnsi="標楷體" w:hint="eastAsia"/>
          <w:bCs w:val="0"/>
          <w:color w:val="000000" w:themeColor="text1"/>
        </w:rPr>
        <w:t>月1</w:t>
      </w:r>
      <w:r>
        <w:rPr>
          <w:rFonts w:hAnsi="標楷體"/>
          <w:bCs w:val="0"/>
          <w:color w:val="000000" w:themeColor="text1"/>
        </w:rPr>
        <w:t>0</w:t>
      </w:r>
      <w:r>
        <w:rPr>
          <w:rFonts w:hAnsi="標楷體" w:hint="eastAsia"/>
          <w:bCs w:val="0"/>
          <w:color w:val="000000" w:themeColor="text1"/>
        </w:rPr>
        <w:t>日修正</w:t>
      </w:r>
      <w:r>
        <w:rPr>
          <w:rFonts w:hint="eastAsia"/>
          <w:color w:val="000000" w:themeColor="text1"/>
        </w:rPr>
        <w:t>禁伐補償條</w:t>
      </w:r>
      <w:r>
        <w:rPr>
          <w:rFonts w:hAnsi="標楷體" w:hint="eastAsia"/>
          <w:color w:val="000000" w:themeColor="text1"/>
        </w:rPr>
        <w:t>例</w:t>
      </w:r>
      <w:r>
        <w:rPr>
          <w:rFonts w:hAnsi="標楷體" w:hint="eastAsia"/>
          <w:bCs w:val="0"/>
          <w:color w:val="000000" w:themeColor="text1"/>
        </w:rPr>
        <w:t>相關條文時之理由，該</w:t>
      </w:r>
      <w:r>
        <w:rPr>
          <w:rFonts w:hint="eastAsia"/>
          <w:color w:val="000000" w:themeColor="text1"/>
        </w:rPr>
        <w:t>條</w:t>
      </w:r>
      <w:r>
        <w:rPr>
          <w:rFonts w:hAnsi="標楷體" w:hint="eastAsia"/>
          <w:color w:val="000000" w:themeColor="text1"/>
        </w:rPr>
        <w:t>例第7條所指喪失所有權或合法使用權，其樣態包括死亡。復依</w:t>
      </w:r>
      <w:r>
        <w:rPr>
          <w:rFonts w:hint="eastAsia"/>
          <w:color w:val="000000" w:themeColor="text1"/>
        </w:rPr>
        <w:t>禁伐補償條</w:t>
      </w:r>
      <w:r>
        <w:rPr>
          <w:rFonts w:hAnsi="標楷體" w:hint="eastAsia"/>
          <w:color w:val="000000" w:themeColor="text1"/>
        </w:rPr>
        <w:t>例第8條規定，</w:t>
      </w:r>
      <w:r>
        <w:rPr>
          <w:rFonts w:hint="eastAsia"/>
          <w:color w:val="000000" w:themeColor="text1"/>
        </w:rPr>
        <w:t>受領人於受領禁伐補償金後，喪失私有原住民保留地所有權或合法使用權時，繼受人同意禁伐並主動以書面通知受理機關者，得按月按面積依比例受領禁伐補償金。原民會於</w:t>
      </w:r>
      <w:r>
        <w:rPr>
          <w:rFonts w:hAnsi="標楷體" w:cs="標楷體"/>
          <w:color w:val="000000" w:themeColor="text1"/>
          <w:szCs w:val="32"/>
        </w:rPr>
        <w:t>114</w:t>
      </w:r>
      <w:r>
        <w:rPr>
          <w:rFonts w:hAnsi="標楷體" w:hint="eastAsia"/>
          <w:color w:val="000000" w:themeColor="text1"/>
          <w:szCs w:val="32"/>
        </w:rPr>
        <w:t>年</w:t>
      </w:r>
      <w:r>
        <w:rPr>
          <w:rFonts w:hAnsi="標楷體" w:cs="標楷體"/>
          <w:color w:val="000000" w:themeColor="text1"/>
          <w:szCs w:val="32"/>
        </w:rPr>
        <w:t>2</w:t>
      </w:r>
      <w:r>
        <w:rPr>
          <w:rFonts w:hAnsi="標楷體" w:hint="eastAsia"/>
          <w:color w:val="000000" w:themeColor="text1"/>
          <w:szCs w:val="32"/>
        </w:rPr>
        <w:t>月</w:t>
      </w:r>
      <w:r>
        <w:rPr>
          <w:rFonts w:hAnsi="標楷體" w:cs="標楷體"/>
          <w:color w:val="000000" w:themeColor="text1"/>
          <w:szCs w:val="32"/>
        </w:rPr>
        <w:t>25</w:t>
      </w:r>
      <w:r>
        <w:rPr>
          <w:rFonts w:hAnsi="標楷體" w:hint="eastAsia"/>
          <w:color w:val="000000" w:themeColor="text1"/>
          <w:szCs w:val="32"/>
        </w:rPr>
        <w:t>日亦以函釋說明，考量原土地所有權人死亡發生前，依然承擔禁伐之特別犧牲，仍有受領禁伐補償金之正當性且依民法第</w:t>
      </w:r>
      <w:r>
        <w:rPr>
          <w:rFonts w:hAnsi="標楷體"/>
          <w:color w:val="000000" w:themeColor="text1"/>
          <w:szCs w:val="32"/>
        </w:rPr>
        <w:t>1148</w:t>
      </w:r>
      <w:r>
        <w:rPr>
          <w:rFonts w:hAnsi="標楷體" w:hint="eastAsia"/>
          <w:color w:val="000000" w:themeColor="text1"/>
          <w:szCs w:val="32"/>
        </w:rPr>
        <w:t>條規定，繼承人自繼承開始時，承受被繼承人財產上之一切權利、義務，爰土地繼承人繼承該筆案地，倘同意禁伐並主動以書面通知受理機關者，則無溢領之情事，不須追繳補償金；換言之，</w:t>
      </w:r>
      <w:r>
        <w:rPr>
          <w:rFonts w:hAnsi="標楷體" w:hint="eastAsia"/>
          <w:color w:val="000000" w:themeColor="text1"/>
        </w:rPr>
        <w:t>若</w:t>
      </w:r>
      <w:r>
        <w:rPr>
          <w:rFonts w:hint="eastAsia"/>
          <w:color w:val="000000" w:themeColor="text1"/>
        </w:rPr>
        <w:t>繼受人沒有同意禁伐並主動以書面通知受理機關者，則恐有</w:t>
      </w:r>
      <w:r>
        <w:rPr>
          <w:rFonts w:hAnsi="標楷體" w:hint="eastAsia"/>
          <w:color w:val="000000" w:themeColor="text1"/>
          <w:szCs w:val="32"/>
        </w:rPr>
        <w:t>溢領之情事，且須追繳補償金。</w:t>
      </w:r>
      <w:r>
        <w:rPr>
          <w:rFonts w:hint="eastAsia"/>
          <w:color w:val="000000" w:themeColor="text1"/>
        </w:rPr>
        <w:t>經調查發現，各地普遍均存在受領人於申請後死亡，繼受人或忙於喪事，或對法令認識不足，肇致未依據禁伐補償條例</w:t>
      </w:r>
      <w:r>
        <w:rPr>
          <w:rFonts w:hint="eastAsia"/>
          <w:color w:val="000000" w:themeColor="text1"/>
        </w:rPr>
        <w:lastRenderedPageBreak/>
        <w:t>第8條規定，主動以書面通知受理機關之情形；原民會允宜加強相關法令規定之教育宣導，並研議是否建立由村長或相關基層人員適時主動協助繼受人之相關機制，以利其完備法定程序，避免一再發生因繼受人未依法主動以書面通知受理機關，而衍生地方執行機關須追繳</w:t>
      </w:r>
      <w:r>
        <w:rPr>
          <w:rFonts w:hAnsi="標楷體" w:hint="eastAsia"/>
          <w:color w:val="000000" w:themeColor="text1"/>
        </w:rPr>
        <w:t>禁伐補償金之</w:t>
      </w:r>
      <w:r>
        <w:rPr>
          <w:rFonts w:hint="eastAsia"/>
          <w:color w:val="000000" w:themeColor="text1"/>
        </w:rPr>
        <w:t>困擾。又，原民會要求各地方執行機關，</w:t>
      </w:r>
      <w:r>
        <w:rPr>
          <w:rFonts w:hAnsi="標楷體" w:hint="eastAsia"/>
          <w:color w:val="000000" w:themeColor="text1"/>
        </w:rPr>
        <w:t>就原申請人死亡，其繼受人領取禁伐補償金案件，重新釐清後查復該會，仍有</w:t>
      </w:r>
      <w:r>
        <w:rPr>
          <w:rFonts w:hint="eastAsia"/>
          <w:color w:val="000000" w:themeColor="text1"/>
        </w:rPr>
        <w:t>地方執行機關尚未查復</w:t>
      </w:r>
      <w:r>
        <w:rPr>
          <w:rFonts w:hAnsi="標楷體" w:hint="eastAsia"/>
          <w:color w:val="000000" w:themeColor="text1"/>
        </w:rPr>
        <w:t>，允應積極督促其儘速辦理。</w:t>
      </w:r>
      <w:r>
        <w:rPr>
          <w:rFonts w:hint="eastAsia"/>
          <w:color w:val="000000" w:themeColor="text1"/>
        </w:rPr>
        <w:t>另，有關地方執行機關建議中央主管機關依實務情形，研議禁伐補償金之標準作業</w:t>
      </w:r>
      <w:r>
        <w:rPr>
          <w:color w:val="000000" w:themeColor="text1"/>
        </w:rPr>
        <w:t>程序</w:t>
      </w:r>
      <w:r>
        <w:rPr>
          <w:rFonts w:hint="eastAsia"/>
          <w:color w:val="000000" w:themeColor="text1"/>
        </w:rPr>
        <w:t>，俾資遵循等相關建議，原民會允宜考量進行研議，以提升核發</w:t>
      </w:r>
      <w:r>
        <w:rPr>
          <w:rFonts w:hAnsi="標楷體" w:hint="eastAsia"/>
          <w:color w:val="000000" w:themeColor="text1"/>
          <w:szCs w:val="32"/>
        </w:rPr>
        <w:t>禁伐補償金之作業品質</w:t>
      </w:r>
      <w:r>
        <w:rPr>
          <w:rFonts w:hint="eastAsia"/>
          <w:color w:val="000000" w:themeColor="text1"/>
        </w:rPr>
        <w:t>。</w:t>
      </w:r>
    </w:p>
    <w:p w14:paraId="779D3D56" w14:textId="77777777" w:rsidR="00A375F2" w:rsidRDefault="00000000">
      <w:pPr>
        <w:pStyle w:val="2"/>
        <w:overflowPunct w:val="0"/>
        <w:rPr>
          <w:rFonts w:hAnsi="標楷體"/>
          <w:b/>
          <w:color w:val="000000" w:themeColor="text1"/>
        </w:rPr>
      </w:pPr>
      <w:r>
        <w:rPr>
          <w:rFonts w:hAnsi="標楷體" w:hint="eastAsia"/>
          <w:b/>
          <w:color w:val="000000" w:themeColor="text1"/>
          <w:szCs w:val="32"/>
        </w:rPr>
        <w:t>原民會</w:t>
      </w:r>
      <w:r>
        <w:rPr>
          <w:rFonts w:hAnsi="標楷體" w:hint="eastAsia"/>
          <w:b/>
          <w:color w:val="000000" w:themeColor="text1"/>
        </w:rPr>
        <w:t>依據禁伐補償條例第9條第1項：「主管機關應建立禁伐補償資訊管理系統」之規定，</w:t>
      </w:r>
      <w:r>
        <w:rPr>
          <w:rFonts w:hint="eastAsia"/>
          <w:b/>
          <w:color w:val="000000" w:themeColor="text1"/>
        </w:rPr>
        <w:t>投入</w:t>
      </w:r>
      <w:r>
        <w:rPr>
          <w:rFonts w:hAnsi="標楷體" w:hint="eastAsia"/>
          <w:b/>
          <w:color w:val="000000" w:themeColor="text1"/>
        </w:rPr>
        <w:t>7,190萬元所建置之禁伐補償資訊管理圖臺系統，竟未申請與內政部之戶役政系統進行介接，致原住民保留地所在地之</w:t>
      </w:r>
      <w:r>
        <w:rPr>
          <w:rFonts w:hAnsi="標楷體"/>
          <w:b/>
          <w:color w:val="000000" w:themeColor="text1"/>
        </w:rPr>
        <w:t>鄉（鎮、市、區）公所</w:t>
      </w:r>
      <w:r>
        <w:rPr>
          <w:rFonts w:hAnsi="標楷體" w:hint="eastAsia"/>
          <w:b/>
          <w:color w:val="000000" w:themeColor="text1"/>
        </w:rPr>
        <w:t>，以及</w:t>
      </w:r>
      <w:r>
        <w:rPr>
          <w:rFonts w:hAnsi="標楷體"/>
          <w:b/>
          <w:color w:val="000000" w:themeColor="text1"/>
        </w:rPr>
        <w:t>直轄市、縣（市）政府</w:t>
      </w:r>
      <w:r>
        <w:rPr>
          <w:rFonts w:hAnsi="標楷體" w:hint="eastAsia"/>
          <w:b/>
          <w:color w:val="000000" w:themeColor="text1"/>
        </w:rPr>
        <w:t>，於受理、審查禁伐補償金之申請案件時，無法及時知悉申請人之存歿狀態，亦不利地方執行機關於核發禁伐補償金作業過程中，確認受領人存歿狀態，核有欠妥，允應儘速改善。此外，新竹縣政府與南投縣政府對於圖臺系統，提出初審合格案件即可進行線上檢測、</w:t>
      </w:r>
      <w:r>
        <w:rPr>
          <w:rFonts w:hAnsi="標楷體"/>
          <w:b/>
          <w:color w:val="000000" w:themeColor="text1"/>
        </w:rPr>
        <w:t>增加手機簡訊通知審核</w:t>
      </w:r>
      <w:r>
        <w:rPr>
          <w:rFonts w:hAnsi="標楷體" w:hint="eastAsia"/>
          <w:b/>
          <w:color w:val="000000" w:themeColor="text1"/>
        </w:rPr>
        <w:t>結果等建議，原民會允宜納入考量，以優化圖臺系統之功能，俾提升核發</w:t>
      </w:r>
      <w:r>
        <w:rPr>
          <w:rFonts w:hAnsi="標楷體" w:hint="eastAsia"/>
          <w:b/>
          <w:color w:val="000000" w:themeColor="text1"/>
          <w:szCs w:val="32"/>
        </w:rPr>
        <w:t>禁伐補償金業務之工作品質與效率</w:t>
      </w:r>
      <w:r>
        <w:rPr>
          <w:rFonts w:hAnsi="標楷體" w:hint="eastAsia"/>
          <w:b/>
          <w:color w:val="000000" w:themeColor="text1"/>
        </w:rPr>
        <w:t>。</w:t>
      </w:r>
    </w:p>
    <w:p w14:paraId="66470746" w14:textId="77777777" w:rsidR="00A375F2" w:rsidRDefault="00000000">
      <w:pPr>
        <w:pStyle w:val="3"/>
        <w:overflowPunct w:val="0"/>
        <w:rPr>
          <w:color w:val="000000" w:themeColor="text1"/>
        </w:rPr>
      </w:pPr>
      <w:r>
        <w:rPr>
          <w:rFonts w:hint="eastAsia"/>
          <w:color w:val="000000" w:themeColor="text1"/>
        </w:rPr>
        <w:t>依據禁伐補償條例第9條第1項規定：「主管機關應建立禁伐補償資訊管理系統」，爰原民會自111年度推動原住民保留地禁伐補償圖臺系統（下稱圖臺系統），於111年11月8日決標予崧旭資訊股份有</w:t>
      </w:r>
      <w:r>
        <w:rPr>
          <w:rFonts w:hint="eastAsia"/>
          <w:color w:val="000000" w:themeColor="text1"/>
        </w:rPr>
        <w:lastRenderedPageBreak/>
        <w:t>限公司，後於</w:t>
      </w:r>
      <w:r>
        <w:rPr>
          <w:color w:val="000000" w:themeColor="text1"/>
        </w:rPr>
        <w:t>112</w:t>
      </w:r>
      <w:r>
        <w:rPr>
          <w:rFonts w:hint="eastAsia"/>
          <w:color w:val="000000" w:themeColor="text1"/>
        </w:rPr>
        <w:t>年度標案規劃期程完成</w:t>
      </w:r>
      <w:bookmarkStart w:id="55" w:name="_Hlk200094601"/>
      <w:r>
        <w:rPr>
          <w:rFonts w:hint="eastAsia"/>
          <w:color w:val="000000" w:themeColor="text1"/>
        </w:rPr>
        <w:t>圖臺系統</w:t>
      </w:r>
      <w:bookmarkEnd w:id="55"/>
      <w:r>
        <w:rPr>
          <w:rFonts w:hint="eastAsia"/>
          <w:color w:val="000000" w:themeColor="text1"/>
        </w:rPr>
        <w:t>之建置，並於113年度正式上線啟用，其功能以禁伐補償線上申請服務、衛星影像辨識與禁伐補償區域檢測、禁伐補償資訊管理系統暨空間整合功能為主軸，並扣合該條例規定及行政作業流程，藉由系統的操作，以達至減輕執行人員業務負荷及提升行政作業之效能。據原民會提供資料，圖臺系統於112年度至1</w:t>
      </w:r>
      <w:r>
        <w:rPr>
          <w:color w:val="000000" w:themeColor="text1"/>
        </w:rPr>
        <w:t>13</w:t>
      </w:r>
      <w:r>
        <w:rPr>
          <w:rFonts w:hint="eastAsia"/>
          <w:color w:val="000000" w:themeColor="text1"/>
        </w:rPr>
        <w:t>年度之建置情形略以：</w:t>
      </w:r>
    </w:p>
    <w:p w14:paraId="4DEEEC29" w14:textId="77777777" w:rsidR="00A375F2" w:rsidRDefault="00000000">
      <w:pPr>
        <w:pStyle w:val="4"/>
        <w:numPr>
          <w:ilvl w:val="3"/>
          <w:numId w:val="1"/>
        </w:numPr>
        <w:overflowPunct w:val="0"/>
        <w:rPr>
          <w:color w:val="000000" w:themeColor="text1"/>
        </w:rPr>
      </w:pPr>
      <w:r>
        <w:rPr>
          <w:rFonts w:hint="eastAsia"/>
          <w:color w:val="000000" w:themeColor="text1"/>
        </w:rPr>
        <w:t>11</w:t>
      </w:r>
      <w:r>
        <w:rPr>
          <w:color w:val="000000" w:themeColor="text1"/>
        </w:rPr>
        <w:t>2</w:t>
      </w:r>
      <w:r>
        <w:rPr>
          <w:rFonts w:hint="eastAsia"/>
          <w:color w:val="000000" w:themeColor="text1"/>
        </w:rPr>
        <w:t>年度建置圖臺系統，其工項包含禁伐補償資訊管理系統暨空間整合功能及禁伐補償資料庫之建立，各執行機關每年將申請人資料建入該系統資料庫，利用系統整合各縣市面積、人數、撥付補償金等資訊。113年度各執行機關皆已建入完竣，至歷年度資料庫之建立，原民會亦請各執行機關提供資料以進行數位化建檔作業，並於系統設計儀表板功能，針對全國資料及辦理進度進行分析及管控。</w:t>
      </w:r>
    </w:p>
    <w:p w14:paraId="61E6B1AA" w14:textId="77777777" w:rsidR="00A375F2" w:rsidRDefault="00000000">
      <w:pPr>
        <w:pStyle w:val="4"/>
        <w:numPr>
          <w:ilvl w:val="3"/>
          <w:numId w:val="1"/>
        </w:numPr>
        <w:overflowPunct w:val="0"/>
        <w:rPr>
          <w:color w:val="000000" w:themeColor="text1"/>
        </w:rPr>
      </w:pPr>
      <w:r>
        <w:rPr>
          <w:rFonts w:hint="eastAsia"/>
          <w:color w:val="000000" w:themeColor="text1"/>
        </w:rPr>
        <w:t>113年度禁伐補償系統上線啟用：</w:t>
      </w:r>
    </w:p>
    <w:p w14:paraId="6A3ABF9D" w14:textId="77777777" w:rsidR="00A375F2" w:rsidRDefault="00000000">
      <w:pPr>
        <w:pStyle w:val="5"/>
        <w:numPr>
          <w:ilvl w:val="4"/>
          <w:numId w:val="1"/>
        </w:numPr>
        <w:overflowPunct w:val="0"/>
        <w:rPr>
          <w:color w:val="000000" w:themeColor="text1"/>
        </w:rPr>
      </w:pPr>
      <w:r>
        <w:rPr>
          <w:rFonts w:hint="eastAsia"/>
          <w:color w:val="000000" w:themeColor="text1"/>
        </w:rPr>
        <w:t>圖臺系統功能以禁伐補償線上申請服務、衛星影像辨識與禁伐補償區域檢測、禁伐補償資訊管理系統暨空間整合功能為主軸，並扣合該條例規定及行政作業流程，藉由系統的操作，以達至減輕執行人員業務負荷及提升行政作業之效能。</w:t>
      </w:r>
    </w:p>
    <w:p w14:paraId="6AD5E9B6" w14:textId="77777777" w:rsidR="00A375F2" w:rsidRDefault="00000000">
      <w:pPr>
        <w:pStyle w:val="5"/>
        <w:numPr>
          <w:ilvl w:val="4"/>
          <w:numId w:val="1"/>
        </w:numPr>
        <w:overflowPunct w:val="0"/>
        <w:rPr>
          <w:color w:val="000000" w:themeColor="text1"/>
        </w:rPr>
      </w:pPr>
      <w:r>
        <w:rPr>
          <w:rFonts w:hint="eastAsia"/>
          <w:color w:val="000000" w:themeColor="text1"/>
        </w:rPr>
        <w:t>圖臺系統功能，規劃每年購買2期衛星影像圖資，利用衛星影像套疊地籍圖資，以判釋案地竹、木覆蓋率情形，並進行變異點分析比對，以有效監測森林資源，另，禁伐補償資訊管理系統暨空間整合功能及禁伐補償資料庫功能，</w:t>
      </w:r>
      <w:r>
        <w:rPr>
          <w:rFonts w:hint="eastAsia"/>
          <w:color w:val="000000" w:themeColor="text1"/>
        </w:rPr>
        <w:lastRenderedPageBreak/>
        <w:t>請各地方執行機關禁伐補償配合建入，已完善資料庫之建立。</w:t>
      </w:r>
    </w:p>
    <w:p w14:paraId="2B73D8BD" w14:textId="77777777" w:rsidR="00A375F2" w:rsidRDefault="00000000">
      <w:pPr>
        <w:pStyle w:val="3"/>
        <w:overflowPunct w:val="0"/>
        <w:rPr>
          <w:color w:val="000000" w:themeColor="text1"/>
        </w:rPr>
      </w:pPr>
      <w:r>
        <w:rPr>
          <w:rFonts w:hint="eastAsia"/>
          <w:color w:val="000000" w:themeColor="text1"/>
        </w:rPr>
        <w:t>查</w:t>
      </w:r>
      <w:r>
        <w:rPr>
          <w:rFonts w:hAnsi="標楷體" w:hint="eastAsia"/>
          <w:color w:val="000000" w:themeColor="text1"/>
          <w:szCs w:val="32"/>
        </w:rPr>
        <w:t>內政部依戶籍法第6</w:t>
      </w:r>
      <w:r>
        <w:rPr>
          <w:rFonts w:hAnsi="標楷體"/>
          <w:color w:val="000000" w:themeColor="text1"/>
          <w:szCs w:val="32"/>
        </w:rPr>
        <w:t>7</w:t>
      </w:r>
      <w:r>
        <w:rPr>
          <w:rFonts w:hAnsi="標楷體" w:hint="eastAsia"/>
          <w:color w:val="000000" w:themeColor="text1"/>
          <w:szCs w:val="32"/>
        </w:rPr>
        <w:t>條第2項規定，訂有</w:t>
      </w:r>
      <w:r>
        <w:rPr>
          <w:rFonts w:hAnsi="標楷體" w:hint="eastAsia"/>
          <w:color w:val="000000" w:themeColor="text1"/>
          <w:kern w:val="2"/>
          <w:szCs w:val="32"/>
        </w:rPr>
        <w:t>各機關申請提供戶籍資料及親等關聯資料辦法（下稱申請戶籍資料辦法），</w:t>
      </w:r>
      <w:r>
        <w:rPr>
          <w:rFonts w:hAnsi="標楷體" w:hint="eastAsia"/>
          <w:color w:val="000000" w:themeColor="text1"/>
          <w:szCs w:val="32"/>
        </w:rPr>
        <w:t>原民會據上開辦法，訂有該會之</w:t>
      </w:r>
      <w:r>
        <w:rPr>
          <w:rFonts w:hint="eastAsia"/>
          <w:color w:val="000000" w:themeColor="text1"/>
        </w:rPr>
        <w:t>應用戶政及親等關聯資料資訊連結作業及管理要點，對於該會辦理建構原住民族智慧治理計畫業務、人口統計業務、補助原住民族國際交流業務、原住民族專門人才獎勵業務、獎勵大專校院學生獎助學金業務、國民中小學清寒原住民學生助學金業務、原住民族急難救助業務、補助原住民族長者裝置假牙業務、培育原住民族社會工作專業人力獎勵業務、就業狀況調查業務、原住民團體業務、機關（構）進用原住民人數及就業代金稽核及課徵業務、超額進用原住民族機關（構）及廠商表揚業務、原住民身心障礙者機構式服務生活資材費用補助業務、補助原住民全民健康保險保險費業務、原住民族人口及健康統計年報業務、技術士獎勵證照業務、清理原住民族綜合發展基金貸款業務、原住民族音樂產業補助業務、企業創新創業輔導計畫業務等使用戶政資料，均已訂定相關計畫。</w:t>
      </w:r>
    </w:p>
    <w:p w14:paraId="164E9A9D" w14:textId="77777777" w:rsidR="00A375F2" w:rsidRDefault="00000000">
      <w:pPr>
        <w:pStyle w:val="3"/>
        <w:overflowPunct w:val="0"/>
        <w:rPr>
          <w:color w:val="000000" w:themeColor="text1"/>
        </w:rPr>
      </w:pPr>
      <w:r>
        <w:rPr>
          <w:rFonts w:hint="eastAsia"/>
          <w:color w:val="000000" w:themeColor="text1"/>
        </w:rPr>
        <w:t>惟查，原民會依據禁伐補償條例第9條第1項：「主管機關應建立禁伐補償資訊管理系統」之規定，斥資7,190萬元（包括系統功能建置及113年度維運經費）所建置之上開禁伐補償圖臺系統，並未與內政部之</w:t>
      </w:r>
      <w:r>
        <w:rPr>
          <w:rFonts w:hAnsi="標楷體" w:hint="eastAsia"/>
          <w:color w:val="000000" w:themeColor="text1"/>
        </w:rPr>
        <w:t>戶役政系統進行介接，致</w:t>
      </w:r>
      <w:r>
        <w:rPr>
          <w:rFonts w:hint="eastAsia"/>
          <w:color w:val="000000" w:themeColor="text1"/>
        </w:rPr>
        <w:t>原住民保留地所在地之</w:t>
      </w:r>
      <w:r>
        <w:rPr>
          <w:rFonts w:hAnsi="標楷體"/>
          <w:color w:val="000000" w:themeColor="text1"/>
        </w:rPr>
        <w:t>鄉（鎮、市、區）公所</w:t>
      </w:r>
      <w:r>
        <w:rPr>
          <w:rFonts w:hAnsi="標楷體" w:hint="eastAsia"/>
          <w:color w:val="000000" w:themeColor="text1"/>
        </w:rPr>
        <w:t>，以及</w:t>
      </w:r>
      <w:r>
        <w:rPr>
          <w:rFonts w:hAnsi="標楷體"/>
          <w:color w:val="000000" w:themeColor="text1"/>
        </w:rPr>
        <w:t>直轄市、縣（市）政府</w:t>
      </w:r>
      <w:r>
        <w:rPr>
          <w:rFonts w:hAnsi="標楷體" w:hint="eastAsia"/>
          <w:color w:val="000000" w:themeColor="text1"/>
        </w:rPr>
        <w:t>，於受理</w:t>
      </w:r>
      <w:r>
        <w:rPr>
          <w:rFonts w:ascii="新細明體" w:eastAsia="新細明體" w:hAnsi="新細明體" w:hint="eastAsia"/>
          <w:color w:val="000000" w:themeColor="text1"/>
        </w:rPr>
        <w:t>、</w:t>
      </w:r>
      <w:r>
        <w:rPr>
          <w:rFonts w:hAnsi="標楷體" w:hint="eastAsia"/>
          <w:color w:val="000000" w:themeColor="text1"/>
        </w:rPr>
        <w:t>審查</w:t>
      </w:r>
      <w:r>
        <w:rPr>
          <w:rFonts w:hint="eastAsia"/>
          <w:color w:val="000000" w:themeColor="text1"/>
        </w:rPr>
        <w:t>禁伐補償金之申請案件</w:t>
      </w:r>
      <w:r>
        <w:rPr>
          <w:rFonts w:hAnsi="標楷體" w:hint="eastAsia"/>
          <w:color w:val="000000" w:themeColor="text1"/>
        </w:rPr>
        <w:t>時，無法及時知悉申請人之存歿</w:t>
      </w:r>
      <w:r>
        <w:rPr>
          <w:rFonts w:hint="eastAsia"/>
          <w:color w:val="000000" w:themeColor="text1"/>
        </w:rPr>
        <w:t>狀態</w:t>
      </w:r>
      <w:r>
        <w:rPr>
          <w:rFonts w:hAnsi="標楷體" w:hint="eastAsia"/>
          <w:color w:val="000000" w:themeColor="text1"/>
        </w:rPr>
        <w:t>，亦不利地方執行機關於</w:t>
      </w:r>
      <w:r>
        <w:rPr>
          <w:rFonts w:hint="eastAsia"/>
          <w:color w:val="000000" w:themeColor="text1"/>
        </w:rPr>
        <w:t>核發禁伐補償金作業過程中，確認受領人存歿</w:t>
      </w:r>
      <w:r>
        <w:rPr>
          <w:rFonts w:hint="eastAsia"/>
          <w:color w:val="000000" w:themeColor="text1"/>
        </w:rPr>
        <w:lastRenderedPageBreak/>
        <w:t>狀態。據審計部提供資料，宜蘭縣政府係由承辦人員於禁伐補償金發放前，至宜蘭縣宜蘭市戶政事務所人工逐筆查詢；桃園市政府係提供提領清冊請戶政單位查詢回報；高雄市政府、屏東縣政府、臺東縣政府等3個市縣政府尚在研議可行方式；部分鄉公所說明禁伐補償案件量龐大，受限公所端或戶政單位端人力不足，於發放禁伐補償金前，難以及時與當地戶政單位勾稽受領人存歿情形；部分鄉公所雖於發放前向當地戶政單位申請設籍於該鄉人口死亡名冊，惟無法勾稽非設籍該鄉之受領人，顯示各市縣政府或公所對於禁伐補償金受領人存歿狀態，或以傳統之查詢機制，甚或以仍在研議查證方式，實難以確保禁伐補償金發放之正確性，且由核發之市縣政府或公所各自與戶政單位洽商勾稽機制，每年均需耗費較高之行政作業成本，亦有資料時間上之落差。</w:t>
      </w:r>
      <w:r>
        <w:rPr>
          <w:rFonts w:hAnsi="標楷體" w:hint="eastAsia"/>
          <w:color w:val="000000" w:themeColor="text1"/>
          <w:szCs w:val="32"/>
        </w:rPr>
        <w:t>南投縣政府</w:t>
      </w:r>
      <w:r>
        <w:rPr>
          <w:rFonts w:ascii="新細明體" w:eastAsia="新細明體" w:hAnsi="新細明體" w:hint="eastAsia"/>
          <w:color w:val="000000" w:themeColor="text1"/>
          <w:szCs w:val="32"/>
        </w:rPr>
        <w:t>、</w:t>
      </w:r>
      <w:r>
        <w:rPr>
          <w:rFonts w:hAnsi="標楷體" w:hint="eastAsia"/>
          <w:color w:val="000000" w:themeColor="text1"/>
          <w:szCs w:val="32"/>
        </w:rPr>
        <w:t>屏東縣政府及</w:t>
      </w:r>
      <w:r>
        <w:rPr>
          <w:rFonts w:hAnsi="標楷體" w:hint="eastAsia"/>
          <w:color w:val="000000" w:themeColor="text1"/>
        </w:rPr>
        <w:t>臺東縣政府於接受本院詢問時亦均紛紛表示，圖臺系統目前尚未完全與戶政及地政等相關資料系統自動勾稽比對機制，</w:t>
      </w:r>
      <w:r>
        <w:rPr>
          <w:rFonts w:hint="eastAsia"/>
          <w:color w:val="000000" w:themeColor="text1"/>
        </w:rPr>
        <w:t>須每案移請戶政單位協查，然案件筆數極為龐大，</w:t>
      </w:r>
      <w:r>
        <w:rPr>
          <w:rFonts w:hAnsi="標楷體" w:hint="eastAsia"/>
          <w:color w:val="000000" w:themeColor="text1"/>
        </w:rPr>
        <w:t>建議禁伐系統可與</w:t>
      </w:r>
      <w:r>
        <w:rPr>
          <w:rFonts w:hAnsi="標楷體"/>
          <w:color w:val="000000" w:themeColor="text1"/>
        </w:rPr>
        <w:t>戶政系統</w:t>
      </w:r>
      <w:r>
        <w:rPr>
          <w:rFonts w:hAnsi="標楷體" w:hint="eastAsia"/>
          <w:color w:val="000000" w:themeColor="text1"/>
        </w:rPr>
        <w:t>進行資料勾稽</w:t>
      </w:r>
      <w:r>
        <w:rPr>
          <w:rFonts w:hAnsi="標楷體"/>
          <w:color w:val="000000" w:themeColor="text1"/>
        </w:rPr>
        <w:t>比對，確保資訊即時更新</w:t>
      </w:r>
      <w:r>
        <w:rPr>
          <w:rFonts w:hAnsi="標楷體" w:hint="eastAsia"/>
          <w:color w:val="000000" w:themeColor="text1"/>
        </w:rPr>
        <w:t>等。</w:t>
      </w:r>
      <w:r>
        <w:rPr>
          <w:rFonts w:hint="eastAsia"/>
          <w:color w:val="000000" w:themeColor="text1"/>
        </w:rPr>
        <w:t>內政部於接受本院詢問時明確表示，</w:t>
      </w:r>
      <w:r>
        <w:rPr>
          <w:rFonts w:hAnsi="標楷體" w:hint="eastAsia"/>
          <w:color w:val="000000" w:themeColor="text1"/>
          <w:szCs w:val="32"/>
        </w:rPr>
        <w:t>原民會只要依</w:t>
      </w:r>
      <w:r>
        <w:rPr>
          <w:rFonts w:hAnsi="標楷體" w:hint="eastAsia"/>
          <w:color w:val="000000" w:themeColor="text1"/>
          <w:kern w:val="2"/>
          <w:szCs w:val="32"/>
        </w:rPr>
        <w:t>申請戶籍資料辦法之規定</w:t>
      </w:r>
      <w:r>
        <w:rPr>
          <w:rFonts w:hAnsi="標楷體" w:hint="eastAsia"/>
          <w:color w:val="000000" w:themeColor="text1"/>
          <w:szCs w:val="32"/>
        </w:rPr>
        <w:t>重新申請，增加禁伐補償業務之使用目的及需求即可。</w:t>
      </w:r>
    </w:p>
    <w:p w14:paraId="608E253E" w14:textId="77777777" w:rsidR="00A375F2" w:rsidRDefault="00000000">
      <w:pPr>
        <w:pStyle w:val="3"/>
        <w:overflowPunct w:val="0"/>
        <w:rPr>
          <w:color w:val="000000" w:themeColor="text1"/>
        </w:rPr>
      </w:pPr>
      <w:r>
        <w:rPr>
          <w:rFonts w:hint="eastAsia"/>
          <w:color w:val="000000" w:themeColor="text1"/>
        </w:rPr>
        <w:t>此外，</w:t>
      </w:r>
      <w:r>
        <w:rPr>
          <w:rFonts w:hAnsi="標楷體" w:hint="eastAsia"/>
          <w:color w:val="000000" w:themeColor="text1"/>
        </w:rPr>
        <w:t>新竹縣政府與南投縣政府</w:t>
      </w:r>
      <w:r>
        <w:rPr>
          <w:rFonts w:hint="eastAsia"/>
          <w:color w:val="000000" w:themeColor="text1"/>
        </w:rPr>
        <w:t>對於</w:t>
      </w:r>
      <w:r>
        <w:rPr>
          <w:rFonts w:hAnsi="標楷體" w:hint="eastAsia"/>
          <w:color w:val="000000" w:themeColor="text1"/>
        </w:rPr>
        <w:t>圖臺系統提出之下列建議，原民會允宜納入考量，以優化圖臺系統之功能：</w:t>
      </w:r>
    </w:p>
    <w:p w14:paraId="48379BCE" w14:textId="77777777" w:rsidR="00A375F2" w:rsidRDefault="00000000">
      <w:pPr>
        <w:pStyle w:val="4"/>
        <w:overflowPunct w:val="0"/>
        <w:rPr>
          <w:color w:val="000000" w:themeColor="text1"/>
        </w:rPr>
      </w:pPr>
      <w:r>
        <w:rPr>
          <w:rFonts w:hint="eastAsia"/>
          <w:color w:val="000000" w:themeColor="text1"/>
        </w:rPr>
        <w:t>新竹縣政府：</w:t>
      </w:r>
    </w:p>
    <w:p w14:paraId="18611756" w14:textId="77777777" w:rsidR="00A375F2" w:rsidRDefault="00000000">
      <w:pPr>
        <w:pStyle w:val="5"/>
        <w:overflowPunct w:val="0"/>
        <w:rPr>
          <w:color w:val="000000" w:themeColor="text1"/>
        </w:rPr>
      </w:pPr>
      <w:r>
        <w:rPr>
          <w:rFonts w:hint="eastAsia"/>
          <w:color w:val="000000" w:themeColor="text1"/>
        </w:rPr>
        <w:t>為響應環保永續、節能減紙政策，且申請人多數為年長者並以手機為主要通訊方式，則申請</w:t>
      </w:r>
      <w:r>
        <w:rPr>
          <w:rFonts w:hint="eastAsia"/>
          <w:color w:val="000000" w:themeColor="text1"/>
        </w:rPr>
        <w:lastRenderedPageBreak/>
        <w:t>案件核定結果，應增加電子郵件及簡訊通知功能。</w:t>
      </w:r>
    </w:p>
    <w:p w14:paraId="5FC90E7D" w14:textId="77777777" w:rsidR="00A375F2" w:rsidRDefault="00000000">
      <w:pPr>
        <w:pStyle w:val="5"/>
        <w:overflowPunct w:val="0"/>
        <w:rPr>
          <w:color w:val="000000" w:themeColor="text1"/>
        </w:rPr>
      </w:pPr>
      <w:r>
        <w:rPr>
          <w:rFonts w:hint="eastAsia"/>
          <w:color w:val="000000" w:themeColor="text1"/>
        </w:rPr>
        <w:t>受理機關端，下載民眾的申請資料部分，增加勾選複數下載功能。</w:t>
      </w:r>
    </w:p>
    <w:p w14:paraId="3F3DBFDB" w14:textId="77777777" w:rsidR="00A375F2" w:rsidRDefault="00000000">
      <w:pPr>
        <w:pStyle w:val="5"/>
        <w:overflowPunct w:val="0"/>
        <w:rPr>
          <w:color w:val="000000" w:themeColor="text1"/>
        </w:rPr>
      </w:pPr>
      <w:r>
        <w:rPr>
          <w:rFonts w:hint="eastAsia"/>
          <w:color w:val="000000" w:themeColor="text1"/>
        </w:rPr>
        <w:t>查詢申請案是否合格，新增可使用身分證統一編號或姓名進行查詢。</w:t>
      </w:r>
    </w:p>
    <w:p w14:paraId="3EF6045C" w14:textId="77777777" w:rsidR="00A375F2" w:rsidRDefault="00000000">
      <w:pPr>
        <w:pStyle w:val="5"/>
        <w:overflowPunct w:val="0"/>
        <w:rPr>
          <w:color w:val="000000" w:themeColor="text1"/>
        </w:rPr>
      </w:pPr>
      <w:r>
        <w:rPr>
          <w:rFonts w:hint="eastAsia"/>
          <w:color w:val="000000" w:themeColor="text1"/>
        </w:rPr>
        <w:t>目前是統一於5月後才能進行線上檢測，建議初審合格案件即可進行線上檢測，以免線上檢測案件過多，但因作業時間只能於5月後啟動。</w:t>
      </w:r>
    </w:p>
    <w:p w14:paraId="7F12020D" w14:textId="77777777" w:rsidR="00A375F2" w:rsidRDefault="00000000">
      <w:pPr>
        <w:pStyle w:val="4"/>
        <w:overflowPunct w:val="0"/>
        <w:rPr>
          <w:color w:val="000000" w:themeColor="text1"/>
        </w:rPr>
      </w:pPr>
      <w:r>
        <w:rPr>
          <w:rFonts w:hAnsi="標楷體" w:hint="eastAsia"/>
          <w:color w:val="000000" w:themeColor="text1"/>
        </w:rPr>
        <w:t>南投縣政府：</w:t>
      </w:r>
    </w:p>
    <w:p w14:paraId="70E5BB9C" w14:textId="77777777" w:rsidR="00A375F2" w:rsidRDefault="00000000">
      <w:pPr>
        <w:pStyle w:val="5"/>
        <w:overflowPunct w:val="0"/>
        <w:rPr>
          <w:color w:val="000000" w:themeColor="text1"/>
        </w:rPr>
      </w:pPr>
      <w:r>
        <w:rPr>
          <w:rFonts w:hint="eastAsia"/>
          <w:color w:val="000000" w:themeColor="text1"/>
        </w:rPr>
        <w:t>勘查作業依原住民保留地禁伐補償實施辦法僅規定當年度8月31日前完成，如已完成初審案件，應即可進行現地檢測，無須俟5月1日才開始檢測。然目前系統於5月1日前未開放輸入檢測結果登錄功能，壓縮現地檢測登錄時間，建請中央予以改善</w:t>
      </w:r>
      <w:r>
        <w:rPr>
          <w:color w:val="000000" w:themeColor="text1"/>
        </w:rPr>
        <w:t>，以減輕高峰期人力壓力。</w:t>
      </w:r>
    </w:p>
    <w:p w14:paraId="385B387F" w14:textId="77777777" w:rsidR="00A375F2" w:rsidRDefault="00000000">
      <w:pPr>
        <w:pStyle w:val="5"/>
        <w:overflowPunct w:val="0"/>
        <w:rPr>
          <w:color w:val="000000" w:themeColor="text1"/>
        </w:rPr>
      </w:pPr>
      <w:r>
        <w:rPr>
          <w:color w:val="000000" w:themeColor="text1"/>
        </w:rPr>
        <w:t>針對民眾申請審核初審通過或不通過的通知，建議增加手機簡訊通知</w:t>
      </w:r>
      <w:r>
        <w:rPr>
          <w:rFonts w:hint="eastAsia"/>
          <w:color w:val="000000" w:themeColor="text1"/>
        </w:rPr>
        <w:t>。</w:t>
      </w:r>
      <w:r>
        <w:rPr>
          <w:color w:val="000000" w:themeColor="text1"/>
        </w:rPr>
        <w:t>為降低扣除及合格面積判識誤差率</w:t>
      </w:r>
      <w:r>
        <w:rPr>
          <w:rFonts w:hint="eastAsia"/>
          <w:color w:val="000000" w:themeColor="text1"/>
        </w:rPr>
        <w:t>，</w:t>
      </w:r>
      <w:r>
        <w:rPr>
          <w:color w:val="000000" w:themeColor="text1"/>
        </w:rPr>
        <w:t>檢測人員仍以現地檢測為主衛星影像圖資為輔，減少後續民眾申覆補勘案件；另系統需經受理、登錄、審查、現地檢測並核發補償金</w:t>
      </w:r>
      <w:r>
        <w:rPr>
          <w:rFonts w:hint="eastAsia"/>
          <w:color w:val="000000" w:themeColor="text1"/>
        </w:rPr>
        <w:t>等程序</w:t>
      </w:r>
      <w:r>
        <w:rPr>
          <w:color w:val="000000" w:themeColor="text1"/>
        </w:rPr>
        <w:t>，均需人力辦理。</w:t>
      </w:r>
    </w:p>
    <w:p w14:paraId="1E933E79" w14:textId="77777777" w:rsidR="00A375F2" w:rsidRDefault="00000000">
      <w:pPr>
        <w:pStyle w:val="5"/>
        <w:overflowPunct w:val="0"/>
        <w:rPr>
          <w:color w:val="000000" w:themeColor="text1"/>
        </w:rPr>
      </w:pPr>
      <w:r>
        <w:rPr>
          <w:color w:val="000000" w:themeColor="text1"/>
        </w:rPr>
        <w:t>農牧用地滿20年造林部分，該介面需填寫造林面積，至下一步驟申請面積時仍為地籍全面積，無法修改成申請實際造林面積。</w:t>
      </w:r>
    </w:p>
    <w:p w14:paraId="11D075BC" w14:textId="77777777" w:rsidR="00A375F2" w:rsidRDefault="00000000">
      <w:pPr>
        <w:pStyle w:val="5"/>
        <w:overflowPunct w:val="0"/>
        <w:rPr>
          <w:color w:val="000000" w:themeColor="text1"/>
        </w:rPr>
      </w:pPr>
      <w:r>
        <w:rPr>
          <w:color w:val="000000" w:themeColor="text1"/>
        </w:rPr>
        <w:t>有關系統檢測使用圖資，建議逐年更新1次，或是地籍異動通知(衛星影像變異點)，俾便檢測員操作系統判別合格面積與現地狀況相符，減少後續申覆補勘案件。</w:t>
      </w:r>
    </w:p>
    <w:p w14:paraId="0541759B" w14:textId="77777777" w:rsidR="00A375F2" w:rsidRDefault="00000000">
      <w:pPr>
        <w:pStyle w:val="3"/>
        <w:overflowPunct w:val="0"/>
        <w:rPr>
          <w:rFonts w:hAnsi="標楷體"/>
          <w:color w:val="000000" w:themeColor="text1"/>
        </w:rPr>
      </w:pPr>
      <w:r>
        <w:rPr>
          <w:rFonts w:hAnsi="標楷體" w:hint="eastAsia"/>
          <w:color w:val="000000" w:themeColor="text1"/>
          <w:szCs w:val="32"/>
        </w:rPr>
        <w:lastRenderedPageBreak/>
        <w:t>綜上，原民會為辦理</w:t>
      </w:r>
      <w:r>
        <w:rPr>
          <w:rFonts w:hint="eastAsia"/>
          <w:color w:val="000000" w:themeColor="text1"/>
        </w:rPr>
        <w:t>建構原住民族智慧治理計畫等多項業務之需求，</w:t>
      </w:r>
      <w:r>
        <w:rPr>
          <w:rFonts w:hAnsi="標楷體" w:hint="eastAsia"/>
          <w:color w:val="000000" w:themeColor="text1"/>
          <w:kern w:val="2"/>
          <w:szCs w:val="32"/>
        </w:rPr>
        <w:t>業已</w:t>
      </w:r>
      <w:r>
        <w:rPr>
          <w:rFonts w:hAnsi="標楷體" w:hint="eastAsia"/>
          <w:color w:val="000000" w:themeColor="text1"/>
          <w:szCs w:val="32"/>
        </w:rPr>
        <w:t>依據</w:t>
      </w:r>
      <w:r>
        <w:rPr>
          <w:rFonts w:hAnsi="標楷體" w:hint="eastAsia"/>
          <w:color w:val="000000" w:themeColor="text1"/>
          <w:kern w:val="2"/>
          <w:szCs w:val="32"/>
        </w:rPr>
        <w:t>申請戶籍資料辦法，申請</w:t>
      </w:r>
      <w:r>
        <w:rPr>
          <w:rFonts w:hint="eastAsia"/>
          <w:color w:val="000000" w:themeColor="text1"/>
        </w:rPr>
        <w:t>使用戶政資料中；惟該會依據禁伐補償條例第9條第1項：「主管機關應建立禁伐補償資訊管理系統」之規定，投入7,190萬元所建置之上開禁伐補償資訊管理系統，並未與內政部之</w:t>
      </w:r>
      <w:r>
        <w:rPr>
          <w:rFonts w:hAnsi="標楷體" w:hint="eastAsia"/>
          <w:color w:val="000000" w:themeColor="text1"/>
        </w:rPr>
        <w:t>戶役政系統進行介接，致</w:t>
      </w:r>
      <w:r>
        <w:rPr>
          <w:rFonts w:hint="eastAsia"/>
          <w:color w:val="000000" w:themeColor="text1"/>
        </w:rPr>
        <w:t>原住民保留地所在地之</w:t>
      </w:r>
      <w:r>
        <w:rPr>
          <w:rFonts w:hAnsi="標楷體"/>
          <w:color w:val="000000" w:themeColor="text1"/>
        </w:rPr>
        <w:t>鄉（鎮、市、區）公所</w:t>
      </w:r>
      <w:r>
        <w:rPr>
          <w:rFonts w:hAnsi="標楷體" w:hint="eastAsia"/>
          <w:color w:val="000000" w:themeColor="text1"/>
        </w:rPr>
        <w:t>，以及</w:t>
      </w:r>
      <w:r>
        <w:rPr>
          <w:rFonts w:hAnsi="標楷體"/>
          <w:color w:val="000000" w:themeColor="text1"/>
        </w:rPr>
        <w:t>直轄市、縣（市）政府</w:t>
      </w:r>
      <w:r>
        <w:rPr>
          <w:rFonts w:hAnsi="標楷體" w:hint="eastAsia"/>
          <w:color w:val="000000" w:themeColor="text1"/>
        </w:rPr>
        <w:t>，於受理</w:t>
      </w:r>
      <w:r>
        <w:rPr>
          <w:rFonts w:ascii="新細明體" w:eastAsia="新細明體" w:hAnsi="新細明體" w:hint="eastAsia"/>
          <w:color w:val="000000" w:themeColor="text1"/>
        </w:rPr>
        <w:t>、</w:t>
      </w:r>
      <w:r>
        <w:rPr>
          <w:rFonts w:hAnsi="標楷體" w:hint="eastAsia"/>
          <w:color w:val="000000" w:themeColor="text1"/>
        </w:rPr>
        <w:t>審查</w:t>
      </w:r>
      <w:r>
        <w:rPr>
          <w:rFonts w:hint="eastAsia"/>
          <w:color w:val="000000" w:themeColor="text1"/>
        </w:rPr>
        <w:t>禁伐補償金之申請案件</w:t>
      </w:r>
      <w:r>
        <w:rPr>
          <w:rFonts w:hAnsi="標楷體" w:hint="eastAsia"/>
          <w:color w:val="000000" w:themeColor="text1"/>
        </w:rPr>
        <w:t>時，無法及時知悉申請人之存歿</w:t>
      </w:r>
      <w:r>
        <w:rPr>
          <w:rFonts w:hint="eastAsia"/>
          <w:color w:val="000000" w:themeColor="text1"/>
        </w:rPr>
        <w:t>狀態</w:t>
      </w:r>
      <w:r>
        <w:rPr>
          <w:rFonts w:hAnsi="標楷體" w:hint="eastAsia"/>
          <w:color w:val="000000" w:themeColor="text1"/>
        </w:rPr>
        <w:t>，亦不利地方執行機關於</w:t>
      </w:r>
      <w:r>
        <w:rPr>
          <w:rFonts w:hint="eastAsia"/>
          <w:color w:val="000000" w:themeColor="text1"/>
        </w:rPr>
        <w:t>核發禁伐補償金作業過程中，確認受領人存歿狀態，核有欠妥，允應儘速改善。此外，</w:t>
      </w:r>
      <w:r>
        <w:rPr>
          <w:rFonts w:hAnsi="標楷體" w:hint="eastAsia"/>
          <w:color w:val="000000" w:themeColor="text1"/>
        </w:rPr>
        <w:t>新竹縣政府與南投縣政府</w:t>
      </w:r>
      <w:r>
        <w:rPr>
          <w:rFonts w:hint="eastAsia"/>
          <w:color w:val="000000" w:themeColor="text1"/>
        </w:rPr>
        <w:t>對於</w:t>
      </w:r>
      <w:r>
        <w:rPr>
          <w:rFonts w:hAnsi="標楷體" w:hint="eastAsia"/>
          <w:color w:val="000000" w:themeColor="text1"/>
        </w:rPr>
        <w:t>圖臺系統，提出</w:t>
      </w:r>
      <w:r>
        <w:rPr>
          <w:rFonts w:hint="eastAsia"/>
          <w:color w:val="000000" w:themeColor="text1"/>
        </w:rPr>
        <w:t>初審合格案件即可進行線上檢測</w:t>
      </w:r>
      <w:r>
        <w:rPr>
          <w:rFonts w:ascii="新細明體" w:eastAsia="新細明體" w:hAnsi="新細明體" w:hint="eastAsia"/>
          <w:color w:val="000000" w:themeColor="text1"/>
        </w:rPr>
        <w:t>、</w:t>
      </w:r>
      <w:r>
        <w:rPr>
          <w:color w:val="000000" w:themeColor="text1"/>
        </w:rPr>
        <w:t>增加手機簡訊通知審核</w:t>
      </w:r>
      <w:r>
        <w:rPr>
          <w:rFonts w:hint="eastAsia"/>
          <w:color w:val="000000" w:themeColor="text1"/>
        </w:rPr>
        <w:t>結果等</w:t>
      </w:r>
      <w:r>
        <w:rPr>
          <w:rFonts w:hAnsi="標楷體" w:hint="eastAsia"/>
          <w:color w:val="000000" w:themeColor="text1"/>
        </w:rPr>
        <w:t>建議，原民會允宜納入考量，以優化圖臺系統之功能，俾提升核發</w:t>
      </w:r>
      <w:r>
        <w:rPr>
          <w:rFonts w:hAnsi="標楷體" w:hint="eastAsia"/>
          <w:color w:val="000000" w:themeColor="text1"/>
          <w:szCs w:val="32"/>
        </w:rPr>
        <w:t>禁伐補償金業務之工作品質與效率</w:t>
      </w:r>
      <w:r>
        <w:rPr>
          <w:rFonts w:hAnsi="標楷體" w:hint="eastAsia"/>
          <w:color w:val="000000" w:themeColor="text1"/>
        </w:rPr>
        <w:t>。</w:t>
      </w:r>
    </w:p>
    <w:p w14:paraId="3B4979A6" w14:textId="77777777" w:rsidR="00A375F2" w:rsidRDefault="00000000">
      <w:pPr>
        <w:pStyle w:val="2"/>
        <w:overflowPunct w:val="0"/>
        <w:rPr>
          <w:b/>
          <w:color w:val="000000" w:themeColor="text1"/>
        </w:rPr>
      </w:pPr>
      <w:r>
        <w:rPr>
          <w:rFonts w:hint="eastAsia"/>
          <w:b/>
          <w:color w:val="000000" w:themeColor="text1"/>
        </w:rPr>
        <w:t>原民會於105年起，依地方執行機關所提報之需求，核定檢測人力，並補助各地方執行機關進用檢測人力，辦理禁伐補償工作事宜，渠等自應以辦理禁伐補償業務為限；然仍偶有部分地方執行機關，以原民會補助經費進用之檢測人員，另辦理非屬禁伐補償業務，顯與原補助目的不符，難謂有當。又，原民會之</w:t>
      </w:r>
      <w:r>
        <w:rPr>
          <w:rFonts w:hAnsi="標楷體" w:cs="HiddenHorzOCR" w:hint="eastAsia"/>
          <w:b/>
          <w:color w:val="000000" w:themeColor="text1"/>
          <w:kern w:val="0"/>
          <w:szCs w:val="32"/>
        </w:rPr>
        <w:t>圖臺系統已於</w:t>
      </w:r>
      <w:r>
        <w:rPr>
          <w:rFonts w:hAnsi="標楷體" w:cs="HiddenHorzOCR"/>
          <w:b/>
          <w:color w:val="000000" w:themeColor="text1"/>
          <w:kern w:val="0"/>
          <w:szCs w:val="32"/>
        </w:rPr>
        <w:t>113</w:t>
      </w:r>
      <w:r>
        <w:rPr>
          <w:rFonts w:hAnsi="標楷體" w:cs="HiddenHorzOCR" w:hint="eastAsia"/>
          <w:b/>
          <w:color w:val="000000" w:themeColor="text1"/>
          <w:kern w:val="0"/>
          <w:szCs w:val="32"/>
        </w:rPr>
        <w:t>年度上線，</w:t>
      </w:r>
      <w:r>
        <w:rPr>
          <w:rFonts w:hint="eastAsia"/>
          <w:b/>
          <w:color w:val="000000" w:themeColor="text1"/>
        </w:rPr>
        <w:t>地方執行機關</w:t>
      </w:r>
      <w:r>
        <w:rPr>
          <w:rFonts w:hAnsi="標楷體" w:cs="HiddenHorzOCR" w:hint="eastAsia"/>
          <w:b/>
          <w:color w:val="000000" w:themeColor="text1"/>
          <w:kern w:val="0"/>
          <w:szCs w:val="32"/>
        </w:rPr>
        <w:t>對於</w:t>
      </w:r>
      <w:r>
        <w:rPr>
          <w:rFonts w:hint="eastAsia"/>
          <w:b/>
          <w:color w:val="000000" w:themeColor="text1"/>
        </w:rPr>
        <w:t>檢測人</w:t>
      </w:r>
      <w:r>
        <w:rPr>
          <w:rFonts w:hAnsi="標楷體" w:cs="HiddenHorzOCR" w:hint="eastAsia"/>
          <w:b/>
          <w:color w:val="000000" w:themeColor="text1"/>
          <w:kern w:val="0"/>
          <w:szCs w:val="32"/>
        </w:rPr>
        <w:t>力之需求，應可望逐年減少，爰</w:t>
      </w:r>
      <w:r>
        <w:rPr>
          <w:rFonts w:hint="eastAsia"/>
          <w:b/>
          <w:color w:val="000000" w:themeColor="text1"/>
        </w:rPr>
        <w:t>原民會允應逐年審慎</w:t>
      </w:r>
      <w:r>
        <w:rPr>
          <w:rFonts w:ascii="新細明體" w:eastAsia="新細明體" w:hAnsi="新細明體" w:hint="eastAsia"/>
          <w:b/>
          <w:color w:val="000000" w:themeColor="text1"/>
        </w:rPr>
        <w:t>、</w:t>
      </w:r>
      <w:r>
        <w:rPr>
          <w:rFonts w:hint="eastAsia"/>
          <w:b/>
          <w:color w:val="000000" w:themeColor="text1"/>
        </w:rPr>
        <w:t>務實評估各地方執行機關之人力需求，以及加強監督各地方執行機關交付予檢測人員之工作內容，俾利以精簡之人力，即能順利完成禁伐補償相關業務。</w:t>
      </w:r>
    </w:p>
    <w:p w14:paraId="0CCCB3F1" w14:textId="77777777" w:rsidR="00A375F2" w:rsidRDefault="00000000">
      <w:pPr>
        <w:pStyle w:val="3"/>
        <w:overflowPunct w:val="0"/>
        <w:rPr>
          <w:color w:val="000000" w:themeColor="text1"/>
        </w:rPr>
      </w:pPr>
      <w:r>
        <w:rPr>
          <w:rFonts w:hint="eastAsia"/>
          <w:color w:val="000000" w:themeColor="text1"/>
        </w:rPr>
        <w:t>依據禁伐補償條例第4條規定，申請人應每年填具禁伐補償申請書，並檢附相關文件，向原住民保留地所在地之受理機關申請，受理機關初審通過後，</w:t>
      </w:r>
      <w:r>
        <w:rPr>
          <w:rFonts w:hint="eastAsia"/>
          <w:color w:val="000000" w:themeColor="text1"/>
        </w:rPr>
        <w:lastRenderedPageBreak/>
        <w:t>轉請地方執行機關辦理勘查作業，經確認竹、木覆蓋率七成以上，且無濫墾、濫伐之情事，應予實施補償之必要者，予以核准。原民會表示，檢測人員工作包含辦理受理申請、現地勘查作業、禁伐補償圖臺系統操作及禁伐補償相關業務。為利各市縣政府依前揭規定辦理禁伐補償勘查及檢測作業，原民會於105年起，依地方執行機關提報需求，核定檢測人力，並請各地方執行機關本於權責進用檢測人力及辦理禁伐補償工作事宜；檢測人員由地方執行機關以每年訂定契約方式規範。原民會並於1</w:t>
      </w:r>
      <w:r>
        <w:rPr>
          <w:color w:val="000000" w:themeColor="text1"/>
        </w:rPr>
        <w:t>09</w:t>
      </w:r>
      <w:r>
        <w:rPr>
          <w:rFonts w:hint="eastAsia"/>
          <w:color w:val="000000" w:themeColor="text1"/>
        </w:rPr>
        <w:t>年3月6日以</w:t>
      </w:r>
      <w:r>
        <w:rPr>
          <w:rFonts w:hAnsi="標楷體" w:cs="HiddenHorzOCR" w:hint="eastAsia"/>
          <w:color w:val="000000" w:themeColor="text1"/>
          <w:kern w:val="0"/>
          <w:szCs w:val="32"/>
        </w:rPr>
        <w:t>原民經字第</w:t>
      </w:r>
      <w:r>
        <w:rPr>
          <w:rFonts w:hAnsi="標楷體" w:cs="HiddenHorzOCR"/>
          <w:color w:val="000000" w:themeColor="text1"/>
          <w:kern w:val="0"/>
          <w:szCs w:val="32"/>
        </w:rPr>
        <w:t>1090012919</w:t>
      </w:r>
      <w:r>
        <w:rPr>
          <w:rFonts w:hAnsi="標楷體" w:cs="HiddenHorzOCR" w:hint="eastAsia"/>
          <w:color w:val="000000" w:themeColor="text1"/>
          <w:kern w:val="0"/>
          <w:szCs w:val="32"/>
        </w:rPr>
        <w:t>號函示，禁伐補償檢測員應以辦理禁伐補償業務為限，倘</w:t>
      </w:r>
      <w:r>
        <w:rPr>
          <w:rFonts w:hAnsi="標楷體" w:cs="微軟正黑體" w:hint="eastAsia"/>
          <w:color w:val="000000" w:themeColor="text1"/>
          <w:kern w:val="0"/>
          <w:szCs w:val="32"/>
        </w:rPr>
        <w:t>查</w:t>
      </w:r>
      <w:r>
        <w:rPr>
          <w:rFonts w:hAnsi="標楷體" w:cs="Yu Gothic" w:hint="eastAsia"/>
          <w:color w:val="000000" w:themeColor="text1"/>
          <w:kern w:val="0"/>
          <w:szCs w:val="32"/>
        </w:rPr>
        <w:t>獲改調檢測員任前開業</w:t>
      </w:r>
      <w:r>
        <w:rPr>
          <w:rFonts w:hAnsi="標楷體" w:cs="HiddenHorzOCR" w:hint="eastAsia"/>
          <w:color w:val="000000" w:themeColor="text1"/>
          <w:kern w:val="0"/>
          <w:szCs w:val="32"/>
        </w:rPr>
        <w:t>務以外之工作項目，將逕予減列員額。</w:t>
      </w:r>
    </w:p>
    <w:p w14:paraId="241FE7D7" w14:textId="77777777" w:rsidR="00A375F2" w:rsidRDefault="00000000">
      <w:pPr>
        <w:pStyle w:val="3"/>
        <w:rPr>
          <w:color w:val="000000" w:themeColor="text1"/>
        </w:rPr>
      </w:pPr>
      <w:r>
        <w:rPr>
          <w:rFonts w:hint="eastAsia"/>
          <w:color w:val="000000" w:themeColor="text1"/>
        </w:rPr>
        <w:t>惟查，據審計部實地瞭解桃園市、高雄市、屏東縣及臺東縣等4個市縣政府檢測人員實際工作內容結果，發現渠等工作範圍不一，甚至有辦理非禁伐補償業務情形。桃園市政府檢測人員工作內容包括受理申請案、實地勘查檢測、提領清冊製作、補償金核撥等4階段，而屏東縣政府僅有受理申請案、實地勘查檢測2階段，另屏東縣政府檢測人員尚須辦理公務車輛管理業務，臺東縣政府檢測人員則尚須辦理其他林務計畫業務。又，原民會於113年4月間亦接獲陳情，表示花蓮縣政府禁伐檢測員需承辦非禁伐補償業務，爰經原民會查明該府檢測人員勞動契約所載工作項目，係包含辦理農業部林業保育署獎勵輔導造林計畫及全民造林計畫相關事宜，原民會遂於113年6月7日函請該府檢討契約工作項目內容，並不得將檢測員挪作他用。對於原民會補助各市縣政府經費所進用之檢測人員，各市縣政府</w:t>
      </w:r>
      <w:r>
        <w:rPr>
          <w:rFonts w:hint="eastAsia"/>
          <w:color w:val="000000" w:themeColor="text1"/>
        </w:rPr>
        <w:lastRenderedPageBreak/>
        <w:t>因其人力資源與業務量之不同，其檢測人員辦理禁伐補償業務之工作範圍未完全相同，尚可理解；然仍偶有部分之地方執行機關，以原民會補助經費進用之檢測人員，另辦理非屬禁伐補償之業務，顯與原補助目的不符，違反原民會上開109年3月6日之函示，顯欠妥適，難謂有當。關於禁伐補償檢測之人力資源，原民會於112年12月22日以原民經字第1120063236號函示略以，為因應113年度圖臺系統上線，將配合空拍與影像處理技術以系統化方式準確核判禁伐補償面積並採以電子化方式受理案件，俾有效節省人力資源並減輕業務負荷，113年度起原則遇缺不補。爰原民會允應逐年審慎、務實評估各地方執行機關之人力需求，加強監督各地方執行機關檢測人員之工作內容，以確保檢測人員可專心辦理禁伐補償工作，而毋須分心再辦理非屬禁伐補償之其他業務。</w:t>
      </w:r>
    </w:p>
    <w:p w14:paraId="770DDAED" w14:textId="77777777" w:rsidR="00A375F2" w:rsidRDefault="00000000">
      <w:pPr>
        <w:pStyle w:val="a3"/>
        <w:rPr>
          <w:b/>
          <w:color w:val="000000" w:themeColor="text1"/>
        </w:rPr>
      </w:pPr>
      <w:r>
        <w:rPr>
          <w:rFonts w:hint="eastAsia"/>
          <w:b/>
          <w:color w:val="000000" w:themeColor="text1"/>
        </w:rPr>
        <w:t>審計部抽查部分市縣政府檢測人員之工作內容</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169"/>
        <w:gridCol w:w="1169"/>
        <w:gridCol w:w="1169"/>
        <w:gridCol w:w="1170"/>
        <w:gridCol w:w="2132"/>
      </w:tblGrid>
      <w:tr w:rsidR="00A375F2" w14:paraId="79873CBE" w14:textId="77777777">
        <w:trPr>
          <w:trHeight w:val="416"/>
          <w:jc w:val="center"/>
        </w:trPr>
        <w:tc>
          <w:tcPr>
            <w:tcW w:w="2122" w:type="dxa"/>
            <w:vMerge w:val="restart"/>
            <w:shd w:val="clear" w:color="auto" w:fill="FFFFFF" w:themeFill="background1"/>
            <w:vAlign w:val="center"/>
          </w:tcPr>
          <w:p w14:paraId="69949C4C" w14:textId="77777777" w:rsidR="00A375F2" w:rsidRDefault="00000000">
            <w:pPr>
              <w:overflowPunct w:val="0"/>
              <w:ind w:leftChars="-32" w:left="-109" w:rightChars="-32" w:right="-109"/>
              <w:jc w:val="center"/>
              <w:rPr>
                <w:rFonts w:hAnsi="標楷體"/>
                <w:b/>
                <w:color w:val="000000" w:themeColor="text1"/>
                <w:sz w:val="26"/>
                <w:szCs w:val="26"/>
              </w:rPr>
            </w:pPr>
            <w:r>
              <w:rPr>
                <w:rFonts w:hAnsi="標楷體" w:hint="eastAsia"/>
                <w:b/>
                <w:color w:val="000000" w:themeColor="text1"/>
                <w:sz w:val="26"/>
                <w:szCs w:val="26"/>
              </w:rPr>
              <w:t>地方執行機關</w:t>
            </w:r>
          </w:p>
        </w:tc>
        <w:tc>
          <w:tcPr>
            <w:tcW w:w="4677" w:type="dxa"/>
            <w:gridSpan w:val="4"/>
            <w:tcBorders>
              <w:bottom w:val="single" w:sz="4" w:space="0" w:color="auto"/>
            </w:tcBorders>
            <w:shd w:val="clear" w:color="auto" w:fill="FFFFFF" w:themeFill="background1"/>
            <w:vAlign w:val="center"/>
          </w:tcPr>
          <w:p w14:paraId="053D0686" w14:textId="77777777" w:rsidR="00A375F2" w:rsidRDefault="00000000">
            <w:pPr>
              <w:overflowPunct w:val="0"/>
              <w:jc w:val="center"/>
              <w:rPr>
                <w:rFonts w:hAnsi="標楷體"/>
                <w:b/>
                <w:color w:val="000000" w:themeColor="text1"/>
                <w:sz w:val="26"/>
                <w:szCs w:val="26"/>
              </w:rPr>
            </w:pPr>
            <w:r>
              <w:rPr>
                <w:rFonts w:hAnsi="標楷體"/>
                <w:b/>
                <w:color w:val="000000" w:themeColor="text1"/>
                <w:sz w:val="26"/>
                <w:szCs w:val="26"/>
              </w:rPr>
              <w:t>禁伐補償</w:t>
            </w:r>
            <w:r>
              <w:rPr>
                <w:rFonts w:hAnsi="標楷體" w:hint="eastAsia"/>
                <w:b/>
                <w:color w:val="000000" w:themeColor="text1"/>
                <w:sz w:val="26"/>
                <w:szCs w:val="26"/>
              </w:rPr>
              <w:t>業務</w:t>
            </w:r>
          </w:p>
        </w:tc>
        <w:tc>
          <w:tcPr>
            <w:tcW w:w="2132" w:type="dxa"/>
            <w:vMerge w:val="restart"/>
            <w:shd w:val="clear" w:color="auto" w:fill="FFFFFF" w:themeFill="background1"/>
            <w:vAlign w:val="center"/>
          </w:tcPr>
          <w:p w14:paraId="11300046" w14:textId="77777777" w:rsidR="00A375F2" w:rsidRDefault="00000000">
            <w:pPr>
              <w:overflowPunct w:val="0"/>
              <w:ind w:leftChars="-26" w:left="-88" w:rightChars="-30" w:right="-102"/>
              <w:jc w:val="center"/>
              <w:rPr>
                <w:rFonts w:hAnsi="標楷體"/>
                <w:b/>
                <w:color w:val="000000" w:themeColor="text1"/>
                <w:sz w:val="26"/>
                <w:szCs w:val="26"/>
              </w:rPr>
            </w:pPr>
            <w:r>
              <w:rPr>
                <w:rFonts w:hAnsi="標楷體" w:hint="eastAsia"/>
                <w:b/>
                <w:color w:val="000000" w:themeColor="text1"/>
                <w:sz w:val="26"/>
                <w:szCs w:val="26"/>
              </w:rPr>
              <w:t>非</w:t>
            </w:r>
            <w:r>
              <w:rPr>
                <w:rFonts w:hAnsi="標楷體"/>
                <w:b/>
                <w:color w:val="000000" w:themeColor="text1"/>
                <w:sz w:val="26"/>
                <w:szCs w:val="26"/>
              </w:rPr>
              <w:t>禁伐補償</w:t>
            </w:r>
            <w:r>
              <w:rPr>
                <w:rFonts w:hAnsi="標楷體" w:hint="eastAsia"/>
                <w:b/>
                <w:color w:val="000000" w:themeColor="text1"/>
                <w:sz w:val="26"/>
                <w:szCs w:val="26"/>
              </w:rPr>
              <w:t>業務</w:t>
            </w:r>
          </w:p>
        </w:tc>
      </w:tr>
      <w:tr w:rsidR="00A375F2" w14:paraId="4A11931D" w14:textId="77777777">
        <w:trPr>
          <w:trHeight w:val="621"/>
          <w:jc w:val="center"/>
        </w:trPr>
        <w:tc>
          <w:tcPr>
            <w:tcW w:w="2122" w:type="dxa"/>
            <w:vMerge/>
            <w:shd w:val="clear" w:color="auto" w:fill="EEECE1" w:themeFill="background2"/>
            <w:vAlign w:val="center"/>
          </w:tcPr>
          <w:p w14:paraId="54323185" w14:textId="77777777" w:rsidR="00A375F2" w:rsidRDefault="00A375F2">
            <w:pPr>
              <w:overflowPunct w:val="0"/>
              <w:ind w:leftChars="-32" w:left="-109" w:rightChars="-32" w:right="-109"/>
              <w:jc w:val="center"/>
              <w:rPr>
                <w:rFonts w:hAnsi="標楷體"/>
                <w:b/>
                <w:color w:val="000000" w:themeColor="text1"/>
                <w:sz w:val="28"/>
                <w:szCs w:val="28"/>
              </w:rPr>
            </w:pPr>
          </w:p>
        </w:tc>
        <w:tc>
          <w:tcPr>
            <w:tcW w:w="1169" w:type="dxa"/>
            <w:shd w:val="clear" w:color="auto" w:fill="FFFFFF" w:themeFill="background1"/>
            <w:vAlign w:val="center"/>
          </w:tcPr>
          <w:p w14:paraId="24A295C2" w14:textId="77777777" w:rsidR="00A375F2" w:rsidRDefault="00000000">
            <w:pPr>
              <w:overflowPunct w:val="0"/>
              <w:jc w:val="center"/>
              <w:rPr>
                <w:rFonts w:hAnsi="標楷體"/>
                <w:b/>
                <w:color w:val="000000" w:themeColor="text1"/>
                <w:sz w:val="24"/>
                <w:szCs w:val="24"/>
              </w:rPr>
            </w:pPr>
            <w:r>
              <w:rPr>
                <w:rFonts w:hAnsi="標楷體" w:hint="eastAsia"/>
                <w:b/>
                <w:color w:val="000000" w:themeColor="text1"/>
                <w:sz w:val="24"/>
                <w:szCs w:val="24"/>
              </w:rPr>
              <w:t>受理</w:t>
            </w:r>
          </w:p>
          <w:p w14:paraId="0C57F02C" w14:textId="77777777" w:rsidR="00A375F2" w:rsidRDefault="00000000">
            <w:pPr>
              <w:overflowPunct w:val="0"/>
              <w:jc w:val="center"/>
              <w:rPr>
                <w:rFonts w:hAnsi="標楷體"/>
                <w:b/>
                <w:color w:val="000000" w:themeColor="text1"/>
                <w:sz w:val="24"/>
                <w:szCs w:val="24"/>
              </w:rPr>
            </w:pPr>
            <w:r>
              <w:rPr>
                <w:rFonts w:hAnsi="標楷體"/>
                <w:b/>
                <w:color w:val="000000" w:themeColor="text1"/>
                <w:sz w:val="24"/>
                <w:szCs w:val="24"/>
              </w:rPr>
              <w:t>申請案</w:t>
            </w:r>
          </w:p>
        </w:tc>
        <w:tc>
          <w:tcPr>
            <w:tcW w:w="1169" w:type="dxa"/>
            <w:shd w:val="clear" w:color="auto" w:fill="FFFFFF" w:themeFill="background1"/>
            <w:vAlign w:val="center"/>
          </w:tcPr>
          <w:p w14:paraId="24A58068" w14:textId="77777777" w:rsidR="00A375F2" w:rsidRDefault="00000000">
            <w:pPr>
              <w:overflowPunct w:val="0"/>
              <w:jc w:val="center"/>
              <w:rPr>
                <w:rFonts w:hAnsi="標楷體"/>
                <w:b/>
                <w:color w:val="000000" w:themeColor="text1"/>
                <w:sz w:val="24"/>
                <w:szCs w:val="24"/>
              </w:rPr>
            </w:pPr>
            <w:r>
              <w:rPr>
                <w:rFonts w:hAnsi="標楷體" w:hint="eastAsia"/>
                <w:b/>
                <w:color w:val="000000" w:themeColor="text1"/>
                <w:sz w:val="24"/>
                <w:szCs w:val="24"/>
              </w:rPr>
              <w:t>實地勘查</w:t>
            </w:r>
            <w:r>
              <w:rPr>
                <w:rFonts w:hAnsi="標楷體"/>
                <w:b/>
                <w:color w:val="000000" w:themeColor="text1"/>
                <w:sz w:val="24"/>
                <w:szCs w:val="24"/>
              </w:rPr>
              <w:t>檢測</w:t>
            </w:r>
          </w:p>
        </w:tc>
        <w:tc>
          <w:tcPr>
            <w:tcW w:w="1169" w:type="dxa"/>
            <w:shd w:val="clear" w:color="auto" w:fill="FFFFFF" w:themeFill="background1"/>
            <w:vAlign w:val="center"/>
          </w:tcPr>
          <w:p w14:paraId="7C3BE700" w14:textId="77777777" w:rsidR="00A375F2" w:rsidRDefault="00000000">
            <w:pPr>
              <w:overflowPunct w:val="0"/>
              <w:jc w:val="center"/>
              <w:rPr>
                <w:rFonts w:hAnsi="標楷體"/>
                <w:b/>
                <w:color w:val="000000" w:themeColor="text1"/>
                <w:sz w:val="24"/>
                <w:szCs w:val="24"/>
              </w:rPr>
            </w:pPr>
            <w:r>
              <w:rPr>
                <w:rFonts w:hAnsi="標楷體" w:hint="eastAsia"/>
                <w:b/>
                <w:color w:val="000000" w:themeColor="text1"/>
                <w:sz w:val="24"/>
                <w:szCs w:val="24"/>
              </w:rPr>
              <w:t>提領清冊製作</w:t>
            </w:r>
          </w:p>
        </w:tc>
        <w:tc>
          <w:tcPr>
            <w:tcW w:w="1170" w:type="dxa"/>
            <w:shd w:val="clear" w:color="auto" w:fill="FFFFFF" w:themeFill="background1"/>
            <w:vAlign w:val="center"/>
          </w:tcPr>
          <w:p w14:paraId="2119E74F" w14:textId="77777777" w:rsidR="00A375F2" w:rsidRDefault="00000000">
            <w:pPr>
              <w:overflowPunct w:val="0"/>
              <w:jc w:val="center"/>
              <w:rPr>
                <w:rFonts w:hAnsi="標楷體"/>
                <w:b/>
                <w:color w:val="000000" w:themeColor="text1"/>
                <w:sz w:val="24"/>
                <w:szCs w:val="24"/>
              </w:rPr>
            </w:pPr>
            <w:r>
              <w:rPr>
                <w:rFonts w:hAnsi="標楷體" w:hint="eastAsia"/>
                <w:b/>
                <w:color w:val="000000" w:themeColor="text1"/>
                <w:sz w:val="24"/>
                <w:szCs w:val="24"/>
              </w:rPr>
              <w:t>補償金</w:t>
            </w:r>
          </w:p>
          <w:p w14:paraId="79CB825C" w14:textId="77777777" w:rsidR="00A375F2" w:rsidRDefault="00000000">
            <w:pPr>
              <w:overflowPunct w:val="0"/>
              <w:jc w:val="center"/>
              <w:rPr>
                <w:rFonts w:hAnsi="標楷體"/>
                <w:b/>
                <w:color w:val="000000" w:themeColor="text1"/>
                <w:sz w:val="24"/>
                <w:szCs w:val="24"/>
              </w:rPr>
            </w:pPr>
            <w:r>
              <w:rPr>
                <w:rFonts w:hAnsi="標楷體" w:hint="eastAsia"/>
                <w:b/>
                <w:color w:val="000000" w:themeColor="text1"/>
                <w:sz w:val="24"/>
                <w:szCs w:val="24"/>
              </w:rPr>
              <w:t>核撥</w:t>
            </w:r>
          </w:p>
        </w:tc>
        <w:tc>
          <w:tcPr>
            <w:tcW w:w="2132" w:type="dxa"/>
            <w:vMerge/>
            <w:shd w:val="clear" w:color="auto" w:fill="EEECE1" w:themeFill="background2"/>
            <w:vAlign w:val="center"/>
          </w:tcPr>
          <w:p w14:paraId="0F54FA43" w14:textId="77777777" w:rsidR="00A375F2" w:rsidRDefault="00A375F2">
            <w:pPr>
              <w:overflowPunct w:val="0"/>
              <w:jc w:val="center"/>
              <w:rPr>
                <w:rFonts w:hAnsi="標楷體"/>
                <w:b/>
                <w:color w:val="000000" w:themeColor="text1"/>
                <w:sz w:val="28"/>
                <w:szCs w:val="28"/>
              </w:rPr>
            </w:pPr>
          </w:p>
        </w:tc>
      </w:tr>
      <w:tr w:rsidR="00A375F2" w14:paraId="20F4312B" w14:textId="77777777">
        <w:trPr>
          <w:jc w:val="center"/>
        </w:trPr>
        <w:tc>
          <w:tcPr>
            <w:tcW w:w="2122" w:type="dxa"/>
            <w:vAlign w:val="center"/>
          </w:tcPr>
          <w:p w14:paraId="1F4590E9" w14:textId="77777777" w:rsidR="00A375F2" w:rsidRDefault="00000000">
            <w:pPr>
              <w:overflowPunct w:val="0"/>
              <w:spacing w:beforeLines="5" w:before="22" w:afterLines="5" w:after="22"/>
              <w:jc w:val="center"/>
              <w:rPr>
                <w:rFonts w:hAnsi="標楷體"/>
                <w:color w:val="000000" w:themeColor="text1"/>
                <w:sz w:val="26"/>
                <w:szCs w:val="26"/>
              </w:rPr>
            </w:pPr>
            <w:r>
              <w:rPr>
                <w:rFonts w:hAnsi="標楷體" w:hint="eastAsia"/>
                <w:color w:val="000000" w:themeColor="text1"/>
                <w:sz w:val="26"/>
                <w:szCs w:val="26"/>
              </w:rPr>
              <w:t>桃園市政府</w:t>
            </w:r>
          </w:p>
        </w:tc>
        <w:tc>
          <w:tcPr>
            <w:tcW w:w="1169" w:type="dxa"/>
            <w:vAlign w:val="center"/>
          </w:tcPr>
          <w:p w14:paraId="4AD4F829" w14:textId="77777777" w:rsidR="00A375F2" w:rsidRDefault="00000000">
            <w:pPr>
              <w:overflowPunct w:val="0"/>
              <w:jc w:val="center"/>
              <w:rPr>
                <w:rFonts w:hAnsi="標楷體"/>
                <w:color w:val="000000" w:themeColor="text1"/>
                <w:sz w:val="26"/>
                <w:szCs w:val="26"/>
              </w:rPr>
            </w:pPr>
            <w:r>
              <w:rPr>
                <w:rFonts w:hAnsi="標楷體" w:hint="eastAsia"/>
                <w:color w:val="000000" w:themeColor="text1"/>
                <w:sz w:val="26"/>
                <w:szCs w:val="26"/>
              </w:rPr>
              <w:t>V</w:t>
            </w:r>
          </w:p>
        </w:tc>
        <w:tc>
          <w:tcPr>
            <w:tcW w:w="1169" w:type="dxa"/>
            <w:vAlign w:val="center"/>
          </w:tcPr>
          <w:p w14:paraId="67411B9A" w14:textId="77777777" w:rsidR="00A375F2" w:rsidRDefault="00000000">
            <w:pPr>
              <w:overflowPunct w:val="0"/>
              <w:jc w:val="center"/>
              <w:rPr>
                <w:rFonts w:hAnsi="標楷體"/>
                <w:color w:val="000000" w:themeColor="text1"/>
                <w:sz w:val="26"/>
                <w:szCs w:val="26"/>
              </w:rPr>
            </w:pPr>
            <w:r>
              <w:rPr>
                <w:rFonts w:hAnsi="標楷體" w:hint="eastAsia"/>
                <w:color w:val="000000" w:themeColor="text1"/>
                <w:sz w:val="26"/>
                <w:szCs w:val="26"/>
              </w:rPr>
              <w:t>V</w:t>
            </w:r>
          </w:p>
        </w:tc>
        <w:tc>
          <w:tcPr>
            <w:tcW w:w="1169" w:type="dxa"/>
            <w:vAlign w:val="center"/>
          </w:tcPr>
          <w:p w14:paraId="47CCD390" w14:textId="77777777" w:rsidR="00A375F2" w:rsidRDefault="00000000">
            <w:pPr>
              <w:overflowPunct w:val="0"/>
              <w:jc w:val="center"/>
              <w:rPr>
                <w:rFonts w:hAnsi="標楷體"/>
                <w:color w:val="000000" w:themeColor="text1"/>
                <w:sz w:val="26"/>
                <w:szCs w:val="26"/>
              </w:rPr>
            </w:pPr>
            <w:r>
              <w:rPr>
                <w:rFonts w:hAnsi="標楷體" w:hint="eastAsia"/>
                <w:color w:val="000000" w:themeColor="text1"/>
                <w:sz w:val="26"/>
                <w:szCs w:val="26"/>
              </w:rPr>
              <w:t>V</w:t>
            </w:r>
          </w:p>
        </w:tc>
        <w:tc>
          <w:tcPr>
            <w:tcW w:w="1170" w:type="dxa"/>
            <w:vAlign w:val="center"/>
          </w:tcPr>
          <w:p w14:paraId="17DD1561" w14:textId="77777777" w:rsidR="00A375F2" w:rsidRDefault="00000000">
            <w:pPr>
              <w:overflowPunct w:val="0"/>
              <w:jc w:val="center"/>
              <w:rPr>
                <w:rFonts w:hAnsi="標楷體"/>
                <w:color w:val="000000" w:themeColor="text1"/>
                <w:sz w:val="26"/>
                <w:szCs w:val="26"/>
              </w:rPr>
            </w:pPr>
            <w:r>
              <w:rPr>
                <w:rFonts w:hAnsi="標楷體" w:hint="eastAsia"/>
                <w:color w:val="000000" w:themeColor="text1"/>
                <w:sz w:val="26"/>
                <w:szCs w:val="26"/>
              </w:rPr>
              <w:t>V</w:t>
            </w:r>
          </w:p>
        </w:tc>
        <w:tc>
          <w:tcPr>
            <w:tcW w:w="2132" w:type="dxa"/>
            <w:vAlign w:val="center"/>
          </w:tcPr>
          <w:p w14:paraId="1789EA74" w14:textId="77777777" w:rsidR="00A375F2" w:rsidRDefault="00A375F2">
            <w:pPr>
              <w:overflowPunct w:val="0"/>
              <w:jc w:val="center"/>
              <w:rPr>
                <w:rFonts w:hAnsi="標楷體"/>
                <w:color w:val="000000" w:themeColor="text1"/>
                <w:sz w:val="26"/>
                <w:szCs w:val="26"/>
              </w:rPr>
            </w:pPr>
          </w:p>
        </w:tc>
      </w:tr>
      <w:tr w:rsidR="00A375F2" w14:paraId="7A213624" w14:textId="77777777">
        <w:trPr>
          <w:jc w:val="center"/>
        </w:trPr>
        <w:tc>
          <w:tcPr>
            <w:tcW w:w="2122" w:type="dxa"/>
            <w:vAlign w:val="center"/>
          </w:tcPr>
          <w:p w14:paraId="530F0DF8" w14:textId="77777777" w:rsidR="00A375F2" w:rsidRDefault="00000000">
            <w:pPr>
              <w:overflowPunct w:val="0"/>
              <w:spacing w:beforeLines="5" w:before="22" w:afterLines="5" w:after="22"/>
              <w:jc w:val="center"/>
              <w:rPr>
                <w:rFonts w:hAnsi="標楷體"/>
                <w:color w:val="000000" w:themeColor="text1"/>
                <w:sz w:val="26"/>
                <w:szCs w:val="26"/>
              </w:rPr>
            </w:pPr>
            <w:r>
              <w:rPr>
                <w:rFonts w:hAnsi="標楷體" w:hint="eastAsia"/>
                <w:color w:val="000000" w:themeColor="text1"/>
                <w:sz w:val="26"/>
                <w:szCs w:val="26"/>
              </w:rPr>
              <w:t>高雄市政府</w:t>
            </w:r>
          </w:p>
        </w:tc>
        <w:tc>
          <w:tcPr>
            <w:tcW w:w="1169" w:type="dxa"/>
            <w:vAlign w:val="center"/>
          </w:tcPr>
          <w:p w14:paraId="0397CAA6" w14:textId="77777777" w:rsidR="00A375F2" w:rsidRDefault="00A375F2">
            <w:pPr>
              <w:overflowPunct w:val="0"/>
              <w:jc w:val="center"/>
              <w:rPr>
                <w:rFonts w:hAnsi="標楷體"/>
                <w:color w:val="000000" w:themeColor="text1"/>
                <w:sz w:val="26"/>
                <w:szCs w:val="26"/>
              </w:rPr>
            </w:pPr>
          </w:p>
        </w:tc>
        <w:tc>
          <w:tcPr>
            <w:tcW w:w="1169" w:type="dxa"/>
            <w:vAlign w:val="center"/>
          </w:tcPr>
          <w:p w14:paraId="7145F6D4" w14:textId="77777777" w:rsidR="00A375F2" w:rsidRDefault="00000000">
            <w:pPr>
              <w:overflowPunct w:val="0"/>
              <w:jc w:val="center"/>
              <w:rPr>
                <w:rFonts w:hAnsi="標楷體"/>
                <w:color w:val="000000" w:themeColor="text1"/>
                <w:sz w:val="26"/>
                <w:szCs w:val="26"/>
              </w:rPr>
            </w:pPr>
            <w:r>
              <w:rPr>
                <w:rFonts w:hAnsi="標楷體" w:hint="eastAsia"/>
                <w:color w:val="000000" w:themeColor="text1"/>
                <w:sz w:val="26"/>
                <w:szCs w:val="26"/>
              </w:rPr>
              <w:t>V</w:t>
            </w:r>
          </w:p>
        </w:tc>
        <w:tc>
          <w:tcPr>
            <w:tcW w:w="1169" w:type="dxa"/>
            <w:vAlign w:val="center"/>
          </w:tcPr>
          <w:p w14:paraId="241B0985" w14:textId="77777777" w:rsidR="00A375F2" w:rsidRDefault="00000000">
            <w:pPr>
              <w:overflowPunct w:val="0"/>
              <w:jc w:val="center"/>
              <w:rPr>
                <w:rFonts w:hAnsi="標楷體"/>
                <w:color w:val="000000" w:themeColor="text1"/>
                <w:sz w:val="26"/>
                <w:szCs w:val="26"/>
              </w:rPr>
            </w:pPr>
            <w:r>
              <w:rPr>
                <w:rFonts w:hAnsi="標楷體" w:hint="eastAsia"/>
                <w:color w:val="000000" w:themeColor="text1"/>
                <w:sz w:val="26"/>
                <w:szCs w:val="26"/>
              </w:rPr>
              <w:t>V</w:t>
            </w:r>
          </w:p>
        </w:tc>
        <w:tc>
          <w:tcPr>
            <w:tcW w:w="1170" w:type="dxa"/>
            <w:vAlign w:val="center"/>
          </w:tcPr>
          <w:p w14:paraId="3C48F960" w14:textId="77777777" w:rsidR="00A375F2" w:rsidRDefault="00000000">
            <w:pPr>
              <w:overflowPunct w:val="0"/>
              <w:jc w:val="center"/>
              <w:rPr>
                <w:rFonts w:hAnsi="標楷體"/>
                <w:color w:val="000000" w:themeColor="text1"/>
                <w:sz w:val="26"/>
                <w:szCs w:val="26"/>
              </w:rPr>
            </w:pPr>
            <w:r>
              <w:rPr>
                <w:rFonts w:hAnsi="標楷體" w:hint="eastAsia"/>
                <w:color w:val="000000" w:themeColor="text1"/>
                <w:sz w:val="26"/>
                <w:szCs w:val="26"/>
              </w:rPr>
              <w:t>V</w:t>
            </w:r>
          </w:p>
        </w:tc>
        <w:tc>
          <w:tcPr>
            <w:tcW w:w="2132" w:type="dxa"/>
            <w:vAlign w:val="center"/>
          </w:tcPr>
          <w:p w14:paraId="5693AB58" w14:textId="77777777" w:rsidR="00A375F2" w:rsidRDefault="00A375F2">
            <w:pPr>
              <w:overflowPunct w:val="0"/>
              <w:jc w:val="center"/>
              <w:rPr>
                <w:rFonts w:hAnsi="標楷體"/>
                <w:color w:val="000000" w:themeColor="text1"/>
                <w:sz w:val="26"/>
                <w:szCs w:val="26"/>
              </w:rPr>
            </w:pPr>
          </w:p>
        </w:tc>
      </w:tr>
      <w:tr w:rsidR="00A375F2" w14:paraId="59A6A3C6" w14:textId="77777777">
        <w:trPr>
          <w:jc w:val="center"/>
        </w:trPr>
        <w:tc>
          <w:tcPr>
            <w:tcW w:w="2122" w:type="dxa"/>
            <w:vAlign w:val="center"/>
          </w:tcPr>
          <w:p w14:paraId="672707D9" w14:textId="77777777" w:rsidR="00A375F2" w:rsidRDefault="00000000">
            <w:pPr>
              <w:overflowPunct w:val="0"/>
              <w:spacing w:beforeLines="5" w:before="22" w:afterLines="5" w:after="22"/>
              <w:jc w:val="center"/>
              <w:rPr>
                <w:rFonts w:hAnsi="標楷體"/>
                <w:color w:val="000000" w:themeColor="text1"/>
                <w:sz w:val="26"/>
                <w:szCs w:val="26"/>
              </w:rPr>
            </w:pPr>
            <w:r>
              <w:rPr>
                <w:rFonts w:hAnsi="標楷體" w:hint="eastAsia"/>
                <w:color w:val="000000" w:themeColor="text1"/>
                <w:sz w:val="26"/>
                <w:szCs w:val="26"/>
              </w:rPr>
              <w:t>屏東縣政府</w:t>
            </w:r>
          </w:p>
        </w:tc>
        <w:tc>
          <w:tcPr>
            <w:tcW w:w="1169" w:type="dxa"/>
            <w:vAlign w:val="center"/>
          </w:tcPr>
          <w:p w14:paraId="5F650AF0" w14:textId="77777777" w:rsidR="00A375F2" w:rsidRDefault="00000000">
            <w:pPr>
              <w:overflowPunct w:val="0"/>
              <w:jc w:val="center"/>
              <w:rPr>
                <w:rFonts w:hAnsi="標楷體"/>
                <w:color w:val="000000" w:themeColor="text1"/>
                <w:sz w:val="26"/>
                <w:szCs w:val="26"/>
              </w:rPr>
            </w:pPr>
            <w:r>
              <w:rPr>
                <w:rFonts w:hAnsi="標楷體" w:hint="eastAsia"/>
                <w:color w:val="000000" w:themeColor="text1"/>
                <w:sz w:val="26"/>
                <w:szCs w:val="26"/>
              </w:rPr>
              <w:t>V</w:t>
            </w:r>
          </w:p>
        </w:tc>
        <w:tc>
          <w:tcPr>
            <w:tcW w:w="1169" w:type="dxa"/>
            <w:vAlign w:val="center"/>
          </w:tcPr>
          <w:p w14:paraId="426183BC" w14:textId="77777777" w:rsidR="00A375F2" w:rsidRDefault="00000000">
            <w:pPr>
              <w:overflowPunct w:val="0"/>
              <w:jc w:val="center"/>
              <w:rPr>
                <w:rFonts w:hAnsi="標楷體"/>
                <w:color w:val="000000" w:themeColor="text1"/>
                <w:sz w:val="26"/>
                <w:szCs w:val="26"/>
              </w:rPr>
            </w:pPr>
            <w:r>
              <w:rPr>
                <w:rFonts w:hAnsi="標楷體" w:hint="eastAsia"/>
                <w:color w:val="000000" w:themeColor="text1"/>
                <w:sz w:val="26"/>
                <w:szCs w:val="26"/>
              </w:rPr>
              <w:t>V</w:t>
            </w:r>
          </w:p>
        </w:tc>
        <w:tc>
          <w:tcPr>
            <w:tcW w:w="1169" w:type="dxa"/>
            <w:vAlign w:val="center"/>
          </w:tcPr>
          <w:p w14:paraId="3207A860" w14:textId="77777777" w:rsidR="00A375F2" w:rsidRDefault="00A375F2">
            <w:pPr>
              <w:overflowPunct w:val="0"/>
              <w:jc w:val="center"/>
              <w:rPr>
                <w:rFonts w:hAnsi="標楷體"/>
                <w:color w:val="000000" w:themeColor="text1"/>
                <w:sz w:val="26"/>
                <w:szCs w:val="26"/>
              </w:rPr>
            </w:pPr>
          </w:p>
        </w:tc>
        <w:tc>
          <w:tcPr>
            <w:tcW w:w="1170" w:type="dxa"/>
            <w:vAlign w:val="center"/>
          </w:tcPr>
          <w:p w14:paraId="6AD345FC" w14:textId="77777777" w:rsidR="00A375F2" w:rsidRDefault="00A375F2">
            <w:pPr>
              <w:overflowPunct w:val="0"/>
              <w:jc w:val="center"/>
              <w:rPr>
                <w:rFonts w:hAnsi="標楷體"/>
                <w:color w:val="000000" w:themeColor="text1"/>
                <w:sz w:val="26"/>
                <w:szCs w:val="26"/>
              </w:rPr>
            </w:pPr>
          </w:p>
        </w:tc>
        <w:tc>
          <w:tcPr>
            <w:tcW w:w="2132" w:type="dxa"/>
            <w:vAlign w:val="center"/>
          </w:tcPr>
          <w:p w14:paraId="4630CFF4" w14:textId="77777777" w:rsidR="00A375F2" w:rsidRDefault="00000000">
            <w:pPr>
              <w:overflowPunct w:val="0"/>
              <w:jc w:val="center"/>
              <w:rPr>
                <w:rFonts w:hAnsi="標楷體"/>
                <w:color w:val="000000" w:themeColor="text1"/>
                <w:sz w:val="26"/>
                <w:szCs w:val="26"/>
              </w:rPr>
            </w:pPr>
            <w:r>
              <w:rPr>
                <w:rFonts w:hAnsi="標楷體" w:hint="eastAsia"/>
                <w:color w:val="000000" w:themeColor="text1"/>
                <w:sz w:val="26"/>
                <w:szCs w:val="26"/>
              </w:rPr>
              <w:t>公務車輛管理</w:t>
            </w:r>
          </w:p>
        </w:tc>
      </w:tr>
      <w:tr w:rsidR="00A375F2" w14:paraId="30DE8AC7" w14:textId="77777777">
        <w:trPr>
          <w:jc w:val="center"/>
        </w:trPr>
        <w:tc>
          <w:tcPr>
            <w:tcW w:w="2122" w:type="dxa"/>
            <w:vAlign w:val="center"/>
          </w:tcPr>
          <w:p w14:paraId="68E5BE7D" w14:textId="77777777" w:rsidR="00A375F2" w:rsidRDefault="00000000">
            <w:pPr>
              <w:overflowPunct w:val="0"/>
              <w:spacing w:beforeLines="5" w:before="22" w:afterLines="5" w:after="22"/>
              <w:jc w:val="center"/>
              <w:rPr>
                <w:rFonts w:hAnsi="標楷體"/>
                <w:color w:val="000000" w:themeColor="text1"/>
                <w:sz w:val="26"/>
                <w:szCs w:val="26"/>
              </w:rPr>
            </w:pPr>
            <w:r>
              <w:rPr>
                <w:rFonts w:hAnsi="標楷體" w:hint="eastAsia"/>
                <w:color w:val="000000" w:themeColor="text1"/>
                <w:sz w:val="26"/>
                <w:szCs w:val="26"/>
              </w:rPr>
              <w:t>臺東縣政府</w:t>
            </w:r>
          </w:p>
        </w:tc>
        <w:tc>
          <w:tcPr>
            <w:tcW w:w="1169" w:type="dxa"/>
            <w:vAlign w:val="center"/>
          </w:tcPr>
          <w:p w14:paraId="50C9C043" w14:textId="77777777" w:rsidR="00A375F2" w:rsidRDefault="00A375F2">
            <w:pPr>
              <w:overflowPunct w:val="0"/>
              <w:jc w:val="center"/>
              <w:rPr>
                <w:rFonts w:hAnsi="標楷體"/>
                <w:color w:val="000000" w:themeColor="text1"/>
                <w:sz w:val="26"/>
                <w:szCs w:val="26"/>
              </w:rPr>
            </w:pPr>
          </w:p>
        </w:tc>
        <w:tc>
          <w:tcPr>
            <w:tcW w:w="1169" w:type="dxa"/>
            <w:vAlign w:val="center"/>
          </w:tcPr>
          <w:p w14:paraId="66E1B808" w14:textId="77777777" w:rsidR="00A375F2" w:rsidRDefault="00000000">
            <w:pPr>
              <w:overflowPunct w:val="0"/>
              <w:jc w:val="center"/>
              <w:rPr>
                <w:rFonts w:hAnsi="標楷體"/>
                <w:color w:val="000000" w:themeColor="text1"/>
                <w:sz w:val="26"/>
                <w:szCs w:val="26"/>
              </w:rPr>
            </w:pPr>
            <w:r>
              <w:rPr>
                <w:rFonts w:hAnsi="標楷體" w:hint="eastAsia"/>
                <w:color w:val="000000" w:themeColor="text1"/>
                <w:sz w:val="26"/>
                <w:szCs w:val="26"/>
              </w:rPr>
              <w:t>V</w:t>
            </w:r>
          </w:p>
        </w:tc>
        <w:tc>
          <w:tcPr>
            <w:tcW w:w="1169" w:type="dxa"/>
            <w:vAlign w:val="center"/>
          </w:tcPr>
          <w:p w14:paraId="7C5E081C" w14:textId="77777777" w:rsidR="00A375F2" w:rsidRDefault="00000000">
            <w:pPr>
              <w:overflowPunct w:val="0"/>
              <w:jc w:val="center"/>
              <w:rPr>
                <w:rFonts w:hAnsi="標楷體"/>
                <w:color w:val="000000" w:themeColor="text1"/>
                <w:sz w:val="26"/>
                <w:szCs w:val="26"/>
              </w:rPr>
            </w:pPr>
            <w:r>
              <w:rPr>
                <w:rFonts w:hAnsi="標楷體" w:hint="eastAsia"/>
                <w:color w:val="000000" w:themeColor="text1"/>
                <w:sz w:val="26"/>
                <w:szCs w:val="26"/>
              </w:rPr>
              <w:t>V</w:t>
            </w:r>
          </w:p>
        </w:tc>
        <w:tc>
          <w:tcPr>
            <w:tcW w:w="1170" w:type="dxa"/>
            <w:vAlign w:val="center"/>
          </w:tcPr>
          <w:p w14:paraId="3E6A0804" w14:textId="77777777" w:rsidR="00A375F2" w:rsidRDefault="00A375F2">
            <w:pPr>
              <w:overflowPunct w:val="0"/>
              <w:jc w:val="center"/>
              <w:rPr>
                <w:rFonts w:hAnsi="標楷體"/>
                <w:color w:val="000000" w:themeColor="text1"/>
                <w:sz w:val="26"/>
                <w:szCs w:val="26"/>
              </w:rPr>
            </w:pPr>
          </w:p>
        </w:tc>
        <w:tc>
          <w:tcPr>
            <w:tcW w:w="2132" w:type="dxa"/>
            <w:vAlign w:val="center"/>
          </w:tcPr>
          <w:p w14:paraId="04C26663" w14:textId="77777777" w:rsidR="00A375F2" w:rsidRDefault="00000000">
            <w:pPr>
              <w:overflowPunct w:val="0"/>
              <w:jc w:val="center"/>
              <w:rPr>
                <w:rFonts w:hAnsi="標楷體"/>
                <w:color w:val="000000" w:themeColor="text1"/>
                <w:sz w:val="26"/>
                <w:szCs w:val="26"/>
              </w:rPr>
            </w:pPr>
            <w:r>
              <w:rPr>
                <w:rFonts w:hAnsi="標楷體" w:hint="eastAsia"/>
                <w:color w:val="000000" w:themeColor="text1"/>
                <w:sz w:val="26"/>
                <w:szCs w:val="26"/>
              </w:rPr>
              <w:t>其他</w:t>
            </w:r>
            <w:r>
              <w:rPr>
                <w:rFonts w:hAnsi="標楷體"/>
                <w:color w:val="000000" w:themeColor="text1"/>
                <w:sz w:val="26"/>
                <w:szCs w:val="26"/>
              </w:rPr>
              <w:t>林務計畫</w:t>
            </w:r>
          </w:p>
        </w:tc>
      </w:tr>
    </w:tbl>
    <w:p w14:paraId="647ED194" w14:textId="77777777" w:rsidR="00A375F2" w:rsidRDefault="00000000">
      <w:pPr>
        <w:pStyle w:val="3"/>
        <w:numPr>
          <w:ilvl w:val="0"/>
          <w:numId w:val="0"/>
        </w:numPr>
        <w:overflowPunct w:val="0"/>
        <w:spacing w:afterLines="25" w:after="114" w:line="300" w:lineRule="exact"/>
        <w:jc w:val="left"/>
        <w:rPr>
          <w:color w:val="000000" w:themeColor="text1"/>
          <w:sz w:val="24"/>
          <w:szCs w:val="24"/>
        </w:rPr>
      </w:pPr>
      <w:r>
        <w:rPr>
          <w:rFonts w:hint="eastAsia"/>
          <w:color w:val="000000" w:themeColor="text1"/>
          <w:sz w:val="24"/>
          <w:szCs w:val="24"/>
        </w:rPr>
        <w:t>資料來源：審計部提供本院查核資料。</w:t>
      </w:r>
    </w:p>
    <w:p w14:paraId="703AFA12" w14:textId="77777777" w:rsidR="00A375F2" w:rsidRDefault="00000000">
      <w:pPr>
        <w:pStyle w:val="a3"/>
        <w:ind w:left="709" w:rightChars="16" w:right="54" w:hanging="686"/>
        <w:jc w:val="left"/>
        <w:rPr>
          <w:b/>
          <w:color w:val="000000" w:themeColor="text1"/>
        </w:rPr>
      </w:pPr>
      <w:r>
        <w:rPr>
          <w:rFonts w:hint="eastAsia"/>
          <w:b/>
          <w:color w:val="000000" w:themeColor="text1"/>
        </w:rPr>
        <w:t>11</w:t>
      </w:r>
      <w:r>
        <w:rPr>
          <w:b/>
          <w:color w:val="000000" w:themeColor="text1"/>
        </w:rPr>
        <w:t>3</w:t>
      </w:r>
      <w:r>
        <w:rPr>
          <w:rFonts w:hint="eastAsia"/>
          <w:b/>
          <w:color w:val="000000" w:themeColor="text1"/>
        </w:rPr>
        <w:t>年度各市縣政府禁伐補償核定及受理、發放情形</w:t>
      </w:r>
    </w:p>
    <w:p w14:paraId="2198868B" w14:textId="77777777" w:rsidR="00A375F2" w:rsidRDefault="00000000">
      <w:pPr>
        <w:pStyle w:val="3"/>
        <w:numPr>
          <w:ilvl w:val="0"/>
          <w:numId w:val="0"/>
        </w:numPr>
        <w:overflowPunct w:val="0"/>
        <w:spacing w:line="300" w:lineRule="exact"/>
        <w:ind w:left="680"/>
        <w:rPr>
          <w:color w:val="000000" w:themeColor="text1"/>
          <w:sz w:val="24"/>
          <w:szCs w:val="24"/>
        </w:rPr>
      </w:pPr>
      <w:r>
        <w:rPr>
          <w:rFonts w:hint="eastAsia"/>
          <w:b/>
          <w:color w:val="000000" w:themeColor="text1"/>
          <w:sz w:val="28"/>
          <w:szCs w:val="28"/>
        </w:rPr>
        <w:t xml:space="preserve"> </w:t>
      </w:r>
      <w:r>
        <w:rPr>
          <w:b/>
          <w:color w:val="000000" w:themeColor="text1"/>
          <w:sz w:val="28"/>
          <w:szCs w:val="28"/>
        </w:rPr>
        <w:t xml:space="preserve">                                         </w:t>
      </w:r>
      <w:r>
        <w:rPr>
          <w:rFonts w:hint="eastAsia"/>
          <w:color w:val="000000" w:themeColor="text1"/>
          <w:sz w:val="24"/>
          <w:szCs w:val="24"/>
        </w:rPr>
        <w:t>單位：人、元、件</w:t>
      </w:r>
    </w:p>
    <w:tbl>
      <w:tblPr>
        <w:tblStyle w:val="afb"/>
        <w:tblW w:w="5067" w:type="pct"/>
        <w:jc w:val="center"/>
        <w:tblLook w:val="04A0" w:firstRow="1" w:lastRow="0" w:firstColumn="1" w:lastColumn="0" w:noHBand="0" w:noVBand="1"/>
      </w:tblPr>
      <w:tblGrid>
        <w:gridCol w:w="1118"/>
        <w:gridCol w:w="1408"/>
        <w:gridCol w:w="1617"/>
        <w:gridCol w:w="1413"/>
        <w:gridCol w:w="1359"/>
        <w:gridCol w:w="2037"/>
      </w:tblGrid>
      <w:tr w:rsidR="00A375F2" w14:paraId="173945D2" w14:textId="77777777">
        <w:trPr>
          <w:trHeight w:val="502"/>
          <w:tblHeader/>
          <w:jc w:val="center"/>
        </w:trPr>
        <w:tc>
          <w:tcPr>
            <w:tcW w:w="624" w:type="pct"/>
            <w:vMerge w:val="restart"/>
            <w:shd w:val="clear" w:color="auto" w:fill="FFFFFF" w:themeFill="background1"/>
            <w:vAlign w:val="center"/>
          </w:tcPr>
          <w:p w14:paraId="736E3BAA" w14:textId="77777777" w:rsidR="00A375F2" w:rsidRDefault="00000000">
            <w:pPr>
              <w:pStyle w:val="3"/>
              <w:numPr>
                <w:ilvl w:val="0"/>
                <w:numId w:val="0"/>
              </w:numPr>
              <w:overflowPunct w:val="0"/>
              <w:jc w:val="center"/>
              <w:rPr>
                <w:rFonts w:hAnsi="標楷體"/>
                <w:b/>
                <w:color w:val="000000" w:themeColor="text1"/>
                <w:sz w:val="26"/>
                <w:szCs w:val="26"/>
              </w:rPr>
            </w:pPr>
            <w:r>
              <w:rPr>
                <w:rFonts w:hAnsi="標楷體" w:hint="eastAsia"/>
                <w:b/>
                <w:color w:val="000000" w:themeColor="text1"/>
                <w:sz w:val="26"/>
                <w:szCs w:val="26"/>
              </w:rPr>
              <w:t>市縣</w:t>
            </w:r>
          </w:p>
        </w:tc>
        <w:tc>
          <w:tcPr>
            <w:tcW w:w="786" w:type="pct"/>
            <w:vMerge w:val="restart"/>
            <w:shd w:val="clear" w:color="auto" w:fill="FFFFFF" w:themeFill="background1"/>
            <w:vAlign w:val="center"/>
          </w:tcPr>
          <w:p w14:paraId="66F3D94C" w14:textId="77777777" w:rsidR="00A375F2" w:rsidRDefault="00000000">
            <w:pPr>
              <w:pStyle w:val="3"/>
              <w:numPr>
                <w:ilvl w:val="0"/>
                <w:numId w:val="0"/>
              </w:numPr>
              <w:overflowPunct w:val="0"/>
              <w:jc w:val="center"/>
              <w:rPr>
                <w:rFonts w:hAnsi="標楷體"/>
                <w:b/>
                <w:color w:val="000000" w:themeColor="text1"/>
                <w:sz w:val="26"/>
                <w:szCs w:val="26"/>
              </w:rPr>
            </w:pPr>
            <w:r>
              <w:rPr>
                <w:rFonts w:hAnsi="標楷體" w:hint="eastAsia"/>
                <w:b/>
                <w:color w:val="000000" w:themeColor="text1"/>
                <w:sz w:val="26"/>
                <w:szCs w:val="26"/>
              </w:rPr>
              <w:t>檢測人員</w:t>
            </w:r>
          </w:p>
          <w:p w14:paraId="33E43238" w14:textId="77777777" w:rsidR="00A375F2" w:rsidRDefault="00000000">
            <w:pPr>
              <w:pStyle w:val="3"/>
              <w:numPr>
                <w:ilvl w:val="0"/>
                <w:numId w:val="0"/>
              </w:numPr>
              <w:overflowPunct w:val="0"/>
              <w:jc w:val="center"/>
              <w:rPr>
                <w:rFonts w:hAnsi="標楷體"/>
                <w:b/>
                <w:color w:val="000000" w:themeColor="text1"/>
                <w:sz w:val="26"/>
                <w:szCs w:val="26"/>
              </w:rPr>
            </w:pPr>
            <w:r>
              <w:rPr>
                <w:rFonts w:hAnsi="標楷體" w:hint="eastAsia"/>
                <w:b/>
                <w:color w:val="000000" w:themeColor="text1"/>
                <w:sz w:val="26"/>
                <w:szCs w:val="26"/>
              </w:rPr>
              <w:t>核定人數</w:t>
            </w:r>
          </w:p>
        </w:tc>
        <w:tc>
          <w:tcPr>
            <w:tcW w:w="903" w:type="pct"/>
            <w:vMerge w:val="restart"/>
            <w:shd w:val="clear" w:color="auto" w:fill="FFFFFF" w:themeFill="background1"/>
            <w:vAlign w:val="center"/>
          </w:tcPr>
          <w:p w14:paraId="5467609D" w14:textId="77777777" w:rsidR="00A375F2" w:rsidRDefault="00000000">
            <w:pPr>
              <w:pStyle w:val="3"/>
              <w:numPr>
                <w:ilvl w:val="0"/>
                <w:numId w:val="0"/>
              </w:numPr>
              <w:overflowPunct w:val="0"/>
              <w:jc w:val="center"/>
              <w:rPr>
                <w:rFonts w:hAnsi="標楷體"/>
                <w:b/>
                <w:color w:val="000000" w:themeColor="text1"/>
                <w:sz w:val="26"/>
                <w:szCs w:val="26"/>
              </w:rPr>
            </w:pPr>
            <w:r>
              <w:rPr>
                <w:rFonts w:hAnsi="標楷體" w:hint="eastAsia"/>
                <w:b/>
                <w:color w:val="000000" w:themeColor="text1"/>
                <w:sz w:val="26"/>
                <w:szCs w:val="26"/>
              </w:rPr>
              <w:t>核定經費</w:t>
            </w:r>
          </w:p>
        </w:tc>
        <w:tc>
          <w:tcPr>
            <w:tcW w:w="2686" w:type="pct"/>
            <w:gridSpan w:val="3"/>
            <w:shd w:val="clear" w:color="auto" w:fill="FFFFFF" w:themeFill="background1"/>
            <w:vAlign w:val="center"/>
          </w:tcPr>
          <w:p w14:paraId="1CF251CF" w14:textId="77777777" w:rsidR="00A375F2" w:rsidRDefault="00000000">
            <w:pPr>
              <w:pStyle w:val="3"/>
              <w:numPr>
                <w:ilvl w:val="0"/>
                <w:numId w:val="0"/>
              </w:numPr>
              <w:overflowPunct w:val="0"/>
              <w:jc w:val="center"/>
              <w:rPr>
                <w:rFonts w:hAnsi="標楷體"/>
                <w:b/>
                <w:color w:val="000000" w:themeColor="text1"/>
                <w:sz w:val="26"/>
                <w:szCs w:val="26"/>
              </w:rPr>
            </w:pPr>
            <w:r>
              <w:rPr>
                <w:rFonts w:hAnsi="標楷體" w:hint="eastAsia"/>
                <w:b/>
                <w:color w:val="000000" w:themeColor="text1"/>
                <w:sz w:val="26"/>
                <w:szCs w:val="26"/>
              </w:rPr>
              <w:t>禁伐補償統計</w:t>
            </w:r>
          </w:p>
        </w:tc>
      </w:tr>
      <w:tr w:rsidR="00A375F2" w14:paraId="39084F7B" w14:textId="77777777">
        <w:trPr>
          <w:trHeight w:val="424"/>
          <w:tblHeader/>
          <w:jc w:val="center"/>
        </w:trPr>
        <w:tc>
          <w:tcPr>
            <w:tcW w:w="624" w:type="pct"/>
            <w:vMerge/>
            <w:shd w:val="clear" w:color="auto" w:fill="FFFFFF" w:themeFill="background1"/>
            <w:vAlign w:val="center"/>
          </w:tcPr>
          <w:p w14:paraId="0B38580B" w14:textId="77777777" w:rsidR="00A375F2" w:rsidRDefault="00A375F2">
            <w:pPr>
              <w:pStyle w:val="3"/>
              <w:numPr>
                <w:ilvl w:val="0"/>
                <w:numId w:val="0"/>
              </w:numPr>
              <w:overflowPunct w:val="0"/>
              <w:rPr>
                <w:rFonts w:hAnsi="標楷體"/>
                <w:b/>
                <w:color w:val="000000" w:themeColor="text1"/>
                <w:sz w:val="26"/>
                <w:szCs w:val="26"/>
              </w:rPr>
            </w:pPr>
          </w:p>
        </w:tc>
        <w:tc>
          <w:tcPr>
            <w:tcW w:w="786" w:type="pct"/>
            <w:vMerge/>
            <w:shd w:val="clear" w:color="auto" w:fill="FFFFFF" w:themeFill="background1"/>
            <w:vAlign w:val="center"/>
          </w:tcPr>
          <w:p w14:paraId="0B964DCE" w14:textId="77777777" w:rsidR="00A375F2" w:rsidRDefault="00A375F2">
            <w:pPr>
              <w:pStyle w:val="3"/>
              <w:numPr>
                <w:ilvl w:val="0"/>
                <w:numId w:val="0"/>
              </w:numPr>
              <w:overflowPunct w:val="0"/>
              <w:jc w:val="center"/>
              <w:rPr>
                <w:rFonts w:hAnsi="標楷體"/>
                <w:b/>
                <w:color w:val="000000" w:themeColor="text1"/>
                <w:sz w:val="26"/>
                <w:szCs w:val="26"/>
              </w:rPr>
            </w:pPr>
          </w:p>
        </w:tc>
        <w:tc>
          <w:tcPr>
            <w:tcW w:w="903" w:type="pct"/>
            <w:vMerge/>
            <w:shd w:val="clear" w:color="auto" w:fill="FFFFFF" w:themeFill="background1"/>
            <w:vAlign w:val="center"/>
          </w:tcPr>
          <w:p w14:paraId="203386F8" w14:textId="77777777" w:rsidR="00A375F2" w:rsidRDefault="00A375F2">
            <w:pPr>
              <w:pStyle w:val="3"/>
              <w:numPr>
                <w:ilvl w:val="0"/>
                <w:numId w:val="0"/>
              </w:numPr>
              <w:overflowPunct w:val="0"/>
              <w:jc w:val="center"/>
              <w:rPr>
                <w:rFonts w:hAnsi="標楷體"/>
                <w:b/>
                <w:color w:val="000000" w:themeColor="text1"/>
                <w:sz w:val="26"/>
                <w:szCs w:val="26"/>
              </w:rPr>
            </w:pPr>
          </w:p>
        </w:tc>
        <w:tc>
          <w:tcPr>
            <w:tcW w:w="789" w:type="pct"/>
            <w:tcBorders>
              <w:bottom w:val="single" w:sz="4" w:space="0" w:color="auto"/>
            </w:tcBorders>
            <w:shd w:val="clear" w:color="auto" w:fill="FFFFFF" w:themeFill="background1"/>
            <w:vAlign w:val="center"/>
          </w:tcPr>
          <w:p w14:paraId="73CD953B" w14:textId="77777777" w:rsidR="00A375F2" w:rsidRDefault="00000000">
            <w:pPr>
              <w:pStyle w:val="3"/>
              <w:numPr>
                <w:ilvl w:val="0"/>
                <w:numId w:val="0"/>
              </w:numPr>
              <w:overflowPunct w:val="0"/>
              <w:jc w:val="center"/>
              <w:rPr>
                <w:rFonts w:hAnsi="標楷體"/>
                <w:b/>
                <w:color w:val="000000" w:themeColor="text1"/>
                <w:sz w:val="26"/>
                <w:szCs w:val="26"/>
              </w:rPr>
            </w:pPr>
            <w:r>
              <w:rPr>
                <w:rFonts w:hAnsi="標楷體" w:hint="eastAsia"/>
                <w:b/>
                <w:color w:val="000000" w:themeColor="text1"/>
                <w:sz w:val="26"/>
                <w:szCs w:val="26"/>
              </w:rPr>
              <w:t>受理筆數</w:t>
            </w:r>
          </w:p>
        </w:tc>
        <w:tc>
          <w:tcPr>
            <w:tcW w:w="759" w:type="pct"/>
            <w:tcBorders>
              <w:bottom w:val="single" w:sz="4" w:space="0" w:color="auto"/>
            </w:tcBorders>
            <w:shd w:val="clear" w:color="auto" w:fill="FFFFFF" w:themeFill="background1"/>
            <w:vAlign w:val="center"/>
          </w:tcPr>
          <w:p w14:paraId="30E30107" w14:textId="77777777" w:rsidR="00A375F2" w:rsidRDefault="00000000">
            <w:pPr>
              <w:pStyle w:val="3"/>
              <w:numPr>
                <w:ilvl w:val="0"/>
                <w:numId w:val="0"/>
              </w:numPr>
              <w:overflowPunct w:val="0"/>
              <w:jc w:val="center"/>
              <w:rPr>
                <w:rFonts w:hAnsi="標楷體"/>
                <w:b/>
                <w:color w:val="000000" w:themeColor="text1"/>
                <w:sz w:val="26"/>
                <w:szCs w:val="26"/>
              </w:rPr>
            </w:pPr>
            <w:r>
              <w:rPr>
                <w:rFonts w:hAnsi="標楷體" w:hint="eastAsia"/>
                <w:b/>
                <w:color w:val="000000" w:themeColor="text1"/>
                <w:sz w:val="26"/>
                <w:szCs w:val="26"/>
              </w:rPr>
              <w:t>受益人數</w:t>
            </w:r>
          </w:p>
        </w:tc>
        <w:tc>
          <w:tcPr>
            <w:tcW w:w="1138" w:type="pct"/>
            <w:tcBorders>
              <w:bottom w:val="single" w:sz="4" w:space="0" w:color="auto"/>
            </w:tcBorders>
            <w:shd w:val="clear" w:color="auto" w:fill="FFFFFF" w:themeFill="background1"/>
            <w:vAlign w:val="center"/>
          </w:tcPr>
          <w:p w14:paraId="0FAB487B" w14:textId="77777777" w:rsidR="00A375F2" w:rsidRDefault="00000000">
            <w:pPr>
              <w:pStyle w:val="3"/>
              <w:numPr>
                <w:ilvl w:val="0"/>
                <w:numId w:val="0"/>
              </w:numPr>
              <w:overflowPunct w:val="0"/>
              <w:jc w:val="center"/>
              <w:rPr>
                <w:rFonts w:hAnsi="標楷體"/>
                <w:b/>
                <w:color w:val="000000" w:themeColor="text1"/>
                <w:sz w:val="26"/>
                <w:szCs w:val="26"/>
              </w:rPr>
            </w:pPr>
            <w:r>
              <w:rPr>
                <w:rFonts w:hAnsi="標楷體" w:hint="eastAsia"/>
                <w:b/>
                <w:color w:val="000000" w:themeColor="text1"/>
                <w:sz w:val="26"/>
                <w:szCs w:val="26"/>
              </w:rPr>
              <w:t>發放金額</w:t>
            </w:r>
          </w:p>
        </w:tc>
      </w:tr>
      <w:tr w:rsidR="00A375F2" w14:paraId="10A62F84" w14:textId="77777777">
        <w:trPr>
          <w:jc w:val="center"/>
        </w:trPr>
        <w:tc>
          <w:tcPr>
            <w:tcW w:w="624" w:type="pct"/>
            <w:shd w:val="clear" w:color="auto" w:fill="auto"/>
            <w:vAlign w:val="center"/>
          </w:tcPr>
          <w:p w14:paraId="0EDDEF63" w14:textId="77777777" w:rsidR="00A375F2" w:rsidRDefault="00000000">
            <w:pPr>
              <w:pStyle w:val="3"/>
              <w:numPr>
                <w:ilvl w:val="0"/>
                <w:numId w:val="0"/>
              </w:numPr>
              <w:overflowPunct w:val="0"/>
              <w:jc w:val="center"/>
              <w:rPr>
                <w:rFonts w:hAnsi="標楷體"/>
                <w:color w:val="000000" w:themeColor="text1"/>
                <w:sz w:val="26"/>
                <w:szCs w:val="26"/>
              </w:rPr>
            </w:pPr>
            <w:r>
              <w:rPr>
                <w:rFonts w:hAnsi="標楷體" w:hint="eastAsia"/>
                <w:color w:val="000000" w:themeColor="text1"/>
                <w:sz w:val="26"/>
                <w:szCs w:val="26"/>
              </w:rPr>
              <w:t>宜蘭縣</w:t>
            </w:r>
          </w:p>
        </w:tc>
        <w:tc>
          <w:tcPr>
            <w:tcW w:w="786" w:type="pct"/>
            <w:shd w:val="clear" w:color="auto" w:fill="auto"/>
            <w:vAlign w:val="center"/>
          </w:tcPr>
          <w:p w14:paraId="73356A4D" w14:textId="77777777" w:rsidR="00A375F2" w:rsidRDefault="00000000">
            <w:pPr>
              <w:pStyle w:val="3"/>
              <w:numPr>
                <w:ilvl w:val="0"/>
                <w:numId w:val="0"/>
              </w:numPr>
              <w:overflowPunct w:val="0"/>
              <w:ind w:rightChars="109" w:right="371"/>
              <w:jc w:val="right"/>
              <w:rPr>
                <w:rFonts w:hAnsi="標楷體"/>
                <w:color w:val="000000" w:themeColor="text1"/>
                <w:sz w:val="26"/>
                <w:szCs w:val="26"/>
              </w:rPr>
            </w:pPr>
            <w:r>
              <w:rPr>
                <w:rFonts w:hAnsi="標楷體" w:hint="eastAsia"/>
                <w:color w:val="000000" w:themeColor="text1"/>
                <w:sz w:val="26"/>
                <w:szCs w:val="26"/>
              </w:rPr>
              <w:t>5</w:t>
            </w:r>
          </w:p>
        </w:tc>
        <w:tc>
          <w:tcPr>
            <w:tcW w:w="903" w:type="pct"/>
            <w:shd w:val="clear" w:color="auto" w:fill="auto"/>
            <w:vAlign w:val="center"/>
          </w:tcPr>
          <w:p w14:paraId="633BF4CC" w14:textId="77777777" w:rsidR="00A375F2" w:rsidRDefault="00000000">
            <w:pPr>
              <w:overflowPunct w:val="0"/>
              <w:jc w:val="right"/>
              <w:rPr>
                <w:rFonts w:ascii="新細明體" w:eastAsia="新細明體"/>
                <w:color w:val="000000" w:themeColor="text1"/>
                <w:kern w:val="0"/>
                <w:sz w:val="26"/>
                <w:szCs w:val="26"/>
              </w:rPr>
            </w:pPr>
            <w:r>
              <w:rPr>
                <w:rFonts w:hint="eastAsia"/>
                <w:color w:val="000000" w:themeColor="text1"/>
                <w:sz w:val="26"/>
                <w:szCs w:val="26"/>
              </w:rPr>
              <w:t>2,948,410</w:t>
            </w:r>
          </w:p>
        </w:tc>
        <w:tc>
          <w:tcPr>
            <w:tcW w:w="789" w:type="pct"/>
            <w:tcBorders>
              <w:top w:val="single" w:sz="4" w:space="0" w:color="auto"/>
              <w:left w:val="nil"/>
              <w:bottom w:val="single" w:sz="4" w:space="0" w:color="auto"/>
              <w:right w:val="single" w:sz="4" w:space="0" w:color="auto"/>
            </w:tcBorders>
            <w:shd w:val="clear" w:color="auto" w:fill="auto"/>
            <w:vAlign w:val="center"/>
          </w:tcPr>
          <w:p w14:paraId="0E2B1473" w14:textId="77777777" w:rsidR="00A375F2" w:rsidRDefault="00000000">
            <w:pPr>
              <w:overflowPunct w:val="0"/>
              <w:jc w:val="right"/>
              <w:rPr>
                <w:rFonts w:ascii="新細明體" w:eastAsia="新細明體"/>
                <w:color w:val="000000" w:themeColor="text1"/>
                <w:kern w:val="0"/>
                <w:sz w:val="26"/>
                <w:szCs w:val="26"/>
              </w:rPr>
            </w:pPr>
            <w:r>
              <w:rPr>
                <w:rFonts w:hint="eastAsia"/>
                <w:color w:val="000000" w:themeColor="text1"/>
                <w:sz w:val="26"/>
                <w:szCs w:val="26"/>
              </w:rPr>
              <w:t>6,124</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25BC2731" w14:textId="77777777" w:rsidR="00A375F2" w:rsidRDefault="00000000">
            <w:pPr>
              <w:overflowPunct w:val="0"/>
              <w:jc w:val="right"/>
              <w:rPr>
                <w:color w:val="000000" w:themeColor="text1"/>
                <w:sz w:val="26"/>
                <w:szCs w:val="26"/>
              </w:rPr>
            </w:pPr>
            <w:r>
              <w:rPr>
                <w:rFonts w:hint="eastAsia"/>
                <w:color w:val="000000" w:themeColor="text1"/>
                <w:sz w:val="26"/>
                <w:szCs w:val="26"/>
              </w:rPr>
              <w:t>2,604</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tcPr>
          <w:p w14:paraId="3E384B1B" w14:textId="77777777" w:rsidR="00A375F2" w:rsidRDefault="00000000">
            <w:pPr>
              <w:overflowPunct w:val="0"/>
              <w:jc w:val="right"/>
              <w:rPr>
                <w:color w:val="000000" w:themeColor="text1"/>
                <w:sz w:val="26"/>
                <w:szCs w:val="26"/>
              </w:rPr>
            </w:pPr>
            <w:r>
              <w:rPr>
                <w:rFonts w:hint="eastAsia"/>
                <w:color w:val="000000" w:themeColor="text1"/>
                <w:sz w:val="26"/>
                <w:szCs w:val="26"/>
              </w:rPr>
              <w:t>85,431,834</w:t>
            </w:r>
          </w:p>
        </w:tc>
      </w:tr>
      <w:tr w:rsidR="00A375F2" w14:paraId="69C15ADF" w14:textId="77777777">
        <w:trPr>
          <w:jc w:val="center"/>
        </w:trPr>
        <w:tc>
          <w:tcPr>
            <w:tcW w:w="624" w:type="pct"/>
            <w:shd w:val="clear" w:color="auto" w:fill="auto"/>
            <w:vAlign w:val="center"/>
          </w:tcPr>
          <w:p w14:paraId="52799339" w14:textId="77777777" w:rsidR="00A375F2" w:rsidRDefault="00000000">
            <w:pPr>
              <w:pStyle w:val="3"/>
              <w:numPr>
                <w:ilvl w:val="0"/>
                <w:numId w:val="0"/>
              </w:numPr>
              <w:overflowPunct w:val="0"/>
              <w:jc w:val="center"/>
              <w:rPr>
                <w:rFonts w:hAnsi="標楷體"/>
                <w:color w:val="000000" w:themeColor="text1"/>
                <w:sz w:val="26"/>
                <w:szCs w:val="26"/>
              </w:rPr>
            </w:pPr>
            <w:r>
              <w:rPr>
                <w:rFonts w:hAnsi="標楷體" w:hint="eastAsia"/>
                <w:color w:val="000000" w:themeColor="text1"/>
                <w:sz w:val="26"/>
                <w:szCs w:val="26"/>
              </w:rPr>
              <w:t>桃園市</w:t>
            </w:r>
          </w:p>
        </w:tc>
        <w:tc>
          <w:tcPr>
            <w:tcW w:w="786" w:type="pct"/>
            <w:shd w:val="clear" w:color="auto" w:fill="auto"/>
            <w:vAlign w:val="center"/>
          </w:tcPr>
          <w:p w14:paraId="1D11DB5C" w14:textId="77777777" w:rsidR="00A375F2" w:rsidRDefault="00000000">
            <w:pPr>
              <w:pStyle w:val="3"/>
              <w:numPr>
                <w:ilvl w:val="0"/>
                <w:numId w:val="0"/>
              </w:numPr>
              <w:overflowPunct w:val="0"/>
              <w:ind w:rightChars="109" w:right="371"/>
              <w:jc w:val="right"/>
              <w:rPr>
                <w:rFonts w:hAnsi="標楷體"/>
                <w:color w:val="000000" w:themeColor="text1"/>
                <w:sz w:val="26"/>
                <w:szCs w:val="26"/>
              </w:rPr>
            </w:pPr>
            <w:r>
              <w:rPr>
                <w:rFonts w:hAnsi="標楷體" w:hint="eastAsia"/>
                <w:color w:val="000000" w:themeColor="text1"/>
                <w:sz w:val="26"/>
                <w:szCs w:val="26"/>
              </w:rPr>
              <w:t>7</w:t>
            </w:r>
          </w:p>
        </w:tc>
        <w:tc>
          <w:tcPr>
            <w:tcW w:w="903" w:type="pct"/>
            <w:shd w:val="clear" w:color="auto" w:fill="auto"/>
            <w:vAlign w:val="center"/>
          </w:tcPr>
          <w:p w14:paraId="5119103E" w14:textId="77777777" w:rsidR="00A375F2" w:rsidRDefault="00000000">
            <w:pPr>
              <w:overflowPunct w:val="0"/>
              <w:jc w:val="right"/>
              <w:rPr>
                <w:color w:val="000000" w:themeColor="text1"/>
                <w:sz w:val="26"/>
                <w:szCs w:val="26"/>
              </w:rPr>
            </w:pPr>
            <w:r>
              <w:rPr>
                <w:rFonts w:hint="eastAsia"/>
                <w:color w:val="000000" w:themeColor="text1"/>
                <w:sz w:val="26"/>
                <w:szCs w:val="26"/>
              </w:rPr>
              <w:t>4,127,774</w:t>
            </w:r>
          </w:p>
        </w:tc>
        <w:tc>
          <w:tcPr>
            <w:tcW w:w="789" w:type="pct"/>
            <w:tcBorders>
              <w:top w:val="single" w:sz="4" w:space="0" w:color="auto"/>
              <w:left w:val="nil"/>
              <w:bottom w:val="single" w:sz="4" w:space="0" w:color="auto"/>
              <w:right w:val="single" w:sz="4" w:space="0" w:color="auto"/>
            </w:tcBorders>
            <w:shd w:val="clear" w:color="auto" w:fill="auto"/>
            <w:vAlign w:val="center"/>
          </w:tcPr>
          <w:p w14:paraId="499100BA" w14:textId="77777777" w:rsidR="00A375F2" w:rsidRDefault="00000000">
            <w:pPr>
              <w:overflowPunct w:val="0"/>
              <w:jc w:val="right"/>
              <w:rPr>
                <w:color w:val="000000" w:themeColor="text1"/>
                <w:sz w:val="26"/>
                <w:szCs w:val="26"/>
              </w:rPr>
            </w:pPr>
            <w:r>
              <w:rPr>
                <w:rFonts w:hint="eastAsia"/>
                <w:color w:val="000000" w:themeColor="text1"/>
                <w:sz w:val="26"/>
                <w:szCs w:val="26"/>
              </w:rPr>
              <w:t>10,015</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5AD5B01E" w14:textId="77777777" w:rsidR="00A375F2" w:rsidRDefault="00000000">
            <w:pPr>
              <w:overflowPunct w:val="0"/>
              <w:jc w:val="right"/>
              <w:rPr>
                <w:color w:val="000000" w:themeColor="text1"/>
                <w:sz w:val="26"/>
                <w:szCs w:val="26"/>
              </w:rPr>
            </w:pPr>
            <w:r>
              <w:rPr>
                <w:rFonts w:hint="eastAsia"/>
                <w:color w:val="000000" w:themeColor="text1"/>
                <w:sz w:val="26"/>
                <w:szCs w:val="26"/>
              </w:rPr>
              <w:t>2,334</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tcPr>
          <w:p w14:paraId="52D252DA" w14:textId="77777777" w:rsidR="00A375F2" w:rsidRDefault="00000000">
            <w:pPr>
              <w:overflowPunct w:val="0"/>
              <w:jc w:val="right"/>
              <w:rPr>
                <w:color w:val="000000" w:themeColor="text1"/>
                <w:sz w:val="26"/>
                <w:szCs w:val="26"/>
              </w:rPr>
            </w:pPr>
            <w:r>
              <w:rPr>
                <w:rFonts w:hint="eastAsia"/>
                <w:color w:val="000000" w:themeColor="text1"/>
                <w:sz w:val="26"/>
                <w:szCs w:val="26"/>
              </w:rPr>
              <w:t>121,804,365</w:t>
            </w:r>
          </w:p>
        </w:tc>
      </w:tr>
      <w:tr w:rsidR="00A375F2" w14:paraId="775C2A11" w14:textId="77777777">
        <w:trPr>
          <w:jc w:val="center"/>
        </w:trPr>
        <w:tc>
          <w:tcPr>
            <w:tcW w:w="624" w:type="pct"/>
            <w:shd w:val="clear" w:color="auto" w:fill="auto"/>
            <w:vAlign w:val="center"/>
          </w:tcPr>
          <w:p w14:paraId="39C80982" w14:textId="77777777" w:rsidR="00A375F2" w:rsidRDefault="00000000">
            <w:pPr>
              <w:pStyle w:val="3"/>
              <w:numPr>
                <w:ilvl w:val="0"/>
                <w:numId w:val="0"/>
              </w:numPr>
              <w:overflowPunct w:val="0"/>
              <w:jc w:val="center"/>
              <w:rPr>
                <w:rFonts w:hAnsi="標楷體"/>
                <w:color w:val="000000" w:themeColor="text1"/>
                <w:sz w:val="26"/>
                <w:szCs w:val="26"/>
              </w:rPr>
            </w:pPr>
            <w:r>
              <w:rPr>
                <w:rFonts w:hAnsi="標楷體" w:hint="eastAsia"/>
                <w:color w:val="000000" w:themeColor="text1"/>
                <w:sz w:val="26"/>
                <w:szCs w:val="26"/>
              </w:rPr>
              <w:lastRenderedPageBreak/>
              <w:t>新竹縣</w:t>
            </w:r>
          </w:p>
        </w:tc>
        <w:tc>
          <w:tcPr>
            <w:tcW w:w="786" w:type="pct"/>
            <w:shd w:val="clear" w:color="auto" w:fill="auto"/>
            <w:vAlign w:val="center"/>
          </w:tcPr>
          <w:p w14:paraId="4A219AAA" w14:textId="77777777" w:rsidR="00A375F2" w:rsidRDefault="00000000">
            <w:pPr>
              <w:pStyle w:val="3"/>
              <w:numPr>
                <w:ilvl w:val="0"/>
                <w:numId w:val="0"/>
              </w:numPr>
              <w:overflowPunct w:val="0"/>
              <w:ind w:rightChars="109" w:right="371"/>
              <w:jc w:val="right"/>
              <w:rPr>
                <w:rFonts w:hAnsi="標楷體"/>
                <w:color w:val="000000" w:themeColor="text1"/>
                <w:sz w:val="26"/>
                <w:szCs w:val="26"/>
              </w:rPr>
            </w:pPr>
            <w:r>
              <w:rPr>
                <w:rFonts w:hAnsi="標楷體" w:hint="eastAsia"/>
                <w:color w:val="000000" w:themeColor="text1"/>
                <w:sz w:val="26"/>
                <w:szCs w:val="26"/>
              </w:rPr>
              <w:t>1</w:t>
            </w:r>
            <w:r>
              <w:rPr>
                <w:rFonts w:hAnsi="標楷體"/>
                <w:color w:val="000000" w:themeColor="text1"/>
                <w:sz w:val="26"/>
                <w:szCs w:val="26"/>
              </w:rPr>
              <w:t>1</w:t>
            </w:r>
          </w:p>
        </w:tc>
        <w:tc>
          <w:tcPr>
            <w:tcW w:w="903" w:type="pct"/>
            <w:shd w:val="clear" w:color="auto" w:fill="auto"/>
            <w:vAlign w:val="center"/>
          </w:tcPr>
          <w:p w14:paraId="06374ED1" w14:textId="77777777" w:rsidR="00A375F2" w:rsidRDefault="00000000">
            <w:pPr>
              <w:overflowPunct w:val="0"/>
              <w:jc w:val="right"/>
              <w:rPr>
                <w:color w:val="000000" w:themeColor="text1"/>
                <w:sz w:val="26"/>
                <w:szCs w:val="26"/>
              </w:rPr>
            </w:pPr>
            <w:r>
              <w:rPr>
                <w:rFonts w:hint="eastAsia"/>
                <w:color w:val="000000" w:themeColor="text1"/>
                <w:sz w:val="26"/>
                <w:szCs w:val="26"/>
              </w:rPr>
              <w:t>6,486,502</w:t>
            </w:r>
          </w:p>
        </w:tc>
        <w:tc>
          <w:tcPr>
            <w:tcW w:w="789" w:type="pct"/>
            <w:tcBorders>
              <w:top w:val="single" w:sz="4" w:space="0" w:color="auto"/>
              <w:left w:val="nil"/>
              <w:bottom w:val="single" w:sz="4" w:space="0" w:color="auto"/>
              <w:right w:val="single" w:sz="4" w:space="0" w:color="auto"/>
            </w:tcBorders>
            <w:shd w:val="clear" w:color="auto" w:fill="auto"/>
            <w:vAlign w:val="center"/>
          </w:tcPr>
          <w:p w14:paraId="12D7605A" w14:textId="77777777" w:rsidR="00A375F2" w:rsidRDefault="00000000">
            <w:pPr>
              <w:overflowPunct w:val="0"/>
              <w:jc w:val="right"/>
              <w:rPr>
                <w:color w:val="000000" w:themeColor="text1"/>
                <w:sz w:val="26"/>
                <w:szCs w:val="26"/>
              </w:rPr>
            </w:pPr>
            <w:r>
              <w:rPr>
                <w:rFonts w:hint="eastAsia"/>
                <w:color w:val="000000" w:themeColor="text1"/>
                <w:sz w:val="26"/>
                <w:szCs w:val="26"/>
              </w:rPr>
              <w:t>10,076</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B98078D" w14:textId="77777777" w:rsidR="00A375F2" w:rsidRDefault="00000000">
            <w:pPr>
              <w:overflowPunct w:val="0"/>
              <w:jc w:val="right"/>
              <w:rPr>
                <w:color w:val="000000" w:themeColor="text1"/>
                <w:sz w:val="26"/>
                <w:szCs w:val="26"/>
              </w:rPr>
            </w:pPr>
            <w:r>
              <w:rPr>
                <w:rFonts w:hint="eastAsia"/>
                <w:color w:val="000000" w:themeColor="text1"/>
                <w:sz w:val="26"/>
                <w:szCs w:val="26"/>
              </w:rPr>
              <w:t>3,931</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tcPr>
          <w:p w14:paraId="4266A887" w14:textId="77777777" w:rsidR="00A375F2" w:rsidRDefault="00000000">
            <w:pPr>
              <w:overflowPunct w:val="0"/>
              <w:jc w:val="right"/>
              <w:rPr>
                <w:color w:val="000000" w:themeColor="text1"/>
                <w:sz w:val="26"/>
                <w:szCs w:val="26"/>
              </w:rPr>
            </w:pPr>
            <w:r>
              <w:rPr>
                <w:rFonts w:hint="eastAsia"/>
                <w:color w:val="000000" w:themeColor="text1"/>
                <w:sz w:val="26"/>
                <w:szCs w:val="26"/>
              </w:rPr>
              <w:t>245,727,069</w:t>
            </w:r>
          </w:p>
        </w:tc>
      </w:tr>
      <w:tr w:rsidR="00A375F2" w14:paraId="5FFBB239" w14:textId="77777777">
        <w:trPr>
          <w:jc w:val="center"/>
        </w:trPr>
        <w:tc>
          <w:tcPr>
            <w:tcW w:w="624" w:type="pct"/>
            <w:shd w:val="clear" w:color="auto" w:fill="auto"/>
            <w:vAlign w:val="center"/>
          </w:tcPr>
          <w:p w14:paraId="25C6C504" w14:textId="77777777" w:rsidR="00A375F2" w:rsidRDefault="00000000">
            <w:pPr>
              <w:pStyle w:val="3"/>
              <w:numPr>
                <w:ilvl w:val="0"/>
                <w:numId w:val="0"/>
              </w:numPr>
              <w:overflowPunct w:val="0"/>
              <w:jc w:val="center"/>
              <w:rPr>
                <w:rFonts w:hAnsi="標楷體"/>
                <w:color w:val="000000" w:themeColor="text1"/>
                <w:sz w:val="26"/>
                <w:szCs w:val="26"/>
              </w:rPr>
            </w:pPr>
            <w:r>
              <w:rPr>
                <w:rFonts w:hAnsi="標楷體" w:hint="eastAsia"/>
                <w:color w:val="000000" w:themeColor="text1"/>
                <w:sz w:val="26"/>
                <w:szCs w:val="26"/>
              </w:rPr>
              <w:t>苗栗縣</w:t>
            </w:r>
          </w:p>
        </w:tc>
        <w:tc>
          <w:tcPr>
            <w:tcW w:w="786" w:type="pct"/>
            <w:shd w:val="clear" w:color="auto" w:fill="auto"/>
            <w:vAlign w:val="center"/>
          </w:tcPr>
          <w:p w14:paraId="5580E13A" w14:textId="77777777" w:rsidR="00A375F2" w:rsidRDefault="00000000">
            <w:pPr>
              <w:pStyle w:val="3"/>
              <w:numPr>
                <w:ilvl w:val="0"/>
                <w:numId w:val="0"/>
              </w:numPr>
              <w:overflowPunct w:val="0"/>
              <w:ind w:rightChars="109" w:right="371"/>
              <w:jc w:val="right"/>
              <w:rPr>
                <w:rFonts w:hAnsi="標楷體"/>
                <w:color w:val="000000" w:themeColor="text1"/>
                <w:sz w:val="26"/>
                <w:szCs w:val="26"/>
              </w:rPr>
            </w:pPr>
            <w:r>
              <w:rPr>
                <w:rFonts w:hAnsi="標楷體" w:hint="eastAsia"/>
                <w:color w:val="000000" w:themeColor="text1"/>
                <w:sz w:val="26"/>
                <w:szCs w:val="26"/>
              </w:rPr>
              <w:t>3</w:t>
            </w:r>
          </w:p>
        </w:tc>
        <w:tc>
          <w:tcPr>
            <w:tcW w:w="903" w:type="pct"/>
            <w:shd w:val="clear" w:color="auto" w:fill="auto"/>
            <w:vAlign w:val="center"/>
          </w:tcPr>
          <w:p w14:paraId="4C4D3F71" w14:textId="77777777" w:rsidR="00A375F2" w:rsidRDefault="00000000">
            <w:pPr>
              <w:overflowPunct w:val="0"/>
              <w:jc w:val="right"/>
              <w:rPr>
                <w:color w:val="000000" w:themeColor="text1"/>
                <w:sz w:val="26"/>
                <w:szCs w:val="26"/>
              </w:rPr>
            </w:pPr>
            <w:r>
              <w:rPr>
                <w:rFonts w:hint="eastAsia"/>
                <w:color w:val="000000" w:themeColor="text1"/>
                <w:sz w:val="26"/>
                <w:szCs w:val="26"/>
              </w:rPr>
              <w:t>1,769,046</w:t>
            </w:r>
          </w:p>
        </w:tc>
        <w:tc>
          <w:tcPr>
            <w:tcW w:w="789" w:type="pct"/>
            <w:tcBorders>
              <w:top w:val="single" w:sz="4" w:space="0" w:color="auto"/>
              <w:left w:val="nil"/>
              <w:bottom w:val="single" w:sz="4" w:space="0" w:color="auto"/>
              <w:right w:val="single" w:sz="4" w:space="0" w:color="auto"/>
            </w:tcBorders>
            <w:shd w:val="clear" w:color="auto" w:fill="auto"/>
            <w:vAlign w:val="center"/>
          </w:tcPr>
          <w:p w14:paraId="4A87B5EE" w14:textId="77777777" w:rsidR="00A375F2" w:rsidRDefault="00000000">
            <w:pPr>
              <w:overflowPunct w:val="0"/>
              <w:jc w:val="right"/>
              <w:rPr>
                <w:color w:val="000000" w:themeColor="text1"/>
                <w:sz w:val="26"/>
                <w:szCs w:val="26"/>
              </w:rPr>
            </w:pPr>
            <w:r>
              <w:rPr>
                <w:rFonts w:hint="eastAsia"/>
                <w:color w:val="000000" w:themeColor="text1"/>
                <w:sz w:val="26"/>
                <w:szCs w:val="26"/>
              </w:rPr>
              <w:t>3,965</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535B4A2B" w14:textId="77777777" w:rsidR="00A375F2" w:rsidRDefault="00000000">
            <w:pPr>
              <w:overflowPunct w:val="0"/>
              <w:jc w:val="right"/>
              <w:rPr>
                <w:color w:val="000000" w:themeColor="text1"/>
                <w:sz w:val="26"/>
                <w:szCs w:val="26"/>
              </w:rPr>
            </w:pPr>
            <w:r>
              <w:rPr>
                <w:rFonts w:hint="eastAsia"/>
                <w:color w:val="000000" w:themeColor="text1"/>
                <w:sz w:val="26"/>
                <w:szCs w:val="26"/>
              </w:rPr>
              <w:t>1,849</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tcPr>
          <w:p w14:paraId="7039443C" w14:textId="77777777" w:rsidR="00A375F2" w:rsidRDefault="00000000">
            <w:pPr>
              <w:overflowPunct w:val="0"/>
              <w:jc w:val="right"/>
              <w:rPr>
                <w:color w:val="000000" w:themeColor="text1"/>
                <w:sz w:val="26"/>
                <w:szCs w:val="26"/>
              </w:rPr>
            </w:pPr>
            <w:r>
              <w:rPr>
                <w:rFonts w:hint="eastAsia"/>
                <w:color w:val="000000" w:themeColor="text1"/>
                <w:sz w:val="26"/>
                <w:szCs w:val="26"/>
              </w:rPr>
              <w:t>76,017,933</w:t>
            </w:r>
          </w:p>
        </w:tc>
      </w:tr>
      <w:tr w:rsidR="00A375F2" w14:paraId="3CDC4EA2" w14:textId="77777777">
        <w:trPr>
          <w:jc w:val="center"/>
        </w:trPr>
        <w:tc>
          <w:tcPr>
            <w:tcW w:w="624" w:type="pct"/>
            <w:shd w:val="clear" w:color="auto" w:fill="auto"/>
            <w:vAlign w:val="center"/>
          </w:tcPr>
          <w:p w14:paraId="55F11B6F" w14:textId="77777777" w:rsidR="00A375F2" w:rsidRDefault="00000000">
            <w:pPr>
              <w:pStyle w:val="3"/>
              <w:numPr>
                <w:ilvl w:val="0"/>
                <w:numId w:val="0"/>
              </w:numPr>
              <w:overflowPunct w:val="0"/>
              <w:jc w:val="center"/>
              <w:rPr>
                <w:rFonts w:hAnsi="標楷體"/>
                <w:color w:val="000000" w:themeColor="text1"/>
                <w:sz w:val="26"/>
                <w:szCs w:val="26"/>
              </w:rPr>
            </w:pPr>
            <w:r>
              <w:rPr>
                <w:rFonts w:hAnsi="標楷體" w:hint="eastAsia"/>
                <w:color w:val="000000" w:themeColor="text1"/>
                <w:sz w:val="26"/>
                <w:szCs w:val="26"/>
              </w:rPr>
              <w:t>臺中市</w:t>
            </w:r>
          </w:p>
        </w:tc>
        <w:tc>
          <w:tcPr>
            <w:tcW w:w="786" w:type="pct"/>
            <w:shd w:val="clear" w:color="auto" w:fill="auto"/>
            <w:vAlign w:val="center"/>
          </w:tcPr>
          <w:p w14:paraId="1DB64C4A" w14:textId="77777777" w:rsidR="00A375F2" w:rsidRDefault="00000000">
            <w:pPr>
              <w:pStyle w:val="3"/>
              <w:numPr>
                <w:ilvl w:val="0"/>
                <w:numId w:val="0"/>
              </w:numPr>
              <w:overflowPunct w:val="0"/>
              <w:ind w:rightChars="109" w:right="371"/>
              <w:jc w:val="right"/>
              <w:rPr>
                <w:rFonts w:hAnsi="標楷體"/>
                <w:color w:val="000000" w:themeColor="text1"/>
                <w:sz w:val="26"/>
                <w:szCs w:val="26"/>
              </w:rPr>
            </w:pPr>
            <w:r>
              <w:rPr>
                <w:rFonts w:hAnsi="標楷體" w:hint="eastAsia"/>
                <w:color w:val="000000" w:themeColor="text1"/>
                <w:sz w:val="26"/>
                <w:szCs w:val="26"/>
              </w:rPr>
              <w:t>1</w:t>
            </w:r>
          </w:p>
        </w:tc>
        <w:tc>
          <w:tcPr>
            <w:tcW w:w="903" w:type="pct"/>
            <w:shd w:val="clear" w:color="auto" w:fill="auto"/>
            <w:vAlign w:val="center"/>
          </w:tcPr>
          <w:p w14:paraId="759979FD" w14:textId="77777777" w:rsidR="00A375F2" w:rsidRDefault="00000000">
            <w:pPr>
              <w:overflowPunct w:val="0"/>
              <w:jc w:val="right"/>
              <w:rPr>
                <w:color w:val="000000" w:themeColor="text1"/>
                <w:sz w:val="26"/>
                <w:szCs w:val="26"/>
              </w:rPr>
            </w:pPr>
            <w:r>
              <w:rPr>
                <w:rFonts w:hint="eastAsia"/>
                <w:color w:val="000000" w:themeColor="text1"/>
                <w:sz w:val="26"/>
                <w:szCs w:val="26"/>
              </w:rPr>
              <w:t>589,682</w:t>
            </w:r>
          </w:p>
        </w:tc>
        <w:tc>
          <w:tcPr>
            <w:tcW w:w="789" w:type="pct"/>
            <w:tcBorders>
              <w:top w:val="single" w:sz="4" w:space="0" w:color="auto"/>
              <w:left w:val="nil"/>
              <w:bottom w:val="single" w:sz="4" w:space="0" w:color="auto"/>
              <w:right w:val="single" w:sz="4" w:space="0" w:color="auto"/>
            </w:tcBorders>
            <w:shd w:val="clear" w:color="auto" w:fill="auto"/>
            <w:vAlign w:val="center"/>
          </w:tcPr>
          <w:p w14:paraId="1BE9C736" w14:textId="77777777" w:rsidR="00A375F2" w:rsidRDefault="00000000">
            <w:pPr>
              <w:overflowPunct w:val="0"/>
              <w:jc w:val="right"/>
              <w:rPr>
                <w:color w:val="000000" w:themeColor="text1"/>
                <w:sz w:val="26"/>
                <w:szCs w:val="26"/>
              </w:rPr>
            </w:pPr>
            <w:r>
              <w:rPr>
                <w:rFonts w:hint="eastAsia"/>
                <w:color w:val="000000" w:themeColor="text1"/>
                <w:sz w:val="26"/>
                <w:szCs w:val="26"/>
              </w:rPr>
              <w:t>108</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28C3676" w14:textId="77777777" w:rsidR="00A375F2" w:rsidRDefault="00000000">
            <w:pPr>
              <w:overflowPunct w:val="0"/>
              <w:jc w:val="right"/>
              <w:rPr>
                <w:color w:val="000000" w:themeColor="text1"/>
                <w:sz w:val="26"/>
                <w:szCs w:val="26"/>
              </w:rPr>
            </w:pPr>
            <w:r>
              <w:rPr>
                <w:rFonts w:hint="eastAsia"/>
                <w:color w:val="000000" w:themeColor="text1"/>
                <w:sz w:val="26"/>
                <w:szCs w:val="26"/>
              </w:rPr>
              <w:t>108</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tcPr>
          <w:p w14:paraId="08123087" w14:textId="77777777" w:rsidR="00A375F2" w:rsidRDefault="00000000">
            <w:pPr>
              <w:overflowPunct w:val="0"/>
              <w:jc w:val="right"/>
              <w:rPr>
                <w:color w:val="000000" w:themeColor="text1"/>
                <w:sz w:val="26"/>
                <w:szCs w:val="26"/>
              </w:rPr>
            </w:pPr>
            <w:r>
              <w:rPr>
                <w:rFonts w:hint="eastAsia"/>
                <w:color w:val="000000" w:themeColor="text1"/>
                <w:sz w:val="26"/>
                <w:szCs w:val="26"/>
              </w:rPr>
              <w:t>3,736,746</w:t>
            </w:r>
          </w:p>
        </w:tc>
      </w:tr>
      <w:tr w:rsidR="00A375F2" w14:paraId="3FB3C59E" w14:textId="77777777">
        <w:trPr>
          <w:jc w:val="center"/>
        </w:trPr>
        <w:tc>
          <w:tcPr>
            <w:tcW w:w="624" w:type="pct"/>
            <w:shd w:val="clear" w:color="auto" w:fill="auto"/>
            <w:vAlign w:val="center"/>
          </w:tcPr>
          <w:p w14:paraId="6AC18167" w14:textId="77777777" w:rsidR="00A375F2" w:rsidRDefault="00000000">
            <w:pPr>
              <w:pStyle w:val="3"/>
              <w:numPr>
                <w:ilvl w:val="0"/>
                <w:numId w:val="0"/>
              </w:numPr>
              <w:overflowPunct w:val="0"/>
              <w:jc w:val="center"/>
              <w:rPr>
                <w:rFonts w:hAnsi="標楷體"/>
                <w:color w:val="000000" w:themeColor="text1"/>
                <w:sz w:val="26"/>
                <w:szCs w:val="26"/>
              </w:rPr>
            </w:pPr>
            <w:r>
              <w:rPr>
                <w:rFonts w:hAnsi="標楷體" w:hint="eastAsia"/>
                <w:color w:val="000000" w:themeColor="text1"/>
                <w:sz w:val="26"/>
                <w:szCs w:val="26"/>
              </w:rPr>
              <w:t>南投縣</w:t>
            </w:r>
          </w:p>
        </w:tc>
        <w:tc>
          <w:tcPr>
            <w:tcW w:w="786" w:type="pct"/>
            <w:shd w:val="clear" w:color="auto" w:fill="auto"/>
            <w:vAlign w:val="center"/>
          </w:tcPr>
          <w:p w14:paraId="1C8E437B" w14:textId="77777777" w:rsidR="00A375F2" w:rsidRDefault="00000000">
            <w:pPr>
              <w:pStyle w:val="3"/>
              <w:numPr>
                <w:ilvl w:val="0"/>
                <w:numId w:val="0"/>
              </w:numPr>
              <w:overflowPunct w:val="0"/>
              <w:ind w:rightChars="109" w:right="371"/>
              <w:jc w:val="right"/>
              <w:rPr>
                <w:rFonts w:hAnsi="標楷體"/>
                <w:color w:val="000000" w:themeColor="text1"/>
                <w:sz w:val="26"/>
                <w:szCs w:val="26"/>
              </w:rPr>
            </w:pPr>
            <w:r>
              <w:rPr>
                <w:rFonts w:hAnsi="標楷體" w:hint="eastAsia"/>
                <w:color w:val="000000" w:themeColor="text1"/>
                <w:sz w:val="26"/>
                <w:szCs w:val="26"/>
              </w:rPr>
              <w:t>7</w:t>
            </w:r>
          </w:p>
        </w:tc>
        <w:tc>
          <w:tcPr>
            <w:tcW w:w="903" w:type="pct"/>
            <w:shd w:val="clear" w:color="auto" w:fill="auto"/>
            <w:vAlign w:val="center"/>
          </w:tcPr>
          <w:p w14:paraId="18BF9137" w14:textId="77777777" w:rsidR="00A375F2" w:rsidRDefault="00000000">
            <w:pPr>
              <w:overflowPunct w:val="0"/>
              <w:jc w:val="right"/>
              <w:rPr>
                <w:color w:val="000000" w:themeColor="text1"/>
                <w:sz w:val="26"/>
                <w:szCs w:val="26"/>
              </w:rPr>
            </w:pPr>
            <w:r>
              <w:rPr>
                <w:rFonts w:hint="eastAsia"/>
                <w:color w:val="000000" w:themeColor="text1"/>
                <w:sz w:val="26"/>
                <w:szCs w:val="26"/>
              </w:rPr>
              <w:t>4,127,774</w:t>
            </w:r>
          </w:p>
        </w:tc>
        <w:tc>
          <w:tcPr>
            <w:tcW w:w="789" w:type="pct"/>
            <w:tcBorders>
              <w:top w:val="single" w:sz="4" w:space="0" w:color="auto"/>
              <w:left w:val="nil"/>
              <w:bottom w:val="single" w:sz="4" w:space="0" w:color="auto"/>
              <w:right w:val="single" w:sz="4" w:space="0" w:color="auto"/>
            </w:tcBorders>
            <w:shd w:val="clear" w:color="auto" w:fill="auto"/>
            <w:vAlign w:val="center"/>
          </w:tcPr>
          <w:p w14:paraId="0832A20E" w14:textId="77777777" w:rsidR="00A375F2" w:rsidRDefault="00000000">
            <w:pPr>
              <w:overflowPunct w:val="0"/>
              <w:jc w:val="right"/>
              <w:rPr>
                <w:color w:val="000000" w:themeColor="text1"/>
                <w:sz w:val="26"/>
                <w:szCs w:val="26"/>
              </w:rPr>
            </w:pPr>
            <w:r>
              <w:rPr>
                <w:rFonts w:hint="eastAsia"/>
                <w:color w:val="000000" w:themeColor="text1"/>
                <w:sz w:val="26"/>
                <w:szCs w:val="26"/>
              </w:rPr>
              <w:t>6,063</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197FB9F9" w14:textId="77777777" w:rsidR="00A375F2" w:rsidRDefault="00000000">
            <w:pPr>
              <w:overflowPunct w:val="0"/>
              <w:jc w:val="right"/>
              <w:rPr>
                <w:color w:val="000000" w:themeColor="text1"/>
                <w:sz w:val="26"/>
                <w:szCs w:val="26"/>
              </w:rPr>
            </w:pPr>
            <w:r>
              <w:rPr>
                <w:rFonts w:hint="eastAsia"/>
                <w:color w:val="000000" w:themeColor="text1"/>
                <w:sz w:val="26"/>
                <w:szCs w:val="26"/>
              </w:rPr>
              <w:t>6,004</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tcPr>
          <w:p w14:paraId="540E327D" w14:textId="77777777" w:rsidR="00A375F2" w:rsidRDefault="00000000">
            <w:pPr>
              <w:overflowPunct w:val="0"/>
              <w:jc w:val="right"/>
              <w:rPr>
                <w:color w:val="000000" w:themeColor="text1"/>
                <w:sz w:val="26"/>
                <w:szCs w:val="26"/>
              </w:rPr>
            </w:pPr>
            <w:r>
              <w:rPr>
                <w:rFonts w:hint="eastAsia"/>
                <w:color w:val="000000" w:themeColor="text1"/>
                <w:sz w:val="26"/>
                <w:szCs w:val="26"/>
              </w:rPr>
              <w:t>168,675,348</w:t>
            </w:r>
          </w:p>
        </w:tc>
      </w:tr>
      <w:tr w:rsidR="00A375F2" w14:paraId="6529B6DB" w14:textId="77777777">
        <w:trPr>
          <w:jc w:val="center"/>
        </w:trPr>
        <w:tc>
          <w:tcPr>
            <w:tcW w:w="624" w:type="pct"/>
            <w:shd w:val="clear" w:color="auto" w:fill="auto"/>
            <w:vAlign w:val="center"/>
          </w:tcPr>
          <w:p w14:paraId="6EB120ED" w14:textId="77777777" w:rsidR="00A375F2" w:rsidRDefault="00000000">
            <w:pPr>
              <w:pStyle w:val="3"/>
              <w:numPr>
                <w:ilvl w:val="0"/>
                <w:numId w:val="0"/>
              </w:numPr>
              <w:overflowPunct w:val="0"/>
              <w:jc w:val="center"/>
              <w:rPr>
                <w:rFonts w:hAnsi="標楷體"/>
                <w:color w:val="000000" w:themeColor="text1"/>
                <w:sz w:val="26"/>
                <w:szCs w:val="26"/>
              </w:rPr>
            </w:pPr>
            <w:r>
              <w:rPr>
                <w:rFonts w:hAnsi="標楷體" w:hint="eastAsia"/>
                <w:color w:val="000000" w:themeColor="text1"/>
                <w:sz w:val="26"/>
                <w:szCs w:val="26"/>
              </w:rPr>
              <w:t>嘉義縣</w:t>
            </w:r>
          </w:p>
        </w:tc>
        <w:tc>
          <w:tcPr>
            <w:tcW w:w="786" w:type="pct"/>
            <w:shd w:val="clear" w:color="auto" w:fill="auto"/>
            <w:vAlign w:val="center"/>
          </w:tcPr>
          <w:p w14:paraId="1C491ED5" w14:textId="77777777" w:rsidR="00A375F2" w:rsidRDefault="00000000">
            <w:pPr>
              <w:pStyle w:val="3"/>
              <w:numPr>
                <w:ilvl w:val="0"/>
                <w:numId w:val="0"/>
              </w:numPr>
              <w:overflowPunct w:val="0"/>
              <w:ind w:rightChars="109" w:right="371"/>
              <w:jc w:val="right"/>
              <w:rPr>
                <w:rFonts w:hAnsi="標楷體"/>
                <w:color w:val="000000" w:themeColor="text1"/>
                <w:sz w:val="26"/>
                <w:szCs w:val="26"/>
              </w:rPr>
            </w:pPr>
            <w:r>
              <w:rPr>
                <w:rFonts w:hAnsi="標楷體" w:hint="eastAsia"/>
                <w:color w:val="000000" w:themeColor="text1"/>
                <w:sz w:val="26"/>
                <w:szCs w:val="26"/>
              </w:rPr>
              <w:t>3</w:t>
            </w:r>
          </w:p>
        </w:tc>
        <w:tc>
          <w:tcPr>
            <w:tcW w:w="903" w:type="pct"/>
            <w:shd w:val="clear" w:color="auto" w:fill="auto"/>
            <w:vAlign w:val="center"/>
          </w:tcPr>
          <w:p w14:paraId="3C30993C" w14:textId="77777777" w:rsidR="00A375F2" w:rsidRDefault="00000000">
            <w:pPr>
              <w:overflowPunct w:val="0"/>
              <w:jc w:val="right"/>
              <w:rPr>
                <w:color w:val="000000" w:themeColor="text1"/>
                <w:sz w:val="26"/>
                <w:szCs w:val="26"/>
              </w:rPr>
            </w:pPr>
            <w:r>
              <w:rPr>
                <w:rFonts w:hint="eastAsia"/>
                <w:color w:val="000000" w:themeColor="text1"/>
                <w:sz w:val="26"/>
                <w:szCs w:val="26"/>
              </w:rPr>
              <w:t>1,769,046</w:t>
            </w:r>
          </w:p>
        </w:tc>
        <w:tc>
          <w:tcPr>
            <w:tcW w:w="789" w:type="pct"/>
            <w:tcBorders>
              <w:top w:val="single" w:sz="4" w:space="0" w:color="auto"/>
              <w:left w:val="nil"/>
              <w:bottom w:val="single" w:sz="4" w:space="0" w:color="auto"/>
              <w:right w:val="single" w:sz="4" w:space="0" w:color="auto"/>
            </w:tcBorders>
            <w:shd w:val="clear" w:color="auto" w:fill="auto"/>
            <w:vAlign w:val="center"/>
          </w:tcPr>
          <w:p w14:paraId="2F73740E" w14:textId="77777777" w:rsidR="00A375F2" w:rsidRDefault="00000000">
            <w:pPr>
              <w:overflowPunct w:val="0"/>
              <w:jc w:val="right"/>
              <w:rPr>
                <w:color w:val="000000" w:themeColor="text1"/>
                <w:sz w:val="26"/>
                <w:szCs w:val="26"/>
              </w:rPr>
            </w:pPr>
            <w:r>
              <w:rPr>
                <w:rFonts w:hint="eastAsia"/>
                <w:color w:val="000000" w:themeColor="text1"/>
                <w:sz w:val="26"/>
                <w:szCs w:val="26"/>
              </w:rPr>
              <w:t>2,021</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B380E15" w14:textId="77777777" w:rsidR="00A375F2" w:rsidRDefault="00000000">
            <w:pPr>
              <w:overflowPunct w:val="0"/>
              <w:jc w:val="right"/>
              <w:rPr>
                <w:color w:val="000000" w:themeColor="text1"/>
                <w:sz w:val="26"/>
                <w:szCs w:val="26"/>
              </w:rPr>
            </w:pPr>
            <w:r>
              <w:rPr>
                <w:rFonts w:hint="eastAsia"/>
                <w:color w:val="000000" w:themeColor="text1"/>
                <w:sz w:val="26"/>
                <w:szCs w:val="26"/>
              </w:rPr>
              <w:t>1,096</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tcPr>
          <w:p w14:paraId="30812308" w14:textId="77777777" w:rsidR="00A375F2" w:rsidRDefault="00000000">
            <w:pPr>
              <w:overflowPunct w:val="0"/>
              <w:jc w:val="right"/>
              <w:rPr>
                <w:color w:val="000000" w:themeColor="text1"/>
                <w:sz w:val="26"/>
                <w:szCs w:val="26"/>
              </w:rPr>
            </w:pPr>
            <w:r>
              <w:rPr>
                <w:rFonts w:hint="eastAsia"/>
                <w:color w:val="000000" w:themeColor="text1"/>
                <w:sz w:val="26"/>
                <w:szCs w:val="26"/>
              </w:rPr>
              <w:t>85,799,310</w:t>
            </w:r>
          </w:p>
        </w:tc>
      </w:tr>
      <w:tr w:rsidR="00A375F2" w14:paraId="11BCFE4E" w14:textId="77777777">
        <w:trPr>
          <w:jc w:val="center"/>
        </w:trPr>
        <w:tc>
          <w:tcPr>
            <w:tcW w:w="624" w:type="pct"/>
            <w:shd w:val="clear" w:color="auto" w:fill="auto"/>
            <w:vAlign w:val="center"/>
          </w:tcPr>
          <w:p w14:paraId="0C58DE4E" w14:textId="77777777" w:rsidR="00A375F2" w:rsidRDefault="00000000">
            <w:pPr>
              <w:pStyle w:val="3"/>
              <w:numPr>
                <w:ilvl w:val="0"/>
                <w:numId w:val="0"/>
              </w:numPr>
              <w:overflowPunct w:val="0"/>
              <w:jc w:val="center"/>
              <w:rPr>
                <w:rFonts w:hAnsi="標楷體"/>
                <w:color w:val="000000" w:themeColor="text1"/>
                <w:sz w:val="26"/>
                <w:szCs w:val="26"/>
              </w:rPr>
            </w:pPr>
            <w:r>
              <w:rPr>
                <w:rFonts w:hAnsi="標楷體" w:hint="eastAsia"/>
                <w:color w:val="000000" w:themeColor="text1"/>
                <w:sz w:val="26"/>
                <w:szCs w:val="26"/>
              </w:rPr>
              <w:t>高雄市</w:t>
            </w:r>
          </w:p>
        </w:tc>
        <w:tc>
          <w:tcPr>
            <w:tcW w:w="786" w:type="pct"/>
            <w:shd w:val="clear" w:color="auto" w:fill="auto"/>
            <w:vAlign w:val="center"/>
          </w:tcPr>
          <w:p w14:paraId="48551BA5" w14:textId="77777777" w:rsidR="00A375F2" w:rsidRDefault="00000000">
            <w:pPr>
              <w:pStyle w:val="3"/>
              <w:numPr>
                <w:ilvl w:val="0"/>
                <w:numId w:val="0"/>
              </w:numPr>
              <w:overflowPunct w:val="0"/>
              <w:ind w:rightChars="109" w:right="371"/>
              <w:jc w:val="right"/>
              <w:rPr>
                <w:rFonts w:hAnsi="標楷體"/>
                <w:color w:val="000000" w:themeColor="text1"/>
                <w:sz w:val="26"/>
                <w:szCs w:val="26"/>
              </w:rPr>
            </w:pPr>
            <w:r>
              <w:rPr>
                <w:rFonts w:hAnsi="標楷體" w:hint="eastAsia"/>
                <w:color w:val="000000" w:themeColor="text1"/>
                <w:sz w:val="26"/>
                <w:szCs w:val="26"/>
              </w:rPr>
              <w:t>8</w:t>
            </w:r>
          </w:p>
        </w:tc>
        <w:tc>
          <w:tcPr>
            <w:tcW w:w="903" w:type="pct"/>
            <w:shd w:val="clear" w:color="auto" w:fill="auto"/>
            <w:vAlign w:val="center"/>
          </w:tcPr>
          <w:p w14:paraId="04126375" w14:textId="77777777" w:rsidR="00A375F2" w:rsidRDefault="00000000">
            <w:pPr>
              <w:overflowPunct w:val="0"/>
              <w:jc w:val="right"/>
              <w:rPr>
                <w:color w:val="000000" w:themeColor="text1"/>
                <w:sz w:val="26"/>
                <w:szCs w:val="26"/>
              </w:rPr>
            </w:pPr>
            <w:r>
              <w:rPr>
                <w:rFonts w:hint="eastAsia"/>
                <w:color w:val="000000" w:themeColor="text1"/>
                <w:sz w:val="26"/>
                <w:szCs w:val="26"/>
              </w:rPr>
              <w:t>4,717,456</w:t>
            </w:r>
          </w:p>
        </w:tc>
        <w:tc>
          <w:tcPr>
            <w:tcW w:w="789" w:type="pct"/>
            <w:tcBorders>
              <w:top w:val="single" w:sz="4" w:space="0" w:color="auto"/>
              <w:left w:val="nil"/>
              <w:bottom w:val="single" w:sz="4" w:space="0" w:color="auto"/>
              <w:right w:val="single" w:sz="4" w:space="0" w:color="auto"/>
            </w:tcBorders>
            <w:shd w:val="clear" w:color="auto" w:fill="auto"/>
            <w:vAlign w:val="center"/>
          </w:tcPr>
          <w:p w14:paraId="507E432A" w14:textId="77777777" w:rsidR="00A375F2" w:rsidRDefault="00000000">
            <w:pPr>
              <w:overflowPunct w:val="0"/>
              <w:jc w:val="right"/>
              <w:rPr>
                <w:color w:val="000000" w:themeColor="text1"/>
                <w:sz w:val="26"/>
                <w:szCs w:val="26"/>
              </w:rPr>
            </w:pPr>
            <w:r>
              <w:rPr>
                <w:rFonts w:hint="eastAsia"/>
                <w:color w:val="000000" w:themeColor="text1"/>
                <w:sz w:val="26"/>
                <w:szCs w:val="26"/>
              </w:rPr>
              <w:t>7,204</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16E37CED" w14:textId="77777777" w:rsidR="00A375F2" w:rsidRDefault="00000000">
            <w:pPr>
              <w:overflowPunct w:val="0"/>
              <w:jc w:val="right"/>
              <w:rPr>
                <w:color w:val="000000" w:themeColor="text1"/>
                <w:sz w:val="26"/>
                <w:szCs w:val="26"/>
              </w:rPr>
            </w:pPr>
            <w:r>
              <w:rPr>
                <w:rFonts w:hint="eastAsia"/>
                <w:color w:val="000000" w:themeColor="text1"/>
                <w:sz w:val="26"/>
                <w:szCs w:val="26"/>
              </w:rPr>
              <w:t>2,667</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tcPr>
          <w:p w14:paraId="303C3B55" w14:textId="77777777" w:rsidR="00A375F2" w:rsidRDefault="00000000">
            <w:pPr>
              <w:overflowPunct w:val="0"/>
              <w:jc w:val="right"/>
              <w:rPr>
                <w:color w:val="000000" w:themeColor="text1"/>
                <w:sz w:val="26"/>
                <w:szCs w:val="26"/>
              </w:rPr>
            </w:pPr>
            <w:r>
              <w:rPr>
                <w:rFonts w:hint="eastAsia"/>
                <w:color w:val="000000" w:themeColor="text1"/>
                <w:sz w:val="26"/>
                <w:szCs w:val="26"/>
              </w:rPr>
              <w:t>171,229,083</w:t>
            </w:r>
          </w:p>
        </w:tc>
      </w:tr>
      <w:tr w:rsidR="00A375F2" w14:paraId="70286DFB" w14:textId="77777777">
        <w:trPr>
          <w:jc w:val="center"/>
        </w:trPr>
        <w:tc>
          <w:tcPr>
            <w:tcW w:w="624" w:type="pct"/>
            <w:shd w:val="clear" w:color="auto" w:fill="auto"/>
            <w:vAlign w:val="center"/>
          </w:tcPr>
          <w:p w14:paraId="1A74A252" w14:textId="77777777" w:rsidR="00A375F2" w:rsidRDefault="00000000">
            <w:pPr>
              <w:pStyle w:val="3"/>
              <w:numPr>
                <w:ilvl w:val="0"/>
                <w:numId w:val="0"/>
              </w:numPr>
              <w:overflowPunct w:val="0"/>
              <w:jc w:val="center"/>
              <w:rPr>
                <w:rFonts w:hAnsi="標楷體"/>
                <w:color w:val="000000" w:themeColor="text1"/>
                <w:sz w:val="26"/>
                <w:szCs w:val="26"/>
              </w:rPr>
            </w:pPr>
            <w:r>
              <w:rPr>
                <w:rFonts w:hAnsi="標楷體" w:hint="eastAsia"/>
                <w:color w:val="000000" w:themeColor="text1"/>
                <w:sz w:val="26"/>
                <w:szCs w:val="26"/>
              </w:rPr>
              <w:t>屏東縣</w:t>
            </w:r>
          </w:p>
        </w:tc>
        <w:tc>
          <w:tcPr>
            <w:tcW w:w="786" w:type="pct"/>
            <w:shd w:val="clear" w:color="auto" w:fill="auto"/>
            <w:vAlign w:val="center"/>
          </w:tcPr>
          <w:p w14:paraId="0783EF2C" w14:textId="77777777" w:rsidR="00A375F2" w:rsidRDefault="00000000">
            <w:pPr>
              <w:pStyle w:val="3"/>
              <w:numPr>
                <w:ilvl w:val="0"/>
                <w:numId w:val="0"/>
              </w:numPr>
              <w:overflowPunct w:val="0"/>
              <w:ind w:rightChars="109" w:right="371"/>
              <w:jc w:val="right"/>
              <w:rPr>
                <w:rFonts w:hAnsi="標楷體"/>
                <w:color w:val="000000" w:themeColor="text1"/>
                <w:sz w:val="26"/>
                <w:szCs w:val="26"/>
              </w:rPr>
            </w:pPr>
            <w:r>
              <w:rPr>
                <w:rFonts w:hAnsi="標楷體" w:hint="eastAsia"/>
                <w:color w:val="000000" w:themeColor="text1"/>
                <w:sz w:val="26"/>
                <w:szCs w:val="26"/>
              </w:rPr>
              <w:t>3</w:t>
            </w:r>
            <w:r>
              <w:rPr>
                <w:rFonts w:hAnsi="標楷體"/>
                <w:color w:val="000000" w:themeColor="text1"/>
                <w:sz w:val="26"/>
                <w:szCs w:val="26"/>
              </w:rPr>
              <w:t>7</w:t>
            </w:r>
          </w:p>
        </w:tc>
        <w:tc>
          <w:tcPr>
            <w:tcW w:w="903" w:type="pct"/>
            <w:shd w:val="clear" w:color="auto" w:fill="auto"/>
            <w:vAlign w:val="center"/>
          </w:tcPr>
          <w:p w14:paraId="6B7B141E" w14:textId="77777777" w:rsidR="00A375F2" w:rsidRDefault="00000000">
            <w:pPr>
              <w:overflowPunct w:val="0"/>
              <w:jc w:val="right"/>
              <w:rPr>
                <w:color w:val="000000" w:themeColor="text1"/>
                <w:sz w:val="26"/>
                <w:szCs w:val="26"/>
              </w:rPr>
            </w:pPr>
            <w:r>
              <w:rPr>
                <w:rFonts w:hint="eastAsia"/>
                <w:color w:val="000000" w:themeColor="text1"/>
                <w:sz w:val="26"/>
                <w:szCs w:val="26"/>
              </w:rPr>
              <w:t>21,818,234</w:t>
            </w:r>
          </w:p>
        </w:tc>
        <w:tc>
          <w:tcPr>
            <w:tcW w:w="789" w:type="pct"/>
            <w:tcBorders>
              <w:top w:val="single" w:sz="4" w:space="0" w:color="auto"/>
              <w:left w:val="nil"/>
              <w:bottom w:val="single" w:sz="4" w:space="0" w:color="auto"/>
              <w:right w:val="single" w:sz="4" w:space="0" w:color="auto"/>
            </w:tcBorders>
            <w:shd w:val="clear" w:color="auto" w:fill="auto"/>
            <w:vAlign w:val="center"/>
          </w:tcPr>
          <w:p w14:paraId="6BBFB862" w14:textId="77777777" w:rsidR="00A375F2" w:rsidRDefault="00000000">
            <w:pPr>
              <w:overflowPunct w:val="0"/>
              <w:jc w:val="right"/>
              <w:rPr>
                <w:color w:val="000000" w:themeColor="text1"/>
                <w:sz w:val="26"/>
                <w:szCs w:val="26"/>
              </w:rPr>
            </w:pPr>
            <w:r>
              <w:rPr>
                <w:rFonts w:hint="eastAsia"/>
                <w:color w:val="000000" w:themeColor="text1"/>
                <w:sz w:val="26"/>
                <w:szCs w:val="26"/>
              </w:rPr>
              <w:t>33,940</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3511809D" w14:textId="77777777" w:rsidR="00A375F2" w:rsidRDefault="00000000">
            <w:pPr>
              <w:overflowPunct w:val="0"/>
              <w:jc w:val="right"/>
              <w:rPr>
                <w:color w:val="000000" w:themeColor="text1"/>
                <w:sz w:val="26"/>
                <w:szCs w:val="26"/>
              </w:rPr>
            </w:pPr>
            <w:r>
              <w:rPr>
                <w:rFonts w:hint="eastAsia"/>
                <w:color w:val="000000" w:themeColor="text1"/>
                <w:sz w:val="26"/>
                <w:szCs w:val="26"/>
              </w:rPr>
              <w:t>20,018</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tcPr>
          <w:p w14:paraId="7B7FC7FF" w14:textId="77777777" w:rsidR="00A375F2" w:rsidRDefault="00000000">
            <w:pPr>
              <w:overflowPunct w:val="0"/>
              <w:jc w:val="right"/>
              <w:rPr>
                <w:color w:val="000000" w:themeColor="text1"/>
                <w:sz w:val="26"/>
                <w:szCs w:val="26"/>
              </w:rPr>
            </w:pPr>
            <w:r>
              <w:rPr>
                <w:rFonts w:hint="eastAsia"/>
                <w:color w:val="000000" w:themeColor="text1"/>
                <w:sz w:val="26"/>
                <w:szCs w:val="26"/>
              </w:rPr>
              <w:t>894,392,172</w:t>
            </w:r>
          </w:p>
        </w:tc>
      </w:tr>
      <w:tr w:rsidR="00A375F2" w14:paraId="7329EFA2" w14:textId="77777777">
        <w:trPr>
          <w:jc w:val="center"/>
        </w:trPr>
        <w:tc>
          <w:tcPr>
            <w:tcW w:w="624" w:type="pct"/>
            <w:shd w:val="clear" w:color="auto" w:fill="auto"/>
            <w:vAlign w:val="center"/>
          </w:tcPr>
          <w:p w14:paraId="5A102932" w14:textId="77777777" w:rsidR="00A375F2" w:rsidRDefault="00000000">
            <w:pPr>
              <w:pStyle w:val="3"/>
              <w:numPr>
                <w:ilvl w:val="0"/>
                <w:numId w:val="0"/>
              </w:numPr>
              <w:overflowPunct w:val="0"/>
              <w:jc w:val="center"/>
              <w:rPr>
                <w:rFonts w:hAnsi="標楷體"/>
                <w:color w:val="000000" w:themeColor="text1"/>
                <w:sz w:val="26"/>
                <w:szCs w:val="26"/>
              </w:rPr>
            </w:pPr>
            <w:r>
              <w:rPr>
                <w:rFonts w:hAnsi="標楷體" w:hint="eastAsia"/>
                <w:color w:val="000000" w:themeColor="text1"/>
                <w:sz w:val="26"/>
                <w:szCs w:val="26"/>
              </w:rPr>
              <w:t>臺東縣</w:t>
            </w:r>
          </w:p>
        </w:tc>
        <w:tc>
          <w:tcPr>
            <w:tcW w:w="786" w:type="pct"/>
            <w:shd w:val="clear" w:color="auto" w:fill="auto"/>
            <w:vAlign w:val="center"/>
          </w:tcPr>
          <w:p w14:paraId="39095C79" w14:textId="77777777" w:rsidR="00A375F2" w:rsidRDefault="00000000">
            <w:pPr>
              <w:pStyle w:val="3"/>
              <w:numPr>
                <w:ilvl w:val="0"/>
                <w:numId w:val="0"/>
              </w:numPr>
              <w:overflowPunct w:val="0"/>
              <w:ind w:rightChars="109" w:right="371"/>
              <w:jc w:val="right"/>
              <w:rPr>
                <w:rFonts w:hAnsi="標楷體"/>
                <w:color w:val="000000" w:themeColor="text1"/>
                <w:sz w:val="26"/>
                <w:szCs w:val="26"/>
              </w:rPr>
            </w:pPr>
            <w:r>
              <w:rPr>
                <w:rFonts w:hAnsi="標楷體" w:hint="eastAsia"/>
                <w:color w:val="000000" w:themeColor="text1"/>
                <w:sz w:val="26"/>
                <w:szCs w:val="26"/>
              </w:rPr>
              <w:t>1</w:t>
            </w:r>
            <w:r>
              <w:rPr>
                <w:rFonts w:hAnsi="標楷體"/>
                <w:color w:val="000000" w:themeColor="text1"/>
                <w:sz w:val="26"/>
                <w:szCs w:val="26"/>
              </w:rPr>
              <w:t>3</w:t>
            </w:r>
          </w:p>
        </w:tc>
        <w:tc>
          <w:tcPr>
            <w:tcW w:w="903" w:type="pct"/>
            <w:shd w:val="clear" w:color="auto" w:fill="auto"/>
            <w:vAlign w:val="center"/>
          </w:tcPr>
          <w:p w14:paraId="372D6AB8" w14:textId="77777777" w:rsidR="00A375F2" w:rsidRDefault="00000000">
            <w:pPr>
              <w:overflowPunct w:val="0"/>
              <w:jc w:val="right"/>
              <w:rPr>
                <w:color w:val="000000" w:themeColor="text1"/>
                <w:sz w:val="26"/>
                <w:szCs w:val="26"/>
              </w:rPr>
            </w:pPr>
            <w:r>
              <w:rPr>
                <w:rFonts w:hint="eastAsia"/>
                <w:color w:val="000000" w:themeColor="text1"/>
                <w:sz w:val="26"/>
                <w:szCs w:val="26"/>
              </w:rPr>
              <w:t>7,665,866</w:t>
            </w:r>
          </w:p>
        </w:tc>
        <w:tc>
          <w:tcPr>
            <w:tcW w:w="789" w:type="pct"/>
            <w:tcBorders>
              <w:top w:val="single" w:sz="4" w:space="0" w:color="auto"/>
              <w:left w:val="nil"/>
              <w:bottom w:val="single" w:sz="4" w:space="0" w:color="auto"/>
              <w:right w:val="single" w:sz="4" w:space="0" w:color="auto"/>
            </w:tcBorders>
            <w:shd w:val="clear" w:color="auto" w:fill="auto"/>
            <w:vAlign w:val="center"/>
          </w:tcPr>
          <w:p w14:paraId="6463E9BC" w14:textId="77777777" w:rsidR="00A375F2" w:rsidRDefault="00000000">
            <w:pPr>
              <w:overflowPunct w:val="0"/>
              <w:jc w:val="right"/>
              <w:rPr>
                <w:color w:val="000000" w:themeColor="text1"/>
                <w:sz w:val="26"/>
                <w:szCs w:val="26"/>
              </w:rPr>
            </w:pPr>
            <w:r>
              <w:rPr>
                <w:rFonts w:hint="eastAsia"/>
                <w:color w:val="000000" w:themeColor="text1"/>
                <w:sz w:val="26"/>
                <w:szCs w:val="26"/>
              </w:rPr>
              <w:t>8,712</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680AC9C8" w14:textId="77777777" w:rsidR="00A375F2" w:rsidRDefault="00000000">
            <w:pPr>
              <w:overflowPunct w:val="0"/>
              <w:jc w:val="right"/>
              <w:rPr>
                <w:color w:val="000000" w:themeColor="text1"/>
                <w:sz w:val="26"/>
                <w:szCs w:val="26"/>
              </w:rPr>
            </w:pPr>
            <w:r>
              <w:rPr>
                <w:rFonts w:hint="eastAsia"/>
                <w:color w:val="000000" w:themeColor="text1"/>
                <w:sz w:val="26"/>
                <w:szCs w:val="26"/>
              </w:rPr>
              <w:t>5,071</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tcPr>
          <w:p w14:paraId="00EBDA7F" w14:textId="77777777" w:rsidR="00A375F2" w:rsidRDefault="00000000">
            <w:pPr>
              <w:overflowPunct w:val="0"/>
              <w:jc w:val="right"/>
              <w:rPr>
                <w:color w:val="000000" w:themeColor="text1"/>
                <w:sz w:val="26"/>
                <w:szCs w:val="26"/>
              </w:rPr>
            </w:pPr>
            <w:r>
              <w:rPr>
                <w:rFonts w:hint="eastAsia"/>
                <w:color w:val="000000" w:themeColor="text1"/>
                <w:sz w:val="26"/>
                <w:szCs w:val="26"/>
              </w:rPr>
              <w:t>285,411,702</w:t>
            </w:r>
          </w:p>
        </w:tc>
      </w:tr>
      <w:tr w:rsidR="00A375F2" w14:paraId="70C5DDB4" w14:textId="77777777">
        <w:trPr>
          <w:jc w:val="center"/>
        </w:trPr>
        <w:tc>
          <w:tcPr>
            <w:tcW w:w="624" w:type="pct"/>
            <w:shd w:val="clear" w:color="auto" w:fill="auto"/>
            <w:vAlign w:val="center"/>
          </w:tcPr>
          <w:p w14:paraId="2ADB0E38" w14:textId="77777777" w:rsidR="00A375F2" w:rsidRDefault="00000000">
            <w:pPr>
              <w:pStyle w:val="3"/>
              <w:numPr>
                <w:ilvl w:val="0"/>
                <w:numId w:val="0"/>
              </w:numPr>
              <w:overflowPunct w:val="0"/>
              <w:jc w:val="center"/>
              <w:rPr>
                <w:rFonts w:hAnsi="標楷體"/>
                <w:color w:val="000000" w:themeColor="text1"/>
                <w:sz w:val="26"/>
                <w:szCs w:val="26"/>
              </w:rPr>
            </w:pPr>
            <w:r>
              <w:rPr>
                <w:rFonts w:hAnsi="標楷體" w:hint="eastAsia"/>
                <w:color w:val="000000" w:themeColor="text1"/>
                <w:sz w:val="26"/>
                <w:szCs w:val="26"/>
              </w:rPr>
              <w:t>花蓮縣</w:t>
            </w:r>
          </w:p>
        </w:tc>
        <w:tc>
          <w:tcPr>
            <w:tcW w:w="786" w:type="pct"/>
            <w:shd w:val="clear" w:color="auto" w:fill="auto"/>
            <w:vAlign w:val="center"/>
          </w:tcPr>
          <w:p w14:paraId="30BD3CCE" w14:textId="77777777" w:rsidR="00A375F2" w:rsidRDefault="00000000">
            <w:pPr>
              <w:pStyle w:val="3"/>
              <w:numPr>
                <w:ilvl w:val="0"/>
                <w:numId w:val="0"/>
              </w:numPr>
              <w:overflowPunct w:val="0"/>
              <w:ind w:rightChars="109" w:right="371"/>
              <w:jc w:val="right"/>
              <w:rPr>
                <w:rFonts w:hAnsi="標楷體"/>
                <w:color w:val="000000" w:themeColor="text1"/>
                <w:sz w:val="26"/>
                <w:szCs w:val="26"/>
              </w:rPr>
            </w:pPr>
            <w:r>
              <w:rPr>
                <w:rFonts w:hAnsi="標楷體" w:hint="eastAsia"/>
                <w:color w:val="000000" w:themeColor="text1"/>
                <w:sz w:val="26"/>
                <w:szCs w:val="26"/>
              </w:rPr>
              <w:t>9</w:t>
            </w:r>
          </w:p>
        </w:tc>
        <w:tc>
          <w:tcPr>
            <w:tcW w:w="903" w:type="pct"/>
            <w:shd w:val="clear" w:color="auto" w:fill="auto"/>
            <w:vAlign w:val="center"/>
          </w:tcPr>
          <w:p w14:paraId="66D28918" w14:textId="77777777" w:rsidR="00A375F2" w:rsidRDefault="00000000">
            <w:pPr>
              <w:overflowPunct w:val="0"/>
              <w:jc w:val="right"/>
              <w:rPr>
                <w:color w:val="000000" w:themeColor="text1"/>
                <w:sz w:val="26"/>
                <w:szCs w:val="26"/>
              </w:rPr>
            </w:pPr>
            <w:r>
              <w:rPr>
                <w:rFonts w:hint="eastAsia"/>
                <w:color w:val="000000" w:themeColor="text1"/>
                <w:sz w:val="26"/>
                <w:szCs w:val="26"/>
              </w:rPr>
              <w:t>5,307,138</w:t>
            </w:r>
          </w:p>
        </w:tc>
        <w:tc>
          <w:tcPr>
            <w:tcW w:w="789" w:type="pct"/>
            <w:tcBorders>
              <w:top w:val="single" w:sz="4" w:space="0" w:color="auto"/>
              <w:left w:val="nil"/>
              <w:bottom w:val="single" w:sz="4" w:space="0" w:color="auto"/>
              <w:right w:val="single" w:sz="4" w:space="0" w:color="auto"/>
            </w:tcBorders>
            <w:shd w:val="clear" w:color="auto" w:fill="auto"/>
            <w:vAlign w:val="center"/>
          </w:tcPr>
          <w:p w14:paraId="35E24AE4" w14:textId="77777777" w:rsidR="00A375F2" w:rsidRDefault="00000000">
            <w:pPr>
              <w:overflowPunct w:val="0"/>
              <w:jc w:val="right"/>
              <w:rPr>
                <w:color w:val="000000" w:themeColor="text1"/>
                <w:sz w:val="26"/>
                <w:szCs w:val="26"/>
              </w:rPr>
            </w:pPr>
            <w:r>
              <w:rPr>
                <w:rFonts w:hint="eastAsia"/>
                <w:color w:val="000000" w:themeColor="text1"/>
                <w:sz w:val="26"/>
                <w:szCs w:val="26"/>
              </w:rPr>
              <w:t>8,014</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455FD941" w14:textId="77777777" w:rsidR="00A375F2" w:rsidRDefault="00000000">
            <w:pPr>
              <w:overflowPunct w:val="0"/>
              <w:jc w:val="right"/>
              <w:rPr>
                <w:color w:val="000000" w:themeColor="text1"/>
                <w:sz w:val="26"/>
                <w:szCs w:val="26"/>
              </w:rPr>
            </w:pPr>
            <w:r>
              <w:rPr>
                <w:rFonts w:hint="eastAsia"/>
                <w:color w:val="000000" w:themeColor="text1"/>
                <w:sz w:val="26"/>
                <w:szCs w:val="26"/>
              </w:rPr>
              <w:t>4,958</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tcPr>
          <w:p w14:paraId="091E76F2" w14:textId="77777777" w:rsidR="00A375F2" w:rsidRDefault="00000000">
            <w:pPr>
              <w:overflowPunct w:val="0"/>
              <w:jc w:val="right"/>
              <w:rPr>
                <w:color w:val="000000" w:themeColor="text1"/>
                <w:sz w:val="26"/>
                <w:szCs w:val="26"/>
              </w:rPr>
            </w:pPr>
            <w:r>
              <w:rPr>
                <w:rFonts w:hint="eastAsia"/>
                <w:color w:val="000000" w:themeColor="text1"/>
                <w:sz w:val="26"/>
                <w:szCs w:val="26"/>
              </w:rPr>
              <w:t>182,788,101</w:t>
            </w:r>
          </w:p>
        </w:tc>
      </w:tr>
      <w:tr w:rsidR="00A375F2" w14:paraId="37D79F5A" w14:textId="77777777">
        <w:trPr>
          <w:jc w:val="center"/>
        </w:trPr>
        <w:tc>
          <w:tcPr>
            <w:tcW w:w="624" w:type="pct"/>
            <w:tcBorders>
              <w:bottom w:val="single" w:sz="4" w:space="0" w:color="auto"/>
            </w:tcBorders>
            <w:shd w:val="clear" w:color="auto" w:fill="auto"/>
            <w:vAlign w:val="center"/>
          </w:tcPr>
          <w:p w14:paraId="71D740A4" w14:textId="77777777" w:rsidR="00A375F2" w:rsidRDefault="00000000">
            <w:pPr>
              <w:pStyle w:val="3"/>
              <w:numPr>
                <w:ilvl w:val="0"/>
                <w:numId w:val="0"/>
              </w:numPr>
              <w:overflowPunct w:val="0"/>
              <w:jc w:val="center"/>
              <w:rPr>
                <w:rFonts w:hAnsi="標楷體"/>
                <w:color w:val="000000" w:themeColor="text1"/>
                <w:sz w:val="26"/>
                <w:szCs w:val="26"/>
              </w:rPr>
            </w:pPr>
            <w:r>
              <w:rPr>
                <w:rFonts w:hAnsi="標楷體" w:hint="eastAsia"/>
                <w:color w:val="000000" w:themeColor="text1"/>
                <w:sz w:val="26"/>
                <w:szCs w:val="26"/>
              </w:rPr>
              <w:t>新北市</w:t>
            </w:r>
          </w:p>
        </w:tc>
        <w:tc>
          <w:tcPr>
            <w:tcW w:w="786" w:type="pct"/>
            <w:tcBorders>
              <w:bottom w:val="single" w:sz="4" w:space="0" w:color="auto"/>
            </w:tcBorders>
            <w:shd w:val="clear" w:color="auto" w:fill="auto"/>
            <w:vAlign w:val="center"/>
          </w:tcPr>
          <w:p w14:paraId="69D7D653" w14:textId="77777777" w:rsidR="00A375F2" w:rsidRDefault="00000000">
            <w:pPr>
              <w:pStyle w:val="3"/>
              <w:numPr>
                <w:ilvl w:val="0"/>
                <w:numId w:val="0"/>
              </w:numPr>
              <w:overflowPunct w:val="0"/>
              <w:ind w:rightChars="109" w:right="371"/>
              <w:jc w:val="right"/>
              <w:rPr>
                <w:rFonts w:hAnsi="標楷體"/>
                <w:color w:val="000000" w:themeColor="text1"/>
                <w:sz w:val="26"/>
                <w:szCs w:val="26"/>
              </w:rPr>
            </w:pPr>
            <w:r>
              <w:rPr>
                <w:rFonts w:hAnsi="標楷體" w:hint="eastAsia"/>
                <w:color w:val="000000" w:themeColor="text1"/>
                <w:sz w:val="26"/>
                <w:szCs w:val="26"/>
              </w:rPr>
              <w:t>2</w:t>
            </w:r>
          </w:p>
        </w:tc>
        <w:tc>
          <w:tcPr>
            <w:tcW w:w="903" w:type="pct"/>
            <w:tcBorders>
              <w:bottom w:val="single" w:sz="4" w:space="0" w:color="auto"/>
            </w:tcBorders>
            <w:shd w:val="clear" w:color="auto" w:fill="auto"/>
            <w:vAlign w:val="center"/>
          </w:tcPr>
          <w:p w14:paraId="18462D02" w14:textId="77777777" w:rsidR="00A375F2" w:rsidRDefault="00000000">
            <w:pPr>
              <w:overflowPunct w:val="0"/>
              <w:jc w:val="right"/>
              <w:rPr>
                <w:color w:val="000000" w:themeColor="text1"/>
                <w:sz w:val="26"/>
                <w:szCs w:val="26"/>
              </w:rPr>
            </w:pPr>
            <w:r>
              <w:rPr>
                <w:rFonts w:hint="eastAsia"/>
                <w:color w:val="000000" w:themeColor="text1"/>
                <w:sz w:val="26"/>
                <w:szCs w:val="26"/>
              </w:rPr>
              <w:t>1,179,364</w:t>
            </w:r>
          </w:p>
        </w:tc>
        <w:tc>
          <w:tcPr>
            <w:tcW w:w="789" w:type="pct"/>
            <w:tcBorders>
              <w:top w:val="single" w:sz="4" w:space="0" w:color="auto"/>
              <w:left w:val="nil"/>
              <w:bottom w:val="single" w:sz="4" w:space="0" w:color="auto"/>
              <w:right w:val="single" w:sz="4" w:space="0" w:color="auto"/>
            </w:tcBorders>
            <w:shd w:val="clear" w:color="auto" w:fill="auto"/>
            <w:vAlign w:val="center"/>
          </w:tcPr>
          <w:p w14:paraId="57396D0F" w14:textId="77777777" w:rsidR="00A375F2" w:rsidRDefault="00000000">
            <w:pPr>
              <w:overflowPunct w:val="0"/>
              <w:jc w:val="right"/>
              <w:rPr>
                <w:color w:val="000000" w:themeColor="text1"/>
                <w:sz w:val="26"/>
                <w:szCs w:val="26"/>
              </w:rPr>
            </w:pPr>
            <w:r>
              <w:rPr>
                <w:rFonts w:hint="eastAsia"/>
                <w:color w:val="000000" w:themeColor="text1"/>
                <w:sz w:val="26"/>
                <w:szCs w:val="26"/>
              </w:rPr>
              <w:t>1,705</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5119AF4A" w14:textId="77777777" w:rsidR="00A375F2" w:rsidRDefault="00000000">
            <w:pPr>
              <w:overflowPunct w:val="0"/>
              <w:jc w:val="right"/>
              <w:rPr>
                <w:color w:val="000000" w:themeColor="text1"/>
                <w:sz w:val="26"/>
                <w:szCs w:val="26"/>
              </w:rPr>
            </w:pPr>
            <w:r>
              <w:rPr>
                <w:rFonts w:hint="eastAsia"/>
                <w:color w:val="000000" w:themeColor="text1"/>
                <w:sz w:val="26"/>
                <w:szCs w:val="26"/>
              </w:rPr>
              <w:t>403</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tcPr>
          <w:p w14:paraId="616697BA" w14:textId="77777777" w:rsidR="00A375F2" w:rsidRDefault="00000000">
            <w:pPr>
              <w:overflowPunct w:val="0"/>
              <w:jc w:val="right"/>
              <w:rPr>
                <w:color w:val="000000" w:themeColor="text1"/>
                <w:sz w:val="26"/>
                <w:szCs w:val="26"/>
              </w:rPr>
            </w:pPr>
            <w:r>
              <w:rPr>
                <w:rFonts w:hint="eastAsia"/>
                <w:color w:val="000000" w:themeColor="text1"/>
                <w:sz w:val="26"/>
                <w:szCs w:val="26"/>
              </w:rPr>
              <w:t>19,355,457</w:t>
            </w:r>
          </w:p>
        </w:tc>
      </w:tr>
      <w:tr w:rsidR="00A375F2" w14:paraId="084D5C3B" w14:textId="77777777">
        <w:trPr>
          <w:jc w:val="center"/>
        </w:trPr>
        <w:tc>
          <w:tcPr>
            <w:tcW w:w="624" w:type="pct"/>
            <w:shd w:val="clear" w:color="auto" w:fill="FFFFFF" w:themeFill="background1"/>
            <w:vAlign w:val="center"/>
          </w:tcPr>
          <w:p w14:paraId="6608FEEF" w14:textId="77777777" w:rsidR="00A375F2" w:rsidRDefault="00000000">
            <w:pPr>
              <w:pStyle w:val="3"/>
              <w:numPr>
                <w:ilvl w:val="0"/>
                <w:numId w:val="0"/>
              </w:numPr>
              <w:overflowPunct w:val="0"/>
              <w:jc w:val="center"/>
              <w:rPr>
                <w:rFonts w:hAnsi="標楷體"/>
                <w:color w:val="000000" w:themeColor="text1"/>
                <w:sz w:val="26"/>
                <w:szCs w:val="26"/>
              </w:rPr>
            </w:pPr>
            <w:r>
              <w:rPr>
                <w:rFonts w:hAnsi="標楷體" w:hint="eastAsia"/>
                <w:color w:val="000000" w:themeColor="text1"/>
                <w:sz w:val="26"/>
                <w:szCs w:val="26"/>
              </w:rPr>
              <w:t>總計</w:t>
            </w:r>
          </w:p>
        </w:tc>
        <w:tc>
          <w:tcPr>
            <w:tcW w:w="786" w:type="pct"/>
            <w:shd w:val="clear" w:color="auto" w:fill="FFFFFF" w:themeFill="background1"/>
            <w:vAlign w:val="center"/>
          </w:tcPr>
          <w:p w14:paraId="0228FC5B" w14:textId="77777777" w:rsidR="00A375F2" w:rsidRDefault="00000000">
            <w:pPr>
              <w:pStyle w:val="3"/>
              <w:numPr>
                <w:ilvl w:val="0"/>
                <w:numId w:val="0"/>
              </w:numPr>
              <w:overflowPunct w:val="0"/>
              <w:ind w:rightChars="109" w:right="371"/>
              <w:jc w:val="right"/>
              <w:rPr>
                <w:rFonts w:hAnsi="標楷體"/>
                <w:color w:val="000000" w:themeColor="text1"/>
                <w:sz w:val="26"/>
                <w:szCs w:val="26"/>
              </w:rPr>
            </w:pPr>
            <w:r>
              <w:rPr>
                <w:rFonts w:hAnsi="標楷體" w:hint="eastAsia"/>
                <w:color w:val="000000" w:themeColor="text1"/>
                <w:sz w:val="26"/>
                <w:szCs w:val="26"/>
              </w:rPr>
              <w:t>1</w:t>
            </w:r>
            <w:r>
              <w:rPr>
                <w:rFonts w:hAnsi="標楷體"/>
                <w:color w:val="000000" w:themeColor="text1"/>
                <w:sz w:val="26"/>
                <w:szCs w:val="26"/>
              </w:rPr>
              <w:t>06</w:t>
            </w:r>
          </w:p>
        </w:tc>
        <w:tc>
          <w:tcPr>
            <w:tcW w:w="903" w:type="pct"/>
            <w:shd w:val="clear" w:color="auto" w:fill="FFFFFF" w:themeFill="background1"/>
            <w:vAlign w:val="center"/>
          </w:tcPr>
          <w:p w14:paraId="7965E740" w14:textId="77777777" w:rsidR="00A375F2" w:rsidRDefault="00000000">
            <w:pPr>
              <w:overflowPunct w:val="0"/>
              <w:jc w:val="right"/>
              <w:rPr>
                <w:color w:val="000000" w:themeColor="text1"/>
                <w:sz w:val="26"/>
                <w:szCs w:val="26"/>
              </w:rPr>
            </w:pPr>
            <w:r>
              <w:rPr>
                <w:rFonts w:hint="eastAsia"/>
                <w:color w:val="000000" w:themeColor="text1"/>
                <w:sz w:val="26"/>
                <w:szCs w:val="26"/>
              </w:rPr>
              <w:t>62,506,292</w:t>
            </w:r>
          </w:p>
        </w:tc>
        <w:tc>
          <w:tcPr>
            <w:tcW w:w="789" w:type="pct"/>
            <w:tcBorders>
              <w:top w:val="single" w:sz="4" w:space="0" w:color="auto"/>
              <w:left w:val="nil"/>
              <w:bottom w:val="single" w:sz="4" w:space="0" w:color="auto"/>
              <w:right w:val="single" w:sz="4" w:space="0" w:color="auto"/>
            </w:tcBorders>
            <w:shd w:val="clear" w:color="auto" w:fill="FFFFFF" w:themeFill="background1"/>
            <w:vAlign w:val="center"/>
          </w:tcPr>
          <w:p w14:paraId="55658B4C" w14:textId="77777777" w:rsidR="00A375F2" w:rsidRDefault="00000000">
            <w:pPr>
              <w:overflowPunct w:val="0"/>
              <w:jc w:val="right"/>
              <w:rPr>
                <w:color w:val="000000" w:themeColor="text1"/>
                <w:sz w:val="26"/>
                <w:szCs w:val="26"/>
              </w:rPr>
            </w:pPr>
            <w:r>
              <w:rPr>
                <w:rFonts w:hint="eastAsia"/>
                <w:color w:val="000000" w:themeColor="text1"/>
                <w:sz w:val="26"/>
                <w:szCs w:val="26"/>
              </w:rPr>
              <w:t>97,947</w:t>
            </w:r>
          </w:p>
        </w:tc>
        <w:tc>
          <w:tcPr>
            <w:tcW w:w="7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DB58E" w14:textId="77777777" w:rsidR="00A375F2" w:rsidRDefault="00000000">
            <w:pPr>
              <w:overflowPunct w:val="0"/>
              <w:jc w:val="right"/>
              <w:rPr>
                <w:color w:val="000000" w:themeColor="text1"/>
                <w:sz w:val="26"/>
                <w:szCs w:val="26"/>
              </w:rPr>
            </w:pPr>
            <w:r>
              <w:rPr>
                <w:rFonts w:hint="eastAsia"/>
                <w:color w:val="000000" w:themeColor="text1"/>
                <w:sz w:val="26"/>
                <w:szCs w:val="26"/>
              </w:rPr>
              <w:t>51,043</w:t>
            </w:r>
          </w:p>
        </w:tc>
        <w:tc>
          <w:tcPr>
            <w:tcW w:w="11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AE559" w14:textId="77777777" w:rsidR="00A375F2" w:rsidRDefault="00000000">
            <w:pPr>
              <w:overflowPunct w:val="0"/>
              <w:jc w:val="right"/>
              <w:rPr>
                <w:color w:val="000000" w:themeColor="text1"/>
                <w:sz w:val="26"/>
                <w:szCs w:val="26"/>
              </w:rPr>
            </w:pPr>
            <w:r>
              <w:rPr>
                <w:rFonts w:hint="eastAsia"/>
                <w:color w:val="000000" w:themeColor="text1"/>
                <w:sz w:val="26"/>
                <w:szCs w:val="26"/>
              </w:rPr>
              <w:t>2,340,369,120</w:t>
            </w:r>
          </w:p>
        </w:tc>
      </w:tr>
    </w:tbl>
    <w:p w14:paraId="1AD7EF32" w14:textId="77777777" w:rsidR="00A375F2" w:rsidRDefault="00000000">
      <w:pPr>
        <w:pStyle w:val="3"/>
        <w:numPr>
          <w:ilvl w:val="0"/>
          <w:numId w:val="0"/>
        </w:numPr>
        <w:overflowPunct w:val="0"/>
        <w:spacing w:afterLines="25" w:after="114" w:line="300" w:lineRule="exact"/>
        <w:rPr>
          <w:color w:val="000000" w:themeColor="text1"/>
          <w:sz w:val="24"/>
          <w:szCs w:val="24"/>
        </w:rPr>
      </w:pPr>
      <w:r>
        <w:rPr>
          <w:rFonts w:hint="eastAsia"/>
          <w:color w:val="000000" w:themeColor="text1"/>
          <w:sz w:val="24"/>
          <w:szCs w:val="24"/>
        </w:rPr>
        <w:t>資料來源：原民會提供本院資料。</w:t>
      </w:r>
    </w:p>
    <w:p w14:paraId="690007A2" w14:textId="77777777" w:rsidR="00A375F2" w:rsidRDefault="00000000">
      <w:pPr>
        <w:pStyle w:val="3"/>
        <w:overflowPunct w:val="0"/>
        <w:rPr>
          <w:color w:val="000000" w:themeColor="text1"/>
        </w:rPr>
      </w:pPr>
      <w:r>
        <w:rPr>
          <w:rFonts w:hint="eastAsia"/>
          <w:color w:val="000000" w:themeColor="text1"/>
        </w:rPr>
        <w:t>綜上，為利各市縣政府依前揭規定辦理禁伐補償勘查及檢測作業，原民會於105年起，依地方執行機關所提報之需求，核定檢測人力，並補助各地方執行機關進用檢測人力，辦理禁伐補償工作事宜，爰</w:t>
      </w:r>
      <w:r>
        <w:rPr>
          <w:rFonts w:hAnsi="標楷體" w:cs="HiddenHorzOCR" w:hint="eastAsia"/>
          <w:color w:val="000000" w:themeColor="text1"/>
          <w:kern w:val="0"/>
          <w:szCs w:val="32"/>
        </w:rPr>
        <w:t>原住民保留地之禁伐補償檢測員，自應以辦理禁伐補償業務為限；</w:t>
      </w:r>
      <w:r>
        <w:rPr>
          <w:rFonts w:hint="eastAsia"/>
          <w:color w:val="000000" w:themeColor="text1"/>
        </w:rPr>
        <w:t>然仍有部分之地方執行機關，以原民會補助經費進用之檢測人員，另辦理非屬禁伐補償之業務，顯與原補助目的不符，難謂有當。又，原民會之</w:t>
      </w:r>
      <w:r>
        <w:rPr>
          <w:rFonts w:hAnsi="標楷體" w:cs="HiddenHorzOCR" w:hint="eastAsia"/>
          <w:color w:val="000000" w:themeColor="text1"/>
          <w:kern w:val="0"/>
          <w:szCs w:val="32"/>
        </w:rPr>
        <w:t>圖臺系統已於</w:t>
      </w:r>
      <w:r>
        <w:rPr>
          <w:rFonts w:hAnsi="標楷體" w:cs="HiddenHorzOCR"/>
          <w:color w:val="000000" w:themeColor="text1"/>
          <w:kern w:val="0"/>
          <w:szCs w:val="32"/>
        </w:rPr>
        <w:t>113</w:t>
      </w:r>
      <w:r>
        <w:rPr>
          <w:rFonts w:hAnsi="標楷體" w:cs="HiddenHorzOCR" w:hint="eastAsia"/>
          <w:color w:val="000000" w:themeColor="text1"/>
          <w:kern w:val="0"/>
          <w:szCs w:val="32"/>
        </w:rPr>
        <w:t>年度上線，</w:t>
      </w:r>
      <w:r>
        <w:rPr>
          <w:rFonts w:hint="eastAsia"/>
          <w:color w:val="000000" w:themeColor="text1"/>
        </w:rPr>
        <w:t>地方執行機關</w:t>
      </w:r>
      <w:r>
        <w:rPr>
          <w:rFonts w:hAnsi="標楷體" w:cs="HiddenHorzOCR" w:hint="eastAsia"/>
          <w:color w:val="000000" w:themeColor="text1"/>
          <w:kern w:val="0"/>
          <w:szCs w:val="32"/>
        </w:rPr>
        <w:t>對於</w:t>
      </w:r>
      <w:r>
        <w:rPr>
          <w:rFonts w:hint="eastAsia"/>
          <w:color w:val="000000" w:themeColor="text1"/>
        </w:rPr>
        <w:t>檢測人</w:t>
      </w:r>
      <w:r>
        <w:rPr>
          <w:rFonts w:hAnsi="標楷體" w:cs="HiddenHorzOCR" w:hint="eastAsia"/>
          <w:color w:val="000000" w:themeColor="text1"/>
          <w:kern w:val="0"/>
          <w:szCs w:val="32"/>
        </w:rPr>
        <w:t>力資源之需求，應可望逐年減少，爰</w:t>
      </w:r>
      <w:r>
        <w:rPr>
          <w:rFonts w:hint="eastAsia"/>
          <w:color w:val="000000" w:themeColor="text1"/>
        </w:rPr>
        <w:t>原民會允應逐年審慎</w:t>
      </w:r>
      <w:r>
        <w:rPr>
          <w:rFonts w:ascii="新細明體" w:eastAsia="新細明體" w:hAnsi="新細明體" w:hint="eastAsia"/>
          <w:color w:val="000000" w:themeColor="text1"/>
        </w:rPr>
        <w:t>、</w:t>
      </w:r>
      <w:r>
        <w:rPr>
          <w:rFonts w:hint="eastAsia"/>
          <w:color w:val="000000" w:themeColor="text1"/>
        </w:rPr>
        <w:t>務實評估各地方執行機關之人力需求，以及加強監督各地方執行機關交付予檢測人員之工作內容，俾利以精簡之人力，即能順利完成禁伐補償相關業務。</w:t>
      </w:r>
    </w:p>
    <w:bookmarkEnd w:id="50"/>
    <w:bookmarkEnd w:id="51"/>
    <w:p w14:paraId="4131D414" w14:textId="77777777" w:rsidR="00A375F2" w:rsidRDefault="00A375F2">
      <w:pPr>
        <w:pStyle w:val="32"/>
        <w:overflowPunct w:val="0"/>
        <w:ind w:left="1361" w:firstLine="680"/>
        <w:rPr>
          <w:color w:val="000000" w:themeColor="text1"/>
        </w:rPr>
      </w:pPr>
    </w:p>
    <w:p w14:paraId="2FA1D144" w14:textId="77777777" w:rsidR="00A375F2" w:rsidRDefault="00A375F2">
      <w:pPr>
        <w:pStyle w:val="32"/>
        <w:overflowPunct w:val="0"/>
        <w:ind w:leftChars="0" w:left="0" w:firstLineChars="0" w:firstLine="0"/>
        <w:rPr>
          <w:color w:val="000000" w:themeColor="text1"/>
        </w:rPr>
      </w:pPr>
    </w:p>
    <w:p w14:paraId="6DE5FAE9" w14:textId="77777777" w:rsidR="00A375F2" w:rsidRDefault="00000000">
      <w:pPr>
        <w:pStyle w:val="1"/>
        <w:overflowPunct w:val="0"/>
        <w:ind w:left="2380" w:hanging="2380"/>
        <w:rPr>
          <w:color w:val="000000" w:themeColor="text1"/>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49"/>
      <w:r>
        <w:rPr>
          <w:color w:val="000000" w:themeColor="text1"/>
        </w:rP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Pr>
          <w:rFonts w:hint="eastAsia"/>
          <w:color w:val="000000" w:themeColor="text1"/>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4B4BD4FE" w14:textId="00A1109F" w:rsidR="00886A0D" w:rsidRDefault="00886A0D" w:rsidP="00886A0D">
      <w:pPr>
        <w:pStyle w:val="2"/>
        <w:rPr>
          <w:b/>
        </w:rPr>
      </w:pPr>
      <w:bookmarkStart w:id="80" w:name="_Toc524895649"/>
      <w:bookmarkStart w:id="81" w:name="_Toc524896195"/>
      <w:bookmarkStart w:id="82" w:name="_Toc524896225"/>
      <w:bookmarkEnd w:id="80"/>
      <w:bookmarkEnd w:id="81"/>
      <w:bookmarkEnd w:id="82"/>
      <w:r w:rsidRPr="00886A0D">
        <w:rPr>
          <w:rFonts w:hint="eastAsia"/>
        </w:rPr>
        <w:t>調查意見，函請原住民族委員會確實檢討改進見復。</w:t>
      </w:r>
    </w:p>
    <w:p w14:paraId="3736E725" w14:textId="7DF3C528" w:rsidR="00886A0D" w:rsidRPr="00886A0D" w:rsidRDefault="00886A0D" w:rsidP="00886A0D">
      <w:pPr>
        <w:pStyle w:val="2"/>
      </w:pPr>
      <w:r w:rsidRPr="00886A0D">
        <w:rPr>
          <w:rFonts w:hint="eastAsia"/>
          <w:color w:val="000000" w:themeColor="text1"/>
        </w:rPr>
        <w:t>調查意見，函復審計部。</w:t>
      </w:r>
    </w:p>
    <w:p w14:paraId="45CC47AE" w14:textId="1A395863" w:rsidR="00A375F2" w:rsidRPr="00886A0D" w:rsidRDefault="00886A0D" w:rsidP="00886A0D">
      <w:pPr>
        <w:pStyle w:val="2"/>
      </w:pPr>
      <w:r w:rsidRPr="00886A0D">
        <w:rPr>
          <w:rFonts w:hint="eastAsia"/>
          <w:color w:val="000000" w:themeColor="text1"/>
        </w:rPr>
        <w:t>調查報告之案由、調查意見、處理辦法及簡報檔，於個資隱匿後，上網公布。</w:t>
      </w:r>
    </w:p>
    <w:p w14:paraId="48E6C324" w14:textId="7B3FF288" w:rsidR="00A375F2" w:rsidRDefault="00000000" w:rsidP="006D108F">
      <w:pPr>
        <w:pStyle w:val="aa"/>
        <w:overflowPunct w:val="0"/>
        <w:spacing w:before="0" w:after="0" w:line="760" w:lineRule="exact"/>
        <w:ind w:leftChars="1100" w:left="3742"/>
        <w:rPr>
          <w:b w:val="0"/>
          <w:bCs/>
          <w:snapToGrid/>
          <w:color w:val="000000" w:themeColor="text1"/>
          <w:spacing w:val="12"/>
          <w:kern w:val="0"/>
          <w:sz w:val="40"/>
        </w:rPr>
      </w:pPr>
      <w:r>
        <w:rPr>
          <w:rFonts w:hint="eastAsia"/>
          <w:b w:val="0"/>
          <w:bCs/>
          <w:snapToGrid/>
          <w:color w:val="000000" w:themeColor="text1"/>
          <w:spacing w:val="12"/>
          <w:kern w:val="0"/>
          <w:sz w:val="40"/>
        </w:rPr>
        <w:t>調查委員：</w:t>
      </w:r>
      <w:r w:rsidR="006D108F">
        <w:rPr>
          <w:rFonts w:hint="eastAsia"/>
          <w:b w:val="0"/>
          <w:bCs/>
          <w:snapToGrid/>
          <w:color w:val="000000" w:themeColor="text1"/>
          <w:spacing w:val="12"/>
          <w:kern w:val="0"/>
          <w:sz w:val="40"/>
        </w:rPr>
        <w:t>浦忠成</w:t>
      </w:r>
    </w:p>
    <w:p w14:paraId="73F103B0" w14:textId="048EABF8" w:rsidR="006D108F" w:rsidRDefault="006D108F" w:rsidP="006D108F">
      <w:pPr>
        <w:pStyle w:val="aa"/>
        <w:overflowPunct w:val="0"/>
        <w:spacing w:before="0" w:after="0" w:line="760" w:lineRule="exact"/>
        <w:ind w:leftChars="1066" w:left="3741" w:hangingChars="26" w:hanging="115"/>
        <w:rPr>
          <w:b w:val="0"/>
          <w:bCs/>
          <w:snapToGrid/>
          <w:color w:val="000000" w:themeColor="text1"/>
          <w:spacing w:val="12"/>
          <w:kern w:val="0"/>
          <w:sz w:val="40"/>
        </w:rPr>
      </w:pPr>
      <w:r>
        <w:rPr>
          <w:rFonts w:hint="eastAsia"/>
          <w:b w:val="0"/>
          <w:bCs/>
          <w:snapToGrid/>
          <w:color w:val="000000" w:themeColor="text1"/>
          <w:spacing w:val="12"/>
          <w:kern w:val="0"/>
          <w:sz w:val="40"/>
        </w:rPr>
        <w:t xml:space="preserve">          林盛豐</w:t>
      </w:r>
    </w:p>
    <w:p w14:paraId="0DDA4EED" w14:textId="30718C2A" w:rsidR="00A375F2" w:rsidRPr="006D108F" w:rsidRDefault="006D108F" w:rsidP="006D108F">
      <w:pPr>
        <w:pStyle w:val="aa"/>
        <w:overflowPunct w:val="0"/>
        <w:spacing w:before="0" w:after="0" w:line="760" w:lineRule="exact"/>
        <w:ind w:leftChars="1066" w:left="3741" w:hangingChars="26" w:hanging="115"/>
        <w:rPr>
          <w:b w:val="0"/>
          <w:bCs/>
          <w:snapToGrid/>
          <w:color w:val="000000" w:themeColor="text1"/>
          <w:spacing w:val="12"/>
          <w:kern w:val="0"/>
          <w:sz w:val="40"/>
        </w:rPr>
      </w:pPr>
      <w:r>
        <w:rPr>
          <w:rFonts w:hint="eastAsia"/>
          <w:b w:val="0"/>
          <w:bCs/>
          <w:snapToGrid/>
          <w:color w:val="000000" w:themeColor="text1"/>
          <w:spacing w:val="12"/>
          <w:kern w:val="0"/>
          <w:sz w:val="40"/>
        </w:rPr>
        <w:t xml:space="preserve">          田秋堇</w:t>
      </w:r>
    </w:p>
    <w:sectPr w:rsidR="00A375F2" w:rsidRPr="006D108F">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9C32" w14:textId="77777777" w:rsidR="009B3578" w:rsidRDefault="009B3578">
      <w:r>
        <w:separator/>
      </w:r>
    </w:p>
  </w:endnote>
  <w:endnote w:type="continuationSeparator" w:id="0">
    <w:p w14:paraId="45F81936" w14:textId="77777777" w:rsidR="009B3578" w:rsidRDefault="009B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DBED" w14:textId="77777777" w:rsidR="00A375F2" w:rsidRDefault="00000000">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72D8CE97" w14:textId="77777777" w:rsidR="00A375F2" w:rsidRDefault="00A375F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C2F8" w14:textId="77777777" w:rsidR="009B3578" w:rsidRDefault="009B3578">
      <w:r>
        <w:separator/>
      </w:r>
    </w:p>
  </w:footnote>
  <w:footnote w:type="continuationSeparator" w:id="0">
    <w:p w14:paraId="3C18A6DB" w14:textId="77777777" w:rsidR="009B3578" w:rsidRDefault="009B3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E19"/>
    <w:multiLevelType w:val="hybridMultilevel"/>
    <w:tmpl w:val="43D6F34C"/>
    <w:lvl w:ilvl="0" w:tplc="972CFA54">
      <w:start w:val="1"/>
      <w:numFmt w:val="taiwaneseCountingThousand"/>
      <w:lvlText w:val="(%1)"/>
      <w:lvlJc w:val="left"/>
      <w:pPr>
        <w:ind w:left="11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36E2EFB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43800CB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09EAA97E"/>
    <w:lvl w:ilvl="0" w:tplc="628E3C66">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12531620">
    <w:abstractNumId w:val="2"/>
  </w:num>
  <w:num w:numId="2" w16cid:durableId="1158958792">
    <w:abstractNumId w:val="3"/>
    <w:lvlOverride w:ilvl="0">
      <w:startOverride w:val="1"/>
    </w:lvlOverride>
  </w:num>
  <w:num w:numId="3" w16cid:durableId="553585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000225">
    <w:abstractNumId w:val="7"/>
  </w:num>
  <w:num w:numId="5" w16cid:durableId="221871392">
    <w:abstractNumId w:val="6"/>
  </w:num>
  <w:num w:numId="6" w16cid:durableId="114756940">
    <w:abstractNumId w:val="3"/>
  </w:num>
  <w:num w:numId="7" w16cid:durableId="136150450">
    <w:abstractNumId w:val="1"/>
  </w:num>
  <w:num w:numId="8" w16cid:durableId="2025937094">
    <w:abstractNumId w:val="8"/>
  </w:num>
  <w:num w:numId="9" w16cid:durableId="274212055">
    <w:abstractNumId w:val="9"/>
  </w:num>
  <w:num w:numId="10" w16cid:durableId="862397632">
    <w:abstractNumId w:val="5"/>
  </w:num>
  <w:num w:numId="11" w16cid:durableId="2056075776">
    <w:abstractNumId w:val="2"/>
  </w:num>
  <w:num w:numId="12" w16cid:durableId="690422627">
    <w:abstractNumId w:val="0"/>
  </w:num>
  <w:num w:numId="13" w16cid:durableId="1933318735">
    <w:abstractNumId w:val="2"/>
  </w:num>
  <w:num w:numId="14" w16cid:durableId="138780403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5F2"/>
    <w:rsid w:val="00037BD2"/>
    <w:rsid w:val="000667E2"/>
    <w:rsid w:val="0019284D"/>
    <w:rsid w:val="006D108F"/>
    <w:rsid w:val="00841291"/>
    <w:rsid w:val="00886A0D"/>
    <w:rsid w:val="00921546"/>
    <w:rsid w:val="009B3578"/>
    <w:rsid w:val="00A375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jc w:val="both"/>
    </w:pPr>
    <w:rPr>
      <w:rFonts w:ascii="標楷體" w:eastAsia="標楷體"/>
      <w:kern w:val="2"/>
      <w:sz w:val="32"/>
    </w:rPr>
  </w:style>
  <w:style w:type="paragraph" w:styleId="1">
    <w:name w:val="heading 1"/>
    <w:basedOn w:val="a6"/>
    <w:link w:val="10"/>
    <w:qFormat/>
    <w:pPr>
      <w:numPr>
        <w:numId w:val="11"/>
      </w:numPr>
      <w:outlineLvl w:val="0"/>
    </w:pPr>
    <w:rPr>
      <w:rFonts w:hAnsi="Arial"/>
      <w:bCs/>
      <w:kern w:val="32"/>
      <w:szCs w:val="52"/>
    </w:rPr>
  </w:style>
  <w:style w:type="paragraph" w:styleId="2">
    <w:name w:val="heading 2"/>
    <w:basedOn w:val="a6"/>
    <w:link w:val="20"/>
    <w:qFormat/>
    <w:pPr>
      <w:numPr>
        <w:ilvl w:val="1"/>
        <w:numId w:val="11"/>
      </w:numPr>
      <w:outlineLvl w:val="1"/>
    </w:pPr>
    <w:rPr>
      <w:rFonts w:hAnsi="Arial"/>
      <w:bCs/>
      <w:kern w:val="32"/>
      <w:szCs w:val="48"/>
    </w:rPr>
  </w:style>
  <w:style w:type="paragraph" w:styleId="3">
    <w:name w:val="heading 3"/>
    <w:basedOn w:val="a6"/>
    <w:link w:val="30"/>
    <w:qFormat/>
    <w:pPr>
      <w:numPr>
        <w:ilvl w:val="2"/>
        <w:numId w:val="11"/>
      </w:numPr>
      <w:outlineLvl w:val="2"/>
    </w:pPr>
    <w:rPr>
      <w:rFonts w:hAnsi="Arial"/>
      <w:bCs/>
      <w:kern w:val="32"/>
      <w:szCs w:val="36"/>
    </w:rPr>
  </w:style>
  <w:style w:type="paragraph" w:styleId="4">
    <w:name w:val="heading 4"/>
    <w:basedOn w:val="a6"/>
    <w:link w:val="40"/>
    <w:qFormat/>
    <w:pPr>
      <w:numPr>
        <w:ilvl w:val="3"/>
        <w:numId w:val="11"/>
      </w:numPr>
      <w:outlineLvl w:val="3"/>
    </w:pPr>
    <w:rPr>
      <w:rFonts w:hAnsi="Arial"/>
      <w:kern w:val="32"/>
      <w:szCs w:val="36"/>
    </w:rPr>
  </w:style>
  <w:style w:type="paragraph" w:styleId="5">
    <w:name w:val="heading 5"/>
    <w:basedOn w:val="a6"/>
    <w:link w:val="50"/>
    <w:qFormat/>
    <w:pPr>
      <w:numPr>
        <w:ilvl w:val="4"/>
        <w:numId w:val="11"/>
      </w:numPr>
      <w:outlineLvl w:val="4"/>
    </w:pPr>
    <w:rPr>
      <w:rFonts w:hAnsi="Arial"/>
      <w:bCs/>
      <w:kern w:val="32"/>
      <w:szCs w:val="36"/>
    </w:rPr>
  </w:style>
  <w:style w:type="paragraph" w:styleId="6">
    <w:name w:val="heading 6"/>
    <w:basedOn w:val="a6"/>
    <w:link w:val="60"/>
    <w:qFormat/>
    <w:pPr>
      <w:numPr>
        <w:ilvl w:val="5"/>
        <w:numId w:val="11"/>
      </w:numPr>
      <w:tabs>
        <w:tab w:val="left" w:pos="2094"/>
      </w:tabs>
      <w:outlineLvl w:val="5"/>
    </w:pPr>
    <w:rPr>
      <w:rFonts w:hAnsi="Arial"/>
      <w:kern w:val="32"/>
      <w:szCs w:val="36"/>
    </w:rPr>
  </w:style>
  <w:style w:type="paragraph" w:styleId="7">
    <w:name w:val="heading 7"/>
    <w:basedOn w:val="a6"/>
    <w:link w:val="70"/>
    <w:qFormat/>
    <w:pPr>
      <w:numPr>
        <w:ilvl w:val="6"/>
        <w:numId w:val="11"/>
      </w:numPr>
      <w:outlineLvl w:val="6"/>
    </w:pPr>
    <w:rPr>
      <w:rFonts w:hAnsi="Arial"/>
      <w:bCs/>
      <w:kern w:val="32"/>
      <w:szCs w:val="36"/>
    </w:rPr>
  </w:style>
  <w:style w:type="paragraph" w:styleId="8">
    <w:name w:val="heading 8"/>
    <w:basedOn w:val="a6"/>
    <w:link w:val="80"/>
    <w:qFormat/>
    <w:pPr>
      <w:numPr>
        <w:ilvl w:val="7"/>
        <w:numId w:val="11"/>
      </w:numPr>
      <w:outlineLvl w:val="7"/>
    </w:pPr>
    <w:rPr>
      <w:rFonts w:hAnsi="Arial"/>
      <w:kern w:val="32"/>
      <w:szCs w:val="36"/>
    </w:rPr>
  </w:style>
  <w:style w:type="paragraph" w:styleId="9">
    <w:name w:val="heading 9"/>
    <w:basedOn w:val="a6"/>
    <w:link w:val="90"/>
    <w:uiPriority w:val="9"/>
    <w:unhideWhenUsed/>
    <w:qFormat/>
    <w:pPr>
      <w:numPr>
        <w:ilvl w:val="8"/>
        <w:numId w:val="1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pPr>
      <w:spacing w:before="720" w:after="720"/>
      <w:ind w:left="7371"/>
    </w:pPr>
    <w:rPr>
      <w:b/>
      <w:snapToGrid w:val="0"/>
      <w:spacing w:val="10"/>
      <w:sz w:val="36"/>
    </w:rPr>
  </w:style>
  <w:style w:type="paragraph" w:styleId="ac">
    <w:name w:val="endnote text"/>
    <w:basedOn w:val="a6"/>
    <w:link w:val="ad"/>
    <w:semiHidden/>
    <w:pPr>
      <w:kinsoku w:val="0"/>
      <w:spacing w:before="240"/>
      <w:ind w:left="1021" w:hanging="1021"/>
    </w:pPr>
    <w:rPr>
      <w:snapToGrid w:val="0"/>
      <w:spacing w:val="10"/>
    </w:rPr>
  </w:style>
  <w:style w:type="paragraph" w:styleId="51">
    <w:name w:val="toc 5"/>
    <w:basedOn w:val="a6"/>
    <w:next w:val="a6"/>
    <w:autoRedefine/>
    <w:semiHidden/>
    <w:pPr>
      <w:ind w:leftChars="400" w:left="600" w:rightChars="200" w:right="200" w:hangingChars="200" w:hanging="200"/>
    </w:pPr>
  </w:style>
  <w:style w:type="character" w:styleId="ae">
    <w:name w:val="page number"/>
    <w:basedOn w:val="a7"/>
    <w:semiHidden/>
    <w:rPr>
      <w:rFonts w:ascii="標楷體" w:eastAsia="標楷體"/>
      <w:sz w:val="20"/>
    </w:rPr>
  </w:style>
  <w:style w:type="paragraph" w:styleId="61">
    <w:name w:val="toc 6"/>
    <w:basedOn w:val="a6"/>
    <w:next w:val="a6"/>
    <w:autoRedefine/>
    <w:semiHidden/>
    <w:pPr>
      <w:ind w:leftChars="500" w:left="500"/>
    </w:pPr>
  </w:style>
  <w:style w:type="paragraph" w:customStyle="1" w:styleId="11">
    <w:name w:val="段落樣式1"/>
    <w:basedOn w:val="a6"/>
    <w:qFormat/>
    <w:pPr>
      <w:tabs>
        <w:tab w:val="left" w:pos="567"/>
      </w:tabs>
      <w:ind w:leftChars="200" w:left="200" w:firstLineChars="200" w:firstLine="200"/>
    </w:pPr>
    <w:rPr>
      <w:kern w:val="32"/>
    </w:rPr>
  </w:style>
  <w:style w:type="paragraph" w:customStyle="1" w:styleId="21">
    <w:name w:val="段落樣式2"/>
    <w:basedOn w:val="a6"/>
    <w:qFormat/>
    <w:pPr>
      <w:tabs>
        <w:tab w:val="left" w:pos="567"/>
      </w:tabs>
      <w:ind w:leftChars="300" w:left="300" w:firstLineChars="200" w:firstLine="200"/>
    </w:pPr>
    <w:rPr>
      <w:kern w:val="32"/>
    </w:rPr>
  </w:style>
  <w:style w:type="paragraph" w:styleId="12">
    <w:name w:val="toc 1"/>
    <w:basedOn w:val="a6"/>
    <w:next w:val="a6"/>
    <w:autoRedefine/>
    <w:uiPriority w:val="39"/>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pPr>
      <w:kinsoku w:val="0"/>
      <w:ind w:leftChars="300" w:left="500" w:rightChars="200" w:right="200" w:hangingChars="200" w:hanging="200"/>
    </w:pPr>
  </w:style>
  <w:style w:type="paragraph" w:styleId="71">
    <w:name w:val="toc 7"/>
    <w:basedOn w:val="a6"/>
    <w:next w:val="a6"/>
    <w:autoRedefine/>
    <w:semiHidden/>
    <w:pPr>
      <w:ind w:leftChars="600" w:left="800" w:hangingChars="200" w:hanging="200"/>
    </w:pPr>
  </w:style>
  <w:style w:type="paragraph" w:styleId="81">
    <w:name w:val="toc 8"/>
    <w:basedOn w:val="a6"/>
    <w:next w:val="a6"/>
    <w:autoRedefine/>
    <w:semiHidden/>
    <w:pPr>
      <w:ind w:leftChars="700" w:left="900" w:hangingChars="200" w:hanging="200"/>
    </w:pPr>
  </w:style>
  <w:style w:type="paragraph" w:styleId="91">
    <w:name w:val="toc 9"/>
    <w:basedOn w:val="a6"/>
    <w:next w:val="a6"/>
    <w:autoRedefine/>
    <w:semiHidden/>
    <w:pPr>
      <w:ind w:leftChars="1600" w:left="3840"/>
    </w:pPr>
  </w:style>
  <w:style w:type="paragraph" w:styleId="af">
    <w:name w:val="header"/>
    <w:basedOn w:val="a6"/>
    <w:link w:val="af0"/>
    <w:semiHidden/>
    <w:pPr>
      <w:tabs>
        <w:tab w:val="center" w:pos="4153"/>
        <w:tab w:val="right" w:pos="8306"/>
      </w:tabs>
      <w:snapToGrid w:val="0"/>
    </w:pPr>
    <w:rPr>
      <w:sz w:val="20"/>
    </w:rPr>
  </w:style>
  <w:style w:type="paragraph" w:customStyle="1" w:styleId="32">
    <w:name w:val="段落樣式3"/>
    <w:basedOn w:val="21"/>
    <w:qFormat/>
    <w:pPr>
      <w:ind w:leftChars="400" w:left="400"/>
    </w:pPr>
  </w:style>
  <w:style w:type="character" w:styleId="af1">
    <w:name w:val="Hyperlink"/>
    <w:basedOn w:val="a7"/>
    <w:uiPriority w:val="99"/>
    <w:rPr>
      <w:color w:val="0000FF"/>
      <w:u w:val="single"/>
    </w:rPr>
  </w:style>
  <w:style w:type="paragraph" w:customStyle="1" w:styleId="af2">
    <w:name w:val="簽名日期"/>
    <w:basedOn w:val="a6"/>
    <w:pPr>
      <w:kinsoku w:val="0"/>
      <w:jc w:val="distribute"/>
    </w:pPr>
    <w:rPr>
      <w:kern w:val="0"/>
    </w:rPr>
  </w:style>
  <w:style w:type="paragraph" w:customStyle="1" w:styleId="0">
    <w:name w:val="段落樣式0"/>
    <w:basedOn w:val="21"/>
    <w:qFormat/>
    <w:pPr>
      <w:ind w:leftChars="200" w:left="200" w:firstLineChars="0" w:firstLine="0"/>
    </w:pPr>
  </w:style>
  <w:style w:type="paragraph" w:customStyle="1" w:styleId="af3">
    <w:name w:val="附件"/>
    <w:basedOn w:val="ac"/>
    <w:pPr>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2">
    <w:name w:val="段落樣式5"/>
    <w:basedOn w:val="42"/>
    <w:qFormat/>
    <w:pPr>
      <w:ind w:leftChars="600" w:left="600"/>
    </w:pPr>
  </w:style>
  <w:style w:type="paragraph" w:customStyle="1" w:styleId="62">
    <w:name w:val="段落樣式6"/>
    <w:basedOn w:val="52"/>
    <w:qFormat/>
    <w:pPr>
      <w:ind w:leftChars="700" w:left="700"/>
    </w:pPr>
  </w:style>
  <w:style w:type="paragraph" w:customStyle="1" w:styleId="72">
    <w:name w:val="段落樣式7"/>
    <w:basedOn w:val="62"/>
    <w:qFormat/>
    <w:pPr>
      <w:ind w:leftChars="800" w:left="800"/>
    </w:pPr>
  </w:style>
  <w:style w:type="paragraph" w:customStyle="1" w:styleId="82">
    <w:name w:val="段落樣式8"/>
    <w:basedOn w:val="72"/>
    <w:qFormat/>
    <w:pPr>
      <w:ind w:leftChars="900" w:left="900"/>
    </w:pPr>
  </w:style>
  <w:style w:type="paragraph" w:customStyle="1" w:styleId="a0">
    <w:name w:val="附表樣式"/>
    <w:basedOn w:val="a6"/>
    <w:qFormat/>
    <w:pPr>
      <w:keepNext/>
      <w:numPr>
        <w:numId w:val="6"/>
      </w:numPr>
      <w:tabs>
        <w:tab w:val="clear" w:pos="1440"/>
      </w:tabs>
      <w:ind w:hangingChars="400" w:hanging="400"/>
      <w:outlineLvl w:val="0"/>
    </w:pPr>
    <w:rPr>
      <w:kern w:val="32"/>
    </w:rPr>
  </w:style>
  <w:style w:type="paragraph" w:styleId="af4">
    <w:name w:val="Body Text Indent"/>
    <w:basedOn w:val="a6"/>
    <w:link w:val="af5"/>
    <w:semiHidden/>
    <w:pPr>
      <w:ind w:left="698" w:hangingChars="200" w:hanging="698"/>
    </w:pPr>
  </w:style>
  <w:style w:type="paragraph" w:customStyle="1" w:styleId="af6">
    <w:name w:val="調查報告"/>
    <w:basedOn w:val="ac"/>
    <w:pPr>
      <w:adjustRightInd w:val="0"/>
      <w:spacing w:before="0"/>
      <w:ind w:left="0" w:firstLine="0"/>
      <w:jc w:val="center"/>
    </w:pPr>
    <w:rPr>
      <w:b/>
      <w:snapToGrid/>
      <w:spacing w:val="200"/>
      <w:kern w:val="0"/>
      <w:sz w:val="40"/>
    </w:rPr>
  </w:style>
  <w:style w:type="paragraph" w:customStyle="1" w:styleId="14">
    <w:name w:val="表格14"/>
    <w:basedOn w:val="a6"/>
    <w:pPr>
      <w:adjustRightInd w:val="0"/>
      <w:snapToGrid w:val="0"/>
      <w:spacing w:line="360" w:lineRule="exact"/>
    </w:pPr>
    <w:rPr>
      <w:snapToGrid w:val="0"/>
      <w:spacing w:val="-14"/>
      <w:kern w:val="0"/>
      <w:sz w:val="28"/>
    </w:rPr>
  </w:style>
  <w:style w:type="paragraph" w:customStyle="1" w:styleId="a">
    <w:name w:val="附圖樣式"/>
    <w:basedOn w:val="a6"/>
    <w:qFormat/>
    <w:pPr>
      <w:keepNext/>
      <w:numPr>
        <w:numId w:val="7"/>
      </w:numPr>
      <w:tabs>
        <w:tab w:val="clear" w:pos="1440"/>
      </w:tabs>
      <w:ind w:hangingChars="400" w:hanging="400"/>
      <w:outlineLvl w:val="0"/>
    </w:pPr>
    <w:rPr>
      <w:kern w:val="32"/>
    </w:rPr>
  </w:style>
  <w:style w:type="paragraph" w:styleId="af7">
    <w:name w:val="footer"/>
    <w:basedOn w:val="a6"/>
    <w:link w:val="af8"/>
    <w:semiHidden/>
    <w:pPr>
      <w:tabs>
        <w:tab w:val="center" w:pos="4153"/>
        <w:tab w:val="right" w:pos="8306"/>
      </w:tabs>
      <w:snapToGrid w:val="0"/>
    </w:pPr>
    <w:rPr>
      <w:sz w:val="20"/>
    </w:rPr>
  </w:style>
  <w:style w:type="paragraph" w:styleId="af9">
    <w:name w:val="table of figures"/>
    <w:basedOn w:val="a6"/>
    <w:next w:val="a6"/>
    <w:semiHidden/>
    <w:pPr>
      <w:ind w:left="400" w:hangingChars="400" w:hanging="400"/>
    </w:p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10"/>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pPr>
      <w:spacing w:line="240" w:lineRule="exact"/>
    </w:pPr>
    <w:rPr>
      <w:sz w:val="24"/>
      <w:szCs w:val="24"/>
    </w:rPr>
  </w:style>
  <w:style w:type="paragraph" w:customStyle="1" w:styleId="121">
    <w:name w:val="表格12"/>
    <w:basedOn w:val="14"/>
    <w:pPr>
      <w:spacing w:line="300" w:lineRule="exact"/>
    </w:pPr>
    <w:rPr>
      <w:sz w:val="24"/>
      <w:szCs w:val="24"/>
    </w:rPr>
  </w:style>
  <w:style w:type="paragraph" w:customStyle="1" w:styleId="a4">
    <w:name w:val="附錄"/>
    <w:basedOn w:val="a6"/>
    <w:qFormat/>
    <w:pPr>
      <w:keepNext/>
      <w:numPr>
        <w:numId w:val="8"/>
      </w:numPr>
      <w:ind w:hangingChars="350" w:hanging="350"/>
      <w:outlineLvl w:val="0"/>
    </w:pPr>
    <w:rPr>
      <w:kern w:val="32"/>
    </w:rPr>
  </w:style>
  <w:style w:type="paragraph" w:styleId="afc">
    <w:name w:val="List Paragraph"/>
    <w:basedOn w:val="a6"/>
    <w:uiPriority w:val="34"/>
    <w:qFormat/>
    <w:pPr>
      <w:ind w:leftChars="200" w:left="480"/>
    </w:pPr>
  </w:style>
  <w:style w:type="paragraph" w:styleId="afd">
    <w:name w:val="Balloon Text"/>
    <w:basedOn w:val="a6"/>
    <w:link w:val="afe"/>
    <w:uiPriority w:val="99"/>
    <w:semiHidden/>
    <w:unhideWhenUsed/>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Pr>
      <w:rFonts w:asciiTheme="majorHAnsi" w:eastAsiaTheme="majorEastAsia" w:hAnsiTheme="majorHAnsi" w:cstheme="majorBidi"/>
      <w:kern w:val="2"/>
      <w:sz w:val="18"/>
      <w:szCs w:val="18"/>
    </w:rPr>
  </w:style>
  <w:style w:type="paragraph" w:customStyle="1" w:styleId="a5">
    <w:name w:val="照片標題"/>
    <w:qFormat/>
    <w:pPr>
      <w:numPr>
        <w:numId w:val="9"/>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5"/>
      </w:numPr>
      <w:ind w:hangingChars="400" w:hanging="400"/>
      <w:outlineLvl w:val="0"/>
    </w:pPr>
    <w:rPr>
      <w:kern w:val="32"/>
    </w:rPr>
  </w:style>
  <w:style w:type="character" w:customStyle="1" w:styleId="90">
    <w:name w:val="標題 9 字元"/>
    <w:basedOn w:val="a7"/>
    <w:link w:val="9"/>
    <w:uiPriority w:val="9"/>
    <w:rPr>
      <w:rFonts w:ascii="標楷體" w:eastAsia="標楷體" w:hAnsiTheme="majorHAnsi" w:cstheme="majorBidi"/>
      <w:kern w:val="32"/>
      <w:sz w:val="32"/>
      <w:szCs w:val="36"/>
    </w:rPr>
  </w:style>
  <w:style w:type="paragraph" w:customStyle="1" w:styleId="92">
    <w:name w:val="段落樣式9"/>
    <w:basedOn w:val="82"/>
    <w:qFormat/>
    <w:pPr>
      <w:ind w:leftChars="1000" w:left="1000"/>
    </w:pPr>
  </w:style>
  <w:style w:type="paragraph" w:styleId="aff">
    <w:name w:val="Plain Text"/>
    <w:basedOn w:val="a6"/>
    <w:link w:val="aff0"/>
    <w:uiPriority w:val="99"/>
    <w:semiHidden/>
    <w:unhideWhenUsed/>
    <w:pPr>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Pr>
      <w:rFonts w:ascii="Calibri" w:eastAsia="標楷體" w:hAnsi="Courier New" w:cs="Courier New"/>
      <w:color w:val="244061" w:themeColor="accent1" w:themeShade="80"/>
      <w:sz w:val="28"/>
      <w:szCs w:val="24"/>
    </w:rPr>
  </w:style>
  <w:style w:type="character" w:customStyle="1" w:styleId="20">
    <w:name w:val="標題 2 字元"/>
    <w:basedOn w:val="a7"/>
    <w:link w:val="2"/>
    <w:rPr>
      <w:rFonts w:ascii="標楷體" w:eastAsia="標楷體" w:hAnsi="Arial"/>
      <w:bCs/>
      <w:kern w:val="32"/>
      <w:sz w:val="32"/>
      <w:szCs w:val="48"/>
    </w:rPr>
  </w:style>
  <w:style w:type="paragraph" w:styleId="aff1">
    <w:name w:val="footnote text"/>
    <w:aliases w:val="註腳文字 字元 字元,註腳文字(博銘), 字元,註腳文字1, 字元 字元 字元,字元 字元 字元"/>
    <w:basedOn w:val="a6"/>
    <w:link w:val="aff2"/>
    <w:uiPriority w:val="99"/>
    <w:unhideWhenUsed/>
    <w:qFormat/>
    <w:pPr>
      <w:snapToGrid w:val="0"/>
      <w:jc w:val="left"/>
    </w:pPr>
    <w:rPr>
      <w:sz w:val="20"/>
    </w:rPr>
  </w:style>
  <w:style w:type="character" w:customStyle="1" w:styleId="aff2">
    <w:name w:val="註腳文字 字元"/>
    <w:aliases w:val="註腳文字 字元 字元 字元,註腳文字(博銘) 字元, 字元 字元,註腳文字1 字元, 字元 字元 字元 字元,字元 字元 字元 字元"/>
    <w:basedOn w:val="a7"/>
    <w:link w:val="aff1"/>
    <w:uiPriority w:val="99"/>
    <w:qFormat/>
    <w:rPr>
      <w:rFonts w:ascii="標楷體" w:eastAsia="標楷體"/>
      <w:kern w:val="2"/>
    </w:rPr>
  </w:style>
  <w:style w:type="character" w:styleId="aff3">
    <w:name w:val="footnote reference"/>
    <w:aliases w:val="FR,Ref,de nota al pie,註腳內容,Error-Fußnotenzeichen5,Error-Fußnotenzeichen6,Error-Fußnotenzeichen3,Error-Fusnotßnotenzeichen5,Error-Fußnotenzeic"/>
    <w:basedOn w:val="a7"/>
    <w:uiPriority w:val="99"/>
    <w:unhideWhenUsed/>
    <w:qFormat/>
    <w:rPr>
      <w:vertAlign w:val="superscript"/>
    </w:rPr>
  </w:style>
  <w:style w:type="character" w:customStyle="1" w:styleId="30">
    <w:name w:val="標題 3 字元"/>
    <w:basedOn w:val="a7"/>
    <w:link w:val="3"/>
    <w:rPr>
      <w:rFonts w:ascii="標楷體" w:eastAsia="標楷體" w:hAnsi="Arial"/>
      <w:bCs/>
      <w:kern w:val="32"/>
      <w:sz w:val="32"/>
      <w:szCs w:val="36"/>
    </w:rPr>
  </w:style>
  <w:style w:type="character" w:customStyle="1" w:styleId="40">
    <w:name w:val="標題 4 字元"/>
    <w:basedOn w:val="a7"/>
    <w:link w:val="4"/>
    <w:rPr>
      <w:rFonts w:ascii="標楷體" w:eastAsia="標楷體" w:hAnsi="Arial"/>
      <w:kern w:val="32"/>
      <w:sz w:val="32"/>
      <w:szCs w:val="36"/>
    </w:rPr>
  </w:style>
  <w:style w:type="character" w:customStyle="1" w:styleId="50">
    <w:name w:val="標題 5 字元"/>
    <w:basedOn w:val="a7"/>
    <w:link w:val="5"/>
    <w:rPr>
      <w:rFonts w:ascii="標楷體" w:eastAsia="標楷體" w:hAnsi="Arial"/>
      <w:bCs/>
      <w:kern w:val="32"/>
      <w:sz w:val="32"/>
      <w:szCs w:val="36"/>
    </w:rPr>
  </w:style>
  <w:style w:type="table" w:customStyle="1" w:styleId="23">
    <w:name w:val="表格格線2"/>
    <w:basedOn w:val="a8"/>
    <w:next w:val="afb"/>
    <w:uiPriority w:val="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b"/>
    <w:uiPriority w:val="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
    <w:basedOn w:val="a8"/>
    <w:next w:val="afb"/>
    <w:uiPriority w:val="3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mphasis"/>
    <w:basedOn w:val="a7"/>
    <w:uiPriority w:val="20"/>
    <w:qFormat/>
    <w:rPr>
      <w:i/>
      <w:iCs/>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character" w:customStyle="1" w:styleId="af5">
    <w:name w:val="本文縮排 字元"/>
    <w:basedOn w:val="a7"/>
    <w:link w:val="af4"/>
    <w:semiHidden/>
    <w:rPr>
      <w:rFonts w:ascii="標楷體" w:eastAsia="標楷體"/>
      <w:kern w:val="2"/>
      <w:sz w:val="32"/>
    </w:rPr>
  </w:style>
  <w:style w:type="character" w:customStyle="1" w:styleId="ad">
    <w:name w:val="章節附註文字 字元"/>
    <w:basedOn w:val="a7"/>
    <w:link w:val="ac"/>
    <w:semiHidden/>
    <w:rPr>
      <w:rFonts w:ascii="標楷體" w:eastAsia="標楷體"/>
      <w:snapToGrid w:val="0"/>
      <w:spacing w:val="10"/>
      <w:kern w:val="2"/>
      <w:sz w:val="32"/>
    </w:rPr>
  </w:style>
  <w:style w:type="character" w:customStyle="1" w:styleId="af8">
    <w:name w:val="頁尾 字元"/>
    <w:basedOn w:val="a7"/>
    <w:link w:val="af7"/>
    <w:semiHidden/>
    <w:rPr>
      <w:rFonts w:ascii="標楷體" w:eastAsia="標楷體"/>
      <w:kern w:val="2"/>
    </w:rPr>
  </w:style>
  <w:style w:type="character" w:customStyle="1" w:styleId="af0">
    <w:name w:val="頁首 字元"/>
    <w:basedOn w:val="a7"/>
    <w:link w:val="af"/>
    <w:semiHidden/>
    <w:rPr>
      <w:rFonts w:ascii="標楷體" w:eastAsia="標楷體"/>
      <w:kern w:val="2"/>
    </w:rPr>
  </w:style>
  <w:style w:type="character" w:customStyle="1" w:styleId="10">
    <w:name w:val="標題 1 字元"/>
    <w:basedOn w:val="a7"/>
    <w:link w:val="1"/>
    <w:rPr>
      <w:rFonts w:ascii="標楷體" w:eastAsia="標楷體" w:hAnsi="Arial"/>
      <w:bCs/>
      <w:kern w:val="32"/>
      <w:sz w:val="32"/>
      <w:szCs w:val="52"/>
    </w:rPr>
  </w:style>
  <w:style w:type="character" w:customStyle="1" w:styleId="60">
    <w:name w:val="標題 6 字元"/>
    <w:basedOn w:val="a7"/>
    <w:link w:val="6"/>
    <w:rPr>
      <w:rFonts w:ascii="標楷體" w:eastAsia="標楷體" w:hAnsi="Arial"/>
      <w:kern w:val="32"/>
      <w:sz w:val="32"/>
      <w:szCs w:val="36"/>
    </w:rPr>
  </w:style>
  <w:style w:type="character" w:customStyle="1" w:styleId="70">
    <w:name w:val="標題 7 字元"/>
    <w:basedOn w:val="a7"/>
    <w:link w:val="7"/>
    <w:rPr>
      <w:rFonts w:ascii="標楷體" w:eastAsia="標楷體" w:hAnsi="Arial"/>
      <w:bCs/>
      <w:kern w:val="32"/>
      <w:sz w:val="32"/>
      <w:szCs w:val="36"/>
    </w:rPr>
  </w:style>
  <w:style w:type="character" w:customStyle="1" w:styleId="80">
    <w:name w:val="標題 8 字元"/>
    <w:basedOn w:val="a7"/>
    <w:link w:val="8"/>
    <w:rPr>
      <w:rFonts w:ascii="標楷體" w:eastAsia="標楷體" w:hAnsi="Arial"/>
      <w:kern w:val="32"/>
      <w:sz w:val="32"/>
      <w:szCs w:val="36"/>
    </w:rPr>
  </w:style>
  <w:style w:type="character" w:customStyle="1" w:styleId="ab">
    <w:name w:val="簽名 字元"/>
    <w:basedOn w:val="a7"/>
    <w:link w:val="aa"/>
    <w:semiHidden/>
    <w:rPr>
      <w:rFonts w:ascii="標楷體" w:eastAsia="標楷體"/>
      <w:b/>
      <w:snapToGrid w:val="0"/>
      <w:spacing w:val="10"/>
      <w:kern w:val="2"/>
      <w:sz w:val="36"/>
    </w:rPr>
  </w:style>
  <w:style w:type="paragraph" w:styleId="aff5">
    <w:name w:val="Body Text"/>
    <w:basedOn w:val="a6"/>
    <w:link w:val="aff6"/>
    <w:uiPriority w:val="99"/>
    <w:semiHidden/>
    <w:unhideWhenUsed/>
    <w:pPr>
      <w:spacing w:after="120"/>
    </w:pPr>
  </w:style>
  <w:style w:type="character" w:customStyle="1" w:styleId="aff6">
    <w:name w:val="本文 字元"/>
    <w:basedOn w:val="a7"/>
    <w:link w:val="aff5"/>
    <w:uiPriority w:val="99"/>
    <w:semiHidden/>
    <w:rPr>
      <w:rFonts w:ascii="標楷體" w:eastAsia="標楷體"/>
      <w:kern w:val="2"/>
      <w:sz w:val="32"/>
    </w:rPr>
  </w:style>
  <w:style w:type="character" w:styleId="aff7">
    <w:name w:val="Placeholder Text"/>
    <w:basedOn w:val="a7"/>
    <w:uiPriority w:val="99"/>
    <w:semiHidden/>
    <w:rPr>
      <w:color w:val="808080"/>
    </w:rPr>
  </w:style>
  <w:style w:type="paragraph" w:styleId="Web">
    <w:name w:val="Normal (Web)"/>
    <w:basedOn w:val="a6"/>
    <w:uiPriority w:val="99"/>
    <w:semiHidden/>
    <w:unhideWhenUsed/>
    <w:pPr>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93252708">
      <w:bodyDiv w:val="1"/>
      <w:marLeft w:val="0"/>
      <w:marRight w:val="0"/>
      <w:marTop w:val="0"/>
      <w:marBottom w:val="0"/>
      <w:divBdr>
        <w:top w:val="none" w:sz="0" w:space="0" w:color="auto"/>
        <w:left w:val="none" w:sz="0" w:space="0" w:color="auto"/>
        <w:bottom w:val="none" w:sz="0" w:space="0" w:color="auto"/>
        <w:right w:val="none" w:sz="0" w:space="0" w:color="auto"/>
      </w:divBdr>
    </w:div>
    <w:div w:id="1634796965">
      <w:bodyDiv w:val="1"/>
      <w:marLeft w:val="0"/>
      <w:marRight w:val="0"/>
      <w:marTop w:val="0"/>
      <w:marBottom w:val="0"/>
      <w:divBdr>
        <w:top w:val="none" w:sz="0" w:space="0" w:color="auto"/>
        <w:left w:val="none" w:sz="0" w:space="0" w:color="auto"/>
        <w:bottom w:val="none" w:sz="0" w:space="0" w:color="auto"/>
        <w:right w:val="none" w:sz="0" w:space="0" w:color="auto"/>
      </w:divBdr>
    </w:div>
    <w:div w:id="1866015205">
      <w:bodyDiv w:val="1"/>
      <w:marLeft w:val="0"/>
      <w:marRight w:val="0"/>
      <w:marTop w:val="0"/>
      <w:marBottom w:val="0"/>
      <w:divBdr>
        <w:top w:val="none" w:sz="0" w:space="0" w:color="auto"/>
        <w:left w:val="none" w:sz="0" w:space="0" w:color="auto"/>
        <w:bottom w:val="none" w:sz="0" w:space="0" w:color="auto"/>
        <w:right w:val="none" w:sz="0" w:space="0" w:color="auto"/>
      </w:divBdr>
    </w:div>
    <w:div w:id="211709401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050F5-89C4-4DA2-8F73-84E124D5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1829</Words>
  <Characters>10430</Characters>
  <Application>Microsoft Office Word</Application>
  <DocSecurity>0</DocSecurity>
  <Lines>86</Lines>
  <Paragraphs>24</Paragraphs>
  <ScaleCrop>false</ScaleCrop>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2025-07-18T01:41:00Z</dcterms:created>
  <dcterms:modified xsi:type="dcterms:W3CDTF">2025-07-18T08:57:00Z</dcterms:modified>
  <cp:contentStatus/>
</cp:coreProperties>
</file>