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Default="00D20D26" w:rsidP="00F37D7B">
      <w:pPr>
        <w:pStyle w:val="af2"/>
      </w:pPr>
      <w:r w:rsidRPr="00BD69D1">
        <w:rPr>
          <w:rFonts w:hint="eastAsia"/>
        </w:rPr>
        <w:t>調查報告</w:t>
      </w:r>
    </w:p>
    <w:tbl>
      <w:tblPr>
        <w:tblW w:w="0" w:type="auto"/>
        <w:tblInd w:w="-142" w:type="dxa"/>
        <w:tblLook w:val="04A0" w:firstRow="1" w:lastRow="0" w:firstColumn="1" w:lastColumn="0" w:noHBand="0" w:noVBand="1"/>
      </w:tblPr>
      <w:tblGrid>
        <w:gridCol w:w="2326"/>
        <w:gridCol w:w="6650"/>
      </w:tblGrid>
      <w:tr w:rsidR="008912CF" w:rsidRPr="00BD69D1" w:rsidTr="00FF4900">
        <w:tc>
          <w:tcPr>
            <w:tcW w:w="2326" w:type="dxa"/>
            <w:shd w:val="clear" w:color="auto" w:fill="auto"/>
          </w:tcPr>
          <w:p w:rsidR="008912CF" w:rsidRPr="00BD69D1" w:rsidRDefault="008912CF" w:rsidP="00FF4900">
            <w:pPr>
              <w:pStyle w:val="4"/>
              <w:numPr>
                <w:ilvl w:val="0"/>
                <w:numId w:val="10"/>
              </w:numPr>
              <w:ind w:hanging="686"/>
              <w:rPr>
                <w:rFonts w:hAnsi="標楷體"/>
                <w:spacing w:val="-20"/>
              </w:rPr>
            </w:pPr>
            <w:r w:rsidRPr="00BD69D1">
              <w:rPr>
                <w:rFonts w:hAnsi="標楷體"/>
                <w:spacing w:val="-20"/>
              </w:rPr>
              <w:t>案　　由：</w:t>
            </w:r>
          </w:p>
        </w:tc>
        <w:tc>
          <w:tcPr>
            <w:tcW w:w="6650" w:type="dxa"/>
            <w:shd w:val="clear" w:color="auto" w:fill="auto"/>
          </w:tcPr>
          <w:p w:rsidR="008912CF" w:rsidRPr="00BD69D1" w:rsidRDefault="008912CF" w:rsidP="00FF4900">
            <w:pPr>
              <w:pStyle w:val="1"/>
              <w:numPr>
                <w:ilvl w:val="0"/>
                <w:numId w:val="0"/>
              </w:numPr>
              <w:ind w:left="-113"/>
              <w:rPr>
                <w:rFonts w:hAnsi="標楷體"/>
              </w:rPr>
            </w:pPr>
            <w:r w:rsidRPr="00BD69D1">
              <w:rPr>
                <w:rFonts w:hAnsi="標楷體" w:hint="eastAsia"/>
              </w:rPr>
              <w:t>勞工退休金條例(勞退新制)於立法之初即規定適用對象為「適用勞動基準法之本國籍勞工」，後續雖透過修法逐步將外籍配偶(含陸港澳)，及取得永久居留許可且在</w:t>
            </w:r>
            <w:proofErr w:type="gramStart"/>
            <w:r w:rsidRPr="00BD69D1">
              <w:rPr>
                <w:rFonts w:hAnsi="標楷體" w:hint="eastAsia"/>
              </w:rPr>
              <w:t>臺</w:t>
            </w:r>
            <w:proofErr w:type="gramEnd"/>
            <w:r w:rsidRPr="00BD69D1">
              <w:rPr>
                <w:rFonts w:hAnsi="標楷體" w:hint="eastAsia"/>
              </w:rPr>
              <w:t>工作之外國人納入，惟仍排除「未取得永久居留許可」之在臺工作外國人。渠等外國人於符合退休要件時，應由雇主依勞動基準法給付退休金；</w:t>
            </w:r>
            <w:proofErr w:type="gramStart"/>
            <w:r w:rsidRPr="00BD69D1">
              <w:rPr>
                <w:rFonts w:hAnsi="標楷體" w:hint="eastAsia"/>
              </w:rPr>
              <w:t>惟</w:t>
            </w:r>
            <w:proofErr w:type="gramEnd"/>
            <w:r w:rsidRPr="00BD69D1">
              <w:rPr>
                <w:rFonts w:hint="eastAsia"/>
              </w:rPr>
              <w:t>勞動基準法規定之</w:t>
            </w:r>
            <w:r w:rsidRPr="00BD69D1">
              <w:t>工作年資以服務同一事業者為限</w:t>
            </w:r>
            <w:r w:rsidRPr="00BD69D1">
              <w:rPr>
                <w:rFonts w:hAnsi="標楷體" w:hint="eastAsia"/>
              </w:rPr>
              <w:t>，</w:t>
            </w:r>
            <w:proofErr w:type="gramStart"/>
            <w:r w:rsidRPr="00BD69D1">
              <w:rPr>
                <w:rFonts w:hint="eastAsia"/>
              </w:rPr>
              <w:t>藍領</w:t>
            </w:r>
            <w:r w:rsidRPr="00BD69D1">
              <w:t>移工</w:t>
            </w:r>
            <w:proofErr w:type="gramEnd"/>
            <w:r w:rsidRPr="00BD69D1">
              <w:rPr>
                <w:rFonts w:hint="eastAsia"/>
              </w:rPr>
              <w:t>皆</w:t>
            </w:r>
            <w:r w:rsidRPr="00BD69D1">
              <w:t>為定期契約</w:t>
            </w:r>
            <w:r w:rsidRPr="00BD69D1">
              <w:rPr>
                <w:rFonts w:hint="eastAsia"/>
              </w:rPr>
              <w:t>，且除家庭看護工及家庭幫傭外，</w:t>
            </w:r>
            <w:r w:rsidRPr="00BD69D1">
              <w:t>在臺工作年限不得超過12年，</w:t>
            </w:r>
            <w:r w:rsidRPr="00BD69D1">
              <w:rPr>
                <w:rFonts w:hint="eastAsia"/>
              </w:rPr>
              <w:t>恐不易成就</w:t>
            </w:r>
            <w:r w:rsidRPr="00BD69D1">
              <w:t>請領退休金之要件</w:t>
            </w:r>
            <w:r w:rsidRPr="00BD69D1">
              <w:rPr>
                <w:rFonts w:hAnsi="標楷體" w:hint="eastAsia"/>
              </w:rPr>
              <w:t>。究</w:t>
            </w:r>
            <w:proofErr w:type="gramStart"/>
            <w:r w:rsidRPr="00BD69D1">
              <w:rPr>
                <w:rFonts w:hAnsi="標楷體" w:hint="eastAsia"/>
              </w:rPr>
              <w:t>勞動部遲未</w:t>
            </w:r>
            <w:proofErr w:type="gramEnd"/>
            <w:r w:rsidRPr="00BD69D1">
              <w:rPr>
                <w:rFonts w:hAnsi="標楷體" w:hint="eastAsia"/>
              </w:rPr>
              <w:t>使</w:t>
            </w:r>
            <w:r w:rsidRPr="00BD69D1">
              <w:rPr>
                <w:rFonts w:hint="eastAsia"/>
              </w:rPr>
              <w:t>藍領</w:t>
            </w:r>
            <w:proofErr w:type="gramStart"/>
            <w:r w:rsidRPr="00BD69D1">
              <w:t>移工</w:t>
            </w:r>
            <w:proofErr w:type="gramEnd"/>
            <w:r w:rsidRPr="00BD69D1">
              <w:rPr>
                <w:rFonts w:hAnsi="標楷體" w:hint="eastAsia"/>
              </w:rPr>
              <w:t>得一體適用勞退新制的原因為何？此種差別待遇是否欠缺正當性及合理性？有無</w:t>
            </w:r>
            <w:proofErr w:type="gramStart"/>
            <w:r w:rsidRPr="00BD69D1">
              <w:rPr>
                <w:rFonts w:hAnsi="標楷體" w:hint="eastAsia"/>
              </w:rPr>
              <w:t>研</w:t>
            </w:r>
            <w:proofErr w:type="gramEnd"/>
            <w:r w:rsidRPr="00BD69D1">
              <w:rPr>
                <w:rFonts w:hAnsi="標楷體" w:hint="eastAsia"/>
              </w:rPr>
              <w:t>議相關配套措施或專案制度之必要？有無</w:t>
            </w:r>
            <w:proofErr w:type="gramStart"/>
            <w:r w:rsidRPr="00BD69D1">
              <w:rPr>
                <w:rFonts w:hAnsi="標楷體" w:hint="eastAsia"/>
              </w:rPr>
              <w:t>怠</w:t>
            </w:r>
            <w:proofErr w:type="gramEnd"/>
            <w:r w:rsidRPr="00BD69D1">
              <w:rPr>
                <w:rFonts w:hAnsi="標楷體" w:hint="eastAsia"/>
              </w:rPr>
              <w:t>於執行職務情事？事涉平等保障勞工退休權益，有深入瞭解之必要案。</w:t>
            </w:r>
          </w:p>
        </w:tc>
      </w:tr>
    </w:tbl>
    <w:p w:rsidR="008912CF" w:rsidRPr="00BD69D1" w:rsidRDefault="008912CF" w:rsidP="00C4661D">
      <w:pPr>
        <w:pStyle w:val="1"/>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BD69D1">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rsidR="008912CF" w:rsidRPr="00BD69D1" w:rsidRDefault="008912CF" w:rsidP="008912CF">
      <w:pPr>
        <w:pStyle w:val="10"/>
        <w:ind w:left="680" w:firstLine="680"/>
        <w:rPr>
          <w:rFonts w:hAnsi="標楷體"/>
        </w:rPr>
      </w:pPr>
      <w:bookmarkStart w:id="14" w:name="_Toc524902730"/>
      <w:r w:rsidRPr="00BD69D1">
        <w:rPr>
          <w:rFonts w:hint="eastAsia"/>
        </w:rPr>
        <w:t>勞工退休金條例(下稱勞退條例，為勞退新制)於立法之初即規定適用對象為「適用勞動基準法(下稱勞基法)之本國籍勞工」，後續雖透過修法逐步將外籍配偶</w:t>
      </w:r>
      <w:r w:rsidRPr="00BD69D1">
        <w:rPr>
          <w:rFonts w:hAnsi="標楷體" w:hint="eastAsia"/>
        </w:rPr>
        <w:t>(含陸港澳)</w:t>
      </w:r>
      <w:r w:rsidRPr="00BD69D1">
        <w:rPr>
          <w:rFonts w:hint="eastAsia"/>
        </w:rPr>
        <w:t>，及取得永久居留許可且在</w:t>
      </w:r>
      <w:proofErr w:type="gramStart"/>
      <w:r w:rsidRPr="00BD69D1">
        <w:rPr>
          <w:rFonts w:hint="eastAsia"/>
        </w:rPr>
        <w:t>臺</w:t>
      </w:r>
      <w:proofErr w:type="gramEnd"/>
      <w:r w:rsidRPr="00BD69D1">
        <w:rPr>
          <w:rFonts w:hint="eastAsia"/>
        </w:rPr>
        <w:t>工作之外國人納入，惟仍排除「未取得永久居留許可」之在臺工作外國人，渠等外國人於符合退休要件時，應由雇主依勞基法之退休金制度(又稱勞退舊制）給付退休金；</w:t>
      </w:r>
      <w:proofErr w:type="gramStart"/>
      <w:r w:rsidRPr="00BD69D1">
        <w:rPr>
          <w:rFonts w:hAnsi="標楷體" w:hint="eastAsia"/>
        </w:rPr>
        <w:t>惟</w:t>
      </w:r>
      <w:proofErr w:type="gramEnd"/>
      <w:r w:rsidRPr="00BD69D1">
        <w:rPr>
          <w:rFonts w:hint="eastAsia"/>
        </w:rPr>
        <w:t>勞基法規定</w:t>
      </w:r>
      <w:r w:rsidRPr="00BD69D1">
        <w:t>工作年資以服務同一事業者為限</w:t>
      </w:r>
      <w:r w:rsidRPr="00BD69D1">
        <w:rPr>
          <w:rFonts w:hAnsi="標楷體" w:hint="eastAsia"/>
        </w:rPr>
        <w:t>，</w:t>
      </w:r>
      <w:proofErr w:type="gramStart"/>
      <w:r w:rsidRPr="00BD69D1">
        <w:rPr>
          <w:rFonts w:hint="eastAsia"/>
        </w:rPr>
        <w:t>藍領</w:t>
      </w:r>
      <w:r w:rsidRPr="00BD69D1">
        <w:t>移工</w:t>
      </w:r>
      <w:proofErr w:type="gramEnd"/>
      <w:r w:rsidRPr="00BD69D1">
        <w:rPr>
          <w:rFonts w:hint="eastAsia"/>
        </w:rPr>
        <w:t>皆</w:t>
      </w:r>
      <w:r w:rsidRPr="00BD69D1">
        <w:t>為定期契約</w:t>
      </w:r>
      <w:r w:rsidRPr="00BD69D1">
        <w:rPr>
          <w:rFonts w:hint="eastAsia"/>
        </w:rPr>
        <w:t>，且除家庭看護工及家庭幫傭外，</w:t>
      </w:r>
      <w:r w:rsidRPr="00BD69D1">
        <w:t>在臺工作年限不得超過12年，</w:t>
      </w:r>
      <w:r w:rsidRPr="00BD69D1">
        <w:rPr>
          <w:rFonts w:hint="eastAsia"/>
        </w:rPr>
        <w:t>恐不易成就</w:t>
      </w:r>
      <w:r w:rsidRPr="00BD69D1">
        <w:t>請領退休金之要件</w:t>
      </w:r>
      <w:r w:rsidRPr="00BD69D1">
        <w:rPr>
          <w:rFonts w:hAnsi="標楷體" w:hint="eastAsia"/>
        </w:rPr>
        <w:t>。</w:t>
      </w:r>
      <w:r w:rsidRPr="00BD69D1">
        <w:rPr>
          <w:rFonts w:hint="eastAsia"/>
        </w:rPr>
        <w:t>究</w:t>
      </w:r>
      <w:proofErr w:type="gramStart"/>
      <w:r w:rsidRPr="00BD69D1">
        <w:rPr>
          <w:rFonts w:hint="eastAsia"/>
        </w:rPr>
        <w:t>勞動部遲未</w:t>
      </w:r>
      <w:proofErr w:type="gramEnd"/>
      <w:r w:rsidRPr="00BD69D1">
        <w:rPr>
          <w:rFonts w:hint="eastAsia"/>
        </w:rPr>
        <w:t>使藍領</w:t>
      </w:r>
      <w:proofErr w:type="gramStart"/>
      <w:r w:rsidRPr="00BD69D1">
        <w:rPr>
          <w:rFonts w:hint="eastAsia"/>
        </w:rPr>
        <w:t>移工</w:t>
      </w:r>
      <w:proofErr w:type="gramEnd"/>
      <w:r w:rsidRPr="00BD69D1">
        <w:rPr>
          <w:rFonts w:hint="eastAsia"/>
        </w:rPr>
        <w:t>得一體適用勞退新制的原因為何？此種差別待遇是否欠缺正當性及合理性？有無</w:t>
      </w:r>
      <w:proofErr w:type="gramStart"/>
      <w:r w:rsidRPr="00BD69D1">
        <w:rPr>
          <w:rFonts w:hint="eastAsia"/>
        </w:rPr>
        <w:t>研</w:t>
      </w:r>
      <w:proofErr w:type="gramEnd"/>
      <w:r w:rsidRPr="00BD69D1">
        <w:rPr>
          <w:rFonts w:hint="eastAsia"/>
        </w:rPr>
        <w:t>議相關配套</w:t>
      </w:r>
      <w:r w:rsidRPr="00BD69D1">
        <w:rPr>
          <w:rFonts w:hint="eastAsia"/>
        </w:rPr>
        <w:lastRenderedPageBreak/>
        <w:t>措施或專案制度之必要？有無</w:t>
      </w:r>
      <w:proofErr w:type="gramStart"/>
      <w:r w:rsidRPr="00BD69D1">
        <w:rPr>
          <w:rFonts w:hint="eastAsia"/>
        </w:rPr>
        <w:t>怠</w:t>
      </w:r>
      <w:proofErr w:type="gramEnd"/>
      <w:r w:rsidRPr="00BD69D1">
        <w:rPr>
          <w:rFonts w:hint="eastAsia"/>
        </w:rPr>
        <w:t>於執行職務情事？事涉平等保障勞工退休權益，有深入瞭解之必要。案經本院向</w:t>
      </w:r>
      <w:proofErr w:type="gramStart"/>
      <w:r w:rsidRPr="00BD69D1">
        <w:rPr>
          <w:rFonts w:hint="eastAsia"/>
        </w:rPr>
        <w:t>勞動部調閱</w:t>
      </w:r>
      <w:proofErr w:type="gramEnd"/>
      <w:r w:rsidRPr="00BD69D1">
        <w:rPr>
          <w:rFonts w:hint="eastAsia"/>
        </w:rPr>
        <w:t>資料，諮詢學者專家意見，並於民國(下同)114年3月3日詢問</w:t>
      </w:r>
      <w:proofErr w:type="gramStart"/>
      <w:r w:rsidRPr="00BD69D1">
        <w:rPr>
          <w:rFonts w:hint="eastAsia"/>
        </w:rPr>
        <w:t>勞動部與國家發</w:t>
      </w:r>
      <w:proofErr w:type="gramEnd"/>
      <w:r w:rsidRPr="00BD69D1">
        <w:rPr>
          <w:rFonts w:hint="eastAsia"/>
        </w:rPr>
        <w:t>展委員會(</w:t>
      </w:r>
      <w:proofErr w:type="gramStart"/>
      <w:r w:rsidRPr="00BD69D1">
        <w:rPr>
          <w:rFonts w:hint="eastAsia"/>
        </w:rPr>
        <w:t>下稱國</w:t>
      </w:r>
      <w:proofErr w:type="gramEnd"/>
      <w:r w:rsidRPr="00BD69D1">
        <w:rPr>
          <w:rFonts w:hint="eastAsia"/>
        </w:rPr>
        <w:t>發會)，已完成調查，茲就相關事實及調查意見詳述如下：</w:t>
      </w:r>
    </w:p>
    <w:p w:rsidR="008912CF" w:rsidRPr="00BD69D1" w:rsidRDefault="008912CF" w:rsidP="008912CF">
      <w:pPr>
        <w:pStyle w:val="2"/>
        <w:spacing w:beforeLines="50" w:before="228"/>
        <w:ind w:left="1020" w:hanging="680"/>
        <w:rPr>
          <w:b/>
        </w:rPr>
      </w:pPr>
      <w:bookmarkStart w:id="15" w:name="_Hlk198278601"/>
      <w:bookmarkStart w:id="16" w:name="_Toc421794873"/>
      <w:bookmarkStart w:id="17" w:name="_Toc422834158"/>
      <w:r w:rsidRPr="00BD69D1">
        <w:rPr>
          <w:rFonts w:hAnsi="標楷體" w:hint="eastAsia"/>
          <w:b/>
        </w:rPr>
        <w:t>現行就業服務法第46條第1項第</w:t>
      </w:r>
      <w:r w:rsidRPr="00BD69D1">
        <w:rPr>
          <w:rFonts w:hAnsi="標楷體"/>
          <w:b/>
        </w:rPr>
        <w:t>8</w:t>
      </w:r>
      <w:r w:rsidRPr="00BD69D1">
        <w:rPr>
          <w:rFonts w:hAnsi="標楷體" w:hint="eastAsia"/>
          <w:b/>
        </w:rPr>
        <w:t>款及第</w:t>
      </w:r>
      <w:r w:rsidRPr="00BD69D1">
        <w:rPr>
          <w:rFonts w:hAnsi="標楷體"/>
          <w:b/>
        </w:rPr>
        <w:t>10</w:t>
      </w:r>
      <w:r w:rsidRPr="00BD69D1">
        <w:rPr>
          <w:rFonts w:hAnsi="標楷體" w:hint="eastAsia"/>
          <w:b/>
        </w:rPr>
        <w:t>款之</w:t>
      </w:r>
      <w:proofErr w:type="gramStart"/>
      <w:r w:rsidRPr="00BD69D1">
        <w:rPr>
          <w:rFonts w:hAnsi="標楷體" w:hint="eastAsia"/>
          <w:b/>
        </w:rPr>
        <w:t>藍領移工適用</w:t>
      </w:r>
      <w:proofErr w:type="gramEnd"/>
      <w:r w:rsidRPr="00BD69D1">
        <w:rPr>
          <w:rFonts w:hAnsi="標楷體" w:hint="eastAsia"/>
          <w:b/>
        </w:rPr>
        <w:t>勞退舊制，惟詢據勞動部表示，原</w:t>
      </w:r>
      <w:r w:rsidRPr="00BD69D1">
        <w:rPr>
          <w:rFonts w:hint="eastAsia"/>
          <w:b/>
        </w:rPr>
        <w:t>行政院勞工委員會</w:t>
      </w:r>
      <w:r w:rsidRPr="00BD69D1">
        <w:rPr>
          <w:b/>
        </w:rPr>
        <w:t>95</w:t>
      </w:r>
      <w:r w:rsidRPr="00BD69D1">
        <w:rPr>
          <w:rFonts w:hint="eastAsia"/>
          <w:b/>
        </w:rPr>
        <w:t>年</w:t>
      </w:r>
      <w:r w:rsidRPr="00BD69D1">
        <w:rPr>
          <w:b/>
        </w:rPr>
        <w:t>12</w:t>
      </w:r>
      <w:r w:rsidRPr="00BD69D1">
        <w:rPr>
          <w:rFonts w:hint="eastAsia"/>
          <w:b/>
        </w:rPr>
        <w:t>月</w:t>
      </w:r>
      <w:r w:rsidRPr="00BD69D1">
        <w:rPr>
          <w:b/>
        </w:rPr>
        <w:t>15</w:t>
      </w:r>
      <w:r w:rsidRPr="00BD69D1">
        <w:rPr>
          <w:rFonts w:hint="eastAsia"/>
          <w:b/>
        </w:rPr>
        <w:t>日勞動</w:t>
      </w:r>
      <w:r w:rsidRPr="00BD69D1">
        <w:rPr>
          <w:b/>
        </w:rPr>
        <w:t>4</w:t>
      </w:r>
      <w:r w:rsidRPr="00BD69D1">
        <w:rPr>
          <w:rFonts w:hint="eastAsia"/>
          <w:b/>
        </w:rPr>
        <w:t>字第</w:t>
      </w:r>
      <w:r w:rsidRPr="00BD69D1">
        <w:rPr>
          <w:b/>
        </w:rPr>
        <w:t>0950109148</w:t>
      </w:r>
      <w:r w:rsidRPr="00BD69D1">
        <w:rPr>
          <w:rFonts w:hint="eastAsia"/>
          <w:b/>
        </w:rPr>
        <w:t>號令釋</w:t>
      </w:r>
      <w:r w:rsidRPr="00BD69D1">
        <w:rPr>
          <w:rFonts w:hAnsi="標楷體" w:hint="eastAsia"/>
          <w:b/>
        </w:rPr>
        <w:t>，考量當時藍領</w:t>
      </w:r>
      <w:proofErr w:type="gramStart"/>
      <w:r w:rsidRPr="00BD69D1">
        <w:rPr>
          <w:rFonts w:hAnsi="標楷體" w:hint="eastAsia"/>
          <w:b/>
        </w:rPr>
        <w:t>移工在</w:t>
      </w:r>
      <w:proofErr w:type="gramEnd"/>
      <w:r w:rsidRPr="00BD69D1">
        <w:rPr>
          <w:rFonts w:hAnsi="標楷體" w:hint="eastAsia"/>
          <w:b/>
        </w:rPr>
        <w:t>臺期間不得逾6年，難以成就退休條件，爰其</w:t>
      </w:r>
      <w:r w:rsidRPr="00BD69D1">
        <w:rPr>
          <w:rFonts w:hint="eastAsia"/>
          <w:b/>
        </w:rPr>
        <w:t>薪資可不計入按月</w:t>
      </w:r>
      <w:proofErr w:type="gramStart"/>
      <w:r w:rsidRPr="00BD69D1">
        <w:rPr>
          <w:rFonts w:hint="eastAsia"/>
          <w:b/>
        </w:rPr>
        <w:t>提</w:t>
      </w:r>
      <w:proofErr w:type="gramEnd"/>
      <w:r w:rsidRPr="00BD69D1">
        <w:rPr>
          <w:rFonts w:hint="eastAsia"/>
          <w:b/>
        </w:rPr>
        <w:t>撥勞工退休準備金之每月薪資總額內，雇主無須為藍領移工</w:t>
      </w:r>
      <w:proofErr w:type="gramStart"/>
      <w:r w:rsidRPr="00BD69D1">
        <w:rPr>
          <w:rFonts w:hint="eastAsia"/>
          <w:b/>
        </w:rPr>
        <w:t>提</w:t>
      </w:r>
      <w:proofErr w:type="gramEnd"/>
      <w:r w:rsidRPr="00BD69D1">
        <w:rPr>
          <w:rFonts w:hint="eastAsia"/>
          <w:b/>
        </w:rPr>
        <w:t>撥退休準備金</w:t>
      </w:r>
      <w:r w:rsidRPr="00BD69D1">
        <w:rPr>
          <w:rFonts w:hAnsi="標楷體" w:hint="eastAsia"/>
          <w:b/>
        </w:rPr>
        <w:t>，然其成就退休條件時，仍應給付退休金。經查，上</w:t>
      </w:r>
      <w:proofErr w:type="gramStart"/>
      <w:r w:rsidRPr="00BD69D1">
        <w:rPr>
          <w:rFonts w:hAnsi="標楷體" w:hint="eastAsia"/>
          <w:b/>
        </w:rPr>
        <w:t>開令釋</w:t>
      </w:r>
      <w:proofErr w:type="gramEnd"/>
      <w:r w:rsidRPr="00BD69D1">
        <w:rPr>
          <w:rFonts w:hAnsi="標楷體" w:hint="eastAsia"/>
          <w:b/>
        </w:rPr>
        <w:t>作成迄今逾18年，就業服務法已放寬藍領</w:t>
      </w:r>
      <w:proofErr w:type="gramStart"/>
      <w:r w:rsidRPr="00BD69D1">
        <w:rPr>
          <w:rFonts w:hAnsi="標楷體" w:hint="eastAsia"/>
          <w:b/>
        </w:rPr>
        <w:t>移工在</w:t>
      </w:r>
      <w:proofErr w:type="gramEnd"/>
      <w:r w:rsidRPr="00BD69D1">
        <w:rPr>
          <w:rFonts w:hAnsi="標楷體" w:hint="eastAsia"/>
          <w:b/>
        </w:rPr>
        <w:t>臺工作年限為12年，且有銜接中階技術人力之機制，</w:t>
      </w:r>
      <w:proofErr w:type="gramStart"/>
      <w:r w:rsidRPr="00BD69D1">
        <w:rPr>
          <w:rFonts w:hAnsi="標楷體" w:hint="eastAsia"/>
          <w:b/>
        </w:rPr>
        <w:t>藍領移工</w:t>
      </w:r>
      <w:proofErr w:type="gramEnd"/>
      <w:r w:rsidRPr="00BD69D1">
        <w:rPr>
          <w:rFonts w:hAnsi="標楷體" w:hint="eastAsia"/>
          <w:b/>
        </w:rPr>
        <w:t>已有成就退休條件之可能；又現行勞基法第56條第1項</w:t>
      </w:r>
      <w:r>
        <w:rPr>
          <w:rFonts w:hAnsi="標楷體" w:hint="eastAsia"/>
          <w:b/>
        </w:rPr>
        <w:t>有關</w:t>
      </w:r>
      <w:r w:rsidRPr="00BD69D1">
        <w:rPr>
          <w:rFonts w:hAnsi="標楷體"/>
          <w:b/>
        </w:rPr>
        <w:t>雇主應按月</w:t>
      </w:r>
      <w:proofErr w:type="gramStart"/>
      <w:r w:rsidRPr="00BD69D1">
        <w:rPr>
          <w:rFonts w:hAnsi="標楷體"/>
          <w:b/>
        </w:rPr>
        <w:t>提撥</w:t>
      </w:r>
      <w:proofErr w:type="gramEnd"/>
      <w:r w:rsidRPr="00BD69D1">
        <w:rPr>
          <w:rFonts w:hAnsi="標楷體"/>
          <w:b/>
        </w:rPr>
        <w:t>勞工退休</w:t>
      </w:r>
      <w:r w:rsidRPr="00BD69D1">
        <w:rPr>
          <w:rFonts w:hAnsi="標楷體" w:hint="eastAsia"/>
          <w:b/>
        </w:rPr>
        <w:t>準備金並專戶存儲之規定，並無區分本、外籍勞工之適用，且該條項後段規定，僅就「</w:t>
      </w:r>
      <w:proofErr w:type="gramStart"/>
      <w:r w:rsidRPr="00BD69D1">
        <w:rPr>
          <w:rFonts w:hAnsi="標楷體" w:hint="eastAsia"/>
          <w:b/>
        </w:rPr>
        <w:t>提</w:t>
      </w:r>
      <w:proofErr w:type="gramEnd"/>
      <w:r w:rsidRPr="00BD69D1">
        <w:rPr>
          <w:rFonts w:hAnsi="標楷體" w:hint="eastAsia"/>
          <w:b/>
        </w:rPr>
        <w:t>撥之比率、程序及管理等事項」授權中央主管機關訂定辦法，</w:t>
      </w:r>
      <w:bookmarkStart w:id="18" w:name="_Hlk198278496"/>
      <w:r w:rsidRPr="00BD69D1">
        <w:rPr>
          <w:rFonts w:hAnsi="標楷體" w:hint="eastAsia"/>
          <w:b/>
        </w:rPr>
        <w:t>勞動</w:t>
      </w:r>
      <w:proofErr w:type="gramStart"/>
      <w:r w:rsidRPr="00BD69D1">
        <w:rPr>
          <w:rFonts w:hAnsi="標楷體" w:hint="eastAsia"/>
          <w:b/>
        </w:rPr>
        <w:t>部</w:t>
      </w:r>
      <w:r>
        <w:rPr>
          <w:rFonts w:hAnsi="標楷體" w:hint="eastAsia"/>
          <w:b/>
        </w:rPr>
        <w:t>卻</w:t>
      </w:r>
      <w:r w:rsidRPr="00BD69D1">
        <w:rPr>
          <w:rFonts w:hAnsi="標楷體" w:hint="eastAsia"/>
          <w:b/>
        </w:rPr>
        <w:t>以令釋免</w:t>
      </w:r>
      <w:proofErr w:type="gramEnd"/>
      <w:r w:rsidRPr="00BD69D1">
        <w:rPr>
          <w:rFonts w:hAnsi="標楷體" w:hint="eastAsia"/>
          <w:b/>
        </w:rPr>
        <w:t>除法律強制雇主</w:t>
      </w:r>
      <w:proofErr w:type="gramStart"/>
      <w:r w:rsidRPr="00BD69D1">
        <w:rPr>
          <w:rFonts w:hAnsi="標楷體" w:hint="eastAsia"/>
          <w:b/>
        </w:rPr>
        <w:t>提</w:t>
      </w:r>
      <w:proofErr w:type="gramEnd"/>
      <w:r w:rsidRPr="00BD69D1">
        <w:rPr>
          <w:rFonts w:hAnsi="標楷體" w:hint="eastAsia"/>
          <w:b/>
        </w:rPr>
        <w:t>撥退休準備金之義務，減輕雇主用人成本負擔，</w:t>
      </w:r>
      <w:r>
        <w:rPr>
          <w:rFonts w:hAnsi="標楷體" w:hint="eastAsia"/>
          <w:b/>
        </w:rPr>
        <w:t>反而</w:t>
      </w:r>
      <w:r w:rsidRPr="00BD69D1">
        <w:rPr>
          <w:rFonts w:hAnsi="標楷體" w:hint="eastAsia"/>
          <w:b/>
        </w:rPr>
        <w:t>削弱勞基法對勞工退休金之保障，恐有違反法律授權明確性原則而牴觸母法之虞</w:t>
      </w:r>
      <w:bookmarkEnd w:id="18"/>
      <w:r w:rsidRPr="00BD69D1">
        <w:rPr>
          <w:rFonts w:hAnsi="標楷體" w:hint="eastAsia"/>
          <w:b/>
        </w:rPr>
        <w:t>。</w:t>
      </w:r>
      <w:proofErr w:type="gramStart"/>
      <w:r w:rsidRPr="00BD69D1">
        <w:rPr>
          <w:rFonts w:hAnsi="標楷體" w:hint="eastAsia"/>
          <w:b/>
        </w:rPr>
        <w:t>勞動部未因應</w:t>
      </w:r>
      <w:proofErr w:type="gramEnd"/>
      <w:r w:rsidRPr="00BD69D1">
        <w:rPr>
          <w:rFonts w:hAnsi="標楷體" w:hint="eastAsia"/>
          <w:b/>
        </w:rPr>
        <w:t>時空環境變遷及配合就業服務法修正情形，適時檢討上</w:t>
      </w:r>
      <w:proofErr w:type="gramStart"/>
      <w:r w:rsidRPr="00BD69D1">
        <w:rPr>
          <w:rFonts w:hAnsi="標楷體" w:hint="eastAsia"/>
          <w:b/>
        </w:rPr>
        <w:t>開令釋</w:t>
      </w:r>
      <w:proofErr w:type="gramEnd"/>
      <w:r w:rsidRPr="00BD69D1">
        <w:rPr>
          <w:rFonts w:hAnsi="標楷體" w:hint="eastAsia"/>
          <w:b/>
        </w:rPr>
        <w:t>，</w:t>
      </w:r>
      <w:r>
        <w:rPr>
          <w:rFonts w:hAnsi="標楷體" w:hint="eastAsia"/>
          <w:b/>
        </w:rPr>
        <w:t>又未能</w:t>
      </w:r>
      <w:r w:rsidRPr="00BD69D1">
        <w:rPr>
          <w:rFonts w:hAnsi="標楷體" w:hint="eastAsia"/>
          <w:b/>
        </w:rPr>
        <w:t>確實掌握地方勞動主管機關辦理查核情形，核有未當，允應儘速通盤檢討是否修正或廢止上</w:t>
      </w:r>
      <w:proofErr w:type="gramStart"/>
      <w:r w:rsidRPr="00BD69D1">
        <w:rPr>
          <w:rFonts w:hAnsi="標楷體" w:hint="eastAsia"/>
          <w:b/>
        </w:rPr>
        <w:t>開令釋</w:t>
      </w:r>
      <w:proofErr w:type="gramEnd"/>
      <w:r w:rsidRPr="00BD69D1">
        <w:rPr>
          <w:rFonts w:hAnsi="標楷體" w:hint="eastAsia"/>
          <w:b/>
        </w:rPr>
        <w:t>，倘政策上認為尚不宜令雇主為藍領移工</w:t>
      </w:r>
      <w:proofErr w:type="gramStart"/>
      <w:r w:rsidRPr="00BD69D1">
        <w:rPr>
          <w:rFonts w:hAnsi="標楷體" w:hint="eastAsia"/>
          <w:b/>
        </w:rPr>
        <w:t>提</w:t>
      </w:r>
      <w:proofErr w:type="gramEnd"/>
      <w:r w:rsidRPr="00BD69D1">
        <w:rPr>
          <w:rFonts w:hAnsi="標楷體" w:hint="eastAsia"/>
          <w:b/>
        </w:rPr>
        <w:t>撥退休準備金，宜斟酌於勞基法明定排除適用</w:t>
      </w:r>
      <w:proofErr w:type="gramStart"/>
      <w:r w:rsidRPr="00BD69D1">
        <w:rPr>
          <w:rFonts w:hAnsi="標楷體" w:hint="eastAsia"/>
          <w:b/>
        </w:rPr>
        <w:t>提</w:t>
      </w:r>
      <w:proofErr w:type="gramEnd"/>
      <w:r w:rsidRPr="00BD69D1">
        <w:rPr>
          <w:rFonts w:hAnsi="標楷體" w:hint="eastAsia"/>
          <w:b/>
        </w:rPr>
        <w:t>撥退休準備金情形之授權依據，俾符合法律授權明確性原則，保障適用勞退</w:t>
      </w:r>
      <w:proofErr w:type="gramStart"/>
      <w:r w:rsidRPr="00BD69D1">
        <w:rPr>
          <w:rFonts w:hAnsi="標楷體" w:hint="eastAsia"/>
          <w:b/>
        </w:rPr>
        <w:t>舊制移工</w:t>
      </w:r>
      <w:proofErr w:type="gramEnd"/>
      <w:r w:rsidRPr="00BD69D1">
        <w:rPr>
          <w:rFonts w:hAnsi="標楷體" w:hint="eastAsia"/>
          <w:b/>
        </w:rPr>
        <w:t>之退</w:t>
      </w:r>
      <w:r w:rsidRPr="00BD69D1">
        <w:rPr>
          <w:rFonts w:hAnsi="標楷體" w:hint="eastAsia"/>
          <w:b/>
        </w:rPr>
        <w:lastRenderedPageBreak/>
        <w:t>休金權益</w:t>
      </w:r>
      <w:bookmarkEnd w:id="15"/>
      <w:r w:rsidRPr="00BD69D1">
        <w:rPr>
          <w:rFonts w:hAnsi="標楷體" w:hint="eastAsia"/>
          <w:b/>
        </w:rPr>
        <w:t>。</w:t>
      </w:r>
    </w:p>
    <w:p w:rsidR="009F2D16" w:rsidRPr="008A4A1D" w:rsidRDefault="008912CF" w:rsidP="008A4A1D">
      <w:pPr>
        <w:pStyle w:val="3"/>
        <w:rPr>
          <w:rFonts w:hAnsi="標楷體"/>
        </w:rPr>
      </w:pPr>
      <w:r w:rsidRPr="00BD69D1">
        <w:rPr>
          <w:rFonts w:hint="eastAsia"/>
        </w:rPr>
        <w:t>勞基法係國家本於保護勞工權益之意旨，規範各項勞動條件最低標準之法律</w:t>
      </w:r>
      <w:r w:rsidRPr="00BD69D1">
        <w:rPr>
          <w:rFonts w:hAnsi="標楷體" w:hint="eastAsia"/>
        </w:rPr>
        <w:t>，勞動基準法第六章有關勞工退休制度，即係國家透過立法方式所積極建構之最低勞動條件之一，旨在減少勞工流動率，獎勵久任企業之勞工，</w:t>
      </w:r>
      <w:proofErr w:type="gramStart"/>
      <w:r w:rsidRPr="00BD69D1">
        <w:rPr>
          <w:rFonts w:hAnsi="標楷體" w:hint="eastAsia"/>
        </w:rPr>
        <w:t>俾</w:t>
      </w:r>
      <w:proofErr w:type="gramEnd"/>
      <w:r w:rsidRPr="00BD69D1">
        <w:rPr>
          <w:rFonts w:hAnsi="標楷體" w:hint="eastAsia"/>
        </w:rPr>
        <w:t>使其安心工作，提高生產效率，藉以降低經營成本，增加企業利潤，具有穩定勞雇關係，並使勞工能獲得相當之退休金，以維持其退休後之生活</w:t>
      </w:r>
      <w:r w:rsidRPr="00BD69D1">
        <w:rPr>
          <w:rFonts w:hint="eastAsia"/>
        </w:rPr>
        <w:t>(</w:t>
      </w:r>
      <w:r w:rsidRPr="00BD69D1">
        <w:rPr>
          <w:rFonts w:hAnsi="標楷體" w:hint="eastAsia"/>
        </w:rPr>
        <w:t>司法院釋字第5</w:t>
      </w:r>
      <w:r w:rsidRPr="00BD69D1">
        <w:rPr>
          <w:rFonts w:hAnsi="標楷體"/>
        </w:rPr>
        <w:t>78</w:t>
      </w:r>
      <w:r w:rsidRPr="00BD69D1">
        <w:rPr>
          <w:rFonts w:hAnsi="標楷體" w:hint="eastAsia"/>
        </w:rPr>
        <w:t>號解釋理由書參照</w:t>
      </w:r>
      <w:r w:rsidRPr="00BD69D1">
        <w:rPr>
          <w:rFonts w:hint="eastAsia"/>
        </w:rPr>
        <w:t>)</w:t>
      </w:r>
      <w:r w:rsidRPr="00BD69D1">
        <w:rPr>
          <w:rFonts w:hAnsi="標楷體" w:hint="eastAsia"/>
        </w:rPr>
        <w:t>。勞基法第5</w:t>
      </w:r>
      <w:r w:rsidRPr="00BD69D1">
        <w:rPr>
          <w:rFonts w:hAnsi="標楷體"/>
        </w:rPr>
        <w:t>5</w:t>
      </w:r>
      <w:r w:rsidRPr="00BD69D1">
        <w:rPr>
          <w:rFonts w:hAnsi="標楷體" w:hint="eastAsia"/>
        </w:rPr>
        <w:t>條及第5</w:t>
      </w:r>
      <w:r w:rsidRPr="00BD69D1">
        <w:rPr>
          <w:rFonts w:hAnsi="標楷體"/>
        </w:rPr>
        <w:t>6</w:t>
      </w:r>
      <w:r w:rsidRPr="00BD69D1">
        <w:rPr>
          <w:rFonts w:hAnsi="標楷體" w:hint="eastAsia"/>
        </w:rPr>
        <w:t>條分別規定雇主負擔給付勞工退休金及按月</w:t>
      </w:r>
      <w:proofErr w:type="gramStart"/>
      <w:r w:rsidRPr="00BD69D1">
        <w:rPr>
          <w:rFonts w:hAnsi="標楷體" w:hint="eastAsia"/>
        </w:rPr>
        <w:t>提撥</w:t>
      </w:r>
      <w:proofErr w:type="gramEnd"/>
      <w:r w:rsidRPr="00BD69D1">
        <w:rPr>
          <w:rFonts w:hAnsi="標楷體" w:hint="eastAsia"/>
        </w:rPr>
        <w:t>勞工退休準備金之義務。該</w:t>
      </w:r>
      <w:bookmarkStart w:id="19" w:name="_Hlk198112388"/>
      <w:r w:rsidRPr="00BD69D1">
        <w:rPr>
          <w:rFonts w:hAnsi="標楷體" w:hint="eastAsia"/>
        </w:rPr>
        <w:t>法第56條第1項</w:t>
      </w:r>
      <w:bookmarkEnd w:id="19"/>
      <w:r w:rsidRPr="00BD69D1">
        <w:rPr>
          <w:rFonts w:hAnsi="標楷體" w:hint="eastAsia"/>
        </w:rPr>
        <w:t>規定：「雇主應依勞工每月薪資總額2</w:t>
      </w:r>
      <w:r w:rsidRPr="00BD69D1">
        <w:rPr>
          <w:rFonts w:hAnsi="標楷體"/>
        </w:rPr>
        <w:t>%</w:t>
      </w:r>
      <w:r w:rsidRPr="00BD69D1">
        <w:rPr>
          <w:rFonts w:hAnsi="標楷體" w:hint="eastAsia"/>
        </w:rPr>
        <w:t>至1</w:t>
      </w:r>
      <w:r w:rsidRPr="00BD69D1">
        <w:rPr>
          <w:rFonts w:hAnsi="標楷體"/>
        </w:rPr>
        <w:t>5%</w:t>
      </w:r>
      <w:r w:rsidRPr="00BD69D1">
        <w:rPr>
          <w:rFonts w:hAnsi="標楷體" w:hint="eastAsia"/>
        </w:rPr>
        <w:t>範圍內，按月</w:t>
      </w:r>
      <w:proofErr w:type="gramStart"/>
      <w:r w:rsidRPr="00BD69D1">
        <w:rPr>
          <w:rFonts w:hAnsi="標楷體" w:hint="eastAsia"/>
        </w:rPr>
        <w:t>提撥</w:t>
      </w:r>
      <w:proofErr w:type="gramEnd"/>
      <w:r w:rsidRPr="00BD69D1">
        <w:rPr>
          <w:rFonts w:hAnsi="標楷體" w:hint="eastAsia"/>
        </w:rPr>
        <w:t>勞工退休準備金，專戶存儲，並不得作為讓與、扣押、抵銷或擔保之標的；其</w:t>
      </w:r>
      <w:proofErr w:type="gramStart"/>
      <w:r w:rsidRPr="00BD69D1">
        <w:rPr>
          <w:rFonts w:hAnsi="標楷體" w:hint="eastAsia"/>
        </w:rPr>
        <w:t>提撥</w:t>
      </w:r>
      <w:proofErr w:type="gramEnd"/>
      <w:r w:rsidRPr="00BD69D1">
        <w:rPr>
          <w:rFonts w:hAnsi="標楷體" w:hint="eastAsia"/>
        </w:rPr>
        <w:t>之比率、程序及管理等事項之辦法，由中央主管機關擬訂，報請行政院核定之。」上開強制雇主按月</w:t>
      </w:r>
      <w:proofErr w:type="gramStart"/>
      <w:r w:rsidRPr="00BD69D1">
        <w:rPr>
          <w:rFonts w:hAnsi="標楷體" w:hint="eastAsia"/>
        </w:rPr>
        <w:t>提撥</w:t>
      </w:r>
      <w:proofErr w:type="gramEnd"/>
      <w:r w:rsidRPr="00BD69D1">
        <w:rPr>
          <w:rFonts w:hAnsi="標楷體" w:hint="eastAsia"/>
        </w:rPr>
        <w:t>勞工退休準備金並專戶存儲之規定，旨在使勞工退休金之財源與企業財務分離，避免相互影響或有挪用情事發生，以穩定勞工退休時之資金來源，使勞工領取退休金之權益能獲得充分保障，同時減少雇主須於短期內籌措退休金而衍生之財務問題</w:t>
      </w:r>
      <w:r w:rsidRPr="00BD69D1">
        <w:rPr>
          <w:rFonts w:hint="eastAsia"/>
        </w:rPr>
        <w:t>(</w:t>
      </w:r>
      <w:r w:rsidRPr="00BD69D1">
        <w:rPr>
          <w:rFonts w:hAnsi="標楷體" w:hint="eastAsia"/>
        </w:rPr>
        <w:t>司法院釋字第5</w:t>
      </w:r>
      <w:r w:rsidRPr="00BD69D1">
        <w:rPr>
          <w:rFonts w:hAnsi="標楷體"/>
        </w:rPr>
        <w:t>78號解釋理由書參照</w:t>
      </w:r>
      <w:r w:rsidRPr="00BD69D1">
        <w:rPr>
          <w:rFonts w:hint="eastAsia"/>
        </w:rPr>
        <w:t>)</w:t>
      </w:r>
      <w:r w:rsidRPr="00BD69D1">
        <w:rPr>
          <w:rFonts w:hAnsi="標楷體" w:hint="eastAsia"/>
        </w:rPr>
        <w:t>。為貫徹該法及其他勞工法令之執行，勞基法第72條第1項明定：「中央主管機關，為貫徹本法及其他勞工法令之執行，設勞工檢查機構或授權直轄市主管機關專設檢查機構辦理之；直轄市、縣</w:t>
      </w:r>
      <w:r w:rsidRPr="00BD69D1">
        <w:rPr>
          <w:rFonts w:hint="eastAsia"/>
        </w:rPr>
        <w:t>(</w:t>
      </w:r>
      <w:r w:rsidRPr="00BD69D1">
        <w:rPr>
          <w:rFonts w:hAnsi="標楷體" w:hint="eastAsia"/>
        </w:rPr>
        <w:t>市</w:t>
      </w:r>
      <w:r w:rsidRPr="00BD69D1">
        <w:rPr>
          <w:rFonts w:hint="eastAsia"/>
        </w:rPr>
        <w:t>)</w:t>
      </w:r>
      <w:r w:rsidRPr="00BD69D1">
        <w:rPr>
          <w:rFonts w:hAnsi="標楷體" w:hint="eastAsia"/>
        </w:rPr>
        <w:t>主管機關於必要時，亦得派員實施檢查。」</w:t>
      </w:r>
    </w:p>
    <w:p w:rsidR="008912CF" w:rsidRPr="008912CF" w:rsidRDefault="008912CF" w:rsidP="008912CF">
      <w:pPr>
        <w:pStyle w:val="3"/>
        <w:rPr>
          <w:rFonts w:hAnsi="標楷體"/>
        </w:rPr>
      </w:pPr>
      <w:r w:rsidRPr="00BD69D1">
        <w:rPr>
          <w:rFonts w:hAnsi="標楷體" w:hint="eastAsia"/>
        </w:rPr>
        <w:t>受</w:t>
      </w:r>
      <w:proofErr w:type="gramStart"/>
      <w:r w:rsidRPr="00BD69D1">
        <w:rPr>
          <w:rFonts w:hAnsi="標楷體" w:hint="eastAsia"/>
        </w:rPr>
        <w:t>僱</w:t>
      </w:r>
      <w:proofErr w:type="gramEnd"/>
      <w:r w:rsidRPr="00BD69D1">
        <w:rPr>
          <w:rFonts w:hAnsi="標楷體" w:hint="eastAsia"/>
        </w:rPr>
        <w:t>於適用勞基法事業單位之勞工，無論本國籍或外國籍，皆受勞基法保障。勞基法第</w:t>
      </w:r>
      <w:r w:rsidRPr="00BD69D1">
        <w:rPr>
          <w:rFonts w:hAnsi="標楷體"/>
        </w:rPr>
        <w:t>53</w:t>
      </w:r>
      <w:r w:rsidRPr="00BD69D1">
        <w:rPr>
          <w:rFonts w:hAnsi="標楷體" w:hint="eastAsia"/>
        </w:rPr>
        <w:t>條規定</w:t>
      </w:r>
      <w:r>
        <w:rPr>
          <w:rFonts w:hAnsi="標楷體" w:hint="eastAsia"/>
        </w:rPr>
        <w:t>：</w:t>
      </w:r>
      <w:r w:rsidRPr="00BD69D1">
        <w:rPr>
          <w:rFonts w:hAnsi="標楷體" w:hint="eastAsia"/>
        </w:rPr>
        <w:t>「勞工有下列情形之一，得自請退休：一、工作</w:t>
      </w:r>
      <w:r w:rsidRPr="00BD69D1">
        <w:rPr>
          <w:rFonts w:hAnsi="標楷體"/>
        </w:rPr>
        <w:t>15</w:t>
      </w:r>
      <w:r w:rsidRPr="00BD69D1">
        <w:rPr>
          <w:rFonts w:hAnsi="標楷體" w:hint="eastAsia"/>
        </w:rPr>
        <w:t>年以</w:t>
      </w:r>
      <w:r w:rsidRPr="00BD69D1">
        <w:rPr>
          <w:rFonts w:hAnsi="標楷體" w:hint="eastAsia"/>
        </w:rPr>
        <w:lastRenderedPageBreak/>
        <w:t>上年滿</w:t>
      </w:r>
      <w:r w:rsidRPr="00BD69D1">
        <w:rPr>
          <w:rFonts w:hAnsi="標楷體"/>
        </w:rPr>
        <w:t>55</w:t>
      </w:r>
      <w:r w:rsidRPr="00BD69D1">
        <w:rPr>
          <w:rFonts w:hAnsi="標楷體" w:hint="eastAsia"/>
        </w:rPr>
        <w:t>歲。二、工作</w:t>
      </w:r>
      <w:r w:rsidRPr="00BD69D1">
        <w:rPr>
          <w:rFonts w:hAnsi="標楷體"/>
        </w:rPr>
        <w:t>25</w:t>
      </w:r>
      <w:r w:rsidRPr="00BD69D1">
        <w:rPr>
          <w:rFonts w:hAnsi="標楷體" w:hint="eastAsia"/>
        </w:rPr>
        <w:t>年以上。三、工作</w:t>
      </w:r>
      <w:r w:rsidRPr="00BD69D1">
        <w:rPr>
          <w:rFonts w:hAnsi="標楷體"/>
        </w:rPr>
        <w:t>10</w:t>
      </w:r>
      <w:r w:rsidRPr="00BD69D1">
        <w:rPr>
          <w:rFonts w:hAnsi="標楷體" w:hint="eastAsia"/>
        </w:rPr>
        <w:t>年以上年滿</w:t>
      </w:r>
      <w:r w:rsidRPr="00BD69D1">
        <w:rPr>
          <w:rFonts w:hAnsi="標楷體"/>
        </w:rPr>
        <w:t>60</w:t>
      </w:r>
      <w:r w:rsidRPr="00BD69D1">
        <w:rPr>
          <w:rFonts w:hAnsi="標楷體" w:hint="eastAsia"/>
        </w:rPr>
        <w:t>歲者。」同法第</w:t>
      </w:r>
      <w:r w:rsidRPr="00BD69D1">
        <w:rPr>
          <w:rFonts w:hAnsi="標楷體"/>
        </w:rPr>
        <w:t>54</w:t>
      </w:r>
      <w:r w:rsidRPr="00BD69D1">
        <w:rPr>
          <w:rFonts w:hAnsi="標楷體" w:hint="eastAsia"/>
        </w:rPr>
        <w:t>條規定：「勞工非有下列情形之一，雇主不得強制其退休：年滿</w:t>
      </w:r>
      <w:r w:rsidRPr="00BD69D1">
        <w:rPr>
          <w:rFonts w:hAnsi="標楷體"/>
        </w:rPr>
        <w:t>65</w:t>
      </w:r>
      <w:r w:rsidRPr="00BD69D1">
        <w:rPr>
          <w:rFonts w:hAnsi="標楷體" w:hint="eastAsia"/>
        </w:rPr>
        <w:t>歲者…</w:t>
      </w:r>
      <w:proofErr w:type="gramStart"/>
      <w:r w:rsidRPr="00BD69D1">
        <w:rPr>
          <w:rFonts w:hAnsi="標楷體" w:hint="eastAsia"/>
        </w:rPr>
        <w:t>…</w:t>
      </w:r>
      <w:proofErr w:type="gramEnd"/>
      <w:r w:rsidRPr="00BD69D1">
        <w:rPr>
          <w:rFonts w:hAnsi="標楷體" w:hint="eastAsia"/>
        </w:rPr>
        <w:t>」。勞工如符合勞基法第</w:t>
      </w:r>
      <w:r w:rsidRPr="00BD69D1">
        <w:rPr>
          <w:rFonts w:hAnsi="標楷體"/>
        </w:rPr>
        <w:t>53</w:t>
      </w:r>
      <w:r w:rsidRPr="00BD69D1">
        <w:rPr>
          <w:rFonts w:hAnsi="標楷體" w:hint="eastAsia"/>
        </w:rPr>
        <w:t>條及第</w:t>
      </w:r>
      <w:r w:rsidRPr="00BD69D1">
        <w:rPr>
          <w:rFonts w:hAnsi="標楷體"/>
        </w:rPr>
        <w:t>54</w:t>
      </w:r>
      <w:r w:rsidRPr="00BD69D1">
        <w:rPr>
          <w:rFonts w:hAnsi="標楷體" w:hint="eastAsia"/>
        </w:rPr>
        <w:t>條所定退休條件，雇主應依勞基法第</w:t>
      </w:r>
      <w:r w:rsidRPr="00BD69D1">
        <w:rPr>
          <w:rFonts w:hAnsi="標楷體"/>
        </w:rPr>
        <w:t>55</w:t>
      </w:r>
      <w:r w:rsidRPr="00BD69D1">
        <w:rPr>
          <w:rFonts w:hAnsi="標楷體" w:hint="eastAsia"/>
        </w:rPr>
        <w:t>條及第</w:t>
      </w:r>
      <w:r w:rsidRPr="00BD69D1">
        <w:rPr>
          <w:rFonts w:hAnsi="標楷體"/>
        </w:rPr>
        <w:t>84</w:t>
      </w:r>
      <w:r w:rsidRPr="00BD69D1">
        <w:rPr>
          <w:rFonts w:hAnsi="標楷體" w:hint="eastAsia"/>
        </w:rPr>
        <w:t>條之</w:t>
      </w:r>
      <w:r w:rsidRPr="00BD69D1">
        <w:rPr>
          <w:rFonts w:hAnsi="標楷體"/>
        </w:rPr>
        <w:t>2</w:t>
      </w:r>
      <w:r w:rsidRPr="00BD69D1">
        <w:rPr>
          <w:rFonts w:hAnsi="標楷體" w:hint="eastAsia"/>
        </w:rPr>
        <w:t>所定標準給付退休金。不適用勞退條例第</w:t>
      </w:r>
      <w:r w:rsidRPr="00BD69D1">
        <w:rPr>
          <w:rFonts w:hAnsi="標楷體"/>
        </w:rPr>
        <w:t>7</w:t>
      </w:r>
      <w:r w:rsidRPr="00BD69D1">
        <w:rPr>
          <w:rFonts w:hAnsi="標楷體" w:hint="eastAsia"/>
        </w:rPr>
        <w:t>條規定</w:t>
      </w:r>
      <w:r w:rsidRPr="00BD69D1">
        <w:rPr>
          <w:rStyle w:val="afe"/>
          <w:rFonts w:hAnsi="標楷體"/>
        </w:rPr>
        <w:footnoteReference w:id="1"/>
      </w:r>
      <w:r w:rsidRPr="00BD69D1">
        <w:rPr>
          <w:rFonts w:hAnsi="標楷體" w:hint="eastAsia"/>
        </w:rPr>
        <w:t>及外國專業人才延攬及僱用法(下稱外國人才專法)第</w:t>
      </w:r>
      <w:r w:rsidRPr="00BD69D1">
        <w:rPr>
          <w:rFonts w:hAnsi="標楷體"/>
        </w:rPr>
        <w:t>22</w:t>
      </w:r>
      <w:r w:rsidRPr="00BD69D1">
        <w:rPr>
          <w:rFonts w:hAnsi="標楷體" w:hint="eastAsia"/>
        </w:rPr>
        <w:t>條規定</w:t>
      </w:r>
      <w:r w:rsidRPr="00BD69D1">
        <w:rPr>
          <w:rStyle w:val="afe"/>
          <w:rFonts w:hAnsi="標楷體"/>
        </w:rPr>
        <w:footnoteReference w:id="2"/>
      </w:r>
      <w:r w:rsidRPr="00BD69D1">
        <w:rPr>
          <w:rFonts w:hAnsi="標楷體" w:hint="eastAsia"/>
        </w:rPr>
        <w:t>之外國籍勞工，倘受</w:t>
      </w:r>
      <w:proofErr w:type="gramStart"/>
      <w:r w:rsidRPr="00BD69D1">
        <w:rPr>
          <w:rFonts w:hAnsi="標楷體" w:hint="eastAsia"/>
        </w:rPr>
        <w:t>僱</w:t>
      </w:r>
      <w:proofErr w:type="gramEnd"/>
      <w:r w:rsidRPr="00BD69D1">
        <w:rPr>
          <w:rFonts w:hAnsi="標楷體" w:hint="eastAsia"/>
        </w:rPr>
        <w:t>於適用勞基法之事業單位，應適用勞基法之退休金制度，即勞退舊制。</w:t>
      </w:r>
    </w:p>
    <w:p w:rsidR="008912CF" w:rsidRPr="00BD69D1" w:rsidRDefault="008912CF" w:rsidP="008912CF">
      <w:pPr>
        <w:pStyle w:val="3"/>
        <w:rPr>
          <w:rFonts w:hAnsi="標楷體"/>
        </w:rPr>
      </w:pPr>
      <w:r w:rsidRPr="00BD69D1">
        <w:rPr>
          <w:rFonts w:hAnsi="標楷體" w:hint="eastAsia"/>
        </w:rPr>
        <w:t>我國目前</w:t>
      </w:r>
      <w:proofErr w:type="gramStart"/>
      <w:r w:rsidRPr="00BD69D1">
        <w:rPr>
          <w:rFonts w:hAnsi="標楷體" w:hint="eastAsia"/>
        </w:rPr>
        <w:t>開放移工的</w:t>
      </w:r>
      <w:proofErr w:type="gramEnd"/>
      <w:r w:rsidRPr="00BD69D1">
        <w:rPr>
          <w:rFonts w:hAnsi="標楷體" w:hint="eastAsia"/>
        </w:rPr>
        <w:t>工作業別，包含：海洋漁撈工作、家庭幫</w:t>
      </w:r>
      <w:proofErr w:type="gramStart"/>
      <w:r w:rsidRPr="00BD69D1">
        <w:rPr>
          <w:rFonts w:hAnsi="標楷體" w:hint="eastAsia"/>
        </w:rPr>
        <w:t>傭</w:t>
      </w:r>
      <w:proofErr w:type="gramEnd"/>
      <w:r w:rsidRPr="00BD69D1">
        <w:rPr>
          <w:rFonts w:hAnsi="標楷體" w:hint="eastAsia"/>
        </w:rPr>
        <w:t>工作、製造工作、營造工作、屠宰工作、機構看護工作、家庭看護工作、乳牛飼育工作、外展農務服務、雙語翻譯工作、外籍廚師及其相關工作。其中，家庭幫</w:t>
      </w:r>
      <w:proofErr w:type="gramStart"/>
      <w:r w:rsidRPr="00BD69D1">
        <w:rPr>
          <w:rFonts w:hAnsi="標楷體" w:hint="eastAsia"/>
        </w:rPr>
        <w:t>傭</w:t>
      </w:r>
      <w:proofErr w:type="gramEnd"/>
      <w:r w:rsidRPr="00BD69D1">
        <w:rPr>
          <w:rFonts w:hAnsi="標楷體" w:hint="eastAsia"/>
        </w:rPr>
        <w:t>及家庭看護工作未適用勞基法</w:t>
      </w:r>
      <w:r w:rsidRPr="00BD69D1">
        <w:rPr>
          <w:rStyle w:val="afe"/>
          <w:rFonts w:hAnsi="標楷體"/>
        </w:rPr>
        <w:footnoteReference w:id="3"/>
      </w:r>
      <w:r w:rsidRPr="00BD69D1">
        <w:rPr>
          <w:rFonts w:hAnsi="標楷體" w:hint="eastAsia"/>
        </w:rPr>
        <w:t>，其餘有勞基法之適用。按上開勞基法、勞退條例、外國人才專法等相關規定，就業服務法(下稱就</w:t>
      </w:r>
      <w:proofErr w:type="gramStart"/>
      <w:r w:rsidRPr="00BD69D1">
        <w:rPr>
          <w:rFonts w:hAnsi="標楷體" w:hint="eastAsia"/>
        </w:rPr>
        <w:t>服法</w:t>
      </w:r>
      <w:proofErr w:type="gramEnd"/>
      <w:r w:rsidRPr="00BD69D1">
        <w:rPr>
          <w:rFonts w:hAnsi="標楷體" w:hint="eastAsia"/>
        </w:rPr>
        <w:t>)第</w:t>
      </w:r>
      <w:r w:rsidRPr="00BD69D1">
        <w:rPr>
          <w:rFonts w:hAnsi="標楷體"/>
        </w:rPr>
        <w:t>46</w:t>
      </w:r>
      <w:r w:rsidRPr="00BD69D1">
        <w:rPr>
          <w:rFonts w:hAnsi="標楷體" w:hint="eastAsia"/>
        </w:rPr>
        <w:t>條第</w:t>
      </w:r>
      <w:r w:rsidRPr="00BD69D1">
        <w:rPr>
          <w:rFonts w:hAnsi="標楷體"/>
        </w:rPr>
        <w:t>1</w:t>
      </w:r>
      <w:r w:rsidRPr="00BD69D1">
        <w:rPr>
          <w:rFonts w:hAnsi="標楷體" w:hint="eastAsia"/>
        </w:rPr>
        <w:t>項第</w:t>
      </w:r>
      <w:r w:rsidRPr="00BD69D1">
        <w:rPr>
          <w:rFonts w:hAnsi="標楷體"/>
        </w:rPr>
        <w:t>8</w:t>
      </w:r>
      <w:r w:rsidRPr="00BD69D1">
        <w:rPr>
          <w:rFonts w:hAnsi="標楷體" w:hint="eastAsia"/>
        </w:rPr>
        <w:t>款及第</w:t>
      </w:r>
      <w:r w:rsidRPr="00BD69D1">
        <w:rPr>
          <w:rFonts w:hAnsi="標楷體"/>
        </w:rPr>
        <w:t>10</w:t>
      </w:r>
      <w:r w:rsidRPr="00BD69D1">
        <w:rPr>
          <w:rFonts w:hAnsi="標楷體" w:hint="eastAsia"/>
        </w:rPr>
        <w:t>款之「</w:t>
      </w:r>
      <w:proofErr w:type="gramStart"/>
      <w:r w:rsidRPr="00BD69D1">
        <w:rPr>
          <w:rFonts w:hAnsi="標楷體" w:hint="eastAsia"/>
        </w:rPr>
        <w:t>藍領移</w:t>
      </w:r>
      <w:proofErr w:type="gramEnd"/>
      <w:r w:rsidRPr="00BD69D1">
        <w:rPr>
          <w:rFonts w:hAnsi="標楷體" w:hint="eastAsia"/>
        </w:rPr>
        <w:t>工」(同條項第9款家庭看護工及家庭幫傭不適用勞基法)</w:t>
      </w:r>
      <w:r w:rsidRPr="00BD69D1">
        <w:rPr>
          <w:rFonts w:ascii="新細明體" w:eastAsia="新細明體" w:hAnsi="新細明體" w:hint="eastAsia"/>
        </w:rPr>
        <w:t>、</w:t>
      </w:r>
      <w:r w:rsidRPr="00BD69D1">
        <w:rPr>
          <w:rFonts w:hAnsi="標楷體" w:hint="eastAsia"/>
        </w:rPr>
        <w:t>未取得永久居留許可之同條項第</w:t>
      </w:r>
      <w:r w:rsidRPr="00BD69D1">
        <w:rPr>
          <w:rFonts w:hAnsi="標楷體"/>
        </w:rPr>
        <w:t>1</w:t>
      </w:r>
      <w:r w:rsidRPr="00BD69D1">
        <w:rPr>
          <w:rFonts w:hAnsi="標楷體" w:hint="eastAsia"/>
        </w:rPr>
        <w:t>款至第</w:t>
      </w:r>
      <w:r w:rsidRPr="00BD69D1">
        <w:rPr>
          <w:rFonts w:hAnsi="標楷體"/>
        </w:rPr>
        <w:t>6</w:t>
      </w:r>
      <w:r w:rsidRPr="00BD69D1">
        <w:rPr>
          <w:rFonts w:hAnsi="標楷體" w:hint="eastAsia"/>
        </w:rPr>
        <w:t>款之「</w:t>
      </w:r>
      <w:bookmarkStart w:id="20" w:name="_Hlk198108964"/>
      <w:r w:rsidRPr="00BD69D1">
        <w:rPr>
          <w:rFonts w:hAnsi="標楷體" w:hint="eastAsia"/>
        </w:rPr>
        <w:t>外國專業人才</w:t>
      </w:r>
      <w:bookmarkEnd w:id="20"/>
      <w:r w:rsidRPr="00BD69D1">
        <w:rPr>
          <w:rFonts w:hAnsi="標楷體" w:hint="eastAsia"/>
        </w:rPr>
        <w:t>」、同條項第</w:t>
      </w:r>
      <w:r w:rsidRPr="00BD69D1">
        <w:rPr>
          <w:rFonts w:hAnsi="標楷體"/>
        </w:rPr>
        <w:t>11</w:t>
      </w:r>
      <w:r w:rsidRPr="00BD69D1">
        <w:rPr>
          <w:rFonts w:hAnsi="標楷體" w:hint="eastAsia"/>
        </w:rPr>
        <w:t>款之「中階技術人力」，均適用勞退舊制。而據勞動部統計，1</w:t>
      </w:r>
      <w:r w:rsidRPr="00BD69D1">
        <w:rPr>
          <w:rFonts w:hAnsi="標楷體"/>
        </w:rPr>
        <w:t>13</w:t>
      </w:r>
      <w:r w:rsidRPr="00BD69D1">
        <w:rPr>
          <w:rFonts w:hAnsi="標楷體" w:hint="eastAsia"/>
        </w:rPr>
        <w:t>年底</w:t>
      </w:r>
      <w:r w:rsidRPr="00BD69D1">
        <w:rPr>
          <w:rFonts w:hAnsi="標楷體" w:hint="eastAsia"/>
        </w:rPr>
        <w:lastRenderedPageBreak/>
        <w:t>在</w:t>
      </w:r>
      <w:proofErr w:type="gramStart"/>
      <w:r w:rsidRPr="00BD69D1">
        <w:rPr>
          <w:rFonts w:hAnsi="標楷體" w:hint="eastAsia"/>
        </w:rPr>
        <w:t>臺</w:t>
      </w:r>
      <w:proofErr w:type="gramEnd"/>
      <w:r w:rsidRPr="00BD69D1">
        <w:rPr>
          <w:rFonts w:hAnsi="標楷體" w:hint="eastAsia"/>
        </w:rPr>
        <w:t>之白領外國人(外國專業人才)計</w:t>
      </w:r>
      <w:r w:rsidRPr="00BD69D1">
        <w:rPr>
          <w:rFonts w:hAnsi="標楷體"/>
        </w:rPr>
        <w:t>5</w:t>
      </w:r>
      <w:r w:rsidRPr="00BD69D1">
        <w:rPr>
          <w:rFonts w:hAnsi="標楷體" w:hint="eastAsia"/>
        </w:rPr>
        <w:t>萬</w:t>
      </w:r>
      <w:r w:rsidRPr="00BD69D1">
        <w:rPr>
          <w:rFonts w:hAnsi="標楷體"/>
        </w:rPr>
        <w:t>496</w:t>
      </w:r>
      <w:r w:rsidRPr="00BD69D1">
        <w:rPr>
          <w:rFonts w:hAnsi="標楷體" w:hint="eastAsia"/>
        </w:rPr>
        <w:t>人次</w:t>
      </w:r>
      <w:r w:rsidRPr="00BD69D1">
        <w:rPr>
          <w:rStyle w:val="afe"/>
          <w:rFonts w:hAnsi="標楷體"/>
        </w:rPr>
        <w:footnoteReference w:id="4"/>
      </w:r>
      <w:r w:rsidRPr="00BD69D1">
        <w:rPr>
          <w:rFonts w:hAnsi="標楷體" w:hint="eastAsia"/>
        </w:rPr>
        <w:t>，</w:t>
      </w:r>
      <w:proofErr w:type="gramStart"/>
      <w:r w:rsidRPr="00BD69D1">
        <w:rPr>
          <w:rFonts w:hAnsi="標楷體" w:hint="eastAsia"/>
        </w:rPr>
        <w:t>藍領移</w:t>
      </w:r>
      <w:proofErr w:type="gramEnd"/>
      <w:r w:rsidRPr="00BD69D1">
        <w:rPr>
          <w:rFonts w:hAnsi="標楷體" w:hint="eastAsia"/>
        </w:rPr>
        <w:t>工(不含家庭看護工及家庭幫傭)計5</w:t>
      </w:r>
      <w:r w:rsidRPr="00BD69D1">
        <w:rPr>
          <w:rFonts w:hAnsi="標楷體"/>
        </w:rPr>
        <w:t>9</w:t>
      </w:r>
      <w:r w:rsidRPr="00BD69D1">
        <w:rPr>
          <w:rFonts w:hAnsi="標楷體" w:hint="eastAsia"/>
        </w:rPr>
        <w:t>萬436人，中階技術人力(不含中階技術家庭看護工)計1</w:t>
      </w:r>
      <w:r w:rsidRPr="00BD69D1">
        <w:rPr>
          <w:rFonts w:hAnsi="標楷體"/>
        </w:rPr>
        <w:t>萬4,946人</w:t>
      </w:r>
      <w:r w:rsidRPr="00BD69D1">
        <w:rPr>
          <w:rFonts w:hAnsi="標楷體" w:hint="eastAsia"/>
        </w:rPr>
        <w:t>，</w:t>
      </w:r>
      <w:proofErr w:type="gramStart"/>
      <w:r w:rsidRPr="00BD69D1">
        <w:rPr>
          <w:rFonts w:hAnsi="標楷體" w:hint="eastAsia"/>
        </w:rPr>
        <w:t>倘上開</w:t>
      </w:r>
      <w:proofErr w:type="gramEnd"/>
      <w:r w:rsidRPr="00BD69D1">
        <w:rPr>
          <w:rFonts w:hAnsi="標楷體" w:hint="eastAsia"/>
        </w:rPr>
        <w:t>外國籍勞工適用勞基法，即具備勞退舊制年資。</w:t>
      </w:r>
      <w:r>
        <w:rPr>
          <w:rFonts w:hAnsi="標楷體" w:hint="eastAsia"/>
        </w:rPr>
        <w:t>再</w:t>
      </w:r>
      <w:r w:rsidRPr="00BD69D1">
        <w:rPr>
          <w:rFonts w:hAnsi="標楷體" w:hint="eastAsia"/>
        </w:rPr>
        <w:t>依勞動部統計，截至113年12月底止，</w:t>
      </w:r>
      <w:proofErr w:type="gramStart"/>
      <w:r w:rsidRPr="00BD69D1">
        <w:rPr>
          <w:rFonts w:hAnsi="標楷體" w:hint="eastAsia"/>
        </w:rPr>
        <w:t>藍領移工</w:t>
      </w:r>
      <w:proofErr w:type="gramEnd"/>
      <w:r w:rsidRPr="00BD69D1">
        <w:rPr>
          <w:rFonts w:hAnsi="標楷體" w:hint="eastAsia"/>
        </w:rPr>
        <w:t>(不含家庭看護工及家庭幫傭)在臺於同一事業單位工作超過10年以上者，計1萬4,536人。</w:t>
      </w:r>
    </w:p>
    <w:p w:rsidR="008912CF" w:rsidRPr="00BD69D1" w:rsidRDefault="008912CF" w:rsidP="008912CF">
      <w:pPr>
        <w:pStyle w:val="3"/>
        <w:rPr>
          <w:rFonts w:hAnsi="標楷體"/>
        </w:rPr>
      </w:pPr>
      <w:r w:rsidRPr="00BD69D1">
        <w:rPr>
          <w:rFonts w:hAnsi="標楷體" w:hint="eastAsia"/>
        </w:rPr>
        <w:t>經查，</w:t>
      </w:r>
      <w:bookmarkStart w:id="21" w:name="_Hlk198047416"/>
      <w:r w:rsidRPr="00BD69D1">
        <w:rPr>
          <w:rFonts w:hAnsi="標楷體" w:hint="eastAsia"/>
        </w:rPr>
        <w:t>原行政院勞工委員會</w:t>
      </w:r>
      <w:bookmarkEnd w:id="21"/>
      <w:r w:rsidRPr="00BD69D1">
        <w:rPr>
          <w:rFonts w:hAnsi="標楷體" w:hint="eastAsia"/>
        </w:rPr>
        <w:t>(下稱勞委會)</w:t>
      </w:r>
      <w:r w:rsidRPr="00BD69D1">
        <w:rPr>
          <w:rFonts w:hAnsi="標楷體"/>
        </w:rPr>
        <w:t>95</w:t>
      </w:r>
      <w:r w:rsidRPr="00BD69D1">
        <w:rPr>
          <w:rFonts w:hAnsi="標楷體" w:hint="eastAsia"/>
        </w:rPr>
        <w:t>年</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日勞動</w:t>
      </w:r>
      <w:r w:rsidRPr="00BD69D1">
        <w:rPr>
          <w:rFonts w:hAnsi="標楷體"/>
        </w:rPr>
        <w:t>4</w:t>
      </w:r>
      <w:r w:rsidRPr="00BD69D1">
        <w:rPr>
          <w:rFonts w:hAnsi="標楷體" w:hint="eastAsia"/>
        </w:rPr>
        <w:t>字第</w:t>
      </w:r>
      <w:r w:rsidRPr="00BD69D1">
        <w:rPr>
          <w:rFonts w:hAnsi="標楷體"/>
        </w:rPr>
        <w:t>0950109148</w:t>
      </w:r>
      <w:r w:rsidRPr="00BD69D1">
        <w:rPr>
          <w:rFonts w:hAnsi="標楷體" w:hint="eastAsia"/>
        </w:rPr>
        <w:t>號令釋略</w:t>
      </w:r>
      <w:proofErr w:type="gramStart"/>
      <w:r w:rsidRPr="00BD69D1">
        <w:rPr>
          <w:rFonts w:hAnsi="標楷體" w:hint="eastAsia"/>
        </w:rPr>
        <w:t>以</w:t>
      </w:r>
      <w:proofErr w:type="gramEnd"/>
      <w:r w:rsidRPr="00BD69D1">
        <w:rPr>
          <w:rFonts w:hAnsi="標楷體" w:hint="eastAsia"/>
        </w:rPr>
        <w:t>：「核釋勞退條例施行後，勞工退休準備金</w:t>
      </w:r>
      <w:proofErr w:type="gramStart"/>
      <w:r w:rsidRPr="00BD69D1">
        <w:rPr>
          <w:rFonts w:hAnsi="標楷體" w:hint="eastAsia"/>
        </w:rPr>
        <w:t>提撥</w:t>
      </w:r>
      <w:proofErr w:type="gramEnd"/>
      <w:r w:rsidRPr="00BD69D1">
        <w:rPr>
          <w:rFonts w:hAnsi="標楷體" w:hint="eastAsia"/>
        </w:rPr>
        <w:t>及管理辦法第2條規定所稱之『每月薪資總額』採計範圍，不包含……依</w:t>
      </w:r>
      <w:bookmarkStart w:id="22" w:name="_Hlk198277675"/>
      <w:r w:rsidRPr="00BD69D1">
        <w:rPr>
          <w:rFonts w:hAnsi="標楷體" w:hint="eastAsia"/>
        </w:rPr>
        <w:t>就</w:t>
      </w:r>
      <w:proofErr w:type="gramStart"/>
      <w:r w:rsidRPr="00BD69D1">
        <w:rPr>
          <w:rFonts w:hAnsi="標楷體" w:hint="eastAsia"/>
        </w:rPr>
        <w:t>服</w:t>
      </w:r>
      <w:proofErr w:type="gramEnd"/>
      <w:r w:rsidRPr="00BD69D1">
        <w:rPr>
          <w:rFonts w:hAnsi="標楷體" w:hint="eastAsia"/>
        </w:rPr>
        <w:t>法第4</w:t>
      </w:r>
      <w:r w:rsidRPr="00BD69D1">
        <w:rPr>
          <w:rFonts w:hAnsi="標楷體"/>
        </w:rPr>
        <w:t>6</w:t>
      </w:r>
      <w:r w:rsidRPr="00BD69D1">
        <w:rPr>
          <w:rFonts w:hAnsi="標楷體" w:hint="eastAsia"/>
        </w:rPr>
        <w:t>條第1項</w:t>
      </w:r>
      <w:bookmarkEnd w:id="22"/>
      <w:r w:rsidRPr="00BD69D1">
        <w:rPr>
          <w:rFonts w:hAnsi="標楷體" w:hint="eastAsia"/>
        </w:rPr>
        <w:t>第8款至第1</w:t>
      </w:r>
      <w:r w:rsidRPr="00BD69D1">
        <w:rPr>
          <w:rFonts w:hAnsi="標楷體"/>
        </w:rPr>
        <w:t>0</w:t>
      </w:r>
      <w:r w:rsidRPr="00BD69D1">
        <w:rPr>
          <w:rFonts w:hAnsi="標楷體" w:hint="eastAsia"/>
        </w:rPr>
        <w:t>款規定受僱工作之外國人等之工資。」依上</w:t>
      </w:r>
      <w:proofErr w:type="gramStart"/>
      <w:r w:rsidRPr="00BD69D1">
        <w:rPr>
          <w:rFonts w:hAnsi="標楷體" w:hint="eastAsia"/>
        </w:rPr>
        <w:t>開令釋</w:t>
      </w:r>
      <w:proofErr w:type="gramEnd"/>
      <w:r w:rsidRPr="00BD69D1">
        <w:rPr>
          <w:rFonts w:hAnsi="標楷體" w:hint="eastAsia"/>
        </w:rPr>
        <w:t>意旨，雇主應否為藍領移工</w:t>
      </w:r>
      <w:proofErr w:type="gramStart"/>
      <w:r w:rsidRPr="00BD69D1">
        <w:rPr>
          <w:rFonts w:hAnsi="標楷體" w:hint="eastAsia"/>
        </w:rPr>
        <w:t>提</w:t>
      </w:r>
      <w:proofErr w:type="gramEnd"/>
      <w:r w:rsidRPr="00BD69D1">
        <w:rPr>
          <w:rFonts w:hAnsi="標楷體" w:hint="eastAsia"/>
        </w:rPr>
        <w:t>撥退休準備金並專戶存儲，容生疑義。本院就此疑義兩度函</w:t>
      </w:r>
      <w:proofErr w:type="gramStart"/>
      <w:r w:rsidRPr="00BD69D1">
        <w:rPr>
          <w:rFonts w:hAnsi="標楷體" w:hint="eastAsia"/>
        </w:rPr>
        <w:t>詢</w:t>
      </w:r>
      <w:proofErr w:type="gramEnd"/>
      <w:r w:rsidRPr="00BD69D1">
        <w:rPr>
          <w:rFonts w:hAnsi="標楷體" w:hint="eastAsia"/>
        </w:rPr>
        <w:t>勞動部，</w:t>
      </w:r>
      <w:proofErr w:type="gramStart"/>
      <w:r w:rsidRPr="00BD69D1">
        <w:rPr>
          <w:rFonts w:hAnsi="標楷體" w:hint="eastAsia"/>
        </w:rPr>
        <w:t>該部僅一</w:t>
      </w:r>
      <w:proofErr w:type="gramEnd"/>
      <w:r w:rsidRPr="00BD69D1">
        <w:rPr>
          <w:rFonts w:hAnsi="標楷體" w:hint="eastAsia"/>
        </w:rPr>
        <w:t>再函</w:t>
      </w:r>
      <w:proofErr w:type="gramStart"/>
      <w:r w:rsidRPr="00BD69D1">
        <w:rPr>
          <w:rFonts w:hAnsi="標楷體" w:hint="eastAsia"/>
        </w:rPr>
        <w:t>復略</w:t>
      </w:r>
      <w:proofErr w:type="gramEnd"/>
      <w:r w:rsidRPr="00BD69D1">
        <w:rPr>
          <w:rFonts w:hAnsi="標楷體" w:hint="eastAsia"/>
        </w:rPr>
        <w:t>稱：「…</w:t>
      </w:r>
      <w:proofErr w:type="gramStart"/>
      <w:r w:rsidRPr="00BD69D1">
        <w:rPr>
          <w:rFonts w:hAnsi="標楷體" w:hint="eastAsia"/>
        </w:rPr>
        <w:t>…</w:t>
      </w:r>
      <w:proofErr w:type="gramEnd"/>
      <w:r w:rsidRPr="00BD69D1">
        <w:rPr>
          <w:rFonts w:hAnsi="標楷體" w:hint="eastAsia"/>
        </w:rPr>
        <w:t>受僱於適用勞基法事業單位之勞工，無論本國籍或外國籍，皆有勞基法保障，爰適用勞基法之外國籍勞工，如非屬勞退條例</w:t>
      </w:r>
      <w:r w:rsidRPr="00BD69D1">
        <w:rPr>
          <w:rFonts w:hAnsi="標楷體"/>
        </w:rPr>
        <w:t>(</w:t>
      </w:r>
      <w:r w:rsidRPr="00BD69D1">
        <w:rPr>
          <w:rFonts w:hAnsi="標楷體" w:hint="eastAsia"/>
        </w:rPr>
        <w:t>勞退新制</w:t>
      </w:r>
      <w:r w:rsidRPr="00BD69D1">
        <w:rPr>
          <w:rFonts w:hAnsi="標楷體"/>
        </w:rPr>
        <w:t>)</w:t>
      </w:r>
      <w:r w:rsidRPr="00BD69D1">
        <w:rPr>
          <w:rFonts w:hAnsi="標楷體" w:hint="eastAsia"/>
        </w:rPr>
        <w:t>之強制提繳對象，仍應適用勞基法之退休金制度</w:t>
      </w:r>
      <w:r w:rsidRPr="00BD69D1">
        <w:rPr>
          <w:rFonts w:hAnsi="標楷體"/>
        </w:rPr>
        <w:t>(</w:t>
      </w:r>
      <w:r w:rsidRPr="00BD69D1">
        <w:rPr>
          <w:rFonts w:hAnsi="標楷體" w:hint="eastAsia"/>
        </w:rPr>
        <w:t>勞退舊制</w:t>
      </w:r>
      <w:r w:rsidRPr="00BD69D1">
        <w:rPr>
          <w:rFonts w:hAnsi="標楷體"/>
        </w:rPr>
        <w:t>)</w:t>
      </w:r>
      <w:r w:rsidRPr="00BD69D1">
        <w:rPr>
          <w:rFonts w:hAnsi="標楷體" w:hint="eastAsia"/>
        </w:rPr>
        <w:t>」、「原勞委會</w:t>
      </w:r>
      <w:r w:rsidRPr="00BD69D1">
        <w:rPr>
          <w:rFonts w:hAnsi="標楷體"/>
        </w:rPr>
        <w:t>95</w:t>
      </w:r>
      <w:r w:rsidRPr="00BD69D1">
        <w:rPr>
          <w:rFonts w:hAnsi="標楷體" w:hint="eastAsia"/>
        </w:rPr>
        <w:t>年</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日勞動</w:t>
      </w:r>
      <w:r w:rsidRPr="00BD69D1">
        <w:rPr>
          <w:rFonts w:hAnsi="標楷體"/>
        </w:rPr>
        <w:t>4</w:t>
      </w:r>
      <w:r w:rsidRPr="00BD69D1">
        <w:rPr>
          <w:rFonts w:hAnsi="標楷體" w:hint="eastAsia"/>
        </w:rPr>
        <w:t>字第</w:t>
      </w:r>
      <w:r w:rsidRPr="00BD69D1">
        <w:rPr>
          <w:rFonts w:hAnsi="標楷體"/>
        </w:rPr>
        <w:t>0950109148</w:t>
      </w:r>
      <w:r w:rsidRPr="00BD69D1">
        <w:rPr>
          <w:rFonts w:hAnsi="標楷體" w:hint="eastAsia"/>
        </w:rPr>
        <w:t>號令釋，考量就</w:t>
      </w:r>
      <w:proofErr w:type="gramStart"/>
      <w:r w:rsidRPr="00BD69D1">
        <w:rPr>
          <w:rFonts w:hAnsi="標楷體" w:hint="eastAsia"/>
        </w:rPr>
        <w:t>服</w:t>
      </w:r>
      <w:proofErr w:type="gramEnd"/>
      <w:r w:rsidRPr="00BD69D1">
        <w:rPr>
          <w:rFonts w:hAnsi="標楷體" w:hint="eastAsia"/>
        </w:rPr>
        <w:t>法第</w:t>
      </w:r>
      <w:r w:rsidRPr="00BD69D1">
        <w:rPr>
          <w:rFonts w:hAnsi="標楷體"/>
        </w:rPr>
        <w:t>46</w:t>
      </w:r>
      <w:r w:rsidRPr="00BD69D1">
        <w:rPr>
          <w:rFonts w:hAnsi="標楷體" w:hint="eastAsia"/>
        </w:rPr>
        <w:t>條第</w:t>
      </w:r>
      <w:r w:rsidRPr="00BD69D1">
        <w:rPr>
          <w:rFonts w:hAnsi="標楷體"/>
        </w:rPr>
        <w:t>1</w:t>
      </w:r>
      <w:r w:rsidRPr="00BD69D1">
        <w:rPr>
          <w:rFonts w:hAnsi="標楷體" w:hint="eastAsia"/>
        </w:rPr>
        <w:t>項第</w:t>
      </w:r>
      <w:r w:rsidRPr="00BD69D1">
        <w:rPr>
          <w:rFonts w:hAnsi="標楷體"/>
        </w:rPr>
        <w:t>8</w:t>
      </w:r>
      <w:r w:rsidRPr="00BD69D1">
        <w:rPr>
          <w:rFonts w:hAnsi="標楷體" w:hint="eastAsia"/>
        </w:rPr>
        <w:t>款至第</w:t>
      </w:r>
      <w:r w:rsidRPr="00BD69D1">
        <w:rPr>
          <w:rFonts w:hAnsi="標楷體"/>
        </w:rPr>
        <w:t>10</w:t>
      </w:r>
      <w:r w:rsidRPr="00BD69D1">
        <w:rPr>
          <w:rFonts w:hAnsi="標楷體" w:hint="eastAsia"/>
        </w:rPr>
        <w:t>款</w:t>
      </w:r>
      <w:r w:rsidRPr="00BD69D1">
        <w:rPr>
          <w:rStyle w:val="afe"/>
          <w:rFonts w:hAnsi="標楷體"/>
        </w:rPr>
        <w:footnoteReference w:id="5"/>
      </w:r>
      <w:r w:rsidRPr="00BD69D1">
        <w:rPr>
          <w:rFonts w:hAnsi="標楷體" w:hint="eastAsia"/>
        </w:rPr>
        <w:t>規定受僱工作之外國人，</w:t>
      </w:r>
      <w:proofErr w:type="gramStart"/>
      <w:r w:rsidRPr="00BD69D1">
        <w:rPr>
          <w:rFonts w:hAnsi="標楷體" w:hint="eastAsia"/>
        </w:rPr>
        <w:t>依是</w:t>
      </w:r>
      <w:proofErr w:type="gramEnd"/>
      <w:r w:rsidRPr="00BD69D1">
        <w:rPr>
          <w:rFonts w:hAnsi="標楷體" w:hint="eastAsia"/>
        </w:rPr>
        <w:t>時就</w:t>
      </w:r>
      <w:proofErr w:type="gramStart"/>
      <w:r w:rsidRPr="00BD69D1">
        <w:rPr>
          <w:rFonts w:hAnsi="標楷體" w:hint="eastAsia"/>
        </w:rPr>
        <w:t>服</w:t>
      </w:r>
      <w:proofErr w:type="gramEnd"/>
      <w:r w:rsidRPr="00BD69D1">
        <w:rPr>
          <w:rFonts w:hAnsi="標楷體" w:hint="eastAsia"/>
        </w:rPr>
        <w:t>法規定在臺期間不得逾</w:t>
      </w:r>
      <w:r w:rsidRPr="00BD69D1">
        <w:rPr>
          <w:rFonts w:hAnsi="標楷體"/>
        </w:rPr>
        <w:t>6</w:t>
      </w:r>
      <w:r w:rsidRPr="00BD69D1">
        <w:rPr>
          <w:rFonts w:hAnsi="標楷體" w:hint="eastAsia"/>
        </w:rPr>
        <w:t>年，難以成就勞基法退休要件，爰外國人如係依就</w:t>
      </w:r>
      <w:proofErr w:type="gramStart"/>
      <w:r w:rsidRPr="00BD69D1">
        <w:rPr>
          <w:rFonts w:hAnsi="標楷體" w:hint="eastAsia"/>
        </w:rPr>
        <w:t>服</w:t>
      </w:r>
      <w:proofErr w:type="gramEnd"/>
      <w:r w:rsidRPr="00BD69D1">
        <w:rPr>
          <w:rFonts w:hAnsi="標楷體" w:hint="eastAsia"/>
        </w:rPr>
        <w:t>法第</w:t>
      </w:r>
      <w:r w:rsidRPr="00BD69D1">
        <w:rPr>
          <w:rFonts w:hAnsi="標楷體"/>
        </w:rPr>
        <w:t>46</w:t>
      </w:r>
      <w:r w:rsidRPr="00BD69D1">
        <w:rPr>
          <w:rFonts w:hAnsi="標楷體" w:hint="eastAsia"/>
        </w:rPr>
        <w:t>條第</w:t>
      </w:r>
      <w:r w:rsidRPr="00BD69D1">
        <w:rPr>
          <w:rFonts w:hAnsi="標楷體"/>
        </w:rPr>
        <w:t>1</w:t>
      </w:r>
      <w:r w:rsidRPr="00BD69D1">
        <w:rPr>
          <w:rFonts w:hAnsi="標楷體" w:hint="eastAsia"/>
        </w:rPr>
        <w:t>項第</w:t>
      </w:r>
      <w:r w:rsidRPr="00BD69D1">
        <w:rPr>
          <w:rFonts w:hAnsi="標楷體"/>
        </w:rPr>
        <w:t>8</w:t>
      </w:r>
      <w:r w:rsidRPr="00BD69D1">
        <w:rPr>
          <w:rFonts w:hAnsi="標楷體" w:hint="eastAsia"/>
        </w:rPr>
        <w:t>款至第</w:t>
      </w:r>
      <w:r w:rsidRPr="00BD69D1">
        <w:rPr>
          <w:rFonts w:hAnsi="標楷體"/>
        </w:rPr>
        <w:t>10</w:t>
      </w:r>
      <w:r w:rsidRPr="00BD69D1">
        <w:rPr>
          <w:rFonts w:hAnsi="標楷體" w:hint="eastAsia"/>
        </w:rPr>
        <w:t>款規定受僱工作者，其工資可不計入『每月</w:t>
      </w:r>
      <w:r w:rsidRPr="00BD69D1">
        <w:rPr>
          <w:rFonts w:hAnsi="標楷體" w:hint="eastAsia"/>
        </w:rPr>
        <w:lastRenderedPageBreak/>
        <w:t>薪資總額』範圍內」等語</w:t>
      </w:r>
      <w:r w:rsidRPr="00BD69D1">
        <w:rPr>
          <w:vertAlign w:val="superscript"/>
        </w:rPr>
        <w:footnoteReference w:id="6"/>
      </w:r>
      <w:r w:rsidRPr="00BD69D1">
        <w:rPr>
          <w:rFonts w:hAnsi="標楷體" w:hint="eastAsia"/>
        </w:rPr>
        <w:t>。</w:t>
      </w:r>
      <w:r>
        <w:rPr>
          <w:rFonts w:hAnsi="標楷體" w:hint="eastAsia"/>
        </w:rPr>
        <w:t>直至</w:t>
      </w:r>
      <w:r w:rsidRPr="00BD69D1">
        <w:rPr>
          <w:rFonts w:hAnsi="標楷體" w:hint="eastAsia"/>
        </w:rPr>
        <w:t>本院114年3月3日再次詢問時，勞動部勞動福祉退休司副司長陳惠蓉</w:t>
      </w:r>
      <w:r>
        <w:rPr>
          <w:rFonts w:hAnsi="標楷體" w:hint="eastAsia"/>
        </w:rPr>
        <w:t>方</w:t>
      </w:r>
      <w:r w:rsidRPr="00BD69D1">
        <w:rPr>
          <w:rFonts w:hAnsi="標楷體" w:hint="eastAsia"/>
        </w:rPr>
        <w:t>表示：「上</w:t>
      </w:r>
      <w:proofErr w:type="gramStart"/>
      <w:r w:rsidRPr="00BD69D1">
        <w:rPr>
          <w:rFonts w:hAnsi="標楷體" w:hint="eastAsia"/>
        </w:rPr>
        <w:t>開令釋</w:t>
      </w:r>
      <w:proofErr w:type="gramEnd"/>
      <w:r w:rsidRPr="00BD69D1">
        <w:rPr>
          <w:rFonts w:hAnsi="標楷體" w:hint="eastAsia"/>
        </w:rPr>
        <w:t>背景，是雇主團體反映</w:t>
      </w:r>
      <w:proofErr w:type="gramStart"/>
      <w:r w:rsidRPr="00BD69D1">
        <w:rPr>
          <w:rFonts w:hAnsi="標楷體" w:hint="eastAsia"/>
        </w:rPr>
        <w:t>藍領移工</w:t>
      </w:r>
      <w:proofErr w:type="gramEnd"/>
      <w:r w:rsidRPr="00BD69D1">
        <w:rPr>
          <w:rFonts w:hAnsi="標楷體" w:hint="eastAsia"/>
        </w:rPr>
        <w:t>很難成就退休要件，還要</w:t>
      </w:r>
      <w:proofErr w:type="gramStart"/>
      <w:r w:rsidRPr="00BD69D1">
        <w:rPr>
          <w:rFonts w:hAnsi="標楷體" w:hint="eastAsia"/>
        </w:rPr>
        <w:t>提</w:t>
      </w:r>
      <w:proofErr w:type="gramEnd"/>
      <w:r w:rsidRPr="00BD69D1">
        <w:rPr>
          <w:rFonts w:hAnsi="標楷體" w:hint="eastAsia"/>
        </w:rPr>
        <w:t>撥，負擔太重，希望</w:t>
      </w:r>
      <w:proofErr w:type="gramStart"/>
      <w:r w:rsidRPr="00BD69D1">
        <w:rPr>
          <w:rFonts w:hAnsi="標楷體" w:hint="eastAsia"/>
        </w:rPr>
        <w:t>藍領移工可</w:t>
      </w:r>
      <w:proofErr w:type="gramEnd"/>
      <w:r w:rsidRPr="00BD69D1">
        <w:rPr>
          <w:rFonts w:hAnsi="標楷體" w:hint="eastAsia"/>
        </w:rPr>
        <w:t>以排除，工資可不計入『每月薪資總額』範圍內的意思，就是不用</w:t>
      </w:r>
      <w:proofErr w:type="gramStart"/>
      <w:r w:rsidRPr="00BD69D1">
        <w:rPr>
          <w:rFonts w:hAnsi="標楷體" w:hint="eastAsia"/>
        </w:rPr>
        <w:t>提</w:t>
      </w:r>
      <w:proofErr w:type="gramEnd"/>
      <w:r w:rsidRPr="00BD69D1">
        <w:rPr>
          <w:rFonts w:hAnsi="標楷體" w:hint="eastAsia"/>
        </w:rPr>
        <w:t>撥退休準備金」等語。勞動部常務次長陳明仁於本院同日詢問時</w:t>
      </w:r>
      <w:proofErr w:type="gramStart"/>
      <w:r>
        <w:rPr>
          <w:rFonts w:hAnsi="標楷體" w:hint="eastAsia"/>
        </w:rPr>
        <w:t>則</w:t>
      </w:r>
      <w:r w:rsidRPr="00BD69D1">
        <w:rPr>
          <w:rFonts w:hAnsi="標楷體" w:hint="eastAsia"/>
        </w:rPr>
        <w:t>略稱</w:t>
      </w:r>
      <w:proofErr w:type="gramEnd"/>
      <w:r w:rsidRPr="00BD69D1">
        <w:rPr>
          <w:rFonts w:hAnsi="標楷體" w:hint="eastAsia"/>
        </w:rPr>
        <w:t>：「</w:t>
      </w:r>
      <w:proofErr w:type="gramStart"/>
      <w:r w:rsidRPr="00BD69D1">
        <w:rPr>
          <w:rFonts w:hAnsi="標楷體" w:hint="eastAsia"/>
        </w:rPr>
        <w:t>藍領移工雖然</w:t>
      </w:r>
      <w:proofErr w:type="gramEnd"/>
      <w:r w:rsidRPr="00BD69D1">
        <w:rPr>
          <w:rFonts w:hAnsi="標楷體" w:hint="eastAsia"/>
        </w:rPr>
        <w:t>在臺年限可能超過</w:t>
      </w:r>
      <w:r w:rsidRPr="00BD69D1">
        <w:rPr>
          <w:rFonts w:hAnsi="標楷體"/>
        </w:rPr>
        <w:t>10</w:t>
      </w:r>
      <w:r w:rsidRPr="00BD69D1">
        <w:rPr>
          <w:rFonts w:hAnsi="標楷體" w:hint="eastAsia"/>
        </w:rPr>
        <w:t>年，但可能不是在同一雇主，也無法成就舊制勞退的請領」</w:t>
      </w:r>
      <w:r w:rsidRPr="00BD69D1">
        <w:rPr>
          <w:rFonts w:ascii="新細明體" w:eastAsia="新細明體" w:hAnsi="新細明體" w:hint="eastAsia"/>
        </w:rPr>
        <w:t>、</w:t>
      </w:r>
      <w:r w:rsidRPr="00BD69D1">
        <w:rPr>
          <w:rFonts w:hAnsi="標楷體" w:hint="eastAsia"/>
        </w:rPr>
        <w:t>「</w:t>
      </w:r>
      <w:bookmarkStart w:id="23" w:name="_Hlk198286137"/>
      <w:r w:rsidRPr="00BD69D1">
        <w:rPr>
          <w:rFonts w:hAnsi="標楷體" w:hint="eastAsia"/>
        </w:rPr>
        <w:t>這個議題有思考</w:t>
      </w:r>
      <w:r w:rsidRPr="00BD69D1">
        <w:rPr>
          <w:rFonts w:hAnsi="標楷體"/>
        </w:rPr>
        <w:t>3</w:t>
      </w:r>
      <w:r w:rsidRPr="00BD69D1">
        <w:rPr>
          <w:rFonts w:hAnsi="標楷體" w:hint="eastAsia"/>
        </w:rPr>
        <w:t>個面向：一是要不要直接從勞退舊制轉軌勞退新制；二是</w:t>
      </w:r>
      <w:proofErr w:type="gramStart"/>
      <w:r w:rsidRPr="00BD69D1">
        <w:rPr>
          <w:rFonts w:hAnsi="標楷體" w:hint="eastAsia"/>
        </w:rPr>
        <w:t>藍領移工已</w:t>
      </w:r>
      <w:proofErr w:type="gramEnd"/>
      <w:r w:rsidRPr="00BD69D1">
        <w:rPr>
          <w:rFonts w:hAnsi="標楷體" w:hint="eastAsia"/>
        </w:rPr>
        <w:t>有可能成就退休要件，那是否要強制雇主</w:t>
      </w:r>
      <w:proofErr w:type="gramStart"/>
      <w:r w:rsidRPr="00BD69D1">
        <w:rPr>
          <w:rFonts w:hAnsi="標楷體" w:hint="eastAsia"/>
        </w:rPr>
        <w:t>提</w:t>
      </w:r>
      <w:proofErr w:type="gramEnd"/>
      <w:r w:rsidRPr="00BD69D1">
        <w:rPr>
          <w:rFonts w:hAnsi="標楷體" w:hint="eastAsia"/>
        </w:rPr>
        <w:t>撥；三是</w:t>
      </w:r>
      <w:proofErr w:type="gramStart"/>
      <w:r w:rsidRPr="00BD69D1">
        <w:rPr>
          <w:rFonts w:hAnsi="標楷體" w:hint="eastAsia"/>
        </w:rPr>
        <w:t>藍領移工符合</w:t>
      </w:r>
      <w:proofErr w:type="gramEnd"/>
      <w:r w:rsidRPr="00BD69D1">
        <w:rPr>
          <w:rFonts w:hAnsi="標楷體" w:hint="eastAsia"/>
        </w:rPr>
        <w:t>退休要件，就算沒有專戶</w:t>
      </w:r>
      <w:proofErr w:type="gramStart"/>
      <w:r w:rsidRPr="00BD69D1">
        <w:rPr>
          <w:rFonts w:hAnsi="標楷體" w:hint="eastAsia"/>
        </w:rPr>
        <w:t>提</w:t>
      </w:r>
      <w:proofErr w:type="gramEnd"/>
      <w:r w:rsidRPr="00BD69D1">
        <w:rPr>
          <w:rFonts w:hAnsi="標楷體" w:hint="eastAsia"/>
        </w:rPr>
        <w:t>撥準備金，雇主還是要給付退休金，如果雇主未依法給付，</w:t>
      </w:r>
      <w:proofErr w:type="gramStart"/>
      <w:r w:rsidRPr="00BD69D1">
        <w:rPr>
          <w:rFonts w:hAnsi="標楷體" w:hint="eastAsia"/>
        </w:rPr>
        <w:t>勞動部的工</w:t>
      </w:r>
      <w:proofErr w:type="gramEnd"/>
      <w:r w:rsidRPr="00BD69D1">
        <w:rPr>
          <w:rFonts w:hAnsi="標楷體" w:hint="eastAsia"/>
        </w:rPr>
        <w:t>資墊償基金也不分本、外勞</w:t>
      </w:r>
      <w:bookmarkEnd w:id="23"/>
      <w:r w:rsidRPr="00BD69D1">
        <w:rPr>
          <w:rFonts w:hAnsi="標楷體" w:hint="eastAsia"/>
        </w:rPr>
        <w:t>」等語。</w:t>
      </w:r>
    </w:p>
    <w:p w:rsidR="008912CF" w:rsidRPr="00BD69D1" w:rsidRDefault="008912CF" w:rsidP="008912CF">
      <w:pPr>
        <w:pStyle w:val="3"/>
        <w:rPr>
          <w:rFonts w:hAnsi="標楷體"/>
        </w:rPr>
      </w:pPr>
      <w:r w:rsidRPr="00BD69D1">
        <w:rPr>
          <w:rFonts w:hAnsi="標楷體" w:hint="eastAsia"/>
        </w:rPr>
        <w:t>據勞動部統計，截至1</w:t>
      </w:r>
      <w:r w:rsidRPr="00BD69D1">
        <w:rPr>
          <w:rFonts w:hAnsi="標楷體"/>
        </w:rPr>
        <w:t>13</w:t>
      </w:r>
      <w:r w:rsidRPr="00BD69D1">
        <w:rPr>
          <w:rFonts w:hAnsi="標楷體" w:hint="eastAsia"/>
        </w:rPr>
        <w:t>年底，事業單位足額</w:t>
      </w:r>
      <w:proofErr w:type="gramStart"/>
      <w:r w:rsidRPr="00BD69D1">
        <w:rPr>
          <w:rFonts w:hAnsi="標楷體" w:hint="eastAsia"/>
        </w:rPr>
        <w:t>提撥</w:t>
      </w:r>
      <w:proofErr w:type="gramEnd"/>
      <w:r w:rsidRPr="00BD69D1">
        <w:rPr>
          <w:rFonts w:hAnsi="標楷體" w:hint="eastAsia"/>
        </w:rPr>
        <w:t>率</w:t>
      </w:r>
      <w:r w:rsidRPr="00BD69D1">
        <w:rPr>
          <w:rFonts w:hAnsi="標楷體"/>
        </w:rPr>
        <w:t>(</w:t>
      </w:r>
      <w:r w:rsidRPr="00BD69D1">
        <w:rPr>
          <w:rFonts w:hAnsi="標楷體" w:hint="eastAsia"/>
        </w:rPr>
        <w:t>足額</w:t>
      </w:r>
      <w:proofErr w:type="gramStart"/>
      <w:r w:rsidRPr="00BD69D1">
        <w:rPr>
          <w:rFonts w:hAnsi="標楷體" w:hint="eastAsia"/>
        </w:rPr>
        <w:t>提</w:t>
      </w:r>
      <w:proofErr w:type="gramEnd"/>
      <w:r w:rsidRPr="00BD69D1">
        <w:rPr>
          <w:rFonts w:hAnsi="標楷體" w:hint="eastAsia"/>
        </w:rPr>
        <w:t>撥家數</w:t>
      </w:r>
      <w:r w:rsidRPr="00BD69D1">
        <w:rPr>
          <w:rFonts w:hAnsi="標楷體"/>
        </w:rPr>
        <w:t>/</w:t>
      </w:r>
      <w:r w:rsidRPr="00BD69D1">
        <w:rPr>
          <w:rFonts w:hAnsi="標楷體" w:hint="eastAsia"/>
        </w:rPr>
        <w:t>整體開戶家數</w:t>
      </w:r>
      <w:r w:rsidRPr="00BD69D1">
        <w:rPr>
          <w:rFonts w:hAnsi="標楷體"/>
        </w:rPr>
        <w:t>)</w:t>
      </w:r>
      <w:r w:rsidRPr="00BD69D1">
        <w:rPr>
          <w:rFonts w:hAnsi="標楷體" w:hint="eastAsia"/>
        </w:rPr>
        <w:t>達</w:t>
      </w:r>
      <w:r w:rsidRPr="00BD69D1">
        <w:rPr>
          <w:rFonts w:hAnsi="標楷體"/>
        </w:rPr>
        <w:t>99.75%</w:t>
      </w:r>
      <w:r w:rsidRPr="00BD69D1">
        <w:rPr>
          <w:rFonts w:hAnsi="標楷體" w:hint="eastAsia"/>
        </w:rPr>
        <w:t>。</w:t>
      </w:r>
      <w:proofErr w:type="gramStart"/>
      <w:r w:rsidRPr="00BD69D1">
        <w:rPr>
          <w:rFonts w:hAnsi="標楷體" w:hint="eastAsia"/>
        </w:rPr>
        <w:t>惟</w:t>
      </w:r>
      <w:proofErr w:type="gramEnd"/>
      <w:r w:rsidRPr="00BD69D1">
        <w:rPr>
          <w:rFonts w:hAnsi="標楷體" w:hint="eastAsia"/>
        </w:rPr>
        <w:t>地方勞動主管機關以往查核作業，究有無將外籍勞工列入查核對象？查核對象是否包含</w:t>
      </w:r>
      <w:proofErr w:type="gramStart"/>
      <w:r w:rsidRPr="00BD69D1">
        <w:rPr>
          <w:rFonts w:hAnsi="標楷體" w:hint="eastAsia"/>
        </w:rPr>
        <w:t>藍領移工</w:t>
      </w:r>
      <w:proofErr w:type="gramEnd"/>
      <w:r w:rsidRPr="00BD69D1">
        <w:rPr>
          <w:rFonts w:hAnsi="標楷體" w:hint="eastAsia"/>
        </w:rPr>
        <w:t>？不無疑義。</w:t>
      </w:r>
      <w:proofErr w:type="gramStart"/>
      <w:r w:rsidRPr="00BD69D1">
        <w:rPr>
          <w:rFonts w:hAnsi="標楷體" w:hint="eastAsia"/>
        </w:rPr>
        <w:t>勞動部於本</w:t>
      </w:r>
      <w:proofErr w:type="gramEnd"/>
      <w:r w:rsidRPr="00BD69D1">
        <w:rPr>
          <w:rFonts w:hAnsi="標楷體" w:hint="eastAsia"/>
        </w:rPr>
        <w:t>院1</w:t>
      </w:r>
      <w:r w:rsidRPr="00BD69D1">
        <w:rPr>
          <w:rFonts w:hAnsi="標楷體"/>
        </w:rPr>
        <w:t>14</w:t>
      </w:r>
      <w:r w:rsidRPr="00BD69D1">
        <w:rPr>
          <w:rFonts w:hAnsi="標楷體" w:hint="eastAsia"/>
        </w:rPr>
        <w:t>年3月3日詢問時，尚未能確實掌握，會後函詢各縣市政府查核轄內</w:t>
      </w:r>
      <w:proofErr w:type="gramStart"/>
      <w:r w:rsidRPr="00BD69D1">
        <w:rPr>
          <w:rFonts w:hAnsi="標楷體" w:hint="eastAsia"/>
        </w:rPr>
        <w:t>提</w:t>
      </w:r>
      <w:proofErr w:type="gramEnd"/>
      <w:r w:rsidRPr="00BD69D1">
        <w:rPr>
          <w:rFonts w:hAnsi="標楷體" w:hint="eastAsia"/>
        </w:rPr>
        <w:t>撥勞工退休準備金之狀況後，於同年3月26日函復</w:t>
      </w:r>
      <w:r w:rsidRPr="00BD69D1">
        <w:rPr>
          <w:rStyle w:val="afe"/>
          <w:rFonts w:hAnsi="標楷體"/>
        </w:rPr>
        <w:footnoteReference w:id="7"/>
      </w:r>
      <w:r>
        <w:rPr>
          <w:rFonts w:hAnsi="標楷體" w:hint="eastAsia"/>
        </w:rPr>
        <w:t>有關</w:t>
      </w:r>
      <w:r w:rsidRPr="00BD69D1">
        <w:rPr>
          <w:rFonts w:hAnsi="標楷體" w:hint="eastAsia"/>
        </w:rPr>
        <w:t>地方勞動主管機關查核情形，以及該部對於原勞委會</w:t>
      </w:r>
      <w:r w:rsidRPr="00BD69D1">
        <w:rPr>
          <w:rFonts w:hAnsi="標楷體"/>
        </w:rPr>
        <w:t>95</w:t>
      </w:r>
      <w:r w:rsidRPr="00BD69D1">
        <w:rPr>
          <w:rFonts w:hAnsi="標楷體" w:hint="eastAsia"/>
        </w:rPr>
        <w:t>年</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日勞動</w:t>
      </w:r>
      <w:r w:rsidRPr="00BD69D1">
        <w:rPr>
          <w:rFonts w:hAnsi="標楷體"/>
        </w:rPr>
        <w:t>4</w:t>
      </w:r>
      <w:r w:rsidRPr="00BD69D1">
        <w:rPr>
          <w:rFonts w:hAnsi="標楷體" w:hint="eastAsia"/>
        </w:rPr>
        <w:t>字第</w:t>
      </w:r>
      <w:r w:rsidRPr="00BD69D1">
        <w:rPr>
          <w:rFonts w:hAnsi="標楷體"/>
        </w:rPr>
        <w:t>0950109148</w:t>
      </w:r>
      <w:r w:rsidRPr="00BD69D1">
        <w:rPr>
          <w:rFonts w:hAnsi="標楷體" w:hint="eastAsia"/>
        </w:rPr>
        <w:t>號令釋之檢討情形略以：</w:t>
      </w:r>
    </w:p>
    <w:p w:rsidR="008912CF" w:rsidRPr="00BD69D1" w:rsidRDefault="008912CF" w:rsidP="008912CF">
      <w:pPr>
        <w:pStyle w:val="4"/>
      </w:pPr>
      <w:r w:rsidRPr="00BD69D1">
        <w:rPr>
          <w:rFonts w:hint="eastAsia"/>
        </w:rPr>
        <w:t>各縣市政府辦理轄內督促事業單位依法足額</w:t>
      </w:r>
      <w:proofErr w:type="gramStart"/>
      <w:r w:rsidRPr="00BD69D1">
        <w:rPr>
          <w:rFonts w:hint="eastAsia"/>
        </w:rPr>
        <w:t>提撥</w:t>
      </w:r>
      <w:proofErr w:type="gramEnd"/>
      <w:r w:rsidRPr="00BD69D1">
        <w:rPr>
          <w:rFonts w:hint="eastAsia"/>
        </w:rPr>
        <w:t>勞工退休準備金等事項，不分本國籍、外國籍</w:t>
      </w:r>
      <w:r w:rsidRPr="00BD69D1">
        <w:rPr>
          <w:rFonts w:hint="eastAsia"/>
        </w:rPr>
        <w:lastRenderedPageBreak/>
        <w:t>均依法辦理查核，如查事業單位聘有適用勞基法之本國勞工、</w:t>
      </w:r>
      <w:r w:rsidRPr="00BD69D1">
        <w:rPr>
          <w:rFonts w:hAnsi="標楷體" w:hint="eastAsia"/>
        </w:rPr>
        <w:t>就</w:t>
      </w:r>
      <w:proofErr w:type="gramStart"/>
      <w:r w:rsidRPr="00BD69D1">
        <w:rPr>
          <w:rFonts w:hAnsi="標楷體" w:hint="eastAsia"/>
        </w:rPr>
        <w:t>服</w:t>
      </w:r>
      <w:proofErr w:type="gramEnd"/>
      <w:r w:rsidRPr="00BD69D1">
        <w:rPr>
          <w:rFonts w:hAnsi="標楷體" w:hint="eastAsia"/>
        </w:rPr>
        <w:t>法</w:t>
      </w:r>
      <w:r w:rsidRPr="00BD69D1">
        <w:rPr>
          <w:rFonts w:hint="eastAsia"/>
        </w:rPr>
        <w:t>第</w:t>
      </w:r>
      <w:r w:rsidRPr="00BD69D1">
        <w:t>46</w:t>
      </w:r>
      <w:r w:rsidRPr="00BD69D1">
        <w:rPr>
          <w:rFonts w:hint="eastAsia"/>
        </w:rPr>
        <w:t>條第</w:t>
      </w:r>
      <w:r w:rsidRPr="00BD69D1">
        <w:t>1</w:t>
      </w:r>
      <w:r w:rsidRPr="00BD69D1">
        <w:rPr>
          <w:rFonts w:hint="eastAsia"/>
        </w:rPr>
        <w:t>項第</w:t>
      </w:r>
      <w:r w:rsidRPr="00BD69D1">
        <w:t>1</w:t>
      </w:r>
      <w:r w:rsidRPr="00BD69D1">
        <w:rPr>
          <w:rFonts w:hint="eastAsia"/>
        </w:rPr>
        <w:t>款至第</w:t>
      </w:r>
      <w:r w:rsidRPr="00BD69D1">
        <w:t>6</w:t>
      </w:r>
      <w:r w:rsidRPr="00BD69D1">
        <w:rPr>
          <w:rFonts w:hint="eastAsia"/>
        </w:rPr>
        <w:t>款</w:t>
      </w:r>
      <w:r w:rsidRPr="00BD69D1">
        <w:t>(</w:t>
      </w:r>
      <w:r w:rsidRPr="00BD69D1">
        <w:rPr>
          <w:rFonts w:hint="eastAsia"/>
        </w:rPr>
        <w:t>外國專業人才</w:t>
      </w:r>
      <w:r w:rsidRPr="00BD69D1">
        <w:t>)</w:t>
      </w:r>
      <w:r w:rsidRPr="00BD69D1">
        <w:rPr>
          <w:rFonts w:hint="eastAsia"/>
        </w:rPr>
        <w:t>及第</w:t>
      </w:r>
      <w:r w:rsidRPr="00BD69D1">
        <w:t>11</w:t>
      </w:r>
      <w:r w:rsidRPr="00BD69D1">
        <w:rPr>
          <w:rFonts w:hint="eastAsia"/>
        </w:rPr>
        <w:t>款之外國人</w:t>
      </w:r>
      <w:r w:rsidRPr="00BD69D1">
        <w:t>(</w:t>
      </w:r>
      <w:r w:rsidRPr="00BD69D1">
        <w:rPr>
          <w:rFonts w:hint="eastAsia"/>
        </w:rPr>
        <w:t>中階技術人力</w:t>
      </w:r>
      <w:r w:rsidRPr="00BD69D1">
        <w:t>)</w:t>
      </w:r>
      <w:r w:rsidRPr="00BD69D1">
        <w:rPr>
          <w:rFonts w:hint="eastAsia"/>
        </w:rPr>
        <w:t>，均依法督促事業單位足額</w:t>
      </w:r>
      <w:proofErr w:type="gramStart"/>
      <w:r w:rsidRPr="00BD69D1">
        <w:rPr>
          <w:rFonts w:hint="eastAsia"/>
        </w:rPr>
        <w:t>提</w:t>
      </w:r>
      <w:proofErr w:type="gramEnd"/>
      <w:r w:rsidRPr="00BD69D1">
        <w:rPr>
          <w:rFonts w:hint="eastAsia"/>
        </w:rPr>
        <w:t>撥勞工退休準備金。至</w:t>
      </w:r>
      <w:r w:rsidRPr="00BD69D1">
        <w:rPr>
          <w:rFonts w:hAnsi="標楷體" w:hint="eastAsia"/>
        </w:rPr>
        <w:t>就</w:t>
      </w:r>
      <w:proofErr w:type="gramStart"/>
      <w:r w:rsidRPr="00BD69D1">
        <w:rPr>
          <w:rFonts w:hAnsi="標楷體" w:hint="eastAsia"/>
        </w:rPr>
        <w:t>服法</w:t>
      </w:r>
      <w:proofErr w:type="gramEnd"/>
      <w:r w:rsidRPr="00BD69D1">
        <w:rPr>
          <w:rFonts w:hint="eastAsia"/>
        </w:rPr>
        <w:t>第</w:t>
      </w:r>
      <w:r w:rsidRPr="00BD69D1">
        <w:t>46</w:t>
      </w:r>
      <w:r w:rsidRPr="00BD69D1">
        <w:rPr>
          <w:rFonts w:hint="eastAsia"/>
        </w:rPr>
        <w:t>條第</w:t>
      </w:r>
      <w:r w:rsidRPr="00BD69D1">
        <w:t>1</w:t>
      </w:r>
      <w:r w:rsidRPr="00BD69D1">
        <w:rPr>
          <w:rFonts w:hint="eastAsia"/>
        </w:rPr>
        <w:t>項其餘各款人員，依原</w:t>
      </w:r>
      <w:r w:rsidRPr="00BD69D1">
        <w:rPr>
          <w:rFonts w:hAnsi="標楷體" w:hint="eastAsia"/>
        </w:rPr>
        <w:t>勞委會</w:t>
      </w:r>
      <w:r w:rsidRPr="00BD69D1">
        <w:t>95</w:t>
      </w:r>
      <w:r w:rsidRPr="00BD69D1">
        <w:rPr>
          <w:rFonts w:hint="eastAsia"/>
        </w:rPr>
        <w:t>年</w:t>
      </w:r>
      <w:r w:rsidRPr="00BD69D1">
        <w:t>12</w:t>
      </w:r>
      <w:r w:rsidRPr="00BD69D1">
        <w:rPr>
          <w:rFonts w:hint="eastAsia"/>
        </w:rPr>
        <w:t>月</w:t>
      </w:r>
      <w:r w:rsidRPr="00BD69D1">
        <w:t>15</w:t>
      </w:r>
      <w:r w:rsidRPr="00BD69D1">
        <w:rPr>
          <w:rFonts w:hint="eastAsia"/>
        </w:rPr>
        <w:t>日勞動</w:t>
      </w:r>
      <w:r w:rsidRPr="00BD69D1">
        <w:t>4</w:t>
      </w:r>
      <w:r w:rsidRPr="00BD69D1">
        <w:rPr>
          <w:rFonts w:hint="eastAsia"/>
        </w:rPr>
        <w:t>字第</w:t>
      </w:r>
      <w:r w:rsidRPr="00BD69D1">
        <w:t>0950109148</w:t>
      </w:r>
      <w:r w:rsidRPr="00BD69D1">
        <w:rPr>
          <w:rFonts w:hint="eastAsia"/>
        </w:rPr>
        <w:t>號令釋，不</w:t>
      </w:r>
      <w:proofErr w:type="gramStart"/>
      <w:r w:rsidRPr="00BD69D1">
        <w:rPr>
          <w:rFonts w:hint="eastAsia"/>
        </w:rPr>
        <w:t>予</w:t>
      </w:r>
      <w:proofErr w:type="gramEnd"/>
      <w:r w:rsidRPr="00BD69D1">
        <w:rPr>
          <w:rFonts w:hint="eastAsia"/>
        </w:rPr>
        <w:t>計入。</w:t>
      </w:r>
    </w:p>
    <w:p w:rsidR="008912CF" w:rsidRPr="008912CF" w:rsidRDefault="008912CF" w:rsidP="008912CF">
      <w:pPr>
        <w:pStyle w:val="4"/>
      </w:pPr>
      <w:r w:rsidRPr="00BD69D1">
        <w:rPr>
          <w:rFonts w:hint="eastAsia"/>
        </w:rPr>
        <w:t>伴隨我國社會經濟發展與產業勞動力需求，</w:t>
      </w:r>
      <w:proofErr w:type="gramStart"/>
      <w:r w:rsidRPr="00BD69D1">
        <w:rPr>
          <w:rFonts w:hint="eastAsia"/>
        </w:rPr>
        <w:t>藍領移工</w:t>
      </w:r>
      <w:proofErr w:type="gramEnd"/>
      <w:r w:rsidRPr="00BD69D1">
        <w:t>(</w:t>
      </w:r>
      <w:r w:rsidRPr="00BD69D1">
        <w:rPr>
          <w:rFonts w:hint="eastAsia"/>
        </w:rPr>
        <w:t>不包含家庭看護工及家庭幫傭</w:t>
      </w:r>
      <w:r w:rsidRPr="00BD69D1">
        <w:t>)</w:t>
      </w:r>
      <w:r w:rsidRPr="00BD69D1">
        <w:rPr>
          <w:rFonts w:hint="eastAsia"/>
        </w:rPr>
        <w:t>在臺總工作年限已逐次放寬，並可銜接轉為中階技術人力，現行藍領</w:t>
      </w:r>
      <w:proofErr w:type="gramStart"/>
      <w:r w:rsidRPr="00BD69D1">
        <w:rPr>
          <w:rFonts w:hint="eastAsia"/>
        </w:rPr>
        <w:t>移工</w:t>
      </w:r>
      <w:proofErr w:type="gramEnd"/>
      <w:r w:rsidRPr="00BD69D1">
        <w:rPr>
          <w:rFonts w:hint="eastAsia"/>
        </w:rPr>
        <w:t>倘轉為中階技術人力確有可能成就退休要件，依上</w:t>
      </w:r>
      <w:proofErr w:type="gramStart"/>
      <w:r w:rsidRPr="00BD69D1">
        <w:rPr>
          <w:rFonts w:hint="eastAsia"/>
        </w:rPr>
        <w:t>開令釋，藍領移</w:t>
      </w:r>
      <w:proofErr w:type="gramEnd"/>
      <w:r w:rsidRPr="00BD69D1">
        <w:rPr>
          <w:rFonts w:hint="eastAsia"/>
        </w:rPr>
        <w:t>工薪資雖可不計入按月</w:t>
      </w:r>
      <w:proofErr w:type="gramStart"/>
      <w:r w:rsidRPr="00BD69D1">
        <w:rPr>
          <w:rFonts w:hint="eastAsia"/>
        </w:rPr>
        <w:t>提</w:t>
      </w:r>
      <w:proofErr w:type="gramEnd"/>
      <w:r w:rsidRPr="00BD69D1">
        <w:rPr>
          <w:rFonts w:hint="eastAsia"/>
        </w:rPr>
        <w:t>撥勞工退休準備金之「每月薪資總額」範圍，惟其成就退休要件時，雇主仍須依法給付退休金。</w:t>
      </w:r>
    </w:p>
    <w:p w:rsidR="008912CF" w:rsidRPr="00BD69D1" w:rsidRDefault="008912CF" w:rsidP="008912CF">
      <w:pPr>
        <w:pStyle w:val="4"/>
        <w:rPr>
          <w:rFonts w:hAnsi="標楷體"/>
          <w:bCs/>
        </w:rPr>
      </w:pPr>
      <w:r w:rsidRPr="00BD69D1">
        <w:rPr>
          <w:rFonts w:hint="eastAsia"/>
        </w:rPr>
        <w:t>伴隨時空背景改變及</w:t>
      </w:r>
      <w:proofErr w:type="gramStart"/>
      <w:r w:rsidRPr="00BD69D1">
        <w:rPr>
          <w:rFonts w:hint="eastAsia"/>
        </w:rPr>
        <w:t>移工在臺</w:t>
      </w:r>
      <w:proofErr w:type="gramEnd"/>
      <w:r w:rsidRPr="00BD69D1">
        <w:rPr>
          <w:rFonts w:hint="eastAsia"/>
        </w:rPr>
        <w:t>工作年限、條件之放寬，該</w:t>
      </w:r>
      <w:proofErr w:type="gramStart"/>
      <w:r w:rsidRPr="00BD69D1">
        <w:rPr>
          <w:rFonts w:hint="eastAsia"/>
        </w:rPr>
        <w:t>部上開令釋</w:t>
      </w:r>
      <w:proofErr w:type="gramEnd"/>
      <w:r w:rsidRPr="00BD69D1">
        <w:rPr>
          <w:rFonts w:hint="eastAsia"/>
        </w:rPr>
        <w:t>有其討論空間，</w:t>
      </w:r>
      <w:proofErr w:type="gramStart"/>
      <w:r w:rsidRPr="00BD69D1">
        <w:rPr>
          <w:rFonts w:hint="eastAsia"/>
        </w:rPr>
        <w:t>然須考量移</w:t>
      </w:r>
      <w:proofErr w:type="gramEnd"/>
      <w:r w:rsidRPr="00BD69D1">
        <w:rPr>
          <w:rFonts w:hint="eastAsia"/>
        </w:rPr>
        <w:t>工實際留臺年限、後續銜接中階技術人力情形，及雇主是否產生脫法行為等，仍須審慎評估諸多因素，勞動部將因應移工人口結構，滾動檢視上</w:t>
      </w:r>
      <w:proofErr w:type="gramStart"/>
      <w:r w:rsidRPr="00BD69D1">
        <w:rPr>
          <w:rFonts w:hint="eastAsia"/>
        </w:rPr>
        <w:t>開令釋規</w:t>
      </w:r>
      <w:proofErr w:type="gramEnd"/>
      <w:r w:rsidRPr="00BD69D1">
        <w:rPr>
          <w:rFonts w:hint="eastAsia"/>
        </w:rPr>
        <w:t>定</w:t>
      </w:r>
      <w:r w:rsidRPr="00BD69D1">
        <w:rPr>
          <w:rFonts w:hAnsi="標楷體" w:hint="eastAsia"/>
          <w:bCs/>
        </w:rPr>
        <w:t>。</w:t>
      </w:r>
    </w:p>
    <w:p w:rsidR="009F2D16" w:rsidRPr="008A4A1D" w:rsidRDefault="008912CF" w:rsidP="008A4A1D">
      <w:pPr>
        <w:pStyle w:val="3"/>
        <w:rPr>
          <w:rFonts w:hAnsi="標楷體"/>
        </w:rPr>
      </w:pPr>
      <w:proofErr w:type="gramStart"/>
      <w:r w:rsidRPr="00BD69D1">
        <w:rPr>
          <w:rFonts w:hAnsi="標楷體" w:hint="eastAsia"/>
        </w:rPr>
        <w:t>惟查</w:t>
      </w:r>
      <w:proofErr w:type="gramEnd"/>
      <w:r w:rsidRPr="00BD69D1">
        <w:rPr>
          <w:rFonts w:hAnsi="標楷體" w:hint="eastAsia"/>
        </w:rPr>
        <w:t>，原勞委會</w:t>
      </w:r>
      <w:proofErr w:type="gramStart"/>
      <w:r w:rsidRPr="00BD69D1">
        <w:rPr>
          <w:rFonts w:hAnsi="標楷體"/>
        </w:rPr>
        <w:t>95</w:t>
      </w:r>
      <w:r w:rsidRPr="00BD69D1">
        <w:rPr>
          <w:rFonts w:hAnsi="標楷體" w:hint="eastAsia"/>
        </w:rPr>
        <w:t>年</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日令釋作</w:t>
      </w:r>
      <w:proofErr w:type="gramEnd"/>
      <w:r w:rsidRPr="00BD69D1">
        <w:rPr>
          <w:rFonts w:hAnsi="標楷體" w:hint="eastAsia"/>
        </w:rPr>
        <w:t>成迄今逾18年，就</w:t>
      </w:r>
      <w:proofErr w:type="gramStart"/>
      <w:r w:rsidRPr="00BD69D1">
        <w:rPr>
          <w:rFonts w:hAnsi="標楷體" w:hint="eastAsia"/>
        </w:rPr>
        <w:t>服</w:t>
      </w:r>
      <w:proofErr w:type="gramEnd"/>
      <w:r w:rsidRPr="00BD69D1">
        <w:rPr>
          <w:rFonts w:hAnsi="標楷體" w:hint="eastAsia"/>
        </w:rPr>
        <w:t>法已放寬</w:t>
      </w:r>
      <w:proofErr w:type="gramStart"/>
      <w:r w:rsidRPr="00BD69D1">
        <w:rPr>
          <w:rFonts w:hAnsi="標楷體" w:hint="eastAsia"/>
        </w:rPr>
        <w:t>藍領移</w:t>
      </w:r>
      <w:proofErr w:type="gramEnd"/>
      <w:r w:rsidRPr="00BD69D1">
        <w:rPr>
          <w:rFonts w:hAnsi="標楷體" w:hint="eastAsia"/>
        </w:rPr>
        <w:t>工(不含家庭看護工及家庭幫傭)在臺工作年限為12年，且有銜接中階技術人力之機制</w:t>
      </w:r>
      <w:r w:rsidRPr="00BD69D1">
        <w:rPr>
          <w:rStyle w:val="afe"/>
          <w:rFonts w:hAnsi="標楷體"/>
        </w:rPr>
        <w:footnoteReference w:id="8"/>
      </w:r>
      <w:r w:rsidRPr="00BD69D1">
        <w:rPr>
          <w:rFonts w:hAnsi="標楷體" w:hint="eastAsia"/>
        </w:rPr>
        <w:t>，已有成就退休條件之可能。另查，勞基法第56條第1項</w:t>
      </w:r>
      <w:r w:rsidRPr="00BD69D1">
        <w:rPr>
          <w:rFonts w:hAnsi="標楷體"/>
        </w:rPr>
        <w:t>雇主應按月</w:t>
      </w:r>
      <w:proofErr w:type="gramStart"/>
      <w:r w:rsidRPr="00BD69D1">
        <w:rPr>
          <w:rFonts w:hAnsi="標楷體"/>
        </w:rPr>
        <w:t>提撥</w:t>
      </w:r>
      <w:proofErr w:type="gramEnd"/>
      <w:r w:rsidRPr="00BD69D1">
        <w:rPr>
          <w:rFonts w:hAnsi="標楷體"/>
        </w:rPr>
        <w:t>勞工退休</w:t>
      </w:r>
      <w:r w:rsidRPr="00BD69D1">
        <w:rPr>
          <w:rFonts w:hAnsi="標楷體" w:hint="eastAsia"/>
        </w:rPr>
        <w:t>準備金並專</w:t>
      </w:r>
      <w:r w:rsidRPr="00BD69D1">
        <w:rPr>
          <w:rFonts w:hAnsi="標楷體" w:hint="eastAsia"/>
        </w:rPr>
        <w:lastRenderedPageBreak/>
        <w:t>戶存儲之規定，並無區分本、外籍勞工，且適用勞基法的外籍勞工(不含在學僑外生工讀)，目前有「未取得永久居留許可之外國專業人才」、「</w:t>
      </w:r>
      <w:proofErr w:type="gramStart"/>
      <w:r w:rsidRPr="00BD69D1">
        <w:rPr>
          <w:rFonts w:hAnsi="標楷體" w:hint="eastAsia"/>
        </w:rPr>
        <w:t>藍領移</w:t>
      </w:r>
      <w:proofErr w:type="gramEnd"/>
      <w:r w:rsidRPr="00BD69D1">
        <w:rPr>
          <w:rFonts w:hAnsi="標楷體" w:hint="eastAsia"/>
        </w:rPr>
        <w:t>工」及「中階技術人力」等3類，唯獨聘僱</w:t>
      </w:r>
      <w:proofErr w:type="gramStart"/>
      <w:r w:rsidRPr="00BD69D1">
        <w:rPr>
          <w:rFonts w:hAnsi="標楷體" w:hint="eastAsia"/>
        </w:rPr>
        <w:t>藍領移工</w:t>
      </w:r>
      <w:proofErr w:type="gramEnd"/>
      <w:r w:rsidRPr="00BD69D1">
        <w:rPr>
          <w:rFonts w:hAnsi="標楷體" w:hint="eastAsia"/>
        </w:rPr>
        <w:t>的雇主，得依上</w:t>
      </w:r>
      <w:proofErr w:type="gramStart"/>
      <w:r w:rsidRPr="00BD69D1">
        <w:rPr>
          <w:rFonts w:hAnsi="標楷體" w:hint="eastAsia"/>
        </w:rPr>
        <w:t>開令釋免</w:t>
      </w:r>
      <w:proofErr w:type="gramEnd"/>
      <w:r w:rsidRPr="00BD69D1">
        <w:rPr>
          <w:rFonts w:hAnsi="標楷體" w:hint="eastAsia"/>
        </w:rPr>
        <w:t>除</w:t>
      </w:r>
      <w:proofErr w:type="gramStart"/>
      <w:r w:rsidRPr="00BD69D1">
        <w:rPr>
          <w:rFonts w:hAnsi="標楷體" w:hint="eastAsia"/>
        </w:rPr>
        <w:t>提</w:t>
      </w:r>
      <w:proofErr w:type="gramEnd"/>
      <w:r w:rsidRPr="00BD69D1">
        <w:rPr>
          <w:rFonts w:hAnsi="標楷體" w:hint="eastAsia"/>
        </w:rPr>
        <w:t>撥退休準備金之義務，差別對待的正當性及法律依據，</w:t>
      </w:r>
      <w:proofErr w:type="gramStart"/>
      <w:r w:rsidRPr="00BD69D1">
        <w:rPr>
          <w:rFonts w:hAnsi="標楷體" w:hint="eastAsia"/>
        </w:rPr>
        <w:t>勞動部允</w:t>
      </w:r>
      <w:proofErr w:type="gramEnd"/>
      <w:r w:rsidRPr="00BD69D1">
        <w:rPr>
          <w:rFonts w:hAnsi="標楷體" w:hint="eastAsia"/>
        </w:rPr>
        <w:t>應確實釐清。按勞基法強制雇主</w:t>
      </w:r>
      <w:proofErr w:type="gramStart"/>
      <w:r w:rsidRPr="00BD69D1">
        <w:rPr>
          <w:rFonts w:hAnsi="標楷體" w:hint="eastAsia"/>
        </w:rPr>
        <w:t>提撥</w:t>
      </w:r>
      <w:proofErr w:type="gramEnd"/>
      <w:r w:rsidRPr="00BD69D1">
        <w:rPr>
          <w:rFonts w:hAnsi="標楷體" w:hint="eastAsia"/>
        </w:rPr>
        <w:t>退休準備金並專戶存儲之規定，依司法院釋字第5</w:t>
      </w:r>
      <w:r w:rsidRPr="00BD69D1">
        <w:rPr>
          <w:rFonts w:hAnsi="標楷體"/>
        </w:rPr>
        <w:t>78號解釋</w:t>
      </w:r>
      <w:r w:rsidRPr="00BD69D1">
        <w:rPr>
          <w:rFonts w:hAnsi="標楷體" w:hint="eastAsia"/>
        </w:rPr>
        <w:t>意旨，係作為確保雇主履行給付退休金之手段，使勞工領取退休金之權益能獲得充分保障。經查勞基法第56條第1項後段規定，僅就「</w:t>
      </w:r>
      <w:proofErr w:type="gramStart"/>
      <w:r w:rsidRPr="00BD69D1">
        <w:rPr>
          <w:rFonts w:hAnsi="標楷體" w:hint="eastAsia"/>
        </w:rPr>
        <w:t>提撥</w:t>
      </w:r>
      <w:proofErr w:type="gramEnd"/>
      <w:r w:rsidRPr="00BD69D1">
        <w:rPr>
          <w:rFonts w:hAnsi="標楷體" w:hint="eastAsia"/>
        </w:rPr>
        <w:t>之比率、程序及管理等事項」授權中央主管機關訂定辦法，授權範圍並未及於「</w:t>
      </w:r>
      <w:proofErr w:type="gramStart"/>
      <w:r w:rsidRPr="00BD69D1">
        <w:rPr>
          <w:rFonts w:hAnsi="標楷體" w:hint="eastAsia"/>
        </w:rPr>
        <w:t>提</w:t>
      </w:r>
      <w:proofErr w:type="gramEnd"/>
      <w:r w:rsidRPr="00BD69D1">
        <w:rPr>
          <w:rFonts w:hAnsi="標楷體" w:hint="eastAsia"/>
        </w:rPr>
        <w:t>撥之適用對象」，原勞委會</w:t>
      </w:r>
      <w:r w:rsidRPr="00BD69D1">
        <w:rPr>
          <w:rFonts w:hAnsi="標楷體"/>
        </w:rPr>
        <w:t>95</w:t>
      </w:r>
      <w:r w:rsidRPr="00BD69D1">
        <w:rPr>
          <w:rFonts w:hAnsi="標楷體" w:hint="eastAsia"/>
        </w:rPr>
        <w:t>年</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w:t>
      </w:r>
      <w:proofErr w:type="gramStart"/>
      <w:r w:rsidRPr="00BD69D1">
        <w:rPr>
          <w:rFonts w:hAnsi="標楷體" w:hint="eastAsia"/>
        </w:rPr>
        <w:t>令釋</w:t>
      </w:r>
      <w:proofErr w:type="gramEnd"/>
      <w:r w:rsidRPr="00BD69D1">
        <w:rPr>
          <w:rFonts w:hAnsi="標楷體" w:hint="eastAsia"/>
        </w:rPr>
        <w:t>，不僅作成基礎的時空背景，如今已有改變，</w:t>
      </w:r>
      <w:r>
        <w:rPr>
          <w:rFonts w:hAnsi="標楷體" w:hint="eastAsia"/>
        </w:rPr>
        <w:t>且</w:t>
      </w:r>
      <w:r w:rsidRPr="00BD69D1">
        <w:rPr>
          <w:rFonts w:hAnsi="標楷體" w:hint="eastAsia"/>
        </w:rPr>
        <w:t>勞動</w:t>
      </w:r>
      <w:proofErr w:type="gramStart"/>
      <w:r w:rsidRPr="00BD69D1">
        <w:rPr>
          <w:rFonts w:hAnsi="標楷體" w:hint="eastAsia"/>
        </w:rPr>
        <w:t>部以令釋免</w:t>
      </w:r>
      <w:proofErr w:type="gramEnd"/>
      <w:r w:rsidRPr="00BD69D1">
        <w:rPr>
          <w:rFonts w:hAnsi="標楷體" w:hint="eastAsia"/>
        </w:rPr>
        <w:t>除法律強制雇主</w:t>
      </w:r>
      <w:proofErr w:type="gramStart"/>
      <w:r w:rsidRPr="00BD69D1">
        <w:rPr>
          <w:rFonts w:hAnsi="標楷體" w:hint="eastAsia"/>
        </w:rPr>
        <w:t>提</w:t>
      </w:r>
      <w:proofErr w:type="gramEnd"/>
      <w:r w:rsidRPr="00BD69D1">
        <w:rPr>
          <w:rFonts w:hAnsi="標楷體" w:hint="eastAsia"/>
        </w:rPr>
        <w:t>撥退休準備金之義務，減輕雇主用人成本負擔之際，</w:t>
      </w:r>
      <w:r>
        <w:rPr>
          <w:rFonts w:hAnsi="標楷體" w:hint="eastAsia"/>
        </w:rPr>
        <w:t>卻因此</w:t>
      </w:r>
      <w:r w:rsidRPr="00BD69D1">
        <w:rPr>
          <w:rFonts w:hAnsi="標楷體" w:hint="eastAsia"/>
        </w:rPr>
        <w:t>削弱勞基法對勞工退休金之保障，恐有違反法律授權明確性原則而牴觸母法之虞。</w:t>
      </w:r>
      <w:bookmarkStart w:id="24" w:name="_Hlk198127753"/>
      <w:proofErr w:type="gramStart"/>
      <w:r w:rsidRPr="00BD69D1">
        <w:rPr>
          <w:rFonts w:hAnsi="標楷體" w:hint="eastAsia"/>
        </w:rPr>
        <w:t>勞動部遲未</w:t>
      </w:r>
      <w:proofErr w:type="gramEnd"/>
      <w:r w:rsidRPr="00BD69D1">
        <w:rPr>
          <w:rFonts w:hAnsi="標楷體" w:hint="eastAsia"/>
        </w:rPr>
        <w:t>因應時空環境變遷及配合就</w:t>
      </w:r>
      <w:proofErr w:type="gramStart"/>
      <w:r w:rsidRPr="00BD69D1">
        <w:rPr>
          <w:rFonts w:hAnsi="標楷體" w:hint="eastAsia"/>
        </w:rPr>
        <w:t>服</w:t>
      </w:r>
      <w:proofErr w:type="gramEnd"/>
      <w:r w:rsidRPr="00BD69D1">
        <w:rPr>
          <w:rFonts w:hAnsi="標楷體" w:hint="eastAsia"/>
        </w:rPr>
        <w:t>法修正情形，適時檢討上</w:t>
      </w:r>
      <w:proofErr w:type="gramStart"/>
      <w:r w:rsidRPr="00BD69D1">
        <w:rPr>
          <w:rFonts w:hAnsi="標楷體" w:hint="eastAsia"/>
        </w:rPr>
        <w:t>開令釋</w:t>
      </w:r>
      <w:proofErr w:type="gramEnd"/>
      <w:r w:rsidRPr="00BD69D1">
        <w:rPr>
          <w:rFonts w:hAnsi="標楷體" w:hint="eastAsia"/>
        </w:rPr>
        <w:t>，並確實掌握地方勞動主管機關辦理查核情形，核有未當</w:t>
      </w:r>
      <w:bookmarkEnd w:id="24"/>
      <w:r w:rsidRPr="00BD69D1">
        <w:rPr>
          <w:rFonts w:hAnsi="標楷體" w:hint="eastAsia"/>
        </w:rPr>
        <w:t>，允應儘速通盤檢討是否修正或廢止上</w:t>
      </w:r>
      <w:proofErr w:type="gramStart"/>
      <w:r w:rsidRPr="00BD69D1">
        <w:rPr>
          <w:rFonts w:hAnsi="標楷體" w:hint="eastAsia"/>
        </w:rPr>
        <w:t>開令釋</w:t>
      </w:r>
      <w:proofErr w:type="gramEnd"/>
      <w:r w:rsidRPr="00BD69D1">
        <w:rPr>
          <w:rFonts w:hAnsi="標楷體" w:hint="eastAsia"/>
        </w:rPr>
        <w:t>，倘政策上認為尚不宜令雇主為藍領移工</w:t>
      </w:r>
      <w:proofErr w:type="gramStart"/>
      <w:r w:rsidRPr="00BD69D1">
        <w:rPr>
          <w:rFonts w:hAnsi="標楷體" w:hint="eastAsia"/>
        </w:rPr>
        <w:t>提</w:t>
      </w:r>
      <w:proofErr w:type="gramEnd"/>
      <w:r w:rsidRPr="00BD69D1">
        <w:rPr>
          <w:rFonts w:hAnsi="標楷體" w:hint="eastAsia"/>
        </w:rPr>
        <w:t>撥退休準備金，宜斟酌於勞基法明定排除適用</w:t>
      </w:r>
      <w:proofErr w:type="gramStart"/>
      <w:r w:rsidRPr="00BD69D1">
        <w:rPr>
          <w:rFonts w:hAnsi="標楷體" w:hint="eastAsia"/>
        </w:rPr>
        <w:t>提</w:t>
      </w:r>
      <w:proofErr w:type="gramEnd"/>
      <w:r w:rsidRPr="00BD69D1">
        <w:rPr>
          <w:rFonts w:hAnsi="標楷體" w:hint="eastAsia"/>
        </w:rPr>
        <w:t>撥退休準備金情形之授權依據，俾符合法律授權明確性原則，保障適用勞退</w:t>
      </w:r>
      <w:proofErr w:type="gramStart"/>
      <w:r w:rsidRPr="00BD69D1">
        <w:rPr>
          <w:rFonts w:hAnsi="標楷體" w:hint="eastAsia"/>
        </w:rPr>
        <w:t>舊制移工</w:t>
      </w:r>
      <w:proofErr w:type="gramEnd"/>
      <w:r w:rsidRPr="00BD69D1">
        <w:rPr>
          <w:rFonts w:hAnsi="標楷體" w:hint="eastAsia"/>
        </w:rPr>
        <w:t>之退休金權益。</w:t>
      </w:r>
      <w:r w:rsidRPr="00BD69D1">
        <w:rPr>
          <w:rFonts w:hAnsi="標楷體"/>
        </w:rPr>
        <w:t xml:space="preserve"> </w:t>
      </w:r>
    </w:p>
    <w:p w:rsidR="008912CF" w:rsidRPr="00BD69D1" w:rsidRDefault="008912CF" w:rsidP="008912CF">
      <w:pPr>
        <w:pStyle w:val="3"/>
        <w:rPr>
          <w:rFonts w:hAnsi="標楷體"/>
        </w:rPr>
      </w:pPr>
      <w:r w:rsidRPr="00BD69D1">
        <w:rPr>
          <w:rFonts w:hAnsi="標楷體" w:hint="eastAsia"/>
        </w:rPr>
        <w:t>綜上，現行就</w:t>
      </w:r>
      <w:proofErr w:type="gramStart"/>
      <w:r w:rsidRPr="00BD69D1">
        <w:rPr>
          <w:rFonts w:hAnsi="標楷體" w:hint="eastAsia"/>
        </w:rPr>
        <w:t>服法</w:t>
      </w:r>
      <w:proofErr w:type="gramEnd"/>
      <w:r w:rsidRPr="00BD69D1">
        <w:rPr>
          <w:rFonts w:hAnsi="標楷體" w:hint="eastAsia"/>
        </w:rPr>
        <w:t>第46條第1項第</w:t>
      </w:r>
      <w:r w:rsidRPr="00BD69D1">
        <w:rPr>
          <w:rFonts w:hAnsi="標楷體"/>
        </w:rPr>
        <w:t>8</w:t>
      </w:r>
      <w:r w:rsidRPr="00BD69D1">
        <w:rPr>
          <w:rFonts w:hAnsi="標楷體" w:hint="eastAsia"/>
        </w:rPr>
        <w:t>款及第</w:t>
      </w:r>
      <w:r w:rsidRPr="00BD69D1">
        <w:rPr>
          <w:rFonts w:hAnsi="標楷體"/>
        </w:rPr>
        <w:t>10</w:t>
      </w:r>
      <w:r w:rsidRPr="00BD69D1">
        <w:rPr>
          <w:rFonts w:hAnsi="標楷體" w:hint="eastAsia"/>
        </w:rPr>
        <w:t>款之</w:t>
      </w:r>
      <w:proofErr w:type="gramStart"/>
      <w:r w:rsidRPr="00BD69D1">
        <w:rPr>
          <w:rFonts w:hAnsi="標楷體" w:hint="eastAsia"/>
        </w:rPr>
        <w:t>藍領移工適</w:t>
      </w:r>
      <w:proofErr w:type="gramEnd"/>
      <w:r w:rsidRPr="00BD69D1">
        <w:rPr>
          <w:rFonts w:hAnsi="標楷體" w:hint="eastAsia"/>
        </w:rPr>
        <w:t>用勞退舊制，惟詢據勞動部表示，原勞委會</w:t>
      </w:r>
      <w:r w:rsidRPr="00BD69D1">
        <w:rPr>
          <w:rFonts w:hAnsi="標楷體"/>
        </w:rPr>
        <w:t>95</w:t>
      </w:r>
      <w:r w:rsidRPr="00BD69D1">
        <w:rPr>
          <w:rFonts w:hAnsi="標楷體" w:hint="eastAsia"/>
        </w:rPr>
        <w:t>年</w:t>
      </w:r>
      <w:r w:rsidRPr="00BD69D1">
        <w:rPr>
          <w:rFonts w:hAnsi="標楷體"/>
        </w:rPr>
        <w:t>12</w:t>
      </w:r>
      <w:r w:rsidRPr="00BD69D1">
        <w:rPr>
          <w:rFonts w:hAnsi="標楷體" w:hint="eastAsia"/>
        </w:rPr>
        <w:t>月</w:t>
      </w:r>
      <w:r w:rsidRPr="00BD69D1">
        <w:rPr>
          <w:rFonts w:hAnsi="標楷體"/>
        </w:rPr>
        <w:t>15</w:t>
      </w:r>
      <w:r w:rsidRPr="00BD69D1">
        <w:rPr>
          <w:rFonts w:hAnsi="標楷體" w:hint="eastAsia"/>
        </w:rPr>
        <w:t>日勞動</w:t>
      </w:r>
      <w:r w:rsidRPr="00BD69D1">
        <w:rPr>
          <w:rFonts w:hAnsi="標楷體"/>
        </w:rPr>
        <w:t>4</w:t>
      </w:r>
      <w:r w:rsidRPr="00BD69D1">
        <w:rPr>
          <w:rFonts w:hAnsi="標楷體" w:hint="eastAsia"/>
        </w:rPr>
        <w:t>字第</w:t>
      </w:r>
      <w:r w:rsidRPr="00BD69D1">
        <w:rPr>
          <w:rFonts w:hAnsi="標楷體"/>
        </w:rPr>
        <w:t>0950109148</w:t>
      </w:r>
      <w:r w:rsidRPr="00BD69D1">
        <w:rPr>
          <w:rFonts w:hAnsi="標楷體" w:hint="eastAsia"/>
        </w:rPr>
        <w:t>號令釋，考量當時藍領</w:t>
      </w:r>
      <w:proofErr w:type="gramStart"/>
      <w:r w:rsidRPr="00BD69D1">
        <w:rPr>
          <w:rFonts w:hAnsi="標楷體" w:hint="eastAsia"/>
        </w:rPr>
        <w:t>移工在</w:t>
      </w:r>
      <w:proofErr w:type="gramEnd"/>
      <w:r w:rsidRPr="00BD69D1">
        <w:rPr>
          <w:rFonts w:hAnsi="標楷體" w:hint="eastAsia"/>
        </w:rPr>
        <w:t>臺期間不得逾6年，難以成就退休條件，爰其薪資可不計入按月</w:t>
      </w:r>
      <w:proofErr w:type="gramStart"/>
      <w:r w:rsidRPr="00BD69D1">
        <w:rPr>
          <w:rFonts w:hAnsi="標楷體" w:hint="eastAsia"/>
        </w:rPr>
        <w:t>提</w:t>
      </w:r>
      <w:proofErr w:type="gramEnd"/>
      <w:r w:rsidRPr="00BD69D1">
        <w:rPr>
          <w:rFonts w:hAnsi="標楷體" w:hint="eastAsia"/>
        </w:rPr>
        <w:t>撥勞工退休準備</w:t>
      </w:r>
      <w:r w:rsidRPr="00BD69D1">
        <w:rPr>
          <w:rFonts w:hAnsi="標楷體" w:hint="eastAsia"/>
        </w:rPr>
        <w:lastRenderedPageBreak/>
        <w:t>金之每月薪資總額內，雇主無須為藍領移工</w:t>
      </w:r>
      <w:proofErr w:type="gramStart"/>
      <w:r w:rsidRPr="00BD69D1">
        <w:rPr>
          <w:rFonts w:hAnsi="標楷體" w:hint="eastAsia"/>
        </w:rPr>
        <w:t>提</w:t>
      </w:r>
      <w:proofErr w:type="gramEnd"/>
      <w:r w:rsidRPr="00BD69D1">
        <w:rPr>
          <w:rFonts w:hAnsi="標楷體" w:hint="eastAsia"/>
        </w:rPr>
        <w:t>撥退休準備金，然其成就退休條件時，仍應給付退休金。經查，上</w:t>
      </w:r>
      <w:proofErr w:type="gramStart"/>
      <w:r w:rsidRPr="00BD69D1">
        <w:rPr>
          <w:rFonts w:hAnsi="標楷體" w:hint="eastAsia"/>
        </w:rPr>
        <w:t>開令釋</w:t>
      </w:r>
      <w:proofErr w:type="gramEnd"/>
      <w:r w:rsidRPr="00BD69D1">
        <w:rPr>
          <w:rFonts w:hAnsi="標楷體" w:hint="eastAsia"/>
        </w:rPr>
        <w:t>作成迄今逾18年，就</w:t>
      </w:r>
      <w:proofErr w:type="gramStart"/>
      <w:r w:rsidRPr="00BD69D1">
        <w:rPr>
          <w:rFonts w:hAnsi="標楷體" w:hint="eastAsia"/>
        </w:rPr>
        <w:t>服</w:t>
      </w:r>
      <w:proofErr w:type="gramEnd"/>
      <w:r w:rsidRPr="00BD69D1">
        <w:rPr>
          <w:rFonts w:hAnsi="標楷體" w:hint="eastAsia"/>
        </w:rPr>
        <w:t>法已放寬藍領</w:t>
      </w:r>
      <w:proofErr w:type="gramStart"/>
      <w:r w:rsidRPr="00BD69D1">
        <w:rPr>
          <w:rFonts w:hAnsi="標楷體" w:hint="eastAsia"/>
        </w:rPr>
        <w:t>移工在</w:t>
      </w:r>
      <w:proofErr w:type="gramEnd"/>
      <w:r w:rsidRPr="00BD69D1">
        <w:rPr>
          <w:rFonts w:hAnsi="標楷體" w:hint="eastAsia"/>
        </w:rPr>
        <w:t>臺工作年限為12年，且有銜接中階技術人力之機制，</w:t>
      </w:r>
      <w:proofErr w:type="gramStart"/>
      <w:r w:rsidRPr="00BD69D1">
        <w:rPr>
          <w:rFonts w:hAnsi="標楷體" w:hint="eastAsia"/>
        </w:rPr>
        <w:t>藍領移工</w:t>
      </w:r>
      <w:proofErr w:type="gramEnd"/>
      <w:r w:rsidRPr="00BD69D1">
        <w:rPr>
          <w:rFonts w:hAnsi="標楷體" w:hint="eastAsia"/>
        </w:rPr>
        <w:t>已有成就退休條件之可能；又現行勞基法第56條第1項</w:t>
      </w:r>
      <w:r w:rsidRPr="00BD69D1">
        <w:rPr>
          <w:rFonts w:hAnsi="標楷體"/>
        </w:rPr>
        <w:t>雇主應按月</w:t>
      </w:r>
      <w:proofErr w:type="gramStart"/>
      <w:r w:rsidRPr="00BD69D1">
        <w:rPr>
          <w:rFonts w:hAnsi="標楷體"/>
        </w:rPr>
        <w:t>提撥</w:t>
      </w:r>
      <w:proofErr w:type="gramEnd"/>
      <w:r w:rsidRPr="00BD69D1">
        <w:rPr>
          <w:rFonts w:hAnsi="標楷體"/>
        </w:rPr>
        <w:t>勞工退休</w:t>
      </w:r>
      <w:r w:rsidRPr="00BD69D1">
        <w:rPr>
          <w:rFonts w:hAnsi="標楷體" w:hint="eastAsia"/>
        </w:rPr>
        <w:t>準備金並專戶存儲之規定，並無區分本、外籍勞工之適用，且該條項後段規定，僅就「</w:t>
      </w:r>
      <w:proofErr w:type="gramStart"/>
      <w:r w:rsidRPr="00BD69D1">
        <w:rPr>
          <w:rFonts w:hAnsi="標楷體" w:hint="eastAsia"/>
        </w:rPr>
        <w:t>提</w:t>
      </w:r>
      <w:proofErr w:type="gramEnd"/>
      <w:r w:rsidRPr="00BD69D1">
        <w:rPr>
          <w:rFonts w:hAnsi="標楷體" w:hint="eastAsia"/>
        </w:rPr>
        <w:t>撥之比率、程序及管理等事項」授權中央主管機關訂定辦法，勞動</w:t>
      </w:r>
      <w:proofErr w:type="gramStart"/>
      <w:r w:rsidRPr="00BD69D1">
        <w:rPr>
          <w:rFonts w:hAnsi="標楷體" w:hint="eastAsia"/>
        </w:rPr>
        <w:t>部</w:t>
      </w:r>
      <w:r>
        <w:rPr>
          <w:rFonts w:hAnsi="標楷體" w:hint="eastAsia"/>
        </w:rPr>
        <w:t>卻</w:t>
      </w:r>
      <w:r w:rsidRPr="00BD69D1">
        <w:rPr>
          <w:rFonts w:hAnsi="標楷體" w:hint="eastAsia"/>
        </w:rPr>
        <w:t>以令釋免</w:t>
      </w:r>
      <w:proofErr w:type="gramEnd"/>
      <w:r w:rsidRPr="00BD69D1">
        <w:rPr>
          <w:rFonts w:hAnsi="標楷體" w:hint="eastAsia"/>
        </w:rPr>
        <w:t>除法律強制雇主</w:t>
      </w:r>
      <w:proofErr w:type="gramStart"/>
      <w:r w:rsidRPr="00BD69D1">
        <w:rPr>
          <w:rFonts w:hAnsi="標楷體" w:hint="eastAsia"/>
        </w:rPr>
        <w:t>提</w:t>
      </w:r>
      <w:proofErr w:type="gramEnd"/>
      <w:r w:rsidRPr="00BD69D1">
        <w:rPr>
          <w:rFonts w:hAnsi="標楷體" w:hint="eastAsia"/>
        </w:rPr>
        <w:t>撥退休準備金之義務，減輕雇主用人成本負擔，</w:t>
      </w:r>
      <w:r>
        <w:rPr>
          <w:rFonts w:hAnsi="標楷體" w:hint="eastAsia"/>
        </w:rPr>
        <w:t>反而</w:t>
      </w:r>
      <w:r w:rsidRPr="00BD69D1">
        <w:rPr>
          <w:rFonts w:hAnsi="標楷體" w:hint="eastAsia"/>
        </w:rPr>
        <w:t>削弱勞基法對勞工退休金之保障，恐有違反法律授權明確性原則而牴觸母法之虞。</w:t>
      </w:r>
      <w:proofErr w:type="gramStart"/>
      <w:r w:rsidRPr="00BD69D1">
        <w:rPr>
          <w:rFonts w:hAnsi="標楷體" w:hint="eastAsia"/>
        </w:rPr>
        <w:t>勞動部未因應</w:t>
      </w:r>
      <w:proofErr w:type="gramEnd"/>
      <w:r w:rsidRPr="00BD69D1">
        <w:rPr>
          <w:rFonts w:hAnsi="標楷體" w:hint="eastAsia"/>
        </w:rPr>
        <w:t>時空環境變遷及配合就</w:t>
      </w:r>
      <w:proofErr w:type="gramStart"/>
      <w:r w:rsidRPr="00BD69D1">
        <w:rPr>
          <w:rFonts w:hAnsi="標楷體" w:hint="eastAsia"/>
        </w:rPr>
        <w:t>服</w:t>
      </w:r>
      <w:proofErr w:type="gramEnd"/>
      <w:r w:rsidRPr="00BD69D1">
        <w:rPr>
          <w:rFonts w:hAnsi="標楷體" w:hint="eastAsia"/>
        </w:rPr>
        <w:t>法修正情形，適時檢討上</w:t>
      </w:r>
      <w:proofErr w:type="gramStart"/>
      <w:r w:rsidRPr="00BD69D1">
        <w:rPr>
          <w:rFonts w:hAnsi="標楷體" w:hint="eastAsia"/>
        </w:rPr>
        <w:t>開令釋</w:t>
      </w:r>
      <w:proofErr w:type="gramEnd"/>
      <w:r w:rsidRPr="00BD69D1">
        <w:rPr>
          <w:rFonts w:hAnsi="標楷體" w:hint="eastAsia"/>
        </w:rPr>
        <w:t>，</w:t>
      </w:r>
      <w:r>
        <w:rPr>
          <w:rFonts w:hAnsi="標楷體" w:hint="eastAsia"/>
        </w:rPr>
        <w:t>又未能</w:t>
      </w:r>
      <w:r w:rsidRPr="00BD69D1">
        <w:rPr>
          <w:rFonts w:hAnsi="標楷體" w:hint="eastAsia"/>
        </w:rPr>
        <w:t>確實掌握地方勞動主管機關辦理查核情形，核有未當，允應儘速通盤檢討是否修正或廢止上</w:t>
      </w:r>
      <w:proofErr w:type="gramStart"/>
      <w:r w:rsidRPr="00BD69D1">
        <w:rPr>
          <w:rFonts w:hAnsi="標楷體" w:hint="eastAsia"/>
        </w:rPr>
        <w:t>開令釋</w:t>
      </w:r>
      <w:proofErr w:type="gramEnd"/>
      <w:r w:rsidRPr="00BD69D1">
        <w:rPr>
          <w:rFonts w:hAnsi="標楷體" w:hint="eastAsia"/>
        </w:rPr>
        <w:t>，或斟酌於勞基法明定排除適用</w:t>
      </w:r>
      <w:proofErr w:type="gramStart"/>
      <w:r w:rsidRPr="00BD69D1">
        <w:rPr>
          <w:rFonts w:hAnsi="標楷體" w:hint="eastAsia"/>
        </w:rPr>
        <w:t>提</w:t>
      </w:r>
      <w:proofErr w:type="gramEnd"/>
      <w:r w:rsidRPr="00BD69D1">
        <w:rPr>
          <w:rFonts w:hAnsi="標楷體" w:hint="eastAsia"/>
        </w:rPr>
        <w:t>撥退休準備金情形之授權依據，俾符合法律授權明確性原則，保障適用勞退</w:t>
      </w:r>
      <w:proofErr w:type="gramStart"/>
      <w:r w:rsidRPr="00BD69D1">
        <w:rPr>
          <w:rFonts w:hAnsi="標楷體" w:hint="eastAsia"/>
        </w:rPr>
        <w:t>舊制移工</w:t>
      </w:r>
      <w:proofErr w:type="gramEnd"/>
      <w:r w:rsidRPr="00BD69D1">
        <w:rPr>
          <w:rFonts w:hAnsi="標楷體" w:hint="eastAsia"/>
        </w:rPr>
        <w:t>之退休金權益。</w:t>
      </w:r>
    </w:p>
    <w:p w:rsidR="008912CF" w:rsidRPr="00BD69D1" w:rsidRDefault="008912CF" w:rsidP="008912CF">
      <w:pPr>
        <w:pStyle w:val="2"/>
        <w:spacing w:beforeLines="50" w:before="228"/>
        <w:ind w:left="1020" w:hanging="680"/>
        <w:rPr>
          <w:b/>
        </w:rPr>
      </w:pPr>
      <w:bookmarkStart w:id="25" w:name="_Hlk198230339"/>
      <w:r w:rsidRPr="00BD69D1">
        <w:rPr>
          <w:rFonts w:hint="eastAsia"/>
          <w:b/>
        </w:rPr>
        <w:t>勞工退休金制度應與時俱進</w:t>
      </w:r>
      <w:r w:rsidRPr="00BD69D1">
        <w:rPr>
          <w:rFonts w:hAnsi="標楷體" w:hint="eastAsia"/>
          <w:b/>
        </w:rPr>
        <w:t>，隨社會整體之變遷而適時檢討，據勞動部表示，勞工退休金制度現已</w:t>
      </w:r>
      <w:proofErr w:type="gramStart"/>
      <w:r w:rsidRPr="00BD69D1">
        <w:rPr>
          <w:rFonts w:hAnsi="標楷體" w:hint="eastAsia"/>
          <w:b/>
        </w:rPr>
        <w:t>納入攬才</w:t>
      </w:r>
      <w:proofErr w:type="gramEnd"/>
      <w:r w:rsidRPr="00BD69D1">
        <w:rPr>
          <w:rFonts w:hAnsi="標楷體" w:hint="eastAsia"/>
          <w:b/>
        </w:rPr>
        <w:t>、留才及移民政策考量，</w:t>
      </w:r>
      <w:r w:rsidRPr="00BD69D1">
        <w:rPr>
          <w:rFonts w:hAnsi="標楷體"/>
          <w:b/>
        </w:rPr>
        <w:t>勞退新制涉及稅賦減免、保證收益之國庫撥補與我國</w:t>
      </w:r>
      <w:proofErr w:type="gramStart"/>
      <w:r w:rsidRPr="00BD69D1">
        <w:rPr>
          <w:rFonts w:hAnsi="標楷體"/>
          <w:b/>
        </w:rPr>
        <w:t>整體攬</w:t>
      </w:r>
      <w:proofErr w:type="gramEnd"/>
      <w:r w:rsidRPr="00BD69D1">
        <w:rPr>
          <w:rFonts w:hAnsi="標楷體"/>
          <w:b/>
        </w:rPr>
        <w:t>才、留才政策及移民政策</w:t>
      </w:r>
      <w:r w:rsidRPr="00BD69D1">
        <w:rPr>
          <w:rFonts w:hAnsi="標楷體" w:hint="eastAsia"/>
          <w:b/>
        </w:rPr>
        <w:t>，宜</w:t>
      </w:r>
      <w:r w:rsidRPr="00BD69D1">
        <w:rPr>
          <w:rFonts w:hAnsi="標楷體"/>
          <w:b/>
        </w:rPr>
        <w:t>否</w:t>
      </w:r>
      <w:r w:rsidRPr="00BD69D1">
        <w:rPr>
          <w:rFonts w:hAnsi="標楷體" w:hint="eastAsia"/>
          <w:b/>
        </w:rPr>
        <w:t>開放未取得永久居留許可，且非從事家庭看護及家庭幫傭工作之</w:t>
      </w:r>
      <w:proofErr w:type="gramStart"/>
      <w:r w:rsidRPr="00BD69D1">
        <w:rPr>
          <w:rFonts w:hAnsi="標楷體" w:hint="eastAsia"/>
          <w:b/>
        </w:rPr>
        <w:t>藍領移</w:t>
      </w:r>
      <w:proofErr w:type="gramEnd"/>
      <w:r w:rsidRPr="00BD69D1">
        <w:rPr>
          <w:rFonts w:hAnsi="標楷體" w:hint="eastAsia"/>
          <w:b/>
        </w:rPr>
        <w:t>工、中階技術人力及外國專業人才等在臺工作外國人適用勞退新制，</w:t>
      </w:r>
      <w:proofErr w:type="gramStart"/>
      <w:r w:rsidRPr="00BD69D1">
        <w:rPr>
          <w:rFonts w:hAnsi="標楷體" w:hint="eastAsia"/>
          <w:b/>
        </w:rPr>
        <w:t>勞動部允</w:t>
      </w:r>
      <w:proofErr w:type="gramEnd"/>
      <w:r w:rsidRPr="00BD69D1">
        <w:rPr>
          <w:rFonts w:hAnsi="標楷體" w:hint="eastAsia"/>
          <w:b/>
        </w:rPr>
        <w:t>應會同國發會研商，參照司法院釋字第5</w:t>
      </w:r>
      <w:r w:rsidRPr="00BD69D1">
        <w:rPr>
          <w:rFonts w:hAnsi="標楷體"/>
          <w:b/>
        </w:rPr>
        <w:t>78號解釋</w:t>
      </w:r>
      <w:r w:rsidRPr="00BD69D1">
        <w:rPr>
          <w:rFonts w:hAnsi="標楷體" w:hint="eastAsia"/>
          <w:b/>
        </w:rPr>
        <w:t>意旨，根據我國憲法保障勞工之基本精神及國家對人民興辦之中小型經濟事業應扶助並保護其生存與</w:t>
      </w:r>
      <w:r w:rsidRPr="00BD69D1">
        <w:rPr>
          <w:rFonts w:hAnsi="標楷體" w:hint="eastAsia"/>
          <w:b/>
        </w:rPr>
        <w:lastRenderedPageBreak/>
        <w:t>發展之意旨，參酌有關國際勞工公約之規定，衡量國家總體發展，審慎通盤檢討</w:t>
      </w:r>
      <w:bookmarkEnd w:id="25"/>
      <w:r w:rsidRPr="00BD69D1">
        <w:rPr>
          <w:rFonts w:hAnsi="標楷體" w:hint="eastAsia"/>
          <w:b/>
        </w:rPr>
        <w:t>。</w:t>
      </w:r>
    </w:p>
    <w:p w:rsidR="008912CF" w:rsidRPr="00BD69D1" w:rsidRDefault="008912CF" w:rsidP="008912CF">
      <w:pPr>
        <w:pStyle w:val="3"/>
        <w:rPr>
          <w:rFonts w:hAnsi="標楷體"/>
        </w:rPr>
      </w:pPr>
      <w:r w:rsidRPr="00BD69D1">
        <w:rPr>
          <w:rFonts w:hAnsi="標楷體" w:hint="eastAsia"/>
        </w:rPr>
        <w:t>《公民與政治權利國際公約》第5條強調法律面前之平等與禁止歧視。《經濟社會文化權利國際公約》第7條則保障工作者</w:t>
      </w:r>
      <w:r w:rsidRPr="00BD69D1">
        <w:t>享有公平待遇與尊嚴，特別是在薪資、工時及職業安全方面。</w:t>
      </w:r>
      <w:r w:rsidRPr="00BD69D1">
        <w:rPr>
          <w:rFonts w:hAnsi="標楷體" w:hint="eastAsia"/>
        </w:rPr>
        <w:t>國際勞工組織(縮寫為ILO，下同)第111號公約(C111)</w:t>
      </w:r>
      <w:r w:rsidRPr="00BD69D1">
        <w:t>致力於消除就業與職業上的歧視，確保所有人不因種族、性別、宗教等背景而受限於職業機會</w:t>
      </w:r>
      <w:r w:rsidRPr="00BD69D1">
        <w:rPr>
          <w:rFonts w:hint="eastAsia"/>
        </w:rPr>
        <w:t>；</w:t>
      </w:r>
      <w:r w:rsidRPr="00BD69D1">
        <w:rPr>
          <w:rFonts w:hAnsi="標楷體" w:hint="eastAsia"/>
        </w:rPr>
        <w:t>第143號公約(C143)</w:t>
      </w:r>
      <w:r w:rsidRPr="00BD69D1">
        <w:t>則保障</w:t>
      </w:r>
      <w:proofErr w:type="gramStart"/>
      <w:r w:rsidRPr="00BD69D1">
        <w:t>跨國移工的</w:t>
      </w:r>
      <w:proofErr w:type="gramEnd"/>
      <w:r w:rsidRPr="00BD69D1">
        <w:t>工作條件與社會保障，並強調應給予平等待遇與免於歧視的權利。</w:t>
      </w:r>
    </w:p>
    <w:p w:rsidR="008912CF" w:rsidRPr="00BD69D1" w:rsidRDefault="008912CF" w:rsidP="008912CF">
      <w:pPr>
        <w:pStyle w:val="3"/>
        <w:rPr>
          <w:rFonts w:hAnsi="標楷體"/>
        </w:rPr>
      </w:pPr>
      <w:r w:rsidRPr="00BD69D1">
        <w:rPr>
          <w:rFonts w:hAnsi="標楷體" w:hint="eastAsia"/>
        </w:rPr>
        <w:t>為強化保障勞工退休金權益，自</w:t>
      </w:r>
      <w:r w:rsidRPr="00BD69D1">
        <w:rPr>
          <w:rFonts w:hAnsi="標楷體"/>
        </w:rPr>
        <w:t>94</w:t>
      </w:r>
      <w:r w:rsidRPr="00BD69D1">
        <w:rPr>
          <w:rFonts w:hAnsi="標楷體" w:hint="eastAsia"/>
        </w:rPr>
        <w:t>年</w:t>
      </w:r>
      <w:r w:rsidRPr="00BD69D1">
        <w:rPr>
          <w:rFonts w:hAnsi="標楷體"/>
        </w:rPr>
        <w:t>7</w:t>
      </w:r>
      <w:r w:rsidRPr="00BD69D1">
        <w:rPr>
          <w:rFonts w:hAnsi="標楷體" w:hint="eastAsia"/>
        </w:rPr>
        <w:t>月</w:t>
      </w:r>
      <w:r w:rsidRPr="00BD69D1">
        <w:rPr>
          <w:rFonts w:hAnsi="標楷體"/>
        </w:rPr>
        <w:t>1</w:t>
      </w:r>
      <w:r w:rsidRPr="00BD69D1">
        <w:rPr>
          <w:rFonts w:hAnsi="標楷體" w:hint="eastAsia"/>
        </w:rPr>
        <w:t>日起施行勞退條例(即勞退新制)，與勞退舊制的主要差異在於，適用勞退舊制者，須於同一事業單位工作</w:t>
      </w:r>
      <w:r w:rsidRPr="00BD69D1">
        <w:rPr>
          <w:rFonts w:hAnsi="標楷體"/>
        </w:rPr>
        <w:t>15</w:t>
      </w:r>
      <w:r w:rsidRPr="00BD69D1">
        <w:rPr>
          <w:rFonts w:hAnsi="標楷體" w:hint="eastAsia"/>
        </w:rPr>
        <w:t>年以上年滿</w:t>
      </w:r>
      <w:r w:rsidRPr="00BD69D1">
        <w:rPr>
          <w:rFonts w:hAnsi="標楷體"/>
        </w:rPr>
        <w:t>55</w:t>
      </w:r>
      <w:r w:rsidRPr="00BD69D1">
        <w:rPr>
          <w:rFonts w:hAnsi="標楷體" w:hint="eastAsia"/>
        </w:rPr>
        <w:t>歲、</w:t>
      </w:r>
      <w:r w:rsidRPr="00BD69D1">
        <w:rPr>
          <w:rFonts w:hAnsi="標楷體"/>
        </w:rPr>
        <w:t>10</w:t>
      </w:r>
      <w:r w:rsidRPr="00BD69D1">
        <w:rPr>
          <w:rFonts w:hAnsi="標楷體" w:hint="eastAsia"/>
        </w:rPr>
        <w:t>年以上年滿</w:t>
      </w:r>
      <w:r w:rsidRPr="00BD69D1">
        <w:rPr>
          <w:rFonts w:hAnsi="標楷體"/>
        </w:rPr>
        <w:t>60</w:t>
      </w:r>
      <w:r w:rsidRPr="00BD69D1">
        <w:rPr>
          <w:rFonts w:hAnsi="標楷體" w:hint="eastAsia"/>
        </w:rPr>
        <w:t>歲、工作</w:t>
      </w:r>
      <w:r w:rsidRPr="00BD69D1">
        <w:rPr>
          <w:rFonts w:hAnsi="標楷體"/>
        </w:rPr>
        <w:t>25</w:t>
      </w:r>
      <w:r w:rsidRPr="00BD69D1">
        <w:rPr>
          <w:rFonts w:hAnsi="標楷體" w:hint="eastAsia"/>
        </w:rPr>
        <w:t>年以上或年滿</w:t>
      </w:r>
      <w:r w:rsidRPr="00BD69D1">
        <w:rPr>
          <w:rFonts w:hAnsi="標楷體"/>
        </w:rPr>
        <w:t>65</w:t>
      </w:r>
      <w:r w:rsidRPr="00BD69D1">
        <w:rPr>
          <w:rFonts w:hAnsi="標楷體" w:hint="eastAsia"/>
        </w:rPr>
        <w:t>歲，始有退休金請求權，由雇主一次給付退休金；而勞退新制屬個人</w:t>
      </w:r>
      <w:proofErr w:type="gramStart"/>
      <w:r w:rsidRPr="00BD69D1">
        <w:rPr>
          <w:rFonts w:hAnsi="標楷體" w:hint="eastAsia"/>
        </w:rPr>
        <w:t>專戶制</w:t>
      </w:r>
      <w:proofErr w:type="gramEnd"/>
      <w:r w:rsidRPr="00BD69D1">
        <w:rPr>
          <w:rFonts w:hAnsi="標楷體" w:hint="eastAsia"/>
        </w:rPr>
        <w:t>，由雇主按月為勞工提繳不低於其每月工資</w:t>
      </w:r>
      <w:r w:rsidRPr="00BD69D1">
        <w:rPr>
          <w:rFonts w:hAnsi="標楷體"/>
        </w:rPr>
        <w:t>6</w:t>
      </w:r>
      <w:r w:rsidRPr="00BD69D1">
        <w:rPr>
          <w:rFonts w:hAnsi="標楷體" w:hint="eastAsia"/>
        </w:rPr>
        <w:t>%之退休金，儲存於勞動部勞工保險局設立之勞工退休金個人專戶，且勞退新制提供保證收益及勞工得自願提繳退休金，並享有稅賦優惠，勞工年滿</w:t>
      </w:r>
      <w:r w:rsidRPr="00BD69D1">
        <w:rPr>
          <w:rFonts w:hAnsi="標楷體"/>
        </w:rPr>
        <w:t>60</w:t>
      </w:r>
      <w:r w:rsidRPr="00BD69D1">
        <w:rPr>
          <w:rFonts w:hAnsi="標楷體" w:hint="eastAsia"/>
        </w:rPr>
        <w:t>歲，工作年資滿</w:t>
      </w:r>
      <w:r w:rsidRPr="00BD69D1">
        <w:rPr>
          <w:rFonts w:hAnsi="標楷體"/>
        </w:rPr>
        <w:t>15</w:t>
      </w:r>
      <w:r w:rsidRPr="00BD69D1">
        <w:rPr>
          <w:rFonts w:hAnsi="標楷體" w:hint="eastAsia"/>
        </w:rPr>
        <w:t>年者，得選擇請領月退休金或一次退休金，以確保勞工維持退休生活所需。</w:t>
      </w:r>
    </w:p>
    <w:p w:rsidR="008912CF" w:rsidRPr="00BD69D1" w:rsidRDefault="008912CF" w:rsidP="008912CF">
      <w:pPr>
        <w:pStyle w:val="3"/>
        <w:rPr>
          <w:rFonts w:hAnsi="標楷體"/>
        </w:rPr>
      </w:pPr>
      <w:r w:rsidRPr="00BD69D1">
        <w:rPr>
          <w:rFonts w:hAnsi="標楷體" w:hint="eastAsia"/>
        </w:rPr>
        <w:t>未取得永久居留許可，且非從事家庭看護及家庭幫</w:t>
      </w:r>
      <w:proofErr w:type="gramStart"/>
      <w:r w:rsidRPr="00BD69D1">
        <w:rPr>
          <w:rFonts w:hAnsi="標楷體" w:hint="eastAsia"/>
        </w:rPr>
        <w:t>傭</w:t>
      </w:r>
      <w:proofErr w:type="gramEnd"/>
      <w:r w:rsidRPr="00BD69D1">
        <w:rPr>
          <w:rFonts w:hAnsi="標楷體" w:hint="eastAsia"/>
        </w:rPr>
        <w:t>工作之</w:t>
      </w:r>
      <w:proofErr w:type="gramStart"/>
      <w:r w:rsidRPr="00BD69D1">
        <w:rPr>
          <w:rFonts w:hAnsi="標楷體" w:hint="eastAsia"/>
        </w:rPr>
        <w:t>藍領移</w:t>
      </w:r>
      <w:proofErr w:type="gramEnd"/>
      <w:r w:rsidRPr="00BD69D1">
        <w:rPr>
          <w:rFonts w:hAnsi="標楷體" w:hint="eastAsia"/>
        </w:rPr>
        <w:t>工、中階技術人力及外國專業人才等在臺工作外國人，目前尚未能與本國籍勞工一體適用勞退新制，相關主管機關的政策考量為何，</w:t>
      </w:r>
      <w:proofErr w:type="gramStart"/>
      <w:r w:rsidRPr="00BD69D1">
        <w:rPr>
          <w:rFonts w:hAnsi="標楷體" w:hint="eastAsia"/>
        </w:rPr>
        <w:t>勞動部於</w:t>
      </w:r>
      <w:proofErr w:type="gramEnd"/>
      <w:r w:rsidRPr="00BD69D1">
        <w:rPr>
          <w:rFonts w:hAnsi="標楷體" w:hint="eastAsia"/>
        </w:rPr>
        <w:t>本院114年3月3日詢問時表示：「勞退條例之適用對象，以未來在臺灣享有退休老年生活之勞工為主，並逐步擴大適用對象，勞退條例立法之時，</w:t>
      </w:r>
      <w:r w:rsidRPr="00BD69D1">
        <w:rPr>
          <w:rFonts w:hAnsi="標楷體" w:hint="eastAsia"/>
        </w:rPr>
        <w:lastRenderedPageBreak/>
        <w:t>考量勞退新、舊制度轉換，為使勞退新制推展順利，僅適用本國籍勞工，後續考量與我國國民結婚，且獲准居留而在我國工作之大陸地區人民、香港及澳門居民，係與我國國民組織家庭共同生活，並將長久於我國生活，故於</w:t>
      </w:r>
      <w:r w:rsidRPr="00BD69D1">
        <w:rPr>
          <w:rFonts w:hAnsi="標楷體"/>
        </w:rPr>
        <w:t>103</w:t>
      </w:r>
      <w:r w:rsidRPr="00BD69D1">
        <w:rPr>
          <w:rFonts w:hAnsi="標楷體" w:hint="eastAsia"/>
        </w:rPr>
        <w:t>年</w:t>
      </w:r>
      <w:r w:rsidRPr="00BD69D1">
        <w:rPr>
          <w:rFonts w:hAnsi="標楷體"/>
        </w:rPr>
        <w:t>1</w:t>
      </w:r>
      <w:r w:rsidRPr="00BD69D1">
        <w:rPr>
          <w:rFonts w:hAnsi="標楷體" w:hint="eastAsia"/>
        </w:rPr>
        <w:t>月</w:t>
      </w:r>
      <w:r w:rsidRPr="00BD69D1">
        <w:rPr>
          <w:rFonts w:hAnsi="標楷體"/>
        </w:rPr>
        <w:t>15</w:t>
      </w:r>
      <w:r w:rsidRPr="00BD69D1">
        <w:rPr>
          <w:rFonts w:hAnsi="標楷體" w:hint="eastAsia"/>
        </w:rPr>
        <w:t>日修正公布勞退條例，將外籍配偶納入勞退新制之適用對象。又為配合</w:t>
      </w:r>
      <w:proofErr w:type="gramStart"/>
      <w:r w:rsidRPr="00BD69D1">
        <w:rPr>
          <w:rFonts w:hAnsi="標楷體" w:hint="eastAsia"/>
        </w:rPr>
        <w:t>國家攬才留</w:t>
      </w:r>
      <w:proofErr w:type="gramEnd"/>
      <w:r w:rsidRPr="00BD69D1">
        <w:rPr>
          <w:rFonts w:hAnsi="標楷體" w:hint="eastAsia"/>
        </w:rPr>
        <w:t>才政策，為吸引及加強延攬外國人，並鼓勵其在我國工作，並考量取得我國永久居留許可之外國人，係以在我國長久居住發展為目的，分別於</w:t>
      </w:r>
      <w:r w:rsidRPr="00BD69D1">
        <w:rPr>
          <w:rFonts w:hAnsi="標楷體"/>
        </w:rPr>
        <w:t>108</w:t>
      </w:r>
      <w:r w:rsidRPr="00BD69D1">
        <w:rPr>
          <w:rFonts w:hAnsi="標楷體" w:hint="eastAsia"/>
        </w:rPr>
        <w:t>年</w:t>
      </w:r>
      <w:r w:rsidRPr="00BD69D1">
        <w:rPr>
          <w:rFonts w:hAnsi="標楷體"/>
        </w:rPr>
        <w:t>5</w:t>
      </w:r>
      <w:r w:rsidRPr="00BD69D1">
        <w:rPr>
          <w:rFonts w:hAnsi="標楷體" w:hint="eastAsia"/>
        </w:rPr>
        <w:t>月</w:t>
      </w:r>
      <w:r w:rsidRPr="00BD69D1">
        <w:rPr>
          <w:rFonts w:hAnsi="標楷體"/>
        </w:rPr>
        <w:t>15</w:t>
      </w:r>
      <w:r w:rsidRPr="00BD69D1">
        <w:rPr>
          <w:rFonts w:hAnsi="標楷體" w:hint="eastAsia"/>
        </w:rPr>
        <w:t>日修正公布勞退條例、</w:t>
      </w:r>
      <w:r w:rsidRPr="00BD69D1">
        <w:rPr>
          <w:rFonts w:hAnsi="標楷體"/>
        </w:rPr>
        <w:t>110</w:t>
      </w:r>
      <w:r w:rsidRPr="00BD69D1">
        <w:rPr>
          <w:rFonts w:hAnsi="標楷體" w:hint="eastAsia"/>
        </w:rPr>
        <w:t>年</w:t>
      </w:r>
      <w:r w:rsidRPr="00BD69D1">
        <w:rPr>
          <w:rFonts w:hAnsi="標楷體"/>
        </w:rPr>
        <w:t>7</w:t>
      </w:r>
      <w:r w:rsidRPr="00BD69D1">
        <w:rPr>
          <w:rFonts w:hAnsi="標楷體" w:hint="eastAsia"/>
        </w:rPr>
        <w:t>月</w:t>
      </w:r>
      <w:r w:rsidRPr="00BD69D1">
        <w:rPr>
          <w:rFonts w:hAnsi="標楷體"/>
        </w:rPr>
        <w:t>7</w:t>
      </w:r>
      <w:r w:rsidRPr="00BD69D1">
        <w:rPr>
          <w:rFonts w:hAnsi="標楷體" w:hint="eastAsia"/>
        </w:rPr>
        <w:t>日修正公布外國專業人才延攬及僱用法(下稱外國人才專法)，陸續將取得永久居留許可之外國人及從事專業工作之外國專業人才及外國特定專業人才納入勞退新制之適用對象」。另據國發會於本院同日詢問時表示：「外國專業人才適用勞退新制，係</w:t>
      </w:r>
      <w:proofErr w:type="gramStart"/>
      <w:r w:rsidRPr="00BD69D1">
        <w:rPr>
          <w:rFonts w:hAnsi="標楷體" w:hint="eastAsia"/>
        </w:rPr>
        <w:t>鑑</w:t>
      </w:r>
      <w:proofErr w:type="gramEnd"/>
      <w:r w:rsidRPr="00BD69D1">
        <w:rPr>
          <w:rFonts w:hAnsi="標楷體" w:hint="eastAsia"/>
        </w:rPr>
        <w:t>於其來臺工作及久居，對本國長遠發展具重要貢獻、對在地生活環境亦具相當之認同感，應享有與國人同等之老年退休保障」。</w:t>
      </w:r>
    </w:p>
    <w:p w:rsidR="008912CF" w:rsidRPr="00BD69D1" w:rsidRDefault="008912CF" w:rsidP="008912CF">
      <w:pPr>
        <w:pStyle w:val="a3"/>
      </w:pPr>
      <w:r w:rsidRPr="00BD69D1">
        <w:rPr>
          <w:rFonts w:hint="eastAsia"/>
        </w:rPr>
        <w:t>勞退條例適用對象之修法沿革</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773"/>
        <w:gridCol w:w="5954"/>
      </w:tblGrid>
      <w:tr w:rsidR="008912CF" w:rsidRPr="00BD69D1" w:rsidTr="00231420">
        <w:trPr>
          <w:tblHeader/>
        </w:trPr>
        <w:tc>
          <w:tcPr>
            <w:tcW w:w="2773" w:type="dxa"/>
            <w:shd w:val="clear" w:color="auto" w:fill="DAEEF3" w:themeFill="accent5" w:themeFillTint="33"/>
            <w:vAlign w:val="center"/>
          </w:tcPr>
          <w:p w:rsidR="008912CF" w:rsidRPr="00BD69D1" w:rsidRDefault="008912CF" w:rsidP="00231420">
            <w:pPr>
              <w:pStyle w:val="140"/>
            </w:pPr>
            <w:r w:rsidRPr="00BD69D1">
              <w:rPr>
                <w:rFonts w:hint="eastAsia"/>
              </w:rPr>
              <w:t>公布日期</w:t>
            </w:r>
          </w:p>
        </w:tc>
        <w:tc>
          <w:tcPr>
            <w:tcW w:w="5954" w:type="dxa"/>
            <w:shd w:val="clear" w:color="auto" w:fill="DAEEF3" w:themeFill="accent5" w:themeFillTint="33"/>
            <w:vAlign w:val="center"/>
          </w:tcPr>
          <w:p w:rsidR="008912CF" w:rsidRPr="00BD69D1" w:rsidRDefault="008912CF" w:rsidP="00231420">
            <w:pPr>
              <w:pStyle w:val="140"/>
            </w:pPr>
            <w:r w:rsidRPr="00BD69D1">
              <w:rPr>
                <w:rFonts w:hint="eastAsia"/>
              </w:rPr>
              <w:t>適用對象</w:t>
            </w:r>
          </w:p>
        </w:tc>
      </w:tr>
      <w:tr w:rsidR="008912CF" w:rsidRPr="00BD69D1" w:rsidTr="00231420">
        <w:trPr>
          <w:trHeight w:val="360"/>
        </w:trPr>
        <w:tc>
          <w:tcPr>
            <w:tcW w:w="2773" w:type="dxa"/>
            <w:shd w:val="clear" w:color="auto" w:fill="auto"/>
            <w:vAlign w:val="center"/>
          </w:tcPr>
          <w:p w:rsidR="008912CF" w:rsidRPr="00BD69D1" w:rsidRDefault="008912CF" w:rsidP="00231420">
            <w:pPr>
              <w:pStyle w:val="14"/>
              <w:jc w:val="center"/>
            </w:pPr>
            <w:r w:rsidRPr="00BD69D1">
              <w:rPr>
                <w:rFonts w:hint="eastAsia"/>
              </w:rPr>
              <w:t>93年6月30日公布</w:t>
            </w:r>
          </w:p>
          <w:p w:rsidR="008912CF" w:rsidRPr="00BD69D1" w:rsidRDefault="008912CF" w:rsidP="00231420">
            <w:pPr>
              <w:pStyle w:val="14"/>
              <w:jc w:val="center"/>
            </w:pPr>
            <w:r w:rsidRPr="00BD69D1">
              <w:rPr>
                <w:rFonts w:hint="eastAsia"/>
              </w:rPr>
              <w:t>94年7月1日施行</w:t>
            </w:r>
          </w:p>
        </w:tc>
        <w:tc>
          <w:tcPr>
            <w:tcW w:w="5954" w:type="dxa"/>
            <w:shd w:val="clear" w:color="auto" w:fill="auto"/>
            <w:vAlign w:val="center"/>
          </w:tcPr>
          <w:p w:rsidR="008912CF" w:rsidRPr="00BD69D1" w:rsidRDefault="008912CF" w:rsidP="00231420">
            <w:pPr>
              <w:pStyle w:val="14"/>
              <w:jc w:val="left"/>
            </w:pPr>
            <w:r w:rsidRPr="00BD69D1">
              <w:rPr>
                <w:rFonts w:hint="eastAsia"/>
              </w:rPr>
              <w:t>適用勞基法之本國籍勞工</w:t>
            </w:r>
          </w:p>
        </w:tc>
      </w:tr>
      <w:tr w:rsidR="008912CF" w:rsidRPr="00BD69D1" w:rsidTr="00231420">
        <w:tc>
          <w:tcPr>
            <w:tcW w:w="2773" w:type="dxa"/>
            <w:shd w:val="clear" w:color="auto" w:fill="auto"/>
            <w:vAlign w:val="center"/>
          </w:tcPr>
          <w:p w:rsidR="008912CF" w:rsidRPr="00BD69D1" w:rsidRDefault="008912CF" w:rsidP="00231420">
            <w:pPr>
              <w:pStyle w:val="14"/>
              <w:jc w:val="center"/>
            </w:pPr>
            <w:r w:rsidRPr="00BD69D1">
              <w:rPr>
                <w:rFonts w:hint="eastAsia"/>
              </w:rPr>
              <w:t>103年1月15日</w:t>
            </w:r>
            <w:r>
              <w:rPr>
                <w:rFonts w:hint="eastAsia"/>
              </w:rPr>
              <w:t>修正</w:t>
            </w:r>
            <w:r w:rsidRPr="00BD69D1">
              <w:rPr>
                <w:rFonts w:hint="eastAsia"/>
              </w:rPr>
              <w:t>公布</w:t>
            </w:r>
          </w:p>
        </w:tc>
        <w:tc>
          <w:tcPr>
            <w:tcW w:w="5954" w:type="dxa"/>
            <w:shd w:val="clear" w:color="auto" w:fill="auto"/>
            <w:vAlign w:val="center"/>
          </w:tcPr>
          <w:p w:rsidR="008912CF" w:rsidRPr="00BD69D1" w:rsidRDefault="008912CF" w:rsidP="00231420">
            <w:pPr>
              <w:pStyle w:val="14"/>
              <w:jc w:val="left"/>
            </w:pPr>
            <w:r w:rsidRPr="00BD69D1">
              <w:rPr>
                <w:rFonts w:hint="eastAsia"/>
              </w:rPr>
              <w:t>納入新住民及離婚或配偶死亡後可繼續居留之新住民</w:t>
            </w:r>
          </w:p>
        </w:tc>
      </w:tr>
      <w:tr w:rsidR="008912CF" w:rsidRPr="00BD69D1" w:rsidTr="00231420">
        <w:tc>
          <w:tcPr>
            <w:tcW w:w="2773" w:type="dxa"/>
            <w:shd w:val="clear" w:color="auto" w:fill="auto"/>
            <w:vAlign w:val="center"/>
          </w:tcPr>
          <w:p w:rsidR="008912CF" w:rsidRPr="00BD69D1" w:rsidRDefault="008912CF" w:rsidP="00231420">
            <w:pPr>
              <w:pStyle w:val="14"/>
              <w:jc w:val="center"/>
            </w:pPr>
            <w:r w:rsidRPr="00BD69D1">
              <w:rPr>
                <w:rFonts w:hint="eastAsia"/>
              </w:rPr>
              <w:t>108年5月15日</w:t>
            </w:r>
            <w:r>
              <w:rPr>
                <w:rFonts w:hint="eastAsia"/>
              </w:rPr>
              <w:t>修正</w:t>
            </w:r>
            <w:r w:rsidRPr="00BD69D1">
              <w:rPr>
                <w:rFonts w:hint="eastAsia"/>
              </w:rPr>
              <w:t>公布</w:t>
            </w:r>
          </w:p>
        </w:tc>
        <w:tc>
          <w:tcPr>
            <w:tcW w:w="5954" w:type="dxa"/>
            <w:shd w:val="clear" w:color="auto" w:fill="auto"/>
            <w:vAlign w:val="center"/>
          </w:tcPr>
          <w:p w:rsidR="008912CF" w:rsidRPr="00BD69D1" w:rsidRDefault="008912CF" w:rsidP="00231420">
            <w:pPr>
              <w:pStyle w:val="14"/>
              <w:jc w:val="left"/>
            </w:pPr>
            <w:r w:rsidRPr="00BD69D1">
              <w:rPr>
                <w:rFonts w:hint="eastAsia"/>
              </w:rPr>
              <w:t>納入取得永久居留許可且在</w:t>
            </w:r>
            <w:proofErr w:type="gramStart"/>
            <w:r w:rsidRPr="00BD69D1">
              <w:rPr>
                <w:rFonts w:hint="eastAsia"/>
              </w:rPr>
              <w:t>臺</w:t>
            </w:r>
            <w:proofErr w:type="gramEnd"/>
            <w:r w:rsidRPr="00BD69D1">
              <w:rPr>
                <w:rFonts w:hint="eastAsia"/>
              </w:rPr>
              <w:t>工作之外國人士</w:t>
            </w:r>
          </w:p>
        </w:tc>
      </w:tr>
    </w:tbl>
    <w:p w:rsidR="008912CF" w:rsidRPr="00BD69D1" w:rsidRDefault="008912CF" w:rsidP="008912CF">
      <w:pPr>
        <w:pStyle w:val="af5"/>
        <w:rPr>
          <w:rFonts w:hAnsi="標楷體"/>
        </w:rPr>
      </w:pPr>
      <w:r w:rsidRPr="00BD69D1">
        <w:rPr>
          <w:rFonts w:hAnsi="標楷體" w:hint="eastAsia"/>
        </w:rPr>
        <w:t>資料來源：本案自行整理。</w:t>
      </w:r>
    </w:p>
    <w:p w:rsidR="008912CF" w:rsidRPr="00BD69D1" w:rsidRDefault="008912CF" w:rsidP="008912CF">
      <w:pPr>
        <w:pStyle w:val="3"/>
        <w:rPr>
          <w:rFonts w:hAnsi="標楷體"/>
        </w:rPr>
      </w:pPr>
      <w:r w:rsidRPr="00BD69D1">
        <w:rPr>
          <w:rFonts w:hAnsi="標楷體" w:hint="eastAsia"/>
        </w:rPr>
        <w:t>依司法院釋字第5</w:t>
      </w:r>
      <w:r w:rsidRPr="00BD69D1">
        <w:rPr>
          <w:rFonts w:hAnsi="標楷體"/>
        </w:rPr>
        <w:t>78號解釋</w:t>
      </w:r>
      <w:r w:rsidRPr="00BD69D1">
        <w:rPr>
          <w:rFonts w:hAnsi="標楷體" w:hint="eastAsia"/>
        </w:rPr>
        <w:t>意旨，立法者對勞工設有退休金制度，係基於國民工作之性質、薪給結構、收入來源等各有不同，就退休金制度，衡酌客觀之社會經濟情勢、國家資源之有效分配，為不同優先</w:t>
      </w:r>
      <w:r w:rsidRPr="00BD69D1">
        <w:rPr>
          <w:rFonts w:hAnsi="標楷體" w:hint="eastAsia"/>
        </w:rPr>
        <w:lastRenderedPageBreak/>
        <w:t>順序之選擇及設計，尚無牴觸憲法第7條平等權之保障。惟該號解釋亦指出：「立法者就保障勞工生活之立法選擇，本應隨社會整體發展而隨時檢討，為保護勞工目的而設之勞工退休金制度，其實施成效如何，所</w:t>
      </w:r>
      <w:proofErr w:type="gramStart"/>
      <w:r w:rsidRPr="00BD69D1">
        <w:rPr>
          <w:rFonts w:hAnsi="標楷體" w:hint="eastAsia"/>
        </w:rPr>
        <w:t>採</w:t>
      </w:r>
      <w:proofErr w:type="gramEnd"/>
      <w:r w:rsidRPr="00BD69D1">
        <w:rPr>
          <w:rFonts w:hAnsi="標楷體" w:hint="eastAsia"/>
        </w:rPr>
        <w:t>行之手段應否及如何隨社會整體之變遷而適時檢討改進，俾能與時俱進，符合憲法所欲實現之勞工保護政策目標，以及國內人口年齡組成之轉變，已呈現人口持續老化現象，未來將對社會經濟、福利制度等產生衝擊，因此對既有勞工退休制度及社會保險制度，應否予以整合，由於攸關社會資源之分配、國家財政負擔能力等全民之整體利益，屬立法形成之事項，允宜在兼顧現制下勞工既有權益之保障與雇主給付能力、企業經營成本等整體社會條件之平衡，由相關機關根據我國憲法保障勞工之基本精神及國家對人民興辦之中小型經濟事業應扶助並保護其生存與發展之意旨，參酌有關國際勞工公約之規定，並衡量國家總體發展，通盤檢討」。</w:t>
      </w:r>
    </w:p>
    <w:p w:rsidR="008912CF" w:rsidRPr="00BD69D1" w:rsidRDefault="008912CF" w:rsidP="008912CF">
      <w:pPr>
        <w:pStyle w:val="3"/>
        <w:rPr>
          <w:rFonts w:hAnsi="標楷體"/>
          <w:bCs w:val="0"/>
        </w:rPr>
      </w:pPr>
      <w:r w:rsidRPr="00BD69D1">
        <w:rPr>
          <w:rFonts w:hAnsi="標楷體" w:hint="eastAsia"/>
          <w:bCs w:val="0"/>
        </w:rPr>
        <w:t>經查，隨著經濟提升、</w:t>
      </w:r>
      <w:proofErr w:type="gramStart"/>
      <w:r w:rsidRPr="00BD69D1">
        <w:rPr>
          <w:rFonts w:hAnsi="標楷體" w:hint="eastAsia"/>
          <w:bCs w:val="0"/>
        </w:rPr>
        <w:t>少子化</w:t>
      </w:r>
      <w:proofErr w:type="gramEnd"/>
      <w:r w:rsidRPr="00BD69D1">
        <w:rPr>
          <w:rFonts w:hAnsi="標楷體" w:hint="eastAsia"/>
          <w:bCs w:val="0"/>
        </w:rPr>
        <w:t>及高教發展，國人就業意願改變，臺灣基層產業因招募本國勞動力困難而長期</w:t>
      </w:r>
      <w:proofErr w:type="gramStart"/>
      <w:r w:rsidRPr="00BD69D1">
        <w:rPr>
          <w:rFonts w:hAnsi="標楷體" w:hint="eastAsia"/>
          <w:bCs w:val="0"/>
        </w:rPr>
        <w:t>仰賴移</w:t>
      </w:r>
      <w:proofErr w:type="gramEnd"/>
      <w:r w:rsidRPr="00BD69D1">
        <w:rPr>
          <w:rFonts w:hAnsi="標楷體" w:hint="eastAsia"/>
          <w:bCs w:val="0"/>
        </w:rPr>
        <w:t>工，</w:t>
      </w:r>
      <w:bookmarkStart w:id="26" w:name="_Hlk91583284"/>
      <w:r w:rsidRPr="00BD69D1">
        <w:rPr>
          <w:rFonts w:hAnsi="標楷體" w:hint="eastAsia"/>
          <w:bCs w:val="0"/>
        </w:rPr>
        <w:t>近年來政策鼓勵臺商回流，帶動勞動力需求增加</w:t>
      </w:r>
      <w:bookmarkEnd w:id="26"/>
      <w:r w:rsidRPr="00BD69D1">
        <w:rPr>
          <w:rFonts w:hAnsi="標楷體" w:hint="eastAsia"/>
          <w:bCs w:val="0"/>
        </w:rPr>
        <w:t>，亞洲鄰近國家</w:t>
      </w:r>
      <w:proofErr w:type="gramStart"/>
      <w:r w:rsidRPr="00BD69D1">
        <w:rPr>
          <w:rFonts w:hAnsi="標楷體" w:hint="eastAsia"/>
          <w:bCs w:val="0"/>
        </w:rPr>
        <w:t>亦爭搶移</w:t>
      </w:r>
      <w:proofErr w:type="gramEnd"/>
      <w:r w:rsidRPr="00BD69D1">
        <w:rPr>
          <w:rFonts w:hAnsi="標楷體" w:hint="eastAsia"/>
          <w:bCs w:val="0"/>
        </w:rPr>
        <w:t>工，我國長期視為「補充性勞力」</w:t>
      </w:r>
      <w:proofErr w:type="gramStart"/>
      <w:r w:rsidRPr="00BD69D1">
        <w:rPr>
          <w:rFonts w:hAnsi="標楷體" w:hint="eastAsia"/>
          <w:bCs w:val="0"/>
        </w:rPr>
        <w:t>的移</w:t>
      </w:r>
      <w:proofErr w:type="gramEnd"/>
      <w:r w:rsidRPr="00BD69D1">
        <w:rPr>
          <w:rFonts w:hAnsi="標楷體" w:hint="eastAsia"/>
          <w:bCs w:val="0"/>
        </w:rPr>
        <w:t>工，在人口結構老化、國人就業意願改變下，已成為不容忽視的「替代性勞力」</w:t>
      </w:r>
      <w:r w:rsidRPr="00BD69D1">
        <w:rPr>
          <w:rStyle w:val="afe"/>
          <w:rFonts w:hAnsi="標楷體"/>
        </w:rPr>
        <w:footnoteReference w:id="9"/>
      </w:r>
      <w:r w:rsidRPr="00BD69D1">
        <w:rPr>
          <w:rFonts w:hAnsi="標楷體" w:hint="eastAsia"/>
          <w:bCs w:val="0"/>
        </w:rPr>
        <w:t>。勞退新制於成就退休條件及退休金的領取</w:t>
      </w:r>
      <w:r w:rsidRPr="00BD69D1">
        <w:rPr>
          <w:rFonts w:hAnsi="標楷體" w:hint="eastAsia"/>
          <w:bCs w:val="0"/>
        </w:rPr>
        <w:lastRenderedPageBreak/>
        <w:t>方式，對於勞工退休金的保障，優於勞退舊制，或可成為吸引</w:t>
      </w:r>
      <w:proofErr w:type="gramStart"/>
      <w:r w:rsidRPr="00BD69D1">
        <w:rPr>
          <w:rFonts w:hAnsi="標楷體" w:hint="eastAsia"/>
          <w:bCs w:val="0"/>
        </w:rPr>
        <w:t>藍領移工及</w:t>
      </w:r>
      <w:proofErr w:type="gramEnd"/>
      <w:r w:rsidRPr="00BD69D1">
        <w:rPr>
          <w:rFonts w:hAnsi="標楷體" w:hint="eastAsia"/>
          <w:bCs w:val="0"/>
        </w:rPr>
        <w:t>外國專業人才來臺工作誘因。又，外國人在臺工作如能與本國籍勞工一體適用勞退新制，亦為保障跨國工作條件平等之具體展現，有助於提升我國人權形象，</w:t>
      </w:r>
      <w:r w:rsidRPr="00BD69D1">
        <w:rPr>
          <w:rFonts w:hAnsi="標楷體"/>
          <w:bCs w:val="0"/>
        </w:rPr>
        <w:t>中央研究院法律學研究所</w:t>
      </w:r>
      <w:r w:rsidR="00254884">
        <w:rPr>
          <w:rFonts w:hAnsi="標楷體" w:hint="eastAsia"/>
          <w:bCs w:val="0"/>
        </w:rPr>
        <w:t>楊○雯</w:t>
      </w:r>
      <w:r w:rsidRPr="00BD69D1">
        <w:rPr>
          <w:rFonts w:hAnsi="標楷體" w:hint="eastAsia"/>
          <w:bCs w:val="0"/>
        </w:rPr>
        <w:t>助研究員於本院113年11月27日諮詢會後提供之書面意見略以：「我對於國際人權法就移工工作權之平等的基本理解，是認為針對求職的自由，國家有空間有比較</w:t>
      </w:r>
      <w:bookmarkStart w:id="28" w:name="_GoBack"/>
      <w:bookmarkEnd w:id="28"/>
      <w:r w:rsidRPr="00BD69D1">
        <w:rPr>
          <w:rFonts w:hAnsi="標楷體" w:hint="eastAsia"/>
          <w:bCs w:val="0"/>
        </w:rPr>
        <w:t>多限制；但針對工作條件與勞動者風險的共同承擔，原則上應該不分國籍予以平等待遇」、「政府可能被認為外國人和本國人之間，在經濟權</w:t>
      </w:r>
      <w:r w:rsidRPr="00BD69D1">
        <w:rPr>
          <w:rFonts w:ascii="新細明體" w:eastAsia="新細明體" w:hAnsi="新細明體" w:hint="eastAsia"/>
          <w:bCs w:val="0"/>
        </w:rPr>
        <w:t>、</w:t>
      </w:r>
      <w:r w:rsidRPr="00BD69D1">
        <w:rPr>
          <w:rFonts w:hAnsi="標楷體" w:hint="eastAsia"/>
          <w:bCs w:val="0"/>
        </w:rPr>
        <w:t>工作權和近用社會安全的權利等經社權上的差別待遇，不受憲法基本權或國際人權法之檢驗，或僅受到極寬鬆檢驗，但不能正當化勞退新制對於移工的排除」、「國際勞動組織公約發展，有幾點值得注意：ILO C97（49國批准）明文列入國籍為受保護不得恣意歧視的類別，也明文將老年的社會安全列入不得歧視的權利中」、「我對人權公約的理解是，能夠成為條文的，實際上不是高標而是低標。而平等也是很基本、核心的權利。即使是工作條件的平等這麼謙遜的理想，我們都有很長的路要走」。</w:t>
      </w:r>
    </w:p>
    <w:p w:rsidR="008912CF" w:rsidRPr="00BD69D1" w:rsidRDefault="008912CF" w:rsidP="008912CF">
      <w:pPr>
        <w:pStyle w:val="3"/>
        <w:rPr>
          <w:rFonts w:hAnsi="標楷體"/>
          <w:bCs w:val="0"/>
        </w:rPr>
      </w:pPr>
      <w:r w:rsidRPr="00BD69D1">
        <w:rPr>
          <w:rFonts w:hAnsi="標楷體" w:hint="eastAsia"/>
          <w:bCs w:val="0"/>
        </w:rPr>
        <w:t>有關宜否開放</w:t>
      </w:r>
      <w:r w:rsidRPr="00BD69D1">
        <w:rPr>
          <w:rFonts w:hAnsi="標楷體" w:hint="eastAsia"/>
        </w:rPr>
        <w:t>未取得永久居留許可，且非從事家庭看護及家庭幫</w:t>
      </w:r>
      <w:proofErr w:type="gramStart"/>
      <w:r w:rsidRPr="00BD69D1">
        <w:rPr>
          <w:rFonts w:hAnsi="標楷體" w:hint="eastAsia"/>
        </w:rPr>
        <w:t>傭</w:t>
      </w:r>
      <w:proofErr w:type="gramEnd"/>
      <w:r w:rsidRPr="00BD69D1">
        <w:rPr>
          <w:rFonts w:hAnsi="標楷體" w:hint="eastAsia"/>
        </w:rPr>
        <w:t>工作之</w:t>
      </w:r>
      <w:proofErr w:type="gramStart"/>
      <w:r w:rsidRPr="00BD69D1">
        <w:rPr>
          <w:rFonts w:hAnsi="標楷體" w:hint="eastAsia"/>
        </w:rPr>
        <w:t>藍領移</w:t>
      </w:r>
      <w:proofErr w:type="gramEnd"/>
      <w:r w:rsidRPr="00BD69D1">
        <w:rPr>
          <w:rFonts w:hAnsi="標楷體" w:hint="eastAsia"/>
        </w:rPr>
        <w:t>工、中階技術人力及外國專業人才等在臺工作外國人</w:t>
      </w:r>
      <w:r w:rsidRPr="00BD69D1">
        <w:rPr>
          <w:rFonts w:hAnsi="標楷體" w:hint="eastAsia"/>
          <w:bCs w:val="0"/>
        </w:rPr>
        <w:t>適用勞退新制，作為吸引</w:t>
      </w:r>
      <w:proofErr w:type="gramStart"/>
      <w:r w:rsidRPr="00BD69D1">
        <w:rPr>
          <w:rFonts w:hAnsi="標楷體" w:hint="eastAsia"/>
          <w:bCs w:val="0"/>
        </w:rPr>
        <w:t>外籍移工</w:t>
      </w:r>
      <w:proofErr w:type="gramEnd"/>
      <w:r w:rsidRPr="00BD69D1">
        <w:rPr>
          <w:rFonts w:hAnsi="標楷體" w:hint="eastAsia"/>
          <w:bCs w:val="0"/>
        </w:rPr>
        <w:t>及外國專業人才來臺的配套措施，並實踐保障工作平等權為重要議題，主管勞動條件、勞工退休福祉保障之勞動部，與</w:t>
      </w:r>
      <w:r w:rsidRPr="00BD69D1">
        <w:rPr>
          <w:rFonts w:hAnsi="標楷體" w:hint="eastAsia"/>
        </w:rPr>
        <w:t>掌理「國家發展」、「經濟發展」、「社會發展」、「產業發展」、「人力資源發展」等各項政策之綜合性規劃、協調、審</w:t>
      </w:r>
      <w:r w:rsidRPr="00BD69D1">
        <w:rPr>
          <w:rFonts w:hAnsi="標楷體" w:hint="eastAsia"/>
        </w:rPr>
        <w:lastRenderedPageBreak/>
        <w:t>議及資源分配之</w:t>
      </w:r>
      <w:r w:rsidRPr="00BD69D1">
        <w:rPr>
          <w:rFonts w:hAnsi="標楷體" w:hint="eastAsia"/>
          <w:bCs w:val="0"/>
        </w:rPr>
        <w:t>國發會，允應重視並積極檢討。上開議題，勞動部於本院114年3月3日詢問後，於同年月26日函復</w:t>
      </w:r>
      <w:r w:rsidRPr="00BD69D1">
        <w:rPr>
          <w:rStyle w:val="afe"/>
          <w:rFonts w:hAnsi="標楷體"/>
        </w:rPr>
        <w:footnoteReference w:id="10"/>
      </w:r>
      <w:r w:rsidRPr="00BD69D1">
        <w:rPr>
          <w:rFonts w:hAnsi="標楷體" w:hint="eastAsia"/>
          <w:bCs w:val="0"/>
        </w:rPr>
        <w:t>略</w:t>
      </w:r>
      <w:proofErr w:type="gramStart"/>
      <w:r w:rsidRPr="00BD69D1">
        <w:rPr>
          <w:rFonts w:hAnsi="標楷體" w:hint="eastAsia"/>
          <w:bCs w:val="0"/>
        </w:rPr>
        <w:t>以</w:t>
      </w:r>
      <w:proofErr w:type="gramEnd"/>
      <w:r w:rsidRPr="00BD69D1">
        <w:rPr>
          <w:rFonts w:hAnsi="標楷體" w:hint="eastAsia"/>
          <w:bCs w:val="0"/>
        </w:rPr>
        <w:t>：「</w:t>
      </w:r>
      <w:r w:rsidRPr="00BD69D1">
        <w:rPr>
          <w:rFonts w:hAnsi="標楷體"/>
          <w:bCs w:val="0"/>
        </w:rPr>
        <w:t>勞工退休金制度係在衡酌社會經濟發展、國家資源之有效分配下制定，</w:t>
      </w:r>
      <w:proofErr w:type="gramStart"/>
      <w:r w:rsidRPr="00BD69D1">
        <w:rPr>
          <w:rFonts w:hAnsi="標楷體" w:hint="eastAsia"/>
          <w:bCs w:val="0"/>
        </w:rPr>
        <w:t>勞動</w:t>
      </w:r>
      <w:r w:rsidRPr="00BD69D1">
        <w:rPr>
          <w:rFonts w:hAnsi="標楷體"/>
          <w:bCs w:val="0"/>
        </w:rPr>
        <w:t>部業配合</w:t>
      </w:r>
      <w:proofErr w:type="gramEnd"/>
      <w:r w:rsidRPr="00BD69D1">
        <w:rPr>
          <w:rFonts w:hAnsi="標楷體"/>
          <w:bCs w:val="0"/>
        </w:rPr>
        <w:t>社會變遷滾動檢視勞工退休金條例規定，並自94年7月1日施行以來，已陸續修正擴大適用對象。勞工老年退休生活保障，除勞工退休金外，尚包含其他社會保險給付須</w:t>
      </w:r>
      <w:proofErr w:type="gramStart"/>
      <w:r w:rsidRPr="00BD69D1">
        <w:rPr>
          <w:rFonts w:hAnsi="標楷體"/>
          <w:bCs w:val="0"/>
        </w:rPr>
        <w:t>併</w:t>
      </w:r>
      <w:proofErr w:type="gramEnd"/>
      <w:r w:rsidRPr="00BD69D1">
        <w:rPr>
          <w:rFonts w:hAnsi="標楷體"/>
          <w:bCs w:val="0"/>
        </w:rPr>
        <w:t>同考量。又勞退新制涉及稅賦減免、保證收益之國庫撥補與我國</w:t>
      </w:r>
      <w:proofErr w:type="gramStart"/>
      <w:r w:rsidRPr="00BD69D1">
        <w:rPr>
          <w:rFonts w:hAnsi="標楷體"/>
          <w:bCs w:val="0"/>
        </w:rPr>
        <w:t>整體攬才</w:t>
      </w:r>
      <w:proofErr w:type="gramEnd"/>
      <w:r w:rsidRPr="00BD69D1">
        <w:rPr>
          <w:rFonts w:hAnsi="標楷體"/>
          <w:bCs w:val="0"/>
        </w:rPr>
        <w:t>、留才政策及移民政策，</w:t>
      </w:r>
      <w:r w:rsidRPr="00BD69D1">
        <w:rPr>
          <w:rFonts w:hAnsi="標楷體" w:hint="eastAsia"/>
          <w:bCs w:val="0"/>
        </w:rPr>
        <w:t>勞動</w:t>
      </w:r>
      <w:r w:rsidRPr="00BD69D1">
        <w:rPr>
          <w:rFonts w:hAnsi="標楷體"/>
          <w:bCs w:val="0"/>
        </w:rPr>
        <w:t>部將持續凝聚社會共識，在保障勞工權益前提下，配合國發會人口及移民政策之整體規劃，於</w:t>
      </w:r>
      <w:r w:rsidRPr="00BD69D1">
        <w:rPr>
          <w:rFonts w:hAnsi="標楷體" w:hint="eastAsia"/>
        </w:rPr>
        <w:t>外國人才專法</w:t>
      </w:r>
      <w:r w:rsidRPr="00BD69D1">
        <w:rPr>
          <w:rFonts w:hAnsi="標楷體"/>
          <w:bCs w:val="0"/>
        </w:rPr>
        <w:t>進一步討論，持續檢視我國勞工退休金制度</w:t>
      </w:r>
      <w:r w:rsidRPr="00BD69D1">
        <w:rPr>
          <w:rFonts w:hAnsi="標楷體" w:hint="eastAsia"/>
          <w:bCs w:val="0"/>
        </w:rPr>
        <w:t>」</w:t>
      </w:r>
      <w:r w:rsidRPr="00BD69D1">
        <w:rPr>
          <w:rFonts w:hAnsi="標楷體"/>
          <w:bCs w:val="0"/>
        </w:rPr>
        <w:t>。</w:t>
      </w:r>
      <w:r w:rsidRPr="00BD69D1">
        <w:rPr>
          <w:rFonts w:hAnsi="標楷體" w:hint="eastAsia"/>
          <w:bCs w:val="0"/>
        </w:rPr>
        <w:t>國發會對於上開議題於本院同日詢問時提出書面意見略</w:t>
      </w:r>
      <w:proofErr w:type="gramStart"/>
      <w:r w:rsidRPr="00BD69D1">
        <w:rPr>
          <w:rFonts w:hAnsi="標楷體" w:hint="eastAsia"/>
          <w:bCs w:val="0"/>
        </w:rPr>
        <w:t>以</w:t>
      </w:r>
      <w:proofErr w:type="gramEnd"/>
      <w:r w:rsidRPr="00BD69D1">
        <w:rPr>
          <w:rFonts w:hAnsi="標楷體" w:hint="eastAsia"/>
          <w:bCs w:val="0"/>
        </w:rPr>
        <w:t>：「尚未取得永久居留的藍領</w:t>
      </w:r>
      <w:proofErr w:type="gramStart"/>
      <w:r w:rsidRPr="00BD69D1">
        <w:rPr>
          <w:rFonts w:hAnsi="標楷體" w:hint="eastAsia"/>
          <w:bCs w:val="0"/>
        </w:rPr>
        <w:t>移工得</w:t>
      </w:r>
      <w:proofErr w:type="gramEnd"/>
      <w:r w:rsidRPr="00BD69D1">
        <w:rPr>
          <w:rFonts w:hAnsi="標楷體" w:hint="eastAsia"/>
          <w:bCs w:val="0"/>
        </w:rPr>
        <w:t>否適用勞退新制，因涉及</w:t>
      </w:r>
      <w:r w:rsidRPr="00BD69D1">
        <w:rPr>
          <w:rFonts w:hAnsi="標楷體"/>
          <w:bCs w:val="0"/>
        </w:rPr>
        <w:t>勞退條例</w:t>
      </w:r>
      <w:r w:rsidRPr="00BD69D1">
        <w:rPr>
          <w:rFonts w:hAnsi="標楷體" w:hint="eastAsia"/>
          <w:bCs w:val="0"/>
        </w:rPr>
        <w:t>等相關法規之修正，國發會尊重主管機關勞動部之通盤考量及政策決定」；國發會人力發展</w:t>
      </w:r>
      <w:proofErr w:type="gramStart"/>
      <w:r w:rsidRPr="00BD69D1">
        <w:rPr>
          <w:rFonts w:hAnsi="標楷體" w:hint="eastAsia"/>
          <w:bCs w:val="0"/>
        </w:rPr>
        <w:t>處</w:t>
      </w:r>
      <w:proofErr w:type="gramEnd"/>
      <w:r w:rsidRPr="00BD69D1">
        <w:rPr>
          <w:rFonts w:hAnsi="標楷體" w:hint="eastAsia"/>
          <w:bCs w:val="0"/>
        </w:rPr>
        <w:t>處長謝佳宜於本院同日詢問時口頭說明略以：「在整體人口趨勢下，未來本國勞動力減少，對於引進外國勞動力的思考有所不同，所以有</w:t>
      </w:r>
      <w:r w:rsidRPr="00BD69D1">
        <w:rPr>
          <w:rFonts w:hAnsi="標楷體" w:hint="eastAsia"/>
        </w:rPr>
        <w:t>外國人才專法</w:t>
      </w:r>
      <w:r w:rsidRPr="00BD69D1">
        <w:rPr>
          <w:rFonts w:hAnsi="標楷體" w:hint="eastAsia"/>
          <w:bCs w:val="0"/>
        </w:rPr>
        <w:t>這個特別法，本會負責的是白領外國專業人才，推動時考量外商提到，如果是給他們適用勞退舊制，對他們的保障不足，所以才優先讓取得永久居留許可的白領外國專業人才適用勞退新制。外商還是有在爭取，因為白領外國人可能有各種考量而尚未取得永久居留許可，如果對於公司白領外國專業人才還要區分是否取得永久居留許可，特別是有些公司在94年後才成立，全公司都是勞退新制，卻要為了</w:t>
      </w:r>
      <w:r w:rsidRPr="00BD69D1">
        <w:rPr>
          <w:rFonts w:hAnsi="標楷體" w:hint="eastAsia"/>
          <w:bCs w:val="0"/>
        </w:rPr>
        <w:lastRenderedPageBreak/>
        <w:t>還沒</w:t>
      </w:r>
      <w:proofErr w:type="gramStart"/>
      <w:r w:rsidRPr="00BD69D1">
        <w:rPr>
          <w:rFonts w:hAnsi="標楷體" w:hint="eastAsia"/>
          <w:bCs w:val="0"/>
        </w:rPr>
        <w:t>取得取得</w:t>
      </w:r>
      <w:proofErr w:type="gramEnd"/>
      <w:r w:rsidRPr="00BD69D1">
        <w:rPr>
          <w:rFonts w:hAnsi="標楷體" w:hint="eastAsia"/>
          <w:bCs w:val="0"/>
        </w:rPr>
        <w:t>永久居留許可的白領外國專業人才特別開立專戶</w:t>
      </w:r>
      <w:proofErr w:type="gramStart"/>
      <w:r w:rsidRPr="00BD69D1">
        <w:rPr>
          <w:rFonts w:hAnsi="標楷體" w:hint="eastAsia"/>
          <w:bCs w:val="0"/>
        </w:rPr>
        <w:t>提</w:t>
      </w:r>
      <w:proofErr w:type="gramEnd"/>
      <w:r w:rsidRPr="00BD69D1">
        <w:rPr>
          <w:rFonts w:hAnsi="標楷體" w:hint="eastAsia"/>
          <w:bCs w:val="0"/>
        </w:rPr>
        <w:t>撥，相當困擾。外商有在爭取，是否讓所有白領外國專業人才，不分是否取得永久居留許可，都一體適用勞退新制。國發會今年擬提出修法，有規劃把中階技術人力納入，如果未來也能放寬對所有白領外國專業人才開放適用勞退新制時，那中階技術人力也就有機會一起納入」。按</w:t>
      </w:r>
      <w:proofErr w:type="gramStart"/>
      <w:r w:rsidRPr="00BD69D1">
        <w:rPr>
          <w:rFonts w:hAnsi="標楷體" w:hint="eastAsia"/>
          <w:bCs w:val="0"/>
        </w:rPr>
        <w:t>勞動部與國發會</w:t>
      </w:r>
      <w:proofErr w:type="gramEnd"/>
      <w:r w:rsidRPr="00BD69D1">
        <w:rPr>
          <w:rFonts w:hAnsi="標楷體" w:hint="eastAsia"/>
          <w:bCs w:val="0"/>
        </w:rPr>
        <w:t>上開說明，勞工退休金制度現已</w:t>
      </w:r>
      <w:proofErr w:type="gramStart"/>
      <w:r w:rsidRPr="00BD69D1">
        <w:rPr>
          <w:rFonts w:hAnsi="標楷體" w:hint="eastAsia"/>
          <w:bCs w:val="0"/>
        </w:rPr>
        <w:t>納入攬</w:t>
      </w:r>
      <w:proofErr w:type="gramEnd"/>
      <w:r w:rsidRPr="00BD69D1">
        <w:rPr>
          <w:rFonts w:hAnsi="標楷體" w:hint="eastAsia"/>
          <w:bCs w:val="0"/>
        </w:rPr>
        <w:t>才、留才及移民政策考量，</w:t>
      </w:r>
      <w:r w:rsidRPr="00BD69D1">
        <w:rPr>
          <w:rFonts w:hAnsi="標楷體"/>
          <w:bCs w:val="0"/>
        </w:rPr>
        <w:t>勞退新制涉及稅賦減免、保證收益之國庫撥補與我國</w:t>
      </w:r>
      <w:proofErr w:type="gramStart"/>
      <w:r w:rsidRPr="00BD69D1">
        <w:rPr>
          <w:rFonts w:hAnsi="標楷體"/>
          <w:bCs w:val="0"/>
        </w:rPr>
        <w:t>整體攬</w:t>
      </w:r>
      <w:proofErr w:type="gramEnd"/>
      <w:r w:rsidRPr="00BD69D1">
        <w:rPr>
          <w:rFonts w:hAnsi="標楷體"/>
          <w:bCs w:val="0"/>
        </w:rPr>
        <w:t>才、留才及移民政策</w:t>
      </w:r>
      <w:r w:rsidRPr="00BD69D1">
        <w:rPr>
          <w:rFonts w:hAnsi="標楷體" w:hint="eastAsia"/>
          <w:bCs w:val="0"/>
        </w:rPr>
        <w:t>，宜</w:t>
      </w:r>
      <w:r w:rsidRPr="00BD69D1">
        <w:rPr>
          <w:rFonts w:hAnsi="標楷體"/>
          <w:bCs w:val="0"/>
        </w:rPr>
        <w:t>否</w:t>
      </w:r>
      <w:r w:rsidRPr="00BD69D1">
        <w:rPr>
          <w:rFonts w:hAnsi="標楷體" w:hint="eastAsia"/>
          <w:bCs w:val="0"/>
        </w:rPr>
        <w:t>開放</w:t>
      </w:r>
      <w:r w:rsidRPr="00BD69D1">
        <w:rPr>
          <w:rFonts w:hAnsi="標楷體" w:hint="eastAsia"/>
        </w:rPr>
        <w:t>未取得永久居留許可且非從事家庭看護及家庭幫傭工作之</w:t>
      </w:r>
      <w:proofErr w:type="gramStart"/>
      <w:r w:rsidRPr="00BD69D1">
        <w:rPr>
          <w:rFonts w:hAnsi="標楷體" w:hint="eastAsia"/>
        </w:rPr>
        <w:t>藍領移</w:t>
      </w:r>
      <w:proofErr w:type="gramEnd"/>
      <w:r w:rsidRPr="00BD69D1">
        <w:rPr>
          <w:rFonts w:hAnsi="標楷體" w:hint="eastAsia"/>
        </w:rPr>
        <w:t>工、中階技術人力及外國專業人才等在臺工作外國人</w:t>
      </w:r>
      <w:r w:rsidRPr="00BD69D1">
        <w:rPr>
          <w:rFonts w:hAnsi="標楷體" w:hint="eastAsia"/>
          <w:bCs w:val="0"/>
        </w:rPr>
        <w:t>適用勞退新制，有待凝聚社會共識，並須配合人口及移民政策的整體規劃，</w:t>
      </w:r>
      <w:r>
        <w:rPr>
          <w:rFonts w:hAnsi="標楷體" w:hint="eastAsia"/>
          <w:bCs w:val="0"/>
        </w:rPr>
        <w:t>而</w:t>
      </w:r>
      <w:r w:rsidRPr="00BD69D1">
        <w:rPr>
          <w:rFonts w:hAnsi="標楷體" w:hint="eastAsia"/>
          <w:bCs w:val="0"/>
        </w:rPr>
        <w:t>國發會目前已就中階技術人力及未取得永久居留許可之外國專業人才，研議是否納入適用勞退新制</w:t>
      </w:r>
      <w:r>
        <w:rPr>
          <w:rFonts w:hAnsi="標楷體" w:hint="eastAsia"/>
          <w:bCs w:val="0"/>
        </w:rPr>
        <w:t>，至於</w:t>
      </w:r>
      <w:proofErr w:type="gramStart"/>
      <w:r w:rsidRPr="00BD69D1">
        <w:rPr>
          <w:rFonts w:hAnsi="標楷體" w:hint="eastAsia"/>
          <w:bCs w:val="0"/>
        </w:rPr>
        <w:t>藍領移工部</w:t>
      </w:r>
      <w:proofErr w:type="gramEnd"/>
      <w:r w:rsidRPr="00BD69D1">
        <w:rPr>
          <w:rFonts w:hAnsi="標楷體" w:hint="eastAsia"/>
          <w:bCs w:val="0"/>
        </w:rPr>
        <w:t>分，仍待勞動部通盤考量。</w:t>
      </w:r>
    </w:p>
    <w:p w:rsidR="008912CF" w:rsidRPr="008A4A1D" w:rsidRDefault="008912CF" w:rsidP="008A4A1D">
      <w:pPr>
        <w:pStyle w:val="3"/>
        <w:rPr>
          <w:rFonts w:hAnsi="標楷體"/>
          <w:bCs w:val="0"/>
        </w:rPr>
      </w:pPr>
      <w:r w:rsidRPr="00BD69D1">
        <w:rPr>
          <w:rFonts w:hAnsi="標楷體" w:hint="eastAsia"/>
          <w:bCs w:val="0"/>
        </w:rPr>
        <w:t>綜上，勞工退休金制度應與時俱進，隨社會整體之變遷而適時檢討，據勞動部表示，勞工退休金制度現已</w:t>
      </w:r>
      <w:proofErr w:type="gramStart"/>
      <w:r w:rsidRPr="00BD69D1">
        <w:rPr>
          <w:rFonts w:hAnsi="標楷體" w:hint="eastAsia"/>
          <w:bCs w:val="0"/>
        </w:rPr>
        <w:t>納入攬才</w:t>
      </w:r>
      <w:proofErr w:type="gramEnd"/>
      <w:r w:rsidRPr="00BD69D1">
        <w:rPr>
          <w:rFonts w:hAnsi="標楷體" w:hint="eastAsia"/>
          <w:bCs w:val="0"/>
        </w:rPr>
        <w:t>、留才及移民政策考量，</w:t>
      </w:r>
      <w:r w:rsidRPr="00BD69D1">
        <w:rPr>
          <w:rFonts w:hAnsi="標楷體"/>
          <w:bCs w:val="0"/>
        </w:rPr>
        <w:t>勞退新制涉及稅賦減免、保證收益之國庫撥補與我國</w:t>
      </w:r>
      <w:proofErr w:type="gramStart"/>
      <w:r w:rsidRPr="00BD69D1">
        <w:rPr>
          <w:rFonts w:hAnsi="標楷體"/>
          <w:bCs w:val="0"/>
        </w:rPr>
        <w:t>整體攬</w:t>
      </w:r>
      <w:proofErr w:type="gramEnd"/>
      <w:r w:rsidRPr="00BD69D1">
        <w:rPr>
          <w:rFonts w:hAnsi="標楷體"/>
          <w:bCs w:val="0"/>
        </w:rPr>
        <w:t>才、留才及移民政策</w:t>
      </w:r>
      <w:r w:rsidRPr="00BD69D1">
        <w:rPr>
          <w:rFonts w:hAnsi="標楷體" w:hint="eastAsia"/>
          <w:bCs w:val="0"/>
        </w:rPr>
        <w:t>，宜</w:t>
      </w:r>
      <w:r w:rsidRPr="00BD69D1">
        <w:rPr>
          <w:rFonts w:hAnsi="標楷體"/>
          <w:bCs w:val="0"/>
        </w:rPr>
        <w:t>否</w:t>
      </w:r>
      <w:r w:rsidRPr="00BD69D1">
        <w:rPr>
          <w:rFonts w:hAnsi="標楷體" w:hint="eastAsia"/>
          <w:bCs w:val="0"/>
        </w:rPr>
        <w:t>開放</w:t>
      </w:r>
      <w:r w:rsidRPr="00BD69D1">
        <w:rPr>
          <w:rFonts w:hAnsi="標楷體" w:hint="eastAsia"/>
        </w:rPr>
        <w:t>未取得永久居留許可且非從事家庭看護及家庭幫傭工作之</w:t>
      </w:r>
      <w:proofErr w:type="gramStart"/>
      <w:r w:rsidRPr="00BD69D1">
        <w:rPr>
          <w:rFonts w:hAnsi="標楷體" w:hint="eastAsia"/>
        </w:rPr>
        <w:t>藍領移</w:t>
      </w:r>
      <w:proofErr w:type="gramEnd"/>
      <w:r w:rsidRPr="00BD69D1">
        <w:rPr>
          <w:rFonts w:hAnsi="標楷體" w:hint="eastAsia"/>
        </w:rPr>
        <w:t>工、中階技術人力及外國專業人才等在臺工作外國人</w:t>
      </w:r>
      <w:r>
        <w:rPr>
          <w:rFonts w:hAnsi="標楷體" w:hint="eastAsia"/>
        </w:rPr>
        <w:t>，</w:t>
      </w:r>
      <w:r w:rsidRPr="00BD69D1">
        <w:rPr>
          <w:rFonts w:hAnsi="標楷體" w:hint="eastAsia"/>
          <w:bCs w:val="0"/>
        </w:rPr>
        <w:t>適用勞退新制，</w:t>
      </w:r>
      <w:proofErr w:type="gramStart"/>
      <w:r w:rsidRPr="00BD69D1">
        <w:rPr>
          <w:rFonts w:hAnsi="標楷體" w:hint="eastAsia"/>
          <w:bCs w:val="0"/>
        </w:rPr>
        <w:t>勞動部允</w:t>
      </w:r>
      <w:proofErr w:type="gramEnd"/>
      <w:r w:rsidRPr="00BD69D1">
        <w:rPr>
          <w:rFonts w:hAnsi="標楷體" w:hint="eastAsia"/>
          <w:bCs w:val="0"/>
        </w:rPr>
        <w:t>應會同國發會研商，參照司法院釋字第5</w:t>
      </w:r>
      <w:r w:rsidRPr="00BD69D1">
        <w:rPr>
          <w:rFonts w:hAnsi="標楷體"/>
          <w:bCs w:val="0"/>
        </w:rPr>
        <w:t>78號解釋</w:t>
      </w:r>
      <w:r w:rsidRPr="00BD69D1">
        <w:rPr>
          <w:rFonts w:hAnsi="標楷體" w:hint="eastAsia"/>
          <w:bCs w:val="0"/>
        </w:rPr>
        <w:t>意旨，根據我國憲法保障勞工之基本精神及國家對人民興辦之中小型經濟事業應扶助並保護其生存與發展之意旨，參酌有關國際勞工公約之規定，衡量國家總體發展，審慎通盤檢討</w:t>
      </w:r>
      <w:r w:rsidRPr="00BD69D1">
        <w:rPr>
          <w:rFonts w:hAnsi="標楷體" w:hint="eastAsia"/>
        </w:rPr>
        <w:t>。</w:t>
      </w:r>
      <w:bookmarkEnd w:id="16"/>
      <w:bookmarkEnd w:id="17"/>
    </w:p>
    <w:p w:rsidR="008912CF" w:rsidRPr="00BD69D1" w:rsidRDefault="008912CF" w:rsidP="008912CF">
      <w:pPr>
        <w:pStyle w:val="1"/>
        <w:ind w:left="2380" w:hanging="2380"/>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End w:id="14"/>
      <w:r w:rsidRPr="00BD69D1">
        <w:br w:type="page"/>
      </w:r>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bookmarkStart w:id="51" w:name="_Toc421794875"/>
      <w:bookmarkStart w:id="52" w:name="_Toc422834160"/>
      <w:r w:rsidRPr="00BD69D1">
        <w:rPr>
          <w:rFonts w:hint="eastAsia"/>
        </w:rPr>
        <w:lastRenderedPageBreak/>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BD69D1">
        <w:t xml:space="preserve"> </w:t>
      </w:r>
    </w:p>
    <w:p w:rsidR="008912CF" w:rsidRPr="00BD69D1" w:rsidRDefault="008912CF" w:rsidP="008912CF">
      <w:pPr>
        <w:pStyle w:val="2"/>
      </w:pPr>
      <w:bookmarkStart w:id="53" w:name="_Toc524895649"/>
      <w:bookmarkStart w:id="54" w:name="_Toc524896195"/>
      <w:bookmarkStart w:id="55" w:name="_Toc524896225"/>
      <w:bookmarkStart w:id="56" w:name="_Toc2400396"/>
      <w:bookmarkStart w:id="57" w:name="_Toc4316190"/>
      <w:bookmarkStart w:id="58" w:name="_Toc4473331"/>
      <w:bookmarkStart w:id="59" w:name="_Toc69556898"/>
      <w:bookmarkStart w:id="60" w:name="_Toc69556947"/>
      <w:bookmarkStart w:id="61" w:name="_Toc69609821"/>
      <w:bookmarkStart w:id="62" w:name="_Toc70241817"/>
      <w:bookmarkStart w:id="63" w:name="_Toc70242206"/>
      <w:bookmarkStart w:id="64" w:name="_Toc421794877"/>
      <w:bookmarkStart w:id="65" w:name="_Toc421795443"/>
      <w:bookmarkStart w:id="66" w:name="_Toc421796024"/>
      <w:bookmarkStart w:id="67" w:name="_Toc422728959"/>
      <w:bookmarkStart w:id="68" w:name="_Toc422834162"/>
      <w:bookmarkStart w:id="69" w:name="_Toc524902735"/>
      <w:bookmarkStart w:id="70" w:name="_Toc525066149"/>
      <w:bookmarkStart w:id="71" w:name="_Toc525070840"/>
      <w:bookmarkStart w:id="72" w:name="_Toc525938380"/>
      <w:bookmarkStart w:id="73" w:name="_Toc525939228"/>
      <w:bookmarkStart w:id="74" w:name="_Toc525939733"/>
      <w:bookmarkStart w:id="75" w:name="_Toc529218273"/>
      <w:bookmarkStart w:id="76" w:name="_Toc529222690"/>
      <w:bookmarkStart w:id="77" w:name="_Toc529223112"/>
      <w:bookmarkStart w:id="78" w:name="_Toc529223863"/>
      <w:bookmarkStart w:id="79" w:name="_Toc529228266"/>
      <w:bookmarkEnd w:id="53"/>
      <w:bookmarkEnd w:id="54"/>
      <w:bookmarkEnd w:id="55"/>
      <w:r w:rsidRPr="00BD69D1">
        <w:rPr>
          <w:rFonts w:hint="eastAsia"/>
        </w:rPr>
        <w:t>調查意見一，函請勞動部確實檢討改進</w:t>
      </w:r>
      <w:proofErr w:type="gramStart"/>
      <w:r w:rsidRPr="00BD69D1">
        <w:rPr>
          <w:rFonts w:hint="eastAsia"/>
        </w:rPr>
        <w:t>見復。</w:t>
      </w:r>
      <w:bookmarkEnd w:id="56"/>
      <w:bookmarkEnd w:id="57"/>
      <w:bookmarkEnd w:id="58"/>
      <w:bookmarkEnd w:id="59"/>
      <w:bookmarkEnd w:id="60"/>
      <w:bookmarkEnd w:id="61"/>
      <w:bookmarkEnd w:id="62"/>
      <w:bookmarkEnd w:id="63"/>
      <w:bookmarkEnd w:id="64"/>
      <w:bookmarkEnd w:id="65"/>
      <w:bookmarkEnd w:id="66"/>
      <w:bookmarkEnd w:id="67"/>
      <w:bookmarkEnd w:id="68"/>
      <w:proofErr w:type="gramEnd"/>
    </w:p>
    <w:p w:rsidR="008912CF" w:rsidRDefault="008912CF" w:rsidP="008912CF">
      <w:pPr>
        <w:pStyle w:val="2"/>
      </w:pPr>
      <w:bookmarkStart w:id="80" w:name="_Toc70241819"/>
      <w:bookmarkStart w:id="81" w:name="_Toc70242208"/>
      <w:bookmarkStart w:id="82" w:name="_Toc421794878"/>
      <w:bookmarkStart w:id="83" w:name="_Toc421795444"/>
      <w:bookmarkStart w:id="84" w:name="_Toc421796025"/>
      <w:bookmarkStart w:id="85" w:name="_Toc422728960"/>
      <w:bookmarkStart w:id="86" w:name="_Toc422834163"/>
      <w:bookmarkStart w:id="87" w:name="_Toc70241818"/>
      <w:bookmarkStart w:id="88" w:name="_Toc70242207"/>
      <w:r w:rsidRPr="00BD69D1">
        <w:rPr>
          <w:rFonts w:hint="eastAsia"/>
        </w:rPr>
        <w:t>調查意見二，</w:t>
      </w:r>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Start w:id="97" w:name="_Toc421794881"/>
      <w:bookmarkStart w:id="98" w:name="_Toc421795447"/>
      <w:bookmarkStart w:id="99" w:name="_Toc421796028"/>
      <w:bookmarkStart w:id="100" w:name="_Toc422728963"/>
      <w:bookmarkStart w:id="101" w:name="_Toc4228341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D69D1">
        <w:rPr>
          <w:rFonts w:hint="eastAsia"/>
        </w:rPr>
        <w:t>函請勞動部會同國家發展委員會</w:t>
      </w:r>
      <w:proofErr w:type="gramStart"/>
      <w:r w:rsidRPr="00BD69D1">
        <w:rPr>
          <w:rFonts w:hint="eastAsia"/>
        </w:rPr>
        <w:t>研</w:t>
      </w:r>
      <w:proofErr w:type="gramEnd"/>
      <w:r w:rsidRPr="00BD69D1">
        <w:rPr>
          <w:rFonts w:hint="eastAsia"/>
        </w:rPr>
        <w:t>處</w:t>
      </w:r>
      <w:proofErr w:type="gramStart"/>
      <w:r w:rsidRPr="00BD69D1">
        <w:rPr>
          <w:rFonts w:hint="eastAsia"/>
        </w:rPr>
        <w:t>見復</w:t>
      </w:r>
      <w:proofErr w:type="gramEnd"/>
      <w:r w:rsidRPr="00BD69D1">
        <w:rPr>
          <w:rFonts w:hint="eastAsia"/>
        </w:rPr>
        <w:t>。</w:t>
      </w:r>
      <w:bookmarkEnd w:id="89"/>
      <w:bookmarkEnd w:id="90"/>
      <w:bookmarkEnd w:id="91"/>
      <w:bookmarkEnd w:id="92"/>
      <w:bookmarkEnd w:id="93"/>
      <w:bookmarkEnd w:id="94"/>
      <w:bookmarkEnd w:id="95"/>
      <w:bookmarkEnd w:id="96"/>
      <w:bookmarkEnd w:id="97"/>
      <w:bookmarkEnd w:id="98"/>
      <w:bookmarkEnd w:id="99"/>
      <w:bookmarkEnd w:id="100"/>
      <w:bookmarkEnd w:id="101"/>
    </w:p>
    <w:p w:rsidR="008912CF" w:rsidRDefault="008912CF" w:rsidP="008912CF">
      <w:pPr>
        <w:pStyle w:val="2"/>
        <w:numPr>
          <w:ilvl w:val="0"/>
          <w:numId w:val="0"/>
        </w:numPr>
        <w:ind w:left="1021"/>
      </w:pPr>
    </w:p>
    <w:p w:rsidR="008912CF" w:rsidRDefault="008912CF" w:rsidP="008912CF">
      <w:pPr>
        <w:pStyle w:val="2"/>
        <w:numPr>
          <w:ilvl w:val="0"/>
          <w:numId w:val="0"/>
        </w:numPr>
        <w:ind w:left="1021"/>
      </w:pPr>
    </w:p>
    <w:p w:rsidR="008912CF" w:rsidRDefault="008912CF" w:rsidP="008912CF">
      <w:pPr>
        <w:pStyle w:val="2"/>
        <w:numPr>
          <w:ilvl w:val="0"/>
          <w:numId w:val="0"/>
        </w:numPr>
        <w:ind w:left="1021"/>
      </w:pPr>
    </w:p>
    <w:p w:rsidR="008912CF" w:rsidRDefault="008912CF" w:rsidP="008912CF">
      <w:pPr>
        <w:pStyle w:val="2"/>
        <w:numPr>
          <w:ilvl w:val="0"/>
          <w:numId w:val="0"/>
        </w:numPr>
        <w:ind w:left="1021"/>
      </w:pPr>
    </w:p>
    <w:p w:rsidR="008912CF" w:rsidRPr="008912CF" w:rsidRDefault="008912CF" w:rsidP="008912CF">
      <w:pPr>
        <w:pStyle w:val="2"/>
        <w:numPr>
          <w:ilvl w:val="0"/>
          <w:numId w:val="0"/>
        </w:numPr>
        <w:ind w:left="1021"/>
      </w:pPr>
    </w:p>
    <w:tbl>
      <w:tblPr>
        <w:tblStyle w:val="af6"/>
        <w:tblW w:w="0" w:type="auto"/>
        <w:tblInd w:w="37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49"/>
        <w:gridCol w:w="2743"/>
      </w:tblGrid>
      <w:tr w:rsidR="008912CF" w:rsidTr="008912CF">
        <w:tc>
          <w:tcPr>
            <w:tcW w:w="2349" w:type="dxa"/>
          </w:tcPr>
          <w:p w:rsidR="008912CF" w:rsidRDefault="008912CF" w:rsidP="008912CF">
            <w:pPr>
              <w:pStyle w:val="aa"/>
              <w:spacing w:before="0" w:after="0" w:line="0" w:lineRule="atLeast"/>
              <w:ind w:left="0"/>
              <w:rPr>
                <w:b w:val="0"/>
                <w:bCs/>
                <w:snapToGrid/>
                <w:spacing w:val="12"/>
                <w:kern w:val="0"/>
                <w:sz w:val="40"/>
              </w:rPr>
            </w:pPr>
            <w:r>
              <w:rPr>
                <w:rFonts w:hint="eastAsia"/>
                <w:b w:val="0"/>
                <w:bCs/>
                <w:snapToGrid/>
                <w:spacing w:val="12"/>
                <w:kern w:val="0"/>
                <w:sz w:val="40"/>
              </w:rPr>
              <w:t>調查委員:</w:t>
            </w:r>
          </w:p>
        </w:tc>
        <w:tc>
          <w:tcPr>
            <w:tcW w:w="2743" w:type="dxa"/>
          </w:tcPr>
          <w:p w:rsidR="008912CF" w:rsidRDefault="008912CF" w:rsidP="008912CF">
            <w:pPr>
              <w:pStyle w:val="aa"/>
              <w:spacing w:before="0" w:after="0" w:line="0" w:lineRule="atLeast"/>
              <w:ind w:left="0"/>
              <w:rPr>
                <w:b w:val="0"/>
                <w:bCs/>
                <w:snapToGrid/>
                <w:spacing w:val="12"/>
                <w:kern w:val="0"/>
                <w:sz w:val="40"/>
              </w:rPr>
            </w:pPr>
            <w:r>
              <w:rPr>
                <w:rFonts w:hint="eastAsia"/>
                <w:b w:val="0"/>
                <w:bCs/>
                <w:snapToGrid/>
                <w:spacing w:val="12"/>
                <w:kern w:val="0"/>
                <w:sz w:val="40"/>
              </w:rPr>
              <w:t>王美玉</w:t>
            </w:r>
          </w:p>
          <w:p w:rsidR="008912CF" w:rsidRDefault="008912CF" w:rsidP="008912CF">
            <w:pPr>
              <w:pStyle w:val="aa"/>
              <w:spacing w:before="0" w:after="0" w:line="0" w:lineRule="atLeast"/>
              <w:ind w:left="0"/>
              <w:rPr>
                <w:b w:val="0"/>
                <w:bCs/>
                <w:snapToGrid/>
                <w:spacing w:val="12"/>
                <w:kern w:val="0"/>
                <w:sz w:val="40"/>
              </w:rPr>
            </w:pPr>
            <w:r>
              <w:rPr>
                <w:rFonts w:hint="eastAsia"/>
                <w:b w:val="0"/>
                <w:bCs/>
                <w:snapToGrid/>
                <w:spacing w:val="12"/>
                <w:kern w:val="0"/>
                <w:sz w:val="40"/>
              </w:rPr>
              <w:t>王幼玲</w:t>
            </w:r>
          </w:p>
        </w:tc>
      </w:tr>
    </w:tbl>
    <w:p w:rsidR="008912CF" w:rsidRDefault="008912CF" w:rsidP="008912CF">
      <w:pPr>
        <w:pStyle w:val="aa"/>
        <w:spacing w:before="0" w:after="0"/>
        <w:ind w:leftChars="1100" w:left="3742"/>
        <w:rPr>
          <w:rFonts w:ascii="Times New Roman"/>
          <w:b w:val="0"/>
          <w:bCs/>
          <w:snapToGrid/>
          <w:spacing w:val="0"/>
          <w:kern w:val="0"/>
          <w:sz w:val="40"/>
        </w:rPr>
      </w:pPr>
    </w:p>
    <w:p w:rsidR="008912CF" w:rsidRDefault="008912CF" w:rsidP="008912CF">
      <w:pPr>
        <w:pStyle w:val="aa"/>
        <w:spacing w:before="0" w:after="0"/>
        <w:ind w:leftChars="1100" w:left="3742"/>
        <w:rPr>
          <w:rFonts w:ascii="Times New Roman"/>
          <w:b w:val="0"/>
          <w:bCs/>
          <w:snapToGrid/>
          <w:spacing w:val="0"/>
          <w:kern w:val="0"/>
          <w:sz w:val="40"/>
        </w:rPr>
      </w:pPr>
    </w:p>
    <w:p w:rsidR="008912CF" w:rsidRDefault="008912CF" w:rsidP="008912CF">
      <w:pPr>
        <w:pStyle w:val="aa"/>
        <w:spacing w:before="0" w:after="0"/>
        <w:ind w:leftChars="1100" w:left="3742"/>
        <w:rPr>
          <w:rFonts w:ascii="Times New Roman"/>
          <w:b w:val="0"/>
          <w:bCs/>
          <w:snapToGrid/>
          <w:spacing w:val="0"/>
          <w:kern w:val="0"/>
          <w:sz w:val="40"/>
        </w:rPr>
      </w:pPr>
    </w:p>
    <w:p w:rsidR="008912CF" w:rsidRDefault="008912CF" w:rsidP="008912CF">
      <w:pPr>
        <w:pStyle w:val="aa"/>
        <w:spacing w:before="0" w:after="0"/>
        <w:ind w:leftChars="1100" w:left="3742"/>
        <w:rPr>
          <w:rFonts w:ascii="Times New Roman"/>
          <w:b w:val="0"/>
          <w:bCs/>
          <w:snapToGrid/>
          <w:spacing w:val="0"/>
          <w:kern w:val="0"/>
          <w:sz w:val="40"/>
        </w:rPr>
      </w:pPr>
    </w:p>
    <w:p w:rsidR="008912CF" w:rsidRDefault="008912CF" w:rsidP="008912CF">
      <w:pPr>
        <w:pStyle w:val="aa"/>
        <w:spacing w:before="0" w:after="0"/>
        <w:ind w:leftChars="1100" w:left="3742"/>
        <w:rPr>
          <w:rFonts w:ascii="Times New Roman"/>
          <w:b w:val="0"/>
          <w:bCs/>
          <w:snapToGrid/>
          <w:spacing w:val="0"/>
          <w:kern w:val="0"/>
          <w:sz w:val="40"/>
        </w:rPr>
      </w:pPr>
    </w:p>
    <w:p w:rsidR="008912CF" w:rsidRPr="00BD69D1" w:rsidRDefault="008912CF" w:rsidP="008912CF">
      <w:pPr>
        <w:pStyle w:val="aa"/>
        <w:spacing w:before="0" w:after="0"/>
        <w:ind w:leftChars="1100" w:left="3742"/>
        <w:rPr>
          <w:rFonts w:ascii="Times New Roman"/>
          <w:b w:val="0"/>
          <w:bCs/>
          <w:snapToGrid/>
          <w:spacing w:val="0"/>
          <w:kern w:val="0"/>
          <w:sz w:val="40"/>
        </w:rPr>
      </w:pPr>
    </w:p>
    <w:p w:rsidR="008912CF" w:rsidRPr="00BD69D1" w:rsidRDefault="008912CF" w:rsidP="008912CF">
      <w:pPr>
        <w:pStyle w:val="af"/>
        <w:rPr>
          <w:rFonts w:hAnsi="標楷體"/>
          <w:bCs/>
        </w:rPr>
      </w:pPr>
      <w:r w:rsidRPr="00BD69D1">
        <w:rPr>
          <w:rFonts w:hAnsi="標楷體" w:hint="eastAsia"/>
          <w:bCs/>
        </w:rPr>
        <w:t xml:space="preserve">中  華  民  國　114　年　</w:t>
      </w:r>
      <w:r>
        <w:rPr>
          <w:rFonts w:hAnsi="標楷體" w:hint="eastAsia"/>
          <w:bCs/>
        </w:rPr>
        <w:t>6</w:t>
      </w:r>
      <w:r w:rsidRPr="00BD69D1">
        <w:rPr>
          <w:rFonts w:hAnsi="標楷體" w:hint="eastAsia"/>
          <w:bCs/>
        </w:rPr>
        <w:t xml:space="preserve"> 　月　</w:t>
      </w:r>
      <w:r>
        <w:rPr>
          <w:rFonts w:hAnsi="標楷體" w:hint="eastAsia"/>
          <w:bCs/>
        </w:rPr>
        <w:t>18</w:t>
      </w:r>
      <w:r w:rsidRPr="00BD69D1">
        <w:rPr>
          <w:rFonts w:hAnsi="標楷體" w:hint="eastAsia"/>
          <w:bCs/>
        </w:rPr>
        <w:t xml:space="preserve">　　日</w:t>
      </w:r>
    </w:p>
    <w:p w:rsidR="008912CF" w:rsidRPr="00BD69D1" w:rsidRDefault="008912CF" w:rsidP="008912CF">
      <w:pPr>
        <w:pStyle w:val="af0"/>
        <w:kinsoku/>
        <w:autoSpaceDE w:val="0"/>
        <w:spacing w:beforeLines="50" w:before="228"/>
        <w:ind w:left="1020" w:hanging="1020"/>
        <w:rPr>
          <w:bCs/>
        </w:rPr>
      </w:pPr>
      <w:proofErr w:type="gramStart"/>
      <w:r w:rsidRPr="00BD69D1">
        <w:rPr>
          <w:rFonts w:hint="eastAsia"/>
          <w:bCs/>
        </w:rPr>
        <w:t>案名</w:t>
      </w:r>
      <w:proofErr w:type="gramEnd"/>
      <w:r w:rsidRPr="00BD69D1">
        <w:rPr>
          <w:rFonts w:hint="eastAsia"/>
          <w:bCs/>
        </w:rPr>
        <w:t>：</w:t>
      </w:r>
      <w:proofErr w:type="gramStart"/>
      <w:r w:rsidRPr="00BD69D1">
        <w:rPr>
          <w:rFonts w:hint="eastAsia"/>
          <w:bCs/>
        </w:rPr>
        <w:t>移工退休金</w:t>
      </w:r>
      <w:proofErr w:type="gramEnd"/>
      <w:r w:rsidRPr="00BD69D1">
        <w:rPr>
          <w:rFonts w:hint="eastAsia"/>
          <w:bCs/>
        </w:rPr>
        <w:t>案</w:t>
      </w:r>
    </w:p>
    <w:p w:rsidR="008912CF" w:rsidRPr="00BD69D1" w:rsidRDefault="008912CF" w:rsidP="008912CF">
      <w:pPr>
        <w:pStyle w:val="af0"/>
        <w:kinsoku/>
        <w:autoSpaceDE w:val="0"/>
        <w:spacing w:beforeLines="50" w:before="228"/>
        <w:ind w:left="1330" w:hangingChars="391" w:hanging="1330"/>
        <w:rPr>
          <w:bCs/>
        </w:rPr>
      </w:pPr>
      <w:r w:rsidRPr="00BD69D1">
        <w:rPr>
          <w:rFonts w:hint="eastAsia"/>
          <w:bCs/>
        </w:rPr>
        <w:t>關鍵字：</w:t>
      </w:r>
      <w:proofErr w:type="gramStart"/>
      <w:r w:rsidRPr="00BD69D1">
        <w:rPr>
          <w:rFonts w:hint="eastAsia"/>
          <w:bCs/>
        </w:rPr>
        <w:t>藍領移工</w:t>
      </w:r>
      <w:proofErr w:type="gramEnd"/>
      <w:r w:rsidRPr="00BD69D1">
        <w:rPr>
          <w:rFonts w:hint="eastAsia"/>
          <w:bCs/>
        </w:rPr>
        <w:t>、中階技術人力、退休、勞動基準法、勞退舊制、</w:t>
      </w:r>
      <w:r w:rsidRPr="00BD69D1">
        <w:rPr>
          <w:rFonts w:hAnsi="標楷體" w:hint="eastAsia"/>
        </w:rPr>
        <w:t>勞工退休金條例</w:t>
      </w:r>
      <w:r w:rsidRPr="00BD69D1">
        <w:rPr>
          <w:rFonts w:hint="eastAsia"/>
          <w:bCs/>
        </w:rPr>
        <w:t>、勞退新制、永久居留</w:t>
      </w:r>
    </w:p>
    <w:sectPr w:rsidR="008912CF" w:rsidRPr="00BD69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614" w:rsidRDefault="00417614">
      <w:r>
        <w:separator/>
      </w:r>
    </w:p>
  </w:endnote>
  <w:endnote w:type="continuationSeparator" w:id="0">
    <w:p w:rsidR="00417614" w:rsidRDefault="0041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A49" w:rsidRDefault="002E6A4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E6A49" w:rsidRDefault="002E6A4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614" w:rsidRDefault="00417614">
      <w:r>
        <w:separator/>
      </w:r>
    </w:p>
  </w:footnote>
  <w:footnote w:type="continuationSeparator" w:id="0">
    <w:p w:rsidR="00417614" w:rsidRDefault="00417614">
      <w:r>
        <w:continuationSeparator/>
      </w:r>
    </w:p>
  </w:footnote>
  <w:footnote w:id="1">
    <w:p w:rsidR="008912CF" w:rsidRPr="00BD69D1" w:rsidRDefault="008912CF" w:rsidP="009F2D16">
      <w:pPr>
        <w:pStyle w:val="afc"/>
        <w:ind w:left="167" w:hangingChars="76" w:hanging="167"/>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勞退條例</w:t>
      </w:r>
      <w:r w:rsidRPr="00BD69D1">
        <w:rPr>
          <w:rFonts w:hAnsi="標楷體" w:hint="eastAsia"/>
          <w:bCs/>
        </w:rPr>
        <w:t>第</w:t>
      </w:r>
      <w:r w:rsidRPr="00BD69D1">
        <w:rPr>
          <w:rFonts w:hAnsi="標楷體"/>
          <w:bCs/>
        </w:rPr>
        <w:t>7</w:t>
      </w:r>
      <w:r w:rsidRPr="00BD69D1">
        <w:rPr>
          <w:rFonts w:hAnsi="標楷體" w:hint="eastAsia"/>
          <w:bCs/>
        </w:rPr>
        <w:t>條規定：「本條例之適用對象為適用勞基法之下列人員，但依私立學校法之規定</w:t>
      </w:r>
      <w:proofErr w:type="gramStart"/>
      <w:r w:rsidRPr="00BD69D1">
        <w:rPr>
          <w:rFonts w:hAnsi="標楷體" w:hint="eastAsia"/>
          <w:bCs/>
        </w:rPr>
        <w:t>提撥</w:t>
      </w:r>
      <w:proofErr w:type="gramEnd"/>
      <w:r w:rsidRPr="00BD69D1">
        <w:rPr>
          <w:rFonts w:hAnsi="標楷體" w:hint="eastAsia"/>
          <w:bCs/>
        </w:rPr>
        <w:t>退休準備金者，不適用之：一、本國籍勞工。二、與在中華民國境內設有戶籍之國民結婚，且獲准居留而在臺灣地區工作之外國人、大陸地區人民、香港或澳門居民。三、前款之外國人、大陸地區人民、香港或澳門居民，與其配偶離婚或其配偶死亡，而依法規規定得在臺灣地區繼續居留工作者。四、前二款以外之外國人，經依入出國及移民法相關規定許可永久居留，且在臺灣地區工作者。」</w:t>
      </w:r>
    </w:p>
  </w:footnote>
  <w:footnote w:id="2">
    <w:p w:rsidR="008912CF" w:rsidRPr="00BD69D1" w:rsidRDefault="008912CF" w:rsidP="009F2D16">
      <w:pPr>
        <w:pStyle w:val="afc"/>
        <w:ind w:left="167" w:hangingChars="76" w:hanging="167"/>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外國人才專法</w:t>
      </w:r>
      <w:r w:rsidRPr="00BD69D1">
        <w:rPr>
          <w:rFonts w:hAnsi="標楷體" w:hint="eastAsia"/>
          <w:bCs/>
        </w:rPr>
        <w:t>第</w:t>
      </w:r>
      <w:r w:rsidRPr="00BD69D1">
        <w:rPr>
          <w:rFonts w:hAnsi="標楷體"/>
          <w:bCs/>
        </w:rPr>
        <w:t>22</w:t>
      </w:r>
      <w:r w:rsidRPr="00BD69D1">
        <w:rPr>
          <w:rFonts w:hAnsi="標楷體" w:hint="eastAsia"/>
          <w:bCs/>
        </w:rPr>
        <w:t>條規定：「從事專業工作之外國專業人才及外國特定專業人才，並經內政部移民署依本法規定許可永久居留者，於許可之日起適用勞退條例之退休金制度。但其於本法</w:t>
      </w:r>
      <w:r w:rsidRPr="00BD69D1">
        <w:rPr>
          <w:rFonts w:hAnsi="標楷體"/>
          <w:bCs/>
        </w:rPr>
        <w:t>110</w:t>
      </w:r>
      <w:r w:rsidRPr="00BD69D1">
        <w:rPr>
          <w:rFonts w:hAnsi="標楷體" w:hint="eastAsia"/>
          <w:bCs/>
        </w:rPr>
        <w:t>年</w:t>
      </w:r>
      <w:r w:rsidRPr="00BD69D1">
        <w:rPr>
          <w:rFonts w:hAnsi="標楷體"/>
          <w:bCs/>
        </w:rPr>
        <w:t>6</w:t>
      </w:r>
      <w:r w:rsidRPr="00BD69D1">
        <w:rPr>
          <w:rFonts w:hAnsi="標楷體" w:hint="eastAsia"/>
          <w:bCs/>
        </w:rPr>
        <w:t>月</w:t>
      </w:r>
      <w:r w:rsidRPr="00BD69D1">
        <w:rPr>
          <w:rFonts w:hAnsi="標楷體"/>
          <w:bCs/>
        </w:rPr>
        <w:t>18</w:t>
      </w:r>
      <w:r w:rsidRPr="00BD69D1">
        <w:rPr>
          <w:rFonts w:hAnsi="標楷體" w:hint="eastAsia"/>
          <w:bCs/>
        </w:rPr>
        <w:t>日修正之條文施行前已受</w:t>
      </w:r>
      <w:proofErr w:type="gramStart"/>
      <w:r w:rsidRPr="00BD69D1">
        <w:rPr>
          <w:rFonts w:hAnsi="標楷體" w:hint="eastAsia"/>
          <w:bCs/>
        </w:rPr>
        <w:t>僱</w:t>
      </w:r>
      <w:proofErr w:type="gramEnd"/>
      <w:r w:rsidRPr="00BD69D1">
        <w:rPr>
          <w:rFonts w:hAnsi="標楷體" w:hint="eastAsia"/>
          <w:bCs/>
        </w:rPr>
        <w:t>且仍服務於同一事業單位，於許可之日起</w:t>
      </w:r>
      <w:r w:rsidRPr="00BD69D1">
        <w:rPr>
          <w:rFonts w:hAnsi="標楷體"/>
          <w:bCs/>
        </w:rPr>
        <w:t>6</w:t>
      </w:r>
      <w:r w:rsidRPr="00BD69D1">
        <w:rPr>
          <w:rFonts w:hAnsi="標楷體" w:hint="eastAsia"/>
          <w:bCs/>
        </w:rPr>
        <w:t>個月內，以書面向雇主表明繼續適用勞基法之退休金規定者，不在此限。」</w:t>
      </w:r>
    </w:p>
  </w:footnote>
  <w:footnote w:id="3">
    <w:p w:rsidR="008912CF" w:rsidRPr="00BD69D1" w:rsidRDefault="008912CF" w:rsidP="009F2D16">
      <w:pPr>
        <w:pStyle w:val="afc"/>
        <w:ind w:left="167" w:hangingChars="76" w:hanging="167"/>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勞基法第</w:t>
      </w:r>
      <w:r w:rsidRPr="00BD69D1">
        <w:rPr>
          <w:rFonts w:hAnsi="標楷體"/>
        </w:rPr>
        <w:t>3</w:t>
      </w:r>
      <w:r w:rsidRPr="00BD69D1">
        <w:rPr>
          <w:rFonts w:hAnsi="標楷體" w:hint="eastAsia"/>
        </w:rPr>
        <w:t>條第</w:t>
      </w:r>
      <w:r w:rsidRPr="00BD69D1">
        <w:rPr>
          <w:rFonts w:hAnsi="標楷體"/>
        </w:rPr>
        <w:t>3</w:t>
      </w:r>
      <w:r w:rsidRPr="00BD69D1">
        <w:rPr>
          <w:rFonts w:hAnsi="標楷體" w:hint="eastAsia"/>
        </w:rPr>
        <w:t>項規定，該法適用於一切</w:t>
      </w:r>
      <w:proofErr w:type="gramStart"/>
      <w:r w:rsidRPr="00BD69D1">
        <w:rPr>
          <w:rFonts w:hAnsi="標楷體" w:hint="eastAsia"/>
        </w:rPr>
        <w:t>勞</w:t>
      </w:r>
      <w:proofErr w:type="gramEnd"/>
      <w:r w:rsidRPr="00BD69D1">
        <w:rPr>
          <w:rFonts w:hAnsi="標楷體" w:hint="eastAsia"/>
        </w:rPr>
        <w:t>雇關係。但因經營型態、管理制度及工作特性等因素適用</w:t>
      </w:r>
      <w:proofErr w:type="gramStart"/>
      <w:r w:rsidRPr="00BD69D1">
        <w:rPr>
          <w:rFonts w:hAnsi="標楷體" w:hint="eastAsia"/>
        </w:rPr>
        <w:t>該法確有</w:t>
      </w:r>
      <w:proofErr w:type="gramEnd"/>
      <w:r w:rsidRPr="00BD69D1">
        <w:rPr>
          <w:rFonts w:hAnsi="標楷體" w:hint="eastAsia"/>
        </w:rPr>
        <w:t>窒礙難行，並經勞動部指定公告之行業或工作者，不適用之。</w:t>
      </w:r>
    </w:p>
  </w:footnote>
  <w:footnote w:id="4">
    <w:p w:rsidR="008912CF" w:rsidRPr="00BD69D1" w:rsidRDefault="008912CF" w:rsidP="009F2D16">
      <w:pPr>
        <w:pStyle w:val="afc"/>
        <w:ind w:left="154" w:hangingChars="70" w:hanging="154"/>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白領外國人係受聘僱從事就</w:t>
      </w:r>
      <w:proofErr w:type="gramStart"/>
      <w:r w:rsidRPr="00BD69D1">
        <w:rPr>
          <w:rFonts w:hAnsi="標楷體" w:hint="eastAsia"/>
        </w:rPr>
        <w:t>服法</w:t>
      </w:r>
      <w:proofErr w:type="gramEnd"/>
      <w:r w:rsidRPr="00BD69D1">
        <w:rPr>
          <w:rFonts w:hAnsi="標楷體" w:hint="eastAsia"/>
        </w:rPr>
        <w:t>第</w:t>
      </w:r>
      <w:r w:rsidRPr="00BD69D1">
        <w:rPr>
          <w:rFonts w:hAnsi="標楷體"/>
        </w:rPr>
        <w:t>46</w:t>
      </w:r>
      <w:r w:rsidRPr="00BD69D1">
        <w:rPr>
          <w:rFonts w:hAnsi="標楷體" w:hint="eastAsia"/>
        </w:rPr>
        <w:t>條第</w:t>
      </w:r>
      <w:r w:rsidRPr="00BD69D1">
        <w:rPr>
          <w:rFonts w:hAnsi="標楷體"/>
        </w:rPr>
        <w:t>1</w:t>
      </w:r>
      <w:r w:rsidRPr="00BD69D1">
        <w:rPr>
          <w:rFonts w:hAnsi="標楷體" w:hint="eastAsia"/>
        </w:rPr>
        <w:t>項第</w:t>
      </w:r>
      <w:r w:rsidRPr="00BD69D1">
        <w:rPr>
          <w:rFonts w:hAnsi="標楷體"/>
        </w:rPr>
        <w:t>1</w:t>
      </w:r>
      <w:r w:rsidRPr="00BD69D1">
        <w:rPr>
          <w:rFonts w:hAnsi="標楷體" w:hint="eastAsia"/>
        </w:rPr>
        <w:t>至</w:t>
      </w:r>
      <w:r w:rsidRPr="00BD69D1">
        <w:rPr>
          <w:rFonts w:hAnsi="標楷體"/>
        </w:rPr>
        <w:t>6</w:t>
      </w:r>
      <w:r w:rsidRPr="00BD69D1">
        <w:rPr>
          <w:rFonts w:hAnsi="標楷體" w:hint="eastAsia"/>
        </w:rPr>
        <w:t>款之外國籍人員，又同一外國人可同時申請不同工作類別，統計單位為人次。</w:t>
      </w:r>
    </w:p>
  </w:footnote>
  <w:footnote w:id="5">
    <w:p w:rsidR="008912CF" w:rsidRPr="00BD69D1" w:rsidRDefault="008912CF" w:rsidP="009F2D16">
      <w:pPr>
        <w:pStyle w:val="afc"/>
        <w:ind w:left="154" w:hangingChars="70" w:hanging="154"/>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就</w:t>
      </w:r>
      <w:proofErr w:type="gramStart"/>
      <w:r w:rsidRPr="00BD69D1">
        <w:rPr>
          <w:rFonts w:hAnsi="標楷體" w:hint="eastAsia"/>
        </w:rPr>
        <w:t>服法</w:t>
      </w:r>
      <w:proofErr w:type="gramEnd"/>
      <w:r w:rsidRPr="00BD69D1">
        <w:rPr>
          <w:rFonts w:hAnsi="標楷體" w:hint="eastAsia"/>
        </w:rPr>
        <w:t>第4</w:t>
      </w:r>
      <w:r w:rsidRPr="00BD69D1">
        <w:rPr>
          <w:rFonts w:hAnsi="標楷體"/>
        </w:rPr>
        <w:t>6</w:t>
      </w:r>
      <w:r w:rsidRPr="00BD69D1">
        <w:rPr>
          <w:rFonts w:hAnsi="標楷體" w:hint="eastAsia"/>
        </w:rPr>
        <w:t>條第1項第9款家庭看護工及家庭幫</w:t>
      </w:r>
      <w:proofErr w:type="gramStart"/>
      <w:r w:rsidRPr="00BD69D1">
        <w:rPr>
          <w:rFonts w:hAnsi="標楷體" w:hint="eastAsia"/>
        </w:rPr>
        <w:t>傭</w:t>
      </w:r>
      <w:proofErr w:type="gramEnd"/>
      <w:r w:rsidRPr="00BD69D1">
        <w:rPr>
          <w:rFonts w:hAnsi="標楷體" w:hint="eastAsia"/>
        </w:rPr>
        <w:t>，不適用勞基法。</w:t>
      </w:r>
    </w:p>
  </w:footnote>
  <w:footnote w:id="6">
    <w:p w:rsidR="008912CF" w:rsidRPr="00BD69D1" w:rsidRDefault="008912CF" w:rsidP="009F2D16">
      <w:pPr>
        <w:pStyle w:val="afc"/>
        <w:ind w:leftChars="-8" w:left="138" w:hangingChars="75" w:hanging="165"/>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參見勞動部1</w:t>
      </w:r>
      <w:r w:rsidRPr="00BD69D1">
        <w:rPr>
          <w:rFonts w:hAnsi="標楷體"/>
        </w:rPr>
        <w:t>13</w:t>
      </w:r>
      <w:r w:rsidRPr="00BD69D1">
        <w:rPr>
          <w:rFonts w:hAnsi="標楷體" w:hint="eastAsia"/>
        </w:rPr>
        <w:t>年6月28日勞動福3字第1</w:t>
      </w:r>
      <w:r w:rsidRPr="00BD69D1">
        <w:rPr>
          <w:rFonts w:hAnsi="標楷體"/>
        </w:rPr>
        <w:t>130153115</w:t>
      </w:r>
      <w:r w:rsidRPr="00BD69D1">
        <w:rPr>
          <w:rFonts w:hAnsi="標楷體" w:hint="eastAsia"/>
        </w:rPr>
        <w:t>號函、同年9月9日</w:t>
      </w:r>
      <w:r w:rsidRPr="00BD69D1">
        <w:rPr>
          <w:rFonts w:hAnsi="標楷體"/>
        </w:rPr>
        <w:t>勞動福</w:t>
      </w:r>
      <w:r w:rsidRPr="00BD69D1">
        <w:rPr>
          <w:rFonts w:hAnsi="標楷體" w:hint="eastAsia"/>
        </w:rPr>
        <w:t>3字第1</w:t>
      </w:r>
      <w:r w:rsidRPr="00BD69D1">
        <w:rPr>
          <w:rFonts w:hAnsi="標楷體"/>
        </w:rPr>
        <w:t>130153443</w:t>
      </w:r>
      <w:r w:rsidRPr="00BD69D1">
        <w:rPr>
          <w:rFonts w:hAnsi="標楷體" w:hint="eastAsia"/>
        </w:rPr>
        <w:t>號函。</w:t>
      </w:r>
    </w:p>
  </w:footnote>
  <w:footnote w:id="7">
    <w:p w:rsidR="008912CF" w:rsidRPr="00BD69D1" w:rsidRDefault="008912CF" w:rsidP="008912CF">
      <w:pPr>
        <w:pStyle w:val="afc"/>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勞動部1</w:t>
      </w:r>
      <w:r w:rsidRPr="00BD69D1">
        <w:rPr>
          <w:rFonts w:hAnsi="標楷體"/>
        </w:rPr>
        <w:t>14</w:t>
      </w:r>
      <w:r w:rsidRPr="00BD69D1">
        <w:rPr>
          <w:rFonts w:hAnsi="標楷體" w:hint="eastAsia"/>
        </w:rPr>
        <w:t>年3月26日</w:t>
      </w:r>
      <w:r w:rsidRPr="00BD69D1">
        <w:rPr>
          <w:rFonts w:hAnsi="標楷體"/>
        </w:rPr>
        <w:t>勞動福</w:t>
      </w:r>
      <w:r w:rsidRPr="00BD69D1">
        <w:rPr>
          <w:rFonts w:hAnsi="標楷體" w:hint="eastAsia"/>
        </w:rPr>
        <w:t>3字第1</w:t>
      </w:r>
      <w:r w:rsidRPr="00BD69D1">
        <w:rPr>
          <w:rFonts w:hAnsi="標楷體"/>
        </w:rPr>
        <w:t>140152764</w:t>
      </w:r>
      <w:r w:rsidRPr="00BD69D1">
        <w:rPr>
          <w:rFonts w:hAnsi="標楷體" w:hint="eastAsia"/>
        </w:rPr>
        <w:t>號函。</w:t>
      </w:r>
    </w:p>
  </w:footnote>
  <w:footnote w:id="8">
    <w:p w:rsidR="008912CF" w:rsidRPr="00BD69D1" w:rsidRDefault="008912CF" w:rsidP="009F2D16">
      <w:pPr>
        <w:pStyle w:val="afc"/>
        <w:ind w:leftChars="3" w:left="166" w:hangingChars="71" w:hanging="156"/>
        <w:jc w:val="both"/>
        <w:rPr>
          <w:rFonts w:hAnsi="標楷體"/>
        </w:rPr>
      </w:pPr>
      <w:r w:rsidRPr="00BD69D1">
        <w:rPr>
          <w:rStyle w:val="afe"/>
          <w:rFonts w:hAnsi="標楷體"/>
        </w:rPr>
        <w:footnoteRef/>
      </w:r>
      <w:r w:rsidRPr="00BD69D1">
        <w:rPr>
          <w:rFonts w:hAnsi="標楷體" w:hint="eastAsia"/>
        </w:rPr>
        <w:t xml:space="preserve"> 自111</w:t>
      </w:r>
      <w:r w:rsidRPr="00BD69D1">
        <w:rPr>
          <w:rFonts w:hAnsi="標楷體" w:hint="eastAsia"/>
        </w:rPr>
        <w:t>年4月30日起，勞動部推動「留用外國中階技術人力計畫」</w:t>
      </w:r>
      <w:r w:rsidRPr="00BD69D1">
        <w:rPr>
          <w:rFonts w:hAnsi="標楷體" w:hint="eastAsia"/>
          <w:spacing w:val="-20"/>
        </w:rPr>
        <w:t>(又稱「</w:t>
      </w:r>
      <w:proofErr w:type="gramStart"/>
      <w:r w:rsidRPr="00BD69D1">
        <w:rPr>
          <w:rFonts w:hAnsi="標楷體" w:hint="eastAsia"/>
          <w:spacing w:val="-20"/>
        </w:rPr>
        <w:t>移工留才久用</w:t>
      </w:r>
      <w:proofErr w:type="gramEnd"/>
      <w:r w:rsidRPr="00BD69D1">
        <w:rPr>
          <w:rFonts w:hAnsi="標楷體" w:hint="eastAsia"/>
          <w:spacing w:val="-20"/>
        </w:rPr>
        <w:t>方案」)，</w:t>
      </w:r>
      <w:r w:rsidRPr="00BD69D1">
        <w:rPr>
          <w:rFonts w:hAnsi="標楷體" w:hint="eastAsia"/>
        </w:rPr>
        <w:t>留用</w:t>
      </w:r>
      <w:r w:rsidRPr="00BD69D1">
        <w:rPr>
          <w:rFonts w:hAnsi="標楷體" w:hint="eastAsia"/>
          <w:bCs/>
        </w:rPr>
        <w:t>僑外生</w:t>
      </w:r>
      <w:r w:rsidRPr="00BD69D1">
        <w:rPr>
          <w:rFonts w:hAnsi="標楷體" w:hint="eastAsia"/>
        </w:rPr>
        <w:t>及</w:t>
      </w:r>
      <w:r w:rsidRPr="00BD69D1">
        <w:rPr>
          <w:rFonts w:hAnsi="標楷體" w:hint="eastAsia"/>
          <w:bCs/>
        </w:rPr>
        <w:t>具熟練技術</w:t>
      </w:r>
      <w:proofErr w:type="gramStart"/>
      <w:r w:rsidRPr="00BD69D1">
        <w:rPr>
          <w:rFonts w:hAnsi="標楷體" w:hint="eastAsia"/>
          <w:bCs/>
        </w:rPr>
        <w:t>移工</w:t>
      </w:r>
      <w:r w:rsidRPr="00BD69D1">
        <w:rPr>
          <w:rFonts w:hAnsi="標楷體" w:hint="eastAsia"/>
        </w:rPr>
        <w:t>留臺</w:t>
      </w:r>
      <w:proofErr w:type="gramEnd"/>
      <w:r w:rsidRPr="00BD69D1">
        <w:rPr>
          <w:rFonts w:hAnsi="標楷體" w:hint="eastAsia"/>
        </w:rPr>
        <w:t>從事中階技術工作，補充國內產業所需人力。在</w:t>
      </w:r>
      <w:proofErr w:type="gramStart"/>
      <w:r w:rsidRPr="00BD69D1">
        <w:rPr>
          <w:rFonts w:hAnsi="標楷體" w:hint="eastAsia"/>
        </w:rPr>
        <w:t>臺</w:t>
      </w:r>
      <w:proofErr w:type="gramEnd"/>
      <w:r w:rsidRPr="00BD69D1">
        <w:rPr>
          <w:rFonts w:hAnsi="標楷體" w:hint="eastAsia"/>
        </w:rPr>
        <w:t>工作6年以上、具一定技術及相關資格</w:t>
      </w:r>
      <w:proofErr w:type="gramStart"/>
      <w:r w:rsidRPr="00BD69D1">
        <w:rPr>
          <w:rFonts w:hAnsi="標楷體" w:hint="eastAsia"/>
        </w:rPr>
        <w:t>資深移工</w:t>
      </w:r>
      <w:proofErr w:type="gramEnd"/>
      <w:r w:rsidRPr="00BD69D1">
        <w:rPr>
          <w:rFonts w:hAnsi="標楷體" w:hint="eastAsia"/>
        </w:rPr>
        <w:t>，得由雇主申請聘僱從事中階技術工作，中階技術人力在</w:t>
      </w:r>
      <w:proofErr w:type="gramStart"/>
      <w:r w:rsidRPr="00BD69D1">
        <w:rPr>
          <w:rFonts w:hAnsi="標楷體" w:hint="eastAsia"/>
        </w:rPr>
        <w:t>臺</w:t>
      </w:r>
      <w:proofErr w:type="gramEnd"/>
      <w:r w:rsidRPr="00BD69D1">
        <w:rPr>
          <w:rFonts w:hAnsi="標楷體" w:hint="eastAsia"/>
        </w:rPr>
        <w:t>無工作年限限制，從事中階技術工作滿5年及符合相關法定資格條件者，可銜接我國永久居留制度</w:t>
      </w:r>
      <w:r w:rsidRPr="00BD69D1">
        <w:rPr>
          <w:rFonts w:hAnsi="標楷體" w:hint="eastAsia"/>
          <w:spacing w:val="-20"/>
        </w:rPr>
        <w:t>。(參見國發會網頁</w:t>
      </w:r>
      <w:r w:rsidRPr="00BD69D1">
        <w:rPr>
          <w:rFonts w:hAnsi="標楷體"/>
          <w:spacing w:val="-20"/>
        </w:rPr>
        <w:t>https://www.ndc.gov.tw/Content_List.aspx?n=1EBB01C7AA85B8D9</w:t>
      </w:r>
      <w:r w:rsidRPr="00BD69D1">
        <w:rPr>
          <w:rFonts w:hAnsi="標楷體" w:hint="eastAsia"/>
          <w:spacing w:val="-20"/>
        </w:rPr>
        <w:t>)</w:t>
      </w:r>
    </w:p>
  </w:footnote>
  <w:footnote w:id="9">
    <w:p w:rsidR="008912CF" w:rsidRPr="00BD69D1" w:rsidRDefault="008912CF" w:rsidP="009F2D16">
      <w:pPr>
        <w:pStyle w:val="afc"/>
        <w:ind w:left="167" w:hangingChars="76" w:hanging="167"/>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參見</w:t>
      </w:r>
      <w:r w:rsidRPr="00BD69D1">
        <w:rPr>
          <w:rFonts w:hAnsi="標楷體"/>
        </w:rPr>
        <w:t>1</w:t>
      </w:r>
      <w:r w:rsidRPr="00BD69D1">
        <w:rPr>
          <w:rFonts w:hAnsi="標楷體" w:hint="eastAsia"/>
        </w:rPr>
        <w:t>11</w:t>
      </w:r>
      <w:r w:rsidRPr="00BD69D1">
        <w:rPr>
          <w:rFonts w:hAnsi="標楷體"/>
        </w:rPr>
        <w:t>年1月19日</w:t>
      </w:r>
      <w:r w:rsidRPr="00BD69D1">
        <w:rPr>
          <w:rFonts w:hAnsi="標楷體" w:hint="eastAsia"/>
        </w:rPr>
        <w:t>本院</w:t>
      </w:r>
      <w:r w:rsidRPr="00BD69D1">
        <w:rPr>
          <w:rFonts w:hAnsi="標楷體"/>
        </w:rPr>
        <w:t>社會福利及衛生環境</w:t>
      </w:r>
      <w:r w:rsidRPr="00BD69D1">
        <w:rPr>
          <w:rFonts w:hAnsi="標楷體" w:hint="eastAsia"/>
        </w:rPr>
        <w:t>、財政及經濟委員會第6屆第5次聯席會議決議通過之「</w:t>
      </w:r>
      <w:r w:rsidRPr="00BD69D1">
        <w:rPr>
          <w:rFonts w:hAnsi="標楷體" w:hint="eastAsia"/>
          <w:bCs/>
        </w:rPr>
        <w:t>為雇主聘僱外國人在本國工作，訂有工作類別、性質、資格之補充性、限業限量等相關規定，該等規範似未因應</w:t>
      </w:r>
      <w:bookmarkStart w:id="27" w:name="_Hlk92388434"/>
      <w:r w:rsidRPr="00BD69D1">
        <w:rPr>
          <w:rFonts w:hAnsi="標楷體" w:hint="eastAsia"/>
          <w:bCs/>
        </w:rPr>
        <w:t>人口老化及產業變遷需求詳予分析檢討</w:t>
      </w:r>
      <w:bookmarkEnd w:id="27"/>
      <w:r w:rsidRPr="00BD69D1">
        <w:rPr>
          <w:rFonts w:hAnsi="標楷體" w:hint="eastAsia"/>
          <w:bCs/>
        </w:rPr>
        <w:t>，致產生不法聘僱與地下仲介案件頻繁。究雇主聘僱外國人之相關法令應否檢討？外籍勞工中含藍領、白領、專業人才、照護工等之引進及人數分配是否妥適？深受雇主高度肯定之</w:t>
      </w:r>
      <w:proofErr w:type="gramStart"/>
      <w:r w:rsidRPr="00BD69D1">
        <w:rPr>
          <w:rFonts w:hAnsi="標楷體" w:hint="eastAsia"/>
          <w:bCs/>
        </w:rPr>
        <w:t>熟手移工及</w:t>
      </w:r>
      <w:proofErr w:type="gramEnd"/>
      <w:r w:rsidRPr="00BD69D1">
        <w:rPr>
          <w:rFonts w:hAnsi="標楷體" w:hint="eastAsia"/>
          <w:bCs/>
        </w:rPr>
        <w:t>依附性高如失智老人看護工之留任問題等，移民</w:t>
      </w:r>
      <w:proofErr w:type="gramStart"/>
      <w:r w:rsidRPr="00BD69D1">
        <w:rPr>
          <w:rFonts w:hAnsi="標楷體" w:hint="eastAsia"/>
          <w:bCs/>
        </w:rPr>
        <w:t>政策需否檢討</w:t>
      </w:r>
      <w:proofErr w:type="gramEnd"/>
      <w:r w:rsidRPr="00BD69D1">
        <w:rPr>
          <w:rFonts w:hAnsi="標楷體" w:hint="eastAsia"/>
          <w:bCs/>
        </w:rPr>
        <w:t>修正？</w:t>
      </w:r>
      <w:proofErr w:type="gramStart"/>
      <w:r w:rsidRPr="00BD69D1">
        <w:rPr>
          <w:rFonts w:hAnsi="標楷體" w:hint="eastAsia"/>
          <w:bCs/>
        </w:rPr>
        <w:t>等情案</w:t>
      </w:r>
      <w:proofErr w:type="gramEnd"/>
      <w:r w:rsidRPr="00BD69D1">
        <w:rPr>
          <w:rFonts w:hAnsi="標楷體" w:hint="eastAsia"/>
          <w:bCs/>
        </w:rPr>
        <w:t>」調查報告調查意見一，調查委員</w:t>
      </w:r>
      <w:r w:rsidRPr="00BD69D1">
        <w:rPr>
          <w:rFonts w:hAnsi="標楷體" w:hint="eastAsia"/>
        </w:rPr>
        <w:t>蘇麗瓊、王榮璋</w:t>
      </w:r>
      <w:r>
        <w:rPr>
          <w:rFonts w:hAnsi="標楷體" w:hint="eastAsia"/>
        </w:rPr>
        <w:t>(案號：111</w:t>
      </w:r>
      <w:proofErr w:type="gramStart"/>
      <w:r>
        <w:rPr>
          <w:rFonts w:hAnsi="標楷體" w:hint="eastAsia"/>
        </w:rPr>
        <w:t>社調</w:t>
      </w:r>
      <w:proofErr w:type="gramEnd"/>
      <w:r>
        <w:rPr>
          <w:rFonts w:hAnsi="標楷體" w:hint="eastAsia"/>
        </w:rPr>
        <w:t>0004)</w:t>
      </w:r>
      <w:r w:rsidRPr="00BD69D1">
        <w:rPr>
          <w:rFonts w:hAnsi="標楷體" w:hint="eastAsia"/>
        </w:rPr>
        <w:t>。</w:t>
      </w:r>
    </w:p>
  </w:footnote>
  <w:footnote w:id="10">
    <w:p w:rsidR="008912CF" w:rsidRPr="00BD69D1" w:rsidRDefault="008912CF" w:rsidP="008912CF">
      <w:pPr>
        <w:pStyle w:val="afc"/>
        <w:jc w:val="both"/>
        <w:rPr>
          <w:rFonts w:hAnsi="標楷體"/>
        </w:rPr>
      </w:pPr>
      <w:r w:rsidRPr="00BD69D1">
        <w:rPr>
          <w:rStyle w:val="afe"/>
          <w:rFonts w:hAnsi="標楷體"/>
        </w:rPr>
        <w:footnoteRef/>
      </w:r>
      <w:r w:rsidRPr="00BD69D1">
        <w:rPr>
          <w:rFonts w:hAnsi="標楷體"/>
        </w:rPr>
        <w:t xml:space="preserve"> </w:t>
      </w:r>
      <w:r w:rsidRPr="00BD69D1">
        <w:rPr>
          <w:rFonts w:hAnsi="標楷體" w:hint="eastAsia"/>
        </w:rPr>
        <w:t>勞動部1</w:t>
      </w:r>
      <w:r w:rsidRPr="00BD69D1">
        <w:rPr>
          <w:rFonts w:hAnsi="標楷體"/>
        </w:rPr>
        <w:t>14</w:t>
      </w:r>
      <w:r w:rsidRPr="00BD69D1">
        <w:rPr>
          <w:rFonts w:hAnsi="標楷體" w:hint="eastAsia"/>
        </w:rPr>
        <w:t>年3月26日</w:t>
      </w:r>
      <w:r w:rsidRPr="00BD69D1">
        <w:rPr>
          <w:rFonts w:hAnsi="標楷體"/>
        </w:rPr>
        <w:t>勞動福</w:t>
      </w:r>
      <w:r w:rsidRPr="00BD69D1">
        <w:rPr>
          <w:rFonts w:hAnsi="標楷體" w:hint="eastAsia"/>
        </w:rPr>
        <w:t>3字第1</w:t>
      </w:r>
      <w:r w:rsidRPr="00BD69D1">
        <w:rPr>
          <w:rFonts w:hAnsi="標楷體"/>
        </w:rPr>
        <w:t>140152764</w:t>
      </w:r>
      <w:r w:rsidRPr="00BD69D1">
        <w:rPr>
          <w:rFonts w:hAnsi="標楷體"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16C1"/>
    <w:multiLevelType w:val="hybridMultilevel"/>
    <w:tmpl w:val="5F76BE82"/>
    <w:lvl w:ilvl="0" w:tplc="A9F23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83496"/>
    <w:multiLevelType w:val="hybridMultilevel"/>
    <w:tmpl w:val="AC8ABDA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79EBB00"/>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B43354"/>
    <w:multiLevelType w:val="hybridMultilevel"/>
    <w:tmpl w:val="7324B08C"/>
    <w:lvl w:ilvl="0" w:tplc="81B8F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A30202"/>
    <w:multiLevelType w:val="hybridMultilevel"/>
    <w:tmpl w:val="00041A6A"/>
    <w:lvl w:ilvl="0" w:tplc="C7080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FE1FDF"/>
    <w:multiLevelType w:val="hybridMultilevel"/>
    <w:tmpl w:val="7324B08C"/>
    <w:lvl w:ilvl="0" w:tplc="81B8F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925F9B"/>
    <w:multiLevelType w:val="hybridMultilevel"/>
    <w:tmpl w:val="13B8CE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D22D8F"/>
    <w:multiLevelType w:val="hybridMultilevel"/>
    <w:tmpl w:val="46F2346C"/>
    <w:lvl w:ilvl="0" w:tplc="81B8F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8764C0"/>
    <w:multiLevelType w:val="hybridMultilevel"/>
    <w:tmpl w:val="9942F2D2"/>
    <w:lvl w:ilvl="0" w:tplc="7D00FA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AD069A"/>
    <w:multiLevelType w:val="hybridMultilevel"/>
    <w:tmpl w:val="396673AE"/>
    <w:lvl w:ilvl="0" w:tplc="81B8F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2"/>
  </w:num>
  <w:num w:numId="5">
    <w:abstractNumId w:val="9"/>
  </w:num>
  <w:num w:numId="6">
    <w:abstractNumId w:val="14"/>
  </w:num>
  <w:num w:numId="7">
    <w:abstractNumId w:val="3"/>
  </w:num>
  <w:num w:numId="8">
    <w:abstractNumId w:val="15"/>
  </w:num>
  <w:num w:numId="9">
    <w:abstractNumId w:val="11"/>
  </w:num>
  <w:num w:numId="10">
    <w:abstractNumId w:val="2"/>
  </w:num>
  <w:num w:numId="11">
    <w:abstractNumId w:val="13"/>
  </w:num>
  <w:num w:numId="12">
    <w:abstractNumId w:val="0"/>
  </w:num>
  <w:num w:numId="13">
    <w:abstractNumId w:val="6"/>
  </w:num>
  <w:num w:numId="14">
    <w:abstractNumId w:val="7"/>
  </w:num>
  <w:num w:numId="15">
    <w:abstractNumId w:val="5"/>
  </w:num>
  <w:num w:numId="16">
    <w:abstractNumId w:val="10"/>
  </w:num>
  <w:num w:numId="17">
    <w:abstractNumId w:val="16"/>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CF"/>
    <w:rsid w:val="00006961"/>
    <w:rsid w:val="00006F44"/>
    <w:rsid w:val="000112BF"/>
    <w:rsid w:val="00012233"/>
    <w:rsid w:val="000152A4"/>
    <w:rsid w:val="00016531"/>
    <w:rsid w:val="00017318"/>
    <w:rsid w:val="0002173C"/>
    <w:rsid w:val="000229AD"/>
    <w:rsid w:val="000246F7"/>
    <w:rsid w:val="00026076"/>
    <w:rsid w:val="00026B26"/>
    <w:rsid w:val="00026D99"/>
    <w:rsid w:val="000300E5"/>
    <w:rsid w:val="0003114D"/>
    <w:rsid w:val="00036D76"/>
    <w:rsid w:val="000424A4"/>
    <w:rsid w:val="00044782"/>
    <w:rsid w:val="00045F0B"/>
    <w:rsid w:val="00052E30"/>
    <w:rsid w:val="00052F02"/>
    <w:rsid w:val="00057F32"/>
    <w:rsid w:val="00062A25"/>
    <w:rsid w:val="00070600"/>
    <w:rsid w:val="00072C15"/>
    <w:rsid w:val="00073CB5"/>
    <w:rsid w:val="0007425C"/>
    <w:rsid w:val="00077553"/>
    <w:rsid w:val="000803C1"/>
    <w:rsid w:val="00080E9E"/>
    <w:rsid w:val="00083D89"/>
    <w:rsid w:val="000851A2"/>
    <w:rsid w:val="000858BE"/>
    <w:rsid w:val="00091925"/>
    <w:rsid w:val="0009352E"/>
    <w:rsid w:val="000948C3"/>
    <w:rsid w:val="00096B96"/>
    <w:rsid w:val="000A0D4F"/>
    <w:rsid w:val="000A2C88"/>
    <w:rsid w:val="000A2F3F"/>
    <w:rsid w:val="000B0B4A"/>
    <w:rsid w:val="000B26B3"/>
    <w:rsid w:val="000B279A"/>
    <w:rsid w:val="000B3196"/>
    <w:rsid w:val="000B61D2"/>
    <w:rsid w:val="000B6EA2"/>
    <w:rsid w:val="000B70A7"/>
    <w:rsid w:val="000B73DD"/>
    <w:rsid w:val="000C495F"/>
    <w:rsid w:val="000D58EC"/>
    <w:rsid w:val="000D66D9"/>
    <w:rsid w:val="000E17BF"/>
    <w:rsid w:val="000E6431"/>
    <w:rsid w:val="000F04F7"/>
    <w:rsid w:val="000F21A5"/>
    <w:rsid w:val="00102B9F"/>
    <w:rsid w:val="00105937"/>
    <w:rsid w:val="00107DE6"/>
    <w:rsid w:val="00107E1F"/>
    <w:rsid w:val="00111D72"/>
    <w:rsid w:val="00112637"/>
    <w:rsid w:val="00112ABC"/>
    <w:rsid w:val="0012001E"/>
    <w:rsid w:val="00122544"/>
    <w:rsid w:val="00126A55"/>
    <w:rsid w:val="00131250"/>
    <w:rsid w:val="00133F08"/>
    <w:rsid w:val="001345E6"/>
    <w:rsid w:val="001354E9"/>
    <w:rsid w:val="001373F6"/>
    <w:rsid w:val="001378B0"/>
    <w:rsid w:val="00142E00"/>
    <w:rsid w:val="00147B3B"/>
    <w:rsid w:val="00150067"/>
    <w:rsid w:val="00152793"/>
    <w:rsid w:val="00153B7E"/>
    <w:rsid w:val="001545A9"/>
    <w:rsid w:val="001616B4"/>
    <w:rsid w:val="00161B78"/>
    <w:rsid w:val="001637C7"/>
    <w:rsid w:val="0016480E"/>
    <w:rsid w:val="001677C5"/>
    <w:rsid w:val="00170DA2"/>
    <w:rsid w:val="00174297"/>
    <w:rsid w:val="0017430E"/>
    <w:rsid w:val="00175961"/>
    <w:rsid w:val="00180E06"/>
    <w:rsid w:val="001817B3"/>
    <w:rsid w:val="001826B0"/>
    <w:rsid w:val="00183014"/>
    <w:rsid w:val="0018659F"/>
    <w:rsid w:val="00186C3B"/>
    <w:rsid w:val="00186E0D"/>
    <w:rsid w:val="001959C2"/>
    <w:rsid w:val="00196BC6"/>
    <w:rsid w:val="001A51E3"/>
    <w:rsid w:val="001A7968"/>
    <w:rsid w:val="001B02A1"/>
    <w:rsid w:val="001B2E98"/>
    <w:rsid w:val="001B3483"/>
    <w:rsid w:val="001B3C1E"/>
    <w:rsid w:val="001B4494"/>
    <w:rsid w:val="001C0D8B"/>
    <w:rsid w:val="001C0DA8"/>
    <w:rsid w:val="001C3C02"/>
    <w:rsid w:val="001C4CBF"/>
    <w:rsid w:val="001D4508"/>
    <w:rsid w:val="001D4AD7"/>
    <w:rsid w:val="001D5C6F"/>
    <w:rsid w:val="001E0D8A"/>
    <w:rsid w:val="001E2D03"/>
    <w:rsid w:val="001E423F"/>
    <w:rsid w:val="001E67BA"/>
    <w:rsid w:val="001E74C2"/>
    <w:rsid w:val="001F33DF"/>
    <w:rsid w:val="001F4F82"/>
    <w:rsid w:val="001F5A48"/>
    <w:rsid w:val="001F6260"/>
    <w:rsid w:val="001F70F2"/>
    <w:rsid w:val="00200007"/>
    <w:rsid w:val="002030A5"/>
    <w:rsid w:val="00203131"/>
    <w:rsid w:val="00205708"/>
    <w:rsid w:val="002072E0"/>
    <w:rsid w:val="00207808"/>
    <w:rsid w:val="00212E88"/>
    <w:rsid w:val="00213C9C"/>
    <w:rsid w:val="0022009E"/>
    <w:rsid w:val="00221233"/>
    <w:rsid w:val="002218FA"/>
    <w:rsid w:val="00223241"/>
    <w:rsid w:val="0022425C"/>
    <w:rsid w:val="002246DE"/>
    <w:rsid w:val="00230D39"/>
    <w:rsid w:val="002429E2"/>
    <w:rsid w:val="00243D5A"/>
    <w:rsid w:val="00250627"/>
    <w:rsid w:val="00251892"/>
    <w:rsid w:val="00252BC4"/>
    <w:rsid w:val="00253AB2"/>
    <w:rsid w:val="00254014"/>
    <w:rsid w:val="00254884"/>
    <w:rsid w:val="00254B39"/>
    <w:rsid w:val="00255CA4"/>
    <w:rsid w:val="0025787B"/>
    <w:rsid w:val="0026504D"/>
    <w:rsid w:val="00266833"/>
    <w:rsid w:val="00273A2F"/>
    <w:rsid w:val="00280986"/>
    <w:rsid w:val="0028182D"/>
    <w:rsid w:val="00281ECE"/>
    <w:rsid w:val="002831C7"/>
    <w:rsid w:val="002840C6"/>
    <w:rsid w:val="0028437A"/>
    <w:rsid w:val="00295174"/>
    <w:rsid w:val="002957DE"/>
    <w:rsid w:val="00296172"/>
    <w:rsid w:val="00296B92"/>
    <w:rsid w:val="00297ACA"/>
    <w:rsid w:val="002A2C22"/>
    <w:rsid w:val="002A3154"/>
    <w:rsid w:val="002B02EB"/>
    <w:rsid w:val="002C0602"/>
    <w:rsid w:val="002C0E67"/>
    <w:rsid w:val="002C2199"/>
    <w:rsid w:val="002C3603"/>
    <w:rsid w:val="002D150F"/>
    <w:rsid w:val="002D5C16"/>
    <w:rsid w:val="002D7D91"/>
    <w:rsid w:val="002E50F7"/>
    <w:rsid w:val="002E609F"/>
    <w:rsid w:val="002E6A49"/>
    <w:rsid w:val="002E6BC1"/>
    <w:rsid w:val="002F2476"/>
    <w:rsid w:val="002F3DFF"/>
    <w:rsid w:val="002F4C32"/>
    <w:rsid w:val="002F5E05"/>
    <w:rsid w:val="00303BA4"/>
    <w:rsid w:val="00307A76"/>
    <w:rsid w:val="0031455E"/>
    <w:rsid w:val="00315A16"/>
    <w:rsid w:val="00317053"/>
    <w:rsid w:val="0032109C"/>
    <w:rsid w:val="00322B45"/>
    <w:rsid w:val="00323809"/>
    <w:rsid w:val="00323D41"/>
    <w:rsid w:val="00325414"/>
    <w:rsid w:val="003302F1"/>
    <w:rsid w:val="003307AD"/>
    <w:rsid w:val="0033730B"/>
    <w:rsid w:val="0034470E"/>
    <w:rsid w:val="00350CB9"/>
    <w:rsid w:val="003510C8"/>
    <w:rsid w:val="00352DB0"/>
    <w:rsid w:val="00353DE3"/>
    <w:rsid w:val="00355012"/>
    <w:rsid w:val="0035541A"/>
    <w:rsid w:val="00361063"/>
    <w:rsid w:val="0036145B"/>
    <w:rsid w:val="00363E30"/>
    <w:rsid w:val="00364792"/>
    <w:rsid w:val="0037094A"/>
    <w:rsid w:val="00371ED3"/>
    <w:rsid w:val="00372659"/>
    <w:rsid w:val="00372FFC"/>
    <w:rsid w:val="003756F8"/>
    <w:rsid w:val="0037728A"/>
    <w:rsid w:val="00380B7D"/>
    <w:rsid w:val="00381A99"/>
    <w:rsid w:val="003826BA"/>
    <w:rsid w:val="003829C2"/>
    <w:rsid w:val="003830B2"/>
    <w:rsid w:val="0038428F"/>
    <w:rsid w:val="00384724"/>
    <w:rsid w:val="003919B7"/>
    <w:rsid w:val="00391D57"/>
    <w:rsid w:val="00392292"/>
    <w:rsid w:val="00393052"/>
    <w:rsid w:val="00393CA9"/>
    <w:rsid w:val="00394F45"/>
    <w:rsid w:val="00397DDA"/>
    <w:rsid w:val="003A39D4"/>
    <w:rsid w:val="003A5927"/>
    <w:rsid w:val="003B1017"/>
    <w:rsid w:val="003B2EA1"/>
    <w:rsid w:val="003B3C07"/>
    <w:rsid w:val="003B6081"/>
    <w:rsid w:val="003B6775"/>
    <w:rsid w:val="003C26C3"/>
    <w:rsid w:val="003C3EDC"/>
    <w:rsid w:val="003C469F"/>
    <w:rsid w:val="003C5FE2"/>
    <w:rsid w:val="003D05FB"/>
    <w:rsid w:val="003D1B16"/>
    <w:rsid w:val="003D31BF"/>
    <w:rsid w:val="003D45BF"/>
    <w:rsid w:val="003D508A"/>
    <w:rsid w:val="003D537F"/>
    <w:rsid w:val="003D7B75"/>
    <w:rsid w:val="003E0208"/>
    <w:rsid w:val="003E4B57"/>
    <w:rsid w:val="003E6692"/>
    <w:rsid w:val="003F04FE"/>
    <w:rsid w:val="003F07DF"/>
    <w:rsid w:val="003F27E1"/>
    <w:rsid w:val="003F437A"/>
    <w:rsid w:val="003F5C2B"/>
    <w:rsid w:val="00402240"/>
    <w:rsid w:val="004023E9"/>
    <w:rsid w:val="00402B7E"/>
    <w:rsid w:val="0040454A"/>
    <w:rsid w:val="0040488C"/>
    <w:rsid w:val="00413F83"/>
    <w:rsid w:val="0041490C"/>
    <w:rsid w:val="00415754"/>
    <w:rsid w:val="00416191"/>
    <w:rsid w:val="00416721"/>
    <w:rsid w:val="00417614"/>
    <w:rsid w:val="00421EF0"/>
    <w:rsid w:val="004224FA"/>
    <w:rsid w:val="00423C69"/>
    <w:rsid w:val="00423D07"/>
    <w:rsid w:val="00425EFF"/>
    <w:rsid w:val="00427936"/>
    <w:rsid w:val="004313D7"/>
    <w:rsid w:val="00436744"/>
    <w:rsid w:val="004408EA"/>
    <w:rsid w:val="0044346F"/>
    <w:rsid w:val="00453FF6"/>
    <w:rsid w:val="004551B8"/>
    <w:rsid w:val="00460D9E"/>
    <w:rsid w:val="00464BA7"/>
    <w:rsid w:val="0046520A"/>
    <w:rsid w:val="004671C7"/>
    <w:rsid w:val="004672AB"/>
    <w:rsid w:val="004714FE"/>
    <w:rsid w:val="00473326"/>
    <w:rsid w:val="00477BAA"/>
    <w:rsid w:val="00477DD7"/>
    <w:rsid w:val="0048042F"/>
    <w:rsid w:val="00482ECF"/>
    <w:rsid w:val="00495053"/>
    <w:rsid w:val="004A052B"/>
    <w:rsid w:val="004A06F3"/>
    <w:rsid w:val="004A1F59"/>
    <w:rsid w:val="004A29BE"/>
    <w:rsid w:val="004A3225"/>
    <w:rsid w:val="004A33EE"/>
    <w:rsid w:val="004A3AA8"/>
    <w:rsid w:val="004B13C7"/>
    <w:rsid w:val="004B778F"/>
    <w:rsid w:val="004C0609"/>
    <w:rsid w:val="004C4787"/>
    <w:rsid w:val="004C6279"/>
    <w:rsid w:val="004C639F"/>
    <w:rsid w:val="004C6C94"/>
    <w:rsid w:val="004C73D4"/>
    <w:rsid w:val="004D141F"/>
    <w:rsid w:val="004D2742"/>
    <w:rsid w:val="004D6310"/>
    <w:rsid w:val="004E0062"/>
    <w:rsid w:val="004E05A1"/>
    <w:rsid w:val="004E5D76"/>
    <w:rsid w:val="004E6307"/>
    <w:rsid w:val="004E7F21"/>
    <w:rsid w:val="004F472A"/>
    <w:rsid w:val="004F5E57"/>
    <w:rsid w:val="004F6710"/>
    <w:rsid w:val="00500171"/>
    <w:rsid w:val="00500C3E"/>
    <w:rsid w:val="00502849"/>
    <w:rsid w:val="00504334"/>
    <w:rsid w:val="0050498D"/>
    <w:rsid w:val="005104D7"/>
    <w:rsid w:val="00510B9E"/>
    <w:rsid w:val="00511E5A"/>
    <w:rsid w:val="00515728"/>
    <w:rsid w:val="00516319"/>
    <w:rsid w:val="005358B9"/>
    <w:rsid w:val="00536BC2"/>
    <w:rsid w:val="00537C37"/>
    <w:rsid w:val="005425E1"/>
    <w:rsid w:val="005427C5"/>
    <w:rsid w:val="00542CF6"/>
    <w:rsid w:val="00544C26"/>
    <w:rsid w:val="0054525C"/>
    <w:rsid w:val="0054536D"/>
    <w:rsid w:val="00553055"/>
    <w:rsid w:val="00553C03"/>
    <w:rsid w:val="0055521C"/>
    <w:rsid w:val="005563EE"/>
    <w:rsid w:val="00560DDA"/>
    <w:rsid w:val="00561A8D"/>
    <w:rsid w:val="00563692"/>
    <w:rsid w:val="00571679"/>
    <w:rsid w:val="00572794"/>
    <w:rsid w:val="00574700"/>
    <w:rsid w:val="00582BF7"/>
    <w:rsid w:val="00584235"/>
    <w:rsid w:val="005844E7"/>
    <w:rsid w:val="005908B8"/>
    <w:rsid w:val="00592CC0"/>
    <w:rsid w:val="0059512E"/>
    <w:rsid w:val="005A6DD2"/>
    <w:rsid w:val="005B200E"/>
    <w:rsid w:val="005B641B"/>
    <w:rsid w:val="005B6A5C"/>
    <w:rsid w:val="005B73B7"/>
    <w:rsid w:val="005C385D"/>
    <w:rsid w:val="005D3B20"/>
    <w:rsid w:val="005D662C"/>
    <w:rsid w:val="005D6F14"/>
    <w:rsid w:val="005D71B7"/>
    <w:rsid w:val="005E08B9"/>
    <w:rsid w:val="005E4759"/>
    <w:rsid w:val="005E5C68"/>
    <w:rsid w:val="005E5D99"/>
    <w:rsid w:val="005E65C0"/>
    <w:rsid w:val="005F0390"/>
    <w:rsid w:val="005F332B"/>
    <w:rsid w:val="00600348"/>
    <w:rsid w:val="006009B9"/>
    <w:rsid w:val="00601FCB"/>
    <w:rsid w:val="006072CD"/>
    <w:rsid w:val="00607604"/>
    <w:rsid w:val="0061040D"/>
    <w:rsid w:val="00612023"/>
    <w:rsid w:val="00612595"/>
    <w:rsid w:val="00614190"/>
    <w:rsid w:val="006228AD"/>
    <w:rsid w:val="00622A99"/>
    <w:rsid w:val="00622DD6"/>
    <w:rsid w:val="00622E67"/>
    <w:rsid w:val="00626B57"/>
    <w:rsid w:val="00626D58"/>
    <w:rsid w:val="00626DBB"/>
    <w:rsid w:val="00626EDC"/>
    <w:rsid w:val="00632327"/>
    <w:rsid w:val="0064488E"/>
    <w:rsid w:val="006452D3"/>
    <w:rsid w:val="006470EC"/>
    <w:rsid w:val="006502FD"/>
    <w:rsid w:val="00650F45"/>
    <w:rsid w:val="00653B4F"/>
    <w:rsid w:val="006542D6"/>
    <w:rsid w:val="00654646"/>
    <w:rsid w:val="0065484E"/>
    <w:rsid w:val="0065598E"/>
    <w:rsid w:val="00655AF2"/>
    <w:rsid w:val="00655BC5"/>
    <w:rsid w:val="006568BE"/>
    <w:rsid w:val="0066025D"/>
    <w:rsid w:val="0066091A"/>
    <w:rsid w:val="00660D3D"/>
    <w:rsid w:val="0066294D"/>
    <w:rsid w:val="006648BE"/>
    <w:rsid w:val="00672612"/>
    <w:rsid w:val="00672BCD"/>
    <w:rsid w:val="00674F55"/>
    <w:rsid w:val="00676EA4"/>
    <w:rsid w:val="006773EC"/>
    <w:rsid w:val="00680504"/>
    <w:rsid w:val="00681CD9"/>
    <w:rsid w:val="00682F49"/>
    <w:rsid w:val="00683E30"/>
    <w:rsid w:val="00685278"/>
    <w:rsid w:val="00687024"/>
    <w:rsid w:val="00695E22"/>
    <w:rsid w:val="006A35BE"/>
    <w:rsid w:val="006A6811"/>
    <w:rsid w:val="006B7093"/>
    <w:rsid w:val="006B7417"/>
    <w:rsid w:val="006B7FA8"/>
    <w:rsid w:val="006C218C"/>
    <w:rsid w:val="006C6EA4"/>
    <w:rsid w:val="006D2EE4"/>
    <w:rsid w:val="006D31F9"/>
    <w:rsid w:val="006D3691"/>
    <w:rsid w:val="006D79AC"/>
    <w:rsid w:val="006E5EF0"/>
    <w:rsid w:val="006E7B9A"/>
    <w:rsid w:val="006F0436"/>
    <w:rsid w:val="006F3117"/>
    <w:rsid w:val="006F34A2"/>
    <w:rsid w:val="006F3563"/>
    <w:rsid w:val="006F42B9"/>
    <w:rsid w:val="006F519B"/>
    <w:rsid w:val="006F6103"/>
    <w:rsid w:val="007046D8"/>
    <w:rsid w:val="00704AA4"/>
    <w:rsid w:val="00704E00"/>
    <w:rsid w:val="007209E7"/>
    <w:rsid w:val="00721414"/>
    <w:rsid w:val="00726182"/>
    <w:rsid w:val="00727635"/>
    <w:rsid w:val="00732329"/>
    <w:rsid w:val="007337CA"/>
    <w:rsid w:val="00734CE4"/>
    <w:rsid w:val="00735123"/>
    <w:rsid w:val="0073684B"/>
    <w:rsid w:val="00741837"/>
    <w:rsid w:val="00742CBC"/>
    <w:rsid w:val="00743CEB"/>
    <w:rsid w:val="007453E6"/>
    <w:rsid w:val="007514F7"/>
    <w:rsid w:val="0075233A"/>
    <w:rsid w:val="00752C9A"/>
    <w:rsid w:val="00754789"/>
    <w:rsid w:val="00770453"/>
    <w:rsid w:val="00770C2A"/>
    <w:rsid w:val="0077309D"/>
    <w:rsid w:val="00776824"/>
    <w:rsid w:val="0077717D"/>
    <w:rsid w:val="007774EE"/>
    <w:rsid w:val="00781822"/>
    <w:rsid w:val="00783F21"/>
    <w:rsid w:val="007850CD"/>
    <w:rsid w:val="007861D4"/>
    <w:rsid w:val="00786362"/>
    <w:rsid w:val="00786AE0"/>
    <w:rsid w:val="00787159"/>
    <w:rsid w:val="0079043A"/>
    <w:rsid w:val="00790D35"/>
    <w:rsid w:val="00791668"/>
    <w:rsid w:val="00791AA1"/>
    <w:rsid w:val="0079519C"/>
    <w:rsid w:val="007A3793"/>
    <w:rsid w:val="007B197D"/>
    <w:rsid w:val="007B3DAD"/>
    <w:rsid w:val="007B5AD3"/>
    <w:rsid w:val="007C1BA2"/>
    <w:rsid w:val="007C2B48"/>
    <w:rsid w:val="007C7C3A"/>
    <w:rsid w:val="007D078B"/>
    <w:rsid w:val="007D20E9"/>
    <w:rsid w:val="007D7881"/>
    <w:rsid w:val="007D7E3A"/>
    <w:rsid w:val="007E05B7"/>
    <w:rsid w:val="007E0E10"/>
    <w:rsid w:val="007E35AA"/>
    <w:rsid w:val="007E4768"/>
    <w:rsid w:val="007E777B"/>
    <w:rsid w:val="007F2070"/>
    <w:rsid w:val="007F48E4"/>
    <w:rsid w:val="007F63C1"/>
    <w:rsid w:val="00801B14"/>
    <w:rsid w:val="008053F5"/>
    <w:rsid w:val="00807AF7"/>
    <w:rsid w:val="00810198"/>
    <w:rsid w:val="00810E5E"/>
    <w:rsid w:val="00815DA8"/>
    <w:rsid w:val="0082194D"/>
    <w:rsid w:val="008221F9"/>
    <w:rsid w:val="00826EF5"/>
    <w:rsid w:val="00831693"/>
    <w:rsid w:val="00835CEB"/>
    <w:rsid w:val="008379FC"/>
    <w:rsid w:val="00840104"/>
    <w:rsid w:val="00840C1F"/>
    <w:rsid w:val="008411C9"/>
    <w:rsid w:val="00841FC5"/>
    <w:rsid w:val="0084293C"/>
    <w:rsid w:val="00843D0F"/>
    <w:rsid w:val="00844FEA"/>
    <w:rsid w:val="008450A5"/>
    <w:rsid w:val="00845709"/>
    <w:rsid w:val="008576BD"/>
    <w:rsid w:val="00857CF9"/>
    <w:rsid w:val="00857D49"/>
    <w:rsid w:val="00860463"/>
    <w:rsid w:val="00861454"/>
    <w:rsid w:val="00864702"/>
    <w:rsid w:val="00872E93"/>
    <w:rsid w:val="008733DA"/>
    <w:rsid w:val="008850E4"/>
    <w:rsid w:val="00886CB0"/>
    <w:rsid w:val="0088774D"/>
    <w:rsid w:val="008912CF"/>
    <w:rsid w:val="00891752"/>
    <w:rsid w:val="008939AB"/>
    <w:rsid w:val="008A12F5"/>
    <w:rsid w:val="008A4A1D"/>
    <w:rsid w:val="008A5E4F"/>
    <w:rsid w:val="008B1587"/>
    <w:rsid w:val="008B1B01"/>
    <w:rsid w:val="008B3BCD"/>
    <w:rsid w:val="008B56E7"/>
    <w:rsid w:val="008B673D"/>
    <w:rsid w:val="008B6DF8"/>
    <w:rsid w:val="008C09F7"/>
    <w:rsid w:val="008C106C"/>
    <w:rsid w:val="008C10F1"/>
    <w:rsid w:val="008C1926"/>
    <w:rsid w:val="008C1E99"/>
    <w:rsid w:val="008D3017"/>
    <w:rsid w:val="008E0085"/>
    <w:rsid w:val="008E2AA6"/>
    <w:rsid w:val="008E2F6C"/>
    <w:rsid w:val="008E311B"/>
    <w:rsid w:val="008F0928"/>
    <w:rsid w:val="008F228F"/>
    <w:rsid w:val="008F46E7"/>
    <w:rsid w:val="008F64CA"/>
    <w:rsid w:val="008F6F0B"/>
    <w:rsid w:val="008F7E4B"/>
    <w:rsid w:val="00907BA7"/>
    <w:rsid w:val="0091064E"/>
    <w:rsid w:val="00911FC5"/>
    <w:rsid w:val="00914A3F"/>
    <w:rsid w:val="00917FF0"/>
    <w:rsid w:val="00921C6D"/>
    <w:rsid w:val="00926F0F"/>
    <w:rsid w:val="0093096F"/>
    <w:rsid w:val="00931A10"/>
    <w:rsid w:val="00933144"/>
    <w:rsid w:val="0094634C"/>
    <w:rsid w:val="00946520"/>
    <w:rsid w:val="00947967"/>
    <w:rsid w:val="009509A6"/>
    <w:rsid w:val="0095125B"/>
    <w:rsid w:val="00951C06"/>
    <w:rsid w:val="009522FE"/>
    <w:rsid w:val="009529AC"/>
    <w:rsid w:val="00955201"/>
    <w:rsid w:val="00965200"/>
    <w:rsid w:val="009668B3"/>
    <w:rsid w:val="009712CE"/>
    <w:rsid w:val="00971471"/>
    <w:rsid w:val="00976134"/>
    <w:rsid w:val="0098034D"/>
    <w:rsid w:val="009845B6"/>
    <w:rsid w:val="009849C2"/>
    <w:rsid w:val="00984D24"/>
    <w:rsid w:val="009858EB"/>
    <w:rsid w:val="00992896"/>
    <w:rsid w:val="009A3F47"/>
    <w:rsid w:val="009A6D50"/>
    <w:rsid w:val="009A76A0"/>
    <w:rsid w:val="009B0046"/>
    <w:rsid w:val="009B1843"/>
    <w:rsid w:val="009B6402"/>
    <w:rsid w:val="009C1440"/>
    <w:rsid w:val="009C2107"/>
    <w:rsid w:val="009C5D9E"/>
    <w:rsid w:val="009C66B3"/>
    <w:rsid w:val="009C6F4B"/>
    <w:rsid w:val="009D2C3E"/>
    <w:rsid w:val="009E0625"/>
    <w:rsid w:val="009E3034"/>
    <w:rsid w:val="009E549F"/>
    <w:rsid w:val="009F04F7"/>
    <w:rsid w:val="009F28A8"/>
    <w:rsid w:val="009F2D16"/>
    <w:rsid w:val="009F473E"/>
    <w:rsid w:val="009F5247"/>
    <w:rsid w:val="009F682A"/>
    <w:rsid w:val="00A022BE"/>
    <w:rsid w:val="00A039F3"/>
    <w:rsid w:val="00A04BB5"/>
    <w:rsid w:val="00A07B4B"/>
    <w:rsid w:val="00A1791B"/>
    <w:rsid w:val="00A2128C"/>
    <w:rsid w:val="00A22A47"/>
    <w:rsid w:val="00A24C95"/>
    <w:rsid w:val="00A2502D"/>
    <w:rsid w:val="00A2599A"/>
    <w:rsid w:val="00A26094"/>
    <w:rsid w:val="00A301BF"/>
    <w:rsid w:val="00A302B2"/>
    <w:rsid w:val="00A32DD8"/>
    <w:rsid w:val="00A331B4"/>
    <w:rsid w:val="00A341AC"/>
    <w:rsid w:val="00A3484E"/>
    <w:rsid w:val="00A356D3"/>
    <w:rsid w:val="00A36ADA"/>
    <w:rsid w:val="00A37C4D"/>
    <w:rsid w:val="00A438D8"/>
    <w:rsid w:val="00A473F5"/>
    <w:rsid w:val="00A51F9D"/>
    <w:rsid w:val="00A54096"/>
    <w:rsid w:val="00A5416A"/>
    <w:rsid w:val="00A63762"/>
    <w:rsid w:val="00A639F4"/>
    <w:rsid w:val="00A64513"/>
    <w:rsid w:val="00A65864"/>
    <w:rsid w:val="00A65FAE"/>
    <w:rsid w:val="00A76A03"/>
    <w:rsid w:val="00A81A32"/>
    <w:rsid w:val="00A835BD"/>
    <w:rsid w:val="00A97B15"/>
    <w:rsid w:val="00AA42D5"/>
    <w:rsid w:val="00AA622A"/>
    <w:rsid w:val="00AB2D62"/>
    <w:rsid w:val="00AB2FAB"/>
    <w:rsid w:val="00AB5C14"/>
    <w:rsid w:val="00AB72B4"/>
    <w:rsid w:val="00AB7983"/>
    <w:rsid w:val="00AB7D4C"/>
    <w:rsid w:val="00AC0011"/>
    <w:rsid w:val="00AC1EE7"/>
    <w:rsid w:val="00AC333F"/>
    <w:rsid w:val="00AC585C"/>
    <w:rsid w:val="00AD1925"/>
    <w:rsid w:val="00AD36BB"/>
    <w:rsid w:val="00AD3B0B"/>
    <w:rsid w:val="00AE018D"/>
    <w:rsid w:val="00AE067D"/>
    <w:rsid w:val="00AF1181"/>
    <w:rsid w:val="00AF2906"/>
    <w:rsid w:val="00AF2F79"/>
    <w:rsid w:val="00AF4653"/>
    <w:rsid w:val="00AF601F"/>
    <w:rsid w:val="00AF7DB7"/>
    <w:rsid w:val="00B03161"/>
    <w:rsid w:val="00B068F6"/>
    <w:rsid w:val="00B10588"/>
    <w:rsid w:val="00B10D02"/>
    <w:rsid w:val="00B13F1A"/>
    <w:rsid w:val="00B201E2"/>
    <w:rsid w:val="00B222C6"/>
    <w:rsid w:val="00B25C30"/>
    <w:rsid w:val="00B30CBF"/>
    <w:rsid w:val="00B31B7D"/>
    <w:rsid w:val="00B33324"/>
    <w:rsid w:val="00B443E4"/>
    <w:rsid w:val="00B5484D"/>
    <w:rsid w:val="00B563EA"/>
    <w:rsid w:val="00B56CDF"/>
    <w:rsid w:val="00B60E51"/>
    <w:rsid w:val="00B63A54"/>
    <w:rsid w:val="00B74B3E"/>
    <w:rsid w:val="00B76DDF"/>
    <w:rsid w:val="00B77D18"/>
    <w:rsid w:val="00B8313A"/>
    <w:rsid w:val="00B84009"/>
    <w:rsid w:val="00B8701D"/>
    <w:rsid w:val="00B90A4E"/>
    <w:rsid w:val="00B90DD1"/>
    <w:rsid w:val="00B91164"/>
    <w:rsid w:val="00B923F7"/>
    <w:rsid w:val="00B92ACA"/>
    <w:rsid w:val="00B93503"/>
    <w:rsid w:val="00BA0C72"/>
    <w:rsid w:val="00BA31E8"/>
    <w:rsid w:val="00BA55E0"/>
    <w:rsid w:val="00BA6BD4"/>
    <w:rsid w:val="00BA6C7A"/>
    <w:rsid w:val="00BB17D1"/>
    <w:rsid w:val="00BB3752"/>
    <w:rsid w:val="00BB6688"/>
    <w:rsid w:val="00BC0496"/>
    <w:rsid w:val="00BC180E"/>
    <w:rsid w:val="00BC26D4"/>
    <w:rsid w:val="00BC4346"/>
    <w:rsid w:val="00BC5778"/>
    <w:rsid w:val="00BD238E"/>
    <w:rsid w:val="00BD69D1"/>
    <w:rsid w:val="00BE0C80"/>
    <w:rsid w:val="00BE5996"/>
    <w:rsid w:val="00BF2A42"/>
    <w:rsid w:val="00BF4D93"/>
    <w:rsid w:val="00C01852"/>
    <w:rsid w:val="00C01F20"/>
    <w:rsid w:val="00C03D8C"/>
    <w:rsid w:val="00C055EC"/>
    <w:rsid w:val="00C056D5"/>
    <w:rsid w:val="00C06018"/>
    <w:rsid w:val="00C10DC9"/>
    <w:rsid w:val="00C119C9"/>
    <w:rsid w:val="00C12FB3"/>
    <w:rsid w:val="00C17341"/>
    <w:rsid w:val="00C22500"/>
    <w:rsid w:val="00C24EEF"/>
    <w:rsid w:val="00C25CF6"/>
    <w:rsid w:val="00C26C36"/>
    <w:rsid w:val="00C26E22"/>
    <w:rsid w:val="00C27EF7"/>
    <w:rsid w:val="00C32768"/>
    <w:rsid w:val="00C35DFC"/>
    <w:rsid w:val="00C3727C"/>
    <w:rsid w:val="00C42935"/>
    <w:rsid w:val="00C431DF"/>
    <w:rsid w:val="00C456BD"/>
    <w:rsid w:val="00C45A22"/>
    <w:rsid w:val="00C460B3"/>
    <w:rsid w:val="00C4661D"/>
    <w:rsid w:val="00C530DC"/>
    <w:rsid w:val="00C5350D"/>
    <w:rsid w:val="00C53A4D"/>
    <w:rsid w:val="00C545F0"/>
    <w:rsid w:val="00C55684"/>
    <w:rsid w:val="00C6123C"/>
    <w:rsid w:val="00C6311A"/>
    <w:rsid w:val="00C64EB8"/>
    <w:rsid w:val="00C66C10"/>
    <w:rsid w:val="00C672B6"/>
    <w:rsid w:val="00C70097"/>
    <w:rsid w:val="00C7084D"/>
    <w:rsid w:val="00C70B80"/>
    <w:rsid w:val="00C72A47"/>
    <w:rsid w:val="00C7315E"/>
    <w:rsid w:val="00C73F24"/>
    <w:rsid w:val="00C7541C"/>
    <w:rsid w:val="00C75895"/>
    <w:rsid w:val="00C83C9F"/>
    <w:rsid w:val="00C874F3"/>
    <w:rsid w:val="00C92CBC"/>
    <w:rsid w:val="00C94519"/>
    <w:rsid w:val="00C94840"/>
    <w:rsid w:val="00CA1E71"/>
    <w:rsid w:val="00CA277D"/>
    <w:rsid w:val="00CA49CC"/>
    <w:rsid w:val="00CA4EE3"/>
    <w:rsid w:val="00CB027F"/>
    <w:rsid w:val="00CB27BF"/>
    <w:rsid w:val="00CB58AA"/>
    <w:rsid w:val="00CC07A8"/>
    <w:rsid w:val="00CC0EBB"/>
    <w:rsid w:val="00CC6297"/>
    <w:rsid w:val="00CC7690"/>
    <w:rsid w:val="00CD1986"/>
    <w:rsid w:val="00CD54BF"/>
    <w:rsid w:val="00CE3501"/>
    <w:rsid w:val="00CE4D5C"/>
    <w:rsid w:val="00CE6AF4"/>
    <w:rsid w:val="00CF05DA"/>
    <w:rsid w:val="00CF35FD"/>
    <w:rsid w:val="00CF58EB"/>
    <w:rsid w:val="00CF6FEC"/>
    <w:rsid w:val="00D0106E"/>
    <w:rsid w:val="00D03EFE"/>
    <w:rsid w:val="00D06383"/>
    <w:rsid w:val="00D122FF"/>
    <w:rsid w:val="00D20D26"/>
    <w:rsid w:val="00D20E85"/>
    <w:rsid w:val="00D24615"/>
    <w:rsid w:val="00D26C5D"/>
    <w:rsid w:val="00D339A8"/>
    <w:rsid w:val="00D346C9"/>
    <w:rsid w:val="00D37842"/>
    <w:rsid w:val="00D41ADC"/>
    <w:rsid w:val="00D42DC2"/>
    <w:rsid w:val="00D4302B"/>
    <w:rsid w:val="00D43DD6"/>
    <w:rsid w:val="00D479FF"/>
    <w:rsid w:val="00D537E1"/>
    <w:rsid w:val="00D55BB2"/>
    <w:rsid w:val="00D6091A"/>
    <w:rsid w:val="00D619AA"/>
    <w:rsid w:val="00D620F7"/>
    <w:rsid w:val="00D64A53"/>
    <w:rsid w:val="00D65228"/>
    <w:rsid w:val="00D6605A"/>
    <w:rsid w:val="00D6695F"/>
    <w:rsid w:val="00D75644"/>
    <w:rsid w:val="00D81656"/>
    <w:rsid w:val="00D8350F"/>
    <w:rsid w:val="00D83D87"/>
    <w:rsid w:val="00D84A6D"/>
    <w:rsid w:val="00D86A30"/>
    <w:rsid w:val="00D97CB4"/>
    <w:rsid w:val="00D97DD4"/>
    <w:rsid w:val="00DA3104"/>
    <w:rsid w:val="00DA42E1"/>
    <w:rsid w:val="00DA5A8A"/>
    <w:rsid w:val="00DB0021"/>
    <w:rsid w:val="00DB1170"/>
    <w:rsid w:val="00DB26CD"/>
    <w:rsid w:val="00DB441C"/>
    <w:rsid w:val="00DB44AF"/>
    <w:rsid w:val="00DB6365"/>
    <w:rsid w:val="00DC1F58"/>
    <w:rsid w:val="00DC23E7"/>
    <w:rsid w:val="00DC339B"/>
    <w:rsid w:val="00DC5D40"/>
    <w:rsid w:val="00DC6890"/>
    <w:rsid w:val="00DC69A7"/>
    <w:rsid w:val="00DC6ABC"/>
    <w:rsid w:val="00DD30E9"/>
    <w:rsid w:val="00DD4F47"/>
    <w:rsid w:val="00DD7FBB"/>
    <w:rsid w:val="00DE0372"/>
    <w:rsid w:val="00DE0980"/>
    <w:rsid w:val="00DE0B9F"/>
    <w:rsid w:val="00DE2A9E"/>
    <w:rsid w:val="00DE351B"/>
    <w:rsid w:val="00DE4238"/>
    <w:rsid w:val="00DE5E36"/>
    <w:rsid w:val="00DE657F"/>
    <w:rsid w:val="00DF1218"/>
    <w:rsid w:val="00DF4C70"/>
    <w:rsid w:val="00DF6462"/>
    <w:rsid w:val="00E0238B"/>
    <w:rsid w:val="00E02FA0"/>
    <w:rsid w:val="00E036DC"/>
    <w:rsid w:val="00E06374"/>
    <w:rsid w:val="00E10454"/>
    <w:rsid w:val="00E112E5"/>
    <w:rsid w:val="00E122D8"/>
    <w:rsid w:val="00E12B64"/>
    <w:rsid w:val="00E12CC8"/>
    <w:rsid w:val="00E15352"/>
    <w:rsid w:val="00E21CC7"/>
    <w:rsid w:val="00E24D9E"/>
    <w:rsid w:val="00E25849"/>
    <w:rsid w:val="00E25D5B"/>
    <w:rsid w:val="00E3197E"/>
    <w:rsid w:val="00E342F8"/>
    <w:rsid w:val="00E351ED"/>
    <w:rsid w:val="00E407D6"/>
    <w:rsid w:val="00E42B19"/>
    <w:rsid w:val="00E42E07"/>
    <w:rsid w:val="00E54163"/>
    <w:rsid w:val="00E55B01"/>
    <w:rsid w:val="00E57C3F"/>
    <w:rsid w:val="00E6034B"/>
    <w:rsid w:val="00E6100C"/>
    <w:rsid w:val="00E639E4"/>
    <w:rsid w:val="00E6549E"/>
    <w:rsid w:val="00E65EDE"/>
    <w:rsid w:val="00E6642C"/>
    <w:rsid w:val="00E709B5"/>
    <w:rsid w:val="00E70F81"/>
    <w:rsid w:val="00E7312A"/>
    <w:rsid w:val="00E74C6B"/>
    <w:rsid w:val="00E75CBF"/>
    <w:rsid w:val="00E77055"/>
    <w:rsid w:val="00E77460"/>
    <w:rsid w:val="00E83ABC"/>
    <w:rsid w:val="00E844F2"/>
    <w:rsid w:val="00E90AD0"/>
    <w:rsid w:val="00E9232D"/>
    <w:rsid w:val="00E92FCB"/>
    <w:rsid w:val="00E94734"/>
    <w:rsid w:val="00E94FA6"/>
    <w:rsid w:val="00EA147F"/>
    <w:rsid w:val="00EA4A27"/>
    <w:rsid w:val="00EA4FA6"/>
    <w:rsid w:val="00EB1A25"/>
    <w:rsid w:val="00EB2781"/>
    <w:rsid w:val="00EB2EAF"/>
    <w:rsid w:val="00EB4AB4"/>
    <w:rsid w:val="00EC465D"/>
    <w:rsid w:val="00EC7363"/>
    <w:rsid w:val="00ED03AB"/>
    <w:rsid w:val="00ED1725"/>
    <w:rsid w:val="00ED1963"/>
    <w:rsid w:val="00ED1CD4"/>
    <w:rsid w:val="00ED1D2B"/>
    <w:rsid w:val="00ED4747"/>
    <w:rsid w:val="00ED64B5"/>
    <w:rsid w:val="00EE288C"/>
    <w:rsid w:val="00EE7CCA"/>
    <w:rsid w:val="00EF7592"/>
    <w:rsid w:val="00F00FCE"/>
    <w:rsid w:val="00F06E53"/>
    <w:rsid w:val="00F078F0"/>
    <w:rsid w:val="00F109A2"/>
    <w:rsid w:val="00F11CBC"/>
    <w:rsid w:val="00F149F5"/>
    <w:rsid w:val="00F16A14"/>
    <w:rsid w:val="00F174C8"/>
    <w:rsid w:val="00F17665"/>
    <w:rsid w:val="00F21EFD"/>
    <w:rsid w:val="00F22D87"/>
    <w:rsid w:val="00F25EB5"/>
    <w:rsid w:val="00F362D7"/>
    <w:rsid w:val="00F37D7B"/>
    <w:rsid w:val="00F40DB7"/>
    <w:rsid w:val="00F41384"/>
    <w:rsid w:val="00F4202F"/>
    <w:rsid w:val="00F45BBA"/>
    <w:rsid w:val="00F50095"/>
    <w:rsid w:val="00F50D51"/>
    <w:rsid w:val="00F518B5"/>
    <w:rsid w:val="00F52A4C"/>
    <w:rsid w:val="00F5314C"/>
    <w:rsid w:val="00F5688C"/>
    <w:rsid w:val="00F60048"/>
    <w:rsid w:val="00F607A6"/>
    <w:rsid w:val="00F60ADC"/>
    <w:rsid w:val="00F61D77"/>
    <w:rsid w:val="00F635DD"/>
    <w:rsid w:val="00F6627B"/>
    <w:rsid w:val="00F70E85"/>
    <w:rsid w:val="00F7336E"/>
    <w:rsid w:val="00F734F2"/>
    <w:rsid w:val="00F73628"/>
    <w:rsid w:val="00F75052"/>
    <w:rsid w:val="00F75818"/>
    <w:rsid w:val="00F804D3"/>
    <w:rsid w:val="00F816CB"/>
    <w:rsid w:val="00F81CD2"/>
    <w:rsid w:val="00F82641"/>
    <w:rsid w:val="00F90F18"/>
    <w:rsid w:val="00F937E4"/>
    <w:rsid w:val="00F95EE7"/>
    <w:rsid w:val="00FA124F"/>
    <w:rsid w:val="00FA39E6"/>
    <w:rsid w:val="00FA7BC9"/>
    <w:rsid w:val="00FB24BD"/>
    <w:rsid w:val="00FB378E"/>
    <w:rsid w:val="00FB37F1"/>
    <w:rsid w:val="00FB393D"/>
    <w:rsid w:val="00FB47C0"/>
    <w:rsid w:val="00FB501B"/>
    <w:rsid w:val="00FB69FC"/>
    <w:rsid w:val="00FB719A"/>
    <w:rsid w:val="00FB75A2"/>
    <w:rsid w:val="00FB7770"/>
    <w:rsid w:val="00FC3CBD"/>
    <w:rsid w:val="00FD3B91"/>
    <w:rsid w:val="00FD511B"/>
    <w:rsid w:val="00FD576B"/>
    <w:rsid w:val="00FD579E"/>
    <w:rsid w:val="00FD6845"/>
    <w:rsid w:val="00FE12A9"/>
    <w:rsid w:val="00FE4516"/>
    <w:rsid w:val="00FE64C8"/>
    <w:rsid w:val="00FE6F33"/>
    <w:rsid w:val="00FE7920"/>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character" w:customStyle="1" w:styleId="40">
    <w:name w:val="標題 4 字元"/>
    <w:aliases w:val="表格 字元,一 字元"/>
    <w:basedOn w:val="a7"/>
    <w:link w:val="4"/>
    <w:rsid w:val="00196BC6"/>
    <w:rPr>
      <w:rFonts w:ascii="標楷體" w:eastAsia="標楷體" w:hAnsi="Arial"/>
      <w:kern w:val="32"/>
      <w:sz w:val="32"/>
      <w:szCs w:val="36"/>
    </w:rPr>
  </w:style>
  <w:style w:type="paragraph" w:styleId="afc">
    <w:name w:val="footnote text"/>
    <w:basedOn w:val="a6"/>
    <w:link w:val="afd"/>
    <w:uiPriority w:val="99"/>
    <w:semiHidden/>
    <w:unhideWhenUsed/>
    <w:rsid w:val="00196BC6"/>
    <w:pPr>
      <w:snapToGrid w:val="0"/>
      <w:jc w:val="left"/>
    </w:pPr>
    <w:rPr>
      <w:sz w:val="20"/>
    </w:rPr>
  </w:style>
  <w:style w:type="character" w:customStyle="1" w:styleId="afd">
    <w:name w:val="註腳文字 字元"/>
    <w:basedOn w:val="a7"/>
    <w:link w:val="afc"/>
    <w:uiPriority w:val="99"/>
    <w:semiHidden/>
    <w:rsid w:val="00196BC6"/>
    <w:rPr>
      <w:rFonts w:ascii="標楷體" w:eastAsia="標楷體"/>
      <w:kern w:val="2"/>
    </w:rPr>
  </w:style>
  <w:style w:type="character" w:styleId="afe">
    <w:name w:val="footnote reference"/>
    <w:basedOn w:val="a7"/>
    <w:uiPriority w:val="99"/>
    <w:semiHidden/>
    <w:unhideWhenUsed/>
    <w:rsid w:val="00196BC6"/>
    <w:rPr>
      <w:vertAlign w:val="superscript"/>
    </w:rPr>
  </w:style>
  <w:style w:type="character" w:styleId="aff">
    <w:name w:val="Strong"/>
    <w:basedOn w:val="a7"/>
    <w:uiPriority w:val="22"/>
    <w:qFormat/>
    <w:rsid w:val="007E0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236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2701-FBE4-473B-A847-53333236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2025-05-19T07:05:00Z</dcterms:created>
  <dcterms:modified xsi:type="dcterms:W3CDTF">2025-06-23T06:04:00Z</dcterms:modified>
  <cp:contentStatus/>
</cp:coreProperties>
</file>