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C2D69B" w:themeColor="accent3" w:themeTint="99"/>
  <w:body>
    <w:p w:rsidR="00533117" w:rsidRPr="00E91F54" w:rsidRDefault="00533117" w:rsidP="00471BFB">
      <w:pPr>
        <w:pStyle w:val="af3"/>
        <w:rPr>
          <w:rFonts w:ascii="Times New Roman"/>
          <w:sz w:val="44"/>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Toc524892370"/>
      <w:bookmarkStart w:id="26" w:name="_Toc524895640"/>
      <w:bookmarkStart w:id="27" w:name="_Toc524896186"/>
      <w:bookmarkStart w:id="28" w:name="_Toc524896216"/>
      <w:bookmarkStart w:id="29" w:name="_Toc524902722"/>
      <w:bookmarkStart w:id="30" w:name="_Toc525066141"/>
      <w:bookmarkStart w:id="31" w:name="_Toc525070831"/>
      <w:bookmarkStart w:id="32" w:name="_Toc525938371"/>
      <w:bookmarkStart w:id="33" w:name="_Toc525939219"/>
      <w:bookmarkStart w:id="34" w:name="_Toc525939724"/>
      <w:bookmarkStart w:id="35" w:name="_Toc529218258"/>
      <w:bookmarkStart w:id="36" w:name="_Toc529222681"/>
      <w:bookmarkStart w:id="37" w:name="_Toc529223103"/>
      <w:bookmarkStart w:id="38" w:name="_Toc529223854"/>
      <w:bookmarkStart w:id="39" w:name="_Toc529228250"/>
      <w:bookmarkStart w:id="40" w:name="_Toc2400386"/>
      <w:bookmarkStart w:id="41" w:name="_Toc4316181"/>
      <w:bookmarkStart w:id="42" w:name="_Toc4473322"/>
      <w:bookmarkStart w:id="43" w:name="_Toc69556889"/>
      <w:bookmarkStart w:id="44" w:name="_Toc69556938"/>
      <w:bookmarkStart w:id="45" w:name="_Toc69609812"/>
      <w:bookmarkStart w:id="46" w:name="_Toc70241808"/>
      <w:bookmarkStart w:id="47" w:name="_Toc70242197"/>
      <w:bookmarkStart w:id="48" w:name="_Toc421794867"/>
      <w:bookmarkStart w:id="49" w:name="_Toc422834152"/>
      <w:r w:rsidRPr="00E91F54">
        <w:rPr>
          <w:rFonts w:ascii="Times New Roman"/>
        </w:rPr>
        <w:t>調查報告</w:t>
      </w:r>
    </w:p>
    <w:p w:rsidR="00EB5991" w:rsidRPr="00E91F54" w:rsidRDefault="00EB5991" w:rsidP="00383C9C">
      <w:pPr>
        <w:pStyle w:val="1"/>
        <w:numPr>
          <w:ilvl w:val="0"/>
          <w:numId w:val="1"/>
        </w:numPr>
        <w:ind w:left="2296" w:hanging="2296"/>
        <w:rPr>
          <w:rFonts w:ascii="Times New Roman" w:hAnsi="Times New Roman"/>
        </w:rPr>
      </w:pPr>
      <w:r w:rsidRPr="00E91F54">
        <w:rPr>
          <w:rFonts w:ascii="Times New Roman" w:hAnsi="Times New Roman"/>
        </w:rPr>
        <w:t>案　　由：</w:t>
      </w:r>
      <w:bookmarkEnd w:id="0"/>
      <w:bookmarkEnd w:id="1"/>
      <w:bookmarkEnd w:id="2"/>
      <w:bookmarkEnd w:id="3"/>
      <w:bookmarkEnd w:id="4"/>
      <w:bookmarkEnd w:id="5"/>
      <w:bookmarkEnd w:id="6"/>
      <w:bookmarkEnd w:id="7"/>
      <w:bookmarkEnd w:id="8"/>
      <w:bookmarkEnd w:id="9"/>
      <w:r w:rsidRPr="00E91F54">
        <w:rPr>
          <w:rFonts w:ascii="Times New Roman" w:hAnsi="Times New Roman"/>
        </w:rPr>
        <w:fldChar w:fldCharType="begin"/>
      </w:r>
      <w:r w:rsidRPr="00E91F54">
        <w:rPr>
          <w:rFonts w:ascii="Times New Roman" w:hAnsi="Times New Roman"/>
        </w:rPr>
        <w:instrText xml:space="preserve"> MERGEFIELD </w:instrText>
      </w:r>
      <w:r w:rsidRPr="00E91F54">
        <w:rPr>
          <w:rFonts w:ascii="Times New Roman" w:hAnsi="Times New Roman"/>
        </w:rPr>
        <w:instrText>案由</w:instrText>
      </w:r>
      <w:r w:rsidRPr="00E91F54">
        <w:rPr>
          <w:rFonts w:ascii="Times New Roman" w:hAnsi="Times New Roman"/>
        </w:rPr>
        <w:instrText xml:space="preserve"> </w:instrText>
      </w:r>
      <w:r w:rsidRPr="00E91F54">
        <w:rPr>
          <w:rFonts w:ascii="Times New Roman" w:hAnsi="Times New Roman"/>
        </w:rPr>
        <w:fldChar w:fldCharType="separate"/>
      </w:r>
      <w:bookmarkEnd w:id="11"/>
      <w:r w:rsidRPr="00E91F54">
        <w:rPr>
          <w:rFonts w:ascii="Times New Roman" w:hAnsi="Times New Roman"/>
          <w:noProof/>
        </w:rPr>
        <w:t>據審計部</w:t>
      </w:r>
      <w:r w:rsidRPr="00E91F54">
        <w:rPr>
          <w:rFonts w:ascii="Times New Roman" w:hAnsi="Times New Roman"/>
          <w:noProof/>
        </w:rPr>
        <w:t>112</w:t>
      </w:r>
      <w:r w:rsidRPr="00E91F54">
        <w:rPr>
          <w:rFonts w:ascii="Times New Roman" w:hAnsi="Times New Roman"/>
          <w:noProof/>
        </w:rPr>
        <w:t>年度中央政府總決算審核報告，政府為落實資源循環利用，向太陽光電業者收取模組回收費用，並推動綠能政策，容許農業設施及用地設置太陽光電發電設備，惟疑有模組回收費用未繳納金額龐鉅，及部分遭廢止之農電共生案場未積極清理等情案。</w:t>
      </w:r>
      <w:bookmarkEnd w:id="10"/>
      <w:r w:rsidRPr="00E91F54">
        <w:rPr>
          <w:rFonts w:ascii="Times New Roman" w:hAnsi="Times New Roman"/>
        </w:rPr>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E25849" w:rsidRPr="00E91F54" w:rsidRDefault="00E25849" w:rsidP="004E05A1">
      <w:pPr>
        <w:pStyle w:val="1"/>
        <w:ind w:left="2380" w:hanging="2380"/>
        <w:rPr>
          <w:rFonts w:ascii="Times New Roman" w:hAnsi="Times New Roman"/>
        </w:rPr>
      </w:pPr>
      <w:bookmarkStart w:id="50" w:name="_Toc524895646"/>
      <w:bookmarkStart w:id="51" w:name="_Toc524896192"/>
      <w:bookmarkStart w:id="52" w:name="_Toc524896222"/>
      <w:bookmarkStart w:id="53" w:name="_Toc524902729"/>
      <w:bookmarkStart w:id="54" w:name="_Toc525066145"/>
      <w:bookmarkStart w:id="55" w:name="_Toc525070836"/>
      <w:bookmarkStart w:id="56" w:name="_Toc525938376"/>
      <w:bookmarkStart w:id="57" w:name="_Toc525939224"/>
      <w:bookmarkStart w:id="58" w:name="_Toc525939729"/>
      <w:bookmarkStart w:id="59" w:name="_Toc529218269"/>
      <w:bookmarkStart w:id="60" w:name="_Toc529222686"/>
      <w:bookmarkStart w:id="61" w:name="_Toc529223108"/>
      <w:bookmarkStart w:id="62" w:name="_Toc529223859"/>
      <w:bookmarkStart w:id="63" w:name="_Toc529228262"/>
      <w:bookmarkStart w:id="64" w:name="_Toc2400392"/>
      <w:bookmarkStart w:id="65" w:name="_Toc4316186"/>
      <w:bookmarkStart w:id="66" w:name="_Toc4473327"/>
      <w:bookmarkStart w:id="67" w:name="_Toc69556894"/>
      <w:bookmarkStart w:id="68" w:name="_Toc69556943"/>
      <w:bookmarkStart w:id="69" w:name="_Toc69609817"/>
      <w:bookmarkStart w:id="70" w:name="_Toc70241813"/>
      <w:bookmarkStart w:id="71" w:name="_Toc70242202"/>
      <w:bookmarkStart w:id="72" w:name="_Toc421794872"/>
      <w:bookmarkStart w:id="73" w:name="_Toc422834157"/>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Pr="00E91F54">
        <w:rPr>
          <w:rFonts w:ascii="Times New Roman" w:hAnsi="Times New Roman"/>
        </w:rPr>
        <w:t>調查意見：</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4F6710" w:rsidRPr="00E91F54" w:rsidRDefault="003C32B5" w:rsidP="00A639F4">
      <w:pPr>
        <w:pStyle w:val="11"/>
        <w:ind w:left="680" w:firstLine="680"/>
        <w:rPr>
          <w:rFonts w:ascii="Times New Roman"/>
        </w:rPr>
      </w:pPr>
      <w:bookmarkStart w:id="74" w:name="_Toc524902730"/>
      <w:r w:rsidRPr="00E91F54">
        <w:rPr>
          <w:rFonts w:ascii="Times New Roman"/>
        </w:rPr>
        <w:t>本案經調閱審計部、經濟部暨所屬能源署、農業部、</w:t>
      </w:r>
      <w:proofErr w:type="gramStart"/>
      <w:r w:rsidRPr="00E91F54">
        <w:rPr>
          <w:rFonts w:ascii="Times New Roman"/>
        </w:rPr>
        <w:t>環境部暨所屬</w:t>
      </w:r>
      <w:proofErr w:type="gramEnd"/>
      <w:r w:rsidRPr="00E91F54">
        <w:rPr>
          <w:rFonts w:ascii="Times New Roman"/>
        </w:rPr>
        <w:t>資源循環署</w:t>
      </w:r>
      <w:r w:rsidR="00D85844" w:rsidRPr="00E91F54">
        <w:rPr>
          <w:rFonts w:ascii="Times New Roman" w:hint="eastAsia"/>
        </w:rPr>
        <w:t>（</w:t>
      </w:r>
      <w:r w:rsidRPr="00E91F54">
        <w:rPr>
          <w:rFonts w:ascii="Times New Roman"/>
        </w:rPr>
        <w:t>下稱</w:t>
      </w:r>
      <w:r w:rsidR="009B6CBC" w:rsidRPr="00E91F54">
        <w:rPr>
          <w:rFonts w:ascii="Times New Roman"/>
        </w:rPr>
        <w:t>環境部</w:t>
      </w:r>
      <w:r w:rsidRPr="00E91F54">
        <w:rPr>
          <w:rFonts w:ascii="Times New Roman"/>
        </w:rPr>
        <w:t>資循署</w:t>
      </w:r>
      <w:r w:rsidR="00D85844" w:rsidRPr="00E91F54">
        <w:rPr>
          <w:rFonts w:ascii="Times New Roman" w:hint="eastAsia"/>
        </w:rPr>
        <w:t>）</w:t>
      </w:r>
      <w:r w:rsidRPr="00E91F54">
        <w:rPr>
          <w:rFonts w:ascii="Times New Roman"/>
        </w:rPr>
        <w:t>、臺南</w:t>
      </w:r>
      <w:r w:rsidR="00F9447D" w:rsidRPr="00E91F54">
        <w:rPr>
          <w:rFonts w:ascii="Times New Roman"/>
        </w:rPr>
        <w:t>市</w:t>
      </w:r>
      <w:r w:rsidRPr="00E91F54">
        <w:rPr>
          <w:rFonts w:ascii="Times New Roman"/>
        </w:rPr>
        <w:t>政府等機關卷證資料</w:t>
      </w:r>
      <w:r w:rsidRPr="00E91F54">
        <w:rPr>
          <w:rStyle w:val="aff0"/>
        </w:rPr>
        <w:footnoteReference w:id="1"/>
      </w:r>
      <w:r w:rsidRPr="00E91F54">
        <w:rPr>
          <w:rFonts w:ascii="Times New Roman"/>
        </w:rPr>
        <w:t>，並函請農業部資源永續</w:t>
      </w:r>
      <w:r w:rsidR="008F7F91" w:rsidRPr="00E91F54">
        <w:rPr>
          <w:rFonts w:ascii="Times New Roman"/>
        </w:rPr>
        <w:t>利用</w:t>
      </w:r>
      <w:r w:rsidRPr="00E91F54">
        <w:rPr>
          <w:rFonts w:ascii="Times New Roman"/>
        </w:rPr>
        <w:t>司司長莊老達、</w:t>
      </w:r>
      <w:r w:rsidR="00B8276F" w:rsidRPr="00E91F54">
        <w:rPr>
          <w:rFonts w:ascii="Times New Roman"/>
        </w:rPr>
        <w:t>經濟部</w:t>
      </w:r>
      <w:r w:rsidRPr="00E91F54">
        <w:rPr>
          <w:rFonts w:ascii="Times New Roman"/>
        </w:rPr>
        <w:t>能源署代理署長李君禮、</w:t>
      </w:r>
      <w:r w:rsidR="00B8276F" w:rsidRPr="00E91F54">
        <w:rPr>
          <w:rFonts w:ascii="Times New Roman"/>
        </w:rPr>
        <w:t>環境</w:t>
      </w:r>
      <w:proofErr w:type="gramStart"/>
      <w:r w:rsidR="00B8276F" w:rsidRPr="00E91F54">
        <w:rPr>
          <w:rFonts w:ascii="Times New Roman"/>
        </w:rPr>
        <w:t>部</w:t>
      </w:r>
      <w:r w:rsidRPr="00E91F54">
        <w:rPr>
          <w:rFonts w:ascii="Times New Roman"/>
        </w:rPr>
        <w:t>資循</w:t>
      </w:r>
      <w:proofErr w:type="gramEnd"/>
      <w:r w:rsidRPr="00E91F54">
        <w:rPr>
          <w:rFonts w:ascii="Times New Roman"/>
        </w:rPr>
        <w:t>署副署長林健三、臺南市政府秘書長方</w:t>
      </w:r>
      <w:proofErr w:type="gramStart"/>
      <w:r w:rsidRPr="00E91F54">
        <w:rPr>
          <w:rFonts w:ascii="Times New Roman"/>
        </w:rPr>
        <w:t>進呈</w:t>
      </w:r>
      <w:proofErr w:type="gramEnd"/>
      <w:r w:rsidRPr="00E91F54">
        <w:rPr>
          <w:rFonts w:ascii="Times New Roman"/>
        </w:rPr>
        <w:t>率業務主管人員於民國</w:t>
      </w:r>
      <w:r w:rsidR="00D85844" w:rsidRPr="00E91F54">
        <w:rPr>
          <w:rFonts w:ascii="Times New Roman" w:hint="eastAsia"/>
        </w:rPr>
        <w:t>（</w:t>
      </w:r>
      <w:r w:rsidRPr="00E91F54">
        <w:rPr>
          <w:rFonts w:ascii="Times New Roman"/>
        </w:rPr>
        <w:t>下同</w:t>
      </w:r>
      <w:r w:rsidR="00D85844" w:rsidRPr="00E91F54">
        <w:rPr>
          <w:rFonts w:ascii="Times New Roman" w:hint="eastAsia"/>
        </w:rPr>
        <w:t>）</w:t>
      </w:r>
      <w:r w:rsidRPr="00E91F54">
        <w:rPr>
          <w:rFonts w:ascii="Times New Roman"/>
        </w:rPr>
        <w:t>114</w:t>
      </w:r>
      <w:r w:rsidRPr="00E91F54">
        <w:rPr>
          <w:rFonts w:ascii="Times New Roman"/>
        </w:rPr>
        <w:t>年</w:t>
      </w:r>
      <w:r w:rsidRPr="00E91F54">
        <w:rPr>
          <w:rFonts w:ascii="Times New Roman"/>
        </w:rPr>
        <w:t>4</w:t>
      </w:r>
      <w:r w:rsidRPr="00E91F54">
        <w:rPr>
          <w:rFonts w:ascii="Times New Roman"/>
        </w:rPr>
        <w:t>月</w:t>
      </w:r>
      <w:r w:rsidRPr="00E91F54">
        <w:rPr>
          <w:rFonts w:ascii="Times New Roman"/>
        </w:rPr>
        <w:t>10</w:t>
      </w:r>
      <w:r w:rsidRPr="00E91F54">
        <w:rPr>
          <w:rFonts w:ascii="Times New Roman"/>
        </w:rPr>
        <w:t>日到院接受詢問，</w:t>
      </w:r>
      <w:r w:rsidR="00761AE7" w:rsidRPr="00E91F54">
        <w:rPr>
          <w:rFonts w:ascii="Times New Roman" w:hint="eastAsia"/>
        </w:rPr>
        <w:t>業已調查完畢，</w:t>
      </w:r>
      <w:r w:rsidR="00307A76" w:rsidRPr="00E91F54">
        <w:rPr>
          <w:rFonts w:ascii="Times New Roman"/>
        </w:rPr>
        <w:t>茲臚</w:t>
      </w:r>
      <w:r w:rsidR="00FB501B" w:rsidRPr="00E91F54">
        <w:rPr>
          <w:rFonts w:ascii="Times New Roman"/>
        </w:rPr>
        <w:t>列調查意見如下：</w:t>
      </w:r>
    </w:p>
    <w:p w:rsidR="00964B91" w:rsidRPr="00E91F54" w:rsidRDefault="00964B91" w:rsidP="00C94A8E">
      <w:pPr>
        <w:pStyle w:val="2"/>
        <w:numPr>
          <w:ilvl w:val="1"/>
          <w:numId w:val="1"/>
        </w:numPr>
        <w:spacing w:beforeLines="50" w:before="228"/>
        <w:ind w:left="1020" w:hanging="680"/>
        <w:rPr>
          <w:rFonts w:ascii="Times New Roman" w:hAnsi="Times New Roman"/>
          <w:b/>
        </w:rPr>
      </w:pPr>
      <w:bookmarkStart w:id="75" w:name="_Hlk197414998"/>
      <w:bookmarkStart w:id="76" w:name="_Toc421794873"/>
      <w:bookmarkStart w:id="77" w:name="_Toc422834158"/>
      <w:r w:rsidRPr="00E91F54">
        <w:rPr>
          <w:rFonts w:ascii="Times New Roman" w:hAnsi="Times New Roman"/>
          <w:b/>
        </w:rPr>
        <w:t>經濟部</w:t>
      </w:r>
      <w:r w:rsidR="002669B1" w:rsidRPr="00E91F54">
        <w:rPr>
          <w:rFonts w:ascii="Times New Roman" w:hAnsi="Times New Roman" w:hint="eastAsia"/>
          <w:b/>
        </w:rPr>
        <w:t>能源署</w:t>
      </w:r>
      <w:r w:rsidR="008A269A" w:rsidRPr="00E91F54">
        <w:rPr>
          <w:rFonts w:ascii="Times New Roman" w:hAnsi="Times New Roman"/>
          <w:b/>
        </w:rPr>
        <w:t>推動再生能源</w:t>
      </w:r>
      <w:r w:rsidR="00E87D20" w:rsidRPr="00E91F54">
        <w:rPr>
          <w:rFonts w:ascii="Times New Roman" w:hAnsi="Times New Roman" w:hint="eastAsia"/>
          <w:b/>
        </w:rPr>
        <w:t>設置</w:t>
      </w:r>
      <w:r w:rsidR="008A269A" w:rsidRPr="00E91F54">
        <w:rPr>
          <w:rFonts w:ascii="Times New Roman" w:hAnsi="Times New Roman"/>
          <w:b/>
        </w:rPr>
        <w:t>以太陽光電為</w:t>
      </w:r>
      <w:proofErr w:type="gramStart"/>
      <w:r w:rsidR="008A269A" w:rsidRPr="00E91F54">
        <w:rPr>
          <w:rFonts w:ascii="Times New Roman" w:hAnsi="Times New Roman"/>
          <w:b/>
        </w:rPr>
        <w:t>大宗，</w:t>
      </w:r>
      <w:proofErr w:type="gramEnd"/>
      <w:r w:rsidRPr="00E91F54">
        <w:rPr>
          <w:rFonts w:ascii="Times New Roman" w:hAnsi="Times New Roman"/>
          <w:b/>
        </w:rPr>
        <w:t>為因應太陽光電模組汰役處理，</w:t>
      </w:r>
      <w:r w:rsidR="00025B03" w:rsidRPr="00E91F54">
        <w:rPr>
          <w:rFonts w:ascii="Times New Roman" w:hAnsi="Times New Roman"/>
          <w:b/>
        </w:rPr>
        <w:t>落實資源循環利用</w:t>
      </w:r>
      <w:r w:rsidR="0016634E" w:rsidRPr="00E91F54">
        <w:rPr>
          <w:rFonts w:ascii="Times New Roman" w:hAnsi="Times New Roman"/>
          <w:b/>
        </w:rPr>
        <w:t>及</w:t>
      </w:r>
      <w:r w:rsidR="009A160C" w:rsidRPr="00E91F54">
        <w:rPr>
          <w:rFonts w:ascii="Times New Roman" w:hAnsi="Times New Roman"/>
          <w:b/>
        </w:rPr>
        <w:t>使用者付費精神</w:t>
      </w:r>
      <w:r w:rsidR="006C70C5" w:rsidRPr="00E91F54">
        <w:rPr>
          <w:rFonts w:ascii="Times New Roman" w:hAnsi="Times New Roman"/>
          <w:b/>
        </w:rPr>
        <w:t>，</w:t>
      </w:r>
      <w:proofErr w:type="gramStart"/>
      <w:r w:rsidR="006C70C5" w:rsidRPr="00E91F54">
        <w:rPr>
          <w:rFonts w:ascii="Times New Roman" w:hAnsi="Times New Roman"/>
          <w:b/>
        </w:rPr>
        <w:t>於躉購費</w:t>
      </w:r>
      <w:proofErr w:type="gramEnd"/>
      <w:r w:rsidR="006C70C5" w:rsidRPr="00E91F54">
        <w:rPr>
          <w:rFonts w:ascii="Times New Roman" w:hAnsi="Times New Roman"/>
          <w:b/>
        </w:rPr>
        <w:t>率外加模組回收費每度</w:t>
      </w:r>
      <w:r w:rsidR="00E87D20" w:rsidRPr="00E91F54">
        <w:rPr>
          <w:rFonts w:ascii="Times New Roman" w:hAnsi="Times New Roman"/>
          <w:b/>
        </w:rPr>
        <w:t>新</w:t>
      </w:r>
      <w:r w:rsidR="00E87D20" w:rsidRPr="00E91F54">
        <w:rPr>
          <w:rFonts w:ascii="Times New Roman" w:hAnsi="Times New Roman"/>
          <w:b/>
          <w:spacing w:val="-2"/>
        </w:rPr>
        <w:t>臺幣（下同）</w:t>
      </w:r>
      <w:r w:rsidR="006C70C5" w:rsidRPr="00E91F54">
        <w:rPr>
          <w:rFonts w:ascii="Times New Roman" w:hAnsi="Times New Roman"/>
          <w:b/>
          <w:spacing w:val="-2"/>
        </w:rPr>
        <w:t>0.</w:t>
      </w:r>
      <w:r w:rsidR="00896D64">
        <w:rPr>
          <w:rFonts w:ascii="Times New Roman" w:hAnsi="Times New Roman"/>
          <w:b/>
          <w:spacing w:val="-2"/>
        </w:rPr>
        <w:t>0</w:t>
      </w:r>
      <w:r w:rsidR="006C70C5" w:rsidRPr="00E91F54">
        <w:rPr>
          <w:rFonts w:ascii="Times New Roman" w:hAnsi="Times New Roman"/>
          <w:b/>
          <w:spacing w:val="-2"/>
        </w:rPr>
        <w:t>656</w:t>
      </w:r>
      <w:r w:rsidR="006C70C5" w:rsidRPr="00E91F54">
        <w:rPr>
          <w:rFonts w:ascii="Times New Roman" w:hAnsi="Times New Roman"/>
          <w:b/>
          <w:spacing w:val="-2"/>
        </w:rPr>
        <w:t>元予</w:t>
      </w:r>
      <w:r w:rsidR="00E87D20" w:rsidRPr="00E91F54">
        <w:rPr>
          <w:rFonts w:ascii="Times New Roman" w:hAnsi="Times New Roman" w:hint="eastAsia"/>
          <w:b/>
          <w:spacing w:val="-2"/>
        </w:rPr>
        <w:t>光電</w:t>
      </w:r>
      <w:r w:rsidR="006C70C5" w:rsidRPr="00E91F54">
        <w:rPr>
          <w:rFonts w:ascii="Times New Roman" w:hAnsi="Times New Roman"/>
          <w:b/>
          <w:spacing w:val="-2"/>
        </w:rPr>
        <w:t>業者，而後「再」向業者收取模組回收費用，</w:t>
      </w:r>
      <w:r w:rsidRPr="00E91F54">
        <w:rPr>
          <w:rFonts w:ascii="Times New Roman" w:hAnsi="Times New Roman"/>
          <w:b/>
          <w:spacing w:val="-2"/>
        </w:rPr>
        <w:t>惟</w:t>
      </w:r>
      <w:r w:rsidR="007849D2" w:rsidRPr="00E91F54">
        <w:rPr>
          <w:rFonts w:ascii="Times New Roman" w:hAnsi="Times New Roman"/>
          <w:b/>
          <w:spacing w:val="-2"/>
        </w:rPr>
        <w:t>經</w:t>
      </w:r>
      <w:r w:rsidRPr="00E91F54">
        <w:rPr>
          <w:rFonts w:ascii="Times New Roman" w:hAnsi="Times New Roman"/>
          <w:b/>
          <w:spacing w:val="-2"/>
        </w:rPr>
        <w:t>審計部</w:t>
      </w:r>
      <w:r w:rsidR="007849D2" w:rsidRPr="00E91F54">
        <w:rPr>
          <w:rFonts w:ascii="Times New Roman" w:hAnsi="Times New Roman"/>
          <w:b/>
          <w:spacing w:val="-2"/>
        </w:rPr>
        <w:t>查核發現</w:t>
      </w:r>
      <w:r w:rsidRPr="00E91F54">
        <w:rPr>
          <w:rFonts w:ascii="Times New Roman" w:hAnsi="Times New Roman"/>
          <w:b/>
          <w:spacing w:val="-2"/>
        </w:rPr>
        <w:t>，截至</w:t>
      </w:r>
      <w:r w:rsidRPr="00E91F54">
        <w:rPr>
          <w:rFonts w:ascii="Times New Roman" w:hAnsi="Times New Roman"/>
          <w:b/>
          <w:spacing w:val="-2"/>
        </w:rPr>
        <w:t>113</w:t>
      </w:r>
      <w:r w:rsidRPr="00E91F54">
        <w:rPr>
          <w:rFonts w:ascii="Times New Roman" w:hAnsi="Times New Roman"/>
          <w:b/>
          <w:spacing w:val="-2"/>
        </w:rPr>
        <w:t>年</w:t>
      </w:r>
      <w:r w:rsidRPr="00E91F54">
        <w:rPr>
          <w:rFonts w:ascii="Times New Roman" w:hAnsi="Times New Roman"/>
          <w:b/>
          <w:spacing w:val="-2"/>
        </w:rPr>
        <w:t>4</w:t>
      </w:r>
      <w:r w:rsidRPr="00E91F54">
        <w:rPr>
          <w:rFonts w:ascii="Times New Roman" w:hAnsi="Times New Roman"/>
          <w:b/>
          <w:spacing w:val="-2"/>
        </w:rPr>
        <w:t>月</w:t>
      </w:r>
      <w:r w:rsidRPr="00E91F54">
        <w:rPr>
          <w:rFonts w:ascii="Times New Roman" w:hAnsi="Times New Roman"/>
          <w:b/>
          <w:spacing w:val="-2"/>
        </w:rPr>
        <w:t>16</w:t>
      </w:r>
      <w:r w:rsidRPr="00E91F54">
        <w:rPr>
          <w:rFonts w:ascii="Times New Roman" w:hAnsi="Times New Roman"/>
          <w:b/>
          <w:spacing w:val="-2"/>
        </w:rPr>
        <w:t>日為止，累計</w:t>
      </w:r>
      <w:r w:rsidR="00107E36" w:rsidRPr="00E91F54">
        <w:rPr>
          <w:rFonts w:ascii="Times New Roman" w:hAnsi="Times New Roman"/>
          <w:b/>
          <w:spacing w:val="-2"/>
        </w:rPr>
        <w:t>110</w:t>
      </w:r>
      <w:r w:rsidRPr="00E91F54">
        <w:rPr>
          <w:rFonts w:ascii="Times New Roman" w:hAnsi="Times New Roman"/>
          <w:b/>
          <w:spacing w:val="-2"/>
        </w:rPr>
        <w:t>至</w:t>
      </w:r>
      <w:r w:rsidR="00107E36" w:rsidRPr="00E91F54">
        <w:rPr>
          <w:rFonts w:ascii="Times New Roman" w:hAnsi="Times New Roman"/>
          <w:b/>
          <w:spacing w:val="-2"/>
        </w:rPr>
        <w:t>112</w:t>
      </w:r>
      <w:r w:rsidRPr="00E91F54">
        <w:rPr>
          <w:rFonts w:ascii="Times New Roman" w:hAnsi="Times New Roman"/>
          <w:b/>
          <w:spacing w:val="-2"/>
        </w:rPr>
        <w:t>年尚未繳納</w:t>
      </w:r>
      <w:r w:rsidR="00E87D20" w:rsidRPr="00E91F54">
        <w:rPr>
          <w:rFonts w:ascii="Times New Roman" w:hAnsi="Times New Roman" w:hint="eastAsia"/>
          <w:b/>
          <w:spacing w:val="-2"/>
        </w:rPr>
        <w:t>回收費用之</w:t>
      </w:r>
      <w:r w:rsidRPr="00E91F54">
        <w:rPr>
          <w:rFonts w:ascii="Times New Roman" w:hAnsi="Times New Roman"/>
          <w:b/>
          <w:spacing w:val="-2"/>
        </w:rPr>
        <w:t>金額高達</w:t>
      </w:r>
      <w:r w:rsidRPr="00E91F54">
        <w:rPr>
          <w:rFonts w:ascii="Times New Roman" w:hAnsi="Times New Roman"/>
          <w:b/>
          <w:spacing w:val="-2"/>
        </w:rPr>
        <w:t>3.98</w:t>
      </w:r>
      <w:r w:rsidRPr="00E91F54">
        <w:rPr>
          <w:rFonts w:ascii="Times New Roman" w:hAnsi="Times New Roman"/>
          <w:b/>
          <w:spacing w:val="-2"/>
        </w:rPr>
        <w:t>億餘元，占總應繳納金額</w:t>
      </w:r>
      <w:r w:rsidRPr="00E91F54">
        <w:rPr>
          <w:rFonts w:ascii="Times New Roman" w:hAnsi="Times New Roman"/>
          <w:b/>
          <w:spacing w:val="-2"/>
        </w:rPr>
        <w:t>10.25</w:t>
      </w:r>
      <w:r w:rsidRPr="00E91F54">
        <w:rPr>
          <w:rFonts w:ascii="Times New Roman" w:hAnsi="Times New Roman"/>
          <w:b/>
          <w:spacing w:val="-2"/>
        </w:rPr>
        <w:t>億</w:t>
      </w:r>
      <w:r w:rsidR="00107E36" w:rsidRPr="00E91F54">
        <w:rPr>
          <w:rFonts w:ascii="Times New Roman" w:hAnsi="Times New Roman"/>
          <w:b/>
          <w:spacing w:val="-2"/>
        </w:rPr>
        <w:t>餘</w:t>
      </w:r>
      <w:r w:rsidRPr="00E91F54">
        <w:rPr>
          <w:rFonts w:ascii="Times New Roman" w:hAnsi="Times New Roman"/>
          <w:b/>
          <w:spacing w:val="-2"/>
        </w:rPr>
        <w:t>元之</w:t>
      </w:r>
      <w:r w:rsidRPr="00E91F54">
        <w:rPr>
          <w:rFonts w:ascii="Times New Roman" w:hAnsi="Times New Roman"/>
          <w:b/>
          <w:spacing w:val="-2"/>
        </w:rPr>
        <w:t>38.86</w:t>
      </w:r>
      <w:r w:rsidR="00912B68" w:rsidRPr="00E91F54">
        <w:rPr>
          <w:rFonts w:ascii="Times New Roman" w:hAnsi="Times New Roman"/>
          <w:b/>
          <w:spacing w:val="-2"/>
        </w:rPr>
        <w:t>%</w:t>
      </w:r>
      <w:r w:rsidR="00597911" w:rsidRPr="00E91F54">
        <w:rPr>
          <w:rFonts w:ascii="Times New Roman" w:hAnsi="Times New Roman"/>
          <w:b/>
          <w:spacing w:val="-2"/>
        </w:rPr>
        <w:t>，形同</w:t>
      </w:r>
      <w:r w:rsidR="00F577FD" w:rsidRPr="00E91F54">
        <w:rPr>
          <w:rFonts w:ascii="Times New Roman" w:hAnsi="Times New Roman" w:hint="eastAsia"/>
          <w:b/>
          <w:spacing w:val="-2"/>
        </w:rPr>
        <w:t>使</w:t>
      </w:r>
      <w:r w:rsidR="00597911" w:rsidRPr="00E91F54">
        <w:rPr>
          <w:rFonts w:ascii="Times New Roman" w:hAnsi="Times New Roman"/>
          <w:b/>
          <w:spacing w:val="-2"/>
        </w:rPr>
        <w:t>光電設置者額外收取</w:t>
      </w:r>
      <w:r w:rsidR="00597911" w:rsidRPr="00E91F54">
        <w:rPr>
          <w:rFonts w:ascii="Times New Roman" w:hAnsi="Times New Roman"/>
          <w:b/>
          <w:spacing w:val="-2"/>
        </w:rPr>
        <w:t>3.12</w:t>
      </w:r>
      <w:r w:rsidR="00D4124C" w:rsidRPr="00E91F54">
        <w:rPr>
          <w:rFonts w:ascii="Times New Roman" w:hAnsi="Times New Roman"/>
          <w:b/>
          <w:spacing w:val="-2"/>
        </w:rPr>
        <w:t>億</w:t>
      </w:r>
      <w:r w:rsidR="00D54F95" w:rsidRPr="00E91F54">
        <w:rPr>
          <w:rFonts w:ascii="Times New Roman" w:hAnsi="Times New Roman" w:hint="eastAsia"/>
          <w:b/>
          <w:spacing w:val="-2"/>
        </w:rPr>
        <w:t>餘</w:t>
      </w:r>
      <w:r w:rsidR="00597911" w:rsidRPr="00E91F54">
        <w:rPr>
          <w:rFonts w:ascii="Times New Roman" w:hAnsi="Times New Roman"/>
          <w:b/>
          <w:spacing w:val="-2"/>
        </w:rPr>
        <w:t>元之售</w:t>
      </w:r>
      <w:r w:rsidR="00597911" w:rsidRPr="00E91F54">
        <w:rPr>
          <w:rFonts w:ascii="Times New Roman" w:hAnsi="Times New Roman"/>
          <w:b/>
          <w:spacing w:val="-2"/>
        </w:rPr>
        <w:lastRenderedPageBreak/>
        <w:t>電收入，卻未支付相應之模組回收費用</w:t>
      </w:r>
      <w:r w:rsidR="00E56730" w:rsidRPr="00E91F54">
        <w:rPr>
          <w:rFonts w:ascii="Times New Roman" w:hAnsi="Times New Roman"/>
          <w:b/>
          <w:spacing w:val="-2"/>
        </w:rPr>
        <w:t>；</w:t>
      </w:r>
      <w:r w:rsidRPr="00E91F54">
        <w:rPr>
          <w:rFonts w:ascii="Times New Roman" w:hAnsi="Times New Roman"/>
          <w:b/>
          <w:spacing w:val="-2"/>
        </w:rPr>
        <w:t>迄</w:t>
      </w:r>
      <w:r w:rsidR="0068396A" w:rsidRPr="00E91F54">
        <w:rPr>
          <w:rFonts w:ascii="Times New Roman" w:hAnsi="Times New Roman"/>
          <w:b/>
          <w:spacing w:val="-2"/>
        </w:rPr>
        <w:t>至</w:t>
      </w:r>
      <w:r w:rsidRPr="00E91F54">
        <w:rPr>
          <w:rFonts w:ascii="Times New Roman" w:hAnsi="Times New Roman"/>
          <w:b/>
          <w:spacing w:val="-2"/>
        </w:rPr>
        <w:t>本</w:t>
      </w:r>
      <w:r w:rsidR="002669B1" w:rsidRPr="00E91F54">
        <w:rPr>
          <w:rFonts w:ascii="Times New Roman" w:hAnsi="Times New Roman" w:hint="eastAsia"/>
          <w:b/>
          <w:spacing w:val="-2"/>
        </w:rPr>
        <w:t>案</w:t>
      </w:r>
      <w:r w:rsidRPr="00E91F54">
        <w:rPr>
          <w:rFonts w:ascii="Times New Roman" w:hAnsi="Times New Roman"/>
          <w:b/>
          <w:spacing w:val="-2"/>
        </w:rPr>
        <w:t>114</w:t>
      </w:r>
      <w:r w:rsidRPr="00E91F54">
        <w:rPr>
          <w:rFonts w:ascii="Times New Roman" w:hAnsi="Times New Roman"/>
          <w:b/>
          <w:spacing w:val="-2"/>
        </w:rPr>
        <w:t>年調查</w:t>
      </w:r>
      <w:proofErr w:type="gramStart"/>
      <w:r w:rsidRPr="00E91F54">
        <w:rPr>
          <w:rFonts w:ascii="Times New Roman" w:hAnsi="Times New Roman"/>
          <w:b/>
          <w:spacing w:val="-2"/>
        </w:rPr>
        <w:t>期間，</w:t>
      </w:r>
      <w:proofErr w:type="gramEnd"/>
      <w:r w:rsidR="002669B1" w:rsidRPr="00E91F54">
        <w:rPr>
          <w:rFonts w:ascii="Times New Roman" w:hAnsi="Times New Roman" w:hint="eastAsia"/>
          <w:b/>
          <w:spacing w:val="-2"/>
        </w:rPr>
        <w:t>經濟</w:t>
      </w:r>
      <w:r w:rsidR="004903C7" w:rsidRPr="00E91F54">
        <w:rPr>
          <w:rFonts w:ascii="Times New Roman" w:hAnsi="Times New Roman"/>
          <w:b/>
          <w:spacing w:val="-2"/>
        </w:rPr>
        <w:t>部</w:t>
      </w:r>
      <w:proofErr w:type="gramStart"/>
      <w:r w:rsidR="007849D2" w:rsidRPr="00E91F54">
        <w:rPr>
          <w:rFonts w:ascii="Times New Roman" w:hAnsi="Times New Roman"/>
          <w:b/>
          <w:spacing w:val="-2"/>
        </w:rPr>
        <w:t>能源署</w:t>
      </w:r>
      <w:r w:rsidRPr="00E91F54">
        <w:rPr>
          <w:rFonts w:ascii="Times New Roman" w:hAnsi="Times New Roman"/>
          <w:b/>
          <w:spacing w:val="-2"/>
        </w:rPr>
        <w:t>催</w:t>
      </w:r>
      <w:proofErr w:type="gramEnd"/>
      <w:r w:rsidRPr="00E91F54">
        <w:rPr>
          <w:rFonts w:ascii="Times New Roman" w:hAnsi="Times New Roman"/>
          <w:b/>
          <w:spacing w:val="-2"/>
        </w:rPr>
        <w:t>收</w:t>
      </w:r>
      <w:r w:rsidR="008A269A" w:rsidRPr="00E91F54">
        <w:rPr>
          <w:rFonts w:ascii="Times New Roman" w:hAnsi="Times New Roman"/>
          <w:b/>
          <w:spacing w:val="-2"/>
        </w:rPr>
        <w:t>後</w:t>
      </w:r>
      <w:r w:rsidRPr="00E91F54">
        <w:rPr>
          <w:rFonts w:ascii="Times New Roman" w:hAnsi="Times New Roman"/>
          <w:b/>
          <w:spacing w:val="-2"/>
        </w:rPr>
        <w:t>已降低未繳納金額</w:t>
      </w:r>
      <w:r w:rsidR="009810E2" w:rsidRPr="00E91F54">
        <w:rPr>
          <w:rFonts w:ascii="Times New Roman" w:hAnsi="Times New Roman"/>
          <w:b/>
          <w:spacing w:val="-2"/>
        </w:rPr>
        <w:t>至</w:t>
      </w:r>
      <w:r w:rsidR="009810E2" w:rsidRPr="00E91F54">
        <w:rPr>
          <w:rFonts w:ascii="Times New Roman" w:hAnsi="Times New Roman"/>
          <w:b/>
          <w:spacing w:val="-2"/>
        </w:rPr>
        <w:t>9,564</w:t>
      </w:r>
      <w:r w:rsidR="009810E2" w:rsidRPr="00E91F54">
        <w:rPr>
          <w:rFonts w:ascii="Times New Roman" w:hAnsi="Times New Roman"/>
          <w:b/>
          <w:spacing w:val="-2"/>
        </w:rPr>
        <w:t>萬餘元</w:t>
      </w:r>
      <w:r w:rsidR="007E7D11" w:rsidRPr="00E91F54">
        <w:rPr>
          <w:rFonts w:ascii="Times New Roman" w:hAnsi="Times New Roman"/>
          <w:b/>
          <w:spacing w:val="-2"/>
        </w:rPr>
        <w:t>、</w:t>
      </w:r>
      <w:r w:rsidR="009810E2" w:rsidRPr="00E91F54">
        <w:rPr>
          <w:rFonts w:ascii="Times New Roman" w:hAnsi="Times New Roman"/>
          <w:b/>
          <w:spacing w:val="-2"/>
        </w:rPr>
        <w:t>占比</w:t>
      </w:r>
      <w:r w:rsidR="00912B68" w:rsidRPr="00E91F54">
        <w:rPr>
          <w:rFonts w:ascii="Times New Roman" w:hAnsi="Times New Roman"/>
          <w:b/>
          <w:spacing w:val="-2"/>
        </w:rPr>
        <w:t>9.31</w:t>
      </w:r>
      <w:r w:rsidRPr="00E91F54">
        <w:rPr>
          <w:rFonts w:ascii="Times New Roman" w:hAnsi="Times New Roman"/>
          <w:b/>
          <w:spacing w:val="-2"/>
        </w:rPr>
        <w:t>%</w:t>
      </w:r>
      <w:r w:rsidRPr="00E91F54">
        <w:rPr>
          <w:rFonts w:ascii="Times New Roman" w:hAnsi="Times New Roman"/>
          <w:b/>
          <w:spacing w:val="-2"/>
        </w:rPr>
        <w:t>，然</w:t>
      </w:r>
      <w:r w:rsidR="00DA653D" w:rsidRPr="00E91F54">
        <w:rPr>
          <w:rFonts w:ascii="Times New Roman" w:hAnsi="Times New Roman"/>
          <w:b/>
          <w:spacing w:val="-2"/>
        </w:rPr>
        <w:t>仍</w:t>
      </w:r>
      <w:r w:rsidR="007E7D11" w:rsidRPr="00E91F54">
        <w:rPr>
          <w:rFonts w:ascii="Times New Roman" w:hAnsi="Times New Roman"/>
          <w:b/>
          <w:spacing w:val="-2"/>
        </w:rPr>
        <w:t>持續</w:t>
      </w:r>
      <w:r w:rsidRPr="00E91F54">
        <w:rPr>
          <w:rFonts w:ascii="Times New Roman" w:hAnsi="Times New Roman"/>
          <w:b/>
          <w:spacing w:val="-2"/>
        </w:rPr>
        <w:t>面臨</w:t>
      </w:r>
      <w:r w:rsidR="00DA653D" w:rsidRPr="00E91F54">
        <w:rPr>
          <w:rFonts w:ascii="Times New Roman" w:hAnsi="Times New Roman"/>
          <w:b/>
          <w:spacing w:val="-2"/>
        </w:rPr>
        <w:t>次一年度</w:t>
      </w:r>
      <w:r w:rsidRPr="00E91F54">
        <w:rPr>
          <w:rFonts w:ascii="Times New Roman" w:hAnsi="Times New Roman"/>
          <w:b/>
          <w:spacing w:val="-2"/>
        </w:rPr>
        <w:t>未繳納件數與金額累增</w:t>
      </w:r>
      <w:r w:rsidR="00AD50D2" w:rsidRPr="00E91F54">
        <w:rPr>
          <w:rFonts w:ascii="Times New Roman" w:hAnsi="Times New Roman"/>
          <w:b/>
          <w:spacing w:val="-2"/>
        </w:rPr>
        <w:t>，</w:t>
      </w:r>
      <w:r w:rsidRPr="00E91F54">
        <w:rPr>
          <w:rFonts w:ascii="Times New Roman" w:hAnsi="Times New Roman"/>
          <w:b/>
          <w:spacing w:val="-2"/>
        </w:rPr>
        <w:t>每年尚須</w:t>
      </w:r>
      <w:r w:rsidRPr="00E91F54">
        <w:rPr>
          <w:rFonts w:ascii="Times New Roman" w:hAnsi="Times New Roman"/>
          <w:b/>
          <w:spacing w:val="-2"/>
          <w:szCs w:val="32"/>
        </w:rPr>
        <w:t>耗費</w:t>
      </w:r>
      <w:r w:rsidRPr="00E91F54">
        <w:rPr>
          <w:rFonts w:ascii="Times New Roman" w:hAnsi="Times New Roman"/>
          <w:b/>
          <w:noProof/>
          <w:spacing w:val="-2"/>
          <w:szCs w:val="32"/>
        </w:rPr>
        <w:t>大量行政</w:t>
      </w:r>
      <w:r w:rsidR="00593319" w:rsidRPr="00E91F54">
        <w:rPr>
          <w:rFonts w:ascii="Times New Roman" w:hAnsi="Times New Roman" w:hint="eastAsia"/>
          <w:b/>
          <w:noProof/>
          <w:spacing w:val="-2"/>
          <w:szCs w:val="32"/>
        </w:rPr>
        <w:t>資源於</w:t>
      </w:r>
      <w:r w:rsidRPr="00E91F54">
        <w:rPr>
          <w:rFonts w:ascii="Times New Roman" w:hAnsi="Times New Roman"/>
          <w:b/>
          <w:noProof/>
          <w:spacing w:val="-2"/>
          <w:szCs w:val="32"/>
        </w:rPr>
        <w:t>催繳作業</w:t>
      </w:r>
      <w:r w:rsidR="00597911" w:rsidRPr="00E91F54">
        <w:rPr>
          <w:rFonts w:ascii="Times New Roman" w:hAnsi="Times New Roman"/>
          <w:b/>
          <w:noProof/>
          <w:spacing w:val="-2"/>
          <w:szCs w:val="32"/>
        </w:rPr>
        <w:t>之窘境</w:t>
      </w:r>
      <w:r w:rsidR="007E7D11" w:rsidRPr="00E91F54">
        <w:rPr>
          <w:rFonts w:ascii="Times New Roman" w:hAnsi="Times New Roman"/>
          <w:b/>
          <w:noProof/>
          <w:spacing w:val="-2"/>
          <w:szCs w:val="32"/>
        </w:rPr>
        <w:t>。</w:t>
      </w:r>
      <w:r w:rsidR="007E7D11" w:rsidRPr="00E91F54">
        <w:rPr>
          <w:rFonts w:ascii="Times New Roman" w:hAnsi="Times New Roman"/>
          <w:b/>
          <w:spacing w:val="-2"/>
        </w:rPr>
        <w:t>究其根本，</w:t>
      </w:r>
      <w:r w:rsidR="00E87D20" w:rsidRPr="00E91F54">
        <w:rPr>
          <w:rFonts w:ascii="Times New Roman" w:hAnsi="Times New Roman" w:hint="eastAsia"/>
          <w:b/>
          <w:spacing w:val="-2"/>
        </w:rPr>
        <w:t>乃</w:t>
      </w:r>
      <w:r w:rsidR="007E7D11" w:rsidRPr="00E91F54">
        <w:rPr>
          <w:rFonts w:ascii="Times New Roman" w:hAnsi="Times New Roman"/>
          <w:b/>
          <w:spacing w:val="-2"/>
        </w:rPr>
        <w:t>在於其補貼業者模組回收費</w:t>
      </w:r>
      <w:r w:rsidR="00597911" w:rsidRPr="00E91F54">
        <w:rPr>
          <w:rFonts w:ascii="Times New Roman" w:hAnsi="Times New Roman"/>
          <w:b/>
          <w:spacing w:val="-2"/>
        </w:rPr>
        <w:t>用</w:t>
      </w:r>
      <w:r w:rsidR="007E7D11" w:rsidRPr="00E91F54">
        <w:rPr>
          <w:rFonts w:ascii="Times New Roman" w:hAnsi="Times New Roman"/>
          <w:b/>
          <w:spacing w:val="-2"/>
        </w:rPr>
        <w:t>在前，而後欲分年分期要求繳納模組回收費用，實則事倍功半</w:t>
      </w:r>
      <w:r w:rsidR="00593319" w:rsidRPr="00E91F54">
        <w:rPr>
          <w:rFonts w:ascii="Times New Roman" w:hAnsi="Times New Roman" w:hint="eastAsia"/>
          <w:b/>
          <w:spacing w:val="-2"/>
        </w:rPr>
        <w:t>，遑論本（</w:t>
      </w:r>
      <w:r w:rsidR="00593319" w:rsidRPr="00E91F54">
        <w:rPr>
          <w:rFonts w:ascii="Times New Roman" w:hAnsi="Times New Roman" w:hint="eastAsia"/>
          <w:b/>
          <w:spacing w:val="-2"/>
        </w:rPr>
        <w:t>1</w:t>
      </w:r>
      <w:r w:rsidR="00593319" w:rsidRPr="00E91F54">
        <w:rPr>
          <w:rFonts w:ascii="Times New Roman" w:hAnsi="Times New Roman"/>
          <w:b/>
          <w:spacing w:val="-2"/>
        </w:rPr>
        <w:t>14</w:t>
      </w:r>
      <w:r w:rsidR="00593319" w:rsidRPr="00E91F54">
        <w:rPr>
          <w:rFonts w:ascii="Times New Roman" w:hAnsi="Times New Roman" w:hint="eastAsia"/>
          <w:b/>
          <w:spacing w:val="-2"/>
        </w:rPr>
        <w:t>）年度</w:t>
      </w:r>
      <w:r w:rsidR="0079169F" w:rsidRPr="00E91F54">
        <w:rPr>
          <w:rFonts w:ascii="Times New Roman" w:hAnsi="Times New Roman" w:hint="eastAsia"/>
          <w:b/>
          <w:spacing w:val="-2"/>
        </w:rPr>
        <w:t>恐</w:t>
      </w:r>
      <w:r w:rsidR="00593319" w:rsidRPr="00E91F54">
        <w:rPr>
          <w:rFonts w:ascii="Times New Roman" w:hAnsi="Times New Roman" w:hint="eastAsia"/>
          <w:b/>
          <w:spacing w:val="-2"/>
        </w:rPr>
        <w:t>將</w:t>
      </w:r>
      <w:r w:rsidR="00D85844" w:rsidRPr="00E91F54">
        <w:rPr>
          <w:rFonts w:ascii="Times New Roman" w:hAnsi="Times New Roman" w:hint="eastAsia"/>
          <w:b/>
          <w:spacing w:val="-2"/>
        </w:rPr>
        <w:t>產生</w:t>
      </w:r>
      <w:r w:rsidR="00593319" w:rsidRPr="00E91F54">
        <w:rPr>
          <w:rFonts w:ascii="Times New Roman" w:hAnsi="Times New Roman" w:hint="eastAsia"/>
          <w:b/>
          <w:spacing w:val="-2"/>
        </w:rPr>
        <w:t>第一</w:t>
      </w:r>
      <w:r w:rsidR="00593319" w:rsidRPr="00E91F54">
        <w:rPr>
          <w:rFonts w:ascii="Times New Roman" w:hAnsi="Times New Roman" w:hint="eastAsia"/>
          <w:b/>
        </w:rPr>
        <w:t>批</w:t>
      </w:r>
      <w:r w:rsidR="008451EE" w:rsidRPr="00E91F54">
        <w:rPr>
          <w:rFonts w:ascii="Times New Roman" w:hAnsi="Times New Roman"/>
          <w:b/>
        </w:rPr>
        <w:t>未繳納</w:t>
      </w:r>
      <w:r w:rsidR="00593319" w:rsidRPr="00E91F54">
        <w:rPr>
          <w:rFonts w:ascii="Times New Roman" w:hAnsi="Times New Roman" w:hint="eastAsia"/>
          <w:b/>
        </w:rPr>
        <w:t>回收費用</w:t>
      </w:r>
      <w:r w:rsidR="008451EE" w:rsidRPr="00E91F54">
        <w:rPr>
          <w:rFonts w:ascii="Times New Roman" w:hAnsi="Times New Roman"/>
          <w:b/>
        </w:rPr>
        <w:t>而</w:t>
      </w:r>
      <w:proofErr w:type="gramStart"/>
      <w:r w:rsidR="008451EE" w:rsidRPr="00E91F54">
        <w:rPr>
          <w:rFonts w:ascii="Times New Roman" w:hAnsi="Times New Roman"/>
          <w:b/>
        </w:rPr>
        <w:t>罹</w:t>
      </w:r>
      <w:proofErr w:type="gramEnd"/>
      <w:r w:rsidR="008451EE" w:rsidRPr="00E91F54">
        <w:rPr>
          <w:rFonts w:ascii="Times New Roman" w:hAnsi="Times New Roman"/>
          <w:b/>
        </w:rPr>
        <w:t>於</w:t>
      </w:r>
      <w:r w:rsidR="008451EE" w:rsidRPr="00E91F54">
        <w:rPr>
          <w:rFonts w:ascii="Times New Roman" w:hAnsi="Times New Roman"/>
          <w:b/>
        </w:rPr>
        <w:t>5</w:t>
      </w:r>
      <w:r w:rsidR="008451EE" w:rsidRPr="00E91F54">
        <w:rPr>
          <w:rFonts w:ascii="Times New Roman" w:hAnsi="Times New Roman"/>
          <w:b/>
        </w:rPr>
        <w:t>年</w:t>
      </w:r>
      <w:r w:rsidR="00A87AFC" w:rsidRPr="00E91F54">
        <w:rPr>
          <w:rFonts w:ascii="Times New Roman" w:hAnsi="Times New Roman" w:hint="eastAsia"/>
          <w:b/>
        </w:rPr>
        <w:t>行政執行</w:t>
      </w:r>
      <w:r w:rsidR="008451EE" w:rsidRPr="00E91F54">
        <w:rPr>
          <w:rFonts w:ascii="Times New Roman" w:hAnsi="Times New Roman"/>
          <w:b/>
        </w:rPr>
        <w:t>時效</w:t>
      </w:r>
      <w:r w:rsidR="00593319" w:rsidRPr="00E91F54">
        <w:rPr>
          <w:rFonts w:ascii="Times New Roman" w:hAnsi="Times New Roman" w:hint="eastAsia"/>
          <w:b/>
        </w:rPr>
        <w:t>案件</w:t>
      </w:r>
      <w:r w:rsidR="00ED22E5" w:rsidRPr="00E91F54">
        <w:rPr>
          <w:rFonts w:ascii="Times New Roman" w:hAnsi="Times New Roman" w:hint="eastAsia"/>
          <w:b/>
        </w:rPr>
        <w:t>，</w:t>
      </w:r>
      <w:proofErr w:type="gramStart"/>
      <w:r w:rsidR="00ED22E5" w:rsidRPr="00E91F54">
        <w:rPr>
          <w:rFonts w:ascii="Times New Roman" w:hAnsi="Times New Roman" w:hint="eastAsia"/>
          <w:b/>
        </w:rPr>
        <w:t>均將</w:t>
      </w:r>
      <w:proofErr w:type="gramEnd"/>
      <w:r w:rsidR="00ED22E5" w:rsidRPr="00E91F54">
        <w:rPr>
          <w:rFonts w:ascii="Times New Roman" w:hAnsi="Times New Roman" w:hint="eastAsia"/>
          <w:b/>
        </w:rPr>
        <w:t>使經濟部能源署效能不彰之收款作業雪上加霜，</w:t>
      </w:r>
      <w:proofErr w:type="gramStart"/>
      <w:r w:rsidR="00ED22E5" w:rsidRPr="00E91F54">
        <w:rPr>
          <w:rFonts w:ascii="Times New Roman" w:hAnsi="Times New Roman" w:hint="eastAsia"/>
          <w:b/>
        </w:rPr>
        <w:t>核屬失</w:t>
      </w:r>
      <w:proofErr w:type="gramEnd"/>
      <w:r w:rsidR="00ED22E5" w:rsidRPr="00E91F54">
        <w:rPr>
          <w:rFonts w:ascii="Times New Roman" w:hAnsi="Times New Roman" w:hint="eastAsia"/>
          <w:b/>
        </w:rPr>
        <w:t>當</w:t>
      </w:r>
    </w:p>
    <w:bookmarkEnd w:id="75"/>
    <w:p w:rsidR="005B14C1" w:rsidRPr="00E91F54" w:rsidRDefault="005B14C1" w:rsidP="0028384F">
      <w:pPr>
        <w:pStyle w:val="3"/>
        <w:rPr>
          <w:rFonts w:ascii="Times New Roman" w:hAnsi="Times New Roman"/>
        </w:rPr>
      </w:pPr>
      <w:r w:rsidRPr="00E91F54">
        <w:rPr>
          <w:rFonts w:ascii="Times New Roman" w:hAnsi="Times New Roman"/>
        </w:rPr>
        <w:t>行政院能源</w:t>
      </w:r>
      <w:proofErr w:type="gramStart"/>
      <w:r w:rsidRPr="00E91F54">
        <w:rPr>
          <w:rFonts w:ascii="Times New Roman" w:hAnsi="Times New Roman"/>
        </w:rPr>
        <w:t>及減碳辦公室</w:t>
      </w:r>
      <w:proofErr w:type="gramEnd"/>
      <w:r w:rsidRPr="00E91F54">
        <w:rPr>
          <w:rFonts w:ascii="Times New Roman" w:hAnsi="Times New Roman"/>
        </w:rPr>
        <w:t>為因應太陽光電</w:t>
      </w:r>
      <w:r w:rsidR="00E87D20" w:rsidRPr="00E91F54">
        <w:rPr>
          <w:rFonts w:ascii="Times New Roman" w:hAnsi="Times New Roman" w:hint="eastAsia"/>
        </w:rPr>
        <w:t>設施</w:t>
      </w:r>
      <w:r w:rsidRPr="00E91F54">
        <w:rPr>
          <w:rFonts w:ascii="Times New Roman" w:hAnsi="Times New Roman"/>
        </w:rPr>
        <w:t>設置蓬勃發展，於</w:t>
      </w:r>
      <w:r w:rsidRPr="00E91F54">
        <w:rPr>
          <w:rFonts w:ascii="Times New Roman" w:hAnsi="Times New Roman"/>
        </w:rPr>
        <w:t>107</w:t>
      </w:r>
      <w:r w:rsidRPr="00E91F54">
        <w:rPr>
          <w:rFonts w:ascii="Times New Roman" w:hAnsi="Times New Roman"/>
        </w:rPr>
        <w:t>年</w:t>
      </w:r>
      <w:r w:rsidRPr="00E91F54">
        <w:rPr>
          <w:rFonts w:ascii="Times New Roman" w:hAnsi="Times New Roman"/>
        </w:rPr>
        <w:t>11</w:t>
      </w:r>
      <w:r w:rsidRPr="00E91F54">
        <w:rPr>
          <w:rFonts w:ascii="Times New Roman" w:hAnsi="Times New Roman"/>
        </w:rPr>
        <w:t>月</w:t>
      </w:r>
      <w:r w:rsidRPr="00E91F54">
        <w:rPr>
          <w:rFonts w:ascii="Times New Roman" w:hAnsi="Times New Roman"/>
        </w:rPr>
        <w:t>6</w:t>
      </w:r>
      <w:r w:rsidRPr="00E91F54">
        <w:rPr>
          <w:rFonts w:ascii="Times New Roman" w:hAnsi="Times New Roman"/>
        </w:rPr>
        <w:t>日召開「太陽能光電板回收處理機制研商會議」</w:t>
      </w:r>
      <w:r w:rsidR="00E87D20" w:rsidRPr="00E91F54">
        <w:rPr>
          <w:rFonts w:ascii="Times New Roman" w:hAnsi="Times New Roman" w:hint="eastAsia"/>
        </w:rPr>
        <w:t>，結論</w:t>
      </w:r>
      <w:r w:rsidRPr="00E91F54">
        <w:rPr>
          <w:rFonts w:ascii="Times New Roman" w:hAnsi="Times New Roman"/>
        </w:rPr>
        <w:t>略以：</w:t>
      </w:r>
      <w:r w:rsidR="004903C7" w:rsidRPr="00E91F54">
        <w:rPr>
          <w:rFonts w:ascii="Times New Roman" w:hAnsi="Times New Roman"/>
          <w:b/>
        </w:rPr>
        <w:t>原</w:t>
      </w:r>
      <w:r w:rsidRPr="00E91F54">
        <w:rPr>
          <w:rFonts w:ascii="Times New Roman" w:hAnsi="Times New Roman"/>
          <w:b/>
        </w:rPr>
        <w:t>經濟部能源</w:t>
      </w:r>
      <w:r w:rsidR="004903C7" w:rsidRPr="00E91F54">
        <w:rPr>
          <w:rFonts w:ascii="Times New Roman" w:hAnsi="Times New Roman"/>
          <w:b/>
        </w:rPr>
        <w:t>局</w:t>
      </w:r>
      <w:r w:rsidR="006C4CD7" w:rsidRPr="00E91F54">
        <w:rPr>
          <w:rFonts w:ascii="Times New Roman" w:hAnsi="Times New Roman"/>
          <w:b/>
        </w:rPr>
        <w:t>（</w:t>
      </w:r>
      <w:r w:rsidR="004903C7" w:rsidRPr="00E91F54">
        <w:rPr>
          <w:rFonts w:ascii="Times New Roman" w:hAnsi="Times New Roman"/>
          <w:b/>
        </w:rPr>
        <w:t>現為</w:t>
      </w:r>
      <w:r w:rsidR="0003534C" w:rsidRPr="00E91F54">
        <w:rPr>
          <w:rFonts w:ascii="Times New Roman" w:hAnsi="Times New Roman"/>
          <w:b/>
        </w:rPr>
        <w:t>經濟部</w:t>
      </w:r>
      <w:r w:rsidR="004903C7" w:rsidRPr="00E91F54">
        <w:rPr>
          <w:rFonts w:ascii="Times New Roman" w:hAnsi="Times New Roman"/>
          <w:b/>
        </w:rPr>
        <w:t>能源署</w:t>
      </w:r>
      <w:r w:rsidR="006C4CD7" w:rsidRPr="00E91F54">
        <w:rPr>
          <w:rFonts w:ascii="Times New Roman" w:hAnsi="Times New Roman"/>
          <w:b/>
        </w:rPr>
        <w:t>）</w:t>
      </w:r>
      <w:r w:rsidRPr="00E91F54">
        <w:rPr>
          <w:rFonts w:ascii="Times New Roman" w:hAnsi="Times New Roman"/>
          <w:b/>
        </w:rPr>
        <w:t>建立前期之費用收取機制</w:t>
      </w:r>
      <w:r w:rsidRPr="00E91F54">
        <w:rPr>
          <w:rFonts w:ascii="Times New Roman" w:hAnsi="Times New Roman"/>
        </w:rPr>
        <w:t>、</w:t>
      </w:r>
      <w:r w:rsidR="0061115C" w:rsidRPr="00E91F54">
        <w:rPr>
          <w:rFonts w:ascii="Times New Roman" w:hAnsi="Times New Roman"/>
        </w:rPr>
        <w:t>原行政院環境保護署（現為</w:t>
      </w:r>
      <w:r w:rsidR="0003534C" w:rsidRPr="00E91F54">
        <w:rPr>
          <w:rFonts w:ascii="Times New Roman" w:hAnsi="Times New Roman"/>
        </w:rPr>
        <w:t>環境部</w:t>
      </w:r>
      <w:r w:rsidRPr="00E91F54">
        <w:rPr>
          <w:rFonts w:ascii="Times New Roman" w:hAnsi="Times New Roman"/>
        </w:rPr>
        <w:t>）建立後期模組回收處理機制，後續並由經濟部能源署向太陽光電發電設備設置者收取處理費用後，支應環境</w:t>
      </w:r>
      <w:proofErr w:type="gramStart"/>
      <w:r w:rsidRPr="00E91F54">
        <w:rPr>
          <w:rFonts w:ascii="Times New Roman" w:hAnsi="Times New Roman"/>
        </w:rPr>
        <w:t>部</w:t>
      </w:r>
      <w:r w:rsidR="00D15930" w:rsidRPr="00E91F54">
        <w:rPr>
          <w:rFonts w:ascii="Times New Roman" w:hAnsi="Times New Roman"/>
        </w:rPr>
        <w:t>資循署</w:t>
      </w:r>
      <w:proofErr w:type="gramEnd"/>
      <w:r w:rsidR="009B6CBC" w:rsidRPr="00E91F54">
        <w:rPr>
          <w:rFonts w:ascii="Times New Roman" w:hAnsi="Times New Roman"/>
        </w:rPr>
        <w:t>處理</w:t>
      </w:r>
      <w:r w:rsidRPr="00E91F54">
        <w:rPr>
          <w:rFonts w:ascii="Times New Roman" w:hAnsi="Times New Roman"/>
        </w:rPr>
        <w:t>模組回收支出</w:t>
      </w:r>
      <w:r w:rsidR="00E604EA" w:rsidRPr="00E91F54">
        <w:rPr>
          <w:rFonts w:ascii="Times New Roman" w:hAnsi="Times New Roman"/>
        </w:rPr>
        <w:t>。</w:t>
      </w:r>
      <w:r w:rsidRPr="00E91F54">
        <w:rPr>
          <w:rFonts w:ascii="Times New Roman" w:hAnsi="Times New Roman"/>
        </w:rPr>
        <w:t>經濟部於</w:t>
      </w:r>
      <w:r w:rsidRPr="00E91F54">
        <w:rPr>
          <w:rFonts w:ascii="Times New Roman" w:hAnsi="Times New Roman"/>
        </w:rPr>
        <w:t>108</w:t>
      </w:r>
      <w:r w:rsidRPr="00E91F54">
        <w:rPr>
          <w:rFonts w:ascii="Times New Roman" w:hAnsi="Times New Roman"/>
        </w:rPr>
        <w:t>年</w:t>
      </w:r>
      <w:r w:rsidRPr="00E91F54">
        <w:rPr>
          <w:rFonts w:ascii="Times New Roman" w:hAnsi="Times New Roman"/>
        </w:rPr>
        <w:t>12</w:t>
      </w:r>
      <w:r w:rsidRPr="00E91F54">
        <w:rPr>
          <w:rFonts w:ascii="Times New Roman" w:hAnsi="Times New Roman"/>
        </w:rPr>
        <w:t>月</w:t>
      </w:r>
      <w:r w:rsidRPr="00E91F54">
        <w:rPr>
          <w:rFonts w:ascii="Times New Roman" w:hAnsi="Times New Roman"/>
        </w:rPr>
        <w:t>18</w:t>
      </w:r>
      <w:r w:rsidRPr="00E91F54">
        <w:rPr>
          <w:rFonts w:ascii="Times New Roman" w:hAnsi="Times New Roman"/>
        </w:rPr>
        <w:t>日修正再生能源發電設備設置管理辦法（下稱設置</w:t>
      </w:r>
      <w:r w:rsidR="009B6CBC" w:rsidRPr="00E91F54">
        <w:rPr>
          <w:rFonts w:ascii="Times New Roman" w:hAnsi="Times New Roman"/>
        </w:rPr>
        <w:t>管理</w:t>
      </w:r>
      <w:r w:rsidRPr="00E91F54">
        <w:rPr>
          <w:rFonts w:ascii="Times New Roman" w:hAnsi="Times New Roman"/>
        </w:rPr>
        <w:t>辦法），增訂第</w:t>
      </w:r>
      <w:r w:rsidRPr="00E91F54">
        <w:rPr>
          <w:rFonts w:ascii="Times New Roman" w:hAnsi="Times New Roman"/>
        </w:rPr>
        <w:t>17</w:t>
      </w:r>
      <w:r w:rsidRPr="00E91F54">
        <w:rPr>
          <w:rFonts w:ascii="Times New Roman" w:hAnsi="Times New Roman"/>
        </w:rPr>
        <w:t>條規定</w:t>
      </w:r>
      <w:r w:rsidR="001523CE" w:rsidRPr="00E91F54">
        <w:rPr>
          <w:rFonts w:ascii="Times New Roman" w:hAnsi="Times New Roman"/>
        </w:rPr>
        <w:t>略</w:t>
      </w:r>
      <w:proofErr w:type="gramStart"/>
      <w:r w:rsidR="001523CE" w:rsidRPr="00E91F54">
        <w:rPr>
          <w:rFonts w:ascii="Times New Roman" w:hAnsi="Times New Roman"/>
        </w:rPr>
        <w:t>以</w:t>
      </w:r>
      <w:proofErr w:type="gramEnd"/>
      <w:r w:rsidRPr="00E91F54">
        <w:rPr>
          <w:rFonts w:ascii="Times New Roman" w:hAnsi="Times New Roman"/>
        </w:rPr>
        <w:t>，規範符合條件之太陽光電發電設備設置者，於設備完成設置及併網後，應依經濟部之書面通知，</w:t>
      </w:r>
      <w:r w:rsidRPr="00E91F54">
        <w:rPr>
          <w:rFonts w:ascii="Times New Roman" w:hAnsi="Times New Roman"/>
          <w:b/>
        </w:rPr>
        <w:t>繳納</w:t>
      </w:r>
      <w:r w:rsidR="001523CE" w:rsidRPr="00E91F54">
        <w:rPr>
          <w:rFonts w:ascii="Times New Roman" w:hAnsi="Times New Roman"/>
          <w:b/>
        </w:rPr>
        <w:t>一定金額之</w:t>
      </w:r>
      <w:r w:rsidRPr="00E91F54">
        <w:rPr>
          <w:rFonts w:ascii="Times New Roman" w:hAnsi="Times New Roman"/>
          <w:b/>
        </w:rPr>
        <w:t>模組回收費用</w:t>
      </w:r>
      <w:r w:rsidR="00CF3159" w:rsidRPr="00E91F54">
        <w:rPr>
          <w:rFonts w:ascii="Times New Roman" w:hAnsi="Times New Roman" w:hint="eastAsia"/>
          <w:b/>
        </w:rPr>
        <w:t>（每年每瓩</w:t>
      </w:r>
      <w:r w:rsidR="00CF3159" w:rsidRPr="00E91F54">
        <w:rPr>
          <w:rFonts w:ascii="Times New Roman" w:hAnsi="Times New Roman" w:hint="eastAsia"/>
          <w:b/>
        </w:rPr>
        <w:t>100</w:t>
      </w:r>
      <w:r w:rsidR="00CF3159" w:rsidRPr="00E91F54">
        <w:rPr>
          <w:rFonts w:ascii="Times New Roman" w:hAnsi="Times New Roman" w:hint="eastAsia"/>
          <w:b/>
        </w:rPr>
        <w:t>元）</w:t>
      </w:r>
      <w:r w:rsidR="001523CE" w:rsidRPr="00E91F54">
        <w:rPr>
          <w:rFonts w:ascii="Times New Roman" w:hAnsi="Times New Roman"/>
        </w:rPr>
        <w:t>；一定金額由中央主管機關定期檢討後每年另以公告定之</w:t>
      </w:r>
      <w:r w:rsidR="001523CE" w:rsidRPr="00E91F54">
        <w:rPr>
          <w:rStyle w:val="aff0"/>
        </w:rPr>
        <w:footnoteReference w:id="2"/>
      </w:r>
      <w:r w:rsidRPr="00E91F54">
        <w:rPr>
          <w:rFonts w:ascii="Times New Roman" w:hAnsi="Times New Roman"/>
        </w:rPr>
        <w:t>；倘逾期未繳納模組回收費用者，經濟部應通知限期補繳</w:t>
      </w:r>
      <w:r w:rsidR="00434480" w:rsidRPr="00E91F54">
        <w:rPr>
          <w:rFonts w:ascii="Times New Roman" w:hAnsi="Times New Roman"/>
        </w:rPr>
        <w:t>，</w:t>
      </w:r>
      <w:r w:rsidRPr="00E91F54">
        <w:rPr>
          <w:rFonts w:ascii="Times New Roman" w:hAnsi="Times New Roman"/>
        </w:rPr>
        <w:t>並規範收取方式及未予繳納之法律效果。</w:t>
      </w:r>
      <w:proofErr w:type="gramStart"/>
      <w:r w:rsidR="00131227" w:rsidRPr="00E91F54">
        <w:rPr>
          <w:rFonts w:ascii="Times New Roman" w:hAnsi="Times New Roman"/>
        </w:rPr>
        <w:t>次據</w:t>
      </w:r>
      <w:r w:rsidR="00131227" w:rsidRPr="00E91F54">
        <w:rPr>
          <w:rFonts w:ascii="Times New Roman" w:hAnsi="Times New Roman"/>
        </w:rPr>
        <w:t>109</w:t>
      </w:r>
      <w:r w:rsidR="00131227" w:rsidRPr="00E91F54">
        <w:rPr>
          <w:rFonts w:ascii="Times New Roman" w:hAnsi="Times New Roman"/>
        </w:rPr>
        <w:t>至</w:t>
      </w:r>
      <w:r w:rsidR="00131227" w:rsidRPr="00E91F54">
        <w:rPr>
          <w:rFonts w:ascii="Times New Roman" w:hAnsi="Times New Roman"/>
        </w:rPr>
        <w:t>113</w:t>
      </w:r>
      <w:r w:rsidR="00131227" w:rsidRPr="00E91F54">
        <w:rPr>
          <w:rFonts w:ascii="Times New Roman" w:hAnsi="Times New Roman"/>
        </w:rPr>
        <w:t>年度</w:t>
      </w:r>
      <w:proofErr w:type="gramEnd"/>
      <w:r w:rsidR="00131227" w:rsidRPr="00E91F54">
        <w:rPr>
          <w:rFonts w:ascii="Times New Roman" w:hAnsi="Times New Roman"/>
        </w:rPr>
        <w:t>「再</w:t>
      </w:r>
      <w:r w:rsidR="00131227" w:rsidRPr="00E91F54">
        <w:rPr>
          <w:rFonts w:ascii="Times New Roman" w:hAnsi="Times New Roman"/>
        </w:rPr>
        <w:lastRenderedPageBreak/>
        <w:t>生能源</w:t>
      </w:r>
      <w:proofErr w:type="gramStart"/>
      <w:r w:rsidR="00131227" w:rsidRPr="00E91F54">
        <w:rPr>
          <w:rFonts w:ascii="Times New Roman" w:hAnsi="Times New Roman"/>
        </w:rPr>
        <w:t>電能整</w:t>
      </w:r>
      <w:proofErr w:type="gramEnd"/>
      <w:r w:rsidR="00131227" w:rsidRPr="00E91F54">
        <w:rPr>
          <w:rFonts w:ascii="Times New Roman" w:hAnsi="Times New Roman"/>
        </w:rPr>
        <w:t>購费率及其計算公式」之太陽光電發電設備</w:t>
      </w:r>
      <w:r w:rsidR="00131227" w:rsidRPr="00E91F54">
        <w:rPr>
          <w:rFonts w:ascii="Times New Roman" w:hAnsi="Times New Roman"/>
          <w:b/>
        </w:rPr>
        <w:t>電能躉購費率，均含外加模組回收費「</w:t>
      </w:r>
      <w:r w:rsidR="00131227" w:rsidRPr="00E91F54">
        <w:rPr>
          <w:rFonts w:ascii="Times New Roman" w:hAnsi="Times New Roman"/>
          <w:b/>
        </w:rPr>
        <w:t>0.0656</w:t>
      </w:r>
      <w:r w:rsidR="00131227" w:rsidRPr="00E91F54">
        <w:rPr>
          <w:rFonts w:ascii="Times New Roman" w:hAnsi="Times New Roman"/>
          <w:b/>
        </w:rPr>
        <w:t>元</w:t>
      </w:r>
      <w:r w:rsidR="00131227" w:rsidRPr="00E91F54">
        <w:rPr>
          <w:rFonts w:ascii="Times New Roman" w:hAnsi="Times New Roman"/>
          <w:b/>
        </w:rPr>
        <w:t>/</w:t>
      </w:r>
      <w:r w:rsidR="00131227" w:rsidRPr="00E91F54">
        <w:rPr>
          <w:rFonts w:ascii="Times New Roman" w:hAnsi="Times New Roman"/>
          <w:b/>
        </w:rPr>
        <w:t>度」</w:t>
      </w:r>
      <w:r w:rsidR="00CA0B38" w:rsidRPr="00E91F54">
        <w:rPr>
          <w:rStyle w:val="aff0"/>
        </w:rPr>
        <w:footnoteReference w:id="3"/>
      </w:r>
      <w:r w:rsidR="00131227" w:rsidRPr="00E91F54">
        <w:rPr>
          <w:rFonts w:ascii="Times New Roman" w:hAnsi="Times New Roman"/>
        </w:rPr>
        <w:t>。</w:t>
      </w:r>
      <w:r w:rsidRPr="00E91F54">
        <w:rPr>
          <w:rFonts w:ascii="Times New Roman" w:hAnsi="Times New Roman"/>
        </w:rPr>
        <w:t>另</w:t>
      </w:r>
      <w:r w:rsidR="009B6CBC" w:rsidRPr="00E91F54">
        <w:rPr>
          <w:rFonts w:ascii="Times New Roman" w:hAnsi="Times New Roman"/>
        </w:rPr>
        <w:t>經濟</w:t>
      </w:r>
      <w:r w:rsidR="00434480" w:rsidRPr="00E91F54">
        <w:rPr>
          <w:rFonts w:ascii="Times New Roman" w:hAnsi="Times New Roman"/>
        </w:rPr>
        <w:t>部</w:t>
      </w:r>
      <w:r w:rsidRPr="00E91F54">
        <w:rPr>
          <w:rFonts w:ascii="Times New Roman" w:hAnsi="Times New Roman"/>
        </w:rPr>
        <w:t>為妥為辦理模組回收費用收支保管及運用事項，於</w:t>
      </w:r>
      <w:r w:rsidRPr="00E91F54">
        <w:rPr>
          <w:rFonts w:ascii="Times New Roman" w:hAnsi="Times New Roman"/>
        </w:rPr>
        <w:t>111</w:t>
      </w:r>
      <w:r w:rsidRPr="00E91F54">
        <w:rPr>
          <w:rFonts w:ascii="Times New Roman" w:hAnsi="Times New Roman"/>
        </w:rPr>
        <w:t>年</w:t>
      </w:r>
      <w:r w:rsidRPr="00E91F54">
        <w:rPr>
          <w:rFonts w:ascii="Times New Roman" w:hAnsi="Times New Roman"/>
        </w:rPr>
        <w:t>7</w:t>
      </w:r>
      <w:r w:rsidRPr="00E91F54">
        <w:rPr>
          <w:rFonts w:ascii="Times New Roman" w:hAnsi="Times New Roman"/>
        </w:rPr>
        <w:t>月</w:t>
      </w:r>
      <w:r w:rsidRPr="00E91F54">
        <w:rPr>
          <w:rFonts w:ascii="Times New Roman" w:hAnsi="Times New Roman"/>
        </w:rPr>
        <w:t>20</w:t>
      </w:r>
      <w:r w:rsidRPr="00E91F54">
        <w:rPr>
          <w:rFonts w:ascii="Times New Roman" w:hAnsi="Times New Roman"/>
        </w:rPr>
        <w:t>日訂定太陽光電發電設備模組回收費用收支保管及運用作業要點</w:t>
      </w:r>
      <w:r w:rsidR="00434480" w:rsidRPr="00E91F54">
        <w:rPr>
          <w:rFonts w:ascii="Times New Roman" w:hAnsi="Times New Roman"/>
        </w:rPr>
        <w:t>在案</w:t>
      </w:r>
      <w:r w:rsidRPr="00E91F54">
        <w:rPr>
          <w:rFonts w:ascii="Times New Roman" w:hAnsi="Times New Roman"/>
        </w:rPr>
        <w:t>。</w:t>
      </w:r>
    </w:p>
    <w:p w:rsidR="005B14C1" w:rsidRPr="00E91F54" w:rsidRDefault="00E604EA" w:rsidP="00DA653D">
      <w:pPr>
        <w:pStyle w:val="3"/>
        <w:rPr>
          <w:rFonts w:ascii="Times New Roman" w:hAnsi="Times New Roman"/>
          <w:szCs w:val="32"/>
        </w:rPr>
      </w:pPr>
      <w:bookmarkStart w:id="80" w:name="_Hlk195531463"/>
      <w:r w:rsidRPr="00E91F54">
        <w:rPr>
          <w:rFonts w:ascii="Times New Roman" w:hAnsi="Times New Roman"/>
          <w:szCs w:val="32"/>
        </w:rPr>
        <w:t>然</w:t>
      </w:r>
      <w:r w:rsidR="00434480" w:rsidRPr="00E91F54">
        <w:rPr>
          <w:rFonts w:ascii="Times New Roman" w:hAnsi="Times New Roman"/>
          <w:szCs w:val="32"/>
        </w:rPr>
        <w:t>據</w:t>
      </w:r>
      <w:r w:rsidR="005B14C1" w:rsidRPr="00E91F54">
        <w:rPr>
          <w:rFonts w:ascii="Times New Roman" w:hAnsi="Times New Roman"/>
          <w:szCs w:val="32"/>
        </w:rPr>
        <w:t>審計部</w:t>
      </w:r>
      <w:proofErr w:type="gramStart"/>
      <w:r w:rsidR="005B14C1" w:rsidRPr="00E91F54">
        <w:rPr>
          <w:rFonts w:ascii="Times New Roman" w:hAnsi="Times New Roman"/>
          <w:szCs w:val="32"/>
        </w:rPr>
        <w:t>112</w:t>
      </w:r>
      <w:proofErr w:type="gramEnd"/>
      <w:r w:rsidR="005B14C1" w:rsidRPr="00E91F54">
        <w:rPr>
          <w:rFonts w:ascii="Times New Roman" w:hAnsi="Times New Roman"/>
          <w:szCs w:val="32"/>
        </w:rPr>
        <w:t>年度中央政府總決算審核報告指出，經濟部能源署收取之太陽光電模組回收費用未繳納金額龐鉅，</w:t>
      </w:r>
      <w:r w:rsidR="005B14C1" w:rsidRPr="00E91F54">
        <w:rPr>
          <w:rFonts w:ascii="Times New Roman" w:hAnsi="Times New Roman"/>
          <w:szCs w:val="32"/>
        </w:rPr>
        <w:t>110</w:t>
      </w:r>
      <w:r w:rsidR="005B14C1" w:rsidRPr="00E91F54">
        <w:rPr>
          <w:rFonts w:ascii="Times New Roman" w:hAnsi="Times New Roman"/>
          <w:szCs w:val="32"/>
        </w:rPr>
        <w:t>至</w:t>
      </w:r>
      <w:r w:rsidR="005B14C1" w:rsidRPr="00E91F54">
        <w:rPr>
          <w:rFonts w:ascii="Times New Roman" w:hAnsi="Times New Roman"/>
          <w:szCs w:val="32"/>
        </w:rPr>
        <w:t>112</w:t>
      </w:r>
      <w:r w:rsidR="005B14C1" w:rsidRPr="00E91F54">
        <w:rPr>
          <w:rFonts w:ascii="Times New Roman" w:hAnsi="Times New Roman"/>
          <w:szCs w:val="32"/>
        </w:rPr>
        <w:t>年度通知繳納案件，</w:t>
      </w:r>
      <w:r w:rsidR="009F7A5F" w:rsidRPr="00E91F54">
        <w:rPr>
          <w:rFonts w:ascii="Times New Roman" w:hAnsi="Times New Roman"/>
          <w:szCs w:val="32"/>
        </w:rPr>
        <w:t>截至</w:t>
      </w:r>
      <w:r w:rsidR="009F7A5F" w:rsidRPr="00E91F54">
        <w:rPr>
          <w:rFonts w:ascii="Times New Roman" w:hAnsi="Times New Roman"/>
          <w:szCs w:val="32"/>
        </w:rPr>
        <w:t>1</w:t>
      </w:r>
      <w:r w:rsidR="009F7A5F" w:rsidRPr="00E91F54">
        <w:rPr>
          <w:rFonts w:ascii="Times New Roman" w:hAnsi="Times New Roman"/>
        </w:rPr>
        <w:t>13</w:t>
      </w:r>
      <w:r w:rsidR="009F7A5F" w:rsidRPr="00E91F54">
        <w:rPr>
          <w:rFonts w:ascii="Times New Roman" w:hAnsi="Times New Roman"/>
        </w:rPr>
        <w:t>年</w:t>
      </w:r>
      <w:r w:rsidR="009F7A5F" w:rsidRPr="00E91F54">
        <w:rPr>
          <w:rFonts w:ascii="Times New Roman" w:hAnsi="Times New Roman"/>
        </w:rPr>
        <w:t>4</w:t>
      </w:r>
      <w:r w:rsidR="009F7A5F" w:rsidRPr="00E91F54">
        <w:rPr>
          <w:rFonts w:ascii="Times New Roman" w:hAnsi="Times New Roman"/>
        </w:rPr>
        <w:t>月</w:t>
      </w:r>
      <w:r w:rsidR="009F7A5F" w:rsidRPr="00E91F54">
        <w:rPr>
          <w:rFonts w:ascii="Times New Roman" w:hAnsi="Times New Roman"/>
        </w:rPr>
        <w:t>16</w:t>
      </w:r>
      <w:r w:rsidR="009F7A5F" w:rsidRPr="00E91F54">
        <w:rPr>
          <w:rFonts w:ascii="Times New Roman" w:hAnsi="Times New Roman"/>
        </w:rPr>
        <w:t>日為止，</w:t>
      </w:r>
      <w:r w:rsidR="005B14C1" w:rsidRPr="00E91F54">
        <w:rPr>
          <w:rFonts w:ascii="Times New Roman" w:hAnsi="Times New Roman"/>
          <w:szCs w:val="32"/>
        </w:rPr>
        <w:t>應繳納</w:t>
      </w:r>
      <w:r w:rsidR="005B14C1" w:rsidRPr="00E91F54">
        <w:rPr>
          <w:rFonts w:ascii="Times New Roman" w:hAnsi="Times New Roman"/>
          <w:szCs w:val="32"/>
        </w:rPr>
        <w:t>10.2</w:t>
      </w:r>
      <w:r w:rsidR="008300DC" w:rsidRPr="00E91F54">
        <w:rPr>
          <w:rFonts w:ascii="Times New Roman" w:hAnsi="Times New Roman"/>
          <w:szCs w:val="32"/>
        </w:rPr>
        <w:t>5</w:t>
      </w:r>
      <w:r w:rsidR="005B14C1" w:rsidRPr="00E91F54">
        <w:rPr>
          <w:rFonts w:ascii="Times New Roman" w:hAnsi="Times New Roman"/>
          <w:szCs w:val="32"/>
        </w:rPr>
        <w:t>億</w:t>
      </w:r>
      <w:r w:rsidR="00363131" w:rsidRPr="00E91F54">
        <w:rPr>
          <w:rFonts w:ascii="Times New Roman" w:hAnsi="Times New Roman"/>
          <w:szCs w:val="32"/>
        </w:rPr>
        <w:t>餘</w:t>
      </w:r>
      <w:r w:rsidR="005B14C1" w:rsidRPr="00E91F54">
        <w:rPr>
          <w:rFonts w:ascii="Times New Roman" w:hAnsi="Times New Roman"/>
          <w:szCs w:val="32"/>
        </w:rPr>
        <w:t>元，</w:t>
      </w:r>
      <w:r w:rsidR="005B14C1" w:rsidRPr="00E91F54">
        <w:rPr>
          <w:rFonts w:ascii="Times New Roman" w:hAnsi="Times New Roman"/>
          <w:b/>
          <w:szCs w:val="32"/>
        </w:rPr>
        <w:t>尚未繳費金額合計達</w:t>
      </w:r>
      <w:r w:rsidR="005B14C1" w:rsidRPr="00E91F54">
        <w:rPr>
          <w:rFonts w:ascii="Times New Roman" w:hAnsi="Times New Roman"/>
          <w:b/>
          <w:szCs w:val="32"/>
        </w:rPr>
        <w:t>3.98</w:t>
      </w:r>
      <w:r w:rsidR="005B14C1" w:rsidRPr="00E91F54">
        <w:rPr>
          <w:rFonts w:ascii="Times New Roman" w:hAnsi="Times New Roman"/>
          <w:b/>
          <w:szCs w:val="32"/>
        </w:rPr>
        <w:t>億餘元</w:t>
      </w:r>
      <w:r w:rsidR="00E74982" w:rsidRPr="00E91F54">
        <w:rPr>
          <w:rStyle w:val="aff0"/>
        </w:rPr>
        <w:footnoteReference w:id="4"/>
      </w:r>
      <w:r w:rsidR="0012096C" w:rsidRPr="00E91F54">
        <w:rPr>
          <w:rFonts w:ascii="Times New Roman" w:hAnsi="Times New Roman"/>
          <w:szCs w:val="32"/>
        </w:rPr>
        <w:t>（</w:t>
      </w:r>
      <w:r w:rsidR="006C70C5" w:rsidRPr="00E91F54">
        <w:rPr>
          <w:rFonts w:ascii="Times New Roman" w:hAnsi="Times New Roman"/>
          <w:szCs w:val="32"/>
        </w:rPr>
        <w:t>換算</w:t>
      </w:r>
      <w:r w:rsidR="0012096C" w:rsidRPr="00E91F54">
        <w:rPr>
          <w:rFonts w:ascii="Times New Roman" w:hAnsi="Times New Roman"/>
          <w:szCs w:val="32"/>
        </w:rPr>
        <w:t>相當於裝置容量</w:t>
      </w:r>
      <w:r w:rsidR="0012096C" w:rsidRPr="00E91F54">
        <w:rPr>
          <w:rFonts w:ascii="Times New Roman" w:hAnsi="Times New Roman"/>
          <w:szCs w:val="32"/>
        </w:rPr>
        <w:t>3,986.6MW</w:t>
      </w:r>
      <w:r w:rsidR="0012096C" w:rsidRPr="00E91F54">
        <w:rPr>
          <w:rFonts w:ascii="Times New Roman" w:hAnsi="Times New Roman"/>
          <w:szCs w:val="32"/>
        </w:rPr>
        <w:t>之</w:t>
      </w:r>
      <w:r w:rsidR="0012096C" w:rsidRPr="00E91F54">
        <w:rPr>
          <w:rFonts w:ascii="Times New Roman" w:hAnsi="Times New Roman"/>
          <w:szCs w:val="32"/>
        </w:rPr>
        <w:t>1</w:t>
      </w:r>
      <w:r w:rsidR="0012096C" w:rsidRPr="00E91F54">
        <w:rPr>
          <w:rFonts w:ascii="Times New Roman" w:hAnsi="Times New Roman"/>
          <w:szCs w:val="32"/>
        </w:rPr>
        <w:t>年應繳納費用）</w:t>
      </w:r>
      <w:r w:rsidR="008D4E50" w:rsidRPr="00E91F54">
        <w:rPr>
          <w:rFonts w:ascii="Times New Roman" w:hAnsi="Times New Roman"/>
          <w:szCs w:val="32"/>
        </w:rPr>
        <w:t>，</w:t>
      </w:r>
      <w:r w:rsidR="005B14C1" w:rsidRPr="00E91F54">
        <w:rPr>
          <w:rFonts w:ascii="Times New Roman" w:hAnsi="Times New Roman"/>
          <w:b/>
          <w:szCs w:val="32"/>
        </w:rPr>
        <w:t>占應繳納金額</w:t>
      </w:r>
      <w:r w:rsidR="005B14C1" w:rsidRPr="00E91F54">
        <w:rPr>
          <w:rFonts w:ascii="Times New Roman" w:hAnsi="Times New Roman"/>
          <w:b/>
          <w:szCs w:val="32"/>
        </w:rPr>
        <w:t>38.86</w:t>
      </w:r>
      <w:r w:rsidR="00295160" w:rsidRPr="00E91F54">
        <w:rPr>
          <w:rFonts w:ascii="Times New Roman" w:hAnsi="Times New Roman"/>
          <w:b/>
          <w:szCs w:val="32"/>
        </w:rPr>
        <w:t>%</w:t>
      </w:r>
      <w:r w:rsidR="00D26169" w:rsidRPr="00E91F54">
        <w:rPr>
          <w:rFonts w:ascii="Times New Roman" w:hAnsi="Times New Roman"/>
          <w:szCs w:val="32"/>
        </w:rPr>
        <w:t>，詳</w:t>
      </w:r>
      <w:r w:rsidR="00BB0DA9" w:rsidRPr="00E91F54">
        <w:rPr>
          <w:rFonts w:ascii="Times New Roman" w:hAnsi="Times New Roman" w:hint="eastAsia"/>
          <w:szCs w:val="32"/>
        </w:rPr>
        <w:t>如</w:t>
      </w:r>
      <w:r w:rsidR="00D26169" w:rsidRPr="00E91F54">
        <w:rPr>
          <w:rFonts w:ascii="Times New Roman" w:hAnsi="Times New Roman"/>
          <w:szCs w:val="32"/>
        </w:rPr>
        <w:t>下表</w:t>
      </w:r>
      <w:r w:rsidR="00361D0C">
        <w:rPr>
          <w:rFonts w:ascii="Times New Roman" w:hAnsi="Times New Roman"/>
          <w:szCs w:val="32"/>
        </w:rPr>
        <w:t>1</w:t>
      </w:r>
      <w:r w:rsidR="006C243A" w:rsidRPr="00E91F54">
        <w:rPr>
          <w:rFonts w:ascii="Times New Roman" w:hAnsi="Times New Roman"/>
          <w:szCs w:val="32"/>
        </w:rPr>
        <w:t>。據</w:t>
      </w:r>
      <w:r w:rsidR="002E17DB" w:rsidRPr="00E91F54">
        <w:rPr>
          <w:rFonts w:ascii="Times New Roman" w:hAnsi="Times New Roman"/>
        </w:rPr>
        <w:t>台灣電力股份有限公司（下稱台電公司）</w:t>
      </w:r>
      <w:r w:rsidR="006C243A" w:rsidRPr="00E91F54">
        <w:rPr>
          <w:rFonts w:ascii="Times New Roman" w:hAnsi="Times New Roman"/>
          <w:szCs w:val="32"/>
        </w:rPr>
        <w:t>統計，每</w:t>
      </w:r>
      <w:proofErr w:type="gramStart"/>
      <w:r w:rsidR="006C243A" w:rsidRPr="00E91F54">
        <w:rPr>
          <w:rFonts w:ascii="Times New Roman" w:hAnsi="Times New Roman"/>
          <w:szCs w:val="32"/>
        </w:rPr>
        <w:t>瓩</w:t>
      </w:r>
      <w:proofErr w:type="gramEnd"/>
      <w:r w:rsidR="006C243A" w:rsidRPr="00E91F54">
        <w:rPr>
          <w:rFonts w:ascii="Times New Roman" w:hAnsi="Times New Roman"/>
          <w:szCs w:val="32"/>
        </w:rPr>
        <w:t>平均</w:t>
      </w:r>
      <w:r w:rsidR="00872848" w:rsidRPr="00E91F54">
        <w:rPr>
          <w:rFonts w:ascii="Times New Roman" w:hAnsi="Times New Roman" w:hint="eastAsia"/>
          <w:szCs w:val="32"/>
        </w:rPr>
        <w:t>購</w:t>
      </w:r>
      <w:r w:rsidR="006C70C5" w:rsidRPr="00E91F54">
        <w:rPr>
          <w:rFonts w:ascii="Times New Roman" w:hAnsi="Times New Roman"/>
          <w:szCs w:val="32"/>
        </w:rPr>
        <w:t>電</w:t>
      </w:r>
      <w:r w:rsidR="006C243A" w:rsidRPr="00E91F54">
        <w:rPr>
          <w:rFonts w:ascii="Times New Roman" w:hAnsi="Times New Roman"/>
          <w:szCs w:val="32"/>
        </w:rPr>
        <w:t>量約</w:t>
      </w:r>
      <w:r w:rsidR="006C243A" w:rsidRPr="00E91F54">
        <w:rPr>
          <w:rFonts w:ascii="Times New Roman" w:hAnsi="Times New Roman"/>
          <w:szCs w:val="32"/>
        </w:rPr>
        <w:t>1,196</w:t>
      </w:r>
      <w:r w:rsidR="006C243A" w:rsidRPr="00E91F54">
        <w:rPr>
          <w:rFonts w:ascii="Times New Roman" w:hAnsi="Times New Roman"/>
          <w:szCs w:val="32"/>
        </w:rPr>
        <w:t>度，上開容量（</w:t>
      </w:r>
      <w:r w:rsidR="006C243A" w:rsidRPr="00E91F54">
        <w:rPr>
          <w:rFonts w:ascii="Times New Roman" w:hAnsi="Times New Roman"/>
          <w:szCs w:val="32"/>
        </w:rPr>
        <w:t>3,986.6MW</w:t>
      </w:r>
      <w:r w:rsidR="006C243A" w:rsidRPr="00E91F54">
        <w:rPr>
          <w:rFonts w:ascii="Times New Roman" w:hAnsi="Times New Roman"/>
          <w:szCs w:val="32"/>
        </w:rPr>
        <w:t>）</w:t>
      </w:r>
      <w:r w:rsidR="006C243A" w:rsidRPr="00E91F54">
        <w:rPr>
          <w:rFonts w:ascii="Times New Roman" w:hAnsi="Times New Roman"/>
          <w:szCs w:val="32"/>
        </w:rPr>
        <w:t>1</w:t>
      </w:r>
      <w:r w:rsidR="006C243A" w:rsidRPr="00E91F54">
        <w:rPr>
          <w:rFonts w:ascii="Times New Roman" w:hAnsi="Times New Roman"/>
          <w:szCs w:val="32"/>
        </w:rPr>
        <w:t>年約可發電</w:t>
      </w:r>
      <w:r w:rsidR="006C243A" w:rsidRPr="00E91F54">
        <w:rPr>
          <w:rFonts w:ascii="Times New Roman" w:hAnsi="Times New Roman"/>
          <w:szCs w:val="32"/>
        </w:rPr>
        <w:t>47.67</w:t>
      </w:r>
      <w:r w:rsidR="006C243A" w:rsidRPr="00E91F54">
        <w:rPr>
          <w:rFonts w:ascii="Times New Roman" w:hAnsi="Times New Roman"/>
          <w:szCs w:val="32"/>
        </w:rPr>
        <w:t>億度，依再生能源</w:t>
      </w:r>
      <w:proofErr w:type="gramStart"/>
      <w:r w:rsidR="006C243A" w:rsidRPr="00E91F54">
        <w:rPr>
          <w:rFonts w:ascii="Times New Roman" w:hAnsi="Times New Roman"/>
          <w:szCs w:val="32"/>
        </w:rPr>
        <w:t>電能躉購費</w:t>
      </w:r>
      <w:proofErr w:type="gramEnd"/>
      <w:r w:rsidR="006C243A" w:rsidRPr="00E91F54">
        <w:rPr>
          <w:rFonts w:ascii="Times New Roman" w:hAnsi="Times New Roman"/>
          <w:szCs w:val="32"/>
        </w:rPr>
        <w:t>率及其計算公式中，太陽光電模組回收費用之額外費率每度</w:t>
      </w:r>
      <w:r w:rsidR="006C243A" w:rsidRPr="00E91F54">
        <w:rPr>
          <w:rFonts w:ascii="Times New Roman" w:hAnsi="Times New Roman"/>
          <w:szCs w:val="32"/>
        </w:rPr>
        <w:t>0.0656</w:t>
      </w:r>
      <w:r w:rsidR="006C243A" w:rsidRPr="00E91F54">
        <w:rPr>
          <w:rFonts w:ascii="Times New Roman" w:hAnsi="Times New Roman"/>
          <w:szCs w:val="32"/>
        </w:rPr>
        <w:t>元估算，太陽光電設置者已額外收取</w:t>
      </w:r>
      <w:r w:rsidR="006C243A" w:rsidRPr="00E91F54">
        <w:rPr>
          <w:rFonts w:ascii="Times New Roman" w:hAnsi="Times New Roman"/>
          <w:szCs w:val="32"/>
        </w:rPr>
        <w:t>3.12</w:t>
      </w:r>
      <w:r w:rsidR="006C243A" w:rsidRPr="00E91F54">
        <w:rPr>
          <w:rFonts w:ascii="Times New Roman" w:hAnsi="Times New Roman"/>
          <w:szCs w:val="32"/>
        </w:rPr>
        <w:t>億</w:t>
      </w:r>
      <w:r w:rsidR="004B5743" w:rsidRPr="00E91F54">
        <w:rPr>
          <w:rFonts w:ascii="Times New Roman" w:hAnsi="Times New Roman" w:hint="eastAsia"/>
          <w:szCs w:val="32"/>
        </w:rPr>
        <w:t>餘</w:t>
      </w:r>
      <w:r w:rsidR="006C243A" w:rsidRPr="00E91F54">
        <w:rPr>
          <w:rFonts w:ascii="Times New Roman" w:hAnsi="Times New Roman"/>
          <w:szCs w:val="32"/>
        </w:rPr>
        <w:t>元之售電收入</w:t>
      </w:r>
      <w:r w:rsidR="00CF3159" w:rsidRPr="00E91F54">
        <w:rPr>
          <w:rStyle w:val="aff0"/>
        </w:rPr>
        <w:footnoteReference w:id="5"/>
      </w:r>
      <w:r w:rsidR="006C243A" w:rsidRPr="00E91F54">
        <w:rPr>
          <w:rFonts w:ascii="Times New Roman" w:hAnsi="Times New Roman"/>
          <w:szCs w:val="32"/>
        </w:rPr>
        <w:t>，卻未支付相應之模組回收費用，又</w:t>
      </w:r>
      <w:proofErr w:type="gramStart"/>
      <w:r w:rsidR="006C243A" w:rsidRPr="00E91F54">
        <w:rPr>
          <w:rFonts w:ascii="Times New Roman" w:hAnsi="Times New Roman"/>
          <w:szCs w:val="32"/>
        </w:rPr>
        <w:t>11</w:t>
      </w:r>
      <w:proofErr w:type="gramEnd"/>
      <w:r w:rsidR="006C243A" w:rsidRPr="00E91F54">
        <w:rPr>
          <w:rFonts w:ascii="Times New Roman" w:hAnsi="Times New Roman"/>
          <w:szCs w:val="32"/>
        </w:rPr>
        <w:t>2</w:t>
      </w:r>
      <w:r w:rsidR="006C243A" w:rsidRPr="00E91F54">
        <w:rPr>
          <w:rFonts w:ascii="Times New Roman" w:hAnsi="Times New Roman"/>
          <w:szCs w:val="32"/>
        </w:rPr>
        <w:t>年度</w:t>
      </w:r>
      <w:r w:rsidR="006C70C5" w:rsidRPr="00E91F54">
        <w:rPr>
          <w:rFonts w:ascii="Times New Roman" w:hAnsi="Times New Roman"/>
          <w:szCs w:val="32"/>
        </w:rPr>
        <w:t>經</w:t>
      </w:r>
      <w:r w:rsidR="006C243A" w:rsidRPr="00E91F54">
        <w:rPr>
          <w:rFonts w:ascii="Times New Roman" w:hAnsi="Times New Roman"/>
          <w:szCs w:val="32"/>
        </w:rPr>
        <w:t>通知而未繳納案件中，仍有裝置容量</w:t>
      </w:r>
      <w:r w:rsidR="006C243A" w:rsidRPr="00E91F54">
        <w:rPr>
          <w:rFonts w:ascii="Times New Roman" w:hAnsi="Times New Roman"/>
          <w:szCs w:val="32"/>
        </w:rPr>
        <w:t>36.82MW</w:t>
      </w:r>
      <w:r w:rsidR="006C243A" w:rsidRPr="00E91F54">
        <w:rPr>
          <w:rFonts w:ascii="Times New Roman" w:hAnsi="Times New Roman"/>
          <w:szCs w:val="32"/>
        </w:rPr>
        <w:t>（</w:t>
      </w:r>
      <w:r w:rsidR="00C356B1" w:rsidRPr="00E91F54">
        <w:rPr>
          <w:rFonts w:ascii="Times New Roman" w:hAnsi="Times New Roman" w:hint="eastAsia"/>
          <w:szCs w:val="32"/>
        </w:rPr>
        <w:t>每年</w:t>
      </w:r>
      <w:r w:rsidR="006C70C5" w:rsidRPr="00E91F54">
        <w:rPr>
          <w:rFonts w:ascii="Times New Roman" w:hAnsi="Times New Roman"/>
          <w:szCs w:val="32"/>
        </w:rPr>
        <w:t>每瓩</w:t>
      </w:r>
      <w:r w:rsidR="006C243A" w:rsidRPr="00E91F54">
        <w:rPr>
          <w:rFonts w:ascii="Times New Roman" w:hAnsi="Times New Roman"/>
          <w:szCs w:val="32"/>
        </w:rPr>
        <w:t>應繳納</w:t>
      </w:r>
      <w:r w:rsidR="006C70C5" w:rsidRPr="00E91F54">
        <w:rPr>
          <w:rFonts w:ascii="Times New Roman" w:hAnsi="Times New Roman"/>
          <w:szCs w:val="32"/>
        </w:rPr>
        <w:t>回收費用</w:t>
      </w:r>
      <w:r w:rsidR="006C70C5" w:rsidRPr="00E91F54">
        <w:rPr>
          <w:rFonts w:ascii="Times New Roman" w:hAnsi="Times New Roman"/>
          <w:szCs w:val="32"/>
        </w:rPr>
        <w:t>100</w:t>
      </w:r>
      <w:r w:rsidR="006C70C5" w:rsidRPr="00E91F54">
        <w:rPr>
          <w:rFonts w:ascii="Times New Roman" w:hAnsi="Times New Roman"/>
          <w:szCs w:val="32"/>
        </w:rPr>
        <w:t>元，約</w:t>
      </w:r>
      <w:r w:rsidR="006C243A" w:rsidRPr="00E91F54">
        <w:rPr>
          <w:rFonts w:ascii="Times New Roman" w:hAnsi="Times New Roman"/>
          <w:szCs w:val="32"/>
        </w:rPr>
        <w:t>368</w:t>
      </w:r>
      <w:r w:rsidR="00C356B1" w:rsidRPr="00E91F54">
        <w:rPr>
          <w:rFonts w:ascii="Times New Roman" w:hAnsi="Times New Roman"/>
          <w:szCs w:val="32"/>
        </w:rPr>
        <w:t>.</w:t>
      </w:r>
      <w:r w:rsidR="00CF3159" w:rsidRPr="00E91F54">
        <w:rPr>
          <w:rFonts w:ascii="Times New Roman" w:hAnsi="Times New Roman"/>
          <w:szCs w:val="32"/>
        </w:rPr>
        <w:t>2</w:t>
      </w:r>
      <w:r w:rsidR="006C243A" w:rsidRPr="00E91F54">
        <w:rPr>
          <w:rFonts w:ascii="Times New Roman" w:hAnsi="Times New Roman"/>
          <w:szCs w:val="32"/>
        </w:rPr>
        <w:t>萬元）因收件資訊錯誤或未更新，繳費通知未送達應繳納對象</w:t>
      </w:r>
      <w:r w:rsidR="00D26169" w:rsidRPr="00E91F54">
        <w:rPr>
          <w:rFonts w:ascii="Times New Roman" w:hAnsi="Times New Roman"/>
          <w:szCs w:val="32"/>
        </w:rPr>
        <w:t>，</w:t>
      </w:r>
      <w:r w:rsidR="005B14C1" w:rsidRPr="00E91F54">
        <w:rPr>
          <w:rFonts w:ascii="Times New Roman" w:hAnsi="Times New Roman"/>
          <w:szCs w:val="32"/>
        </w:rPr>
        <w:t>甚有設置者資訊錯誤致繳費通知未送達等情，</w:t>
      </w:r>
      <w:r w:rsidR="00D26169" w:rsidRPr="00E91F54">
        <w:rPr>
          <w:rFonts w:ascii="Times New Roman" w:hAnsi="Times New Roman"/>
          <w:szCs w:val="32"/>
        </w:rPr>
        <w:t>相關作業有待持續強化。</w:t>
      </w:r>
    </w:p>
    <w:p w:rsidR="005B14C1" w:rsidRPr="00E91F54" w:rsidRDefault="009F7A5F" w:rsidP="00926B50">
      <w:pPr>
        <w:pStyle w:val="a3"/>
        <w:ind w:left="697" w:firstLine="579"/>
        <w:jc w:val="left"/>
        <w:rPr>
          <w:rFonts w:ascii="Times New Roman"/>
          <w:spacing w:val="-20"/>
        </w:rPr>
      </w:pPr>
      <w:r w:rsidRPr="00E91F54">
        <w:rPr>
          <w:rFonts w:ascii="Times New Roman" w:hAnsi="Times New Roman"/>
        </w:rPr>
        <w:lastRenderedPageBreak/>
        <w:t>太陽光電模組回收費用繳納情形</w:t>
      </w:r>
      <w:r w:rsidRPr="00E91F54">
        <w:rPr>
          <w:rFonts w:ascii="Times New Roman" w:hAnsi="Times New Roman"/>
        </w:rPr>
        <w:t xml:space="preserve">    </w:t>
      </w:r>
      <w:r w:rsidR="00B0271A" w:rsidRPr="00E91F54">
        <w:rPr>
          <w:rFonts w:ascii="Times New Roman" w:hAnsi="Times New Roman"/>
        </w:rPr>
        <w:t xml:space="preserve">    </w:t>
      </w:r>
      <w:r w:rsidRPr="00E91F54">
        <w:rPr>
          <w:rFonts w:ascii="Times New Roman"/>
          <w:spacing w:val="-20"/>
        </w:rPr>
        <w:t xml:space="preserve">  </w:t>
      </w:r>
    </w:p>
    <w:tbl>
      <w:tblPr>
        <w:tblStyle w:val="33"/>
        <w:tblW w:w="8364" w:type="dxa"/>
        <w:tblInd w:w="562" w:type="dxa"/>
        <w:tblLayout w:type="fixed"/>
        <w:tblLook w:val="04A0" w:firstRow="1" w:lastRow="0" w:firstColumn="1" w:lastColumn="0" w:noHBand="0" w:noVBand="1"/>
      </w:tblPr>
      <w:tblGrid>
        <w:gridCol w:w="851"/>
        <w:gridCol w:w="1417"/>
        <w:gridCol w:w="1276"/>
        <w:gridCol w:w="1276"/>
        <w:gridCol w:w="993"/>
        <w:gridCol w:w="2551"/>
      </w:tblGrid>
      <w:tr w:rsidR="00AA18D3" w:rsidRPr="00E91F54" w:rsidTr="00010EA6">
        <w:trPr>
          <w:trHeight w:val="271"/>
          <w:tblHeader/>
        </w:trPr>
        <w:tc>
          <w:tcPr>
            <w:tcW w:w="851" w:type="dxa"/>
            <w:vMerge w:val="restart"/>
            <w:shd w:val="clear" w:color="auto" w:fill="D9D9D9" w:themeFill="background1" w:themeFillShade="D9"/>
            <w:vAlign w:val="center"/>
          </w:tcPr>
          <w:p w:rsidR="00AA18D3" w:rsidRPr="00E91F54" w:rsidRDefault="00AA18D3" w:rsidP="004B3296">
            <w:pPr>
              <w:pStyle w:val="14"/>
              <w:rPr>
                <w:rFonts w:ascii="Times New Roman" w:hAnsi="Times New Roman" w:cs="Times New Roman"/>
              </w:rPr>
            </w:pPr>
            <w:r w:rsidRPr="00E91F54">
              <w:rPr>
                <w:rFonts w:ascii="Times New Roman" w:hAnsi="Times New Roman" w:cs="Times New Roman"/>
              </w:rPr>
              <w:t>年度</w:t>
            </w:r>
          </w:p>
        </w:tc>
        <w:tc>
          <w:tcPr>
            <w:tcW w:w="1417" w:type="dxa"/>
            <w:vMerge w:val="restart"/>
            <w:tcBorders>
              <w:right w:val="nil"/>
            </w:tcBorders>
            <w:shd w:val="clear" w:color="auto" w:fill="D9D9D9" w:themeFill="background1" w:themeFillShade="D9"/>
            <w:vAlign w:val="center"/>
          </w:tcPr>
          <w:p w:rsidR="00AA18D3" w:rsidRPr="00E91F54" w:rsidRDefault="00AA18D3" w:rsidP="00926B50">
            <w:pPr>
              <w:pStyle w:val="14"/>
              <w:rPr>
                <w:rFonts w:ascii="Times New Roman" w:hAnsi="Times New Roman" w:cs="Times New Roman"/>
              </w:rPr>
            </w:pPr>
            <w:r w:rsidRPr="00E91F54">
              <w:rPr>
                <w:rFonts w:ascii="Times New Roman" w:hAnsi="Times New Roman" w:cs="Times New Roman"/>
              </w:rPr>
              <w:t>應繳納金額</w:t>
            </w:r>
            <w:r w:rsidR="00926B50" w:rsidRPr="00E91F54">
              <w:rPr>
                <w:rFonts w:ascii="Times New Roman" w:hAnsi="Times New Roman" w:cs="Times New Roman" w:hint="eastAsia"/>
                <w:sz w:val="24"/>
              </w:rPr>
              <w:t>（</w:t>
            </w:r>
            <w:r w:rsidR="00926B50" w:rsidRPr="00E91F54">
              <w:rPr>
                <w:rFonts w:ascii="Times New Roman"/>
                <w:spacing w:val="-20"/>
                <w:sz w:val="24"/>
              </w:rPr>
              <w:t>千元</w:t>
            </w:r>
            <w:r w:rsidR="00926B50" w:rsidRPr="00E91F54">
              <w:rPr>
                <w:rFonts w:ascii="Times New Roman" w:hint="eastAsia"/>
                <w:spacing w:val="-20"/>
                <w:sz w:val="24"/>
              </w:rPr>
              <w:t>）</w:t>
            </w:r>
          </w:p>
        </w:tc>
        <w:tc>
          <w:tcPr>
            <w:tcW w:w="1276" w:type="dxa"/>
            <w:tcBorders>
              <w:left w:val="nil"/>
              <w:right w:val="nil"/>
            </w:tcBorders>
            <w:shd w:val="clear" w:color="auto" w:fill="D9D9D9" w:themeFill="background1" w:themeFillShade="D9"/>
            <w:vAlign w:val="center"/>
          </w:tcPr>
          <w:p w:rsidR="00AA18D3" w:rsidRPr="00E91F54" w:rsidRDefault="00AA18D3" w:rsidP="004B3296">
            <w:pPr>
              <w:pStyle w:val="14"/>
              <w:rPr>
                <w:rFonts w:ascii="Times New Roman" w:hAnsi="Times New Roman" w:cs="Times New Roman"/>
              </w:rPr>
            </w:pPr>
          </w:p>
        </w:tc>
        <w:tc>
          <w:tcPr>
            <w:tcW w:w="1276" w:type="dxa"/>
            <w:tcBorders>
              <w:left w:val="nil"/>
              <w:bottom w:val="single" w:sz="4" w:space="0" w:color="auto"/>
              <w:right w:val="nil"/>
            </w:tcBorders>
            <w:shd w:val="clear" w:color="auto" w:fill="D9D9D9" w:themeFill="background1" w:themeFillShade="D9"/>
            <w:vAlign w:val="center"/>
          </w:tcPr>
          <w:p w:rsidR="00AA18D3" w:rsidRPr="00E91F54" w:rsidRDefault="00AA18D3" w:rsidP="004B3296">
            <w:pPr>
              <w:pStyle w:val="14"/>
              <w:rPr>
                <w:rFonts w:ascii="Times New Roman" w:hAnsi="Times New Roman" w:cs="Times New Roman"/>
              </w:rPr>
            </w:pPr>
          </w:p>
        </w:tc>
        <w:tc>
          <w:tcPr>
            <w:tcW w:w="993" w:type="dxa"/>
            <w:tcBorders>
              <w:left w:val="nil"/>
              <w:bottom w:val="single" w:sz="4" w:space="0" w:color="auto"/>
            </w:tcBorders>
            <w:shd w:val="clear" w:color="auto" w:fill="D9D9D9" w:themeFill="background1" w:themeFillShade="D9"/>
            <w:vAlign w:val="center"/>
          </w:tcPr>
          <w:p w:rsidR="00AA18D3" w:rsidRPr="00E91F54" w:rsidRDefault="00AA18D3" w:rsidP="004B3296">
            <w:pPr>
              <w:pStyle w:val="14"/>
              <w:rPr>
                <w:rFonts w:ascii="Times New Roman" w:hAnsi="Times New Roman" w:cs="Times New Roman"/>
              </w:rPr>
            </w:pPr>
          </w:p>
        </w:tc>
        <w:tc>
          <w:tcPr>
            <w:tcW w:w="2551" w:type="dxa"/>
            <w:vMerge w:val="restart"/>
            <w:tcBorders>
              <w:left w:val="nil"/>
            </w:tcBorders>
            <w:shd w:val="clear" w:color="auto" w:fill="D9D9D9" w:themeFill="background1" w:themeFillShade="D9"/>
            <w:vAlign w:val="center"/>
          </w:tcPr>
          <w:p w:rsidR="00AA18D3" w:rsidRPr="00E91F54" w:rsidRDefault="00AA18D3" w:rsidP="004B3296">
            <w:pPr>
              <w:pStyle w:val="14"/>
              <w:rPr>
                <w:rFonts w:ascii="Times New Roman" w:hAnsi="Times New Roman" w:cs="Times New Roman"/>
              </w:rPr>
            </w:pPr>
            <w:r w:rsidRPr="00E91F54">
              <w:rPr>
                <w:rFonts w:ascii="Times New Roman" w:hAnsi="Times New Roman" w:cs="Times New Roman"/>
              </w:rPr>
              <w:t>未繳納原因說明</w:t>
            </w:r>
          </w:p>
        </w:tc>
      </w:tr>
      <w:tr w:rsidR="00AA18D3" w:rsidRPr="00E91F54" w:rsidTr="00010EA6">
        <w:trPr>
          <w:trHeight w:val="289"/>
          <w:tblHeader/>
        </w:trPr>
        <w:tc>
          <w:tcPr>
            <w:tcW w:w="851" w:type="dxa"/>
            <w:vMerge/>
            <w:vAlign w:val="center"/>
          </w:tcPr>
          <w:p w:rsidR="00AA18D3" w:rsidRPr="00E91F54" w:rsidRDefault="00AA18D3" w:rsidP="004B3296">
            <w:pPr>
              <w:pStyle w:val="14"/>
              <w:rPr>
                <w:rFonts w:ascii="Times New Roman" w:hAnsi="Times New Roman" w:cs="Times New Roman"/>
              </w:rPr>
            </w:pPr>
          </w:p>
        </w:tc>
        <w:tc>
          <w:tcPr>
            <w:tcW w:w="1417" w:type="dxa"/>
            <w:vMerge/>
            <w:vAlign w:val="center"/>
          </w:tcPr>
          <w:p w:rsidR="00AA18D3" w:rsidRPr="00E91F54" w:rsidRDefault="00AA18D3" w:rsidP="004B3296">
            <w:pPr>
              <w:pStyle w:val="14"/>
              <w:rPr>
                <w:rFonts w:ascii="Times New Roman" w:hAnsi="Times New Roman" w:cs="Times New Roman"/>
              </w:rPr>
            </w:pPr>
          </w:p>
        </w:tc>
        <w:tc>
          <w:tcPr>
            <w:tcW w:w="1276" w:type="dxa"/>
            <w:vMerge w:val="restart"/>
            <w:shd w:val="clear" w:color="auto" w:fill="D9D9D9" w:themeFill="background1" w:themeFillShade="D9"/>
            <w:vAlign w:val="center"/>
          </w:tcPr>
          <w:p w:rsidR="00AA18D3" w:rsidRPr="00E91F54" w:rsidRDefault="00AA18D3" w:rsidP="004B3296">
            <w:pPr>
              <w:pStyle w:val="14"/>
              <w:rPr>
                <w:rFonts w:ascii="Times New Roman" w:hAnsi="Times New Roman" w:cs="Times New Roman"/>
              </w:rPr>
            </w:pPr>
            <w:r w:rsidRPr="00E91F54">
              <w:rPr>
                <w:rFonts w:ascii="Times New Roman" w:hAnsi="Times New Roman" w:cs="Times New Roman"/>
              </w:rPr>
              <w:t>已繳納</w:t>
            </w:r>
            <w:r w:rsidR="00926B50" w:rsidRPr="00E91F54">
              <w:rPr>
                <w:rFonts w:ascii="Times New Roman" w:hAnsi="Times New Roman" w:cs="Times New Roman" w:hint="eastAsia"/>
                <w:sz w:val="24"/>
              </w:rPr>
              <w:t>（</w:t>
            </w:r>
            <w:r w:rsidR="00926B50" w:rsidRPr="00E91F54">
              <w:rPr>
                <w:rFonts w:ascii="Times New Roman"/>
                <w:spacing w:val="-20"/>
                <w:sz w:val="24"/>
              </w:rPr>
              <w:t>千元</w:t>
            </w:r>
            <w:r w:rsidR="00926B50" w:rsidRPr="00E91F54">
              <w:rPr>
                <w:rFonts w:ascii="Times New Roman" w:hint="eastAsia"/>
                <w:spacing w:val="-20"/>
                <w:sz w:val="24"/>
              </w:rPr>
              <w:t>）</w:t>
            </w:r>
          </w:p>
        </w:tc>
        <w:tc>
          <w:tcPr>
            <w:tcW w:w="1276" w:type="dxa"/>
            <w:vMerge w:val="restart"/>
            <w:tcBorders>
              <w:right w:val="nil"/>
            </w:tcBorders>
            <w:shd w:val="clear" w:color="auto" w:fill="D9D9D9" w:themeFill="background1" w:themeFillShade="D9"/>
            <w:vAlign w:val="center"/>
          </w:tcPr>
          <w:p w:rsidR="00AA18D3" w:rsidRPr="00E91F54" w:rsidRDefault="00AA18D3" w:rsidP="004B3296">
            <w:pPr>
              <w:pStyle w:val="14"/>
              <w:rPr>
                <w:rFonts w:ascii="Times New Roman" w:hAnsi="Times New Roman" w:cs="Times New Roman"/>
              </w:rPr>
            </w:pPr>
            <w:r w:rsidRPr="00E91F54">
              <w:rPr>
                <w:rFonts w:ascii="Times New Roman" w:hAnsi="Times New Roman" w:cs="Times New Roman"/>
              </w:rPr>
              <w:t>未繳納</w:t>
            </w:r>
            <w:r w:rsidR="00926B50" w:rsidRPr="00E91F54">
              <w:rPr>
                <w:rFonts w:ascii="Times New Roman" w:hAnsi="Times New Roman" w:cs="Times New Roman" w:hint="eastAsia"/>
                <w:sz w:val="24"/>
              </w:rPr>
              <w:t>（</w:t>
            </w:r>
            <w:r w:rsidR="00926B50" w:rsidRPr="00E91F54">
              <w:rPr>
                <w:rFonts w:ascii="Times New Roman"/>
                <w:spacing w:val="-20"/>
                <w:sz w:val="24"/>
              </w:rPr>
              <w:t>千元</w:t>
            </w:r>
            <w:r w:rsidR="00926B50" w:rsidRPr="00E91F54">
              <w:rPr>
                <w:rFonts w:ascii="Times New Roman" w:hint="eastAsia"/>
                <w:spacing w:val="-20"/>
                <w:sz w:val="24"/>
              </w:rPr>
              <w:t>）</w:t>
            </w:r>
          </w:p>
        </w:tc>
        <w:tc>
          <w:tcPr>
            <w:tcW w:w="993" w:type="dxa"/>
            <w:tcBorders>
              <w:left w:val="nil"/>
            </w:tcBorders>
            <w:shd w:val="clear" w:color="auto" w:fill="D9D9D9" w:themeFill="background1" w:themeFillShade="D9"/>
            <w:vAlign w:val="center"/>
          </w:tcPr>
          <w:p w:rsidR="00AA18D3" w:rsidRPr="00E91F54" w:rsidRDefault="00AA18D3" w:rsidP="004B3296">
            <w:pPr>
              <w:pStyle w:val="14"/>
              <w:rPr>
                <w:rFonts w:ascii="Times New Roman" w:hAnsi="Times New Roman" w:cs="Times New Roman"/>
              </w:rPr>
            </w:pPr>
          </w:p>
        </w:tc>
        <w:tc>
          <w:tcPr>
            <w:tcW w:w="2551" w:type="dxa"/>
            <w:vMerge/>
            <w:tcBorders>
              <w:left w:val="nil"/>
            </w:tcBorders>
          </w:tcPr>
          <w:p w:rsidR="00AA18D3" w:rsidRPr="00E91F54" w:rsidRDefault="00AA18D3" w:rsidP="004B3296">
            <w:pPr>
              <w:pStyle w:val="14"/>
              <w:rPr>
                <w:rFonts w:ascii="Times New Roman" w:hAnsi="Times New Roman" w:cs="Times New Roman"/>
              </w:rPr>
            </w:pPr>
          </w:p>
        </w:tc>
      </w:tr>
      <w:tr w:rsidR="00AA18D3" w:rsidRPr="00E91F54" w:rsidTr="00010EA6">
        <w:trPr>
          <w:trHeight w:val="332"/>
          <w:tblHeader/>
        </w:trPr>
        <w:tc>
          <w:tcPr>
            <w:tcW w:w="851" w:type="dxa"/>
            <w:vMerge/>
            <w:vAlign w:val="center"/>
          </w:tcPr>
          <w:p w:rsidR="00AA18D3" w:rsidRPr="00E91F54" w:rsidRDefault="00AA18D3" w:rsidP="004B3296">
            <w:pPr>
              <w:pStyle w:val="14"/>
              <w:rPr>
                <w:rFonts w:ascii="Times New Roman" w:hAnsi="Times New Roman" w:cs="Times New Roman"/>
              </w:rPr>
            </w:pPr>
          </w:p>
        </w:tc>
        <w:tc>
          <w:tcPr>
            <w:tcW w:w="1417" w:type="dxa"/>
            <w:vMerge/>
            <w:vAlign w:val="center"/>
          </w:tcPr>
          <w:p w:rsidR="00AA18D3" w:rsidRPr="00E91F54" w:rsidRDefault="00AA18D3" w:rsidP="004B3296">
            <w:pPr>
              <w:pStyle w:val="14"/>
              <w:rPr>
                <w:rFonts w:ascii="Times New Roman" w:hAnsi="Times New Roman" w:cs="Times New Roman"/>
              </w:rPr>
            </w:pPr>
          </w:p>
        </w:tc>
        <w:tc>
          <w:tcPr>
            <w:tcW w:w="1276" w:type="dxa"/>
            <w:vMerge/>
            <w:shd w:val="clear" w:color="auto" w:fill="D9D9D9" w:themeFill="background1" w:themeFillShade="D9"/>
            <w:vAlign w:val="center"/>
          </w:tcPr>
          <w:p w:rsidR="00AA18D3" w:rsidRPr="00E91F54" w:rsidRDefault="00AA18D3" w:rsidP="004B3296">
            <w:pPr>
              <w:pStyle w:val="14"/>
              <w:rPr>
                <w:rFonts w:ascii="Times New Roman" w:hAnsi="Times New Roman" w:cs="Times New Roman"/>
              </w:rPr>
            </w:pPr>
          </w:p>
        </w:tc>
        <w:tc>
          <w:tcPr>
            <w:tcW w:w="1276" w:type="dxa"/>
            <w:vMerge/>
            <w:shd w:val="clear" w:color="auto" w:fill="D9D9D9" w:themeFill="background1" w:themeFillShade="D9"/>
            <w:vAlign w:val="center"/>
          </w:tcPr>
          <w:p w:rsidR="00AA18D3" w:rsidRPr="00E91F54" w:rsidRDefault="00AA18D3" w:rsidP="004B3296">
            <w:pPr>
              <w:pStyle w:val="14"/>
              <w:rPr>
                <w:rFonts w:ascii="Times New Roman" w:hAnsi="Times New Roman" w:cs="Times New Roman"/>
              </w:rPr>
            </w:pPr>
          </w:p>
        </w:tc>
        <w:tc>
          <w:tcPr>
            <w:tcW w:w="993" w:type="dxa"/>
            <w:shd w:val="clear" w:color="auto" w:fill="D9D9D9" w:themeFill="background1" w:themeFillShade="D9"/>
            <w:vAlign w:val="center"/>
          </w:tcPr>
          <w:p w:rsidR="00AA18D3" w:rsidRPr="00E91F54" w:rsidRDefault="00AA18D3" w:rsidP="004B3296">
            <w:pPr>
              <w:pStyle w:val="14"/>
              <w:rPr>
                <w:rFonts w:ascii="Times New Roman" w:hAnsi="Times New Roman" w:cs="Times New Roman"/>
              </w:rPr>
            </w:pPr>
            <w:r w:rsidRPr="00E91F54">
              <w:rPr>
                <w:rFonts w:ascii="Times New Roman" w:hAnsi="Times New Roman" w:cs="Times New Roman"/>
              </w:rPr>
              <w:t>占比</w:t>
            </w:r>
            <w:r w:rsidR="00E87D20" w:rsidRPr="00E91F54">
              <w:rPr>
                <w:rFonts w:ascii="Times New Roman" w:hAnsi="Times New Roman" w:cs="Times New Roman"/>
              </w:rPr>
              <w:t>%</w:t>
            </w:r>
          </w:p>
        </w:tc>
        <w:tc>
          <w:tcPr>
            <w:tcW w:w="2551" w:type="dxa"/>
            <w:vMerge/>
          </w:tcPr>
          <w:p w:rsidR="00AA18D3" w:rsidRPr="00E91F54" w:rsidRDefault="00AA18D3" w:rsidP="004B3296">
            <w:pPr>
              <w:pStyle w:val="14"/>
              <w:rPr>
                <w:rFonts w:ascii="Times New Roman" w:hAnsi="Times New Roman" w:cs="Times New Roman"/>
              </w:rPr>
            </w:pPr>
          </w:p>
        </w:tc>
      </w:tr>
      <w:tr w:rsidR="00AA18D3" w:rsidRPr="00E91F54" w:rsidTr="00010EA6">
        <w:trPr>
          <w:trHeight w:val="454"/>
        </w:trPr>
        <w:tc>
          <w:tcPr>
            <w:tcW w:w="851" w:type="dxa"/>
            <w:vAlign w:val="center"/>
          </w:tcPr>
          <w:p w:rsidR="00AA18D3" w:rsidRPr="00E91F54" w:rsidRDefault="00AA18D3" w:rsidP="004B3296">
            <w:pPr>
              <w:pStyle w:val="14"/>
              <w:jc w:val="center"/>
              <w:rPr>
                <w:rFonts w:ascii="Times New Roman" w:hAnsi="Times New Roman" w:cs="Times New Roman"/>
                <w:b/>
              </w:rPr>
            </w:pPr>
            <w:r w:rsidRPr="00E91F54">
              <w:rPr>
                <w:rFonts w:ascii="Times New Roman" w:hAnsi="Times New Roman" w:cs="Times New Roman"/>
                <w:b/>
              </w:rPr>
              <w:t>合計</w:t>
            </w:r>
          </w:p>
        </w:tc>
        <w:tc>
          <w:tcPr>
            <w:tcW w:w="1417" w:type="dxa"/>
            <w:vAlign w:val="center"/>
          </w:tcPr>
          <w:p w:rsidR="00AA18D3" w:rsidRPr="00E91F54" w:rsidRDefault="00AA18D3" w:rsidP="004B3296">
            <w:pPr>
              <w:pStyle w:val="14"/>
              <w:jc w:val="right"/>
              <w:rPr>
                <w:rFonts w:ascii="Times New Roman" w:hAnsi="Times New Roman" w:cs="Times New Roman"/>
                <w:b/>
              </w:rPr>
            </w:pPr>
            <w:r w:rsidRPr="00E91F54">
              <w:rPr>
                <w:rFonts w:ascii="Times New Roman" w:hAnsi="Times New Roman" w:cs="Times New Roman"/>
                <w:b/>
              </w:rPr>
              <w:t>1,025,913</w:t>
            </w:r>
          </w:p>
        </w:tc>
        <w:tc>
          <w:tcPr>
            <w:tcW w:w="1276" w:type="dxa"/>
            <w:vAlign w:val="center"/>
          </w:tcPr>
          <w:p w:rsidR="00AA18D3" w:rsidRPr="00E91F54" w:rsidRDefault="00AA18D3" w:rsidP="004B3296">
            <w:pPr>
              <w:pStyle w:val="14"/>
              <w:jc w:val="right"/>
              <w:rPr>
                <w:rFonts w:ascii="Times New Roman" w:hAnsi="Times New Roman" w:cs="Times New Roman"/>
                <w:b/>
              </w:rPr>
            </w:pPr>
            <w:r w:rsidRPr="00E91F54">
              <w:rPr>
                <w:rFonts w:ascii="Times New Roman" w:hAnsi="Times New Roman" w:cs="Times New Roman"/>
                <w:b/>
              </w:rPr>
              <w:t>627,247</w:t>
            </w:r>
          </w:p>
        </w:tc>
        <w:tc>
          <w:tcPr>
            <w:tcW w:w="1276" w:type="dxa"/>
            <w:vAlign w:val="center"/>
          </w:tcPr>
          <w:p w:rsidR="00AA18D3" w:rsidRPr="00E91F54" w:rsidRDefault="00AA18D3" w:rsidP="004B3296">
            <w:pPr>
              <w:pStyle w:val="14"/>
              <w:jc w:val="right"/>
              <w:rPr>
                <w:rFonts w:ascii="Times New Roman" w:hAnsi="Times New Roman" w:cs="Times New Roman"/>
                <w:b/>
              </w:rPr>
            </w:pPr>
            <w:r w:rsidRPr="00E91F54">
              <w:rPr>
                <w:rFonts w:ascii="Times New Roman" w:hAnsi="Times New Roman" w:cs="Times New Roman"/>
                <w:b/>
              </w:rPr>
              <w:t>398,665</w:t>
            </w:r>
          </w:p>
        </w:tc>
        <w:tc>
          <w:tcPr>
            <w:tcW w:w="993" w:type="dxa"/>
            <w:vAlign w:val="center"/>
          </w:tcPr>
          <w:p w:rsidR="00AA18D3" w:rsidRPr="00E91F54" w:rsidRDefault="00AA18D3" w:rsidP="004B3296">
            <w:pPr>
              <w:pStyle w:val="14"/>
              <w:jc w:val="right"/>
              <w:rPr>
                <w:rFonts w:ascii="Times New Roman" w:hAnsi="Times New Roman" w:cs="Times New Roman"/>
                <w:b/>
              </w:rPr>
            </w:pPr>
            <w:r w:rsidRPr="00E91F54">
              <w:rPr>
                <w:rFonts w:ascii="Times New Roman" w:hAnsi="Times New Roman" w:cs="Times New Roman"/>
                <w:b/>
              </w:rPr>
              <w:t>38.86</w:t>
            </w:r>
          </w:p>
        </w:tc>
        <w:tc>
          <w:tcPr>
            <w:tcW w:w="2551" w:type="dxa"/>
            <w:vMerge w:val="restart"/>
          </w:tcPr>
          <w:p w:rsidR="00AA18D3" w:rsidRPr="00E91F54" w:rsidRDefault="00AA18D3" w:rsidP="004B3296">
            <w:pPr>
              <w:pStyle w:val="14"/>
              <w:rPr>
                <w:rFonts w:ascii="Times New Roman" w:hAnsi="Times New Roman" w:cs="Times New Roman"/>
              </w:rPr>
            </w:pPr>
            <w:r w:rsidRPr="00E91F54">
              <w:rPr>
                <w:rFonts w:ascii="Times New Roman" w:hAnsi="Times New Roman" w:cs="Times New Roman"/>
              </w:rPr>
              <w:t>原因可分為兩種：（一）遭認為是詐騙；（二）設置者聯絡地址已變更，未收到繳費通知。</w:t>
            </w:r>
          </w:p>
        </w:tc>
      </w:tr>
      <w:tr w:rsidR="00AA18D3" w:rsidRPr="00E91F54" w:rsidTr="00010EA6">
        <w:trPr>
          <w:trHeight w:val="454"/>
        </w:trPr>
        <w:tc>
          <w:tcPr>
            <w:tcW w:w="851" w:type="dxa"/>
            <w:vAlign w:val="center"/>
          </w:tcPr>
          <w:p w:rsidR="00AA18D3" w:rsidRPr="00E91F54" w:rsidRDefault="00AA18D3" w:rsidP="004B3296">
            <w:pPr>
              <w:pStyle w:val="14"/>
              <w:jc w:val="center"/>
              <w:rPr>
                <w:rFonts w:ascii="Times New Roman" w:hAnsi="Times New Roman" w:cs="Times New Roman"/>
              </w:rPr>
            </w:pPr>
            <w:r w:rsidRPr="00E91F54">
              <w:rPr>
                <w:rFonts w:ascii="Times New Roman" w:hAnsi="Times New Roman" w:cs="Times New Roman"/>
              </w:rPr>
              <w:t>110</w:t>
            </w:r>
          </w:p>
        </w:tc>
        <w:tc>
          <w:tcPr>
            <w:tcW w:w="1417" w:type="dxa"/>
            <w:vAlign w:val="center"/>
          </w:tcPr>
          <w:p w:rsidR="00AA18D3" w:rsidRPr="00E91F54" w:rsidRDefault="00AA18D3" w:rsidP="004B3296">
            <w:pPr>
              <w:pStyle w:val="14"/>
              <w:jc w:val="right"/>
              <w:rPr>
                <w:rFonts w:ascii="Times New Roman" w:hAnsi="Times New Roman" w:cs="Times New Roman"/>
              </w:rPr>
            </w:pPr>
            <w:r w:rsidRPr="00E91F54">
              <w:rPr>
                <w:rFonts w:ascii="Times New Roman" w:hAnsi="Times New Roman" w:cs="Times New Roman"/>
              </w:rPr>
              <w:t>99,102</w:t>
            </w:r>
          </w:p>
        </w:tc>
        <w:tc>
          <w:tcPr>
            <w:tcW w:w="1276" w:type="dxa"/>
            <w:vAlign w:val="center"/>
          </w:tcPr>
          <w:p w:rsidR="00AA18D3" w:rsidRPr="00E91F54" w:rsidRDefault="00AA18D3" w:rsidP="004B3296">
            <w:pPr>
              <w:pStyle w:val="14"/>
              <w:jc w:val="right"/>
              <w:rPr>
                <w:rFonts w:ascii="Times New Roman" w:hAnsi="Times New Roman" w:cs="Times New Roman"/>
              </w:rPr>
            </w:pPr>
            <w:r w:rsidRPr="00E91F54">
              <w:rPr>
                <w:rFonts w:ascii="Times New Roman" w:hAnsi="Times New Roman" w:cs="Times New Roman"/>
              </w:rPr>
              <w:t>84,796</w:t>
            </w:r>
          </w:p>
        </w:tc>
        <w:tc>
          <w:tcPr>
            <w:tcW w:w="1276" w:type="dxa"/>
            <w:vAlign w:val="center"/>
          </w:tcPr>
          <w:p w:rsidR="00AA18D3" w:rsidRPr="00E91F54" w:rsidRDefault="00AA18D3" w:rsidP="004B3296">
            <w:pPr>
              <w:pStyle w:val="14"/>
              <w:jc w:val="right"/>
              <w:rPr>
                <w:rFonts w:ascii="Times New Roman" w:hAnsi="Times New Roman" w:cs="Times New Roman"/>
              </w:rPr>
            </w:pPr>
            <w:r w:rsidRPr="00E91F54">
              <w:rPr>
                <w:rFonts w:ascii="Times New Roman" w:hAnsi="Times New Roman" w:cs="Times New Roman"/>
              </w:rPr>
              <w:t>14,305</w:t>
            </w:r>
          </w:p>
        </w:tc>
        <w:tc>
          <w:tcPr>
            <w:tcW w:w="993" w:type="dxa"/>
            <w:vAlign w:val="center"/>
          </w:tcPr>
          <w:p w:rsidR="00AA18D3" w:rsidRPr="00E91F54" w:rsidRDefault="00AA18D3" w:rsidP="004B3296">
            <w:pPr>
              <w:pStyle w:val="14"/>
              <w:jc w:val="right"/>
              <w:rPr>
                <w:rFonts w:ascii="Times New Roman" w:hAnsi="Times New Roman" w:cs="Times New Roman"/>
              </w:rPr>
            </w:pPr>
            <w:r w:rsidRPr="00E91F54">
              <w:rPr>
                <w:rFonts w:ascii="Times New Roman" w:hAnsi="Times New Roman" w:cs="Times New Roman"/>
              </w:rPr>
              <w:t>14.43</w:t>
            </w:r>
          </w:p>
        </w:tc>
        <w:tc>
          <w:tcPr>
            <w:tcW w:w="2551" w:type="dxa"/>
            <w:vMerge/>
          </w:tcPr>
          <w:p w:rsidR="00AA18D3" w:rsidRPr="00E91F54" w:rsidRDefault="00AA18D3" w:rsidP="004B3296">
            <w:pPr>
              <w:pStyle w:val="14"/>
              <w:rPr>
                <w:rFonts w:ascii="Times New Roman" w:hAnsi="Times New Roman" w:cs="Times New Roman"/>
              </w:rPr>
            </w:pPr>
          </w:p>
        </w:tc>
      </w:tr>
      <w:tr w:rsidR="00AA18D3" w:rsidRPr="00E91F54" w:rsidTr="00010EA6">
        <w:trPr>
          <w:trHeight w:val="454"/>
        </w:trPr>
        <w:tc>
          <w:tcPr>
            <w:tcW w:w="851" w:type="dxa"/>
            <w:vAlign w:val="center"/>
          </w:tcPr>
          <w:p w:rsidR="00AA18D3" w:rsidRPr="00E91F54" w:rsidRDefault="00AA18D3" w:rsidP="004B3296">
            <w:pPr>
              <w:pStyle w:val="14"/>
              <w:jc w:val="center"/>
              <w:rPr>
                <w:rFonts w:ascii="Times New Roman" w:hAnsi="Times New Roman" w:cs="Times New Roman"/>
              </w:rPr>
            </w:pPr>
            <w:r w:rsidRPr="00E91F54">
              <w:rPr>
                <w:rFonts w:ascii="Times New Roman" w:hAnsi="Times New Roman" w:cs="Times New Roman"/>
              </w:rPr>
              <w:t>111</w:t>
            </w:r>
          </w:p>
        </w:tc>
        <w:tc>
          <w:tcPr>
            <w:tcW w:w="1417" w:type="dxa"/>
            <w:vAlign w:val="center"/>
          </w:tcPr>
          <w:p w:rsidR="00AA18D3" w:rsidRPr="00E91F54" w:rsidRDefault="00AA18D3" w:rsidP="004B3296">
            <w:pPr>
              <w:pStyle w:val="14"/>
              <w:jc w:val="right"/>
              <w:rPr>
                <w:rFonts w:ascii="Times New Roman" w:hAnsi="Times New Roman" w:cs="Times New Roman"/>
              </w:rPr>
            </w:pPr>
            <w:r w:rsidRPr="00E91F54">
              <w:rPr>
                <w:rFonts w:ascii="Times New Roman" w:hAnsi="Times New Roman" w:cs="Times New Roman"/>
              </w:rPr>
              <w:t>295,678</w:t>
            </w:r>
          </w:p>
        </w:tc>
        <w:tc>
          <w:tcPr>
            <w:tcW w:w="1276" w:type="dxa"/>
            <w:vAlign w:val="center"/>
          </w:tcPr>
          <w:p w:rsidR="00AA18D3" w:rsidRPr="00E91F54" w:rsidRDefault="00AA18D3" w:rsidP="004B3296">
            <w:pPr>
              <w:pStyle w:val="14"/>
              <w:jc w:val="right"/>
              <w:rPr>
                <w:rFonts w:ascii="Times New Roman" w:hAnsi="Times New Roman" w:cs="Times New Roman"/>
              </w:rPr>
            </w:pPr>
            <w:r w:rsidRPr="00E91F54">
              <w:rPr>
                <w:rFonts w:ascii="Times New Roman" w:hAnsi="Times New Roman" w:cs="Times New Roman"/>
              </w:rPr>
              <w:t>78,871</w:t>
            </w:r>
          </w:p>
        </w:tc>
        <w:tc>
          <w:tcPr>
            <w:tcW w:w="1276" w:type="dxa"/>
            <w:vAlign w:val="center"/>
          </w:tcPr>
          <w:p w:rsidR="00AA18D3" w:rsidRPr="00E91F54" w:rsidRDefault="00AA18D3" w:rsidP="004B3296">
            <w:pPr>
              <w:pStyle w:val="14"/>
              <w:jc w:val="right"/>
              <w:rPr>
                <w:rFonts w:ascii="Times New Roman" w:hAnsi="Times New Roman" w:cs="Times New Roman"/>
              </w:rPr>
            </w:pPr>
            <w:r w:rsidRPr="00E91F54">
              <w:rPr>
                <w:rFonts w:ascii="Times New Roman" w:hAnsi="Times New Roman" w:cs="Times New Roman"/>
              </w:rPr>
              <w:t>216,807</w:t>
            </w:r>
          </w:p>
        </w:tc>
        <w:tc>
          <w:tcPr>
            <w:tcW w:w="993" w:type="dxa"/>
            <w:vAlign w:val="center"/>
          </w:tcPr>
          <w:p w:rsidR="00AA18D3" w:rsidRPr="00E91F54" w:rsidRDefault="00AA18D3" w:rsidP="004B3296">
            <w:pPr>
              <w:pStyle w:val="14"/>
              <w:jc w:val="right"/>
              <w:rPr>
                <w:rFonts w:ascii="Times New Roman" w:hAnsi="Times New Roman" w:cs="Times New Roman"/>
              </w:rPr>
            </w:pPr>
            <w:r w:rsidRPr="00E91F54">
              <w:rPr>
                <w:rFonts w:ascii="Times New Roman" w:hAnsi="Times New Roman" w:cs="Times New Roman"/>
              </w:rPr>
              <w:t>73.33</w:t>
            </w:r>
          </w:p>
        </w:tc>
        <w:tc>
          <w:tcPr>
            <w:tcW w:w="2551" w:type="dxa"/>
            <w:vMerge/>
          </w:tcPr>
          <w:p w:rsidR="00AA18D3" w:rsidRPr="00E91F54" w:rsidRDefault="00AA18D3" w:rsidP="004B3296">
            <w:pPr>
              <w:pStyle w:val="14"/>
              <w:rPr>
                <w:rFonts w:ascii="Times New Roman" w:hAnsi="Times New Roman" w:cs="Times New Roman"/>
              </w:rPr>
            </w:pPr>
          </w:p>
        </w:tc>
      </w:tr>
      <w:tr w:rsidR="00AA18D3" w:rsidRPr="00E91F54" w:rsidTr="00010EA6">
        <w:trPr>
          <w:trHeight w:val="454"/>
        </w:trPr>
        <w:tc>
          <w:tcPr>
            <w:tcW w:w="851" w:type="dxa"/>
            <w:tcBorders>
              <w:bottom w:val="single" w:sz="4" w:space="0" w:color="auto"/>
            </w:tcBorders>
            <w:vAlign w:val="center"/>
          </w:tcPr>
          <w:p w:rsidR="00AA18D3" w:rsidRPr="00E91F54" w:rsidRDefault="00AA18D3" w:rsidP="004B3296">
            <w:pPr>
              <w:pStyle w:val="14"/>
              <w:jc w:val="center"/>
              <w:rPr>
                <w:rFonts w:ascii="Times New Roman" w:hAnsi="Times New Roman" w:cs="Times New Roman"/>
              </w:rPr>
            </w:pPr>
            <w:r w:rsidRPr="00E91F54">
              <w:rPr>
                <w:rFonts w:ascii="Times New Roman" w:hAnsi="Times New Roman" w:cs="Times New Roman"/>
              </w:rPr>
              <w:t>112</w:t>
            </w:r>
          </w:p>
        </w:tc>
        <w:tc>
          <w:tcPr>
            <w:tcW w:w="1417" w:type="dxa"/>
            <w:tcBorders>
              <w:bottom w:val="single" w:sz="4" w:space="0" w:color="auto"/>
            </w:tcBorders>
            <w:vAlign w:val="center"/>
          </w:tcPr>
          <w:p w:rsidR="00AA18D3" w:rsidRPr="00E91F54" w:rsidRDefault="00AA18D3" w:rsidP="004B3296">
            <w:pPr>
              <w:pStyle w:val="14"/>
              <w:jc w:val="right"/>
              <w:rPr>
                <w:rFonts w:ascii="Times New Roman" w:hAnsi="Times New Roman" w:cs="Times New Roman"/>
              </w:rPr>
            </w:pPr>
            <w:r w:rsidRPr="00E91F54">
              <w:rPr>
                <w:rFonts w:ascii="Times New Roman" w:hAnsi="Times New Roman" w:cs="Times New Roman"/>
              </w:rPr>
              <w:t>631,131</w:t>
            </w:r>
          </w:p>
        </w:tc>
        <w:tc>
          <w:tcPr>
            <w:tcW w:w="1276" w:type="dxa"/>
            <w:tcBorders>
              <w:bottom w:val="single" w:sz="4" w:space="0" w:color="auto"/>
            </w:tcBorders>
            <w:vAlign w:val="center"/>
          </w:tcPr>
          <w:p w:rsidR="00AA18D3" w:rsidRPr="00E91F54" w:rsidRDefault="00AA18D3" w:rsidP="004B3296">
            <w:pPr>
              <w:pStyle w:val="14"/>
              <w:jc w:val="right"/>
              <w:rPr>
                <w:rFonts w:ascii="Times New Roman" w:hAnsi="Times New Roman" w:cs="Times New Roman"/>
              </w:rPr>
            </w:pPr>
            <w:r w:rsidRPr="00E91F54">
              <w:rPr>
                <w:rFonts w:ascii="Times New Roman" w:hAnsi="Times New Roman" w:cs="Times New Roman"/>
              </w:rPr>
              <w:t>463,579</w:t>
            </w:r>
          </w:p>
        </w:tc>
        <w:tc>
          <w:tcPr>
            <w:tcW w:w="1276" w:type="dxa"/>
            <w:tcBorders>
              <w:bottom w:val="single" w:sz="4" w:space="0" w:color="auto"/>
            </w:tcBorders>
            <w:vAlign w:val="center"/>
          </w:tcPr>
          <w:p w:rsidR="00AA18D3" w:rsidRPr="00E91F54" w:rsidRDefault="00AA18D3" w:rsidP="004B3296">
            <w:pPr>
              <w:pStyle w:val="14"/>
              <w:jc w:val="right"/>
              <w:rPr>
                <w:rFonts w:ascii="Times New Roman" w:hAnsi="Times New Roman" w:cs="Times New Roman"/>
              </w:rPr>
            </w:pPr>
            <w:r w:rsidRPr="00E91F54">
              <w:rPr>
                <w:rFonts w:ascii="Times New Roman" w:hAnsi="Times New Roman" w:cs="Times New Roman"/>
              </w:rPr>
              <w:t>167,552</w:t>
            </w:r>
          </w:p>
        </w:tc>
        <w:tc>
          <w:tcPr>
            <w:tcW w:w="993" w:type="dxa"/>
            <w:tcBorders>
              <w:bottom w:val="single" w:sz="4" w:space="0" w:color="auto"/>
            </w:tcBorders>
            <w:vAlign w:val="center"/>
          </w:tcPr>
          <w:p w:rsidR="00AA18D3" w:rsidRPr="00E91F54" w:rsidRDefault="00AA18D3" w:rsidP="004B3296">
            <w:pPr>
              <w:pStyle w:val="14"/>
              <w:jc w:val="right"/>
              <w:rPr>
                <w:rFonts w:ascii="Times New Roman" w:hAnsi="Times New Roman" w:cs="Times New Roman"/>
              </w:rPr>
            </w:pPr>
            <w:r w:rsidRPr="00E91F54">
              <w:rPr>
                <w:rFonts w:ascii="Times New Roman" w:hAnsi="Times New Roman" w:cs="Times New Roman"/>
              </w:rPr>
              <w:t>26.55</w:t>
            </w:r>
          </w:p>
        </w:tc>
        <w:tc>
          <w:tcPr>
            <w:tcW w:w="2551" w:type="dxa"/>
            <w:vMerge/>
            <w:tcBorders>
              <w:bottom w:val="single" w:sz="4" w:space="0" w:color="auto"/>
            </w:tcBorders>
          </w:tcPr>
          <w:p w:rsidR="00AA18D3" w:rsidRPr="00E91F54" w:rsidRDefault="00AA18D3" w:rsidP="004B3296">
            <w:pPr>
              <w:pStyle w:val="14"/>
              <w:rPr>
                <w:rFonts w:ascii="Times New Roman" w:hAnsi="Times New Roman" w:cs="Times New Roman"/>
              </w:rPr>
            </w:pPr>
          </w:p>
        </w:tc>
      </w:tr>
      <w:tr w:rsidR="00AA18D3" w:rsidRPr="00E91F54" w:rsidTr="00010EA6">
        <w:tc>
          <w:tcPr>
            <w:tcW w:w="8364" w:type="dxa"/>
            <w:gridSpan w:val="6"/>
            <w:tcBorders>
              <w:left w:val="nil"/>
              <w:bottom w:val="nil"/>
              <w:right w:val="nil"/>
            </w:tcBorders>
          </w:tcPr>
          <w:p w:rsidR="00AA18D3" w:rsidRPr="00E91F54" w:rsidRDefault="00AA18D3" w:rsidP="00C566A3">
            <w:pPr>
              <w:pStyle w:val="14"/>
              <w:rPr>
                <w:rFonts w:ascii="Times New Roman" w:hAnsi="Times New Roman" w:cs="Times New Roman"/>
              </w:rPr>
            </w:pPr>
            <w:r w:rsidRPr="00E91F54">
              <w:rPr>
                <w:rFonts w:ascii="Times New Roman" w:hAnsi="Times New Roman" w:cs="Times New Roman"/>
              </w:rPr>
              <w:t>1.</w:t>
            </w:r>
            <w:r w:rsidRPr="00E91F54">
              <w:rPr>
                <w:rFonts w:ascii="Times New Roman" w:hAnsi="Times New Roman" w:cs="Times New Roman"/>
              </w:rPr>
              <w:t>資料統計截止時點為</w:t>
            </w:r>
            <w:r w:rsidRPr="00E91F54">
              <w:rPr>
                <w:rFonts w:ascii="Times New Roman" w:hAnsi="Times New Roman" w:cs="Times New Roman"/>
              </w:rPr>
              <w:t>113</w:t>
            </w:r>
            <w:r w:rsidRPr="00E91F54">
              <w:rPr>
                <w:rFonts w:ascii="Times New Roman" w:hAnsi="Times New Roman" w:cs="Times New Roman"/>
              </w:rPr>
              <w:t>年</w:t>
            </w:r>
            <w:r w:rsidRPr="00E91F54">
              <w:rPr>
                <w:rFonts w:ascii="Times New Roman" w:hAnsi="Times New Roman" w:cs="Times New Roman"/>
              </w:rPr>
              <w:t>4</w:t>
            </w:r>
            <w:r w:rsidRPr="00E91F54">
              <w:rPr>
                <w:rFonts w:ascii="Times New Roman" w:hAnsi="Times New Roman" w:cs="Times New Roman"/>
              </w:rPr>
              <w:t>月</w:t>
            </w:r>
            <w:r w:rsidRPr="00E91F54">
              <w:rPr>
                <w:rFonts w:ascii="Times New Roman" w:hAnsi="Times New Roman" w:cs="Times New Roman"/>
              </w:rPr>
              <w:t>16</w:t>
            </w:r>
            <w:r w:rsidRPr="00E91F54">
              <w:rPr>
                <w:rFonts w:ascii="Times New Roman" w:hAnsi="Times New Roman" w:cs="Times New Roman"/>
              </w:rPr>
              <w:t>日</w:t>
            </w:r>
            <w:r w:rsidR="00C566A3" w:rsidRPr="00E91F54">
              <w:rPr>
                <w:rFonts w:ascii="Times New Roman" w:hAnsi="Times New Roman" w:cs="Times New Roman" w:hint="eastAsia"/>
              </w:rPr>
              <w:t>。</w:t>
            </w:r>
          </w:p>
          <w:p w:rsidR="00AA18D3" w:rsidRPr="00E91F54" w:rsidRDefault="00AA18D3" w:rsidP="004B3296">
            <w:pPr>
              <w:pStyle w:val="14"/>
              <w:rPr>
                <w:rFonts w:ascii="Times New Roman" w:hAnsi="Times New Roman" w:cs="Times New Roman"/>
              </w:rPr>
            </w:pPr>
            <w:r w:rsidRPr="00E91F54">
              <w:rPr>
                <w:rFonts w:ascii="Times New Roman" w:hAnsi="Times New Roman" w:cs="Times New Roman"/>
              </w:rPr>
              <w:t>2.</w:t>
            </w:r>
            <w:r w:rsidRPr="00E91F54">
              <w:rPr>
                <w:rFonts w:ascii="Times New Roman" w:hAnsi="Times New Roman" w:cs="Times New Roman"/>
              </w:rPr>
              <w:t>資料來源：審計部整理自經濟部能源署提供資料</w:t>
            </w:r>
            <w:r w:rsidR="00C566A3" w:rsidRPr="00E91F54">
              <w:rPr>
                <w:rFonts w:ascii="Times New Roman" w:hAnsi="Times New Roman" w:cs="Times New Roman" w:hint="eastAsia"/>
              </w:rPr>
              <w:t>。</w:t>
            </w:r>
          </w:p>
        </w:tc>
      </w:tr>
    </w:tbl>
    <w:p w:rsidR="00D12D19" w:rsidRPr="00E91F54" w:rsidRDefault="00D12D19" w:rsidP="00C356B1">
      <w:pPr>
        <w:pStyle w:val="3"/>
        <w:spacing w:beforeLines="50" w:before="228"/>
        <w:ind w:left="1360" w:hanging="680"/>
        <w:rPr>
          <w:rFonts w:ascii="Times New Roman" w:hAnsi="Times New Roman"/>
          <w:szCs w:val="32"/>
        </w:rPr>
      </w:pPr>
      <w:bookmarkStart w:id="81" w:name="_Hlk195531688"/>
      <w:bookmarkEnd w:id="80"/>
      <w:proofErr w:type="gramStart"/>
      <w:r w:rsidRPr="00E91F54">
        <w:rPr>
          <w:rFonts w:ascii="Times New Roman" w:hAnsi="Times New Roman"/>
          <w:szCs w:val="32"/>
        </w:rPr>
        <w:t>嗣</w:t>
      </w:r>
      <w:proofErr w:type="gramEnd"/>
      <w:r w:rsidR="00513C6D" w:rsidRPr="00E91F54">
        <w:rPr>
          <w:rFonts w:ascii="Times New Roman" w:hAnsi="Times New Roman"/>
          <w:szCs w:val="32"/>
        </w:rPr>
        <w:t>經本院</w:t>
      </w:r>
      <w:r w:rsidR="009B6CBC" w:rsidRPr="00E91F54">
        <w:rPr>
          <w:rFonts w:ascii="Times New Roman" w:hAnsi="Times New Roman"/>
          <w:szCs w:val="32"/>
        </w:rPr>
        <w:t>函</w:t>
      </w:r>
      <w:r w:rsidRPr="00E91F54">
        <w:rPr>
          <w:rFonts w:ascii="Times New Roman" w:hAnsi="Times New Roman"/>
          <w:szCs w:val="32"/>
        </w:rPr>
        <w:t>請經濟部說明太陽光電業者應繳納模組回收費迄未繳納情形，</w:t>
      </w:r>
      <w:r w:rsidR="00513C6D" w:rsidRPr="00E91F54">
        <w:rPr>
          <w:rFonts w:ascii="Times New Roman" w:hAnsi="Times New Roman"/>
          <w:szCs w:val="32"/>
        </w:rPr>
        <w:t>據</w:t>
      </w:r>
      <w:proofErr w:type="gramStart"/>
      <w:r w:rsidR="00513C6D" w:rsidRPr="00E91F54">
        <w:rPr>
          <w:rFonts w:ascii="Times New Roman" w:hAnsi="Times New Roman"/>
          <w:szCs w:val="32"/>
        </w:rPr>
        <w:t>復</w:t>
      </w:r>
      <w:r w:rsidRPr="00E91F54">
        <w:rPr>
          <w:rFonts w:ascii="Times New Roman" w:hAnsi="Times New Roman"/>
          <w:szCs w:val="32"/>
        </w:rPr>
        <w:t>該部</w:t>
      </w:r>
      <w:proofErr w:type="gramEnd"/>
      <w:r w:rsidRPr="00E91F54">
        <w:rPr>
          <w:rFonts w:ascii="Times New Roman" w:hAnsi="Times New Roman"/>
          <w:szCs w:val="32"/>
        </w:rPr>
        <w:t>能源署</w:t>
      </w:r>
      <w:r w:rsidR="00E87D20" w:rsidRPr="00E91F54">
        <w:rPr>
          <w:rFonts w:ascii="Times New Roman" w:hAnsi="Times New Roman" w:hint="eastAsia"/>
          <w:szCs w:val="32"/>
        </w:rPr>
        <w:t>（</w:t>
      </w:r>
      <w:r w:rsidR="00E87D20" w:rsidRPr="00E91F54">
        <w:rPr>
          <w:rFonts w:ascii="Times New Roman" w:hAnsi="Times New Roman" w:hint="eastAsia"/>
          <w:szCs w:val="32"/>
        </w:rPr>
        <w:t>1</w:t>
      </w:r>
      <w:r w:rsidR="00E87D20" w:rsidRPr="00E91F54">
        <w:rPr>
          <w:rFonts w:ascii="Times New Roman" w:hAnsi="Times New Roman"/>
          <w:szCs w:val="32"/>
        </w:rPr>
        <w:t>14</w:t>
      </w:r>
      <w:r w:rsidR="00E87D20" w:rsidRPr="00E91F54">
        <w:rPr>
          <w:rFonts w:ascii="Times New Roman" w:hAnsi="Times New Roman" w:hint="eastAsia"/>
          <w:szCs w:val="32"/>
        </w:rPr>
        <w:t>年）</w:t>
      </w:r>
      <w:r w:rsidRPr="00E91F54">
        <w:rPr>
          <w:rFonts w:ascii="Times New Roman" w:hAnsi="Times New Roman"/>
          <w:szCs w:val="32"/>
        </w:rPr>
        <w:t>刻正催收</w:t>
      </w:r>
      <w:r w:rsidRPr="00E91F54">
        <w:rPr>
          <w:rFonts w:ascii="Times New Roman" w:hAnsi="Times New Roman"/>
          <w:szCs w:val="32"/>
        </w:rPr>
        <w:t>110</w:t>
      </w:r>
      <w:r w:rsidR="008D4E50" w:rsidRPr="00E91F54">
        <w:rPr>
          <w:rFonts w:ascii="Times New Roman" w:hAnsi="Times New Roman"/>
          <w:szCs w:val="32"/>
        </w:rPr>
        <w:t>至</w:t>
      </w:r>
      <w:r w:rsidRPr="00E91F54">
        <w:rPr>
          <w:rFonts w:ascii="Times New Roman" w:hAnsi="Times New Roman"/>
          <w:szCs w:val="32"/>
        </w:rPr>
        <w:t>112</w:t>
      </w:r>
      <w:r w:rsidRPr="00E91F54">
        <w:rPr>
          <w:rFonts w:ascii="Times New Roman" w:hAnsi="Times New Roman"/>
          <w:szCs w:val="32"/>
        </w:rPr>
        <w:t>年度尚未繳納費用（補繳期限至</w:t>
      </w:r>
      <w:r w:rsidRPr="00E91F54">
        <w:rPr>
          <w:rFonts w:ascii="Times New Roman" w:hAnsi="Times New Roman"/>
          <w:szCs w:val="32"/>
        </w:rPr>
        <w:t>114</w:t>
      </w:r>
      <w:r w:rsidRPr="00E91F54">
        <w:rPr>
          <w:rFonts w:ascii="Times New Roman" w:hAnsi="Times New Roman"/>
          <w:szCs w:val="32"/>
        </w:rPr>
        <w:t>年</w:t>
      </w:r>
      <w:r w:rsidRPr="00E91F54">
        <w:rPr>
          <w:rFonts w:ascii="Times New Roman" w:hAnsi="Times New Roman"/>
          <w:szCs w:val="32"/>
        </w:rPr>
        <w:t>2</w:t>
      </w:r>
      <w:r w:rsidRPr="00E91F54">
        <w:rPr>
          <w:rFonts w:ascii="Times New Roman" w:hAnsi="Times New Roman"/>
          <w:szCs w:val="32"/>
        </w:rPr>
        <w:t>月</w:t>
      </w:r>
      <w:r w:rsidRPr="00E91F54">
        <w:rPr>
          <w:rFonts w:ascii="Times New Roman" w:hAnsi="Times New Roman"/>
          <w:szCs w:val="32"/>
        </w:rPr>
        <w:t>28</w:t>
      </w:r>
      <w:r w:rsidRPr="00E91F54">
        <w:rPr>
          <w:rFonts w:ascii="Times New Roman" w:hAnsi="Times New Roman"/>
          <w:szCs w:val="32"/>
        </w:rPr>
        <w:t>日），</w:t>
      </w:r>
      <w:r w:rsidR="00D26169" w:rsidRPr="00E91F54">
        <w:rPr>
          <w:rFonts w:ascii="Times New Roman" w:hAnsi="Times New Roman"/>
          <w:szCs w:val="32"/>
        </w:rPr>
        <w:t>詳下表</w:t>
      </w:r>
      <w:r w:rsidR="00361D0C">
        <w:rPr>
          <w:rFonts w:ascii="Times New Roman" w:hAnsi="Times New Roman"/>
          <w:szCs w:val="32"/>
        </w:rPr>
        <w:t>2</w:t>
      </w:r>
      <w:r w:rsidR="00C225EC" w:rsidRPr="00E91F54">
        <w:rPr>
          <w:rFonts w:ascii="Times New Roman" w:hAnsi="Times New Roman" w:hint="eastAsia"/>
          <w:szCs w:val="32"/>
        </w:rPr>
        <w:t>。未繳納情形</w:t>
      </w:r>
      <w:r w:rsidR="00C225EC" w:rsidRPr="00E91F54">
        <w:rPr>
          <w:rFonts w:ascii="Times New Roman" w:hAnsi="Times New Roman"/>
        </w:rPr>
        <w:t>以</w:t>
      </w:r>
      <w:proofErr w:type="gramStart"/>
      <w:r w:rsidR="00C225EC" w:rsidRPr="00E91F54">
        <w:rPr>
          <w:rFonts w:ascii="Times New Roman" w:hAnsi="Times New Roman"/>
        </w:rPr>
        <w:t>111</w:t>
      </w:r>
      <w:proofErr w:type="gramEnd"/>
      <w:r w:rsidR="00C225EC" w:rsidRPr="00E91F54">
        <w:rPr>
          <w:rFonts w:ascii="Times New Roman" w:hAnsi="Times New Roman"/>
        </w:rPr>
        <w:t>年度為甚，經</w:t>
      </w:r>
      <w:proofErr w:type="gramStart"/>
      <w:r w:rsidR="00C225EC" w:rsidRPr="00E91F54">
        <w:rPr>
          <w:rFonts w:ascii="Times New Roman" w:hAnsi="Times New Roman"/>
        </w:rPr>
        <w:t>催繳後尚</w:t>
      </w:r>
      <w:proofErr w:type="gramEnd"/>
      <w:r w:rsidR="00C225EC" w:rsidRPr="00E91F54">
        <w:rPr>
          <w:rFonts w:ascii="Times New Roman" w:hAnsi="Times New Roman"/>
        </w:rPr>
        <w:t>未繳納金額仍有</w:t>
      </w:r>
      <w:r w:rsidR="00C225EC" w:rsidRPr="00E91F54">
        <w:rPr>
          <w:rFonts w:ascii="Times New Roman" w:hAnsi="Times New Roman"/>
        </w:rPr>
        <w:t>5,255</w:t>
      </w:r>
      <w:r w:rsidR="00C225EC" w:rsidRPr="00E91F54">
        <w:rPr>
          <w:rFonts w:ascii="Times New Roman" w:hAnsi="Times New Roman"/>
        </w:rPr>
        <w:t>萬餘元（占當年度應繳金額</w:t>
      </w:r>
      <w:r w:rsidR="00C225EC" w:rsidRPr="00E91F54">
        <w:rPr>
          <w:rFonts w:ascii="Times New Roman" w:hAnsi="Times New Roman"/>
        </w:rPr>
        <w:t>18%</w:t>
      </w:r>
      <w:r w:rsidR="00C225EC" w:rsidRPr="00E91F54">
        <w:rPr>
          <w:rFonts w:ascii="Times New Roman" w:hAnsi="Times New Roman"/>
        </w:rPr>
        <w:t>）、案件仍有</w:t>
      </w:r>
      <w:r w:rsidR="00C225EC" w:rsidRPr="00E91F54">
        <w:rPr>
          <w:rFonts w:ascii="Times New Roman" w:hAnsi="Times New Roman"/>
        </w:rPr>
        <w:t>3,383</w:t>
      </w:r>
      <w:r w:rsidR="00C225EC" w:rsidRPr="00E91F54">
        <w:rPr>
          <w:rFonts w:ascii="Times New Roman" w:hAnsi="Times New Roman"/>
        </w:rPr>
        <w:t>件（占當年度應繳案件</w:t>
      </w:r>
      <w:r w:rsidR="00C225EC" w:rsidRPr="00E91F54">
        <w:rPr>
          <w:rFonts w:ascii="Times New Roman" w:hAnsi="Times New Roman"/>
        </w:rPr>
        <w:t>24%</w:t>
      </w:r>
      <w:r w:rsidR="00C225EC" w:rsidRPr="00E91F54">
        <w:rPr>
          <w:rFonts w:ascii="Times New Roman" w:hAnsi="Times New Roman"/>
        </w:rPr>
        <w:t>）</w:t>
      </w:r>
      <w:r w:rsidR="00163F68" w:rsidRPr="00E91F54">
        <w:rPr>
          <w:rFonts w:ascii="Times New Roman" w:hAnsi="Times New Roman" w:hint="eastAsia"/>
        </w:rPr>
        <w:t>；迄至</w:t>
      </w:r>
      <w:r w:rsidR="00163F68" w:rsidRPr="00E91F54">
        <w:rPr>
          <w:rFonts w:ascii="Times New Roman" w:hAnsi="Times New Roman"/>
        </w:rPr>
        <w:t>114</w:t>
      </w:r>
      <w:r w:rsidR="00163F68" w:rsidRPr="00E91F54">
        <w:rPr>
          <w:rFonts w:ascii="Times New Roman" w:hAnsi="Times New Roman" w:hint="eastAsia"/>
        </w:rPr>
        <w:t>年</w:t>
      </w:r>
      <w:r w:rsidR="00163F68" w:rsidRPr="00E91F54">
        <w:rPr>
          <w:rFonts w:ascii="Times New Roman" w:hAnsi="Times New Roman" w:hint="eastAsia"/>
        </w:rPr>
        <w:t>3</w:t>
      </w:r>
      <w:r w:rsidR="00163F68" w:rsidRPr="00E91F54">
        <w:rPr>
          <w:rFonts w:ascii="Times New Roman" w:hAnsi="Times New Roman" w:hint="eastAsia"/>
        </w:rPr>
        <w:t>月</w:t>
      </w:r>
      <w:r w:rsidR="00163F68" w:rsidRPr="00E91F54">
        <w:rPr>
          <w:rFonts w:ascii="Times New Roman" w:hAnsi="Times New Roman" w:hint="eastAsia"/>
        </w:rPr>
        <w:t>31</w:t>
      </w:r>
      <w:r w:rsidR="00163F68" w:rsidRPr="00E91F54">
        <w:rPr>
          <w:rFonts w:ascii="Times New Roman" w:hAnsi="Times New Roman" w:hint="eastAsia"/>
        </w:rPr>
        <w:t>日，</w:t>
      </w:r>
      <w:r w:rsidRPr="00E91F54">
        <w:rPr>
          <w:rFonts w:ascii="Times New Roman" w:hAnsi="Times New Roman"/>
        </w:rPr>
        <w:t>尚未繳費金額合計已降至</w:t>
      </w:r>
      <w:r w:rsidR="009B6CBC" w:rsidRPr="00E91F54">
        <w:rPr>
          <w:rFonts w:ascii="Times New Roman" w:hAnsi="Times New Roman"/>
          <w:b/>
          <w:bCs w:val="0"/>
          <w:szCs w:val="32"/>
        </w:rPr>
        <w:t>9,564</w:t>
      </w:r>
      <w:r w:rsidR="009B6CBC" w:rsidRPr="00E91F54">
        <w:rPr>
          <w:rFonts w:ascii="Times New Roman" w:hAnsi="Times New Roman"/>
          <w:b/>
          <w:bCs w:val="0"/>
          <w:szCs w:val="32"/>
        </w:rPr>
        <w:t>萬</w:t>
      </w:r>
      <w:r w:rsidRPr="00E91F54">
        <w:rPr>
          <w:rFonts w:ascii="Times New Roman" w:hAnsi="Times New Roman"/>
          <w:b/>
          <w:bCs w:val="0"/>
          <w:szCs w:val="32"/>
        </w:rPr>
        <w:t>元</w:t>
      </w:r>
      <w:r w:rsidRPr="00E91F54">
        <w:rPr>
          <w:rFonts w:ascii="Times New Roman" w:hAnsi="Times New Roman"/>
        </w:rPr>
        <w:t>，占</w:t>
      </w:r>
      <w:r w:rsidR="00691A02" w:rsidRPr="00E91F54">
        <w:rPr>
          <w:rFonts w:ascii="Times New Roman" w:hAnsi="Times New Roman"/>
        </w:rPr>
        <w:t>總</w:t>
      </w:r>
      <w:r w:rsidRPr="00E91F54">
        <w:rPr>
          <w:rFonts w:ascii="Times New Roman" w:hAnsi="Times New Roman"/>
        </w:rPr>
        <w:t>應繳納金額之</w:t>
      </w:r>
      <w:r w:rsidR="009B6CBC" w:rsidRPr="00E91F54">
        <w:rPr>
          <w:rFonts w:ascii="Times New Roman" w:hAnsi="Times New Roman"/>
          <w:b/>
        </w:rPr>
        <w:t>9</w:t>
      </w:r>
      <w:r w:rsidRPr="00E91F54">
        <w:rPr>
          <w:rFonts w:ascii="Times New Roman" w:hAnsi="Times New Roman"/>
          <w:b/>
        </w:rPr>
        <w:t>.</w:t>
      </w:r>
      <w:r w:rsidR="009B6CBC" w:rsidRPr="00E91F54">
        <w:rPr>
          <w:rFonts w:ascii="Times New Roman" w:hAnsi="Times New Roman"/>
          <w:b/>
        </w:rPr>
        <w:t>31%</w:t>
      </w:r>
      <w:r w:rsidRPr="00E91F54">
        <w:rPr>
          <w:rFonts w:ascii="Times New Roman" w:hAnsi="Times New Roman"/>
        </w:rPr>
        <w:t>，足見</w:t>
      </w:r>
      <w:proofErr w:type="gramStart"/>
      <w:r w:rsidR="00513C6D" w:rsidRPr="00E91F54">
        <w:rPr>
          <w:rFonts w:ascii="Times New Roman" w:hAnsi="Times New Roman"/>
        </w:rPr>
        <w:t>催繳後</w:t>
      </w:r>
      <w:r w:rsidRPr="00E91F54">
        <w:rPr>
          <w:rFonts w:ascii="Times New Roman" w:hAnsi="Times New Roman"/>
        </w:rPr>
        <w:t>未</w:t>
      </w:r>
      <w:proofErr w:type="gramEnd"/>
      <w:r w:rsidRPr="00E91F54">
        <w:rPr>
          <w:rFonts w:ascii="Times New Roman" w:hAnsi="Times New Roman"/>
        </w:rPr>
        <w:t>繳納</w:t>
      </w:r>
      <w:r w:rsidR="00837C70" w:rsidRPr="00E91F54">
        <w:rPr>
          <w:rFonts w:ascii="Times New Roman" w:hAnsi="Times New Roman" w:hint="eastAsia"/>
        </w:rPr>
        <w:t>情形</w:t>
      </w:r>
      <w:r w:rsidRPr="00E91F54">
        <w:rPr>
          <w:rFonts w:ascii="Times New Roman" w:hAnsi="Times New Roman"/>
        </w:rPr>
        <w:t>雖已改善，</w:t>
      </w:r>
      <w:proofErr w:type="gramStart"/>
      <w:r w:rsidRPr="00E91F54">
        <w:rPr>
          <w:rFonts w:ascii="Times New Roman" w:hAnsi="Times New Roman"/>
        </w:rPr>
        <w:t>然</w:t>
      </w:r>
      <w:r w:rsidR="00837C70" w:rsidRPr="00E91F54">
        <w:rPr>
          <w:rFonts w:ascii="Times New Roman" w:hAnsi="Times New Roman" w:hint="eastAsia"/>
        </w:rPr>
        <w:t>未繳</w:t>
      </w:r>
      <w:proofErr w:type="gramEnd"/>
      <w:r w:rsidR="00837C70" w:rsidRPr="00E91F54">
        <w:rPr>
          <w:rFonts w:ascii="Times New Roman" w:hAnsi="Times New Roman" w:hint="eastAsia"/>
        </w:rPr>
        <w:t>納金額</w:t>
      </w:r>
      <w:r w:rsidRPr="00E91F54">
        <w:rPr>
          <w:rFonts w:ascii="Times New Roman" w:hAnsi="Times New Roman"/>
        </w:rPr>
        <w:t>仍</w:t>
      </w:r>
      <w:r w:rsidR="00837C70" w:rsidRPr="00E91F54">
        <w:rPr>
          <w:rFonts w:ascii="Times New Roman" w:hAnsi="Times New Roman" w:hint="eastAsia"/>
        </w:rPr>
        <w:t>占近</w:t>
      </w:r>
      <w:proofErr w:type="gramStart"/>
      <w:r w:rsidR="00837C70" w:rsidRPr="00E91F54">
        <w:rPr>
          <w:rFonts w:ascii="Times New Roman" w:hAnsi="Times New Roman" w:hint="eastAsia"/>
        </w:rPr>
        <w:t>1</w:t>
      </w:r>
      <w:proofErr w:type="gramEnd"/>
      <w:r w:rsidR="00837C70" w:rsidRPr="00E91F54">
        <w:rPr>
          <w:rFonts w:ascii="Times New Roman" w:hAnsi="Times New Roman" w:hint="eastAsia"/>
        </w:rPr>
        <w:t>成</w:t>
      </w:r>
      <w:r w:rsidRPr="00E91F54">
        <w:rPr>
          <w:rFonts w:ascii="Times New Roman" w:hAnsi="Times New Roman"/>
          <w:szCs w:val="32"/>
        </w:rPr>
        <w:t>。</w:t>
      </w:r>
      <w:r w:rsidR="00513C6D" w:rsidRPr="00E91F54">
        <w:rPr>
          <w:rFonts w:ascii="Times New Roman" w:hAnsi="Times New Roman"/>
          <w:szCs w:val="32"/>
        </w:rPr>
        <w:t>又，</w:t>
      </w:r>
      <w:r w:rsidR="00513C6D" w:rsidRPr="00E91F54">
        <w:rPr>
          <w:rFonts w:ascii="Times New Roman" w:hAnsi="Times New Roman"/>
        </w:rPr>
        <w:t>目前收取年度僅至</w:t>
      </w:r>
      <w:proofErr w:type="gramStart"/>
      <w:r w:rsidR="00513C6D" w:rsidRPr="00E91F54">
        <w:rPr>
          <w:rFonts w:ascii="Times New Roman" w:hAnsi="Times New Roman"/>
        </w:rPr>
        <w:t>112</w:t>
      </w:r>
      <w:proofErr w:type="gramEnd"/>
      <w:r w:rsidR="00513C6D" w:rsidRPr="00E91F54">
        <w:rPr>
          <w:rFonts w:ascii="Times New Roman" w:hAnsi="Times New Roman"/>
        </w:rPr>
        <w:t>年度，</w:t>
      </w:r>
      <w:r w:rsidR="00902F45" w:rsidRPr="00E91F54">
        <w:rPr>
          <w:rFonts w:ascii="Times New Roman" w:hAnsi="Times New Roman"/>
        </w:rPr>
        <w:t>在模組回收費用因案件數逐年成長下，</w:t>
      </w:r>
      <w:r w:rsidR="00513C6D" w:rsidRPr="00E91F54">
        <w:rPr>
          <w:rFonts w:ascii="Times New Roman" w:hAnsi="Times New Roman"/>
        </w:rPr>
        <w:t>倘再計入</w:t>
      </w:r>
      <w:proofErr w:type="gramStart"/>
      <w:r w:rsidR="00513C6D" w:rsidRPr="00E91F54">
        <w:rPr>
          <w:rFonts w:ascii="Times New Roman" w:hAnsi="Times New Roman"/>
        </w:rPr>
        <w:t>11</w:t>
      </w:r>
      <w:proofErr w:type="gramEnd"/>
      <w:r w:rsidR="00513C6D" w:rsidRPr="00E91F54">
        <w:rPr>
          <w:rFonts w:ascii="Times New Roman" w:hAnsi="Times New Roman"/>
        </w:rPr>
        <w:t>3</w:t>
      </w:r>
      <w:r w:rsidR="00513C6D" w:rsidRPr="00E91F54">
        <w:rPr>
          <w:rFonts w:ascii="Times New Roman" w:hAnsi="Times New Roman"/>
        </w:rPr>
        <w:t>年度，經濟部能源署仍</w:t>
      </w:r>
      <w:r w:rsidR="002F7122" w:rsidRPr="00E91F54">
        <w:rPr>
          <w:rFonts w:ascii="Times New Roman" w:hAnsi="Times New Roman" w:hint="eastAsia"/>
        </w:rPr>
        <w:t>須</w:t>
      </w:r>
      <w:r w:rsidR="0079169F" w:rsidRPr="00E91F54">
        <w:rPr>
          <w:rFonts w:ascii="Times New Roman" w:hAnsi="Times New Roman" w:hint="eastAsia"/>
        </w:rPr>
        <w:t>持</w:t>
      </w:r>
      <w:r w:rsidR="00513C6D" w:rsidRPr="00E91F54">
        <w:rPr>
          <w:rFonts w:ascii="Times New Roman" w:hAnsi="Times New Roman"/>
        </w:rPr>
        <w:t>續投入大量</w:t>
      </w:r>
      <w:proofErr w:type="gramStart"/>
      <w:r w:rsidR="00513C6D" w:rsidRPr="00E91F54">
        <w:rPr>
          <w:rFonts w:ascii="Times New Roman" w:hAnsi="Times New Roman"/>
        </w:rPr>
        <w:t>人力於催</w:t>
      </w:r>
      <w:proofErr w:type="gramEnd"/>
      <w:r w:rsidR="00513C6D" w:rsidRPr="00E91F54">
        <w:rPr>
          <w:rFonts w:ascii="Times New Roman" w:hAnsi="Times New Roman"/>
        </w:rPr>
        <w:t>收作業之窘境，實不具經濟效益。</w:t>
      </w:r>
      <w:r w:rsidR="006B16C5" w:rsidRPr="00E91F54">
        <w:rPr>
          <w:rFonts w:ascii="Times New Roman" w:hAnsi="Times New Roman"/>
        </w:rPr>
        <w:t>究其根本，</w:t>
      </w:r>
      <w:r w:rsidR="00E87D20" w:rsidRPr="00E91F54">
        <w:rPr>
          <w:rFonts w:ascii="Times New Roman" w:hAnsi="Times New Roman" w:hint="eastAsia"/>
        </w:rPr>
        <w:t>乃</w:t>
      </w:r>
      <w:r w:rsidR="006B16C5" w:rsidRPr="00E91F54">
        <w:rPr>
          <w:rFonts w:ascii="Times New Roman" w:hAnsi="Times New Roman"/>
        </w:rPr>
        <w:t>在於</w:t>
      </w:r>
      <w:r w:rsidR="00837C70" w:rsidRPr="00E91F54">
        <w:rPr>
          <w:rFonts w:ascii="Times New Roman" w:hAnsi="Times New Roman" w:hint="eastAsia"/>
        </w:rPr>
        <w:t>經濟部</w:t>
      </w:r>
      <w:r w:rsidR="007911FA" w:rsidRPr="00E91F54">
        <w:rPr>
          <w:rFonts w:ascii="Times New Roman" w:hAnsi="Times New Roman"/>
        </w:rPr>
        <w:t>能源署</w:t>
      </w:r>
      <w:proofErr w:type="gramStart"/>
      <w:r w:rsidR="007911FA" w:rsidRPr="00E91F54">
        <w:rPr>
          <w:rFonts w:ascii="Times New Roman" w:hAnsi="Times New Roman"/>
        </w:rPr>
        <w:t>於躉購費率</w:t>
      </w:r>
      <w:proofErr w:type="gramEnd"/>
      <w:r w:rsidR="007911FA" w:rsidRPr="00E91F54">
        <w:rPr>
          <w:rFonts w:ascii="Times New Roman" w:hAnsi="Times New Roman"/>
        </w:rPr>
        <w:t>外</w:t>
      </w:r>
      <w:r w:rsidR="006B16C5" w:rsidRPr="00E91F54">
        <w:rPr>
          <w:rFonts w:ascii="Times New Roman" w:hAnsi="Times New Roman"/>
          <w:b/>
        </w:rPr>
        <w:t>補貼</w:t>
      </w:r>
      <w:r w:rsidR="00E87D20" w:rsidRPr="00E91F54">
        <w:rPr>
          <w:rFonts w:ascii="Times New Roman" w:hAnsi="Times New Roman" w:hint="eastAsia"/>
        </w:rPr>
        <w:t>光電</w:t>
      </w:r>
      <w:r w:rsidR="006B16C5" w:rsidRPr="00E91F54">
        <w:rPr>
          <w:rFonts w:ascii="Times New Roman" w:hAnsi="Times New Roman"/>
        </w:rPr>
        <w:t>業者</w:t>
      </w:r>
      <w:r w:rsidR="007911FA" w:rsidRPr="00E91F54">
        <w:rPr>
          <w:rFonts w:ascii="Times New Roman" w:hAnsi="Times New Roman"/>
        </w:rPr>
        <w:t>太陽光電</w:t>
      </w:r>
      <w:r w:rsidR="006B16C5" w:rsidRPr="00E91F54">
        <w:rPr>
          <w:rFonts w:ascii="Times New Roman" w:hAnsi="Times New Roman"/>
        </w:rPr>
        <w:t>模組回收費率</w:t>
      </w:r>
      <w:r w:rsidR="006B16C5" w:rsidRPr="00E91F54">
        <w:rPr>
          <w:rFonts w:ascii="Times New Roman" w:hAnsi="Times New Roman"/>
          <w:b/>
        </w:rPr>
        <w:t>在前</w:t>
      </w:r>
      <w:r w:rsidR="006B16C5" w:rsidRPr="00E91F54">
        <w:rPr>
          <w:rFonts w:ascii="Times New Roman" w:hAnsi="Times New Roman"/>
        </w:rPr>
        <w:t>，</w:t>
      </w:r>
      <w:r w:rsidR="006B16C5" w:rsidRPr="00E91F54">
        <w:rPr>
          <w:rFonts w:ascii="Times New Roman" w:hAnsi="Times New Roman"/>
          <w:b/>
        </w:rPr>
        <w:t>而後</w:t>
      </w:r>
      <w:r w:rsidR="006B16C5" w:rsidRPr="00E91F54">
        <w:rPr>
          <w:rFonts w:ascii="Times New Roman" w:hAnsi="Times New Roman"/>
        </w:rPr>
        <w:t>欲分年分期</w:t>
      </w:r>
      <w:r w:rsidR="006B16C5" w:rsidRPr="00E91F54">
        <w:rPr>
          <w:rFonts w:ascii="Times New Roman" w:hAnsi="Times New Roman"/>
          <w:b/>
        </w:rPr>
        <w:t>要求繳納</w:t>
      </w:r>
      <w:r w:rsidR="006B16C5" w:rsidRPr="00E91F54">
        <w:rPr>
          <w:rFonts w:ascii="Times New Roman" w:hAnsi="Times New Roman"/>
        </w:rPr>
        <w:t>模組回收費用，</w:t>
      </w:r>
      <w:r w:rsidR="00E87D20" w:rsidRPr="00E91F54">
        <w:rPr>
          <w:rFonts w:ascii="Times New Roman" w:hAnsi="Times New Roman" w:hint="eastAsia"/>
        </w:rPr>
        <w:t>造成</w:t>
      </w:r>
      <w:r w:rsidR="006B16C5" w:rsidRPr="00E91F54">
        <w:rPr>
          <w:rFonts w:ascii="Times New Roman" w:hAnsi="Times New Roman"/>
        </w:rPr>
        <w:t>事倍功半</w:t>
      </w:r>
      <w:r w:rsidR="007911FA" w:rsidRPr="00E91F54">
        <w:rPr>
          <w:rFonts w:ascii="Times New Roman" w:hAnsi="Times New Roman"/>
        </w:rPr>
        <w:t>、</w:t>
      </w:r>
      <w:proofErr w:type="gramStart"/>
      <w:r w:rsidR="007911FA" w:rsidRPr="00E91F54">
        <w:rPr>
          <w:rFonts w:ascii="Times New Roman" w:hAnsi="Times New Roman"/>
        </w:rPr>
        <w:t>徒耗行</w:t>
      </w:r>
      <w:proofErr w:type="gramEnd"/>
      <w:r w:rsidR="007911FA" w:rsidRPr="00E91F54">
        <w:rPr>
          <w:rFonts w:ascii="Times New Roman" w:hAnsi="Times New Roman"/>
        </w:rPr>
        <w:t>政資源</w:t>
      </w:r>
      <w:r w:rsidR="006B16C5" w:rsidRPr="00E91F54">
        <w:rPr>
          <w:rFonts w:ascii="Times New Roman" w:hAnsi="Times New Roman"/>
        </w:rPr>
        <w:t>，收款效能不彰</w:t>
      </w:r>
      <w:r w:rsidR="00E87D20" w:rsidRPr="00E91F54">
        <w:rPr>
          <w:rFonts w:ascii="Times New Roman" w:hAnsi="Times New Roman" w:hint="eastAsia"/>
        </w:rPr>
        <w:t>之結果</w:t>
      </w:r>
      <w:r w:rsidR="008E3796" w:rsidRPr="00E91F54">
        <w:rPr>
          <w:rFonts w:ascii="Times New Roman" w:hAnsi="Times New Roman" w:hint="eastAsia"/>
        </w:rPr>
        <w:t>，難辭其咎</w:t>
      </w:r>
      <w:r w:rsidR="006B16C5" w:rsidRPr="00E91F54">
        <w:rPr>
          <w:rFonts w:ascii="Times New Roman" w:hAnsi="Times New Roman"/>
        </w:rPr>
        <w:t>。</w:t>
      </w:r>
    </w:p>
    <w:p w:rsidR="005A3B37" w:rsidRPr="00E91F54" w:rsidRDefault="00D12D19" w:rsidP="001038D5">
      <w:pPr>
        <w:pStyle w:val="a3"/>
        <w:spacing w:beforeLines="250" w:before="1142" w:afterLines="4" w:after="18" w:line="240" w:lineRule="exact"/>
        <w:ind w:left="697" w:rightChars="-108" w:right="-367" w:hanging="697"/>
        <w:contextualSpacing/>
        <w:rPr>
          <w:rFonts w:ascii="Times New Roman" w:hAnsi="Times New Roman"/>
          <w:sz w:val="27"/>
          <w:szCs w:val="27"/>
        </w:rPr>
      </w:pPr>
      <w:r w:rsidRPr="00E91F54">
        <w:rPr>
          <w:rFonts w:ascii="Times New Roman" w:hAnsi="Times New Roman"/>
          <w:sz w:val="27"/>
          <w:szCs w:val="27"/>
        </w:rPr>
        <w:lastRenderedPageBreak/>
        <w:t>模組回收費繳納情形表</w:t>
      </w:r>
      <w:r w:rsidRPr="00E91F54">
        <w:rPr>
          <w:rFonts w:ascii="Times New Roman" w:hAnsi="Times New Roman"/>
          <w:sz w:val="27"/>
          <w:szCs w:val="27"/>
        </w:rPr>
        <w:t xml:space="preserve">                           </w:t>
      </w:r>
      <w:r w:rsidR="00691A02" w:rsidRPr="00E91F54">
        <w:rPr>
          <w:rFonts w:ascii="Times New Roman" w:hAnsi="Times New Roman"/>
          <w:sz w:val="27"/>
          <w:szCs w:val="27"/>
        </w:rPr>
        <w:t xml:space="preserve">    </w:t>
      </w:r>
      <w:r w:rsidRPr="00E91F54">
        <w:rPr>
          <w:rFonts w:ascii="Times New Roman" w:hAnsi="Times New Roman"/>
          <w:sz w:val="27"/>
          <w:szCs w:val="27"/>
        </w:rPr>
        <w:t xml:space="preserve">   </w:t>
      </w:r>
    </w:p>
    <w:p w:rsidR="00D12D19" w:rsidRPr="00E91F54" w:rsidRDefault="00D12D19" w:rsidP="005A3B37">
      <w:pPr>
        <w:ind w:rightChars="-108" w:right="-367"/>
        <w:jc w:val="right"/>
        <w:rPr>
          <w:rFonts w:ascii="Times New Roman"/>
          <w:spacing w:val="-20"/>
          <w:sz w:val="28"/>
        </w:rPr>
      </w:pPr>
      <w:r w:rsidRPr="00E91F54">
        <w:rPr>
          <w:rFonts w:ascii="Times New Roman"/>
          <w:spacing w:val="-20"/>
          <w:sz w:val="28"/>
        </w:rPr>
        <w:t>單位：</w:t>
      </w:r>
      <w:r w:rsidR="00A71F85" w:rsidRPr="00E91F54">
        <w:rPr>
          <w:rFonts w:ascii="Times New Roman"/>
          <w:spacing w:val="-20"/>
          <w:sz w:val="28"/>
        </w:rPr>
        <w:t>千</w:t>
      </w:r>
      <w:r w:rsidRPr="00E91F54">
        <w:rPr>
          <w:rFonts w:ascii="Times New Roman"/>
          <w:spacing w:val="-20"/>
          <w:sz w:val="28"/>
        </w:rPr>
        <w:t>元</w:t>
      </w:r>
    </w:p>
    <w:tbl>
      <w:tblPr>
        <w:tblStyle w:val="13"/>
        <w:tblW w:w="9640" w:type="dxa"/>
        <w:tblInd w:w="-431" w:type="dxa"/>
        <w:tblLayout w:type="fixed"/>
        <w:tblLook w:val="04A0" w:firstRow="1" w:lastRow="0" w:firstColumn="1" w:lastColumn="0" w:noHBand="0" w:noVBand="1"/>
      </w:tblPr>
      <w:tblGrid>
        <w:gridCol w:w="852"/>
        <w:gridCol w:w="1559"/>
        <w:gridCol w:w="1276"/>
        <w:gridCol w:w="1984"/>
        <w:gridCol w:w="2126"/>
        <w:gridCol w:w="1843"/>
      </w:tblGrid>
      <w:tr w:rsidR="00D956F6" w:rsidRPr="00E91F54" w:rsidTr="001523CE">
        <w:trPr>
          <w:trHeight w:val="541"/>
        </w:trPr>
        <w:tc>
          <w:tcPr>
            <w:tcW w:w="852" w:type="dxa"/>
            <w:vMerge w:val="restart"/>
            <w:shd w:val="clear" w:color="auto" w:fill="D9D9D9" w:themeFill="background1" w:themeFillShade="D9"/>
            <w:vAlign w:val="center"/>
          </w:tcPr>
          <w:p w:rsidR="00D956F6" w:rsidRPr="00E91F54" w:rsidRDefault="00D956F6" w:rsidP="00837C70">
            <w:pPr>
              <w:pStyle w:val="14"/>
              <w:spacing w:line="280" w:lineRule="exact"/>
              <w:jc w:val="center"/>
              <w:rPr>
                <w:rFonts w:ascii="Times New Roman" w:hAnsi="Times New Roman" w:cs="Times New Roman"/>
              </w:rPr>
            </w:pPr>
            <w:r w:rsidRPr="00E91F54">
              <w:rPr>
                <w:rFonts w:ascii="Times New Roman" w:hAnsi="Times New Roman" w:cs="Times New Roman"/>
              </w:rPr>
              <w:t>年度</w:t>
            </w:r>
          </w:p>
        </w:tc>
        <w:tc>
          <w:tcPr>
            <w:tcW w:w="1559" w:type="dxa"/>
            <w:shd w:val="clear" w:color="auto" w:fill="D9D9D9" w:themeFill="background1" w:themeFillShade="D9"/>
            <w:vAlign w:val="center"/>
          </w:tcPr>
          <w:p w:rsidR="00D956F6" w:rsidRPr="00E91F54" w:rsidRDefault="00D956F6" w:rsidP="00837C70">
            <w:pPr>
              <w:pStyle w:val="14"/>
              <w:spacing w:line="280" w:lineRule="exact"/>
              <w:jc w:val="center"/>
              <w:rPr>
                <w:rFonts w:ascii="Times New Roman" w:hAnsi="Times New Roman" w:cs="Times New Roman"/>
              </w:rPr>
            </w:pPr>
            <w:r w:rsidRPr="00E91F54">
              <w:rPr>
                <w:rFonts w:ascii="Times New Roman" w:hAnsi="Times New Roman" w:cs="Times New Roman"/>
              </w:rPr>
              <w:t>應繳納金額</w:t>
            </w:r>
          </w:p>
        </w:tc>
        <w:tc>
          <w:tcPr>
            <w:tcW w:w="1276" w:type="dxa"/>
            <w:vMerge w:val="restart"/>
            <w:shd w:val="clear" w:color="auto" w:fill="D9D9D9" w:themeFill="background1" w:themeFillShade="D9"/>
            <w:vAlign w:val="center"/>
          </w:tcPr>
          <w:p w:rsidR="00D956F6" w:rsidRPr="00E91F54" w:rsidRDefault="00D956F6" w:rsidP="00837C70">
            <w:pPr>
              <w:pStyle w:val="14"/>
              <w:spacing w:line="280" w:lineRule="exact"/>
              <w:jc w:val="center"/>
              <w:rPr>
                <w:rFonts w:ascii="Times New Roman" w:hAnsi="Times New Roman" w:cs="Times New Roman"/>
              </w:rPr>
            </w:pPr>
            <w:r w:rsidRPr="00E91F54">
              <w:rPr>
                <w:rFonts w:ascii="Times New Roman" w:hAnsi="Times New Roman" w:cs="Times New Roman"/>
              </w:rPr>
              <w:t>當年度已</w:t>
            </w:r>
          </w:p>
          <w:p w:rsidR="00D956F6" w:rsidRPr="00E91F54" w:rsidRDefault="00D956F6" w:rsidP="00837C70">
            <w:pPr>
              <w:pStyle w:val="14"/>
              <w:spacing w:line="280" w:lineRule="exact"/>
              <w:jc w:val="center"/>
              <w:rPr>
                <w:rFonts w:ascii="Times New Roman" w:hAnsi="Times New Roman" w:cs="Times New Roman"/>
              </w:rPr>
            </w:pPr>
            <w:r w:rsidRPr="00E91F54">
              <w:rPr>
                <w:rFonts w:ascii="Times New Roman" w:hAnsi="Times New Roman" w:cs="Times New Roman"/>
              </w:rPr>
              <w:t>繳納金額</w:t>
            </w:r>
          </w:p>
        </w:tc>
        <w:tc>
          <w:tcPr>
            <w:tcW w:w="4110" w:type="dxa"/>
            <w:gridSpan w:val="2"/>
            <w:shd w:val="clear" w:color="auto" w:fill="D9D9D9" w:themeFill="background1" w:themeFillShade="D9"/>
            <w:vAlign w:val="center"/>
          </w:tcPr>
          <w:p w:rsidR="00D956F6" w:rsidRPr="00E91F54" w:rsidRDefault="00D956F6" w:rsidP="00837C70">
            <w:pPr>
              <w:pStyle w:val="14"/>
              <w:spacing w:line="280" w:lineRule="exact"/>
              <w:jc w:val="center"/>
              <w:rPr>
                <w:rFonts w:ascii="Times New Roman" w:hAnsi="Times New Roman" w:cs="Times New Roman"/>
              </w:rPr>
            </w:pPr>
            <w:proofErr w:type="gramStart"/>
            <w:r w:rsidRPr="00E91F54">
              <w:rPr>
                <w:rFonts w:ascii="Times New Roman" w:hAnsi="Times New Roman" w:cs="Times New Roman"/>
              </w:rPr>
              <w:t>經催補繳</w:t>
            </w:r>
            <w:proofErr w:type="gramEnd"/>
            <w:r w:rsidRPr="00E91F54">
              <w:rPr>
                <w:rFonts w:ascii="Times New Roman" w:hAnsi="Times New Roman" w:cs="Times New Roman"/>
              </w:rPr>
              <w:t>通知繳納</w:t>
            </w:r>
            <w:r w:rsidR="00C17B57" w:rsidRPr="00E91F54">
              <w:rPr>
                <w:rFonts w:ascii="Times New Roman" w:hAnsi="Times New Roman" w:cs="Times New Roman"/>
              </w:rPr>
              <w:t>金額與案件數</w:t>
            </w:r>
          </w:p>
        </w:tc>
        <w:tc>
          <w:tcPr>
            <w:tcW w:w="1843" w:type="dxa"/>
            <w:shd w:val="clear" w:color="auto" w:fill="D9D9D9" w:themeFill="background1" w:themeFillShade="D9"/>
            <w:vAlign w:val="center"/>
          </w:tcPr>
          <w:p w:rsidR="00D956F6" w:rsidRPr="00E91F54" w:rsidRDefault="00D956F6" w:rsidP="00837C70">
            <w:pPr>
              <w:pStyle w:val="14"/>
              <w:spacing w:line="280" w:lineRule="exact"/>
              <w:jc w:val="center"/>
              <w:rPr>
                <w:rFonts w:ascii="Times New Roman" w:hAnsi="Times New Roman" w:cs="Times New Roman"/>
              </w:rPr>
            </w:pPr>
            <w:r w:rsidRPr="00E91F54">
              <w:rPr>
                <w:rFonts w:ascii="Times New Roman" w:hAnsi="Times New Roman" w:cs="Times New Roman"/>
              </w:rPr>
              <w:t>未繳納金額</w:t>
            </w:r>
          </w:p>
        </w:tc>
      </w:tr>
      <w:tr w:rsidR="00D956F6" w:rsidRPr="00E91F54" w:rsidTr="001523CE">
        <w:trPr>
          <w:trHeight w:val="547"/>
        </w:trPr>
        <w:tc>
          <w:tcPr>
            <w:tcW w:w="852" w:type="dxa"/>
            <w:vMerge/>
            <w:tcBorders>
              <w:bottom w:val="single" w:sz="4" w:space="0" w:color="auto"/>
            </w:tcBorders>
            <w:shd w:val="clear" w:color="auto" w:fill="D9D9D9" w:themeFill="background1" w:themeFillShade="D9"/>
            <w:vAlign w:val="center"/>
          </w:tcPr>
          <w:p w:rsidR="00D956F6" w:rsidRPr="00E91F54" w:rsidRDefault="00D956F6" w:rsidP="00837C70">
            <w:pPr>
              <w:pStyle w:val="14"/>
              <w:spacing w:line="280" w:lineRule="exact"/>
              <w:jc w:val="center"/>
              <w:rPr>
                <w:rFonts w:ascii="Times New Roman" w:hAnsi="Times New Roman" w:cs="Times New Roman"/>
              </w:rPr>
            </w:pPr>
          </w:p>
        </w:tc>
        <w:tc>
          <w:tcPr>
            <w:tcW w:w="1559" w:type="dxa"/>
            <w:tcBorders>
              <w:bottom w:val="single" w:sz="4" w:space="0" w:color="auto"/>
            </w:tcBorders>
            <w:shd w:val="clear" w:color="auto" w:fill="D9D9D9" w:themeFill="background1" w:themeFillShade="D9"/>
            <w:vAlign w:val="center"/>
          </w:tcPr>
          <w:p w:rsidR="00D956F6" w:rsidRPr="00E91F54" w:rsidRDefault="00D956F6" w:rsidP="00837C70">
            <w:pPr>
              <w:pStyle w:val="14"/>
              <w:spacing w:line="280" w:lineRule="exact"/>
              <w:jc w:val="center"/>
              <w:rPr>
                <w:rFonts w:ascii="Times New Roman" w:hAnsi="Times New Roman" w:cs="Times New Roman"/>
              </w:rPr>
            </w:pPr>
            <w:r w:rsidRPr="00E91F54">
              <w:rPr>
                <w:rFonts w:ascii="Times New Roman" w:hAnsi="Times New Roman" w:cs="Times New Roman"/>
              </w:rPr>
              <w:t>應繳案件數</w:t>
            </w:r>
          </w:p>
        </w:tc>
        <w:tc>
          <w:tcPr>
            <w:tcW w:w="1276" w:type="dxa"/>
            <w:vMerge/>
            <w:tcBorders>
              <w:bottom w:val="single" w:sz="4" w:space="0" w:color="auto"/>
            </w:tcBorders>
            <w:shd w:val="clear" w:color="auto" w:fill="D9D9D9" w:themeFill="background1" w:themeFillShade="D9"/>
            <w:vAlign w:val="center"/>
          </w:tcPr>
          <w:p w:rsidR="00D956F6" w:rsidRPr="00E91F54" w:rsidRDefault="00D956F6" w:rsidP="00837C70">
            <w:pPr>
              <w:pStyle w:val="14"/>
              <w:spacing w:line="280" w:lineRule="exact"/>
              <w:jc w:val="center"/>
              <w:rPr>
                <w:rFonts w:ascii="Times New Roman" w:hAnsi="Times New Roman" w:cs="Times New Roman"/>
              </w:rPr>
            </w:pPr>
          </w:p>
        </w:tc>
        <w:tc>
          <w:tcPr>
            <w:tcW w:w="1984" w:type="dxa"/>
            <w:tcBorders>
              <w:bottom w:val="single" w:sz="4" w:space="0" w:color="auto"/>
            </w:tcBorders>
            <w:shd w:val="clear" w:color="auto" w:fill="D9D9D9" w:themeFill="background1" w:themeFillShade="D9"/>
            <w:vAlign w:val="center"/>
          </w:tcPr>
          <w:p w:rsidR="00D956F6" w:rsidRPr="00E91F54" w:rsidRDefault="00D956F6" w:rsidP="00837C70">
            <w:pPr>
              <w:pStyle w:val="14"/>
              <w:spacing w:line="280" w:lineRule="exact"/>
              <w:jc w:val="center"/>
              <w:rPr>
                <w:rFonts w:ascii="Times New Roman" w:hAnsi="Times New Roman" w:cs="Times New Roman"/>
              </w:rPr>
            </w:pPr>
            <w:r w:rsidRPr="00E91F54">
              <w:rPr>
                <w:rFonts w:ascii="Times New Roman" w:hAnsi="Times New Roman" w:cs="Times New Roman"/>
              </w:rPr>
              <w:t>113.12.31</w:t>
            </w:r>
            <w:r w:rsidRPr="00E91F54">
              <w:rPr>
                <w:rFonts w:ascii="Times New Roman" w:hAnsi="Times New Roman" w:cs="Times New Roman"/>
              </w:rPr>
              <w:t>更新</w:t>
            </w:r>
          </w:p>
        </w:tc>
        <w:tc>
          <w:tcPr>
            <w:tcW w:w="2126" w:type="dxa"/>
            <w:tcBorders>
              <w:bottom w:val="single" w:sz="4" w:space="0" w:color="auto"/>
            </w:tcBorders>
            <w:shd w:val="clear" w:color="auto" w:fill="D9D9D9" w:themeFill="background1" w:themeFillShade="D9"/>
            <w:vAlign w:val="center"/>
          </w:tcPr>
          <w:p w:rsidR="00D956F6" w:rsidRPr="00E91F54" w:rsidRDefault="00D956F6" w:rsidP="00837C70">
            <w:pPr>
              <w:pStyle w:val="14"/>
              <w:spacing w:line="280" w:lineRule="exact"/>
              <w:jc w:val="center"/>
              <w:rPr>
                <w:rFonts w:ascii="Times New Roman" w:hAnsi="Times New Roman" w:cs="Times New Roman"/>
              </w:rPr>
            </w:pPr>
            <w:r w:rsidRPr="00E91F54">
              <w:rPr>
                <w:rFonts w:ascii="Times New Roman" w:hAnsi="Times New Roman" w:cs="Times New Roman"/>
              </w:rPr>
              <w:t>114.3.31</w:t>
            </w:r>
            <w:r w:rsidRPr="00E91F54">
              <w:rPr>
                <w:rFonts w:ascii="Times New Roman" w:hAnsi="Times New Roman" w:cs="Times New Roman"/>
              </w:rPr>
              <w:t>更新</w:t>
            </w:r>
          </w:p>
        </w:tc>
        <w:tc>
          <w:tcPr>
            <w:tcW w:w="1843" w:type="dxa"/>
            <w:tcBorders>
              <w:bottom w:val="single" w:sz="4" w:space="0" w:color="auto"/>
            </w:tcBorders>
            <w:shd w:val="clear" w:color="auto" w:fill="D9D9D9" w:themeFill="background1" w:themeFillShade="D9"/>
            <w:vAlign w:val="center"/>
          </w:tcPr>
          <w:p w:rsidR="00D956F6" w:rsidRPr="00E91F54" w:rsidRDefault="00D956F6" w:rsidP="00837C70">
            <w:pPr>
              <w:pStyle w:val="14"/>
              <w:spacing w:line="280" w:lineRule="exact"/>
              <w:jc w:val="center"/>
              <w:rPr>
                <w:rFonts w:ascii="Times New Roman" w:hAnsi="Times New Roman" w:cs="Times New Roman"/>
              </w:rPr>
            </w:pPr>
            <w:r w:rsidRPr="00E91F54">
              <w:rPr>
                <w:rFonts w:ascii="Times New Roman" w:hAnsi="Times New Roman" w:cs="Times New Roman"/>
              </w:rPr>
              <w:t>未繳納件數</w:t>
            </w:r>
          </w:p>
        </w:tc>
      </w:tr>
      <w:tr w:rsidR="00EB0A7B" w:rsidRPr="00E91F54" w:rsidTr="00D956F6">
        <w:trPr>
          <w:trHeight w:val="695"/>
        </w:trPr>
        <w:tc>
          <w:tcPr>
            <w:tcW w:w="852" w:type="dxa"/>
            <w:vMerge w:val="restart"/>
            <w:vAlign w:val="center"/>
          </w:tcPr>
          <w:p w:rsidR="00EB0A7B" w:rsidRPr="00E91F54" w:rsidRDefault="00EB0A7B" w:rsidP="00837C70">
            <w:pPr>
              <w:pStyle w:val="14"/>
              <w:spacing w:line="280" w:lineRule="exact"/>
              <w:jc w:val="center"/>
              <w:rPr>
                <w:rFonts w:ascii="Times New Roman" w:hAnsi="Times New Roman" w:cs="Times New Roman"/>
              </w:rPr>
            </w:pPr>
            <w:r w:rsidRPr="00E91F54">
              <w:rPr>
                <w:rFonts w:ascii="Times New Roman" w:hAnsi="Times New Roman" w:cs="Times New Roman"/>
              </w:rPr>
              <w:t>110</w:t>
            </w:r>
          </w:p>
        </w:tc>
        <w:tc>
          <w:tcPr>
            <w:tcW w:w="1559" w:type="dxa"/>
            <w:vAlign w:val="center"/>
          </w:tcPr>
          <w:p w:rsidR="00EB0A7B" w:rsidRPr="00E91F54" w:rsidRDefault="00EB0A7B" w:rsidP="00837C70">
            <w:pPr>
              <w:pStyle w:val="14"/>
              <w:spacing w:line="280" w:lineRule="exact"/>
              <w:jc w:val="center"/>
              <w:rPr>
                <w:rFonts w:ascii="Times New Roman" w:hAnsi="Times New Roman" w:cs="Times New Roman"/>
              </w:rPr>
            </w:pPr>
            <w:r w:rsidRPr="00E91F54">
              <w:rPr>
                <w:rFonts w:ascii="Times New Roman" w:hAnsi="Times New Roman" w:cs="Times New Roman"/>
              </w:rPr>
              <w:t>99,103</w:t>
            </w:r>
          </w:p>
          <w:p w:rsidR="00EB0A7B" w:rsidRPr="00E91F54" w:rsidRDefault="006C4CD7" w:rsidP="00837C70">
            <w:pPr>
              <w:pStyle w:val="14"/>
              <w:spacing w:line="280" w:lineRule="exact"/>
              <w:jc w:val="center"/>
              <w:rPr>
                <w:rFonts w:ascii="Times New Roman" w:hAnsi="Times New Roman" w:cs="Times New Roman"/>
              </w:rPr>
            </w:pPr>
            <w:r w:rsidRPr="00E91F54">
              <w:rPr>
                <w:rFonts w:ascii="Times New Roman" w:hAnsi="Times New Roman" w:cs="Times New Roman"/>
                <w:sz w:val="24"/>
              </w:rPr>
              <w:t>（</w:t>
            </w:r>
            <w:r w:rsidR="00EB0A7B" w:rsidRPr="00E91F54">
              <w:rPr>
                <w:rFonts w:ascii="Times New Roman" w:hAnsi="Times New Roman" w:cs="Times New Roman"/>
                <w:sz w:val="24"/>
              </w:rPr>
              <w:t>100%</w:t>
            </w:r>
            <w:r w:rsidRPr="00E91F54">
              <w:rPr>
                <w:rFonts w:ascii="Times New Roman" w:hAnsi="Times New Roman" w:cs="Times New Roman"/>
                <w:sz w:val="24"/>
              </w:rPr>
              <w:t>）</w:t>
            </w:r>
          </w:p>
        </w:tc>
        <w:tc>
          <w:tcPr>
            <w:tcW w:w="1276" w:type="dxa"/>
            <w:vAlign w:val="center"/>
          </w:tcPr>
          <w:p w:rsidR="00EB0A7B" w:rsidRPr="00E91F54" w:rsidRDefault="00EB0A7B" w:rsidP="00837C70">
            <w:pPr>
              <w:pStyle w:val="14"/>
              <w:spacing w:line="280" w:lineRule="exact"/>
              <w:jc w:val="center"/>
              <w:rPr>
                <w:rFonts w:ascii="Times New Roman" w:hAnsi="Times New Roman" w:cs="Times New Roman"/>
              </w:rPr>
            </w:pPr>
            <w:r w:rsidRPr="00E91F54">
              <w:rPr>
                <w:rFonts w:ascii="Times New Roman" w:hAnsi="Times New Roman" w:cs="Times New Roman"/>
              </w:rPr>
              <w:t>83,584</w:t>
            </w:r>
          </w:p>
          <w:p w:rsidR="00EB0A7B" w:rsidRPr="00E91F54" w:rsidRDefault="006C4CD7" w:rsidP="00837C70">
            <w:pPr>
              <w:pStyle w:val="14"/>
              <w:spacing w:line="280" w:lineRule="exact"/>
              <w:jc w:val="center"/>
              <w:rPr>
                <w:rFonts w:ascii="Times New Roman" w:hAnsi="Times New Roman" w:cs="Times New Roman"/>
              </w:rPr>
            </w:pPr>
            <w:r w:rsidRPr="00E91F54">
              <w:rPr>
                <w:rFonts w:ascii="Times New Roman" w:hAnsi="Times New Roman" w:cs="Times New Roman"/>
                <w:sz w:val="24"/>
              </w:rPr>
              <w:t>（</w:t>
            </w:r>
            <w:r w:rsidR="00EB0A7B" w:rsidRPr="00E91F54">
              <w:rPr>
                <w:rFonts w:ascii="Times New Roman" w:hAnsi="Times New Roman" w:cs="Times New Roman"/>
                <w:sz w:val="24"/>
              </w:rPr>
              <w:t>84%</w:t>
            </w:r>
            <w:r w:rsidRPr="00E91F54">
              <w:rPr>
                <w:rFonts w:ascii="Times New Roman" w:hAnsi="Times New Roman" w:cs="Times New Roman"/>
                <w:sz w:val="24"/>
              </w:rPr>
              <w:t>）</w:t>
            </w:r>
          </w:p>
        </w:tc>
        <w:tc>
          <w:tcPr>
            <w:tcW w:w="1984" w:type="dxa"/>
            <w:vAlign w:val="center"/>
          </w:tcPr>
          <w:p w:rsidR="00EB0A7B" w:rsidRPr="00E91F54" w:rsidRDefault="00EB0A7B" w:rsidP="00837C70">
            <w:pPr>
              <w:pStyle w:val="14"/>
              <w:spacing w:line="280" w:lineRule="exact"/>
              <w:jc w:val="center"/>
              <w:rPr>
                <w:rFonts w:ascii="Times New Roman" w:hAnsi="Times New Roman" w:cs="Times New Roman"/>
              </w:rPr>
            </w:pPr>
            <w:r w:rsidRPr="00E91F54">
              <w:rPr>
                <w:rFonts w:ascii="Times New Roman" w:hAnsi="Times New Roman" w:cs="Times New Roman"/>
              </w:rPr>
              <w:t>92,017</w:t>
            </w:r>
          </w:p>
          <w:p w:rsidR="00EB0A7B" w:rsidRPr="00E91F54" w:rsidRDefault="006C4CD7" w:rsidP="00837C70">
            <w:pPr>
              <w:pStyle w:val="14"/>
              <w:spacing w:line="280" w:lineRule="exact"/>
              <w:jc w:val="center"/>
              <w:rPr>
                <w:rFonts w:ascii="Times New Roman" w:hAnsi="Times New Roman" w:cs="Times New Roman"/>
              </w:rPr>
            </w:pPr>
            <w:r w:rsidRPr="00E91F54">
              <w:rPr>
                <w:rFonts w:ascii="Times New Roman" w:hAnsi="Times New Roman" w:cs="Times New Roman"/>
                <w:sz w:val="24"/>
              </w:rPr>
              <w:t>（</w:t>
            </w:r>
            <w:r w:rsidR="00EB0A7B" w:rsidRPr="00E91F54">
              <w:rPr>
                <w:rFonts w:ascii="Times New Roman" w:hAnsi="Times New Roman" w:cs="Times New Roman"/>
                <w:sz w:val="24"/>
              </w:rPr>
              <w:t>93%</w:t>
            </w:r>
            <w:r w:rsidRPr="00E91F54">
              <w:rPr>
                <w:rFonts w:ascii="Times New Roman" w:hAnsi="Times New Roman" w:cs="Times New Roman"/>
                <w:sz w:val="24"/>
              </w:rPr>
              <w:t>）</w:t>
            </w:r>
          </w:p>
        </w:tc>
        <w:tc>
          <w:tcPr>
            <w:tcW w:w="2126" w:type="dxa"/>
            <w:vAlign w:val="center"/>
          </w:tcPr>
          <w:p w:rsidR="00EB0A7B" w:rsidRPr="00E91F54" w:rsidRDefault="00EB0A7B" w:rsidP="00837C70">
            <w:pPr>
              <w:pStyle w:val="14"/>
              <w:spacing w:line="280" w:lineRule="exact"/>
              <w:jc w:val="center"/>
              <w:rPr>
                <w:rFonts w:ascii="Times New Roman" w:hAnsi="Times New Roman" w:cs="Times New Roman"/>
              </w:rPr>
            </w:pPr>
            <w:r w:rsidRPr="00E91F54">
              <w:rPr>
                <w:rFonts w:ascii="Times New Roman" w:hAnsi="Times New Roman" w:cs="Times New Roman"/>
              </w:rPr>
              <w:t>92,792</w:t>
            </w:r>
          </w:p>
          <w:p w:rsidR="00EB0A7B" w:rsidRPr="00E91F54" w:rsidRDefault="006C4CD7" w:rsidP="00837C70">
            <w:pPr>
              <w:pStyle w:val="14"/>
              <w:spacing w:line="280" w:lineRule="exact"/>
              <w:jc w:val="center"/>
              <w:rPr>
                <w:rFonts w:ascii="Times New Roman" w:hAnsi="Times New Roman" w:cs="Times New Roman"/>
              </w:rPr>
            </w:pPr>
            <w:r w:rsidRPr="00E91F54">
              <w:rPr>
                <w:rFonts w:ascii="Times New Roman" w:hAnsi="Times New Roman" w:cs="Times New Roman"/>
                <w:sz w:val="24"/>
              </w:rPr>
              <w:t>（</w:t>
            </w:r>
            <w:r w:rsidR="00EB0A7B" w:rsidRPr="00E91F54">
              <w:rPr>
                <w:rFonts w:ascii="Times New Roman" w:hAnsi="Times New Roman" w:cs="Times New Roman"/>
                <w:sz w:val="24"/>
              </w:rPr>
              <w:t>93%</w:t>
            </w:r>
            <w:r w:rsidRPr="00E91F54">
              <w:rPr>
                <w:rFonts w:ascii="Times New Roman" w:hAnsi="Times New Roman" w:cs="Times New Roman"/>
                <w:sz w:val="24"/>
              </w:rPr>
              <w:t>）</w:t>
            </w:r>
          </w:p>
        </w:tc>
        <w:tc>
          <w:tcPr>
            <w:tcW w:w="1843" w:type="dxa"/>
            <w:vAlign w:val="center"/>
          </w:tcPr>
          <w:p w:rsidR="00EB0A7B" w:rsidRPr="00E91F54" w:rsidRDefault="00EB0A7B" w:rsidP="00837C70">
            <w:pPr>
              <w:pStyle w:val="14"/>
              <w:spacing w:line="280" w:lineRule="exact"/>
              <w:jc w:val="center"/>
              <w:rPr>
                <w:rFonts w:ascii="Times New Roman" w:hAnsi="Times New Roman" w:cs="Times New Roman"/>
              </w:rPr>
            </w:pPr>
            <w:r w:rsidRPr="00E91F54">
              <w:rPr>
                <w:rFonts w:ascii="Times New Roman" w:hAnsi="Times New Roman" w:cs="Times New Roman"/>
              </w:rPr>
              <w:t>6,311</w:t>
            </w:r>
          </w:p>
          <w:p w:rsidR="00EB0A7B" w:rsidRPr="00E91F54" w:rsidRDefault="006C4CD7" w:rsidP="00837C70">
            <w:pPr>
              <w:pStyle w:val="14"/>
              <w:spacing w:line="280" w:lineRule="exact"/>
              <w:jc w:val="center"/>
              <w:rPr>
                <w:rFonts w:ascii="Times New Roman" w:hAnsi="Times New Roman" w:cs="Times New Roman"/>
              </w:rPr>
            </w:pPr>
            <w:r w:rsidRPr="00E91F54">
              <w:rPr>
                <w:rFonts w:ascii="Times New Roman" w:hAnsi="Times New Roman" w:cs="Times New Roman"/>
                <w:sz w:val="24"/>
              </w:rPr>
              <w:t>（</w:t>
            </w:r>
            <w:r w:rsidR="00EB0A7B" w:rsidRPr="00E91F54">
              <w:rPr>
                <w:rFonts w:ascii="Times New Roman" w:hAnsi="Times New Roman" w:cs="Times New Roman"/>
                <w:sz w:val="24"/>
              </w:rPr>
              <w:t>7%</w:t>
            </w:r>
            <w:r w:rsidRPr="00E91F54">
              <w:rPr>
                <w:rFonts w:ascii="Times New Roman" w:hAnsi="Times New Roman" w:cs="Times New Roman"/>
                <w:sz w:val="24"/>
              </w:rPr>
              <w:t>）</w:t>
            </w:r>
          </w:p>
        </w:tc>
      </w:tr>
      <w:tr w:rsidR="00EB0A7B" w:rsidRPr="00E91F54" w:rsidTr="00912B68">
        <w:trPr>
          <w:trHeight w:val="293"/>
        </w:trPr>
        <w:tc>
          <w:tcPr>
            <w:tcW w:w="852" w:type="dxa"/>
            <w:vMerge/>
            <w:vAlign w:val="center"/>
          </w:tcPr>
          <w:p w:rsidR="00EB0A7B" w:rsidRPr="00E91F54" w:rsidRDefault="00EB0A7B" w:rsidP="00837C70">
            <w:pPr>
              <w:pStyle w:val="14"/>
              <w:spacing w:line="280" w:lineRule="exact"/>
              <w:jc w:val="center"/>
              <w:rPr>
                <w:rFonts w:ascii="Times New Roman" w:hAnsi="Times New Roman" w:cs="Times New Roman"/>
              </w:rPr>
            </w:pPr>
          </w:p>
        </w:tc>
        <w:tc>
          <w:tcPr>
            <w:tcW w:w="1559" w:type="dxa"/>
            <w:vAlign w:val="center"/>
          </w:tcPr>
          <w:p w:rsidR="00EB0A7B" w:rsidRPr="00E91F54" w:rsidRDefault="00EB0A7B" w:rsidP="00837C70">
            <w:pPr>
              <w:pStyle w:val="14"/>
              <w:spacing w:line="280" w:lineRule="exact"/>
              <w:jc w:val="center"/>
              <w:rPr>
                <w:rFonts w:ascii="Times New Roman" w:hAnsi="Times New Roman" w:cs="Times New Roman"/>
              </w:rPr>
            </w:pPr>
            <w:r w:rsidRPr="00E91F54">
              <w:rPr>
                <w:rFonts w:ascii="Times New Roman" w:hAnsi="Times New Roman" w:cs="Times New Roman"/>
              </w:rPr>
              <w:t>6,426</w:t>
            </w:r>
            <w:r w:rsidRPr="00E91F54">
              <w:rPr>
                <w:rFonts w:ascii="Times New Roman" w:hAnsi="Times New Roman" w:cs="Times New Roman"/>
              </w:rPr>
              <w:t>案</w:t>
            </w:r>
          </w:p>
        </w:tc>
        <w:tc>
          <w:tcPr>
            <w:tcW w:w="5386" w:type="dxa"/>
            <w:gridSpan w:val="3"/>
            <w:vAlign w:val="center"/>
          </w:tcPr>
          <w:p w:rsidR="00EB0A7B" w:rsidRPr="00E91F54" w:rsidRDefault="00EB0A7B" w:rsidP="00837C70">
            <w:pPr>
              <w:pStyle w:val="14"/>
              <w:spacing w:line="280" w:lineRule="exact"/>
              <w:jc w:val="center"/>
              <w:rPr>
                <w:rFonts w:ascii="Times New Roman" w:hAnsi="Times New Roman" w:cs="Times New Roman"/>
              </w:rPr>
            </w:pPr>
            <w:r w:rsidRPr="00E91F54">
              <w:rPr>
                <w:rFonts w:ascii="Times New Roman" w:hAnsi="Times New Roman" w:cs="Times New Roman"/>
              </w:rPr>
              <w:t>5,858</w:t>
            </w:r>
            <w:r w:rsidRPr="00E91F54">
              <w:rPr>
                <w:rFonts w:ascii="Times New Roman" w:hAnsi="Times New Roman" w:cs="Times New Roman"/>
              </w:rPr>
              <w:t>案</w:t>
            </w:r>
          </w:p>
        </w:tc>
        <w:tc>
          <w:tcPr>
            <w:tcW w:w="1843" w:type="dxa"/>
            <w:vAlign w:val="center"/>
          </w:tcPr>
          <w:p w:rsidR="00EB0A7B" w:rsidRPr="00E91F54" w:rsidRDefault="00695876" w:rsidP="00837C70">
            <w:pPr>
              <w:pStyle w:val="14"/>
              <w:spacing w:line="280" w:lineRule="exact"/>
              <w:jc w:val="center"/>
              <w:rPr>
                <w:rFonts w:ascii="Times New Roman" w:hAnsi="Times New Roman" w:cs="Times New Roman"/>
              </w:rPr>
            </w:pPr>
            <w:r w:rsidRPr="00E91F54">
              <w:rPr>
                <w:rFonts w:ascii="Times New Roman" w:hAnsi="Times New Roman" w:cs="Times New Roman"/>
              </w:rPr>
              <w:t>568</w:t>
            </w:r>
            <w:r w:rsidR="00E87D20" w:rsidRPr="00E91F54">
              <w:rPr>
                <w:rFonts w:ascii="Times New Roman" w:hAnsi="Times New Roman" w:cs="Times New Roman"/>
              </w:rPr>
              <w:t>案</w:t>
            </w:r>
          </w:p>
        </w:tc>
      </w:tr>
      <w:tr w:rsidR="00EB0A7B" w:rsidRPr="00E91F54" w:rsidTr="00D956F6">
        <w:trPr>
          <w:trHeight w:val="703"/>
        </w:trPr>
        <w:tc>
          <w:tcPr>
            <w:tcW w:w="852" w:type="dxa"/>
            <w:vMerge w:val="restart"/>
            <w:vAlign w:val="center"/>
          </w:tcPr>
          <w:p w:rsidR="00EB0A7B" w:rsidRPr="00E91F54" w:rsidRDefault="00EB0A7B" w:rsidP="00837C70">
            <w:pPr>
              <w:pStyle w:val="14"/>
              <w:spacing w:line="280" w:lineRule="exact"/>
              <w:jc w:val="center"/>
              <w:rPr>
                <w:rFonts w:ascii="Times New Roman" w:hAnsi="Times New Roman" w:cs="Times New Roman"/>
              </w:rPr>
            </w:pPr>
            <w:r w:rsidRPr="00E91F54">
              <w:rPr>
                <w:rFonts w:ascii="Times New Roman" w:hAnsi="Times New Roman" w:cs="Times New Roman"/>
              </w:rPr>
              <w:t>111</w:t>
            </w:r>
          </w:p>
        </w:tc>
        <w:tc>
          <w:tcPr>
            <w:tcW w:w="1559" w:type="dxa"/>
            <w:vAlign w:val="center"/>
          </w:tcPr>
          <w:p w:rsidR="00EB0A7B" w:rsidRPr="00E91F54" w:rsidRDefault="00EB0A7B" w:rsidP="00837C70">
            <w:pPr>
              <w:pStyle w:val="14"/>
              <w:spacing w:line="280" w:lineRule="exact"/>
              <w:jc w:val="center"/>
              <w:rPr>
                <w:rFonts w:ascii="Times New Roman" w:hAnsi="Times New Roman" w:cs="Times New Roman"/>
              </w:rPr>
            </w:pPr>
            <w:r w:rsidRPr="00E91F54">
              <w:rPr>
                <w:rFonts w:ascii="Times New Roman" w:hAnsi="Times New Roman" w:cs="Times New Roman"/>
              </w:rPr>
              <w:t>295,6</w:t>
            </w:r>
            <w:r w:rsidR="009810E2" w:rsidRPr="00E91F54">
              <w:rPr>
                <w:rFonts w:ascii="Times New Roman" w:hAnsi="Times New Roman" w:cs="Times New Roman"/>
              </w:rPr>
              <w:t>28</w:t>
            </w:r>
          </w:p>
          <w:p w:rsidR="00EB0A7B" w:rsidRPr="00E91F54" w:rsidRDefault="006C4CD7" w:rsidP="00837C70">
            <w:pPr>
              <w:pStyle w:val="14"/>
              <w:spacing w:line="280" w:lineRule="exact"/>
              <w:jc w:val="center"/>
              <w:rPr>
                <w:rFonts w:ascii="Times New Roman" w:hAnsi="Times New Roman" w:cs="Times New Roman"/>
              </w:rPr>
            </w:pPr>
            <w:r w:rsidRPr="00E91F54">
              <w:rPr>
                <w:rFonts w:ascii="Times New Roman" w:hAnsi="Times New Roman" w:cs="Times New Roman"/>
                <w:sz w:val="24"/>
              </w:rPr>
              <w:t>（</w:t>
            </w:r>
            <w:r w:rsidR="00EB0A7B" w:rsidRPr="00E91F54">
              <w:rPr>
                <w:rFonts w:ascii="Times New Roman" w:hAnsi="Times New Roman" w:cs="Times New Roman"/>
                <w:sz w:val="24"/>
              </w:rPr>
              <w:t>100%</w:t>
            </w:r>
            <w:r w:rsidRPr="00E91F54">
              <w:rPr>
                <w:rFonts w:ascii="Times New Roman" w:hAnsi="Times New Roman" w:cs="Times New Roman"/>
                <w:sz w:val="24"/>
              </w:rPr>
              <w:t>）</w:t>
            </w:r>
          </w:p>
        </w:tc>
        <w:tc>
          <w:tcPr>
            <w:tcW w:w="1276" w:type="dxa"/>
            <w:vAlign w:val="center"/>
          </w:tcPr>
          <w:p w:rsidR="00EB0A7B" w:rsidRPr="00E91F54" w:rsidRDefault="00EB0A7B" w:rsidP="00837C70">
            <w:pPr>
              <w:pStyle w:val="14"/>
              <w:spacing w:line="280" w:lineRule="exact"/>
              <w:jc w:val="center"/>
              <w:rPr>
                <w:rFonts w:ascii="Times New Roman" w:hAnsi="Times New Roman" w:cs="Times New Roman"/>
              </w:rPr>
            </w:pPr>
            <w:r w:rsidRPr="00E91F54">
              <w:rPr>
                <w:rFonts w:ascii="Times New Roman" w:hAnsi="Times New Roman" w:cs="Times New Roman"/>
              </w:rPr>
              <w:t>78,885</w:t>
            </w:r>
          </w:p>
          <w:p w:rsidR="00EB0A7B" w:rsidRPr="00E91F54" w:rsidRDefault="006C4CD7" w:rsidP="00837C70">
            <w:pPr>
              <w:pStyle w:val="14"/>
              <w:spacing w:line="280" w:lineRule="exact"/>
              <w:jc w:val="center"/>
              <w:rPr>
                <w:rFonts w:ascii="Times New Roman" w:hAnsi="Times New Roman" w:cs="Times New Roman"/>
              </w:rPr>
            </w:pPr>
            <w:r w:rsidRPr="00E91F54">
              <w:rPr>
                <w:rFonts w:ascii="Times New Roman" w:hAnsi="Times New Roman" w:cs="Times New Roman"/>
                <w:sz w:val="24"/>
              </w:rPr>
              <w:t>（</w:t>
            </w:r>
            <w:r w:rsidR="00EB0A7B" w:rsidRPr="00E91F54">
              <w:rPr>
                <w:rFonts w:ascii="Times New Roman" w:hAnsi="Times New Roman" w:cs="Times New Roman"/>
                <w:sz w:val="24"/>
              </w:rPr>
              <w:t>27%</w:t>
            </w:r>
            <w:r w:rsidRPr="00E91F54">
              <w:rPr>
                <w:rFonts w:ascii="Times New Roman" w:hAnsi="Times New Roman" w:cs="Times New Roman"/>
                <w:sz w:val="24"/>
              </w:rPr>
              <w:t>）</w:t>
            </w:r>
          </w:p>
        </w:tc>
        <w:tc>
          <w:tcPr>
            <w:tcW w:w="1984" w:type="dxa"/>
            <w:vAlign w:val="center"/>
          </w:tcPr>
          <w:p w:rsidR="00EB0A7B" w:rsidRPr="00E91F54" w:rsidRDefault="00EB0A7B" w:rsidP="00837C70">
            <w:pPr>
              <w:pStyle w:val="14"/>
              <w:spacing w:line="280" w:lineRule="exact"/>
              <w:jc w:val="center"/>
              <w:rPr>
                <w:rFonts w:ascii="Times New Roman" w:hAnsi="Times New Roman" w:cs="Times New Roman"/>
              </w:rPr>
            </w:pPr>
            <w:r w:rsidRPr="00E91F54">
              <w:rPr>
                <w:rFonts w:ascii="Times New Roman" w:hAnsi="Times New Roman" w:cs="Times New Roman"/>
              </w:rPr>
              <w:t>204,394</w:t>
            </w:r>
          </w:p>
          <w:p w:rsidR="00EB0A7B" w:rsidRPr="00E91F54" w:rsidRDefault="006C4CD7" w:rsidP="00837C70">
            <w:pPr>
              <w:pStyle w:val="14"/>
              <w:spacing w:line="280" w:lineRule="exact"/>
              <w:jc w:val="center"/>
              <w:rPr>
                <w:rFonts w:ascii="Times New Roman" w:hAnsi="Times New Roman" w:cs="Times New Roman"/>
              </w:rPr>
            </w:pPr>
            <w:r w:rsidRPr="00E91F54">
              <w:rPr>
                <w:rFonts w:ascii="Times New Roman" w:hAnsi="Times New Roman" w:cs="Times New Roman"/>
                <w:sz w:val="24"/>
              </w:rPr>
              <w:t>（</w:t>
            </w:r>
            <w:r w:rsidR="00EB0A7B" w:rsidRPr="00E91F54">
              <w:rPr>
                <w:rFonts w:ascii="Times New Roman" w:hAnsi="Times New Roman" w:cs="Times New Roman"/>
                <w:sz w:val="24"/>
              </w:rPr>
              <w:t>69%</w:t>
            </w:r>
            <w:r w:rsidRPr="00E91F54">
              <w:rPr>
                <w:rFonts w:ascii="Times New Roman" w:hAnsi="Times New Roman" w:cs="Times New Roman"/>
                <w:sz w:val="24"/>
              </w:rPr>
              <w:t>）</w:t>
            </w:r>
          </w:p>
        </w:tc>
        <w:tc>
          <w:tcPr>
            <w:tcW w:w="2126" w:type="dxa"/>
            <w:vAlign w:val="center"/>
          </w:tcPr>
          <w:p w:rsidR="00EB0A7B" w:rsidRPr="00E91F54" w:rsidRDefault="00EB0A7B" w:rsidP="00837C70">
            <w:pPr>
              <w:pStyle w:val="14"/>
              <w:spacing w:line="280" w:lineRule="exact"/>
              <w:jc w:val="center"/>
              <w:rPr>
                <w:rFonts w:ascii="Times New Roman" w:hAnsi="Times New Roman" w:cs="Times New Roman"/>
              </w:rPr>
            </w:pPr>
            <w:r w:rsidRPr="00E91F54">
              <w:rPr>
                <w:rFonts w:ascii="Times New Roman" w:hAnsi="Times New Roman" w:cs="Times New Roman"/>
              </w:rPr>
              <w:t>243,070</w:t>
            </w:r>
          </w:p>
          <w:p w:rsidR="00EB0A7B" w:rsidRPr="00E91F54" w:rsidRDefault="006C4CD7" w:rsidP="00837C70">
            <w:pPr>
              <w:pStyle w:val="14"/>
              <w:spacing w:line="280" w:lineRule="exact"/>
              <w:jc w:val="center"/>
              <w:rPr>
                <w:rFonts w:ascii="Times New Roman" w:hAnsi="Times New Roman" w:cs="Times New Roman"/>
              </w:rPr>
            </w:pPr>
            <w:r w:rsidRPr="00E91F54">
              <w:rPr>
                <w:rFonts w:ascii="Times New Roman" w:hAnsi="Times New Roman" w:cs="Times New Roman"/>
                <w:sz w:val="24"/>
              </w:rPr>
              <w:t>（</w:t>
            </w:r>
            <w:r w:rsidR="00EB0A7B" w:rsidRPr="00E91F54">
              <w:rPr>
                <w:rFonts w:ascii="Times New Roman" w:hAnsi="Times New Roman" w:cs="Times New Roman"/>
                <w:sz w:val="24"/>
              </w:rPr>
              <w:t>82%</w:t>
            </w:r>
            <w:r w:rsidRPr="00E91F54">
              <w:rPr>
                <w:rFonts w:ascii="Times New Roman" w:hAnsi="Times New Roman" w:cs="Times New Roman"/>
                <w:sz w:val="24"/>
              </w:rPr>
              <w:t>）</w:t>
            </w:r>
          </w:p>
        </w:tc>
        <w:tc>
          <w:tcPr>
            <w:tcW w:w="1843" w:type="dxa"/>
            <w:vAlign w:val="center"/>
          </w:tcPr>
          <w:p w:rsidR="00EB0A7B" w:rsidRPr="00E91F54" w:rsidRDefault="00EB0A7B" w:rsidP="00837C70">
            <w:pPr>
              <w:pStyle w:val="14"/>
              <w:spacing w:line="280" w:lineRule="exact"/>
              <w:jc w:val="center"/>
              <w:rPr>
                <w:rFonts w:ascii="Times New Roman" w:hAnsi="Times New Roman" w:cs="Times New Roman"/>
                <w:b/>
              </w:rPr>
            </w:pPr>
            <w:r w:rsidRPr="00E91F54">
              <w:rPr>
                <w:rFonts w:ascii="Times New Roman" w:hAnsi="Times New Roman" w:cs="Times New Roman"/>
                <w:b/>
              </w:rPr>
              <w:t>52,558</w:t>
            </w:r>
          </w:p>
          <w:p w:rsidR="00EB0A7B" w:rsidRPr="00E91F54" w:rsidRDefault="006C4CD7" w:rsidP="00837C70">
            <w:pPr>
              <w:pStyle w:val="14"/>
              <w:spacing w:line="280" w:lineRule="exact"/>
              <w:jc w:val="center"/>
              <w:rPr>
                <w:rFonts w:ascii="Times New Roman" w:hAnsi="Times New Roman" w:cs="Times New Roman"/>
              </w:rPr>
            </w:pPr>
            <w:r w:rsidRPr="00E91F54">
              <w:rPr>
                <w:rFonts w:ascii="Times New Roman" w:hAnsi="Times New Roman" w:cs="Times New Roman"/>
                <w:sz w:val="24"/>
              </w:rPr>
              <w:t>（</w:t>
            </w:r>
            <w:r w:rsidR="00EB0A7B" w:rsidRPr="00E91F54">
              <w:rPr>
                <w:rFonts w:ascii="Times New Roman" w:hAnsi="Times New Roman" w:cs="Times New Roman"/>
                <w:sz w:val="24"/>
              </w:rPr>
              <w:t>18%</w:t>
            </w:r>
            <w:r w:rsidRPr="00E91F54">
              <w:rPr>
                <w:rFonts w:ascii="Times New Roman" w:hAnsi="Times New Roman" w:cs="Times New Roman"/>
                <w:sz w:val="24"/>
              </w:rPr>
              <w:t>）</w:t>
            </w:r>
          </w:p>
        </w:tc>
      </w:tr>
      <w:tr w:rsidR="00EB0A7B" w:rsidRPr="00E91F54" w:rsidTr="00912B68">
        <w:trPr>
          <w:trHeight w:val="337"/>
        </w:trPr>
        <w:tc>
          <w:tcPr>
            <w:tcW w:w="852" w:type="dxa"/>
            <w:vMerge/>
            <w:vAlign w:val="center"/>
          </w:tcPr>
          <w:p w:rsidR="00EB0A7B" w:rsidRPr="00E91F54" w:rsidRDefault="00EB0A7B" w:rsidP="00837C70">
            <w:pPr>
              <w:pStyle w:val="14"/>
              <w:spacing w:line="280" w:lineRule="exact"/>
              <w:jc w:val="center"/>
              <w:rPr>
                <w:rFonts w:ascii="Times New Roman" w:hAnsi="Times New Roman" w:cs="Times New Roman"/>
              </w:rPr>
            </w:pPr>
          </w:p>
        </w:tc>
        <w:tc>
          <w:tcPr>
            <w:tcW w:w="1559" w:type="dxa"/>
            <w:vAlign w:val="center"/>
          </w:tcPr>
          <w:p w:rsidR="00EB0A7B" w:rsidRPr="00E91F54" w:rsidRDefault="00EB0A7B" w:rsidP="00837C70">
            <w:pPr>
              <w:pStyle w:val="14"/>
              <w:spacing w:line="280" w:lineRule="exact"/>
              <w:jc w:val="center"/>
              <w:rPr>
                <w:rFonts w:ascii="Times New Roman" w:hAnsi="Times New Roman" w:cs="Times New Roman"/>
              </w:rPr>
            </w:pPr>
            <w:r w:rsidRPr="00E91F54">
              <w:rPr>
                <w:rFonts w:ascii="Times New Roman" w:hAnsi="Times New Roman" w:cs="Times New Roman"/>
              </w:rPr>
              <w:t>13,887</w:t>
            </w:r>
            <w:r w:rsidRPr="00E91F54">
              <w:rPr>
                <w:rFonts w:ascii="Times New Roman" w:hAnsi="Times New Roman" w:cs="Times New Roman"/>
              </w:rPr>
              <w:t>案</w:t>
            </w:r>
          </w:p>
        </w:tc>
        <w:tc>
          <w:tcPr>
            <w:tcW w:w="5386" w:type="dxa"/>
            <w:gridSpan w:val="3"/>
            <w:vAlign w:val="center"/>
          </w:tcPr>
          <w:p w:rsidR="00EB0A7B" w:rsidRPr="00E91F54" w:rsidRDefault="00EB0A7B" w:rsidP="00837C70">
            <w:pPr>
              <w:pStyle w:val="14"/>
              <w:spacing w:line="280" w:lineRule="exact"/>
              <w:jc w:val="center"/>
              <w:rPr>
                <w:rFonts w:ascii="Times New Roman" w:hAnsi="Times New Roman" w:cs="Times New Roman"/>
              </w:rPr>
            </w:pPr>
            <w:r w:rsidRPr="00E91F54">
              <w:rPr>
                <w:rFonts w:ascii="Times New Roman" w:hAnsi="Times New Roman" w:cs="Times New Roman"/>
              </w:rPr>
              <w:t>10,504</w:t>
            </w:r>
            <w:r w:rsidRPr="00E91F54">
              <w:rPr>
                <w:rFonts w:ascii="Times New Roman" w:hAnsi="Times New Roman" w:cs="Times New Roman"/>
              </w:rPr>
              <w:t>案</w:t>
            </w:r>
          </w:p>
        </w:tc>
        <w:tc>
          <w:tcPr>
            <w:tcW w:w="1843" w:type="dxa"/>
            <w:vAlign w:val="center"/>
          </w:tcPr>
          <w:p w:rsidR="00EB0A7B" w:rsidRPr="00E91F54" w:rsidRDefault="00695876" w:rsidP="00837C70">
            <w:pPr>
              <w:pStyle w:val="14"/>
              <w:spacing w:line="280" w:lineRule="exact"/>
              <w:jc w:val="center"/>
              <w:rPr>
                <w:rFonts w:ascii="Times New Roman" w:hAnsi="Times New Roman" w:cs="Times New Roman"/>
                <w:b/>
              </w:rPr>
            </w:pPr>
            <w:r w:rsidRPr="00E91F54">
              <w:rPr>
                <w:rFonts w:ascii="Times New Roman" w:hAnsi="Times New Roman" w:cs="Times New Roman"/>
                <w:b/>
              </w:rPr>
              <w:t>3</w:t>
            </w:r>
            <w:r w:rsidR="003A2C6E" w:rsidRPr="00E91F54">
              <w:rPr>
                <w:rFonts w:ascii="Times New Roman" w:hAnsi="Times New Roman" w:cs="Times New Roman"/>
                <w:b/>
              </w:rPr>
              <w:t>,</w:t>
            </w:r>
            <w:r w:rsidRPr="00E91F54">
              <w:rPr>
                <w:rFonts w:ascii="Times New Roman" w:hAnsi="Times New Roman" w:cs="Times New Roman"/>
                <w:b/>
              </w:rPr>
              <w:t>383</w:t>
            </w:r>
            <w:r w:rsidR="00E87D20" w:rsidRPr="00E91F54">
              <w:rPr>
                <w:rFonts w:ascii="Times New Roman" w:hAnsi="Times New Roman" w:cs="Times New Roman"/>
              </w:rPr>
              <w:t>案</w:t>
            </w:r>
          </w:p>
        </w:tc>
      </w:tr>
      <w:tr w:rsidR="00EB0A7B" w:rsidRPr="00E91F54" w:rsidTr="00D956F6">
        <w:trPr>
          <w:trHeight w:val="701"/>
        </w:trPr>
        <w:tc>
          <w:tcPr>
            <w:tcW w:w="852" w:type="dxa"/>
            <w:vMerge w:val="restart"/>
            <w:vAlign w:val="center"/>
          </w:tcPr>
          <w:p w:rsidR="00EB0A7B" w:rsidRPr="00E91F54" w:rsidRDefault="00EB0A7B" w:rsidP="00837C70">
            <w:pPr>
              <w:pStyle w:val="14"/>
              <w:spacing w:line="280" w:lineRule="exact"/>
              <w:jc w:val="center"/>
              <w:rPr>
                <w:rFonts w:ascii="Times New Roman" w:hAnsi="Times New Roman" w:cs="Times New Roman"/>
              </w:rPr>
            </w:pPr>
            <w:r w:rsidRPr="00E91F54">
              <w:rPr>
                <w:rFonts w:ascii="Times New Roman" w:hAnsi="Times New Roman" w:cs="Times New Roman"/>
              </w:rPr>
              <w:t>112</w:t>
            </w:r>
          </w:p>
        </w:tc>
        <w:tc>
          <w:tcPr>
            <w:tcW w:w="1559" w:type="dxa"/>
            <w:vAlign w:val="center"/>
          </w:tcPr>
          <w:p w:rsidR="00EB0A7B" w:rsidRPr="00E91F54" w:rsidRDefault="00EB0A7B" w:rsidP="00837C70">
            <w:pPr>
              <w:pStyle w:val="14"/>
              <w:spacing w:line="280" w:lineRule="exact"/>
              <w:jc w:val="center"/>
              <w:rPr>
                <w:rFonts w:ascii="Times New Roman" w:hAnsi="Times New Roman" w:cs="Times New Roman"/>
              </w:rPr>
            </w:pPr>
            <w:r w:rsidRPr="00E91F54">
              <w:rPr>
                <w:rFonts w:ascii="Times New Roman" w:hAnsi="Times New Roman" w:cs="Times New Roman"/>
              </w:rPr>
              <w:t>631,524</w:t>
            </w:r>
          </w:p>
          <w:p w:rsidR="00EB0A7B" w:rsidRPr="00E91F54" w:rsidRDefault="006C4CD7" w:rsidP="00837C70">
            <w:pPr>
              <w:pStyle w:val="14"/>
              <w:spacing w:line="280" w:lineRule="exact"/>
              <w:jc w:val="center"/>
              <w:rPr>
                <w:rFonts w:ascii="Times New Roman" w:hAnsi="Times New Roman" w:cs="Times New Roman"/>
              </w:rPr>
            </w:pPr>
            <w:r w:rsidRPr="00E91F54">
              <w:rPr>
                <w:rFonts w:ascii="Times New Roman" w:hAnsi="Times New Roman" w:cs="Times New Roman"/>
                <w:sz w:val="24"/>
              </w:rPr>
              <w:t>（</w:t>
            </w:r>
            <w:r w:rsidR="00EB0A7B" w:rsidRPr="00E91F54">
              <w:rPr>
                <w:rFonts w:ascii="Times New Roman" w:hAnsi="Times New Roman" w:cs="Times New Roman"/>
                <w:sz w:val="24"/>
              </w:rPr>
              <w:t>100%</w:t>
            </w:r>
            <w:r w:rsidRPr="00E91F54">
              <w:rPr>
                <w:rFonts w:ascii="Times New Roman" w:hAnsi="Times New Roman" w:cs="Times New Roman"/>
                <w:sz w:val="24"/>
              </w:rPr>
              <w:t>）</w:t>
            </w:r>
          </w:p>
        </w:tc>
        <w:tc>
          <w:tcPr>
            <w:tcW w:w="1276" w:type="dxa"/>
            <w:vAlign w:val="center"/>
          </w:tcPr>
          <w:p w:rsidR="00EB0A7B" w:rsidRPr="00E91F54" w:rsidRDefault="00EB0A7B" w:rsidP="00837C70">
            <w:pPr>
              <w:pStyle w:val="14"/>
              <w:spacing w:line="280" w:lineRule="exact"/>
              <w:jc w:val="center"/>
              <w:rPr>
                <w:rFonts w:ascii="Times New Roman" w:hAnsi="Times New Roman" w:cs="Times New Roman"/>
              </w:rPr>
            </w:pPr>
            <w:r w:rsidRPr="00E91F54">
              <w:rPr>
                <w:rFonts w:ascii="Times New Roman" w:hAnsi="Times New Roman" w:cs="Times New Roman"/>
              </w:rPr>
              <w:t>482,004</w:t>
            </w:r>
          </w:p>
          <w:p w:rsidR="00EB0A7B" w:rsidRPr="00E91F54" w:rsidRDefault="006C4CD7" w:rsidP="00837C70">
            <w:pPr>
              <w:pStyle w:val="14"/>
              <w:spacing w:line="280" w:lineRule="exact"/>
              <w:jc w:val="center"/>
              <w:rPr>
                <w:rFonts w:ascii="Times New Roman" w:hAnsi="Times New Roman" w:cs="Times New Roman"/>
              </w:rPr>
            </w:pPr>
            <w:r w:rsidRPr="00E91F54">
              <w:rPr>
                <w:rFonts w:ascii="Times New Roman" w:hAnsi="Times New Roman" w:cs="Times New Roman"/>
                <w:sz w:val="24"/>
              </w:rPr>
              <w:t>（</w:t>
            </w:r>
            <w:r w:rsidR="00EB0A7B" w:rsidRPr="00E91F54">
              <w:rPr>
                <w:rFonts w:ascii="Times New Roman" w:hAnsi="Times New Roman" w:cs="Times New Roman"/>
                <w:sz w:val="24"/>
              </w:rPr>
              <w:t>76%</w:t>
            </w:r>
            <w:r w:rsidRPr="00E91F54">
              <w:rPr>
                <w:rFonts w:ascii="Times New Roman" w:hAnsi="Times New Roman" w:cs="Times New Roman"/>
                <w:sz w:val="24"/>
              </w:rPr>
              <w:t>）</w:t>
            </w:r>
          </w:p>
        </w:tc>
        <w:tc>
          <w:tcPr>
            <w:tcW w:w="1984" w:type="dxa"/>
            <w:vAlign w:val="center"/>
          </w:tcPr>
          <w:p w:rsidR="00EB0A7B" w:rsidRPr="00E91F54" w:rsidRDefault="00EB0A7B" w:rsidP="00837C70">
            <w:pPr>
              <w:pStyle w:val="14"/>
              <w:spacing w:line="280" w:lineRule="exact"/>
              <w:jc w:val="center"/>
              <w:rPr>
                <w:rFonts w:ascii="Times New Roman" w:hAnsi="Times New Roman" w:cs="Times New Roman"/>
              </w:rPr>
            </w:pPr>
            <w:r w:rsidRPr="00E91F54">
              <w:rPr>
                <w:rFonts w:ascii="Times New Roman" w:hAnsi="Times New Roman" w:cs="Times New Roman"/>
              </w:rPr>
              <w:t>503,671</w:t>
            </w:r>
          </w:p>
          <w:p w:rsidR="00EB0A7B" w:rsidRPr="00E91F54" w:rsidRDefault="006C4CD7" w:rsidP="00837C70">
            <w:pPr>
              <w:pStyle w:val="14"/>
              <w:spacing w:line="280" w:lineRule="exact"/>
              <w:jc w:val="center"/>
              <w:rPr>
                <w:rFonts w:ascii="Times New Roman" w:hAnsi="Times New Roman" w:cs="Times New Roman"/>
              </w:rPr>
            </w:pPr>
            <w:r w:rsidRPr="00E91F54">
              <w:rPr>
                <w:rFonts w:ascii="Times New Roman" w:hAnsi="Times New Roman" w:cs="Times New Roman"/>
                <w:sz w:val="24"/>
              </w:rPr>
              <w:t>（</w:t>
            </w:r>
            <w:r w:rsidR="00EB0A7B" w:rsidRPr="00E91F54">
              <w:rPr>
                <w:rFonts w:ascii="Times New Roman" w:hAnsi="Times New Roman" w:cs="Times New Roman"/>
                <w:sz w:val="24"/>
              </w:rPr>
              <w:t>80%</w:t>
            </w:r>
            <w:r w:rsidRPr="00E91F54">
              <w:rPr>
                <w:rFonts w:ascii="Times New Roman" w:hAnsi="Times New Roman" w:cs="Times New Roman"/>
                <w:sz w:val="24"/>
              </w:rPr>
              <w:t>）</w:t>
            </w:r>
          </w:p>
        </w:tc>
        <w:tc>
          <w:tcPr>
            <w:tcW w:w="2126" w:type="dxa"/>
            <w:vAlign w:val="center"/>
          </w:tcPr>
          <w:p w:rsidR="00EB0A7B" w:rsidRPr="00E91F54" w:rsidRDefault="00EB0A7B" w:rsidP="00837C70">
            <w:pPr>
              <w:pStyle w:val="14"/>
              <w:spacing w:line="280" w:lineRule="exact"/>
              <w:jc w:val="center"/>
              <w:rPr>
                <w:rFonts w:ascii="Times New Roman" w:hAnsi="Times New Roman" w:cs="Times New Roman"/>
              </w:rPr>
            </w:pPr>
            <w:r w:rsidRPr="00E91F54">
              <w:rPr>
                <w:rFonts w:ascii="Times New Roman" w:hAnsi="Times New Roman" w:cs="Times New Roman"/>
              </w:rPr>
              <w:t>594,753</w:t>
            </w:r>
          </w:p>
          <w:p w:rsidR="00EB0A7B" w:rsidRPr="00E91F54" w:rsidRDefault="006C4CD7" w:rsidP="00837C70">
            <w:pPr>
              <w:pStyle w:val="14"/>
              <w:spacing w:line="280" w:lineRule="exact"/>
              <w:jc w:val="center"/>
              <w:rPr>
                <w:rFonts w:ascii="Times New Roman" w:hAnsi="Times New Roman" w:cs="Times New Roman"/>
              </w:rPr>
            </w:pPr>
            <w:r w:rsidRPr="00E91F54">
              <w:rPr>
                <w:rFonts w:ascii="Times New Roman" w:hAnsi="Times New Roman" w:cs="Times New Roman"/>
                <w:sz w:val="24"/>
              </w:rPr>
              <w:t>（</w:t>
            </w:r>
            <w:r w:rsidR="00EB0A7B" w:rsidRPr="00E91F54">
              <w:rPr>
                <w:rFonts w:ascii="Times New Roman" w:hAnsi="Times New Roman" w:cs="Times New Roman"/>
                <w:sz w:val="24"/>
              </w:rPr>
              <w:t>94%</w:t>
            </w:r>
            <w:r w:rsidRPr="00E91F54">
              <w:rPr>
                <w:rFonts w:ascii="Times New Roman" w:hAnsi="Times New Roman" w:cs="Times New Roman"/>
                <w:sz w:val="24"/>
              </w:rPr>
              <w:t>）</w:t>
            </w:r>
          </w:p>
        </w:tc>
        <w:tc>
          <w:tcPr>
            <w:tcW w:w="1843" w:type="dxa"/>
            <w:vAlign w:val="center"/>
          </w:tcPr>
          <w:p w:rsidR="00EB0A7B" w:rsidRPr="00E91F54" w:rsidRDefault="00EB0A7B" w:rsidP="00837C70">
            <w:pPr>
              <w:pStyle w:val="14"/>
              <w:spacing w:line="280" w:lineRule="exact"/>
              <w:jc w:val="center"/>
              <w:rPr>
                <w:rFonts w:ascii="Times New Roman" w:hAnsi="Times New Roman" w:cs="Times New Roman"/>
              </w:rPr>
            </w:pPr>
            <w:r w:rsidRPr="00E91F54">
              <w:rPr>
                <w:rFonts w:ascii="Times New Roman" w:hAnsi="Times New Roman" w:cs="Times New Roman"/>
              </w:rPr>
              <w:t>36,771</w:t>
            </w:r>
          </w:p>
          <w:p w:rsidR="00EB0A7B" w:rsidRPr="00E91F54" w:rsidRDefault="006C4CD7" w:rsidP="00837C70">
            <w:pPr>
              <w:pStyle w:val="14"/>
              <w:spacing w:line="280" w:lineRule="exact"/>
              <w:jc w:val="center"/>
              <w:rPr>
                <w:rFonts w:ascii="Times New Roman" w:hAnsi="Times New Roman" w:cs="Times New Roman"/>
              </w:rPr>
            </w:pPr>
            <w:r w:rsidRPr="00E91F54">
              <w:rPr>
                <w:rFonts w:ascii="Times New Roman" w:hAnsi="Times New Roman" w:cs="Times New Roman"/>
                <w:sz w:val="24"/>
              </w:rPr>
              <w:t>（</w:t>
            </w:r>
            <w:r w:rsidR="00EB0A7B" w:rsidRPr="00E91F54">
              <w:rPr>
                <w:rFonts w:ascii="Times New Roman" w:hAnsi="Times New Roman" w:cs="Times New Roman"/>
                <w:sz w:val="24"/>
              </w:rPr>
              <w:t>6%</w:t>
            </w:r>
            <w:r w:rsidRPr="00E91F54">
              <w:rPr>
                <w:rFonts w:ascii="Times New Roman" w:hAnsi="Times New Roman" w:cs="Times New Roman"/>
                <w:sz w:val="24"/>
              </w:rPr>
              <w:t>）</w:t>
            </w:r>
          </w:p>
        </w:tc>
      </w:tr>
      <w:tr w:rsidR="00EB0A7B" w:rsidRPr="00E91F54" w:rsidTr="00912B68">
        <w:trPr>
          <w:trHeight w:val="353"/>
        </w:trPr>
        <w:tc>
          <w:tcPr>
            <w:tcW w:w="852" w:type="dxa"/>
            <w:vMerge/>
            <w:vAlign w:val="center"/>
          </w:tcPr>
          <w:p w:rsidR="00EB0A7B" w:rsidRPr="00E91F54" w:rsidRDefault="00EB0A7B" w:rsidP="00837C70">
            <w:pPr>
              <w:pStyle w:val="14"/>
              <w:spacing w:line="280" w:lineRule="exact"/>
              <w:jc w:val="center"/>
              <w:rPr>
                <w:rFonts w:ascii="Times New Roman" w:hAnsi="Times New Roman" w:cs="Times New Roman"/>
              </w:rPr>
            </w:pPr>
          </w:p>
        </w:tc>
        <w:tc>
          <w:tcPr>
            <w:tcW w:w="1559" w:type="dxa"/>
            <w:vAlign w:val="center"/>
          </w:tcPr>
          <w:p w:rsidR="00EB0A7B" w:rsidRPr="00E91F54" w:rsidRDefault="00EB0A7B" w:rsidP="00837C70">
            <w:pPr>
              <w:pStyle w:val="14"/>
              <w:spacing w:line="280" w:lineRule="exact"/>
              <w:jc w:val="center"/>
              <w:rPr>
                <w:rFonts w:ascii="Times New Roman" w:hAnsi="Times New Roman" w:cs="Times New Roman"/>
              </w:rPr>
            </w:pPr>
            <w:r w:rsidRPr="00E91F54">
              <w:rPr>
                <w:rFonts w:ascii="Times New Roman" w:hAnsi="Times New Roman" w:cs="Times New Roman"/>
              </w:rPr>
              <w:t>26,988</w:t>
            </w:r>
            <w:r w:rsidRPr="00E91F54">
              <w:rPr>
                <w:rFonts w:ascii="Times New Roman" w:hAnsi="Times New Roman" w:cs="Times New Roman"/>
              </w:rPr>
              <w:t>案</w:t>
            </w:r>
          </w:p>
        </w:tc>
        <w:tc>
          <w:tcPr>
            <w:tcW w:w="5386" w:type="dxa"/>
            <w:gridSpan w:val="3"/>
            <w:vAlign w:val="center"/>
          </w:tcPr>
          <w:p w:rsidR="00EB0A7B" w:rsidRPr="00E91F54" w:rsidRDefault="00EB0A7B" w:rsidP="00837C70">
            <w:pPr>
              <w:pStyle w:val="14"/>
              <w:spacing w:line="280" w:lineRule="exact"/>
              <w:jc w:val="center"/>
              <w:rPr>
                <w:rFonts w:ascii="Times New Roman" w:hAnsi="Times New Roman" w:cs="Times New Roman"/>
              </w:rPr>
            </w:pPr>
            <w:r w:rsidRPr="00E91F54">
              <w:rPr>
                <w:rFonts w:ascii="Times New Roman" w:hAnsi="Times New Roman" w:cs="Times New Roman"/>
              </w:rPr>
              <w:t>24,327</w:t>
            </w:r>
            <w:r w:rsidRPr="00E91F54">
              <w:rPr>
                <w:rFonts w:ascii="Times New Roman" w:hAnsi="Times New Roman" w:cs="Times New Roman"/>
              </w:rPr>
              <w:t>案</w:t>
            </w:r>
          </w:p>
        </w:tc>
        <w:tc>
          <w:tcPr>
            <w:tcW w:w="1843" w:type="dxa"/>
            <w:vAlign w:val="center"/>
          </w:tcPr>
          <w:p w:rsidR="00EB0A7B" w:rsidRPr="00E91F54" w:rsidRDefault="00695876" w:rsidP="00837C70">
            <w:pPr>
              <w:pStyle w:val="14"/>
              <w:spacing w:line="280" w:lineRule="exact"/>
              <w:jc w:val="center"/>
              <w:rPr>
                <w:rFonts w:ascii="Times New Roman" w:hAnsi="Times New Roman" w:cs="Times New Roman"/>
              </w:rPr>
            </w:pPr>
            <w:r w:rsidRPr="00E91F54">
              <w:rPr>
                <w:rFonts w:ascii="Times New Roman" w:hAnsi="Times New Roman" w:cs="Times New Roman"/>
              </w:rPr>
              <w:t>2</w:t>
            </w:r>
            <w:r w:rsidR="003A2C6E" w:rsidRPr="00E91F54">
              <w:rPr>
                <w:rFonts w:ascii="Times New Roman" w:hAnsi="Times New Roman" w:cs="Times New Roman"/>
              </w:rPr>
              <w:t>,</w:t>
            </w:r>
            <w:r w:rsidRPr="00E91F54">
              <w:rPr>
                <w:rFonts w:ascii="Times New Roman" w:hAnsi="Times New Roman" w:cs="Times New Roman"/>
              </w:rPr>
              <w:t>661</w:t>
            </w:r>
            <w:r w:rsidR="00E87D20" w:rsidRPr="00E91F54">
              <w:rPr>
                <w:rFonts w:ascii="Times New Roman" w:hAnsi="Times New Roman" w:cs="Times New Roman"/>
              </w:rPr>
              <w:t>案</w:t>
            </w:r>
          </w:p>
        </w:tc>
      </w:tr>
      <w:tr w:rsidR="00D12D19" w:rsidRPr="00E91F54" w:rsidTr="00D956F6">
        <w:trPr>
          <w:trHeight w:val="701"/>
        </w:trPr>
        <w:tc>
          <w:tcPr>
            <w:tcW w:w="852" w:type="dxa"/>
            <w:vAlign w:val="center"/>
          </w:tcPr>
          <w:p w:rsidR="00D12D19" w:rsidRPr="00E91F54" w:rsidRDefault="00D12D19" w:rsidP="00837C70">
            <w:pPr>
              <w:pStyle w:val="14"/>
              <w:spacing w:line="280" w:lineRule="exact"/>
              <w:jc w:val="center"/>
              <w:rPr>
                <w:rFonts w:ascii="Times New Roman" w:hAnsi="Times New Roman" w:cs="Times New Roman"/>
              </w:rPr>
            </w:pPr>
            <w:r w:rsidRPr="00E91F54">
              <w:rPr>
                <w:rFonts w:ascii="Times New Roman" w:hAnsi="Times New Roman" w:cs="Times New Roman"/>
              </w:rPr>
              <w:t>合計</w:t>
            </w:r>
          </w:p>
        </w:tc>
        <w:tc>
          <w:tcPr>
            <w:tcW w:w="1559" w:type="dxa"/>
            <w:vAlign w:val="center"/>
          </w:tcPr>
          <w:p w:rsidR="00D12D19" w:rsidRPr="00E91F54" w:rsidRDefault="00A77E78" w:rsidP="00837C70">
            <w:pPr>
              <w:pStyle w:val="14"/>
              <w:spacing w:line="280" w:lineRule="exact"/>
              <w:jc w:val="center"/>
              <w:rPr>
                <w:rFonts w:ascii="Times New Roman" w:hAnsi="Times New Roman" w:cs="Times New Roman"/>
                <w:b/>
              </w:rPr>
            </w:pPr>
            <w:r w:rsidRPr="00E91F54">
              <w:rPr>
                <w:rFonts w:ascii="Times New Roman" w:hAnsi="Times New Roman" w:cs="Times New Roman"/>
                <w:b/>
              </w:rPr>
              <w:t>1,026,255</w:t>
            </w:r>
          </w:p>
          <w:p w:rsidR="00A77E78" w:rsidRPr="00E91F54" w:rsidRDefault="006C4CD7" w:rsidP="00837C70">
            <w:pPr>
              <w:pStyle w:val="14"/>
              <w:spacing w:line="280" w:lineRule="exact"/>
              <w:jc w:val="center"/>
              <w:rPr>
                <w:rFonts w:ascii="Times New Roman" w:hAnsi="Times New Roman" w:cs="Times New Roman"/>
              </w:rPr>
            </w:pPr>
            <w:r w:rsidRPr="00E91F54">
              <w:rPr>
                <w:rFonts w:ascii="Times New Roman" w:hAnsi="Times New Roman" w:cs="Times New Roman"/>
                <w:b/>
                <w:sz w:val="24"/>
              </w:rPr>
              <w:t>（</w:t>
            </w:r>
            <w:r w:rsidR="00A77E78" w:rsidRPr="00E91F54">
              <w:rPr>
                <w:rFonts w:ascii="Times New Roman" w:hAnsi="Times New Roman" w:cs="Times New Roman"/>
                <w:b/>
                <w:sz w:val="24"/>
              </w:rPr>
              <w:t>100%</w:t>
            </w:r>
            <w:r w:rsidRPr="00E91F54">
              <w:rPr>
                <w:rFonts w:ascii="Times New Roman" w:hAnsi="Times New Roman" w:cs="Times New Roman"/>
                <w:b/>
                <w:sz w:val="24"/>
              </w:rPr>
              <w:t>）</w:t>
            </w:r>
          </w:p>
        </w:tc>
        <w:tc>
          <w:tcPr>
            <w:tcW w:w="1276" w:type="dxa"/>
            <w:vAlign w:val="center"/>
          </w:tcPr>
          <w:p w:rsidR="00D12D19" w:rsidRPr="00E91F54" w:rsidRDefault="00A77E78" w:rsidP="00837C70">
            <w:pPr>
              <w:pStyle w:val="14"/>
              <w:spacing w:line="280" w:lineRule="exact"/>
              <w:jc w:val="center"/>
              <w:rPr>
                <w:rFonts w:ascii="Times New Roman" w:hAnsi="Times New Roman" w:cs="Times New Roman"/>
              </w:rPr>
            </w:pPr>
            <w:r w:rsidRPr="00E91F54">
              <w:rPr>
                <w:rFonts w:ascii="Times New Roman" w:hAnsi="Times New Roman" w:cs="Times New Roman"/>
              </w:rPr>
              <w:t>644,473</w:t>
            </w:r>
          </w:p>
          <w:p w:rsidR="00A77E78" w:rsidRPr="00E91F54" w:rsidRDefault="006C4CD7" w:rsidP="00837C70">
            <w:pPr>
              <w:pStyle w:val="14"/>
              <w:spacing w:line="280" w:lineRule="exact"/>
              <w:jc w:val="center"/>
              <w:rPr>
                <w:rFonts w:ascii="Times New Roman" w:hAnsi="Times New Roman" w:cs="Times New Roman"/>
              </w:rPr>
            </w:pPr>
            <w:r w:rsidRPr="00E91F54">
              <w:rPr>
                <w:rFonts w:ascii="Times New Roman" w:hAnsi="Times New Roman" w:cs="Times New Roman"/>
                <w:sz w:val="24"/>
              </w:rPr>
              <w:t>（</w:t>
            </w:r>
            <w:r w:rsidR="00A77E78" w:rsidRPr="00E91F54">
              <w:rPr>
                <w:rFonts w:ascii="Times New Roman" w:hAnsi="Times New Roman" w:cs="Times New Roman"/>
                <w:sz w:val="24"/>
              </w:rPr>
              <w:t>62%</w:t>
            </w:r>
            <w:r w:rsidRPr="00E91F54">
              <w:rPr>
                <w:rFonts w:ascii="Times New Roman" w:hAnsi="Times New Roman" w:cs="Times New Roman"/>
                <w:sz w:val="24"/>
              </w:rPr>
              <w:t>）</w:t>
            </w:r>
          </w:p>
        </w:tc>
        <w:tc>
          <w:tcPr>
            <w:tcW w:w="1984" w:type="dxa"/>
            <w:vAlign w:val="center"/>
          </w:tcPr>
          <w:p w:rsidR="00D12D19" w:rsidRPr="00E91F54" w:rsidRDefault="00A77E78" w:rsidP="00837C70">
            <w:pPr>
              <w:pStyle w:val="14"/>
              <w:spacing w:line="280" w:lineRule="exact"/>
              <w:jc w:val="center"/>
              <w:rPr>
                <w:rFonts w:ascii="Times New Roman" w:hAnsi="Times New Roman" w:cs="Times New Roman"/>
              </w:rPr>
            </w:pPr>
            <w:r w:rsidRPr="00E91F54">
              <w:rPr>
                <w:rFonts w:ascii="Times New Roman" w:hAnsi="Times New Roman" w:cs="Times New Roman"/>
              </w:rPr>
              <w:t>800,082</w:t>
            </w:r>
          </w:p>
          <w:p w:rsidR="00A77E78" w:rsidRPr="00E91F54" w:rsidRDefault="006C4CD7" w:rsidP="00837C70">
            <w:pPr>
              <w:pStyle w:val="14"/>
              <w:spacing w:line="280" w:lineRule="exact"/>
              <w:jc w:val="center"/>
              <w:rPr>
                <w:rFonts w:ascii="Times New Roman" w:hAnsi="Times New Roman" w:cs="Times New Roman"/>
              </w:rPr>
            </w:pPr>
            <w:r w:rsidRPr="00E91F54">
              <w:rPr>
                <w:rFonts w:ascii="Times New Roman" w:hAnsi="Times New Roman" w:cs="Times New Roman"/>
                <w:sz w:val="24"/>
              </w:rPr>
              <w:t>（</w:t>
            </w:r>
            <w:r w:rsidR="00A77E78" w:rsidRPr="00E91F54">
              <w:rPr>
                <w:rFonts w:ascii="Times New Roman" w:hAnsi="Times New Roman" w:cs="Times New Roman"/>
                <w:sz w:val="24"/>
              </w:rPr>
              <w:t>78%</w:t>
            </w:r>
            <w:r w:rsidRPr="00E91F54">
              <w:rPr>
                <w:rFonts w:ascii="Times New Roman" w:hAnsi="Times New Roman" w:cs="Times New Roman"/>
                <w:sz w:val="24"/>
              </w:rPr>
              <w:t>）</w:t>
            </w:r>
          </w:p>
        </w:tc>
        <w:tc>
          <w:tcPr>
            <w:tcW w:w="2126" w:type="dxa"/>
            <w:vAlign w:val="center"/>
          </w:tcPr>
          <w:p w:rsidR="00D12D19" w:rsidRPr="00E91F54" w:rsidRDefault="00A77E78" w:rsidP="00837C70">
            <w:pPr>
              <w:pStyle w:val="14"/>
              <w:spacing w:line="280" w:lineRule="exact"/>
              <w:jc w:val="center"/>
              <w:rPr>
                <w:rFonts w:ascii="Times New Roman" w:hAnsi="Times New Roman" w:cs="Times New Roman"/>
              </w:rPr>
            </w:pPr>
            <w:r w:rsidRPr="00E91F54">
              <w:rPr>
                <w:rFonts w:ascii="Times New Roman" w:hAnsi="Times New Roman" w:cs="Times New Roman"/>
              </w:rPr>
              <w:t>930,615</w:t>
            </w:r>
          </w:p>
          <w:p w:rsidR="00A77E78" w:rsidRPr="00E91F54" w:rsidRDefault="006C4CD7" w:rsidP="00837C70">
            <w:pPr>
              <w:pStyle w:val="14"/>
              <w:spacing w:line="280" w:lineRule="exact"/>
              <w:jc w:val="center"/>
              <w:rPr>
                <w:rFonts w:ascii="Times New Roman" w:hAnsi="Times New Roman" w:cs="Times New Roman"/>
              </w:rPr>
            </w:pPr>
            <w:r w:rsidRPr="00E91F54">
              <w:rPr>
                <w:rFonts w:ascii="Times New Roman" w:hAnsi="Times New Roman" w:cs="Times New Roman"/>
                <w:sz w:val="24"/>
              </w:rPr>
              <w:t>（</w:t>
            </w:r>
            <w:r w:rsidR="00A77E78" w:rsidRPr="00E91F54">
              <w:rPr>
                <w:rFonts w:ascii="Times New Roman" w:hAnsi="Times New Roman" w:cs="Times New Roman"/>
                <w:sz w:val="24"/>
              </w:rPr>
              <w:t>91%</w:t>
            </w:r>
            <w:r w:rsidRPr="00E91F54">
              <w:rPr>
                <w:rFonts w:ascii="Times New Roman" w:hAnsi="Times New Roman" w:cs="Times New Roman"/>
                <w:sz w:val="24"/>
              </w:rPr>
              <w:t>）</w:t>
            </w:r>
          </w:p>
        </w:tc>
        <w:tc>
          <w:tcPr>
            <w:tcW w:w="1843" w:type="dxa"/>
            <w:vAlign w:val="center"/>
          </w:tcPr>
          <w:p w:rsidR="00A77E78" w:rsidRPr="00E91F54" w:rsidRDefault="00A77E78" w:rsidP="00837C70">
            <w:pPr>
              <w:pStyle w:val="14"/>
              <w:spacing w:line="280" w:lineRule="exact"/>
              <w:jc w:val="center"/>
              <w:rPr>
                <w:rFonts w:ascii="Times New Roman" w:hAnsi="Times New Roman" w:cs="Times New Roman"/>
                <w:b/>
              </w:rPr>
            </w:pPr>
            <w:r w:rsidRPr="00E91F54">
              <w:rPr>
                <w:rFonts w:ascii="Times New Roman" w:hAnsi="Times New Roman" w:cs="Times New Roman"/>
                <w:b/>
              </w:rPr>
              <w:t>95,640</w:t>
            </w:r>
          </w:p>
          <w:p w:rsidR="00D12D19" w:rsidRPr="00E91F54" w:rsidRDefault="006C4CD7" w:rsidP="00837C70">
            <w:pPr>
              <w:pStyle w:val="14"/>
              <w:spacing w:line="280" w:lineRule="exact"/>
              <w:jc w:val="center"/>
              <w:rPr>
                <w:rFonts w:ascii="Times New Roman" w:hAnsi="Times New Roman" w:cs="Times New Roman"/>
                <w:b/>
              </w:rPr>
            </w:pPr>
            <w:r w:rsidRPr="00E91F54">
              <w:rPr>
                <w:rFonts w:ascii="Times New Roman" w:hAnsi="Times New Roman" w:cs="Times New Roman"/>
                <w:b/>
                <w:sz w:val="24"/>
              </w:rPr>
              <w:t>（</w:t>
            </w:r>
            <w:r w:rsidR="00A77E78" w:rsidRPr="00E91F54">
              <w:rPr>
                <w:rFonts w:ascii="Times New Roman" w:hAnsi="Times New Roman" w:cs="Times New Roman"/>
                <w:b/>
                <w:sz w:val="24"/>
              </w:rPr>
              <w:t>9.31%</w:t>
            </w:r>
            <w:r w:rsidRPr="00E91F54">
              <w:rPr>
                <w:rFonts w:ascii="Times New Roman" w:hAnsi="Times New Roman" w:cs="Times New Roman"/>
                <w:b/>
                <w:sz w:val="24"/>
              </w:rPr>
              <w:t>）</w:t>
            </w:r>
          </w:p>
        </w:tc>
      </w:tr>
    </w:tbl>
    <w:bookmarkEnd w:id="81"/>
    <w:p w:rsidR="0094088B" w:rsidRPr="00E91F54" w:rsidRDefault="003E6A14" w:rsidP="00513C6D">
      <w:pPr>
        <w:pStyle w:val="af6"/>
        <w:ind w:leftChars="-125" w:left="1021" w:hangingChars="516" w:hanging="1446"/>
        <w:rPr>
          <w:rFonts w:ascii="Times New Roman"/>
        </w:rPr>
      </w:pPr>
      <w:r w:rsidRPr="00E91F54">
        <w:rPr>
          <w:rFonts w:ascii="Times New Roman"/>
        </w:rPr>
        <w:t>資料來源：本報告彙整自</w:t>
      </w:r>
      <w:r w:rsidR="00691A02" w:rsidRPr="00E91F54">
        <w:rPr>
          <w:rFonts w:ascii="Times New Roman"/>
        </w:rPr>
        <w:t>經濟部</w:t>
      </w:r>
      <w:r w:rsidRPr="00E91F54">
        <w:rPr>
          <w:rFonts w:ascii="Times New Roman"/>
        </w:rPr>
        <w:t>能源署</w:t>
      </w:r>
      <w:r w:rsidR="00513C6D" w:rsidRPr="00E91F54">
        <w:rPr>
          <w:rFonts w:ascii="Times New Roman"/>
        </w:rPr>
        <w:t>查復</w:t>
      </w:r>
      <w:r w:rsidRPr="00E91F54">
        <w:rPr>
          <w:rFonts w:ascii="Times New Roman"/>
        </w:rPr>
        <w:t>資料</w:t>
      </w:r>
      <w:r w:rsidR="00D956F6" w:rsidRPr="00E91F54">
        <w:rPr>
          <w:rFonts w:ascii="Times New Roman"/>
        </w:rPr>
        <w:t>（</w:t>
      </w:r>
      <w:r w:rsidR="00D956F6" w:rsidRPr="00E91F54">
        <w:rPr>
          <w:rFonts w:ascii="Times New Roman"/>
        </w:rPr>
        <w:t>114</w:t>
      </w:r>
      <w:r w:rsidR="00D956F6" w:rsidRPr="00E91F54">
        <w:rPr>
          <w:rFonts w:ascii="Times New Roman"/>
        </w:rPr>
        <w:t>年</w:t>
      </w:r>
      <w:r w:rsidR="00D956F6" w:rsidRPr="00E91F54">
        <w:rPr>
          <w:rFonts w:ascii="Times New Roman"/>
        </w:rPr>
        <w:t>3</w:t>
      </w:r>
      <w:r w:rsidR="00D956F6" w:rsidRPr="00E91F54">
        <w:rPr>
          <w:rFonts w:ascii="Times New Roman"/>
        </w:rPr>
        <w:t>月</w:t>
      </w:r>
      <w:r w:rsidR="00D956F6" w:rsidRPr="00E91F54">
        <w:rPr>
          <w:rFonts w:ascii="Times New Roman"/>
        </w:rPr>
        <w:t>31</w:t>
      </w:r>
      <w:r w:rsidR="00D956F6" w:rsidRPr="00E91F54">
        <w:rPr>
          <w:rFonts w:ascii="Times New Roman"/>
        </w:rPr>
        <w:t>日</w:t>
      </w:r>
      <w:r w:rsidR="00D824E6" w:rsidRPr="00E91F54">
        <w:rPr>
          <w:rFonts w:ascii="Times New Roman"/>
        </w:rPr>
        <w:t>更新</w:t>
      </w:r>
      <w:r w:rsidR="00D956F6" w:rsidRPr="00E91F54">
        <w:rPr>
          <w:rFonts w:ascii="Times New Roman"/>
        </w:rPr>
        <w:t>）</w:t>
      </w:r>
      <w:r w:rsidR="00C566A3" w:rsidRPr="00E91F54">
        <w:rPr>
          <w:rFonts w:ascii="Times New Roman" w:hint="eastAsia"/>
        </w:rPr>
        <w:t>。</w:t>
      </w:r>
    </w:p>
    <w:p w:rsidR="007E56DD" w:rsidRPr="00E91F54" w:rsidRDefault="00E40FB4" w:rsidP="00C75E7D">
      <w:pPr>
        <w:pStyle w:val="3"/>
        <w:numPr>
          <w:ilvl w:val="2"/>
          <w:numId w:val="1"/>
        </w:numPr>
        <w:spacing w:beforeLines="50" w:before="228"/>
        <w:ind w:left="1360" w:hanging="680"/>
        <w:rPr>
          <w:rFonts w:ascii="Times New Roman" w:hAnsi="Times New Roman"/>
        </w:rPr>
      </w:pPr>
      <w:bookmarkStart w:id="82" w:name="_Hlk195532894"/>
      <w:r w:rsidRPr="00E91F54">
        <w:rPr>
          <w:rFonts w:ascii="Times New Roman" w:hAnsi="Times New Roman"/>
          <w:bCs w:val="0"/>
          <w:szCs w:val="32"/>
        </w:rPr>
        <w:t>對於太陽光電發電設備</w:t>
      </w:r>
      <w:proofErr w:type="gramStart"/>
      <w:r w:rsidRPr="00E91F54">
        <w:rPr>
          <w:rFonts w:ascii="Times New Roman" w:hAnsi="Times New Roman"/>
          <w:bCs w:val="0"/>
          <w:szCs w:val="32"/>
        </w:rPr>
        <w:t>設置者</w:t>
      </w:r>
      <w:r w:rsidR="00964B91" w:rsidRPr="00E91F54">
        <w:rPr>
          <w:rFonts w:ascii="Times New Roman" w:hAnsi="Times New Roman"/>
          <w:szCs w:val="32"/>
        </w:rPr>
        <w:t>迄</w:t>
      </w:r>
      <w:r w:rsidRPr="00E91F54">
        <w:rPr>
          <w:rFonts w:ascii="Times New Roman" w:hAnsi="Times New Roman"/>
          <w:bCs w:val="0"/>
          <w:szCs w:val="32"/>
        </w:rPr>
        <w:t>未</w:t>
      </w:r>
      <w:proofErr w:type="gramEnd"/>
      <w:r w:rsidRPr="00E91F54">
        <w:rPr>
          <w:rFonts w:ascii="Times New Roman" w:hAnsi="Times New Roman"/>
          <w:bCs w:val="0"/>
          <w:szCs w:val="32"/>
        </w:rPr>
        <w:t>繳納模組回收費用原因，</w:t>
      </w:r>
      <w:r w:rsidR="00BA1764" w:rsidRPr="00E91F54">
        <w:rPr>
          <w:rFonts w:ascii="Times New Roman" w:hAnsi="Times New Roman"/>
          <w:bCs w:val="0"/>
          <w:szCs w:val="32"/>
        </w:rPr>
        <w:t>詢據經濟部表示</w:t>
      </w:r>
      <w:r w:rsidRPr="00E91F54">
        <w:rPr>
          <w:rFonts w:ascii="Times New Roman" w:hAnsi="Times New Roman"/>
          <w:bCs w:val="0"/>
          <w:szCs w:val="32"/>
        </w:rPr>
        <w:t>，大抵</w:t>
      </w:r>
      <w:r w:rsidR="006D607D" w:rsidRPr="00E91F54">
        <w:rPr>
          <w:rFonts w:ascii="Times New Roman" w:hAnsi="Times New Roman"/>
          <w:bCs w:val="0"/>
          <w:szCs w:val="32"/>
        </w:rPr>
        <w:t>為</w:t>
      </w:r>
      <w:proofErr w:type="gramStart"/>
      <w:r w:rsidRPr="00E91F54">
        <w:rPr>
          <w:rFonts w:ascii="Times New Roman" w:hAnsi="Times New Roman"/>
          <w:bCs w:val="0"/>
          <w:szCs w:val="32"/>
        </w:rPr>
        <w:t>其未諳法</w:t>
      </w:r>
      <w:proofErr w:type="gramEnd"/>
      <w:r w:rsidRPr="00E91F54">
        <w:rPr>
          <w:rFonts w:ascii="Times New Roman" w:hAnsi="Times New Roman"/>
          <w:bCs w:val="0"/>
          <w:szCs w:val="32"/>
        </w:rPr>
        <w:t>規修正</w:t>
      </w:r>
      <w:r w:rsidR="006D607D" w:rsidRPr="00E91F54">
        <w:rPr>
          <w:rFonts w:ascii="Times New Roman" w:hAnsi="Times New Roman"/>
          <w:bCs w:val="0"/>
          <w:szCs w:val="32"/>
        </w:rPr>
        <w:t>，</w:t>
      </w:r>
      <w:r w:rsidRPr="00E91F54">
        <w:rPr>
          <w:rFonts w:ascii="Times New Roman" w:hAnsi="Times New Roman"/>
          <w:bCs w:val="0"/>
          <w:szCs w:val="32"/>
        </w:rPr>
        <w:t>認為無須繳納費用，或設備移轉後，繳納義務歸屬尚待釐清，或收件資訊錯誤，致繳款通知未順利送達</w:t>
      </w:r>
      <w:r w:rsidR="008E3796" w:rsidRPr="00E91F54">
        <w:rPr>
          <w:rFonts w:ascii="Times New Roman" w:hAnsi="Times New Roman" w:hint="eastAsia"/>
          <w:bCs w:val="0"/>
          <w:szCs w:val="32"/>
        </w:rPr>
        <w:t>，或誤以為</w:t>
      </w:r>
      <w:r w:rsidR="007A414F" w:rsidRPr="00E91F54">
        <w:rPr>
          <w:rFonts w:ascii="Times New Roman" w:hAnsi="Times New Roman" w:hint="eastAsia"/>
          <w:bCs w:val="0"/>
          <w:szCs w:val="32"/>
        </w:rPr>
        <w:t>是</w:t>
      </w:r>
      <w:r w:rsidR="008E3796" w:rsidRPr="00E91F54">
        <w:rPr>
          <w:rFonts w:ascii="Times New Roman" w:hAnsi="Times New Roman" w:hint="eastAsia"/>
          <w:bCs w:val="0"/>
          <w:szCs w:val="32"/>
        </w:rPr>
        <w:t>詐騙案件</w:t>
      </w:r>
      <w:r w:rsidRPr="00E91F54">
        <w:rPr>
          <w:rFonts w:ascii="Times New Roman" w:hAnsi="Times New Roman"/>
          <w:bCs w:val="0"/>
          <w:szCs w:val="32"/>
        </w:rPr>
        <w:t>等。</w:t>
      </w:r>
      <w:r w:rsidR="006D607D" w:rsidRPr="00E91F54">
        <w:rPr>
          <w:rFonts w:ascii="Times New Roman" w:hAnsi="Times New Roman"/>
          <w:bCs w:val="0"/>
          <w:szCs w:val="32"/>
        </w:rPr>
        <w:t>執行機關</w:t>
      </w:r>
      <w:r w:rsidR="00691A02" w:rsidRPr="00E91F54">
        <w:rPr>
          <w:rFonts w:ascii="Times New Roman" w:hAnsi="Times New Roman"/>
          <w:bCs w:val="0"/>
          <w:szCs w:val="32"/>
        </w:rPr>
        <w:t>經濟部能源署進一步</w:t>
      </w:r>
      <w:r w:rsidR="006D607D" w:rsidRPr="00E91F54">
        <w:rPr>
          <w:rFonts w:ascii="Times New Roman" w:hAnsi="Times New Roman"/>
          <w:bCs w:val="0"/>
          <w:szCs w:val="32"/>
        </w:rPr>
        <w:t>說明</w:t>
      </w:r>
      <w:r w:rsidR="00691A02" w:rsidRPr="00E91F54">
        <w:rPr>
          <w:rFonts w:ascii="Times New Roman" w:hAnsi="Times New Roman"/>
          <w:bCs w:val="0"/>
          <w:szCs w:val="32"/>
        </w:rPr>
        <w:t>，</w:t>
      </w:r>
      <w:r w:rsidR="002F7122" w:rsidRPr="00E91F54">
        <w:rPr>
          <w:rFonts w:ascii="Times New Roman" w:hAnsi="Times New Roman" w:hint="eastAsia"/>
          <w:bCs w:val="0"/>
          <w:szCs w:val="32"/>
        </w:rPr>
        <w:t>部分</w:t>
      </w:r>
      <w:r w:rsidRPr="00E91F54">
        <w:rPr>
          <w:rFonts w:ascii="Times New Roman" w:hAnsi="Times New Roman"/>
          <w:bCs w:val="0"/>
          <w:szCs w:val="32"/>
        </w:rPr>
        <w:t>設置者</w:t>
      </w:r>
      <w:r w:rsidR="002F7122" w:rsidRPr="00E91F54">
        <w:rPr>
          <w:rFonts w:ascii="Times New Roman" w:hAnsi="Times New Roman" w:hint="eastAsia"/>
          <w:bCs w:val="0"/>
          <w:szCs w:val="32"/>
        </w:rPr>
        <w:t>因</w:t>
      </w:r>
      <w:r w:rsidRPr="00E91F54">
        <w:rPr>
          <w:rFonts w:ascii="Times New Roman" w:hAnsi="Times New Roman"/>
          <w:bCs w:val="0"/>
          <w:szCs w:val="32"/>
        </w:rPr>
        <w:t>修改收件資訊後未提供主管機關更新，或主管機關於設備管理系統登錄設置者資訊時輸入錯誤</w:t>
      </w:r>
      <w:r w:rsidR="002F7122" w:rsidRPr="00E91F54">
        <w:rPr>
          <w:rFonts w:ascii="Times New Roman" w:hAnsi="Times New Roman"/>
          <w:bCs w:val="0"/>
          <w:szCs w:val="32"/>
        </w:rPr>
        <w:t>，致繳款通知未順利送達，設置者無法據以繳納模組回收費用之情形</w:t>
      </w:r>
      <w:r w:rsidRPr="00E91F54">
        <w:rPr>
          <w:rFonts w:ascii="Times New Roman" w:hAnsi="Times New Roman"/>
          <w:bCs w:val="0"/>
          <w:szCs w:val="32"/>
        </w:rPr>
        <w:t>。</w:t>
      </w:r>
      <w:r w:rsidR="00691A02" w:rsidRPr="00E91F54">
        <w:rPr>
          <w:rFonts w:ascii="Times New Roman" w:hAnsi="Times New Roman"/>
          <w:bCs w:val="0"/>
          <w:szCs w:val="32"/>
        </w:rPr>
        <w:t>經濟</w:t>
      </w:r>
      <w:r w:rsidRPr="00E91F54">
        <w:rPr>
          <w:rFonts w:ascii="Times New Roman" w:hAnsi="Times New Roman"/>
          <w:bCs w:val="0"/>
          <w:szCs w:val="32"/>
        </w:rPr>
        <w:t>部能源署已設立電話專線及</w:t>
      </w:r>
      <w:proofErr w:type="gramStart"/>
      <w:r w:rsidR="008E3796" w:rsidRPr="00E91F54">
        <w:rPr>
          <w:rFonts w:ascii="Times New Roman" w:hAnsi="Times New Roman" w:hint="eastAsia"/>
          <w:bCs w:val="0"/>
          <w:szCs w:val="32"/>
        </w:rPr>
        <w:t>開放</w:t>
      </w:r>
      <w:r w:rsidRPr="00E91F54">
        <w:rPr>
          <w:rFonts w:ascii="Times New Roman" w:hAnsi="Times New Roman"/>
          <w:bCs w:val="0"/>
          <w:szCs w:val="32"/>
        </w:rPr>
        <w:t>線上表單</w:t>
      </w:r>
      <w:proofErr w:type="gramEnd"/>
      <w:r w:rsidRPr="00E91F54">
        <w:rPr>
          <w:rFonts w:ascii="Times New Roman" w:hAnsi="Times New Roman"/>
          <w:bCs w:val="0"/>
          <w:szCs w:val="32"/>
        </w:rPr>
        <w:t>，方便設置者修改、更新收件資訊。</w:t>
      </w:r>
      <w:bookmarkEnd w:id="82"/>
    </w:p>
    <w:p w:rsidR="006A0EF2" w:rsidRPr="00E91F54" w:rsidRDefault="00902306" w:rsidP="009325EA">
      <w:pPr>
        <w:pStyle w:val="3"/>
        <w:numPr>
          <w:ilvl w:val="2"/>
          <w:numId w:val="1"/>
        </w:numPr>
        <w:ind w:left="1360" w:hanging="680"/>
        <w:rPr>
          <w:rFonts w:ascii="Times New Roman" w:hAnsi="Times New Roman"/>
        </w:rPr>
      </w:pPr>
      <w:r w:rsidRPr="00E91F54">
        <w:rPr>
          <w:rFonts w:hAnsi="標楷體" w:hint="eastAsia"/>
          <w:szCs w:val="32"/>
        </w:rPr>
        <w:t>對於歷年就未繳納費用之</w:t>
      </w:r>
      <w:proofErr w:type="gramStart"/>
      <w:r w:rsidRPr="00E91F54">
        <w:rPr>
          <w:rFonts w:hAnsi="標楷體" w:hint="eastAsia"/>
          <w:szCs w:val="32"/>
        </w:rPr>
        <w:t>催繳策進</w:t>
      </w:r>
      <w:proofErr w:type="gramEnd"/>
      <w:r w:rsidRPr="00E91F54">
        <w:rPr>
          <w:rFonts w:hAnsi="標楷體" w:hint="eastAsia"/>
          <w:szCs w:val="32"/>
        </w:rPr>
        <w:t>措施一節，經濟部能源署查復表示，</w:t>
      </w:r>
      <w:r w:rsidR="007F7AC0" w:rsidRPr="00E91F54">
        <w:rPr>
          <w:rFonts w:hAnsi="標楷體" w:hint="eastAsia"/>
          <w:szCs w:val="32"/>
        </w:rPr>
        <w:t>將</w:t>
      </w:r>
      <w:r w:rsidRPr="00E91F54">
        <w:rPr>
          <w:rFonts w:hAnsi="標楷體" w:hint="eastAsia"/>
          <w:szCs w:val="32"/>
        </w:rPr>
        <w:t>依經濟部能源署債權及債權憑證管理作業要點</w:t>
      </w:r>
      <w:r w:rsidR="008E3796" w:rsidRPr="00E91F54">
        <w:rPr>
          <w:rFonts w:hAnsi="標楷體" w:hint="eastAsia"/>
          <w:szCs w:val="32"/>
        </w:rPr>
        <w:t>，</w:t>
      </w:r>
      <w:r w:rsidRPr="00E91F54">
        <w:rPr>
          <w:rFonts w:hAnsi="標楷體" w:hint="eastAsia"/>
          <w:szCs w:val="32"/>
        </w:rPr>
        <w:t>研訂通知</w:t>
      </w:r>
      <w:proofErr w:type="gramStart"/>
      <w:r w:rsidRPr="00E91F54">
        <w:rPr>
          <w:rFonts w:hAnsi="標楷體" w:hint="eastAsia"/>
          <w:szCs w:val="32"/>
        </w:rPr>
        <w:t>及催補</w:t>
      </w:r>
      <w:proofErr w:type="gramEnd"/>
      <w:r w:rsidRPr="00E91F54">
        <w:rPr>
          <w:rFonts w:hAnsi="標楷體" w:hint="eastAsia"/>
          <w:szCs w:val="32"/>
        </w:rPr>
        <w:t>繳作業之辦理</w:t>
      </w:r>
      <w:r w:rsidRPr="00E91F54">
        <w:rPr>
          <w:rFonts w:hAnsi="標楷體" w:hint="eastAsia"/>
          <w:szCs w:val="32"/>
        </w:rPr>
        <w:lastRenderedPageBreak/>
        <w:t>時程</w:t>
      </w:r>
      <w:r w:rsidRPr="00E91F54">
        <w:rPr>
          <w:rStyle w:val="aff0"/>
        </w:rPr>
        <w:footnoteReference w:id="6"/>
      </w:r>
      <w:r w:rsidRPr="00E91F54">
        <w:rPr>
          <w:rFonts w:hAnsi="標楷體" w:hint="eastAsia"/>
          <w:szCs w:val="32"/>
        </w:rPr>
        <w:t>，</w:t>
      </w:r>
      <w:proofErr w:type="gramStart"/>
      <w:r w:rsidRPr="00E91F54">
        <w:rPr>
          <w:rFonts w:hAnsi="標楷體" w:hint="eastAsia"/>
          <w:szCs w:val="32"/>
        </w:rPr>
        <w:t>對於</w:t>
      </w:r>
      <w:proofErr w:type="gramEnd"/>
      <w:r w:rsidRPr="00E91F54">
        <w:rPr>
          <w:rFonts w:hAnsi="標楷體" w:hint="eastAsia"/>
          <w:szCs w:val="32"/>
        </w:rPr>
        <w:t>催收後持續未繳納者，</w:t>
      </w:r>
      <w:r w:rsidR="007F7AC0" w:rsidRPr="00E91F54">
        <w:rPr>
          <w:rFonts w:hAnsi="標楷體" w:hint="eastAsia"/>
          <w:szCs w:val="32"/>
        </w:rPr>
        <w:t>擬</w:t>
      </w:r>
      <w:r w:rsidRPr="00E91F54">
        <w:rPr>
          <w:rFonts w:hAnsi="標楷體" w:hint="eastAsia"/>
          <w:szCs w:val="32"/>
        </w:rPr>
        <w:t>依設置管理辦法第18條規定送主管機關限期改善</w:t>
      </w:r>
      <w:r w:rsidR="007F7AC0" w:rsidRPr="00E91F54">
        <w:rPr>
          <w:rFonts w:hAnsi="標楷體" w:hint="eastAsia"/>
          <w:szCs w:val="32"/>
        </w:rPr>
        <w:t>。</w:t>
      </w:r>
      <w:r w:rsidRPr="00E91F54">
        <w:rPr>
          <w:rFonts w:hAnsi="標楷體" w:hint="eastAsia"/>
          <w:szCs w:val="32"/>
        </w:rPr>
        <w:t>對於限期改善部分，該署已</w:t>
      </w:r>
      <w:proofErr w:type="gramStart"/>
      <w:r w:rsidRPr="00E91F54">
        <w:rPr>
          <w:rFonts w:hAnsi="標楷體" w:hint="eastAsia"/>
          <w:szCs w:val="32"/>
        </w:rPr>
        <w:t>研</w:t>
      </w:r>
      <w:proofErr w:type="gramEnd"/>
      <w:r w:rsidRPr="00E91F54">
        <w:rPr>
          <w:rFonts w:hAnsi="標楷體" w:hint="eastAsia"/>
          <w:szCs w:val="32"/>
        </w:rPr>
        <w:t>議</w:t>
      </w:r>
      <w:r w:rsidR="007F7AC0" w:rsidRPr="00E91F54">
        <w:rPr>
          <w:rFonts w:hAnsi="標楷體" w:hint="eastAsia"/>
          <w:szCs w:val="32"/>
        </w:rPr>
        <w:t>以</w:t>
      </w:r>
      <w:r w:rsidRPr="00E91F54">
        <w:rPr>
          <w:rFonts w:hAnsi="標楷體" w:hint="eastAsia"/>
          <w:szCs w:val="32"/>
        </w:rPr>
        <w:t>30日作為</w:t>
      </w:r>
      <w:r w:rsidR="007A414F" w:rsidRPr="00E91F54">
        <w:rPr>
          <w:rFonts w:hAnsi="標楷體" w:hint="eastAsia"/>
          <w:szCs w:val="32"/>
        </w:rPr>
        <w:t>未繳回收費用</w:t>
      </w:r>
      <w:proofErr w:type="gramStart"/>
      <w:r w:rsidR="007A414F" w:rsidRPr="00E91F54">
        <w:rPr>
          <w:rFonts w:hAnsi="標楷體" w:hint="eastAsia"/>
          <w:szCs w:val="32"/>
        </w:rPr>
        <w:t>之</w:t>
      </w:r>
      <w:r w:rsidRPr="00E91F54">
        <w:rPr>
          <w:rFonts w:hAnsi="標楷體" w:hint="eastAsia"/>
          <w:szCs w:val="32"/>
        </w:rPr>
        <w:t>限</w:t>
      </w:r>
      <w:r w:rsidR="007A414F" w:rsidRPr="00E91F54">
        <w:rPr>
          <w:rFonts w:hAnsi="標楷體" w:hint="eastAsia"/>
          <w:szCs w:val="32"/>
        </w:rPr>
        <w:t>納</w:t>
      </w:r>
      <w:r w:rsidRPr="00E91F54">
        <w:rPr>
          <w:rFonts w:hAnsi="標楷體" w:hint="eastAsia"/>
          <w:szCs w:val="32"/>
        </w:rPr>
        <w:t>期</w:t>
      </w:r>
      <w:proofErr w:type="gramEnd"/>
      <w:r w:rsidRPr="00E91F54">
        <w:rPr>
          <w:rFonts w:hAnsi="標楷體" w:hint="eastAsia"/>
          <w:szCs w:val="32"/>
        </w:rPr>
        <w:t>限，建議各地方主管機關依此日期憑俾辦理。</w:t>
      </w:r>
      <w:r w:rsidR="00D14FA1" w:rsidRPr="00E91F54">
        <w:rPr>
          <w:rFonts w:hAnsi="標楷體" w:hint="eastAsia"/>
          <w:szCs w:val="32"/>
        </w:rPr>
        <w:t>又，</w:t>
      </w:r>
      <w:r w:rsidR="00D14FA1" w:rsidRPr="00E91F54">
        <w:rPr>
          <w:rFonts w:ascii="Times New Roman" w:hAnsi="Times New Roman"/>
          <w:szCs w:val="32"/>
        </w:rPr>
        <w:t>倘</w:t>
      </w:r>
      <w:r w:rsidR="00D11618" w:rsidRPr="00E91F54">
        <w:rPr>
          <w:rFonts w:ascii="Times New Roman" w:hAnsi="Times New Roman"/>
          <w:szCs w:val="32"/>
        </w:rPr>
        <w:t>設置者未在催收期限內完成補繳費用，</w:t>
      </w:r>
      <w:r w:rsidR="00D11618" w:rsidRPr="00E91F54">
        <w:rPr>
          <w:rFonts w:ascii="Times New Roman" w:hAnsi="Times New Roman"/>
        </w:rPr>
        <w:t>依</w:t>
      </w:r>
      <w:r w:rsidR="00D14FA1" w:rsidRPr="00E91F54">
        <w:rPr>
          <w:rFonts w:ascii="Times New Roman" w:hAnsi="Times New Roman" w:hint="eastAsia"/>
        </w:rPr>
        <w:t>據</w:t>
      </w:r>
      <w:r w:rsidR="00D11618" w:rsidRPr="00E91F54">
        <w:rPr>
          <w:rFonts w:ascii="Times New Roman" w:hAnsi="Times New Roman"/>
        </w:rPr>
        <w:t>太陽光電發電設備模組回收費用收支保管及運用作業要點第</w:t>
      </w:r>
      <w:r w:rsidR="00D11618" w:rsidRPr="00E91F54">
        <w:rPr>
          <w:rFonts w:ascii="Times New Roman" w:hAnsi="Times New Roman"/>
        </w:rPr>
        <w:t>4</w:t>
      </w:r>
      <w:r w:rsidR="00D11618" w:rsidRPr="00E91F54">
        <w:rPr>
          <w:rFonts w:ascii="Times New Roman" w:hAnsi="Times New Roman"/>
        </w:rPr>
        <w:t>點</w:t>
      </w:r>
      <w:bookmarkStart w:id="83" w:name="_Hlk198388788"/>
      <w:r w:rsidR="00221ADC" w:rsidRPr="00E91F54">
        <w:rPr>
          <w:rStyle w:val="aff0"/>
        </w:rPr>
        <w:footnoteReference w:id="7"/>
      </w:r>
      <w:bookmarkEnd w:id="83"/>
      <w:r w:rsidR="00D11618" w:rsidRPr="00E91F54">
        <w:rPr>
          <w:rFonts w:ascii="Times New Roman" w:hAnsi="Times New Roman"/>
        </w:rPr>
        <w:t>規定，</w:t>
      </w:r>
      <w:r w:rsidR="00D26169" w:rsidRPr="00E91F54">
        <w:rPr>
          <w:rFonts w:ascii="Times New Roman" w:hAnsi="Times New Roman"/>
        </w:rPr>
        <w:t>經依程序以書面通知限期繳納</w:t>
      </w:r>
      <w:r w:rsidR="00E52DCE" w:rsidRPr="00E91F54">
        <w:rPr>
          <w:rFonts w:ascii="Times New Roman" w:hAnsi="Times New Roman"/>
        </w:rPr>
        <w:t>模組回收費用</w:t>
      </w:r>
      <w:r w:rsidR="00D26169" w:rsidRPr="00E91F54">
        <w:rPr>
          <w:rFonts w:ascii="Times New Roman" w:hAnsi="Times New Roman"/>
        </w:rPr>
        <w:t>仍</w:t>
      </w:r>
      <w:r w:rsidR="00221ADC" w:rsidRPr="00E91F54">
        <w:rPr>
          <w:rFonts w:ascii="Times New Roman" w:hAnsi="Times New Roman"/>
        </w:rPr>
        <w:t>未果</w:t>
      </w:r>
      <w:r w:rsidR="00D26169" w:rsidRPr="00E91F54">
        <w:rPr>
          <w:rFonts w:ascii="Times New Roman" w:hAnsi="Times New Roman"/>
        </w:rPr>
        <w:t>者，</w:t>
      </w:r>
      <w:proofErr w:type="gramStart"/>
      <w:r w:rsidR="006A0EF2" w:rsidRPr="00E91F54">
        <w:rPr>
          <w:rFonts w:ascii="Times New Roman" w:hAnsi="Times New Roman"/>
        </w:rPr>
        <w:t>嗣</w:t>
      </w:r>
      <w:proofErr w:type="gramEnd"/>
      <w:r w:rsidR="006A0EF2" w:rsidRPr="00E91F54">
        <w:rPr>
          <w:rFonts w:ascii="Times New Roman" w:hAnsi="Times New Roman"/>
        </w:rPr>
        <w:t>經主管機關廢止再生能源發電設備同意備案或設備登記文件後，</w:t>
      </w:r>
      <w:r w:rsidR="0022370B" w:rsidRPr="00E91F54">
        <w:rPr>
          <w:rFonts w:ascii="Times New Roman" w:hAnsi="Times New Roman"/>
        </w:rPr>
        <w:t>經濟部</w:t>
      </w:r>
      <w:proofErr w:type="gramStart"/>
      <w:r w:rsidR="0022370B" w:rsidRPr="00E91F54">
        <w:rPr>
          <w:rFonts w:ascii="Times New Roman" w:hAnsi="Times New Roman"/>
        </w:rPr>
        <w:t>能源署</w:t>
      </w:r>
      <w:r w:rsidR="006A0EF2" w:rsidRPr="00E91F54">
        <w:rPr>
          <w:rFonts w:ascii="Times New Roman" w:hAnsi="Times New Roman"/>
        </w:rPr>
        <w:t>得依</w:t>
      </w:r>
      <w:proofErr w:type="gramEnd"/>
      <w:r w:rsidR="006A0EF2" w:rsidRPr="00E91F54">
        <w:rPr>
          <w:rFonts w:ascii="Times New Roman" w:hAnsi="Times New Roman"/>
        </w:rPr>
        <w:t>法移送行政執行。</w:t>
      </w:r>
      <w:proofErr w:type="gramStart"/>
      <w:r w:rsidR="00D11618" w:rsidRPr="00E91F54">
        <w:rPr>
          <w:rFonts w:ascii="Times New Roman" w:hAnsi="Times New Roman"/>
        </w:rPr>
        <w:t>惟</w:t>
      </w:r>
      <w:proofErr w:type="gramEnd"/>
      <w:r w:rsidR="0079169F" w:rsidRPr="00E91F54">
        <w:rPr>
          <w:rFonts w:ascii="Times New Roman" w:hAnsi="Times New Roman" w:hint="eastAsia"/>
        </w:rPr>
        <w:t>，</w:t>
      </w:r>
      <w:r w:rsidR="00221ADC" w:rsidRPr="00E91F54">
        <w:rPr>
          <w:rFonts w:ascii="Times New Roman" w:hAnsi="Times New Roman"/>
        </w:rPr>
        <w:t>經濟部能源署亦坦承，</w:t>
      </w:r>
      <w:r w:rsidR="00D11618" w:rsidRPr="00E91F54">
        <w:rPr>
          <w:rFonts w:ascii="Times New Roman" w:hAnsi="Times New Roman"/>
        </w:rPr>
        <w:t>迄今</w:t>
      </w:r>
      <w:proofErr w:type="gramStart"/>
      <w:r w:rsidR="00D11618" w:rsidRPr="00E91F54">
        <w:rPr>
          <w:rFonts w:ascii="Times New Roman" w:hAnsi="Times New Roman"/>
        </w:rPr>
        <w:t>尚</w:t>
      </w:r>
      <w:r w:rsidR="0079169F" w:rsidRPr="00E91F54">
        <w:rPr>
          <w:rFonts w:ascii="Times New Roman" w:hAnsi="Times New Roman" w:hint="eastAsia"/>
        </w:rPr>
        <w:t>無未繳費</w:t>
      </w:r>
      <w:proofErr w:type="gramEnd"/>
      <w:r w:rsidR="0079169F" w:rsidRPr="00E91F54">
        <w:rPr>
          <w:rFonts w:ascii="Times New Roman" w:hAnsi="Times New Roman" w:hint="eastAsia"/>
        </w:rPr>
        <w:t>者遭移送行政執行、亦未有</w:t>
      </w:r>
      <w:r w:rsidR="00F663CE" w:rsidRPr="00E91F54">
        <w:rPr>
          <w:rFonts w:ascii="Times New Roman" w:hAnsi="Times New Roman"/>
        </w:rPr>
        <w:t>設置者</w:t>
      </w:r>
      <w:r w:rsidR="00D11618" w:rsidRPr="00E91F54">
        <w:rPr>
          <w:rFonts w:ascii="Times New Roman" w:hAnsi="Times New Roman"/>
        </w:rPr>
        <w:t>因未繳納</w:t>
      </w:r>
      <w:r w:rsidR="00F663CE" w:rsidRPr="00E91F54">
        <w:rPr>
          <w:rFonts w:ascii="Times New Roman" w:hAnsi="Times New Roman"/>
        </w:rPr>
        <w:t>模組回收費用</w:t>
      </w:r>
      <w:r w:rsidR="00D11618" w:rsidRPr="00E91F54">
        <w:rPr>
          <w:rFonts w:ascii="Times New Roman" w:hAnsi="Times New Roman"/>
        </w:rPr>
        <w:t>而遭廢止</w:t>
      </w:r>
      <w:r w:rsidR="00F663CE" w:rsidRPr="00E91F54">
        <w:rPr>
          <w:rFonts w:ascii="Times New Roman" w:hAnsi="Times New Roman"/>
        </w:rPr>
        <w:t>案場</w:t>
      </w:r>
      <w:r w:rsidR="00D11618" w:rsidRPr="00E91F54">
        <w:rPr>
          <w:rFonts w:ascii="Times New Roman" w:hAnsi="Times New Roman"/>
        </w:rPr>
        <w:t>之案</w:t>
      </w:r>
      <w:r w:rsidR="00F663CE" w:rsidRPr="00E91F54">
        <w:rPr>
          <w:rFonts w:ascii="Times New Roman" w:hAnsi="Times New Roman"/>
        </w:rPr>
        <w:t>件</w:t>
      </w:r>
      <w:r w:rsidR="008E3796" w:rsidRPr="00E91F54">
        <w:rPr>
          <w:rFonts w:ascii="Times New Roman" w:hAnsi="Times New Roman" w:hint="eastAsia"/>
        </w:rPr>
        <w:t>。該署</w:t>
      </w:r>
      <w:r w:rsidR="00D11618" w:rsidRPr="00E91F54">
        <w:rPr>
          <w:rFonts w:ascii="Times New Roman" w:hAnsi="Times New Roman"/>
        </w:rPr>
        <w:t>主要</w:t>
      </w:r>
      <w:r w:rsidR="008E3796" w:rsidRPr="00E91F54">
        <w:rPr>
          <w:rFonts w:ascii="Times New Roman" w:hAnsi="Times New Roman" w:hint="eastAsia"/>
        </w:rPr>
        <w:t>係</w:t>
      </w:r>
      <w:r w:rsidR="00D11618" w:rsidRPr="00E91F54">
        <w:rPr>
          <w:rFonts w:ascii="Times New Roman" w:hAnsi="Times New Roman"/>
        </w:rPr>
        <w:t>考量廢止案場將造成設置者權益上之極大損害且無法達成收取款項之目的，</w:t>
      </w:r>
      <w:proofErr w:type="gramStart"/>
      <w:r w:rsidR="00D11618" w:rsidRPr="00E91F54">
        <w:rPr>
          <w:rFonts w:ascii="Times New Roman" w:hAnsi="Times New Roman"/>
        </w:rPr>
        <w:t>爰</w:t>
      </w:r>
      <w:r w:rsidR="00D11618" w:rsidRPr="00E91F54">
        <w:rPr>
          <w:rFonts w:ascii="Times New Roman" w:hAnsi="Times New Roman"/>
        </w:rPr>
        <w:t>11</w:t>
      </w:r>
      <w:proofErr w:type="gramEnd"/>
      <w:r w:rsidR="00D11618" w:rsidRPr="00E91F54">
        <w:rPr>
          <w:rFonts w:ascii="Times New Roman" w:hAnsi="Times New Roman"/>
        </w:rPr>
        <w:t>4</w:t>
      </w:r>
      <w:r w:rsidR="00D11618" w:rsidRPr="00E91F54">
        <w:rPr>
          <w:rFonts w:ascii="Times New Roman" w:hAnsi="Times New Roman"/>
        </w:rPr>
        <w:t>年度在正式廢止案場前</w:t>
      </w:r>
      <w:r w:rsidR="00221ADC" w:rsidRPr="00E91F54">
        <w:rPr>
          <w:rFonts w:ascii="Times New Roman" w:hAnsi="Times New Roman"/>
        </w:rPr>
        <w:t>，將</w:t>
      </w:r>
      <w:r w:rsidR="00D11618" w:rsidRPr="00E91F54">
        <w:rPr>
          <w:rFonts w:ascii="Times New Roman" w:hAnsi="Times New Roman"/>
        </w:rPr>
        <w:t>先</w:t>
      </w:r>
      <w:r w:rsidR="00221ADC" w:rsidRPr="00E91F54">
        <w:rPr>
          <w:rFonts w:ascii="Times New Roman" w:hAnsi="Times New Roman"/>
        </w:rPr>
        <w:t>就</w:t>
      </w:r>
      <w:proofErr w:type="gramStart"/>
      <w:r w:rsidR="00221ADC" w:rsidRPr="00E91F54">
        <w:rPr>
          <w:rFonts w:ascii="Times New Roman" w:hAnsi="Times New Roman"/>
        </w:rPr>
        <w:t>11</w:t>
      </w:r>
      <w:proofErr w:type="gramEnd"/>
      <w:r w:rsidR="00221ADC" w:rsidRPr="00E91F54">
        <w:rPr>
          <w:rFonts w:ascii="Times New Roman" w:hAnsi="Times New Roman"/>
        </w:rPr>
        <w:t>0</w:t>
      </w:r>
      <w:r w:rsidR="00221ADC" w:rsidRPr="00E91F54">
        <w:rPr>
          <w:rFonts w:ascii="Times New Roman" w:hAnsi="Times New Roman"/>
        </w:rPr>
        <w:t>年度未繳納案件辦理</w:t>
      </w:r>
      <w:r w:rsidR="00D11618" w:rsidRPr="00E91F54">
        <w:rPr>
          <w:rFonts w:ascii="Times New Roman" w:hAnsi="Times New Roman"/>
        </w:rPr>
        <w:t>行政執行作業</w:t>
      </w:r>
      <w:bookmarkStart w:id="84" w:name="_Hlk198388818"/>
      <w:r w:rsidR="00221ADC" w:rsidRPr="00E91F54">
        <w:rPr>
          <w:rStyle w:val="aff0"/>
        </w:rPr>
        <w:footnoteReference w:id="8"/>
      </w:r>
      <w:bookmarkEnd w:id="84"/>
      <w:r w:rsidR="00D11618" w:rsidRPr="00E91F54">
        <w:rPr>
          <w:rFonts w:ascii="Times New Roman" w:hAnsi="Times New Roman"/>
        </w:rPr>
        <w:t>，以利款項收取</w:t>
      </w:r>
      <w:r w:rsidR="008E3796" w:rsidRPr="00E91F54">
        <w:rPr>
          <w:rFonts w:ascii="Times New Roman" w:hAnsi="Times New Roman" w:hint="eastAsia"/>
        </w:rPr>
        <w:t>；</w:t>
      </w:r>
      <w:r w:rsidR="00221ADC" w:rsidRPr="00E91F54">
        <w:rPr>
          <w:rFonts w:ascii="Times New Roman" w:hAnsi="Times New Roman"/>
        </w:rPr>
        <w:t>另</w:t>
      </w:r>
      <w:proofErr w:type="gramStart"/>
      <w:r w:rsidR="0022370B" w:rsidRPr="00E91F54">
        <w:rPr>
          <w:rFonts w:ascii="Times New Roman" w:hAnsi="Times New Roman"/>
        </w:rPr>
        <w:t>114</w:t>
      </w:r>
      <w:proofErr w:type="gramEnd"/>
      <w:r w:rsidR="00D11618" w:rsidRPr="00E91F54">
        <w:rPr>
          <w:rFonts w:ascii="Times New Roman" w:hAnsi="Times New Roman"/>
        </w:rPr>
        <w:t>年度繳費通知單亦會於印製時註明或提示警語，如不繳費之嚴重性及後續將受之裁處，以</w:t>
      </w:r>
      <w:r w:rsidR="00E52DCE" w:rsidRPr="00E91F54">
        <w:rPr>
          <w:rFonts w:ascii="Times New Roman" w:hAnsi="Times New Roman"/>
        </w:rPr>
        <w:t>使</w:t>
      </w:r>
      <w:r w:rsidR="00D11618" w:rsidRPr="00E91F54">
        <w:rPr>
          <w:rFonts w:ascii="Times New Roman" w:hAnsi="Times New Roman"/>
        </w:rPr>
        <w:t>業者有所警惕</w:t>
      </w:r>
      <w:r w:rsidR="006A0EF2" w:rsidRPr="00E91F54">
        <w:rPr>
          <w:rFonts w:ascii="Times New Roman" w:hAnsi="Times New Roman"/>
          <w:szCs w:val="32"/>
        </w:rPr>
        <w:t>。基此，</w:t>
      </w:r>
      <w:r w:rsidR="0022370B" w:rsidRPr="00E91F54">
        <w:rPr>
          <w:rFonts w:ascii="Times New Roman" w:hAnsi="Times New Roman"/>
          <w:szCs w:val="32"/>
        </w:rPr>
        <w:t>經濟部能源署</w:t>
      </w:r>
      <w:r w:rsidR="006B49A9" w:rsidRPr="00E91F54">
        <w:rPr>
          <w:rFonts w:ascii="Times New Roman" w:hAnsi="Times New Roman"/>
        </w:rPr>
        <w:t>對於未繳納而即將</w:t>
      </w:r>
      <w:proofErr w:type="gramStart"/>
      <w:r w:rsidR="006B49A9" w:rsidRPr="00E91F54">
        <w:rPr>
          <w:rFonts w:ascii="Times New Roman" w:hAnsi="Times New Roman"/>
        </w:rPr>
        <w:t>罹</w:t>
      </w:r>
      <w:proofErr w:type="gramEnd"/>
      <w:r w:rsidR="006B49A9" w:rsidRPr="00E91F54">
        <w:rPr>
          <w:rFonts w:ascii="Times New Roman" w:hAnsi="Times New Roman"/>
        </w:rPr>
        <w:t>於</w:t>
      </w:r>
      <w:r w:rsidR="006B49A9" w:rsidRPr="00E91F54">
        <w:rPr>
          <w:rFonts w:ascii="Times New Roman" w:hAnsi="Times New Roman"/>
        </w:rPr>
        <w:t>5</w:t>
      </w:r>
      <w:r w:rsidR="006B49A9" w:rsidRPr="00E91F54">
        <w:rPr>
          <w:rFonts w:ascii="Times New Roman" w:hAnsi="Times New Roman"/>
        </w:rPr>
        <w:t>年行政執行時效者，亦應積極輔導</w:t>
      </w:r>
      <w:r w:rsidR="00E52DCE" w:rsidRPr="00E91F54">
        <w:rPr>
          <w:rFonts w:ascii="Times New Roman" w:hAnsi="Times New Roman"/>
        </w:rPr>
        <w:t>並催繳</w:t>
      </w:r>
      <w:r w:rsidR="006B49A9" w:rsidRPr="00E91F54">
        <w:rPr>
          <w:rFonts w:ascii="Times New Roman" w:hAnsi="Times New Roman"/>
        </w:rPr>
        <w:t>，以落實管理設置辦法之資源永續與使用者付費精神。</w:t>
      </w:r>
    </w:p>
    <w:p w:rsidR="00890022" w:rsidRPr="00E91F54" w:rsidRDefault="00890022" w:rsidP="00980B74">
      <w:pPr>
        <w:pStyle w:val="3"/>
        <w:rPr>
          <w:rFonts w:ascii="Times New Roman" w:hAnsi="Times New Roman"/>
          <w:szCs w:val="32"/>
        </w:rPr>
      </w:pPr>
      <w:r w:rsidRPr="00E91F54">
        <w:rPr>
          <w:rFonts w:ascii="Times New Roman" w:hAnsi="Times New Roman"/>
          <w:szCs w:val="32"/>
        </w:rPr>
        <w:lastRenderedPageBreak/>
        <w:t>綜上，</w:t>
      </w:r>
      <w:r w:rsidR="002669B1" w:rsidRPr="00E91F54">
        <w:rPr>
          <w:rFonts w:ascii="Times New Roman" w:hAnsi="Times New Roman" w:hint="eastAsia"/>
          <w:szCs w:val="32"/>
        </w:rPr>
        <w:t>經濟部能源署推動再生能源設置以太陽光電為大宗，為因應太陽光電模組汰役處理，落實資源循環利用及使用者付費精神，於躉購費率外加模組回收費每度</w:t>
      </w:r>
      <w:r w:rsidR="002669B1" w:rsidRPr="00E91F54">
        <w:rPr>
          <w:rFonts w:ascii="Times New Roman" w:hAnsi="Times New Roman" w:hint="eastAsia"/>
          <w:szCs w:val="32"/>
        </w:rPr>
        <w:t>0.</w:t>
      </w:r>
      <w:r w:rsidR="00896D64">
        <w:rPr>
          <w:rFonts w:ascii="Times New Roman" w:hAnsi="Times New Roman"/>
          <w:szCs w:val="32"/>
        </w:rPr>
        <w:t>0</w:t>
      </w:r>
      <w:r w:rsidR="002669B1" w:rsidRPr="00E91F54">
        <w:rPr>
          <w:rFonts w:ascii="Times New Roman" w:hAnsi="Times New Roman" w:hint="eastAsia"/>
          <w:szCs w:val="32"/>
        </w:rPr>
        <w:t>656</w:t>
      </w:r>
      <w:r w:rsidR="002669B1" w:rsidRPr="00E91F54">
        <w:rPr>
          <w:rFonts w:ascii="Times New Roman" w:hAnsi="Times New Roman" w:hint="eastAsia"/>
          <w:szCs w:val="32"/>
        </w:rPr>
        <w:t>元予光電業者，而後「再」向業者收取模組回收費用，惟經審計部查核發現，截至</w:t>
      </w:r>
      <w:r w:rsidR="002669B1" w:rsidRPr="00E91F54">
        <w:rPr>
          <w:rFonts w:ascii="Times New Roman" w:hAnsi="Times New Roman" w:hint="eastAsia"/>
          <w:szCs w:val="32"/>
        </w:rPr>
        <w:t>113</w:t>
      </w:r>
      <w:r w:rsidR="002669B1" w:rsidRPr="00E91F54">
        <w:rPr>
          <w:rFonts w:ascii="Times New Roman" w:hAnsi="Times New Roman" w:hint="eastAsia"/>
          <w:szCs w:val="32"/>
        </w:rPr>
        <w:t>年</w:t>
      </w:r>
      <w:r w:rsidR="002669B1" w:rsidRPr="00E91F54">
        <w:rPr>
          <w:rFonts w:ascii="Times New Roman" w:hAnsi="Times New Roman" w:hint="eastAsia"/>
          <w:szCs w:val="32"/>
        </w:rPr>
        <w:t>4</w:t>
      </w:r>
      <w:r w:rsidR="002669B1" w:rsidRPr="00E91F54">
        <w:rPr>
          <w:rFonts w:ascii="Times New Roman" w:hAnsi="Times New Roman" w:hint="eastAsia"/>
          <w:szCs w:val="32"/>
        </w:rPr>
        <w:t>月</w:t>
      </w:r>
      <w:r w:rsidR="002669B1" w:rsidRPr="00E91F54">
        <w:rPr>
          <w:rFonts w:ascii="Times New Roman" w:hAnsi="Times New Roman" w:hint="eastAsia"/>
          <w:szCs w:val="32"/>
        </w:rPr>
        <w:t>16</w:t>
      </w:r>
      <w:r w:rsidR="002669B1" w:rsidRPr="00E91F54">
        <w:rPr>
          <w:rFonts w:ascii="Times New Roman" w:hAnsi="Times New Roman" w:hint="eastAsia"/>
          <w:szCs w:val="32"/>
        </w:rPr>
        <w:t>日為止，累計</w:t>
      </w:r>
      <w:r w:rsidR="002669B1" w:rsidRPr="00E91F54">
        <w:rPr>
          <w:rFonts w:ascii="Times New Roman" w:hAnsi="Times New Roman" w:hint="eastAsia"/>
          <w:szCs w:val="32"/>
        </w:rPr>
        <w:t>110</w:t>
      </w:r>
      <w:r w:rsidR="002669B1" w:rsidRPr="00E91F54">
        <w:rPr>
          <w:rFonts w:ascii="Times New Roman" w:hAnsi="Times New Roman" w:hint="eastAsia"/>
          <w:szCs w:val="32"/>
        </w:rPr>
        <w:t>至</w:t>
      </w:r>
      <w:r w:rsidR="002669B1" w:rsidRPr="00E91F54">
        <w:rPr>
          <w:rFonts w:ascii="Times New Roman" w:hAnsi="Times New Roman" w:hint="eastAsia"/>
          <w:szCs w:val="32"/>
        </w:rPr>
        <w:t>112</w:t>
      </w:r>
      <w:r w:rsidR="002669B1" w:rsidRPr="00E91F54">
        <w:rPr>
          <w:rFonts w:ascii="Times New Roman" w:hAnsi="Times New Roman" w:hint="eastAsia"/>
          <w:szCs w:val="32"/>
        </w:rPr>
        <w:t>年尚未繳納回收費用之金額高達</w:t>
      </w:r>
      <w:r w:rsidR="002669B1" w:rsidRPr="00E91F54">
        <w:rPr>
          <w:rFonts w:ascii="Times New Roman" w:hAnsi="Times New Roman" w:hint="eastAsia"/>
          <w:szCs w:val="32"/>
        </w:rPr>
        <w:t>3.98</w:t>
      </w:r>
      <w:r w:rsidR="002669B1" w:rsidRPr="00E91F54">
        <w:rPr>
          <w:rFonts w:ascii="Times New Roman" w:hAnsi="Times New Roman" w:hint="eastAsia"/>
          <w:szCs w:val="32"/>
        </w:rPr>
        <w:t>億餘元，占總應繳納金額</w:t>
      </w:r>
      <w:r w:rsidR="002669B1" w:rsidRPr="00E91F54">
        <w:rPr>
          <w:rFonts w:ascii="Times New Roman" w:hAnsi="Times New Roman" w:hint="eastAsia"/>
          <w:szCs w:val="32"/>
        </w:rPr>
        <w:t>10.25</w:t>
      </w:r>
      <w:r w:rsidR="002669B1" w:rsidRPr="00E91F54">
        <w:rPr>
          <w:rFonts w:ascii="Times New Roman" w:hAnsi="Times New Roman" w:hint="eastAsia"/>
          <w:szCs w:val="32"/>
        </w:rPr>
        <w:t>億餘元之</w:t>
      </w:r>
      <w:r w:rsidR="002669B1" w:rsidRPr="00E91F54">
        <w:rPr>
          <w:rFonts w:ascii="Times New Roman" w:hAnsi="Times New Roman" w:hint="eastAsia"/>
          <w:szCs w:val="32"/>
        </w:rPr>
        <w:t>38.86%</w:t>
      </w:r>
      <w:r w:rsidR="002669B1" w:rsidRPr="00E91F54">
        <w:rPr>
          <w:rFonts w:ascii="Times New Roman" w:hAnsi="Times New Roman" w:hint="eastAsia"/>
          <w:szCs w:val="32"/>
        </w:rPr>
        <w:t>，形同使光電設置者額外收取</w:t>
      </w:r>
      <w:r w:rsidR="002669B1" w:rsidRPr="00E91F54">
        <w:rPr>
          <w:rFonts w:ascii="Times New Roman" w:hAnsi="Times New Roman" w:hint="eastAsia"/>
          <w:szCs w:val="32"/>
        </w:rPr>
        <w:t>3.12</w:t>
      </w:r>
      <w:r w:rsidR="002669B1" w:rsidRPr="00E91F54">
        <w:rPr>
          <w:rFonts w:ascii="Times New Roman" w:hAnsi="Times New Roman" w:hint="eastAsia"/>
          <w:szCs w:val="32"/>
        </w:rPr>
        <w:t>億</w:t>
      </w:r>
      <w:r w:rsidR="00D4124C" w:rsidRPr="00E91F54">
        <w:rPr>
          <w:rFonts w:ascii="Times New Roman" w:hAnsi="Times New Roman" w:hint="eastAsia"/>
          <w:szCs w:val="32"/>
        </w:rPr>
        <w:t>餘</w:t>
      </w:r>
      <w:r w:rsidR="002669B1" w:rsidRPr="00E91F54">
        <w:rPr>
          <w:rFonts w:ascii="Times New Roman" w:hAnsi="Times New Roman" w:hint="eastAsia"/>
          <w:szCs w:val="32"/>
        </w:rPr>
        <w:t>元之售電收入，卻未支付相應之模組回收費用；迄至本案</w:t>
      </w:r>
      <w:r w:rsidR="002669B1" w:rsidRPr="00E91F54">
        <w:rPr>
          <w:rFonts w:ascii="Times New Roman" w:hAnsi="Times New Roman" w:hint="eastAsia"/>
          <w:szCs w:val="32"/>
        </w:rPr>
        <w:t>114</w:t>
      </w:r>
      <w:r w:rsidR="002669B1" w:rsidRPr="00E91F54">
        <w:rPr>
          <w:rFonts w:ascii="Times New Roman" w:hAnsi="Times New Roman" w:hint="eastAsia"/>
          <w:szCs w:val="32"/>
        </w:rPr>
        <w:t>年調查期間，經濟部能源署催收後已降低未繳納金額至</w:t>
      </w:r>
      <w:r w:rsidR="002669B1" w:rsidRPr="00E91F54">
        <w:rPr>
          <w:rFonts w:ascii="Times New Roman" w:hAnsi="Times New Roman" w:hint="eastAsia"/>
          <w:szCs w:val="32"/>
        </w:rPr>
        <w:t>9,564</w:t>
      </w:r>
      <w:r w:rsidR="002669B1" w:rsidRPr="00E91F54">
        <w:rPr>
          <w:rFonts w:ascii="Times New Roman" w:hAnsi="Times New Roman" w:hint="eastAsia"/>
          <w:szCs w:val="32"/>
        </w:rPr>
        <w:t>萬餘元、占比</w:t>
      </w:r>
      <w:r w:rsidR="002669B1" w:rsidRPr="00E91F54">
        <w:rPr>
          <w:rFonts w:ascii="Times New Roman" w:hAnsi="Times New Roman" w:hint="eastAsia"/>
          <w:szCs w:val="32"/>
        </w:rPr>
        <w:t>9.31%</w:t>
      </w:r>
      <w:r w:rsidR="002669B1" w:rsidRPr="00E91F54">
        <w:rPr>
          <w:rFonts w:ascii="Times New Roman" w:hAnsi="Times New Roman" w:hint="eastAsia"/>
          <w:szCs w:val="32"/>
        </w:rPr>
        <w:t>，然仍持續面臨次一年度未繳納件數與金額累增，每年尚須耗費大量行政資源於催繳作業之窘境。究其根本，乃在於其補貼業者模組回收費用在前，而後欲分年分期要求繳納模組回收費用，實則事倍功半，遑論本年度恐將產生第一批未繳納回收費用而</w:t>
      </w:r>
      <w:proofErr w:type="gramStart"/>
      <w:r w:rsidR="002669B1" w:rsidRPr="00E91F54">
        <w:rPr>
          <w:rFonts w:ascii="Times New Roman" w:hAnsi="Times New Roman" w:hint="eastAsia"/>
          <w:szCs w:val="32"/>
        </w:rPr>
        <w:t>罹</w:t>
      </w:r>
      <w:proofErr w:type="gramEnd"/>
      <w:r w:rsidR="002669B1" w:rsidRPr="00E91F54">
        <w:rPr>
          <w:rFonts w:ascii="Times New Roman" w:hAnsi="Times New Roman" w:hint="eastAsia"/>
          <w:szCs w:val="32"/>
        </w:rPr>
        <w:t>於</w:t>
      </w:r>
      <w:r w:rsidR="002669B1" w:rsidRPr="00E91F54">
        <w:rPr>
          <w:rFonts w:ascii="Times New Roman" w:hAnsi="Times New Roman" w:hint="eastAsia"/>
          <w:szCs w:val="32"/>
        </w:rPr>
        <w:t>5</w:t>
      </w:r>
      <w:r w:rsidR="002669B1" w:rsidRPr="00E91F54">
        <w:rPr>
          <w:rFonts w:ascii="Times New Roman" w:hAnsi="Times New Roman" w:hint="eastAsia"/>
          <w:szCs w:val="32"/>
        </w:rPr>
        <w:t>年</w:t>
      </w:r>
      <w:r w:rsidR="00A87AFC" w:rsidRPr="00E91F54">
        <w:rPr>
          <w:rFonts w:ascii="Times New Roman" w:hAnsi="Times New Roman" w:hint="eastAsia"/>
          <w:szCs w:val="32"/>
        </w:rPr>
        <w:t>行政執行</w:t>
      </w:r>
      <w:r w:rsidR="002669B1" w:rsidRPr="00E91F54">
        <w:rPr>
          <w:rFonts w:ascii="Times New Roman" w:hAnsi="Times New Roman" w:hint="eastAsia"/>
          <w:szCs w:val="32"/>
        </w:rPr>
        <w:t>時效案件，</w:t>
      </w:r>
      <w:proofErr w:type="gramStart"/>
      <w:r w:rsidR="002669B1" w:rsidRPr="00E91F54">
        <w:rPr>
          <w:rFonts w:ascii="Times New Roman" w:hAnsi="Times New Roman" w:hint="eastAsia"/>
          <w:szCs w:val="32"/>
        </w:rPr>
        <w:t>均將</w:t>
      </w:r>
      <w:proofErr w:type="gramEnd"/>
      <w:r w:rsidR="002669B1" w:rsidRPr="00E91F54">
        <w:rPr>
          <w:rFonts w:ascii="Times New Roman" w:hAnsi="Times New Roman" w:hint="eastAsia"/>
          <w:szCs w:val="32"/>
        </w:rPr>
        <w:t>使經濟部能源署效能不彰之收款作業雪上加霜，</w:t>
      </w:r>
      <w:proofErr w:type="gramStart"/>
      <w:r w:rsidR="00165447" w:rsidRPr="00E91F54">
        <w:rPr>
          <w:rFonts w:ascii="Times New Roman" w:hAnsi="Times New Roman" w:hint="eastAsia"/>
          <w:szCs w:val="32"/>
        </w:rPr>
        <w:t>核屬失</w:t>
      </w:r>
      <w:proofErr w:type="gramEnd"/>
      <w:r w:rsidR="00165447" w:rsidRPr="00E91F54">
        <w:rPr>
          <w:rFonts w:ascii="Times New Roman" w:hAnsi="Times New Roman" w:hint="eastAsia"/>
          <w:szCs w:val="32"/>
        </w:rPr>
        <w:t>當</w:t>
      </w:r>
      <w:r w:rsidR="0002036B" w:rsidRPr="00E91F54">
        <w:rPr>
          <w:rFonts w:ascii="Times New Roman" w:hAnsi="Times New Roman" w:hint="eastAsia"/>
          <w:szCs w:val="32"/>
        </w:rPr>
        <w:t>。</w:t>
      </w:r>
    </w:p>
    <w:p w:rsidR="004625AE" w:rsidRPr="00E91F54" w:rsidRDefault="00DA7984" w:rsidP="00C94A8E">
      <w:pPr>
        <w:pStyle w:val="2"/>
        <w:spacing w:beforeLines="50" w:before="228"/>
        <w:ind w:left="1020" w:hanging="680"/>
        <w:rPr>
          <w:rFonts w:ascii="Times New Roman" w:hAnsi="Times New Roman"/>
          <w:b/>
          <w:color w:val="000000" w:themeColor="text1"/>
        </w:rPr>
      </w:pPr>
      <w:r w:rsidRPr="00E91F54">
        <w:rPr>
          <w:rFonts w:ascii="Times New Roman" w:hAnsi="Times New Roman" w:hint="eastAsia"/>
          <w:b/>
        </w:rPr>
        <w:t>112</w:t>
      </w:r>
      <w:r w:rsidRPr="00E91F54">
        <w:rPr>
          <w:rFonts w:ascii="Times New Roman" w:hAnsi="Times New Roman" w:hint="eastAsia"/>
          <w:b/>
        </w:rPr>
        <w:t>年間媒體報導遭廢止</w:t>
      </w:r>
      <w:proofErr w:type="gramStart"/>
      <w:r w:rsidRPr="00E91F54">
        <w:rPr>
          <w:rFonts w:ascii="Times New Roman" w:hAnsi="Times New Roman" w:hint="eastAsia"/>
          <w:b/>
        </w:rPr>
        <w:t>之農電共生</w:t>
      </w:r>
      <w:proofErr w:type="gramEnd"/>
      <w:r w:rsidRPr="00E91F54">
        <w:rPr>
          <w:rFonts w:ascii="Times New Roman" w:hAnsi="Times New Roman" w:hint="eastAsia"/>
          <w:b/>
        </w:rPr>
        <w:t>案場未積極清理，形成光電廢墟情形，農業部及經濟部等相關權責主管機關對於案場</w:t>
      </w:r>
      <w:r w:rsidR="00EE3531" w:rsidRPr="00E91F54">
        <w:rPr>
          <w:rFonts w:ascii="Times New Roman" w:hAnsi="Times New Roman" w:hint="eastAsia"/>
          <w:b/>
        </w:rPr>
        <w:t>之</w:t>
      </w:r>
      <w:r w:rsidRPr="00E91F54">
        <w:rPr>
          <w:rFonts w:ascii="Times New Roman" w:hAnsi="Times New Roman" w:hint="eastAsia"/>
          <w:b/>
        </w:rPr>
        <w:t>光電板設施是否已移除並恢復農地原狀，尚乏勾稽</w:t>
      </w:r>
      <w:r w:rsidR="009B5DBE" w:rsidRPr="00E91F54">
        <w:rPr>
          <w:rFonts w:ascii="Times New Roman" w:hAnsi="Times New Roman" w:hint="eastAsia"/>
          <w:b/>
        </w:rPr>
        <w:t>機制</w:t>
      </w:r>
      <w:r w:rsidR="00EE3531" w:rsidRPr="00E91F54">
        <w:rPr>
          <w:rFonts w:ascii="Times New Roman" w:hAnsi="Times New Roman" w:hint="eastAsia"/>
          <w:b/>
        </w:rPr>
        <w:t>。</w:t>
      </w:r>
      <w:proofErr w:type="gramStart"/>
      <w:r w:rsidRPr="00E91F54">
        <w:rPr>
          <w:rFonts w:ascii="Times New Roman" w:hAnsi="Times New Roman" w:hint="eastAsia"/>
          <w:b/>
        </w:rPr>
        <w:t>嗣</w:t>
      </w:r>
      <w:proofErr w:type="gramEnd"/>
      <w:r w:rsidRPr="00E91F54">
        <w:rPr>
          <w:rFonts w:ascii="Times New Roman" w:hAnsi="Times New Roman" w:hint="eastAsia"/>
          <w:b/>
        </w:rPr>
        <w:t>經清查臺南市政府轄內</w:t>
      </w:r>
      <w:proofErr w:type="gramStart"/>
      <w:r w:rsidRPr="00E91F54">
        <w:rPr>
          <w:rFonts w:ascii="Times New Roman" w:hAnsi="Times New Roman" w:hint="eastAsia"/>
          <w:b/>
        </w:rPr>
        <w:t>43</w:t>
      </w:r>
      <w:r w:rsidRPr="00E91F54">
        <w:rPr>
          <w:rFonts w:ascii="Times New Roman" w:hAnsi="Times New Roman" w:hint="eastAsia"/>
          <w:b/>
        </w:rPr>
        <w:t>件農電共</w:t>
      </w:r>
      <w:proofErr w:type="gramEnd"/>
      <w:r w:rsidRPr="00E91F54">
        <w:rPr>
          <w:rFonts w:ascii="Times New Roman" w:hAnsi="Times New Roman" w:hint="eastAsia"/>
          <w:b/>
        </w:rPr>
        <w:t>生廢止案場，其中</w:t>
      </w:r>
      <w:r w:rsidRPr="00E91F54">
        <w:rPr>
          <w:rFonts w:ascii="Times New Roman" w:hAnsi="Times New Roman" w:hint="eastAsia"/>
          <w:b/>
        </w:rPr>
        <w:t>40</w:t>
      </w:r>
      <w:r w:rsidRPr="00E91F54">
        <w:rPr>
          <w:rFonts w:ascii="Times New Roman" w:hAnsi="Times New Roman" w:hint="eastAsia"/>
          <w:b/>
        </w:rPr>
        <w:t>件案場雖已確實拆除光電板及支架等設施完竣，</w:t>
      </w:r>
      <w:proofErr w:type="gramStart"/>
      <w:r w:rsidRPr="00E91F54">
        <w:rPr>
          <w:rFonts w:ascii="Times New Roman" w:hAnsi="Times New Roman" w:hint="eastAsia"/>
          <w:b/>
        </w:rPr>
        <w:t>然尚</w:t>
      </w:r>
      <w:proofErr w:type="gramEnd"/>
      <w:r w:rsidR="00270822" w:rsidRPr="00E91F54">
        <w:rPr>
          <w:rFonts w:ascii="Times New Roman" w:hAnsi="Times New Roman" w:hint="eastAsia"/>
          <w:b/>
        </w:rPr>
        <w:t>有</w:t>
      </w:r>
      <w:r w:rsidRPr="00E91F54">
        <w:rPr>
          <w:rFonts w:ascii="Times New Roman" w:hAnsi="Times New Roman" w:hint="eastAsia"/>
          <w:b/>
        </w:rPr>
        <w:t>3</w:t>
      </w:r>
      <w:r w:rsidRPr="00E91F54">
        <w:rPr>
          <w:rFonts w:ascii="Times New Roman" w:hAnsi="Times New Roman" w:hint="eastAsia"/>
          <w:b/>
        </w:rPr>
        <w:t>件案場則僅拆除光電板，現場仍留有鋼構支架、鐵皮、堆置之碎石級配及雜物，凸顯遭廢止案場之清理，</w:t>
      </w:r>
      <w:r w:rsidR="00270822" w:rsidRPr="00E91F54">
        <w:rPr>
          <w:rFonts w:ascii="Times New Roman" w:hAnsi="Times New Roman" w:hint="eastAsia"/>
          <w:b/>
        </w:rPr>
        <w:t>伴隨</w:t>
      </w:r>
      <w:r w:rsidRPr="00E91F54">
        <w:rPr>
          <w:rFonts w:ascii="Times New Roman" w:hAnsi="Times New Roman" w:hint="eastAsia"/>
          <w:b/>
        </w:rPr>
        <w:t>非法棄置</w:t>
      </w:r>
      <w:r w:rsidR="00270822" w:rsidRPr="00E91F54">
        <w:rPr>
          <w:rFonts w:ascii="Times New Roman" w:hAnsi="Times New Roman" w:hint="eastAsia"/>
          <w:b/>
        </w:rPr>
        <w:t>廢棄物</w:t>
      </w:r>
      <w:r w:rsidRPr="00E91F54">
        <w:rPr>
          <w:rFonts w:ascii="Times New Roman" w:hAnsi="Times New Roman" w:hint="eastAsia"/>
          <w:b/>
        </w:rPr>
        <w:t>風險；又，隨著</w:t>
      </w:r>
      <w:proofErr w:type="gramStart"/>
      <w:r w:rsidRPr="00E91F54">
        <w:rPr>
          <w:rFonts w:ascii="Times New Roman" w:hAnsi="Times New Roman" w:hint="eastAsia"/>
          <w:b/>
        </w:rPr>
        <w:t>汰</w:t>
      </w:r>
      <w:proofErr w:type="gramEnd"/>
      <w:r w:rsidRPr="00E91F54">
        <w:rPr>
          <w:rFonts w:ascii="Times New Roman" w:hAnsi="Times New Roman" w:hint="eastAsia"/>
          <w:b/>
        </w:rPr>
        <w:t>除光電模組逐年排出，如何有效監督和確保未繳費業者確實將廢棄模組交由合格機構處理，避免衍生環境生態保護隱憂，殊值關注。迄至</w:t>
      </w:r>
      <w:r w:rsidRPr="00E91F54">
        <w:rPr>
          <w:rFonts w:ascii="Times New Roman" w:hAnsi="Times New Roman" w:hint="eastAsia"/>
          <w:b/>
        </w:rPr>
        <w:lastRenderedPageBreak/>
        <w:t>128</w:t>
      </w:r>
      <w:r w:rsidRPr="00E91F54">
        <w:rPr>
          <w:rFonts w:ascii="Times New Roman" w:hAnsi="Times New Roman" w:hint="eastAsia"/>
          <w:b/>
        </w:rPr>
        <w:t>年</w:t>
      </w:r>
      <w:r w:rsidR="008B4749" w:rsidRPr="00E91F54">
        <w:rPr>
          <w:rFonts w:ascii="Times New Roman" w:hAnsi="Times New Roman" w:hint="eastAsia"/>
          <w:b/>
        </w:rPr>
        <w:t>，</w:t>
      </w:r>
      <w:r w:rsidRPr="00E91F54">
        <w:rPr>
          <w:rFonts w:ascii="Times New Roman" w:hAnsi="Times New Roman" w:hint="eastAsia"/>
          <w:b/>
        </w:rPr>
        <w:t>光電模組廢棄物排出預估累計最高可達</w:t>
      </w:r>
      <w:r w:rsidRPr="00E91F54">
        <w:rPr>
          <w:rFonts w:ascii="Times New Roman" w:hAnsi="Times New Roman" w:hint="eastAsia"/>
          <w:b/>
        </w:rPr>
        <w:t>29.8</w:t>
      </w:r>
      <w:r w:rsidRPr="00E91F54">
        <w:rPr>
          <w:rFonts w:ascii="Times New Roman" w:hAnsi="Times New Roman" w:hint="eastAsia"/>
          <w:b/>
        </w:rPr>
        <w:t>萬公噸，太陽光電設施屆期除役或拆除等後續處</w:t>
      </w:r>
      <w:r w:rsidRPr="00E91F54">
        <w:rPr>
          <w:rFonts w:ascii="Times New Roman" w:hAnsi="Times New Roman" w:hint="eastAsia"/>
          <w:b/>
          <w:color w:val="000000" w:themeColor="text1"/>
        </w:rPr>
        <w:t>理機制，實待各權責主管機關共同</w:t>
      </w:r>
      <w:proofErr w:type="gramStart"/>
      <w:r w:rsidRPr="00E91F54">
        <w:rPr>
          <w:rFonts w:ascii="Times New Roman" w:hAnsi="Times New Roman" w:hint="eastAsia"/>
          <w:b/>
          <w:color w:val="000000" w:themeColor="text1"/>
        </w:rPr>
        <w:t>研議策</w:t>
      </w:r>
      <w:proofErr w:type="gramEnd"/>
      <w:r w:rsidRPr="00E91F54">
        <w:rPr>
          <w:rFonts w:ascii="Times New Roman" w:hAnsi="Times New Roman" w:hint="eastAsia"/>
          <w:b/>
          <w:color w:val="000000" w:themeColor="text1"/>
        </w:rPr>
        <w:t>進，落實發展永續能源之環境責任，以符</w:t>
      </w:r>
      <w:proofErr w:type="gramStart"/>
      <w:r w:rsidRPr="00E91F54">
        <w:rPr>
          <w:rFonts w:ascii="Times New Roman" w:hAnsi="Times New Roman" w:hint="eastAsia"/>
          <w:b/>
          <w:color w:val="000000" w:themeColor="text1"/>
        </w:rPr>
        <w:t>我國綠能政</w:t>
      </w:r>
      <w:proofErr w:type="gramEnd"/>
      <w:r w:rsidRPr="00E91F54">
        <w:rPr>
          <w:rFonts w:ascii="Times New Roman" w:hAnsi="Times New Roman" w:hint="eastAsia"/>
          <w:b/>
          <w:color w:val="000000" w:themeColor="text1"/>
        </w:rPr>
        <w:t>策之宗旨</w:t>
      </w:r>
    </w:p>
    <w:p w:rsidR="00BB5FFF" w:rsidRPr="00E91F54" w:rsidRDefault="002117EA" w:rsidP="00BB5FFF">
      <w:pPr>
        <w:pStyle w:val="3"/>
        <w:rPr>
          <w:rFonts w:ascii="Times New Roman" w:hAnsi="Times New Roman"/>
        </w:rPr>
      </w:pPr>
      <w:r w:rsidRPr="00E91F54">
        <w:rPr>
          <w:rFonts w:ascii="Times New Roman" w:hAnsi="Times New Roman"/>
          <w:color w:val="000000" w:themeColor="text1"/>
        </w:rPr>
        <w:t>經查</w:t>
      </w:r>
      <w:r w:rsidR="006C3CC2" w:rsidRPr="00E91F54">
        <w:rPr>
          <w:rFonts w:ascii="Times New Roman" w:hAnsi="Times New Roman" w:hint="eastAsia"/>
          <w:color w:val="000000" w:themeColor="text1"/>
        </w:rPr>
        <w:t>農業部（原行政院農業委員會）考量再生能源</w:t>
      </w:r>
      <w:r w:rsidR="009D65D4" w:rsidRPr="00E91F54">
        <w:rPr>
          <w:rFonts w:ascii="Times New Roman" w:hAnsi="Times New Roman" w:hint="eastAsia"/>
          <w:color w:val="000000" w:themeColor="text1"/>
        </w:rPr>
        <w:t>為</w:t>
      </w:r>
      <w:r w:rsidR="006C3CC2" w:rsidRPr="00E91F54">
        <w:rPr>
          <w:rFonts w:ascii="Times New Roman" w:hAnsi="Times New Roman" w:hint="eastAsia"/>
          <w:color w:val="000000" w:themeColor="text1"/>
        </w:rPr>
        <w:t>乾淨能源，亦為國家能源政策鼓勵之方向，遂於</w:t>
      </w:r>
      <w:r w:rsidR="006C3CC2" w:rsidRPr="00E91F54">
        <w:rPr>
          <w:rFonts w:ascii="Times New Roman" w:hAnsi="Times New Roman" w:hint="eastAsia"/>
          <w:color w:val="000000" w:themeColor="text1"/>
        </w:rPr>
        <w:t>102</w:t>
      </w:r>
      <w:r w:rsidR="006C3CC2" w:rsidRPr="00E91F54">
        <w:rPr>
          <w:rFonts w:ascii="Times New Roman" w:hAnsi="Times New Roman" w:hint="eastAsia"/>
          <w:color w:val="000000" w:themeColor="text1"/>
        </w:rPr>
        <w:t>年</w:t>
      </w:r>
      <w:r w:rsidR="006C3CC2" w:rsidRPr="00E91F54">
        <w:rPr>
          <w:rFonts w:ascii="Times New Roman" w:hAnsi="Times New Roman" w:hint="eastAsia"/>
          <w:color w:val="000000" w:themeColor="text1"/>
        </w:rPr>
        <w:t>10</w:t>
      </w:r>
      <w:r w:rsidR="006C3CC2" w:rsidRPr="00E91F54">
        <w:rPr>
          <w:rFonts w:ascii="Times New Roman" w:hAnsi="Times New Roman" w:hint="eastAsia"/>
          <w:color w:val="000000" w:themeColor="text1"/>
        </w:rPr>
        <w:t>月</w:t>
      </w:r>
      <w:r w:rsidR="006C3CC2" w:rsidRPr="00E91F54">
        <w:rPr>
          <w:rFonts w:ascii="Times New Roman" w:hAnsi="Times New Roman" w:hint="eastAsia"/>
          <w:color w:val="000000" w:themeColor="text1"/>
        </w:rPr>
        <w:t>9</w:t>
      </w:r>
      <w:r w:rsidR="006C3CC2" w:rsidRPr="00E91F54">
        <w:rPr>
          <w:rFonts w:ascii="Times New Roman" w:hAnsi="Times New Roman" w:hint="eastAsia"/>
          <w:color w:val="000000" w:themeColor="text1"/>
        </w:rPr>
        <w:t>日修正發布申請農業用地作農業設施容許使用審查辦法（下稱容許辦法），</w:t>
      </w:r>
      <w:r w:rsidR="009D65D4" w:rsidRPr="00E91F54">
        <w:rPr>
          <w:rFonts w:ascii="Times New Roman" w:hAnsi="Times New Roman" w:hint="eastAsia"/>
          <w:color w:val="000000" w:themeColor="text1"/>
        </w:rPr>
        <w:t>增</w:t>
      </w:r>
      <w:r w:rsidR="004E4144" w:rsidRPr="00E91F54">
        <w:rPr>
          <w:rFonts w:ascii="Times New Roman" w:hAnsi="Times New Roman"/>
          <w:color w:val="000000" w:themeColor="text1"/>
        </w:rPr>
        <w:t>列第</w:t>
      </w:r>
      <w:r w:rsidR="004E4144" w:rsidRPr="00E91F54">
        <w:rPr>
          <w:rFonts w:ascii="Times New Roman" w:hAnsi="Times New Roman"/>
          <w:color w:val="000000" w:themeColor="text1"/>
        </w:rPr>
        <w:t>8</w:t>
      </w:r>
      <w:proofErr w:type="gramStart"/>
      <w:r w:rsidR="004E4144" w:rsidRPr="00E91F54">
        <w:rPr>
          <w:rFonts w:ascii="Times New Roman" w:hAnsi="Times New Roman"/>
          <w:color w:val="000000" w:themeColor="text1"/>
        </w:rPr>
        <w:t>章綠能</w:t>
      </w:r>
      <w:proofErr w:type="gramEnd"/>
      <w:r w:rsidR="004E4144" w:rsidRPr="00E91F54">
        <w:rPr>
          <w:rFonts w:ascii="Times New Roman" w:hAnsi="Times New Roman"/>
          <w:color w:val="000000" w:themeColor="text1"/>
        </w:rPr>
        <w:t>設施專章，將再生能源發展</w:t>
      </w:r>
      <w:r w:rsidR="004E4144" w:rsidRPr="00E91F54">
        <w:rPr>
          <w:rFonts w:ascii="Times New Roman" w:hAnsi="Times New Roman"/>
        </w:rPr>
        <w:t>條例所定太陽能、風力及非抽蓄式水力設施，於</w:t>
      </w:r>
      <w:r w:rsidR="00136E26" w:rsidRPr="00E91F54">
        <w:rPr>
          <w:rFonts w:ascii="Times New Roman" w:hAnsi="Times New Roman"/>
        </w:rPr>
        <w:t>容許</w:t>
      </w:r>
      <w:r w:rsidR="004E4144" w:rsidRPr="00E91F54">
        <w:rPr>
          <w:rFonts w:ascii="Times New Roman" w:hAnsi="Times New Roman"/>
        </w:rPr>
        <w:t>辦法第</w:t>
      </w:r>
      <w:r w:rsidR="004E4144" w:rsidRPr="00E91F54">
        <w:rPr>
          <w:rFonts w:ascii="Times New Roman" w:hAnsi="Times New Roman"/>
        </w:rPr>
        <w:t>27</w:t>
      </w:r>
      <w:r w:rsidR="004E4144" w:rsidRPr="00E91F54">
        <w:rPr>
          <w:rFonts w:ascii="Times New Roman" w:hAnsi="Times New Roman"/>
        </w:rPr>
        <w:t>條定義</w:t>
      </w:r>
      <w:proofErr w:type="gramStart"/>
      <w:r w:rsidR="004E4144" w:rsidRPr="00E91F54">
        <w:rPr>
          <w:rFonts w:ascii="Times New Roman" w:hAnsi="Times New Roman"/>
        </w:rPr>
        <w:t>為綠能設</w:t>
      </w:r>
      <w:proofErr w:type="gramEnd"/>
      <w:r w:rsidR="004E4144" w:rsidRPr="00E91F54">
        <w:rPr>
          <w:rFonts w:ascii="Times New Roman" w:hAnsi="Times New Roman"/>
        </w:rPr>
        <w:t>施予以規範，並明定得設置於農業用地之條件</w:t>
      </w:r>
      <w:r w:rsidR="004E4144" w:rsidRPr="00E91F54">
        <w:rPr>
          <w:rStyle w:val="aff0"/>
        </w:rPr>
        <w:footnoteReference w:id="9"/>
      </w:r>
      <w:r w:rsidR="004E4144" w:rsidRPr="00E91F54">
        <w:rPr>
          <w:rFonts w:ascii="Times New Roman" w:hAnsi="Times New Roman"/>
        </w:rPr>
        <w:t>。允許在不影響農業經營之前提下，得以容許使用方式於農業設施屋頂或符合所定條件之農地上</w:t>
      </w:r>
      <w:proofErr w:type="gramStart"/>
      <w:r w:rsidR="004E4144" w:rsidRPr="00E91F54">
        <w:rPr>
          <w:rFonts w:ascii="Times New Roman" w:hAnsi="Times New Roman"/>
        </w:rPr>
        <w:t>設置</w:t>
      </w:r>
      <w:r w:rsidR="00FC2CEF" w:rsidRPr="00E91F54">
        <w:rPr>
          <w:rFonts w:ascii="Times New Roman" w:hAnsi="Times New Roman"/>
        </w:rPr>
        <w:t>綠能設施</w:t>
      </w:r>
      <w:proofErr w:type="gramEnd"/>
      <w:r w:rsidR="004E4144" w:rsidRPr="00E91F54">
        <w:rPr>
          <w:rFonts w:ascii="Times New Roman" w:hAnsi="Times New Roman"/>
        </w:rPr>
        <w:t>。</w:t>
      </w:r>
    </w:p>
    <w:p w:rsidR="00FC5D1E" w:rsidRPr="00E91F54" w:rsidRDefault="00FC5D1E" w:rsidP="00D3055A">
      <w:pPr>
        <w:pStyle w:val="3"/>
      </w:pPr>
      <w:r w:rsidRPr="00E91F54">
        <w:t>按容許辦法第33條第2項</w:t>
      </w:r>
      <w:r w:rsidR="00D93C7C" w:rsidRPr="00E91F54">
        <w:rPr>
          <w:rFonts w:hint="eastAsia"/>
        </w:rPr>
        <w:t>及第4項</w:t>
      </w:r>
      <w:r w:rsidRPr="00E91F54">
        <w:t>規定，</w:t>
      </w:r>
      <w:r w:rsidR="00D93C7C" w:rsidRPr="00E91F54">
        <w:rPr>
          <w:rFonts w:hint="eastAsia"/>
        </w:rPr>
        <w:t>直轄市或縣</w:t>
      </w:r>
      <w:r w:rsidR="006C4CD7" w:rsidRPr="00E91F54">
        <w:rPr>
          <w:rFonts w:hint="eastAsia"/>
        </w:rPr>
        <w:t>（</w:t>
      </w:r>
      <w:r w:rsidR="00D93C7C" w:rsidRPr="00E91F54">
        <w:rPr>
          <w:rFonts w:hint="eastAsia"/>
        </w:rPr>
        <w:t>市</w:t>
      </w:r>
      <w:r w:rsidR="006C4CD7" w:rsidRPr="00E91F54">
        <w:rPr>
          <w:rFonts w:hint="eastAsia"/>
        </w:rPr>
        <w:t>）</w:t>
      </w:r>
      <w:r w:rsidR="00D93C7C" w:rsidRPr="00E91F54">
        <w:rPr>
          <w:rFonts w:hint="eastAsia"/>
        </w:rPr>
        <w:t>主管機關應對取得容許使用之農業設施及其坐落之農業用地造冊列管，</w:t>
      </w:r>
      <w:r w:rsidRPr="00E91F54">
        <w:t>未依計畫內容使用之農業設施，原核定機關得廢止其許可，並通知區域計畫或都市計畫主管機關</w:t>
      </w:r>
      <w:r w:rsidR="00D93C7C" w:rsidRPr="00E91F54">
        <w:rPr>
          <w:rFonts w:hint="eastAsia"/>
        </w:rPr>
        <w:t>與</w:t>
      </w:r>
      <w:r w:rsidR="00D93C7C" w:rsidRPr="00E91F54">
        <w:rPr>
          <w:rFonts w:ascii="Times New Roman" w:hAnsi="Times New Roman" w:hint="eastAsia"/>
        </w:rPr>
        <w:t>能源主管機關（綠能設施）</w:t>
      </w:r>
      <w:r w:rsidRPr="00E91F54">
        <w:t>依相關規定處理。經濟部能源署、直轄市</w:t>
      </w:r>
      <w:r w:rsidR="00155FF7" w:rsidRPr="00E91F54">
        <w:rPr>
          <w:rFonts w:hint="eastAsia"/>
        </w:rPr>
        <w:t>及</w:t>
      </w:r>
      <w:r w:rsidRPr="00E91F54">
        <w:t>縣（市）政府</w:t>
      </w:r>
      <w:r w:rsidR="00D93C7C" w:rsidRPr="00E91F54">
        <w:rPr>
          <w:rFonts w:hint="eastAsia"/>
        </w:rPr>
        <w:t>續</w:t>
      </w:r>
      <w:r w:rsidRPr="00E91F54">
        <w:t>依</w:t>
      </w:r>
      <w:r w:rsidR="00691A02" w:rsidRPr="00E91F54">
        <w:t>設置管理辦法</w:t>
      </w:r>
      <w:r w:rsidRPr="00E91F54">
        <w:t>第18條第2項規定，廢止該設備之認定文件。廢止案場將回歸土地使用管制規定，土地管制機關依都市計畫法、區域計畫法規定予以裁罰，督促土地所有權人回復土地狀況以符規範。</w:t>
      </w:r>
    </w:p>
    <w:p w:rsidR="00812A16" w:rsidRPr="00E91F54" w:rsidRDefault="006C2A8E" w:rsidP="00027C11">
      <w:pPr>
        <w:pStyle w:val="3"/>
        <w:rPr>
          <w:rFonts w:ascii="Times New Roman" w:hAnsi="Times New Roman"/>
          <w:szCs w:val="32"/>
        </w:rPr>
      </w:pPr>
      <w:r w:rsidRPr="00E91F54">
        <w:rPr>
          <w:rFonts w:ascii="Times New Roman" w:hAnsi="Times New Roman"/>
        </w:rPr>
        <w:t>然</w:t>
      </w:r>
      <w:r w:rsidR="00F963FE" w:rsidRPr="00E91F54">
        <w:rPr>
          <w:rFonts w:ascii="Times New Roman" w:hAnsi="Times New Roman"/>
        </w:rPr>
        <w:t>依據</w:t>
      </w:r>
      <w:r w:rsidR="00693108" w:rsidRPr="00E91F54">
        <w:rPr>
          <w:rFonts w:ascii="Times New Roman" w:hAnsi="Times New Roman"/>
          <w:szCs w:val="32"/>
        </w:rPr>
        <w:t>審計部</w:t>
      </w:r>
      <w:proofErr w:type="gramStart"/>
      <w:r w:rsidR="00693108" w:rsidRPr="00E91F54">
        <w:rPr>
          <w:rFonts w:ascii="Times New Roman" w:hAnsi="Times New Roman"/>
          <w:szCs w:val="32"/>
        </w:rPr>
        <w:t>112</w:t>
      </w:r>
      <w:proofErr w:type="gramEnd"/>
      <w:r w:rsidR="00693108" w:rsidRPr="00E91F54">
        <w:rPr>
          <w:rFonts w:ascii="Times New Roman" w:hAnsi="Times New Roman"/>
          <w:szCs w:val="32"/>
        </w:rPr>
        <w:t>年度中央政府總決算審核報告</w:t>
      </w:r>
      <w:r w:rsidR="00F963FE" w:rsidRPr="00E91F54">
        <w:rPr>
          <w:rFonts w:ascii="Times New Roman" w:hAnsi="Times New Roman"/>
        </w:rPr>
        <w:t>指出</w:t>
      </w:r>
      <w:r w:rsidR="00027C11" w:rsidRPr="00E91F54">
        <w:rPr>
          <w:rFonts w:ascii="Times New Roman" w:hAnsi="Times New Roman"/>
        </w:rPr>
        <w:t>，</w:t>
      </w:r>
      <w:r w:rsidR="00FB179B" w:rsidRPr="00E91F54">
        <w:rPr>
          <w:rFonts w:ascii="Times New Roman" w:hAnsi="Times New Roman"/>
        </w:rPr>
        <w:t>政府為</w:t>
      </w:r>
      <w:proofErr w:type="gramStart"/>
      <w:r w:rsidR="00FB179B" w:rsidRPr="00E91F54">
        <w:rPr>
          <w:rFonts w:ascii="Times New Roman" w:hAnsi="Times New Roman"/>
        </w:rPr>
        <w:t>推動綠能政</w:t>
      </w:r>
      <w:proofErr w:type="gramEnd"/>
      <w:r w:rsidR="00FB179B" w:rsidRPr="00E91F54">
        <w:rPr>
          <w:rFonts w:ascii="Times New Roman" w:hAnsi="Times New Roman"/>
        </w:rPr>
        <w:t>策，於</w:t>
      </w:r>
      <w:r w:rsidR="00FB179B" w:rsidRPr="00E91F54">
        <w:rPr>
          <w:rFonts w:ascii="Times New Roman" w:hAnsi="Times New Roman"/>
        </w:rPr>
        <w:t>102</w:t>
      </w:r>
      <w:r w:rsidR="00FB179B" w:rsidRPr="00E91F54">
        <w:rPr>
          <w:rFonts w:ascii="Times New Roman" w:hAnsi="Times New Roman"/>
        </w:rPr>
        <w:t>年規劃得以容許使</w:t>
      </w:r>
      <w:r w:rsidR="00FB179B" w:rsidRPr="00E91F54">
        <w:rPr>
          <w:rFonts w:ascii="Times New Roman" w:hAnsi="Times New Roman"/>
        </w:rPr>
        <w:lastRenderedPageBreak/>
        <w:t>用方式在農業設施屋頂或農業用地上設置太陽光電發電設備，惟光電業者未確實結合農業經營，經地方政府審查發現</w:t>
      </w:r>
      <w:r w:rsidR="00812A16" w:rsidRPr="00E91F54">
        <w:rPr>
          <w:rFonts w:ascii="Times New Roman" w:hAnsi="Times New Roman"/>
        </w:rPr>
        <w:t>後依法</w:t>
      </w:r>
      <w:r w:rsidR="00FB179B" w:rsidRPr="00E91F54">
        <w:rPr>
          <w:rFonts w:ascii="Times New Roman" w:hAnsi="Times New Roman"/>
        </w:rPr>
        <w:t>廢止容許使用，</w:t>
      </w:r>
      <w:r w:rsidR="00812A16" w:rsidRPr="00E91F54">
        <w:rPr>
          <w:rFonts w:ascii="Times New Roman" w:hAnsi="Times New Roman"/>
        </w:rPr>
        <w:t>嗣經</w:t>
      </w:r>
      <w:r w:rsidR="00FB179B" w:rsidRPr="00E91F54">
        <w:rPr>
          <w:rFonts w:ascii="Times New Roman" w:hAnsi="Times New Roman"/>
        </w:rPr>
        <w:t>112</w:t>
      </w:r>
      <w:r w:rsidR="00FB179B" w:rsidRPr="00E91F54">
        <w:rPr>
          <w:rFonts w:ascii="Times New Roman" w:hAnsi="Times New Roman"/>
        </w:rPr>
        <w:t>年</w:t>
      </w:r>
      <w:r w:rsidR="00FB179B" w:rsidRPr="00E91F54">
        <w:rPr>
          <w:rFonts w:ascii="Times New Roman" w:hAnsi="Times New Roman"/>
        </w:rPr>
        <w:t>5</w:t>
      </w:r>
      <w:r w:rsidR="00FB179B" w:rsidRPr="00E91F54">
        <w:rPr>
          <w:rFonts w:ascii="Times New Roman" w:hAnsi="Times New Roman"/>
        </w:rPr>
        <w:t>月媒體報導臺南市遭廢止容許使用</w:t>
      </w:r>
      <w:proofErr w:type="gramStart"/>
      <w:r w:rsidR="00FB179B" w:rsidRPr="00E91F54">
        <w:rPr>
          <w:rFonts w:ascii="Times New Roman" w:hAnsi="Times New Roman"/>
        </w:rPr>
        <w:t>之農電共</w:t>
      </w:r>
      <w:proofErr w:type="gramEnd"/>
      <w:r w:rsidR="00FB179B" w:rsidRPr="00E91F54">
        <w:rPr>
          <w:rFonts w:ascii="Times New Roman" w:hAnsi="Times New Roman"/>
        </w:rPr>
        <w:t>生案場共計</w:t>
      </w:r>
      <w:r w:rsidR="00FB179B" w:rsidRPr="00E91F54">
        <w:rPr>
          <w:rFonts w:ascii="Times New Roman" w:hAnsi="Times New Roman"/>
        </w:rPr>
        <w:t>78</w:t>
      </w:r>
      <w:r w:rsidR="00FB179B" w:rsidRPr="00E91F54">
        <w:rPr>
          <w:rFonts w:ascii="Times New Roman" w:hAnsi="Times New Roman"/>
        </w:rPr>
        <w:t>處，太陽</w:t>
      </w:r>
      <w:proofErr w:type="gramStart"/>
      <w:r w:rsidR="00FB179B" w:rsidRPr="00E91F54">
        <w:rPr>
          <w:rFonts w:ascii="Times New Roman" w:hAnsi="Times New Roman"/>
        </w:rPr>
        <w:t>光電板遲</w:t>
      </w:r>
      <w:proofErr w:type="gramEnd"/>
      <w:r w:rsidR="00FB179B" w:rsidRPr="00E91F54">
        <w:rPr>
          <w:rFonts w:ascii="Times New Roman" w:hAnsi="Times New Roman"/>
        </w:rPr>
        <w:t>未移除，任由農地荒廢，破壞環境景觀，引發各界質疑太陽光電案場廢止後之相關配套措施不足，農地無法再行耕種之</w:t>
      </w:r>
      <w:r w:rsidR="00155FF7" w:rsidRPr="00E91F54">
        <w:rPr>
          <w:rFonts w:ascii="Times New Roman" w:hAnsi="Times New Roman" w:hint="eastAsia"/>
        </w:rPr>
        <w:t>訾議</w:t>
      </w:r>
      <w:r w:rsidR="00FB179B" w:rsidRPr="00E91F54">
        <w:rPr>
          <w:rFonts w:ascii="Times New Roman" w:hAnsi="Times New Roman"/>
        </w:rPr>
        <w:t>。</w:t>
      </w:r>
    </w:p>
    <w:p w:rsidR="00991C8C" w:rsidRPr="00E91F54" w:rsidRDefault="001B47EF" w:rsidP="00027C11">
      <w:pPr>
        <w:pStyle w:val="3"/>
        <w:rPr>
          <w:rFonts w:ascii="Times New Roman" w:hAnsi="Times New Roman"/>
          <w:szCs w:val="32"/>
        </w:rPr>
      </w:pPr>
      <w:r w:rsidRPr="00E91F54">
        <w:rPr>
          <w:rFonts w:ascii="Times New Roman" w:hAnsi="Times New Roman"/>
        </w:rPr>
        <w:t>本院為</w:t>
      </w:r>
      <w:r w:rsidR="00D3055A" w:rsidRPr="00E91F54">
        <w:rPr>
          <w:rFonts w:ascii="Times New Roman" w:hAnsi="Times New Roman" w:hint="eastAsia"/>
        </w:rPr>
        <w:t>瞭解</w:t>
      </w:r>
      <w:r w:rsidR="00027C11" w:rsidRPr="00E91F54">
        <w:rPr>
          <w:rFonts w:ascii="Times New Roman" w:hAnsi="Times New Roman"/>
        </w:rPr>
        <w:t>遭廢止</w:t>
      </w:r>
      <w:proofErr w:type="gramStart"/>
      <w:r w:rsidRPr="00E91F54">
        <w:rPr>
          <w:rFonts w:ascii="Times New Roman" w:hAnsi="Times New Roman"/>
        </w:rPr>
        <w:t>案場</w:t>
      </w:r>
      <w:r w:rsidR="00D3055A" w:rsidRPr="00E91F54">
        <w:rPr>
          <w:rFonts w:ascii="Times New Roman" w:hAnsi="Times New Roman" w:hint="eastAsia"/>
        </w:rPr>
        <w:t>件數</w:t>
      </w:r>
      <w:proofErr w:type="gramEnd"/>
      <w:r w:rsidRPr="00E91F54">
        <w:rPr>
          <w:rFonts w:ascii="Times New Roman" w:hAnsi="Times New Roman"/>
        </w:rPr>
        <w:t>，經詢經濟部</w:t>
      </w:r>
      <w:r w:rsidR="00F07E81" w:rsidRPr="00E91F54">
        <w:rPr>
          <w:rFonts w:ascii="Times New Roman" w:hAnsi="Times New Roman"/>
        </w:rPr>
        <w:t>及</w:t>
      </w:r>
      <w:r w:rsidRPr="00E91F54">
        <w:rPr>
          <w:rFonts w:ascii="Times New Roman" w:hAnsi="Times New Roman"/>
        </w:rPr>
        <w:t>農業部，</w:t>
      </w:r>
      <w:r w:rsidR="00F331FF" w:rsidRPr="00E91F54">
        <w:rPr>
          <w:rFonts w:ascii="Times New Roman" w:hAnsi="Times New Roman"/>
        </w:rPr>
        <w:t>農業部</w:t>
      </w:r>
      <w:r w:rsidRPr="00E91F54">
        <w:rPr>
          <w:rFonts w:ascii="Times New Roman" w:hAnsi="Times New Roman"/>
        </w:rPr>
        <w:t>復</w:t>
      </w:r>
      <w:r w:rsidR="007231AD" w:rsidRPr="00E91F54">
        <w:rPr>
          <w:rFonts w:ascii="Times New Roman" w:hAnsi="Times New Roman"/>
        </w:rPr>
        <w:t>以：「</w:t>
      </w:r>
      <w:r w:rsidRPr="00E91F54">
        <w:rPr>
          <w:rFonts w:ascii="Times New Roman" w:hAnsi="Times New Roman"/>
        </w:rPr>
        <w:t>無相關資料，本項涉及廢止案場後續處理情形，可洽能源或環境主管機關瞭</w:t>
      </w:r>
      <w:r w:rsidR="00F331FF" w:rsidRPr="00E91F54">
        <w:rPr>
          <w:rFonts w:ascii="Times New Roman" w:hAnsi="Times New Roman"/>
        </w:rPr>
        <w:t>解。</w:t>
      </w:r>
      <w:r w:rsidR="007231AD" w:rsidRPr="00E91F54">
        <w:rPr>
          <w:rFonts w:ascii="Times New Roman" w:hAnsi="Times New Roman"/>
        </w:rPr>
        <w:t>」</w:t>
      </w:r>
      <w:r w:rsidR="00F331FF" w:rsidRPr="00E91F54">
        <w:rPr>
          <w:rFonts w:ascii="Times New Roman" w:hAnsi="Times New Roman"/>
        </w:rPr>
        <w:t>經濟部</w:t>
      </w:r>
      <w:r w:rsidR="007231AD" w:rsidRPr="00E91F54">
        <w:rPr>
          <w:rFonts w:ascii="Times New Roman" w:hAnsi="Times New Roman"/>
        </w:rPr>
        <w:t>則</w:t>
      </w:r>
      <w:r w:rsidRPr="00E91F54">
        <w:rPr>
          <w:rFonts w:ascii="Times New Roman" w:hAnsi="Times New Roman"/>
        </w:rPr>
        <w:t>復</w:t>
      </w:r>
      <w:proofErr w:type="gramStart"/>
      <w:r w:rsidRPr="00E91F54">
        <w:rPr>
          <w:rFonts w:ascii="Times New Roman" w:hAnsi="Times New Roman"/>
        </w:rPr>
        <w:t>以</w:t>
      </w:r>
      <w:proofErr w:type="gramEnd"/>
      <w:r w:rsidR="007231AD" w:rsidRPr="00E91F54">
        <w:rPr>
          <w:rFonts w:ascii="Times New Roman" w:hAnsi="Times New Roman"/>
        </w:rPr>
        <w:t>：「</w:t>
      </w:r>
      <w:r w:rsidR="00027C11" w:rsidRPr="00E91F54">
        <w:rPr>
          <w:rFonts w:ascii="Times New Roman" w:hAnsi="Times New Roman"/>
        </w:rPr>
        <w:t>農業容許、認定文件被廢止後未積極清理，造成『光電廢墟』景象，外界觀感不佳，後續有關單位業依土地使用管制規定進行裁罰，設置者已於</w:t>
      </w:r>
      <w:r w:rsidR="00027C11" w:rsidRPr="00E91F54">
        <w:rPr>
          <w:rFonts w:ascii="Times New Roman" w:hAnsi="Times New Roman"/>
        </w:rPr>
        <w:t>112</w:t>
      </w:r>
      <w:r w:rsidR="00027C11" w:rsidRPr="00E91F54">
        <w:rPr>
          <w:rFonts w:ascii="Times New Roman" w:hAnsi="Times New Roman"/>
        </w:rPr>
        <w:t>年間拆除所有設備。</w:t>
      </w:r>
      <w:r w:rsidR="007231AD" w:rsidRPr="00E91F54">
        <w:rPr>
          <w:rFonts w:ascii="Times New Roman" w:hAnsi="Times New Roman"/>
        </w:rPr>
        <w:t>」</w:t>
      </w:r>
      <w:proofErr w:type="gramStart"/>
      <w:r w:rsidR="00D3055A" w:rsidRPr="00E91F54">
        <w:rPr>
          <w:rFonts w:ascii="Times New Roman" w:hAnsi="Times New Roman" w:hint="eastAsia"/>
        </w:rPr>
        <w:t>嗣</w:t>
      </w:r>
      <w:proofErr w:type="gramEnd"/>
      <w:r w:rsidR="00F331FF" w:rsidRPr="00E91F54">
        <w:rPr>
          <w:rFonts w:ascii="Times New Roman" w:hAnsi="Times New Roman"/>
        </w:rPr>
        <w:t>經</w:t>
      </w:r>
      <w:r w:rsidR="007231AD" w:rsidRPr="00E91F54">
        <w:rPr>
          <w:rFonts w:ascii="Times New Roman" w:hAnsi="Times New Roman"/>
        </w:rPr>
        <w:t>本院</w:t>
      </w:r>
      <w:r w:rsidR="00F331FF" w:rsidRPr="00E91F54">
        <w:rPr>
          <w:rFonts w:ascii="Times New Roman" w:hAnsi="Times New Roman"/>
        </w:rPr>
        <w:t>清查臺南市轄內</w:t>
      </w:r>
      <w:proofErr w:type="gramStart"/>
      <w:r w:rsidR="00DA7984" w:rsidRPr="00E91F54">
        <w:rPr>
          <w:rFonts w:ascii="Times New Roman" w:hAnsi="Times New Roman" w:hint="eastAsia"/>
        </w:rPr>
        <w:t>4</w:t>
      </w:r>
      <w:r w:rsidR="00DA7984" w:rsidRPr="00E91F54">
        <w:rPr>
          <w:rFonts w:ascii="Times New Roman" w:hAnsi="Times New Roman"/>
        </w:rPr>
        <w:t>3</w:t>
      </w:r>
      <w:r w:rsidR="00DA7984" w:rsidRPr="00E91F54">
        <w:rPr>
          <w:rFonts w:ascii="Times New Roman" w:hAnsi="Times New Roman" w:hint="eastAsia"/>
        </w:rPr>
        <w:t>件</w:t>
      </w:r>
      <w:r w:rsidR="00F07E81" w:rsidRPr="00E91F54">
        <w:rPr>
          <w:rFonts w:ascii="Times New Roman" w:hAnsi="Times New Roman"/>
        </w:rPr>
        <w:t>農電共</w:t>
      </w:r>
      <w:proofErr w:type="gramEnd"/>
      <w:r w:rsidR="00F07E81" w:rsidRPr="00E91F54">
        <w:rPr>
          <w:rFonts w:ascii="Times New Roman" w:hAnsi="Times New Roman"/>
        </w:rPr>
        <w:t>生</w:t>
      </w:r>
      <w:r w:rsidR="00D3055A" w:rsidRPr="00E91F54">
        <w:rPr>
          <w:rFonts w:ascii="Times New Roman" w:hAnsi="Times New Roman" w:hint="eastAsia"/>
        </w:rPr>
        <w:t>廢止案場</w:t>
      </w:r>
      <w:r w:rsidR="00EF7292" w:rsidRPr="00E91F54">
        <w:rPr>
          <w:rStyle w:val="aff0"/>
        </w:rPr>
        <w:footnoteReference w:id="10"/>
      </w:r>
      <w:r w:rsidR="009A234E" w:rsidRPr="00E91F54">
        <w:rPr>
          <w:rFonts w:ascii="Times New Roman" w:hAnsi="Times New Roman"/>
          <w:szCs w:val="32"/>
        </w:rPr>
        <w:t>，迄至</w:t>
      </w:r>
      <w:r w:rsidR="009A234E" w:rsidRPr="00E91F54">
        <w:rPr>
          <w:rFonts w:ascii="Times New Roman" w:hAnsi="Times New Roman"/>
          <w:szCs w:val="32"/>
        </w:rPr>
        <w:t>114</w:t>
      </w:r>
      <w:r w:rsidR="009A234E" w:rsidRPr="00E91F54">
        <w:rPr>
          <w:rFonts w:ascii="Times New Roman" w:hAnsi="Times New Roman"/>
          <w:szCs w:val="32"/>
        </w:rPr>
        <w:t>年</w:t>
      </w:r>
      <w:r w:rsidR="009A234E" w:rsidRPr="00E91F54">
        <w:rPr>
          <w:rFonts w:ascii="Times New Roman" w:hAnsi="Times New Roman"/>
          <w:szCs w:val="32"/>
        </w:rPr>
        <w:t>4</w:t>
      </w:r>
      <w:r w:rsidR="009A234E" w:rsidRPr="00E91F54">
        <w:rPr>
          <w:rFonts w:ascii="Times New Roman" w:hAnsi="Times New Roman"/>
          <w:szCs w:val="32"/>
        </w:rPr>
        <w:t>月</w:t>
      </w:r>
      <w:r w:rsidR="00D3055A" w:rsidRPr="00E91F54">
        <w:rPr>
          <w:rFonts w:ascii="Times New Roman" w:hAnsi="Times New Roman" w:hint="eastAsia"/>
        </w:rPr>
        <w:t>，</w:t>
      </w:r>
      <w:r w:rsidR="00EF7292" w:rsidRPr="00E91F54">
        <w:rPr>
          <w:rFonts w:ascii="Times New Roman" w:hAnsi="Times New Roman" w:hint="eastAsia"/>
        </w:rPr>
        <w:t>仍有</w:t>
      </w:r>
      <w:r w:rsidR="00F331FF" w:rsidRPr="00E91F54">
        <w:rPr>
          <w:rFonts w:ascii="Times New Roman" w:hAnsi="Times New Roman"/>
        </w:rPr>
        <w:t>3</w:t>
      </w:r>
      <w:r w:rsidR="00F331FF" w:rsidRPr="00E91F54">
        <w:rPr>
          <w:rFonts w:ascii="Times New Roman" w:hAnsi="Times New Roman"/>
        </w:rPr>
        <w:t>件案場僅拆除光電板，現場仍殘留鋼構支架、鐵皮、堆置之碎石級配及雜物，尚待移除</w:t>
      </w:r>
      <w:r w:rsidR="00991C8C" w:rsidRPr="00E91F54">
        <w:rPr>
          <w:rFonts w:ascii="Times New Roman" w:hAnsi="Times New Roman"/>
        </w:rPr>
        <w:t>。</w:t>
      </w:r>
    </w:p>
    <w:p w:rsidR="00027C11" w:rsidRPr="00E91F54" w:rsidRDefault="00D3055A" w:rsidP="00027C11">
      <w:pPr>
        <w:pStyle w:val="3"/>
        <w:rPr>
          <w:rFonts w:ascii="Times New Roman" w:hAnsi="Times New Roman"/>
          <w:szCs w:val="32"/>
        </w:rPr>
      </w:pPr>
      <w:r w:rsidRPr="00E91F54">
        <w:rPr>
          <w:rFonts w:ascii="Times New Roman" w:hAnsi="Times New Roman" w:hint="eastAsia"/>
        </w:rPr>
        <w:t>為進一步</w:t>
      </w:r>
      <w:proofErr w:type="gramStart"/>
      <w:r w:rsidRPr="00E91F54">
        <w:rPr>
          <w:rFonts w:ascii="Times New Roman" w:hAnsi="Times New Roman" w:hint="eastAsia"/>
        </w:rPr>
        <w:t>瞭解農電共生</w:t>
      </w:r>
      <w:proofErr w:type="gramEnd"/>
      <w:r w:rsidRPr="00E91F54">
        <w:rPr>
          <w:rFonts w:ascii="Times New Roman" w:hAnsi="Times New Roman" w:hint="eastAsia"/>
        </w:rPr>
        <w:t>政策下，中央主管機關農業部與經濟部對於</w:t>
      </w:r>
      <w:r w:rsidR="00F331FF" w:rsidRPr="00E91F54">
        <w:rPr>
          <w:rFonts w:ascii="Times New Roman" w:hAnsi="Times New Roman"/>
        </w:rPr>
        <w:t>廢止案場</w:t>
      </w:r>
      <w:r w:rsidR="00991C8C" w:rsidRPr="00E91F54">
        <w:rPr>
          <w:rFonts w:ascii="Times New Roman" w:hAnsi="Times New Roman"/>
        </w:rPr>
        <w:t>之光電設施</w:t>
      </w:r>
      <w:r w:rsidR="00027C11" w:rsidRPr="00E91F54">
        <w:rPr>
          <w:rFonts w:ascii="Times New Roman" w:hAnsi="Times New Roman"/>
        </w:rPr>
        <w:t>是否</w:t>
      </w:r>
      <w:r w:rsidR="00991C8C" w:rsidRPr="00E91F54">
        <w:rPr>
          <w:rFonts w:ascii="Times New Roman" w:hAnsi="Times New Roman"/>
        </w:rPr>
        <w:t>已</w:t>
      </w:r>
      <w:r w:rsidR="00027C11" w:rsidRPr="00E91F54">
        <w:rPr>
          <w:rFonts w:ascii="Times New Roman" w:hAnsi="Times New Roman"/>
        </w:rPr>
        <w:t>確實</w:t>
      </w:r>
      <w:r w:rsidR="00991C8C" w:rsidRPr="00E91F54">
        <w:rPr>
          <w:rFonts w:ascii="Times New Roman" w:hAnsi="Times New Roman"/>
        </w:rPr>
        <w:t>拆除處理</w:t>
      </w:r>
      <w:r w:rsidRPr="00E91F54">
        <w:rPr>
          <w:rFonts w:ascii="Times New Roman" w:hAnsi="Times New Roman" w:hint="eastAsia"/>
        </w:rPr>
        <w:t>之案件勾稽情形</w:t>
      </w:r>
      <w:r w:rsidR="00027C11" w:rsidRPr="00E91F54">
        <w:rPr>
          <w:rFonts w:ascii="Times New Roman" w:hAnsi="Times New Roman"/>
        </w:rPr>
        <w:t>，</w:t>
      </w:r>
      <w:r w:rsidRPr="00E91F54">
        <w:rPr>
          <w:rFonts w:ascii="Times New Roman" w:hAnsi="Times New Roman" w:hint="eastAsia"/>
        </w:rPr>
        <w:t>本院詢據</w:t>
      </w:r>
      <w:r w:rsidR="000D2E54" w:rsidRPr="00E91F54">
        <w:rPr>
          <w:rFonts w:ascii="Times New Roman" w:hAnsi="Times New Roman"/>
        </w:rPr>
        <w:t>農業部</w:t>
      </w:r>
      <w:proofErr w:type="gramStart"/>
      <w:r w:rsidR="000D2E54" w:rsidRPr="00E91F54">
        <w:rPr>
          <w:rFonts w:ascii="Times New Roman" w:hAnsi="Times New Roman"/>
        </w:rPr>
        <w:t>復</w:t>
      </w:r>
      <w:r w:rsidR="000D2E54" w:rsidRPr="00E91F54">
        <w:rPr>
          <w:rFonts w:ascii="Times New Roman" w:hAnsi="Times New Roman"/>
          <w:szCs w:val="32"/>
        </w:rPr>
        <w:t>稱</w:t>
      </w:r>
      <w:r w:rsidR="00DB7E37" w:rsidRPr="00E91F54">
        <w:rPr>
          <w:rFonts w:ascii="Times New Roman" w:hAnsi="Times New Roman"/>
          <w:szCs w:val="32"/>
        </w:rPr>
        <w:t>略</w:t>
      </w:r>
      <w:proofErr w:type="gramEnd"/>
      <w:r w:rsidR="00DB7E37" w:rsidRPr="00E91F54">
        <w:rPr>
          <w:rFonts w:ascii="Times New Roman" w:hAnsi="Times New Roman"/>
          <w:szCs w:val="32"/>
        </w:rPr>
        <w:t>以</w:t>
      </w:r>
      <w:r w:rsidR="000D2E54" w:rsidRPr="00E91F54">
        <w:rPr>
          <w:rFonts w:ascii="Times New Roman" w:hAnsi="Times New Roman"/>
          <w:szCs w:val="32"/>
        </w:rPr>
        <w:t>，農業設施經原核定機關依法廢止其容許使用同意者，係屬違反土地使用管制，應送區域計畫或都市計畫主管機關依區域計畫法或都市計畫法相關規定裁處及拆除其地上物恢復原狀。農業部後續將建議內政部、經濟部及環境</w:t>
      </w:r>
      <w:proofErr w:type="gramStart"/>
      <w:r w:rsidR="000D2E54" w:rsidRPr="00E91F54">
        <w:rPr>
          <w:rFonts w:ascii="Times New Roman" w:hAnsi="Times New Roman"/>
          <w:szCs w:val="32"/>
        </w:rPr>
        <w:t>部就該類案</w:t>
      </w:r>
      <w:proofErr w:type="gramEnd"/>
      <w:r w:rsidR="000D2E54" w:rsidRPr="00E91F54">
        <w:rPr>
          <w:rFonts w:ascii="Times New Roman" w:hAnsi="Times New Roman"/>
          <w:szCs w:val="32"/>
        </w:rPr>
        <w:t>場改善恢復情形併同通知農業主管機關，以利勾稽等語。</w:t>
      </w:r>
      <w:r w:rsidR="00812A16" w:rsidRPr="00E91F54">
        <w:rPr>
          <w:rFonts w:ascii="Times New Roman" w:hAnsi="Times New Roman"/>
          <w:szCs w:val="32"/>
        </w:rPr>
        <w:t>案經</w:t>
      </w:r>
      <w:proofErr w:type="gramStart"/>
      <w:r w:rsidR="00BD4743" w:rsidRPr="00E91F54">
        <w:rPr>
          <w:rFonts w:ascii="Times New Roman" w:hAnsi="Times New Roman"/>
          <w:szCs w:val="32"/>
        </w:rPr>
        <w:lastRenderedPageBreak/>
        <w:t>本院再請</w:t>
      </w:r>
      <w:proofErr w:type="gramEnd"/>
      <w:r w:rsidR="00BD4743" w:rsidRPr="00E91F54">
        <w:rPr>
          <w:rFonts w:ascii="Times New Roman" w:hAnsi="Times New Roman"/>
          <w:szCs w:val="32"/>
        </w:rPr>
        <w:t>經濟部說明，</w:t>
      </w:r>
      <w:r w:rsidR="00BD4743" w:rsidRPr="00E91F54">
        <w:rPr>
          <w:rFonts w:ascii="Times New Roman" w:hAnsi="Times New Roman"/>
          <w:szCs w:val="32"/>
        </w:rPr>
        <w:tab/>
      </w:r>
      <w:r w:rsidR="00BD4743" w:rsidRPr="00E91F54">
        <w:rPr>
          <w:rFonts w:ascii="Times New Roman" w:hAnsi="Times New Roman"/>
          <w:szCs w:val="32"/>
        </w:rPr>
        <w:t>經濟部能源</w:t>
      </w:r>
      <w:proofErr w:type="gramStart"/>
      <w:r w:rsidR="00BD4743" w:rsidRPr="00E91F54">
        <w:rPr>
          <w:rFonts w:ascii="Times New Roman" w:hAnsi="Times New Roman"/>
          <w:szCs w:val="32"/>
        </w:rPr>
        <w:t>署</w:t>
      </w:r>
      <w:r w:rsidR="006433D4" w:rsidRPr="00E91F54">
        <w:rPr>
          <w:rFonts w:ascii="Times New Roman" w:hAnsi="Times New Roman"/>
          <w:szCs w:val="32"/>
        </w:rPr>
        <w:t>復</w:t>
      </w:r>
      <w:proofErr w:type="gramEnd"/>
      <w:r w:rsidR="006433D4" w:rsidRPr="00E91F54">
        <w:rPr>
          <w:rFonts w:ascii="Times New Roman" w:hAnsi="Times New Roman"/>
          <w:szCs w:val="32"/>
        </w:rPr>
        <w:t>稱</w:t>
      </w:r>
      <w:r w:rsidR="00BD4743" w:rsidRPr="00E91F54">
        <w:rPr>
          <w:rFonts w:ascii="Times New Roman" w:hAnsi="Times New Roman"/>
          <w:szCs w:val="32"/>
        </w:rPr>
        <w:t>：「本署</w:t>
      </w:r>
      <w:proofErr w:type="gramStart"/>
      <w:r w:rsidR="00BD4743" w:rsidRPr="00E91F54">
        <w:rPr>
          <w:rFonts w:ascii="Times New Roman" w:hAnsi="Times New Roman"/>
          <w:szCs w:val="32"/>
        </w:rPr>
        <w:t>研</w:t>
      </w:r>
      <w:proofErr w:type="gramEnd"/>
      <w:r w:rsidR="00BD4743" w:rsidRPr="00E91F54">
        <w:rPr>
          <w:rFonts w:ascii="Times New Roman" w:hAnsi="Times New Roman"/>
          <w:szCs w:val="32"/>
        </w:rPr>
        <w:t>議，針對結案存查在案之案場，重新通知地方各該管單位，依相關土地及農業程序辦理清查及裁處事宜。」</w:t>
      </w:r>
      <w:r w:rsidR="00DB7E37" w:rsidRPr="00E91F54">
        <w:rPr>
          <w:rFonts w:ascii="Times New Roman" w:hAnsi="Times New Roman"/>
          <w:szCs w:val="32"/>
        </w:rPr>
        <w:t>等語云云，</w:t>
      </w:r>
      <w:r w:rsidR="00991C8C" w:rsidRPr="00E91F54">
        <w:rPr>
          <w:rFonts w:ascii="Times New Roman" w:hAnsi="Times New Roman"/>
        </w:rPr>
        <w:t>足見對於廢止案場之光電設施是否已確實拆除處理</w:t>
      </w:r>
      <w:r w:rsidR="00D046BE" w:rsidRPr="00E91F54">
        <w:rPr>
          <w:rFonts w:ascii="Times New Roman" w:hAnsi="Times New Roman" w:hint="eastAsia"/>
        </w:rPr>
        <w:t>等情</w:t>
      </w:r>
      <w:r w:rsidR="00991C8C" w:rsidRPr="00E91F54">
        <w:rPr>
          <w:rFonts w:ascii="Times New Roman" w:hAnsi="Times New Roman"/>
        </w:rPr>
        <w:t>，</w:t>
      </w:r>
      <w:r w:rsidR="00D046BE" w:rsidRPr="00E91F54">
        <w:rPr>
          <w:rFonts w:ascii="Times New Roman" w:hAnsi="Times New Roman" w:hint="eastAsia"/>
        </w:rPr>
        <w:t>身為</w:t>
      </w:r>
      <w:proofErr w:type="gramStart"/>
      <w:r w:rsidR="00270822" w:rsidRPr="00E91F54">
        <w:rPr>
          <w:rFonts w:ascii="Times New Roman" w:hAnsi="Times New Roman" w:hint="eastAsia"/>
        </w:rPr>
        <w:t>推動</w:t>
      </w:r>
      <w:r w:rsidR="00D046BE" w:rsidRPr="00E91F54">
        <w:rPr>
          <w:rFonts w:ascii="Times New Roman" w:hAnsi="Times New Roman" w:hint="eastAsia"/>
        </w:rPr>
        <w:t>農電共生</w:t>
      </w:r>
      <w:proofErr w:type="gramEnd"/>
      <w:r w:rsidR="00270822" w:rsidRPr="00E91F54">
        <w:rPr>
          <w:rFonts w:ascii="Times New Roman" w:hAnsi="Times New Roman" w:hint="eastAsia"/>
        </w:rPr>
        <w:t>政策</w:t>
      </w:r>
      <w:r w:rsidR="00D046BE" w:rsidRPr="00E91F54">
        <w:rPr>
          <w:rFonts w:ascii="Times New Roman" w:hAnsi="Times New Roman" w:hint="eastAsia"/>
        </w:rPr>
        <w:t>的主管機關</w:t>
      </w:r>
      <w:r w:rsidR="00DB7E37" w:rsidRPr="00E91F54">
        <w:rPr>
          <w:rFonts w:ascii="Times New Roman" w:hAnsi="Times New Roman"/>
        </w:rPr>
        <w:t>農業部與</w:t>
      </w:r>
      <w:proofErr w:type="gramStart"/>
      <w:r w:rsidR="00DB7E37" w:rsidRPr="00E91F54">
        <w:rPr>
          <w:rFonts w:ascii="Times New Roman" w:hAnsi="Times New Roman"/>
        </w:rPr>
        <w:t>經濟部均</w:t>
      </w:r>
      <w:proofErr w:type="gramEnd"/>
      <w:r w:rsidR="00991C8C" w:rsidRPr="00E91F54">
        <w:rPr>
          <w:rFonts w:ascii="Times New Roman" w:hAnsi="Times New Roman"/>
        </w:rPr>
        <w:t>以「廢止案場回歸土地使用管制規範」為由，</w:t>
      </w:r>
      <w:proofErr w:type="gramStart"/>
      <w:r w:rsidR="00270822" w:rsidRPr="00E91F54">
        <w:rPr>
          <w:rFonts w:ascii="Times New Roman" w:hAnsi="Times New Roman" w:hint="eastAsia"/>
        </w:rPr>
        <w:t>留由地方政</w:t>
      </w:r>
      <w:proofErr w:type="gramEnd"/>
      <w:r w:rsidR="00270822" w:rsidRPr="00E91F54">
        <w:rPr>
          <w:rFonts w:ascii="Times New Roman" w:hAnsi="Times New Roman" w:hint="eastAsia"/>
        </w:rPr>
        <w:t>府善後，</w:t>
      </w:r>
      <w:r w:rsidR="00991C8C" w:rsidRPr="00E91F54">
        <w:rPr>
          <w:rFonts w:ascii="Times New Roman" w:hAnsi="Times New Roman"/>
        </w:rPr>
        <w:t>實則</w:t>
      </w:r>
      <w:r w:rsidR="00DB7E37" w:rsidRPr="00E91F54">
        <w:rPr>
          <w:rFonts w:ascii="Times New Roman" w:hAnsi="Times New Roman"/>
        </w:rPr>
        <w:t>缺乏中央及地方主管機關之</w:t>
      </w:r>
      <w:r w:rsidR="00DB7E37" w:rsidRPr="00E91F54">
        <w:rPr>
          <w:rFonts w:ascii="Times New Roman" w:hAnsi="Times New Roman"/>
          <w:szCs w:val="32"/>
        </w:rPr>
        <w:t>橫向聯繫，</w:t>
      </w:r>
      <w:r w:rsidR="00D046BE" w:rsidRPr="00E91F54">
        <w:rPr>
          <w:rFonts w:ascii="Times New Roman" w:hAnsi="Times New Roman" w:hint="eastAsia"/>
          <w:szCs w:val="32"/>
        </w:rPr>
        <w:t>任由光電廢墟產生，</w:t>
      </w:r>
      <w:r w:rsidR="00DB7E37" w:rsidRPr="00E91F54">
        <w:rPr>
          <w:rFonts w:ascii="Times New Roman" w:hAnsi="Times New Roman"/>
          <w:szCs w:val="32"/>
        </w:rPr>
        <w:t>案場勾稽</w:t>
      </w:r>
      <w:r w:rsidR="00270822" w:rsidRPr="00E91F54">
        <w:rPr>
          <w:rFonts w:ascii="Times New Roman" w:hAnsi="Times New Roman" w:hint="eastAsia"/>
          <w:szCs w:val="32"/>
        </w:rPr>
        <w:t>機制</w:t>
      </w:r>
      <w:r w:rsidR="00D046BE" w:rsidRPr="00E91F54">
        <w:rPr>
          <w:rFonts w:ascii="Times New Roman" w:hAnsi="Times New Roman" w:hint="eastAsia"/>
          <w:szCs w:val="32"/>
        </w:rPr>
        <w:t>亟</w:t>
      </w:r>
      <w:r w:rsidR="00DB7E37" w:rsidRPr="00E91F54">
        <w:rPr>
          <w:rFonts w:ascii="Times New Roman" w:hAnsi="Times New Roman"/>
          <w:szCs w:val="32"/>
        </w:rPr>
        <w:t>待強化。</w:t>
      </w:r>
    </w:p>
    <w:p w:rsidR="00EF790C" w:rsidRPr="00E91F54" w:rsidRDefault="009A234E" w:rsidP="0028384F">
      <w:pPr>
        <w:pStyle w:val="3"/>
        <w:rPr>
          <w:rFonts w:ascii="Times New Roman" w:hAnsi="Times New Roman"/>
          <w:szCs w:val="32"/>
        </w:rPr>
      </w:pPr>
      <w:r w:rsidRPr="00E91F54">
        <w:rPr>
          <w:rFonts w:ascii="Times New Roman" w:hAnsi="Times New Roman" w:hint="eastAsia"/>
          <w:szCs w:val="32"/>
        </w:rPr>
        <w:t>且</w:t>
      </w:r>
      <w:r w:rsidR="00DB7E37" w:rsidRPr="00E91F54">
        <w:rPr>
          <w:rFonts w:ascii="Times New Roman" w:hAnsi="Times New Roman"/>
          <w:szCs w:val="32"/>
        </w:rPr>
        <w:t>查，</w:t>
      </w:r>
      <w:r w:rsidR="00CF2EBB" w:rsidRPr="00E91F54">
        <w:rPr>
          <w:rFonts w:ascii="Times New Roman" w:hAnsi="Times New Roman"/>
          <w:szCs w:val="32"/>
        </w:rPr>
        <w:t>太陽光電發電設備包括太陽光電模組、支撐架、新設頂蓋等構造物，設置者須委託業者拆除後，交由</w:t>
      </w:r>
      <w:proofErr w:type="gramStart"/>
      <w:r w:rsidR="00CF2EBB" w:rsidRPr="00E91F54">
        <w:rPr>
          <w:rFonts w:ascii="Times New Roman" w:hAnsi="Times New Roman"/>
          <w:szCs w:val="32"/>
        </w:rPr>
        <w:t>環境部委辦</w:t>
      </w:r>
      <w:proofErr w:type="gramEnd"/>
      <w:r w:rsidR="00CF2EBB" w:rsidRPr="00E91F54">
        <w:rPr>
          <w:rFonts w:ascii="Times New Roman" w:hAnsi="Times New Roman"/>
          <w:szCs w:val="32"/>
        </w:rPr>
        <w:t>專業廠商分別協助回收處理</w:t>
      </w:r>
      <w:r w:rsidR="00DB7E37" w:rsidRPr="00E91F54">
        <w:rPr>
          <w:rFonts w:ascii="Times New Roman" w:hAnsi="Times New Roman"/>
          <w:szCs w:val="32"/>
        </w:rPr>
        <w:t>。</w:t>
      </w:r>
      <w:r w:rsidRPr="00E91F54">
        <w:rPr>
          <w:rFonts w:ascii="Times New Roman" w:hAnsi="Times New Roman" w:hint="eastAsia"/>
          <w:szCs w:val="32"/>
        </w:rPr>
        <w:t>前開</w:t>
      </w:r>
      <w:proofErr w:type="gramStart"/>
      <w:r w:rsidR="00EF790C" w:rsidRPr="00E91F54">
        <w:rPr>
          <w:rFonts w:ascii="Times New Roman" w:hAnsi="Times New Roman"/>
          <w:szCs w:val="32"/>
        </w:rPr>
        <w:t>臺</w:t>
      </w:r>
      <w:proofErr w:type="gramEnd"/>
      <w:r w:rsidR="00EF790C" w:rsidRPr="00E91F54">
        <w:rPr>
          <w:rFonts w:ascii="Times New Roman" w:hAnsi="Times New Roman"/>
          <w:szCs w:val="32"/>
        </w:rPr>
        <w:t>南市</w:t>
      </w:r>
      <w:r w:rsidRPr="00E91F54">
        <w:rPr>
          <w:rFonts w:ascii="Times New Roman" w:hAnsi="Times New Roman" w:hint="eastAsia"/>
          <w:szCs w:val="32"/>
        </w:rPr>
        <w:t>3</w:t>
      </w:r>
      <w:r w:rsidRPr="00E91F54">
        <w:rPr>
          <w:rFonts w:ascii="Times New Roman" w:hAnsi="Times New Roman" w:hint="eastAsia"/>
          <w:szCs w:val="32"/>
        </w:rPr>
        <w:t>件</w:t>
      </w:r>
      <w:r w:rsidR="00CB780A" w:rsidRPr="00E91F54">
        <w:rPr>
          <w:rFonts w:ascii="Times New Roman" w:hAnsi="Times New Roman"/>
          <w:szCs w:val="32"/>
        </w:rPr>
        <w:t>遭廢止容許使用案場現況</w:t>
      </w:r>
      <w:r w:rsidR="00270822" w:rsidRPr="00E91F54">
        <w:rPr>
          <w:rFonts w:ascii="Times New Roman" w:hAnsi="Times New Roman" w:hint="eastAsia"/>
          <w:szCs w:val="32"/>
        </w:rPr>
        <w:t>（</w:t>
      </w:r>
      <w:r w:rsidR="00270822" w:rsidRPr="00E91F54">
        <w:rPr>
          <w:rFonts w:ascii="Times New Roman" w:hAnsi="Times New Roman" w:hint="eastAsia"/>
          <w:szCs w:val="32"/>
        </w:rPr>
        <w:t>114</w:t>
      </w:r>
      <w:r w:rsidR="00270822" w:rsidRPr="00E91F54">
        <w:rPr>
          <w:rFonts w:ascii="Times New Roman" w:hAnsi="Times New Roman" w:hint="eastAsia"/>
          <w:szCs w:val="32"/>
        </w:rPr>
        <w:t>年</w:t>
      </w:r>
      <w:r w:rsidR="00270822" w:rsidRPr="00E91F54">
        <w:rPr>
          <w:rFonts w:ascii="Times New Roman" w:hAnsi="Times New Roman" w:hint="eastAsia"/>
          <w:szCs w:val="32"/>
        </w:rPr>
        <w:t>3</w:t>
      </w:r>
      <w:r w:rsidR="00270822" w:rsidRPr="00E91F54">
        <w:rPr>
          <w:rFonts w:ascii="Times New Roman" w:hAnsi="Times New Roman" w:hint="eastAsia"/>
          <w:szCs w:val="32"/>
        </w:rPr>
        <w:t>月</w:t>
      </w:r>
      <w:r w:rsidR="00270822" w:rsidRPr="00E91F54">
        <w:rPr>
          <w:rFonts w:ascii="Times New Roman" w:hAnsi="Times New Roman" w:hint="eastAsia"/>
          <w:szCs w:val="32"/>
        </w:rPr>
        <w:t>20</w:t>
      </w:r>
      <w:r w:rsidR="00270822" w:rsidRPr="00E91F54">
        <w:rPr>
          <w:rFonts w:ascii="Times New Roman" w:hAnsi="Times New Roman" w:hint="eastAsia"/>
          <w:szCs w:val="32"/>
        </w:rPr>
        <w:t>日）</w:t>
      </w:r>
      <w:r w:rsidRPr="00E91F54">
        <w:rPr>
          <w:rFonts w:ascii="Times New Roman" w:hAnsi="Times New Roman" w:hint="eastAsia"/>
          <w:szCs w:val="32"/>
        </w:rPr>
        <w:t>仍</w:t>
      </w:r>
      <w:r w:rsidR="00CB780A" w:rsidRPr="00E91F54">
        <w:rPr>
          <w:rFonts w:ascii="Times New Roman" w:hAnsi="Times New Roman"/>
          <w:szCs w:val="32"/>
        </w:rPr>
        <w:t>屬</w:t>
      </w:r>
      <w:r w:rsidR="0028384F" w:rsidRPr="00E91F54">
        <w:rPr>
          <w:rFonts w:ascii="Times New Roman" w:hAnsi="Times New Roman"/>
          <w:szCs w:val="32"/>
        </w:rPr>
        <w:t>違反土地使用管制規定</w:t>
      </w:r>
      <w:r w:rsidR="00CB780A" w:rsidRPr="00E91F54">
        <w:rPr>
          <w:rFonts w:ascii="Times New Roman" w:hAnsi="Times New Roman"/>
          <w:szCs w:val="32"/>
        </w:rPr>
        <w:t>情形</w:t>
      </w:r>
      <w:r w:rsidR="0028384F" w:rsidRPr="00E91F54">
        <w:rPr>
          <w:rFonts w:ascii="Times New Roman" w:hAnsi="Times New Roman"/>
          <w:szCs w:val="32"/>
        </w:rPr>
        <w:t>，故由</w:t>
      </w:r>
      <w:r w:rsidR="006D7C98" w:rsidRPr="00E91F54">
        <w:rPr>
          <w:rFonts w:ascii="Times New Roman" w:hAnsi="Times New Roman"/>
          <w:szCs w:val="32"/>
        </w:rPr>
        <w:t>各區</w:t>
      </w:r>
      <w:r w:rsidR="0028384F" w:rsidRPr="00E91F54">
        <w:rPr>
          <w:rFonts w:ascii="Times New Roman" w:hAnsi="Times New Roman"/>
          <w:szCs w:val="32"/>
        </w:rPr>
        <w:t>公所定期巡查，並將未完成改善情形回報</w:t>
      </w:r>
      <w:r w:rsidR="00CB780A" w:rsidRPr="00E91F54">
        <w:rPr>
          <w:rFonts w:ascii="Times New Roman" w:hAnsi="Times New Roman"/>
          <w:szCs w:val="32"/>
        </w:rPr>
        <w:t>臺南市政府</w:t>
      </w:r>
      <w:r w:rsidR="0028384F" w:rsidRPr="00E91F54">
        <w:rPr>
          <w:rFonts w:ascii="Times New Roman" w:hAnsi="Times New Roman"/>
          <w:szCs w:val="32"/>
        </w:rPr>
        <w:t>地政局及</w:t>
      </w:r>
      <w:r w:rsidR="00DB2B5F" w:rsidRPr="00E91F54">
        <w:rPr>
          <w:rFonts w:ascii="Times New Roman" w:hAnsi="Times New Roman"/>
          <w:szCs w:val="32"/>
        </w:rPr>
        <w:t>都市發展局</w:t>
      </w:r>
      <w:r w:rsidRPr="00E91F54">
        <w:rPr>
          <w:rFonts w:ascii="Times New Roman" w:hAnsi="Times New Roman" w:hint="eastAsia"/>
          <w:szCs w:val="32"/>
        </w:rPr>
        <w:t>，</w:t>
      </w:r>
      <w:r w:rsidR="0028384F" w:rsidRPr="00E91F54">
        <w:rPr>
          <w:rFonts w:ascii="Times New Roman" w:hAnsi="Times New Roman"/>
          <w:szCs w:val="32"/>
        </w:rPr>
        <w:t>分別依區域計畫法及都市計畫法連續</w:t>
      </w:r>
      <w:proofErr w:type="gramStart"/>
      <w:r w:rsidR="0028384F" w:rsidRPr="00E91F54">
        <w:rPr>
          <w:rFonts w:ascii="Times New Roman" w:hAnsi="Times New Roman"/>
          <w:szCs w:val="32"/>
        </w:rPr>
        <w:t>裁罰至改</w:t>
      </w:r>
      <w:proofErr w:type="gramEnd"/>
      <w:r w:rsidR="0028384F" w:rsidRPr="00E91F54">
        <w:rPr>
          <w:rFonts w:ascii="Times New Roman" w:hAnsi="Times New Roman"/>
          <w:szCs w:val="32"/>
        </w:rPr>
        <w:t>善為止</w:t>
      </w:r>
      <w:r w:rsidR="00FC5C03" w:rsidRPr="00E91F54">
        <w:rPr>
          <w:rStyle w:val="aff0"/>
        </w:rPr>
        <w:footnoteReference w:id="11"/>
      </w:r>
      <w:r w:rsidR="001868A2" w:rsidRPr="00E91F54">
        <w:rPr>
          <w:rFonts w:ascii="Times New Roman" w:hAnsi="Times New Roman"/>
          <w:szCs w:val="32"/>
        </w:rPr>
        <w:t>，</w:t>
      </w:r>
      <w:r w:rsidR="00F26251" w:rsidRPr="00E91F54">
        <w:rPr>
          <w:rFonts w:ascii="Times New Roman" w:hAnsi="Times New Roman"/>
          <w:szCs w:val="32"/>
        </w:rPr>
        <w:t>迄</w:t>
      </w:r>
      <w:r w:rsidR="0023094E" w:rsidRPr="00E91F54">
        <w:rPr>
          <w:rFonts w:ascii="Times New Roman" w:hAnsi="Times New Roman"/>
          <w:szCs w:val="32"/>
        </w:rPr>
        <w:t>未</w:t>
      </w:r>
      <w:r w:rsidR="001868A2" w:rsidRPr="00E91F54">
        <w:rPr>
          <w:rFonts w:ascii="Times New Roman" w:hAnsi="Times New Roman"/>
          <w:szCs w:val="32"/>
        </w:rPr>
        <w:t>完成</w:t>
      </w:r>
      <w:r w:rsidR="0023094E" w:rsidRPr="00E91F54">
        <w:rPr>
          <w:rFonts w:ascii="Times New Roman" w:hAnsi="Times New Roman"/>
          <w:szCs w:val="32"/>
        </w:rPr>
        <w:t>改善</w:t>
      </w:r>
      <w:r w:rsidR="00CB780A" w:rsidRPr="00E91F54">
        <w:rPr>
          <w:rFonts w:ascii="Times New Roman" w:hAnsi="Times New Roman"/>
          <w:szCs w:val="32"/>
        </w:rPr>
        <w:t>。由</w:t>
      </w:r>
      <w:r w:rsidRPr="00E91F54">
        <w:rPr>
          <w:rFonts w:ascii="Times New Roman" w:hAnsi="Times New Roman" w:hint="eastAsia"/>
          <w:szCs w:val="32"/>
        </w:rPr>
        <w:t>此</w:t>
      </w:r>
      <w:r w:rsidR="00CB780A" w:rsidRPr="00E91F54">
        <w:rPr>
          <w:rFonts w:ascii="Times New Roman" w:hAnsi="Times New Roman"/>
          <w:szCs w:val="32"/>
        </w:rPr>
        <w:t>可知，遭廢止後案場之農地如欲恢復原狀，</w:t>
      </w:r>
      <w:proofErr w:type="gramStart"/>
      <w:r w:rsidR="00FC5D1E" w:rsidRPr="00E91F54">
        <w:rPr>
          <w:rFonts w:ascii="Times New Roman" w:hAnsi="Times New Roman"/>
          <w:szCs w:val="32"/>
        </w:rPr>
        <w:t>曠</w:t>
      </w:r>
      <w:proofErr w:type="gramEnd"/>
      <w:r w:rsidR="00FC5D1E" w:rsidRPr="00E91F54">
        <w:rPr>
          <w:rFonts w:ascii="Times New Roman" w:hAnsi="Times New Roman"/>
          <w:szCs w:val="32"/>
        </w:rPr>
        <w:t>日廢時</w:t>
      </w:r>
      <w:r w:rsidR="003A4287" w:rsidRPr="00E91F54">
        <w:rPr>
          <w:rFonts w:ascii="Times New Roman" w:hAnsi="Times New Roman" w:hint="eastAsia"/>
          <w:szCs w:val="32"/>
        </w:rPr>
        <w:t>、實難預期</w:t>
      </w:r>
      <w:r w:rsidR="00FC5D1E" w:rsidRPr="00E91F54">
        <w:rPr>
          <w:rFonts w:ascii="Times New Roman" w:hAnsi="Times New Roman"/>
          <w:szCs w:val="32"/>
        </w:rPr>
        <w:t>，</w:t>
      </w:r>
      <w:r w:rsidR="00CA3976" w:rsidRPr="00E91F54">
        <w:rPr>
          <w:rFonts w:ascii="Times New Roman" w:hAnsi="Times New Roman"/>
          <w:szCs w:val="32"/>
        </w:rPr>
        <w:t>除</w:t>
      </w:r>
      <w:r w:rsidR="00FC5C03" w:rsidRPr="00E91F54">
        <w:rPr>
          <w:rFonts w:ascii="Times New Roman" w:hAnsi="Times New Roman"/>
        </w:rPr>
        <w:t>衍生</w:t>
      </w:r>
      <w:r w:rsidR="00CB780A" w:rsidRPr="00E91F54">
        <w:rPr>
          <w:rFonts w:ascii="Times New Roman" w:hAnsi="Times New Roman"/>
        </w:rPr>
        <w:t>不利農業生產</w:t>
      </w:r>
      <w:r w:rsidR="00FC5C03" w:rsidRPr="00E91F54">
        <w:rPr>
          <w:rFonts w:ascii="Times New Roman" w:hAnsi="Times New Roman"/>
        </w:rPr>
        <w:t>隱憂，</w:t>
      </w:r>
      <w:r w:rsidR="00270822" w:rsidRPr="00E91F54">
        <w:rPr>
          <w:rFonts w:ascii="Times New Roman" w:hAnsi="Times New Roman" w:hint="eastAsia"/>
        </w:rPr>
        <w:t>亦</w:t>
      </w:r>
      <w:proofErr w:type="gramStart"/>
      <w:r w:rsidR="00C75E7D" w:rsidRPr="00E91F54">
        <w:rPr>
          <w:rFonts w:ascii="Times New Roman" w:hAnsi="Times New Roman"/>
          <w:szCs w:val="32"/>
        </w:rPr>
        <w:t>凸顯</w:t>
      </w:r>
      <w:proofErr w:type="gramEnd"/>
      <w:r w:rsidR="003A4287" w:rsidRPr="00E91F54">
        <w:rPr>
          <w:rFonts w:ascii="Times New Roman" w:hAnsi="Times New Roman"/>
          <w:szCs w:val="32"/>
        </w:rPr>
        <w:t>倘</w:t>
      </w:r>
      <w:r w:rsidR="00FC5D1E" w:rsidRPr="00E91F54">
        <w:rPr>
          <w:rFonts w:ascii="Times New Roman" w:hAnsi="Times New Roman"/>
          <w:szCs w:val="32"/>
        </w:rPr>
        <w:t>太陽光電發電設備</w:t>
      </w:r>
      <w:r w:rsidR="0023094E" w:rsidRPr="00E91F54">
        <w:rPr>
          <w:rFonts w:ascii="Times New Roman" w:hAnsi="Times New Roman"/>
          <w:szCs w:val="32"/>
        </w:rPr>
        <w:t>設置者非</w:t>
      </w:r>
      <w:r w:rsidR="003A4287" w:rsidRPr="00E91F54">
        <w:rPr>
          <w:rFonts w:ascii="Times New Roman" w:hAnsi="Times New Roman" w:hint="eastAsia"/>
          <w:szCs w:val="32"/>
        </w:rPr>
        <w:t>為</w:t>
      </w:r>
      <w:r w:rsidR="0023094E" w:rsidRPr="00E91F54">
        <w:rPr>
          <w:rFonts w:ascii="Times New Roman" w:hAnsi="Times New Roman"/>
          <w:szCs w:val="32"/>
        </w:rPr>
        <w:t>案場土地或建物所有權人</w:t>
      </w:r>
      <w:r w:rsidR="00FC5D1E" w:rsidRPr="00E91F54">
        <w:rPr>
          <w:rFonts w:ascii="Times New Roman" w:hAnsi="Times New Roman"/>
          <w:szCs w:val="32"/>
        </w:rPr>
        <w:t>時</w:t>
      </w:r>
      <w:r w:rsidR="0023094E" w:rsidRPr="00E91F54">
        <w:rPr>
          <w:rFonts w:ascii="Times New Roman" w:hAnsi="Times New Roman"/>
          <w:szCs w:val="32"/>
        </w:rPr>
        <w:t>，</w:t>
      </w:r>
      <w:r w:rsidR="00FC5D1E" w:rsidRPr="00E91F54">
        <w:rPr>
          <w:rFonts w:ascii="Times New Roman" w:hAnsi="Times New Roman"/>
          <w:szCs w:val="32"/>
        </w:rPr>
        <w:t>存在</w:t>
      </w:r>
      <w:r w:rsidR="00CB780A" w:rsidRPr="00E91F54">
        <w:rPr>
          <w:rFonts w:ascii="Times New Roman" w:hAnsi="Times New Roman"/>
          <w:szCs w:val="32"/>
        </w:rPr>
        <w:t>案場光電設備清理與恢復農地原狀等</w:t>
      </w:r>
      <w:r w:rsidR="00FC5C03" w:rsidRPr="00E91F54">
        <w:rPr>
          <w:rFonts w:ascii="Times New Roman" w:hAnsi="Times New Roman"/>
          <w:szCs w:val="32"/>
        </w:rPr>
        <w:t>權責</w:t>
      </w:r>
      <w:r w:rsidR="00C75E7D" w:rsidRPr="00E91F54">
        <w:rPr>
          <w:rFonts w:ascii="Times New Roman" w:hAnsi="Times New Roman"/>
          <w:szCs w:val="32"/>
        </w:rPr>
        <w:t>不清之問題，導致非法棄置</w:t>
      </w:r>
      <w:r w:rsidR="0023094E" w:rsidRPr="00E91F54">
        <w:rPr>
          <w:rFonts w:ascii="Times New Roman" w:hAnsi="Times New Roman"/>
          <w:szCs w:val="32"/>
        </w:rPr>
        <w:t>之</w:t>
      </w:r>
      <w:r w:rsidR="00C75E7D" w:rsidRPr="00E91F54">
        <w:rPr>
          <w:rFonts w:ascii="Times New Roman" w:hAnsi="Times New Roman"/>
          <w:szCs w:val="32"/>
        </w:rPr>
        <w:t>風險</w:t>
      </w:r>
      <w:r w:rsidR="003A4287" w:rsidRPr="00E91F54">
        <w:rPr>
          <w:rFonts w:ascii="Times New Roman" w:hAnsi="Times New Roman" w:hint="eastAsia"/>
          <w:szCs w:val="32"/>
        </w:rPr>
        <w:t>遽增</w:t>
      </w:r>
      <w:r w:rsidR="00CB780A" w:rsidRPr="00E91F54">
        <w:rPr>
          <w:rFonts w:ascii="Times New Roman" w:hAnsi="Times New Roman"/>
          <w:szCs w:val="32"/>
        </w:rPr>
        <w:t>。</w:t>
      </w:r>
      <w:proofErr w:type="gramStart"/>
      <w:r w:rsidR="003A4287" w:rsidRPr="00E91F54">
        <w:rPr>
          <w:rFonts w:ascii="Times New Roman" w:hAnsi="Times New Roman" w:hint="eastAsia"/>
          <w:szCs w:val="32"/>
        </w:rPr>
        <w:t>爰</w:t>
      </w:r>
      <w:proofErr w:type="gramEnd"/>
      <w:r w:rsidR="00C75E7D" w:rsidRPr="00E91F54">
        <w:rPr>
          <w:rFonts w:ascii="Times New Roman" w:hAnsi="Times New Roman"/>
          <w:szCs w:val="32"/>
        </w:rPr>
        <w:t>為避免</w:t>
      </w:r>
      <w:r w:rsidR="0023094E" w:rsidRPr="00E91F54">
        <w:rPr>
          <w:rFonts w:ascii="Times New Roman" w:hAnsi="Times New Roman"/>
          <w:szCs w:val="32"/>
        </w:rPr>
        <w:t>衍生環境問題</w:t>
      </w:r>
      <w:r w:rsidR="00C75E7D" w:rsidRPr="00E91F54">
        <w:rPr>
          <w:rFonts w:ascii="Times New Roman" w:hAnsi="Times New Roman"/>
          <w:szCs w:val="32"/>
        </w:rPr>
        <w:t>，</w:t>
      </w:r>
      <w:r w:rsidR="00CB780A" w:rsidRPr="00E91F54">
        <w:rPr>
          <w:rFonts w:ascii="Times New Roman" w:hAnsi="Times New Roman"/>
          <w:szCs w:val="32"/>
        </w:rPr>
        <w:t>經濟部與農業部</w:t>
      </w:r>
      <w:r w:rsidR="00C75E7D" w:rsidRPr="00E91F54">
        <w:rPr>
          <w:rFonts w:ascii="Times New Roman" w:hAnsi="Times New Roman"/>
          <w:szCs w:val="32"/>
        </w:rPr>
        <w:t>允應</w:t>
      </w:r>
      <w:r w:rsidR="00CB780A" w:rsidRPr="00E91F54">
        <w:rPr>
          <w:rFonts w:ascii="Times New Roman" w:hAnsi="Times New Roman"/>
          <w:szCs w:val="32"/>
        </w:rPr>
        <w:t>共同</w:t>
      </w:r>
      <w:r w:rsidR="00245D66" w:rsidRPr="00E91F54">
        <w:rPr>
          <w:rFonts w:ascii="Times New Roman" w:hAnsi="Times New Roman"/>
          <w:szCs w:val="32"/>
        </w:rPr>
        <w:t>檢視</w:t>
      </w:r>
      <w:r w:rsidR="005C459F" w:rsidRPr="00E91F54">
        <w:rPr>
          <w:rFonts w:ascii="Times New Roman" w:hAnsi="Times New Roman" w:hint="eastAsia"/>
          <w:szCs w:val="32"/>
        </w:rPr>
        <w:t>，</w:t>
      </w:r>
      <w:proofErr w:type="gramStart"/>
      <w:r w:rsidR="005C459F" w:rsidRPr="00E91F54">
        <w:rPr>
          <w:rFonts w:ascii="Times New Roman" w:hAnsi="Times New Roman" w:hint="eastAsia"/>
          <w:szCs w:val="32"/>
        </w:rPr>
        <w:t>農電共</w:t>
      </w:r>
      <w:proofErr w:type="gramEnd"/>
      <w:r w:rsidR="005C459F" w:rsidRPr="00E91F54">
        <w:rPr>
          <w:rFonts w:ascii="Times New Roman" w:hAnsi="Times New Roman" w:hint="eastAsia"/>
          <w:szCs w:val="32"/>
        </w:rPr>
        <w:t>生案場</w:t>
      </w:r>
      <w:r w:rsidR="00245D66" w:rsidRPr="00E91F54">
        <w:rPr>
          <w:rFonts w:ascii="Times New Roman" w:hAnsi="Times New Roman"/>
          <w:szCs w:val="32"/>
        </w:rPr>
        <w:t>太陽光電設施屆期除役或拆除等後續處理機制</w:t>
      </w:r>
      <w:r w:rsidR="00C75E7D" w:rsidRPr="00E91F54">
        <w:rPr>
          <w:rFonts w:ascii="Times New Roman" w:hAnsi="Times New Roman"/>
          <w:szCs w:val="32"/>
        </w:rPr>
        <w:t>，</w:t>
      </w:r>
      <w:r w:rsidR="00CB780A" w:rsidRPr="00E91F54">
        <w:rPr>
          <w:rFonts w:ascii="Times New Roman" w:hAnsi="Times New Roman"/>
          <w:szCs w:val="32"/>
        </w:rPr>
        <w:t>促請太陽光電業者</w:t>
      </w:r>
      <w:proofErr w:type="gramStart"/>
      <w:r w:rsidR="00CB780A" w:rsidRPr="00E91F54">
        <w:rPr>
          <w:rFonts w:ascii="Times New Roman" w:hAnsi="Times New Roman"/>
          <w:szCs w:val="32"/>
        </w:rPr>
        <w:t>善盡</w:t>
      </w:r>
      <w:r w:rsidR="00EE4B01" w:rsidRPr="00E91F54">
        <w:rPr>
          <w:rFonts w:ascii="Times New Roman" w:hAnsi="Times New Roman"/>
          <w:szCs w:val="32"/>
        </w:rPr>
        <w:t>永</w:t>
      </w:r>
      <w:proofErr w:type="gramEnd"/>
      <w:r w:rsidR="00EE4B01" w:rsidRPr="00E91F54">
        <w:rPr>
          <w:rFonts w:ascii="Times New Roman" w:hAnsi="Times New Roman"/>
          <w:szCs w:val="32"/>
        </w:rPr>
        <w:t>續能源之</w:t>
      </w:r>
      <w:r w:rsidR="00EE4B01" w:rsidRPr="00E91F54">
        <w:rPr>
          <w:rFonts w:ascii="Times New Roman" w:hAnsi="Times New Roman"/>
          <w:szCs w:val="32"/>
        </w:rPr>
        <w:lastRenderedPageBreak/>
        <w:t>環境責任，</w:t>
      </w:r>
      <w:r w:rsidR="005C459F" w:rsidRPr="00E91F54">
        <w:rPr>
          <w:rFonts w:ascii="Times New Roman" w:hAnsi="Times New Roman" w:hint="eastAsia"/>
          <w:szCs w:val="32"/>
        </w:rPr>
        <w:t>以</w:t>
      </w:r>
      <w:r w:rsidR="00EE4B01" w:rsidRPr="00E91F54">
        <w:rPr>
          <w:rFonts w:ascii="Times New Roman" w:hAnsi="Times New Roman"/>
          <w:szCs w:val="32"/>
        </w:rPr>
        <w:t>符</w:t>
      </w:r>
      <w:proofErr w:type="gramStart"/>
      <w:r w:rsidR="00C75E7D" w:rsidRPr="00E91F54">
        <w:rPr>
          <w:rFonts w:ascii="Times New Roman" w:hAnsi="Times New Roman"/>
          <w:szCs w:val="32"/>
        </w:rPr>
        <w:t>我國綠能政</w:t>
      </w:r>
      <w:proofErr w:type="gramEnd"/>
      <w:r w:rsidR="00C75E7D" w:rsidRPr="00E91F54">
        <w:rPr>
          <w:rFonts w:ascii="Times New Roman" w:hAnsi="Times New Roman"/>
          <w:szCs w:val="32"/>
        </w:rPr>
        <w:t>策宗旨。</w:t>
      </w:r>
    </w:p>
    <w:p w:rsidR="003102FD" w:rsidRPr="00E91F54" w:rsidRDefault="001A7935" w:rsidP="00D3055A">
      <w:pPr>
        <w:pStyle w:val="3"/>
        <w:rPr>
          <w:rFonts w:ascii="Times New Roman" w:hAnsi="Times New Roman"/>
        </w:rPr>
      </w:pPr>
      <w:r w:rsidRPr="00E91F54">
        <w:rPr>
          <w:rFonts w:ascii="Times New Roman" w:hAnsi="Times New Roman"/>
        </w:rPr>
        <w:t>再查</w:t>
      </w:r>
      <w:r w:rsidR="0071022B" w:rsidRPr="00E91F54">
        <w:rPr>
          <w:rFonts w:ascii="Times New Roman" w:hAnsi="Times New Roman"/>
        </w:rPr>
        <w:t>，</w:t>
      </w:r>
      <w:r w:rsidR="009A222C" w:rsidRPr="00E91F54">
        <w:rPr>
          <w:rFonts w:ascii="Times New Roman" w:hAnsi="Times New Roman"/>
        </w:rPr>
        <w:t>太陽光電案場</w:t>
      </w:r>
      <w:proofErr w:type="gramStart"/>
      <w:r w:rsidR="009A222C" w:rsidRPr="00E91F54">
        <w:rPr>
          <w:rFonts w:ascii="Times New Roman" w:hAnsi="Times New Roman"/>
        </w:rPr>
        <w:t>遺留物屬申請人</w:t>
      </w:r>
      <w:proofErr w:type="gramEnd"/>
      <w:r w:rsidR="009A222C" w:rsidRPr="00E91F54">
        <w:rPr>
          <w:rFonts w:ascii="Times New Roman" w:hAnsi="Times New Roman"/>
        </w:rPr>
        <w:t>所有，如經拋棄，符合廢棄物清理法第</w:t>
      </w:r>
      <w:r w:rsidR="009A222C" w:rsidRPr="00E91F54">
        <w:rPr>
          <w:rFonts w:ascii="Times New Roman" w:hAnsi="Times New Roman"/>
        </w:rPr>
        <w:t>2</w:t>
      </w:r>
      <w:r w:rsidR="009A222C" w:rsidRPr="00E91F54">
        <w:rPr>
          <w:rFonts w:ascii="Times New Roman" w:hAnsi="Times New Roman"/>
        </w:rPr>
        <w:t>條</w:t>
      </w:r>
      <w:r w:rsidR="00DB7E37" w:rsidRPr="00E91F54">
        <w:rPr>
          <w:rFonts w:ascii="Times New Roman" w:hAnsi="Times New Roman"/>
        </w:rPr>
        <w:t>所定「</w:t>
      </w:r>
      <w:r w:rsidR="009A222C" w:rsidRPr="00E91F54">
        <w:rPr>
          <w:rFonts w:ascii="Times New Roman" w:hAnsi="Times New Roman"/>
        </w:rPr>
        <w:t>廢棄物</w:t>
      </w:r>
      <w:r w:rsidR="00DB7E37" w:rsidRPr="00E91F54">
        <w:rPr>
          <w:rFonts w:ascii="Times New Roman" w:hAnsi="Times New Roman"/>
        </w:rPr>
        <w:t>」定義</w:t>
      </w:r>
      <w:r w:rsidR="009A222C" w:rsidRPr="00E91F54">
        <w:rPr>
          <w:rFonts w:ascii="Times New Roman" w:hAnsi="Times New Roman"/>
        </w:rPr>
        <w:t>，</w:t>
      </w:r>
      <w:proofErr w:type="gramStart"/>
      <w:r w:rsidR="009A222C" w:rsidRPr="00E91F54">
        <w:rPr>
          <w:rFonts w:ascii="Times New Roman" w:hAnsi="Times New Roman"/>
        </w:rPr>
        <w:t>事業產源</w:t>
      </w:r>
      <w:proofErr w:type="gramEnd"/>
      <w:r w:rsidR="009A222C" w:rsidRPr="00E91F54">
        <w:rPr>
          <w:rFonts w:ascii="Times New Roman" w:hAnsi="Times New Roman"/>
        </w:rPr>
        <w:t>應依廢棄物清理法第</w:t>
      </w:r>
      <w:r w:rsidR="009A222C" w:rsidRPr="00E91F54">
        <w:rPr>
          <w:rFonts w:ascii="Times New Roman" w:hAnsi="Times New Roman"/>
        </w:rPr>
        <w:t>28</w:t>
      </w:r>
      <w:r w:rsidR="009A222C" w:rsidRPr="00E91F54">
        <w:rPr>
          <w:rFonts w:ascii="Times New Roman" w:hAnsi="Times New Roman"/>
        </w:rPr>
        <w:t>條規定</w:t>
      </w:r>
      <w:r w:rsidR="003A4287" w:rsidRPr="00E91F54">
        <w:rPr>
          <w:rFonts w:ascii="Times New Roman" w:hAnsi="Times New Roman" w:hint="eastAsia"/>
        </w:rPr>
        <w:t>予以</w:t>
      </w:r>
      <w:r w:rsidR="009A222C" w:rsidRPr="00E91F54">
        <w:rPr>
          <w:rFonts w:ascii="Times New Roman" w:hAnsi="Times New Roman"/>
        </w:rPr>
        <w:t>清理，廢太陽能光電模組屬事業廢棄物之一（廢棄物代碼為</w:t>
      </w:r>
      <w:r w:rsidR="009A222C" w:rsidRPr="00E91F54">
        <w:rPr>
          <w:rFonts w:ascii="Times New Roman" w:hAnsi="Times New Roman"/>
        </w:rPr>
        <w:t>D-2528</w:t>
      </w:r>
      <w:r w:rsidR="009A222C" w:rsidRPr="00E91F54">
        <w:rPr>
          <w:rFonts w:ascii="Times New Roman" w:hAnsi="Times New Roman"/>
        </w:rPr>
        <w:t>），事業有其應負</w:t>
      </w:r>
      <w:proofErr w:type="gramStart"/>
      <w:r w:rsidR="009A222C" w:rsidRPr="00E91F54">
        <w:rPr>
          <w:rFonts w:ascii="Times New Roman" w:hAnsi="Times New Roman"/>
        </w:rPr>
        <w:t>之產源責</w:t>
      </w:r>
      <w:proofErr w:type="gramEnd"/>
      <w:r w:rsidR="009A222C" w:rsidRPr="00E91F54">
        <w:rPr>
          <w:rFonts w:ascii="Times New Roman" w:hAnsi="Times New Roman"/>
        </w:rPr>
        <w:t>任。設置者應洽合格廠商協助回收、清除及處理事宜，違規排</w:t>
      </w:r>
      <w:r w:rsidR="003C3032" w:rsidRPr="00E91F54">
        <w:rPr>
          <w:rFonts w:ascii="Times New Roman" w:hAnsi="Times New Roman" w:hint="eastAsia"/>
        </w:rPr>
        <w:t>出</w:t>
      </w:r>
      <w:r w:rsidR="009A222C" w:rsidRPr="00E91F54">
        <w:rPr>
          <w:rFonts w:ascii="Times New Roman" w:hAnsi="Times New Roman"/>
        </w:rPr>
        <w:t>者，將由環境保護主管機關依廢棄物清理法規定處罰。</w:t>
      </w:r>
      <w:r w:rsidR="003102FD" w:rsidRPr="00E91F54">
        <w:rPr>
          <w:rFonts w:ascii="Times New Roman" w:hAnsi="Times New Roman"/>
        </w:rPr>
        <w:t>108</w:t>
      </w:r>
      <w:r w:rsidR="003102FD" w:rsidRPr="00E91F54">
        <w:rPr>
          <w:rFonts w:ascii="Times New Roman" w:hAnsi="Times New Roman"/>
        </w:rPr>
        <w:t>年起經濟部能源署已向事業單位（</w:t>
      </w:r>
      <w:r w:rsidRPr="00E91F54">
        <w:rPr>
          <w:rFonts w:ascii="Times New Roman" w:hAnsi="Times New Roman"/>
        </w:rPr>
        <w:t>於本案即光電</w:t>
      </w:r>
      <w:r w:rsidR="003102FD" w:rsidRPr="00E91F54">
        <w:rPr>
          <w:rFonts w:ascii="Times New Roman" w:hAnsi="Times New Roman"/>
        </w:rPr>
        <w:t>設備設置者）預收廢棄物處理費（即模組回收費用），對於無預繳回收處理費之事業，亦應遵從廢棄物清除處理法規定。</w:t>
      </w:r>
      <w:proofErr w:type="gramStart"/>
      <w:r w:rsidR="008009F2" w:rsidRPr="00E91F54">
        <w:rPr>
          <w:rFonts w:ascii="Times New Roman" w:hAnsi="Times New Roman"/>
        </w:rPr>
        <w:t>查據經濟部</w:t>
      </w:r>
      <w:proofErr w:type="gramEnd"/>
      <w:r w:rsidR="008009F2" w:rsidRPr="00E91F54">
        <w:rPr>
          <w:rFonts w:ascii="Times New Roman" w:hAnsi="Times New Roman"/>
        </w:rPr>
        <w:t>能源署預估，</w:t>
      </w:r>
      <w:proofErr w:type="gramStart"/>
      <w:r w:rsidR="008009F2" w:rsidRPr="00E91F54">
        <w:rPr>
          <w:rFonts w:ascii="Times New Roman" w:hAnsi="Times New Roman"/>
        </w:rPr>
        <w:t>10</w:t>
      </w:r>
      <w:proofErr w:type="gramEnd"/>
      <w:r w:rsidR="008009F2" w:rsidRPr="00E91F54">
        <w:rPr>
          <w:rFonts w:ascii="Times New Roman" w:hAnsi="Times New Roman"/>
        </w:rPr>
        <w:t>8</w:t>
      </w:r>
      <w:r w:rsidR="008009F2" w:rsidRPr="00E91F54">
        <w:rPr>
          <w:rFonts w:ascii="Times New Roman" w:hAnsi="Times New Roman"/>
        </w:rPr>
        <w:t>年度所設置太陽光電板模組將於使用年限</w:t>
      </w:r>
      <w:r w:rsidR="008009F2" w:rsidRPr="00E91F54">
        <w:rPr>
          <w:rFonts w:ascii="Times New Roman" w:hAnsi="Times New Roman"/>
        </w:rPr>
        <w:t>20</w:t>
      </w:r>
      <w:r w:rsidR="008009F2" w:rsidRPr="00E91F54">
        <w:rPr>
          <w:rFonts w:ascii="Times New Roman" w:hAnsi="Times New Roman"/>
        </w:rPr>
        <w:t>年後，即</w:t>
      </w:r>
      <w:r w:rsidR="008009F2" w:rsidRPr="00E91F54">
        <w:rPr>
          <w:rFonts w:ascii="Times New Roman" w:hAnsi="Times New Roman"/>
        </w:rPr>
        <w:t>128</w:t>
      </w:r>
      <w:r w:rsidR="008009F2" w:rsidRPr="00E91F54">
        <w:rPr>
          <w:rFonts w:ascii="Times New Roman" w:hAnsi="Times New Roman"/>
        </w:rPr>
        <w:t>年排出，回收設置量約為</w:t>
      </w:r>
      <w:r w:rsidR="008009F2" w:rsidRPr="00E91F54">
        <w:rPr>
          <w:rFonts w:ascii="Times New Roman" w:hAnsi="Times New Roman"/>
        </w:rPr>
        <w:t>1</w:t>
      </w:r>
      <w:r w:rsidR="00270822" w:rsidRPr="00E91F54">
        <w:rPr>
          <w:rFonts w:ascii="Times New Roman" w:hAnsi="Times New Roman"/>
        </w:rPr>
        <w:t>,</w:t>
      </w:r>
      <w:r w:rsidR="008009F2" w:rsidRPr="00E91F54">
        <w:rPr>
          <w:rFonts w:ascii="Times New Roman" w:hAnsi="Times New Roman"/>
        </w:rPr>
        <w:t>411.42MW</w:t>
      </w:r>
      <w:r w:rsidR="008009F2" w:rsidRPr="00E91F54">
        <w:rPr>
          <w:rFonts w:ascii="Times New Roman" w:hAnsi="Times New Roman"/>
        </w:rPr>
        <w:t>，廢棄物約</w:t>
      </w:r>
      <w:r w:rsidR="008009F2" w:rsidRPr="00E91F54">
        <w:rPr>
          <w:rFonts w:ascii="Times New Roman" w:hAnsi="Times New Roman"/>
        </w:rPr>
        <w:t>9</w:t>
      </w:r>
      <w:r w:rsidR="008009F2" w:rsidRPr="00E91F54">
        <w:rPr>
          <w:rFonts w:ascii="Times New Roman" w:hAnsi="Times New Roman"/>
        </w:rPr>
        <w:t>萬</w:t>
      </w:r>
      <w:r w:rsidR="008009F2" w:rsidRPr="00E91F54">
        <w:rPr>
          <w:rFonts w:ascii="Times New Roman" w:hAnsi="Times New Roman"/>
        </w:rPr>
        <w:t>4</w:t>
      </w:r>
      <w:r w:rsidR="008009F2" w:rsidRPr="00E91F54">
        <w:rPr>
          <w:rFonts w:ascii="Times New Roman" w:hAnsi="Times New Roman"/>
        </w:rPr>
        <w:t>千公噸</w:t>
      </w:r>
      <w:r w:rsidR="00010EA6" w:rsidRPr="00E91F54">
        <w:rPr>
          <w:rStyle w:val="aff0"/>
        </w:rPr>
        <w:footnoteReference w:id="12"/>
      </w:r>
      <w:r w:rsidR="008009F2" w:rsidRPr="00E91F54">
        <w:rPr>
          <w:rFonts w:ascii="Times New Roman" w:hAnsi="Times New Roman"/>
        </w:rPr>
        <w:t>；環境</w:t>
      </w:r>
      <w:proofErr w:type="gramStart"/>
      <w:r w:rsidR="008009F2" w:rsidRPr="00E91F54">
        <w:rPr>
          <w:rFonts w:ascii="Times New Roman" w:hAnsi="Times New Roman"/>
        </w:rPr>
        <w:t>部資循署</w:t>
      </w:r>
      <w:proofErr w:type="gramEnd"/>
      <w:r w:rsidR="008009F2" w:rsidRPr="00E91F54">
        <w:rPr>
          <w:rFonts w:ascii="Times New Roman" w:hAnsi="Times New Roman"/>
        </w:rPr>
        <w:t>則預估廢棄物約</w:t>
      </w:r>
      <w:r w:rsidR="008009F2" w:rsidRPr="00E91F54">
        <w:rPr>
          <w:rFonts w:ascii="Times New Roman" w:hAnsi="Times New Roman"/>
        </w:rPr>
        <w:t>10</w:t>
      </w:r>
      <w:r w:rsidR="008009F2" w:rsidRPr="00E91F54">
        <w:rPr>
          <w:rFonts w:ascii="Times New Roman" w:hAnsi="Times New Roman"/>
        </w:rPr>
        <w:t>萬公噸</w:t>
      </w:r>
      <w:r w:rsidR="0081502F" w:rsidRPr="00E91F54">
        <w:rPr>
          <w:rStyle w:val="aff0"/>
        </w:rPr>
        <w:footnoteReference w:id="13"/>
      </w:r>
      <w:r w:rsidR="008009F2" w:rsidRPr="00E91F54">
        <w:rPr>
          <w:rFonts w:ascii="Times New Roman" w:hAnsi="Times New Roman"/>
        </w:rPr>
        <w:t>。</w:t>
      </w:r>
      <w:proofErr w:type="gramStart"/>
      <w:r w:rsidRPr="00E91F54">
        <w:rPr>
          <w:rFonts w:ascii="Times New Roman" w:hAnsi="Times New Roman"/>
        </w:rPr>
        <w:t>次據環境部資循署</w:t>
      </w:r>
      <w:proofErr w:type="gramEnd"/>
      <w:r w:rsidR="008009F2" w:rsidRPr="00E91F54">
        <w:rPr>
          <w:rFonts w:ascii="Times New Roman" w:hAnsi="Times New Roman"/>
        </w:rPr>
        <w:t>統計至</w:t>
      </w:r>
      <w:r w:rsidR="008009F2" w:rsidRPr="00E91F54">
        <w:rPr>
          <w:rFonts w:ascii="Times New Roman" w:hAnsi="Times New Roman"/>
        </w:rPr>
        <w:t>114</w:t>
      </w:r>
      <w:r w:rsidR="008009F2" w:rsidRPr="00E91F54">
        <w:rPr>
          <w:rFonts w:ascii="Times New Roman" w:hAnsi="Times New Roman"/>
        </w:rPr>
        <w:t>年</w:t>
      </w:r>
      <w:r w:rsidR="008009F2" w:rsidRPr="00E91F54">
        <w:rPr>
          <w:rFonts w:ascii="Times New Roman" w:hAnsi="Times New Roman"/>
        </w:rPr>
        <w:t>3</w:t>
      </w:r>
      <w:r w:rsidR="008009F2" w:rsidRPr="00E91F54">
        <w:rPr>
          <w:rFonts w:ascii="Times New Roman" w:hAnsi="Times New Roman"/>
        </w:rPr>
        <w:t>月底為止，我國計有</w:t>
      </w:r>
      <w:r w:rsidR="008009F2" w:rsidRPr="00E91F54">
        <w:rPr>
          <w:rFonts w:ascii="Times New Roman" w:hAnsi="Times New Roman"/>
        </w:rPr>
        <w:t>1,066</w:t>
      </w:r>
      <w:r w:rsidR="008009F2" w:rsidRPr="00E91F54">
        <w:rPr>
          <w:rFonts w:ascii="Times New Roman" w:hAnsi="Times New Roman"/>
        </w:rPr>
        <w:t>家業者取得廢太陽能光電模組廢棄物之清除許可、</w:t>
      </w:r>
      <w:r w:rsidR="008009F2" w:rsidRPr="00E91F54">
        <w:rPr>
          <w:rFonts w:ascii="Times New Roman" w:hAnsi="Times New Roman"/>
        </w:rPr>
        <w:t>5</w:t>
      </w:r>
      <w:r w:rsidR="008009F2" w:rsidRPr="00E91F54">
        <w:rPr>
          <w:rFonts w:ascii="Times New Roman" w:hAnsi="Times New Roman"/>
        </w:rPr>
        <w:t>家業者取得處理許可，總許可</w:t>
      </w:r>
      <w:r w:rsidR="00015A46" w:rsidRPr="00E91F54">
        <w:rPr>
          <w:rFonts w:ascii="Times New Roman" w:hAnsi="Times New Roman" w:hint="eastAsia"/>
        </w:rPr>
        <w:t>年度</w:t>
      </w:r>
      <w:r w:rsidR="008009F2" w:rsidRPr="00E91F54">
        <w:rPr>
          <w:rFonts w:ascii="Times New Roman" w:hAnsi="Times New Roman"/>
        </w:rPr>
        <w:t>處理量為</w:t>
      </w:r>
      <w:r w:rsidR="008009F2" w:rsidRPr="00E91F54">
        <w:rPr>
          <w:rFonts w:ascii="Times New Roman" w:hAnsi="Times New Roman"/>
        </w:rPr>
        <w:t>10.42</w:t>
      </w:r>
      <w:r w:rsidR="008009F2" w:rsidRPr="00E91F54">
        <w:rPr>
          <w:rFonts w:ascii="Times New Roman" w:hAnsi="Times New Roman"/>
        </w:rPr>
        <w:t>萬公噸</w:t>
      </w:r>
      <w:r w:rsidR="005C3060" w:rsidRPr="00E91F54">
        <w:rPr>
          <w:rFonts w:ascii="Times New Roman" w:hAnsi="Times New Roman" w:hint="eastAsia"/>
        </w:rPr>
        <w:t>。由環境部提供數據以觀，雖尚能容納</w:t>
      </w:r>
      <w:proofErr w:type="gramStart"/>
      <w:r w:rsidR="005C3060" w:rsidRPr="00E91F54">
        <w:rPr>
          <w:rFonts w:ascii="Times New Roman" w:hAnsi="Times New Roman" w:hint="eastAsia"/>
        </w:rPr>
        <w:t>128</w:t>
      </w:r>
      <w:proofErr w:type="gramEnd"/>
      <w:r w:rsidR="005C3060" w:rsidRPr="00E91F54">
        <w:rPr>
          <w:rFonts w:ascii="Times New Roman" w:hAnsi="Times New Roman" w:hint="eastAsia"/>
        </w:rPr>
        <w:t>年度</w:t>
      </w:r>
      <w:r w:rsidR="005C3060" w:rsidRPr="00E91F54">
        <w:rPr>
          <w:rFonts w:ascii="Times New Roman" w:hAnsi="Times New Roman" w:hint="eastAsia"/>
        </w:rPr>
        <w:t>10</w:t>
      </w:r>
      <w:r w:rsidR="005C3060" w:rsidRPr="00E91F54">
        <w:rPr>
          <w:rFonts w:ascii="Times New Roman" w:hAnsi="Times New Roman" w:hint="eastAsia"/>
        </w:rPr>
        <w:t>萬公噸之年處理量，惟若參照</w:t>
      </w:r>
      <w:r w:rsidR="008009F2" w:rsidRPr="00E91F54">
        <w:rPr>
          <w:rFonts w:ascii="Times New Roman" w:hAnsi="Times New Roman"/>
        </w:rPr>
        <w:t>迄</w:t>
      </w:r>
      <w:r w:rsidR="001A0103" w:rsidRPr="00E91F54">
        <w:rPr>
          <w:rFonts w:ascii="Times New Roman" w:hAnsi="Times New Roman"/>
        </w:rPr>
        <w:t>至</w:t>
      </w:r>
      <w:r w:rsidR="008009F2" w:rsidRPr="00E91F54">
        <w:rPr>
          <w:rFonts w:ascii="Times New Roman" w:hAnsi="Times New Roman"/>
        </w:rPr>
        <w:t>108</w:t>
      </w:r>
      <w:r w:rsidR="008009F2" w:rsidRPr="00E91F54">
        <w:rPr>
          <w:rFonts w:ascii="Times New Roman" w:hAnsi="Times New Roman"/>
        </w:rPr>
        <w:t>年止，全國「累計」已設置之太陽光電設置容量達</w:t>
      </w:r>
      <w:r w:rsidR="008009F2" w:rsidRPr="00E91F54">
        <w:rPr>
          <w:rFonts w:ascii="Times New Roman" w:hAnsi="Times New Roman"/>
        </w:rPr>
        <w:t>4,149.54MW</w:t>
      </w:r>
      <w:r w:rsidR="008009F2" w:rsidRPr="00E91F54">
        <w:rPr>
          <w:rFonts w:ascii="Times New Roman" w:hAnsi="Times New Roman"/>
        </w:rPr>
        <w:t>，廢棄物量預估</w:t>
      </w:r>
      <w:r w:rsidR="005C3060" w:rsidRPr="00E91F54">
        <w:rPr>
          <w:rFonts w:ascii="Times New Roman" w:hAnsi="Times New Roman" w:hint="eastAsia"/>
        </w:rPr>
        <w:t>累計達</w:t>
      </w:r>
      <w:r w:rsidR="008009F2" w:rsidRPr="00E91F54">
        <w:rPr>
          <w:rFonts w:ascii="Times New Roman" w:hAnsi="Times New Roman"/>
        </w:rPr>
        <w:t>23</w:t>
      </w:r>
      <w:r w:rsidR="008009F2" w:rsidRPr="00E91F54">
        <w:rPr>
          <w:rFonts w:ascii="Times New Roman" w:hAnsi="Times New Roman"/>
        </w:rPr>
        <w:t>萬</w:t>
      </w:r>
      <w:r w:rsidR="008009F2" w:rsidRPr="00E91F54">
        <w:rPr>
          <w:rFonts w:ascii="Times New Roman" w:hAnsi="Times New Roman"/>
        </w:rPr>
        <w:t>6</w:t>
      </w:r>
      <w:r w:rsidR="0081502F" w:rsidRPr="00E91F54">
        <w:rPr>
          <w:rFonts w:ascii="Times New Roman" w:hAnsi="Times New Roman" w:hint="eastAsia"/>
        </w:rPr>
        <w:t>千餘</w:t>
      </w:r>
      <w:r w:rsidR="008009F2" w:rsidRPr="00E91F54">
        <w:rPr>
          <w:rFonts w:ascii="Times New Roman" w:hAnsi="Times New Roman"/>
        </w:rPr>
        <w:t>公噸至</w:t>
      </w:r>
      <w:r w:rsidR="008009F2" w:rsidRPr="00E91F54">
        <w:rPr>
          <w:rFonts w:ascii="Times New Roman" w:hAnsi="Times New Roman"/>
        </w:rPr>
        <w:t>29</w:t>
      </w:r>
      <w:r w:rsidR="008009F2" w:rsidRPr="00E91F54">
        <w:rPr>
          <w:rFonts w:ascii="Times New Roman" w:hAnsi="Times New Roman"/>
        </w:rPr>
        <w:t>萬</w:t>
      </w:r>
      <w:r w:rsidR="008009F2" w:rsidRPr="00E91F54">
        <w:rPr>
          <w:rFonts w:ascii="Times New Roman" w:hAnsi="Times New Roman"/>
        </w:rPr>
        <w:t>8</w:t>
      </w:r>
      <w:r w:rsidR="0081502F" w:rsidRPr="00E91F54">
        <w:rPr>
          <w:rFonts w:ascii="Times New Roman" w:hAnsi="Times New Roman" w:hint="eastAsia"/>
        </w:rPr>
        <w:t>千餘</w:t>
      </w:r>
      <w:r w:rsidR="008009F2" w:rsidRPr="00E91F54">
        <w:rPr>
          <w:rFonts w:ascii="Times New Roman" w:hAnsi="Times New Roman"/>
        </w:rPr>
        <w:t>公噸</w:t>
      </w:r>
      <w:r w:rsidR="0081502F" w:rsidRPr="00E91F54">
        <w:rPr>
          <w:rStyle w:val="aff0"/>
        </w:rPr>
        <w:footnoteReference w:id="14"/>
      </w:r>
      <w:r w:rsidR="008009F2" w:rsidRPr="00E91F54">
        <w:rPr>
          <w:rFonts w:ascii="Times New Roman" w:hAnsi="Times New Roman"/>
        </w:rPr>
        <w:t>不等</w:t>
      </w:r>
      <w:r w:rsidR="001A0103" w:rsidRPr="00E91F54">
        <w:rPr>
          <w:rFonts w:ascii="Times New Roman" w:hAnsi="Times New Roman"/>
        </w:rPr>
        <w:t>，爰</w:t>
      </w:r>
      <w:r w:rsidR="007A2CA6" w:rsidRPr="00E91F54">
        <w:rPr>
          <w:rFonts w:ascii="Times New Roman" w:hAnsi="Times New Roman"/>
        </w:rPr>
        <w:t>為因應</w:t>
      </w:r>
      <w:r w:rsidR="008009F2" w:rsidRPr="00E91F54">
        <w:rPr>
          <w:rFonts w:ascii="Times New Roman" w:hAnsi="Times New Roman"/>
        </w:rPr>
        <w:t>每年度將</w:t>
      </w:r>
      <w:r w:rsidR="008009F2" w:rsidRPr="00E91F54">
        <w:rPr>
          <w:rFonts w:ascii="Times New Roman" w:hAnsi="Times New Roman"/>
        </w:rPr>
        <w:lastRenderedPageBreak/>
        <w:t>陸續</w:t>
      </w:r>
      <w:r w:rsidR="007A2CA6" w:rsidRPr="00E91F54">
        <w:rPr>
          <w:rFonts w:ascii="Times New Roman" w:hAnsi="Times New Roman"/>
        </w:rPr>
        <w:t>有太陽光電模組廢棄物排出，</w:t>
      </w:r>
      <w:r w:rsidR="003102FD" w:rsidRPr="00E91F54">
        <w:rPr>
          <w:rFonts w:ascii="Times New Roman" w:hAnsi="Times New Roman"/>
        </w:rPr>
        <w:t>如何有效監督和確保未繳費業者確實將廢棄模組交由合格機構處理，避免非法棄置</w:t>
      </w:r>
      <w:r w:rsidR="008009F2" w:rsidRPr="00E91F54">
        <w:rPr>
          <w:rFonts w:ascii="Times New Roman" w:hAnsi="Times New Roman"/>
        </w:rPr>
        <w:t>、造成環境污染而不利農地利用</w:t>
      </w:r>
      <w:r w:rsidR="003102FD" w:rsidRPr="00E91F54">
        <w:rPr>
          <w:rFonts w:ascii="Times New Roman" w:hAnsi="Times New Roman"/>
        </w:rPr>
        <w:t>，</w:t>
      </w:r>
      <w:proofErr w:type="gramStart"/>
      <w:r w:rsidR="003102FD" w:rsidRPr="00E91F54">
        <w:rPr>
          <w:rFonts w:ascii="Times New Roman" w:hAnsi="Times New Roman"/>
        </w:rPr>
        <w:t>環境部與</w:t>
      </w:r>
      <w:r w:rsidR="00BF2038" w:rsidRPr="00E91F54">
        <w:rPr>
          <w:rFonts w:ascii="Times New Roman" w:hAnsi="Times New Roman"/>
        </w:rPr>
        <w:t>經濟</w:t>
      </w:r>
      <w:proofErr w:type="gramEnd"/>
      <w:r w:rsidR="00BF2038" w:rsidRPr="00E91F54">
        <w:rPr>
          <w:rFonts w:ascii="Times New Roman" w:hAnsi="Times New Roman"/>
        </w:rPr>
        <w:t>部</w:t>
      </w:r>
      <w:r w:rsidR="003102FD" w:rsidRPr="00E91F54">
        <w:rPr>
          <w:rFonts w:ascii="Times New Roman" w:hAnsi="Times New Roman"/>
        </w:rPr>
        <w:t>允應共同</w:t>
      </w:r>
      <w:proofErr w:type="gramStart"/>
      <w:r w:rsidR="003102FD" w:rsidRPr="00E91F54">
        <w:rPr>
          <w:rFonts w:ascii="Times New Roman" w:hAnsi="Times New Roman"/>
        </w:rPr>
        <w:t>研議</w:t>
      </w:r>
      <w:proofErr w:type="gramEnd"/>
      <w:r w:rsidR="003102FD" w:rsidRPr="00E91F54">
        <w:rPr>
          <w:rFonts w:ascii="Times New Roman" w:hAnsi="Times New Roman"/>
        </w:rPr>
        <w:t>策進</w:t>
      </w:r>
      <w:r w:rsidR="003A4287" w:rsidRPr="00E91F54">
        <w:rPr>
          <w:rFonts w:ascii="Times New Roman" w:hAnsi="Times New Roman" w:hint="eastAsia"/>
        </w:rPr>
        <w:t>處理機制</w:t>
      </w:r>
      <w:r w:rsidR="003102FD" w:rsidRPr="00E91F54">
        <w:rPr>
          <w:rFonts w:ascii="Times New Roman" w:hAnsi="Times New Roman"/>
        </w:rPr>
        <w:t>。</w:t>
      </w:r>
    </w:p>
    <w:p w:rsidR="00CF2EBB" w:rsidRPr="00E91F54" w:rsidRDefault="00027C11" w:rsidP="00980B74">
      <w:pPr>
        <w:pStyle w:val="3"/>
        <w:rPr>
          <w:rFonts w:ascii="Times New Roman" w:hAnsi="Times New Roman"/>
          <w:b/>
        </w:rPr>
      </w:pPr>
      <w:r w:rsidRPr="00E91F54">
        <w:rPr>
          <w:rFonts w:ascii="Times New Roman" w:hAnsi="Times New Roman"/>
        </w:rPr>
        <w:t>綜上，</w:t>
      </w:r>
      <w:r w:rsidR="00FB42CC" w:rsidRPr="00E91F54">
        <w:rPr>
          <w:rFonts w:ascii="Times New Roman" w:hAnsi="Times New Roman" w:hint="eastAsia"/>
        </w:rPr>
        <w:t>112</w:t>
      </w:r>
      <w:r w:rsidR="00FB42CC" w:rsidRPr="00E91F54">
        <w:rPr>
          <w:rFonts w:ascii="Times New Roman" w:hAnsi="Times New Roman" w:hint="eastAsia"/>
        </w:rPr>
        <w:t>年間媒體報導遭廢止</w:t>
      </w:r>
      <w:proofErr w:type="gramStart"/>
      <w:r w:rsidR="00FB42CC" w:rsidRPr="00E91F54">
        <w:rPr>
          <w:rFonts w:ascii="Times New Roman" w:hAnsi="Times New Roman" w:hint="eastAsia"/>
        </w:rPr>
        <w:t>之農電共生</w:t>
      </w:r>
      <w:proofErr w:type="gramEnd"/>
      <w:r w:rsidR="00FB42CC" w:rsidRPr="00E91F54">
        <w:rPr>
          <w:rFonts w:ascii="Times New Roman" w:hAnsi="Times New Roman" w:hint="eastAsia"/>
        </w:rPr>
        <w:t>案場未積極清理，形成光電廢墟情形，農業部及經濟部等相關權責主管機關對於案場之光電板設施是否已移除並恢復農地原狀，尚乏勾稽機制。</w:t>
      </w:r>
      <w:proofErr w:type="gramStart"/>
      <w:r w:rsidR="00FB42CC" w:rsidRPr="00E91F54">
        <w:rPr>
          <w:rFonts w:ascii="Times New Roman" w:hAnsi="Times New Roman" w:hint="eastAsia"/>
        </w:rPr>
        <w:t>嗣</w:t>
      </w:r>
      <w:proofErr w:type="gramEnd"/>
      <w:r w:rsidR="00FB42CC" w:rsidRPr="00E91F54">
        <w:rPr>
          <w:rFonts w:ascii="Times New Roman" w:hAnsi="Times New Roman" w:hint="eastAsia"/>
        </w:rPr>
        <w:t>經清查臺南市政府轄內</w:t>
      </w:r>
      <w:proofErr w:type="gramStart"/>
      <w:r w:rsidR="00FB42CC" w:rsidRPr="00E91F54">
        <w:rPr>
          <w:rFonts w:ascii="Times New Roman" w:hAnsi="Times New Roman" w:hint="eastAsia"/>
        </w:rPr>
        <w:t>43</w:t>
      </w:r>
      <w:r w:rsidR="00FB42CC" w:rsidRPr="00E91F54">
        <w:rPr>
          <w:rFonts w:ascii="Times New Roman" w:hAnsi="Times New Roman" w:hint="eastAsia"/>
        </w:rPr>
        <w:t>件農電共</w:t>
      </w:r>
      <w:proofErr w:type="gramEnd"/>
      <w:r w:rsidR="00FB42CC" w:rsidRPr="00E91F54">
        <w:rPr>
          <w:rFonts w:ascii="Times New Roman" w:hAnsi="Times New Roman" w:hint="eastAsia"/>
        </w:rPr>
        <w:t>生廢止案場，其中</w:t>
      </w:r>
      <w:r w:rsidR="00FB42CC" w:rsidRPr="00E91F54">
        <w:rPr>
          <w:rFonts w:ascii="Times New Roman" w:hAnsi="Times New Roman" w:hint="eastAsia"/>
        </w:rPr>
        <w:t>40</w:t>
      </w:r>
      <w:r w:rsidR="00FB42CC" w:rsidRPr="00E91F54">
        <w:rPr>
          <w:rFonts w:ascii="Times New Roman" w:hAnsi="Times New Roman" w:hint="eastAsia"/>
        </w:rPr>
        <w:t>件案場雖已確實拆除光電板及支架等設施完竣，</w:t>
      </w:r>
      <w:proofErr w:type="gramStart"/>
      <w:r w:rsidR="00FB42CC" w:rsidRPr="00E91F54">
        <w:rPr>
          <w:rFonts w:ascii="Times New Roman" w:hAnsi="Times New Roman" w:hint="eastAsia"/>
        </w:rPr>
        <w:t>然尚</w:t>
      </w:r>
      <w:proofErr w:type="gramEnd"/>
      <w:r w:rsidR="00FB42CC" w:rsidRPr="00E91F54">
        <w:rPr>
          <w:rFonts w:ascii="Times New Roman" w:hAnsi="Times New Roman" w:hint="eastAsia"/>
        </w:rPr>
        <w:t>有</w:t>
      </w:r>
      <w:r w:rsidR="00FB42CC" w:rsidRPr="00E91F54">
        <w:rPr>
          <w:rFonts w:ascii="Times New Roman" w:hAnsi="Times New Roman" w:hint="eastAsia"/>
        </w:rPr>
        <w:t>3</w:t>
      </w:r>
      <w:r w:rsidR="00FB42CC" w:rsidRPr="00E91F54">
        <w:rPr>
          <w:rFonts w:ascii="Times New Roman" w:hAnsi="Times New Roman" w:hint="eastAsia"/>
        </w:rPr>
        <w:t>件案場則僅拆除光電板，現場仍留有鋼構支架、鐵皮、堆置之碎石級配及雜物，凸顯遭廢止案場之清理，伴隨非法棄置廢棄物風險；又，隨著</w:t>
      </w:r>
      <w:proofErr w:type="gramStart"/>
      <w:r w:rsidR="00FB42CC" w:rsidRPr="00E91F54">
        <w:rPr>
          <w:rFonts w:ascii="Times New Roman" w:hAnsi="Times New Roman" w:hint="eastAsia"/>
        </w:rPr>
        <w:t>汰</w:t>
      </w:r>
      <w:proofErr w:type="gramEnd"/>
      <w:r w:rsidR="00FB42CC" w:rsidRPr="00E91F54">
        <w:rPr>
          <w:rFonts w:ascii="Times New Roman" w:hAnsi="Times New Roman" w:hint="eastAsia"/>
        </w:rPr>
        <w:t>除光電模組逐年排出，如何有效監督和確保未繳費業者確實將廢棄模組交由合格機構處理，避免衍生環境生態保護隱憂，殊值關注。迄至</w:t>
      </w:r>
      <w:r w:rsidR="00FB42CC" w:rsidRPr="00E91F54">
        <w:rPr>
          <w:rFonts w:ascii="Times New Roman" w:hAnsi="Times New Roman" w:hint="eastAsia"/>
        </w:rPr>
        <w:t>128</w:t>
      </w:r>
      <w:r w:rsidR="00FB42CC" w:rsidRPr="00E91F54">
        <w:rPr>
          <w:rFonts w:ascii="Times New Roman" w:hAnsi="Times New Roman" w:hint="eastAsia"/>
        </w:rPr>
        <w:t>年，光電模組廢棄物排出預估累計最高可達</w:t>
      </w:r>
      <w:r w:rsidR="00FB42CC" w:rsidRPr="00E91F54">
        <w:rPr>
          <w:rFonts w:ascii="Times New Roman" w:hAnsi="Times New Roman" w:hint="eastAsia"/>
        </w:rPr>
        <w:t>29.8</w:t>
      </w:r>
      <w:r w:rsidR="00FB42CC" w:rsidRPr="00E91F54">
        <w:rPr>
          <w:rFonts w:ascii="Times New Roman" w:hAnsi="Times New Roman" w:hint="eastAsia"/>
        </w:rPr>
        <w:t>萬公噸，太陽光電設施屆期除役或拆除等後續處理機制，實待各權責主管機關共同</w:t>
      </w:r>
      <w:proofErr w:type="gramStart"/>
      <w:r w:rsidR="00FB42CC" w:rsidRPr="00E91F54">
        <w:rPr>
          <w:rFonts w:ascii="Times New Roman" w:hAnsi="Times New Roman" w:hint="eastAsia"/>
        </w:rPr>
        <w:t>研議策</w:t>
      </w:r>
      <w:proofErr w:type="gramEnd"/>
      <w:r w:rsidR="00FB42CC" w:rsidRPr="00E91F54">
        <w:rPr>
          <w:rFonts w:ascii="Times New Roman" w:hAnsi="Times New Roman" w:hint="eastAsia"/>
        </w:rPr>
        <w:t>進，落實發展永續能源之環境責任，以符</w:t>
      </w:r>
      <w:proofErr w:type="gramStart"/>
      <w:r w:rsidR="00FB42CC" w:rsidRPr="00E91F54">
        <w:rPr>
          <w:rFonts w:ascii="Times New Roman" w:hAnsi="Times New Roman" w:hint="eastAsia"/>
        </w:rPr>
        <w:t>我國綠能政</w:t>
      </w:r>
      <w:proofErr w:type="gramEnd"/>
      <w:r w:rsidR="00FB42CC" w:rsidRPr="00E91F54">
        <w:rPr>
          <w:rFonts w:ascii="Times New Roman" w:hAnsi="Times New Roman" w:hint="eastAsia"/>
        </w:rPr>
        <w:t>策之宗旨</w:t>
      </w:r>
      <w:r w:rsidR="00747390" w:rsidRPr="00E91F54">
        <w:rPr>
          <w:rFonts w:ascii="Times New Roman" w:hAnsi="Times New Roman"/>
        </w:rPr>
        <w:t>。</w:t>
      </w:r>
    </w:p>
    <w:p w:rsidR="004B620C" w:rsidRPr="00E91F54" w:rsidRDefault="00C44A4D" w:rsidP="00C94A8E">
      <w:pPr>
        <w:pStyle w:val="2"/>
        <w:spacing w:beforeLines="50" w:before="228"/>
        <w:ind w:left="1020" w:hanging="680"/>
        <w:rPr>
          <w:rFonts w:ascii="Times New Roman" w:hAnsi="Times New Roman"/>
          <w:b/>
        </w:rPr>
      </w:pPr>
      <w:r w:rsidRPr="00E91F54">
        <w:rPr>
          <w:rFonts w:ascii="Times New Roman" w:hAnsi="Times New Roman"/>
          <w:b/>
        </w:rPr>
        <w:t>本案</w:t>
      </w:r>
      <w:r w:rsidR="0097476A" w:rsidRPr="00E91F54">
        <w:rPr>
          <w:rFonts w:ascii="Times New Roman" w:hAnsi="Times New Roman"/>
          <w:b/>
        </w:rPr>
        <w:t>調查</w:t>
      </w:r>
      <w:proofErr w:type="gramStart"/>
      <w:r w:rsidR="0097476A" w:rsidRPr="00E91F54">
        <w:rPr>
          <w:rFonts w:ascii="Times New Roman" w:hAnsi="Times New Roman"/>
          <w:b/>
        </w:rPr>
        <w:t>期間，</w:t>
      </w:r>
      <w:proofErr w:type="gramEnd"/>
      <w:r w:rsidRPr="00E91F54">
        <w:rPr>
          <w:rFonts w:ascii="Times New Roman" w:hAnsi="Times New Roman"/>
          <w:b/>
        </w:rPr>
        <w:t>本院</w:t>
      </w:r>
      <w:proofErr w:type="gramStart"/>
      <w:r w:rsidR="0097476A" w:rsidRPr="00E91F54">
        <w:rPr>
          <w:rFonts w:ascii="Times New Roman" w:hAnsi="Times New Roman"/>
          <w:b/>
        </w:rPr>
        <w:t>詢據</w:t>
      </w:r>
      <w:proofErr w:type="gramEnd"/>
      <w:r w:rsidR="0097476A" w:rsidRPr="00E91F54">
        <w:rPr>
          <w:rFonts w:ascii="Times New Roman" w:hAnsi="Times New Roman"/>
          <w:b/>
        </w:rPr>
        <w:t>農（漁）電共生廢止案件居全臺</w:t>
      </w:r>
      <w:proofErr w:type="gramStart"/>
      <w:r w:rsidR="0097476A" w:rsidRPr="00E91F54">
        <w:rPr>
          <w:rFonts w:ascii="Times New Roman" w:hAnsi="Times New Roman"/>
          <w:b/>
        </w:rPr>
        <w:t>之冠且案</w:t>
      </w:r>
      <w:proofErr w:type="gramEnd"/>
      <w:r w:rsidR="0097476A" w:rsidRPr="00E91F54">
        <w:rPr>
          <w:rFonts w:ascii="Times New Roman" w:hAnsi="Times New Roman"/>
          <w:b/>
        </w:rPr>
        <w:t>件逾百之臺南市政府</w:t>
      </w:r>
      <w:r w:rsidR="0071022B" w:rsidRPr="00E91F54">
        <w:rPr>
          <w:rFonts w:ascii="Times New Roman" w:hAnsi="Times New Roman"/>
          <w:b/>
        </w:rPr>
        <w:t>反映查核案場時</w:t>
      </w:r>
      <w:r w:rsidR="002117EA" w:rsidRPr="00E91F54">
        <w:rPr>
          <w:rFonts w:ascii="Times New Roman" w:hAnsi="Times New Roman"/>
          <w:b/>
        </w:rPr>
        <w:t>發現</w:t>
      </w:r>
      <w:r w:rsidR="005546D5" w:rsidRPr="00E91F54">
        <w:rPr>
          <w:rFonts w:ascii="Times New Roman" w:hAnsi="Times New Roman" w:hint="eastAsia"/>
          <w:b/>
        </w:rPr>
        <w:t>之亂象</w:t>
      </w:r>
      <w:r w:rsidRPr="00E91F54">
        <w:rPr>
          <w:rFonts w:ascii="Times New Roman" w:hAnsi="Times New Roman" w:hint="eastAsia"/>
          <w:b/>
        </w:rPr>
        <w:t>與</w:t>
      </w:r>
      <w:r w:rsidR="0097476A" w:rsidRPr="00E91F54">
        <w:rPr>
          <w:rFonts w:ascii="Times New Roman" w:hAnsi="Times New Roman"/>
          <w:b/>
        </w:rPr>
        <w:t>面臨之困境，</w:t>
      </w:r>
      <w:r w:rsidR="00CB385D" w:rsidRPr="00E91F54">
        <w:rPr>
          <w:rFonts w:ascii="Times New Roman" w:hAnsi="Times New Roman" w:hint="eastAsia"/>
          <w:b/>
        </w:rPr>
        <w:t>並</w:t>
      </w:r>
      <w:r w:rsidR="0097476A" w:rsidRPr="00E91F54">
        <w:rPr>
          <w:rFonts w:ascii="Times New Roman" w:hAnsi="Times New Roman"/>
          <w:b/>
        </w:rPr>
        <w:t>建請</w:t>
      </w:r>
      <w:r w:rsidRPr="00E91F54">
        <w:rPr>
          <w:rFonts w:ascii="Times New Roman" w:hAnsi="Times New Roman" w:hint="eastAsia"/>
          <w:b/>
        </w:rPr>
        <w:t>中央</w:t>
      </w:r>
      <w:r w:rsidR="0097476A" w:rsidRPr="00E91F54">
        <w:rPr>
          <w:rFonts w:ascii="Times New Roman" w:hAnsi="Times New Roman"/>
          <w:b/>
        </w:rPr>
        <w:t>主管機關針對經營計畫書</w:t>
      </w:r>
      <w:r w:rsidR="000560B2" w:rsidRPr="00E91F54">
        <w:rPr>
          <w:rFonts w:ascii="Times New Roman" w:hAnsi="Times New Roman" w:hint="eastAsia"/>
          <w:b/>
        </w:rPr>
        <w:t>之</w:t>
      </w:r>
      <w:r w:rsidR="0097476A" w:rsidRPr="00E91F54">
        <w:rPr>
          <w:rFonts w:ascii="Times New Roman" w:hAnsi="Times New Roman"/>
          <w:b/>
        </w:rPr>
        <w:t>審查、養殖事實認定、廢止之判斷基準，建立更具體明確</w:t>
      </w:r>
      <w:r w:rsidR="00CB385D" w:rsidRPr="00E91F54">
        <w:rPr>
          <w:rFonts w:ascii="Times New Roman" w:hAnsi="Times New Roman" w:hint="eastAsia"/>
          <w:b/>
        </w:rPr>
        <w:t>之</w:t>
      </w:r>
      <w:r w:rsidR="0097476A" w:rsidRPr="00E91F54">
        <w:rPr>
          <w:rFonts w:ascii="Times New Roman" w:hAnsi="Times New Roman"/>
          <w:b/>
        </w:rPr>
        <w:t>標準</w:t>
      </w:r>
      <w:r w:rsidR="00CB385D" w:rsidRPr="00E91F54">
        <w:rPr>
          <w:rFonts w:ascii="Times New Roman" w:hAnsi="Times New Roman" w:hint="eastAsia"/>
          <w:b/>
        </w:rPr>
        <w:t>與協助提供</w:t>
      </w:r>
      <w:r w:rsidR="0097476A" w:rsidRPr="00E91F54">
        <w:rPr>
          <w:rFonts w:ascii="Times New Roman" w:hAnsi="Times New Roman"/>
          <w:b/>
        </w:rPr>
        <w:t>專業審查</w:t>
      </w:r>
      <w:r w:rsidR="008A269A" w:rsidRPr="00E91F54">
        <w:rPr>
          <w:rFonts w:ascii="Times New Roman" w:hAnsi="Times New Roman"/>
          <w:b/>
        </w:rPr>
        <w:t>意見</w:t>
      </w:r>
      <w:r w:rsidR="00CB385D" w:rsidRPr="00E91F54">
        <w:rPr>
          <w:rFonts w:ascii="Times New Roman" w:hAnsi="Times New Roman" w:hint="eastAsia"/>
          <w:b/>
        </w:rPr>
        <w:t>，</w:t>
      </w:r>
      <w:proofErr w:type="gramStart"/>
      <w:r w:rsidR="00CB385D" w:rsidRPr="00E91F54">
        <w:rPr>
          <w:rFonts w:ascii="Times New Roman" w:hAnsi="Times New Roman" w:hint="eastAsia"/>
          <w:b/>
        </w:rPr>
        <w:t>均</w:t>
      </w:r>
      <w:r w:rsidRPr="00E91F54">
        <w:rPr>
          <w:rFonts w:ascii="Times New Roman" w:hAnsi="Times New Roman" w:hint="eastAsia"/>
          <w:b/>
        </w:rPr>
        <w:t>屬</w:t>
      </w:r>
      <w:r w:rsidR="0097476A" w:rsidRPr="00E91F54">
        <w:rPr>
          <w:rFonts w:ascii="Times New Roman" w:hAnsi="Times New Roman"/>
          <w:b/>
        </w:rPr>
        <w:t>現</w:t>
      </w:r>
      <w:proofErr w:type="gramEnd"/>
      <w:r w:rsidR="0097476A" w:rsidRPr="00E91F54">
        <w:rPr>
          <w:rFonts w:ascii="Times New Roman" w:hAnsi="Times New Roman"/>
          <w:b/>
        </w:rPr>
        <w:t>行農（漁）電共生之政策工具與配套措施</w:t>
      </w:r>
      <w:r w:rsidRPr="00E91F54">
        <w:rPr>
          <w:rFonts w:ascii="Times New Roman" w:hAnsi="Times New Roman" w:hint="eastAsia"/>
          <w:b/>
        </w:rPr>
        <w:t>可</w:t>
      </w:r>
      <w:r w:rsidR="0097476A" w:rsidRPr="00E91F54">
        <w:rPr>
          <w:rFonts w:ascii="Times New Roman" w:hAnsi="Times New Roman"/>
          <w:b/>
        </w:rPr>
        <w:t>精進強化之處，</w:t>
      </w:r>
      <w:r w:rsidR="00E503B0" w:rsidRPr="00E91F54">
        <w:rPr>
          <w:rFonts w:ascii="Times New Roman" w:hAnsi="Times New Roman" w:hint="eastAsia"/>
          <w:b/>
        </w:rPr>
        <w:t>經濟部</w:t>
      </w:r>
      <w:r w:rsidR="0097476A" w:rsidRPr="00E91F54">
        <w:rPr>
          <w:rFonts w:ascii="Times New Roman" w:hAnsi="Times New Roman"/>
          <w:b/>
        </w:rPr>
        <w:t>能源署與農業部允應審慎檢視</w:t>
      </w:r>
      <w:r w:rsidR="00D814F3" w:rsidRPr="00E91F54">
        <w:rPr>
          <w:rFonts w:ascii="Times New Roman" w:hAnsi="Times New Roman"/>
          <w:b/>
        </w:rPr>
        <w:t>研析</w:t>
      </w:r>
      <w:r w:rsidR="0097476A" w:rsidRPr="00E91F54">
        <w:rPr>
          <w:rFonts w:ascii="Times New Roman" w:hAnsi="Times New Roman"/>
          <w:b/>
        </w:rPr>
        <w:t>，全面優化制度，以落實我國「農業為主、</w:t>
      </w:r>
      <w:proofErr w:type="gramStart"/>
      <w:r w:rsidR="0097476A" w:rsidRPr="00E91F54">
        <w:rPr>
          <w:rFonts w:ascii="Times New Roman" w:hAnsi="Times New Roman"/>
          <w:b/>
        </w:rPr>
        <w:t>綠能</w:t>
      </w:r>
      <w:proofErr w:type="gramEnd"/>
      <w:r w:rsidR="0097476A" w:rsidRPr="00E91F54">
        <w:rPr>
          <w:rFonts w:ascii="Times New Roman" w:hAnsi="Times New Roman"/>
          <w:b/>
        </w:rPr>
        <w:t>加值」之政策方向</w:t>
      </w:r>
    </w:p>
    <w:p w:rsidR="006433D4" w:rsidRPr="00E91F54" w:rsidRDefault="00C44A4D" w:rsidP="00BD76AE">
      <w:pPr>
        <w:pStyle w:val="3"/>
        <w:rPr>
          <w:rFonts w:ascii="Times New Roman" w:hAnsi="Times New Roman"/>
          <w:kern w:val="0"/>
          <w:szCs w:val="32"/>
        </w:rPr>
      </w:pPr>
      <w:r w:rsidRPr="00E91F54">
        <w:rPr>
          <w:rFonts w:ascii="Times New Roman" w:hAnsi="Times New Roman"/>
        </w:rPr>
        <w:lastRenderedPageBreak/>
        <w:t>本案</w:t>
      </w:r>
      <w:r w:rsidR="006433D4" w:rsidRPr="00E91F54">
        <w:rPr>
          <w:rFonts w:ascii="Times New Roman" w:hAnsi="Times New Roman"/>
        </w:rPr>
        <w:t>調查</w:t>
      </w:r>
      <w:proofErr w:type="gramStart"/>
      <w:r w:rsidR="006433D4" w:rsidRPr="00E91F54">
        <w:rPr>
          <w:rFonts w:ascii="Times New Roman" w:hAnsi="Times New Roman"/>
        </w:rPr>
        <w:t>期間，</w:t>
      </w:r>
      <w:proofErr w:type="gramEnd"/>
      <w:r w:rsidRPr="00E91F54">
        <w:rPr>
          <w:rFonts w:ascii="Times New Roman" w:hAnsi="Times New Roman"/>
        </w:rPr>
        <w:t>本院</w:t>
      </w:r>
      <w:proofErr w:type="gramStart"/>
      <w:r w:rsidR="002117EA" w:rsidRPr="00E91F54">
        <w:rPr>
          <w:rFonts w:ascii="Times New Roman" w:hAnsi="Times New Roman"/>
        </w:rPr>
        <w:t>詢據</w:t>
      </w:r>
      <w:proofErr w:type="gramEnd"/>
      <w:r w:rsidR="002117EA" w:rsidRPr="00E91F54">
        <w:rPr>
          <w:rFonts w:ascii="Times New Roman" w:hAnsi="Times New Roman"/>
        </w:rPr>
        <w:t>農</w:t>
      </w:r>
      <w:r w:rsidR="002117EA" w:rsidRPr="00E91F54">
        <w:rPr>
          <w:rFonts w:ascii="Times New Roman" w:hAnsi="Times New Roman"/>
          <w:szCs w:val="32"/>
        </w:rPr>
        <w:t>（漁）</w:t>
      </w:r>
      <w:r w:rsidR="002117EA" w:rsidRPr="00E91F54">
        <w:rPr>
          <w:rFonts w:ascii="Times New Roman" w:hAnsi="Times New Roman"/>
        </w:rPr>
        <w:t>電共生廢止案件居全臺</w:t>
      </w:r>
      <w:proofErr w:type="gramStart"/>
      <w:r w:rsidR="002117EA" w:rsidRPr="00E91F54">
        <w:rPr>
          <w:rFonts w:ascii="Times New Roman" w:hAnsi="Times New Roman"/>
        </w:rPr>
        <w:t>之冠且案</w:t>
      </w:r>
      <w:proofErr w:type="gramEnd"/>
      <w:r w:rsidR="002117EA" w:rsidRPr="00E91F54">
        <w:rPr>
          <w:rFonts w:ascii="Times New Roman" w:hAnsi="Times New Roman"/>
        </w:rPr>
        <w:t>件逾百之臺南市政</w:t>
      </w:r>
      <w:r w:rsidR="002117EA" w:rsidRPr="00E91F54">
        <w:rPr>
          <w:rFonts w:ascii="Times New Roman" w:hAnsi="Times New Roman"/>
          <w:szCs w:val="32"/>
        </w:rPr>
        <w:t>府</w:t>
      </w:r>
      <w:r w:rsidR="006433D4" w:rsidRPr="00E91F54">
        <w:rPr>
          <w:rFonts w:ascii="Times New Roman" w:hAnsi="Times New Roman"/>
        </w:rPr>
        <w:t>反映</w:t>
      </w:r>
      <w:r w:rsidR="007A2712" w:rsidRPr="00E91F54">
        <w:rPr>
          <w:rFonts w:ascii="Times New Roman" w:hAnsi="Times New Roman"/>
        </w:rPr>
        <w:t>查核</w:t>
      </w:r>
      <w:r w:rsidR="00D52D70" w:rsidRPr="00E91F54">
        <w:rPr>
          <w:rFonts w:ascii="Times New Roman" w:hAnsi="Times New Roman"/>
        </w:rPr>
        <w:t>時</w:t>
      </w:r>
      <w:r w:rsidR="0028384F" w:rsidRPr="00E91F54">
        <w:rPr>
          <w:rFonts w:ascii="Times New Roman" w:hAnsi="Times New Roman"/>
        </w:rPr>
        <w:t>發現</w:t>
      </w:r>
      <w:r w:rsidR="002117EA" w:rsidRPr="00E91F54">
        <w:rPr>
          <w:rFonts w:ascii="Times New Roman" w:hAnsi="Times New Roman"/>
        </w:rPr>
        <w:t>案場</w:t>
      </w:r>
      <w:r w:rsidR="00D52D70" w:rsidRPr="00E91F54">
        <w:rPr>
          <w:rFonts w:ascii="Times New Roman" w:hAnsi="Times New Roman"/>
          <w:szCs w:val="32"/>
        </w:rPr>
        <w:t>亂象</w:t>
      </w:r>
      <w:r w:rsidRPr="00E91F54">
        <w:rPr>
          <w:rFonts w:ascii="Times New Roman" w:hAnsi="Times New Roman" w:hint="eastAsia"/>
          <w:szCs w:val="32"/>
        </w:rPr>
        <w:t>，並</w:t>
      </w:r>
      <w:r w:rsidR="007A2712" w:rsidRPr="00E91F54">
        <w:rPr>
          <w:rFonts w:ascii="Times New Roman" w:hAnsi="Times New Roman"/>
        </w:rPr>
        <w:t>就制度面</w:t>
      </w:r>
      <w:r w:rsidR="0028384F" w:rsidRPr="00E91F54">
        <w:rPr>
          <w:rFonts w:ascii="Times New Roman" w:hAnsi="Times New Roman"/>
        </w:rPr>
        <w:t>提出</w:t>
      </w:r>
      <w:r w:rsidR="00D52D70" w:rsidRPr="00E91F54">
        <w:rPr>
          <w:rFonts w:ascii="Times New Roman" w:hAnsi="Times New Roman"/>
        </w:rPr>
        <w:t>以下</w:t>
      </w:r>
      <w:r w:rsidR="007A2712" w:rsidRPr="00E91F54">
        <w:rPr>
          <w:rFonts w:ascii="Times New Roman" w:hAnsi="Times New Roman"/>
        </w:rPr>
        <w:t>相關</w:t>
      </w:r>
      <w:r w:rsidR="0028384F" w:rsidRPr="00E91F54">
        <w:rPr>
          <w:rFonts w:ascii="Times New Roman" w:hAnsi="Times New Roman"/>
        </w:rPr>
        <w:t>建議</w:t>
      </w:r>
      <w:r w:rsidR="000560B2" w:rsidRPr="00E91F54">
        <w:rPr>
          <w:rFonts w:ascii="Times New Roman" w:hAnsi="Times New Roman" w:hint="eastAsia"/>
        </w:rPr>
        <w:t>。</w:t>
      </w:r>
      <w:r w:rsidR="00DF6968" w:rsidRPr="00E91F54">
        <w:rPr>
          <w:rFonts w:ascii="Times New Roman" w:hAnsi="Times New Roman"/>
        </w:rPr>
        <w:t>經濟部</w:t>
      </w:r>
      <w:r w:rsidR="007A2712" w:rsidRPr="00E91F54">
        <w:rPr>
          <w:rFonts w:ascii="Times New Roman" w:hAnsi="Times New Roman"/>
        </w:rPr>
        <w:t>能源署與農業部</w:t>
      </w:r>
      <w:r w:rsidR="00D52D70" w:rsidRPr="00E91F54">
        <w:rPr>
          <w:rFonts w:ascii="Times New Roman" w:hAnsi="Times New Roman"/>
        </w:rPr>
        <w:t>允應</w:t>
      </w:r>
      <w:r w:rsidR="00BD76AE" w:rsidRPr="00E91F54">
        <w:rPr>
          <w:rFonts w:ascii="Times New Roman" w:hAnsi="Times New Roman"/>
          <w:szCs w:val="32"/>
        </w:rPr>
        <w:t>審慎檢視，以</w:t>
      </w:r>
      <w:r w:rsidR="002117EA" w:rsidRPr="00E91F54">
        <w:rPr>
          <w:rFonts w:ascii="Times New Roman" w:hAnsi="Times New Roman"/>
          <w:szCs w:val="32"/>
        </w:rPr>
        <w:t>有效</w:t>
      </w:r>
      <w:r w:rsidR="00BD76AE" w:rsidRPr="00E91F54">
        <w:rPr>
          <w:rFonts w:ascii="Times New Roman" w:hAnsi="Times New Roman"/>
          <w:szCs w:val="32"/>
        </w:rPr>
        <w:t>杜絕</w:t>
      </w:r>
      <w:r w:rsidR="00DF6968" w:rsidRPr="00E91F54">
        <w:rPr>
          <w:rFonts w:ascii="Times New Roman" w:hAnsi="Times New Roman"/>
          <w:szCs w:val="32"/>
        </w:rPr>
        <w:t>光電亂</w:t>
      </w:r>
      <w:proofErr w:type="gramStart"/>
      <w:r w:rsidR="00DF6968" w:rsidRPr="00E91F54">
        <w:rPr>
          <w:rFonts w:ascii="Times New Roman" w:hAnsi="Times New Roman"/>
          <w:szCs w:val="32"/>
        </w:rPr>
        <w:t>象</w:t>
      </w:r>
      <w:proofErr w:type="gramEnd"/>
      <w:r w:rsidR="00D52D70" w:rsidRPr="00E91F54">
        <w:rPr>
          <w:rFonts w:ascii="Times New Roman" w:hAnsi="Times New Roman"/>
        </w:rPr>
        <w:t>：</w:t>
      </w:r>
    </w:p>
    <w:p w:rsidR="006433D4" w:rsidRPr="00E91F54" w:rsidRDefault="006433D4" w:rsidP="00BD76AE">
      <w:pPr>
        <w:pStyle w:val="4"/>
        <w:rPr>
          <w:rFonts w:ascii="Times New Roman" w:hAnsi="Times New Roman"/>
          <w:b/>
        </w:rPr>
      </w:pPr>
      <w:r w:rsidRPr="00E91F54">
        <w:rPr>
          <w:rFonts w:ascii="Times New Roman" w:hAnsi="Times New Roman"/>
        </w:rPr>
        <w:t>案場建置完成</w:t>
      </w:r>
      <w:r w:rsidR="00C62F06" w:rsidRPr="00E91F54">
        <w:rPr>
          <w:rFonts w:ascii="Times New Roman" w:hAnsi="Times New Roman"/>
        </w:rPr>
        <w:t>後</w:t>
      </w:r>
      <w:r w:rsidRPr="00E91F54">
        <w:rPr>
          <w:rFonts w:ascii="Times New Roman" w:hAnsi="Times New Roman"/>
        </w:rPr>
        <w:t>尚未投入漁業生產</w:t>
      </w:r>
      <w:r w:rsidR="00C62F06" w:rsidRPr="00E91F54">
        <w:rPr>
          <w:rFonts w:ascii="Times New Roman" w:hAnsi="Times New Roman"/>
        </w:rPr>
        <w:t>，</w:t>
      </w:r>
      <w:r w:rsidRPr="00E91F54">
        <w:rPr>
          <w:rFonts w:ascii="Times New Roman" w:hAnsi="Times New Roman"/>
        </w:rPr>
        <w:t>即先行</w:t>
      </w:r>
      <w:proofErr w:type="gramStart"/>
      <w:r w:rsidRPr="00E91F54">
        <w:rPr>
          <w:rFonts w:ascii="Times New Roman" w:hAnsi="Times New Roman"/>
        </w:rPr>
        <w:t>併</w:t>
      </w:r>
      <w:proofErr w:type="gramEnd"/>
      <w:r w:rsidRPr="00E91F54">
        <w:rPr>
          <w:rFonts w:ascii="Times New Roman" w:hAnsi="Times New Roman"/>
        </w:rPr>
        <w:t>聯運轉發電獲取發電收益</w:t>
      </w:r>
      <w:r w:rsidR="006D38B9" w:rsidRPr="00E91F54">
        <w:rPr>
          <w:rFonts w:ascii="Times New Roman" w:hAnsi="Times New Roman" w:hint="eastAsia"/>
        </w:rPr>
        <w:t>：</w:t>
      </w:r>
    </w:p>
    <w:p w:rsidR="00D52D70" w:rsidRPr="00E91F54" w:rsidRDefault="00D52D70" w:rsidP="00BD76AE">
      <w:pPr>
        <w:pStyle w:val="5"/>
        <w:rPr>
          <w:rFonts w:ascii="Times New Roman" w:hAnsi="Times New Roman"/>
          <w:b/>
        </w:rPr>
      </w:pPr>
      <w:proofErr w:type="gramStart"/>
      <w:r w:rsidRPr="00E91F54">
        <w:rPr>
          <w:rFonts w:ascii="Times New Roman" w:hAnsi="Times New Roman"/>
        </w:rPr>
        <w:t>臺</w:t>
      </w:r>
      <w:proofErr w:type="gramEnd"/>
      <w:r w:rsidRPr="00E91F54">
        <w:rPr>
          <w:rFonts w:ascii="Times New Roman" w:hAnsi="Times New Roman"/>
        </w:rPr>
        <w:t>南市政府</w:t>
      </w:r>
      <w:r w:rsidR="004B3296" w:rsidRPr="00E91F54">
        <w:rPr>
          <w:rFonts w:ascii="Times New Roman" w:hAnsi="Times New Roman" w:hint="eastAsia"/>
        </w:rPr>
        <w:t>表示</w:t>
      </w:r>
      <w:r w:rsidRPr="00E91F54">
        <w:rPr>
          <w:rFonts w:ascii="Times New Roman" w:hAnsi="Times New Roman"/>
        </w:rPr>
        <w:t>，</w:t>
      </w:r>
      <w:r w:rsidR="00BD4743" w:rsidRPr="00E91F54">
        <w:rPr>
          <w:rFonts w:ascii="Times New Roman" w:hAnsi="Times New Roman"/>
        </w:rPr>
        <w:t>目前發現</w:t>
      </w:r>
      <w:proofErr w:type="gramStart"/>
      <w:r w:rsidR="00BD4743" w:rsidRPr="00E91F54">
        <w:rPr>
          <w:rFonts w:ascii="Times New Roman" w:hAnsi="Times New Roman"/>
        </w:rPr>
        <w:t>有漁</w:t>
      </w:r>
      <w:proofErr w:type="gramEnd"/>
      <w:r w:rsidR="00BD4743" w:rsidRPr="00E91F54">
        <w:rPr>
          <w:rFonts w:ascii="Times New Roman" w:hAnsi="Times New Roman"/>
        </w:rPr>
        <w:t>電共生案場業者在太陽能發電設施</w:t>
      </w:r>
      <w:r w:rsidR="0071022B" w:rsidRPr="00E91F54">
        <w:rPr>
          <w:rFonts w:ascii="Times New Roman" w:hAnsi="Times New Roman"/>
        </w:rPr>
        <w:t>建置</w:t>
      </w:r>
      <w:r w:rsidR="000560B2" w:rsidRPr="00E91F54">
        <w:rPr>
          <w:rFonts w:ascii="Times New Roman" w:hAnsi="Times New Roman" w:hint="eastAsia"/>
        </w:rPr>
        <w:t>後</w:t>
      </w:r>
      <w:r w:rsidR="00BD4743" w:rsidRPr="00E91F54">
        <w:rPr>
          <w:rFonts w:ascii="Times New Roman" w:hAnsi="Times New Roman"/>
        </w:rPr>
        <w:t>，</w:t>
      </w:r>
      <w:bookmarkStart w:id="85" w:name="_Hlk194934056"/>
      <w:r w:rsidR="00BD4743" w:rsidRPr="00E91F54">
        <w:rPr>
          <w:rFonts w:ascii="Times New Roman" w:hAnsi="Times New Roman"/>
        </w:rPr>
        <w:t>尚未投入漁業生產前，</w:t>
      </w:r>
      <w:r w:rsidR="00C44A4D" w:rsidRPr="00E91F54">
        <w:rPr>
          <w:rFonts w:ascii="Times New Roman" w:hAnsi="Times New Roman" w:hint="eastAsia"/>
        </w:rPr>
        <w:t>即能</w:t>
      </w:r>
      <w:r w:rsidR="00BD4743" w:rsidRPr="00E91F54">
        <w:rPr>
          <w:rFonts w:ascii="Times New Roman" w:hAnsi="Times New Roman"/>
        </w:rPr>
        <w:t>取得能源主管機關許可</w:t>
      </w:r>
      <w:r w:rsidR="0071022B" w:rsidRPr="00E91F54">
        <w:rPr>
          <w:rFonts w:ascii="Times New Roman" w:hAnsi="Times New Roman"/>
        </w:rPr>
        <w:t>，</w:t>
      </w:r>
      <w:r w:rsidR="00BD4743" w:rsidRPr="00E91F54">
        <w:rPr>
          <w:rFonts w:ascii="Times New Roman" w:hAnsi="Times New Roman"/>
        </w:rPr>
        <w:t>先行與電業</w:t>
      </w:r>
      <w:r w:rsidR="00CA3CBA" w:rsidRPr="00E91F54">
        <w:rPr>
          <w:rFonts w:ascii="Times New Roman" w:hAnsi="Times New Roman" w:hint="eastAsia"/>
        </w:rPr>
        <w:t>機構</w:t>
      </w:r>
      <w:proofErr w:type="gramStart"/>
      <w:r w:rsidR="00BD4743" w:rsidRPr="00E91F54">
        <w:rPr>
          <w:rFonts w:ascii="Times New Roman" w:hAnsi="Times New Roman"/>
        </w:rPr>
        <w:t>併聯</w:t>
      </w:r>
      <w:proofErr w:type="gramEnd"/>
      <w:r w:rsidR="00BD4743" w:rsidRPr="00E91F54">
        <w:rPr>
          <w:rFonts w:ascii="Times New Roman" w:hAnsi="Times New Roman"/>
        </w:rPr>
        <w:t>試運轉發電</w:t>
      </w:r>
      <w:bookmarkEnd w:id="85"/>
      <w:r w:rsidR="00BD4743" w:rsidRPr="00E91F54">
        <w:rPr>
          <w:rFonts w:ascii="Times New Roman" w:hAnsi="Times New Roman"/>
        </w:rPr>
        <w:t>，因業者已獲取發電收益，</w:t>
      </w:r>
      <w:r w:rsidR="0071022B" w:rsidRPr="00E91F54">
        <w:rPr>
          <w:rFonts w:ascii="Times New Roman" w:hAnsi="Times New Roman"/>
        </w:rPr>
        <w:t>故</w:t>
      </w:r>
      <w:r w:rsidR="00BD4743" w:rsidRPr="00E91F54">
        <w:rPr>
          <w:rFonts w:ascii="Times New Roman" w:hAnsi="Times New Roman"/>
        </w:rPr>
        <w:t>對後續養殖生產設施及設備之興建及建置</w:t>
      </w:r>
      <w:r w:rsidR="0071022B" w:rsidRPr="00E91F54">
        <w:rPr>
          <w:rFonts w:ascii="Times New Roman" w:hAnsi="Times New Roman"/>
        </w:rPr>
        <w:t>，</w:t>
      </w:r>
      <w:r w:rsidR="00BD4743" w:rsidRPr="00E91F54">
        <w:rPr>
          <w:rFonts w:ascii="Times New Roman" w:hAnsi="Times New Roman"/>
        </w:rPr>
        <w:t>呈</w:t>
      </w:r>
      <w:r w:rsidR="0071022B" w:rsidRPr="00E91F54">
        <w:rPr>
          <w:rFonts w:ascii="Times New Roman" w:hAnsi="Times New Roman"/>
        </w:rPr>
        <w:t>現</w:t>
      </w:r>
      <w:r w:rsidR="00BD4743" w:rsidRPr="00E91F54">
        <w:rPr>
          <w:rFonts w:ascii="Times New Roman" w:hAnsi="Times New Roman"/>
        </w:rPr>
        <w:t>消極態度，導致案場遲遲無法進行養殖，除</w:t>
      </w:r>
      <w:proofErr w:type="gramStart"/>
      <w:r w:rsidR="00BD4743" w:rsidRPr="00E91F54">
        <w:rPr>
          <w:rFonts w:ascii="Times New Roman" w:hAnsi="Times New Roman"/>
        </w:rPr>
        <w:t>與漁電共</w:t>
      </w:r>
      <w:proofErr w:type="gramEnd"/>
      <w:r w:rsidR="00BD4743" w:rsidRPr="00E91F54">
        <w:rPr>
          <w:rFonts w:ascii="Times New Roman" w:hAnsi="Times New Roman"/>
        </w:rPr>
        <w:t>生政策相違背，造成社會觀感</w:t>
      </w:r>
      <w:proofErr w:type="gramStart"/>
      <w:r w:rsidR="00BD4743" w:rsidRPr="00E91F54">
        <w:rPr>
          <w:rFonts w:ascii="Times New Roman" w:hAnsi="Times New Roman"/>
        </w:rPr>
        <w:t>不佳</w:t>
      </w:r>
      <w:proofErr w:type="gramEnd"/>
      <w:r w:rsidR="00BD4743" w:rsidRPr="00E91F54">
        <w:rPr>
          <w:rFonts w:ascii="Times New Roman" w:hAnsi="Times New Roman"/>
        </w:rPr>
        <w:t>外，也讓承租養殖戶無魚塭可從事生產工作，影響其生計。</w:t>
      </w:r>
      <w:r w:rsidRPr="00E91F54">
        <w:rPr>
          <w:rFonts w:ascii="Times New Roman" w:hAnsi="Times New Roman"/>
        </w:rPr>
        <w:t>能源主管機關有必要</w:t>
      </w:r>
      <w:r w:rsidR="0071022B" w:rsidRPr="00E91F54">
        <w:rPr>
          <w:rFonts w:ascii="Times New Roman" w:hAnsi="Times New Roman"/>
        </w:rPr>
        <w:t>針</w:t>
      </w:r>
      <w:r w:rsidRPr="00E91F54">
        <w:rPr>
          <w:rFonts w:ascii="Times New Roman" w:hAnsi="Times New Roman"/>
        </w:rPr>
        <w:t>對</w:t>
      </w:r>
      <w:proofErr w:type="gramStart"/>
      <w:r w:rsidRPr="00E91F54">
        <w:rPr>
          <w:rFonts w:ascii="Times New Roman" w:hAnsi="Times New Roman"/>
        </w:rPr>
        <w:t>併聯試</w:t>
      </w:r>
      <w:proofErr w:type="gramEnd"/>
      <w:r w:rsidRPr="00E91F54">
        <w:rPr>
          <w:rFonts w:ascii="Times New Roman" w:hAnsi="Times New Roman"/>
        </w:rPr>
        <w:t>運轉發電</w:t>
      </w:r>
      <w:r w:rsidR="0071022B" w:rsidRPr="00E91F54">
        <w:rPr>
          <w:rFonts w:ascii="Times New Roman" w:hAnsi="Times New Roman"/>
        </w:rPr>
        <w:t>進行</w:t>
      </w:r>
      <w:r w:rsidRPr="00E91F54">
        <w:rPr>
          <w:rFonts w:ascii="Times New Roman" w:hAnsi="Times New Roman"/>
        </w:rPr>
        <w:t>更嚴格的把關，</w:t>
      </w:r>
      <w:r w:rsidR="000560B2" w:rsidRPr="00E91F54">
        <w:rPr>
          <w:rFonts w:ascii="Times New Roman" w:hAnsi="Times New Roman" w:hint="eastAsia"/>
        </w:rPr>
        <w:t>建議應</w:t>
      </w:r>
      <w:r w:rsidR="0071022B" w:rsidRPr="00E91F54">
        <w:rPr>
          <w:rFonts w:ascii="Times New Roman" w:hAnsi="Times New Roman"/>
        </w:rPr>
        <w:t>先</w:t>
      </w:r>
      <w:r w:rsidRPr="00E91F54">
        <w:rPr>
          <w:rFonts w:ascii="Times New Roman" w:hAnsi="Times New Roman"/>
        </w:rPr>
        <w:t>向農業主管機關確認業者</w:t>
      </w:r>
      <w:r w:rsidR="0071022B" w:rsidRPr="00E91F54">
        <w:rPr>
          <w:rFonts w:ascii="Times New Roman" w:hAnsi="Times New Roman"/>
        </w:rPr>
        <w:t>建置</w:t>
      </w:r>
      <w:r w:rsidRPr="00E91F54">
        <w:rPr>
          <w:rFonts w:ascii="Times New Roman" w:hAnsi="Times New Roman"/>
        </w:rPr>
        <w:t>案場已有養殖事實，才能讓其</w:t>
      </w:r>
      <w:proofErr w:type="gramStart"/>
      <w:r w:rsidRPr="00E91F54">
        <w:rPr>
          <w:rFonts w:ascii="Times New Roman" w:hAnsi="Times New Roman"/>
        </w:rPr>
        <w:t>併聯</w:t>
      </w:r>
      <w:proofErr w:type="gramEnd"/>
      <w:r w:rsidRPr="00E91F54">
        <w:rPr>
          <w:rFonts w:ascii="Times New Roman" w:hAnsi="Times New Roman"/>
        </w:rPr>
        <w:t>試運轉發電。</w:t>
      </w:r>
    </w:p>
    <w:p w:rsidR="00D52D70" w:rsidRPr="00E91F54" w:rsidRDefault="00BD4743" w:rsidP="00BD76AE">
      <w:pPr>
        <w:pStyle w:val="5"/>
        <w:rPr>
          <w:rFonts w:ascii="Times New Roman" w:hAnsi="Times New Roman"/>
          <w:b/>
        </w:rPr>
      </w:pPr>
      <w:r w:rsidRPr="00E91F54">
        <w:rPr>
          <w:rFonts w:ascii="Times New Roman" w:hAnsi="Times New Roman"/>
        </w:rPr>
        <w:t>對於尚未養殖即已</w:t>
      </w:r>
      <w:proofErr w:type="gramStart"/>
      <w:r w:rsidRPr="00E91F54">
        <w:rPr>
          <w:rFonts w:ascii="Times New Roman" w:hAnsi="Times New Roman"/>
        </w:rPr>
        <w:t>併聯試</w:t>
      </w:r>
      <w:proofErr w:type="gramEnd"/>
      <w:r w:rsidRPr="00E91F54">
        <w:rPr>
          <w:rFonts w:ascii="Times New Roman" w:hAnsi="Times New Roman"/>
        </w:rPr>
        <w:t>運轉發電之案場，目前該府農業局</w:t>
      </w:r>
      <w:r w:rsidR="00C44A4D" w:rsidRPr="00E91F54">
        <w:rPr>
          <w:rFonts w:ascii="Times New Roman" w:hAnsi="Times New Roman" w:hint="eastAsia"/>
        </w:rPr>
        <w:t>（</w:t>
      </w:r>
      <w:r w:rsidR="00C44A4D" w:rsidRPr="00E91F54">
        <w:rPr>
          <w:rFonts w:ascii="Times New Roman" w:hAnsi="Times New Roman" w:hint="eastAsia"/>
        </w:rPr>
        <w:t>114</w:t>
      </w:r>
      <w:r w:rsidR="00C44A4D" w:rsidRPr="00E91F54">
        <w:rPr>
          <w:rFonts w:ascii="Times New Roman" w:hAnsi="Times New Roman" w:hint="eastAsia"/>
        </w:rPr>
        <w:t>年</w:t>
      </w:r>
      <w:r w:rsidR="00C44A4D" w:rsidRPr="00E91F54">
        <w:rPr>
          <w:rFonts w:ascii="Times New Roman" w:hAnsi="Times New Roman" w:hint="eastAsia"/>
        </w:rPr>
        <w:t>4</w:t>
      </w:r>
      <w:r w:rsidR="00C44A4D" w:rsidRPr="00E91F54">
        <w:rPr>
          <w:rFonts w:ascii="Times New Roman" w:hAnsi="Times New Roman" w:hint="eastAsia"/>
        </w:rPr>
        <w:t>月）</w:t>
      </w:r>
      <w:r w:rsidRPr="00E91F54">
        <w:rPr>
          <w:rFonts w:ascii="Times New Roman" w:hAnsi="Times New Roman"/>
        </w:rPr>
        <w:t>刻正進行清查，</w:t>
      </w:r>
      <w:proofErr w:type="gramStart"/>
      <w:r w:rsidRPr="00E91F54">
        <w:rPr>
          <w:rFonts w:ascii="Times New Roman" w:hAnsi="Times New Roman"/>
        </w:rPr>
        <w:t>惟倘</w:t>
      </w:r>
      <w:proofErr w:type="gramEnd"/>
      <w:r w:rsidRPr="00E91F54">
        <w:rPr>
          <w:rFonts w:ascii="Times New Roman" w:hAnsi="Times New Roman"/>
        </w:rPr>
        <w:t>電業機構未能配合進行案場勾稽，</w:t>
      </w:r>
      <w:r w:rsidR="006D38B9" w:rsidRPr="00E91F54">
        <w:rPr>
          <w:rFonts w:ascii="Times New Roman" w:hAnsi="Times New Roman" w:hint="eastAsia"/>
        </w:rPr>
        <w:t>亦</w:t>
      </w:r>
      <w:r w:rsidRPr="00E91F54">
        <w:rPr>
          <w:rFonts w:ascii="Times New Roman" w:hAnsi="Times New Roman"/>
        </w:rPr>
        <w:t>很難確切掌握實情，故有必要請能源主管機關督導電業機構配合</w:t>
      </w:r>
      <w:r w:rsidR="00D52D70" w:rsidRPr="00E91F54">
        <w:rPr>
          <w:rFonts w:ascii="Times New Roman" w:hAnsi="Times New Roman"/>
        </w:rPr>
        <w:t>該</w:t>
      </w:r>
      <w:r w:rsidRPr="00E91F54">
        <w:rPr>
          <w:rFonts w:ascii="Times New Roman" w:hAnsi="Times New Roman"/>
        </w:rPr>
        <w:t>府農業局進行案場勾稽。</w:t>
      </w:r>
    </w:p>
    <w:p w:rsidR="00556A79" w:rsidRPr="00E91F54" w:rsidRDefault="00556A79" w:rsidP="00C62F06">
      <w:pPr>
        <w:pStyle w:val="4"/>
        <w:rPr>
          <w:rFonts w:ascii="Times New Roman" w:hAnsi="Times New Roman"/>
          <w:b/>
          <w:bCs/>
          <w:kern w:val="0"/>
          <w:szCs w:val="32"/>
        </w:rPr>
      </w:pPr>
      <w:r w:rsidRPr="00E91F54">
        <w:rPr>
          <w:rFonts w:ascii="Times New Roman" w:hAnsi="Times New Roman"/>
          <w:szCs w:val="32"/>
        </w:rPr>
        <w:t>農業容許廢止後</w:t>
      </w:r>
      <w:r w:rsidR="00C62F06" w:rsidRPr="00E91F54">
        <w:rPr>
          <w:rFonts w:ascii="Times New Roman" w:hAnsi="Times New Roman"/>
          <w:szCs w:val="32"/>
        </w:rPr>
        <w:t>，</w:t>
      </w:r>
      <w:r w:rsidRPr="00E91F54">
        <w:rPr>
          <w:rFonts w:ascii="Times New Roman" w:hAnsi="Times New Roman"/>
          <w:szCs w:val="32"/>
        </w:rPr>
        <w:t>因再生能源發電設備登記未被廢止而持續售電</w:t>
      </w:r>
      <w:r w:rsidR="006D38B9" w:rsidRPr="00E91F54">
        <w:rPr>
          <w:rFonts w:ascii="Times New Roman" w:hAnsi="Times New Roman" w:hint="eastAsia"/>
          <w:szCs w:val="32"/>
        </w:rPr>
        <w:t>：</w:t>
      </w:r>
    </w:p>
    <w:p w:rsidR="006B59EF" w:rsidRPr="00E91F54" w:rsidRDefault="002117EA" w:rsidP="00556A79">
      <w:pPr>
        <w:pStyle w:val="5"/>
        <w:rPr>
          <w:rFonts w:ascii="Times New Roman" w:hAnsi="Times New Roman"/>
          <w:b/>
          <w:kern w:val="0"/>
        </w:rPr>
      </w:pPr>
      <w:r w:rsidRPr="00E91F54">
        <w:rPr>
          <w:rFonts w:ascii="Times New Roman" w:hAnsi="Times New Roman"/>
        </w:rPr>
        <w:t>據</w:t>
      </w:r>
      <w:r w:rsidR="006B59EF" w:rsidRPr="00E91F54">
        <w:rPr>
          <w:rFonts w:ascii="Times New Roman" w:hAnsi="Times New Roman"/>
        </w:rPr>
        <w:t>該府表示，</w:t>
      </w:r>
      <w:r w:rsidR="00691A02" w:rsidRPr="00E91F54">
        <w:rPr>
          <w:rFonts w:ascii="Times New Roman" w:hAnsi="Times New Roman"/>
        </w:rPr>
        <w:t>設置管理辦法</w:t>
      </w:r>
      <w:r w:rsidR="00BD4743" w:rsidRPr="00E91F54">
        <w:rPr>
          <w:rFonts w:ascii="Times New Roman" w:hAnsi="Times New Roman"/>
        </w:rPr>
        <w:t>第</w:t>
      </w:r>
      <w:r w:rsidR="00BD4743" w:rsidRPr="00E91F54">
        <w:rPr>
          <w:rFonts w:ascii="Times New Roman" w:hAnsi="Times New Roman"/>
        </w:rPr>
        <w:t>18</w:t>
      </w:r>
      <w:r w:rsidR="00BD4743" w:rsidRPr="00E91F54">
        <w:rPr>
          <w:rFonts w:ascii="Times New Roman" w:hAnsi="Times New Roman"/>
        </w:rPr>
        <w:t>條第</w:t>
      </w:r>
      <w:r w:rsidR="00BD4743" w:rsidRPr="00E91F54">
        <w:rPr>
          <w:rFonts w:ascii="Times New Roman" w:hAnsi="Times New Roman"/>
        </w:rPr>
        <w:t>3</w:t>
      </w:r>
      <w:r w:rsidR="00BD4743" w:rsidRPr="00E91F54">
        <w:rPr>
          <w:rFonts w:ascii="Times New Roman" w:hAnsi="Times New Roman"/>
        </w:rPr>
        <w:t>項僅規定主管機關於限期改善</w:t>
      </w:r>
      <w:proofErr w:type="gramStart"/>
      <w:r w:rsidR="00BD4743" w:rsidRPr="00E91F54">
        <w:rPr>
          <w:rFonts w:ascii="Times New Roman" w:hAnsi="Times New Roman"/>
        </w:rPr>
        <w:t>期間，</w:t>
      </w:r>
      <w:proofErr w:type="gramEnd"/>
      <w:r w:rsidR="00BD4743" w:rsidRPr="00E91F54">
        <w:rPr>
          <w:rFonts w:ascii="Times New Roman" w:hAnsi="Times New Roman"/>
        </w:rPr>
        <w:t>得通知公用售電業暫停計算電能</w:t>
      </w:r>
      <w:proofErr w:type="gramStart"/>
      <w:r w:rsidR="00BD4743" w:rsidRPr="00E91F54">
        <w:rPr>
          <w:rFonts w:ascii="Times New Roman" w:hAnsi="Times New Roman"/>
        </w:rPr>
        <w:t>躉購期間，</w:t>
      </w:r>
      <w:r w:rsidR="0071022B" w:rsidRPr="00E91F54">
        <w:rPr>
          <w:rFonts w:ascii="Times New Roman" w:hAnsi="Times New Roman"/>
        </w:rPr>
        <w:t>然而</w:t>
      </w:r>
      <w:r w:rsidR="00BD4743" w:rsidRPr="00E91F54">
        <w:rPr>
          <w:rFonts w:ascii="Times New Roman" w:hAnsi="Times New Roman"/>
        </w:rPr>
        <w:t>倘</w:t>
      </w:r>
      <w:proofErr w:type="gramEnd"/>
      <w:r w:rsidR="00BD4743" w:rsidRPr="00E91F54">
        <w:rPr>
          <w:rFonts w:ascii="Times New Roman" w:hAnsi="Times New Roman"/>
        </w:rPr>
        <w:t>案場</w:t>
      </w:r>
      <w:proofErr w:type="gramStart"/>
      <w:r w:rsidR="00BD4743" w:rsidRPr="00E91F54">
        <w:rPr>
          <w:rFonts w:ascii="Times New Roman" w:hAnsi="Times New Roman"/>
        </w:rPr>
        <w:t>業者非售</w:t>
      </w:r>
      <w:proofErr w:type="gramEnd"/>
      <w:r w:rsidR="00BD4743" w:rsidRPr="00E91F54">
        <w:rPr>
          <w:rFonts w:ascii="Times New Roman" w:hAnsi="Times New Roman"/>
        </w:rPr>
        <w:t>電予</w:t>
      </w:r>
      <w:r w:rsidR="0061115C" w:rsidRPr="00E91F54">
        <w:rPr>
          <w:rFonts w:ascii="Times New Roman" w:hAnsi="Times New Roman"/>
        </w:rPr>
        <w:t>台</w:t>
      </w:r>
      <w:r w:rsidR="00BD4743" w:rsidRPr="00E91F54">
        <w:rPr>
          <w:rFonts w:ascii="Times New Roman" w:hAnsi="Times New Roman"/>
        </w:rPr>
        <w:t>電公司，</w:t>
      </w:r>
      <w:proofErr w:type="gramStart"/>
      <w:r w:rsidR="00BD4743" w:rsidRPr="00E91F54">
        <w:rPr>
          <w:rFonts w:ascii="Times New Roman" w:hAnsi="Times New Roman"/>
        </w:rPr>
        <w:t>而係售</w:t>
      </w:r>
      <w:proofErr w:type="gramEnd"/>
      <w:r w:rsidR="00BD4743" w:rsidRPr="00E91F54">
        <w:rPr>
          <w:rFonts w:ascii="Times New Roman" w:hAnsi="Times New Roman"/>
        </w:rPr>
        <w:t>電予</w:t>
      </w:r>
      <w:r w:rsidR="00C44A4D" w:rsidRPr="00E91F54">
        <w:rPr>
          <w:rFonts w:ascii="Times New Roman" w:hAnsi="Times New Roman" w:hint="eastAsia"/>
        </w:rPr>
        <w:t>該</w:t>
      </w:r>
      <w:r w:rsidR="00BD4743" w:rsidRPr="00E91F54">
        <w:rPr>
          <w:rFonts w:ascii="Times New Roman" w:hAnsi="Times New Roman"/>
        </w:rPr>
        <w:t>公司以外的民</w:t>
      </w:r>
      <w:r w:rsidR="00BD4743" w:rsidRPr="00E91F54">
        <w:rPr>
          <w:rFonts w:ascii="Times New Roman" w:hAnsi="Times New Roman"/>
        </w:rPr>
        <w:lastRenderedPageBreak/>
        <w:t>間業者，</w:t>
      </w:r>
      <w:r w:rsidR="00C44A4D" w:rsidRPr="00E91F54">
        <w:rPr>
          <w:rFonts w:ascii="Times New Roman" w:hAnsi="Times New Roman" w:hint="eastAsia"/>
        </w:rPr>
        <w:t>即</w:t>
      </w:r>
      <w:r w:rsidR="00BD4743" w:rsidRPr="00E91F54">
        <w:rPr>
          <w:rFonts w:ascii="Times New Roman" w:hAnsi="Times New Roman"/>
        </w:rPr>
        <w:t>無法適用該條處置，則對同樣的改善情事，卻因售電對象不同而有不同對待，形成法律漏洞，更嚴重有礙該府農業局為</w:t>
      </w:r>
      <w:bookmarkStart w:id="86" w:name="_Hlk194500201"/>
      <w:r w:rsidR="00BD4743" w:rsidRPr="00E91F54">
        <w:rPr>
          <w:rFonts w:ascii="Times New Roman" w:hAnsi="Times New Roman"/>
        </w:rPr>
        <w:t>防堵「假養魚、</w:t>
      </w:r>
      <w:proofErr w:type="gramStart"/>
      <w:r w:rsidR="00BD4743" w:rsidRPr="00E91F54">
        <w:rPr>
          <w:rFonts w:ascii="Times New Roman" w:hAnsi="Times New Roman"/>
        </w:rPr>
        <w:t>真種</w:t>
      </w:r>
      <w:proofErr w:type="gramEnd"/>
      <w:r w:rsidR="00BD4743" w:rsidRPr="00E91F54">
        <w:rPr>
          <w:rFonts w:ascii="Times New Roman" w:hAnsi="Times New Roman"/>
        </w:rPr>
        <w:t>電」</w:t>
      </w:r>
      <w:bookmarkEnd w:id="86"/>
      <w:r w:rsidR="00BD4743" w:rsidRPr="00E91F54">
        <w:rPr>
          <w:rFonts w:ascii="Times New Roman" w:hAnsi="Times New Roman"/>
        </w:rPr>
        <w:t>之養殖事實查核，建請經濟部應儘速修法，讓民間業者亦須受其規範，以完備相關機制。</w:t>
      </w:r>
    </w:p>
    <w:p w:rsidR="00556A79" w:rsidRPr="00E91F54" w:rsidRDefault="00BD76AE" w:rsidP="00556A79">
      <w:pPr>
        <w:pStyle w:val="5"/>
        <w:rPr>
          <w:rFonts w:ascii="Times New Roman" w:hAnsi="Times New Roman"/>
          <w:b/>
          <w:kern w:val="0"/>
        </w:rPr>
      </w:pPr>
      <w:r w:rsidRPr="00E91F54">
        <w:rPr>
          <w:rFonts w:ascii="Times New Roman" w:hAnsi="Times New Roman"/>
        </w:rPr>
        <w:t>該府指出，</w:t>
      </w:r>
      <w:r w:rsidR="00BD4743" w:rsidRPr="00E91F54">
        <w:rPr>
          <w:rFonts w:ascii="Times New Roman" w:hAnsi="Times New Roman"/>
        </w:rPr>
        <w:t>地方政府廢止違規農（漁）電共生案場之農業容許後，能源機關應配合廢止光電設備登記，</w:t>
      </w:r>
      <w:r w:rsidR="0061115C" w:rsidRPr="00E91F54">
        <w:rPr>
          <w:rFonts w:ascii="Times New Roman" w:hAnsi="Times New Roman"/>
        </w:rPr>
        <w:t>台</w:t>
      </w:r>
      <w:r w:rsidR="00BD4743" w:rsidRPr="00E91F54">
        <w:rPr>
          <w:rFonts w:ascii="Times New Roman" w:hAnsi="Times New Roman"/>
        </w:rPr>
        <w:t>電</w:t>
      </w:r>
      <w:r w:rsidR="00747ADF" w:rsidRPr="00E91F54">
        <w:rPr>
          <w:rFonts w:ascii="Times New Roman" w:hAnsi="Times New Roman"/>
        </w:rPr>
        <w:t>公司</w:t>
      </w:r>
      <w:r w:rsidR="00BD4743" w:rsidRPr="00E91F54">
        <w:rPr>
          <w:rFonts w:ascii="Times New Roman" w:hAnsi="Times New Roman"/>
        </w:rPr>
        <w:t>等電業機構亦應配合進行斷電業務。</w:t>
      </w:r>
    </w:p>
    <w:p w:rsidR="00A24FA1" w:rsidRPr="00E91F54" w:rsidRDefault="00BD76AE" w:rsidP="00BD76AE">
      <w:pPr>
        <w:pStyle w:val="3"/>
        <w:rPr>
          <w:rFonts w:ascii="Times New Roman" w:hAnsi="Times New Roman"/>
          <w:b/>
        </w:rPr>
      </w:pPr>
      <w:proofErr w:type="gramStart"/>
      <w:r w:rsidRPr="00E91F54">
        <w:rPr>
          <w:rFonts w:ascii="Times New Roman" w:hAnsi="Times New Roman"/>
        </w:rPr>
        <w:t>臺</w:t>
      </w:r>
      <w:proofErr w:type="gramEnd"/>
      <w:r w:rsidRPr="00E91F54">
        <w:rPr>
          <w:rFonts w:ascii="Times New Roman" w:hAnsi="Times New Roman"/>
        </w:rPr>
        <w:t>南市政府</w:t>
      </w:r>
      <w:r w:rsidR="00556A79" w:rsidRPr="00E91F54">
        <w:rPr>
          <w:rFonts w:ascii="Times New Roman" w:hAnsi="Times New Roman"/>
          <w:szCs w:val="32"/>
        </w:rPr>
        <w:t>反映</w:t>
      </w:r>
      <w:r w:rsidRPr="00E91F54">
        <w:rPr>
          <w:rFonts w:ascii="Times New Roman" w:hAnsi="Times New Roman"/>
          <w:szCs w:val="32"/>
        </w:rPr>
        <w:t>以下</w:t>
      </w:r>
      <w:r w:rsidR="00556A79" w:rsidRPr="00E91F54">
        <w:rPr>
          <w:rFonts w:ascii="Times New Roman" w:hAnsi="Times New Roman"/>
          <w:szCs w:val="32"/>
        </w:rPr>
        <w:t>於</w:t>
      </w:r>
      <w:proofErr w:type="gramStart"/>
      <w:r w:rsidR="00556A79" w:rsidRPr="00E91F54">
        <w:rPr>
          <w:rFonts w:ascii="Times New Roman" w:hAnsi="Times New Roman"/>
          <w:szCs w:val="32"/>
        </w:rPr>
        <w:t>查核</w:t>
      </w:r>
      <w:r w:rsidR="002117EA" w:rsidRPr="00E91F54">
        <w:rPr>
          <w:rFonts w:ascii="Times New Roman" w:hAnsi="Times New Roman"/>
          <w:szCs w:val="32"/>
        </w:rPr>
        <w:t>漁</w:t>
      </w:r>
      <w:r w:rsidR="00556A79" w:rsidRPr="00E91F54">
        <w:rPr>
          <w:rFonts w:ascii="Times New Roman" w:hAnsi="Times New Roman"/>
          <w:szCs w:val="32"/>
        </w:rPr>
        <w:t>電共</w:t>
      </w:r>
      <w:proofErr w:type="gramEnd"/>
      <w:r w:rsidR="00556A79" w:rsidRPr="00E91F54">
        <w:rPr>
          <w:rFonts w:ascii="Times New Roman" w:hAnsi="Times New Roman"/>
          <w:szCs w:val="32"/>
        </w:rPr>
        <w:t>生案場時遇到之困境及待協助之</w:t>
      </w:r>
      <w:r w:rsidR="00C44A4D" w:rsidRPr="00E91F54">
        <w:rPr>
          <w:rFonts w:ascii="Times New Roman" w:hAnsi="Times New Roman" w:hint="eastAsia"/>
          <w:szCs w:val="32"/>
        </w:rPr>
        <w:t>問題</w:t>
      </w:r>
      <w:r w:rsidRPr="00E91F54">
        <w:rPr>
          <w:rFonts w:ascii="Times New Roman" w:hAnsi="Times New Roman"/>
          <w:szCs w:val="32"/>
        </w:rPr>
        <w:t>，亦待主管機關研析制度面有無精進改善之處</w:t>
      </w:r>
      <w:r w:rsidR="00C62F06" w:rsidRPr="00E91F54">
        <w:rPr>
          <w:rFonts w:ascii="Times New Roman" w:hAnsi="Times New Roman"/>
          <w:szCs w:val="32"/>
        </w:rPr>
        <w:t>：</w:t>
      </w:r>
    </w:p>
    <w:p w:rsidR="006B59EF" w:rsidRPr="00E91F54" w:rsidRDefault="006B59EF" w:rsidP="00BD76AE">
      <w:pPr>
        <w:pStyle w:val="4"/>
        <w:rPr>
          <w:rFonts w:ascii="Times New Roman" w:hAnsi="Times New Roman"/>
          <w:b/>
        </w:rPr>
      </w:pPr>
      <w:r w:rsidRPr="00E91F54">
        <w:rPr>
          <w:rFonts w:ascii="Times New Roman" w:hAnsi="Times New Roman"/>
        </w:rPr>
        <w:t>據該府表示，</w:t>
      </w:r>
      <w:r w:rsidR="006433D4" w:rsidRPr="00E91F54">
        <w:rPr>
          <w:rFonts w:ascii="Times New Roman" w:hAnsi="Times New Roman"/>
        </w:rPr>
        <w:t>經</w:t>
      </w:r>
      <w:bookmarkStart w:id="87" w:name="_Hlk193579364"/>
      <w:r w:rsidR="00ED27D2" w:rsidRPr="00E91F54">
        <w:rPr>
          <w:rFonts w:ascii="Times New Roman" w:hAnsi="Times New Roman"/>
        </w:rPr>
        <w:t>核定水產養殖設施容許使用</w:t>
      </w:r>
      <w:r w:rsidR="006433D4" w:rsidRPr="00E91F54">
        <w:rPr>
          <w:rFonts w:ascii="Times New Roman" w:hAnsi="Times New Roman"/>
        </w:rPr>
        <w:t>之</w:t>
      </w:r>
      <w:bookmarkStart w:id="88" w:name="_Hlk193579469"/>
      <w:r w:rsidR="006433D4" w:rsidRPr="00E91F54">
        <w:rPr>
          <w:rFonts w:ascii="Times New Roman" w:hAnsi="Times New Roman"/>
        </w:rPr>
        <w:t>經營計畫書</w:t>
      </w:r>
      <w:bookmarkEnd w:id="87"/>
      <w:bookmarkEnd w:id="88"/>
      <w:r w:rsidR="00ED27D2" w:rsidRPr="00E91F54">
        <w:rPr>
          <w:rFonts w:ascii="Times New Roman" w:hAnsi="Times New Roman"/>
        </w:rPr>
        <w:t>，</w:t>
      </w:r>
      <w:r w:rsidR="006433D4" w:rsidRPr="00E91F54">
        <w:rPr>
          <w:rFonts w:ascii="Times New Roman" w:hAnsi="Times New Roman"/>
        </w:rPr>
        <w:t>係作為後續查核案場有無正常經營之標準及依據，</w:t>
      </w:r>
      <w:proofErr w:type="gramStart"/>
      <w:r w:rsidR="006D38B9" w:rsidRPr="00E91F54">
        <w:rPr>
          <w:rFonts w:ascii="Times New Roman" w:hAnsi="Times New Roman" w:hint="eastAsia"/>
        </w:rPr>
        <w:t>爰</w:t>
      </w:r>
      <w:proofErr w:type="gramEnd"/>
      <w:r w:rsidR="006433D4" w:rsidRPr="00E91F54">
        <w:rPr>
          <w:rFonts w:ascii="Times New Roman" w:hAnsi="Times New Roman"/>
        </w:rPr>
        <w:t>經營計畫書之內容是否合理妥當，</w:t>
      </w:r>
      <w:proofErr w:type="gramStart"/>
      <w:r w:rsidR="006433D4" w:rsidRPr="00E91F54">
        <w:rPr>
          <w:rFonts w:ascii="Times New Roman" w:hAnsi="Times New Roman"/>
        </w:rPr>
        <w:t>攸關漁</w:t>
      </w:r>
      <w:proofErr w:type="gramEnd"/>
      <w:r w:rsidR="006433D4" w:rsidRPr="00E91F54">
        <w:rPr>
          <w:rFonts w:ascii="Times New Roman" w:hAnsi="Times New Roman"/>
        </w:rPr>
        <w:t>電共生案場後續是否遭廢止之處置，至為重要，惟經營計畫書涉及的</w:t>
      </w:r>
      <w:bookmarkStart w:id="89" w:name="_Hlk193579941"/>
      <w:r w:rsidR="006433D4" w:rsidRPr="00E91F54">
        <w:rPr>
          <w:rFonts w:ascii="Times New Roman" w:hAnsi="Times New Roman"/>
        </w:rPr>
        <w:t>養殖</w:t>
      </w:r>
      <w:r w:rsidR="00ED27D2" w:rsidRPr="00E91F54">
        <w:rPr>
          <w:rFonts w:ascii="Times New Roman" w:hAnsi="Times New Roman"/>
        </w:rPr>
        <w:t>類別</w:t>
      </w:r>
      <w:r w:rsidR="0097476A" w:rsidRPr="00E91F54">
        <w:rPr>
          <w:rFonts w:ascii="Times New Roman" w:hAnsi="Times New Roman"/>
        </w:rPr>
        <w:t>繁多</w:t>
      </w:r>
      <w:bookmarkEnd w:id="89"/>
      <w:r w:rsidR="006433D4" w:rsidRPr="00E91F54">
        <w:rPr>
          <w:rFonts w:ascii="Times New Roman" w:hAnsi="Times New Roman"/>
        </w:rPr>
        <w:t>，且其審查涉及高度養殖專業，遠非地方政府農政機關之專業所能勝任，</w:t>
      </w:r>
      <w:bookmarkStart w:id="90" w:name="_Hlk193579447"/>
      <w:r w:rsidR="006433D4" w:rsidRPr="00E91F54">
        <w:rPr>
          <w:rFonts w:ascii="Times New Roman" w:hAnsi="Times New Roman"/>
        </w:rPr>
        <w:t>中央權管機關除應建立更具體明確的審查標準外，也應提供專業審查之協助</w:t>
      </w:r>
      <w:bookmarkEnd w:id="90"/>
      <w:r w:rsidR="006D38B9" w:rsidRPr="00E91F54">
        <w:rPr>
          <w:rFonts w:ascii="Times New Roman" w:hAnsi="Times New Roman" w:hint="eastAsia"/>
        </w:rPr>
        <w:t>或建立學者專家資料庫，俾地方政府覓得專業人員協助查核。</w:t>
      </w:r>
      <w:r w:rsidR="006433D4" w:rsidRPr="00E91F54">
        <w:rPr>
          <w:rFonts w:ascii="Times New Roman" w:hAnsi="Times New Roman"/>
        </w:rPr>
        <w:t>而非僅</w:t>
      </w:r>
      <w:proofErr w:type="gramStart"/>
      <w:r w:rsidR="006433D4" w:rsidRPr="00E91F54">
        <w:rPr>
          <w:rFonts w:ascii="Times New Roman" w:hAnsi="Times New Roman"/>
        </w:rPr>
        <w:t>開放</w:t>
      </w:r>
      <w:r w:rsidR="006D38B9" w:rsidRPr="00E91F54">
        <w:rPr>
          <w:rFonts w:ascii="Times New Roman" w:hAnsi="Times New Roman" w:hint="eastAsia"/>
        </w:rPr>
        <w:t>漁電共生</w:t>
      </w:r>
      <w:proofErr w:type="gramEnd"/>
      <w:r w:rsidR="000560B2" w:rsidRPr="00E91F54">
        <w:rPr>
          <w:rFonts w:ascii="Times New Roman" w:hAnsi="Times New Roman" w:hint="eastAsia"/>
        </w:rPr>
        <w:t>，卻</w:t>
      </w:r>
      <w:r w:rsidR="006433D4" w:rsidRPr="00E91F54">
        <w:rPr>
          <w:rFonts w:ascii="Times New Roman" w:hAnsi="Times New Roman"/>
        </w:rPr>
        <w:t>將審查</w:t>
      </w:r>
      <w:proofErr w:type="gramStart"/>
      <w:r w:rsidR="006433D4" w:rsidRPr="00E91F54">
        <w:rPr>
          <w:rFonts w:ascii="Times New Roman" w:hAnsi="Times New Roman"/>
        </w:rPr>
        <w:t>難題</w:t>
      </w:r>
      <w:r w:rsidR="000560B2" w:rsidRPr="00E91F54">
        <w:rPr>
          <w:rFonts w:ascii="Times New Roman" w:hAnsi="Times New Roman" w:hint="eastAsia"/>
        </w:rPr>
        <w:t>留</w:t>
      </w:r>
      <w:r w:rsidR="006433D4" w:rsidRPr="00E91F54">
        <w:rPr>
          <w:rFonts w:ascii="Times New Roman" w:hAnsi="Times New Roman"/>
        </w:rPr>
        <w:t>由地方政</w:t>
      </w:r>
      <w:proofErr w:type="gramEnd"/>
      <w:r w:rsidR="006433D4" w:rsidRPr="00E91F54">
        <w:rPr>
          <w:rFonts w:ascii="Times New Roman" w:hAnsi="Times New Roman"/>
        </w:rPr>
        <w:t>府承擔，</w:t>
      </w:r>
      <w:r w:rsidR="006D38B9" w:rsidRPr="00E91F54">
        <w:rPr>
          <w:rFonts w:ascii="Times New Roman" w:hAnsi="Times New Roman" w:hint="eastAsia"/>
        </w:rPr>
        <w:t>導致</w:t>
      </w:r>
      <w:r w:rsidR="006433D4" w:rsidRPr="00E91F54">
        <w:rPr>
          <w:rFonts w:ascii="Times New Roman" w:hAnsi="Times New Roman"/>
        </w:rPr>
        <w:t>查核結果難以契合核定之經營計畫書，實</w:t>
      </w:r>
      <w:proofErr w:type="gramStart"/>
      <w:r w:rsidR="006433D4" w:rsidRPr="00E91F54">
        <w:rPr>
          <w:rFonts w:ascii="Times New Roman" w:hAnsi="Times New Roman"/>
        </w:rPr>
        <w:t>不利漁電共</w:t>
      </w:r>
      <w:proofErr w:type="gramEnd"/>
      <w:r w:rsidR="006433D4" w:rsidRPr="00E91F54">
        <w:rPr>
          <w:rFonts w:ascii="Times New Roman" w:hAnsi="Times New Roman"/>
        </w:rPr>
        <w:t>生行政秩序之建立。</w:t>
      </w:r>
    </w:p>
    <w:p w:rsidR="006B59EF" w:rsidRPr="00E91F54" w:rsidRDefault="002117EA" w:rsidP="00BD76AE">
      <w:pPr>
        <w:pStyle w:val="4"/>
        <w:rPr>
          <w:rFonts w:ascii="Times New Roman" w:hAnsi="Times New Roman"/>
          <w:szCs w:val="32"/>
        </w:rPr>
      </w:pPr>
      <w:r w:rsidRPr="00E91F54">
        <w:rPr>
          <w:rFonts w:ascii="Times New Roman" w:hAnsi="Times New Roman"/>
          <w:szCs w:val="32"/>
        </w:rPr>
        <w:t>該府指出，</w:t>
      </w:r>
      <w:r w:rsidR="006A7738" w:rsidRPr="00E91F54">
        <w:rPr>
          <w:rFonts w:ascii="Times New Roman" w:hAnsi="Times New Roman"/>
          <w:szCs w:val="32"/>
        </w:rPr>
        <w:t>有</w:t>
      </w:r>
      <w:r w:rsidR="006433D4" w:rsidRPr="00E91F54">
        <w:rPr>
          <w:rFonts w:ascii="Times New Roman" w:hAnsi="Times New Roman"/>
          <w:szCs w:val="32"/>
        </w:rPr>
        <w:t>無符合經營計畫書之養殖事實查核，因涉及到</w:t>
      </w:r>
      <w:r w:rsidR="005E139A" w:rsidRPr="00E91F54">
        <w:rPr>
          <w:rFonts w:ascii="Times New Roman" w:hAnsi="Times New Roman"/>
          <w:szCs w:val="32"/>
        </w:rPr>
        <w:t>各種</w:t>
      </w:r>
      <w:r w:rsidR="006433D4" w:rsidRPr="00E91F54">
        <w:rPr>
          <w:rFonts w:ascii="Times New Roman" w:hAnsi="Times New Roman"/>
        </w:rPr>
        <w:t>養殖</w:t>
      </w:r>
      <w:r w:rsidR="00ED27D2" w:rsidRPr="00E91F54">
        <w:rPr>
          <w:rFonts w:ascii="Times New Roman" w:hAnsi="Times New Roman"/>
        </w:rPr>
        <w:t>類</w:t>
      </w:r>
      <w:r w:rsidR="005E139A" w:rsidRPr="00E91F54">
        <w:rPr>
          <w:rFonts w:ascii="Times New Roman" w:hAnsi="Times New Roman"/>
        </w:rPr>
        <w:t>別</w:t>
      </w:r>
      <w:r w:rsidR="006433D4" w:rsidRPr="00E91F54">
        <w:rPr>
          <w:rFonts w:ascii="Times New Roman" w:hAnsi="Times New Roman"/>
          <w:szCs w:val="32"/>
        </w:rPr>
        <w:t>的查核，包括如何抽查、查核標準、廢止之判斷基準</w:t>
      </w:r>
      <w:r w:rsidR="006C4CD7" w:rsidRPr="00E91F54">
        <w:rPr>
          <w:rFonts w:ascii="Times New Roman" w:hAnsi="Times New Roman"/>
          <w:szCs w:val="32"/>
        </w:rPr>
        <w:t>（</w:t>
      </w:r>
      <w:r w:rsidR="006433D4" w:rsidRPr="00E91F54">
        <w:rPr>
          <w:rFonts w:ascii="Times New Roman" w:hAnsi="Times New Roman"/>
          <w:szCs w:val="32"/>
        </w:rPr>
        <w:t>包含給予改善之次數與期間</w:t>
      </w:r>
      <w:r w:rsidR="006C4CD7" w:rsidRPr="00E91F54">
        <w:rPr>
          <w:rFonts w:ascii="Times New Roman" w:hAnsi="Times New Roman"/>
          <w:szCs w:val="32"/>
        </w:rPr>
        <w:t>）</w:t>
      </w:r>
      <w:r w:rsidR="006433D4" w:rsidRPr="00E91F54">
        <w:rPr>
          <w:rFonts w:ascii="Times New Roman" w:hAnsi="Times New Roman"/>
          <w:szCs w:val="32"/>
        </w:rPr>
        <w:t>、情節重大情形為何及如何處理</w:t>
      </w:r>
      <w:r w:rsidR="006433D4" w:rsidRPr="00E91F54">
        <w:rPr>
          <w:rFonts w:ascii="Times New Roman" w:hAnsi="Times New Roman"/>
          <w:szCs w:val="32"/>
        </w:rPr>
        <w:lastRenderedPageBreak/>
        <w:t>等，對於本身未實際從事養殖的地方農政人員而言，實難確切掌控，亟待中央權管機關建立具體明確的查核規定，並提供查核個案專業上的必要協助。</w:t>
      </w:r>
    </w:p>
    <w:p w:rsidR="006B59EF" w:rsidRPr="00E91F54" w:rsidRDefault="006B59EF" w:rsidP="00BD76AE">
      <w:pPr>
        <w:pStyle w:val="4"/>
        <w:rPr>
          <w:rFonts w:ascii="Times New Roman" w:hAnsi="Times New Roman"/>
          <w:szCs w:val="32"/>
        </w:rPr>
      </w:pPr>
      <w:r w:rsidRPr="00E91F54">
        <w:rPr>
          <w:rFonts w:ascii="Times New Roman" w:hAnsi="Times New Roman"/>
          <w:szCs w:val="32"/>
        </w:rPr>
        <w:t>該府</w:t>
      </w:r>
      <w:proofErr w:type="gramStart"/>
      <w:r w:rsidR="00C44A4D" w:rsidRPr="00E91F54">
        <w:rPr>
          <w:rFonts w:ascii="Times New Roman" w:hAnsi="Times New Roman" w:hint="eastAsia"/>
          <w:szCs w:val="32"/>
        </w:rPr>
        <w:t>受理</w:t>
      </w:r>
      <w:r w:rsidRPr="00E91F54">
        <w:rPr>
          <w:rFonts w:ascii="Times New Roman" w:hAnsi="Times New Roman"/>
          <w:szCs w:val="32"/>
        </w:rPr>
        <w:t>漁電共生</w:t>
      </w:r>
      <w:proofErr w:type="gramEnd"/>
      <w:r w:rsidRPr="00E91F54">
        <w:rPr>
          <w:rFonts w:ascii="Times New Roman" w:hAnsi="Times New Roman"/>
          <w:szCs w:val="32"/>
        </w:rPr>
        <w:t>申請</w:t>
      </w:r>
      <w:r w:rsidRPr="00E91F54">
        <w:rPr>
          <w:rFonts w:ascii="Times New Roman" w:hAnsi="Times New Roman"/>
        </w:rPr>
        <w:t>案件</w:t>
      </w:r>
      <w:r w:rsidRPr="00E91F54">
        <w:rPr>
          <w:rFonts w:ascii="Times New Roman" w:hAnsi="Times New Roman"/>
          <w:szCs w:val="32"/>
        </w:rPr>
        <w:t>居全國之冠，無論是申請案經營計畫書的審查、養殖事實的查核、缺失情形的輔導改善、廢止案場的後續清理等皆需耗費龐大人力、物力，中央權管機關必須擴大挹注相關經費，相關業務始能順利推展。</w:t>
      </w:r>
    </w:p>
    <w:p w:rsidR="006B59EF" w:rsidRPr="00E91F54" w:rsidRDefault="00C62F06" w:rsidP="00C62F06">
      <w:pPr>
        <w:pStyle w:val="3"/>
        <w:rPr>
          <w:rFonts w:ascii="Times New Roman" w:hAnsi="Times New Roman"/>
          <w:szCs w:val="32"/>
        </w:rPr>
      </w:pPr>
      <w:r w:rsidRPr="00E91F54">
        <w:rPr>
          <w:rFonts w:ascii="Times New Roman" w:hAnsi="Times New Roman"/>
        </w:rPr>
        <w:t>觀諸</w:t>
      </w:r>
      <w:r w:rsidR="0097476A" w:rsidRPr="00E91F54">
        <w:rPr>
          <w:rFonts w:ascii="Times New Roman" w:hAnsi="Times New Roman"/>
        </w:rPr>
        <w:t>上開</w:t>
      </w:r>
      <w:proofErr w:type="gramStart"/>
      <w:r w:rsidR="00A76142" w:rsidRPr="00E91F54">
        <w:rPr>
          <w:rFonts w:ascii="Times New Roman" w:hAnsi="Times New Roman"/>
        </w:rPr>
        <w:t>臺</w:t>
      </w:r>
      <w:proofErr w:type="gramEnd"/>
      <w:r w:rsidR="00A76142" w:rsidRPr="00E91F54">
        <w:rPr>
          <w:rFonts w:ascii="Times New Roman" w:hAnsi="Times New Roman"/>
        </w:rPr>
        <w:t>南市政府所提</w:t>
      </w:r>
      <w:r w:rsidR="00BD76AE" w:rsidRPr="00E91F54">
        <w:rPr>
          <w:rFonts w:ascii="Times New Roman" w:hAnsi="Times New Roman"/>
        </w:rPr>
        <w:t>查核困境</w:t>
      </w:r>
      <w:r w:rsidR="006D38B9" w:rsidRPr="00E91F54">
        <w:rPr>
          <w:rFonts w:ascii="Times New Roman" w:hAnsi="Times New Roman" w:hint="eastAsia"/>
        </w:rPr>
        <w:t>、</w:t>
      </w:r>
      <w:r w:rsidR="00A76142" w:rsidRPr="00E91F54">
        <w:rPr>
          <w:rFonts w:ascii="Times New Roman" w:hAnsi="Times New Roman"/>
        </w:rPr>
        <w:t>建議</w:t>
      </w:r>
      <w:r w:rsidR="006D38B9" w:rsidRPr="00E91F54">
        <w:rPr>
          <w:rFonts w:ascii="Times New Roman" w:hAnsi="Times New Roman" w:hint="eastAsia"/>
        </w:rPr>
        <w:t>及</w:t>
      </w:r>
      <w:r w:rsidR="00A76142" w:rsidRPr="00E91F54">
        <w:rPr>
          <w:rFonts w:ascii="Times New Roman" w:hAnsi="Times New Roman"/>
        </w:rPr>
        <w:t>意見，</w:t>
      </w:r>
      <w:r w:rsidR="006D38B9" w:rsidRPr="00E91F54">
        <w:rPr>
          <w:rFonts w:ascii="Times New Roman" w:hAnsi="Times New Roman" w:hint="eastAsia"/>
        </w:rPr>
        <w:t>有關</w:t>
      </w:r>
      <w:r w:rsidR="006B59EF" w:rsidRPr="00E91F54">
        <w:rPr>
          <w:rFonts w:ascii="Times New Roman" w:hAnsi="Times New Roman"/>
        </w:rPr>
        <w:t>農業容許廢止後卻因再生能源發電設備登記未被廢止而持續</w:t>
      </w:r>
      <w:r w:rsidR="006D38B9" w:rsidRPr="00E91F54">
        <w:rPr>
          <w:rFonts w:ascii="Times New Roman" w:hAnsi="Times New Roman" w:hint="eastAsia"/>
        </w:rPr>
        <w:t>售電、</w:t>
      </w:r>
      <w:proofErr w:type="gramStart"/>
      <w:r w:rsidR="006D38B9" w:rsidRPr="00E91F54">
        <w:rPr>
          <w:rFonts w:ascii="Times New Roman" w:hAnsi="Times New Roman" w:hint="eastAsia"/>
        </w:rPr>
        <w:t>享有躉購電</w:t>
      </w:r>
      <w:proofErr w:type="gramEnd"/>
      <w:r w:rsidR="006D38B9" w:rsidRPr="00E91F54">
        <w:rPr>
          <w:rFonts w:ascii="Times New Roman" w:hAnsi="Times New Roman" w:hint="eastAsia"/>
        </w:rPr>
        <w:t>費利益等爭議</w:t>
      </w:r>
      <w:r w:rsidR="006B59EF" w:rsidRPr="00E91F54">
        <w:rPr>
          <w:rFonts w:ascii="Times New Roman" w:hAnsi="Times New Roman"/>
        </w:rPr>
        <w:t>現象存在已久，本院</w:t>
      </w:r>
      <w:r w:rsidR="00D814F3" w:rsidRPr="00E91F54">
        <w:rPr>
          <w:rFonts w:ascii="Times New Roman" w:hAnsi="Times New Roman"/>
        </w:rPr>
        <w:t>亦</w:t>
      </w:r>
      <w:r w:rsidRPr="00E91F54">
        <w:rPr>
          <w:rFonts w:ascii="Times New Roman" w:hAnsi="Times New Roman"/>
        </w:rPr>
        <w:t>曾</w:t>
      </w:r>
      <w:r w:rsidR="00D814F3" w:rsidRPr="00E91F54">
        <w:rPr>
          <w:rFonts w:ascii="Times New Roman" w:hAnsi="Times New Roman"/>
        </w:rPr>
        <w:t>對此進行</w:t>
      </w:r>
      <w:r w:rsidR="006B59EF" w:rsidRPr="00E91F54">
        <w:rPr>
          <w:rFonts w:ascii="Times New Roman" w:hAnsi="Times New Roman"/>
        </w:rPr>
        <w:t>調查並對</w:t>
      </w:r>
      <w:r w:rsidR="00B76514" w:rsidRPr="00E91F54">
        <w:rPr>
          <w:rFonts w:ascii="Times New Roman" w:hAnsi="Times New Roman"/>
        </w:rPr>
        <w:t>原經濟部</w:t>
      </w:r>
      <w:r w:rsidR="006B59EF" w:rsidRPr="00E91F54">
        <w:rPr>
          <w:rFonts w:ascii="Times New Roman" w:hAnsi="Times New Roman"/>
        </w:rPr>
        <w:t>能源局提出糾正在案</w:t>
      </w:r>
      <w:r w:rsidR="000C08AC" w:rsidRPr="00E91F54">
        <w:rPr>
          <w:rFonts w:ascii="Times New Roman" w:hAnsi="Times New Roman" w:hint="eastAsia"/>
        </w:rPr>
        <w:t>（</w:t>
      </w:r>
      <w:r w:rsidR="000C08AC" w:rsidRPr="00E91F54">
        <w:rPr>
          <w:rFonts w:ascii="Times New Roman" w:hAnsi="Times New Roman" w:hint="eastAsia"/>
        </w:rPr>
        <w:t>106</w:t>
      </w:r>
      <w:r w:rsidR="000C08AC" w:rsidRPr="00E91F54">
        <w:rPr>
          <w:rFonts w:ascii="Times New Roman" w:hAnsi="Times New Roman" w:hint="eastAsia"/>
        </w:rPr>
        <w:t>年財正</w:t>
      </w:r>
      <w:r w:rsidR="000C08AC" w:rsidRPr="00E91F54">
        <w:rPr>
          <w:rFonts w:ascii="Times New Roman" w:hAnsi="Times New Roman" w:hint="eastAsia"/>
        </w:rPr>
        <w:t>0019</w:t>
      </w:r>
      <w:r w:rsidR="000C08AC" w:rsidRPr="00E91F54">
        <w:rPr>
          <w:rFonts w:ascii="Times New Roman" w:hAnsi="Times New Roman" w:hint="eastAsia"/>
        </w:rPr>
        <w:t>）</w:t>
      </w:r>
      <w:r w:rsidR="00A76142" w:rsidRPr="00E91F54">
        <w:rPr>
          <w:rFonts w:ascii="Times New Roman" w:hAnsi="Times New Roman"/>
        </w:rPr>
        <w:t>，</w:t>
      </w:r>
      <w:r w:rsidR="00DF6968" w:rsidRPr="00E91F54">
        <w:rPr>
          <w:rFonts w:ascii="Times New Roman" w:hAnsi="Times New Roman"/>
        </w:rPr>
        <w:t>經濟部</w:t>
      </w:r>
      <w:proofErr w:type="gramStart"/>
      <w:r w:rsidR="006B59EF" w:rsidRPr="00E91F54">
        <w:rPr>
          <w:rFonts w:ascii="Times New Roman" w:hAnsi="Times New Roman"/>
        </w:rPr>
        <w:t>能源署允</w:t>
      </w:r>
      <w:proofErr w:type="gramEnd"/>
      <w:r w:rsidR="006B59EF" w:rsidRPr="00E91F54">
        <w:rPr>
          <w:rFonts w:ascii="Times New Roman" w:hAnsi="Times New Roman"/>
        </w:rPr>
        <w:t>應重行檢視</w:t>
      </w:r>
      <w:r w:rsidR="006D38B9" w:rsidRPr="00E91F54">
        <w:rPr>
          <w:rFonts w:ascii="Times New Roman" w:hAnsi="Times New Roman" w:hint="eastAsia"/>
        </w:rPr>
        <w:t>是否尚有法規面與執行面之</w:t>
      </w:r>
      <w:r w:rsidR="00CB385D" w:rsidRPr="00E91F54">
        <w:rPr>
          <w:rFonts w:ascii="Times New Roman" w:hAnsi="Times New Roman" w:hint="eastAsia"/>
        </w:rPr>
        <w:t>漏洞</w:t>
      </w:r>
      <w:r w:rsidR="006B59EF" w:rsidRPr="00E91F54">
        <w:rPr>
          <w:rFonts w:ascii="Times New Roman" w:hAnsi="Times New Roman"/>
        </w:rPr>
        <w:t>，以</w:t>
      </w:r>
      <w:r w:rsidR="00CB385D" w:rsidRPr="00E91F54">
        <w:rPr>
          <w:rFonts w:ascii="Times New Roman" w:hAnsi="Times New Roman" w:hint="eastAsia"/>
        </w:rPr>
        <w:t>有效防堵業者虛與委蛇</w:t>
      </w:r>
      <w:r w:rsidR="006B59EF" w:rsidRPr="00E91F54">
        <w:rPr>
          <w:rFonts w:ascii="Times New Roman" w:hAnsi="Times New Roman"/>
        </w:rPr>
        <w:t>。</w:t>
      </w:r>
      <w:proofErr w:type="gramStart"/>
      <w:r w:rsidR="00D814F3" w:rsidRPr="00E91F54">
        <w:rPr>
          <w:rFonts w:ascii="Times New Roman" w:hAnsi="Times New Roman"/>
        </w:rPr>
        <w:t>復觀該府</w:t>
      </w:r>
      <w:proofErr w:type="gramEnd"/>
      <w:r w:rsidR="002117EA" w:rsidRPr="00E91F54">
        <w:rPr>
          <w:rFonts w:ascii="Times New Roman" w:hAnsi="Times New Roman"/>
        </w:rPr>
        <w:t>所提</w:t>
      </w:r>
      <w:r w:rsidR="00A76142" w:rsidRPr="00E91F54">
        <w:rPr>
          <w:rFonts w:ascii="Times New Roman" w:hAnsi="Times New Roman"/>
        </w:rPr>
        <w:t>查核困境部分，</w:t>
      </w:r>
      <w:r w:rsidR="006B59EF" w:rsidRPr="00E91F54">
        <w:rPr>
          <w:rFonts w:ascii="Times New Roman" w:hAnsi="Times New Roman"/>
        </w:rPr>
        <w:t>農業部</w:t>
      </w:r>
      <w:r w:rsidR="00CB385D" w:rsidRPr="00E91F54">
        <w:rPr>
          <w:rFonts w:ascii="Times New Roman" w:hAnsi="Times New Roman" w:hint="eastAsia"/>
        </w:rPr>
        <w:t>（</w:t>
      </w:r>
      <w:r w:rsidR="006B59EF" w:rsidRPr="00E91F54">
        <w:rPr>
          <w:rFonts w:ascii="Times New Roman" w:hAnsi="Times New Roman"/>
        </w:rPr>
        <w:t>漁業署</w:t>
      </w:r>
      <w:r w:rsidR="00CB385D" w:rsidRPr="00E91F54">
        <w:rPr>
          <w:rFonts w:ascii="Times New Roman" w:hAnsi="Times New Roman" w:hint="eastAsia"/>
        </w:rPr>
        <w:t>）</w:t>
      </w:r>
      <w:proofErr w:type="gramStart"/>
      <w:r w:rsidR="00A76142" w:rsidRPr="00E91F54">
        <w:rPr>
          <w:rFonts w:ascii="Times New Roman" w:hAnsi="Times New Roman"/>
        </w:rPr>
        <w:t>雖</w:t>
      </w:r>
      <w:r w:rsidR="00CB385D" w:rsidRPr="00E91F54">
        <w:rPr>
          <w:rFonts w:ascii="Times New Roman" w:hAnsi="Times New Roman" w:hint="eastAsia"/>
        </w:rPr>
        <w:t>前</w:t>
      </w:r>
      <w:proofErr w:type="gramEnd"/>
      <w:r w:rsidR="006B59EF" w:rsidRPr="00E91F54">
        <w:rPr>
          <w:rFonts w:ascii="Times New Roman" w:hAnsi="Times New Roman"/>
        </w:rPr>
        <w:t>於</w:t>
      </w:r>
      <w:r w:rsidR="006B59EF" w:rsidRPr="00E91F54">
        <w:rPr>
          <w:rFonts w:ascii="Times New Roman" w:hAnsi="Times New Roman"/>
        </w:rPr>
        <w:t>114</w:t>
      </w:r>
      <w:r w:rsidR="006B59EF" w:rsidRPr="00E91F54">
        <w:rPr>
          <w:rFonts w:ascii="Times New Roman" w:hAnsi="Times New Roman"/>
        </w:rPr>
        <w:t>年</w:t>
      </w:r>
      <w:r w:rsidR="006B59EF" w:rsidRPr="00E91F54">
        <w:rPr>
          <w:rFonts w:ascii="Times New Roman" w:hAnsi="Times New Roman"/>
        </w:rPr>
        <w:t>2</w:t>
      </w:r>
      <w:r w:rsidR="006B59EF" w:rsidRPr="00E91F54">
        <w:rPr>
          <w:rFonts w:ascii="Times New Roman" w:hAnsi="Times New Roman"/>
        </w:rPr>
        <w:t>月</w:t>
      </w:r>
      <w:r w:rsidR="006B59EF" w:rsidRPr="00E91F54">
        <w:rPr>
          <w:rFonts w:ascii="Times New Roman" w:hAnsi="Times New Roman"/>
        </w:rPr>
        <w:t>18</w:t>
      </w:r>
      <w:r w:rsidR="006B59EF" w:rsidRPr="00E91F54">
        <w:rPr>
          <w:rFonts w:ascii="Times New Roman" w:hAnsi="Times New Roman"/>
        </w:rPr>
        <w:t>日函送</w:t>
      </w:r>
      <w:r w:rsidR="00CB385D" w:rsidRPr="00E91F54">
        <w:rPr>
          <w:rFonts w:ascii="Times New Roman" w:hAnsi="Times New Roman" w:hint="eastAsia"/>
        </w:rPr>
        <w:t>「</w:t>
      </w:r>
      <w:proofErr w:type="gramStart"/>
      <w:r w:rsidR="006B59EF" w:rsidRPr="00E91F54">
        <w:rPr>
          <w:rFonts w:ascii="Times New Roman" w:hAnsi="Times New Roman"/>
        </w:rPr>
        <w:t>漁電共</w:t>
      </w:r>
      <w:proofErr w:type="gramEnd"/>
      <w:r w:rsidR="006B59EF" w:rsidRPr="00E91F54">
        <w:rPr>
          <w:rFonts w:ascii="Times New Roman" w:hAnsi="Times New Roman"/>
        </w:rPr>
        <w:t>生案場規劃顯不合理及設施與養殖經營之</w:t>
      </w:r>
      <w:proofErr w:type="gramStart"/>
      <w:r w:rsidR="006B59EF" w:rsidRPr="00E91F54">
        <w:rPr>
          <w:rFonts w:ascii="Times New Roman" w:hAnsi="Times New Roman"/>
        </w:rPr>
        <w:t>必要性顯</w:t>
      </w:r>
      <w:proofErr w:type="gramEnd"/>
      <w:r w:rsidR="006B59EF" w:rsidRPr="00E91F54">
        <w:rPr>
          <w:rFonts w:ascii="Times New Roman" w:hAnsi="Times New Roman"/>
        </w:rPr>
        <w:t>不相當之樣態</w:t>
      </w:r>
      <w:r w:rsidR="00CB385D" w:rsidRPr="00E91F54">
        <w:rPr>
          <w:rFonts w:ascii="Times New Roman" w:hAnsi="Times New Roman" w:hint="eastAsia"/>
        </w:rPr>
        <w:t>」</w:t>
      </w:r>
      <w:r w:rsidR="006B59EF" w:rsidRPr="00E91F54">
        <w:rPr>
          <w:rFonts w:ascii="Times New Roman" w:hAnsi="Times New Roman"/>
        </w:rPr>
        <w:t>，供地方政府據以審查。然</w:t>
      </w:r>
      <w:r w:rsidR="00A76142" w:rsidRPr="00E91F54">
        <w:rPr>
          <w:rFonts w:ascii="Times New Roman" w:hAnsi="Times New Roman"/>
        </w:rPr>
        <w:t>而</w:t>
      </w:r>
      <w:proofErr w:type="gramStart"/>
      <w:r w:rsidR="00A76142" w:rsidRPr="00E91F54">
        <w:rPr>
          <w:rFonts w:ascii="Times New Roman" w:hAnsi="Times New Roman"/>
        </w:rPr>
        <w:t>臺</w:t>
      </w:r>
      <w:proofErr w:type="gramEnd"/>
      <w:r w:rsidR="00A76142" w:rsidRPr="00E91F54">
        <w:rPr>
          <w:rFonts w:ascii="Times New Roman" w:hAnsi="Times New Roman"/>
        </w:rPr>
        <w:t>南市政府</w:t>
      </w:r>
      <w:r w:rsidR="006B59EF" w:rsidRPr="00E91F54">
        <w:rPr>
          <w:rFonts w:ascii="Times New Roman" w:hAnsi="Times New Roman"/>
        </w:rPr>
        <w:t>仍</w:t>
      </w:r>
      <w:r w:rsidR="00CB385D" w:rsidRPr="00E91F54">
        <w:rPr>
          <w:rFonts w:ascii="Times New Roman" w:hAnsi="Times New Roman" w:hint="eastAsia"/>
        </w:rPr>
        <w:t>於本案詢問會議時，本於第一線執行機關之立場，</w:t>
      </w:r>
      <w:r w:rsidR="006B59EF" w:rsidRPr="00E91F54">
        <w:rPr>
          <w:rFonts w:ascii="Times New Roman" w:hAnsi="Times New Roman"/>
        </w:rPr>
        <w:t>提出專業審查上</w:t>
      </w:r>
      <w:r w:rsidR="00A76142" w:rsidRPr="00E91F54">
        <w:rPr>
          <w:rFonts w:ascii="Times New Roman" w:hAnsi="Times New Roman"/>
        </w:rPr>
        <w:t>困境與需要之協助</w:t>
      </w:r>
      <w:r w:rsidR="006B59EF" w:rsidRPr="00E91F54">
        <w:rPr>
          <w:rFonts w:ascii="Times New Roman" w:hAnsi="Times New Roman"/>
        </w:rPr>
        <w:t>，</w:t>
      </w:r>
      <w:r w:rsidR="00A76142" w:rsidRPr="00E91F54">
        <w:rPr>
          <w:rFonts w:ascii="Times New Roman" w:hAnsi="Times New Roman"/>
          <w:szCs w:val="32"/>
        </w:rPr>
        <w:t>無不反映</w:t>
      </w:r>
      <w:r w:rsidR="00DF6968" w:rsidRPr="00E91F54">
        <w:rPr>
          <w:rFonts w:ascii="Times New Roman" w:hAnsi="Times New Roman"/>
          <w:szCs w:val="32"/>
        </w:rPr>
        <w:t>中央及地方主管機關認知落差</w:t>
      </w:r>
      <w:r w:rsidR="00CB385D" w:rsidRPr="00E91F54">
        <w:rPr>
          <w:rFonts w:ascii="Times New Roman" w:hAnsi="Times New Roman" w:hint="eastAsia"/>
          <w:szCs w:val="32"/>
        </w:rPr>
        <w:t>，顯示</w:t>
      </w:r>
      <w:r w:rsidR="00A76142" w:rsidRPr="00E91F54">
        <w:rPr>
          <w:rFonts w:ascii="Times New Roman" w:hAnsi="Times New Roman"/>
          <w:szCs w:val="32"/>
        </w:rPr>
        <w:t>現行農（漁）電共生之政策工具與配套措施尚有精進強化之處，</w:t>
      </w:r>
      <w:proofErr w:type="gramStart"/>
      <w:r w:rsidR="00DF6968" w:rsidRPr="00E91F54">
        <w:rPr>
          <w:rFonts w:ascii="Times New Roman" w:hAnsi="Times New Roman"/>
          <w:szCs w:val="32"/>
        </w:rPr>
        <w:t>農電共</w:t>
      </w:r>
      <w:proofErr w:type="gramEnd"/>
      <w:r w:rsidR="00DF6968" w:rsidRPr="00E91F54">
        <w:rPr>
          <w:rFonts w:ascii="Times New Roman" w:hAnsi="Times New Roman"/>
          <w:szCs w:val="32"/>
        </w:rPr>
        <w:t>生之中央主管機關經濟部</w:t>
      </w:r>
      <w:r w:rsidR="00A76142" w:rsidRPr="00E91F54">
        <w:rPr>
          <w:rFonts w:ascii="Times New Roman" w:hAnsi="Times New Roman"/>
          <w:szCs w:val="32"/>
        </w:rPr>
        <w:t>能源署與農業部允應審慎</w:t>
      </w:r>
      <w:r w:rsidR="00CB385D" w:rsidRPr="00E91F54">
        <w:rPr>
          <w:rFonts w:ascii="Times New Roman" w:hAnsi="Times New Roman" w:hint="eastAsia"/>
          <w:szCs w:val="32"/>
        </w:rPr>
        <w:t>檢討現行</w:t>
      </w:r>
      <w:r w:rsidR="006B59EF" w:rsidRPr="00E91F54">
        <w:rPr>
          <w:rFonts w:ascii="Times New Roman" w:hAnsi="Times New Roman"/>
          <w:szCs w:val="32"/>
        </w:rPr>
        <w:t>機制，建立更具體明確的經營計畫書審查標準</w:t>
      </w:r>
      <w:r w:rsidR="002117EA" w:rsidRPr="00E91F54">
        <w:rPr>
          <w:rFonts w:ascii="Times New Roman" w:hAnsi="Times New Roman"/>
          <w:szCs w:val="32"/>
        </w:rPr>
        <w:t>；</w:t>
      </w:r>
      <w:r w:rsidR="00A76142" w:rsidRPr="00E91F54">
        <w:rPr>
          <w:rFonts w:ascii="Times New Roman" w:hAnsi="Times New Roman"/>
          <w:szCs w:val="32"/>
        </w:rPr>
        <w:t>另</w:t>
      </w:r>
      <w:r w:rsidR="006B59EF" w:rsidRPr="00E91F54">
        <w:rPr>
          <w:rFonts w:ascii="Times New Roman" w:hAnsi="Times New Roman"/>
          <w:szCs w:val="32"/>
        </w:rPr>
        <w:t>對於養殖事實之認定、相關查核標準、廢止之判斷基準等</w:t>
      </w:r>
      <w:r w:rsidR="00C44A4D" w:rsidRPr="00E91F54">
        <w:rPr>
          <w:rFonts w:ascii="Times New Roman" w:hAnsi="Times New Roman" w:hint="eastAsia"/>
          <w:szCs w:val="32"/>
        </w:rPr>
        <w:t>面向</w:t>
      </w:r>
      <w:r w:rsidR="006B59EF" w:rsidRPr="00E91F54">
        <w:rPr>
          <w:rFonts w:ascii="Times New Roman" w:hAnsi="Times New Roman"/>
          <w:szCs w:val="32"/>
        </w:rPr>
        <w:t>，允應建立具體明確之查核規定，以利地方政府遵循。</w:t>
      </w:r>
    </w:p>
    <w:p w:rsidR="003A5927" w:rsidRPr="00E91F54" w:rsidRDefault="001E07A9" w:rsidP="00980B74">
      <w:pPr>
        <w:pStyle w:val="3"/>
      </w:pPr>
      <w:r w:rsidRPr="00E91F54">
        <w:t>綜上，</w:t>
      </w:r>
      <w:bookmarkEnd w:id="76"/>
      <w:bookmarkEnd w:id="77"/>
      <w:r w:rsidR="00FB42CC" w:rsidRPr="00E91F54">
        <w:rPr>
          <w:rFonts w:hint="eastAsia"/>
        </w:rPr>
        <w:t>本案調查</w:t>
      </w:r>
      <w:proofErr w:type="gramStart"/>
      <w:r w:rsidR="00FB42CC" w:rsidRPr="00E91F54">
        <w:rPr>
          <w:rFonts w:hint="eastAsia"/>
        </w:rPr>
        <w:t>期間，</w:t>
      </w:r>
      <w:proofErr w:type="gramEnd"/>
      <w:r w:rsidR="00FB42CC" w:rsidRPr="00E91F54">
        <w:rPr>
          <w:rFonts w:hint="eastAsia"/>
        </w:rPr>
        <w:t>本院</w:t>
      </w:r>
      <w:proofErr w:type="gramStart"/>
      <w:r w:rsidR="00FB42CC" w:rsidRPr="00E91F54">
        <w:rPr>
          <w:rFonts w:hint="eastAsia"/>
        </w:rPr>
        <w:t>詢據</w:t>
      </w:r>
      <w:proofErr w:type="gramEnd"/>
      <w:r w:rsidR="00FB42CC" w:rsidRPr="00E91F54">
        <w:rPr>
          <w:rFonts w:hint="eastAsia"/>
        </w:rPr>
        <w:t>農（漁）電共生廢止案件居全臺</w:t>
      </w:r>
      <w:proofErr w:type="gramStart"/>
      <w:r w:rsidR="00FB42CC" w:rsidRPr="00E91F54">
        <w:rPr>
          <w:rFonts w:hint="eastAsia"/>
        </w:rPr>
        <w:t>之冠且案</w:t>
      </w:r>
      <w:proofErr w:type="gramEnd"/>
      <w:r w:rsidR="00FB42CC" w:rsidRPr="00E91F54">
        <w:rPr>
          <w:rFonts w:hint="eastAsia"/>
        </w:rPr>
        <w:t>件逾百之臺南市政府反映</w:t>
      </w:r>
      <w:r w:rsidR="00FB42CC" w:rsidRPr="00E91F54">
        <w:rPr>
          <w:rFonts w:hint="eastAsia"/>
        </w:rPr>
        <w:lastRenderedPageBreak/>
        <w:t>查核案場時發現之亂象與面臨之困境，並建請中央主管機關針對經營計畫書之審查、養殖事實認定、廢止之判斷基準，建立更具體明確之標準與協助提供專業審查意見，</w:t>
      </w:r>
      <w:proofErr w:type="gramStart"/>
      <w:r w:rsidR="00FB42CC" w:rsidRPr="00E91F54">
        <w:rPr>
          <w:rFonts w:hint="eastAsia"/>
        </w:rPr>
        <w:t>均屬現</w:t>
      </w:r>
      <w:proofErr w:type="gramEnd"/>
      <w:r w:rsidR="00FB42CC" w:rsidRPr="00E91F54">
        <w:rPr>
          <w:rFonts w:hint="eastAsia"/>
        </w:rPr>
        <w:t>行農（漁）電共生之政策工具與配套措施可精進強化之處，經濟部能源署與農業部允應審慎檢視研析，全面優化制度，以落實我國「農業為主、</w:t>
      </w:r>
      <w:proofErr w:type="gramStart"/>
      <w:r w:rsidR="00FB42CC" w:rsidRPr="00E91F54">
        <w:rPr>
          <w:rFonts w:hint="eastAsia"/>
        </w:rPr>
        <w:t>綠能</w:t>
      </w:r>
      <w:proofErr w:type="gramEnd"/>
      <w:r w:rsidR="00FB42CC" w:rsidRPr="00E91F54">
        <w:rPr>
          <w:rFonts w:hint="eastAsia"/>
        </w:rPr>
        <w:t>加值」之政策方向。</w:t>
      </w:r>
    </w:p>
    <w:p w:rsidR="00E25849" w:rsidRPr="00E91F54" w:rsidRDefault="00E25849" w:rsidP="004E05A1">
      <w:pPr>
        <w:pStyle w:val="1"/>
        <w:ind w:left="2380" w:hanging="2380"/>
        <w:rPr>
          <w:rFonts w:ascii="Times New Roman" w:hAnsi="Times New Roman"/>
        </w:rPr>
      </w:pPr>
      <w:bookmarkStart w:id="91" w:name="_Toc524895648"/>
      <w:bookmarkStart w:id="92" w:name="_Toc524896194"/>
      <w:bookmarkStart w:id="93" w:name="_Toc524896224"/>
      <w:bookmarkStart w:id="94" w:name="_Toc524902734"/>
      <w:bookmarkStart w:id="95" w:name="_Toc525066148"/>
      <w:bookmarkStart w:id="96" w:name="_Toc525070839"/>
      <w:bookmarkStart w:id="97" w:name="_Toc525938379"/>
      <w:bookmarkStart w:id="98" w:name="_Toc525939227"/>
      <w:bookmarkStart w:id="99" w:name="_Toc525939732"/>
      <w:bookmarkStart w:id="100" w:name="_Toc529218272"/>
      <w:bookmarkEnd w:id="74"/>
      <w:r w:rsidRPr="00E91F54">
        <w:rPr>
          <w:rFonts w:ascii="Times New Roman" w:hAnsi="Times New Roman"/>
        </w:rPr>
        <w:br w:type="page"/>
      </w:r>
      <w:bookmarkStart w:id="101" w:name="_Toc529222689"/>
      <w:bookmarkStart w:id="102" w:name="_Toc529223111"/>
      <w:bookmarkStart w:id="103" w:name="_Toc529223862"/>
      <w:bookmarkStart w:id="104" w:name="_Toc529228265"/>
      <w:bookmarkStart w:id="105" w:name="_Toc2400395"/>
      <w:bookmarkStart w:id="106" w:name="_Toc4316189"/>
      <w:bookmarkStart w:id="107" w:name="_Toc4473330"/>
      <w:bookmarkStart w:id="108" w:name="_Toc69556897"/>
      <w:bookmarkStart w:id="109" w:name="_Toc69556946"/>
      <w:bookmarkStart w:id="110" w:name="_Toc69609820"/>
      <w:bookmarkStart w:id="111" w:name="_Toc70241816"/>
      <w:bookmarkStart w:id="112" w:name="_Toc70242205"/>
      <w:bookmarkStart w:id="113" w:name="_Toc421794875"/>
      <w:bookmarkStart w:id="114" w:name="_Toc422834160"/>
      <w:r w:rsidRPr="00E91F54">
        <w:rPr>
          <w:rFonts w:ascii="Times New Roman" w:hAnsi="Times New Roman"/>
        </w:rPr>
        <w:lastRenderedPageBreak/>
        <w:t>處理辦法：</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rsidR="001868A2" w:rsidRPr="00E91F54" w:rsidRDefault="00FB7770" w:rsidP="001868A2">
      <w:pPr>
        <w:pStyle w:val="2"/>
        <w:rPr>
          <w:rFonts w:ascii="Times New Roman" w:hAnsi="Times New Roman"/>
        </w:rPr>
      </w:pPr>
      <w:bookmarkStart w:id="115" w:name="_Toc524895649"/>
      <w:bookmarkStart w:id="116" w:name="_Toc524896195"/>
      <w:bookmarkStart w:id="117" w:name="_Toc524896225"/>
      <w:bookmarkStart w:id="118" w:name="_Toc70241820"/>
      <w:bookmarkStart w:id="119" w:name="_Toc70242209"/>
      <w:bookmarkStart w:id="120" w:name="_Toc421794876"/>
      <w:bookmarkStart w:id="121" w:name="_Toc421795442"/>
      <w:bookmarkStart w:id="122" w:name="_Toc421796023"/>
      <w:bookmarkStart w:id="123" w:name="_Toc422728958"/>
      <w:bookmarkStart w:id="124" w:name="_Toc422834161"/>
      <w:bookmarkStart w:id="125" w:name="_Toc2400396"/>
      <w:bookmarkStart w:id="126" w:name="_Toc4316190"/>
      <w:bookmarkStart w:id="127" w:name="_Toc4473331"/>
      <w:bookmarkStart w:id="128" w:name="_Toc69556898"/>
      <w:bookmarkStart w:id="129" w:name="_Toc69556947"/>
      <w:bookmarkStart w:id="130" w:name="_Toc69609821"/>
      <w:bookmarkStart w:id="131" w:name="_Toc70241817"/>
      <w:bookmarkStart w:id="132" w:name="_Toc70242206"/>
      <w:bookmarkStart w:id="133" w:name="_Toc524902735"/>
      <w:bookmarkStart w:id="134" w:name="_Toc525066149"/>
      <w:bookmarkStart w:id="135" w:name="_Toc525070840"/>
      <w:bookmarkStart w:id="136" w:name="_Toc525938380"/>
      <w:bookmarkStart w:id="137" w:name="_Toc525939228"/>
      <w:bookmarkStart w:id="138" w:name="_Toc525939733"/>
      <w:bookmarkStart w:id="139" w:name="_Toc529218273"/>
      <w:bookmarkStart w:id="140" w:name="_Toc529222690"/>
      <w:bookmarkStart w:id="141" w:name="_Toc529223112"/>
      <w:bookmarkStart w:id="142" w:name="_Toc529223863"/>
      <w:bookmarkStart w:id="143" w:name="_Toc529228266"/>
      <w:bookmarkEnd w:id="115"/>
      <w:bookmarkEnd w:id="116"/>
      <w:bookmarkEnd w:id="117"/>
      <w:r w:rsidRPr="00E91F54">
        <w:rPr>
          <w:rFonts w:ascii="Times New Roman" w:hAnsi="Times New Roman"/>
        </w:rPr>
        <w:t>調查意見</w:t>
      </w:r>
      <w:r w:rsidR="00FD5D04" w:rsidRPr="00E91F54">
        <w:rPr>
          <w:rFonts w:ascii="Times New Roman" w:hAnsi="Times New Roman"/>
        </w:rPr>
        <w:t>一</w:t>
      </w:r>
      <w:r w:rsidR="001868A2" w:rsidRPr="00E91F54">
        <w:rPr>
          <w:rFonts w:ascii="Times New Roman" w:hAnsi="Times New Roman"/>
        </w:rPr>
        <w:t>，</w:t>
      </w:r>
      <w:r w:rsidR="00D14FA1" w:rsidRPr="00E91F54">
        <w:rPr>
          <w:rFonts w:ascii="Times New Roman" w:hAnsi="Times New Roman" w:hint="eastAsia"/>
        </w:rPr>
        <w:t>提案糾正</w:t>
      </w:r>
      <w:r w:rsidR="001868A2" w:rsidRPr="00E91F54">
        <w:rPr>
          <w:rFonts w:ascii="Times New Roman" w:hAnsi="Times New Roman"/>
        </w:rPr>
        <w:t>經濟部</w:t>
      </w:r>
      <w:r w:rsidR="00D14FA1" w:rsidRPr="00E91F54">
        <w:rPr>
          <w:rFonts w:ascii="Times New Roman" w:hAnsi="Times New Roman" w:hint="eastAsia"/>
        </w:rPr>
        <w:t>能源署。</w:t>
      </w:r>
    </w:p>
    <w:p w:rsidR="00E25849" w:rsidRPr="00E91F54" w:rsidRDefault="0022191F" w:rsidP="009E5A4A">
      <w:pPr>
        <w:pStyle w:val="2"/>
        <w:spacing w:beforeLines="25" w:before="114"/>
        <w:ind w:left="1020" w:hanging="680"/>
        <w:rPr>
          <w:rFonts w:ascii="Times New Roman" w:hAnsi="Times New Roman"/>
        </w:rPr>
      </w:pPr>
      <w:r>
        <w:rPr>
          <w:rFonts w:ascii="Times New Roman" w:hAnsi="Times New Roman" w:hint="eastAsia"/>
        </w:rPr>
        <w:t>抄</w:t>
      </w:r>
      <w:r w:rsidR="001868A2" w:rsidRPr="00E91F54">
        <w:rPr>
          <w:rFonts w:ascii="Times New Roman" w:hAnsi="Times New Roman"/>
        </w:rPr>
        <w:t>調查意見</w:t>
      </w:r>
      <w:r w:rsidR="00336EB8" w:rsidRPr="00E91F54">
        <w:rPr>
          <w:rFonts w:ascii="Times New Roman" w:hAnsi="Times New Roman"/>
        </w:rPr>
        <w:t>二</w:t>
      </w:r>
      <w:r w:rsidR="00FB7770" w:rsidRPr="00E91F54">
        <w:rPr>
          <w:rFonts w:ascii="Times New Roman" w:hAnsi="Times New Roman"/>
        </w:rPr>
        <w:t>，</w:t>
      </w:r>
      <w:r w:rsidR="00FD5D04" w:rsidRPr="00E91F54">
        <w:rPr>
          <w:rFonts w:ascii="Times New Roman" w:hAnsi="Times New Roman"/>
        </w:rPr>
        <w:t>函請經濟部會同農業部、環境部</w:t>
      </w:r>
      <w:bookmarkStart w:id="144" w:name="_Toc421794877"/>
      <w:bookmarkStart w:id="145" w:name="_Toc421795443"/>
      <w:bookmarkStart w:id="146" w:name="_Toc421796024"/>
      <w:bookmarkStart w:id="147" w:name="_Toc422728959"/>
      <w:bookmarkStart w:id="148" w:name="_Toc422834162"/>
      <w:bookmarkEnd w:id="118"/>
      <w:bookmarkEnd w:id="119"/>
      <w:bookmarkEnd w:id="120"/>
      <w:bookmarkEnd w:id="121"/>
      <w:bookmarkEnd w:id="122"/>
      <w:bookmarkEnd w:id="123"/>
      <w:bookmarkEnd w:id="124"/>
      <w:r w:rsidR="00E25849" w:rsidRPr="00E91F54">
        <w:rPr>
          <w:rFonts w:ascii="Times New Roman" w:hAnsi="Times New Roman"/>
        </w:rPr>
        <w:t>確實檢討改進</w:t>
      </w:r>
      <w:proofErr w:type="gramStart"/>
      <w:r w:rsidR="00E25849" w:rsidRPr="00E91F54">
        <w:rPr>
          <w:rFonts w:ascii="Times New Roman" w:hAnsi="Times New Roman"/>
        </w:rPr>
        <w:t>見復。</w:t>
      </w:r>
      <w:bookmarkEnd w:id="125"/>
      <w:bookmarkEnd w:id="126"/>
      <w:bookmarkEnd w:id="127"/>
      <w:bookmarkEnd w:id="128"/>
      <w:bookmarkEnd w:id="129"/>
      <w:bookmarkEnd w:id="130"/>
      <w:bookmarkEnd w:id="131"/>
      <w:bookmarkEnd w:id="132"/>
      <w:bookmarkEnd w:id="144"/>
      <w:bookmarkEnd w:id="145"/>
      <w:bookmarkEnd w:id="146"/>
      <w:bookmarkEnd w:id="147"/>
      <w:bookmarkEnd w:id="148"/>
      <w:proofErr w:type="gramEnd"/>
    </w:p>
    <w:p w:rsidR="0022191F" w:rsidRPr="00E91F54" w:rsidRDefault="0022191F" w:rsidP="00336EB8">
      <w:pPr>
        <w:pStyle w:val="2"/>
        <w:rPr>
          <w:rFonts w:ascii="Times New Roman" w:hAnsi="Times New Roman"/>
        </w:rPr>
      </w:pPr>
      <w:bookmarkStart w:id="149" w:name="_Toc70241819"/>
      <w:bookmarkStart w:id="150" w:name="_Toc70242208"/>
      <w:bookmarkStart w:id="151" w:name="_Toc421794878"/>
      <w:bookmarkStart w:id="152" w:name="_Toc421795444"/>
      <w:bookmarkStart w:id="153" w:name="_Toc421796025"/>
      <w:bookmarkStart w:id="154" w:name="_Toc422728960"/>
      <w:bookmarkStart w:id="155" w:name="_Toc422834163"/>
      <w:bookmarkStart w:id="156" w:name="_Toc70241818"/>
      <w:bookmarkStart w:id="157" w:name="_Toc70242207"/>
      <w:r>
        <w:rPr>
          <w:rFonts w:ascii="Times New Roman" w:hAnsi="Times New Roman" w:hint="eastAsia"/>
        </w:rPr>
        <w:t>抄</w:t>
      </w:r>
      <w:r w:rsidRPr="00E91F54">
        <w:rPr>
          <w:rFonts w:ascii="Times New Roman" w:hAnsi="Times New Roman"/>
        </w:rPr>
        <w:t>調查意見</w:t>
      </w:r>
      <w:proofErr w:type="gramStart"/>
      <w:r w:rsidRPr="00E91F54">
        <w:rPr>
          <w:rFonts w:ascii="Times New Roman" w:hAnsi="Times New Roman"/>
        </w:rPr>
        <w:t>三</w:t>
      </w:r>
      <w:proofErr w:type="gramEnd"/>
      <w:r w:rsidRPr="00E91F54">
        <w:rPr>
          <w:rFonts w:ascii="Times New Roman" w:hAnsi="Times New Roman"/>
        </w:rPr>
        <w:t>，函請經濟部會同農業部確實檢討改進</w:t>
      </w:r>
      <w:proofErr w:type="gramStart"/>
      <w:r w:rsidRPr="00E91F54">
        <w:rPr>
          <w:rFonts w:ascii="Times New Roman" w:hAnsi="Times New Roman"/>
        </w:rPr>
        <w:t>見復</w:t>
      </w:r>
      <w:proofErr w:type="gramEnd"/>
      <w:r w:rsidRPr="00E91F54">
        <w:rPr>
          <w:rFonts w:ascii="Times New Roman" w:hAnsi="Times New Roman"/>
        </w:rPr>
        <w:t>。</w:t>
      </w:r>
    </w:p>
    <w:p w:rsidR="0031455E" w:rsidRPr="00E91F54" w:rsidRDefault="0022191F" w:rsidP="00FD5D04">
      <w:pPr>
        <w:pStyle w:val="2"/>
        <w:rPr>
          <w:rFonts w:ascii="Times New Roman" w:hAnsi="Times New Roman"/>
        </w:rPr>
      </w:pPr>
      <w:r>
        <w:rPr>
          <w:rFonts w:ascii="Times New Roman" w:hAnsi="Times New Roman" w:hint="eastAsia"/>
        </w:rPr>
        <w:t>抄</w:t>
      </w:r>
      <w:r w:rsidRPr="00E91F54">
        <w:rPr>
          <w:rFonts w:ascii="Times New Roman" w:hAnsi="Times New Roman"/>
        </w:rPr>
        <w:t>調查意見一至三</w:t>
      </w:r>
      <w:r>
        <w:rPr>
          <w:rFonts w:ascii="Times New Roman" w:hAnsi="Times New Roman" w:hint="eastAsia"/>
        </w:rPr>
        <w:t>及處理辦法</w:t>
      </w:r>
      <w:r w:rsidRPr="00E91F54">
        <w:rPr>
          <w:rFonts w:ascii="Times New Roman" w:hAnsi="Times New Roman"/>
        </w:rPr>
        <w:t>，函復審計部。</w:t>
      </w:r>
      <w:bookmarkEnd w:id="149"/>
      <w:bookmarkEnd w:id="150"/>
      <w:bookmarkEnd w:id="151"/>
      <w:bookmarkEnd w:id="152"/>
      <w:bookmarkEnd w:id="153"/>
      <w:bookmarkEnd w:id="154"/>
      <w:bookmarkEnd w:id="155"/>
      <w:bookmarkEnd w:id="156"/>
      <w:bookmarkEnd w:id="157"/>
    </w:p>
    <w:p w:rsidR="00E25849" w:rsidRPr="00E91F54" w:rsidRDefault="0022191F">
      <w:pPr>
        <w:pStyle w:val="2"/>
        <w:rPr>
          <w:rFonts w:ascii="Times New Roman" w:hAnsi="Times New Roman"/>
        </w:rPr>
      </w:pPr>
      <w:bookmarkStart w:id="158" w:name="_Toc2400397"/>
      <w:bookmarkStart w:id="159" w:name="_Toc4316191"/>
      <w:bookmarkStart w:id="160" w:name="_Toc4473332"/>
      <w:bookmarkStart w:id="161" w:name="_Toc69556901"/>
      <w:bookmarkStart w:id="162" w:name="_Toc69556950"/>
      <w:bookmarkStart w:id="163" w:name="_Toc69609824"/>
      <w:bookmarkStart w:id="164" w:name="_Toc70241822"/>
      <w:bookmarkStart w:id="165" w:name="_Toc70242211"/>
      <w:bookmarkStart w:id="166" w:name="_Toc421794881"/>
      <w:bookmarkStart w:id="167" w:name="_Toc421795447"/>
      <w:bookmarkStart w:id="168" w:name="_Toc421796028"/>
      <w:bookmarkStart w:id="169" w:name="_Toc422728963"/>
      <w:bookmarkStart w:id="170" w:name="_Toc422834166"/>
      <w:bookmarkEnd w:id="133"/>
      <w:bookmarkEnd w:id="134"/>
      <w:bookmarkEnd w:id="135"/>
      <w:bookmarkEnd w:id="136"/>
      <w:bookmarkEnd w:id="137"/>
      <w:bookmarkEnd w:id="138"/>
      <w:bookmarkEnd w:id="139"/>
      <w:bookmarkEnd w:id="140"/>
      <w:bookmarkEnd w:id="141"/>
      <w:bookmarkEnd w:id="142"/>
      <w:bookmarkEnd w:id="143"/>
      <w:r>
        <w:rPr>
          <w:rFonts w:ascii="Times New Roman" w:hAnsi="Times New Roman" w:hint="eastAsia"/>
        </w:rPr>
        <w:t>調查報告之案由、調查意見及處理辦法上網公布</w:t>
      </w:r>
      <w:r w:rsidR="00E25849" w:rsidRPr="00E91F54">
        <w:rPr>
          <w:rFonts w:ascii="Times New Roman" w:hAnsi="Times New Roman"/>
        </w:rPr>
        <w:t>。</w:t>
      </w:r>
      <w:bookmarkEnd w:id="158"/>
      <w:bookmarkEnd w:id="159"/>
      <w:bookmarkEnd w:id="160"/>
      <w:bookmarkEnd w:id="161"/>
      <w:bookmarkEnd w:id="162"/>
      <w:bookmarkEnd w:id="163"/>
      <w:bookmarkEnd w:id="164"/>
      <w:bookmarkEnd w:id="165"/>
      <w:bookmarkEnd w:id="166"/>
      <w:bookmarkEnd w:id="167"/>
      <w:bookmarkEnd w:id="168"/>
      <w:bookmarkEnd w:id="169"/>
      <w:bookmarkEnd w:id="170"/>
    </w:p>
    <w:p w:rsidR="00770453" w:rsidRPr="00E91F54" w:rsidRDefault="00770453" w:rsidP="00770453">
      <w:pPr>
        <w:pStyle w:val="aa"/>
        <w:spacing w:beforeLines="50" w:before="228" w:afterLines="100" w:after="457"/>
        <w:ind w:leftChars="1100" w:left="3742"/>
        <w:rPr>
          <w:rFonts w:ascii="Times New Roman"/>
          <w:b w:val="0"/>
          <w:bCs/>
          <w:snapToGrid/>
          <w:spacing w:val="12"/>
          <w:kern w:val="0"/>
          <w:sz w:val="40"/>
        </w:rPr>
      </w:pPr>
    </w:p>
    <w:p w:rsidR="0022191F" w:rsidRPr="00E91F54" w:rsidRDefault="0022191F" w:rsidP="0022191F">
      <w:pPr>
        <w:pStyle w:val="aa"/>
        <w:spacing w:beforeLines="50" w:before="228" w:after="0"/>
        <w:ind w:leftChars="1100" w:left="3742"/>
        <w:rPr>
          <w:rFonts w:ascii="Times New Roman"/>
          <w:b w:val="0"/>
          <w:bCs/>
          <w:snapToGrid/>
          <w:spacing w:val="12"/>
          <w:kern w:val="0"/>
          <w:sz w:val="40"/>
        </w:rPr>
      </w:pPr>
      <w:r w:rsidRPr="00E91F54">
        <w:rPr>
          <w:rFonts w:ascii="Times New Roman"/>
          <w:b w:val="0"/>
          <w:bCs/>
          <w:snapToGrid/>
          <w:spacing w:val="12"/>
          <w:kern w:val="0"/>
          <w:sz w:val="40"/>
        </w:rPr>
        <w:t>調查委員：</w:t>
      </w:r>
      <w:r>
        <w:rPr>
          <w:rFonts w:ascii="Times New Roman" w:hint="eastAsia"/>
          <w:b w:val="0"/>
          <w:bCs/>
          <w:snapToGrid/>
          <w:spacing w:val="12"/>
          <w:kern w:val="0"/>
          <w:sz w:val="40"/>
        </w:rPr>
        <w:t>葉宜津</w:t>
      </w:r>
    </w:p>
    <w:p w:rsidR="0022191F" w:rsidRDefault="0022191F" w:rsidP="0022191F">
      <w:pPr>
        <w:pStyle w:val="aa"/>
        <w:spacing w:before="0" w:after="0"/>
        <w:ind w:leftChars="1760" w:left="5987"/>
        <w:rPr>
          <w:rFonts w:ascii="Times New Roman"/>
          <w:b w:val="0"/>
          <w:bCs/>
          <w:snapToGrid/>
          <w:spacing w:val="0"/>
          <w:kern w:val="0"/>
          <w:sz w:val="40"/>
        </w:rPr>
      </w:pPr>
      <w:r>
        <w:rPr>
          <w:rFonts w:ascii="Times New Roman" w:hint="eastAsia"/>
          <w:b w:val="0"/>
          <w:bCs/>
          <w:snapToGrid/>
          <w:spacing w:val="0"/>
          <w:kern w:val="0"/>
          <w:sz w:val="40"/>
        </w:rPr>
        <w:t>趙永清</w:t>
      </w:r>
    </w:p>
    <w:p w:rsidR="0022191F" w:rsidRPr="00E91F54" w:rsidRDefault="0022191F" w:rsidP="0022191F">
      <w:pPr>
        <w:pStyle w:val="aa"/>
        <w:spacing w:before="0" w:after="0"/>
        <w:ind w:leftChars="1760" w:left="5987"/>
        <w:rPr>
          <w:rFonts w:ascii="Times New Roman"/>
          <w:b w:val="0"/>
          <w:bCs/>
          <w:snapToGrid/>
          <w:spacing w:val="0"/>
          <w:kern w:val="0"/>
          <w:sz w:val="40"/>
        </w:rPr>
      </w:pPr>
      <w:proofErr w:type="gramStart"/>
      <w:r>
        <w:rPr>
          <w:rFonts w:ascii="Times New Roman" w:hint="eastAsia"/>
          <w:b w:val="0"/>
          <w:bCs/>
          <w:snapToGrid/>
          <w:spacing w:val="0"/>
          <w:kern w:val="0"/>
          <w:sz w:val="40"/>
        </w:rPr>
        <w:t>浦忠成</w:t>
      </w:r>
      <w:proofErr w:type="gramEnd"/>
    </w:p>
    <w:p w:rsidR="00195CE0" w:rsidRPr="00E91F54" w:rsidRDefault="00195CE0" w:rsidP="00770453">
      <w:pPr>
        <w:pStyle w:val="aa"/>
        <w:spacing w:before="0" w:after="0"/>
        <w:ind w:leftChars="1100" w:left="3742"/>
        <w:rPr>
          <w:rFonts w:ascii="Times New Roman"/>
          <w:b w:val="0"/>
          <w:bCs/>
          <w:snapToGrid/>
          <w:spacing w:val="0"/>
          <w:kern w:val="0"/>
          <w:sz w:val="40"/>
        </w:rPr>
      </w:pPr>
    </w:p>
    <w:p w:rsidR="00E25849" w:rsidRPr="00E91F54" w:rsidRDefault="00E25849">
      <w:pPr>
        <w:pStyle w:val="af0"/>
        <w:rPr>
          <w:rFonts w:ascii="Times New Roman"/>
          <w:bCs/>
        </w:rPr>
      </w:pPr>
      <w:r w:rsidRPr="00E91F54">
        <w:rPr>
          <w:rFonts w:ascii="Times New Roman"/>
          <w:bCs/>
        </w:rPr>
        <w:t xml:space="preserve">中華民國　</w:t>
      </w:r>
      <w:r w:rsidR="001E74C2" w:rsidRPr="00E91F54">
        <w:rPr>
          <w:rFonts w:ascii="Times New Roman"/>
          <w:bCs/>
        </w:rPr>
        <w:t>1</w:t>
      </w:r>
      <w:r w:rsidR="00336EB8" w:rsidRPr="00E91F54">
        <w:rPr>
          <w:rFonts w:ascii="Times New Roman"/>
          <w:bCs/>
        </w:rPr>
        <w:t>14</w:t>
      </w:r>
      <w:r w:rsidRPr="00E91F54">
        <w:rPr>
          <w:rFonts w:ascii="Times New Roman"/>
          <w:bCs/>
        </w:rPr>
        <w:t xml:space="preserve">　年　</w:t>
      </w:r>
      <w:r w:rsidR="0022191F">
        <w:rPr>
          <w:rFonts w:ascii="Times New Roman" w:hint="eastAsia"/>
          <w:bCs/>
        </w:rPr>
        <w:t>6</w:t>
      </w:r>
      <w:r w:rsidRPr="00E91F54">
        <w:rPr>
          <w:rFonts w:ascii="Times New Roman"/>
          <w:bCs/>
        </w:rPr>
        <w:t xml:space="preserve">　月　</w:t>
      </w:r>
      <w:r w:rsidR="00361D0C">
        <w:rPr>
          <w:rFonts w:ascii="Times New Roman"/>
          <w:bCs/>
        </w:rPr>
        <w:t>11</w:t>
      </w:r>
      <w:bookmarkStart w:id="171" w:name="_GoBack"/>
      <w:bookmarkEnd w:id="171"/>
      <w:r w:rsidRPr="00E91F54">
        <w:rPr>
          <w:rFonts w:ascii="Times New Roman"/>
          <w:bCs/>
        </w:rPr>
        <w:t xml:space="preserve">　日</w:t>
      </w:r>
    </w:p>
    <w:p w:rsidR="00416721" w:rsidRPr="00E91F54" w:rsidRDefault="00416721" w:rsidP="00A07B4B">
      <w:pPr>
        <w:pStyle w:val="af1"/>
        <w:kinsoku/>
        <w:autoSpaceDE w:val="0"/>
        <w:spacing w:beforeLines="50" w:before="228"/>
        <w:ind w:left="1020" w:hanging="1020"/>
        <w:rPr>
          <w:rFonts w:ascii="Times New Roman"/>
          <w:bCs/>
        </w:rPr>
      </w:pPr>
    </w:p>
    <w:p w:rsidR="00416721" w:rsidRPr="00F87216" w:rsidRDefault="00416721">
      <w:pPr>
        <w:widowControl/>
        <w:overflowPunct/>
        <w:autoSpaceDE/>
        <w:autoSpaceDN/>
        <w:jc w:val="left"/>
        <w:rPr>
          <w:rFonts w:ascii="Times New Roman"/>
          <w:bCs/>
          <w:kern w:val="0"/>
        </w:rPr>
      </w:pPr>
    </w:p>
    <w:sectPr w:rsidR="00416721" w:rsidRPr="00F87216"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7FBF" w:rsidRDefault="00927FBF">
      <w:r>
        <w:separator/>
      </w:r>
    </w:p>
  </w:endnote>
  <w:endnote w:type="continuationSeparator" w:id="0">
    <w:p w:rsidR="00927FBF" w:rsidRDefault="00927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新細明體-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7950" w:rsidRDefault="00907950">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1</w:t>
    </w:r>
    <w:r>
      <w:rPr>
        <w:rStyle w:val="ad"/>
        <w:sz w:val="24"/>
      </w:rPr>
      <w:fldChar w:fldCharType="end"/>
    </w:r>
  </w:p>
  <w:p w:rsidR="00907950" w:rsidRDefault="0090795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7FBF" w:rsidRDefault="00927FBF">
      <w:r>
        <w:separator/>
      </w:r>
    </w:p>
  </w:footnote>
  <w:footnote w:type="continuationSeparator" w:id="0">
    <w:p w:rsidR="00927FBF" w:rsidRDefault="00927FBF">
      <w:r>
        <w:continuationSeparator/>
      </w:r>
    </w:p>
  </w:footnote>
  <w:footnote w:id="1">
    <w:p w:rsidR="00907950" w:rsidRPr="00EB5991" w:rsidRDefault="00907950" w:rsidP="0016728C">
      <w:pPr>
        <w:pStyle w:val="afe"/>
        <w:ind w:leftChars="5" w:left="297" w:hangingChars="127" w:hanging="280"/>
        <w:jc w:val="both"/>
      </w:pPr>
      <w:r w:rsidRPr="004D0D70">
        <w:rPr>
          <w:rStyle w:val="aff0"/>
        </w:rPr>
        <w:footnoteRef/>
      </w:r>
      <w:r>
        <w:t xml:space="preserve"> </w:t>
      </w:r>
      <w:proofErr w:type="gramStart"/>
      <w:r>
        <w:rPr>
          <w:rFonts w:hint="eastAsia"/>
        </w:rPr>
        <w:t>臺</w:t>
      </w:r>
      <w:proofErr w:type="gramEnd"/>
      <w:r>
        <w:rPr>
          <w:rFonts w:hint="eastAsia"/>
        </w:rPr>
        <w:t>南市政府</w:t>
      </w:r>
      <w:r w:rsidRPr="00BB0C8E">
        <w:rPr>
          <w:rFonts w:hint="eastAsia"/>
        </w:rPr>
        <w:t>113年12月17日</w:t>
      </w:r>
      <w:r>
        <w:rPr>
          <w:rFonts w:hint="eastAsia"/>
        </w:rPr>
        <w:t>、1</w:t>
      </w:r>
      <w:r>
        <w:t>14</w:t>
      </w:r>
      <w:r>
        <w:rPr>
          <w:rFonts w:hint="eastAsia"/>
        </w:rPr>
        <w:t>年1月8日、</w:t>
      </w:r>
      <w:proofErr w:type="gramStart"/>
      <w:r>
        <w:rPr>
          <w:rFonts w:hint="eastAsia"/>
        </w:rPr>
        <w:t>1</w:t>
      </w:r>
      <w:r>
        <w:t>14</w:t>
      </w:r>
      <w:r>
        <w:rPr>
          <w:rFonts w:hint="eastAsia"/>
        </w:rPr>
        <w:t>年2月5日</w:t>
      </w:r>
      <w:r w:rsidRPr="00BB0C8E">
        <w:rPr>
          <w:rFonts w:hint="eastAsia"/>
        </w:rPr>
        <w:t>府農漁</w:t>
      </w:r>
      <w:proofErr w:type="gramEnd"/>
      <w:r w:rsidRPr="00BB0C8E">
        <w:rPr>
          <w:rFonts w:hint="eastAsia"/>
        </w:rPr>
        <w:t>字第1132560954</w:t>
      </w:r>
      <w:r>
        <w:rPr>
          <w:rFonts w:hint="eastAsia"/>
        </w:rPr>
        <w:t>、</w:t>
      </w:r>
      <w:r w:rsidRPr="00BB0C8E">
        <w:rPr>
          <w:rFonts w:hint="eastAsia"/>
        </w:rPr>
        <w:t>1140111841</w:t>
      </w:r>
      <w:r>
        <w:rPr>
          <w:rFonts w:hint="eastAsia"/>
        </w:rPr>
        <w:t>、</w:t>
      </w:r>
      <w:r w:rsidRPr="00BB0C8E">
        <w:rPr>
          <w:rFonts w:hint="eastAsia"/>
        </w:rPr>
        <w:t>1132522537號</w:t>
      </w:r>
      <w:r>
        <w:rPr>
          <w:rFonts w:hint="eastAsia"/>
        </w:rPr>
        <w:t>函，以及</w:t>
      </w:r>
      <w:proofErr w:type="gramStart"/>
      <w:r>
        <w:rPr>
          <w:rFonts w:hint="eastAsia"/>
        </w:rPr>
        <w:t>1</w:t>
      </w:r>
      <w:r>
        <w:t>14</w:t>
      </w:r>
      <w:r>
        <w:rPr>
          <w:rFonts w:hint="eastAsia"/>
        </w:rPr>
        <w:t>年3月27日府農工</w:t>
      </w:r>
      <w:proofErr w:type="gramEnd"/>
      <w:r>
        <w:rPr>
          <w:rFonts w:hint="eastAsia"/>
        </w:rPr>
        <w:t>字第</w:t>
      </w:r>
      <w:r w:rsidRPr="00953EDF">
        <w:t>1140471573</w:t>
      </w:r>
      <w:r>
        <w:rPr>
          <w:rFonts w:hint="eastAsia"/>
        </w:rPr>
        <w:t>號函；農業部1</w:t>
      </w:r>
      <w:r>
        <w:t>14</w:t>
      </w:r>
      <w:r>
        <w:rPr>
          <w:rFonts w:hint="eastAsia"/>
        </w:rPr>
        <w:t>年1月15日</w:t>
      </w:r>
      <w:proofErr w:type="gramStart"/>
      <w:r w:rsidRPr="00BB0C8E">
        <w:rPr>
          <w:rFonts w:hint="eastAsia"/>
        </w:rPr>
        <w:t>農永字</w:t>
      </w:r>
      <w:proofErr w:type="gramEnd"/>
      <w:r w:rsidRPr="00BB0C8E">
        <w:rPr>
          <w:rFonts w:hint="eastAsia"/>
        </w:rPr>
        <w:t>第1130033816號</w:t>
      </w:r>
      <w:r>
        <w:rPr>
          <w:rFonts w:hint="eastAsia"/>
        </w:rPr>
        <w:t>函及1</w:t>
      </w:r>
      <w:r>
        <w:t>14</w:t>
      </w:r>
      <w:r>
        <w:rPr>
          <w:rFonts w:hint="eastAsia"/>
        </w:rPr>
        <w:t>年3月27日詢問會議說明資料；環境部</w:t>
      </w:r>
      <w:r w:rsidRPr="00BB0C8E">
        <w:rPr>
          <w:rFonts w:hint="eastAsia"/>
        </w:rPr>
        <w:t>113年12月23日環</w:t>
      </w:r>
      <w:proofErr w:type="gramStart"/>
      <w:r w:rsidRPr="00BB0C8E">
        <w:rPr>
          <w:rFonts w:hint="eastAsia"/>
        </w:rPr>
        <w:t>部循字</w:t>
      </w:r>
      <w:proofErr w:type="gramEnd"/>
      <w:r w:rsidRPr="00BB0C8E">
        <w:rPr>
          <w:rFonts w:hint="eastAsia"/>
        </w:rPr>
        <w:t>第1136021112號</w:t>
      </w:r>
      <w:r>
        <w:rPr>
          <w:rFonts w:hint="eastAsia"/>
        </w:rPr>
        <w:t>函、環境</w:t>
      </w:r>
      <w:proofErr w:type="gramStart"/>
      <w:r>
        <w:rPr>
          <w:rFonts w:hint="eastAsia"/>
        </w:rPr>
        <w:t>部資循署1</w:t>
      </w:r>
      <w:r>
        <w:t>14</w:t>
      </w:r>
      <w:r>
        <w:rPr>
          <w:rFonts w:hint="eastAsia"/>
        </w:rPr>
        <w:t>年3月27日環循處字</w:t>
      </w:r>
      <w:proofErr w:type="gramEnd"/>
      <w:r>
        <w:rPr>
          <w:rFonts w:hint="eastAsia"/>
        </w:rPr>
        <w:t>第1</w:t>
      </w:r>
      <w:r>
        <w:t>146004552</w:t>
      </w:r>
      <w:r>
        <w:rPr>
          <w:rFonts w:hint="eastAsia"/>
        </w:rPr>
        <w:t>號函及1</w:t>
      </w:r>
      <w:r>
        <w:t>14</w:t>
      </w:r>
      <w:r>
        <w:rPr>
          <w:rFonts w:hint="eastAsia"/>
        </w:rPr>
        <w:t>年3月27日詢問會議後補充資料；經濟部1</w:t>
      </w:r>
      <w:r>
        <w:t>14</w:t>
      </w:r>
      <w:r>
        <w:rPr>
          <w:rFonts w:hint="eastAsia"/>
        </w:rPr>
        <w:t>年3月3日經</w:t>
      </w:r>
      <w:proofErr w:type="gramStart"/>
      <w:r>
        <w:rPr>
          <w:rFonts w:hint="eastAsia"/>
        </w:rPr>
        <w:t>授能字</w:t>
      </w:r>
      <w:proofErr w:type="gramEnd"/>
      <w:r>
        <w:rPr>
          <w:rFonts w:hint="eastAsia"/>
        </w:rPr>
        <w:t>第1</w:t>
      </w:r>
      <w:r>
        <w:t>1300219280</w:t>
      </w:r>
      <w:r>
        <w:rPr>
          <w:rFonts w:hint="eastAsia"/>
        </w:rPr>
        <w:t>號函、經濟部能源署1</w:t>
      </w:r>
      <w:r>
        <w:t>14</w:t>
      </w:r>
      <w:r>
        <w:rPr>
          <w:rFonts w:hint="eastAsia"/>
        </w:rPr>
        <w:t>年4月2日能廣字第1</w:t>
      </w:r>
      <w:r>
        <w:t>1406004300</w:t>
      </w:r>
      <w:r>
        <w:rPr>
          <w:rFonts w:hint="eastAsia"/>
        </w:rPr>
        <w:t>號函及1</w:t>
      </w:r>
      <w:r>
        <w:t>14</w:t>
      </w:r>
      <w:r>
        <w:rPr>
          <w:rFonts w:hint="eastAsia"/>
        </w:rPr>
        <w:t>年3月27日詢問會議後補充資料。</w:t>
      </w:r>
    </w:p>
  </w:footnote>
  <w:footnote w:id="2">
    <w:p w:rsidR="00907950" w:rsidRPr="00CE484C" w:rsidRDefault="00907950" w:rsidP="004D5602">
      <w:pPr>
        <w:pStyle w:val="afe"/>
        <w:ind w:left="220" w:hangingChars="100" w:hanging="220"/>
        <w:jc w:val="both"/>
      </w:pPr>
      <w:r w:rsidRPr="004D0D70">
        <w:rPr>
          <w:rStyle w:val="aff0"/>
        </w:rPr>
        <w:footnoteRef/>
      </w:r>
      <w:r>
        <w:t xml:space="preserve"> </w:t>
      </w:r>
      <w:proofErr w:type="gramStart"/>
      <w:r>
        <w:rPr>
          <w:rFonts w:hint="eastAsia"/>
        </w:rPr>
        <w:t>查據經濟部</w:t>
      </w:r>
      <w:proofErr w:type="gramEnd"/>
      <w:r>
        <w:rPr>
          <w:rFonts w:hint="eastAsia"/>
        </w:rPr>
        <w:t>能源署資料顯示，太陽光電</w:t>
      </w:r>
      <w:r w:rsidRPr="008D4E50">
        <w:rPr>
          <w:rFonts w:hint="eastAsia"/>
        </w:rPr>
        <w:t>模組回收費用經</w:t>
      </w:r>
      <w:r w:rsidRPr="008D4E50">
        <w:t>108</w:t>
      </w:r>
      <w:r w:rsidRPr="008D4E50">
        <w:rPr>
          <w:rFonts w:hint="eastAsia"/>
        </w:rPr>
        <w:t>年</w:t>
      </w:r>
      <w:r w:rsidRPr="008D4E50">
        <w:t>1</w:t>
      </w:r>
      <w:r w:rsidRPr="008D4E50">
        <w:rPr>
          <w:rFonts w:hint="eastAsia"/>
        </w:rPr>
        <w:t>月</w:t>
      </w:r>
      <w:r w:rsidRPr="008D4E50">
        <w:t>30</w:t>
      </w:r>
      <w:r w:rsidRPr="008D4E50">
        <w:rPr>
          <w:rFonts w:hint="eastAsia"/>
        </w:rPr>
        <w:t>日再生能源</w:t>
      </w:r>
      <w:proofErr w:type="gramStart"/>
      <w:r w:rsidRPr="008D4E50">
        <w:rPr>
          <w:rFonts w:hint="eastAsia"/>
        </w:rPr>
        <w:t>電能躉購費率</w:t>
      </w:r>
      <w:proofErr w:type="gramEnd"/>
      <w:r w:rsidRPr="008D4E50">
        <w:rPr>
          <w:rFonts w:hint="eastAsia"/>
        </w:rPr>
        <w:t>審定會決議後，已納入「中華民國</w:t>
      </w:r>
      <w:proofErr w:type="gramStart"/>
      <w:r>
        <w:rPr>
          <w:rFonts w:hint="eastAsia"/>
        </w:rPr>
        <w:t>1</w:t>
      </w:r>
      <w:r>
        <w:t>08</w:t>
      </w:r>
      <w:proofErr w:type="gramEnd"/>
      <w:r w:rsidRPr="008D4E50">
        <w:rPr>
          <w:rFonts w:hint="eastAsia"/>
        </w:rPr>
        <w:t>年度再生能源</w:t>
      </w:r>
      <w:proofErr w:type="gramStart"/>
      <w:r w:rsidRPr="008D4E50">
        <w:rPr>
          <w:rFonts w:hint="eastAsia"/>
        </w:rPr>
        <w:t>電能整購</w:t>
      </w:r>
      <w:r>
        <w:rPr>
          <w:rFonts w:hint="eastAsia"/>
        </w:rPr>
        <w:t>費</w:t>
      </w:r>
      <w:r w:rsidRPr="008D4E50">
        <w:rPr>
          <w:rFonts w:hint="eastAsia"/>
        </w:rPr>
        <w:t>率</w:t>
      </w:r>
      <w:proofErr w:type="gramEnd"/>
      <w:r w:rsidRPr="008D4E50">
        <w:rPr>
          <w:rFonts w:hint="eastAsia"/>
        </w:rPr>
        <w:t>及其計算公式」中之</w:t>
      </w:r>
      <w:proofErr w:type="gramStart"/>
      <w:r w:rsidRPr="008D4E50">
        <w:rPr>
          <w:rFonts w:hint="eastAsia"/>
        </w:rPr>
        <w:t>太</w:t>
      </w:r>
      <w:proofErr w:type="gramEnd"/>
      <w:r w:rsidRPr="008D4E50">
        <w:rPr>
          <w:rFonts w:hint="eastAsia"/>
        </w:rPr>
        <w:t>陽光電量購</w:t>
      </w:r>
      <w:r>
        <w:rPr>
          <w:rFonts w:hint="eastAsia"/>
        </w:rPr>
        <w:t>費</w:t>
      </w:r>
      <w:r w:rsidRPr="008D4E50">
        <w:rPr>
          <w:rFonts w:hint="eastAsia"/>
        </w:rPr>
        <w:t>率参數，並採</w:t>
      </w:r>
      <w:r w:rsidRPr="006C70C5">
        <w:rPr>
          <w:rFonts w:hint="eastAsia"/>
          <w:b/>
        </w:rPr>
        <w:t>每瓩</w:t>
      </w:r>
      <w:r w:rsidRPr="006C70C5">
        <w:rPr>
          <w:b/>
        </w:rPr>
        <w:t>1,000</w:t>
      </w:r>
      <w:r w:rsidRPr="006C70C5">
        <w:rPr>
          <w:rFonts w:hint="eastAsia"/>
          <w:b/>
        </w:rPr>
        <w:t>元</w:t>
      </w:r>
      <w:r>
        <w:rPr>
          <w:rFonts w:hint="eastAsia"/>
        </w:rPr>
        <w:t>，</w:t>
      </w:r>
      <w:r w:rsidRPr="008D4E50">
        <w:rPr>
          <w:rFonts w:hint="eastAsia"/>
        </w:rPr>
        <w:t>並規劃以分</w:t>
      </w:r>
      <w:r w:rsidRPr="008D4E50">
        <w:t>10</w:t>
      </w:r>
      <w:r w:rsidRPr="008D4E50">
        <w:rPr>
          <w:rFonts w:hint="eastAsia"/>
        </w:rPr>
        <w:t>年方式進行收取</w:t>
      </w:r>
      <w:r>
        <w:rPr>
          <w:rFonts w:hint="eastAsia"/>
        </w:rPr>
        <w:t>，即</w:t>
      </w:r>
      <w:r w:rsidRPr="004D5602">
        <w:rPr>
          <w:rFonts w:hint="eastAsia"/>
          <w:b/>
        </w:rPr>
        <w:t>每年</w:t>
      </w:r>
      <w:bookmarkStart w:id="78" w:name="_Hlk198116171"/>
      <w:r w:rsidRPr="004D5602">
        <w:rPr>
          <w:rFonts w:hint="eastAsia"/>
          <w:b/>
        </w:rPr>
        <w:t>每瓩</w:t>
      </w:r>
      <w:r w:rsidRPr="004D5602">
        <w:rPr>
          <w:b/>
        </w:rPr>
        <w:t>100</w:t>
      </w:r>
      <w:r w:rsidRPr="004D5602">
        <w:rPr>
          <w:rFonts w:hint="eastAsia"/>
          <w:b/>
        </w:rPr>
        <w:t>元</w:t>
      </w:r>
      <w:bookmarkEnd w:id="78"/>
      <w:r>
        <w:rPr>
          <w:rFonts w:hint="eastAsia"/>
        </w:rPr>
        <w:t>（迄至1</w:t>
      </w:r>
      <w:r w:rsidRPr="00CE484C">
        <w:rPr>
          <w:rFonts w:hint="eastAsia"/>
        </w:rPr>
        <w:t>14年均維持相同回收費用）。</w:t>
      </w:r>
    </w:p>
  </w:footnote>
  <w:footnote w:id="3">
    <w:p w:rsidR="00907950" w:rsidRDefault="00907950" w:rsidP="00CA0B38">
      <w:pPr>
        <w:pStyle w:val="afe"/>
        <w:ind w:leftChars="5" w:left="239" w:hangingChars="101" w:hanging="222"/>
      </w:pPr>
      <w:r w:rsidRPr="004D0D70">
        <w:rPr>
          <w:rStyle w:val="aff0"/>
        </w:rPr>
        <w:footnoteRef/>
      </w:r>
      <w:r w:rsidRPr="00CE484C">
        <w:t xml:space="preserve"> </w:t>
      </w:r>
      <w:bookmarkStart w:id="79" w:name="_Hlk198539638"/>
      <w:r w:rsidRPr="00CE484C">
        <w:rPr>
          <w:rFonts w:hint="eastAsia"/>
        </w:rPr>
        <w:t>換算後，</w:t>
      </w:r>
      <w:proofErr w:type="gramStart"/>
      <w:r w:rsidRPr="00CE484C">
        <w:rPr>
          <w:rFonts w:hint="eastAsia"/>
        </w:rPr>
        <w:t>電能躉購費率</w:t>
      </w:r>
      <w:proofErr w:type="gramEnd"/>
      <w:r w:rsidRPr="00CE484C">
        <w:rPr>
          <w:rFonts w:hint="eastAsia"/>
        </w:rPr>
        <w:t>每年外加模組回收費每</w:t>
      </w:r>
      <w:proofErr w:type="gramStart"/>
      <w:r w:rsidRPr="00CE484C">
        <w:rPr>
          <w:rFonts w:hint="eastAsia"/>
        </w:rPr>
        <w:t>瓩</w:t>
      </w:r>
      <w:proofErr w:type="gramEnd"/>
      <w:r w:rsidRPr="00CE484C">
        <w:rPr>
          <w:rFonts w:hint="eastAsia"/>
        </w:rPr>
        <w:t>約7</w:t>
      </w:r>
      <w:r w:rsidRPr="00CE484C">
        <w:t>8</w:t>
      </w:r>
      <w:r w:rsidRPr="00CE484C">
        <w:rPr>
          <w:rFonts w:hint="eastAsia"/>
        </w:rPr>
        <w:t>元</w:t>
      </w:r>
      <w:proofErr w:type="gramStart"/>
      <w:r w:rsidRPr="00CE484C">
        <w:rPr>
          <w:rFonts w:hint="eastAsia"/>
        </w:rPr>
        <w:t>（</w:t>
      </w:r>
      <w:proofErr w:type="gramEnd"/>
      <w:r w:rsidRPr="00CE484C">
        <w:rPr>
          <w:rFonts w:hint="eastAsia"/>
        </w:rPr>
        <w:t>據台灣電力股份有限公司統計，每</w:t>
      </w:r>
      <w:proofErr w:type="gramStart"/>
      <w:r w:rsidRPr="00CE484C">
        <w:rPr>
          <w:rFonts w:hint="eastAsia"/>
        </w:rPr>
        <w:t>瓩</w:t>
      </w:r>
      <w:proofErr w:type="gramEnd"/>
      <w:r w:rsidRPr="00CE484C">
        <w:rPr>
          <w:rFonts w:hint="eastAsia"/>
        </w:rPr>
        <w:t>平均購電量約1,196度。0</w:t>
      </w:r>
      <w:r w:rsidRPr="00CE484C">
        <w:t>.0656</w:t>
      </w:r>
      <w:r w:rsidRPr="00CE484C">
        <w:rPr>
          <w:rFonts w:hint="eastAsia"/>
        </w:rPr>
        <w:t>元/度</w:t>
      </w:r>
      <w:r w:rsidRPr="00CE484C">
        <w:t>*1,196</w:t>
      </w:r>
      <w:r w:rsidRPr="00CE484C">
        <w:rPr>
          <w:rFonts w:hint="eastAsia"/>
        </w:rPr>
        <w:t>度</w:t>
      </w:r>
      <w:proofErr w:type="gramStart"/>
      <w:r w:rsidRPr="00CE484C">
        <w:rPr>
          <w:rFonts w:ascii="新細明體" w:eastAsia="新細明體" w:hAnsi="新細明體" w:hint="eastAsia"/>
        </w:rPr>
        <w:t>≒</w:t>
      </w:r>
      <w:proofErr w:type="gramEnd"/>
      <w:r w:rsidRPr="00CE484C">
        <w:rPr>
          <w:rFonts w:hint="eastAsia"/>
        </w:rPr>
        <w:t>7</w:t>
      </w:r>
      <w:r w:rsidRPr="00CE484C">
        <w:t>8</w:t>
      </w:r>
      <w:r w:rsidRPr="00CE484C">
        <w:rPr>
          <w:rFonts w:hint="eastAsia"/>
        </w:rPr>
        <w:t>元</w:t>
      </w:r>
      <w:proofErr w:type="gramStart"/>
      <w:r w:rsidRPr="00CE484C">
        <w:rPr>
          <w:rFonts w:hint="eastAsia"/>
        </w:rPr>
        <w:t>）</w:t>
      </w:r>
      <w:proofErr w:type="gramEnd"/>
      <w:r w:rsidRPr="00CE484C">
        <w:rPr>
          <w:rFonts w:hint="eastAsia"/>
        </w:rPr>
        <w:t>、業者</w:t>
      </w:r>
      <w:r>
        <w:rPr>
          <w:rFonts w:hint="eastAsia"/>
        </w:rPr>
        <w:t>每年</w:t>
      </w:r>
      <w:r w:rsidRPr="00CE484C">
        <w:rPr>
          <w:rFonts w:hint="eastAsia"/>
        </w:rPr>
        <w:t>再繳回模組回收費每</w:t>
      </w:r>
      <w:proofErr w:type="gramStart"/>
      <w:r w:rsidRPr="00CE484C">
        <w:rPr>
          <w:rFonts w:hint="eastAsia"/>
        </w:rPr>
        <w:t>瓩</w:t>
      </w:r>
      <w:proofErr w:type="gramEnd"/>
      <w:r w:rsidRPr="00CE484C">
        <w:rPr>
          <w:rFonts w:hint="eastAsia"/>
        </w:rPr>
        <w:t>100元</w:t>
      </w:r>
      <w:r>
        <w:rPr>
          <w:rFonts w:hint="eastAsia"/>
        </w:rPr>
        <w:t>（10期）</w:t>
      </w:r>
      <w:r w:rsidRPr="00CE484C">
        <w:rPr>
          <w:rFonts w:hint="eastAsia"/>
        </w:rPr>
        <w:t>。</w:t>
      </w:r>
      <w:bookmarkEnd w:id="79"/>
    </w:p>
  </w:footnote>
  <w:footnote w:id="4">
    <w:p w:rsidR="00907950" w:rsidRPr="00CE484C" w:rsidRDefault="00907950">
      <w:pPr>
        <w:pStyle w:val="afe"/>
      </w:pPr>
      <w:r w:rsidRPr="004D0D70">
        <w:rPr>
          <w:rStyle w:val="aff0"/>
        </w:rPr>
        <w:footnoteRef/>
      </w:r>
      <w:r w:rsidRPr="00CE484C">
        <w:t xml:space="preserve"> </w:t>
      </w:r>
      <w:r w:rsidRPr="00CE484C">
        <w:rPr>
          <w:rFonts w:ascii="Times New Roman"/>
          <w:szCs w:val="32"/>
        </w:rPr>
        <w:t>3,986.6MW*1,000*100</w:t>
      </w:r>
      <w:r w:rsidRPr="00CE484C">
        <w:rPr>
          <w:rFonts w:ascii="Times New Roman" w:hint="eastAsia"/>
          <w:szCs w:val="32"/>
        </w:rPr>
        <w:t>元</w:t>
      </w:r>
      <w:proofErr w:type="gramStart"/>
      <w:r w:rsidRPr="00CE484C">
        <w:rPr>
          <w:rFonts w:ascii="新細明體" w:eastAsia="新細明體" w:hAnsi="新細明體" w:cs="新細明體" w:hint="eastAsia"/>
          <w:szCs w:val="32"/>
        </w:rPr>
        <w:t>≒</w:t>
      </w:r>
      <w:proofErr w:type="gramEnd"/>
      <w:r w:rsidRPr="00CE484C">
        <w:rPr>
          <w:rFonts w:ascii="Times New Roman"/>
          <w:szCs w:val="32"/>
        </w:rPr>
        <w:t>3.98</w:t>
      </w:r>
      <w:r w:rsidRPr="00CE484C">
        <w:rPr>
          <w:rFonts w:ascii="Times New Roman" w:hint="eastAsia"/>
          <w:szCs w:val="32"/>
        </w:rPr>
        <w:t>億餘元</w:t>
      </w:r>
    </w:p>
  </w:footnote>
  <w:footnote w:id="5">
    <w:p w:rsidR="00907950" w:rsidRPr="00CF3159" w:rsidRDefault="00907950">
      <w:pPr>
        <w:pStyle w:val="afe"/>
        <w:rPr>
          <w:rFonts w:ascii="Times New Roman"/>
        </w:rPr>
      </w:pPr>
      <w:r w:rsidRPr="004D0D70">
        <w:rPr>
          <w:rStyle w:val="aff0"/>
        </w:rPr>
        <w:footnoteRef/>
      </w:r>
      <w:r w:rsidRPr="00CE484C">
        <w:rPr>
          <w:rFonts w:ascii="Times New Roman"/>
        </w:rPr>
        <w:t xml:space="preserve"> </w:t>
      </w:r>
      <w:r w:rsidRPr="00CE484C">
        <w:rPr>
          <w:rFonts w:ascii="Times New Roman"/>
          <w:szCs w:val="32"/>
        </w:rPr>
        <w:t>3,986.6MW*1,000*1196</w:t>
      </w:r>
      <w:r w:rsidRPr="00CE484C">
        <w:rPr>
          <w:rFonts w:ascii="Times New Roman" w:hint="eastAsia"/>
          <w:szCs w:val="32"/>
        </w:rPr>
        <w:t>度</w:t>
      </w:r>
      <w:r w:rsidRPr="00CE484C">
        <w:rPr>
          <w:rFonts w:ascii="Times New Roman"/>
          <w:szCs w:val="32"/>
        </w:rPr>
        <w:t>*0.0656</w:t>
      </w:r>
      <w:r w:rsidRPr="00CE484C">
        <w:rPr>
          <w:rFonts w:ascii="Times New Roman" w:hint="eastAsia"/>
          <w:szCs w:val="32"/>
        </w:rPr>
        <w:t>元</w:t>
      </w:r>
      <w:r w:rsidRPr="00CE484C">
        <w:rPr>
          <w:rFonts w:ascii="Times New Roman" w:hint="eastAsia"/>
          <w:szCs w:val="32"/>
        </w:rPr>
        <w:t>/</w:t>
      </w:r>
      <w:r w:rsidRPr="00CE484C">
        <w:rPr>
          <w:rFonts w:ascii="Times New Roman" w:hint="eastAsia"/>
          <w:szCs w:val="32"/>
        </w:rPr>
        <w:t>度</w:t>
      </w:r>
      <w:proofErr w:type="gramStart"/>
      <w:r w:rsidRPr="00CE484C">
        <w:rPr>
          <w:rFonts w:ascii="新細明體" w:eastAsia="新細明體" w:hAnsi="新細明體" w:cs="新細明體" w:hint="eastAsia"/>
          <w:szCs w:val="32"/>
        </w:rPr>
        <w:t>≒</w:t>
      </w:r>
      <w:proofErr w:type="gramEnd"/>
      <w:r w:rsidRPr="00CE484C">
        <w:rPr>
          <w:rFonts w:ascii="Times New Roman"/>
          <w:szCs w:val="32"/>
        </w:rPr>
        <w:t>3.12</w:t>
      </w:r>
      <w:r w:rsidRPr="00CE484C">
        <w:rPr>
          <w:rFonts w:ascii="Times New Roman" w:hint="eastAsia"/>
          <w:szCs w:val="32"/>
        </w:rPr>
        <w:t>億餘元</w:t>
      </w:r>
    </w:p>
  </w:footnote>
  <w:footnote w:id="6">
    <w:p w:rsidR="00907950" w:rsidRPr="00D12D19" w:rsidRDefault="00907950" w:rsidP="00902306">
      <w:pPr>
        <w:pStyle w:val="afe"/>
        <w:ind w:left="220" w:hangingChars="100" w:hanging="220"/>
        <w:jc w:val="both"/>
      </w:pPr>
      <w:r w:rsidRPr="004D0D70">
        <w:rPr>
          <w:rStyle w:val="aff0"/>
        </w:rPr>
        <w:footnoteRef/>
      </w:r>
      <w:r>
        <w:t xml:space="preserve"> </w:t>
      </w:r>
      <w:r>
        <w:rPr>
          <w:rFonts w:hint="eastAsia"/>
        </w:rPr>
        <w:t>催繳時程：1、</w:t>
      </w:r>
      <w:r w:rsidRPr="00D12D19">
        <w:rPr>
          <w:rFonts w:hint="eastAsia"/>
        </w:rPr>
        <w:t>當年度第一季印製寄送前一年度繳款通知。2、依</w:t>
      </w:r>
      <w:r>
        <w:rPr>
          <w:rFonts w:hint="eastAsia"/>
        </w:rPr>
        <w:t>能源署</w:t>
      </w:r>
      <w:r w:rsidRPr="00D12D19">
        <w:rPr>
          <w:rFonts w:hint="eastAsia"/>
        </w:rPr>
        <w:t>債權憑證管理作業要點規定，於繳款期限</w:t>
      </w:r>
      <w:r>
        <w:rPr>
          <w:rFonts w:hint="eastAsia"/>
        </w:rPr>
        <w:t>（3個月）</w:t>
      </w:r>
      <w:proofErr w:type="gramStart"/>
      <w:r w:rsidRPr="00D12D19">
        <w:rPr>
          <w:rFonts w:hint="eastAsia"/>
        </w:rPr>
        <w:t>屆至後</w:t>
      </w:r>
      <w:r>
        <w:t>1</w:t>
      </w:r>
      <w:r w:rsidRPr="00D12D19">
        <w:rPr>
          <w:rFonts w:hint="eastAsia"/>
        </w:rPr>
        <w:t>個月內</w:t>
      </w:r>
      <w:proofErr w:type="gramEnd"/>
      <w:r w:rsidRPr="00D12D19">
        <w:rPr>
          <w:rFonts w:hint="eastAsia"/>
        </w:rPr>
        <w:t>進行盤點並辦理</w:t>
      </w:r>
      <w:proofErr w:type="gramStart"/>
      <w:r w:rsidRPr="00D12D19">
        <w:rPr>
          <w:rFonts w:hint="eastAsia"/>
        </w:rPr>
        <w:t>第一次催補繳</w:t>
      </w:r>
      <w:proofErr w:type="gramEnd"/>
      <w:r w:rsidRPr="00D12D19">
        <w:rPr>
          <w:rFonts w:hint="eastAsia"/>
        </w:rPr>
        <w:t>作業，並按月辦理</w:t>
      </w:r>
      <w:proofErr w:type="gramStart"/>
      <w:r w:rsidRPr="00D12D19">
        <w:rPr>
          <w:rFonts w:hint="eastAsia"/>
        </w:rPr>
        <w:t>入帳</w:t>
      </w:r>
      <w:proofErr w:type="gramEnd"/>
      <w:r w:rsidRPr="00D12D19">
        <w:rPr>
          <w:rFonts w:hint="eastAsia"/>
        </w:rPr>
        <w:t>。3、催收後持續未繳納者，將依設置管理辦法第18條規定送主管機關限期改善。4、催收後逾繳款期限6個月內檢附證明文件</w:t>
      </w:r>
      <w:proofErr w:type="gramStart"/>
      <w:r w:rsidRPr="00D12D19">
        <w:rPr>
          <w:rFonts w:hint="eastAsia"/>
        </w:rPr>
        <w:t>辦理轉催收</w:t>
      </w:r>
      <w:proofErr w:type="gramEnd"/>
      <w:r w:rsidRPr="00D12D19">
        <w:rPr>
          <w:rFonts w:hint="eastAsia"/>
        </w:rPr>
        <w:t>。5、當年度11月底盤點次一年度應繳清冊。</w:t>
      </w:r>
    </w:p>
  </w:footnote>
  <w:footnote w:id="7">
    <w:p w:rsidR="00907950" w:rsidRPr="006A0EF2" w:rsidRDefault="00907950" w:rsidP="004D5602">
      <w:pPr>
        <w:pStyle w:val="afe"/>
        <w:ind w:left="220" w:hangingChars="100" w:hanging="220"/>
        <w:jc w:val="both"/>
      </w:pPr>
      <w:r w:rsidRPr="004D0D70">
        <w:rPr>
          <w:rStyle w:val="aff0"/>
        </w:rPr>
        <w:footnoteRef/>
      </w:r>
      <w:r>
        <w:t xml:space="preserve"> </w:t>
      </w:r>
      <w:r w:rsidRPr="00221ADC">
        <w:rPr>
          <w:rFonts w:hint="eastAsia"/>
        </w:rPr>
        <w:t>太陽光電發電設備模組回收費用收支保管及運用作業要點</w:t>
      </w:r>
      <w:r>
        <w:rPr>
          <w:rFonts w:hint="eastAsia"/>
        </w:rPr>
        <w:t>第4點：「</w:t>
      </w:r>
      <w:r w:rsidRPr="00D11618">
        <w:rPr>
          <w:rFonts w:hint="eastAsia"/>
        </w:rPr>
        <w:t>模組回收費用之繳納期程，除另有規定外，依下列規定辦理：</w:t>
      </w:r>
      <w:r>
        <w:rPr>
          <w:rFonts w:hint="eastAsia"/>
        </w:rPr>
        <w:t>…</w:t>
      </w:r>
      <w:proofErr w:type="gramStart"/>
      <w:r>
        <w:rPr>
          <w:rFonts w:hint="eastAsia"/>
        </w:rPr>
        <w:t>…</w:t>
      </w:r>
      <w:proofErr w:type="gramEnd"/>
      <w:r>
        <w:rPr>
          <w:rFonts w:hint="eastAsia"/>
        </w:rPr>
        <w:t>繳納模組回收費用之額度、方式及期限，由本部以書面通知設置者。設置者短繳或未如期繳納者，本部應再次以書面通知限期繳納；溢繳者，本部應於扣除必要行政費用後，無息</w:t>
      </w:r>
      <w:proofErr w:type="gramStart"/>
      <w:r>
        <w:rPr>
          <w:rFonts w:hint="eastAsia"/>
        </w:rPr>
        <w:t>退還其溢繳</w:t>
      </w:r>
      <w:proofErr w:type="gramEnd"/>
      <w:r>
        <w:rPr>
          <w:rFonts w:hint="eastAsia"/>
        </w:rPr>
        <w:t>之費用。設置者經本部再次以書面通知限期繳納模組回收費用，屆期仍不繳納者，本部應通知主管機關依本辦法第1</w:t>
      </w:r>
      <w:r>
        <w:t>8</w:t>
      </w:r>
      <w:r>
        <w:rPr>
          <w:rFonts w:hint="eastAsia"/>
        </w:rPr>
        <w:t>條第2項規定廢止該再生能源發電設備之同意備案或設備登記文件，本部並得依法移送行政執行。」</w:t>
      </w:r>
    </w:p>
  </w:footnote>
  <w:footnote w:id="8">
    <w:p w:rsidR="00907950" w:rsidRPr="00221ADC" w:rsidRDefault="00907950" w:rsidP="004D5602">
      <w:pPr>
        <w:pStyle w:val="afe"/>
        <w:ind w:left="220" w:hangingChars="100" w:hanging="220"/>
        <w:jc w:val="both"/>
      </w:pPr>
      <w:r w:rsidRPr="004D0D70">
        <w:rPr>
          <w:rStyle w:val="aff0"/>
        </w:rPr>
        <w:footnoteRef/>
      </w:r>
      <w:r>
        <w:t xml:space="preserve"> </w:t>
      </w:r>
      <w:r>
        <w:rPr>
          <w:rFonts w:hint="eastAsia"/>
        </w:rPr>
        <w:t>經濟部能源署</w:t>
      </w:r>
      <w:r w:rsidRPr="00221ADC">
        <w:rPr>
          <w:rFonts w:hint="eastAsia"/>
        </w:rPr>
        <w:t>考量行政執行法第7條1項</w:t>
      </w:r>
      <w:r>
        <w:rPr>
          <w:rFonts w:hint="eastAsia"/>
        </w:rPr>
        <w:t>所定「</w:t>
      </w:r>
      <w:r w:rsidRPr="00221ADC">
        <w:rPr>
          <w:rFonts w:hint="eastAsia"/>
        </w:rPr>
        <w:t>逾5年尚未執行終結者，不得再執行</w:t>
      </w:r>
      <w:r>
        <w:rPr>
          <w:rFonts w:hint="eastAsia"/>
        </w:rPr>
        <w:t>」之規定，將針對</w:t>
      </w:r>
      <w:proofErr w:type="gramStart"/>
      <w:r>
        <w:rPr>
          <w:rFonts w:hint="eastAsia"/>
        </w:rPr>
        <w:t>1</w:t>
      </w:r>
      <w:r>
        <w:t>10</w:t>
      </w:r>
      <w:proofErr w:type="gramEnd"/>
      <w:r>
        <w:rPr>
          <w:rFonts w:hint="eastAsia"/>
        </w:rPr>
        <w:t>年度未繳納案件辦理行政執行。</w:t>
      </w:r>
    </w:p>
  </w:footnote>
  <w:footnote w:id="9">
    <w:p w:rsidR="00907950" w:rsidRDefault="00907950" w:rsidP="00DB2B5F">
      <w:pPr>
        <w:pStyle w:val="afe"/>
        <w:ind w:left="220" w:hangingChars="100" w:hanging="220"/>
      </w:pPr>
      <w:r w:rsidRPr="004D0D70">
        <w:rPr>
          <w:rStyle w:val="aff0"/>
        </w:rPr>
        <w:footnoteRef/>
      </w:r>
      <w:r w:rsidRPr="000F07ED">
        <w:t xml:space="preserve"> </w:t>
      </w:r>
      <w:proofErr w:type="gramStart"/>
      <w:r w:rsidRPr="000F07ED">
        <w:rPr>
          <w:rFonts w:hint="eastAsia"/>
        </w:rPr>
        <w:t>綠能設施</w:t>
      </w:r>
      <w:proofErr w:type="gramEnd"/>
      <w:r w:rsidRPr="000F07ED">
        <w:rPr>
          <w:rFonts w:hint="eastAsia"/>
        </w:rPr>
        <w:t>得設置於農業用地之條件：1</w:t>
      </w:r>
      <w:r>
        <w:rPr>
          <w:rFonts w:hint="eastAsia"/>
        </w:rPr>
        <w:t>、</w:t>
      </w:r>
      <w:r w:rsidRPr="000F07ED">
        <w:rPr>
          <w:rFonts w:hint="eastAsia"/>
        </w:rPr>
        <w:t>結合農業經營；2</w:t>
      </w:r>
      <w:r>
        <w:rPr>
          <w:rFonts w:hint="eastAsia"/>
        </w:rPr>
        <w:t>、</w:t>
      </w:r>
      <w:r w:rsidRPr="000F07ED">
        <w:rPr>
          <w:rFonts w:hint="eastAsia"/>
        </w:rPr>
        <w:t>減緩</w:t>
      </w:r>
      <w:r w:rsidRPr="004E4144">
        <w:rPr>
          <w:rFonts w:hint="eastAsia"/>
        </w:rPr>
        <w:t>位於嚴重地層下陷地區之農業用地持續下陷；3</w:t>
      </w:r>
      <w:r>
        <w:rPr>
          <w:rFonts w:hint="eastAsia"/>
        </w:rPr>
        <w:t>、</w:t>
      </w:r>
      <w:r w:rsidRPr="004E4144">
        <w:rPr>
          <w:rFonts w:hint="eastAsia"/>
        </w:rPr>
        <w:t>防止受污染農業用地栽植特定農作物。</w:t>
      </w:r>
    </w:p>
  </w:footnote>
  <w:footnote w:id="10">
    <w:p w:rsidR="00907950" w:rsidRPr="00EF7292" w:rsidRDefault="00907950" w:rsidP="00CF7458">
      <w:pPr>
        <w:pStyle w:val="afe"/>
        <w:ind w:left="220" w:hangingChars="100" w:hanging="220"/>
        <w:jc w:val="both"/>
      </w:pPr>
      <w:r w:rsidRPr="004D0D70">
        <w:rPr>
          <w:rStyle w:val="aff0"/>
        </w:rPr>
        <w:footnoteRef/>
      </w:r>
      <w:r>
        <w:t xml:space="preserve"> </w:t>
      </w:r>
      <w:r>
        <w:rPr>
          <w:rFonts w:hint="eastAsia"/>
        </w:rPr>
        <w:t>統計至1</w:t>
      </w:r>
      <w:r>
        <w:t>14</w:t>
      </w:r>
      <w:r>
        <w:rPr>
          <w:rFonts w:hint="eastAsia"/>
        </w:rPr>
        <w:t>年4月10日，</w:t>
      </w:r>
      <w:proofErr w:type="gramStart"/>
      <w:r>
        <w:rPr>
          <w:rFonts w:hint="eastAsia"/>
        </w:rPr>
        <w:t>臺</w:t>
      </w:r>
      <w:proofErr w:type="gramEnd"/>
      <w:r>
        <w:rPr>
          <w:rFonts w:hint="eastAsia"/>
        </w:rPr>
        <w:t>南市政府廢止</w:t>
      </w:r>
      <w:proofErr w:type="gramStart"/>
      <w:r>
        <w:rPr>
          <w:rFonts w:hint="eastAsia"/>
        </w:rPr>
        <w:t>農業綠能設施</w:t>
      </w:r>
      <w:proofErr w:type="gramEnd"/>
      <w:r>
        <w:rPr>
          <w:rFonts w:hint="eastAsia"/>
        </w:rPr>
        <w:t>案共計123件</w:t>
      </w:r>
      <w:r w:rsidRPr="00EF7292">
        <w:rPr>
          <w:rFonts w:hint="eastAsia"/>
        </w:rPr>
        <w:t>，其中90件為農業設施</w:t>
      </w:r>
      <w:proofErr w:type="gramStart"/>
      <w:r w:rsidRPr="00EF7292">
        <w:rPr>
          <w:rFonts w:hint="eastAsia"/>
        </w:rPr>
        <w:t>附屬綠能設施</w:t>
      </w:r>
      <w:proofErr w:type="gramEnd"/>
      <w:r w:rsidRPr="00EF7292">
        <w:rPr>
          <w:rFonts w:hint="eastAsia"/>
        </w:rPr>
        <w:t>，33件為水產養殖設施</w:t>
      </w:r>
      <w:proofErr w:type="gramStart"/>
      <w:r w:rsidRPr="00EF7292">
        <w:rPr>
          <w:rFonts w:hint="eastAsia"/>
        </w:rPr>
        <w:t>附屬綠能設施</w:t>
      </w:r>
      <w:proofErr w:type="gramEnd"/>
      <w:r w:rsidRPr="00EF7292">
        <w:rPr>
          <w:rFonts w:hint="eastAsia"/>
        </w:rPr>
        <w:t>（即漁電共生案場，行政訴訟中，尚未確定）。</w:t>
      </w:r>
      <w:r>
        <w:rPr>
          <w:rFonts w:hint="eastAsia"/>
        </w:rPr>
        <w:t>該90件廢止案場陸續改善</w:t>
      </w:r>
      <w:proofErr w:type="gramStart"/>
      <w:r>
        <w:rPr>
          <w:rFonts w:hint="eastAsia"/>
        </w:rPr>
        <w:t>（</w:t>
      </w:r>
      <w:proofErr w:type="gramEnd"/>
      <w:r>
        <w:rPr>
          <w:rFonts w:hint="eastAsia"/>
        </w:rPr>
        <w:t>例：重新取得容許使用等</w:t>
      </w:r>
      <w:proofErr w:type="gramStart"/>
      <w:r>
        <w:rPr>
          <w:rFonts w:hint="eastAsia"/>
        </w:rPr>
        <w:t>）</w:t>
      </w:r>
      <w:proofErr w:type="gramEnd"/>
      <w:r>
        <w:rPr>
          <w:rFonts w:hint="eastAsia"/>
        </w:rPr>
        <w:t>，其中43件已拆除太陽能光電板。</w:t>
      </w:r>
    </w:p>
  </w:footnote>
  <w:footnote w:id="11">
    <w:p w:rsidR="00907950" w:rsidRDefault="00907950" w:rsidP="00DB2B5F">
      <w:pPr>
        <w:pStyle w:val="afe"/>
        <w:ind w:left="220" w:hangingChars="100" w:hanging="220"/>
        <w:jc w:val="both"/>
      </w:pPr>
      <w:r w:rsidRPr="004D0D70">
        <w:rPr>
          <w:rStyle w:val="aff0"/>
        </w:rPr>
        <w:footnoteRef/>
      </w:r>
      <w:r>
        <w:t xml:space="preserve"> </w:t>
      </w:r>
      <w:r w:rsidRPr="00FC5C03">
        <w:rPr>
          <w:rFonts w:hint="eastAsia"/>
        </w:rPr>
        <w:t>1.</w:t>
      </w:r>
      <w:r w:rsidRPr="00FC5C03">
        <w:rPr>
          <w:rFonts w:hint="eastAsia"/>
        </w:rPr>
        <w:tab/>
      </w:r>
      <w:proofErr w:type="gramStart"/>
      <w:r w:rsidRPr="00FC5C03">
        <w:rPr>
          <w:rFonts w:hint="eastAsia"/>
        </w:rPr>
        <w:t>楠</w:t>
      </w:r>
      <w:proofErr w:type="gramEnd"/>
      <w:r w:rsidRPr="00FC5C03">
        <w:rPr>
          <w:rFonts w:hint="eastAsia"/>
        </w:rPr>
        <w:t>西區</w:t>
      </w:r>
      <w:r w:rsidRPr="00FC5C03">
        <w:rPr>
          <w:rFonts w:ascii="新細明體-ExtB" w:eastAsia="新細明體-ExtB" w:hAnsi="新細明體-ExtB" w:cs="新細明體-ExtB" w:hint="eastAsia"/>
        </w:rPr>
        <w:t>𦬬</w:t>
      </w:r>
      <w:r w:rsidRPr="00FC5C03">
        <w:rPr>
          <w:rFonts w:hint="eastAsia"/>
        </w:rPr>
        <w:t>萊宅段</w:t>
      </w:r>
      <w:r>
        <w:rPr>
          <w:rFonts w:hint="eastAsia"/>
        </w:rPr>
        <w:t>○</w:t>
      </w:r>
      <w:r w:rsidRPr="00FC5C03">
        <w:rPr>
          <w:rFonts w:hint="eastAsia"/>
        </w:rPr>
        <w:t>地號，</w:t>
      </w:r>
      <w:r>
        <w:rPr>
          <w:rFonts w:hint="eastAsia"/>
        </w:rPr>
        <w:t>屬非都市土地，臺南市政府</w:t>
      </w:r>
      <w:r w:rsidRPr="00FC5C03">
        <w:rPr>
          <w:rFonts w:hint="eastAsia"/>
        </w:rPr>
        <w:t>地政局分別於106年及112年各裁罰6萬元在案，復於114年3月21日及24日函請地主及行為人陳述意見</w:t>
      </w:r>
      <w:r>
        <w:rPr>
          <w:rFonts w:hint="eastAsia"/>
        </w:rPr>
        <w:t>。</w:t>
      </w:r>
      <w:r w:rsidRPr="00FC5C03">
        <w:rPr>
          <w:rFonts w:hint="eastAsia"/>
        </w:rPr>
        <w:t>2.</w:t>
      </w:r>
      <w:r w:rsidRPr="00FC5C03">
        <w:rPr>
          <w:rFonts w:hint="eastAsia"/>
        </w:rPr>
        <w:tab/>
      </w:r>
      <w:proofErr w:type="gramStart"/>
      <w:r w:rsidRPr="00FC5C03">
        <w:rPr>
          <w:rFonts w:hint="eastAsia"/>
        </w:rPr>
        <w:t>楠</w:t>
      </w:r>
      <w:proofErr w:type="gramEnd"/>
      <w:r w:rsidRPr="00FC5C03">
        <w:rPr>
          <w:rFonts w:hint="eastAsia"/>
        </w:rPr>
        <w:t>西區</w:t>
      </w:r>
      <w:r w:rsidRPr="00FC5C03">
        <w:rPr>
          <w:rFonts w:ascii="新細明體-ExtB" w:eastAsia="新細明體-ExtB" w:hAnsi="新細明體-ExtB" w:cs="新細明體-ExtB" w:hint="eastAsia"/>
        </w:rPr>
        <w:t>𦬬</w:t>
      </w:r>
      <w:r w:rsidRPr="00FC5C03">
        <w:rPr>
          <w:rFonts w:hint="eastAsia"/>
        </w:rPr>
        <w:t>萊宅段</w:t>
      </w:r>
      <w:r>
        <w:rPr>
          <w:rFonts w:hint="eastAsia"/>
        </w:rPr>
        <w:t>○</w:t>
      </w:r>
      <w:r w:rsidRPr="00FC5C03">
        <w:rPr>
          <w:rFonts w:hint="eastAsia"/>
        </w:rPr>
        <w:t>地號，屬非都市土地，</w:t>
      </w:r>
      <w:r>
        <w:rPr>
          <w:rFonts w:hint="eastAsia"/>
        </w:rPr>
        <w:t>該</w:t>
      </w:r>
      <w:r w:rsidRPr="00FC5C03">
        <w:rPr>
          <w:rFonts w:hint="eastAsia"/>
        </w:rPr>
        <w:t>府地政局分別於106年及112年各裁罰9萬元在案，復於114年3月21日及24日函請地主及行為人陳述意見</w:t>
      </w:r>
      <w:r>
        <w:rPr>
          <w:rFonts w:hint="eastAsia"/>
        </w:rPr>
        <w:t>。3</w:t>
      </w:r>
      <w:r>
        <w:t>.</w:t>
      </w:r>
      <w:r w:rsidRPr="00FC5C03">
        <w:rPr>
          <w:rFonts w:hint="eastAsia"/>
        </w:rPr>
        <w:tab/>
        <w:t>仁德區如意段</w:t>
      </w:r>
      <w:r>
        <w:rPr>
          <w:rFonts w:hint="eastAsia"/>
        </w:rPr>
        <w:t>○</w:t>
      </w:r>
      <w:r w:rsidRPr="00FC5C03">
        <w:rPr>
          <w:rFonts w:hint="eastAsia"/>
        </w:rPr>
        <w:t>地號，屬都市土地，</w:t>
      </w:r>
      <w:r>
        <w:rPr>
          <w:rFonts w:hint="eastAsia"/>
        </w:rPr>
        <w:t>該</w:t>
      </w:r>
      <w:r w:rsidRPr="00FC5C03">
        <w:rPr>
          <w:rFonts w:hint="eastAsia"/>
        </w:rPr>
        <w:t>府</w:t>
      </w:r>
      <w:r>
        <w:rPr>
          <w:rFonts w:hint="eastAsia"/>
        </w:rPr>
        <w:t>都市發展局</w:t>
      </w:r>
      <w:r w:rsidRPr="00FC5C03">
        <w:rPr>
          <w:rFonts w:hint="eastAsia"/>
        </w:rPr>
        <w:t>分別於113年5月及</w:t>
      </w:r>
      <w:proofErr w:type="gramStart"/>
      <w:r w:rsidRPr="00FC5C03">
        <w:rPr>
          <w:rFonts w:hint="eastAsia"/>
        </w:rPr>
        <w:t>12月各裁罰</w:t>
      </w:r>
      <w:proofErr w:type="gramEnd"/>
      <w:r w:rsidRPr="00FC5C03">
        <w:rPr>
          <w:rFonts w:hint="eastAsia"/>
        </w:rPr>
        <w:t>6萬元及12萬元在案，對於案址新增堆置碎石級配及雜物情形，將持續查處。</w:t>
      </w:r>
    </w:p>
  </w:footnote>
  <w:footnote w:id="12">
    <w:p w:rsidR="00907950" w:rsidRPr="001821BF" w:rsidRDefault="00907950" w:rsidP="00010EA6">
      <w:pPr>
        <w:pStyle w:val="afe"/>
        <w:ind w:left="220" w:hangingChars="100" w:hanging="220"/>
        <w:jc w:val="both"/>
        <w:rPr>
          <w:rFonts w:hAnsi="標楷體"/>
        </w:rPr>
      </w:pPr>
      <w:r w:rsidRPr="004D0D70">
        <w:rPr>
          <w:rStyle w:val="aff0"/>
        </w:rPr>
        <w:footnoteRef/>
      </w:r>
      <w:r w:rsidRPr="001821BF">
        <w:rPr>
          <w:rFonts w:hAnsi="標楷體"/>
        </w:rPr>
        <w:t xml:space="preserve"> </w:t>
      </w:r>
      <w:r w:rsidRPr="001821BF">
        <w:rPr>
          <w:rFonts w:ascii="Times New Roman"/>
        </w:rPr>
        <w:t>經濟部能源署以太陽光電模組使用年限</w:t>
      </w:r>
      <w:r w:rsidRPr="001821BF">
        <w:rPr>
          <w:rFonts w:ascii="Times New Roman"/>
        </w:rPr>
        <w:t>20</w:t>
      </w:r>
      <w:r w:rsidRPr="001821BF">
        <w:rPr>
          <w:rFonts w:ascii="Times New Roman"/>
        </w:rPr>
        <w:t>年、每年</w:t>
      </w:r>
      <w:proofErr w:type="gramStart"/>
      <w:r w:rsidRPr="001821BF">
        <w:rPr>
          <w:rFonts w:ascii="Times New Roman"/>
        </w:rPr>
        <w:t>災損量約</w:t>
      </w:r>
      <w:proofErr w:type="gramEnd"/>
      <w:r w:rsidRPr="001821BF">
        <w:rPr>
          <w:rFonts w:ascii="Times New Roman"/>
        </w:rPr>
        <w:t>產生</w:t>
      </w:r>
      <w:r w:rsidRPr="001821BF">
        <w:rPr>
          <w:rFonts w:ascii="Times New Roman"/>
        </w:rPr>
        <w:t>0.2%</w:t>
      </w:r>
      <w:r w:rsidRPr="001821BF">
        <w:rPr>
          <w:rFonts w:ascii="Times New Roman"/>
        </w:rPr>
        <w:t>、每片模組容量</w:t>
      </w:r>
      <w:r w:rsidRPr="001821BF">
        <w:rPr>
          <w:rFonts w:ascii="Times New Roman"/>
        </w:rPr>
        <w:t>0.3</w:t>
      </w:r>
      <w:proofErr w:type="gramStart"/>
      <w:r w:rsidRPr="001821BF">
        <w:rPr>
          <w:rFonts w:ascii="Times New Roman"/>
        </w:rPr>
        <w:t>瓩</w:t>
      </w:r>
      <w:proofErr w:type="gramEnd"/>
      <w:r w:rsidRPr="001821BF">
        <w:rPr>
          <w:rFonts w:ascii="Times New Roman"/>
        </w:rPr>
        <w:t>及重量</w:t>
      </w:r>
      <w:r w:rsidRPr="001821BF">
        <w:rPr>
          <w:rFonts w:ascii="Times New Roman"/>
        </w:rPr>
        <w:t>20</w:t>
      </w:r>
      <w:r w:rsidRPr="001821BF">
        <w:rPr>
          <w:rFonts w:ascii="Times New Roman"/>
        </w:rPr>
        <w:t>公斤作為計算前提推估。</w:t>
      </w:r>
      <w:r w:rsidRPr="001821BF">
        <w:rPr>
          <w:rFonts w:ascii="Times New Roman"/>
        </w:rPr>
        <w:t>1,411.42 MW*1,000/0.3*20kg/1,000</w:t>
      </w:r>
      <w:proofErr w:type="gramStart"/>
      <w:r w:rsidRPr="001821BF">
        <w:rPr>
          <w:rFonts w:ascii="新細明體" w:eastAsia="新細明體" w:hAnsi="新細明體" w:cs="新細明體" w:hint="eastAsia"/>
        </w:rPr>
        <w:t>≒</w:t>
      </w:r>
      <w:proofErr w:type="gramEnd"/>
      <w:r w:rsidRPr="001821BF">
        <w:rPr>
          <w:rFonts w:ascii="Times New Roman"/>
        </w:rPr>
        <w:t>9.4</w:t>
      </w:r>
      <w:r w:rsidRPr="001821BF">
        <w:rPr>
          <w:rFonts w:ascii="Times New Roman"/>
        </w:rPr>
        <w:t>萬公噸。</w:t>
      </w:r>
    </w:p>
  </w:footnote>
  <w:footnote w:id="13">
    <w:p w:rsidR="00907950" w:rsidRPr="001821BF" w:rsidRDefault="00907950" w:rsidP="0081502F">
      <w:pPr>
        <w:pStyle w:val="afe"/>
        <w:ind w:left="220" w:hangingChars="100" w:hanging="220"/>
        <w:jc w:val="both"/>
        <w:rPr>
          <w:rFonts w:hAnsi="標楷體"/>
        </w:rPr>
      </w:pPr>
      <w:r w:rsidRPr="004D0D70">
        <w:rPr>
          <w:rStyle w:val="aff0"/>
        </w:rPr>
        <w:footnoteRef/>
      </w:r>
      <w:r w:rsidRPr="001821BF">
        <w:rPr>
          <w:rFonts w:hAnsi="標楷體"/>
        </w:rPr>
        <w:t xml:space="preserve"> </w:t>
      </w:r>
      <w:r w:rsidRPr="001821BF">
        <w:rPr>
          <w:rFonts w:ascii="Times New Roman"/>
        </w:rPr>
        <w:t>環境</w:t>
      </w:r>
      <w:proofErr w:type="gramStart"/>
      <w:r w:rsidRPr="001821BF">
        <w:rPr>
          <w:rFonts w:ascii="Times New Roman"/>
        </w:rPr>
        <w:t>部資循署</w:t>
      </w:r>
      <w:proofErr w:type="gramEnd"/>
      <w:r w:rsidRPr="001821BF">
        <w:rPr>
          <w:rFonts w:ascii="Times New Roman"/>
        </w:rPr>
        <w:t>評估，光電模組國內設置占比以單</w:t>
      </w:r>
      <w:proofErr w:type="gramStart"/>
      <w:r w:rsidRPr="001821BF">
        <w:rPr>
          <w:rFonts w:ascii="Times New Roman"/>
        </w:rPr>
        <w:t>玻矽晶型及</w:t>
      </w:r>
      <w:proofErr w:type="gramEnd"/>
      <w:r w:rsidRPr="001821BF">
        <w:rPr>
          <w:rFonts w:ascii="Times New Roman"/>
        </w:rPr>
        <w:t>雙</w:t>
      </w:r>
      <w:proofErr w:type="gramStart"/>
      <w:r w:rsidRPr="001821BF">
        <w:rPr>
          <w:rFonts w:ascii="Times New Roman"/>
        </w:rPr>
        <w:t>玻矽晶型為主</w:t>
      </w:r>
      <w:proofErr w:type="gramEnd"/>
      <w:r w:rsidRPr="001821BF">
        <w:rPr>
          <w:rFonts w:ascii="Times New Roman"/>
        </w:rPr>
        <w:t>，故參考模組重量為約每</w:t>
      </w:r>
      <w:proofErr w:type="gramStart"/>
      <w:r w:rsidRPr="001821BF">
        <w:rPr>
          <w:rFonts w:ascii="Times New Roman"/>
        </w:rPr>
        <w:t>瓩</w:t>
      </w:r>
      <w:proofErr w:type="gramEnd"/>
      <w:r w:rsidRPr="001821BF">
        <w:rPr>
          <w:rFonts w:ascii="Times New Roman"/>
        </w:rPr>
        <w:t>57</w:t>
      </w:r>
      <w:r w:rsidRPr="001821BF">
        <w:rPr>
          <w:rFonts w:ascii="Times New Roman"/>
        </w:rPr>
        <w:t>至</w:t>
      </w:r>
      <w:r w:rsidRPr="001821BF">
        <w:rPr>
          <w:rFonts w:ascii="Times New Roman"/>
        </w:rPr>
        <w:t>72</w:t>
      </w:r>
      <w:r w:rsidRPr="001821BF">
        <w:rPr>
          <w:rFonts w:ascii="Times New Roman"/>
        </w:rPr>
        <w:t>公斤</w:t>
      </w:r>
      <w:proofErr w:type="gramStart"/>
      <w:r w:rsidRPr="001821BF">
        <w:rPr>
          <w:rFonts w:ascii="Times New Roman"/>
        </w:rPr>
        <w:t>之間，</w:t>
      </w:r>
      <w:proofErr w:type="gramEnd"/>
      <w:r w:rsidRPr="001821BF">
        <w:rPr>
          <w:rFonts w:ascii="Times New Roman"/>
        </w:rPr>
        <w:t>並以經濟部能源署預定推動設置目標估算設置容量，同時假設每片太陽光電模組設置後於產品使用到期</w:t>
      </w:r>
      <w:r w:rsidRPr="001821BF">
        <w:rPr>
          <w:rFonts w:ascii="Times New Roman"/>
        </w:rPr>
        <w:t>20</w:t>
      </w:r>
      <w:r w:rsidRPr="001821BF">
        <w:rPr>
          <w:rFonts w:ascii="Times New Roman"/>
        </w:rPr>
        <w:t>年後排出、每年災損率為當年度累積設置容量之</w:t>
      </w:r>
      <w:r w:rsidRPr="001821BF">
        <w:rPr>
          <w:rFonts w:ascii="Times New Roman"/>
        </w:rPr>
        <w:t>0.1</w:t>
      </w:r>
      <w:r w:rsidRPr="001821BF">
        <w:rPr>
          <w:rFonts w:ascii="Times New Roman"/>
        </w:rPr>
        <w:t>至</w:t>
      </w:r>
      <w:r w:rsidRPr="001821BF">
        <w:rPr>
          <w:rFonts w:ascii="Times New Roman"/>
        </w:rPr>
        <w:t>0.2%</w:t>
      </w:r>
      <w:r w:rsidRPr="001821BF">
        <w:rPr>
          <w:rFonts w:ascii="Times New Roman"/>
        </w:rPr>
        <w:t>等參數，為計算太陽光電模組廢棄物量之前提。</w:t>
      </w:r>
      <w:r w:rsidRPr="001821BF">
        <w:rPr>
          <w:rFonts w:ascii="Times New Roman"/>
        </w:rPr>
        <w:t>1,411.42 MW*1,000*72kg/1,000</w:t>
      </w:r>
      <w:proofErr w:type="gramStart"/>
      <w:r w:rsidRPr="001821BF">
        <w:rPr>
          <w:rFonts w:ascii="新細明體" w:eastAsia="新細明體" w:hAnsi="新細明體" w:cs="新細明體" w:hint="eastAsia"/>
        </w:rPr>
        <w:t>≒</w:t>
      </w:r>
      <w:proofErr w:type="gramEnd"/>
      <w:r w:rsidRPr="001821BF">
        <w:rPr>
          <w:rFonts w:ascii="Times New Roman"/>
        </w:rPr>
        <w:t>10</w:t>
      </w:r>
      <w:r w:rsidRPr="001821BF">
        <w:rPr>
          <w:rFonts w:ascii="Times New Roman"/>
        </w:rPr>
        <w:t>萬公噸。</w:t>
      </w:r>
      <w:r>
        <w:rPr>
          <w:rFonts w:ascii="Times New Roman" w:hint="eastAsia"/>
        </w:rPr>
        <w:t>參考出處：</w:t>
      </w:r>
      <w:hyperlink r:id="rId1" w:history="1">
        <w:r w:rsidRPr="00BA71F8">
          <w:rPr>
            <w:rStyle w:val="af"/>
            <w:rFonts w:ascii="Times New Roman"/>
          </w:rPr>
          <w:t>https://pvis.moenv.gov.tw/pvis/info/Plan</w:t>
        </w:r>
      </w:hyperlink>
      <w:r>
        <w:rPr>
          <w:rFonts w:ascii="Times New Roman" w:hint="eastAsia"/>
        </w:rPr>
        <w:t xml:space="preserve"> </w:t>
      </w:r>
      <w:r>
        <w:rPr>
          <w:rFonts w:ascii="Times New Roman" w:hint="eastAsia"/>
        </w:rPr>
        <w:t>。</w:t>
      </w:r>
    </w:p>
  </w:footnote>
  <w:footnote w:id="14">
    <w:p w:rsidR="00907950" w:rsidRDefault="00907950" w:rsidP="0081502F">
      <w:pPr>
        <w:pStyle w:val="afe"/>
        <w:ind w:left="220" w:hangingChars="100" w:hanging="220"/>
        <w:jc w:val="both"/>
      </w:pPr>
      <w:r w:rsidRPr="004D0D70">
        <w:rPr>
          <w:rStyle w:val="aff0"/>
        </w:rPr>
        <w:footnoteRef/>
      </w:r>
      <w:r w:rsidRPr="001821BF">
        <w:rPr>
          <w:rFonts w:hAnsi="標楷體"/>
        </w:rPr>
        <w:t xml:space="preserve"> </w:t>
      </w:r>
      <w:r w:rsidRPr="001821BF">
        <w:rPr>
          <w:rFonts w:ascii="Times New Roman"/>
        </w:rPr>
        <w:t>同上環境</w:t>
      </w:r>
      <w:proofErr w:type="gramStart"/>
      <w:r w:rsidRPr="001821BF">
        <w:rPr>
          <w:rFonts w:ascii="Times New Roman"/>
        </w:rPr>
        <w:t>部資循署</w:t>
      </w:r>
      <w:proofErr w:type="gramEnd"/>
      <w:r w:rsidRPr="001821BF">
        <w:rPr>
          <w:rFonts w:ascii="Times New Roman"/>
        </w:rPr>
        <w:t>估算方式，</w:t>
      </w:r>
      <w:r w:rsidRPr="001821BF">
        <w:rPr>
          <w:rFonts w:ascii="Times New Roman"/>
        </w:rPr>
        <w:t>4,149.42 MW*1,000*57kg/1,000</w:t>
      </w:r>
      <w:proofErr w:type="gramStart"/>
      <w:r w:rsidRPr="001821BF">
        <w:rPr>
          <w:rFonts w:ascii="新細明體" w:eastAsia="新細明體" w:hAnsi="新細明體" w:cs="新細明體" w:hint="eastAsia"/>
        </w:rPr>
        <w:t>≒</w:t>
      </w:r>
      <w:proofErr w:type="gramEnd"/>
      <w:r w:rsidRPr="001821BF">
        <w:rPr>
          <w:rFonts w:ascii="Times New Roman"/>
        </w:rPr>
        <w:t>23</w:t>
      </w:r>
      <w:r w:rsidRPr="001821BF">
        <w:rPr>
          <w:rFonts w:ascii="Times New Roman"/>
        </w:rPr>
        <w:t>萬</w:t>
      </w:r>
      <w:r w:rsidRPr="001821BF">
        <w:rPr>
          <w:rFonts w:ascii="Times New Roman"/>
        </w:rPr>
        <w:t>6</w:t>
      </w:r>
      <w:r w:rsidRPr="001821BF">
        <w:rPr>
          <w:rFonts w:ascii="Times New Roman"/>
        </w:rPr>
        <w:t>千公噸；</w:t>
      </w:r>
      <w:r w:rsidRPr="001821BF">
        <w:rPr>
          <w:rFonts w:ascii="Times New Roman"/>
        </w:rPr>
        <w:t>4,149.42 MW*1,000*72kg/1,000</w:t>
      </w:r>
      <w:proofErr w:type="gramStart"/>
      <w:r w:rsidRPr="001821BF">
        <w:rPr>
          <w:rFonts w:ascii="新細明體" w:eastAsia="新細明體" w:hAnsi="新細明體" w:cs="新細明體" w:hint="eastAsia"/>
        </w:rPr>
        <w:t>≒</w:t>
      </w:r>
      <w:proofErr w:type="gramEnd"/>
      <w:r w:rsidRPr="001821BF">
        <w:rPr>
          <w:rFonts w:ascii="Times New Roman"/>
        </w:rPr>
        <w:t>29</w:t>
      </w:r>
      <w:r w:rsidRPr="001821BF">
        <w:rPr>
          <w:rFonts w:ascii="Times New Roman"/>
        </w:rPr>
        <w:t>萬</w:t>
      </w:r>
      <w:r w:rsidRPr="001821BF">
        <w:rPr>
          <w:rFonts w:ascii="Times New Roman"/>
        </w:rPr>
        <w:t>8</w:t>
      </w:r>
      <w:r w:rsidRPr="001821BF">
        <w:rPr>
          <w:rFonts w:ascii="Times New Roman"/>
        </w:rPr>
        <w:t>千公噸。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C77089C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2"/>
    <w:lvlOverride w:ilvl="0">
      <w:startOverride w:val="1"/>
    </w:lvlOverride>
  </w:num>
  <w:num w:numId="5">
    <w:abstractNumId w:val="6"/>
  </w:num>
  <w:num w:numId="6">
    <w:abstractNumId w:val="4"/>
  </w:num>
  <w:num w:numId="7">
    <w:abstractNumId w:val="7"/>
  </w:num>
  <w:num w:numId="8">
    <w:abstractNumId w:val="1"/>
  </w:num>
  <w:num w:numId="9">
    <w:abstractNumId w:val="8"/>
  </w:num>
  <w:num w:numId="10">
    <w:abstractNumId w:val="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D85"/>
    <w:rsid w:val="00004F0F"/>
    <w:rsid w:val="00006961"/>
    <w:rsid w:val="00010EA6"/>
    <w:rsid w:val="000112BF"/>
    <w:rsid w:val="00012233"/>
    <w:rsid w:val="00015A46"/>
    <w:rsid w:val="00017318"/>
    <w:rsid w:val="0002036B"/>
    <w:rsid w:val="000229AD"/>
    <w:rsid w:val="000246F7"/>
    <w:rsid w:val="00025B03"/>
    <w:rsid w:val="00027C11"/>
    <w:rsid w:val="0003114D"/>
    <w:rsid w:val="0003194C"/>
    <w:rsid w:val="00033A7F"/>
    <w:rsid w:val="0003534C"/>
    <w:rsid w:val="00036D76"/>
    <w:rsid w:val="00041B19"/>
    <w:rsid w:val="00050D9E"/>
    <w:rsid w:val="00052EB0"/>
    <w:rsid w:val="000560B2"/>
    <w:rsid w:val="00056AE4"/>
    <w:rsid w:val="00057F32"/>
    <w:rsid w:val="00062A25"/>
    <w:rsid w:val="000631D1"/>
    <w:rsid w:val="00073CB5"/>
    <w:rsid w:val="0007425C"/>
    <w:rsid w:val="00077223"/>
    <w:rsid w:val="00077553"/>
    <w:rsid w:val="000805F7"/>
    <w:rsid w:val="000851A2"/>
    <w:rsid w:val="0009352E"/>
    <w:rsid w:val="00096B96"/>
    <w:rsid w:val="000A2F3F"/>
    <w:rsid w:val="000A7F05"/>
    <w:rsid w:val="000B0B4A"/>
    <w:rsid w:val="000B0DBA"/>
    <w:rsid w:val="000B279A"/>
    <w:rsid w:val="000B2F59"/>
    <w:rsid w:val="000B368D"/>
    <w:rsid w:val="000B61D2"/>
    <w:rsid w:val="000B70A7"/>
    <w:rsid w:val="000B73DD"/>
    <w:rsid w:val="000B7793"/>
    <w:rsid w:val="000C08AC"/>
    <w:rsid w:val="000C495F"/>
    <w:rsid w:val="000C5048"/>
    <w:rsid w:val="000D0193"/>
    <w:rsid w:val="000D0F69"/>
    <w:rsid w:val="000D2E54"/>
    <w:rsid w:val="000D4AF5"/>
    <w:rsid w:val="000D66D9"/>
    <w:rsid w:val="000D6EA4"/>
    <w:rsid w:val="000D72F4"/>
    <w:rsid w:val="000E6431"/>
    <w:rsid w:val="000F07ED"/>
    <w:rsid w:val="000F1ACA"/>
    <w:rsid w:val="000F21A5"/>
    <w:rsid w:val="000F52D3"/>
    <w:rsid w:val="00102B9F"/>
    <w:rsid w:val="001038D5"/>
    <w:rsid w:val="00107E36"/>
    <w:rsid w:val="001124B3"/>
    <w:rsid w:val="00112637"/>
    <w:rsid w:val="00112ABC"/>
    <w:rsid w:val="00114356"/>
    <w:rsid w:val="0012001E"/>
    <w:rsid w:val="0012096C"/>
    <w:rsid w:val="00122C7C"/>
    <w:rsid w:val="00123FB9"/>
    <w:rsid w:val="001266ED"/>
    <w:rsid w:val="00126A55"/>
    <w:rsid w:val="00131227"/>
    <w:rsid w:val="00133F08"/>
    <w:rsid w:val="001345E6"/>
    <w:rsid w:val="00136E26"/>
    <w:rsid w:val="001378B0"/>
    <w:rsid w:val="00140853"/>
    <w:rsid w:val="00142632"/>
    <w:rsid w:val="00142E00"/>
    <w:rsid w:val="00144C19"/>
    <w:rsid w:val="0014645F"/>
    <w:rsid w:val="001472B7"/>
    <w:rsid w:val="001523CE"/>
    <w:rsid w:val="00152793"/>
    <w:rsid w:val="00153B7E"/>
    <w:rsid w:val="001545A9"/>
    <w:rsid w:val="00155FF7"/>
    <w:rsid w:val="00161A32"/>
    <w:rsid w:val="001624CE"/>
    <w:rsid w:val="001637C7"/>
    <w:rsid w:val="00163F68"/>
    <w:rsid w:val="0016480E"/>
    <w:rsid w:val="00165447"/>
    <w:rsid w:val="0016634E"/>
    <w:rsid w:val="0016728C"/>
    <w:rsid w:val="00174297"/>
    <w:rsid w:val="00180E06"/>
    <w:rsid w:val="001817B3"/>
    <w:rsid w:val="001821BF"/>
    <w:rsid w:val="00183014"/>
    <w:rsid w:val="001868A2"/>
    <w:rsid w:val="001959C2"/>
    <w:rsid w:val="00195CE0"/>
    <w:rsid w:val="001A0103"/>
    <w:rsid w:val="001A13F4"/>
    <w:rsid w:val="001A41E2"/>
    <w:rsid w:val="001A51E3"/>
    <w:rsid w:val="001A66DD"/>
    <w:rsid w:val="001A7935"/>
    <w:rsid w:val="001A7968"/>
    <w:rsid w:val="001B02A1"/>
    <w:rsid w:val="001B21F3"/>
    <w:rsid w:val="001B2E98"/>
    <w:rsid w:val="001B3483"/>
    <w:rsid w:val="001B3C1E"/>
    <w:rsid w:val="001B4494"/>
    <w:rsid w:val="001B47EF"/>
    <w:rsid w:val="001B6B1B"/>
    <w:rsid w:val="001C0D8B"/>
    <w:rsid w:val="001C0DA8"/>
    <w:rsid w:val="001C3C02"/>
    <w:rsid w:val="001C6182"/>
    <w:rsid w:val="001D1004"/>
    <w:rsid w:val="001D4AD7"/>
    <w:rsid w:val="001E07A9"/>
    <w:rsid w:val="001E0D8A"/>
    <w:rsid w:val="001E67BA"/>
    <w:rsid w:val="001E74C2"/>
    <w:rsid w:val="001F4F82"/>
    <w:rsid w:val="001F5A48"/>
    <w:rsid w:val="001F6260"/>
    <w:rsid w:val="00200007"/>
    <w:rsid w:val="002030A5"/>
    <w:rsid w:val="00203131"/>
    <w:rsid w:val="00207C01"/>
    <w:rsid w:val="002117EA"/>
    <w:rsid w:val="00212E88"/>
    <w:rsid w:val="00213C9C"/>
    <w:rsid w:val="002147BE"/>
    <w:rsid w:val="0022009E"/>
    <w:rsid w:val="002208B4"/>
    <w:rsid w:val="0022122F"/>
    <w:rsid w:val="0022191F"/>
    <w:rsid w:val="00221ADC"/>
    <w:rsid w:val="00223241"/>
    <w:rsid w:val="0022324E"/>
    <w:rsid w:val="0022370B"/>
    <w:rsid w:val="00223D09"/>
    <w:rsid w:val="0022425C"/>
    <w:rsid w:val="002246DE"/>
    <w:rsid w:val="002264EF"/>
    <w:rsid w:val="00227CA6"/>
    <w:rsid w:val="0023094E"/>
    <w:rsid w:val="00235F45"/>
    <w:rsid w:val="0023604F"/>
    <w:rsid w:val="002429E2"/>
    <w:rsid w:val="00245D66"/>
    <w:rsid w:val="00252BC4"/>
    <w:rsid w:val="00254014"/>
    <w:rsid w:val="00254B39"/>
    <w:rsid w:val="0026504D"/>
    <w:rsid w:val="002669B1"/>
    <w:rsid w:val="00270822"/>
    <w:rsid w:val="00273A2F"/>
    <w:rsid w:val="002743AC"/>
    <w:rsid w:val="00275B59"/>
    <w:rsid w:val="00280986"/>
    <w:rsid w:val="00281ECE"/>
    <w:rsid w:val="00282098"/>
    <w:rsid w:val="00282313"/>
    <w:rsid w:val="002831C7"/>
    <w:rsid w:val="0028384F"/>
    <w:rsid w:val="002840C6"/>
    <w:rsid w:val="00287C8F"/>
    <w:rsid w:val="002945FE"/>
    <w:rsid w:val="00295160"/>
    <w:rsid w:val="00295174"/>
    <w:rsid w:val="00296172"/>
    <w:rsid w:val="00296B92"/>
    <w:rsid w:val="002A2C22"/>
    <w:rsid w:val="002A70E3"/>
    <w:rsid w:val="002B02EB"/>
    <w:rsid w:val="002B14EF"/>
    <w:rsid w:val="002B7B89"/>
    <w:rsid w:val="002C0602"/>
    <w:rsid w:val="002D5C16"/>
    <w:rsid w:val="002D653C"/>
    <w:rsid w:val="002D6A6B"/>
    <w:rsid w:val="002E0EBA"/>
    <w:rsid w:val="002E17DB"/>
    <w:rsid w:val="002E4A88"/>
    <w:rsid w:val="002E67FF"/>
    <w:rsid w:val="002F2476"/>
    <w:rsid w:val="002F269D"/>
    <w:rsid w:val="002F3DFF"/>
    <w:rsid w:val="002F5E05"/>
    <w:rsid w:val="002F68C6"/>
    <w:rsid w:val="002F7122"/>
    <w:rsid w:val="0030025B"/>
    <w:rsid w:val="003030E4"/>
    <w:rsid w:val="00307A76"/>
    <w:rsid w:val="00307B46"/>
    <w:rsid w:val="00307C01"/>
    <w:rsid w:val="003102FD"/>
    <w:rsid w:val="0031455E"/>
    <w:rsid w:val="00315A16"/>
    <w:rsid w:val="00317053"/>
    <w:rsid w:val="0031712D"/>
    <w:rsid w:val="0032109C"/>
    <w:rsid w:val="00322B45"/>
    <w:rsid w:val="00323809"/>
    <w:rsid w:val="00323D41"/>
    <w:rsid w:val="00325414"/>
    <w:rsid w:val="003302F1"/>
    <w:rsid w:val="00335F2F"/>
    <w:rsid w:val="00336EB8"/>
    <w:rsid w:val="00340180"/>
    <w:rsid w:val="00342AD9"/>
    <w:rsid w:val="0034470E"/>
    <w:rsid w:val="00352DB0"/>
    <w:rsid w:val="00361063"/>
    <w:rsid w:val="00361D0C"/>
    <w:rsid w:val="00363131"/>
    <w:rsid w:val="003651BE"/>
    <w:rsid w:val="00367FD8"/>
    <w:rsid w:val="0037094A"/>
    <w:rsid w:val="00371ED3"/>
    <w:rsid w:val="00372659"/>
    <w:rsid w:val="00372FFC"/>
    <w:rsid w:val="0037728A"/>
    <w:rsid w:val="003808CC"/>
    <w:rsid w:val="00380B7D"/>
    <w:rsid w:val="00381A99"/>
    <w:rsid w:val="003829C2"/>
    <w:rsid w:val="003830B2"/>
    <w:rsid w:val="00383C9C"/>
    <w:rsid w:val="00384724"/>
    <w:rsid w:val="003919B7"/>
    <w:rsid w:val="00391D57"/>
    <w:rsid w:val="00392292"/>
    <w:rsid w:val="00394F1D"/>
    <w:rsid w:val="00394F45"/>
    <w:rsid w:val="00396CCB"/>
    <w:rsid w:val="003A2C6E"/>
    <w:rsid w:val="003A4287"/>
    <w:rsid w:val="003A5927"/>
    <w:rsid w:val="003A5D7A"/>
    <w:rsid w:val="003A694F"/>
    <w:rsid w:val="003A739D"/>
    <w:rsid w:val="003B1017"/>
    <w:rsid w:val="003B3C07"/>
    <w:rsid w:val="003B6081"/>
    <w:rsid w:val="003B6775"/>
    <w:rsid w:val="003C1D49"/>
    <w:rsid w:val="003C3032"/>
    <w:rsid w:val="003C32B5"/>
    <w:rsid w:val="003C33C3"/>
    <w:rsid w:val="003C5EEA"/>
    <w:rsid w:val="003C5FE2"/>
    <w:rsid w:val="003D05FB"/>
    <w:rsid w:val="003D1B16"/>
    <w:rsid w:val="003D45BF"/>
    <w:rsid w:val="003D508A"/>
    <w:rsid w:val="003D537F"/>
    <w:rsid w:val="003D7B75"/>
    <w:rsid w:val="003E015A"/>
    <w:rsid w:val="003E0208"/>
    <w:rsid w:val="003E49F3"/>
    <w:rsid w:val="003E4B57"/>
    <w:rsid w:val="003E577A"/>
    <w:rsid w:val="003E6A14"/>
    <w:rsid w:val="003F226B"/>
    <w:rsid w:val="003F27E1"/>
    <w:rsid w:val="003F3D8C"/>
    <w:rsid w:val="003F437A"/>
    <w:rsid w:val="003F5C2B"/>
    <w:rsid w:val="003F6E30"/>
    <w:rsid w:val="00402240"/>
    <w:rsid w:val="004023E9"/>
    <w:rsid w:val="0040454A"/>
    <w:rsid w:val="00407996"/>
    <w:rsid w:val="00411424"/>
    <w:rsid w:val="00413F83"/>
    <w:rsid w:val="0041490C"/>
    <w:rsid w:val="00415199"/>
    <w:rsid w:val="00416191"/>
    <w:rsid w:val="00416721"/>
    <w:rsid w:val="00421EF0"/>
    <w:rsid w:val="004224FA"/>
    <w:rsid w:val="00423D07"/>
    <w:rsid w:val="00427936"/>
    <w:rsid w:val="00430724"/>
    <w:rsid w:val="00434480"/>
    <w:rsid w:val="0043771F"/>
    <w:rsid w:val="004408EA"/>
    <w:rsid w:val="0044346F"/>
    <w:rsid w:val="00445401"/>
    <w:rsid w:val="00453FF6"/>
    <w:rsid w:val="00457875"/>
    <w:rsid w:val="004625AE"/>
    <w:rsid w:val="0046520A"/>
    <w:rsid w:val="00465C45"/>
    <w:rsid w:val="004671C7"/>
    <w:rsid w:val="004672AB"/>
    <w:rsid w:val="00467706"/>
    <w:rsid w:val="00467F53"/>
    <w:rsid w:val="004714FE"/>
    <w:rsid w:val="00471BFB"/>
    <w:rsid w:val="00477BAA"/>
    <w:rsid w:val="004903C7"/>
    <w:rsid w:val="00495053"/>
    <w:rsid w:val="00496D55"/>
    <w:rsid w:val="004A1F59"/>
    <w:rsid w:val="004A29BE"/>
    <w:rsid w:val="004A3225"/>
    <w:rsid w:val="004A33EE"/>
    <w:rsid w:val="004A3AA8"/>
    <w:rsid w:val="004B13C7"/>
    <w:rsid w:val="004B3296"/>
    <w:rsid w:val="004B5743"/>
    <w:rsid w:val="004B620C"/>
    <w:rsid w:val="004B778F"/>
    <w:rsid w:val="004C0609"/>
    <w:rsid w:val="004C639F"/>
    <w:rsid w:val="004C66C2"/>
    <w:rsid w:val="004D0D70"/>
    <w:rsid w:val="004D141F"/>
    <w:rsid w:val="004D2742"/>
    <w:rsid w:val="004D5602"/>
    <w:rsid w:val="004D6310"/>
    <w:rsid w:val="004D7903"/>
    <w:rsid w:val="004E0062"/>
    <w:rsid w:val="004E05A1"/>
    <w:rsid w:val="004E4144"/>
    <w:rsid w:val="004E63E3"/>
    <w:rsid w:val="004E7F21"/>
    <w:rsid w:val="004F0199"/>
    <w:rsid w:val="004F053F"/>
    <w:rsid w:val="004F10CF"/>
    <w:rsid w:val="004F29C2"/>
    <w:rsid w:val="004F472A"/>
    <w:rsid w:val="004F4CC1"/>
    <w:rsid w:val="004F5E57"/>
    <w:rsid w:val="004F66AF"/>
    <w:rsid w:val="004F6710"/>
    <w:rsid w:val="004F7D68"/>
    <w:rsid w:val="00500C3E"/>
    <w:rsid w:val="00502849"/>
    <w:rsid w:val="00502B3E"/>
    <w:rsid w:val="00504334"/>
    <w:rsid w:val="00504439"/>
    <w:rsid w:val="0050498D"/>
    <w:rsid w:val="005104D7"/>
    <w:rsid w:val="005108F4"/>
    <w:rsid w:val="00510B9E"/>
    <w:rsid w:val="00513C6D"/>
    <w:rsid w:val="00525975"/>
    <w:rsid w:val="00533117"/>
    <w:rsid w:val="00533E0B"/>
    <w:rsid w:val="00535273"/>
    <w:rsid w:val="00536BC2"/>
    <w:rsid w:val="00541B12"/>
    <w:rsid w:val="005425E1"/>
    <w:rsid w:val="005427C5"/>
    <w:rsid w:val="00542CF6"/>
    <w:rsid w:val="0054469A"/>
    <w:rsid w:val="00553C03"/>
    <w:rsid w:val="005546D5"/>
    <w:rsid w:val="005548E7"/>
    <w:rsid w:val="00556A79"/>
    <w:rsid w:val="00560DDA"/>
    <w:rsid w:val="00563692"/>
    <w:rsid w:val="00571679"/>
    <w:rsid w:val="00572794"/>
    <w:rsid w:val="00580F63"/>
    <w:rsid w:val="00584235"/>
    <w:rsid w:val="005844E7"/>
    <w:rsid w:val="005908B8"/>
    <w:rsid w:val="00593319"/>
    <w:rsid w:val="0059512E"/>
    <w:rsid w:val="00597911"/>
    <w:rsid w:val="00597A0A"/>
    <w:rsid w:val="005A3B37"/>
    <w:rsid w:val="005A57EE"/>
    <w:rsid w:val="005A6DD2"/>
    <w:rsid w:val="005B0F98"/>
    <w:rsid w:val="005B14C1"/>
    <w:rsid w:val="005C24F6"/>
    <w:rsid w:val="005C3060"/>
    <w:rsid w:val="005C385D"/>
    <w:rsid w:val="005C405D"/>
    <w:rsid w:val="005C459F"/>
    <w:rsid w:val="005D3B20"/>
    <w:rsid w:val="005D71B7"/>
    <w:rsid w:val="005E024F"/>
    <w:rsid w:val="005E139A"/>
    <w:rsid w:val="005E4759"/>
    <w:rsid w:val="005E5C68"/>
    <w:rsid w:val="005E65C0"/>
    <w:rsid w:val="005F0390"/>
    <w:rsid w:val="005F0A7F"/>
    <w:rsid w:val="00604895"/>
    <w:rsid w:val="00605DAD"/>
    <w:rsid w:val="006072CD"/>
    <w:rsid w:val="0061115C"/>
    <w:rsid w:val="00612023"/>
    <w:rsid w:val="006136F5"/>
    <w:rsid w:val="00614190"/>
    <w:rsid w:val="006169C6"/>
    <w:rsid w:val="00622A99"/>
    <w:rsid w:val="00622E67"/>
    <w:rsid w:val="00626B57"/>
    <w:rsid w:val="00626EDC"/>
    <w:rsid w:val="006329C7"/>
    <w:rsid w:val="00632D62"/>
    <w:rsid w:val="00633E48"/>
    <w:rsid w:val="006405D0"/>
    <w:rsid w:val="006433D4"/>
    <w:rsid w:val="006452D3"/>
    <w:rsid w:val="006457EB"/>
    <w:rsid w:val="006470EC"/>
    <w:rsid w:val="00647596"/>
    <w:rsid w:val="006542D6"/>
    <w:rsid w:val="00654B0D"/>
    <w:rsid w:val="0065598E"/>
    <w:rsid w:val="00655AF2"/>
    <w:rsid w:val="00655BC5"/>
    <w:rsid w:val="00655BE6"/>
    <w:rsid w:val="006568BE"/>
    <w:rsid w:val="0066025D"/>
    <w:rsid w:val="0066091A"/>
    <w:rsid w:val="006656E7"/>
    <w:rsid w:val="006773EC"/>
    <w:rsid w:val="00677A14"/>
    <w:rsid w:val="00680504"/>
    <w:rsid w:val="00681CD9"/>
    <w:rsid w:val="0068396A"/>
    <w:rsid w:val="00683E30"/>
    <w:rsid w:val="00687024"/>
    <w:rsid w:val="00691A02"/>
    <w:rsid w:val="00691D66"/>
    <w:rsid w:val="00693108"/>
    <w:rsid w:val="006933D1"/>
    <w:rsid w:val="0069556B"/>
    <w:rsid w:val="00695876"/>
    <w:rsid w:val="00695E10"/>
    <w:rsid w:val="00695E22"/>
    <w:rsid w:val="00697B95"/>
    <w:rsid w:val="006A0EF2"/>
    <w:rsid w:val="006A64BC"/>
    <w:rsid w:val="006A7738"/>
    <w:rsid w:val="006B16C5"/>
    <w:rsid w:val="006B49A9"/>
    <w:rsid w:val="006B59EF"/>
    <w:rsid w:val="006B5ACF"/>
    <w:rsid w:val="006B5C79"/>
    <w:rsid w:val="006B7093"/>
    <w:rsid w:val="006B7417"/>
    <w:rsid w:val="006C0BC7"/>
    <w:rsid w:val="006C243A"/>
    <w:rsid w:val="006C2A8E"/>
    <w:rsid w:val="006C3CC2"/>
    <w:rsid w:val="006C4CD7"/>
    <w:rsid w:val="006C5F86"/>
    <w:rsid w:val="006C70C5"/>
    <w:rsid w:val="006C76DB"/>
    <w:rsid w:val="006D14CF"/>
    <w:rsid w:val="006D272C"/>
    <w:rsid w:val="006D31F9"/>
    <w:rsid w:val="006D3691"/>
    <w:rsid w:val="006D38B9"/>
    <w:rsid w:val="006D3FD7"/>
    <w:rsid w:val="006D5FBF"/>
    <w:rsid w:val="006D607D"/>
    <w:rsid w:val="006D7C98"/>
    <w:rsid w:val="006E1953"/>
    <w:rsid w:val="006E5EF0"/>
    <w:rsid w:val="006F3117"/>
    <w:rsid w:val="006F3563"/>
    <w:rsid w:val="006F42B9"/>
    <w:rsid w:val="006F6103"/>
    <w:rsid w:val="006F6C66"/>
    <w:rsid w:val="00704E00"/>
    <w:rsid w:val="0071022B"/>
    <w:rsid w:val="007209E7"/>
    <w:rsid w:val="007231AD"/>
    <w:rsid w:val="007255E4"/>
    <w:rsid w:val="00726182"/>
    <w:rsid w:val="007264E2"/>
    <w:rsid w:val="007264F4"/>
    <w:rsid w:val="00727635"/>
    <w:rsid w:val="00732329"/>
    <w:rsid w:val="007337CA"/>
    <w:rsid w:val="00734CE4"/>
    <w:rsid w:val="00735123"/>
    <w:rsid w:val="00741837"/>
    <w:rsid w:val="007453E6"/>
    <w:rsid w:val="007470B0"/>
    <w:rsid w:val="00747390"/>
    <w:rsid w:val="007475E6"/>
    <w:rsid w:val="00747ADF"/>
    <w:rsid w:val="00754789"/>
    <w:rsid w:val="00761AE7"/>
    <w:rsid w:val="00770453"/>
    <w:rsid w:val="0077304B"/>
    <w:rsid w:val="0077309D"/>
    <w:rsid w:val="007774EE"/>
    <w:rsid w:val="00781822"/>
    <w:rsid w:val="00783F21"/>
    <w:rsid w:val="007849D2"/>
    <w:rsid w:val="00786AE0"/>
    <w:rsid w:val="00787159"/>
    <w:rsid w:val="007903A0"/>
    <w:rsid w:val="0079043A"/>
    <w:rsid w:val="007911FA"/>
    <w:rsid w:val="00791668"/>
    <w:rsid w:val="0079169F"/>
    <w:rsid w:val="00791AA1"/>
    <w:rsid w:val="007A2712"/>
    <w:rsid w:val="007A2CA6"/>
    <w:rsid w:val="007A3793"/>
    <w:rsid w:val="007A414F"/>
    <w:rsid w:val="007B015C"/>
    <w:rsid w:val="007C0AE7"/>
    <w:rsid w:val="007C1B3A"/>
    <w:rsid w:val="007C1BA2"/>
    <w:rsid w:val="007C293E"/>
    <w:rsid w:val="007C2B48"/>
    <w:rsid w:val="007C4A3E"/>
    <w:rsid w:val="007D20E9"/>
    <w:rsid w:val="007D363D"/>
    <w:rsid w:val="007D7881"/>
    <w:rsid w:val="007D7E3A"/>
    <w:rsid w:val="007E0E10"/>
    <w:rsid w:val="007E1031"/>
    <w:rsid w:val="007E4768"/>
    <w:rsid w:val="007E56DD"/>
    <w:rsid w:val="007E5F31"/>
    <w:rsid w:val="007E777B"/>
    <w:rsid w:val="007E7D11"/>
    <w:rsid w:val="007E7EF5"/>
    <w:rsid w:val="007F2070"/>
    <w:rsid w:val="007F2FC8"/>
    <w:rsid w:val="007F5773"/>
    <w:rsid w:val="007F63C1"/>
    <w:rsid w:val="007F667D"/>
    <w:rsid w:val="007F7AC0"/>
    <w:rsid w:val="008009F2"/>
    <w:rsid w:val="008016C8"/>
    <w:rsid w:val="008020E7"/>
    <w:rsid w:val="008053F5"/>
    <w:rsid w:val="00807AF7"/>
    <w:rsid w:val="00810198"/>
    <w:rsid w:val="00812A16"/>
    <w:rsid w:val="0081502F"/>
    <w:rsid w:val="00815DA8"/>
    <w:rsid w:val="0082165D"/>
    <w:rsid w:val="0082194D"/>
    <w:rsid w:val="00821ABA"/>
    <w:rsid w:val="008221F9"/>
    <w:rsid w:val="00826EF5"/>
    <w:rsid w:val="008300DC"/>
    <w:rsid w:val="00831693"/>
    <w:rsid w:val="00833ED7"/>
    <w:rsid w:val="00837C70"/>
    <w:rsid w:val="00840104"/>
    <w:rsid w:val="00840C1F"/>
    <w:rsid w:val="008411C9"/>
    <w:rsid w:val="00841FC5"/>
    <w:rsid w:val="0084293C"/>
    <w:rsid w:val="00843D0F"/>
    <w:rsid w:val="008451EE"/>
    <w:rsid w:val="00845709"/>
    <w:rsid w:val="008563D5"/>
    <w:rsid w:val="008576BD"/>
    <w:rsid w:val="00860463"/>
    <w:rsid w:val="008646A7"/>
    <w:rsid w:val="00865E7C"/>
    <w:rsid w:val="00872848"/>
    <w:rsid w:val="00872E93"/>
    <w:rsid w:val="008733DA"/>
    <w:rsid w:val="008747C0"/>
    <w:rsid w:val="00874D5B"/>
    <w:rsid w:val="008755BE"/>
    <w:rsid w:val="00875DC2"/>
    <w:rsid w:val="008850E4"/>
    <w:rsid w:val="00890022"/>
    <w:rsid w:val="008939AB"/>
    <w:rsid w:val="00896D64"/>
    <w:rsid w:val="008A12F5"/>
    <w:rsid w:val="008A23E9"/>
    <w:rsid w:val="008A269A"/>
    <w:rsid w:val="008A3172"/>
    <w:rsid w:val="008A5619"/>
    <w:rsid w:val="008B1587"/>
    <w:rsid w:val="008B1B01"/>
    <w:rsid w:val="008B3BCD"/>
    <w:rsid w:val="008B4749"/>
    <w:rsid w:val="008B542A"/>
    <w:rsid w:val="008B6DF8"/>
    <w:rsid w:val="008C106C"/>
    <w:rsid w:val="008C10F1"/>
    <w:rsid w:val="008C1926"/>
    <w:rsid w:val="008C1E99"/>
    <w:rsid w:val="008C28BA"/>
    <w:rsid w:val="008D4E50"/>
    <w:rsid w:val="008E0085"/>
    <w:rsid w:val="008E2AA6"/>
    <w:rsid w:val="008E311B"/>
    <w:rsid w:val="008E3796"/>
    <w:rsid w:val="008E69CD"/>
    <w:rsid w:val="008F21B1"/>
    <w:rsid w:val="008F46E7"/>
    <w:rsid w:val="008F64CA"/>
    <w:rsid w:val="008F6F0B"/>
    <w:rsid w:val="008F7E4B"/>
    <w:rsid w:val="008F7F91"/>
    <w:rsid w:val="00902306"/>
    <w:rsid w:val="00902F45"/>
    <w:rsid w:val="00905ED0"/>
    <w:rsid w:val="00907950"/>
    <w:rsid w:val="00907BA7"/>
    <w:rsid w:val="00907C74"/>
    <w:rsid w:val="0091064E"/>
    <w:rsid w:val="00911FC5"/>
    <w:rsid w:val="00912B68"/>
    <w:rsid w:val="00926B50"/>
    <w:rsid w:val="0092753B"/>
    <w:rsid w:val="00927FBF"/>
    <w:rsid w:val="00931A10"/>
    <w:rsid w:val="009325EA"/>
    <w:rsid w:val="00932CA9"/>
    <w:rsid w:val="0094088B"/>
    <w:rsid w:val="00947967"/>
    <w:rsid w:val="00955201"/>
    <w:rsid w:val="00962B55"/>
    <w:rsid w:val="00964B91"/>
    <w:rsid w:val="00965200"/>
    <w:rsid w:val="009668B3"/>
    <w:rsid w:val="00971471"/>
    <w:rsid w:val="0097476A"/>
    <w:rsid w:val="009803F5"/>
    <w:rsid w:val="00980B74"/>
    <w:rsid w:val="009810E2"/>
    <w:rsid w:val="009845B6"/>
    <w:rsid w:val="009849C2"/>
    <w:rsid w:val="00984D24"/>
    <w:rsid w:val="009858EB"/>
    <w:rsid w:val="0098618E"/>
    <w:rsid w:val="00991C8C"/>
    <w:rsid w:val="00993D40"/>
    <w:rsid w:val="00996845"/>
    <w:rsid w:val="009A160C"/>
    <w:rsid w:val="009A222C"/>
    <w:rsid w:val="009A234E"/>
    <w:rsid w:val="009A3F47"/>
    <w:rsid w:val="009B0046"/>
    <w:rsid w:val="009B5AED"/>
    <w:rsid w:val="009B5DBE"/>
    <w:rsid w:val="009B6CBC"/>
    <w:rsid w:val="009C1440"/>
    <w:rsid w:val="009C2107"/>
    <w:rsid w:val="009C5D9E"/>
    <w:rsid w:val="009D2C3E"/>
    <w:rsid w:val="009D65D4"/>
    <w:rsid w:val="009E0625"/>
    <w:rsid w:val="009E299E"/>
    <w:rsid w:val="009E3034"/>
    <w:rsid w:val="009E549F"/>
    <w:rsid w:val="009E5A4A"/>
    <w:rsid w:val="009F28A8"/>
    <w:rsid w:val="009F2D42"/>
    <w:rsid w:val="009F378E"/>
    <w:rsid w:val="009F473E"/>
    <w:rsid w:val="009F5247"/>
    <w:rsid w:val="009F682A"/>
    <w:rsid w:val="009F7A5F"/>
    <w:rsid w:val="00A022BE"/>
    <w:rsid w:val="00A07B4B"/>
    <w:rsid w:val="00A12671"/>
    <w:rsid w:val="00A24C95"/>
    <w:rsid w:val="00A24FA1"/>
    <w:rsid w:val="00A25227"/>
    <w:rsid w:val="00A2599A"/>
    <w:rsid w:val="00A26094"/>
    <w:rsid w:val="00A2731E"/>
    <w:rsid w:val="00A301BF"/>
    <w:rsid w:val="00A302B2"/>
    <w:rsid w:val="00A316B2"/>
    <w:rsid w:val="00A331B4"/>
    <w:rsid w:val="00A343CD"/>
    <w:rsid w:val="00A3484E"/>
    <w:rsid w:val="00A356D3"/>
    <w:rsid w:val="00A36ADA"/>
    <w:rsid w:val="00A37C4D"/>
    <w:rsid w:val="00A438D8"/>
    <w:rsid w:val="00A473F5"/>
    <w:rsid w:val="00A51F9D"/>
    <w:rsid w:val="00A5416A"/>
    <w:rsid w:val="00A548E0"/>
    <w:rsid w:val="00A56F49"/>
    <w:rsid w:val="00A639F4"/>
    <w:rsid w:val="00A65864"/>
    <w:rsid w:val="00A65FAE"/>
    <w:rsid w:val="00A71F85"/>
    <w:rsid w:val="00A73DBC"/>
    <w:rsid w:val="00A73E19"/>
    <w:rsid w:val="00A76142"/>
    <w:rsid w:val="00A77E78"/>
    <w:rsid w:val="00A81A32"/>
    <w:rsid w:val="00A835BD"/>
    <w:rsid w:val="00A87AFC"/>
    <w:rsid w:val="00A97B15"/>
    <w:rsid w:val="00AA18D3"/>
    <w:rsid w:val="00AA3FDB"/>
    <w:rsid w:val="00AA42D5"/>
    <w:rsid w:val="00AB006B"/>
    <w:rsid w:val="00AB2FAB"/>
    <w:rsid w:val="00AB4386"/>
    <w:rsid w:val="00AB5C14"/>
    <w:rsid w:val="00AC1EE7"/>
    <w:rsid w:val="00AC333F"/>
    <w:rsid w:val="00AC585C"/>
    <w:rsid w:val="00AD139A"/>
    <w:rsid w:val="00AD1925"/>
    <w:rsid w:val="00AD4CCB"/>
    <w:rsid w:val="00AD50D2"/>
    <w:rsid w:val="00AE067D"/>
    <w:rsid w:val="00AF1181"/>
    <w:rsid w:val="00AF2F79"/>
    <w:rsid w:val="00AF3B1F"/>
    <w:rsid w:val="00AF4653"/>
    <w:rsid w:val="00AF7241"/>
    <w:rsid w:val="00AF7DB7"/>
    <w:rsid w:val="00B0271A"/>
    <w:rsid w:val="00B069BC"/>
    <w:rsid w:val="00B10D02"/>
    <w:rsid w:val="00B11C6A"/>
    <w:rsid w:val="00B175DF"/>
    <w:rsid w:val="00B201E2"/>
    <w:rsid w:val="00B20CD5"/>
    <w:rsid w:val="00B24846"/>
    <w:rsid w:val="00B24946"/>
    <w:rsid w:val="00B33324"/>
    <w:rsid w:val="00B34C58"/>
    <w:rsid w:val="00B40D4D"/>
    <w:rsid w:val="00B4310D"/>
    <w:rsid w:val="00B443E4"/>
    <w:rsid w:val="00B5484D"/>
    <w:rsid w:val="00B563EA"/>
    <w:rsid w:val="00B56CDF"/>
    <w:rsid w:val="00B60C06"/>
    <w:rsid w:val="00B60E51"/>
    <w:rsid w:val="00B6212A"/>
    <w:rsid w:val="00B625D7"/>
    <w:rsid w:val="00B63A54"/>
    <w:rsid w:val="00B75771"/>
    <w:rsid w:val="00B76514"/>
    <w:rsid w:val="00B77D18"/>
    <w:rsid w:val="00B8276F"/>
    <w:rsid w:val="00B8313A"/>
    <w:rsid w:val="00B85D3F"/>
    <w:rsid w:val="00B869BF"/>
    <w:rsid w:val="00B93503"/>
    <w:rsid w:val="00B96524"/>
    <w:rsid w:val="00B97D3A"/>
    <w:rsid w:val="00BA1764"/>
    <w:rsid w:val="00BA31E8"/>
    <w:rsid w:val="00BA55E0"/>
    <w:rsid w:val="00BA6403"/>
    <w:rsid w:val="00BA6BD4"/>
    <w:rsid w:val="00BA6C7A"/>
    <w:rsid w:val="00BB0DA9"/>
    <w:rsid w:val="00BB17D1"/>
    <w:rsid w:val="00BB3752"/>
    <w:rsid w:val="00BB5FFF"/>
    <w:rsid w:val="00BB6688"/>
    <w:rsid w:val="00BC26D4"/>
    <w:rsid w:val="00BC567B"/>
    <w:rsid w:val="00BD2F8E"/>
    <w:rsid w:val="00BD4743"/>
    <w:rsid w:val="00BD6B7D"/>
    <w:rsid w:val="00BD76AE"/>
    <w:rsid w:val="00BE0C80"/>
    <w:rsid w:val="00BE2A5C"/>
    <w:rsid w:val="00BE54FA"/>
    <w:rsid w:val="00BF2038"/>
    <w:rsid w:val="00BF2A42"/>
    <w:rsid w:val="00BF38CD"/>
    <w:rsid w:val="00BF40F6"/>
    <w:rsid w:val="00C03D8C"/>
    <w:rsid w:val="00C055EC"/>
    <w:rsid w:val="00C10DC9"/>
    <w:rsid w:val="00C12FB3"/>
    <w:rsid w:val="00C17341"/>
    <w:rsid w:val="00C17B57"/>
    <w:rsid w:val="00C22500"/>
    <w:rsid w:val="00C225EC"/>
    <w:rsid w:val="00C23F0D"/>
    <w:rsid w:val="00C24EEF"/>
    <w:rsid w:val="00C25B5C"/>
    <w:rsid w:val="00C25CF6"/>
    <w:rsid w:val="00C26C36"/>
    <w:rsid w:val="00C32768"/>
    <w:rsid w:val="00C356B1"/>
    <w:rsid w:val="00C431DF"/>
    <w:rsid w:val="00C44A4D"/>
    <w:rsid w:val="00C456BD"/>
    <w:rsid w:val="00C45A89"/>
    <w:rsid w:val="00C460B3"/>
    <w:rsid w:val="00C530DC"/>
    <w:rsid w:val="00C5350D"/>
    <w:rsid w:val="00C54AFE"/>
    <w:rsid w:val="00C566A3"/>
    <w:rsid w:val="00C6123C"/>
    <w:rsid w:val="00C62F06"/>
    <w:rsid w:val="00C6311A"/>
    <w:rsid w:val="00C7084D"/>
    <w:rsid w:val="00C7315E"/>
    <w:rsid w:val="00C75895"/>
    <w:rsid w:val="00C75E7D"/>
    <w:rsid w:val="00C83C9F"/>
    <w:rsid w:val="00C94519"/>
    <w:rsid w:val="00C94840"/>
    <w:rsid w:val="00C94A8E"/>
    <w:rsid w:val="00C95E4E"/>
    <w:rsid w:val="00CA0B38"/>
    <w:rsid w:val="00CA19E6"/>
    <w:rsid w:val="00CA3976"/>
    <w:rsid w:val="00CA3CBA"/>
    <w:rsid w:val="00CA4EE3"/>
    <w:rsid w:val="00CB027F"/>
    <w:rsid w:val="00CB385D"/>
    <w:rsid w:val="00CB4094"/>
    <w:rsid w:val="00CB61FD"/>
    <w:rsid w:val="00CB6237"/>
    <w:rsid w:val="00CB780A"/>
    <w:rsid w:val="00CC0EBB"/>
    <w:rsid w:val="00CC6297"/>
    <w:rsid w:val="00CC7690"/>
    <w:rsid w:val="00CD1986"/>
    <w:rsid w:val="00CD54BF"/>
    <w:rsid w:val="00CE484C"/>
    <w:rsid w:val="00CE4D5C"/>
    <w:rsid w:val="00CF05DA"/>
    <w:rsid w:val="00CF17B4"/>
    <w:rsid w:val="00CF2EBB"/>
    <w:rsid w:val="00CF3159"/>
    <w:rsid w:val="00CF375F"/>
    <w:rsid w:val="00CF3F70"/>
    <w:rsid w:val="00CF5547"/>
    <w:rsid w:val="00CF58EB"/>
    <w:rsid w:val="00CF6FEC"/>
    <w:rsid w:val="00CF7458"/>
    <w:rsid w:val="00D0106E"/>
    <w:rsid w:val="00D046BE"/>
    <w:rsid w:val="00D06383"/>
    <w:rsid w:val="00D101F1"/>
    <w:rsid w:val="00D11618"/>
    <w:rsid w:val="00D12BB7"/>
    <w:rsid w:val="00D12D19"/>
    <w:rsid w:val="00D14FA1"/>
    <w:rsid w:val="00D15930"/>
    <w:rsid w:val="00D15E66"/>
    <w:rsid w:val="00D20D26"/>
    <w:rsid w:val="00D20E85"/>
    <w:rsid w:val="00D24615"/>
    <w:rsid w:val="00D26169"/>
    <w:rsid w:val="00D266D3"/>
    <w:rsid w:val="00D3055A"/>
    <w:rsid w:val="00D30D6B"/>
    <w:rsid w:val="00D36329"/>
    <w:rsid w:val="00D36984"/>
    <w:rsid w:val="00D36C85"/>
    <w:rsid w:val="00D37842"/>
    <w:rsid w:val="00D40DA2"/>
    <w:rsid w:val="00D4124C"/>
    <w:rsid w:val="00D4138E"/>
    <w:rsid w:val="00D42DC2"/>
    <w:rsid w:val="00D4302B"/>
    <w:rsid w:val="00D52D70"/>
    <w:rsid w:val="00D537E1"/>
    <w:rsid w:val="00D5399E"/>
    <w:rsid w:val="00D54F95"/>
    <w:rsid w:val="00D55BB2"/>
    <w:rsid w:val="00D6091A"/>
    <w:rsid w:val="00D6605A"/>
    <w:rsid w:val="00D6695F"/>
    <w:rsid w:val="00D75644"/>
    <w:rsid w:val="00D814F3"/>
    <w:rsid w:val="00D81656"/>
    <w:rsid w:val="00D824E6"/>
    <w:rsid w:val="00D83D87"/>
    <w:rsid w:val="00D84A6D"/>
    <w:rsid w:val="00D84E39"/>
    <w:rsid w:val="00D85844"/>
    <w:rsid w:val="00D86A30"/>
    <w:rsid w:val="00D87DCA"/>
    <w:rsid w:val="00D93C7C"/>
    <w:rsid w:val="00D95234"/>
    <w:rsid w:val="00D956F6"/>
    <w:rsid w:val="00D97CB4"/>
    <w:rsid w:val="00D97DD4"/>
    <w:rsid w:val="00DA120A"/>
    <w:rsid w:val="00DA1A3F"/>
    <w:rsid w:val="00DA34B9"/>
    <w:rsid w:val="00DA3513"/>
    <w:rsid w:val="00DA566A"/>
    <w:rsid w:val="00DA5A8A"/>
    <w:rsid w:val="00DA653D"/>
    <w:rsid w:val="00DA67EB"/>
    <w:rsid w:val="00DA7984"/>
    <w:rsid w:val="00DB1170"/>
    <w:rsid w:val="00DB26CD"/>
    <w:rsid w:val="00DB2B5F"/>
    <w:rsid w:val="00DB441C"/>
    <w:rsid w:val="00DB44AF"/>
    <w:rsid w:val="00DB7D36"/>
    <w:rsid w:val="00DB7E37"/>
    <w:rsid w:val="00DC1F58"/>
    <w:rsid w:val="00DC339B"/>
    <w:rsid w:val="00DC5D40"/>
    <w:rsid w:val="00DC69A7"/>
    <w:rsid w:val="00DC6F03"/>
    <w:rsid w:val="00DC76E8"/>
    <w:rsid w:val="00DD17AF"/>
    <w:rsid w:val="00DD30E9"/>
    <w:rsid w:val="00DD4BA5"/>
    <w:rsid w:val="00DD4F47"/>
    <w:rsid w:val="00DD5360"/>
    <w:rsid w:val="00DD60D2"/>
    <w:rsid w:val="00DD7FBB"/>
    <w:rsid w:val="00DE0B9F"/>
    <w:rsid w:val="00DE2A9E"/>
    <w:rsid w:val="00DE4238"/>
    <w:rsid w:val="00DE4FB4"/>
    <w:rsid w:val="00DE657F"/>
    <w:rsid w:val="00DE6CA8"/>
    <w:rsid w:val="00DF1218"/>
    <w:rsid w:val="00DF6462"/>
    <w:rsid w:val="00DF6968"/>
    <w:rsid w:val="00E000B7"/>
    <w:rsid w:val="00E0111F"/>
    <w:rsid w:val="00E02FA0"/>
    <w:rsid w:val="00E036DC"/>
    <w:rsid w:val="00E04CA8"/>
    <w:rsid w:val="00E0604F"/>
    <w:rsid w:val="00E10454"/>
    <w:rsid w:val="00E112E5"/>
    <w:rsid w:val="00E122D8"/>
    <w:rsid w:val="00E12CC8"/>
    <w:rsid w:val="00E15352"/>
    <w:rsid w:val="00E15C4B"/>
    <w:rsid w:val="00E20376"/>
    <w:rsid w:val="00E21CC7"/>
    <w:rsid w:val="00E24D3E"/>
    <w:rsid w:val="00E24D9E"/>
    <w:rsid w:val="00E25849"/>
    <w:rsid w:val="00E3197E"/>
    <w:rsid w:val="00E342F8"/>
    <w:rsid w:val="00E351ED"/>
    <w:rsid w:val="00E40FB4"/>
    <w:rsid w:val="00E42B19"/>
    <w:rsid w:val="00E503B0"/>
    <w:rsid w:val="00E52DCE"/>
    <w:rsid w:val="00E56730"/>
    <w:rsid w:val="00E6034B"/>
    <w:rsid w:val="00E604EA"/>
    <w:rsid w:val="00E63C18"/>
    <w:rsid w:val="00E64516"/>
    <w:rsid w:val="00E6549E"/>
    <w:rsid w:val="00E65EDE"/>
    <w:rsid w:val="00E66D69"/>
    <w:rsid w:val="00E70F81"/>
    <w:rsid w:val="00E74982"/>
    <w:rsid w:val="00E7529A"/>
    <w:rsid w:val="00E77055"/>
    <w:rsid w:val="00E77460"/>
    <w:rsid w:val="00E8341A"/>
    <w:rsid w:val="00E83ABC"/>
    <w:rsid w:val="00E844EA"/>
    <w:rsid w:val="00E844F2"/>
    <w:rsid w:val="00E87D20"/>
    <w:rsid w:val="00E90AD0"/>
    <w:rsid w:val="00E91F54"/>
    <w:rsid w:val="00E92FCB"/>
    <w:rsid w:val="00E94FA6"/>
    <w:rsid w:val="00EA147F"/>
    <w:rsid w:val="00EA4A27"/>
    <w:rsid w:val="00EA4FA6"/>
    <w:rsid w:val="00EA74A7"/>
    <w:rsid w:val="00EB0A7B"/>
    <w:rsid w:val="00EB1A25"/>
    <w:rsid w:val="00EB2067"/>
    <w:rsid w:val="00EB5991"/>
    <w:rsid w:val="00EB703D"/>
    <w:rsid w:val="00EC7363"/>
    <w:rsid w:val="00ED03AB"/>
    <w:rsid w:val="00ED1963"/>
    <w:rsid w:val="00ED1CD4"/>
    <w:rsid w:val="00ED1D2B"/>
    <w:rsid w:val="00ED22E5"/>
    <w:rsid w:val="00ED27D2"/>
    <w:rsid w:val="00ED64B5"/>
    <w:rsid w:val="00ED75F2"/>
    <w:rsid w:val="00ED7CC4"/>
    <w:rsid w:val="00EE3531"/>
    <w:rsid w:val="00EE4224"/>
    <w:rsid w:val="00EE4B01"/>
    <w:rsid w:val="00EE7CCA"/>
    <w:rsid w:val="00EF151A"/>
    <w:rsid w:val="00EF7292"/>
    <w:rsid w:val="00EF790C"/>
    <w:rsid w:val="00F063F1"/>
    <w:rsid w:val="00F06E53"/>
    <w:rsid w:val="00F07225"/>
    <w:rsid w:val="00F07E81"/>
    <w:rsid w:val="00F07F82"/>
    <w:rsid w:val="00F11BFD"/>
    <w:rsid w:val="00F16A14"/>
    <w:rsid w:val="00F21602"/>
    <w:rsid w:val="00F22498"/>
    <w:rsid w:val="00F26251"/>
    <w:rsid w:val="00F27E4A"/>
    <w:rsid w:val="00F32EAF"/>
    <w:rsid w:val="00F331FF"/>
    <w:rsid w:val="00F362D7"/>
    <w:rsid w:val="00F36B03"/>
    <w:rsid w:val="00F37D7B"/>
    <w:rsid w:val="00F448F3"/>
    <w:rsid w:val="00F5314C"/>
    <w:rsid w:val="00F55D75"/>
    <w:rsid w:val="00F5688C"/>
    <w:rsid w:val="00F577FD"/>
    <w:rsid w:val="00F60048"/>
    <w:rsid w:val="00F635DD"/>
    <w:rsid w:val="00F6439C"/>
    <w:rsid w:val="00F6627B"/>
    <w:rsid w:val="00F663CE"/>
    <w:rsid w:val="00F7336E"/>
    <w:rsid w:val="00F734F2"/>
    <w:rsid w:val="00F75052"/>
    <w:rsid w:val="00F804D3"/>
    <w:rsid w:val="00F816CB"/>
    <w:rsid w:val="00F81CD2"/>
    <w:rsid w:val="00F81D3C"/>
    <w:rsid w:val="00F82641"/>
    <w:rsid w:val="00F87216"/>
    <w:rsid w:val="00F9025A"/>
    <w:rsid w:val="00F90F18"/>
    <w:rsid w:val="00F937E4"/>
    <w:rsid w:val="00F9447D"/>
    <w:rsid w:val="00F95EE7"/>
    <w:rsid w:val="00F963FE"/>
    <w:rsid w:val="00FA39E6"/>
    <w:rsid w:val="00FA672B"/>
    <w:rsid w:val="00FA7BC9"/>
    <w:rsid w:val="00FB01BB"/>
    <w:rsid w:val="00FB179B"/>
    <w:rsid w:val="00FB378E"/>
    <w:rsid w:val="00FB37F1"/>
    <w:rsid w:val="00FB3BAA"/>
    <w:rsid w:val="00FB42CC"/>
    <w:rsid w:val="00FB47C0"/>
    <w:rsid w:val="00FB501B"/>
    <w:rsid w:val="00FB719A"/>
    <w:rsid w:val="00FB7770"/>
    <w:rsid w:val="00FC2CEF"/>
    <w:rsid w:val="00FC4158"/>
    <w:rsid w:val="00FC43A8"/>
    <w:rsid w:val="00FC564D"/>
    <w:rsid w:val="00FC5C03"/>
    <w:rsid w:val="00FC5D1E"/>
    <w:rsid w:val="00FC71C5"/>
    <w:rsid w:val="00FC7FE4"/>
    <w:rsid w:val="00FD3B91"/>
    <w:rsid w:val="00FD576B"/>
    <w:rsid w:val="00FD579E"/>
    <w:rsid w:val="00FD5D04"/>
    <w:rsid w:val="00FD6845"/>
    <w:rsid w:val="00FE170E"/>
    <w:rsid w:val="00FE4516"/>
    <w:rsid w:val="00FE64C8"/>
    <w:rsid w:val="00FF2B1B"/>
    <w:rsid w:val="00FF2B76"/>
    <w:rsid w:val="00FF2D7E"/>
    <w:rsid w:val="00FF64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216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6"/>
    <w:link w:val="10"/>
    <w:qFormat/>
    <w:rsid w:val="004F5E57"/>
    <w:pPr>
      <w:numPr>
        <w:numId w:val="8"/>
      </w:numPr>
      <w:outlineLvl w:val="0"/>
    </w:pPr>
    <w:rPr>
      <w:rFonts w:hAnsi="Arial"/>
      <w:bCs/>
      <w:kern w:val="32"/>
      <w:szCs w:val="52"/>
    </w:rPr>
  </w:style>
  <w:style w:type="paragraph" w:styleId="2">
    <w:name w:val="heading 2"/>
    <w:aliases w:val="標題110/111,節,節1,標題110/111 + 內文,一."/>
    <w:basedOn w:val="a6"/>
    <w:link w:val="20"/>
    <w:qFormat/>
    <w:rsid w:val="004F5E57"/>
    <w:pPr>
      <w:numPr>
        <w:ilvl w:val="1"/>
        <w:numId w:val="8"/>
      </w:numPr>
      <w:outlineLvl w:val="1"/>
    </w:pPr>
    <w:rPr>
      <w:rFonts w:hAnsi="Arial"/>
      <w:bCs/>
      <w:kern w:val="32"/>
      <w:szCs w:val="48"/>
    </w:rPr>
  </w:style>
  <w:style w:type="paragraph" w:styleId="3">
    <w:name w:val="heading 3"/>
    <w:basedOn w:val="a6"/>
    <w:link w:val="30"/>
    <w:qFormat/>
    <w:rsid w:val="004F5E57"/>
    <w:pPr>
      <w:numPr>
        <w:ilvl w:val="2"/>
        <w:numId w:val="8"/>
      </w:numPr>
      <w:outlineLvl w:val="2"/>
    </w:pPr>
    <w:rPr>
      <w:rFonts w:hAnsi="Arial"/>
      <w:bCs/>
      <w:kern w:val="32"/>
      <w:szCs w:val="36"/>
    </w:rPr>
  </w:style>
  <w:style w:type="paragraph" w:styleId="4">
    <w:name w:val="heading 4"/>
    <w:aliases w:val="表格,一,1."/>
    <w:basedOn w:val="a6"/>
    <w:link w:val="40"/>
    <w:qFormat/>
    <w:rsid w:val="004F5E57"/>
    <w:pPr>
      <w:numPr>
        <w:ilvl w:val="3"/>
        <w:numId w:val="8"/>
      </w:numPr>
      <w:outlineLvl w:val="3"/>
    </w:pPr>
    <w:rPr>
      <w:rFonts w:hAnsi="Arial"/>
      <w:kern w:val="32"/>
      <w:szCs w:val="36"/>
    </w:rPr>
  </w:style>
  <w:style w:type="paragraph" w:styleId="5">
    <w:name w:val="heading 5"/>
    <w:aliases w:val="(一)"/>
    <w:basedOn w:val="a6"/>
    <w:qFormat/>
    <w:rsid w:val="004F5E57"/>
    <w:pPr>
      <w:numPr>
        <w:ilvl w:val="4"/>
        <w:numId w:val="8"/>
      </w:numPr>
      <w:outlineLvl w:val="4"/>
    </w:pPr>
    <w:rPr>
      <w:rFonts w:hAnsi="Arial"/>
      <w:bCs/>
      <w:kern w:val="32"/>
      <w:szCs w:val="36"/>
    </w:rPr>
  </w:style>
  <w:style w:type="paragraph" w:styleId="6">
    <w:name w:val="heading 6"/>
    <w:aliases w:val="1"/>
    <w:basedOn w:val="a6"/>
    <w:qFormat/>
    <w:rsid w:val="004F5E57"/>
    <w:pPr>
      <w:numPr>
        <w:ilvl w:val="5"/>
        <w:numId w:val="8"/>
      </w:numPr>
      <w:tabs>
        <w:tab w:val="left" w:pos="2094"/>
      </w:tabs>
      <w:outlineLvl w:val="5"/>
    </w:pPr>
    <w:rPr>
      <w:rFonts w:hAnsi="Arial"/>
      <w:kern w:val="32"/>
      <w:szCs w:val="36"/>
    </w:rPr>
  </w:style>
  <w:style w:type="paragraph" w:styleId="7">
    <w:name w:val="heading 7"/>
    <w:aliases w:val="(1)"/>
    <w:basedOn w:val="a6"/>
    <w:qFormat/>
    <w:rsid w:val="004F5E57"/>
    <w:pPr>
      <w:numPr>
        <w:ilvl w:val="6"/>
        <w:numId w:val="8"/>
      </w:numPr>
      <w:outlineLvl w:val="6"/>
    </w:pPr>
    <w:rPr>
      <w:rFonts w:hAnsi="Arial"/>
      <w:bCs/>
      <w:kern w:val="32"/>
      <w:szCs w:val="36"/>
    </w:rPr>
  </w:style>
  <w:style w:type="paragraph" w:styleId="8">
    <w:name w:val="heading 8"/>
    <w:basedOn w:val="a6"/>
    <w:qFormat/>
    <w:rsid w:val="004F5E57"/>
    <w:pPr>
      <w:numPr>
        <w:ilvl w:val="7"/>
        <w:numId w:val="8"/>
      </w:numPr>
      <w:outlineLvl w:val="7"/>
    </w:pPr>
    <w:rPr>
      <w:rFonts w:hAnsi="Arial"/>
      <w:kern w:val="32"/>
      <w:szCs w:val="36"/>
    </w:rPr>
  </w:style>
  <w:style w:type="paragraph" w:styleId="9">
    <w:name w:val="heading 9"/>
    <w:basedOn w:val="a6"/>
    <w:link w:val="90"/>
    <w:uiPriority w:val="9"/>
    <w:unhideWhenUsed/>
    <w:qFormat/>
    <w:rsid w:val="00C055EC"/>
    <w:pPr>
      <w:numPr>
        <w:ilvl w:val="8"/>
        <w:numId w:val="8"/>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5"/>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6"/>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7"/>
      </w:numPr>
      <w:ind w:left="350" w:hangingChars="350" w:hanging="350"/>
      <w:outlineLvl w:val="0"/>
    </w:pPr>
    <w:rPr>
      <w:kern w:val="32"/>
    </w:rPr>
  </w:style>
  <w:style w:type="paragraph" w:styleId="af8">
    <w:name w:val="List Paragraph"/>
    <w:aliases w:val="卑南壹,List Paragraph,List Paragraph1,Recommendation,12 20,標1,標11,標12,(1)(1)(1)(1)(1)(1)(1)(1),網推會說明清單,附錄1,1.2.3.,壹_二階,標題 (4),1.1.1.1清單段落,列點,(二),貿易局(一),Footnote Sam,List Paragraph (numbered (a)),Text,Noise heading,RUS List,Rec para,Dot pt,No Spacing1"/>
    <w:basedOn w:val="a6"/>
    <w:link w:val="af9"/>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Plain Text"/>
    <w:basedOn w:val="a6"/>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7"/>
    <w:link w:val="afc"/>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標題110/111 + 內文 字元,一. 字元"/>
    <w:basedOn w:val="a7"/>
    <w:link w:val="2"/>
    <w:rsid w:val="0031455E"/>
    <w:rPr>
      <w:rFonts w:ascii="標楷體" w:eastAsia="標楷體" w:hAnsi="Arial"/>
      <w:bCs/>
      <w:kern w:val="32"/>
      <w:sz w:val="32"/>
      <w:szCs w:val="48"/>
    </w:rPr>
  </w:style>
  <w:style w:type="character" w:customStyle="1" w:styleId="af9">
    <w:name w:val="清單段落 字元"/>
    <w:aliases w:val="卑南壹 字元,List Paragraph 字元,List Paragraph1 字元,Recommendation 字元,12 20 字元,標1 字元,標11 字元,標12 字元,(1)(1)(1)(1)(1)(1)(1)(1) 字元,網推會說明清單 字元,附錄1 字元,1.2.3. 字元,壹_二階 字元,標題 (4) 字元,1.1.1.1清單段落 字元,列點 字元,(二) 字元,貿易局(一) 字元,Footnote Sam 字元,Text 字元,Noise heading 字元"/>
    <w:link w:val="af8"/>
    <w:uiPriority w:val="34"/>
    <w:locked/>
    <w:rsid w:val="0030025B"/>
    <w:rPr>
      <w:rFonts w:ascii="標楷體" w:eastAsia="標楷體"/>
      <w:kern w:val="2"/>
      <w:sz w:val="32"/>
    </w:rPr>
  </w:style>
  <w:style w:type="paragraph" w:styleId="afe">
    <w:name w:val="footnote text"/>
    <w:basedOn w:val="a6"/>
    <w:link w:val="aff"/>
    <w:uiPriority w:val="99"/>
    <w:semiHidden/>
    <w:unhideWhenUsed/>
    <w:rsid w:val="00580F63"/>
    <w:pPr>
      <w:snapToGrid w:val="0"/>
      <w:jc w:val="left"/>
    </w:pPr>
    <w:rPr>
      <w:sz w:val="20"/>
    </w:rPr>
  </w:style>
  <w:style w:type="character" w:customStyle="1" w:styleId="aff">
    <w:name w:val="註腳文字 字元"/>
    <w:basedOn w:val="a7"/>
    <w:link w:val="afe"/>
    <w:uiPriority w:val="99"/>
    <w:semiHidden/>
    <w:rsid w:val="00580F63"/>
    <w:rPr>
      <w:rFonts w:ascii="標楷體" w:eastAsia="標楷體"/>
      <w:kern w:val="2"/>
    </w:rPr>
  </w:style>
  <w:style w:type="character" w:styleId="aff0">
    <w:name w:val="footnote reference"/>
    <w:basedOn w:val="a7"/>
    <w:uiPriority w:val="99"/>
    <w:unhideWhenUsed/>
    <w:rsid w:val="00580F63"/>
    <w:rPr>
      <w:vertAlign w:val="superscript"/>
    </w:rPr>
  </w:style>
  <w:style w:type="character" w:customStyle="1" w:styleId="30">
    <w:name w:val="標題 3 字元"/>
    <w:basedOn w:val="a7"/>
    <w:link w:val="3"/>
    <w:rsid w:val="00407996"/>
    <w:rPr>
      <w:rFonts w:ascii="標楷體" w:eastAsia="標楷體" w:hAnsi="Arial"/>
      <w:bCs/>
      <w:kern w:val="32"/>
      <w:sz w:val="32"/>
      <w:szCs w:val="36"/>
    </w:rPr>
  </w:style>
  <w:style w:type="character" w:customStyle="1" w:styleId="40">
    <w:name w:val="標題 4 字元"/>
    <w:aliases w:val="表格 字元,一 字元,1. 字元"/>
    <w:basedOn w:val="a7"/>
    <w:link w:val="4"/>
    <w:rsid w:val="00407996"/>
    <w:rPr>
      <w:rFonts w:ascii="標楷體" w:eastAsia="標楷體" w:hAnsi="Arial"/>
      <w:kern w:val="32"/>
      <w:sz w:val="32"/>
      <w:szCs w:val="36"/>
    </w:rPr>
  </w:style>
  <w:style w:type="paragraph" w:customStyle="1" w:styleId="aff1">
    <w:name w:val="分項段落"/>
    <w:basedOn w:val="a6"/>
    <w:link w:val="aff2"/>
    <w:rsid w:val="003A5D7A"/>
    <w:pPr>
      <w:overflowPunct/>
      <w:autoSpaceDE/>
      <w:autoSpaceDN/>
      <w:jc w:val="left"/>
    </w:pPr>
    <w:rPr>
      <w:rFonts w:ascii="Times New Roman" w:eastAsia="新細明體"/>
      <w:sz w:val="24"/>
    </w:rPr>
  </w:style>
  <w:style w:type="character" w:customStyle="1" w:styleId="aff2">
    <w:name w:val="分項段落 字元"/>
    <w:basedOn w:val="a7"/>
    <w:link w:val="aff1"/>
    <w:rsid w:val="003A5D7A"/>
    <w:rPr>
      <w:kern w:val="2"/>
      <w:sz w:val="24"/>
    </w:rPr>
  </w:style>
  <w:style w:type="table" w:customStyle="1" w:styleId="33">
    <w:name w:val="表格格線3"/>
    <w:basedOn w:val="a8"/>
    <w:next w:val="af7"/>
    <w:uiPriority w:val="39"/>
    <w:rsid w:val="005B14C1"/>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格格線1"/>
    <w:basedOn w:val="a8"/>
    <w:next w:val="af7"/>
    <w:uiPriority w:val="39"/>
    <w:rsid w:val="006329C7"/>
    <w:rPr>
      <w:rFonts w:asciiTheme="minorHAnsi" w:eastAsiaTheme="minorEastAsia"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3">
    <w:name w:val="公文(後續段落)"/>
    <w:rsid w:val="007231AD"/>
    <w:pPr>
      <w:adjustRightInd w:val="0"/>
      <w:snapToGrid w:val="0"/>
      <w:spacing w:line="578" w:lineRule="exact"/>
      <w:ind w:left="340"/>
      <w:textAlignment w:val="center"/>
    </w:pPr>
    <w:rPr>
      <w:rFonts w:eastAsia="標楷體"/>
      <w:noProof/>
      <w:sz w:val="32"/>
    </w:rPr>
  </w:style>
  <w:style w:type="character" w:customStyle="1" w:styleId="10">
    <w:name w:val="標題 1 字元"/>
    <w:aliases w:val="題號1 字元,壹 字元"/>
    <w:basedOn w:val="a7"/>
    <w:link w:val="1"/>
    <w:rsid w:val="00A24FA1"/>
    <w:rPr>
      <w:rFonts w:ascii="標楷體" w:eastAsia="標楷體" w:hAnsi="Arial"/>
      <w:bCs/>
      <w:kern w:val="32"/>
      <w:sz w:val="32"/>
      <w:szCs w:val="52"/>
    </w:rPr>
  </w:style>
  <w:style w:type="character" w:styleId="aff4">
    <w:name w:val="endnote reference"/>
    <w:basedOn w:val="a7"/>
    <w:uiPriority w:val="99"/>
    <w:semiHidden/>
    <w:unhideWhenUsed/>
    <w:rsid w:val="004D0D70"/>
    <w:rPr>
      <w:vertAlign w:val="superscript"/>
    </w:rPr>
  </w:style>
  <w:style w:type="character" w:styleId="aff5">
    <w:name w:val="Unresolved Mention"/>
    <w:basedOn w:val="a7"/>
    <w:uiPriority w:val="99"/>
    <w:semiHidden/>
    <w:unhideWhenUsed/>
    <w:rsid w:val="005C3060"/>
    <w:rPr>
      <w:color w:val="605E5C"/>
      <w:shd w:val="clear" w:color="auto" w:fill="E1DFDD"/>
    </w:rPr>
  </w:style>
  <w:style w:type="character" w:customStyle="1" w:styleId="ab">
    <w:name w:val="簽名 字元"/>
    <w:basedOn w:val="a7"/>
    <w:link w:val="aa"/>
    <w:semiHidden/>
    <w:rsid w:val="0022191F"/>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338193910">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pvis.moenv.gov.tw/pvis/info/Plan"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B4367-B552-4237-8BFF-339F79B8C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1386</Words>
  <Characters>7906</Characters>
  <Application>Microsoft Office Word</Application>
  <DocSecurity>0</DocSecurity>
  <Lines>65</Lines>
  <Paragraphs>18</Paragraphs>
  <ScaleCrop>false</ScaleCrop>
  <Company/>
  <LinksUpToDate>false</LinksUpToDate>
  <CharactersWithSpaces>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2025-06-05T02:31:00Z</dcterms:created>
  <dcterms:modified xsi:type="dcterms:W3CDTF">2025-06-11T03:38:00Z</dcterms:modified>
  <cp:contentStatus/>
</cp:coreProperties>
</file>